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10637" w14:textId="2A5797C8" w:rsidR="00A6015C" w:rsidRPr="00A6015C" w:rsidRDefault="00A6015C" w:rsidP="00E141E4">
      <w:pPr>
        <w:spacing w:line="276" w:lineRule="auto"/>
        <w:jc w:val="both"/>
        <w:rPr>
          <w:rFonts w:ascii="Verdana" w:eastAsia="Calibri" w:hAnsi="Verdana" w:cs="Arial"/>
          <w:b/>
          <w:color w:val="000000" w:themeColor="text1"/>
          <w:lang w:eastAsia="es-ES"/>
        </w:rPr>
      </w:pPr>
      <w:r w:rsidRPr="00A6015C">
        <w:rPr>
          <w:rFonts w:ascii="Verdana" w:eastAsia="Calibri" w:hAnsi="Verdana" w:cs="Arial"/>
          <w:b/>
        </w:rPr>
        <w:t>RESPONSABLES DE LA ACTIVIDAD CONTRACTUAL – Servidores públicos</w:t>
      </w:r>
    </w:p>
    <w:p w14:paraId="304AB47F" w14:textId="332F6D4F" w:rsidR="00430CE6" w:rsidRPr="00430CE6" w:rsidRDefault="00430CE6" w:rsidP="00430CE6">
      <w:pPr>
        <w:spacing w:line="240" w:lineRule="auto"/>
        <w:jc w:val="both"/>
        <w:rPr>
          <w:rFonts w:ascii="Verdana" w:eastAsia="Calibri" w:hAnsi="Verdana" w:cs="Arial"/>
          <w:color w:val="000000" w:themeColor="text1"/>
          <w:sz w:val="20"/>
          <w:szCs w:val="20"/>
          <w:lang w:eastAsia="es-ES"/>
        </w:rPr>
      </w:pPr>
      <w:r>
        <w:rPr>
          <w:rFonts w:ascii="Verdana" w:eastAsia="Calibri" w:hAnsi="Verdana" w:cs="Arial"/>
          <w:color w:val="000000" w:themeColor="text1"/>
          <w:sz w:val="20"/>
          <w:szCs w:val="20"/>
          <w:lang w:eastAsia="es-ES"/>
        </w:rPr>
        <w:t xml:space="preserve">[…] </w:t>
      </w:r>
      <w:r w:rsidRPr="00430CE6">
        <w:rPr>
          <w:rFonts w:ascii="Verdana" w:eastAsia="Calibri" w:hAnsi="Verdana" w:cs="Arial"/>
          <w:color w:val="000000" w:themeColor="text1"/>
          <w:sz w:val="20"/>
          <w:szCs w:val="20"/>
          <w:lang w:eastAsia="es-ES"/>
        </w:rPr>
        <w:t xml:space="preserve">En este sentido, quienes tienen la competencia y son responsables de la actividad contractual de las entidades estatales son el jefe y los representantes legales de las mismas, sin perjuicio de la intervención de las unidades asesoras y ejecutoras de la entidad que se señalen en las correspondientes normas sobre su organización y funcionamiento. En consecuencia, quien tiene la competencia y responsabilidad para tramitar, celebrar y liquidar un contrato, es el jefe o representante legal de la entidad, o quien este delegue. La Ley 80 de 1993, en el artículo 12, regula la delegación para contratar y, además, indica que es posible desconcentrar la realización de los procesos contractuales de las entidades, lo cual es función de los jefes o representantes legales de las entidades enunciadas en el artículo 2 de la Ley 80 de 1993, el cual define el concepto de entidad estatal para efectos de la misma norma, quienes pueden delegar esa función en los empleos públicos cuyo nivel jerárquico dentro de la entidad sea directivo, ejecutivo o equivalentes . </w:t>
      </w:r>
    </w:p>
    <w:p w14:paraId="459AE54A" w14:textId="40EC6C1F" w:rsidR="00A6015C" w:rsidRPr="00430CE6" w:rsidRDefault="00430CE6" w:rsidP="00430CE6">
      <w:pPr>
        <w:spacing w:line="240" w:lineRule="auto"/>
        <w:jc w:val="both"/>
        <w:rPr>
          <w:rFonts w:ascii="Verdana" w:eastAsia="Calibri" w:hAnsi="Verdana" w:cs="Arial"/>
          <w:color w:val="000000" w:themeColor="text1"/>
          <w:sz w:val="20"/>
          <w:szCs w:val="20"/>
          <w:lang w:eastAsia="es-ES"/>
        </w:rPr>
      </w:pPr>
      <w:r w:rsidRPr="00430CE6">
        <w:rPr>
          <w:rFonts w:ascii="Verdana" w:eastAsia="Calibri" w:hAnsi="Verdana" w:cs="Arial"/>
          <w:color w:val="000000" w:themeColor="text1"/>
          <w:sz w:val="20"/>
          <w:szCs w:val="20"/>
          <w:lang w:eastAsia="es-ES"/>
        </w:rPr>
        <w:t>Por ello, dado que, además de la actividad contractual, los representantes legales de las entidades cumplen con una multiplicidad de funciones diferentes, el ordenamiento jurídico dispone técnicas de organización administrativa que permiten el reparto de las tareas asignadas con miras a su cumplimiento eficaz y eficiente, razón por la cual, el artículo 209 de la Constitución Política dispone que la función administrativa se desarrolla mediante la descentralización, la delegación y la desconcentración de funciones.</w:t>
      </w:r>
      <w:r>
        <w:rPr>
          <w:rFonts w:ascii="Verdana" w:eastAsia="Calibri" w:hAnsi="Verdana" w:cs="Arial"/>
          <w:color w:val="000000" w:themeColor="text1"/>
          <w:sz w:val="20"/>
          <w:szCs w:val="20"/>
          <w:lang w:eastAsia="es-ES"/>
        </w:rPr>
        <w:t xml:space="preserve"> […]</w:t>
      </w:r>
    </w:p>
    <w:p w14:paraId="5C57B151" w14:textId="098992EE" w:rsidR="00A6015C" w:rsidRDefault="00665D5A" w:rsidP="00E141E4">
      <w:pPr>
        <w:spacing w:line="276" w:lineRule="auto"/>
        <w:jc w:val="both"/>
        <w:rPr>
          <w:rFonts w:ascii="Verdana" w:eastAsia="Calibri" w:hAnsi="Verdana" w:cs="Arial"/>
          <w:b/>
          <w:bCs/>
          <w:color w:val="000000" w:themeColor="text1"/>
          <w:lang w:eastAsia="es-ES"/>
        </w:rPr>
      </w:pPr>
      <w:r w:rsidRPr="00665D5A">
        <w:rPr>
          <w:rFonts w:ascii="Verdana" w:eastAsia="Calibri" w:hAnsi="Verdana" w:cs="Arial"/>
          <w:b/>
          <w:bCs/>
          <w:color w:val="000000" w:themeColor="text1"/>
          <w:lang w:eastAsia="es-ES"/>
        </w:rPr>
        <w:t>PRINCIPIO DE RESPONSABILIDAD – Normativa – Alcance</w:t>
      </w:r>
    </w:p>
    <w:p w14:paraId="12961793" w14:textId="678D2FDC" w:rsidR="00E812E4" w:rsidRDefault="00E812E4" w:rsidP="00E812E4">
      <w:pPr>
        <w:spacing w:line="240" w:lineRule="auto"/>
        <w:jc w:val="both"/>
        <w:rPr>
          <w:rFonts w:ascii="Verdana" w:eastAsia="Calibri" w:hAnsi="Verdana" w:cs="Arial"/>
          <w:b/>
          <w:bCs/>
          <w:color w:val="000000" w:themeColor="text1"/>
          <w:sz w:val="20"/>
          <w:szCs w:val="20"/>
          <w:lang w:eastAsia="es-ES"/>
        </w:rPr>
      </w:pPr>
      <w:r>
        <w:rPr>
          <w:rFonts w:ascii="Verdana" w:eastAsia="Calibri" w:hAnsi="Verdana" w:cs="Arial"/>
          <w:sz w:val="20"/>
          <w:szCs w:val="20"/>
          <w:lang w:val="es-ES_tradnl"/>
        </w:rPr>
        <w:t xml:space="preserve">[….] </w:t>
      </w:r>
      <w:r w:rsidRPr="00E812E4">
        <w:rPr>
          <w:rFonts w:ascii="Verdana" w:eastAsia="Calibri" w:hAnsi="Verdana" w:cs="Arial"/>
          <w:sz w:val="20"/>
          <w:szCs w:val="20"/>
          <w:lang w:val="es-ES_tradnl"/>
        </w:rPr>
        <w:t>Ahora bien, todos los servidores públicos que intervienen en la contratación estatal, ya sea que lo hagan en calidad de jefes o representantes legales, o en calidad de delegatarios o en calidad de funcionarios a cargo de alguna actuación derivada de la etapa precontractual, contractual o postcontractual del proceso de contratación en razón de sus funciones asignadas en la ley, el reglamento, el manual de funciones o por el superior jerárquico, están sometidos al cumplimiento del principio de responsabilidad previsto en el artículo 26 de la Ley 80 de 1993</w:t>
      </w:r>
      <w:r>
        <w:rPr>
          <w:rFonts w:ascii="Verdana" w:eastAsia="Calibri" w:hAnsi="Verdana" w:cs="Arial"/>
          <w:sz w:val="20"/>
          <w:szCs w:val="20"/>
          <w:lang w:val="es-ES_tradnl"/>
        </w:rPr>
        <w:t xml:space="preserve"> […]</w:t>
      </w:r>
    </w:p>
    <w:p w14:paraId="70231B42" w14:textId="5BBBDCAC" w:rsidR="00E812E4" w:rsidRPr="00E812E4" w:rsidRDefault="00E812E4" w:rsidP="00E812E4">
      <w:pPr>
        <w:spacing w:line="240" w:lineRule="auto"/>
        <w:jc w:val="both"/>
        <w:rPr>
          <w:rFonts w:ascii="Verdana" w:eastAsia="Calibri" w:hAnsi="Verdana" w:cs="Arial"/>
          <w:b/>
          <w:bCs/>
          <w:color w:val="000000" w:themeColor="text1"/>
          <w:sz w:val="20"/>
          <w:szCs w:val="20"/>
          <w:lang w:eastAsia="es-ES"/>
        </w:rPr>
      </w:pPr>
      <w:r w:rsidRPr="00E812E4">
        <w:rPr>
          <w:rFonts w:ascii="Verdana" w:eastAsia="Calibri" w:hAnsi="Verdana" w:cs="Arial"/>
          <w:sz w:val="20"/>
          <w:szCs w:val="20"/>
          <w:lang w:val="es-ES_tradnl"/>
        </w:rPr>
        <w:t>En consecuencia, las actuaciones de los servidores públicos que participan en la contratación estatal están sometidos a los controles jurídicos, de diversa índole, que existen en el ordenamiento jurídico para el efecto, cuyo ejercicio está atribuido a distintas autoridades y procedimientos especiales. Estas autoridades, luego de actuar dentro del marco del principio de legalidad, el derecho al debido proceso y de desvirtuar la garantía de la presunción de inocencia, pueden encontrar la responsabilidad penal, disciplinaria, fiscal y/o patrimonial de los servidores públicos que hayan actuado indebidamente en la actividad contractual del Estado, tal y como lo reafirma el artículo 51 de la Ley 80 de 1993: “El servidor público responderá disciplinaria, civil y penalmente por sus acciones y omisiones en la actuación contractual en los términos de la Constitución y de la ley</w:t>
      </w:r>
      <w:r w:rsidRPr="00E812E4">
        <w:rPr>
          <w:rFonts w:ascii="Verdana" w:eastAsia="Calibri" w:hAnsi="Verdana" w:cs="Arial"/>
          <w:bCs/>
          <w:color w:val="000000" w:themeColor="text1"/>
          <w:sz w:val="20"/>
          <w:szCs w:val="20"/>
          <w:lang w:val="es-ES_tradnl"/>
        </w:rPr>
        <w:t>”.</w:t>
      </w:r>
      <w:r w:rsidRPr="00E812E4">
        <w:rPr>
          <w:rFonts w:ascii="Verdana" w:eastAsia="Calibri" w:hAnsi="Verdana" w:cs="Arial"/>
          <w:bCs/>
          <w:color w:val="000000" w:themeColor="text1"/>
          <w:sz w:val="20"/>
          <w:szCs w:val="20"/>
          <w:lang w:val="es-ES_tradnl"/>
        </w:rPr>
        <w:t>[…]</w:t>
      </w:r>
    </w:p>
    <w:p w14:paraId="5DE9F920" w14:textId="1F0EDBCC" w:rsidR="00E141E4" w:rsidRPr="00397841" w:rsidRDefault="00E141E4" w:rsidP="00E141E4">
      <w:pPr>
        <w:spacing w:line="276" w:lineRule="auto"/>
        <w:jc w:val="both"/>
        <w:rPr>
          <w:rFonts w:ascii="Verdana" w:eastAsia="Calibri" w:hAnsi="Verdana" w:cs="Arial"/>
          <w:b/>
          <w:bCs/>
          <w:color w:val="000000" w:themeColor="text1"/>
          <w:lang w:eastAsia="es-ES"/>
        </w:rPr>
      </w:pPr>
      <w:r w:rsidRPr="00397841">
        <w:rPr>
          <w:rFonts w:ascii="Verdana" w:eastAsia="Calibri" w:hAnsi="Verdana" w:cs="Arial"/>
          <w:b/>
          <w:bCs/>
          <w:color w:val="000000" w:themeColor="text1"/>
          <w:lang w:eastAsia="es-ES"/>
        </w:rPr>
        <w:t xml:space="preserve">LEY 1474 DE 2011 – </w:t>
      </w:r>
      <w:r w:rsidRPr="00397841">
        <w:rPr>
          <w:rFonts w:ascii="Verdana" w:eastAsia="Calibri" w:hAnsi="Verdana" w:cs="Arial"/>
          <w:b/>
          <w:bCs/>
          <w:color w:val="000000" w:themeColor="text1"/>
          <w:lang w:val="es-ES" w:eastAsia="es-ES"/>
        </w:rPr>
        <w:t>Supervisión</w:t>
      </w:r>
      <w:r w:rsidRPr="00397841">
        <w:rPr>
          <w:rFonts w:ascii="Verdana" w:eastAsia="Calibri" w:hAnsi="Verdana" w:cs="Arial"/>
          <w:b/>
          <w:bCs/>
          <w:color w:val="000000" w:themeColor="text1"/>
          <w:lang w:eastAsia="es-ES"/>
        </w:rPr>
        <w:t xml:space="preserve"> e interventoría contractual</w:t>
      </w:r>
    </w:p>
    <w:p w14:paraId="74073955" w14:textId="77777777" w:rsidR="00E141E4" w:rsidRPr="00397841" w:rsidRDefault="00E141E4" w:rsidP="00E141E4">
      <w:pPr>
        <w:spacing w:after="0" w:line="240" w:lineRule="auto"/>
        <w:jc w:val="both"/>
      </w:pPr>
      <w:r w:rsidRPr="00397841">
        <w:rPr>
          <w:rFonts w:ascii="Verdana" w:eastAsia="Geomanist Light" w:hAnsi="Verdana" w:cs="Arial"/>
          <w:color w:val="000000" w:themeColor="text1"/>
          <w:sz w:val="20"/>
          <w:szCs w:val="20"/>
        </w:rPr>
        <w:lastRenderedPageBreak/>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397841">
        <w:t xml:space="preserve"> […]</w:t>
      </w:r>
    </w:p>
    <w:p w14:paraId="542F639F" w14:textId="77777777" w:rsidR="00E141E4" w:rsidRPr="007531BF" w:rsidRDefault="00E141E4" w:rsidP="00E141E4">
      <w:pPr>
        <w:spacing w:after="0" w:line="240" w:lineRule="auto"/>
        <w:jc w:val="both"/>
        <w:rPr>
          <w:rFonts w:ascii="Verdana" w:hAnsi="Verdana"/>
          <w:color w:val="ED7D31" w:themeColor="accent2"/>
          <w:highlight w:val="cyan"/>
        </w:rPr>
      </w:pPr>
    </w:p>
    <w:p w14:paraId="390D9A69" w14:textId="77777777" w:rsidR="00E141E4" w:rsidRPr="008A5CDB" w:rsidRDefault="00E141E4" w:rsidP="00E141E4">
      <w:pPr>
        <w:jc w:val="both"/>
        <w:rPr>
          <w:rFonts w:ascii="Verdana" w:eastAsia="Calibri" w:hAnsi="Verdana" w:cs="Arial"/>
          <w:b/>
          <w:color w:val="000000" w:themeColor="text1"/>
        </w:rPr>
      </w:pPr>
      <w:r w:rsidRPr="008A5CDB">
        <w:rPr>
          <w:rFonts w:ascii="Verdana" w:eastAsia="Calibri" w:hAnsi="Verdana" w:cs="Arial"/>
          <w:b/>
          <w:color w:val="000000" w:themeColor="text1"/>
        </w:rPr>
        <w:t>CONTRATOS ESTATALES – Deber de vigilancia y control</w:t>
      </w:r>
    </w:p>
    <w:p w14:paraId="59E98B34" w14:textId="0D5C6CE8" w:rsidR="00E141E4" w:rsidRPr="00D70050" w:rsidRDefault="00E141E4" w:rsidP="00E141E4">
      <w:pPr>
        <w:tabs>
          <w:tab w:val="left" w:pos="426"/>
        </w:tabs>
        <w:spacing w:after="120" w:line="240" w:lineRule="auto"/>
        <w:jc w:val="both"/>
        <w:rPr>
          <w:rFonts w:ascii="Verdana" w:eastAsia="Calibri" w:hAnsi="Verdana" w:cs="Arial"/>
          <w:bCs/>
          <w:sz w:val="20"/>
          <w:szCs w:val="20"/>
          <w:lang w:val="es-ES_tradnl" w:eastAsia="es-ES_tradnl"/>
        </w:rPr>
      </w:pPr>
      <w:r w:rsidRPr="00D70050">
        <w:rPr>
          <w:rFonts w:ascii="Verdana" w:hAnsi="Verdana" w:cs="Arial"/>
          <w:bCs/>
          <w:color w:val="000000" w:themeColor="text1"/>
          <w:sz w:val="20"/>
          <w:szCs w:val="20"/>
        </w:rPr>
        <w:t xml:space="preserve">[…] </w:t>
      </w:r>
      <w:r w:rsidR="00E812E4" w:rsidRPr="00D70050">
        <w:rPr>
          <w:rFonts w:ascii="Verdana" w:eastAsia="Calibri" w:hAnsi="Verdana" w:cs="Arial"/>
          <w:bCs/>
          <w:sz w:val="20"/>
          <w:szCs w:val="20"/>
          <w:lang w:val="es-ES_tradnl" w:eastAsia="es-ES_tradnl"/>
        </w:rPr>
        <w:t>La Ley 80 de 1993 establece en sus artículos 4, 5, 12, 14 y 26</w:t>
      </w:r>
      <w:r w:rsidRPr="00D70050">
        <w:rPr>
          <w:rFonts w:ascii="Verdana" w:eastAsia="Calibri" w:hAnsi="Verdana" w:cs="Arial"/>
          <w:bCs/>
          <w:sz w:val="20"/>
          <w:szCs w:val="20"/>
          <w:lang w:val="es-ES_tradnl" w:eastAsia="es-ES_tradnl"/>
        </w:rPr>
        <w:t>,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 […]</w:t>
      </w:r>
    </w:p>
    <w:p w14:paraId="6F8E3AA8" w14:textId="77777777" w:rsidR="00E141E4" w:rsidRPr="001F2E24" w:rsidRDefault="00E141E4" w:rsidP="00E141E4">
      <w:pPr>
        <w:tabs>
          <w:tab w:val="left" w:pos="426"/>
        </w:tabs>
        <w:spacing w:after="0" w:line="240" w:lineRule="auto"/>
        <w:contextualSpacing/>
        <w:jc w:val="both"/>
        <w:rPr>
          <w:rFonts w:ascii="Verdana" w:eastAsia="Times New Roman" w:hAnsi="Verdana" w:cs="Arial"/>
          <w:color w:val="ED7D31" w:themeColor="accent2"/>
          <w:sz w:val="20"/>
          <w:szCs w:val="20"/>
          <w:highlight w:val="cyan"/>
          <w:lang w:val="es-ES_tradnl" w:eastAsia="x-none"/>
        </w:rPr>
      </w:pPr>
    </w:p>
    <w:p w14:paraId="3E6D2708" w14:textId="77777777" w:rsidR="00E141E4" w:rsidRPr="008A5CDB" w:rsidRDefault="00E141E4" w:rsidP="00E141E4">
      <w:pPr>
        <w:jc w:val="both"/>
        <w:rPr>
          <w:rFonts w:ascii="Verdana" w:eastAsia="Calibri" w:hAnsi="Verdana" w:cs="Arial"/>
          <w:b/>
          <w:color w:val="000000" w:themeColor="text1"/>
        </w:rPr>
      </w:pPr>
      <w:r w:rsidRPr="008A5CDB">
        <w:rPr>
          <w:rFonts w:ascii="Verdana" w:eastAsia="Calibri" w:hAnsi="Verdana" w:cs="Arial"/>
          <w:b/>
          <w:color w:val="000000" w:themeColor="text1"/>
        </w:rPr>
        <w:t xml:space="preserve">SUPERVISIÓN – Características </w:t>
      </w:r>
    </w:p>
    <w:p w14:paraId="7C7F3C3D" w14:textId="12E04A9D" w:rsidR="00E141E4" w:rsidRPr="0003480F" w:rsidRDefault="00E812E4" w:rsidP="00E141E4">
      <w:pPr>
        <w:jc w:val="both"/>
        <w:rPr>
          <w:rFonts w:ascii="Verdana" w:hAnsi="Verdana" w:cs="Arial"/>
          <w:color w:val="000000" w:themeColor="text1"/>
          <w:sz w:val="20"/>
          <w:szCs w:val="20"/>
        </w:rPr>
      </w:pPr>
      <w:r>
        <w:rPr>
          <w:rFonts w:ascii="Verdana" w:hAnsi="Verdana" w:cs="Arial"/>
          <w:color w:val="000000" w:themeColor="text1"/>
          <w:sz w:val="20"/>
          <w:szCs w:val="20"/>
        </w:rPr>
        <w:t>[…] L</w:t>
      </w:r>
      <w:r w:rsidRPr="00E812E4">
        <w:rPr>
          <w:rFonts w:ascii="Verdana" w:hAnsi="Verdana" w:cs="Arial"/>
          <w:color w:val="000000" w:themeColor="text1"/>
          <w:sz w:val="20"/>
          <w:szCs w:val="20"/>
        </w:rPr>
        <w:t>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r>
        <w:rPr>
          <w:rFonts w:ascii="Verdana" w:hAnsi="Verdana" w:cs="Arial"/>
          <w:color w:val="000000" w:themeColor="text1"/>
          <w:sz w:val="20"/>
          <w:szCs w:val="20"/>
        </w:rPr>
        <w:t xml:space="preserve"> […]</w:t>
      </w:r>
    </w:p>
    <w:p w14:paraId="3836E44D" w14:textId="77777777" w:rsidR="00E141E4" w:rsidRPr="00223F24" w:rsidRDefault="00E141E4" w:rsidP="00E141E4">
      <w:pPr>
        <w:spacing w:after="0" w:line="240" w:lineRule="auto"/>
        <w:jc w:val="both"/>
        <w:rPr>
          <w:rFonts w:ascii="Verdana" w:eastAsia="Geomanist Light" w:hAnsi="Verdana" w:cs="Arial"/>
          <w:b/>
          <w:bCs/>
          <w:lang w:val="es-ES"/>
        </w:rPr>
      </w:pPr>
      <w:bookmarkStart w:id="0" w:name="_Hlk151804843"/>
      <w:r w:rsidRPr="00223F24">
        <w:rPr>
          <w:rFonts w:ascii="Verdana" w:eastAsia="Geomanist Light" w:hAnsi="Verdana" w:cs="Arial"/>
          <w:b/>
          <w:bCs/>
          <w:lang w:val="es-ES"/>
        </w:rPr>
        <w:t>INTERVENTORÍA – Características - Normativa</w:t>
      </w:r>
      <w:bookmarkEnd w:id="0"/>
    </w:p>
    <w:p w14:paraId="153C7C54" w14:textId="77777777" w:rsidR="00D10C39" w:rsidRDefault="00D10C39" w:rsidP="00F20D94">
      <w:pPr>
        <w:spacing w:after="0" w:line="240" w:lineRule="auto"/>
        <w:jc w:val="both"/>
        <w:rPr>
          <w:rFonts w:ascii="Verdana" w:hAnsi="Verdana"/>
          <w:sz w:val="20"/>
          <w:szCs w:val="20"/>
        </w:rPr>
      </w:pPr>
    </w:p>
    <w:p w14:paraId="254CF4A3" w14:textId="189613FA" w:rsidR="00665D5A" w:rsidRDefault="00D10C39" w:rsidP="00F20D94">
      <w:pPr>
        <w:spacing w:after="0" w:line="240" w:lineRule="auto"/>
        <w:jc w:val="both"/>
        <w:rPr>
          <w:rFonts w:ascii="Verdana" w:hAnsi="Verdana"/>
        </w:rPr>
      </w:pPr>
      <w:r>
        <w:rPr>
          <w:rFonts w:ascii="Verdana" w:hAnsi="Verdana"/>
          <w:sz w:val="20"/>
          <w:szCs w:val="20"/>
        </w:rPr>
        <w:t xml:space="preserve">[…] </w:t>
      </w:r>
      <w:r w:rsidRPr="00D10C39">
        <w:rPr>
          <w:rFonts w:ascii="Verdana" w:hAnsi="Verdana"/>
          <w:sz w:val="20"/>
          <w:szCs w:val="20"/>
        </w:rPr>
        <w:t xml:space="preserve">dentro de las características del contrato de interventoría pueden apreciarse las siguientes: i) es un mecanismo de vigilancia contingente, en el que será obligatorio en el seguimiento de los contratos de obra pública que se hayan adjudicado por licitación pública, a lo que se refiere el artículo 32 numeral 1 de la Ley 80 de 1993, en los demás caso se requerirá cuando “el seguimiento del contrato suponga conocimiento especializado en la materia, o cuando la complejidad o la extensión del mismo lo justifiquen”- art. 83, inciso 2 Ley 1474 de 2011-; ii) este mecanismo de vigilancia exige, en su ejecución, la utilización de conocimientos especializados; iii) en virtud de lo anterior, la entidad contrata a un experto a través de un concurse de méritos, al tratarse la interventoría de una especie del contrato de consultoría- art. 32, numeral 2, inciso 2, de la Ley 80 de 1993 -, de manera que la interventoría es realizada por una “persona </w:t>
      </w:r>
      <w:r w:rsidRPr="00D10C39">
        <w:rPr>
          <w:rFonts w:ascii="Verdana" w:hAnsi="Verdana"/>
          <w:sz w:val="20"/>
          <w:szCs w:val="20"/>
        </w:rPr>
        <w:lastRenderedPageBreak/>
        <w:t>natural o jurídica contratada para tal fin por la Entidad Estatal” -art. 83 Ley 1474 de 2011-; iv) le es inherente el seguimiento técnico frente a la vigilancia de la correcta ejecución del contrato vigilado, sin embargo, el artículo 83,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quedaran a cargo de la entidad a través del supervisor” -art. 83, inciso 3-; y, finalmente, vi) el contrato de interventoría será supervisado directamente por la entidad -art. 83 inciso 4.</w:t>
      </w:r>
      <w:r w:rsidR="00F20D94">
        <w:rPr>
          <w:rFonts w:ascii="Verdana" w:hAnsi="Verdana"/>
          <w:sz w:val="20"/>
          <w:szCs w:val="20"/>
        </w:rPr>
        <w:t xml:space="preserve"> […]</w:t>
      </w:r>
    </w:p>
    <w:p w14:paraId="0A74127D" w14:textId="77777777" w:rsidR="00F20D94" w:rsidRDefault="00F20D94" w:rsidP="00F20D94">
      <w:pPr>
        <w:spacing w:after="0" w:line="240" w:lineRule="auto"/>
        <w:jc w:val="both"/>
        <w:rPr>
          <w:rFonts w:ascii="Verdana" w:hAnsi="Verdana"/>
        </w:rPr>
      </w:pPr>
    </w:p>
    <w:p w14:paraId="72A501CB" w14:textId="77777777" w:rsidR="00F20D94" w:rsidRDefault="00F20D94" w:rsidP="003E6531">
      <w:pPr>
        <w:spacing w:after="0"/>
        <w:rPr>
          <w:rFonts w:ascii="Verdana" w:hAnsi="Verdana"/>
        </w:rPr>
      </w:pPr>
    </w:p>
    <w:p w14:paraId="7C35D149" w14:textId="77777777" w:rsidR="00F20D94" w:rsidRDefault="00F20D94" w:rsidP="003E6531">
      <w:pPr>
        <w:spacing w:after="0"/>
        <w:rPr>
          <w:rFonts w:ascii="Verdana" w:hAnsi="Verdana"/>
        </w:rPr>
      </w:pPr>
    </w:p>
    <w:p w14:paraId="2FB2C345" w14:textId="77777777" w:rsidR="00F20D94" w:rsidRDefault="00F20D94" w:rsidP="003E6531">
      <w:pPr>
        <w:spacing w:after="0"/>
        <w:rPr>
          <w:rFonts w:ascii="Verdana" w:hAnsi="Verdana"/>
        </w:rPr>
      </w:pPr>
    </w:p>
    <w:p w14:paraId="4CBDD015" w14:textId="77777777" w:rsidR="00F20D94" w:rsidRDefault="00F20D94" w:rsidP="003E6531">
      <w:pPr>
        <w:spacing w:after="0"/>
        <w:rPr>
          <w:rFonts w:ascii="Verdana" w:hAnsi="Verdana"/>
        </w:rPr>
      </w:pPr>
    </w:p>
    <w:p w14:paraId="6696DB47" w14:textId="77777777" w:rsidR="00F20D94" w:rsidRDefault="00F20D94" w:rsidP="003E6531">
      <w:pPr>
        <w:spacing w:after="0"/>
        <w:rPr>
          <w:rFonts w:ascii="Verdana" w:hAnsi="Verdana"/>
        </w:rPr>
      </w:pPr>
    </w:p>
    <w:p w14:paraId="41E362EF" w14:textId="77777777" w:rsidR="00F20D94" w:rsidRDefault="00F20D94" w:rsidP="003E6531">
      <w:pPr>
        <w:spacing w:after="0"/>
        <w:rPr>
          <w:rFonts w:ascii="Verdana" w:hAnsi="Verdana"/>
        </w:rPr>
      </w:pPr>
    </w:p>
    <w:p w14:paraId="701FA656" w14:textId="77777777" w:rsidR="00F20D94" w:rsidRDefault="00F20D94" w:rsidP="003E6531">
      <w:pPr>
        <w:spacing w:after="0"/>
        <w:rPr>
          <w:rFonts w:ascii="Verdana" w:hAnsi="Verdana"/>
        </w:rPr>
      </w:pPr>
    </w:p>
    <w:p w14:paraId="0C792A56" w14:textId="77777777" w:rsidR="00F20D94" w:rsidRDefault="00F20D94" w:rsidP="003E6531">
      <w:pPr>
        <w:spacing w:after="0"/>
        <w:rPr>
          <w:rFonts w:ascii="Verdana" w:hAnsi="Verdana"/>
        </w:rPr>
      </w:pPr>
    </w:p>
    <w:p w14:paraId="54E47C20" w14:textId="77777777" w:rsidR="00F20D94" w:rsidRDefault="00F20D94" w:rsidP="003E6531">
      <w:pPr>
        <w:spacing w:after="0"/>
        <w:rPr>
          <w:rFonts w:ascii="Verdana" w:hAnsi="Verdana"/>
        </w:rPr>
      </w:pPr>
    </w:p>
    <w:p w14:paraId="6DCB27CD" w14:textId="77777777" w:rsidR="00F20D94" w:rsidRDefault="00F20D94" w:rsidP="003E6531">
      <w:pPr>
        <w:spacing w:after="0"/>
        <w:rPr>
          <w:rFonts w:ascii="Verdana" w:hAnsi="Verdana"/>
        </w:rPr>
      </w:pPr>
    </w:p>
    <w:p w14:paraId="3CF38038" w14:textId="77777777" w:rsidR="00F20D94" w:rsidRDefault="00F20D94" w:rsidP="003E6531">
      <w:pPr>
        <w:spacing w:after="0"/>
        <w:rPr>
          <w:rFonts w:ascii="Verdana" w:hAnsi="Verdana"/>
        </w:rPr>
      </w:pPr>
    </w:p>
    <w:p w14:paraId="37EB970D" w14:textId="77777777" w:rsidR="00F20D94" w:rsidRDefault="00F20D94" w:rsidP="003E6531">
      <w:pPr>
        <w:spacing w:after="0"/>
        <w:rPr>
          <w:rFonts w:ascii="Verdana" w:hAnsi="Verdana"/>
        </w:rPr>
      </w:pPr>
    </w:p>
    <w:p w14:paraId="20677AB0" w14:textId="77777777" w:rsidR="00F20D94" w:rsidRDefault="00F20D94" w:rsidP="003E6531">
      <w:pPr>
        <w:spacing w:after="0"/>
        <w:rPr>
          <w:rFonts w:ascii="Verdana" w:hAnsi="Verdana"/>
        </w:rPr>
      </w:pPr>
    </w:p>
    <w:p w14:paraId="21B38235" w14:textId="77777777" w:rsidR="00F20D94" w:rsidRDefault="00F20D94" w:rsidP="003E6531">
      <w:pPr>
        <w:spacing w:after="0"/>
        <w:rPr>
          <w:rFonts w:ascii="Verdana" w:hAnsi="Verdana"/>
        </w:rPr>
      </w:pPr>
    </w:p>
    <w:p w14:paraId="7FE53B55" w14:textId="77777777" w:rsidR="00F20D94" w:rsidRDefault="00F20D94" w:rsidP="003E6531">
      <w:pPr>
        <w:spacing w:after="0"/>
        <w:rPr>
          <w:rFonts w:ascii="Verdana" w:hAnsi="Verdana"/>
        </w:rPr>
      </w:pPr>
    </w:p>
    <w:p w14:paraId="6F4492EE" w14:textId="77777777" w:rsidR="00F20D94" w:rsidRDefault="00F20D94" w:rsidP="003E6531">
      <w:pPr>
        <w:spacing w:after="0"/>
        <w:rPr>
          <w:rFonts w:ascii="Verdana" w:hAnsi="Verdana"/>
        </w:rPr>
      </w:pPr>
    </w:p>
    <w:p w14:paraId="1C217894" w14:textId="77777777" w:rsidR="00F20D94" w:rsidRDefault="00F20D94" w:rsidP="003E6531">
      <w:pPr>
        <w:spacing w:after="0"/>
        <w:rPr>
          <w:rFonts w:ascii="Verdana" w:hAnsi="Verdana"/>
        </w:rPr>
      </w:pPr>
    </w:p>
    <w:p w14:paraId="7A5A166C" w14:textId="77777777" w:rsidR="00F20D94" w:rsidRDefault="00F20D94" w:rsidP="003E6531">
      <w:pPr>
        <w:spacing w:after="0"/>
        <w:rPr>
          <w:rFonts w:ascii="Verdana" w:hAnsi="Verdana"/>
        </w:rPr>
      </w:pPr>
    </w:p>
    <w:p w14:paraId="453DE3C9" w14:textId="77777777" w:rsidR="00F20D94" w:rsidRDefault="00F20D94" w:rsidP="003E6531">
      <w:pPr>
        <w:spacing w:after="0"/>
        <w:rPr>
          <w:rFonts w:ascii="Verdana" w:hAnsi="Verdana"/>
        </w:rPr>
      </w:pPr>
    </w:p>
    <w:p w14:paraId="43ABB4E8" w14:textId="77777777" w:rsidR="00F20D94" w:rsidRDefault="00F20D94" w:rsidP="003E6531">
      <w:pPr>
        <w:spacing w:after="0"/>
        <w:rPr>
          <w:rFonts w:ascii="Verdana" w:hAnsi="Verdana"/>
        </w:rPr>
      </w:pPr>
    </w:p>
    <w:p w14:paraId="3F9A2485" w14:textId="77777777" w:rsidR="00F20D94" w:rsidRDefault="00F20D94" w:rsidP="003E6531">
      <w:pPr>
        <w:spacing w:after="0"/>
        <w:rPr>
          <w:rFonts w:ascii="Verdana" w:hAnsi="Verdana"/>
        </w:rPr>
      </w:pPr>
    </w:p>
    <w:p w14:paraId="6A6891AB" w14:textId="77777777" w:rsidR="00F20D94" w:rsidRDefault="00F20D94" w:rsidP="003E6531">
      <w:pPr>
        <w:spacing w:after="0"/>
        <w:rPr>
          <w:rFonts w:ascii="Verdana" w:hAnsi="Verdana"/>
        </w:rPr>
      </w:pPr>
    </w:p>
    <w:p w14:paraId="078D959C" w14:textId="77777777" w:rsidR="003637F7" w:rsidRDefault="003637F7" w:rsidP="003E6531">
      <w:pPr>
        <w:spacing w:after="0"/>
        <w:rPr>
          <w:rFonts w:ascii="Verdana" w:hAnsi="Verdana"/>
        </w:rPr>
      </w:pPr>
    </w:p>
    <w:p w14:paraId="20FFC6B9" w14:textId="77777777" w:rsidR="00F20D94" w:rsidRDefault="00F20D94" w:rsidP="003E6531">
      <w:pPr>
        <w:spacing w:after="0"/>
        <w:rPr>
          <w:rFonts w:ascii="Verdana" w:hAnsi="Verdana"/>
        </w:rPr>
      </w:pPr>
    </w:p>
    <w:p w14:paraId="75E0C390" w14:textId="77777777" w:rsidR="00F20D94" w:rsidRDefault="00F20D94" w:rsidP="003E6531">
      <w:pPr>
        <w:spacing w:after="0"/>
        <w:rPr>
          <w:rFonts w:ascii="Verdana" w:hAnsi="Verdana"/>
        </w:rPr>
      </w:pPr>
    </w:p>
    <w:p w14:paraId="138B7388" w14:textId="77777777" w:rsidR="00F20D94" w:rsidRDefault="00F20D94" w:rsidP="003E6531">
      <w:pPr>
        <w:spacing w:after="0"/>
        <w:rPr>
          <w:rFonts w:ascii="Verdana" w:hAnsi="Verdana"/>
        </w:rPr>
      </w:pPr>
    </w:p>
    <w:p w14:paraId="77D4672D" w14:textId="77777777" w:rsidR="00F20D94" w:rsidRDefault="00F20D94" w:rsidP="003E6531">
      <w:pPr>
        <w:spacing w:after="0"/>
        <w:rPr>
          <w:rFonts w:ascii="Verdana" w:hAnsi="Verdana"/>
        </w:rPr>
      </w:pPr>
    </w:p>
    <w:p w14:paraId="1E26B9D6" w14:textId="77777777" w:rsidR="00F20D94" w:rsidRDefault="00F20D94" w:rsidP="003E6531">
      <w:pPr>
        <w:spacing w:after="0"/>
        <w:rPr>
          <w:rFonts w:ascii="Verdana" w:hAnsi="Verdana"/>
        </w:rPr>
      </w:pPr>
    </w:p>
    <w:p w14:paraId="6D05804F" w14:textId="77777777" w:rsidR="00F20D94" w:rsidRDefault="00F20D94" w:rsidP="003E6531">
      <w:pPr>
        <w:spacing w:after="0"/>
        <w:rPr>
          <w:rFonts w:ascii="Verdana" w:hAnsi="Verdana"/>
        </w:rPr>
      </w:pPr>
    </w:p>
    <w:p w14:paraId="41E840E4" w14:textId="4EB41138" w:rsidR="003E6531" w:rsidRPr="00BC2F47" w:rsidRDefault="003E6531" w:rsidP="003E6531">
      <w:pPr>
        <w:spacing w:after="0"/>
        <w:rPr>
          <w:rFonts w:ascii="Verdana" w:hAnsi="Verdana"/>
        </w:rPr>
      </w:pPr>
      <w:r w:rsidRPr="00BC2F47">
        <w:rPr>
          <w:rFonts w:ascii="Verdana" w:hAnsi="Verdana"/>
        </w:rPr>
        <w:lastRenderedPageBreak/>
        <w:t xml:space="preserve">Bogotá D.C., </w:t>
      </w:r>
      <w:r w:rsidR="009F41D5">
        <w:rPr>
          <w:rFonts w:ascii="Verdana" w:hAnsi="Verdana"/>
        </w:rPr>
        <w:t>18 Febrero 2026</w:t>
      </w:r>
    </w:p>
    <w:p w14:paraId="060E5169" w14:textId="314E6B3D" w:rsidR="003E6531" w:rsidRPr="0071555A" w:rsidRDefault="001C1501" w:rsidP="003E6531">
      <w:pPr>
        <w:spacing w:after="0"/>
        <w:rPr>
          <w:rFonts w:ascii="Verdana" w:hAnsi="Verdana"/>
          <w:color w:val="ED7D31" w:themeColor="accent2"/>
          <w:lang w:val="es-ES"/>
        </w:rPr>
      </w:pPr>
      <w:r w:rsidRPr="001C1501">
        <w:rPr>
          <w:rFonts w:ascii="Verdana" w:eastAsia="Calibri" w:hAnsi="Verdana" w:cs="Arial"/>
          <w:b/>
          <w:bCs/>
          <w:lang w:val="en-US" w:eastAsia="es-ES"/>
        </w:rPr>
        <w:drawing>
          <wp:anchor distT="0" distB="0" distL="114300" distR="114300" simplePos="0" relativeHeight="251659264" behindDoc="1" locked="0" layoutInCell="1" allowOverlap="1" wp14:anchorId="11CBEF7A" wp14:editId="2874C480">
            <wp:simplePos x="0" y="0"/>
            <wp:positionH relativeFrom="margin">
              <wp:align>right</wp:align>
            </wp:positionH>
            <wp:positionV relativeFrom="paragraph">
              <wp:posOffset>40271</wp:posOffset>
            </wp:positionV>
            <wp:extent cx="2505075" cy="723900"/>
            <wp:effectExtent l="0" t="0" r="9525" b="0"/>
            <wp:wrapNone/>
            <wp:docPr id="188972133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72133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05075" cy="723900"/>
                    </a:xfrm>
                    <a:prstGeom prst="rect">
                      <a:avLst/>
                    </a:prstGeom>
                  </pic:spPr>
                </pic:pic>
              </a:graphicData>
            </a:graphic>
          </wp:anchor>
        </w:drawing>
      </w:r>
    </w:p>
    <w:p w14:paraId="6E55CFCE" w14:textId="7E27512A" w:rsidR="003E6531" w:rsidRPr="001D39B0" w:rsidRDefault="003E6531" w:rsidP="003E6531">
      <w:pPr>
        <w:spacing w:after="0" w:line="240" w:lineRule="auto"/>
        <w:rPr>
          <w:rFonts w:ascii="Verdana" w:hAnsi="Verdana"/>
          <w:lang w:val="en-US"/>
        </w:rPr>
      </w:pPr>
      <w:bookmarkStart w:id="1" w:name="_Hlk143780582"/>
      <w:r w:rsidRPr="001D39B0">
        <w:rPr>
          <w:rFonts w:ascii="Verdana" w:eastAsia="Calibri" w:hAnsi="Verdana" w:cs="Arial"/>
          <w:lang w:val="en-US" w:eastAsia="es-ES"/>
        </w:rPr>
        <w:t>Señor</w:t>
      </w:r>
    </w:p>
    <w:p w14:paraId="6D12078C" w14:textId="5234091C" w:rsidR="003E6531" w:rsidRPr="001D39B0" w:rsidRDefault="003E6531" w:rsidP="003E6531">
      <w:pPr>
        <w:spacing w:after="0"/>
        <w:rPr>
          <w:rFonts w:ascii="Verdana" w:eastAsia="Calibri" w:hAnsi="Verdana" w:cs="Arial"/>
          <w:b/>
          <w:bCs/>
          <w:lang w:val="en-US" w:eastAsia="es-ES"/>
        </w:rPr>
      </w:pPr>
      <w:r w:rsidRPr="001D39B0">
        <w:rPr>
          <w:rFonts w:ascii="Verdana" w:eastAsia="Calibri" w:hAnsi="Verdana" w:cs="Arial"/>
          <w:b/>
          <w:bCs/>
          <w:lang w:val="en-US" w:eastAsia="es-ES"/>
        </w:rPr>
        <w:t>Walter David Marín Torres</w:t>
      </w:r>
      <w:r w:rsidR="001C1501" w:rsidRPr="001C1501">
        <w:rPr>
          <w:noProof/>
        </w:rPr>
        <w:t xml:space="preserve"> </w:t>
      </w:r>
    </w:p>
    <w:p w14:paraId="67B86D7C" w14:textId="77777777" w:rsidR="003E6531" w:rsidRPr="001D39B0" w:rsidRDefault="003E6531" w:rsidP="003E6531">
      <w:pPr>
        <w:tabs>
          <w:tab w:val="center" w:pos="4419"/>
        </w:tabs>
        <w:spacing w:after="0"/>
        <w:rPr>
          <w:rFonts w:ascii="Verdana" w:eastAsia="Calibri" w:hAnsi="Verdana" w:cs="Arial"/>
          <w:color w:val="ED7D31" w:themeColor="accent2"/>
          <w:lang w:val="en-US" w:eastAsia="es-ES"/>
        </w:rPr>
      </w:pPr>
      <w:hyperlink r:id="rId11" w:history="1">
        <w:r w:rsidRPr="001D39B0">
          <w:rPr>
            <w:rStyle w:val="Hipervnculo"/>
            <w:rFonts w:ascii="Verdana" w:eastAsia="Calibri" w:hAnsi="Verdana" w:cs="Arial"/>
            <w:lang w:val="en-US" w:eastAsia="es-ES"/>
          </w:rPr>
          <w:t>walter_davidm@hotmail.com</w:t>
        </w:r>
      </w:hyperlink>
      <w:r w:rsidRPr="001D39B0">
        <w:rPr>
          <w:rFonts w:ascii="Verdana" w:eastAsia="Calibri" w:hAnsi="Verdana" w:cs="Arial"/>
          <w:color w:val="ED7D31" w:themeColor="accent2"/>
          <w:lang w:val="en-US" w:eastAsia="es-ES"/>
        </w:rPr>
        <w:t xml:space="preserve">   </w:t>
      </w:r>
    </w:p>
    <w:p w14:paraId="294D0FFB" w14:textId="77777777" w:rsidR="003E6531" w:rsidRPr="00022617" w:rsidRDefault="003E6531" w:rsidP="003E6531">
      <w:pPr>
        <w:spacing w:after="0"/>
        <w:rPr>
          <w:rFonts w:ascii="Verdana" w:eastAsia="Calibri" w:hAnsi="Verdana" w:cs="Arial"/>
          <w:lang w:eastAsia="es-ES"/>
        </w:rPr>
      </w:pPr>
      <w:r w:rsidRPr="00022617">
        <w:rPr>
          <w:rFonts w:ascii="Verdana" w:eastAsia="Calibri" w:hAnsi="Verdana" w:cs="Arial"/>
          <w:lang w:eastAsia="es-ES"/>
        </w:rPr>
        <w:t>Ciudad</w:t>
      </w:r>
    </w:p>
    <w:p w14:paraId="0C6AD32C" w14:textId="77777777" w:rsidR="003E6531" w:rsidRPr="0071555A" w:rsidRDefault="003E6531" w:rsidP="003E6531">
      <w:pPr>
        <w:spacing w:after="0"/>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3E6531" w:rsidRPr="0071555A" w14:paraId="35E5300E" w14:textId="77777777" w:rsidTr="003A4B72">
        <w:trPr>
          <w:trHeight w:val="300"/>
        </w:trPr>
        <w:tc>
          <w:tcPr>
            <w:tcW w:w="2410" w:type="dxa"/>
          </w:tcPr>
          <w:p w14:paraId="7934014B" w14:textId="77777777" w:rsidR="003E6531" w:rsidRPr="0071555A" w:rsidRDefault="003E6531" w:rsidP="003A4B72">
            <w:pPr>
              <w:ind w:left="-142"/>
              <w:jc w:val="both"/>
              <w:rPr>
                <w:rFonts w:ascii="Verdana" w:eastAsia="Calibri" w:hAnsi="Verdana" w:cs="Arial"/>
                <w:b/>
                <w:bCs/>
                <w:color w:val="ED7D31" w:themeColor="accent2"/>
                <w:lang w:val="es-ES" w:eastAsia="es-ES_tradnl"/>
              </w:rPr>
            </w:pPr>
          </w:p>
        </w:tc>
        <w:tc>
          <w:tcPr>
            <w:tcW w:w="6100" w:type="dxa"/>
          </w:tcPr>
          <w:p w14:paraId="5B2290EE" w14:textId="77777777" w:rsidR="003E6531" w:rsidRPr="00B560DB" w:rsidRDefault="003E6531" w:rsidP="003A4B72">
            <w:pPr>
              <w:ind w:left="3"/>
              <w:jc w:val="both"/>
              <w:rPr>
                <w:rFonts w:ascii="Verdana" w:eastAsia="Calibri" w:hAnsi="Verdana" w:cs="Arial"/>
                <w:b/>
                <w:bCs/>
                <w:lang w:val="es-ES" w:eastAsia="es-ES"/>
              </w:rPr>
            </w:pPr>
            <w:r w:rsidRPr="00B560DB">
              <w:rPr>
                <w:rFonts w:ascii="Verdana" w:eastAsia="Calibri" w:hAnsi="Verdana" w:cs="Arial"/>
                <w:b/>
                <w:bCs/>
                <w:lang w:val="es-ES" w:eastAsia="es-ES"/>
              </w:rPr>
              <w:t>Concepto C-028 de 2026</w:t>
            </w:r>
          </w:p>
          <w:p w14:paraId="581EEFDF" w14:textId="77777777" w:rsidR="003E6531" w:rsidRPr="00B560DB" w:rsidRDefault="003E6531" w:rsidP="003A4B72">
            <w:pPr>
              <w:ind w:left="3"/>
              <w:jc w:val="both"/>
              <w:rPr>
                <w:rFonts w:ascii="Verdana" w:eastAsia="Calibri" w:hAnsi="Verdana" w:cs="Arial"/>
                <w:b/>
                <w:bCs/>
                <w:lang w:val="es-ES" w:eastAsia="es-ES"/>
              </w:rPr>
            </w:pPr>
          </w:p>
        </w:tc>
      </w:tr>
      <w:tr w:rsidR="003E6531" w:rsidRPr="0071555A" w14:paraId="022539F0" w14:textId="77777777" w:rsidTr="003A4B72">
        <w:trPr>
          <w:trHeight w:val="300"/>
        </w:trPr>
        <w:tc>
          <w:tcPr>
            <w:tcW w:w="2410" w:type="dxa"/>
          </w:tcPr>
          <w:p w14:paraId="34714E19" w14:textId="77777777" w:rsidR="003E6531" w:rsidRPr="0071555A" w:rsidRDefault="003E6531" w:rsidP="003A4B72">
            <w:pPr>
              <w:ind w:left="424" w:firstLine="137"/>
              <w:jc w:val="both"/>
              <w:rPr>
                <w:rFonts w:ascii="Verdana" w:eastAsia="Calibri" w:hAnsi="Verdana" w:cs="Arial"/>
                <w:color w:val="ED7D31" w:themeColor="accent2"/>
                <w:lang w:val="es-ES" w:eastAsia="es-ES_tradnl"/>
              </w:rPr>
            </w:pPr>
            <w:r w:rsidRPr="00BE7781">
              <w:rPr>
                <w:rFonts w:ascii="Verdana" w:eastAsia="Calibri" w:hAnsi="Verdana" w:cs="Arial"/>
                <w:b/>
                <w:lang w:val="es-ES" w:eastAsia="es-ES_tradnl"/>
              </w:rPr>
              <w:t>Temas:</w:t>
            </w:r>
            <w:r w:rsidRPr="00BE7781">
              <w:rPr>
                <w:rFonts w:ascii="Verdana" w:eastAsia="Calibri" w:hAnsi="Verdana" w:cs="Arial"/>
                <w:lang w:val="es-ES" w:eastAsia="es-ES_tradnl"/>
              </w:rPr>
              <w:t xml:space="preserve">              </w:t>
            </w:r>
          </w:p>
        </w:tc>
        <w:tc>
          <w:tcPr>
            <w:tcW w:w="6100" w:type="dxa"/>
          </w:tcPr>
          <w:p w14:paraId="79CDD3B8" w14:textId="032FC918" w:rsidR="003E6531" w:rsidRPr="006B14F2" w:rsidRDefault="00025692" w:rsidP="00025692">
            <w:pPr>
              <w:jc w:val="both"/>
              <w:rPr>
                <w:rFonts w:ascii="Verdana" w:eastAsia="Calibri" w:hAnsi="Verdana" w:cs="Arial"/>
                <w:bCs/>
              </w:rPr>
            </w:pPr>
            <w:r w:rsidRPr="000027AB">
              <w:rPr>
                <w:rFonts w:ascii="Verdana" w:eastAsia="Calibri" w:hAnsi="Verdana" w:cs="Arial"/>
                <w:bCs/>
              </w:rPr>
              <w:t xml:space="preserve">RESPONSABLES DE LA ACTIVIDAD CONTRACTUAL – </w:t>
            </w:r>
            <w:r w:rsidR="006B14F2" w:rsidRPr="006B14F2">
              <w:rPr>
                <w:rFonts w:ascii="Verdana" w:eastAsia="Calibri" w:hAnsi="Verdana" w:cs="Arial"/>
                <w:bCs/>
              </w:rPr>
              <w:t xml:space="preserve">Servidores públicos / </w:t>
            </w:r>
            <w:r w:rsidR="00E96E8C">
              <w:rPr>
                <w:rFonts w:ascii="Verdana" w:eastAsia="Calibri" w:hAnsi="Verdana" w:cs="Arial"/>
                <w:bCs/>
              </w:rPr>
              <w:t xml:space="preserve">PRINCIPIO DE RESPONSABILIDAD – Normativa – Alcance / </w:t>
            </w:r>
            <w:r w:rsidR="003E6531" w:rsidRPr="006B14F2">
              <w:rPr>
                <w:rFonts w:ascii="Verdana" w:eastAsia="Calibri" w:hAnsi="Verdana" w:cs="Arial"/>
                <w:bCs/>
              </w:rPr>
              <w:t xml:space="preserve">LEY 1474 DE 2011 – Supervisión e interventoría contractual/ CONTRATOS ESTATALES – Deber de vigilancia y control / SUPERVISIÓN – Características / INTERVENTORÍA – Características - Normativa </w:t>
            </w:r>
          </w:p>
          <w:p w14:paraId="68403459" w14:textId="77777777" w:rsidR="003E6531" w:rsidRPr="006B14F2" w:rsidRDefault="003E6531" w:rsidP="003A4B72">
            <w:pPr>
              <w:jc w:val="both"/>
              <w:rPr>
                <w:rFonts w:ascii="Verdana" w:hAnsi="Verdana"/>
                <w:color w:val="ED7D31" w:themeColor="accent2"/>
              </w:rPr>
            </w:pPr>
            <w:r w:rsidRPr="006B14F2">
              <w:rPr>
                <w:rFonts w:ascii="Verdana" w:eastAsia="Calibri" w:hAnsi="Verdana" w:cs="Arial"/>
                <w:bCs/>
                <w:color w:val="ED7D31" w:themeColor="accent2"/>
              </w:rPr>
              <w:t>.</w:t>
            </w:r>
          </w:p>
        </w:tc>
      </w:tr>
      <w:tr w:rsidR="003E6531" w:rsidRPr="0071555A" w14:paraId="072AFDA9" w14:textId="77777777" w:rsidTr="003A4B72">
        <w:trPr>
          <w:trHeight w:val="204"/>
        </w:trPr>
        <w:tc>
          <w:tcPr>
            <w:tcW w:w="2410" w:type="dxa"/>
          </w:tcPr>
          <w:p w14:paraId="692C6C79" w14:textId="77777777" w:rsidR="003E6531" w:rsidRPr="007B3365" w:rsidRDefault="003E6531" w:rsidP="003A4B72">
            <w:pPr>
              <w:ind w:left="561"/>
              <w:jc w:val="both"/>
              <w:rPr>
                <w:rFonts w:ascii="Verdana" w:eastAsia="Calibri" w:hAnsi="Verdana" w:cs="Arial"/>
                <w:b/>
                <w:lang w:val="es-ES" w:eastAsia="es-ES_tradnl"/>
              </w:rPr>
            </w:pPr>
            <w:r w:rsidRPr="007B3365">
              <w:rPr>
                <w:rFonts w:ascii="Verdana" w:eastAsia="Calibri" w:hAnsi="Verdana" w:cs="Arial"/>
                <w:b/>
                <w:lang w:val="es-ES" w:eastAsia="es-ES_tradnl"/>
              </w:rPr>
              <w:t>Radicación:</w:t>
            </w:r>
            <w:r w:rsidRPr="007B3365">
              <w:rPr>
                <w:rFonts w:ascii="Verdana" w:eastAsia="Calibri" w:hAnsi="Verdana" w:cs="Arial"/>
                <w:lang w:val="es-ES" w:eastAsia="es-ES_tradnl"/>
              </w:rPr>
              <w:t xml:space="preserve">              </w:t>
            </w:r>
          </w:p>
        </w:tc>
        <w:tc>
          <w:tcPr>
            <w:tcW w:w="6100" w:type="dxa"/>
          </w:tcPr>
          <w:p w14:paraId="684A5851" w14:textId="77777777" w:rsidR="003E6531" w:rsidRPr="007B3365" w:rsidRDefault="003E6531" w:rsidP="003A4B72">
            <w:pPr>
              <w:ind w:left="3"/>
              <w:jc w:val="both"/>
              <w:rPr>
                <w:rFonts w:ascii="Verdana" w:hAnsi="Verdana"/>
                <w:lang w:val="es-ES"/>
              </w:rPr>
            </w:pPr>
            <w:r w:rsidRPr="007B3365">
              <w:rPr>
                <w:rFonts w:ascii="Verdana" w:eastAsia="Calibri" w:hAnsi="Verdana" w:cs="Arial"/>
                <w:lang w:val="es-ES" w:eastAsia="es-ES"/>
              </w:rPr>
              <w:t>Respuesta a consulta con radicado No. 1_2026_01_09_000219 acumulada con 1_2026_01_09_000223 y 1_2026_01_20_000579.</w:t>
            </w:r>
          </w:p>
        </w:tc>
      </w:tr>
    </w:tbl>
    <w:p w14:paraId="1751F4E5" w14:textId="77777777" w:rsidR="003E6531" w:rsidRPr="0071555A" w:rsidRDefault="003E6531" w:rsidP="003E6531">
      <w:pPr>
        <w:spacing w:after="0" w:line="276" w:lineRule="auto"/>
        <w:jc w:val="both"/>
        <w:rPr>
          <w:rFonts w:ascii="Verdana" w:eastAsia="Calibri" w:hAnsi="Verdana" w:cs="Arial"/>
          <w:color w:val="ED7D31" w:themeColor="accent2"/>
          <w:lang w:val="es-ES" w:eastAsia="es-ES"/>
        </w:rPr>
      </w:pPr>
    </w:p>
    <w:p w14:paraId="3E2CA705" w14:textId="77777777" w:rsidR="003E6531" w:rsidRPr="007B3365" w:rsidRDefault="003E6531" w:rsidP="003E6531">
      <w:pPr>
        <w:spacing w:after="0" w:line="276" w:lineRule="auto"/>
        <w:jc w:val="both"/>
        <w:rPr>
          <w:rFonts w:ascii="Verdana" w:eastAsia="Calibri" w:hAnsi="Verdana" w:cs="Arial"/>
          <w:lang w:eastAsia="es-ES"/>
        </w:rPr>
      </w:pPr>
      <w:r w:rsidRPr="007B3365">
        <w:rPr>
          <w:rFonts w:ascii="Verdana" w:eastAsia="Calibri" w:hAnsi="Verdana" w:cs="Arial"/>
          <w:lang w:eastAsia="es-ES"/>
        </w:rPr>
        <w:t>Estimado señor Marín:</w:t>
      </w:r>
    </w:p>
    <w:p w14:paraId="52103CA3" w14:textId="77777777" w:rsidR="003E6531" w:rsidRPr="007B3365" w:rsidRDefault="003E6531" w:rsidP="003E6531">
      <w:pPr>
        <w:spacing w:after="0" w:line="276" w:lineRule="auto"/>
        <w:jc w:val="both"/>
        <w:rPr>
          <w:rFonts w:ascii="Verdana" w:eastAsia="Calibri" w:hAnsi="Verdana" w:cs="Arial"/>
          <w:lang w:eastAsia="es-ES"/>
        </w:rPr>
      </w:pPr>
      <w:r w:rsidRPr="007B3365">
        <w:rPr>
          <w:rFonts w:ascii="Verdana" w:eastAsia="Calibri" w:hAnsi="Verdana" w:cs="Arial"/>
          <w:lang w:eastAsia="es-ES"/>
        </w:rPr>
        <w:t xml:space="preserve"> </w:t>
      </w:r>
    </w:p>
    <w:p w14:paraId="53F3208A" w14:textId="77777777" w:rsidR="003E6531" w:rsidRPr="007B3365" w:rsidRDefault="003E6531" w:rsidP="003E6531">
      <w:pPr>
        <w:tabs>
          <w:tab w:val="left" w:pos="3768"/>
        </w:tabs>
        <w:spacing w:after="0" w:line="276" w:lineRule="auto"/>
        <w:jc w:val="both"/>
        <w:rPr>
          <w:rFonts w:ascii="Verdana" w:eastAsia="Calibri" w:hAnsi="Verdana" w:cs="Arial"/>
          <w:lang w:eastAsia="es-ES"/>
        </w:rPr>
      </w:pPr>
      <w:r w:rsidRPr="007B3365">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sus solicitudes de consulta de fechas 09 y 20 de enero de 2026, en la cual manifiesta lo siguiente: </w:t>
      </w:r>
    </w:p>
    <w:p w14:paraId="31343A7B" w14:textId="77777777" w:rsidR="003E6531" w:rsidRPr="0071555A" w:rsidRDefault="003E6531" w:rsidP="003E6531">
      <w:pPr>
        <w:tabs>
          <w:tab w:val="left" w:pos="3768"/>
        </w:tabs>
        <w:spacing w:after="0" w:line="276" w:lineRule="auto"/>
        <w:jc w:val="both"/>
        <w:rPr>
          <w:rFonts w:ascii="Verdana" w:eastAsia="Calibri" w:hAnsi="Verdana" w:cs="Arial"/>
          <w:color w:val="ED7D31" w:themeColor="accent2"/>
          <w:lang w:eastAsia="es-ES"/>
        </w:rPr>
      </w:pPr>
    </w:p>
    <w:p w14:paraId="3BB44D30" w14:textId="77777777" w:rsidR="003E6531" w:rsidRDefault="003E6531" w:rsidP="003E6531">
      <w:pPr>
        <w:spacing w:before="120" w:after="120"/>
        <w:ind w:left="709" w:right="709"/>
        <w:contextualSpacing/>
        <w:jc w:val="both"/>
        <w:rPr>
          <w:rFonts w:ascii="Verdana" w:eastAsia="Century Gothic" w:hAnsi="Verdana" w:cs="Century Gothic"/>
          <w:i/>
          <w:iCs/>
          <w:sz w:val="20"/>
          <w:szCs w:val="20"/>
          <w:lang w:val="es-ES"/>
        </w:rPr>
      </w:pPr>
      <w:r w:rsidRPr="00C338E2">
        <w:rPr>
          <w:rFonts w:ascii="Verdana" w:eastAsia="Century Gothic" w:hAnsi="Verdana" w:cs="Century Gothic"/>
          <w:i/>
          <w:iCs/>
          <w:sz w:val="20"/>
          <w:szCs w:val="20"/>
          <w:lang w:val="es-ES"/>
        </w:rPr>
        <w:t>“(…) ¿Puede una auditoría endilgar y atribuir responsabilidad al supervisor del contrato de interventoría, aun cuando dicho funcionario no haya ejercido ninguna actuación formal ni tuviera asignadas funciones directas frente al contrato de obra, y cuando contractualmente el control integral de la ejecución fue asignado a la interventoría? (…)”</w:t>
      </w:r>
    </w:p>
    <w:p w14:paraId="0F01EF60" w14:textId="77777777" w:rsidR="003E6531" w:rsidRPr="00C338E2" w:rsidRDefault="003E6531" w:rsidP="003E6531">
      <w:pPr>
        <w:spacing w:before="120" w:after="120"/>
        <w:ind w:left="709" w:right="709"/>
        <w:contextualSpacing/>
        <w:jc w:val="both"/>
        <w:rPr>
          <w:rFonts w:ascii="Verdana" w:eastAsia="Century Gothic" w:hAnsi="Verdana" w:cs="Century Gothic"/>
          <w:i/>
          <w:iCs/>
          <w:sz w:val="20"/>
          <w:szCs w:val="20"/>
          <w:lang w:val="es-ES"/>
        </w:rPr>
      </w:pPr>
    </w:p>
    <w:p w14:paraId="5848ED8C" w14:textId="77777777" w:rsidR="003E6531" w:rsidRPr="00C338E2" w:rsidRDefault="003E6531" w:rsidP="003E6531">
      <w:pPr>
        <w:spacing w:after="120" w:line="276" w:lineRule="auto"/>
        <w:ind w:firstLine="708"/>
        <w:jc w:val="both"/>
        <w:rPr>
          <w:rFonts w:ascii="Verdana" w:eastAsia="Calibri" w:hAnsi="Verdana" w:cs="Arial"/>
          <w:lang w:val="es-ES" w:eastAsia="es-ES"/>
        </w:rPr>
      </w:pPr>
      <w:r w:rsidRPr="00C338E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C338E2">
        <w:rPr>
          <w:rFonts w:ascii="Verdana" w:eastAsia="Calibri" w:hAnsi="Verdana" w:cs="Arial"/>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338E2">
        <w:rPr>
          <w:rFonts w:ascii="Verdana" w:hAnsi="Verdana"/>
          <w:lang w:val="es-ES"/>
        </w:rPr>
        <w:tab/>
      </w:r>
    </w:p>
    <w:p w14:paraId="00CDEC21" w14:textId="77777777" w:rsidR="003E6531" w:rsidRPr="00C338E2" w:rsidRDefault="003E6531" w:rsidP="003E6531">
      <w:pPr>
        <w:spacing w:after="0" w:line="276" w:lineRule="auto"/>
        <w:ind w:firstLine="709"/>
        <w:jc w:val="both"/>
        <w:rPr>
          <w:rFonts w:ascii="Verdana" w:eastAsia="Calibri" w:hAnsi="Verdana" w:cs="Arial"/>
          <w:lang w:val="es-ES" w:eastAsia="es-ES"/>
        </w:rPr>
      </w:pPr>
      <w:r w:rsidRPr="00C338E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6E86069" w14:textId="77777777" w:rsidR="003E6531" w:rsidRPr="0071555A" w:rsidRDefault="003E6531" w:rsidP="003E6531">
      <w:pPr>
        <w:spacing w:after="0" w:line="276" w:lineRule="auto"/>
        <w:ind w:firstLine="709"/>
        <w:jc w:val="both"/>
        <w:rPr>
          <w:rFonts w:ascii="Verdana" w:eastAsia="Calibri" w:hAnsi="Verdana" w:cs="Arial"/>
          <w:color w:val="ED7D31" w:themeColor="accent2"/>
          <w:lang w:val="es-ES" w:eastAsia="es-ES"/>
        </w:rPr>
      </w:pPr>
    </w:p>
    <w:p w14:paraId="4BC7A5B7" w14:textId="77777777" w:rsidR="003E6531" w:rsidRPr="00F94869" w:rsidRDefault="003E6531" w:rsidP="003E6531">
      <w:pPr>
        <w:tabs>
          <w:tab w:val="left" w:pos="142"/>
          <w:tab w:val="left" w:pos="284"/>
        </w:tabs>
        <w:spacing w:after="0" w:line="276" w:lineRule="auto"/>
        <w:contextualSpacing/>
        <w:jc w:val="both"/>
        <w:rPr>
          <w:rFonts w:ascii="Verdana" w:eastAsia="Century Gothic" w:hAnsi="Verdana" w:cs="Century Gothic"/>
          <w:b/>
          <w:lang w:val="es-ES"/>
        </w:rPr>
      </w:pPr>
      <w:r w:rsidRPr="00F94869">
        <w:rPr>
          <w:rFonts w:ascii="Verdana" w:eastAsia="Century Gothic" w:hAnsi="Verdana" w:cs="Century Gothic"/>
          <w:b/>
          <w:lang w:val="es-ES"/>
        </w:rPr>
        <w:t>1. Problema planteado:</w:t>
      </w:r>
    </w:p>
    <w:p w14:paraId="452D2F61" w14:textId="77777777" w:rsidR="003E6531" w:rsidRPr="0071555A" w:rsidRDefault="003E6531" w:rsidP="003E6531">
      <w:pPr>
        <w:tabs>
          <w:tab w:val="left" w:pos="426"/>
        </w:tabs>
        <w:spacing w:after="0" w:line="276" w:lineRule="auto"/>
        <w:jc w:val="both"/>
        <w:rPr>
          <w:rFonts w:ascii="Verdana" w:eastAsia="Century Gothic" w:hAnsi="Verdana" w:cs="Century Gothic"/>
          <w:color w:val="ED7D31" w:themeColor="accent2"/>
          <w:lang w:val="es-ES"/>
        </w:rPr>
      </w:pPr>
    </w:p>
    <w:p w14:paraId="717F642B" w14:textId="430D63A5" w:rsidR="003E6531" w:rsidRPr="000D64B2" w:rsidRDefault="003E6531" w:rsidP="003E6531">
      <w:pPr>
        <w:spacing w:after="0" w:line="276" w:lineRule="auto"/>
        <w:jc w:val="both"/>
        <w:rPr>
          <w:rFonts w:ascii="Verdana" w:eastAsia="Century Gothic" w:hAnsi="Verdana" w:cs="Century Gothic"/>
        </w:rPr>
      </w:pPr>
      <w:r w:rsidRPr="00DD01EC">
        <w:rPr>
          <w:rFonts w:ascii="Verdana" w:eastAsia="Century Gothic" w:hAnsi="Verdana" w:cs="Century Gothic"/>
          <w:lang w:val="es-ES"/>
        </w:rPr>
        <w:t xml:space="preserve">De acuerdo con el contenido de su solicitud, esta Agencia resolverá el siguiente problema </w:t>
      </w:r>
      <w:r w:rsidRPr="000D64B2">
        <w:rPr>
          <w:rFonts w:ascii="Verdana" w:eastAsia="Century Gothic" w:hAnsi="Verdana" w:cs="Century Gothic"/>
          <w:lang w:val="es-ES"/>
        </w:rPr>
        <w:t xml:space="preserve">jurídico: </w:t>
      </w:r>
      <w:r w:rsidRPr="000D64B2">
        <w:rPr>
          <w:rFonts w:ascii="Verdana" w:eastAsia="Century Gothic" w:hAnsi="Verdana" w:cs="Century Gothic"/>
        </w:rPr>
        <w:t>¿Cuál es el alcance del deber del supervisor del contrato de interventoría frente a las falencias del contrato de obra</w:t>
      </w:r>
      <w:r w:rsidR="003D5A4A">
        <w:rPr>
          <w:rFonts w:ascii="Verdana" w:eastAsia="Century Gothic" w:hAnsi="Verdana" w:cs="Century Gothic"/>
        </w:rPr>
        <w:t xml:space="preserve"> vigilado por</w:t>
      </w:r>
      <w:r w:rsidRPr="000D64B2">
        <w:rPr>
          <w:rFonts w:ascii="Verdana" w:eastAsia="Century Gothic" w:hAnsi="Verdana" w:cs="Century Gothic"/>
        </w:rPr>
        <w:t xml:space="preserve"> </w:t>
      </w:r>
      <w:r w:rsidR="003D5A4A">
        <w:rPr>
          <w:rFonts w:ascii="Verdana" w:eastAsia="Century Gothic" w:hAnsi="Verdana" w:cs="Century Gothic"/>
        </w:rPr>
        <w:t xml:space="preserve">el </w:t>
      </w:r>
      <w:r w:rsidRPr="000D64B2">
        <w:rPr>
          <w:rFonts w:ascii="Verdana" w:eastAsia="Century Gothic" w:hAnsi="Verdana" w:cs="Century Gothic"/>
        </w:rPr>
        <w:t>interventor?</w:t>
      </w:r>
    </w:p>
    <w:p w14:paraId="3F32ADD9" w14:textId="77777777" w:rsidR="003E6531" w:rsidRPr="0071555A" w:rsidRDefault="003E6531" w:rsidP="003E6531">
      <w:pPr>
        <w:spacing w:after="0" w:line="276" w:lineRule="auto"/>
        <w:jc w:val="both"/>
        <w:rPr>
          <w:rFonts w:ascii="Verdana" w:eastAsia="Century Gothic" w:hAnsi="Verdana" w:cs="Century Gothic"/>
          <w:color w:val="ED7D31" w:themeColor="accent2"/>
        </w:rPr>
      </w:pPr>
    </w:p>
    <w:p w14:paraId="16442AC9" w14:textId="77777777" w:rsidR="003E6531" w:rsidRPr="00F94869" w:rsidRDefault="003E6531" w:rsidP="003E6531">
      <w:pPr>
        <w:tabs>
          <w:tab w:val="left" w:pos="142"/>
          <w:tab w:val="left" w:pos="284"/>
        </w:tabs>
        <w:spacing w:after="0" w:line="276" w:lineRule="auto"/>
        <w:jc w:val="both"/>
        <w:rPr>
          <w:rFonts w:ascii="Verdana" w:eastAsia="Century Gothic" w:hAnsi="Verdana" w:cs="Century Gothic"/>
          <w:b/>
          <w:lang w:val="es-ES"/>
        </w:rPr>
      </w:pPr>
      <w:r w:rsidRPr="00F94869">
        <w:rPr>
          <w:rFonts w:ascii="Verdana" w:eastAsia="Century Gothic" w:hAnsi="Verdana" w:cs="Century Gothic"/>
          <w:b/>
          <w:lang w:val="es-ES"/>
        </w:rPr>
        <w:t>2. Respuesta:</w:t>
      </w:r>
    </w:p>
    <w:p w14:paraId="502A2966" w14:textId="77777777" w:rsidR="003E6531" w:rsidRPr="0071555A" w:rsidRDefault="003E6531" w:rsidP="003E6531">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E6531" w:rsidRPr="0071555A" w14:paraId="10231D7B" w14:textId="77777777" w:rsidTr="003A4B72">
        <w:tc>
          <w:tcPr>
            <w:tcW w:w="8828" w:type="dxa"/>
          </w:tcPr>
          <w:p w14:paraId="498466D2" w14:textId="77777777" w:rsidR="00785991" w:rsidRDefault="0050531A" w:rsidP="0050531A">
            <w:pPr>
              <w:spacing w:before="120" w:after="120" w:line="276" w:lineRule="auto"/>
              <w:jc w:val="both"/>
              <w:rPr>
                <w:rFonts w:ascii="Verdana" w:eastAsia="Times New Roman" w:hAnsi="Verdana" w:cs="Arial"/>
                <w:shd w:val="clear" w:color="auto" w:fill="FFFFFF"/>
                <w:lang w:val="es-ES"/>
              </w:rPr>
            </w:pPr>
            <w:r>
              <w:rPr>
                <w:rFonts w:ascii="Verdana" w:eastAsia="Calibri" w:hAnsi="Verdana" w:cs="Arial"/>
              </w:rPr>
              <w:t xml:space="preserve">En respuesta a la cuestión materia de consulta, debe </w:t>
            </w:r>
            <w:r w:rsidR="00785991">
              <w:rPr>
                <w:rFonts w:ascii="Verdana" w:eastAsia="Calibri" w:hAnsi="Verdana" w:cs="Arial"/>
              </w:rPr>
              <w:t>señalarse</w:t>
            </w:r>
            <w:r>
              <w:rPr>
                <w:rFonts w:ascii="Verdana" w:eastAsia="Calibri" w:hAnsi="Verdana" w:cs="Arial"/>
              </w:rPr>
              <w:t xml:space="preserve"> que, en </w:t>
            </w:r>
            <w:r w:rsidR="00C156D4">
              <w:rPr>
                <w:rFonts w:ascii="Verdana" w:eastAsia="Times New Roman" w:hAnsi="Verdana" w:cs="Arial"/>
                <w:shd w:val="clear" w:color="auto" w:fill="FFFFFF"/>
                <w:lang w:val="es-ES"/>
              </w:rPr>
              <w:t xml:space="preserve">la hipótesis </w:t>
            </w:r>
            <w:r>
              <w:rPr>
                <w:rFonts w:ascii="Verdana" w:eastAsia="Times New Roman" w:hAnsi="Verdana" w:cs="Arial"/>
                <w:shd w:val="clear" w:color="auto" w:fill="FFFFFF"/>
                <w:lang w:val="es-ES"/>
              </w:rPr>
              <w:t>descrita</w:t>
            </w:r>
            <w:r w:rsidR="00C156D4">
              <w:rPr>
                <w:rFonts w:ascii="Verdana" w:eastAsia="Times New Roman" w:hAnsi="Verdana" w:cs="Arial"/>
                <w:shd w:val="clear" w:color="auto" w:fill="FFFFFF"/>
                <w:lang w:val="es-ES"/>
              </w:rPr>
              <w:t>, el supervisor del contrato tiene</w:t>
            </w:r>
            <w:r w:rsidR="00C156D4" w:rsidRPr="00B60BC4">
              <w:rPr>
                <w:rFonts w:ascii="Verdana" w:eastAsia="Times New Roman" w:hAnsi="Verdana" w:cs="Arial"/>
                <w:shd w:val="clear" w:color="auto" w:fill="FFFFFF"/>
                <w:lang w:val="es-ES"/>
              </w:rPr>
              <w:t xml:space="preserve"> la obligación de desarrollar las actividades </w:t>
            </w:r>
            <w:r w:rsidR="00C156D4">
              <w:rPr>
                <w:rFonts w:ascii="Verdana" w:eastAsia="Times New Roman" w:hAnsi="Verdana" w:cs="Arial"/>
                <w:shd w:val="clear" w:color="auto" w:fill="FFFFFF"/>
                <w:lang w:val="es-ES"/>
              </w:rPr>
              <w:t xml:space="preserve">requeridas en el marco de </w:t>
            </w:r>
            <w:r w:rsidR="00C156D4" w:rsidRPr="00B60BC4">
              <w:rPr>
                <w:rFonts w:ascii="Verdana" w:eastAsia="Times New Roman" w:hAnsi="Verdana" w:cs="Arial"/>
                <w:shd w:val="clear" w:color="auto" w:fill="FFFFFF"/>
                <w:lang w:val="es-ES"/>
              </w:rPr>
              <w:t>la vigilancia y seguimiento del cumplimiento de</w:t>
            </w:r>
            <w:r w:rsidR="00C156D4">
              <w:rPr>
                <w:rFonts w:ascii="Verdana" w:eastAsia="Times New Roman" w:hAnsi="Verdana" w:cs="Arial"/>
                <w:shd w:val="clear" w:color="auto" w:fill="FFFFFF"/>
                <w:lang w:val="es-ES"/>
              </w:rPr>
              <w:t>l</w:t>
            </w:r>
            <w:r w:rsidR="00C156D4" w:rsidRPr="00B60BC4">
              <w:rPr>
                <w:rFonts w:ascii="Verdana" w:eastAsia="Times New Roman" w:hAnsi="Verdana" w:cs="Arial"/>
                <w:shd w:val="clear" w:color="auto" w:fill="FFFFFF"/>
                <w:lang w:val="es-ES"/>
              </w:rPr>
              <w:t xml:space="preserve"> contrato</w:t>
            </w:r>
            <w:r w:rsidR="00C156D4">
              <w:rPr>
                <w:rFonts w:ascii="Verdana" w:eastAsia="Times New Roman" w:hAnsi="Verdana" w:cs="Arial"/>
                <w:shd w:val="clear" w:color="auto" w:fill="FFFFFF"/>
                <w:lang w:val="es-ES"/>
              </w:rPr>
              <w:t xml:space="preserve"> objeto de supervisión, </w:t>
            </w:r>
            <w:r w:rsidR="00785991">
              <w:rPr>
                <w:rFonts w:ascii="Verdana" w:eastAsia="Times New Roman" w:hAnsi="Verdana" w:cs="Arial"/>
                <w:shd w:val="clear" w:color="auto" w:fill="FFFFFF"/>
                <w:lang w:val="es-ES"/>
              </w:rPr>
              <w:t>es decir</w:t>
            </w:r>
            <w:r w:rsidR="00C156D4">
              <w:rPr>
                <w:rFonts w:ascii="Verdana" w:eastAsia="Times New Roman" w:hAnsi="Verdana" w:cs="Arial"/>
                <w:shd w:val="clear" w:color="auto" w:fill="FFFFFF"/>
                <w:lang w:val="es-ES"/>
              </w:rPr>
              <w:t xml:space="preserve">, el contrato de interventoría. Esto implica realizar el seguimiento técnico, jurídico, económico y financiero al contrato de interventoría, cuyo desarrollo implica el </w:t>
            </w:r>
            <w:r w:rsidR="00785991">
              <w:rPr>
                <w:rFonts w:ascii="Verdana" w:eastAsia="Times New Roman" w:hAnsi="Verdana" w:cs="Arial"/>
                <w:shd w:val="clear" w:color="auto" w:fill="FFFFFF"/>
                <w:lang w:val="es-ES"/>
              </w:rPr>
              <w:t>seguimiento respecto</w:t>
            </w:r>
            <w:r w:rsidR="00C156D4">
              <w:rPr>
                <w:rFonts w:ascii="Verdana" w:eastAsia="Times New Roman" w:hAnsi="Verdana" w:cs="Arial"/>
                <w:shd w:val="clear" w:color="auto" w:fill="FFFFFF"/>
                <w:lang w:val="es-ES"/>
              </w:rPr>
              <w:t xml:space="preserve"> de otro contrato como lo es el de obra pública, el cual está directamente a cargo del interventor. </w:t>
            </w:r>
          </w:p>
          <w:p w14:paraId="1E47FAE9" w14:textId="3A1137D4" w:rsidR="00C156D4" w:rsidRDefault="00785991" w:rsidP="00C17B3E">
            <w:pPr>
              <w:spacing w:before="120" w:after="120" w:line="276" w:lineRule="auto"/>
              <w:ind w:firstLine="709"/>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S</w:t>
            </w:r>
            <w:r w:rsidR="00C156D4">
              <w:rPr>
                <w:rFonts w:ascii="Verdana" w:eastAsia="Times New Roman" w:hAnsi="Verdana" w:cs="Arial"/>
                <w:shd w:val="clear" w:color="auto" w:fill="FFFFFF"/>
                <w:lang w:val="es-ES"/>
              </w:rPr>
              <w:t>i bien las obligaciones del supervisor del contrato de interventoría tienen una relación con las actividades del contrato de obra, tal relación</w:t>
            </w:r>
            <w:r w:rsidR="002A6D53">
              <w:rPr>
                <w:rFonts w:ascii="Verdana" w:eastAsia="Times New Roman" w:hAnsi="Verdana" w:cs="Arial"/>
                <w:shd w:val="clear" w:color="auto" w:fill="FFFFFF"/>
                <w:lang w:val="es-ES"/>
              </w:rPr>
              <w:t xml:space="preserve"> jurídica</w:t>
            </w:r>
            <w:r w:rsidR="00C156D4">
              <w:rPr>
                <w:rFonts w:ascii="Verdana" w:eastAsia="Times New Roman" w:hAnsi="Verdana" w:cs="Arial"/>
                <w:shd w:val="clear" w:color="auto" w:fill="FFFFFF"/>
                <w:lang w:val="es-ES"/>
              </w:rPr>
              <w:t xml:space="preserve"> es indirecta,</w:t>
            </w:r>
            <w:r w:rsidR="004844AA">
              <w:rPr>
                <w:rFonts w:ascii="Verdana" w:eastAsia="Times New Roman" w:hAnsi="Verdana" w:cs="Arial"/>
                <w:shd w:val="clear" w:color="auto" w:fill="FFFFFF"/>
                <w:lang w:val="es-ES"/>
              </w:rPr>
              <w:t xml:space="preserve"> ya que no es este el contrato vigilado por dicho supervisor</w:t>
            </w:r>
            <w:r w:rsidR="00C156D4">
              <w:rPr>
                <w:rFonts w:ascii="Verdana" w:eastAsia="Times New Roman" w:hAnsi="Verdana" w:cs="Arial"/>
                <w:shd w:val="clear" w:color="auto" w:fill="FFFFFF"/>
                <w:lang w:val="es-ES"/>
              </w:rPr>
              <w:t>.</w:t>
            </w:r>
            <w:r w:rsidR="004844AA">
              <w:rPr>
                <w:rFonts w:ascii="Verdana" w:eastAsia="Times New Roman" w:hAnsi="Verdana" w:cs="Arial"/>
                <w:shd w:val="clear" w:color="auto" w:fill="FFFFFF"/>
                <w:lang w:val="es-ES"/>
              </w:rPr>
              <w:t xml:space="preserve"> No obstante</w:t>
            </w:r>
            <w:r w:rsidR="00066B03">
              <w:rPr>
                <w:rFonts w:ascii="Verdana" w:eastAsia="Times New Roman" w:hAnsi="Verdana" w:cs="Arial"/>
                <w:shd w:val="clear" w:color="auto" w:fill="FFFFFF"/>
                <w:lang w:val="es-ES"/>
              </w:rPr>
              <w:t xml:space="preserve">, es posible que, en </w:t>
            </w:r>
            <w:r w:rsidR="00CC1283">
              <w:rPr>
                <w:rFonts w:ascii="Verdana" w:eastAsia="Times New Roman" w:hAnsi="Verdana" w:cs="Arial"/>
                <w:shd w:val="clear" w:color="auto" w:fill="FFFFFF"/>
                <w:lang w:val="es-ES"/>
              </w:rPr>
              <w:t>atención a</w:t>
            </w:r>
            <w:r w:rsidR="004D321F">
              <w:rPr>
                <w:rFonts w:ascii="Verdana" w:eastAsia="Times New Roman" w:hAnsi="Verdana" w:cs="Arial"/>
                <w:shd w:val="clear" w:color="auto" w:fill="FFFFFF"/>
                <w:lang w:val="es-ES"/>
              </w:rPr>
              <w:t xml:space="preserve"> lo dispuesto </w:t>
            </w:r>
            <w:r w:rsidR="00066B03">
              <w:rPr>
                <w:rFonts w:ascii="Verdana" w:eastAsia="Times New Roman" w:hAnsi="Verdana" w:cs="Arial"/>
                <w:shd w:val="clear" w:color="auto" w:fill="FFFFFF"/>
                <w:lang w:val="es-ES"/>
              </w:rPr>
              <w:t xml:space="preserve">por </w:t>
            </w:r>
            <w:r w:rsidR="00C156D4">
              <w:rPr>
                <w:rFonts w:ascii="Verdana" w:eastAsia="Times New Roman" w:hAnsi="Verdana" w:cs="Arial"/>
                <w:shd w:val="clear" w:color="auto" w:fill="FFFFFF"/>
                <w:lang w:val="es-ES"/>
              </w:rPr>
              <w:t xml:space="preserve">el </w:t>
            </w:r>
            <w:r w:rsidR="00C156D4">
              <w:rPr>
                <w:rFonts w:ascii="Verdana" w:eastAsia="Times New Roman" w:hAnsi="Verdana" w:cs="Arial"/>
                <w:shd w:val="clear" w:color="auto" w:fill="FFFFFF"/>
                <w:lang w:val="es-ES"/>
              </w:rPr>
              <w:lastRenderedPageBreak/>
              <w:t xml:space="preserve">manual de contratación o supervisión </w:t>
            </w:r>
            <w:r w:rsidR="00066B03">
              <w:rPr>
                <w:rFonts w:ascii="Verdana" w:eastAsia="Times New Roman" w:hAnsi="Verdana" w:cs="Arial"/>
                <w:shd w:val="clear" w:color="auto" w:fill="FFFFFF"/>
                <w:lang w:val="es-ES"/>
              </w:rPr>
              <w:t>de la entidad estatal, o atención al contenido d</w:t>
            </w:r>
            <w:r w:rsidR="00C156D4">
              <w:rPr>
                <w:rFonts w:ascii="Verdana" w:eastAsia="Times New Roman" w:hAnsi="Verdana" w:cs="Arial"/>
                <w:shd w:val="clear" w:color="auto" w:fill="FFFFFF"/>
                <w:lang w:val="es-ES"/>
              </w:rPr>
              <w:t>el acto de designación, este</w:t>
            </w:r>
            <w:r w:rsidR="004D321F">
              <w:rPr>
                <w:rFonts w:ascii="Verdana" w:eastAsia="Times New Roman" w:hAnsi="Verdana" w:cs="Arial"/>
                <w:shd w:val="clear" w:color="auto" w:fill="FFFFFF"/>
                <w:lang w:val="es-ES"/>
              </w:rPr>
              <w:t xml:space="preserve"> supervisor</w:t>
            </w:r>
            <w:r w:rsidR="00C156D4">
              <w:rPr>
                <w:rFonts w:ascii="Verdana" w:eastAsia="Times New Roman" w:hAnsi="Verdana" w:cs="Arial"/>
                <w:shd w:val="clear" w:color="auto" w:fill="FFFFFF"/>
                <w:lang w:val="es-ES"/>
              </w:rPr>
              <w:t xml:space="preserve"> tenga deberes cuyo cumplimiento </w:t>
            </w:r>
            <w:r w:rsidR="00CC1283">
              <w:rPr>
                <w:rFonts w:ascii="Verdana" w:eastAsia="Times New Roman" w:hAnsi="Verdana" w:cs="Arial"/>
                <w:shd w:val="clear" w:color="auto" w:fill="FFFFFF"/>
                <w:lang w:val="es-ES"/>
              </w:rPr>
              <w:t>generen</w:t>
            </w:r>
            <w:r w:rsidR="004D321F">
              <w:rPr>
                <w:rFonts w:ascii="Verdana" w:eastAsia="Times New Roman" w:hAnsi="Verdana" w:cs="Arial"/>
                <w:shd w:val="clear" w:color="auto" w:fill="FFFFFF"/>
                <w:lang w:val="es-ES"/>
              </w:rPr>
              <w:t xml:space="preserve"> </w:t>
            </w:r>
            <w:r w:rsidR="00CC1283">
              <w:rPr>
                <w:rFonts w:ascii="Verdana" w:eastAsia="Times New Roman" w:hAnsi="Verdana" w:cs="Arial"/>
                <w:shd w:val="clear" w:color="auto" w:fill="FFFFFF"/>
                <w:lang w:val="es-ES"/>
              </w:rPr>
              <w:t xml:space="preserve">algún nivel de </w:t>
            </w:r>
            <w:r w:rsidR="00C156D4">
              <w:rPr>
                <w:rFonts w:ascii="Verdana" w:eastAsia="Times New Roman" w:hAnsi="Verdana" w:cs="Arial"/>
                <w:shd w:val="clear" w:color="auto" w:fill="FFFFFF"/>
                <w:lang w:val="es-ES"/>
              </w:rPr>
              <w:t>incidencia en la ejecución del contrato de obra vigilado por el interventor</w:t>
            </w:r>
            <w:r w:rsidR="00011E43">
              <w:rPr>
                <w:rFonts w:ascii="Verdana" w:eastAsia="Times New Roman" w:hAnsi="Verdana" w:cs="Arial"/>
                <w:shd w:val="clear" w:color="auto" w:fill="FFFFFF"/>
                <w:lang w:val="es-ES"/>
              </w:rPr>
              <w:t>.</w:t>
            </w:r>
            <w:r w:rsidR="00C156D4">
              <w:rPr>
                <w:rFonts w:ascii="Verdana" w:eastAsia="Times New Roman" w:hAnsi="Verdana" w:cs="Arial"/>
                <w:shd w:val="clear" w:color="auto" w:fill="FFFFFF"/>
                <w:lang w:val="es-ES"/>
              </w:rPr>
              <w:t xml:space="preserve"> </w:t>
            </w:r>
          </w:p>
          <w:p w14:paraId="4A7182DA" w14:textId="5C53B775" w:rsidR="00C156D4" w:rsidRDefault="00CC1283" w:rsidP="00C156D4">
            <w:pPr>
              <w:spacing w:before="120" w:after="120" w:line="276" w:lineRule="auto"/>
              <w:ind w:firstLine="708"/>
              <w:jc w:val="both"/>
              <w:rPr>
                <w:rFonts w:ascii="Verdana" w:eastAsia="Arial" w:hAnsi="Verdana" w:cs="Arial"/>
                <w:bCs/>
                <w:lang w:eastAsia="es-ES" w:bidi="es-ES"/>
              </w:rPr>
            </w:pPr>
            <w:r>
              <w:rPr>
                <w:rFonts w:ascii="Verdana" w:eastAsia="Times New Roman" w:hAnsi="Verdana" w:cs="Arial"/>
                <w:shd w:val="clear" w:color="auto" w:fill="FFFFFF"/>
                <w:lang w:val="es-ES"/>
              </w:rPr>
              <w:t>En todo caso</w:t>
            </w:r>
            <w:r w:rsidR="00C156D4" w:rsidRPr="00EA3C1A">
              <w:rPr>
                <w:rFonts w:ascii="Verdana" w:eastAsia="Arial" w:hAnsi="Verdana" w:cs="Arial"/>
                <w:bCs/>
                <w:lang w:eastAsia="es-ES" w:bidi="es-ES"/>
              </w:rPr>
              <w:t xml:space="preserve">, cualquier análisis </w:t>
            </w:r>
            <w:r w:rsidR="00011E43">
              <w:rPr>
                <w:rFonts w:ascii="Verdana" w:eastAsia="Arial" w:hAnsi="Verdana" w:cs="Arial"/>
                <w:bCs/>
                <w:lang w:eastAsia="es-ES" w:bidi="es-ES"/>
              </w:rPr>
              <w:t>tendiente a</w:t>
            </w:r>
            <w:r w:rsidR="00C156D4" w:rsidRPr="00EA3C1A">
              <w:rPr>
                <w:rFonts w:ascii="Verdana" w:eastAsia="Arial" w:hAnsi="Verdana" w:cs="Arial"/>
                <w:bCs/>
                <w:lang w:eastAsia="es-ES" w:bidi="es-ES"/>
              </w:rPr>
              <w:t xml:space="preserve"> la atribución de responsabilidad </w:t>
            </w:r>
            <w:r w:rsidR="00C156D4">
              <w:rPr>
                <w:rFonts w:ascii="Verdana" w:eastAsia="Arial" w:hAnsi="Verdana" w:cs="Arial"/>
                <w:bCs/>
                <w:lang w:eastAsia="es-ES" w:bidi="es-ES"/>
              </w:rPr>
              <w:t>derivada de las “</w:t>
            </w:r>
            <w:r w:rsidR="00C156D4" w:rsidRPr="00EA3C1A">
              <w:rPr>
                <w:rFonts w:ascii="Verdana" w:eastAsia="Arial" w:hAnsi="Verdana" w:cs="Arial"/>
                <w:bCs/>
                <w:lang w:eastAsia="es-ES" w:bidi="es-ES"/>
              </w:rPr>
              <w:t>falencias</w:t>
            </w:r>
            <w:r w:rsidR="00C156D4">
              <w:rPr>
                <w:rFonts w:ascii="Verdana" w:eastAsia="Arial" w:hAnsi="Verdana" w:cs="Arial"/>
                <w:bCs/>
                <w:lang w:eastAsia="es-ES" w:bidi="es-ES"/>
              </w:rPr>
              <w:t>”</w:t>
            </w:r>
            <w:r w:rsidR="00C156D4" w:rsidRPr="00EA3C1A">
              <w:rPr>
                <w:rFonts w:ascii="Verdana" w:eastAsia="Arial" w:hAnsi="Verdana" w:cs="Arial"/>
                <w:bCs/>
                <w:lang w:eastAsia="es-ES" w:bidi="es-ES"/>
              </w:rPr>
              <w:t xml:space="preserve"> </w:t>
            </w:r>
            <w:r w:rsidR="00C156D4">
              <w:rPr>
                <w:rFonts w:ascii="Verdana" w:eastAsia="Arial" w:hAnsi="Verdana" w:cs="Arial"/>
                <w:bCs/>
                <w:lang w:eastAsia="es-ES" w:bidi="es-ES"/>
              </w:rPr>
              <w:t>en la ejecución de</w:t>
            </w:r>
            <w:r w:rsidR="00C156D4" w:rsidRPr="00EA3C1A">
              <w:rPr>
                <w:rFonts w:ascii="Verdana" w:eastAsia="Arial" w:hAnsi="Verdana" w:cs="Arial"/>
                <w:bCs/>
                <w:lang w:eastAsia="es-ES" w:bidi="es-ES"/>
              </w:rPr>
              <w:t xml:space="preserve"> </w:t>
            </w:r>
            <w:r w:rsidR="00C156D4">
              <w:rPr>
                <w:rFonts w:ascii="Verdana" w:eastAsia="Arial" w:hAnsi="Verdana" w:cs="Arial"/>
                <w:bCs/>
                <w:lang w:eastAsia="es-ES" w:bidi="es-ES"/>
              </w:rPr>
              <w:t xml:space="preserve">un contrato de </w:t>
            </w:r>
            <w:r w:rsidR="00C156D4" w:rsidRPr="00EA3C1A">
              <w:rPr>
                <w:rFonts w:ascii="Verdana" w:eastAsia="Arial" w:hAnsi="Verdana" w:cs="Arial"/>
                <w:bCs/>
                <w:lang w:eastAsia="es-ES" w:bidi="es-ES"/>
              </w:rPr>
              <w:t>obra</w:t>
            </w:r>
            <w:r w:rsidR="00C156D4">
              <w:rPr>
                <w:rFonts w:ascii="Verdana" w:eastAsia="Arial" w:hAnsi="Verdana" w:cs="Arial"/>
                <w:bCs/>
                <w:lang w:eastAsia="es-ES" w:bidi="es-ES"/>
              </w:rPr>
              <w:t>,</w:t>
            </w:r>
            <w:r w:rsidR="00C156D4" w:rsidRPr="00EA3C1A">
              <w:rPr>
                <w:rFonts w:ascii="Verdana" w:eastAsia="Arial" w:hAnsi="Verdana" w:cs="Arial"/>
                <w:bCs/>
                <w:lang w:eastAsia="es-ES" w:bidi="es-ES"/>
              </w:rPr>
              <w:t xml:space="preserve"> </w:t>
            </w:r>
            <w:r w:rsidR="00C156D4">
              <w:rPr>
                <w:rFonts w:ascii="Verdana" w:eastAsia="Arial" w:hAnsi="Verdana" w:cs="Arial"/>
                <w:bCs/>
                <w:lang w:eastAsia="es-ES" w:bidi="es-ES"/>
              </w:rPr>
              <w:t xml:space="preserve">respecto del supervisor del contrato del interventor de la obra, </w:t>
            </w:r>
            <w:r w:rsidR="00011E43">
              <w:rPr>
                <w:rFonts w:ascii="Verdana" w:eastAsia="Arial" w:hAnsi="Verdana" w:cs="Arial"/>
                <w:bCs/>
                <w:lang w:eastAsia="es-ES" w:bidi="es-ES"/>
              </w:rPr>
              <w:t>debe partir</w:t>
            </w:r>
            <w:r w:rsidR="00C156D4">
              <w:rPr>
                <w:rFonts w:ascii="Verdana" w:eastAsia="Arial" w:hAnsi="Verdana" w:cs="Arial"/>
                <w:bCs/>
                <w:lang w:eastAsia="es-ES" w:bidi="es-ES"/>
              </w:rPr>
              <w:t xml:space="preserve"> de un análisis especifico de los hechos, conforme a los establecido en los artículos 51 y 52 de la Ley 80 de 1993, y los prepuestos necesarios </w:t>
            </w:r>
            <w:r w:rsidR="0043131E">
              <w:rPr>
                <w:rFonts w:ascii="Verdana" w:eastAsia="Arial" w:hAnsi="Verdana" w:cs="Arial"/>
                <w:bCs/>
                <w:lang w:eastAsia="es-ES" w:bidi="es-ES"/>
              </w:rPr>
              <w:t>para configuración</w:t>
            </w:r>
            <w:r w:rsidR="00C156D4">
              <w:rPr>
                <w:rFonts w:ascii="Verdana" w:eastAsia="Arial" w:hAnsi="Verdana" w:cs="Arial"/>
                <w:bCs/>
                <w:lang w:eastAsia="es-ES" w:bidi="es-ES"/>
              </w:rPr>
              <w:t xml:space="preserve"> de responsabilidad en el régimen aplicable. </w:t>
            </w:r>
            <w:r w:rsidR="00011E43">
              <w:rPr>
                <w:rFonts w:ascii="Verdana" w:eastAsia="Arial" w:hAnsi="Verdana" w:cs="Arial"/>
                <w:bCs/>
                <w:lang w:eastAsia="es-ES" w:bidi="es-ES"/>
              </w:rPr>
              <w:t xml:space="preserve">Para el efecto, </w:t>
            </w:r>
            <w:r w:rsidR="00C156D4">
              <w:rPr>
                <w:rFonts w:ascii="Verdana" w:eastAsia="Arial" w:hAnsi="Verdana" w:cs="Arial"/>
                <w:bCs/>
                <w:lang w:eastAsia="es-ES" w:bidi="es-ES"/>
              </w:rPr>
              <w:t>la responsabilidad civil, penal o disciplinaria de los servidores</w:t>
            </w:r>
            <w:r w:rsidR="00011E43">
              <w:rPr>
                <w:rFonts w:ascii="Verdana" w:eastAsia="Arial" w:hAnsi="Verdana" w:cs="Arial"/>
                <w:bCs/>
                <w:lang w:eastAsia="es-ES" w:bidi="es-ES"/>
              </w:rPr>
              <w:t xml:space="preserve"> </w:t>
            </w:r>
            <w:r w:rsidR="0043131E">
              <w:rPr>
                <w:rFonts w:ascii="Verdana" w:eastAsia="Arial" w:hAnsi="Verdana" w:cs="Arial"/>
                <w:bCs/>
                <w:lang w:eastAsia="es-ES" w:bidi="es-ES"/>
              </w:rPr>
              <w:t>públicos</w:t>
            </w:r>
            <w:r w:rsidR="00C156D4">
              <w:rPr>
                <w:rFonts w:ascii="Verdana" w:eastAsia="Arial" w:hAnsi="Verdana" w:cs="Arial"/>
                <w:bCs/>
                <w:lang w:eastAsia="es-ES" w:bidi="es-ES"/>
              </w:rPr>
              <w:t xml:space="preserve"> </w:t>
            </w:r>
            <w:r w:rsidR="00011E43">
              <w:rPr>
                <w:rFonts w:ascii="Verdana" w:eastAsia="Arial" w:hAnsi="Verdana" w:cs="Arial"/>
                <w:bCs/>
                <w:lang w:eastAsia="es-ES" w:bidi="es-ES"/>
              </w:rPr>
              <w:t xml:space="preserve">o </w:t>
            </w:r>
            <w:r w:rsidR="00C156D4">
              <w:rPr>
                <w:rFonts w:ascii="Verdana" w:eastAsia="Arial" w:hAnsi="Verdana" w:cs="Arial"/>
                <w:bCs/>
                <w:lang w:eastAsia="es-ES" w:bidi="es-ES"/>
              </w:rPr>
              <w:t xml:space="preserve">contratistas </w:t>
            </w:r>
            <w:r w:rsidR="0043131E">
              <w:rPr>
                <w:rFonts w:ascii="Verdana" w:eastAsia="Arial" w:hAnsi="Verdana" w:cs="Arial"/>
                <w:bCs/>
                <w:lang w:eastAsia="es-ES" w:bidi="es-ES"/>
              </w:rPr>
              <w:t>deberá determinarse</w:t>
            </w:r>
            <w:r w:rsidR="00C156D4">
              <w:rPr>
                <w:rFonts w:ascii="Verdana" w:eastAsia="Arial" w:hAnsi="Verdana" w:cs="Arial"/>
                <w:bCs/>
                <w:lang w:eastAsia="es-ES" w:bidi="es-ES"/>
              </w:rPr>
              <w:t xml:space="preserve"> </w:t>
            </w:r>
            <w:r w:rsidR="0043131E">
              <w:rPr>
                <w:rFonts w:ascii="Verdana" w:eastAsia="Arial" w:hAnsi="Verdana" w:cs="Arial"/>
                <w:bCs/>
                <w:lang w:eastAsia="es-ES" w:bidi="es-ES"/>
              </w:rPr>
              <w:t xml:space="preserve">con base en </w:t>
            </w:r>
            <w:r w:rsidR="00C156D4">
              <w:rPr>
                <w:rFonts w:ascii="Verdana" w:eastAsia="Arial" w:hAnsi="Verdana" w:cs="Arial"/>
                <w:bCs/>
                <w:lang w:eastAsia="es-ES" w:bidi="es-ES"/>
              </w:rPr>
              <w:t>lo establecido</w:t>
            </w:r>
            <w:r w:rsidR="0043131E">
              <w:rPr>
                <w:rFonts w:ascii="Verdana" w:eastAsia="Arial" w:hAnsi="Verdana" w:cs="Arial"/>
                <w:bCs/>
                <w:lang w:eastAsia="es-ES" w:bidi="es-ES"/>
              </w:rPr>
              <w:t xml:space="preserve"> en los</w:t>
            </w:r>
            <w:r w:rsidR="00C156D4">
              <w:rPr>
                <w:rFonts w:ascii="Verdana" w:eastAsia="Arial" w:hAnsi="Verdana" w:cs="Arial"/>
                <w:bCs/>
                <w:lang w:eastAsia="es-ES" w:bidi="es-ES"/>
              </w:rPr>
              <w:t xml:space="preserve"> regímenes </w:t>
            </w:r>
            <w:r w:rsidR="0043131E">
              <w:rPr>
                <w:rFonts w:ascii="Verdana" w:eastAsia="Arial" w:hAnsi="Verdana" w:cs="Arial"/>
                <w:bCs/>
                <w:lang w:eastAsia="es-ES" w:bidi="es-ES"/>
              </w:rPr>
              <w:t>contenidos</w:t>
            </w:r>
            <w:r w:rsidR="00C156D4">
              <w:rPr>
                <w:rFonts w:ascii="Verdana" w:eastAsia="Arial" w:hAnsi="Verdana" w:cs="Arial"/>
                <w:bCs/>
                <w:lang w:eastAsia="es-ES" w:bidi="es-ES"/>
              </w:rPr>
              <w:t xml:space="preserve"> </w:t>
            </w:r>
            <w:r w:rsidR="0043131E">
              <w:rPr>
                <w:rFonts w:ascii="Verdana" w:eastAsia="Arial" w:hAnsi="Verdana" w:cs="Arial"/>
                <w:bCs/>
                <w:lang w:eastAsia="es-ES" w:bidi="es-ES"/>
              </w:rPr>
              <w:t>en</w:t>
            </w:r>
            <w:r w:rsidR="00C156D4">
              <w:rPr>
                <w:rFonts w:ascii="Verdana" w:eastAsia="Arial" w:hAnsi="Verdana" w:cs="Arial"/>
                <w:bCs/>
                <w:lang w:eastAsia="es-ES" w:bidi="es-ES"/>
              </w:rPr>
              <w:t xml:space="preserve"> normas como las leyes 610 de 2000, 678 de 2001, 1437 de 2011, 1952 de 2019, entre otras.   </w:t>
            </w:r>
          </w:p>
          <w:p w14:paraId="7198DB54" w14:textId="77777777" w:rsidR="003E6531" w:rsidRPr="00513645" w:rsidRDefault="003E6531" w:rsidP="003A4B72">
            <w:pPr>
              <w:spacing w:before="120" w:after="120" w:line="276" w:lineRule="auto"/>
              <w:ind w:firstLine="709"/>
              <w:jc w:val="both"/>
              <w:rPr>
                <w:rFonts w:ascii="Verdana" w:eastAsia="Arial" w:hAnsi="Verdana" w:cs="Arial"/>
                <w:bCs/>
                <w:lang w:eastAsia="es-ES" w:bidi="es-ES"/>
              </w:rPr>
            </w:pPr>
            <w:r w:rsidRPr="002867E9">
              <w:rPr>
                <w:rFonts w:ascii="Verdana" w:eastAsia="Calibri" w:hAnsi="Verdana" w:cs="Arial"/>
                <w:bCs/>
              </w:rPr>
              <w:t>Finalmente</w:t>
            </w:r>
            <w:r w:rsidRPr="002867E9">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2867E9">
              <w:rPr>
                <w:rFonts w:ascii="Verdana" w:hAnsi="Verdana"/>
              </w:rPr>
              <w:t xml:space="preserve"> </w:t>
            </w:r>
          </w:p>
        </w:tc>
      </w:tr>
    </w:tbl>
    <w:p w14:paraId="2E2EA3D1" w14:textId="77777777" w:rsidR="003E6531" w:rsidRPr="00C711F4" w:rsidRDefault="003E6531" w:rsidP="003E6531">
      <w:pPr>
        <w:tabs>
          <w:tab w:val="left" w:pos="142"/>
          <w:tab w:val="left" w:pos="284"/>
        </w:tabs>
        <w:spacing w:after="0" w:line="276" w:lineRule="auto"/>
        <w:jc w:val="both"/>
        <w:rPr>
          <w:rFonts w:ascii="Verdana" w:eastAsia="Century Gothic" w:hAnsi="Verdana" w:cs="Century Gothic"/>
          <w:b/>
          <w:bCs/>
          <w:lang w:val="es-ES"/>
        </w:rPr>
      </w:pPr>
    </w:p>
    <w:p w14:paraId="4E4F623D" w14:textId="77777777" w:rsidR="003E6531" w:rsidRPr="00C711F4" w:rsidRDefault="003E6531" w:rsidP="003E6531">
      <w:pPr>
        <w:tabs>
          <w:tab w:val="left" w:pos="142"/>
          <w:tab w:val="left" w:pos="284"/>
        </w:tabs>
        <w:spacing w:after="0" w:line="276" w:lineRule="auto"/>
        <w:jc w:val="both"/>
        <w:rPr>
          <w:rFonts w:ascii="Verdana" w:eastAsia="Century Gothic" w:hAnsi="Verdana" w:cs="Century Gothic"/>
          <w:b/>
          <w:lang w:val="es-ES"/>
        </w:rPr>
      </w:pPr>
      <w:r w:rsidRPr="00C711F4">
        <w:rPr>
          <w:rFonts w:ascii="Verdana" w:eastAsia="Century Gothic" w:hAnsi="Verdana" w:cs="Century Gothic"/>
          <w:b/>
          <w:lang w:val="es-ES"/>
        </w:rPr>
        <w:t>3. Razones de la respuesta:</w:t>
      </w:r>
    </w:p>
    <w:p w14:paraId="5678ABC7" w14:textId="77777777" w:rsidR="003E6531" w:rsidRPr="00C711F4" w:rsidRDefault="003E6531" w:rsidP="003E6531">
      <w:pPr>
        <w:tabs>
          <w:tab w:val="left" w:pos="142"/>
          <w:tab w:val="left" w:pos="284"/>
        </w:tabs>
        <w:spacing w:after="0" w:line="276" w:lineRule="auto"/>
        <w:jc w:val="both"/>
        <w:rPr>
          <w:rFonts w:ascii="Verdana" w:eastAsia="Century Gothic" w:hAnsi="Verdana" w:cs="Century Gothic"/>
          <w:b/>
          <w:lang w:val="es-ES"/>
        </w:rPr>
      </w:pPr>
    </w:p>
    <w:p w14:paraId="6E62E787" w14:textId="77777777" w:rsidR="003E6531" w:rsidRPr="00C711F4" w:rsidRDefault="003E6531" w:rsidP="003E6531">
      <w:pPr>
        <w:spacing w:after="0" w:line="276" w:lineRule="auto"/>
        <w:jc w:val="both"/>
        <w:rPr>
          <w:rFonts w:ascii="Verdana" w:eastAsia="Calibri" w:hAnsi="Verdana" w:cs="Arial"/>
          <w:lang w:val="es-ES"/>
        </w:rPr>
      </w:pPr>
      <w:r w:rsidRPr="00C711F4">
        <w:rPr>
          <w:rFonts w:ascii="Verdana" w:eastAsia="Calibri" w:hAnsi="Verdana" w:cs="Arial"/>
          <w:lang w:val="es-ES"/>
        </w:rPr>
        <w:t>Lo anterior se sustenta en las siguientes consideraciones:</w:t>
      </w:r>
    </w:p>
    <w:p w14:paraId="63591802" w14:textId="77777777" w:rsidR="003E6531" w:rsidRPr="0071555A" w:rsidRDefault="003E6531" w:rsidP="003E6531">
      <w:pPr>
        <w:spacing w:after="0" w:line="276" w:lineRule="auto"/>
        <w:jc w:val="both"/>
        <w:rPr>
          <w:rFonts w:ascii="Verdana" w:eastAsia="Calibri" w:hAnsi="Verdana" w:cs="Arial"/>
          <w:color w:val="ED7D31" w:themeColor="accent2"/>
          <w:lang w:val="es-ES"/>
        </w:rPr>
      </w:pPr>
    </w:p>
    <w:p w14:paraId="292CE0C9" w14:textId="77777777" w:rsidR="008D0D7C" w:rsidRPr="00C17B3E" w:rsidRDefault="003E6531" w:rsidP="00C17B3E">
      <w:pPr>
        <w:spacing w:after="120" w:line="276" w:lineRule="auto"/>
        <w:jc w:val="both"/>
        <w:rPr>
          <w:rFonts w:ascii="Verdana" w:eastAsia="Calibri" w:hAnsi="Verdana" w:cs="Arial"/>
        </w:rPr>
      </w:pPr>
      <w:r w:rsidRPr="009C156D">
        <w:rPr>
          <w:rFonts w:ascii="Verdana" w:eastAsia="Calibri" w:hAnsi="Verdana" w:cs="Arial"/>
          <w:bCs/>
          <w:lang w:eastAsia="es-ES_tradnl"/>
        </w:rPr>
        <w:t xml:space="preserve">i. </w:t>
      </w:r>
      <w:r w:rsidR="008D0D7C" w:rsidRPr="00C17B3E">
        <w:rPr>
          <w:rFonts w:ascii="Verdana" w:eastAsia="Calibri" w:hAnsi="Verdana" w:cs="Arial"/>
        </w:rPr>
        <w:t>El artículo 11 de la Ley 80 de 1993 define la competencia para dirigir procesos de selección y suscribir contratos, centralizándola en determinadas autoridades. Ahora bien, de acuerdo con el numeral 9 del artículo 25 de la Ley 80 de 1993, «los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w:t>
      </w:r>
      <w:r w:rsidR="008D0D7C" w:rsidRPr="00C17B3E">
        <w:rPr>
          <w:rFonts w:ascii="Verdana" w:eastAsia="Calibri" w:hAnsi="Verdana" w:cs="Arial"/>
          <w:bCs/>
          <w:color w:val="000000" w:themeColor="text1"/>
          <w:sz w:val="21"/>
          <w:szCs w:val="21"/>
          <w:lang w:val="es-ES_tradnl"/>
        </w:rPr>
        <w:t>»</w:t>
      </w:r>
      <w:r w:rsidR="008D0D7C" w:rsidRPr="00C17B3E">
        <w:rPr>
          <w:rFonts w:ascii="Verdana" w:eastAsia="Calibri" w:hAnsi="Verdana" w:cs="Arial"/>
        </w:rPr>
        <w:t xml:space="preserve">. Asimismo, el artículo 25, en el numeral 9 de la misma Ley establece que «en los procesos de contratación </w:t>
      </w:r>
      <w:r w:rsidR="008D0D7C" w:rsidRPr="00C17B3E">
        <w:rPr>
          <w:rFonts w:ascii="Verdana" w:eastAsia="Calibri" w:hAnsi="Verdana" w:cs="Arial"/>
        </w:rPr>
        <w:lastRenderedPageBreak/>
        <w:t>intervendrán el jefe y las unidades asesoras y ejecutoras de la entidad que se señalen en las correspondientes normas sobre su organización y funcionamiento</w:t>
      </w:r>
      <w:r w:rsidR="008D0D7C" w:rsidRPr="00C17B3E">
        <w:rPr>
          <w:rFonts w:ascii="Verdana" w:eastAsia="Calibri" w:hAnsi="Verdana" w:cs="Arial"/>
          <w:bCs/>
          <w:color w:val="000000" w:themeColor="text1"/>
          <w:sz w:val="21"/>
          <w:szCs w:val="21"/>
          <w:lang w:val="es-ES_tradnl"/>
        </w:rPr>
        <w:t>»</w:t>
      </w:r>
      <w:r w:rsidR="008D0D7C" w:rsidRPr="00C17B3E">
        <w:rPr>
          <w:rFonts w:ascii="Verdana" w:eastAsia="Calibri" w:hAnsi="Verdana" w:cs="Arial"/>
        </w:rPr>
        <w:t>.</w:t>
      </w:r>
    </w:p>
    <w:p w14:paraId="39B85A0F" w14:textId="77777777" w:rsidR="008D0D7C" w:rsidRPr="00C17B3E" w:rsidRDefault="008D0D7C" w:rsidP="008D0D7C">
      <w:pPr>
        <w:spacing w:after="120" w:line="276" w:lineRule="auto"/>
        <w:ind w:firstLine="709"/>
        <w:jc w:val="both"/>
        <w:rPr>
          <w:rFonts w:ascii="Verdana" w:eastAsia="Calibri" w:hAnsi="Verdana" w:cs="Arial"/>
        </w:rPr>
      </w:pPr>
      <w:r w:rsidRPr="00C17B3E">
        <w:rPr>
          <w:rFonts w:ascii="Verdana" w:eastAsia="Calibri" w:hAnsi="Verdana" w:cs="Arial"/>
        </w:rPr>
        <w:t>En este sentido, quienes tienen la competencia y son responsables de la actividad contractual de las entidades estatales son el jefe y los representantes legales de las mismas, sin perjuicio de la intervención de las unidades asesoras y ejecutoras de la entidad que se señalen en las correspondientes normas sobre su organización y funcionamiento. En consecuencia, quien tiene la competencia y responsabilidad para tramitar, celebrar y liquidar un contrato, es el jefe o representante legal de la entidad, o quien este delegue. La Ley 80 de 1993, en el artículo 12, regula la delegación para contratar y, además, indica que es posible desconcentrar la realización de los procesos contractuales de las entidades, lo cual es función de los jefes o representantes legales de las entidades enunciadas en el artículo 2 de la Ley 80 de 1993, el cual define el concepto de entidad estatal para efectos de la misma norma, quienes pueden delegar esa función en los empleos públicos cuyo nivel jerárquico dentro de la entidad sea directivo, ejecutivo o equivalentes</w:t>
      </w:r>
      <w:r w:rsidRPr="00C17B3E">
        <w:rPr>
          <w:rStyle w:val="Refdenotaalpie"/>
          <w:rFonts w:ascii="Verdana" w:eastAsia="Calibri" w:hAnsi="Verdana" w:cs="Arial"/>
        </w:rPr>
        <w:footnoteReference w:id="1"/>
      </w:r>
      <w:r w:rsidRPr="00C17B3E">
        <w:rPr>
          <w:rFonts w:ascii="Verdana" w:eastAsia="Calibri" w:hAnsi="Verdana" w:cs="Arial"/>
        </w:rPr>
        <w:t xml:space="preserve">. </w:t>
      </w:r>
    </w:p>
    <w:p w14:paraId="7063BF86" w14:textId="77777777" w:rsidR="008D0D7C" w:rsidRPr="00C17B3E" w:rsidRDefault="008D0D7C" w:rsidP="008D0D7C">
      <w:pPr>
        <w:spacing w:after="120" w:line="276" w:lineRule="auto"/>
        <w:ind w:firstLine="709"/>
        <w:jc w:val="both"/>
        <w:rPr>
          <w:rFonts w:ascii="Verdana" w:eastAsia="Calibri" w:hAnsi="Verdana" w:cs="Arial"/>
        </w:rPr>
      </w:pPr>
      <w:r w:rsidRPr="00C17B3E">
        <w:rPr>
          <w:rFonts w:ascii="Verdana" w:eastAsia="Calibri" w:hAnsi="Verdana" w:cs="Arial"/>
        </w:rPr>
        <w:t xml:space="preserve">Por ello, dado que, además de la actividad contractual, los representantes legales de las entidades cumplen con una multiplicidad de funciones diferentes, el ordenamiento jurídico dispone técnicas de organización administrativa que permiten el reparto de las tareas asignadas con miras a su cumplimiento eficaz y eficiente, razón por la cual, el artículo 209 de la Constitución Política dispone </w:t>
      </w:r>
      <w:r w:rsidRPr="00C17B3E">
        <w:rPr>
          <w:rFonts w:ascii="Verdana" w:eastAsia="Calibri" w:hAnsi="Verdana" w:cs="Arial"/>
        </w:rPr>
        <w:lastRenderedPageBreak/>
        <w:t>que la función administrativa se desarrolla mediante la descentralización, la delegación y la desconcentración de funciones.</w:t>
      </w:r>
    </w:p>
    <w:p w14:paraId="3DB75BDC" w14:textId="77777777" w:rsidR="008D0D7C" w:rsidRPr="00C17B3E" w:rsidRDefault="008D0D7C" w:rsidP="008D0D7C">
      <w:pPr>
        <w:spacing w:before="120" w:line="276" w:lineRule="auto"/>
        <w:ind w:firstLine="708"/>
        <w:jc w:val="both"/>
        <w:rPr>
          <w:rFonts w:ascii="Verdana" w:eastAsia="Calibri" w:hAnsi="Verdana" w:cs="Arial"/>
          <w:lang w:val="es-ES_tradnl"/>
        </w:rPr>
      </w:pPr>
      <w:r w:rsidRPr="00C17B3E">
        <w:rPr>
          <w:rFonts w:ascii="Verdana" w:eastAsia="Calibri" w:hAnsi="Verdana" w:cs="Arial"/>
        </w:rPr>
        <w:t xml:space="preserve">En cuanto a la delegación, se tiene que es </w:t>
      </w:r>
      <w:r w:rsidRPr="00C17B3E">
        <w:rPr>
          <w:rFonts w:ascii="Verdana" w:eastAsia="Calibri" w:hAnsi="Verdana" w:cs="Arial"/>
          <w:lang w:val="es-ES_tradnl"/>
        </w:rPr>
        <w:t>una técnica organizacional que implica una actuación administrativa mediante la cual el titular de una función –delegante–, previa autorización expresa por parte del órgano que asignó originariamente la competencia, le otorga voluntaria y formalmente a una autoridad que ejerce un cargo subordinado –delegatario–, para que asuma una o varias de las atribuciones del primero</w:t>
      </w:r>
      <w:r w:rsidRPr="00C17B3E">
        <w:rPr>
          <w:rFonts w:ascii="Verdana" w:eastAsia="Calibri" w:hAnsi="Verdana" w:cs="Arial"/>
          <w:vertAlign w:val="superscript"/>
          <w:lang w:val="es-ES_tradnl"/>
        </w:rPr>
        <w:footnoteReference w:id="2"/>
      </w:r>
      <w:r w:rsidRPr="00C17B3E">
        <w:rPr>
          <w:rFonts w:ascii="Verdana" w:eastAsia="Calibri" w:hAnsi="Verdana" w:cs="Arial"/>
          <w:lang w:val="es-ES_tradnl"/>
        </w:rPr>
        <w:t xml:space="preserve">.  </w:t>
      </w:r>
    </w:p>
    <w:p w14:paraId="3E4BDB37" w14:textId="77777777" w:rsidR="008D0D7C" w:rsidRPr="00C17B3E" w:rsidRDefault="008D0D7C" w:rsidP="008D0D7C">
      <w:pPr>
        <w:spacing w:before="120" w:line="276" w:lineRule="auto"/>
        <w:jc w:val="both"/>
        <w:rPr>
          <w:rFonts w:ascii="Verdana" w:eastAsia="Calibri" w:hAnsi="Verdana" w:cs="Arial"/>
          <w:lang w:val="es-ES_tradnl"/>
        </w:rPr>
      </w:pPr>
      <w:r w:rsidRPr="00C17B3E">
        <w:rPr>
          <w:rFonts w:ascii="Verdana" w:eastAsia="Calibri" w:hAnsi="Verdana" w:cs="Arial"/>
          <w:lang w:val="es-ES_tradnl"/>
        </w:rPr>
        <w:tab/>
        <w:t xml:space="preserve">Como se observa, la facultad se limitó a la celebración de contratos, dejando dudas sobre la posibilidad de delegar la firma del acto de adjudicación; motivo por el cual, el artículo 37 del Decreto-Ley 2150 de 1995 amplió las materias delegables al disponer que «Los jefes y los representantes legales de las entidades estatales podrán delegar total o parcialmente la competencia para la realización de licitaciones o para la celebración de contratos, sin consideración a la naturaleza o cuantía de los mismos, en los servidores públicos que desempeñen cargos del nivel directivo o ejecutivo o en sus equivalentes».    </w:t>
      </w:r>
    </w:p>
    <w:p w14:paraId="7F25B414" w14:textId="77777777" w:rsidR="008D0D7C" w:rsidRPr="00C17B3E" w:rsidRDefault="008D0D7C" w:rsidP="008D0D7C">
      <w:pPr>
        <w:spacing w:before="120" w:line="276" w:lineRule="auto"/>
        <w:ind w:firstLine="708"/>
        <w:jc w:val="both"/>
        <w:rPr>
          <w:rFonts w:ascii="Verdana" w:eastAsia="Calibri" w:hAnsi="Verdana" w:cs="Arial"/>
          <w:lang w:val="es-ES_tradnl"/>
        </w:rPr>
      </w:pPr>
      <w:r w:rsidRPr="00C17B3E">
        <w:rPr>
          <w:rFonts w:ascii="Verdana" w:eastAsia="Calibri" w:hAnsi="Verdana" w:cs="Arial"/>
          <w:lang w:val="es-ES_tradnl"/>
        </w:rPr>
        <w:t xml:space="preserve">Así mismo, el artículo 9 de la Ley 489 de 1998 permite la delegación en funcionarios públicos del nivel directivo y asesor vinculados al órgano correspondiente. En todo caso, esta última ley exige un acto administrativo donde se determine la autoridad delegataria y las funciones específicas que se transfiere el delegante, sin perjuicio de que este último se informe sobre el desarrollo de la delegación e imparta orientaciones generales para el ejercicio de las funciones delegadas –art. 10–. Además, se supedita a que no se confiera para expedir reglamentos –salvo excepciones legales–, subdelegar o transferir funciones que por su naturaleza o por mandato constitucional o legal son indelegables –art. 11–. Finalmente, los actos proferidos por el delegatario deben cumplir los mismos requisitos establecidos para su expedición por el delegante y procederán los recursos que serían susceptibles si los expidiera este, reiterando el régimen de responsabilidad y recuperación de la competencia previsto en el artículo 211 constitucional –art. 12–.  </w:t>
      </w:r>
    </w:p>
    <w:p w14:paraId="647A6111" w14:textId="099F64E0" w:rsidR="008D0D7C" w:rsidRPr="00C17B3E" w:rsidRDefault="008D0D7C" w:rsidP="008D0D7C">
      <w:pPr>
        <w:spacing w:before="120" w:line="276" w:lineRule="auto"/>
        <w:ind w:firstLine="708"/>
        <w:jc w:val="both"/>
        <w:rPr>
          <w:rFonts w:ascii="Verdana" w:eastAsia="Calibri" w:hAnsi="Verdana" w:cs="Arial"/>
          <w:lang w:val="es-ES_tradnl"/>
        </w:rPr>
      </w:pPr>
      <w:r w:rsidRPr="00C17B3E">
        <w:rPr>
          <w:rFonts w:ascii="Verdana" w:eastAsia="Calibri" w:hAnsi="Verdana" w:cs="Arial"/>
          <w:lang w:val="es-ES_tradnl"/>
        </w:rPr>
        <w:t xml:space="preserve">Sin embargo, la delegación en materia contractual es más estricta con la expedición de la Ley 1150 de 2007, pues esta ley adicionó el segundo inciso al </w:t>
      </w:r>
      <w:r w:rsidRPr="00C17B3E">
        <w:rPr>
          <w:rFonts w:ascii="Verdana" w:eastAsia="Calibri" w:hAnsi="Verdana" w:cs="Arial"/>
          <w:lang w:val="es-ES_tradnl"/>
        </w:rPr>
        <w:lastRenderedPageBreak/>
        <w:t xml:space="preserve">artículo 12 de la Ley 80 de 1993 que dispuso: </w:t>
      </w:r>
      <w:r w:rsidR="009C156D">
        <w:rPr>
          <w:rFonts w:ascii="Verdana" w:eastAsia="Calibri" w:hAnsi="Verdana" w:cs="Arial"/>
          <w:lang w:val="es-ES_tradnl"/>
        </w:rPr>
        <w:t>“</w:t>
      </w:r>
      <w:r w:rsidRPr="00C17B3E">
        <w:rPr>
          <w:rFonts w:ascii="Verdana" w:eastAsia="Calibri" w:hAnsi="Verdana" w:cs="Arial"/>
          <w:lang w:val="es-ES_tradnl"/>
        </w:rPr>
        <w:t>En ningún caso, los jefes y representantes legales de las entidades estatales quedarán exonerados por virtud de la delegación de sus deberes de control y vigilancia de la actividad precontractual y contractual</w:t>
      </w:r>
      <w:r w:rsidR="009C156D">
        <w:rPr>
          <w:rFonts w:ascii="Verdana" w:eastAsia="Calibri" w:hAnsi="Verdana" w:cs="Arial"/>
          <w:lang w:val="es-ES_tradnl"/>
        </w:rPr>
        <w:t>”</w:t>
      </w:r>
      <w:r w:rsidRPr="00C17B3E">
        <w:rPr>
          <w:rFonts w:ascii="Verdana" w:eastAsia="Calibri" w:hAnsi="Verdana" w:cs="Arial"/>
          <w:lang w:val="es-ES_tradnl"/>
        </w:rPr>
        <w:t>. Dicha disposición cambió el régimen de responsabilidad del delegante previsto en el precitado inciso segundo del artículo 211 superior. Por ello, la Corte Constitucional –retomando la línea jurisprudencial de la Sentencia C-</w:t>
      </w:r>
      <w:bookmarkStart w:id="2" w:name="_Hlk37168691"/>
      <w:r w:rsidRPr="00C17B3E">
        <w:rPr>
          <w:rFonts w:ascii="Verdana" w:eastAsia="Calibri" w:hAnsi="Verdana" w:cs="Arial"/>
          <w:lang w:val="es-ES_tradnl"/>
        </w:rPr>
        <w:t>372 de 2002</w:t>
      </w:r>
      <w:bookmarkEnd w:id="2"/>
      <w:r w:rsidRPr="00C17B3E">
        <w:rPr>
          <w:rFonts w:ascii="Verdana" w:eastAsia="Calibri" w:hAnsi="Verdana" w:cs="Arial"/>
          <w:lang w:val="es-ES_tradnl"/>
        </w:rPr>
        <w:t>– declaró que este inciso es condicionalmente exequible, en el entendido de que el delegante solo responde por la ausencia de control y vigilancia siempre que medie dolo o culpa grave</w:t>
      </w:r>
      <w:r w:rsidRPr="00C17B3E">
        <w:rPr>
          <w:rFonts w:ascii="Verdana" w:eastAsia="Calibri" w:hAnsi="Verdana" w:cs="Arial"/>
          <w:vertAlign w:val="superscript"/>
          <w:lang w:val="es-ES_tradnl"/>
        </w:rPr>
        <w:footnoteReference w:id="3"/>
      </w:r>
      <w:r w:rsidRPr="00C17B3E">
        <w:rPr>
          <w:rFonts w:ascii="Verdana" w:eastAsia="Calibri" w:hAnsi="Verdana" w:cs="Arial"/>
          <w:lang w:val="es-ES_tradnl"/>
        </w:rPr>
        <w:t xml:space="preserve">. Lo anterior, en la medida que: </w:t>
      </w:r>
    </w:p>
    <w:p w14:paraId="5B19E176" w14:textId="5030A58F" w:rsidR="008D0D7C" w:rsidRDefault="009C156D" w:rsidP="009C156D">
      <w:pPr>
        <w:spacing w:after="0"/>
        <w:ind w:left="709" w:right="709"/>
        <w:jc w:val="both"/>
        <w:rPr>
          <w:rFonts w:ascii="Verdana" w:eastAsia="Calibri" w:hAnsi="Verdana" w:cs="Arial"/>
          <w:sz w:val="20"/>
          <w:szCs w:val="20"/>
          <w:lang w:val="es-ES_tradnl"/>
        </w:rPr>
      </w:pPr>
      <w:r w:rsidRPr="00C17B3E">
        <w:rPr>
          <w:rFonts w:ascii="Verdana" w:eastAsia="Calibri" w:hAnsi="Verdana" w:cs="Arial"/>
          <w:sz w:val="20"/>
          <w:szCs w:val="20"/>
          <w:lang w:val="es-ES_tradnl"/>
        </w:rPr>
        <w:t>“</w:t>
      </w:r>
      <w:r w:rsidR="008D0D7C" w:rsidRPr="00C17B3E">
        <w:rPr>
          <w:rFonts w:ascii="Verdana" w:eastAsia="Calibri" w:hAnsi="Verdana" w:cs="Arial"/>
          <w:sz w:val="20"/>
          <w:szCs w:val="20"/>
          <w:lang w:val="es-ES_tradnl"/>
        </w:rPr>
        <w:t>La delegación no es un mecanismo para desprenderse del cumplimiento de las funciones del cargo y menos aún para utilizarse con fines contrarios a los principios que rigen la función administrativa como la moralidad, la eficacia, la igualdad o la imparcialidad (C.P., art. 209). Tampoco es admisible el extremo opuesto según el cual el delegante responderá siempre por las actuaciones del delegatario, por cuanto se abandonaría el principio de responsabilidad subjetiva de los servidores públicos, de tal manera que inexorablemente respondan por las decisiones de otros. Por lo tanto, para determinar la responsabilidad del delegante no es suficiente el artículo 211 de la Carta Política y será necesario considerar otros principios constitucionales sobre la materia</w:t>
      </w:r>
      <w:r w:rsidRPr="00C17B3E">
        <w:rPr>
          <w:rFonts w:ascii="Verdana" w:eastAsia="Calibri" w:hAnsi="Verdana" w:cs="Arial"/>
          <w:sz w:val="20"/>
          <w:szCs w:val="20"/>
          <w:lang w:val="es-ES_tradnl"/>
        </w:rPr>
        <w:t>”</w:t>
      </w:r>
      <w:r w:rsidR="008D0D7C" w:rsidRPr="00C17B3E">
        <w:rPr>
          <w:rFonts w:ascii="Verdana" w:eastAsia="Calibri" w:hAnsi="Verdana" w:cs="Arial"/>
          <w:sz w:val="20"/>
          <w:szCs w:val="20"/>
          <w:vertAlign w:val="superscript"/>
          <w:lang w:val="es-ES_tradnl"/>
        </w:rPr>
        <w:footnoteReference w:id="4"/>
      </w:r>
      <w:r w:rsidR="008D0D7C" w:rsidRPr="00C17B3E">
        <w:rPr>
          <w:rFonts w:ascii="Verdana" w:eastAsia="Calibri" w:hAnsi="Verdana" w:cs="Arial"/>
          <w:sz w:val="20"/>
          <w:szCs w:val="20"/>
          <w:lang w:val="es-ES_tradnl"/>
        </w:rPr>
        <w:t xml:space="preserve">.   </w:t>
      </w:r>
    </w:p>
    <w:p w14:paraId="03E1FB58" w14:textId="77777777" w:rsidR="009C156D" w:rsidRPr="00C17B3E" w:rsidRDefault="009C156D" w:rsidP="00C17B3E">
      <w:pPr>
        <w:spacing w:after="0"/>
        <w:ind w:left="709" w:right="709"/>
        <w:jc w:val="both"/>
        <w:rPr>
          <w:rFonts w:ascii="Verdana" w:eastAsia="Calibri" w:hAnsi="Verdana" w:cs="Arial"/>
          <w:sz w:val="20"/>
          <w:szCs w:val="20"/>
          <w:lang w:val="es-ES_tradnl"/>
        </w:rPr>
      </w:pPr>
    </w:p>
    <w:p w14:paraId="00763011" w14:textId="77777777" w:rsidR="008D0D7C" w:rsidRPr="00C17B3E" w:rsidRDefault="008D0D7C" w:rsidP="00C17B3E">
      <w:pPr>
        <w:spacing w:line="276" w:lineRule="auto"/>
        <w:ind w:firstLine="709"/>
        <w:jc w:val="both"/>
        <w:rPr>
          <w:rFonts w:ascii="Verdana" w:eastAsia="Calibri" w:hAnsi="Verdana" w:cs="Arial"/>
          <w:lang w:val="es-ES_tradnl"/>
        </w:rPr>
      </w:pPr>
      <w:bookmarkStart w:id="3" w:name="_Hlk37183512"/>
      <w:bookmarkStart w:id="4" w:name="_Hlk35876968"/>
      <w:r w:rsidRPr="00C17B3E">
        <w:rPr>
          <w:rFonts w:ascii="Verdana" w:eastAsia="Calibri" w:hAnsi="Verdana" w:cs="Arial"/>
          <w:lang w:val="es-ES_tradnl"/>
        </w:rPr>
        <w:t xml:space="preserve">Por otro lado, al igual que la delegación, el artículo 209 de la Constitución Política de 1991 autoriza la desconcentración como técnica organizacional que atempera el rigor de la centralización. Prevista en el inciso primero del artículo 12 de la Ley 80 de 1993, permite que los representantes legales de las entidades estatales desconcentren el trámite de los procesos de selección en los funcionarios que, dentro de la entidad, ostenten cargos directivos o ejecutivos. </w:t>
      </w:r>
    </w:p>
    <w:p w14:paraId="511EA576" w14:textId="1FA8E996" w:rsidR="008D0D7C" w:rsidRPr="00C17B3E" w:rsidRDefault="008D0D7C" w:rsidP="008D0D7C">
      <w:pPr>
        <w:spacing w:before="120" w:line="276" w:lineRule="auto"/>
        <w:ind w:firstLine="708"/>
        <w:jc w:val="both"/>
        <w:rPr>
          <w:rFonts w:ascii="Verdana" w:eastAsia="Calibri" w:hAnsi="Verdana" w:cs="Arial"/>
          <w:lang w:val="es-ES_tradnl"/>
        </w:rPr>
      </w:pPr>
      <w:r w:rsidRPr="00C17B3E">
        <w:rPr>
          <w:rFonts w:ascii="Verdana" w:eastAsia="Calibri" w:hAnsi="Verdana" w:cs="Arial"/>
          <w:lang w:val="es-ES_tradnl"/>
        </w:rPr>
        <w:t xml:space="preserve">Para estos efectos, la doctrina la define como </w:t>
      </w:r>
      <w:r w:rsidR="009C156D">
        <w:rPr>
          <w:rFonts w:ascii="Verdana" w:eastAsia="Calibri" w:hAnsi="Verdana" w:cs="Arial"/>
          <w:lang w:val="es-ES_tradnl"/>
        </w:rPr>
        <w:t>“</w:t>
      </w:r>
      <w:r w:rsidRPr="00C17B3E">
        <w:rPr>
          <w:rFonts w:ascii="Verdana" w:eastAsia="Calibri" w:hAnsi="Verdana" w:cs="Arial"/>
          <w:lang w:val="es-ES_tradnl"/>
        </w:rPr>
        <w:t xml:space="preserve">[…] el proceso a través del cual las funciones de una entidad u organismo son distribuidas en diferentes áreas; funcionales o unidades territoriales, las cuales cuentan generalmente con una estructura administrativa, y cuyo fin último es, al igual que la </w:t>
      </w:r>
      <w:r w:rsidRPr="00C17B3E">
        <w:rPr>
          <w:rFonts w:ascii="Verdana" w:eastAsia="Calibri" w:hAnsi="Verdana" w:cs="Arial"/>
          <w:lang w:val="es-ES_tradnl"/>
        </w:rPr>
        <w:lastRenderedPageBreak/>
        <w:t>descentralización y la delegación, garantizar los fines esenciales del Estado</w:t>
      </w:r>
      <w:r w:rsidR="009C156D">
        <w:rPr>
          <w:rFonts w:ascii="Verdana" w:eastAsia="Calibri" w:hAnsi="Verdana" w:cs="Arial"/>
          <w:lang w:val="es-ES_tradnl"/>
        </w:rPr>
        <w:t>”</w:t>
      </w:r>
      <w:r w:rsidRPr="00C17B3E">
        <w:rPr>
          <w:rFonts w:ascii="Verdana" w:eastAsia="Calibri" w:hAnsi="Verdana" w:cs="Arial"/>
          <w:vertAlign w:val="superscript"/>
          <w:lang w:val="es-ES_tradnl"/>
        </w:rPr>
        <w:footnoteReference w:id="5"/>
      </w:r>
      <w:r w:rsidRPr="00C17B3E">
        <w:rPr>
          <w:rFonts w:ascii="Verdana" w:eastAsia="Calibri" w:hAnsi="Verdana" w:cs="Arial"/>
          <w:lang w:val="es-ES_tradnl"/>
        </w:rPr>
        <w:t>. En otras palabras, se trata de una atribución que tiene el superior jerárquico para repartir algunas competencias entre los subalternos, sin que esto les otorgue autonomía en el cumplimiento de sus funciones; razón por la cual, implica una adecuada distribución del trabajo en la que el titular de las funciones conserva la dirección y el control de las tareas asignadas</w:t>
      </w:r>
      <w:bookmarkEnd w:id="3"/>
      <w:r w:rsidRPr="00C17B3E">
        <w:rPr>
          <w:rFonts w:ascii="Verdana" w:eastAsia="Calibri" w:hAnsi="Verdana" w:cs="Arial"/>
          <w:vertAlign w:val="superscript"/>
          <w:lang w:val="es-ES_tradnl"/>
        </w:rPr>
        <w:footnoteReference w:id="6"/>
      </w:r>
      <w:r w:rsidRPr="00C17B3E">
        <w:rPr>
          <w:rFonts w:ascii="Verdana" w:eastAsia="Calibri" w:hAnsi="Verdana" w:cs="Arial"/>
          <w:lang w:val="es-ES_tradnl"/>
        </w:rPr>
        <w:t>. Por ello, el artículo 8 de la Ley 489 de 1998 dispone lo siguiente:</w:t>
      </w:r>
    </w:p>
    <w:p w14:paraId="69CB8C54" w14:textId="5E0BBE56" w:rsidR="008D0D7C" w:rsidRPr="00C17B3E" w:rsidRDefault="009C156D" w:rsidP="008D0D7C">
      <w:pPr>
        <w:ind w:left="709" w:right="709"/>
        <w:jc w:val="both"/>
        <w:rPr>
          <w:rFonts w:ascii="Verdana" w:eastAsia="Calibri" w:hAnsi="Verdana" w:cs="Arial"/>
          <w:sz w:val="21"/>
          <w:szCs w:val="21"/>
          <w:lang w:val="es-ES_tradnl"/>
        </w:rPr>
      </w:pPr>
      <w:r w:rsidRPr="00C17B3E">
        <w:rPr>
          <w:rFonts w:ascii="Verdana" w:eastAsia="Calibri" w:hAnsi="Verdana" w:cs="Arial"/>
          <w:sz w:val="21"/>
          <w:szCs w:val="21"/>
          <w:lang w:val="es-ES_tradnl"/>
        </w:rPr>
        <w:t>“</w:t>
      </w:r>
      <w:r w:rsidR="008D0D7C" w:rsidRPr="00C17B3E">
        <w:rPr>
          <w:rFonts w:ascii="Verdana" w:eastAsia="Calibri" w:hAnsi="Verdana" w:cs="Arial"/>
          <w:sz w:val="21"/>
          <w:szCs w:val="21"/>
          <w:lang w:val="es-ES_tradnl"/>
        </w:rPr>
        <w:t>La desconcentración es la radicación de competencias y funciones en dependencias ubicadas fuera de la sede principal del organismo o entidad administrativa, sin perjuicio de las potestades y deberes de orientación e instrucción que corresponde ejercer a los jefes superiores de la Administración, la cual no implica delegación y podrá hacerse por territorio y por funciones.</w:t>
      </w:r>
    </w:p>
    <w:p w14:paraId="40D35280" w14:textId="77777777" w:rsidR="008D0D7C" w:rsidRPr="00C17B3E" w:rsidRDefault="008D0D7C" w:rsidP="008D0D7C">
      <w:pPr>
        <w:spacing w:before="120"/>
        <w:ind w:left="709" w:right="709"/>
        <w:jc w:val="both"/>
        <w:rPr>
          <w:rFonts w:ascii="Verdana" w:eastAsia="Calibri" w:hAnsi="Verdana" w:cs="Arial"/>
          <w:sz w:val="21"/>
          <w:szCs w:val="21"/>
          <w:lang w:val="es-ES_tradnl"/>
        </w:rPr>
      </w:pPr>
      <w:r w:rsidRPr="00C17B3E">
        <w:rPr>
          <w:rFonts w:ascii="Verdana" w:eastAsia="Calibri" w:hAnsi="Verdana" w:cs="Arial"/>
          <w:sz w:val="21"/>
          <w:szCs w:val="21"/>
          <w:lang w:val="es-ES_tradnl"/>
        </w:rPr>
        <w:t>Parágrafo. En el acto correspondiente se determinarán los medios necesarios para su adecuado cumplimiento.</w:t>
      </w:r>
    </w:p>
    <w:p w14:paraId="4C8D9A5B" w14:textId="105AE0FB" w:rsidR="008D0D7C" w:rsidRPr="00C17B3E" w:rsidRDefault="008D0D7C" w:rsidP="00C17B3E">
      <w:pPr>
        <w:spacing w:before="120"/>
        <w:ind w:left="709" w:right="709"/>
        <w:jc w:val="both"/>
        <w:rPr>
          <w:rFonts w:ascii="Verdana" w:eastAsia="Calibri" w:hAnsi="Verdana" w:cs="Arial"/>
          <w:lang w:val="es-ES_tradnl"/>
        </w:rPr>
      </w:pPr>
      <w:r w:rsidRPr="00C17B3E">
        <w:rPr>
          <w:rFonts w:ascii="Verdana" w:eastAsia="Calibri" w:hAnsi="Verdana" w:cs="Arial"/>
          <w:sz w:val="21"/>
          <w:szCs w:val="21"/>
          <w:lang w:val="es-ES_tradnl"/>
        </w:rPr>
        <w:t>Los actos cumplidos por las autoridades en virtud de desconcentración administrativa sólo serán susceptibles del recurso de reposición en los términos establecidos en las normas pertinentes</w:t>
      </w:r>
      <w:r w:rsidR="009C156D" w:rsidRPr="00C17B3E">
        <w:rPr>
          <w:rFonts w:ascii="Verdana" w:eastAsia="Calibri" w:hAnsi="Verdana" w:cs="Arial"/>
          <w:sz w:val="21"/>
          <w:szCs w:val="21"/>
          <w:lang w:val="es-ES_tradnl"/>
        </w:rPr>
        <w:t>”</w:t>
      </w:r>
      <w:r w:rsidRPr="00C17B3E">
        <w:rPr>
          <w:rFonts w:ascii="Verdana" w:eastAsia="Calibri" w:hAnsi="Verdana" w:cs="Arial"/>
          <w:sz w:val="21"/>
          <w:szCs w:val="21"/>
          <w:lang w:val="es-ES_tradnl"/>
        </w:rPr>
        <w:t>.</w:t>
      </w:r>
    </w:p>
    <w:p w14:paraId="6F678200" w14:textId="3A752EA8" w:rsidR="008D0D7C" w:rsidRPr="00C17B3E" w:rsidRDefault="008D0D7C" w:rsidP="008D0D7C">
      <w:pPr>
        <w:spacing w:before="120" w:line="276" w:lineRule="auto"/>
        <w:ind w:firstLine="708"/>
        <w:jc w:val="both"/>
        <w:rPr>
          <w:rFonts w:ascii="Verdana" w:eastAsia="Calibri" w:hAnsi="Verdana" w:cs="Arial"/>
          <w:lang w:val="es-ES_tradnl"/>
        </w:rPr>
      </w:pPr>
      <w:bookmarkStart w:id="5" w:name="_Hlk37183560"/>
      <w:r w:rsidRPr="00C17B3E">
        <w:rPr>
          <w:rFonts w:ascii="Verdana" w:eastAsia="Calibri" w:hAnsi="Verdana" w:cs="Arial"/>
          <w:lang w:val="es-ES_tradnl"/>
        </w:rPr>
        <w:t xml:space="preserve">Con una orientación similar, aunque con sus particularidades, el parágrafo del artículo 12 de la Ley 80 de 1993 –adicionado por el artículo 21 de la Ley 1150 de 2007– dispone que </w:t>
      </w:r>
      <w:r w:rsidR="00CE61A0">
        <w:rPr>
          <w:rFonts w:ascii="Verdana" w:eastAsia="Calibri" w:hAnsi="Verdana" w:cs="Arial"/>
          <w:lang w:val="es-ES_tradnl"/>
        </w:rPr>
        <w:t>“</w:t>
      </w:r>
      <w:r w:rsidRPr="00C17B3E">
        <w:rPr>
          <w:rFonts w:ascii="Verdana" w:eastAsia="Calibri" w:hAnsi="Verdana" w:cs="Arial"/>
          <w:lang w:val="es-ES_tradnl"/>
        </w:rPr>
        <w:t>[…] se entiende por desconcentración la distribución adecuada del trabajo que realiza el jefe o representante legal de la entidad, sin que ello implique autonomía administrativa en su ejercicio […]</w:t>
      </w:r>
      <w:r w:rsidR="00CE61A0">
        <w:rPr>
          <w:rFonts w:ascii="Verdana" w:eastAsia="Calibri" w:hAnsi="Verdana" w:cs="Arial"/>
          <w:lang w:val="es-ES_tradnl"/>
        </w:rPr>
        <w:t>”</w:t>
      </w:r>
      <w:r w:rsidRPr="00C17B3E">
        <w:rPr>
          <w:rFonts w:ascii="Verdana" w:eastAsia="Calibri" w:hAnsi="Verdana" w:cs="Arial"/>
          <w:lang w:val="es-ES_tradnl"/>
        </w:rPr>
        <w:t>.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w:t>
      </w:r>
      <w:bookmarkEnd w:id="4"/>
    </w:p>
    <w:p w14:paraId="70F33E3F" w14:textId="77777777" w:rsidR="008D0D7C" w:rsidRPr="00C17B3E" w:rsidRDefault="008D0D7C" w:rsidP="008D0D7C">
      <w:pPr>
        <w:tabs>
          <w:tab w:val="left" w:pos="851"/>
        </w:tabs>
        <w:spacing w:before="120" w:line="276" w:lineRule="auto"/>
        <w:ind w:firstLine="708"/>
        <w:jc w:val="both"/>
        <w:rPr>
          <w:rFonts w:ascii="Verdana" w:eastAsia="Calibri" w:hAnsi="Verdana" w:cs="Arial"/>
          <w:lang w:val="es-ES_tradnl"/>
        </w:rPr>
      </w:pPr>
      <w:r w:rsidRPr="00C17B3E">
        <w:rPr>
          <w:rFonts w:ascii="Verdana" w:eastAsia="Calibri" w:hAnsi="Verdana" w:cs="Arial"/>
          <w:lang w:val="es-ES_tradnl"/>
        </w:rPr>
        <w:lastRenderedPageBreak/>
        <w:tab/>
        <w:t xml:space="preserve">Sin perjuicio de las consideraciones precedentes, por considerarse relevante para la consulta </w:t>
      </w:r>
      <w:r w:rsidRPr="00C17B3E">
        <w:rPr>
          <w:rFonts w:ascii="Verdana" w:eastAsia="Calibri" w:hAnsi="Verdana" w:cs="Arial"/>
          <w:i/>
          <w:lang w:val="es-ES_tradnl"/>
        </w:rPr>
        <w:t>sub examine</w:t>
      </w:r>
      <w:r w:rsidRPr="00C17B3E">
        <w:rPr>
          <w:rFonts w:ascii="Verdana" w:eastAsia="Calibri" w:hAnsi="Verdana" w:cs="Arial"/>
          <w:lang w:val="es-ES_tradnl"/>
        </w:rPr>
        <w:t>, resulta del caso precisar que los dos fenómenos descritos previamente, esto es, la delegación y la desconcentración de funciones, no deben confundirse con la simple asignación de funciones que hace un funcionario público en relación con otro funcionario o con un empleado frente al que ostenta jerarquía, pero sin dejar de ser el titular de la función. Este fenómeno se presenta, por ejemplo, cuando el director de una entidad estatal le encarga a uno de los subdirectores –subalternos– la ejecución material de una o varias labores necesarias para el ejercicio de sus funciones, como sería la elaboración del proyecto de presupuesto de la entidad o el diseño del sistema de gestión interna de la entidad, eventos en los cuales la labor sería desempeñada materialmente por otra persona, pero por disposición de su superior jerárquico; sin embargo, el mencionado director mantiene el ejercicio de la función legalmente asignada, esto es, presenta el presupuesto y adopta el plan de gestión interna.</w:t>
      </w:r>
    </w:p>
    <w:p w14:paraId="3EA7E7A7" w14:textId="77777777" w:rsidR="008D0D7C" w:rsidRPr="00C17B3E" w:rsidRDefault="008D0D7C" w:rsidP="008D0D7C">
      <w:pPr>
        <w:tabs>
          <w:tab w:val="left" w:pos="851"/>
        </w:tabs>
        <w:spacing w:before="120" w:line="276" w:lineRule="auto"/>
        <w:ind w:firstLine="708"/>
        <w:jc w:val="both"/>
        <w:rPr>
          <w:rFonts w:ascii="Verdana" w:eastAsia="Calibri" w:hAnsi="Verdana" w:cs="Arial"/>
          <w:lang w:val="es-ES_tradnl"/>
        </w:rPr>
      </w:pPr>
      <w:r w:rsidRPr="00C17B3E">
        <w:rPr>
          <w:rFonts w:ascii="Verdana" w:eastAsia="Calibri" w:hAnsi="Verdana" w:cs="Arial"/>
          <w:lang w:val="es-ES_tradnl"/>
        </w:rPr>
        <w:t>Este fenómeno se justifica en la dificultad que podría representar que cada directriz del superior jerárquico deba venir acompañada por un acto de delegación o desconcentración, situación que impediría el normal funcionamiento de las entidades públicas.</w:t>
      </w:r>
    </w:p>
    <w:p w14:paraId="4A6ED9BE" w14:textId="77777777" w:rsidR="008D0D7C" w:rsidRPr="00C17B3E" w:rsidRDefault="008D0D7C" w:rsidP="008D0D7C">
      <w:pPr>
        <w:tabs>
          <w:tab w:val="left" w:pos="851"/>
        </w:tabs>
        <w:spacing w:before="120" w:line="276" w:lineRule="auto"/>
        <w:ind w:firstLine="708"/>
        <w:jc w:val="both"/>
        <w:rPr>
          <w:rFonts w:ascii="Verdana" w:eastAsia="Calibri" w:hAnsi="Verdana" w:cs="Arial"/>
          <w:lang w:val="es-ES_tradnl"/>
        </w:rPr>
      </w:pPr>
      <w:r w:rsidRPr="00C17B3E">
        <w:rPr>
          <w:rFonts w:ascii="Verdana" w:eastAsia="Calibri" w:hAnsi="Verdana" w:cs="Arial"/>
          <w:lang w:val="es-ES_tradnl"/>
        </w:rPr>
        <w:t xml:space="preserve">Ahora bien, todos los servidores públicos que intervienen en la contratación estatal, ya sea que lo hagan en calidad de jefes o representantes legales, o en calidad de delegatarios o en calidad de funcionarios a cargo de alguna actuación derivada de la etapa precontractual, contractual o postcontractual del proceso de contratación en razón de sus funciones asignadas en la ley, el reglamento, el manual de funciones o por el superior jerárquico, están sometidos al cumplimiento del principio de responsabilidad previsto en el artículo 26 de la Ley 80 de 1993 que establece lo siguiente: </w:t>
      </w:r>
    </w:p>
    <w:p w14:paraId="4B51E72B" w14:textId="614B0528" w:rsidR="008D0D7C" w:rsidRPr="00C17B3E" w:rsidRDefault="008D0D7C" w:rsidP="00C17B3E">
      <w:pPr>
        <w:tabs>
          <w:tab w:val="left" w:pos="851"/>
        </w:tabs>
        <w:spacing w:after="0" w:line="240" w:lineRule="auto"/>
        <w:ind w:firstLine="708"/>
        <w:jc w:val="both"/>
        <w:rPr>
          <w:rFonts w:ascii="Verdana" w:eastAsia="Calibri" w:hAnsi="Verdana" w:cs="Arial"/>
          <w:sz w:val="20"/>
          <w:szCs w:val="20"/>
        </w:rPr>
      </w:pPr>
      <w:r w:rsidRPr="00C17B3E">
        <w:rPr>
          <w:rFonts w:ascii="Verdana" w:eastAsia="Calibri" w:hAnsi="Verdana" w:cs="Arial"/>
          <w:sz w:val="20"/>
          <w:szCs w:val="20"/>
          <w:lang w:val="es-ES_tradnl"/>
        </w:rPr>
        <w:t>“</w:t>
      </w:r>
      <w:r w:rsidRPr="00C17B3E">
        <w:rPr>
          <w:rFonts w:ascii="Verdana" w:eastAsia="Calibri" w:hAnsi="Verdana" w:cs="Arial"/>
          <w:sz w:val="20"/>
          <w:szCs w:val="20"/>
        </w:rPr>
        <w:t>Artículo 26. Del Principio de Responsabilidad. En virtud de este principio:</w:t>
      </w:r>
    </w:p>
    <w:p w14:paraId="201E4BAB" w14:textId="77777777" w:rsidR="008D0D7C" w:rsidRPr="00C17B3E" w:rsidRDefault="008D0D7C" w:rsidP="00C17B3E">
      <w:pPr>
        <w:spacing w:after="0" w:line="240" w:lineRule="auto"/>
        <w:ind w:left="709" w:right="709"/>
        <w:jc w:val="both"/>
        <w:rPr>
          <w:rFonts w:ascii="Verdana" w:eastAsia="Calibri" w:hAnsi="Verdana" w:cs="Arial"/>
          <w:sz w:val="20"/>
          <w:szCs w:val="20"/>
        </w:rPr>
      </w:pPr>
    </w:p>
    <w:p w14:paraId="454999F1" w14:textId="77777777" w:rsidR="008D0D7C" w:rsidRPr="00C17B3E" w:rsidRDefault="008D0D7C" w:rsidP="00C17B3E">
      <w:pPr>
        <w:spacing w:after="0" w:line="240" w:lineRule="auto"/>
        <w:ind w:left="709" w:right="709"/>
        <w:jc w:val="both"/>
        <w:rPr>
          <w:rFonts w:ascii="Verdana" w:eastAsia="Calibri" w:hAnsi="Verdana" w:cs="Arial"/>
          <w:sz w:val="20"/>
          <w:szCs w:val="20"/>
        </w:rPr>
      </w:pPr>
      <w:r w:rsidRPr="00C17B3E">
        <w:rPr>
          <w:rFonts w:ascii="Verdana" w:eastAsia="Calibri" w:hAnsi="Verdana" w:cs="Arial"/>
          <w:sz w:val="20"/>
          <w:szCs w:val="20"/>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p w14:paraId="33A37C95" w14:textId="77777777" w:rsidR="008D0D7C" w:rsidRPr="00C17B3E" w:rsidRDefault="008D0D7C" w:rsidP="00C17B3E">
      <w:pPr>
        <w:spacing w:after="0" w:line="240" w:lineRule="auto"/>
        <w:ind w:left="709" w:right="709"/>
        <w:jc w:val="both"/>
        <w:rPr>
          <w:rFonts w:ascii="Verdana" w:eastAsia="Calibri" w:hAnsi="Verdana" w:cs="Arial"/>
          <w:sz w:val="20"/>
          <w:szCs w:val="20"/>
        </w:rPr>
      </w:pPr>
    </w:p>
    <w:p w14:paraId="21EF254A" w14:textId="77777777" w:rsidR="008D0D7C" w:rsidRPr="00C17B3E" w:rsidRDefault="008D0D7C" w:rsidP="00C17B3E">
      <w:pPr>
        <w:spacing w:after="0" w:line="240" w:lineRule="auto"/>
        <w:ind w:left="709" w:right="709"/>
        <w:jc w:val="both"/>
        <w:rPr>
          <w:rFonts w:ascii="Verdana" w:eastAsia="Calibri" w:hAnsi="Verdana" w:cs="Arial"/>
          <w:sz w:val="20"/>
          <w:szCs w:val="20"/>
        </w:rPr>
      </w:pPr>
      <w:r w:rsidRPr="00C17B3E">
        <w:rPr>
          <w:rFonts w:ascii="Verdana" w:eastAsia="Calibri" w:hAnsi="Verdana" w:cs="Arial"/>
          <w:sz w:val="20"/>
          <w:szCs w:val="20"/>
        </w:rPr>
        <w:t>2°. Los servidores públicos responderán por sus actuaciones y omisiones antijurídicas y deberán indemnizar los daños que se causen por razón de ellas.</w:t>
      </w:r>
    </w:p>
    <w:p w14:paraId="6E765475" w14:textId="77777777" w:rsidR="008D0D7C" w:rsidRPr="00C17B3E" w:rsidRDefault="008D0D7C" w:rsidP="00C17B3E">
      <w:pPr>
        <w:spacing w:after="0" w:line="240" w:lineRule="auto"/>
        <w:ind w:left="709" w:right="709"/>
        <w:jc w:val="both"/>
        <w:rPr>
          <w:rFonts w:ascii="Verdana" w:eastAsia="Calibri" w:hAnsi="Verdana" w:cs="Arial"/>
          <w:sz w:val="20"/>
          <w:szCs w:val="20"/>
        </w:rPr>
      </w:pPr>
    </w:p>
    <w:p w14:paraId="4C92FEC5" w14:textId="77777777" w:rsidR="008D0D7C" w:rsidRPr="00C17B3E" w:rsidRDefault="008D0D7C" w:rsidP="00C17B3E">
      <w:pPr>
        <w:spacing w:after="0" w:line="240" w:lineRule="auto"/>
        <w:ind w:left="709" w:right="709"/>
        <w:jc w:val="both"/>
        <w:rPr>
          <w:rFonts w:ascii="Verdana" w:eastAsia="Calibri" w:hAnsi="Verdana" w:cs="Arial"/>
          <w:sz w:val="20"/>
          <w:szCs w:val="20"/>
        </w:rPr>
      </w:pPr>
      <w:r w:rsidRPr="00C17B3E">
        <w:rPr>
          <w:rFonts w:ascii="Verdana" w:eastAsia="Calibri" w:hAnsi="Verdana" w:cs="Arial"/>
          <w:sz w:val="20"/>
          <w:szCs w:val="20"/>
        </w:rPr>
        <w:t>3°. Las entidades y los servidores públicos, responderán cuando hubieren abierto licitaciones o concursos sin haber elaborado previamente los correspondientes pliegos de condiciones, diseños, estudios, planos y evaluaciones que fueren necesarios, o cuando los pliegos de condiciones o términos de referencia hayan sido elaborados en forma incompleta, ambigua o confusa que conduzcan a interpretaciones o decisiones de carácter subjetivo por parte de aquellos.</w:t>
      </w:r>
    </w:p>
    <w:p w14:paraId="3E44A58E" w14:textId="77777777" w:rsidR="008D0D7C" w:rsidRPr="00C17B3E" w:rsidRDefault="008D0D7C" w:rsidP="00C17B3E">
      <w:pPr>
        <w:spacing w:after="0" w:line="240" w:lineRule="auto"/>
        <w:ind w:right="709"/>
        <w:jc w:val="both"/>
        <w:rPr>
          <w:rFonts w:ascii="Verdana" w:eastAsia="Calibri" w:hAnsi="Verdana" w:cs="Arial"/>
          <w:sz w:val="20"/>
          <w:szCs w:val="20"/>
        </w:rPr>
      </w:pPr>
    </w:p>
    <w:p w14:paraId="6A901831" w14:textId="77777777" w:rsidR="008D0D7C" w:rsidRPr="00C17B3E" w:rsidRDefault="008D0D7C" w:rsidP="00C17B3E">
      <w:pPr>
        <w:spacing w:after="0" w:line="240" w:lineRule="auto"/>
        <w:ind w:left="709" w:right="709"/>
        <w:jc w:val="both"/>
        <w:rPr>
          <w:rFonts w:ascii="Verdana" w:eastAsia="Calibri" w:hAnsi="Verdana" w:cs="Arial"/>
          <w:sz w:val="20"/>
          <w:szCs w:val="20"/>
        </w:rPr>
      </w:pPr>
      <w:r w:rsidRPr="00C17B3E">
        <w:rPr>
          <w:rFonts w:ascii="Verdana" w:eastAsia="Calibri" w:hAnsi="Verdana" w:cs="Arial"/>
          <w:sz w:val="20"/>
          <w:szCs w:val="20"/>
        </w:rPr>
        <w:t>4°. Las actuaciones de los servidores públicos estarán presididas por las reglas sobre administración de bienes ajenos y por los mandatos y postulados que gobiernan una conducta ajustada a la ética y a la justicia.</w:t>
      </w:r>
    </w:p>
    <w:p w14:paraId="34FD0750" w14:textId="77777777" w:rsidR="008D0D7C" w:rsidRPr="00C17B3E" w:rsidRDefault="008D0D7C" w:rsidP="00C17B3E">
      <w:pPr>
        <w:spacing w:after="0" w:line="240" w:lineRule="auto"/>
        <w:ind w:left="709" w:right="709"/>
        <w:jc w:val="both"/>
        <w:rPr>
          <w:rFonts w:ascii="Verdana" w:eastAsia="Calibri" w:hAnsi="Verdana" w:cs="Arial"/>
          <w:sz w:val="20"/>
          <w:szCs w:val="20"/>
        </w:rPr>
      </w:pPr>
    </w:p>
    <w:p w14:paraId="432DDF58" w14:textId="527C7030" w:rsidR="008D0D7C" w:rsidRPr="00C17B3E" w:rsidRDefault="008D0D7C" w:rsidP="00C17B3E">
      <w:pPr>
        <w:spacing w:after="0" w:line="240" w:lineRule="auto"/>
        <w:ind w:left="709" w:right="709"/>
        <w:jc w:val="both"/>
        <w:rPr>
          <w:rFonts w:ascii="Verdana" w:eastAsia="Calibri" w:hAnsi="Verdana" w:cs="Arial"/>
          <w:sz w:val="20"/>
          <w:szCs w:val="20"/>
          <w:lang w:val="es-ES_tradnl"/>
        </w:rPr>
      </w:pPr>
      <w:r w:rsidRPr="00C17B3E">
        <w:rPr>
          <w:rFonts w:ascii="Verdana" w:eastAsia="Calibri" w:hAnsi="Verdana" w:cs="Arial"/>
          <w:sz w:val="20"/>
          <w:szCs w:val="20"/>
        </w:rPr>
        <w:t xml:space="preserve">5°. La responsabilidad de la dirección y manejo de la actividad contractual y la de los procesos de selección será del jefe o representante de la entidad estatal quien no podrá trasladarla a las juntas o consejos directivos de la entidad, ni a las corporaciones de elección popular, a los comités asesores, ni a los organismos de control y vigilancia de la </w:t>
      </w:r>
      <w:r w:rsidR="00BD474D" w:rsidRPr="00C17B3E">
        <w:rPr>
          <w:rFonts w:ascii="Verdana" w:eastAsia="Calibri" w:hAnsi="Verdana" w:cs="Arial"/>
          <w:sz w:val="20"/>
          <w:szCs w:val="20"/>
        </w:rPr>
        <w:t>misma.</w:t>
      </w:r>
      <w:r w:rsidR="00BD474D" w:rsidRPr="00C17B3E">
        <w:rPr>
          <w:rFonts w:ascii="Verdana" w:eastAsia="Calibri" w:hAnsi="Verdana" w:cs="Arial"/>
          <w:sz w:val="20"/>
          <w:szCs w:val="20"/>
          <w:lang w:val="es-ES_tradnl"/>
        </w:rPr>
        <w:t xml:space="preserve"> [</w:t>
      </w:r>
      <w:r w:rsidRPr="00C17B3E">
        <w:rPr>
          <w:rFonts w:ascii="Verdana" w:eastAsia="Calibri" w:hAnsi="Verdana" w:cs="Arial"/>
          <w:sz w:val="20"/>
          <w:szCs w:val="20"/>
          <w:lang w:val="es-ES_tradnl"/>
        </w:rPr>
        <w:t xml:space="preserve">…]”  </w:t>
      </w:r>
    </w:p>
    <w:p w14:paraId="79ACEDC7" w14:textId="77777777" w:rsidR="008D0D7C" w:rsidRPr="00C17B3E" w:rsidRDefault="008D0D7C" w:rsidP="00C17B3E">
      <w:pPr>
        <w:spacing w:after="0"/>
        <w:ind w:left="709" w:right="709"/>
        <w:jc w:val="both"/>
        <w:rPr>
          <w:rFonts w:ascii="Verdana" w:eastAsia="Calibri" w:hAnsi="Verdana" w:cs="Arial"/>
          <w:lang w:val="es-ES_tradnl"/>
        </w:rPr>
      </w:pPr>
    </w:p>
    <w:bookmarkEnd w:id="5"/>
    <w:p w14:paraId="4C1D2FB6" w14:textId="0F08C47C" w:rsidR="008D0D7C" w:rsidRPr="00C17B3E" w:rsidRDefault="008D0D7C" w:rsidP="008D0D7C">
      <w:pPr>
        <w:spacing w:after="120" w:line="276" w:lineRule="auto"/>
        <w:ind w:firstLine="709"/>
        <w:jc w:val="both"/>
        <w:rPr>
          <w:rFonts w:ascii="Verdana" w:eastAsia="Calibri" w:hAnsi="Verdana" w:cs="Arial"/>
          <w:bCs/>
          <w:color w:val="000000" w:themeColor="text1"/>
          <w:sz w:val="21"/>
          <w:szCs w:val="21"/>
          <w:lang w:val="es-ES_tradnl"/>
        </w:rPr>
      </w:pPr>
      <w:r w:rsidRPr="00C17B3E">
        <w:rPr>
          <w:rFonts w:ascii="Verdana" w:eastAsia="Calibri" w:hAnsi="Verdana" w:cs="Arial"/>
          <w:lang w:val="es-ES_tradnl"/>
        </w:rPr>
        <w:t>En consecuencia, las actuaciones de los servidores públicos que participan en la contratación estatal están sometidos a los controles jurídicos, de diversa índole, que existen en el ordenamiento jurídico para el efecto, cuyo ejercicio está atribuido a distintas autoridades y procedimientos especiales. Estas autoridades, luego de actuar dentro del marco del principio de legalidad, el derecho al debido proceso y de desvirtuar la garantía de la presunción de inocencia, pueden encontrar la responsabilidad penal, disciplinaria, fiscal y/o patrimonial de los servidores públicos que hayan actuado indebidamente en la actividad contractual del Estado, tal y como lo reafirma el artículo 51 de la Ley 80 de 1993: “El servidor público responderá disciplinaria, civil y penalmente por sus acciones y omisiones en la actuación contractual en los términos de la Constitución y de la ley</w:t>
      </w:r>
      <w:r w:rsidRPr="00C17B3E">
        <w:rPr>
          <w:rFonts w:ascii="Verdana" w:eastAsia="Calibri" w:hAnsi="Verdana" w:cs="Arial"/>
          <w:bCs/>
          <w:color w:val="000000" w:themeColor="text1"/>
          <w:sz w:val="21"/>
          <w:szCs w:val="21"/>
          <w:lang w:val="es-ES_tradnl"/>
        </w:rPr>
        <w:t>”.</w:t>
      </w:r>
    </w:p>
    <w:p w14:paraId="16BC30C9" w14:textId="77777777" w:rsidR="008D0D7C" w:rsidRPr="00C17B3E" w:rsidRDefault="008D0D7C" w:rsidP="008D0D7C">
      <w:pPr>
        <w:spacing w:line="276" w:lineRule="auto"/>
        <w:ind w:firstLine="709"/>
        <w:jc w:val="both"/>
        <w:rPr>
          <w:rFonts w:ascii="Verdana" w:eastAsia="Calibri" w:hAnsi="Verdana" w:cs="Arial"/>
          <w:lang w:val="es-ES_tradnl"/>
        </w:rPr>
      </w:pPr>
      <w:r w:rsidRPr="00C17B3E">
        <w:rPr>
          <w:rFonts w:ascii="Verdana" w:eastAsia="Calibri" w:hAnsi="Verdana" w:cs="Arial"/>
          <w:lang w:val="es-ES_tradnl"/>
        </w:rPr>
        <w:t xml:space="preserve">Aun cuando las circunstancias particulares de los juicios de responsabilidad de las conductas atribuibles a un servidor público dependen de las circunstancias y los hechos concretos objeto de análisis por la autoridad competente, para los efectos de este concepto, se aclara que la </w:t>
      </w:r>
      <w:r w:rsidRPr="00C17B3E">
        <w:rPr>
          <w:rFonts w:ascii="Verdana" w:eastAsia="Calibri" w:hAnsi="Verdana" w:cs="Arial"/>
          <w:i/>
          <w:iCs/>
          <w:lang w:val="es-ES_tradnl"/>
        </w:rPr>
        <w:t>responsabilidad penal</w:t>
      </w:r>
      <w:r w:rsidRPr="00C17B3E">
        <w:rPr>
          <w:rFonts w:ascii="Verdana" w:eastAsia="Calibri" w:hAnsi="Verdana" w:cs="Arial"/>
          <w:lang w:val="es-ES_tradnl"/>
        </w:rPr>
        <w:t xml:space="preserve"> es personal y se deriva de conductas imputables al servidor público, que en ejercicio o con ocasión de sus funciones, haya vulnerado bienes jurídicos protegidos por la ley penal, con conductas culposas o dolosas catalogadas como delitos. En cuanto a la </w:t>
      </w:r>
      <w:r w:rsidRPr="00C17B3E">
        <w:rPr>
          <w:rFonts w:ascii="Verdana" w:eastAsia="Calibri" w:hAnsi="Verdana" w:cs="Arial"/>
          <w:i/>
          <w:iCs/>
          <w:lang w:val="es-ES_tradnl"/>
        </w:rPr>
        <w:t>responsabilidad disciplinaria</w:t>
      </w:r>
      <w:r w:rsidRPr="00C17B3E">
        <w:rPr>
          <w:rFonts w:ascii="Verdana" w:eastAsia="Calibri" w:hAnsi="Verdana" w:cs="Arial"/>
          <w:lang w:val="es-ES_tradnl"/>
        </w:rPr>
        <w:t xml:space="preserve"> es personal y se deriva de conductas culposas o dolosas imputables al servidor público que impliquen un incumplimiento de sus deberes funcionales o una extralimitación de los mismos. </w:t>
      </w:r>
      <w:r w:rsidRPr="00C17B3E">
        <w:rPr>
          <w:rFonts w:ascii="Verdana" w:eastAsia="Calibri" w:hAnsi="Verdana" w:cs="Arial"/>
          <w:lang w:val="es-ES_tradnl"/>
        </w:rPr>
        <w:lastRenderedPageBreak/>
        <w:t xml:space="preserve">Por su parte, la </w:t>
      </w:r>
      <w:r w:rsidRPr="00C17B3E">
        <w:rPr>
          <w:rFonts w:ascii="Verdana" w:eastAsia="Calibri" w:hAnsi="Verdana" w:cs="Arial"/>
          <w:i/>
          <w:iCs/>
          <w:lang w:val="es-ES_tradnl"/>
        </w:rPr>
        <w:t>responsabilidad fiscal</w:t>
      </w:r>
      <w:r w:rsidRPr="00C17B3E">
        <w:rPr>
          <w:rFonts w:ascii="Verdana" w:eastAsia="Calibri" w:hAnsi="Verdana" w:cs="Arial"/>
          <w:lang w:val="es-ES_tradnl"/>
        </w:rPr>
        <w:t xml:space="preserve"> es una responsabilidad patrimonial y resarcitoria en que incurre un servidor público frente al Estado, por haber causado un menoscabo al patrimonio público con un actuar doloso o gravemente culposo.  </w:t>
      </w:r>
    </w:p>
    <w:p w14:paraId="6BFAE934" w14:textId="3E707622" w:rsidR="003E6531" w:rsidRPr="004A5453" w:rsidRDefault="003B07BA" w:rsidP="003E6531">
      <w:pPr>
        <w:tabs>
          <w:tab w:val="left" w:pos="426"/>
        </w:tabs>
        <w:spacing w:after="120" w:line="276" w:lineRule="auto"/>
        <w:jc w:val="both"/>
        <w:rPr>
          <w:rFonts w:ascii="Verdana" w:eastAsia="Calibri" w:hAnsi="Verdana" w:cs="Arial"/>
          <w:bCs/>
          <w:lang w:val="es-ES_tradnl" w:eastAsia="es-ES_tradnl"/>
        </w:rPr>
      </w:pPr>
      <w:r>
        <w:rPr>
          <w:rFonts w:ascii="Verdana" w:eastAsia="Calibri" w:hAnsi="Verdana" w:cs="Arial"/>
          <w:bCs/>
          <w:lang w:val="es-ES_tradnl" w:eastAsia="es-ES_tradnl"/>
        </w:rPr>
        <w:t>ii. De otra parte, es importen mencionar que, l</w:t>
      </w:r>
      <w:r w:rsidR="003E6531" w:rsidRPr="003E2DFA">
        <w:rPr>
          <w:rFonts w:ascii="Verdana" w:eastAsia="Calibri" w:hAnsi="Verdana" w:cs="Arial"/>
          <w:bCs/>
          <w:lang w:val="es-ES_tradnl" w:eastAsia="es-ES_tradnl"/>
        </w:rPr>
        <w:t xml:space="preserve">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w:t>
      </w:r>
      <w:r w:rsidR="003E6531" w:rsidRPr="008C4F0C">
        <w:rPr>
          <w:rFonts w:ascii="Verdana" w:eastAsia="Calibri" w:hAnsi="Verdana" w:cs="Arial"/>
          <w:bCs/>
          <w:lang w:val="es-ES_tradnl" w:eastAsia="es-ES_tradnl"/>
        </w:rPr>
        <w:t>del contrato y, de ser el caso, tomar medidas para exigir su adecuado cumplimiento.</w:t>
      </w:r>
    </w:p>
    <w:p w14:paraId="13D15FFD" w14:textId="77777777" w:rsidR="003E6531" w:rsidRPr="00B60BC4" w:rsidRDefault="003E6531" w:rsidP="003E6531">
      <w:pPr>
        <w:spacing w:after="12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B60BC4">
        <w:rPr>
          <w:rFonts w:ascii="Verdana" w:eastAsia="Times New Roman" w:hAnsi="Verdana" w:cs="Arial"/>
          <w:vertAlign w:val="superscript"/>
          <w:lang w:val="es-ES" w:eastAsia="es-MX"/>
        </w:rPr>
        <w:footnoteReference w:id="7"/>
      </w:r>
      <w:r w:rsidRPr="00B60BC4">
        <w:rPr>
          <w:rFonts w:ascii="Verdana" w:eastAsia="Times New Roman" w:hAnsi="Verdana" w:cs="Arial"/>
          <w:lang w:val="es-ES" w:eastAsia="es-MX"/>
        </w:rPr>
        <w:t>. También se establecen los límites de la responsabilidad del representante legal ante la delegación de sus funciones en materia contractual</w:t>
      </w:r>
      <w:r w:rsidRPr="00B60BC4">
        <w:rPr>
          <w:rFonts w:ascii="Verdana" w:eastAsia="Times New Roman" w:hAnsi="Verdana" w:cs="Arial"/>
          <w:vertAlign w:val="superscript"/>
          <w:lang w:val="es-ES" w:eastAsia="es-MX"/>
        </w:rPr>
        <w:footnoteReference w:id="8"/>
      </w:r>
      <w:r w:rsidRPr="00B60BC4">
        <w:rPr>
          <w:rFonts w:ascii="Verdana" w:eastAsia="Times New Roman" w:hAnsi="Verdana" w:cs="Arial"/>
          <w:lang w:val="es-ES" w:eastAsia="es-MX"/>
        </w:rPr>
        <w:t xml:space="preserve"> y se regula la supervisión y la interventoría de los contratos estatales</w:t>
      </w:r>
      <w:r w:rsidRPr="00B60BC4">
        <w:rPr>
          <w:rFonts w:ascii="Verdana" w:eastAsia="Times New Roman" w:hAnsi="Verdana" w:cs="Arial"/>
          <w:vertAlign w:val="superscript"/>
          <w:lang w:val="es-ES" w:eastAsia="es-MX"/>
        </w:rPr>
        <w:footnoteReference w:id="9"/>
      </w:r>
      <w:r w:rsidRPr="00B60BC4">
        <w:rPr>
          <w:rFonts w:ascii="Verdana" w:eastAsia="Times New Roman" w:hAnsi="Verdana" w:cs="Arial"/>
          <w:lang w:val="es-ES" w:eastAsia="es-MX"/>
        </w:rPr>
        <w:t>.</w:t>
      </w:r>
    </w:p>
    <w:p w14:paraId="625C1632" w14:textId="77777777" w:rsidR="003E6531" w:rsidRPr="00B60BC4" w:rsidRDefault="003E6531" w:rsidP="003E6531">
      <w:pPr>
        <w:spacing w:after="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01CC593B" w14:textId="77777777" w:rsidR="003E6531" w:rsidRPr="00B60BC4" w:rsidRDefault="003E6531" w:rsidP="003E6531">
      <w:pPr>
        <w:spacing w:after="0" w:line="276" w:lineRule="auto"/>
        <w:ind w:left="709"/>
        <w:contextualSpacing/>
        <w:jc w:val="both"/>
        <w:rPr>
          <w:rFonts w:ascii="Verdana" w:eastAsia="Times New Roman" w:hAnsi="Verdana" w:cs="Arial"/>
          <w:lang w:val="es-ES_tradnl" w:eastAsia="es-MX"/>
        </w:rPr>
      </w:pPr>
    </w:p>
    <w:p w14:paraId="1787D07A" w14:textId="77777777" w:rsidR="003E6531" w:rsidRPr="00F13A99" w:rsidRDefault="003E6531" w:rsidP="003E6531">
      <w:pPr>
        <w:spacing w:after="0" w:line="240" w:lineRule="auto"/>
        <w:ind w:left="709" w:right="709"/>
        <w:contextualSpacing/>
        <w:jc w:val="both"/>
        <w:rPr>
          <w:rFonts w:ascii="Verdana" w:eastAsia="Times New Roman" w:hAnsi="Verdana" w:cs="Arial"/>
          <w:sz w:val="20"/>
          <w:szCs w:val="20"/>
          <w:lang w:val="es-ES_tradnl" w:eastAsia="es-MX"/>
        </w:rPr>
      </w:pPr>
      <w:bookmarkStart w:id="6" w:name="_Hlk178671999"/>
      <w:r w:rsidRPr="00F13A99">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6"/>
      <w:r w:rsidRPr="00F13A99">
        <w:rPr>
          <w:rFonts w:ascii="Verdana" w:eastAsia="Times New Roman" w:hAnsi="Verdana" w:cs="Arial"/>
          <w:sz w:val="20"/>
          <w:szCs w:val="20"/>
          <w:lang w:val="es-ES_tradnl" w:eastAsia="es-MX"/>
        </w:rPr>
        <w:t xml:space="preserve">, quien administra la adecuada y oportuna ejecución del contrato no sólo debe </w:t>
      </w:r>
      <w:r w:rsidRPr="00F13A99">
        <w:rPr>
          <w:rFonts w:ascii="Verdana" w:eastAsia="Times New Roman" w:hAnsi="Verdana" w:cs="Arial"/>
          <w:sz w:val="20"/>
          <w:szCs w:val="20"/>
          <w:lang w:val="es-ES_tradnl" w:eastAsia="es-MX"/>
        </w:rPr>
        <w:lastRenderedPageBreak/>
        <w:t>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F13A99">
        <w:rPr>
          <w:rFonts w:ascii="Verdana" w:eastAsia="Times New Roman" w:hAnsi="Verdana" w:cs="Arial"/>
          <w:sz w:val="20"/>
          <w:szCs w:val="20"/>
          <w:vertAlign w:val="superscript"/>
          <w:lang w:val="es-ES_tradnl" w:eastAsia="es-MX"/>
        </w:rPr>
        <w:footnoteReference w:id="10"/>
      </w:r>
      <w:r w:rsidRPr="00F13A99">
        <w:rPr>
          <w:rFonts w:ascii="Verdana" w:eastAsia="Times New Roman" w:hAnsi="Verdana" w:cs="Arial"/>
          <w:sz w:val="20"/>
          <w:szCs w:val="20"/>
          <w:lang w:val="es-ES_tradnl" w:eastAsia="es-MX"/>
        </w:rPr>
        <w:t>.</w:t>
      </w:r>
    </w:p>
    <w:p w14:paraId="505599F6" w14:textId="77777777" w:rsidR="003E6531" w:rsidRPr="00B60BC4" w:rsidRDefault="003E6531" w:rsidP="003E6531">
      <w:pPr>
        <w:snapToGrid w:val="0"/>
        <w:spacing w:after="0" w:line="276" w:lineRule="auto"/>
        <w:ind w:left="720"/>
        <w:rPr>
          <w:rFonts w:ascii="Verdana" w:eastAsia="Times New Roman" w:hAnsi="Verdana" w:cs="Arial"/>
          <w:lang w:val="es-ES_tradnl" w:eastAsia="es-MX"/>
        </w:rPr>
      </w:pPr>
    </w:p>
    <w:p w14:paraId="7F004157" w14:textId="77777777" w:rsidR="003E6531" w:rsidRPr="00B60BC4" w:rsidRDefault="003E6531" w:rsidP="003E6531">
      <w:pPr>
        <w:spacing w:after="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47D791AE" w14:textId="77777777" w:rsidR="003E6531" w:rsidRPr="00B60BC4" w:rsidRDefault="003E6531" w:rsidP="003E6531">
      <w:pPr>
        <w:spacing w:after="0" w:line="276" w:lineRule="auto"/>
        <w:ind w:left="720"/>
        <w:contextualSpacing/>
        <w:jc w:val="both"/>
        <w:textAlignment w:val="baseline"/>
        <w:rPr>
          <w:rFonts w:ascii="Verdana" w:eastAsia="Times New Roman" w:hAnsi="Verdana" w:cs="Arial"/>
          <w:lang w:val="es-ES_tradnl" w:eastAsia="es-MX"/>
        </w:rPr>
      </w:pPr>
    </w:p>
    <w:p w14:paraId="33FC896B" w14:textId="77777777" w:rsidR="003E6531" w:rsidRPr="00F13A99" w:rsidRDefault="003E6531" w:rsidP="003E6531">
      <w:pPr>
        <w:spacing w:after="0" w:line="240" w:lineRule="auto"/>
        <w:ind w:left="709" w:right="709"/>
        <w:jc w:val="both"/>
        <w:textAlignment w:val="baseline"/>
        <w:rPr>
          <w:rFonts w:ascii="Verdana" w:eastAsia="Times New Roman" w:hAnsi="Verdana" w:cs="Arial"/>
          <w:sz w:val="20"/>
          <w:szCs w:val="20"/>
          <w:lang w:val="es-ES" w:eastAsia="es-MX"/>
        </w:rPr>
      </w:pPr>
      <w:r w:rsidRPr="00F13A99">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7A30931A" w14:textId="77777777" w:rsidR="003E6531" w:rsidRPr="00F13A99" w:rsidRDefault="003E6531" w:rsidP="003E6531">
      <w:pPr>
        <w:spacing w:after="0" w:line="240" w:lineRule="auto"/>
        <w:ind w:left="709" w:right="709"/>
        <w:jc w:val="both"/>
        <w:textAlignment w:val="baseline"/>
        <w:rPr>
          <w:rFonts w:ascii="Verdana" w:eastAsia="Times New Roman" w:hAnsi="Verdana" w:cs="Arial"/>
          <w:sz w:val="20"/>
          <w:szCs w:val="20"/>
          <w:lang w:val="es-ES" w:eastAsia="es-MX"/>
        </w:rPr>
      </w:pPr>
    </w:p>
    <w:p w14:paraId="3488465B" w14:textId="77777777" w:rsidR="003E6531" w:rsidRDefault="003E6531" w:rsidP="003E6531">
      <w:pPr>
        <w:spacing w:after="0" w:line="240" w:lineRule="auto"/>
        <w:ind w:left="709" w:right="709"/>
        <w:jc w:val="both"/>
        <w:textAlignment w:val="baseline"/>
        <w:rPr>
          <w:rFonts w:ascii="Verdana" w:eastAsia="Times New Roman" w:hAnsi="Verdana" w:cs="Arial"/>
          <w:sz w:val="20"/>
          <w:szCs w:val="20"/>
          <w:lang w:val="es-ES" w:eastAsia="es-MX"/>
        </w:rPr>
      </w:pPr>
      <w:r w:rsidRPr="00F13A99">
        <w:rPr>
          <w:rFonts w:ascii="Verdana" w:eastAsia="Times New Roman"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F13A99">
        <w:rPr>
          <w:rFonts w:ascii="Verdana" w:eastAsia="Times New Roman" w:hAnsi="Verdana" w:cs="Arial"/>
          <w:sz w:val="20"/>
          <w:szCs w:val="20"/>
          <w:vertAlign w:val="superscript"/>
          <w:lang w:val="es-ES" w:eastAsia="es-MX"/>
        </w:rPr>
        <w:footnoteReference w:id="11"/>
      </w:r>
      <w:r w:rsidRPr="00F13A99">
        <w:rPr>
          <w:rFonts w:ascii="Verdana" w:eastAsia="Times New Roman" w:hAnsi="Verdana" w:cs="Arial"/>
          <w:sz w:val="20"/>
          <w:szCs w:val="20"/>
          <w:lang w:val="es-ES" w:eastAsia="es-MX"/>
        </w:rPr>
        <w:t>.</w:t>
      </w:r>
    </w:p>
    <w:p w14:paraId="6AFFD8EA" w14:textId="77777777" w:rsidR="003E6531" w:rsidRPr="00030C8C" w:rsidRDefault="003E6531" w:rsidP="003E6531">
      <w:pPr>
        <w:spacing w:after="0" w:line="240" w:lineRule="auto"/>
        <w:ind w:left="709" w:right="709"/>
        <w:jc w:val="both"/>
        <w:textAlignment w:val="baseline"/>
        <w:rPr>
          <w:rFonts w:ascii="Verdana" w:eastAsia="Times New Roman" w:hAnsi="Verdana" w:cs="Arial"/>
          <w:sz w:val="20"/>
          <w:szCs w:val="20"/>
          <w:lang w:val="es-ES" w:eastAsia="es-MX"/>
        </w:rPr>
      </w:pPr>
    </w:p>
    <w:p w14:paraId="74316A43" w14:textId="77777777" w:rsidR="003E6531" w:rsidRPr="00B60BC4" w:rsidRDefault="003E6531" w:rsidP="003E6531">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 xml:space="preserve">Sin perjuicio de lo anterior, las disposiciones contenidas en los artículos 83 y 84 de la Ley 1474 de 2011, se infieren las siguientes características de la supervisión: i) la labor de supervisión siempre existirá en relación con cualquier </w:t>
      </w:r>
      <w:r w:rsidRPr="00B60BC4">
        <w:rPr>
          <w:rFonts w:ascii="Verdana" w:eastAsia="Times New Roman" w:hAnsi="Verdana" w:cs="Arial"/>
          <w:bCs/>
          <w:lang w:val="es-ES"/>
        </w:rPr>
        <w:lastRenderedPageBreak/>
        <w:t>contrato estatal, incluidos los contratos de prestación de servicios –a diferencia de la interventoría que depende del análisis de su necesidad y extensión</w:t>
      </w:r>
      <w:r w:rsidRPr="00B60BC4">
        <w:rPr>
          <w:rFonts w:ascii="Verdana" w:eastAsia="Times New Roman" w:hAnsi="Verdana" w:cs="Arial"/>
          <w:bCs/>
          <w:vertAlign w:val="superscript"/>
          <w:lang w:val="es-ES"/>
        </w:rPr>
        <w:footnoteReference w:id="12"/>
      </w:r>
      <w:r w:rsidRPr="00B60BC4">
        <w:rPr>
          <w:rFonts w:ascii="Verdana" w:eastAsia="Times New Roman" w:hAnsi="Verdana" w:cs="Arial"/>
          <w:bCs/>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26C683DA" w14:textId="77777777" w:rsidR="003E6531" w:rsidRDefault="003E6531" w:rsidP="003E6531">
      <w:pPr>
        <w:spacing w:after="120" w:line="276" w:lineRule="auto"/>
        <w:ind w:firstLine="709"/>
        <w:jc w:val="both"/>
        <w:rPr>
          <w:rFonts w:ascii="Verdana" w:eastAsia="Times New Roman" w:hAnsi="Verdana" w:cs="Arial"/>
          <w:bCs/>
          <w:lang w:val="es-ES"/>
        </w:rPr>
      </w:pPr>
      <w:r w:rsidRPr="004C020B">
        <w:rPr>
          <w:rFonts w:ascii="Verdana" w:eastAsia="Times New Roman" w:hAnsi="Verdana" w:cs="Arial"/>
          <w:bCs/>
          <w:lang w:val="es-ES"/>
        </w:rPr>
        <w:t>Por otro lado, es pertinente señalar que esta Agencia ha considerado que, del texto del artículo 83 de la Ley 1474 es posible inferir que la ley dispuso que la supervisión debe ser ejercida por la misma Entidad Estatal en cumplimiento de su deber de vigilancia de la ejecución idónea y oportuna del objeto contratado y puede llevarse a cabo con el apoyo de contratistas, pero no prevé que dicha actividad sea realizada directamente por el contratista, y que sea este último el único responsable del seguimiento contractual.</w:t>
      </w:r>
      <w:r w:rsidRPr="00B60BC4">
        <w:rPr>
          <w:rFonts w:ascii="Verdana" w:eastAsia="Times New Roman" w:hAnsi="Verdana" w:cs="Arial"/>
          <w:bCs/>
          <w:lang w:val="es-ES"/>
        </w:rPr>
        <w:t xml:space="preserve"> </w:t>
      </w:r>
    </w:p>
    <w:p w14:paraId="28BD113F" w14:textId="77777777" w:rsidR="003E6531" w:rsidRPr="00B60BC4" w:rsidRDefault="003E6531" w:rsidP="003E6531">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L</w:t>
      </w:r>
      <w:r>
        <w:rPr>
          <w:rFonts w:ascii="Verdana" w:eastAsia="Times New Roman" w:hAnsi="Verdana" w:cs="Arial"/>
          <w:bCs/>
          <w:lang w:val="es-ES"/>
        </w:rPr>
        <w:t>a</w:t>
      </w:r>
      <w:r w:rsidRPr="00B60BC4">
        <w:rPr>
          <w:rFonts w:ascii="Verdana" w:eastAsia="Times New Roman" w:hAnsi="Verdana" w:cs="Arial"/>
          <w:bCs/>
          <w:lang w:val="es-ES"/>
        </w:rPr>
        <w:t xml:space="preserve"> anterior postura se soporta en el trámite del proyecto de ley que se convirtió en la Ley 1474 de 2011, que inicialmente establecía que “la supervisión de los contratos sería ejercida por un funcionario de la misma entidad estatal, o por un contratista de prestación de servicios profesionales […]”</w:t>
      </w:r>
      <w:r w:rsidRPr="00B60BC4">
        <w:rPr>
          <w:rFonts w:ascii="Verdana" w:eastAsia="Times New Roman" w:hAnsi="Verdana" w:cs="Arial"/>
          <w:vertAlign w:val="superscript"/>
          <w:lang w:val="es-ES"/>
        </w:rPr>
        <w:footnoteReference w:id="13"/>
      </w:r>
      <w:r w:rsidRPr="00B60BC4">
        <w:rPr>
          <w:rFonts w:ascii="Verdana" w:eastAsia="Times New Roman" w:hAnsi="Verdana" w:cs="Arial"/>
          <w:bCs/>
          <w:lang w:val="es-ES"/>
        </w:rPr>
        <w:t>. Sin embargo, también lo es que esa postura fue modificada para el segundo debate legislativo</w:t>
      </w:r>
      <w:r w:rsidRPr="00B60BC4">
        <w:rPr>
          <w:rFonts w:ascii="Verdana" w:eastAsia="Times New Roman" w:hAnsi="Verdana" w:cs="Arial"/>
          <w:vertAlign w:val="superscript"/>
          <w:lang w:val="es-ES"/>
        </w:rPr>
        <w:footnoteReference w:id="14"/>
      </w:r>
      <w:r w:rsidRPr="00B60BC4">
        <w:rPr>
          <w:rFonts w:ascii="Verdana" w:eastAsia="Times New Roman" w:hAnsi="Verdana" w:cs="Arial"/>
          <w:bCs/>
          <w:lang w:val="es-ES"/>
        </w:rPr>
        <w:t xml:space="preserve"> y en la ponencia registrada para tercer debate</w:t>
      </w:r>
      <w:r w:rsidRPr="00B60BC4">
        <w:rPr>
          <w:rFonts w:ascii="Verdana" w:eastAsia="Times New Roman" w:hAnsi="Verdana" w:cs="Arial"/>
          <w:vertAlign w:val="superscript"/>
          <w:lang w:val="es-ES"/>
        </w:rPr>
        <w:footnoteReference w:id="15"/>
      </w:r>
      <w:r w:rsidRPr="00B60BC4">
        <w:rPr>
          <w:rFonts w:ascii="Verdana" w:eastAsia="Times New Roman" w:hAnsi="Verdana" w:cs="Arial"/>
          <w:bCs/>
          <w:lang w:val="es-ES"/>
        </w:rPr>
        <w:t>, en donde se estableció que “la supervisión de los contratos ser[ía] ejercida por un funcionario de la misma entidad estatal”. Incluso, la versión que finalmente se aprobó en cuarto debate</w:t>
      </w:r>
      <w:r w:rsidRPr="00B60BC4">
        <w:rPr>
          <w:rFonts w:ascii="Verdana" w:eastAsia="Times New Roman" w:hAnsi="Verdana" w:cs="Arial"/>
          <w:vertAlign w:val="superscript"/>
          <w:lang w:val="es-ES"/>
        </w:rPr>
        <w:footnoteReference w:id="16"/>
      </w:r>
      <w:r w:rsidRPr="00B60BC4">
        <w:rPr>
          <w:rFonts w:ascii="Verdana" w:eastAsia="Times New Roman" w:hAnsi="Verdana" w:cs="Arial"/>
          <w:bCs/>
          <w:lang w:val="es-ES"/>
        </w:rPr>
        <w:t>, que fue acogida por ambas cámaras legislativas</w:t>
      </w:r>
      <w:r w:rsidRPr="00B60BC4">
        <w:rPr>
          <w:rFonts w:ascii="Verdana" w:eastAsia="Times New Roman" w:hAnsi="Verdana" w:cs="Arial"/>
          <w:vertAlign w:val="superscript"/>
          <w:lang w:val="es-ES"/>
        </w:rPr>
        <w:footnoteReference w:id="17"/>
      </w:r>
      <w:r w:rsidRPr="00B60BC4">
        <w:rPr>
          <w:rFonts w:ascii="Verdana" w:eastAsia="Times New Roman" w:hAnsi="Verdana" w:cs="Arial"/>
          <w:bCs/>
          <w:lang w:val="es-ES"/>
        </w:rPr>
        <w:t xml:space="preserve"> luego del correspondiente trámite de conciliación</w:t>
      </w:r>
      <w:r w:rsidRPr="00B60BC4">
        <w:rPr>
          <w:rFonts w:ascii="Verdana" w:eastAsia="Times New Roman" w:hAnsi="Verdana" w:cs="Arial"/>
          <w:vertAlign w:val="superscript"/>
          <w:lang w:val="es-ES"/>
        </w:rPr>
        <w:footnoteReference w:id="18"/>
      </w:r>
      <w:r w:rsidRPr="00B60BC4">
        <w:rPr>
          <w:rFonts w:ascii="Verdana" w:eastAsia="Times New Roman" w:hAnsi="Verdana" w:cs="Arial"/>
          <w:bCs/>
          <w:lang w:val="es-ES"/>
        </w:rPr>
        <w:t xml:space="preserve">, era del siguiente tenor: “la supervisión </w:t>
      </w:r>
      <w:r w:rsidRPr="00B60BC4">
        <w:rPr>
          <w:rFonts w:ascii="Verdana" w:eastAsia="Times New Roman" w:hAnsi="Verdana" w:cs="Arial"/>
          <w:bCs/>
          <w:lang w:val="es-ES"/>
        </w:rPr>
        <w:lastRenderedPageBreak/>
        <w:t>consistirá en el seguimiento administrativo, técnico, financiero, contable, y jurídico que sobre el cumplimiento del objeto del contrato es ejercida por la misma entidad estatal […]”. Nótese que el legislador acogió, finalmente, la noción “entidad estatal”, sin hacer referencia a los funcionarios de la entidad o a los contratistas.</w:t>
      </w:r>
    </w:p>
    <w:p w14:paraId="784B6990" w14:textId="77777777" w:rsidR="003E6531" w:rsidRPr="007F146C" w:rsidRDefault="003E6531" w:rsidP="003E6531">
      <w:pPr>
        <w:spacing w:after="120" w:line="276" w:lineRule="auto"/>
        <w:ind w:firstLine="709"/>
        <w:jc w:val="both"/>
        <w:rPr>
          <w:rFonts w:ascii="Verdana" w:eastAsia="Times New Roman" w:hAnsi="Verdana" w:cs="Arial"/>
          <w:shd w:val="clear" w:color="auto" w:fill="FFFFFF"/>
          <w:lang w:val="es-ES"/>
        </w:rPr>
      </w:pPr>
      <w:r w:rsidRPr="005B43CB">
        <w:rPr>
          <w:rFonts w:ascii="Verdana" w:eastAsia="Times New Roman" w:hAnsi="Verdana" w:cs="Arial"/>
          <w:shd w:val="clear" w:color="auto" w:fill="FFFFFF"/>
          <w:lang w:val="es-ES"/>
        </w:rPr>
        <w:t>En ese mismo sentido, la “Guía para el ejercicio de las funciones de supervisión e interventoría de los contratos suscritos por las Entidades Estatales” de Colombia Compra Eficiente 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w:t>
      </w:r>
      <w:r w:rsidRPr="007F146C">
        <w:rPr>
          <w:rFonts w:ascii="Verdana" w:eastAsia="Times New Roman" w:hAnsi="Verdana" w:cs="Arial"/>
          <w:shd w:val="clear" w:color="auto" w:fill="FFFFFF"/>
          <w:lang w:val="es-ES"/>
        </w:rPr>
        <w:t xml:space="preserve">opias del apoyo a la supervisión. </w:t>
      </w:r>
    </w:p>
    <w:p w14:paraId="001DA4B0" w14:textId="77777777" w:rsidR="003E6531" w:rsidRPr="00DB7179" w:rsidRDefault="003E6531" w:rsidP="003E6531">
      <w:pPr>
        <w:spacing w:after="120" w:line="276" w:lineRule="auto"/>
        <w:ind w:firstLine="709"/>
        <w:jc w:val="both"/>
        <w:rPr>
          <w:rFonts w:ascii="Verdana" w:eastAsia="Times New Roman" w:hAnsi="Verdana" w:cs="Arial"/>
          <w:color w:val="EE0000"/>
          <w:shd w:val="clear" w:color="auto" w:fill="FFFFFF"/>
          <w:lang w:val="es-ES"/>
        </w:rPr>
      </w:pPr>
      <w:r w:rsidRPr="007F146C">
        <w:rPr>
          <w:rFonts w:ascii="Verdana" w:eastAsia="Times New Roman" w:hAnsi="Verdana" w:cs="Arial"/>
          <w:shd w:val="clear" w:color="auto" w:fill="FFFFFF"/>
          <w:lang w:val="es-ES"/>
        </w:rPr>
        <w:t>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 Así, por ejemplo, el contratista de prestación de servicios podrá apoyar en la tarea de revisión de los entregables, productos, en general, los requisitos para el pago y darle su concepto al supervisor. De todos modos, quien autorizará el pago ante la Entidad Estatal será el funcionario sobre quien recae la supervisión y el respectivo ordenador del gasto de la entidad</w:t>
      </w:r>
      <w:r w:rsidRPr="00DB7179">
        <w:rPr>
          <w:rFonts w:ascii="Verdana" w:eastAsia="Times New Roman" w:hAnsi="Verdana" w:cs="Arial"/>
          <w:color w:val="EE0000"/>
          <w:shd w:val="clear" w:color="auto" w:fill="FFFFFF"/>
          <w:lang w:val="es-ES"/>
        </w:rPr>
        <w:t xml:space="preserve">. </w:t>
      </w:r>
    </w:p>
    <w:p w14:paraId="0C43B2A8" w14:textId="3DBC6A2D" w:rsidR="003E6531" w:rsidRPr="005F0439" w:rsidRDefault="003E6531" w:rsidP="00C76087">
      <w:pPr>
        <w:spacing w:after="120"/>
        <w:jc w:val="both"/>
        <w:rPr>
          <w:rFonts w:ascii="Verdana" w:eastAsia="Times New Roman" w:hAnsi="Verdana" w:cs="Arial"/>
          <w:highlight w:val="cyan"/>
          <w:shd w:val="clear" w:color="auto" w:fill="FFFFFF"/>
          <w:lang w:val="es-ES"/>
        </w:rPr>
      </w:pPr>
      <w:r w:rsidRPr="009E42B9">
        <w:rPr>
          <w:rFonts w:ascii="Verdana" w:eastAsia="Times New Roman" w:hAnsi="Verdana" w:cs="Arial"/>
          <w:shd w:val="clear" w:color="auto" w:fill="FFFFFF"/>
          <w:lang w:val="es-ES"/>
        </w:rPr>
        <w:t>ii</w:t>
      </w:r>
      <w:r w:rsidR="00C1728C">
        <w:rPr>
          <w:rFonts w:ascii="Verdana" w:eastAsia="Times New Roman" w:hAnsi="Verdana" w:cs="Arial"/>
          <w:shd w:val="clear" w:color="auto" w:fill="FFFFFF"/>
          <w:lang w:val="es-ES"/>
        </w:rPr>
        <w:t>i</w:t>
      </w:r>
      <w:r w:rsidR="00CB16E5">
        <w:rPr>
          <w:rFonts w:ascii="Verdana" w:eastAsia="Times New Roman" w:hAnsi="Verdana" w:cs="Arial"/>
          <w:shd w:val="clear" w:color="auto" w:fill="FFFFFF"/>
          <w:lang w:val="es-ES"/>
        </w:rPr>
        <w:t>.</w:t>
      </w:r>
      <w:r w:rsidRPr="009E42B9">
        <w:rPr>
          <w:rFonts w:ascii="Verdana" w:eastAsia="Times New Roman" w:hAnsi="Verdana" w:cs="Arial"/>
          <w:shd w:val="clear" w:color="auto" w:fill="FFFFFF"/>
          <w:lang w:val="es-ES"/>
        </w:rPr>
        <w:t xml:space="preserve"> Ahora bien, </w:t>
      </w:r>
      <w:r w:rsidRPr="009E42B9">
        <w:rPr>
          <w:rFonts w:ascii="Verdana" w:hAnsi="Verdana"/>
        </w:rPr>
        <w:t>dentro de las características del contrato de interventoría pueden</w:t>
      </w:r>
      <w:r w:rsidRPr="009627A3">
        <w:rPr>
          <w:rFonts w:ascii="Verdana" w:hAnsi="Verdana"/>
        </w:rPr>
        <w:t xml:space="preserve"> apreciarse las siguientes: i) es un mecanismo de vigilancia contingente, en el que será obligatorio en el seguimiento de los contratos de obra pública que se hayan adjudicado por licitación pública, a lo que se refiere el artículo 32 numeral 1 de la Ley 80 de 1993, en los demás caso se requerirá cuando “el seguimiento del contrato suponga conocimiento especializado en la materia, o cuando la complejidad o la extensión del mismo lo justifiquen”- art. 83, inciso 2 Ley 1474 de 2011-; ii) este mecanismo de vigilancia exige, en su ejecución, la utilización de conocimientos especializados; iii) en virtud de lo anterior, la entidad contrata a un experto a través de un concurse de méritos, al tratarse la interventoría de una especie del contrato de consultoría- art. 32, numeral 2, inciso 2, de la Ley </w:t>
      </w:r>
      <w:r w:rsidRPr="009627A3">
        <w:rPr>
          <w:rFonts w:ascii="Verdana" w:hAnsi="Verdana"/>
        </w:rPr>
        <w:lastRenderedPageBreak/>
        <w:t>80 de 1993</w:t>
      </w:r>
      <w:r w:rsidRPr="00413568">
        <w:rPr>
          <w:rStyle w:val="Refdenotaalpie"/>
          <w:rFonts w:ascii="Verdana" w:hAnsi="Verdana"/>
        </w:rPr>
        <w:footnoteReference w:id="19"/>
      </w:r>
      <w:r w:rsidRPr="009627A3">
        <w:rPr>
          <w:rFonts w:ascii="Verdana" w:hAnsi="Verdana"/>
        </w:rPr>
        <w:t>-, de manera que la interventoría es realizada por una “persona natural o jurídica contratada para tal fin por la Entidad Estatal” -art. 83 Ley 1474 de 2011-; iv) le es inherente el seguimiento técnico frente a la vigilancia de la correcta ejecución del contrato vigilado, sin embargo, el artículo 83,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quedaran a cargo de la entidad a través del supervisor” -art. 83, inciso 3-; y, finalmente, vi) el contrato de interventoría será supervisado directamente por la entidad -art. 83 inciso 4.</w:t>
      </w:r>
    </w:p>
    <w:p w14:paraId="1C298BC9" w14:textId="77777777" w:rsidR="003E6531" w:rsidRPr="009627A3" w:rsidRDefault="003E6531" w:rsidP="00C76087">
      <w:pPr>
        <w:spacing w:after="120"/>
        <w:ind w:firstLine="708"/>
        <w:jc w:val="both"/>
        <w:rPr>
          <w:rFonts w:ascii="Verdana" w:hAnsi="Verdana"/>
        </w:rPr>
      </w:pPr>
      <w:r w:rsidRPr="009627A3">
        <w:rPr>
          <w:rFonts w:ascii="Verdana" w:hAnsi="Verdana"/>
        </w:rPr>
        <w:t xml:space="preserve">Por otra parte, interesa mencionar que el interventor es un contratista externo a la entidad estatal y al contratista vigilado, de tal forma que es seleccionado por la entidad estatal mediante los procedimientos del artículo 2 de la Ley 1150 de 2007, en principio, a través del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 o una contratación directa, en caso de presentarse alguna de las causales establecidas en el artículo 2 de la Ley 1150 de 2007, que dé lugar a acudir a otra modalidad de selección. </w:t>
      </w:r>
    </w:p>
    <w:p w14:paraId="00E45B15" w14:textId="77777777" w:rsidR="003E6531" w:rsidRDefault="003E6531" w:rsidP="00C76087">
      <w:pPr>
        <w:spacing w:after="120"/>
        <w:ind w:firstLine="708"/>
        <w:jc w:val="both"/>
        <w:rPr>
          <w:rFonts w:ascii="Verdana" w:hAnsi="Verdana"/>
        </w:rPr>
      </w:pPr>
      <w:r w:rsidRPr="009627A3">
        <w:rPr>
          <w:rFonts w:ascii="Verdana" w:hAnsi="Verdana"/>
        </w:rPr>
        <w:t>Cabe mencionar que, el contrato de interventoría es un contrato bilateral, conmutativo y oneroso, por lo que crea obligaciones tanto para la entidad contratante como para el contratista interventor. Asimismo, este contrato es de ejecución sucesiva, toda vez que las prestaciones se prolongan en el tiempo, es decir, la satisfacción de las prestaciones no se da con la prestación de un solo servicio, sino que se requiere el desarrollo de dicha actividad durante un período de tiempo. No obstante, también puede ser de ejecución inmediata cuando recae sobre obligaciones, razón por la cual tendría la virtualidad de modificar su naturaleza siendo, no ya de ejecución sucesiva, sino instantánea.</w:t>
      </w:r>
      <w:r w:rsidRPr="00413568">
        <w:rPr>
          <w:rStyle w:val="Refdenotaalpie"/>
          <w:rFonts w:ascii="Verdana" w:hAnsi="Verdana"/>
        </w:rPr>
        <w:footnoteReference w:id="20"/>
      </w:r>
    </w:p>
    <w:p w14:paraId="5386DA48" w14:textId="77777777" w:rsidR="003E6531" w:rsidRDefault="003E6531" w:rsidP="00C76087">
      <w:pPr>
        <w:spacing w:after="120"/>
        <w:ind w:firstLine="708"/>
        <w:jc w:val="both"/>
        <w:rPr>
          <w:rFonts w:ascii="Verdana" w:hAnsi="Verdana"/>
        </w:rPr>
      </w:pPr>
      <w:r>
        <w:rPr>
          <w:rFonts w:ascii="Verdana" w:hAnsi="Verdana"/>
        </w:rPr>
        <w:t>De</w:t>
      </w:r>
      <w:r w:rsidRPr="009627A3">
        <w:rPr>
          <w:rFonts w:ascii="Verdana" w:hAnsi="Verdana"/>
        </w:rPr>
        <w:t xml:space="preserve"> conformidad con lo establecido, en el artículo 32, numeral 1; inciso 2 de la Ley 80 de 1993, la cual que los contratos de obra, que hayan sido celebrado </w:t>
      </w:r>
      <w:r w:rsidRPr="009627A3">
        <w:rPr>
          <w:rFonts w:ascii="Verdana" w:hAnsi="Verdana"/>
        </w:rPr>
        <w:lastRenderedPageBreak/>
        <w:t>como resultado de proceso de licitación pública, se deberá contratar a un interventor, el cual será una persona independiente de la entidad estatal contratante y del contratista, que va a ejecutar el objeto del contrato</w:t>
      </w:r>
      <w:r>
        <w:rPr>
          <w:rStyle w:val="Refdenotaalpie"/>
          <w:rFonts w:ascii="Verdana" w:hAnsi="Verdana"/>
        </w:rPr>
        <w:footnoteReference w:id="21"/>
      </w:r>
      <w:r w:rsidRPr="009627A3">
        <w:rPr>
          <w:rFonts w:ascii="Verdana" w:hAnsi="Verdana"/>
        </w:rPr>
        <w:t>.</w:t>
      </w:r>
      <w:r>
        <w:rPr>
          <w:rFonts w:ascii="Verdana" w:hAnsi="Verdana"/>
        </w:rPr>
        <w:t xml:space="preserve"> </w:t>
      </w:r>
      <w:r w:rsidRPr="006004B3">
        <w:rPr>
          <w:rFonts w:ascii="Verdana" w:hAnsi="Verdana"/>
        </w:rPr>
        <w:t>En ese orden, el contrato de interventoría se erige como un mecanismo especializado de vigilancia contractual, cuya finalidad es garantizar la correcta ejecución del contrato principal mediante el ejercicio de un control</w:t>
      </w:r>
      <w:r>
        <w:rPr>
          <w:rFonts w:ascii="Verdana" w:hAnsi="Verdana"/>
        </w:rPr>
        <w:t>.</w:t>
      </w:r>
    </w:p>
    <w:p w14:paraId="7770CD57" w14:textId="7B70CB2B" w:rsidR="003E6531" w:rsidRPr="00F16866" w:rsidRDefault="003E6531" w:rsidP="00C76087">
      <w:pPr>
        <w:spacing w:after="120" w:line="276" w:lineRule="auto"/>
        <w:jc w:val="both"/>
        <w:rPr>
          <w:rFonts w:ascii="Verdana" w:eastAsia="Times New Roman" w:hAnsi="Verdana" w:cs="Arial"/>
          <w:shd w:val="clear" w:color="auto" w:fill="FFFFFF"/>
          <w:lang w:val="es-ES"/>
        </w:rPr>
      </w:pPr>
      <w:r w:rsidRPr="005B5989">
        <w:rPr>
          <w:rFonts w:ascii="Verdana" w:hAnsi="Verdana"/>
        </w:rPr>
        <w:t>i</w:t>
      </w:r>
      <w:r w:rsidR="00E12075">
        <w:rPr>
          <w:rFonts w:ascii="Verdana" w:hAnsi="Verdana"/>
        </w:rPr>
        <w:t>v</w:t>
      </w:r>
      <w:r w:rsidR="00CB16E5">
        <w:rPr>
          <w:rFonts w:ascii="Verdana" w:hAnsi="Verdana"/>
        </w:rPr>
        <w:t>.</w:t>
      </w:r>
      <w:r w:rsidRPr="005B5989">
        <w:rPr>
          <w:rFonts w:ascii="Verdana" w:hAnsi="Verdana"/>
        </w:rPr>
        <w:t xml:space="preserve"> </w:t>
      </w:r>
      <w:r w:rsidRPr="005B5989">
        <w:rPr>
          <w:rFonts w:ascii="Verdana" w:eastAsia="Times New Roman" w:hAnsi="Verdana" w:cs="Arial"/>
          <w:shd w:val="clear" w:color="auto" w:fill="FFFFFF"/>
        </w:rPr>
        <w:t>En ese contexto, debe señalarse que</w:t>
      </w:r>
      <w:r w:rsidR="00E12075">
        <w:rPr>
          <w:rFonts w:ascii="Verdana" w:eastAsia="Times New Roman" w:hAnsi="Verdana" w:cs="Arial"/>
          <w:shd w:val="clear" w:color="auto" w:fill="FFFFFF"/>
        </w:rPr>
        <w:t>,</w:t>
      </w:r>
      <w:r w:rsidRPr="005B5989">
        <w:rPr>
          <w:rFonts w:ascii="Verdana" w:eastAsia="Times New Roman" w:hAnsi="Verdana" w:cs="Arial"/>
          <w:shd w:val="clear" w:color="auto" w:fill="FFFFFF"/>
        </w:rPr>
        <w:t xml:space="preserve"> tanto los supervisores como los interventores tienen como función general ejercer el control y la vigilancia sobre la ejecución de los contratos respecto de los cuales les han sido asignadas obligaciones específicas. Esta labor se orienta a verificar el cumplimiento de las condiciones pactadas y, para ello, se encuentran facultados para solicitar informes, aclaraciones y explicaciones sobre el desarrollo de la ejecución contractual, impartir instrucciones al contratista y formular recomendaciones encaminadas a asegurar la adecuada ejecución del objeto contratado.</w:t>
      </w:r>
    </w:p>
    <w:p w14:paraId="3D8273BF" w14:textId="77777777" w:rsidR="003E6531" w:rsidRPr="00F16866" w:rsidRDefault="003E6531" w:rsidP="003E6531">
      <w:pPr>
        <w:spacing w:after="120" w:line="276" w:lineRule="auto"/>
        <w:ind w:firstLine="709"/>
        <w:jc w:val="both"/>
        <w:rPr>
          <w:rFonts w:ascii="Verdana" w:eastAsia="Times New Roman" w:hAnsi="Verdana" w:cs="Arial"/>
          <w:shd w:val="clear" w:color="auto" w:fill="FFFFFF"/>
          <w:lang w:val="es-ES"/>
        </w:rPr>
      </w:pPr>
      <w:r w:rsidRPr="00F16866">
        <w:rPr>
          <w:rFonts w:ascii="Verdana" w:eastAsia="Times New Roman" w:hAnsi="Verdana" w:cs="Arial"/>
          <w:shd w:val="clear" w:color="auto" w:fill="FFFFFF"/>
        </w:rPr>
        <w:t xml:space="preserve">En ese sentido, la vigilancia de la ejecución del contrato estatal comporta el deber de velar por el cumplimiento de los plazos, las calidades, las cantidades y la correcta inversión de los recursos. Corresponde, entonces, a los supervisores y/o interventores verificar, en primera instancia, las entregas de bienes, obras o servicios efectuadas por el contratista, determinando si estas se ajustan a las estipulaciones contractuales. </w:t>
      </w:r>
      <w:r w:rsidRPr="00F16866">
        <w:rPr>
          <w:rFonts w:ascii="Verdana" w:eastAsia="Times New Roman" w:hAnsi="Verdana" w:cs="Arial"/>
          <w:shd w:val="clear" w:color="auto" w:fill="FFFFFF"/>
          <w:lang w:val="es-ES"/>
        </w:rPr>
        <w:t xml:space="preserve">Tales actividades propias de la custodia a la debida ejecución de los contratos estatales también implican el deber de supervisores e interventores de concurrir a la suscripción de documentos como actas parciales de avance, actas parciales de recibo y actas de recibo final, </w:t>
      </w:r>
      <w:r w:rsidRPr="00F16866">
        <w:rPr>
          <w:rFonts w:ascii="Verdana" w:eastAsia="Times New Roman" w:hAnsi="Verdana" w:cs="Arial"/>
          <w:shd w:val="clear" w:color="auto" w:fill="FFFFFF"/>
        </w:rPr>
        <w:t>en cuanto instrumentos que acreditan el estado de ejecución del contrato.</w:t>
      </w:r>
    </w:p>
    <w:p w14:paraId="509F4B04" w14:textId="77777777" w:rsidR="003E6531" w:rsidRDefault="003E6531" w:rsidP="003E6531">
      <w:pPr>
        <w:spacing w:after="120" w:line="276" w:lineRule="auto"/>
        <w:ind w:firstLine="709"/>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 xml:space="preserve">Así las cosas, </w:t>
      </w:r>
      <w:r w:rsidRPr="00B60BC4">
        <w:rPr>
          <w:rFonts w:ascii="Verdana" w:eastAsia="Times New Roman" w:hAnsi="Verdana" w:cs="Arial"/>
          <w:shd w:val="clear" w:color="auto" w:fill="FFFFFF"/>
          <w:lang w:val="es-ES"/>
        </w:rPr>
        <w:t xml:space="preserve">puede </w:t>
      </w:r>
      <w:r>
        <w:rPr>
          <w:rFonts w:ascii="Verdana" w:eastAsia="Times New Roman" w:hAnsi="Verdana" w:cs="Arial"/>
          <w:shd w:val="clear" w:color="auto" w:fill="FFFFFF"/>
          <w:lang w:val="es-ES"/>
        </w:rPr>
        <w:t>concluirse</w:t>
      </w:r>
      <w:r w:rsidRPr="00B60BC4">
        <w:rPr>
          <w:rFonts w:ascii="Verdana" w:eastAsia="Times New Roman" w:hAnsi="Verdana" w:cs="Arial"/>
          <w:shd w:val="clear" w:color="auto" w:fill="FFFFFF"/>
          <w:lang w:val="es-ES"/>
        </w:rPr>
        <w:t xml:space="preserve"> que la supervisión </w:t>
      </w:r>
      <w:r>
        <w:rPr>
          <w:rFonts w:ascii="Verdana" w:eastAsia="Times New Roman" w:hAnsi="Verdana" w:cs="Arial"/>
          <w:shd w:val="clear" w:color="auto" w:fill="FFFFFF"/>
          <w:lang w:val="es-ES"/>
        </w:rPr>
        <w:t>constituye</w:t>
      </w:r>
      <w:r w:rsidRPr="00B60BC4">
        <w:rPr>
          <w:rFonts w:ascii="Verdana" w:eastAsia="Times New Roman" w:hAnsi="Verdana" w:cs="Arial"/>
          <w:shd w:val="clear" w:color="auto" w:fill="FFFFFF"/>
          <w:lang w:val="es-ES"/>
        </w:rPr>
        <w:t xml:space="preserve"> uno de los medios para que las entidades ejerzan la dirección, control y vigilancia de sus contratos, con el fin de lograr el objeto contractual. </w:t>
      </w:r>
      <w:r>
        <w:rPr>
          <w:rFonts w:ascii="Verdana" w:eastAsia="Times New Roman" w:hAnsi="Verdana" w:cs="Arial"/>
          <w:shd w:val="clear" w:color="auto" w:fill="FFFFFF"/>
          <w:lang w:val="es-ES"/>
        </w:rPr>
        <w:t>Tal como se ha señalado a lo largo del presente concepto,</w:t>
      </w:r>
      <w:r w:rsidRPr="00B60BC4">
        <w:rPr>
          <w:rFonts w:ascii="Verdana" w:eastAsia="Times New Roman" w:hAnsi="Verdana" w:cs="Arial"/>
          <w:shd w:val="clear" w:color="auto" w:fill="FFFFFF"/>
          <w:lang w:val="es-ES"/>
        </w:rPr>
        <w:t xml:space="preserve"> </w:t>
      </w:r>
      <w:r w:rsidRPr="00B60BC4">
        <w:rPr>
          <w:rFonts w:ascii="Verdana" w:eastAsia="Times New Roman" w:hAnsi="Verdana" w:cs="Arial"/>
          <w:bCs/>
          <w:lang w:val="es-ES"/>
        </w:rPr>
        <w:t xml:space="preserve">la labor de supervisión </w:t>
      </w:r>
      <w:r>
        <w:rPr>
          <w:rFonts w:ascii="Verdana" w:eastAsia="Times New Roman" w:hAnsi="Verdana" w:cs="Arial"/>
          <w:bCs/>
          <w:lang w:val="es-ES"/>
        </w:rPr>
        <w:t xml:space="preserve">debe realizarse frente a </w:t>
      </w:r>
      <w:r w:rsidRPr="00B60BC4">
        <w:rPr>
          <w:rFonts w:ascii="Verdana" w:eastAsia="Times New Roman" w:hAnsi="Verdana" w:cs="Arial"/>
          <w:bCs/>
          <w:lang w:val="es-ES"/>
        </w:rPr>
        <w:t>cualquier contrato estatal</w:t>
      </w:r>
      <w:r>
        <w:rPr>
          <w:rFonts w:ascii="Verdana" w:eastAsia="Times New Roman" w:hAnsi="Verdana" w:cs="Arial"/>
          <w:bCs/>
          <w:lang w:val="es-ES"/>
        </w:rPr>
        <w:t xml:space="preserve">, incluido los contratos de interventoría de obra pública. Así mismo, </w:t>
      </w:r>
      <w:r>
        <w:rPr>
          <w:rFonts w:ascii="Verdana" w:eastAsia="Times New Roman" w:hAnsi="Verdana" w:cs="Arial"/>
          <w:shd w:val="clear" w:color="auto" w:fill="FFFFFF"/>
          <w:lang w:val="es-ES"/>
        </w:rPr>
        <w:t xml:space="preserve">debe precisarse que, </w:t>
      </w:r>
      <w:r w:rsidRPr="00B60BC4">
        <w:rPr>
          <w:rFonts w:ascii="Verdana" w:eastAsia="Times New Roman" w:hAnsi="Verdana" w:cs="Arial"/>
          <w:shd w:val="clear" w:color="auto" w:fill="FFFFFF"/>
          <w:lang w:val="es-ES"/>
        </w:rPr>
        <w:t xml:space="preserve">el supervisor, de acuerdo con lo </w:t>
      </w:r>
      <w:r>
        <w:rPr>
          <w:rFonts w:ascii="Verdana" w:eastAsia="Times New Roman" w:hAnsi="Verdana" w:cs="Arial"/>
          <w:shd w:val="clear" w:color="auto" w:fill="FFFFFF"/>
          <w:lang w:val="es-ES"/>
        </w:rPr>
        <w:t>dispuesto</w:t>
      </w:r>
      <w:r w:rsidRPr="00B60BC4">
        <w:rPr>
          <w:rFonts w:ascii="Verdana" w:eastAsia="Times New Roman" w:hAnsi="Verdana" w:cs="Arial"/>
          <w:shd w:val="clear" w:color="auto" w:fill="FFFFFF"/>
          <w:lang w:val="es-ES"/>
        </w:rPr>
        <w:t xml:space="preserve"> en la Ley 80 de 1993, tiene la obligación de desarrollar las actividades </w:t>
      </w:r>
      <w:r>
        <w:rPr>
          <w:rFonts w:ascii="Verdana" w:eastAsia="Times New Roman" w:hAnsi="Verdana" w:cs="Arial"/>
          <w:shd w:val="clear" w:color="auto" w:fill="FFFFFF"/>
          <w:lang w:val="es-ES"/>
        </w:rPr>
        <w:t>orientadas a</w:t>
      </w:r>
      <w:r w:rsidRPr="00B60BC4">
        <w:rPr>
          <w:rFonts w:ascii="Verdana" w:eastAsia="Times New Roman" w:hAnsi="Verdana" w:cs="Arial"/>
          <w:shd w:val="clear" w:color="auto" w:fill="FFFFFF"/>
          <w:lang w:val="es-ES"/>
        </w:rPr>
        <w:t xml:space="preserve"> </w:t>
      </w:r>
      <w:r w:rsidRPr="00B60BC4">
        <w:rPr>
          <w:rFonts w:ascii="Verdana" w:eastAsia="Times New Roman" w:hAnsi="Verdana" w:cs="Arial"/>
          <w:shd w:val="clear" w:color="auto" w:fill="FFFFFF"/>
          <w:lang w:val="es-ES"/>
        </w:rPr>
        <w:lastRenderedPageBreak/>
        <w:t>la vigilancia y seguimiento del cumplimiento de</w:t>
      </w:r>
      <w:r>
        <w:rPr>
          <w:rFonts w:ascii="Verdana" w:eastAsia="Times New Roman" w:hAnsi="Verdana" w:cs="Arial"/>
          <w:shd w:val="clear" w:color="auto" w:fill="FFFFFF"/>
          <w:lang w:val="es-ES"/>
        </w:rPr>
        <w:t>l</w:t>
      </w:r>
      <w:r w:rsidRPr="00B60BC4">
        <w:rPr>
          <w:rFonts w:ascii="Verdana" w:eastAsia="Times New Roman" w:hAnsi="Verdana" w:cs="Arial"/>
          <w:shd w:val="clear" w:color="auto" w:fill="FFFFFF"/>
          <w:lang w:val="es-ES"/>
        </w:rPr>
        <w:t xml:space="preserve"> contrato</w:t>
      </w:r>
      <w:r>
        <w:rPr>
          <w:rFonts w:ascii="Verdana" w:eastAsia="Times New Roman" w:hAnsi="Verdana" w:cs="Arial"/>
          <w:shd w:val="clear" w:color="auto" w:fill="FFFFFF"/>
          <w:lang w:val="es-ES"/>
        </w:rPr>
        <w:t xml:space="preserve"> objeto de supervisión, lo cual, en el caso analizado, corresponde al contrato de interventoría. En consecuencia, el</w:t>
      </w:r>
      <w:r w:rsidRPr="00B60BC4">
        <w:rPr>
          <w:rFonts w:ascii="Verdana" w:eastAsia="Times New Roman" w:hAnsi="Verdana" w:cs="Arial"/>
          <w:shd w:val="clear" w:color="auto" w:fill="FFFFFF"/>
          <w:lang w:val="es-ES"/>
        </w:rPr>
        <w:t xml:space="preserve"> empleado público</w:t>
      </w:r>
      <w:r>
        <w:rPr>
          <w:rFonts w:ascii="Verdana" w:eastAsia="Times New Roman" w:hAnsi="Verdana" w:cs="Arial"/>
          <w:shd w:val="clear" w:color="auto" w:fill="FFFFFF"/>
          <w:lang w:val="es-ES"/>
        </w:rPr>
        <w:t xml:space="preserve"> designado como supervisor deberá ejercer las labores propias en relación con el contrato de interventoría, más no frente al contrato de obra pública que constituye el objeto del contrato de interventoría</w:t>
      </w:r>
      <w:r w:rsidRPr="00B60BC4">
        <w:rPr>
          <w:rFonts w:ascii="Verdana" w:eastAsia="Times New Roman" w:hAnsi="Verdana" w:cs="Arial"/>
          <w:shd w:val="clear" w:color="auto" w:fill="FFFFFF"/>
          <w:lang w:val="es-ES"/>
        </w:rPr>
        <w:t>.</w:t>
      </w:r>
    </w:p>
    <w:p w14:paraId="682321CF" w14:textId="30619D5E" w:rsidR="00D8723F" w:rsidRDefault="00BE1CF7" w:rsidP="00D8723F">
      <w:pPr>
        <w:spacing w:before="120" w:after="120" w:line="276" w:lineRule="auto"/>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 xml:space="preserve">v. De acuerdo con lo expuesto, respecto de </w:t>
      </w:r>
      <w:r w:rsidR="00120971">
        <w:rPr>
          <w:rFonts w:ascii="Verdana" w:eastAsia="Times New Roman" w:hAnsi="Verdana" w:cs="Arial"/>
          <w:shd w:val="clear" w:color="auto" w:fill="FFFFFF"/>
          <w:lang w:val="es-ES"/>
        </w:rPr>
        <w:t xml:space="preserve">la hipótesis materia de </w:t>
      </w:r>
      <w:r w:rsidR="008B39CF">
        <w:rPr>
          <w:rFonts w:ascii="Verdana" w:eastAsia="Times New Roman" w:hAnsi="Verdana" w:cs="Arial"/>
          <w:shd w:val="clear" w:color="auto" w:fill="FFFFFF"/>
          <w:lang w:val="es-ES"/>
        </w:rPr>
        <w:t>consulta, se</w:t>
      </w:r>
      <w:r>
        <w:rPr>
          <w:rFonts w:ascii="Verdana" w:eastAsia="Times New Roman" w:hAnsi="Verdana" w:cs="Arial"/>
          <w:shd w:val="clear" w:color="auto" w:fill="FFFFFF"/>
          <w:lang w:val="es-ES"/>
        </w:rPr>
        <w:t xml:space="preserve"> debe advertir que,</w:t>
      </w:r>
      <w:r w:rsidR="001E7801">
        <w:rPr>
          <w:rFonts w:ascii="Verdana" w:eastAsia="Times New Roman" w:hAnsi="Verdana" w:cs="Arial"/>
          <w:shd w:val="clear" w:color="auto" w:fill="FFFFFF"/>
          <w:lang w:val="es-ES"/>
        </w:rPr>
        <w:t xml:space="preserve"> </w:t>
      </w:r>
      <w:r>
        <w:rPr>
          <w:rFonts w:ascii="Verdana" w:eastAsia="Times New Roman" w:hAnsi="Verdana" w:cs="Arial"/>
          <w:shd w:val="clear" w:color="auto" w:fill="FFFFFF"/>
          <w:lang w:val="es-ES"/>
        </w:rPr>
        <w:t xml:space="preserve">el </w:t>
      </w:r>
      <w:r w:rsidR="001E7801">
        <w:rPr>
          <w:rFonts w:ascii="Verdana" w:eastAsia="Times New Roman" w:hAnsi="Verdana" w:cs="Arial"/>
          <w:shd w:val="clear" w:color="auto" w:fill="FFFFFF"/>
          <w:lang w:val="es-ES"/>
        </w:rPr>
        <w:t>supervisor del contrato tiene</w:t>
      </w:r>
      <w:r w:rsidR="00CB16E5" w:rsidRPr="00B60BC4">
        <w:rPr>
          <w:rFonts w:ascii="Verdana" w:eastAsia="Times New Roman" w:hAnsi="Verdana" w:cs="Arial"/>
          <w:shd w:val="clear" w:color="auto" w:fill="FFFFFF"/>
          <w:lang w:val="es-ES"/>
        </w:rPr>
        <w:t xml:space="preserve"> la obligación de desarrollar las actividades </w:t>
      </w:r>
      <w:r w:rsidR="00120971">
        <w:rPr>
          <w:rFonts w:ascii="Verdana" w:eastAsia="Times New Roman" w:hAnsi="Verdana" w:cs="Arial"/>
          <w:shd w:val="clear" w:color="auto" w:fill="FFFFFF"/>
          <w:lang w:val="es-ES"/>
        </w:rPr>
        <w:t>requeridas en el marco de</w:t>
      </w:r>
      <w:r w:rsidR="00CB16E5">
        <w:rPr>
          <w:rFonts w:ascii="Verdana" w:eastAsia="Times New Roman" w:hAnsi="Verdana" w:cs="Arial"/>
          <w:shd w:val="clear" w:color="auto" w:fill="FFFFFF"/>
          <w:lang w:val="es-ES"/>
        </w:rPr>
        <w:t xml:space="preserve"> </w:t>
      </w:r>
      <w:r w:rsidR="00CB16E5" w:rsidRPr="00B60BC4">
        <w:rPr>
          <w:rFonts w:ascii="Verdana" w:eastAsia="Times New Roman" w:hAnsi="Verdana" w:cs="Arial"/>
          <w:shd w:val="clear" w:color="auto" w:fill="FFFFFF"/>
          <w:lang w:val="es-ES"/>
        </w:rPr>
        <w:t>la vigilancia y seguimiento del cumplimiento de</w:t>
      </w:r>
      <w:r w:rsidR="00CB16E5">
        <w:rPr>
          <w:rFonts w:ascii="Verdana" w:eastAsia="Times New Roman" w:hAnsi="Verdana" w:cs="Arial"/>
          <w:shd w:val="clear" w:color="auto" w:fill="FFFFFF"/>
          <w:lang w:val="es-ES"/>
        </w:rPr>
        <w:t>l</w:t>
      </w:r>
      <w:r w:rsidR="00CB16E5" w:rsidRPr="00B60BC4">
        <w:rPr>
          <w:rFonts w:ascii="Verdana" w:eastAsia="Times New Roman" w:hAnsi="Verdana" w:cs="Arial"/>
          <w:shd w:val="clear" w:color="auto" w:fill="FFFFFF"/>
          <w:lang w:val="es-ES"/>
        </w:rPr>
        <w:t xml:space="preserve"> contrato</w:t>
      </w:r>
      <w:r w:rsidR="00CB16E5">
        <w:rPr>
          <w:rFonts w:ascii="Verdana" w:eastAsia="Times New Roman" w:hAnsi="Verdana" w:cs="Arial"/>
          <w:shd w:val="clear" w:color="auto" w:fill="FFFFFF"/>
          <w:lang w:val="es-ES"/>
        </w:rPr>
        <w:t xml:space="preserve"> objeto de supervisión, </w:t>
      </w:r>
      <w:r w:rsidR="003472CE">
        <w:rPr>
          <w:rFonts w:ascii="Verdana" w:eastAsia="Times New Roman" w:hAnsi="Verdana" w:cs="Arial"/>
          <w:shd w:val="clear" w:color="auto" w:fill="FFFFFF"/>
          <w:lang w:val="es-ES"/>
        </w:rPr>
        <w:t xml:space="preserve">esto es, el contrato de </w:t>
      </w:r>
      <w:r w:rsidR="0094419D">
        <w:rPr>
          <w:rFonts w:ascii="Verdana" w:eastAsia="Times New Roman" w:hAnsi="Verdana" w:cs="Arial"/>
          <w:shd w:val="clear" w:color="auto" w:fill="FFFFFF"/>
          <w:lang w:val="es-ES"/>
        </w:rPr>
        <w:t>interventoría.</w:t>
      </w:r>
      <w:r w:rsidR="00CB16E5">
        <w:rPr>
          <w:rFonts w:ascii="Verdana" w:eastAsia="Times New Roman" w:hAnsi="Verdana" w:cs="Arial"/>
          <w:shd w:val="clear" w:color="auto" w:fill="FFFFFF"/>
          <w:lang w:val="es-ES"/>
        </w:rPr>
        <w:t xml:space="preserve"> Esto implica realizar el seguimiento técnico, jurídico, económico y financiero al contrato de interventoría, cuyo desarrollo implica </w:t>
      </w:r>
      <w:r w:rsidR="00D8723F">
        <w:rPr>
          <w:rFonts w:ascii="Verdana" w:eastAsia="Times New Roman" w:hAnsi="Verdana" w:cs="Arial"/>
          <w:shd w:val="clear" w:color="auto" w:fill="FFFFFF"/>
          <w:lang w:val="es-ES"/>
        </w:rPr>
        <w:t>el</w:t>
      </w:r>
      <w:r w:rsidR="00CB16E5">
        <w:rPr>
          <w:rFonts w:ascii="Verdana" w:eastAsia="Times New Roman" w:hAnsi="Verdana" w:cs="Arial"/>
          <w:shd w:val="clear" w:color="auto" w:fill="FFFFFF"/>
          <w:lang w:val="es-ES"/>
        </w:rPr>
        <w:t xml:space="preserve"> </w:t>
      </w:r>
      <w:r w:rsidR="008B39CF">
        <w:rPr>
          <w:rFonts w:ascii="Verdana" w:eastAsia="Times New Roman" w:hAnsi="Verdana" w:cs="Arial"/>
          <w:shd w:val="clear" w:color="auto" w:fill="FFFFFF"/>
          <w:lang w:val="es-ES"/>
        </w:rPr>
        <w:t>seguimiento respecto</w:t>
      </w:r>
      <w:r w:rsidR="0094419D">
        <w:rPr>
          <w:rFonts w:ascii="Verdana" w:eastAsia="Times New Roman" w:hAnsi="Verdana" w:cs="Arial"/>
          <w:shd w:val="clear" w:color="auto" w:fill="FFFFFF"/>
          <w:lang w:val="es-ES"/>
        </w:rPr>
        <w:t xml:space="preserve"> de otro contrato </w:t>
      </w:r>
      <w:r w:rsidR="00D8723F">
        <w:rPr>
          <w:rFonts w:ascii="Verdana" w:eastAsia="Times New Roman" w:hAnsi="Verdana" w:cs="Arial"/>
          <w:shd w:val="clear" w:color="auto" w:fill="FFFFFF"/>
          <w:lang w:val="es-ES"/>
        </w:rPr>
        <w:t xml:space="preserve">como lo es el de </w:t>
      </w:r>
      <w:r w:rsidR="00CB16E5">
        <w:rPr>
          <w:rFonts w:ascii="Verdana" w:eastAsia="Times New Roman" w:hAnsi="Verdana" w:cs="Arial"/>
          <w:shd w:val="clear" w:color="auto" w:fill="FFFFFF"/>
          <w:lang w:val="es-ES"/>
        </w:rPr>
        <w:t>obra</w:t>
      </w:r>
      <w:r w:rsidR="00D8723F">
        <w:rPr>
          <w:rFonts w:ascii="Verdana" w:eastAsia="Times New Roman" w:hAnsi="Verdana" w:cs="Arial"/>
          <w:shd w:val="clear" w:color="auto" w:fill="FFFFFF"/>
          <w:lang w:val="es-ES"/>
        </w:rPr>
        <w:t xml:space="preserve"> pública, el cual está directamente a cargo del interventor</w:t>
      </w:r>
      <w:r w:rsidR="00CB16E5">
        <w:rPr>
          <w:rFonts w:ascii="Verdana" w:eastAsia="Times New Roman" w:hAnsi="Verdana" w:cs="Arial"/>
          <w:shd w:val="clear" w:color="auto" w:fill="FFFFFF"/>
          <w:lang w:val="es-ES"/>
        </w:rPr>
        <w:t>. En ese sentido, si bien las obligaciones del supervisor del contrato de interventoría tiene</w:t>
      </w:r>
      <w:r w:rsidR="00D8723F">
        <w:rPr>
          <w:rFonts w:ascii="Verdana" w:eastAsia="Times New Roman" w:hAnsi="Verdana" w:cs="Arial"/>
          <w:shd w:val="clear" w:color="auto" w:fill="FFFFFF"/>
          <w:lang w:val="es-ES"/>
        </w:rPr>
        <w:t>n</w:t>
      </w:r>
      <w:r w:rsidR="00CB16E5">
        <w:rPr>
          <w:rFonts w:ascii="Verdana" w:eastAsia="Times New Roman" w:hAnsi="Verdana" w:cs="Arial"/>
          <w:shd w:val="clear" w:color="auto" w:fill="FFFFFF"/>
          <w:lang w:val="es-ES"/>
        </w:rPr>
        <w:t xml:space="preserve"> una relación con las actividades del contrato de obra, tal relación es indirecta, ya que no está llamada a surtir efectos</w:t>
      </w:r>
      <w:r w:rsidR="00D8723F">
        <w:rPr>
          <w:rFonts w:ascii="Verdana" w:eastAsia="Times New Roman" w:hAnsi="Verdana" w:cs="Arial"/>
          <w:shd w:val="clear" w:color="auto" w:fill="FFFFFF"/>
          <w:lang w:val="es-ES"/>
        </w:rPr>
        <w:t xml:space="preserve"> directos</w:t>
      </w:r>
      <w:r w:rsidR="00CB16E5">
        <w:rPr>
          <w:rFonts w:ascii="Verdana" w:eastAsia="Times New Roman" w:hAnsi="Verdana" w:cs="Arial"/>
          <w:shd w:val="clear" w:color="auto" w:fill="FFFFFF"/>
          <w:lang w:val="es-ES"/>
        </w:rPr>
        <w:t xml:space="preserve"> en la ejecución de este, sino en el contrato de interventoría.  </w:t>
      </w:r>
      <w:r w:rsidR="00B128C5">
        <w:rPr>
          <w:rFonts w:ascii="Verdana" w:eastAsia="Times New Roman" w:hAnsi="Verdana" w:cs="Arial"/>
          <w:shd w:val="clear" w:color="auto" w:fill="FFFFFF"/>
          <w:lang w:val="es-ES"/>
        </w:rPr>
        <w:t>Esto sin perjuicio de que, en virtud de las funciones atribuidas al supervisor</w:t>
      </w:r>
      <w:r w:rsidR="00343806">
        <w:rPr>
          <w:rFonts w:ascii="Verdana" w:eastAsia="Times New Roman" w:hAnsi="Verdana" w:cs="Arial"/>
          <w:shd w:val="clear" w:color="auto" w:fill="FFFFFF"/>
          <w:lang w:val="es-ES"/>
        </w:rPr>
        <w:t xml:space="preserve"> del contrato de interventoría</w:t>
      </w:r>
      <w:r w:rsidR="00B128C5">
        <w:rPr>
          <w:rFonts w:ascii="Verdana" w:eastAsia="Times New Roman" w:hAnsi="Verdana" w:cs="Arial"/>
          <w:shd w:val="clear" w:color="auto" w:fill="FFFFFF"/>
          <w:lang w:val="es-ES"/>
        </w:rPr>
        <w:t xml:space="preserve"> en </w:t>
      </w:r>
      <w:r w:rsidR="008B451D">
        <w:rPr>
          <w:rFonts w:ascii="Verdana" w:eastAsia="Times New Roman" w:hAnsi="Verdana" w:cs="Arial"/>
          <w:shd w:val="clear" w:color="auto" w:fill="FFFFFF"/>
          <w:lang w:val="es-ES"/>
        </w:rPr>
        <w:t xml:space="preserve">el manual de contratación o supervisión o lo señalado en el acto de </w:t>
      </w:r>
      <w:r w:rsidR="00343806">
        <w:rPr>
          <w:rFonts w:ascii="Verdana" w:eastAsia="Times New Roman" w:hAnsi="Verdana" w:cs="Arial"/>
          <w:shd w:val="clear" w:color="auto" w:fill="FFFFFF"/>
          <w:lang w:val="es-ES"/>
        </w:rPr>
        <w:t xml:space="preserve">designación, este </w:t>
      </w:r>
      <w:r>
        <w:rPr>
          <w:rFonts w:ascii="Verdana" w:eastAsia="Times New Roman" w:hAnsi="Verdana" w:cs="Arial"/>
          <w:shd w:val="clear" w:color="auto" w:fill="FFFFFF"/>
          <w:lang w:val="es-ES"/>
        </w:rPr>
        <w:t xml:space="preserve">tenga deberes cuyo cumplimiento tenga incidencia en la ejecución del contrato de obra vigilado por el interventor. </w:t>
      </w:r>
    </w:p>
    <w:p w14:paraId="312AE5D2" w14:textId="2F3F3FB0" w:rsidR="00BD53C1" w:rsidRDefault="00BE1CF7" w:rsidP="00295505">
      <w:pPr>
        <w:spacing w:before="120" w:after="120" w:line="276" w:lineRule="auto"/>
        <w:ind w:firstLine="708"/>
        <w:jc w:val="both"/>
        <w:rPr>
          <w:rFonts w:ascii="Verdana" w:eastAsia="Arial" w:hAnsi="Verdana" w:cs="Arial"/>
          <w:bCs/>
          <w:lang w:eastAsia="es-ES" w:bidi="es-ES"/>
        </w:rPr>
      </w:pPr>
      <w:r>
        <w:rPr>
          <w:rFonts w:ascii="Verdana" w:eastAsia="Times New Roman" w:hAnsi="Verdana" w:cs="Arial"/>
          <w:shd w:val="clear" w:color="auto" w:fill="FFFFFF"/>
          <w:lang w:val="es-ES"/>
        </w:rPr>
        <w:t>En atención a lo anterior</w:t>
      </w:r>
      <w:r w:rsidR="00CB16E5" w:rsidRPr="00EA3C1A">
        <w:rPr>
          <w:rFonts w:ascii="Verdana" w:eastAsia="Arial" w:hAnsi="Verdana" w:cs="Arial"/>
          <w:bCs/>
          <w:lang w:eastAsia="es-ES" w:bidi="es-ES"/>
        </w:rPr>
        <w:t xml:space="preserve">, </w:t>
      </w:r>
      <w:r w:rsidR="006B1EBB">
        <w:rPr>
          <w:rFonts w:ascii="Verdana" w:eastAsia="Arial" w:hAnsi="Verdana" w:cs="Arial"/>
          <w:bCs/>
          <w:lang w:eastAsia="es-ES" w:bidi="es-ES"/>
        </w:rPr>
        <w:t xml:space="preserve">a juicio de esta Agencia, </w:t>
      </w:r>
      <w:r w:rsidR="00CB16E5" w:rsidRPr="00EA3C1A">
        <w:rPr>
          <w:rFonts w:ascii="Verdana" w:eastAsia="Arial" w:hAnsi="Verdana" w:cs="Arial"/>
          <w:bCs/>
          <w:lang w:eastAsia="es-ES" w:bidi="es-ES"/>
        </w:rPr>
        <w:t xml:space="preserve">cualquier análisis sobre la atribución de responsabilidad </w:t>
      </w:r>
      <w:r w:rsidR="00952297">
        <w:rPr>
          <w:rFonts w:ascii="Verdana" w:eastAsia="Arial" w:hAnsi="Verdana" w:cs="Arial"/>
          <w:bCs/>
          <w:lang w:eastAsia="es-ES" w:bidi="es-ES"/>
        </w:rPr>
        <w:t xml:space="preserve">derivada de </w:t>
      </w:r>
      <w:r w:rsidR="00F13E35">
        <w:rPr>
          <w:rFonts w:ascii="Verdana" w:eastAsia="Arial" w:hAnsi="Verdana" w:cs="Arial"/>
          <w:bCs/>
          <w:lang w:eastAsia="es-ES" w:bidi="es-ES"/>
        </w:rPr>
        <w:t xml:space="preserve">las </w:t>
      </w:r>
      <w:r w:rsidR="00952297">
        <w:rPr>
          <w:rFonts w:ascii="Verdana" w:eastAsia="Arial" w:hAnsi="Verdana" w:cs="Arial"/>
          <w:bCs/>
          <w:lang w:eastAsia="es-ES" w:bidi="es-ES"/>
        </w:rPr>
        <w:t>“</w:t>
      </w:r>
      <w:r w:rsidR="00CB16E5" w:rsidRPr="00EA3C1A">
        <w:rPr>
          <w:rFonts w:ascii="Verdana" w:eastAsia="Arial" w:hAnsi="Verdana" w:cs="Arial"/>
          <w:bCs/>
          <w:lang w:eastAsia="es-ES" w:bidi="es-ES"/>
        </w:rPr>
        <w:t>falencias</w:t>
      </w:r>
      <w:r w:rsidR="00952297">
        <w:rPr>
          <w:rFonts w:ascii="Verdana" w:eastAsia="Arial" w:hAnsi="Verdana" w:cs="Arial"/>
          <w:bCs/>
          <w:lang w:eastAsia="es-ES" w:bidi="es-ES"/>
        </w:rPr>
        <w:t>”</w:t>
      </w:r>
      <w:r w:rsidR="00CB16E5" w:rsidRPr="00EA3C1A">
        <w:rPr>
          <w:rFonts w:ascii="Verdana" w:eastAsia="Arial" w:hAnsi="Verdana" w:cs="Arial"/>
          <w:bCs/>
          <w:lang w:eastAsia="es-ES" w:bidi="es-ES"/>
        </w:rPr>
        <w:t xml:space="preserve"> </w:t>
      </w:r>
      <w:r w:rsidR="00952297">
        <w:rPr>
          <w:rFonts w:ascii="Verdana" w:eastAsia="Arial" w:hAnsi="Verdana" w:cs="Arial"/>
          <w:bCs/>
          <w:lang w:eastAsia="es-ES" w:bidi="es-ES"/>
        </w:rPr>
        <w:t>en la ejecución de</w:t>
      </w:r>
      <w:r w:rsidR="00CB16E5" w:rsidRPr="00EA3C1A">
        <w:rPr>
          <w:rFonts w:ascii="Verdana" w:eastAsia="Arial" w:hAnsi="Verdana" w:cs="Arial"/>
          <w:bCs/>
          <w:lang w:eastAsia="es-ES" w:bidi="es-ES"/>
        </w:rPr>
        <w:t xml:space="preserve"> </w:t>
      </w:r>
      <w:r w:rsidR="00CB16E5">
        <w:rPr>
          <w:rFonts w:ascii="Verdana" w:eastAsia="Arial" w:hAnsi="Verdana" w:cs="Arial"/>
          <w:bCs/>
          <w:lang w:eastAsia="es-ES" w:bidi="es-ES"/>
        </w:rPr>
        <w:t xml:space="preserve">un contrato de </w:t>
      </w:r>
      <w:r w:rsidR="00CB16E5" w:rsidRPr="00EA3C1A">
        <w:rPr>
          <w:rFonts w:ascii="Verdana" w:eastAsia="Arial" w:hAnsi="Verdana" w:cs="Arial"/>
          <w:bCs/>
          <w:lang w:eastAsia="es-ES" w:bidi="es-ES"/>
        </w:rPr>
        <w:t>obra</w:t>
      </w:r>
      <w:r w:rsidR="00952297">
        <w:rPr>
          <w:rFonts w:ascii="Verdana" w:eastAsia="Arial" w:hAnsi="Verdana" w:cs="Arial"/>
          <w:bCs/>
          <w:lang w:eastAsia="es-ES" w:bidi="es-ES"/>
        </w:rPr>
        <w:t>,</w:t>
      </w:r>
      <w:r w:rsidR="00CB16E5" w:rsidRPr="00EA3C1A">
        <w:rPr>
          <w:rFonts w:ascii="Verdana" w:eastAsia="Arial" w:hAnsi="Verdana" w:cs="Arial"/>
          <w:bCs/>
          <w:lang w:eastAsia="es-ES" w:bidi="es-ES"/>
        </w:rPr>
        <w:t xml:space="preserve"> </w:t>
      </w:r>
      <w:r w:rsidR="00CB16E5">
        <w:rPr>
          <w:rFonts w:ascii="Verdana" w:eastAsia="Arial" w:hAnsi="Verdana" w:cs="Arial"/>
          <w:bCs/>
          <w:lang w:eastAsia="es-ES" w:bidi="es-ES"/>
        </w:rPr>
        <w:t>respecto del supervisor del contrato de</w:t>
      </w:r>
      <w:r w:rsidR="00F13E35">
        <w:rPr>
          <w:rFonts w:ascii="Verdana" w:eastAsia="Arial" w:hAnsi="Verdana" w:cs="Arial"/>
          <w:bCs/>
          <w:lang w:eastAsia="es-ES" w:bidi="es-ES"/>
        </w:rPr>
        <w:t xml:space="preserve">l interventor </w:t>
      </w:r>
      <w:r w:rsidR="006B1EBB">
        <w:rPr>
          <w:rFonts w:ascii="Verdana" w:eastAsia="Arial" w:hAnsi="Verdana" w:cs="Arial"/>
          <w:bCs/>
          <w:lang w:eastAsia="es-ES" w:bidi="es-ES"/>
        </w:rPr>
        <w:t xml:space="preserve">de </w:t>
      </w:r>
      <w:r w:rsidR="000B71DB">
        <w:rPr>
          <w:rFonts w:ascii="Verdana" w:eastAsia="Arial" w:hAnsi="Verdana" w:cs="Arial"/>
          <w:bCs/>
          <w:lang w:eastAsia="es-ES" w:bidi="es-ES"/>
        </w:rPr>
        <w:t xml:space="preserve">la obra, </w:t>
      </w:r>
      <w:r w:rsidR="002A7C26">
        <w:rPr>
          <w:rFonts w:ascii="Verdana" w:eastAsia="Arial" w:hAnsi="Verdana" w:cs="Arial"/>
          <w:bCs/>
          <w:lang w:eastAsia="es-ES" w:bidi="es-ES"/>
        </w:rPr>
        <w:t>debe partir</w:t>
      </w:r>
      <w:r w:rsidR="00D7388F">
        <w:rPr>
          <w:rFonts w:ascii="Verdana" w:eastAsia="Arial" w:hAnsi="Verdana" w:cs="Arial"/>
          <w:bCs/>
          <w:lang w:eastAsia="es-ES" w:bidi="es-ES"/>
        </w:rPr>
        <w:t xml:space="preserve"> </w:t>
      </w:r>
      <w:r w:rsidR="00B128C5">
        <w:rPr>
          <w:rFonts w:ascii="Verdana" w:eastAsia="Arial" w:hAnsi="Verdana" w:cs="Arial"/>
          <w:bCs/>
          <w:lang w:eastAsia="es-ES" w:bidi="es-ES"/>
        </w:rPr>
        <w:t xml:space="preserve">de </w:t>
      </w:r>
      <w:r w:rsidR="000D7949">
        <w:rPr>
          <w:rFonts w:ascii="Verdana" w:eastAsia="Arial" w:hAnsi="Verdana" w:cs="Arial"/>
          <w:bCs/>
          <w:lang w:eastAsia="es-ES" w:bidi="es-ES"/>
        </w:rPr>
        <w:t>un análisis especifico de los hechos</w:t>
      </w:r>
      <w:r w:rsidR="00CB16E5">
        <w:rPr>
          <w:rFonts w:ascii="Verdana" w:eastAsia="Arial" w:hAnsi="Verdana" w:cs="Arial"/>
          <w:bCs/>
          <w:lang w:eastAsia="es-ES" w:bidi="es-ES"/>
        </w:rPr>
        <w:t>, conforme a</w:t>
      </w:r>
      <w:r w:rsidR="00D8723F">
        <w:rPr>
          <w:rFonts w:ascii="Verdana" w:eastAsia="Arial" w:hAnsi="Verdana" w:cs="Arial"/>
          <w:bCs/>
          <w:lang w:eastAsia="es-ES" w:bidi="es-ES"/>
        </w:rPr>
        <w:t xml:space="preserve"> los establecido en los artículo</w:t>
      </w:r>
      <w:r w:rsidR="00295505">
        <w:rPr>
          <w:rFonts w:ascii="Verdana" w:eastAsia="Arial" w:hAnsi="Verdana" w:cs="Arial"/>
          <w:bCs/>
          <w:lang w:eastAsia="es-ES" w:bidi="es-ES"/>
        </w:rPr>
        <w:t>s</w:t>
      </w:r>
      <w:r w:rsidR="00D8723F">
        <w:rPr>
          <w:rFonts w:ascii="Verdana" w:eastAsia="Arial" w:hAnsi="Verdana" w:cs="Arial"/>
          <w:bCs/>
          <w:lang w:eastAsia="es-ES" w:bidi="es-ES"/>
        </w:rPr>
        <w:t xml:space="preserve"> 51 y 52 de la Ley 80 de 1993</w:t>
      </w:r>
      <w:r>
        <w:rPr>
          <w:rFonts w:ascii="Verdana" w:eastAsia="Arial" w:hAnsi="Verdana" w:cs="Arial"/>
          <w:bCs/>
          <w:lang w:eastAsia="es-ES" w:bidi="es-ES"/>
        </w:rPr>
        <w:t xml:space="preserve">, y los prepuestos necesarios </w:t>
      </w:r>
      <w:r w:rsidR="00E812E4">
        <w:rPr>
          <w:rFonts w:ascii="Verdana" w:eastAsia="Arial" w:hAnsi="Verdana" w:cs="Arial"/>
          <w:bCs/>
          <w:lang w:eastAsia="es-ES" w:bidi="es-ES"/>
        </w:rPr>
        <w:t>para configuración</w:t>
      </w:r>
      <w:r w:rsidR="00295505">
        <w:rPr>
          <w:rFonts w:ascii="Verdana" w:eastAsia="Arial" w:hAnsi="Verdana" w:cs="Arial"/>
          <w:bCs/>
          <w:lang w:eastAsia="es-ES" w:bidi="es-ES"/>
        </w:rPr>
        <w:t xml:space="preserve"> de responsabilidad en el régimen aplicable. </w:t>
      </w:r>
      <w:r w:rsidR="00E559DC">
        <w:rPr>
          <w:rFonts w:ascii="Verdana" w:eastAsia="Arial" w:hAnsi="Verdana" w:cs="Arial"/>
          <w:bCs/>
          <w:lang w:eastAsia="es-ES" w:bidi="es-ES"/>
        </w:rPr>
        <w:t>Esto en la medida</w:t>
      </w:r>
      <w:r w:rsidR="00BD53C1">
        <w:rPr>
          <w:rFonts w:ascii="Verdana" w:eastAsia="Arial" w:hAnsi="Verdana" w:cs="Arial"/>
          <w:bCs/>
          <w:lang w:eastAsia="es-ES" w:bidi="es-ES"/>
        </w:rPr>
        <w:t xml:space="preserve"> en que, la responsabilidad </w:t>
      </w:r>
      <w:r w:rsidR="00037242">
        <w:rPr>
          <w:rFonts w:ascii="Verdana" w:eastAsia="Arial" w:hAnsi="Verdana" w:cs="Arial"/>
          <w:bCs/>
          <w:lang w:eastAsia="es-ES" w:bidi="es-ES"/>
        </w:rPr>
        <w:t>civil, penal o disciplinaria de los servidores públicos</w:t>
      </w:r>
      <w:r w:rsidR="008C0A74">
        <w:rPr>
          <w:rFonts w:ascii="Verdana" w:eastAsia="Arial" w:hAnsi="Verdana" w:cs="Arial"/>
          <w:bCs/>
          <w:lang w:eastAsia="es-ES" w:bidi="es-ES"/>
        </w:rPr>
        <w:t xml:space="preserve"> de los servidores públicos y contratistas está sometido a lo establecido </w:t>
      </w:r>
      <w:r w:rsidR="0003527F">
        <w:rPr>
          <w:rFonts w:ascii="Verdana" w:eastAsia="Arial" w:hAnsi="Verdana" w:cs="Arial"/>
          <w:bCs/>
          <w:lang w:eastAsia="es-ES" w:bidi="es-ES"/>
        </w:rPr>
        <w:t>regímenes</w:t>
      </w:r>
      <w:r w:rsidR="008C0A74">
        <w:rPr>
          <w:rFonts w:ascii="Verdana" w:eastAsia="Arial" w:hAnsi="Verdana" w:cs="Arial"/>
          <w:bCs/>
          <w:lang w:eastAsia="es-ES" w:bidi="es-ES"/>
        </w:rPr>
        <w:t xml:space="preserve"> </w:t>
      </w:r>
      <w:r w:rsidR="000A31EE">
        <w:rPr>
          <w:rFonts w:ascii="Verdana" w:eastAsia="Arial" w:hAnsi="Verdana" w:cs="Arial"/>
          <w:bCs/>
          <w:lang w:eastAsia="es-ES" w:bidi="es-ES"/>
        </w:rPr>
        <w:t xml:space="preserve">determinados por normas como las leyes </w:t>
      </w:r>
      <w:r w:rsidR="00E64EBE">
        <w:rPr>
          <w:rFonts w:ascii="Verdana" w:eastAsia="Arial" w:hAnsi="Verdana" w:cs="Arial"/>
          <w:bCs/>
          <w:lang w:eastAsia="es-ES" w:bidi="es-ES"/>
        </w:rPr>
        <w:t xml:space="preserve">610 de 2000, </w:t>
      </w:r>
      <w:r w:rsidR="000A31EE">
        <w:rPr>
          <w:rFonts w:ascii="Verdana" w:eastAsia="Arial" w:hAnsi="Verdana" w:cs="Arial"/>
          <w:bCs/>
          <w:lang w:eastAsia="es-ES" w:bidi="es-ES"/>
        </w:rPr>
        <w:t>6</w:t>
      </w:r>
      <w:r w:rsidR="00E64EBE">
        <w:rPr>
          <w:rFonts w:ascii="Verdana" w:eastAsia="Arial" w:hAnsi="Verdana" w:cs="Arial"/>
          <w:bCs/>
          <w:lang w:eastAsia="es-ES" w:bidi="es-ES"/>
        </w:rPr>
        <w:t xml:space="preserve">78 de 2001, 1437 de 2011, 1952 de 2019, entre otras. </w:t>
      </w:r>
      <w:r w:rsidR="00295505">
        <w:rPr>
          <w:rFonts w:ascii="Verdana" w:eastAsia="Arial" w:hAnsi="Verdana" w:cs="Arial"/>
          <w:bCs/>
          <w:lang w:eastAsia="es-ES" w:bidi="es-ES"/>
        </w:rPr>
        <w:t xml:space="preserve"> </w:t>
      </w:r>
      <w:r w:rsidR="00037242">
        <w:rPr>
          <w:rFonts w:ascii="Verdana" w:eastAsia="Arial" w:hAnsi="Verdana" w:cs="Arial"/>
          <w:bCs/>
          <w:lang w:eastAsia="es-ES" w:bidi="es-ES"/>
        </w:rPr>
        <w:t xml:space="preserve"> </w:t>
      </w:r>
    </w:p>
    <w:p w14:paraId="0A0DB01F" w14:textId="77777777" w:rsidR="003E6531" w:rsidRPr="005F67D0" w:rsidRDefault="003E6531" w:rsidP="003E6531">
      <w:pPr>
        <w:shd w:val="clear" w:color="auto" w:fill="FFFFFF"/>
        <w:spacing w:after="120" w:line="276" w:lineRule="auto"/>
        <w:ind w:right="51" w:firstLine="709"/>
        <w:jc w:val="both"/>
        <w:rPr>
          <w:rFonts w:ascii="Verdana" w:eastAsia="Times New Roman" w:hAnsi="Verdana" w:cs="Times New Roman"/>
          <w:lang w:eastAsia="es-ES"/>
        </w:rPr>
      </w:pPr>
      <w:bookmarkStart w:id="7" w:name="_Hlk102983874"/>
      <w:bookmarkStart w:id="8" w:name="_Hlk102388095"/>
      <w:r w:rsidRPr="005F67D0">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w:t>
      </w:r>
      <w:r w:rsidRPr="005F67D0">
        <w:rPr>
          <w:rFonts w:ascii="Verdana" w:eastAsia="Calibri" w:hAnsi="Verdana" w:cs="Arial"/>
        </w:rPr>
        <w:lastRenderedPageBreak/>
        <w:t xml:space="preserve">públicas que adelantan el proceso de contratación, las facultadas para determinar en cada caso particular y concreto, con los principios básicos y las normas que rigen el EGCAP.  </w:t>
      </w:r>
      <w:r w:rsidRPr="005F67D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7"/>
      <w:bookmarkEnd w:id="8"/>
    </w:p>
    <w:p w14:paraId="4A2A5CAB" w14:textId="77777777" w:rsidR="003E6531" w:rsidRPr="00C30A3C" w:rsidRDefault="003E6531" w:rsidP="003E6531">
      <w:pPr>
        <w:spacing w:after="120" w:line="276" w:lineRule="auto"/>
        <w:jc w:val="both"/>
        <w:rPr>
          <w:rFonts w:ascii="Verdana" w:eastAsia="Century Gothic" w:hAnsi="Verdana" w:cs="Century Gothic"/>
          <w:b/>
          <w:lang w:val="es-ES"/>
        </w:rPr>
      </w:pPr>
      <w:r w:rsidRPr="00C30A3C">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6531" w:rsidRPr="0071555A" w14:paraId="0ECE5BCB" w14:textId="77777777" w:rsidTr="003A4B72">
        <w:trPr>
          <w:trHeight w:val="1689"/>
        </w:trPr>
        <w:tc>
          <w:tcPr>
            <w:tcW w:w="8647" w:type="dxa"/>
          </w:tcPr>
          <w:p w14:paraId="5631E9EE" w14:textId="18E88C92" w:rsidR="003E6531" w:rsidRPr="00B60BC4" w:rsidRDefault="003E6531" w:rsidP="003A4B72">
            <w:pPr>
              <w:widowControl w:val="0"/>
              <w:numPr>
                <w:ilvl w:val="0"/>
                <w:numId w:val="16"/>
              </w:numPr>
              <w:autoSpaceDE w:val="0"/>
              <w:autoSpaceDN w:val="0"/>
              <w:spacing w:line="276" w:lineRule="auto"/>
              <w:jc w:val="both"/>
              <w:rPr>
                <w:rFonts w:ascii="Verdana" w:hAnsi="Verdana" w:cs="Arial"/>
                <w:color w:val="000000" w:themeColor="text1"/>
              </w:rPr>
            </w:pPr>
            <w:r w:rsidRPr="00B60BC4">
              <w:rPr>
                <w:rFonts w:ascii="Verdana" w:hAnsi="Verdana" w:cs="Arial"/>
                <w:color w:val="000000" w:themeColor="text1"/>
              </w:rPr>
              <w:t>Ley 80 de 1993. Artículos 4, 5, 12, 14</w:t>
            </w:r>
            <w:r>
              <w:rPr>
                <w:rFonts w:ascii="Verdana" w:hAnsi="Verdana" w:cs="Arial"/>
                <w:color w:val="000000" w:themeColor="text1"/>
              </w:rPr>
              <w:t>, 26</w:t>
            </w:r>
            <w:r w:rsidR="004F54C0">
              <w:rPr>
                <w:rFonts w:ascii="Verdana" w:hAnsi="Verdana" w:cs="Arial"/>
                <w:color w:val="000000" w:themeColor="text1"/>
              </w:rPr>
              <w:t xml:space="preserve">, </w:t>
            </w:r>
            <w:r>
              <w:rPr>
                <w:rFonts w:ascii="Verdana" w:hAnsi="Verdana" w:cs="Arial"/>
                <w:color w:val="000000" w:themeColor="text1"/>
              </w:rPr>
              <w:t>32</w:t>
            </w:r>
            <w:r w:rsidR="004F54C0">
              <w:rPr>
                <w:rFonts w:ascii="Verdana" w:hAnsi="Verdana" w:cs="Arial"/>
                <w:color w:val="000000" w:themeColor="text1"/>
              </w:rPr>
              <w:t>, 51 y 52</w:t>
            </w:r>
            <w:r>
              <w:rPr>
                <w:rFonts w:ascii="Verdana" w:hAnsi="Verdana" w:cs="Arial"/>
                <w:color w:val="000000" w:themeColor="text1"/>
              </w:rPr>
              <w:t>.</w:t>
            </w:r>
          </w:p>
          <w:p w14:paraId="53E8392F" w14:textId="77777777" w:rsidR="003E6531" w:rsidRPr="00B60BC4" w:rsidRDefault="003E6531" w:rsidP="003A4B72">
            <w:pPr>
              <w:widowControl w:val="0"/>
              <w:numPr>
                <w:ilvl w:val="0"/>
                <w:numId w:val="16"/>
              </w:numPr>
              <w:autoSpaceDE w:val="0"/>
              <w:autoSpaceDN w:val="0"/>
              <w:spacing w:line="276" w:lineRule="auto"/>
              <w:jc w:val="both"/>
              <w:rPr>
                <w:rFonts w:ascii="Verdana" w:hAnsi="Verdana" w:cs="Arial"/>
                <w:color w:val="000000" w:themeColor="text1"/>
              </w:rPr>
            </w:pPr>
            <w:r w:rsidRPr="00B60BC4">
              <w:rPr>
                <w:rFonts w:ascii="Verdana" w:hAnsi="Verdana" w:cs="Arial"/>
                <w:color w:val="000000" w:themeColor="text1"/>
              </w:rPr>
              <w:t xml:space="preserve">Ley 1150 de 2007. Artículos </w:t>
            </w:r>
            <w:r>
              <w:rPr>
                <w:rFonts w:ascii="Verdana" w:hAnsi="Verdana" w:cs="Arial"/>
                <w:color w:val="000000" w:themeColor="text1"/>
              </w:rPr>
              <w:t xml:space="preserve">2, </w:t>
            </w:r>
            <w:r w:rsidRPr="00B60BC4">
              <w:rPr>
                <w:rFonts w:ascii="Verdana" w:hAnsi="Verdana" w:cs="Arial"/>
                <w:color w:val="000000" w:themeColor="text1"/>
              </w:rPr>
              <w:t>17 y 21</w:t>
            </w:r>
            <w:r>
              <w:rPr>
                <w:rFonts w:ascii="Verdana" w:hAnsi="Verdana" w:cs="Arial"/>
                <w:color w:val="000000" w:themeColor="text1"/>
              </w:rPr>
              <w:t>.</w:t>
            </w:r>
          </w:p>
          <w:p w14:paraId="0EE6A53B" w14:textId="77777777" w:rsidR="003E6531" w:rsidRPr="00B60BC4" w:rsidRDefault="003E6531" w:rsidP="003A4B72">
            <w:pPr>
              <w:widowControl w:val="0"/>
              <w:numPr>
                <w:ilvl w:val="0"/>
                <w:numId w:val="16"/>
              </w:numPr>
              <w:autoSpaceDE w:val="0"/>
              <w:autoSpaceDN w:val="0"/>
              <w:spacing w:line="276" w:lineRule="auto"/>
              <w:jc w:val="both"/>
              <w:rPr>
                <w:rFonts w:ascii="Verdana" w:hAnsi="Verdana" w:cs="Arial"/>
                <w:color w:val="000000" w:themeColor="text1"/>
              </w:rPr>
            </w:pPr>
            <w:r w:rsidRPr="00B60BC4">
              <w:rPr>
                <w:rFonts w:ascii="Verdana" w:hAnsi="Verdana" w:cs="Arial"/>
                <w:color w:val="000000" w:themeColor="text1"/>
              </w:rPr>
              <w:t>Ley 1474 de 2011. Artículos 83</w:t>
            </w:r>
            <w:r>
              <w:rPr>
                <w:rFonts w:ascii="Verdana" w:hAnsi="Verdana" w:cs="Arial"/>
                <w:color w:val="000000" w:themeColor="text1"/>
              </w:rPr>
              <w:t xml:space="preserve"> y 84.</w:t>
            </w:r>
          </w:p>
          <w:p w14:paraId="415D8427" w14:textId="77777777" w:rsidR="003E6531" w:rsidRPr="00B60BC4" w:rsidRDefault="003E6531" w:rsidP="003A4B72">
            <w:pPr>
              <w:widowControl w:val="0"/>
              <w:numPr>
                <w:ilvl w:val="0"/>
                <w:numId w:val="16"/>
              </w:numPr>
              <w:autoSpaceDE w:val="0"/>
              <w:autoSpaceDN w:val="0"/>
              <w:spacing w:line="276" w:lineRule="auto"/>
              <w:jc w:val="both"/>
              <w:rPr>
                <w:rFonts w:ascii="Verdana" w:hAnsi="Verdana" w:cs="Arial"/>
                <w:color w:val="000000" w:themeColor="text1"/>
              </w:rPr>
            </w:pPr>
            <w:r w:rsidRPr="00B60BC4">
              <w:rPr>
                <w:rFonts w:ascii="Verdana" w:hAnsi="Verdana" w:cs="Arial"/>
                <w:color w:val="000000" w:themeColor="text1"/>
              </w:rPr>
              <w:t>Consejo de Estado. Sección 3ª. Sentencia del 27 de noviembre de 2017. M.P. Jaime Orlando Santofimio. Exp. 51.802.</w:t>
            </w:r>
          </w:p>
          <w:p w14:paraId="3BA39D17" w14:textId="77777777" w:rsidR="003E6531" w:rsidRPr="0071555A" w:rsidRDefault="003E6531" w:rsidP="003A4B72">
            <w:pPr>
              <w:widowControl w:val="0"/>
              <w:numPr>
                <w:ilvl w:val="0"/>
                <w:numId w:val="16"/>
              </w:numPr>
              <w:autoSpaceDE w:val="0"/>
              <w:autoSpaceDN w:val="0"/>
              <w:spacing w:line="276" w:lineRule="auto"/>
              <w:jc w:val="both"/>
              <w:rPr>
                <w:rFonts w:ascii="Verdana" w:eastAsia="Arial MT" w:hAnsi="Verdana" w:cs="Arial"/>
                <w:bCs/>
                <w:color w:val="ED7D31" w:themeColor="accent2"/>
                <w:lang w:eastAsia="es-ES" w:bidi="es-ES"/>
              </w:rPr>
            </w:pPr>
            <w:r>
              <w:rPr>
                <w:rFonts w:ascii="Verdana" w:hAnsi="Verdana" w:cs="Arial"/>
                <w:color w:val="000000" w:themeColor="text1"/>
              </w:rPr>
              <w:t xml:space="preserve">Agencia Nacional de Contratación Pública – </w:t>
            </w:r>
            <w:r w:rsidRPr="00043D9E">
              <w:rPr>
                <w:rFonts w:ascii="Verdana" w:hAnsi="Verdana" w:cs="Arial"/>
                <w:color w:val="000000" w:themeColor="text1"/>
              </w:rPr>
              <w:t>Colombia Compra Eficiente, Guía para el ejercicio de las funciones de Supervisión e Interventoría de los contratos del Estado</w:t>
            </w:r>
            <w:r>
              <w:rPr>
                <w:rFonts w:ascii="Verdana" w:hAnsi="Verdana" w:cs="Arial"/>
                <w:color w:val="000000" w:themeColor="text1"/>
              </w:rPr>
              <w:t>. D</w:t>
            </w:r>
            <w:r w:rsidRPr="00043D9E">
              <w:rPr>
                <w:rFonts w:ascii="Verdana" w:hAnsi="Verdana" w:cs="Arial"/>
                <w:color w:val="000000" w:themeColor="text1"/>
              </w:rPr>
              <w:t>isponible</w:t>
            </w:r>
            <w:r>
              <w:rPr>
                <w:rFonts w:ascii="Verdana" w:hAnsi="Verdana" w:cs="Arial"/>
                <w:color w:val="000000" w:themeColor="text1"/>
              </w:rPr>
              <w:t xml:space="preserve"> en:</w:t>
            </w:r>
            <w:r w:rsidRPr="00043D9E">
              <w:rPr>
                <w:rFonts w:ascii="Verdana" w:hAnsi="Verdana" w:cs="Arial"/>
                <w:color w:val="000000" w:themeColor="text1"/>
              </w:rPr>
              <w:t xml:space="preserve"> </w:t>
            </w:r>
            <w:hyperlink r:id="rId12" w:history="1">
              <w:r w:rsidRPr="00954A48">
                <w:rPr>
                  <w:rFonts w:ascii="Verdana" w:hAnsi="Verdana" w:cs="Arial"/>
                  <w:color w:val="0000FF"/>
                  <w:u w:val="single"/>
                </w:rPr>
                <w:t>aquí</w:t>
              </w:r>
            </w:hyperlink>
          </w:p>
        </w:tc>
      </w:tr>
    </w:tbl>
    <w:p w14:paraId="1DA42575" w14:textId="77777777" w:rsidR="003E6531" w:rsidRPr="0071555A" w:rsidRDefault="003E6531" w:rsidP="003E6531">
      <w:pPr>
        <w:widowControl w:val="0"/>
        <w:autoSpaceDE w:val="0"/>
        <w:autoSpaceDN w:val="0"/>
        <w:spacing w:after="0" w:line="276" w:lineRule="auto"/>
        <w:jc w:val="both"/>
        <w:rPr>
          <w:rFonts w:ascii="Verdana" w:hAnsi="Verdana" w:cs="Arial"/>
          <w:color w:val="ED7D31" w:themeColor="accent2"/>
          <w:lang w:val="es-ES"/>
        </w:rPr>
      </w:pPr>
    </w:p>
    <w:p w14:paraId="3D3DC183" w14:textId="77777777" w:rsidR="003E6531" w:rsidRPr="00C30A3C" w:rsidRDefault="003E6531" w:rsidP="003E6531">
      <w:pPr>
        <w:tabs>
          <w:tab w:val="left" w:pos="142"/>
          <w:tab w:val="left" w:pos="284"/>
        </w:tabs>
        <w:spacing w:after="0" w:line="276" w:lineRule="auto"/>
        <w:jc w:val="both"/>
        <w:rPr>
          <w:rFonts w:ascii="Verdana" w:eastAsia="Century Gothic" w:hAnsi="Verdana" w:cs="Century Gothic"/>
          <w:b/>
          <w:lang w:val="es-ES"/>
        </w:rPr>
      </w:pPr>
      <w:r w:rsidRPr="00C30A3C">
        <w:rPr>
          <w:rFonts w:ascii="Verdana" w:eastAsia="Century Gothic" w:hAnsi="Verdana" w:cs="Century Gothic"/>
          <w:b/>
          <w:lang w:val="es-ES"/>
        </w:rPr>
        <w:t>5. Doctrina de la Agencia Nacional de Contratación Pública:</w:t>
      </w:r>
    </w:p>
    <w:p w14:paraId="0535876D" w14:textId="77777777" w:rsidR="003E6531" w:rsidRPr="0071555A" w:rsidRDefault="003E6531" w:rsidP="003E6531">
      <w:pPr>
        <w:widowControl w:val="0"/>
        <w:autoSpaceDE w:val="0"/>
        <w:autoSpaceDN w:val="0"/>
        <w:spacing w:after="0" w:line="276" w:lineRule="auto"/>
        <w:jc w:val="both"/>
        <w:rPr>
          <w:rFonts w:ascii="Verdana" w:hAnsi="Verdana" w:cs="Arial"/>
          <w:color w:val="ED7D31" w:themeColor="accent2"/>
          <w:lang w:val="es-ES"/>
        </w:rPr>
      </w:pPr>
    </w:p>
    <w:p w14:paraId="719902FD" w14:textId="77777777" w:rsidR="003E6531" w:rsidRPr="0097780B" w:rsidRDefault="003E6531" w:rsidP="003E6531">
      <w:pPr>
        <w:spacing w:after="0" w:line="276" w:lineRule="auto"/>
        <w:jc w:val="both"/>
        <w:rPr>
          <w:rFonts w:ascii="Verdana" w:eastAsia="Calibri" w:hAnsi="Verdana" w:cs="Arial"/>
          <w:color w:val="000000"/>
        </w:rPr>
      </w:pPr>
      <w:r w:rsidRPr="0097780B">
        <w:rPr>
          <w:rFonts w:ascii="Verdana" w:eastAsia="Calibri" w:hAnsi="Verdana" w:cs="Arial"/>
          <w:lang w:val="es-ES"/>
        </w:rPr>
        <w:t xml:space="preserve">La Agencia Nacional de Contratación Pública – Colombia Compra Eficiente se ha referido </w:t>
      </w:r>
      <w:r w:rsidRPr="0097780B">
        <w:rPr>
          <w:rFonts w:ascii="Verdana" w:hAnsi="Verdana" w:cs="Arial"/>
        </w:rPr>
        <w:t xml:space="preserve">sobre </w:t>
      </w:r>
      <w:r w:rsidRPr="0097780B">
        <w:rPr>
          <w:rFonts w:ascii="Verdana" w:eastAsia="Calibri" w:hAnsi="Verdana" w:cs="Arial"/>
        </w:rPr>
        <w:t xml:space="preserve">supervisión de los contratos estatales, en los conceptos con radicado C-064 del </w:t>
      </w:r>
      <w:r w:rsidRPr="00A86610">
        <w:rPr>
          <w:rFonts w:ascii="Verdana" w:eastAsia="Calibri" w:hAnsi="Verdana" w:cs="Arial"/>
          <w:color w:val="000000"/>
        </w:rPr>
        <w:t xml:space="preserve">28 de febrero de 2020, C–077 del 18 de marzo de 2020, C–150 del 18 de marzo de 2020, C–134 del 30 de marzo de 2020, C–180 del 13 de abril de 2020, C-344 de 26 de mayo de 2020, C-765 de 1 de enero de 2021, C-603 de 02 de noviembre de 2021, C-745 de 3 de febrero de 2022, C-506 del 3 de agosto de 2022, C-577 del 15 de septiembre de 2022, C-620 del 27 de septiembre de 2022, C-930 de 30 de diciembre de 2022, C-095 del 12 de julio de 2024, </w:t>
      </w:r>
      <w:r>
        <w:rPr>
          <w:rFonts w:ascii="Verdana" w:eastAsia="Calibri" w:hAnsi="Verdana" w:cs="Arial"/>
          <w:color w:val="000000"/>
        </w:rPr>
        <w:t xml:space="preserve">C-1611 del 15 de diciembre de 2025, </w:t>
      </w:r>
      <w:r w:rsidRPr="00A86610">
        <w:rPr>
          <w:rFonts w:ascii="Verdana" w:eastAsia="Calibri" w:hAnsi="Verdana" w:cs="Arial"/>
          <w:color w:val="000000"/>
        </w:rPr>
        <w:t>entre otros.</w:t>
      </w:r>
    </w:p>
    <w:p w14:paraId="16148C10" w14:textId="77777777" w:rsidR="003E6531" w:rsidRDefault="003E6531" w:rsidP="003E6531">
      <w:pPr>
        <w:spacing w:after="0" w:line="276" w:lineRule="auto"/>
        <w:jc w:val="both"/>
        <w:rPr>
          <w:rFonts w:ascii="Verdana" w:hAnsi="Verdana" w:cs="Arial"/>
          <w:color w:val="ED7D31" w:themeColor="accent2"/>
          <w:shd w:val="clear" w:color="auto" w:fill="FFFFFF"/>
        </w:rPr>
      </w:pPr>
    </w:p>
    <w:p w14:paraId="2D4E07DF" w14:textId="77777777" w:rsidR="003E6531" w:rsidRPr="00C30A3C" w:rsidRDefault="003E6531" w:rsidP="003E6531">
      <w:pPr>
        <w:spacing w:after="0" w:line="276" w:lineRule="auto"/>
        <w:jc w:val="both"/>
        <w:rPr>
          <w:rFonts w:ascii="Verdana" w:hAnsi="Verdana"/>
          <w:lang w:val="es-ES"/>
        </w:rPr>
      </w:pPr>
      <w:r w:rsidRPr="00C30A3C">
        <w:rPr>
          <w:rFonts w:ascii="Verdana" w:hAnsi="Verdana" w:cs="Arial"/>
          <w:shd w:val="clear" w:color="auto" w:fill="FFFFFF"/>
          <w:lang w:val="es-ES"/>
        </w:rPr>
        <w:t>Estos</w:t>
      </w:r>
      <w:r w:rsidRPr="00C30A3C">
        <w:rPr>
          <w:rFonts w:ascii="Verdana" w:hAnsi="Verdana"/>
          <w:lang w:val="es-ES"/>
        </w:rPr>
        <w:t xml:space="preserve"> y otros se encuentran disponibles para consulta en el Sistema de relatoría de la Agencia, al cual se puede acceder a través del siguiente enlace:</w:t>
      </w:r>
      <w:r w:rsidRPr="00C30A3C">
        <w:rPr>
          <w:rFonts w:ascii="Verdana" w:hAnsi="Verdana" w:cs="Arial"/>
          <w:shd w:val="clear" w:color="auto" w:fill="FFFFFF"/>
          <w:lang w:val="es-ES"/>
        </w:rPr>
        <w:t xml:space="preserve"> </w:t>
      </w:r>
      <w:hyperlink r:id="rId13" w:history="1">
        <w:r w:rsidRPr="00C30A3C">
          <w:rPr>
            <w:rStyle w:val="Hipervnculo"/>
            <w:rFonts w:ascii="Verdana" w:hAnsi="Verdana" w:cs="Arial"/>
            <w:shd w:val="clear" w:color="auto" w:fill="FFFFFF"/>
            <w:lang w:val="es-ES"/>
          </w:rPr>
          <w:t>https://relatoria.colombiacompra.gov.co/busqueda/conceptos</w:t>
        </w:r>
      </w:hyperlink>
    </w:p>
    <w:p w14:paraId="2590C97C" w14:textId="77777777" w:rsidR="003E6531" w:rsidRPr="00C30A3C" w:rsidRDefault="003E6531" w:rsidP="003E6531">
      <w:pPr>
        <w:spacing w:after="0"/>
        <w:jc w:val="both"/>
        <w:rPr>
          <w:rFonts w:ascii="Verdana" w:hAnsi="Verdana" w:cs="Arial"/>
          <w:shd w:val="clear" w:color="auto" w:fill="FFFFFF"/>
          <w:lang w:val="es-ES"/>
        </w:rPr>
      </w:pPr>
    </w:p>
    <w:p w14:paraId="3E8E5ADC" w14:textId="77777777" w:rsidR="003E6531" w:rsidRPr="00C30A3C" w:rsidRDefault="003E6531" w:rsidP="003E6531">
      <w:pPr>
        <w:spacing w:after="0"/>
        <w:jc w:val="both"/>
        <w:rPr>
          <w:rFonts w:ascii="Verdana" w:hAnsi="Verdana" w:cs="Arial"/>
          <w:shd w:val="clear" w:color="auto" w:fill="FFFFFF"/>
        </w:rPr>
      </w:pPr>
      <w:r w:rsidRPr="00C30A3C">
        <w:rPr>
          <w:rFonts w:ascii="Verdana" w:hAnsi="Verdana" w:cs="Arial"/>
          <w:shd w:val="clear" w:color="auto" w:fill="FFFFFF"/>
        </w:rPr>
        <w:t>También le contamos que ya se encuentra disponible la </w:t>
      </w:r>
      <w:r w:rsidRPr="00C30A3C">
        <w:rPr>
          <w:rFonts w:ascii="Verdana" w:hAnsi="Verdana" w:cs="Arial"/>
          <w:b/>
          <w:bCs/>
          <w:shd w:val="clear" w:color="auto" w:fill="FFFFFF"/>
        </w:rPr>
        <w:t xml:space="preserve">Guía de lineamientos de transparencia y selección objetiva para el departamento de La </w:t>
      </w:r>
      <w:r w:rsidRPr="00C30A3C">
        <w:rPr>
          <w:rFonts w:ascii="Verdana" w:hAnsi="Verdana" w:cs="Arial"/>
          <w:b/>
          <w:bCs/>
          <w:shd w:val="clear" w:color="auto" w:fill="FFFFFF"/>
        </w:rPr>
        <w:lastRenderedPageBreak/>
        <w:t>Guajira – Objetivo sexto constitucional de la Sentencia T-302 del 2017. </w:t>
      </w:r>
      <w:r w:rsidRPr="00C30A3C">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C30A3C">
          <w:rPr>
            <w:rStyle w:val="Hipervnculo"/>
            <w:rFonts w:ascii="Verdana" w:hAnsi="Verdana"/>
          </w:rPr>
          <w:t>Guía de lineamientos de transparencia y selección objetiva para el departamento de La Guajira – Objetivo sexto constitucional de la Sentencia T-302 del 2017</w:t>
        </w:r>
      </w:hyperlink>
    </w:p>
    <w:p w14:paraId="76408854" w14:textId="77777777" w:rsidR="003E6531" w:rsidRPr="00C30A3C" w:rsidRDefault="003E6531" w:rsidP="003E6531">
      <w:pPr>
        <w:spacing w:after="0"/>
        <w:jc w:val="both"/>
        <w:rPr>
          <w:rFonts w:ascii="Verdana" w:hAnsi="Verdana" w:cs="Arial"/>
          <w:shd w:val="clear" w:color="auto" w:fill="FFFFFF"/>
        </w:rPr>
      </w:pPr>
    </w:p>
    <w:p w14:paraId="24BAF9A0" w14:textId="77777777" w:rsidR="003E6531" w:rsidRPr="00C30A3C" w:rsidRDefault="003E6531" w:rsidP="003E6531">
      <w:pPr>
        <w:spacing w:after="0"/>
        <w:jc w:val="both"/>
        <w:rPr>
          <w:rFonts w:ascii="Verdana" w:hAnsi="Verdana" w:cs="Arial"/>
          <w:shd w:val="clear" w:color="auto" w:fill="FFFFFF"/>
        </w:rPr>
      </w:pPr>
      <w:r w:rsidRPr="00C30A3C">
        <w:rPr>
          <w:rFonts w:ascii="Verdana" w:hAnsi="Verdana" w:cs="Arial"/>
          <w:shd w:val="clear" w:color="auto" w:fill="FFFFFF"/>
        </w:rPr>
        <w:t xml:space="preserve">Por último, lo invitamos a seguirnos en las redes sociales en las cuales se difunde información institucional: </w:t>
      </w:r>
    </w:p>
    <w:p w14:paraId="34073363" w14:textId="77777777" w:rsidR="003E6531" w:rsidRPr="00C30A3C" w:rsidRDefault="003E6531" w:rsidP="003E6531">
      <w:pPr>
        <w:spacing w:after="0"/>
        <w:jc w:val="both"/>
        <w:rPr>
          <w:rFonts w:ascii="Verdana" w:hAnsi="Verdana" w:cs="Arial"/>
          <w:shd w:val="clear" w:color="auto" w:fill="FFFFFF"/>
        </w:rPr>
      </w:pPr>
    </w:p>
    <w:p w14:paraId="134B22A7" w14:textId="77777777" w:rsidR="003E6531" w:rsidRPr="00C30A3C" w:rsidRDefault="003E6531" w:rsidP="003E6531">
      <w:pPr>
        <w:spacing w:after="0"/>
        <w:jc w:val="both"/>
        <w:rPr>
          <w:rFonts w:ascii="Verdana" w:hAnsi="Verdana" w:cs="Arial"/>
          <w:shd w:val="clear" w:color="auto" w:fill="FFFFFF"/>
        </w:rPr>
      </w:pPr>
      <w:r w:rsidRPr="00C30A3C">
        <w:rPr>
          <w:rFonts w:ascii="Verdana" w:hAnsi="Verdana" w:cs="Arial"/>
          <w:shd w:val="clear" w:color="auto" w:fill="FFFFFF"/>
        </w:rPr>
        <w:t xml:space="preserve">Twitter: </w:t>
      </w:r>
      <w:r w:rsidRPr="00C30A3C">
        <w:rPr>
          <w:rStyle w:val="Hipervnculo"/>
          <w:rFonts w:ascii="Verdana" w:hAnsi="Verdana"/>
          <w:lang w:val="es-ES"/>
        </w:rPr>
        <w:t xml:space="preserve">@colombiacompra </w:t>
      </w:r>
    </w:p>
    <w:p w14:paraId="447D114C" w14:textId="77777777" w:rsidR="003E6531" w:rsidRPr="00C30A3C" w:rsidRDefault="003E6531" w:rsidP="003E6531">
      <w:pPr>
        <w:spacing w:after="0"/>
        <w:jc w:val="both"/>
        <w:rPr>
          <w:rFonts w:ascii="Verdana" w:hAnsi="Verdana" w:cs="Arial"/>
          <w:shd w:val="clear" w:color="auto" w:fill="FFFFFF"/>
        </w:rPr>
      </w:pPr>
      <w:r w:rsidRPr="00C30A3C">
        <w:rPr>
          <w:rFonts w:ascii="Verdana" w:hAnsi="Verdana" w:cs="Arial"/>
          <w:shd w:val="clear" w:color="auto" w:fill="FFFFFF"/>
        </w:rPr>
        <w:t>Facebook:</w:t>
      </w:r>
      <w:r w:rsidRPr="00C30A3C">
        <w:rPr>
          <w:rStyle w:val="Hipervnculo"/>
          <w:rFonts w:ascii="Verdana" w:hAnsi="Verdana"/>
          <w:lang w:val="es-ES"/>
        </w:rPr>
        <w:t xml:space="preserve"> ColombiaCompraEficiente</w:t>
      </w:r>
    </w:p>
    <w:p w14:paraId="0D0D6608" w14:textId="77777777" w:rsidR="003E6531" w:rsidRPr="00C30A3C" w:rsidRDefault="003E6531" w:rsidP="003E6531">
      <w:pPr>
        <w:spacing w:after="0"/>
        <w:jc w:val="both"/>
        <w:rPr>
          <w:rFonts w:ascii="Verdana" w:hAnsi="Verdana" w:cs="Arial"/>
          <w:color w:val="0000FF"/>
          <w:shd w:val="clear" w:color="auto" w:fill="FFFFFF"/>
        </w:rPr>
      </w:pPr>
      <w:r w:rsidRPr="00C30A3C">
        <w:rPr>
          <w:rFonts w:ascii="Verdana" w:hAnsi="Verdana" w:cs="Arial"/>
          <w:shd w:val="clear" w:color="auto" w:fill="FFFFFF"/>
        </w:rPr>
        <w:t xml:space="preserve">LinkedIn: </w:t>
      </w:r>
      <w:r w:rsidRPr="00C30A3C">
        <w:rPr>
          <w:rStyle w:val="Hipervnculo"/>
          <w:rFonts w:ascii="Verdana" w:hAnsi="Verdana"/>
          <w:lang w:val="es-ES"/>
        </w:rPr>
        <w:t>Agencia Nacional de Contratación Pública - Colombia Compra Eficiente</w:t>
      </w:r>
      <w:r w:rsidRPr="00C30A3C">
        <w:rPr>
          <w:rFonts w:ascii="Verdana" w:hAnsi="Verdana" w:cs="Arial"/>
          <w:color w:val="0000FF"/>
          <w:shd w:val="clear" w:color="auto" w:fill="FFFFFF"/>
        </w:rPr>
        <w:t xml:space="preserve"> </w:t>
      </w:r>
    </w:p>
    <w:p w14:paraId="560FF714" w14:textId="77777777" w:rsidR="003E6531" w:rsidRPr="00C30A3C" w:rsidRDefault="003E6531" w:rsidP="003E6531">
      <w:pPr>
        <w:spacing w:after="0"/>
        <w:jc w:val="both"/>
        <w:rPr>
          <w:rFonts w:ascii="Verdana" w:hAnsi="Verdana" w:cs="Arial"/>
          <w:shd w:val="clear" w:color="auto" w:fill="FFFFFF"/>
        </w:rPr>
      </w:pPr>
      <w:r w:rsidRPr="00C30A3C">
        <w:rPr>
          <w:rFonts w:ascii="Verdana" w:hAnsi="Verdana" w:cs="Arial"/>
          <w:shd w:val="clear" w:color="auto" w:fill="FFFFFF"/>
        </w:rPr>
        <w:t xml:space="preserve">Instagram: </w:t>
      </w:r>
      <w:r w:rsidRPr="00C30A3C">
        <w:rPr>
          <w:rStyle w:val="Hipervnculo"/>
          <w:rFonts w:ascii="Verdana" w:hAnsi="Verdana"/>
          <w:lang w:val="es-ES"/>
        </w:rPr>
        <w:t>@colombiacompraeficiente_cce</w:t>
      </w:r>
    </w:p>
    <w:p w14:paraId="3D86A09E" w14:textId="77777777" w:rsidR="003E6531" w:rsidRPr="0071555A" w:rsidRDefault="003E6531" w:rsidP="003E6531">
      <w:pPr>
        <w:widowControl w:val="0"/>
        <w:autoSpaceDE w:val="0"/>
        <w:autoSpaceDN w:val="0"/>
        <w:spacing w:after="0" w:line="276" w:lineRule="auto"/>
        <w:jc w:val="both"/>
        <w:rPr>
          <w:rFonts w:ascii="Verdana" w:hAnsi="Verdana" w:cs="Arial"/>
          <w:color w:val="ED7D31" w:themeColor="accent2"/>
          <w:lang w:val="es-ES"/>
        </w:rPr>
      </w:pPr>
    </w:p>
    <w:p w14:paraId="70CCABE1" w14:textId="77777777" w:rsidR="003E6531" w:rsidRPr="00FF7ECB" w:rsidRDefault="003E6531" w:rsidP="003E6531">
      <w:pPr>
        <w:widowControl w:val="0"/>
        <w:autoSpaceDE w:val="0"/>
        <w:autoSpaceDN w:val="0"/>
        <w:spacing w:after="0" w:line="276" w:lineRule="auto"/>
        <w:jc w:val="both"/>
        <w:rPr>
          <w:rFonts w:ascii="Verdana" w:hAnsi="Verdana" w:cs="Arial"/>
          <w:lang w:val="es-ES"/>
        </w:rPr>
      </w:pPr>
      <w:r w:rsidRPr="00FF7ECB">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6EAD8D0" w14:textId="77777777" w:rsidR="003E6531" w:rsidRPr="00FF7ECB" w:rsidRDefault="003E6531" w:rsidP="003E6531">
      <w:pPr>
        <w:widowControl w:val="0"/>
        <w:autoSpaceDE w:val="0"/>
        <w:autoSpaceDN w:val="0"/>
        <w:spacing w:after="0" w:line="276" w:lineRule="auto"/>
        <w:jc w:val="both"/>
        <w:rPr>
          <w:rFonts w:ascii="Verdana" w:hAnsi="Verdana" w:cs="Arial"/>
          <w:lang w:val="es-ES"/>
        </w:rPr>
      </w:pPr>
    </w:p>
    <w:p w14:paraId="55D7A2ED" w14:textId="586BDBA3" w:rsidR="006C569B" w:rsidRPr="006C569B" w:rsidRDefault="003E6531" w:rsidP="006C569B">
      <w:pPr>
        <w:spacing w:after="0" w:line="276" w:lineRule="auto"/>
        <w:rPr>
          <w:rFonts w:ascii="Verdana" w:hAnsi="Verdana" w:cs="Arial"/>
          <w:lang w:val="es-ES" w:eastAsia="es-CO"/>
        </w:rPr>
      </w:pPr>
      <w:r w:rsidRPr="00FF7ECB">
        <w:rPr>
          <w:rFonts w:ascii="Verdana" w:eastAsia="Times New Roman" w:hAnsi="Verdana" w:cs="Arial"/>
          <w:lang w:val="es-ES" w:eastAsia="es-CO"/>
        </w:rPr>
        <w:t>Atentamente,</w:t>
      </w:r>
      <w:r w:rsidRPr="00FF7ECB">
        <w:rPr>
          <w:rFonts w:ascii="Verdana" w:hAnsi="Verdana" w:cs="Arial"/>
          <w:lang w:val="es-ES" w:eastAsia="es-CO"/>
        </w:rPr>
        <w:t xml:space="preserve"> </w:t>
      </w:r>
    </w:p>
    <w:p w14:paraId="2F4929D5" w14:textId="226D5EA8" w:rsidR="003E6531" w:rsidRPr="00E477EB" w:rsidRDefault="00E477EB" w:rsidP="003E6531">
      <w:pPr>
        <w:spacing w:after="0" w:line="276" w:lineRule="auto"/>
        <w:jc w:val="center"/>
        <w:rPr>
          <w:rFonts w:ascii="Verdana" w:hAnsi="Verdana"/>
          <w:noProof/>
          <w:color w:val="ED7D31" w:themeColor="accent2"/>
        </w:rPr>
      </w:pPr>
      <w:r w:rsidRPr="00E477EB">
        <w:rPr>
          <w:rFonts w:ascii="Verdana" w:hAnsi="Verdana"/>
          <w:noProof/>
          <w:color w:val="ED7D31" w:themeColor="accent2"/>
        </w:rPr>
        <w:drawing>
          <wp:inline distT="0" distB="0" distL="0" distR="0" wp14:anchorId="69489E87" wp14:editId="549E3243">
            <wp:extent cx="2686425" cy="1076475"/>
            <wp:effectExtent l="0" t="0" r="0" b="9525"/>
            <wp:docPr id="159095779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957799" name="Imagen 1" descr="Texto&#10;&#10;El contenido generado por IA puede ser incorrecto."/>
                    <pic:cNvPicPr/>
                  </pic:nvPicPr>
                  <pic:blipFill>
                    <a:blip r:embed="rId15"/>
                    <a:stretch>
                      <a:fillRect/>
                    </a:stretch>
                  </pic:blipFill>
                  <pic:spPr>
                    <a:xfrm>
                      <a:off x="0" y="0"/>
                      <a:ext cx="2686425" cy="1076475"/>
                    </a:xfrm>
                    <a:prstGeom prst="rect">
                      <a:avLst/>
                    </a:prstGeom>
                  </pic:spPr>
                </pic:pic>
              </a:graphicData>
            </a:graphic>
          </wp:inline>
        </w:drawing>
      </w:r>
    </w:p>
    <w:p w14:paraId="24D68AFA" w14:textId="77777777" w:rsidR="003E6531" w:rsidRPr="00FF7ECB" w:rsidRDefault="003E6531" w:rsidP="003E6531">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E6531" w:rsidRPr="00FF7ECB" w14:paraId="6912FD8B" w14:textId="77777777" w:rsidTr="003A4B72">
        <w:trPr>
          <w:trHeight w:val="315"/>
        </w:trPr>
        <w:tc>
          <w:tcPr>
            <w:tcW w:w="893" w:type="dxa"/>
            <w:vAlign w:val="center"/>
            <w:hideMark/>
          </w:tcPr>
          <w:p w14:paraId="559E4DF2" w14:textId="77777777" w:rsidR="003E6531" w:rsidRPr="00FF7ECB" w:rsidRDefault="003E6531" w:rsidP="003A4B72">
            <w:pPr>
              <w:contextualSpacing/>
              <w:rPr>
                <w:rFonts w:ascii="Verdana" w:hAnsi="Verdana" w:cs="Arial"/>
                <w:sz w:val="16"/>
                <w:szCs w:val="16"/>
                <w:lang w:val="es-ES" w:eastAsia="es-ES"/>
              </w:rPr>
            </w:pPr>
            <w:r w:rsidRPr="00FF7EC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210E70" w14:textId="77777777" w:rsidR="003E6531" w:rsidRPr="00FF7ECB" w:rsidRDefault="003E6531" w:rsidP="003A4B72">
            <w:pPr>
              <w:rPr>
                <w:rFonts w:ascii="Verdana" w:eastAsia="Times New Roman" w:hAnsi="Verdana" w:cs="Arial"/>
                <w:sz w:val="16"/>
                <w:szCs w:val="16"/>
                <w:lang w:eastAsia="es-ES"/>
              </w:rPr>
            </w:pPr>
            <w:r w:rsidRPr="00FF7ECB">
              <w:rPr>
                <w:rFonts w:ascii="Verdana" w:eastAsia="Times New Roman" w:hAnsi="Verdana" w:cs="Arial"/>
                <w:sz w:val="16"/>
                <w:szCs w:val="16"/>
                <w:lang w:eastAsia="es-ES"/>
              </w:rPr>
              <w:t>Camila Alejandra Naranjo Gómez</w:t>
            </w:r>
          </w:p>
          <w:p w14:paraId="5033AA24" w14:textId="77777777" w:rsidR="003E6531" w:rsidRPr="00FF7ECB" w:rsidRDefault="003E6531" w:rsidP="003A4B72">
            <w:pPr>
              <w:contextualSpacing/>
              <w:rPr>
                <w:rFonts w:ascii="Verdana" w:eastAsia="Arial" w:hAnsi="Verdana" w:cs="Arial"/>
                <w:sz w:val="16"/>
                <w:szCs w:val="16"/>
                <w:lang w:val="es-ES"/>
              </w:rPr>
            </w:pPr>
            <w:r w:rsidRPr="00FF7ECB">
              <w:rPr>
                <w:rFonts w:ascii="Verdana" w:eastAsia="Times New Roman" w:hAnsi="Verdana" w:cs="Arial"/>
                <w:sz w:val="16"/>
                <w:szCs w:val="16"/>
                <w:lang w:eastAsia="es-ES"/>
              </w:rPr>
              <w:t>Analista T2-02 de la Subdirección de Gestión Contractual</w:t>
            </w:r>
          </w:p>
        </w:tc>
      </w:tr>
      <w:tr w:rsidR="003E6531" w:rsidRPr="00FF7ECB" w14:paraId="7ED0BFF2" w14:textId="77777777" w:rsidTr="003A4B72">
        <w:trPr>
          <w:trHeight w:val="330"/>
        </w:trPr>
        <w:tc>
          <w:tcPr>
            <w:tcW w:w="893" w:type="dxa"/>
            <w:vAlign w:val="center"/>
            <w:hideMark/>
          </w:tcPr>
          <w:p w14:paraId="1895AEDE" w14:textId="77777777" w:rsidR="003E6531" w:rsidRPr="00FF7ECB" w:rsidRDefault="003E6531" w:rsidP="003A4B72">
            <w:pPr>
              <w:contextualSpacing/>
              <w:rPr>
                <w:rFonts w:ascii="Verdana" w:hAnsi="Verdana" w:cs="Arial"/>
                <w:sz w:val="16"/>
                <w:szCs w:val="16"/>
                <w:lang w:val="es-ES" w:eastAsia="es-ES"/>
              </w:rPr>
            </w:pPr>
            <w:r w:rsidRPr="00FF7EC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62274E" w14:textId="77777777" w:rsidR="003E6531" w:rsidRPr="00FF7ECB" w:rsidRDefault="003E6531" w:rsidP="003A4B72">
            <w:pPr>
              <w:rPr>
                <w:rFonts w:ascii="Verdana" w:eastAsia="Times New Roman" w:hAnsi="Verdana" w:cs="Arial"/>
                <w:sz w:val="16"/>
                <w:szCs w:val="16"/>
                <w:lang w:eastAsia="es-ES"/>
              </w:rPr>
            </w:pPr>
            <w:r w:rsidRPr="00FF7ECB">
              <w:rPr>
                <w:rFonts w:ascii="Verdana" w:eastAsia="Times New Roman" w:hAnsi="Verdana" w:cs="Arial"/>
                <w:sz w:val="16"/>
                <w:szCs w:val="16"/>
                <w:lang w:eastAsia="es-ES"/>
              </w:rPr>
              <w:t>Alejandro Sarmiento Cantillo</w:t>
            </w:r>
          </w:p>
          <w:p w14:paraId="6D8ABF10" w14:textId="77777777" w:rsidR="003E6531" w:rsidRPr="00FF7ECB" w:rsidRDefault="003E6531" w:rsidP="003A4B72">
            <w:pPr>
              <w:pStyle w:val="paragraph"/>
              <w:spacing w:before="0" w:beforeAutospacing="0" w:after="0" w:afterAutospacing="0"/>
              <w:contextualSpacing/>
              <w:textAlignment w:val="baseline"/>
              <w:rPr>
                <w:rFonts w:ascii="Verdana" w:hAnsi="Verdana" w:cs="Segoe UI"/>
                <w:sz w:val="16"/>
                <w:szCs w:val="16"/>
                <w:lang w:val="es-ES"/>
              </w:rPr>
            </w:pPr>
            <w:r w:rsidRPr="00FF7ECB">
              <w:rPr>
                <w:rFonts w:ascii="Verdana" w:hAnsi="Verdana" w:cs="Arial"/>
                <w:sz w:val="16"/>
                <w:szCs w:val="16"/>
                <w:lang w:eastAsia="es-ES"/>
              </w:rPr>
              <w:t>Gestor T1 ‒ 15 de la Subdirección de Gestión Contractual</w:t>
            </w:r>
          </w:p>
        </w:tc>
      </w:tr>
      <w:tr w:rsidR="003E6531" w:rsidRPr="00FF7ECB" w14:paraId="7F0245C2" w14:textId="77777777" w:rsidTr="003A4B72">
        <w:trPr>
          <w:trHeight w:val="300"/>
        </w:trPr>
        <w:tc>
          <w:tcPr>
            <w:tcW w:w="893" w:type="dxa"/>
            <w:vAlign w:val="center"/>
          </w:tcPr>
          <w:p w14:paraId="29609FED" w14:textId="77777777" w:rsidR="003E6531" w:rsidRPr="00FF7ECB" w:rsidRDefault="003E6531" w:rsidP="003A4B72">
            <w:pPr>
              <w:contextualSpacing/>
              <w:rPr>
                <w:rFonts w:ascii="Verdana" w:hAnsi="Verdana" w:cs="Arial"/>
                <w:sz w:val="16"/>
                <w:szCs w:val="16"/>
                <w:lang w:val="es-ES" w:eastAsia="es-ES"/>
              </w:rPr>
            </w:pPr>
            <w:r w:rsidRPr="00FF7EC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E4080F" w14:textId="77777777" w:rsidR="003E6531" w:rsidRPr="00FF7ECB" w:rsidRDefault="003E6531" w:rsidP="003A4B72">
            <w:pPr>
              <w:contextualSpacing/>
              <w:rPr>
                <w:rFonts w:ascii="Verdana" w:eastAsia="Calibri" w:hAnsi="Verdana" w:cs="Arial"/>
                <w:sz w:val="16"/>
                <w:szCs w:val="16"/>
                <w:lang w:val="es-ES" w:eastAsia="es-ES"/>
              </w:rPr>
            </w:pPr>
            <w:r w:rsidRPr="00FF7ECB">
              <w:rPr>
                <w:rFonts w:ascii="Verdana" w:eastAsia="Calibri" w:hAnsi="Verdana" w:cs="Arial"/>
                <w:sz w:val="16"/>
                <w:szCs w:val="16"/>
                <w:lang w:val="es-ES" w:eastAsia="es-ES"/>
              </w:rPr>
              <w:t>Carolina Quintero Gacharná</w:t>
            </w:r>
          </w:p>
          <w:p w14:paraId="191613CC" w14:textId="77777777" w:rsidR="003E6531" w:rsidRPr="00FF7ECB" w:rsidRDefault="003E6531" w:rsidP="003A4B72">
            <w:pPr>
              <w:contextualSpacing/>
              <w:rPr>
                <w:rFonts w:ascii="Verdana" w:eastAsia="Calibri" w:hAnsi="Verdana" w:cs="Arial"/>
                <w:sz w:val="16"/>
                <w:szCs w:val="16"/>
                <w:lang w:val="es-ES" w:eastAsia="es-ES"/>
              </w:rPr>
            </w:pPr>
            <w:r w:rsidRPr="00FF7ECB">
              <w:rPr>
                <w:rFonts w:ascii="Verdana" w:eastAsia="Calibri" w:hAnsi="Verdana" w:cs="Arial"/>
                <w:sz w:val="16"/>
                <w:szCs w:val="16"/>
                <w:lang w:val="es-ES" w:eastAsia="es-ES"/>
              </w:rPr>
              <w:t>Subdirectora de Gestión Contractual ANCP – CCE</w:t>
            </w:r>
          </w:p>
        </w:tc>
      </w:tr>
      <w:bookmarkEnd w:id="1"/>
    </w:tbl>
    <w:p w14:paraId="0F293BF4" w14:textId="31DFA7B8" w:rsidR="00127233" w:rsidRPr="003E6531" w:rsidRDefault="00127233" w:rsidP="003E6531"/>
    <w:sectPr w:rsidR="00127233" w:rsidRPr="003E653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B5688" w14:textId="77777777" w:rsidR="00D62111" w:rsidRDefault="00D62111" w:rsidP="004A1847">
      <w:pPr>
        <w:spacing w:after="0" w:line="240" w:lineRule="auto"/>
      </w:pPr>
      <w:r>
        <w:separator/>
      </w:r>
    </w:p>
  </w:endnote>
  <w:endnote w:type="continuationSeparator" w:id="0">
    <w:p w14:paraId="334CAEB6" w14:textId="77777777" w:rsidR="00D62111" w:rsidRDefault="00D6211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4EEB8" w14:textId="77777777" w:rsidR="00D62111" w:rsidRDefault="00D62111" w:rsidP="004A1847">
      <w:pPr>
        <w:spacing w:after="0" w:line="240" w:lineRule="auto"/>
      </w:pPr>
      <w:r>
        <w:separator/>
      </w:r>
    </w:p>
  </w:footnote>
  <w:footnote w:type="continuationSeparator" w:id="0">
    <w:p w14:paraId="4E86ED52" w14:textId="77777777" w:rsidR="00D62111" w:rsidRDefault="00D62111" w:rsidP="004A1847">
      <w:pPr>
        <w:spacing w:after="0" w:line="240" w:lineRule="auto"/>
      </w:pPr>
      <w:r>
        <w:continuationSeparator/>
      </w:r>
    </w:p>
  </w:footnote>
  <w:footnote w:id="1">
    <w:p w14:paraId="71087168" w14:textId="77777777" w:rsidR="008D0D7C" w:rsidRPr="008B39CF" w:rsidRDefault="008D0D7C" w:rsidP="008D0D7C">
      <w:pPr>
        <w:pStyle w:val="Textonotapie"/>
        <w:ind w:firstLine="708"/>
        <w:jc w:val="both"/>
        <w:rPr>
          <w:rFonts w:ascii="Verdana" w:hAnsi="Verdana" w:cs="Arial"/>
          <w:sz w:val="16"/>
          <w:szCs w:val="16"/>
        </w:rPr>
      </w:pPr>
      <w:r w:rsidRPr="008B39CF">
        <w:rPr>
          <w:rStyle w:val="Refdenotaalpie"/>
          <w:rFonts w:ascii="Verdana" w:hAnsi="Verdana" w:cs="Arial"/>
          <w:sz w:val="16"/>
          <w:szCs w:val="16"/>
        </w:rPr>
        <w:footnoteRef/>
      </w:r>
      <w:r w:rsidRPr="008B39CF">
        <w:rPr>
          <w:rFonts w:ascii="Verdana" w:hAnsi="Verdana" w:cs="Arial"/>
          <w:sz w:val="16"/>
          <w:szCs w:val="16"/>
        </w:rPr>
        <w:t xml:space="preserve"> Ley 80 de 1993: «Artículo 2. De la definición de entidades, servidores y servicios públicos. Para los solos efectos de esta ley:</w:t>
      </w:r>
    </w:p>
    <w:p w14:paraId="6BF38C81" w14:textId="77777777" w:rsidR="008D0D7C" w:rsidRPr="008B39CF" w:rsidRDefault="008D0D7C" w:rsidP="008D0D7C">
      <w:pPr>
        <w:pStyle w:val="Textonotapie"/>
        <w:ind w:firstLine="708"/>
        <w:jc w:val="both"/>
        <w:rPr>
          <w:rFonts w:ascii="Verdana" w:hAnsi="Verdana" w:cs="Arial"/>
          <w:sz w:val="16"/>
          <w:szCs w:val="16"/>
        </w:rPr>
      </w:pPr>
      <w:r w:rsidRPr="008B39CF">
        <w:rPr>
          <w:rFonts w:ascii="Verdana" w:hAnsi="Verdana" w:cs="Arial"/>
          <w:sz w:val="16"/>
          <w:szCs w:val="16"/>
        </w:rPr>
        <w:t>«1o. Se denominan entidades estatales:</w:t>
      </w:r>
    </w:p>
    <w:p w14:paraId="79621617" w14:textId="77777777" w:rsidR="008D0D7C" w:rsidRPr="008B39CF" w:rsidRDefault="008D0D7C" w:rsidP="008D0D7C">
      <w:pPr>
        <w:pStyle w:val="Textonotapie"/>
        <w:ind w:firstLine="708"/>
        <w:jc w:val="both"/>
        <w:rPr>
          <w:rFonts w:ascii="Verdana" w:hAnsi="Verdana" w:cs="Arial"/>
          <w:sz w:val="16"/>
          <w:szCs w:val="16"/>
        </w:rPr>
      </w:pPr>
      <w:r w:rsidRPr="008B39CF">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42F6597B" w14:textId="0803642F" w:rsidR="008D0D7C" w:rsidRPr="008B39CF" w:rsidRDefault="008D0D7C" w:rsidP="008D0D7C">
      <w:pPr>
        <w:pStyle w:val="Textonotapie"/>
        <w:ind w:firstLine="708"/>
        <w:jc w:val="both"/>
        <w:rPr>
          <w:rFonts w:ascii="Verdana" w:hAnsi="Verdana" w:cs="Arial"/>
          <w:sz w:val="16"/>
          <w:szCs w:val="16"/>
        </w:rPr>
      </w:pPr>
      <w:r w:rsidRPr="008B39CF">
        <w:rPr>
          <w:rFonts w:ascii="Verdana" w:hAnsi="Verdana" w:cs="Arial"/>
          <w:sz w:val="16"/>
          <w:szCs w:val="16"/>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r w:rsidR="009C156D" w:rsidRPr="008B39CF">
        <w:rPr>
          <w:rFonts w:ascii="Verdana" w:hAnsi="Verdana" w:cs="Arial"/>
          <w:sz w:val="16"/>
          <w:szCs w:val="16"/>
        </w:rPr>
        <w:t>”</w:t>
      </w:r>
      <w:r w:rsidRPr="008B39CF">
        <w:rPr>
          <w:rFonts w:ascii="Verdana" w:hAnsi="Verdana" w:cs="Arial"/>
          <w:sz w:val="16"/>
          <w:szCs w:val="16"/>
        </w:rPr>
        <w:t>.</w:t>
      </w:r>
    </w:p>
    <w:p w14:paraId="7368F9B2" w14:textId="694103D0" w:rsidR="008D0D7C" w:rsidRPr="008B39CF" w:rsidRDefault="009C156D" w:rsidP="008D0D7C">
      <w:pPr>
        <w:pStyle w:val="Textonotapie"/>
        <w:ind w:firstLine="708"/>
        <w:jc w:val="both"/>
        <w:rPr>
          <w:rFonts w:ascii="Verdana" w:hAnsi="Verdana" w:cs="Arial"/>
          <w:sz w:val="16"/>
          <w:szCs w:val="16"/>
        </w:rPr>
      </w:pPr>
      <w:r w:rsidRPr="008B39CF">
        <w:rPr>
          <w:rFonts w:ascii="Verdana" w:hAnsi="Verdana" w:cs="Arial"/>
          <w:sz w:val="16"/>
          <w:szCs w:val="16"/>
        </w:rPr>
        <w:t>“</w:t>
      </w:r>
      <w:r w:rsidR="008D0D7C" w:rsidRPr="008B39CF">
        <w:rPr>
          <w:rFonts w:ascii="Verdana" w:hAnsi="Verdana" w:cs="Arial"/>
          <w:sz w:val="16"/>
          <w:szCs w:val="16"/>
        </w:rPr>
        <w:t>Artículo 12. De la delegación para contratar. 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w:t>
      </w:r>
    </w:p>
    <w:p w14:paraId="1D4011FC" w14:textId="77777777" w:rsidR="008D0D7C" w:rsidRPr="008D5D7A" w:rsidRDefault="008D0D7C" w:rsidP="008D0D7C">
      <w:pPr>
        <w:pStyle w:val="Textonotapie"/>
        <w:ind w:firstLine="708"/>
        <w:jc w:val="both"/>
        <w:rPr>
          <w:rFonts w:ascii="Arial" w:hAnsi="Arial" w:cs="Arial"/>
          <w:sz w:val="19"/>
          <w:szCs w:val="19"/>
          <w:lang w:val="es-ES_tradnl"/>
        </w:rPr>
      </w:pPr>
    </w:p>
  </w:footnote>
  <w:footnote w:id="2">
    <w:p w14:paraId="3DFEAED0" w14:textId="77777777" w:rsidR="008D0D7C" w:rsidRPr="008B39CF" w:rsidRDefault="008D0D7C" w:rsidP="008D0D7C">
      <w:pPr>
        <w:pStyle w:val="Textonotapie"/>
        <w:ind w:firstLine="708"/>
        <w:jc w:val="both"/>
        <w:rPr>
          <w:rFonts w:ascii="Verdana" w:eastAsia="Calibri" w:hAnsi="Verdana" w:cs="Arial"/>
          <w:sz w:val="16"/>
          <w:szCs w:val="16"/>
          <w:lang w:val="es-ES_tradnl"/>
        </w:rPr>
      </w:pPr>
      <w:r w:rsidRPr="008B39CF">
        <w:rPr>
          <w:rStyle w:val="Refdenotaalpie"/>
          <w:rFonts w:ascii="Verdana" w:hAnsi="Verdana" w:cs="Arial"/>
          <w:sz w:val="16"/>
          <w:szCs w:val="16"/>
        </w:rPr>
        <w:footnoteRef/>
      </w:r>
      <w:r w:rsidRPr="008B39CF">
        <w:rPr>
          <w:rFonts w:ascii="Verdana" w:hAnsi="Verdana" w:cs="Arial"/>
          <w:sz w:val="16"/>
          <w:szCs w:val="16"/>
        </w:rPr>
        <w:t xml:space="preserve"> </w:t>
      </w:r>
      <w:r w:rsidRPr="008B39CF">
        <w:rPr>
          <w:rFonts w:ascii="Verdana" w:eastAsia="Calibri" w:hAnsi="Verdana" w:cs="Arial"/>
          <w:sz w:val="16"/>
          <w:szCs w:val="16"/>
          <w:lang w:val="es-ES_tradnl"/>
        </w:rPr>
        <w:t xml:space="preserve">Cfr. CORTE CONSTITUCIONAL. Sentencia C-372 de 2002. M.P. Jaime Córdoba Triviño. </w:t>
      </w:r>
    </w:p>
    <w:p w14:paraId="6E85393A" w14:textId="77777777" w:rsidR="008D0D7C" w:rsidRPr="009B20EA" w:rsidRDefault="008D0D7C" w:rsidP="008D0D7C">
      <w:pPr>
        <w:pStyle w:val="Textonotapie"/>
        <w:ind w:firstLine="708"/>
        <w:jc w:val="both"/>
        <w:rPr>
          <w:rFonts w:ascii="Arial" w:eastAsia="Calibri" w:hAnsi="Arial" w:cs="Arial"/>
          <w:sz w:val="19"/>
          <w:szCs w:val="19"/>
          <w:lang w:val="es-ES_tradnl"/>
        </w:rPr>
      </w:pPr>
    </w:p>
  </w:footnote>
  <w:footnote w:id="3">
    <w:p w14:paraId="07F153D8" w14:textId="77777777" w:rsidR="008D0D7C" w:rsidRPr="008B39CF" w:rsidRDefault="008D0D7C" w:rsidP="008D0D7C">
      <w:pPr>
        <w:pStyle w:val="Textonotapie"/>
        <w:ind w:firstLine="708"/>
        <w:jc w:val="both"/>
        <w:rPr>
          <w:rFonts w:ascii="Verdana" w:eastAsia="Calibri" w:hAnsi="Verdana" w:cs="Arial"/>
          <w:sz w:val="16"/>
          <w:szCs w:val="16"/>
          <w:lang w:val="es-ES_tradnl"/>
        </w:rPr>
      </w:pPr>
      <w:r w:rsidRPr="008D5D7A">
        <w:rPr>
          <w:rStyle w:val="Refdenotaalpie"/>
          <w:rFonts w:ascii="Arial" w:hAnsi="Arial" w:cs="Arial"/>
          <w:sz w:val="19"/>
          <w:szCs w:val="19"/>
        </w:rPr>
        <w:footnoteRef/>
      </w:r>
      <w:r w:rsidRPr="008D5D7A">
        <w:rPr>
          <w:rFonts w:ascii="Arial" w:hAnsi="Arial" w:cs="Arial"/>
          <w:sz w:val="19"/>
          <w:szCs w:val="19"/>
        </w:rPr>
        <w:t xml:space="preserve"> </w:t>
      </w:r>
      <w:r w:rsidRPr="008B39CF">
        <w:rPr>
          <w:rFonts w:ascii="Verdana" w:eastAsia="Calibri" w:hAnsi="Verdana" w:cs="Arial"/>
          <w:sz w:val="16"/>
          <w:szCs w:val="16"/>
          <w:lang w:val="es-ES_tradnl"/>
        </w:rPr>
        <w:t>CORTE CONSTITUCIONAL. Sentencia C-</w:t>
      </w:r>
      <w:r w:rsidRPr="008B39CF">
        <w:rPr>
          <w:rFonts w:ascii="Verdana" w:hAnsi="Verdana" w:cs="Arial"/>
          <w:sz w:val="16"/>
          <w:szCs w:val="16"/>
        </w:rPr>
        <w:t xml:space="preserve"> </w:t>
      </w:r>
      <w:r w:rsidRPr="008B39CF">
        <w:rPr>
          <w:rFonts w:ascii="Verdana" w:eastAsia="Calibri" w:hAnsi="Verdana" w:cs="Arial"/>
          <w:sz w:val="16"/>
          <w:szCs w:val="16"/>
          <w:lang w:val="es-ES_tradnl"/>
        </w:rPr>
        <w:t>693 de 2008. M.P. Marco Gerardo Monroy Cabra.</w:t>
      </w:r>
    </w:p>
    <w:p w14:paraId="502A3CFD" w14:textId="77777777" w:rsidR="008D0D7C" w:rsidRPr="008B39CF" w:rsidRDefault="008D0D7C" w:rsidP="008D0D7C">
      <w:pPr>
        <w:pStyle w:val="Textonotapie"/>
        <w:ind w:firstLine="708"/>
        <w:jc w:val="both"/>
        <w:rPr>
          <w:rFonts w:ascii="Verdana" w:hAnsi="Verdana" w:cs="Arial"/>
          <w:sz w:val="16"/>
          <w:szCs w:val="16"/>
          <w:lang w:val="es-ES"/>
        </w:rPr>
      </w:pPr>
    </w:p>
  </w:footnote>
  <w:footnote w:id="4">
    <w:p w14:paraId="7F72A699" w14:textId="77777777" w:rsidR="008D0D7C" w:rsidRPr="008B39CF" w:rsidRDefault="008D0D7C" w:rsidP="008D0D7C">
      <w:pPr>
        <w:pStyle w:val="Textonotapie"/>
        <w:ind w:firstLine="708"/>
        <w:jc w:val="both"/>
        <w:rPr>
          <w:rFonts w:ascii="Verdana" w:eastAsia="Calibri" w:hAnsi="Verdana" w:cs="Arial"/>
          <w:sz w:val="16"/>
          <w:szCs w:val="16"/>
          <w:lang w:val="es-ES_tradnl"/>
        </w:rPr>
      </w:pPr>
      <w:r w:rsidRPr="008B39CF">
        <w:rPr>
          <w:rStyle w:val="Refdenotaalpie"/>
          <w:rFonts w:ascii="Verdana" w:hAnsi="Verdana" w:cs="Arial"/>
          <w:sz w:val="16"/>
          <w:szCs w:val="16"/>
        </w:rPr>
        <w:footnoteRef/>
      </w:r>
      <w:r w:rsidRPr="008B39CF">
        <w:rPr>
          <w:rFonts w:ascii="Verdana" w:hAnsi="Verdana" w:cs="Arial"/>
          <w:sz w:val="16"/>
          <w:szCs w:val="16"/>
        </w:rPr>
        <w:t xml:space="preserve"> </w:t>
      </w:r>
      <w:r w:rsidRPr="008B39CF">
        <w:rPr>
          <w:rFonts w:ascii="Verdana" w:eastAsia="Calibri" w:hAnsi="Verdana" w:cs="Arial"/>
          <w:sz w:val="16"/>
          <w:szCs w:val="16"/>
          <w:lang w:val="es-ES_tradnl"/>
        </w:rPr>
        <w:t>CORTE CONSTITUCIONAL. Sentencia C-382 de 2000. M.P. Antonio Barrera Carbonell.</w:t>
      </w:r>
    </w:p>
    <w:p w14:paraId="6C6E42FA" w14:textId="77777777" w:rsidR="008D0D7C" w:rsidRPr="008B39CF" w:rsidRDefault="008D0D7C" w:rsidP="008D0D7C">
      <w:pPr>
        <w:pStyle w:val="Textonotapie"/>
        <w:ind w:firstLine="708"/>
        <w:jc w:val="both"/>
        <w:rPr>
          <w:rFonts w:ascii="Verdana" w:hAnsi="Verdana" w:cs="Arial"/>
          <w:sz w:val="16"/>
          <w:szCs w:val="16"/>
          <w:lang w:val="es-ES"/>
        </w:rPr>
      </w:pPr>
    </w:p>
  </w:footnote>
  <w:footnote w:id="5">
    <w:p w14:paraId="5D0C5359" w14:textId="77777777" w:rsidR="008D0D7C" w:rsidRPr="008B39CF" w:rsidRDefault="008D0D7C" w:rsidP="008D0D7C">
      <w:pPr>
        <w:pStyle w:val="Textonotapie"/>
        <w:ind w:firstLine="708"/>
        <w:jc w:val="both"/>
        <w:rPr>
          <w:rFonts w:ascii="Verdana" w:eastAsia="Calibri" w:hAnsi="Verdana" w:cs="Arial"/>
          <w:sz w:val="16"/>
          <w:szCs w:val="16"/>
          <w:lang w:val="es-ES_tradnl"/>
        </w:rPr>
      </w:pPr>
      <w:r w:rsidRPr="008B39CF">
        <w:rPr>
          <w:rStyle w:val="Refdenotaalpie"/>
          <w:rFonts w:ascii="Verdana" w:hAnsi="Verdana" w:cs="Arial"/>
          <w:sz w:val="16"/>
          <w:szCs w:val="16"/>
        </w:rPr>
        <w:footnoteRef/>
      </w:r>
      <w:r w:rsidRPr="008B39CF">
        <w:rPr>
          <w:rFonts w:ascii="Verdana" w:hAnsi="Verdana" w:cs="Arial"/>
          <w:sz w:val="16"/>
          <w:szCs w:val="16"/>
        </w:rPr>
        <w:t xml:space="preserve"> </w:t>
      </w:r>
      <w:r w:rsidRPr="008B39CF">
        <w:rPr>
          <w:rFonts w:ascii="Verdana" w:eastAsia="Calibri" w:hAnsi="Verdana" w:cs="Arial"/>
          <w:sz w:val="16"/>
          <w:szCs w:val="16"/>
          <w:lang w:val="es-ES_tradnl"/>
        </w:rPr>
        <w:t>HERNÁNDEZ, Pedro Alfonso. Descentralización, desconcentración y delegación en Colombia. Bogotá: Legis, 1999. p. 158.</w:t>
      </w:r>
    </w:p>
    <w:p w14:paraId="3CE67824" w14:textId="77777777" w:rsidR="008D0D7C" w:rsidRPr="008B39CF" w:rsidRDefault="008D0D7C" w:rsidP="008D0D7C">
      <w:pPr>
        <w:pStyle w:val="Textonotapie"/>
        <w:ind w:firstLine="708"/>
        <w:jc w:val="both"/>
        <w:rPr>
          <w:rFonts w:ascii="Verdana" w:eastAsia="Calibri" w:hAnsi="Verdana" w:cs="Arial"/>
          <w:sz w:val="16"/>
          <w:szCs w:val="16"/>
          <w:lang w:val="es-ES_tradnl"/>
        </w:rPr>
      </w:pPr>
    </w:p>
  </w:footnote>
  <w:footnote w:id="6">
    <w:p w14:paraId="709BCBC0" w14:textId="77777777" w:rsidR="008D0D7C" w:rsidRPr="008B39CF" w:rsidRDefault="008D0D7C" w:rsidP="008D0D7C">
      <w:pPr>
        <w:pStyle w:val="Textonotapie"/>
        <w:ind w:firstLine="708"/>
        <w:jc w:val="both"/>
        <w:rPr>
          <w:rFonts w:ascii="Verdana" w:hAnsi="Verdana" w:cs="Arial"/>
          <w:sz w:val="16"/>
          <w:szCs w:val="16"/>
          <w:lang w:val="es-ES"/>
        </w:rPr>
      </w:pPr>
      <w:r w:rsidRPr="008B39CF">
        <w:rPr>
          <w:rStyle w:val="Refdenotaalpie"/>
          <w:rFonts w:ascii="Verdana" w:hAnsi="Verdana" w:cs="Arial"/>
          <w:sz w:val="16"/>
          <w:szCs w:val="16"/>
        </w:rPr>
        <w:footnoteRef/>
      </w:r>
      <w:r w:rsidRPr="008B39CF">
        <w:rPr>
          <w:rFonts w:ascii="Verdana" w:hAnsi="Verdana" w:cs="Arial"/>
          <w:sz w:val="16"/>
          <w:szCs w:val="16"/>
        </w:rPr>
        <w:t xml:space="preserve"> </w:t>
      </w:r>
      <w:r w:rsidRPr="008B39CF">
        <w:rPr>
          <w:rFonts w:ascii="Verdana" w:eastAsia="Calibri" w:hAnsi="Verdana" w:cs="Arial"/>
          <w:sz w:val="16"/>
          <w:szCs w:val="16"/>
          <w:lang w:val="es-ES_tradnl"/>
        </w:rPr>
        <w:t xml:space="preserve">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 que el superior hace a sus dependientes para que éstos, actuando a nombre y dirección de aquel, descongestionen la actividad administrativa» (Cfr. PALACIO HINCAPÉ, Juan Ángel. La contratación de las entidades estatales. Séptima Edición. Medellín: Librería Jurídica Sánchez, 2014. p. 97).   </w:t>
      </w:r>
      <w:r w:rsidRPr="008B39CF">
        <w:rPr>
          <w:rFonts w:ascii="Verdana" w:hAnsi="Verdana" w:cs="Arial"/>
          <w:sz w:val="16"/>
          <w:szCs w:val="16"/>
        </w:rPr>
        <w:t xml:space="preserve">       </w:t>
      </w:r>
    </w:p>
  </w:footnote>
  <w:footnote w:id="7">
    <w:p w14:paraId="573F9BC3" w14:textId="77777777" w:rsidR="003E6531" w:rsidRPr="008B39CF" w:rsidRDefault="003E6531" w:rsidP="003E6531">
      <w:pPr>
        <w:pStyle w:val="Textonotapie"/>
        <w:ind w:firstLine="709"/>
        <w:jc w:val="both"/>
        <w:rPr>
          <w:rFonts w:ascii="Verdana" w:hAnsi="Verdana"/>
          <w:sz w:val="16"/>
          <w:szCs w:val="16"/>
        </w:rPr>
      </w:pPr>
      <w:r w:rsidRPr="008B39CF">
        <w:rPr>
          <w:rFonts w:ascii="Verdana" w:hAnsi="Verdana"/>
          <w:sz w:val="16"/>
          <w:szCs w:val="16"/>
          <w:vertAlign w:val="superscript"/>
        </w:rPr>
        <w:footnoteRef/>
      </w:r>
      <w:r w:rsidRPr="008B39CF">
        <w:rPr>
          <w:rFonts w:ascii="Verdana" w:hAnsi="Verdana"/>
          <w:sz w:val="16"/>
          <w:szCs w:val="16"/>
        </w:rPr>
        <w:t xml:space="preserve"> Artículo 17 de la Ley 1150 de 2007.</w:t>
      </w:r>
    </w:p>
    <w:p w14:paraId="3E475B03" w14:textId="77777777" w:rsidR="003E6531" w:rsidRPr="008B39CF" w:rsidRDefault="003E6531" w:rsidP="003E6531">
      <w:pPr>
        <w:pStyle w:val="Textonotapie"/>
        <w:ind w:firstLine="709"/>
        <w:jc w:val="both"/>
        <w:rPr>
          <w:rFonts w:ascii="Verdana" w:hAnsi="Verdana"/>
          <w:sz w:val="16"/>
          <w:szCs w:val="16"/>
        </w:rPr>
      </w:pPr>
    </w:p>
  </w:footnote>
  <w:footnote w:id="8">
    <w:p w14:paraId="527B4D64" w14:textId="77777777" w:rsidR="003E6531" w:rsidRPr="008B39CF" w:rsidRDefault="003E6531" w:rsidP="003E6531">
      <w:pPr>
        <w:pStyle w:val="Textonotapie"/>
        <w:ind w:firstLine="709"/>
        <w:jc w:val="both"/>
        <w:rPr>
          <w:rFonts w:ascii="Verdana" w:hAnsi="Verdana"/>
          <w:sz w:val="16"/>
          <w:szCs w:val="16"/>
        </w:rPr>
      </w:pPr>
      <w:r w:rsidRPr="008B39CF">
        <w:rPr>
          <w:rFonts w:ascii="Verdana" w:hAnsi="Verdana"/>
          <w:sz w:val="16"/>
          <w:szCs w:val="16"/>
          <w:vertAlign w:val="superscript"/>
        </w:rPr>
        <w:footnoteRef/>
      </w:r>
      <w:r w:rsidRPr="008B39CF">
        <w:rPr>
          <w:rFonts w:ascii="Verdana" w:hAnsi="Verdana"/>
          <w:sz w:val="16"/>
          <w:szCs w:val="16"/>
        </w:rPr>
        <w:t xml:space="preserve"> Artículo 21 de la Ley 1150 de 2007.</w:t>
      </w:r>
    </w:p>
    <w:p w14:paraId="5F54E438" w14:textId="77777777" w:rsidR="003E6531" w:rsidRPr="008B39CF" w:rsidRDefault="003E6531" w:rsidP="003E6531">
      <w:pPr>
        <w:pStyle w:val="Textonotapie"/>
        <w:ind w:firstLine="709"/>
        <w:jc w:val="both"/>
        <w:rPr>
          <w:rFonts w:ascii="Verdana" w:hAnsi="Verdana"/>
          <w:sz w:val="16"/>
          <w:szCs w:val="16"/>
        </w:rPr>
      </w:pPr>
    </w:p>
  </w:footnote>
  <w:footnote w:id="9">
    <w:p w14:paraId="56C431F4" w14:textId="77777777" w:rsidR="003E6531" w:rsidRPr="008B39CF" w:rsidRDefault="003E6531" w:rsidP="003E6531">
      <w:pPr>
        <w:pStyle w:val="Textonotapie"/>
        <w:ind w:firstLine="709"/>
        <w:jc w:val="both"/>
        <w:rPr>
          <w:rFonts w:ascii="Verdana" w:hAnsi="Verdana"/>
          <w:sz w:val="16"/>
          <w:szCs w:val="16"/>
        </w:rPr>
      </w:pPr>
      <w:r w:rsidRPr="008B39CF">
        <w:rPr>
          <w:rFonts w:ascii="Verdana" w:hAnsi="Verdana"/>
          <w:sz w:val="16"/>
          <w:szCs w:val="16"/>
          <w:vertAlign w:val="superscript"/>
        </w:rPr>
        <w:footnoteRef/>
      </w:r>
      <w:r w:rsidRPr="008B39CF">
        <w:rPr>
          <w:rFonts w:ascii="Verdana" w:hAnsi="Verdana"/>
          <w:sz w:val="16"/>
          <w:szCs w:val="16"/>
        </w:rPr>
        <w:t xml:space="preserve"> Artículos 83 a 86 de la Ley 1474 de 2011.</w:t>
      </w:r>
    </w:p>
    <w:p w14:paraId="3FBD2FEA" w14:textId="77777777" w:rsidR="003E6531" w:rsidRPr="008B39CF" w:rsidRDefault="003E6531" w:rsidP="003E6531">
      <w:pPr>
        <w:pStyle w:val="Textonotapie"/>
        <w:ind w:firstLine="709"/>
        <w:jc w:val="both"/>
        <w:rPr>
          <w:rFonts w:ascii="Verdana" w:hAnsi="Verdana"/>
          <w:sz w:val="16"/>
          <w:szCs w:val="16"/>
        </w:rPr>
      </w:pPr>
    </w:p>
  </w:footnote>
  <w:footnote w:id="10">
    <w:p w14:paraId="57E3E86B" w14:textId="77777777" w:rsidR="003E6531" w:rsidRPr="008B39CF" w:rsidRDefault="003E6531" w:rsidP="003E6531">
      <w:pPr>
        <w:pStyle w:val="Textonotapie"/>
        <w:ind w:firstLine="709"/>
        <w:jc w:val="both"/>
        <w:rPr>
          <w:rFonts w:ascii="Verdana" w:hAnsi="Verdana"/>
          <w:sz w:val="16"/>
          <w:szCs w:val="16"/>
        </w:rPr>
      </w:pPr>
      <w:r w:rsidRPr="008B39CF">
        <w:rPr>
          <w:rFonts w:ascii="Verdana" w:hAnsi="Verdana"/>
          <w:sz w:val="16"/>
          <w:szCs w:val="16"/>
          <w:vertAlign w:val="superscript"/>
        </w:rPr>
        <w:footnoteRef/>
      </w:r>
      <w:r w:rsidRPr="008B39CF">
        <w:rPr>
          <w:rFonts w:ascii="Verdana" w:hAnsi="Verdana"/>
          <w:sz w:val="16"/>
          <w:szCs w:val="16"/>
        </w:rPr>
        <w:t xml:space="preserve"> Consejo de Estado. Sección 3ª. Sentencia del 27 de noviembre de 2017. M.P. Jaime Orlando Santofimio. Exp. 51.802.</w:t>
      </w:r>
    </w:p>
    <w:p w14:paraId="5D58247D" w14:textId="77777777" w:rsidR="003E6531" w:rsidRPr="008B39CF" w:rsidRDefault="003E6531" w:rsidP="003E6531">
      <w:pPr>
        <w:pStyle w:val="Textonotapie"/>
        <w:ind w:firstLine="709"/>
        <w:jc w:val="both"/>
        <w:rPr>
          <w:rFonts w:ascii="Verdana" w:hAnsi="Verdana"/>
          <w:sz w:val="16"/>
          <w:szCs w:val="16"/>
        </w:rPr>
      </w:pPr>
    </w:p>
  </w:footnote>
  <w:footnote w:id="11">
    <w:p w14:paraId="197CC487" w14:textId="77777777" w:rsidR="003E6531" w:rsidRPr="008B39CF" w:rsidRDefault="003E6531" w:rsidP="003E6531">
      <w:pPr>
        <w:pStyle w:val="Textonotapie"/>
        <w:ind w:firstLine="709"/>
        <w:jc w:val="both"/>
        <w:rPr>
          <w:rFonts w:ascii="Verdana" w:hAnsi="Verdana"/>
          <w:sz w:val="16"/>
          <w:szCs w:val="16"/>
        </w:rPr>
      </w:pPr>
      <w:r w:rsidRPr="008B39CF">
        <w:rPr>
          <w:rFonts w:ascii="Verdana" w:hAnsi="Verdana"/>
          <w:sz w:val="16"/>
          <w:szCs w:val="16"/>
          <w:vertAlign w:val="superscript"/>
        </w:rPr>
        <w:footnoteRef/>
      </w:r>
      <w:r w:rsidRPr="008B39CF">
        <w:rPr>
          <w:rFonts w:ascii="Verdana" w:hAnsi="Verdana"/>
          <w:sz w:val="16"/>
          <w:szCs w:val="16"/>
        </w:rPr>
        <w:t xml:space="preserve"> Artículo 83 de la Ley 1474 de 2011.</w:t>
      </w:r>
    </w:p>
    <w:p w14:paraId="628C1ED8" w14:textId="77777777" w:rsidR="003E6531" w:rsidRPr="008B39CF" w:rsidRDefault="003E6531" w:rsidP="003E6531">
      <w:pPr>
        <w:pStyle w:val="Textonotapie"/>
        <w:ind w:firstLine="709"/>
        <w:jc w:val="both"/>
        <w:rPr>
          <w:rFonts w:ascii="Verdana" w:hAnsi="Verdana"/>
          <w:sz w:val="16"/>
          <w:szCs w:val="16"/>
        </w:rPr>
      </w:pPr>
    </w:p>
  </w:footnote>
  <w:footnote w:id="12">
    <w:p w14:paraId="34884054" w14:textId="77777777" w:rsidR="003E6531" w:rsidRPr="008B39CF" w:rsidRDefault="003E6531" w:rsidP="003E6531">
      <w:pPr>
        <w:pStyle w:val="Textonotapie"/>
        <w:ind w:firstLine="709"/>
        <w:jc w:val="both"/>
        <w:rPr>
          <w:rFonts w:ascii="Verdana" w:hAnsi="Verdana"/>
          <w:sz w:val="16"/>
          <w:szCs w:val="16"/>
        </w:rPr>
      </w:pPr>
      <w:r w:rsidRPr="008B39CF">
        <w:rPr>
          <w:rFonts w:ascii="Verdana" w:hAnsi="Verdana"/>
          <w:sz w:val="16"/>
          <w:szCs w:val="16"/>
          <w:vertAlign w:val="superscript"/>
        </w:rPr>
        <w:footnoteRef/>
      </w:r>
      <w:r w:rsidRPr="008B39CF">
        <w:rPr>
          <w:rFonts w:ascii="Verdana" w:hAnsi="Verdana"/>
          <w:sz w:val="16"/>
          <w:szCs w:val="16"/>
        </w:rPr>
        <w:t xml:space="preserve"> A excepción de la interventoría del contrato de obra adjudicado por licitación pública que es obligatoria según el numeral 1° del artículo 32 de la Ley 80 de 1993.</w:t>
      </w:r>
    </w:p>
    <w:p w14:paraId="6A1893A8" w14:textId="77777777" w:rsidR="003E6531" w:rsidRPr="008B39CF" w:rsidRDefault="003E6531" w:rsidP="003E6531">
      <w:pPr>
        <w:pStyle w:val="Textonotapie"/>
        <w:ind w:firstLine="709"/>
        <w:jc w:val="both"/>
        <w:rPr>
          <w:rFonts w:ascii="Verdana" w:hAnsi="Verdana"/>
          <w:sz w:val="16"/>
          <w:szCs w:val="16"/>
        </w:rPr>
      </w:pPr>
    </w:p>
  </w:footnote>
  <w:footnote w:id="13">
    <w:p w14:paraId="4BE57643" w14:textId="77777777" w:rsidR="003E6531" w:rsidRPr="008B39CF" w:rsidRDefault="003E6531" w:rsidP="003E6531">
      <w:pPr>
        <w:pStyle w:val="Textonotapie"/>
        <w:ind w:firstLine="709"/>
        <w:jc w:val="both"/>
        <w:rPr>
          <w:rFonts w:ascii="Verdana" w:hAnsi="Verdana" w:cs="Arial"/>
          <w:color w:val="000000"/>
          <w:sz w:val="16"/>
          <w:szCs w:val="16"/>
        </w:rPr>
      </w:pPr>
      <w:r w:rsidRPr="008B39CF">
        <w:rPr>
          <w:rFonts w:ascii="Verdana" w:hAnsi="Verdana" w:cs="Arial"/>
          <w:color w:val="000000"/>
          <w:sz w:val="16"/>
          <w:szCs w:val="16"/>
          <w:vertAlign w:val="superscript"/>
        </w:rPr>
        <w:footnoteRef/>
      </w:r>
      <w:r w:rsidRPr="008B39CF">
        <w:rPr>
          <w:rFonts w:ascii="Verdana" w:hAnsi="Verdana" w:cs="Arial"/>
          <w:color w:val="000000"/>
          <w:sz w:val="16"/>
          <w:szCs w:val="16"/>
        </w:rPr>
        <w:t xml:space="preserve"> En las Gacetas Nos. 607 y 784 de 2010, en las páginas 12 y 24, respectivamente, se da cuenta de esto.</w:t>
      </w:r>
    </w:p>
    <w:p w14:paraId="3CF6C733" w14:textId="77777777" w:rsidR="003E6531" w:rsidRPr="008B39CF" w:rsidRDefault="003E6531" w:rsidP="003E6531">
      <w:pPr>
        <w:pStyle w:val="Textonotapie"/>
        <w:ind w:firstLine="709"/>
        <w:jc w:val="both"/>
        <w:rPr>
          <w:rFonts w:ascii="Verdana" w:hAnsi="Verdana" w:cs="Arial"/>
          <w:color w:val="000000"/>
          <w:sz w:val="16"/>
          <w:szCs w:val="16"/>
        </w:rPr>
      </w:pPr>
    </w:p>
  </w:footnote>
  <w:footnote w:id="14">
    <w:p w14:paraId="6244C7B7" w14:textId="77777777" w:rsidR="003E6531" w:rsidRPr="008B39CF" w:rsidRDefault="003E6531" w:rsidP="003E6531">
      <w:pPr>
        <w:pStyle w:val="Textonotapie"/>
        <w:ind w:firstLine="709"/>
        <w:jc w:val="both"/>
        <w:rPr>
          <w:rFonts w:ascii="Verdana" w:hAnsi="Verdana" w:cs="Arial"/>
          <w:color w:val="000000"/>
          <w:sz w:val="16"/>
          <w:szCs w:val="16"/>
        </w:rPr>
      </w:pPr>
      <w:r w:rsidRPr="008B39CF">
        <w:rPr>
          <w:rFonts w:ascii="Verdana" w:hAnsi="Verdana" w:cs="Arial"/>
          <w:color w:val="000000"/>
          <w:sz w:val="16"/>
          <w:szCs w:val="16"/>
          <w:vertAlign w:val="superscript"/>
        </w:rPr>
        <w:footnoteRef/>
      </w:r>
      <w:r w:rsidRPr="008B39CF">
        <w:rPr>
          <w:rFonts w:ascii="Verdana" w:hAnsi="Verdana" w:cs="Arial"/>
          <w:color w:val="000000"/>
          <w:sz w:val="16"/>
          <w:szCs w:val="16"/>
        </w:rPr>
        <w:t xml:space="preserve"> Ver las Gacetas Nos. 1002 y 1117 de 2010, en las páginas 44 y 13, respectivamente.</w:t>
      </w:r>
    </w:p>
  </w:footnote>
  <w:footnote w:id="15">
    <w:p w14:paraId="03AEAFAB" w14:textId="77777777" w:rsidR="003E6531" w:rsidRPr="008B39CF" w:rsidRDefault="003E6531" w:rsidP="003E6531">
      <w:pPr>
        <w:pStyle w:val="Textonotapie"/>
        <w:ind w:firstLine="709"/>
        <w:jc w:val="both"/>
        <w:rPr>
          <w:rFonts w:ascii="Verdana" w:hAnsi="Verdana" w:cs="Arial"/>
          <w:color w:val="000000"/>
          <w:sz w:val="16"/>
          <w:szCs w:val="16"/>
        </w:rPr>
      </w:pPr>
    </w:p>
    <w:p w14:paraId="5F95F415" w14:textId="77777777" w:rsidR="003E6531" w:rsidRPr="008B39CF" w:rsidRDefault="003E6531" w:rsidP="003E6531">
      <w:pPr>
        <w:pStyle w:val="Textonotapie"/>
        <w:ind w:firstLine="709"/>
        <w:jc w:val="both"/>
        <w:rPr>
          <w:rFonts w:ascii="Verdana" w:hAnsi="Verdana" w:cs="Arial"/>
          <w:color w:val="000000"/>
          <w:sz w:val="16"/>
          <w:szCs w:val="16"/>
        </w:rPr>
      </w:pPr>
      <w:r w:rsidRPr="008B39CF">
        <w:rPr>
          <w:rFonts w:ascii="Verdana" w:hAnsi="Verdana" w:cs="Arial"/>
          <w:color w:val="000000"/>
          <w:sz w:val="16"/>
          <w:szCs w:val="16"/>
          <w:vertAlign w:val="superscript"/>
        </w:rPr>
        <w:footnoteRef/>
      </w:r>
      <w:r w:rsidRPr="008B39CF">
        <w:rPr>
          <w:rFonts w:ascii="Verdana" w:hAnsi="Verdana" w:cs="Arial"/>
          <w:color w:val="000000"/>
          <w:sz w:val="16"/>
          <w:szCs w:val="16"/>
        </w:rPr>
        <w:t xml:space="preserve"> Ver la Gaceta No. 019 de 2011, en la página 17.</w:t>
      </w:r>
    </w:p>
  </w:footnote>
  <w:footnote w:id="16">
    <w:p w14:paraId="16C1B5FA" w14:textId="77777777" w:rsidR="003E6531" w:rsidRPr="008B39CF" w:rsidRDefault="003E6531" w:rsidP="003E6531">
      <w:pPr>
        <w:pStyle w:val="Textonotapie"/>
        <w:ind w:firstLine="709"/>
        <w:jc w:val="both"/>
        <w:rPr>
          <w:rFonts w:ascii="Verdana" w:hAnsi="Verdana" w:cs="Arial"/>
          <w:color w:val="000000"/>
          <w:sz w:val="16"/>
          <w:szCs w:val="16"/>
        </w:rPr>
      </w:pPr>
    </w:p>
    <w:p w14:paraId="206F0453" w14:textId="77777777" w:rsidR="003E6531" w:rsidRPr="008B39CF" w:rsidRDefault="003E6531" w:rsidP="003E6531">
      <w:pPr>
        <w:pStyle w:val="Textonotapie"/>
        <w:ind w:firstLine="709"/>
        <w:jc w:val="both"/>
        <w:rPr>
          <w:rFonts w:ascii="Verdana" w:hAnsi="Verdana" w:cs="Arial"/>
          <w:color w:val="000000"/>
          <w:sz w:val="16"/>
          <w:szCs w:val="16"/>
        </w:rPr>
      </w:pPr>
      <w:r w:rsidRPr="008B39CF">
        <w:rPr>
          <w:rFonts w:ascii="Verdana" w:hAnsi="Verdana" w:cs="Arial"/>
          <w:color w:val="000000"/>
          <w:sz w:val="16"/>
          <w:szCs w:val="16"/>
          <w:vertAlign w:val="superscript"/>
        </w:rPr>
        <w:footnoteRef/>
      </w:r>
      <w:r w:rsidRPr="008B39CF">
        <w:rPr>
          <w:rFonts w:ascii="Verdana" w:hAnsi="Verdana" w:cs="Arial"/>
          <w:color w:val="000000"/>
          <w:sz w:val="16"/>
          <w:szCs w:val="16"/>
        </w:rPr>
        <w:t xml:space="preserve"> Ver la Gaceta No. 128 de 2011, en la página 20.</w:t>
      </w:r>
    </w:p>
  </w:footnote>
  <w:footnote w:id="17">
    <w:p w14:paraId="5E05A916" w14:textId="77777777" w:rsidR="003E6531" w:rsidRPr="008B39CF" w:rsidRDefault="003E6531" w:rsidP="003E6531">
      <w:pPr>
        <w:pStyle w:val="Textonotapie"/>
        <w:ind w:firstLine="709"/>
        <w:jc w:val="both"/>
        <w:rPr>
          <w:rFonts w:ascii="Verdana" w:hAnsi="Verdana" w:cs="Arial"/>
          <w:color w:val="000000"/>
          <w:sz w:val="16"/>
          <w:szCs w:val="16"/>
        </w:rPr>
      </w:pPr>
    </w:p>
    <w:p w14:paraId="1A348F08" w14:textId="77777777" w:rsidR="003E6531" w:rsidRPr="008B39CF" w:rsidRDefault="003E6531" w:rsidP="003E6531">
      <w:pPr>
        <w:pStyle w:val="Textonotapie"/>
        <w:ind w:firstLine="709"/>
        <w:jc w:val="both"/>
        <w:rPr>
          <w:rFonts w:ascii="Verdana" w:hAnsi="Verdana" w:cs="Arial"/>
          <w:color w:val="000000"/>
          <w:sz w:val="16"/>
          <w:szCs w:val="16"/>
        </w:rPr>
      </w:pPr>
      <w:r w:rsidRPr="008B39CF">
        <w:rPr>
          <w:rFonts w:ascii="Verdana" w:hAnsi="Verdana" w:cs="Arial"/>
          <w:color w:val="000000"/>
          <w:sz w:val="16"/>
          <w:szCs w:val="16"/>
          <w:vertAlign w:val="superscript"/>
        </w:rPr>
        <w:footnoteRef/>
      </w:r>
      <w:r w:rsidRPr="008B39CF">
        <w:rPr>
          <w:rFonts w:ascii="Verdana" w:hAnsi="Verdana" w:cs="Arial"/>
          <w:color w:val="000000"/>
          <w:sz w:val="16"/>
          <w:szCs w:val="16"/>
        </w:rPr>
        <w:t xml:space="preserve"> Ver la Gaceta No. 258 de 2011, en la página 16.</w:t>
      </w:r>
    </w:p>
  </w:footnote>
  <w:footnote w:id="18">
    <w:p w14:paraId="6D5FD7CE" w14:textId="77777777" w:rsidR="003E6531" w:rsidRPr="008B39CF" w:rsidRDefault="003E6531" w:rsidP="003E6531">
      <w:pPr>
        <w:pStyle w:val="Textonotapie"/>
        <w:ind w:firstLine="709"/>
        <w:jc w:val="both"/>
        <w:rPr>
          <w:rFonts w:ascii="Verdana" w:hAnsi="Verdana" w:cs="Arial"/>
          <w:color w:val="000000"/>
          <w:sz w:val="16"/>
          <w:szCs w:val="16"/>
        </w:rPr>
      </w:pPr>
    </w:p>
    <w:p w14:paraId="10E6F8FE" w14:textId="77777777" w:rsidR="003E6531" w:rsidRPr="008B39CF" w:rsidRDefault="003E6531" w:rsidP="003E6531">
      <w:pPr>
        <w:pStyle w:val="Textonotapie"/>
        <w:ind w:firstLine="709"/>
        <w:jc w:val="both"/>
        <w:rPr>
          <w:rFonts w:ascii="Verdana" w:hAnsi="Verdana" w:cs="Arial"/>
          <w:color w:val="000000"/>
          <w:sz w:val="16"/>
          <w:szCs w:val="16"/>
        </w:rPr>
      </w:pPr>
      <w:r w:rsidRPr="008B39CF">
        <w:rPr>
          <w:rFonts w:ascii="Verdana" w:hAnsi="Verdana" w:cs="Arial"/>
          <w:color w:val="000000"/>
          <w:sz w:val="16"/>
          <w:szCs w:val="16"/>
          <w:vertAlign w:val="superscript"/>
        </w:rPr>
        <w:footnoteRef/>
      </w:r>
      <w:r w:rsidRPr="008B39CF">
        <w:rPr>
          <w:rFonts w:ascii="Verdana" w:hAnsi="Verdana" w:cs="Arial"/>
          <w:color w:val="000000"/>
          <w:sz w:val="16"/>
          <w:szCs w:val="16"/>
        </w:rPr>
        <w:t xml:space="preserve"> Ver las Gacetas Nos. 1002 y 1117 de 2010.</w:t>
      </w:r>
    </w:p>
    <w:p w14:paraId="07EAE532" w14:textId="77777777" w:rsidR="003E6531" w:rsidRPr="008B39CF" w:rsidRDefault="003E6531" w:rsidP="003E6531">
      <w:pPr>
        <w:pStyle w:val="Textonotapie"/>
        <w:ind w:firstLine="709"/>
        <w:jc w:val="both"/>
        <w:rPr>
          <w:rFonts w:ascii="Verdana" w:hAnsi="Verdana" w:cs="Arial"/>
          <w:color w:val="000000"/>
          <w:sz w:val="16"/>
          <w:szCs w:val="16"/>
        </w:rPr>
      </w:pPr>
    </w:p>
  </w:footnote>
  <w:footnote w:id="19">
    <w:p w14:paraId="59675620" w14:textId="77777777" w:rsidR="003E6531" w:rsidRPr="008B39CF" w:rsidRDefault="003E6531" w:rsidP="003E6531">
      <w:pPr>
        <w:pStyle w:val="Textonotapie"/>
        <w:ind w:firstLine="709"/>
        <w:jc w:val="both"/>
        <w:rPr>
          <w:rFonts w:ascii="Verdana" w:hAnsi="Verdana"/>
          <w:sz w:val="16"/>
          <w:szCs w:val="16"/>
          <w:lang w:val="es-CO"/>
        </w:rPr>
      </w:pPr>
      <w:r w:rsidRPr="008B39CF">
        <w:rPr>
          <w:rStyle w:val="Refdenotaalpie"/>
          <w:rFonts w:ascii="Verdana" w:hAnsi="Verdana"/>
          <w:sz w:val="16"/>
          <w:szCs w:val="16"/>
        </w:rPr>
        <w:footnoteRef/>
      </w:r>
      <w:r w:rsidRPr="008B39CF">
        <w:rPr>
          <w:rFonts w:ascii="Verdana" w:hAnsi="Verdana"/>
          <w:sz w:val="16"/>
          <w:szCs w:val="16"/>
        </w:rPr>
        <w:t xml:space="preserve"> Artículo 32, numeral 2, inciso 2. “</w:t>
      </w:r>
      <w:r w:rsidRPr="008B39CF">
        <w:rPr>
          <w:rFonts w:ascii="Verdana" w:hAnsi="Verdana"/>
          <w:sz w:val="16"/>
          <w:szCs w:val="16"/>
          <w:lang w:val="es-CO"/>
        </w:rPr>
        <w:t>Son también contratos de consultoría los que tienen por objeto la interventoría […]”.</w:t>
      </w:r>
    </w:p>
    <w:p w14:paraId="6C5FF4D8" w14:textId="77777777" w:rsidR="003E6531" w:rsidRPr="008B39CF" w:rsidRDefault="003E6531" w:rsidP="003E6531">
      <w:pPr>
        <w:pStyle w:val="Textonotapie"/>
        <w:jc w:val="both"/>
        <w:rPr>
          <w:rFonts w:ascii="Verdana" w:hAnsi="Verdana"/>
          <w:sz w:val="16"/>
          <w:szCs w:val="16"/>
        </w:rPr>
      </w:pPr>
    </w:p>
  </w:footnote>
  <w:footnote w:id="20">
    <w:p w14:paraId="3840FFE6" w14:textId="77777777" w:rsidR="003E6531" w:rsidRPr="008B39CF" w:rsidRDefault="003E6531" w:rsidP="003E6531">
      <w:pPr>
        <w:pStyle w:val="Textonotapie"/>
        <w:ind w:firstLine="709"/>
        <w:jc w:val="both"/>
        <w:rPr>
          <w:rStyle w:val="Hipervnculo"/>
          <w:rFonts w:ascii="Verdana" w:hAnsi="Verdana" w:cs="Arial"/>
          <w:color w:val="000000" w:themeColor="text1"/>
          <w:sz w:val="16"/>
          <w:szCs w:val="16"/>
        </w:rPr>
      </w:pPr>
      <w:r w:rsidRPr="008B39CF">
        <w:rPr>
          <w:rStyle w:val="Refdenotaalpie"/>
          <w:rFonts w:ascii="Verdana" w:hAnsi="Verdana"/>
          <w:sz w:val="16"/>
          <w:szCs w:val="16"/>
        </w:rPr>
        <w:footnoteRef/>
      </w:r>
      <w:r w:rsidRPr="008B39CF">
        <w:rPr>
          <w:rFonts w:ascii="Verdana" w:hAnsi="Verdana"/>
          <w:sz w:val="16"/>
          <w:szCs w:val="16"/>
        </w:rPr>
        <w:t xml:space="preserve"> </w:t>
      </w:r>
      <w:r w:rsidRPr="008B39CF">
        <w:rPr>
          <w:rFonts w:ascii="Verdana" w:hAnsi="Verdana" w:cs="Arial"/>
          <w:color w:val="000000" w:themeColor="text1"/>
          <w:sz w:val="16"/>
          <w:szCs w:val="16"/>
        </w:rPr>
        <w:t xml:space="preserve">SANCHEZ CALVO, John Gilberto. La liquidación. Análisis del contrato de interventoría desde la visión de la jurisprudencia colombiana. Disponible en el siguiente enlace: </w:t>
      </w:r>
      <w:hyperlink r:id="rId1" w:history="1">
        <w:r w:rsidRPr="008B39CF">
          <w:rPr>
            <w:rStyle w:val="Hipervnculo"/>
            <w:rFonts w:ascii="Verdana" w:hAnsi="Verdana" w:cs="Arial"/>
            <w:sz w:val="16"/>
            <w:szCs w:val="16"/>
          </w:rPr>
          <w:t>https://revistas.usergioarboleda.edu.co/index.php/Cuadernos/article/download/1008/844/3102</w:t>
        </w:r>
      </w:hyperlink>
      <w:r w:rsidRPr="008B39CF">
        <w:rPr>
          <w:rStyle w:val="Hipervnculo"/>
          <w:rFonts w:ascii="Verdana" w:hAnsi="Verdana" w:cs="Arial"/>
          <w:sz w:val="16"/>
          <w:szCs w:val="16"/>
        </w:rPr>
        <w:t xml:space="preserve"> </w:t>
      </w:r>
    </w:p>
    <w:p w14:paraId="30A5F718" w14:textId="77777777" w:rsidR="003E6531" w:rsidRPr="008B39CF" w:rsidRDefault="003E6531" w:rsidP="003E6531">
      <w:pPr>
        <w:pStyle w:val="Textonotapie"/>
        <w:ind w:firstLine="709"/>
        <w:jc w:val="both"/>
        <w:rPr>
          <w:rFonts w:ascii="Verdana" w:hAnsi="Verdana"/>
          <w:sz w:val="16"/>
          <w:szCs w:val="16"/>
        </w:rPr>
      </w:pPr>
    </w:p>
  </w:footnote>
  <w:footnote w:id="21">
    <w:p w14:paraId="6A0513B5" w14:textId="77777777" w:rsidR="003E6531" w:rsidRPr="008B39CF" w:rsidRDefault="003E6531" w:rsidP="003E6531">
      <w:pPr>
        <w:pStyle w:val="Textonotapie"/>
        <w:ind w:firstLine="709"/>
        <w:jc w:val="both"/>
        <w:rPr>
          <w:rFonts w:ascii="Verdana" w:hAnsi="Verdana"/>
          <w:sz w:val="16"/>
          <w:szCs w:val="16"/>
        </w:rPr>
      </w:pPr>
      <w:r w:rsidRPr="008B39CF">
        <w:rPr>
          <w:rStyle w:val="Refdenotaalpie"/>
          <w:rFonts w:ascii="Verdana" w:hAnsi="Verdana"/>
          <w:sz w:val="16"/>
          <w:szCs w:val="16"/>
        </w:rPr>
        <w:footnoteRef/>
      </w:r>
      <w:r w:rsidRPr="008B39CF">
        <w:rPr>
          <w:rFonts w:ascii="Verdana" w:hAnsi="Verdana"/>
          <w:sz w:val="16"/>
          <w:szCs w:val="16"/>
        </w:rPr>
        <w:t xml:space="preserve">  Artículo 53, numeral 1°; inciso 2°: “En los contratos de obra que hayan sido celebrados como resultado de un proceso de licitación o concurso públicos, la interventoría deberá ser contratada con una persona independiente de la entidad contratante y del contratista, quien responderá por los hechos y omisiones que le fueren imputables en los términos previstos en el artículo 53 del presente estatuto”.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E43"/>
    <w:rsid w:val="00013297"/>
    <w:rsid w:val="00016F78"/>
    <w:rsid w:val="00025692"/>
    <w:rsid w:val="0003527F"/>
    <w:rsid w:val="00037242"/>
    <w:rsid w:val="00046945"/>
    <w:rsid w:val="00055922"/>
    <w:rsid w:val="00061B2A"/>
    <w:rsid w:val="00066B03"/>
    <w:rsid w:val="00082362"/>
    <w:rsid w:val="000840C0"/>
    <w:rsid w:val="00092BFD"/>
    <w:rsid w:val="000A31EE"/>
    <w:rsid w:val="000A683E"/>
    <w:rsid w:val="000B19B9"/>
    <w:rsid w:val="000B1B17"/>
    <w:rsid w:val="000B71DB"/>
    <w:rsid w:val="000D0334"/>
    <w:rsid w:val="000D4115"/>
    <w:rsid w:val="000D5DA7"/>
    <w:rsid w:val="000D7949"/>
    <w:rsid w:val="000E17F1"/>
    <w:rsid w:val="000E480F"/>
    <w:rsid w:val="000F6486"/>
    <w:rsid w:val="00116940"/>
    <w:rsid w:val="00120971"/>
    <w:rsid w:val="00125105"/>
    <w:rsid w:val="00127233"/>
    <w:rsid w:val="0015699B"/>
    <w:rsid w:val="00172D8C"/>
    <w:rsid w:val="001A33BF"/>
    <w:rsid w:val="001C1501"/>
    <w:rsid w:val="001D3C57"/>
    <w:rsid w:val="001D7C06"/>
    <w:rsid w:val="001E4177"/>
    <w:rsid w:val="001E6F3E"/>
    <w:rsid w:val="001E7801"/>
    <w:rsid w:val="001F0B24"/>
    <w:rsid w:val="001F7DC6"/>
    <w:rsid w:val="001F7F0F"/>
    <w:rsid w:val="00205DF4"/>
    <w:rsid w:val="0022400B"/>
    <w:rsid w:val="002421BB"/>
    <w:rsid w:val="00254416"/>
    <w:rsid w:val="00256171"/>
    <w:rsid w:val="0025796E"/>
    <w:rsid w:val="002665DA"/>
    <w:rsid w:val="002707A2"/>
    <w:rsid w:val="002951A0"/>
    <w:rsid w:val="00295505"/>
    <w:rsid w:val="002962BC"/>
    <w:rsid w:val="002A093D"/>
    <w:rsid w:val="002A0DD0"/>
    <w:rsid w:val="002A49AC"/>
    <w:rsid w:val="002A64FD"/>
    <w:rsid w:val="002A6D53"/>
    <w:rsid w:val="002A7C26"/>
    <w:rsid w:val="002C7A84"/>
    <w:rsid w:val="002E2BF8"/>
    <w:rsid w:val="002E4FD9"/>
    <w:rsid w:val="00303A6D"/>
    <w:rsid w:val="003061EF"/>
    <w:rsid w:val="0030657A"/>
    <w:rsid w:val="00322A85"/>
    <w:rsid w:val="00324168"/>
    <w:rsid w:val="00330834"/>
    <w:rsid w:val="00343806"/>
    <w:rsid w:val="003448F4"/>
    <w:rsid w:val="003472CE"/>
    <w:rsid w:val="003637F7"/>
    <w:rsid w:val="00374F5E"/>
    <w:rsid w:val="00377E3E"/>
    <w:rsid w:val="00397DCA"/>
    <w:rsid w:val="003A779E"/>
    <w:rsid w:val="003B07BA"/>
    <w:rsid w:val="003D0F4D"/>
    <w:rsid w:val="003D5A4A"/>
    <w:rsid w:val="003D5B0D"/>
    <w:rsid w:val="003E0499"/>
    <w:rsid w:val="003E13B5"/>
    <w:rsid w:val="003E4F80"/>
    <w:rsid w:val="003E6439"/>
    <w:rsid w:val="003E6531"/>
    <w:rsid w:val="003F3941"/>
    <w:rsid w:val="00406575"/>
    <w:rsid w:val="00414C74"/>
    <w:rsid w:val="004151A5"/>
    <w:rsid w:val="0042722E"/>
    <w:rsid w:val="00430CE6"/>
    <w:rsid w:val="0043131E"/>
    <w:rsid w:val="0044528D"/>
    <w:rsid w:val="00466E39"/>
    <w:rsid w:val="004844AA"/>
    <w:rsid w:val="004A1847"/>
    <w:rsid w:val="004A305D"/>
    <w:rsid w:val="004D321F"/>
    <w:rsid w:val="004D3422"/>
    <w:rsid w:val="004F21C4"/>
    <w:rsid w:val="004F54C0"/>
    <w:rsid w:val="004F685F"/>
    <w:rsid w:val="005002D3"/>
    <w:rsid w:val="00500D3C"/>
    <w:rsid w:val="0050531A"/>
    <w:rsid w:val="005366CA"/>
    <w:rsid w:val="00546578"/>
    <w:rsid w:val="005566E8"/>
    <w:rsid w:val="00565849"/>
    <w:rsid w:val="00574867"/>
    <w:rsid w:val="00591460"/>
    <w:rsid w:val="00592620"/>
    <w:rsid w:val="005A65E0"/>
    <w:rsid w:val="005C3777"/>
    <w:rsid w:val="005C5CDC"/>
    <w:rsid w:val="005C65DF"/>
    <w:rsid w:val="005D476C"/>
    <w:rsid w:val="005E26D6"/>
    <w:rsid w:val="00601307"/>
    <w:rsid w:val="006071B1"/>
    <w:rsid w:val="006200BF"/>
    <w:rsid w:val="006219F8"/>
    <w:rsid w:val="006227D7"/>
    <w:rsid w:val="006302F7"/>
    <w:rsid w:val="00646B9F"/>
    <w:rsid w:val="00654CDB"/>
    <w:rsid w:val="00665D5A"/>
    <w:rsid w:val="00665D70"/>
    <w:rsid w:val="006900D9"/>
    <w:rsid w:val="006B1155"/>
    <w:rsid w:val="006B14F2"/>
    <w:rsid w:val="006B1EBB"/>
    <w:rsid w:val="006C369F"/>
    <w:rsid w:val="006C569B"/>
    <w:rsid w:val="006D5FD0"/>
    <w:rsid w:val="0070272F"/>
    <w:rsid w:val="00706C16"/>
    <w:rsid w:val="007340C3"/>
    <w:rsid w:val="0075235A"/>
    <w:rsid w:val="00756841"/>
    <w:rsid w:val="00757964"/>
    <w:rsid w:val="007649AB"/>
    <w:rsid w:val="00771D0C"/>
    <w:rsid w:val="00775EF9"/>
    <w:rsid w:val="007833AC"/>
    <w:rsid w:val="00785991"/>
    <w:rsid w:val="007B268C"/>
    <w:rsid w:val="007B478E"/>
    <w:rsid w:val="007B7171"/>
    <w:rsid w:val="007C0C0F"/>
    <w:rsid w:val="007C1C9D"/>
    <w:rsid w:val="007C3DC2"/>
    <w:rsid w:val="007C413E"/>
    <w:rsid w:val="007C55B8"/>
    <w:rsid w:val="007E5497"/>
    <w:rsid w:val="007E64EA"/>
    <w:rsid w:val="007F2991"/>
    <w:rsid w:val="007F7E4C"/>
    <w:rsid w:val="00806F5F"/>
    <w:rsid w:val="00820278"/>
    <w:rsid w:val="008258C9"/>
    <w:rsid w:val="008306B3"/>
    <w:rsid w:val="00844AE9"/>
    <w:rsid w:val="00867F95"/>
    <w:rsid w:val="00872AF6"/>
    <w:rsid w:val="00874465"/>
    <w:rsid w:val="008843B6"/>
    <w:rsid w:val="00891928"/>
    <w:rsid w:val="008A446D"/>
    <w:rsid w:val="008B25F1"/>
    <w:rsid w:val="008B39CF"/>
    <w:rsid w:val="008B3C97"/>
    <w:rsid w:val="008B451D"/>
    <w:rsid w:val="008C0A74"/>
    <w:rsid w:val="008D0D7C"/>
    <w:rsid w:val="008D180B"/>
    <w:rsid w:val="008E2BDF"/>
    <w:rsid w:val="008E5A97"/>
    <w:rsid w:val="008F0EA7"/>
    <w:rsid w:val="00902633"/>
    <w:rsid w:val="00923EEF"/>
    <w:rsid w:val="009419F9"/>
    <w:rsid w:val="0094419D"/>
    <w:rsid w:val="00952297"/>
    <w:rsid w:val="00954A48"/>
    <w:rsid w:val="0095685E"/>
    <w:rsid w:val="00961B09"/>
    <w:rsid w:val="00963813"/>
    <w:rsid w:val="00965334"/>
    <w:rsid w:val="0097093E"/>
    <w:rsid w:val="009A0DFA"/>
    <w:rsid w:val="009A1C6F"/>
    <w:rsid w:val="009B2D26"/>
    <w:rsid w:val="009C156D"/>
    <w:rsid w:val="009C71FA"/>
    <w:rsid w:val="009C72E7"/>
    <w:rsid w:val="009C7F7E"/>
    <w:rsid w:val="009D3058"/>
    <w:rsid w:val="009F11C0"/>
    <w:rsid w:val="009F3A13"/>
    <w:rsid w:val="009F41D5"/>
    <w:rsid w:val="00A00561"/>
    <w:rsid w:val="00A122D3"/>
    <w:rsid w:val="00A14468"/>
    <w:rsid w:val="00A14770"/>
    <w:rsid w:val="00A17F13"/>
    <w:rsid w:val="00A20739"/>
    <w:rsid w:val="00A23AF9"/>
    <w:rsid w:val="00A33C78"/>
    <w:rsid w:val="00A6015C"/>
    <w:rsid w:val="00A62A92"/>
    <w:rsid w:val="00A722B6"/>
    <w:rsid w:val="00AA22E3"/>
    <w:rsid w:val="00AB0ADB"/>
    <w:rsid w:val="00AD53F6"/>
    <w:rsid w:val="00AF6953"/>
    <w:rsid w:val="00B00C0E"/>
    <w:rsid w:val="00B01B1A"/>
    <w:rsid w:val="00B0381D"/>
    <w:rsid w:val="00B128C5"/>
    <w:rsid w:val="00B3623A"/>
    <w:rsid w:val="00B44A47"/>
    <w:rsid w:val="00B57267"/>
    <w:rsid w:val="00B72CD3"/>
    <w:rsid w:val="00B72FFF"/>
    <w:rsid w:val="00B858AE"/>
    <w:rsid w:val="00B928C5"/>
    <w:rsid w:val="00BC3D36"/>
    <w:rsid w:val="00BD2985"/>
    <w:rsid w:val="00BD474D"/>
    <w:rsid w:val="00BD53C1"/>
    <w:rsid w:val="00BD54A6"/>
    <w:rsid w:val="00BD7F72"/>
    <w:rsid w:val="00BE1CF7"/>
    <w:rsid w:val="00BF3FD4"/>
    <w:rsid w:val="00BF7425"/>
    <w:rsid w:val="00C03833"/>
    <w:rsid w:val="00C04FB3"/>
    <w:rsid w:val="00C11D8B"/>
    <w:rsid w:val="00C15139"/>
    <w:rsid w:val="00C156D4"/>
    <w:rsid w:val="00C1728C"/>
    <w:rsid w:val="00C17B3E"/>
    <w:rsid w:val="00C330EB"/>
    <w:rsid w:val="00C50D69"/>
    <w:rsid w:val="00C5365C"/>
    <w:rsid w:val="00C754BE"/>
    <w:rsid w:val="00C76087"/>
    <w:rsid w:val="00C76B1C"/>
    <w:rsid w:val="00C925AC"/>
    <w:rsid w:val="00CB16E5"/>
    <w:rsid w:val="00CB6357"/>
    <w:rsid w:val="00CC1283"/>
    <w:rsid w:val="00CC1B26"/>
    <w:rsid w:val="00CD2BB7"/>
    <w:rsid w:val="00CE61A0"/>
    <w:rsid w:val="00CE7AA0"/>
    <w:rsid w:val="00D10C39"/>
    <w:rsid w:val="00D33704"/>
    <w:rsid w:val="00D361FD"/>
    <w:rsid w:val="00D423A2"/>
    <w:rsid w:val="00D44E26"/>
    <w:rsid w:val="00D520D8"/>
    <w:rsid w:val="00D62111"/>
    <w:rsid w:val="00D63AC2"/>
    <w:rsid w:val="00D7383B"/>
    <w:rsid w:val="00D7388F"/>
    <w:rsid w:val="00D7788A"/>
    <w:rsid w:val="00D8723F"/>
    <w:rsid w:val="00D917C1"/>
    <w:rsid w:val="00DA231B"/>
    <w:rsid w:val="00DA6DC0"/>
    <w:rsid w:val="00DC39FC"/>
    <w:rsid w:val="00DD6B93"/>
    <w:rsid w:val="00DF5254"/>
    <w:rsid w:val="00E02524"/>
    <w:rsid w:val="00E10537"/>
    <w:rsid w:val="00E12075"/>
    <w:rsid w:val="00E141E4"/>
    <w:rsid w:val="00E15A7D"/>
    <w:rsid w:val="00E16408"/>
    <w:rsid w:val="00E20894"/>
    <w:rsid w:val="00E245AB"/>
    <w:rsid w:val="00E2764C"/>
    <w:rsid w:val="00E27F2E"/>
    <w:rsid w:val="00E477EB"/>
    <w:rsid w:val="00E50AFE"/>
    <w:rsid w:val="00E559DC"/>
    <w:rsid w:val="00E63EB0"/>
    <w:rsid w:val="00E64EBE"/>
    <w:rsid w:val="00E75C92"/>
    <w:rsid w:val="00E768AF"/>
    <w:rsid w:val="00E771DC"/>
    <w:rsid w:val="00E812E4"/>
    <w:rsid w:val="00E8772A"/>
    <w:rsid w:val="00E90F6B"/>
    <w:rsid w:val="00E92845"/>
    <w:rsid w:val="00E92C27"/>
    <w:rsid w:val="00E967DC"/>
    <w:rsid w:val="00E96E8C"/>
    <w:rsid w:val="00EA0E3D"/>
    <w:rsid w:val="00EC1907"/>
    <w:rsid w:val="00EC38A7"/>
    <w:rsid w:val="00ED2A01"/>
    <w:rsid w:val="00EE1AA8"/>
    <w:rsid w:val="00EE4E44"/>
    <w:rsid w:val="00EE581D"/>
    <w:rsid w:val="00EF7470"/>
    <w:rsid w:val="00F10CF2"/>
    <w:rsid w:val="00F13E35"/>
    <w:rsid w:val="00F1603E"/>
    <w:rsid w:val="00F20D94"/>
    <w:rsid w:val="00F23FEA"/>
    <w:rsid w:val="00F31EDC"/>
    <w:rsid w:val="00F462B3"/>
    <w:rsid w:val="00F56491"/>
    <w:rsid w:val="00F5664F"/>
    <w:rsid w:val="00F666C4"/>
    <w:rsid w:val="00F703FB"/>
    <w:rsid w:val="00F76AFC"/>
    <w:rsid w:val="00F91222"/>
    <w:rsid w:val="00FA47C0"/>
    <w:rsid w:val="00FB5DD1"/>
    <w:rsid w:val="00FC2B5D"/>
    <w:rsid w:val="00FC40F7"/>
    <w:rsid w:val="00FE4622"/>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E653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alter_davidm@hot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vistas.usergioarboleda.edu.co/index.php/Cuadernos/article/download/1008/844/310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59A64DD-2F85-4A5F-878A-A9D5EA0534C9}"/>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37</TotalTime>
  <Pages>21</Pages>
  <Words>7349</Words>
  <Characters>40352</Characters>
  <Application>Microsoft Office Word</Application>
  <DocSecurity>0</DocSecurity>
  <Lines>761</Lines>
  <Paragraphs>166</Paragraphs>
  <ScaleCrop>false</ScaleCrop>
  <Company/>
  <LinksUpToDate>false</LinksUpToDate>
  <CharactersWithSpaces>47535</CharactersWithSpaces>
  <SharedDoc>false</SharedDoc>
  <HLinks>
    <vt:vector size="30" baseType="variant">
      <vt:variant>
        <vt:i4>3276900</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1507358</vt:i4>
      </vt:variant>
      <vt:variant>
        <vt:i4>3</vt:i4>
      </vt:variant>
      <vt:variant>
        <vt:i4>0</vt:i4>
      </vt:variant>
      <vt:variant>
        <vt:i4>5</vt:i4>
      </vt:variant>
      <vt:variant>
        <vt:lpwstr>https://www.colombiacompra.gov.co/sites/cce_public/files/cce_documents/cce_guia_para_el_ejercicio_de_las_funciones_de_supervision_e_interventoria_de_los_contratos_del_estado.pdf</vt:lpwstr>
      </vt:variant>
      <vt:variant>
        <vt:lpwstr/>
      </vt:variant>
      <vt:variant>
        <vt:i4>3735601</vt:i4>
      </vt:variant>
      <vt:variant>
        <vt:i4>0</vt:i4>
      </vt:variant>
      <vt:variant>
        <vt:i4>0</vt:i4>
      </vt:variant>
      <vt:variant>
        <vt:i4>5</vt:i4>
      </vt:variant>
      <vt:variant>
        <vt:lpwstr>mailto:walter_davidm@hotmail.com</vt:lpwstr>
      </vt:variant>
      <vt:variant>
        <vt:lpwstr/>
      </vt:variant>
      <vt:variant>
        <vt:i4>6422586</vt:i4>
      </vt:variant>
      <vt:variant>
        <vt:i4>0</vt:i4>
      </vt:variant>
      <vt:variant>
        <vt:i4>0</vt:i4>
      </vt:variant>
      <vt:variant>
        <vt:i4>5</vt:i4>
      </vt:variant>
      <vt:variant>
        <vt:lpwstr>https://revistas.usergioarboleda.edu.co/index.php/Cuadernos/article/download/1008/844/3102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19</cp:revision>
  <cp:lastPrinted>2023-01-10T21:18:00Z</cp:lastPrinted>
  <dcterms:created xsi:type="dcterms:W3CDTF">2026-02-18T20:34:00Z</dcterms:created>
  <dcterms:modified xsi:type="dcterms:W3CDTF">2026-02-18T21:20:00Z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