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E219D" w14:textId="77777777" w:rsidR="001D1FE7" w:rsidRPr="001D1FE7" w:rsidRDefault="001D1FE7" w:rsidP="00DF27FE">
      <w:pPr>
        <w:spacing w:after="0" w:line="240" w:lineRule="auto"/>
        <w:jc w:val="both"/>
        <w:rPr>
          <w:rFonts w:ascii="Verdana" w:hAnsi="Verdana"/>
          <w:b/>
          <w:lang w:val="es-ES"/>
        </w:rPr>
      </w:pPr>
      <w:bookmarkStart w:id="0" w:name="_Hlk143780582"/>
      <w:r w:rsidRPr="001D1FE7">
        <w:rPr>
          <w:rFonts w:ascii="Verdana" w:hAnsi="Verdana"/>
          <w:b/>
          <w:lang w:val="es-ES"/>
        </w:rPr>
        <w:t>CAJAS DE COMPENSACIÓN FAMILIAR – Naturaleza Jurídica</w:t>
      </w:r>
    </w:p>
    <w:p w14:paraId="572B9811" w14:textId="5528DFFA" w:rsidR="001D1FE7" w:rsidRDefault="001D1FE7" w:rsidP="00DF27FE">
      <w:pPr>
        <w:spacing w:after="0" w:line="240" w:lineRule="auto"/>
        <w:jc w:val="both"/>
        <w:rPr>
          <w:rFonts w:ascii="Verdana" w:hAnsi="Verdana"/>
          <w:b/>
          <w:lang w:val="es-ES"/>
        </w:rPr>
      </w:pPr>
    </w:p>
    <w:p w14:paraId="3394AEE3" w14:textId="621AE618" w:rsidR="001D1FE7" w:rsidRPr="001D1FE7" w:rsidRDefault="001D1FE7" w:rsidP="00DF27FE">
      <w:pPr>
        <w:spacing w:after="0" w:line="240" w:lineRule="auto"/>
        <w:jc w:val="both"/>
        <w:rPr>
          <w:rFonts w:ascii="Verdana" w:hAnsi="Verdana"/>
          <w:sz w:val="20"/>
        </w:rPr>
      </w:pPr>
      <w:r w:rsidRPr="001D1FE7">
        <w:rPr>
          <w:rFonts w:ascii="Verdana" w:hAnsi="Verdana"/>
          <w:sz w:val="20"/>
        </w:rPr>
        <w:t>Estas entidades, pese a ser privadas y sin ánimo de lucro, forman parte del sistema de seguridad social y actúan bajo un régimen de vigilancia, inspección y control estatal. Su naturaleza jurídica se ha configurado alrededor de la idea de que cumplen funciones de interés público, en especial, en la administración de recursos parafiscales y en la prestación de servicios sociales complementarios. Esto implica que, aunque no integran la estructura orgánica del Estado, sí están sometidas a un marco regulatorio estricto que garantiza transparencia, destinación específica de los recursos y sujeción a los fines constitucionales de la seguridad social.</w:t>
      </w:r>
    </w:p>
    <w:p w14:paraId="3CFA1FBA" w14:textId="77777777" w:rsidR="001D1FE7" w:rsidRPr="001D1FE7" w:rsidRDefault="001D1FE7" w:rsidP="00DF27FE">
      <w:pPr>
        <w:spacing w:after="0" w:line="240" w:lineRule="auto"/>
        <w:jc w:val="both"/>
        <w:rPr>
          <w:rFonts w:ascii="Verdana" w:hAnsi="Verdana"/>
          <w:sz w:val="20"/>
        </w:rPr>
      </w:pPr>
    </w:p>
    <w:p w14:paraId="1C256412" w14:textId="6DA91F75" w:rsidR="001D1FE7" w:rsidRPr="001D1FE7" w:rsidRDefault="001D1FE7" w:rsidP="00DF27FE">
      <w:pPr>
        <w:spacing w:after="0" w:line="240" w:lineRule="auto"/>
        <w:jc w:val="both"/>
        <w:rPr>
          <w:rFonts w:ascii="Verdana" w:hAnsi="Verdana"/>
          <w:sz w:val="20"/>
        </w:rPr>
      </w:pPr>
      <w:r w:rsidRPr="001D1FE7">
        <w:rPr>
          <w:rFonts w:ascii="Verdana" w:hAnsi="Verdana"/>
          <w:sz w:val="20"/>
        </w:rPr>
        <w:t>Con el tiempo, su papel se ha ampliado hacia la colaboración funcional con el Estado, convirtiéndose en instituciones que coadyuvan en la gestión del servicio público de seguridad social. Esta colaboración no las transforma en entidades estatales, pero sí justifica una intervención más intensa del Estado en su operación, en virtud de la protección del interés general, la adecuada administración de los aportes parafiscales y la garantía de acceso equitativo a los beneficios sociales que administran.</w:t>
      </w:r>
    </w:p>
    <w:p w14:paraId="0C28C4BE" w14:textId="77777777" w:rsidR="001D1FE7" w:rsidRPr="001D1FE7" w:rsidRDefault="001D1FE7" w:rsidP="00DF27FE">
      <w:pPr>
        <w:spacing w:after="0" w:line="240" w:lineRule="auto"/>
        <w:jc w:val="both"/>
        <w:rPr>
          <w:rFonts w:ascii="Verdana" w:hAnsi="Verdana"/>
          <w:lang w:val="es-ES"/>
        </w:rPr>
      </w:pPr>
    </w:p>
    <w:p w14:paraId="37E3D4E6" w14:textId="77777777" w:rsidR="001D1FE7" w:rsidRPr="001D1FE7" w:rsidRDefault="001D1FE7" w:rsidP="00DF27FE">
      <w:pPr>
        <w:spacing w:after="0" w:line="240" w:lineRule="auto"/>
        <w:jc w:val="both"/>
        <w:rPr>
          <w:rFonts w:ascii="Verdana" w:hAnsi="Verdana"/>
          <w:b/>
          <w:lang w:val="es-ES"/>
        </w:rPr>
      </w:pPr>
      <w:r w:rsidRPr="001D1FE7">
        <w:rPr>
          <w:rFonts w:ascii="Verdana" w:hAnsi="Verdana"/>
          <w:b/>
          <w:lang w:val="es-ES"/>
        </w:rPr>
        <w:t xml:space="preserve">CAJAS DE COMPENSACIÓN FAMILIAR – Recursos – Naturaleza de los recursos </w:t>
      </w:r>
    </w:p>
    <w:p w14:paraId="69396F23" w14:textId="77777777" w:rsidR="001D1FE7" w:rsidRPr="001D1FE7" w:rsidRDefault="001D1FE7" w:rsidP="00DF27FE">
      <w:pPr>
        <w:spacing w:after="0" w:line="240" w:lineRule="auto"/>
        <w:jc w:val="both"/>
        <w:rPr>
          <w:rFonts w:ascii="Verdana" w:hAnsi="Verdana"/>
          <w:b/>
          <w:lang w:val="es-ES"/>
        </w:rPr>
      </w:pPr>
    </w:p>
    <w:p w14:paraId="74DA9A74" w14:textId="2470646E" w:rsidR="001D1FE7" w:rsidRPr="001D1FE7" w:rsidRDefault="001D1FE7" w:rsidP="00DF27FE">
      <w:pPr>
        <w:spacing w:after="0" w:line="240" w:lineRule="auto"/>
        <w:jc w:val="both"/>
        <w:rPr>
          <w:rFonts w:ascii="Verdana" w:hAnsi="Verdana"/>
          <w:sz w:val="20"/>
        </w:rPr>
      </w:pPr>
      <w:r w:rsidRPr="001D1FE7">
        <w:rPr>
          <w:rFonts w:ascii="Verdana" w:hAnsi="Verdana"/>
          <w:sz w:val="20"/>
        </w:rPr>
        <w:t xml:space="preserve">Ahora bien, el Consejo de Estado sobre la naturaleza de los aportes que reciben dichas Cajas, en su calidad de administradoras del subsidio familiar, enfatizó que la legislación y la jurisprudencia le han otorgado la calidad de recursos parafiscales. </w:t>
      </w:r>
    </w:p>
    <w:p w14:paraId="16DF8DD8" w14:textId="4BB85BEC" w:rsidR="001D1FE7" w:rsidRPr="001D1FE7" w:rsidRDefault="001D1FE7" w:rsidP="00DF27FE">
      <w:pPr>
        <w:spacing w:after="0" w:line="240" w:lineRule="auto"/>
        <w:jc w:val="both"/>
        <w:rPr>
          <w:rFonts w:ascii="Verdana" w:hAnsi="Verdana"/>
          <w:sz w:val="20"/>
        </w:rPr>
      </w:pPr>
      <w:r w:rsidRPr="001D1FE7">
        <w:rPr>
          <w:rFonts w:ascii="Verdana" w:hAnsi="Verdana"/>
          <w:sz w:val="20"/>
        </w:rPr>
        <w:t>[…]</w:t>
      </w:r>
    </w:p>
    <w:p w14:paraId="48B21241" w14:textId="7FFEAEB0" w:rsidR="001D1FE7" w:rsidRDefault="001D1FE7" w:rsidP="00DF27FE">
      <w:pPr>
        <w:spacing w:after="0" w:line="240" w:lineRule="auto"/>
        <w:jc w:val="both"/>
        <w:rPr>
          <w:rFonts w:ascii="Verdana" w:hAnsi="Verdana"/>
          <w:sz w:val="20"/>
        </w:rPr>
      </w:pPr>
      <w:r w:rsidRPr="001D1FE7">
        <w:rPr>
          <w:rFonts w:ascii="Verdana" w:hAnsi="Verdana"/>
          <w:sz w:val="20"/>
        </w:rPr>
        <w:t>En ese orden, para el Consejo de Estado, los recursos de carácter parafiscal que administran las Cajas de Compensación Familiar son de naturaleza pública, en tanto constituyen una fuente de financiación que el Estado consagra en beneficio de un sector, aunque desde la perspectiva presupuestal no integran el Presupuesto General de la Nación</w:t>
      </w:r>
      <w:r>
        <w:rPr>
          <w:rFonts w:ascii="Verdana" w:hAnsi="Verdana"/>
          <w:sz w:val="20"/>
        </w:rPr>
        <w:t>.</w:t>
      </w:r>
    </w:p>
    <w:p w14:paraId="68809384" w14:textId="77777777" w:rsidR="001D1FE7" w:rsidRPr="001D1FE7" w:rsidRDefault="001D1FE7" w:rsidP="00DF27FE">
      <w:pPr>
        <w:spacing w:after="0" w:line="240" w:lineRule="auto"/>
        <w:jc w:val="both"/>
        <w:rPr>
          <w:rFonts w:ascii="Verdana" w:hAnsi="Verdana"/>
          <w:sz w:val="20"/>
          <w:lang w:val="es-ES"/>
        </w:rPr>
      </w:pPr>
    </w:p>
    <w:p w14:paraId="73FC5718" w14:textId="77777777" w:rsidR="001D1FE7" w:rsidRPr="001D1FE7" w:rsidRDefault="001D1FE7" w:rsidP="00DF27FE">
      <w:pPr>
        <w:spacing w:after="0" w:line="240" w:lineRule="auto"/>
        <w:jc w:val="both"/>
        <w:rPr>
          <w:rFonts w:ascii="Verdana" w:hAnsi="Verdana"/>
          <w:b/>
          <w:lang w:val="es-ES"/>
        </w:rPr>
      </w:pPr>
      <w:r w:rsidRPr="001D1FE7">
        <w:rPr>
          <w:rFonts w:ascii="Verdana" w:hAnsi="Verdana"/>
          <w:b/>
          <w:lang w:val="es-ES"/>
        </w:rPr>
        <w:t xml:space="preserve">CAJAS DE LA COMPENSACIÓN FAMILIAR – Obligación Legal- Afiliación </w:t>
      </w:r>
    </w:p>
    <w:p w14:paraId="572DFABA" w14:textId="77777777" w:rsidR="001D1FE7" w:rsidRPr="001D1FE7" w:rsidRDefault="001D1FE7" w:rsidP="00DF27FE">
      <w:pPr>
        <w:spacing w:after="0" w:line="240" w:lineRule="auto"/>
        <w:jc w:val="both"/>
        <w:rPr>
          <w:rFonts w:ascii="Verdana" w:hAnsi="Verdana"/>
          <w:b/>
          <w:lang w:val="es-ES"/>
        </w:rPr>
      </w:pPr>
    </w:p>
    <w:p w14:paraId="169A1483" w14:textId="66BF1197" w:rsidR="001D1FE7" w:rsidRDefault="001D1FE7" w:rsidP="00DF27FE">
      <w:pPr>
        <w:spacing w:after="0" w:line="240" w:lineRule="auto"/>
        <w:jc w:val="both"/>
        <w:rPr>
          <w:rFonts w:ascii="Verdana" w:hAnsi="Verdana"/>
          <w:sz w:val="20"/>
        </w:rPr>
      </w:pPr>
      <w:r w:rsidRPr="00DF27FE">
        <w:rPr>
          <w:rFonts w:ascii="Verdana" w:hAnsi="Verdana"/>
          <w:sz w:val="20"/>
        </w:rPr>
        <w:t>La obligación de afiliarse a una Caja de Compensación Familiar se fundamenta en el artículo 7 de la Ley 21 de 1982, que impone a la Nación, a los departamentos, al Distrito Capital, a los municipios, a los establecimientos públicos, a las empresas industriales y comerciales del Estado, a las sociedades de economía mixta en todos los niveles territoriales y a todo empleador con uno o más trabajadores permanentes el deber de pagar el subsidio familiar y efectuar aportes al SENA; dicha afiliación debe realizarse exclusivamente ante la caja que opere en el lugar donde se causan los salarios, sin posibilidad de distribuir aportes entre varias entidades ni de efectuar giros parciales por grupos de trabajadores, de modo que la caja afiliada reconoce y gira el subsidio familiar a la totalidad de los trabajadores que acrediten el derecho conforme a la ley.</w:t>
      </w:r>
    </w:p>
    <w:p w14:paraId="4B12BF5F" w14:textId="77777777" w:rsidR="00DF27FE" w:rsidRPr="00DF27FE" w:rsidRDefault="00DF27FE" w:rsidP="00DF27FE">
      <w:pPr>
        <w:spacing w:after="0" w:line="240" w:lineRule="auto"/>
        <w:jc w:val="both"/>
        <w:rPr>
          <w:rFonts w:ascii="Verdana" w:hAnsi="Verdana"/>
          <w:sz w:val="20"/>
        </w:rPr>
      </w:pPr>
    </w:p>
    <w:p w14:paraId="3011A20F" w14:textId="77777777" w:rsidR="001D1FE7" w:rsidRPr="00DF27FE" w:rsidRDefault="001D1FE7" w:rsidP="00DF27FE">
      <w:pPr>
        <w:spacing w:after="0" w:line="240" w:lineRule="auto"/>
        <w:jc w:val="both"/>
        <w:rPr>
          <w:rFonts w:ascii="Verdana" w:hAnsi="Verdana"/>
          <w:sz w:val="20"/>
        </w:rPr>
      </w:pPr>
      <w:r w:rsidRPr="00DF27FE">
        <w:rPr>
          <w:rFonts w:ascii="Verdana" w:hAnsi="Verdana"/>
          <w:sz w:val="20"/>
        </w:rPr>
        <w:lastRenderedPageBreak/>
        <w:t>La afiliación de una entidad pública a una Caja de Compensación Familiar no constituye un proceso sometido al régimen de contratación estatal. La razón es que el aporte del 4 % previsto en los artículos 11 y 12 de la Ley 21 de 1982 tiene naturaleza parafiscal, se causa por mandato legal y no implica la adquisición de bienes o servicios. En consecuencia, no existe un objeto contractual que active procedimientos de selección, ni se configura una relación negocial que pueda ubicarse dentro del Estatuto General de Contratación ni dentro del régimen especial del Decreto 92 de 2017 para la contratación con entidades sin ánimo de lucro de reconocida idoneidad.</w:t>
      </w:r>
    </w:p>
    <w:p w14:paraId="048DB453" w14:textId="77777777" w:rsidR="001D1FE7" w:rsidRPr="001D1FE7" w:rsidRDefault="001D1FE7" w:rsidP="00DF27FE">
      <w:pPr>
        <w:spacing w:after="0" w:line="240" w:lineRule="auto"/>
        <w:jc w:val="both"/>
        <w:rPr>
          <w:rFonts w:ascii="Verdana" w:hAnsi="Verdana"/>
          <w:b/>
        </w:rPr>
      </w:pPr>
    </w:p>
    <w:p w14:paraId="56C408B9" w14:textId="77777777" w:rsidR="001D1FE7" w:rsidRPr="001D1FE7" w:rsidRDefault="001D1FE7" w:rsidP="00DF27FE">
      <w:pPr>
        <w:spacing w:after="0" w:line="240" w:lineRule="auto"/>
        <w:jc w:val="both"/>
        <w:rPr>
          <w:rFonts w:ascii="Verdana" w:hAnsi="Verdana"/>
          <w:b/>
          <w:lang w:val="es-ES"/>
        </w:rPr>
      </w:pPr>
      <w:r w:rsidRPr="001D1FE7">
        <w:rPr>
          <w:rFonts w:ascii="Verdana" w:hAnsi="Verdana"/>
          <w:b/>
          <w:lang w:val="es-ES"/>
        </w:rPr>
        <w:t xml:space="preserve">CAJAS DE COMPENSACIÓN FAMILIAR – Afiliación – No sujeción- Régimen de Contratación Estatal </w:t>
      </w:r>
    </w:p>
    <w:p w14:paraId="3FDAD1AE" w14:textId="13A4A4B2" w:rsidR="001D1FE7" w:rsidRDefault="001D1FE7" w:rsidP="00DF27FE">
      <w:pPr>
        <w:spacing w:after="0" w:line="240" w:lineRule="auto"/>
        <w:jc w:val="both"/>
        <w:rPr>
          <w:rFonts w:ascii="Verdana" w:hAnsi="Verdana"/>
          <w:b/>
          <w:lang w:val="es-ES"/>
        </w:rPr>
      </w:pPr>
    </w:p>
    <w:p w14:paraId="6794D073" w14:textId="1C0C4CD3" w:rsidR="00DF27FE" w:rsidRDefault="00DF27FE" w:rsidP="00DF27FE">
      <w:pPr>
        <w:spacing w:after="0" w:line="240" w:lineRule="auto"/>
        <w:jc w:val="both"/>
        <w:rPr>
          <w:rFonts w:ascii="Verdana" w:hAnsi="Verdana"/>
          <w:sz w:val="20"/>
          <w:szCs w:val="20"/>
        </w:rPr>
      </w:pPr>
      <w:r w:rsidRPr="00DF27FE">
        <w:rPr>
          <w:rFonts w:ascii="Verdana" w:hAnsi="Verdana"/>
          <w:sz w:val="20"/>
          <w:szCs w:val="20"/>
        </w:rPr>
        <w:t>A partir de la disposición precitada, las afiliaciones a las cajas de compensación familiar corresponden exclusivamente a los empleadores, trabajadores independientes y pensionados. En el caso de los empleadores, la solicitud debe incluir la relación de trabajadores y sus salarios, lo que evidencia que el sistema asigna a estos la responsabilidad directa sobre la afiliación de su personal. De esta regulación se infiere que el ordenamiento jurídico no habilita a los trabajadores dependientes para gestionar individualmente su afiliación a una caja de compensación. Por el contrario, su vinculación queda supeditada a la elección institucional del empleador, quien determina la caja a la cual se afilia la empresa. En consecuencia, tampoco existe la posibilidad de que el trabajador dependiente solicite su traslado a otra caja de compensación, dado que dicho trámite también es competencia exclusiva del empleador.</w:t>
      </w:r>
    </w:p>
    <w:p w14:paraId="1EEBF925" w14:textId="77777777" w:rsidR="00DF27FE" w:rsidRPr="00DF27FE" w:rsidRDefault="00DF27FE" w:rsidP="00DF27FE">
      <w:pPr>
        <w:spacing w:after="0" w:line="240" w:lineRule="auto"/>
        <w:jc w:val="both"/>
        <w:rPr>
          <w:rFonts w:ascii="Verdana" w:hAnsi="Verdana"/>
          <w:sz w:val="20"/>
          <w:szCs w:val="20"/>
        </w:rPr>
      </w:pPr>
    </w:p>
    <w:p w14:paraId="530DC7B5" w14:textId="3471423D" w:rsidR="00DF27FE" w:rsidRDefault="00DF27FE" w:rsidP="00DF27FE">
      <w:pPr>
        <w:spacing w:after="0" w:line="240" w:lineRule="auto"/>
        <w:jc w:val="both"/>
        <w:rPr>
          <w:rFonts w:ascii="Verdana" w:hAnsi="Verdana"/>
          <w:sz w:val="20"/>
          <w:szCs w:val="20"/>
        </w:rPr>
      </w:pPr>
      <w:r w:rsidRPr="00DF27FE">
        <w:rPr>
          <w:rFonts w:ascii="Verdana" w:hAnsi="Verdana"/>
          <w:sz w:val="20"/>
          <w:szCs w:val="20"/>
        </w:rPr>
        <w:t>En este escenario, la elección de la afiliación le corresponde al empleador, sin perjuicio de que su selección tenga en cuenta las opiniones de sus empleados, por lo que no existe un proceso competitivo ni un análisis comparativo entre cajas. Esa ausencia de discrecionalidad elimina la necesidad —y la posibilidad jurídica— de adelantar un procedimiento de selección pública, pues no hay pluralidad de oferentes ni criterios de evaluación que la administración pueda ponderar.</w:t>
      </w:r>
    </w:p>
    <w:p w14:paraId="7806DE5F" w14:textId="77777777" w:rsidR="00DF27FE" w:rsidRPr="00DF27FE" w:rsidRDefault="00DF27FE" w:rsidP="00DF27FE">
      <w:pPr>
        <w:spacing w:after="0" w:line="240" w:lineRule="auto"/>
        <w:jc w:val="both"/>
        <w:rPr>
          <w:rFonts w:ascii="Verdana" w:hAnsi="Verdana"/>
          <w:sz w:val="20"/>
          <w:szCs w:val="20"/>
        </w:rPr>
      </w:pPr>
    </w:p>
    <w:p w14:paraId="0B96772C" w14:textId="77777777" w:rsidR="001D1FE7" w:rsidRPr="001D1FE7" w:rsidRDefault="001D1FE7" w:rsidP="00DF27FE">
      <w:pPr>
        <w:spacing w:after="0" w:line="240" w:lineRule="auto"/>
        <w:jc w:val="both"/>
        <w:rPr>
          <w:rFonts w:ascii="Verdana" w:hAnsi="Verdana"/>
          <w:b/>
          <w:lang w:val="es-ES"/>
        </w:rPr>
      </w:pPr>
      <w:r w:rsidRPr="001D1FE7">
        <w:rPr>
          <w:rFonts w:ascii="Verdana" w:hAnsi="Verdana"/>
          <w:b/>
          <w:lang w:val="es-ES"/>
        </w:rPr>
        <w:t xml:space="preserve">CAJAS DE COMPENSACIÓN FAMILIAR – Afiliación – Criterios </w:t>
      </w:r>
    </w:p>
    <w:p w14:paraId="37D461E9" w14:textId="4AE838AE" w:rsidR="001D1FE7" w:rsidRDefault="001D1FE7" w:rsidP="00DF27FE">
      <w:pPr>
        <w:spacing w:after="0" w:line="240" w:lineRule="auto"/>
        <w:jc w:val="both"/>
        <w:rPr>
          <w:rFonts w:ascii="Verdana" w:hAnsi="Verdana"/>
          <w:b/>
          <w:lang w:val="es-ES"/>
        </w:rPr>
      </w:pPr>
    </w:p>
    <w:p w14:paraId="6B4A05AF" w14:textId="77777777" w:rsidR="00DF27FE" w:rsidRPr="00DF27FE" w:rsidRDefault="00DF27FE" w:rsidP="00DF27FE">
      <w:pPr>
        <w:spacing w:after="0" w:line="240" w:lineRule="auto"/>
        <w:jc w:val="both"/>
        <w:rPr>
          <w:rFonts w:ascii="Verdana" w:hAnsi="Verdana"/>
          <w:sz w:val="20"/>
          <w:lang w:val="es-ES"/>
        </w:rPr>
      </w:pPr>
      <w:r w:rsidRPr="00DF27FE">
        <w:rPr>
          <w:rFonts w:ascii="Verdana" w:hAnsi="Verdana"/>
          <w:sz w:val="20"/>
        </w:rPr>
        <w:t>El acto de afiliación, por tanto, es un trámite administrativo de cumplimiento obligatorio. La entidad debe verificar la existencia y habilitación legal de la Caja de Compensación Familiar seleccionada. Al respecto, la doctrina expresa: “La afiliación es un acto jurídico que da origen a una relación de seguridad social de cuya operación se generan derechos y obligaciones para las partes, a tal punto que cuando haya incumplimiento de algunas de ellas la responsabilidad se revierte y produce la desafiliación del empleador y sus trabajadores de la corporación, quedando esta nuevamente en cabeza del patrono”</w:t>
      </w:r>
    </w:p>
    <w:p w14:paraId="49D357B5" w14:textId="5CA7562E" w:rsidR="00DF27FE" w:rsidRPr="00DF27FE" w:rsidRDefault="00DF27FE" w:rsidP="00DF27FE">
      <w:pPr>
        <w:spacing w:after="0" w:line="240" w:lineRule="auto"/>
        <w:jc w:val="both"/>
        <w:rPr>
          <w:rFonts w:ascii="Verdana" w:hAnsi="Verdana"/>
          <w:sz w:val="20"/>
          <w:lang w:val="es-ES"/>
        </w:rPr>
      </w:pPr>
    </w:p>
    <w:p w14:paraId="0798CB5C" w14:textId="5A2490A8" w:rsidR="00DF27FE" w:rsidRPr="00DF27FE" w:rsidRDefault="00DF27FE" w:rsidP="00DF27FE">
      <w:pPr>
        <w:spacing w:after="0" w:line="240" w:lineRule="auto"/>
        <w:jc w:val="both"/>
        <w:rPr>
          <w:rFonts w:ascii="Verdana" w:hAnsi="Verdana"/>
          <w:sz w:val="20"/>
        </w:rPr>
      </w:pPr>
      <w:r w:rsidRPr="00DF27FE">
        <w:rPr>
          <w:rFonts w:ascii="Verdana" w:hAnsi="Verdana"/>
          <w:sz w:val="20"/>
        </w:rPr>
        <w:t xml:space="preserve">Ahora bien, para determinar la Caja de Compensación es necesario acudir el artículo 15 de la Ley 21 de 1982, la cual establece que los empleadores obligados a aportar al subsidio familiar, al SENA y a otras destinaciones especiales deben realizar dichos pagos </w:t>
      </w:r>
      <w:r w:rsidRPr="00DF27FE">
        <w:rPr>
          <w:rFonts w:ascii="Verdana" w:hAnsi="Verdana"/>
          <w:sz w:val="20"/>
        </w:rPr>
        <w:lastRenderedPageBreak/>
        <w:t xml:space="preserve">a través de una Caja de Compensación Familiar ubicada en la ciudad o localidad donde se generan los salarios, o, en su defecto, en la caja más cercana dentro del mismo departamento, intendencia o comisaría; si no existiera ninguna en esas entidades territoriales, los aportes se harán mediante la caja de la división territorial más próxima, exceptuándose únicamente a los empleadores del sector primario, quienes se rigen por lo previsto en el artículo 70. </w:t>
      </w:r>
    </w:p>
    <w:p w14:paraId="0BBE3322" w14:textId="2594D5A4" w:rsidR="00DF27FE" w:rsidRPr="00DF27FE" w:rsidRDefault="00DF27FE" w:rsidP="00DF27FE">
      <w:pPr>
        <w:spacing w:after="0" w:line="240" w:lineRule="auto"/>
        <w:jc w:val="both"/>
        <w:rPr>
          <w:rFonts w:ascii="Verdana" w:hAnsi="Verdana"/>
          <w:sz w:val="20"/>
        </w:rPr>
      </w:pPr>
      <w:r w:rsidRPr="00DF27FE">
        <w:rPr>
          <w:rFonts w:ascii="Verdana" w:hAnsi="Verdana"/>
          <w:sz w:val="20"/>
        </w:rPr>
        <w:t>[…]</w:t>
      </w:r>
    </w:p>
    <w:p w14:paraId="1ABC675C" w14:textId="6D6621DA" w:rsidR="00DF27FE" w:rsidRPr="00DF27FE" w:rsidRDefault="00DF27FE" w:rsidP="00DF27FE">
      <w:pPr>
        <w:spacing w:after="0" w:line="240" w:lineRule="auto"/>
        <w:jc w:val="both"/>
        <w:rPr>
          <w:rFonts w:ascii="Verdana" w:hAnsi="Verdana"/>
          <w:sz w:val="20"/>
        </w:rPr>
      </w:pPr>
      <w:r w:rsidRPr="00DF27FE">
        <w:rPr>
          <w:rFonts w:ascii="Verdana" w:hAnsi="Verdana"/>
          <w:sz w:val="20"/>
        </w:rPr>
        <w:t xml:space="preserve">Del artículo precitado, se encuentra que la afiliación de un empleador a la Caja de Compensación Familiar está determinada por dos condiciones: en primer lugar, el de la territorialidad y, en segundo lugar, el de causación de los salarios según el cual la afiliación debe hacerse a la Caja que funcione en la ciudad o localidad donde se causan los salarios de sus trabajadores. El primero es una condición que se establece para las Cajas de Compensación Familiar, que depende del lugar de su constitución. El segundo es una condición que se exige del afiliado, en tanto que depende de las reglas particulares de afiliación. </w:t>
      </w:r>
    </w:p>
    <w:p w14:paraId="0813EFA4" w14:textId="198E6D13" w:rsidR="00DF27FE" w:rsidRPr="00DF27FE" w:rsidRDefault="00DF27FE" w:rsidP="00DF27FE">
      <w:pPr>
        <w:spacing w:after="0" w:line="240" w:lineRule="auto"/>
        <w:jc w:val="both"/>
        <w:rPr>
          <w:rFonts w:ascii="Verdana" w:hAnsi="Verdana"/>
          <w:b/>
        </w:rPr>
      </w:pPr>
    </w:p>
    <w:p w14:paraId="276D7D45" w14:textId="47D10D90" w:rsidR="001D1FE7" w:rsidRPr="001D1FE7" w:rsidRDefault="001D1FE7" w:rsidP="00DF27FE">
      <w:pPr>
        <w:spacing w:after="0" w:line="240" w:lineRule="auto"/>
        <w:jc w:val="both"/>
        <w:rPr>
          <w:rFonts w:ascii="Verdana" w:hAnsi="Verdana"/>
          <w:b/>
          <w:lang w:val="es-ES"/>
        </w:rPr>
      </w:pPr>
      <w:r w:rsidRPr="001D1FE7">
        <w:rPr>
          <w:rFonts w:ascii="Verdana" w:hAnsi="Verdana"/>
          <w:b/>
          <w:lang w:val="es-ES"/>
        </w:rPr>
        <w:t>CAJAS DE COMPENSACIÓN FAMILIAR – Posibilidad – Participación – Procesos de Contratación Estatal</w:t>
      </w:r>
    </w:p>
    <w:p w14:paraId="6833DFDB" w14:textId="77777777" w:rsidR="001D1FE7" w:rsidRPr="001D1FE7" w:rsidRDefault="001D1FE7" w:rsidP="00DF27FE">
      <w:pPr>
        <w:spacing w:after="0" w:line="240" w:lineRule="auto"/>
        <w:rPr>
          <w:rFonts w:ascii="Verdana" w:hAnsi="Verdana"/>
          <w:lang w:val="es-ES"/>
        </w:rPr>
      </w:pPr>
    </w:p>
    <w:p w14:paraId="34D6EC54" w14:textId="6319CF3A" w:rsidR="00DF27FE" w:rsidRDefault="00DF27FE" w:rsidP="00DF27FE">
      <w:pPr>
        <w:spacing w:after="0" w:line="240" w:lineRule="auto"/>
        <w:jc w:val="both"/>
        <w:rPr>
          <w:rFonts w:ascii="Verdana" w:hAnsi="Verdana"/>
          <w:sz w:val="20"/>
        </w:rPr>
      </w:pPr>
      <w:r w:rsidRPr="00DF27FE">
        <w:rPr>
          <w:rFonts w:ascii="Verdana" w:hAnsi="Verdana"/>
          <w:sz w:val="20"/>
        </w:rPr>
        <w:t xml:space="preserve">La incorporación de estos elementos asegura la debida trazabilidad y el control institucional, sin convertir la afiliación a una Caja de Compensación Familiar en un vínculo de naturaleza contractual, figura que jurídicamente no corresponde. En consecuencia, la afiliación de una entidad pública como empleadora a una caja de compensación constituye un deber legal asociado a los gastos de personal y no un contrato estatal en sentido estricto, la cual debe cumplir con las exigencias y requisitos definidos en la Ley 21 de 1982, Decreto 1072 de 2015, así como las demás normas que lo regulen.  </w:t>
      </w:r>
    </w:p>
    <w:p w14:paraId="702FD18A" w14:textId="77777777" w:rsidR="00DF27FE" w:rsidRPr="00DF27FE" w:rsidRDefault="00DF27FE" w:rsidP="00DF27FE">
      <w:pPr>
        <w:spacing w:after="0" w:line="240" w:lineRule="auto"/>
        <w:jc w:val="both"/>
        <w:rPr>
          <w:rFonts w:ascii="Verdana" w:hAnsi="Verdana"/>
          <w:sz w:val="20"/>
        </w:rPr>
      </w:pPr>
    </w:p>
    <w:p w14:paraId="34352217" w14:textId="77777777" w:rsidR="00DF27FE" w:rsidRPr="00DF27FE" w:rsidRDefault="00DF27FE" w:rsidP="00DF27FE">
      <w:pPr>
        <w:spacing w:after="0" w:line="240" w:lineRule="auto"/>
        <w:jc w:val="both"/>
        <w:rPr>
          <w:rFonts w:ascii="Verdana" w:hAnsi="Verdana"/>
          <w:sz w:val="20"/>
        </w:rPr>
      </w:pPr>
      <w:r w:rsidRPr="00DF27FE">
        <w:rPr>
          <w:rFonts w:ascii="Verdana" w:hAnsi="Verdana"/>
          <w:sz w:val="20"/>
        </w:rPr>
        <w:t xml:space="preserve">Esto, sin perjuicio de la posibilidad de que las cajas de compensación familiar participen como oferentes en procesos de contratación pública permanece intacta, pues en esos escenarios actúan como entidades privadas que prestan servicios y compiten en igualdad de condiciones con otros proveedores. Su intervención en licitaciones, invitaciones públicas o procesos del Decreto 092 de 2017 se rige por las reglas propias del régimen contractual aplicable y no guarda relación con la afiliación obligatoria derivada de los gastos de personal. De este modo, la participación contractual es completamente independiente del trámite administrativo de afiliación, el cual conserva su naturaleza no contractual y responde a un deber legal de la entidad pública como empleadora. </w:t>
      </w:r>
    </w:p>
    <w:p w14:paraId="7569A272" w14:textId="77777777" w:rsidR="00DF27FE" w:rsidRPr="00DF27FE" w:rsidRDefault="00DF27FE" w:rsidP="00DF27FE">
      <w:pPr>
        <w:spacing w:after="0"/>
        <w:rPr>
          <w:rFonts w:ascii="Verdana" w:hAnsi="Verdana"/>
          <w:b/>
        </w:rPr>
      </w:pPr>
    </w:p>
    <w:p w14:paraId="565DE137" w14:textId="77777777" w:rsidR="001D1FE7" w:rsidRDefault="001D1FE7" w:rsidP="00384EC6">
      <w:pPr>
        <w:spacing w:after="0"/>
        <w:rPr>
          <w:rFonts w:ascii="Verdana" w:hAnsi="Verdana"/>
        </w:rPr>
      </w:pPr>
    </w:p>
    <w:p w14:paraId="1886884E" w14:textId="77777777" w:rsidR="001D1FE7" w:rsidRDefault="001D1FE7" w:rsidP="00384EC6">
      <w:pPr>
        <w:spacing w:after="0"/>
        <w:rPr>
          <w:rFonts w:ascii="Verdana" w:hAnsi="Verdana"/>
        </w:rPr>
      </w:pPr>
    </w:p>
    <w:p w14:paraId="52840343" w14:textId="77777777" w:rsidR="001D1FE7" w:rsidRDefault="001D1FE7" w:rsidP="00384EC6">
      <w:pPr>
        <w:spacing w:after="0"/>
        <w:rPr>
          <w:rFonts w:ascii="Verdana" w:hAnsi="Verdana"/>
        </w:rPr>
      </w:pPr>
    </w:p>
    <w:p w14:paraId="29E23F9C" w14:textId="1BEC479D" w:rsidR="00384EC6" w:rsidRPr="00983DCD" w:rsidRDefault="001D1FE7" w:rsidP="00384EC6">
      <w:pPr>
        <w:spacing w:after="0"/>
        <w:rPr>
          <w:rFonts w:ascii="Verdana" w:eastAsia="Calibri" w:hAnsi="Verdana" w:cs="Arial"/>
          <w:color w:val="000000"/>
          <w:lang w:val="es-MX" w:eastAsia="es-ES_tradnl"/>
        </w:rPr>
      </w:pPr>
      <w:r w:rsidRPr="001D1FE7">
        <w:rPr>
          <w:rFonts w:ascii="Verdana" w:eastAsia="Calibri" w:hAnsi="Verdana" w:cs="Arial"/>
          <w:noProof/>
          <w:lang w:val="en-US"/>
        </w:rPr>
        <w:lastRenderedPageBreak/>
        <w:drawing>
          <wp:anchor distT="0" distB="0" distL="114300" distR="114300" simplePos="0" relativeHeight="251658240" behindDoc="0" locked="0" layoutInCell="1" allowOverlap="1" wp14:anchorId="59296BA8" wp14:editId="7C1324CC">
            <wp:simplePos x="0" y="0"/>
            <wp:positionH relativeFrom="margin">
              <wp:align>right</wp:align>
            </wp:positionH>
            <wp:positionV relativeFrom="paragraph">
              <wp:posOffset>38735</wp:posOffset>
            </wp:positionV>
            <wp:extent cx="2595245" cy="716915"/>
            <wp:effectExtent l="0" t="0" r="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95245" cy="716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2809">
        <w:rPr>
          <w:rFonts w:ascii="Verdana" w:hAnsi="Verdana"/>
        </w:rPr>
        <w:t>Bogotá D.C., 13 de febrero de 2026</w:t>
      </w:r>
      <w:r w:rsidR="00384EC6" w:rsidRPr="00FA5A6F">
        <w:rPr>
          <w:rFonts w:ascii="Verdana" w:hAnsi="Verdana"/>
        </w:rPr>
        <w:tab/>
      </w:r>
      <w:r w:rsidR="00384EC6" w:rsidRPr="00FA5A6F">
        <w:rPr>
          <w:rFonts w:ascii="Verdana" w:hAnsi="Verdana"/>
        </w:rPr>
        <w:br/>
      </w:r>
    </w:p>
    <w:p w14:paraId="67AF14BE" w14:textId="1851269F" w:rsidR="00384EC6" w:rsidRDefault="00384EC6" w:rsidP="001D1FE7">
      <w:pPr>
        <w:spacing w:after="0" w:line="240" w:lineRule="auto"/>
        <w:jc w:val="both"/>
        <w:rPr>
          <w:rFonts w:ascii="Verdana" w:eastAsia="Calibri" w:hAnsi="Verdana" w:cs="Arial"/>
          <w:lang w:val="es-ES" w:eastAsia="es-ES"/>
        </w:rPr>
      </w:pPr>
    </w:p>
    <w:p w14:paraId="7C435336" w14:textId="77777777" w:rsidR="001D1FE7" w:rsidRPr="00983DCD" w:rsidRDefault="001D1FE7" w:rsidP="001D1FE7">
      <w:pPr>
        <w:spacing w:after="0" w:line="240" w:lineRule="auto"/>
        <w:jc w:val="both"/>
        <w:rPr>
          <w:rFonts w:ascii="Verdana" w:eastAsia="Calibri" w:hAnsi="Verdana" w:cs="Arial"/>
          <w:lang w:val="es-ES" w:eastAsia="es-ES"/>
        </w:rPr>
      </w:pPr>
    </w:p>
    <w:p w14:paraId="42BBAB65" w14:textId="02268096" w:rsidR="00384EC6" w:rsidRPr="00D4350E" w:rsidRDefault="001D1FE7" w:rsidP="00384EC6">
      <w:pPr>
        <w:spacing w:after="0" w:line="240" w:lineRule="auto"/>
        <w:jc w:val="both"/>
        <w:rPr>
          <w:rFonts w:ascii="Verdana" w:eastAsia="Calibri" w:hAnsi="Verdana" w:cs="Arial"/>
          <w:lang w:eastAsia="es-ES"/>
        </w:rPr>
      </w:pPr>
      <w:r w:rsidRPr="001D1FE7">
        <w:rPr>
          <w:rFonts w:ascii="Verdana" w:eastAsia="Calibri" w:hAnsi="Verdana" w:cs="Arial"/>
          <w:b/>
          <w:bCs/>
          <w:noProof/>
          <w:color w:val="000000"/>
          <w:lang w:val="en-US"/>
        </w:rPr>
        <w:drawing>
          <wp:anchor distT="0" distB="0" distL="114300" distR="114300" simplePos="0" relativeHeight="251659264" behindDoc="0" locked="0" layoutInCell="1" allowOverlap="1" wp14:anchorId="60B28526" wp14:editId="5A638082">
            <wp:simplePos x="0" y="0"/>
            <wp:positionH relativeFrom="margin">
              <wp:posOffset>3034665</wp:posOffset>
            </wp:positionH>
            <wp:positionV relativeFrom="paragraph">
              <wp:posOffset>50165</wp:posOffset>
            </wp:positionV>
            <wp:extent cx="2553335" cy="75120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3335" cy="751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4EC6" w:rsidRPr="00D4350E">
        <w:rPr>
          <w:rFonts w:ascii="Verdana" w:eastAsia="Calibri" w:hAnsi="Verdana" w:cs="Arial"/>
          <w:lang w:eastAsia="es-ES"/>
        </w:rPr>
        <w:t>Señores</w:t>
      </w:r>
    </w:p>
    <w:p w14:paraId="34AB0A86" w14:textId="33F6123D" w:rsidR="00384EC6" w:rsidRPr="00D4350E" w:rsidRDefault="00384EC6" w:rsidP="00384EC6">
      <w:pPr>
        <w:spacing w:after="0" w:line="240" w:lineRule="auto"/>
        <w:rPr>
          <w:rFonts w:ascii="Verdana" w:eastAsia="Calibri" w:hAnsi="Verdana" w:cs="Arial"/>
          <w:b/>
          <w:lang w:eastAsia="es-ES_tradnl"/>
        </w:rPr>
      </w:pPr>
      <w:r w:rsidRPr="00D4350E">
        <w:rPr>
          <w:rFonts w:ascii="Verdana" w:eastAsia="Calibri" w:hAnsi="Verdana" w:cs="Arial"/>
          <w:b/>
          <w:lang w:eastAsia="es-ES_tradnl"/>
        </w:rPr>
        <w:t>Ministerio de Defensa</w:t>
      </w:r>
    </w:p>
    <w:p w14:paraId="20BF7F70" w14:textId="2143786A" w:rsidR="00384EC6" w:rsidRPr="00D4350E" w:rsidRDefault="00384EC6" w:rsidP="00384EC6">
      <w:pPr>
        <w:spacing w:after="0" w:line="240" w:lineRule="auto"/>
        <w:rPr>
          <w:rFonts w:ascii="Verdana" w:eastAsia="Times New Roman" w:hAnsi="Verdana" w:cs="CIDFont+F1"/>
          <w:color w:val="467887"/>
          <w:lang w:eastAsia="es-ES_tradnl"/>
        </w:rPr>
      </w:pPr>
      <w:hyperlink r:id="rId13" w:history="1">
        <w:r w:rsidRPr="00D4350E">
          <w:rPr>
            <w:rFonts w:ascii="Verdana" w:eastAsia="Calibri" w:hAnsi="Verdana" w:cs="Arial"/>
            <w:color w:val="0000FF"/>
            <w:u w:val="single"/>
            <w:lang w:eastAsia="es-ES_tradnl"/>
          </w:rPr>
          <w:t>notificacionesdce@mindefensa.gov.co</w:t>
        </w:r>
      </w:hyperlink>
      <w:r w:rsidRPr="00D4350E">
        <w:rPr>
          <w:rFonts w:ascii="Verdana" w:eastAsia="Calibri" w:hAnsi="Verdana" w:cs="Arial"/>
          <w:lang w:eastAsia="es-ES_tradnl"/>
        </w:rPr>
        <w:t xml:space="preserve"> </w:t>
      </w:r>
      <w:hyperlink r:id="rId14" w:history="1"/>
    </w:p>
    <w:p w14:paraId="6D88AD79" w14:textId="332CB25D" w:rsidR="00384EC6" w:rsidRPr="00983DCD" w:rsidRDefault="00384EC6" w:rsidP="00384EC6">
      <w:pPr>
        <w:spacing w:after="0" w:line="240" w:lineRule="auto"/>
        <w:rPr>
          <w:rFonts w:ascii="Verdana" w:eastAsia="Calibri" w:hAnsi="Verdana" w:cs="Arial"/>
          <w:b/>
          <w:bCs/>
          <w:lang w:val="es-ES" w:eastAsia="es-ES"/>
        </w:rPr>
      </w:pPr>
      <w:r w:rsidRPr="00983DCD">
        <w:rPr>
          <w:rFonts w:ascii="Verdana" w:eastAsia="Calibri" w:hAnsi="Verdana" w:cs="Arial"/>
          <w:lang w:val="es-ES" w:eastAsia="es-ES"/>
        </w:rPr>
        <w:t>Bogotá D.C.</w:t>
      </w:r>
    </w:p>
    <w:p w14:paraId="2F73E73B" w14:textId="3F0888E2" w:rsidR="00384EC6" w:rsidRPr="00983DCD" w:rsidRDefault="00384EC6" w:rsidP="00384EC6">
      <w:pPr>
        <w:spacing w:after="0" w:line="240" w:lineRule="auto"/>
        <w:rPr>
          <w:rFonts w:ascii="Verdana" w:eastAsia="Calibri" w:hAnsi="Verdana" w:cs="Arial"/>
          <w:b/>
          <w:bCs/>
          <w:color w:val="000000"/>
          <w:lang w:val="es-ES_tradnl" w:eastAsia="es-ES_tradnl"/>
        </w:rPr>
      </w:pPr>
    </w:p>
    <w:p w14:paraId="0C7A880C" w14:textId="77777777" w:rsidR="00384EC6" w:rsidRPr="00983DCD" w:rsidRDefault="00384EC6" w:rsidP="00384EC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84EC6" w:rsidRPr="00983DCD" w14:paraId="636AE837" w14:textId="77777777" w:rsidTr="00B65A6E">
        <w:trPr>
          <w:trHeight w:val="80"/>
        </w:trPr>
        <w:tc>
          <w:tcPr>
            <w:tcW w:w="2689" w:type="dxa"/>
          </w:tcPr>
          <w:p w14:paraId="53C1DE05" w14:textId="77777777" w:rsidR="00384EC6" w:rsidRPr="00983DCD" w:rsidRDefault="00384EC6" w:rsidP="00B65A6E">
            <w:pPr>
              <w:jc w:val="both"/>
              <w:rPr>
                <w:rFonts w:ascii="Verdana" w:eastAsia="Calibri" w:hAnsi="Verdana" w:cs="Arial"/>
                <w:b/>
                <w:bCs/>
                <w:color w:val="7030A0"/>
                <w:lang w:val="es-ES_tradnl" w:eastAsia="es-ES_tradnl"/>
              </w:rPr>
            </w:pPr>
          </w:p>
        </w:tc>
        <w:tc>
          <w:tcPr>
            <w:tcW w:w="6100" w:type="dxa"/>
          </w:tcPr>
          <w:p w14:paraId="4F6F3F5B" w14:textId="77777777" w:rsidR="00384EC6" w:rsidRPr="00983DCD" w:rsidRDefault="00384EC6" w:rsidP="00B65A6E">
            <w:pPr>
              <w:jc w:val="both"/>
              <w:rPr>
                <w:rFonts w:ascii="Verdana" w:eastAsia="Calibri" w:hAnsi="Verdana" w:cs="Arial"/>
                <w:b/>
                <w:bCs/>
                <w:lang w:val="es-ES" w:eastAsia="es-ES"/>
              </w:rPr>
            </w:pPr>
            <w:r w:rsidRPr="00983DCD">
              <w:rPr>
                <w:rFonts w:ascii="Verdana" w:eastAsia="Calibri" w:hAnsi="Verdana" w:cs="Arial"/>
                <w:b/>
                <w:bCs/>
                <w:lang w:val="es-ES" w:eastAsia="es-ES"/>
              </w:rPr>
              <w:t>Concepto C-029</w:t>
            </w:r>
            <w:r w:rsidRPr="00983DCD">
              <w:rPr>
                <w:rFonts w:ascii="Verdana" w:eastAsia="Calibri" w:hAnsi="Verdana" w:cs="Arial"/>
                <w:b/>
                <w:bCs/>
                <w:color w:val="7030A0"/>
                <w:lang w:val="es-ES" w:eastAsia="es-ES"/>
              </w:rPr>
              <w:t xml:space="preserve"> </w:t>
            </w:r>
            <w:r w:rsidRPr="00983DCD">
              <w:rPr>
                <w:rFonts w:ascii="Verdana" w:eastAsia="Calibri" w:hAnsi="Verdana" w:cs="Arial"/>
                <w:b/>
                <w:bCs/>
                <w:lang w:val="es-ES" w:eastAsia="es-ES"/>
              </w:rPr>
              <w:t>de 2026</w:t>
            </w:r>
          </w:p>
          <w:p w14:paraId="79DE6238" w14:textId="77777777" w:rsidR="00384EC6" w:rsidRPr="00983DCD" w:rsidRDefault="00384EC6" w:rsidP="00B65A6E">
            <w:pPr>
              <w:jc w:val="both"/>
              <w:rPr>
                <w:rFonts w:ascii="Verdana" w:eastAsia="Calibri" w:hAnsi="Verdana" w:cs="Arial"/>
                <w:b/>
                <w:bCs/>
                <w:color w:val="7030A0"/>
                <w:lang w:val="es-ES" w:eastAsia="es-ES"/>
              </w:rPr>
            </w:pPr>
          </w:p>
        </w:tc>
      </w:tr>
      <w:tr w:rsidR="00384EC6" w:rsidRPr="00983DCD" w14:paraId="5AAA0F3C" w14:textId="77777777" w:rsidTr="00B65A6E">
        <w:trPr>
          <w:trHeight w:val="884"/>
        </w:trPr>
        <w:tc>
          <w:tcPr>
            <w:tcW w:w="2689" w:type="dxa"/>
          </w:tcPr>
          <w:p w14:paraId="175B7926" w14:textId="77777777" w:rsidR="00384EC6" w:rsidRPr="00983DCD" w:rsidRDefault="00384EC6" w:rsidP="00B65A6E">
            <w:pPr>
              <w:spacing w:line="276" w:lineRule="auto"/>
              <w:jc w:val="both"/>
              <w:rPr>
                <w:rFonts w:ascii="Verdana" w:eastAsia="Calibri" w:hAnsi="Verdana" w:cs="Arial"/>
                <w:color w:val="000000"/>
                <w:lang w:val="es-ES_tradnl" w:eastAsia="es-ES_tradnl"/>
              </w:rPr>
            </w:pPr>
            <w:r w:rsidRPr="00983DCD">
              <w:rPr>
                <w:rFonts w:ascii="Verdana" w:eastAsia="Calibri" w:hAnsi="Verdana" w:cs="Arial"/>
                <w:b/>
                <w:color w:val="000000"/>
                <w:lang w:val="es-ES_tradnl" w:eastAsia="es-ES_tradnl"/>
              </w:rPr>
              <w:t>Temas:</w:t>
            </w:r>
            <w:r w:rsidRPr="00983DCD">
              <w:rPr>
                <w:rFonts w:ascii="Verdana" w:eastAsia="Calibri" w:hAnsi="Verdana" w:cs="Arial"/>
                <w:color w:val="000000"/>
                <w:lang w:val="es-ES_tradnl" w:eastAsia="es-ES_tradnl"/>
              </w:rPr>
              <w:t xml:space="preserve">                   </w:t>
            </w:r>
          </w:p>
        </w:tc>
        <w:tc>
          <w:tcPr>
            <w:tcW w:w="6100" w:type="dxa"/>
          </w:tcPr>
          <w:p w14:paraId="2B436140" w14:textId="50A7F1F1" w:rsidR="00384EC6" w:rsidRPr="00983DCD" w:rsidRDefault="00384EC6" w:rsidP="00B65A6E">
            <w:pPr>
              <w:spacing w:line="276" w:lineRule="auto"/>
              <w:jc w:val="both"/>
              <w:rPr>
                <w:rFonts w:ascii="Verdana" w:eastAsia="Calibri" w:hAnsi="Verdana" w:cs="Arial"/>
                <w:lang w:val="es-ES" w:eastAsia="es-ES"/>
              </w:rPr>
            </w:pPr>
            <w:r w:rsidRPr="00983DCD">
              <w:rPr>
                <w:rFonts w:ascii="Verdana" w:eastAsia="Calibri" w:hAnsi="Verdana" w:cs="Arial"/>
                <w:lang w:val="es-ES" w:eastAsia="es-ES"/>
              </w:rPr>
              <w:t>CAJAS DE COMPENSACIÓN FAMILIAR – Naturaleza Jurídica / CAJAS DE COMPENSACIÓN FAMILIAR – Recursos – Naturaleza de los recursos / CAJAS DE LA COMPENSACIÓN FAMILIAR – Obligación Legal- Afiliación / CAJAS DE COMPENSACIÓN FAMILIAR – Afiliación – No sujeción- Régimen de Contratación Estatal / CAJAS DE COMPENSACIÓN FAMILIAR – Afiliación – Criterios / CAJAS DE COMPENSACIÓN FAMILIAR – Posibilidad – Participación – Procesos de Contratación Estatal</w:t>
            </w:r>
          </w:p>
          <w:p w14:paraId="52F6A1CD" w14:textId="77777777" w:rsidR="00384EC6" w:rsidRPr="00983DCD" w:rsidRDefault="00384EC6" w:rsidP="00B65A6E">
            <w:pPr>
              <w:spacing w:line="276" w:lineRule="auto"/>
              <w:jc w:val="both"/>
              <w:rPr>
                <w:rFonts w:ascii="Verdana" w:eastAsia="Calibri" w:hAnsi="Verdana" w:cs="Arial"/>
                <w:lang w:val="es-ES" w:eastAsia="es-ES"/>
              </w:rPr>
            </w:pPr>
          </w:p>
        </w:tc>
      </w:tr>
      <w:tr w:rsidR="00384EC6" w:rsidRPr="00983DCD" w14:paraId="5319B7F6" w14:textId="77777777" w:rsidTr="00B65A6E">
        <w:tc>
          <w:tcPr>
            <w:tcW w:w="2689" w:type="dxa"/>
          </w:tcPr>
          <w:p w14:paraId="491761DD" w14:textId="77777777" w:rsidR="00384EC6" w:rsidRPr="00983DCD" w:rsidRDefault="00384EC6" w:rsidP="00B65A6E">
            <w:pPr>
              <w:jc w:val="both"/>
              <w:rPr>
                <w:rFonts w:ascii="Verdana" w:eastAsia="Calibri" w:hAnsi="Verdana" w:cs="Arial"/>
                <w:b/>
                <w:lang w:val="es-ES_tradnl" w:eastAsia="es-ES_tradnl"/>
              </w:rPr>
            </w:pPr>
            <w:r w:rsidRPr="00983DCD">
              <w:rPr>
                <w:rFonts w:ascii="Verdana" w:eastAsia="Calibri" w:hAnsi="Verdana" w:cs="Arial"/>
                <w:b/>
                <w:lang w:val="es-ES_tradnl" w:eastAsia="es-ES_tradnl"/>
              </w:rPr>
              <w:t xml:space="preserve"> Radicación:</w:t>
            </w:r>
            <w:r w:rsidRPr="00983DCD">
              <w:rPr>
                <w:rFonts w:ascii="Verdana" w:eastAsia="Calibri" w:hAnsi="Verdana" w:cs="Arial"/>
                <w:lang w:val="es-ES_tradnl" w:eastAsia="es-ES_tradnl"/>
              </w:rPr>
              <w:t xml:space="preserve">               </w:t>
            </w:r>
          </w:p>
        </w:tc>
        <w:tc>
          <w:tcPr>
            <w:tcW w:w="6100" w:type="dxa"/>
          </w:tcPr>
          <w:p w14:paraId="211238CC" w14:textId="77777777" w:rsidR="00384EC6" w:rsidRPr="00983DCD" w:rsidRDefault="00384EC6" w:rsidP="00B65A6E">
            <w:pPr>
              <w:spacing w:line="276" w:lineRule="auto"/>
              <w:jc w:val="both"/>
              <w:rPr>
                <w:rFonts w:ascii="Verdana" w:eastAsia="Calibri" w:hAnsi="Verdana" w:cs="Arial"/>
                <w:lang w:eastAsia="es-ES_tradnl"/>
              </w:rPr>
            </w:pPr>
            <w:r w:rsidRPr="00983DCD">
              <w:rPr>
                <w:rFonts w:ascii="Verdana" w:eastAsia="Calibri" w:hAnsi="Verdana" w:cs="Arial"/>
                <w:lang w:val="es-ES_tradnl" w:eastAsia="es-ES_tradnl"/>
              </w:rPr>
              <w:t xml:space="preserve">Respuesta a consulta con radicado No. </w:t>
            </w:r>
            <w:r w:rsidRPr="00983DCD">
              <w:rPr>
                <w:rFonts w:ascii="Verdana" w:eastAsia="Calibri" w:hAnsi="Verdana" w:cs="Arial"/>
                <w:lang w:eastAsia="es-ES_tradnl"/>
              </w:rPr>
              <w:t>1_2026_01_09_000226 y 1_2026_02_03_001302 (acumulados)</w:t>
            </w:r>
          </w:p>
        </w:tc>
      </w:tr>
    </w:tbl>
    <w:p w14:paraId="1CB327A5" w14:textId="77777777" w:rsidR="00384EC6" w:rsidRPr="00983DCD" w:rsidRDefault="00384EC6" w:rsidP="00384EC6">
      <w:pPr>
        <w:spacing w:after="0" w:line="240" w:lineRule="auto"/>
        <w:jc w:val="both"/>
        <w:rPr>
          <w:rFonts w:ascii="Verdana" w:eastAsia="Calibri" w:hAnsi="Verdana" w:cs="Arial"/>
          <w:color w:val="000000"/>
          <w:lang w:val="es-ES_tradnl" w:eastAsia="es-ES_tradnl"/>
        </w:rPr>
      </w:pPr>
    </w:p>
    <w:p w14:paraId="20049F2A" w14:textId="77777777" w:rsidR="00384EC6" w:rsidRPr="00983DCD" w:rsidRDefault="00384EC6" w:rsidP="00384EC6">
      <w:pPr>
        <w:spacing w:after="0" w:line="240" w:lineRule="auto"/>
        <w:jc w:val="both"/>
        <w:rPr>
          <w:rFonts w:ascii="Verdana" w:eastAsia="Calibri" w:hAnsi="Verdana" w:cs="Arial"/>
          <w:color w:val="000000"/>
          <w:lang w:val="es-ES_tradnl" w:eastAsia="es-ES_tradnl"/>
        </w:rPr>
      </w:pPr>
    </w:p>
    <w:p w14:paraId="6C5AC6E7" w14:textId="77777777" w:rsidR="00384EC6" w:rsidRPr="00983DCD" w:rsidRDefault="00384EC6" w:rsidP="00384EC6">
      <w:pPr>
        <w:spacing w:after="0" w:line="276" w:lineRule="auto"/>
        <w:jc w:val="both"/>
        <w:rPr>
          <w:rFonts w:ascii="Verdana" w:eastAsia="Calibri" w:hAnsi="Verdana" w:cs="Arial"/>
          <w:lang w:val="es-ES" w:eastAsia="es-ES"/>
        </w:rPr>
      </w:pPr>
      <w:r w:rsidRPr="00983DCD">
        <w:rPr>
          <w:rFonts w:ascii="Verdana" w:eastAsia="Calibri" w:hAnsi="Verdana" w:cs="Arial"/>
          <w:color w:val="000000" w:themeColor="text1"/>
          <w:lang w:val="es-ES" w:eastAsia="es-ES"/>
        </w:rPr>
        <w:t>Estimados Señores del Ministerio de Defensa</w:t>
      </w:r>
      <w:r w:rsidRPr="00983DCD">
        <w:rPr>
          <w:rFonts w:ascii="Verdana" w:eastAsia="Calibri" w:hAnsi="Verdana" w:cs="Arial"/>
          <w:lang w:val="es-ES" w:eastAsia="es-ES"/>
        </w:rPr>
        <w:t>,</w:t>
      </w:r>
    </w:p>
    <w:p w14:paraId="718D720B" w14:textId="77777777" w:rsidR="00384EC6" w:rsidRPr="00983DCD" w:rsidRDefault="00384EC6" w:rsidP="00384EC6">
      <w:pPr>
        <w:tabs>
          <w:tab w:val="left" w:pos="3768"/>
        </w:tabs>
        <w:spacing w:after="0" w:line="276" w:lineRule="auto"/>
        <w:jc w:val="both"/>
        <w:rPr>
          <w:rFonts w:ascii="Verdana" w:eastAsia="Calibri" w:hAnsi="Verdana" w:cs="Arial"/>
          <w:lang w:val="es-ES" w:eastAsia="es-ES"/>
        </w:rPr>
      </w:pPr>
    </w:p>
    <w:p w14:paraId="5A5D0003" w14:textId="77777777" w:rsidR="00384EC6" w:rsidRPr="00983DCD" w:rsidRDefault="00384EC6" w:rsidP="00384EC6">
      <w:pPr>
        <w:spacing w:after="0" w:line="276" w:lineRule="auto"/>
        <w:contextualSpacing/>
        <w:jc w:val="both"/>
        <w:rPr>
          <w:rFonts w:ascii="Verdana" w:eastAsia="Calibri" w:hAnsi="Verdana" w:cs="Arial"/>
          <w:lang w:val="es-ES" w:eastAsia="es-ES_tradnl"/>
        </w:rPr>
      </w:pPr>
      <w:r w:rsidRPr="00983DCD">
        <w:rPr>
          <w:rFonts w:ascii="Verdana" w:eastAsia="Calibri" w:hAnsi="Verdana" w:cs="Arial"/>
          <w:lang w:val="es-ES" w:eastAsia="es-ES_tradnl"/>
        </w:rPr>
        <w:t xml:space="preserve">En ejercicio de la competencia otorgada por los artículos 3, numeral 5º, y 11, numeral 8º, del Decreto Ley 4170 de 2011, así como lo establecido en la Resolución </w:t>
      </w:r>
      <w:r w:rsidRPr="00983DCD">
        <w:rPr>
          <w:rFonts w:ascii="Verdana" w:eastAsia="Times New Roman" w:hAnsi="Verdana" w:cs="Arial"/>
          <w:lang w:eastAsia="es-ES_tradnl"/>
        </w:rPr>
        <w:t xml:space="preserve">469 de 2025 </w:t>
      </w:r>
      <w:r w:rsidRPr="00983DCD">
        <w:rPr>
          <w:rFonts w:ascii="Verdana" w:eastAsia="Calibri" w:hAnsi="Verdana" w:cs="Arial"/>
          <w:lang w:val="es-ES" w:eastAsia="es-ES_tradnl"/>
        </w:rPr>
        <w:t>expedida por esta Entidad, la Agencia Nacional de Contratación Pública – Colombia Compra Eficiente– responde su solicitud de consulta del 9 de enero de 2026, en la cual manifiesta:</w:t>
      </w:r>
    </w:p>
    <w:p w14:paraId="3CD66236"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lang w:val="es-ES"/>
        </w:rPr>
      </w:pPr>
    </w:p>
    <w:p w14:paraId="07827368" w14:textId="77777777" w:rsidR="00384EC6" w:rsidRPr="00983DCD" w:rsidRDefault="00384EC6" w:rsidP="00384EC6">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r w:rsidRPr="00983DCD">
        <w:rPr>
          <w:rFonts w:ascii="Verdana" w:eastAsia="Times New Roman" w:hAnsi="Verdana" w:cs="CIDFont+F1"/>
          <w:i/>
          <w:iCs/>
          <w:sz w:val="20"/>
          <w:szCs w:val="20"/>
          <w:lang w:eastAsia="es-ES_tradnl"/>
        </w:rPr>
        <w:t xml:space="preserve">“1. ¿La afiliación de una entidad pública a una caja de compensación familiar constituye una contratación estatal sujeta a las reglas de selección </w:t>
      </w:r>
      <w:r w:rsidRPr="00983DCD">
        <w:rPr>
          <w:rFonts w:ascii="Verdana" w:eastAsia="Times New Roman" w:hAnsi="Verdana" w:cs="CIDFont+F1"/>
          <w:i/>
          <w:iCs/>
          <w:sz w:val="20"/>
          <w:szCs w:val="20"/>
          <w:lang w:eastAsia="es-ES_tradnl"/>
        </w:rPr>
        <w:lastRenderedPageBreak/>
        <w:t xml:space="preserve">objetiva previstas en el Decreto 92 de 2017 y/o Estatuto General de Contratación Pública? </w:t>
      </w:r>
    </w:p>
    <w:p w14:paraId="329222B1" w14:textId="77777777" w:rsidR="00384EC6" w:rsidRPr="00983DCD" w:rsidRDefault="00384EC6" w:rsidP="00384EC6">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r w:rsidRPr="00983DCD">
        <w:rPr>
          <w:rFonts w:ascii="Verdana" w:eastAsia="Times New Roman" w:hAnsi="Verdana" w:cs="CIDFont+F1"/>
          <w:i/>
          <w:iCs/>
          <w:sz w:val="20"/>
          <w:szCs w:val="20"/>
          <w:lang w:eastAsia="es-ES_tradnl"/>
        </w:rPr>
        <w:t>2. ¿Resulta jurídicamente obligatorio adelantar un proceso público de selección para la afiliación a una caja de compensación familiar, aun cuando dicha afiliación derive del cumplimiento de una obligación de carácter parafiscal, en el sentido que son gastos de personal (0,6%) y no de funcionamiento o inversión de la entidad?</w:t>
      </w:r>
    </w:p>
    <w:p w14:paraId="2B49A5D6" w14:textId="77777777" w:rsidR="00384EC6" w:rsidRPr="00983DCD" w:rsidRDefault="00384EC6" w:rsidP="00384EC6">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r w:rsidRPr="00983DCD">
        <w:rPr>
          <w:rFonts w:ascii="Verdana" w:eastAsia="Times New Roman" w:hAnsi="Verdana" w:cs="CIDFont+F1"/>
          <w:i/>
          <w:iCs/>
          <w:sz w:val="20"/>
          <w:szCs w:val="20"/>
          <w:lang w:eastAsia="es-ES_tradnl"/>
        </w:rPr>
        <w:t xml:space="preserve"> 3. ¿Puede una entidad estatal celebrar un acuerdo directo con una caja de compensación familiar para la afiliación de sus empleados con su núcleo familiar, observando una selección objetiva y transparente en atención a las necesidades de sus empleados dentro de un proceso administrativo y no contractual? </w:t>
      </w:r>
    </w:p>
    <w:p w14:paraId="436BCBCC" w14:textId="77777777" w:rsidR="00384EC6" w:rsidRPr="00983DCD" w:rsidRDefault="00384EC6" w:rsidP="00384EC6">
      <w:pPr>
        <w:autoSpaceDE w:val="0"/>
        <w:autoSpaceDN w:val="0"/>
        <w:adjustRightInd w:val="0"/>
        <w:spacing w:after="0" w:line="240" w:lineRule="auto"/>
        <w:ind w:left="709" w:right="709"/>
        <w:jc w:val="both"/>
        <w:rPr>
          <w:rFonts w:ascii="Verdana" w:eastAsia="Times New Roman" w:hAnsi="Verdana" w:cs="CIDFont+F1"/>
          <w:i/>
          <w:iCs/>
          <w:sz w:val="20"/>
          <w:szCs w:val="20"/>
          <w:lang w:eastAsia="es-ES_tradnl"/>
        </w:rPr>
      </w:pPr>
      <w:r w:rsidRPr="00983DCD">
        <w:rPr>
          <w:rFonts w:ascii="Verdana" w:eastAsia="Times New Roman" w:hAnsi="Verdana" w:cs="CIDFont+F1"/>
          <w:i/>
          <w:iCs/>
          <w:sz w:val="20"/>
          <w:szCs w:val="20"/>
          <w:lang w:eastAsia="es-ES_tradnl"/>
        </w:rPr>
        <w:t>4. En caso de que los empleados elijan de manera mayoritaria una Caja de Compensación Familiar, ¿puede esta entidad proceder a la afiliación directa a dicha caja sin adelantar un nuevo proceso de selección público?</w:t>
      </w:r>
      <w:r w:rsidRPr="00983DCD" w:rsidDel="00FB21BC">
        <w:rPr>
          <w:rFonts w:ascii="Verdana" w:eastAsia="Times New Roman" w:hAnsi="Verdana" w:cs="CIDFont+F1"/>
          <w:i/>
          <w:iCs/>
          <w:sz w:val="20"/>
          <w:szCs w:val="20"/>
          <w:lang w:eastAsia="es-ES_tradnl"/>
        </w:rPr>
        <w:t xml:space="preserve"> </w:t>
      </w:r>
    </w:p>
    <w:p w14:paraId="19762EC6" w14:textId="77777777" w:rsidR="00384EC6" w:rsidRPr="00983DCD" w:rsidRDefault="00384EC6" w:rsidP="00384EC6">
      <w:pPr>
        <w:autoSpaceDE w:val="0"/>
        <w:autoSpaceDN w:val="0"/>
        <w:adjustRightInd w:val="0"/>
        <w:spacing w:after="0" w:line="276" w:lineRule="auto"/>
        <w:ind w:left="851" w:right="616"/>
        <w:jc w:val="both"/>
        <w:rPr>
          <w:rFonts w:ascii="Verdana" w:eastAsia="Century Gothic" w:hAnsi="Verdana" w:cs="Century Gothic"/>
          <w:b/>
          <w:bCs/>
          <w:lang w:eastAsia="es-ES_tradnl"/>
        </w:rPr>
      </w:pPr>
    </w:p>
    <w:p w14:paraId="65ED175A" w14:textId="77777777" w:rsidR="00384EC6" w:rsidRPr="00983DCD" w:rsidRDefault="00384EC6" w:rsidP="00384EC6">
      <w:pPr>
        <w:spacing w:after="120" w:line="276" w:lineRule="auto"/>
        <w:ind w:firstLine="709"/>
        <w:jc w:val="both"/>
        <w:rPr>
          <w:rFonts w:ascii="Verdana" w:eastAsia="Calibri" w:hAnsi="Verdana" w:cs="Arial"/>
          <w:color w:val="000000"/>
          <w:lang w:val="es-ES_tradnl" w:eastAsia="es-ES_tradnl"/>
        </w:rPr>
      </w:pPr>
      <w:r w:rsidRPr="00983DC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3DCD">
        <w:rPr>
          <w:rFonts w:ascii="Verdana" w:eastAsia="Calibri" w:hAnsi="Verdana" w:cs="Arial"/>
          <w:color w:val="000000"/>
          <w:lang w:val="es-ES_tradnl" w:eastAsia="es-ES_tradnl"/>
        </w:rPr>
        <w:tab/>
      </w:r>
    </w:p>
    <w:p w14:paraId="53A5C517" w14:textId="77777777" w:rsidR="00384EC6" w:rsidRPr="00983DCD" w:rsidRDefault="00384EC6" w:rsidP="00384EC6">
      <w:pPr>
        <w:spacing w:after="0" w:line="276" w:lineRule="auto"/>
        <w:ind w:firstLine="709"/>
        <w:jc w:val="both"/>
        <w:rPr>
          <w:rFonts w:ascii="Verdana" w:eastAsia="Calibri" w:hAnsi="Verdana" w:cs="Arial"/>
          <w:color w:val="000000"/>
          <w:lang w:val="es-ES" w:eastAsia="es-ES"/>
        </w:rPr>
      </w:pPr>
      <w:r w:rsidRPr="00983DCD">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lang w:val="es-ES" w:eastAsia="es-ES"/>
        </w:rPr>
        <w:t>el problema jurídico de su consulta.</w:t>
      </w:r>
    </w:p>
    <w:p w14:paraId="1986E4B1" w14:textId="77777777" w:rsidR="00384EC6" w:rsidRPr="00C57A00" w:rsidRDefault="00384EC6" w:rsidP="00384EC6">
      <w:pPr>
        <w:spacing w:after="0" w:line="276" w:lineRule="auto"/>
        <w:ind w:firstLine="709"/>
        <w:jc w:val="both"/>
        <w:rPr>
          <w:rFonts w:ascii="Verdana" w:eastAsia="Calibri" w:hAnsi="Verdana" w:cs="Arial"/>
          <w:color w:val="000000"/>
          <w:lang w:val="es-ES" w:eastAsia="es-ES"/>
        </w:rPr>
      </w:pPr>
    </w:p>
    <w:p w14:paraId="67000BE7" w14:textId="77777777" w:rsidR="00384EC6" w:rsidRPr="00C57A00" w:rsidRDefault="00384EC6" w:rsidP="00384EC6">
      <w:pPr>
        <w:tabs>
          <w:tab w:val="left" w:pos="142"/>
          <w:tab w:val="left" w:pos="284"/>
        </w:tabs>
        <w:spacing w:after="0" w:line="276" w:lineRule="auto"/>
        <w:jc w:val="both"/>
        <w:rPr>
          <w:rFonts w:ascii="Verdana" w:eastAsia="Century Gothic" w:hAnsi="Verdana" w:cs="Century Gothic"/>
          <w:b/>
          <w:bCs/>
          <w:lang w:eastAsia="es-ES_tradnl"/>
        </w:rPr>
      </w:pPr>
      <w:r w:rsidRPr="00C57A00">
        <w:rPr>
          <w:rFonts w:ascii="Verdana" w:eastAsia="Century Gothic" w:hAnsi="Verdana" w:cs="Century Gothic"/>
          <w:b/>
          <w:bCs/>
          <w:lang w:eastAsia="es-ES_tradnl"/>
        </w:rPr>
        <w:t>I. Problema planteado:</w:t>
      </w:r>
    </w:p>
    <w:p w14:paraId="07D58034" w14:textId="77777777" w:rsidR="00384EC6" w:rsidRPr="00983DCD" w:rsidRDefault="00384EC6" w:rsidP="00384EC6">
      <w:pPr>
        <w:tabs>
          <w:tab w:val="left" w:pos="426"/>
        </w:tabs>
        <w:spacing w:after="0" w:line="276" w:lineRule="auto"/>
        <w:jc w:val="both"/>
        <w:rPr>
          <w:rFonts w:ascii="Verdana" w:eastAsia="Century Gothic" w:hAnsi="Verdana" w:cs="Century Gothic"/>
          <w:lang w:val="es-ES" w:eastAsia="es-ES_tradnl"/>
        </w:rPr>
      </w:pPr>
    </w:p>
    <w:p w14:paraId="24A3F1DB" w14:textId="77777777" w:rsidR="00384EC6" w:rsidRPr="00983DCD" w:rsidRDefault="00384EC6" w:rsidP="00384EC6">
      <w:pPr>
        <w:spacing w:after="0" w:line="276" w:lineRule="auto"/>
        <w:jc w:val="both"/>
        <w:rPr>
          <w:rFonts w:ascii="Verdana" w:eastAsia="Century Gothic" w:hAnsi="Verdana" w:cs="Century Gothic"/>
          <w:lang w:eastAsia="es-ES_tradnl"/>
        </w:rPr>
      </w:pPr>
      <w:r w:rsidRPr="00983DCD">
        <w:rPr>
          <w:rFonts w:ascii="Verdana" w:eastAsia="Century Gothic" w:hAnsi="Verdana" w:cs="Century Gothic"/>
          <w:lang w:eastAsia="es-ES_tradnl"/>
        </w:rPr>
        <w:lastRenderedPageBreak/>
        <w:t>De acuerdo con el contenido de su solicitud, esta Agencia resolverá los siguientes problemas jurídicos: ¿En qué medida la afiliación de una entidad pública a una caja de compensación familiar, tratándose de una obligación parafiscal derivada de los gastos de personal, se encuentra excluida del régimen de contratación estatal —incluido el Decreto 092 de 2017— y permite a la entidad realizar la afiliación directamente, mediante un trámite administrativo y con criterios de objetividad y transparencia?</w:t>
      </w:r>
    </w:p>
    <w:p w14:paraId="4082236B" w14:textId="77777777" w:rsidR="00384EC6" w:rsidRPr="00983DCD" w:rsidRDefault="00384EC6" w:rsidP="00384EC6">
      <w:pPr>
        <w:spacing w:after="0" w:line="276" w:lineRule="auto"/>
        <w:jc w:val="both"/>
        <w:rPr>
          <w:rFonts w:ascii="Verdana" w:eastAsia="Calibri" w:hAnsi="Verdana" w:cs="Arial"/>
          <w:color w:val="7030A0"/>
          <w:lang w:val="es-ES" w:eastAsia="es-ES_tradnl"/>
        </w:rPr>
      </w:pPr>
    </w:p>
    <w:p w14:paraId="5B9596F0" w14:textId="77777777" w:rsidR="00384EC6" w:rsidRPr="00C57A00" w:rsidRDefault="00384EC6" w:rsidP="00384EC6">
      <w:pPr>
        <w:tabs>
          <w:tab w:val="left" w:pos="142"/>
          <w:tab w:val="left" w:pos="284"/>
        </w:tabs>
        <w:spacing w:after="0" w:line="276" w:lineRule="auto"/>
        <w:jc w:val="both"/>
        <w:rPr>
          <w:rFonts w:ascii="Verdana" w:eastAsia="Century Gothic" w:hAnsi="Verdana" w:cs="Century Gothic"/>
          <w:b/>
          <w:bCs/>
          <w:lang w:eastAsia="es-ES_tradnl"/>
        </w:rPr>
      </w:pPr>
      <w:r w:rsidRPr="00C57A00">
        <w:rPr>
          <w:rFonts w:ascii="Verdana" w:eastAsia="Century Gothic" w:hAnsi="Verdana" w:cs="Century Gothic"/>
          <w:b/>
          <w:bCs/>
          <w:lang w:eastAsia="es-ES_tradnl"/>
        </w:rPr>
        <w:t>II. Respuesta:</w:t>
      </w:r>
    </w:p>
    <w:p w14:paraId="14CC5194"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lang w:val="es-ES" w:eastAsia="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84EC6" w:rsidRPr="00983DCD" w14:paraId="32AD4562" w14:textId="77777777" w:rsidTr="00B65A6E">
        <w:tc>
          <w:tcPr>
            <w:tcW w:w="8828" w:type="dxa"/>
          </w:tcPr>
          <w:p w14:paraId="7D624CD0" w14:textId="77777777" w:rsidR="00384EC6" w:rsidRPr="00983DCD" w:rsidRDefault="00384EC6" w:rsidP="00B65A6E">
            <w:pPr>
              <w:spacing w:before="120" w:after="120" w:line="276" w:lineRule="auto"/>
              <w:jc w:val="both"/>
              <w:rPr>
                <w:rFonts w:ascii="Verdana" w:eastAsia="Times New Roman" w:hAnsi="Verdana" w:cs="Arial"/>
                <w:lang w:eastAsia="es-ES_tradnl"/>
              </w:rPr>
            </w:pPr>
            <w:r w:rsidRPr="00983DCD">
              <w:rPr>
                <w:rFonts w:ascii="Verdana" w:eastAsia="Calibri" w:hAnsi="Verdana" w:cs="Arial"/>
                <w:shd w:val="clear" w:color="auto" w:fill="FFFFFF"/>
                <w:lang w:val="es-ES" w:eastAsia="es-ES_tradnl"/>
              </w:rPr>
              <w:t xml:space="preserve">En relación con el problema jurídico planteado, se señala que la </w:t>
            </w:r>
            <w:r w:rsidRPr="00983DCD">
              <w:rPr>
                <w:rFonts w:ascii="Verdana" w:eastAsia="Times New Roman" w:hAnsi="Verdana" w:cs="Arial"/>
                <w:lang w:eastAsia="es-ES_tradnl"/>
              </w:rPr>
              <w:t>afiliación de una entidad pública a una Caja de Compensación Familiar no constituye un proceso sometido al régimen de contratación estatal. La razón es que el aporte del 4 % previsto en los artículos 11 y 12 de la Ley 21 de 1982 tiene naturaleza parafiscal, se causa por mandato legal y no implica la adquisición de bienes o servicios. En consecuencia, no existe un objeto contractual que active procedimientos de selección, ni se configura una relación negocial que pueda ubicarse dentro del Estatuto General de Contratación ni dentro del régimen especial del Decreto 092 de 2017 para la contratación con entidades sin ánimo de lucro de reconocida idoneidad.</w:t>
            </w:r>
          </w:p>
          <w:p w14:paraId="3F29D4A7" w14:textId="77777777" w:rsidR="00384EC6" w:rsidRPr="00983DCD" w:rsidRDefault="00384EC6" w:rsidP="00B65A6E">
            <w:pPr>
              <w:widowControl w:val="0"/>
              <w:autoSpaceDE w:val="0"/>
              <w:autoSpaceDN w:val="0"/>
              <w:spacing w:before="120"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El carácter obligatorio y legalmente predeterminado de la afiliación excluye cualquier margen de discrecionalidad contractual. La entidad pública no decide si paga o no, ni negocia condiciones, ni escoge entre alternativas de prestación de un servicio. Simplemente cumple una obligación derivada de su calidad de empleadora. De este modo, los aportes parafiscales no se contratan, porque no dependen de la voluntad de las partes sino de la ley, y su pago no genera un vínculo contractual sino una relación de derecho público propia de una obligación legal. Ahora bien, frente a la afiliación en las Cajas de Compensación Familiar, es pertinente acudir al artículo 57 de la 21 de 1982. Dicho artículo implica que las afiliaciones a las cajas de compensación familiar corresponden exclusivamente a los empleadores, trabajadores independientes y pensionados. En el caso de los empleadores, la solicitud debe incluir la relación de trabajadores y sus salarios, lo que evidencia que el sistema asigna a estos la responsabilidad directa sobre la afiliación de su personal.</w:t>
            </w:r>
          </w:p>
          <w:p w14:paraId="42CFE5B5" w14:textId="77777777" w:rsidR="00384EC6" w:rsidRPr="00983DCD" w:rsidRDefault="00384EC6" w:rsidP="00B65A6E">
            <w:pPr>
              <w:widowControl w:val="0"/>
              <w:autoSpaceDE w:val="0"/>
              <w:autoSpaceDN w:val="0"/>
              <w:spacing w:before="120"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lastRenderedPageBreak/>
              <w:t>De esta regulación se infiere que el ordenamiento jurídico no habilita a los trabajadores dependientes para gestionar individualmente su afiliación a una caja de compensación. Por el contrario, su vinculación queda supeditada a la elección institucional del empleador, quien determina la caja a la cual se afilia la empresa. En consecuencia, el acto de afiliación, por tanto, es un trámite administrativo de cumplimiento obligatorio. Al respecto, la doctrina expresa: “La afiliación es un acto jurídico que da origen a una relación de seguridad social de cuya operación se generan derechos y obligaciones para las partes, a tal punto que cuando haya incumplimiento de algunas de ellas la responsabilidad se revierte y produce la desafiliación del empleador y sus trabajadores de la corporación, quedando esta nuevamente en cabeza del patrono”.</w:t>
            </w:r>
          </w:p>
          <w:p w14:paraId="3CAC1ED4" w14:textId="77777777" w:rsidR="00384EC6" w:rsidRPr="00983DCD" w:rsidRDefault="00384EC6" w:rsidP="00B65A6E">
            <w:pPr>
              <w:widowControl w:val="0"/>
              <w:autoSpaceDE w:val="0"/>
              <w:autoSpaceDN w:val="0"/>
              <w:spacing w:before="120"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 xml:space="preserve">Ahora bien, para determinar la Caja de Compensación es necesario acudir el artículo 15 de la Ley 21 de 1982, la cual establece que los empleadores obligados a aportar al subsidio familiar, al SENA y a otras destinaciones especiales deben realizar dichos pagos a través de una Caja de Compensación Familiar ubicada en la ciudad o localidad donde se generan los salarios, o, en su defecto, en la caja más cercana dentro del mismo departamento, intendencia o comisaría; si no existiera ninguna en esas entidades territoriales, los aportes se harán mediante la caja de la división territorial más próxima, exceptuándose únicamente a los empleadores del sector primario, quienes se rigen por lo previsto en el artículo 70. Así mismo, el artículo 2.2.7.2.1.7 del Decreto 1072 de 2015, establece que la afiliación de un empleador a la Caja de Compensación Familiar está determinada por dos condiciones: en primer lugar, el de la territorialidad y, en segundo lugar, el de causación de los salarios según el cual la afiliación debe hacerse a la Caja que funcione en la ciudad o localidad donde se causan los salarios de sus trabajadores. El primero es una condición que se establece para las Cajas de Compensación Familiar, que depende del lugar de su constitución. El segundo es una condición que se exige del afiliado, en tanto que depende de las reglas particulares de afiliación. </w:t>
            </w:r>
          </w:p>
          <w:p w14:paraId="32278F32" w14:textId="77777777" w:rsidR="00384EC6" w:rsidRPr="00983DCD" w:rsidRDefault="00384EC6" w:rsidP="00B65A6E">
            <w:pPr>
              <w:widowControl w:val="0"/>
              <w:autoSpaceDE w:val="0"/>
              <w:autoSpaceDN w:val="0"/>
              <w:spacing w:before="120"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 xml:space="preserve">Esto, sin perjuicio de la posibilidad de que las Cajas de Compensación Familiar participen como oferentes en procesos de contratación pública permanece intacta, pues en esos escenarios actúan como entidades privadas que prestan servicios y compiten en igualdad de condiciones con otros </w:t>
            </w:r>
            <w:r w:rsidRPr="00983DCD">
              <w:rPr>
                <w:rFonts w:ascii="Verdana" w:eastAsia="Times New Roman" w:hAnsi="Verdana" w:cs="Arial"/>
                <w:lang w:eastAsia="es-ES_tradnl"/>
              </w:rPr>
              <w:lastRenderedPageBreak/>
              <w:t xml:space="preserve">proveedores. Su intervención en licitaciones, invitaciones públicas o procesos del Decreto 092 de 2017 se rige por las reglas propias del régimen contractual aplicable y no guarda relación con la afiliación obligatoria derivada de los gastos de personal. </w:t>
            </w:r>
          </w:p>
        </w:tc>
      </w:tr>
    </w:tbl>
    <w:p w14:paraId="3C4BA0BC"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lang w:val="es-ES"/>
        </w:rPr>
      </w:pPr>
    </w:p>
    <w:p w14:paraId="3C6227DC"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lang w:val="es-ES"/>
        </w:rPr>
      </w:pPr>
      <w:r w:rsidRPr="00983DCD">
        <w:rPr>
          <w:rFonts w:ascii="Verdana" w:eastAsia="Century Gothic" w:hAnsi="Verdana" w:cs="Century Gothic"/>
          <w:b/>
          <w:bCs/>
          <w:lang w:val="es-ES"/>
        </w:rPr>
        <w:t>III. Razones de la respuesta:</w:t>
      </w:r>
    </w:p>
    <w:p w14:paraId="1C9FFB6A" w14:textId="77777777" w:rsidR="00384EC6" w:rsidRPr="00983DCD" w:rsidRDefault="00384EC6" w:rsidP="00384EC6">
      <w:pPr>
        <w:spacing w:after="0" w:line="276" w:lineRule="auto"/>
        <w:jc w:val="both"/>
        <w:rPr>
          <w:rFonts w:ascii="Verdana" w:eastAsia="Calibri" w:hAnsi="Verdana" w:cs="Arial"/>
          <w:color w:val="7030A0"/>
          <w:lang w:val="es-ES" w:eastAsia="es-ES_tradnl"/>
        </w:rPr>
      </w:pPr>
    </w:p>
    <w:p w14:paraId="407CD8D7" w14:textId="77777777" w:rsidR="00384EC6" w:rsidRPr="00983DCD" w:rsidRDefault="00384EC6" w:rsidP="00384EC6">
      <w:pPr>
        <w:spacing w:after="0" w:line="276" w:lineRule="auto"/>
        <w:jc w:val="both"/>
        <w:rPr>
          <w:rFonts w:ascii="Verdana" w:eastAsia="Calibri" w:hAnsi="Verdana" w:cs="Arial"/>
          <w:lang w:val="es-ES" w:eastAsia="es-ES_tradnl"/>
        </w:rPr>
      </w:pPr>
      <w:r w:rsidRPr="00983DCD">
        <w:rPr>
          <w:rFonts w:ascii="Verdana" w:eastAsia="Calibri" w:hAnsi="Verdana" w:cs="Arial"/>
          <w:lang w:val="es-ES" w:eastAsia="es-ES_tradnl"/>
        </w:rPr>
        <w:t xml:space="preserve">Lo anterior se sustenta en las siguientes consideraciones: </w:t>
      </w:r>
    </w:p>
    <w:p w14:paraId="109786F3" w14:textId="77777777" w:rsidR="00384EC6" w:rsidRPr="00983DCD" w:rsidRDefault="00384EC6" w:rsidP="00384EC6">
      <w:pPr>
        <w:spacing w:after="0" w:line="276" w:lineRule="auto"/>
        <w:jc w:val="both"/>
        <w:rPr>
          <w:rFonts w:ascii="Verdana" w:eastAsia="Calibri" w:hAnsi="Verdana" w:cs="Arial"/>
          <w:color w:val="7030A0"/>
          <w:lang w:val="es-ES" w:eastAsia="es-ES_tradnl"/>
        </w:rPr>
      </w:pPr>
    </w:p>
    <w:p w14:paraId="2020DFC3" w14:textId="77777777" w:rsidR="00384EC6" w:rsidRPr="00983DCD" w:rsidRDefault="00384EC6" w:rsidP="00384EC6">
      <w:pPr>
        <w:spacing w:after="12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kern w:val="2"/>
          <w:lang w:eastAsia="es-ES_tradnl"/>
          <w14:ligatures w14:val="standardContextual"/>
        </w:rPr>
        <w:t>i. Es pertinente mencionar que el Libro Segundo del Código de Comercio no incluye dentro de la enumeración de las sociedades comerciales a las corporaciones, asociaciones o fundaciones, es decir, a las entidades sin ánimo de lucro – en adelante ESAL–. La razón de esta exclusión, a juicio de esta Agencia, es evidente: dichas organizaciones no tienen fines comerciales, es decir, carecen de ánimo de lucro, razón por la cual no pueden considerarse un tipo o clase de sociedad comercial</w:t>
      </w:r>
      <w:r w:rsidRPr="00983DCD">
        <w:rPr>
          <w:rFonts w:ascii="Verdana" w:eastAsia="Calibri" w:hAnsi="Verdana" w:cs="Arial"/>
          <w:color w:val="000000"/>
          <w:kern w:val="2"/>
          <w:vertAlign w:val="superscript"/>
          <w:lang w:eastAsia="es-ES_tradnl"/>
          <w14:ligatures w14:val="standardContextual"/>
        </w:rPr>
        <w:footnoteReference w:id="1"/>
      </w:r>
      <w:r w:rsidRPr="00983DCD">
        <w:rPr>
          <w:rFonts w:ascii="Verdana" w:eastAsia="Calibri" w:hAnsi="Verdana" w:cs="Arial"/>
          <w:color w:val="000000"/>
          <w:kern w:val="2"/>
          <w:lang w:eastAsia="es-ES_tradnl"/>
          <w14:ligatures w14:val="standardContextual"/>
        </w:rPr>
        <w:t>. La norma que regula este tipo de corporaciones o asociaciones es el Código Civil –entre otras normas que se armonizan con este – de lo que se sigue que no constituyen formas de sociedad comercial, sino formas de organización civil con fines esencialmente altruistas o de interés general, creadas por personas que buscan contribuir, con su esfuerzo y hasta con sus bienes, al bienestar de la comunidad</w:t>
      </w:r>
      <w:r w:rsidRPr="00983DCD">
        <w:rPr>
          <w:rFonts w:ascii="Verdana" w:eastAsia="Calibri" w:hAnsi="Verdana" w:cs="Arial"/>
          <w:color w:val="000000"/>
          <w:kern w:val="2"/>
          <w:vertAlign w:val="superscript"/>
          <w:lang w:eastAsia="es-ES_tradnl"/>
          <w14:ligatures w14:val="standardContextual"/>
        </w:rPr>
        <w:footnoteReference w:id="2"/>
      </w:r>
      <w:r w:rsidRPr="00983DCD">
        <w:rPr>
          <w:rFonts w:ascii="Verdana" w:eastAsia="Calibri" w:hAnsi="Verdana" w:cs="Arial"/>
          <w:color w:val="000000"/>
          <w:kern w:val="2"/>
          <w:lang w:eastAsia="es-ES_tradnl"/>
          <w14:ligatures w14:val="standardContextual"/>
        </w:rPr>
        <w:t>. La ausencia de ánimo de lucro es, entonces, la característica determinante de estas corporaciones u organizaciones, lo que explica su nombre y la diferencia fundamental con las sociedades comerciales.</w:t>
      </w:r>
    </w:p>
    <w:p w14:paraId="2834FA42" w14:textId="77777777" w:rsidR="00384EC6" w:rsidRPr="00983DCD" w:rsidRDefault="00384EC6" w:rsidP="00384EC6">
      <w:pPr>
        <w:spacing w:after="12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lastRenderedPageBreak/>
        <w:tab/>
        <w:t xml:space="preserve">En efecto, el inciso primero del artículo 98 del Código de Comercio dispone que mediante el contrato de sociedad “dos o más personas se obligan a hacer un aporte en dinero, en trabajo o en otros bienes apreciables en dinero, </w:t>
      </w:r>
      <w:r w:rsidRPr="00983DCD">
        <w:rPr>
          <w:rFonts w:ascii="Verdana" w:eastAsia="Calibri" w:hAnsi="Verdana" w:cs="Arial"/>
          <w:i/>
          <w:iCs/>
          <w:color w:val="000000"/>
          <w:kern w:val="2"/>
          <w:lang w:eastAsia="es-ES_tradnl"/>
          <w14:ligatures w14:val="standardContextual"/>
        </w:rPr>
        <w:t>con el fin de repartirse entre sí las utilidades obtenidas en la empresa o actividad social”</w:t>
      </w:r>
      <w:r w:rsidRPr="00983DCD">
        <w:rPr>
          <w:rFonts w:ascii="Verdana" w:eastAsia="Calibri" w:hAnsi="Verdana" w:cs="Arial"/>
          <w:color w:val="000000"/>
          <w:kern w:val="2"/>
          <w:lang w:eastAsia="es-ES_tradnl"/>
          <w14:ligatures w14:val="standardContextual"/>
        </w:rPr>
        <w:t xml:space="preserve"> [Énfasis fuera de texto]. Ello pone de presente que el reparto de utilidades es un elemento esencial del contrato de sociedad, lo cual no es admisible en el caso de las ESAL, ni durante su existencia ni cuando se extinga. Este es, quizá, el elemento distintivo más relevante entre unas y otras organizaciones, aun cuando ambas se crean en ejercicio del derecho fundamental de asociación, previsto en el artículo 38 de la Constitución Política y otras normas contenidas en tratados internacionales suscritos por Colombia.</w:t>
      </w:r>
    </w:p>
    <w:p w14:paraId="13717538" w14:textId="77777777" w:rsidR="00384EC6" w:rsidRPr="00983DCD" w:rsidRDefault="00384EC6" w:rsidP="00384EC6">
      <w:pPr>
        <w:spacing w:after="12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ab/>
        <w:t>Dentro del conjunto de asociaciones que conforman las ESAL están incluidas las Cajas de Compensación Familiar, a las que se refiere en su consulta. Esto en razón a que, el artículo 39 de la Ley 21 de 1982 las define como “</w:t>
      </w:r>
      <w:r w:rsidRPr="00983DCD">
        <w:rPr>
          <w:rFonts w:ascii="Verdana" w:eastAsia="Calibri" w:hAnsi="Verdana" w:cs="Arial"/>
          <w:i/>
          <w:iCs/>
          <w:color w:val="000000"/>
          <w:kern w:val="2"/>
          <w:lang w:eastAsia="es-ES_tradnl"/>
          <w14:ligatures w14:val="standardContextual"/>
        </w:rPr>
        <w:t>personas jurídicas de derecho privado sin ánimo de lucro, organizadas como corporaciones en la forma prevista en el Código Civil,</w:t>
      </w:r>
      <w:r w:rsidRPr="00983DCD">
        <w:rPr>
          <w:rFonts w:ascii="Verdana" w:eastAsia="Calibri" w:hAnsi="Verdana" w:cs="Arial"/>
          <w:color w:val="000000"/>
          <w:kern w:val="2"/>
          <w:lang w:eastAsia="es-ES_tradnl"/>
          <w14:ligatures w14:val="standardContextual"/>
        </w:rPr>
        <w:t xml:space="preserve"> cumplen funciones de seguridad social y se hallan sometidas al control y vigilancia del Estado en la forma establecida por la ley”. [Énfasis fuera de texto]</w:t>
      </w:r>
    </w:p>
    <w:p w14:paraId="02AAA483" w14:textId="77777777" w:rsidR="00384EC6" w:rsidRPr="00983DCD" w:rsidRDefault="00384EC6" w:rsidP="00384EC6">
      <w:pPr>
        <w:spacing w:after="0" w:line="276" w:lineRule="auto"/>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ab/>
        <w:t>En concordancia con lo anterior, el artículo 41 de la Ley 21 de 1982</w:t>
      </w:r>
      <w:r w:rsidRPr="00FA5A6F">
        <w:rPr>
          <w:rFonts w:ascii="Verdana" w:eastAsia="Calibri" w:hAnsi="Verdana" w:cs="Arial"/>
          <w:color w:val="000000"/>
          <w:kern w:val="2"/>
          <w:vertAlign w:val="superscript"/>
          <w:lang w:eastAsia="es-ES_tradnl"/>
          <w14:ligatures w14:val="standardContextual"/>
        </w:rPr>
        <w:footnoteReference w:id="3"/>
      </w:r>
      <w:r w:rsidRPr="00983DCD">
        <w:rPr>
          <w:rFonts w:ascii="Verdana" w:eastAsia="Calibri" w:hAnsi="Verdana" w:cs="Arial"/>
          <w:color w:val="000000"/>
          <w:kern w:val="2"/>
          <w:lang w:eastAsia="es-ES_tradnl"/>
          <w14:ligatures w14:val="standardContextual"/>
        </w:rPr>
        <w:t xml:space="preserve"> establece que unas de las funciones principales de las Cajas de Compensación </w:t>
      </w:r>
      <w:r w:rsidRPr="00983DCD">
        <w:rPr>
          <w:rFonts w:ascii="Verdana" w:eastAsia="Calibri" w:hAnsi="Verdana" w:cs="Arial"/>
          <w:color w:val="000000"/>
          <w:kern w:val="2"/>
          <w:lang w:eastAsia="es-ES_tradnl"/>
          <w14:ligatures w14:val="standardContextual"/>
        </w:rPr>
        <w:lastRenderedPageBreak/>
        <w:t xml:space="preserve">Familiar es el de recaudar y gestionar la aplicación de los aportes al </w:t>
      </w:r>
      <w:r w:rsidRPr="00983DCD">
        <w:rPr>
          <w:rFonts w:ascii="Verdana" w:eastAsia="Calibri" w:hAnsi="Verdana" w:cs="Arial"/>
          <w:i/>
          <w:iCs/>
          <w:color w:val="000000"/>
          <w:kern w:val="2"/>
          <w:lang w:eastAsia="es-ES_tradnl"/>
          <w14:ligatures w14:val="standardContextual"/>
        </w:rPr>
        <w:t>subsidio familiar</w:t>
      </w:r>
      <w:r w:rsidRPr="00983DCD">
        <w:rPr>
          <w:rFonts w:ascii="Verdana" w:eastAsia="Calibri" w:hAnsi="Verdana" w:cs="Arial"/>
          <w:color w:val="000000"/>
          <w:kern w:val="2"/>
          <w:lang w:eastAsia="es-ES_tradnl"/>
          <w14:ligatures w14:val="standardContextual"/>
        </w:rPr>
        <w:t xml:space="preserve"> que debe pagar todo empleador. Esta función reafirma su carácter de instituciones privadas sin ánimo de lucro que cumplen una función social dentro del Sistema de Seguridad Social, sin que ello las convierta en entidades estatales ni les atribuya el ejercicio de potestades públicas. Al respecto, la Corte Constitucional en la Sentencia C-508 de 1997</w:t>
      </w:r>
      <w:r w:rsidRPr="00FA5A6F">
        <w:rPr>
          <w:rFonts w:ascii="Verdana" w:eastAsia="Calibri" w:hAnsi="Verdana" w:cs="Arial"/>
          <w:color w:val="000000"/>
          <w:kern w:val="2"/>
          <w:vertAlign w:val="superscript"/>
          <w:lang w:eastAsia="es-ES_tradnl"/>
          <w14:ligatures w14:val="standardContextual"/>
        </w:rPr>
        <w:footnoteReference w:id="4"/>
      </w:r>
      <w:r w:rsidRPr="00983DCD">
        <w:rPr>
          <w:rFonts w:ascii="Verdana" w:eastAsia="Calibri" w:hAnsi="Verdana" w:cs="Arial"/>
          <w:color w:val="000000"/>
          <w:kern w:val="2"/>
          <w:lang w:eastAsia="es-ES_tradnl"/>
          <w14:ligatures w14:val="standardContextual"/>
        </w:rPr>
        <w:t xml:space="preserve"> expresa:</w:t>
      </w:r>
    </w:p>
    <w:p w14:paraId="6775EDC9" w14:textId="77777777" w:rsidR="00384EC6" w:rsidRPr="00983DCD" w:rsidRDefault="00384EC6" w:rsidP="00384EC6">
      <w:pPr>
        <w:spacing w:after="0" w:line="276" w:lineRule="auto"/>
        <w:jc w:val="both"/>
        <w:rPr>
          <w:rFonts w:ascii="Verdana" w:eastAsia="Calibri" w:hAnsi="Verdana" w:cs="Arial"/>
          <w:color w:val="000000"/>
          <w:kern w:val="2"/>
          <w:lang w:eastAsia="es-ES_tradnl"/>
          <w14:ligatures w14:val="standardContextual"/>
        </w:rPr>
      </w:pPr>
    </w:p>
    <w:p w14:paraId="32301AB4"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Es incuestionable entonces que en las actividades que se relacionan con el subsidio familiar - recaudo, administración de los recursos y pago a beneficiarios -, existe un interés público, por lo cual su regulación y orientación compete al Estado.  De aquí se desprenden significativas consecuencias : teniendo en cuenta que el subsidio familiar es administrado por entidades intermediarias entre los empleadores y los trabajadores,  cuya gestión compromete el interés general  por lo cual requiere no sólo ser objeto de inspección, vigilancia y control, sino de armonización de políticas generales, dicho régimen jurídico contempla expresamente normas que se refieren a la organización administración y funcionamiento de las Cajas de Compensación Familiar.</w:t>
      </w:r>
    </w:p>
    <w:p w14:paraId="7A7D3E55"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p>
    <w:p w14:paraId="31CD4601"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Actualmente, la normatividad jurídica que contempla el régimen de las cajas de compensación familiar está señalado, de manera general para todas ellas, en la ley 21 de 1982.</w:t>
      </w:r>
    </w:p>
    <w:p w14:paraId="2B036969" w14:textId="77777777" w:rsidR="00384EC6" w:rsidRPr="00983DCD" w:rsidRDefault="00384EC6" w:rsidP="00384EC6">
      <w:pPr>
        <w:spacing w:after="0" w:line="240" w:lineRule="auto"/>
        <w:ind w:right="709"/>
        <w:jc w:val="both"/>
        <w:rPr>
          <w:rFonts w:ascii="Verdana" w:eastAsia="Calibri" w:hAnsi="Verdana" w:cs="Arial"/>
          <w:color w:val="000000"/>
          <w:kern w:val="2"/>
          <w:sz w:val="20"/>
          <w:szCs w:val="20"/>
          <w:lang w:eastAsia="es-ES_tradnl"/>
          <w14:ligatures w14:val="standardContextual"/>
        </w:rPr>
      </w:pPr>
    </w:p>
    <w:p w14:paraId="3CEF9AD7"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En cuanto a la naturaleza jurídica de las entidades llamadas a la prestación de la actividad que se viene comentando, esta ley define que “las Cajas de Compensación Familiar son personas jurídicas de derecho privado sin ánimo de lucro, organizadas como corporaciones en la forma prevista en el Código Civil, cumplen funciones de seguridad social y se hallan sometidas al control y vigilancia del Estado en la forma establecida por la Ley</w:t>
      </w:r>
      <w:proofErr w:type="gramStart"/>
      <w:r w:rsidRPr="00983DCD">
        <w:rPr>
          <w:rFonts w:ascii="Verdana" w:eastAsia="Calibri" w:hAnsi="Verdana" w:cs="Arial"/>
          <w:color w:val="000000"/>
          <w:kern w:val="2"/>
          <w:sz w:val="20"/>
          <w:szCs w:val="20"/>
          <w:lang w:eastAsia="es-ES_tradnl"/>
          <w14:ligatures w14:val="standardContextual"/>
        </w:rPr>
        <w:t>.”</w:t>
      </w:r>
      <w:bookmarkStart w:id="1" w:name="_ftnref1"/>
      <w:r w:rsidRPr="00983DCD">
        <w:rPr>
          <w:rFonts w:ascii="Verdana" w:eastAsia="Calibri" w:hAnsi="Verdana" w:cs="Arial"/>
          <w:color w:val="000000"/>
          <w:kern w:val="2"/>
          <w:sz w:val="20"/>
          <w:szCs w:val="20"/>
          <w:u w:val="single"/>
          <w:vertAlign w:val="superscript"/>
          <w:lang w:eastAsia="es-ES_tradnl"/>
          <w14:ligatures w14:val="standardContextual"/>
        </w:rPr>
        <w:t>[</w:t>
      </w:r>
      <w:proofErr w:type="gramEnd"/>
      <w:r w:rsidRPr="00983DCD">
        <w:rPr>
          <w:rFonts w:ascii="Verdana" w:eastAsia="Calibri" w:hAnsi="Verdana" w:cs="Arial"/>
          <w:color w:val="000000"/>
          <w:kern w:val="2"/>
          <w:sz w:val="20"/>
          <w:szCs w:val="20"/>
          <w:u w:val="single"/>
          <w:vertAlign w:val="superscript"/>
          <w:lang w:eastAsia="es-ES_tradnl"/>
          <w14:ligatures w14:val="standardContextual"/>
        </w:rPr>
        <w:t>1]</w:t>
      </w:r>
      <w:bookmarkEnd w:id="1"/>
    </w:p>
    <w:p w14:paraId="4F13FEB3"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 </w:t>
      </w:r>
    </w:p>
    <w:p w14:paraId="4D1EF5A3"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Las cajas de compensación familiar obtienen su personería jurídica de la Superintendencia de Subsidio Familiar y están sometidas a su inspección y vigilancia, mas no se adscriben ni vinculan a ningún organismo de la Administración Pública.</w:t>
      </w:r>
    </w:p>
    <w:p w14:paraId="37C25B89" w14:textId="77777777" w:rsidR="00384EC6" w:rsidRPr="00983DCD" w:rsidRDefault="00384EC6" w:rsidP="00384EC6">
      <w:pPr>
        <w:spacing w:after="0" w:line="276" w:lineRule="auto"/>
        <w:jc w:val="both"/>
        <w:rPr>
          <w:rFonts w:ascii="Verdana" w:eastAsia="Calibri" w:hAnsi="Verdana" w:cs="Arial"/>
          <w:color w:val="000000"/>
          <w:kern w:val="2"/>
          <w:lang w:eastAsia="es-ES_tradnl"/>
          <w14:ligatures w14:val="standardContextual"/>
        </w:rPr>
      </w:pPr>
    </w:p>
    <w:p w14:paraId="363E7122" w14:textId="77777777" w:rsidR="00384EC6" w:rsidRPr="00983DCD" w:rsidRDefault="00384EC6" w:rsidP="00384EC6">
      <w:pPr>
        <w:spacing w:after="0" w:line="276" w:lineRule="auto"/>
        <w:ind w:firstLine="709"/>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lastRenderedPageBreak/>
        <w:t>De igual manera, la Sala de Consulta y Servicio Civil del Consejo de Estado, mediante Concepto 1763 del 15 de agosto de 2006</w:t>
      </w:r>
      <w:r w:rsidRPr="00FA5A6F">
        <w:rPr>
          <w:rFonts w:ascii="Verdana" w:eastAsia="Calibri" w:hAnsi="Verdana" w:cs="Arial"/>
          <w:color w:val="000000"/>
          <w:kern w:val="2"/>
          <w:vertAlign w:val="superscript"/>
          <w:lang w:eastAsia="es-ES_tradnl"/>
          <w14:ligatures w14:val="standardContextual"/>
        </w:rPr>
        <w:footnoteReference w:id="5"/>
      </w:r>
      <w:r w:rsidRPr="00983DCD">
        <w:rPr>
          <w:rFonts w:ascii="Verdana" w:eastAsia="Calibri" w:hAnsi="Verdana" w:cs="Arial"/>
          <w:color w:val="000000"/>
          <w:kern w:val="2"/>
          <w:lang w:eastAsia="es-ES_tradnl"/>
          <w14:ligatures w14:val="standardContextual"/>
        </w:rPr>
        <w:t xml:space="preserve">, realizó las siguientes precisiones sobre las Cajas de Compensación Familiar: </w:t>
      </w:r>
    </w:p>
    <w:p w14:paraId="14870171" w14:textId="77777777" w:rsidR="00384EC6" w:rsidRPr="00983DCD" w:rsidRDefault="00384EC6" w:rsidP="00384EC6">
      <w:pPr>
        <w:spacing w:after="0" w:line="276" w:lineRule="auto"/>
        <w:jc w:val="both"/>
        <w:rPr>
          <w:rFonts w:ascii="Verdana" w:eastAsia="Calibri" w:hAnsi="Verdana" w:cs="Arial"/>
          <w:color w:val="000000"/>
          <w:kern w:val="2"/>
          <w:lang w:eastAsia="es-ES_tradnl"/>
          <w14:ligatures w14:val="standardContextual"/>
        </w:rPr>
      </w:pPr>
    </w:p>
    <w:p w14:paraId="1A4F0898"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“Las Cajas de Compensación Familiar nacen paralelamente con el sistema de subsidio familiar, que en un principio se concibió como fruto de la libertad de los patronos o del acuerdo entre éstos y sus trabajadores.</w:t>
      </w:r>
    </w:p>
    <w:p w14:paraId="65098010"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w:t>
      </w:r>
    </w:p>
    <w:p w14:paraId="3882E5A4"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 a partir del decreto 118 de 1957, las Cajas de Compensación Familiar se conformaron como corporaciones de acuerdo con lo dispuesto en el Código Civil, con personería jurídica, cuya creación dependía de la voluntad de asociación de los empleadores.</w:t>
      </w:r>
    </w:p>
    <w:p w14:paraId="10B099C6"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p>
    <w:p w14:paraId="6208088F"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Sin embargo, fue mediante la ley 21 de 1982, por la cual se modificó el régimen del subsidio familiar, que el legislador definió el subsidio familiar como una prestación social de obligatorio pago a través de las Cajas de Compensación Familiar, por parte de todos los empleadores del sector público o privado que tuvieran uno o más trabajadores de carácter permanente […].</w:t>
      </w:r>
    </w:p>
    <w:p w14:paraId="693D48AA" w14:textId="77777777" w:rsidR="00384EC6" w:rsidRPr="00983DCD" w:rsidRDefault="00384EC6" w:rsidP="00384EC6">
      <w:pPr>
        <w:spacing w:after="0" w:line="240" w:lineRule="auto"/>
        <w:ind w:left="709" w:right="709"/>
        <w:jc w:val="both"/>
        <w:rPr>
          <w:rFonts w:ascii="Verdana" w:eastAsia="Calibri" w:hAnsi="Verdana" w:cs="Arial"/>
          <w:color w:val="000000"/>
          <w:kern w:val="2"/>
          <w:sz w:val="20"/>
          <w:szCs w:val="20"/>
          <w:lang w:eastAsia="es-ES_tradnl"/>
          <w14:ligatures w14:val="standardContextual"/>
        </w:rPr>
      </w:pPr>
      <w:r w:rsidRPr="00983DCD">
        <w:rPr>
          <w:rFonts w:ascii="Verdana" w:eastAsia="Calibri" w:hAnsi="Verdana" w:cs="Arial"/>
          <w:color w:val="000000"/>
          <w:kern w:val="2"/>
          <w:sz w:val="20"/>
          <w:szCs w:val="20"/>
          <w:lang w:eastAsia="es-ES_tradnl"/>
          <w14:ligatures w14:val="standardContextual"/>
        </w:rPr>
        <w:t>[…]</w:t>
      </w:r>
    </w:p>
    <w:p w14:paraId="6F197F1E" w14:textId="77777777" w:rsidR="00384EC6" w:rsidRPr="00983DCD" w:rsidRDefault="00384EC6" w:rsidP="00384EC6">
      <w:pPr>
        <w:spacing w:after="0" w:line="240" w:lineRule="auto"/>
        <w:ind w:left="709" w:right="709"/>
        <w:jc w:val="both"/>
        <w:rPr>
          <w:rFonts w:ascii="Verdana" w:eastAsia="Calibri" w:hAnsi="Verdana" w:cs="Arial"/>
          <w:b/>
          <w:bCs/>
          <w:kern w:val="2"/>
          <w:sz w:val="20"/>
          <w:szCs w:val="20"/>
          <w:lang w:eastAsia="es-ES_tradnl"/>
          <w14:ligatures w14:val="standardContextual"/>
        </w:rPr>
      </w:pPr>
      <w:r w:rsidRPr="00983DCD">
        <w:rPr>
          <w:rFonts w:ascii="Verdana" w:eastAsia="Calibri" w:hAnsi="Verdana" w:cs="Arial"/>
          <w:kern w:val="2"/>
          <w:sz w:val="20"/>
          <w:szCs w:val="20"/>
          <w:lang w:eastAsia="es-ES_tradnl"/>
          <w14:ligatures w14:val="standardContextual"/>
        </w:rPr>
        <w:t xml:space="preserve">En cuanto al ámbito funcional de las Cajas, es importante señalar que el artículo 41 de la ley 21, les asignó atribuciones relativas al </w:t>
      </w:r>
      <w:r w:rsidRPr="00983DCD">
        <w:rPr>
          <w:rFonts w:ascii="Verdana" w:eastAsia="Calibri" w:hAnsi="Verdana" w:cs="Arial"/>
          <w:b/>
          <w:bCs/>
          <w:kern w:val="2"/>
          <w:sz w:val="20"/>
          <w:szCs w:val="20"/>
          <w:lang w:eastAsia="es-ES_tradnl"/>
          <w14:ligatures w14:val="standardContextual"/>
        </w:rPr>
        <w:t xml:space="preserve">recaudo, distribución y pago </w:t>
      </w:r>
      <w:r w:rsidRPr="00983DCD">
        <w:rPr>
          <w:rFonts w:ascii="Verdana" w:eastAsia="Calibri" w:hAnsi="Verdana" w:cs="Arial"/>
          <w:kern w:val="2"/>
          <w:sz w:val="20"/>
          <w:szCs w:val="20"/>
          <w:lang w:eastAsia="es-ES_tradnl"/>
          <w14:ligatures w14:val="standardContextual"/>
        </w:rPr>
        <w:t xml:space="preserve">de los aportes destinados al </w:t>
      </w:r>
      <w:r w:rsidRPr="00983DCD">
        <w:rPr>
          <w:rFonts w:ascii="Verdana" w:eastAsia="Calibri" w:hAnsi="Verdana" w:cs="Arial"/>
          <w:b/>
          <w:bCs/>
          <w:kern w:val="2"/>
          <w:sz w:val="20"/>
          <w:szCs w:val="20"/>
          <w:lang w:eastAsia="es-ES_tradnl"/>
          <w14:ligatures w14:val="standardContextual"/>
        </w:rPr>
        <w:t xml:space="preserve">subsidio familiar, </w:t>
      </w:r>
      <w:r w:rsidRPr="00983DCD">
        <w:rPr>
          <w:rFonts w:ascii="Verdana" w:eastAsia="Calibri" w:hAnsi="Verdana" w:cs="Arial"/>
          <w:kern w:val="2"/>
          <w:sz w:val="20"/>
          <w:szCs w:val="20"/>
          <w:lang w:eastAsia="es-ES_tradnl"/>
          <w14:ligatures w14:val="standardContextual"/>
        </w:rPr>
        <w:t xml:space="preserve">Servicio Nacional de Aprendizaje (SENA), Escuela Superior de Administración Pública (ESAP), escuelas industriales </w:t>
      </w:r>
      <w:proofErr w:type="spellStart"/>
      <w:r w:rsidRPr="00983DCD">
        <w:rPr>
          <w:rFonts w:ascii="Verdana" w:eastAsia="Calibri" w:hAnsi="Verdana" w:cs="Arial"/>
          <w:kern w:val="2"/>
          <w:sz w:val="20"/>
          <w:szCs w:val="20"/>
          <w:lang w:eastAsia="es-ES_tradnl"/>
          <w14:ligatures w14:val="standardContextual"/>
        </w:rPr>
        <w:t>etc</w:t>
      </w:r>
      <w:proofErr w:type="spellEnd"/>
      <w:r w:rsidRPr="00983DCD">
        <w:rPr>
          <w:rFonts w:ascii="Verdana" w:eastAsia="Calibri" w:hAnsi="Verdana" w:cs="Arial"/>
          <w:kern w:val="2"/>
          <w:sz w:val="20"/>
          <w:szCs w:val="20"/>
          <w:lang w:eastAsia="es-ES_tradnl"/>
          <w14:ligatures w14:val="standardContextual"/>
        </w:rPr>
        <w:t xml:space="preserve">, lo que significa que desde aquel entonces y actualmente en los términos del artículo 3° de la ley 610 de 2000, estos entes realizan </w:t>
      </w:r>
      <w:r w:rsidRPr="00983DCD">
        <w:rPr>
          <w:rFonts w:ascii="Verdana" w:eastAsia="Calibri" w:hAnsi="Verdana" w:cs="Arial"/>
          <w:b/>
          <w:bCs/>
          <w:i/>
          <w:iCs/>
          <w:kern w:val="2"/>
          <w:sz w:val="20"/>
          <w:szCs w:val="20"/>
          <w:u w:val="single"/>
          <w:lang w:eastAsia="es-ES_tradnl"/>
          <w14:ligatures w14:val="standardContextual"/>
        </w:rPr>
        <w:t>gestión fiscal</w:t>
      </w:r>
      <w:r w:rsidRPr="00983DCD">
        <w:rPr>
          <w:rFonts w:ascii="Verdana" w:eastAsia="Calibri" w:hAnsi="Verdana" w:cs="Arial"/>
          <w:i/>
          <w:iCs/>
          <w:kern w:val="2"/>
          <w:sz w:val="20"/>
          <w:szCs w:val="20"/>
          <w:lang w:eastAsia="es-ES_tradnl"/>
          <w14:ligatures w14:val="standardContextual"/>
        </w:rPr>
        <w:t xml:space="preserve"> </w:t>
      </w:r>
      <w:r w:rsidRPr="00983DCD">
        <w:rPr>
          <w:rFonts w:ascii="Verdana" w:eastAsia="Calibri" w:hAnsi="Verdana" w:cs="Arial"/>
          <w:kern w:val="2"/>
          <w:sz w:val="20"/>
          <w:szCs w:val="20"/>
          <w:lang w:eastAsia="es-ES_tradnl"/>
          <w14:ligatures w14:val="standardContextual"/>
        </w:rPr>
        <w:t xml:space="preserve">sobre los recursos del </w:t>
      </w:r>
      <w:r w:rsidRPr="00983DCD">
        <w:rPr>
          <w:rFonts w:ascii="Verdana" w:eastAsia="Calibri" w:hAnsi="Verdana" w:cs="Arial"/>
          <w:b/>
          <w:bCs/>
          <w:kern w:val="2"/>
          <w:sz w:val="20"/>
          <w:szCs w:val="20"/>
          <w:lang w:eastAsia="es-ES_tradnl"/>
          <w14:ligatures w14:val="standardContextual"/>
        </w:rPr>
        <w:t>subsidio familiar</w:t>
      </w:r>
      <w:r w:rsidRPr="00983DCD">
        <w:rPr>
          <w:rFonts w:ascii="Verdana" w:eastAsia="Calibri" w:hAnsi="Verdana" w:cs="Arial"/>
          <w:kern w:val="2"/>
          <w:sz w:val="20"/>
          <w:szCs w:val="20"/>
          <w:lang w:eastAsia="es-ES_tradnl"/>
          <w14:ligatures w14:val="standardContextual"/>
        </w:rPr>
        <w:t>.” [Negrillas propias, cursiva y subraya fuera de texto]</w:t>
      </w:r>
    </w:p>
    <w:p w14:paraId="402E882D" w14:textId="77777777" w:rsidR="00384EC6" w:rsidRPr="00983DCD" w:rsidRDefault="00384EC6" w:rsidP="00384EC6">
      <w:pPr>
        <w:spacing w:after="0" w:line="276" w:lineRule="auto"/>
        <w:jc w:val="both"/>
        <w:rPr>
          <w:rFonts w:ascii="Verdana" w:eastAsia="Calibri" w:hAnsi="Verdana" w:cs="Arial"/>
          <w:color w:val="000000"/>
          <w:kern w:val="2"/>
          <w:lang w:eastAsia="es-ES_tradnl"/>
          <w14:ligatures w14:val="standardContextual"/>
        </w:rPr>
      </w:pPr>
    </w:p>
    <w:p w14:paraId="542AFDF0" w14:textId="77777777" w:rsidR="00384EC6" w:rsidRPr="00983DCD" w:rsidRDefault="00384EC6" w:rsidP="00384EC6">
      <w:pPr>
        <w:spacing w:after="120" w:line="276" w:lineRule="auto"/>
        <w:ind w:firstLine="709"/>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 xml:space="preserve">Estas entidades, pese a ser privadas y sin ánimo de lucro, forman parte del sistema de seguridad social y actúan bajo un régimen de vigilancia, inspección y control estatal. Su naturaleza jurídica se ha configurado alrededor de la idea de que cumplen funciones de interés público, en especial, en la administración de recursos parafiscales y en la prestación de servicios sociales complementarios. Esto implica que, aunque no integran la estructura orgánica del Estado, sí están sometidas a un marco regulatorio estricto que garantiza </w:t>
      </w:r>
      <w:r w:rsidRPr="00983DCD">
        <w:rPr>
          <w:rFonts w:ascii="Verdana" w:eastAsia="Calibri" w:hAnsi="Verdana" w:cs="Arial"/>
          <w:color w:val="000000"/>
          <w:kern w:val="2"/>
          <w:lang w:eastAsia="es-ES_tradnl"/>
          <w14:ligatures w14:val="standardContextual"/>
        </w:rPr>
        <w:lastRenderedPageBreak/>
        <w:t>transparencia, destinación específica de los recursos y sujeción a los fines constitucionales de la seguridad social.</w:t>
      </w:r>
    </w:p>
    <w:p w14:paraId="105CC6FE" w14:textId="77777777" w:rsidR="00384EC6" w:rsidRPr="00983DCD" w:rsidRDefault="00384EC6" w:rsidP="00384EC6">
      <w:pPr>
        <w:spacing w:after="0" w:line="276" w:lineRule="auto"/>
        <w:ind w:firstLine="709"/>
        <w:jc w:val="both"/>
        <w:rPr>
          <w:rFonts w:ascii="Verdana" w:eastAsia="Calibri" w:hAnsi="Verdana" w:cs="Arial"/>
          <w:color w:val="000000"/>
          <w:kern w:val="2"/>
          <w:lang w:eastAsia="es-ES_tradnl"/>
          <w14:ligatures w14:val="standardContextual"/>
        </w:rPr>
      </w:pPr>
      <w:r w:rsidRPr="00983DCD">
        <w:rPr>
          <w:rFonts w:ascii="Verdana" w:eastAsia="Calibri" w:hAnsi="Verdana" w:cs="Arial"/>
          <w:color w:val="000000"/>
          <w:kern w:val="2"/>
          <w:lang w:eastAsia="es-ES_tradnl"/>
          <w14:ligatures w14:val="standardContextual"/>
        </w:rPr>
        <w:t xml:space="preserve">Con el tiempo, su papel se ha ampliado hacia la colaboración funcional con el Estado, convirtiéndose en instituciones que coadyuvan en la gestión del servicio público de seguridad social. Esta colaboración no las transforma en entidades estatales, pero sí justifica una intervención más intensa del Estado en su operación, en virtud de la protección del interés general, la adecuada administración de los aportes parafiscales y la garantía de acceso equitativo a los beneficios sociales que administran. Al respecto, la doctrina ha expresado las características de estas instituciones: </w:t>
      </w:r>
    </w:p>
    <w:p w14:paraId="524AB9D7" w14:textId="77777777" w:rsidR="00384EC6" w:rsidRPr="00983DCD" w:rsidRDefault="00384EC6" w:rsidP="00384EC6">
      <w:pPr>
        <w:spacing w:after="0" w:line="276" w:lineRule="auto"/>
        <w:ind w:firstLine="709"/>
        <w:jc w:val="both"/>
        <w:rPr>
          <w:rFonts w:ascii="Verdana" w:eastAsia="Calibri" w:hAnsi="Verdana" w:cs="Arial"/>
          <w:color w:val="000000"/>
          <w:kern w:val="2"/>
          <w:lang w:eastAsia="es-ES_tradnl"/>
          <w14:ligatures w14:val="standardContextual"/>
        </w:rPr>
      </w:pPr>
    </w:p>
    <w:p w14:paraId="17C85675" w14:textId="77777777" w:rsidR="00384EC6" w:rsidRPr="00983DCD" w:rsidRDefault="00384EC6" w:rsidP="00384EC6">
      <w:pPr>
        <w:autoSpaceDE w:val="0"/>
        <w:autoSpaceDN w:val="0"/>
        <w:adjustRightInd w:val="0"/>
        <w:spacing w:after="0" w:line="240" w:lineRule="auto"/>
        <w:ind w:left="709" w:right="709"/>
        <w:jc w:val="both"/>
        <w:rPr>
          <w:rFonts w:ascii="Verdana" w:hAnsi="Verdana" w:cs="Palatino-Roman"/>
          <w:sz w:val="20"/>
          <w:szCs w:val="20"/>
        </w:rPr>
      </w:pPr>
      <w:r w:rsidRPr="00983DCD">
        <w:rPr>
          <w:rFonts w:ascii="Verdana" w:hAnsi="Verdana" w:cs="Palatino-Roman"/>
          <w:sz w:val="20"/>
          <w:szCs w:val="20"/>
        </w:rPr>
        <w:t>Las cajas de compensación familiar se caracterizan porque tienen un régimen jurídico de derecho privado de tipo corporativo; son instituciones sin ánimo de lucro que colaboran con el Estado en la administración del servicio público de la seguridad social; fueron creadas voluntariamente por</w:t>
      </w:r>
    </w:p>
    <w:p w14:paraId="7BA988D0" w14:textId="77777777" w:rsidR="00384EC6" w:rsidRPr="00983DCD" w:rsidRDefault="00384EC6" w:rsidP="00384EC6">
      <w:pPr>
        <w:autoSpaceDE w:val="0"/>
        <w:autoSpaceDN w:val="0"/>
        <w:adjustRightInd w:val="0"/>
        <w:spacing w:after="0" w:line="240" w:lineRule="auto"/>
        <w:ind w:left="709" w:right="709"/>
        <w:jc w:val="both"/>
        <w:rPr>
          <w:rFonts w:ascii="Verdana" w:hAnsi="Verdana" w:cs="Palatino-Roman"/>
          <w:sz w:val="20"/>
          <w:szCs w:val="20"/>
        </w:rPr>
      </w:pPr>
      <w:r w:rsidRPr="00983DCD">
        <w:rPr>
          <w:rFonts w:ascii="Verdana" w:hAnsi="Verdana" w:cs="Palatino-Roman"/>
          <w:sz w:val="20"/>
          <w:szCs w:val="20"/>
        </w:rPr>
        <w:t xml:space="preserve">particulares, pero tienen buena parte de su actividad regulada por el Estado; son entidades de participación obrero patronal en cuanto a su administración; son organismos de solidaridad y compensación, reguladas por sus estatutos y por las normas que reglamentan la prestación social del subsidio familiar, el servicio público de la seguridad social y otros servicios en cuya administración también participan; forman parte de los sistemas de seguridad social y de la protección social; tienen una administración paritaria, en cuyos consejos directivos participan igual número de representantes de los empleadores y de los trabajadores; están reguladas, inspeccionadas, vigiladas y controladas por el Estado, y participan en la ejecución de las políticas sociales establecidas por el Estado, no solo en lo relacionado con el subsidio familiar, el trabajo y la seguridad social, sino también con los servicios de salud, educación, la vivienda, la recreación, el crédito, la capacitación para el trabajo y la </w:t>
      </w:r>
      <w:r w:rsidRPr="00983DCD">
        <w:rPr>
          <w:rFonts w:ascii="Verdana" w:eastAsia="Calibri" w:hAnsi="Verdana" w:cs="Arial"/>
          <w:color w:val="000000"/>
          <w:kern w:val="2"/>
          <w:sz w:val="20"/>
          <w:szCs w:val="20"/>
          <w:lang w:eastAsia="es-ES_tradnl"/>
          <w14:ligatures w14:val="standardContextual"/>
        </w:rPr>
        <w:t>protección a los desempleados</w:t>
      </w:r>
      <w:r w:rsidRPr="00FA5A6F">
        <w:rPr>
          <w:rFonts w:ascii="Verdana" w:eastAsia="Calibri" w:hAnsi="Verdana" w:cs="Arial"/>
          <w:color w:val="000000"/>
          <w:kern w:val="2"/>
          <w:sz w:val="20"/>
          <w:szCs w:val="20"/>
          <w:vertAlign w:val="superscript"/>
          <w:lang w:eastAsia="es-ES_tradnl"/>
          <w14:ligatures w14:val="standardContextual"/>
        </w:rPr>
        <w:footnoteReference w:id="6"/>
      </w:r>
      <w:r w:rsidRPr="00983DCD">
        <w:rPr>
          <w:rFonts w:ascii="Verdana" w:eastAsia="Calibri" w:hAnsi="Verdana" w:cs="Arial"/>
          <w:color w:val="000000"/>
          <w:kern w:val="2"/>
          <w:sz w:val="20"/>
          <w:szCs w:val="20"/>
          <w:lang w:eastAsia="es-ES_tradnl"/>
          <w14:ligatures w14:val="standardContextual"/>
        </w:rPr>
        <w:t>.</w:t>
      </w:r>
    </w:p>
    <w:p w14:paraId="31F28A40" w14:textId="77777777" w:rsidR="00384EC6" w:rsidRPr="00983DCD" w:rsidRDefault="00384EC6" w:rsidP="00384EC6">
      <w:pPr>
        <w:spacing w:after="0" w:line="276" w:lineRule="auto"/>
        <w:jc w:val="both"/>
        <w:rPr>
          <w:rFonts w:ascii="Verdana" w:eastAsia="Calibri" w:hAnsi="Verdana" w:cs="Arial"/>
          <w:color w:val="000000"/>
          <w:kern w:val="2"/>
          <w:lang w:eastAsia="es-ES_tradnl"/>
          <w14:ligatures w14:val="standardContextual"/>
        </w:rPr>
      </w:pPr>
    </w:p>
    <w:p w14:paraId="40AE884D" w14:textId="77777777" w:rsidR="00384EC6" w:rsidRPr="00983DCD" w:rsidRDefault="00384EC6" w:rsidP="00384EC6">
      <w:pPr>
        <w:spacing w:after="0" w:line="276" w:lineRule="auto"/>
        <w:ind w:firstLine="708"/>
        <w:jc w:val="both"/>
        <w:rPr>
          <w:rFonts w:ascii="Verdana" w:eastAsia="Calibri" w:hAnsi="Verdana" w:cs="Arial"/>
          <w:kern w:val="2"/>
          <w:lang w:eastAsia="es-ES_tradnl"/>
          <w14:ligatures w14:val="standardContextual"/>
        </w:rPr>
      </w:pPr>
      <w:r w:rsidRPr="00983DCD">
        <w:rPr>
          <w:rFonts w:ascii="Verdana" w:eastAsia="Calibri" w:hAnsi="Verdana" w:cs="Arial"/>
          <w:color w:val="000000"/>
          <w:kern w:val="2"/>
          <w:lang w:eastAsia="es-ES_tradnl"/>
          <w14:ligatures w14:val="standardContextual"/>
        </w:rPr>
        <w:t xml:space="preserve">Ahora bien, el Consejo de Estado sobre la naturaleza de los aportes que reciben dichas Cajas, en su calidad de administradoras del subsidio familiar, enfatizó que la legislación y la jurisprudencia le han otorgado la </w:t>
      </w:r>
      <w:r w:rsidRPr="00983DCD">
        <w:rPr>
          <w:rFonts w:ascii="Verdana" w:eastAsia="Calibri" w:hAnsi="Verdana" w:cs="Arial"/>
          <w:kern w:val="2"/>
          <w:lang w:eastAsia="es-ES_tradnl"/>
          <w14:ligatures w14:val="standardContextual"/>
        </w:rPr>
        <w:t>calidad de recursos parafiscales</w:t>
      </w:r>
      <w:r w:rsidRPr="00983DCD">
        <w:rPr>
          <w:rFonts w:ascii="Verdana" w:eastAsia="Calibri" w:hAnsi="Verdana" w:cs="Arial"/>
          <w:kern w:val="2"/>
          <w:vertAlign w:val="superscript"/>
          <w:lang w:eastAsia="es-ES_tradnl"/>
          <w14:ligatures w14:val="standardContextual"/>
        </w:rPr>
        <w:footnoteReference w:id="7"/>
      </w:r>
      <w:r w:rsidRPr="00983DCD">
        <w:rPr>
          <w:rFonts w:ascii="Verdana" w:eastAsia="Calibri" w:hAnsi="Verdana" w:cs="Arial"/>
          <w:kern w:val="2"/>
          <w:lang w:eastAsia="es-ES_tradnl"/>
          <w14:ligatures w14:val="standardContextual"/>
        </w:rPr>
        <w:t xml:space="preserve">. Apreciación, que se confirma con lo dispuesto en el </w:t>
      </w:r>
      <w:r w:rsidRPr="00983DCD">
        <w:rPr>
          <w:rFonts w:ascii="Verdana" w:eastAsia="Calibri" w:hAnsi="Verdana" w:cs="Arial"/>
          <w:kern w:val="2"/>
          <w:lang w:eastAsia="es-ES_tradnl"/>
          <w14:ligatures w14:val="standardContextual"/>
        </w:rPr>
        <w:lastRenderedPageBreak/>
        <w:t>artículo 2.2.7.5.3.2 del Decreto 1072 de 2015 –Decreto Único Reglamentario del Sector Trabajo– que señaló:</w:t>
      </w:r>
    </w:p>
    <w:p w14:paraId="02AFBDA8" w14:textId="77777777" w:rsidR="00384EC6" w:rsidRPr="00983DCD" w:rsidRDefault="00384EC6" w:rsidP="00384EC6">
      <w:pPr>
        <w:spacing w:after="0" w:line="276" w:lineRule="auto"/>
        <w:jc w:val="both"/>
        <w:rPr>
          <w:rFonts w:ascii="Verdana" w:eastAsia="Calibri" w:hAnsi="Verdana" w:cs="Arial"/>
          <w:kern w:val="2"/>
          <w:lang w:eastAsia="es-ES_tradnl"/>
          <w14:ligatures w14:val="standardContextual"/>
        </w:rPr>
      </w:pPr>
    </w:p>
    <w:p w14:paraId="2B0B74AE" w14:textId="77777777" w:rsidR="00384EC6" w:rsidRPr="00983DCD" w:rsidRDefault="00384EC6" w:rsidP="00384EC6">
      <w:pPr>
        <w:spacing w:after="0" w:line="240" w:lineRule="auto"/>
        <w:ind w:left="709" w:right="709"/>
        <w:jc w:val="both"/>
        <w:rPr>
          <w:rFonts w:ascii="Verdana" w:eastAsia="Calibri" w:hAnsi="Verdana" w:cs="Arial"/>
          <w:kern w:val="2"/>
          <w:sz w:val="20"/>
          <w:szCs w:val="20"/>
          <w:lang w:eastAsia="es-ES_tradnl"/>
          <w14:ligatures w14:val="standardContextual"/>
        </w:rPr>
      </w:pPr>
      <w:r w:rsidRPr="00983DCD">
        <w:rPr>
          <w:rFonts w:ascii="Verdana" w:eastAsia="Calibri" w:hAnsi="Verdana" w:cs="Arial"/>
          <w:kern w:val="2"/>
          <w:sz w:val="20"/>
          <w:szCs w:val="20"/>
          <w:lang w:eastAsia="es-ES_tradnl"/>
          <w14:ligatures w14:val="standardContextual"/>
        </w:rPr>
        <w:t>“Artículo 2.2.7.5.3.2. Afectación de los recursos administrados por las cajas de compensación familiar. Los recursos que administran las Cajas de Compensación Familiar están destinados a la atención de las prestaciones y servicios de la seguridad social y demás finalidades que prevea la ley y no podrán comprometerse para fines diferentes.</w:t>
      </w:r>
    </w:p>
    <w:p w14:paraId="7187F5DA" w14:textId="77777777" w:rsidR="00384EC6" w:rsidRPr="00983DCD" w:rsidRDefault="00384EC6" w:rsidP="00384EC6">
      <w:pPr>
        <w:spacing w:after="0" w:line="240" w:lineRule="auto"/>
        <w:ind w:left="709" w:right="709"/>
        <w:jc w:val="both"/>
        <w:rPr>
          <w:rFonts w:ascii="Verdana" w:eastAsia="Calibri" w:hAnsi="Verdana" w:cs="Arial"/>
          <w:kern w:val="2"/>
          <w:sz w:val="20"/>
          <w:szCs w:val="20"/>
          <w:lang w:eastAsia="es-ES_tradnl"/>
          <w14:ligatures w14:val="standardContextual"/>
        </w:rPr>
      </w:pPr>
    </w:p>
    <w:p w14:paraId="07EF9759" w14:textId="77777777" w:rsidR="00384EC6" w:rsidRPr="00983DCD" w:rsidRDefault="00384EC6" w:rsidP="00384EC6">
      <w:pPr>
        <w:spacing w:after="0" w:line="240" w:lineRule="auto"/>
        <w:ind w:left="709" w:right="709"/>
        <w:jc w:val="both"/>
        <w:rPr>
          <w:rFonts w:ascii="Verdana" w:eastAsia="Calibri" w:hAnsi="Verdana" w:cs="Arial"/>
          <w:kern w:val="2"/>
          <w:sz w:val="20"/>
          <w:szCs w:val="20"/>
          <w:lang w:eastAsia="es-ES_tradnl"/>
          <w14:ligatures w14:val="standardContextual"/>
        </w:rPr>
      </w:pPr>
      <w:r w:rsidRPr="00983DCD">
        <w:rPr>
          <w:rFonts w:ascii="Verdana" w:eastAsia="Calibri" w:hAnsi="Verdana" w:cs="Arial"/>
          <w:i/>
          <w:iCs/>
          <w:kern w:val="2"/>
          <w:sz w:val="20"/>
          <w:szCs w:val="20"/>
          <w:lang w:eastAsia="es-ES_tradnl"/>
          <w14:ligatures w14:val="standardContextual"/>
        </w:rPr>
        <w:t xml:space="preserve">Los que provengan de los aportes obligatorios pagados por los empleadores y por las cooperativas de trabajo asociado tienen la condición de </w:t>
      </w:r>
      <w:r w:rsidRPr="00983DCD">
        <w:rPr>
          <w:rFonts w:ascii="Verdana" w:eastAsia="Calibri" w:hAnsi="Verdana" w:cs="Arial"/>
          <w:i/>
          <w:iCs/>
          <w:kern w:val="2"/>
          <w:sz w:val="20"/>
          <w:szCs w:val="20"/>
          <w:u w:val="single"/>
          <w:lang w:eastAsia="es-ES_tradnl"/>
          <w14:ligatures w14:val="standardContextual"/>
        </w:rPr>
        <w:t>recursos parafiscales</w:t>
      </w:r>
      <w:r w:rsidRPr="00983DCD">
        <w:rPr>
          <w:rFonts w:ascii="Verdana" w:eastAsia="Calibri" w:hAnsi="Verdana" w:cs="Arial"/>
          <w:i/>
          <w:iCs/>
          <w:kern w:val="2"/>
          <w:sz w:val="20"/>
          <w:szCs w:val="20"/>
          <w:lang w:eastAsia="es-ES_tradnl"/>
          <w14:ligatures w14:val="standardContextual"/>
        </w:rPr>
        <w:t xml:space="preserve"> y como tales, su administración se rige por las disposiciones legales correspondientes.</w:t>
      </w:r>
      <w:r w:rsidRPr="00983DCD">
        <w:rPr>
          <w:rFonts w:ascii="Verdana" w:eastAsia="Calibri" w:hAnsi="Verdana" w:cs="Arial"/>
          <w:b/>
          <w:bCs/>
          <w:i/>
          <w:iCs/>
          <w:kern w:val="2"/>
          <w:sz w:val="20"/>
          <w:szCs w:val="20"/>
          <w:lang w:eastAsia="es-ES_tradnl"/>
          <w14:ligatures w14:val="standardContextual"/>
        </w:rPr>
        <w:t xml:space="preserve"> </w:t>
      </w:r>
      <w:r w:rsidRPr="00983DCD">
        <w:rPr>
          <w:rFonts w:ascii="Verdana" w:eastAsia="Calibri" w:hAnsi="Verdana" w:cs="Arial"/>
          <w:kern w:val="2"/>
          <w:sz w:val="20"/>
          <w:szCs w:val="20"/>
          <w:lang w:eastAsia="es-ES_tradnl"/>
          <w14:ligatures w14:val="standardContextual"/>
        </w:rPr>
        <w:t>[…]” [Énfasis fuera de texto]</w:t>
      </w:r>
    </w:p>
    <w:p w14:paraId="0D8DDB38" w14:textId="77777777" w:rsidR="00384EC6" w:rsidRPr="00983DCD" w:rsidRDefault="00384EC6" w:rsidP="00384EC6">
      <w:pPr>
        <w:spacing w:after="0" w:line="276" w:lineRule="auto"/>
        <w:jc w:val="both"/>
        <w:rPr>
          <w:rFonts w:ascii="Verdana" w:eastAsia="Calibri" w:hAnsi="Verdana" w:cs="Arial"/>
          <w:kern w:val="2"/>
          <w:lang w:eastAsia="es-ES_tradnl"/>
          <w14:ligatures w14:val="standardContextual"/>
        </w:rPr>
      </w:pPr>
    </w:p>
    <w:p w14:paraId="161FBB6D" w14:textId="77777777" w:rsidR="00384EC6" w:rsidRPr="00983DCD" w:rsidRDefault="00384EC6" w:rsidP="00384EC6">
      <w:pPr>
        <w:spacing w:after="0" w:line="276" w:lineRule="auto"/>
        <w:jc w:val="both"/>
        <w:rPr>
          <w:rFonts w:ascii="Verdana" w:eastAsia="Calibri" w:hAnsi="Verdana" w:cs="Arial"/>
          <w:kern w:val="2"/>
          <w:lang w:eastAsia="es-ES_tradnl"/>
          <w14:ligatures w14:val="standardContextual"/>
        </w:rPr>
      </w:pPr>
      <w:r w:rsidRPr="00983DCD">
        <w:rPr>
          <w:rFonts w:ascii="Verdana" w:eastAsia="Calibri" w:hAnsi="Verdana" w:cs="Arial"/>
          <w:kern w:val="2"/>
          <w:lang w:eastAsia="es-ES_tradnl"/>
          <w14:ligatures w14:val="standardContextual"/>
        </w:rPr>
        <w:tab/>
        <w:t>En ese orden, para el Consejo de Estado, los recursos de carácter parafiscal que administran las Cajas de Compensación Familiar son de naturaleza pública, en tanto constituyen una fuente de financiación que el Estado consagra en beneficio de un sector, aunque desde la perspectiva presupuestal no integran el Presupuesto General de la Nación</w:t>
      </w:r>
      <w:r w:rsidRPr="00983DCD">
        <w:rPr>
          <w:rFonts w:ascii="Verdana" w:eastAsia="Times New Roman" w:hAnsi="Verdana" w:cs="Arial"/>
          <w:i/>
          <w:vertAlign w:val="superscript"/>
          <w:lang w:val="es-ES" w:eastAsia="es-ES"/>
        </w:rPr>
        <w:footnoteReference w:id="8"/>
      </w:r>
      <w:r w:rsidRPr="00983DCD">
        <w:rPr>
          <w:rFonts w:ascii="Verdana" w:eastAsia="Times New Roman" w:hAnsi="Verdana" w:cs="Arial"/>
          <w:i/>
          <w:lang w:val="es-ES" w:eastAsia="es-ES"/>
        </w:rPr>
        <w:t>.</w:t>
      </w:r>
      <w:r w:rsidRPr="00983DCD">
        <w:rPr>
          <w:rFonts w:ascii="Verdana" w:eastAsia="Calibri" w:hAnsi="Verdana" w:cs="Arial"/>
          <w:kern w:val="2"/>
          <w:lang w:eastAsia="es-ES_tradnl"/>
          <w14:ligatures w14:val="standardContextual"/>
        </w:rPr>
        <w:t>Teniendo en cuenta tanto la función principal que desempeñan las Cajas de Compensación Familiar como la naturaleza pública de los recursos parafiscales que administran, a continuación, se analizará la forma de cómo se seleccionan dichas entidades.</w:t>
      </w:r>
    </w:p>
    <w:p w14:paraId="5A661465" w14:textId="77777777" w:rsidR="00384EC6" w:rsidRPr="00983DCD" w:rsidRDefault="00384EC6" w:rsidP="00384EC6">
      <w:pPr>
        <w:spacing w:after="0" w:line="276" w:lineRule="auto"/>
        <w:jc w:val="both"/>
        <w:rPr>
          <w:rFonts w:ascii="Verdana" w:eastAsia="Calibri" w:hAnsi="Verdana" w:cs="Arial"/>
          <w:kern w:val="2"/>
          <w:lang w:eastAsia="es-ES_tradnl"/>
          <w14:ligatures w14:val="standardContextual"/>
        </w:rPr>
      </w:pPr>
    </w:p>
    <w:p w14:paraId="192951B1" w14:textId="77777777" w:rsidR="00384EC6" w:rsidRPr="00983DCD" w:rsidRDefault="00384EC6" w:rsidP="00384EC6">
      <w:pPr>
        <w:spacing w:after="120" w:line="276" w:lineRule="auto"/>
        <w:jc w:val="both"/>
        <w:rPr>
          <w:rFonts w:ascii="Verdana" w:eastAsia="Calibri" w:hAnsi="Verdana" w:cs="Arial"/>
          <w:kern w:val="2"/>
          <w:lang w:eastAsia="es-ES_tradnl"/>
          <w14:ligatures w14:val="standardContextual"/>
        </w:rPr>
      </w:pPr>
      <w:proofErr w:type="spellStart"/>
      <w:r w:rsidRPr="00983DCD">
        <w:rPr>
          <w:rFonts w:ascii="Verdana" w:eastAsia="Calibri" w:hAnsi="Verdana" w:cs="Arial"/>
          <w:kern w:val="2"/>
          <w:lang w:eastAsia="es-ES_tradnl"/>
          <w14:ligatures w14:val="standardContextual"/>
        </w:rPr>
        <w:t>ii</w:t>
      </w:r>
      <w:proofErr w:type="spellEnd"/>
      <w:r w:rsidRPr="00983DCD">
        <w:rPr>
          <w:rFonts w:ascii="Verdana" w:eastAsia="Calibri" w:hAnsi="Verdana" w:cs="Arial"/>
          <w:kern w:val="2"/>
          <w:lang w:eastAsia="es-ES_tradnl"/>
          <w14:ligatures w14:val="standardContextual"/>
        </w:rPr>
        <w:t>. La obligación de afiliarse a una Caja de Compensación Familiar se fundamenta en el artículo 7 de la Ley 21 de 1982</w:t>
      </w:r>
      <w:r w:rsidRPr="00FA5A6F">
        <w:rPr>
          <w:rFonts w:ascii="Verdana" w:eastAsia="Calibri" w:hAnsi="Verdana" w:cs="Arial"/>
          <w:kern w:val="2"/>
          <w:vertAlign w:val="superscript"/>
          <w:lang w:eastAsia="es-ES_tradnl"/>
          <w14:ligatures w14:val="standardContextual"/>
        </w:rPr>
        <w:footnoteReference w:id="9"/>
      </w:r>
      <w:r w:rsidRPr="00983DCD">
        <w:rPr>
          <w:rFonts w:ascii="Verdana" w:eastAsia="Calibri" w:hAnsi="Verdana" w:cs="Arial"/>
          <w:kern w:val="2"/>
          <w:lang w:eastAsia="es-ES_tradnl"/>
          <w14:ligatures w14:val="standardContextual"/>
        </w:rPr>
        <w:t xml:space="preserve">, que impone a la Nación, a los departamentos, al Distrito Capital, a los municipios, a los establecimientos públicos, a las empresas industriales y comerciales del Estado, a las sociedades </w:t>
      </w:r>
      <w:r w:rsidRPr="00983DCD">
        <w:rPr>
          <w:rFonts w:ascii="Verdana" w:eastAsia="Calibri" w:hAnsi="Verdana" w:cs="Arial"/>
          <w:kern w:val="2"/>
          <w:lang w:eastAsia="es-ES_tradnl"/>
          <w14:ligatures w14:val="standardContextual"/>
        </w:rPr>
        <w:lastRenderedPageBreak/>
        <w:t>de economía mixta en todos los niveles territoriales y a todo empleador con uno o más trabajadores permanentes el deber de pagar el subsidio familiar y efectuar aportes al SENA; dicha afiliación debe realizarse exclusivamente ante la caja que opere en el lugar donde se causan los salarios, sin posibilidad de distribuir aportes entre varias entidades ni de efectuar giros parciales por grupos de trabajadores, de modo que la caja afiliada reconoce y gira el subsidio familiar a la totalidad de los trabajadores que acrediten el derecho conforme a la ley.</w:t>
      </w:r>
    </w:p>
    <w:p w14:paraId="612FB576"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La afiliación de una entidad pública a una Caja de Compensación Familiar no constituye un proceso sometido al régimen de contratación estatal. La razón es que el aporte del 4 % previsto en los artículos 11 y 12 de la Ley 21 de 1982 tiene naturaleza parafiscal, se causa por mandato legal y no implica la adquisición de bienes o servicios. En consecuencia, no existe un objeto contractual que active procedimientos de selección, ni se configura una relación negocial que pueda ubicarse dentro del Estatuto General de Contratación ni dentro del régimen especial del Decreto 92 de 2017 para la contratación con entidades sin ánimo de lucro de reconocida idoneidad.</w:t>
      </w:r>
    </w:p>
    <w:p w14:paraId="7E51589D"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El carácter obligatorio y legalmente predeterminado de la afiliación excluye cualquier margen de discrecionalidad contractual. La entidad pública no decide si paga o no, ni negocia condiciones, ni escoge entre alternativas de prestación de un servicio. Simplemente cumple una obligación derivada de su calidad de empleadora. De este modo, los aportes parafiscales no se contratan, porque no dependen de la voluntad de las partes sino de la ley, y su pago no genera un vínculo contractual sino una relación de derecho público propia de una obligación legal. Ahora bien, frente a la afiliación en las Cajas de Compensación Familiar, es pertinente acudir al artículo 57 de la 21 de 1982, cuyo tenor literal prescribe:</w:t>
      </w:r>
    </w:p>
    <w:p w14:paraId="11C17CB1" w14:textId="77777777" w:rsidR="00384EC6" w:rsidRPr="00983DCD" w:rsidRDefault="00384EC6" w:rsidP="00384EC6">
      <w:pPr>
        <w:widowControl w:val="0"/>
        <w:autoSpaceDE w:val="0"/>
        <w:autoSpaceDN w:val="0"/>
        <w:spacing w:after="0" w:line="240" w:lineRule="auto"/>
        <w:ind w:left="709" w:right="709" w:firstLine="709"/>
        <w:jc w:val="both"/>
        <w:rPr>
          <w:rFonts w:ascii="Verdana" w:eastAsia="Times New Roman" w:hAnsi="Verdana" w:cs="Arial"/>
          <w:lang w:eastAsia="es-ES_tradnl"/>
        </w:rPr>
      </w:pPr>
    </w:p>
    <w:p w14:paraId="46D95D4E"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w:t>
      </w:r>
      <w:r w:rsidRPr="00983DCD">
        <w:rPr>
          <w:rFonts w:ascii="Verdana" w:eastAsia="Times New Roman" w:hAnsi="Verdana" w:cs="Arial"/>
          <w:sz w:val="20"/>
          <w:szCs w:val="20"/>
          <w:lang w:eastAsia="es-ES_tradnl"/>
        </w:rPr>
        <w:t>Artículo 57. Afiliación a las Cajas de Compensación Familiar. Las Cajas de Compensación Familiar tienen la obligación de afiliar a todo empleador, trabajador independiente y pensionado, quienes deben acreditar la siguiente información:  </w:t>
      </w:r>
    </w:p>
    <w:p w14:paraId="1BDD4C5C"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 </w:t>
      </w:r>
    </w:p>
    <w:p w14:paraId="13C722CB"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a. En el caso de los empleadores:  </w:t>
      </w:r>
    </w:p>
    <w:p w14:paraId="598E7027"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1. Nombre del empleador, domicilio, identificación, lugar donde se causen los salarios y manifestación sobre si estaba o no afiliado a alguna Caja de Compensación Familiar con anterioridad a la solicitud.  </w:t>
      </w:r>
    </w:p>
    <w:p w14:paraId="48718107"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 xml:space="preserve">2. En caso de que el empleador sea persona jurídica, el certificado de </w:t>
      </w:r>
      <w:r w:rsidRPr="00983DCD">
        <w:rPr>
          <w:rFonts w:ascii="Verdana" w:eastAsia="Times New Roman" w:hAnsi="Verdana" w:cs="Arial"/>
          <w:sz w:val="20"/>
          <w:szCs w:val="20"/>
          <w:lang w:eastAsia="es-ES_tradnl"/>
        </w:rPr>
        <w:lastRenderedPageBreak/>
        <w:t>existencia de representación legal, expedido por la Cámara de Comercio del domicilio social, el cual puede ser consultado por la Caja a través de medios electrónicos en los términos previstos en este Decreto; en caso de ser persona natural, fotocopia de la cédula de ciudanía.  </w:t>
      </w:r>
    </w:p>
    <w:p w14:paraId="456FC2DC"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3. Certificado de paz y salvo, en el caso de afiliación anterior a otra caja, y  </w:t>
      </w:r>
    </w:p>
    <w:p w14:paraId="6B93392D"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4. Relación de trabajadores y salarios, para el caso de los empleadores.  </w:t>
      </w:r>
    </w:p>
    <w:p w14:paraId="0A056997"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b. En caso de los trabajadores independientes y pensionados:  </w:t>
      </w:r>
    </w:p>
    <w:p w14:paraId="0CB06B40"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1. Carta de solicitud con nombre completo del solicitante, domicilio, identificación, lugar de residencia, valor mensual de ingresos y declaración de la fuente de los ingresos y manifestación sobre si estaba o no afiliado a alguna Caja de Compensación Familiar con anterioridad a solicitud. En caso de hacerse la afiliación a través del SAT, el formulario único se entenderá como cumplido el presente requisito.  </w:t>
      </w:r>
    </w:p>
    <w:p w14:paraId="670F1BDD"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2. Copia del documento de identificación, en caso de no tener acceso al SAT.  </w:t>
      </w:r>
    </w:p>
    <w:p w14:paraId="49ACCE2B"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3. Certificado de paz y salvo, en el caso de afiliación anterior a otra caja, y  </w:t>
      </w:r>
    </w:p>
    <w:p w14:paraId="056E1C25"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4. En el caso de los pensionados, último reporte de pago de la mesada pensiona</w:t>
      </w:r>
      <w:r>
        <w:rPr>
          <w:rFonts w:ascii="Verdana" w:eastAsia="Times New Roman" w:hAnsi="Verdana" w:cs="Arial"/>
          <w:sz w:val="20"/>
          <w:szCs w:val="20"/>
          <w:lang w:eastAsia="es-ES_tradnl"/>
        </w:rPr>
        <w:t>”</w:t>
      </w:r>
      <w:r w:rsidRPr="00983DCD">
        <w:rPr>
          <w:rFonts w:ascii="Verdana" w:eastAsia="Times New Roman" w:hAnsi="Verdana" w:cs="Arial"/>
          <w:sz w:val="20"/>
          <w:szCs w:val="20"/>
          <w:lang w:eastAsia="es-ES_tradnl"/>
        </w:rPr>
        <w:t>.  </w:t>
      </w:r>
    </w:p>
    <w:p w14:paraId="6C3A66B8"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p>
    <w:p w14:paraId="1783924A"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A partir de la disposición precitada, las afiliaciones a las cajas de compensación familiar corresponden exclusivamente a los empleadores, trabajadores independientes y pensionados. En el caso de los empleadores, la solicitud debe incluir la relación de trabajadores y sus salarios, lo que evidencia que el sistema asigna a estos la responsabilidad directa sobre la afiliación de su personal. De esta regulación se infiere que el ordenamiento jurídico no habilita a los trabajadores dependientes para gestionar individualmente su afiliación a una caja de compensación. Por el contrario, su vinculación queda supeditada a la elección institucional del empleador, quien determina la caja a la cual se afilia la empresa. En consecuencia, tampoco existe la posibilidad de que el trabajador dependiente solicite su traslado a otra caja de compensación, dado que dicho trámite también es competencia exclusiva del empleador.</w:t>
      </w:r>
    </w:p>
    <w:p w14:paraId="2D8FD4A9"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 xml:space="preserve">En este escenario, la elección de la afiliación le corresponde al empleador, sin perjuicio de que su selección tenga en cuenta las opiniones de sus empleados, por lo que no existe un proceso competitivo ni un análisis comparativo entre cajas. Esa ausencia de discrecionalidad elimina la necesidad —y la posibilidad jurídica— de adelantar un procedimiento de selección pública, pues no hay pluralidad de oferentes ni criterios de evaluación que la </w:t>
      </w:r>
      <w:r w:rsidRPr="00983DCD">
        <w:rPr>
          <w:rFonts w:ascii="Verdana" w:eastAsia="Times New Roman" w:hAnsi="Verdana" w:cs="Arial"/>
          <w:lang w:eastAsia="es-ES_tradnl"/>
        </w:rPr>
        <w:lastRenderedPageBreak/>
        <w:t>administración pueda ponderar.</w:t>
      </w:r>
    </w:p>
    <w:p w14:paraId="01DE1E95"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El acto de afiliación, por tanto, es un trámite administrativo de cumplimiento obligatorio. La entidad debe verificar la existencia y habilitación legal de la Caja de Compensación Familiar seleccionada. Al respecto, la doctrina expresa: “La afiliación es un acto jurídico que da origen a una relación de seguridad social de cuya operación se generan derechos y obligaciones para las partes, a tal punto que cuando haya incumplimiento de algunas de ellas la responsabilidad se revierte y produce la desafiliación del empleador y sus trabajadores de la corporación, quedando esta nuevamente en cabeza del patrono”</w:t>
      </w:r>
      <w:r w:rsidRPr="00FA5A6F">
        <w:rPr>
          <w:rFonts w:ascii="Verdana" w:eastAsia="Times New Roman" w:hAnsi="Verdana" w:cs="Arial"/>
          <w:vertAlign w:val="superscript"/>
          <w:lang w:eastAsia="es-ES_tradnl"/>
        </w:rPr>
        <w:footnoteReference w:id="10"/>
      </w:r>
      <w:r w:rsidRPr="00983DCD">
        <w:rPr>
          <w:rFonts w:ascii="Verdana" w:eastAsia="Times New Roman" w:hAnsi="Verdana" w:cs="Arial"/>
          <w:lang w:eastAsia="es-ES_tradnl"/>
        </w:rPr>
        <w:t>.</w:t>
      </w:r>
    </w:p>
    <w:p w14:paraId="4147DCAC"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Ahora bien, para determinar la Caja de Compensación es necesario acudir el artículo 15 de la Ley 21 de 1982, la cual establece que los empleadores obligados a aportar al subsidio familiar, al SENA y a otras destinaciones especiales deben realizar dichos pagos a través de una Caja de Compensación Familiar ubicada en la ciudad o localidad donde se generan los salarios, o, en su defecto, en la caja más cercana dentro del mismo departamento, intendencia o comisaría; si no existiera ninguna en esas entidades territoriales, los aportes se harán mediante la caja de la división territorial más próxima, exceptuándose únicamente a los empleadores del sector primario, quienes se rigen por lo previsto en el artículo 70. Así mismo, el artículo 2.2.7.2.1.7 del Decreto 1072 de 2015, prevé:</w:t>
      </w:r>
    </w:p>
    <w:p w14:paraId="7CE98235"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p>
    <w:p w14:paraId="2535264A"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 xml:space="preserve">“Para efectos de la aplicación del artículo 15 de la Ley 21 de 1982, se entiende que sólo en ausencia de una caja de compensación familiar que funcione en la ciudad o localidad donde se causen los salarios, el empleador podrá optar por una caja que funcione dentro de la ciudad o localidad más próxima dentro de los límites de los respectivos departamentos, intendencias o comisarías.  </w:t>
      </w:r>
    </w:p>
    <w:p w14:paraId="030AA241"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Se entiende que una Caja opera en una localidad cuando cumpla con las funciones señaladas en el artículo 41 de la Ley 21 de 1982, especialmente en lo que respecta al pago de subsidio en dinero, especie y servicios a los trabajadores beneficiarios”.</w:t>
      </w:r>
    </w:p>
    <w:p w14:paraId="49FF4206"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p>
    <w:p w14:paraId="6094B2AD"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 xml:space="preserve">Del artículo precitado, se encuentra que la afiliación de un empleador a la Caja de Compensación Familiar está determinada por dos condiciones: en primer </w:t>
      </w:r>
      <w:r w:rsidRPr="00983DCD">
        <w:rPr>
          <w:rFonts w:ascii="Verdana" w:eastAsia="Times New Roman" w:hAnsi="Verdana" w:cs="Arial"/>
          <w:lang w:eastAsia="es-ES_tradnl"/>
        </w:rPr>
        <w:lastRenderedPageBreak/>
        <w:t>lugar, el de la territorialidad y, en segundo lugar, el de causación de los salarios según el cual la afiliación debe hacerse a la Caja que funcione en la ciudad o localidad donde se causan los salarios de sus trabajadores. El primero es una condición que se establece para las Cajas de Compensación Familiar, que depende del lugar de su constitución. El segundo es una condición que se exige del afiliado, en tanto que depende de las reglas particulares de afiliación.</w:t>
      </w:r>
      <w:bookmarkStart w:id="2" w:name="ver_30039491"/>
      <w:bookmarkEnd w:id="2"/>
      <w:r w:rsidRPr="00983DCD">
        <w:rPr>
          <w:rFonts w:ascii="Verdana" w:eastAsia="Times New Roman" w:hAnsi="Verdana" w:cs="Arial"/>
          <w:lang w:eastAsia="es-ES_tradnl"/>
        </w:rPr>
        <w:t xml:space="preserve"> En esta línea, para determinar la Caja de Compensación Familiar más cercana, es necesario tener en cuenta el artículo 2.2.7.2.1.8 del Decreto 1072 de 2015, el cual dispone: </w:t>
      </w:r>
    </w:p>
    <w:p w14:paraId="4397872A"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p>
    <w:p w14:paraId="27293AD0"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w:t>
      </w:r>
      <w:r w:rsidRPr="00983DCD">
        <w:rPr>
          <w:rFonts w:ascii="Verdana" w:eastAsia="Times New Roman" w:hAnsi="Verdana" w:cs="Arial"/>
          <w:sz w:val="20"/>
          <w:szCs w:val="20"/>
          <w:lang w:eastAsia="es-ES_tradnl"/>
        </w:rPr>
        <w:t>Para definir cuál es la caja de compensación más cercana a determinada ciudad o localidad, se tendrá en cuenta el número de kilómetros por carretera con servicio público de transporte establecido. </w:t>
      </w:r>
    </w:p>
    <w:p w14:paraId="73C20E42"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En los casos en que no exista carretera con la condición mencionada, o haya comunicación fluvial o aérea de servicio público que demande menor tiempo y dinero para el trabajador, se tomará como base el medio que resulte más favorable a éste. </w:t>
      </w:r>
    </w:p>
    <w:p w14:paraId="76A9EBDD" w14:textId="77777777" w:rsidR="00384EC6" w:rsidRPr="00983DCD" w:rsidRDefault="00384EC6" w:rsidP="00384EC6">
      <w:pPr>
        <w:widowControl w:val="0"/>
        <w:autoSpaceDE w:val="0"/>
        <w:autoSpaceDN w:val="0"/>
        <w:spacing w:after="0" w:line="240" w:lineRule="auto"/>
        <w:ind w:left="709" w:right="709"/>
        <w:jc w:val="both"/>
        <w:rPr>
          <w:rFonts w:ascii="Verdana" w:eastAsia="Times New Roman" w:hAnsi="Verdana" w:cs="Arial"/>
          <w:sz w:val="20"/>
          <w:szCs w:val="20"/>
          <w:lang w:eastAsia="es-ES_tradnl"/>
        </w:rPr>
      </w:pPr>
      <w:r w:rsidRPr="00983DCD">
        <w:rPr>
          <w:rFonts w:ascii="Verdana" w:eastAsia="Times New Roman" w:hAnsi="Verdana" w:cs="Arial"/>
          <w:sz w:val="20"/>
          <w:szCs w:val="20"/>
          <w:lang w:eastAsia="es-ES_tradnl"/>
        </w:rPr>
        <w:t>En caso de duda, la Superintendencia se pronunciará sobre el particular, con base en concepto de la Secretaría de Obras Públicas de la región o la entidad oficial competente</w:t>
      </w:r>
      <w:r>
        <w:rPr>
          <w:rFonts w:ascii="Verdana" w:eastAsia="Times New Roman" w:hAnsi="Verdana" w:cs="Arial"/>
          <w:sz w:val="20"/>
          <w:szCs w:val="20"/>
          <w:lang w:eastAsia="es-ES_tradnl"/>
        </w:rPr>
        <w:t>”</w:t>
      </w:r>
      <w:r w:rsidRPr="00983DCD">
        <w:rPr>
          <w:rFonts w:ascii="Verdana" w:eastAsia="Times New Roman" w:hAnsi="Verdana" w:cs="Arial"/>
          <w:sz w:val="20"/>
          <w:szCs w:val="20"/>
          <w:lang w:eastAsia="es-ES_tradnl"/>
        </w:rPr>
        <w:t>.</w:t>
      </w:r>
    </w:p>
    <w:p w14:paraId="6FCA8115"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p>
    <w:p w14:paraId="46C6EFF3" w14:textId="77777777" w:rsidR="00384EC6" w:rsidRPr="00983DCD" w:rsidRDefault="00384EC6" w:rsidP="00384EC6">
      <w:pPr>
        <w:widowControl w:val="0"/>
        <w:autoSpaceDE w:val="0"/>
        <w:autoSpaceDN w:val="0"/>
        <w:spacing w:after="12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 xml:space="preserve">La incorporación de estos elementos asegura la debida trazabilidad y el control institucional, sin convertir la afiliación a una Caja de Compensación Familiar en un vínculo de naturaleza contractual, figura que jurídicamente no corresponde. En consecuencia, la afiliación de una entidad pública como empleadora a una caja de compensación constituye un deber legal asociado a los gastos de personal y no un contrato estatal en sentido estricto, la cual debe cumplir con las exigencias y requisitos definidos en la Ley 21 de 1982, Decreto 1072 de 2015, así como las demás normas que lo regulen.  </w:t>
      </w:r>
    </w:p>
    <w:p w14:paraId="58F017B7" w14:textId="77777777" w:rsidR="00384EC6" w:rsidRPr="00983DCD" w:rsidRDefault="00384EC6" w:rsidP="00384EC6">
      <w:pPr>
        <w:widowControl w:val="0"/>
        <w:autoSpaceDE w:val="0"/>
        <w:autoSpaceDN w:val="0"/>
        <w:spacing w:after="0" w:line="276" w:lineRule="auto"/>
        <w:ind w:firstLine="709"/>
        <w:jc w:val="both"/>
        <w:rPr>
          <w:rFonts w:ascii="Verdana" w:eastAsia="Times New Roman" w:hAnsi="Verdana" w:cs="Arial"/>
          <w:lang w:eastAsia="es-ES_tradnl"/>
        </w:rPr>
      </w:pPr>
      <w:r w:rsidRPr="00983DCD">
        <w:rPr>
          <w:rFonts w:ascii="Verdana" w:eastAsia="Times New Roman" w:hAnsi="Verdana" w:cs="Arial"/>
          <w:lang w:eastAsia="es-ES_tradnl"/>
        </w:rPr>
        <w:t xml:space="preserve">Esto, sin perjuicio de la posibilidad de que las cajas de compensación familiar participen como oferentes en procesos de contratación pública permanece intacta, pues en esos escenarios actúan como entidades privadas que prestan servicios y compiten en igualdad de condiciones con otros proveedores. Su intervención en licitaciones, invitaciones públicas o procesos del Decreto 092 de 2017 se rige por las reglas propias del régimen contractual aplicable y no guarda relación con la afiliación obligatoria derivada de los gastos de personal. De este modo, la participación contractual es completamente </w:t>
      </w:r>
      <w:r w:rsidRPr="00983DCD">
        <w:rPr>
          <w:rFonts w:ascii="Verdana" w:eastAsia="Times New Roman" w:hAnsi="Verdana" w:cs="Arial"/>
          <w:lang w:eastAsia="es-ES_tradnl"/>
        </w:rPr>
        <w:lastRenderedPageBreak/>
        <w:t xml:space="preserve">independiente del trámite administrativo de afiliación, el cual conserva su naturaleza no contractual y responde a un deber legal de la entidad pública como empleadora. </w:t>
      </w:r>
    </w:p>
    <w:p w14:paraId="0DCAAA8A" w14:textId="77777777" w:rsidR="00384EC6" w:rsidRPr="00983DCD" w:rsidRDefault="00384EC6" w:rsidP="00384EC6">
      <w:pPr>
        <w:widowControl w:val="0"/>
        <w:autoSpaceDE w:val="0"/>
        <w:autoSpaceDN w:val="0"/>
        <w:spacing w:after="0" w:line="276" w:lineRule="auto"/>
        <w:jc w:val="both"/>
        <w:rPr>
          <w:rFonts w:ascii="Verdana" w:eastAsia="Times New Roman" w:hAnsi="Verdana" w:cs="Arial"/>
          <w:lang w:eastAsia="es-ES_tradnl"/>
        </w:rPr>
      </w:pPr>
    </w:p>
    <w:p w14:paraId="32FD288E" w14:textId="77777777" w:rsidR="00384EC6" w:rsidRPr="00983DCD" w:rsidRDefault="00384EC6" w:rsidP="00384EC6">
      <w:pPr>
        <w:spacing w:after="120" w:line="276" w:lineRule="auto"/>
        <w:jc w:val="both"/>
        <w:rPr>
          <w:rFonts w:ascii="Verdana" w:eastAsia="Arial" w:hAnsi="Verdana" w:cs="Arial"/>
          <w:bCs/>
          <w:color w:val="000000" w:themeColor="text1"/>
        </w:rPr>
      </w:pPr>
      <w:proofErr w:type="spellStart"/>
      <w:r w:rsidRPr="00983DCD">
        <w:rPr>
          <w:rFonts w:ascii="Verdana" w:eastAsia="Calibri" w:hAnsi="Verdana" w:cs="Arial"/>
          <w:bCs/>
          <w:color w:val="000000" w:themeColor="text1"/>
        </w:rPr>
        <w:t>iii</w:t>
      </w:r>
      <w:proofErr w:type="spellEnd"/>
      <w:r w:rsidRPr="00983DCD">
        <w:rPr>
          <w:rFonts w:ascii="Verdana" w:eastAsia="Calibri" w:hAnsi="Verdana" w:cs="Arial"/>
          <w:bCs/>
          <w:color w:val="000000" w:themeColor="text1"/>
        </w:rPr>
        <w:t>. 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509A0CF" w14:textId="77777777" w:rsidR="00384EC6" w:rsidRPr="00983DCD" w:rsidRDefault="00384EC6" w:rsidP="00384EC6">
      <w:pPr>
        <w:spacing w:after="0" w:line="276" w:lineRule="auto"/>
        <w:ind w:firstLine="708"/>
        <w:jc w:val="both"/>
        <w:rPr>
          <w:rFonts w:ascii="Verdana" w:hAnsi="Verdana" w:cs="Arial"/>
          <w:color w:val="000000" w:themeColor="text1"/>
        </w:rPr>
      </w:pPr>
      <w:r w:rsidRPr="00983DC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D6AFB24"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lang w:val="es-ES"/>
        </w:rPr>
      </w:pPr>
    </w:p>
    <w:p w14:paraId="1C317B08"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lang w:val="es-ES"/>
        </w:rPr>
      </w:pPr>
      <w:r w:rsidRPr="00983DCD">
        <w:rPr>
          <w:rFonts w:ascii="Verdana" w:eastAsia="Century Gothic" w:hAnsi="Verdana" w:cs="Century Gothic"/>
          <w:b/>
          <w:bCs/>
          <w:lang w:val="es-ES"/>
        </w:rPr>
        <w:t>IV. Referencias normativas, jurisprudenciales y otras fuentes:</w:t>
      </w:r>
    </w:p>
    <w:p w14:paraId="3149AB6A" w14:textId="77777777" w:rsidR="00384EC6" w:rsidRPr="00983DCD" w:rsidRDefault="00384EC6" w:rsidP="00384EC6">
      <w:pPr>
        <w:widowControl w:val="0"/>
        <w:autoSpaceDE w:val="0"/>
        <w:autoSpaceDN w:val="0"/>
        <w:spacing w:after="0" w:line="276" w:lineRule="auto"/>
        <w:jc w:val="both"/>
        <w:rPr>
          <w:rFonts w:ascii="Verdana" w:eastAsia="Times New Roman" w:hAnsi="Verdana" w:cs="Arial"/>
          <w:lang w:eastAsia="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4EC6" w:rsidRPr="00983DCD" w14:paraId="5FF60973" w14:textId="77777777" w:rsidTr="00B65A6E">
        <w:trPr>
          <w:trHeight w:val="870"/>
        </w:trPr>
        <w:tc>
          <w:tcPr>
            <w:tcW w:w="8647" w:type="dxa"/>
          </w:tcPr>
          <w:p w14:paraId="7241BC40" w14:textId="77777777" w:rsidR="00384EC6" w:rsidRPr="00983DCD" w:rsidRDefault="00384EC6" w:rsidP="00384EC6">
            <w:pPr>
              <w:numPr>
                <w:ilvl w:val="0"/>
                <w:numId w:val="33"/>
              </w:numPr>
              <w:spacing w:before="120" w:after="120" w:line="276" w:lineRule="auto"/>
              <w:ind w:left="799" w:hanging="357"/>
              <w:jc w:val="both"/>
              <w:rPr>
                <w:rFonts w:ascii="Verdana" w:hAnsi="Verdana" w:cs="Arial"/>
                <w:color w:val="000000"/>
                <w:lang w:val="es-MX"/>
              </w:rPr>
            </w:pPr>
            <w:r w:rsidRPr="00983DCD">
              <w:rPr>
                <w:rFonts w:ascii="Verdana" w:hAnsi="Verdana" w:cs="Arial"/>
                <w:color w:val="000000"/>
                <w:lang w:val="es-MX"/>
              </w:rPr>
              <w:t xml:space="preserve">Ley 21 de 1982, artículos 7, 11, 12, 15, 41 y 57. </w:t>
            </w:r>
          </w:p>
          <w:p w14:paraId="5EDFCCAC" w14:textId="77777777" w:rsidR="00384EC6" w:rsidRPr="00983DCD" w:rsidRDefault="00384EC6" w:rsidP="00384EC6">
            <w:pPr>
              <w:numPr>
                <w:ilvl w:val="0"/>
                <w:numId w:val="33"/>
              </w:numPr>
              <w:spacing w:before="120" w:after="120" w:line="276" w:lineRule="auto"/>
              <w:ind w:left="799" w:hanging="357"/>
              <w:jc w:val="both"/>
              <w:rPr>
                <w:rFonts w:ascii="Verdana" w:hAnsi="Verdana" w:cs="Arial"/>
                <w:color w:val="000000"/>
                <w:lang w:val="es-MX"/>
              </w:rPr>
            </w:pPr>
            <w:r w:rsidRPr="00983DCD">
              <w:rPr>
                <w:rFonts w:ascii="Verdana" w:hAnsi="Verdana" w:cs="Arial"/>
                <w:color w:val="000000"/>
              </w:rPr>
              <w:t>Decreto 1072 de 2015, artículos 2.2.7.5.3.2, 2.2.7.2.1.7 y 2.2.7.2.1.8.</w:t>
            </w:r>
          </w:p>
          <w:p w14:paraId="4ABBD234" w14:textId="77777777" w:rsidR="00384EC6" w:rsidRPr="00983DCD" w:rsidRDefault="00384EC6" w:rsidP="00384EC6">
            <w:pPr>
              <w:numPr>
                <w:ilvl w:val="0"/>
                <w:numId w:val="33"/>
              </w:numPr>
              <w:spacing w:before="120" w:after="120" w:line="276" w:lineRule="auto"/>
              <w:jc w:val="both"/>
              <w:rPr>
                <w:rFonts w:ascii="Verdana" w:hAnsi="Verdana" w:cs="Arial"/>
                <w:color w:val="000000"/>
                <w:lang w:val="es-MX"/>
              </w:rPr>
            </w:pPr>
            <w:r w:rsidRPr="00983DCD">
              <w:rPr>
                <w:rFonts w:ascii="Verdana" w:hAnsi="Verdana" w:cs="Arial"/>
                <w:color w:val="000000"/>
                <w:lang w:val="es-MX"/>
              </w:rPr>
              <w:t xml:space="preserve">Consejo de Estado, Sala de Consulta y Servicio Civil. Concepto del 15 de agosto de 2006. C.P. Luis Fernando Álvarez Jaramillo. Rad. 1763. </w:t>
            </w:r>
          </w:p>
          <w:p w14:paraId="227BE810" w14:textId="77777777" w:rsidR="00384EC6" w:rsidRPr="00983DCD" w:rsidRDefault="00384EC6" w:rsidP="00384EC6">
            <w:pPr>
              <w:numPr>
                <w:ilvl w:val="0"/>
                <w:numId w:val="33"/>
              </w:numPr>
              <w:spacing w:before="120" w:after="120" w:line="276" w:lineRule="auto"/>
              <w:jc w:val="both"/>
              <w:rPr>
                <w:rFonts w:ascii="Verdana" w:hAnsi="Verdana" w:cs="Arial"/>
                <w:color w:val="000000"/>
                <w:lang w:val="es-MX"/>
              </w:rPr>
            </w:pPr>
            <w:r w:rsidRPr="00983DCD">
              <w:rPr>
                <w:rFonts w:ascii="Verdana" w:hAnsi="Verdana" w:cs="Arial"/>
                <w:color w:val="000000"/>
                <w:lang w:val="es-MX"/>
              </w:rPr>
              <w:t xml:space="preserve">Consejo de Estado, Sala de Consulta y Servicio Civil. Concepto del 2 de diciembre de 2015. C.P. William Zambrano Centina. Rad. 2267. </w:t>
            </w:r>
          </w:p>
          <w:p w14:paraId="0682791F" w14:textId="77777777" w:rsidR="00384EC6" w:rsidRPr="00D4350E" w:rsidRDefault="00384EC6" w:rsidP="00384EC6">
            <w:pPr>
              <w:numPr>
                <w:ilvl w:val="0"/>
                <w:numId w:val="33"/>
              </w:numPr>
              <w:spacing w:before="120" w:after="120" w:line="276" w:lineRule="auto"/>
              <w:jc w:val="both"/>
              <w:rPr>
                <w:rFonts w:ascii="Verdana" w:hAnsi="Verdana" w:cs="Arial"/>
                <w:color w:val="000000"/>
                <w:lang w:val="pt-BR"/>
              </w:rPr>
            </w:pPr>
            <w:r w:rsidRPr="00D4350E">
              <w:rPr>
                <w:rFonts w:ascii="Verdana" w:hAnsi="Verdana" w:cs="Arial"/>
                <w:color w:val="000000"/>
                <w:lang w:val="pt-BR"/>
              </w:rPr>
              <w:lastRenderedPageBreak/>
              <w:t xml:space="preserve">Corte Constitucional. Sentencia C-508 de 1997. M.P. Vladimiro </w:t>
            </w:r>
            <w:proofErr w:type="spellStart"/>
            <w:r w:rsidRPr="00D4350E">
              <w:rPr>
                <w:rFonts w:ascii="Verdana" w:hAnsi="Verdana" w:cs="Arial"/>
                <w:color w:val="000000"/>
                <w:lang w:val="pt-BR"/>
              </w:rPr>
              <w:t>Naranjo</w:t>
            </w:r>
            <w:proofErr w:type="spellEnd"/>
            <w:r w:rsidRPr="00D4350E">
              <w:rPr>
                <w:rFonts w:ascii="Verdana" w:hAnsi="Verdana" w:cs="Arial"/>
                <w:color w:val="000000"/>
                <w:lang w:val="pt-BR"/>
              </w:rPr>
              <w:t xml:space="preserve"> Mesa. </w:t>
            </w:r>
          </w:p>
          <w:p w14:paraId="566D3C6E" w14:textId="77777777" w:rsidR="00384EC6" w:rsidRPr="00983DCD" w:rsidRDefault="00384EC6" w:rsidP="00384EC6">
            <w:pPr>
              <w:numPr>
                <w:ilvl w:val="0"/>
                <w:numId w:val="33"/>
              </w:numPr>
              <w:spacing w:before="120" w:after="120" w:line="276" w:lineRule="auto"/>
              <w:jc w:val="both"/>
              <w:rPr>
                <w:rFonts w:ascii="Verdana" w:hAnsi="Verdana" w:cs="Arial"/>
                <w:color w:val="000000"/>
                <w:lang w:val="es-MX"/>
              </w:rPr>
            </w:pPr>
            <w:r w:rsidRPr="00983DCD">
              <w:rPr>
                <w:rFonts w:ascii="Verdana" w:hAnsi="Verdana" w:cs="Arial"/>
                <w:color w:val="000000"/>
                <w:lang w:val="es-MX"/>
              </w:rPr>
              <w:t xml:space="preserve">BARRERO BUITRAGO, Álvaro. Manual para el establecimiento de sociedades (4ta. ed.). Editorial Librería del Profesional. Bogotá. 2006. </w:t>
            </w:r>
          </w:p>
          <w:p w14:paraId="37B41B35" w14:textId="77777777" w:rsidR="00384EC6" w:rsidRPr="00983DCD" w:rsidRDefault="00384EC6" w:rsidP="00384EC6">
            <w:pPr>
              <w:numPr>
                <w:ilvl w:val="0"/>
                <w:numId w:val="33"/>
              </w:numPr>
              <w:spacing w:before="120" w:after="120" w:line="276" w:lineRule="auto"/>
              <w:jc w:val="both"/>
              <w:rPr>
                <w:rFonts w:ascii="Verdana" w:hAnsi="Verdana" w:cs="Arial"/>
                <w:color w:val="000000"/>
                <w:lang w:val="es-MX"/>
              </w:rPr>
            </w:pPr>
            <w:r w:rsidRPr="00983DCD">
              <w:rPr>
                <w:rFonts w:ascii="Verdana" w:hAnsi="Verdana" w:cs="Arial"/>
                <w:color w:val="000000"/>
                <w:lang w:val="es-MX"/>
              </w:rPr>
              <w:t>CAÑÓN ORTEGÓN, Leonardo. El Subsidio Familiar y las Cajas de Compensación Familiar en las Políticas Sociales de Colombia. Bogotá: Universidad Externado de Colombia, 2022.</w:t>
            </w:r>
          </w:p>
          <w:p w14:paraId="13849287" w14:textId="77777777" w:rsidR="00384EC6" w:rsidRPr="00983DCD" w:rsidRDefault="00384EC6" w:rsidP="00384EC6">
            <w:pPr>
              <w:numPr>
                <w:ilvl w:val="0"/>
                <w:numId w:val="33"/>
              </w:numPr>
              <w:spacing w:before="120" w:after="120" w:line="276" w:lineRule="auto"/>
              <w:jc w:val="both"/>
              <w:rPr>
                <w:rFonts w:ascii="Verdana" w:hAnsi="Verdana" w:cs="Arial"/>
                <w:color w:val="000000"/>
                <w:lang w:val="es-MX"/>
              </w:rPr>
            </w:pPr>
            <w:r w:rsidRPr="00983DCD">
              <w:rPr>
                <w:rFonts w:ascii="Verdana" w:hAnsi="Verdana" w:cs="Arial"/>
                <w:color w:val="000000"/>
                <w:lang w:val="es-MX"/>
              </w:rPr>
              <w:t>TORRENTE BAYONA, César y BUSTAMANTE, Luis Eduardo. Las entidades sin ánimo de lucro (3ª Ed.). Bogotá: Cámara de Comercio de Bogotá, 2000.</w:t>
            </w:r>
          </w:p>
        </w:tc>
      </w:tr>
    </w:tbl>
    <w:p w14:paraId="7CD57AC2" w14:textId="77777777" w:rsidR="00384EC6" w:rsidRPr="00983DCD" w:rsidRDefault="00384EC6" w:rsidP="00384EC6">
      <w:pPr>
        <w:widowControl w:val="0"/>
        <w:autoSpaceDE w:val="0"/>
        <w:autoSpaceDN w:val="0"/>
        <w:spacing w:after="0" w:line="276" w:lineRule="auto"/>
        <w:jc w:val="both"/>
        <w:rPr>
          <w:rFonts w:ascii="Verdana" w:eastAsia="Times New Roman" w:hAnsi="Verdana" w:cs="Arial"/>
          <w:lang w:eastAsia="es-ES_tradnl"/>
        </w:rPr>
      </w:pPr>
    </w:p>
    <w:p w14:paraId="24D35997" w14:textId="77777777" w:rsidR="00384EC6" w:rsidRPr="00983DCD" w:rsidRDefault="00384EC6" w:rsidP="00384EC6">
      <w:pPr>
        <w:tabs>
          <w:tab w:val="left" w:pos="142"/>
          <w:tab w:val="left" w:pos="284"/>
        </w:tabs>
        <w:spacing w:after="0" w:line="276" w:lineRule="auto"/>
        <w:jc w:val="both"/>
        <w:rPr>
          <w:rFonts w:ascii="Verdana" w:eastAsia="Century Gothic" w:hAnsi="Verdana" w:cs="Century Gothic"/>
          <w:b/>
          <w:bCs/>
          <w:sz w:val="24"/>
          <w:szCs w:val="24"/>
          <w:lang w:eastAsia="es-ES_tradnl"/>
        </w:rPr>
      </w:pPr>
      <w:r w:rsidRPr="00983DCD">
        <w:rPr>
          <w:rFonts w:ascii="Verdana" w:eastAsia="Century Gothic" w:hAnsi="Verdana" w:cs="Century Gothic"/>
          <w:b/>
          <w:bCs/>
          <w:sz w:val="24"/>
          <w:szCs w:val="24"/>
          <w:lang w:eastAsia="es-ES_tradnl"/>
        </w:rPr>
        <w:t>V. Doctrina de la Agencia Nacional de Contratación Pública:</w:t>
      </w:r>
    </w:p>
    <w:p w14:paraId="5B20CC19" w14:textId="77777777" w:rsidR="00384EC6" w:rsidRPr="00FA5A6F" w:rsidRDefault="00384EC6" w:rsidP="00384EC6">
      <w:pPr>
        <w:widowControl w:val="0"/>
        <w:autoSpaceDE w:val="0"/>
        <w:autoSpaceDN w:val="0"/>
        <w:spacing w:after="0" w:line="276" w:lineRule="auto"/>
        <w:jc w:val="both"/>
        <w:rPr>
          <w:rFonts w:ascii="Verdana" w:eastAsia="Times New Roman" w:hAnsi="Verdana" w:cs="Arial"/>
          <w:color w:val="FF0000"/>
          <w:shd w:val="clear" w:color="auto" w:fill="FFFFFF"/>
          <w:lang w:val="es-ES" w:eastAsia="es-ES_tradnl"/>
        </w:rPr>
      </w:pPr>
    </w:p>
    <w:p w14:paraId="1442B78C" w14:textId="77777777" w:rsidR="00384EC6" w:rsidRPr="00983DCD" w:rsidRDefault="00384EC6" w:rsidP="00384EC6">
      <w:pPr>
        <w:widowControl w:val="0"/>
        <w:autoSpaceDE w:val="0"/>
        <w:autoSpaceDN w:val="0"/>
        <w:spacing w:after="0" w:line="276" w:lineRule="auto"/>
        <w:jc w:val="both"/>
        <w:rPr>
          <w:rFonts w:ascii="Verdana" w:hAnsi="Verdana" w:cs="Arial"/>
          <w:shd w:val="clear" w:color="auto" w:fill="FFFFFF"/>
        </w:rPr>
      </w:pPr>
      <w:r w:rsidRPr="00983DCD">
        <w:rPr>
          <w:rFonts w:ascii="Verdana" w:eastAsia="Calibri" w:hAnsi="Verdana" w:cs="Times New Roman"/>
          <w:lang w:val="es-ES"/>
        </w:rPr>
        <w:t xml:space="preserve">En torno a las Cajas de Compensación Familiar se han expedido los conceptos C-294 de 2025, C-778 de 2025, C-866 de 2025 y C-908 de 2025, entre otros. En todo caso, este concepto revisa la naturaleza jurídica, características y particularidades de las Cajas de Compensación Familiar. </w:t>
      </w:r>
      <w:r w:rsidRPr="00983DC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E882EE1" w14:textId="77777777" w:rsidR="00384EC6" w:rsidRPr="00983DCD" w:rsidRDefault="00384EC6" w:rsidP="00384EC6">
      <w:pPr>
        <w:spacing w:after="0" w:line="256" w:lineRule="auto"/>
        <w:jc w:val="both"/>
        <w:rPr>
          <w:rFonts w:ascii="Verdana" w:eastAsia="Calibri" w:hAnsi="Verdana" w:cs="Times New Roman"/>
        </w:rPr>
      </w:pPr>
      <w:hyperlink r:id="rId15" w:history="1">
        <w:r w:rsidRPr="00983DCD">
          <w:rPr>
            <w:rFonts w:ascii="Verdana" w:eastAsia="Calibri" w:hAnsi="Verdana" w:cs="Times New Roman"/>
            <w:color w:val="0000FF"/>
            <w:u w:val="single"/>
            <w:lang w:val="es-ES"/>
          </w:rPr>
          <w:t>https://relatoria.colombiacompra.gov.co/busqueda/conceptos</w:t>
        </w:r>
      </w:hyperlink>
      <w:r w:rsidRPr="00983DCD">
        <w:rPr>
          <w:rFonts w:ascii="Verdana" w:eastAsia="Calibri" w:hAnsi="Verdana" w:cs="Times New Roman"/>
        </w:rPr>
        <w:t xml:space="preserve">. </w:t>
      </w:r>
    </w:p>
    <w:p w14:paraId="297B5058" w14:textId="77777777" w:rsidR="00384EC6" w:rsidRPr="00983DCD" w:rsidRDefault="00384EC6" w:rsidP="00384EC6">
      <w:pPr>
        <w:widowControl w:val="0"/>
        <w:autoSpaceDE w:val="0"/>
        <w:autoSpaceDN w:val="0"/>
        <w:spacing w:after="0" w:line="276" w:lineRule="auto"/>
        <w:jc w:val="both"/>
        <w:rPr>
          <w:rFonts w:ascii="Verdana" w:hAnsi="Verdana" w:cs="Arial"/>
          <w:color w:val="000000" w:themeColor="text1"/>
          <w:shd w:val="clear" w:color="auto" w:fill="FFFFFF"/>
        </w:rPr>
      </w:pPr>
    </w:p>
    <w:p w14:paraId="7AC61B4E" w14:textId="77777777" w:rsidR="00384EC6" w:rsidRPr="00983DCD" w:rsidRDefault="00384EC6" w:rsidP="00384EC6">
      <w:pPr>
        <w:shd w:val="clear" w:color="auto" w:fill="FFFFFF"/>
        <w:spacing w:after="0" w:line="276" w:lineRule="auto"/>
        <w:jc w:val="both"/>
        <w:rPr>
          <w:rFonts w:ascii="Verdana" w:hAnsi="Verdana"/>
          <w:color w:val="000000"/>
          <w:u w:val="single"/>
        </w:rPr>
      </w:pPr>
      <w:r w:rsidRPr="00983DCD">
        <w:rPr>
          <w:rFonts w:ascii="Verdana" w:hAnsi="Verdana"/>
          <w:color w:val="000000"/>
        </w:rPr>
        <w:t>Te informamos que ya se encuentra disponible la </w:t>
      </w:r>
      <w:r w:rsidRPr="00983DCD">
        <w:rPr>
          <w:rFonts w:ascii="Verdana" w:hAnsi="Verdana"/>
          <w:b/>
          <w:bCs/>
          <w:color w:val="000000"/>
        </w:rPr>
        <w:t>Guía de lineamientos de transparencia y selección objetiva para el departamento de La Guajira – Objetivo sexto constitucional de la Sentencia T-302 del 2017. </w:t>
      </w:r>
      <w:r w:rsidRPr="00983DCD">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83DCD">
        <w:rPr>
          <w:rFonts w:ascii="Verdana" w:hAnsi="Verdana"/>
          <w:color w:val="000000"/>
        </w:rPr>
        <w:t>Wayúu</w:t>
      </w:r>
      <w:proofErr w:type="spellEnd"/>
      <w:r w:rsidRPr="00983DCD">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983DCD">
          <w:rPr>
            <w:rFonts w:ascii="Verdana" w:hAnsi="Verdana"/>
            <w:color w:val="0000FF"/>
            <w:u w:val="single"/>
          </w:rPr>
          <w:t>Guía de lineamientos de transparencia y selección objetiva para el departamento de La Guajira – Objetivo sexto constitucional de la Sentencia T-302 del 2017</w:t>
        </w:r>
      </w:hyperlink>
      <w:r w:rsidRPr="00983DCD">
        <w:rPr>
          <w:rFonts w:ascii="Verdana" w:hAnsi="Verdana"/>
          <w:color w:val="000000"/>
          <w:u w:val="single"/>
        </w:rPr>
        <w:t>".</w:t>
      </w:r>
    </w:p>
    <w:p w14:paraId="1D126949" w14:textId="77777777" w:rsidR="00384EC6" w:rsidRPr="00983DCD" w:rsidRDefault="00384EC6" w:rsidP="00384EC6">
      <w:pPr>
        <w:shd w:val="clear" w:color="auto" w:fill="FFFFFF"/>
        <w:spacing w:after="0" w:line="276" w:lineRule="auto"/>
        <w:jc w:val="both"/>
        <w:rPr>
          <w:rFonts w:ascii="Verdana" w:hAnsi="Verdana"/>
          <w:color w:val="000000"/>
          <w:u w:val="single"/>
        </w:rPr>
      </w:pPr>
    </w:p>
    <w:p w14:paraId="665DE95D" w14:textId="77777777" w:rsidR="00384EC6" w:rsidRPr="00983DCD" w:rsidRDefault="00384EC6" w:rsidP="00384EC6">
      <w:pPr>
        <w:spacing w:after="0"/>
        <w:jc w:val="both"/>
        <w:rPr>
          <w:rFonts w:ascii="Verdana" w:hAnsi="Verdana"/>
        </w:rPr>
      </w:pPr>
      <w:r w:rsidRPr="00983DC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BCE7871" w14:textId="77777777" w:rsidR="00384EC6" w:rsidRPr="00983DCD" w:rsidRDefault="00384EC6" w:rsidP="00384EC6">
      <w:pPr>
        <w:spacing w:after="0"/>
        <w:jc w:val="both"/>
        <w:rPr>
          <w:rFonts w:ascii="Verdana" w:hAnsi="Verdana"/>
        </w:rPr>
      </w:pPr>
    </w:p>
    <w:p w14:paraId="7AEF50DA" w14:textId="77777777" w:rsidR="00384EC6" w:rsidRPr="00983DCD" w:rsidRDefault="00384EC6" w:rsidP="00384EC6">
      <w:pPr>
        <w:numPr>
          <w:ilvl w:val="0"/>
          <w:numId w:val="15"/>
        </w:numPr>
        <w:spacing w:after="0" w:line="240" w:lineRule="auto"/>
        <w:contextualSpacing/>
        <w:jc w:val="both"/>
        <w:rPr>
          <w:rFonts w:ascii="Verdana" w:eastAsia="Verdana" w:hAnsi="Verdana" w:cs="Verdana"/>
          <w:color w:val="4472C4" w:themeColor="accent1"/>
          <w:u w:val="single"/>
          <w:lang w:val="es-MX"/>
        </w:rPr>
      </w:pPr>
      <w:r w:rsidRPr="00983DCD">
        <w:rPr>
          <w:rFonts w:ascii="Verdana" w:eastAsia="Verdana" w:hAnsi="Verdana" w:cs="Verdana"/>
          <w:lang w:val="es-MX"/>
        </w:rPr>
        <w:t xml:space="preserve">Línea nacional gratuita o servicio a la ciudadanía (Mesa de servicio): </w:t>
      </w:r>
      <w:r w:rsidRPr="00983DCD">
        <w:rPr>
          <w:rFonts w:ascii="Verdana" w:hAnsi="Verdana"/>
          <w:color w:val="0000FF"/>
          <w:u w:val="single"/>
          <w:lang w:val="es-ES"/>
        </w:rPr>
        <w:t>01800 0520808</w:t>
      </w:r>
    </w:p>
    <w:p w14:paraId="49FDB82D" w14:textId="77777777" w:rsidR="00384EC6" w:rsidRPr="00983DCD" w:rsidRDefault="00384EC6" w:rsidP="00384EC6">
      <w:pPr>
        <w:numPr>
          <w:ilvl w:val="0"/>
          <w:numId w:val="15"/>
        </w:numPr>
        <w:spacing w:after="0" w:line="240" w:lineRule="auto"/>
        <w:contextualSpacing/>
        <w:rPr>
          <w:rFonts w:ascii="Verdana" w:eastAsia="Verdana" w:hAnsi="Verdana" w:cs="Verdana"/>
          <w:color w:val="4472C4" w:themeColor="accent1"/>
          <w:u w:val="single"/>
          <w:lang w:val="es-MX"/>
        </w:rPr>
      </w:pPr>
      <w:r w:rsidRPr="00983DCD">
        <w:rPr>
          <w:rFonts w:ascii="Verdana" w:eastAsia="Verdana" w:hAnsi="Verdana" w:cs="Verdana"/>
          <w:lang w:val="es-MX"/>
        </w:rPr>
        <w:t>Línea en Bogotá (Mesa de servicio</w:t>
      </w:r>
      <w:proofErr w:type="gramStart"/>
      <w:r w:rsidRPr="00983DCD">
        <w:rPr>
          <w:rFonts w:ascii="Verdana" w:eastAsia="Verdana" w:hAnsi="Verdana" w:cs="Verdana"/>
          <w:lang w:val="es-MX"/>
        </w:rPr>
        <w:t>):</w:t>
      </w:r>
      <w:r w:rsidRPr="00983DCD">
        <w:rPr>
          <w:rFonts w:ascii="Verdana" w:hAnsi="Verdana"/>
          <w:color w:val="0000FF"/>
          <w:u w:val="single"/>
          <w:lang w:val="es-ES"/>
        </w:rPr>
        <w:t>+</w:t>
      </w:r>
      <w:proofErr w:type="gramEnd"/>
      <w:r w:rsidRPr="00983DCD">
        <w:rPr>
          <w:rFonts w:ascii="Verdana" w:hAnsi="Verdana"/>
          <w:color w:val="0000FF"/>
          <w:u w:val="single"/>
          <w:lang w:val="es-ES"/>
        </w:rPr>
        <w:t>57 601 7456788</w:t>
      </w:r>
    </w:p>
    <w:p w14:paraId="258F6F4A" w14:textId="77777777" w:rsidR="00384EC6" w:rsidRPr="00983DCD" w:rsidRDefault="00384EC6" w:rsidP="00384EC6">
      <w:pPr>
        <w:numPr>
          <w:ilvl w:val="0"/>
          <w:numId w:val="15"/>
        </w:numPr>
        <w:spacing w:after="0" w:line="240" w:lineRule="auto"/>
        <w:contextualSpacing/>
        <w:rPr>
          <w:rFonts w:ascii="Verdana" w:eastAsia="Verdana" w:hAnsi="Verdana" w:cs="Verdana"/>
          <w:color w:val="0000FF"/>
          <w:u w:val="single"/>
          <w:lang w:val="es-MX"/>
        </w:rPr>
      </w:pPr>
      <w:r w:rsidRPr="00983DCD">
        <w:rPr>
          <w:rFonts w:ascii="Verdana" w:eastAsia="Verdana" w:hAnsi="Verdana" w:cs="Verdana"/>
          <w:lang w:val="es-MX"/>
        </w:rPr>
        <w:t xml:space="preserve">Correo de radicación de correspondencia: </w:t>
      </w:r>
      <w:hyperlink r:id="rId17">
        <w:r w:rsidRPr="00983DCD">
          <w:rPr>
            <w:rFonts w:ascii="Verdana" w:eastAsia="Verdana" w:hAnsi="Verdana" w:cs="Verdana"/>
            <w:color w:val="0000FF"/>
            <w:u w:val="single"/>
            <w:lang w:val="es-MX"/>
          </w:rPr>
          <w:t>ventanilladeradicacion@colombiacompra.gov.co</w:t>
        </w:r>
      </w:hyperlink>
    </w:p>
    <w:p w14:paraId="0AAD34AA" w14:textId="77777777" w:rsidR="00384EC6" w:rsidRPr="00983DCD" w:rsidRDefault="00384EC6" w:rsidP="00384EC6">
      <w:pPr>
        <w:numPr>
          <w:ilvl w:val="0"/>
          <w:numId w:val="15"/>
        </w:numPr>
        <w:spacing w:after="0" w:line="240" w:lineRule="auto"/>
        <w:contextualSpacing/>
        <w:rPr>
          <w:rFonts w:ascii="Verdana" w:eastAsia="Verdana" w:hAnsi="Verdana" w:cs="Verdana"/>
          <w:color w:val="0000FF"/>
          <w:u w:val="single"/>
          <w:lang w:val="es-MX"/>
        </w:rPr>
      </w:pPr>
      <w:r w:rsidRPr="00983DCD">
        <w:rPr>
          <w:rFonts w:ascii="Verdana" w:eastAsia="Verdana" w:hAnsi="Verdana" w:cs="Verdana"/>
          <w:lang w:val="es-ES"/>
        </w:rPr>
        <w:t>Formulario web para</w:t>
      </w:r>
      <w:r w:rsidRPr="00983DCD">
        <w:rPr>
          <w:rFonts w:ascii="Verdana" w:eastAsia="Verdana" w:hAnsi="Verdana" w:cs="Verdana"/>
          <w:lang w:val="es"/>
        </w:rPr>
        <w:t xml:space="preserve"> PQRSD: </w:t>
      </w:r>
      <w:hyperlink r:id="rId18">
        <w:r w:rsidRPr="00983DCD">
          <w:rPr>
            <w:rFonts w:ascii="Verdana" w:eastAsia="Verdana" w:hAnsi="Verdana" w:cs="Verdana"/>
            <w:color w:val="0000FF"/>
            <w:u w:val="single"/>
            <w:lang w:val="es-MX"/>
          </w:rPr>
          <w:t>https://www.colombiacompra.gov.co/pqrsd/informacion-importante-antes-de-formular-una-pqrsd</w:t>
        </w:r>
      </w:hyperlink>
    </w:p>
    <w:p w14:paraId="31CA1BE0" w14:textId="77777777" w:rsidR="00384EC6" w:rsidRPr="00983DCD" w:rsidRDefault="00384EC6" w:rsidP="00384EC6">
      <w:pPr>
        <w:spacing w:after="0" w:line="240" w:lineRule="auto"/>
        <w:ind w:left="720"/>
        <w:jc w:val="both"/>
        <w:rPr>
          <w:rFonts w:ascii="Verdana" w:hAnsi="Verdana"/>
        </w:rPr>
      </w:pPr>
    </w:p>
    <w:p w14:paraId="319C2A1B" w14:textId="77777777" w:rsidR="00384EC6" w:rsidRPr="00983DCD" w:rsidRDefault="00384EC6" w:rsidP="00384EC6">
      <w:pPr>
        <w:spacing w:after="0" w:line="240" w:lineRule="auto"/>
        <w:rPr>
          <w:rFonts w:ascii="Verdana" w:hAnsi="Verdana"/>
        </w:rPr>
      </w:pPr>
      <w:r w:rsidRPr="00983DCD">
        <w:rPr>
          <w:rFonts w:ascii="Verdana" w:hAnsi="Verdana"/>
        </w:rPr>
        <w:t xml:space="preserve">Evalúa el servicio que ofrece la Agencia por el canal de atención de PQRSD en el siguiente </w:t>
      </w:r>
      <w:proofErr w:type="gramStart"/>
      <w:r w:rsidRPr="00983DCD">
        <w:rPr>
          <w:rFonts w:ascii="Verdana" w:hAnsi="Verdana"/>
        </w:rPr>
        <w:t>enlace :</w:t>
      </w:r>
      <w:proofErr w:type="gramEnd"/>
      <w:hyperlink r:id="rId19" w:tgtFrame="_blank" w:tooltip="https://forms.office.com/r/pphywvs2sz" w:history="1">
        <w:r w:rsidRPr="00983DCD">
          <w:rPr>
            <w:rFonts w:ascii="Verdana" w:hAnsi="Verdana"/>
            <w:color w:val="0000FF"/>
            <w:u w:val="single"/>
          </w:rPr>
          <w:t>https://forms.office.com/r/pPHyWVs2SZ</w:t>
        </w:r>
      </w:hyperlink>
      <w:r w:rsidRPr="00983DCD">
        <w:rPr>
          <w:rFonts w:ascii="Verdana" w:hAnsi="Verdana"/>
        </w:rPr>
        <w:t xml:space="preserve"> .¡Ayúdanos a mejorar porque el compromiso es de todos!</w:t>
      </w:r>
    </w:p>
    <w:p w14:paraId="4F081D75" w14:textId="77777777" w:rsidR="00384EC6" w:rsidRPr="00983DCD" w:rsidRDefault="00384EC6" w:rsidP="00384EC6">
      <w:pPr>
        <w:spacing w:after="0" w:line="240" w:lineRule="auto"/>
        <w:rPr>
          <w:rFonts w:ascii="Verdana" w:hAnsi="Verdana"/>
        </w:rPr>
      </w:pPr>
    </w:p>
    <w:p w14:paraId="055EEE92" w14:textId="77777777" w:rsidR="00384EC6" w:rsidRPr="00983DCD" w:rsidRDefault="00384EC6" w:rsidP="00384EC6">
      <w:pPr>
        <w:spacing w:after="0" w:line="240" w:lineRule="auto"/>
        <w:jc w:val="both"/>
        <w:rPr>
          <w:rFonts w:ascii="Verdana" w:hAnsi="Verdana"/>
        </w:rPr>
      </w:pPr>
      <w:r w:rsidRPr="00983DCD">
        <w:rPr>
          <w:rFonts w:ascii="Verdana" w:hAnsi="Verdana"/>
        </w:rPr>
        <w:t xml:space="preserve">Por último, lo invitamos a seguirnos en las redes sociales en las cuales se difunde información institucional: </w:t>
      </w:r>
    </w:p>
    <w:p w14:paraId="25F2FB15" w14:textId="77777777" w:rsidR="00384EC6" w:rsidRPr="00983DCD" w:rsidRDefault="00384EC6" w:rsidP="00384EC6">
      <w:pPr>
        <w:spacing w:after="0" w:line="240" w:lineRule="auto"/>
        <w:jc w:val="both"/>
        <w:rPr>
          <w:rFonts w:ascii="Verdana" w:hAnsi="Verdana"/>
        </w:rPr>
      </w:pPr>
    </w:p>
    <w:p w14:paraId="75971643" w14:textId="77777777" w:rsidR="00384EC6" w:rsidRPr="00983DCD" w:rsidRDefault="00384EC6" w:rsidP="00384EC6">
      <w:pPr>
        <w:spacing w:after="0" w:line="240" w:lineRule="auto"/>
        <w:jc w:val="both"/>
        <w:rPr>
          <w:rFonts w:ascii="Verdana" w:hAnsi="Verdana"/>
        </w:rPr>
      </w:pPr>
      <w:r w:rsidRPr="00983DCD">
        <w:rPr>
          <w:rFonts w:ascii="Verdana" w:hAnsi="Verdana"/>
        </w:rPr>
        <w:t xml:space="preserve">Twitter: </w:t>
      </w:r>
      <w:r w:rsidRPr="00983DCD">
        <w:rPr>
          <w:rFonts w:ascii="Verdana" w:hAnsi="Verdana"/>
          <w:color w:val="0000FF"/>
          <w:u w:val="single"/>
        </w:rPr>
        <w:t>@colombiacompra</w:t>
      </w:r>
      <w:r w:rsidRPr="00983DCD">
        <w:rPr>
          <w:rFonts w:ascii="Verdana" w:hAnsi="Verdana"/>
        </w:rPr>
        <w:t xml:space="preserve"> </w:t>
      </w:r>
    </w:p>
    <w:p w14:paraId="403E0D0A" w14:textId="77777777" w:rsidR="00384EC6" w:rsidRPr="00983DCD" w:rsidRDefault="00384EC6" w:rsidP="00384EC6">
      <w:pPr>
        <w:spacing w:after="0" w:line="240" w:lineRule="auto"/>
        <w:jc w:val="both"/>
        <w:rPr>
          <w:rFonts w:ascii="Verdana" w:hAnsi="Verdana"/>
        </w:rPr>
      </w:pPr>
      <w:r w:rsidRPr="00983DCD">
        <w:rPr>
          <w:rFonts w:ascii="Verdana" w:hAnsi="Verdana"/>
        </w:rPr>
        <w:t xml:space="preserve">Facebook: </w:t>
      </w:r>
      <w:proofErr w:type="spellStart"/>
      <w:r w:rsidRPr="00983DCD">
        <w:rPr>
          <w:rFonts w:ascii="Verdana" w:hAnsi="Verdana"/>
          <w:color w:val="0000FF"/>
          <w:u w:val="single"/>
        </w:rPr>
        <w:t>ColombiaCompraEficiente</w:t>
      </w:r>
      <w:proofErr w:type="spellEnd"/>
    </w:p>
    <w:p w14:paraId="2787067C" w14:textId="77777777" w:rsidR="00384EC6" w:rsidRPr="00983DCD" w:rsidRDefault="00384EC6" w:rsidP="00384EC6">
      <w:pPr>
        <w:spacing w:after="0" w:line="240" w:lineRule="auto"/>
        <w:jc w:val="both"/>
        <w:rPr>
          <w:rFonts w:ascii="Verdana" w:hAnsi="Verdana"/>
        </w:rPr>
      </w:pPr>
      <w:r w:rsidRPr="00983DCD">
        <w:rPr>
          <w:rFonts w:ascii="Verdana" w:hAnsi="Verdana"/>
        </w:rPr>
        <w:t xml:space="preserve">LinkedIn: </w:t>
      </w:r>
      <w:r w:rsidRPr="00983DCD">
        <w:rPr>
          <w:rFonts w:ascii="Verdana" w:hAnsi="Verdana"/>
          <w:color w:val="0000FF"/>
          <w:u w:val="single"/>
        </w:rPr>
        <w:t>Agencia Nacional de Contratación Pública - Colombia Compra Eficiente</w:t>
      </w:r>
      <w:r w:rsidRPr="00983DCD">
        <w:rPr>
          <w:rFonts w:ascii="Verdana" w:hAnsi="Verdana"/>
        </w:rPr>
        <w:t xml:space="preserve"> Instagram: </w:t>
      </w:r>
      <w:r w:rsidRPr="00983DCD">
        <w:rPr>
          <w:rFonts w:ascii="Verdana" w:hAnsi="Verdana"/>
          <w:color w:val="0000FF"/>
          <w:u w:val="single"/>
        </w:rPr>
        <w:t>@colombiacompraeficiente_cce</w:t>
      </w:r>
    </w:p>
    <w:p w14:paraId="02109253" w14:textId="77777777" w:rsidR="00384EC6" w:rsidRPr="00983DCD" w:rsidRDefault="00384EC6" w:rsidP="00384EC6">
      <w:pPr>
        <w:spacing w:after="0" w:line="240" w:lineRule="auto"/>
        <w:jc w:val="both"/>
        <w:rPr>
          <w:rFonts w:ascii="Verdana" w:hAnsi="Verdana"/>
        </w:rPr>
      </w:pPr>
    </w:p>
    <w:p w14:paraId="50CA345F" w14:textId="77777777" w:rsidR="00384EC6" w:rsidRPr="00983DCD" w:rsidRDefault="00384EC6" w:rsidP="00384EC6">
      <w:pPr>
        <w:spacing w:after="0" w:line="256" w:lineRule="auto"/>
        <w:jc w:val="both"/>
        <w:rPr>
          <w:rFonts w:ascii="Verdana" w:eastAsia="Calibri" w:hAnsi="Verdana" w:cs="Times New Roman"/>
          <w:bCs/>
          <w:lang w:val="es-ES_tradnl"/>
        </w:rPr>
      </w:pPr>
      <w:r w:rsidRPr="00983DC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847FF85" w14:textId="77777777" w:rsidR="00384EC6" w:rsidRPr="00983DCD" w:rsidRDefault="00384EC6" w:rsidP="00384EC6">
      <w:pPr>
        <w:spacing w:after="0" w:line="256" w:lineRule="auto"/>
        <w:jc w:val="both"/>
        <w:rPr>
          <w:rFonts w:ascii="Verdana" w:eastAsia="Calibri" w:hAnsi="Verdana" w:cs="Times New Roman"/>
          <w:lang w:val="es-ES_tradnl"/>
        </w:rPr>
      </w:pPr>
    </w:p>
    <w:p w14:paraId="7D228E71" w14:textId="77777777" w:rsidR="00384EC6" w:rsidRDefault="00384EC6" w:rsidP="00384EC6">
      <w:pPr>
        <w:spacing w:after="0" w:line="256" w:lineRule="auto"/>
        <w:jc w:val="both"/>
        <w:rPr>
          <w:rFonts w:ascii="Verdana" w:eastAsia="Calibri" w:hAnsi="Verdana" w:cs="Times New Roman"/>
        </w:rPr>
      </w:pPr>
      <w:r w:rsidRPr="00983DCD">
        <w:rPr>
          <w:rFonts w:ascii="Verdana" w:eastAsia="Calibri" w:hAnsi="Verdana" w:cs="Times New Roman"/>
        </w:rPr>
        <w:t>Atentamente,</w:t>
      </w:r>
    </w:p>
    <w:p w14:paraId="31BF9271" w14:textId="77777777" w:rsidR="00384EC6" w:rsidRPr="00983DCD" w:rsidRDefault="00384EC6" w:rsidP="00384EC6">
      <w:pPr>
        <w:spacing w:after="0" w:line="256" w:lineRule="auto"/>
        <w:jc w:val="both"/>
        <w:rPr>
          <w:rFonts w:ascii="Verdana" w:eastAsia="Calibri" w:hAnsi="Verdana" w:cs="Times New Roman"/>
        </w:rPr>
      </w:pPr>
    </w:p>
    <w:p w14:paraId="1D61C99A" w14:textId="430C01C7" w:rsidR="00384EC6" w:rsidRPr="00983DCD" w:rsidRDefault="00DF27FE" w:rsidP="00384EC6">
      <w:pPr>
        <w:spacing w:after="0" w:line="256" w:lineRule="auto"/>
        <w:jc w:val="center"/>
        <w:rPr>
          <w:rFonts w:ascii="Verdana" w:hAnsi="Verdana"/>
          <w:noProof/>
          <w:lang w:val="en-US"/>
        </w:rPr>
      </w:pPr>
      <w:r w:rsidRPr="002C3AD6">
        <w:rPr>
          <w:rFonts w:ascii="Century Gothic" w:hAnsi="Century Gothic"/>
          <w:noProof/>
          <w:lang w:val="en-US"/>
        </w:rPr>
        <w:lastRenderedPageBreak/>
        <w:drawing>
          <wp:inline distT="0" distB="0" distL="0" distR="0" wp14:anchorId="3EAD16FE" wp14:editId="6DE93295">
            <wp:extent cx="3638940" cy="1350818"/>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686903" cy="1368622"/>
                    </a:xfrm>
                    <a:prstGeom prst="rect">
                      <a:avLst/>
                    </a:prstGeom>
                  </pic:spPr>
                </pic:pic>
              </a:graphicData>
            </a:graphic>
          </wp:inline>
        </w:drawing>
      </w:r>
    </w:p>
    <w:p w14:paraId="4B7FD689" w14:textId="3C5FE137" w:rsidR="00384EC6" w:rsidRDefault="00384EC6" w:rsidP="00384EC6">
      <w:pPr>
        <w:spacing w:after="0" w:line="256" w:lineRule="auto"/>
        <w:jc w:val="center"/>
        <w:rPr>
          <w:rFonts w:ascii="Verdana" w:hAnsi="Verdana"/>
          <w:noProof/>
          <w:sz w:val="12"/>
          <w:szCs w:val="12"/>
          <w:lang w:val="en-US"/>
        </w:rPr>
      </w:pPr>
    </w:p>
    <w:p w14:paraId="454FDC50" w14:textId="77777777" w:rsidR="00DF27FE" w:rsidRPr="00983DCD" w:rsidRDefault="00DF27FE" w:rsidP="00384EC6">
      <w:pPr>
        <w:spacing w:after="0" w:line="256" w:lineRule="auto"/>
        <w:jc w:val="center"/>
        <w:rPr>
          <w:rFonts w:ascii="Verdana" w:hAnsi="Verdana"/>
          <w:noProof/>
          <w:sz w:val="12"/>
          <w:szCs w:val="12"/>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84EC6" w:rsidRPr="00983DCD" w14:paraId="113B50B1" w14:textId="77777777" w:rsidTr="00B65A6E">
        <w:trPr>
          <w:trHeight w:val="409"/>
        </w:trPr>
        <w:tc>
          <w:tcPr>
            <w:tcW w:w="817" w:type="dxa"/>
            <w:tcBorders>
              <w:top w:val="nil"/>
              <w:left w:val="nil"/>
              <w:bottom w:val="nil"/>
              <w:right w:val="nil"/>
            </w:tcBorders>
            <w:vAlign w:val="center"/>
            <w:hideMark/>
          </w:tcPr>
          <w:p w14:paraId="02562B74"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ECDA0E9"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José Luis Sánchez Cardona</w:t>
            </w:r>
          </w:p>
          <w:p w14:paraId="71A2E515"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Contratista de la Subdirección de Gestión Contractual</w:t>
            </w:r>
          </w:p>
        </w:tc>
      </w:tr>
      <w:tr w:rsidR="00384EC6" w:rsidRPr="00983DCD" w14:paraId="329D398A" w14:textId="77777777" w:rsidTr="00B65A6E">
        <w:trPr>
          <w:trHeight w:val="409"/>
        </w:trPr>
        <w:tc>
          <w:tcPr>
            <w:tcW w:w="817" w:type="dxa"/>
            <w:tcBorders>
              <w:top w:val="nil"/>
              <w:left w:val="nil"/>
              <w:bottom w:val="nil"/>
              <w:right w:val="nil"/>
            </w:tcBorders>
            <w:vAlign w:val="center"/>
            <w:hideMark/>
          </w:tcPr>
          <w:p w14:paraId="2B9345BB"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BE6EFF3"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Alejandro R Sarmiento Cantillo</w:t>
            </w:r>
          </w:p>
          <w:p w14:paraId="75900F05"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Gestor T1-15 de la Subdirección de Gestión Contractual </w:t>
            </w:r>
          </w:p>
        </w:tc>
      </w:tr>
      <w:tr w:rsidR="00384EC6" w:rsidRPr="00983DCD" w14:paraId="5493CA49" w14:textId="77777777" w:rsidTr="00B65A6E">
        <w:trPr>
          <w:trHeight w:val="389"/>
        </w:trPr>
        <w:tc>
          <w:tcPr>
            <w:tcW w:w="817" w:type="dxa"/>
            <w:tcBorders>
              <w:top w:val="nil"/>
              <w:left w:val="nil"/>
              <w:bottom w:val="nil"/>
              <w:right w:val="nil"/>
            </w:tcBorders>
            <w:vAlign w:val="center"/>
            <w:hideMark/>
          </w:tcPr>
          <w:p w14:paraId="54B52D63"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59B0907"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Carolina Quintero Gacharná</w:t>
            </w:r>
          </w:p>
          <w:p w14:paraId="67B6381E" w14:textId="77777777" w:rsidR="00384EC6" w:rsidRPr="00983DCD" w:rsidRDefault="00384EC6" w:rsidP="00B65A6E">
            <w:pPr>
              <w:spacing w:after="0" w:line="256" w:lineRule="auto"/>
              <w:rPr>
                <w:rFonts w:ascii="Verdana" w:eastAsia="Calibri" w:hAnsi="Verdana" w:cs="Times New Roman"/>
                <w:sz w:val="16"/>
                <w:szCs w:val="16"/>
              </w:rPr>
            </w:pPr>
            <w:r w:rsidRPr="00983DCD">
              <w:rPr>
                <w:rFonts w:ascii="Verdana" w:eastAsia="Calibri" w:hAnsi="Verdana" w:cs="Times New Roman"/>
                <w:sz w:val="16"/>
                <w:szCs w:val="16"/>
              </w:rPr>
              <w:t>Subdirectora de Gestión Contractual ANCP – CCE</w:t>
            </w:r>
          </w:p>
        </w:tc>
      </w:tr>
      <w:bookmarkEnd w:id="0"/>
    </w:tbl>
    <w:p w14:paraId="44C4483B" w14:textId="77777777" w:rsidR="00384EC6" w:rsidRPr="00FA5A6F" w:rsidRDefault="00384EC6" w:rsidP="00384EC6">
      <w:pPr>
        <w:spacing w:after="0"/>
        <w:rPr>
          <w:rFonts w:ascii="Verdana" w:hAnsi="Verdana"/>
        </w:rPr>
      </w:pPr>
    </w:p>
    <w:p w14:paraId="73C61EC8" w14:textId="60E72C6F" w:rsidR="00EB224C" w:rsidRPr="00384EC6" w:rsidRDefault="00EB224C" w:rsidP="00384EC6"/>
    <w:sectPr w:rsidR="00EB224C" w:rsidRPr="00384EC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2EFE1" w14:textId="77777777" w:rsidR="00DF15BB" w:rsidRDefault="00DF15BB" w:rsidP="004A1847">
      <w:pPr>
        <w:spacing w:after="0" w:line="240" w:lineRule="auto"/>
      </w:pPr>
      <w:r>
        <w:separator/>
      </w:r>
    </w:p>
  </w:endnote>
  <w:endnote w:type="continuationSeparator" w:id="0">
    <w:p w14:paraId="55C427ED" w14:textId="77777777" w:rsidR="00DF15BB" w:rsidRDefault="00DF15B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IDFont+F1">
    <w:altName w:val="Calibri"/>
    <w:charset w:val="00"/>
    <w:family w:val="auto"/>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Palatino-Roman">
    <w:altName w:val="Palatino Linotype"/>
    <w:panose1 w:val="00000000000000000000"/>
    <w:charset w:val="00"/>
    <w:family w:val="roman"/>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9B3C20" w:rsidRDefault="009B3C20">
    <w:pPr>
      <w:pStyle w:val="Piedepgina"/>
    </w:pPr>
  </w:p>
  <w:p w14:paraId="594D6D9F" w14:textId="23F79AC5" w:rsidR="009B3C20" w:rsidRPr="00174B77" w:rsidRDefault="009B3C2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F27FE" w:rsidRPr="00DF27FE">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9B3C20" w:rsidRDefault="009B3C2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9B3C20" w:rsidRPr="00E41027" w:rsidRDefault="009B3C2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B3C20" w:rsidRDefault="009B3C20">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12E41" w14:textId="77777777" w:rsidR="00DF15BB" w:rsidRDefault="00DF15BB" w:rsidP="004A1847">
      <w:pPr>
        <w:spacing w:after="0" w:line="240" w:lineRule="auto"/>
      </w:pPr>
      <w:r>
        <w:separator/>
      </w:r>
    </w:p>
  </w:footnote>
  <w:footnote w:type="continuationSeparator" w:id="0">
    <w:p w14:paraId="1E9E8C2B" w14:textId="77777777" w:rsidR="00DF15BB" w:rsidRDefault="00DF15BB" w:rsidP="004A1847">
      <w:pPr>
        <w:spacing w:after="0" w:line="240" w:lineRule="auto"/>
      </w:pPr>
      <w:r>
        <w:continuationSeparator/>
      </w:r>
    </w:p>
  </w:footnote>
  <w:footnote w:id="1">
    <w:p w14:paraId="1B6284D4" w14:textId="77777777" w:rsidR="00384EC6" w:rsidRPr="00C57A00" w:rsidRDefault="00384EC6" w:rsidP="00384EC6">
      <w:pPr>
        <w:pStyle w:val="Textonotapie"/>
        <w:ind w:firstLine="709"/>
        <w:jc w:val="both"/>
        <w:rPr>
          <w:rFonts w:ascii="Verdana" w:hAnsi="Verdana" w:cs="Arial"/>
          <w:color w:val="000000"/>
          <w:sz w:val="16"/>
          <w:szCs w:val="16"/>
        </w:rPr>
      </w:pPr>
      <w:r w:rsidRPr="00C57A00">
        <w:rPr>
          <w:rStyle w:val="Refdenotaalpie"/>
          <w:rFonts w:ascii="Verdana" w:hAnsi="Verdana" w:cs="Arial"/>
          <w:color w:val="000000"/>
          <w:sz w:val="16"/>
          <w:szCs w:val="16"/>
        </w:rPr>
        <w:footnoteRef/>
      </w:r>
      <w:r w:rsidRPr="00C57A00">
        <w:rPr>
          <w:rFonts w:ascii="Verdana" w:hAnsi="Verdana" w:cs="Arial"/>
          <w:color w:val="000000"/>
          <w:sz w:val="16"/>
          <w:szCs w:val="16"/>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footnote>
  <w:footnote w:id="2">
    <w:p w14:paraId="2D8E7F13" w14:textId="77777777" w:rsidR="00384EC6" w:rsidRPr="00C57A00" w:rsidRDefault="00384EC6" w:rsidP="00384EC6">
      <w:pPr>
        <w:pStyle w:val="Textonotapie"/>
        <w:ind w:firstLine="709"/>
        <w:jc w:val="both"/>
        <w:rPr>
          <w:rFonts w:ascii="Verdana" w:hAnsi="Verdana" w:cs="Arial"/>
          <w:color w:val="000000"/>
          <w:sz w:val="16"/>
          <w:szCs w:val="16"/>
        </w:rPr>
      </w:pPr>
      <w:r w:rsidRPr="00C57A00">
        <w:rPr>
          <w:rStyle w:val="Refdenotaalpie"/>
          <w:rFonts w:ascii="Verdana" w:hAnsi="Verdana" w:cs="Arial"/>
          <w:color w:val="000000"/>
          <w:sz w:val="16"/>
          <w:szCs w:val="16"/>
        </w:rPr>
        <w:footnoteRef/>
      </w:r>
      <w:r w:rsidRPr="00C57A00">
        <w:rPr>
          <w:rFonts w:ascii="Verdana" w:hAnsi="Verdana" w:cs="Arial"/>
          <w:color w:val="000000"/>
          <w:sz w:val="16"/>
          <w:szCs w:val="16"/>
        </w:rPr>
        <w:t xml:space="preserve"> TORRENTE BAYONA, César y BUSTAMANTE, Luis Eduardo. Las entidades sin ánimo de lucro (3ª Ed.). Bogotá: Cámara de Comercio de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4EADCF5F" w14:textId="77777777" w:rsidR="00384EC6" w:rsidRPr="00C57A00" w:rsidRDefault="00384EC6" w:rsidP="00384EC6">
      <w:pPr>
        <w:pStyle w:val="Textonotapie"/>
        <w:ind w:firstLine="709"/>
        <w:jc w:val="both"/>
        <w:rPr>
          <w:rFonts w:ascii="Verdana" w:hAnsi="Verdana" w:cs="Arial"/>
          <w:color w:val="000000"/>
          <w:sz w:val="16"/>
          <w:szCs w:val="16"/>
        </w:rPr>
      </w:pPr>
      <w:r w:rsidRPr="00C57A00">
        <w:rPr>
          <w:rFonts w:ascii="Verdana" w:hAnsi="Verdana" w:cs="Arial"/>
          <w:color w:val="000000"/>
          <w:sz w:val="16"/>
          <w:szCs w:val="16"/>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7CF956AF"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Style w:val="Refdenotaalpie"/>
          <w:rFonts w:ascii="Verdana" w:hAnsi="Verdana"/>
          <w:sz w:val="16"/>
          <w:szCs w:val="16"/>
        </w:rPr>
        <w:footnoteRef/>
      </w:r>
      <w:r w:rsidRPr="00C57A00">
        <w:rPr>
          <w:rFonts w:ascii="Verdana" w:hAnsi="Verdana"/>
          <w:sz w:val="16"/>
          <w:szCs w:val="16"/>
        </w:rPr>
        <w:t xml:space="preserve"> </w:t>
      </w:r>
      <w:r w:rsidRPr="00C57A00">
        <w:rPr>
          <w:rStyle w:val="Fuerte"/>
          <w:rFonts w:ascii="Verdana" w:hAnsi="Verdana" w:cs="Arial"/>
          <w:color w:val="000000"/>
          <w:sz w:val="16"/>
          <w:szCs w:val="16"/>
        </w:rPr>
        <w:t>Artículo 41.</w:t>
      </w:r>
      <w:r w:rsidRPr="00C57A00">
        <w:rPr>
          <w:rFonts w:ascii="Verdana" w:hAnsi="Verdana" w:cs="Arial"/>
          <w:b/>
          <w:color w:val="000000"/>
          <w:sz w:val="16"/>
          <w:szCs w:val="16"/>
        </w:rPr>
        <w:t> </w:t>
      </w:r>
      <w:r w:rsidRPr="00C57A00">
        <w:rPr>
          <w:rFonts w:ascii="Verdana" w:hAnsi="Verdana" w:cs="Arial"/>
          <w:color w:val="000000"/>
          <w:sz w:val="16"/>
          <w:szCs w:val="16"/>
        </w:rPr>
        <w:t>Las Cajas de Compensación Familiar tendrán entre otras, las siguientes funciones: </w:t>
      </w:r>
    </w:p>
    <w:p w14:paraId="047F7C5A"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1º. Recaudar, distribuir y pagar los aportes destinados al subsidio familiar, Servicio Nacional de Aprendizaje (SENA), Escuela Superior de Administración Pública (ESAP), las escuelas industriales y los Institutos Técnicos en los términos y con las modalidades de la ley. </w:t>
      </w:r>
    </w:p>
    <w:p w14:paraId="29D23714"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2º. Organizar y administrar las obras y programas que se establezcan para el pago del subsidio familiar en especie o servicios, de acuerdo con lo prescrito en el artículo 62 de la presente Ley. </w:t>
      </w:r>
    </w:p>
    <w:p w14:paraId="0097BE74"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3º. Ejecutar, con otras Cajas, o mediante vinculación con organismos y entidades públicas o privadas que desarrollen actividades de seguridad social, programas de servicios, dentro del orden de prioridades señalado por la ley. </w:t>
      </w:r>
    </w:p>
    <w:p w14:paraId="587226DB"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4º. Cumplir con las demás funciones que señale la ley. </w:t>
      </w:r>
    </w:p>
    <w:p w14:paraId="2E497AAD"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1. Ejecutar actividades relacionadas con sus servicios, la protección y la seguridad social directamente, o mediante alianzas estratégicas con otras Cajas de Compensación o a través de entidades especializadas públicas o privadas, conforme las disposiciones que regulen la materia.  </w:t>
      </w:r>
    </w:p>
    <w:p w14:paraId="53F3F8FE"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2. Invertir en los regímenes de salud, riesgos profesionales y pensiones, conforme las reglas y términos del Estatuto Orgánico del Sector Financiero y demás disposiciones que regulen las materias.  </w:t>
      </w:r>
    </w:p>
    <w:p w14:paraId="51A40050"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Las Cajas de Compensación que estén habilitadas para realizar aseguramiento y prestación de servicios de salud y, en general para desarrollar actividades relacionadas con este campo conforme las disposiciones legales vigentes, individual o conjuntamente, continuarán facultadas para el efecto, en forma individual y/o conjunta, de manera opcional para la Caja.  </w:t>
      </w:r>
    </w:p>
    <w:p w14:paraId="1BACE750" w14:textId="77777777" w:rsidR="00384EC6" w:rsidRPr="00C57A00" w:rsidRDefault="00384EC6" w:rsidP="00384EC6">
      <w:pPr>
        <w:pStyle w:val="NormalWeb"/>
        <w:spacing w:before="0" w:beforeAutospacing="0" w:after="0" w:afterAutospacing="0"/>
        <w:ind w:firstLine="708"/>
        <w:jc w:val="both"/>
        <w:rPr>
          <w:rFonts w:ascii="Verdana" w:hAnsi="Verdana" w:cs="Arial"/>
          <w:color w:val="000000"/>
          <w:sz w:val="16"/>
          <w:szCs w:val="16"/>
        </w:rPr>
      </w:pPr>
      <w:r w:rsidRPr="00C57A00">
        <w:rPr>
          <w:rFonts w:ascii="Verdana" w:hAnsi="Verdana" w:cs="Arial"/>
          <w:color w:val="000000"/>
          <w:sz w:val="16"/>
          <w:szCs w:val="16"/>
        </w:rPr>
        <w:t>Las Cajas de Compensación Familiar que no administren directamente los recursos del régimen subsidiado de que trata el artículo 217 de la Ley 100 de 1993 o a través de terceras entidades en que participen como asociados, deberán girarlos, de conformidad con la reglamentación que para tal efecto expida el Gobierno Nacional, teniendo en cuenta las siguientes prioridades: […]</w:t>
      </w:r>
    </w:p>
  </w:footnote>
  <w:footnote w:id="4">
    <w:p w14:paraId="5332B144" w14:textId="77777777" w:rsidR="00384EC6" w:rsidRPr="00C57A00" w:rsidRDefault="00384EC6" w:rsidP="00384EC6">
      <w:pPr>
        <w:pStyle w:val="Textonotapie"/>
        <w:ind w:firstLine="708"/>
        <w:jc w:val="both"/>
        <w:rPr>
          <w:rFonts w:ascii="Verdana" w:hAnsi="Verdana"/>
          <w:sz w:val="16"/>
          <w:szCs w:val="16"/>
          <w:lang w:val="es-CO"/>
        </w:rPr>
      </w:pPr>
      <w:r w:rsidRPr="00C57A00">
        <w:rPr>
          <w:rStyle w:val="Refdenotaalpie"/>
          <w:rFonts w:ascii="Verdana" w:hAnsi="Verdana"/>
          <w:sz w:val="16"/>
          <w:szCs w:val="16"/>
        </w:rPr>
        <w:footnoteRef/>
      </w:r>
      <w:r w:rsidRPr="00D4350E">
        <w:rPr>
          <w:rFonts w:ascii="Verdana" w:hAnsi="Verdana"/>
          <w:sz w:val="16"/>
          <w:szCs w:val="16"/>
          <w:lang w:val="pt-BR"/>
        </w:rPr>
        <w:t xml:space="preserve"> Corte Constitucional. Sentencia C-508 de 1997. M.P. Vladimiro Naranjo Mesa. </w:t>
      </w:r>
      <w:r w:rsidRPr="00C57A00">
        <w:rPr>
          <w:rFonts w:ascii="Verdana" w:hAnsi="Verdana"/>
          <w:sz w:val="16"/>
          <w:szCs w:val="16"/>
        </w:rPr>
        <w:t xml:space="preserve">En dicha Sentencia se hace un control de constitucionalidad a los artículos </w:t>
      </w:r>
      <w:r w:rsidRPr="00C57A00">
        <w:rPr>
          <w:rFonts w:ascii="Verdana" w:hAnsi="Verdana"/>
          <w:sz w:val="16"/>
          <w:szCs w:val="16"/>
          <w:lang w:val="es-CO"/>
        </w:rPr>
        <w:t xml:space="preserve">73, 74 y 76 (todos parciales) de la Ley 101 de 1993. En torno a las Cajas de Compensación Familiar, se destacan las Sentencias C-1173 de 2001, C-665 de 2003, C-306 de 2022, entre otros. </w:t>
      </w:r>
    </w:p>
  </w:footnote>
  <w:footnote w:id="5">
    <w:p w14:paraId="5AC7694D" w14:textId="77777777" w:rsidR="00384EC6" w:rsidRPr="00C57A00" w:rsidRDefault="00384EC6" w:rsidP="00384EC6">
      <w:pPr>
        <w:pStyle w:val="Textonotapie"/>
        <w:ind w:firstLine="708"/>
        <w:rPr>
          <w:rFonts w:ascii="Verdana" w:hAnsi="Verdana"/>
          <w:sz w:val="16"/>
          <w:szCs w:val="16"/>
          <w:lang w:val="es-CO"/>
        </w:rPr>
      </w:pPr>
      <w:r w:rsidRPr="00C57A00">
        <w:rPr>
          <w:rStyle w:val="Refdenotaalpie"/>
          <w:rFonts w:ascii="Verdana" w:hAnsi="Verdana"/>
          <w:sz w:val="16"/>
          <w:szCs w:val="16"/>
        </w:rPr>
        <w:footnoteRef/>
      </w:r>
      <w:r w:rsidRPr="00C57A00">
        <w:rPr>
          <w:rFonts w:ascii="Verdana" w:hAnsi="Verdana"/>
          <w:sz w:val="16"/>
          <w:szCs w:val="16"/>
        </w:rPr>
        <w:t xml:space="preserve"> Consejo de Estado, Sala de Consulta y Servicio Civil. Concepto del 15 de agosto de 2006. C.P. Luis Fernando Álvarez Jaramillo. Rad. 1763. </w:t>
      </w:r>
    </w:p>
  </w:footnote>
  <w:footnote w:id="6">
    <w:p w14:paraId="2F1F8285" w14:textId="77777777" w:rsidR="00384EC6" w:rsidRPr="00C57A00" w:rsidRDefault="00384EC6" w:rsidP="00384EC6">
      <w:pPr>
        <w:pStyle w:val="Textonotapie"/>
        <w:ind w:firstLine="708"/>
        <w:jc w:val="both"/>
        <w:rPr>
          <w:rFonts w:ascii="Verdana" w:hAnsi="Verdana"/>
          <w:sz w:val="16"/>
          <w:szCs w:val="16"/>
        </w:rPr>
      </w:pPr>
      <w:r w:rsidRPr="00C57A00">
        <w:rPr>
          <w:rStyle w:val="Refdenotaalpie"/>
          <w:rFonts w:ascii="Verdana" w:hAnsi="Verdana"/>
          <w:sz w:val="16"/>
          <w:szCs w:val="16"/>
        </w:rPr>
        <w:footnoteRef/>
      </w:r>
      <w:r w:rsidRPr="00C57A00">
        <w:rPr>
          <w:rFonts w:ascii="Verdana" w:hAnsi="Verdana"/>
          <w:sz w:val="16"/>
          <w:szCs w:val="16"/>
        </w:rPr>
        <w:t xml:space="preserve"> CAÑÓN ORTEGÓN, Leonardo. El Subsidio Familiar y las Cajas de Compensación Familiar en las Políticas Sociales de Colombia. Bogotá: Universidad Externado de Colombia, 2022. p. 190.</w:t>
      </w:r>
    </w:p>
  </w:footnote>
  <w:footnote w:id="7">
    <w:p w14:paraId="66DEF018" w14:textId="77777777" w:rsidR="00384EC6" w:rsidRPr="00C57A00" w:rsidRDefault="00384EC6" w:rsidP="00384EC6">
      <w:pPr>
        <w:pStyle w:val="Textonotapie"/>
        <w:ind w:firstLine="709"/>
        <w:jc w:val="both"/>
        <w:rPr>
          <w:rFonts w:ascii="Verdana" w:hAnsi="Verdana" w:cs="Arial"/>
          <w:sz w:val="16"/>
          <w:szCs w:val="16"/>
        </w:rPr>
      </w:pPr>
      <w:r w:rsidRPr="00C57A00">
        <w:rPr>
          <w:rStyle w:val="Refdenotaalpie"/>
          <w:rFonts w:ascii="Verdana" w:hAnsi="Verdana" w:cs="Arial"/>
          <w:sz w:val="16"/>
          <w:szCs w:val="16"/>
        </w:rPr>
        <w:footnoteRef/>
      </w:r>
      <w:r w:rsidRPr="00C57A00">
        <w:rPr>
          <w:rFonts w:ascii="Verdana" w:hAnsi="Verdana" w:cs="Arial"/>
          <w:sz w:val="16"/>
          <w:szCs w:val="16"/>
        </w:rPr>
        <w:t xml:space="preserve"> Consejo de Estado, Sala de Consulta y Servicio Civil. Concepto del 2 de diciembre de 2015. C.P. William Zambrano Centina. Rad. 2267. </w:t>
      </w:r>
    </w:p>
  </w:footnote>
  <w:footnote w:id="8">
    <w:p w14:paraId="11ADC960" w14:textId="77777777" w:rsidR="00384EC6" w:rsidRPr="00C57A00" w:rsidRDefault="00384EC6" w:rsidP="00384EC6">
      <w:pPr>
        <w:pStyle w:val="Textonotapie"/>
        <w:ind w:firstLine="709"/>
        <w:jc w:val="both"/>
        <w:rPr>
          <w:rFonts w:ascii="Verdana" w:hAnsi="Verdana" w:cs="Arial"/>
          <w:sz w:val="16"/>
          <w:szCs w:val="16"/>
        </w:rPr>
      </w:pPr>
      <w:r w:rsidRPr="00C57A00">
        <w:rPr>
          <w:rStyle w:val="Refdenotaalpie"/>
          <w:rFonts w:ascii="Verdana" w:hAnsi="Verdana" w:cs="Arial"/>
          <w:sz w:val="16"/>
          <w:szCs w:val="16"/>
        </w:rPr>
        <w:footnoteRef/>
      </w:r>
      <w:r w:rsidRPr="00C57A00">
        <w:rPr>
          <w:rFonts w:ascii="Verdana" w:hAnsi="Verdana" w:cs="Arial"/>
          <w:sz w:val="16"/>
          <w:szCs w:val="16"/>
        </w:rPr>
        <w:t xml:space="preserve"> </w:t>
      </w:r>
      <w:r w:rsidRPr="00C57A00">
        <w:rPr>
          <w:rFonts w:ascii="Verdana" w:hAnsi="Verdana" w:cs="Arial"/>
          <w:sz w:val="16"/>
          <w:szCs w:val="16"/>
          <w:lang w:val="es-CO"/>
        </w:rPr>
        <w:t xml:space="preserve">Consejo de Estado, Sala de Consulta y Servicio Civil. Concepto del 15 de agosto de 2006. C.P. Luis Fernando Álvarez Jaramillo. Rad. 1763. </w:t>
      </w:r>
    </w:p>
  </w:footnote>
  <w:footnote w:id="9">
    <w:p w14:paraId="531316A1" w14:textId="77777777" w:rsidR="00384EC6" w:rsidRPr="00C57A00" w:rsidRDefault="00384EC6" w:rsidP="00384EC6">
      <w:pPr>
        <w:pStyle w:val="Textonotapie"/>
        <w:ind w:firstLine="708"/>
        <w:jc w:val="both"/>
        <w:rPr>
          <w:rFonts w:ascii="Verdana" w:hAnsi="Verdana"/>
          <w:sz w:val="16"/>
          <w:szCs w:val="16"/>
          <w:lang w:val="es-CO"/>
        </w:rPr>
      </w:pPr>
      <w:r w:rsidRPr="00C57A00">
        <w:rPr>
          <w:rStyle w:val="Refdenotaalpie"/>
          <w:rFonts w:ascii="Verdana" w:hAnsi="Verdana"/>
          <w:sz w:val="16"/>
          <w:szCs w:val="16"/>
        </w:rPr>
        <w:footnoteRef/>
      </w:r>
      <w:r w:rsidRPr="00C57A00">
        <w:rPr>
          <w:rFonts w:ascii="Verdana" w:hAnsi="Verdana"/>
          <w:sz w:val="16"/>
          <w:szCs w:val="16"/>
        </w:rPr>
        <w:t xml:space="preserve"> </w:t>
      </w:r>
      <w:r w:rsidRPr="00C57A00">
        <w:rPr>
          <w:rFonts w:ascii="Verdana" w:hAnsi="Verdana"/>
          <w:sz w:val="16"/>
          <w:szCs w:val="16"/>
          <w:lang w:val="es-CO"/>
        </w:rPr>
        <w:t>Artículo 7º. Están obligados a pagar el subsidio familiar y a efectuar aportes para el Servicio Nacional de Aprendizaje (SENA): </w:t>
      </w:r>
    </w:p>
    <w:p w14:paraId="1E580584" w14:textId="77777777" w:rsidR="00384EC6" w:rsidRPr="00C57A00" w:rsidRDefault="00384EC6" w:rsidP="00384EC6">
      <w:pPr>
        <w:pStyle w:val="Textonotapie"/>
        <w:ind w:firstLine="708"/>
        <w:jc w:val="both"/>
        <w:rPr>
          <w:rFonts w:ascii="Verdana" w:hAnsi="Verdana"/>
          <w:sz w:val="16"/>
          <w:szCs w:val="16"/>
          <w:lang w:val="es-CO"/>
        </w:rPr>
      </w:pPr>
      <w:r w:rsidRPr="00C57A00">
        <w:rPr>
          <w:rFonts w:ascii="Verdana" w:hAnsi="Verdana"/>
          <w:sz w:val="16"/>
          <w:szCs w:val="16"/>
          <w:lang w:val="es-CO"/>
        </w:rPr>
        <w:t>1º. La Nación, por intermedio de los Ministerios, Departamentos Administrativos y Superintendencias. </w:t>
      </w:r>
    </w:p>
    <w:p w14:paraId="31D8696D" w14:textId="77777777" w:rsidR="00384EC6" w:rsidRPr="00C57A00" w:rsidRDefault="00384EC6" w:rsidP="00384EC6">
      <w:pPr>
        <w:pStyle w:val="Textonotapie"/>
        <w:ind w:firstLine="708"/>
        <w:jc w:val="both"/>
        <w:rPr>
          <w:rFonts w:ascii="Verdana" w:hAnsi="Verdana"/>
          <w:sz w:val="16"/>
          <w:szCs w:val="16"/>
          <w:lang w:val="es-CO"/>
        </w:rPr>
      </w:pPr>
      <w:r w:rsidRPr="00C57A00">
        <w:rPr>
          <w:rFonts w:ascii="Verdana" w:hAnsi="Verdana"/>
          <w:sz w:val="16"/>
          <w:szCs w:val="16"/>
          <w:lang w:val="es-CO"/>
        </w:rPr>
        <w:t>2º. Los Departamentos, Intendencias, Comisarías, el Distrito Especial de Bogotá y los Municipios. </w:t>
      </w:r>
    </w:p>
    <w:p w14:paraId="56515795" w14:textId="77777777" w:rsidR="00384EC6" w:rsidRPr="00C57A00" w:rsidRDefault="00384EC6" w:rsidP="00384EC6">
      <w:pPr>
        <w:pStyle w:val="Textonotapie"/>
        <w:ind w:firstLine="708"/>
        <w:jc w:val="both"/>
        <w:rPr>
          <w:rFonts w:ascii="Verdana" w:hAnsi="Verdana"/>
          <w:sz w:val="16"/>
          <w:szCs w:val="16"/>
          <w:lang w:val="es-CO"/>
        </w:rPr>
      </w:pPr>
      <w:r w:rsidRPr="00C57A00">
        <w:rPr>
          <w:rFonts w:ascii="Verdana" w:hAnsi="Verdana"/>
          <w:sz w:val="16"/>
          <w:szCs w:val="16"/>
          <w:lang w:val="es-CO"/>
        </w:rPr>
        <w:t>3º. Los establecimientos públicos, las empresas industriales y comerciales y las empresas de economía mixta de los órdenes nacional, departamental, intendencial, distrital y municipal. 4o. Los empleadores que ocupen uno o más trabajadores permanentes. </w:t>
      </w:r>
    </w:p>
    <w:p w14:paraId="0999D8EE" w14:textId="77777777" w:rsidR="00384EC6" w:rsidRPr="00C57A00" w:rsidRDefault="00384EC6" w:rsidP="00384EC6">
      <w:pPr>
        <w:pStyle w:val="Textonotapie"/>
        <w:ind w:firstLine="708"/>
        <w:jc w:val="both"/>
        <w:rPr>
          <w:rFonts w:ascii="Verdana" w:hAnsi="Verdana"/>
          <w:sz w:val="16"/>
          <w:szCs w:val="16"/>
          <w:lang w:val="es-CO"/>
        </w:rPr>
      </w:pPr>
      <w:r w:rsidRPr="00C57A00">
        <w:rPr>
          <w:rFonts w:ascii="Verdana" w:hAnsi="Verdana"/>
          <w:sz w:val="16"/>
          <w:szCs w:val="16"/>
          <w:lang w:val="es-CO"/>
        </w:rPr>
        <w:t>Parágrafo.Las Universidades Públicas no están obligadas a efectuar aportes para el Servicio Nacional de Aprendizaje, SENA.  </w:t>
      </w:r>
    </w:p>
    <w:p w14:paraId="6E23E837" w14:textId="77777777" w:rsidR="00384EC6" w:rsidRPr="00C57A00" w:rsidRDefault="00384EC6" w:rsidP="00384EC6">
      <w:pPr>
        <w:pStyle w:val="Textonotapie"/>
        <w:ind w:firstLine="708"/>
        <w:jc w:val="both"/>
        <w:rPr>
          <w:rFonts w:ascii="Verdana" w:hAnsi="Verdana"/>
          <w:sz w:val="16"/>
          <w:szCs w:val="16"/>
          <w:lang w:val="es-CO"/>
        </w:rPr>
      </w:pPr>
      <w:r w:rsidRPr="00C57A00">
        <w:rPr>
          <w:rFonts w:ascii="Verdana" w:hAnsi="Verdana"/>
          <w:sz w:val="16"/>
          <w:szCs w:val="16"/>
          <w:lang w:val="es-CO"/>
        </w:rPr>
        <w:t>Las deudas que las Universidades Públicas hayan adquirido con el SENA, por concepto de dichos aportes, serán compensadas mediante el suministro, por parte de las Universidades Públicas, de programas de capacitación según los requerimientos y necesidades del SENA. </w:t>
      </w:r>
    </w:p>
  </w:footnote>
  <w:footnote w:id="10">
    <w:p w14:paraId="72908A4D" w14:textId="77777777" w:rsidR="00384EC6" w:rsidRPr="00FA5A6F" w:rsidRDefault="00384EC6" w:rsidP="00384EC6">
      <w:pPr>
        <w:pStyle w:val="Textonotapie"/>
        <w:ind w:firstLine="708"/>
        <w:rPr>
          <w:rFonts w:ascii="Verdana" w:hAnsi="Verdana"/>
          <w:sz w:val="14"/>
          <w:szCs w:val="14"/>
        </w:rPr>
      </w:pPr>
      <w:r w:rsidRPr="00C57A00">
        <w:rPr>
          <w:rStyle w:val="Refdenotaalpie"/>
          <w:rFonts w:ascii="Verdana" w:hAnsi="Verdana"/>
          <w:sz w:val="16"/>
          <w:szCs w:val="16"/>
        </w:rPr>
        <w:footnoteRef/>
      </w:r>
      <w:r w:rsidRPr="00C57A00">
        <w:rPr>
          <w:rFonts w:ascii="Verdana" w:hAnsi="Verdana"/>
          <w:sz w:val="16"/>
          <w:szCs w:val="16"/>
        </w:rPr>
        <w:t xml:space="preserve"> </w:t>
      </w:r>
      <w:r w:rsidRPr="00C57A00">
        <w:rPr>
          <w:rFonts w:ascii="Verdana" w:hAnsi="Verdana"/>
          <w:sz w:val="16"/>
          <w:szCs w:val="16"/>
          <w:lang w:val="es-CO"/>
        </w:rPr>
        <w:t>CAÑÓN ORTEGÓN, Leonardo. Op. Cit. p. 201.</w:t>
      </w:r>
      <w:r w:rsidRPr="00FA5A6F">
        <w:rPr>
          <w:rFonts w:ascii="Verdana" w:hAnsi="Verdana"/>
          <w:sz w:val="14"/>
          <w:szCs w:val="14"/>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9B3C20" w:rsidRDefault="009B3C20"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9B3C20" w:rsidRDefault="009B3C20">
    <w:pPr>
      <w:pStyle w:val="Encabezado"/>
    </w:pPr>
  </w:p>
  <w:p w14:paraId="5E18350A" w14:textId="705F7B76" w:rsidR="009B3C20" w:rsidRPr="004A305D" w:rsidRDefault="009B3C20" w:rsidP="00B01B1A">
    <w:pPr>
      <w:spacing w:after="0" w:line="120" w:lineRule="auto"/>
      <w:rPr>
        <w:rFonts w:ascii="Century Gothic" w:eastAsia="Geo" w:hAnsi="Century Gothic" w:cs="Geo"/>
        <w:sz w:val="16"/>
        <w:szCs w:val="16"/>
        <w:lang w:eastAsia="es-CO"/>
      </w:rPr>
    </w:pPr>
  </w:p>
  <w:p w14:paraId="211B7F5D" w14:textId="77777777" w:rsidR="009B3C20" w:rsidRDefault="009B3C20" w:rsidP="00844AE9">
    <w:pPr>
      <w:spacing w:after="0" w:line="240" w:lineRule="auto"/>
      <w:rPr>
        <w:rFonts w:ascii="Verdana" w:hAnsi="Verdana"/>
        <w:sz w:val="24"/>
        <w:szCs w:val="24"/>
      </w:rPr>
    </w:pPr>
  </w:p>
  <w:p w14:paraId="5A0054B1" w14:textId="77777777" w:rsidR="009B3C20" w:rsidRPr="00C925AC" w:rsidRDefault="009B3C20" w:rsidP="00844AE9">
    <w:pPr>
      <w:spacing w:after="0" w:line="240" w:lineRule="auto"/>
      <w:rPr>
        <w:rFonts w:ascii="Verdana" w:hAnsi="Verdana"/>
        <w:sz w:val="24"/>
        <w:szCs w:val="24"/>
      </w:rPr>
    </w:pPr>
  </w:p>
  <w:p w14:paraId="1FD1C243" w14:textId="37C5500A" w:rsidR="009B3C20" w:rsidRPr="00C925AC" w:rsidRDefault="009B3C2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874E1E31"/>
    <w:multiLevelType w:val="hybridMultilevel"/>
    <w:tmpl w:val="15B440B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FF1201"/>
    <w:multiLevelType w:val="hybridMultilevel"/>
    <w:tmpl w:val="03B258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8F5138A"/>
    <w:multiLevelType w:val="hybridMultilevel"/>
    <w:tmpl w:val="EA27AD3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8" w15:restartNumberingAfterBreak="0">
    <w:nsid w:val="21BD4E30"/>
    <w:multiLevelType w:val="hybridMultilevel"/>
    <w:tmpl w:val="3A0F72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0" w15:restartNumberingAfterBreak="0">
    <w:nsid w:val="59E0344E"/>
    <w:multiLevelType w:val="hybridMultilevel"/>
    <w:tmpl w:val="C66EF1EA"/>
    <w:lvl w:ilvl="0" w:tplc="240A0001">
      <w:start w:val="1"/>
      <w:numFmt w:val="bullet"/>
      <w:lvlText w:val=""/>
      <w:lvlJc w:val="left"/>
      <w:pPr>
        <w:ind w:left="800" w:hanging="360"/>
      </w:pPr>
      <w:rPr>
        <w:rFonts w:ascii="Symbol" w:hAnsi="Symbol" w:hint="default"/>
      </w:rPr>
    </w:lvl>
    <w:lvl w:ilvl="1" w:tplc="240A0003" w:tentative="1">
      <w:start w:val="1"/>
      <w:numFmt w:val="bullet"/>
      <w:lvlText w:val="o"/>
      <w:lvlJc w:val="left"/>
      <w:pPr>
        <w:ind w:left="1520" w:hanging="360"/>
      </w:pPr>
      <w:rPr>
        <w:rFonts w:ascii="Courier New" w:hAnsi="Courier New" w:cs="Courier New" w:hint="default"/>
      </w:rPr>
    </w:lvl>
    <w:lvl w:ilvl="2" w:tplc="240A0005" w:tentative="1">
      <w:start w:val="1"/>
      <w:numFmt w:val="bullet"/>
      <w:lvlText w:val=""/>
      <w:lvlJc w:val="left"/>
      <w:pPr>
        <w:ind w:left="2240" w:hanging="360"/>
      </w:pPr>
      <w:rPr>
        <w:rFonts w:ascii="Wingdings" w:hAnsi="Wingdings" w:hint="default"/>
      </w:rPr>
    </w:lvl>
    <w:lvl w:ilvl="3" w:tplc="240A0001" w:tentative="1">
      <w:start w:val="1"/>
      <w:numFmt w:val="bullet"/>
      <w:lvlText w:val=""/>
      <w:lvlJc w:val="left"/>
      <w:pPr>
        <w:ind w:left="2960" w:hanging="360"/>
      </w:pPr>
      <w:rPr>
        <w:rFonts w:ascii="Symbol" w:hAnsi="Symbol" w:hint="default"/>
      </w:rPr>
    </w:lvl>
    <w:lvl w:ilvl="4" w:tplc="240A0003" w:tentative="1">
      <w:start w:val="1"/>
      <w:numFmt w:val="bullet"/>
      <w:lvlText w:val="o"/>
      <w:lvlJc w:val="left"/>
      <w:pPr>
        <w:ind w:left="3680" w:hanging="360"/>
      </w:pPr>
      <w:rPr>
        <w:rFonts w:ascii="Courier New" w:hAnsi="Courier New" w:cs="Courier New" w:hint="default"/>
      </w:rPr>
    </w:lvl>
    <w:lvl w:ilvl="5" w:tplc="240A0005" w:tentative="1">
      <w:start w:val="1"/>
      <w:numFmt w:val="bullet"/>
      <w:lvlText w:val=""/>
      <w:lvlJc w:val="left"/>
      <w:pPr>
        <w:ind w:left="4400" w:hanging="360"/>
      </w:pPr>
      <w:rPr>
        <w:rFonts w:ascii="Wingdings" w:hAnsi="Wingdings" w:hint="default"/>
      </w:rPr>
    </w:lvl>
    <w:lvl w:ilvl="6" w:tplc="240A0001" w:tentative="1">
      <w:start w:val="1"/>
      <w:numFmt w:val="bullet"/>
      <w:lvlText w:val=""/>
      <w:lvlJc w:val="left"/>
      <w:pPr>
        <w:ind w:left="5120" w:hanging="360"/>
      </w:pPr>
      <w:rPr>
        <w:rFonts w:ascii="Symbol" w:hAnsi="Symbol" w:hint="default"/>
      </w:rPr>
    </w:lvl>
    <w:lvl w:ilvl="7" w:tplc="240A0003" w:tentative="1">
      <w:start w:val="1"/>
      <w:numFmt w:val="bullet"/>
      <w:lvlText w:val="o"/>
      <w:lvlJc w:val="left"/>
      <w:pPr>
        <w:ind w:left="5840" w:hanging="360"/>
      </w:pPr>
      <w:rPr>
        <w:rFonts w:ascii="Courier New" w:hAnsi="Courier New" w:cs="Courier New" w:hint="default"/>
      </w:rPr>
    </w:lvl>
    <w:lvl w:ilvl="8" w:tplc="240A0005" w:tentative="1">
      <w:start w:val="1"/>
      <w:numFmt w:val="bullet"/>
      <w:lvlText w:val=""/>
      <w:lvlJc w:val="left"/>
      <w:pPr>
        <w:ind w:left="6560" w:hanging="360"/>
      </w:pPr>
      <w:rPr>
        <w:rFonts w:ascii="Wingdings" w:hAnsi="Wingdings" w:hint="default"/>
      </w:rPr>
    </w:lvl>
  </w:abstractNum>
  <w:abstractNum w:abstractNumId="21"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429304428">
    <w:abstractNumId w:val="15"/>
  </w:num>
  <w:num w:numId="2" w16cid:durableId="1048263673">
    <w:abstractNumId w:val="4"/>
  </w:num>
  <w:num w:numId="3" w16cid:durableId="1984577427">
    <w:abstractNumId w:val="12"/>
  </w:num>
  <w:num w:numId="4" w16cid:durableId="4961181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80781348">
    <w:abstractNumId w:val="4"/>
  </w:num>
  <w:num w:numId="6" w16cid:durableId="1971860666">
    <w:abstractNumId w:val="25"/>
  </w:num>
  <w:num w:numId="7" w16cid:durableId="796602313">
    <w:abstractNumId w:val="13"/>
  </w:num>
  <w:num w:numId="8" w16cid:durableId="476383774">
    <w:abstractNumId w:val="24"/>
  </w:num>
  <w:num w:numId="9" w16cid:durableId="141626687">
    <w:abstractNumId w:val="16"/>
  </w:num>
  <w:num w:numId="10" w16cid:durableId="713776987">
    <w:abstractNumId w:val="23"/>
  </w:num>
  <w:num w:numId="11" w16cid:durableId="1914007731">
    <w:abstractNumId w:val="17"/>
  </w:num>
  <w:num w:numId="12" w16cid:durableId="1530022854">
    <w:abstractNumId w:val="2"/>
  </w:num>
  <w:num w:numId="13" w16cid:durableId="638534769">
    <w:abstractNumId w:val="9"/>
  </w:num>
  <w:num w:numId="14" w16cid:durableId="472987041">
    <w:abstractNumId w:val="26"/>
  </w:num>
  <w:num w:numId="15" w16cid:durableId="1913615974">
    <w:abstractNumId w:val="22"/>
  </w:num>
  <w:num w:numId="16" w16cid:durableId="940990884">
    <w:abstractNumId w:val="10"/>
  </w:num>
  <w:num w:numId="17" w16cid:durableId="1611206654">
    <w:abstractNumId w:val="18"/>
  </w:num>
  <w:num w:numId="18" w16cid:durableId="1123424151">
    <w:abstractNumId w:val="29"/>
  </w:num>
  <w:num w:numId="19" w16cid:durableId="33897372">
    <w:abstractNumId w:val="28"/>
  </w:num>
  <w:num w:numId="20" w16cid:durableId="124858259">
    <w:abstractNumId w:val="3"/>
  </w:num>
  <w:num w:numId="21" w16cid:durableId="746224028">
    <w:abstractNumId w:val="7"/>
  </w:num>
  <w:num w:numId="22" w16cid:durableId="1250967340">
    <w:abstractNumId w:val="11"/>
  </w:num>
  <w:num w:numId="23" w16cid:durableId="595942808">
    <w:abstractNumId w:val="6"/>
  </w:num>
  <w:num w:numId="24" w16cid:durableId="1646667054">
    <w:abstractNumId w:val="27"/>
  </w:num>
  <w:num w:numId="25" w16cid:durableId="657077276">
    <w:abstractNumId w:val="1"/>
  </w:num>
  <w:num w:numId="26" w16cid:durableId="1169637653">
    <w:abstractNumId w:val="0"/>
  </w:num>
  <w:num w:numId="27" w16cid:durableId="858549740">
    <w:abstractNumId w:val="8"/>
  </w:num>
  <w:num w:numId="28" w16cid:durableId="1711958996">
    <w:abstractNumId w:val="14"/>
  </w:num>
  <w:num w:numId="29" w16cid:durableId="1441338805">
    <w:abstractNumId w:val="30"/>
  </w:num>
  <w:num w:numId="30" w16cid:durableId="470439997">
    <w:abstractNumId w:val="19"/>
  </w:num>
  <w:num w:numId="31" w16cid:durableId="605160622">
    <w:abstractNumId w:val="21"/>
  </w:num>
  <w:num w:numId="32" w16cid:durableId="332607946">
    <w:abstractNumId w:val="5"/>
  </w:num>
  <w:num w:numId="33" w16cid:durableId="208563740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3B58"/>
    <w:rsid w:val="000351B8"/>
    <w:rsid w:val="000353BD"/>
    <w:rsid w:val="00046945"/>
    <w:rsid w:val="000520BE"/>
    <w:rsid w:val="00055901"/>
    <w:rsid w:val="00061B2A"/>
    <w:rsid w:val="00062688"/>
    <w:rsid w:val="000711CF"/>
    <w:rsid w:val="0007149E"/>
    <w:rsid w:val="00076D52"/>
    <w:rsid w:val="00080B1D"/>
    <w:rsid w:val="00082362"/>
    <w:rsid w:val="0009079C"/>
    <w:rsid w:val="000A66E5"/>
    <w:rsid w:val="000A683E"/>
    <w:rsid w:val="000B19B9"/>
    <w:rsid w:val="000B27F0"/>
    <w:rsid w:val="000B70B5"/>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44A14"/>
    <w:rsid w:val="001520E9"/>
    <w:rsid w:val="0015699B"/>
    <w:rsid w:val="00171640"/>
    <w:rsid w:val="00174D6E"/>
    <w:rsid w:val="00186A6A"/>
    <w:rsid w:val="001A10B6"/>
    <w:rsid w:val="001A33BF"/>
    <w:rsid w:val="001A3A16"/>
    <w:rsid w:val="001C5AE4"/>
    <w:rsid w:val="001C61B3"/>
    <w:rsid w:val="001D02CC"/>
    <w:rsid w:val="001D1FE7"/>
    <w:rsid w:val="001E2E05"/>
    <w:rsid w:val="001E4177"/>
    <w:rsid w:val="001F0B24"/>
    <w:rsid w:val="001F7DC6"/>
    <w:rsid w:val="00207466"/>
    <w:rsid w:val="00212AD1"/>
    <w:rsid w:val="00216522"/>
    <w:rsid w:val="002209DE"/>
    <w:rsid w:val="0022400B"/>
    <w:rsid w:val="002421BB"/>
    <w:rsid w:val="00253436"/>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E73A6"/>
    <w:rsid w:val="002F0847"/>
    <w:rsid w:val="002F43E6"/>
    <w:rsid w:val="002F7AD4"/>
    <w:rsid w:val="0030657A"/>
    <w:rsid w:val="003136DC"/>
    <w:rsid w:val="00316053"/>
    <w:rsid w:val="00322A85"/>
    <w:rsid w:val="00322C00"/>
    <w:rsid w:val="00322D77"/>
    <w:rsid w:val="00324168"/>
    <w:rsid w:val="00327F61"/>
    <w:rsid w:val="00330834"/>
    <w:rsid w:val="003332A8"/>
    <w:rsid w:val="003448F4"/>
    <w:rsid w:val="00374F5E"/>
    <w:rsid w:val="003769E1"/>
    <w:rsid w:val="00377E3E"/>
    <w:rsid w:val="00381BAB"/>
    <w:rsid w:val="00384EC6"/>
    <w:rsid w:val="003A779E"/>
    <w:rsid w:val="003B0DFC"/>
    <w:rsid w:val="003C0ED7"/>
    <w:rsid w:val="003D0F4D"/>
    <w:rsid w:val="003D5B0D"/>
    <w:rsid w:val="003E0499"/>
    <w:rsid w:val="003E4F80"/>
    <w:rsid w:val="003E6439"/>
    <w:rsid w:val="003F1FD8"/>
    <w:rsid w:val="003F3941"/>
    <w:rsid w:val="00403EFA"/>
    <w:rsid w:val="00406575"/>
    <w:rsid w:val="004140B3"/>
    <w:rsid w:val="00414C74"/>
    <w:rsid w:val="0042722E"/>
    <w:rsid w:val="0044528D"/>
    <w:rsid w:val="00450B8A"/>
    <w:rsid w:val="00451137"/>
    <w:rsid w:val="004555EA"/>
    <w:rsid w:val="0045785F"/>
    <w:rsid w:val="00466E39"/>
    <w:rsid w:val="00476D7D"/>
    <w:rsid w:val="00484E40"/>
    <w:rsid w:val="00486E52"/>
    <w:rsid w:val="0048787A"/>
    <w:rsid w:val="00494F04"/>
    <w:rsid w:val="0049642B"/>
    <w:rsid w:val="004A0A0B"/>
    <w:rsid w:val="004A0E5C"/>
    <w:rsid w:val="004A1847"/>
    <w:rsid w:val="004A305D"/>
    <w:rsid w:val="004A6649"/>
    <w:rsid w:val="004B3DAC"/>
    <w:rsid w:val="004B73B9"/>
    <w:rsid w:val="004C0DBB"/>
    <w:rsid w:val="004E2B92"/>
    <w:rsid w:val="004F21C4"/>
    <w:rsid w:val="004F685F"/>
    <w:rsid w:val="00513BF7"/>
    <w:rsid w:val="00517955"/>
    <w:rsid w:val="005229DB"/>
    <w:rsid w:val="00534886"/>
    <w:rsid w:val="00536A0E"/>
    <w:rsid w:val="00553040"/>
    <w:rsid w:val="005566E8"/>
    <w:rsid w:val="00560892"/>
    <w:rsid w:val="00566E6F"/>
    <w:rsid w:val="00570B00"/>
    <w:rsid w:val="00572622"/>
    <w:rsid w:val="00573280"/>
    <w:rsid w:val="00574867"/>
    <w:rsid w:val="00591460"/>
    <w:rsid w:val="00592C94"/>
    <w:rsid w:val="005A2CAB"/>
    <w:rsid w:val="005A52A7"/>
    <w:rsid w:val="005A65E0"/>
    <w:rsid w:val="005B2A46"/>
    <w:rsid w:val="005C0881"/>
    <w:rsid w:val="005C3777"/>
    <w:rsid w:val="005C5CDC"/>
    <w:rsid w:val="005C674F"/>
    <w:rsid w:val="005D2566"/>
    <w:rsid w:val="005D476C"/>
    <w:rsid w:val="005F20A4"/>
    <w:rsid w:val="00600D92"/>
    <w:rsid w:val="00603C5B"/>
    <w:rsid w:val="00611CE6"/>
    <w:rsid w:val="006137E1"/>
    <w:rsid w:val="00617E91"/>
    <w:rsid w:val="006200BF"/>
    <w:rsid w:val="0062143E"/>
    <w:rsid w:val="006219F8"/>
    <w:rsid w:val="00624A89"/>
    <w:rsid w:val="00624EEC"/>
    <w:rsid w:val="006302F7"/>
    <w:rsid w:val="006443FE"/>
    <w:rsid w:val="00646B9F"/>
    <w:rsid w:val="00646F24"/>
    <w:rsid w:val="006547C3"/>
    <w:rsid w:val="006556B1"/>
    <w:rsid w:val="00663A04"/>
    <w:rsid w:val="00665D70"/>
    <w:rsid w:val="00684F67"/>
    <w:rsid w:val="006900D9"/>
    <w:rsid w:val="0069741A"/>
    <w:rsid w:val="006A2BE4"/>
    <w:rsid w:val="006B4707"/>
    <w:rsid w:val="006D13BA"/>
    <w:rsid w:val="006D591D"/>
    <w:rsid w:val="006F2238"/>
    <w:rsid w:val="006F4199"/>
    <w:rsid w:val="007009D7"/>
    <w:rsid w:val="007025D7"/>
    <w:rsid w:val="00706C16"/>
    <w:rsid w:val="00714355"/>
    <w:rsid w:val="00715444"/>
    <w:rsid w:val="0071557C"/>
    <w:rsid w:val="00731F30"/>
    <w:rsid w:val="007340C3"/>
    <w:rsid w:val="0073510E"/>
    <w:rsid w:val="007458D3"/>
    <w:rsid w:val="0075235A"/>
    <w:rsid w:val="00752CDB"/>
    <w:rsid w:val="0075557D"/>
    <w:rsid w:val="00756841"/>
    <w:rsid w:val="007576BA"/>
    <w:rsid w:val="007649AB"/>
    <w:rsid w:val="00771AEF"/>
    <w:rsid w:val="00771D0C"/>
    <w:rsid w:val="00782ED2"/>
    <w:rsid w:val="007833AC"/>
    <w:rsid w:val="00795086"/>
    <w:rsid w:val="007A037B"/>
    <w:rsid w:val="007A1830"/>
    <w:rsid w:val="007B268C"/>
    <w:rsid w:val="007B7171"/>
    <w:rsid w:val="007C0C0F"/>
    <w:rsid w:val="007C3DC2"/>
    <w:rsid w:val="007C4353"/>
    <w:rsid w:val="007C6A9F"/>
    <w:rsid w:val="007D2809"/>
    <w:rsid w:val="007D3058"/>
    <w:rsid w:val="007D4B12"/>
    <w:rsid w:val="007E43AC"/>
    <w:rsid w:val="007E5497"/>
    <w:rsid w:val="00806F5F"/>
    <w:rsid w:val="00820278"/>
    <w:rsid w:val="00822A37"/>
    <w:rsid w:val="008236EF"/>
    <w:rsid w:val="008258C9"/>
    <w:rsid w:val="00830893"/>
    <w:rsid w:val="00833286"/>
    <w:rsid w:val="00836232"/>
    <w:rsid w:val="00841E29"/>
    <w:rsid w:val="00844AE9"/>
    <w:rsid w:val="0085545E"/>
    <w:rsid w:val="00865120"/>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207E"/>
    <w:rsid w:val="008F4334"/>
    <w:rsid w:val="008F6705"/>
    <w:rsid w:val="009037F6"/>
    <w:rsid w:val="0091143C"/>
    <w:rsid w:val="00915A51"/>
    <w:rsid w:val="00917FBF"/>
    <w:rsid w:val="0092018D"/>
    <w:rsid w:val="00920817"/>
    <w:rsid w:val="00923EEF"/>
    <w:rsid w:val="009419F9"/>
    <w:rsid w:val="0095685E"/>
    <w:rsid w:val="00961B09"/>
    <w:rsid w:val="00963E12"/>
    <w:rsid w:val="00964321"/>
    <w:rsid w:val="00965334"/>
    <w:rsid w:val="00970742"/>
    <w:rsid w:val="0097093E"/>
    <w:rsid w:val="009722DE"/>
    <w:rsid w:val="009736BF"/>
    <w:rsid w:val="00982DD4"/>
    <w:rsid w:val="00984DB3"/>
    <w:rsid w:val="00992E19"/>
    <w:rsid w:val="009A0486"/>
    <w:rsid w:val="009A0DFA"/>
    <w:rsid w:val="009A4368"/>
    <w:rsid w:val="009B28B9"/>
    <w:rsid w:val="009B2D26"/>
    <w:rsid w:val="009B3C20"/>
    <w:rsid w:val="009C71FA"/>
    <w:rsid w:val="009C72E7"/>
    <w:rsid w:val="009C7F7E"/>
    <w:rsid w:val="009D23F2"/>
    <w:rsid w:val="009D3058"/>
    <w:rsid w:val="009E1F28"/>
    <w:rsid w:val="009E6924"/>
    <w:rsid w:val="009E7AED"/>
    <w:rsid w:val="009F3A13"/>
    <w:rsid w:val="009F5BD5"/>
    <w:rsid w:val="009F7A6E"/>
    <w:rsid w:val="00A0334B"/>
    <w:rsid w:val="00A0526C"/>
    <w:rsid w:val="00A122D3"/>
    <w:rsid w:val="00A13FAB"/>
    <w:rsid w:val="00A14468"/>
    <w:rsid w:val="00A160DC"/>
    <w:rsid w:val="00A17F13"/>
    <w:rsid w:val="00A2014A"/>
    <w:rsid w:val="00A20739"/>
    <w:rsid w:val="00A23AF9"/>
    <w:rsid w:val="00A31A76"/>
    <w:rsid w:val="00A33C78"/>
    <w:rsid w:val="00A53338"/>
    <w:rsid w:val="00A73F45"/>
    <w:rsid w:val="00AA1E47"/>
    <w:rsid w:val="00AB0ADB"/>
    <w:rsid w:val="00AB436E"/>
    <w:rsid w:val="00AB5BE5"/>
    <w:rsid w:val="00AC694F"/>
    <w:rsid w:val="00AD173A"/>
    <w:rsid w:val="00AD7D5F"/>
    <w:rsid w:val="00AE2AB5"/>
    <w:rsid w:val="00AE3513"/>
    <w:rsid w:val="00AF5A10"/>
    <w:rsid w:val="00B00C0E"/>
    <w:rsid w:val="00B01B1A"/>
    <w:rsid w:val="00B0459C"/>
    <w:rsid w:val="00B04DA1"/>
    <w:rsid w:val="00B11075"/>
    <w:rsid w:val="00B12E7E"/>
    <w:rsid w:val="00B30A05"/>
    <w:rsid w:val="00B3633C"/>
    <w:rsid w:val="00B37EB5"/>
    <w:rsid w:val="00B44A47"/>
    <w:rsid w:val="00B51CEB"/>
    <w:rsid w:val="00B54271"/>
    <w:rsid w:val="00B5550F"/>
    <w:rsid w:val="00B6149C"/>
    <w:rsid w:val="00B64484"/>
    <w:rsid w:val="00B71FD5"/>
    <w:rsid w:val="00B72CD3"/>
    <w:rsid w:val="00B72FFF"/>
    <w:rsid w:val="00B74092"/>
    <w:rsid w:val="00B95DAC"/>
    <w:rsid w:val="00BA2EB9"/>
    <w:rsid w:val="00BA703D"/>
    <w:rsid w:val="00BC3D36"/>
    <w:rsid w:val="00BC70CB"/>
    <w:rsid w:val="00BD125A"/>
    <w:rsid w:val="00BD13AC"/>
    <w:rsid w:val="00BD54A6"/>
    <w:rsid w:val="00BD7F72"/>
    <w:rsid w:val="00BF056C"/>
    <w:rsid w:val="00BF3B66"/>
    <w:rsid w:val="00BF5C08"/>
    <w:rsid w:val="00BF7425"/>
    <w:rsid w:val="00C04FB3"/>
    <w:rsid w:val="00C11D8B"/>
    <w:rsid w:val="00C251B0"/>
    <w:rsid w:val="00C3284D"/>
    <w:rsid w:val="00C330EB"/>
    <w:rsid w:val="00C419DF"/>
    <w:rsid w:val="00C50D69"/>
    <w:rsid w:val="00C5365C"/>
    <w:rsid w:val="00C619D4"/>
    <w:rsid w:val="00C61D93"/>
    <w:rsid w:val="00C661E0"/>
    <w:rsid w:val="00C754BE"/>
    <w:rsid w:val="00C76B1C"/>
    <w:rsid w:val="00C82667"/>
    <w:rsid w:val="00C90C96"/>
    <w:rsid w:val="00C925AC"/>
    <w:rsid w:val="00C94828"/>
    <w:rsid w:val="00C963BE"/>
    <w:rsid w:val="00C96B64"/>
    <w:rsid w:val="00CA2858"/>
    <w:rsid w:val="00CA710C"/>
    <w:rsid w:val="00CB02F1"/>
    <w:rsid w:val="00CB6357"/>
    <w:rsid w:val="00CC1B26"/>
    <w:rsid w:val="00CD4C85"/>
    <w:rsid w:val="00CE3C1C"/>
    <w:rsid w:val="00CE4026"/>
    <w:rsid w:val="00D06146"/>
    <w:rsid w:val="00D0699E"/>
    <w:rsid w:val="00D1210B"/>
    <w:rsid w:val="00D1532C"/>
    <w:rsid w:val="00D22D2B"/>
    <w:rsid w:val="00D334DD"/>
    <w:rsid w:val="00D34EA3"/>
    <w:rsid w:val="00D361FD"/>
    <w:rsid w:val="00D4214E"/>
    <w:rsid w:val="00D423A2"/>
    <w:rsid w:val="00D44E26"/>
    <w:rsid w:val="00D51A5D"/>
    <w:rsid w:val="00D520D8"/>
    <w:rsid w:val="00D532D4"/>
    <w:rsid w:val="00D62B9C"/>
    <w:rsid w:val="00D63AC2"/>
    <w:rsid w:val="00D7383B"/>
    <w:rsid w:val="00D73DBD"/>
    <w:rsid w:val="00D7788A"/>
    <w:rsid w:val="00D85F06"/>
    <w:rsid w:val="00D936A2"/>
    <w:rsid w:val="00DA231B"/>
    <w:rsid w:val="00DA6CAC"/>
    <w:rsid w:val="00DB13F4"/>
    <w:rsid w:val="00DB3340"/>
    <w:rsid w:val="00DB55DA"/>
    <w:rsid w:val="00DC39FC"/>
    <w:rsid w:val="00DC7CCB"/>
    <w:rsid w:val="00DE6EC3"/>
    <w:rsid w:val="00DF15BB"/>
    <w:rsid w:val="00DF27FE"/>
    <w:rsid w:val="00DF5254"/>
    <w:rsid w:val="00E02087"/>
    <w:rsid w:val="00E02524"/>
    <w:rsid w:val="00E1159D"/>
    <w:rsid w:val="00E1451E"/>
    <w:rsid w:val="00E16408"/>
    <w:rsid w:val="00E20894"/>
    <w:rsid w:val="00E245AB"/>
    <w:rsid w:val="00E24891"/>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3B9"/>
    <w:rsid w:val="00EC38A7"/>
    <w:rsid w:val="00ED4980"/>
    <w:rsid w:val="00EE1AA8"/>
    <w:rsid w:val="00EE265D"/>
    <w:rsid w:val="00EE3D99"/>
    <w:rsid w:val="00EF0C91"/>
    <w:rsid w:val="00EF1D4F"/>
    <w:rsid w:val="00EF5E13"/>
    <w:rsid w:val="00EF647F"/>
    <w:rsid w:val="00F03314"/>
    <w:rsid w:val="00F0580C"/>
    <w:rsid w:val="00F23FEA"/>
    <w:rsid w:val="00F27B7B"/>
    <w:rsid w:val="00F31EDC"/>
    <w:rsid w:val="00F34294"/>
    <w:rsid w:val="00F449F4"/>
    <w:rsid w:val="00F45A82"/>
    <w:rsid w:val="00F462B3"/>
    <w:rsid w:val="00F515B7"/>
    <w:rsid w:val="00F5664F"/>
    <w:rsid w:val="00F60F65"/>
    <w:rsid w:val="00F666C4"/>
    <w:rsid w:val="00F7218F"/>
    <w:rsid w:val="00F76AFC"/>
    <w:rsid w:val="00F81BF0"/>
    <w:rsid w:val="00F82E88"/>
    <w:rsid w:val="00F86E11"/>
    <w:rsid w:val="00F86E3E"/>
    <w:rsid w:val="00F95C74"/>
    <w:rsid w:val="00F9721B"/>
    <w:rsid w:val="00FA31C3"/>
    <w:rsid w:val="00FA47C0"/>
    <w:rsid w:val="00FA589A"/>
    <w:rsid w:val="00FA5FFD"/>
    <w:rsid w:val="00FB5DD1"/>
    <w:rsid w:val="00FC2B5D"/>
    <w:rsid w:val="00FD1DDC"/>
    <w:rsid w:val="00FD3AD2"/>
    <w:rsid w:val="00FD5BCD"/>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EC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table" w:customStyle="1" w:styleId="TableNormal1">
    <w:name w:val="Table Normal1"/>
    <w:uiPriority w:val="2"/>
    <w:semiHidden/>
    <w:unhideWhenUsed/>
    <w:qFormat/>
    <w:rsid w:val="009B3C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8236E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714355"/>
    <w:pPr>
      <w:spacing w:after="120"/>
    </w:pPr>
  </w:style>
  <w:style w:type="character" w:customStyle="1" w:styleId="TextoindependienteCar">
    <w:name w:val="Texto independiente Car"/>
    <w:basedOn w:val="Fuentedeprrafopredeter"/>
    <w:link w:val="Textoindependiente"/>
    <w:uiPriority w:val="99"/>
    <w:semiHidden/>
    <w:rsid w:val="00714355"/>
  </w:style>
  <w:style w:type="character" w:styleId="Fuerte">
    <w:name w:val="Strong"/>
    <w:basedOn w:val="Fuentedeprrafopredeter"/>
    <w:uiPriority w:val="22"/>
    <w:qFormat/>
    <w:rsid w:val="00384E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2535293">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otificacionesdce@mindefensa.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facor@comfacor.com.c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0F862C-EE65-4AFF-9272-AFFA60B0E6F0}">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54144C5E-6A7F-44EE-BF83-4FC2A5A3DE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21</Pages>
  <Words>6935</Words>
  <Characters>37866</Characters>
  <Application>Microsoft Office Word</Application>
  <DocSecurity>0</DocSecurity>
  <Lines>742</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2026-02-13T17:11:00Z</dcterms:created>
  <dcterms:modified xsi:type="dcterms:W3CDTF">2026-02-17T14:35:00Z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