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85600" w14:textId="01A92AEE" w:rsidR="00E76CF4" w:rsidRPr="005B0009" w:rsidRDefault="00271A06" w:rsidP="00F16D04">
      <w:pPr>
        <w:spacing w:after="0" w:line="240" w:lineRule="auto"/>
        <w:jc w:val="both"/>
        <w:rPr>
          <w:rFonts w:ascii="Verdana" w:eastAsia="Calibri" w:hAnsi="Verdana" w:cs="Arial"/>
          <w:b/>
          <w:bCs/>
          <w:lang w:val="es-ES_tradnl"/>
        </w:rPr>
      </w:pPr>
      <w:r w:rsidRPr="005B0009">
        <w:rPr>
          <w:rFonts w:ascii="Verdana" w:eastAsia="Calibri" w:hAnsi="Verdana" w:cs="Arial"/>
          <w:b/>
          <w:bCs/>
          <w:lang w:val="es-ES_tradnl"/>
        </w:rPr>
        <w:t xml:space="preserve">EXPERIENCIA – Noción </w:t>
      </w:r>
    </w:p>
    <w:p w14:paraId="2EC9A9DE" w14:textId="77777777" w:rsidR="00271A06" w:rsidRDefault="00271A06" w:rsidP="00F16D04">
      <w:pPr>
        <w:spacing w:after="0" w:line="240" w:lineRule="auto"/>
        <w:jc w:val="both"/>
        <w:rPr>
          <w:rFonts w:ascii="Verdana" w:eastAsia="Calibri" w:hAnsi="Verdana" w:cs="Arial"/>
          <w:lang w:val="es-ES_tradnl"/>
        </w:rPr>
      </w:pPr>
    </w:p>
    <w:p w14:paraId="6B5B4D0F" w14:textId="77777777" w:rsidR="005B0009" w:rsidRPr="005B0009" w:rsidRDefault="005B0009" w:rsidP="005B0009">
      <w:pPr>
        <w:spacing w:after="0" w:line="240" w:lineRule="auto"/>
        <w:jc w:val="both"/>
        <w:rPr>
          <w:rFonts w:ascii="Verdana" w:hAnsi="Verdana"/>
          <w:sz w:val="20"/>
          <w:szCs w:val="20"/>
        </w:rPr>
      </w:pPr>
      <w:r w:rsidRPr="005B0009">
        <w:rPr>
          <w:rFonts w:ascii="Verdana" w:hAnsi="Verdana"/>
          <w:sz w:val="20"/>
          <w:szCs w:val="20"/>
        </w:rPr>
        <w:t>La Ley 1150 de 2007, en el artículo 5, dispone que la capacidad jurídica y las condiciones de experiencia, así como la capacidad financiera y de organización de los proponentes, serán objeto de verificación por parte de las entidades como requisitos habilitantes para participar en los procesos de selección y no otorgarán puntaje.</w:t>
      </w:r>
    </w:p>
    <w:p w14:paraId="4A43A7CC" w14:textId="77777777" w:rsidR="005B0009" w:rsidRPr="005B0009" w:rsidRDefault="005B0009" w:rsidP="005B0009">
      <w:pPr>
        <w:spacing w:after="0" w:line="240" w:lineRule="auto"/>
        <w:jc w:val="both"/>
        <w:rPr>
          <w:rFonts w:ascii="Verdana" w:hAnsi="Verdana"/>
          <w:sz w:val="20"/>
          <w:szCs w:val="20"/>
        </w:rPr>
      </w:pPr>
    </w:p>
    <w:p w14:paraId="28A82E9D" w14:textId="77777777" w:rsidR="005B0009" w:rsidRPr="005B0009" w:rsidRDefault="005B0009" w:rsidP="005B0009">
      <w:pPr>
        <w:spacing w:after="0" w:line="240" w:lineRule="auto"/>
        <w:jc w:val="both"/>
        <w:rPr>
          <w:rFonts w:ascii="Verdana" w:hAnsi="Verdana"/>
          <w:sz w:val="20"/>
          <w:szCs w:val="20"/>
        </w:rPr>
      </w:pPr>
      <w:r w:rsidRPr="005B0009">
        <w:rPr>
          <w:rFonts w:ascii="Verdana" w:hAnsi="Verdana"/>
          <w:sz w:val="20"/>
          <w:szCs w:val="20"/>
        </w:rPr>
        <w:t>Para ello, el artículo 6 de la Ley 1150 de 2007 señala que todas las personas naturales o jurídicas, nacionales o extranjeras, domiciliadas o con sucursal en Colombia, que aspiren celebrar contratos con las entidades estatales deberán estar inscritas en el Registro Único de Proponentes (RUP). En dicho registro constará la información relacionada con la experiencia, la capacidad jurídica, financiera y de organización del proponente y su clasificación. En este registro constan los requisitos habilitantes que se evalúan exclusivamente con este documento, que es plena prueba, sin que la entidad o el proponente puedan, en principio, solicitar o aportar otra documentación.</w:t>
      </w:r>
    </w:p>
    <w:p w14:paraId="45734343" w14:textId="77777777" w:rsidR="005B0009" w:rsidRPr="005B0009" w:rsidRDefault="005B0009" w:rsidP="005B0009">
      <w:pPr>
        <w:spacing w:after="0" w:line="240" w:lineRule="auto"/>
        <w:jc w:val="both"/>
        <w:rPr>
          <w:rFonts w:ascii="Verdana" w:hAnsi="Verdana"/>
          <w:sz w:val="20"/>
          <w:szCs w:val="20"/>
        </w:rPr>
      </w:pPr>
    </w:p>
    <w:p w14:paraId="571101BE" w14:textId="77777777" w:rsidR="005B0009" w:rsidRPr="005B0009" w:rsidRDefault="005B0009" w:rsidP="005B0009">
      <w:pPr>
        <w:spacing w:after="0" w:line="240" w:lineRule="auto"/>
        <w:jc w:val="both"/>
        <w:rPr>
          <w:rFonts w:ascii="Verdana" w:hAnsi="Verdana"/>
          <w:sz w:val="20"/>
          <w:szCs w:val="20"/>
        </w:rPr>
      </w:pPr>
      <w:r w:rsidRPr="005B0009">
        <w:rPr>
          <w:rFonts w:ascii="Verdana" w:hAnsi="Verdana"/>
          <w:sz w:val="20"/>
          <w:szCs w:val="20"/>
        </w:rPr>
        <w:t>La experiencia debe inscribirse, renovarse o actualizarse en el RUP con copia de los contratos o con certificados de los contratos celebrados por el proponente con diferentes contratantes. Estos terceros expiden dichas certificaciones cuando el contrato fue ejecutado y recibieron los bienes, obras o servicios de parte del proponente. De esta manera, con el RUP se verifica que el proponente tenga experiencia en la ejecución del objeto que pretende contratar la entidad, esto es, que haya celebrado y ejecutado contratos que se asimilen a la necesidad que la entidad requiere satisfacer con el procedimiento contractual, sin que sea necesario que su objeto sea idéntico.</w:t>
      </w:r>
    </w:p>
    <w:p w14:paraId="03E2F877" w14:textId="77777777" w:rsidR="00271A06" w:rsidRDefault="00271A06" w:rsidP="00F16D04">
      <w:pPr>
        <w:spacing w:after="0" w:line="240" w:lineRule="auto"/>
        <w:jc w:val="both"/>
        <w:rPr>
          <w:rFonts w:ascii="Verdana" w:hAnsi="Verdana"/>
        </w:rPr>
      </w:pPr>
    </w:p>
    <w:p w14:paraId="3E64B6FE" w14:textId="1DAC6AB7" w:rsidR="005B0009" w:rsidRPr="00D8605E" w:rsidRDefault="00D8605E" w:rsidP="00F16D04">
      <w:pPr>
        <w:spacing w:after="0" w:line="240" w:lineRule="auto"/>
        <w:jc w:val="both"/>
        <w:rPr>
          <w:rFonts w:ascii="Verdana" w:hAnsi="Verdana"/>
          <w:b/>
          <w:bCs/>
        </w:rPr>
      </w:pPr>
      <w:r w:rsidRPr="00D8605E">
        <w:rPr>
          <w:rFonts w:ascii="Verdana" w:eastAsia="Calibri" w:hAnsi="Verdana" w:cs="Arial"/>
          <w:b/>
          <w:bCs/>
          <w:lang w:val="es-ES_tradnl"/>
        </w:rPr>
        <w:t xml:space="preserve">SOCIEDADES NUEVAS ‒ Experiencia ‒ Inferior a tres años ‒ Requisitos habilitantes </w:t>
      </w:r>
    </w:p>
    <w:p w14:paraId="688291D2" w14:textId="77777777" w:rsidR="00D8605E" w:rsidRDefault="00D8605E" w:rsidP="00F16D04">
      <w:pPr>
        <w:spacing w:after="0" w:line="240" w:lineRule="auto"/>
        <w:jc w:val="both"/>
        <w:rPr>
          <w:rFonts w:ascii="Verdana" w:hAnsi="Verdana"/>
        </w:rPr>
      </w:pPr>
    </w:p>
    <w:p w14:paraId="4E239D7B" w14:textId="77777777" w:rsidR="00D8605E" w:rsidRPr="00D8605E" w:rsidRDefault="00D8605E" w:rsidP="00D8605E">
      <w:pPr>
        <w:spacing w:after="0" w:line="240" w:lineRule="auto"/>
        <w:jc w:val="both"/>
        <w:rPr>
          <w:rFonts w:ascii="Verdana" w:hAnsi="Verdana"/>
          <w:sz w:val="20"/>
          <w:szCs w:val="20"/>
        </w:rPr>
      </w:pPr>
      <w:r w:rsidRPr="00D8605E">
        <w:rPr>
          <w:rFonts w:ascii="Verdana" w:hAnsi="Verdana"/>
          <w:sz w:val="20"/>
          <w:szCs w:val="20"/>
        </w:rPr>
        <w:t>La Ley 1150 de 2007, en el artículo 5, establece los requisitos habilitantes para participar en un procedimiento contractual, dentro de los cuales se destaca la </w:t>
      </w:r>
      <w:r w:rsidRPr="00D8605E">
        <w:rPr>
          <w:rFonts w:ascii="Verdana" w:hAnsi="Verdana"/>
          <w:i/>
          <w:iCs/>
          <w:sz w:val="20"/>
          <w:szCs w:val="20"/>
        </w:rPr>
        <w:t>experiencia</w:t>
      </w:r>
      <w:r w:rsidRPr="00D8605E">
        <w:rPr>
          <w:rFonts w:ascii="Verdana" w:hAnsi="Verdana"/>
          <w:sz w:val="20"/>
          <w:szCs w:val="20"/>
        </w:rPr>
        <w:t>. Su propósito es que las entidades fijen unos requisitos mínimos que debe tener y acreditar el proponente, para que la entidad pueda verificar su aptitud para participar en el procedimiento de contratación y, si se le adjudica, ejecutar el contrato estatal. En ese sentido, la entidad, como responsable de la estructuración de su procedimiento de contratación, es autónoma para requerir la experiencia necesaria para ejecutar el objeto contractual que se pretende satisfacer con el procedimiento. Para establecer la experiencia que se requiere en cada proceso, de acuerdo con el artículo 2.2.1.1.1.6.2. del Decreto 1082 de 2015, debe tener en cuenta el estudio del sector y sus componentes, como la identificación de riesgos, así como el mercado y precio del bien, obra o servicio a contratar.</w:t>
      </w:r>
    </w:p>
    <w:p w14:paraId="12BE8481" w14:textId="77777777" w:rsidR="00D8605E" w:rsidRPr="00D8605E" w:rsidRDefault="00D8605E" w:rsidP="00D8605E">
      <w:pPr>
        <w:spacing w:after="0" w:line="240" w:lineRule="auto"/>
        <w:jc w:val="both"/>
        <w:rPr>
          <w:rFonts w:ascii="Verdana" w:hAnsi="Verdana"/>
          <w:sz w:val="20"/>
          <w:szCs w:val="20"/>
        </w:rPr>
      </w:pPr>
    </w:p>
    <w:p w14:paraId="475D629B" w14:textId="058ADAF3" w:rsidR="00D8605E" w:rsidRPr="00D8605E" w:rsidRDefault="00D8605E" w:rsidP="00D8605E">
      <w:pPr>
        <w:spacing w:after="0" w:line="240" w:lineRule="auto"/>
        <w:jc w:val="both"/>
        <w:rPr>
          <w:rFonts w:ascii="Verdana" w:hAnsi="Verdana"/>
          <w:sz w:val="20"/>
          <w:szCs w:val="20"/>
        </w:rPr>
      </w:pPr>
      <w:r w:rsidRPr="00D8605E">
        <w:rPr>
          <w:rFonts w:ascii="Verdana" w:hAnsi="Verdana"/>
          <w:sz w:val="20"/>
          <w:szCs w:val="20"/>
        </w:rPr>
        <w:t xml:space="preserve">Ahora bien, la experiencia que se deriva de los contratos que el proponente ha celebrado y ejecutado con diferentes contratantes, sin importar la naturaleza de estos, se verifica con el RUP, cuando este certificado sea exigible de acuerdo con la ley. Sobre el particular </w:t>
      </w:r>
      <w:r w:rsidRPr="00D8605E">
        <w:rPr>
          <w:rFonts w:ascii="Verdana" w:hAnsi="Verdana"/>
          <w:sz w:val="20"/>
          <w:szCs w:val="20"/>
        </w:rPr>
        <w:lastRenderedPageBreak/>
        <w:t xml:space="preserve">debe indicarse </w:t>
      </w:r>
      <w:r w:rsidR="00CB743D" w:rsidRPr="00D8605E">
        <w:rPr>
          <w:rFonts w:ascii="Verdana" w:hAnsi="Verdana"/>
          <w:sz w:val="20"/>
          <w:szCs w:val="20"/>
        </w:rPr>
        <w:t>que el</w:t>
      </w:r>
      <w:r w:rsidRPr="00D8605E">
        <w:rPr>
          <w:rFonts w:ascii="Verdana" w:hAnsi="Verdana"/>
          <w:sz w:val="20"/>
          <w:szCs w:val="20"/>
        </w:rPr>
        <w:t xml:space="preserve"> RUP es plena prueba de los requisitos habilitantes que constan en él, sin que la entidad o el proponente puedan solicitar o aportar otra documentación.</w:t>
      </w:r>
    </w:p>
    <w:p w14:paraId="4B98D0CF" w14:textId="77777777" w:rsidR="002C7352" w:rsidRDefault="002C7352" w:rsidP="00F16D04">
      <w:pPr>
        <w:spacing w:after="0" w:line="240" w:lineRule="auto"/>
        <w:jc w:val="both"/>
        <w:rPr>
          <w:rFonts w:ascii="Verdana" w:eastAsia="Calibri" w:hAnsi="Verdana" w:cs="Arial"/>
          <w:b/>
          <w:bCs/>
          <w:lang w:val="es-ES_tradnl"/>
        </w:rPr>
      </w:pPr>
    </w:p>
    <w:p w14:paraId="241A311B" w14:textId="3DC8635E" w:rsidR="002C7352" w:rsidRPr="002C7352" w:rsidRDefault="002C7352" w:rsidP="00F16D04">
      <w:pPr>
        <w:spacing w:after="0" w:line="240" w:lineRule="auto"/>
        <w:jc w:val="both"/>
        <w:rPr>
          <w:rFonts w:ascii="Verdana" w:eastAsia="Calibri" w:hAnsi="Verdana" w:cs="Arial"/>
          <w:b/>
          <w:bCs/>
          <w:lang w:val="es-ES_tradnl"/>
        </w:rPr>
      </w:pPr>
      <w:r w:rsidRPr="002C7352">
        <w:rPr>
          <w:rFonts w:ascii="Verdana" w:eastAsia="Calibri" w:hAnsi="Verdana" w:cs="Arial"/>
          <w:b/>
          <w:bCs/>
          <w:lang w:val="es-ES_tradnl"/>
        </w:rPr>
        <w:t xml:space="preserve">EXPERIENCIA ‒ Conservación ‒ Renovación RUP ‒ Cesación efectos RUP </w:t>
      </w:r>
    </w:p>
    <w:p w14:paraId="2ED8CF02" w14:textId="77777777" w:rsidR="002C7352" w:rsidRDefault="002C7352" w:rsidP="00F16D04">
      <w:pPr>
        <w:spacing w:after="0" w:line="240" w:lineRule="auto"/>
        <w:jc w:val="both"/>
        <w:rPr>
          <w:rFonts w:ascii="Verdana" w:hAnsi="Verdana"/>
          <w:sz w:val="20"/>
          <w:szCs w:val="20"/>
        </w:rPr>
      </w:pPr>
    </w:p>
    <w:p w14:paraId="02476178" w14:textId="77777777" w:rsidR="0049145E" w:rsidRDefault="0049145E" w:rsidP="0049145E">
      <w:pPr>
        <w:spacing w:after="0" w:line="240" w:lineRule="auto"/>
        <w:jc w:val="both"/>
        <w:rPr>
          <w:rFonts w:ascii="Verdana" w:hAnsi="Verdana"/>
          <w:sz w:val="20"/>
          <w:szCs w:val="20"/>
        </w:rPr>
      </w:pPr>
      <w:r w:rsidRPr="0049145E">
        <w:rPr>
          <w:rFonts w:ascii="Verdana" w:hAnsi="Verdana"/>
          <w:sz w:val="20"/>
          <w:szCs w:val="20"/>
        </w:rPr>
        <w:t>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3B1A521C" w14:textId="77777777" w:rsidR="0049145E" w:rsidRPr="0049145E" w:rsidRDefault="0049145E" w:rsidP="0049145E">
      <w:pPr>
        <w:spacing w:after="0" w:line="240" w:lineRule="auto"/>
        <w:jc w:val="both"/>
        <w:rPr>
          <w:rFonts w:ascii="Verdana" w:hAnsi="Verdana"/>
          <w:sz w:val="20"/>
          <w:szCs w:val="20"/>
        </w:rPr>
      </w:pPr>
    </w:p>
    <w:p w14:paraId="0772EF98" w14:textId="77777777" w:rsidR="0049145E" w:rsidRDefault="0049145E" w:rsidP="0049145E">
      <w:pPr>
        <w:spacing w:after="0" w:line="240" w:lineRule="auto"/>
        <w:jc w:val="both"/>
        <w:rPr>
          <w:rFonts w:ascii="Verdana" w:hAnsi="Verdana"/>
          <w:sz w:val="20"/>
          <w:szCs w:val="20"/>
        </w:rPr>
      </w:pPr>
      <w:r w:rsidRPr="0049145E">
        <w:rPr>
          <w:rFonts w:ascii="Verdana" w:hAnsi="Verdana"/>
          <w:sz w:val="20"/>
          <w:szCs w:val="20"/>
        </w:rPr>
        <w:t>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RUP que está en firme antes de iniciar el trámite de renovación, cuyos efectos no han cesado por encontrarse vigente.</w:t>
      </w:r>
    </w:p>
    <w:p w14:paraId="0423CE83" w14:textId="77777777" w:rsidR="004E76D6" w:rsidRDefault="004E76D6" w:rsidP="0049145E">
      <w:pPr>
        <w:spacing w:after="0" w:line="240" w:lineRule="auto"/>
        <w:jc w:val="both"/>
        <w:rPr>
          <w:rFonts w:ascii="Verdana" w:hAnsi="Verdana"/>
          <w:sz w:val="20"/>
          <w:szCs w:val="20"/>
        </w:rPr>
      </w:pPr>
    </w:p>
    <w:p w14:paraId="21999421" w14:textId="536CD757" w:rsidR="004E76D6" w:rsidRPr="004E76D6" w:rsidRDefault="004E76D6" w:rsidP="0049145E">
      <w:pPr>
        <w:spacing w:after="0" w:line="240" w:lineRule="auto"/>
        <w:jc w:val="both"/>
        <w:rPr>
          <w:rFonts w:ascii="Verdana" w:hAnsi="Verdana"/>
          <w:b/>
          <w:bCs/>
          <w:sz w:val="20"/>
          <w:szCs w:val="20"/>
        </w:rPr>
      </w:pPr>
      <w:r w:rsidRPr="004E76D6">
        <w:rPr>
          <w:rFonts w:ascii="Verdana" w:eastAsia="Calibri" w:hAnsi="Verdana" w:cs="Arial"/>
          <w:b/>
          <w:bCs/>
          <w:lang w:val="es-ES_tradnl"/>
        </w:rPr>
        <w:t>EXPERIENCIA – Retiro del socio − Sociedades – Menor a 3 años de constitución</w:t>
      </w:r>
    </w:p>
    <w:p w14:paraId="40C1B62D" w14:textId="77777777" w:rsidR="004E76D6" w:rsidRDefault="004E76D6" w:rsidP="0049145E">
      <w:pPr>
        <w:spacing w:after="0" w:line="240" w:lineRule="auto"/>
        <w:jc w:val="both"/>
        <w:rPr>
          <w:rFonts w:ascii="Verdana" w:hAnsi="Verdana"/>
          <w:sz w:val="20"/>
          <w:szCs w:val="20"/>
        </w:rPr>
      </w:pPr>
    </w:p>
    <w:p w14:paraId="40A6916E" w14:textId="77777777" w:rsidR="004E76D6" w:rsidRDefault="004E76D6" w:rsidP="004E76D6">
      <w:pPr>
        <w:spacing w:after="0" w:line="240" w:lineRule="auto"/>
        <w:jc w:val="both"/>
        <w:rPr>
          <w:rFonts w:ascii="Verdana" w:hAnsi="Verdana"/>
          <w:sz w:val="20"/>
          <w:szCs w:val="20"/>
        </w:rPr>
      </w:pPr>
      <w:r w:rsidRPr="004E76D6">
        <w:rPr>
          <w:rFonts w:ascii="Verdana" w:hAnsi="Verdana"/>
          <w:sz w:val="20"/>
          <w:szCs w:val="20"/>
        </w:rPr>
        <w:t>[…] la constitución en debida forma del ente societario implica, a su vez, que la misma obtenga plena capacidad y representación autónoma, y en consecuencia se desligue de los socios constituyentes, dándole vida de este modo a una nueva persona. Esto evidencia que el ente societario constituye también una persona diferente a la de sus accionistas, socios o constituyentes individualmente considerados, pues, el ejercicio de sus actividades se realiza en nombre de dicha persona jurídica.</w:t>
      </w:r>
    </w:p>
    <w:p w14:paraId="176C1151" w14:textId="77777777" w:rsidR="004E76D6" w:rsidRPr="004E76D6" w:rsidRDefault="004E76D6" w:rsidP="004E76D6">
      <w:pPr>
        <w:spacing w:after="0" w:line="240" w:lineRule="auto"/>
        <w:jc w:val="both"/>
        <w:rPr>
          <w:rFonts w:ascii="Verdana" w:hAnsi="Verdana"/>
          <w:sz w:val="20"/>
          <w:szCs w:val="20"/>
        </w:rPr>
      </w:pPr>
    </w:p>
    <w:p w14:paraId="5125FD68" w14:textId="77777777" w:rsidR="004E76D6" w:rsidRDefault="004E76D6" w:rsidP="004E76D6">
      <w:pPr>
        <w:spacing w:after="0" w:line="240" w:lineRule="auto"/>
        <w:jc w:val="both"/>
        <w:rPr>
          <w:rFonts w:ascii="Verdana" w:hAnsi="Verdana"/>
          <w:sz w:val="20"/>
          <w:szCs w:val="20"/>
        </w:rPr>
      </w:pPr>
      <w:r w:rsidRPr="004E76D6">
        <w:rPr>
          <w:rFonts w:ascii="Verdana" w:hAnsi="Verdana"/>
          <w:sz w:val="20"/>
          <w:szCs w:val="20"/>
        </w:rPr>
        <w:t>En línea con lo anterior, es evidente que los contratos suscritos por una sociedad son celebrados en nombre y representación de la persona jurídica, razón por la cual hacen parte de la experiencia adquirida por la persona ficticia capaz de ejercer derechos y contraer obligaciones, sin que ella pueda hacer parte de la experiencia de las personas que la conforman, esto es, sus accionistas, socios o constituyentes individualmente considerados.</w:t>
      </w:r>
    </w:p>
    <w:p w14:paraId="0377991B" w14:textId="77777777" w:rsidR="004E76D6" w:rsidRPr="004E76D6" w:rsidRDefault="004E76D6" w:rsidP="004E76D6">
      <w:pPr>
        <w:spacing w:after="0" w:line="240" w:lineRule="auto"/>
        <w:jc w:val="both"/>
        <w:rPr>
          <w:rFonts w:ascii="Verdana" w:hAnsi="Verdana"/>
          <w:sz w:val="20"/>
          <w:szCs w:val="20"/>
        </w:rPr>
      </w:pPr>
    </w:p>
    <w:p w14:paraId="39774D75" w14:textId="77777777" w:rsidR="004E76D6" w:rsidRPr="004E76D6" w:rsidRDefault="004E76D6" w:rsidP="004E76D6">
      <w:pPr>
        <w:spacing w:after="0" w:line="240" w:lineRule="auto"/>
        <w:jc w:val="both"/>
        <w:rPr>
          <w:rFonts w:ascii="Verdana" w:hAnsi="Verdana"/>
          <w:sz w:val="20"/>
          <w:szCs w:val="20"/>
        </w:rPr>
      </w:pPr>
      <w:r w:rsidRPr="004E76D6">
        <w:rPr>
          <w:rFonts w:ascii="Verdana" w:hAnsi="Verdana"/>
          <w:sz w:val="20"/>
          <w:szCs w:val="20"/>
        </w:rPr>
        <w:t xml:space="preserve">En conclusión, un accionista, socio o constituyente de una sociedad no podría tomar como propia e individual la experiencia adquirida por la sociedad como persona ficticia. Es decir, el artículo 2.5 del artículo 2.2.1.1.1.5.2 del Decreto 1082 de 2015 consagra la posibilidad de que la persona jurídica pueda acreditar la experiencia de sus accionistas, socios o constituyentes en las condiciones descritas por la norma, descartando la </w:t>
      </w:r>
      <w:r w:rsidRPr="004E76D6">
        <w:rPr>
          <w:rFonts w:ascii="Verdana" w:hAnsi="Verdana"/>
          <w:sz w:val="20"/>
          <w:szCs w:val="20"/>
        </w:rPr>
        <w:lastRenderedPageBreak/>
        <w:t>posibilidad de que la experiencia se transfiera de la sociedad a las personas que la conforman.</w:t>
      </w:r>
    </w:p>
    <w:p w14:paraId="7EE1E4FC" w14:textId="77777777" w:rsidR="004E76D6" w:rsidRPr="0049145E" w:rsidRDefault="004E76D6" w:rsidP="0049145E">
      <w:pPr>
        <w:spacing w:after="0" w:line="240" w:lineRule="auto"/>
        <w:jc w:val="both"/>
        <w:rPr>
          <w:rFonts w:ascii="Verdana" w:hAnsi="Verdana"/>
          <w:sz w:val="20"/>
          <w:szCs w:val="20"/>
        </w:rPr>
      </w:pPr>
    </w:p>
    <w:p w14:paraId="3E9FCF51" w14:textId="1E8484FE" w:rsidR="00E76CF4" w:rsidRPr="00D8605E" w:rsidRDefault="00E76CF4" w:rsidP="00F16D04">
      <w:pPr>
        <w:spacing w:after="0" w:line="240" w:lineRule="auto"/>
        <w:jc w:val="both"/>
        <w:rPr>
          <w:rFonts w:ascii="Verdana" w:hAnsi="Verdana"/>
          <w:sz w:val="20"/>
          <w:szCs w:val="20"/>
        </w:rPr>
      </w:pPr>
    </w:p>
    <w:p w14:paraId="40339BD1" w14:textId="77777777" w:rsidR="00E76CF4" w:rsidRDefault="00E76CF4" w:rsidP="00F16D04">
      <w:pPr>
        <w:spacing w:after="0" w:line="240" w:lineRule="auto"/>
        <w:jc w:val="both"/>
        <w:rPr>
          <w:rFonts w:ascii="Verdana" w:hAnsi="Verdana"/>
        </w:rPr>
      </w:pPr>
    </w:p>
    <w:p w14:paraId="2E916E21" w14:textId="77777777" w:rsidR="00E76CF4" w:rsidRDefault="00E76CF4" w:rsidP="00F16D04">
      <w:pPr>
        <w:spacing w:after="0" w:line="240" w:lineRule="auto"/>
        <w:jc w:val="both"/>
        <w:rPr>
          <w:rFonts w:ascii="Verdana" w:hAnsi="Verdana"/>
        </w:rPr>
      </w:pPr>
    </w:p>
    <w:p w14:paraId="11567FCA" w14:textId="77777777" w:rsidR="00E76CF4" w:rsidRDefault="00E76CF4" w:rsidP="00F16D04">
      <w:pPr>
        <w:spacing w:after="0" w:line="240" w:lineRule="auto"/>
        <w:jc w:val="both"/>
        <w:rPr>
          <w:rFonts w:ascii="Verdana" w:hAnsi="Verdana"/>
        </w:rPr>
      </w:pPr>
    </w:p>
    <w:p w14:paraId="17D5CF9A" w14:textId="77777777" w:rsidR="00E76CF4" w:rsidRDefault="00E76CF4" w:rsidP="00F16D04">
      <w:pPr>
        <w:spacing w:after="0" w:line="240" w:lineRule="auto"/>
        <w:jc w:val="both"/>
        <w:rPr>
          <w:rFonts w:ascii="Verdana" w:hAnsi="Verdana"/>
        </w:rPr>
      </w:pPr>
    </w:p>
    <w:p w14:paraId="47F9F72C" w14:textId="77777777" w:rsidR="00E76CF4" w:rsidRDefault="00E76CF4" w:rsidP="00F16D04">
      <w:pPr>
        <w:spacing w:after="0" w:line="240" w:lineRule="auto"/>
        <w:jc w:val="both"/>
        <w:rPr>
          <w:rFonts w:ascii="Verdana" w:hAnsi="Verdana"/>
        </w:rPr>
      </w:pPr>
    </w:p>
    <w:p w14:paraId="2EB1347C" w14:textId="77777777" w:rsidR="00E76CF4" w:rsidRDefault="00E76CF4" w:rsidP="00F16D04">
      <w:pPr>
        <w:spacing w:after="0" w:line="240" w:lineRule="auto"/>
        <w:jc w:val="both"/>
        <w:rPr>
          <w:rFonts w:ascii="Verdana" w:hAnsi="Verdana"/>
        </w:rPr>
      </w:pPr>
    </w:p>
    <w:p w14:paraId="654EC459" w14:textId="77777777" w:rsidR="00E76CF4" w:rsidRDefault="00E76CF4" w:rsidP="00F16D04">
      <w:pPr>
        <w:spacing w:after="0" w:line="240" w:lineRule="auto"/>
        <w:jc w:val="both"/>
        <w:rPr>
          <w:rFonts w:ascii="Verdana" w:hAnsi="Verdana"/>
        </w:rPr>
      </w:pPr>
    </w:p>
    <w:p w14:paraId="44A47942" w14:textId="77777777" w:rsidR="00E76CF4" w:rsidRDefault="00E76CF4" w:rsidP="00F16D04">
      <w:pPr>
        <w:spacing w:after="0" w:line="240" w:lineRule="auto"/>
        <w:jc w:val="both"/>
        <w:rPr>
          <w:rFonts w:ascii="Verdana" w:hAnsi="Verdana"/>
        </w:rPr>
      </w:pPr>
    </w:p>
    <w:p w14:paraId="6DE3375A" w14:textId="77777777" w:rsidR="00E76CF4" w:rsidRDefault="00E76CF4" w:rsidP="00F16D04">
      <w:pPr>
        <w:spacing w:after="0" w:line="240" w:lineRule="auto"/>
        <w:jc w:val="both"/>
        <w:rPr>
          <w:rFonts w:ascii="Verdana" w:hAnsi="Verdana"/>
        </w:rPr>
      </w:pPr>
    </w:p>
    <w:p w14:paraId="6F6EA45F" w14:textId="77777777" w:rsidR="00E76CF4" w:rsidRDefault="00E76CF4" w:rsidP="00F16D04">
      <w:pPr>
        <w:spacing w:after="0" w:line="240" w:lineRule="auto"/>
        <w:jc w:val="both"/>
        <w:rPr>
          <w:rFonts w:ascii="Verdana" w:hAnsi="Verdana"/>
        </w:rPr>
      </w:pPr>
    </w:p>
    <w:p w14:paraId="06D0FADA" w14:textId="77777777" w:rsidR="00E76CF4" w:rsidRDefault="00E76CF4" w:rsidP="00F16D04">
      <w:pPr>
        <w:spacing w:after="0" w:line="240" w:lineRule="auto"/>
        <w:jc w:val="both"/>
        <w:rPr>
          <w:rFonts w:ascii="Verdana" w:hAnsi="Verdana"/>
        </w:rPr>
      </w:pPr>
    </w:p>
    <w:p w14:paraId="5DEBCE48" w14:textId="77777777" w:rsidR="00E76CF4" w:rsidRDefault="00E76CF4" w:rsidP="00F16D04">
      <w:pPr>
        <w:spacing w:after="0" w:line="240" w:lineRule="auto"/>
        <w:jc w:val="both"/>
        <w:rPr>
          <w:rFonts w:ascii="Verdana" w:hAnsi="Verdana"/>
        </w:rPr>
      </w:pPr>
    </w:p>
    <w:p w14:paraId="7BC47260" w14:textId="77777777" w:rsidR="00E76CF4" w:rsidRDefault="00E76CF4" w:rsidP="00F16D04">
      <w:pPr>
        <w:spacing w:after="0" w:line="240" w:lineRule="auto"/>
        <w:jc w:val="both"/>
        <w:rPr>
          <w:rFonts w:ascii="Verdana" w:hAnsi="Verdana"/>
        </w:rPr>
      </w:pPr>
    </w:p>
    <w:p w14:paraId="48EB40B3" w14:textId="77777777" w:rsidR="00E76CF4" w:rsidRDefault="00E76CF4" w:rsidP="00F16D04">
      <w:pPr>
        <w:spacing w:after="0" w:line="240" w:lineRule="auto"/>
        <w:jc w:val="both"/>
        <w:rPr>
          <w:rFonts w:ascii="Verdana" w:hAnsi="Verdana"/>
        </w:rPr>
      </w:pPr>
    </w:p>
    <w:p w14:paraId="0D95D57C" w14:textId="77777777" w:rsidR="00E76CF4" w:rsidRDefault="00E76CF4" w:rsidP="00F16D04">
      <w:pPr>
        <w:spacing w:after="0" w:line="240" w:lineRule="auto"/>
        <w:jc w:val="both"/>
        <w:rPr>
          <w:rFonts w:ascii="Verdana" w:hAnsi="Verdana"/>
        </w:rPr>
      </w:pPr>
    </w:p>
    <w:p w14:paraId="4E442927" w14:textId="77777777" w:rsidR="00E76CF4" w:rsidRDefault="00E76CF4" w:rsidP="00F16D04">
      <w:pPr>
        <w:spacing w:after="0" w:line="240" w:lineRule="auto"/>
        <w:jc w:val="both"/>
        <w:rPr>
          <w:rFonts w:ascii="Verdana" w:hAnsi="Verdana"/>
        </w:rPr>
      </w:pPr>
    </w:p>
    <w:p w14:paraId="14FB8EAB" w14:textId="77777777" w:rsidR="00E76CF4" w:rsidRDefault="00E76CF4" w:rsidP="00F16D04">
      <w:pPr>
        <w:spacing w:after="0" w:line="240" w:lineRule="auto"/>
        <w:jc w:val="both"/>
        <w:rPr>
          <w:rFonts w:ascii="Verdana" w:hAnsi="Verdana"/>
        </w:rPr>
      </w:pPr>
    </w:p>
    <w:p w14:paraId="4C24BF78" w14:textId="77777777" w:rsidR="00E76CF4" w:rsidRDefault="00E76CF4" w:rsidP="00F16D04">
      <w:pPr>
        <w:spacing w:after="0" w:line="240" w:lineRule="auto"/>
        <w:jc w:val="both"/>
        <w:rPr>
          <w:rFonts w:ascii="Verdana" w:hAnsi="Verdana"/>
        </w:rPr>
      </w:pPr>
    </w:p>
    <w:p w14:paraId="73DFEB17" w14:textId="77777777" w:rsidR="00E76CF4" w:rsidRDefault="00E76CF4" w:rsidP="00F16D04">
      <w:pPr>
        <w:spacing w:after="0" w:line="240" w:lineRule="auto"/>
        <w:jc w:val="both"/>
        <w:rPr>
          <w:rFonts w:ascii="Verdana" w:hAnsi="Verdana"/>
        </w:rPr>
      </w:pPr>
    </w:p>
    <w:p w14:paraId="7CF23F2F" w14:textId="77777777" w:rsidR="00E76CF4" w:rsidRDefault="00E76CF4" w:rsidP="00F16D04">
      <w:pPr>
        <w:spacing w:after="0" w:line="240" w:lineRule="auto"/>
        <w:jc w:val="both"/>
        <w:rPr>
          <w:rFonts w:ascii="Verdana" w:hAnsi="Verdana"/>
        </w:rPr>
      </w:pPr>
    </w:p>
    <w:p w14:paraId="5EAC6C0E" w14:textId="77777777" w:rsidR="00E76CF4" w:rsidRDefault="00E76CF4" w:rsidP="00F16D04">
      <w:pPr>
        <w:spacing w:after="0" w:line="240" w:lineRule="auto"/>
        <w:jc w:val="both"/>
        <w:rPr>
          <w:rFonts w:ascii="Verdana" w:hAnsi="Verdana"/>
        </w:rPr>
      </w:pPr>
    </w:p>
    <w:p w14:paraId="601C63EF" w14:textId="77777777" w:rsidR="00E76CF4" w:rsidRDefault="00E76CF4" w:rsidP="00F16D04">
      <w:pPr>
        <w:spacing w:after="0" w:line="240" w:lineRule="auto"/>
        <w:jc w:val="both"/>
        <w:rPr>
          <w:rFonts w:ascii="Verdana" w:hAnsi="Verdana"/>
        </w:rPr>
      </w:pPr>
    </w:p>
    <w:p w14:paraId="02A0CCAF" w14:textId="77777777" w:rsidR="00E76CF4" w:rsidRDefault="00E76CF4" w:rsidP="00F16D04">
      <w:pPr>
        <w:spacing w:after="0" w:line="240" w:lineRule="auto"/>
        <w:jc w:val="both"/>
        <w:rPr>
          <w:rFonts w:ascii="Verdana" w:hAnsi="Verdana"/>
        </w:rPr>
      </w:pPr>
    </w:p>
    <w:p w14:paraId="3C4DF19A" w14:textId="77777777" w:rsidR="00E76CF4" w:rsidRDefault="00E76CF4" w:rsidP="00F16D04">
      <w:pPr>
        <w:spacing w:after="0" w:line="240" w:lineRule="auto"/>
        <w:jc w:val="both"/>
        <w:rPr>
          <w:rFonts w:ascii="Verdana" w:hAnsi="Verdana"/>
        </w:rPr>
      </w:pPr>
    </w:p>
    <w:p w14:paraId="7E828E54" w14:textId="77777777" w:rsidR="00E76CF4" w:rsidRDefault="00E76CF4" w:rsidP="00F16D04">
      <w:pPr>
        <w:spacing w:after="0" w:line="240" w:lineRule="auto"/>
        <w:jc w:val="both"/>
        <w:rPr>
          <w:rFonts w:ascii="Verdana" w:hAnsi="Verdana"/>
        </w:rPr>
      </w:pPr>
    </w:p>
    <w:p w14:paraId="6715775A" w14:textId="77777777" w:rsidR="00E76CF4" w:rsidRDefault="00E76CF4" w:rsidP="00F16D04">
      <w:pPr>
        <w:spacing w:after="0" w:line="240" w:lineRule="auto"/>
        <w:jc w:val="both"/>
        <w:rPr>
          <w:rFonts w:ascii="Verdana" w:hAnsi="Verdana"/>
        </w:rPr>
      </w:pPr>
    </w:p>
    <w:p w14:paraId="6E9F0144" w14:textId="77777777" w:rsidR="00E76CF4" w:rsidRDefault="00E76CF4" w:rsidP="00F16D04">
      <w:pPr>
        <w:spacing w:after="0" w:line="240" w:lineRule="auto"/>
        <w:jc w:val="both"/>
        <w:rPr>
          <w:rFonts w:ascii="Verdana" w:hAnsi="Verdana"/>
        </w:rPr>
      </w:pPr>
    </w:p>
    <w:p w14:paraId="5F8AA376" w14:textId="77777777" w:rsidR="00E76CF4" w:rsidRDefault="00E76CF4" w:rsidP="00F16D04">
      <w:pPr>
        <w:spacing w:after="0" w:line="240" w:lineRule="auto"/>
        <w:jc w:val="both"/>
        <w:rPr>
          <w:rFonts w:ascii="Verdana" w:hAnsi="Verdana"/>
        </w:rPr>
      </w:pPr>
    </w:p>
    <w:p w14:paraId="79722AFB" w14:textId="77777777" w:rsidR="00E76CF4" w:rsidRDefault="00E76CF4" w:rsidP="00F16D04">
      <w:pPr>
        <w:spacing w:after="0" w:line="240" w:lineRule="auto"/>
        <w:jc w:val="both"/>
        <w:rPr>
          <w:rFonts w:ascii="Verdana" w:hAnsi="Verdana"/>
        </w:rPr>
      </w:pPr>
    </w:p>
    <w:p w14:paraId="7A494115" w14:textId="77777777" w:rsidR="00E76CF4" w:rsidRDefault="00E76CF4" w:rsidP="00F16D04">
      <w:pPr>
        <w:spacing w:after="0" w:line="240" w:lineRule="auto"/>
        <w:jc w:val="both"/>
        <w:rPr>
          <w:rFonts w:ascii="Verdana" w:hAnsi="Verdana"/>
        </w:rPr>
      </w:pPr>
    </w:p>
    <w:p w14:paraId="6EBB43AB" w14:textId="77777777" w:rsidR="00E76CF4" w:rsidRDefault="00E76CF4" w:rsidP="00F16D04">
      <w:pPr>
        <w:spacing w:after="0" w:line="240" w:lineRule="auto"/>
        <w:jc w:val="both"/>
        <w:rPr>
          <w:rFonts w:ascii="Verdana" w:hAnsi="Verdana"/>
        </w:rPr>
      </w:pPr>
    </w:p>
    <w:p w14:paraId="6320944F" w14:textId="77777777" w:rsidR="00E76CF4" w:rsidRDefault="00E76CF4" w:rsidP="00F16D04">
      <w:pPr>
        <w:spacing w:after="0" w:line="240" w:lineRule="auto"/>
        <w:jc w:val="both"/>
        <w:rPr>
          <w:rFonts w:ascii="Verdana" w:hAnsi="Verdana"/>
        </w:rPr>
      </w:pPr>
    </w:p>
    <w:p w14:paraId="6BF4B996" w14:textId="77777777" w:rsidR="00E76CF4" w:rsidRDefault="00E76CF4" w:rsidP="00F16D04">
      <w:pPr>
        <w:spacing w:after="0" w:line="240" w:lineRule="auto"/>
        <w:jc w:val="both"/>
        <w:rPr>
          <w:rFonts w:ascii="Verdana" w:hAnsi="Verdana"/>
        </w:rPr>
      </w:pPr>
    </w:p>
    <w:p w14:paraId="2F06F243" w14:textId="77777777" w:rsidR="00E76CF4" w:rsidRDefault="00E76CF4" w:rsidP="00F16D04">
      <w:pPr>
        <w:spacing w:after="0" w:line="240" w:lineRule="auto"/>
        <w:jc w:val="both"/>
        <w:rPr>
          <w:rFonts w:ascii="Verdana" w:hAnsi="Verdana"/>
        </w:rPr>
      </w:pPr>
    </w:p>
    <w:p w14:paraId="70389076" w14:textId="77777777" w:rsidR="00E76CF4" w:rsidRDefault="00E76CF4" w:rsidP="00F16D04">
      <w:pPr>
        <w:spacing w:after="0" w:line="240" w:lineRule="auto"/>
        <w:jc w:val="both"/>
        <w:rPr>
          <w:rFonts w:ascii="Verdana" w:hAnsi="Verdana"/>
        </w:rPr>
      </w:pPr>
    </w:p>
    <w:p w14:paraId="51ABCA13" w14:textId="77777777" w:rsidR="00E76CF4" w:rsidRDefault="00E76CF4" w:rsidP="00F16D04">
      <w:pPr>
        <w:spacing w:after="0" w:line="240" w:lineRule="auto"/>
        <w:jc w:val="both"/>
        <w:rPr>
          <w:rFonts w:ascii="Verdana" w:hAnsi="Verdana"/>
        </w:rPr>
      </w:pPr>
    </w:p>
    <w:p w14:paraId="4F7F66AE" w14:textId="77777777" w:rsidR="004E76D6" w:rsidRDefault="004E76D6" w:rsidP="00F16D04">
      <w:pPr>
        <w:spacing w:after="0" w:line="240" w:lineRule="auto"/>
        <w:jc w:val="both"/>
        <w:rPr>
          <w:rFonts w:ascii="Verdana" w:hAnsi="Verdana"/>
        </w:rPr>
      </w:pPr>
    </w:p>
    <w:p w14:paraId="790C86F1" w14:textId="554191B3" w:rsidR="00F16D04" w:rsidRPr="0064349A" w:rsidRDefault="00A412E6" w:rsidP="00F16D04">
      <w:pPr>
        <w:spacing w:after="0" w:line="240" w:lineRule="auto"/>
        <w:jc w:val="both"/>
        <w:rPr>
          <w:rFonts w:ascii="Verdana" w:hAnsi="Verdana"/>
        </w:rPr>
      </w:pPr>
      <w:r w:rsidRPr="00A412E6">
        <w:rPr>
          <w:rFonts w:ascii="Verdana" w:hAnsi="Verdana"/>
        </w:rPr>
        <w:lastRenderedPageBreak/>
        <w:t xml:space="preserve">Bogotá D.C., 19 </w:t>
      </w:r>
      <w:r>
        <w:rPr>
          <w:rFonts w:ascii="Verdana" w:hAnsi="Verdana"/>
        </w:rPr>
        <w:t>f</w:t>
      </w:r>
      <w:r w:rsidRPr="00A412E6">
        <w:rPr>
          <w:rFonts w:ascii="Verdana" w:hAnsi="Verdana"/>
        </w:rPr>
        <w:t xml:space="preserve">ebrero 2026 </w:t>
      </w:r>
      <w:r>
        <w:rPr>
          <w:rFonts w:ascii="Verdana" w:hAnsi="Verdana"/>
        </w:rPr>
        <w:t xml:space="preserve"> </w:t>
      </w:r>
      <w:r w:rsidR="00F16D04">
        <w:rPr>
          <w:rFonts w:ascii="Verdana" w:hAnsi="Verdana"/>
        </w:rPr>
        <w:t xml:space="preserve"> </w:t>
      </w:r>
      <w:bookmarkStart w:id="0" w:name="_Hlk197462763"/>
      <w:bookmarkStart w:id="1" w:name="_Hlk197529996"/>
    </w:p>
    <w:p w14:paraId="70A1C921" w14:textId="2FA21A4C" w:rsidR="00F16D04" w:rsidRDefault="00F16D04" w:rsidP="00F16D04">
      <w:pPr>
        <w:spacing w:after="0" w:line="240" w:lineRule="auto"/>
        <w:jc w:val="both"/>
        <w:rPr>
          <w:rFonts w:ascii="Verdana" w:eastAsia="Calibri" w:hAnsi="Verdana" w:cs="Arial"/>
          <w:lang w:eastAsia="es-ES"/>
        </w:rPr>
      </w:pPr>
    </w:p>
    <w:p w14:paraId="61F2F0BB" w14:textId="297C80FC" w:rsidR="0064349A" w:rsidRDefault="00A412E6" w:rsidP="00F16D04">
      <w:pPr>
        <w:spacing w:after="0" w:line="240" w:lineRule="auto"/>
        <w:jc w:val="both"/>
        <w:rPr>
          <w:rFonts w:ascii="Verdana" w:eastAsia="Calibri" w:hAnsi="Verdana" w:cs="Arial"/>
          <w:lang w:eastAsia="es-ES"/>
        </w:rPr>
      </w:pPr>
      <w:r w:rsidRPr="00A412E6">
        <w:rPr>
          <w:rFonts w:ascii="Verdana" w:eastAsia="Calibri" w:hAnsi="Verdana" w:cs="Arial"/>
          <w:noProof/>
          <w:lang w:eastAsia="es-ES"/>
        </w:rPr>
        <w:drawing>
          <wp:anchor distT="0" distB="0" distL="114300" distR="114300" simplePos="0" relativeHeight="251659264" behindDoc="1" locked="0" layoutInCell="1" allowOverlap="1" wp14:anchorId="055F0D10" wp14:editId="2D931A9F">
            <wp:simplePos x="0" y="0"/>
            <wp:positionH relativeFrom="column">
              <wp:posOffset>3074035</wp:posOffset>
            </wp:positionH>
            <wp:positionV relativeFrom="paragraph">
              <wp:posOffset>116205</wp:posOffset>
            </wp:positionV>
            <wp:extent cx="2714625" cy="800100"/>
            <wp:effectExtent l="0" t="0" r="9525" b="0"/>
            <wp:wrapTight wrapText="bothSides">
              <wp:wrapPolygon edited="0">
                <wp:start x="0" y="0"/>
                <wp:lineTo x="0" y="21086"/>
                <wp:lineTo x="21524" y="21086"/>
                <wp:lineTo x="21524" y="0"/>
                <wp:lineTo x="0" y="0"/>
              </wp:wrapPolygon>
            </wp:wrapTight>
            <wp:docPr id="149524674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24674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14625" cy="800100"/>
                    </a:xfrm>
                    <a:prstGeom prst="rect">
                      <a:avLst/>
                    </a:prstGeom>
                  </pic:spPr>
                </pic:pic>
              </a:graphicData>
            </a:graphic>
            <wp14:sizeRelH relativeFrom="margin">
              <wp14:pctWidth>0</wp14:pctWidth>
            </wp14:sizeRelH>
          </wp:anchor>
        </w:drawing>
      </w:r>
    </w:p>
    <w:p w14:paraId="09149793" w14:textId="02CDBA9B" w:rsidR="0064349A" w:rsidRDefault="0064349A" w:rsidP="00F16D04">
      <w:pPr>
        <w:spacing w:after="0" w:line="240" w:lineRule="auto"/>
        <w:jc w:val="both"/>
        <w:rPr>
          <w:rFonts w:ascii="Verdana" w:eastAsia="Calibri" w:hAnsi="Verdana" w:cs="Arial"/>
          <w:lang w:eastAsia="es-ES"/>
        </w:rPr>
      </w:pPr>
    </w:p>
    <w:p w14:paraId="09ADE151" w14:textId="77777777" w:rsidR="00F16D04" w:rsidRPr="008E4F36" w:rsidRDefault="00F16D04" w:rsidP="00F16D04">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6EA98A4F" w14:textId="5F2B7FAD" w:rsidR="00F16D04" w:rsidRPr="000F2158" w:rsidRDefault="00F16D04" w:rsidP="00F16D04">
      <w:pPr>
        <w:spacing w:after="0" w:line="240" w:lineRule="auto"/>
        <w:jc w:val="both"/>
        <w:rPr>
          <w:rFonts w:ascii="Verdana" w:eastAsia="Calibri" w:hAnsi="Verdana" w:cs="Arial"/>
          <w:b/>
          <w:highlight w:val="yellow"/>
          <w:lang w:eastAsia="es-ES_tradnl"/>
        </w:rPr>
      </w:pPr>
      <w:r>
        <w:rPr>
          <w:rFonts w:ascii="Verdana" w:eastAsia="Calibri" w:hAnsi="Verdana" w:cs="Arial"/>
          <w:b/>
          <w:lang w:eastAsia="es-ES_tradnl"/>
        </w:rPr>
        <w:t xml:space="preserve">Ciudadano Anónimo </w:t>
      </w:r>
    </w:p>
    <w:p w14:paraId="244F4664" w14:textId="77777777" w:rsidR="00F16D04" w:rsidRPr="00624A4C" w:rsidRDefault="00F16D04" w:rsidP="00F16D04">
      <w:pPr>
        <w:spacing w:after="0" w:line="240" w:lineRule="auto"/>
        <w:jc w:val="both"/>
        <w:rPr>
          <w:rFonts w:ascii="Verdana" w:eastAsia="Calibri" w:hAnsi="Verdana" w:cs="Arial"/>
          <w:bCs/>
          <w:lang w:eastAsia="es-ES_tradnl"/>
        </w:rPr>
      </w:pPr>
      <w:r>
        <w:rPr>
          <w:rFonts w:ascii="Verdana" w:eastAsia="Calibri" w:hAnsi="Verdana" w:cs="Arial"/>
          <w:bCs/>
          <w:lang w:eastAsia="es-ES_tradnl"/>
        </w:rPr>
        <w:t>Cuidad</w:t>
      </w:r>
    </w:p>
    <w:p w14:paraId="57CC03B5" w14:textId="77777777" w:rsidR="00F16D04" w:rsidRPr="005B4C57" w:rsidRDefault="00F16D04" w:rsidP="00F16D04">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F16D04" w:rsidRPr="002842E0" w14:paraId="0FE78DCC" w14:textId="77777777" w:rsidTr="005B3CC2">
        <w:trPr>
          <w:trHeight w:val="162"/>
        </w:trPr>
        <w:tc>
          <w:tcPr>
            <w:tcW w:w="3119" w:type="dxa"/>
          </w:tcPr>
          <w:p w14:paraId="48B71C22" w14:textId="77777777" w:rsidR="00F16D04" w:rsidRPr="005B4C57" w:rsidRDefault="00F16D04" w:rsidP="005B3CC2">
            <w:pPr>
              <w:jc w:val="both"/>
              <w:rPr>
                <w:rFonts w:ascii="Verdana" w:eastAsia="Calibri" w:hAnsi="Verdana" w:cs="Arial"/>
                <w:b/>
                <w:bCs/>
                <w:color w:val="7030A0"/>
                <w:lang w:val="it-CH" w:eastAsia="es-ES_tradnl"/>
              </w:rPr>
            </w:pPr>
          </w:p>
        </w:tc>
        <w:tc>
          <w:tcPr>
            <w:tcW w:w="5670" w:type="dxa"/>
          </w:tcPr>
          <w:p w14:paraId="33BF14FA" w14:textId="44AE43AE" w:rsidR="00F16D04" w:rsidRPr="00801462" w:rsidRDefault="00F16D04" w:rsidP="005B3CC2">
            <w:pPr>
              <w:jc w:val="both"/>
              <w:rPr>
                <w:rFonts w:ascii="Verdana" w:eastAsia="Calibri" w:hAnsi="Verdana" w:cs="Arial"/>
                <w:b/>
                <w:bCs/>
                <w:lang w:eastAsia="es-ES"/>
              </w:rPr>
            </w:pPr>
            <w:r w:rsidRPr="00083AB6">
              <w:rPr>
                <w:rFonts w:ascii="Verdana" w:eastAsia="Calibri" w:hAnsi="Verdana" w:cs="Arial"/>
                <w:b/>
                <w:bCs/>
                <w:lang w:eastAsia="es-ES"/>
              </w:rPr>
              <w:t xml:space="preserve">Concepto C- </w:t>
            </w:r>
            <w:r>
              <w:rPr>
                <w:rFonts w:ascii="Verdana" w:eastAsia="Calibri" w:hAnsi="Verdana" w:cs="Arial"/>
                <w:b/>
                <w:bCs/>
                <w:lang w:eastAsia="es-ES"/>
              </w:rPr>
              <w:t>031</w:t>
            </w:r>
            <w:r w:rsidRPr="00083AB6">
              <w:rPr>
                <w:rFonts w:ascii="Verdana" w:eastAsia="Calibri" w:hAnsi="Verdana" w:cs="Arial"/>
                <w:b/>
                <w:bCs/>
                <w:lang w:eastAsia="es-ES"/>
              </w:rPr>
              <w:t xml:space="preserve"> de 202</w:t>
            </w:r>
            <w:r>
              <w:rPr>
                <w:rFonts w:ascii="Verdana" w:eastAsia="Calibri" w:hAnsi="Verdana" w:cs="Arial"/>
                <w:b/>
                <w:bCs/>
                <w:lang w:eastAsia="es-ES"/>
              </w:rPr>
              <w:t>6</w:t>
            </w:r>
          </w:p>
          <w:p w14:paraId="44947F61" w14:textId="77777777" w:rsidR="00F16D04" w:rsidRPr="00801462" w:rsidRDefault="00F16D04" w:rsidP="005B3CC2">
            <w:pPr>
              <w:jc w:val="both"/>
              <w:rPr>
                <w:rFonts w:ascii="Verdana" w:eastAsia="Calibri" w:hAnsi="Verdana" w:cs="Arial"/>
                <w:b/>
                <w:bCs/>
                <w:color w:val="7030A0"/>
                <w:lang w:eastAsia="es-ES"/>
              </w:rPr>
            </w:pPr>
          </w:p>
        </w:tc>
      </w:tr>
      <w:tr w:rsidR="00F16D04" w:rsidRPr="002842E0" w14:paraId="1A817809" w14:textId="77777777" w:rsidTr="005B3CC2">
        <w:trPr>
          <w:trHeight w:val="884"/>
        </w:trPr>
        <w:tc>
          <w:tcPr>
            <w:tcW w:w="3119" w:type="dxa"/>
          </w:tcPr>
          <w:p w14:paraId="4137919E" w14:textId="77777777" w:rsidR="00F16D04" w:rsidRPr="00801462" w:rsidRDefault="00F16D04" w:rsidP="005B3CC2">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3ABE6CDF" w14:textId="7287F282" w:rsidR="00F16D04" w:rsidRPr="008917BA" w:rsidRDefault="00F16D04" w:rsidP="005B3CC2">
            <w:pPr>
              <w:jc w:val="both"/>
              <w:rPr>
                <w:rFonts w:ascii="Verdana" w:eastAsia="Calibri" w:hAnsi="Verdana" w:cs="Arial"/>
                <w:lang w:val="es-ES_tradnl"/>
              </w:rPr>
            </w:pPr>
            <w:r w:rsidRPr="008917BA">
              <w:rPr>
                <w:rFonts w:ascii="Verdana" w:eastAsia="Calibri" w:hAnsi="Verdana" w:cs="Arial"/>
                <w:lang w:val="es-ES_tradnl"/>
              </w:rPr>
              <w:t>EXPERIENCIA – Noción / SOCIEDADES NUEVAS ‒ Experiencia ‒ Inferior a tres años ‒ Requisitos habilitantes / EXPERIENCIA ‒ Conservación ‒ Renovación RUP ‒ Cesación efectos RUP / EXPERIENCIA – Retiro del socio − Sociedades – Menor a 3 años de constitución</w:t>
            </w:r>
          </w:p>
          <w:p w14:paraId="4CA2BEE0" w14:textId="67984CB7" w:rsidR="00F16D04" w:rsidRPr="00801462" w:rsidRDefault="00F16D04" w:rsidP="005B3CC2">
            <w:pPr>
              <w:jc w:val="both"/>
              <w:rPr>
                <w:rFonts w:ascii="Verdana" w:eastAsia="Calibri" w:hAnsi="Verdana" w:cs="Arial"/>
                <w:lang w:val="es-ES_tradnl" w:eastAsia="es-ES"/>
              </w:rPr>
            </w:pPr>
          </w:p>
        </w:tc>
      </w:tr>
      <w:tr w:rsidR="00F16D04" w:rsidRPr="002842E0" w14:paraId="0B9CEC21" w14:textId="77777777" w:rsidTr="005B3CC2">
        <w:tc>
          <w:tcPr>
            <w:tcW w:w="3119" w:type="dxa"/>
          </w:tcPr>
          <w:p w14:paraId="73E6B0E1" w14:textId="77777777" w:rsidR="00F16D04" w:rsidRPr="00801462" w:rsidRDefault="00F16D04" w:rsidP="005B3CC2">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71167944" w14:textId="77777777" w:rsidR="00B62F67" w:rsidRPr="004530B1" w:rsidRDefault="00F16D04" w:rsidP="005B3CC2">
            <w:pPr>
              <w:jc w:val="both"/>
              <w:rPr>
                <w:rFonts w:ascii="Verdana" w:eastAsia="Calibri" w:hAnsi="Verdana" w:cs="Arial"/>
                <w:sz w:val="20"/>
                <w:szCs w:val="20"/>
                <w:lang w:eastAsia="es-ES_tradnl"/>
              </w:rPr>
            </w:pPr>
            <w:r w:rsidRPr="004530B1">
              <w:rPr>
                <w:rFonts w:ascii="Verdana" w:eastAsia="Calibri" w:hAnsi="Verdana" w:cs="Arial"/>
                <w:sz w:val="20"/>
                <w:szCs w:val="20"/>
                <w:lang w:eastAsia="es-ES_tradnl"/>
              </w:rPr>
              <w:t xml:space="preserve">Respuesta a consulta con radicado </w:t>
            </w:r>
          </w:p>
          <w:p w14:paraId="741CB01B" w14:textId="34AEEB0D" w:rsidR="00F16D04" w:rsidRPr="004530B1" w:rsidRDefault="00B62F67" w:rsidP="005B3CC2">
            <w:pPr>
              <w:jc w:val="both"/>
              <w:rPr>
                <w:rFonts w:ascii="Verdana" w:hAnsi="Verdana"/>
                <w:color w:val="2B2B2B"/>
                <w:sz w:val="20"/>
                <w:szCs w:val="20"/>
              </w:rPr>
            </w:pPr>
            <w:r w:rsidRPr="004530B1">
              <w:rPr>
                <w:rFonts w:ascii="Verdana" w:hAnsi="Verdana"/>
                <w:color w:val="000000" w:themeColor="text1"/>
                <w:sz w:val="20"/>
                <w:szCs w:val="20"/>
              </w:rPr>
              <w:t>1_2026_01_11_000244</w:t>
            </w:r>
          </w:p>
        </w:tc>
      </w:tr>
    </w:tbl>
    <w:p w14:paraId="1E1B6C42" w14:textId="77777777" w:rsidR="00F16D04" w:rsidRDefault="00F16D04" w:rsidP="00F16D04">
      <w:pPr>
        <w:spacing w:after="0" w:line="276" w:lineRule="auto"/>
        <w:jc w:val="both"/>
        <w:rPr>
          <w:rFonts w:ascii="Verdana" w:eastAsia="Calibri" w:hAnsi="Verdana" w:cs="Arial"/>
          <w:lang w:eastAsia="es-ES_tradnl"/>
        </w:rPr>
      </w:pPr>
    </w:p>
    <w:p w14:paraId="1D14D148" w14:textId="77777777" w:rsidR="00F16D04" w:rsidRDefault="00F16D04" w:rsidP="00F16D04">
      <w:pPr>
        <w:spacing w:after="0" w:line="276" w:lineRule="auto"/>
        <w:jc w:val="both"/>
        <w:rPr>
          <w:rFonts w:ascii="Verdana" w:eastAsia="Calibri" w:hAnsi="Verdana" w:cs="Arial"/>
          <w:lang w:eastAsia="es-ES_tradnl"/>
        </w:rPr>
      </w:pPr>
    </w:p>
    <w:p w14:paraId="42AD7E90" w14:textId="55877355" w:rsidR="00F16D04" w:rsidRPr="008E4F36" w:rsidRDefault="00F16D04" w:rsidP="00F16D04">
      <w:pPr>
        <w:spacing w:after="0" w:line="276" w:lineRule="auto"/>
        <w:jc w:val="both"/>
        <w:rPr>
          <w:rFonts w:ascii="Verdana" w:eastAsia="Calibri" w:hAnsi="Verdana" w:cs="Arial"/>
          <w:lang w:eastAsia="es-ES"/>
        </w:rPr>
      </w:pPr>
      <w:r w:rsidRPr="00083AB6">
        <w:rPr>
          <w:rFonts w:ascii="Verdana" w:eastAsia="Calibri" w:hAnsi="Verdana" w:cs="Arial"/>
          <w:lang w:eastAsia="es-ES"/>
        </w:rPr>
        <w:t xml:space="preserve">Estimado </w:t>
      </w:r>
      <w:r>
        <w:rPr>
          <w:rFonts w:ascii="Verdana" w:eastAsia="Calibri" w:hAnsi="Verdana" w:cs="Arial"/>
          <w:lang w:eastAsia="es-ES"/>
        </w:rPr>
        <w:t>peticionario Anónimo</w:t>
      </w:r>
      <w:r w:rsidRPr="00083AB6">
        <w:rPr>
          <w:rFonts w:ascii="Verdana" w:eastAsia="Calibri" w:hAnsi="Verdana" w:cs="Arial"/>
          <w:lang w:eastAsia="es-ES"/>
        </w:rPr>
        <w:t>:</w:t>
      </w:r>
      <w:r w:rsidRPr="008E4F36">
        <w:rPr>
          <w:rFonts w:ascii="Verdana" w:eastAsia="Calibri" w:hAnsi="Verdana" w:cs="Arial"/>
          <w:lang w:eastAsia="es-ES"/>
        </w:rPr>
        <w:t xml:space="preserve"> </w:t>
      </w:r>
    </w:p>
    <w:p w14:paraId="14DD3820" w14:textId="77777777" w:rsidR="00F16D04" w:rsidRDefault="00F16D04" w:rsidP="00F16D04">
      <w:pPr>
        <w:tabs>
          <w:tab w:val="left" w:pos="3768"/>
        </w:tabs>
        <w:spacing w:after="0" w:line="240" w:lineRule="auto"/>
        <w:jc w:val="both"/>
        <w:rPr>
          <w:rFonts w:ascii="Verdana" w:eastAsia="Calibri" w:hAnsi="Verdana" w:cs="Arial"/>
          <w:lang w:eastAsia="es-ES"/>
        </w:rPr>
      </w:pPr>
    </w:p>
    <w:p w14:paraId="05BEE6FD" w14:textId="57076A22" w:rsidR="00F16D04" w:rsidRPr="008E4F36" w:rsidRDefault="00F16D04" w:rsidP="00F16D04">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Pr>
          <w:rFonts w:ascii="Verdana" w:eastAsia="Calibri" w:hAnsi="Verdana" w:cs="Arial"/>
          <w:lang w:eastAsia="es-ES"/>
        </w:rPr>
        <w:t>9</w:t>
      </w:r>
      <w:r w:rsidRPr="00AF6D58">
        <w:rPr>
          <w:rFonts w:ascii="Verdana" w:eastAsia="Calibri" w:hAnsi="Verdana" w:cs="Arial"/>
          <w:lang w:eastAsia="es-ES"/>
        </w:rPr>
        <w:t xml:space="preserve"> de </w:t>
      </w:r>
      <w:r>
        <w:rPr>
          <w:rFonts w:ascii="Verdana" w:eastAsia="Calibri" w:hAnsi="Verdana" w:cs="Arial"/>
          <w:lang w:eastAsia="es-ES"/>
        </w:rPr>
        <w:t>enero</w:t>
      </w:r>
      <w:r w:rsidRPr="00AF6D58">
        <w:rPr>
          <w:rFonts w:ascii="Verdana" w:eastAsia="Calibri" w:hAnsi="Verdana" w:cs="Arial"/>
          <w:lang w:eastAsia="es-ES"/>
        </w:rPr>
        <w:t xml:space="preserve"> de 2025,</w:t>
      </w:r>
      <w:r w:rsidRPr="000F2158">
        <w:rPr>
          <w:rFonts w:ascii="Verdana" w:eastAsia="Calibri" w:hAnsi="Verdana" w:cs="Arial"/>
          <w:lang w:eastAsia="es-ES"/>
        </w:rPr>
        <w:t xml:space="preserve"> en la cual manifiesta lo siguiente:</w:t>
      </w:r>
    </w:p>
    <w:p w14:paraId="07B036B4" w14:textId="77777777" w:rsidR="00F16D04" w:rsidRPr="008E4F36" w:rsidRDefault="00F16D04" w:rsidP="00F16D04">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0A54BF2E" w14:textId="12C8F312" w:rsidR="00F16D04" w:rsidRPr="009D0B6C" w:rsidRDefault="00F16D04" w:rsidP="00F16D04">
      <w:pPr>
        <w:spacing w:after="0"/>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9D0B6C">
        <w:rPr>
          <w:rFonts w:ascii="Verdana" w:eastAsia="Century Gothic" w:hAnsi="Verdana" w:cs="Century Gothic"/>
          <w:sz w:val="20"/>
          <w:szCs w:val="20"/>
        </w:rPr>
        <w:t>¿Puede una sociedad conservar su experiencia a portada por un socio minoritario después de</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 xml:space="preserve">su muerte, siempre y cuando este fallezca </w:t>
      </w:r>
      <w:r w:rsidRPr="009D0B6C">
        <w:rPr>
          <w:rFonts w:ascii="Verdana" w:eastAsia="Century Gothic" w:hAnsi="Verdana" w:cs="Century Gothic"/>
          <w:b/>
          <w:bCs/>
          <w:sz w:val="20"/>
          <w:szCs w:val="20"/>
        </w:rPr>
        <w:t xml:space="preserve">DESPUES DE LOS TRES AÑOS </w:t>
      </w:r>
      <w:r w:rsidRPr="009D0B6C">
        <w:rPr>
          <w:rFonts w:ascii="Verdana" w:eastAsia="Century Gothic" w:hAnsi="Verdana" w:cs="Century Gothic"/>
          <w:sz w:val="20"/>
          <w:szCs w:val="20"/>
        </w:rPr>
        <w:t>de constituida</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la misma?</w:t>
      </w:r>
    </w:p>
    <w:p w14:paraId="68C80CB3" w14:textId="77777777" w:rsidR="00F16D04" w:rsidRDefault="00F16D04" w:rsidP="00F16D04">
      <w:pPr>
        <w:spacing w:after="0"/>
        <w:ind w:left="709" w:right="709"/>
        <w:jc w:val="both"/>
        <w:rPr>
          <w:rFonts w:ascii="Verdana" w:eastAsia="Century Gothic" w:hAnsi="Verdana" w:cs="Century Gothic"/>
          <w:sz w:val="20"/>
          <w:szCs w:val="20"/>
        </w:rPr>
      </w:pPr>
    </w:p>
    <w:p w14:paraId="003997A2" w14:textId="387E852E" w:rsidR="00F16D04" w:rsidRPr="009D0B6C" w:rsidRDefault="00F16D04" w:rsidP="00F16D04">
      <w:pPr>
        <w:spacing w:after="0"/>
        <w:ind w:left="709" w:right="709"/>
        <w:jc w:val="both"/>
        <w:rPr>
          <w:rFonts w:ascii="Verdana" w:eastAsia="Century Gothic" w:hAnsi="Verdana" w:cs="Century Gothic"/>
          <w:sz w:val="20"/>
          <w:szCs w:val="20"/>
        </w:rPr>
      </w:pPr>
      <w:r w:rsidRPr="009D0B6C">
        <w:rPr>
          <w:rFonts w:ascii="Verdana" w:eastAsia="Century Gothic" w:hAnsi="Verdana" w:cs="Century Gothic"/>
          <w:sz w:val="20"/>
          <w:szCs w:val="20"/>
        </w:rPr>
        <w:t>¿Puede una sociedad conservar su experiencia a portada por un socio minoritario después de</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 xml:space="preserve">su muerte, siempre y cuando este fallezca </w:t>
      </w:r>
      <w:r w:rsidRPr="009D0B6C">
        <w:rPr>
          <w:rFonts w:ascii="Verdana" w:eastAsia="Century Gothic" w:hAnsi="Verdana" w:cs="Century Gothic"/>
          <w:b/>
          <w:bCs/>
          <w:sz w:val="20"/>
          <w:szCs w:val="20"/>
        </w:rPr>
        <w:t xml:space="preserve">DESPUES DE LOS TRES AÑOS </w:t>
      </w:r>
      <w:r w:rsidRPr="009D0B6C">
        <w:rPr>
          <w:rFonts w:ascii="Verdana" w:eastAsia="Century Gothic" w:hAnsi="Verdana" w:cs="Century Gothic"/>
          <w:sz w:val="20"/>
          <w:szCs w:val="20"/>
        </w:rPr>
        <w:t>de constituida</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la misma siempre y cuando NUNCA se haya dejado de renovar el RUP y/o dejado que cesen</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sus efectos?</w:t>
      </w:r>
    </w:p>
    <w:p w14:paraId="0E2F531D" w14:textId="5BCBE78A" w:rsidR="00F16D04" w:rsidRPr="00617A31" w:rsidRDefault="00F16D04" w:rsidP="00F16D04">
      <w:pPr>
        <w:spacing w:after="0"/>
        <w:ind w:left="709" w:right="709"/>
        <w:jc w:val="both"/>
        <w:rPr>
          <w:rFonts w:ascii="Verdana" w:eastAsia="Century Gothic" w:hAnsi="Verdana" w:cs="Century Gothic"/>
          <w:sz w:val="20"/>
          <w:szCs w:val="20"/>
        </w:rPr>
      </w:pPr>
      <w:r w:rsidRPr="009D0B6C">
        <w:rPr>
          <w:rFonts w:ascii="Verdana" w:eastAsia="Century Gothic" w:hAnsi="Verdana" w:cs="Century Gothic"/>
          <w:sz w:val="20"/>
          <w:szCs w:val="20"/>
        </w:rPr>
        <w:lastRenderedPageBreak/>
        <w:t xml:space="preserve">Puede la sociedad </w:t>
      </w:r>
      <w:r w:rsidRPr="009D0B6C">
        <w:rPr>
          <w:rFonts w:ascii="Verdana" w:eastAsia="Century Gothic" w:hAnsi="Verdana" w:cs="Century Gothic"/>
          <w:b/>
          <w:bCs/>
          <w:sz w:val="20"/>
          <w:szCs w:val="20"/>
        </w:rPr>
        <w:t xml:space="preserve">DESPUES DE LOS TRES AÑOS </w:t>
      </w:r>
      <w:r w:rsidRPr="009D0B6C">
        <w:rPr>
          <w:rFonts w:ascii="Verdana" w:eastAsia="Century Gothic" w:hAnsi="Verdana" w:cs="Century Gothic"/>
          <w:sz w:val="20"/>
          <w:szCs w:val="20"/>
        </w:rPr>
        <w:t>de constituida seguir usando la</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experiencia siempre y cuando se tenga un apoderado y/o representante legal de la sucesión</w:t>
      </w:r>
      <w:r>
        <w:rPr>
          <w:rFonts w:ascii="Verdana" w:eastAsia="Century Gothic" w:hAnsi="Verdana" w:cs="Century Gothic"/>
          <w:sz w:val="20"/>
          <w:szCs w:val="20"/>
        </w:rPr>
        <w:t xml:space="preserve"> </w:t>
      </w:r>
      <w:r w:rsidRPr="009D0B6C">
        <w:rPr>
          <w:rFonts w:ascii="Verdana" w:eastAsia="Century Gothic" w:hAnsi="Verdana" w:cs="Century Gothic"/>
          <w:sz w:val="20"/>
          <w:szCs w:val="20"/>
        </w:rPr>
        <w:t xml:space="preserve">del socio </w:t>
      </w:r>
      <w:proofErr w:type="gramStart"/>
      <w:r w:rsidRPr="009D0B6C">
        <w:rPr>
          <w:rFonts w:ascii="Verdana" w:eastAsia="Century Gothic" w:hAnsi="Verdana" w:cs="Century Gothic"/>
          <w:sz w:val="20"/>
          <w:szCs w:val="20"/>
        </w:rPr>
        <w:t>fallecido?</w:t>
      </w:r>
      <w:r>
        <w:rPr>
          <w:rFonts w:ascii="Verdana" w:eastAsia="Century Gothic" w:hAnsi="Verdana" w:cs="Century Gothic"/>
          <w:sz w:val="20"/>
          <w:szCs w:val="20"/>
        </w:rPr>
        <w:t>.</w:t>
      </w:r>
      <w:proofErr w:type="gramEnd"/>
      <w:r>
        <w:rPr>
          <w:rFonts w:ascii="Verdana" w:eastAsia="Century Gothic" w:hAnsi="Verdana" w:cs="Century Gothic"/>
          <w:sz w:val="20"/>
          <w:szCs w:val="20"/>
        </w:rPr>
        <w:t>”</w:t>
      </w:r>
    </w:p>
    <w:p w14:paraId="48942A18" w14:textId="77777777" w:rsidR="00F16D04" w:rsidRPr="008E4F36" w:rsidRDefault="00F16D04" w:rsidP="00F16D04">
      <w:pPr>
        <w:spacing w:after="0" w:line="240" w:lineRule="auto"/>
        <w:ind w:left="709" w:right="709"/>
        <w:jc w:val="both"/>
        <w:rPr>
          <w:rFonts w:ascii="Verdana" w:hAnsi="Verdana"/>
          <w:sz w:val="20"/>
          <w:szCs w:val="20"/>
        </w:rPr>
      </w:pPr>
    </w:p>
    <w:p w14:paraId="771FBB26" w14:textId="77777777" w:rsidR="00F16D04" w:rsidRDefault="00F16D04" w:rsidP="00F16D0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75B983E" w14:textId="77777777" w:rsidR="00F16D04" w:rsidRPr="00054383" w:rsidRDefault="00F16D04" w:rsidP="00F16D04">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FEC4AAE" w14:textId="77777777" w:rsidR="00F16D04" w:rsidRPr="008E4F36" w:rsidRDefault="00F16D04" w:rsidP="00F16D04">
      <w:pPr>
        <w:spacing w:after="0"/>
        <w:ind w:firstLine="709"/>
        <w:jc w:val="both"/>
        <w:rPr>
          <w:rFonts w:ascii="Verdana" w:eastAsia="Calibri" w:hAnsi="Verdana" w:cs="Arial"/>
          <w:color w:val="000000"/>
          <w:lang w:eastAsia="es-ES"/>
        </w:rPr>
      </w:pPr>
    </w:p>
    <w:p w14:paraId="16F9CBFB" w14:textId="77777777" w:rsidR="00F16D04" w:rsidRDefault="00F16D04" w:rsidP="00F16D04">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8131CB3" w14:textId="77777777" w:rsidR="00F16D04" w:rsidRDefault="00F16D04" w:rsidP="00F16D04">
      <w:pPr>
        <w:spacing w:after="0" w:line="276" w:lineRule="auto"/>
        <w:jc w:val="both"/>
        <w:rPr>
          <w:rFonts w:ascii="Verdana" w:eastAsia="Calibri" w:hAnsi="Verdana" w:cs="Arial"/>
          <w:color w:val="000000"/>
          <w:highlight w:val="yellow"/>
          <w:lang w:eastAsia="es-ES"/>
        </w:rPr>
      </w:pPr>
    </w:p>
    <w:p w14:paraId="237E8A4D" w14:textId="399E493E" w:rsidR="00F16D04" w:rsidRPr="005D0A6D" w:rsidRDefault="00F16D04" w:rsidP="00F16D04">
      <w:pPr>
        <w:spacing w:after="0" w:line="276" w:lineRule="auto"/>
        <w:jc w:val="both"/>
        <w:rPr>
          <w:rFonts w:ascii="Verdana" w:eastAsia="Calibri" w:hAnsi="Verdana" w:cs="Arial"/>
          <w:color w:val="000000"/>
          <w:lang w:val="es-ES"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sidRPr="008B7E0F">
        <w:rPr>
          <w:rFonts w:ascii="Verdana" w:eastAsia="Calibri" w:hAnsi="Verdana" w:cs="Arial"/>
          <w:color w:val="000000"/>
          <w:lang w:eastAsia="es-ES"/>
        </w:rPr>
        <w:t>¡</w:t>
      </w:r>
      <w:r w:rsidRPr="008B7E0F">
        <w:rPr>
          <w:rFonts w:ascii="Verdana" w:hAnsi="Verdana"/>
        </w:rPr>
        <w:t>¿Puede una sociedad conservar la experiencia aportada por un socio minoritario después de su fallecimiento, cuando este ocurre después de tres (3) años de constituida la sociedad?</w:t>
      </w:r>
      <w:r>
        <w:t xml:space="preserve"> </w:t>
      </w:r>
    </w:p>
    <w:p w14:paraId="1B3D1D25" w14:textId="77777777" w:rsidR="00F16D04" w:rsidRDefault="00F16D04" w:rsidP="00F16D04">
      <w:pPr>
        <w:spacing w:after="0" w:line="276" w:lineRule="auto"/>
        <w:jc w:val="both"/>
        <w:rPr>
          <w:rFonts w:ascii="Verdana" w:eastAsia="Calibri" w:hAnsi="Verdana" w:cs="Times New Roman"/>
        </w:rPr>
      </w:pPr>
    </w:p>
    <w:p w14:paraId="74F2152E" w14:textId="77777777" w:rsidR="00F16D04" w:rsidRPr="008E4F36" w:rsidRDefault="00F16D04" w:rsidP="00F16D04">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062378E1" w14:textId="77777777" w:rsidR="00F16D04" w:rsidRPr="008E4F36" w:rsidRDefault="00F16D04" w:rsidP="00F16D04">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F16D04" w:rsidRPr="008E4F36" w14:paraId="6FA92D5C" w14:textId="77777777" w:rsidTr="005B3CC2">
        <w:tc>
          <w:tcPr>
            <w:tcW w:w="8828" w:type="dxa"/>
            <w:tcBorders>
              <w:top w:val="dotted" w:sz="4" w:space="0" w:color="auto"/>
              <w:left w:val="dotted" w:sz="4" w:space="0" w:color="auto"/>
              <w:bottom w:val="dotted" w:sz="4" w:space="0" w:color="auto"/>
              <w:right w:val="dotted" w:sz="4" w:space="0" w:color="auto"/>
            </w:tcBorders>
          </w:tcPr>
          <w:p w14:paraId="1CC5AE33" w14:textId="77777777" w:rsidR="00F16D04" w:rsidRDefault="00F16D04" w:rsidP="005B3CC2">
            <w:pPr>
              <w:spacing w:after="120" w:line="276" w:lineRule="auto"/>
              <w:jc w:val="both"/>
              <w:rPr>
                <w:rFonts w:ascii="Verdana" w:hAnsi="Verdana" w:cs="Arial"/>
                <w:color w:val="000000" w:themeColor="text1"/>
              </w:rPr>
            </w:pPr>
            <w:r w:rsidRPr="005D0A6D">
              <w:rPr>
                <w:rFonts w:ascii="Verdana" w:hAnsi="Verdana" w:cs="Arial"/>
                <w:color w:val="000000" w:themeColor="text1"/>
              </w:rPr>
              <w:t xml:space="preserve">De conformidad con los artículos 5 y 6 de la Ley 1150 de 2007, la experiencia constituye un requisito habilitante de carácter objetivo cuya acreditación, tratándose de contratación estatal, se realiza a través del Registro Único de Proponentes (RUP), el cual hace plena prueba respecto de la información </w:t>
            </w:r>
            <w:r w:rsidRPr="005D0A6D">
              <w:rPr>
                <w:rFonts w:ascii="Verdana" w:hAnsi="Verdana" w:cs="Arial"/>
                <w:color w:val="000000" w:themeColor="text1"/>
              </w:rPr>
              <w:lastRenderedPageBreak/>
              <w:t xml:space="preserve">verificada por las cámaras de comercio; en este contexto, el numeral 2.5 del artículo 2.2.1.1.1.5.2 del Decreto 1082 de 2015 establece una excepción expresa al principio general según el cual la experiencia es personalísima, al permitir que las sociedades con menos de tres (3) años de constitución inscriban en el RUP la experiencia de sus socios, accionistas o constituyentes, con el propósito de facilitar su acceso al mercado público y promover la pluralidad de oferentes. </w:t>
            </w:r>
          </w:p>
          <w:p w14:paraId="66B8ACF2" w14:textId="77777777" w:rsidR="00F16D04" w:rsidRDefault="00F16D04" w:rsidP="005B3CC2">
            <w:pPr>
              <w:spacing w:after="120" w:line="276" w:lineRule="auto"/>
              <w:ind w:firstLine="709"/>
              <w:jc w:val="both"/>
              <w:rPr>
                <w:rFonts w:ascii="Verdana" w:hAnsi="Verdana" w:cs="Arial"/>
                <w:color w:val="000000" w:themeColor="text1"/>
              </w:rPr>
            </w:pPr>
            <w:r w:rsidRPr="005D0A6D">
              <w:rPr>
                <w:rFonts w:ascii="Verdana" w:hAnsi="Verdana" w:cs="Arial"/>
                <w:color w:val="000000" w:themeColor="text1"/>
              </w:rPr>
              <w:t>En consecuencia, si dentro de ese término la sociedad inscribió válidamente la experiencia del socio minoritario y mantuvo vigente</w:t>
            </w:r>
            <w:r>
              <w:rPr>
                <w:rFonts w:ascii="Verdana" w:hAnsi="Verdana" w:cs="Arial"/>
                <w:color w:val="000000" w:themeColor="text1"/>
              </w:rPr>
              <w:t>,</w:t>
            </w:r>
            <w:r w:rsidRPr="005D0A6D">
              <w:rPr>
                <w:rFonts w:ascii="Verdana" w:hAnsi="Verdana" w:cs="Arial"/>
                <w:color w:val="000000" w:themeColor="text1"/>
              </w:rPr>
              <w:t xml:space="preserve">  </w:t>
            </w:r>
            <w:r>
              <w:rPr>
                <w:rFonts w:ascii="Verdana" w:hAnsi="Verdana" w:cs="Arial"/>
                <w:color w:val="000000" w:themeColor="text1"/>
              </w:rPr>
              <w:t>garantizando</w:t>
            </w:r>
            <w:r w:rsidRPr="005D0A6D">
              <w:rPr>
                <w:rFonts w:ascii="Verdana" w:hAnsi="Verdana" w:cs="Arial"/>
                <w:color w:val="000000" w:themeColor="text1"/>
              </w:rPr>
              <w:t xml:space="preserve"> </w:t>
            </w:r>
            <w:r>
              <w:rPr>
                <w:rFonts w:ascii="Verdana" w:hAnsi="Verdana" w:cs="Arial"/>
                <w:color w:val="000000" w:themeColor="text1"/>
              </w:rPr>
              <w:t xml:space="preserve">una </w:t>
            </w:r>
            <w:r w:rsidRPr="005D0A6D">
              <w:rPr>
                <w:rFonts w:ascii="Verdana" w:hAnsi="Verdana" w:cs="Arial"/>
                <w:color w:val="000000" w:themeColor="text1"/>
              </w:rPr>
              <w:t>renovación oportuna</w:t>
            </w:r>
            <w:r>
              <w:rPr>
                <w:rFonts w:ascii="Verdana" w:hAnsi="Verdana" w:cs="Arial"/>
                <w:color w:val="000000" w:themeColor="text1"/>
              </w:rPr>
              <w:t xml:space="preserve"> de RUP</w:t>
            </w:r>
            <w:r w:rsidRPr="005D0A6D">
              <w:rPr>
                <w:rFonts w:ascii="Verdana" w:hAnsi="Verdana" w:cs="Arial"/>
                <w:color w:val="000000" w:themeColor="text1"/>
              </w:rPr>
              <w:t xml:space="preserve">, dicha experiencia se entiende incorporada de la persona jurídica y puede seguir siendo acreditada aun cuando el socio fallezca después de cumplidos los tres años de constitución, pues no se está ante una nueva transferencia de experiencia sino </w:t>
            </w:r>
            <w:r>
              <w:rPr>
                <w:rFonts w:ascii="Verdana" w:hAnsi="Verdana" w:cs="Arial"/>
                <w:color w:val="000000" w:themeColor="text1"/>
              </w:rPr>
              <w:t>de</w:t>
            </w:r>
            <w:r w:rsidRPr="005D0A6D">
              <w:rPr>
                <w:rFonts w:ascii="Verdana" w:hAnsi="Verdana" w:cs="Arial"/>
                <w:color w:val="000000" w:themeColor="text1"/>
              </w:rPr>
              <w:t xml:space="preserve"> la conservación de una situación jurídica consolidada y amparada por la</w:t>
            </w:r>
            <w:r>
              <w:rPr>
                <w:rFonts w:ascii="Verdana" w:hAnsi="Verdana" w:cs="Arial"/>
                <w:color w:val="000000" w:themeColor="text1"/>
              </w:rPr>
              <w:t xml:space="preserve"> firmeza del acto de inscripción inicial</w:t>
            </w:r>
            <w:r w:rsidRPr="005D0A6D">
              <w:rPr>
                <w:rFonts w:ascii="Verdana" w:hAnsi="Verdana" w:cs="Arial"/>
                <w:color w:val="000000" w:themeColor="text1"/>
              </w:rPr>
              <w:t xml:space="preserve">. </w:t>
            </w:r>
          </w:p>
          <w:p w14:paraId="55CFB89F" w14:textId="5A6BCF94" w:rsidR="00F16D04" w:rsidRDefault="00F16D04" w:rsidP="005B3CC2">
            <w:pPr>
              <w:spacing w:after="120" w:line="276" w:lineRule="auto"/>
              <w:ind w:firstLine="709"/>
              <w:jc w:val="both"/>
              <w:rPr>
                <w:rFonts w:ascii="Verdana" w:hAnsi="Verdana" w:cs="Arial"/>
                <w:color w:val="000000" w:themeColor="text1"/>
              </w:rPr>
            </w:pPr>
            <w:r w:rsidRPr="005D0A6D">
              <w:rPr>
                <w:rFonts w:ascii="Verdana" w:hAnsi="Verdana" w:cs="Arial"/>
                <w:color w:val="000000" w:themeColor="text1"/>
              </w:rPr>
              <w:t xml:space="preserve">Por el contrario, si la sociedad no efectuó la </w:t>
            </w:r>
            <w:r>
              <w:rPr>
                <w:rFonts w:ascii="Verdana" w:hAnsi="Verdana" w:cs="Arial"/>
                <w:color w:val="000000" w:themeColor="text1"/>
              </w:rPr>
              <w:t>renovación</w:t>
            </w:r>
            <w:r w:rsidRPr="005D0A6D">
              <w:rPr>
                <w:rFonts w:ascii="Verdana" w:hAnsi="Verdana" w:cs="Arial"/>
                <w:color w:val="000000" w:themeColor="text1"/>
              </w:rPr>
              <w:t xml:space="preserve"> dentro del plazo habilitado o dejó vencer el RUP</w:t>
            </w:r>
            <w:r>
              <w:rPr>
                <w:rFonts w:ascii="Verdana" w:hAnsi="Verdana" w:cs="Arial"/>
                <w:color w:val="000000" w:themeColor="text1"/>
              </w:rPr>
              <w:t>, debiendo</w:t>
            </w:r>
            <w:r w:rsidRPr="005D0A6D">
              <w:rPr>
                <w:rFonts w:ascii="Verdana" w:hAnsi="Verdana" w:cs="Arial"/>
                <w:color w:val="000000" w:themeColor="text1"/>
              </w:rPr>
              <w:t xml:space="preserve"> realizar una nueva inscripción</w:t>
            </w:r>
            <w:r>
              <w:rPr>
                <w:rFonts w:ascii="Verdana" w:hAnsi="Verdana" w:cs="Arial"/>
                <w:color w:val="000000" w:themeColor="text1"/>
              </w:rPr>
              <w:t xml:space="preserve"> después de fallecido el </w:t>
            </w:r>
            <w:r w:rsidR="009C54E8">
              <w:rPr>
                <w:rFonts w:ascii="Verdana" w:hAnsi="Verdana" w:cs="Arial"/>
                <w:color w:val="000000" w:themeColor="text1"/>
              </w:rPr>
              <w:t>socio, dicha</w:t>
            </w:r>
            <w:r>
              <w:rPr>
                <w:rFonts w:ascii="Verdana" w:hAnsi="Verdana" w:cs="Arial"/>
                <w:color w:val="000000" w:themeColor="text1"/>
              </w:rPr>
              <w:t xml:space="preserve"> sociedad</w:t>
            </w:r>
            <w:r w:rsidRPr="005D0A6D">
              <w:rPr>
                <w:rFonts w:ascii="Verdana" w:hAnsi="Verdana" w:cs="Arial"/>
                <w:color w:val="000000" w:themeColor="text1"/>
              </w:rPr>
              <w:t xml:space="preserve"> no podrá registrar nuevamente la experiencia del socio fallecido</w:t>
            </w:r>
            <w:r>
              <w:rPr>
                <w:rFonts w:ascii="Verdana" w:hAnsi="Verdana" w:cs="Arial"/>
                <w:color w:val="000000" w:themeColor="text1"/>
              </w:rPr>
              <w:t xml:space="preserve"> a pesar de encontrarse dentro del plazo de 3 años de constitución. Esto comoquiera que, en dicho supuesto pierde firmeza la inscripción inicial, no resultando además presentar los contratos ejecutados por el exsocio fallecido, ya que la muerte extingue su calidad de socio, sin perjuicio de los derechos económicos de sus causahabientes. </w:t>
            </w:r>
            <w:r w:rsidRPr="005D0A6D">
              <w:rPr>
                <w:rFonts w:ascii="Verdana" w:hAnsi="Verdana" w:cs="Arial"/>
                <w:color w:val="000000" w:themeColor="text1"/>
              </w:rPr>
              <w:t xml:space="preserve"> </w:t>
            </w:r>
          </w:p>
          <w:p w14:paraId="1CEA9D81" w14:textId="77777777" w:rsidR="00F16D04" w:rsidRPr="00B70775" w:rsidRDefault="00F16D04" w:rsidP="005B3CC2">
            <w:pPr>
              <w:spacing w:after="120" w:line="276" w:lineRule="auto"/>
              <w:ind w:firstLine="709"/>
              <w:jc w:val="both"/>
              <w:rPr>
                <w:rFonts w:ascii="Verdana" w:hAnsi="Verdana" w:cs="Arial"/>
                <w:color w:val="000000" w:themeColor="text1"/>
              </w:rPr>
            </w:pPr>
            <w:r>
              <w:rPr>
                <w:rFonts w:ascii="Verdana" w:hAnsi="Verdana" w:cs="Arial"/>
                <w:color w:val="000000" w:themeColor="text1"/>
              </w:rPr>
              <w:t>Finalmente</w:t>
            </w:r>
            <w:r w:rsidRPr="001C7E45">
              <w:rPr>
                <w:rFonts w:ascii="Verdana" w:hAnsi="Verdana" w:cs="Arial"/>
                <w:color w:val="000000" w:themeColor="text1"/>
              </w:rPr>
              <w:t>, corresponderá a la entidad contratante definir la procedencia de su acreditación en cada situación concreta, en ejercicio de su autonomía y bajo el principio de juridicidad, sin que la Agencia Nacional de Contratación Pública – Colombia Compra Eficiente valide actuaciones particulares.</w:t>
            </w:r>
          </w:p>
        </w:tc>
      </w:tr>
    </w:tbl>
    <w:p w14:paraId="126FB6BD" w14:textId="77777777" w:rsidR="00F16D04" w:rsidRDefault="00F16D04" w:rsidP="00F16D04">
      <w:pPr>
        <w:tabs>
          <w:tab w:val="left" w:pos="142"/>
          <w:tab w:val="left" w:pos="284"/>
        </w:tabs>
        <w:spacing w:after="0" w:line="276" w:lineRule="auto"/>
        <w:jc w:val="both"/>
        <w:rPr>
          <w:rFonts w:ascii="Verdana" w:eastAsia="Century Gothic" w:hAnsi="Verdana" w:cs="Century Gothic"/>
          <w:b/>
          <w:bCs/>
        </w:rPr>
      </w:pPr>
    </w:p>
    <w:p w14:paraId="62C22449" w14:textId="77777777" w:rsidR="00F16D04" w:rsidRPr="008E4F36" w:rsidRDefault="00F16D04" w:rsidP="00F16D04">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4CF6E421" w14:textId="77777777" w:rsidR="00F16D04" w:rsidRDefault="00F16D04" w:rsidP="00F16D04">
      <w:pPr>
        <w:pStyle w:val="Prrafodelista"/>
        <w:tabs>
          <w:tab w:val="left" w:pos="142"/>
          <w:tab w:val="left" w:pos="284"/>
        </w:tabs>
        <w:spacing w:after="0" w:line="276" w:lineRule="auto"/>
        <w:ind w:left="0"/>
        <w:contextualSpacing w:val="0"/>
        <w:jc w:val="both"/>
        <w:rPr>
          <w:rFonts w:ascii="Verdana" w:eastAsia="Calibri" w:hAnsi="Verdana" w:cs="Arial"/>
        </w:rPr>
      </w:pPr>
    </w:p>
    <w:p w14:paraId="369A9723" w14:textId="77777777" w:rsidR="00F16D04" w:rsidRDefault="00F16D04" w:rsidP="00F16D04">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D574135" w14:textId="77777777" w:rsidR="00F16D04" w:rsidRDefault="00F16D04" w:rsidP="00F16D04">
      <w:pPr>
        <w:spacing w:line="276" w:lineRule="auto"/>
        <w:jc w:val="both"/>
        <w:rPr>
          <w:rFonts w:ascii="Verdana" w:eastAsia="Calibri" w:hAnsi="Verdana" w:cs="Arial"/>
          <w:color w:val="000000" w:themeColor="text1"/>
        </w:rPr>
      </w:pPr>
    </w:p>
    <w:p w14:paraId="32C2FCF6" w14:textId="66EA6B6E" w:rsidR="00F16D04" w:rsidRPr="00EC4DE1" w:rsidRDefault="00F16D04" w:rsidP="00F16D04">
      <w:pPr>
        <w:spacing w:line="276" w:lineRule="auto"/>
        <w:jc w:val="both"/>
        <w:rPr>
          <w:rFonts w:ascii="Verdana" w:eastAsia="Calibri" w:hAnsi="Verdana" w:cs="Arial"/>
          <w:color w:val="000000" w:themeColor="text1"/>
        </w:rPr>
      </w:pPr>
      <w:r w:rsidRPr="00EC4DE1">
        <w:rPr>
          <w:rFonts w:ascii="Verdana" w:eastAsia="Calibri" w:hAnsi="Verdana" w:cs="Arial"/>
          <w:color w:val="000000" w:themeColor="text1"/>
        </w:rPr>
        <w:lastRenderedPageBreak/>
        <w:t xml:space="preserve">i. El artículo 6 de la Ley 1150 de 2007 señala que el RUP “es plena prueba de las circunstancias que en ella se hagan constar y que hayan sido verificadas por las Cámaras de Comercio”, es decir, estableció una regla probatoria en lo que se refiere a las condiciones de </w:t>
      </w:r>
      <w:proofErr w:type="gramStart"/>
      <w:r w:rsidRPr="00EC4DE1">
        <w:rPr>
          <w:rFonts w:ascii="Verdana" w:eastAsia="Calibri" w:hAnsi="Verdana" w:cs="Arial"/>
          <w:color w:val="000000" w:themeColor="text1"/>
        </w:rPr>
        <w:t>los proponentes contenidas</w:t>
      </w:r>
      <w:proofErr w:type="gramEnd"/>
      <w:r w:rsidRPr="00EC4DE1">
        <w:rPr>
          <w:rFonts w:ascii="Verdana" w:eastAsia="Calibri" w:hAnsi="Verdana" w:cs="Arial"/>
          <w:color w:val="000000" w:themeColor="text1"/>
        </w:rPr>
        <w:t xml:space="preserve"> en el registro y asignó la competencia a las cámaras para verificarlas. </w:t>
      </w:r>
    </w:p>
    <w:p w14:paraId="7D6F31F8" w14:textId="77777777" w:rsidR="00F16D04" w:rsidRPr="00EC4DE1" w:rsidRDefault="00F16D04" w:rsidP="00F16D04">
      <w:pPr>
        <w:spacing w:line="276" w:lineRule="auto"/>
        <w:ind w:firstLine="708"/>
        <w:jc w:val="both"/>
        <w:rPr>
          <w:rFonts w:ascii="Verdana" w:eastAsia="Calibri" w:hAnsi="Verdana" w:cs="Arial"/>
          <w:color w:val="000000" w:themeColor="text1"/>
        </w:rPr>
      </w:pPr>
      <w:r w:rsidRPr="00EC4DE1">
        <w:rPr>
          <w:rFonts w:ascii="Verdana" w:eastAsia="Calibri" w:hAnsi="Verdana" w:cs="Arial"/>
          <w:color w:val="000000" w:themeColor="text1"/>
        </w:rPr>
        <w:t xml:space="preserve">La norma impuso la obligación a todos los proponentes de inscribirse en el RUP, salvo en los casos de contratación directa, contratos para la prestación de servicios de salud, contratos de mínima cuantía, enajenación de bienes del Estado y los contratos que tengan por objeto la adquisición de productos de origen o destinación agropecuaria que se ofrezcan en bolsas de productos legalmente constituidas. De igual forma, están exceptuados los actos y contratos que tengan por objeto directo las actividades comerciales e industriales propias de las empresas industriales y comerciales del Estado y las sociedades de economía mixta y los contratos de concesión de cualquier índole. </w:t>
      </w:r>
    </w:p>
    <w:p w14:paraId="2DDCF7AC" w14:textId="67F2291C" w:rsidR="00F16D04" w:rsidRPr="00EC4DE1" w:rsidRDefault="00F16D04" w:rsidP="00F16D04">
      <w:pPr>
        <w:spacing w:line="276" w:lineRule="auto"/>
        <w:ind w:firstLine="708"/>
        <w:jc w:val="both"/>
        <w:rPr>
          <w:rFonts w:ascii="Verdana" w:eastAsia="Calibri" w:hAnsi="Verdana" w:cs="Arial"/>
          <w:color w:val="000000" w:themeColor="text1"/>
        </w:rPr>
      </w:pPr>
      <w:r w:rsidRPr="00EC4DE1">
        <w:rPr>
          <w:rFonts w:ascii="Verdana" w:eastAsia="Calibri" w:hAnsi="Verdana" w:cs="Arial"/>
          <w:color w:val="000000" w:themeColor="text1"/>
        </w:rPr>
        <w:t xml:space="preserve">Asimismo, correlativo a este deber de los proponentes, la norma impuso a las cámaras de comercio la obligación de verificar los requisitos habilitantes de quienes se registren. El inciso 2 del numeral 6.1. de la Ley 1150 de 2007 le otorga carácter de plena prueba a la información contenida en el registro que haya sido verificada por las cámaras de comercio y, además, dispuso que la verificación de las condiciones de que trata el numeral 1 del artículo 5 ibidem se demostrará “exclusivamente con el respectivo certificado del RUP en donde deberán constar dichas condiciones”. </w:t>
      </w:r>
    </w:p>
    <w:p w14:paraId="11164FA3" w14:textId="77777777" w:rsidR="00F16D04" w:rsidRPr="00EC4DE1" w:rsidRDefault="00F16D04" w:rsidP="00F16D04">
      <w:pPr>
        <w:spacing w:line="276" w:lineRule="auto"/>
        <w:ind w:firstLine="708"/>
        <w:jc w:val="both"/>
        <w:rPr>
          <w:rFonts w:ascii="Verdana" w:eastAsia="Calibri" w:hAnsi="Verdana" w:cs="Arial"/>
          <w:color w:val="000000" w:themeColor="text1"/>
        </w:rPr>
      </w:pPr>
      <w:r w:rsidRPr="00EC4DE1">
        <w:rPr>
          <w:rFonts w:ascii="Verdana" w:eastAsia="Calibri" w:hAnsi="Verdana" w:cs="Arial"/>
          <w:color w:val="000000" w:themeColor="text1"/>
        </w:rPr>
        <w:t xml:space="preserve">En consecuencia, la norma dispone que a las entidades les está prohibido exigir otros documentos para efectuar la inscripción en el registro, salvo lo dispuesto en el inciso 3 del numeral 6.1.del artículo 6 de la Ley 1150 de 2007, en el que se prevé que la entidad podrá verificar requisitos adicionales a los contenidos en el registro cuando se requiera en virtud de la naturaleza del objeto a contratar. La norma señala que solo en este último evento la entidad podrá hacer la verificación en forma directa, es decir, cuando por el objeto del contrato se requieran verificar requisitos adicionales a los contenidos en el registro. </w:t>
      </w:r>
    </w:p>
    <w:p w14:paraId="1136A46E" w14:textId="395D431E" w:rsidR="00F16D04" w:rsidRPr="00EC4DE1" w:rsidRDefault="00F16D04" w:rsidP="00F16D04">
      <w:pPr>
        <w:spacing w:line="276" w:lineRule="auto"/>
        <w:ind w:firstLine="708"/>
        <w:jc w:val="both"/>
        <w:rPr>
          <w:rFonts w:ascii="Verdana" w:eastAsia="Calibri" w:hAnsi="Verdana" w:cs="Arial"/>
          <w:color w:val="000000" w:themeColor="text1"/>
        </w:rPr>
      </w:pPr>
      <w:r w:rsidRPr="00EC4DE1">
        <w:rPr>
          <w:rFonts w:ascii="Verdana" w:eastAsia="Calibri" w:hAnsi="Verdana" w:cs="Arial"/>
          <w:color w:val="000000" w:themeColor="text1"/>
        </w:rPr>
        <w:t>De lo anterior se concluye que la regla general es que la experiencia se acredite a través del RUP y, en consecuencia, la evaluación de la experiencia, como requisito habilitante, no puede ser evaluada nuevamente por la entidad pública a partir de otros criterios distintos a los contenidos en el RUP.</w:t>
      </w:r>
    </w:p>
    <w:p w14:paraId="690C29DD" w14:textId="3A0D7EB7" w:rsidR="00F16D04" w:rsidRPr="0078009F" w:rsidRDefault="00F16D04" w:rsidP="00F16D04">
      <w:pPr>
        <w:spacing w:line="276" w:lineRule="auto"/>
        <w:jc w:val="both"/>
        <w:rPr>
          <w:rFonts w:ascii="Verdana" w:eastAsia="Calibri" w:hAnsi="Verdana" w:cs="Arial"/>
          <w:color w:val="000000" w:themeColor="text1"/>
        </w:rPr>
      </w:pPr>
      <w:proofErr w:type="spellStart"/>
      <w:r>
        <w:rPr>
          <w:rFonts w:ascii="Verdana" w:eastAsia="Calibri" w:hAnsi="Verdana" w:cs="Arial"/>
          <w:color w:val="000000" w:themeColor="text1"/>
        </w:rPr>
        <w:lastRenderedPageBreak/>
        <w:t>ii.</w:t>
      </w:r>
      <w:r w:rsidRPr="0078009F">
        <w:rPr>
          <w:rFonts w:ascii="Verdana" w:eastAsia="Calibri" w:hAnsi="Verdana" w:cs="Arial"/>
          <w:color w:val="000000" w:themeColor="text1"/>
        </w:rPr>
        <w:t>El</w:t>
      </w:r>
      <w:proofErr w:type="spellEnd"/>
      <w:r w:rsidRPr="0078009F">
        <w:rPr>
          <w:rFonts w:ascii="Verdana" w:eastAsia="Calibri" w:hAnsi="Verdana" w:cs="Arial"/>
          <w:color w:val="000000" w:themeColor="text1"/>
        </w:rPr>
        <w:t xml:space="preserve"> artículo 5 de la Ley 1150 de 2007 dispone que la capacidad jurídica y las condiciones de experiencia, capacidad financiera y de organización de los proponentes serán objeto de verificación por parte de las entidades como requisitos habilitantes para participar en los procesos de selección y no otorgarán puntaje. Lo anterior con excepción de la selección de consultores mediante un concurso de méritos, donde es posible otorgar puntaje al criterio de experiencia.</w:t>
      </w:r>
    </w:p>
    <w:p w14:paraId="12AEEAEA" w14:textId="307CAF9B"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Por su parte, conforme lo expuesto en el numeral anterior de este concepto, el artículo 6 de la Ley 1150 de 2007 señala que todas las personas naturales o jurídicas, nacionales o extranjeras, domiciliadas o con sucursal en Colombia, que aspiren celebrar contratos con las entidades deberán estar inscritas en el RUP. En dicho registro constará la información relacionada con la experiencia, capacidad jurídica, financiera y de organización del proponente y su clasificación. Frente al requisito habilitante de experiencia, en el </w:t>
      </w:r>
      <w:r>
        <w:rPr>
          <w:rFonts w:ascii="Verdana" w:eastAsia="Calibri" w:hAnsi="Verdana" w:cs="Arial"/>
          <w:color w:val="000000" w:themeColor="text1"/>
        </w:rPr>
        <w:t>“</w:t>
      </w:r>
      <w:r w:rsidRPr="0078009F">
        <w:rPr>
          <w:rFonts w:ascii="Verdana" w:eastAsia="Calibri" w:hAnsi="Verdana" w:cs="Arial"/>
          <w:color w:val="000000" w:themeColor="text1"/>
        </w:rPr>
        <w:t>Manual para determinar y verificar requisitos habilitantes en los procesos de contratación</w:t>
      </w:r>
      <w:r>
        <w:rPr>
          <w:rFonts w:ascii="Verdana" w:eastAsia="Calibri" w:hAnsi="Verdana" w:cs="Arial"/>
          <w:color w:val="000000" w:themeColor="text1"/>
        </w:rPr>
        <w:t>”</w:t>
      </w:r>
      <w:r w:rsidRPr="0078009F">
        <w:rPr>
          <w:rFonts w:ascii="Verdana" w:eastAsia="Calibri" w:hAnsi="Verdana" w:cs="Arial"/>
          <w:color w:val="000000" w:themeColor="text1"/>
        </w:rPr>
        <w:t xml:space="preserve"> se define la experiencia como </w:t>
      </w:r>
      <w:r>
        <w:rPr>
          <w:rFonts w:ascii="Verdana" w:eastAsia="Calibri" w:hAnsi="Verdana" w:cs="Arial"/>
          <w:color w:val="000000" w:themeColor="text1"/>
        </w:rPr>
        <w:t>“</w:t>
      </w:r>
      <w:r w:rsidRPr="0078009F">
        <w:rPr>
          <w:rFonts w:ascii="Verdana" w:eastAsia="Calibri" w:hAnsi="Verdana" w:cs="Arial"/>
          <w:color w:val="000000" w:themeColor="text1"/>
        </w:rPr>
        <w:t>el conocimiento del proponente derivado de su participación previa en actividades iguales o similares a las previstas en el objeto del contrato</w:t>
      </w:r>
      <w:r>
        <w:rPr>
          <w:rFonts w:ascii="Verdana" w:eastAsia="Calibri" w:hAnsi="Verdana" w:cs="Arial"/>
          <w:color w:val="000000" w:themeColor="text1"/>
        </w:rPr>
        <w:t>”</w:t>
      </w:r>
      <w:r w:rsidRPr="0078009F">
        <w:rPr>
          <w:rFonts w:ascii="Verdana" w:eastAsia="Calibri" w:hAnsi="Verdana" w:cs="Arial"/>
          <w:color w:val="000000" w:themeColor="text1"/>
        </w:rPr>
        <w:t xml:space="preserve">. </w:t>
      </w:r>
    </w:p>
    <w:p w14:paraId="5B76CE80"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El numeral 2.1 del artículo 2.2.1.1.1.5.2 del Decreto 1082 de 2015 establece que si una persona natural se inscribe en el RUP aportará los certificados de experiencia en provisión de bienes, obras y servicios, los cuales deben ser expedidos por terceros que hayan recibido tales bienes, obras y servicios, y deben corresponder a contratos ejecutados o copias de los contratos cuando el interesado no puede obtener tal certificado</w:t>
      </w:r>
      <w:r w:rsidRPr="0078009F">
        <w:rPr>
          <w:rStyle w:val="Refdenotaalpie"/>
          <w:rFonts w:ascii="Verdana" w:eastAsia="Calibri" w:hAnsi="Verdana" w:cs="Arial"/>
          <w:color w:val="000000" w:themeColor="text1"/>
        </w:rPr>
        <w:footnoteReference w:id="1"/>
      </w:r>
      <w:r w:rsidRPr="0078009F">
        <w:rPr>
          <w:rFonts w:ascii="Verdana" w:eastAsia="Calibri" w:hAnsi="Verdana" w:cs="Arial"/>
          <w:color w:val="000000" w:themeColor="text1"/>
        </w:rPr>
        <w:t>.</w:t>
      </w:r>
    </w:p>
    <w:p w14:paraId="77DCE6E1"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De la misma forma, el numeral 2.5. ibidem señala que la persona jurídica se registrará aportando los certificados de la experiencia en la provisión de los bienes, obras y servicios que ofrecerá a las entidades estatales, los cuales deben ser expedidos por terceros que hayan recibido tales bienes, obras o servicios y </w:t>
      </w:r>
      <w:r w:rsidRPr="0078009F">
        <w:rPr>
          <w:rFonts w:ascii="Verdana" w:eastAsia="Calibri" w:hAnsi="Verdana" w:cs="Arial"/>
          <w:color w:val="000000" w:themeColor="text1"/>
        </w:rPr>
        <w:lastRenderedPageBreak/>
        <w:t>deben corresponder a contratos ejecutados o copias de los contratos cuando el interesado no puede obtener tal certificado</w:t>
      </w:r>
      <w:r w:rsidRPr="0078009F">
        <w:rPr>
          <w:rStyle w:val="Refdenotaalpie"/>
          <w:rFonts w:ascii="Verdana" w:eastAsia="Calibri" w:hAnsi="Verdana" w:cs="Arial"/>
          <w:color w:val="000000" w:themeColor="text1"/>
        </w:rPr>
        <w:footnoteReference w:id="2"/>
      </w:r>
      <w:r w:rsidRPr="0078009F">
        <w:rPr>
          <w:rFonts w:ascii="Verdana" w:eastAsia="Calibri" w:hAnsi="Verdana" w:cs="Arial"/>
          <w:color w:val="000000" w:themeColor="text1"/>
        </w:rPr>
        <w:t>.</w:t>
      </w:r>
    </w:p>
    <w:p w14:paraId="70923288" w14:textId="589915E5"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El interesado debe indicar en cada certificado, o en cada copia de los contratos, los bienes, obras y servicios a los cuales corresponde la experiencia que pretende acreditar, identificándolos con el Clasificador de Bienes y Servicios, en el tercer nivel. La parte final de ese numeral 2.5. indica que </w:t>
      </w:r>
      <w:r>
        <w:rPr>
          <w:rFonts w:ascii="Verdana" w:eastAsia="Calibri" w:hAnsi="Verdana" w:cs="Arial"/>
          <w:color w:val="000000" w:themeColor="text1"/>
        </w:rPr>
        <w:t>“</w:t>
      </w:r>
      <w:r w:rsidRPr="0078009F">
        <w:rPr>
          <w:rFonts w:ascii="Verdana" w:eastAsia="Calibri" w:hAnsi="Verdana" w:cs="Arial"/>
          <w:color w:val="000000" w:themeColor="text1"/>
        </w:rPr>
        <w:t>Si la constitución del interesado es menor a tres (3) años, puede acreditar la experiencia de sus accionistas, socios o constituyentes</w:t>
      </w:r>
      <w:r>
        <w:rPr>
          <w:rFonts w:ascii="Verdana" w:eastAsia="Calibri" w:hAnsi="Verdana" w:cs="Arial"/>
          <w:color w:val="000000" w:themeColor="text1"/>
        </w:rPr>
        <w:t>”</w:t>
      </w:r>
      <w:r w:rsidRPr="0078009F">
        <w:rPr>
          <w:rFonts w:ascii="Verdana" w:eastAsia="Calibri" w:hAnsi="Verdana" w:cs="Arial"/>
          <w:color w:val="000000" w:themeColor="text1"/>
        </w:rPr>
        <w:t>.</w:t>
      </w:r>
    </w:p>
    <w:p w14:paraId="33A981B8"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De este modo, se evidencia que, la parte final del numeral 2.5 del artículo citado incluye una medida diferenciada para las personas jurídicas cuya constitución sea menor a tres (3) años al momento del registro. Esta prerrogativa, que puede entenderse como una medida de fomento a la participación de pequeños oferentes en la contratación estatal, permite que las sociedades relativamente nuevas ─con menos de tres (3) años de constitución─ puedan acreditar como experiencia en el RUP la de sus accionistas, socios o constituyentes.</w:t>
      </w:r>
    </w:p>
    <w:p w14:paraId="08E2427E"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A pesar de que la experiencia es inherente a la persona que la ha obtenido, razón por la cual es, en principio, intransferible en virtud de su carácter personalísimo, por disposición legal o reglamentaria, en casos excepcionales, como el descrito en el artículo mencionado, se aplica de otra manera.</w:t>
      </w:r>
    </w:p>
    <w:p w14:paraId="6B1D9CA9"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La finalidad de esta norma es permitir que las sociedades que no cuentan con la experiencia suficiente para contratar con el Estado puedan apoyarse en la experiencia de sus accionistas, socios o constituyentes con el fin de incentivar la competencia en la contratación estatal. Así las cosas, el socio transfiere la experiencia adquirida directamente a la sociedad de la que es parte, para que esta, como persona jurídica independiente, pueda cumplir con los requisitos habilitantes o puntuables que establezcan las entidades estatales en sus </w:t>
      </w:r>
      <w:r w:rsidRPr="0078009F">
        <w:rPr>
          <w:rFonts w:ascii="Verdana" w:eastAsia="Calibri" w:hAnsi="Verdana" w:cs="Arial"/>
          <w:color w:val="000000" w:themeColor="text1"/>
        </w:rPr>
        <w:lastRenderedPageBreak/>
        <w:t xml:space="preserve">procesos de contratación, y de esta forma promover el desarrollo de la empresa y la pluralidad de oferentes en la contratación pública. </w:t>
      </w:r>
    </w:p>
    <w:p w14:paraId="6A0FE4C5"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Este aspecto ofrece meridiana claridad en cuanto a su aplicación, pero el interrogante que ha generado la norma es el siguiente: ¿qué pasa después de que la sociedad a la que le ha sido permitido certificar la experiencia de sus socios, accionistas o constituyentes cumple tres (3) años de su constitución? ¿puede seguir siendo beneficiaria de la prerrogativa del numeral 2.5 del artículo 2.2.1.1.1.5.2 del Decreto 1082 de 2015? Estos interrogantes han sido planteados a la Subdirección de Gestión Contractual de esta Agencia y se han desarrollado, en torno a dos posiciones, que se plantean a continuación: </w:t>
      </w:r>
    </w:p>
    <w:p w14:paraId="7EC850A0"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En el concepto identificado con radicado No. 4201814000001418 del 3 de abril de 2018, donde frente a la misma pregunta esta Subdirección respondió que después de cumplidos los tres (3) años contados desde la constitución de la sociedad, las entidades estatales no deberían tener como válida la experiencia acreditada por los socios, accionistas o constituyentes. Como fundamento de esta posición, la Subdirección consideró lo siguiente: </w:t>
      </w:r>
    </w:p>
    <w:p w14:paraId="65C9FC04"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i) La posición de la Agencia Nacional de Contratación Pública - Colombia Compra Eficiente respecto a la validez de la experiencia de los accionistas, socios o constituyentes, acreditada en el RUP por una sociedad nueva, cuando ésta ya superó los tres (3) años de constituida, ha variado. </w:t>
      </w:r>
    </w:p>
    <w:p w14:paraId="10D602E4" w14:textId="77777777" w:rsidR="00F16D04" w:rsidRPr="0078009F" w:rsidRDefault="00F16D04" w:rsidP="00F16D04">
      <w:pPr>
        <w:spacing w:line="276" w:lineRule="auto"/>
        <w:ind w:firstLine="708"/>
        <w:jc w:val="both"/>
        <w:rPr>
          <w:rFonts w:ascii="Verdana" w:eastAsia="Calibri" w:hAnsi="Verdana" w:cs="Arial"/>
          <w:color w:val="000000" w:themeColor="text1"/>
        </w:rPr>
      </w:pPr>
      <w:proofErr w:type="spellStart"/>
      <w:r w:rsidRPr="0078009F">
        <w:rPr>
          <w:rFonts w:ascii="Verdana" w:eastAsia="Calibri" w:hAnsi="Verdana" w:cs="Arial"/>
          <w:color w:val="000000" w:themeColor="text1"/>
        </w:rPr>
        <w:t>ii</w:t>
      </w:r>
      <w:proofErr w:type="spellEnd"/>
      <w:r w:rsidRPr="0078009F">
        <w:rPr>
          <w:rFonts w:ascii="Verdana" w:eastAsia="Calibri" w:hAnsi="Verdana" w:cs="Arial"/>
          <w:color w:val="000000" w:themeColor="text1"/>
        </w:rPr>
        <w:t xml:space="preserve">) El Decreto 1082 de 2015 establece que, para la inscripción en el RUP de una persona jurídica si su constitución es menor a tres (3) años, puede acreditar la experiencia de sus accionistas, socios o constituyentes. </w:t>
      </w:r>
    </w:p>
    <w:p w14:paraId="7D39ABB5" w14:textId="77777777" w:rsidR="00F16D04" w:rsidRPr="0078009F" w:rsidRDefault="00F16D04" w:rsidP="00F16D04">
      <w:pPr>
        <w:spacing w:line="276" w:lineRule="auto"/>
        <w:ind w:firstLine="708"/>
        <w:jc w:val="both"/>
        <w:rPr>
          <w:rFonts w:ascii="Verdana" w:eastAsia="Calibri" w:hAnsi="Verdana" w:cs="Arial"/>
          <w:color w:val="000000" w:themeColor="text1"/>
        </w:rPr>
      </w:pPr>
      <w:proofErr w:type="spellStart"/>
      <w:r w:rsidRPr="0078009F">
        <w:rPr>
          <w:rFonts w:ascii="Verdana" w:eastAsia="Calibri" w:hAnsi="Verdana" w:cs="Arial"/>
          <w:color w:val="000000" w:themeColor="text1"/>
        </w:rPr>
        <w:t>iii</w:t>
      </w:r>
      <w:proofErr w:type="spellEnd"/>
      <w:r w:rsidRPr="0078009F">
        <w:rPr>
          <w:rFonts w:ascii="Verdana" w:eastAsia="Calibri" w:hAnsi="Verdana" w:cs="Arial"/>
          <w:color w:val="000000" w:themeColor="text1"/>
        </w:rPr>
        <w:t>) La finalidad de esta norma es permitir que las sociedades que no cuentan con la experiencia suficiente para contratar con el Estado puedan apoyarse en la experiencia de sus accionistas, socios o constituyentes con el fin de incentivar la libre competencia en la contratación estatal.</w:t>
      </w:r>
    </w:p>
    <w:p w14:paraId="287D3884" w14:textId="77777777" w:rsidR="00F16D04" w:rsidRPr="0078009F" w:rsidRDefault="00F16D04" w:rsidP="00F16D04">
      <w:pPr>
        <w:spacing w:line="276" w:lineRule="auto"/>
        <w:ind w:firstLine="708"/>
        <w:jc w:val="both"/>
        <w:rPr>
          <w:rFonts w:ascii="Verdana" w:eastAsia="Calibri" w:hAnsi="Verdana" w:cs="Arial"/>
          <w:color w:val="000000" w:themeColor="text1"/>
        </w:rPr>
      </w:pPr>
      <w:proofErr w:type="spellStart"/>
      <w:r w:rsidRPr="0078009F">
        <w:rPr>
          <w:rFonts w:ascii="Verdana" w:eastAsia="Calibri" w:hAnsi="Verdana" w:cs="Arial"/>
          <w:color w:val="000000" w:themeColor="text1"/>
        </w:rPr>
        <w:t>iv</w:t>
      </w:r>
      <w:proofErr w:type="spellEnd"/>
      <w:r w:rsidRPr="0078009F">
        <w:rPr>
          <w:rFonts w:ascii="Verdana" w:eastAsia="Calibri" w:hAnsi="Verdana" w:cs="Arial"/>
          <w:color w:val="000000" w:themeColor="text1"/>
        </w:rPr>
        <w:t xml:space="preserve">) En consecuencia, la persona jurídica cuya constitución es menor a tres (3) años puede registrar la experiencia de sus socios en el RUP, la cual no podrá ser tenida en cuenta por la entidad estatal como experiencia de la sociedad una vez cumplidos los tres (3) años de constituida la persona jurídica a los que hace referencia la norma, pues no se cumple con el presupuesto normativo para acceder al beneficio que contempla el Decreto 1082 de 2015. </w:t>
      </w:r>
    </w:p>
    <w:p w14:paraId="66EDD9DF"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lastRenderedPageBreak/>
        <w:t xml:space="preserve">v) Las Cámaras de Comercio hacen la verificación documental de la información presentada por los interesados al momento de inscribir, renovar o actualizar su información en el RUP. De esa forma, a diferencia de la renovación, la actualización del RUP puede llevarse a cabo en cualquier momento ―únicamente para la capacidad jurídica y experiencia― y debe ser verificada junto con sus soportes por la Cámara de Comercio correspondiente. </w:t>
      </w:r>
    </w:p>
    <w:p w14:paraId="4DCC2983"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La posición anterior, en relación con la posibilidad de que las sociedades nuevas puedan seguir acreditando la experiencia de sus socios, accionistas o constituyentes, incluso después de cumplidos tres (3) años de constitución de la persona jurídica, fue superada y se ratificó por esta Subdirección la tesis que ya había sido desarrollada en el concepto del 7 de febrero de 2018</w:t>
      </w:r>
      <w:r w:rsidRPr="0078009F">
        <w:rPr>
          <w:rStyle w:val="Refdenotaalpie"/>
          <w:rFonts w:ascii="Verdana" w:eastAsia="Calibri" w:hAnsi="Verdana" w:cs="Arial"/>
          <w:color w:val="000000" w:themeColor="text1"/>
        </w:rPr>
        <w:footnoteReference w:id="3"/>
      </w:r>
      <w:r w:rsidRPr="0078009F">
        <w:rPr>
          <w:rFonts w:ascii="Verdana" w:eastAsia="Calibri" w:hAnsi="Verdana" w:cs="Arial"/>
          <w:color w:val="000000" w:themeColor="text1"/>
        </w:rPr>
        <w:t>, recogida y unificada en el concepto con radicado No. 4201913000006797 del 19 de noviembre de 2019, en el que se sostuvo que las personas jurídicas que hubieran sido beneficiarias de la norma podían seguir acreditando la experiencia de sus socios o accionistas, inclusive después de transcurridos tres (3) años desde la constitución de la sociedad, siempre que se renovara constantemente el RUP.</w:t>
      </w:r>
    </w:p>
    <w:p w14:paraId="2C6156D7"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Se reitera que la finalidad del numeral 2.5 del artículo 2.2.1.1.1.5.2 del Decreto 1082 de 2015 es incentivar la libre competencia y la pluralidad de oferentes en la contratación estatal. Adicionalmente, el Decreto 1082 de 2015 establece que la persona inscrita en el RUP debe presentar la información para renovar su registro a más tardar el quinto día hábil del mes de abril de cada año, de lo contrario cesan sus efectos</w:t>
      </w:r>
      <w:r w:rsidRPr="0078009F">
        <w:rPr>
          <w:rStyle w:val="Refdenotaalpie"/>
          <w:rFonts w:ascii="Verdana" w:eastAsia="Calibri" w:hAnsi="Verdana" w:cs="Arial"/>
          <w:color w:val="000000" w:themeColor="text1"/>
        </w:rPr>
        <w:footnoteReference w:id="4"/>
      </w:r>
      <w:r w:rsidRPr="0078009F">
        <w:rPr>
          <w:rFonts w:ascii="Verdana" w:eastAsia="Calibri" w:hAnsi="Verdana" w:cs="Arial"/>
          <w:color w:val="000000" w:themeColor="text1"/>
        </w:rPr>
        <w:t>. En la actualidad, las cámaras de comercio solo pueden eliminar la experiencia registrada en el RUP a solicitud del proponente. Por tanto, les corresponde a las personas jurídicas mantener su RUP actualizado y a las entidades estatales verificar este registro para efectos de verificar y evaluar la experiencia.</w:t>
      </w:r>
    </w:p>
    <w:p w14:paraId="2D4D3E30"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En otras palabras, si la persona jurídica con menos de tres (3) años de constituida registra la experiencia de sus socios, accionistas o constituyentes en </w:t>
      </w:r>
      <w:r w:rsidRPr="0078009F">
        <w:rPr>
          <w:rFonts w:ascii="Verdana" w:eastAsia="Calibri" w:hAnsi="Verdana" w:cs="Arial"/>
          <w:color w:val="000000" w:themeColor="text1"/>
        </w:rPr>
        <w:lastRenderedPageBreak/>
        <w:t>el RUP, y éste es renovado, puede continuar utilizando la experiencia inscrita mientras no cesen los efectos del RUP. Por el contrario, si no se renueva y la persona jurídica supera los tres (3) años de constituida, la experiencia que registró de sus socios, accionistas o constituyentes no puede ser inscrita nuevamente, puesto que el RUP ha cesado sus efectos y la cámara de comercio tiene que hacer nuevamente la verificación documental de la información presentada al momento de inscribirse en el registro. Lo anterior, tiene fundamento en la Circular Única de la Superintendencia de Industria y Comercio, cuyo numeral 4.2, sobre el procedimiento para llevar el registro único de proponentes, dispone lo siguiente:</w:t>
      </w:r>
    </w:p>
    <w:p w14:paraId="0757873D" w14:textId="77777777" w:rsidR="00F16D04" w:rsidRPr="0078009F" w:rsidRDefault="00F16D04" w:rsidP="00F16D04">
      <w:pPr>
        <w:ind w:left="709" w:right="709"/>
        <w:jc w:val="both"/>
        <w:rPr>
          <w:rFonts w:ascii="Verdana" w:eastAsia="Calibri" w:hAnsi="Verdana" w:cs="Arial"/>
          <w:sz w:val="21"/>
          <w:szCs w:val="21"/>
        </w:rPr>
      </w:pPr>
      <w:r w:rsidRPr="0078009F">
        <w:rPr>
          <w:rFonts w:ascii="Verdana" w:eastAsia="Calibri" w:hAnsi="Verdana" w:cs="Arial"/>
          <w:sz w:val="21"/>
          <w:szCs w:val="21"/>
        </w:rPr>
        <w:t>4.2.5. Vigencia de los documentos. Para efectos de renovación y actualización se considera que los documentos no pierden su vigencia salvo disposición legal en contrario. Por lo anterior, las Cámaras de Comercio no podrán abstenerse de realizar la inscripción argumentando el vencimiento de los documentos de soporte.</w:t>
      </w:r>
    </w:p>
    <w:p w14:paraId="43EBF3CB"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Así las cosas, con el fin de incentivar la participación continúa y constante de los proponentes, las entidades estatales, en sus procesos de contratación, aceptarán como válida la experiencia de los socios, accionistas o constituyentes incluso después de cumplidos los tres (3) años de constitución de la sociedad, pues esta interpretación permite incentivar la creación de empresa y generar una mayor participación de las empresas recién constituidas. En este sentido, si bien la norma no dispone qué sucede con la experiencia aportada por los socios, accionistas o constituyentes, después de los tres (3) años de constituida la persona jurídica, para esta Subdirección sigue siendo válida, por lo que la entidad la debe tener en cuenta. De esta forma se garantiza la pluralidad de oferentes en los procesos de contratación. </w:t>
      </w:r>
    </w:p>
    <w:p w14:paraId="4DF49B45" w14:textId="77777777"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t xml:space="preserve">En línea con lo anterior, el numeral 2.5. del artículo 2.2.1.1.1.5.2 del Decreto 1082 de 2015 consagra una prerrogativa para las sociedades nuevas, que busca fomentar su competencia en el campo de la contratación estatal, sin establecer limitantes en relación con las entidades o procesos de contratación en los que las personas jurídicas con menos de tres (3) años de constitución pueden acreditar la experiencia transferida por sus socios en virtud de la referida prerrogativa. </w:t>
      </w:r>
    </w:p>
    <w:p w14:paraId="63A4E8B0" w14:textId="538B952F" w:rsidR="00F16D04" w:rsidRPr="0078009F" w:rsidRDefault="00F16D04" w:rsidP="00F16D04">
      <w:pPr>
        <w:spacing w:line="276" w:lineRule="auto"/>
        <w:ind w:firstLine="708"/>
        <w:jc w:val="both"/>
        <w:rPr>
          <w:rFonts w:ascii="Verdana" w:eastAsia="Calibri" w:hAnsi="Verdana" w:cs="Arial"/>
          <w:color w:val="000000" w:themeColor="text1"/>
        </w:rPr>
      </w:pPr>
      <w:r w:rsidRPr="0078009F">
        <w:rPr>
          <w:rFonts w:ascii="Verdana" w:eastAsia="Calibri" w:hAnsi="Verdana" w:cs="Arial"/>
          <w:color w:val="000000" w:themeColor="text1"/>
        </w:rPr>
        <w:lastRenderedPageBreak/>
        <w:t>Por tanto, en atención al principio general de interpretación según el cual donde el legislador no distingue no le es dado hacerlo al interprete, el hecho de que una sociedad con menos de tres (3) años de constitución haya hecho uso de la referida prerrogativa en determinado proceso de contratación o entidad, no excluye la posibilidad de que dicha sociedad siga haciendo uso del beneficio en otros procesos de contratación adelantados por otras entidades, incluso una vez vencidos los tres (3) años de constitución, siempre que no hayan cesado los efectos del RUP por el incumplimiento del deber de renovación.</w:t>
      </w:r>
    </w:p>
    <w:p w14:paraId="3558CB09" w14:textId="086CA459" w:rsidR="00F16D04" w:rsidRPr="00847034" w:rsidRDefault="00F16D04" w:rsidP="00F16D04">
      <w:pPr>
        <w:spacing w:line="276" w:lineRule="auto"/>
        <w:jc w:val="both"/>
        <w:rPr>
          <w:rFonts w:ascii="Verdana" w:eastAsia="Calibri" w:hAnsi="Verdana" w:cs="Arial"/>
          <w:color w:val="000000" w:themeColor="text1"/>
        </w:rPr>
      </w:pPr>
      <w:proofErr w:type="spellStart"/>
      <w:r w:rsidRPr="0078009F">
        <w:rPr>
          <w:rFonts w:ascii="Verdana" w:eastAsia="Calibri" w:hAnsi="Verdana" w:cs="Arial"/>
          <w:color w:val="000000"/>
        </w:rPr>
        <w:t>ii</w:t>
      </w:r>
      <w:r>
        <w:rPr>
          <w:rFonts w:ascii="Verdana" w:eastAsia="Calibri" w:hAnsi="Verdana" w:cs="Arial"/>
          <w:color w:val="000000"/>
        </w:rPr>
        <w:t>i</w:t>
      </w:r>
      <w:r w:rsidRPr="0078009F">
        <w:rPr>
          <w:rFonts w:ascii="Verdana" w:eastAsia="Calibri" w:hAnsi="Verdana" w:cs="Arial"/>
          <w:color w:val="000000"/>
        </w:rPr>
        <w:t>.Ahora</w:t>
      </w:r>
      <w:proofErr w:type="spellEnd"/>
      <w:r w:rsidRPr="0078009F">
        <w:rPr>
          <w:rFonts w:ascii="Verdana" w:eastAsia="Calibri" w:hAnsi="Verdana" w:cs="Arial"/>
          <w:color w:val="000000"/>
        </w:rPr>
        <w:t xml:space="preserve"> bien, e</w:t>
      </w:r>
      <w:r>
        <w:rPr>
          <w:rFonts w:ascii="Verdana" w:eastAsia="Calibri" w:hAnsi="Verdana" w:cs="Arial"/>
          <w:color w:val="000000"/>
        </w:rPr>
        <w:t>n</w:t>
      </w:r>
      <w:r w:rsidRPr="0078009F">
        <w:rPr>
          <w:rFonts w:ascii="Verdana" w:eastAsia="Calibri" w:hAnsi="Verdana" w:cs="Arial"/>
          <w:color w:val="000000" w:themeColor="text1"/>
        </w:rPr>
        <w:t xml:space="preserve"> relación con la consulta plateada acerca de si una persona jurídica puede seguir acreditando la experiencia de un socio o accionista que ya no hace parte de la sociedad, porque este </w:t>
      </w:r>
      <w:r>
        <w:rPr>
          <w:rFonts w:ascii="Verdana" w:eastAsia="Calibri" w:hAnsi="Verdana" w:cs="Arial"/>
          <w:color w:val="000000" w:themeColor="text1"/>
        </w:rPr>
        <w:t>falleció</w:t>
      </w:r>
      <w:r w:rsidRPr="0078009F">
        <w:rPr>
          <w:rFonts w:ascii="Verdana" w:eastAsia="Calibri" w:hAnsi="Verdana" w:cs="Arial"/>
          <w:color w:val="000000" w:themeColor="text1"/>
        </w:rPr>
        <w:t xml:space="preserve"> después de los tres (3) primeros años, debe darse respuesta con base en los mismos argumentos presentados en el numeral anterior del presente concepto: la experiencia podrá ser acreditada siempre que se haga válidamente de acuerdo con los requisitos establecidos en el ordenamiento.</w:t>
      </w:r>
      <w:r w:rsidRPr="00847034">
        <w:rPr>
          <w:rFonts w:ascii="Verdana" w:eastAsia="Calibri" w:hAnsi="Verdana" w:cs="Arial"/>
          <w:color w:val="000000" w:themeColor="text1"/>
        </w:rPr>
        <w:t xml:space="preserve"> </w:t>
      </w:r>
    </w:p>
    <w:p w14:paraId="2A71F87B" w14:textId="77777777" w:rsidR="00F16D04" w:rsidRPr="00847034" w:rsidRDefault="00F16D04" w:rsidP="00F16D04">
      <w:pPr>
        <w:spacing w:line="276" w:lineRule="auto"/>
        <w:ind w:firstLine="708"/>
        <w:jc w:val="both"/>
        <w:rPr>
          <w:rFonts w:ascii="Verdana" w:eastAsia="Calibri" w:hAnsi="Verdana" w:cs="Arial"/>
          <w:color w:val="000000" w:themeColor="text1"/>
        </w:rPr>
      </w:pPr>
      <w:r w:rsidRPr="00847034">
        <w:rPr>
          <w:rFonts w:ascii="Verdana" w:eastAsia="Calibri" w:hAnsi="Verdana" w:cs="Arial"/>
          <w:color w:val="000000" w:themeColor="text1"/>
        </w:rPr>
        <w:t xml:space="preserve">En ese orden de ideas, no debe perderse de vista que el Decreto 1082 de 2015 solo permite que una sociedad acredite la experiencia de quienes tienen la calidad de accionistas, socios o constituyentes durante los primeros tres (3) años de su constitución. Por tanto, como límite a la prerrogativa que contempla el numeral 2.5 del artículo 2.2.1.1.1.5.2 del Decreto 1082 de 2015, la cual puede ser entendida como una medida de fomento a la participación de las sociedades relativamente nuevas en la contratación estatal, se encuentra la situación en la cual alguno de los socios, accionistas o constituyente pierde estas calidades, como sucedería cuando uno de ellos se retira por venta o cesión de su participación y pierde su calidad de socio. </w:t>
      </w:r>
    </w:p>
    <w:p w14:paraId="043A1A31" w14:textId="77777777" w:rsidR="00F16D04" w:rsidRDefault="00F16D04" w:rsidP="00F16D04">
      <w:pPr>
        <w:spacing w:after="120" w:line="276" w:lineRule="auto"/>
        <w:ind w:firstLine="709"/>
        <w:jc w:val="both"/>
        <w:rPr>
          <w:rFonts w:ascii="Verdana" w:hAnsi="Verdana" w:cs="Arial"/>
          <w:color w:val="000000" w:themeColor="text1"/>
        </w:rPr>
      </w:pPr>
      <w:r w:rsidRPr="005D0A6D">
        <w:rPr>
          <w:rFonts w:ascii="Verdana" w:hAnsi="Verdana" w:cs="Arial"/>
          <w:color w:val="000000" w:themeColor="text1"/>
        </w:rPr>
        <w:t>En consecuencia, si dentro de ese término la sociedad inscribió válidamente la experiencia del socio minoritario y mantuvo vigente</w:t>
      </w:r>
      <w:r>
        <w:rPr>
          <w:rFonts w:ascii="Verdana" w:hAnsi="Verdana" w:cs="Arial"/>
          <w:color w:val="000000" w:themeColor="text1"/>
        </w:rPr>
        <w:t>,</w:t>
      </w:r>
      <w:r w:rsidRPr="005D0A6D">
        <w:rPr>
          <w:rFonts w:ascii="Verdana" w:hAnsi="Verdana" w:cs="Arial"/>
          <w:color w:val="000000" w:themeColor="text1"/>
        </w:rPr>
        <w:t xml:space="preserve">  </w:t>
      </w:r>
      <w:r>
        <w:rPr>
          <w:rFonts w:ascii="Verdana" w:hAnsi="Verdana" w:cs="Arial"/>
          <w:color w:val="000000" w:themeColor="text1"/>
        </w:rPr>
        <w:t>garantizando</w:t>
      </w:r>
      <w:r w:rsidRPr="005D0A6D">
        <w:rPr>
          <w:rFonts w:ascii="Verdana" w:hAnsi="Verdana" w:cs="Arial"/>
          <w:color w:val="000000" w:themeColor="text1"/>
        </w:rPr>
        <w:t xml:space="preserve"> </w:t>
      </w:r>
      <w:r>
        <w:rPr>
          <w:rFonts w:ascii="Verdana" w:hAnsi="Verdana" w:cs="Arial"/>
          <w:color w:val="000000" w:themeColor="text1"/>
        </w:rPr>
        <w:t xml:space="preserve">una </w:t>
      </w:r>
      <w:r w:rsidRPr="005D0A6D">
        <w:rPr>
          <w:rFonts w:ascii="Verdana" w:hAnsi="Verdana" w:cs="Arial"/>
          <w:color w:val="000000" w:themeColor="text1"/>
        </w:rPr>
        <w:t>renovación oportuna</w:t>
      </w:r>
      <w:r>
        <w:rPr>
          <w:rFonts w:ascii="Verdana" w:hAnsi="Verdana" w:cs="Arial"/>
          <w:color w:val="000000" w:themeColor="text1"/>
        </w:rPr>
        <w:t xml:space="preserve"> de RUP</w:t>
      </w:r>
      <w:r w:rsidRPr="005D0A6D">
        <w:rPr>
          <w:rFonts w:ascii="Verdana" w:hAnsi="Verdana" w:cs="Arial"/>
          <w:color w:val="000000" w:themeColor="text1"/>
        </w:rPr>
        <w:t xml:space="preserve">, dicha experiencia se entiende incorporada de la persona jurídica y puede seguir siendo acreditada aun cuando el socio fallezca después de cumplidos los tres años de constitución, pues no se está ante una nueva transferencia de experiencia sino </w:t>
      </w:r>
      <w:r>
        <w:rPr>
          <w:rFonts w:ascii="Verdana" w:hAnsi="Verdana" w:cs="Arial"/>
          <w:color w:val="000000" w:themeColor="text1"/>
        </w:rPr>
        <w:t>de</w:t>
      </w:r>
      <w:r w:rsidRPr="005D0A6D">
        <w:rPr>
          <w:rFonts w:ascii="Verdana" w:hAnsi="Verdana" w:cs="Arial"/>
          <w:color w:val="000000" w:themeColor="text1"/>
        </w:rPr>
        <w:t xml:space="preserve"> la conservación de una situación jurídica consolidada y amparada por la</w:t>
      </w:r>
      <w:r>
        <w:rPr>
          <w:rFonts w:ascii="Verdana" w:hAnsi="Verdana" w:cs="Arial"/>
          <w:color w:val="000000" w:themeColor="text1"/>
        </w:rPr>
        <w:t xml:space="preserve"> firmeza del acto de inscripción inicial</w:t>
      </w:r>
      <w:r w:rsidRPr="005D0A6D">
        <w:rPr>
          <w:rFonts w:ascii="Verdana" w:hAnsi="Verdana" w:cs="Arial"/>
          <w:color w:val="000000" w:themeColor="text1"/>
        </w:rPr>
        <w:t xml:space="preserve">. </w:t>
      </w:r>
    </w:p>
    <w:p w14:paraId="715642D9" w14:textId="4AE98F1F" w:rsidR="00F16D04" w:rsidRPr="00847034" w:rsidRDefault="00F16D04" w:rsidP="00F16D04">
      <w:pPr>
        <w:spacing w:after="120" w:line="276" w:lineRule="auto"/>
        <w:ind w:firstLine="709"/>
        <w:jc w:val="both"/>
        <w:rPr>
          <w:rFonts w:ascii="Verdana" w:eastAsia="Calibri" w:hAnsi="Verdana" w:cs="Arial"/>
          <w:color w:val="000000" w:themeColor="text1"/>
        </w:rPr>
      </w:pPr>
      <w:r w:rsidRPr="00C600AE">
        <w:rPr>
          <w:rFonts w:ascii="Verdana" w:eastAsia="Calibri" w:hAnsi="Verdana" w:cs="Arial"/>
          <w:color w:val="000000" w:themeColor="text1"/>
        </w:rPr>
        <w:lastRenderedPageBreak/>
        <w:t xml:space="preserve">Por el contrario, si la </w:t>
      </w:r>
      <w:r w:rsidRPr="005D0A6D">
        <w:rPr>
          <w:rFonts w:ascii="Verdana" w:hAnsi="Verdana" w:cs="Arial"/>
          <w:color w:val="000000" w:themeColor="text1"/>
        </w:rPr>
        <w:t xml:space="preserve">sociedad no efectuó la </w:t>
      </w:r>
      <w:r>
        <w:rPr>
          <w:rFonts w:ascii="Verdana" w:hAnsi="Verdana" w:cs="Arial"/>
          <w:color w:val="000000" w:themeColor="text1"/>
        </w:rPr>
        <w:t>renovación</w:t>
      </w:r>
      <w:r w:rsidRPr="005D0A6D">
        <w:rPr>
          <w:rFonts w:ascii="Verdana" w:hAnsi="Verdana" w:cs="Arial"/>
          <w:color w:val="000000" w:themeColor="text1"/>
        </w:rPr>
        <w:t xml:space="preserve"> dentro del plazo</w:t>
      </w:r>
      <w:r w:rsidRPr="00C600AE">
        <w:rPr>
          <w:rFonts w:ascii="Verdana" w:eastAsia="Calibri" w:hAnsi="Verdana" w:cs="Arial"/>
          <w:color w:val="000000" w:themeColor="text1"/>
        </w:rPr>
        <w:t xml:space="preserve"> habilitado o </w:t>
      </w:r>
      <w:r w:rsidRPr="005D0A6D">
        <w:rPr>
          <w:rFonts w:ascii="Verdana" w:hAnsi="Verdana" w:cs="Arial"/>
          <w:color w:val="000000" w:themeColor="text1"/>
        </w:rPr>
        <w:t>dejó vencer el RUP</w:t>
      </w:r>
      <w:r>
        <w:rPr>
          <w:rFonts w:ascii="Verdana" w:hAnsi="Verdana" w:cs="Arial"/>
          <w:color w:val="000000" w:themeColor="text1"/>
        </w:rPr>
        <w:t>, debiendo</w:t>
      </w:r>
      <w:r w:rsidRPr="005D0A6D">
        <w:rPr>
          <w:rFonts w:ascii="Verdana" w:hAnsi="Verdana" w:cs="Arial"/>
          <w:color w:val="000000" w:themeColor="text1"/>
        </w:rPr>
        <w:t xml:space="preserve"> realizar una nueva inscripción</w:t>
      </w:r>
      <w:r>
        <w:rPr>
          <w:rFonts w:ascii="Verdana" w:hAnsi="Verdana" w:cs="Arial"/>
          <w:color w:val="000000" w:themeColor="text1"/>
        </w:rPr>
        <w:t xml:space="preserve"> después de fallecido el </w:t>
      </w:r>
      <w:proofErr w:type="gramStart"/>
      <w:r>
        <w:rPr>
          <w:rFonts w:ascii="Verdana" w:hAnsi="Verdana" w:cs="Arial"/>
          <w:color w:val="000000" w:themeColor="text1"/>
        </w:rPr>
        <w:t>socio,  dicha</w:t>
      </w:r>
      <w:proofErr w:type="gramEnd"/>
      <w:r>
        <w:rPr>
          <w:rFonts w:ascii="Verdana" w:hAnsi="Verdana" w:cs="Arial"/>
          <w:color w:val="000000" w:themeColor="text1"/>
        </w:rPr>
        <w:t xml:space="preserve"> sociedad</w:t>
      </w:r>
      <w:r w:rsidRPr="005D0A6D">
        <w:rPr>
          <w:rFonts w:ascii="Verdana" w:hAnsi="Verdana" w:cs="Arial"/>
          <w:color w:val="000000" w:themeColor="text1"/>
        </w:rPr>
        <w:t xml:space="preserve"> no podrá</w:t>
      </w:r>
      <w:r w:rsidRPr="00C600AE">
        <w:rPr>
          <w:rFonts w:ascii="Verdana" w:eastAsia="Calibri" w:hAnsi="Verdana" w:cs="Arial"/>
          <w:color w:val="000000" w:themeColor="text1"/>
        </w:rPr>
        <w:t xml:space="preserve"> registrar nuevamente la experiencia del socio fallecido</w:t>
      </w:r>
      <w:r>
        <w:rPr>
          <w:rFonts w:ascii="Verdana" w:hAnsi="Verdana" w:cs="Arial"/>
          <w:color w:val="000000" w:themeColor="text1"/>
        </w:rPr>
        <w:t xml:space="preserve"> a pesar de encontrarse dentro del plazo de 3 años de constitución. Esto comoquiera que, en dicho supuesto pierde firmeza la inscripción inicial, no resultando además presentar los contratos ejecutados por el exsocio fallecido, ya que la muerte extingue su calidad de socio, sin perjuicio de los derechos económicos de sus causahabientes. </w:t>
      </w:r>
      <w:r w:rsidRPr="00847034">
        <w:rPr>
          <w:rFonts w:ascii="Verdana" w:eastAsia="Calibri" w:hAnsi="Verdana" w:cs="Arial"/>
          <w:color w:val="000000" w:themeColor="text1"/>
        </w:rPr>
        <w:t xml:space="preserve"> </w:t>
      </w:r>
    </w:p>
    <w:p w14:paraId="625224E2" w14:textId="1BC49275" w:rsidR="00F16D04" w:rsidRDefault="00F16D04" w:rsidP="00F16D04">
      <w:pPr>
        <w:spacing w:line="276" w:lineRule="auto"/>
        <w:ind w:firstLine="708"/>
        <w:jc w:val="both"/>
        <w:rPr>
          <w:rFonts w:ascii="Verdana" w:eastAsia="Calibri" w:hAnsi="Verdana" w:cs="Arial"/>
          <w:color w:val="000000" w:themeColor="text1"/>
        </w:rPr>
      </w:pPr>
      <w:r w:rsidRPr="00847034">
        <w:rPr>
          <w:rFonts w:ascii="Verdana" w:eastAsia="Calibri" w:hAnsi="Verdana" w:cs="Arial"/>
          <w:color w:val="000000" w:themeColor="text1"/>
        </w:rPr>
        <w:t>Esta interpretación, además, se impone en atención a fin de evitar prácticas corruptas o que atenten contra la transparencia en la contratación estatal, por lo que la experiencia aportada por quien se retira en cualquier momento no debería ser utilizada por el proponente en los procesos de contratación. De igual forma, lo anterior se fundamenta como se explicó en líneas atrás, en el carácter personalísimo de la experiencia respecto de la persona que la ha adquirido y que solo en casos excepcionales y por disposición legal o reglamentaria se presume de otra forma. En ese sentido, si el socio se retira de la sociedad por venta o cesión de su participación accionaria, no puede vender o ceder su experiencia para que el adquirente o cesionario de la participación accionaria la aporte a la sociedad.</w:t>
      </w:r>
    </w:p>
    <w:p w14:paraId="3BAF158F" w14:textId="77777777" w:rsidR="00F16D04" w:rsidRDefault="00F16D04" w:rsidP="00F16D04">
      <w:pPr>
        <w:spacing w:after="0" w:line="276" w:lineRule="auto"/>
        <w:ind w:firstLine="360"/>
        <w:jc w:val="both"/>
        <w:rPr>
          <w:rFonts w:ascii="Verdana" w:eastAsia="Calibri" w:hAnsi="Verdana" w:cs="Arial"/>
          <w:lang w:val="es-ES_tradnl"/>
        </w:rPr>
      </w:pPr>
      <w:r w:rsidRPr="00F47560">
        <w:rPr>
          <w:rFonts w:ascii="Verdana" w:eastAsia="Times New Roman" w:hAnsi="Verdana" w:cs="Arial"/>
          <w:color w:val="000000" w:themeColor="text1"/>
          <w:lang w:val="es-ES" w:eastAsia="es-ES"/>
        </w:rPr>
        <w:t xml:space="preserve">Finalmente, debe advertirse que el análisis requerido para resolver problemas específicos en torno </w:t>
      </w:r>
      <w:r>
        <w:rPr>
          <w:rFonts w:ascii="Verdana" w:eastAsia="Calibri" w:hAnsi="Verdana" w:cs="Arial"/>
          <w:lang w:val="es-ES"/>
        </w:rPr>
        <w:t>a los efectos o consecuencias que en materia contractual pueda derivar la escisión de una sociedad, así como el inicio de un procedimiento sancionatorio administrativo</w:t>
      </w:r>
      <w:r w:rsidRPr="00F47560">
        <w:rPr>
          <w:rFonts w:ascii="Verdana" w:eastAsia="Times New Roman" w:hAnsi="Verdana" w:cs="Arial"/>
          <w:color w:val="000000" w:themeColor="text1"/>
          <w:lang w:val="es-ES" w:eastAsia="es-ES"/>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6DAEB1C" w14:textId="77777777" w:rsidR="00F16D04" w:rsidRPr="00F47560" w:rsidRDefault="00F16D04" w:rsidP="00F16D04">
      <w:pPr>
        <w:spacing w:before="120" w:after="0" w:line="276" w:lineRule="auto"/>
        <w:ind w:firstLine="708"/>
        <w:jc w:val="both"/>
        <w:rPr>
          <w:rFonts w:ascii="Verdana" w:eastAsia="Calibri" w:hAnsi="Verdana" w:cs="Arial"/>
          <w:lang w:val="es-ES"/>
        </w:rPr>
      </w:pPr>
      <w:r w:rsidRPr="2864E210">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w:t>
      </w:r>
      <w:r w:rsidRPr="2864E210">
        <w:rPr>
          <w:rFonts w:ascii="Verdana" w:eastAsia="Times New Roman" w:hAnsi="Verdana" w:cs="Arial"/>
          <w:color w:val="000000" w:themeColor="text1"/>
          <w:lang w:val="es-ES" w:eastAsia="es-ES"/>
        </w:rPr>
        <w:lastRenderedPageBreak/>
        <w:t xml:space="preserve">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577A7B0B" w14:textId="77777777" w:rsidR="00F16D04" w:rsidRPr="00742A56" w:rsidRDefault="00F16D04" w:rsidP="00F16D04">
      <w:pPr>
        <w:spacing w:after="0" w:line="276" w:lineRule="auto"/>
        <w:jc w:val="both"/>
        <w:rPr>
          <w:rFonts w:ascii="Verdana" w:hAnsi="Verdana" w:cs="Arial"/>
          <w:bCs/>
          <w:color w:val="000000" w:themeColor="text1"/>
        </w:rPr>
      </w:pPr>
      <w:bookmarkStart w:id="4" w:name="_Hlk204856061"/>
      <w:bookmarkStart w:id="5" w:name="_Hlk78820161"/>
      <w:bookmarkStart w:id="6" w:name="_Hlk204854194"/>
    </w:p>
    <w:bookmarkEnd w:id="4"/>
    <w:bookmarkEnd w:id="5"/>
    <w:p w14:paraId="10CF4817" w14:textId="77777777" w:rsidR="00F16D04" w:rsidRPr="001F283D" w:rsidRDefault="00F16D04" w:rsidP="00F16D04">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6"/>
    <w:p w14:paraId="7B0D4DD4" w14:textId="77777777" w:rsidR="00F16D04" w:rsidRPr="00593A5F" w:rsidRDefault="00F16D04" w:rsidP="00F16D0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16D04" w:rsidRPr="002407CE" w14:paraId="39FF2D00" w14:textId="77777777" w:rsidTr="005B3CC2">
        <w:trPr>
          <w:trHeight w:val="870"/>
          <w:jc w:val="center"/>
        </w:trPr>
        <w:tc>
          <w:tcPr>
            <w:tcW w:w="8647" w:type="dxa"/>
          </w:tcPr>
          <w:p w14:paraId="22773DDB" w14:textId="77777777" w:rsidR="00F16D04" w:rsidRPr="00331DEB" w:rsidRDefault="00F16D04" w:rsidP="00F16D04">
            <w:pPr>
              <w:widowControl w:val="0"/>
              <w:numPr>
                <w:ilvl w:val="0"/>
                <w:numId w:val="2"/>
              </w:numPr>
              <w:autoSpaceDE w:val="0"/>
              <w:autoSpaceDN w:val="0"/>
              <w:spacing w:after="255" w:line="276" w:lineRule="auto"/>
              <w:contextualSpacing/>
              <w:jc w:val="both"/>
              <w:rPr>
                <w:rFonts w:ascii="Verdana" w:hAnsi="Verdana" w:cs="Arial"/>
                <w:lang w:val="es-ES"/>
              </w:rPr>
            </w:pPr>
            <w:r w:rsidRPr="00331DEB">
              <w:rPr>
                <w:rFonts w:ascii="Verdana" w:hAnsi="Verdana" w:cs="Arial"/>
                <w:lang w:val="es-ES"/>
              </w:rPr>
              <w:t>Ley</w:t>
            </w:r>
            <w:r>
              <w:rPr>
                <w:rFonts w:ascii="Verdana" w:hAnsi="Verdana" w:cs="Arial"/>
                <w:lang w:val="es-ES"/>
              </w:rPr>
              <w:t xml:space="preserve"> 1150 de 2007. Artículo 5.</w:t>
            </w:r>
          </w:p>
          <w:p w14:paraId="538CB3BA" w14:textId="77777777" w:rsidR="00F16D04" w:rsidRDefault="00F16D04" w:rsidP="00F16D04">
            <w:pPr>
              <w:widowControl w:val="0"/>
              <w:numPr>
                <w:ilvl w:val="0"/>
                <w:numId w:val="2"/>
              </w:numPr>
              <w:autoSpaceDE w:val="0"/>
              <w:autoSpaceDN w:val="0"/>
              <w:spacing w:after="255" w:line="276" w:lineRule="auto"/>
              <w:contextualSpacing/>
              <w:jc w:val="both"/>
              <w:rPr>
                <w:rFonts w:ascii="Verdana" w:hAnsi="Verdana" w:cs="Arial"/>
                <w:lang w:val="es-ES"/>
              </w:rPr>
            </w:pPr>
            <w:r>
              <w:rPr>
                <w:rFonts w:ascii="Verdana" w:hAnsi="Verdana" w:cs="Arial"/>
                <w:lang w:val="es-ES"/>
              </w:rPr>
              <w:t xml:space="preserve">Decreto 1082 de 2015. Numeral 2.5 del artículo </w:t>
            </w:r>
            <w:r w:rsidRPr="004D34DA">
              <w:rPr>
                <w:rFonts w:ascii="Verdana" w:hAnsi="Verdana" w:cs="Arial"/>
                <w:lang w:val="es-ES"/>
              </w:rPr>
              <w:t>2.2.1.1.1.5.2</w:t>
            </w:r>
            <w:r>
              <w:rPr>
                <w:rFonts w:ascii="Verdana" w:hAnsi="Verdana" w:cs="Arial"/>
                <w:lang w:val="es-ES"/>
              </w:rPr>
              <w:t xml:space="preserve">; artículo </w:t>
            </w:r>
            <w:r w:rsidRPr="00CE467F">
              <w:rPr>
                <w:rFonts w:ascii="Verdana" w:hAnsi="Verdana" w:cs="Arial"/>
                <w:lang w:val="es-ES"/>
              </w:rPr>
              <w:t>2.2.1.1.1.5</w:t>
            </w:r>
            <w:r>
              <w:rPr>
                <w:rFonts w:ascii="Verdana" w:hAnsi="Verdana" w:cs="Arial"/>
                <w:lang w:val="es-ES"/>
              </w:rPr>
              <w:t xml:space="preserve">.3; artículo </w:t>
            </w:r>
            <w:r w:rsidRPr="00D80FBF">
              <w:rPr>
                <w:rFonts w:ascii="Verdana" w:hAnsi="Verdana" w:cs="Arial"/>
                <w:lang w:val="es-ES"/>
              </w:rPr>
              <w:t>2.2.1.1.1.6.2</w:t>
            </w:r>
            <w:r>
              <w:rPr>
                <w:rFonts w:ascii="Verdana" w:hAnsi="Verdana" w:cs="Arial"/>
                <w:lang w:val="es-ES"/>
              </w:rPr>
              <w:t>.</w:t>
            </w:r>
          </w:p>
          <w:p w14:paraId="57D7D71D" w14:textId="77777777" w:rsidR="00F16D04" w:rsidRDefault="00F16D04" w:rsidP="00F16D04">
            <w:pPr>
              <w:widowControl w:val="0"/>
              <w:numPr>
                <w:ilvl w:val="0"/>
                <w:numId w:val="2"/>
              </w:numPr>
              <w:autoSpaceDE w:val="0"/>
              <w:autoSpaceDN w:val="0"/>
              <w:spacing w:after="255" w:line="276" w:lineRule="auto"/>
              <w:contextualSpacing/>
              <w:jc w:val="both"/>
              <w:rPr>
                <w:rFonts w:ascii="Verdana" w:hAnsi="Verdana" w:cs="Arial"/>
                <w:lang w:val="es-ES"/>
              </w:rPr>
            </w:pPr>
            <w:r>
              <w:rPr>
                <w:rFonts w:ascii="Verdana" w:hAnsi="Verdana" w:cs="Arial"/>
                <w:lang w:val="es-ES"/>
              </w:rPr>
              <w:t>Código de Comercio. Artículo 167 y 180.</w:t>
            </w:r>
          </w:p>
          <w:p w14:paraId="0E6446A2" w14:textId="77777777" w:rsidR="00F16D04" w:rsidRDefault="00F16D04" w:rsidP="00F16D04">
            <w:pPr>
              <w:widowControl w:val="0"/>
              <w:numPr>
                <w:ilvl w:val="0"/>
                <w:numId w:val="2"/>
              </w:numPr>
              <w:autoSpaceDE w:val="0"/>
              <w:autoSpaceDN w:val="0"/>
              <w:spacing w:after="255" w:line="276" w:lineRule="auto"/>
              <w:contextualSpacing/>
              <w:jc w:val="both"/>
              <w:rPr>
                <w:rFonts w:ascii="Verdana" w:hAnsi="Verdana" w:cs="Arial"/>
                <w:lang w:val="es-ES"/>
              </w:rPr>
            </w:pPr>
            <w:r>
              <w:rPr>
                <w:rFonts w:ascii="Verdana" w:hAnsi="Verdana" w:cs="Arial"/>
                <w:lang w:val="es-ES"/>
              </w:rPr>
              <w:t>Código Civil. Artículo 222.</w:t>
            </w:r>
          </w:p>
          <w:p w14:paraId="10341B12" w14:textId="7BE4E1AD" w:rsidR="00F16D04" w:rsidRPr="003B374C" w:rsidRDefault="00F16D04" w:rsidP="00F16D04">
            <w:pPr>
              <w:widowControl w:val="0"/>
              <w:numPr>
                <w:ilvl w:val="0"/>
                <w:numId w:val="2"/>
              </w:numPr>
              <w:autoSpaceDE w:val="0"/>
              <w:autoSpaceDN w:val="0"/>
              <w:spacing w:after="255" w:line="276" w:lineRule="auto"/>
              <w:contextualSpacing/>
              <w:jc w:val="both"/>
              <w:rPr>
                <w:rFonts w:ascii="Verdana" w:hAnsi="Verdana" w:cs="Arial"/>
                <w:lang w:val="es-ES"/>
              </w:rPr>
            </w:pPr>
            <w:r>
              <w:rPr>
                <w:rFonts w:ascii="Verdana" w:hAnsi="Verdana" w:cs="Arial"/>
                <w:lang w:val="es-ES"/>
              </w:rPr>
              <w:t>Ley 222 de 1995.</w:t>
            </w:r>
          </w:p>
        </w:tc>
      </w:tr>
    </w:tbl>
    <w:p w14:paraId="0D6E19F7" w14:textId="77777777" w:rsidR="00F16D04" w:rsidRPr="00277E26" w:rsidRDefault="00F16D04" w:rsidP="00F16D04">
      <w:pPr>
        <w:widowControl w:val="0"/>
        <w:autoSpaceDE w:val="0"/>
        <w:autoSpaceDN w:val="0"/>
        <w:spacing w:after="0" w:line="276" w:lineRule="auto"/>
        <w:jc w:val="both"/>
        <w:rPr>
          <w:rFonts w:ascii="Verdana" w:hAnsi="Verdana" w:cs="Arial"/>
        </w:rPr>
      </w:pPr>
    </w:p>
    <w:p w14:paraId="53E6DEB6" w14:textId="77777777" w:rsidR="00F16D04" w:rsidRPr="001F283D" w:rsidRDefault="00F16D04" w:rsidP="00F16D04">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5AFADEFB" w14:textId="77777777" w:rsidR="00F16D04" w:rsidRDefault="00F16D04" w:rsidP="00F16D04">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438902B8" w14:textId="18DB33FC" w:rsidR="00F16D04" w:rsidRPr="00353F7D" w:rsidRDefault="00F16D04" w:rsidP="00F16D04">
      <w:pPr>
        <w:widowControl w:val="0"/>
        <w:autoSpaceDE w:val="0"/>
        <w:autoSpaceDN w:val="0"/>
        <w:spacing w:after="0" w:line="276" w:lineRule="auto"/>
        <w:jc w:val="both"/>
        <w:rPr>
          <w:rFonts w:ascii="Verdana" w:eastAsia="Times New Roman" w:hAnsi="Verdana" w:cs="Arial"/>
          <w:shd w:val="clear" w:color="auto" w:fill="FFFFFF"/>
          <w:lang w:val="es-ES"/>
        </w:rPr>
      </w:pPr>
      <w:r w:rsidRPr="38FACAB2">
        <w:rPr>
          <w:rFonts w:ascii="Verdana" w:eastAsia="Calibri" w:hAnsi="Verdana" w:cs="Arial"/>
          <w:color w:val="000000"/>
          <w:kern w:val="2"/>
          <w:lang w:val="es-ES"/>
          <w14:ligatures w14:val="standardContextual"/>
        </w:rPr>
        <w:t>La Agencia Nacional de Contratación Pública ‒ Colombia Compra Eficiente,</w:t>
      </w:r>
      <w:r>
        <w:rPr>
          <w:rFonts w:ascii="Verdana" w:eastAsia="Calibri" w:hAnsi="Verdana" w:cs="Arial"/>
          <w:color w:val="000000"/>
          <w:kern w:val="2"/>
          <w:lang w:val="es-ES"/>
          <w14:ligatures w14:val="standardContextual"/>
        </w:rPr>
        <w:t xml:space="preserve"> se ha pronunciado </w:t>
      </w:r>
      <w:r w:rsidRPr="38FACAB2">
        <w:rPr>
          <w:rFonts w:ascii="Verdana" w:eastAsia="Calibri" w:hAnsi="Verdana" w:cs="Arial"/>
          <w:color w:val="000000"/>
          <w:kern w:val="2"/>
          <w:lang w:val="es-ES"/>
          <w14:ligatures w14:val="standardContextual"/>
        </w:rPr>
        <w:t>la acreditación de la experiencia de los socios por una sociedad nueva con menos de 3 años de constitución</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en los conceptos C-025 del 16 de marzo de 2020, C-051 del 2 de marzo de 2020, C-165 del 1 de abril de 2020, C-233 del 16 de abril de 2020, C-407 de 12 de junio de 2020, C-398 de 30 de junio de 2020, C-470 del 14 de julio de 2020, C-511 del 18 de agosto de 2020, C-584 de 31 de agosto 2020, C-619 de 21 de septiembre 2020, C-710 del 9 de diciembre de 2020, C-717 del 10 de diciembre de 2020, C-729 del 11 de diciembre de 2020, C-103 del 24 de marzo del 2021, C-140 del 9 de abril del 2021, C-230 del 25 de mayo de 2021, C-316 del 29 de junio de 2021, C-318 del 29 de junio de 2021, C-326 del 2 de julio de 2021, C-593 del 11 de diciembre de 2024, C-1006 del 30 de diciembre de 2024, C-093 del 17 de febrero de 2025, C-121 del 6 de marzo de 2025, C-200 del 25 de marzo de 2025</w:t>
      </w:r>
      <w:r>
        <w:rPr>
          <w:rFonts w:ascii="Verdana" w:eastAsia="Calibri" w:hAnsi="Verdana" w:cs="Arial"/>
          <w:color w:val="000000"/>
          <w:kern w:val="2"/>
          <w:lang w:val="es-ES"/>
          <w14:ligatures w14:val="standardContextual"/>
        </w:rPr>
        <w:t xml:space="preserve">, </w:t>
      </w:r>
      <w:r w:rsidRPr="38FACAB2">
        <w:rPr>
          <w:rFonts w:ascii="Verdana" w:eastAsia="Calibri" w:hAnsi="Verdana" w:cs="Arial"/>
          <w:color w:val="000000"/>
          <w:kern w:val="2"/>
          <w:lang w:val="es-ES"/>
          <w14:ligatures w14:val="standardContextual"/>
        </w:rPr>
        <w:t>C-204 del 26 de marzo de 2025</w:t>
      </w:r>
      <w:r>
        <w:rPr>
          <w:rFonts w:ascii="Verdana" w:eastAsia="Calibri" w:hAnsi="Verdana" w:cs="Arial"/>
          <w:color w:val="000000"/>
          <w:kern w:val="2"/>
          <w:lang w:val="es-ES"/>
          <w14:ligatures w14:val="standardContextual"/>
        </w:rPr>
        <w:t xml:space="preserve"> y C-830 de 2025</w:t>
      </w:r>
      <w:r>
        <w:rPr>
          <w:rFonts w:ascii="Verdana" w:eastAsia="Calibri" w:hAnsi="Verdana" w:cs="Arial"/>
          <w:lang w:val="es-ES_tradnl" w:eastAsia="es-MX"/>
        </w:rPr>
        <w:t>, entre otros</w:t>
      </w:r>
      <w:r>
        <w:rPr>
          <w:rFonts w:ascii="Verdana" w:eastAsia="Aptos" w:hAnsi="Verdana" w:cs="Arial"/>
          <w:shd w:val="clear" w:color="auto" w:fill="FFFFFF"/>
          <w:lang w:val="es-ES"/>
        </w:rPr>
        <w:t>.</w:t>
      </w:r>
      <w:r w:rsidRPr="0047490F">
        <w:rPr>
          <w:rFonts w:ascii="Verdana" w:eastAsia="Aptos" w:hAnsi="Verdana" w:cs="Arial"/>
          <w:shd w:val="clear" w:color="auto" w:fill="FFFFFF"/>
          <w:lang w:val="es-ES"/>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1" w:history="1">
        <w:r w:rsidRPr="0047490F">
          <w:rPr>
            <w:rStyle w:val="Hipervnculo"/>
            <w:rFonts w:ascii="Verdana" w:eastAsia="Aptos" w:hAnsi="Verdana" w:cs="Arial"/>
            <w:shd w:val="clear" w:color="auto" w:fill="FFFFFF"/>
            <w:lang w:val="es-ES"/>
          </w:rPr>
          <w:t>https://relatoria.colombiacompra.gov.co/</w:t>
        </w:r>
      </w:hyperlink>
      <w:r w:rsidRPr="0047490F">
        <w:rPr>
          <w:rFonts w:ascii="Verdana" w:eastAsia="Aptos" w:hAnsi="Verdana" w:cs="Arial"/>
          <w:shd w:val="clear" w:color="auto" w:fill="FFFFFF"/>
          <w:lang w:val="es-ES"/>
        </w:rPr>
        <w:t xml:space="preserve">. </w:t>
      </w:r>
    </w:p>
    <w:p w14:paraId="63D9CF4B" w14:textId="77777777" w:rsidR="00F16D04" w:rsidRDefault="00F16D04" w:rsidP="00F16D04">
      <w:pPr>
        <w:spacing w:after="120" w:line="276" w:lineRule="auto"/>
        <w:jc w:val="both"/>
        <w:rPr>
          <w:rFonts w:ascii="Verdana" w:hAnsi="Verdana"/>
        </w:rPr>
      </w:pPr>
    </w:p>
    <w:p w14:paraId="7A3A251B" w14:textId="2C661900" w:rsidR="00F16D04" w:rsidRPr="00237766" w:rsidRDefault="00F16D04" w:rsidP="00F16D04">
      <w:pPr>
        <w:spacing w:after="120" w:line="276" w:lineRule="auto"/>
        <w:jc w:val="both"/>
        <w:rPr>
          <w:rFonts w:ascii="Verdana" w:eastAsia="Calibri" w:hAnsi="Verdana" w:cs="Times New Roman"/>
        </w:rPr>
      </w:pPr>
      <w:r w:rsidRPr="008E4F36">
        <w:rPr>
          <w:rFonts w:ascii="Verdana" w:hAnsi="Verdana"/>
        </w:rPr>
        <w:lastRenderedPageBreak/>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3AE7BF7" w14:textId="77777777" w:rsidR="00F16D04" w:rsidRPr="008E4F36" w:rsidRDefault="00F16D04" w:rsidP="00F16D04">
      <w:pPr>
        <w:pStyle w:val="Prrafodelista"/>
        <w:numPr>
          <w:ilvl w:val="0"/>
          <w:numId w:val="3"/>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77D66FA5" w14:textId="77777777" w:rsidR="00F16D04" w:rsidRPr="008E4F36" w:rsidRDefault="00F16D04" w:rsidP="00F16D04">
      <w:pPr>
        <w:pStyle w:val="Prrafodelista"/>
        <w:numPr>
          <w:ilvl w:val="0"/>
          <w:numId w:val="3"/>
        </w:numPr>
        <w:spacing w:after="0" w:line="276" w:lineRule="auto"/>
        <w:contextualSpacing w:val="0"/>
        <w:jc w:val="both"/>
        <w:rPr>
          <w:rFonts w:ascii="Verdana" w:hAnsi="Verdana"/>
        </w:rPr>
      </w:pPr>
      <w:r w:rsidRPr="008E4F36">
        <w:rPr>
          <w:rFonts w:ascii="Verdana" w:hAnsi="Verdana"/>
        </w:rPr>
        <w:t>Línea en Bogotá (Mesa de servicio): +57 601 7456788</w:t>
      </w:r>
    </w:p>
    <w:p w14:paraId="788600A1" w14:textId="77777777" w:rsidR="00F16D04" w:rsidRPr="008E4F36" w:rsidRDefault="00F16D04" w:rsidP="00F16D04">
      <w:pPr>
        <w:pStyle w:val="Prrafodelista"/>
        <w:numPr>
          <w:ilvl w:val="0"/>
          <w:numId w:val="3"/>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47D30BB6" w14:textId="77777777" w:rsidR="00F16D04" w:rsidRPr="008E4F36" w:rsidRDefault="00F16D04" w:rsidP="00F16D04">
      <w:pPr>
        <w:pStyle w:val="Prrafodelista"/>
        <w:numPr>
          <w:ilvl w:val="0"/>
          <w:numId w:val="3"/>
        </w:numPr>
        <w:spacing w:after="0" w:line="276" w:lineRule="auto"/>
        <w:contextualSpacing w:val="0"/>
        <w:jc w:val="both"/>
        <w:rPr>
          <w:rFonts w:ascii="Verdana" w:hAnsi="Verdana"/>
        </w:rPr>
      </w:pPr>
      <w:r w:rsidRPr="008E4F36">
        <w:rPr>
          <w:rFonts w:ascii="Verdana" w:hAnsi="Verdana"/>
        </w:rPr>
        <w:t xml:space="preserve">Página web: </w:t>
      </w:r>
      <w:hyperlink r:id="rId12" w:history="1">
        <w:r w:rsidRPr="008E4F36">
          <w:rPr>
            <w:rStyle w:val="Hipervnculo"/>
            <w:rFonts w:ascii="Verdana" w:hAnsi="Verdana"/>
          </w:rPr>
          <w:t>www.colombiacompra.gov.co</w:t>
        </w:r>
      </w:hyperlink>
    </w:p>
    <w:p w14:paraId="06751C43" w14:textId="77777777" w:rsidR="00F16D04" w:rsidRPr="008E4F36" w:rsidRDefault="00F16D04" w:rsidP="00F16D04">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55C9F355" w14:textId="77777777" w:rsidR="00F16D04" w:rsidRPr="008E4F36" w:rsidRDefault="00F16D04" w:rsidP="00F16D04">
      <w:pPr>
        <w:spacing w:after="0" w:line="276" w:lineRule="auto"/>
        <w:jc w:val="both"/>
        <w:rPr>
          <w:rFonts w:ascii="Verdana" w:hAnsi="Verdana"/>
        </w:rPr>
      </w:pPr>
    </w:p>
    <w:p w14:paraId="3F88D82C" w14:textId="77777777" w:rsidR="00F16D04" w:rsidRPr="008E4F36" w:rsidRDefault="00F16D04" w:rsidP="00F16D04">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7FD9F715" w14:textId="77777777" w:rsidR="00F16D04" w:rsidRPr="008E4F36" w:rsidRDefault="00F16D04" w:rsidP="00F16D04">
      <w:pPr>
        <w:spacing w:after="0" w:line="276" w:lineRule="auto"/>
        <w:jc w:val="both"/>
        <w:rPr>
          <w:rFonts w:ascii="Verdana" w:hAnsi="Verdana"/>
        </w:rPr>
      </w:pPr>
      <w:r w:rsidRPr="008E4F36">
        <w:rPr>
          <w:rFonts w:ascii="Verdana" w:hAnsi="Verdana"/>
        </w:rPr>
        <w:t xml:space="preserve">Facebook: </w:t>
      </w:r>
      <w:proofErr w:type="spellStart"/>
      <w:r w:rsidRPr="008E4F36">
        <w:rPr>
          <w:rStyle w:val="Hipervnculo"/>
          <w:rFonts w:ascii="Verdana" w:hAnsi="Verdana"/>
        </w:rPr>
        <w:t>ColombiaCompraEficiente</w:t>
      </w:r>
      <w:proofErr w:type="spellEnd"/>
    </w:p>
    <w:p w14:paraId="67E8DE6E" w14:textId="77777777" w:rsidR="00F16D04" w:rsidRPr="008E4F36" w:rsidRDefault="00F16D04" w:rsidP="00F16D04">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6BAA2143" w14:textId="77777777" w:rsidR="00F16D04" w:rsidRDefault="00F16D04" w:rsidP="00F16D04">
      <w:pPr>
        <w:spacing w:before="120" w:after="0" w:line="276" w:lineRule="auto"/>
        <w:jc w:val="both"/>
        <w:rPr>
          <w:rFonts w:ascii="Verdana" w:hAnsi="Verdana"/>
        </w:rPr>
      </w:pPr>
    </w:p>
    <w:p w14:paraId="78CAF87A" w14:textId="77777777" w:rsidR="00F16D04" w:rsidRPr="00FB6C33" w:rsidRDefault="00F16D04" w:rsidP="00F16D04">
      <w:pPr>
        <w:spacing w:before="120" w:after="0" w:line="276" w:lineRule="auto"/>
        <w:jc w:val="both"/>
        <w:rPr>
          <w:rFonts w:ascii="Verdana" w:hAnsi="Verdana"/>
        </w:rPr>
      </w:pPr>
      <w:r w:rsidRPr="00FB6C33">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DAB6B51" w14:textId="77777777" w:rsidR="00F16D04" w:rsidRPr="008E4F36" w:rsidRDefault="00F16D04" w:rsidP="00F16D04">
      <w:pPr>
        <w:spacing w:after="0" w:line="276" w:lineRule="auto"/>
        <w:jc w:val="both"/>
        <w:rPr>
          <w:rFonts w:ascii="Verdana" w:eastAsia="Calibri" w:hAnsi="Verdana" w:cs="Times New Roman"/>
        </w:rPr>
      </w:pPr>
    </w:p>
    <w:p w14:paraId="5440B3CD" w14:textId="77777777" w:rsidR="00F16D04" w:rsidRDefault="00F16D04" w:rsidP="00F16D04">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513EB436" w14:textId="77777777" w:rsidR="00F16D04" w:rsidRDefault="00F16D04" w:rsidP="00F16D04">
      <w:pPr>
        <w:spacing w:after="0" w:line="256" w:lineRule="auto"/>
        <w:jc w:val="both"/>
        <w:rPr>
          <w:rFonts w:ascii="Verdana" w:eastAsia="Calibri" w:hAnsi="Verdana" w:cs="Times New Roman"/>
        </w:rPr>
      </w:pPr>
    </w:p>
    <w:p w14:paraId="6670E266" w14:textId="17B1F7B2" w:rsidR="00F16D04" w:rsidRPr="002F746F" w:rsidRDefault="002F746F" w:rsidP="002F746F">
      <w:pPr>
        <w:spacing w:after="0" w:line="256" w:lineRule="auto"/>
        <w:jc w:val="center"/>
        <w:rPr>
          <w:noProof/>
        </w:rPr>
      </w:pPr>
      <w:r w:rsidRPr="002C3AD6">
        <w:rPr>
          <w:rFonts w:ascii="Century Gothic" w:hAnsi="Century Gothic"/>
          <w:noProof/>
        </w:rPr>
        <w:drawing>
          <wp:inline distT="0" distB="0" distL="0" distR="0" wp14:anchorId="3CF43519" wp14:editId="7FA5C649">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318444"/>
                    </a:xfrm>
                    <a:prstGeom prst="rect">
                      <a:avLst/>
                    </a:prstGeom>
                  </pic:spPr>
                </pic:pic>
              </a:graphicData>
            </a:graphic>
          </wp:inline>
        </w:drawing>
      </w:r>
      <w:bookmarkEnd w:id="0"/>
      <w:bookmarkEnd w:id="1"/>
    </w:p>
    <w:p w14:paraId="78C8B250" w14:textId="77777777" w:rsidR="00F16D04" w:rsidRDefault="00F16D04" w:rsidP="00F16D04">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16D04" w:rsidRPr="002423D6" w14:paraId="7F45B034" w14:textId="77777777" w:rsidTr="005B3CC2">
        <w:trPr>
          <w:trHeight w:val="315"/>
        </w:trPr>
        <w:tc>
          <w:tcPr>
            <w:tcW w:w="893" w:type="dxa"/>
            <w:vAlign w:val="center"/>
            <w:hideMark/>
          </w:tcPr>
          <w:p w14:paraId="424412CC" w14:textId="77777777" w:rsidR="00F16D04" w:rsidRPr="002423D6" w:rsidRDefault="00F16D04" w:rsidP="005B3CC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8920349" w14:textId="77777777" w:rsidR="00F16D04" w:rsidRPr="002423D6" w:rsidRDefault="00F16D04" w:rsidP="005B3CC2">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Andreina Cerpa Muñoz</w:t>
            </w:r>
            <w:r w:rsidRPr="002423D6">
              <w:rPr>
                <w:rFonts w:ascii="Verdana" w:eastAsia="Arial" w:hAnsi="Verdana" w:cs="Arial"/>
                <w:color w:val="000000" w:themeColor="text1"/>
                <w:sz w:val="16"/>
                <w:szCs w:val="16"/>
              </w:rPr>
              <w:t xml:space="preserve"> </w:t>
            </w:r>
          </w:p>
          <w:p w14:paraId="2494E5EE" w14:textId="77777777" w:rsidR="00F16D04" w:rsidRPr="002423D6" w:rsidRDefault="00F16D04" w:rsidP="005B3CC2">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F16D04" w:rsidRPr="002423D6" w14:paraId="3622EC40" w14:textId="77777777" w:rsidTr="005B3CC2">
        <w:trPr>
          <w:trHeight w:val="330"/>
        </w:trPr>
        <w:tc>
          <w:tcPr>
            <w:tcW w:w="893" w:type="dxa"/>
            <w:vAlign w:val="center"/>
            <w:hideMark/>
          </w:tcPr>
          <w:p w14:paraId="2F85A571" w14:textId="77777777" w:rsidR="00F16D04" w:rsidRPr="002423D6" w:rsidRDefault="00F16D04" w:rsidP="005B3CC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289EEB" w14:textId="77777777" w:rsidR="00F16D04" w:rsidRPr="002423D6" w:rsidRDefault="00F16D04" w:rsidP="005B3CC2">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7265600E" w14:textId="77777777" w:rsidR="00F16D04" w:rsidRPr="002423D6" w:rsidRDefault="00F16D04" w:rsidP="005B3CC2">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w:t>
            </w:r>
            <w:r>
              <w:rPr>
                <w:rFonts w:ascii="Verdana" w:hAnsi="Verdana" w:cs="Arial"/>
                <w:color w:val="000000" w:themeColor="text1"/>
                <w:sz w:val="16"/>
                <w:szCs w:val="16"/>
              </w:rPr>
              <w:t>-</w:t>
            </w:r>
            <w:r w:rsidRPr="00250F55">
              <w:rPr>
                <w:rFonts w:ascii="Verdana" w:hAnsi="Verdana" w:cs="Arial"/>
                <w:color w:val="000000" w:themeColor="text1"/>
                <w:sz w:val="16"/>
                <w:szCs w:val="16"/>
              </w:rPr>
              <w:t>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F16D04" w:rsidRPr="002423D6" w14:paraId="2568881D" w14:textId="77777777" w:rsidTr="005B3CC2">
        <w:trPr>
          <w:trHeight w:val="300"/>
        </w:trPr>
        <w:tc>
          <w:tcPr>
            <w:tcW w:w="893" w:type="dxa"/>
            <w:vAlign w:val="center"/>
          </w:tcPr>
          <w:p w14:paraId="74CE3421" w14:textId="77777777" w:rsidR="00F16D04" w:rsidRPr="002423D6" w:rsidRDefault="00F16D04" w:rsidP="005B3CC2">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5B2D0DF" w14:textId="77777777" w:rsidR="00F16D04" w:rsidRPr="002423D6" w:rsidRDefault="00F16D04" w:rsidP="005B3CC2">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 xml:space="preserve">Carolina Quintero </w:t>
            </w:r>
            <w:proofErr w:type="spellStart"/>
            <w:r w:rsidRPr="002423D6">
              <w:rPr>
                <w:rFonts w:ascii="Verdana" w:eastAsia="Calibri" w:hAnsi="Verdana" w:cs="Arial"/>
                <w:color w:val="000000" w:themeColor="text1"/>
                <w:sz w:val="16"/>
                <w:szCs w:val="16"/>
                <w:lang w:val="pt-BR" w:eastAsia="es-ES"/>
              </w:rPr>
              <w:t>Gacharná</w:t>
            </w:r>
            <w:proofErr w:type="spellEnd"/>
          </w:p>
          <w:p w14:paraId="5803D0A7" w14:textId="77777777" w:rsidR="00F16D04" w:rsidRPr="002423D6" w:rsidRDefault="00F16D04" w:rsidP="005B3CC2">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w:t>
            </w:r>
            <w:proofErr w:type="spellStart"/>
            <w:r w:rsidRPr="002423D6">
              <w:rPr>
                <w:rFonts w:ascii="Verdana" w:eastAsia="Calibri" w:hAnsi="Verdana" w:cs="Arial"/>
                <w:color w:val="000000" w:themeColor="text1"/>
                <w:sz w:val="16"/>
                <w:szCs w:val="16"/>
                <w:lang w:val="pt-BR" w:eastAsia="es-ES"/>
              </w:rPr>
              <w:t>Contractual</w:t>
            </w:r>
            <w:proofErr w:type="spellEnd"/>
            <w:r w:rsidRPr="002423D6">
              <w:rPr>
                <w:rFonts w:ascii="Verdana" w:eastAsia="Calibri" w:hAnsi="Verdana" w:cs="Arial"/>
                <w:color w:val="000000" w:themeColor="text1"/>
                <w:sz w:val="16"/>
                <w:szCs w:val="16"/>
                <w:lang w:val="pt-BR" w:eastAsia="es-ES"/>
              </w:rPr>
              <w:t xml:space="preserve"> ANCP – CCE</w:t>
            </w:r>
          </w:p>
        </w:tc>
      </w:tr>
    </w:tbl>
    <w:p w14:paraId="44FC8693" w14:textId="77777777" w:rsidR="00F16D04" w:rsidRDefault="00F16D04" w:rsidP="00F16D04"/>
    <w:p w14:paraId="1B46C8E7" w14:textId="7F711735" w:rsidR="00F16D04" w:rsidRDefault="00F16D04" w:rsidP="00F16D04">
      <w:r>
        <w:t xml:space="preserve"> </w:t>
      </w:r>
    </w:p>
    <w:p w14:paraId="631310F0" w14:textId="194F6413" w:rsidR="000F5A42" w:rsidRPr="00F16D04" w:rsidRDefault="009D0B6C" w:rsidP="00F16D04">
      <w:r w:rsidRPr="00F16D04">
        <w:t xml:space="preserve"> </w:t>
      </w:r>
    </w:p>
    <w:sectPr w:rsidR="000F5A42" w:rsidRPr="00F16D04" w:rsidSect="009D0B6C">
      <w:headerReference w:type="default" r:id="rId14"/>
      <w:footerReference w:type="default" r:id="rId1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16329" w14:textId="77777777" w:rsidR="00AD2B5C" w:rsidRDefault="00AD2B5C" w:rsidP="009D0B6C">
      <w:pPr>
        <w:spacing w:after="0" w:line="240" w:lineRule="auto"/>
      </w:pPr>
      <w:r>
        <w:separator/>
      </w:r>
    </w:p>
  </w:endnote>
  <w:endnote w:type="continuationSeparator" w:id="0">
    <w:p w14:paraId="5221817F" w14:textId="77777777" w:rsidR="00AD2B5C" w:rsidRDefault="00AD2B5C" w:rsidP="009D0B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A2733" w14:textId="77777777" w:rsidR="009D0B6C" w:rsidRDefault="009D0B6C" w:rsidP="005B3CC2">
    <w:pPr>
      <w:spacing w:after="0"/>
      <w:rPr>
        <w:rFonts w:ascii="Verdana" w:hAnsi="Verdana"/>
        <w:b/>
        <w:bCs/>
        <w:sz w:val="20"/>
        <w:szCs w:val="20"/>
      </w:rPr>
    </w:pPr>
  </w:p>
  <w:p w14:paraId="258EA10D" w14:textId="77777777" w:rsidR="009D0B6C" w:rsidRPr="00174B77" w:rsidRDefault="009D0B6C" w:rsidP="005B3CC2">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BC53B2C" w14:textId="77777777" w:rsidR="009D0B6C" w:rsidRDefault="009D0B6C" w:rsidP="005B3CC2">
    <w:pPr>
      <w:spacing w:after="0"/>
      <w:jc w:val="both"/>
      <w:rPr>
        <w:rFonts w:ascii="Verdana" w:hAnsi="Verdana"/>
        <w:sz w:val="18"/>
        <w:szCs w:val="18"/>
      </w:rPr>
    </w:pPr>
    <w:r w:rsidRPr="00E41027">
      <w:rPr>
        <w:rFonts w:ascii="Verdana" w:hAnsi="Verdana"/>
        <w:sz w:val="18"/>
        <w:szCs w:val="18"/>
      </w:rPr>
      <w:t>Dirección: Carrera 7 # 26 – 20 - Bogotá, Colombia</w:t>
    </w:r>
  </w:p>
  <w:p w14:paraId="087C03D2" w14:textId="77777777" w:rsidR="009D0B6C" w:rsidRPr="00E41027" w:rsidRDefault="009D0B6C" w:rsidP="005B3CC2">
    <w:pPr>
      <w:spacing w:after="0"/>
      <w:jc w:val="both"/>
      <w:rPr>
        <w:rFonts w:ascii="Verdana" w:hAnsi="Verdana"/>
        <w:sz w:val="18"/>
        <w:szCs w:val="18"/>
      </w:rPr>
    </w:pPr>
    <w:r w:rsidRPr="00E41027">
      <w:rPr>
        <w:rFonts w:ascii="Verdana" w:hAnsi="Verdana"/>
        <w:sz w:val="18"/>
        <w:szCs w:val="18"/>
      </w:rPr>
      <w:t>Mesa de servicio: (+57) 601 7456788</w:t>
    </w:r>
  </w:p>
  <w:p w14:paraId="18AB3415" w14:textId="77777777" w:rsidR="009D0B6C" w:rsidRDefault="009D0B6C" w:rsidP="005B3CC2">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7AF9C438" w14:textId="77777777" w:rsidR="009D0B6C" w:rsidRPr="007D04B2" w:rsidRDefault="009D0B6C" w:rsidP="005B3CC2">
    <w:pPr>
      <w:pStyle w:val="Piedepgina"/>
    </w:pPr>
  </w:p>
  <w:p w14:paraId="5AE99A31" w14:textId="77777777" w:rsidR="009D0B6C" w:rsidRPr="000849D5" w:rsidRDefault="009D0B6C" w:rsidP="005B3CC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497B3" w14:textId="77777777" w:rsidR="00AD2B5C" w:rsidRDefault="00AD2B5C" w:rsidP="009D0B6C">
      <w:pPr>
        <w:spacing w:after="0" w:line="240" w:lineRule="auto"/>
      </w:pPr>
      <w:r>
        <w:separator/>
      </w:r>
    </w:p>
  </w:footnote>
  <w:footnote w:type="continuationSeparator" w:id="0">
    <w:p w14:paraId="7F9EBFD6" w14:textId="77777777" w:rsidR="00AD2B5C" w:rsidRDefault="00AD2B5C" w:rsidP="009D0B6C">
      <w:pPr>
        <w:spacing w:after="0" w:line="240" w:lineRule="auto"/>
      </w:pPr>
      <w:r>
        <w:continuationSeparator/>
      </w:r>
    </w:p>
  </w:footnote>
  <w:footnote w:id="1">
    <w:p w14:paraId="5674BF37" w14:textId="50A7FEF6" w:rsidR="00F16D04" w:rsidRPr="00F2390A" w:rsidRDefault="00F16D04" w:rsidP="00F16D04">
      <w:pPr>
        <w:pStyle w:val="Textonotapie"/>
        <w:ind w:firstLine="708"/>
        <w:jc w:val="both"/>
        <w:rPr>
          <w:rFonts w:ascii="Arial" w:hAnsi="Arial" w:cs="Arial"/>
          <w:sz w:val="14"/>
          <w:szCs w:val="14"/>
        </w:rPr>
      </w:pPr>
      <w:r w:rsidRPr="00F2390A">
        <w:rPr>
          <w:rStyle w:val="Refdenotaalpie"/>
          <w:rFonts w:ascii="Arial" w:hAnsi="Arial" w:cs="Arial"/>
          <w:sz w:val="14"/>
          <w:szCs w:val="14"/>
        </w:rPr>
        <w:footnoteRef/>
      </w:r>
      <w:r w:rsidRPr="00F2390A">
        <w:rPr>
          <w:rFonts w:ascii="Arial" w:hAnsi="Arial" w:cs="Arial"/>
          <w:sz w:val="14"/>
          <w:szCs w:val="14"/>
        </w:rPr>
        <w:t xml:space="preserve"> </w:t>
      </w:r>
      <w:r>
        <w:rPr>
          <w:rFonts w:ascii="Arial" w:hAnsi="Arial" w:cs="Arial"/>
          <w:sz w:val="14"/>
          <w:szCs w:val="14"/>
        </w:rPr>
        <w:t>“</w:t>
      </w:r>
      <w:r w:rsidRPr="00F2390A">
        <w:rPr>
          <w:rFonts w:ascii="Arial" w:hAnsi="Arial" w:cs="Arial"/>
          <w:sz w:val="14"/>
          <w:szCs w:val="14"/>
        </w:rPr>
        <w:t xml:space="preserve">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57D89245" w14:textId="77777777" w:rsidR="00F16D04" w:rsidRPr="00F2390A" w:rsidRDefault="00F16D04" w:rsidP="00F16D04">
      <w:pPr>
        <w:pStyle w:val="Textonotapie"/>
        <w:ind w:firstLine="708"/>
        <w:jc w:val="both"/>
        <w:rPr>
          <w:rFonts w:ascii="Arial" w:hAnsi="Arial" w:cs="Arial"/>
          <w:sz w:val="14"/>
          <w:szCs w:val="14"/>
        </w:rPr>
      </w:pPr>
      <w:r w:rsidRPr="00F2390A">
        <w:rPr>
          <w:rFonts w:ascii="Arial" w:hAnsi="Arial" w:cs="Arial"/>
          <w:sz w:val="14"/>
          <w:szCs w:val="14"/>
        </w:rPr>
        <w:t xml:space="preserve">[…] </w:t>
      </w:r>
    </w:p>
    <w:p w14:paraId="2A70537C" w14:textId="691C008D" w:rsidR="00F16D04" w:rsidRPr="00F2390A" w:rsidRDefault="00F16D04" w:rsidP="00F16D04">
      <w:pPr>
        <w:pStyle w:val="Textonotapie"/>
        <w:ind w:firstLine="708"/>
        <w:jc w:val="both"/>
        <w:rPr>
          <w:rFonts w:ascii="Arial" w:hAnsi="Arial" w:cs="Arial"/>
          <w:sz w:val="14"/>
          <w:szCs w:val="14"/>
        </w:rPr>
      </w:pPr>
      <w:r>
        <w:rPr>
          <w:rFonts w:ascii="Arial" w:hAnsi="Arial" w:cs="Arial"/>
          <w:sz w:val="14"/>
          <w:szCs w:val="14"/>
        </w:rPr>
        <w:t>“</w:t>
      </w:r>
      <w:r w:rsidRPr="00F2390A">
        <w:rPr>
          <w:rFonts w:ascii="Arial" w:hAnsi="Arial" w:cs="Arial"/>
          <w:sz w:val="14"/>
          <w:szCs w:val="14"/>
        </w:rPr>
        <w:t>2.1. Bienes, obras y servicios que ofrecerá a las Entidades Estatales, identificados con el Clasificador de Bienes y Servicios en el tercer nivel</w:t>
      </w:r>
      <w:r>
        <w:rPr>
          <w:rFonts w:ascii="Arial" w:hAnsi="Arial" w:cs="Arial"/>
          <w:sz w:val="14"/>
          <w:szCs w:val="14"/>
        </w:rPr>
        <w:t>”</w:t>
      </w:r>
      <w:r w:rsidRPr="00F2390A">
        <w:rPr>
          <w:rFonts w:ascii="Arial" w:hAnsi="Arial" w:cs="Arial"/>
          <w:sz w:val="14"/>
          <w:szCs w:val="14"/>
        </w:rPr>
        <w:t>.</w:t>
      </w:r>
    </w:p>
    <w:p w14:paraId="323F7D89" w14:textId="77777777" w:rsidR="00F16D04" w:rsidRPr="00F2390A" w:rsidRDefault="00F16D04" w:rsidP="00F16D04">
      <w:pPr>
        <w:pStyle w:val="Textonotapie"/>
        <w:ind w:firstLine="708"/>
        <w:jc w:val="both"/>
        <w:rPr>
          <w:rFonts w:ascii="Arial" w:hAnsi="Arial" w:cs="Arial"/>
          <w:sz w:val="14"/>
          <w:szCs w:val="14"/>
          <w:lang w:val="es-CO"/>
        </w:rPr>
      </w:pPr>
    </w:p>
  </w:footnote>
  <w:footnote w:id="2">
    <w:p w14:paraId="48BFC12B" w14:textId="58FF35C1" w:rsidR="00F16D04" w:rsidRPr="00F2390A" w:rsidRDefault="00F16D04" w:rsidP="00F16D04">
      <w:pPr>
        <w:pStyle w:val="Textonotapie"/>
        <w:ind w:firstLine="708"/>
        <w:jc w:val="both"/>
        <w:rPr>
          <w:rFonts w:ascii="Arial" w:hAnsi="Arial" w:cs="Arial"/>
          <w:sz w:val="14"/>
          <w:szCs w:val="14"/>
        </w:rPr>
      </w:pPr>
      <w:r w:rsidRPr="00F2390A">
        <w:rPr>
          <w:rStyle w:val="Refdenotaalpie"/>
          <w:rFonts w:ascii="Arial" w:hAnsi="Arial" w:cs="Arial"/>
          <w:sz w:val="14"/>
          <w:szCs w:val="14"/>
        </w:rPr>
        <w:footnoteRef/>
      </w:r>
      <w:r w:rsidRPr="00F2390A">
        <w:rPr>
          <w:rFonts w:ascii="Arial" w:hAnsi="Arial" w:cs="Arial"/>
          <w:sz w:val="14"/>
          <w:szCs w:val="14"/>
        </w:rPr>
        <w:t xml:space="preserve"> </w:t>
      </w:r>
      <w:r>
        <w:rPr>
          <w:rFonts w:ascii="Arial" w:hAnsi="Arial" w:cs="Arial"/>
          <w:sz w:val="14"/>
          <w:szCs w:val="14"/>
        </w:rPr>
        <w:t>“</w:t>
      </w:r>
      <w:r w:rsidRPr="00F2390A">
        <w:rPr>
          <w:rFonts w:ascii="Arial" w:hAnsi="Arial" w:cs="Arial"/>
          <w:sz w:val="14"/>
          <w:szCs w:val="14"/>
        </w:rPr>
        <w:t>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7F6264A3" w14:textId="77777777" w:rsidR="00F16D04" w:rsidRPr="00F2390A" w:rsidRDefault="00F16D04" w:rsidP="00F16D04">
      <w:pPr>
        <w:pStyle w:val="Textonotapie"/>
        <w:ind w:firstLine="708"/>
        <w:jc w:val="both"/>
        <w:rPr>
          <w:rFonts w:ascii="Arial" w:hAnsi="Arial" w:cs="Arial"/>
          <w:sz w:val="14"/>
          <w:szCs w:val="14"/>
        </w:rPr>
      </w:pPr>
      <w:r w:rsidRPr="00F2390A">
        <w:rPr>
          <w:rFonts w:ascii="Arial" w:hAnsi="Arial" w:cs="Arial"/>
          <w:sz w:val="14"/>
          <w:szCs w:val="14"/>
        </w:rPr>
        <w:t xml:space="preserve">[…] </w:t>
      </w:r>
    </w:p>
    <w:p w14:paraId="7CBBAF22" w14:textId="3C82D74A" w:rsidR="00F16D04" w:rsidRPr="00F2390A" w:rsidRDefault="00F16D04" w:rsidP="00F16D04">
      <w:pPr>
        <w:pStyle w:val="Textonotapie"/>
        <w:ind w:firstLine="708"/>
        <w:jc w:val="both"/>
        <w:rPr>
          <w:rFonts w:ascii="Arial" w:hAnsi="Arial" w:cs="Arial"/>
          <w:sz w:val="14"/>
          <w:szCs w:val="14"/>
          <w:lang w:val="es-CO"/>
        </w:rPr>
      </w:pPr>
      <w:r>
        <w:rPr>
          <w:rFonts w:ascii="Arial" w:hAnsi="Arial" w:cs="Arial"/>
          <w:sz w:val="14"/>
          <w:szCs w:val="14"/>
        </w:rPr>
        <w:t>“</w:t>
      </w:r>
      <w:r w:rsidRPr="00F2390A">
        <w:rPr>
          <w:rFonts w:ascii="Arial" w:hAnsi="Arial" w:cs="Arial"/>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3 años, puede acreditar la experiencia de sus accionistas, socios o constituyentes</w:t>
      </w:r>
      <w:r>
        <w:rPr>
          <w:rFonts w:ascii="Arial" w:hAnsi="Arial" w:cs="Arial"/>
          <w:sz w:val="14"/>
          <w:szCs w:val="14"/>
        </w:rPr>
        <w:t>”</w:t>
      </w:r>
      <w:r w:rsidRPr="00F2390A">
        <w:rPr>
          <w:rFonts w:ascii="Arial" w:hAnsi="Arial" w:cs="Arial"/>
          <w:sz w:val="14"/>
          <w:szCs w:val="14"/>
        </w:rPr>
        <w:t>.</w:t>
      </w:r>
    </w:p>
  </w:footnote>
  <w:footnote w:id="3">
    <w:p w14:paraId="473A972C" w14:textId="77777777" w:rsidR="00F16D04" w:rsidRPr="00765703" w:rsidRDefault="00F16D04" w:rsidP="00F16D04">
      <w:pPr>
        <w:pStyle w:val="Textonotapie"/>
        <w:ind w:firstLine="708"/>
        <w:jc w:val="both"/>
        <w:rPr>
          <w:rFonts w:ascii="Verdana" w:hAnsi="Verdana" w:cs="Arial"/>
          <w:sz w:val="14"/>
          <w:szCs w:val="14"/>
        </w:rPr>
      </w:pPr>
      <w:r w:rsidRPr="00765703">
        <w:rPr>
          <w:rStyle w:val="Refdenotaalpie"/>
          <w:rFonts w:ascii="Verdana" w:hAnsi="Verdana" w:cs="Arial"/>
          <w:sz w:val="14"/>
          <w:szCs w:val="14"/>
        </w:rPr>
        <w:footnoteRef/>
      </w:r>
      <w:r w:rsidRPr="00765703">
        <w:rPr>
          <w:rFonts w:ascii="Verdana" w:hAnsi="Verdana" w:cs="Arial"/>
          <w:sz w:val="14"/>
          <w:szCs w:val="14"/>
        </w:rPr>
        <w:t xml:space="preserve"> Colombia Compra Eficiente. Concepto del 7 de febrero de 2018, Rad. 2201813000000954.</w:t>
      </w:r>
    </w:p>
    <w:p w14:paraId="2DC65B83" w14:textId="77777777" w:rsidR="00F16D04" w:rsidRPr="00765703" w:rsidRDefault="00F16D04" w:rsidP="00F16D04">
      <w:pPr>
        <w:pStyle w:val="Textonotapie"/>
        <w:ind w:firstLine="708"/>
        <w:jc w:val="both"/>
        <w:rPr>
          <w:rFonts w:ascii="Verdana" w:hAnsi="Verdana" w:cs="Arial"/>
          <w:sz w:val="14"/>
          <w:szCs w:val="14"/>
          <w:lang w:val="es-CO"/>
        </w:rPr>
      </w:pPr>
    </w:p>
  </w:footnote>
  <w:footnote w:id="4">
    <w:p w14:paraId="2DB172FA" w14:textId="3B98B19F" w:rsidR="00F16D04" w:rsidRPr="00F2390A" w:rsidRDefault="00F16D04" w:rsidP="00F16D04">
      <w:pPr>
        <w:pStyle w:val="Textonotapie"/>
        <w:ind w:firstLine="708"/>
        <w:jc w:val="both"/>
        <w:rPr>
          <w:rFonts w:ascii="Arial" w:hAnsi="Arial" w:cs="Arial"/>
          <w:sz w:val="14"/>
          <w:szCs w:val="14"/>
          <w:lang w:val="es-CO"/>
        </w:rPr>
      </w:pPr>
      <w:r w:rsidRPr="00765703">
        <w:rPr>
          <w:rStyle w:val="Refdenotaalpie"/>
          <w:rFonts w:ascii="Verdana" w:hAnsi="Verdana" w:cs="Arial"/>
          <w:sz w:val="14"/>
          <w:szCs w:val="14"/>
        </w:rPr>
        <w:footnoteRef/>
      </w:r>
      <w:r w:rsidRPr="00765703">
        <w:rPr>
          <w:rFonts w:ascii="Verdana" w:hAnsi="Verdana" w:cs="Arial"/>
          <w:sz w:val="14"/>
          <w:szCs w:val="14"/>
        </w:rPr>
        <w:t xml:space="preserve"> En el marco del Estado de emergencia económica, social y ecológica declarado por el Gobierno Nacional a través del Decreto 417 de 2020, a causa de la pandemia mundial desatada por el virus del Covid 19, se expidió el Decreto 434 de 2020 el cual dispone lo siguiente: “Artículo 2°. Renovación del Registro Único de Proponentes. Las personas naturales y jurídicas, nacionales o extranjeras, con domicilio en Colombia, interesadas en participar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96D96" w14:textId="77777777" w:rsidR="009D0B6C" w:rsidRDefault="009D0B6C" w:rsidP="005B3CC2">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3AF46B3C" wp14:editId="4DC2B19D">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4124C58D" wp14:editId="3ABB932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40DFF9E" w14:textId="77777777" w:rsidR="009D0B6C" w:rsidRDefault="009D0B6C" w:rsidP="005B3CC2">
    <w:pPr>
      <w:pStyle w:val="Encabezado"/>
    </w:pPr>
  </w:p>
  <w:p w14:paraId="281407FF" w14:textId="77777777" w:rsidR="009D0B6C" w:rsidRDefault="009D0B6C" w:rsidP="005B3CC2">
    <w:pPr>
      <w:pStyle w:val="Encabezado"/>
    </w:pPr>
  </w:p>
  <w:p w14:paraId="289D8A21" w14:textId="77777777" w:rsidR="009D0B6C" w:rsidRPr="00515FB5" w:rsidRDefault="009D0B6C" w:rsidP="005B3CC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41274352">
    <w:abstractNumId w:val="0"/>
  </w:num>
  <w:num w:numId="2" w16cid:durableId="679089576">
    <w:abstractNumId w:val="1"/>
  </w:num>
  <w:num w:numId="3" w16cid:durableId="3903498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6C"/>
    <w:rsid w:val="000F5A42"/>
    <w:rsid w:val="001100D4"/>
    <w:rsid w:val="001C7E45"/>
    <w:rsid w:val="001D795B"/>
    <w:rsid w:val="00271A06"/>
    <w:rsid w:val="002C7352"/>
    <w:rsid w:val="002E4E5C"/>
    <w:rsid w:val="002F746F"/>
    <w:rsid w:val="00325DB8"/>
    <w:rsid w:val="00353F7D"/>
    <w:rsid w:val="00384914"/>
    <w:rsid w:val="003B374C"/>
    <w:rsid w:val="004530B1"/>
    <w:rsid w:val="0049145E"/>
    <w:rsid w:val="004D4154"/>
    <w:rsid w:val="004E76D6"/>
    <w:rsid w:val="00514178"/>
    <w:rsid w:val="005771B7"/>
    <w:rsid w:val="005B0009"/>
    <w:rsid w:val="005B3CC2"/>
    <w:rsid w:val="005C532D"/>
    <w:rsid w:val="005D0A6D"/>
    <w:rsid w:val="005E73C9"/>
    <w:rsid w:val="0064349A"/>
    <w:rsid w:val="00695937"/>
    <w:rsid w:val="006A68E7"/>
    <w:rsid w:val="006B6C7E"/>
    <w:rsid w:val="006D3A7F"/>
    <w:rsid w:val="006F6AD3"/>
    <w:rsid w:val="00743E8D"/>
    <w:rsid w:val="00751C74"/>
    <w:rsid w:val="00765703"/>
    <w:rsid w:val="0078009F"/>
    <w:rsid w:val="00783F0B"/>
    <w:rsid w:val="007F4810"/>
    <w:rsid w:val="008137D0"/>
    <w:rsid w:val="00847034"/>
    <w:rsid w:val="0085361D"/>
    <w:rsid w:val="008817E0"/>
    <w:rsid w:val="00881B24"/>
    <w:rsid w:val="008917BA"/>
    <w:rsid w:val="008A01F2"/>
    <w:rsid w:val="008B7700"/>
    <w:rsid w:val="008B7E0F"/>
    <w:rsid w:val="009B46FF"/>
    <w:rsid w:val="009C54E8"/>
    <w:rsid w:val="009D0B6C"/>
    <w:rsid w:val="00A12218"/>
    <w:rsid w:val="00A202C7"/>
    <w:rsid w:val="00A2477A"/>
    <w:rsid w:val="00A412E6"/>
    <w:rsid w:val="00A90678"/>
    <w:rsid w:val="00A97F85"/>
    <w:rsid w:val="00AD2B5C"/>
    <w:rsid w:val="00AF53B6"/>
    <w:rsid w:val="00B00673"/>
    <w:rsid w:val="00B335EC"/>
    <w:rsid w:val="00B62F67"/>
    <w:rsid w:val="00BF3751"/>
    <w:rsid w:val="00C51E10"/>
    <w:rsid w:val="00C600AE"/>
    <w:rsid w:val="00C67351"/>
    <w:rsid w:val="00CB743D"/>
    <w:rsid w:val="00CD377A"/>
    <w:rsid w:val="00CD4F8E"/>
    <w:rsid w:val="00CF57E0"/>
    <w:rsid w:val="00D42F4E"/>
    <w:rsid w:val="00D635B8"/>
    <w:rsid w:val="00D8605E"/>
    <w:rsid w:val="00E0738F"/>
    <w:rsid w:val="00E20DA3"/>
    <w:rsid w:val="00E76CF4"/>
    <w:rsid w:val="00EC112F"/>
    <w:rsid w:val="00EC4DE1"/>
    <w:rsid w:val="00F16D04"/>
    <w:rsid w:val="00F92FF0"/>
    <w:rsid w:val="00FC786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8040D"/>
  <w15:chartTrackingRefBased/>
  <w15:docId w15:val="{FAFDD0E6-0AE2-4BBD-BDA5-4E14EFF8B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B6C"/>
    <w:rPr>
      <w:kern w:val="0"/>
      <w14:ligatures w14:val="none"/>
    </w:rPr>
  </w:style>
  <w:style w:type="paragraph" w:styleId="Ttulo1">
    <w:name w:val="heading 1"/>
    <w:basedOn w:val="Normal"/>
    <w:next w:val="Normal"/>
    <w:link w:val="Ttulo1Car"/>
    <w:uiPriority w:val="9"/>
    <w:qFormat/>
    <w:rsid w:val="009D0B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D0B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D0B6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D0B6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D0B6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D0B6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D0B6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D0B6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D0B6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D0B6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D0B6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D0B6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D0B6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D0B6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D0B6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D0B6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D0B6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D0B6C"/>
    <w:rPr>
      <w:rFonts w:eastAsiaTheme="majorEastAsia" w:cstheme="majorBidi"/>
      <w:color w:val="272727" w:themeColor="text1" w:themeTint="D8"/>
    </w:rPr>
  </w:style>
  <w:style w:type="paragraph" w:styleId="Ttulo">
    <w:name w:val="Title"/>
    <w:basedOn w:val="Normal"/>
    <w:next w:val="Normal"/>
    <w:link w:val="TtuloCar"/>
    <w:uiPriority w:val="10"/>
    <w:qFormat/>
    <w:rsid w:val="009D0B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D0B6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D0B6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D0B6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D0B6C"/>
    <w:pPr>
      <w:spacing w:before="160"/>
      <w:jc w:val="center"/>
    </w:pPr>
    <w:rPr>
      <w:i/>
      <w:iCs/>
      <w:color w:val="404040" w:themeColor="text1" w:themeTint="BF"/>
    </w:rPr>
  </w:style>
  <w:style w:type="character" w:customStyle="1" w:styleId="CitaCar">
    <w:name w:val="Cita Car"/>
    <w:basedOn w:val="Fuentedeprrafopredeter"/>
    <w:link w:val="Cita"/>
    <w:uiPriority w:val="29"/>
    <w:rsid w:val="009D0B6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9D0B6C"/>
    <w:pPr>
      <w:ind w:left="720"/>
      <w:contextualSpacing/>
    </w:pPr>
  </w:style>
  <w:style w:type="character" w:styleId="nfasisintenso">
    <w:name w:val="Intense Emphasis"/>
    <w:basedOn w:val="Fuentedeprrafopredeter"/>
    <w:uiPriority w:val="21"/>
    <w:qFormat/>
    <w:rsid w:val="009D0B6C"/>
    <w:rPr>
      <w:i/>
      <w:iCs/>
      <w:color w:val="0F4761" w:themeColor="accent1" w:themeShade="BF"/>
    </w:rPr>
  </w:style>
  <w:style w:type="paragraph" w:styleId="Citadestacada">
    <w:name w:val="Intense Quote"/>
    <w:basedOn w:val="Normal"/>
    <w:next w:val="Normal"/>
    <w:link w:val="CitadestacadaCar"/>
    <w:uiPriority w:val="30"/>
    <w:qFormat/>
    <w:rsid w:val="009D0B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D0B6C"/>
    <w:rPr>
      <w:i/>
      <w:iCs/>
      <w:color w:val="0F4761" w:themeColor="accent1" w:themeShade="BF"/>
    </w:rPr>
  </w:style>
  <w:style w:type="character" w:styleId="Referenciaintensa">
    <w:name w:val="Intense Reference"/>
    <w:basedOn w:val="Fuentedeprrafopredeter"/>
    <w:uiPriority w:val="32"/>
    <w:qFormat/>
    <w:rsid w:val="009D0B6C"/>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9D0B6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9D0B6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D0B6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D0B6C"/>
    <w:rPr>
      <w:vertAlign w:val="superscript"/>
    </w:rPr>
  </w:style>
  <w:style w:type="paragraph" w:customStyle="1" w:styleId="Appelnotedebasde">
    <w:name w:val="Appel note de bas de..."/>
    <w:basedOn w:val="Normal"/>
    <w:link w:val="Refdenotaalpie"/>
    <w:uiPriority w:val="99"/>
    <w:rsid w:val="009D0B6C"/>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9D0B6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D0B6C"/>
    <w:rPr>
      <w:kern w:val="0"/>
      <w14:ligatures w14:val="none"/>
    </w:rPr>
  </w:style>
  <w:style w:type="paragraph" w:styleId="Piedepgina">
    <w:name w:val="footer"/>
    <w:basedOn w:val="Normal"/>
    <w:link w:val="PiedepginaCar"/>
    <w:uiPriority w:val="99"/>
    <w:unhideWhenUsed/>
    <w:rsid w:val="009D0B6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D0B6C"/>
    <w:rPr>
      <w:kern w:val="0"/>
      <w14:ligatures w14:val="none"/>
    </w:rPr>
  </w:style>
  <w:style w:type="table" w:styleId="Tablaconcuadrcula">
    <w:name w:val="Table Grid"/>
    <w:basedOn w:val="Tablanormal"/>
    <w:uiPriority w:val="39"/>
    <w:qFormat/>
    <w:rsid w:val="009D0B6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D0B6C"/>
    <w:rPr>
      <w:color w:val="467886" w:themeColor="hyperlink"/>
      <w:u w:val="single"/>
    </w:rPr>
  </w:style>
  <w:style w:type="character" w:customStyle="1" w:styleId="normaltextrun">
    <w:name w:val="normaltextrun"/>
    <w:basedOn w:val="Fuentedeprrafopredeter"/>
    <w:rsid w:val="009D0B6C"/>
  </w:style>
  <w:style w:type="character" w:customStyle="1" w:styleId="eop">
    <w:name w:val="eop"/>
    <w:basedOn w:val="Fuentedeprrafopredeter"/>
    <w:rsid w:val="009D0B6C"/>
  </w:style>
  <w:style w:type="paragraph" w:customStyle="1" w:styleId="paragraph">
    <w:name w:val="paragraph"/>
    <w:basedOn w:val="Normal"/>
    <w:rsid w:val="009D0B6C"/>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D0B6C"/>
  </w:style>
  <w:style w:type="paragraph" w:styleId="NormalWeb">
    <w:name w:val="Normal (Web)"/>
    <w:basedOn w:val="Normal"/>
    <w:link w:val="NormalWebCar"/>
    <w:uiPriority w:val="99"/>
    <w:unhideWhenUsed/>
    <w:rsid w:val="009D0B6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WebCar">
    <w:name w:val="Normal (Web) Car"/>
    <w:link w:val="NormalWeb"/>
    <w:uiPriority w:val="99"/>
    <w:locked/>
    <w:rsid w:val="009D0B6C"/>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CD03B0-D6B2-46E4-B7D1-CAA82E201E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48146B-1CC4-4802-8818-58B77149A4A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8B25531-08BF-421B-82B7-CDEA60655DAA}">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2416</TotalTime>
  <Pages>17</Pages>
  <Words>5146</Words>
  <Characters>28304</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33384</CharactersWithSpaces>
  <SharedDoc>false</SharedDoc>
  <HLinks>
    <vt:vector size="12" baseType="variant">
      <vt:variant>
        <vt:i4>6029407</vt:i4>
      </vt:variant>
      <vt:variant>
        <vt:i4>3</vt:i4>
      </vt:variant>
      <vt:variant>
        <vt:i4>0</vt:i4>
      </vt:variant>
      <vt:variant>
        <vt:i4>5</vt:i4>
      </vt:variant>
      <vt:variant>
        <vt:lpwstr>http://www.colombiacompra.gov.co/</vt:lpwstr>
      </vt:variant>
      <vt:variant>
        <vt:lpwstr/>
      </vt:variant>
      <vt:variant>
        <vt:i4>1900622</vt:i4>
      </vt:variant>
      <vt:variant>
        <vt:i4>0</vt:i4>
      </vt:variant>
      <vt:variant>
        <vt:i4>0</vt:i4>
      </vt:variant>
      <vt:variant>
        <vt:i4>5</vt:i4>
      </vt:variant>
      <vt:variant>
        <vt:lpwstr>https://relatoria.colombiacompra.gov.co/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57</cp:revision>
  <dcterms:created xsi:type="dcterms:W3CDTF">2026-02-18T00:56:00Z</dcterms:created>
  <dcterms:modified xsi:type="dcterms:W3CDTF">2026-02-26T02:28:00Z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