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49378" w14:textId="77777777" w:rsidR="00E86E4B" w:rsidRPr="008211E7" w:rsidRDefault="00E86E4B" w:rsidP="00E86E4B">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Definición – Objetivo </w:t>
      </w:r>
    </w:p>
    <w:p w14:paraId="79EA44F9" w14:textId="77777777" w:rsidR="00E86E4B" w:rsidRPr="008211E7" w:rsidRDefault="00E86E4B" w:rsidP="00E86E4B">
      <w:pPr>
        <w:spacing w:after="0" w:line="240" w:lineRule="auto"/>
        <w:jc w:val="both"/>
        <w:rPr>
          <w:rFonts w:ascii="Verdana" w:hAnsi="Verdana" w:cs="Arial"/>
          <w:b/>
          <w:sz w:val="20"/>
          <w:szCs w:val="20"/>
          <w:lang w:val="es-ES_tradnl" w:eastAsia="es-ES"/>
        </w:rPr>
      </w:pPr>
    </w:p>
    <w:p w14:paraId="2B64F141" w14:textId="77777777" w:rsidR="00E86E4B" w:rsidRPr="009F49EE" w:rsidRDefault="00E86E4B" w:rsidP="00E86E4B">
      <w:pPr>
        <w:spacing w:line="240" w:lineRule="auto"/>
        <w:jc w:val="both"/>
        <w:rPr>
          <w:rFonts w:ascii="Calibri" w:eastAsia="Calibri" w:hAnsi="Calibri" w:cs="Times New Roman"/>
          <w:sz w:val="20"/>
          <w:szCs w:val="20"/>
        </w:rPr>
      </w:pPr>
      <w:r w:rsidRPr="009F49EE">
        <w:rPr>
          <w:rFonts w:ascii="Verdana" w:eastAsia="Calibri" w:hAnsi="Verdana" w:cs="Arial"/>
          <w:sz w:val="20"/>
          <w:szCs w:val="20"/>
          <w:lang w:val="es-ES_tradnl"/>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 […]</w:t>
      </w:r>
    </w:p>
    <w:p w14:paraId="5A881A8F" w14:textId="77777777" w:rsidR="00E86E4B" w:rsidRPr="009F49EE" w:rsidRDefault="00E86E4B" w:rsidP="00E86E4B">
      <w:pPr>
        <w:spacing w:line="240" w:lineRule="auto"/>
        <w:jc w:val="both"/>
        <w:rPr>
          <w:rFonts w:ascii="Calibri" w:eastAsia="Calibri" w:hAnsi="Calibri" w:cs="Times New Roman"/>
          <w:sz w:val="20"/>
          <w:szCs w:val="20"/>
        </w:rPr>
      </w:pPr>
      <w:r w:rsidRPr="009F49EE">
        <w:rPr>
          <w:rFonts w:ascii="Verdana" w:eastAsia="Times New Roman" w:hAnsi="Verdana" w:cs="Arial"/>
          <w:sz w:val="20"/>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9F49EE">
        <w:rPr>
          <w:rFonts w:ascii="Verdana" w:eastAsia="Times New Roman" w:hAnsi="Verdana" w:cs="Arial"/>
          <w:i/>
          <w:iCs/>
          <w:sz w:val="20"/>
          <w:lang w:val="es-ES_tradnl" w:eastAsia="es-ES_tradnl"/>
        </w:rPr>
        <w:t>liquidar</w:t>
      </w:r>
      <w:r w:rsidRPr="009F49EE">
        <w:rPr>
          <w:rFonts w:ascii="Verdana" w:eastAsia="Times New Roman" w:hAnsi="Verdana" w:cs="Arial"/>
          <w:sz w:val="20"/>
          <w:lang w:val="es-ES_tradnl" w:eastAsia="es-ES_tradnl"/>
        </w:rPr>
        <w:t xml:space="preserve"> supone un ajuste en relación con las cuentas y el estado de cumplimiento del contrato estatal y, por el otro, que la </w:t>
      </w:r>
      <w:r w:rsidRPr="009F49EE">
        <w:rPr>
          <w:rFonts w:ascii="Verdana" w:eastAsia="Times New Roman" w:hAnsi="Verdana" w:cs="Arial"/>
          <w:i/>
          <w:iCs/>
          <w:sz w:val="20"/>
          <w:lang w:val="es-ES_tradnl" w:eastAsia="es-ES_tradnl"/>
        </w:rPr>
        <w:t>liquidación</w:t>
      </w:r>
      <w:r w:rsidRPr="009F49EE">
        <w:rPr>
          <w:rFonts w:ascii="Verdana" w:eastAsia="Times New Roman" w:hAnsi="Verdana" w:cs="Arial"/>
          <w:sz w:val="20"/>
          <w:lang w:val="es-ES_tradnl" w:eastAsia="es-ES_tradnl"/>
        </w:rPr>
        <w:t xml:space="preserve"> debe incluir el análisis de las condiciones de calidad y oportunidad en la entrega de los bienes, obras o servicios, así como el balance económico y el comportamiento financiero del negocio […]</w:t>
      </w:r>
    </w:p>
    <w:p w14:paraId="326FD8E2" w14:textId="77777777" w:rsidR="00E86E4B" w:rsidRPr="0033537F" w:rsidRDefault="00E86E4B" w:rsidP="00E86E4B">
      <w:pPr>
        <w:spacing w:after="0" w:line="240" w:lineRule="auto"/>
        <w:jc w:val="both"/>
        <w:rPr>
          <w:rFonts w:ascii="Verdana" w:hAnsi="Verdana" w:cs="Arial"/>
          <w:sz w:val="20"/>
          <w:szCs w:val="20"/>
          <w:lang w:eastAsia="es-ES"/>
        </w:rPr>
      </w:pPr>
    </w:p>
    <w:p w14:paraId="07E03663" w14:textId="77777777" w:rsidR="00E86E4B" w:rsidRPr="008211E7" w:rsidRDefault="00E86E4B" w:rsidP="00E86E4B">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Normativa </w:t>
      </w:r>
    </w:p>
    <w:p w14:paraId="3F93371A" w14:textId="77777777" w:rsidR="00E86E4B" w:rsidRPr="008211E7" w:rsidRDefault="00E86E4B" w:rsidP="00E86E4B">
      <w:pPr>
        <w:spacing w:after="0" w:line="240" w:lineRule="auto"/>
        <w:jc w:val="both"/>
        <w:rPr>
          <w:rFonts w:ascii="Verdana" w:hAnsi="Verdana" w:cs="Arial"/>
          <w:sz w:val="20"/>
          <w:szCs w:val="20"/>
          <w:lang w:val="es-ES_tradnl" w:eastAsia="es-ES"/>
        </w:rPr>
      </w:pPr>
    </w:p>
    <w:p w14:paraId="0DB5B0B2" w14:textId="77777777" w:rsidR="00E86E4B" w:rsidRPr="008211E7" w:rsidRDefault="00E86E4B" w:rsidP="00E86E4B">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w:t>
      </w:r>
      <w:r>
        <w:rPr>
          <w:rFonts w:ascii="Verdana" w:hAnsi="Verdana" w:cs="Arial"/>
          <w:sz w:val="20"/>
          <w:szCs w:val="20"/>
          <w:lang w:val="es-ES_tradnl" w:eastAsia="es-ES"/>
        </w:rPr>
        <w:t>“</w:t>
      </w:r>
      <w:r w:rsidRPr="008211E7">
        <w:rPr>
          <w:rFonts w:ascii="Verdana" w:hAnsi="Verdana" w:cs="Arial"/>
          <w:sz w:val="20"/>
          <w:szCs w:val="20"/>
          <w:lang w:val="es-ES_tradnl" w:eastAsia="es-ES"/>
        </w:rPr>
        <w:t>serán objeto de liquidación</w:t>
      </w:r>
      <w:r>
        <w:rPr>
          <w:rFonts w:ascii="Verdana" w:hAnsi="Verdana" w:cs="Arial"/>
          <w:sz w:val="20"/>
          <w:szCs w:val="20"/>
          <w:lang w:val="es-ES_tradnl" w:eastAsia="es-ES"/>
        </w:rPr>
        <w:t>”</w:t>
      </w:r>
      <w:r w:rsidRPr="008211E7">
        <w:rPr>
          <w:rFonts w:ascii="Verdana" w:hAnsi="Verdana" w:cs="Arial"/>
          <w:sz w:val="20"/>
          <w:szCs w:val="20"/>
          <w:lang w:val="es-ES_tradnl" w:eastAsia="es-ES"/>
        </w:rPr>
        <w:t>.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0E4864C0" w14:textId="77777777" w:rsidR="00E86E4B" w:rsidRPr="008211E7" w:rsidRDefault="00E86E4B" w:rsidP="00E86E4B">
      <w:pPr>
        <w:spacing w:after="0" w:line="240" w:lineRule="auto"/>
        <w:jc w:val="both"/>
        <w:rPr>
          <w:rFonts w:ascii="Verdana" w:hAnsi="Verdana" w:cs="Arial"/>
          <w:b/>
          <w:sz w:val="20"/>
          <w:szCs w:val="20"/>
          <w:lang w:val="es-ES_tradnl" w:eastAsia="es-ES"/>
        </w:rPr>
      </w:pPr>
    </w:p>
    <w:p w14:paraId="0A4DC330" w14:textId="77777777" w:rsidR="00E86E4B" w:rsidRPr="008211E7" w:rsidRDefault="00E86E4B" w:rsidP="00E86E4B">
      <w:pPr>
        <w:spacing w:after="0" w:line="240" w:lineRule="auto"/>
        <w:jc w:val="both"/>
        <w:rPr>
          <w:rFonts w:ascii="Verdana" w:hAnsi="Verdana" w:cs="Arial"/>
          <w:b/>
          <w:lang w:val="es-ES_tradnl" w:eastAsia="es-ES"/>
        </w:rPr>
      </w:pPr>
      <w:r w:rsidRPr="008211E7">
        <w:rPr>
          <w:rFonts w:ascii="Verdana" w:hAnsi="Verdana" w:cs="Arial"/>
          <w:b/>
          <w:lang w:val="es-ES_tradnl" w:eastAsia="es-ES"/>
        </w:rPr>
        <w:t>LIQUIDACIÓN DEL CONTRATO – Tipos – Bilateral – Unilateral – Judicial</w:t>
      </w:r>
    </w:p>
    <w:p w14:paraId="6445CD12" w14:textId="77777777" w:rsidR="00E86E4B" w:rsidRPr="008211E7" w:rsidRDefault="00E86E4B" w:rsidP="00E86E4B">
      <w:pPr>
        <w:spacing w:after="0" w:line="240" w:lineRule="auto"/>
        <w:jc w:val="both"/>
        <w:rPr>
          <w:rFonts w:ascii="Verdana" w:hAnsi="Verdana" w:cs="Arial"/>
          <w:b/>
          <w:sz w:val="20"/>
          <w:szCs w:val="20"/>
          <w:lang w:val="es-ES_tradnl" w:eastAsia="es-ES"/>
        </w:rPr>
      </w:pPr>
    </w:p>
    <w:p w14:paraId="64D91410" w14:textId="77777777" w:rsidR="00E86E4B" w:rsidRPr="008211E7" w:rsidRDefault="00E86E4B" w:rsidP="00E86E4B">
      <w:pPr>
        <w:spacing w:after="0" w:line="240" w:lineRule="auto"/>
        <w:jc w:val="both"/>
        <w:rPr>
          <w:rFonts w:ascii="Verdana" w:hAnsi="Verdana" w:cs="Arial"/>
          <w:sz w:val="20"/>
          <w:szCs w:val="20"/>
          <w:lang w:val="es-ES_tradnl" w:eastAsia="es-ES"/>
        </w:rPr>
      </w:pPr>
      <w:r>
        <w:rPr>
          <w:rFonts w:ascii="Verdana" w:hAnsi="Verdana" w:cs="Arial"/>
          <w:sz w:val="20"/>
          <w:szCs w:val="20"/>
          <w:lang w:val="es-ES_tradnl" w:eastAsia="es-ES"/>
        </w:rPr>
        <w:t xml:space="preserve">[…] De </w:t>
      </w:r>
      <w:r w:rsidRPr="008211E7">
        <w:rPr>
          <w:rFonts w:ascii="Verdana" w:hAnsi="Verdana" w:cs="Arial"/>
          <w:sz w:val="20"/>
          <w:szCs w:val="20"/>
          <w:lang w:val="es-ES_tradnl" w:eastAsia="es-ES"/>
        </w:rPr>
        <w:t>acuerdo con el artículo 11 de la Ley 1150 de 2007, existen tres tipos de liquidación: i) bilateral, ii) unilateral y iii)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w:t>
      </w:r>
      <w:r>
        <w:rPr>
          <w:rFonts w:ascii="Verdana" w:hAnsi="Verdana" w:cs="Arial"/>
          <w:sz w:val="20"/>
          <w:szCs w:val="20"/>
          <w:lang w:val="es-ES_tradnl" w:eastAsia="es-ES"/>
        </w:rPr>
        <w:t xml:space="preserve"> […]</w:t>
      </w:r>
    </w:p>
    <w:p w14:paraId="76E3928F" w14:textId="77777777" w:rsidR="00E86E4B" w:rsidRPr="00D931CF" w:rsidRDefault="00E86E4B" w:rsidP="00E86E4B">
      <w:pPr>
        <w:spacing w:after="0"/>
        <w:jc w:val="both"/>
        <w:rPr>
          <w:rFonts w:ascii="Verdana" w:eastAsia="Verdana" w:hAnsi="Verdana" w:cs="Verdana"/>
          <w:color w:val="7030A0"/>
          <w:sz w:val="20"/>
          <w:szCs w:val="20"/>
        </w:rPr>
      </w:pPr>
    </w:p>
    <w:p w14:paraId="137A759B" w14:textId="77777777" w:rsidR="00E86E4B" w:rsidRPr="0034209E" w:rsidRDefault="00E86E4B" w:rsidP="00E86E4B">
      <w:pPr>
        <w:jc w:val="both"/>
        <w:rPr>
          <w:rFonts w:ascii="Verdana" w:hAnsi="Verdana" w:cs="Arial"/>
          <w:b/>
          <w:bCs/>
          <w:color w:val="000000"/>
          <w:szCs w:val="24"/>
          <w:lang w:val="es-ES_tradnl" w:eastAsia="es-ES_tradnl"/>
        </w:rPr>
      </w:pPr>
      <w:r w:rsidRPr="0034209E">
        <w:rPr>
          <w:rFonts w:ascii="Verdana" w:hAnsi="Verdana" w:cs="Arial"/>
          <w:b/>
          <w:bCs/>
          <w:color w:val="000000"/>
          <w:szCs w:val="24"/>
          <w:lang w:val="es-ES_tradnl" w:eastAsia="es-ES_tradnl"/>
        </w:rPr>
        <w:t>PROCEDIMIENTO SANCIONATORIO CONTRACTUAL – Ley 1474 de 2011 – Artículo 86</w:t>
      </w:r>
    </w:p>
    <w:p w14:paraId="5BFE864F" w14:textId="77777777" w:rsidR="00E86E4B" w:rsidRPr="00BA0570" w:rsidRDefault="00E86E4B" w:rsidP="00E86E4B">
      <w:pPr>
        <w:spacing w:after="120" w:line="240" w:lineRule="auto"/>
        <w:jc w:val="both"/>
        <w:rPr>
          <w:rFonts w:ascii="Verdana" w:hAnsi="Verdana" w:cs="Arial"/>
          <w:color w:val="000000" w:themeColor="text1"/>
          <w:sz w:val="20"/>
          <w:szCs w:val="20"/>
          <w:lang w:val="es-ES"/>
        </w:rPr>
      </w:pPr>
      <w:r w:rsidRPr="00BA0570">
        <w:rPr>
          <w:rFonts w:ascii="Verdana" w:eastAsia="Times New Roman" w:hAnsi="Verdana" w:cs="Arial"/>
          <w:iCs/>
          <w:color w:val="000000"/>
          <w:sz w:val="20"/>
          <w:lang w:val="es-ES_tradnl" w:eastAsia="es-ES_tradnl"/>
        </w:rPr>
        <w:lastRenderedPageBreak/>
        <w:t xml:space="preserve">De conformidad con lo anterior, el artículo 86 de la Ley 1474 de 2011 establece las etapas del procedimiento que se deben seguir, las cuales se sintetizan, de forma esquemática, así: </w:t>
      </w:r>
      <w:r w:rsidRPr="00BA0570">
        <w:rPr>
          <w:rFonts w:ascii="Verdana" w:hAnsi="Verdana" w:cs="Arial"/>
          <w:color w:val="000000" w:themeColor="text1"/>
          <w:sz w:val="20"/>
          <w:szCs w:val="20"/>
          <w:lang w:val="es-ES"/>
        </w:rPr>
        <w:t xml:space="preserve">a) </w:t>
      </w:r>
      <w:r w:rsidRPr="00BA0570">
        <w:rPr>
          <w:rFonts w:ascii="Verdana" w:hAnsi="Verdana" w:cs="Arial"/>
          <w:i/>
          <w:color w:val="000000" w:themeColor="text1"/>
          <w:sz w:val="20"/>
          <w:szCs w:val="20"/>
          <w:lang w:val="es-ES"/>
        </w:rPr>
        <w:t>Citación a audiencia</w:t>
      </w:r>
      <w:r w:rsidRPr="00BA0570">
        <w:rPr>
          <w:rFonts w:ascii="Verdana" w:hAnsi="Verdana" w:cs="Arial"/>
          <w:color w:val="000000" w:themeColor="text1"/>
          <w:sz w:val="20"/>
          <w:szCs w:val="20"/>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00BA0570">
        <w:rPr>
          <w:rFonts w:ascii="Verdana" w:hAnsi="Verdana" w:cs="Arial"/>
          <w:i/>
          <w:color w:val="000000" w:themeColor="text1"/>
          <w:sz w:val="20"/>
          <w:szCs w:val="20"/>
          <w:lang w:val="es-ES"/>
        </w:rPr>
        <w:t>Audiencia</w:t>
      </w:r>
      <w:r w:rsidRPr="00BA0570">
        <w:rPr>
          <w:rFonts w:ascii="Verdana" w:hAnsi="Verdana" w:cs="Arial"/>
          <w:color w:val="000000" w:themeColor="text1"/>
          <w:sz w:val="20"/>
          <w:szCs w:val="20"/>
          <w:lang w:val="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c) </w:t>
      </w:r>
      <w:r w:rsidRPr="00BA0570">
        <w:rPr>
          <w:rFonts w:ascii="Verdana" w:hAnsi="Verdana" w:cs="Arial"/>
          <w:i/>
          <w:color w:val="000000" w:themeColor="text1"/>
          <w:sz w:val="20"/>
          <w:szCs w:val="20"/>
          <w:lang w:val="es-ES"/>
        </w:rPr>
        <w:t>Decisión</w:t>
      </w:r>
      <w:r w:rsidRPr="00BA0570">
        <w:rPr>
          <w:rFonts w:ascii="Verdana" w:hAnsi="Verdana" w:cs="Arial"/>
          <w:color w:val="000000" w:themeColor="text1"/>
          <w:sz w:val="20"/>
          <w:szCs w:val="20"/>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4E737E15" w14:textId="77777777" w:rsidR="00E86E4B" w:rsidRPr="008D1791" w:rsidRDefault="00E86E4B" w:rsidP="00E86E4B">
      <w:pPr>
        <w:snapToGrid w:val="0"/>
        <w:spacing w:line="240" w:lineRule="auto"/>
        <w:contextualSpacing/>
        <w:jc w:val="both"/>
        <w:rPr>
          <w:rFonts w:ascii="Verdana" w:hAnsi="Verdana" w:cs="Arial"/>
          <w:bCs/>
          <w:lang w:val="es-ES" w:eastAsia="es-ES"/>
        </w:rPr>
      </w:pPr>
    </w:p>
    <w:p w14:paraId="3FB8CF5C" w14:textId="77777777" w:rsidR="00E86E4B" w:rsidRPr="008D1791" w:rsidRDefault="00E86E4B" w:rsidP="00E86E4B">
      <w:pPr>
        <w:snapToGrid w:val="0"/>
        <w:spacing w:line="240" w:lineRule="auto"/>
        <w:contextualSpacing/>
        <w:jc w:val="both"/>
        <w:rPr>
          <w:rFonts w:ascii="Verdana" w:hAnsi="Verdana" w:cs="Arial"/>
          <w:b/>
          <w:bCs/>
          <w:lang w:val="es-ES_tradnl" w:eastAsia="es-ES"/>
        </w:rPr>
      </w:pPr>
      <w:r w:rsidRPr="008D1791">
        <w:rPr>
          <w:rFonts w:ascii="Verdana" w:hAnsi="Verdana" w:cs="Arial"/>
          <w:b/>
          <w:bCs/>
          <w:lang w:val="es-ES" w:eastAsia="es-ES"/>
        </w:rPr>
        <w:t>PROCEDIMIENTO ADMINISTRATIVO SANCIONATORIO</w:t>
      </w:r>
      <w:r w:rsidRPr="008D1791">
        <w:rPr>
          <w:rFonts w:ascii="Verdana" w:hAnsi="Verdana" w:cs="Arial"/>
          <w:b/>
          <w:bCs/>
          <w:lang w:val="es-ES_tradnl" w:eastAsia="es-ES"/>
        </w:rPr>
        <w:t xml:space="preserve"> – Procedencia</w:t>
      </w:r>
    </w:p>
    <w:p w14:paraId="2FF7CD32" w14:textId="77777777" w:rsidR="00E86E4B" w:rsidRPr="0052393A" w:rsidRDefault="00E86E4B" w:rsidP="00E86E4B">
      <w:pPr>
        <w:spacing w:after="0"/>
        <w:rPr>
          <w:rFonts w:ascii="Verdana" w:hAnsi="Verdana"/>
          <w:color w:val="4472C4" w:themeColor="accent1"/>
          <w:lang w:val="es-ES_tradnl"/>
        </w:rPr>
      </w:pPr>
    </w:p>
    <w:p w14:paraId="5087C9A9" w14:textId="77777777" w:rsidR="00E86E4B" w:rsidRPr="008D1791" w:rsidRDefault="00E86E4B" w:rsidP="00E86E4B">
      <w:pPr>
        <w:spacing w:after="120" w:line="240" w:lineRule="auto"/>
        <w:jc w:val="both"/>
        <w:rPr>
          <w:rFonts w:ascii="Verdana" w:eastAsia="Calibri" w:hAnsi="Verdana" w:cs="Arial"/>
          <w:sz w:val="20"/>
          <w:szCs w:val="20"/>
          <w:lang w:val="es-ES"/>
        </w:rPr>
      </w:pPr>
      <w:r w:rsidRPr="008D1791">
        <w:rPr>
          <w:rFonts w:ascii="Verdana" w:eastAsia="Calibri" w:hAnsi="Verdana" w:cs="Arial"/>
          <w:sz w:val="20"/>
          <w:szCs w:val="20"/>
          <w:lang w:val="es-ES"/>
        </w:rPr>
        <w:t xml:space="preserve">El artículo 86 de la Ley 1474 de 2011 estableció de manera expresa que las entidades sometidas al EGCAP pueden adelantar ese procedimiento en los siguientes supuestos: 1) para declarar el incumplimiento, cuantificando los perjuicios de este. En cuanto a la declaración del incumplimiento es importante 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r>
        <w:rPr>
          <w:rFonts w:ascii="Verdana" w:eastAsia="Calibri" w:hAnsi="Verdana" w:cs="Arial"/>
          <w:sz w:val="20"/>
          <w:szCs w:val="20"/>
          <w:lang w:val="es-ES"/>
        </w:rPr>
        <w:t>[…]</w:t>
      </w:r>
    </w:p>
    <w:p w14:paraId="045031B7" w14:textId="77777777" w:rsidR="00E86E4B" w:rsidRPr="008D1791" w:rsidRDefault="00E86E4B" w:rsidP="00E86E4B">
      <w:pPr>
        <w:spacing w:before="120" w:after="120" w:line="240" w:lineRule="auto"/>
        <w:jc w:val="both"/>
        <w:rPr>
          <w:rFonts w:ascii="Verdana" w:eastAsia="Calibri" w:hAnsi="Verdana" w:cs="Arial"/>
          <w:bCs/>
          <w:sz w:val="20"/>
          <w:szCs w:val="20"/>
          <w:lang w:val="es-MX"/>
        </w:rPr>
      </w:pPr>
      <w:r w:rsidRPr="008D1791">
        <w:rPr>
          <w:rFonts w:ascii="Verdana" w:eastAsia="Calibri" w:hAnsi="Verdana" w:cs="Arial"/>
          <w:sz w:val="20"/>
          <w:szCs w:val="20"/>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8D1791">
        <w:rPr>
          <w:rFonts w:ascii="Verdana" w:eastAsia="Calibri" w:hAnsi="Verdana" w:cs="Arial"/>
          <w:iCs/>
          <w:sz w:val="20"/>
          <w:szCs w:val="20"/>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138FDA61" w14:textId="5D2BFE68" w:rsidR="00E86E4B" w:rsidRPr="00F51C5A" w:rsidRDefault="00E86E4B" w:rsidP="00E86E4B">
      <w:pPr>
        <w:spacing w:after="0"/>
        <w:rPr>
          <w:rFonts w:ascii="Verdana" w:hAnsi="Verdana"/>
        </w:rPr>
      </w:pPr>
      <w:r w:rsidRPr="00F51C5A">
        <w:rPr>
          <w:rFonts w:ascii="Verdana" w:hAnsi="Verdana"/>
        </w:rPr>
        <w:lastRenderedPageBreak/>
        <w:t xml:space="preserve">Bogotá D.C., </w:t>
      </w:r>
      <w:r w:rsidR="000D7694">
        <w:rPr>
          <w:rFonts w:ascii="Verdana" w:hAnsi="Verdana"/>
        </w:rPr>
        <w:t>19 Febrero 2026</w:t>
      </w:r>
    </w:p>
    <w:p w14:paraId="10B964C0" w14:textId="398216C1" w:rsidR="00E86E4B" w:rsidRPr="00D931CF" w:rsidRDefault="00B438E9" w:rsidP="00E86E4B">
      <w:pPr>
        <w:spacing w:after="0"/>
        <w:rPr>
          <w:rFonts w:ascii="Verdana" w:hAnsi="Verdana"/>
          <w:color w:val="7030A0"/>
          <w:lang w:val="es-ES"/>
        </w:rPr>
      </w:pPr>
      <w:r w:rsidRPr="00B438E9">
        <w:rPr>
          <w:rFonts w:ascii="Verdana" w:eastAsia="Calibri" w:hAnsi="Verdana" w:cs="Arial"/>
          <w:lang w:val="es-ES" w:eastAsia="es-ES"/>
        </w:rPr>
        <w:drawing>
          <wp:anchor distT="0" distB="0" distL="114300" distR="114300" simplePos="0" relativeHeight="251659264" behindDoc="1" locked="0" layoutInCell="1" allowOverlap="1" wp14:anchorId="75AF28B7" wp14:editId="4EAFBF15">
            <wp:simplePos x="0" y="0"/>
            <wp:positionH relativeFrom="margin">
              <wp:align>right</wp:align>
            </wp:positionH>
            <wp:positionV relativeFrom="paragraph">
              <wp:posOffset>178435</wp:posOffset>
            </wp:positionV>
            <wp:extent cx="2228850" cy="657225"/>
            <wp:effectExtent l="0" t="0" r="0" b="9525"/>
            <wp:wrapNone/>
            <wp:docPr id="35539090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9090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228850" cy="657225"/>
                    </a:xfrm>
                    <a:prstGeom prst="rect">
                      <a:avLst/>
                    </a:prstGeom>
                  </pic:spPr>
                </pic:pic>
              </a:graphicData>
            </a:graphic>
          </wp:anchor>
        </w:drawing>
      </w:r>
    </w:p>
    <w:p w14:paraId="335AE55B" w14:textId="4EA8B705" w:rsidR="00E86E4B" w:rsidRPr="009A416D" w:rsidRDefault="00E86E4B" w:rsidP="00E86E4B">
      <w:pPr>
        <w:spacing w:after="0" w:line="240" w:lineRule="auto"/>
        <w:rPr>
          <w:rFonts w:ascii="Verdana" w:hAnsi="Verdana"/>
          <w:lang w:val="es-ES"/>
        </w:rPr>
      </w:pPr>
      <w:bookmarkStart w:id="0" w:name="_Hlk143780582"/>
      <w:r w:rsidRPr="009A416D">
        <w:rPr>
          <w:rFonts w:ascii="Verdana" w:eastAsia="Calibri" w:hAnsi="Verdana" w:cs="Arial"/>
          <w:lang w:val="es-ES" w:eastAsia="es-ES"/>
        </w:rPr>
        <w:t>Señor</w:t>
      </w:r>
    </w:p>
    <w:p w14:paraId="411D9219" w14:textId="28F85F00" w:rsidR="00E86E4B" w:rsidRPr="004157C5" w:rsidRDefault="00E86E4B" w:rsidP="00E86E4B">
      <w:pPr>
        <w:spacing w:after="0"/>
        <w:rPr>
          <w:rFonts w:ascii="Verdana" w:eastAsia="Calibri" w:hAnsi="Verdana" w:cs="Arial"/>
          <w:b/>
          <w:bCs/>
          <w:lang w:eastAsia="es-ES"/>
        </w:rPr>
      </w:pPr>
      <w:r w:rsidRPr="004157C5">
        <w:rPr>
          <w:rFonts w:ascii="Verdana" w:eastAsia="Calibri" w:hAnsi="Verdana" w:cs="Arial"/>
          <w:b/>
          <w:bCs/>
          <w:lang w:eastAsia="es-ES"/>
        </w:rPr>
        <w:t>Juan Carlos Páez Martínez</w:t>
      </w:r>
    </w:p>
    <w:p w14:paraId="267AB235" w14:textId="14CD6902" w:rsidR="00E86E4B" w:rsidRPr="00AC0B74" w:rsidRDefault="00E86E4B" w:rsidP="00E86E4B">
      <w:pPr>
        <w:spacing w:after="0"/>
        <w:rPr>
          <w:rFonts w:ascii="Verdana" w:eastAsia="Calibri" w:hAnsi="Verdana" w:cs="Arial"/>
          <w:color w:val="7030A0"/>
          <w:lang w:eastAsia="es-ES"/>
        </w:rPr>
      </w:pPr>
      <w:hyperlink r:id="rId11" w:history="1">
        <w:r w:rsidRPr="00AC0B74">
          <w:rPr>
            <w:rStyle w:val="Hipervnculo"/>
            <w:rFonts w:ascii="Verdana" w:eastAsia="Calibri" w:hAnsi="Verdana" w:cs="Arial"/>
            <w:lang w:eastAsia="es-ES"/>
          </w:rPr>
          <w:t>jcpm_gerencia@hotmail.com</w:t>
        </w:r>
      </w:hyperlink>
      <w:r w:rsidRPr="00AC0B74">
        <w:rPr>
          <w:rFonts w:ascii="Verdana" w:eastAsia="Calibri" w:hAnsi="Verdana" w:cs="Arial"/>
          <w:color w:val="7030A0"/>
          <w:lang w:eastAsia="es-ES"/>
        </w:rPr>
        <w:t xml:space="preserve"> </w:t>
      </w:r>
    </w:p>
    <w:p w14:paraId="4C136F06" w14:textId="77777777" w:rsidR="00E86E4B" w:rsidRPr="009A416D" w:rsidRDefault="00E86E4B" w:rsidP="00E86E4B">
      <w:pPr>
        <w:spacing w:after="0"/>
        <w:rPr>
          <w:rFonts w:ascii="Verdana" w:eastAsia="Calibri" w:hAnsi="Verdana" w:cs="Arial"/>
          <w:lang w:val="es-ES" w:eastAsia="es-ES"/>
        </w:rPr>
      </w:pPr>
      <w:r w:rsidRPr="009A416D">
        <w:rPr>
          <w:rFonts w:ascii="Verdana" w:eastAsia="Calibri" w:hAnsi="Verdana" w:cs="Arial"/>
          <w:lang w:eastAsia="es-ES"/>
        </w:rPr>
        <w:t>Ciudad</w:t>
      </w:r>
    </w:p>
    <w:p w14:paraId="209715DE" w14:textId="77777777" w:rsidR="00E86E4B" w:rsidRPr="00D931CF" w:rsidRDefault="00E86E4B" w:rsidP="00E86E4B">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86E4B" w:rsidRPr="00D931CF" w14:paraId="5B51D0CD" w14:textId="77777777" w:rsidTr="00212C06">
        <w:trPr>
          <w:trHeight w:val="300"/>
        </w:trPr>
        <w:tc>
          <w:tcPr>
            <w:tcW w:w="2410" w:type="dxa"/>
          </w:tcPr>
          <w:p w14:paraId="5F2EB393" w14:textId="77777777" w:rsidR="00E86E4B" w:rsidRPr="00D931CF" w:rsidRDefault="00E86E4B" w:rsidP="00212C06">
            <w:pPr>
              <w:ind w:left="-142"/>
              <w:jc w:val="both"/>
              <w:rPr>
                <w:rFonts w:ascii="Verdana" w:eastAsia="Calibri" w:hAnsi="Verdana" w:cs="Arial"/>
                <w:b/>
                <w:bCs/>
                <w:color w:val="7030A0"/>
                <w:lang w:val="es-ES" w:eastAsia="es-ES_tradnl"/>
              </w:rPr>
            </w:pPr>
          </w:p>
        </w:tc>
        <w:tc>
          <w:tcPr>
            <w:tcW w:w="6100" w:type="dxa"/>
          </w:tcPr>
          <w:p w14:paraId="1DABE4A6" w14:textId="77777777" w:rsidR="00E86E4B" w:rsidRPr="006F4F41" w:rsidRDefault="00E86E4B" w:rsidP="00212C06">
            <w:pPr>
              <w:ind w:left="3"/>
              <w:jc w:val="both"/>
              <w:rPr>
                <w:rFonts w:ascii="Verdana" w:eastAsia="Calibri" w:hAnsi="Verdana" w:cs="Arial"/>
                <w:b/>
                <w:bCs/>
                <w:lang w:val="es-ES" w:eastAsia="es-ES"/>
              </w:rPr>
            </w:pPr>
            <w:r w:rsidRPr="006F4F41">
              <w:rPr>
                <w:rFonts w:ascii="Verdana" w:eastAsia="Calibri" w:hAnsi="Verdana" w:cs="Arial"/>
                <w:b/>
                <w:bCs/>
                <w:lang w:val="es-ES" w:eastAsia="es-ES"/>
              </w:rPr>
              <w:t>Concepto C-033 de 2026</w:t>
            </w:r>
          </w:p>
          <w:p w14:paraId="666F6A67" w14:textId="77777777" w:rsidR="00E86E4B" w:rsidRPr="00D931CF" w:rsidRDefault="00E86E4B" w:rsidP="00212C06">
            <w:pPr>
              <w:ind w:left="3"/>
              <w:jc w:val="both"/>
              <w:rPr>
                <w:rFonts w:ascii="Verdana" w:eastAsia="Calibri" w:hAnsi="Verdana" w:cs="Arial"/>
                <w:b/>
                <w:bCs/>
                <w:color w:val="7030A0"/>
                <w:lang w:val="es-ES" w:eastAsia="es-ES"/>
              </w:rPr>
            </w:pPr>
          </w:p>
        </w:tc>
      </w:tr>
      <w:tr w:rsidR="00E86E4B" w:rsidRPr="00D931CF" w14:paraId="3AA3EEC2" w14:textId="77777777" w:rsidTr="00212C06">
        <w:trPr>
          <w:trHeight w:val="300"/>
        </w:trPr>
        <w:tc>
          <w:tcPr>
            <w:tcW w:w="2410" w:type="dxa"/>
          </w:tcPr>
          <w:p w14:paraId="6CC42B13" w14:textId="77777777" w:rsidR="00E86E4B" w:rsidRPr="00D931CF" w:rsidRDefault="00E86E4B" w:rsidP="00212C06">
            <w:pPr>
              <w:ind w:left="424" w:firstLine="137"/>
              <w:jc w:val="both"/>
              <w:rPr>
                <w:rFonts w:ascii="Verdana" w:eastAsia="Calibri" w:hAnsi="Verdana" w:cs="Arial"/>
                <w:color w:val="7030A0"/>
                <w:lang w:val="es-ES" w:eastAsia="es-ES_tradnl"/>
              </w:rPr>
            </w:pPr>
            <w:r w:rsidRPr="006F4F41">
              <w:rPr>
                <w:rFonts w:ascii="Verdana" w:eastAsia="Calibri" w:hAnsi="Verdana" w:cs="Arial"/>
                <w:b/>
                <w:lang w:val="es-ES" w:eastAsia="es-ES_tradnl"/>
              </w:rPr>
              <w:t>Temas:</w:t>
            </w:r>
            <w:r w:rsidRPr="006F4F41">
              <w:rPr>
                <w:rFonts w:ascii="Verdana" w:eastAsia="Calibri" w:hAnsi="Verdana" w:cs="Arial"/>
                <w:lang w:val="es-ES" w:eastAsia="es-ES_tradnl"/>
              </w:rPr>
              <w:t xml:space="preserve">                  </w:t>
            </w:r>
          </w:p>
        </w:tc>
        <w:tc>
          <w:tcPr>
            <w:tcW w:w="6100" w:type="dxa"/>
          </w:tcPr>
          <w:p w14:paraId="3CB5799B" w14:textId="77777777" w:rsidR="00E86E4B" w:rsidRPr="000D58F6" w:rsidRDefault="00E86E4B" w:rsidP="00212C06">
            <w:pPr>
              <w:jc w:val="both"/>
              <w:rPr>
                <w:rFonts w:ascii="Verdana" w:eastAsia="Calibri" w:hAnsi="Verdana" w:cs="Arial"/>
              </w:rPr>
            </w:pPr>
            <w:r w:rsidRPr="000D58F6">
              <w:rPr>
                <w:rFonts w:ascii="Verdana" w:eastAsia="Calibri" w:hAnsi="Verdana" w:cs="Arial"/>
              </w:rPr>
              <w:t>LIQUIDACIÓN DEL CONTRATO – Definición – Objetivo / LIQUIDACIÓN DEL CONTRATO – Normativa / LIQUIDACIÓN DEL CONTRATO – Tipos – Bilateral – Unilateral – Judicial / PROCEDIMIENTO SANCIONATORIO CONTRACTUAL – Ley 1474 de 2011 – Artículo 86 / PROCEDIMIENTO ADMINISTRATIVO SANCIONATORIO – Procedencia</w:t>
            </w:r>
          </w:p>
          <w:p w14:paraId="1906F2F9" w14:textId="77777777" w:rsidR="00E86E4B" w:rsidRPr="000D58F6" w:rsidRDefault="00E86E4B" w:rsidP="00212C06">
            <w:pPr>
              <w:jc w:val="both"/>
              <w:rPr>
                <w:rFonts w:ascii="Verdana" w:hAnsi="Verdana"/>
              </w:rPr>
            </w:pPr>
          </w:p>
        </w:tc>
      </w:tr>
      <w:tr w:rsidR="00E86E4B" w:rsidRPr="00D931CF" w14:paraId="01880B81" w14:textId="77777777" w:rsidTr="00212C06">
        <w:trPr>
          <w:trHeight w:val="87"/>
        </w:trPr>
        <w:tc>
          <w:tcPr>
            <w:tcW w:w="2410" w:type="dxa"/>
          </w:tcPr>
          <w:p w14:paraId="3E0B5A13" w14:textId="77777777" w:rsidR="00E86E4B" w:rsidRPr="006F4F41" w:rsidRDefault="00E86E4B" w:rsidP="00212C06">
            <w:pPr>
              <w:ind w:left="561"/>
              <w:jc w:val="both"/>
              <w:rPr>
                <w:rFonts w:ascii="Verdana" w:eastAsia="Calibri" w:hAnsi="Verdana" w:cs="Arial"/>
                <w:b/>
                <w:lang w:val="es-ES" w:eastAsia="es-ES_tradnl"/>
              </w:rPr>
            </w:pPr>
            <w:r w:rsidRPr="006F4F41">
              <w:rPr>
                <w:rFonts w:ascii="Verdana" w:eastAsia="Calibri" w:hAnsi="Verdana" w:cs="Arial"/>
                <w:b/>
                <w:lang w:val="es-ES" w:eastAsia="es-ES_tradnl"/>
              </w:rPr>
              <w:t>Radicación:</w:t>
            </w:r>
            <w:r w:rsidRPr="006F4F41">
              <w:rPr>
                <w:rFonts w:ascii="Verdana" w:eastAsia="Calibri" w:hAnsi="Verdana" w:cs="Arial"/>
                <w:lang w:val="es-ES" w:eastAsia="es-ES_tradnl"/>
              </w:rPr>
              <w:t xml:space="preserve">              </w:t>
            </w:r>
          </w:p>
        </w:tc>
        <w:tc>
          <w:tcPr>
            <w:tcW w:w="6100" w:type="dxa"/>
          </w:tcPr>
          <w:p w14:paraId="548B5D53" w14:textId="77777777" w:rsidR="00E86E4B" w:rsidRPr="006F4F41" w:rsidRDefault="00E86E4B" w:rsidP="00212C06">
            <w:pPr>
              <w:ind w:left="3"/>
              <w:jc w:val="both"/>
              <w:rPr>
                <w:rFonts w:ascii="Verdana" w:hAnsi="Verdana"/>
                <w:lang w:val="es-ES"/>
              </w:rPr>
            </w:pPr>
            <w:r w:rsidRPr="006F4F41">
              <w:rPr>
                <w:rFonts w:ascii="Verdana" w:eastAsia="Calibri" w:hAnsi="Verdana" w:cs="Arial"/>
                <w:lang w:val="es-ES" w:eastAsia="es-ES"/>
              </w:rPr>
              <w:t>Respuesta a consulta con radicado No. 1_2026_01_09_000237</w:t>
            </w:r>
          </w:p>
        </w:tc>
      </w:tr>
    </w:tbl>
    <w:p w14:paraId="5B2DF8E0" w14:textId="77777777" w:rsidR="00E86E4B" w:rsidRPr="00D931CF" w:rsidRDefault="00E86E4B" w:rsidP="00E86E4B">
      <w:pPr>
        <w:spacing w:after="0" w:line="276" w:lineRule="auto"/>
        <w:jc w:val="both"/>
        <w:rPr>
          <w:rFonts w:ascii="Verdana" w:eastAsia="Calibri" w:hAnsi="Verdana" w:cs="Arial"/>
          <w:color w:val="7030A0"/>
          <w:lang w:val="es-ES" w:eastAsia="es-ES"/>
        </w:rPr>
      </w:pPr>
    </w:p>
    <w:p w14:paraId="0DB19F3E" w14:textId="77777777" w:rsidR="00E86E4B" w:rsidRDefault="00E86E4B" w:rsidP="00E86E4B">
      <w:pPr>
        <w:spacing w:after="0" w:line="276" w:lineRule="auto"/>
        <w:jc w:val="both"/>
        <w:rPr>
          <w:rFonts w:ascii="Verdana" w:eastAsia="Calibri" w:hAnsi="Verdana" w:cs="Arial"/>
          <w:color w:val="7030A0"/>
          <w:lang w:eastAsia="es-ES"/>
        </w:rPr>
      </w:pPr>
    </w:p>
    <w:p w14:paraId="7236C1BF" w14:textId="77777777" w:rsidR="00E86E4B" w:rsidRPr="00097E37" w:rsidRDefault="00E86E4B" w:rsidP="00E86E4B">
      <w:pPr>
        <w:spacing w:after="0" w:line="276" w:lineRule="auto"/>
        <w:jc w:val="both"/>
        <w:rPr>
          <w:rFonts w:ascii="Verdana" w:eastAsia="Calibri" w:hAnsi="Verdana" w:cs="Arial"/>
          <w:lang w:eastAsia="es-ES"/>
        </w:rPr>
      </w:pPr>
      <w:r w:rsidRPr="00097E37">
        <w:rPr>
          <w:rFonts w:ascii="Verdana" w:eastAsia="Calibri" w:hAnsi="Verdana" w:cs="Arial"/>
          <w:lang w:eastAsia="es-ES"/>
        </w:rPr>
        <w:t>Estimado señor Paéz:</w:t>
      </w:r>
    </w:p>
    <w:p w14:paraId="39B3AD61" w14:textId="77777777" w:rsidR="00E86E4B" w:rsidRPr="00D931CF" w:rsidRDefault="00E86E4B" w:rsidP="00E86E4B">
      <w:pPr>
        <w:spacing w:after="0" w:line="276" w:lineRule="auto"/>
        <w:jc w:val="both"/>
        <w:rPr>
          <w:rFonts w:ascii="Verdana" w:eastAsia="Calibri" w:hAnsi="Verdana" w:cs="Arial"/>
          <w:color w:val="7030A0"/>
          <w:lang w:eastAsia="es-ES"/>
        </w:rPr>
      </w:pPr>
      <w:r w:rsidRPr="00D931CF">
        <w:rPr>
          <w:rFonts w:ascii="Verdana" w:eastAsia="Calibri" w:hAnsi="Verdana" w:cs="Arial"/>
          <w:color w:val="7030A0"/>
          <w:lang w:eastAsia="es-ES"/>
        </w:rPr>
        <w:t xml:space="preserve"> </w:t>
      </w:r>
    </w:p>
    <w:p w14:paraId="3D0F38C8" w14:textId="77777777" w:rsidR="00E86E4B" w:rsidRPr="00097E37" w:rsidRDefault="00E86E4B" w:rsidP="00E86E4B">
      <w:pPr>
        <w:tabs>
          <w:tab w:val="left" w:pos="3768"/>
        </w:tabs>
        <w:spacing w:after="0" w:line="276" w:lineRule="auto"/>
        <w:jc w:val="both"/>
        <w:rPr>
          <w:rFonts w:ascii="Verdana" w:eastAsia="Calibri" w:hAnsi="Verdana" w:cs="Arial"/>
          <w:lang w:eastAsia="es-ES"/>
        </w:rPr>
      </w:pPr>
      <w:r w:rsidRPr="00097E37">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09 de enero de 2026, en la cual manifiesta lo siguiente: </w:t>
      </w:r>
    </w:p>
    <w:p w14:paraId="0C0222A2" w14:textId="77777777" w:rsidR="00E86E4B" w:rsidRPr="00D931CF" w:rsidRDefault="00E86E4B" w:rsidP="00E86E4B">
      <w:pPr>
        <w:tabs>
          <w:tab w:val="left" w:pos="142"/>
          <w:tab w:val="left" w:pos="284"/>
        </w:tabs>
        <w:spacing w:after="0" w:line="276" w:lineRule="auto"/>
        <w:contextualSpacing/>
        <w:jc w:val="both"/>
        <w:rPr>
          <w:rFonts w:ascii="Verdana" w:eastAsia="Century Gothic" w:hAnsi="Verdana" w:cs="Century Gothic"/>
          <w:b/>
          <w:bCs/>
          <w:color w:val="7030A0"/>
        </w:rPr>
      </w:pPr>
    </w:p>
    <w:p w14:paraId="48F74963" w14:textId="77777777" w:rsidR="00E86E4B" w:rsidRPr="00F919A4" w:rsidRDefault="00E86E4B" w:rsidP="00E86E4B">
      <w:pPr>
        <w:spacing w:before="120" w:after="120"/>
        <w:ind w:left="709" w:right="709"/>
        <w:contextualSpacing/>
        <w:jc w:val="both"/>
        <w:rPr>
          <w:rFonts w:ascii="Verdana" w:eastAsia="Century Gothic" w:hAnsi="Verdana" w:cs="Century Gothic"/>
          <w:i/>
          <w:iCs/>
          <w:sz w:val="20"/>
          <w:szCs w:val="20"/>
          <w:lang w:val="es-ES"/>
        </w:rPr>
      </w:pPr>
      <w:r w:rsidRPr="00F919A4">
        <w:rPr>
          <w:rFonts w:ascii="Verdana" w:eastAsia="Century Gothic" w:hAnsi="Verdana" w:cs="Century Gothic"/>
          <w:i/>
          <w:iCs/>
          <w:sz w:val="20"/>
          <w:szCs w:val="20"/>
          <w:lang w:val="es-ES"/>
        </w:rPr>
        <w:t xml:space="preserve">“(…) Respetuosamente solicito orientación técnica frente a una situación que afecta gravemente nuestros derechos contractuales. Fuimos adjudicatarios de un contrato estatal con una alcaldía municipal, el cual </w:t>
      </w:r>
    </w:p>
    <w:p w14:paraId="51C73F11" w14:textId="77777777" w:rsidR="00E86E4B" w:rsidRPr="00F919A4" w:rsidRDefault="00E86E4B" w:rsidP="00E86E4B">
      <w:pPr>
        <w:spacing w:before="120" w:after="120"/>
        <w:ind w:left="709" w:right="709"/>
        <w:contextualSpacing/>
        <w:jc w:val="both"/>
        <w:rPr>
          <w:rFonts w:ascii="Verdana" w:eastAsia="Century Gothic" w:hAnsi="Verdana" w:cs="Century Gothic"/>
          <w:i/>
          <w:iCs/>
          <w:sz w:val="20"/>
          <w:szCs w:val="20"/>
          <w:lang w:val="es-ES"/>
        </w:rPr>
      </w:pPr>
      <w:r w:rsidRPr="00F919A4">
        <w:rPr>
          <w:rFonts w:ascii="Verdana" w:eastAsia="Century Gothic" w:hAnsi="Verdana" w:cs="Century Gothic"/>
          <w:i/>
          <w:iCs/>
          <w:sz w:val="20"/>
          <w:szCs w:val="20"/>
          <w:lang w:val="es-ES"/>
        </w:rPr>
        <w:t>terminó su ejecución hace más de tres (3) años. El contrato no ha sido liquidado ni pagado, pese a que se ejecutaron actividades y se han elevado múltiples solicitudes a la entidad.</w:t>
      </w:r>
    </w:p>
    <w:p w14:paraId="63CB62CA" w14:textId="77777777" w:rsidR="00E86E4B" w:rsidRPr="00F919A4" w:rsidRDefault="00E86E4B" w:rsidP="00E86E4B">
      <w:pPr>
        <w:spacing w:before="120" w:after="120"/>
        <w:ind w:left="709" w:right="709"/>
        <w:contextualSpacing/>
        <w:jc w:val="both"/>
        <w:rPr>
          <w:rFonts w:ascii="Verdana" w:eastAsia="Century Gothic" w:hAnsi="Verdana" w:cs="Century Gothic"/>
          <w:i/>
          <w:iCs/>
          <w:sz w:val="20"/>
          <w:szCs w:val="20"/>
          <w:lang w:val="es-ES"/>
        </w:rPr>
      </w:pPr>
    </w:p>
    <w:p w14:paraId="0C99C3A4" w14:textId="77777777" w:rsidR="00E86E4B" w:rsidRPr="00F919A4" w:rsidRDefault="00E86E4B" w:rsidP="00E86E4B">
      <w:pPr>
        <w:spacing w:before="120" w:after="120"/>
        <w:ind w:left="709" w:right="709"/>
        <w:contextualSpacing/>
        <w:jc w:val="both"/>
        <w:rPr>
          <w:rFonts w:ascii="Verdana" w:eastAsia="Century Gothic" w:hAnsi="Verdana" w:cs="Century Gothic"/>
          <w:i/>
          <w:iCs/>
          <w:sz w:val="20"/>
          <w:szCs w:val="20"/>
          <w:lang w:val="es-ES"/>
        </w:rPr>
      </w:pPr>
      <w:r w:rsidRPr="00F919A4">
        <w:rPr>
          <w:rFonts w:ascii="Verdana" w:eastAsia="Century Gothic" w:hAnsi="Verdana" w:cs="Century Gothic"/>
          <w:i/>
          <w:iCs/>
          <w:sz w:val="20"/>
          <w:szCs w:val="20"/>
          <w:lang w:val="es-ES"/>
        </w:rPr>
        <w:t xml:space="preserve">La alcaldía inició un proceso de presunto incumplimiento contractual, el cual no ha sido definido, archivado ni decidido, y actualmente se encuentra sin impulso, sin sanción y sin actuación alguna, manteniendo el contrato en una situación de indefinición prolongada, sin pago ni cierre. En este </w:t>
      </w:r>
      <w:r w:rsidRPr="00F919A4">
        <w:rPr>
          <w:rFonts w:ascii="Verdana" w:eastAsia="Century Gothic" w:hAnsi="Verdana" w:cs="Century Gothic"/>
          <w:i/>
          <w:iCs/>
          <w:sz w:val="20"/>
          <w:szCs w:val="20"/>
          <w:lang w:val="es-ES"/>
        </w:rPr>
        <w:lastRenderedPageBreak/>
        <w:t>contexto, solicitamos respetuosamente saber: 1. Si la normativa de contratación estatal impone a las entidades el deber de impulsar, decidir y cerrar oportunamente los contratos y procedimientos, y si es legal mantenerlos indefinidamente sin liquidación ni decisión (…)”</w:t>
      </w:r>
    </w:p>
    <w:p w14:paraId="01F31F68" w14:textId="77777777" w:rsidR="00E86E4B" w:rsidRPr="00D931CF" w:rsidRDefault="00E86E4B" w:rsidP="00E86E4B">
      <w:pPr>
        <w:spacing w:before="120" w:after="120"/>
        <w:ind w:right="709"/>
        <w:contextualSpacing/>
        <w:jc w:val="both"/>
        <w:rPr>
          <w:rFonts w:ascii="Verdana" w:eastAsia="Century Gothic" w:hAnsi="Verdana" w:cs="Century Gothic"/>
          <w:i/>
          <w:iCs/>
          <w:color w:val="7030A0"/>
          <w:sz w:val="20"/>
          <w:szCs w:val="20"/>
          <w:lang w:val="es-ES"/>
        </w:rPr>
      </w:pPr>
    </w:p>
    <w:p w14:paraId="67088E6E" w14:textId="77777777" w:rsidR="00E86E4B" w:rsidRPr="00F919A4" w:rsidRDefault="00E86E4B" w:rsidP="00E86E4B">
      <w:pPr>
        <w:spacing w:after="120" w:line="276" w:lineRule="auto"/>
        <w:ind w:firstLine="708"/>
        <w:jc w:val="both"/>
        <w:rPr>
          <w:rFonts w:ascii="Verdana" w:eastAsia="Calibri" w:hAnsi="Verdana" w:cs="Arial"/>
          <w:lang w:val="es-ES" w:eastAsia="es-ES"/>
        </w:rPr>
      </w:pPr>
      <w:r w:rsidRPr="00F919A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919A4">
        <w:rPr>
          <w:rFonts w:ascii="Verdana" w:hAnsi="Verdana"/>
          <w:lang w:val="es-ES"/>
        </w:rPr>
        <w:tab/>
      </w:r>
    </w:p>
    <w:p w14:paraId="4E4CEDE6" w14:textId="77777777" w:rsidR="00E86E4B" w:rsidRPr="00F919A4" w:rsidRDefault="00E86E4B" w:rsidP="00E86E4B">
      <w:pPr>
        <w:spacing w:after="0" w:line="276" w:lineRule="auto"/>
        <w:ind w:firstLine="709"/>
        <w:jc w:val="both"/>
        <w:rPr>
          <w:rFonts w:ascii="Verdana" w:eastAsia="Calibri" w:hAnsi="Verdana" w:cs="Arial"/>
          <w:lang w:val="es-ES" w:eastAsia="es-ES"/>
        </w:rPr>
      </w:pPr>
      <w:r w:rsidRPr="00F919A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84F7C86" w14:textId="77777777" w:rsidR="00E86E4B" w:rsidRPr="00F51C5A" w:rsidRDefault="00E86E4B" w:rsidP="00E86E4B">
      <w:pPr>
        <w:spacing w:after="0" w:line="276" w:lineRule="auto"/>
        <w:ind w:firstLine="709"/>
        <w:jc w:val="both"/>
        <w:rPr>
          <w:rFonts w:ascii="Verdana" w:eastAsia="Calibri" w:hAnsi="Verdana" w:cs="Arial"/>
          <w:lang w:val="es-ES" w:eastAsia="es-ES"/>
        </w:rPr>
      </w:pPr>
    </w:p>
    <w:p w14:paraId="1C691712" w14:textId="77777777" w:rsidR="00E86E4B" w:rsidRPr="00F51C5A" w:rsidRDefault="00E86E4B" w:rsidP="00E86E4B">
      <w:pPr>
        <w:tabs>
          <w:tab w:val="left" w:pos="142"/>
          <w:tab w:val="left" w:pos="284"/>
        </w:tabs>
        <w:spacing w:after="0" w:line="276" w:lineRule="auto"/>
        <w:contextualSpacing/>
        <w:jc w:val="both"/>
        <w:rPr>
          <w:rFonts w:ascii="Verdana" w:eastAsia="Century Gothic" w:hAnsi="Verdana" w:cs="Century Gothic"/>
          <w:b/>
          <w:lang w:val="es-ES"/>
        </w:rPr>
      </w:pPr>
      <w:r w:rsidRPr="00F51C5A">
        <w:rPr>
          <w:rFonts w:ascii="Verdana" w:eastAsia="Century Gothic" w:hAnsi="Verdana" w:cs="Century Gothic"/>
          <w:b/>
          <w:lang w:val="es-ES"/>
        </w:rPr>
        <w:t>1. Problema planteado:</w:t>
      </w:r>
    </w:p>
    <w:p w14:paraId="06A6C0B8" w14:textId="77777777" w:rsidR="00E86E4B" w:rsidRPr="00F51C5A" w:rsidRDefault="00E86E4B" w:rsidP="00E86E4B">
      <w:pPr>
        <w:tabs>
          <w:tab w:val="left" w:pos="426"/>
        </w:tabs>
        <w:spacing w:after="0" w:line="276" w:lineRule="auto"/>
        <w:jc w:val="both"/>
        <w:rPr>
          <w:rFonts w:ascii="Verdana" w:eastAsia="Century Gothic" w:hAnsi="Verdana" w:cs="Century Gothic"/>
          <w:lang w:val="es-ES"/>
        </w:rPr>
      </w:pPr>
    </w:p>
    <w:p w14:paraId="463C08A4" w14:textId="77777777" w:rsidR="00E86E4B" w:rsidRPr="00D931CF" w:rsidRDefault="00E86E4B" w:rsidP="00E86E4B">
      <w:pPr>
        <w:spacing w:after="0" w:line="276" w:lineRule="auto"/>
        <w:jc w:val="both"/>
        <w:rPr>
          <w:rFonts w:ascii="Verdana" w:eastAsia="Century Gothic" w:hAnsi="Verdana" w:cs="Century Gothic"/>
          <w:color w:val="7030A0"/>
        </w:rPr>
      </w:pPr>
      <w:r w:rsidRPr="00F51C5A">
        <w:rPr>
          <w:rFonts w:ascii="Verdana" w:eastAsia="Century Gothic" w:hAnsi="Verdana" w:cs="Century Gothic"/>
          <w:lang w:val="es-ES"/>
        </w:rPr>
        <w:t>De acuerdo con el contenido de su solicitud, esta Agencia resolverá el siguiente problema jurídico</w:t>
      </w:r>
      <w:r w:rsidRPr="00667AE0">
        <w:rPr>
          <w:rFonts w:ascii="Verdana" w:eastAsia="Century Gothic" w:hAnsi="Verdana" w:cs="Century Gothic"/>
          <w:lang w:val="es-ES"/>
        </w:rPr>
        <w:t xml:space="preserve">: </w:t>
      </w:r>
      <w:r w:rsidRPr="00667AE0">
        <w:rPr>
          <w:rFonts w:ascii="Verdana" w:eastAsia="Century Gothic" w:hAnsi="Verdana" w:cs="Century Gothic"/>
        </w:rPr>
        <w:t>¿Puede una entidad estatal abstenerse de liquidar y pagar un contrato estatal ejecutado y, de manera concurrente, mantener sin definición un proceso de presunto incumplimiento contractual?</w:t>
      </w:r>
    </w:p>
    <w:p w14:paraId="08246575" w14:textId="77777777" w:rsidR="00E86E4B" w:rsidRPr="00D931CF" w:rsidRDefault="00E86E4B" w:rsidP="00E86E4B">
      <w:pPr>
        <w:spacing w:after="0" w:line="276" w:lineRule="auto"/>
        <w:jc w:val="both"/>
        <w:rPr>
          <w:rFonts w:ascii="Verdana" w:eastAsia="Century Gothic" w:hAnsi="Verdana" w:cs="Century Gothic"/>
          <w:color w:val="7030A0"/>
        </w:rPr>
      </w:pPr>
    </w:p>
    <w:p w14:paraId="7754DFDD" w14:textId="77777777" w:rsidR="00E86E4B" w:rsidRPr="00F51C5A" w:rsidRDefault="00E86E4B" w:rsidP="00E86E4B">
      <w:pPr>
        <w:tabs>
          <w:tab w:val="left" w:pos="142"/>
          <w:tab w:val="left" w:pos="284"/>
        </w:tabs>
        <w:spacing w:after="0" w:line="276" w:lineRule="auto"/>
        <w:jc w:val="both"/>
        <w:rPr>
          <w:rFonts w:ascii="Verdana" w:eastAsia="Century Gothic" w:hAnsi="Verdana" w:cs="Century Gothic"/>
          <w:b/>
          <w:lang w:val="es-ES"/>
        </w:rPr>
      </w:pPr>
      <w:r w:rsidRPr="00F51C5A">
        <w:rPr>
          <w:rFonts w:ascii="Verdana" w:eastAsia="Century Gothic" w:hAnsi="Verdana" w:cs="Century Gothic"/>
          <w:b/>
          <w:lang w:val="es-ES"/>
        </w:rPr>
        <w:t>2. Respuesta:</w:t>
      </w:r>
    </w:p>
    <w:p w14:paraId="0E1D217E" w14:textId="77777777" w:rsidR="00E86E4B" w:rsidRPr="00D931CF" w:rsidRDefault="00E86E4B" w:rsidP="00E86E4B">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6E4B" w:rsidRPr="00D931CF" w14:paraId="3E3E3FD1" w14:textId="77777777" w:rsidTr="00212C06">
        <w:tc>
          <w:tcPr>
            <w:tcW w:w="8828" w:type="dxa"/>
          </w:tcPr>
          <w:p w14:paraId="0E9A8A29" w14:textId="77777777" w:rsidR="00E86E4B" w:rsidRDefault="00E86E4B" w:rsidP="00212C06">
            <w:pPr>
              <w:spacing w:before="120" w:after="120" w:line="276" w:lineRule="auto"/>
              <w:jc w:val="both"/>
              <w:rPr>
                <w:rFonts w:ascii="Verdana" w:eastAsia="Calibri" w:hAnsi="Verdana" w:cs="Arial"/>
              </w:rPr>
            </w:pPr>
            <w:r w:rsidRPr="00145212">
              <w:rPr>
                <w:rFonts w:ascii="Verdana" w:eastAsia="Calibri" w:hAnsi="Verdana" w:cs="Arial"/>
              </w:rPr>
              <w:t xml:space="preserve">Para resolver el problema jurídico planteado, es preciso indicar que, de conformidad con el marco normativo, doctrinal y jurisprudencial expuesto en los argumentos de este concepto, la liquidación del contrato estatal constituye una etapa obligatoria en aquellos contratos que, por su naturaleza, objeto o </w:t>
            </w:r>
            <w:r w:rsidRPr="00145212">
              <w:rPr>
                <w:rFonts w:ascii="Verdana" w:eastAsia="Calibri" w:hAnsi="Verdana" w:cs="Arial"/>
              </w:rPr>
              <w:lastRenderedPageBreak/>
              <w:t>plazo, así lo requieren, en especial en los contratos de tracto sucesivo o de ejecución prolongada en el tiempo. Dicha etapa tiene como finalidad efectuar el balance definitivo de la relación contractual en sus aspectos técnicos, financieros y jurídicos, permitiendo establecer el grado de cumplimiento del objeto contratado, definir las obligaciones pendientes, determinar los saldos a favor o en contra de las partes y precisar si estas pueden declararse a paz y salvo. En tal sentido, la liquidación no corresponde a una facultad discrecional de la entidad, sino a un deber jurídico cuyo ejercicio debe sujetarse a los términos y modalidades previstos en el artículo 60 de la Ley 80 de 1993 y en el artículo 11 de la Ley 1150 de 2007.</w:t>
            </w:r>
          </w:p>
          <w:p w14:paraId="59B300E3" w14:textId="77777777" w:rsidR="00E86E4B" w:rsidRPr="00481DBB" w:rsidRDefault="00E86E4B" w:rsidP="00212C06">
            <w:pPr>
              <w:spacing w:before="120" w:after="120" w:line="276" w:lineRule="auto"/>
              <w:ind w:firstLine="709"/>
              <w:jc w:val="both"/>
              <w:rPr>
                <w:rFonts w:ascii="Verdana" w:eastAsia="Calibri" w:hAnsi="Verdana" w:cs="Arial"/>
              </w:rPr>
            </w:pPr>
            <w:r w:rsidRPr="00481DBB">
              <w:rPr>
                <w:rFonts w:ascii="Verdana" w:eastAsia="Calibri" w:hAnsi="Verdana" w:cs="Arial"/>
                <w:lang w:val="es-ES"/>
              </w:rPr>
              <w:t>Por otra parte, el ordenamiento jurídico vigente permite la liquidación unilateral, bilateral e incluso judicial una vez vencido el plazo establecido por el artículo 11 de la Ley 1150 de 2007. En otras palabras, la liquidación final de los contratos estatales tiene un ámbito temporal que empieza con la terminación del contrato y comprende: i) el periodo contractual pactado por las partes o supletivo legal de cuatro (4) meses para la liquidación bilateral; ii) más el período legal para la liquidación unilateral de dos (2) meses; iii) más el plazo de dos (2) años para hacerlo de mutuo acuerdo o unilateralmente, sin perjuicio de que se solicite la liquidación judicial.</w:t>
            </w:r>
          </w:p>
          <w:p w14:paraId="4335F4EF" w14:textId="77777777" w:rsidR="00E86E4B" w:rsidRPr="00481DBB" w:rsidRDefault="00E86E4B" w:rsidP="00212C06">
            <w:pPr>
              <w:spacing w:after="120" w:line="276" w:lineRule="auto"/>
              <w:ind w:firstLine="703"/>
              <w:jc w:val="both"/>
              <w:rPr>
                <w:rFonts w:ascii="Verdana" w:hAnsi="Verdana" w:cs="Arial"/>
                <w:lang w:val="es-ES"/>
              </w:rPr>
            </w:pPr>
            <w:r w:rsidRPr="00481DBB">
              <w:rPr>
                <w:rFonts w:ascii="Verdana" w:hAnsi="Verdana" w:cs="Arial"/>
                <w:lang w:val="es-ES"/>
              </w:rPr>
              <w:t xml:space="preserve">En ese orden de ideas, si se trata de un contrato en el cual no existe pacto sobre el término para la liquidación bilateral, el término supletivo aplicaría, y se podría liquidar el contrato dentro de los cuatro (4) meses siguientes a su terminación de manera bilateral, dentro de los dos (2) meses siguientes a ellos de manera unilateral por la entidad, más un plazo de dos (2) años para la liquidación unilateral, bilateral o judicial. Esto, para un total de dos (2) años y seis (6) meses.  Estos términos pueden verse modificados si las partes acuerdan un plazo mayor o menor para realizar la liquidación de mutuo acuerdo. </w:t>
            </w:r>
            <w:r w:rsidRPr="00481DBB">
              <w:rPr>
                <w:rFonts w:ascii="Verdana" w:eastAsia="Calibri" w:hAnsi="Verdana" w:cs="Arial"/>
                <w:lang w:val="es-ES" w:eastAsia="es-ES"/>
              </w:rPr>
              <w:t>Cualquie</w:t>
            </w:r>
            <w:r>
              <w:rPr>
                <w:rFonts w:ascii="Verdana" w:eastAsia="Calibri" w:hAnsi="Verdana" w:cs="Arial"/>
                <w:lang w:val="es-ES" w:eastAsia="es-ES"/>
              </w:rPr>
              <w:t>r l</w:t>
            </w:r>
            <w:r w:rsidRPr="00481DBB">
              <w:rPr>
                <w:rFonts w:ascii="Verdana" w:eastAsia="Calibri" w:hAnsi="Verdana" w:cs="Arial"/>
                <w:lang w:val="es-ES" w:eastAsia="es-ES"/>
              </w:rPr>
              <w:t>iquidación efectuada después de la caducidad del medio de control implica la pérdida de competencia temporal, por lo que está viciada de nulidad.</w:t>
            </w:r>
          </w:p>
          <w:p w14:paraId="080240F5" w14:textId="77777777" w:rsidR="00E86E4B" w:rsidRPr="00EA698A" w:rsidRDefault="00E86E4B" w:rsidP="00212C06">
            <w:pPr>
              <w:spacing w:before="120" w:after="120" w:line="276" w:lineRule="auto"/>
              <w:ind w:firstLine="709"/>
              <w:jc w:val="both"/>
              <w:rPr>
                <w:rFonts w:ascii="Verdana" w:eastAsia="Times New Roman" w:hAnsi="Verdana" w:cs="Arial"/>
                <w:lang w:eastAsia="es-ES"/>
                <w14:ligatures w14:val="standardContextual"/>
              </w:rPr>
            </w:pPr>
            <w:r w:rsidRPr="00EA698A">
              <w:rPr>
                <w:rFonts w:ascii="Verdana" w:eastAsia="Times New Roman" w:hAnsi="Verdana" w:cs="Arial"/>
                <w:lang w:eastAsia="es-ES"/>
                <w14:ligatures w14:val="standardContextual"/>
              </w:rPr>
              <w:t xml:space="preserve">Ahora bien, las generalidades para llevar a cabo un proceso administrativo sancionatorio en la contratación estatal se encuentran establecidas en el artículo 86 de la Ley 1474 de 2011. Esta norma fija las reglas de procedimiento que garantizan el respeto al debido proceso y los derechos de las partes involucradas. De acuerdo con dicha disposición, las </w:t>
            </w:r>
            <w:r w:rsidRPr="00EA698A">
              <w:rPr>
                <w:rFonts w:ascii="Verdana" w:eastAsia="Times New Roman" w:hAnsi="Verdana" w:cs="Arial"/>
                <w:lang w:eastAsia="es-ES"/>
                <w14:ligatures w14:val="standardContextual"/>
              </w:rPr>
              <w:lastRenderedPageBreak/>
              <w:t>entidades sometidas al Estatuto General de Contratación de la Administración Pública tienen la facultad de declarar el incumplimiento del contratista, cuantificar los perjuicios ocasionados, imponer las multas y sanciones pactadas en el contrato, y hacer efectiva la cláusula penal.</w:t>
            </w:r>
          </w:p>
          <w:p w14:paraId="59829918" w14:textId="77777777" w:rsidR="00E86E4B" w:rsidRPr="00EA698A" w:rsidRDefault="00E86E4B" w:rsidP="00212C06">
            <w:pPr>
              <w:spacing w:before="120" w:after="120" w:line="276" w:lineRule="auto"/>
              <w:ind w:firstLine="709"/>
              <w:jc w:val="both"/>
              <w:rPr>
                <w:rFonts w:ascii="Verdana" w:eastAsia="Times New Roman" w:hAnsi="Verdana" w:cs="Arial"/>
                <w:lang w:eastAsia="es-ES"/>
                <w14:ligatures w14:val="standardContextual"/>
              </w:rPr>
            </w:pPr>
            <w:r w:rsidRPr="00EA698A">
              <w:rPr>
                <w:rFonts w:ascii="Verdana" w:eastAsia="Times New Roman" w:hAnsi="Verdana" w:cs="Arial"/>
                <w:lang w:eastAsia="es-ES"/>
                <w14:ligatures w14:val="standardContextual"/>
              </w:rPr>
              <w:t>Para el ejercicio de estas potestades, la entidad debe adelantar un procedimiento administrativo que observe los principios de legalidad, transparencia, imparcialidad y contradicción, el cual comprende, entre otros aspectos, la citación al contratista a audiencia con la formulación expresa y detallada de los hechos que sustentan la actuación, la indicación de las normas o cláusulas presuntamente vulneradas, la concesión de un espacio efectivo para la presentación de descargos y la solicitud, aporte y contradicción de las pruebas pertinentes, así como su valoración objetiva. El procedimiento culmina con la expedición de un acto administrativo debidamente motivado, mediante el cual se decide de manera expresa sobre la imposición o no de las sanciones contractuales correspondientes.</w:t>
            </w:r>
          </w:p>
          <w:p w14:paraId="0238205D" w14:textId="77777777" w:rsidR="00E86E4B" w:rsidRPr="00D931CF" w:rsidRDefault="00E86E4B" w:rsidP="00212C06">
            <w:pPr>
              <w:spacing w:before="120" w:after="120" w:line="276" w:lineRule="auto"/>
              <w:ind w:firstLine="709"/>
              <w:jc w:val="both"/>
              <w:rPr>
                <w:rFonts w:ascii="Verdana" w:eastAsia="Calibri" w:hAnsi="Verdana" w:cs="Arial"/>
                <w:color w:val="7030A0"/>
              </w:rPr>
            </w:pPr>
            <w:r>
              <w:rPr>
                <w:rFonts w:ascii="Verdana" w:hAnsi="Verdana" w:cs="Arial"/>
                <w:lang w:val="es-ES" w:eastAsia="es-ES"/>
              </w:rPr>
              <w:t>En todo caso</w:t>
            </w:r>
            <w:r w:rsidRPr="00FD30C6">
              <w:rPr>
                <w:rFonts w:ascii="Verdana" w:hAnsi="Verdana" w:cs="Arial"/>
                <w:lang w:val="es-ES" w:eastAsia="es-ES"/>
              </w:rPr>
              <w:t>,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522F8F6" w14:textId="77777777" w:rsidR="00E86E4B" w:rsidRPr="00D931CF" w:rsidRDefault="00E86E4B" w:rsidP="00E86E4B">
      <w:pPr>
        <w:tabs>
          <w:tab w:val="left" w:pos="142"/>
          <w:tab w:val="left" w:pos="284"/>
        </w:tabs>
        <w:spacing w:after="0" w:line="276" w:lineRule="auto"/>
        <w:jc w:val="both"/>
        <w:rPr>
          <w:rFonts w:ascii="Verdana" w:eastAsia="Century Gothic" w:hAnsi="Verdana" w:cs="Century Gothic"/>
          <w:b/>
          <w:bCs/>
          <w:color w:val="7030A0"/>
          <w:lang w:val="es-ES"/>
        </w:rPr>
      </w:pPr>
    </w:p>
    <w:p w14:paraId="59B5E383" w14:textId="77777777" w:rsidR="00E86E4B" w:rsidRPr="001E7CFB" w:rsidRDefault="00E86E4B" w:rsidP="00E86E4B">
      <w:pPr>
        <w:tabs>
          <w:tab w:val="left" w:pos="142"/>
          <w:tab w:val="left" w:pos="284"/>
        </w:tabs>
        <w:spacing w:after="0" w:line="276" w:lineRule="auto"/>
        <w:jc w:val="both"/>
        <w:rPr>
          <w:rFonts w:ascii="Verdana" w:eastAsia="Century Gothic" w:hAnsi="Verdana" w:cs="Century Gothic"/>
          <w:b/>
          <w:lang w:val="es-ES"/>
        </w:rPr>
      </w:pPr>
      <w:r w:rsidRPr="001E7CFB">
        <w:rPr>
          <w:rFonts w:ascii="Verdana" w:eastAsia="Century Gothic" w:hAnsi="Verdana" w:cs="Century Gothic"/>
          <w:b/>
          <w:lang w:val="es-ES"/>
        </w:rPr>
        <w:t>3. Razones de la respuesta:</w:t>
      </w:r>
    </w:p>
    <w:p w14:paraId="31E5F308" w14:textId="77777777" w:rsidR="00E86E4B" w:rsidRPr="001E7CFB" w:rsidRDefault="00E86E4B" w:rsidP="00E86E4B">
      <w:pPr>
        <w:tabs>
          <w:tab w:val="left" w:pos="142"/>
          <w:tab w:val="left" w:pos="284"/>
        </w:tabs>
        <w:spacing w:after="0" w:line="276" w:lineRule="auto"/>
        <w:jc w:val="both"/>
        <w:rPr>
          <w:rFonts w:ascii="Verdana" w:eastAsia="Century Gothic" w:hAnsi="Verdana" w:cs="Century Gothic"/>
          <w:b/>
          <w:lang w:val="es-ES"/>
        </w:rPr>
      </w:pPr>
    </w:p>
    <w:p w14:paraId="5DA93699" w14:textId="77777777" w:rsidR="00E86E4B" w:rsidRPr="001E7CFB" w:rsidRDefault="00E86E4B" w:rsidP="00E86E4B">
      <w:pPr>
        <w:spacing w:after="0" w:line="276" w:lineRule="auto"/>
        <w:jc w:val="both"/>
        <w:rPr>
          <w:rFonts w:ascii="Verdana" w:eastAsia="Calibri" w:hAnsi="Verdana" w:cs="Arial"/>
          <w:lang w:val="es-ES"/>
        </w:rPr>
      </w:pPr>
      <w:r w:rsidRPr="001E7CFB">
        <w:rPr>
          <w:rFonts w:ascii="Verdana" w:eastAsia="Calibri" w:hAnsi="Verdana" w:cs="Arial"/>
          <w:lang w:val="es-ES"/>
        </w:rPr>
        <w:t>Lo anterior se sustenta en las siguientes consideraciones:</w:t>
      </w:r>
    </w:p>
    <w:p w14:paraId="3FA06A5E" w14:textId="77777777" w:rsidR="00E86E4B" w:rsidRPr="001E7CFB" w:rsidRDefault="00E86E4B" w:rsidP="00E86E4B">
      <w:pPr>
        <w:spacing w:after="0" w:line="276" w:lineRule="auto"/>
        <w:jc w:val="both"/>
        <w:rPr>
          <w:rFonts w:ascii="Verdana" w:eastAsia="Calibri" w:hAnsi="Verdana" w:cs="Arial"/>
          <w:lang w:val="es-ES"/>
        </w:rPr>
      </w:pPr>
      <w:bookmarkStart w:id="1" w:name="_Hlk102983874"/>
      <w:bookmarkStart w:id="2" w:name="_Hlk102388095"/>
    </w:p>
    <w:p w14:paraId="081D6960" w14:textId="77777777" w:rsidR="00E86E4B" w:rsidRPr="001E7CFB" w:rsidRDefault="00E86E4B" w:rsidP="00E86E4B">
      <w:pPr>
        <w:spacing w:after="0" w:line="276" w:lineRule="auto"/>
        <w:jc w:val="both"/>
        <w:rPr>
          <w:rFonts w:ascii="Verdana" w:eastAsia="Calibri" w:hAnsi="Verdana" w:cs="Arial"/>
          <w:lang w:val="es-ES_tradnl"/>
        </w:rPr>
      </w:pPr>
      <w:r w:rsidRPr="001E7CFB">
        <w:rPr>
          <w:rFonts w:ascii="Verdana" w:eastAsia="Calibri" w:hAnsi="Verdana" w:cs="Arial"/>
          <w:lang w:val="es-ES"/>
        </w:rPr>
        <w:t xml:space="preserve">i. </w:t>
      </w:r>
      <w:r w:rsidRPr="001E7CFB">
        <w:rPr>
          <w:rFonts w:ascii="Verdana" w:eastAsia="Calibri" w:hAnsi="Verdana" w:cs="Arial"/>
          <w:lang w:val="es-ES_tradnl"/>
        </w:rPr>
        <w:t xml:space="preserve">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w:t>
      </w:r>
      <w:r w:rsidRPr="001E7CFB">
        <w:rPr>
          <w:rFonts w:ascii="Verdana" w:eastAsia="Calibri" w:hAnsi="Verdana" w:cs="Arial"/>
          <w:lang w:val="es-ES_tradnl"/>
        </w:rPr>
        <w:lastRenderedPageBreak/>
        <w:t>finalizadas</w:t>
      </w:r>
      <w:r w:rsidRPr="001E7CFB">
        <w:rPr>
          <w:rFonts w:ascii="Verdana" w:eastAsia="Calibri" w:hAnsi="Verdana" w:cs="Arial"/>
          <w:vertAlign w:val="superscript"/>
          <w:lang w:val="es-ES_tradnl"/>
        </w:rPr>
        <w:footnoteReference w:id="1"/>
      </w:r>
      <w:r w:rsidRPr="001E7CFB">
        <w:rPr>
          <w:rFonts w:ascii="Verdana" w:eastAsia="Calibri" w:hAnsi="Verdana" w:cs="Arial"/>
          <w:lang w:val="es-ES_tradnl"/>
        </w:rPr>
        <w:t>. En armonía con lo anterior, la doctrina ha definido la liquidación de la siguiente manera:</w:t>
      </w:r>
    </w:p>
    <w:p w14:paraId="6B603774" w14:textId="77777777" w:rsidR="00E86E4B" w:rsidRPr="001E7CFB" w:rsidRDefault="00E86E4B" w:rsidP="00E86E4B">
      <w:pPr>
        <w:spacing w:after="0" w:line="276" w:lineRule="auto"/>
        <w:jc w:val="both"/>
        <w:rPr>
          <w:rFonts w:ascii="Verdana" w:eastAsia="Calibri" w:hAnsi="Verdana" w:cs="Arial"/>
          <w:lang w:val="es-ES_tradnl"/>
        </w:rPr>
      </w:pPr>
    </w:p>
    <w:p w14:paraId="653C4417" w14:textId="77777777" w:rsidR="00E86E4B" w:rsidRPr="001E7CFB" w:rsidRDefault="00E86E4B" w:rsidP="00E86E4B">
      <w:pPr>
        <w:spacing w:after="0" w:line="240" w:lineRule="auto"/>
        <w:ind w:left="709" w:right="758"/>
        <w:jc w:val="both"/>
        <w:rPr>
          <w:rFonts w:ascii="Verdana" w:eastAsia="Calibri" w:hAnsi="Verdana" w:cs="Arial"/>
          <w:sz w:val="20"/>
          <w:szCs w:val="20"/>
          <w:lang w:val="es-MX"/>
        </w:rPr>
      </w:pPr>
      <w:r w:rsidRPr="001E7CFB">
        <w:rPr>
          <w:rFonts w:ascii="Verdana" w:eastAsia="Calibri" w:hAnsi="Verdana" w:cs="Arial"/>
          <w:i/>
          <w:iCs/>
          <w:sz w:val="20"/>
          <w:szCs w:val="20"/>
          <w:lang w:val="es-ES_tradnl"/>
        </w:rPr>
        <w:t>“</w:t>
      </w:r>
      <w:r w:rsidRPr="001E7CFB">
        <w:rPr>
          <w:rFonts w:ascii="Verdana" w:eastAsia="Calibri" w:hAnsi="Verdana" w:cs="Arial"/>
          <w:sz w:val="20"/>
          <w:szCs w:val="20"/>
          <w:lang w:val="es-MX"/>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1E7CFB">
        <w:rPr>
          <w:rFonts w:ascii="Verdana" w:eastAsia="Calibri" w:hAnsi="Verdana" w:cs="Arial"/>
          <w:sz w:val="20"/>
          <w:szCs w:val="20"/>
          <w:vertAlign w:val="superscript"/>
          <w:lang w:val="es-MX"/>
        </w:rPr>
        <w:footnoteReference w:id="2"/>
      </w:r>
      <w:r w:rsidRPr="001E7CFB">
        <w:rPr>
          <w:rFonts w:ascii="Verdana" w:eastAsia="Calibri" w:hAnsi="Verdana" w:cs="Arial"/>
          <w:sz w:val="20"/>
          <w:szCs w:val="20"/>
          <w:lang w:val="es-MX"/>
        </w:rPr>
        <w:t>.</w:t>
      </w:r>
    </w:p>
    <w:p w14:paraId="540D165F" w14:textId="77777777" w:rsidR="00E86E4B" w:rsidRPr="001E7CFB" w:rsidRDefault="00E86E4B" w:rsidP="00E86E4B">
      <w:pPr>
        <w:spacing w:after="0" w:line="276" w:lineRule="auto"/>
        <w:jc w:val="both"/>
        <w:rPr>
          <w:rFonts w:ascii="Verdana" w:eastAsia="Calibri" w:hAnsi="Verdana" w:cs="Arial"/>
          <w:lang w:val="es-ES_tradnl"/>
        </w:rPr>
      </w:pPr>
    </w:p>
    <w:p w14:paraId="1520298F" w14:textId="77777777" w:rsidR="00E86E4B" w:rsidRPr="001E7CFB" w:rsidRDefault="00E86E4B" w:rsidP="00E86E4B">
      <w:pPr>
        <w:spacing w:after="120" w:line="276" w:lineRule="auto"/>
        <w:ind w:firstLine="709"/>
        <w:jc w:val="both"/>
        <w:rPr>
          <w:rFonts w:ascii="Verdana" w:eastAsia="Times New Roman" w:hAnsi="Verdana" w:cs="Arial"/>
          <w:sz w:val="21"/>
          <w:szCs w:val="21"/>
          <w:lang w:val="es-ES_tradnl" w:eastAsia="es-ES_tradnl"/>
        </w:rPr>
      </w:pPr>
      <w:r w:rsidRPr="001E7CFB">
        <w:rPr>
          <w:rFonts w:ascii="Verdana" w:eastAsia="Times New Roman" w:hAnsi="Verdana" w:cs="Arial"/>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1E7CFB">
        <w:rPr>
          <w:rFonts w:ascii="Verdana" w:eastAsia="Times New Roman" w:hAnsi="Verdana" w:cs="Arial"/>
          <w:i/>
          <w:iCs/>
          <w:szCs w:val="24"/>
          <w:lang w:val="es-ES_tradnl" w:eastAsia="es-ES_tradnl"/>
        </w:rPr>
        <w:t>liquidar</w:t>
      </w:r>
      <w:r w:rsidRPr="001E7CFB">
        <w:rPr>
          <w:rFonts w:ascii="Verdana" w:eastAsia="Times New Roman" w:hAnsi="Verdana" w:cs="Arial"/>
          <w:szCs w:val="24"/>
          <w:lang w:val="es-ES_tradnl" w:eastAsia="es-ES_tradnl"/>
        </w:rPr>
        <w:t xml:space="preserve"> supone un ajuste en relación con las cuentas y el estado de cumplimiento del contrato estatal y, por el otro, que la </w:t>
      </w:r>
      <w:r w:rsidRPr="001E7CFB">
        <w:rPr>
          <w:rFonts w:ascii="Verdana" w:eastAsia="Times New Roman" w:hAnsi="Verdana" w:cs="Arial"/>
          <w:i/>
          <w:iCs/>
          <w:szCs w:val="24"/>
          <w:lang w:val="es-ES_tradnl" w:eastAsia="es-ES_tradnl"/>
        </w:rPr>
        <w:t>liquidación</w:t>
      </w:r>
      <w:r w:rsidRPr="001E7CFB">
        <w:rPr>
          <w:rFonts w:ascii="Verdana" w:eastAsia="Times New Roman" w:hAnsi="Verdana" w:cs="Arial"/>
          <w:szCs w:val="24"/>
          <w:lang w:val="es-ES_tradnl" w:eastAsia="es-ES_tradnl"/>
        </w:rPr>
        <w:t xml:space="preserve"> debe incluir el análisis de las condiciones de calidad y oportunidad en la entrega de los bienes, obras o </w:t>
      </w:r>
      <w:r w:rsidRPr="001E7CFB">
        <w:rPr>
          <w:rFonts w:ascii="Verdana" w:eastAsia="Times New Roman" w:hAnsi="Verdana" w:cs="Arial"/>
          <w:szCs w:val="24"/>
          <w:lang w:val="es-ES_tradnl" w:eastAsia="es-ES_tradnl"/>
        </w:rPr>
        <w:lastRenderedPageBreak/>
        <w:t>servicios, así como el balance económico y el comportamiento financiero del negocio</w:t>
      </w:r>
      <w:r w:rsidRPr="001E7CFB">
        <w:rPr>
          <w:rFonts w:ascii="Verdana" w:eastAsia="Times New Roman" w:hAnsi="Verdana" w:cs="Arial"/>
          <w:szCs w:val="24"/>
          <w:vertAlign w:val="superscript"/>
          <w:lang w:val="es-ES_tradnl" w:eastAsia="es-ES_tradnl"/>
        </w:rPr>
        <w:footnoteReference w:id="3"/>
      </w:r>
      <w:r w:rsidRPr="001E7CFB">
        <w:rPr>
          <w:rFonts w:ascii="Verdana" w:eastAsia="Times New Roman" w:hAnsi="Verdana" w:cs="Arial"/>
          <w:szCs w:val="24"/>
          <w:lang w:val="es-ES_tradnl" w:eastAsia="es-ES_tradnl"/>
        </w:rPr>
        <w:t xml:space="preserve">. </w:t>
      </w:r>
    </w:p>
    <w:p w14:paraId="0DE70DC5" w14:textId="77777777" w:rsidR="00E86E4B" w:rsidRPr="001E7CFB" w:rsidRDefault="00E86E4B" w:rsidP="00E86E4B">
      <w:pPr>
        <w:spacing w:after="0" w:line="276" w:lineRule="auto"/>
        <w:ind w:firstLine="709"/>
        <w:jc w:val="both"/>
        <w:rPr>
          <w:rFonts w:ascii="Verdana" w:eastAsia="Calibri" w:hAnsi="Verdana" w:cs="Arial"/>
          <w:lang w:val="es-ES_tradnl"/>
        </w:rPr>
      </w:pPr>
      <w:r w:rsidRPr="001E7CFB">
        <w:rPr>
          <w:rFonts w:ascii="Verdana" w:eastAsia="Calibri" w:hAnsi="Verdana" w:cs="Arial"/>
          <w:i/>
          <w:iCs/>
          <w:lang w:val="es-ES_tradnl"/>
        </w:rPr>
        <w:t>Para las entidades sometidas al EGCAP</w:t>
      </w:r>
      <w:r w:rsidRPr="001E7CFB">
        <w:rPr>
          <w:rFonts w:ascii="Verdana" w:eastAsia="Calibri" w:hAnsi="Verdana" w:cs="Arial"/>
          <w:lang w:val="es-ES_tradnl"/>
        </w:rPr>
        <w:t>, las disposiciones legales que regulan la etapa de liquidación de los contratos estatales son el artículo 60 de la Ley 80 de 1993, modificado por el artículo 217 del Decreto Ley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74080898" w14:textId="77777777" w:rsidR="00E86E4B" w:rsidRPr="001E7CFB" w:rsidRDefault="00E86E4B" w:rsidP="00E86E4B">
      <w:pPr>
        <w:spacing w:after="0" w:line="276" w:lineRule="auto"/>
        <w:ind w:firstLine="708"/>
        <w:jc w:val="both"/>
        <w:rPr>
          <w:rFonts w:ascii="Verdana" w:eastAsia="Calibri" w:hAnsi="Verdana" w:cs="Arial"/>
          <w:lang w:val="es-ES"/>
        </w:rPr>
      </w:pPr>
    </w:p>
    <w:p w14:paraId="733E9ABD" w14:textId="77777777" w:rsidR="00E86E4B" w:rsidRDefault="00E86E4B" w:rsidP="00E86E4B">
      <w:pPr>
        <w:spacing w:after="0" w:line="240" w:lineRule="auto"/>
        <w:ind w:left="709" w:right="758"/>
        <w:jc w:val="both"/>
        <w:rPr>
          <w:rFonts w:ascii="Verdana" w:eastAsia="Calibri" w:hAnsi="Verdana" w:cs="Arial"/>
          <w:sz w:val="20"/>
          <w:szCs w:val="20"/>
          <w:lang w:val="es-MX"/>
        </w:rPr>
      </w:pPr>
      <w:r w:rsidRPr="001E7CFB">
        <w:rPr>
          <w:rFonts w:ascii="Verdana" w:eastAsia="Calibri" w:hAnsi="Verdana" w:cs="Arial"/>
          <w:sz w:val="20"/>
          <w:szCs w:val="20"/>
          <w:lang w:val="es-ES"/>
        </w:rPr>
        <w:t>“</w:t>
      </w:r>
      <w:r w:rsidRPr="001E7CFB">
        <w:rPr>
          <w:rFonts w:ascii="Verdana" w:eastAsia="Calibri" w:hAnsi="Verdana" w:cs="Arial"/>
          <w:sz w:val="20"/>
          <w:szCs w:val="20"/>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1E7CFB">
        <w:rPr>
          <w:rFonts w:ascii="Verdana" w:eastAsia="Calibri" w:hAnsi="Verdana" w:cs="Arial"/>
          <w:sz w:val="20"/>
          <w:szCs w:val="20"/>
          <w:vertAlign w:val="superscript"/>
          <w:lang w:val="es-MX"/>
        </w:rPr>
        <w:footnoteReference w:id="4"/>
      </w:r>
      <w:r w:rsidRPr="001E7CFB">
        <w:rPr>
          <w:rFonts w:ascii="Verdana" w:eastAsia="Calibri" w:hAnsi="Verdana" w:cs="Arial"/>
          <w:sz w:val="20"/>
          <w:szCs w:val="20"/>
          <w:lang w:val="es-MX"/>
        </w:rPr>
        <w:t>.</w:t>
      </w:r>
    </w:p>
    <w:p w14:paraId="43C337AD" w14:textId="77777777" w:rsidR="00E86E4B" w:rsidRPr="001E7CFB" w:rsidRDefault="00E86E4B" w:rsidP="00E86E4B">
      <w:pPr>
        <w:spacing w:after="0" w:line="240" w:lineRule="auto"/>
        <w:ind w:left="709" w:right="758"/>
        <w:jc w:val="both"/>
        <w:rPr>
          <w:rFonts w:ascii="Verdana" w:eastAsia="Calibri" w:hAnsi="Verdana" w:cs="Arial"/>
          <w:sz w:val="20"/>
          <w:szCs w:val="20"/>
          <w:lang w:val="es-MX"/>
        </w:rPr>
      </w:pPr>
    </w:p>
    <w:p w14:paraId="333BBACB" w14:textId="77777777" w:rsidR="00E86E4B" w:rsidRPr="001E7CFB" w:rsidRDefault="00E86E4B" w:rsidP="00E86E4B">
      <w:pPr>
        <w:spacing w:after="120" w:line="276" w:lineRule="auto"/>
        <w:ind w:firstLine="708"/>
        <w:jc w:val="both"/>
        <w:rPr>
          <w:rFonts w:ascii="Verdana" w:eastAsia="Calibri" w:hAnsi="Verdana" w:cs="Arial"/>
          <w:lang w:val="es-ES_tradnl"/>
        </w:rPr>
      </w:pPr>
      <w:r w:rsidRPr="001E7CFB">
        <w:rPr>
          <w:rFonts w:ascii="Verdana" w:eastAsia="Calibri" w:hAnsi="Verdana" w:cs="Arial"/>
          <w:lang w:val="es-ES_tradnl"/>
        </w:rPr>
        <w:t>Así las cosas,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1E7CFB">
        <w:rPr>
          <w:rFonts w:ascii="Verdana" w:eastAsia="Calibri" w:hAnsi="Verdana" w:cs="Arial"/>
          <w:vertAlign w:val="superscript"/>
          <w:lang w:val="es-ES_tradnl"/>
        </w:rPr>
        <w:footnoteReference w:id="5"/>
      </w:r>
      <w:r w:rsidRPr="001E7CFB">
        <w:rPr>
          <w:rFonts w:ascii="Verdana" w:eastAsia="Calibri" w:hAnsi="Verdana" w:cs="Arial"/>
          <w:lang w:val="es-ES_tradnl"/>
        </w:rPr>
        <w:t xml:space="preserve">, así como la probabilidad de que puedan </w:t>
      </w:r>
      <w:r w:rsidRPr="001E7CFB">
        <w:rPr>
          <w:rFonts w:ascii="Verdana" w:eastAsia="Calibri" w:hAnsi="Verdana" w:cs="Arial"/>
          <w:lang w:val="es-ES_tradnl"/>
        </w:rPr>
        <w:lastRenderedPageBreak/>
        <w:t xml:space="preserve">surgir diferencias durante la ejecución del contrato; sin perjuicio de que, como se indicó, todos los contratos estatales de </w:t>
      </w:r>
      <w:r w:rsidRPr="001E7CFB">
        <w:rPr>
          <w:rFonts w:ascii="Verdana" w:eastAsia="Calibri" w:hAnsi="Verdana" w:cs="Arial"/>
          <w:i/>
          <w:iCs/>
          <w:lang w:val="es-ES_tradnl"/>
        </w:rPr>
        <w:t>tracto sucesivo</w:t>
      </w:r>
      <w:r w:rsidRPr="001E7CFB">
        <w:rPr>
          <w:rFonts w:ascii="Verdana" w:eastAsia="Calibri" w:hAnsi="Verdana" w:cs="Arial"/>
          <w:lang w:val="es-ES_tradnl"/>
        </w:rPr>
        <w:t xml:space="preserve"> o aquellos cuya ejecución se prolongue en el tiempo siempre deban liquidarse, convirtiéndose en estos contratos en una cláusula de la naturaleza, conforme a la clasificación prevista en el Código Civil.</w:t>
      </w:r>
    </w:p>
    <w:p w14:paraId="1579DA83" w14:textId="77777777" w:rsidR="00E86E4B" w:rsidRPr="001E7CFB" w:rsidRDefault="00E86E4B" w:rsidP="00E86E4B">
      <w:pPr>
        <w:spacing w:after="120" w:line="276" w:lineRule="auto"/>
        <w:ind w:firstLine="708"/>
        <w:jc w:val="both"/>
        <w:rPr>
          <w:rFonts w:ascii="Verdana" w:eastAsia="Calibri" w:hAnsi="Verdana" w:cs="Arial"/>
          <w:lang w:val="es-ES"/>
        </w:rPr>
      </w:pPr>
      <w:r w:rsidRPr="001E7CFB">
        <w:rPr>
          <w:rFonts w:ascii="Verdana" w:eastAsia="Calibri" w:hAnsi="Verdana" w:cs="Arial"/>
          <w:lang w:val="es-ES"/>
        </w:rPr>
        <w:t>Por su parte, el artículo 11 de la Ley 1150 de 2007 contiene las reglas de tipo procedimental para liquidar los contratos estatales, las cuales se pasan a explicar</w:t>
      </w:r>
      <w:r w:rsidRPr="001E7CFB">
        <w:rPr>
          <w:rFonts w:ascii="Verdana" w:eastAsia="Calibri" w:hAnsi="Verdana" w:cs="Arial"/>
          <w:vertAlign w:val="superscript"/>
          <w:lang w:val="es-ES"/>
        </w:rPr>
        <w:footnoteReference w:id="6"/>
      </w:r>
      <w:r w:rsidRPr="001E7CFB">
        <w:rPr>
          <w:rFonts w:ascii="Verdana" w:eastAsia="Calibri" w:hAnsi="Verdana" w:cs="Arial"/>
          <w:lang w:val="es-ES"/>
        </w:rPr>
        <w:t>.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w:t>
      </w:r>
    </w:p>
    <w:p w14:paraId="7EC0821E" w14:textId="77777777" w:rsidR="00E86E4B" w:rsidRPr="001E7CFB" w:rsidRDefault="00E86E4B" w:rsidP="00E86E4B">
      <w:pPr>
        <w:spacing w:after="120" w:line="276" w:lineRule="auto"/>
        <w:ind w:firstLine="709"/>
        <w:jc w:val="both"/>
        <w:rPr>
          <w:rFonts w:ascii="Verdana" w:eastAsia="Times New Roman" w:hAnsi="Verdana" w:cs="Arial"/>
          <w:lang w:val="es-ES_tradnl" w:eastAsia="es-ES_tradnl"/>
        </w:rPr>
      </w:pPr>
      <w:r w:rsidRPr="001E7CFB">
        <w:rPr>
          <w:rFonts w:ascii="Verdana" w:eastAsia="Times New Roman" w:hAnsi="Verdana" w:cs="Arial"/>
          <w:szCs w:val="24"/>
          <w:lang w:val="es-ES_tradnl" w:eastAsia="es-ES_tradnl"/>
        </w:rPr>
        <w:t>El artículo 11 de la Ley 1150 de 2007 señala que la liquidación de mutuo acuerdo deberá realizar dentro del plazo previsto en “</w:t>
      </w:r>
      <w:r w:rsidRPr="001E7CFB">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1E7CFB">
        <w:rPr>
          <w:rFonts w:ascii="Verdana" w:eastAsia="Times New Roman" w:hAnsi="Verdana" w:cs="Arial"/>
          <w:szCs w:val="24"/>
          <w:lang w:val="es-ES_tradnl" w:eastAsia="es-ES_tradnl"/>
        </w:rPr>
        <w:t xml:space="preserve">materializa los principios de planeación contractual y de trasparencia, comoquiera que su adecuada formulación permite o garantiza la selección objetiva del contratista de acuerdo con los parámetros de calificación correspondientes para cada tipo de </w:t>
      </w:r>
      <w:r w:rsidRPr="001E7CFB">
        <w:rPr>
          <w:rFonts w:ascii="Verdana" w:eastAsia="Times New Roman" w:hAnsi="Verdana" w:cs="Arial"/>
          <w:szCs w:val="24"/>
          <w:lang w:val="es-ES_tradnl" w:eastAsia="es-ES_tradnl"/>
        </w:rPr>
        <w:lastRenderedPageBreak/>
        <w:t>procedimiento [y que</w:t>
      </w:r>
      <w:r w:rsidRPr="001E7CFB">
        <w:rPr>
          <w:rFonts w:ascii="Verdana" w:eastAsia="Times New Roman" w:hAnsi="Verdana" w:cs="Arial"/>
          <w:lang w:val="es-ES_tradnl" w:eastAsia="es-ES_tradnl"/>
        </w:rPr>
        <w:t>] constituye la ley tanto del procedimiento administrativo de selección del contratista, como del contrato a</w:t>
      </w:r>
      <w:r w:rsidRPr="001E7CFB">
        <w:rPr>
          <w:rFonts w:ascii="Verdana" w:eastAsia="Times New Roman" w:hAnsi="Verdana" w:cs="Arial"/>
          <w:spacing w:val="-7"/>
          <w:lang w:val="es-ES_tradnl" w:eastAsia="es-ES_tradnl"/>
        </w:rPr>
        <w:t xml:space="preserve"> </w:t>
      </w:r>
      <w:r w:rsidRPr="001E7CFB">
        <w:rPr>
          <w:rFonts w:ascii="Verdana" w:eastAsia="Times New Roman" w:hAnsi="Verdana" w:cs="Arial"/>
          <w:lang w:val="es-ES_tradnl" w:eastAsia="es-ES_tradnl"/>
        </w:rPr>
        <w:t>celebrar”</w:t>
      </w:r>
      <w:r w:rsidRPr="001E7CFB">
        <w:rPr>
          <w:rFonts w:ascii="Verdana" w:eastAsia="Times New Roman" w:hAnsi="Verdana" w:cs="Arial"/>
          <w:vertAlign w:val="superscript"/>
          <w:lang w:val="es-ES_tradnl" w:eastAsia="es-ES_tradnl"/>
        </w:rPr>
        <w:footnoteReference w:id="7"/>
      </w:r>
      <w:r w:rsidRPr="001E7CFB">
        <w:rPr>
          <w:rFonts w:ascii="Verdana" w:eastAsia="Times New Roman" w:hAnsi="Verdana" w:cs="Arial"/>
          <w:lang w:val="es-ES_tradnl" w:eastAsia="es-ES_tradnl"/>
        </w:rPr>
        <w:t>. A partir de tales características debe determinarse la equivalencia de un documento con un pliego de condiciones, la cual se puede ejemplificar claramente con la invitación a participar en los procesos de mínima cuantía</w:t>
      </w:r>
      <w:r w:rsidRPr="001E7CFB">
        <w:rPr>
          <w:rFonts w:ascii="Verdana" w:eastAsia="Times New Roman" w:hAnsi="Verdana" w:cs="Arial"/>
          <w:vertAlign w:val="superscript"/>
          <w:lang w:val="es-ES_tradnl" w:eastAsia="es-ES_tradnl"/>
        </w:rPr>
        <w:footnoteReference w:id="8"/>
      </w:r>
      <w:r w:rsidRPr="001E7CFB">
        <w:rPr>
          <w:rFonts w:ascii="Verdana" w:eastAsia="Times New Roman" w:hAnsi="Verdana" w:cs="Arial"/>
          <w:lang w:val="es-ES_tradnl" w:eastAsia="es-ES_tradnl"/>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r w:rsidRPr="001E7CFB">
        <w:rPr>
          <w:rFonts w:ascii="Verdana" w:eastAsia="Times New Roman" w:hAnsi="Verdana" w:cs="Arial"/>
          <w:i/>
          <w:iCs/>
          <w:lang w:val="es-ES_tradnl" w:eastAsia="es-ES_tradnl"/>
        </w:rPr>
        <w:t>ibidem</w:t>
      </w:r>
      <w:r w:rsidRPr="001E7CFB">
        <w:rPr>
          <w:rFonts w:ascii="Verdana" w:eastAsia="Times New Roman" w:hAnsi="Verdana" w:cs="Arial"/>
          <w:lang w:val="es-ES_tradnl" w:eastAsia="es-ES_tradnl"/>
        </w:rPr>
        <w:t xml:space="preserve">, dentro del cual es viable establecer el plazo para la liquidación de mutuo acuerdo. </w:t>
      </w:r>
    </w:p>
    <w:p w14:paraId="3A4CB162" w14:textId="77777777" w:rsidR="00E86E4B" w:rsidRPr="001E7CFB" w:rsidRDefault="00E86E4B" w:rsidP="00E86E4B">
      <w:pPr>
        <w:spacing w:after="120" w:line="276" w:lineRule="auto"/>
        <w:ind w:firstLine="709"/>
        <w:jc w:val="both"/>
        <w:rPr>
          <w:rFonts w:ascii="Verdana" w:eastAsia="Times New Roman" w:hAnsi="Verdana" w:cs="Arial"/>
          <w:lang w:val="es-ES_tradnl" w:eastAsia="es-ES_tradnl"/>
        </w:rPr>
      </w:pPr>
      <w:r w:rsidRPr="001E7CFB">
        <w:rPr>
          <w:rFonts w:ascii="Verdana" w:eastAsia="Times New Roman" w:hAnsi="Verdana" w:cs="Arial"/>
          <w:lang w:val="es-ES_tradnl" w:eastAsia="es-ES_tradnl"/>
        </w:rPr>
        <w:t xml:space="preserve">De otra parte, cuando el artículo 11 de la Ley 1150 de 2007 hace referencia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w:t>
      </w:r>
    </w:p>
    <w:p w14:paraId="2B3DD970" w14:textId="77777777" w:rsidR="00E86E4B" w:rsidRPr="001E7CFB" w:rsidRDefault="00E86E4B" w:rsidP="00E86E4B">
      <w:pPr>
        <w:spacing w:after="120" w:line="276" w:lineRule="auto"/>
        <w:ind w:firstLine="709"/>
        <w:jc w:val="both"/>
        <w:rPr>
          <w:rFonts w:ascii="Verdana" w:eastAsia="Times New Roman" w:hAnsi="Verdana" w:cs="Arial"/>
          <w:lang w:val="es-ES_tradnl" w:eastAsia="es-ES_tradnl"/>
        </w:rPr>
      </w:pPr>
      <w:r w:rsidRPr="001E7CFB">
        <w:rPr>
          <w:rFonts w:ascii="Verdana" w:eastAsia="Times New Roman" w:hAnsi="Verdana" w:cs="Arial"/>
          <w:lang w:val="es-ES_tradnl" w:eastAsia="es-ES_tradnl"/>
        </w:rPr>
        <w:t>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escrita requerida en materia de contratación estatal</w:t>
      </w:r>
      <w:r w:rsidRPr="001E7CFB">
        <w:rPr>
          <w:rFonts w:ascii="Verdana" w:eastAsia="Times New Roman" w:hAnsi="Verdana" w:cs="Arial"/>
          <w:vertAlign w:val="superscript"/>
          <w:lang w:val="es-ES_tradnl" w:eastAsia="es-ES_tradnl"/>
        </w:rPr>
        <w:footnoteReference w:id="9"/>
      </w:r>
      <w:r w:rsidRPr="001E7CFB">
        <w:rPr>
          <w:rFonts w:ascii="Verdana" w:eastAsia="Times New Roman" w:hAnsi="Verdana" w:cs="Arial"/>
          <w:lang w:val="es-ES_tradnl" w:eastAsia="es-ES_tradnl"/>
        </w:rPr>
        <w:t xml:space="preserve">. </w:t>
      </w:r>
    </w:p>
    <w:p w14:paraId="7ECB798C" w14:textId="77777777" w:rsidR="00E86E4B" w:rsidRPr="001E7CFB" w:rsidRDefault="00E86E4B" w:rsidP="00E86E4B">
      <w:pPr>
        <w:spacing w:after="120" w:line="276" w:lineRule="auto"/>
        <w:ind w:firstLine="709"/>
        <w:jc w:val="both"/>
        <w:rPr>
          <w:rFonts w:ascii="Verdana" w:eastAsia="Calibri" w:hAnsi="Verdana" w:cs="Arial"/>
          <w:lang w:val="es-ES_tradnl"/>
        </w:rPr>
      </w:pPr>
      <w:r w:rsidRPr="001E7CFB">
        <w:rPr>
          <w:rFonts w:ascii="Verdana" w:eastAsia="Calibri" w:hAnsi="Verdana" w:cs="Arial"/>
          <w:lang w:val="es-ES_tradnl"/>
        </w:rPr>
        <w:lastRenderedPageBreak/>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1E7CFB">
        <w:rPr>
          <w:rFonts w:ascii="Verdana" w:eastAsia="Calibri" w:hAnsi="Verdana" w:cs="Arial"/>
          <w:vertAlign w:val="superscript"/>
          <w:lang w:val="es-ES_tradnl"/>
        </w:rPr>
        <w:footnoteReference w:id="10"/>
      </w:r>
      <w:r w:rsidRPr="001E7CFB">
        <w:rPr>
          <w:rFonts w:ascii="Verdana" w:eastAsia="Calibri" w:hAnsi="Verdana" w:cs="Arial"/>
          <w:lang w:val="es-ES_tradnl"/>
        </w:rPr>
        <w:t>, lo cual implica que las mismas se desarrollen en procura de la economía y la celeridad</w:t>
      </w:r>
      <w:r w:rsidRPr="001E7CFB">
        <w:rPr>
          <w:rFonts w:ascii="Verdana" w:eastAsia="Calibri" w:hAnsi="Verdana" w:cs="Arial"/>
          <w:vertAlign w:val="superscript"/>
          <w:lang w:val="es-ES_tradnl"/>
        </w:rPr>
        <w:footnoteReference w:id="11"/>
      </w:r>
      <w:r w:rsidRPr="001E7CFB">
        <w:rPr>
          <w:rFonts w:ascii="Verdana" w:eastAsia="Calibri" w:hAnsi="Verdana" w:cs="Arial"/>
          <w:lang w:val="es-ES_tradnl"/>
        </w:rPr>
        <w:t>. Esto significa que, en ejercicio de la facultad que les asiste para fijar el plazo para la liquidación bilateral, las partes deben actuar en garantía de estos principios, por lo que el término que se acuerde debe fijarse de manera razonable.</w:t>
      </w:r>
    </w:p>
    <w:p w14:paraId="5F02E439" w14:textId="77777777" w:rsidR="00E86E4B" w:rsidRPr="001E7CFB" w:rsidRDefault="00E86E4B" w:rsidP="00E86E4B">
      <w:pPr>
        <w:spacing w:after="120" w:line="276" w:lineRule="auto"/>
        <w:ind w:firstLine="709"/>
        <w:jc w:val="both"/>
        <w:rPr>
          <w:rFonts w:ascii="Verdana" w:eastAsia="Calibri" w:hAnsi="Verdana" w:cs="Arial"/>
          <w:lang w:val="es-ES_tradnl"/>
        </w:rPr>
      </w:pPr>
      <w:r w:rsidRPr="001E7CFB">
        <w:rPr>
          <w:rFonts w:ascii="Verdana" w:eastAsia="Calibri" w:hAnsi="Verdana" w:cs="Arial"/>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1E7CFB">
        <w:rPr>
          <w:rFonts w:ascii="Verdana" w:eastAsia="Calibri" w:hAnsi="Verdana" w:cs="Arial"/>
          <w:vertAlign w:val="superscript"/>
          <w:lang w:val="es-ES_tradnl"/>
        </w:rPr>
        <w:footnoteReference w:id="12"/>
      </w:r>
      <w:r w:rsidRPr="001E7CFB">
        <w:rPr>
          <w:rFonts w:ascii="Verdana" w:eastAsia="Calibri" w:hAnsi="Verdana" w:cs="Arial"/>
          <w:lang w:val="es-ES_tradn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1E7CFB">
        <w:rPr>
          <w:rFonts w:ascii="Verdana" w:eastAsia="Calibri" w:hAnsi="Verdana" w:cs="Arial"/>
          <w:iCs/>
          <w:vertAlign w:val="superscript"/>
          <w:lang w:val="es-ES_tradnl"/>
        </w:rPr>
        <w:footnoteReference w:id="13"/>
      </w:r>
      <w:r w:rsidRPr="001E7CFB">
        <w:rPr>
          <w:rFonts w:ascii="Verdana" w:eastAsia="Calibri" w:hAnsi="Verdana" w:cs="Arial"/>
          <w:lang w:val="es-ES_tradnl"/>
        </w:rPr>
        <w:t xml:space="preserve">, y </w:t>
      </w:r>
      <w:r w:rsidRPr="001E7CFB">
        <w:rPr>
          <w:rFonts w:ascii="Verdana" w:eastAsia="Calibri" w:hAnsi="Verdana" w:cs="Arial"/>
          <w:iCs/>
          <w:lang w:val="es-ES_tradnl"/>
        </w:rPr>
        <w:t xml:space="preserve">el documento </w:t>
      </w:r>
      <w:r w:rsidRPr="001E7CFB">
        <w:rPr>
          <w:rFonts w:ascii="Verdana" w:eastAsia="Calibri" w:hAnsi="Verdana" w:cs="Arial"/>
          <w:iCs/>
          <w:lang w:val="es-ES_tradnl"/>
        </w:rPr>
        <w:lastRenderedPageBreak/>
        <w:t>que la contiene presta mérito ejecutivo, siempre que se satisfagan los elementos para considerarlo como tal</w:t>
      </w:r>
      <w:r w:rsidRPr="001E7CFB">
        <w:rPr>
          <w:rFonts w:ascii="Verdana" w:eastAsia="Calibri" w:hAnsi="Verdana" w:cs="Arial"/>
          <w:lang w:val="es-ES_tradnl"/>
        </w:rPr>
        <w:t>.</w:t>
      </w:r>
    </w:p>
    <w:p w14:paraId="0CFA3BFF" w14:textId="77777777" w:rsidR="00E86E4B" w:rsidRPr="001E7CFB" w:rsidRDefault="00E86E4B" w:rsidP="00E86E4B">
      <w:pPr>
        <w:spacing w:after="0" w:line="276" w:lineRule="auto"/>
        <w:ind w:firstLine="705"/>
        <w:jc w:val="both"/>
        <w:rPr>
          <w:rFonts w:ascii="Verdana" w:eastAsia="Times New Roman" w:hAnsi="Verdana" w:cs="Arial"/>
          <w:lang w:eastAsia="es-ES_tradnl"/>
        </w:rPr>
      </w:pPr>
      <w:r w:rsidRPr="001E7CFB">
        <w:rPr>
          <w:rFonts w:ascii="Verdana" w:eastAsia="Times New Roman" w:hAnsi="Verdana" w:cs="Arial"/>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1E7CFB">
        <w:rPr>
          <w:rFonts w:ascii="Verdana" w:eastAsia="Times New Roman" w:hAnsi="Verdana" w:cs="Arial"/>
          <w:bdr w:val="none" w:sz="0" w:space="0" w:color="auto" w:frame="1"/>
          <w:shd w:val="clear" w:color="auto" w:fill="FFFFFF"/>
          <w:lang w:val="es-MX" w:eastAsia="es-ES_tradnl"/>
        </w:rPr>
        <w:t xml:space="preserve">Sala de Consulta y Servicio Civil del </w:t>
      </w:r>
      <w:r w:rsidRPr="001E7CFB">
        <w:rPr>
          <w:rFonts w:ascii="Verdana" w:eastAsia="Times New Roman" w:hAnsi="Verdana" w:cs="Arial"/>
          <w:bdr w:val="none" w:sz="0" w:space="0" w:color="auto" w:frame="1"/>
          <w:shd w:val="clear" w:color="auto" w:fill="FFFFFF"/>
          <w:lang w:val="es-ES" w:eastAsia="es-ES_tradnl"/>
        </w:rPr>
        <w:t>Consejo de Estado</w:t>
      </w:r>
      <w:r w:rsidRPr="001E7CFB">
        <w:rPr>
          <w:rFonts w:ascii="Verdana" w:eastAsia="Times New Roman" w:hAnsi="Verdana" w:cs="Arial"/>
          <w:bdr w:val="none" w:sz="0" w:space="0" w:color="auto" w:frame="1"/>
          <w:shd w:val="clear" w:color="auto" w:fill="FFFFFF"/>
          <w:lang w:val="es-MX" w:eastAsia="es-ES_tradnl"/>
        </w:rPr>
        <w:t>, en concepto del 28 de junio de 2016, manifestó que:  </w:t>
      </w:r>
    </w:p>
    <w:p w14:paraId="76DC5E94" w14:textId="77777777" w:rsidR="00E86E4B" w:rsidRPr="001E7CFB" w:rsidRDefault="00E86E4B" w:rsidP="00E86E4B">
      <w:pPr>
        <w:spacing w:after="0" w:line="276" w:lineRule="auto"/>
        <w:ind w:left="705" w:right="750"/>
        <w:jc w:val="both"/>
        <w:rPr>
          <w:rFonts w:ascii="Verdana" w:eastAsia="Times New Roman" w:hAnsi="Verdana" w:cs="Arial"/>
          <w:lang w:eastAsia="es-ES_tradnl"/>
        </w:rPr>
      </w:pPr>
    </w:p>
    <w:p w14:paraId="7F2555C3" w14:textId="77777777" w:rsidR="00E86E4B" w:rsidRPr="001E7CFB" w:rsidRDefault="00E86E4B" w:rsidP="00E86E4B">
      <w:pPr>
        <w:spacing w:after="0" w:line="240" w:lineRule="auto"/>
        <w:ind w:left="705" w:right="750"/>
        <w:jc w:val="both"/>
        <w:rPr>
          <w:rFonts w:ascii="Verdana" w:eastAsia="Times New Roman" w:hAnsi="Verdana" w:cs="Arial"/>
          <w:sz w:val="20"/>
          <w:szCs w:val="20"/>
          <w:lang w:eastAsia="es-ES_tradnl"/>
        </w:rPr>
      </w:pPr>
      <w:r w:rsidRPr="001E7CFB">
        <w:rPr>
          <w:rFonts w:ascii="Verdana" w:eastAsia="Times New Roman" w:hAnsi="Verdana" w:cs="Arial"/>
          <w:i/>
          <w:iCs/>
          <w:sz w:val="20"/>
          <w:szCs w:val="20"/>
          <w:lang w:val="es-ES_tradnl" w:eastAsia="es-ES_tradnl"/>
        </w:rPr>
        <w:t>“</w:t>
      </w:r>
      <w:r w:rsidRPr="001E7CFB">
        <w:rPr>
          <w:rFonts w:ascii="Verdana" w:eastAsia="Calibri" w:hAnsi="Verdana" w:cs="Arial"/>
          <w:sz w:val="20"/>
          <w:szCs w:val="20"/>
          <w:lang w:val="es-ES" w:eastAsia="es-ES_tradnl"/>
        </w:rPr>
        <w:t>[</w:t>
      </w:r>
      <w:r w:rsidRPr="001E7CFB">
        <w:rPr>
          <w:rFonts w:ascii="Verdana" w:eastAsia="Times New Roman" w:hAnsi="Verdana" w:cs="Arial"/>
          <w:sz w:val="20"/>
          <w:szCs w:val="20"/>
          <w:bdr w:val="none" w:sz="0" w:space="0" w:color="auto" w:frame="1"/>
          <w:shd w:val="clear" w:color="auto" w:fill="FFFFFF"/>
          <w:lang w:eastAsia="es-ES_tradnl"/>
        </w:rPr>
        <w:t xml:space="preserve">…] </w:t>
      </w:r>
      <w:r w:rsidRPr="001E7CFB">
        <w:rPr>
          <w:rFonts w:ascii="Verdana" w:eastAsia="Times New Roman" w:hAnsi="Verdana" w:cs="Arial"/>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1E7CFB">
        <w:rPr>
          <w:rFonts w:ascii="Verdana" w:eastAsia="Times New Roman" w:hAnsi="Verdana" w:cs="Arial"/>
          <w:sz w:val="20"/>
          <w:szCs w:val="20"/>
          <w:bdr w:val="none" w:sz="0" w:space="0" w:color="auto" w:frame="1"/>
          <w:shd w:val="clear" w:color="auto" w:fill="FFFFFF"/>
          <w:vertAlign w:val="superscript"/>
          <w:lang w:val="es-MX" w:eastAsia="es-ES_tradnl"/>
        </w:rPr>
        <w:footnoteReference w:id="14"/>
      </w:r>
      <w:r w:rsidRPr="001E7CFB">
        <w:rPr>
          <w:rFonts w:ascii="Verdana" w:eastAsia="Times New Roman" w:hAnsi="Verdana" w:cs="Arial"/>
          <w:sz w:val="20"/>
          <w:szCs w:val="20"/>
          <w:bdr w:val="none" w:sz="0" w:space="0" w:color="auto" w:frame="1"/>
          <w:shd w:val="clear" w:color="auto" w:fill="FFFFFF"/>
          <w:lang w:val="es-ES" w:eastAsia="es-ES_tradnl"/>
        </w:rPr>
        <w:t>. </w:t>
      </w:r>
      <w:r w:rsidRPr="001E7CFB">
        <w:rPr>
          <w:rFonts w:ascii="Verdana" w:eastAsia="Times New Roman" w:hAnsi="Verdana" w:cs="Arial"/>
          <w:sz w:val="20"/>
          <w:szCs w:val="20"/>
          <w:bdr w:val="none" w:sz="0" w:space="0" w:color="auto" w:frame="1"/>
          <w:shd w:val="clear" w:color="auto" w:fill="FFFFFF"/>
          <w:lang w:eastAsia="es-ES_tradnl"/>
        </w:rPr>
        <w:t>  </w:t>
      </w:r>
    </w:p>
    <w:p w14:paraId="56581FBC" w14:textId="77777777" w:rsidR="00E86E4B" w:rsidRPr="001E7CFB" w:rsidRDefault="00E86E4B" w:rsidP="00E86E4B">
      <w:pPr>
        <w:spacing w:after="0" w:line="276" w:lineRule="auto"/>
        <w:ind w:left="705" w:right="750"/>
        <w:jc w:val="both"/>
        <w:rPr>
          <w:rFonts w:ascii="Verdana" w:eastAsia="Times New Roman" w:hAnsi="Verdana" w:cs="Arial"/>
          <w:lang w:eastAsia="es-ES_tradnl"/>
        </w:rPr>
      </w:pPr>
    </w:p>
    <w:p w14:paraId="0DC65FEB" w14:textId="77777777" w:rsidR="00E86E4B" w:rsidRPr="001E7CFB" w:rsidRDefault="00E86E4B" w:rsidP="00E86E4B">
      <w:pPr>
        <w:spacing w:after="120" w:line="276" w:lineRule="auto"/>
        <w:ind w:firstLine="705"/>
        <w:jc w:val="both"/>
        <w:rPr>
          <w:rFonts w:ascii="Verdana" w:eastAsia="Times New Roman" w:hAnsi="Verdana" w:cs="Arial"/>
          <w:lang w:eastAsia="es-ES_tradnl"/>
        </w:rPr>
      </w:pPr>
      <w:bookmarkStart w:id="10" w:name="_Hlk141851266"/>
      <w:r w:rsidRPr="001E7CFB">
        <w:rPr>
          <w:rFonts w:ascii="Verdana" w:eastAsia="Times New Roman" w:hAnsi="Verdana" w:cs="Arial"/>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0E5A6E13" w14:textId="77777777" w:rsidR="00E86E4B" w:rsidRPr="001E7CFB" w:rsidRDefault="00E86E4B" w:rsidP="00E86E4B">
      <w:pPr>
        <w:spacing w:after="0" w:line="276" w:lineRule="auto"/>
        <w:ind w:firstLine="705"/>
        <w:jc w:val="both"/>
        <w:rPr>
          <w:rFonts w:ascii="Verdana" w:eastAsia="Times New Roman" w:hAnsi="Verdana" w:cs="Arial"/>
          <w:bdr w:val="none" w:sz="0" w:space="0" w:color="auto" w:frame="1"/>
          <w:shd w:val="clear" w:color="auto" w:fill="FFFFFF"/>
          <w:lang w:eastAsia="es-ES_tradnl"/>
        </w:rPr>
      </w:pPr>
      <w:r w:rsidRPr="001E7CFB">
        <w:rPr>
          <w:rFonts w:ascii="Verdana" w:eastAsia="Times New Roman" w:hAnsi="Verdana" w:cs="Arial"/>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10"/>
      <w:r w:rsidRPr="001E7CFB">
        <w:rPr>
          <w:rFonts w:ascii="Verdana" w:eastAsia="Times New Roman" w:hAnsi="Verdana" w:cs="Arial"/>
          <w:bdr w:val="none" w:sz="0" w:space="0" w:color="auto" w:frame="1"/>
          <w:shd w:val="clear" w:color="auto" w:fill="FFFFFF"/>
          <w:lang w:val="es-ES" w:eastAsia="es-ES_tradnl"/>
        </w:rPr>
        <w:t xml:space="preserve">En este sentido, en decisión de unificación de la </w:t>
      </w:r>
      <w:r w:rsidRPr="001E7CFB">
        <w:rPr>
          <w:rFonts w:ascii="Verdana" w:eastAsia="Times New Roman" w:hAnsi="Verdana" w:cs="Arial"/>
          <w:bdr w:val="none" w:sz="0" w:space="0" w:color="auto" w:frame="1"/>
          <w:shd w:val="clear" w:color="auto" w:fill="FFFFFF"/>
          <w:lang w:val="es-MX" w:eastAsia="es-ES_tradnl"/>
        </w:rPr>
        <w:t>Sección Tercera</w:t>
      </w:r>
      <w:r w:rsidRPr="001E7CFB">
        <w:rPr>
          <w:rFonts w:ascii="Verdana" w:eastAsia="Times New Roman" w:hAnsi="Verdana" w:cs="Arial"/>
          <w:bdr w:val="none" w:sz="0" w:space="0" w:color="auto" w:frame="1"/>
          <w:shd w:val="clear" w:color="auto" w:fill="FFFFFF"/>
          <w:lang w:val="es-ES" w:eastAsia="es-ES_tradnl"/>
        </w:rPr>
        <w:t xml:space="preserve"> del Consejo de Estado del</w:t>
      </w:r>
      <w:r w:rsidRPr="001E7CFB">
        <w:rPr>
          <w:rFonts w:ascii="Verdana" w:eastAsia="Times New Roman" w:hAnsi="Verdana" w:cs="Arial"/>
          <w:bdr w:val="none" w:sz="0" w:space="0" w:color="auto" w:frame="1"/>
          <w:shd w:val="clear" w:color="auto" w:fill="FFFFFF"/>
          <w:lang w:val="es-MX" w:eastAsia="es-ES_tradnl"/>
        </w:rPr>
        <w:t> </w:t>
      </w:r>
      <w:r w:rsidRPr="001E7CFB">
        <w:rPr>
          <w:rFonts w:ascii="Verdana" w:eastAsia="Times New Roman" w:hAnsi="Verdana" w:cs="Arial"/>
          <w:bdr w:val="none" w:sz="0" w:space="0" w:color="auto" w:frame="1"/>
          <w:shd w:val="clear" w:color="auto" w:fill="FFFFFF"/>
          <w:lang w:eastAsia="es-ES_tradnl"/>
        </w:rPr>
        <w:t>1 de agosto de 2019, se expresó: </w:t>
      </w:r>
    </w:p>
    <w:p w14:paraId="3E3D8F1E" w14:textId="77777777" w:rsidR="00E86E4B" w:rsidRPr="001E7CFB" w:rsidRDefault="00E86E4B" w:rsidP="00E86E4B">
      <w:pPr>
        <w:spacing w:after="0" w:line="276" w:lineRule="auto"/>
        <w:ind w:firstLine="705"/>
        <w:jc w:val="both"/>
        <w:rPr>
          <w:rFonts w:ascii="Verdana" w:eastAsia="Times New Roman" w:hAnsi="Verdana" w:cs="Arial"/>
          <w:lang w:eastAsia="es-ES_tradnl"/>
        </w:rPr>
      </w:pPr>
    </w:p>
    <w:p w14:paraId="5AA83EEC" w14:textId="77777777" w:rsidR="00E86E4B" w:rsidRPr="001E7CFB" w:rsidRDefault="00E86E4B" w:rsidP="00E86E4B">
      <w:pPr>
        <w:spacing w:after="0" w:line="240" w:lineRule="auto"/>
        <w:ind w:left="705" w:right="750"/>
        <w:jc w:val="both"/>
        <w:rPr>
          <w:rFonts w:ascii="Verdana" w:eastAsia="Times New Roman" w:hAnsi="Verdana" w:cs="Arial"/>
          <w:sz w:val="20"/>
          <w:szCs w:val="20"/>
          <w:lang w:eastAsia="es-ES_tradnl"/>
        </w:rPr>
      </w:pPr>
      <w:r w:rsidRPr="001E7CFB">
        <w:rPr>
          <w:rFonts w:ascii="Verdana" w:eastAsia="Times New Roman" w:hAnsi="Verdana" w:cs="Arial"/>
          <w:sz w:val="20"/>
          <w:szCs w:val="20"/>
          <w:lang w:val="es-ES_tradnl" w:eastAsia="es-ES_tradnl"/>
        </w:rPr>
        <w:lastRenderedPageBreak/>
        <w:t>“</w:t>
      </w:r>
      <w:r w:rsidRPr="001E7CFB">
        <w:rPr>
          <w:rFonts w:ascii="Verdana" w:eastAsia="Times New Roman" w:hAnsi="Verdana" w:cs="Arial"/>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liquidatario se logre dentro del lapso de dos años contados a partir del vencimiento del término legalmente conocido para la liquidación unilateral, pues ese es el lapso que el ordenamiento ha fijado para el ejercicio oportuno de la acción</w:t>
      </w:r>
      <w:r w:rsidRPr="001E7CFB">
        <w:rPr>
          <w:rFonts w:ascii="Verdana" w:eastAsia="Times New Roman" w:hAnsi="Verdana" w:cs="Arial"/>
          <w:sz w:val="20"/>
          <w:szCs w:val="20"/>
          <w:lang w:val="es-ES_tradnl" w:eastAsia="es-ES_tradnl"/>
        </w:rPr>
        <w:t>”</w:t>
      </w:r>
      <w:r w:rsidRPr="001E7CFB">
        <w:rPr>
          <w:rFonts w:ascii="Verdana" w:eastAsia="Times New Roman" w:hAnsi="Verdana" w:cs="Arial"/>
          <w:sz w:val="20"/>
          <w:szCs w:val="20"/>
          <w:bdr w:val="none" w:sz="0" w:space="0" w:color="auto" w:frame="1"/>
          <w:shd w:val="clear" w:color="auto" w:fill="FFFFFF"/>
          <w:vertAlign w:val="superscript"/>
          <w:lang w:eastAsia="es-ES_tradnl"/>
        </w:rPr>
        <w:t xml:space="preserve"> </w:t>
      </w:r>
      <w:r w:rsidRPr="001E7CFB">
        <w:rPr>
          <w:rFonts w:ascii="Verdana" w:eastAsia="Times New Roman" w:hAnsi="Verdana" w:cs="Arial"/>
          <w:sz w:val="20"/>
          <w:szCs w:val="20"/>
          <w:bdr w:val="none" w:sz="0" w:space="0" w:color="auto" w:frame="1"/>
          <w:shd w:val="clear" w:color="auto" w:fill="FFFFFF"/>
          <w:vertAlign w:val="superscript"/>
          <w:lang w:eastAsia="es-ES_tradnl"/>
        </w:rPr>
        <w:footnoteReference w:id="15"/>
      </w:r>
      <w:r w:rsidRPr="001E7CFB">
        <w:rPr>
          <w:rFonts w:ascii="Verdana" w:eastAsia="Times New Roman" w:hAnsi="Verdana" w:cs="Arial"/>
          <w:sz w:val="20"/>
          <w:szCs w:val="20"/>
          <w:lang w:val="es-ES_tradnl" w:eastAsia="es-ES_tradnl"/>
        </w:rPr>
        <w:t>.</w:t>
      </w:r>
      <w:r w:rsidRPr="001E7CFB">
        <w:rPr>
          <w:rFonts w:ascii="Verdana" w:eastAsia="Times New Roman" w:hAnsi="Verdana" w:cs="Arial"/>
          <w:sz w:val="20"/>
          <w:szCs w:val="20"/>
          <w:bdr w:val="none" w:sz="0" w:space="0" w:color="auto" w:frame="1"/>
          <w:shd w:val="clear" w:color="auto" w:fill="FFFFFF"/>
          <w:lang w:val="es-ES" w:eastAsia="es-ES_tradnl"/>
        </w:rPr>
        <w:t> </w:t>
      </w:r>
    </w:p>
    <w:p w14:paraId="0382D973" w14:textId="77777777" w:rsidR="00E86E4B" w:rsidRPr="001E7CFB" w:rsidRDefault="00E86E4B" w:rsidP="00E86E4B">
      <w:pPr>
        <w:spacing w:after="0" w:line="276" w:lineRule="auto"/>
        <w:ind w:firstLine="708"/>
        <w:jc w:val="both"/>
        <w:rPr>
          <w:rFonts w:ascii="Verdana" w:eastAsia="Times New Roman" w:hAnsi="Verdana" w:cs="Arial"/>
          <w:lang w:eastAsia="es-ES_tradnl"/>
        </w:rPr>
      </w:pPr>
    </w:p>
    <w:p w14:paraId="4DDCD1F7" w14:textId="77777777" w:rsidR="00E86E4B" w:rsidRPr="001E7CFB" w:rsidRDefault="00E86E4B" w:rsidP="00E86E4B">
      <w:pPr>
        <w:tabs>
          <w:tab w:val="left" w:pos="709"/>
        </w:tabs>
        <w:spacing w:after="120" w:line="276" w:lineRule="auto"/>
        <w:jc w:val="both"/>
        <w:rPr>
          <w:rFonts w:ascii="Verdana" w:eastAsia="Times New Roman" w:hAnsi="Verdana" w:cs="Arial"/>
          <w:bdr w:val="none" w:sz="0" w:space="0" w:color="auto" w:frame="1"/>
          <w:shd w:val="clear" w:color="auto" w:fill="FFFFFF"/>
          <w:lang w:eastAsia="es-ES_tradnl"/>
        </w:rPr>
      </w:pPr>
      <w:r w:rsidRPr="001E7CFB">
        <w:rPr>
          <w:rFonts w:ascii="Verdana" w:eastAsia="Times New Roman" w:hAnsi="Verdana" w:cs="Arial"/>
          <w:bdr w:val="none" w:sz="0" w:space="0" w:color="auto" w:frame="1"/>
          <w:shd w:val="clear" w:color="auto" w:fill="FFFFFF"/>
          <w:lang w:eastAsia="es-ES_tradnl"/>
        </w:rPr>
        <w:tab/>
        <w:t xml:space="preserve">A su turno, la liquidación judicial hace parte de una de las pretensiones que admite el medio de control de controversias contractuales. Al respecto, el artículo 141 de la Ley 1437 de 2011 dispone que “[…] el interesado podrá </w:t>
      </w:r>
      <w:bookmarkStart w:id="11" w:name="_Hlk172560769"/>
      <w:r w:rsidRPr="001E7CFB">
        <w:rPr>
          <w:rFonts w:ascii="Verdana" w:eastAsia="Times New Roman" w:hAnsi="Verdana" w:cs="Arial"/>
          <w:bdr w:val="none" w:sz="0" w:space="0" w:color="auto" w:frame="1"/>
          <w:shd w:val="clear" w:color="auto" w:fill="FFFFFF"/>
          <w:lang w:eastAsia="es-ES_tradnl"/>
        </w:rPr>
        <w:t>solicitar la liquidación judicial</w:t>
      </w:r>
      <w:bookmarkEnd w:id="11"/>
      <w:r w:rsidRPr="001E7CFB">
        <w:rPr>
          <w:rFonts w:ascii="Verdana" w:eastAsia="Times New Roman" w:hAnsi="Verdana" w:cs="Arial"/>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2B6FCB9F" w14:textId="77777777" w:rsidR="00E86E4B" w:rsidRPr="001E7CFB" w:rsidRDefault="00E86E4B" w:rsidP="00E86E4B">
      <w:pPr>
        <w:tabs>
          <w:tab w:val="left" w:pos="709"/>
        </w:tabs>
        <w:spacing w:after="120" w:line="276" w:lineRule="auto"/>
        <w:jc w:val="both"/>
        <w:rPr>
          <w:rFonts w:ascii="Verdana" w:eastAsia="Times New Roman" w:hAnsi="Verdana" w:cs="Arial"/>
          <w:bdr w:val="none" w:sz="0" w:space="0" w:color="auto" w:frame="1"/>
          <w:shd w:val="clear" w:color="auto" w:fill="FFFFFF"/>
          <w:lang w:val="es-ES" w:eastAsia="es-ES"/>
        </w:rPr>
      </w:pPr>
      <w:r w:rsidRPr="001E7CFB">
        <w:rPr>
          <w:rFonts w:ascii="Verdana" w:eastAsia="Times New Roman" w:hAnsi="Verdana" w:cs="Arial"/>
          <w:bdr w:val="none" w:sz="0" w:space="0" w:color="auto" w:frame="1"/>
          <w:shd w:val="clear" w:color="auto" w:fill="FFFFFF"/>
          <w:lang w:eastAsia="es-ES_tradnl"/>
        </w:rPr>
        <w:tab/>
      </w:r>
      <w:r w:rsidRPr="001E7CFB">
        <w:rPr>
          <w:rFonts w:ascii="Verdana" w:eastAsia="Times New Roman" w:hAnsi="Verdana" w:cs="Arial"/>
          <w:bdr w:val="none" w:sz="0" w:space="0" w:color="auto" w:frame="1"/>
          <w:shd w:val="clear" w:color="auto" w:fill="FFFFFF"/>
          <w:lang w:val="es-ES" w:eastAsia="es-ES"/>
        </w:rPr>
        <w:t>En suma,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r w:rsidRPr="001E7CFB">
        <w:rPr>
          <w:rFonts w:ascii="Verdana" w:eastAsia="Times New Roman" w:hAnsi="Verdana" w:cs="Arial"/>
          <w:bdr w:val="none" w:sz="0" w:space="0" w:color="auto" w:frame="1"/>
          <w:shd w:val="clear" w:color="auto" w:fill="FFFFFF"/>
          <w:lang w:eastAsia="es-ES_tradnl"/>
        </w:rPr>
        <w:tab/>
      </w:r>
      <w:r w:rsidRPr="001E7CFB">
        <w:rPr>
          <w:rFonts w:ascii="Verdana" w:eastAsia="Calibri" w:hAnsi="Verdana" w:cs="Arial"/>
          <w:lang w:val="es-ES_tradnl"/>
        </w:rPr>
        <w:t xml:space="preserve"> </w:t>
      </w:r>
    </w:p>
    <w:p w14:paraId="7AE352E6" w14:textId="77777777" w:rsidR="00E86E4B" w:rsidRPr="001E7CFB" w:rsidRDefault="00E86E4B" w:rsidP="00E86E4B">
      <w:pPr>
        <w:spacing w:after="120" w:line="276" w:lineRule="auto"/>
        <w:jc w:val="both"/>
        <w:rPr>
          <w:rFonts w:ascii="Verdana" w:eastAsia="Times New Roman" w:hAnsi="Verdana" w:cs="Arial"/>
          <w:bCs/>
          <w:iCs/>
          <w:lang w:val="es-ES"/>
        </w:rPr>
      </w:pPr>
      <w:r w:rsidRPr="001E7CFB">
        <w:rPr>
          <w:rFonts w:ascii="Verdana" w:eastAsia="Calibri" w:hAnsi="Verdana" w:cs="Arial"/>
          <w:lang w:val="es-ES"/>
        </w:rPr>
        <w:t>ii.</w:t>
      </w:r>
      <w:r w:rsidRPr="001E7CFB">
        <w:rPr>
          <w:rFonts w:ascii="Verdana" w:eastAsia="Times New Roman" w:hAnsi="Verdana" w:cs="Arial"/>
          <w:iCs/>
          <w:lang w:val="es-ES" w:eastAsia="es-ES_tradnl"/>
        </w:rPr>
        <w:t xml:space="preserve"> E</w:t>
      </w:r>
      <w:r w:rsidRPr="001E7CFB">
        <w:rPr>
          <w:rFonts w:ascii="Verdana" w:eastAsia="Times New Roman" w:hAnsi="Verdana" w:cs="Arial"/>
          <w:iCs/>
          <w:lang w:val="es-ES"/>
        </w:rPr>
        <w:t xml:space="preserve">l artículo 86 de la Ley 1474 de 2011 establece las reglas del procedimiento mediante las cuales se materializan los derechos y garantías derivadas del </w:t>
      </w:r>
      <w:r w:rsidRPr="001E7CFB">
        <w:rPr>
          <w:rFonts w:ascii="Verdana" w:eastAsia="Times New Roman" w:hAnsi="Verdana" w:cs="Arial"/>
          <w:iCs/>
          <w:lang w:val="es-ES"/>
        </w:rPr>
        <w:lastRenderedPageBreak/>
        <w:t>debido proceso, para su aplicación concreta en materia sancionatoria contractual. De conformidad con esta disposición, las entidades sometidas al EGCAP observarán este procedimiento para la declaratoria unilateral del incumplimiento, para hacer efectiva la cláusula penal o las multas pactadas y la declaratoria de caducidad como potestad exorbitante</w:t>
      </w:r>
      <w:r w:rsidRPr="001E7CFB">
        <w:rPr>
          <w:rFonts w:ascii="Verdana" w:eastAsia="Calibri" w:hAnsi="Verdana" w:cs="Arial"/>
          <w:iCs/>
          <w:lang w:val="es-MX"/>
        </w:rPr>
        <w:t xml:space="preserve"> que se funda en </w:t>
      </w:r>
      <w:r w:rsidRPr="001E7CFB">
        <w:rPr>
          <w:rFonts w:ascii="Verdana" w:eastAsia="Times New Roman" w:hAnsi="Verdana" w:cs="Arial"/>
          <w:iCs/>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1E7CFB">
        <w:rPr>
          <w:rFonts w:ascii="Verdana" w:eastAsia="Times New Roman" w:hAnsi="Verdana" w:cs="Arial"/>
          <w:iCs/>
          <w:vertAlign w:val="superscript"/>
          <w:lang w:val="es-MX"/>
        </w:rPr>
        <w:footnoteReference w:id="16"/>
      </w:r>
      <w:r w:rsidRPr="001E7CFB">
        <w:rPr>
          <w:rFonts w:ascii="Verdana" w:eastAsia="Times New Roman" w:hAnsi="Verdana" w:cs="Arial"/>
          <w:iCs/>
          <w:lang w:val="es-MX"/>
        </w:rPr>
        <w:t xml:space="preserve">. </w:t>
      </w:r>
    </w:p>
    <w:p w14:paraId="7DF02DF9" w14:textId="77777777" w:rsidR="00E86E4B" w:rsidRPr="001E7CFB" w:rsidRDefault="00E86E4B" w:rsidP="00E86E4B">
      <w:pPr>
        <w:spacing w:after="0" w:line="276" w:lineRule="auto"/>
        <w:ind w:firstLine="709"/>
        <w:jc w:val="both"/>
        <w:rPr>
          <w:rFonts w:ascii="Verdana" w:eastAsia="Calibri" w:hAnsi="Verdana" w:cs="Arial"/>
          <w:lang w:val="es-ES"/>
        </w:rPr>
      </w:pPr>
      <w:r w:rsidRPr="001E7CFB">
        <w:rPr>
          <w:rFonts w:ascii="Verdana" w:eastAsia="Times New Roman" w:hAnsi="Verdana" w:cs="Arial"/>
          <w:iCs/>
          <w:lang w:val="es-ES"/>
        </w:rPr>
        <w:t>Como precisión previa, vale la pena aclarar que e</w:t>
      </w:r>
      <w:r w:rsidRPr="001E7CFB">
        <w:rPr>
          <w:rFonts w:ascii="Verdana" w:eastAsia="Calibri" w:hAnsi="Verdana" w:cs="Arial"/>
          <w:lang w:val="es-ES"/>
        </w:rPr>
        <w:t>l artículo 86 de la Ley 1474 de 2011 regula un procedimiento administrativo sancionatorio dirigido a sujetos específicos: las entidades sometidas al Estatuto General de Contratación de la Administración Pública</w:t>
      </w:r>
      <w:r w:rsidRPr="001E7CFB">
        <w:rPr>
          <w:rFonts w:ascii="Verdana" w:eastAsia="Calibri" w:hAnsi="Verdana" w:cs="Arial"/>
          <w:vertAlign w:val="superscript"/>
          <w:lang w:val="es-ES"/>
        </w:rPr>
        <w:footnoteReference w:id="17"/>
      </w:r>
      <w:r w:rsidRPr="001E7CFB">
        <w:rPr>
          <w:rFonts w:ascii="Verdana" w:eastAsia="Calibri" w:hAnsi="Verdana" w:cs="Arial"/>
          <w:lang w:val="es-ES"/>
        </w:rPr>
        <w:t xml:space="preserve">. De ahí que las entidades de </w:t>
      </w:r>
      <w:r w:rsidRPr="001E7CFB">
        <w:rPr>
          <w:rFonts w:ascii="Verdana" w:eastAsia="Calibri" w:hAnsi="Verdana" w:cs="Arial"/>
          <w:i/>
          <w:iCs/>
          <w:lang w:val="es-ES"/>
        </w:rPr>
        <w:t>régimen especial</w:t>
      </w:r>
      <w:r w:rsidRPr="001E7CFB">
        <w:rPr>
          <w:rFonts w:ascii="Verdana" w:eastAsia="Calibri" w:hAnsi="Verdana" w:cs="Arial"/>
          <w:i/>
          <w:iCs/>
          <w:vertAlign w:val="superscript"/>
          <w:lang w:val="es-ES"/>
        </w:rPr>
        <w:footnoteReference w:id="18"/>
      </w:r>
      <w:r w:rsidRPr="001E7CFB">
        <w:rPr>
          <w:rFonts w:ascii="Verdana" w:eastAsia="Calibri" w:hAnsi="Verdana" w:cs="Arial"/>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0220A35F" w14:textId="77777777" w:rsidR="00E86E4B" w:rsidRPr="001E7CFB" w:rsidRDefault="00E86E4B" w:rsidP="00E86E4B">
      <w:pPr>
        <w:spacing w:after="0" w:line="276" w:lineRule="auto"/>
        <w:ind w:firstLine="709"/>
        <w:jc w:val="both"/>
        <w:rPr>
          <w:rFonts w:ascii="Verdana" w:eastAsia="Calibri" w:hAnsi="Verdana" w:cs="Arial"/>
          <w:lang w:val="es-ES"/>
        </w:rPr>
      </w:pPr>
    </w:p>
    <w:p w14:paraId="39281501"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bookmarkStart w:id="12" w:name="86"/>
      <w:r w:rsidRPr="001E7CFB">
        <w:rPr>
          <w:rFonts w:ascii="Verdana" w:hAnsi="Verdana" w:cs="Arial"/>
          <w:iCs/>
          <w:sz w:val="20"/>
          <w:szCs w:val="20"/>
          <w:lang w:val="es-ES"/>
        </w:rPr>
        <w:t>“Artículo 86. Imposición de multas, sanciones y declaratorias de incumplimiento.</w:t>
      </w:r>
      <w:bookmarkEnd w:id="12"/>
      <w:r w:rsidRPr="001E7CFB">
        <w:rPr>
          <w:rFonts w:ascii="Verdana" w:hAnsi="Verdana" w:cs="Arial"/>
          <w:iCs/>
          <w:sz w:val="20"/>
          <w:szCs w:val="20"/>
          <w:lang w:val="es-ES"/>
        </w:rPr>
        <w:t xml:space="preserve"> Las entidades sometidas al Estatuto General de Contratación de la Administración Pública podrán declarar el </w:t>
      </w:r>
      <w:r w:rsidRPr="001E7CFB">
        <w:rPr>
          <w:rFonts w:ascii="Verdana" w:hAnsi="Verdana" w:cs="Arial"/>
          <w:iCs/>
          <w:sz w:val="20"/>
          <w:szCs w:val="20"/>
          <w:lang w:val="es-ES"/>
        </w:rPr>
        <w:lastRenderedPageBreak/>
        <w:t>incumplimiento, cuantificando los perjuicios del mismo, imponer las multas y sanciones pactadas en el contrato, y hacer efectiva la cláusula penal. Para tal efecto observarán el siguiente procedimiento:</w:t>
      </w:r>
    </w:p>
    <w:p w14:paraId="51BAA89F"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p>
    <w:p w14:paraId="00E3C3C4"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r w:rsidRPr="001E7CFB">
        <w:rPr>
          <w:rFonts w:ascii="Verdana" w:hAnsi="Verdana" w:cs="Arial"/>
          <w:iCs/>
          <w:sz w:val="20"/>
          <w:szCs w:val="20"/>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3CD9EE2D" w14:textId="77777777" w:rsidR="00E86E4B" w:rsidRPr="001E7CFB" w:rsidRDefault="00E86E4B" w:rsidP="00E86E4B">
      <w:pPr>
        <w:spacing w:line="240" w:lineRule="auto"/>
        <w:ind w:left="709" w:right="709"/>
        <w:contextualSpacing/>
        <w:jc w:val="both"/>
        <w:rPr>
          <w:rFonts w:ascii="Verdana" w:hAnsi="Verdana"/>
          <w:sz w:val="20"/>
          <w:szCs w:val="20"/>
          <w:lang w:val="es-ES"/>
        </w:rPr>
      </w:pPr>
    </w:p>
    <w:p w14:paraId="0F930221"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r w:rsidRPr="001E7CFB">
        <w:rPr>
          <w:rFonts w:ascii="Verdana" w:hAnsi="Verdana" w:cs="Arial"/>
          <w:iCs/>
          <w:sz w:val="20"/>
          <w:szCs w:val="20"/>
          <w:lang w:val="es-ES"/>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15C55966"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p>
    <w:p w14:paraId="4F035461"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r w:rsidRPr="001E7CFB">
        <w:rPr>
          <w:rFonts w:ascii="Verdana" w:hAnsi="Verdana" w:cs="Arial"/>
          <w:iCs/>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DC8DB2A" w14:textId="77777777" w:rsidR="00E86E4B" w:rsidRPr="001E7CFB" w:rsidRDefault="00E86E4B" w:rsidP="00E86E4B">
      <w:pPr>
        <w:spacing w:line="240" w:lineRule="auto"/>
        <w:ind w:left="709" w:right="709"/>
        <w:contextualSpacing/>
        <w:jc w:val="both"/>
        <w:rPr>
          <w:rFonts w:ascii="Verdana" w:hAnsi="Verdana" w:cs="Arial"/>
          <w:iCs/>
          <w:sz w:val="20"/>
          <w:szCs w:val="20"/>
          <w:lang w:val="es-ES"/>
        </w:rPr>
      </w:pPr>
    </w:p>
    <w:p w14:paraId="2D8CB080" w14:textId="77777777" w:rsidR="00E86E4B" w:rsidRPr="001E7CFB" w:rsidRDefault="00E86E4B" w:rsidP="00E86E4B">
      <w:pPr>
        <w:spacing w:after="0" w:line="240" w:lineRule="auto"/>
        <w:ind w:left="709" w:right="709"/>
        <w:contextualSpacing/>
        <w:jc w:val="both"/>
        <w:rPr>
          <w:rFonts w:ascii="Verdana" w:hAnsi="Verdana" w:cs="Arial"/>
          <w:iCs/>
          <w:sz w:val="20"/>
          <w:szCs w:val="20"/>
          <w:lang w:val="es-ES"/>
        </w:rPr>
      </w:pPr>
      <w:r w:rsidRPr="001E7CFB">
        <w:rPr>
          <w:rFonts w:ascii="Verdana" w:hAnsi="Verdana" w:cs="Arial"/>
          <w:iCs/>
          <w:sz w:val="20"/>
          <w:szCs w:val="20"/>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095BFAF7" w14:textId="77777777" w:rsidR="00E86E4B" w:rsidRPr="001E7CFB" w:rsidRDefault="00E86E4B" w:rsidP="00E86E4B">
      <w:pPr>
        <w:spacing w:after="0" w:line="240" w:lineRule="auto"/>
        <w:ind w:left="709" w:right="709"/>
        <w:contextualSpacing/>
        <w:jc w:val="both"/>
        <w:rPr>
          <w:rFonts w:ascii="Verdana" w:hAnsi="Verdana" w:cs="Arial"/>
          <w:iCs/>
          <w:sz w:val="20"/>
          <w:szCs w:val="20"/>
          <w:lang w:val="es-ES"/>
        </w:rPr>
      </w:pPr>
    </w:p>
    <w:p w14:paraId="28B78EC1" w14:textId="77777777" w:rsidR="00E86E4B" w:rsidRPr="001E7CFB" w:rsidRDefault="00E86E4B" w:rsidP="00E86E4B">
      <w:pPr>
        <w:spacing w:after="120" w:line="276" w:lineRule="auto"/>
        <w:ind w:firstLine="709"/>
        <w:jc w:val="both"/>
        <w:rPr>
          <w:rFonts w:ascii="Verdana" w:eastAsia="Times New Roman" w:hAnsi="Verdana" w:cs="Arial"/>
          <w:iCs/>
          <w:szCs w:val="24"/>
          <w:lang w:val="es-ES_tradnl" w:eastAsia="es-ES_tradnl"/>
        </w:rPr>
      </w:pPr>
      <w:r w:rsidRPr="001E7CFB">
        <w:rPr>
          <w:rFonts w:ascii="Verdana" w:eastAsia="Times New Roman" w:hAnsi="Verdana" w:cs="Arial"/>
          <w:iCs/>
          <w:szCs w:val="24"/>
          <w:lang w:val="es-ES_tradnl" w:eastAsia="es-ES_tradnl"/>
        </w:rPr>
        <w:lastRenderedPageBreak/>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Esto es así como consecuencia del “principio general de interpretación jurídica según el cual donde la norma no distingue, no le corresponde distinguir al intérprete”</w:t>
      </w:r>
      <w:r w:rsidRPr="001E7CFB">
        <w:rPr>
          <w:rFonts w:ascii="Verdana" w:eastAsia="Times New Roman" w:hAnsi="Verdana" w:cs="Arial"/>
          <w:sz w:val="24"/>
          <w:szCs w:val="24"/>
          <w:vertAlign w:val="superscript"/>
          <w:lang w:eastAsia="es-ES_tradnl"/>
        </w:rPr>
        <w:footnoteReference w:id="19"/>
      </w:r>
      <w:r w:rsidRPr="001E7CFB">
        <w:rPr>
          <w:rFonts w:ascii="Verdana" w:eastAsia="Times New Roman" w:hAnsi="Verdana" w:cs="Arial"/>
          <w:iCs/>
          <w:szCs w:val="24"/>
          <w:lang w:val="es-ES_tradnl" w:eastAsia="es-ES_tradnl"/>
        </w:rPr>
        <w:t>. A la misma conclusión se llega si se tiene en consideración la necesidad de respetar el debido proceso en “todas las actuaciones administrativas” como lo dispone el artículo 29 de la Constitución Política.</w:t>
      </w:r>
    </w:p>
    <w:p w14:paraId="24EC3E5C" w14:textId="77777777" w:rsidR="00E86E4B" w:rsidRPr="001E7CFB" w:rsidRDefault="00E86E4B" w:rsidP="00E86E4B">
      <w:pPr>
        <w:spacing w:after="120" w:line="276" w:lineRule="auto"/>
        <w:ind w:firstLine="708"/>
        <w:jc w:val="both"/>
        <w:rPr>
          <w:rFonts w:ascii="Verdana" w:hAnsi="Verdana" w:cs="Arial"/>
          <w:lang w:val="es-ES"/>
        </w:rPr>
      </w:pPr>
      <w:r w:rsidRPr="001E7CFB">
        <w:rPr>
          <w:rFonts w:ascii="Verdana" w:eastAsia="Times New Roman" w:hAnsi="Verdana" w:cs="Arial"/>
          <w:iCs/>
          <w:szCs w:val="24"/>
          <w:lang w:val="es-ES_tradnl" w:eastAsia="es-ES_tradnl"/>
        </w:rPr>
        <w:t xml:space="preserve">De conformidad con lo anterior, el artículo 86 de la Ley 1474 de 2011 establece las etapas del procedimiento que se deben seguir, las cuales se sintetizan, de forma esquemática, así: </w:t>
      </w:r>
      <w:r w:rsidRPr="001E7CFB">
        <w:rPr>
          <w:rFonts w:ascii="Verdana" w:hAnsi="Verdana" w:cs="Arial"/>
          <w:lang w:val="es-ES"/>
        </w:rPr>
        <w:t xml:space="preserve">a) </w:t>
      </w:r>
      <w:r w:rsidRPr="001E7CFB">
        <w:rPr>
          <w:rFonts w:ascii="Verdana" w:hAnsi="Verdana" w:cs="Arial"/>
          <w:i/>
          <w:lang w:val="es-ES"/>
        </w:rPr>
        <w:t>Citación a audiencia</w:t>
      </w:r>
      <w:r w:rsidRPr="001E7CFB">
        <w:rPr>
          <w:rFonts w:ascii="Verdana" w:hAnsi="Verdana" w:cs="Arial"/>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001E7CFB">
        <w:rPr>
          <w:rFonts w:ascii="Verdana" w:hAnsi="Verdana" w:cs="Arial"/>
          <w:i/>
          <w:lang w:val="es-ES"/>
        </w:rPr>
        <w:t>Audiencia</w:t>
      </w:r>
      <w:r w:rsidRPr="001E7CFB">
        <w:rPr>
          <w:rFonts w:ascii="Verdana" w:hAnsi="Verdana" w:cs="Arial"/>
          <w:lang w:val="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c) </w:t>
      </w:r>
      <w:r w:rsidRPr="001E7CFB">
        <w:rPr>
          <w:rFonts w:ascii="Verdana" w:hAnsi="Verdana" w:cs="Arial"/>
          <w:i/>
          <w:lang w:val="es-ES"/>
        </w:rPr>
        <w:t>Decisión</w:t>
      </w:r>
      <w:r w:rsidRPr="001E7CFB">
        <w:rPr>
          <w:rFonts w:ascii="Verdana" w:hAnsi="Verdana" w:cs="Arial"/>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16210466" w14:textId="77777777" w:rsidR="00E86E4B" w:rsidRPr="001E7CFB" w:rsidRDefault="00E86E4B" w:rsidP="00E86E4B">
      <w:pPr>
        <w:spacing w:after="120" w:line="276" w:lineRule="auto"/>
        <w:ind w:firstLine="709"/>
        <w:jc w:val="both"/>
        <w:rPr>
          <w:rFonts w:ascii="Verdana" w:eastAsia="Calibri" w:hAnsi="Verdana" w:cs="Arial"/>
          <w:lang w:val="es-ES"/>
        </w:rPr>
      </w:pPr>
      <w:r w:rsidRPr="001E7CFB">
        <w:rPr>
          <w:rFonts w:ascii="Verdana" w:eastAsia="Calibri" w:hAnsi="Verdana" w:cs="Arial"/>
          <w:lang w:val="es-ES"/>
        </w:rPr>
        <w:t xml:space="preserve">El artículo 86 de la Ley 1474 de 2011 estableció de manera expresa que las entidades sometidas al EGCAP pueden adelantar ese procedimiento en los siguientes supuestos: 1) para declarar el incumplimiento, cuantificando los perjuicios de este. En cuanto a la declaración del incumplimiento es importante </w:t>
      </w:r>
      <w:r w:rsidRPr="001E7CFB">
        <w:rPr>
          <w:rFonts w:ascii="Verdana" w:eastAsia="Calibri" w:hAnsi="Verdana" w:cs="Arial"/>
          <w:lang w:val="es-ES"/>
        </w:rPr>
        <w:lastRenderedPageBreak/>
        <w:t xml:space="preserve">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0BB280A5" w14:textId="77777777" w:rsidR="00E86E4B" w:rsidRPr="001E7CFB" w:rsidRDefault="00E86E4B" w:rsidP="00E86E4B">
      <w:pPr>
        <w:spacing w:after="120" w:line="276" w:lineRule="auto"/>
        <w:ind w:firstLine="709"/>
        <w:jc w:val="both"/>
        <w:rPr>
          <w:rFonts w:ascii="Verdana" w:eastAsia="Calibri" w:hAnsi="Verdana" w:cs="Arial"/>
          <w:lang w:val="es-ES"/>
        </w:rPr>
      </w:pPr>
      <w:r w:rsidRPr="001E7CFB">
        <w:rPr>
          <w:rFonts w:ascii="Verdana" w:eastAsia="Calibri" w:hAnsi="Verdana" w:cs="Arial"/>
          <w:lang w:val="es-ES"/>
        </w:rPr>
        <w:t xml:space="preserve">Esto es congruente con la redacción de otros apartes del artículo, como es el caso del literal c) del artículo 86, según el cual mediante resolución motivada la entidad decidirá sobre “la imposición o no de la multa, sanción </w:t>
      </w:r>
      <w:r w:rsidRPr="001E7CFB">
        <w:rPr>
          <w:rFonts w:ascii="Verdana" w:eastAsia="Calibri" w:hAnsi="Verdana" w:cs="Arial"/>
          <w:u w:val="single"/>
          <w:lang w:val="es-ES"/>
        </w:rPr>
        <w:t>o declaratoria de incumplimiento</w:t>
      </w:r>
      <w:r w:rsidRPr="001E7CFB">
        <w:rPr>
          <w:rFonts w:ascii="Verdana" w:eastAsia="Calibri" w:hAnsi="Verdana" w:cs="Arial"/>
          <w:lang w:val="es-ES"/>
        </w:rPr>
        <w:t xml:space="preserve">” [Énfasis propio]. Así como con lo dispuesto en el artículo 99 de la Ley 1437 de 2011 –Código de Procedimiento Administrativo y de lo Contencioso Administrativo–, el cual estableció́ como documentos que prestan mérito ejecutivo en favor del Estado “[l]os contratos o los documentos en que constan sus garantías, junto con el acto administrativo que declara el incumplimiento </w:t>
      </w:r>
      <w:r w:rsidRPr="001E7CFB">
        <w:rPr>
          <w:rFonts w:ascii="Verdana" w:eastAsia="Calibri" w:hAnsi="Verdana" w:cs="Arial"/>
          <w:u w:val="single"/>
          <w:lang w:val="es-ES"/>
        </w:rPr>
        <w:t>o</w:t>
      </w:r>
      <w:r w:rsidRPr="001E7CFB">
        <w:rPr>
          <w:rFonts w:ascii="Verdana" w:eastAsia="Calibri" w:hAnsi="Verdana" w:cs="Arial"/>
          <w:lang w:val="es-ES"/>
        </w:rPr>
        <w:t xml:space="preserve"> la caducidad”.</w:t>
      </w:r>
      <w:r w:rsidRPr="001E7CFB">
        <w:rPr>
          <w:rFonts w:ascii="EhrhardtMTStd" w:eastAsia="Times New Roman" w:hAnsi="EhrhardtMTStd" w:cs="Times New Roman"/>
          <w:highlight w:val="yellow"/>
          <w:lang w:val="es-ES"/>
        </w:rPr>
        <w:t xml:space="preserve"> </w:t>
      </w:r>
    </w:p>
    <w:p w14:paraId="59FDE746" w14:textId="77777777" w:rsidR="00E86E4B" w:rsidRPr="001E7CFB" w:rsidRDefault="00E86E4B" w:rsidP="00E86E4B">
      <w:pPr>
        <w:spacing w:before="120" w:after="120" w:line="276" w:lineRule="auto"/>
        <w:ind w:firstLine="708"/>
        <w:jc w:val="both"/>
        <w:rPr>
          <w:rFonts w:ascii="Verdana" w:eastAsia="Calibri" w:hAnsi="Verdana" w:cs="Arial"/>
          <w:bCs/>
          <w:lang w:val="es-MX"/>
        </w:rPr>
      </w:pPr>
      <w:r w:rsidRPr="001E7CFB">
        <w:rPr>
          <w:rFonts w:ascii="Verdana" w:eastAsia="Calibri" w:hAnsi="Verdana" w:cs="Arial"/>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1E7CFB">
        <w:rPr>
          <w:rFonts w:ascii="Verdana" w:eastAsia="Calibri" w:hAnsi="Verdana" w:cs="Arial"/>
          <w:iCs/>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7C9E3E25" w14:textId="77777777" w:rsidR="00E86E4B" w:rsidRPr="001E7CFB" w:rsidRDefault="00E86E4B" w:rsidP="00E86E4B">
      <w:pPr>
        <w:spacing w:after="120" w:line="276" w:lineRule="auto"/>
        <w:ind w:firstLine="708"/>
        <w:jc w:val="both"/>
        <w:rPr>
          <w:rFonts w:ascii="Verdana" w:eastAsia="Times New Roman" w:hAnsi="Verdana" w:cs="Times New Roman"/>
          <w:lang w:eastAsia="es-ES"/>
        </w:rPr>
      </w:pPr>
      <w:r w:rsidRPr="001E7CFB">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w:t>
      </w:r>
      <w:r w:rsidRPr="001E7CFB">
        <w:rPr>
          <w:rFonts w:ascii="Verdana" w:eastAsia="Calibri" w:hAnsi="Verdana" w:cs="Arial"/>
        </w:rPr>
        <w:lastRenderedPageBreak/>
        <w:t xml:space="preserve">es acorde con el principio de juridicidad. Por ello, serán las entidades públicas que adelantan el proceso de contratación, las facultadas para determinar en cada caso particular y concreto, con los principios básicos y las normas que rigen el EGCAP.  </w:t>
      </w:r>
      <w:r w:rsidRPr="001E7CFB">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5DC309DA" w14:textId="77777777" w:rsidR="00E86E4B" w:rsidRPr="00E4102D" w:rsidRDefault="00E86E4B" w:rsidP="00E86E4B">
      <w:pPr>
        <w:spacing w:after="120" w:line="276" w:lineRule="auto"/>
        <w:jc w:val="both"/>
        <w:rPr>
          <w:rFonts w:ascii="Verdana" w:eastAsia="Century Gothic" w:hAnsi="Verdana" w:cs="Century Gothic"/>
          <w:b/>
          <w:lang w:val="es-ES"/>
        </w:rPr>
      </w:pPr>
      <w:r w:rsidRPr="00E4102D">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6E4B" w:rsidRPr="00D931CF" w14:paraId="294FB1BD" w14:textId="77777777" w:rsidTr="00212C06">
        <w:trPr>
          <w:trHeight w:val="349"/>
        </w:trPr>
        <w:tc>
          <w:tcPr>
            <w:tcW w:w="8647" w:type="dxa"/>
          </w:tcPr>
          <w:p w14:paraId="1E5DC624"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Ley 80 de 1993. Artículos 18 y 60</w:t>
            </w:r>
          </w:p>
          <w:p w14:paraId="0E8713AB"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Ley 1150 de 2007. Artículo 11</w:t>
            </w:r>
          </w:p>
          <w:p w14:paraId="6F0A50A0"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Ley 1437 de 2011. Artículos 141, 164</w:t>
            </w:r>
          </w:p>
          <w:p w14:paraId="79C3EB3B"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Corte Constitucional. Sentencia C-317 de 2012. M.P. María Victoria Calle Correa.</w:t>
            </w:r>
          </w:p>
          <w:p w14:paraId="6C241FDB"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Consejo de Estado. Sección Tercera. Subsección C. 20 de octubre de 2014, M.P: Enrique Gil Botero. Exp. 27.777.</w:t>
            </w:r>
          </w:p>
          <w:p w14:paraId="40E70447"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Consejo de Estado. Sala de Consulta y Servicio Civil. Concepto de 28 de Junio de 2016. Radicación: 2253. C.P. Álvaro Namén Vargas.</w:t>
            </w:r>
          </w:p>
          <w:p w14:paraId="799BEB09"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Consejo de Estado. Sección Tercera. Sala Plena. Auto del 1 de agosto de 2019. Exp. 62009. C.P. Jaime Enrique Rodríguez Navas.</w:t>
            </w:r>
          </w:p>
          <w:p w14:paraId="6D94B0E7" w14:textId="77777777" w:rsidR="00E86E4B" w:rsidRPr="009C3956" w:rsidRDefault="00E86E4B" w:rsidP="00212C0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9C3956">
              <w:rPr>
                <w:rFonts w:ascii="Verdana" w:eastAsia="Arial MT" w:hAnsi="Verdana" w:cs="Arial"/>
                <w:bCs/>
                <w:lang w:eastAsia="es-ES" w:bidi="es-ES"/>
              </w:rPr>
              <w:t>Corte Constitucional. Sentencia C-317 de 2012. M.P. María Victoria Calle Correa.</w:t>
            </w:r>
          </w:p>
          <w:p w14:paraId="7C5378D6" w14:textId="77777777" w:rsidR="00E86E4B" w:rsidRPr="009C3956" w:rsidRDefault="00E86E4B" w:rsidP="00212C06">
            <w:pPr>
              <w:widowControl w:val="0"/>
              <w:autoSpaceDE w:val="0"/>
              <w:autoSpaceDN w:val="0"/>
              <w:spacing w:line="276" w:lineRule="auto"/>
              <w:ind w:left="357"/>
              <w:jc w:val="both"/>
              <w:rPr>
                <w:rFonts w:ascii="Verdana" w:eastAsia="Arial MT" w:hAnsi="Verdana" w:cs="Arial"/>
                <w:bCs/>
                <w:color w:val="7030A0"/>
                <w:lang w:eastAsia="es-ES" w:bidi="es-ES"/>
              </w:rPr>
            </w:pPr>
          </w:p>
        </w:tc>
      </w:tr>
    </w:tbl>
    <w:p w14:paraId="71626D35" w14:textId="77777777" w:rsidR="00E86E4B" w:rsidRPr="00A63FAE" w:rsidRDefault="00E86E4B" w:rsidP="00E86E4B">
      <w:pPr>
        <w:widowControl w:val="0"/>
        <w:autoSpaceDE w:val="0"/>
        <w:autoSpaceDN w:val="0"/>
        <w:spacing w:after="0" w:line="276" w:lineRule="auto"/>
        <w:jc w:val="both"/>
        <w:rPr>
          <w:rFonts w:ascii="Verdana" w:hAnsi="Verdana" w:cs="Arial"/>
          <w:lang w:val="es-ES"/>
        </w:rPr>
      </w:pPr>
    </w:p>
    <w:p w14:paraId="68048A61" w14:textId="77777777" w:rsidR="00E86E4B" w:rsidRDefault="00E86E4B" w:rsidP="00E86E4B">
      <w:pPr>
        <w:tabs>
          <w:tab w:val="left" w:pos="142"/>
          <w:tab w:val="left" w:pos="284"/>
        </w:tabs>
        <w:spacing w:after="0" w:line="276" w:lineRule="auto"/>
        <w:jc w:val="both"/>
        <w:rPr>
          <w:rFonts w:ascii="Verdana" w:eastAsia="Century Gothic" w:hAnsi="Verdana" w:cs="Century Gothic"/>
          <w:b/>
          <w:lang w:val="es-ES"/>
        </w:rPr>
      </w:pPr>
      <w:r w:rsidRPr="00A63FAE">
        <w:rPr>
          <w:rFonts w:ascii="Verdana" w:eastAsia="Century Gothic" w:hAnsi="Verdana" w:cs="Century Gothic"/>
          <w:b/>
          <w:lang w:val="es-ES"/>
        </w:rPr>
        <w:t>5. Doctrina de la Agencia Nacional de Contratación Pública:</w:t>
      </w:r>
    </w:p>
    <w:p w14:paraId="113D9C75" w14:textId="77777777" w:rsidR="00E86E4B" w:rsidRPr="00A264F4" w:rsidRDefault="00E86E4B" w:rsidP="00E86E4B">
      <w:pPr>
        <w:tabs>
          <w:tab w:val="left" w:pos="142"/>
          <w:tab w:val="left" w:pos="284"/>
        </w:tabs>
        <w:spacing w:after="0" w:line="276" w:lineRule="auto"/>
        <w:jc w:val="both"/>
        <w:rPr>
          <w:rFonts w:ascii="Verdana" w:eastAsia="Century Gothic" w:hAnsi="Verdana" w:cs="Century Gothic"/>
          <w:b/>
          <w:lang w:val="es-ES"/>
        </w:rPr>
      </w:pPr>
    </w:p>
    <w:p w14:paraId="03A7F998" w14:textId="77777777" w:rsidR="00E86E4B" w:rsidRPr="00D90D3C" w:rsidRDefault="00E86E4B" w:rsidP="00E86E4B">
      <w:pPr>
        <w:spacing w:after="0" w:line="276" w:lineRule="auto"/>
        <w:jc w:val="both"/>
        <w:rPr>
          <w:rFonts w:ascii="Verdana" w:hAnsi="Verdana" w:cs="Arial"/>
          <w:shd w:val="clear" w:color="auto" w:fill="FFFFFF"/>
          <w:lang w:val="es-ES"/>
        </w:rPr>
      </w:pPr>
      <w:r w:rsidRPr="00F04105">
        <w:rPr>
          <w:rFonts w:ascii="Verdana" w:eastAsia="Calibri" w:hAnsi="Verdana" w:cs="Arial"/>
          <w:lang w:val="es-ES"/>
        </w:rPr>
        <w:t xml:space="preserve">La Agencia Nacional de Contratación Pública – Colombia Compra Eficiente se ha referido </w:t>
      </w:r>
      <w:r w:rsidRPr="00F04105">
        <w:rPr>
          <w:rFonts w:ascii="Verdana" w:hAnsi="Verdana" w:cs="Arial"/>
          <w:shd w:val="clear" w:color="auto" w:fill="FFFFFF"/>
          <w:lang w:val="es-ES"/>
        </w:rPr>
        <w:t xml:space="preserve">sobre la liquidación en los conceptos </w:t>
      </w:r>
      <w:r w:rsidRPr="000E4CD6">
        <w:rPr>
          <w:rStyle w:val="normaltextrun"/>
          <w:rFonts w:ascii="Verdana" w:hAnsi="Verdana" w:cs="Arial"/>
          <w:shd w:val="clear" w:color="auto" w:fill="FFFFFF"/>
          <w:lang w:val="es-ES_tradnl"/>
        </w:rPr>
        <w:t>C-078 del 17 de marzo de 2021, C-220 del 18 de mayo de 2021, C-444 del 23 de julio de 2021, C-747 del 8 de noviembre de 2022, C-739 de del 29 de noviembre de 2022, C- 176 de 3 de mayo de 2023, C-158 del 6 de junio de 2023, C-326 del 15 de agosto de 2024</w:t>
      </w:r>
      <w:r>
        <w:rPr>
          <w:rStyle w:val="normaltextrun"/>
          <w:rFonts w:ascii="Verdana" w:hAnsi="Verdana" w:cs="Arial"/>
          <w:shd w:val="clear" w:color="auto" w:fill="FFFFFF"/>
          <w:lang w:val="es-ES_tradnl"/>
        </w:rPr>
        <w:t>,</w:t>
      </w:r>
      <w:r w:rsidRPr="000E4CD6">
        <w:rPr>
          <w:rStyle w:val="normaltextrun"/>
          <w:rFonts w:ascii="Verdana" w:hAnsi="Verdana" w:cs="Arial"/>
          <w:shd w:val="clear" w:color="auto" w:fill="FFFFFF"/>
          <w:lang w:val="es-ES_tradnl"/>
        </w:rPr>
        <w:t xml:space="preserve"> C-568 del 18 de octubre de 2024</w:t>
      </w:r>
      <w:r>
        <w:rPr>
          <w:rStyle w:val="normaltextrun"/>
          <w:rFonts w:ascii="Verdana" w:hAnsi="Verdana" w:cs="Arial"/>
          <w:shd w:val="clear" w:color="auto" w:fill="FFFFFF"/>
          <w:lang w:val="es-ES_tradnl"/>
        </w:rPr>
        <w:t xml:space="preserve">, C-968 del 16 de diciembre de 2024, C-1768 de 10 diciembre 2025, C-1834 del 29 de diciembre de 2025, entre otros. Asimismo, </w:t>
      </w:r>
      <w:r w:rsidRPr="009037F6">
        <w:rPr>
          <w:rFonts w:ascii="Verdana" w:eastAsia="Calibri" w:hAnsi="Verdana" w:cs="Arial"/>
          <w:shd w:val="clear" w:color="auto" w:fill="FFFFFF"/>
        </w:rPr>
        <w:t xml:space="preserve">sobre el </w:t>
      </w:r>
      <w:r>
        <w:rPr>
          <w:rFonts w:ascii="Verdana" w:eastAsia="Calibri" w:hAnsi="Verdana" w:cs="Arial"/>
          <w:shd w:val="clear" w:color="auto" w:fill="FFFFFF"/>
        </w:rPr>
        <w:t xml:space="preserve">procedimiento administrativo sancionatorio en los conceptos </w:t>
      </w:r>
      <w:r w:rsidRPr="00134DAF">
        <w:rPr>
          <w:rFonts w:ascii="Verdana" w:eastAsia="Calibri" w:hAnsi="Verdana" w:cs="Arial"/>
          <w:bCs/>
          <w:shd w:val="clear" w:color="auto" w:fill="FFFFFF"/>
        </w:rPr>
        <w:lastRenderedPageBreak/>
        <w:t>C-085 del 29 de abril  de 2022 C-125 del 23 de marzo de 2022, C-195 del 12 de abril de 2022, C-208 del 26 de abril de 2022, C-238 del 27 de abril de 2022, C-866 del 20 de diciembre de 2022, C-034 de 09 de marzo de 2023, C-140 del 13 de junio de 2023, C-227 del 07 de julio del 2023 y C-047 del 25 de abril de 2024</w:t>
      </w:r>
      <w:r>
        <w:rPr>
          <w:rFonts w:ascii="Verdana" w:eastAsia="Calibri" w:hAnsi="Verdana" w:cs="Arial"/>
          <w:bCs/>
          <w:shd w:val="clear" w:color="auto" w:fill="FFFFFF"/>
        </w:rPr>
        <w:t xml:space="preserve">, </w:t>
      </w:r>
      <w:r>
        <w:rPr>
          <w:rFonts w:ascii="Verdana" w:eastAsia="Calibri" w:hAnsi="Verdana" w:cs="Arial"/>
          <w:shd w:val="clear" w:color="auto" w:fill="FFFFFF"/>
        </w:rPr>
        <w:t xml:space="preserve">C-1208 del 7 de octubre de 2025, C-1497 del 30 de octubre de 2025, C-1503 del 26 de noviembre de 2025, entre otros. </w:t>
      </w:r>
    </w:p>
    <w:p w14:paraId="5E1EDB76" w14:textId="77777777" w:rsidR="00E86E4B" w:rsidRPr="00D931CF" w:rsidRDefault="00E86E4B" w:rsidP="00E86E4B">
      <w:pPr>
        <w:spacing w:after="0" w:line="276" w:lineRule="auto"/>
        <w:jc w:val="both"/>
        <w:rPr>
          <w:rStyle w:val="normaltextrun"/>
          <w:rFonts w:ascii="Verdana" w:hAnsi="Verdana" w:cs="Arial"/>
          <w:color w:val="7030A0"/>
          <w:shd w:val="clear" w:color="auto" w:fill="FFFFFF"/>
          <w:lang w:val="es-ES"/>
        </w:rPr>
      </w:pPr>
    </w:p>
    <w:p w14:paraId="60D63441" w14:textId="77777777" w:rsidR="00E86E4B" w:rsidRPr="00D931CF" w:rsidRDefault="00E86E4B" w:rsidP="00E86E4B">
      <w:pPr>
        <w:spacing w:after="0" w:line="276" w:lineRule="auto"/>
        <w:jc w:val="both"/>
        <w:rPr>
          <w:rFonts w:ascii="Verdana" w:hAnsi="Verdana"/>
          <w:color w:val="7030A0"/>
          <w:lang w:val="es-ES"/>
        </w:rPr>
      </w:pPr>
      <w:r w:rsidRPr="00A63FAE">
        <w:rPr>
          <w:rFonts w:ascii="Verdana" w:hAnsi="Verdana" w:cs="Arial"/>
          <w:shd w:val="clear" w:color="auto" w:fill="FFFFFF"/>
          <w:lang w:val="es-ES"/>
        </w:rPr>
        <w:t>Estos</w:t>
      </w:r>
      <w:r w:rsidRPr="00A63FAE">
        <w:rPr>
          <w:rFonts w:ascii="Verdana" w:hAnsi="Verdana"/>
          <w:lang w:val="es-ES"/>
        </w:rPr>
        <w:t xml:space="preserve"> y otros se encuentran disponibles para consulta en el Sistema de relatoría de la Agencia, al cual se puede acceder a través del siguiente enlace:</w:t>
      </w:r>
      <w:r w:rsidRPr="00A63FAE">
        <w:rPr>
          <w:rFonts w:ascii="Verdana" w:hAnsi="Verdana" w:cs="Arial"/>
          <w:shd w:val="clear" w:color="auto" w:fill="FFFFFF"/>
          <w:lang w:val="es-ES"/>
        </w:rPr>
        <w:t xml:space="preserve"> </w:t>
      </w:r>
      <w:hyperlink r:id="rId12" w:history="1">
        <w:r w:rsidRPr="00A63FAE">
          <w:rPr>
            <w:rStyle w:val="Hipervnculo"/>
            <w:rFonts w:ascii="Verdana" w:hAnsi="Verdana" w:cs="Arial"/>
            <w:shd w:val="clear" w:color="auto" w:fill="FFFFFF"/>
            <w:lang w:val="es-ES"/>
          </w:rPr>
          <w:t>https://relatoria.colombiacompra.gov.co/busqueda/conceptos</w:t>
        </w:r>
      </w:hyperlink>
    </w:p>
    <w:p w14:paraId="149F7B28" w14:textId="77777777" w:rsidR="00E86E4B" w:rsidRPr="00CB625B" w:rsidRDefault="00E86E4B" w:rsidP="00E86E4B">
      <w:pPr>
        <w:spacing w:after="0"/>
        <w:jc w:val="both"/>
        <w:rPr>
          <w:rFonts w:ascii="Verdana" w:hAnsi="Verdana" w:cs="Arial"/>
          <w:shd w:val="clear" w:color="auto" w:fill="FFFFFF"/>
          <w:lang w:val="es-ES"/>
        </w:rPr>
      </w:pPr>
    </w:p>
    <w:p w14:paraId="45446354" w14:textId="77777777" w:rsidR="00E86E4B" w:rsidRPr="00CB625B" w:rsidRDefault="00E86E4B" w:rsidP="00E86E4B">
      <w:pPr>
        <w:spacing w:after="0"/>
        <w:jc w:val="both"/>
        <w:rPr>
          <w:rFonts w:ascii="Verdana" w:hAnsi="Verdana" w:cs="Arial"/>
          <w:shd w:val="clear" w:color="auto" w:fill="FFFFFF"/>
        </w:rPr>
      </w:pPr>
      <w:r w:rsidRPr="00CB625B">
        <w:rPr>
          <w:rFonts w:ascii="Verdana" w:hAnsi="Verdana" w:cs="Arial"/>
          <w:shd w:val="clear" w:color="auto" w:fill="FFFFFF"/>
        </w:rPr>
        <w:t>También le contamos que ya se encuentra disponible la </w:t>
      </w:r>
      <w:r w:rsidRPr="00CB625B">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CB625B">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B625B">
          <w:rPr>
            <w:rStyle w:val="Hipervnculo"/>
            <w:rFonts w:ascii="Verdana" w:hAnsi="Verdana"/>
          </w:rPr>
          <w:t>Guía de lineamientos de transparencia y selección objetiva para el departamento de La Guajira – Objetivo sexto constitucional de la Sentencia T-302 del 2017</w:t>
        </w:r>
      </w:hyperlink>
    </w:p>
    <w:p w14:paraId="6BA37763" w14:textId="77777777" w:rsidR="00E86E4B" w:rsidRPr="00CB625B" w:rsidRDefault="00E86E4B" w:rsidP="00E86E4B">
      <w:pPr>
        <w:spacing w:after="0"/>
        <w:jc w:val="both"/>
        <w:rPr>
          <w:rFonts w:ascii="Verdana" w:hAnsi="Verdana" w:cs="Arial"/>
          <w:shd w:val="clear" w:color="auto" w:fill="FFFFFF"/>
        </w:rPr>
      </w:pPr>
    </w:p>
    <w:p w14:paraId="7928040D" w14:textId="77777777" w:rsidR="00E86E4B" w:rsidRPr="00CB625B" w:rsidRDefault="00E86E4B" w:rsidP="00E86E4B">
      <w:pPr>
        <w:spacing w:after="0"/>
        <w:jc w:val="both"/>
        <w:rPr>
          <w:rFonts w:ascii="Verdana" w:hAnsi="Verdana" w:cs="Arial"/>
          <w:shd w:val="clear" w:color="auto" w:fill="FFFFFF"/>
        </w:rPr>
      </w:pPr>
      <w:r w:rsidRPr="00CB625B">
        <w:rPr>
          <w:rFonts w:ascii="Verdana" w:hAnsi="Verdana" w:cs="Arial"/>
          <w:shd w:val="clear" w:color="auto" w:fill="FFFFFF"/>
        </w:rPr>
        <w:t xml:space="preserve">Por último, lo invitamos a seguirnos en las redes sociales en las cuales se difunde información institucional: </w:t>
      </w:r>
    </w:p>
    <w:p w14:paraId="0F3066EE" w14:textId="77777777" w:rsidR="00E86E4B" w:rsidRPr="00CB625B" w:rsidRDefault="00E86E4B" w:rsidP="00E86E4B">
      <w:pPr>
        <w:spacing w:after="0"/>
        <w:jc w:val="both"/>
        <w:rPr>
          <w:rFonts w:ascii="Verdana" w:hAnsi="Verdana" w:cs="Arial"/>
          <w:shd w:val="clear" w:color="auto" w:fill="FFFFFF"/>
        </w:rPr>
      </w:pPr>
    </w:p>
    <w:p w14:paraId="4EE963D8" w14:textId="77777777" w:rsidR="00E86E4B" w:rsidRPr="00CB625B" w:rsidRDefault="00E86E4B" w:rsidP="00E86E4B">
      <w:pPr>
        <w:spacing w:after="0"/>
        <w:jc w:val="both"/>
        <w:rPr>
          <w:rFonts w:ascii="Verdana" w:hAnsi="Verdana" w:cs="Arial"/>
          <w:shd w:val="clear" w:color="auto" w:fill="FFFFFF"/>
        </w:rPr>
      </w:pPr>
      <w:r w:rsidRPr="00CB625B">
        <w:rPr>
          <w:rFonts w:ascii="Verdana" w:hAnsi="Verdana" w:cs="Arial"/>
          <w:shd w:val="clear" w:color="auto" w:fill="FFFFFF"/>
        </w:rPr>
        <w:t>Twitter:</w:t>
      </w:r>
      <w:r w:rsidRPr="00CB005C">
        <w:rPr>
          <w:rFonts w:ascii="Verdana" w:hAnsi="Verdana" w:cs="Arial"/>
          <w:color w:val="0000FF"/>
          <w:shd w:val="clear" w:color="auto" w:fill="FFFFFF"/>
        </w:rPr>
        <w:t xml:space="preserve"> </w:t>
      </w:r>
      <w:r w:rsidRPr="00CB005C">
        <w:rPr>
          <w:rStyle w:val="Hipervnculo"/>
          <w:rFonts w:ascii="Verdana" w:hAnsi="Verdana"/>
          <w:lang w:val="es-ES"/>
        </w:rPr>
        <w:t xml:space="preserve">@colombiacompra </w:t>
      </w:r>
    </w:p>
    <w:p w14:paraId="6AA835D3" w14:textId="77777777" w:rsidR="00E86E4B" w:rsidRPr="00CB005C" w:rsidRDefault="00E86E4B" w:rsidP="00E86E4B">
      <w:pPr>
        <w:spacing w:after="0"/>
        <w:jc w:val="both"/>
        <w:rPr>
          <w:rFonts w:ascii="Verdana" w:hAnsi="Verdana" w:cs="Arial"/>
          <w:color w:val="0000FF"/>
          <w:shd w:val="clear" w:color="auto" w:fill="FFFFFF"/>
        </w:rPr>
      </w:pPr>
      <w:r w:rsidRPr="00CB625B">
        <w:rPr>
          <w:rFonts w:ascii="Verdana" w:hAnsi="Verdana" w:cs="Arial"/>
          <w:shd w:val="clear" w:color="auto" w:fill="FFFFFF"/>
        </w:rPr>
        <w:t>Facebook:</w:t>
      </w:r>
      <w:r w:rsidRPr="00CB005C">
        <w:rPr>
          <w:rStyle w:val="Hipervnculo"/>
          <w:rFonts w:ascii="Verdana" w:hAnsi="Verdana"/>
          <w:lang w:val="es-ES"/>
        </w:rPr>
        <w:t xml:space="preserve"> ColombiaCompraEficiente</w:t>
      </w:r>
    </w:p>
    <w:p w14:paraId="5225D01E" w14:textId="77777777" w:rsidR="00E86E4B" w:rsidRPr="00CB625B" w:rsidRDefault="00E86E4B" w:rsidP="00E86E4B">
      <w:pPr>
        <w:spacing w:after="0"/>
        <w:jc w:val="both"/>
        <w:rPr>
          <w:rFonts w:ascii="Verdana" w:hAnsi="Verdana" w:cs="Arial"/>
          <w:color w:val="0000FF"/>
          <w:shd w:val="clear" w:color="auto" w:fill="FFFFFF"/>
        </w:rPr>
      </w:pPr>
      <w:r w:rsidRPr="00CB625B">
        <w:rPr>
          <w:rFonts w:ascii="Verdana" w:hAnsi="Verdana" w:cs="Arial"/>
          <w:shd w:val="clear" w:color="auto" w:fill="FFFFFF"/>
        </w:rPr>
        <w:t xml:space="preserve">LinkedIn: </w:t>
      </w:r>
      <w:r w:rsidRPr="00CB625B">
        <w:rPr>
          <w:rStyle w:val="Hipervnculo"/>
          <w:rFonts w:ascii="Verdana" w:hAnsi="Verdana"/>
          <w:lang w:val="es-ES"/>
        </w:rPr>
        <w:t>Agencia Nacional de Contratación Pública - Colombia Compra Eficiente</w:t>
      </w:r>
      <w:r w:rsidRPr="00CB625B">
        <w:rPr>
          <w:rFonts w:ascii="Verdana" w:hAnsi="Verdana" w:cs="Arial"/>
          <w:color w:val="0000FF"/>
          <w:shd w:val="clear" w:color="auto" w:fill="FFFFFF"/>
        </w:rPr>
        <w:t xml:space="preserve"> </w:t>
      </w:r>
    </w:p>
    <w:p w14:paraId="0FAE0164" w14:textId="77777777" w:rsidR="00E86E4B" w:rsidRPr="00CB625B" w:rsidRDefault="00E86E4B" w:rsidP="00E86E4B">
      <w:pPr>
        <w:spacing w:after="0"/>
        <w:jc w:val="both"/>
        <w:rPr>
          <w:rFonts w:ascii="Verdana" w:hAnsi="Verdana" w:cs="Arial"/>
          <w:color w:val="0000FF"/>
          <w:shd w:val="clear" w:color="auto" w:fill="FFFFFF"/>
        </w:rPr>
      </w:pPr>
      <w:r w:rsidRPr="00CB625B">
        <w:rPr>
          <w:rFonts w:ascii="Verdana" w:hAnsi="Verdana" w:cs="Arial"/>
          <w:shd w:val="clear" w:color="auto" w:fill="FFFFFF"/>
        </w:rPr>
        <w:t xml:space="preserve">Instagram: </w:t>
      </w:r>
      <w:r w:rsidRPr="00CB625B">
        <w:rPr>
          <w:rStyle w:val="Hipervnculo"/>
          <w:rFonts w:ascii="Verdana" w:hAnsi="Verdana"/>
          <w:lang w:val="es-ES"/>
        </w:rPr>
        <w:t>@colombiacompraeficiente_cce</w:t>
      </w:r>
    </w:p>
    <w:p w14:paraId="217821C9" w14:textId="77777777" w:rsidR="00E86E4B" w:rsidRPr="00D931CF" w:rsidRDefault="00E86E4B" w:rsidP="00E86E4B">
      <w:pPr>
        <w:widowControl w:val="0"/>
        <w:autoSpaceDE w:val="0"/>
        <w:autoSpaceDN w:val="0"/>
        <w:spacing w:after="0" w:line="276" w:lineRule="auto"/>
        <w:jc w:val="both"/>
        <w:rPr>
          <w:rFonts w:ascii="Verdana" w:hAnsi="Verdana" w:cs="Arial"/>
          <w:color w:val="7030A0"/>
          <w:lang w:val="es-ES"/>
        </w:rPr>
      </w:pPr>
    </w:p>
    <w:p w14:paraId="18B4E84D" w14:textId="77777777" w:rsidR="00E86E4B" w:rsidRPr="00D931CF" w:rsidRDefault="00E86E4B" w:rsidP="00E86E4B">
      <w:pPr>
        <w:widowControl w:val="0"/>
        <w:autoSpaceDE w:val="0"/>
        <w:autoSpaceDN w:val="0"/>
        <w:spacing w:after="0" w:line="276" w:lineRule="auto"/>
        <w:jc w:val="both"/>
        <w:rPr>
          <w:rFonts w:ascii="Verdana" w:hAnsi="Verdana" w:cs="Arial"/>
          <w:lang w:val="es-ES"/>
        </w:rPr>
      </w:pPr>
      <w:r w:rsidRPr="00D931CF">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F408200" w14:textId="77777777" w:rsidR="00E86E4B" w:rsidRPr="00D931CF" w:rsidRDefault="00E86E4B" w:rsidP="00E86E4B">
      <w:pPr>
        <w:widowControl w:val="0"/>
        <w:autoSpaceDE w:val="0"/>
        <w:autoSpaceDN w:val="0"/>
        <w:spacing w:after="0" w:line="276" w:lineRule="auto"/>
        <w:jc w:val="both"/>
        <w:rPr>
          <w:rFonts w:ascii="Verdana" w:hAnsi="Verdana" w:cs="Arial"/>
          <w:color w:val="7030A0"/>
          <w:lang w:val="es-ES"/>
        </w:rPr>
      </w:pPr>
    </w:p>
    <w:p w14:paraId="18C82467" w14:textId="77777777" w:rsidR="00E86E4B" w:rsidRPr="00D931CF" w:rsidRDefault="00E86E4B" w:rsidP="00E86E4B">
      <w:pPr>
        <w:spacing w:after="0" w:line="276" w:lineRule="auto"/>
        <w:rPr>
          <w:rFonts w:ascii="Verdana" w:hAnsi="Verdana" w:cs="Arial"/>
          <w:lang w:val="es-ES" w:eastAsia="es-CO"/>
        </w:rPr>
      </w:pPr>
      <w:r w:rsidRPr="00D931CF">
        <w:rPr>
          <w:rFonts w:ascii="Verdana" w:eastAsia="Times New Roman" w:hAnsi="Verdana" w:cs="Arial"/>
          <w:lang w:val="es-ES" w:eastAsia="es-CO"/>
        </w:rPr>
        <w:t>Atentamente,</w:t>
      </w:r>
      <w:r w:rsidRPr="00D931CF">
        <w:rPr>
          <w:rFonts w:ascii="Verdana" w:hAnsi="Verdana" w:cs="Arial"/>
          <w:lang w:val="es-ES" w:eastAsia="es-CO"/>
        </w:rPr>
        <w:t xml:space="preserve"> </w:t>
      </w:r>
    </w:p>
    <w:p w14:paraId="51293432" w14:textId="77777777" w:rsidR="00E86E4B" w:rsidRPr="00D931CF" w:rsidRDefault="00E86E4B" w:rsidP="00E86E4B">
      <w:pPr>
        <w:spacing w:after="0" w:line="276" w:lineRule="auto"/>
        <w:jc w:val="center"/>
        <w:rPr>
          <w:rFonts w:ascii="Verdana" w:hAnsi="Verdana"/>
          <w:noProof/>
        </w:rPr>
      </w:pPr>
    </w:p>
    <w:p w14:paraId="47816F0C" w14:textId="2F81DF6E" w:rsidR="00E86E4B" w:rsidRPr="00296A32" w:rsidRDefault="001A34C9" w:rsidP="00E86E4B">
      <w:pPr>
        <w:spacing w:after="0" w:line="276" w:lineRule="auto"/>
        <w:jc w:val="center"/>
        <w:rPr>
          <w:rFonts w:ascii="Verdana" w:hAnsi="Verdana"/>
          <w:noProof/>
        </w:rPr>
      </w:pPr>
      <w:r w:rsidRPr="001A34C9">
        <w:rPr>
          <w:rFonts w:ascii="Verdana" w:hAnsi="Verdana"/>
          <w:noProof/>
        </w:rPr>
        <w:lastRenderedPageBreak/>
        <w:drawing>
          <wp:inline distT="0" distB="0" distL="0" distR="0" wp14:anchorId="24653B6E" wp14:editId="221779B1">
            <wp:extent cx="3077004" cy="1028844"/>
            <wp:effectExtent l="0" t="0" r="0" b="0"/>
            <wp:docPr id="199226136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261367" name="Imagen 1" descr="Texto&#10;&#10;El contenido generado por IA puede ser incorrecto."/>
                    <pic:cNvPicPr/>
                  </pic:nvPicPr>
                  <pic:blipFill>
                    <a:blip r:embed="rId14"/>
                    <a:stretch>
                      <a:fillRect/>
                    </a:stretch>
                  </pic:blipFill>
                  <pic:spPr>
                    <a:xfrm>
                      <a:off x="0" y="0"/>
                      <a:ext cx="3077004" cy="1028844"/>
                    </a:xfrm>
                    <a:prstGeom prst="rect">
                      <a:avLst/>
                    </a:prstGeom>
                  </pic:spPr>
                </pic:pic>
              </a:graphicData>
            </a:graphic>
          </wp:inline>
        </w:drawing>
      </w:r>
    </w:p>
    <w:p w14:paraId="4B8E07F5" w14:textId="77777777" w:rsidR="00E86E4B" w:rsidRPr="00D931CF" w:rsidRDefault="00E86E4B" w:rsidP="00E86E4B">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6E4B" w:rsidRPr="00D931CF" w14:paraId="10260208" w14:textId="77777777" w:rsidTr="00212C06">
        <w:trPr>
          <w:trHeight w:val="315"/>
        </w:trPr>
        <w:tc>
          <w:tcPr>
            <w:tcW w:w="893" w:type="dxa"/>
            <w:vAlign w:val="center"/>
            <w:hideMark/>
          </w:tcPr>
          <w:p w14:paraId="22D431B9" w14:textId="77777777" w:rsidR="00E86E4B" w:rsidRPr="00D931CF" w:rsidRDefault="00E86E4B" w:rsidP="00212C06">
            <w:pPr>
              <w:contextualSpacing/>
              <w:rPr>
                <w:rFonts w:ascii="Verdana" w:hAnsi="Verdana" w:cs="Arial"/>
                <w:sz w:val="16"/>
                <w:szCs w:val="16"/>
                <w:lang w:val="es-ES" w:eastAsia="es-ES"/>
              </w:rPr>
            </w:pPr>
            <w:r w:rsidRPr="00D931C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845961" w14:textId="77777777" w:rsidR="00E86E4B" w:rsidRPr="00D931CF" w:rsidRDefault="00E86E4B" w:rsidP="00212C06">
            <w:pPr>
              <w:rPr>
                <w:rFonts w:ascii="Verdana" w:eastAsia="Times New Roman" w:hAnsi="Verdana" w:cs="Arial"/>
                <w:sz w:val="16"/>
                <w:szCs w:val="16"/>
                <w:lang w:eastAsia="es-ES"/>
              </w:rPr>
            </w:pPr>
            <w:r w:rsidRPr="00D931CF">
              <w:rPr>
                <w:rFonts w:ascii="Verdana" w:eastAsia="Times New Roman" w:hAnsi="Verdana" w:cs="Arial"/>
                <w:sz w:val="16"/>
                <w:szCs w:val="16"/>
                <w:lang w:eastAsia="es-ES"/>
              </w:rPr>
              <w:t>Camila Alejandra Naranjo Gómez</w:t>
            </w:r>
          </w:p>
          <w:p w14:paraId="0D65A98B" w14:textId="77777777" w:rsidR="00E86E4B" w:rsidRPr="00D931CF" w:rsidRDefault="00E86E4B" w:rsidP="00212C06">
            <w:pPr>
              <w:contextualSpacing/>
              <w:rPr>
                <w:rFonts w:ascii="Verdana" w:eastAsia="Arial" w:hAnsi="Verdana" w:cs="Arial"/>
                <w:sz w:val="16"/>
                <w:szCs w:val="16"/>
                <w:lang w:val="es-ES"/>
              </w:rPr>
            </w:pPr>
            <w:r w:rsidRPr="00D931CF">
              <w:rPr>
                <w:rFonts w:ascii="Verdana" w:eastAsia="Times New Roman" w:hAnsi="Verdana" w:cs="Arial"/>
                <w:sz w:val="16"/>
                <w:szCs w:val="16"/>
                <w:lang w:eastAsia="es-ES"/>
              </w:rPr>
              <w:t>Analista T2-02 de la Subdirección de Gestión Contractual</w:t>
            </w:r>
          </w:p>
        </w:tc>
      </w:tr>
      <w:tr w:rsidR="00E86E4B" w:rsidRPr="00D931CF" w14:paraId="4BCF5BAC" w14:textId="77777777" w:rsidTr="00212C06">
        <w:trPr>
          <w:trHeight w:val="330"/>
        </w:trPr>
        <w:tc>
          <w:tcPr>
            <w:tcW w:w="893" w:type="dxa"/>
            <w:vAlign w:val="center"/>
            <w:hideMark/>
          </w:tcPr>
          <w:p w14:paraId="1D2899CA" w14:textId="77777777" w:rsidR="00E86E4B" w:rsidRPr="00D931CF" w:rsidRDefault="00E86E4B" w:rsidP="00212C06">
            <w:pPr>
              <w:contextualSpacing/>
              <w:rPr>
                <w:rFonts w:ascii="Verdana" w:hAnsi="Verdana" w:cs="Arial"/>
                <w:sz w:val="16"/>
                <w:szCs w:val="16"/>
                <w:lang w:val="es-ES" w:eastAsia="es-ES"/>
              </w:rPr>
            </w:pPr>
            <w:r w:rsidRPr="00D931C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A0ACA8" w14:textId="77777777" w:rsidR="00E86E4B" w:rsidRPr="00D931CF" w:rsidRDefault="00E86E4B" w:rsidP="00212C06">
            <w:pPr>
              <w:rPr>
                <w:rFonts w:ascii="Verdana" w:eastAsia="Times New Roman" w:hAnsi="Verdana" w:cs="Arial"/>
                <w:sz w:val="16"/>
                <w:szCs w:val="16"/>
                <w:lang w:eastAsia="es-ES"/>
              </w:rPr>
            </w:pPr>
            <w:r w:rsidRPr="00D931CF">
              <w:rPr>
                <w:rFonts w:ascii="Verdana" w:eastAsia="Times New Roman" w:hAnsi="Verdana" w:cs="Arial"/>
                <w:sz w:val="16"/>
                <w:szCs w:val="16"/>
                <w:lang w:eastAsia="es-ES"/>
              </w:rPr>
              <w:t>Alejandro Sarmiento Cantillo</w:t>
            </w:r>
          </w:p>
          <w:p w14:paraId="640C6D70" w14:textId="77777777" w:rsidR="00E86E4B" w:rsidRPr="00D931CF" w:rsidRDefault="00E86E4B" w:rsidP="00212C06">
            <w:pPr>
              <w:pStyle w:val="paragraph"/>
              <w:spacing w:before="0" w:beforeAutospacing="0" w:after="0" w:afterAutospacing="0"/>
              <w:contextualSpacing/>
              <w:textAlignment w:val="baseline"/>
              <w:rPr>
                <w:rFonts w:ascii="Verdana" w:hAnsi="Verdana" w:cs="Segoe UI"/>
                <w:sz w:val="16"/>
                <w:szCs w:val="16"/>
                <w:lang w:val="es-ES"/>
              </w:rPr>
            </w:pPr>
            <w:r w:rsidRPr="00D931CF">
              <w:rPr>
                <w:rFonts w:ascii="Verdana" w:hAnsi="Verdana" w:cs="Arial"/>
                <w:sz w:val="16"/>
                <w:szCs w:val="16"/>
                <w:lang w:eastAsia="es-ES"/>
              </w:rPr>
              <w:t>Gestor T1 ‒ 15 de la Subdirección de Gestión Contractual</w:t>
            </w:r>
          </w:p>
        </w:tc>
      </w:tr>
      <w:tr w:rsidR="00E86E4B" w:rsidRPr="00D931CF" w14:paraId="5D65E1F4" w14:textId="77777777" w:rsidTr="00212C06">
        <w:trPr>
          <w:trHeight w:val="300"/>
        </w:trPr>
        <w:tc>
          <w:tcPr>
            <w:tcW w:w="893" w:type="dxa"/>
            <w:vAlign w:val="center"/>
          </w:tcPr>
          <w:p w14:paraId="6CFCA43B" w14:textId="77777777" w:rsidR="00E86E4B" w:rsidRPr="00D931CF" w:rsidRDefault="00E86E4B" w:rsidP="00212C06">
            <w:pPr>
              <w:contextualSpacing/>
              <w:rPr>
                <w:rFonts w:ascii="Verdana" w:hAnsi="Verdana" w:cs="Arial"/>
                <w:sz w:val="16"/>
                <w:szCs w:val="16"/>
                <w:lang w:val="es-ES" w:eastAsia="es-ES"/>
              </w:rPr>
            </w:pPr>
            <w:r w:rsidRPr="00D931C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3567F7" w14:textId="77777777" w:rsidR="00E86E4B" w:rsidRPr="00D931CF" w:rsidRDefault="00E86E4B" w:rsidP="00212C06">
            <w:pPr>
              <w:contextualSpacing/>
              <w:rPr>
                <w:rFonts w:ascii="Verdana" w:eastAsia="Calibri" w:hAnsi="Verdana" w:cs="Arial"/>
                <w:sz w:val="16"/>
                <w:szCs w:val="16"/>
                <w:lang w:val="es-ES" w:eastAsia="es-ES"/>
              </w:rPr>
            </w:pPr>
            <w:r w:rsidRPr="00D931CF">
              <w:rPr>
                <w:rFonts w:ascii="Verdana" w:eastAsia="Calibri" w:hAnsi="Verdana" w:cs="Arial"/>
                <w:sz w:val="16"/>
                <w:szCs w:val="16"/>
                <w:lang w:val="es-ES" w:eastAsia="es-ES"/>
              </w:rPr>
              <w:t>Carolina Quintero Gacharná</w:t>
            </w:r>
          </w:p>
          <w:p w14:paraId="22E24460" w14:textId="77777777" w:rsidR="00E86E4B" w:rsidRPr="00D931CF" w:rsidRDefault="00E86E4B" w:rsidP="00212C06">
            <w:pPr>
              <w:contextualSpacing/>
              <w:rPr>
                <w:rFonts w:ascii="Verdana" w:eastAsia="Calibri" w:hAnsi="Verdana" w:cs="Arial"/>
                <w:sz w:val="16"/>
                <w:szCs w:val="16"/>
                <w:lang w:val="es-ES" w:eastAsia="es-ES"/>
              </w:rPr>
            </w:pPr>
            <w:r w:rsidRPr="00D931CF">
              <w:rPr>
                <w:rFonts w:ascii="Verdana" w:eastAsia="Calibri" w:hAnsi="Verdana" w:cs="Arial"/>
                <w:sz w:val="16"/>
                <w:szCs w:val="16"/>
                <w:lang w:val="es-ES" w:eastAsia="es-ES"/>
              </w:rPr>
              <w:t>Subdirectora de Gestión Contractual ANCP – CCE</w:t>
            </w:r>
          </w:p>
        </w:tc>
      </w:tr>
    </w:tbl>
    <w:p w14:paraId="289A27A2" w14:textId="77777777" w:rsidR="00E86E4B" w:rsidRPr="00D931CF" w:rsidRDefault="00E86E4B" w:rsidP="00E86E4B">
      <w:pPr>
        <w:spacing w:after="120" w:line="276" w:lineRule="auto"/>
        <w:jc w:val="both"/>
        <w:rPr>
          <w:rFonts w:ascii="Verdana" w:eastAsia="Century Gothic" w:hAnsi="Verdana" w:cs="Century Gothic"/>
          <w:b/>
          <w:color w:val="7030A0"/>
        </w:rPr>
      </w:pPr>
    </w:p>
    <w:bookmarkEnd w:id="0"/>
    <w:p w14:paraId="3CEF2B19" w14:textId="08B9B5E3" w:rsidR="00E86E4B" w:rsidRPr="00D931CF" w:rsidRDefault="00E86E4B" w:rsidP="00E86E4B">
      <w:pPr>
        <w:spacing w:after="120" w:line="276" w:lineRule="auto"/>
        <w:jc w:val="both"/>
        <w:rPr>
          <w:rFonts w:ascii="Verdana" w:eastAsia="Century Gothic" w:hAnsi="Verdana" w:cs="Century Gothic"/>
          <w:b/>
          <w:color w:val="7030A0"/>
          <w:lang w:val="es-ES"/>
        </w:rPr>
      </w:pPr>
    </w:p>
    <w:p w14:paraId="0F293BF4" w14:textId="4DE2E315" w:rsidR="00127233" w:rsidRPr="00E86E4B" w:rsidRDefault="00127233" w:rsidP="00E86E4B"/>
    <w:sectPr w:rsidR="00127233" w:rsidRPr="00E86E4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5CECE" w14:textId="77777777" w:rsidR="008F4C5A" w:rsidRDefault="008F4C5A" w:rsidP="004A1847">
      <w:pPr>
        <w:spacing w:after="0" w:line="240" w:lineRule="auto"/>
      </w:pPr>
      <w:r>
        <w:separator/>
      </w:r>
    </w:p>
  </w:endnote>
  <w:endnote w:type="continuationSeparator" w:id="0">
    <w:p w14:paraId="3B8004A1" w14:textId="77777777" w:rsidR="008F4C5A" w:rsidRDefault="008F4C5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EhrhardtMTStd">
    <w:altName w:val="Cambria"/>
    <w:panose1 w:val="00000000000000000000"/>
    <w:charset w:val="00"/>
    <w:family w:val="roman"/>
    <w:notTrueType/>
    <w:pitch w:val="default"/>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356B2" w14:textId="77777777" w:rsidR="008F4C5A" w:rsidRDefault="008F4C5A" w:rsidP="004A1847">
      <w:pPr>
        <w:spacing w:after="0" w:line="240" w:lineRule="auto"/>
      </w:pPr>
      <w:r>
        <w:separator/>
      </w:r>
    </w:p>
  </w:footnote>
  <w:footnote w:type="continuationSeparator" w:id="0">
    <w:p w14:paraId="4AC18D58" w14:textId="77777777" w:rsidR="008F4C5A" w:rsidRDefault="008F4C5A" w:rsidP="004A1847">
      <w:pPr>
        <w:spacing w:after="0" w:line="240" w:lineRule="auto"/>
      </w:pPr>
      <w:r>
        <w:continuationSeparator/>
      </w:r>
    </w:p>
  </w:footnote>
  <w:footnote w:id="1">
    <w:p w14:paraId="60055391" w14:textId="77777777" w:rsidR="00E86E4B" w:rsidRPr="004438B9" w:rsidRDefault="00E86E4B" w:rsidP="00E86E4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4438B9">
        <w:rPr>
          <w:rFonts w:ascii="Verdana" w:hAnsi="Verdana" w:cs="Arial"/>
          <w:color w:val="000000"/>
          <w:sz w:val="16"/>
          <w:szCs w:val="16"/>
          <w:shd w:val="clear" w:color="auto" w:fill="FFFFFF"/>
        </w:rPr>
        <w:t>” (</w:t>
      </w:r>
      <w:r w:rsidRPr="004438B9">
        <w:rPr>
          <w:rFonts w:ascii="Verdana" w:hAnsi="Verdana" w:cs="Arial"/>
          <w:color w:val="000000"/>
          <w:sz w:val="16"/>
          <w:szCs w:val="16"/>
        </w:rPr>
        <w:t>EXPOSITO, Juan Carlos. Forma y contenido del contrato estatal. Bogotá: Universidad Externado de Colombia, p. 89 y 90).</w:t>
      </w:r>
    </w:p>
  </w:footnote>
  <w:footnote w:id="2">
    <w:p w14:paraId="4763B957" w14:textId="77777777" w:rsidR="00E86E4B" w:rsidRPr="004438B9" w:rsidRDefault="00E86E4B" w:rsidP="00E86E4B">
      <w:pPr>
        <w:pStyle w:val="Textonotapie"/>
        <w:ind w:firstLine="708"/>
        <w:jc w:val="both"/>
        <w:rPr>
          <w:rFonts w:ascii="Verdana" w:hAnsi="Verdana" w:cs="Arial"/>
          <w:color w:val="000000"/>
          <w:sz w:val="16"/>
          <w:szCs w:val="16"/>
          <w:lang w:val="es-CO"/>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57CA2C60" w14:textId="77777777" w:rsidR="00E86E4B" w:rsidRPr="004438B9" w:rsidRDefault="00E86E4B" w:rsidP="00E86E4B">
      <w:pPr>
        <w:spacing w:after="0"/>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02153CB0" w14:textId="77777777" w:rsidR="00E86E4B" w:rsidRPr="004438B9" w:rsidRDefault="00E86E4B" w:rsidP="00E86E4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EXPÓSITO VÉLEZ, Juan Carlos. Forma y contenido del contrato estatal, p. 90.</w:t>
      </w:r>
    </w:p>
  </w:footnote>
  <w:footnote w:id="5">
    <w:p w14:paraId="03C5EF4D" w14:textId="77777777" w:rsidR="00E86E4B" w:rsidRPr="004438B9" w:rsidRDefault="00E86E4B" w:rsidP="00E86E4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Sala de Consulta y Servicio Civil. Radicado No. 1453. Concepto de 6 de agosto de 2003. MP. Augusto Trejos.</w:t>
      </w:r>
    </w:p>
  </w:footnote>
  <w:footnote w:id="6">
    <w:p w14:paraId="5B7A1BC3" w14:textId="77777777" w:rsidR="00E86E4B" w:rsidRPr="004438B9" w:rsidRDefault="00E86E4B" w:rsidP="00E86E4B">
      <w:pPr>
        <w:pStyle w:val="Textonotapie"/>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w:t>
      </w:r>
      <w:r w:rsidRPr="004438B9">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768800E9" w14:textId="77777777" w:rsidR="00E86E4B" w:rsidRPr="004438B9" w:rsidRDefault="00E86E4B" w:rsidP="00E86E4B">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A97EFF1" w14:textId="77777777" w:rsidR="00E86E4B" w:rsidRPr="004438B9" w:rsidRDefault="00E86E4B" w:rsidP="00E86E4B">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11DCCFCA" w14:textId="77777777" w:rsidR="00E86E4B" w:rsidRPr="004438B9" w:rsidRDefault="00E86E4B" w:rsidP="00E86E4B">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5F1C26B0" w14:textId="77777777" w:rsidR="00E86E4B" w:rsidRPr="00EF74AB" w:rsidRDefault="00E86E4B" w:rsidP="00E86E4B">
      <w:pPr>
        <w:pStyle w:val="Textonotapie"/>
        <w:ind w:firstLine="709"/>
        <w:jc w:val="both"/>
        <w:rPr>
          <w:rFonts w:ascii="Verdana" w:hAnsi="Verdana" w:cs="Arial"/>
          <w:color w:val="000000"/>
          <w:sz w:val="16"/>
          <w:szCs w:val="16"/>
          <w:lang w:val="es-CO"/>
        </w:rPr>
      </w:pPr>
      <w:r w:rsidRPr="00EF74AB">
        <w:rPr>
          <w:rStyle w:val="Refdenotaalpie"/>
          <w:rFonts w:ascii="Verdana" w:hAnsi="Verdana" w:cs="Arial"/>
          <w:color w:val="000000"/>
          <w:sz w:val="16"/>
          <w:szCs w:val="16"/>
        </w:rPr>
        <w:footnoteRef/>
      </w:r>
      <w:r w:rsidRPr="00EF74AB">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8">
    <w:p w14:paraId="56051184" w14:textId="77777777" w:rsidR="00E86E4B" w:rsidRPr="00EF74AB" w:rsidRDefault="00E86E4B" w:rsidP="00E86E4B">
      <w:pPr>
        <w:pStyle w:val="NormalWeb"/>
        <w:spacing w:before="0" w:beforeAutospacing="0" w:after="0" w:afterAutospacing="0"/>
        <w:ind w:firstLine="709"/>
        <w:jc w:val="both"/>
        <w:rPr>
          <w:rFonts w:ascii="Verdana" w:hAnsi="Verdana" w:cs="Arial"/>
          <w:color w:val="000000"/>
          <w:sz w:val="16"/>
          <w:szCs w:val="16"/>
        </w:rPr>
      </w:pPr>
      <w:r w:rsidRPr="00EF74AB">
        <w:rPr>
          <w:rStyle w:val="Refdenotaalpie"/>
          <w:rFonts w:ascii="Verdana" w:hAnsi="Verdana" w:cs="Arial"/>
          <w:color w:val="000000"/>
          <w:sz w:val="16"/>
          <w:szCs w:val="16"/>
        </w:rPr>
        <w:footnoteRef/>
      </w:r>
      <w:r w:rsidRPr="00EF74AB">
        <w:rPr>
          <w:rFonts w:ascii="Verdana" w:hAnsi="Verdana" w:cs="Arial"/>
          <w:color w:val="000000"/>
          <w:sz w:val="16"/>
          <w:szCs w:val="16"/>
        </w:rPr>
        <w:t xml:space="preserve"> Decreto 1082 de 2015 “</w:t>
      </w:r>
      <w:r w:rsidRPr="00EF74AB">
        <w:rPr>
          <w:rStyle w:val="Fuerte"/>
          <w:rFonts w:ascii="Verdana" w:hAnsi="Verdana" w:cs="Arial"/>
          <w:b w:val="0"/>
          <w:bCs w:val="0"/>
          <w:color w:val="000000"/>
          <w:sz w:val="16"/>
          <w:szCs w:val="16"/>
        </w:rPr>
        <w:t>Artículo 2.2.1.2.1.5.2</w:t>
      </w:r>
      <w:r w:rsidRPr="00EF74AB">
        <w:rPr>
          <w:rStyle w:val="Fuerte"/>
          <w:rFonts w:ascii="Verdana" w:hAnsi="Verdana" w:cs="Arial"/>
          <w:color w:val="000000"/>
          <w:sz w:val="16"/>
          <w:szCs w:val="16"/>
        </w:rPr>
        <w:t>. </w:t>
      </w:r>
      <w:r w:rsidRPr="00EF74AB">
        <w:rPr>
          <w:rStyle w:val="nfasis"/>
          <w:rFonts w:ascii="Verdana" w:eastAsia="MS Mincho" w:hAnsi="Verdana" w:cs="Arial"/>
          <w:color w:val="000000"/>
          <w:sz w:val="16"/>
          <w:szCs w:val="16"/>
        </w:rPr>
        <w:t>Procedimiento para la contratación de mínima cuantía. </w:t>
      </w:r>
      <w:r w:rsidRPr="00EF74AB">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1B7DDE28" w14:textId="77777777" w:rsidR="00E86E4B" w:rsidRPr="004438B9" w:rsidRDefault="00E86E4B" w:rsidP="00E86E4B">
      <w:pPr>
        <w:pStyle w:val="NormalWeb"/>
        <w:spacing w:before="0" w:beforeAutospacing="0" w:after="0" w:afterAutospacing="0"/>
        <w:jc w:val="both"/>
        <w:rPr>
          <w:rFonts w:ascii="Verdana" w:hAnsi="Verdana" w:cs="Arial"/>
          <w:color w:val="000000"/>
          <w:sz w:val="16"/>
          <w:szCs w:val="16"/>
        </w:rPr>
      </w:pPr>
      <w:r w:rsidRPr="00EF74AB">
        <w:rPr>
          <w:rFonts w:ascii="Verdana" w:hAnsi="Verdana" w:cs="Arial"/>
          <w:color w:val="000000"/>
          <w:sz w:val="16"/>
          <w:szCs w:val="16"/>
        </w:rPr>
        <w:t>  </w:t>
      </w:r>
      <w:r w:rsidRPr="00EF74AB">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w:t>
      </w:r>
      <w:r w:rsidRPr="004438B9">
        <w:rPr>
          <w:rFonts w:ascii="Verdana" w:hAnsi="Verdana" w:cs="Arial"/>
          <w:color w:val="000000"/>
          <w:sz w:val="16"/>
          <w:szCs w:val="16"/>
        </w:rPr>
        <w:t> </w:t>
      </w:r>
    </w:p>
  </w:footnote>
  <w:footnote w:id="9">
    <w:p w14:paraId="46C058E8" w14:textId="77777777" w:rsidR="00E86E4B" w:rsidRPr="00274250" w:rsidRDefault="00E86E4B" w:rsidP="00E86E4B">
      <w:pPr>
        <w:pStyle w:val="NormalWeb"/>
        <w:spacing w:before="0" w:beforeAutospacing="0" w:after="0" w:afterAutospacing="0"/>
        <w:ind w:firstLine="720"/>
        <w:jc w:val="both"/>
        <w:rPr>
          <w:rFonts w:ascii="Verdana" w:hAnsi="Verdana" w:cs="Arial"/>
          <w:color w:val="000000"/>
          <w:sz w:val="16"/>
          <w:szCs w:val="16"/>
        </w:rPr>
      </w:pPr>
      <w:r w:rsidRPr="00274250">
        <w:rPr>
          <w:rStyle w:val="Refdenotaalpie"/>
          <w:rFonts w:ascii="Verdana" w:hAnsi="Verdana" w:cs="Arial"/>
          <w:color w:val="000000"/>
          <w:sz w:val="16"/>
          <w:szCs w:val="16"/>
        </w:rPr>
        <w:footnoteRef/>
      </w:r>
      <w:r w:rsidRPr="00274250">
        <w:rPr>
          <w:rFonts w:ascii="Verdana" w:hAnsi="Verdana" w:cs="Arial"/>
          <w:color w:val="000000"/>
          <w:sz w:val="16"/>
          <w:szCs w:val="16"/>
        </w:rPr>
        <w:t xml:space="preserve"> Ley 80 de 1993 “</w:t>
      </w:r>
      <w:r w:rsidRPr="00274250">
        <w:rPr>
          <w:rStyle w:val="Fuerte"/>
          <w:rFonts w:ascii="Verdana" w:hAnsi="Verdana" w:cs="Arial"/>
          <w:b w:val="0"/>
          <w:bCs w:val="0"/>
          <w:color w:val="000000"/>
          <w:sz w:val="16"/>
          <w:szCs w:val="16"/>
        </w:rPr>
        <w:t>Articulo 39. De la forma del contrato estatal. </w:t>
      </w:r>
      <w:r w:rsidRPr="00274250">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5C1F94D8" w14:textId="77777777" w:rsidR="00E86E4B" w:rsidRPr="00274250" w:rsidRDefault="00E86E4B" w:rsidP="00E86E4B">
      <w:pPr>
        <w:pStyle w:val="NormalWeb"/>
        <w:spacing w:before="0" w:beforeAutospacing="0" w:after="0" w:afterAutospacing="0"/>
        <w:jc w:val="both"/>
        <w:rPr>
          <w:rFonts w:ascii="Verdana" w:hAnsi="Verdana" w:cs="Arial"/>
          <w:color w:val="000000"/>
          <w:sz w:val="16"/>
          <w:szCs w:val="16"/>
        </w:rPr>
      </w:pPr>
      <w:r w:rsidRPr="00274250">
        <w:rPr>
          <w:rFonts w:ascii="Verdana" w:hAnsi="Verdana" w:cs="Arial"/>
          <w:color w:val="000000"/>
          <w:sz w:val="16"/>
          <w:szCs w:val="16"/>
        </w:rPr>
        <w:t>  </w:t>
      </w:r>
      <w:r w:rsidRPr="00274250">
        <w:rPr>
          <w:rFonts w:ascii="Verdana" w:hAnsi="Verdana" w:cs="Arial"/>
          <w:color w:val="000000"/>
          <w:sz w:val="16"/>
          <w:szCs w:val="16"/>
        </w:rPr>
        <w:tab/>
        <w:t>[…]</w:t>
      </w:r>
      <w:bookmarkStart w:id="3" w:name="ver_1790147"/>
      <w:bookmarkStart w:id="4" w:name="ver_30220791"/>
      <w:bookmarkStart w:id="5" w:name="ver_1790148"/>
      <w:bookmarkEnd w:id="3"/>
      <w:bookmarkEnd w:id="4"/>
    </w:p>
    <w:p w14:paraId="429E1722" w14:textId="77777777" w:rsidR="00E86E4B" w:rsidRPr="00274250" w:rsidRDefault="00E86E4B" w:rsidP="00E86E4B">
      <w:pPr>
        <w:pStyle w:val="NormalWeb"/>
        <w:spacing w:before="0" w:beforeAutospacing="0" w:after="0" w:afterAutospacing="0"/>
        <w:ind w:firstLine="720"/>
        <w:jc w:val="both"/>
        <w:rPr>
          <w:rFonts w:ascii="Verdana" w:hAnsi="Verdana" w:cs="Arial"/>
          <w:color w:val="000000"/>
          <w:sz w:val="16"/>
          <w:szCs w:val="16"/>
        </w:rPr>
      </w:pPr>
      <w:r w:rsidRPr="00274250">
        <w:rPr>
          <w:rStyle w:val="Fuerte"/>
          <w:rFonts w:ascii="Verdana" w:hAnsi="Verdana" w:cs="Arial"/>
          <w:b w:val="0"/>
          <w:bCs w:val="0"/>
          <w:color w:val="000000"/>
          <w:sz w:val="16"/>
          <w:szCs w:val="16"/>
        </w:rPr>
        <w:t>Artículo 40. Del contenido del contrato estatal.</w:t>
      </w:r>
      <w:r w:rsidRPr="00274250">
        <w:rPr>
          <w:rFonts w:ascii="Verdana" w:hAnsi="Verdana" w:cs="Arial"/>
          <w:color w:val="000000"/>
          <w:sz w:val="16"/>
          <w:szCs w:val="16"/>
        </w:rPr>
        <w:t> Las estipulaciones de los contratos serán las que, de acuerdo con las normas civiles, comerciales y las previstas en esta ley, correspondan a su esencia y naturaleza. Las entidades podrán celebrar los contratos y acuerdos que permitan la autonomía de la voluntad y requieran el cumplimiento de los fines estatales. </w:t>
      </w:r>
    </w:p>
    <w:p w14:paraId="45EA4613" w14:textId="77777777" w:rsidR="00E86E4B" w:rsidRPr="00274250" w:rsidRDefault="00E86E4B" w:rsidP="00E86E4B">
      <w:pPr>
        <w:pStyle w:val="NormalWeb"/>
        <w:spacing w:before="0" w:beforeAutospacing="0" w:after="0" w:afterAutospacing="0"/>
        <w:jc w:val="both"/>
        <w:rPr>
          <w:rFonts w:ascii="Verdana" w:hAnsi="Verdana" w:cs="Arial"/>
          <w:color w:val="000000"/>
          <w:sz w:val="16"/>
          <w:szCs w:val="16"/>
        </w:rPr>
      </w:pPr>
      <w:r w:rsidRPr="00274250">
        <w:rPr>
          <w:rFonts w:ascii="Verdana" w:hAnsi="Verdana" w:cs="Arial"/>
          <w:color w:val="000000"/>
          <w:sz w:val="16"/>
          <w:szCs w:val="16"/>
        </w:rPr>
        <w:t>  </w:t>
      </w:r>
      <w:r w:rsidRPr="00274250">
        <w:rPr>
          <w:rFonts w:ascii="Verdana" w:hAnsi="Verdana" w:cs="Arial"/>
          <w:color w:val="000000"/>
          <w:sz w:val="16"/>
          <w:szCs w:val="16"/>
        </w:rPr>
        <w:tab/>
        <w:t>[…]  </w:t>
      </w:r>
    </w:p>
    <w:p w14:paraId="478F0EC2" w14:textId="77777777" w:rsidR="00E86E4B" w:rsidRPr="00274250" w:rsidRDefault="00E86E4B" w:rsidP="00E86E4B">
      <w:pPr>
        <w:pStyle w:val="NormalWeb"/>
        <w:spacing w:before="0" w:beforeAutospacing="0" w:after="0" w:afterAutospacing="0"/>
        <w:ind w:firstLine="720"/>
        <w:jc w:val="both"/>
        <w:rPr>
          <w:rFonts w:ascii="Verdana" w:hAnsi="Verdana" w:cs="Arial"/>
          <w:color w:val="000000"/>
          <w:sz w:val="16"/>
          <w:szCs w:val="16"/>
        </w:rPr>
      </w:pPr>
      <w:bookmarkStart w:id="6" w:name="ver_30161420"/>
      <w:bookmarkStart w:id="7" w:name="ver_1790149"/>
      <w:bookmarkStart w:id="8" w:name="ver_30161408"/>
      <w:bookmarkStart w:id="9" w:name="ver_30161443"/>
      <w:bookmarkEnd w:id="5"/>
      <w:bookmarkEnd w:id="6"/>
      <w:bookmarkEnd w:id="7"/>
      <w:bookmarkEnd w:id="8"/>
      <w:bookmarkEnd w:id="9"/>
      <w:r w:rsidRPr="00274250">
        <w:rPr>
          <w:rStyle w:val="Fuerte"/>
          <w:rFonts w:ascii="Verdana" w:hAnsi="Verdana" w:cs="Arial"/>
          <w:b w:val="0"/>
          <w:bCs w:val="0"/>
          <w:color w:val="000000"/>
          <w:sz w:val="16"/>
          <w:szCs w:val="16"/>
        </w:rPr>
        <w:t>Artículo 41. Del perfeccionamiento del contrato.</w:t>
      </w:r>
      <w:r w:rsidRPr="00274250">
        <w:rPr>
          <w:rFonts w:ascii="Verdana" w:hAnsi="Verdana" w:cs="Arial"/>
          <w:color w:val="000000"/>
          <w:sz w:val="16"/>
          <w:szCs w:val="16"/>
        </w:rPr>
        <w:t> Los contratos del Estado se perfeccionan cuando se logre acuerdo sobre el objeto y la contraprestación y éste se eleve a escrito […]”.</w:t>
      </w:r>
    </w:p>
  </w:footnote>
  <w:footnote w:id="10">
    <w:p w14:paraId="563609BC" w14:textId="77777777" w:rsidR="00E86E4B" w:rsidRPr="00274250" w:rsidRDefault="00E86E4B" w:rsidP="00E86E4B">
      <w:pPr>
        <w:pStyle w:val="Textonotapie"/>
        <w:ind w:firstLine="709"/>
        <w:jc w:val="both"/>
        <w:rPr>
          <w:rFonts w:ascii="Verdana" w:hAnsi="Verdana" w:cs="Arial"/>
          <w:color w:val="000000"/>
          <w:sz w:val="16"/>
          <w:szCs w:val="16"/>
        </w:rPr>
      </w:pPr>
      <w:r w:rsidRPr="00274250">
        <w:rPr>
          <w:rStyle w:val="Refdenotaalpie"/>
          <w:rFonts w:ascii="Verdana" w:hAnsi="Verdana" w:cs="Arial"/>
          <w:color w:val="000000"/>
          <w:sz w:val="16"/>
          <w:szCs w:val="16"/>
        </w:rPr>
        <w:footnoteRef/>
      </w:r>
      <w:r w:rsidRPr="00274250">
        <w:rPr>
          <w:rFonts w:ascii="Verdana" w:hAnsi="Verdana" w:cs="Arial"/>
          <w:color w:val="000000"/>
          <w:sz w:val="16"/>
          <w:szCs w:val="16"/>
        </w:rPr>
        <w:t xml:space="preserve"> Ley 80 de 1993 “</w:t>
      </w:r>
      <w:r w:rsidRPr="00274250">
        <w:rPr>
          <w:rStyle w:val="Fuerte"/>
          <w:rFonts w:ascii="Verdana" w:hAnsi="Verdana" w:cs="Arial"/>
          <w:b w:val="0"/>
          <w:bCs w:val="0"/>
          <w:color w:val="000000"/>
          <w:sz w:val="16"/>
          <w:szCs w:val="16"/>
        </w:rPr>
        <w:t>Artículo 77. De la normatividad aplicable en las actuaciones administrativas.</w:t>
      </w:r>
      <w:r w:rsidRPr="00274250">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7220424B" w14:textId="77777777" w:rsidR="00E86E4B" w:rsidRPr="00274250" w:rsidRDefault="00E86E4B" w:rsidP="00E86E4B">
      <w:pPr>
        <w:pStyle w:val="NormalWeb"/>
        <w:spacing w:before="0" w:beforeAutospacing="0" w:after="0" w:afterAutospacing="0"/>
        <w:ind w:firstLine="709"/>
        <w:jc w:val="both"/>
        <w:rPr>
          <w:rFonts w:ascii="Verdana" w:hAnsi="Verdana" w:cs="Arial"/>
          <w:color w:val="000000"/>
          <w:sz w:val="16"/>
          <w:szCs w:val="16"/>
        </w:rPr>
      </w:pPr>
      <w:r w:rsidRPr="00274250">
        <w:rPr>
          <w:rStyle w:val="Refdenotaalpie"/>
          <w:rFonts w:ascii="Verdana" w:hAnsi="Verdana" w:cs="Arial"/>
          <w:color w:val="000000"/>
          <w:sz w:val="16"/>
          <w:szCs w:val="16"/>
        </w:rPr>
        <w:footnoteRef/>
      </w:r>
      <w:r w:rsidRPr="00274250">
        <w:rPr>
          <w:rFonts w:ascii="Verdana" w:hAnsi="Verdana" w:cs="Arial"/>
          <w:color w:val="000000"/>
          <w:sz w:val="16"/>
          <w:szCs w:val="16"/>
        </w:rPr>
        <w:t xml:space="preserve"> Ley 80 de 1993 “</w:t>
      </w:r>
      <w:r w:rsidRPr="00274250">
        <w:rPr>
          <w:rStyle w:val="Fuerte"/>
          <w:rFonts w:ascii="Verdana" w:hAnsi="Verdana" w:cs="Arial"/>
          <w:b w:val="0"/>
          <w:bCs w:val="0"/>
          <w:color w:val="000000"/>
          <w:sz w:val="16"/>
          <w:szCs w:val="16"/>
        </w:rPr>
        <w:t>Artículo 25. Del principio de economía.</w:t>
      </w:r>
      <w:r w:rsidRPr="00274250">
        <w:rPr>
          <w:rFonts w:ascii="Verdana" w:hAnsi="Verdana" w:cs="Arial"/>
          <w:color w:val="000000"/>
          <w:sz w:val="16"/>
          <w:szCs w:val="16"/>
        </w:rPr>
        <w:t> En virtud de este principio: </w:t>
      </w:r>
    </w:p>
    <w:p w14:paraId="5A9C1EA5" w14:textId="77777777" w:rsidR="00E86E4B" w:rsidRPr="00274250" w:rsidRDefault="00E86E4B" w:rsidP="00E86E4B">
      <w:pPr>
        <w:pStyle w:val="NormalWeb"/>
        <w:spacing w:before="0" w:beforeAutospacing="0" w:after="0" w:afterAutospacing="0"/>
        <w:ind w:firstLine="709"/>
        <w:jc w:val="both"/>
        <w:rPr>
          <w:rFonts w:ascii="Verdana" w:hAnsi="Verdana" w:cs="Arial"/>
          <w:color w:val="000000"/>
          <w:sz w:val="16"/>
          <w:szCs w:val="16"/>
        </w:rPr>
      </w:pPr>
      <w:r w:rsidRPr="00274250">
        <w:rPr>
          <w:rFonts w:ascii="Verdana" w:hAnsi="Verdana" w:cs="Arial"/>
          <w:color w:val="000000"/>
          <w:sz w:val="16"/>
          <w:szCs w:val="16"/>
        </w:rPr>
        <w:t>[…]</w:t>
      </w:r>
    </w:p>
    <w:p w14:paraId="32509342" w14:textId="77777777" w:rsidR="00E86E4B" w:rsidRPr="00274250" w:rsidRDefault="00E86E4B" w:rsidP="00E86E4B">
      <w:pPr>
        <w:pStyle w:val="NormalWeb"/>
        <w:spacing w:before="0" w:beforeAutospacing="0" w:after="0" w:afterAutospacing="0"/>
        <w:ind w:firstLine="709"/>
        <w:jc w:val="both"/>
        <w:rPr>
          <w:rFonts w:ascii="Verdana" w:hAnsi="Verdana" w:cs="Arial"/>
          <w:color w:val="000000"/>
          <w:sz w:val="16"/>
          <w:szCs w:val="16"/>
        </w:rPr>
      </w:pPr>
      <w:r w:rsidRPr="00274250">
        <w:rPr>
          <w:rFonts w:ascii="Verdana" w:hAnsi="Verdana" w:cs="Arial"/>
          <w:color w:val="000000"/>
          <w:sz w:val="16"/>
          <w:szCs w:val="16"/>
        </w:rPr>
        <w:t>4o. Los trámites se adelantarán con austeridad de tiempo, medios y gastos y se impedirán las dilaciones y los retardos en la ejecución del contrato. </w:t>
      </w:r>
    </w:p>
    <w:p w14:paraId="582E135B" w14:textId="77777777" w:rsidR="00E86E4B" w:rsidRPr="004438B9" w:rsidRDefault="00E86E4B" w:rsidP="00E86E4B">
      <w:pPr>
        <w:pStyle w:val="NormalWeb"/>
        <w:spacing w:before="0" w:beforeAutospacing="0" w:after="0" w:afterAutospacing="0"/>
        <w:jc w:val="both"/>
        <w:rPr>
          <w:rFonts w:ascii="Verdana" w:hAnsi="Verdana" w:cs="Arial"/>
          <w:color w:val="000000"/>
          <w:sz w:val="16"/>
          <w:szCs w:val="16"/>
        </w:rPr>
      </w:pPr>
      <w:r w:rsidRPr="00274250">
        <w:rPr>
          <w:rFonts w:ascii="Verdana" w:hAnsi="Verdana" w:cs="Arial"/>
          <w:color w:val="000000"/>
          <w:sz w:val="16"/>
          <w:szCs w:val="16"/>
        </w:rPr>
        <w:t>  </w:t>
      </w:r>
      <w:r w:rsidRPr="00274250">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2">
    <w:p w14:paraId="7AA975BA" w14:textId="77777777" w:rsidR="00E86E4B" w:rsidRPr="004438B9" w:rsidRDefault="00E86E4B" w:rsidP="00E86E4B">
      <w:pPr>
        <w:pStyle w:val="Textonotapie"/>
        <w:ind w:firstLine="708"/>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Colombia Compra Eficiente. Guía para la Liquidación de los Procesos de Contratación. página disponible en: </w:t>
      </w:r>
      <w:hyperlink r:id="rId1" w:history="1">
        <w:r>
          <w:rPr>
            <w:rStyle w:val="Hipervnculo"/>
            <w:rFonts w:ascii="Verdana" w:hAnsi="Verdana" w:cs="Arial"/>
            <w:sz w:val="16"/>
            <w:szCs w:val="16"/>
          </w:rPr>
          <w:t>Aquí</w:t>
        </w:r>
      </w:hyperlink>
    </w:p>
  </w:footnote>
  <w:footnote w:id="13">
    <w:p w14:paraId="52166172" w14:textId="77777777" w:rsidR="00E86E4B" w:rsidRPr="004438B9" w:rsidRDefault="00E86E4B" w:rsidP="00E86E4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3FA53C70" w14:textId="77777777" w:rsidR="00E86E4B" w:rsidRPr="004438B9" w:rsidRDefault="00E86E4B" w:rsidP="00E86E4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Sala de Consulta y Servicio Civil. Concepto de 28 de Junio de 2016. Radicación: 2253. C.P. Álvaro Namén Vargas. </w:t>
      </w:r>
    </w:p>
  </w:footnote>
  <w:footnote w:id="15">
    <w:p w14:paraId="410C6F5A" w14:textId="77777777" w:rsidR="00E86E4B" w:rsidRPr="004438B9" w:rsidRDefault="00E86E4B" w:rsidP="00E86E4B">
      <w:pPr>
        <w:pStyle w:val="Textonotapie"/>
        <w:ind w:firstLine="708"/>
        <w:jc w:val="both"/>
        <w:rPr>
          <w:rFonts w:ascii="Verdana" w:hAnsi="Verdana"/>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w:t>
      </w:r>
      <w:r w:rsidRPr="004438B9">
        <w:rPr>
          <w:rFonts w:ascii="Verdana" w:hAnsi="Verdana" w:cs="Arial"/>
          <w:color w:val="000000"/>
          <w:sz w:val="16"/>
          <w:szCs w:val="16"/>
          <w:lang w:val="es-CO"/>
        </w:rPr>
        <w:t xml:space="preserve">Sala Plena. Auto del 1 de agosto de 2019. </w:t>
      </w:r>
      <w:r w:rsidRPr="004438B9">
        <w:rPr>
          <w:rFonts w:ascii="Verdana" w:hAnsi="Verdana" w:cs="Arial"/>
          <w:color w:val="000000"/>
          <w:sz w:val="16"/>
          <w:szCs w:val="16"/>
        </w:rPr>
        <w:t xml:space="preserve">Exp. 62009. C.P. Jaime Enrique Rodríguez Navas. </w:t>
      </w:r>
      <w:r w:rsidRPr="004438B9">
        <w:rPr>
          <w:rFonts w:ascii="Verdana" w:hAnsi="Verdana"/>
          <w:color w:val="000000"/>
          <w:sz w:val="16"/>
          <w:szCs w:val="16"/>
          <w:lang w:val="es-ES"/>
        </w:rPr>
        <w:t xml:space="preserve"> </w:t>
      </w:r>
    </w:p>
  </w:footnote>
  <w:footnote w:id="16">
    <w:p w14:paraId="1518A14C" w14:textId="77777777" w:rsidR="00E86E4B" w:rsidRPr="00004F20" w:rsidRDefault="00E86E4B" w:rsidP="00E86E4B">
      <w:pPr>
        <w:spacing w:line="240" w:lineRule="auto"/>
        <w:ind w:firstLine="709"/>
        <w:jc w:val="both"/>
        <w:rPr>
          <w:rFonts w:ascii="Verdana" w:hAnsi="Verdana" w:cs="Arial"/>
          <w:iCs/>
          <w:color w:val="000000"/>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iCs/>
          <w:color w:val="000000"/>
          <w:sz w:val="16"/>
          <w:szCs w:val="16"/>
        </w:rPr>
        <w:t>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 Sección Tercera, Sentencia del 12 de julio de 2012, expediente 15.024 y ponencia de Danilo Rojas Betancourth</w:t>
      </w:r>
      <w:r>
        <w:rPr>
          <w:rFonts w:ascii="Verdana" w:hAnsi="Verdana" w:cs="Arial"/>
          <w:iCs/>
          <w:color w:val="000000"/>
          <w:sz w:val="16"/>
          <w:szCs w:val="16"/>
        </w:rPr>
        <w:t>.</w:t>
      </w:r>
    </w:p>
  </w:footnote>
  <w:footnote w:id="17">
    <w:p w14:paraId="6CF08CAA" w14:textId="77777777" w:rsidR="00E86E4B" w:rsidRPr="0032313B" w:rsidRDefault="00E86E4B" w:rsidP="00E86E4B">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color w:val="000000" w:themeColor="text1"/>
          <w:sz w:val="16"/>
          <w:szCs w:val="16"/>
        </w:rPr>
        <w:footnoteRef/>
      </w:r>
      <w:r w:rsidRPr="0032313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63514E77" w14:textId="77777777" w:rsidR="00E86E4B" w:rsidRPr="0032313B" w:rsidRDefault="00E86E4B" w:rsidP="00E86E4B">
      <w:pPr>
        <w:pStyle w:val="Textonotapie"/>
        <w:snapToGrid w:val="0"/>
        <w:ind w:firstLine="709"/>
        <w:contextualSpacing/>
        <w:jc w:val="both"/>
        <w:rPr>
          <w:rFonts w:ascii="Verdana" w:hAnsi="Verdana" w:cs="Arial"/>
          <w:color w:val="000000" w:themeColor="text1"/>
          <w:sz w:val="16"/>
          <w:szCs w:val="16"/>
        </w:rPr>
      </w:pPr>
    </w:p>
  </w:footnote>
  <w:footnote w:id="18">
    <w:p w14:paraId="413C1D0C" w14:textId="77777777" w:rsidR="00E86E4B" w:rsidRPr="00177341" w:rsidRDefault="00E86E4B" w:rsidP="00E86E4B">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color w:val="000000" w:themeColor="text1"/>
          <w:sz w:val="16"/>
          <w:szCs w:val="16"/>
        </w:rPr>
        <w:t xml:space="preserve">Se entiende por entidades de </w:t>
      </w:r>
      <w:r w:rsidRPr="0032313B">
        <w:rPr>
          <w:rFonts w:ascii="Verdana" w:hAnsi="Verdana" w:cs="Arial"/>
          <w:i/>
          <w:iCs/>
          <w:color w:val="000000" w:themeColor="text1"/>
          <w:sz w:val="16"/>
          <w:szCs w:val="16"/>
        </w:rPr>
        <w:t xml:space="preserve">régimen especial </w:t>
      </w:r>
      <w:r w:rsidRPr="0032313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footnote>
  <w:footnote w:id="19">
    <w:p w14:paraId="3A332BD4" w14:textId="77777777" w:rsidR="00E86E4B" w:rsidRPr="0032313B" w:rsidRDefault="00E86E4B" w:rsidP="00E86E4B">
      <w:pPr>
        <w:pStyle w:val="Textonotapie"/>
        <w:ind w:firstLine="709"/>
        <w:jc w:val="both"/>
        <w:rPr>
          <w:rFonts w:ascii="Verdana" w:hAnsi="Verdana" w:cs="Arial"/>
          <w:color w:val="000000"/>
          <w:sz w:val="16"/>
          <w:szCs w:val="16"/>
        </w:rPr>
      </w:pPr>
      <w:r w:rsidRPr="0032313B">
        <w:rPr>
          <w:rStyle w:val="Refdenotaalpie"/>
          <w:rFonts w:ascii="Verdana" w:hAnsi="Verdana" w:cs="Arial"/>
          <w:color w:val="000000"/>
          <w:sz w:val="16"/>
          <w:szCs w:val="16"/>
        </w:rPr>
        <w:footnoteRef/>
      </w:r>
      <w:r w:rsidRPr="0032313B">
        <w:rPr>
          <w:rFonts w:ascii="Verdana" w:hAnsi="Verdana" w:cs="Arial"/>
          <w:color w:val="000000"/>
          <w:sz w:val="16"/>
          <w:szCs w:val="16"/>
          <w:lang w:val="pt-BR"/>
        </w:rPr>
        <w:t xml:space="preserve"> Corte Constitucional. Sentencia C-317 de 2012. </w:t>
      </w:r>
      <w:r w:rsidRPr="0032313B">
        <w:rPr>
          <w:rFonts w:ascii="Verdana" w:hAnsi="Verdana" w:cs="Arial"/>
          <w:color w:val="000000"/>
          <w:sz w:val="16"/>
          <w:szCs w:val="16"/>
        </w:rPr>
        <w:t xml:space="preserve">M.P. María Victoria Calle Correa.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D7694"/>
    <w:rsid w:val="000F6486"/>
    <w:rsid w:val="00116940"/>
    <w:rsid w:val="00125105"/>
    <w:rsid w:val="00127233"/>
    <w:rsid w:val="0015699B"/>
    <w:rsid w:val="00191B55"/>
    <w:rsid w:val="001A33BF"/>
    <w:rsid w:val="001A34C9"/>
    <w:rsid w:val="001E4177"/>
    <w:rsid w:val="001F0B24"/>
    <w:rsid w:val="001F7DC6"/>
    <w:rsid w:val="0022400B"/>
    <w:rsid w:val="002421BB"/>
    <w:rsid w:val="0025796E"/>
    <w:rsid w:val="00261E78"/>
    <w:rsid w:val="002707A2"/>
    <w:rsid w:val="002951A0"/>
    <w:rsid w:val="002962BC"/>
    <w:rsid w:val="00296A32"/>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8798F"/>
    <w:rsid w:val="00891928"/>
    <w:rsid w:val="008A446D"/>
    <w:rsid w:val="008B25F1"/>
    <w:rsid w:val="008D180B"/>
    <w:rsid w:val="008F0EA7"/>
    <w:rsid w:val="008F4C5A"/>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6C1"/>
    <w:rsid w:val="00A122D3"/>
    <w:rsid w:val="00A14468"/>
    <w:rsid w:val="00A17F13"/>
    <w:rsid w:val="00A20739"/>
    <w:rsid w:val="00A23AF9"/>
    <w:rsid w:val="00A33C78"/>
    <w:rsid w:val="00A342E5"/>
    <w:rsid w:val="00A36EC1"/>
    <w:rsid w:val="00AA093E"/>
    <w:rsid w:val="00AB0ADB"/>
    <w:rsid w:val="00B00C0E"/>
    <w:rsid w:val="00B01B1A"/>
    <w:rsid w:val="00B0381D"/>
    <w:rsid w:val="00B438E9"/>
    <w:rsid w:val="00B44A47"/>
    <w:rsid w:val="00B72CD3"/>
    <w:rsid w:val="00B72FFF"/>
    <w:rsid w:val="00BC3D36"/>
    <w:rsid w:val="00BC4A08"/>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C27"/>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6E4B"/>
    <w:rsid w:val="00E8772A"/>
    <w:rsid w:val="00E87B44"/>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59DF"/>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86E4B"/>
    <w:pPr>
      <w:spacing w:line="240" w:lineRule="exact"/>
    </w:pPr>
    <w:rPr>
      <w:vertAlign w:val="superscript"/>
    </w:rPr>
  </w:style>
  <w:style w:type="character" w:customStyle="1" w:styleId="NormalWebCar">
    <w:name w:val="Normal (Web) Car"/>
    <w:link w:val="NormalWeb"/>
    <w:uiPriority w:val="99"/>
    <w:locked/>
    <w:rsid w:val="00E86E4B"/>
    <w:rPr>
      <w:rFonts w:ascii="Times New Roman" w:eastAsia="Times New Roman" w:hAnsi="Times New Roman" w:cs="Times New Roman"/>
      <w:sz w:val="24"/>
      <w:szCs w:val="24"/>
      <w:lang w:eastAsia="es-CO"/>
    </w:rPr>
  </w:style>
  <w:style w:type="character" w:styleId="Fuerte">
    <w:name w:val="Strong"/>
    <w:basedOn w:val="Fuentedeprrafopredeter"/>
    <w:uiPriority w:val="22"/>
    <w:qFormat/>
    <w:rsid w:val="00E86E4B"/>
    <w:rPr>
      <w:b/>
      <w:bCs/>
    </w:rPr>
  </w:style>
  <w:style w:type="character" w:styleId="nfasis">
    <w:name w:val="Emphasis"/>
    <w:basedOn w:val="Fuentedeprrafopredeter"/>
    <w:uiPriority w:val="20"/>
    <w:qFormat/>
    <w:rsid w:val="00E86E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cpm_gerencia@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EFFBEB9-74C3-4313-833E-2BBD85EAE9F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7004</Words>
  <Characters>37194</Characters>
  <Application>Microsoft Office Word</Application>
  <DocSecurity>0</DocSecurity>
  <Lines>688</Lines>
  <Paragraphs>122</Paragraphs>
  <ScaleCrop>false</ScaleCrop>
  <Company/>
  <LinksUpToDate>false</LinksUpToDate>
  <CharactersWithSpaces>44076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8</cp:revision>
  <cp:lastPrinted>2023-01-10T21:18:00Z</cp:lastPrinted>
  <dcterms:created xsi:type="dcterms:W3CDTF">2026-02-19T18:59:00Z</dcterms:created>
  <dcterms:modified xsi:type="dcterms:W3CDTF">2026-02-20T15:32:00Z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