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16EE" w14:textId="77777777" w:rsidR="005F17C1" w:rsidRDefault="005F17C1" w:rsidP="00033071">
      <w:pPr>
        <w:spacing w:after="0" w:line="240" w:lineRule="auto"/>
        <w:jc w:val="both"/>
        <w:rPr>
          <w:rFonts w:ascii="Verdana" w:hAnsi="Verdana" w:cs="Arial"/>
          <w:b/>
          <w:bCs/>
          <w:lang w:val="es-ES_tradnl"/>
        </w:rPr>
      </w:pPr>
    </w:p>
    <w:p w14:paraId="4F6488A7" w14:textId="485D339E" w:rsidR="005F17C1" w:rsidRPr="005F17C1" w:rsidRDefault="005F17C1" w:rsidP="00033071">
      <w:pPr>
        <w:spacing w:after="0" w:line="240" w:lineRule="auto"/>
        <w:jc w:val="both"/>
        <w:rPr>
          <w:rFonts w:ascii="Verdana" w:hAnsi="Verdana"/>
          <w:b/>
          <w:bCs/>
        </w:rPr>
      </w:pPr>
      <w:r w:rsidRPr="005F17C1">
        <w:rPr>
          <w:rFonts w:ascii="Verdana" w:hAnsi="Verdana" w:cs="Arial"/>
          <w:b/>
          <w:bCs/>
          <w:lang w:val="es-ES_tradnl"/>
        </w:rPr>
        <w:t xml:space="preserve">INHABILIDADES – Taxatividad – Principio de legalidad – Interpretación restrictiva </w:t>
      </w:r>
    </w:p>
    <w:p w14:paraId="386EC327" w14:textId="77777777" w:rsidR="005F17C1" w:rsidRDefault="005F17C1" w:rsidP="00033071">
      <w:pPr>
        <w:spacing w:after="0" w:line="240" w:lineRule="auto"/>
        <w:jc w:val="both"/>
        <w:rPr>
          <w:rFonts w:ascii="Verdana" w:hAnsi="Verdana"/>
        </w:rPr>
      </w:pPr>
    </w:p>
    <w:p w14:paraId="3413E7D7" w14:textId="5DE7E9C7" w:rsidR="00C92D08" w:rsidRPr="00C92D08" w:rsidRDefault="00C92D08" w:rsidP="00C92D08">
      <w:pPr>
        <w:spacing w:after="0" w:line="240" w:lineRule="auto"/>
        <w:jc w:val="both"/>
        <w:rPr>
          <w:rFonts w:ascii="Verdana" w:hAnsi="Verdana"/>
          <w:sz w:val="20"/>
          <w:szCs w:val="20"/>
        </w:rPr>
      </w:pPr>
      <w:r w:rsidRPr="00C92D08">
        <w:rPr>
          <w:rFonts w:ascii="Verdana" w:hAnsi="Verdana"/>
          <w:sz w:val="20"/>
          <w:szCs w:val="20"/>
        </w:rPr>
        <w:t>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 el carácter reconocidamente taxativo del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1BE14CBD" w14:textId="77777777" w:rsidR="00C92D08" w:rsidRPr="00C92D08" w:rsidRDefault="00C92D08" w:rsidP="00C92D08">
      <w:pPr>
        <w:spacing w:after="0" w:line="240" w:lineRule="auto"/>
        <w:jc w:val="both"/>
        <w:rPr>
          <w:rFonts w:ascii="Verdana" w:hAnsi="Verdana"/>
          <w:sz w:val="20"/>
          <w:szCs w:val="20"/>
        </w:rPr>
      </w:pPr>
    </w:p>
    <w:p w14:paraId="7AB1F06E" w14:textId="77777777" w:rsidR="00C92D08" w:rsidRDefault="00C92D08" w:rsidP="00C92D08">
      <w:pPr>
        <w:spacing w:after="0" w:line="240" w:lineRule="auto"/>
        <w:jc w:val="both"/>
        <w:rPr>
          <w:rFonts w:ascii="Verdana" w:hAnsi="Verdana"/>
          <w:sz w:val="20"/>
          <w:szCs w:val="20"/>
        </w:rPr>
      </w:pPr>
      <w:r w:rsidRPr="00C92D08">
        <w:rPr>
          <w:rFonts w:ascii="Verdana" w:hAnsi="Verdana"/>
          <w:sz w:val="20"/>
          <w:szCs w:val="20"/>
        </w:rPr>
        <w:t>De esta manera, las inhabilidades e incompatibilidades al ser límites especiales a la capacidad para presentar ofertas y celebrar contratos estatales, solo pueden tipificarse en la ley o la Constitución –o sea, deben satisfacer el principio de legalidad– y su interpretación debe ser restrictiva. En contraste, si se admitiera una interpretación amplia, extensiva, analógica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p>
    <w:p w14:paraId="62145773" w14:textId="77777777" w:rsidR="00DB25DB" w:rsidRDefault="00DB25DB" w:rsidP="00C92D08">
      <w:pPr>
        <w:spacing w:after="0" w:line="240" w:lineRule="auto"/>
        <w:jc w:val="both"/>
        <w:rPr>
          <w:rFonts w:ascii="Verdana" w:hAnsi="Verdana"/>
          <w:sz w:val="20"/>
          <w:szCs w:val="20"/>
        </w:rPr>
      </w:pPr>
    </w:p>
    <w:p w14:paraId="60D2B07A" w14:textId="77777777" w:rsidR="00DB25DB" w:rsidRDefault="00DB25DB" w:rsidP="00C92D08">
      <w:pPr>
        <w:spacing w:after="0" w:line="240" w:lineRule="auto"/>
        <w:jc w:val="both"/>
        <w:rPr>
          <w:rFonts w:ascii="Verdana" w:hAnsi="Verdana"/>
          <w:sz w:val="20"/>
          <w:szCs w:val="20"/>
        </w:rPr>
      </w:pPr>
    </w:p>
    <w:p w14:paraId="75C4C0D2" w14:textId="2E4BB725" w:rsidR="00DB25DB" w:rsidRDefault="00DB25DB" w:rsidP="00C92D08">
      <w:pPr>
        <w:spacing w:after="0" w:line="240" w:lineRule="auto"/>
        <w:jc w:val="both"/>
        <w:rPr>
          <w:rFonts w:ascii="Verdana" w:hAnsi="Verdana" w:cs="Arial"/>
          <w:b/>
          <w:bCs/>
          <w:lang w:val="es-ES_tradnl"/>
        </w:rPr>
      </w:pPr>
      <w:r w:rsidRPr="00DB25DB">
        <w:rPr>
          <w:rFonts w:ascii="Verdana" w:hAnsi="Verdana" w:cs="Arial"/>
          <w:b/>
          <w:bCs/>
          <w:lang w:val="es-ES_tradnl"/>
        </w:rPr>
        <w:t xml:space="preserve">INHABILIDADES E INCOMPATIBILIDADES – Ley 80 de 1993 – Artículo 8 – Numeral 1 – Literal g) y h) </w:t>
      </w:r>
    </w:p>
    <w:p w14:paraId="721315B1" w14:textId="77777777" w:rsidR="00DB25DB" w:rsidRDefault="00DB25DB" w:rsidP="00C92D08">
      <w:pPr>
        <w:spacing w:after="0" w:line="240" w:lineRule="auto"/>
        <w:jc w:val="both"/>
        <w:rPr>
          <w:rFonts w:ascii="Verdana" w:hAnsi="Verdana" w:cs="Arial"/>
          <w:b/>
          <w:bCs/>
          <w:lang w:val="es-ES_tradnl"/>
        </w:rPr>
      </w:pPr>
    </w:p>
    <w:p w14:paraId="20E0F4E1" w14:textId="77777777" w:rsidR="00802846" w:rsidRPr="00802846" w:rsidRDefault="00802846" w:rsidP="00802846">
      <w:pPr>
        <w:spacing w:after="120" w:line="276" w:lineRule="auto"/>
        <w:jc w:val="both"/>
        <w:rPr>
          <w:rFonts w:ascii="Verdana" w:eastAsia="Calibri" w:hAnsi="Verdana" w:cs="Arial"/>
          <w:sz w:val="20"/>
          <w:szCs w:val="20"/>
        </w:rPr>
      </w:pPr>
      <w:r w:rsidRPr="00802846">
        <w:rPr>
          <w:rFonts w:ascii="Verdana" w:eastAsia="Calibri" w:hAnsi="Verdana" w:cs="Arial"/>
          <w:sz w:val="20"/>
          <w:szCs w:val="20"/>
        </w:rPr>
        <w:t>En particular, el artículo 2.2.1.1.2.2.5 del Decreto 1082 de 2015 reglamenta el procedimiento que debe seguir la entidad estatal cuando, en un mismo proceso de contratación, se presenta la situación descrita en los literales (g) y (h) del numeral 1 del artículo 8 de la Ley 80 de 1993. Esta disposición establece que, para determinar cuál de los oferentes resulta inhabilitado, la entidad debe dejar constancia expresa de la fecha y hora de recibo de cada oferta, indicando el nombre o razón social del proponente y de su representante legal, con el fin de establecer cuál fue presentada primero en el tiempo, pues la consecuencia jurídica recae sobre la oferta posterior.</w:t>
      </w:r>
    </w:p>
    <w:p w14:paraId="2E03B0C7" w14:textId="2DDDF4CD" w:rsidR="005F17C1" w:rsidRPr="00B61904" w:rsidRDefault="00802846" w:rsidP="00B61904">
      <w:pPr>
        <w:spacing w:after="120" w:line="276" w:lineRule="auto"/>
        <w:jc w:val="both"/>
        <w:rPr>
          <w:rFonts w:ascii="Verdana" w:eastAsia="Calibri" w:hAnsi="Verdana" w:cs="Arial"/>
          <w:sz w:val="20"/>
          <w:szCs w:val="20"/>
        </w:rPr>
      </w:pPr>
      <w:r w:rsidRPr="00802846">
        <w:rPr>
          <w:rFonts w:ascii="Verdana" w:eastAsia="Calibri" w:hAnsi="Verdana" w:cs="Arial"/>
          <w:sz w:val="20"/>
          <w:szCs w:val="20"/>
        </w:rPr>
        <w:t xml:space="preserve">El fundamento legal de esta regla se encuentra en los literales g) y h) del numeral 1 del artículo 8 de la Ley 80 de 1993, los cuales consagran como causal de inhabilidad la </w:t>
      </w:r>
      <w:r w:rsidRPr="00802846">
        <w:rPr>
          <w:rFonts w:ascii="Verdana" w:eastAsia="Calibri" w:hAnsi="Verdana" w:cs="Arial"/>
          <w:sz w:val="20"/>
          <w:szCs w:val="20"/>
        </w:rPr>
        <w:lastRenderedPageBreak/>
        <w:t>participación simultánea, en un mismo proceso de selección, de personas naturales que tengan entre sí determinados grados de parentesco, así como la concurrencia de personas jurídicas cuyos socios o representantes legales se encuentren igualmente vinculados por esos lazos. Se trata de una prohibición orientada a preservar los principios de transparencia, moralidad, igualdad y selección objetiva, evitando que relaciones familiares o vínculos directos entre proponentes puedan afectar la libre concurrencia o generar ventajas indebidas.</w:t>
      </w:r>
    </w:p>
    <w:p w14:paraId="2FA73836" w14:textId="09B64AEA" w:rsidR="00B61904" w:rsidRPr="00B61904" w:rsidRDefault="00B61904" w:rsidP="00B61904">
      <w:pPr>
        <w:widowControl w:val="0"/>
        <w:spacing w:before="120" w:after="0" w:line="276" w:lineRule="auto"/>
        <w:jc w:val="both"/>
        <w:rPr>
          <w:rFonts w:ascii="Verdana" w:eastAsia="Arial" w:hAnsi="Verdana" w:cs="Arial"/>
          <w:b/>
          <w:bCs/>
          <w:sz w:val="20"/>
          <w:szCs w:val="20"/>
        </w:rPr>
      </w:pPr>
      <w:r w:rsidRPr="00B61904">
        <w:rPr>
          <w:rFonts w:ascii="Verdana" w:eastAsia="Calibri" w:hAnsi="Verdana" w:cs="Calibri"/>
          <w:b/>
          <w:bCs/>
          <w:lang w:val="es-ES"/>
        </w:rPr>
        <w:t>CAUSALES DE RECHAZO – Pliegos de Condiciones – Configuración</w:t>
      </w:r>
    </w:p>
    <w:p w14:paraId="34B94C45" w14:textId="4D3970BF" w:rsidR="00B61904" w:rsidRPr="00B61904" w:rsidRDefault="00B61904" w:rsidP="00B61904">
      <w:pPr>
        <w:widowControl w:val="0"/>
        <w:spacing w:before="120" w:after="0" w:line="276" w:lineRule="auto"/>
        <w:jc w:val="both"/>
        <w:rPr>
          <w:rFonts w:ascii="Verdana" w:eastAsia="Arial" w:hAnsi="Verdana" w:cs="Arial"/>
          <w:sz w:val="20"/>
          <w:szCs w:val="20"/>
        </w:rPr>
      </w:pPr>
      <w:r w:rsidRPr="00B61904">
        <w:rPr>
          <w:rFonts w:ascii="Verdana" w:eastAsia="Arial" w:hAnsi="Verdana" w:cs="Arial"/>
          <w:sz w:val="20"/>
          <w:szCs w:val="20"/>
        </w:rPr>
        <w:t xml:space="preserve">[…] existen dos eventos en los cuales procede el rechazo de la oferta: i) cuando se configure alguna de las causales de rechazo originadas en la ley o el reglamento y </w:t>
      </w:r>
      <w:proofErr w:type="spellStart"/>
      <w:r w:rsidRPr="00B61904">
        <w:rPr>
          <w:rFonts w:ascii="Verdana" w:eastAsia="Arial" w:hAnsi="Verdana" w:cs="Arial"/>
          <w:sz w:val="20"/>
          <w:szCs w:val="20"/>
        </w:rPr>
        <w:t>ii</w:t>
      </w:r>
      <w:proofErr w:type="spellEnd"/>
      <w:r w:rsidRPr="00B61904">
        <w:rPr>
          <w:rFonts w:ascii="Verdana" w:eastAsia="Arial" w:hAnsi="Verdana" w:cs="Arial"/>
          <w:sz w:val="20"/>
          <w:szCs w:val="20"/>
        </w:rPr>
        <w:t xml:space="preserve">) cuando se materialicen las establecidas en el pliego de condiciones. En tal sentido, las causales de rechazo de la oferta serán las consagradas en la ley o el reglamento producto de su aplicación, así como las definidas por las entidades en el respectivo pliego de condiciones. </w:t>
      </w:r>
    </w:p>
    <w:p w14:paraId="43AFB454" w14:textId="77777777" w:rsidR="00B61904" w:rsidRPr="00B61904" w:rsidRDefault="00B61904" w:rsidP="00B61904">
      <w:pPr>
        <w:widowControl w:val="0"/>
        <w:spacing w:before="120" w:after="0" w:line="276" w:lineRule="auto"/>
        <w:jc w:val="both"/>
        <w:rPr>
          <w:rFonts w:ascii="Verdana" w:eastAsia="Arial" w:hAnsi="Verdana" w:cs="Arial"/>
          <w:sz w:val="20"/>
          <w:szCs w:val="20"/>
        </w:rPr>
      </w:pPr>
      <w:r w:rsidRPr="00B61904">
        <w:rPr>
          <w:rFonts w:ascii="Verdana" w:eastAsia="Arial" w:hAnsi="Verdana" w:cs="Arial"/>
          <w:sz w:val="20"/>
          <w:szCs w:val="20"/>
        </w:rPr>
        <w:t xml:space="preserve">En tales términos, la facultad de las entidades 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189F5CD6" w14:textId="77777777" w:rsidR="00B61904" w:rsidRPr="00B61904" w:rsidRDefault="00B61904" w:rsidP="00033071">
      <w:pPr>
        <w:spacing w:after="0" w:line="240" w:lineRule="auto"/>
        <w:jc w:val="both"/>
        <w:rPr>
          <w:rFonts w:ascii="Verdana" w:hAnsi="Verdana"/>
          <w:b/>
        </w:rPr>
      </w:pPr>
    </w:p>
    <w:p w14:paraId="0F9E199B" w14:textId="54698C2A" w:rsidR="00B61904" w:rsidRPr="00B61904" w:rsidRDefault="00B61904" w:rsidP="00033071">
      <w:pPr>
        <w:spacing w:after="0" w:line="240" w:lineRule="auto"/>
        <w:jc w:val="both"/>
        <w:rPr>
          <w:rFonts w:ascii="Verdana" w:hAnsi="Verdana"/>
          <w:b/>
        </w:rPr>
      </w:pPr>
      <w:r w:rsidRPr="00B61904">
        <w:rPr>
          <w:rFonts w:ascii="Verdana" w:eastAsia="Calibri" w:hAnsi="Verdana" w:cs="Arial"/>
          <w:b/>
          <w:lang w:val="es-ES_tradnl" w:eastAsia="es-ES_tradnl"/>
        </w:rPr>
        <w:t>SOCIEDADES NUEVAS ‒ Experiencia ‒ Inferior a tres a</w:t>
      </w:r>
      <w:r w:rsidRPr="00B61904">
        <w:rPr>
          <w:rFonts w:ascii="Verdana" w:eastAsia="Calibri" w:hAnsi="Verdana" w:cs="Century Gothic"/>
          <w:b/>
          <w:lang w:val="es-ES_tradnl" w:eastAsia="es-ES_tradnl"/>
        </w:rPr>
        <w:t>ñ</w:t>
      </w:r>
      <w:r w:rsidRPr="00B61904">
        <w:rPr>
          <w:rFonts w:ascii="Verdana" w:eastAsia="Calibri" w:hAnsi="Verdana" w:cs="Arial"/>
          <w:b/>
          <w:lang w:val="es-ES_tradnl" w:eastAsia="es-ES_tradnl"/>
        </w:rPr>
        <w:t xml:space="preserve">os ‒ Requisitos habilitantes </w:t>
      </w:r>
    </w:p>
    <w:p w14:paraId="764654AC" w14:textId="77777777" w:rsidR="005F17C1" w:rsidRDefault="005F17C1" w:rsidP="00033071">
      <w:pPr>
        <w:spacing w:after="0" w:line="240" w:lineRule="auto"/>
        <w:jc w:val="both"/>
        <w:rPr>
          <w:rFonts w:ascii="Verdana" w:hAnsi="Verdana"/>
        </w:rPr>
      </w:pPr>
    </w:p>
    <w:p w14:paraId="49320B17" w14:textId="7846B609" w:rsidR="005417DC" w:rsidRDefault="005417DC" w:rsidP="005417DC">
      <w:pPr>
        <w:spacing w:after="0" w:line="240" w:lineRule="auto"/>
        <w:jc w:val="both"/>
        <w:rPr>
          <w:rFonts w:ascii="Verdana" w:hAnsi="Verdana"/>
          <w:sz w:val="20"/>
          <w:szCs w:val="20"/>
        </w:rPr>
      </w:pPr>
      <w:r w:rsidRPr="005417DC">
        <w:rPr>
          <w:rFonts w:ascii="Verdana" w:hAnsi="Verdana"/>
          <w:sz w:val="20"/>
          <w:szCs w:val="20"/>
        </w:rPr>
        <w:t>La Ley 1150 de 2007, en el artículo 5, establece los requisitos habilitantes para participar en un procedimiento contractual, dentro de los cuales se destaca la </w:t>
      </w:r>
      <w:r w:rsidRPr="005417DC">
        <w:rPr>
          <w:rFonts w:ascii="Verdana" w:hAnsi="Verdana"/>
          <w:i/>
          <w:iCs/>
          <w:sz w:val="20"/>
          <w:szCs w:val="20"/>
        </w:rPr>
        <w:t>experiencia</w:t>
      </w:r>
      <w:r w:rsidRPr="005417DC">
        <w:rPr>
          <w:rFonts w:ascii="Verdana" w:hAnsi="Verdana"/>
          <w:sz w:val="20"/>
          <w:szCs w:val="20"/>
        </w:rPr>
        <w:t>. Su propósito es que las entidades fijen unos requisitos mínimos que debe tener y acreditar el proponente, para que la entidad pueda verificar su aptitud para participar en el procedimiento de contratación y, si se le adjudica, ejecutar el contrato estatal. En ese sentido, la entidad, como responsable de la estructuración de su procedimiento de contratación, es autónoma para requerir la experiencia necesaria para ejecutar el objeto contractual que se pretende satisfacer con el procedimiento. Para establecer la experiencia que se requiere en cada proceso, de acuerdo con el artículo 2.2.1.1.1.6.2. del Decreto 1082 de 2015, debe tener en cuenta el estudio del sector y sus componentes, como la identificación de riesgos, así como el mercado y precio del bien, obra o servicio a contratar.</w:t>
      </w:r>
    </w:p>
    <w:p w14:paraId="397D097F" w14:textId="77777777" w:rsidR="005417DC" w:rsidRPr="005417DC" w:rsidRDefault="005417DC" w:rsidP="005417DC">
      <w:pPr>
        <w:spacing w:after="0" w:line="240" w:lineRule="auto"/>
        <w:jc w:val="both"/>
        <w:rPr>
          <w:rFonts w:ascii="Verdana" w:hAnsi="Verdana"/>
          <w:sz w:val="20"/>
          <w:szCs w:val="20"/>
        </w:rPr>
      </w:pPr>
    </w:p>
    <w:p w14:paraId="1FE03D2F" w14:textId="77777777" w:rsidR="005417DC" w:rsidRDefault="005417DC" w:rsidP="005417DC">
      <w:pPr>
        <w:spacing w:after="0" w:line="240" w:lineRule="auto"/>
        <w:jc w:val="both"/>
        <w:rPr>
          <w:rFonts w:ascii="Verdana" w:hAnsi="Verdana"/>
          <w:sz w:val="20"/>
          <w:szCs w:val="20"/>
        </w:rPr>
      </w:pPr>
      <w:r w:rsidRPr="005417DC">
        <w:rPr>
          <w:rFonts w:ascii="Verdana" w:hAnsi="Verdana"/>
          <w:sz w:val="20"/>
          <w:szCs w:val="20"/>
        </w:rPr>
        <w:t xml:space="preserve">Ahora bien, la experiencia que se deriva de los contratos que el proponente ha celebrado y ejecutado con diferentes contratantes, sin importar la naturaleza de estos, se verifica </w:t>
      </w:r>
      <w:r w:rsidRPr="005417DC">
        <w:rPr>
          <w:rFonts w:ascii="Verdana" w:hAnsi="Verdana"/>
          <w:sz w:val="20"/>
          <w:szCs w:val="20"/>
        </w:rPr>
        <w:lastRenderedPageBreak/>
        <w:t xml:space="preserve">con el RUP, cuando este certificado sea exigible de acuerdo con la ley. Sobre el particular debe indicarse </w:t>
      </w:r>
      <w:proofErr w:type="gramStart"/>
      <w:r w:rsidRPr="005417DC">
        <w:rPr>
          <w:rFonts w:ascii="Verdana" w:hAnsi="Verdana"/>
          <w:sz w:val="20"/>
          <w:szCs w:val="20"/>
        </w:rPr>
        <w:t>que  el</w:t>
      </w:r>
      <w:proofErr w:type="gramEnd"/>
      <w:r w:rsidRPr="005417DC">
        <w:rPr>
          <w:rFonts w:ascii="Verdana" w:hAnsi="Verdana"/>
          <w:sz w:val="20"/>
          <w:szCs w:val="20"/>
        </w:rPr>
        <w:t xml:space="preserve"> RUP es plena prueba de los requisitos habilitantes que constan en él, sin que la entidad o el proponente puedan solicitar o aportar otra documentación.</w:t>
      </w:r>
    </w:p>
    <w:p w14:paraId="0E07315B" w14:textId="77777777" w:rsidR="005417DC" w:rsidRDefault="005417DC" w:rsidP="005417DC">
      <w:pPr>
        <w:spacing w:after="0" w:line="240" w:lineRule="auto"/>
        <w:jc w:val="both"/>
        <w:rPr>
          <w:rFonts w:ascii="Verdana" w:hAnsi="Verdana"/>
          <w:sz w:val="20"/>
          <w:szCs w:val="20"/>
        </w:rPr>
      </w:pPr>
    </w:p>
    <w:p w14:paraId="3D7CF9A0" w14:textId="7E813A33" w:rsidR="005417DC" w:rsidRPr="005417DC" w:rsidRDefault="005417DC" w:rsidP="005417DC">
      <w:pPr>
        <w:spacing w:after="0" w:line="240" w:lineRule="auto"/>
        <w:jc w:val="both"/>
        <w:rPr>
          <w:rFonts w:ascii="Verdana" w:hAnsi="Verdana"/>
          <w:b/>
          <w:sz w:val="20"/>
          <w:szCs w:val="20"/>
        </w:rPr>
      </w:pPr>
      <w:r w:rsidRPr="005417DC">
        <w:rPr>
          <w:rFonts w:ascii="Verdana" w:eastAsia="Calibri" w:hAnsi="Verdana" w:cs="Arial"/>
          <w:b/>
          <w:lang w:val="es-ES_tradnl" w:eastAsia="es-ES_tradnl"/>
        </w:rPr>
        <w:t>EXPERIENCIA ‒ Conservaci</w:t>
      </w:r>
      <w:r w:rsidRPr="005417DC">
        <w:rPr>
          <w:rFonts w:ascii="Verdana" w:eastAsia="Calibri" w:hAnsi="Verdana" w:cs="Century Gothic"/>
          <w:b/>
          <w:lang w:val="es-ES_tradnl" w:eastAsia="es-ES_tradnl"/>
        </w:rPr>
        <w:t>ó</w:t>
      </w:r>
      <w:r w:rsidRPr="005417DC">
        <w:rPr>
          <w:rFonts w:ascii="Verdana" w:eastAsia="Calibri" w:hAnsi="Verdana" w:cs="Arial"/>
          <w:b/>
          <w:lang w:val="es-ES_tradnl" w:eastAsia="es-ES_tradnl"/>
        </w:rPr>
        <w:t>n ‒ Renovación RUP</w:t>
      </w:r>
    </w:p>
    <w:p w14:paraId="2BAF9836" w14:textId="77777777" w:rsidR="005F17C1" w:rsidRDefault="005F17C1" w:rsidP="00033071">
      <w:pPr>
        <w:spacing w:after="0" w:line="240" w:lineRule="auto"/>
        <w:jc w:val="both"/>
        <w:rPr>
          <w:rFonts w:ascii="Verdana" w:hAnsi="Verdana"/>
        </w:rPr>
      </w:pPr>
    </w:p>
    <w:p w14:paraId="358A005B" w14:textId="47544D86" w:rsidR="005417DC" w:rsidRPr="003E4EA4" w:rsidRDefault="003E4EA4" w:rsidP="00033071">
      <w:pPr>
        <w:spacing w:after="0" w:line="240" w:lineRule="auto"/>
        <w:jc w:val="both"/>
        <w:rPr>
          <w:rFonts w:ascii="Verdana" w:hAnsi="Verdana"/>
          <w:sz w:val="20"/>
          <w:szCs w:val="20"/>
        </w:rPr>
      </w:pPr>
      <w:r w:rsidRPr="003E4EA4">
        <w:rPr>
          <w:rFonts w:ascii="Verdana" w:hAnsi="Verdana"/>
          <w:sz w:val="20"/>
          <w:szCs w:val="20"/>
        </w:rPr>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lo que dependerá de la forma como la entidad solicite la experiencia en el pliego de condiciones o documento equivalente.</w:t>
      </w:r>
    </w:p>
    <w:p w14:paraId="62129EA8" w14:textId="77777777" w:rsidR="005F17C1" w:rsidRDefault="005F17C1" w:rsidP="00033071">
      <w:pPr>
        <w:spacing w:after="0" w:line="240" w:lineRule="auto"/>
        <w:jc w:val="both"/>
        <w:rPr>
          <w:rFonts w:ascii="Verdana" w:hAnsi="Verdana"/>
        </w:rPr>
      </w:pPr>
    </w:p>
    <w:p w14:paraId="404E5FDA" w14:textId="77777777" w:rsidR="005F17C1" w:rsidRDefault="005F17C1" w:rsidP="00033071">
      <w:pPr>
        <w:spacing w:after="0" w:line="240" w:lineRule="auto"/>
        <w:jc w:val="both"/>
        <w:rPr>
          <w:rFonts w:ascii="Verdana" w:hAnsi="Verdana"/>
        </w:rPr>
      </w:pPr>
    </w:p>
    <w:p w14:paraId="791D7AA0" w14:textId="77777777" w:rsidR="005F17C1" w:rsidRDefault="005F17C1" w:rsidP="00033071">
      <w:pPr>
        <w:spacing w:after="0" w:line="240" w:lineRule="auto"/>
        <w:jc w:val="both"/>
        <w:rPr>
          <w:rFonts w:ascii="Verdana" w:hAnsi="Verdana"/>
        </w:rPr>
      </w:pPr>
    </w:p>
    <w:p w14:paraId="54AA51F8" w14:textId="77777777" w:rsidR="005F17C1" w:rsidRDefault="005F17C1" w:rsidP="00033071">
      <w:pPr>
        <w:spacing w:after="0" w:line="240" w:lineRule="auto"/>
        <w:jc w:val="both"/>
        <w:rPr>
          <w:rFonts w:ascii="Verdana" w:hAnsi="Verdana"/>
        </w:rPr>
      </w:pPr>
    </w:p>
    <w:p w14:paraId="128A6D83" w14:textId="77777777" w:rsidR="005F17C1" w:rsidRDefault="005F17C1" w:rsidP="00033071">
      <w:pPr>
        <w:spacing w:after="0" w:line="240" w:lineRule="auto"/>
        <w:jc w:val="both"/>
        <w:rPr>
          <w:rFonts w:ascii="Verdana" w:hAnsi="Verdana"/>
        </w:rPr>
      </w:pPr>
    </w:p>
    <w:p w14:paraId="581BC242" w14:textId="77777777" w:rsidR="005F17C1" w:rsidRDefault="005F17C1" w:rsidP="00033071">
      <w:pPr>
        <w:spacing w:after="0" w:line="240" w:lineRule="auto"/>
        <w:jc w:val="both"/>
        <w:rPr>
          <w:rFonts w:ascii="Verdana" w:hAnsi="Verdana"/>
        </w:rPr>
      </w:pPr>
    </w:p>
    <w:p w14:paraId="3EAFC582" w14:textId="77777777" w:rsidR="005F17C1" w:rsidRDefault="005F17C1" w:rsidP="00033071">
      <w:pPr>
        <w:spacing w:after="0" w:line="240" w:lineRule="auto"/>
        <w:jc w:val="both"/>
        <w:rPr>
          <w:rFonts w:ascii="Verdana" w:hAnsi="Verdana"/>
        </w:rPr>
      </w:pPr>
    </w:p>
    <w:p w14:paraId="3AB96205" w14:textId="77777777" w:rsidR="005F17C1" w:rsidRDefault="005F17C1" w:rsidP="00033071">
      <w:pPr>
        <w:spacing w:after="0" w:line="240" w:lineRule="auto"/>
        <w:jc w:val="both"/>
        <w:rPr>
          <w:rFonts w:ascii="Verdana" w:hAnsi="Verdana"/>
        </w:rPr>
      </w:pPr>
    </w:p>
    <w:p w14:paraId="09B79116" w14:textId="77777777" w:rsidR="005F17C1" w:rsidRDefault="005F17C1" w:rsidP="00033071">
      <w:pPr>
        <w:spacing w:after="0" w:line="240" w:lineRule="auto"/>
        <w:jc w:val="both"/>
        <w:rPr>
          <w:rFonts w:ascii="Verdana" w:hAnsi="Verdana"/>
        </w:rPr>
      </w:pPr>
    </w:p>
    <w:p w14:paraId="2885ABC8" w14:textId="77777777" w:rsidR="005F17C1" w:rsidRDefault="005F17C1" w:rsidP="00033071">
      <w:pPr>
        <w:spacing w:after="0" w:line="240" w:lineRule="auto"/>
        <w:jc w:val="both"/>
        <w:rPr>
          <w:rFonts w:ascii="Verdana" w:hAnsi="Verdana"/>
        </w:rPr>
      </w:pPr>
    </w:p>
    <w:p w14:paraId="6726C82C" w14:textId="77777777" w:rsidR="005F17C1" w:rsidRDefault="005F17C1" w:rsidP="00033071">
      <w:pPr>
        <w:spacing w:after="0" w:line="240" w:lineRule="auto"/>
        <w:jc w:val="both"/>
        <w:rPr>
          <w:rFonts w:ascii="Verdana" w:hAnsi="Verdana"/>
        </w:rPr>
      </w:pPr>
    </w:p>
    <w:p w14:paraId="2F2856C5" w14:textId="77777777" w:rsidR="005F17C1" w:rsidRDefault="005F17C1" w:rsidP="00033071">
      <w:pPr>
        <w:spacing w:after="0" w:line="240" w:lineRule="auto"/>
        <w:jc w:val="both"/>
        <w:rPr>
          <w:rFonts w:ascii="Verdana" w:hAnsi="Verdana"/>
        </w:rPr>
      </w:pPr>
    </w:p>
    <w:p w14:paraId="37D65DB8" w14:textId="77777777" w:rsidR="005F17C1" w:rsidRDefault="005F17C1" w:rsidP="00033071">
      <w:pPr>
        <w:spacing w:after="0" w:line="240" w:lineRule="auto"/>
        <w:jc w:val="both"/>
        <w:rPr>
          <w:rFonts w:ascii="Verdana" w:hAnsi="Verdana"/>
        </w:rPr>
      </w:pPr>
    </w:p>
    <w:p w14:paraId="7374E7A9" w14:textId="77777777" w:rsidR="005F17C1" w:rsidRDefault="005F17C1" w:rsidP="00033071">
      <w:pPr>
        <w:spacing w:after="0" w:line="240" w:lineRule="auto"/>
        <w:jc w:val="both"/>
        <w:rPr>
          <w:rFonts w:ascii="Verdana" w:hAnsi="Verdana"/>
        </w:rPr>
      </w:pPr>
    </w:p>
    <w:p w14:paraId="7557951B" w14:textId="77777777" w:rsidR="005F17C1" w:rsidRDefault="005F17C1" w:rsidP="00033071">
      <w:pPr>
        <w:spacing w:after="0" w:line="240" w:lineRule="auto"/>
        <w:jc w:val="both"/>
        <w:rPr>
          <w:rFonts w:ascii="Verdana" w:hAnsi="Verdana"/>
        </w:rPr>
      </w:pPr>
    </w:p>
    <w:p w14:paraId="69A12DBD" w14:textId="77777777" w:rsidR="005F17C1" w:rsidRDefault="005F17C1" w:rsidP="00033071">
      <w:pPr>
        <w:spacing w:after="0" w:line="240" w:lineRule="auto"/>
        <w:jc w:val="both"/>
        <w:rPr>
          <w:rFonts w:ascii="Verdana" w:hAnsi="Verdana"/>
        </w:rPr>
      </w:pPr>
    </w:p>
    <w:p w14:paraId="1B39396F" w14:textId="77777777" w:rsidR="005F17C1" w:rsidRDefault="005F17C1" w:rsidP="00033071">
      <w:pPr>
        <w:spacing w:after="0" w:line="240" w:lineRule="auto"/>
        <w:jc w:val="both"/>
        <w:rPr>
          <w:rFonts w:ascii="Verdana" w:hAnsi="Verdana"/>
        </w:rPr>
      </w:pPr>
    </w:p>
    <w:p w14:paraId="796ADE7D" w14:textId="77777777" w:rsidR="005F17C1" w:rsidRDefault="005F17C1" w:rsidP="00033071">
      <w:pPr>
        <w:spacing w:after="0" w:line="240" w:lineRule="auto"/>
        <w:jc w:val="both"/>
        <w:rPr>
          <w:rFonts w:ascii="Verdana" w:hAnsi="Verdana"/>
        </w:rPr>
      </w:pPr>
    </w:p>
    <w:p w14:paraId="08A31121" w14:textId="77777777" w:rsidR="005F17C1" w:rsidRDefault="005F17C1" w:rsidP="00033071">
      <w:pPr>
        <w:spacing w:after="0" w:line="240" w:lineRule="auto"/>
        <w:jc w:val="both"/>
        <w:rPr>
          <w:rFonts w:ascii="Verdana" w:hAnsi="Verdana"/>
        </w:rPr>
      </w:pPr>
    </w:p>
    <w:p w14:paraId="6B587CDB" w14:textId="77777777" w:rsidR="005F17C1" w:rsidRDefault="005F17C1" w:rsidP="00033071">
      <w:pPr>
        <w:spacing w:after="0" w:line="240" w:lineRule="auto"/>
        <w:jc w:val="both"/>
        <w:rPr>
          <w:rFonts w:ascii="Verdana" w:hAnsi="Verdana"/>
        </w:rPr>
      </w:pPr>
    </w:p>
    <w:p w14:paraId="640EBF4C" w14:textId="77777777" w:rsidR="005F17C1" w:rsidRDefault="005F17C1" w:rsidP="00033071">
      <w:pPr>
        <w:spacing w:after="0" w:line="240" w:lineRule="auto"/>
        <w:jc w:val="both"/>
        <w:rPr>
          <w:rFonts w:ascii="Verdana" w:hAnsi="Verdana"/>
        </w:rPr>
      </w:pPr>
    </w:p>
    <w:p w14:paraId="02516DC5" w14:textId="77777777" w:rsidR="005F17C1" w:rsidRDefault="005F17C1" w:rsidP="00033071">
      <w:pPr>
        <w:spacing w:after="0" w:line="240" w:lineRule="auto"/>
        <w:jc w:val="both"/>
        <w:rPr>
          <w:rFonts w:ascii="Verdana" w:hAnsi="Verdana"/>
        </w:rPr>
      </w:pPr>
    </w:p>
    <w:p w14:paraId="7E5CF786" w14:textId="77777777" w:rsidR="005F17C1" w:rsidRDefault="005F17C1" w:rsidP="00033071">
      <w:pPr>
        <w:spacing w:after="0" w:line="240" w:lineRule="auto"/>
        <w:jc w:val="both"/>
        <w:rPr>
          <w:rFonts w:ascii="Verdana" w:hAnsi="Verdana"/>
        </w:rPr>
      </w:pPr>
    </w:p>
    <w:p w14:paraId="000817E9" w14:textId="77777777" w:rsidR="005F17C1" w:rsidRDefault="005F17C1" w:rsidP="00033071">
      <w:pPr>
        <w:spacing w:after="0" w:line="240" w:lineRule="auto"/>
        <w:jc w:val="both"/>
        <w:rPr>
          <w:rFonts w:ascii="Verdana" w:hAnsi="Verdana"/>
        </w:rPr>
      </w:pPr>
    </w:p>
    <w:p w14:paraId="36D8F868" w14:textId="77777777" w:rsidR="005F17C1" w:rsidRDefault="005F17C1" w:rsidP="00033071">
      <w:pPr>
        <w:spacing w:after="0" w:line="240" w:lineRule="auto"/>
        <w:jc w:val="both"/>
        <w:rPr>
          <w:rFonts w:ascii="Verdana" w:hAnsi="Verdana"/>
        </w:rPr>
      </w:pPr>
    </w:p>
    <w:p w14:paraId="5A352F0E" w14:textId="77777777" w:rsidR="003E4EA4" w:rsidRDefault="003E4EA4" w:rsidP="00033071">
      <w:pPr>
        <w:spacing w:after="0" w:line="240" w:lineRule="auto"/>
        <w:jc w:val="both"/>
        <w:rPr>
          <w:rFonts w:ascii="Verdana" w:hAnsi="Verdana"/>
        </w:rPr>
      </w:pPr>
    </w:p>
    <w:p w14:paraId="0BF1C8E1" w14:textId="4EDB9D7A" w:rsidR="00033071" w:rsidRPr="008E4F36" w:rsidRDefault="00340002" w:rsidP="00033071">
      <w:pPr>
        <w:spacing w:after="0" w:line="240" w:lineRule="auto"/>
        <w:jc w:val="both"/>
        <w:rPr>
          <w:rFonts w:ascii="Verdana" w:hAnsi="Verdana"/>
        </w:rPr>
      </w:pPr>
      <w:r w:rsidRPr="00340002">
        <w:rPr>
          <w:rFonts w:ascii="Verdana" w:hAnsi="Verdana"/>
        </w:rPr>
        <w:lastRenderedPageBreak/>
        <w:t xml:space="preserve">Bogotá D.C., 20 </w:t>
      </w:r>
      <w:r>
        <w:rPr>
          <w:rFonts w:ascii="Verdana" w:hAnsi="Verdana"/>
        </w:rPr>
        <w:t>f</w:t>
      </w:r>
      <w:r w:rsidRPr="00340002">
        <w:rPr>
          <w:rFonts w:ascii="Verdana" w:hAnsi="Verdana"/>
        </w:rPr>
        <w:t xml:space="preserve">ebrero 2026 </w:t>
      </w:r>
      <w:r w:rsidR="00033071">
        <w:rPr>
          <w:rFonts w:ascii="Verdana" w:hAnsi="Verdana"/>
        </w:rPr>
        <w:t xml:space="preserve"> </w:t>
      </w:r>
    </w:p>
    <w:p w14:paraId="55B42353" w14:textId="68EF041C" w:rsidR="00033071" w:rsidRDefault="00340002" w:rsidP="00033071">
      <w:pPr>
        <w:spacing w:after="0" w:line="240" w:lineRule="auto"/>
        <w:jc w:val="both"/>
        <w:rPr>
          <w:rFonts w:ascii="Verdana" w:eastAsia="Calibri" w:hAnsi="Verdana" w:cs="Arial"/>
          <w:lang w:eastAsia="es-ES"/>
        </w:rPr>
      </w:pPr>
      <w:bookmarkStart w:id="0" w:name="_Hlk197462763"/>
      <w:bookmarkStart w:id="1" w:name="_Hlk197529996"/>
      <w:r w:rsidRPr="00340002">
        <w:rPr>
          <w:rFonts w:ascii="Verdana" w:eastAsia="Calibri" w:hAnsi="Verdana" w:cs="Arial"/>
          <w:noProof/>
          <w:lang w:eastAsia="es-ES"/>
        </w:rPr>
        <w:drawing>
          <wp:anchor distT="0" distB="0" distL="114300" distR="114300" simplePos="0" relativeHeight="251660288" behindDoc="1" locked="0" layoutInCell="1" allowOverlap="1" wp14:anchorId="0632EE7B" wp14:editId="154E4B0A">
            <wp:simplePos x="0" y="0"/>
            <wp:positionH relativeFrom="column">
              <wp:posOffset>2955097</wp:posOffset>
            </wp:positionH>
            <wp:positionV relativeFrom="paragraph">
              <wp:posOffset>69464</wp:posOffset>
            </wp:positionV>
            <wp:extent cx="2657475" cy="723900"/>
            <wp:effectExtent l="0" t="0" r="9525" b="0"/>
            <wp:wrapTight wrapText="bothSides">
              <wp:wrapPolygon edited="0">
                <wp:start x="0" y="0"/>
                <wp:lineTo x="0" y="21032"/>
                <wp:lineTo x="21523" y="21032"/>
                <wp:lineTo x="21523" y="0"/>
                <wp:lineTo x="0" y="0"/>
              </wp:wrapPolygon>
            </wp:wrapTight>
            <wp:docPr id="140132071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320710"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57475" cy="723900"/>
                    </a:xfrm>
                    <a:prstGeom prst="rect">
                      <a:avLst/>
                    </a:prstGeom>
                  </pic:spPr>
                </pic:pic>
              </a:graphicData>
            </a:graphic>
          </wp:anchor>
        </w:drawing>
      </w:r>
    </w:p>
    <w:p w14:paraId="6BAE3916" w14:textId="77777777" w:rsidR="00340002" w:rsidRDefault="00340002" w:rsidP="00033071">
      <w:pPr>
        <w:spacing w:after="0" w:line="240" w:lineRule="auto"/>
        <w:jc w:val="both"/>
        <w:rPr>
          <w:rFonts w:ascii="Verdana" w:eastAsia="Calibri" w:hAnsi="Verdana" w:cs="Arial"/>
          <w:lang w:eastAsia="es-ES"/>
        </w:rPr>
      </w:pPr>
    </w:p>
    <w:p w14:paraId="18932C8D" w14:textId="77777777" w:rsidR="00033071" w:rsidRPr="008E4F36" w:rsidRDefault="00033071" w:rsidP="00033071">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r>
        <w:rPr>
          <w:rFonts w:ascii="Verdana" w:eastAsia="Calibri" w:hAnsi="Verdana" w:cs="Arial"/>
          <w:lang w:eastAsia="es-ES"/>
        </w:rPr>
        <w:t>a</w:t>
      </w:r>
    </w:p>
    <w:p w14:paraId="4787FFEF" w14:textId="0914A009" w:rsidR="00033071" w:rsidRPr="00027298" w:rsidRDefault="00033071" w:rsidP="00033071">
      <w:pPr>
        <w:spacing w:after="0" w:line="240" w:lineRule="auto"/>
        <w:jc w:val="both"/>
        <w:rPr>
          <w:rFonts w:ascii="Verdana" w:eastAsia="Calibri" w:hAnsi="Verdana" w:cs="Arial"/>
          <w:b/>
          <w:lang w:eastAsia="es-ES_tradnl"/>
        </w:rPr>
      </w:pPr>
      <w:r w:rsidRPr="00D918F2">
        <w:rPr>
          <w:rFonts w:ascii="Verdana" w:eastAsia="Calibri" w:hAnsi="Verdana" w:cs="Arial"/>
          <w:b/>
          <w:lang w:eastAsia="es-ES_tradnl"/>
        </w:rPr>
        <w:t>Claudia Milena</w:t>
      </w:r>
      <w:r>
        <w:rPr>
          <w:rFonts w:ascii="Verdana" w:eastAsia="Calibri" w:hAnsi="Verdana" w:cs="Arial"/>
          <w:b/>
          <w:lang w:eastAsia="es-ES_tradnl"/>
        </w:rPr>
        <w:t xml:space="preserve"> </w:t>
      </w:r>
      <w:r w:rsidRPr="00D918F2">
        <w:rPr>
          <w:rFonts w:ascii="Verdana" w:eastAsia="Calibri" w:hAnsi="Verdana" w:cs="Arial"/>
          <w:b/>
          <w:lang w:eastAsia="es-ES_tradnl"/>
        </w:rPr>
        <w:t>Ricaurte Rincon</w:t>
      </w:r>
      <w:r>
        <w:rPr>
          <w:rFonts w:ascii="Verdana" w:eastAsia="Calibri" w:hAnsi="Verdana" w:cs="Arial"/>
          <w:b/>
          <w:lang w:eastAsia="es-ES_tradnl"/>
        </w:rPr>
        <w:t xml:space="preserve"> </w:t>
      </w:r>
    </w:p>
    <w:p w14:paraId="477253CF" w14:textId="77777777" w:rsidR="00033071" w:rsidRPr="00624A4C" w:rsidRDefault="00033071" w:rsidP="00033071">
      <w:pPr>
        <w:spacing w:after="0" w:line="240" w:lineRule="auto"/>
        <w:jc w:val="both"/>
        <w:rPr>
          <w:rFonts w:ascii="Verdana" w:eastAsia="Calibri" w:hAnsi="Verdana" w:cs="Arial"/>
          <w:bCs/>
          <w:lang w:eastAsia="es-ES_tradnl"/>
        </w:rPr>
      </w:pPr>
      <w:r>
        <w:rPr>
          <w:rFonts w:ascii="Verdana" w:eastAsia="Calibri" w:hAnsi="Verdana" w:cs="Arial"/>
          <w:bCs/>
          <w:lang w:eastAsia="es-ES_tradnl"/>
        </w:rPr>
        <w:t>Villavicencio, Meta</w:t>
      </w:r>
    </w:p>
    <w:p w14:paraId="0805F9D4" w14:textId="77777777" w:rsidR="00033071" w:rsidRDefault="00033071" w:rsidP="00033071">
      <w:pPr>
        <w:spacing w:after="0" w:line="240" w:lineRule="auto"/>
        <w:jc w:val="both"/>
        <w:rPr>
          <w:rFonts w:ascii="Verdana" w:hAnsi="Verdana"/>
          <w:lang w:val="it-CH"/>
        </w:rPr>
      </w:pPr>
    </w:p>
    <w:p w14:paraId="684DF462" w14:textId="77777777" w:rsidR="00033071" w:rsidRPr="005B4C57" w:rsidRDefault="00033071" w:rsidP="00033071">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33071" w:rsidRPr="002842E0" w14:paraId="430E4A83" w14:textId="77777777" w:rsidTr="00C23E75">
        <w:trPr>
          <w:trHeight w:val="162"/>
        </w:trPr>
        <w:tc>
          <w:tcPr>
            <w:tcW w:w="3119" w:type="dxa"/>
          </w:tcPr>
          <w:p w14:paraId="11A5408D" w14:textId="77777777" w:rsidR="00033071" w:rsidRPr="005B4C57" w:rsidRDefault="00033071" w:rsidP="00C23E75">
            <w:pPr>
              <w:jc w:val="both"/>
              <w:rPr>
                <w:rFonts w:ascii="Verdana" w:eastAsia="Calibri" w:hAnsi="Verdana" w:cs="Arial"/>
                <w:b/>
                <w:bCs/>
                <w:color w:val="7030A0"/>
                <w:lang w:val="it-CH" w:eastAsia="es-ES_tradnl"/>
              </w:rPr>
            </w:pPr>
          </w:p>
        </w:tc>
        <w:tc>
          <w:tcPr>
            <w:tcW w:w="5670" w:type="dxa"/>
          </w:tcPr>
          <w:p w14:paraId="0BAA18BF" w14:textId="77777777" w:rsidR="00033071" w:rsidRPr="00801462" w:rsidRDefault="00033071" w:rsidP="00C23E75">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035 de 2026</w:t>
            </w:r>
          </w:p>
          <w:p w14:paraId="178421B8" w14:textId="77777777" w:rsidR="00033071" w:rsidRPr="00801462" w:rsidRDefault="00033071" w:rsidP="00C23E75">
            <w:pPr>
              <w:jc w:val="both"/>
              <w:rPr>
                <w:rFonts w:ascii="Verdana" w:eastAsia="Calibri" w:hAnsi="Verdana" w:cs="Arial"/>
                <w:b/>
                <w:bCs/>
                <w:color w:val="7030A0"/>
                <w:lang w:eastAsia="es-ES"/>
              </w:rPr>
            </w:pPr>
          </w:p>
        </w:tc>
      </w:tr>
      <w:tr w:rsidR="00033071" w:rsidRPr="002842E0" w14:paraId="5BA00611" w14:textId="77777777" w:rsidTr="00C23E75">
        <w:trPr>
          <w:trHeight w:val="884"/>
        </w:trPr>
        <w:tc>
          <w:tcPr>
            <w:tcW w:w="3119" w:type="dxa"/>
          </w:tcPr>
          <w:p w14:paraId="164D660C" w14:textId="77777777" w:rsidR="00033071" w:rsidRPr="00801462" w:rsidRDefault="00033071" w:rsidP="00C23E75">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3250A7C3" w14:textId="77777777" w:rsidR="00033071" w:rsidRPr="00D918F2" w:rsidRDefault="00033071" w:rsidP="00C23E75">
            <w:pPr>
              <w:jc w:val="both"/>
              <w:rPr>
                <w:rFonts w:ascii="Verdana" w:hAnsi="Verdana" w:cs="Arial"/>
                <w:lang w:val="es-ES_tradnl"/>
              </w:rPr>
            </w:pPr>
            <w:r w:rsidRPr="00D918F2">
              <w:rPr>
                <w:rFonts w:ascii="Verdana" w:hAnsi="Verdana" w:cs="Arial"/>
                <w:lang w:val="es-ES_tradnl"/>
              </w:rPr>
              <w:t>INHABILIDADES – Taxatividad – Principio de legalidad – Interpretación restrictiva</w:t>
            </w:r>
            <w:r w:rsidRPr="00D918F2" w:rsidDel="00A75E55">
              <w:rPr>
                <w:rFonts w:ascii="Verdana" w:hAnsi="Verdana" w:cs="Arial"/>
                <w:lang w:val="es-ES_tradnl"/>
              </w:rPr>
              <w:t xml:space="preserve"> </w:t>
            </w:r>
            <w:r w:rsidRPr="00D918F2">
              <w:rPr>
                <w:rFonts w:ascii="Verdana" w:hAnsi="Verdana" w:cs="Arial"/>
                <w:lang w:val="es-ES_tradnl"/>
              </w:rPr>
              <w:t>/ INHABILIDADES E INCOMPATIBILIDADES – Ley 80 de 1993 –</w:t>
            </w:r>
            <w:r>
              <w:rPr>
                <w:rFonts w:ascii="Verdana" w:hAnsi="Verdana" w:cs="Arial"/>
                <w:lang w:val="es-ES_tradnl"/>
              </w:rPr>
              <w:t xml:space="preserve"> Artículo 8 </w:t>
            </w:r>
            <w:r w:rsidRPr="00D918F2">
              <w:rPr>
                <w:rFonts w:ascii="Verdana" w:hAnsi="Verdana" w:cs="Arial"/>
                <w:lang w:val="es-ES_tradnl"/>
              </w:rPr>
              <w:t>–</w:t>
            </w:r>
            <w:r>
              <w:rPr>
                <w:rFonts w:ascii="Verdana" w:hAnsi="Verdana" w:cs="Arial"/>
                <w:lang w:val="es-ES_tradnl"/>
              </w:rPr>
              <w:t xml:space="preserve"> Numeral 1 – Literal g) y h) </w:t>
            </w:r>
            <w:r>
              <w:rPr>
                <w:rFonts w:ascii="Verdana" w:hAnsi="Verdana" w:cs="Arial"/>
              </w:rPr>
              <w:t xml:space="preserve">/ </w:t>
            </w:r>
            <w:r>
              <w:rPr>
                <w:rFonts w:ascii="Verdana" w:eastAsia="Calibri" w:hAnsi="Verdana" w:cs="Calibri"/>
                <w:lang w:val="es-ES"/>
              </w:rPr>
              <w:t xml:space="preserve">CAUSALES DE RECHAZO – Pliegos de Condiciones – Configuración / </w:t>
            </w:r>
            <w:r w:rsidRPr="00FE10F1">
              <w:rPr>
                <w:rFonts w:ascii="Verdana" w:eastAsia="Calibri" w:hAnsi="Verdana" w:cs="Arial"/>
                <w:bCs/>
                <w:lang w:val="es-ES_tradnl" w:eastAsia="es-ES_tradnl"/>
              </w:rPr>
              <w:t>SOCIEDADES NUEVAS ‒ Experiencia ‒ Inferior a tres a</w:t>
            </w:r>
            <w:r w:rsidRPr="00FE10F1">
              <w:rPr>
                <w:rFonts w:ascii="Verdana" w:eastAsia="Calibri" w:hAnsi="Verdana" w:cs="Century Gothic"/>
                <w:bCs/>
                <w:lang w:val="es-ES_tradnl" w:eastAsia="es-ES_tradnl"/>
              </w:rPr>
              <w:t>ñ</w:t>
            </w:r>
            <w:r w:rsidRPr="00FE10F1">
              <w:rPr>
                <w:rFonts w:ascii="Verdana" w:eastAsia="Calibri" w:hAnsi="Verdana" w:cs="Arial"/>
                <w:bCs/>
                <w:lang w:val="es-ES_tradnl" w:eastAsia="es-ES_tradnl"/>
              </w:rPr>
              <w:t>os ‒ Requisitos habilitantes / EXPERIENCIA ‒ Conservaci</w:t>
            </w:r>
            <w:r w:rsidRPr="00FE10F1">
              <w:rPr>
                <w:rFonts w:ascii="Verdana" w:eastAsia="Calibri" w:hAnsi="Verdana" w:cs="Century Gothic"/>
                <w:bCs/>
                <w:lang w:val="es-ES_tradnl" w:eastAsia="es-ES_tradnl"/>
              </w:rPr>
              <w:t>ó</w:t>
            </w:r>
            <w:r w:rsidRPr="00FE10F1">
              <w:rPr>
                <w:rFonts w:ascii="Verdana" w:eastAsia="Calibri" w:hAnsi="Verdana" w:cs="Arial"/>
                <w:bCs/>
                <w:lang w:val="es-ES_tradnl" w:eastAsia="es-ES_tradnl"/>
              </w:rPr>
              <w:t>n</w:t>
            </w:r>
            <w:r>
              <w:rPr>
                <w:rFonts w:ascii="Verdana" w:eastAsia="Calibri" w:hAnsi="Verdana" w:cs="Arial"/>
                <w:bCs/>
                <w:lang w:val="es-ES_tradnl" w:eastAsia="es-ES_tradnl"/>
              </w:rPr>
              <w:t xml:space="preserve"> </w:t>
            </w:r>
            <w:r w:rsidRPr="00FE10F1">
              <w:rPr>
                <w:rFonts w:ascii="Verdana" w:eastAsia="Calibri" w:hAnsi="Verdana" w:cs="Arial"/>
                <w:bCs/>
                <w:lang w:val="es-ES_tradnl" w:eastAsia="es-ES_tradnl"/>
              </w:rPr>
              <w:t>‒</w:t>
            </w:r>
            <w:r>
              <w:rPr>
                <w:rFonts w:ascii="Verdana" w:eastAsia="Calibri" w:hAnsi="Verdana" w:cs="Arial"/>
                <w:bCs/>
                <w:lang w:val="es-ES_tradnl" w:eastAsia="es-ES_tradnl"/>
              </w:rPr>
              <w:t xml:space="preserve"> Renovación RUP</w:t>
            </w:r>
          </w:p>
          <w:p w14:paraId="5B40AFAA" w14:textId="77777777" w:rsidR="00033071" w:rsidRPr="00D918F2" w:rsidRDefault="00033071" w:rsidP="00C23E75">
            <w:pPr>
              <w:jc w:val="both"/>
              <w:rPr>
                <w:rFonts w:ascii="Verdana" w:eastAsia="Calibri" w:hAnsi="Verdana" w:cs="Arial"/>
                <w:lang w:val="es-ES_tradnl" w:eastAsia="es-ES"/>
              </w:rPr>
            </w:pPr>
          </w:p>
        </w:tc>
      </w:tr>
      <w:tr w:rsidR="00033071" w:rsidRPr="002842E0" w14:paraId="31C2D9C0" w14:textId="77777777" w:rsidTr="00C23E75">
        <w:trPr>
          <w:trHeight w:val="551"/>
        </w:trPr>
        <w:tc>
          <w:tcPr>
            <w:tcW w:w="3119" w:type="dxa"/>
          </w:tcPr>
          <w:p w14:paraId="251596F0" w14:textId="77777777" w:rsidR="00033071" w:rsidRPr="00A24451" w:rsidRDefault="00033071" w:rsidP="00C23E75">
            <w:pPr>
              <w:jc w:val="both"/>
              <w:rPr>
                <w:rFonts w:ascii="Verdana" w:eastAsia="Calibri" w:hAnsi="Verdana" w:cs="Arial"/>
                <w:b/>
                <w:lang w:eastAsia="es-ES_tradnl"/>
              </w:rPr>
            </w:pPr>
            <w:r w:rsidRPr="00A24451">
              <w:rPr>
                <w:rFonts w:ascii="Verdana" w:eastAsia="Calibri" w:hAnsi="Verdana" w:cs="Arial"/>
                <w:b/>
                <w:lang w:eastAsia="es-ES_tradnl"/>
              </w:rPr>
              <w:t>Radicación:</w:t>
            </w:r>
            <w:r w:rsidRPr="00A24451">
              <w:rPr>
                <w:rFonts w:ascii="Verdana" w:eastAsia="Calibri" w:hAnsi="Verdana" w:cs="Arial"/>
                <w:lang w:eastAsia="es-ES_tradnl"/>
              </w:rPr>
              <w:t xml:space="preserve">               </w:t>
            </w:r>
          </w:p>
        </w:tc>
        <w:tc>
          <w:tcPr>
            <w:tcW w:w="5670" w:type="dxa"/>
          </w:tcPr>
          <w:p w14:paraId="484C4A15" w14:textId="77777777" w:rsidR="00033071" w:rsidRPr="00A24451" w:rsidRDefault="00033071" w:rsidP="00C23E75">
            <w:pPr>
              <w:jc w:val="both"/>
              <w:rPr>
                <w:rFonts w:ascii="Verdana" w:eastAsia="Calibri" w:hAnsi="Verdana" w:cs="Arial"/>
                <w:lang w:eastAsia="es-ES_tradnl"/>
              </w:rPr>
            </w:pPr>
            <w:r w:rsidRPr="00A24451">
              <w:rPr>
                <w:rFonts w:ascii="Verdana" w:eastAsia="Calibri" w:hAnsi="Verdana" w:cs="Arial"/>
                <w:lang w:eastAsia="es-ES_tradnl"/>
              </w:rPr>
              <w:t xml:space="preserve">Respuesta a consulta con radicado </w:t>
            </w:r>
            <w:r w:rsidRPr="00A24451">
              <w:rPr>
                <w:rFonts w:ascii="Verdana" w:hAnsi="Verdana"/>
                <w:color w:val="2B2B2B"/>
              </w:rPr>
              <w:t>1_2026_01_11_000244</w:t>
            </w:r>
          </w:p>
        </w:tc>
      </w:tr>
    </w:tbl>
    <w:p w14:paraId="1B287797" w14:textId="77777777" w:rsidR="00033071" w:rsidRDefault="00033071" w:rsidP="00033071">
      <w:pPr>
        <w:spacing w:after="0" w:line="276" w:lineRule="auto"/>
        <w:jc w:val="both"/>
        <w:rPr>
          <w:rFonts w:ascii="Verdana" w:eastAsia="Calibri" w:hAnsi="Verdana" w:cs="Arial"/>
          <w:lang w:eastAsia="es-ES_tradnl"/>
        </w:rPr>
      </w:pPr>
    </w:p>
    <w:p w14:paraId="7A80915A" w14:textId="77777777" w:rsidR="00033071" w:rsidRPr="008E4F36" w:rsidRDefault="00033071" w:rsidP="00033071">
      <w:pPr>
        <w:spacing w:after="0" w:line="276" w:lineRule="auto"/>
        <w:jc w:val="both"/>
        <w:rPr>
          <w:rFonts w:ascii="Verdana" w:eastAsia="Calibri" w:hAnsi="Verdana" w:cs="Arial"/>
          <w:lang w:eastAsia="es-ES"/>
        </w:rPr>
      </w:pPr>
      <w:r w:rsidRPr="00083AB6">
        <w:rPr>
          <w:rFonts w:ascii="Verdana" w:eastAsia="Calibri" w:hAnsi="Verdana" w:cs="Arial"/>
          <w:lang w:eastAsia="es-ES"/>
        </w:rPr>
        <w:t>Estimad</w:t>
      </w:r>
      <w:r>
        <w:rPr>
          <w:rFonts w:ascii="Verdana" w:eastAsia="Calibri" w:hAnsi="Verdana" w:cs="Arial"/>
          <w:lang w:eastAsia="es-ES"/>
        </w:rPr>
        <w:t>a</w:t>
      </w:r>
      <w:r w:rsidRPr="00083AB6">
        <w:rPr>
          <w:rFonts w:ascii="Verdana" w:eastAsia="Calibri" w:hAnsi="Verdana" w:cs="Arial"/>
          <w:lang w:eastAsia="es-ES"/>
        </w:rPr>
        <w:t xml:space="preserve"> señor</w:t>
      </w:r>
      <w:r>
        <w:rPr>
          <w:rFonts w:ascii="Verdana" w:eastAsia="Calibri" w:hAnsi="Verdana" w:cs="Arial"/>
          <w:lang w:eastAsia="es-ES"/>
        </w:rPr>
        <w:t>a Claudia</w:t>
      </w:r>
      <w:r w:rsidRPr="00083AB6">
        <w:rPr>
          <w:rFonts w:ascii="Verdana" w:eastAsia="Calibri" w:hAnsi="Verdana" w:cs="Arial"/>
          <w:lang w:eastAsia="es-ES"/>
        </w:rPr>
        <w:t>:</w:t>
      </w:r>
      <w:r w:rsidRPr="008E4F36">
        <w:rPr>
          <w:rFonts w:ascii="Verdana" w:eastAsia="Calibri" w:hAnsi="Verdana" w:cs="Arial"/>
          <w:lang w:eastAsia="es-ES"/>
        </w:rPr>
        <w:t xml:space="preserve"> </w:t>
      </w:r>
    </w:p>
    <w:p w14:paraId="31551E0F" w14:textId="77777777" w:rsidR="00033071" w:rsidRDefault="00033071" w:rsidP="00033071">
      <w:pPr>
        <w:tabs>
          <w:tab w:val="left" w:pos="3768"/>
        </w:tabs>
        <w:spacing w:after="0" w:line="240" w:lineRule="auto"/>
        <w:jc w:val="both"/>
        <w:rPr>
          <w:rFonts w:ascii="Verdana" w:eastAsia="Calibri" w:hAnsi="Verdana" w:cs="Arial"/>
          <w:lang w:eastAsia="es-ES"/>
        </w:rPr>
      </w:pPr>
    </w:p>
    <w:p w14:paraId="296F02BD" w14:textId="77777777" w:rsidR="00033071" w:rsidRPr="008E4F36" w:rsidRDefault="00033071" w:rsidP="00033071">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12</w:t>
      </w:r>
      <w:r w:rsidRPr="00AF6D58">
        <w:rPr>
          <w:rFonts w:ascii="Verdana" w:eastAsia="Calibri" w:hAnsi="Verdana" w:cs="Arial"/>
          <w:lang w:eastAsia="es-ES"/>
        </w:rPr>
        <w:t xml:space="preserve"> de </w:t>
      </w:r>
      <w:r>
        <w:rPr>
          <w:rFonts w:ascii="Verdana" w:eastAsia="Calibri" w:hAnsi="Verdana" w:cs="Arial"/>
          <w:lang w:eastAsia="es-ES"/>
        </w:rPr>
        <w:t>enero</w:t>
      </w:r>
      <w:r w:rsidRPr="00AF6D58">
        <w:rPr>
          <w:rFonts w:ascii="Verdana" w:eastAsia="Calibri" w:hAnsi="Verdana" w:cs="Arial"/>
          <w:lang w:eastAsia="es-ES"/>
        </w:rPr>
        <w:t xml:space="preserve"> de 202</w:t>
      </w:r>
      <w:r>
        <w:rPr>
          <w:rFonts w:ascii="Verdana" w:eastAsia="Calibri" w:hAnsi="Verdana" w:cs="Arial"/>
          <w:lang w:eastAsia="es-ES"/>
        </w:rPr>
        <w:t>6</w:t>
      </w:r>
      <w:r w:rsidRPr="00AF6D58">
        <w:rPr>
          <w:rFonts w:ascii="Verdana" w:eastAsia="Calibri" w:hAnsi="Verdana" w:cs="Arial"/>
          <w:lang w:eastAsia="es-ES"/>
        </w:rPr>
        <w:t>,</w:t>
      </w:r>
      <w:r w:rsidRPr="000F2158">
        <w:rPr>
          <w:rFonts w:ascii="Verdana" w:eastAsia="Calibri" w:hAnsi="Verdana" w:cs="Arial"/>
          <w:lang w:eastAsia="es-ES"/>
        </w:rPr>
        <w:t xml:space="preserve"> en la cual manifiesta lo siguiente:</w:t>
      </w:r>
    </w:p>
    <w:p w14:paraId="22C8C59C" w14:textId="77777777" w:rsidR="00033071" w:rsidRPr="008E4F36" w:rsidRDefault="00033071" w:rsidP="00033071">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0B51A6F3" w14:textId="77777777" w:rsidR="00033071" w:rsidRPr="0063107B" w:rsidRDefault="00033071" w:rsidP="00033071">
      <w:pPr>
        <w:spacing w:after="0"/>
        <w:ind w:left="709" w:right="709"/>
        <w:jc w:val="both"/>
        <w:rPr>
          <w:rFonts w:ascii="Verdana" w:eastAsia="Century Gothic" w:hAnsi="Verdana" w:cs="Century Gothic"/>
          <w:sz w:val="20"/>
          <w:szCs w:val="20"/>
        </w:rPr>
      </w:pPr>
      <w:r>
        <w:rPr>
          <w:rFonts w:ascii="Verdana" w:eastAsia="Century Gothic" w:hAnsi="Verdana" w:cs="Century Gothic"/>
          <w:sz w:val="20"/>
          <w:szCs w:val="20"/>
        </w:rPr>
        <w:t>“SOLICITO</w:t>
      </w:r>
      <w:r w:rsidRPr="0063107B">
        <w:rPr>
          <w:rFonts w:ascii="Verdana" w:eastAsia="Century Gothic" w:hAnsi="Verdana" w:cs="Century Gothic"/>
          <w:sz w:val="20"/>
          <w:szCs w:val="20"/>
        </w:rPr>
        <w:t xml:space="preserve"> ACLARAR, SI DOS EMPRESAS TOTALMENTE DIFERENTES, TIENEN EN SU COMPOSICION ACCIONARIA UN SOCIO EN COMUN Y LAS DOS EMPRESAS SE PRESENTAN AL MISMO PROCESO, UTILIZANDO LA</w:t>
      </w:r>
    </w:p>
    <w:p w14:paraId="567E715F" w14:textId="77777777" w:rsidR="00033071" w:rsidRPr="00617A31" w:rsidRDefault="00033071" w:rsidP="00033071">
      <w:pPr>
        <w:spacing w:after="0"/>
        <w:ind w:left="709" w:right="709"/>
        <w:jc w:val="both"/>
        <w:rPr>
          <w:rFonts w:ascii="Verdana" w:eastAsia="Century Gothic" w:hAnsi="Verdana" w:cs="Century Gothic"/>
          <w:sz w:val="20"/>
          <w:szCs w:val="20"/>
        </w:rPr>
      </w:pPr>
      <w:r w:rsidRPr="0063107B">
        <w:rPr>
          <w:rFonts w:ascii="Verdana" w:eastAsia="Century Gothic" w:hAnsi="Verdana" w:cs="Century Gothic"/>
          <w:sz w:val="20"/>
          <w:szCs w:val="20"/>
        </w:rPr>
        <w:t>EXPERIENCIA DE ESTE SOCIO. PREGUNTO: " TIENEN ALGUNA LIMITACION</w:t>
      </w:r>
      <w:r>
        <w:rPr>
          <w:rFonts w:ascii="Verdana" w:eastAsia="Century Gothic" w:hAnsi="Verdana" w:cs="Century Gothic"/>
          <w:sz w:val="20"/>
          <w:szCs w:val="20"/>
        </w:rPr>
        <w:t xml:space="preserve"> </w:t>
      </w:r>
      <w:r w:rsidRPr="0063107B">
        <w:rPr>
          <w:rFonts w:ascii="Verdana" w:eastAsia="Century Gothic" w:hAnsi="Verdana" w:cs="Century Gothic"/>
          <w:sz w:val="20"/>
          <w:szCs w:val="20"/>
        </w:rPr>
        <w:t>LEGAL O JURIDICA" O ESTAN INHABILITADAS</w:t>
      </w:r>
      <w:r>
        <w:rPr>
          <w:rFonts w:ascii="Verdana" w:eastAsia="Century Gothic" w:hAnsi="Verdana" w:cs="Century Gothic"/>
          <w:sz w:val="20"/>
          <w:szCs w:val="20"/>
        </w:rPr>
        <w:t xml:space="preserve">.” </w:t>
      </w:r>
    </w:p>
    <w:p w14:paraId="4BD03316" w14:textId="77777777" w:rsidR="00033071" w:rsidRPr="008E4F36" w:rsidRDefault="00033071" w:rsidP="00033071">
      <w:pPr>
        <w:spacing w:after="0" w:line="240" w:lineRule="auto"/>
        <w:ind w:left="709" w:right="709"/>
        <w:jc w:val="both"/>
        <w:rPr>
          <w:rFonts w:ascii="Verdana" w:hAnsi="Verdana"/>
          <w:sz w:val="20"/>
          <w:szCs w:val="20"/>
        </w:rPr>
      </w:pPr>
    </w:p>
    <w:p w14:paraId="0D44AA36" w14:textId="77777777" w:rsidR="00033071" w:rsidRDefault="00033071" w:rsidP="00033071">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8E4F36">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E429D94" w14:textId="77777777" w:rsidR="00033071" w:rsidRPr="00054383" w:rsidRDefault="00033071" w:rsidP="00033071">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7CA406EF" w14:textId="77777777" w:rsidR="00033071" w:rsidRPr="008E4F36" w:rsidRDefault="00033071" w:rsidP="00033071">
      <w:pPr>
        <w:spacing w:after="0"/>
        <w:ind w:firstLine="709"/>
        <w:jc w:val="both"/>
        <w:rPr>
          <w:rFonts w:ascii="Verdana" w:eastAsia="Calibri" w:hAnsi="Verdana" w:cs="Arial"/>
          <w:color w:val="000000"/>
          <w:lang w:eastAsia="es-ES"/>
        </w:rPr>
      </w:pPr>
    </w:p>
    <w:p w14:paraId="3BAB0CAA" w14:textId="77777777" w:rsidR="00033071" w:rsidRDefault="00033071" w:rsidP="00033071">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2C11A9C1" w14:textId="77777777" w:rsidR="00033071" w:rsidRDefault="00033071" w:rsidP="00033071">
      <w:pPr>
        <w:spacing w:after="0" w:line="276" w:lineRule="auto"/>
        <w:jc w:val="both"/>
        <w:rPr>
          <w:rFonts w:ascii="Verdana" w:eastAsia="Calibri" w:hAnsi="Verdana" w:cs="Arial"/>
          <w:color w:val="000000"/>
          <w:highlight w:val="yellow"/>
          <w:lang w:eastAsia="es-ES"/>
        </w:rPr>
      </w:pPr>
    </w:p>
    <w:p w14:paraId="3CAA1C58" w14:textId="77777777" w:rsidR="00033071" w:rsidRPr="005A3B40" w:rsidRDefault="00033071" w:rsidP="00033071">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w:t>
      </w:r>
      <w:proofErr w:type="gramStart"/>
      <w:r w:rsidRPr="00005FE3">
        <w:rPr>
          <w:rFonts w:ascii="Verdana" w:eastAsia="Calibri" w:hAnsi="Verdana" w:cs="Arial"/>
          <w:color w:val="000000"/>
          <w:lang w:eastAsia="es-ES"/>
        </w:rPr>
        <w:t>jurídico:</w:t>
      </w:r>
      <w:r w:rsidRPr="00E638C6">
        <w:rPr>
          <w:rFonts w:ascii="Verdana" w:hAnsi="Verdana" w:cs="ArialMT"/>
          <w14:ligatures w14:val="standardContextual"/>
        </w:rPr>
        <w:t>¿</w:t>
      </w:r>
      <w:proofErr w:type="gramEnd"/>
      <w:r w:rsidRPr="00E638C6">
        <w:rPr>
          <w:rFonts w:ascii="Verdana" w:hAnsi="Verdana" w:cs="ArialMT"/>
          <w14:ligatures w14:val="standardContextual"/>
        </w:rPr>
        <w:t>Es jurídicamente viable que dos personas jurídicas con un socio común participen simultáneamente en un mismo proceso de selección y acrediten la experiencia de dicho socio como requisito habilitante?</w:t>
      </w:r>
    </w:p>
    <w:p w14:paraId="650E1D87" w14:textId="77777777" w:rsidR="00033071" w:rsidRPr="0063107B" w:rsidRDefault="00033071" w:rsidP="00033071">
      <w:pPr>
        <w:spacing w:after="0" w:line="276" w:lineRule="auto"/>
        <w:jc w:val="both"/>
        <w:rPr>
          <w:rFonts w:ascii="Verdana" w:eastAsia="Calibri" w:hAnsi="Verdana" w:cs="Times New Roman"/>
          <w:lang w:val="es-ES"/>
        </w:rPr>
      </w:pPr>
    </w:p>
    <w:p w14:paraId="698FC1C5" w14:textId="77777777" w:rsidR="00033071" w:rsidRPr="008E4F36" w:rsidRDefault="00033071" w:rsidP="00033071">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4B099AD3" w14:textId="77777777" w:rsidR="00033071" w:rsidRPr="008E4F36" w:rsidRDefault="00033071" w:rsidP="00033071">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033071" w:rsidRPr="008E4F36" w14:paraId="465240E5" w14:textId="77777777" w:rsidTr="00C23E75">
        <w:tc>
          <w:tcPr>
            <w:tcW w:w="8828" w:type="dxa"/>
          </w:tcPr>
          <w:p w14:paraId="4A857EF2" w14:textId="455B0ED7" w:rsidR="00033071" w:rsidRDefault="00033071" w:rsidP="00C23E75">
            <w:pPr>
              <w:spacing w:after="120" w:line="276" w:lineRule="auto"/>
              <w:jc w:val="both"/>
              <w:rPr>
                <w:rFonts w:ascii="Verdana" w:hAnsi="Verdana"/>
              </w:rPr>
            </w:pPr>
            <w:r w:rsidRPr="00D721E0">
              <w:rPr>
                <w:rFonts w:ascii="Verdana" w:eastAsia="Calibri" w:hAnsi="Verdana" w:cs="Times New Roman"/>
              </w:rPr>
              <w:t>En principio, no existe una inhabilidad que impida que dos personas jurídicas que tengan un socio en común, participen simultáneamente en un proceso de Se descarta en este supuesto de inhabilidades como la contemplada en literal g) del numeral 1 del artículo 8 de la Ley 80 de 1993</w:t>
            </w:r>
            <w:r w:rsidRPr="00D721E0">
              <w:rPr>
                <w:rFonts w:ascii="Verdana" w:hAnsi="Verdana"/>
              </w:rPr>
              <w:t xml:space="preserve">, la cual </w:t>
            </w:r>
            <w:r>
              <w:rPr>
                <w:rFonts w:ascii="Verdana" w:hAnsi="Verdana"/>
              </w:rPr>
              <w:t>es aplicable</w:t>
            </w:r>
            <w:r w:rsidRPr="00D721E0">
              <w:rPr>
                <w:rFonts w:ascii="Verdana" w:hAnsi="Verdana"/>
              </w:rPr>
              <w:t xml:space="preserve"> </w:t>
            </w:r>
            <w:r>
              <w:rPr>
                <w:rFonts w:ascii="Verdana" w:hAnsi="Verdana"/>
              </w:rPr>
              <w:t xml:space="preserve">a personas naturales oferentes con </w:t>
            </w:r>
            <w:r w:rsidRPr="00D721E0">
              <w:rPr>
                <w:rFonts w:ascii="Verdana" w:hAnsi="Verdana"/>
              </w:rPr>
              <w:t xml:space="preserve">vínculos de parentesco —cónyuges o compañeros permanentes, o parientes hasta segundo grado de consanguinidad o afinidad— </w:t>
            </w:r>
            <w:r>
              <w:rPr>
                <w:rFonts w:ascii="Verdana" w:hAnsi="Verdana"/>
              </w:rPr>
              <w:t xml:space="preserve">con otros oferentes que se presentan al mismo proceso. Esto en la medida en que, el supuesto de hecho de la inhabilidad descrita está dirigido a quienes tienen una relación de parentesco con otro </w:t>
            </w:r>
            <w:r>
              <w:rPr>
                <w:rFonts w:ascii="Verdana" w:hAnsi="Verdana"/>
              </w:rPr>
              <w:lastRenderedPageBreak/>
              <w:t>oferente, en los grados indicados en la norma, lo que la hace inaplicable a personas jurídicas quienes no tienen relaciones de parentesco.</w:t>
            </w:r>
          </w:p>
          <w:p w14:paraId="7E63F223" w14:textId="77777777" w:rsidR="00033071" w:rsidRDefault="00033071" w:rsidP="00C23E75">
            <w:pPr>
              <w:spacing w:after="120" w:line="276" w:lineRule="auto"/>
              <w:ind w:firstLine="709"/>
              <w:jc w:val="both"/>
              <w:rPr>
                <w:rFonts w:ascii="Verdana" w:hAnsi="Verdana"/>
              </w:rPr>
            </w:pPr>
            <w:r>
              <w:rPr>
                <w:rFonts w:ascii="Verdana" w:hAnsi="Verdana"/>
              </w:rPr>
              <w:t xml:space="preserve">Tampoco es aplicable en este supuesto la inhabilidad prevista en el literal h) del numeral 1 del artículo 8 de la Ley de 1993, </w:t>
            </w:r>
            <w:r w:rsidRPr="00D721E0">
              <w:rPr>
                <w:rFonts w:ascii="Verdana" w:hAnsi="Verdana"/>
              </w:rPr>
              <w:t xml:space="preserve">la cual </w:t>
            </w:r>
            <w:r>
              <w:rPr>
                <w:rFonts w:ascii="Verdana" w:hAnsi="Verdana"/>
              </w:rPr>
              <w:t>restringe la capacidad</w:t>
            </w:r>
            <w:r w:rsidRPr="00D721E0">
              <w:rPr>
                <w:rFonts w:ascii="Verdana" w:hAnsi="Verdana"/>
              </w:rPr>
              <w:t xml:space="preserve"> </w:t>
            </w:r>
            <w:r>
              <w:rPr>
                <w:rFonts w:ascii="Verdana" w:hAnsi="Verdana"/>
              </w:rPr>
              <w:t xml:space="preserve">de </w:t>
            </w:r>
            <w:r w:rsidRPr="00D721E0">
              <w:rPr>
                <w:rFonts w:ascii="Verdana" w:hAnsi="Verdana"/>
              </w:rPr>
              <w:t>sociedades distintas de las anónimas abiertas</w:t>
            </w:r>
            <w:r>
              <w:rPr>
                <w:rFonts w:ascii="Verdana" w:hAnsi="Verdana"/>
              </w:rPr>
              <w:t>,</w:t>
            </w:r>
            <w:r w:rsidRPr="00D721E0">
              <w:rPr>
                <w:rFonts w:ascii="Verdana" w:hAnsi="Verdana"/>
              </w:rPr>
              <w:t xml:space="preserve"> en las </w:t>
            </w:r>
            <w:r>
              <w:rPr>
                <w:rFonts w:ascii="Verdana" w:hAnsi="Verdana"/>
              </w:rPr>
              <w:t>que</w:t>
            </w:r>
            <w:r w:rsidRPr="00D721E0">
              <w:rPr>
                <w:rFonts w:ascii="Verdana" w:hAnsi="Verdana"/>
              </w:rPr>
              <w:t xml:space="preserve"> el representante legal o cualquiera de sus socios tenga parentesco hasta segundo grado de consanguinidad o afinidad con el representante legal o con cualquiera de los socios de otra sociedad que haya presentado propuesta para la misma licitación o concurso. </w:t>
            </w:r>
            <w:r>
              <w:rPr>
                <w:rFonts w:ascii="Verdana" w:hAnsi="Verdana"/>
              </w:rPr>
              <w:t xml:space="preserve">Si bien esta inhabilidad es aplicable a personas jurídicas, no se configura en la hipótesis materia de consulta, ya que ello exige la existencia de una relación de parentesco entre algún los socios o representantes de dos personas jurídicas oferentes, lo cual es distinto a que una misma persona tenga participación en el capital de dos sociedades que compiten en un proceso de contratación.  </w:t>
            </w:r>
          </w:p>
          <w:p w14:paraId="5B4D1BF4" w14:textId="77777777" w:rsidR="00033071" w:rsidRDefault="00033071" w:rsidP="00C23E75">
            <w:pPr>
              <w:spacing w:after="120" w:line="276" w:lineRule="auto"/>
              <w:ind w:firstLine="709"/>
              <w:jc w:val="both"/>
              <w:rPr>
                <w:rFonts w:ascii="Verdana" w:hAnsi="Verdana"/>
              </w:rPr>
            </w:pPr>
            <w:r>
              <w:rPr>
                <w:rFonts w:ascii="Verdana" w:hAnsi="Verdana"/>
              </w:rPr>
              <w:t xml:space="preserve">Lo anterior sin perjuicio de que supuestos como el descrito sean restringidos por la Entidades Estatales a través de causales de rechazo establecidas en el marco de la planeación del contrato y la configuración del pliego de condiciones, como un mecanismo para garantizar transparencia y selección objetiva. Es por esto por lo que, el análisis requerido para determinar si dos personas jurídicas que comparten un socio pueden participar de manera separada en un mismo proceso, necesariamente debe realizarse a luz de lo establecido por las reglas determinadas para el respectivo proceso de selección. </w:t>
            </w:r>
          </w:p>
          <w:p w14:paraId="38364791" w14:textId="77777777" w:rsidR="00033071" w:rsidRDefault="00033071" w:rsidP="00C23E75">
            <w:pPr>
              <w:spacing w:after="120" w:line="276" w:lineRule="auto"/>
              <w:ind w:firstLine="709"/>
              <w:jc w:val="both"/>
              <w:rPr>
                <w:rFonts w:ascii="Verdana" w:eastAsia="Calibri" w:hAnsi="Verdana" w:cs="Times New Roman"/>
              </w:rPr>
            </w:pPr>
            <w:r w:rsidRPr="00D65676">
              <w:rPr>
                <w:rFonts w:ascii="Verdana" w:eastAsia="Calibri" w:hAnsi="Verdana" w:cs="Times New Roman"/>
              </w:rPr>
              <w:t>En lo relativo a la</w:t>
            </w:r>
            <w:r>
              <w:rPr>
                <w:rFonts w:ascii="Verdana" w:eastAsia="Calibri" w:hAnsi="Verdana" w:cs="Times New Roman"/>
              </w:rPr>
              <w:t xml:space="preserve"> posibilidad de que, en el mismo supuesto, las referidas dos sociedades </w:t>
            </w:r>
            <w:r w:rsidRPr="00D65676">
              <w:rPr>
                <w:rFonts w:ascii="Verdana" w:eastAsia="Calibri" w:hAnsi="Verdana" w:cs="Times New Roman"/>
              </w:rPr>
              <w:t>acredit</w:t>
            </w:r>
            <w:r>
              <w:rPr>
                <w:rFonts w:ascii="Verdana" w:eastAsia="Calibri" w:hAnsi="Verdana" w:cs="Times New Roman"/>
              </w:rPr>
              <w:t xml:space="preserve">en experiencia adquirida por el socio común, debe advertirse que, cuando las personas jurídicas de reciente constitución ejercen la prerrogativa contemplada en el numeral 2.5. del artículo </w:t>
            </w:r>
            <w:r w:rsidRPr="00EB3E03">
              <w:rPr>
                <w:rFonts w:ascii="Verdana" w:eastAsia="Calibri" w:hAnsi="Verdana" w:cs="Times New Roman"/>
              </w:rPr>
              <w:t>2.2.1.1.1.5.2</w:t>
            </w:r>
            <w:r>
              <w:rPr>
                <w:rFonts w:ascii="Verdana" w:eastAsia="Calibri" w:hAnsi="Verdana" w:cs="Times New Roman"/>
              </w:rPr>
              <w:t xml:space="preserve"> del Decreto 1082 de 2015 que permite inscribir como propia la experiencia adquirida por sus socios o constituyentes, dicha experiencia se incorpora en el RUP de la persona jurídica una vez este adquiere firmeza. Esto significa que, dichas sociedades pueden acreditar dicha experiencia en procesos de contratación, en tanto dicha información no pierda firmeza, no habiendo una restricción para que más de una persona jurídica inscriba en su RUP la </w:t>
            </w:r>
            <w:r>
              <w:rPr>
                <w:rFonts w:ascii="Verdana" w:eastAsia="Calibri" w:hAnsi="Verdana" w:cs="Times New Roman"/>
              </w:rPr>
              <w:lastRenderedPageBreak/>
              <w:t xml:space="preserve">experiencia adquirida por una misma persona, ni tampoco para que quienes la inscribieron la acrediten dentro en un mismo proceso de contratación.   </w:t>
            </w:r>
          </w:p>
          <w:p w14:paraId="15645D0C" w14:textId="77777777" w:rsidR="00033071" w:rsidRPr="00B70775" w:rsidRDefault="00033071" w:rsidP="00C23E75">
            <w:pPr>
              <w:spacing w:after="120" w:line="276" w:lineRule="auto"/>
              <w:ind w:firstLine="709"/>
              <w:jc w:val="both"/>
              <w:rPr>
                <w:rFonts w:ascii="Verdana" w:hAnsi="Verdana" w:cs="Arial"/>
                <w:color w:val="000000" w:themeColor="text1"/>
              </w:rPr>
            </w:pPr>
            <w:r>
              <w:rPr>
                <w:rFonts w:ascii="Verdana" w:eastAsia="Calibri" w:hAnsi="Verdana" w:cs="Times New Roman"/>
                <w:lang w:val="es-ES"/>
              </w:rPr>
              <w:t>Finalmente</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5C90591F" w14:textId="77777777" w:rsidR="00033071" w:rsidRDefault="00033071" w:rsidP="00033071">
      <w:pPr>
        <w:tabs>
          <w:tab w:val="left" w:pos="142"/>
          <w:tab w:val="left" w:pos="284"/>
        </w:tabs>
        <w:spacing w:after="0" w:line="276" w:lineRule="auto"/>
        <w:jc w:val="both"/>
        <w:rPr>
          <w:rFonts w:ascii="Verdana" w:eastAsia="Century Gothic" w:hAnsi="Verdana" w:cs="Century Gothic"/>
          <w:b/>
          <w:bCs/>
        </w:rPr>
      </w:pPr>
    </w:p>
    <w:p w14:paraId="28B7E27D" w14:textId="77777777" w:rsidR="00033071" w:rsidRPr="008E4F36" w:rsidRDefault="00033071" w:rsidP="00033071">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3178A24A" w14:textId="77777777" w:rsidR="00033071" w:rsidRDefault="00033071" w:rsidP="00033071">
      <w:pPr>
        <w:pStyle w:val="Prrafodelista"/>
        <w:tabs>
          <w:tab w:val="left" w:pos="142"/>
          <w:tab w:val="left" w:pos="284"/>
        </w:tabs>
        <w:spacing w:after="0" w:line="276" w:lineRule="auto"/>
        <w:ind w:left="0"/>
        <w:contextualSpacing w:val="0"/>
        <w:jc w:val="both"/>
        <w:rPr>
          <w:rFonts w:ascii="Verdana" w:eastAsia="Calibri" w:hAnsi="Verdana" w:cs="Arial"/>
        </w:rPr>
      </w:pPr>
    </w:p>
    <w:p w14:paraId="7BF6B24B" w14:textId="77777777" w:rsidR="00033071" w:rsidRDefault="00033071" w:rsidP="00033071">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4222D70A" w14:textId="77777777" w:rsidR="00033071" w:rsidRDefault="00033071" w:rsidP="00033071">
      <w:pPr>
        <w:spacing w:after="120" w:line="276" w:lineRule="auto"/>
        <w:jc w:val="both"/>
        <w:rPr>
          <w:rFonts w:ascii="Verdana" w:eastAsia="Calibri" w:hAnsi="Verdana" w:cs="Arial"/>
          <w:color w:val="000000"/>
          <w:shd w:val="clear" w:color="auto" w:fill="FFFFFF"/>
          <w:lang w:val="es-ES"/>
        </w:rPr>
      </w:pPr>
    </w:p>
    <w:p w14:paraId="4DA074C5" w14:textId="77777777" w:rsidR="00033071" w:rsidRPr="004F6FF1" w:rsidRDefault="00033071" w:rsidP="00033071">
      <w:pPr>
        <w:spacing w:line="276" w:lineRule="auto"/>
        <w:jc w:val="both"/>
        <w:rPr>
          <w:rFonts w:ascii="Verdana" w:eastAsia="Aptos" w:hAnsi="Verdana" w:cs="Arial"/>
        </w:rPr>
      </w:pPr>
      <w:r>
        <w:rPr>
          <w:rFonts w:ascii="Verdana" w:eastAsia="Calibri" w:hAnsi="Verdana" w:cs="Arial"/>
        </w:rPr>
        <w:t>i. E</w:t>
      </w:r>
      <w:r w:rsidRPr="004F6FF1">
        <w:rPr>
          <w:rFonts w:ascii="Verdana" w:eastAsia="Aptos" w:hAnsi="Verdana" w:cs="Arial"/>
          <w:lang w:val="es-MX"/>
        </w:rPr>
        <w:t xml:space="preserve">l régimen de </w:t>
      </w:r>
      <w:bookmarkStart w:id="2" w:name="_Hlk173850721"/>
      <w:r w:rsidRPr="004F6FF1">
        <w:rPr>
          <w:rFonts w:ascii="Verdana" w:eastAsia="Aptos" w:hAnsi="Verdana" w:cs="Arial"/>
          <w:lang w:val="es-MX"/>
        </w:rPr>
        <w:t>inhabilidades para contratar con el Estado es un conjunto de restricciones establecidas por el constituyente o por el legislador que afectan directamente la capacidad de las personas para establecer relaciones contractuales con el Estado</w:t>
      </w:r>
      <w:bookmarkEnd w:id="2"/>
      <w:r w:rsidRPr="004F6FF1">
        <w:rPr>
          <w:rFonts w:ascii="Verdana" w:eastAsia="Aptos" w:hAnsi="Verdana" w:cs="Arial"/>
          <w:lang w:val="es-MX"/>
        </w:rPr>
        <w:t xml:space="preserve">, que pueden resultar de condenas, sanciones o situaciones previamente </w:t>
      </w:r>
      <w:r w:rsidRPr="004F6FF1">
        <w:rPr>
          <w:rFonts w:ascii="Verdana" w:eastAsia="Aptos" w:hAnsi="Verdana" w:cs="Arial"/>
        </w:rPr>
        <w:t>consagradas</w:t>
      </w:r>
      <w:r w:rsidRPr="004F6FF1">
        <w:rPr>
          <w:rFonts w:ascii="Verdana" w:eastAsia="Aptos" w:hAnsi="Verdana" w:cs="Arial"/>
          <w:lang w:val="es-MX"/>
        </w:rPr>
        <w:t xml:space="preserve"> por el ordenamiento jurídico</w:t>
      </w:r>
      <w:r w:rsidRPr="004F6FF1">
        <w:rPr>
          <w:rFonts w:ascii="Verdana" w:eastAsia="Aptos" w:hAnsi="Verdana" w:cs="Arial"/>
        </w:rPr>
        <w:t>. Sobre el particular, la</w:t>
      </w:r>
      <w:r w:rsidRPr="004F6FF1">
        <w:rPr>
          <w:rFonts w:ascii="Verdana" w:eastAsia="Aptos" w:hAnsi="Verdana" w:cs="Arial"/>
          <w:lang w:val="es-MX"/>
        </w:rPr>
        <w:t xml:space="preserve">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925BAB">
        <w:rPr>
          <w:vertAlign w:val="superscript"/>
        </w:rPr>
        <w:footnoteReference w:id="1"/>
      </w:r>
      <w:r w:rsidRPr="004F6FF1">
        <w:rPr>
          <w:rFonts w:ascii="Verdana" w:eastAsia="Aptos" w:hAnsi="Verdana" w:cs="Arial"/>
          <w:lang w:val="es-MX"/>
        </w:rPr>
        <w:t xml:space="preserve">. </w:t>
      </w:r>
    </w:p>
    <w:p w14:paraId="1FAC971D" w14:textId="77777777" w:rsidR="00033071" w:rsidRPr="0060163E" w:rsidRDefault="00033071" w:rsidP="00033071">
      <w:pPr>
        <w:spacing w:before="120"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La regulación de las inhabilidades que implican limitaciones a la capacidad jurídica para contratar, que desarrolla los principios de la función administrativa consagrados en el artículo 209 de la Constitución Política, con especial énfasis el de moralidad. Así lo entiende el Consejo de Estado: </w:t>
      </w:r>
    </w:p>
    <w:p w14:paraId="3B2DFC71" w14:textId="77777777" w:rsidR="00033071" w:rsidRPr="0060163E" w:rsidRDefault="00033071" w:rsidP="00033071">
      <w:pPr>
        <w:spacing w:after="0" w:line="240" w:lineRule="auto"/>
        <w:jc w:val="both"/>
        <w:rPr>
          <w:rFonts w:ascii="Verdana" w:eastAsia="Calibri" w:hAnsi="Verdana" w:cs="Arial"/>
          <w:lang w:val="es-MX"/>
        </w:rPr>
      </w:pPr>
    </w:p>
    <w:p w14:paraId="6E3A4AC6" w14:textId="77777777" w:rsidR="00033071" w:rsidRPr="0060163E" w:rsidRDefault="00033071" w:rsidP="00033071">
      <w:pPr>
        <w:shd w:val="clear" w:color="auto" w:fill="FFFFFF"/>
        <w:spacing w:after="0" w:line="240" w:lineRule="auto"/>
        <w:ind w:left="709" w:right="709"/>
        <w:jc w:val="both"/>
        <w:rPr>
          <w:rFonts w:ascii="Verdana" w:eastAsia="Calibri" w:hAnsi="Verdana" w:cs="Arial"/>
          <w:sz w:val="20"/>
          <w:szCs w:val="20"/>
          <w:lang w:val="es-ES"/>
        </w:rPr>
      </w:pPr>
      <w:r w:rsidRPr="0060163E">
        <w:rPr>
          <w:rFonts w:ascii="Verdana" w:eastAsia="Calibri" w:hAnsi="Verdana" w:cs="Arial"/>
          <w:sz w:val="20"/>
          <w:szCs w:val="20"/>
          <w:lang w:val="es-ES"/>
        </w:rPr>
        <w:t xml:space="preserve">De manera primordial en esta reflexión debe advertirse que la consagración legal de las incompatibilidades e inhabilidades en materia </w:t>
      </w:r>
      <w:r w:rsidRPr="0060163E">
        <w:rPr>
          <w:rFonts w:ascii="Verdana" w:eastAsia="Calibri" w:hAnsi="Verdana" w:cs="Arial"/>
          <w:sz w:val="20"/>
          <w:szCs w:val="20"/>
          <w:lang w:val="es-ES"/>
        </w:rPr>
        <w:lastRenderedPageBreak/>
        <w:t>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4D5371F5" w14:textId="77777777" w:rsidR="00033071" w:rsidRPr="0060163E" w:rsidRDefault="00033071" w:rsidP="00033071">
      <w:pPr>
        <w:shd w:val="clear" w:color="auto" w:fill="FFFFFF"/>
        <w:spacing w:after="0" w:line="240" w:lineRule="auto"/>
        <w:ind w:left="709" w:right="709"/>
        <w:jc w:val="both"/>
        <w:rPr>
          <w:rFonts w:ascii="Verdana" w:eastAsia="Calibri" w:hAnsi="Verdana" w:cs="Arial"/>
          <w:sz w:val="20"/>
          <w:szCs w:val="20"/>
          <w:lang w:val="es-ES"/>
        </w:rPr>
      </w:pPr>
    </w:p>
    <w:p w14:paraId="1547B0BA" w14:textId="77777777" w:rsidR="00033071" w:rsidRPr="0060163E" w:rsidRDefault="00033071" w:rsidP="00033071">
      <w:pPr>
        <w:shd w:val="clear" w:color="auto" w:fill="FFFFFF"/>
        <w:spacing w:after="0" w:line="240" w:lineRule="auto"/>
        <w:ind w:left="709" w:right="709"/>
        <w:jc w:val="both"/>
        <w:rPr>
          <w:rFonts w:ascii="Verdana" w:eastAsia="Calibri" w:hAnsi="Verdana" w:cs="Arial"/>
          <w:sz w:val="20"/>
          <w:szCs w:val="20"/>
          <w:lang w:val="es-ES"/>
        </w:rPr>
      </w:pPr>
      <w:r w:rsidRPr="0060163E">
        <w:rPr>
          <w:rFonts w:ascii="Verdana" w:eastAsia="Calibri" w:hAnsi="Verdana" w:cs="Arial"/>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60163E">
        <w:rPr>
          <w:rFonts w:ascii="Verdana" w:eastAsia="Calibri" w:hAnsi="Verdana" w:cs="Arial"/>
          <w:sz w:val="20"/>
          <w:szCs w:val="20"/>
          <w:vertAlign w:val="superscript"/>
          <w:lang w:val="es-ES"/>
        </w:rPr>
        <w:footnoteReference w:id="2"/>
      </w:r>
      <w:r>
        <w:rPr>
          <w:rFonts w:ascii="Verdana" w:eastAsia="Calibri" w:hAnsi="Verdana" w:cs="Arial"/>
          <w:sz w:val="20"/>
          <w:szCs w:val="20"/>
          <w:lang w:val="es-ES"/>
        </w:rPr>
        <w:t>.</w:t>
      </w:r>
    </w:p>
    <w:p w14:paraId="7A53988C" w14:textId="77777777" w:rsidR="00033071" w:rsidRPr="0060163E" w:rsidRDefault="00033071" w:rsidP="00033071">
      <w:pPr>
        <w:shd w:val="clear" w:color="auto" w:fill="FFFFFF"/>
        <w:spacing w:after="0" w:line="240" w:lineRule="auto"/>
        <w:ind w:left="709" w:right="709"/>
        <w:jc w:val="both"/>
        <w:rPr>
          <w:rFonts w:ascii="Verdana" w:eastAsia="Calibri" w:hAnsi="Verdana" w:cs="Arial"/>
          <w:lang w:val="es-ES"/>
        </w:rPr>
      </w:pPr>
    </w:p>
    <w:p w14:paraId="74102FE9" w14:textId="77777777" w:rsidR="00033071" w:rsidRPr="0060163E" w:rsidRDefault="00033071" w:rsidP="00033071">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en la salvaguarda del interés general y que su interpretación es taxativa y restrictiva: </w:t>
      </w:r>
    </w:p>
    <w:p w14:paraId="2C0B03FE" w14:textId="77777777" w:rsidR="00033071" w:rsidRPr="0060163E" w:rsidRDefault="00033071" w:rsidP="00033071">
      <w:pPr>
        <w:spacing w:after="0" w:line="276" w:lineRule="auto"/>
        <w:rPr>
          <w:rFonts w:ascii="Verdana" w:eastAsia="Times New Roman" w:hAnsi="Verdana" w:cs="Arial"/>
          <w:shd w:val="clear" w:color="auto" w:fill="FFFFFF"/>
          <w:lang w:eastAsia="es-ES_tradnl"/>
        </w:rPr>
      </w:pPr>
    </w:p>
    <w:p w14:paraId="3DA4F4F9" w14:textId="77777777" w:rsidR="00033071" w:rsidRPr="0060163E" w:rsidRDefault="00033071" w:rsidP="00033071">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w:t>
      </w:r>
      <w:proofErr w:type="gramStart"/>
      <w:r w:rsidRPr="0060163E">
        <w:rPr>
          <w:rFonts w:ascii="Verdana" w:eastAsia="Calibri" w:hAnsi="Verdana" w:cs="Arial"/>
          <w:sz w:val="20"/>
          <w:szCs w:val="20"/>
          <w:lang w:val="es-MX"/>
        </w:rPr>
        <w:lastRenderedPageBreak/>
        <w:t>incompatibilidades,</w:t>
      </w:r>
      <w:proofErr w:type="gramEnd"/>
      <w:r w:rsidRPr="0060163E">
        <w:rPr>
          <w:rFonts w:ascii="Verdana" w:eastAsia="Calibri" w:hAnsi="Verdana" w:cs="Arial"/>
          <w:sz w:val="20"/>
          <w:szCs w:val="20"/>
          <w:lang w:val="es-MX"/>
        </w:rPr>
        <w:t xml:space="preserve"> se erige en causal de nulidad del contrato celebrado en esas condiciones (ley 80 de 1993, art. 44).</w:t>
      </w:r>
    </w:p>
    <w:p w14:paraId="7C56DC28" w14:textId="77777777" w:rsidR="00033071" w:rsidRPr="0060163E" w:rsidRDefault="00033071" w:rsidP="00033071">
      <w:pPr>
        <w:spacing w:after="0" w:line="240" w:lineRule="auto"/>
        <w:ind w:left="709" w:right="709"/>
        <w:jc w:val="both"/>
        <w:rPr>
          <w:rFonts w:ascii="Verdana" w:eastAsia="Calibri" w:hAnsi="Verdana" w:cs="Arial"/>
          <w:sz w:val="20"/>
          <w:szCs w:val="20"/>
          <w:lang w:val="es-MX"/>
        </w:rPr>
      </w:pPr>
    </w:p>
    <w:p w14:paraId="2B48D35C" w14:textId="77777777" w:rsidR="00033071" w:rsidRPr="0060163E" w:rsidRDefault="00033071" w:rsidP="00033071">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60163E">
        <w:rPr>
          <w:rFonts w:ascii="Verdana" w:eastAsia="Calibri" w:hAnsi="Verdana" w:cs="Arial"/>
          <w:sz w:val="20"/>
          <w:szCs w:val="20"/>
          <w:vertAlign w:val="superscript"/>
          <w:lang w:val="es-MX"/>
        </w:rPr>
        <w:footnoteReference w:id="3"/>
      </w:r>
      <w:r w:rsidRPr="0060163E">
        <w:rPr>
          <w:rFonts w:ascii="Verdana" w:eastAsia="Calibri" w:hAnsi="Verdana" w:cs="Arial"/>
          <w:sz w:val="20"/>
          <w:szCs w:val="20"/>
          <w:lang w:val="es-MX"/>
        </w:rPr>
        <w:t xml:space="preserve">. </w:t>
      </w:r>
    </w:p>
    <w:p w14:paraId="23E12865" w14:textId="77777777" w:rsidR="00033071" w:rsidRPr="0060163E" w:rsidRDefault="00033071" w:rsidP="00033071">
      <w:pPr>
        <w:spacing w:after="0" w:line="276" w:lineRule="auto"/>
        <w:ind w:right="709"/>
        <w:jc w:val="both"/>
        <w:rPr>
          <w:rFonts w:ascii="Verdana" w:eastAsia="Calibri" w:hAnsi="Verdana" w:cs="Arial"/>
          <w:lang w:val="es-MX"/>
        </w:rPr>
      </w:pPr>
    </w:p>
    <w:p w14:paraId="0FD77878" w14:textId="77777777" w:rsidR="00033071" w:rsidRPr="0060163E" w:rsidRDefault="00033071" w:rsidP="00033071">
      <w:pPr>
        <w:spacing w:after="0" w:line="276" w:lineRule="auto"/>
        <w:ind w:firstLine="709"/>
        <w:jc w:val="both"/>
        <w:rPr>
          <w:rFonts w:ascii="Verdana" w:eastAsia="Calibri" w:hAnsi="Verdana" w:cs="Arial"/>
          <w:lang w:val="es-MX"/>
        </w:rPr>
      </w:pPr>
      <w:r w:rsidRPr="0060163E">
        <w:rPr>
          <w:rFonts w:ascii="Verdana" w:eastAsia="Calibri" w:hAnsi="Verdana" w:cs="Arial"/>
          <w:lang w:val="es-MX"/>
        </w:rPr>
        <w:t>Además, la Corte Constitucional explica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58355BE6" w14:textId="77777777" w:rsidR="00033071" w:rsidRDefault="00033071" w:rsidP="00033071">
      <w:pPr>
        <w:spacing w:after="0" w:line="240" w:lineRule="auto"/>
        <w:ind w:left="709" w:right="709"/>
        <w:jc w:val="both"/>
        <w:rPr>
          <w:rFonts w:ascii="Verdana" w:eastAsia="Calibri" w:hAnsi="Verdana" w:cs="Arial"/>
          <w:sz w:val="20"/>
          <w:szCs w:val="20"/>
          <w:lang w:val="es-MX"/>
        </w:rPr>
      </w:pPr>
    </w:p>
    <w:p w14:paraId="12136B43" w14:textId="77777777" w:rsidR="00033071" w:rsidRPr="0060163E" w:rsidRDefault="00033071" w:rsidP="00033071">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w:t>
      </w:r>
      <w:proofErr w:type="spellStart"/>
      <w:r w:rsidRPr="0060163E">
        <w:rPr>
          <w:rFonts w:ascii="Verdana" w:eastAsia="Calibri" w:hAnsi="Verdana" w:cs="Arial"/>
          <w:sz w:val="20"/>
          <w:szCs w:val="20"/>
          <w:lang w:val="es-MX"/>
        </w:rPr>
        <w:t>libertate</w:t>
      </w:r>
      <w:proofErr w:type="spellEnd"/>
      <w:r w:rsidRPr="0060163E">
        <w:rPr>
          <w:rFonts w:ascii="Verdana" w:eastAsia="Calibri" w:hAnsi="Verdana" w:cs="Arial"/>
          <w:sz w:val="20"/>
          <w:szCs w:val="20"/>
          <w:lang w:val="es-MX"/>
        </w:rPr>
        <w:t xml:space="preserve">, sino el de legalidad, el que ordena que la función pública debe someterse estrictamente a lo que disponga la Constitución y la ley (CP art. 6). </w:t>
      </w:r>
    </w:p>
    <w:p w14:paraId="0E06A19D" w14:textId="77777777" w:rsidR="00033071" w:rsidRDefault="00033071" w:rsidP="00033071">
      <w:pPr>
        <w:spacing w:after="0" w:line="240" w:lineRule="auto"/>
        <w:ind w:left="709" w:right="709"/>
        <w:jc w:val="both"/>
        <w:rPr>
          <w:rFonts w:ascii="Verdana" w:eastAsia="Calibri" w:hAnsi="Verdana" w:cs="Arial"/>
          <w:sz w:val="20"/>
          <w:szCs w:val="20"/>
          <w:lang w:val="es-MX"/>
        </w:rPr>
      </w:pPr>
    </w:p>
    <w:p w14:paraId="2F72C752" w14:textId="77777777" w:rsidR="00033071" w:rsidRPr="0060163E" w:rsidRDefault="00033071" w:rsidP="00033071">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 xml:space="preserve">[…] </w:t>
      </w:r>
    </w:p>
    <w:p w14:paraId="615572F9" w14:textId="77777777" w:rsidR="00033071" w:rsidRDefault="00033071" w:rsidP="00033071">
      <w:pPr>
        <w:spacing w:after="0" w:line="240" w:lineRule="auto"/>
        <w:ind w:left="709" w:right="709"/>
        <w:jc w:val="both"/>
        <w:rPr>
          <w:rFonts w:ascii="Verdana" w:eastAsia="Calibri" w:hAnsi="Verdana" w:cs="Arial"/>
          <w:sz w:val="20"/>
          <w:szCs w:val="20"/>
          <w:lang w:val="es-MX"/>
        </w:rPr>
      </w:pPr>
    </w:p>
    <w:p w14:paraId="2628A0A9" w14:textId="77777777" w:rsidR="00033071" w:rsidRPr="0060163E" w:rsidRDefault="00033071" w:rsidP="00033071">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 xml:space="preserve">Se comprende con facilidad que el régimen de inhabilidades e </w:t>
      </w:r>
      <w:proofErr w:type="gramStart"/>
      <w:r w:rsidRPr="0060163E">
        <w:rPr>
          <w:rFonts w:ascii="Verdana" w:eastAsia="Calibri" w:hAnsi="Verdana" w:cs="Arial"/>
          <w:sz w:val="20"/>
          <w:szCs w:val="20"/>
          <w:lang w:val="es-MX"/>
        </w:rPr>
        <w:t>incompatibilidades,</w:t>
      </w:r>
      <w:proofErr w:type="gramEnd"/>
      <w:r w:rsidRPr="0060163E">
        <w:rPr>
          <w:rFonts w:ascii="Verdana" w:eastAsia="Calibri" w:hAnsi="Verdana" w:cs="Arial"/>
          <w:sz w:val="20"/>
          <w:szCs w:val="20"/>
          <w:lang w:val="es-MX"/>
        </w:rPr>
        <w:t xml:space="preserve"> corresponde a una materia de normal y obligada inclusión en un estatuto contractual. El legislador, a quien se ha confiado expedir el indicado estatuto, tiene, pues, competencia para establecerlo (CP art. 150)</w:t>
      </w:r>
      <w:r w:rsidRPr="0060163E">
        <w:rPr>
          <w:rFonts w:ascii="Verdana" w:eastAsia="Calibri" w:hAnsi="Verdana" w:cs="Arial"/>
          <w:sz w:val="20"/>
          <w:szCs w:val="20"/>
          <w:vertAlign w:val="superscript"/>
          <w:lang w:val="es-MX"/>
        </w:rPr>
        <w:footnoteReference w:id="4"/>
      </w:r>
      <w:r w:rsidRPr="0060163E">
        <w:rPr>
          <w:rFonts w:ascii="Verdana" w:eastAsia="Calibri" w:hAnsi="Verdana" w:cs="Arial"/>
          <w:sz w:val="20"/>
          <w:szCs w:val="20"/>
          <w:lang w:val="es-MX"/>
        </w:rPr>
        <w:t>.</w:t>
      </w:r>
    </w:p>
    <w:p w14:paraId="7FA843F0" w14:textId="77777777" w:rsidR="00033071" w:rsidRPr="0060163E" w:rsidRDefault="00033071" w:rsidP="00033071">
      <w:pPr>
        <w:spacing w:after="0" w:line="276" w:lineRule="auto"/>
        <w:ind w:left="709" w:right="709"/>
        <w:jc w:val="both"/>
        <w:rPr>
          <w:rFonts w:ascii="Verdana" w:eastAsia="Calibri" w:hAnsi="Verdana" w:cs="Arial"/>
          <w:lang w:val="es-MX"/>
        </w:rPr>
      </w:pPr>
    </w:p>
    <w:p w14:paraId="75435881" w14:textId="77777777" w:rsidR="00033071" w:rsidRPr="0060163E" w:rsidRDefault="00033071" w:rsidP="00033071">
      <w:pPr>
        <w:spacing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Conviene también distinguir las fuentes de las inhabilidades, las cuales han sido clasificadas en dos (2) grupos: i) inhabilidades-sanción y </w:t>
      </w:r>
      <w:proofErr w:type="spellStart"/>
      <w:r w:rsidRPr="0060163E">
        <w:rPr>
          <w:rFonts w:ascii="Verdana" w:eastAsia="Calibri" w:hAnsi="Verdana" w:cs="Arial"/>
          <w:lang w:val="es-MX"/>
        </w:rPr>
        <w:t>ii</w:t>
      </w:r>
      <w:proofErr w:type="spellEnd"/>
      <w:r w:rsidRPr="0060163E">
        <w:rPr>
          <w:rFonts w:ascii="Verdana" w:eastAsia="Calibri" w:hAnsi="Verdana" w:cs="Arial"/>
          <w:lang w:val="es-MX"/>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60163E">
        <w:rPr>
          <w:rFonts w:ascii="Verdana" w:eastAsia="Calibri" w:hAnsi="Verdana" w:cs="Arial"/>
          <w:vertAlign w:val="superscript"/>
          <w:lang w:val="es-MX"/>
        </w:rPr>
        <w:footnoteReference w:id="5"/>
      </w:r>
      <w:r w:rsidRPr="0060163E">
        <w:rPr>
          <w:rFonts w:ascii="Verdana" w:eastAsia="Calibri" w:hAnsi="Verdana" w:cs="Arial"/>
          <w:lang w:val="es-MX"/>
        </w:rPr>
        <w:t>.</w:t>
      </w:r>
    </w:p>
    <w:p w14:paraId="33A732B1" w14:textId="77777777" w:rsidR="00033071" w:rsidRPr="0060163E" w:rsidRDefault="00033071" w:rsidP="00033071">
      <w:pPr>
        <w:spacing w:before="120" w:after="120" w:line="276" w:lineRule="auto"/>
        <w:ind w:firstLine="708"/>
        <w:jc w:val="both"/>
        <w:rPr>
          <w:rFonts w:ascii="Verdana" w:eastAsia="Calibri" w:hAnsi="Verdana" w:cs="Arial"/>
          <w:lang w:val="es-MX"/>
        </w:rPr>
      </w:pPr>
      <w:r w:rsidRPr="0060163E">
        <w:rPr>
          <w:rFonts w:ascii="Verdana" w:eastAsia="Calibri" w:hAnsi="Verdana" w:cs="Arial"/>
          <w:lang w:val="es-MX"/>
        </w:rPr>
        <w:t>A manera de ejemplo, en materia contractual, los literales c), d) y j) del numeral 1 del artículo 8 de la Ley 80 de 1993</w:t>
      </w:r>
      <w:r w:rsidRPr="0060163E">
        <w:rPr>
          <w:rFonts w:ascii="Verdana" w:eastAsia="Calibri" w:hAnsi="Verdana" w:cs="Arial"/>
          <w:vertAlign w:val="superscript"/>
          <w:lang w:val="es-MX"/>
        </w:rPr>
        <w:footnoteReference w:id="6"/>
      </w:r>
      <w:r w:rsidRPr="0060163E">
        <w:rPr>
          <w:rFonts w:ascii="Verdana" w:eastAsia="Calibri" w:hAnsi="Verdana" w:cs="Arial"/>
          <w:lang w:val="es-MX"/>
        </w:rPr>
        <w:t xml:space="preserve"> establecen inhabilidades-sanción, </w:t>
      </w:r>
      <w:r w:rsidRPr="0060163E">
        <w:rPr>
          <w:rFonts w:ascii="Verdana" w:eastAsia="Calibri" w:hAnsi="Verdana" w:cs="Arial"/>
          <w:lang w:val="es-MX"/>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30508472" w14:textId="77777777" w:rsidR="00033071" w:rsidRPr="0060163E" w:rsidRDefault="00033071" w:rsidP="00033071">
      <w:pPr>
        <w:spacing w:before="120"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1BF5E295" w14:textId="77777777" w:rsidR="00033071" w:rsidRPr="0060163E" w:rsidRDefault="00033071" w:rsidP="00033071">
      <w:pPr>
        <w:spacing w:before="120"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60163E">
        <w:rPr>
          <w:rFonts w:ascii="Verdana" w:eastAsia="Calibri" w:hAnsi="Verdana" w:cs="Arial"/>
          <w:i/>
          <w:iCs/>
          <w:lang w:val="es-ES_tradnl"/>
        </w:rPr>
        <w:t>restrictiva</w:t>
      </w:r>
      <w:r w:rsidRPr="009D0DBE">
        <w:rPr>
          <w:rFonts w:ascii="Verdana" w:eastAsia="Calibri" w:hAnsi="Verdana" w:cs="Arial"/>
          <w:vertAlign w:val="superscript"/>
          <w:lang w:val="es-ES_tradnl"/>
        </w:rPr>
        <w:footnoteReference w:id="7"/>
      </w:r>
      <w:r w:rsidRPr="0060163E">
        <w:rPr>
          <w:rFonts w:ascii="Verdana" w:eastAsia="Calibri" w:hAnsi="Verdana" w:cs="Arial"/>
          <w:i/>
          <w:iCs/>
          <w:lang w:val="es-ES_tradnl"/>
        </w:rPr>
        <w:t xml:space="preserve">, </w:t>
      </w:r>
      <w:r w:rsidRPr="0060163E">
        <w:rPr>
          <w:rFonts w:ascii="Verdana" w:eastAsia="Calibri" w:hAnsi="Verdana" w:cs="Arial"/>
          <w:lang w:val="es-ES_tradnl"/>
        </w:rPr>
        <w:t xml:space="preserve">pues </w:t>
      </w:r>
      <w:r w:rsidRPr="0060163E">
        <w:rPr>
          <w:rFonts w:ascii="Verdana" w:eastAsia="Calibri" w:hAnsi="Verdana" w:cs="Arial"/>
          <w:lang w:val="es-ES_tradnl"/>
        </w:rPr>
        <w:lastRenderedPageBreak/>
        <w:t xml:space="preserve">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43022773" w14:textId="77777777" w:rsidR="00033071" w:rsidRPr="0060163E" w:rsidRDefault="00033071" w:rsidP="00033071">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En efecto, el máximo tribunal constitucional ha indicado, al tratar de precisar el sentido de este tipo de normas, que </w:t>
      </w:r>
      <w:r>
        <w:rPr>
          <w:rFonts w:ascii="Verdana" w:eastAsia="Calibri" w:hAnsi="Verdana" w:cs="Arial"/>
          <w:lang w:val="es-ES_tradnl"/>
        </w:rPr>
        <w:t>“(…)</w:t>
      </w:r>
      <w:r w:rsidRPr="0060163E">
        <w:rPr>
          <w:rFonts w:ascii="Verdana" w:eastAsia="Calibri" w:hAnsi="Verdana" w:cs="Arial"/>
          <w:lang w:val="es-ES_tradnl"/>
        </w:rPr>
        <w:t xml:space="preserve">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0163E">
        <w:rPr>
          <w:rFonts w:ascii="Verdana" w:eastAsia="Calibri" w:hAnsi="Verdana" w:cs="Arial"/>
          <w:vertAlign w:val="superscript"/>
          <w:lang w:val="es-ES_tradnl"/>
        </w:rPr>
        <w:footnoteReference w:id="8"/>
      </w:r>
      <w:r w:rsidRPr="0060163E">
        <w:rPr>
          <w:rFonts w:ascii="Verdana" w:eastAsia="Calibri" w:hAnsi="Verdana" w:cs="Arial"/>
          <w:lang w:val="es-ES_tradnl"/>
        </w:rPr>
        <w:t xml:space="preserve">. </w:t>
      </w:r>
    </w:p>
    <w:p w14:paraId="44B03EE5" w14:textId="77777777" w:rsidR="00033071" w:rsidRPr="0060163E" w:rsidRDefault="00033071" w:rsidP="00033071">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0163E">
        <w:rPr>
          <w:rFonts w:ascii="Verdana" w:eastAsia="Calibri" w:hAnsi="Verdana" w:cs="Arial"/>
          <w:vertAlign w:val="superscript"/>
          <w:lang w:val="es-ES_tradnl"/>
        </w:rPr>
        <w:footnoteReference w:id="9"/>
      </w:r>
      <w:r w:rsidRPr="0060163E">
        <w:rPr>
          <w:rFonts w:ascii="Verdana" w:eastAsia="Calibri" w:hAnsi="Verdana" w:cs="Arial"/>
          <w:lang w:val="es-ES_tradnl"/>
        </w:rPr>
        <w:t>. En tal sentido, la Sección Tercera ha señalado que:</w:t>
      </w:r>
    </w:p>
    <w:p w14:paraId="3869A20C" w14:textId="77777777" w:rsidR="00033071" w:rsidRPr="0060163E" w:rsidRDefault="00033071" w:rsidP="00033071">
      <w:pPr>
        <w:spacing w:after="0" w:line="276" w:lineRule="auto"/>
        <w:ind w:firstLine="709"/>
        <w:jc w:val="both"/>
        <w:rPr>
          <w:rFonts w:ascii="Verdana" w:eastAsia="Calibri" w:hAnsi="Verdana" w:cs="Arial"/>
          <w:lang w:val="es-ES_tradnl"/>
        </w:rPr>
      </w:pPr>
    </w:p>
    <w:p w14:paraId="477A6B71" w14:textId="77777777" w:rsidR="00033071" w:rsidRPr="0060163E" w:rsidRDefault="00033071" w:rsidP="00033071">
      <w:pPr>
        <w:spacing w:after="0" w:line="240" w:lineRule="auto"/>
        <w:ind w:left="709" w:right="709"/>
        <w:jc w:val="both"/>
        <w:rPr>
          <w:rFonts w:ascii="Verdana" w:eastAsia="Calibri" w:hAnsi="Verdana" w:cs="Arial"/>
          <w:sz w:val="20"/>
          <w:szCs w:val="20"/>
          <w:lang w:val="es-ES_tradnl"/>
        </w:rPr>
      </w:pPr>
      <w:r w:rsidRPr="0060163E">
        <w:rPr>
          <w:rFonts w:ascii="Verdana" w:eastAsia="Calibri" w:hAnsi="Verdana" w:cs="Arial"/>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60163E">
        <w:rPr>
          <w:rFonts w:ascii="Verdana" w:eastAsia="Calibri" w:hAnsi="Verdana" w:cs="Arial"/>
          <w:sz w:val="20"/>
          <w:szCs w:val="20"/>
          <w:vertAlign w:val="superscript"/>
          <w:lang w:val="es-ES_tradnl"/>
        </w:rPr>
        <w:footnoteReference w:id="10"/>
      </w:r>
      <w:r w:rsidRPr="0060163E">
        <w:rPr>
          <w:rFonts w:ascii="Verdana" w:eastAsia="Calibri" w:hAnsi="Verdana" w:cs="Arial"/>
          <w:sz w:val="20"/>
          <w:szCs w:val="20"/>
          <w:lang w:val="es-ES_tradnl"/>
        </w:rPr>
        <w:t>.</w:t>
      </w:r>
    </w:p>
    <w:p w14:paraId="3E78BA06" w14:textId="77777777" w:rsidR="00033071" w:rsidRPr="0060163E" w:rsidRDefault="00033071" w:rsidP="00033071">
      <w:pPr>
        <w:spacing w:after="0" w:line="240" w:lineRule="auto"/>
        <w:ind w:firstLine="709"/>
        <w:jc w:val="both"/>
        <w:rPr>
          <w:rFonts w:ascii="Verdana" w:eastAsia="Calibri" w:hAnsi="Verdana" w:cs="Arial"/>
          <w:sz w:val="20"/>
          <w:szCs w:val="20"/>
          <w:lang w:val="es-ES_tradnl"/>
        </w:rPr>
      </w:pPr>
    </w:p>
    <w:p w14:paraId="38854834" w14:textId="77777777" w:rsidR="00033071" w:rsidRPr="0060163E" w:rsidRDefault="00033071" w:rsidP="00033071">
      <w:pPr>
        <w:spacing w:after="0" w:line="240" w:lineRule="auto"/>
        <w:ind w:firstLine="709"/>
        <w:jc w:val="both"/>
        <w:rPr>
          <w:rFonts w:ascii="Verdana" w:eastAsia="Calibri" w:hAnsi="Verdana" w:cs="Arial"/>
          <w:sz w:val="20"/>
          <w:szCs w:val="20"/>
          <w:lang w:val="es-ES_tradnl"/>
        </w:rPr>
      </w:pPr>
      <w:r w:rsidRPr="0060163E">
        <w:rPr>
          <w:rFonts w:ascii="Verdana" w:eastAsia="Calibri" w:hAnsi="Verdana" w:cs="Arial"/>
          <w:sz w:val="20"/>
          <w:szCs w:val="20"/>
          <w:lang w:val="es-ES_tradnl"/>
        </w:rPr>
        <w:t>También ha dicho que:</w:t>
      </w:r>
    </w:p>
    <w:p w14:paraId="6C2FCC6D" w14:textId="77777777" w:rsidR="00033071" w:rsidRPr="0060163E" w:rsidRDefault="00033071" w:rsidP="00033071">
      <w:pPr>
        <w:spacing w:after="0" w:line="240" w:lineRule="auto"/>
        <w:ind w:left="709" w:right="616"/>
        <w:jc w:val="both"/>
        <w:rPr>
          <w:rFonts w:ascii="Verdana" w:eastAsia="Calibri" w:hAnsi="Verdana" w:cs="Arial"/>
          <w:sz w:val="20"/>
          <w:szCs w:val="20"/>
          <w:lang w:val="es-ES"/>
        </w:rPr>
      </w:pPr>
      <w:r w:rsidRPr="0060163E">
        <w:rPr>
          <w:rFonts w:ascii="Verdana" w:eastAsia="Calibri" w:hAnsi="Verdana" w:cs="Arial"/>
          <w:sz w:val="20"/>
          <w:szCs w:val="20"/>
          <w:lang w:val="es-ES"/>
        </w:rPr>
        <w:lastRenderedPageBreak/>
        <w:t xml:space="preserve">[…] la aplicación de estos preceptos exige una interpretación restrictiva, dado que según el principio hermenéutico </w:t>
      </w:r>
      <w:r w:rsidRPr="0060163E">
        <w:rPr>
          <w:rFonts w:ascii="Verdana" w:eastAsia="Calibri" w:hAnsi="Verdana" w:cs="Arial"/>
          <w:i/>
          <w:iCs/>
          <w:sz w:val="20"/>
          <w:szCs w:val="20"/>
          <w:lang w:val="es-ES"/>
        </w:rPr>
        <w:t xml:space="preserve">pro </w:t>
      </w:r>
      <w:proofErr w:type="spellStart"/>
      <w:r w:rsidRPr="0060163E">
        <w:rPr>
          <w:rFonts w:ascii="Verdana" w:eastAsia="Calibri" w:hAnsi="Verdana" w:cs="Arial"/>
          <w:i/>
          <w:iCs/>
          <w:sz w:val="20"/>
          <w:szCs w:val="20"/>
          <w:lang w:val="es-ES"/>
        </w:rPr>
        <w:t>libertate</w:t>
      </w:r>
      <w:proofErr w:type="spellEnd"/>
      <w:r w:rsidRPr="0060163E">
        <w:rPr>
          <w:rFonts w:ascii="Verdana" w:eastAsia="Calibri" w:hAnsi="Verdana" w:cs="Arial"/>
          <w:sz w:val="20"/>
          <w:szCs w:val="20"/>
          <w:lang w:val="es-ES"/>
        </w:rPr>
        <w:t xml:space="preserv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Pr>
          <w:rFonts w:ascii="Verdana" w:eastAsia="Calibri" w:hAnsi="Verdana" w:cs="Arial"/>
          <w:sz w:val="20"/>
          <w:szCs w:val="20"/>
          <w:lang w:val="es-ES"/>
        </w:rPr>
        <w:t>(…)”</w:t>
      </w:r>
      <w:r w:rsidRPr="0060163E">
        <w:rPr>
          <w:rFonts w:ascii="Verdana" w:eastAsia="Calibri" w:hAnsi="Verdana" w:cs="Arial"/>
          <w:sz w:val="20"/>
          <w:szCs w:val="20"/>
          <w:vertAlign w:val="superscript"/>
          <w:lang w:val="es-ES"/>
        </w:rPr>
        <w:footnoteReference w:id="11"/>
      </w:r>
      <w:r w:rsidRPr="0060163E">
        <w:rPr>
          <w:rFonts w:ascii="Verdana" w:eastAsia="Calibri" w:hAnsi="Verdana" w:cs="Arial"/>
          <w:sz w:val="20"/>
          <w:szCs w:val="20"/>
          <w:lang w:val="es-ES"/>
        </w:rPr>
        <w:t>.</w:t>
      </w:r>
    </w:p>
    <w:p w14:paraId="00C27420" w14:textId="77777777" w:rsidR="00033071" w:rsidRPr="0060163E" w:rsidRDefault="00033071" w:rsidP="00033071">
      <w:pPr>
        <w:spacing w:after="0" w:line="276" w:lineRule="auto"/>
        <w:jc w:val="both"/>
        <w:rPr>
          <w:rFonts w:ascii="Verdana" w:eastAsia="Arial" w:hAnsi="Verdana" w:cs="Arial"/>
          <w:color w:val="000000"/>
          <w:lang w:val="es-ES_tradnl"/>
        </w:rPr>
      </w:pPr>
    </w:p>
    <w:p w14:paraId="3EEDB349" w14:textId="77777777" w:rsidR="00033071" w:rsidRPr="0060163E" w:rsidRDefault="00033071" w:rsidP="00033071">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 xml:space="preserve">pro </w:t>
      </w:r>
      <w:proofErr w:type="spellStart"/>
      <w:r w:rsidRPr="0060163E">
        <w:rPr>
          <w:rFonts w:ascii="Verdana" w:eastAsia="Arial" w:hAnsi="Verdana" w:cs="Arial"/>
          <w:i/>
          <w:iCs/>
          <w:color w:val="000000"/>
          <w:lang w:val="es-ES_tradnl"/>
        </w:rPr>
        <w:t>libertate</w:t>
      </w:r>
      <w:proofErr w:type="spellEnd"/>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12"/>
      </w:r>
      <w:r>
        <w:rPr>
          <w:rFonts w:ascii="Verdana" w:eastAsia="Calibri" w:hAnsi="Verdana" w:cs="Arial"/>
          <w:color w:val="000000"/>
          <w:lang w:val="es-MX"/>
        </w:rPr>
        <w:t>.</w:t>
      </w:r>
    </w:p>
    <w:p w14:paraId="4003D22F" w14:textId="77777777" w:rsidR="00033071" w:rsidRPr="00475338" w:rsidRDefault="00033071" w:rsidP="00033071">
      <w:pPr>
        <w:spacing w:after="120" w:line="276" w:lineRule="auto"/>
        <w:jc w:val="both"/>
        <w:rPr>
          <w:rFonts w:ascii="Verdana" w:eastAsia="Calibri" w:hAnsi="Verdana" w:cs="Arial"/>
        </w:rPr>
      </w:pPr>
      <w:proofErr w:type="spellStart"/>
      <w:r>
        <w:rPr>
          <w:rFonts w:ascii="Verdana" w:eastAsia="Calibri" w:hAnsi="Verdana" w:cs="Arial"/>
          <w:lang w:val="es-ES"/>
        </w:rPr>
        <w:t>ii</w:t>
      </w:r>
      <w:proofErr w:type="spellEnd"/>
      <w:r>
        <w:rPr>
          <w:rFonts w:ascii="Verdana" w:eastAsia="Calibri" w:hAnsi="Verdana" w:cs="Arial"/>
          <w:lang w:val="es-ES"/>
        </w:rPr>
        <w:t>.</w:t>
      </w:r>
      <w:r>
        <w:rPr>
          <w:rFonts w:ascii="Verdana" w:eastAsia="Calibri" w:hAnsi="Verdana" w:cs="Arial"/>
        </w:rPr>
        <w:t>En particular,</w:t>
      </w:r>
      <w:r w:rsidRPr="00475338">
        <w:rPr>
          <w:rFonts w:ascii="Verdana" w:eastAsia="Calibri" w:hAnsi="Verdana" w:cs="Arial"/>
        </w:rPr>
        <w:t xml:space="preserve"> el artículo 2.2.1.1.2.2.5 del Decreto 1082 de 2015 reglamenta el procedimiento que debe seguir la entidad estatal cuando, en un mismo proceso de contratación, se presenta la situación descrita en los literales (g) y (h) del numeral 1 del artículo 8 de la Ley 80 de 1993. Esta disposición establece que, para determinar cuál de los oferentes resulta inhabilitado, la entidad debe dejar constancia expresa de la fecha y hora de recibo de cada oferta, indicando el nombre o razón social del proponente y de su representante legal, con el fin de establecer cuál fue presentada primero en el tiempo, pues la consecuencia jurídica recae sobre la oferta posterior.</w:t>
      </w:r>
    </w:p>
    <w:p w14:paraId="6DA33222" w14:textId="77777777" w:rsidR="00033071" w:rsidRDefault="00033071" w:rsidP="00033071">
      <w:pPr>
        <w:spacing w:after="120" w:line="276" w:lineRule="auto"/>
        <w:ind w:firstLine="709"/>
        <w:jc w:val="both"/>
        <w:rPr>
          <w:rFonts w:ascii="Verdana" w:eastAsia="Calibri" w:hAnsi="Verdana" w:cs="Arial"/>
        </w:rPr>
      </w:pPr>
      <w:r w:rsidRPr="00475338">
        <w:rPr>
          <w:rFonts w:ascii="Verdana" w:eastAsia="Calibri" w:hAnsi="Verdana" w:cs="Arial"/>
        </w:rPr>
        <w:t>El fundamento legal de esta regla se encuentra en los literales g) y</w:t>
      </w:r>
      <w:r>
        <w:rPr>
          <w:rFonts w:ascii="Verdana" w:eastAsia="Calibri" w:hAnsi="Verdana" w:cs="Arial"/>
        </w:rPr>
        <w:t xml:space="preserve"> </w:t>
      </w:r>
      <w:r w:rsidRPr="00475338">
        <w:rPr>
          <w:rFonts w:ascii="Verdana" w:eastAsia="Calibri" w:hAnsi="Verdana" w:cs="Arial"/>
        </w:rPr>
        <w:t xml:space="preserve">h) del numeral 1 del artículo 8 de la Ley 80 de 1993, los cuales consagran como causal de inhabilidad la participación simultánea, en un mismo proceso de selección, de </w:t>
      </w:r>
      <w:r w:rsidRPr="00475338">
        <w:rPr>
          <w:rFonts w:ascii="Verdana" w:eastAsia="Calibri" w:hAnsi="Verdana" w:cs="Arial"/>
        </w:rPr>
        <w:lastRenderedPageBreak/>
        <w:t>personas naturales que tengan entre sí determinados grados de parentesco, así como la concurrencia de personas jurídicas cuyos socios o representantes legales se encuentren igualmente vinculados por esos lazos. Se trata de una prohibición orientada a preservar los principios de transparencia, moralidad, igualdad y selección objetiva, evitando que relaciones familiares o vínculos directos entre proponentes puedan afectar la libre concurrencia o generar ventajas indebidas.</w:t>
      </w:r>
    </w:p>
    <w:p w14:paraId="28C7331F" w14:textId="77777777" w:rsidR="00033071" w:rsidRDefault="00033071" w:rsidP="00033071">
      <w:pPr>
        <w:spacing w:after="120" w:line="276" w:lineRule="auto"/>
        <w:ind w:firstLine="709"/>
        <w:jc w:val="both"/>
        <w:rPr>
          <w:rFonts w:ascii="Verdana" w:eastAsia="Calibri" w:hAnsi="Verdana" w:cs="Arial"/>
        </w:rPr>
      </w:pPr>
      <w:r w:rsidRPr="00475338">
        <w:rPr>
          <w:rFonts w:ascii="Verdana" w:eastAsia="Calibri" w:hAnsi="Verdana" w:cs="Arial"/>
        </w:rPr>
        <w:t>De esta manera, la línea jurídica que debe consignarse en las consideraciones es que el régimen de inhabilidades es de carácter taxativo y de interpretación restrictiva, por lo que solo procede su aplicación cuando se configuran estrictamente los supuestos previstos en la ley. En consecuencia, no basta la simple existencia de un socio común entre dos sociedades para predicar una inhabilidad automática; será necesario verificar si concurren las circunstancias específicas previstas en los literales (g) y (h) del artículo 8 de la Ley 80 de 1993 y, de ser así, aplicar el criterio temporal reglamentado por el Decreto 1082 de 2015, inhabilitando únicamente la oferta presentada con posterioridad.</w:t>
      </w:r>
    </w:p>
    <w:p w14:paraId="7D00EDF8" w14:textId="77777777" w:rsidR="00033071" w:rsidRDefault="00033071" w:rsidP="00033071">
      <w:pPr>
        <w:spacing w:after="0" w:line="276" w:lineRule="auto"/>
        <w:jc w:val="both"/>
        <w:rPr>
          <w:rFonts w:ascii="Verdana" w:eastAsia="Arial" w:hAnsi="Verdana" w:cs="Arial"/>
          <w:color w:val="000000"/>
        </w:rPr>
      </w:pPr>
      <w:proofErr w:type="spellStart"/>
      <w:r>
        <w:rPr>
          <w:rFonts w:ascii="Verdana" w:eastAsia="Calibri" w:hAnsi="Verdana" w:cs="Arial"/>
        </w:rPr>
        <w:t>iii</w:t>
      </w:r>
      <w:proofErr w:type="spellEnd"/>
      <w:r>
        <w:rPr>
          <w:rFonts w:ascii="Verdana" w:eastAsia="Calibri" w:hAnsi="Verdana" w:cs="Arial"/>
        </w:rPr>
        <w:t xml:space="preserve">. </w:t>
      </w:r>
      <w:r w:rsidRPr="00B36F85">
        <w:rPr>
          <w:rFonts w:ascii="Verdana" w:eastAsia="Arial" w:hAnsi="Verdana" w:cs="Arial"/>
        </w:rPr>
        <w:t xml:space="preserve">El rechazo de las ofertas y los eventos en los que proceden han sido asuntos de los que se ha ocupado la legislación nacional en materia de contratación pública, por lo que </w:t>
      </w:r>
      <w:r>
        <w:rPr>
          <w:rFonts w:ascii="Verdana" w:eastAsia="Arial" w:hAnsi="Verdana" w:cs="Arial"/>
        </w:rPr>
        <w:t>“</w:t>
      </w:r>
      <w:r w:rsidRPr="00B36F85">
        <w:rPr>
          <w:rFonts w:ascii="Verdana" w:eastAsia="Arial" w:hAnsi="Verdana" w:cs="Arial"/>
        </w:rPr>
        <w:t>la competencia de las entidades estales para establecer eventos de exclusión de propuestas es de carácter residual y restringido</w:t>
      </w:r>
      <w:r>
        <w:rPr>
          <w:rFonts w:ascii="Verdana" w:eastAsia="Arial" w:hAnsi="Verdana" w:cs="Arial"/>
        </w:rPr>
        <w:t>”</w:t>
      </w:r>
      <w:r w:rsidRPr="00B36F85">
        <w:rPr>
          <w:rFonts w:ascii="Verdana" w:eastAsia="Arial" w:hAnsi="Verdana" w:cs="Arial"/>
          <w:vertAlign w:val="superscript"/>
        </w:rPr>
        <w:footnoteReference w:id="13"/>
      </w:r>
      <w:r w:rsidRPr="00B36F85">
        <w:rPr>
          <w:rFonts w:ascii="Verdana" w:eastAsia="Arial" w:hAnsi="Verdana" w:cs="Arial"/>
        </w:rPr>
        <w:t>. En ese sentido, si bien las entidades estatales, en ejercicio de la discrecionalidad que les corresponde en la configuración de los pliegos de condiciones, tienen competencia para determinar los requisitos que deben cumplir los proponentes para la presentación de ofertas</w:t>
      </w:r>
      <w:r w:rsidRPr="00B36F85">
        <w:rPr>
          <w:rFonts w:ascii="Verdana" w:eastAsia="Arial" w:hAnsi="Verdana" w:cs="Arial"/>
          <w:vertAlign w:val="superscript"/>
        </w:rPr>
        <w:footnoteReference w:id="14"/>
      </w:r>
      <w:r w:rsidRPr="00B36F85">
        <w:rPr>
          <w:rFonts w:ascii="Verdana" w:eastAsia="Arial" w:hAnsi="Verdana" w:cs="Arial"/>
        </w:rPr>
        <w:t xml:space="preserve"> y regular los eventos en los que procede su rechazo</w:t>
      </w:r>
      <w:r w:rsidRPr="00B36F85">
        <w:rPr>
          <w:rFonts w:ascii="Verdana" w:eastAsia="Arial" w:hAnsi="Verdana" w:cs="Arial"/>
          <w:vertAlign w:val="superscript"/>
        </w:rPr>
        <w:footnoteReference w:id="15"/>
      </w:r>
      <w:r w:rsidRPr="00B36F85">
        <w:rPr>
          <w:rFonts w:ascii="Verdana" w:eastAsia="Arial" w:hAnsi="Verdana" w:cs="Arial"/>
        </w:rPr>
        <w:t xml:space="preserve">, el ejercicio de tales facultades encuentra ciertos límites en la ley y el reglamento, así como en los principios de razonabilidad y proporcionalidad.  </w:t>
      </w:r>
    </w:p>
    <w:p w14:paraId="27B64EC3" w14:textId="77777777" w:rsidR="00033071" w:rsidRDefault="00033071" w:rsidP="00033071">
      <w:pPr>
        <w:spacing w:before="120" w:after="0" w:line="276" w:lineRule="auto"/>
        <w:ind w:firstLine="709"/>
        <w:jc w:val="both"/>
        <w:rPr>
          <w:rFonts w:ascii="Verdana" w:eastAsia="Arial" w:hAnsi="Verdana" w:cs="Arial"/>
          <w:color w:val="000000"/>
        </w:rPr>
      </w:pPr>
      <w:r w:rsidRPr="00B36F85">
        <w:rPr>
          <w:rFonts w:ascii="Verdana" w:eastAsia="Arial" w:hAnsi="Verdana" w:cs="Arial"/>
        </w:rPr>
        <w:lastRenderedPageBreak/>
        <w:t xml:space="preserve">En ese entendido, uno de los límites a la facultad para establecer causales de rechazo, se encuentra en la regla de </w:t>
      </w:r>
      <w:proofErr w:type="spellStart"/>
      <w:r w:rsidRPr="00B36F85">
        <w:rPr>
          <w:rFonts w:ascii="Verdana" w:eastAsia="Arial" w:hAnsi="Verdana" w:cs="Arial"/>
        </w:rPr>
        <w:t>subsanabilidad</w:t>
      </w:r>
      <w:proofErr w:type="spellEnd"/>
      <w:r w:rsidRPr="00B36F85">
        <w:rPr>
          <w:rFonts w:ascii="Verdana" w:eastAsia="Arial" w:hAnsi="Verdana" w:cs="Arial"/>
        </w:rPr>
        <w:t xml:space="preserve"> del parágrafo 1 del artículo 5 de la Ley 1150 de 2007, según la cual </w:t>
      </w:r>
      <w:r>
        <w:rPr>
          <w:rFonts w:ascii="Verdana" w:eastAsia="Arial" w:hAnsi="Verdana" w:cs="Arial"/>
        </w:rPr>
        <w:t>“</w:t>
      </w:r>
      <w:r w:rsidRPr="00B36F85">
        <w:rPr>
          <w:rFonts w:ascii="Verdana" w:eastAsia="Arial" w:hAnsi="Verdana" w:cs="Arial"/>
        </w:rPr>
        <w:t>La ausencia de requisitos o la falta de documentos referentes a la futura contratación o al proponente, no necesarios para la comparación de las propuestas no servirán de título suficiente para el rechazo de los ofrecimientos hechos</w:t>
      </w:r>
      <w:r>
        <w:rPr>
          <w:rFonts w:ascii="Verdana" w:eastAsia="Arial" w:hAnsi="Verdana" w:cs="Arial"/>
        </w:rPr>
        <w:t>”</w:t>
      </w:r>
      <w:r w:rsidRPr="00B36F85">
        <w:rPr>
          <w:rFonts w:ascii="Verdana" w:eastAsia="Arial" w:hAnsi="Verdana" w:cs="Arial"/>
        </w:rPr>
        <w:t xml:space="preserve">, por lo que las entidades no podrán establecer causales de rechazo referentes a meros requisitos formales o rechazar las ofertas por esa razón. </w:t>
      </w:r>
    </w:p>
    <w:p w14:paraId="17F8587F" w14:textId="77777777" w:rsidR="00033071" w:rsidRPr="00054793" w:rsidRDefault="00033071" w:rsidP="00033071">
      <w:pPr>
        <w:spacing w:before="120" w:after="0" w:line="276" w:lineRule="auto"/>
        <w:ind w:firstLine="709"/>
        <w:jc w:val="both"/>
        <w:rPr>
          <w:rFonts w:ascii="Verdana" w:eastAsia="Arial" w:hAnsi="Verdana" w:cs="Arial"/>
          <w:color w:val="000000"/>
        </w:rPr>
      </w:pPr>
      <w:r w:rsidRPr="00B36F85">
        <w:rPr>
          <w:rFonts w:ascii="Verdana" w:eastAsia="Arial" w:hAnsi="Verdana" w:cs="Arial"/>
        </w:rPr>
        <w:t>De esta manera, la jurisprudencia del Consejo de Estado ha determinado que las causales de rechazo pueden o no estar establecidas en el pliego de condiciones, sin perjuicio de que sean aplicables al proceso contractual las establecidas directamente en la ley. Así se estableció en la sentencia del 27 de abril de 2011, en los siguientes términos:</w:t>
      </w:r>
    </w:p>
    <w:p w14:paraId="2D67C8D2" w14:textId="77777777" w:rsidR="00033071" w:rsidRPr="004B49E2" w:rsidRDefault="00033071" w:rsidP="00033071">
      <w:pPr>
        <w:widowControl w:val="0"/>
        <w:spacing w:after="0" w:line="240" w:lineRule="auto"/>
        <w:ind w:left="709" w:right="709"/>
        <w:jc w:val="both"/>
        <w:rPr>
          <w:rFonts w:ascii="Verdana" w:eastAsia="Arial" w:hAnsi="Verdana" w:cs="Arial"/>
          <w:sz w:val="20"/>
          <w:szCs w:val="20"/>
        </w:rPr>
      </w:pPr>
      <w:r>
        <w:rPr>
          <w:rFonts w:ascii="Verdana" w:eastAsia="Arial" w:hAnsi="Verdana" w:cs="Arial"/>
          <w:sz w:val="21"/>
          <w:szCs w:val="21"/>
        </w:rPr>
        <w:t>“</w:t>
      </w:r>
      <w:r w:rsidRPr="004B49E2">
        <w:rPr>
          <w:rFonts w:ascii="Verdana" w:eastAsia="Arial" w:hAnsi="Verdana" w:cs="Arial"/>
          <w:sz w:val="20"/>
          <w:szCs w:val="20"/>
        </w:rPr>
        <w:t>En efecto, la Administración puede rechazar o descalificar los ofrecimientos hechos por causales previstas en la ley; hipótesis bajo la cual, la entidad pública licitante se limita a dar por comprobado el hecho que justifica la exclusión y así lo declarará apoyada en normas legales o reglamentarias de carácter general.</w:t>
      </w:r>
    </w:p>
    <w:p w14:paraId="018FDB1D" w14:textId="77777777" w:rsidR="00033071" w:rsidRDefault="00033071" w:rsidP="00033071">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En esta línea de pensamiento, resulta claro que el rechazo o la descalificación de ofertas no puede depender de la libre discrecionalidad de la Administración, en la medida en que el oferente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o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06D58B34" w14:textId="77777777" w:rsidR="00033071" w:rsidRDefault="00033071" w:rsidP="00033071">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w:t>
      </w:r>
    </w:p>
    <w:p w14:paraId="494A0F0D" w14:textId="77777777" w:rsidR="00033071" w:rsidRPr="004B49E2" w:rsidRDefault="00033071" w:rsidP="00033071">
      <w:pPr>
        <w:widowControl w:val="0"/>
        <w:spacing w:after="0" w:line="240" w:lineRule="auto"/>
        <w:ind w:left="709" w:right="709"/>
        <w:jc w:val="both"/>
        <w:rPr>
          <w:rFonts w:ascii="Verdana" w:eastAsia="Arial" w:hAnsi="Verdana" w:cs="Arial"/>
          <w:sz w:val="20"/>
          <w:szCs w:val="20"/>
        </w:rPr>
      </w:pPr>
      <w:r w:rsidRPr="004B49E2">
        <w:rPr>
          <w:rFonts w:ascii="Verdana" w:eastAsia="Arial" w:hAnsi="Verdana" w:cs="Arial"/>
          <w:sz w:val="20"/>
          <w:szCs w:val="20"/>
        </w:rPr>
        <w:t xml:space="preserve">Quiere con esto destacar la Sala que las causales de rechazo de las propuestas pueden ser legales y por lo mismo generan el efecto del descarte o exclusión de la oferta </w:t>
      </w:r>
      <w:proofErr w:type="spellStart"/>
      <w:r w:rsidRPr="004B49E2">
        <w:rPr>
          <w:rFonts w:ascii="Verdana" w:eastAsia="Arial" w:hAnsi="Verdana" w:cs="Arial"/>
          <w:i/>
          <w:iCs/>
          <w:sz w:val="20"/>
          <w:szCs w:val="20"/>
        </w:rPr>
        <w:t>ope</w:t>
      </w:r>
      <w:proofErr w:type="spellEnd"/>
      <w:r w:rsidRPr="004B49E2">
        <w:rPr>
          <w:rFonts w:ascii="Verdana" w:eastAsia="Arial" w:hAnsi="Verdana" w:cs="Arial"/>
          <w:i/>
          <w:iCs/>
          <w:sz w:val="20"/>
          <w:szCs w:val="20"/>
        </w:rPr>
        <w:t xml:space="preserve"> </w:t>
      </w:r>
      <w:proofErr w:type="spellStart"/>
      <w:r w:rsidRPr="004B49E2">
        <w:rPr>
          <w:rFonts w:ascii="Verdana" w:eastAsia="Arial" w:hAnsi="Verdana" w:cs="Arial"/>
          <w:i/>
          <w:iCs/>
          <w:sz w:val="20"/>
          <w:szCs w:val="20"/>
        </w:rPr>
        <w:t>legis</w:t>
      </w:r>
      <w:proofErr w:type="spellEnd"/>
      <w:r w:rsidRPr="004B49E2">
        <w:rPr>
          <w:rFonts w:ascii="Verdana" w:eastAsia="Arial" w:hAnsi="Verdana" w:cs="Arial"/>
          <w:sz w:val="20"/>
          <w:szCs w:val="20"/>
        </w:rPr>
        <w:t xml:space="preserve">, sin necesidad de que se haga referencia a las mismas en el pliego de condiciones; o también pueden las </w:t>
      </w:r>
      <w:r w:rsidRPr="004B49E2">
        <w:rPr>
          <w:rFonts w:ascii="Verdana" w:eastAsia="Arial" w:hAnsi="Verdana" w:cs="Arial"/>
          <w:sz w:val="20"/>
          <w:szCs w:val="20"/>
        </w:rPr>
        <w:lastRenderedPageBreak/>
        <w:t>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4B49E2">
        <w:rPr>
          <w:rFonts w:ascii="Verdana" w:eastAsia="Arial" w:hAnsi="Verdana" w:cs="Arial"/>
          <w:sz w:val="20"/>
          <w:szCs w:val="20"/>
          <w:vertAlign w:val="superscript"/>
        </w:rPr>
        <w:footnoteReference w:id="16"/>
      </w:r>
      <w:r w:rsidRPr="004B49E2">
        <w:rPr>
          <w:rFonts w:ascii="Verdana" w:eastAsia="Arial" w:hAnsi="Verdana" w:cs="Arial"/>
          <w:sz w:val="20"/>
          <w:szCs w:val="20"/>
        </w:rPr>
        <w:t>”.</w:t>
      </w:r>
    </w:p>
    <w:p w14:paraId="39303DCD" w14:textId="77777777" w:rsidR="00033071" w:rsidRPr="004B49E2" w:rsidRDefault="00033071" w:rsidP="00033071">
      <w:pPr>
        <w:widowControl w:val="0"/>
        <w:spacing w:after="0" w:line="240" w:lineRule="auto"/>
        <w:ind w:left="709" w:right="709"/>
        <w:jc w:val="both"/>
        <w:rPr>
          <w:rFonts w:ascii="Verdana" w:eastAsia="Arial" w:hAnsi="Verdana" w:cs="Arial"/>
          <w:sz w:val="20"/>
          <w:szCs w:val="20"/>
        </w:rPr>
      </w:pPr>
    </w:p>
    <w:p w14:paraId="0ABFBBFD" w14:textId="77777777" w:rsidR="00033071" w:rsidRDefault="00033071" w:rsidP="00033071">
      <w:pPr>
        <w:widowControl w:val="0"/>
        <w:spacing w:after="0" w:line="276" w:lineRule="auto"/>
        <w:ind w:firstLine="709"/>
        <w:jc w:val="both"/>
        <w:rPr>
          <w:rFonts w:ascii="Verdana" w:eastAsia="Arial" w:hAnsi="Verdana" w:cs="Arial"/>
        </w:rPr>
      </w:pPr>
      <w:r w:rsidRPr="00B36F85">
        <w:rPr>
          <w:rFonts w:ascii="Verdana" w:eastAsia="Arial" w:hAnsi="Verdana" w:cs="Arial"/>
        </w:rPr>
        <w:t xml:space="preserve">De acuerdo con la jurisprudencia citada, existen dos </w:t>
      </w:r>
      <w:r>
        <w:rPr>
          <w:rFonts w:ascii="Verdana" w:eastAsia="Arial" w:hAnsi="Verdana" w:cs="Arial"/>
        </w:rPr>
        <w:t>eventos</w:t>
      </w:r>
      <w:r w:rsidRPr="00B36F85">
        <w:rPr>
          <w:rFonts w:ascii="Verdana" w:eastAsia="Arial" w:hAnsi="Verdana" w:cs="Arial"/>
        </w:rPr>
        <w:t xml:space="preserve"> en los </w:t>
      </w:r>
      <w:r>
        <w:rPr>
          <w:rFonts w:ascii="Verdana" w:eastAsia="Arial" w:hAnsi="Verdana" w:cs="Arial"/>
        </w:rPr>
        <w:t xml:space="preserve">cuales </w:t>
      </w:r>
      <w:r w:rsidRPr="00B36F85">
        <w:rPr>
          <w:rFonts w:ascii="Verdana" w:eastAsia="Arial" w:hAnsi="Verdana" w:cs="Arial"/>
        </w:rPr>
        <w:t xml:space="preserve">procede el rechazo de la oferta: </w:t>
      </w:r>
      <w:r>
        <w:rPr>
          <w:rFonts w:ascii="Verdana" w:eastAsia="Arial" w:hAnsi="Verdana" w:cs="Arial"/>
        </w:rPr>
        <w:t xml:space="preserve">i) cuando </w:t>
      </w:r>
      <w:r w:rsidRPr="00B36F85">
        <w:rPr>
          <w:rFonts w:ascii="Verdana" w:eastAsia="Arial" w:hAnsi="Verdana" w:cs="Arial"/>
        </w:rPr>
        <w:t>se configure alguna de las causales de rechazo originadas en la ley o</w:t>
      </w:r>
      <w:r>
        <w:rPr>
          <w:rFonts w:ascii="Verdana" w:eastAsia="Arial" w:hAnsi="Verdana" w:cs="Arial"/>
        </w:rPr>
        <w:t xml:space="preserve"> el reglamento y</w:t>
      </w:r>
      <w:r w:rsidRPr="00B36F85">
        <w:rPr>
          <w:rFonts w:ascii="Verdana" w:eastAsia="Arial" w:hAnsi="Verdana" w:cs="Arial"/>
        </w:rPr>
        <w:t xml:space="preserve"> </w:t>
      </w:r>
      <w:proofErr w:type="spellStart"/>
      <w:r>
        <w:rPr>
          <w:rFonts w:ascii="Verdana" w:eastAsia="Arial" w:hAnsi="Verdana" w:cs="Arial"/>
        </w:rPr>
        <w:t>ii</w:t>
      </w:r>
      <w:proofErr w:type="spellEnd"/>
      <w:r>
        <w:rPr>
          <w:rFonts w:ascii="Verdana" w:eastAsia="Arial" w:hAnsi="Verdana" w:cs="Arial"/>
        </w:rPr>
        <w:t xml:space="preserve">) cuando se materialicen </w:t>
      </w:r>
      <w:r w:rsidRPr="00B36F85">
        <w:rPr>
          <w:rFonts w:ascii="Verdana" w:eastAsia="Arial" w:hAnsi="Verdana" w:cs="Arial"/>
        </w:rPr>
        <w:t>las establecidas en el pliego de condiciones. En tal sentido, las causales de rechazo de la oferta serán las consagradas en la ley o</w:t>
      </w:r>
      <w:r>
        <w:rPr>
          <w:rFonts w:ascii="Verdana" w:eastAsia="Arial" w:hAnsi="Verdana" w:cs="Arial"/>
        </w:rPr>
        <w:t xml:space="preserve"> el reglamento</w:t>
      </w:r>
      <w:r w:rsidRPr="00B36F85">
        <w:rPr>
          <w:rFonts w:ascii="Verdana" w:eastAsia="Arial" w:hAnsi="Verdana" w:cs="Arial"/>
        </w:rPr>
        <w:t xml:space="preserve"> producto de su aplicación, así como las definidas por las entidades en el respectivo pliego de condiciones. </w:t>
      </w:r>
    </w:p>
    <w:p w14:paraId="789B9C91" w14:textId="77777777" w:rsidR="00033071" w:rsidRDefault="00033071" w:rsidP="00033071">
      <w:pPr>
        <w:widowControl w:val="0"/>
        <w:spacing w:before="120" w:after="0" w:line="276" w:lineRule="auto"/>
        <w:ind w:firstLine="709"/>
        <w:jc w:val="both"/>
        <w:rPr>
          <w:rFonts w:ascii="Verdana" w:eastAsia="Arial" w:hAnsi="Verdana" w:cs="Arial"/>
        </w:rPr>
      </w:pPr>
      <w:r w:rsidRPr="00B36F85">
        <w:rPr>
          <w:rFonts w:ascii="Verdana" w:eastAsia="Arial" w:hAnsi="Verdana" w:cs="Arial"/>
        </w:rPr>
        <w:t xml:space="preserve">En tales términos, la facultad de las entidades estatales para incluir en los pliegos de condiciones causales de rechazo de las ofertas, no es una facultad absoluta, en la medida que se encuentra limitada por lo dispuesto en ley, al igual que por los principios de razonabilidad y proporcionalidad, los cuales exigen que las causales de rechazo que sean establecidas por la entidad, además de no contrariar el ordenamiento jurídico, no versen sobre aspectos meramente formales sin relevancia para el transcurso del proceso de selección o el perfeccionamiento del contrato. </w:t>
      </w:r>
    </w:p>
    <w:p w14:paraId="04D267B5" w14:textId="77777777" w:rsidR="00033071" w:rsidRDefault="00033071" w:rsidP="00033071">
      <w:pPr>
        <w:widowControl w:val="0"/>
        <w:spacing w:before="120" w:after="0" w:line="276" w:lineRule="auto"/>
        <w:ind w:firstLine="709"/>
        <w:jc w:val="both"/>
        <w:rPr>
          <w:rFonts w:ascii="Verdana" w:eastAsia="Arial" w:hAnsi="Verdana" w:cs="Arial"/>
        </w:rPr>
      </w:pPr>
      <w:r w:rsidRPr="05E3EA9D">
        <w:rPr>
          <w:rFonts w:ascii="Verdana" w:eastAsia="Arial" w:hAnsi="Verdana" w:cs="Arial"/>
          <w:lang w:val="es-ES"/>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5E3EA9D">
        <w:rPr>
          <w:rFonts w:ascii="Verdana" w:eastAsia="Arial" w:hAnsi="Verdana" w:cs="Arial"/>
          <w:vertAlign w:val="superscript"/>
          <w:lang w:val="es-ES"/>
        </w:rPr>
        <w:footnoteReference w:id="17"/>
      </w:r>
      <w:r w:rsidRPr="05E3EA9D">
        <w:rPr>
          <w:rFonts w:ascii="Verdana" w:eastAsia="Arial" w:hAnsi="Verdana" w:cs="Arial"/>
          <w:lang w:val="es-ES"/>
        </w:rPr>
        <w:t xml:space="preserve"> sostuvo: </w:t>
      </w:r>
    </w:p>
    <w:p w14:paraId="16E13624" w14:textId="77777777" w:rsidR="00033071" w:rsidRPr="008C505B" w:rsidRDefault="00033071" w:rsidP="00033071">
      <w:pPr>
        <w:spacing w:after="0" w:line="240" w:lineRule="auto"/>
        <w:ind w:firstLine="709"/>
        <w:jc w:val="both"/>
        <w:rPr>
          <w:rFonts w:ascii="Verdana" w:eastAsia="Arial" w:hAnsi="Verdana" w:cs="Arial"/>
        </w:rPr>
      </w:pPr>
    </w:p>
    <w:p w14:paraId="58E6BD12" w14:textId="77777777" w:rsidR="00033071" w:rsidRPr="004B49E2" w:rsidRDefault="00033071" w:rsidP="00033071">
      <w:pPr>
        <w:spacing w:after="0"/>
        <w:ind w:left="708" w:right="709"/>
        <w:jc w:val="both"/>
        <w:rPr>
          <w:rFonts w:ascii="Verdana" w:eastAsia="Arial" w:hAnsi="Verdana" w:cs="Arial"/>
          <w:sz w:val="20"/>
          <w:szCs w:val="20"/>
          <w:lang w:val="es-ES"/>
        </w:rPr>
      </w:pPr>
      <w:r w:rsidRPr="05E3EA9D">
        <w:rPr>
          <w:rFonts w:ascii="Verdana" w:eastAsia="Arial" w:hAnsi="Verdana" w:cs="Arial"/>
          <w:sz w:val="20"/>
          <w:szCs w:val="20"/>
          <w:lang w:val="es-ES"/>
        </w:rPr>
        <w:lastRenderedPageBreak/>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26F04C02" w14:textId="77777777" w:rsidR="00033071" w:rsidRDefault="00033071" w:rsidP="00033071">
      <w:pPr>
        <w:spacing w:after="120" w:line="276" w:lineRule="auto"/>
        <w:ind w:firstLine="709"/>
        <w:jc w:val="both"/>
        <w:rPr>
          <w:rFonts w:ascii="Verdana" w:eastAsia="Arial" w:hAnsi="Verdana" w:cs="Arial"/>
          <w:lang w:val="es-ES"/>
        </w:rPr>
      </w:pPr>
      <w:r w:rsidRPr="004B49E2">
        <w:rPr>
          <w:rFonts w:ascii="Verdana" w:eastAsia="Arial" w:hAnsi="Verdana" w:cs="Arial"/>
          <w:lang w:val="es-ES"/>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6BA0B4DA" w14:textId="77777777" w:rsidR="00033071" w:rsidRDefault="00033071" w:rsidP="00033071">
      <w:pPr>
        <w:spacing w:after="120" w:line="276" w:lineRule="auto"/>
        <w:ind w:firstLine="709"/>
        <w:jc w:val="both"/>
        <w:rPr>
          <w:rFonts w:ascii="Verdana" w:eastAsia="Arial" w:hAnsi="Verdana" w:cs="Arial"/>
        </w:rPr>
      </w:pPr>
      <w:r>
        <w:rPr>
          <w:rFonts w:ascii="Verdana" w:eastAsia="Arial" w:hAnsi="Verdana" w:cs="Arial"/>
        </w:rPr>
        <w:t>De conformidad con lo anterior, p</w:t>
      </w:r>
      <w:r w:rsidRPr="004B49E2">
        <w:rPr>
          <w:rFonts w:ascii="Verdana" w:eastAsia="Arial" w:hAnsi="Verdana" w:cs="Arial"/>
        </w:rPr>
        <w:t xml:space="preserve">ara garantizar el principio de selección objetiva, es necesario, entre otras, que las entidades estatales se abstengan de rechazar las ofertas, por el incumplimiento de requisitos meramente formales, sacrificando la favorabilidad que podría representar la oferta que adolezca de estos defectos, si se permitiese su corrección. </w:t>
      </w:r>
    </w:p>
    <w:p w14:paraId="0F46FE04" w14:textId="77777777" w:rsidR="00033071" w:rsidRPr="002A000A" w:rsidRDefault="00033071" w:rsidP="00033071">
      <w:pPr>
        <w:spacing w:after="0" w:line="276" w:lineRule="auto"/>
        <w:jc w:val="both"/>
        <w:rPr>
          <w:rFonts w:ascii="Verdana" w:eastAsia="Calibri" w:hAnsi="Verdana" w:cs="Arial"/>
          <w:lang w:val="es-ES"/>
        </w:rPr>
      </w:pPr>
      <w:proofErr w:type="spellStart"/>
      <w:r>
        <w:rPr>
          <w:rFonts w:ascii="Verdana" w:eastAsia="Arial" w:hAnsi="Verdana" w:cs="Arial"/>
        </w:rPr>
        <w:t>iv</w:t>
      </w:r>
      <w:proofErr w:type="spellEnd"/>
      <w:r>
        <w:rPr>
          <w:rFonts w:ascii="Verdana" w:eastAsia="Arial" w:hAnsi="Verdana" w:cs="Arial"/>
        </w:rPr>
        <w:t xml:space="preserve">. </w:t>
      </w:r>
      <w:r w:rsidRPr="38FACAB2">
        <w:rPr>
          <w:rFonts w:ascii="Verdana" w:eastAsia="Calibri" w:hAnsi="Verdana" w:cs="Arial"/>
          <w:kern w:val="2"/>
          <w:lang w:val="es-ES"/>
          <w14:ligatures w14:val="standardContextual"/>
        </w:rPr>
        <w:t xml:space="preserve">La Ley 1150 de 2007, en el artículo 5, establece los requisitos habilitantes para participar en un procedimiento contractual, dentro de los cuales se destaca la </w:t>
      </w:r>
      <w:r w:rsidRPr="0082525D">
        <w:rPr>
          <w:rFonts w:ascii="Verdana" w:eastAsia="Calibri" w:hAnsi="Verdana" w:cs="Arial"/>
          <w:i/>
          <w:kern w:val="2"/>
          <w:lang w:val="es-ES"/>
          <w14:ligatures w14:val="standardContextual"/>
        </w:rPr>
        <w:t>experiencia</w:t>
      </w:r>
      <w:r>
        <w:rPr>
          <w:rFonts w:ascii="Verdana" w:eastAsia="Calibri" w:hAnsi="Verdana" w:cs="Arial"/>
          <w:kern w:val="2"/>
          <w:lang w:val="es-ES"/>
          <w14:ligatures w14:val="standardContextual"/>
        </w:rPr>
        <w:t xml:space="preserve">. Su </w:t>
      </w:r>
      <w:r w:rsidRPr="38FACAB2">
        <w:rPr>
          <w:rFonts w:ascii="Verdana" w:eastAsia="Calibri" w:hAnsi="Verdana" w:cs="Arial"/>
          <w:kern w:val="2"/>
          <w:lang w:val="es-ES"/>
          <w14:ligatures w14:val="standardContextual"/>
        </w:rPr>
        <w:t>propósito es que las entidades fijen unos requisitos mínimos que debe tener y acreditar el proponente, para que la entidad pueda verificar su aptitud para participar en el procedimiento de contratación y, si se le adjudica, ejecutar el contrato estatal</w:t>
      </w:r>
      <w:r w:rsidRPr="38FACAB2">
        <w:rPr>
          <w:rFonts w:ascii="Aptos" w:eastAsia="Aptos" w:hAnsi="Aptos" w:cs="Times New Roman"/>
          <w:kern w:val="2"/>
          <w:sz w:val="24"/>
          <w:szCs w:val="24"/>
          <w:vertAlign w:val="superscript"/>
          <w:lang w:val="es-ES"/>
          <w14:ligatures w14:val="standardContextual"/>
        </w:rPr>
        <w:footnoteReference w:id="18"/>
      </w:r>
      <w:r w:rsidRPr="38FACAB2">
        <w:rPr>
          <w:rFonts w:ascii="Verdana" w:eastAsia="Calibri" w:hAnsi="Verdana" w:cs="Arial"/>
          <w:kern w:val="2"/>
          <w:lang w:val="es-ES"/>
          <w14:ligatures w14:val="standardContextual"/>
        </w:rPr>
        <w:t xml:space="preserve">. En ese sentido, la entidad, como responsable de la </w:t>
      </w:r>
      <w:r w:rsidRPr="38FACAB2">
        <w:rPr>
          <w:rFonts w:ascii="Verdana" w:eastAsia="Calibri" w:hAnsi="Verdana" w:cs="Arial"/>
          <w:kern w:val="2"/>
          <w:lang w:val="es-ES"/>
          <w14:ligatures w14:val="standardContextual"/>
        </w:rPr>
        <w:lastRenderedPageBreak/>
        <w:t xml:space="preserve">estructuración de su procedimiento de contratación, es autónoma para requerir la experiencia necesaria para </w:t>
      </w:r>
      <w:r>
        <w:rPr>
          <w:rFonts w:ascii="Verdana" w:eastAsia="Calibri" w:hAnsi="Verdana" w:cs="Arial"/>
          <w:kern w:val="2"/>
          <w:lang w:val="es-ES"/>
          <w14:ligatures w14:val="standardContextual"/>
        </w:rPr>
        <w:t xml:space="preserve">ejecutar </w:t>
      </w:r>
      <w:r w:rsidRPr="38FACAB2">
        <w:rPr>
          <w:rFonts w:ascii="Verdana" w:eastAsia="Calibri" w:hAnsi="Verdana" w:cs="Arial"/>
          <w:kern w:val="2"/>
          <w:lang w:val="es-ES"/>
          <w14:ligatures w14:val="standardContextual"/>
        </w:rPr>
        <w:t>el objeto contractual que se pretende satisfacer con el procedimiento</w:t>
      </w:r>
      <w:r>
        <w:rPr>
          <w:rFonts w:ascii="Verdana" w:eastAsia="Calibri" w:hAnsi="Verdana" w:cs="Arial"/>
          <w:kern w:val="2"/>
          <w:lang w:val="es-ES"/>
          <w14:ligatures w14:val="standardContextual"/>
        </w:rPr>
        <w:t>. Para establecer la experiencia que se requiere en cada proceso</w:t>
      </w:r>
      <w:r w:rsidRPr="38FACAB2">
        <w:rPr>
          <w:rFonts w:ascii="Verdana" w:eastAsia="Calibri" w:hAnsi="Verdana" w:cs="Arial"/>
          <w:kern w:val="2"/>
          <w:lang w:val="es-ES"/>
          <w14:ligatures w14:val="standardContextual"/>
        </w:rPr>
        <w:t>, de acuerdo con el artículo 2.2.1.1.1.6.2. del Decreto 1082 de 2015, debe tener en cuenta el estudio del sector y sus componentes, como la identificación de riesgos, así como el mercado y precio del bien, obra o servicio a contratar</w:t>
      </w:r>
      <w:r w:rsidRPr="38FACAB2">
        <w:rPr>
          <w:rFonts w:ascii="Aptos" w:eastAsia="Aptos" w:hAnsi="Aptos" w:cs="Times New Roman"/>
          <w:kern w:val="2"/>
          <w:sz w:val="24"/>
          <w:szCs w:val="24"/>
          <w:vertAlign w:val="superscript"/>
          <w:lang w:val="es-ES"/>
          <w14:ligatures w14:val="standardContextual"/>
        </w:rPr>
        <w:footnoteReference w:id="19"/>
      </w:r>
      <w:r w:rsidRPr="38FACAB2">
        <w:rPr>
          <w:rFonts w:ascii="Verdana" w:eastAsia="Calibri" w:hAnsi="Verdana" w:cs="Arial"/>
          <w:kern w:val="2"/>
          <w:lang w:val="es-ES"/>
          <w14:ligatures w14:val="standardContextual"/>
        </w:rPr>
        <w:t>.</w:t>
      </w:r>
    </w:p>
    <w:p w14:paraId="318BABCE" w14:textId="77777777" w:rsidR="00033071" w:rsidRPr="002A000A" w:rsidRDefault="00033071" w:rsidP="00033071">
      <w:pPr>
        <w:snapToGrid w:val="0"/>
        <w:spacing w:before="120" w:after="120" w:line="276" w:lineRule="auto"/>
        <w:ind w:firstLine="709"/>
        <w:jc w:val="both"/>
        <w:rPr>
          <w:rFonts w:ascii="Verdana" w:eastAsia="Calibri" w:hAnsi="Verdana" w:cs="Arial"/>
          <w:lang w:val="es-ES"/>
        </w:rPr>
      </w:pPr>
      <w:r w:rsidRPr="46FAE148">
        <w:rPr>
          <w:rFonts w:ascii="Verdana" w:eastAsia="Calibri" w:hAnsi="Verdana" w:cs="Arial"/>
          <w:lang w:val="es-ES"/>
        </w:rPr>
        <w:t>Ahora bien, la experiencia que se deriva de los contratos que el proponente ha celebrado y ejecutado con diferentes contratantes, sin importar la naturaleza de estos, se verifica con el RUP</w:t>
      </w:r>
      <w:r w:rsidRPr="002A000A">
        <w:rPr>
          <w:rFonts w:ascii="Verdana" w:eastAsia="Aptos" w:hAnsi="Verdana" w:cs="Times New Roman"/>
          <w:kern w:val="2"/>
          <w:vertAlign w:val="superscript"/>
          <w:lang w:val="es-ES_tradnl"/>
          <w14:ligatures w14:val="standardContextual"/>
        </w:rPr>
        <w:footnoteReference w:id="20"/>
      </w:r>
      <w:r w:rsidRPr="46FAE148">
        <w:rPr>
          <w:rFonts w:ascii="Verdana" w:eastAsia="Calibri" w:hAnsi="Verdana" w:cs="Arial"/>
          <w:lang w:val="es-ES"/>
        </w:rPr>
        <w:t xml:space="preserve">, cuando este certificado sea exigible de acuerdo con la ley. Sobre el particular debe indicarse </w:t>
      </w:r>
      <w:proofErr w:type="gramStart"/>
      <w:r w:rsidRPr="46FAE148">
        <w:rPr>
          <w:rFonts w:ascii="Verdana" w:eastAsia="Calibri" w:hAnsi="Verdana" w:cs="Arial"/>
          <w:lang w:val="es-ES"/>
        </w:rPr>
        <w:t>que  el</w:t>
      </w:r>
      <w:proofErr w:type="gramEnd"/>
      <w:r w:rsidRPr="46FAE148">
        <w:rPr>
          <w:rFonts w:ascii="Verdana" w:eastAsia="Calibri" w:hAnsi="Verdana" w:cs="Arial"/>
          <w:lang w:val="es-ES"/>
        </w:rPr>
        <w:t xml:space="preserve"> RUP es plena prueba de los requisitos habilitantes que constan en él, sin que la entidad o el proponente puedan solicitar o aportar otra documentación</w:t>
      </w:r>
      <w:r w:rsidRPr="002A000A">
        <w:rPr>
          <w:rFonts w:ascii="Verdana" w:eastAsia="Aptos" w:hAnsi="Verdana" w:cs="Times New Roman"/>
          <w:kern w:val="2"/>
          <w:vertAlign w:val="superscript"/>
          <w:lang w:val="es-ES_tradnl"/>
          <w14:ligatures w14:val="standardContextual"/>
        </w:rPr>
        <w:footnoteReference w:id="21"/>
      </w:r>
      <w:r w:rsidRPr="46FAE148">
        <w:rPr>
          <w:rFonts w:ascii="Verdana" w:eastAsia="Calibri" w:hAnsi="Verdana" w:cs="Arial"/>
          <w:lang w:val="es-ES"/>
        </w:rPr>
        <w:t>.</w:t>
      </w:r>
    </w:p>
    <w:p w14:paraId="564ADB32" w14:textId="77777777" w:rsidR="00033071" w:rsidRPr="002A000A" w:rsidRDefault="00033071" w:rsidP="00033071">
      <w:pPr>
        <w:spacing w:after="120" w:line="276" w:lineRule="auto"/>
        <w:ind w:firstLine="709"/>
        <w:jc w:val="both"/>
        <w:rPr>
          <w:rFonts w:ascii="Verdana" w:eastAsia="Calibri" w:hAnsi="Verdana" w:cs="Arial"/>
          <w:kern w:val="2"/>
          <w:lang w:val="es-ES_tradnl"/>
          <w14:ligatures w14:val="standardContextual"/>
        </w:rPr>
      </w:pPr>
      <w:r w:rsidRPr="002A000A">
        <w:rPr>
          <w:rFonts w:ascii="Verdana" w:eastAsia="Calibri" w:hAnsi="Verdana" w:cs="Arial"/>
          <w:kern w:val="2"/>
          <w:lang w:val="es-ES_tradnl"/>
          <w14:ligatures w14:val="standardContextual"/>
        </w:rPr>
        <w:lastRenderedPageBreak/>
        <w:t>Respecto de la experiencia, esta debe inscribirse, renovarse o actualizarse en el RUP con copia de los contratos o con certificados de los contratos celebrados por el proponente con diferentes contratantes, quienes son terceros que los expiden cuando el contrato fue ejecutado y recibieron los bienes, obras o servicios de parte del proponente</w:t>
      </w:r>
      <w:r w:rsidRPr="002A000A">
        <w:rPr>
          <w:rFonts w:ascii="Verdana" w:eastAsia="Aptos" w:hAnsi="Verdana" w:cs="Times New Roman"/>
          <w:kern w:val="2"/>
          <w:vertAlign w:val="superscript"/>
          <w:lang w:val="es-ES_tradnl"/>
          <w14:ligatures w14:val="standardContextual"/>
        </w:rPr>
        <w:footnoteReference w:id="22"/>
      </w:r>
      <w:r w:rsidRPr="002A000A">
        <w:rPr>
          <w:rFonts w:ascii="Verdana" w:eastAsia="Calibri" w:hAnsi="Verdana" w:cs="Arial"/>
          <w:kern w:val="2"/>
          <w:lang w:val="es-ES_tradnl"/>
          <w14:ligatures w14:val="standardContextual"/>
        </w:rPr>
        <w:t xml:space="preserv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lo que dependerá de la forma como la entidad solicite la experiencia en el pliego de condiciones o documento equivalente. </w:t>
      </w:r>
    </w:p>
    <w:p w14:paraId="10C7F372" w14:textId="77777777" w:rsidR="00033071" w:rsidRPr="002A000A" w:rsidRDefault="00033071" w:rsidP="00033071">
      <w:pPr>
        <w:spacing w:before="120" w:after="0" w:line="276" w:lineRule="auto"/>
        <w:ind w:firstLine="709"/>
        <w:jc w:val="both"/>
        <w:rPr>
          <w:rFonts w:ascii="Verdana" w:eastAsia="Calibri" w:hAnsi="Verdana" w:cs="Arial"/>
          <w:lang w:val="es-ES"/>
        </w:rPr>
      </w:pPr>
      <w:r w:rsidRPr="38FACAB2">
        <w:rPr>
          <w:rFonts w:ascii="Verdana" w:eastAsia="Calibri" w:hAnsi="Verdana" w:cs="Arial"/>
          <w:lang w:val="es-ES"/>
        </w:rPr>
        <w:t>Esta Agencia puso a disposición de los interesados el “Manual para determinar y verificar los requisitos habilitantes en los Procesos de Contratación”</w:t>
      </w:r>
      <w:r w:rsidRPr="38FACAB2">
        <w:rPr>
          <w:rFonts w:ascii="Verdana" w:eastAsia="Calibri" w:hAnsi="Verdana" w:cs="Arial"/>
          <w:vertAlign w:val="superscript"/>
          <w:lang w:val="es-ES"/>
        </w:rPr>
        <w:footnoteReference w:id="23"/>
      </w:r>
      <w:r w:rsidRPr="38FACAB2">
        <w:rPr>
          <w:rFonts w:ascii="Verdana" w:eastAsia="Calibri" w:hAnsi="Verdana" w:cs="Arial"/>
          <w:lang w:val="es-ES"/>
        </w:rPr>
        <w:t>, en el que se establecen las definiciones de cada requisito habilitante y se dan lineamientos orientadores sobre lo que las entidades deben y pueden hacer para configurarlos</w:t>
      </w:r>
      <w:r>
        <w:rPr>
          <w:rFonts w:ascii="Verdana" w:eastAsia="Calibri" w:hAnsi="Verdana" w:cs="Arial"/>
          <w:lang w:val="es-ES"/>
        </w:rPr>
        <w:t xml:space="preserve"> adecuadamente</w:t>
      </w:r>
      <w:r w:rsidRPr="38FACAB2">
        <w:rPr>
          <w:rFonts w:ascii="Verdana" w:eastAsia="Calibri" w:hAnsi="Verdana" w:cs="Arial"/>
          <w:lang w:val="es-ES"/>
        </w:rPr>
        <w:t>. En particular, sobre el requisito habilitante de experiencia, el Manual se centra en una de sus cualidades</w:t>
      </w:r>
      <w:r>
        <w:rPr>
          <w:rFonts w:ascii="Verdana" w:eastAsia="Calibri" w:hAnsi="Verdana" w:cs="Arial"/>
          <w:lang w:val="es-ES"/>
        </w:rPr>
        <w:t>:</w:t>
      </w:r>
      <w:r w:rsidRPr="38FACAB2">
        <w:rPr>
          <w:rFonts w:ascii="Verdana" w:eastAsia="Calibri" w:hAnsi="Verdana" w:cs="Arial"/>
          <w:lang w:val="es-ES"/>
        </w:rPr>
        <w:t xml:space="preserve"> es </w:t>
      </w:r>
      <w:r w:rsidRPr="38FACAB2">
        <w:rPr>
          <w:rFonts w:ascii="Verdana" w:eastAsia="Calibri" w:hAnsi="Verdana" w:cs="Arial"/>
          <w:i/>
          <w:iCs/>
          <w:lang w:val="es-ES"/>
        </w:rPr>
        <w:t>personal</w:t>
      </w:r>
      <w:r>
        <w:rPr>
          <w:rFonts w:ascii="Verdana" w:eastAsia="Calibri" w:hAnsi="Verdana" w:cs="Arial"/>
          <w:i/>
          <w:iCs/>
          <w:lang w:val="es-ES"/>
        </w:rPr>
        <w:t xml:space="preserve">. </w:t>
      </w:r>
      <w:r>
        <w:rPr>
          <w:rFonts w:ascii="Verdana" w:eastAsia="Calibri" w:hAnsi="Verdana" w:cs="Arial"/>
          <w:lang w:val="es-ES"/>
        </w:rPr>
        <w:t>Esto</w:t>
      </w:r>
      <w:r w:rsidRPr="38FACAB2">
        <w:rPr>
          <w:rFonts w:ascii="Verdana" w:eastAsia="Calibri" w:hAnsi="Verdana" w:cs="Arial"/>
          <w:lang w:val="es-ES"/>
        </w:rPr>
        <w:t xml:space="preserve"> significa que la experiencia </w:t>
      </w:r>
      <w:r>
        <w:rPr>
          <w:rFonts w:ascii="Verdana" w:eastAsia="Calibri" w:hAnsi="Verdana" w:cs="Arial"/>
          <w:lang w:val="es-ES"/>
        </w:rPr>
        <w:t xml:space="preserve">le pertenece a quien haya </w:t>
      </w:r>
      <w:r w:rsidRPr="38FACAB2">
        <w:rPr>
          <w:rFonts w:ascii="Verdana" w:eastAsia="Calibri" w:hAnsi="Verdana" w:cs="Arial"/>
          <w:lang w:val="es-ES"/>
        </w:rPr>
        <w:t>participa</w:t>
      </w:r>
      <w:r>
        <w:rPr>
          <w:rFonts w:ascii="Verdana" w:eastAsia="Calibri" w:hAnsi="Verdana" w:cs="Arial"/>
          <w:lang w:val="es-ES"/>
        </w:rPr>
        <w:t>do</w:t>
      </w:r>
      <w:r w:rsidRPr="38FACAB2">
        <w:rPr>
          <w:rFonts w:ascii="Verdana" w:eastAsia="Calibri" w:hAnsi="Verdana" w:cs="Arial"/>
          <w:lang w:val="es-ES"/>
        </w:rPr>
        <w:t>, con anterioridad, en actividades que le permitieron conocer cómo ejecutar el objeto contractual que la entidad pretende satisfacer mediante el Proceso de Contratación.</w:t>
      </w:r>
    </w:p>
    <w:p w14:paraId="61D30D91" w14:textId="77777777" w:rsidR="00033071" w:rsidRPr="002A000A" w:rsidRDefault="00033071" w:rsidP="00033071">
      <w:pPr>
        <w:spacing w:before="120" w:after="120" w:line="276" w:lineRule="auto"/>
        <w:ind w:firstLine="708"/>
        <w:jc w:val="both"/>
        <w:rPr>
          <w:rFonts w:ascii="Verdana" w:eastAsia="Calibri" w:hAnsi="Verdana" w:cs="Arial"/>
          <w:lang w:val="es-ES_tradnl"/>
        </w:rPr>
      </w:pPr>
      <w:r w:rsidRPr="002A000A">
        <w:rPr>
          <w:rFonts w:ascii="Verdana" w:eastAsia="Calibri" w:hAnsi="Verdana" w:cs="Arial"/>
          <w:lang w:val="es-ES_tradnl"/>
        </w:rPr>
        <w:lastRenderedPageBreak/>
        <w:t xml:space="preserve">Lo anterior es determinante, porque no es posible tener experiencia si en la práctica no se han ejecutado actividades similares previas. Precisamente, de la experiencia se deriva el conocimiento del proponente, y para la contratación pública es importante, ya que garantiza que no habrá improvisación ni mayores costos por errores o dificultades originadas en realizar una actividad por primera vez. </w:t>
      </w:r>
    </w:p>
    <w:p w14:paraId="78BC5382" w14:textId="77777777" w:rsidR="00033071" w:rsidRDefault="00033071" w:rsidP="00033071">
      <w:pPr>
        <w:tabs>
          <w:tab w:val="left" w:pos="709"/>
        </w:tabs>
        <w:spacing w:after="120" w:line="276" w:lineRule="auto"/>
        <w:jc w:val="both"/>
        <w:rPr>
          <w:rFonts w:ascii="Verdana" w:eastAsia="Calibri" w:hAnsi="Verdana" w:cs="Arial"/>
          <w:color w:val="000000"/>
          <w:shd w:val="clear" w:color="auto" w:fill="FFFFFF"/>
          <w:lang w:val="es-ES"/>
        </w:rPr>
      </w:pPr>
      <w:r w:rsidRPr="002A000A">
        <w:rPr>
          <w:rFonts w:ascii="Arial" w:eastAsia="Calibri" w:hAnsi="Arial" w:cs="Arial"/>
          <w:color w:val="000000"/>
          <w:shd w:val="clear" w:color="auto" w:fill="FFFFFF"/>
          <w:lang w:val="es-ES_tradnl"/>
        </w:rPr>
        <w:tab/>
      </w:r>
      <w:r w:rsidRPr="38FACAB2">
        <w:rPr>
          <w:rFonts w:ascii="Verdana" w:eastAsia="Calibri" w:hAnsi="Verdana" w:cs="Arial"/>
          <w:color w:val="000000"/>
          <w:shd w:val="clear" w:color="auto" w:fill="FFFFFF"/>
          <w:lang w:val="es-ES"/>
        </w:rPr>
        <w:t>En ese orden, se tiene que el artículo 6 de la Ley 1150 de 2007 señala que todas las personas naturales o jurídicas, nacionales o extranjeras, domiciliadas o con sucursal en Colombia que aspiren a celebrar contratos con las entidades, como se indicó en líneas anteriores, deberán estar inscritas en el RUP. En este registro constará la información relacionada con la experiencia, capacidad jurídica, financiera y de organización del proponente y su clasificación.</w:t>
      </w:r>
    </w:p>
    <w:p w14:paraId="6BDC8847" w14:textId="77777777" w:rsidR="00033071" w:rsidRDefault="00033071" w:rsidP="00033071">
      <w:pPr>
        <w:tabs>
          <w:tab w:val="left" w:pos="709"/>
        </w:tabs>
        <w:spacing w:after="120" w:line="276" w:lineRule="auto"/>
        <w:jc w:val="both"/>
        <w:rPr>
          <w:rFonts w:ascii="Verdana" w:eastAsia="Times New Roman" w:hAnsi="Verdana" w:cs="Arial"/>
          <w:lang w:val="es-ES" w:eastAsia="es-ES"/>
        </w:rPr>
      </w:pPr>
      <w:r>
        <w:rPr>
          <w:rFonts w:ascii="Verdana" w:eastAsia="Calibri" w:hAnsi="Verdana" w:cs="Arial"/>
          <w:color w:val="000000"/>
          <w:shd w:val="clear" w:color="auto" w:fill="FFFFFF"/>
          <w:lang w:val="es-ES"/>
        </w:rPr>
        <w:tab/>
        <w:t>Particularmente</w:t>
      </w:r>
      <w:r w:rsidRPr="38FACAB2">
        <w:rPr>
          <w:rFonts w:ascii="Verdana" w:eastAsia="Calibri" w:hAnsi="Verdana" w:cs="Arial"/>
          <w:color w:val="000000"/>
          <w:shd w:val="clear" w:color="auto" w:fill="FFFFFF"/>
          <w:lang w:val="es-ES"/>
        </w:rPr>
        <w:t xml:space="preserve">, </w:t>
      </w:r>
      <w:r w:rsidRPr="38FACAB2">
        <w:rPr>
          <w:rFonts w:ascii="Verdana" w:eastAsia="Times New Roman" w:hAnsi="Verdana" w:cs="Arial"/>
          <w:lang w:val="es-ES" w:eastAsia="es-ES"/>
        </w:rPr>
        <w:t>el numeral 2.5 del artículo 2.2.1.1.1.5.2 del Decreto 1082 de 2015, señala que la persona jurídica se registrará aportando los certificados de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w:t>
      </w:r>
      <w:r w:rsidRPr="38FACAB2">
        <w:rPr>
          <w:rFonts w:ascii="Verdana" w:eastAsia="Calibri" w:hAnsi="Verdana" w:cs="Arial"/>
          <w:vertAlign w:val="superscript"/>
          <w:lang w:val="es-ES" w:eastAsia="es-ES"/>
        </w:rPr>
        <w:footnoteReference w:id="24"/>
      </w:r>
      <w:r w:rsidRPr="38FACAB2">
        <w:rPr>
          <w:rFonts w:ascii="Verdana" w:eastAsia="Times New Roman" w:hAnsi="Verdana" w:cs="Arial"/>
          <w:lang w:val="es-ES" w:eastAsia="es-ES"/>
        </w:rPr>
        <w:t xml:space="preserve">. </w:t>
      </w:r>
      <w:r w:rsidRPr="1508AF59">
        <w:rPr>
          <w:rFonts w:ascii="Verdana" w:eastAsia="Times New Roman" w:hAnsi="Verdana" w:cs="Arial"/>
          <w:lang w:val="es-ES" w:eastAsia="es-ES"/>
        </w:rPr>
        <w:t xml:space="preserve">Por ello, el interesado debe indicar en cada certificado, o en cada copia de los contratos, los bienes, obras y servicios a los cuales corresponde la experiencia que pretende acreditar, identificándolos con el Clasificador de Bienes y Servicios, en el tercer nivel. </w:t>
      </w:r>
    </w:p>
    <w:p w14:paraId="0664F4EC" w14:textId="77777777" w:rsidR="00033071" w:rsidRPr="002A000A" w:rsidRDefault="00033071" w:rsidP="00033071">
      <w:pPr>
        <w:spacing w:before="120" w:after="120" w:line="276" w:lineRule="auto"/>
        <w:ind w:firstLine="708"/>
        <w:jc w:val="both"/>
        <w:rPr>
          <w:rFonts w:ascii="Verdana" w:eastAsia="Calibri" w:hAnsi="Verdana" w:cs="Arial"/>
          <w:color w:val="000000"/>
          <w:shd w:val="clear" w:color="auto" w:fill="FFFFFF"/>
          <w:lang w:val="es-ES"/>
        </w:rPr>
      </w:pPr>
      <w:r w:rsidRPr="1508AF59">
        <w:rPr>
          <w:rFonts w:ascii="Verdana" w:eastAsia="Times New Roman" w:hAnsi="Verdana" w:cs="Arial"/>
          <w:lang w:val="es-ES" w:eastAsia="es-ES"/>
        </w:rPr>
        <w:t xml:space="preserve">Sin embargo, es menester destacar que la parte final del numeral 2.5 del referido artículo indica que </w:t>
      </w:r>
      <w:r w:rsidRPr="1508AF59">
        <w:rPr>
          <w:rFonts w:ascii="Verdana" w:eastAsia="Calibri" w:hAnsi="Verdana" w:cs="Arial"/>
          <w:lang w:val="es-ES" w:eastAsia="es-ES"/>
        </w:rPr>
        <w:t>“</w:t>
      </w:r>
      <w:r w:rsidRPr="1508AF59">
        <w:rPr>
          <w:rFonts w:ascii="Verdana" w:eastAsia="Times New Roman" w:hAnsi="Verdana" w:cs="Arial"/>
          <w:lang w:val="es-ES" w:eastAsia="es-ES"/>
        </w:rPr>
        <w:t>[s]i la constitución del interesado es menor a tres (3) años, puede acreditar la experiencia de sus accionistas, socios o constituyentes</w:t>
      </w:r>
      <w:r w:rsidRPr="1508AF59">
        <w:rPr>
          <w:rFonts w:ascii="Verdana" w:eastAsia="Calibri" w:hAnsi="Verdana" w:cs="Arial"/>
          <w:lang w:val="es-ES" w:eastAsia="es-ES"/>
        </w:rPr>
        <w:t>”</w:t>
      </w:r>
      <w:r w:rsidRPr="1508AF59">
        <w:rPr>
          <w:rFonts w:ascii="Verdana" w:eastAsia="Times New Roman" w:hAnsi="Verdana" w:cs="Arial"/>
          <w:lang w:val="es-ES" w:eastAsia="es-ES"/>
        </w:rPr>
        <w:t>.</w:t>
      </w:r>
      <w:r>
        <w:rPr>
          <w:rFonts w:ascii="Verdana" w:eastAsia="Calibri" w:hAnsi="Verdana" w:cs="Arial"/>
          <w:color w:val="000000"/>
          <w:shd w:val="clear" w:color="auto" w:fill="FFFFFF"/>
          <w:lang w:val="es-ES_tradnl"/>
        </w:rPr>
        <w:t xml:space="preserve"> </w:t>
      </w:r>
      <w:r w:rsidRPr="38FACAB2">
        <w:rPr>
          <w:rFonts w:ascii="Verdana" w:eastAsia="Calibri" w:hAnsi="Verdana" w:cs="Arial"/>
          <w:color w:val="000000"/>
          <w:shd w:val="clear" w:color="auto" w:fill="FFFFFF"/>
          <w:lang w:val="es-ES"/>
        </w:rPr>
        <w:t xml:space="preserve">De este modo, se evidencia que la parte final del numeral 2.5 </w:t>
      </w:r>
      <w:r w:rsidRPr="38FACAB2">
        <w:rPr>
          <w:rFonts w:ascii="Verdana" w:eastAsia="Calibri" w:hAnsi="Verdana" w:cs="Arial"/>
          <w:color w:val="000000"/>
          <w:shd w:val="clear" w:color="auto" w:fill="FFFFFF"/>
          <w:lang w:val="es-ES"/>
        </w:rPr>
        <w:lastRenderedPageBreak/>
        <w:t>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 Pese a que la experiencia es inherente a la persona que la ha obtenido, razón por la cual es, en principio, intransferible en virtud de su carácter personalísimo, por disposición legal o reglamentaria, en casos excepcionales, como el descrito en el artículo mencionado, se aplica de otra manera.</w:t>
      </w:r>
    </w:p>
    <w:p w14:paraId="6A14AF37" w14:textId="77777777" w:rsidR="00033071" w:rsidRPr="002A000A" w:rsidRDefault="00033071" w:rsidP="00033071">
      <w:pPr>
        <w:tabs>
          <w:tab w:val="left" w:pos="483"/>
        </w:tabs>
        <w:spacing w:after="120" w:line="276" w:lineRule="auto"/>
        <w:jc w:val="both"/>
        <w:rPr>
          <w:rFonts w:ascii="Verdana" w:eastAsia="Calibri" w:hAnsi="Verdana" w:cs="Arial"/>
          <w:color w:val="000000"/>
          <w:shd w:val="clear" w:color="auto" w:fill="FFFFFF"/>
          <w:lang w:val="es-ES"/>
        </w:rPr>
      </w:pPr>
      <w:r w:rsidRPr="002A000A">
        <w:rPr>
          <w:rFonts w:ascii="Verdana" w:eastAsia="Calibri" w:hAnsi="Verdana" w:cs="Arial"/>
          <w:color w:val="000000"/>
          <w:shd w:val="clear" w:color="auto" w:fill="FFFFFF"/>
          <w:lang w:val="es-ES_tradnl"/>
        </w:rPr>
        <w:tab/>
      </w:r>
      <w:r w:rsidRPr="002A000A">
        <w:rPr>
          <w:rFonts w:ascii="Verdana" w:eastAsia="Calibri" w:hAnsi="Verdana" w:cs="Arial"/>
          <w:color w:val="000000"/>
          <w:shd w:val="clear" w:color="auto" w:fill="FFFFFF"/>
          <w:lang w:val="es-ES_tradnl"/>
        </w:rPr>
        <w:tab/>
      </w:r>
      <w:r w:rsidRPr="38FACAB2">
        <w:rPr>
          <w:rFonts w:ascii="Verdana" w:eastAsia="Calibri" w:hAnsi="Verdana" w:cs="Arial"/>
          <w:color w:val="000000"/>
          <w:shd w:val="clear" w:color="auto" w:fill="FFFFFF"/>
          <w:lang w:val="es-ES"/>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3692B4A3" w14:textId="77777777" w:rsidR="00033071" w:rsidRPr="002A000A" w:rsidRDefault="00033071" w:rsidP="00033071">
      <w:pPr>
        <w:spacing w:before="120" w:after="12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Este aspecto ofrece meridiana claridad en cuanto a su aplicación, pero el interrogante que ha generado la norma</w:t>
      </w:r>
      <w:r>
        <w:rPr>
          <w:rFonts w:ascii="Verdana" w:eastAsia="Times New Roman" w:hAnsi="Verdana" w:cs="Arial"/>
          <w:lang w:val="es-ES_tradnl" w:eastAsia="es-ES_tradnl"/>
        </w:rPr>
        <w:t>, y que suscita la presente consulta,</w:t>
      </w:r>
      <w:r w:rsidRPr="002A000A">
        <w:rPr>
          <w:rFonts w:ascii="Verdana" w:eastAsia="Times New Roman" w:hAnsi="Verdana" w:cs="Arial"/>
          <w:lang w:val="es-ES_tradnl" w:eastAsia="es-ES_tradnl"/>
        </w:rPr>
        <w:t xml:space="preserve"> es el siguiente: ¿qué pasa después de que la sociedad a la que le ha sido permitido certificar la experiencia de sus socios, accionistas o constituyentes cumple tres (3) años de su constitución?, ¿puede seguir siendo beneficiaria de la prerrogativa del numeral 2.5 del artículo 2.2.1.1.1.5.2 del Decreto 1082 de 2015? Estos interrogantes han sido planteados a la Subdirección de Gestión Contractual de esta Agencia y se han desarrollado en torno a dos posiciones que se plantean a continuación: </w:t>
      </w:r>
    </w:p>
    <w:p w14:paraId="35289B05" w14:textId="77777777" w:rsidR="00033071" w:rsidRDefault="00033071" w:rsidP="00033071">
      <w:pPr>
        <w:spacing w:after="120" w:line="276" w:lineRule="auto"/>
        <w:ind w:firstLine="709"/>
        <w:jc w:val="both"/>
        <w:rPr>
          <w:rFonts w:ascii="Verdana" w:eastAsia="Times New Roman" w:hAnsi="Verdana" w:cs="Arial"/>
          <w:lang w:val="es-ES" w:eastAsia="es-ES"/>
        </w:rPr>
      </w:pPr>
      <w:r w:rsidRPr="38FACAB2">
        <w:rPr>
          <w:rFonts w:ascii="Verdana" w:eastAsia="Times New Roman" w:hAnsi="Verdana" w:cs="Arial"/>
          <w:lang w:val="es-ES" w:eastAsia="es-ES"/>
        </w:rPr>
        <w:t xml:space="preserve">Para esta Agencia, </w:t>
      </w:r>
      <w:bookmarkStart w:id="3" w:name="_Hlk67498604"/>
      <w:r w:rsidRPr="38FACAB2">
        <w:rPr>
          <w:rFonts w:ascii="Verdana" w:eastAsia="Times New Roman" w:hAnsi="Verdana" w:cs="Arial"/>
          <w:lang w:val="es-ES" w:eastAsia="es-ES"/>
        </w:rPr>
        <w:t xml:space="preserve">si la persona jurídica con menos de tres (3) años de constituida registra la experiencia de sus socios, accionistas o constituyentes en el RUP, y este es renovado, puede continuar utilizando la experiencia inscrita mientras no cesen los efectos del RUP. Por el contrario, si no se renueva y la persona jurídica supera los tres (3) años de constituida, la experiencia que registró de sus socios, accionistas o constituyentes no puede ser inscrita </w:t>
      </w:r>
      <w:r w:rsidRPr="38FACAB2">
        <w:rPr>
          <w:rFonts w:ascii="Verdana" w:eastAsia="Times New Roman" w:hAnsi="Verdana" w:cs="Arial"/>
          <w:lang w:val="es-ES" w:eastAsia="es-ES"/>
        </w:rPr>
        <w:lastRenderedPageBreak/>
        <w:t xml:space="preserve">nuevamente, puesto que el RUP ha cesado sus efectos y la cámara de comercio tiene que hacer nuevamente la verificación documental de la información presentada al momento de inscribirse en el registro. </w:t>
      </w:r>
      <w:bookmarkEnd w:id="3"/>
    </w:p>
    <w:p w14:paraId="71CFE56E" w14:textId="77777777" w:rsidR="00033071" w:rsidRPr="002A000A" w:rsidRDefault="00033071" w:rsidP="00033071">
      <w:pPr>
        <w:spacing w:after="0" w:line="276" w:lineRule="auto"/>
        <w:ind w:firstLine="708"/>
        <w:contextualSpacing/>
        <w:jc w:val="both"/>
        <w:rPr>
          <w:rFonts w:ascii="Verdana" w:eastAsia="Times New Roman" w:hAnsi="Verdana" w:cs="Arial"/>
          <w:lang w:val="es-ES" w:eastAsia="es-ES"/>
        </w:rPr>
      </w:pPr>
      <w:r w:rsidRPr="38FACAB2">
        <w:rPr>
          <w:rFonts w:ascii="Verdana" w:eastAsia="Times New Roman" w:hAnsi="Verdana" w:cs="Arial"/>
          <w:lang w:val="es-ES" w:eastAsia="es-ES"/>
        </w:rPr>
        <w:t xml:space="preserve">Lo anterior, </w:t>
      </w:r>
      <w:r>
        <w:rPr>
          <w:rFonts w:ascii="Verdana" w:eastAsia="Times New Roman" w:hAnsi="Verdana" w:cs="Arial"/>
          <w:lang w:val="es-ES" w:eastAsia="es-ES"/>
        </w:rPr>
        <w:t>además</w:t>
      </w:r>
      <w:r w:rsidRPr="38FACAB2">
        <w:rPr>
          <w:rFonts w:ascii="Verdana" w:eastAsia="Times New Roman" w:hAnsi="Verdana" w:cs="Arial"/>
          <w:lang w:val="es-ES" w:eastAsia="es-ES"/>
        </w:rPr>
        <w:t xml:space="preserve"> tiene fundamento en la Circular Única de la Superintendencia de Industria y Comercio, cuyo numeral 4.2 del capítulo cuarto del título VIII, sobre el procedimiento para llevar el Registro Único de Proponentes, dispone lo siguiente:  </w:t>
      </w:r>
    </w:p>
    <w:p w14:paraId="4FA1AC43" w14:textId="77777777" w:rsidR="00033071" w:rsidRPr="002A000A" w:rsidRDefault="00033071" w:rsidP="00033071">
      <w:pPr>
        <w:spacing w:after="0" w:line="276" w:lineRule="auto"/>
        <w:ind w:firstLine="708"/>
        <w:contextualSpacing/>
        <w:jc w:val="both"/>
        <w:rPr>
          <w:rFonts w:ascii="Verdana" w:eastAsia="Times New Roman" w:hAnsi="Verdana" w:cs="Arial"/>
          <w:lang w:val="es-ES_tradnl" w:eastAsia="es-ES_tradnl"/>
        </w:rPr>
      </w:pPr>
    </w:p>
    <w:p w14:paraId="085A778F" w14:textId="77777777" w:rsidR="00033071" w:rsidRPr="00FD4928" w:rsidRDefault="00033071" w:rsidP="00033071">
      <w:pPr>
        <w:spacing w:after="0" w:line="240" w:lineRule="auto"/>
        <w:ind w:left="709" w:right="709"/>
        <w:contextualSpacing/>
        <w:jc w:val="both"/>
        <w:rPr>
          <w:rFonts w:ascii="Verdana" w:eastAsia="Times New Roman" w:hAnsi="Verdana" w:cs="Arial"/>
          <w:sz w:val="20"/>
          <w:szCs w:val="20"/>
          <w:lang w:val="es-ES_tradnl" w:eastAsia="es-ES_tradnl"/>
        </w:rPr>
      </w:pPr>
      <w:r w:rsidRPr="00FD4928">
        <w:rPr>
          <w:rFonts w:ascii="Verdana" w:eastAsia="Times New Roman" w:hAnsi="Verdana" w:cs="Arial"/>
          <w:sz w:val="20"/>
          <w:szCs w:val="20"/>
          <w:lang w:val="es-ES_tradnl" w:eastAsia="es-ES_tradnl"/>
        </w:rPr>
        <w:t xml:space="preserve">“4.2.5.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soporte”. </w:t>
      </w:r>
    </w:p>
    <w:p w14:paraId="11A96E09" w14:textId="77777777" w:rsidR="00033071" w:rsidRPr="002A000A" w:rsidRDefault="00033071" w:rsidP="00033071">
      <w:pPr>
        <w:spacing w:after="0" w:line="276" w:lineRule="auto"/>
        <w:ind w:left="709" w:right="709"/>
        <w:contextualSpacing/>
        <w:jc w:val="both"/>
        <w:rPr>
          <w:rFonts w:ascii="Verdana" w:eastAsia="Times New Roman" w:hAnsi="Verdana" w:cs="Arial"/>
          <w:lang w:val="es-ES_tradnl" w:eastAsia="es-ES_tradnl"/>
        </w:rPr>
      </w:pPr>
    </w:p>
    <w:p w14:paraId="2BEF14E1" w14:textId="77777777" w:rsidR="00033071" w:rsidRPr="002A000A" w:rsidRDefault="00033071" w:rsidP="00033071">
      <w:pPr>
        <w:spacing w:after="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Así las cosas, con el fin de incentivar la participación continua y constante de los proponentes, las Entidades Estatales, en sus Procesos de Contratación, aceptarán como válida la experiencia de los socios, accionistas o constituyentes incluso después de cumplidos los tres (3) años de constitución de la sociedad, siempre y cuando se renueve constantemente el RUP, </w:t>
      </w:r>
      <w:r>
        <w:rPr>
          <w:rFonts w:ascii="Verdana" w:eastAsia="Times New Roman" w:hAnsi="Verdana" w:cs="Arial"/>
          <w:lang w:val="es-ES_tradnl" w:eastAsia="es-ES_tradnl"/>
        </w:rPr>
        <w:t>dentro de los tiempos establecidos en las normas que lo regulan. E</w:t>
      </w:r>
      <w:r w:rsidRPr="002A000A">
        <w:rPr>
          <w:rFonts w:ascii="Verdana" w:eastAsia="Times New Roman" w:hAnsi="Verdana" w:cs="Arial"/>
          <w:lang w:val="es-ES_tradnl" w:eastAsia="es-ES_tradnl"/>
        </w:rPr>
        <w:t xml:space="preserve">sta interpretación permite incentivar la creación de empresa y generar una mayor participación de las empresas recién constituidas. En este sentido, si bien la norma no dispone qué sucede con la experiencia aportada por los socios, accionistas o constituyentes, después de los tres (3) años de constituida la persona jurídica, para esta Subdirección sigue siendo válida, por lo que la entidad la debe tener en cuenta. De esta forma se garantiza la pluralidad de oferentes en los Procesos de Contratación. </w:t>
      </w:r>
    </w:p>
    <w:p w14:paraId="0E00CBC4" w14:textId="77777777" w:rsidR="00033071" w:rsidRPr="002A000A" w:rsidRDefault="00033071" w:rsidP="00033071">
      <w:pPr>
        <w:spacing w:before="120" w:after="120" w:line="276" w:lineRule="auto"/>
        <w:ind w:firstLine="708"/>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En línea con lo anterior, el numeral 2.5. del artículo 2.2.1.1.1.5.2 del Decreto 1082 de 2015 consagra una prerrogativa para las sociedades nuevas, que busca fomentar su competencia en el campo de la contratación estatal, sin establecer limitantes en relación con las entidades o Procesos de Contratación en los que las personas jurídicas con menos de tres (3) años de constitución pueden acreditar la experiencia transferida por sus socios en virtud de la referida prerrogativa. </w:t>
      </w:r>
    </w:p>
    <w:p w14:paraId="4F95D161" w14:textId="77777777" w:rsidR="00033071" w:rsidRPr="002A000A" w:rsidRDefault="00033071" w:rsidP="00033071">
      <w:pPr>
        <w:spacing w:before="120" w:after="0" w:line="276" w:lineRule="auto"/>
        <w:ind w:firstLine="709"/>
        <w:jc w:val="both"/>
        <w:rPr>
          <w:rFonts w:ascii="Verdana" w:eastAsia="Times New Roman" w:hAnsi="Verdana" w:cs="Arial"/>
          <w:lang w:val="es-ES_tradnl" w:eastAsia="es-ES_tradnl"/>
        </w:rPr>
      </w:pPr>
      <w:r w:rsidRPr="002A000A">
        <w:rPr>
          <w:rFonts w:ascii="Verdana" w:eastAsia="Times New Roman" w:hAnsi="Verdana" w:cs="Arial"/>
          <w:lang w:val="es-ES_tradnl" w:eastAsia="es-ES_tradnl"/>
        </w:rPr>
        <w:t xml:space="preserve">Por tanto, en atención al principio general de interpretación según el cual donde el legislador no distingue no le es dado hacerlo al intérprete, el hecho de que una sociedad con menos de tres (3) años de constitución haya hecho uso </w:t>
      </w:r>
      <w:r w:rsidRPr="002A000A">
        <w:rPr>
          <w:rFonts w:ascii="Verdana" w:eastAsia="Times New Roman" w:hAnsi="Verdana" w:cs="Arial"/>
          <w:lang w:val="es-ES_tradnl" w:eastAsia="es-ES_tradnl"/>
        </w:rPr>
        <w:lastRenderedPageBreak/>
        <w:t>de la referida prerrogativa en determinado Proceso de Contratación o entidad, no excluye la posibilidad de que dicha sociedad siga haciendo uso del beneficio en otros procesos de contratación adelantados por otras entidades, incluso una vez vencidos los tres (3) años de constitución, siempre que no hayan cesado los efectos del RUP por el incumplimiento del deber de renovación.</w:t>
      </w:r>
    </w:p>
    <w:p w14:paraId="418E5266" w14:textId="77777777" w:rsidR="00033071" w:rsidRPr="002A000A" w:rsidRDefault="00033071" w:rsidP="00033071">
      <w:pPr>
        <w:spacing w:before="120" w:after="120" w:line="276" w:lineRule="auto"/>
        <w:ind w:firstLine="709"/>
        <w:jc w:val="both"/>
        <w:rPr>
          <w:rFonts w:ascii="Verdana" w:eastAsia="Times New Roman" w:hAnsi="Verdana" w:cs="Arial"/>
          <w:lang w:val="es-ES" w:eastAsia="es-ES"/>
        </w:rPr>
      </w:pPr>
      <w:r w:rsidRPr="38FACAB2">
        <w:rPr>
          <w:rFonts w:ascii="Verdana" w:eastAsia="Calibri" w:hAnsi="Verdana" w:cs="Arial"/>
          <w:color w:val="000000"/>
          <w:shd w:val="clear" w:color="auto" w:fill="FFFFFF"/>
          <w:lang w:val="es-ES"/>
        </w:rPr>
        <w:t xml:space="preserve">Ahora bien, debe aclararse que </w:t>
      </w:r>
      <w:r w:rsidRPr="38FACAB2">
        <w:rPr>
          <w:rFonts w:ascii="Verdana" w:eastAsia="Times New Roman" w:hAnsi="Verdana" w:cs="Arial"/>
          <w:lang w:val="es-ES" w:eastAsia="es-ES"/>
        </w:rPr>
        <w:t xml:space="preserve">el Decreto 1082 de 2015 solo permite que una sociedad acredite la experiencia de quienes tienen la calidad de accionistas, socios o constituyentes </w:t>
      </w:r>
      <w:r w:rsidRPr="38FACAB2">
        <w:rPr>
          <w:rFonts w:ascii="Verdana" w:eastAsia="Calibri" w:hAnsi="Verdana" w:cs="Arial"/>
          <w:lang w:val="es-ES"/>
        </w:rPr>
        <w:t>cuando tiene menos de tres (3) años de constitución</w:t>
      </w:r>
      <w:r w:rsidRPr="38FACAB2">
        <w:rPr>
          <w:rFonts w:ascii="Verdana" w:eastAsia="Times New Roman" w:hAnsi="Verdana" w:cs="Arial"/>
          <w:lang w:val="es-ES" w:eastAsia="es-ES"/>
        </w:rPr>
        <w:t>. De esta forma, en caso de que la sociedad haya superado el referido término de haberse constituido, no podrá acreditar la experiencia obtenida por un nuevo socio o accionista, con el fin de beneficiarse de la prerrogativa señalada en el numeral 2.5 del artículo 2.2.1.1.1.5.2 del citado decreto.</w:t>
      </w:r>
    </w:p>
    <w:p w14:paraId="0BFBFCEF" w14:textId="77777777" w:rsidR="00033071" w:rsidRPr="002A000A" w:rsidRDefault="00033071" w:rsidP="00033071">
      <w:pPr>
        <w:shd w:val="clear" w:color="auto" w:fill="FFFFFF" w:themeFill="background1"/>
        <w:snapToGrid w:val="0"/>
        <w:spacing w:after="120" w:line="276" w:lineRule="auto"/>
        <w:ind w:firstLine="709"/>
        <w:jc w:val="both"/>
        <w:rPr>
          <w:rFonts w:ascii="Verdana" w:eastAsia="Times New Roman" w:hAnsi="Verdana" w:cs="Arial"/>
          <w:lang w:val="es-ES" w:eastAsia="es-ES"/>
        </w:rPr>
      </w:pPr>
      <w:r w:rsidRPr="38FACAB2">
        <w:rPr>
          <w:rFonts w:ascii="Verdana" w:eastAsia="Times New Roman" w:hAnsi="Verdana" w:cs="Arial"/>
          <w:lang w:val="es-ES" w:eastAsia="es-ES"/>
        </w:rPr>
        <w:t xml:space="preserve">En este sentido, la experiencia transferida de los accionistas, socios o constituyentes a la persona jurídica que tiene menos de tres (3) años de constitución solo puede verificarse con el registro, sin que sea posible para la entidad contratante solicitar documentos adicionales a los oferentes. Ahora bien, si la persona jurídica con menos de tres (3) años de constituida registra la experiencia de sus socios en el RUP, y este es renovado constantemente de forma oportuna, puede continuar utilizando la experiencia inscrita mientras no cesen los efectos del RUP, incluso después de transcurridos los tres (3) años. Por el contrario, si no se renueva y la persona jurídica supera los tres (3) años de constituida, la experiencia que registró de sus socios no puede ser inscrita nuevamente, puesto que el RUP ha cesado sus efectos y la Cámara de Comercio tiene que hacer nuevamente la verificación documental de la información presentada al momento de inscribirse en el registro.  </w:t>
      </w:r>
    </w:p>
    <w:p w14:paraId="5D230330" w14:textId="77777777" w:rsidR="00033071" w:rsidRPr="00EF4227" w:rsidRDefault="00033071" w:rsidP="00033071">
      <w:pPr>
        <w:spacing w:after="120" w:line="276" w:lineRule="auto"/>
        <w:jc w:val="both"/>
        <w:rPr>
          <w:rFonts w:ascii="Verdana" w:eastAsia="Calibri" w:hAnsi="Verdana" w:cs="Times New Roman"/>
        </w:rPr>
      </w:pPr>
      <w:r>
        <w:tab/>
      </w: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rPr>
        <w:t>.</w:t>
      </w:r>
    </w:p>
    <w:p w14:paraId="233E2247" w14:textId="77777777" w:rsidR="00033071" w:rsidRDefault="00033071" w:rsidP="00033071">
      <w:pPr>
        <w:spacing w:after="120" w:line="276" w:lineRule="auto"/>
        <w:jc w:val="both"/>
        <w:rPr>
          <w:rFonts w:ascii="Verdana" w:eastAsia="Calibri" w:hAnsi="Verdana" w:cs="Arial"/>
          <w:color w:val="000000"/>
          <w:shd w:val="clear" w:color="auto" w:fill="FFFFFF"/>
          <w:lang w:val="es-ES"/>
        </w:rPr>
      </w:pPr>
    </w:p>
    <w:p w14:paraId="21B5CF78" w14:textId="77777777" w:rsidR="00033071" w:rsidRPr="001F283D" w:rsidRDefault="00033071" w:rsidP="00033071">
      <w:pPr>
        <w:tabs>
          <w:tab w:val="left" w:pos="142"/>
          <w:tab w:val="left" w:pos="284"/>
        </w:tabs>
        <w:spacing w:after="0" w:line="276" w:lineRule="auto"/>
        <w:rPr>
          <w:rFonts w:ascii="Verdana" w:eastAsia="Century Gothic" w:hAnsi="Verdana" w:cs="Century Gothic"/>
          <w:b/>
          <w:bCs/>
        </w:rPr>
      </w:pPr>
      <w:bookmarkStart w:id="4" w:name="_Hlk204854194"/>
      <w:r>
        <w:rPr>
          <w:rFonts w:ascii="Verdana" w:eastAsia="Century Gothic" w:hAnsi="Verdana" w:cs="Century Gothic"/>
          <w:b/>
          <w:bCs/>
        </w:rPr>
        <w:lastRenderedPageBreak/>
        <w:t xml:space="preserve">4. </w:t>
      </w:r>
      <w:r w:rsidRPr="001F283D">
        <w:rPr>
          <w:rFonts w:ascii="Verdana" w:eastAsia="Century Gothic" w:hAnsi="Verdana" w:cs="Century Gothic"/>
          <w:b/>
          <w:bCs/>
        </w:rPr>
        <w:t>Referencias normativas:</w:t>
      </w:r>
    </w:p>
    <w:bookmarkEnd w:id="4"/>
    <w:p w14:paraId="56E4E19E" w14:textId="77777777" w:rsidR="00033071" w:rsidRPr="00593A5F" w:rsidRDefault="00033071" w:rsidP="0003307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33071" w:rsidRPr="004742FF" w14:paraId="582ECA4A" w14:textId="77777777" w:rsidTr="00C23E75">
        <w:trPr>
          <w:trHeight w:val="870"/>
          <w:jc w:val="center"/>
        </w:trPr>
        <w:tc>
          <w:tcPr>
            <w:tcW w:w="8647" w:type="dxa"/>
          </w:tcPr>
          <w:p w14:paraId="25B05EFD"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Constitución Política, artículo 6, artículo 29 y artículo 209.</w:t>
            </w:r>
          </w:p>
          <w:p w14:paraId="7A38DBA9"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Ley 80 de 1993: Artículo 8, numeral 1, literales g) y h).</w:t>
            </w:r>
          </w:p>
          <w:p w14:paraId="724FD4BB"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Ley 1150 de 2007, artículo 2.</w:t>
            </w:r>
          </w:p>
          <w:p w14:paraId="7BA11153"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Ley 1150 de 2007, artículos 5 y 6.</w:t>
            </w:r>
          </w:p>
          <w:p w14:paraId="6D22A60B"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Ley 1150 de 2007. Artículo 5.</w:t>
            </w:r>
          </w:p>
          <w:p w14:paraId="6548EECD"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Ley 2022 de 2020, artículo 1.</w:t>
            </w:r>
          </w:p>
          <w:p w14:paraId="39FE2396"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Ley 222 de 1995.</w:t>
            </w:r>
          </w:p>
          <w:p w14:paraId="65A807A8"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Código Civil. Artículo 222.</w:t>
            </w:r>
          </w:p>
          <w:p w14:paraId="7A3AB3E2"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Código de Comercio. Artículo 167 y 180.</w:t>
            </w:r>
          </w:p>
          <w:p w14:paraId="3913EEF8"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Decreto 1082 de 2015, Artículos 2.2.1.1.1.5.2. y 2.2.1.1.2.2.5.</w:t>
            </w:r>
          </w:p>
          <w:p w14:paraId="4CC38253"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Decreto 1082 de 2015. Numeral 2.5 del artículo 2.2.1.1.1.5.2; artículo 2.2.1.1.1.5.3; artículo 2.2.1.1.1.6.2.</w:t>
            </w:r>
          </w:p>
          <w:p w14:paraId="036B8904"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xml:space="preserve">• Consejo de Estado. Sala de lo Contencioso Administrativo. Sección Tercera. Sentencia del 27 de abril de 2011. </w:t>
            </w:r>
            <w:proofErr w:type="spellStart"/>
            <w:r w:rsidRPr="00D871FC">
              <w:rPr>
                <w:rFonts w:ascii="Verdana" w:hAnsi="Verdana" w:cs="Arial"/>
                <w:color w:val="000000" w:themeColor="text1"/>
                <w:sz w:val="22"/>
                <w:szCs w:val="22"/>
              </w:rPr>
              <w:t>Exp</w:t>
            </w:r>
            <w:proofErr w:type="spellEnd"/>
            <w:r w:rsidRPr="00D871FC">
              <w:rPr>
                <w:rFonts w:ascii="Verdana" w:hAnsi="Verdana" w:cs="Arial"/>
                <w:color w:val="000000" w:themeColor="text1"/>
                <w:sz w:val="22"/>
                <w:szCs w:val="22"/>
              </w:rPr>
              <w:t>. 18.293. C.P. Ruth Stella Correa Palacio.</w:t>
            </w:r>
          </w:p>
          <w:p w14:paraId="4F741048"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xml:space="preserve">• Consejo de Estado. Sala de lo Contencioso Administrativo. Sección Tercera. Subsección C. Sentencia del 22 de mayo de 2013. Radicado: 68001-23-15-000-1995-00152-01 (24.057). C.P: Olga Mélida Valle De </w:t>
            </w:r>
            <w:proofErr w:type="spellStart"/>
            <w:r w:rsidRPr="00D871FC">
              <w:rPr>
                <w:rFonts w:ascii="Verdana" w:hAnsi="Verdana" w:cs="Arial"/>
                <w:color w:val="000000" w:themeColor="text1"/>
                <w:sz w:val="22"/>
                <w:szCs w:val="22"/>
              </w:rPr>
              <w:t>De</w:t>
            </w:r>
            <w:proofErr w:type="spellEnd"/>
            <w:r w:rsidRPr="00D871FC">
              <w:rPr>
                <w:rFonts w:ascii="Verdana" w:hAnsi="Verdana" w:cs="Arial"/>
                <w:color w:val="000000" w:themeColor="text1"/>
                <w:sz w:val="22"/>
                <w:szCs w:val="22"/>
              </w:rPr>
              <w:t xml:space="preserve"> La Hoz.</w:t>
            </w:r>
          </w:p>
          <w:p w14:paraId="32A16BFB"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Consejo de Estado. Sala de lo Contencioso Administrativo. Sección Tercera. Subsección A. Sentencia del 13 de noviembre de 2013. Radicado: 25000-23-26-000-1999-02197-01 (25646). C.P. Mauricio Fajardo Gómez.</w:t>
            </w:r>
          </w:p>
          <w:p w14:paraId="75B83D25"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xml:space="preserve">• Consejo de Estado. Sala de lo Contencioso Administrativo. Sección Tercera. Sentencia del 21 de noviembre de 2013 </w:t>
            </w:r>
            <w:proofErr w:type="spellStart"/>
            <w:r w:rsidRPr="00D871FC">
              <w:rPr>
                <w:rFonts w:ascii="Verdana" w:hAnsi="Verdana" w:cs="Arial"/>
                <w:color w:val="000000" w:themeColor="text1"/>
                <w:sz w:val="22"/>
                <w:szCs w:val="22"/>
              </w:rPr>
              <w:t>Exp</w:t>
            </w:r>
            <w:proofErr w:type="spellEnd"/>
            <w:r w:rsidRPr="00D871FC">
              <w:rPr>
                <w:rFonts w:ascii="Verdana" w:hAnsi="Verdana" w:cs="Arial"/>
                <w:color w:val="000000" w:themeColor="text1"/>
                <w:sz w:val="22"/>
                <w:szCs w:val="22"/>
              </w:rPr>
              <w:t>. 25397. C.P. Carlos Alberto Zambrano Barrera.</w:t>
            </w:r>
          </w:p>
          <w:p w14:paraId="380EA0CA"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Consejo de Estado. Sala de lo Contencioso Administrativo. Sección Tercera. Subsección A. Sentencia del 24 de junio de 2015. Radicado: 05001-23-31-000-1997-02636-01 (40.635). C.P: Hernán Andrade Rincón (E).</w:t>
            </w:r>
          </w:p>
          <w:p w14:paraId="243B3209"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Consejo de Estado. Sala de Consulta y Servicio Civil. Concepto del 30 de abril de 2015. Radicado: 11001-03-06-000-2015-00058-00 (2251). C.P: Álvaro Namén Vargas.</w:t>
            </w:r>
          </w:p>
          <w:p w14:paraId="0DFB5625"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lastRenderedPageBreak/>
              <w:t>• Corte Constitucional. Sentencia C-415 de 1994. M.P. Eduardo Cifuentes Muñoz.</w:t>
            </w:r>
          </w:p>
          <w:p w14:paraId="7E2478DE" w14:textId="77777777" w:rsidR="00033071" w:rsidRPr="00D871FC" w:rsidRDefault="00033071" w:rsidP="00C23E75">
            <w:pPr>
              <w:pStyle w:val="NormalWeb"/>
              <w:spacing w:before="120" w:beforeAutospacing="0" w:after="0" w:afterAutospacing="0"/>
              <w:jc w:val="both"/>
              <w:rPr>
                <w:rFonts w:ascii="Verdana" w:hAnsi="Verdana" w:cs="Arial"/>
                <w:color w:val="000000" w:themeColor="text1"/>
                <w:sz w:val="22"/>
                <w:szCs w:val="22"/>
              </w:rPr>
            </w:pPr>
            <w:r w:rsidRPr="00D871FC">
              <w:rPr>
                <w:rFonts w:ascii="Verdana" w:hAnsi="Verdana" w:cs="Arial"/>
                <w:color w:val="000000" w:themeColor="text1"/>
                <w:sz w:val="22"/>
                <w:szCs w:val="22"/>
              </w:rPr>
              <w:t>• Corte Constitucional. Sentencia T-1039 de 2006. M.P. Humberto Sierra Porto.</w:t>
            </w:r>
          </w:p>
          <w:p w14:paraId="583DDC06" w14:textId="77777777" w:rsidR="00033071" w:rsidRPr="00746C58" w:rsidRDefault="00033071" w:rsidP="00C23E75">
            <w:pPr>
              <w:pStyle w:val="NormalWeb"/>
              <w:spacing w:before="120" w:beforeAutospacing="0" w:after="0" w:afterAutospacing="0"/>
              <w:jc w:val="both"/>
              <w:rPr>
                <w:rFonts w:ascii="Verdana" w:hAnsi="Verdana" w:cs="Arial"/>
                <w:color w:val="000000" w:themeColor="text1"/>
              </w:rPr>
            </w:pPr>
            <w:r w:rsidRPr="00D871FC">
              <w:rPr>
                <w:rFonts w:ascii="Verdana" w:hAnsi="Verdana" w:cs="Arial"/>
                <w:color w:val="000000" w:themeColor="text1"/>
                <w:sz w:val="22"/>
                <w:szCs w:val="22"/>
              </w:rPr>
              <w:t>• Corte Constitucional. Sentencia C-1016 de 2012. M.P. Jorge Iván Palacio.</w:t>
            </w:r>
          </w:p>
        </w:tc>
      </w:tr>
    </w:tbl>
    <w:p w14:paraId="1613593E" w14:textId="77777777" w:rsidR="00033071" w:rsidRPr="00D721E0" w:rsidRDefault="00033071" w:rsidP="00033071">
      <w:pPr>
        <w:widowControl w:val="0"/>
        <w:autoSpaceDE w:val="0"/>
        <w:autoSpaceDN w:val="0"/>
        <w:spacing w:after="0" w:line="276" w:lineRule="auto"/>
        <w:jc w:val="both"/>
        <w:rPr>
          <w:rFonts w:ascii="Verdana" w:hAnsi="Verdana" w:cs="Arial"/>
          <w:lang w:val="it-CH"/>
        </w:rPr>
      </w:pPr>
    </w:p>
    <w:p w14:paraId="7F5369A0" w14:textId="77777777" w:rsidR="00033071" w:rsidRPr="001F283D" w:rsidRDefault="00033071" w:rsidP="00033071">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3E08119E" w14:textId="77777777" w:rsidR="00033071" w:rsidRDefault="00033071" w:rsidP="00033071">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5698A2DA" w14:textId="77777777" w:rsidR="00033071" w:rsidRPr="00183CF4" w:rsidRDefault="00033071" w:rsidP="00033071">
      <w:pPr>
        <w:widowControl w:val="0"/>
        <w:autoSpaceDE w:val="0"/>
        <w:autoSpaceDN w:val="0"/>
        <w:spacing w:after="0" w:line="276" w:lineRule="auto"/>
        <w:jc w:val="both"/>
        <w:rPr>
          <w:rFonts w:ascii="Verdana" w:eastAsia="Aptos" w:hAnsi="Verdana" w:cs="Arial"/>
          <w:shd w:val="clear" w:color="auto" w:fill="FFFFFF"/>
        </w:rPr>
      </w:pPr>
      <w:r w:rsidRPr="004C7B91">
        <w:rPr>
          <w:rFonts w:ascii="Verdana" w:eastAsia="Aptos" w:hAnsi="Verdana" w:cs="Arial"/>
          <w:shd w:val="clear" w:color="auto" w:fill="FFFFFF"/>
        </w:rPr>
        <w:t>Sobre el régimen de inhabilidades e incompatibilidades, esta Subdirección se ha pronunciado, entre otros, en los conceptos C-288 del 14 de julio de 2023, C-651 del 22 de octubre de 2024, C-680 del 15 de noviembre de 2024, C-693 del 19 de noviembre de 2024, C-839 del 13 de diciembre de 2024, C-426 del 19 de mayo de 2025 y C-1009 del 03 de septiembre de 2025.</w:t>
      </w:r>
      <w:r>
        <w:rPr>
          <w:rFonts w:ascii="Verdana" w:eastAsia="Aptos" w:hAnsi="Verdana" w:cs="Arial"/>
          <w:shd w:val="clear" w:color="auto" w:fill="FFFFFF"/>
        </w:rPr>
        <w:t xml:space="preserve"> Igualmente</w:t>
      </w:r>
      <w:r w:rsidRPr="004C7B91">
        <w:rPr>
          <w:rFonts w:ascii="Verdana" w:eastAsia="Aptos" w:hAnsi="Verdana" w:cs="Arial"/>
          <w:shd w:val="clear" w:color="auto" w:fill="FFFFFF"/>
        </w:rPr>
        <w:t xml:space="preserve">, Colombia Compra Eficiente ha desarrollado doctrina sobre la causal de rechazo prevista en el literal X de los documentos tipo de licitación de obra pública de infraestructura de transporte, entre otros, en los conceptos C-429 del 24 de julio de 2020, C-306 del 16 de mayo de 2022, C-567 del 2 de septiembre de 2022, C-748 del 10 de noviembre de 2022, C-280 del 6 de junio de 2023, C-353 del 1 de agosto de 2023, C-978 del 24 de marzo de 2023, C-173 del 7 de abril de 2024, C-232 del 1 de abril de 2024, C-421 del 13 de septiembre de 2024, C-818 del 16 de diciembre de 2024, C-419 del 22 de abril de 2025, C-928 del 21 de agosto de 2025, C-1438 del 6 de noviembre de 2025 y C-1795 del 30 de diciembre de 2025. Asimismo, la Agencia se ha pronunciado reiteradamente sobre la acreditación de la experiencia de los socios por parte de sociedades con menos de tres (3) años de constitución, entre otros, en los conceptos C-025 del 16 de marzo de 2020, C-051 del 2 de marzo de 2020, C-165 del 1 de abril de 2020, C-233 del 16 de abril de 2020, C-407 del 12 de junio de 2020, C-398 del 30 de junio de 2020, C-470 del 14 de julio de 2020, C-511 del 18 de agosto de 2020, C-584 del 31 de agosto de 2020, C-619 del 21 de septiembre de 2020, C-710 del 9 de diciembre de 2020, C-717 del 10 de diciembre de 2020, C-729 del 11 de diciembre de 2020, C-103 del 24 de marzo de 2021, C-140 del 9 de abril de 2021, C-230 del 25 de mayo de 2021, C-316 del 29 de junio de 2021, C-318 del 29 de junio de 2021, C-326 del 2 de julio de 2021, C-593 del 11 de diciembre de 2024, C-1006 del 30 de diciembre de 2024, C-093 del 17 de febrero de 2025, C-121 del 6 de marzo de 2025, C-200 del 25 de marzo de 2025, C-204 del 26 </w:t>
      </w:r>
      <w:r w:rsidRPr="004C7B91">
        <w:rPr>
          <w:rFonts w:ascii="Verdana" w:eastAsia="Aptos" w:hAnsi="Verdana" w:cs="Arial"/>
          <w:shd w:val="clear" w:color="auto" w:fill="FFFFFF"/>
        </w:rPr>
        <w:lastRenderedPageBreak/>
        <w:t>de marzo de 2025 y C-830 de 2025, entre otros.</w:t>
      </w:r>
    </w:p>
    <w:p w14:paraId="38AC77D6" w14:textId="77777777" w:rsidR="00033071" w:rsidRDefault="00033071" w:rsidP="00033071">
      <w:pPr>
        <w:widowControl w:val="0"/>
        <w:autoSpaceDE w:val="0"/>
        <w:autoSpaceDN w:val="0"/>
        <w:spacing w:after="0" w:line="276" w:lineRule="auto"/>
        <w:jc w:val="both"/>
        <w:rPr>
          <w:rFonts w:ascii="Verdana" w:eastAsia="Aptos" w:hAnsi="Verdana" w:cs="Arial"/>
          <w:shd w:val="clear" w:color="auto" w:fill="FFFFFF"/>
          <w:lang w:val="es-ES"/>
        </w:rPr>
      </w:pPr>
    </w:p>
    <w:p w14:paraId="4B7E2322" w14:textId="77777777" w:rsidR="00033071" w:rsidRPr="00353F7D" w:rsidRDefault="00033071" w:rsidP="00033071">
      <w:pPr>
        <w:widowControl w:val="0"/>
        <w:autoSpaceDE w:val="0"/>
        <w:autoSpaceDN w:val="0"/>
        <w:spacing w:after="0" w:line="276" w:lineRule="auto"/>
        <w:jc w:val="both"/>
        <w:rPr>
          <w:rFonts w:ascii="Verdana" w:eastAsia="Times New Roman" w:hAnsi="Verdana" w:cs="Arial"/>
          <w:shd w:val="clear" w:color="auto" w:fill="FFFFFF"/>
          <w:lang w:val="es-ES"/>
        </w:rPr>
      </w:pPr>
      <w:r w:rsidRPr="0047490F">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history="1">
        <w:r w:rsidRPr="0047490F">
          <w:rPr>
            <w:rStyle w:val="Hipervnculo"/>
            <w:rFonts w:ascii="Verdana" w:eastAsia="Aptos" w:hAnsi="Verdana" w:cs="Arial"/>
            <w:shd w:val="clear" w:color="auto" w:fill="FFFFFF"/>
            <w:lang w:val="es-ES"/>
          </w:rPr>
          <w:t>https://relatoria.colombiacompra.gov.co/</w:t>
        </w:r>
      </w:hyperlink>
      <w:r w:rsidRPr="0047490F">
        <w:rPr>
          <w:rFonts w:ascii="Verdana" w:eastAsia="Aptos" w:hAnsi="Verdana" w:cs="Arial"/>
          <w:shd w:val="clear" w:color="auto" w:fill="FFFFFF"/>
          <w:lang w:val="es-ES"/>
        </w:rPr>
        <w:t xml:space="preserve">. </w:t>
      </w:r>
    </w:p>
    <w:p w14:paraId="4116B9C0" w14:textId="77777777" w:rsidR="00033071" w:rsidRPr="00900D7D" w:rsidRDefault="00033071" w:rsidP="00033071">
      <w:pPr>
        <w:widowControl w:val="0"/>
        <w:autoSpaceDE w:val="0"/>
        <w:autoSpaceDN w:val="0"/>
        <w:spacing w:after="120" w:line="276" w:lineRule="auto"/>
        <w:jc w:val="both"/>
        <w:rPr>
          <w:rFonts w:ascii="Verdana" w:eastAsia="Calibri" w:hAnsi="Verdana" w:cs="Arial"/>
          <w:color w:val="000000" w:themeColor="text1"/>
          <w:lang w:eastAsia="es-ES_tradnl"/>
        </w:rPr>
      </w:pPr>
    </w:p>
    <w:p w14:paraId="1FE0D1E5" w14:textId="77777777" w:rsidR="00033071" w:rsidRPr="00237766" w:rsidRDefault="00033071" w:rsidP="00033071">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EE0FB30" w14:textId="77777777" w:rsidR="00033071" w:rsidRPr="008E4F36" w:rsidRDefault="00033071" w:rsidP="00033071">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68110E5E" w14:textId="77777777" w:rsidR="00033071" w:rsidRPr="008E4F36" w:rsidRDefault="00033071" w:rsidP="00033071">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7161133F" w14:textId="77777777" w:rsidR="00033071" w:rsidRPr="008E4F36" w:rsidRDefault="00033071" w:rsidP="00033071">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342C55B1" w14:textId="77777777" w:rsidR="00033071" w:rsidRPr="008E4F36" w:rsidRDefault="00033071" w:rsidP="00033071">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2" w:history="1">
        <w:r w:rsidRPr="008E4F36">
          <w:rPr>
            <w:rStyle w:val="Hipervnculo"/>
            <w:rFonts w:ascii="Verdana" w:hAnsi="Verdana"/>
          </w:rPr>
          <w:t>www.colombiacompra.gov.co</w:t>
        </w:r>
      </w:hyperlink>
    </w:p>
    <w:p w14:paraId="23E0403E" w14:textId="77777777" w:rsidR="00033071" w:rsidRPr="008E4F36" w:rsidRDefault="00033071" w:rsidP="00033071">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6D0D554D" w14:textId="77777777" w:rsidR="00033071" w:rsidRPr="008E4F36" w:rsidRDefault="00033071" w:rsidP="00033071">
      <w:pPr>
        <w:spacing w:after="0" w:line="276" w:lineRule="auto"/>
        <w:jc w:val="both"/>
        <w:rPr>
          <w:rFonts w:ascii="Verdana" w:hAnsi="Verdana"/>
        </w:rPr>
      </w:pPr>
    </w:p>
    <w:p w14:paraId="338E4F74" w14:textId="77777777" w:rsidR="00033071" w:rsidRPr="008E4F36" w:rsidRDefault="00033071" w:rsidP="00033071">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758ADEF1" w14:textId="77777777" w:rsidR="00033071" w:rsidRPr="008E4F36" w:rsidRDefault="00033071" w:rsidP="00033071">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6B97C087" w14:textId="77777777" w:rsidR="00033071" w:rsidRPr="008E4F36" w:rsidRDefault="00033071" w:rsidP="00033071">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37C1FA59" w14:textId="77777777" w:rsidR="00033071" w:rsidRDefault="00033071" w:rsidP="00033071">
      <w:pPr>
        <w:spacing w:before="120" w:after="0" w:line="276" w:lineRule="auto"/>
        <w:jc w:val="both"/>
        <w:rPr>
          <w:rFonts w:ascii="Verdana" w:hAnsi="Verdana"/>
        </w:rPr>
      </w:pPr>
    </w:p>
    <w:p w14:paraId="27ADF330" w14:textId="77777777" w:rsidR="00033071" w:rsidRPr="00FB6C33" w:rsidRDefault="00033071" w:rsidP="00033071">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7573D85" w14:textId="77777777" w:rsidR="00033071" w:rsidRPr="008E4F36" w:rsidRDefault="00033071" w:rsidP="00033071">
      <w:pPr>
        <w:spacing w:after="0" w:line="276" w:lineRule="auto"/>
        <w:jc w:val="both"/>
        <w:rPr>
          <w:rFonts w:ascii="Verdana" w:eastAsia="Calibri" w:hAnsi="Verdana" w:cs="Times New Roman"/>
        </w:rPr>
      </w:pPr>
    </w:p>
    <w:p w14:paraId="48E0034A" w14:textId="77777777" w:rsidR="00033071" w:rsidRDefault="00033071" w:rsidP="00033071">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54EAFDE8" w14:textId="77777777" w:rsidR="00033071" w:rsidRDefault="00033071" w:rsidP="00033071">
      <w:pPr>
        <w:spacing w:after="0" w:line="256" w:lineRule="auto"/>
        <w:jc w:val="both"/>
        <w:rPr>
          <w:rFonts w:ascii="Verdana" w:eastAsia="Calibri" w:hAnsi="Verdana" w:cs="Times New Roman"/>
        </w:rPr>
      </w:pPr>
    </w:p>
    <w:p w14:paraId="561B86D2" w14:textId="2A4B1061" w:rsidR="00033071" w:rsidRPr="001D36FE" w:rsidRDefault="00033071" w:rsidP="00033071">
      <w:pPr>
        <w:spacing w:after="0" w:line="256" w:lineRule="auto"/>
        <w:jc w:val="center"/>
        <w:rPr>
          <w:noProof/>
        </w:rPr>
      </w:pPr>
    </w:p>
    <w:bookmarkEnd w:id="0"/>
    <w:bookmarkEnd w:id="1"/>
    <w:p w14:paraId="79100273" w14:textId="77777777" w:rsidR="00033071" w:rsidRDefault="00033071" w:rsidP="00033071">
      <w:pPr>
        <w:spacing w:after="0"/>
        <w:rPr>
          <w:rFonts w:ascii="Verdana" w:hAnsi="Verdana"/>
        </w:rPr>
      </w:pPr>
    </w:p>
    <w:p w14:paraId="763ADFA6" w14:textId="77777777" w:rsidR="00033071" w:rsidRDefault="00033071" w:rsidP="00033071">
      <w:pPr>
        <w:spacing w:after="0"/>
        <w:rPr>
          <w:rFonts w:ascii="Verdana" w:hAnsi="Verdana"/>
        </w:rPr>
      </w:pPr>
    </w:p>
    <w:p w14:paraId="4BA2D678" w14:textId="77777777" w:rsidR="00033071" w:rsidRDefault="00033071" w:rsidP="00033071">
      <w:pPr>
        <w:spacing w:after="0"/>
        <w:rPr>
          <w:rFonts w:ascii="Verdana" w:hAnsi="Verdana"/>
        </w:rPr>
      </w:pPr>
    </w:p>
    <w:p w14:paraId="410A9A7A" w14:textId="77777777" w:rsidR="00033071" w:rsidRDefault="00033071" w:rsidP="00033071">
      <w:pPr>
        <w:spacing w:after="0"/>
        <w:rPr>
          <w:rFonts w:ascii="Verdana" w:hAnsi="Verdana"/>
        </w:rPr>
      </w:pPr>
    </w:p>
    <w:p w14:paraId="4ED50ED7" w14:textId="5B39DB77" w:rsidR="00033071" w:rsidRDefault="00534A52" w:rsidP="00033071">
      <w:pPr>
        <w:spacing w:after="0"/>
        <w:rPr>
          <w:rFonts w:ascii="Verdana" w:hAnsi="Verdana"/>
        </w:rPr>
      </w:pPr>
      <w:r w:rsidRPr="002C3AD6">
        <w:rPr>
          <w:rFonts w:ascii="Century Gothic" w:hAnsi="Century Gothic"/>
          <w:noProof/>
          <w:lang w:val="en-US"/>
        </w:rPr>
        <w:drawing>
          <wp:anchor distT="0" distB="0" distL="114300" distR="114300" simplePos="0" relativeHeight="251661312" behindDoc="1" locked="0" layoutInCell="1" allowOverlap="1" wp14:anchorId="44272B8A" wp14:editId="08DA1BCE">
            <wp:simplePos x="0" y="0"/>
            <wp:positionH relativeFrom="column">
              <wp:posOffset>1046784</wp:posOffset>
            </wp:positionH>
            <wp:positionV relativeFrom="paragraph">
              <wp:posOffset>186055</wp:posOffset>
            </wp:positionV>
            <wp:extent cx="3279140" cy="1298864"/>
            <wp:effectExtent l="0" t="0" r="0" b="0"/>
            <wp:wrapTight wrapText="bothSides">
              <wp:wrapPolygon edited="0">
                <wp:start x="0" y="0"/>
                <wp:lineTo x="0" y="21230"/>
                <wp:lineTo x="21458" y="21230"/>
                <wp:lineTo x="21458" y="0"/>
                <wp:lineTo x="0" y="0"/>
              </wp:wrapPolygon>
            </wp:wrapTight>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279140" cy="1298864"/>
                    </a:xfrm>
                    <a:prstGeom prst="rect">
                      <a:avLst/>
                    </a:prstGeom>
                  </pic:spPr>
                </pic:pic>
              </a:graphicData>
            </a:graphic>
          </wp:anchor>
        </w:drawing>
      </w:r>
    </w:p>
    <w:p w14:paraId="5EA723BF" w14:textId="076F7DCD" w:rsidR="00033071" w:rsidRDefault="00033071" w:rsidP="00033071">
      <w:pPr>
        <w:spacing w:after="0"/>
        <w:rPr>
          <w:rFonts w:ascii="Verdana" w:hAnsi="Verdana"/>
        </w:rPr>
      </w:pPr>
    </w:p>
    <w:p w14:paraId="4D1347D4" w14:textId="77777777" w:rsidR="00033071" w:rsidRDefault="00033071" w:rsidP="00033071">
      <w:pPr>
        <w:spacing w:after="0"/>
        <w:rPr>
          <w:rFonts w:ascii="Verdana" w:hAnsi="Verdana"/>
        </w:rPr>
      </w:pPr>
    </w:p>
    <w:p w14:paraId="77B76A00" w14:textId="77777777" w:rsidR="00033071" w:rsidRDefault="00033071" w:rsidP="00033071">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33071" w:rsidRPr="002423D6" w14:paraId="66CA863A" w14:textId="77777777" w:rsidTr="00C23E75">
        <w:trPr>
          <w:trHeight w:val="315"/>
        </w:trPr>
        <w:tc>
          <w:tcPr>
            <w:tcW w:w="893" w:type="dxa"/>
            <w:vAlign w:val="center"/>
            <w:hideMark/>
          </w:tcPr>
          <w:p w14:paraId="526A87F9" w14:textId="77777777" w:rsidR="00033071" w:rsidRPr="002423D6" w:rsidRDefault="00033071" w:rsidP="00C23E75">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BEF2C9A" w14:textId="77777777" w:rsidR="00033071" w:rsidRPr="002423D6" w:rsidRDefault="00033071" w:rsidP="00C23E75">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Andreina Cerpa Muñoz</w:t>
            </w:r>
            <w:r w:rsidRPr="002423D6">
              <w:rPr>
                <w:rFonts w:ascii="Verdana" w:eastAsia="Arial" w:hAnsi="Verdana" w:cs="Arial"/>
                <w:color w:val="000000" w:themeColor="text1"/>
                <w:sz w:val="16"/>
                <w:szCs w:val="16"/>
              </w:rPr>
              <w:t xml:space="preserve"> </w:t>
            </w:r>
          </w:p>
          <w:p w14:paraId="018F054A" w14:textId="77777777" w:rsidR="00033071" w:rsidRPr="002423D6" w:rsidRDefault="00033071" w:rsidP="00C23E75">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033071" w:rsidRPr="002423D6" w14:paraId="64A74B06" w14:textId="77777777" w:rsidTr="00C23E75">
        <w:trPr>
          <w:trHeight w:val="330"/>
        </w:trPr>
        <w:tc>
          <w:tcPr>
            <w:tcW w:w="893" w:type="dxa"/>
            <w:vAlign w:val="center"/>
            <w:hideMark/>
          </w:tcPr>
          <w:p w14:paraId="028C4E92" w14:textId="77777777" w:rsidR="00033071" w:rsidRPr="002423D6" w:rsidRDefault="00033071" w:rsidP="00C23E75">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BAEDA67" w14:textId="77777777" w:rsidR="00033071" w:rsidRPr="002423D6" w:rsidRDefault="00033071" w:rsidP="00C23E75">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Sarmiento Cantillo </w:t>
            </w:r>
          </w:p>
          <w:p w14:paraId="5DFD976E" w14:textId="77777777" w:rsidR="00033071" w:rsidRPr="002423D6" w:rsidRDefault="00033071" w:rsidP="00C23E75">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w:t>
            </w:r>
            <w:r>
              <w:rPr>
                <w:rFonts w:ascii="Verdana" w:hAnsi="Verdana" w:cs="Arial"/>
                <w:color w:val="000000" w:themeColor="text1"/>
                <w:sz w:val="16"/>
                <w:szCs w:val="16"/>
              </w:rPr>
              <w:t>-</w:t>
            </w:r>
            <w:r w:rsidRPr="00250F55">
              <w:rPr>
                <w:rFonts w:ascii="Verdana" w:hAnsi="Verdana" w:cs="Arial"/>
                <w:color w:val="000000" w:themeColor="text1"/>
                <w:sz w:val="16"/>
                <w:szCs w:val="16"/>
              </w:rPr>
              <w:t>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033071" w:rsidRPr="002423D6" w14:paraId="597C1FBF" w14:textId="77777777" w:rsidTr="00C23E75">
        <w:trPr>
          <w:trHeight w:val="300"/>
        </w:trPr>
        <w:tc>
          <w:tcPr>
            <w:tcW w:w="893" w:type="dxa"/>
            <w:vAlign w:val="center"/>
          </w:tcPr>
          <w:p w14:paraId="00F60CE2" w14:textId="77777777" w:rsidR="00033071" w:rsidRPr="002423D6" w:rsidRDefault="00033071" w:rsidP="00C23E75">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A58FC8F" w14:textId="77777777" w:rsidR="00033071" w:rsidRPr="002423D6" w:rsidRDefault="00033071" w:rsidP="00C23E75">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42DDFE93" w14:textId="77777777" w:rsidR="00033071" w:rsidRPr="002423D6" w:rsidRDefault="00033071" w:rsidP="00C23E75">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09DAD422" w14:textId="77777777" w:rsidR="00033071" w:rsidRDefault="00033071" w:rsidP="00033071"/>
    <w:p w14:paraId="2B08C57D" w14:textId="4A228B69" w:rsidR="00033071" w:rsidRPr="009003AF" w:rsidRDefault="00033071" w:rsidP="00033071"/>
    <w:p w14:paraId="5EB1B132" w14:textId="77777777" w:rsidR="000F5A42" w:rsidRPr="00B43845" w:rsidRDefault="000F5A42" w:rsidP="00B43845"/>
    <w:sectPr w:rsidR="000F5A42" w:rsidRPr="00B43845" w:rsidSect="0063107B">
      <w:headerReference w:type="default" r:id="rId14"/>
      <w:footerReference w:type="default" r:id="rId15"/>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F9907" w14:textId="77777777" w:rsidR="00AB4404" w:rsidRDefault="00AB4404" w:rsidP="0063107B">
      <w:pPr>
        <w:spacing w:after="0" w:line="240" w:lineRule="auto"/>
      </w:pPr>
      <w:r>
        <w:separator/>
      </w:r>
    </w:p>
  </w:endnote>
  <w:endnote w:type="continuationSeparator" w:id="0">
    <w:p w14:paraId="588F26F6" w14:textId="77777777" w:rsidR="00AB4404" w:rsidRDefault="00AB4404" w:rsidP="006310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92699" w14:textId="77777777" w:rsidR="0063107B" w:rsidRDefault="0063107B" w:rsidP="000849D5">
    <w:pPr>
      <w:spacing w:after="0"/>
      <w:rPr>
        <w:rFonts w:ascii="Verdana" w:hAnsi="Verdana"/>
        <w:b/>
        <w:bCs/>
        <w:sz w:val="20"/>
        <w:szCs w:val="20"/>
      </w:rPr>
    </w:pPr>
  </w:p>
  <w:p w14:paraId="3B9A91C0" w14:textId="77777777" w:rsidR="0063107B" w:rsidRPr="00174B77" w:rsidRDefault="0063107B"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3D6483F" w14:textId="77777777" w:rsidR="0063107B" w:rsidRDefault="0063107B"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3E9E5607" w14:textId="77777777" w:rsidR="0063107B" w:rsidRPr="00E41027" w:rsidRDefault="0063107B" w:rsidP="000849D5">
    <w:pPr>
      <w:spacing w:after="0"/>
      <w:jc w:val="both"/>
      <w:rPr>
        <w:rFonts w:ascii="Verdana" w:hAnsi="Verdana"/>
        <w:sz w:val="18"/>
        <w:szCs w:val="18"/>
      </w:rPr>
    </w:pPr>
    <w:r w:rsidRPr="00E41027">
      <w:rPr>
        <w:rFonts w:ascii="Verdana" w:hAnsi="Verdana"/>
        <w:sz w:val="18"/>
        <w:szCs w:val="18"/>
      </w:rPr>
      <w:t>Mesa de servicio: (+57) 601 7456788</w:t>
    </w:r>
  </w:p>
  <w:p w14:paraId="5B572CC6" w14:textId="77777777" w:rsidR="0063107B" w:rsidRDefault="0063107B"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A5D86CA" w14:textId="77777777" w:rsidR="0063107B" w:rsidRPr="007D04B2" w:rsidRDefault="0063107B" w:rsidP="000849D5">
    <w:pPr>
      <w:pStyle w:val="Piedepgina"/>
    </w:pPr>
  </w:p>
  <w:p w14:paraId="3108CB93" w14:textId="77777777" w:rsidR="0063107B" w:rsidRPr="000849D5" w:rsidRDefault="0063107B"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D55CB" w14:textId="77777777" w:rsidR="00AB4404" w:rsidRDefault="00AB4404" w:rsidP="0063107B">
      <w:pPr>
        <w:spacing w:after="0" w:line="240" w:lineRule="auto"/>
      </w:pPr>
      <w:r>
        <w:separator/>
      </w:r>
    </w:p>
  </w:footnote>
  <w:footnote w:type="continuationSeparator" w:id="0">
    <w:p w14:paraId="740BA3E0" w14:textId="77777777" w:rsidR="00AB4404" w:rsidRDefault="00AB4404" w:rsidP="0063107B">
      <w:pPr>
        <w:spacing w:after="0" w:line="240" w:lineRule="auto"/>
      </w:pPr>
      <w:r>
        <w:continuationSeparator/>
      </w:r>
    </w:p>
  </w:footnote>
  <w:footnote w:id="1">
    <w:p w14:paraId="3C1BFB2F" w14:textId="77777777" w:rsidR="00033071" w:rsidRPr="001256E1" w:rsidRDefault="00033071" w:rsidP="00033071">
      <w:pPr>
        <w:pStyle w:val="Textonotapie"/>
        <w:contextualSpacing/>
        <w:jc w:val="both"/>
        <w:rPr>
          <w:rFonts w:ascii="Verdana" w:hAnsi="Verdana" w:cs="Arial"/>
          <w:sz w:val="16"/>
          <w:szCs w:val="16"/>
          <w:lang w:val="pt-BR"/>
        </w:rPr>
      </w:pPr>
      <w:r w:rsidRPr="001256E1">
        <w:rPr>
          <w:rStyle w:val="Refdenotaalpie"/>
          <w:rFonts w:ascii="Verdana" w:hAnsi="Verdana" w:cs="Arial"/>
          <w:sz w:val="16"/>
          <w:szCs w:val="16"/>
        </w:rPr>
        <w:footnoteRef/>
      </w:r>
      <w:r w:rsidRPr="001256E1">
        <w:rPr>
          <w:rFonts w:ascii="Verdana" w:hAnsi="Verdana" w:cs="Arial"/>
          <w:sz w:val="16"/>
          <w:szCs w:val="16"/>
          <w:lang w:val="pt-BR"/>
        </w:rPr>
        <w:t xml:space="preserve"> Corte Constitucional. Sentencia C-1016 de 2012. M.P. Jorge Iván Palacio. </w:t>
      </w:r>
    </w:p>
    <w:p w14:paraId="187FFEA3" w14:textId="77777777" w:rsidR="00033071" w:rsidRPr="001256E1" w:rsidRDefault="00033071" w:rsidP="00033071">
      <w:pPr>
        <w:pStyle w:val="Textonotapie"/>
        <w:ind w:firstLine="708"/>
        <w:contextualSpacing/>
        <w:jc w:val="both"/>
        <w:rPr>
          <w:rFonts w:ascii="Verdana" w:hAnsi="Verdana" w:cs="Arial"/>
          <w:sz w:val="16"/>
          <w:szCs w:val="16"/>
          <w:lang w:val="pt-BR"/>
        </w:rPr>
      </w:pPr>
    </w:p>
  </w:footnote>
  <w:footnote w:id="2">
    <w:p w14:paraId="01586E6A" w14:textId="77777777" w:rsidR="00033071" w:rsidRPr="001256E1" w:rsidRDefault="00033071" w:rsidP="00033071">
      <w:pPr>
        <w:pStyle w:val="Textonotapie"/>
        <w:ind w:firstLine="708"/>
        <w:jc w:val="both"/>
        <w:rPr>
          <w:rFonts w:ascii="Verdana" w:hAnsi="Verdana"/>
          <w:sz w:val="16"/>
          <w:szCs w:val="16"/>
          <w:lang w:val="pt-BR"/>
        </w:rPr>
      </w:pPr>
      <w:r w:rsidRPr="001256E1">
        <w:rPr>
          <w:rStyle w:val="Refdenotaalpie"/>
          <w:rFonts w:ascii="Verdana" w:hAnsi="Verdana"/>
          <w:sz w:val="16"/>
          <w:szCs w:val="16"/>
        </w:rPr>
        <w:footnoteRef/>
      </w:r>
      <w:r w:rsidRPr="001256E1">
        <w:rPr>
          <w:rFonts w:ascii="Verdana" w:hAnsi="Verdana"/>
          <w:sz w:val="16"/>
          <w:szCs w:val="16"/>
        </w:rPr>
        <w:t xml:space="preserve"> Consejo de Estado. Sala de lo Contencioso Administrativo. Sección Tercera. Subsección A. Sentencia del 13 de noviembre de 2013. </w:t>
      </w:r>
      <w:r w:rsidRPr="001256E1">
        <w:rPr>
          <w:rFonts w:ascii="Verdana" w:hAnsi="Verdana"/>
          <w:sz w:val="16"/>
          <w:szCs w:val="16"/>
          <w:lang w:val="pt-BR"/>
        </w:rPr>
        <w:t xml:space="preserve">Radicado: </w:t>
      </w:r>
      <w:r w:rsidRPr="001256E1">
        <w:rPr>
          <w:rFonts w:ascii="Verdana" w:hAnsi="Verdana"/>
          <w:sz w:val="16"/>
          <w:szCs w:val="16"/>
          <w:lang w:val="es-CO"/>
        </w:rPr>
        <w:t>25000-23-26-000-1999-02197-01</w:t>
      </w:r>
      <w:r w:rsidRPr="001256E1">
        <w:rPr>
          <w:rFonts w:ascii="Verdana" w:hAnsi="Verdana"/>
          <w:sz w:val="16"/>
          <w:szCs w:val="16"/>
          <w:lang w:val="pt-BR"/>
        </w:rPr>
        <w:t xml:space="preserve"> (25646). C.P. Mauricio Fajardo Gómez.  </w:t>
      </w:r>
    </w:p>
    <w:p w14:paraId="389078A7" w14:textId="77777777" w:rsidR="00033071" w:rsidRPr="001256E1" w:rsidRDefault="00033071" w:rsidP="00033071">
      <w:pPr>
        <w:pStyle w:val="Textonotapie"/>
        <w:jc w:val="both"/>
        <w:rPr>
          <w:rFonts w:ascii="Verdana" w:hAnsi="Verdana"/>
          <w:sz w:val="16"/>
          <w:szCs w:val="16"/>
          <w:lang w:val="pt-BR"/>
        </w:rPr>
      </w:pPr>
    </w:p>
  </w:footnote>
  <w:footnote w:id="3">
    <w:p w14:paraId="19717597" w14:textId="77777777" w:rsidR="00033071" w:rsidRPr="001256E1" w:rsidRDefault="00033071" w:rsidP="00033071">
      <w:pPr>
        <w:pStyle w:val="Textonotapie"/>
        <w:ind w:firstLine="708"/>
        <w:jc w:val="both"/>
        <w:rPr>
          <w:rFonts w:ascii="Verdana" w:hAnsi="Verdana"/>
          <w:sz w:val="16"/>
          <w:szCs w:val="16"/>
          <w:lang w:val="pt-BR"/>
        </w:rPr>
      </w:pPr>
      <w:r w:rsidRPr="001256E1">
        <w:rPr>
          <w:rStyle w:val="Refdenotaalpie"/>
          <w:rFonts w:ascii="Verdana" w:hAnsi="Verdana"/>
          <w:sz w:val="16"/>
          <w:szCs w:val="16"/>
        </w:rPr>
        <w:footnoteRef/>
      </w:r>
      <w:r w:rsidRPr="001256E1">
        <w:rPr>
          <w:rFonts w:ascii="Verdana" w:hAnsi="Verdana"/>
          <w:sz w:val="16"/>
          <w:szCs w:val="16"/>
          <w:lang w:val="pt-BR"/>
        </w:rPr>
        <w:t xml:space="preserve"> Corte Constitucional. Sentencia C-415 de 1994. M.P. Eduardo </w:t>
      </w:r>
      <w:r w:rsidRPr="001256E1">
        <w:rPr>
          <w:rFonts w:ascii="Verdana" w:hAnsi="Verdana"/>
          <w:sz w:val="16"/>
          <w:szCs w:val="16"/>
          <w:lang w:val="pt-BR"/>
        </w:rPr>
        <w:t>Cifuentes Muñoz.</w:t>
      </w:r>
    </w:p>
  </w:footnote>
  <w:footnote w:id="4">
    <w:p w14:paraId="30B8D568" w14:textId="77777777" w:rsidR="00033071" w:rsidRPr="001256E1" w:rsidRDefault="00033071" w:rsidP="00033071">
      <w:pPr>
        <w:pStyle w:val="Textonotapie"/>
        <w:ind w:firstLine="708"/>
        <w:jc w:val="both"/>
        <w:rPr>
          <w:rFonts w:ascii="Verdana" w:hAnsi="Verdana"/>
          <w:sz w:val="16"/>
          <w:szCs w:val="16"/>
          <w:lang w:val="pt-BR"/>
        </w:rPr>
      </w:pPr>
      <w:r w:rsidRPr="001256E1">
        <w:rPr>
          <w:rStyle w:val="Refdenotaalpie"/>
          <w:rFonts w:ascii="Verdana" w:hAnsi="Verdana"/>
          <w:sz w:val="16"/>
          <w:szCs w:val="16"/>
        </w:rPr>
        <w:footnoteRef/>
      </w:r>
      <w:r w:rsidRPr="001256E1">
        <w:rPr>
          <w:rFonts w:ascii="Verdana" w:hAnsi="Verdana"/>
          <w:sz w:val="16"/>
          <w:szCs w:val="16"/>
          <w:lang w:val="pt-BR"/>
        </w:rPr>
        <w:t xml:space="preserve"> Ibidem.</w:t>
      </w:r>
    </w:p>
    <w:p w14:paraId="3DDFCF6C" w14:textId="77777777" w:rsidR="00033071" w:rsidRPr="001256E1" w:rsidRDefault="00033071" w:rsidP="00033071">
      <w:pPr>
        <w:pStyle w:val="Textonotapie"/>
        <w:jc w:val="both"/>
        <w:rPr>
          <w:rFonts w:ascii="Verdana" w:hAnsi="Verdana"/>
          <w:sz w:val="16"/>
          <w:szCs w:val="16"/>
          <w:lang w:val="pt-BR"/>
        </w:rPr>
      </w:pPr>
    </w:p>
  </w:footnote>
  <w:footnote w:id="5">
    <w:p w14:paraId="4E253781" w14:textId="77777777" w:rsidR="00033071" w:rsidRPr="001256E1" w:rsidRDefault="00033071" w:rsidP="00033071">
      <w:pPr>
        <w:pStyle w:val="Textonotapie"/>
        <w:ind w:firstLine="708"/>
        <w:jc w:val="both"/>
        <w:rPr>
          <w:rFonts w:ascii="Verdana" w:hAnsi="Verdana"/>
          <w:sz w:val="16"/>
          <w:szCs w:val="16"/>
          <w:lang w:val="es-CO"/>
        </w:rPr>
      </w:pPr>
      <w:r w:rsidRPr="001256E1">
        <w:rPr>
          <w:rStyle w:val="Refdenotaalpie"/>
          <w:rFonts w:ascii="Verdana" w:hAnsi="Verdana"/>
          <w:sz w:val="16"/>
          <w:szCs w:val="16"/>
        </w:rPr>
        <w:footnoteRef/>
      </w:r>
      <w:r w:rsidRPr="001256E1">
        <w:rPr>
          <w:rFonts w:ascii="Verdana" w:hAnsi="Verdana"/>
          <w:sz w:val="16"/>
          <w:szCs w:val="16"/>
          <w:lang w:val="pt-BR"/>
        </w:rPr>
        <w:t xml:space="preserve"> Corte Constitucional. </w:t>
      </w:r>
      <w:r w:rsidRPr="001256E1">
        <w:rPr>
          <w:rFonts w:ascii="Verdana" w:hAnsi="Verdana"/>
          <w:sz w:val="16"/>
          <w:szCs w:val="16"/>
        </w:rPr>
        <w:t xml:space="preserve">Sentencia C-780 de 2001. </w:t>
      </w:r>
      <w:r w:rsidRPr="001256E1">
        <w:rPr>
          <w:rFonts w:ascii="Verdana" w:hAnsi="Verdana"/>
          <w:sz w:val="16"/>
          <w:szCs w:val="16"/>
          <w:lang w:val="es-CO"/>
        </w:rPr>
        <w:t xml:space="preserve">M.P. Jaime Córdoba Triviño. </w:t>
      </w:r>
    </w:p>
    <w:p w14:paraId="04CF1E78" w14:textId="77777777" w:rsidR="00033071" w:rsidRPr="001256E1" w:rsidRDefault="00033071" w:rsidP="00033071">
      <w:pPr>
        <w:pStyle w:val="Textonotapie"/>
        <w:jc w:val="both"/>
        <w:rPr>
          <w:rFonts w:ascii="Verdana" w:hAnsi="Verdana"/>
          <w:sz w:val="16"/>
          <w:szCs w:val="16"/>
          <w:lang w:val="es-CO"/>
        </w:rPr>
      </w:pPr>
    </w:p>
  </w:footnote>
  <w:footnote w:id="6">
    <w:p w14:paraId="18D08377" w14:textId="77777777" w:rsidR="00033071" w:rsidRPr="001256E1" w:rsidRDefault="00033071" w:rsidP="00033071">
      <w:pPr>
        <w:pStyle w:val="NormalWeb"/>
        <w:spacing w:before="0" w:beforeAutospacing="0" w:after="0" w:afterAutospacing="0"/>
        <w:ind w:firstLine="708"/>
        <w:jc w:val="both"/>
        <w:rPr>
          <w:rFonts w:ascii="Verdana" w:eastAsia="Calibri" w:hAnsi="Verdana" w:cs="Arial"/>
          <w:sz w:val="16"/>
          <w:szCs w:val="16"/>
          <w:lang w:val="es-ES" w:eastAsia="en-US"/>
        </w:rPr>
      </w:pPr>
      <w:r w:rsidRPr="001256E1">
        <w:rPr>
          <w:rStyle w:val="Refdenotaalpie"/>
          <w:rFonts w:ascii="Verdana" w:eastAsiaTheme="majorEastAsia" w:hAnsi="Verdana"/>
          <w:sz w:val="16"/>
          <w:szCs w:val="16"/>
        </w:rPr>
        <w:footnoteRef/>
      </w:r>
      <w:r w:rsidRPr="001256E1">
        <w:rPr>
          <w:rFonts w:ascii="Verdana" w:hAnsi="Verdana"/>
          <w:sz w:val="16"/>
          <w:szCs w:val="16"/>
        </w:rPr>
        <w:t xml:space="preserve"> </w:t>
      </w:r>
      <w:r w:rsidRPr="001256E1">
        <w:rPr>
          <w:rFonts w:ascii="Verdana" w:eastAsia="Calibri" w:hAnsi="Verdana" w:cs="Arial"/>
          <w:sz w:val="16"/>
          <w:szCs w:val="16"/>
          <w:lang w:val="es-ES" w:eastAsia="en-US"/>
        </w:rPr>
        <w:t>Ley 80 de 1993: «Artículo 8: 1o. Son inhábiles para participar en licitaciones o concursos y para celebrar contratos con las entidades estatales: </w:t>
      </w:r>
    </w:p>
    <w:p w14:paraId="1250239B" w14:textId="77777777" w:rsidR="00033071" w:rsidRPr="001256E1" w:rsidRDefault="00033071" w:rsidP="0003307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a) Las personas que se hallen inhabilitadas para contratar por la Constitución y las leyes. </w:t>
      </w:r>
    </w:p>
    <w:p w14:paraId="2772ADB4" w14:textId="77777777" w:rsidR="00033071" w:rsidRPr="001256E1" w:rsidRDefault="00033071" w:rsidP="0003307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b) Quienes participaron en las licitaciones o concursos o celebraron los contratos de que trata el literal anterior estando inhabilitados. </w:t>
      </w:r>
    </w:p>
    <w:p w14:paraId="757E954C" w14:textId="77777777" w:rsidR="00033071" w:rsidRPr="001256E1" w:rsidRDefault="00033071" w:rsidP="0003307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c) Quienes dieron lugar a la declaratoria de caducidad. </w:t>
      </w:r>
    </w:p>
    <w:p w14:paraId="14328CAF" w14:textId="77777777" w:rsidR="00033071" w:rsidRPr="00D65676" w:rsidRDefault="00033071" w:rsidP="00033071">
      <w:pPr>
        <w:pStyle w:val="NormalWeb"/>
        <w:spacing w:before="0" w:beforeAutospacing="0" w:after="0" w:afterAutospacing="0"/>
        <w:jc w:val="both"/>
        <w:rPr>
          <w:rFonts w:ascii="Verdana" w:eastAsia="Calibri" w:hAnsi="Verdana" w:cs="Arial"/>
          <w:sz w:val="14"/>
          <w:szCs w:val="14"/>
          <w:lang w:val="es-ES" w:eastAsia="en-US"/>
        </w:rPr>
      </w:pPr>
      <w:r w:rsidRPr="001256E1">
        <w:rPr>
          <w:rFonts w:ascii="Verdana" w:eastAsia="Calibri" w:hAnsi="Verdana" w:cs="Arial"/>
          <w:sz w:val="16"/>
          <w:szCs w:val="16"/>
          <w:lang w:val="es-ES" w:eastAsia="en-US"/>
        </w:rPr>
        <w:t>  </w:t>
      </w:r>
      <w:r w:rsidRPr="00D65676">
        <w:rPr>
          <w:rFonts w:ascii="Verdana" w:eastAsia="Calibri" w:hAnsi="Verdana" w:cs="Arial"/>
          <w:sz w:val="14"/>
          <w:szCs w:val="14"/>
          <w:lang w:val="es-ES" w:eastAsia="en-US"/>
        </w:rPr>
        <w:tab/>
        <w:t>d) Quienes en sentencia judicial hayan sido condenados a la pena accesoria de interdicción de derechos y funciones públicas y quienes hayan sido sancionados disciplinariamente con destitución. </w:t>
      </w:r>
    </w:p>
    <w:p w14:paraId="724BC3A7" w14:textId="77777777" w:rsidR="00033071" w:rsidRPr="00D65676" w:rsidRDefault="00033071" w:rsidP="00033071">
      <w:pPr>
        <w:pStyle w:val="NormalWeb"/>
        <w:spacing w:before="0" w:beforeAutospacing="0" w:after="0" w:afterAutospacing="0"/>
        <w:jc w:val="both"/>
        <w:rPr>
          <w:rFonts w:ascii="Verdana" w:eastAsia="Calibri" w:hAnsi="Verdana" w:cs="Arial"/>
          <w:sz w:val="14"/>
          <w:szCs w:val="14"/>
          <w:lang w:val="es-ES" w:eastAsia="en-US"/>
        </w:rPr>
      </w:pPr>
      <w:r w:rsidRPr="00D65676">
        <w:rPr>
          <w:rFonts w:ascii="Verdana" w:eastAsia="Calibri" w:hAnsi="Verdana" w:cs="Arial"/>
          <w:sz w:val="14"/>
          <w:szCs w:val="14"/>
          <w:lang w:val="es-ES" w:eastAsia="en-US"/>
        </w:rPr>
        <w:t>  </w:t>
      </w:r>
      <w:r w:rsidRPr="00D65676">
        <w:rPr>
          <w:rFonts w:ascii="Verdana" w:eastAsia="Calibri" w:hAnsi="Verdana" w:cs="Arial"/>
          <w:sz w:val="14"/>
          <w:szCs w:val="14"/>
          <w:lang w:val="es-ES" w:eastAsia="en-US"/>
        </w:rPr>
        <w:tab/>
        <w:t>e) Quienes sin justa causa se abstengan de suscribir el contrato estatal adjudicado. </w:t>
      </w:r>
    </w:p>
    <w:p w14:paraId="5F9DD2B4" w14:textId="77777777" w:rsidR="00033071" w:rsidRPr="00D65676" w:rsidRDefault="00033071" w:rsidP="00033071">
      <w:pPr>
        <w:pStyle w:val="NormalWeb"/>
        <w:spacing w:before="0" w:beforeAutospacing="0" w:after="0" w:afterAutospacing="0"/>
        <w:jc w:val="both"/>
        <w:rPr>
          <w:rFonts w:ascii="Verdana" w:eastAsia="Calibri" w:hAnsi="Verdana" w:cs="Arial"/>
          <w:sz w:val="14"/>
          <w:szCs w:val="14"/>
          <w:lang w:val="es-ES" w:eastAsia="en-US"/>
        </w:rPr>
      </w:pPr>
      <w:r w:rsidRPr="00D65676">
        <w:rPr>
          <w:rFonts w:ascii="Verdana" w:eastAsia="Calibri" w:hAnsi="Verdana" w:cs="Arial"/>
          <w:sz w:val="14"/>
          <w:szCs w:val="14"/>
          <w:lang w:val="es-ES" w:eastAsia="en-US"/>
        </w:rPr>
        <w:t>  </w:t>
      </w:r>
      <w:r w:rsidRPr="00D65676">
        <w:rPr>
          <w:rFonts w:ascii="Verdana" w:eastAsia="Calibri" w:hAnsi="Verdana" w:cs="Arial"/>
          <w:sz w:val="14"/>
          <w:szCs w:val="14"/>
          <w:lang w:val="es-ES" w:eastAsia="en-US"/>
        </w:rPr>
        <w:tab/>
        <w:t>f) Los servidores públicos. </w:t>
      </w:r>
    </w:p>
    <w:p w14:paraId="44A9391A" w14:textId="77777777" w:rsidR="00033071" w:rsidRPr="00D65676" w:rsidRDefault="00033071" w:rsidP="00033071">
      <w:pPr>
        <w:pStyle w:val="NormalWeb"/>
        <w:spacing w:before="0" w:beforeAutospacing="0" w:after="0" w:afterAutospacing="0"/>
        <w:jc w:val="both"/>
        <w:rPr>
          <w:rFonts w:ascii="Verdana" w:eastAsia="Calibri" w:hAnsi="Verdana" w:cs="Arial"/>
          <w:sz w:val="14"/>
          <w:szCs w:val="14"/>
          <w:lang w:val="es-ES" w:eastAsia="en-US"/>
        </w:rPr>
      </w:pPr>
      <w:r w:rsidRPr="00D65676">
        <w:rPr>
          <w:rFonts w:ascii="Verdana" w:eastAsia="Calibri" w:hAnsi="Verdana" w:cs="Arial"/>
          <w:sz w:val="14"/>
          <w:szCs w:val="14"/>
          <w:lang w:val="es-ES" w:eastAsia="en-US"/>
        </w:rPr>
        <w:t>  </w:t>
      </w:r>
      <w:r w:rsidRPr="00D65676">
        <w:rPr>
          <w:rFonts w:ascii="Verdana" w:eastAsia="Calibri" w:hAnsi="Verdana" w:cs="Arial"/>
          <w:sz w:val="14"/>
          <w:szCs w:val="14"/>
          <w:lang w:val="es-ES" w:eastAsia="en-US"/>
        </w:rPr>
        <w:tab/>
        <w:t>g) Quienes sean cónyuges o compañeros permanentes y quienes se encuentren dentro del segundo grado de consanguinidad o segundo de afinidad con cualquier otra persona que formalmente haya presentado propuesta para una misma licitación o concurso. </w:t>
      </w:r>
    </w:p>
    <w:p w14:paraId="2B0081FF" w14:textId="77777777" w:rsidR="00033071" w:rsidRPr="00D65676" w:rsidRDefault="00033071" w:rsidP="00033071">
      <w:pPr>
        <w:pStyle w:val="NormalWeb"/>
        <w:spacing w:before="0" w:beforeAutospacing="0" w:after="0" w:afterAutospacing="0"/>
        <w:ind w:firstLine="708"/>
        <w:jc w:val="both"/>
        <w:rPr>
          <w:rFonts w:ascii="Verdana" w:eastAsia="Calibri" w:hAnsi="Verdana" w:cs="Arial"/>
          <w:sz w:val="14"/>
          <w:szCs w:val="14"/>
          <w:lang w:val="es-ES" w:eastAsia="en-US"/>
        </w:rPr>
      </w:pPr>
      <w:r w:rsidRPr="00D65676">
        <w:rPr>
          <w:rFonts w:ascii="Verdana" w:eastAsia="Calibri" w:hAnsi="Verdana" w:cs="Arial"/>
          <w:sz w:val="14"/>
          <w:szCs w:val="14"/>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4D87EE86" w14:textId="77777777" w:rsidR="00033071" w:rsidRPr="00D65676" w:rsidRDefault="00033071" w:rsidP="00033071">
      <w:pPr>
        <w:pStyle w:val="NormalWeb"/>
        <w:spacing w:before="0" w:beforeAutospacing="0" w:after="0" w:afterAutospacing="0"/>
        <w:jc w:val="both"/>
        <w:rPr>
          <w:rFonts w:ascii="Verdana" w:eastAsia="Calibri" w:hAnsi="Verdana" w:cs="Arial"/>
          <w:sz w:val="14"/>
          <w:szCs w:val="14"/>
          <w:lang w:val="es-ES" w:eastAsia="en-US"/>
        </w:rPr>
      </w:pPr>
      <w:r w:rsidRPr="00D65676">
        <w:rPr>
          <w:rFonts w:ascii="Verdana" w:eastAsia="Calibri" w:hAnsi="Verdana" w:cs="Arial"/>
          <w:sz w:val="14"/>
          <w:szCs w:val="14"/>
          <w:lang w:val="es-ES" w:eastAsia="en-US"/>
        </w:rPr>
        <w:t>  </w:t>
      </w:r>
      <w:r w:rsidRPr="00D65676">
        <w:rPr>
          <w:rFonts w:ascii="Verdana" w:eastAsia="Calibri" w:hAnsi="Verdana" w:cs="Arial"/>
          <w:sz w:val="14"/>
          <w:szCs w:val="14"/>
          <w:lang w:val="es-ES" w:eastAsia="en-US"/>
        </w:rPr>
        <w:tab/>
        <w:t>i) Los socios de sociedades de personas a las cuales se haya declarado la caducidad, así como las sociedades de personas de las que aquellos formen parte con posterioridad a dicha declaratoria. </w:t>
      </w:r>
    </w:p>
    <w:p w14:paraId="72D6712E" w14:textId="77777777" w:rsidR="00033071" w:rsidRPr="00D65676" w:rsidRDefault="00033071" w:rsidP="00033071">
      <w:pPr>
        <w:pStyle w:val="NormalWeb"/>
        <w:spacing w:before="0" w:beforeAutospacing="0" w:after="0" w:afterAutospacing="0"/>
        <w:jc w:val="both"/>
        <w:rPr>
          <w:rFonts w:ascii="Verdana" w:eastAsia="Calibri" w:hAnsi="Verdana" w:cs="Arial"/>
          <w:sz w:val="14"/>
          <w:szCs w:val="14"/>
          <w:lang w:val="es-ES" w:eastAsia="en-US"/>
        </w:rPr>
      </w:pPr>
      <w:r w:rsidRPr="00D65676">
        <w:rPr>
          <w:rFonts w:ascii="Verdana" w:eastAsia="Calibri" w:hAnsi="Verdana" w:cs="Arial"/>
          <w:sz w:val="14"/>
          <w:szCs w:val="14"/>
          <w:lang w:val="es-ES" w:eastAsia="en-US"/>
        </w:rPr>
        <w:t>  </w:t>
      </w:r>
      <w:r w:rsidRPr="00D65676">
        <w:rPr>
          <w:rFonts w:ascii="Verdana" w:eastAsia="Calibri" w:hAnsi="Verdana" w:cs="Arial"/>
          <w:sz w:val="14"/>
          <w:szCs w:val="14"/>
          <w:lang w:val="es-ES" w:eastAsia="en-US"/>
        </w:rPr>
        <w:tab/>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27C0DE22" w14:textId="77777777" w:rsidR="00033071" w:rsidRPr="00D65676" w:rsidRDefault="00033071" w:rsidP="00033071">
      <w:pPr>
        <w:pStyle w:val="NormalWeb"/>
        <w:spacing w:before="0" w:beforeAutospacing="0" w:after="0" w:afterAutospacing="0"/>
        <w:jc w:val="both"/>
        <w:rPr>
          <w:rFonts w:ascii="Verdana" w:eastAsia="Calibri" w:hAnsi="Verdana" w:cs="Arial"/>
          <w:sz w:val="14"/>
          <w:szCs w:val="14"/>
          <w:lang w:val="es-ES" w:eastAsia="en-US"/>
        </w:rPr>
      </w:pPr>
      <w:r w:rsidRPr="00D65676">
        <w:rPr>
          <w:rFonts w:ascii="Verdana" w:eastAsia="Calibri" w:hAnsi="Verdana" w:cs="Arial"/>
          <w:sz w:val="14"/>
          <w:szCs w:val="14"/>
          <w:lang w:val="es-ES" w:eastAsia="en-US"/>
        </w:rPr>
        <w:t>  </w:t>
      </w:r>
      <w:r w:rsidRPr="00D65676">
        <w:rPr>
          <w:rFonts w:ascii="Verdana" w:eastAsia="Calibri" w:hAnsi="Verdana" w:cs="Arial"/>
          <w:sz w:val="14"/>
          <w:szCs w:val="14"/>
          <w:lang w:val="es-ES" w:eastAsia="en-US"/>
        </w:rPr>
        <w:tab/>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2D1691E6" w14:textId="77777777" w:rsidR="00033071" w:rsidRPr="00D65676" w:rsidRDefault="00033071" w:rsidP="00033071">
      <w:pPr>
        <w:pStyle w:val="NormalWeb"/>
        <w:spacing w:before="0" w:beforeAutospacing="0" w:after="0" w:afterAutospacing="0"/>
        <w:jc w:val="both"/>
        <w:rPr>
          <w:rFonts w:ascii="Verdana" w:eastAsia="Calibri" w:hAnsi="Verdana" w:cs="Arial"/>
          <w:sz w:val="14"/>
          <w:szCs w:val="14"/>
          <w:lang w:val="es-ES" w:eastAsia="en-US"/>
        </w:rPr>
      </w:pPr>
      <w:r w:rsidRPr="00D65676">
        <w:rPr>
          <w:rFonts w:ascii="Verdana" w:eastAsia="Calibri" w:hAnsi="Verdana" w:cs="Arial"/>
          <w:sz w:val="14"/>
          <w:szCs w:val="14"/>
          <w:lang w:val="es-ES" w:eastAsia="en-US"/>
        </w:rPr>
        <w:t> </w:t>
      </w:r>
      <w:r w:rsidRPr="00D65676">
        <w:rPr>
          <w:rFonts w:ascii="Verdana" w:eastAsia="Calibri" w:hAnsi="Verdana" w:cs="Arial"/>
          <w:sz w:val="14"/>
          <w:szCs w:val="14"/>
          <w:lang w:val="es-ES" w:eastAsia="en-US"/>
        </w:rPr>
        <w:tab/>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D65676">
        <w:rPr>
          <w:rFonts w:ascii="Verdana" w:eastAsia="Calibri" w:hAnsi="Verdana" w:cs="Arial"/>
          <w:sz w:val="14"/>
          <w:szCs w:val="14"/>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D65676">
        <w:rPr>
          <w:rFonts w:ascii="Verdana" w:eastAsia="Calibri" w:hAnsi="Verdana" w:cs="Arial"/>
          <w:sz w:val="14"/>
          <w:szCs w:val="14"/>
          <w:lang w:val="es-ES" w:eastAsia="en-US"/>
        </w:rPr>
        <w:softHyphen/>
        <w:t>cepción de las sociedades anónimas abiertas. También se considerarán inhabilitadas para contratar, las personas jurídicas sobre las cuales se haya ordenado la suspensión de la perso</w:t>
      </w:r>
      <w:r w:rsidRPr="00D65676">
        <w:rPr>
          <w:rFonts w:ascii="Verdana" w:eastAsia="Calibri" w:hAnsi="Verdana" w:cs="Arial"/>
          <w:sz w:val="14"/>
          <w:szCs w:val="14"/>
          <w:lang w:val="es-ES" w:eastAsia="en-US"/>
        </w:rPr>
        <w:softHyphen/>
        <w:t>nería jurídica en los términos de ley, o cuyos representantes legales, ad</w:t>
      </w:r>
      <w:r w:rsidRPr="00D65676">
        <w:rPr>
          <w:rFonts w:ascii="Verdana" w:eastAsia="Calibri" w:hAnsi="Verdana" w:cs="Arial"/>
          <w:sz w:val="14"/>
          <w:szCs w:val="14"/>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D65676">
        <w:rPr>
          <w:rFonts w:ascii="Verdana" w:eastAsia="Calibri" w:hAnsi="Verdana" w:cs="Arial"/>
          <w:sz w:val="14"/>
          <w:szCs w:val="14"/>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55E7EC56" w14:textId="77777777" w:rsidR="00033071" w:rsidRPr="00D65676" w:rsidRDefault="00033071" w:rsidP="00033071">
      <w:pPr>
        <w:pStyle w:val="NormalWeb"/>
        <w:spacing w:before="0" w:beforeAutospacing="0" w:after="0" w:afterAutospacing="0"/>
        <w:jc w:val="both"/>
        <w:rPr>
          <w:rFonts w:ascii="Verdana" w:eastAsia="Calibri" w:hAnsi="Verdana" w:cs="Arial"/>
          <w:sz w:val="14"/>
          <w:szCs w:val="14"/>
          <w:lang w:val="es-ES" w:eastAsia="en-US"/>
        </w:rPr>
      </w:pPr>
      <w:r w:rsidRPr="00D65676">
        <w:rPr>
          <w:rFonts w:ascii="Verdana" w:eastAsia="Calibri" w:hAnsi="Verdana" w:cs="Arial"/>
          <w:sz w:val="14"/>
          <w:szCs w:val="14"/>
          <w:lang w:val="es-ES" w:eastAsia="en-US"/>
        </w:rPr>
        <w:t>[…]</w:t>
      </w:r>
    </w:p>
    <w:p w14:paraId="3D627988" w14:textId="77777777" w:rsidR="00033071" w:rsidRPr="00D65676" w:rsidRDefault="00033071" w:rsidP="00033071">
      <w:pPr>
        <w:pStyle w:val="NormalWeb"/>
        <w:spacing w:before="0" w:beforeAutospacing="0" w:after="0" w:afterAutospacing="0"/>
        <w:ind w:firstLine="708"/>
        <w:jc w:val="both"/>
        <w:rPr>
          <w:rFonts w:ascii="Verdana" w:eastAsia="Calibri" w:hAnsi="Verdana" w:cs="Arial"/>
          <w:sz w:val="14"/>
          <w:szCs w:val="14"/>
          <w:lang w:val="es-ES" w:eastAsia="en-US"/>
        </w:rPr>
      </w:pPr>
      <w:r w:rsidRPr="00D65676">
        <w:rPr>
          <w:rFonts w:ascii="Verdana" w:eastAsia="Calibri" w:hAnsi="Verdana" w:cs="Arial"/>
          <w:sz w:val="14"/>
          <w:szCs w:val="14"/>
          <w:lang w:val="es-ES" w:eastAsia="en-US"/>
        </w:rPr>
        <w:t>2o. Tampoco podrán participar en licitaciones o concursos ni celebrar contratos estatales con la entidad respectiva: </w:t>
      </w:r>
    </w:p>
    <w:p w14:paraId="05DD2B87" w14:textId="77777777" w:rsidR="00033071" w:rsidRPr="00D65676" w:rsidRDefault="00033071" w:rsidP="00033071">
      <w:pPr>
        <w:pStyle w:val="NormalWeb"/>
        <w:spacing w:before="0" w:beforeAutospacing="0" w:after="0" w:afterAutospacing="0"/>
        <w:jc w:val="both"/>
        <w:rPr>
          <w:rFonts w:ascii="Verdana" w:eastAsia="Calibri" w:hAnsi="Verdana" w:cs="Arial"/>
          <w:sz w:val="14"/>
          <w:szCs w:val="14"/>
          <w:lang w:val="es-ES" w:eastAsia="en-US"/>
        </w:rPr>
      </w:pPr>
      <w:r w:rsidRPr="00D65676">
        <w:rPr>
          <w:rFonts w:ascii="Verdana" w:eastAsia="Calibri" w:hAnsi="Verdana" w:cs="Arial"/>
          <w:sz w:val="14"/>
          <w:szCs w:val="14"/>
          <w:lang w:val="es-ES" w:eastAsia="en-US"/>
        </w:rPr>
        <w:t>  </w:t>
      </w:r>
      <w:r w:rsidRPr="00D65676">
        <w:rPr>
          <w:rFonts w:ascii="Verdana" w:eastAsia="Calibri" w:hAnsi="Verdana" w:cs="Arial"/>
          <w:sz w:val="14"/>
          <w:szCs w:val="14"/>
          <w:lang w:val="es-ES" w:eastAsia="en-US"/>
        </w:rPr>
        <w:tab/>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10DB9AB6" w14:textId="77777777" w:rsidR="00033071" w:rsidRPr="00D65676" w:rsidRDefault="00033071" w:rsidP="00033071">
      <w:pPr>
        <w:pStyle w:val="NormalWeb"/>
        <w:spacing w:before="0" w:beforeAutospacing="0" w:after="0" w:afterAutospacing="0"/>
        <w:jc w:val="both"/>
        <w:rPr>
          <w:rFonts w:ascii="Verdana" w:eastAsia="Calibri" w:hAnsi="Verdana" w:cs="Arial"/>
          <w:sz w:val="14"/>
          <w:szCs w:val="14"/>
          <w:lang w:val="es-ES" w:eastAsia="en-US"/>
        </w:rPr>
      </w:pPr>
      <w:r w:rsidRPr="00D65676">
        <w:rPr>
          <w:rFonts w:ascii="Verdana" w:eastAsia="Calibri" w:hAnsi="Verdana" w:cs="Arial"/>
          <w:sz w:val="14"/>
          <w:szCs w:val="14"/>
          <w:lang w:val="es-ES" w:eastAsia="en-US"/>
        </w:rPr>
        <w:t>  </w:t>
      </w:r>
      <w:r w:rsidRPr="00D65676">
        <w:rPr>
          <w:rFonts w:ascii="Verdana" w:eastAsia="Calibri" w:hAnsi="Verdana" w:cs="Arial"/>
          <w:sz w:val="14"/>
          <w:szCs w:val="14"/>
          <w:lang w:val="es-ES" w:eastAsia="en-US"/>
        </w:rPr>
        <w:tab/>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53CAE23A" w14:textId="77777777" w:rsidR="00033071" w:rsidRPr="00D65676" w:rsidRDefault="00033071" w:rsidP="00033071">
      <w:pPr>
        <w:pStyle w:val="NormalWeb"/>
        <w:spacing w:before="0" w:beforeAutospacing="0" w:after="0" w:afterAutospacing="0"/>
        <w:jc w:val="both"/>
        <w:rPr>
          <w:rFonts w:ascii="Verdana" w:eastAsia="Calibri" w:hAnsi="Verdana" w:cs="Arial"/>
          <w:sz w:val="14"/>
          <w:szCs w:val="14"/>
          <w:lang w:val="es-ES" w:eastAsia="en-US"/>
        </w:rPr>
      </w:pPr>
      <w:r w:rsidRPr="00D65676">
        <w:rPr>
          <w:rFonts w:ascii="Verdana" w:eastAsia="Calibri" w:hAnsi="Verdana" w:cs="Arial"/>
          <w:sz w:val="14"/>
          <w:szCs w:val="14"/>
          <w:lang w:val="es-ES" w:eastAsia="en-US"/>
        </w:rPr>
        <w:t>  </w:t>
      </w:r>
      <w:r w:rsidRPr="00D65676">
        <w:rPr>
          <w:rFonts w:ascii="Verdana" w:eastAsia="Calibri" w:hAnsi="Verdana" w:cs="Arial"/>
          <w:sz w:val="14"/>
          <w:szCs w:val="14"/>
          <w:lang w:val="es-ES" w:eastAsia="en-US"/>
        </w:rPr>
        <w:tab/>
        <w:t>c) El cónyuge, compañero o compañera permanente del servidor público en los niveles directivo, asesor, ejecutivo, o de un miembro de la junta o consejo directivo, o de quien ejerza funciones de control interno o de control fiscal. </w:t>
      </w:r>
    </w:p>
    <w:p w14:paraId="2955A80F" w14:textId="77777777" w:rsidR="00033071" w:rsidRPr="001256E1" w:rsidRDefault="00033071" w:rsidP="0003307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561D0AE2" w14:textId="77777777" w:rsidR="00033071" w:rsidRPr="001256E1" w:rsidRDefault="00033071" w:rsidP="0003307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e) Los miembros de las juntas o consejos directivos. Esta incompatibilidad sólo se predica respecto de la entidad a la cual prestan sus servicios y de las del sector administrativo al que la misma esté adscrita o vinculada. </w:t>
      </w:r>
    </w:p>
    <w:p w14:paraId="33376C39" w14:textId="77777777" w:rsidR="00033071" w:rsidRPr="00D65676" w:rsidRDefault="00033071" w:rsidP="00033071">
      <w:pPr>
        <w:pStyle w:val="NormalWeb"/>
        <w:spacing w:before="0" w:beforeAutospacing="0" w:after="0" w:afterAutospacing="0"/>
        <w:ind w:firstLine="708"/>
        <w:jc w:val="both"/>
        <w:rPr>
          <w:rFonts w:ascii="Verdana" w:eastAsia="Calibri" w:hAnsi="Verdana" w:cs="Arial"/>
          <w:sz w:val="14"/>
          <w:szCs w:val="14"/>
          <w:lang w:val="pt-BR" w:eastAsia="en-US"/>
        </w:rPr>
      </w:pPr>
      <w:r w:rsidRPr="001256E1">
        <w:rPr>
          <w:rFonts w:ascii="Verdana" w:eastAsia="Calibri" w:hAnsi="Verdana" w:cs="Arial"/>
          <w:sz w:val="16"/>
          <w:szCs w:val="16"/>
          <w:lang w:val="es-ES" w:eastAsia="en-US"/>
        </w:rPr>
        <w:t xml:space="preserve">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w:t>
      </w:r>
      <w:r w:rsidRPr="00D65676">
        <w:rPr>
          <w:rFonts w:ascii="Verdana" w:eastAsia="Calibri" w:hAnsi="Verdana" w:cs="Arial"/>
          <w:sz w:val="14"/>
          <w:szCs w:val="14"/>
          <w:lang w:val="es-ES" w:eastAsia="en-US"/>
        </w:rPr>
        <w:t xml:space="preserve">encuentren dentro del primer grado de consanguinidad, primero de afinidad, o primero civil del ex empleado público. </w:t>
      </w:r>
      <w:r w:rsidRPr="00D65676">
        <w:rPr>
          <w:rFonts w:ascii="Verdana" w:eastAsia="Calibri" w:hAnsi="Verdana" w:cs="Arial"/>
          <w:sz w:val="14"/>
          <w:szCs w:val="14"/>
          <w:lang w:val="pt-BR" w:eastAsia="en-US"/>
        </w:rPr>
        <w:t xml:space="preserve">(…). </w:t>
      </w:r>
    </w:p>
    <w:p w14:paraId="703FA4AA" w14:textId="77777777" w:rsidR="00033071" w:rsidRPr="00D65676" w:rsidRDefault="00033071" w:rsidP="00033071">
      <w:pPr>
        <w:pStyle w:val="Textonotapie"/>
        <w:jc w:val="both"/>
        <w:rPr>
          <w:rFonts w:ascii="Verdana" w:hAnsi="Verdana"/>
          <w:sz w:val="14"/>
          <w:szCs w:val="14"/>
          <w:lang w:val="pt-BR"/>
        </w:rPr>
      </w:pPr>
    </w:p>
  </w:footnote>
  <w:footnote w:id="7">
    <w:p w14:paraId="549D056B" w14:textId="77777777" w:rsidR="00033071" w:rsidRPr="00D65676" w:rsidRDefault="00033071" w:rsidP="00033071">
      <w:pPr>
        <w:pStyle w:val="Textonotapie"/>
        <w:ind w:firstLine="708"/>
        <w:jc w:val="both"/>
        <w:rPr>
          <w:rFonts w:ascii="Verdana" w:hAnsi="Verdana" w:cs="Arial"/>
          <w:sz w:val="14"/>
          <w:szCs w:val="14"/>
          <w:lang w:val="pt-BR"/>
        </w:rPr>
      </w:pPr>
      <w:r w:rsidRPr="00D65676">
        <w:rPr>
          <w:rStyle w:val="Refdenotaalpie"/>
          <w:rFonts w:ascii="Verdana" w:hAnsi="Verdana"/>
          <w:sz w:val="14"/>
          <w:szCs w:val="14"/>
        </w:rPr>
        <w:footnoteRef/>
      </w:r>
      <w:r w:rsidRPr="00D65676">
        <w:rPr>
          <w:rFonts w:ascii="Verdana" w:hAnsi="Verdana"/>
          <w:sz w:val="14"/>
          <w:szCs w:val="14"/>
          <w:lang w:val="pt-BR"/>
        </w:rPr>
        <w:t xml:space="preserve"> </w:t>
      </w:r>
      <w:r w:rsidRPr="00D65676">
        <w:rPr>
          <w:rFonts w:ascii="Verdana" w:hAnsi="Verdana" w:cs="Arial"/>
          <w:sz w:val="14"/>
          <w:szCs w:val="14"/>
          <w:lang w:val="pt-BR"/>
        </w:rPr>
        <w:t>Ibídem. p. 69.</w:t>
      </w:r>
    </w:p>
    <w:p w14:paraId="26E5B6DC" w14:textId="77777777" w:rsidR="00033071" w:rsidRPr="001256E1" w:rsidRDefault="00033071" w:rsidP="00033071">
      <w:pPr>
        <w:pStyle w:val="Textonotapie"/>
        <w:ind w:firstLine="708"/>
        <w:jc w:val="both"/>
        <w:rPr>
          <w:rFonts w:ascii="Verdana" w:hAnsi="Verdana"/>
          <w:sz w:val="16"/>
          <w:szCs w:val="16"/>
          <w:lang w:val="pt-BR"/>
        </w:rPr>
      </w:pPr>
    </w:p>
  </w:footnote>
  <w:footnote w:id="8">
    <w:p w14:paraId="55A4D95B" w14:textId="77777777" w:rsidR="00033071" w:rsidRPr="00D65676" w:rsidRDefault="00033071" w:rsidP="00033071">
      <w:pPr>
        <w:pStyle w:val="Textonotapie"/>
        <w:ind w:firstLine="708"/>
        <w:jc w:val="both"/>
        <w:rPr>
          <w:rFonts w:ascii="Verdana" w:hAnsi="Verdana" w:cs="Arial"/>
          <w:sz w:val="14"/>
          <w:szCs w:val="14"/>
          <w:lang w:val="es-ES"/>
        </w:rPr>
      </w:pPr>
      <w:r w:rsidRPr="00D65676">
        <w:rPr>
          <w:rStyle w:val="Refdenotaalpie"/>
          <w:rFonts w:ascii="Verdana" w:hAnsi="Verdana"/>
          <w:sz w:val="14"/>
          <w:szCs w:val="14"/>
        </w:rPr>
        <w:footnoteRef/>
      </w:r>
      <w:r w:rsidRPr="00D65676">
        <w:rPr>
          <w:rFonts w:ascii="Verdana" w:hAnsi="Verdana"/>
          <w:sz w:val="14"/>
          <w:szCs w:val="14"/>
          <w:lang w:val="pt-BR"/>
        </w:rPr>
        <w:t xml:space="preserve"> </w:t>
      </w:r>
      <w:r w:rsidRPr="00D65676">
        <w:rPr>
          <w:rFonts w:ascii="Verdana" w:hAnsi="Verdana" w:cs="Arial"/>
          <w:sz w:val="14"/>
          <w:szCs w:val="14"/>
          <w:lang w:val="pt-BR"/>
        </w:rPr>
        <w:t xml:space="preserve">Corte Constitucional. Sentencia T-1039 de 2006. M.P. Humberto Sierra Porto. </w:t>
      </w:r>
      <w:r w:rsidRPr="00D65676">
        <w:rPr>
          <w:rFonts w:ascii="Verdana" w:hAnsi="Verdana" w:cs="Arial"/>
          <w:sz w:val="14"/>
          <w:szCs w:val="14"/>
          <w:lang w:val="es-ES"/>
        </w:rPr>
        <w:t xml:space="preserve">La Corte Constitucional ha mantenido este criterio en las sentencias: C-903 de 2008. M.P. Jaime Araujo Rentería; C-101 de 2018. M.P. Gloria Stella Ortiz Delgado; entre otras. </w:t>
      </w:r>
    </w:p>
    <w:p w14:paraId="3033642E" w14:textId="77777777" w:rsidR="00033071" w:rsidRPr="00D65676" w:rsidRDefault="00033071" w:rsidP="00033071">
      <w:pPr>
        <w:pStyle w:val="Textonotapie"/>
        <w:jc w:val="both"/>
        <w:rPr>
          <w:rFonts w:ascii="Verdana" w:hAnsi="Verdana" w:cs="Arial"/>
          <w:sz w:val="14"/>
          <w:szCs w:val="14"/>
          <w:lang w:val="es-ES"/>
        </w:rPr>
      </w:pPr>
    </w:p>
  </w:footnote>
  <w:footnote w:id="9">
    <w:p w14:paraId="3E9716AC" w14:textId="77777777" w:rsidR="00033071" w:rsidRPr="00D65676" w:rsidRDefault="00033071" w:rsidP="00033071">
      <w:pPr>
        <w:pStyle w:val="Textonotapie"/>
        <w:ind w:firstLine="708"/>
        <w:jc w:val="both"/>
        <w:rPr>
          <w:rFonts w:ascii="Verdana" w:hAnsi="Verdana" w:cs="Arial"/>
          <w:sz w:val="14"/>
          <w:szCs w:val="14"/>
          <w:lang w:val="es-ES"/>
        </w:rPr>
      </w:pPr>
      <w:r w:rsidRPr="00D65676">
        <w:rPr>
          <w:rStyle w:val="Refdenotaalpie"/>
          <w:rFonts w:ascii="Verdana" w:hAnsi="Verdana"/>
          <w:sz w:val="14"/>
          <w:szCs w:val="14"/>
        </w:rPr>
        <w:footnoteRef/>
      </w:r>
      <w:r w:rsidRPr="00D65676">
        <w:rPr>
          <w:rFonts w:ascii="Verdana" w:hAnsi="Verdana"/>
          <w:sz w:val="14"/>
          <w:szCs w:val="14"/>
        </w:rPr>
        <w:t xml:space="preserve"> </w:t>
      </w:r>
      <w:r w:rsidRPr="00D65676">
        <w:rPr>
          <w:rFonts w:ascii="Verdana" w:hAnsi="Verdana" w:cs="Arial"/>
          <w:sz w:val="14"/>
          <w:szCs w:val="14"/>
          <w:lang w:val="es-ES"/>
        </w:rPr>
        <w:t xml:space="preserve">Consejo de Estado. Sala de Consulta y Servicio Civil. Concepto del 30 de abril de 2015. Radicado: </w:t>
      </w:r>
      <w:r w:rsidRPr="00D65676">
        <w:rPr>
          <w:rFonts w:ascii="Verdana" w:hAnsi="Verdana" w:cs="Arial"/>
          <w:sz w:val="14"/>
          <w:szCs w:val="14"/>
          <w:lang w:val="es-CO"/>
        </w:rPr>
        <w:t>11001-03-06-000-2015-00058-00 (</w:t>
      </w:r>
      <w:r w:rsidRPr="00D65676">
        <w:rPr>
          <w:rFonts w:ascii="Verdana" w:hAnsi="Verdana" w:cs="Arial"/>
          <w:sz w:val="14"/>
          <w:szCs w:val="14"/>
          <w:lang w:val="es-ES"/>
        </w:rPr>
        <w:t>2251). C.P: Álvaro Namén Vargas.</w:t>
      </w:r>
    </w:p>
    <w:p w14:paraId="454D95C8" w14:textId="77777777" w:rsidR="00033071" w:rsidRPr="00D65676" w:rsidRDefault="00033071" w:rsidP="00033071">
      <w:pPr>
        <w:pStyle w:val="Textonotapie"/>
        <w:jc w:val="both"/>
        <w:rPr>
          <w:rFonts w:ascii="Verdana" w:hAnsi="Verdana"/>
          <w:sz w:val="14"/>
          <w:szCs w:val="14"/>
          <w:lang w:val="es-ES_tradnl"/>
        </w:rPr>
      </w:pPr>
    </w:p>
  </w:footnote>
  <w:footnote w:id="10">
    <w:p w14:paraId="4C77F691" w14:textId="77777777" w:rsidR="00033071" w:rsidRPr="00D65676" w:rsidRDefault="00033071" w:rsidP="00033071">
      <w:pPr>
        <w:pStyle w:val="Textonotapie"/>
        <w:ind w:firstLine="708"/>
        <w:jc w:val="both"/>
        <w:rPr>
          <w:rFonts w:ascii="Verdana" w:hAnsi="Verdana" w:cs="Arial"/>
          <w:sz w:val="14"/>
          <w:szCs w:val="14"/>
        </w:rPr>
      </w:pPr>
      <w:r w:rsidRPr="00D65676">
        <w:rPr>
          <w:rStyle w:val="Refdenotaalpie"/>
          <w:rFonts w:ascii="Verdana" w:hAnsi="Verdana"/>
          <w:sz w:val="14"/>
          <w:szCs w:val="14"/>
        </w:rPr>
        <w:footnoteRef/>
      </w:r>
      <w:r w:rsidRPr="00D65676">
        <w:rPr>
          <w:rFonts w:ascii="Verdana" w:hAnsi="Verdana"/>
          <w:sz w:val="14"/>
          <w:szCs w:val="14"/>
        </w:rPr>
        <w:t xml:space="preserve"> </w:t>
      </w:r>
      <w:r w:rsidRPr="00D65676">
        <w:rPr>
          <w:rFonts w:ascii="Verdana" w:hAnsi="Verdana" w:cs="Arial"/>
          <w:sz w:val="14"/>
          <w:szCs w:val="14"/>
        </w:rPr>
        <w:t xml:space="preserve">Consejo de Estado. Sala de lo Contencioso Administrativo. Sección Tercera. Subsección A. Sentencia del 24 de junio de 2015. Radicado: </w:t>
      </w:r>
      <w:r w:rsidRPr="00D65676">
        <w:rPr>
          <w:rFonts w:ascii="Verdana" w:hAnsi="Verdana" w:cs="Arial"/>
          <w:sz w:val="14"/>
          <w:szCs w:val="14"/>
          <w:lang w:val="es-CO"/>
        </w:rPr>
        <w:t>05001-23-31-000-1997-02636-01</w:t>
      </w:r>
      <w:r w:rsidRPr="00D65676">
        <w:rPr>
          <w:rFonts w:ascii="Verdana" w:hAnsi="Verdana" w:cs="Arial"/>
          <w:sz w:val="14"/>
          <w:szCs w:val="14"/>
        </w:rPr>
        <w:t xml:space="preserve"> (40.635). C.P: Hernán Andrade Rincón (E).</w:t>
      </w:r>
    </w:p>
    <w:p w14:paraId="313AFB82" w14:textId="77777777" w:rsidR="00033071" w:rsidRPr="00D65676" w:rsidRDefault="00033071" w:rsidP="00033071">
      <w:pPr>
        <w:pStyle w:val="Textonotapie"/>
        <w:jc w:val="both"/>
        <w:rPr>
          <w:rFonts w:ascii="Verdana" w:hAnsi="Verdana"/>
          <w:sz w:val="14"/>
          <w:szCs w:val="14"/>
          <w:lang w:val="es-ES_tradnl"/>
        </w:rPr>
      </w:pPr>
    </w:p>
  </w:footnote>
  <w:footnote w:id="11">
    <w:p w14:paraId="3ECF741B" w14:textId="77777777" w:rsidR="00033071" w:rsidRPr="00D65676" w:rsidRDefault="00033071" w:rsidP="00033071">
      <w:pPr>
        <w:pStyle w:val="Textonotapie"/>
        <w:ind w:firstLine="708"/>
        <w:jc w:val="both"/>
        <w:rPr>
          <w:rFonts w:ascii="Verdana" w:hAnsi="Verdana" w:cs="Arial"/>
          <w:sz w:val="14"/>
          <w:szCs w:val="14"/>
        </w:rPr>
      </w:pPr>
      <w:r w:rsidRPr="00D65676">
        <w:rPr>
          <w:rStyle w:val="Refdenotaalpie"/>
          <w:rFonts w:ascii="Verdana" w:hAnsi="Verdana"/>
          <w:sz w:val="14"/>
          <w:szCs w:val="14"/>
        </w:rPr>
        <w:footnoteRef/>
      </w:r>
      <w:r w:rsidRPr="00D65676">
        <w:rPr>
          <w:rFonts w:ascii="Verdana" w:hAnsi="Verdana"/>
          <w:sz w:val="14"/>
          <w:szCs w:val="14"/>
        </w:rPr>
        <w:t xml:space="preserve"> </w:t>
      </w:r>
      <w:r w:rsidRPr="00D65676">
        <w:rPr>
          <w:rFonts w:ascii="Verdana" w:hAnsi="Verdana" w:cs="Arial"/>
          <w:sz w:val="14"/>
          <w:szCs w:val="14"/>
        </w:rPr>
        <w:t xml:space="preserve">Consejo de Estado. Sala de lo Contencioso Administrativo. Sección Tercera. Subsección C. Sentencia del 22 de mayo de 2013. Radicado: </w:t>
      </w:r>
      <w:r w:rsidRPr="00D65676">
        <w:rPr>
          <w:rFonts w:ascii="Verdana" w:hAnsi="Verdana" w:cs="Arial"/>
          <w:sz w:val="14"/>
          <w:szCs w:val="14"/>
          <w:lang w:val="es-CO"/>
        </w:rPr>
        <w:t>68001-23-15-000-1995-00152-01</w:t>
      </w:r>
      <w:r w:rsidRPr="00D65676">
        <w:rPr>
          <w:rFonts w:ascii="Verdana" w:hAnsi="Verdana" w:cs="Arial"/>
          <w:sz w:val="14"/>
          <w:szCs w:val="14"/>
        </w:rPr>
        <w:t xml:space="preserve"> (24.057). C.P: Olga Mélida Valle De De La Hoz.</w:t>
      </w:r>
    </w:p>
    <w:p w14:paraId="37A60D65" w14:textId="77777777" w:rsidR="00033071" w:rsidRPr="001256E1" w:rsidRDefault="00033071" w:rsidP="00033071">
      <w:pPr>
        <w:pStyle w:val="Textonotapie"/>
        <w:ind w:firstLine="708"/>
        <w:jc w:val="both"/>
        <w:rPr>
          <w:rFonts w:ascii="Verdana" w:hAnsi="Verdana"/>
          <w:sz w:val="16"/>
          <w:szCs w:val="16"/>
          <w:lang w:val="es-ES_tradnl"/>
        </w:rPr>
      </w:pPr>
    </w:p>
  </w:footnote>
  <w:footnote w:id="12">
    <w:p w14:paraId="785CB082" w14:textId="77777777" w:rsidR="00033071" w:rsidRPr="00D65676" w:rsidRDefault="00033071" w:rsidP="00033071">
      <w:pPr>
        <w:pStyle w:val="Textonotapie"/>
        <w:ind w:firstLine="708"/>
        <w:jc w:val="both"/>
        <w:rPr>
          <w:rFonts w:ascii="Verdana" w:hAnsi="Verdana" w:cs="Arial"/>
          <w:sz w:val="14"/>
          <w:szCs w:val="14"/>
          <w:lang w:val="pt-BR"/>
        </w:rPr>
      </w:pPr>
      <w:r w:rsidRPr="00D65676">
        <w:rPr>
          <w:rStyle w:val="Refdenotaalpie"/>
          <w:rFonts w:ascii="Verdana" w:hAnsi="Verdana"/>
          <w:sz w:val="14"/>
          <w:szCs w:val="14"/>
        </w:rPr>
        <w:footnoteRef/>
      </w:r>
      <w:r w:rsidRPr="00D65676">
        <w:rPr>
          <w:rFonts w:ascii="Verdana" w:hAnsi="Verdana"/>
          <w:sz w:val="14"/>
          <w:szCs w:val="14"/>
          <w:lang w:val="pt-BR"/>
        </w:rPr>
        <w:t xml:space="preserve"> </w:t>
      </w:r>
      <w:r w:rsidRPr="00D65676">
        <w:rPr>
          <w:rFonts w:ascii="Verdana" w:hAnsi="Verdana" w:cs="Arial"/>
          <w:sz w:val="14"/>
          <w:szCs w:val="14"/>
          <w:lang w:val="pt-BR"/>
        </w:rPr>
        <w:t>Corte Constitucional. Sentencia C-415 de 1994. M.P. Eduardo Cifuentes Muñoz.</w:t>
      </w:r>
    </w:p>
    <w:p w14:paraId="16EC5CBF" w14:textId="77777777" w:rsidR="00033071" w:rsidRPr="001256E1" w:rsidRDefault="00033071" w:rsidP="00033071">
      <w:pPr>
        <w:pStyle w:val="Textonotapie"/>
        <w:jc w:val="both"/>
        <w:rPr>
          <w:rFonts w:ascii="Verdana" w:hAnsi="Verdana"/>
          <w:sz w:val="16"/>
          <w:szCs w:val="16"/>
          <w:lang w:val="pt-BR"/>
        </w:rPr>
      </w:pPr>
    </w:p>
  </w:footnote>
  <w:footnote w:id="13">
    <w:p w14:paraId="04AEC60F" w14:textId="77777777" w:rsidR="00033071" w:rsidRPr="00AF56B9" w:rsidRDefault="00033071" w:rsidP="0003307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RODRÍGUEZ TAMAYO, Mauricio Fernando. Evaluación y rechazo de ofertas en la Ley 80 de 1993. Medellín: Librería Jurídica Sánchez, 2016. p. 190. </w:t>
      </w:r>
    </w:p>
    <w:p w14:paraId="3FF0E98B" w14:textId="77777777" w:rsidR="00033071" w:rsidRPr="00AF56B9" w:rsidRDefault="00033071" w:rsidP="0003307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 w:id="14">
    <w:p w14:paraId="183C46E6" w14:textId="77777777" w:rsidR="00033071" w:rsidRPr="00AF56B9" w:rsidRDefault="00033071" w:rsidP="0003307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Ley 80 de 1993 “</w:t>
      </w:r>
      <w:r w:rsidRPr="00AF56B9">
        <w:rPr>
          <w:rFonts w:ascii="Verdana" w:eastAsia="Arial" w:hAnsi="Verdana" w:cs="Arial"/>
          <w:bCs/>
          <w:color w:val="000000" w:themeColor="text1"/>
          <w:sz w:val="16"/>
          <w:szCs w:val="16"/>
        </w:rPr>
        <w:t>Articulo 24. Del principio de transparencia. </w:t>
      </w:r>
      <w:r w:rsidRPr="00AF56B9">
        <w:rPr>
          <w:rFonts w:ascii="Verdana" w:eastAsia="Arial" w:hAnsi="Verdana" w:cs="Arial"/>
          <w:color w:val="000000" w:themeColor="text1"/>
          <w:sz w:val="16"/>
          <w:szCs w:val="16"/>
        </w:rPr>
        <w:t xml:space="preserve">En virtud de este principio: </w:t>
      </w:r>
    </w:p>
    <w:p w14:paraId="5B78B161" w14:textId="77777777" w:rsidR="00033071" w:rsidRPr="00AF56B9" w:rsidRDefault="00033071" w:rsidP="0003307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4039CF8C" w14:textId="77777777" w:rsidR="00033071" w:rsidRPr="00AF56B9" w:rsidRDefault="00033071" w:rsidP="00033071">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5o. En los pliegos de condiciones:</w:t>
      </w:r>
    </w:p>
    <w:p w14:paraId="04DC0AA0" w14:textId="77777777" w:rsidR="00033071" w:rsidRPr="00AF56B9" w:rsidRDefault="00033071" w:rsidP="00033071">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08904AA9" w14:textId="77777777" w:rsidR="00033071" w:rsidRDefault="00033071" w:rsidP="00033071">
      <w:pP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b) Se definirán reglas objetivas, justas, claras y completas que permitan la confección de ofrecimientos de la misma índole, aseguren una escogencia objetiva y eviten la declaratoria de desierta de la licitación […]”.</w:t>
      </w:r>
    </w:p>
    <w:p w14:paraId="228CE128" w14:textId="77777777" w:rsidR="00033071" w:rsidRPr="00AF56B9" w:rsidRDefault="00033071" w:rsidP="00033071">
      <w:pPr>
        <w:spacing w:after="0" w:line="240" w:lineRule="auto"/>
        <w:ind w:firstLine="709"/>
        <w:jc w:val="both"/>
        <w:rPr>
          <w:rFonts w:ascii="Verdana" w:eastAsia="Arial" w:hAnsi="Verdana" w:cs="Arial"/>
          <w:color w:val="000000" w:themeColor="text1"/>
          <w:sz w:val="16"/>
          <w:szCs w:val="16"/>
        </w:rPr>
      </w:pPr>
    </w:p>
  </w:footnote>
  <w:footnote w:id="15">
    <w:p w14:paraId="11A67202" w14:textId="77777777" w:rsidR="00033071" w:rsidRPr="00AF56B9" w:rsidRDefault="00033071" w:rsidP="0003307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Decreto 1082 de 2015 “Artículo 2.2.1.1.2.1.3. Pliegos de condiciones. Los pliegos de condiciones deben contener por lo menos la siguiente información</w:t>
      </w:r>
    </w:p>
    <w:p w14:paraId="39706C3A" w14:textId="77777777" w:rsidR="00033071" w:rsidRPr="00AF56B9" w:rsidRDefault="00033071" w:rsidP="0003307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w:t>
      </w:r>
    </w:p>
    <w:p w14:paraId="28F4BB13" w14:textId="77777777" w:rsidR="00033071" w:rsidRPr="00AF56B9" w:rsidRDefault="00033071" w:rsidP="0003307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eastAsia="Arial" w:hAnsi="Verdana" w:cs="Arial"/>
          <w:color w:val="000000" w:themeColor="text1"/>
          <w:sz w:val="16"/>
          <w:szCs w:val="16"/>
        </w:rPr>
        <w:t>6. Las causas que dan lugar a rechazar una oferta […]”.</w:t>
      </w:r>
    </w:p>
  </w:footnote>
  <w:footnote w:id="16">
    <w:p w14:paraId="4FB97EC0" w14:textId="77777777" w:rsidR="00033071" w:rsidRDefault="00033071" w:rsidP="0003307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r w:rsidRPr="00AF56B9">
        <w:rPr>
          <w:rFonts w:ascii="Verdana" w:hAnsi="Verdana" w:cs="Arial"/>
          <w:color w:val="000000" w:themeColor="text1"/>
          <w:sz w:val="16"/>
          <w:szCs w:val="16"/>
          <w:vertAlign w:val="superscript"/>
        </w:rPr>
        <w:footnoteRef/>
      </w:r>
      <w:r w:rsidRPr="00AF56B9">
        <w:rPr>
          <w:rFonts w:ascii="Verdana" w:eastAsia="Arial" w:hAnsi="Verdana" w:cs="Arial"/>
          <w:color w:val="000000" w:themeColor="text1"/>
          <w:sz w:val="16"/>
          <w:szCs w:val="16"/>
        </w:rPr>
        <w:t xml:space="preserve"> Consejo de Estado. Sala de lo Contencioso Administrativo. Sección Tercera Subsección B. Sentencia del 27 de abril de 2011. Radicado: 25000-23-26-000-1997-03924-01 (18.293). C.P. Ponente: Ruth Stella Correa Palacio. </w:t>
      </w:r>
    </w:p>
    <w:p w14:paraId="1A406418" w14:textId="77777777" w:rsidR="00033071" w:rsidRPr="00AF56B9" w:rsidRDefault="00033071" w:rsidP="00033071">
      <w:pPr>
        <w:pBdr>
          <w:top w:val="nil"/>
          <w:left w:val="nil"/>
          <w:bottom w:val="nil"/>
          <w:right w:val="nil"/>
          <w:between w:val="nil"/>
        </w:pBdr>
        <w:spacing w:after="0" w:line="240" w:lineRule="auto"/>
        <w:ind w:firstLine="709"/>
        <w:jc w:val="both"/>
        <w:rPr>
          <w:rFonts w:ascii="Verdana" w:eastAsia="Arial" w:hAnsi="Verdana" w:cs="Arial"/>
          <w:color w:val="000000" w:themeColor="text1"/>
          <w:sz w:val="16"/>
          <w:szCs w:val="16"/>
        </w:rPr>
      </w:pPr>
    </w:p>
  </w:footnote>
  <w:footnote w:id="17">
    <w:p w14:paraId="334CA61D" w14:textId="77777777" w:rsidR="00033071" w:rsidRPr="00AF56B9" w:rsidRDefault="00033071" w:rsidP="00033071">
      <w:pPr>
        <w:pStyle w:val="Textonotapie"/>
        <w:ind w:firstLine="709"/>
        <w:jc w:val="both"/>
        <w:rPr>
          <w:rFonts w:ascii="Verdana" w:eastAsia="Times New Roman" w:hAnsi="Verdana" w:cs="Arial"/>
          <w:sz w:val="16"/>
          <w:szCs w:val="16"/>
          <w:lang w:val="es-CO" w:eastAsia="es-CO"/>
        </w:rPr>
      </w:pPr>
      <w:r w:rsidRPr="00AF56B9">
        <w:rPr>
          <w:rStyle w:val="Refdenotaalpie"/>
          <w:rFonts w:ascii="Verdana" w:hAnsi="Verdana" w:cs="Arial"/>
          <w:sz w:val="16"/>
          <w:szCs w:val="16"/>
        </w:rPr>
        <w:footnoteRef/>
      </w:r>
      <w:r w:rsidRPr="00AF56B9">
        <w:rPr>
          <w:rFonts w:ascii="Verdana" w:hAnsi="Verdana" w:cs="Arial"/>
          <w:sz w:val="16"/>
          <w:szCs w:val="16"/>
        </w:rPr>
        <w:t xml:space="preserve"> </w:t>
      </w:r>
      <w:r w:rsidRPr="00AF56B9">
        <w:rPr>
          <w:rFonts w:ascii="Verdana" w:eastAsia="Times New Roman" w:hAnsi="Verdana" w:cs="Arial"/>
          <w:sz w:val="16"/>
          <w:szCs w:val="16"/>
          <w:lang w:val="es-CO" w:eastAsia="es-CO"/>
        </w:rPr>
        <w:t>Consejo de Estado. Sección Tercera. Sentencia del 21 de noviembre de 2013. Radicado 25000-23-26-000-1999-01850-01 (25.397). C.P. Carlos Alberto Zambrano Barrera.</w:t>
      </w:r>
    </w:p>
  </w:footnote>
  <w:footnote w:id="18">
    <w:p w14:paraId="1E8D859F" w14:textId="77777777" w:rsidR="00033071" w:rsidRPr="0082525D" w:rsidRDefault="00033071" w:rsidP="00033071">
      <w:pPr>
        <w:pStyle w:val="Textonotapie"/>
        <w:snapToGrid w:val="0"/>
        <w:ind w:firstLine="709"/>
        <w:jc w:val="both"/>
        <w:rPr>
          <w:rFonts w:ascii="Verdana" w:hAnsi="Verdana" w:cs="Arial"/>
          <w:sz w:val="16"/>
          <w:szCs w:val="16"/>
        </w:rPr>
      </w:pPr>
      <w:r w:rsidRPr="0082525D">
        <w:rPr>
          <w:rStyle w:val="Refdenotaalpie"/>
          <w:rFonts w:ascii="Verdana" w:hAnsi="Verdana" w:cs="Arial"/>
          <w:sz w:val="16"/>
          <w:szCs w:val="16"/>
        </w:rPr>
        <w:footnoteRef/>
      </w:r>
      <w:r w:rsidRPr="0082525D">
        <w:rPr>
          <w:rFonts w:ascii="Verdana" w:hAnsi="Verdana" w:cs="Arial"/>
          <w:sz w:val="16"/>
          <w:szCs w:val="16"/>
        </w:rPr>
        <w:t xml:space="preserve"> 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364BEB7F" w14:textId="77777777" w:rsidR="00033071" w:rsidRDefault="00033071" w:rsidP="00033071">
      <w:pPr>
        <w:pStyle w:val="Textonotapie"/>
        <w:snapToGrid w:val="0"/>
        <w:ind w:firstLine="709"/>
        <w:jc w:val="both"/>
        <w:rPr>
          <w:rFonts w:ascii="Verdana" w:hAnsi="Verdana" w:cs="Arial"/>
          <w:sz w:val="16"/>
          <w:szCs w:val="16"/>
        </w:rPr>
      </w:pPr>
      <w:r w:rsidRPr="0082525D">
        <w:rPr>
          <w:rFonts w:ascii="Verdana" w:hAnsi="Verdana" w:cs="Arial"/>
          <w:sz w:val="16"/>
          <w:szCs w:val="16"/>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19962C99" w14:textId="77777777" w:rsidR="00033071" w:rsidRPr="009F1697" w:rsidRDefault="00033071" w:rsidP="00033071">
      <w:pPr>
        <w:pStyle w:val="Textonotapie"/>
        <w:snapToGrid w:val="0"/>
        <w:ind w:firstLine="709"/>
        <w:jc w:val="both"/>
        <w:rPr>
          <w:rFonts w:ascii="Verdana" w:hAnsi="Verdana" w:cs="Arial"/>
          <w:sz w:val="16"/>
          <w:szCs w:val="16"/>
        </w:rPr>
      </w:pPr>
    </w:p>
  </w:footnote>
  <w:footnote w:id="19">
    <w:p w14:paraId="3139ABAC" w14:textId="77777777" w:rsidR="00033071" w:rsidRDefault="00033071" w:rsidP="00033071">
      <w:pPr>
        <w:pStyle w:val="Textonotapie"/>
        <w:snapToGrid w:val="0"/>
        <w:ind w:firstLine="709"/>
        <w:jc w:val="both"/>
        <w:rPr>
          <w:rFonts w:ascii="Verdana" w:hAnsi="Verdana" w:cs="Arial"/>
          <w:sz w:val="16"/>
          <w:szCs w:val="16"/>
        </w:rPr>
      </w:pPr>
      <w:r w:rsidRPr="0082525D">
        <w:rPr>
          <w:rStyle w:val="Refdenotaalpie"/>
          <w:rFonts w:ascii="Verdana" w:hAnsi="Verdana" w:cs="Arial"/>
          <w:sz w:val="16"/>
          <w:szCs w:val="16"/>
        </w:rPr>
        <w:footnoteRef/>
      </w:r>
      <w:r w:rsidRPr="0082525D">
        <w:rPr>
          <w:rFonts w:ascii="Verdana" w:hAnsi="Verdana" w:cs="Arial"/>
          <w:sz w:val="16"/>
          <w:szCs w:val="16"/>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0C7BA0E8" w14:textId="77777777" w:rsidR="00033071" w:rsidRPr="009F1697" w:rsidRDefault="00033071" w:rsidP="00033071">
      <w:pPr>
        <w:pStyle w:val="Textonotapie"/>
        <w:snapToGrid w:val="0"/>
        <w:ind w:firstLine="709"/>
        <w:jc w:val="both"/>
        <w:rPr>
          <w:rFonts w:ascii="Verdana" w:hAnsi="Verdana" w:cs="Arial"/>
          <w:sz w:val="16"/>
          <w:szCs w:val="16"/>
        </w:rPr>
      </w:pPr>
    </w:p>
  </w:footnote>
  <w:footnote w:id="20">
    <w:p w14:paraId="7DD89954" w14:textId="77777777" w:rsidR="00033071" w:rsidRPr="0082525D" w:rsidRDefault="00033071" w:rsidP="00033071">
      <w:pPr>
        <w:pStyle w:val="Textonotapie"/>
        <w:snapToGrid w:val="0"/>
        <w:ind w:firstLine="709"/>
        <w:jc w:val="both"/>
        <w:rPr>
          <w:rFonts w:ascii="Verdana" w:hAnsi="Verdana" w:cs="Arial"/>
          <w:sz w:val="16"/>
          <w:szCs w:val="16"/>
        </w:rPr>
      </w:pPr>
      <w:r w:rsidRPr="0082525D">
        <w:rPr>
          <w:rStyle w:val="Refdenotaalpie"/>
          <w:rFonts w:ascii="Verdana" w:hAnsi="Verdana" w:cs="Arial"/>
          <w:sz w:val="16"/>
          <w:szCs w:val="16"/>
        </w:rPr>
        <w:footnoteRef/>
      </w:r>
      <w:r w:rsidRPr="0082525D">
        <w:rPr>
          <w:rFonts w:ascii="Verdana" w:hAnsi="Verdana" w:cs="Arial"/>
          <w:sz w:val="16"/>
          <w:szCs w:val="16"/>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797F1C6E" w14:textId="77777777" w:rsidR="00033071" w:rsidRPr="0082525D" w:rsidRDefault="00033071" w:rsidP="00033071">
      <w:pPr>
        <w:pStyle w:val="Textonotapie"/>
        <w:snapToGrid w:val="0"/>
        <w:ind w:firstLine="709"/>
        <w:jc w:val="both"/>
        <w:rPr>
          <w:rFonts w:ascii="Verdana" w:hAnsi="Verdana" w:cs="Arial"/>
          <w:sz w:val="16"/>
          <w:szCs w:val="16"/>
        </w:rPr>
      </w:pPr>
      <w:r w:rsidRPr="0082525D">
        <w:rPr>
          <w:rFonts w:ascii="Verdana" w:hAnsi="Verdana" w:cs="Arial"/>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w:t>
      </w:r>
    </w:p>
    <w:p w14:paraId="1C729DFA" w14:textId="77777777" w:rsidR="00033071" w:rsidRDefault="00033071" w:rsidP="00033071">
      <w:pPr>
        <w:pStyle w:val="Textonotapie"/>
        <w:snapToGrid w:val="0"/>
        <w:ind w:firstLine="709"/>
        <w:jc w:val="both"/>
        <w:rPr>
          <w:rFonts w:ascii="Verdana" w:hAnsi="Verdana" w:cs="Arial"/>
          <w:sz w:val="16"/>
          <w:szCs w:val="16"/>
        </w:rPr>
      </w:pPr>
      <w:r w:rsidRPr="0082525D">
        <w:rPr>
          <w:rFonts w:ascii="Verdana" w:hAnsi="Verdana" w:cs="Arial"/>
          <w:sz w:val="16"/>
          <w:szCs w:val="16"/>
        </w:rPr>
        <w:t>[...]”.</w:t>
      </w:r>
    </w:p>
    <w:p w14:paraId="74233697" w14:textId="77777777" w:rsidR="00033071" w:rsidRPr="009F1697" w:rsidRDefault="00033071" w:rsidP="00033071">
      <w:pPr>
        <w:pStyle w:val="Textonotapie"/>
        <w:snapToGrid w:val="0"/>
        <w:ind w:firstLine="709"/>
        <w:jc w:val="both"/>
        <w:rPr>
          <w:rFonts w:ascii="Verdana" w:hAnsi="Verdana" w:cs="Arial"/>
          <w:sz w:val="16"/>
          <w:szCs w:val="16"/>
        </w:rPr>
      </w:pPr>
    </w:p>
  </w:footnote>
  <w:footnote w:id="21">
    <w:p w14:paraId="05F23698" w14:textId="77777777" w:rsidR="00033071" w:rsidRPr="0082525D" w:rsidRDefault="00033071" w:rsidP="00033071">
      <w:pPr>
        <w:pStyle w:val="Textonotapie"/>
        <w:snapToGrid w:val="0"/>
        <w:ind w:firstLine="709"/>
        <w:jc w:val="both"/>
        <w:rPr>
          <w:rFonts w:ascii="Verdana" w:hAnsi="Verdana" w:cs="Arial"/>
          <w:sz w:val="16"/>
          <w:szCs w:val="16"/>
        </w:rPr>
      </w:pPr>
      <w:r w:rsidRPr="0082525D">
        <w:rPr>
          <w:rStyle w:val="Refdenotaalpie"/>
          <w:rFonts w:ascii="Verdana" w:hAnsi="Verdana" w:cs="Arial"/>
          <w:sz w:val="16"/>
          <w:szCs w:val="16"/>
        </w:rPr>
        <w:footnoteRef/>
      </w:r>
      <w:r w:rsidRPr="0082525D">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82522E3" w14:textId="77777777" w:rsidR="00033071" w:rsidRPr="0082525D" w:rsidRDefault="00033071" w:rsidP="00033071">
      <w:pPr>
        <w:pStyle w:val="Textonotapie"/>
        <w:snapToGrid w:val="0"/>
        <w:ind w:firstLine="709"/>
        <w:jc w:val="both"/>
        <w:rPr>
          <w:rFonts w:ascii="Verdana" w:hAnsi="Verdana" w:cs="Arial"/>
          <w:sz w:val="16"/>
          <w:szCs w:val="16"/>
        </w:rPr>
      </w:pPr>
      <w:r w:rsidRPr="0082525D">
        <w:rPr>
          <w:rFonts w:ascii="Verdana" w:hAnsi="Verdana" w:cs="Arial"/>
          <w:sz w:val="16"/>
          <w:szCs w:val="16"/>
        </w:rPr>
        <w:t>[...]</w:t>
      </w:r>
    </w:p>
    <w:p w14:paraId="03B824C0" w14:textId="77777777" w:rsidR="00033071" w:rsidRPr="0082525D" w:rsidRDefault="00033071" w:rsidP="00033071">
      <w:pPr>
        <w:pStyle w:val="Textonotapie"/>
        <w:snapToGrid w:val="0"/>
        <w:ind w:firstLine="709"/>
        <w:jc w:val="both"/>
        <w:rPr>
          <w:rFonts w:ascii="Verdana" w:hAnsi="Verdana" w:cs="Arial"/>
          <w:sz w:val="16"/>
          <w:szCs w:val="16"/>
        </w:rPr>
      </w:pPr>
      <w:r w:rsidRPr="0082525D">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4A669BC3" w14:textId="77777777" w:rsidR="00033071" w:rsidRPr="0082525D" w:rsidRDefault="00033071" w:rsidP="00033071">
      <w:pPr>
        <w:pStyle w:val="Textonotapie"/>
        <w:snapToGrid w:val="0"/>
        <w:ind w:firstLine="709"/>
        <w:jc w:val="both"/>
        <w:rPr>
          <w:rFonts w:ascii="Verdana" w:hAnsi="Verdana" w:cs="Arial"/>
          <w:sz w:val="16"/>
          <w:szCs w:val="16"/>
        </w:rPr>
      </w:pPr>
      <w:r w:rsidRPr="0082525D">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22">
    <w:p w14:paraId="5D7262A7" w14:textId="77777777" w:rsidR="00033071" w:rsidRPr="0082525D" w:rsidRDefault="00033071" w:rsidP="00033071">
      <w:pPr>
        <w:pStyle w:val="Textonotapie"/>
        <w:snapToGrid w:val="0"/>
        <w:ind w:firstLine="709"/>
        <w:jc w:val="both"/>
        <w:rPr>
          <w:rFonts w:ascii="Verdana" w:hAnsi="Verdana" w:cs="Arial"/>
          <w:sz w:val="16"/>
          <w:szCs w:val="16"/>
        </w:rPr>
      </w:pPr>
    </w:p>
    <w:p w14:paraId="083F8035" w14:textId="77777777" w:rsidR="00033071" w:rsidRPr="0082525D" w:rsidRDefault="00033071" w:rsidP="00033071">
      <w:pPr>
        <w:pStyle w:val="Textonotapie"/>
        <w:snapToGrid w:val="0"/>
        <w:ind w:firstLine="709"/>
        <w:jc w:val="both"/>
        <w:rPr>
          <w:rFonts w:ascii="Verdana" w:hAnsi="Verdana" w:cs="Arial"/>
          <w:sz w:val="16"/>
          <w:szCs w:val="16"/>
        </w:rPr>
      </w:pPr>
      <w:r w:rsidRPr="0082525D">
        <w:rPr>
          <w:rStyle w:val="Refdenotaalpie"/>
          <w:rFonts w:ascii="Verdana" w:hAnsi="Verdana" w:cs="Arial"/>
          <w:sz w:val="16"/>
          <w:szCs w:val="16"/>
        </w:rPr>
        <w:footnoteRef/>
      </w:r>
      <w:r w:rsidRPr="0082525D">
        <w:rPr>
          <w:rFonts w:ascii="Verdana" w:hAnsi="Verdana" w:cs="Arial"/>
          <w:sz w:val="16"/>
          <w:szCs w:val="16"/>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07261513" w14:textId="77777777" w:rsidR="00033071" w:rsidRPr="0082525D" w:rsidRDefault="00033071" w:rsidP="00033071">
      <w:pPr>
        <w:pStyle w:val="Textonotapie"/>
        <w:snapToGrid w:val="0"/>
        <w:ind w:firstLine="709"/>
        <w:jc w:val="both"/>
        <w:rPr>
          <w:rFonts w:ascii="Verdana" w:hAnsi="Verdana" w:cs="Arial"/>
          <w:sz w:val="16"/>
          <w:szCs w:val="16"/>
        </w:rPr>
      </w:pPr>
      <w:r w:rsidRPr="0082525D">
        <w:rPr>
          <w:rFonts w:ascii="Verdana" w:hAnsi="Verdana" w:cs="Arial"/>
          <w:sz w:val="16"/>
          <w:szCs w:val="16"/>
        </w:rPr>
        <w:t>1. Si es una persona natural:</w:t>
      </w:r>
    </w:p>
    <w:p w14:paraId="5B0326A2" w14:textId="77777777" w:rsidR="00033071" w:rsidRPr="0082525D" w:rsidRDefault="00033071" w:rsidP="00033071">
      <w:pPr>
        <w:pStyle w:val="Textonotapie"/>
        <w:snapToGrid w:val="0"/>
        <w:ind w:firstLine="709"/>
        <w:jc w:val="both"/>
        <w:rPr>
          <w:rFonts w:ascii="Verdana" w:hAnsi="Verdana" w:cs="Arial"/>
          <w:sz w:val="16"/>
          <w:szCs w:val="16"/>
        </w:rPr>
      </w:pPr>
      <w:r w:rsidRPr="0082525D">
        <w:rPr>
          <w:rFonts w:ascii="Verdana" w:hAnsi="Verdana" w:cs="Arial"/>
          <w:sz w:val="16"/>
          <w:szCs w:val="16"/>
        </w:rPr>
        <w:t>1.1. Bienes, obras y servicios que ofrecerá a las Entidades Estatales, identificados con el Clasificador de Bienes y Servicios en el tercer nivel.</w:t>
      </w:r>
    </w:p>
    <w:p w14:paraId="22EDFF8D" w14:textId="77777777" w:rsidR="00033071" w:rsidRPr="0082525D" w:rsidRDefault="00033071" w:rsidP="00033071">
      <w:pPr>
        <w:pStyle w:val="Textonotapie"/>
        <w:snapToGrid w:val="0"/>
        <w:ind w:firstLine="709"/>
        <w:jc w:val="both"/>
        <w:rPr>
          <w:rFonts w:ascii="Verdana" w:hAnsi="Verdana" w:cs="Arial"/>
          <w:sz w:val="16"/>
          <w:szCs w:val="16"/>
        </w:rPr>
      </w:pPr>
      <w:r w:rsidRPr="0082525D">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p w14:paraId="1F7190E0" w14:textId="77777777" w:rsidR="00033071" w:rsidRPr="0082525D" w:rsidRDefault="00033071" w:rsidP="00033071">
      <w:pPr>
        <w:pStyle w:val="Textonotapie"/>
        <w:snapToGrid w:val="0"/>
        <w:ind w:firstLine="709"/>
        <w:jc w:val="both"/>
        <w:rPr>
          <w:rFonts w:ascii="Verdana" w:hAnsi="Verdana" w:cs="Arial"/>
          <w:sz w:val="16"/>
          <w:szCs w:val="16"/>
          <w:lang w:val="es-ES"/>
        </w:rPr>
      </w:pPr>
    </w:p>
  </w:footnote>
  <w:footnote w:id="23">
    <w:p w14:paraId="62CFB43E" w14:textId="77777777" w:rsidR="00033071" w:rsidRDefault="00033071" w:rsidP="00033071">
      <w:pPr>
        <w:pStyle w:val="Textonotapie"/>
        <w:snapToGrid w:val="0"/>
        <w:ind w:firstLine="709"/>
        <w:jc w:val="both"/>
        <w:rPr>
          <w:rFonts w:ascii="Verdana" w:hAnsi="Verdana"/>
          <w:sz w:val="16"/>
          <w:szCs w:val="16"/>
        </w:rPr>
      </w:pPr>
      <w:r w:rsidRPr="0082525D">
        <w:rPr>
          <w:rStyle w:val="Refdenotaalpie"/>
          <w:rFonts w:ascii="Verdana" w:hAnsi="Verdana"/>
          <w:sz w:val="16"/>
          <w:szCs w:val="16"/>
        </w:rPr>
        <w:footnoteRef/>
      </w:r>
      <w:r w:rsidRPr="0082525D">
        <w:rPr>
          <w:rFonts w:ascii="Verdana" w:hAnsi="Verdana"/>
          <w:sz w:val="16"/>
          <w:szCs w:val="16"/>
        </w:rPr>
        <w:t xml:space="preserve"> Disponible en el siguiente enlace: </w:t>
      </w:r>
      <w:hyperlink r:id="rId1" w:history="1">
        <w:r w:rsidRPr="0082525D">
          <w:rPr>
            <w:rStyle w:val="Hipervnculo"/>
            <w:rFonts w:ascii="Verdana" w:hAnsi="Verdana"/>
            <w:sz w:val="16"/>
            <w:szCs w:val="16"/>
          </w:rPr>
          <w:t>https://colombiacompra.gov.co/manuales-guias-y-pliegos-tipo/manuales-y-guias/manual-para-determinar-y-verificar-los-requisitos</w:t>
        </w:r>
      </w:hyperlink>
      <w:r w:rsidRPr="00595F31">
        <w:rPr>
          <w:rFonts w:ascii="Verdana" w:hAnsi="Verdana"/>
          <w:sz w:val="16"/>
          <w:szCs w:val="16"/>
        </w:rPr>
        <w:t xml:space="preserve">  </w:t>
      </w:r>
    </w:p>
    <w:p w14:paraId="5542AAAE" w14:textId="77777777" w:rsidR="00033071" w:rsidRPr="00661B9D" w:rsidRDefault="00033071" w:rsidP="00033071">
      <w:pPr>
        <w:pStyle w:val="Textonotapie"/>
        <w:snapToGrid w:val="0"/>
        <w:ind w:firstLine="709"/>
        <w:jc w:val="both"/>
        <w:rPr>
          <w:rFonts w:ascii="Verdana" w:hAnsi="Verdana"/>
          <w:sz w:val="16"/>
          <w:szCs w:val="16"/>
          <w:lang w:val="es-CO"/>
        </w:rPr>
      </w:pPr>
    </w:p>
  </w:footnote>
  <w:footnote w:id="24">
    <w:p w14:paraId="799AAE39" w14:textId="77777777" w:rsidR="00033071" w:rsidRPr="00595F31" w:rsidRDefault="00033071" w:rsidP="00033071">
      <w:pPr>
        <w:pStyle w:val="Car1"/>
        <w:snapToGrid w:val="0"/>
        <w:ind w:firstLine="709"/>
        <w:jc w:val="both"/>
        <w:rPr>
          <w:rFonts w:ascii="Verdana" w:hAnsi="Verdana" w:cs="Arial"/>
          <w:sz w:val="16"/>
          <w:szCs w:val="16"/>
        </w:rPr>
      </w:pPr>
      <w:r w:rsidRPr="00595F31">
        <w:rPr>
          <w:rStyle w:val="Refdenotaalpie"/>
          <w:rFonts w:ascii="Verdana" w:hAnsi="Verdana" w:cs="Arial"/>
          <w:sz w:val="16"/>
          <w:szCs w:val="16"/>
        </w:rPr>
        <w:footnoteRef/>
      </w:r>
      <w:r w:rsidRPr="00595F31">
        <w:rPr>
          <w:rFonts w:ascii="Verdana" w:hAnsi="Verdana" w:cs="Arial"/>
          <w:sz w:val="16"/>
          <w:szCs w:val="16"/>
        </w:rPr>
        <w:t xml:space="preserve">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3E1AB8D1" w14:textId="77777777" w:rsidR="00033071" w:rsidRPr="00595F31" w:rsidRDefault="00033071" w:rsidP="00033071">
      <w:pPr>
        <w:pStyle w:val="Car1"/>
        <w:snapToGrid w:val="0"/>
        <w:ind w:firstLine="709"/>
        <w:jc w:val="both"/>
        <w:rPr>
          <w:rFonts w:ascii="Verdana" w:hAnsi="Verdana" w:cs="Arial"/>
          <w:sz w:val="16"/>
          <w:szCs w:val="16"/>
        </w:rPr>
      </w:pPr>
      <w:r w:rsidRPr="00595F31">
        <w:rPr>
          <w:rFonts w:ascii="Verdana" w:hAnsi="Verdana" w:cs="Arial"/>
          <w:sz w:val="16"/>
          <w:szCs w:val="16"/>
        </w:rPr>
        <w:t>[…]</w:t>
      </w:r>
    </w:p>
    <w:p w14:paraId="22310A5C" w14:textId="77777777" w:rsidR="00033071" w:rsidRPr="00595F31" w:rsidRDefault="00033071" w:rsidP="00033071">
      <w:pPr>
        <w:pStyle w:val="Car1"/>
        <w:snapToGrid w:val="0"/>
        <w:ind w:firstLine="709"/>
        <w:jc w:val="both"/>
        <w:rPr>
          <w:rFonts w:ascii="Verdana" w:hAnsi="Verdana" w:cs="Arial"/>
          <w:sz w:val="16"/>
          <w:szCs w:val="16"/>
          <w:lang w:val="es-CO"/>
        </w:rPr>
      </w:pPr>
      <w:r w:rsidRPr="00595F31">
        <w:rPr>
          <w:rFonts w:ascii="Verdana" w:hAnsi="Verdana" w:cs="Arial"/>
          <w:sz w:val="16"/>
          <w:szCs w:val="16"/>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595F31">
        <w:rPr>
          <w:rFonts w:ascii="Verdana" w:hAnsi="Verdana" w:cs="Arial"/>
          <w:sz w:val="16"/>
          <w:szCs w:val="16"/>
          <w:shd w:val="clear" w:color="auto" w:fill="FFFFFF"/>
        </w:rPr>
        <w:softHyphen/>
        <w:t>ficador de Bienes y Servicios en el tercer nivel. Si la constitución del interesado es menor a 3 años, puede acreditar la experiencia de sus accionistas, socios o constituyentes</w:t>
      </w:r>
      <w:r w:rsidRPr="00595F31">
        <w:rPr>
          <w:rFonts w:ascii="Verdana" w:hAnsi="Verdana" w:cs="Arial"/>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E684D" w14:textId="77777777" w:rsidR="0063107B" w:rsidRDefault="0063107B"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363FA97" wp14:editId="1D914521">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915C765" wp14:editId="038F67A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CB42A03" w14:textId="77777777" w:rsidR="0063107B" w:rsidRDefault="0063107B" w:rsidP="00515FB5">
    <w:pPr>
      <w:pStyle w:val="Encabezado"/>
    </w:pPr>
  </w:p>
  <w:p w14:paraId="56BC9F56" w14:textId="77777777" w:rsidR="0063107B" w:rsidRDefault="0063107B" w:rsidP="00515FB5">
    <w:pPr>
      <w:pStyle w:val="Encabezado"/>
    </w:pPr>
  </w:p>
  <w:p w14:paraId="7C85666F" w14:textId="77777777" w:rsidR="0063107B" w:rsidRPr="00515FB5" w:rsidRDefault="0063107B"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1pt;height:14.1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5"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341274352">
    <w:abstractNumId w:val="0"/>
  </w:num>
  <w:num w:numId="2" w16cid:durableId="679089576">
    <w:abstractNumId w:val="2"/>
  </w:num>
  <w:num w:numId="3" w16cid:durableId="390349800">
    <w:abstractNumId w:val="4"/>
  </w:num>
  <w:num w:numId="4" w16cid:durableId="1548419692">
    <w:abstractNumId w:val="5"/>
  </w:num>
  <w:num w:numId="5" w16cid:durableId="1443304022">
    <w:abstractNumId w:val="1"/>
  </w:num>
  <w:num w:numId="6" w16cid:durableId="5010510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07B"/>
    <w:rsid w:val="00027298"/>
    <w:rsid w:val="00033071"/>
    <w:rsid w:val="00067525"/>
    <w:rsid w:val="000720C9"/>
    <w:rsid w:val="000B6678"/>
    <w:rsid w:val="000E0CC4"/>
    <w:rsid w:val="000F5A42"/>
    <w:rsid w:val="00182201"/>
    <w:rsid w:val="001A3EBD"/>
    <w:rsid w:val="001E72B5"/>
    <w:rsid w:val="002367FF"/>
    <w:rsid w:val="0029602E"/>
    <w:rsid w:val="00314F5B"/>
    <w:rsid w:val="00340002"/>
    <w:rsid w:val="00383E95"/>
    <w:rsid w:val="003E4EA4"/>
    <w:rsid w:val="00475338"/>
    <w:rsid w:val="004A2717"/>
    <w:rsid w:val="004E7563"/>
    <w:rsid w:val="00514757"/>
    <w:rsid w:val="00534A52"/>
    <w:rsid w:val="005417DC"/>
    <w:rsid w:val="005A0EB9"/>
    <w:rsid w:val="005E2A5E"/>
    <w:rsid w:val="005F17C1"/>
    <w:rsid w:val="0063107B"/>
    <w:rsid w:val="006B71DB"/>
    <w:rsid w:val="006F6AD3"/>
    <w:rsid w:val="00702D5D"/>
    <w:rsid w:val="00751C74"/>
    <w:rsid w:val="00787FDF"/>
    <w:rsid w:val="007A5343"/>
    <w:rsid w:val="007F38A6"/>
    <w:rsid w:val="00802846"/>
    <w:rsid w:val="008415F3"/>
    <w:rsid w:val="009D3578"/>
    <w:rsid w:val="009F26DF"/>
    <w:rsid w:val="00A12218"/>
    <w:rsid w:val="00A15927"/>
    <w:rsid w:val="00A24451"/>
    <w:rsid w:val="00A2541D"/>
    <w:rsid w:val="00A73D47"/>
    <w:rsid w:val="00A76509"/>
    <w:rsid w:val="00A90678"/>
    <w:rsid w:val="00A97F85"/>
    <w:rsid w:val="00AB4404"/>
    <w:rsid w:val="00AD2CD6"/>
    <w:rsid w:val="00B24A72"/>
    <w:rsid w:val="00B43845"/>
    <w:rsid w:val="00B61904"/>
    <w:rsid w:val="00BB46EC"/>
    <w:rsid w:val="00C22046"/>
    <w:rsid w:val="00C92D08"/>
    <w:rsid w:val="00CD54E5"/>
    <w:rsid w:val="00D077AC"/>
    <w:rsid w:val="00D65676"/>
    <w:rsid w:val="00D918F2"/>
    <w:rsid w:val="00DB25DB"/>
    <w:rsid w:val="00DC1A74"/>
    <w:rsid w:val="00DE63E5"/>
    <w:rsid w:val="00E11E73"/>
    <w:rsid w:val="00E3016C"/>
    <w:rsid w:val="00E638C6"/>
    <w:rsid w:val="00EA3090"/>
    <w:rsid w:val="00EF4227"/>
    <w:rsid w:val="00FE008C"/>
    <w:rsid w:val="00FE3D3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3E2B0"/>
  <w15:chartTrackingRefBased/>
  <w15:docId w15:val="{441B47A9-8173-4918-84A8-93EEEB7E6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1904"/>
    <w:rPr>
      <w:kern w:val="0"/>
      <w14:ligatures w14:val="none"/>
    </w:rPr>
  </w:style>
  <w:style w:type="paragraph" w:styleId="Ttulo1">
    <w:name w:val="heading 1"/>
    <w:basedOn w:val="Normal"/>
    <w:next w:val="Normal"/>
    <w:link w:val="Ttulo1Car"/>
    <w:uiPriority w:val="9"/>
    <w:qFormat/>
    <w:rsid w:val="006310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310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3107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3107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3107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3107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3107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3107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3107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3107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3107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3107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3107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3107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3107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3107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3107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3107B"/>
    <w:rPr>
      <w:rFonts w:eastAsiaTheme="majorEastAsia" w:cstheme="majorBidi"/>
      <w:color w:val="272727" w:themeColor="text1" w:themeTint="D8"/>
    </w:rPr>
  </w:style>
  <w:style w:type="paragraph" w:styleId="Ttulo">
    <w:name w:val="Title"/>
    <w:basedOn w:val="Normal"/>
    <w:next w:val="Normal"/>
    <w:link w:val="TtuloCar"/>
    <w:uiPriority w:val="10"/>
    <w:qFormat/>
    <w:rsid w:val="006310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3107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3107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3107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3107B"/>
    <w:pPr>
      <w:spacing w:before="160"/>
      <w:jc w:val="center"/>
    </w:pPr>
    <w:rPr>
      <w:i/>
      <w:iCs/>
      <w:color w:val="404040" w:themeColor="text1" w:themeTint="BF"/>
    </w:rPr>
  </w:style>
  <w:style w:type="character" w:customStyle="1" w:styleId="CitaCar">
    <w:name w:val="Cita Car"/>
    <w:basedOn w:val="Fuentedeprrafopredeter"/>
    <w:link w:val="Cita"/>
    <w:uiPriority w:val="29"/>
    <w:rsid w:val="0063107B"/>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63107B"/>
    <w:pPr>
      <w:ind w:left="720"/>
      <w:contextualSpacing/>
    </w:pPr>
  </w:style>
  <w:style w:type="character" w:styleId="nfasisintenso">
    <w:name w:val="Intense Emphasis"/>
    <w:basedOn w:val="Fuentedeprrafopredeter"/>
    <w:uiPriority w:val="21"/>
    <w:qFormat/>
    <w:rsid w:val="0063107B"/>
    <w:rPr>
      <w:i/>
      <w:iCs/>
      <w:color w:val="0F4761" w:themeColor="accent1" w:themeShade="BF"/>
    </w:rPr>
  </w:style>
  <w:style w:type="paragraph" w:styleId="Citadestacada">
    <w:name w:val="Intense Quote"/>
    <w:basedOn w:val="Normal"/>
    <w:next w:val="Normal"/>
    <w:link w:val="CitadestacadaCar"/>
    <w:uiPriority w:val="30"/>
    <w:qFormat/>
    <w:rsid w:val="006310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3107B"/>
    <w:rPr>
      <w:i/>
      <w:iCs/>
      <w:color w:val="0F4761" w:themeColor="accent1" w:themeShade="BF"/>
    </w:rPr>
  </w:style>
  <w:style w:type="character" w:styleId="Referenciaintensa">
    <w:name w:val="Intense Reference"/>
    <w:basedOn w:val="Fuentedeprrafopredeter"/>
    <w:uiPriority w:val="32"/>
    <w:qFormat/>
    <w:rsid w:val="0063107B"/>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3107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3107B"/>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63107B"/>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3107B"/>
    <w:rPr>
      <w:vertAlign w:val="superscript"/>
    </w:rPr>
  </w:style>
  <w:style w:type="paragraph" w:customStyle="1" w:styleId="Appelnotedebasde">
    <w:name w:val="Appel note de bas de..."/>
    <w:basedOn w:val="Normal"/>
    <w:link w:val="Refdenotaalpie"/>
    <w:uiPriority w:val="99"/>
    <w:rsid w:val="0063107B"/>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63107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3107B"/>
    <w:rPr>
      <w:kern w:val="0"/>
      <w14:ligatures w14:val="none"/>
    </w:rPr>
  </w:style>
  <w:style w:type="paragraph" w:styleId="Piedepgina">
    <w:name w:val="footer"/>
    <w:basedOn w:val="Normal"/>
    <w:link w:val="PiedepginaCar"/>
    <w:uiPriority w:val="99"/>
    <w:unhideWhenUsed/>
    <w:rsid w:val="0063107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3107B"/>
    <w:rPr>
      <w:kern w:val="0"/>
      <w14:ligatures w14:val="none"/>
    </w:rPr>
  </w:style>
  <w:style w:type="table" w:styleId="Tablaconcuadrcula">
    <w:name w:val="Table Grid"/>
    <w:basedOn w:val="Tablanormal"/>
    <w:uiPriority w:val="39"/>
    <w:qFormat/>
    <w:rsid w:val="0063107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63107B"/>
    <w:rPr>
      <w:color w:val="467886" w:themeColor="hyperlink"/>
      <w:u w:val="single"/>
    </w:rPr>
  </w:style>
  <w:style w:type="character" w:customStyle="1" w:styleId="normaltextrun">
    <w:name w:val="normaltextrun"/>
    <w:basedOn w:val="Fuentedeprrafopredeter"/>
    <w:rsid w:val="0063107B"/>
  </w:style>
  <w:style w:type="character" w:customStyle="1" w:styleId="eop">
    <w:name w:val="eop"/>
    <w:basedOn w:val="Fuentedeprrafopredeter"/>
    <w:rsid w:val="0063107B"/>
  </w:style>
  <w:style w:type="paragraph" w:customStyle="1" w:styleId="paragraph">
    <w:name w:val="paragraph"/>
    <w:basedOn w:val="Normal"/>
    <w:rsid w:val="0063107B"/>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3107B"/>
  </w:style>
  <w:style w:type="paragraph" w:styleId="NormalWeb">
    <w:name w:val="Normal (Web)"/>
    <w:basedOn w:val="Normal"/>
    <w:link w:val="NormalWebCar"/>
    <w:uiPriority w:val="99"/>
    <w:unhideWhenUsed/>
    <w:rsid w:val="0063107B"/>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63107B"/>
    <w:rPr>
      <w:rFonts w:ascii="Times New Roman" w:eastAsia="Times New Roman" w:hAnsi="Times New Roman" w:cs="Times New Roman"/>
      <w:kern w:val="0"/>
      <w:sz w:val="24"/>
      <w:szCs w:val="24"/>
      <w:lang w:eastAsia="es-CO"/>
      <w14:ligatures w14:val="none"/>
    </w:rPr>
  </w:style>
  <w:style w:type="character" w:customStyle="1" w:styleId="iaj">
    <w:name w:val="i_aj"/>
    <w:basedOn w:val="Fuentedeprrafopredeter"/>
    <w:rsid w:val="007A5343"/>
  </w:style>
  <w:style w:type="character" w:styleId="Mencinsinresolver">
    <w:name w:val="Unresolved Mention"/>
    <w:basedOn w:val="Fuentedeprrafopredeter"/>
    <w:uiPriority w:val="99"/>
    <w:semiHidden/>
    <w:unhideWhenUsed/>
    <w:rsid w:val="00D918F2"/>
    <w:rPr>
      <w:color w:val="605E5C"/>
      <w:shd w:val="clear" w:color="auto" w:fill="E1DFDD"/>
    </w:rPr>
  </w:style>
  <w:style w:type="paragraph" w:customStyle="1" w:styleId="Car1">
    <w:name w:val="Car1"/>
    <w:basedOn w:val="Normal"/>
    <w:next w:val="Textonotapie"/>
    <w:uiPriority w:val="99"/>
    <w:unhideWhenUsed/>
    <w:qFormat/>
    <w:rsid w:val="00033071"/>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colombiacompra.gov.c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manuales-guias-y-pliegos-tipo/manuales-y-guias/manual-para-determinar-y-verificar-los-requisi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269C93C-0D31-4F73-9A36-CC9CE4389EF0}">
  <ds:schemaRefs>
    <ds:schemaRef ds:uri="http://schemas.microsoft.com/sharepoint/v3/contenttype/forms"/>
  </ds:schemaRefs>
</ds:datastoreItem>
</file>

<file path=customXml/itemProps2.xml><?xml version="1.0" encoding="utf-8"?>
<ds:datastoreItem xmlns:ds="http://schemas.openxmlformats.org/officeDocument/2006/customXml" ds:itemID="{48FFEF9C-3DD4-478F-A2D1-A361BB9C95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F36B8F-2284-4FD8-ACCF-8FE4EB5137CC}">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261</TotalTime>
  <Pages>27</Pages>
  <Words>8290</Words>
  <Characters>44523</Characters>
  <Application>Microsoft Office Word</Application>
  <DocSecurity>0</DocSecurity>
  <Lines>856</Lines>
  <Paragraphs>166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35</cp:revision>
  <dcterms:created xsi:type="dcterms:W3CDTF">2026-02-19T15:34:00Z</dcterms:created>
  <dcterms:modified xsi:type="dcterms:W3CDTF">2026-02-24T20:28:00Z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