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30C18" w14:textId="77777777" w:rsidR="00306004" w:rsidRPr="00306004" w:rsidRDefault="00306004" w:rsidP="00FE0E00">
      <w:pPr>
        <w:spacing w:line="276" w:lineRule="auto"/>
        <w:jc w:val="both"/>
        <w:rPr>
          <w:rFonts w:ascii="Verdana" w:eastAsia="Times New Roman" w:hAnsi="Verdana" w:cs="Arial"/>
          <w:b/>
          <w:bCs/>
          <w:lang w:val="es-ES_tradnl" w:eastAsia="es-ES_tradnl"/>
        </w:rPr>
      </w:pPr>
      <w:bookmarkStart w:id="0" w:name="_Hlk143780582"/>
      <w:r w:rsidRPr="00306004">
        <w:rPr>
          <w:rFonts w:ascii="Verdana" w:eastAsia="Times New Roman" w:hAnsi="Verdana" w:cs="Arial"/>
          <w:b/>
          <w:bCs/>
          <w:lang w:val="es-ES_tradnl" w:eastAsia="es-ES_tradnl"/>
        </w:rPr>
        <w:t xml:space="preserve">REQUISITOS HABILITANTES – Noción </w:t>
      </w:r>
    </w:p>
    <w:p w14:paraId="7D05DBD6" w14:textId="77777777" w:rsidR="00A3752F" w:rsidRPr="007D40E1" w:rsidRDefault="00A3752F" w:rsidP="00A3752F">
      <w:pPr>
        <w:spacing w:after="0" w:line="240" w:lineRule="auto"/>
        <w:contextualSpacing/>
        <w:jc w:val="both"/>
        <w:rPr>
          <w:rFonts w:ascii="Verdana" w:eastAsia="Calibri" w:hAnsi="Verdana" w:cs="Arial"/>
          <w:color w:val="000000" w:themeColor="text1"/>
          <w:sz w:val="20"/>
          <w:szCs w:val="20"/>
          <w:lang w:val="es-ES"/>
        </w:rPr>
      </w:pPr>
      <w:r w:rsidRPr="007D40E1">
        <w:rPr>
          <w:rFonts w:ascii="Verdana" w:eastAsia="Calibri" w:hAnsi="Verdana" w:cs="Arial"/>
          <w:color w:val="000000" w:themeColor="text1"/>
          <w:sz w:val="20"/>
          <w:szCs w:val="20"/>
          <w:lang w:val="es-ES"/>
        </w:rPr>
        <w:t xml:space="preserve">Los </w:t>
      </w:r>
      <w:r w:rsidRPr="007D40E1">
        <w:rPr>
          <w:rFonts w:ascii="Verdana" w:eastAsia="Calibri" w:hAnsi="Verdana" w:cs="Arial"/>
          <w:i/>
          <w:color w:val="000000" w:themeColor="text1"/>
          <w:sz w:val="20"/>
          <w:szCs w:val="20"/>
          <w:lang w:val="es-ES"/>
        </w:rPr>
        <w:t>requisitos habilitantes</w:t>
      </w:r>
      <w:r w:rsidRPr="007D40E1">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7D40E1">
        <w:rPr>
          <w:rFonts w:ascii="Verdana" w:eastAsia="Calibri" w:hAnsi="Verdana" w:cs="Arial"/>
          <w:i/>
          <w:color w:val="000000" w:themeColor="text1"/>
          <w:sz w:val="20"/>
          <w:szCs w:val="20"/>
          <w:lang w:val="es-ES"/>
        </w:rPr>
        <w:t>criterios de evaluación</w:t>
      </w:r>
      <w:r w:rsidRPr="007D40E1">
        <w:rPr>
          <w:rFonts w:ascii="Verdana" w:eastAsia="Calibri" w:hAnsi="Verdana" w:cs="Arial"/>
          <w:color w:val="000000" w:themeColor="text1"/>
          <w:sz w:val="20"/>
          <w:szCs w:val="20"/>
          <w:lang w:val="es-ES"/>
        </w:rPr>
        <w:t xml:space="preserve"> –también conocidos como </w:t>
      </w:r>
      <w:r w:rsidRPr="007D40E1">
        <w:rPr>
          <w:rFonts w:ascii="Verdana" w:eastAsia="Calibri" w:hAnsi="Verdana" w:cs="Arial"/>
          <w:i/>
          <w:color w:val="000000" w:themeColor="text1"/>
          <w:sz w:val="20"/>
          <w:szCs w:val="20"/>
          <w:lang w:val="es-ES"/>
        </w:rPr>
        <w:t>criterios de calificación</w:t>
      </w:r>
      <w:r w:rsidRPr="007D40E1">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64CFA8CF" w14:textId="77777777" w:rsidR="00A3752F" w:rsidRPr="007D40E1" w:rsidRDefault="00A3752F" w:rsidP="00A3752F">
      <w:pPr>
        <w:spacing w:after="0" w:line="240" w:lineRule="auto"/>
        <w:contextualSpacing/>
        <w:jc w:val="both"/>
        <w:rPr>
          <w:rFonts w:ascii="Verdana" w:eastAsia="Calibri" w:hAnsi="Verdana" w:cs="Arial"/>
          <w:color w:val="000000" w:themeColor="text1"/>
          <w:sz w:val="20"/>
          <w:szCs w:val="20"/>
          <w:lang w:val="es-ES"/>
        </w:rPr>
      </w:pPr>
    </w:p>
    <w:p w14:paraId="6D1378B5" w14:textId="635F63BD" w:rsidR="00FE0E00" w:rsidRPr="007D40E1" w:rsidRDefault="00A3752F" w:rsidP="00CF4F07">
      <w:pPr>
        <w:spacing w:after="0" w:line="240" w:lineRule="auto"/>
        <w:contextualSpacing/>
        <w:jc w:val="both"/>
        <w:rPr>
          <w:rFonts w:ascii="Verdana" w:eastAsia="Calibri" w:hAnsi="Verdana" w:cs="Arial"/>
          <w:color w:val="000000" w:themeColor="text1"/>
          <w:sz w:val="20"/>
          <w:szCs w:val="20"/>
          <w:lang w:val="es-ES"/>
        </w:rPr>
      </w:pPr>
      <w:r w:rsidRPr="007D40E1">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6A1937CD" w14:textId="77777777" w:rsidR="00CF4F07" w:rsidRPr="00CF4F07" w:rsidRDefault="00CF4F07" w:rsidP="00CF4F07">
      <w:pPr>
        <w:spacing w:after="0" w:line="240" w:lineRule="auto"/>
        <w:contextualSpacing/>
        <w:jc w:val="both"/>
        <w:rPr>
          <w:rFonts w:ascii="Verdana" w:eastAsia="Calibri" w:hAnsi="Verdana" w:cs="Arial"/>
          <w:color w:val="000000" w:themeColor="text1"/>
          <w:lang w:val="es-ES"/>
        </w:rPr>
      </w:pPr>
    </w:p>
    <w:p w14:paraId="75439195" w14:textId="45EEE31D" w:rsidR="00FE0E00" w:rsidRDefault="00A3752F" w:rsidP="00A3752F">
      <w:pPr>
        <w:jc w:val="both"/>
        <w:rPr>
          <w:rFonts w:ascii="Verdana" w:eastAsia="Times New Roman" w:hAnsi="Verdana" w:cs="Arial"/>
          <w:b/>
          <w:bCs/>
          <w:lang w:val="es-ES_tradnl" w:eastAsia="es-ES_tradnl"/>
        </w:rPr>
      </w:pPr>
      <w:r w:rsidRPr="00A3752F">
        <w:rPr>
          <w:rFonts w:ascii="Verdana" w:eastAsia="Times New Roman" w:hAnsi="Verdana" w:cs="Arial"/>
          <w:b/>
          <w:bCs/>
          <w:lang w:val="es-ES_tradnl" w:eastAsia="es-ES_tradnl"/>
        </w:rPr>
        <w:t xml:space="preserve">REQUISITOS HABILITANTES – Capacidad financiera – Capacidad organizacional </w:t>
      </w:r>
      <w:r>
        <w:rPr>
          <w:rFonts w:ascii="Verdana" w:eastAsia="Times New Roman" w:hAnsi="Verdana" w:cs="Arial"/>
          <w:b/>
          <w:bCs/>
          <w:lang w:val="es-ES_tradnl" w:eastAsia="es-ES_tradnl"/>
        </w:rPr>
        <w:t>–</w:t>
      </w:r>
      <w:r w:rsidRPr="00A3752F">
        <w:rPr>
          <w:rFonts w:ascii="Verdana" w:eastAsia="Times New Roman" w:hAnsi="Verdana" w:cs="Arial"/>
          <w:b/>
          <w:bCs/>
          <w:lang w:val="es-ES_tradnl" w:eastAsia="es-ES_tradnl"/>
        </w:rPr>
        <w:t xml:space="preserve"> Verificación</w:t>
      </w:r>
    </w:p>
    <w:p w14:paraId="3CE90BA0" w14:textId="77777777" w:rsidR="000D5187" w:rsidRPr="007D40E1" w:rsidRDefault="000D5187" w:rsidP="000D5187">
      <w:pPr>
        <w:spacing w:after="0" w:line="240" w:lineRule="auto"/>
        <w:contextualSpacing/>
        <w:jc w:val="both"/>
        <w:rPr>
          <w:rFonts w:ascii="Verdana" w:eastAsia="Calibri" w:hAnsi="Verdana" w:cs="Arial"/>
          <w:sz w:val="20"/>
          <w:szCs w:val="20"/>
          <w:lang w:val="es-ES"/>
        </w:rPr>
      </w:pPr>
      <w:r w:rsidRPr="007D40E1">
        <w:rPr>
          <w:rFonts w:ascii="Verdana" w:eastAsia="Calibri" w:hAnsi="Verdana" w:cs="Arial"/>
          <w:sz w:val="20"/>
          <w:szCs w:val="20"/>
          <w:lang w:val="es-ES"/>
        </w:rPr>
        <w:t>Por otra parte, los requisitos habilitantes como la capacidad financiera deben ser evaluados de acuerdo con lo registrado en el RUP, salvo los procesos exceptuados de este registro. Según el artículo 2.2.1.1.1.5.2. del Decreto 1082 de 2015, para la inscripción en el RUP el proponente aporta, entre otros, “Estados financieros de la sociedad (…)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I. Principales cuentas detalladas del balance general. II. Principales cuentas del estado de pérdidas y ganancias. III. Cuentas contingentes deudoras y acreedoras (…)”.</w:t>
      </w:r>
    </w:p>
    <w:p w14:paraId="725F3B88" w14:textId="77777777" w:rsidR="000D5187" w:rsidRPr="00DB1195" w:rsidRDefault="000D5187" w:rsidP="000D5187">
      <w:pPr>
        <w:spacing w:after="0" w:line="240" w:lineRule="auto"/>
        <w:contextualSpacing/>
        <w:jc w:val="both"/>
        <w:rPr>
          <w:rFonts w:ascii="Verdana" w:eastAsia="Calibri" w:hAnsi="Verdana" w:cs="Arial"/>
          <w:lang w:val="es-ES"/>
        </w:rPr>
      </w:pPr>
    </w:p>
    <w:p w14:paraId="5896D6AB" w14:textId="6E12A6CC" w:rsidR="00A3752F" w:rsidRDefault="000D5187" w:rsidP="00A3752F">
      <w:pPr>
        <w:jc w:val="both"/>
        <w:rPr>
          <w:rFonts w:ascii="Verdana" w:eastAsia="Times New Roman" w:hAnsi="Verdana" w:cs="Arial"/>
          <w:b/>
          <w:bCs/>
          <w:lang w:val="es-ES_tradnl" w:eastAsia="es-ES_tradnl"/>
        </w:rPr>
      </w:pPr>
      <w:r w:rsidRPr="000D5187">
        <w:rPr>
          <w:rFonts w:ascii="Verdana" w:eastAsia="Times New Roman" w:hAnsi="Verdana" w:cs="Arial"/>
          <w:b/>
          <w:bCs/>
          <w:lang w:val="es-ES_tradnl" w:eastAsia="es-ES_tradnl"/>
        </w:rPr>
        <w:t>REQUISITOS HABILITANTES – Procesos de selección</w:t>
      </w:r>
    </w:p>
    <w:p w14:paraId="2D1252F9" w14:textId="797E9D13" w:rsidR="000D5187" w:rsidRPr="007D40E1" w:rsidRDefault="00402C37" w:rsidP="00402C37">
      <w:pPr>
        <w:spacing w:after="120" w:line="276" w:lineRule="auto"/>
        <w:jc w:val="both"/>
        <w:rPr>
          <w:rFonts w:ascii="Verdana" w:hAnsi="Verdana" w:cs="Arial"/>
          <w:color w:val="000000" w:themeColor="text1"/>
          <w:sz w:val="20"/>
          <w:szCs w:val="20"/>
          <w:lang w:val="es-ES_tradnl"/>
        </w:rPr>
      </w:pPr>
      <w:r w:rsidRPr="007D40E1">
        <w:rPr>
          <w:rFonts w:ascii="Verdana" w:hAnsi="Verdana" w:cs="Arial"/>
          <w:color w:val="000000" w:themeColor="text1"/>
          <w:sz w:val="20"/>
          <w:szCs w:val="20"/>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47924337" w14:textId="77777777" w:rsidR="00402C37" w:rsidRPr="00DB1195" w:rsidRDefault="00402C37" w:rsidP="00402C37">
      <w:pPr>
        <w:spacing w:after="120" w:line="276" w:lineRule="auto"/>
        <w:jc w:val="both"/>
        <w:rPr>
          <w:rFonts w:ascii="Verdana" w:hAnsi="Verdana" w:cs="Arial"/>
          <w:color w:val="000000" w:themeColor="text1"/>
          <w:lang w:val="es-ES_tradnl"/>
        </w:rPr>
      </w:pPr>
    </w:p>
    <w:p w14:paraId="3AFAFD94" w14:textId="49DEE0CB" w:rsidR="00402C37" w:rsidRDefault="00402C37" w:rsidP="00402C37">
      <w:pPr>
        <w:spacing w:after="120" w:line="276" w:lineRule="auto"/>
        <w:jc w:val="both"/>
        <w:rPr>
          <w:rFonts w:ascii="Verdana" w:eastAsia="Times New Roman" w:hAnsi="Verdana" w:cs="Arial"/>
          <w:b/>
          <w:bCs/>
          <w:lang w:val="es-ES" w:eastAsia="es-ES_tradnl"/>
        </w:rPr>
      </w:pPr>
      <w:r w:rsidRPr="00402C37">
        <w:rPr>
          <w:rFonts w:ascii="Verdana" w:eastAsia="Times New Roman" w:hAnsi="Verdana" w:cs="Arial"/>
          <w:b/>
          <w:bCs/>
          <w:lang w:val="es-ES_tradnl" w:eastAsia="es-ES_tradnl"/>
        </w:rPr>
        <w:lastRenderedPageBreak/>
        <w:t xml:space="preserve">REQUISITOS HABILITANTES – Selección objetiva  </w:t>
      </w:r>
      <w:r w:rsidRPr="00402C37">
        <w:rPr>
          <w:rFonts w:ascii="Verdana" w:eastAsia="Times New Roman" w:hAnsi="Verdana" w:cs="Arial"/>
          <w:b/>
          <w:bCs/>
          <w:lang w:val="es-ES" w:eastAsia="es-ES_tradnl"/>
        </w:rPr>
        <w:t xml:space="preserve"> </w:t>
      </w:r>
    </w:p>
    <w:p w14:paraId="1E83DE70" w14:textId="77777777" w:rsidR="00531B02" w:rsidRPr="007D40E1" w:rsidRDefault="00531B02" w:rsidP="00531B02">
      <w:pPr>
        <w:spacing w:after="120" w:line="276" w:lineRule="auto"/>
        <w:jc w:val="both"/>
        <w:rPr>
          <w:rFonts w:ascii="Verdana" w:hAnsi="Verdana" w:cs="Arial"/>
          <w:color w:val="000000" w:themeColor="text1"/>
          <w:sz w:val="20"/>
          <w:szCs w:val="20"/>
          <w:lang w:val="es-ES"/>
        </w:rPr>
      </w:pPr>
      <w:r w:rsidRPr="007D40E1">
        <w:rPr>
          <w:rFonts w:ascii="Verdana" w:hAnsi="Verdana" w:cs="Arial"/>
          <w:color w:val="000000" w:themeColor="text1"/>
          <w:sz w:val="20"/>
          <w:szCs w:val="20"/>
          <w:lang w:val="es-ES"/>
        </w:rPr>
        <w:t xml:space="preserve">Específicamente, el numeral 1º del referido artículo 5 establece que en los procesos de selección de contratistas serán objeto de verificación, como requisitos habilitantes, </w:t>
      </w:r>
      <w:r w:rsidRPr="007D40E1">
        <w:rPr>
          <w:rFonts w:ascii="Verdana" w:hAnsi="Verdana" w:cs="Arial"/>
          <w:i/>
          <w:color w:val="000000" w:themeColor="text1"/>
          <w:sz w:val="20"/>
          <w:szCs w:val="20"/>
          <w:lang w:val="es-ES"/>
        </w:rPr>
        <w:t>entre otros</w:t>
      </w:r>
      <w:r w:rsidRPr="007D40E1">
        <w:rPr>
          <w:rFonts w:ascii="Verdana" w:hAnsi="Verdana" w:cs="Arial"/>
          <w:color w:val="000000" w:themeColor="text1"/>
          <w:sz w:val="20"/>
          <w:szCs w:val="20"/>
          <w:lang w:val="es-ES"/>
        </w:rPr>
        <w:t xml:space="preserve">, los siguientes: i) la capacidad jurídica; ii) la experiencia – a la que se refiere en su consulta; iii) la capacidad financiera y </w:t>
      </w:r>
      <w:proofErr w:type="spellStart"/>
      <w:r w:rsidRPr="007D40E1">
        <w:rPr>
          <w:rFonts w:ascii="Verdana" w:hAnsi="Verdana" w:cs="Arial"/>
          <w:color w:val="000000" w:themeColor="text1"/>
          <w:sz w:val="20"/>
          <w:szCs w:val="20"/>
          <w:lang w:val="es-ES"/>
        </w:rPr>
        <w:t>iv</w:t>
      </w:r>
      <w:proofErr w:type="spellEnd"/>
      <w:r w:rsidRPr="007D40E1">
        <w:rPr>
          <w:rFonts w:ascii="Verdana" w:hAnsi="Verdana" w:cs="Arial"/>
          <w:color w:val="000000" w:themeColor="text1"/>
          <w:sz w:val="20"/>
          <w:szCs w:val="20"/>
          <w:lang w:val="es-ES"/>
        </w:rPr>
        <w:t xml:space="preserve">) la capacidad de organización. En efecto, la normativa citada prescribe lo siguiente: </w:t>
      </w:r>
    </w:p>
    <w:p w14:paraId="4A46D869" w14:textId="77777777" w:rsidR="00531B02" w:rsidRPr="007D40E1" w:rsidRDefault="00531B02" w:rsidP="00531B02">
      <w:pPr>
        <w:spacing w:after="0" w:line="240" w:lineRule="auto"/>
        <w:ind w:right="709"/>
        <w:rPr>
          <w:rFonts w:ascii="Verdana" w:hAnsi="Verdana" w:cs="Arial"/>
          <w:color w:val="000000" w:themeColor="text1"/>
          <w:sz w:val="20"/>
          <w:szCs w:val="20"/>
          <w:lang w:val="es-ES_tradnl"/>
        </w:rPr>
      </w:pPr>
      <w:r w:rsidRPr="007D40E1">
        <w:rPr>
          <w:rFonts w:ascii="Verdana" w:hAnsi="Verdana" w:cs="Arial"/>
          <w:i/>
          <w:color w:val="000000" w:themeColor="text1"/>
          <w:sz w:val="20"/>
          <w:szCs w:val="20"/>
          <w:lang w:val="es-ES_tradnl"/>
        </w:rPr>
        <w:t>“</w:t>
      </w:r>
      <w:r w:rsidRPr="007D40E1">
        <w:rPr>
          <w:rFonts w:ascii="Verdana" w:hAnsi="Verdana" w:cs="Arial"/>
          <w:color w:val="000000" w:themeColor="text1"/>
          <w:sz w:val="20"/>
          <w:szCs w:val="20"/>
          <w:lang w:val="es-ES_tradnl"/>
        </w:rPr>
        <w:t xml:space="preserve">Artículo 5. De la Selección Objetiva. </w:t>
      </w:r>
    </w:p>
    <w:p w14:paraId="1AE9000D" w14:textId="77777777" w:rsidR="00531B02" w:rsidRPr="007D40E1" w:rsidRDefault="00531B02" w:rsidP="00531B02">
      <w:pPr>
        <w:spacing w:after="0" w:line="240" w:lineRule="auto"/>
        <w:ind w:right="709"/>
        <w:rPr>
          <w:rFonts w:ascii="Verdana" w:hAnsi="Verdana" w:cs="Arial"/>
          <w:color w:val="000000" w:themeColor="text1"/>
          <w:sz w:val="20"/>
          <w:szCs w:val="20"/>
          <w:lang w:val="es-ES_tradnl"/>
        </w:rPr>
      </w:pPr>
      <w:r w:rsidRPr="007D40E1">
        <w:rPr>
          <w:rFonts w:ascii="Verdana" w:hAnsi="Verdana" w:cs="Arial"/>
          <w:color w:val="000000" w:themeColor="text1"/>
          <w:sz w:val="20"/>
          <w:szCs w:val="20"/>
          <w:lang w:val="es-ES_tradnl"/>
        </w:rPr>
        <w:t>[…]</w:t>
      </w:r>
    </w:p>
    <w:p w14:paraId="78AB130C" w14:textId="77777777" w:rsidR="00BA2473" w:rsidRDefault="00BA2473" w:rsidP="00DB1195">
      <w:pPr>
        <w:spacing w:after="0" w:line="240" w:lineRule="auto"/>
        <w:ind w:right="49"/>
        <w:jc w:val="both"/>
        <w:rPr>
          <w:rFonts w:ascii="Verdana" w:eastAsia="Calibri" w:hAnsi="Verdana" w:cs="Arial"/>
          <w:color w:val="000000" w:themeColor="text1"/>
          <w:sz w:val="20"/>
          <w:szCs w:val="20"/>
        </w:rPr>
      </w:pPr>
    </w:p>
    <w:p w14:paraId="77B3A645" w14:textId="695EE604" w:rsidR="00531B02" w:rsidRPr="007D40E1" w:rsidRDefault="00531B02" w:rsidP="00DB1195">
      <w:pPr>
        <w:spacing w:after="0" w:line="240" w:lineRule="auto"/>
        <w:ind w:right="49"/>
        <w:jc w:val="both"/>
        <w:rPr>
          <w:rFonts w:ascii="Verdana" w:eastAsia="Calibri" w:hAnsi="Verdana" w:cs="Arial"/>
          <w:color w:val="000000" w:themeColor="text1"/>
          <w:sz w:val="20"/>
          <w:szCs w:val="20"/>
        </w:rPr>
      </w:pPr>
      <w:r w:rsidRPr="007D40E1">
        <w:rPr>
          <w:rFonts w:ascii="Verdana" w:eastAsia="Calibri" w:hAnsi="Verdana" w:cs="Arial"/>
          <w:color w:val="000000" w:themeColor="text1"/>
          <w:sz w:val="20"/>
          <w:szCs w:val="20"/>
        </w:rPr>
        <w:t>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7D40E1">
        <w:rPr>
          <w:rFonts w:ascii="Verdana" w:eastAsia="Calibri" w:hAnsi="Verdana" w:cs="Arial"/>
          <w:i/>
          <w:color w:val="000000" w:themeColor="text1"/>
          <w:sz w:val="20"/>
          <w:szCs w:val="20"/>
        </w:rPr>
        <w:t>”</w:t>
      </w:r>
      <w:r w:rsidRPr="007D40E1">
        <w:rPr>
          <w:rFonts w:ascii="Verdana" w:eastAsia="Calibri" w:hAnsi="Verdana" w:cs="Arial"/>
          <w:color w:val="000000" w:themeColor="text1"/>
          <w:sz w:val="20"/>
          <w:szCs w:val="20"/>
        </w:rPr>
        <w:t>.</w:t>
      </w:r>
    </w:p>
    <w:p w14:paraId="6716D20D" w14:textId="77777777" w:rsidR="00402C37" w:rsidRDefault="00402C37" w:rsidP="00DB1195">
      <w:pPr>
        <w:spacing w:after="120" w:line="276" w:lineRule="auto"/>
        <w:ind w:right="49"/>
        <w:jc w:val="both"/>
        <w:rPr>
          <w:rFonts w:ascii="Verdana" w:eastAsia="Times New Roman" w:hAnsi="Verdana" w:cs="Arial"/>
          <w:b/>
          <w:bCs/>
          <w:lang w:val="es-ES" w:eastAsia="es-ES_tradnl"/>
        </w:rPr>
      </w:pPr>
    </w:p>
    <w:p w14:paraId="1C82842C" w14:textId="77777777" w:rsidR="00402C37" w:rsidRPr="00DB1195" w:rsidRDefault="00402C37" w:rsidP="00402C37">
      <w:pPr>
        <w:spacing w:after="120" w:line="276" w:lineRule="auto"/>
        <w:jc w:val="both"/>
        <w:rPr>
          <w:rFonts w:ascii="Verdana" w:hAnsi="Verdana" w:cs="Arial"/>
          <w:b/>
          <w:color w:val="000000" w:themeColor="text1"/>
          <w:lang w:val="es-ES_tradnl"/>
        </w:rPr>
      </w:pPr>
    </w:p>
    <w:p w14:paraId="03635CDA" w14:textId="77777777" w:rsidR="000D5187" w:rsidRPr="000D5187" w:rsidRDefault="000D5187" w:rsidP="00A3752F">
      <w:pPr>
        <w:jc w:val="both"/>
        <w:rPr>
          <w:rFonts w:ascii="Verdana" w:hAnsi="Verdana"/>
          <w:b/>
          <w:bCs/>
          <w:lang w:val="es-ES"/>
        </w:rPr>
      </w:pPr>
    </w:p>
    <w:p w14:paraId="5936038D" w14:textId="77777777" w:rsidR="00FE0E00" w:rsidRDefault="00FE0E00" w:rsidP="00FE0E00">
      <w:pPr>
        <w:rPr>
          <w:rFonts w:ascii="Verdana" w:hAnsi="Verdana"/>
        </w:rPr>
      </w:pPr>
    </w:p>
    <w:p w14:paraId="2DA43AD1" w14:textId="77777777" w:rsidR="00FE0E00" w:rsidRDefault="00FE0E00" w:rsidP="00FE0E00">
      <w:pPr>
        <w:rPr>
          <w:rFonts w:ascii="Verdana" w:hAnsi="Verdana"/>
        </w:rPr>
      </w:pPr>
    </w:p>
    <w:p w14:paraId="629AC28A" w14:textId="77777777" w:rsidR="00FE0E00" w:rsidRDefault="00FE0E00" w:rsidP="00FE0E00">
      <w:pPr>
        <w:rPr>
          <w:rFonts w:ascii="Verdana" w:hAnsi="Verdana"/>
        </w:rPr>
      </w:pPr>
    </w:p>
    <w:p w14:paraId="5C3792D7" w14:textId="77777777" w:rsidR="00FE0E00" w:rsidRDefault="00FE0E00" w:rsidP="00FE0E00">
      <w:pPr>
        <w:rPr>
          <w:rFonts w:ascii="Verdana" w:hAnsi="Verdana"/>
        </w:rPr>
      </w:pPr>
    </w:p>
    <w:p w14:paraId="2320D236" w14:textId="77777777" w:rsidR="00625758" w:rsidRDefault="00625758" w:rsidP="00FE0E00">
      <w:pPr>
        <w:rPr>
          <w:rFonts w:ascii="Verdana" w:hAnsi="Verdana"/>
        </w:rPr>
      </w:pPr>
    </w:p>
    <w:p w14:paraId="7626D55F" w14:textId="77777777" w:rsidR="007D40E1" w:rsidRDefault="007D40E1" w:rsidP="00FE0E00">
      <w:pPr>
        <w:rPr>
          <w:rFonts w:ascii="Verdana" w:hAnsi="Verdana"/>
        </w:rPr>
      </w:pPr>
    </w:p>
    <w:p w14:paraId="0236C697" w14:textId="77777777" w:rsidR="007D40E1" w:rsidRDefault="007D40E1" w:rsidP="00FE0E00">
      <w:pPr>
        <w:rPr>
          <w:rFonts w:ascii="Verdana" w:hAnsi="Verdana"/>
        </w:rPr>
      </w:pPr>
    </w:p>
    <w:p w14:paraId="1CF84429" w14:textId="77777777" w:rsidR="007D40E1" w:rsidRDefault="007D40E1" w:rsidP="00FE0E00">
      <w:pPr>
        <w:rPr>
          <w:rFonts w:ascii="Verdana" w:hAnsi="Verdana"/>
        </w:rPr>
      </w:pPr>
    </w:p>
    <w:p w14:paraId="01C5B27B" w14:textId="77777777" w:rsidR="007D40E1" w:rsidRDefault="007D40E1" w:rsidP="00FE0E00">
      <w:pPr>
        <w:rPr>
          <w:rFonts w:ascii="Verdana" w:hAnsi="Verdana"/>
        </w:rPr>
      </w:pPr>
    </w:p>
    <w:p w14:paraId="3B788DEA" w14:textId="77777777" w:rsidR="007D40E1" w:rsidRDefault="007D40E1" w:rsidP="00FE0E00">
      <w:pPr>
        <w:rPr>
          <w:rFonts w:ascii="Verdana" w:hAnsi="Verdana"/>
        </w:rPr>
      </w:pPr>
    </w:p>
    <w:p w14:paraId="7B75FFFF" w14:textId="77777777" w:rsidR="007D40E1" w:rsidRDefault="007D40E1" w:rsidP="00FE0E00">
      <w:pPr>
        <w:rPr>
          <w:rFonts w:ascii="Verdana" w:hAnsi="Verdana"/>
        </w:rPr>
      </w:pPr>
    </w:p>
    <w:p w14:paraId="60F6A9FE" w14:textId="77777777" w:rsidR="007D40E1" w:rsidRDefault="007D40E1" w:rsidP="00FE0E00">
      <w:pPr>
        <w:rPr>
          <w:rFonts w:ascii="Verdana" w:hAnsi="Verdana"/>
        </w:rPr>
      </w:pPr>
    </w:p>
    <w:p w14:paraId="1468C46D" w14:textId="78EAC0E3" w:rsidR="00C15139" w:rsidRDefault="00625758" w:rsidP="00FE0E00">
      <w:pPr>
        <w:rPr>
          <w:rFonts w:ascii="Verdana" w:hAnsi="Verdana"/>
        </w:rPr>
      </w:pPr>
      <w:r w:rsidRPr="00625758">
        <w:rPr>
          <w:rFonts w:ascii="Verdana" w:hAnsi="Verdana"/>
        </w:rPr>
        <w:t xml:space="preserve">Bogotá D.C., 19 </w:t>
      </w:r>
      <w:r w:rsidRPr="00625758">
        <w:rPr>
          <w:rFonts w:ascii="Verdana" w:hAnsi="Verdana"/>
        </w:rPr>
        <w:t>febrero</w:t>
      </w:r>
      <w:r w:rsidRPr="00625758">
        <w:rPr>
          <w:rFonts w:ascii="Verdana" w:hAnsi="Verdana"/>
        </w:rPr>
        <w:t xml:space="preserve"> 2026</w:t>
      </w:r>
      <w:r w:rsidR="00C15139" w:rsidRPr="00DB1195">
        <w:rPr>
          <w:rFonts w:ascii="Verdana" w:hAnsi="Verdana"/>
        </w:rPr>
        <w:tab/>
      </w:r>
    </w:p>
    <w:p w14:paraId="07AE52F4" w14:textId="77777777" w:rsidR="00625758" w:rsidRPr="00FE0E00" w:rsidRDefault="00625758" w:rsidP="00FE0E00">
      <w:pPr>
        <w:rPr>
          <w:rFonts w:ascii="Verdana" w:hAnsi="Verdana"/>
        </w:rPr>
      </w:pPr>
    </w:p>
    <w:p w14:paraId="597A1584" w14:textId="0C9E5E53" w:rsidR="00225197" w:rsidRPr="008035F8" w:rsidRDefault="002E1361" w:rsidP="30821638">
      <w:pPr>
        <w:spacing w:after="0"/>
        <w:rPr>
          <w:rFonts w:ascii="Verdana" w:eastAsia="Verdana" w:hAnsi="Verdana" w:cs="Verdana"/>
          <w:b/>
          <w:bCs/>
        </w:rPr>
      </w:pPr>
      <w:r w:rsidRPr="002E1361">
        <w:rPr>
          <w:rFonts w:ascii="Verdana" w:eastAsia="Verdana" w:hAnsi="Verdana" w:cs="Verdana"/>
          <w:noProof/>
        </w:rPr>
        <w:drawing>
          <wp:anchor distT="0" distB="0" distL="114300" distR="114300" simplePos="0" relativeHeight="251658752" behindDoc="1" locked="0" layoutInCell="1" allowOverlap="1" wp14:anchorId="13EBD910" wp14:editId="1416AC03">
            <wp:simplePos x="0" y="0"/>
            <wp:positionH relativeFrom="column">
              <wp:posOffset>3172460</wp:posOffset>
            </wp:positionH>
            <wp:positionV relativeFrom="paragraph">
              <wp:posOffset>77470</wp:posOffset>
            </wp:positionV>
            <wp:extent cx="2440940" cy="754380"/>
            <wp:effectExtent l="0" t="0" r="0" b="7620"/>
            <wp:wrapTight wrapText="bothSides">
              <wp:wrapPolygon edited="0">
                <wp:start x="0" y="0"/>
                <wp:lineTo x="0" y="21273"/>
                <wp:lineTo x="21409" y="21273"/>
                <wp:lineTo x="21409" y="0"/>
                <wp:lineTo x="0" y="0"/>
              </wp:wrapPolygon>
            </wp:wrapTight>
            <wp:docPr id="10917202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0940"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35F8">
        <w:rPr>
          <w:rFonts w:ascii="Verdana" w:eastAsia="Verdana" w:hAnsi="Verdana" w:cs="Verdana"/>
        </w:rPr>
        <w:t xml:space="preserve">Señor </w:t>
      </w:r>
    </w:p>
    <w:p w14:paraId="3A303EC3" w14:textId="390E4B9C" w:rsidR="008035F8" w:rsidRPr="008035F8" w:rsidRDefault="008035F8" w:rsidP="30821638">
      <w:pPr>
        <w:spacing w:after="0"/>
        <w:rPr>
          <w:rFonts w:ascii="Verdana" w:eastAsia="Verdana" w:hAnsi="Verdana" w:cs="Verdana"/>
          <w:b/>
          <w:bCs/>
        </w:rPr>
      </w:pPr>
      <w:r w:rsidRPr="008035F8">
        <w:rPr>
          <w:rFonts w:ascii="Verdana" w:eastAsia="Verdana" w:hAnsi="Verdana" w:cs="Verdana"/>
          <w:b/>
          <w:bCs/>
        </w:rPr>
        <w:t>Iván Darío Gutiérrez Cardozo</w:t>
      </w:r>
    </w:p>
    <w:p w14:paraId="274C5EF4" w14:textId="07AB217B" w:rsidR="008035F8" w:rsidRDefault="008035F8" w:rsidP="30821638">
      <w:pPr>
        <w:spacing w:after="0"/>
        <w:rPr>
          <w:rFonts w:ascii="Verdana" w:eastAsia="Verdana" w:hAnsi="Verdana" w:cs="Verdana"/>
        </w:rPr>
      </w:pPr>
      <w:hyperlink r:id="rId12" w:history="1">
        <w:r w:rsidRPr="00022FF1">
          <w:rPr>
            <w:rStyle w:val="Hipervnculo"/>
            <w:rFonts w:ascii="Verdana" w:eastAsia="Verdana" w:hAnsi="Verdana" w:cs="Verdana"/>
          </w:rPr>
          <w:t>ivandariog@hotmail.com</w:t>
        </w:r>
      </w:hyperlink>
      <w:r w:rsidRPr="00022FF1">
        <w:rPr>
          <w:rFonts w:ascii="Verdana" w:eastAsia="Verdana" w:hAnsi="Verdana" w:cs="Verdana"/>
        </w:rPr>
        <w:t xml:space="preserve"> </w:t>
      </w:r>
    </w:p>
    <w:p w14:paraId="72ECCC24" w14:textId="1A837BF3" w:rsidR="008035F8" w:rsidRDefault="008035F8" w:rsidP="30821638">
      <w:pPr>
        <w:spacing w:after="0"/>
        <w:rPr>
          <w:rFonts w:ascii="Verdana" w:eastAsia="Verdana" w:hAnsi="Verdana" w:cs="Verdana"/>
        </w:rPr>
      </w:pPr>
      <w:r>
        <w:rPr>
          <w:rFonts w:ascii="Verdana" w:eastAsia="Verdana" w:hAnsi="Verdana" w:cs="Verdana"/>
        </w:rPr>
        <w:t xml:space="preserve">Neiva, Colombia </w:t>
      </w:r>
    </w:p>
    <w:p w14:paraId="722E0DAF" w14:textId="77777777" w:rsidR="008035F8" w:rsidRDefault="008035F8" w:rsidP="30821638">
      <w:pPr>
        <w:spacing w:after="0"/>
        <w:rPr>
          <w:rFonts w:ascii="Verdana" w:eastAsia="Verdana" w:hAnsi="Verdana" w:cs="Verdana"/>
        </w:rPr>
      </w:pPr>
    </w:p>
    <w:p w14:paraId="3DC808AF" w14:textId="4A0D8A59" w:rsidR="00EE1568" w:rsidRPr="00262582" w:rsidRDefault="00EE1568" w:rsidP="00EE1568">
      <w:pPr>
        <w:spacing w:after="0" w:line="240" w:lineRule="auto"/>
        <w:ind w:left="2694"/>
        <w:rPr>
          <w:rFonts w:ascii="Verdana" w:eastAsia="Calibri" w:hAnsi="Verdana" w:cs="Arial"/>
          <w:b/>
          <w:bCs/>
          <w:lang w:val="es-ES" w:eastAsia="es-ES_tradnl"/>
        </w:rPr>
      </w:pPr>
      <w:r>
        <w:rPr>
          <w:rFonts w:ascii="Verdana" w:eastAsia="Calibri" w:hAnsi="Verdana" w:cs="Arial"/>
          <w:b/>
          <w:bCs/>
          <w:lang w:val="es-ES" w:eastAsia="es-ES_tradnl"/>
        </w:rPr>
        <w:t>C</w:t>
      </w:r>
      <w:r w:rsidRPr="00262582">
        <w:rPr>
          <w:rFonts w:ascii="Verdana" w:eastAsia="Calibri" w:hAnsi="Verdana" w:cs="Arial"/>
          <w:b/>
          <w:bCs/>
          <w:lang w:val="es-ES" w:eastAsia="es-ES_tradnl"/>
        </w:rPr>
        <w:t>oncepto C-</w:t>
      </w:r>
      <w:r w:rsidR="00123071">
        <w:rPr>
          <w:rFonts w:ascii="Verdana" w:eastAsia="Calibri" w:hAnsi="Verdana" w:cs="Arial"/>
          <w:b/>
          <w:bCs/>
          <w:lang w:val="es-ES" w:eastAsia="es-ES_tradnl"/>
        </w:rPr>
        <w:t>036 de 2026</w:t>
      </w:r>
    </w:p>
    <w:p w14:paraId="3E01F891" w14:textId="77777777" w:rsidR="00EE1568" w:rsidRPr="00262582" w:rsidRDefault="00EE1568" w:rsidP="00EE1568">
      <w:pPr>
        <w:spacing w:after="0" w:line="240" w:lineRule="auto"/>
        <w:jc w:val="both"/>
        <w:rPr>
          <w:rFonts w:ascii="Verdana" w:eastAsia="Calibri" w:hAnsi="Verdana" w:cs="Arial"/>
          <w:lang w:val="es-ES_tradnl" w:eastAsia="es-ES_tradnl"/>
        </w:rPr>
      </w:pPr>
    </w:p>
    <w:tbl>
      <w:tblPr>
        <w:tblStyle w:val="Tablaconcuadrcula"/>
        <w:tblW w:w="8784"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47"/>
        <w:gridCol w:w="6237"/>
      </w:tblGrid>
      <w:tr w:rsidR="00EE1568" w:rsidRPr="00262582" w14:paraId="4BAC0D0A" w14:textId="77777777" w:rsidTr="000E1056">
        <w:trPr>
          <w:jc w:val="right"/>
        </w:trPr>
        <w:tc>
          <w:tcPr>
            <w:tcW w:w="2547" w:type="dxa"/>
          </w:tcPr>
          <w:p w14:paraId="6CA9A817" w14:textId="77777777" w:rsidR="00EE1568" w:rsidRPr="00262582" w:rsidRDefault="00EE1568" w:rsidP="000E1056">
            <w:pPr>
              <w:rPr>
                <w:rFonts w:ascii="Verdana" w:eastAsia="Calibri" w:hAnsi="Verdana" w:cs="Arial"/>
                <w:lang w:val="es-ES_tradnl" w:eastAsia="es-ES_tradnl"/>
              </w:rPr>
            </w:pPr>
            <w:r w:rsidRPr="00262582">
              <w:rPr>
                <w:rFonts w:ascii="Verdana" w:eastAsia="Calibri" w:hAnsi="Verdana" w:cs="Arial"/>
                <w:b/>
                <w:lang w:val="es-ES_tradnl" w:eastAsia="es-ES_tradnl"/>
              </w:rPr>
              <w:t>Temas:</w:t>
            </w:r>
          </w:p>
        </w:tc>
        <w:tc>
          <w:tcPr>
            <w:tcW w:w="6237" w:type="dxa"/>
          </w:tcPr>
          <w:p w14:paraId="43A27D41" w14:textId="615EF9D7" w:rsidR="00EE1568" w:rsidRPr="00262582" w:rsidRDefault="00A2241D" w:rsidP="000E1056">
            <w:pPr>
              <w:jc w:val="both"/>
              <w:textAlignment w:val="baseline"/>
              <w:rPr>
                <w:rFonts w:ascii="Verdana" w:eastAsia="Times New Roman" w:hAnsi="Verdana" w:cs="Arial"/>
                <w:lang w:val="es-ES" w:eastAsia="es-ES_tradnl"/>
              </w:rPr>
            </w:pPr>
            <w:r>
              <w:rPr>
                <w:rFonts w:ascii="Verdana" w:eastAsia="Times New Roman" w:hAnsi="Verdana" w:cs="Arial"/>
                <w:lang w:val="es-ES_tradnl" w:eastAsia="es-ES_tradnl"/>
              </w:rPr>
              <w:t>REQUISITOS</w:t>
            </w:r>
            <w:r w:rsidR="000D1FD8">
              <w:rPr>
                <w:rFonts w:ascii="Verdana" w:eastAsia="Times New Roman" w:hAnsi="Verdana" w:cs="Arial"/>
                <w:lang w:val="es-ES_tradnl" w:eastAsia="es-ES_tradnl"/>
              </w:rPr>
              <w:t xml:space="preserve"> HABILITANTES – Noción /</w:t>
            </w:r>
            <w:r w:rsidR="0067192B">
              <w:rPr>
                <w:rFonts w:ascii="Verdana" w:eastAsia="Times New Roman" w:hAnsi="Verdana" w:cs="Arial"/>
                <w:lang w:val="es-ES_tradnl" w:eastAsia="es-ES_tradnl"/>
              </w:rPr>
              <w:t xml:space="preserve"> REQUISITOS HABILITANTES – Capacidad financiera </w:t>
            </w:r>
            <w:r w:rsidR="00306004">
              <w:rPr>
                <w:rFonts w:ascii="Verdana" w:eastAsia="Times New Roman" w:hAnsi="Verdana" w:cs="Arial"/>
                <w:lang w:val="es-ES_tradnl" w:eastAsia="es-ES_tradnl"/>
              </w:rPr>
              <w:t xml:space="preserve">– Capacidad organizacional - </w:t>
            </w:r>
            <w:r w:rsidR="002C1101">
              <w:rPr>
                <w:rFonts w:ascii="Verdana" w:eastAsia="Times New Roman" w:hAnsi="Verdana" w:cs="Arial"/>
                <w:lang w:val="es-ES_tradnl" w:eastAsia="es-ES_tradnl"/>
              </w:rPr>
              <w:t xml:space="preserve">Verificación – REQUISITOS HABILITANTES </w:t>
            </w:r>
            <w:r w:rsidR="00A667C7">
              <w:rPr>
                <w:rFonts w:ascii="Verdana" w:eastAsia="Times New Roman" w:hAnsi="Verdana" w:cs="Arial"/>
                <w:lang w:val="es-ES_tradnl" w:eastAsia="es-ES_tradnl"/>
              </w:rPr>
              <w:t>– Procesos de selección / REQUISITOS HABILITANTES – Selección objetiva</w:t>
            </w:r>
            <w:r w:rsidR="002C1101">
              <w:rPr>
                <w:rFonts w:ascii="Verdana" w:eastAsia="Times New Roman" w:hAnsi="Verdana" w:cs="Arial"/>
                <w:lang w:val="es-ES_tradnl" w:eastAsia="es-ES_tradnl"/>
              </w:rPr>
              <w:t xml:space="preserve"> </w:t>
            </w:r>
            <w:r>
              <w:rPr>
                <w:rFonts w:ascii="Verdana" w:eastAsia="Times New Roman" w:hAnsi="Verdana" w:cs="Arial"/>
                <w:lang w:val="es-ES_tradnl" w:eastAsia="es-ES_tradnl"/>
              </w:rPr>
              <w:t xml:space="preserve"> </w:t>
            </w:r>
            <w:r w:rsidR="00FE0E00">
              <w:rPr>
                <w:rFonts w:ascii="Verdana" w:eastAsia="Times New Roman" w:hAnsi="Verdana" w:cs="Arial"/>
                <w:lang w:val="es-ES" w:eastAsia="es-ES_tradnl"/>
              </w:rPr>
              <w:t xml:space="preserve"> </w:t>
            </w:r>
          </w:p>
        </w:tc>
      </w:tr>
      <w:tr w:rsidR="00EE1568" w:rsidRPr="00262582" w14:paraId="2A947FEF" w14:textId="77777777" w:rsidTr="000E1056">
        <w:trPr>
          <w:jc w:val="right"/>
        </w:trPr>
        <w:tc>
          <w:tcPr>
            <w:tcW w:w="2547" w:type="dxa"/>
          </w:tcPr>
          <w:p w14:paraId="227D1E16" w14:textId="77777777" w:rsidR="00EE1568" w:rsidRPr="00262582" w:rsidRDefault="00EE1568" w:rsidP="000E1056">
            <w:pPr>
              <w:rPr>
                <w:rFonts w:ascii="Verdana" w:eastAsia="Calibri" w:hAnsi="Verdana" w:cs="Arial"/>
                <w:b/>
                <w:lang w:val="es-ES" w:eastAsia="es-ES_tradnl"/>
              </w:rPr>
            </w:pPr>
            <w:r w:rsidRPr="00262582">
              <w:rPr>
                <w:rFonts w:ascii="Verdana" w:eastAsia="Calibri" w:hAnsi="Verdana" w:cs="Arial"/>
                <w:b/>
                <w:lang w:val="es-ES" w:eastAsia="es-ES_tradnl"/>
              </w:rPr>
              <w:t>Radicación:</w:t>
            </w:r>
          </w:p>
        </w:tc>
        <w:tc>
          <w:tcPr>
            <w:tcW w:w="6237" w:type="dxa"/>
          </w:tcPr>
          <w:p w14:paraId="08A0EA38" w14:textId="043DB176" w:rsidR="00123071" w:rsidRPr="00123071" w:rsidRDefault="00EE1568" w:rsidP="00123071">
            <w:pPr>
              <w:jc w:val="both"/>
              <w:rPr>
                <w:rFonts w:ascii="Verdana" w:eastAsia="Calibri" w:hAnsi="Verdana" w:cs="Arial"/>
                <w:lang w:val="es-ES" w:eastAsia="es-ES_tradnl"/>
              </w:rPr>
            </w:pPr>
            <w:r w:rsidRPr="00262582">
              <w:rPr>
                <w:rFonts w:ascii="Verdana" w:eastAsia="Calibri" w:hAnsi="Verdana" w:cs="Arial"/>
                <w:lang w:val="es-ES" w:eastAsia="es-ES_tradnl"/>
              </w:rPr>
              <w:t xml:space="preserve">Respuesta a consulta radicado No. </w:t>
            </w:r>
            <w:r w:rsidR="00123071">
              <w:rPr>
                <w:rFonts w:ascii="Verdana" w:hAnsi="Verdana" w:cs="Calibri"/>
              </w:rPr>
              <w:t>1_2026_01_12_000247</w:t>
            </w:r>
          </w:p>
          <w:p w14:paraId="34F80996" w14:textId="5F85CF67" w:rsidR="00EE1568" w:rsidRPr="00262582" w:rsidRDefault="00EE1568" w:rsidP="000E1056">
            <w:pPr>
              <w:jc w:val="both"/>
              <w:rPr>
                <w:rFonts w:ascii="Verdana" w:eastAsia="Calibri" w:hAnsi="Verdana" w:cs="Arial"/>
                <w:lang w:val="es-ES" w:eastAsia="es-ES_tradnl"/>
              </w:rPr>
            </w:pPr>
          </w:p>
        </w:tc>
      </w:tr>
    </w:tbl>
    <w:p w14:paraId="1FEFD8AA" w14:textId="77777777" w:rsidR="008035F8" w:rsidRDefault="008035F8" w:rsidP="30821638">
      <w:pPr>
        <w:spacing w:after="0"/>
        <w:rPr>
          <w:rFonts w:ascii="Verdana" w:eastAsia="Verdana" w:hAnsi="Verdana" w:cs="Verdana"/>
        </w:rPr>
      </w:pPr>
    </w:p>
    <w:p w14:paraId="5A3343D5" w14:textId="77777777" w:rsidR="00225197" w:rsidRDefault="00225197" w:rsidP="30821638">
      <w:pPr>
        <w:spacing w:after="0"/>
        <w:rPr>
          <w:rFonts w:ascii="Verdana" w:eastAsia="Verdana" w:hAnsi="Verdana" w:cs="Verdana"/>
        </w:rPr>
      </w:pPr>
    </w:p>
    <w:p w14:paraId="49080E19" w14:textId="0F86E51F" w:rsidR="00225197" w:rsidRDefault="00123071" w:rsidP="30821638">
      <w:pPr>
        <w:spacing w:after="0"/>
        <w:rPr>
          <w:rFonts w:ascii="Verdana" w:eastAsia="Verdana" w:hAnsi="Verdana" w:cs="Verdana"/>
        </w:rPr>
      </w:pPr>
      <w:r>
        <w:rPr>
          <w:rFonts w:ascii="Verdana" w:eastAsia="Verdana" w:hAnsi="Verdana" w:cs="Verdana"/>
        </w:rPr>
        <w:t xml:space="preserve">Respetado señor Gutiérrez, cordial saludo, </w:t>
      </w:r>
    </w:p>
    <w:p w14:paraId="26CBA5F9" w14:textId="77777777" w:rsidR="00123071" w:rsidRDefault="00123071" w:rsidP="30821638">
      <w:pPr>
        <w:spacing w:after="0"/>
        <w:rPr>
          <w:rFonts w:ascii="Verdana" w:eastAsia="Verdana" w:hAnsi="Verdana" w:cs="Verdana"/>
        </w:rPr>
      </w:pPr>
    </w:p>
    <w:p w14:paraId="2C76BD47" w14:textId="470F0CDE" w:rsidR="009A2A1F" w:rsidRPr="00262582" w:rsidRDefault="009A2A1F" w:rsidP="009A2A1F">
      <w:pPr>
        <w:spacing w:after="120" w:line="276" w:lineRule="auto"/>
        <w:contextualSpacing/>
        <w:jc w:val="both"/>
        <w:rPr>
          <w:rFonts w:ascii="Verdana" w:eastAsia="Calibri" w:hAnsi="Verdana" w:cs="Arial"/>
          <w:lang w:val="es-ES" w:eastAsia="es-ES_tradnl"/>
        </w:rPr>
      </w:pPr>
      <w:r w:rsidRPr="00262582">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w:t>
      </w:r>
      <w:r w:rsidR="00762A7A">
        <w:rPr>
          <w:rFonts w:ascii="Verdana" w:eastAsia="Calibri" w:hAnsi="Verdana" w:cs="Arial"/>
          <w:lang w:val="es-ES" w:eastAsia="es-ES_tradnl"/>
        </w:rPr>
        <w:t>12 de enero de 2026</w:t>
      </w:r>
      <w:r w:rsidRPr="00262582">
        <w:rPr>
          <w:rFonts w:ascii="Verdana" w:eastAsia="Calibri" w:hAnsi="Verdana" w:cs="Arial"/>
          <w:lang w:val="es-ES" w:eastAsia="es-ES_tradnl"/>
        </w:rPr>
        <w:t>, en la cual manifiesta lo siguiente:</w:t>
      </w:r>
    </w:p>
    <w:p w14:paraId="624828F4" w14:textId="77777777" w:rsidR="009A2A1F" w:rsidRPr="00056DD6" w:rsidRDefault="009A2A1F" w:rsidP="009A2A1F">
      <w:pPr>
        <w:spacing w:after="120" w:line="276" w:lineRule="auto"/>
        <w:contextualSpacing/>
        <w:jc w:val="both"/>
        <w:rPr>
          <w:rFonts w:ascii="Verdana" w:eastAsia="Calibri" w:hAnsi="Verdana" w:cs="Arial"/>
          <w:b/>
          <w:lang w:val="es-ES_tradnl" w:eastAsia="es-ES_tradnl"/>
        </w:rPr>
      </w:pPr>
    </w:p>
    <w:p w14:paraId="53A2B990" w14:textId="77777777" w:rsidR="00123071" w:rsidRPr="009A2A1F" w:rsidRDefault="00123071" w:rsidP="30821638">
      <w:pPr>
        <w:spacing w:after="0"/>
        <w:rPr>
          <w:rFonts w:ascii="Verdana" w:eastAsia="Verdana" w:hAnsi="Verdana" w:cs="Verdana"/>
          <w:lang w:val="es-ES_tradnl"/>
        </w:rPr>
      </w:pPr>
    </w:p>
    <w:p w14:paraId="24FFC7EC" w14:textId="5302BB90" w:rsidR="00225197" w:rsidRPr="00DB1195" w:rsidRDefault="00704616" w:rsidP="00203866">
      <w:pPr>
        <w:spacing w:after="0" w:line="240" w:lineRule="auto"/>
        <w:ind w:left="709" w:right="709"/>
        <w:jc w:val="both"/>
        <w:rPr>
          <w:rFonts w:ascii="Verdana" w:eastAsia="Verdana" w:hAnsi="Verdana" w:cs="Verdana"/>
        </w:rPr>
      </w:pPr>
      <w:r w:rsidRPr="00DB1195">
        <w:rPr>
          <w:rFonts w:ascii="Verdana" w:eastAsia="Verdana" w:hAnsi="Verdana" w:cs="Verdana"/>
        </w:rPr>
        <w:t>“</w:t>
      </w:r>
      <w:r w:rsidR="00762A7A" w:rsidRPr="00DB1195">
        <w:rPr>
          <w:rFonts w:ascii="Verdana" w:eastAsia="Verdana" w:hAnsi="Verdana" w:cs="Verdana"/>
        </w:rPr>
        <w:t xml:space="preserve">¿es posible ponderar en un proceso de selección el arraigo o lugar de origen de los perfiles exigidos en el proceso o licitación? </w:t>
      </w:r>
      <w:r w:rsidR="00203866" w:rsidRPr="00DB1195">
        <w:rPr>
          <w:rFonts w:ascii="Verdana" w:eastAsia="Verdana" w:hAnsi="Verdana" w:cs="Verdana"/>
        </w:rPr>
        <w:t>¿es posible solicitar vinculación laboral previa de perfiles asociados a la ejecución del contrato como requisito habilitante?”.</w:t>
      </w:r>
    </w:p>
    <w:p w14:paraId="7CA97470" w14:textId="77777777" w:rsidR="00225197" w:rsidRDefault="00225197" w:rsidP="30821638">
      <w:pPr>
        <w:spacing w:after="0"/>
        <w:rPr>
          <w:rFonts w:ascii="Verdana" w:eastAsia="Verdana" w:hAnsi="Verdana" w:cs="Verdana"/>
        </w:rPr>
      </w:pPr>
    </w:p>
    <w:p w14:paraId="3F08E120" w14:textId="77777777" w:rsidR="00203866" w:rsidRDefault="00203866" w:rsidP="30821638">
      <w:pPr>
        <w:spacing w:after="0"/>
        <w:rPr>
          <w:rFonts w:ascii="Verdana" w:eastAsia="Verdana" w:hAnsi="Verdana" w:cs="Verdana"/>
        </w:rPr>
      </w:pPr>
    </w:p>
    <w:p w14:paraId="3930A645" w14:textId="77777777" w:rsidR="006B30FE" w:rsidRPr="00056DD6" w:rsidRDefault="006B30FE" w:rsidP="006B30FE">
      <w:pPr>
        <w:spacing w:after="120" w:line="276" w:lineRule="auto"/>
        <w:jc w:val="both"/>
        <w:rPr>
          <w:rFonts w:ascii="Verdana" w:eastAsia="Calibri" w:hAnsi="Verdana" w:cs="Arial"/>
          <w:color w:val="000000"/>
          <w:lang w:val="es-ES_tradnl" w:eastAsia="es-ES_tradnl"/>
        </w:rPr>
      </w:pPr>
      <w:r w:rsidRPr="0026258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262582">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56DD6">
        <w:rPr>
          <w:rFonts w:ascii="Verdana" w:eastAsia="Calibri" w:hAnsi="Verdana" w:cs="Arial"/>
          <w:color w:val="000000"/>
          <w:lang w:val="es-ES_tradnl" w:eastAsia="es-ES_tradnl"/>
        </w:rPr>
        <w:tab/>
      </w:r>
    </w:p>
    <w:p w14:paraId="1A6781FB" w14:textId="77777777" w:rsidR="006B30FE" w:rsidRDefault="006B30FE" w:rsidP="006B30FE">
      <w:pPr>
        <w:spacing w:after="120" w:line="276" w:lineRule="auto"/>
        <w:ind w:firstLine="709"/>
        <w:jc w:val="both"/>
        <w:rPr>
          <w:rFonts w:ascii="Verdana" w:eastAsia="Calibri" w:hAnsi="Verdana" w:cs="Arial"/>
          <w:lang w:val="es-ES" w:eastAsia="es-ES"/>
        </w:rPr>
      </w:pPr>
      <w:r w:rsidRPr="0026258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794014A" w14:textId="77777777" w:rsidR="00020311" w:rsidRDefault="00020311" w:rsidP="007560FE">
      <w:pPr>
        <w:spacing w:after="0" w:line="276" w:lineRule="auto"/>
        <w:jc w:val="both"/>
        <w:rPr>
          <w:rFonts w:ascii="Verdana" w:eastAsia="Calibri" w:hAnsi="Verdana" w:cs="Arial"/>
          <w:lang w:val="es-ES" w:eastAsia="es-ES"/>
        </w:rPr>
      </w:pPr>
    </w:p>
    <w:p w14:paraId="49C6EBA8" w14:textId="77777777" w:rsidR="00020311" w:rsidRPr="00262582" w:rsidRDefault="00020311" w:rsidP="007560FE">
      <w:pPr>
        <w:tabs>
          <w:tab w:val="left" w:pos="0"/>
          <w:tab w:val="left" w:pos="284"/>
        </w:tabs>
        <w:spacing w:after="0" w:line="276" w:lineRule="auto"/>
        <w:contextualSpacing/>
        <w:jc w:val="both"/>
        <w:rPr>
          <w:rFonts w:ascii="Verdana" w:eastAsia="Calibri" w:hAnsi="Verdana" w:cs="Arial"/>
          <w:b/>
          <w:lang w:val="es-ES_tradnl"/>
        </w:rPr>
      </w:pPr>
      <w:r w:rsidRPr="00262582">
        <w:rPr>
          <w:rFonts w:ascii="Verdana" w:eastAsia="Calibri" w:hAnsi="Verdana" w:cs="Arial"/>
          <w:b/>
          <w:lang w:val="es-ES_tradnl"/>
        </w:rPr>
        <w:t>1. Problema</w:t>
      </w:r>
      <w:r>
        <w:rPr>
          <w:rFonts w:ascii="Verdana" w:eastAsia="Calibri" w:hAnsi="Verdana" w:cs="Arial"/>
          <w:b/>
          <w:lang w:val="es-ES_tradnl"/>
        </w:rPr>
        <w:t>s</w:t>
      </w:r>
      <w:r w:rsidRPr="00262582">
        <w:rPr>
          <w:rFonts w:ascii="Verdana" w:eastAsia="Calibri" w:hAnsi="Verdana" w:cs="Arial"/>
          <w:b/>
          <w:lang w:val="es-ES_tradnl"/>
        </w:rPr>
        <w:t xml:space="preserve"> planteado</w:t>
      </w:r>
      <w:r>
        <w:rPr>
          <w:rFonts w:ascii="Verdana" w:eastAsia="Calibri" w:hAnsi="Verdana" w:cs="Arial"/>
          <w:b/>
          <w:lang w:val="es-ES_tradnl"/>
        </w:rPr>
        <w:t>s</w:t>
      </w:r>
      <w:r w:rsidRPr="00262582">
        <w:rPr>
          <w:rFonts w:ascii="Verdana" w:eastAsia="Calibri" w:hAnsi="Verdana" w:cs="Arial"/>
          <w:b/>
          <w:lang w:val="es-ES_tradnl"/>
        </w:rPr>
        <w:t>:</w:t>
      </w:r>
    </w:p>
    <w:p w14:paraId="6F4B5B61" w14:textId="77777777" w:rsidR="00020311" w:rsidRPr="00262582" w:rsidRDefault="00020311" w:rsidP="007560FE">
      <w:pPr>
        <w:tabs>
          <w:tab w:val="left" w:pos="0"/>
          <w:tab w:val="left" w:pos="284"/>
        </w:tabs>
        <w:spacing w:after="0" w:line="276" w:lineRule="auto"/>
        <w:contextualSpacing/>
        <w:jc w:val="both"/>
        <w:rPr>
          <w:rFonts w:ascii="Verdana" w:eastAsia="Calibri" w:hAnsi="Verdana" w:cs="Arial"/>
          <w:b/>
          <w:lang w:val="es-ES_tradnl"/>
        </w:rPr>
      </w:pPr>
    </w:p>
    <w:p w14:paraId="539AC71F" w14:textId="33E47127" w:rsidR="00225197" w:rsidRDefault="00020311" w:rsidP="00904413">
      <w:pPr>
        <w:spacing w:after="0" w:line="276" w:lineRule="auto"/>
        <w:jc w:val="both"/>
        <w:rPr>
          <w:rFonts w:ascii="Verdana" w:eastAsia="Century Gothic" w:hAnsi="Verdana" w:cs="Century Gothic"/>
        </w:rPr>
      </w:pPr>
      <w:r w:rsidRPr="00262582">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 xml:space="preserve">¿Cuáles </w:t>
      </w:r>
      <w:r w:rsidR="00640403">
        <w:rPr>
          <w:rFonts w:ascii="Verdana" w:eastAsia="Century Gothic" w:hAnsi="Verdana" w:cs="Century Gothic"/>
        </w:rPr>
        <w:t>son las características de los requisitos habilitantes?</w:t>
      </w:r>
    </w:p>
    <w:p w14:paraId="07611273" w14:textId="77777777" w:rsidR="00506B6E" w:rsidRPr="00BB1A4E" w:rsidRDefault="00506B6E" w:rsidP="00904413">
      <w:pPr>
        <w:spacing w:after="0" w:line="276" w:lineRule="auto"/>
        <w:jc w:val="both"/>
        <w:rPr>
          <w:rFonts w:ascii="Verdana" w:eastAsia="Calibri" w:hAnsi="Verdana" w:cs="Arial"/>
          <w:b/>
          <w:bCs/>
          <w:lang w:val="es-ES" w:eastAsia="es-ES"/>
        </w:rPr>
      </w:pPr>
    </w:p>
    <w:p w14:paraId="2A33A4D0" w14:textId="77777777" w:rsidR="003B18F5" w:rsidRPr="00BB1A4E" w:rsidRDefault="00A973E7" w:rsidP="006B30FE">
      <w:pPr>
        <w:spacing w:after="120" w:line="276" w:lineRule="auto"/>
        <w:rPr>
          <w:rFonts w:ascii="Verdana" w:eastAsia="Calibri" w:hAnsi="Verdana" w:cs="Arial"/>
          <w:b/>
          <w:bCs/>
          <w:lang w:val="es-ES" w:eastAsia="es-ES"/>
        </w:rPr>
      </w:pPr>
      <w:r w:rsidRPr="00BB1A4E">
        <w:rPr>
          <w:rFonts w:ascii="Verdana" w:eastAsia="Calibri" w:hAnsi="Verdana" w:cs="Arial"/>
          <w:b/>
          <w:bCs/>
          <w:lang w:val="es-ES" w:eastAsia="es-ES"/>
        </w:rPr>
        <w:t>2. Respuesta:</w:t>
      </w:r>
    </w:p>
    <w:p w14:paraId="60D4AEDC" w14:textId="77777777" w:rsidR="005E1333" w:rsidRDefault="009D2BAF" w:rsidP="00EF391D">
      <w:pPr>
        <w:pBdr>
          <w:top w:val="single" w:sz="4" w:space="1" w:color="auto"/>
          <w:left w:val="single" w:sz="4" w:space="4" w:color="auto"/>
          <w:bottom w:val="single" w:sz="4" w:space="1" w:color="auto"/>
          <w:right w:val="single" w:sz="4" w:space="4" w:color="auto"/>
        </w:pBdr>
        <w:autoSpaceDE w:val="0"/>
        <w:autoSpaceDN w:val="0"/>
        <w:adjustRightInd w:val="0"/>
        <w:spacing w:after="120" w:line="276" w:lineRule="auto"/>
        <w:ind w:firstLine="709"/>
        <w:jc w:val="both"/>
        <w:rPr>
          <w:rFonts w:ascii="Verdana" w:hAnsi="Verdana" w:cs="Verdana"/>
        </w:rPr>
      </w:pPr>
      <w:r>
        <w:rPr>
          <w:rFonts w:ascii="Verdana" w:hAnsi="Verdana" w:cs="Verdana"/>
        </w:rPr>
        <w:t xml:space="preserve">Los requisitos habilitantes se definen como aquellas exigencias de participación en los procedimientos </w:t>
      </w:r>
      <w:r w:rsidR="00FD6FA6">
        <w:rPr>
          <w:rFonts w:ascii="Verdana" w:hAnsi="Verdana" w:cs="Verdana"/>
        </w:rPr>
        <w:t xml:space="preserve">de selección, establecidas en disposiciones normativas, de carácter legal o reglamentario, o contenidas en el acto administrativo que regula </w:t>
      </w:r>
      <w:r w:rsidR="008358EF">
        <w:rPr>
          <w:rFonts w:ascii="Verdana" w:hAnsi="Verdana" w:cs="Verdana"/>
        </w:rPr>
        <w:t>de la convocatoria</w:t>
      </w:r>
      <w:r w:rsidR="006A14F0">
        <w:rPr>
          <w:rFonts w:ascii="Verdana" w:hAnsi="Verdana" w:cs="Verdana"/>
        </w:rPr>
        <w:t xml:space="preserve"> – es decir, en el pliego de condiciones o en el documento equivalente a </w:t>
      </w:r>
      <w:r w:rsidR="00E91272">
        <w:rPr>
          <w:rFonts w:ascii="Verdana" w:hAnsi="Verdana" w:cs="Verdana"/>
        </w:rPr>
        <w:t xml:space="preserve">este. Se diferencian de los criterios de evaluación – también es conocido como criterios de calificación – en </w:t>
      </w:r>
      <w:r w:rsidR="0050135B">
        <w:rPr>
          <w:rFonts w:ascii="Verdana" w:hAnsi="Verdana" w:cs="Verdana"/>
        </w:rPr>
        <w:t xml:space="preserve">que estos son los factores definidos por la Entidad Estatal </w:t>
      </w:r>
      <w:r w:rsidR="002E7F5C">
        <w:rPr>
          <w:rFonts w:ascii="Verdana" w:hAnsi="Verdana" w:cs="Verdana"/>
        </w:rPr>
        <w:t>para la asignación de puntaje en el momento de la</w:t>
      </w:r>
      <w:r w:rsidR="00922CFC">
        <w:rPr>
          <w:rFonts w:ascii="Verdana" w:hAnsi="Verdana" w:cs="Verdana"/>
        </w:rPr>
        <w:t xml:space="preserve"> comparación de las ofertas, y que, a partir de su ponderación, permiten establecer el orden de elegibilidad y, por ende, la propuesta ganadora</w:t>
      </w:r>
      <w:r w:rsidR="005E1333">
        <w:rPr>
          <w:rFonts w:ascii="Verdana" w:hAnsi="Verdana" w:cs="Verdana"/>
        </w:rPr>
        <w:t>.</w:t>
      </w:r>
    </w:p>
    <w:p w14:paraId="22E60799" w14:textId="77777777" w:rsidR="00D16A09" w:rsidRDefault="002B42CC" w:rsidP="00EF391D">
      <w:pPr>
        <w:pBdr>
          <w:top w:val="single" w:sz="4" w:space="1" w:color="auto"/>
          <w:left w:val="single" w:sz="4" w:space="4" w:color="auto"/>
          <w:bottom w:val="single" w:sz="4" w:space="1" w:color="auto"/>
          <w:right w:val="single" w:sz="4" w:space="4" w:color="auto"/>
        </w:pBdr>
        <w:autoSpaceDE w:val="0"/>
        <w:autoSpaceDN w:val="0"/>
        <w:adjustRightInd w:val="0"/>
        <w:spacing w:after="120" w:line="276" w:lineRule="auto"/>
        <w:ind w:firstLine="709"/>
        <w:jc w:val="both"/>
        <w:rPr>
          <w:rFonts w:ascii="Verdana" w:hAnsi="Verdana" w:cs="Verdana"/>
        </w:rPr>
      </w:pPr>
      <w:r>
        <w:rPr>
          <w:rFonts w:ascii="Verdana" w:hAnsi="Verdana" w:cs="Verdana"/>
        </w:rPr>
        <w:t xml:space="preserve">Ahora bien, los requisitos habilitantes </w:t>
      </w:r>
      <w:r w:rsidR="00E54483">
        <w:rPr>
          <w:rFonts w:ascii="Verdana" w:hAnsi="Verdana" w:cs="Verdana"/>
        </w:rPr>
        <w:t xml:space="preserve">constituyen los requerimientos mínimos con los que deben cumplir los proponentes para poder participar en el procedimiento de selección, razón por la </w:t>
      </w:r>
      <w:r w:rsidR="004A2F16">
        <w:rPr>
          <w:rFonts w:ascii="Verdana" w:hAnsi="Verdana" w:cs="Verdana"/>
        </w:rPr>
        <w:t xml:space="preserve">que los mismos no se valoran con un </w:t>
      </w:r>
      <w:r w:rsidR="004A2F16">
        <w:rPr>
          <w:rFonts w:ascii="Verdana" w:hAnsi="Verdana" w:cs="Verdana"/>
        </w:rPr>
        <w:lastRenderedPageBreak/>
        <w:t xml:space="preserve">puntaje tendiente a determinar el orden de escogencia, sino que se analizan como criterios previos a la calificación, de manera que quienes no los reúnan no pueden continuar en el Proceso de Contratación, por lo que sus ofertas deben ser rechazadas. Esto sin perjuicio </w:t>
      </w:r>
      <w:r w:rsidR="00E05BC3">
        <w:rPr>
          <w:rFonts w:ascii="Verdana" w:hAnsi="Verdana" w:cs="Verdana"/>
        </w:rPr>
        <w:t>del derecho que tienen los oferentes a subsanar los defectos que se presenten en la prueba de tales requisitos</w:t>
      </w:r>
      <w:r w:rsidR="00D16A09">
        <w:rPr>
          <w:rFonts w:ascii="Verdana" w:hAnsi="Verdana" w:cs="Verdana"/>
        </w:rPr>
        <w:t xml:space="preserve">. </w:t>
      </w:r>
    </w:p>
    <w:p w14:paraId="1517AC31" w14:textId="77777777" w:rsidR="00EC233E" w:rsidRDefault="00D16A09" w:rsidP="00EF391D">
      <w:pPr>
        <w:pBdr>
          <w:top w:val="single" w:sz="4" w:space="1" w:color="auto"/>
          <w:left w:val="single" w:sz="4" w:space="4" w:color="auto"/>
          <w:bottom w:val="single" w:sz="4" w:space="1" w:color="auto"/>
          <w:right w:val="single" w:sz="4" w:space="4" w:color="auto"/>
        </w:pBdr>
        <w:autoSpaceDE w:val="0"/>
        <w:autoSpaceDN w:val="0"/>
        <w:adjustRightInd w:val="0"/>
        <w:spacing w:after="120" w:line="276" w:lineRule="auto"/>
        <w:ind w:firstLine="709"/>
        <w:jc w:val="both"/>
        <w:rPr>
          <w:rFonts w:ascii="Verdana" w:hAnsi="Verdana" w:cs="Verdana"/>
        </w:rPr>
      </w:pPr>
      <w:r>
        <w:rPr>
          <w:rFonts w:ascii="Verdana" w:hAnsi="Verdana" w:cs="Verdana"/>
        </w:rPr>
        <w:t xml:space="preserve">Los requisitos habilitantes miden la aptitud del proponente para participar en el proceso de </w:t>
      </w:r>
      <w:r w:rsidR="000D2F39">
        <w:rPr>
          <w:rFonts w:ascii="Verdana" w:hAnsi="Verdana" w:cs="Verdana"/>
        </w:rPr>
        <w:t>contratación y eventualmente asumir la ejecución del contrato, por lo que están referidos a su capacidad jurídica</w:t>
      </w:r>
      <w:r w:rsidR="00EC233E">
        <w:rPr>
          <w:rFonts w:ascii="Verdana" w:hAnsi="Verdana" w:cs="Verdana"/>
        </w:rPr>
        <w:t xml:space="preserve">, financiera, organizacional y experiencia y, en tal medida, el proponente es quien debe presentar los documentos necesarios para acreditarlos. </w:t>
      </w:r>
    </w:p>
    <w:p w14:paraId="05ECF6E7" w14:textId="24D316CB" w:rsidR="003C17FC" w:rsidRDefault="00EC233E" w:rsidP="00EF391D">
      <w:pPr>
        <w:pBdr>
          <w:top w:val="single" w:sz="4" w:space="1" w:color="auto"/>
          <w:left w:val="single" w:sz="4" w:space="4" w:color="auto"/>
          <w:bottom w:val="single" w:sz="4" w:space="1" w:color="auto"/>
          <w:right w:val="single" w:sz="4" w:space="4" w:color="auto"/>
        </w:pBdr>
        <w:autoSpaceDE w:val="0"/>
        <w:autoSpaceDN w:val="0"/>
        <w:adjustRightInd w:val="0"/>
        <w:spacing w:after="120" w:line="276" w:lineRule="auto"/>
        <w:ind w:firstLine="709"/>
        <w:jc w:val="both"/>
        <w:rPr>
          <w:rFonts w:ascii="Verdana" w:hAnsi="Verdana" w:cs="Verdana"/>
        </w:rPr>
      </w:pPr>
      <w:r>
        <w:rPr>
          <w:rFonts w:ascii="Verdana" w:hAnsi="Verdana" w:cs="Verdana"/>
        </w:rPr>
        <w:t xml:space="preserve">Por otro lado, las Entidades Estatales deben establecer los requisitos habilitantes de forma adecuada y proporcional a la naturaleza y valor del contrato. Que deban </w:t>
      </w:r>
      <w:r w:rsidR="00B77237">
        <w:rPr>
          <w:rFonts w:ascii="Verdana" w:hAnsi="Verdana" w:cs="Verdana"/>
        </w:rPr>
        <w:t>ser adecuados significa que los requisitos habilitantes que se contemplen deben tener una relación directa con el objeto del contrato,</w:t>
      </w:r>
      <w:r w:rsidR="00343647">
        <w:rPr>
          <w:rFonts w:ascii="Verdana" w:hAnsi="Verdana" w:cs="Verdana"/>
        </w:rPr>
        <w:t xml:space="preserve"> </w:t>
      </w:r>
      <w:r w:rsidR="00910F8E">
        <w:rPr>
          <w:rFonts w:ascii="Verdana" w:hAnsi="Verdana" w:cs="Verdana"/>
        </w:rPr>
        <w:t xml:space="preserve">de suerte que </w:t>
      </w:r>
      <w:r w:rsidR="00650EF5">
        <w:rPr>
          <w:rFonts w:ascii="Verdana" w:hAnsi="Verdana" w:cs="Verdana"/>
        </w:rPr>
        <w:t>su acreditación sea efectiva para demostrar que el proponente es idóneo para ejecutar el contrato. A su vez, los requisitos que se est</w:t>
      </w:r>
      <w:r w:rsidR="001545DA">
        <w:rPr>
          <w:rFonts w:ascii="Verdana" w:hAnsi="Verdana" w:cs="Verdana"/>
        </w:rPr>
        <w:t>ablezcan deben ser proporcionales a las condiciones del contrato, de tal manera que los mismos no estable</w:t>
      </w:r>
      <w:r w:rsidR="00F27A7A">
        <w:rPr>
          <w:rFonts w:ascii="Verdana" w:hAnsi="Verdana" w:cs="Verdana"/>
        </w:rPr>
        <w:t xml:space="preserve">zcan condiciones </w:t>
      </w:r>
      <w:r w:rsidR="009F2742">
        <w:rPr>
          <w:rFonts w:ascii="Verdana" w:hAnsi="Verdana" w:cs="Verdana"/>
        </w:rPr>
        <w:t>más</w:t>
      </w:r>
      <w:r w:rsidR="00F27A7A">
        <w:rPr>
          <w:rFonts w:ascii="Verdana" w:hAnsi="Verdana" w:cs="Verdana"/>
        </w:rPr>
        <w:t xml:space="preserve"> allá de las necesarias para verificar la idoneidad requerida de los proponentes respecto del objeto ofertado, ya que lo contrario limita la libre concurrencia.</w:t>
      </w:r>
      <w:r w:rsidR="00922CFC">
        <w:rPr>
          <w:rFonts w:ascii="Verdana" w:hAnsi="Verdana" w:cs="Verdana"/>
        </w:rPr>
        <w:t xml:space="preserve"> </w:t>
      </w:r>
    </w:p>
    <w:p w14:paraId="10CEA645" w14:textId="65022CE3" w:rsidR="009F2742" w:rsidRPr="00EF391D" w:rsidRDefault="0097403A" w:rsidP="00EF391D">
      <w:pPr>
        <w:pBdr>
          <w:top w:val="single" w:sz="4" w:space="1" w:color="auto"/>
          <w:left w:val="single" w:sz="4" w:space="4" w:color="auto"/>
          <w:bottom w:val="single" w:sz="4" w:space="1" w:color="auto"/>
          <w:right w:val="single" w:sz="4" w:space="4" w:color="auto"/>
        </w:pBdr>
        <w:autoSpaceDE w:val="0"/>
        <w:autoSpaceDN w:val="0"/>
        <w:adjustRightInd w:val="0"/>
        <w:spacing w:after="120" w:line="276" w:lineRule="auto"/>
        <w:ind w:firstLine="709"/>
        <w:jc w:val="both"/>
        <w:rPr>
          <w:rFonts w:ascii="Verdana" w:hAnsi="Verdana" w:cs="Verdana"/>
        </w:rPr>
      </w:pPr>
      <w:r>
        <w:rPr>
          <w:rFonts w:ascii="Verdana" w:hAnsi="Verdana" w:cs="Verdana"/>
        </w:rPr>
        <w:t xml:space="preserve">En relación con lo anterior, para fijar los requisitos la Entidad Estatal debe tener como parámetros: i) el Riesgo del Proceso de Contratación; ii) el valor del contrato </w:t>
      </w:r>
      <w:r w:rsidR="007B3A20">
        <w:rPr>
          <w:rFonts w:ascii="Verdana" w:hAnsi="Verdana" w:cs="Verdana"/>
        </w:rPr>
        <w:t xml:space="preserve">objeto del proceso de Contratación; iii) el análisis del sector económico respectivo; </w:t>
      </w:r>
      <w:r w:rsidR="00A97E7F">
        <w:rPr>
          <w:rFonts w:ascii="Verdana" w:hAnsi="Verdana" w:cs="Verdana"/>
        </w:rPr>
        <w:t xml:space="preserve">y </w:t>
      </w:r>
      <w:proofErr w:type="spellStart"/>
      <w:r w:rsidR="00A97E7F">
        <w:rPr>
          <w:rFonts w:ascii="Verdana" w:hAnsi="Verdana" w:cs="Verdana"/>
        </w:rPr>
        <w:t>iv</w:t>
      </w:r>
      <w:proofErr w:type="spellEnd"/>
      <w:r w:rsidR="00A97E7F">
        <w:rPr>
          <w:rFonts w:ascii="Verdana" w:hAnsi="Verdana" w:cs="Verdana"/>
        </w:rPr>
        <w:t xml:space="preserve">) el conocimiento de fondo de los posibles oferentes desde la perspectiva comercial. </w:t>
      </w:r>
    </w:p>
    <w:p w14:paraId="484033DF" w14:textId="04542A3A" w:rsidR="00EF5C51" w:rsidRDefault="00B31A38" w:rsidP="00BB1A4E">
      <w:pPr>
        <w:spacing w:before="240" w:after="120" w:line="276" w:lineRule="auto"/>
        <w:jc w:val="both"/>
        <w:rPr>
          <w:rFonts w:ascii="Verdana" w:hAnsi="Verdana" w:cs="Arial"/>
          <w:color w:val="000000" w:themeColor="text1"/>
          <w:lang w:val="es-ES"/>
        </w:rPr>
      </w:pPr>
      <w:r w:rsidRPr="00BB1A4E">
        <w:rPr>
          <w:rFonts w:ascii="Verdana" w:hAnsi="Verdana" w:cs="Arial"/>
          <w:b/>
          <w:bCs/>
          <w:color w:val="000000" w:themeColor="text1"/>
          <w:lang w:val="es-ES"/>
        </w:rPr>
        <w:t xml:space="preserve">3. </w:t>
      </w:r>
      <w:r w:rsidR="00D6235C" w:rsidRPr="00BB1A4E">
        <w:rPr>
          <w:rFonts w:ascii="Verdana" w:hAnsi="Verdana" w:cs="Arial"/>
          <w:b/>
          <w:bCs/>
          <w:color w:val="000000" w:themeColor="text1"/>
          <w:lang w:val="es-ES"/>
        </w:rPr>
        <w:t>Razones de la respuesta:</w:t>
      </w:r>
      <w:r w:rsidR="00D6235C">
        <w:rPr>
          <w:rFonts w:ascii="Verdana" w:hAnsi="Verdana" w:cs="Arial"/>
          <w:color w:val="000000" w:themeColor="text1"/>
          <w:lang w:val="es-ES"/>
        </w:rPr>
        <w:t xml:space="preserve"> </w:t>
      </w:r>
    </w:p>
    <w:p w14:paraId="00657D0D" w14:textId="635C0002" w:rsidR="00D6235C" w:rsidRDefault="00674ECD" w:rsidP="003C17FC">
      <w:pPr>
        <w:spacing w:after="120" w:line="276" w:lineRule="auto"/>
        <w:jc w:val="both"/>
        <w:rPr>
          <w:rFonts w:ascii="Verdana" w:hAnsi="Verdana" w:cs="Arial"/>
          <w:color w:val="000000" w:themeColor="text1"/>
          <w:lang w:val="es-ES"/>
        </w:rPr>
      </w:pPr>
      <w:r>
        <w:rPr>
          <w:rFonts w:ascii="Verdana" w:hAnsi="Verdana" w:cs="Arial"/>
          <w:color w:val="000000" w:themeColor="text1"/>
          <w:lang w:val="es-ES"/>
        </w:rPr>
        <w:t xml:space="preserve">Lo anterior se sustenta en las siguientes consideraciones: </w:t>
      </w:r>
    </w:p>
    <w:p w14:paraId="0594E591" w14:textId="77777777" w:rsidR="003972DC" w:rsidRDefault="003972DC" w:rsidP="003972DC">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De manera preliminar es pertinente indicar que l</w:t>
      </w:r>
      <w:r w:rsidRPr="00886F14">
        <w:rPr>
          <w:rFonts w:ascii="Verdana" w:hAnsi="Verdana" w:cs="Arial"/>
          <w:color w:val="000000" w:themeColor="text1"/>
          <w:lang w:val="es-ES_tradnl"/>
        </w:rPr>
        <w:t xml:space="preserve">os </w:t>
      </w:r>
      <w:r w:rsidRPr="0090373B">
        <w:rPr>
          <w:rFonts w:ascii="Verdana" w:hAnsi="Verdana" w:cs="Arial"/>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 xml:space="preserve">criterios de </w:t>
      </w:r>
      <w:r w:rsidRPr="00886F14">
        <w:rPr>
          <w:rFonts w:ascii="Verdana" w:hAnsi="Verdana" w:cs="Arial"/>
          <w:i/>
          <w:iCs/>
          <w:color w:val="000000" w:themeColor="text1"/>
          <w:lang w:val="es-ES_tradnl"/>
        </w:rPr>
        <w:lastRenderedPageBreak/>
        <w:t>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21187213" w14:textId="77777777" w:rsidR="00C13B1B" w:rsidRPr="00886F14" w:rsidRDefault="00C13B1B" w:rsidP="00DB71C3">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 xml:space="preserve">  </w:t>
      </w:r>
      <w:r w:rsidRPr="00886F14">
        <w:rPr>
          <w:rFonts w:ascii="Verdana" w:hAnsi="Verdana" w:cs="Arial"/>
          <w:color w:val="000000" w:themeColor="text1"/>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w:t>
      </w:r>
      <w:r>
        <w:rPr>
          <w:rFonts w:ascii="Verdana" w:hAnsi="Verdana" w:cs="Arial"/>
          <w:color w:val="000000" w:themeColor="text1"/>
          <w:lang w:val="es-ES_tradnl"/>
        </w:rPr>
        <w:t>. D</w:t>
      </w:r>
      <w:r w:rsidRPr="00886F14">
        <w:rPr>
          <w:rFonts w:ascii="Verdana" w:hAnsi="Verdana" w:cs="Arial"/>
          <w:color w:val="000000" w:themeColor="text1"/>
          <w:lang w:val="es-ES_tradnl"/>
        </w:rPr>
        <w:t xml:space="preserve">e </w:t>
      </w:r>
      <w:r>
        <w:rPr>
          <w:rFonts w:ascii="Verdana" w:hAnsi="Verdana" w:cs="Arial"/>
          <w:color w:val="000000" w:themeColor="text1"/>
          <w:lang w:val="es-ES_tradnl"/>
        </w:rPr>
        <w:t xml:space="preserve">esta </w:t>
      </w:r>
      <w:r w:rsidRPr="00886F14">
        <w:rPr>
          <w:rFonts w:ascii="Verdana" w:hAnsi="Verdana" w:cs="Arial"/>
          <w:color w:val="000000" w:themeColor="text1"/>
          <w:lang w:val="es-ES_tradnl"/>
        </w:rPr>
        <w:t>manera</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quienes no los reúnan no pueden continuar en el procedimiento de selección, </w:t>
      </w:r>
      <w:r>
        <w:rPr>
          <w:rFonts w:ascii="Verdana" w:hAnsi="Verdana" w:cs="Arial"/>
          <w:color w:val="000000" w:themeColor="text1"/>
          <w:lang w:val="es-ES_tradnl"/>
        </w:rPr>
        <w:t>es decir</w:t>
      </w:r>
      <w:r w:rsidRPr="00886F14">
        <w:rPr>
          <w:rFonts w:ascii="Verdana" w:hAnsi="Verdana" w:cs="Arial"/>
          <w:color w:val="000000" w:themeColor="text1"/>
          <w:lang w:val="es-ES_tradnl"/>
        </w:rPr>
        <w:t>, incurren en causal de rechazo. Esto</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sin perjuicio del derecho que tienen los oferentes de subsanar los defectos que se presenten en la prueba de tales requisitos, de conformidad con el artículo 5, parágrafos 1º al 4º, de la Ley 1150 de 2007.</w:t>
      </w:r>
    </w:p>
    <w:p w14:paraId="14902E4C" w14:textId="7C81F646" w:rsidR="003972DC" w:rsidRDefault="00C13B1B" w:rsidP="00DB71C3">
      <w:pPr>
        <w:spacing w:after="120" w:line="276" w:lineRule="auto"/>
        <w:ind w:firstLine="709"/>
        <w:jc w:val="both"/>
        <w:rPr>
          <w:rFonts w:ascii="Verdana" w:hAnsi="Verdana" w:cs="Arial"/>
          <w:color w:val="000000" w:themeColor="text1"/>
          <w:lang w:val="es-ES_tradnl"/>
        </w:rPr>
      </w:pPr>
      <w:r w:rsidRPr="00886F14">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886F14">
        <w:rPr>
          <w:rFonts w:ascii="Verdana" w:hAnsi="Verdana" w:cs="Arial"/>
          <w:i/>
          <w:iCs/>
          <w:color w:val="000000" w:themeColor="text1"/>
          <w:lang w:val="es-ES_tradnl"/>
        </w:rPr>
        <w:t>.</w:t>
      </w:r>
      <w:r w:rsidRPr="00886F14">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w:t>
      </w:r>
      <w:r w:rsidR="00803F25">
        <w:rPr>
          <w:rFonts w:ascii="Verdana" w:hAnsi="Verdana" w:cs="Arial"/>
          <w:color w:val="000000" w:themeColor="text1"/>
          <w:lang w:val="es-ES_tradnl"/>
        </w:rPr>
        <w:t>disposición.</w:t>
      </w:r>
    </w:p>
    <w:p w14:paraId="329E49FD" w14:textId="77777777" w:rsidR="00DB71C3" w:rsidRPr="00886F14" w:rsidRDefault="00DB71C3" w:rsidP="00DB71C3">
      <w:pPr>
        <w:spacing w:after="120" w:line="276" w:lineRule="auto"/>
        <w:ind w:firstLine="709"/>
        <w:jc w:val="both"/>
        <w:rPr>
          <w:rFonts w:ascii="Verdana" w:hAnsi="Verdana" w:cs="Arial"/>
          <w:color w:val="000000" w:themeColor="text1"/>
          <w:lang w:val="es-ES"/>
        </w:rPr>
      </w:pPr>
      <w:r w:rsidRPr="5D636007">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5D636007">
        <w:rPr>
          <w:rFonts w:ascii="Verdana" w:hAnsi="Verdana" w:cs="Arial"/>
          <w:i/>
          <w:color w:val="000000" w:themeColor="text1"/>
          <w:lang w:val="es-ES"/>
        </w:rPr>
        <w:t>entre otros</w:t>
      </w:r>
      <w:r w:rsidRPr="5D636007">
        <w:rPr>
          <w:rFonts w:ascii="Verdana" w:hAnsi="Verdana" w:cs="Arial"/>
          <w:color w:val="000000" w:themeColor="text1"/>
          <w:lang w:val="es-ES"/>
        </w:rPr>
        <w:t>, los siguientes: i) la capacidad jurídica; ii) la experiencia</w:t>
      </w:r>
      <w:r>
        <w:rPr>
          <w:rFonts w:ascii="Verdana" w:hAnsi="Verdana" w:cs="Arial"/>
          <w:color w:val="000000" w:themeColor="text1"/>
          <w:lang w:val="es-ES"/>
        </w:rPr>
        <w:t xml:space="preserve"> – a la que se refiere en su consulta</w:t>
      </w:r>
      <w:r w:rsidRPr="5D636007">
        <w:rPr>
          <w:rFonts w:ascii="Verdana" w:hAnsi="Verdana" w:cs="Arial"/>
          <w:color w:val="000000" w:themeColor="text1"/>
          <w:lang w:val="es-ES"/>
        </w:rPr>
        <w:t xml:space="preserve">; iii) la capacidad financiera y </w:t>
      </w:r>
      <w:proofErr w:type="spellStart"/>
      <w:r w:rsidRPr="5D636007">
        <w:rPr>
          <w:rFonts w:ascii="Verdana" w:hAnsi="Verdana" w:cs="Arial"/>
          <w:color w:val="000000" w:themeColor="text1"/>
          <w:lang w:val="es-ES"/>
        </w:rPr>
        <w:t>iv</w:t>
      </w:r>
      <w:proofErr w:type="spellEnd"/>
      <w:r w:rsidRPr="5D636007">
        <w:rPr>
          <w:rFonts w:ascii="Verdana" w:hAnsi="Verdana" w:cs="Arial"/>
          <w:color w:val="000000" w:themeColor="text1"/>
          <w:lang w:val="es-ES"/>
        </w:rPr>
        <w:t xml:space="preserve">) la capacidad de organización. En efecto, la normativa citada prescribe lo siguiente: </w:t>
      </w:r>
    </w:p>
    <w:p w14:paraId="7D89435A" w14:textId="77777777" w:rsidR="00DB71C3" w:rsidRPr="00886F14" w:rsidRDefault="00DB71C3" w:rsidP="00DB71C3">
      <w:pPr>
        <w:spacing w:after="120" w:line="276" w:lineRule="auto"/>
        <w:ind w:firstLine="709"/>
        <w:jc w:val="both"/>
        <w:rPr>
          <w:rFonts w:ascii="Verdana" w:hAnsi="Verdana" w:cs="Arial"/>
          <w:color w:val="000000" w:themeColor="text1"/>
          <w:lang w:val="es-ES_tradnl"/>
        </w:rPr>
      </w:pPr>
    </w:p>
    <w:p w14:paraId="15E9C8BC" w14:textId="77777777" w:rsidR="00DB71C3" w:rsidRPr="00DB1195" w:rsidRDefault="00DB71C3" w:rsidP="00DB71C3">
      <w:pPr>
        <w:spacing w:after="0" w:line="240" w:lineRule="auto"/>
        <w:ind w:left="709" w:right="709"/>
        <w:rPr>
          <w:rFonts w:ascii="Verdana" w:hAnsi="Verdana" w:cs="Arial"/>
          <w:color w:val="000000" w:themeColor="text1"/>
          <w:lang w:val="es-ES_tradnl"/>
        </w:rPr>
      </w:pPr>
      <w:r w:rsidRPr="00DB1195">
        <w:rPr>
          <w:rFonts w:ascii="Verdana" w:hAnsi="Verdana" w:cs="Arial"/>
          <w:i/>
          <w:color w:val="000000" w:themeColor="text1"/>
          <w:lang w:val="es-ES_tradnl"/>
        </w:rPr>
        <w:t>“</w:t>
      </w:r>
      <w:r w:rsidRPr="00DB1195">
        <w:rPr>
          <w:rFonts w:ascii="Verdana" w:hAnsi="Verdana" w:cs="Arial"/>
          <w:color w:val="000000" w:themeColor="text1"/>
          <w:lang w:val="es-ES_tradnl"/>
        </w:rPr>
        <w:t xml:space="preserve">Artículo 5. De la Selección Objetiva. </w:t>
      </w:r>
    </w:p>
    <w:p w14:paraId="44C6A3A5" w14:textId="77777777" w:rsidR="00DB71C3" w:rsidRPr="00DB1195" w:rsidRDefault="00DB71C3" w:rsidP="00DB71C3">
      <w:pPr>
        <w:spacing w:after="0" w:line="240" w:lineRule="auto"/>
        <w:ind w:left="709" w:right="709"/>
        <w:rPr>
          <w:rFonts w:ascii="Verdana" w:hAnsi="Verdana" w:cs="Arial"/>
          <w:color w:val="000000" w:themeColor="text1"/>
          <w:lang w:val="es-ES_tradnl"/>
        </w:rPr>
      </w:pPr>
      <w:r w:rsidRPr="00DB1195">
        <w:rPr>
          <w:rFonts w:ascii="Verdana" w:hAnsi="Verdana" w:cs="Arial"/>
          <w:color w:val="000000" w:themeColor="text1"/>
          <w:lang w:val="es-ES_tradnl"/>
        </w:rPr>
        <w:t>[…]</w:t>
      </w:r>
    </w:p>
    <w:p w14:paraId="1380D87F" w14:textId="77777777" w:rsidR="00DB71C3" w:rsidRPr="00DB1195" w:rsidRDefault="00DB71C3" w:rsidP="00DB71C3">
      <w:pPr>
        <w:pStyle w:val="Prrafodelista"/>
        <w:spacing w:after="0" w:line="240" w:lineRule="auto"/>
        <w:ind w:left="709" w:right="709"/>
        <w:jc w:val="both"/>
        <w:rPr>
          <w:rFonts w:ascii="Verdana" w:eastAsia="Calibri" w:hAnsi="Verdana" w:cs="Arial"/>
          <w:color w:val="000000" w:themeColor="text1"/>
        </w:rPr>
      </w:pPr>
      <w:r w:rsidRPr="00DB1195">
        <w:rPr>
          <w:rFonts w:ascii="Verdana" w:eastAsia="Calibri" w:hAnsi="Verdana" w:cs="Arial"/>
          <w:color w:val="000000" w:themeColor="text1"/>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w:t>
      </w:r>
      <w:r w:rsidRPr="00DB1195">
        <w:rPr>
          <w:rFonts w:ascii="Verdana" w:eastAsia="Calibri" w:hAnsi="Verdana" w:cs="Arial"/>
          <w:color w:val="000000" w:themeColor="text1"/>
        </w:rPr>
        <w:lastRenderedPageBreak/>
        <w:t>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DB1195">
        <w:rPr>
          <w:rFonts w:ascii="Verdana" w:eastAsia="Calibri" w:hAnsi="Verdana" w:cs="Arial"/>
          <w:i/>
          <w:color w:val="000000" w:themeColor="text1"/>
        </w:rPr>
        <w:t>”</w:t>
      </w:r>
      <w:r w:rsidRPr="00DB1195">
        <w:rPr>
          <w:rFonts w:ascii="Verdana" w:eastAsia="Calibri" w:hAnsi="Verdana" w:cs="Arial"/>
          <w:color w:val="000000" w:themeColor="text1"/>
        </w:rPr>
        <w:t>.</w:t>
      </w:r>
    </w:p>
    <w:p w14:paraId="50FE34A9" w14:textId="77777777" w:rsidR="00DB71C3" w:rsidRPr="00E123D7" w:rsidRDefault="00DB71C3" w:rsidP="00DB71C3">
      <w:pPr>
        <w:spacing w:after="0" w:line="276" w:lineRule="auto"/>
        <w:ind w:right="709"/>
        <w:jc w:val="both"/>
        <w:rPr>
          <w:rFonts w:ascii="Verdana" w:eastAsia="Calibri" w:hAnsi="Verdana" w:cs="Arial"/>
          <w:color w:val="000000" w:themeColor="text1"/>
          <w:lang w:val="es-ES_tradnl"/>
        </w:rPr>
      </w:pPr>
    </w:p>
    <w:p w14:paraId="282C1FF0" w14:textId="77777777" w:rsidR="00DB71C3" w:rsidRDefault="00DB71C3" w:rsidP="00DB71C3">
      <w:pPr>
        <w:spacing w:after="120" w:line="276" w:lineRule="auto"/>
        <w:ind w:firstLine="709"/>
        <w:jc w:val="both"/>
        <w:rPr>
          <w:rFonts w:ascii="Verdana" w:eastAsia="Times New Roman" w:hAnsi="Verdana" w:cs="Arial"/>
          <w:lang w:val="es-ES_tradnl" w:eastAsia="es-MX"/>
        </w:rPr>
      </w:pPr>
      <w:bookmarkStart w:id="1" w:name="_Hlk99547809"/>
      <w:bookmarkStart w:id="2" w:name="_Hlk99546625"/>
      <w:r w:rsidRPr="00C94107">
        <w:rPr>
          <w:rFonts w:ascii="Verdana" w:eastAsia="Times New Roman" w:hAnsi="Verdana" w:cs="Arial"/>
          <w:lang w:val="es-ES_tradnl" w:eastAsia="es-MX"/>
        </w:rPr>
        <w:t xml:space="preserve">La Agencia Nacional de Contratación Pública – Colombia Compra Eficiente ha defendido el carácter </w:t>
      </w:r>
      <w:bookmarkStart w:id="3" w:name="_Hlk99547799"/>
      <w:r w:rsidRPr="00C94107">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1"/>
      <w:bookmarkEnd w:id="3"/>
      <w:r w:rsidRPr="00C94107">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2"/>
      <w:r w:rsidRPr="00C94107">
        <w:rPr>
          <w:rFonts w:ascii="Verdana" w:eastAsia="Times New Roman" w:hAnsi="Verdana" w:cs="Arial"/>
          <w:vertAlign w:val="superscript"/>
          <w:lang w:val="es-ES_tradnl" w:eastAsia="es-MX"/>
        </w:rPr>
        <w:footnoteReference w:id="2"/>
      </w:r>
      <w:r w:rsidRPr="00C94107">
        <w:rPr>
          <w:rFonts w:ascii="Verdana" w:eastAsia="Times New Roman" w:hAnsi="Verdana" w:cs="Arial"/>
          <w:lang w:val="es-ES_tradnl" w:eastAsia="es-MX"/>
        </w:rPr>
        <w:t>.</w:t>
      </w:r>
    </w:p>
    <w:p w14:paraId="5FFA6CFF" w14:textId="77777777" w:rsidR="00F22D75" w:rsidRPr="00D014B6" w:rsidRDefault="00F22D75" w:rsidP="00895F24">
      <w:pPr>
        <w:spacing w:after="120" w:line="276" w:lineRule="auto"/>
        <w:ind w:firstLine="709"/>
        <w:jc w:val="both"/>
        <w:rPr>
          <w:rFonts w:ascii="Verdana" w:eastAsia="Calibri" w:hAnsi="Verdana" w:cs="Arial"/>
          <w:color w:val="000000" w:themeColor="text1"/>
        </w:rPr>
      </w:pPr>
      <w:r>
        <w:rPr>
          <w:rFonts w:ascii="Verdana" w:eastAsia="Calibri" w:hAnsi="Verdana" w:cs="Arial"/>
        </w:rPr>
        <w:t>Ahora bien, respecto al problema jurídico planteado, es importante resaltar que t</w:t>
      </w:r>
      <w:r w:rsidRPr="00D014B6">
        <w:rPr>
          <w:rFonts w:ascii="Verdana" w:eastAsia="Calibri" w:hAnsi="Verdana" w:cs="Arial"/>
        </w:rPr>
        <w:t xml:space="preserve">anto la </w:t>
      </w:r>
      <w:r>
        <w:rPr>
          <w:rFonts w:ascii="Verdana" w:eastAsia="Calibri" w:hAnsi="Verdana" w:cs="Arial"/>
        </w:rPr>
        <w:t>L</w:t>
      </w:r>
      <w:r w:rsidRPr="00D014B6">
        <w:rPr>
          <w:rFonts w:ascii="Verdana" w:eastAsia="Calibri" w:hAnsi="Verdana" w:cs="Arial"/>
        </w:rPr>
        <w:t xml:space="preserve">ey 1150 de 2007 como el Decreto 1082 de 2015 exigen determinar unas </w:t>
      </w:r>
      <w:r w:rsidRPr="00D014B6">
        <w:rPr>
          <w:rFonts w:ascii="Verdana" w:eastAsia="Calibri" w:hAnsi="Verdana" w:cs="Arial"/>
          <w:color w:val="000000" w:themeColor="text1"/>
          <w:lang w:val="es-ES_tradnl"/>
        </w:rPr>
        <w:t xml:space="preserve">condiciones mínimas </w:t>
      </w:r>
      <w:r w:rsidRPr="00D014B6">
        <w:rPr>
          <w:rFonts w:ascii="Verdana" w:eastAsia="Calibri" w:hAnsi="Verdana" w:cs="Arial"/>
          <w:color w:val="000000" w:themeColor="text1"/>
        </w:rPr>
        <w:t>de los proponentes</w:t>
      </w:r>
      <w:r>
        <w:rPr>
          <w:rFonts w:ascii="Verdana" w:eastAsia="Calibri" w:hAnsi="Verdana" w:cs="Arial"/>
          <w:color w:val="000000" w:themeColor="text1"/>
        </w:rPr>
        <w:t xml:space="preserve"> (habilitantes)</w:t>
      </w:r>
      <w:r w:rsidRPr="00D014B6">
        <w:rPr>
          <w:rFonts w:ascii="Verdana" w:eastAsia="Calibri" w:hAnsi="Verdana" w:cs="Arial"/>
          <w:color w:val="000000" w:themeColor="text1"/>
        </w:rPr>
        <w:t>, con el fin de asegurar que el contratista tenga las aptitudes necesarias para que la realización del objeto contractual se efectué de manera eficiente y eficaz, respondiendo adecuadamente a la necesidad identificada.</w:t>
      </w:r>
      <w:r>
        <w:rPr>
          <w:rFonts w:ascii="Verdana" w:eastAsia="Calibri" w:hAnsi="Verdana" w:cs="Arial"/>
          <w:color w:val="000000" w:themeColor="text1"/>
        </w:rPr>
        <w:t xml:space="preserve"> E</w:t>
      </w:r>
      <w:r w:rsidRPr="00D014B6">
        <w:rPr>
          <w:rFonts w:ascii="Verdana" w:eastAsia="Calibri" w:hAnsi="Verdana" w:cs="Arial"/>
          <w:color w:val="000000" w:themeColor="text1"/>
        </w:rPr>
        <w:t>stos requisitos deben</w:t>
      </w:r>
      <w:r>
        <w:rPr>
          <w:rFonts w:ascii="Verdana" w:eastAsia="Calibri" w:hAnsi="Verdana" w:cs="Arial"/>
          <w:color w:val="000000" w:themeColor="text1"/>
        </w:rPr>
        <w:t xml:space="preserve"> ser</w:t>
      </w:r>
      <w:r w:rsidRPr="00D014B6">
        <w:rPr>
          <w:rFonts w:ascii="Verdana" w:eastAsia="Calibri" w:hAnsi="Verdana" w:cs="Arial"/>
          <w:color w:val="000000" w:themeColor="text1"/>
        </w:rPr>
        <w:t xml:space="preserve"> establec</w:t>
      </w:r>
      <w:r>
        <w:rPr>
          <w:rFonts w:ascii="Verdana" w:eastAsia="Calibri" w:hAnsi="Verdana" w:cs="Arial"/>
          <w:color w:val="000000" w:themeColor="text1"/>
        </w:rPr>
        <w:t>idos</w:t>
      </w:r>
      <w:r w:rsidRPr="00D014B6">
        <w:rPr>
          <w:rFonts w:ascii="Verdana" w:eastAsia="Calibri" w:hAnsi="Verdana" w:cs="Arial"/>
          <w:color w:val="000000" w:themeColor="text1"/>
        </w:rPr>
        <w:t xml:space="preserve"> de forma adecuada y proporcional a la naturaleza y valor del contrato. Esta proporcionalidad no implica que no se deben exigir ciertos requisitos habilitantes, sino que estos deben tener una relación directa con el objeto del contrato, de suerte que su acreditación sea efectiva para demostrar que el proponente es idóneo para ejecutar el contrato y que los mismos no establezcan condiciones más allá de las necesarias para verificar la idoneidad </w:t>
      </w:r>
      <w:r w:rsidRPr="00D014B6">
        <w:rPr>
          <w:rFonts w:ascii="Verdana" w:eastAsia="Calibri" w:hAnsi="Verdana" w:cs="Arial"/>
          <w:color w:val="000000" w:themeColor="text1"/>
        </w:rPr>
        <w:lastRenderedPageBreak/>
        <w:t>requerida de los proponentes respecto del objeto ofertado, ya que lo contrario limita la libre concurrencia.</w:t>
      </w:r>
    </w:p>
    <w:p w14:paraId="25345492" w14:textId="50FF1C95" w:rsidR="00F22D75" w:rsidRDefault="00F22D75" w:rsidP="00895F24">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Particularmente, </w:t>
      </w:r>
      <w:r>
        <w:rPr>
          <w:rFonts w:ascii="Verdana" w:eastAsia="Calibri" w:hAnsi="Verdana" w:cs="Arial"/>
          <w:color w:val="000000" w:themeColor="text1"/>
        </w:rPr>
        <w:t>respecto a los requisitos de capacidad financiera y organizacional a solicitar en los procesos de contratación,</w:t>
      </w:r>
      <w:r w:rsidRPr="00D014B6">
        <w:rPr>
          <w:rFonts w:ascii="Verdana" w:eastAsia="Calibri" w:hAnsi="Verdana" w:cs="Arial"/>
          <w:color w:val="000000" w:themeColor="text1"/>
        </w:rPr>
        <w:t xml:space="preserve"> el </w:t>
      </w:r>
      <w:r w:rsidRPr="00D014B6">
        <w:rPr>
          <w:rFonts w:ascii="Verdana" w:eastAsia="Calibri" w:hAnsi="Verdana" w:cs="Arial"/>
          <w:color w:val="000000" w:themeColor="text1"/>
          <w:lang w:val="es-ES_tradnl"/>
        </w:rPr>
        <w:t>“Manual para determinar y verificar los requisitos habilitantes en los Procesos de Contratación”</w:t>
      </w:r>
      <w:r>
        <w:rPr>
          <w:rStyle w:val="Refdenotaalpie"/>
          <w:rFonts w:ascii="Verdana" w:eastAsia="Calibri" w:hAnsi="Verdana" w:cs="Arial"/>
          <w:color w:val="000000" w:themeColor="text1"/>
          <w:lang w:val="es-ES_tradnl"/>
        </w:rPr>
        <w:footnoteReference w:id="3"/>
      </w:r>
      <w:r w:rsidRPr="00D014B6">
        <w:rPr>
          <w:rFonts w:ascii="Verdana" w:eastAsia="Calibri" w:hAnsi="Verdana" w:cs="Arial"/>
          <w:color w:val="000000" w:themeColor="text1"/>
          <w:lang w:val="es-ES_tradnl"/>
        </w:rPr>
        <w:t xml:space="preserve"> expedido por esta Agencia</w:t>
      </w:r>
      <w:r w:rsidRPr="00D014B6">
        <w:rPr>
          <w:rFonts w:ascii="Verdana" w:eastAsia="Calibri" w:hAnsi="Verdana" w:cs="Arial"/>
          <w:color w:val="000000" w:themeColor="text1"/>
        </w:rPr>
        <w:t>, indica que la capacidad financiera</w:t>
      </w:r>
      <w:r>
        <w:rPr>
          <w:rFonts w:ascii="Verdana" w:eastAsia="Calibri" w:hAnsi="Verdana" w:cs="Arial"/>
          <w:color w:val="000000" w:themeColor="text1"/>
        </w:rPr>
        <w:t xml:space="preserve"> y organizacional</w:t>
      </w:r>
      <w:r w:rsidRPr="00D014B6">
        <w:rPr>
          <w:rFonts w:ascii="Verdana" w:eastAsia="Calibri" w:hAnsi="Verdana" w:cs="Arial"/>
          <w:color w:val="000000" w:themeColor="text1"/>
        </w:rPr>
        <w:t xml:space="preserve"> que la entidad requiera para un proceso de contratación “debe ser adecuada y proporcional a la naturaleza, forma de pago, plazo, complejidad, riesgo y al valor del contrato. Además, los requisitos de capacidad financiera deben ser establecidos con fundamento en los estudios del sector, para cuya elaboración se recomienda la aplicación de lo dispuesto en la </w:t>
      </w:r>
      <w:r>
        <w:rPr>
          <w:rFonts w:ascii="Verdana" w:eastAsia="Calibri" w:hAnsi="Verdana" w:cs="Arial"/>
          <w:color w:val="000000" w:themeColor="text1"/>
        </w:rPr>
        <w:t>“</w:t>
      </w:r>
      <w:r w:rsidRPr="00D014B6">
        <w:rPr>
          <w:rFonts w:ascii="Verdana" w:eastAsia="Calibri" w:hAnsi="Verdana" w:cs="Arial"/>
          <w:color w:val="000000" w:themeColor="text1"/>
        </w:rPr>
        <w:t>Guía para la Elaboración de Estudios de Sector</w:t>
      </w:r>
      <w:r>
        <w:rPr>
          <w:rFonts w:ascii="Verdana" w:eastAsia="Calibri" w:hAnsi="Verdana" w:cs="Arial"/>
          <w:color w:val="000000" w:themeColor="text1"/>
        </w:rPr>
        <w:t>”</w:t>
      </w:r>
      <w:r w:rsidRPr="00D014B6">
        <w:rPr>
          <w:rFonts w:ascii="Verdana" w:eastAsia="Calibri" w:hAnsi="Verdana" w:cs="Arial"/>
          <w:color w:val="000000" w:themeColor="text1"/>
        </w:rPr>
        <w:t xml:space="preserve">, expedida por esta Agencia”. Así, en atención a la naturaleza del contrato a suscribir y su valor, plazo y forma de pago, la entidad debe hacer uso de los indicadores que considere adecuados respecto del objeto del proceso de contratación. </w:t>
      </w:r>
    </w:p>
    <w:p w14:paraId="719312AE" w14:textId="77777777" w:rsidR="00895F24" w:rsidRPr="00D014B6" w:rsidRDefault="00895F24" w:rsidP="00895F24">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En este sentido</w:t>
      </w:r>
      <w:r>
        <w:rPr>
          <w:rFonts w:ascii="Verdana" w:eastAsia="Calibri" w:hAnsi="Verdana" w:cs="Arial"/>
          <w:color w:val="000000" w:themeColor="text1"/>
        </w:rPr>
        <w:t xml:space="preserve">, es importante precisar </w:t>
      </w:r>
      <w:r w:rsidRPr="00D014B6">
        <w:rPr>
          <w:rFonts w:ascii="Verdana" w:eastAsia="Calibri" w:hAnsi="Verdana" w:cs="Arial"/>
          <w:color w:val="000000" w:themeColor="text1"/>
        </w:rPr>
        <w:t xml:space="preserve">la exigencia de </w:t>
      </w:r>
      <w:r>
        <w:rPr>
          <w:rFonts w:ascii="Verdana" w:eastAsia="Calibri" w:hAnsi="Verdana" w:cs="Arial"/>
          <w:color w:val="000000" w:themeColor="text1"/>
        </w:rPr>
        <w:t>los requisitos de</w:t>
      </w:r>
      <w:r w:rsidRPr="00D014B6">
        <w:rPr>
          <w:rFonts w:ascii="Verdana" w:eastAsia="Calibri" w:hAnsi="Verdana" w:cs="Arial"/>
          <w:color w:val="000000" w:themeColor="text1"/>
        </w:rPr>
        <w:t xml:space="preserve"> capacidad financiera y organizaci</w:t>
      </w:r>
      <w:r>
        <w:rPr>
          <w:rFonts w:ascii="Verdana" w:eastAsia="Calibri" w:hAnsi="Verdana" w:cs="Arial"/>
          <w:color w:val="000000" w:themeColor="text1"/>
        </w:rPr>
        <w:t>onal</w:t>
      </w:r>
      <w:r w:rsidRPr="00D014B6">
        <w:rPr>
          <w:rFonts w:ascii="Verdana" w:eastAsia="Calibri" w:hAnsi="Verdana" w:cs="Arial"/>
          <w:color w:val="000000" w:themeColor="text1"/>
        </w:rPr>
        <w:t xml:space="preserve"> debe responder a criterios de razonabilidad y proporcionalidad, de tal manera que dichos requisitos deben establecerse en función del alcance y la naturaleza específica del objeto a contratar. </w:t>
      </w:r>
    </w:p>
    <w:p w14:paraId="32409878" w14:textId="77777777" w:rsidR="00895F24" w:rsidRDefault="00895F24" w:rsidP="00895F24">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Para tales efectos, el </w:t>
      </w:r>
      <w:r w:rsidRPr="00885EDB">
        <w:rPr>
          <w:rFonts w:ascii="Verdana" w:eastAsia="Calibri" w:hAnsi="Verdana" w:cs="Arial"/>
          <w:color w:val="000000" w:themeColor="text1"/>
          <w:lang w:val="es-ES_tradnl"/>
        </w:rPr>
        <w:t>“Manual para determinar y verificar los requisitos habilitantes en los Procesos de Contratación”,</w:t>
      </w:r>
      <w:r w:rsidRPr="00D014B6">
        <w:rPr>
          <w:rFonts w:ascii="Verdana" w:eastAsia="Calibri" w:hAnsi="Verdana" w:cs="Arial"/>
          <w:color w:val="000000" w:themeColor="text1"/>
          <w:lang w:val="es-ES_tradnl"/>
        </w:rPr>
        <w:t xml:space="preserve"> señala que “</w:t>
      </w:r>
      <w:r w:rsidRPr="00D014B6">
        <w:rPr>
          <w:rFonts w:ascii="Verdana" w:eastAsia="Calibri" w:hAnsi="Verdana" w:cs="Arial"/>
          <w:color w:val="000000" w:themeColor="text1"/>
        </w:rPr>
        <w:t>La Entidad Estatal debe determinar los indicadores de capacidad financiera y organizacional, así como la relación de dependencia entre cada indicador y la ejecución del contrato. Entre más fuerte sea esta relación, más rigurosos deben ser los análisis de datos para establecer los límites de los requisitos habilitantes y los indicadores previstos deben ser más exigentes</w:t>
      </w:r>
      <w:r>
        <w:rPr>
          <w:rFonts w:ascii="Verdana" w:eastAsia="Calibri" w:hAnsi="Verdana" w:cs="Arial"/>
          <w:color w:val="000000" w:themeColor="text1"/>
        </w:rPr>
        <w:t xml:space="preserve">, por lo cual, </w:t>
      </w:r>
      <w:r w:rsidRPr="00D5142D">
        <w:rPr>
          <w:rFonts w:ascii="Verdana" w:eastAsia="Calibri" w:hAnsi="Verdana" w:cs="Arial"/>
          <w:color w:val="000000" w:themeColor="text1"/>
        </w:rPr>
        <w:t>no es suficiente la aplicación mecánica de fórmulas financieras, pues deben conocer cada indicador, sus fórmulas de cálculo y su interpretación.</w:t>
      </w:r>
      <w:r w:rsidRPr="00D014B6">
        <w:rPr>
          <w:rFonts w:ascii="Verdana" w:eastAsia="Calibri" w:hAnsi="Verdana" w:cs="Arial"/>
          <w:color w:val="000000" w:themeColor="text1"/>
        </w:rPr>
        <w:t xml:space="preserve"> </w:t>
      </w:r>
      <w:r w:rsidRPr="00D014B6">
        <w:rPr>
          <w:rFonts w:ascii="Verdana" w:eastAsia="Calibri" w:hAnsi="Verdana" w:cs="Arial"/>
        </w:rPr>
        <w:t xml:space="preserve">[…] </w:t>
      </w:r>
      <w:r w:rsidRPr="00D014B6">
        <w:rPr>
          <w:rFonts w:ascii="Verdana" w:eastAsia="Calibri" w:hAnsi="Verdana" w:cs="Arial"/>
          <w:color w:val="000000" w:themeColor="text1"/>
        </w:rPr>
        <w:t xml:space="preserve">Para ello, la Entidad Estatal puede fijar límites más </w:t>
      </w:r>
      <w:r w:rsidRPr="00D014B6">
        <w:rPr>
          <w:rFonts w:ascii="Verdana" w:eastAsia="Calibri" w:hAnsi="Verdana" w:cs="Arial"/>
          <w:i/>
          <w:iCs/>
          <w:color w:val="000000" w:themeColor="text1"/>
        </w:rPr>
        <w:t>flexibles</w:t>
      </w:r>
      <w:r w:rsidRPr="00D014B6">
        <w:rPr>
          <w:rFonts w:ascii="Verdana" w:eastAsia="Calibri" w:hAnsi="Verdana" w:cs="Arial"/>
          <w:color w:val="000000" w:themeColor="text1"/>
        </w:rPr>
        <w:t xml:space="preserve"> dados por el comportamiento del sector económico estudiando, por ejemplo, los valores máximos y mínimos del indicador para las empresas objeto de análisis”. </w:t>
      </w:r>
    </w:p>
    <w:p w14:paraId="0BC5307A" w14:textId="77777777" w:rsidR="00396FBA" w:rsidRPr="004F7B86" w:rsidRDefault="00396FBA" w:rsidP="00396FBA">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lastRenderedPageBreak/>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26E18041" w14:textId="77777777" w:rsidR="00396FBA" w:rsidRDefault="00396FBA" w:rsidP="00396FBA">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401FF7A" w14:textId="77777777" w:rsidR="00396FBA" w:rsidRDefault="00396FBA" w:rsidP="00396FBA">
      <w:pPr>
        <w:spacing w:after="0" w:line="276" w:lineRule="auto"/>
        <w:ind w:firstLine="708"/>
        <w:jc w:val="both"/>
        <w:rPr>
          <w:rFonts w:ascii="Verdana" w:eastAsia="Calibri" w:hAnsi="Verdana" w:cs="Times New Roman"/>
          <w:lang w:val="es-ES"/>
        </w:rPr>
      </w:pPr>
    </w:p>
    <w:p w14:paraId="22FFB591" w14:textId="1ADE4F5D" w:rsidR="00963AD0" w:rsidRPr="00451A26" w:rsidRDefault="00E70E4C" w:rsidP="00451A26">
      <w:pPr>
        <w:spacing w:after="120" w:line="276" w:lineRule="auto"/>
        <w:jc w:val="both"/>
        <w:rPr>
          <w:rFonts w:ascii="Verdana" w:eastAsia="Times New Roman" w:hAnsi="Verdana" w:cs="Arial"/>
          <w:lang w:val="es-ES_tradnl" w:eastAsia="es-MX"/>
        </w:rPr>
      </w:pPr>
      <w:r w:rsidRPr="002F7E6A">
        <w:rPr>
          <w:rFonts w:ascii="Verdana" w:hAnsi="Verdana" w:cs="Arial"/>
          <w:color w:val="000000" w:themeColor="text1"/>
        </w:rPr>
        <w:t xml:space="preserve">    </w:t>
      </w:r>
    </w:p>
    <w:p w14:paraId="30E73510" w14:textId="77777777" w:rsidR="00451A26" w:rsidRDefault="00AF30C6" w:rsidP="00963AD0">
      <w:pPr>
        <w:pBdr>
          <w:top w:val="nil"/>
          <w:left w:val="nil"/>
          <w:bottom w:val="nil"/>
          <w:right w:val="nil"/>
          <w:between w:val="nil"/>
        </w:pBdr>
        <w:autoSpaceDE w:val="0"/>
        <w:autoSpaceDN w:val="0"/>
        <w:adjustRightInd w:val="0"/>
        <w:spacing w:after="120" w:line="276" w:lineRule="auto"/>
        <w:jc w:val="both"/>
        <w:rPr>
          <w:rFonts w:ascii="Verdana" w:hAnsi="Verdana" w:cs="ArialMT"/>
          <w:b/>
          <w:bCs/>
        </w:rPr>
      </w:pPr>
      <w:r w:rsidRPr="00BB1A4E">
        <w:rPr>
          <w:rFonts w:ascii="Verdana" w:hAnsi="Verdana" w:cs="ArialMT"/>
          <w:b/>
          <w:bCs/>
        </w:rPr>
        <w:t>4. Referencias normativas, jurisprudenciales y otras fuentes:</w:t>
      </w:r>
    </w:p>
    <w:p w14:paraId="650ED1A5" w14:textId="0D2072F7" w:rsidR="00963AD0" w:rsidRPr="00BB1A4E" w:rsidRDefault="00AF30C6" w:rsidP="00963AD0">
      <w:pPr>
        <w:pBdr>
          <w:top w:val="nil"/>
          <w:left w:val="nil"/>
          <w:bottom w:val="nil"/>
          <w:right w:val="nil"/>
          <w:between w:val="nil"/>
        </w:pBdr>
        <w:autoSpaceDE w:val="0"/>
        <w:autoSpaceDN w:val="0"/>
        <w:adjustRightInd w:val="0"/>
        <w:spacing w:after="120" w:line="276" w:lineRule="auto"/>
        <w:jc w:val="both"/>
        <w:rPr>
          <w:rFonts w:ascii="Verdana" w:hAnsi="Verdana" w:cs="ArialMT"/>
          <w:b/>
          <w:bCs/>
        </w:rPr>
      </w:pPr>
      <w:r w:rsidRPr="00BB1A4E">
        <w:rPr>
          <w:rFonts w:ascii="Verdana" w:hAnsi="Verdana" w:cs="ArialMT"/>
          <w:b/>
          <w:bCs/>
        </w:rPr>
        <w:t xml:space="preserve"> </w:t>
      </w:r>
    </w:p>
    <w:p w14:paraId="1BBA13BA" w14:textId="79CFB4A1" w:rsidR="00B00E05" w:rsidRPr="00396FBA" w:rsidRDefault="00C904F1" w:rsidP="00396FBA">
      <w:pPr>
        <w:numPr>
          <w:ilvl w:val="0"/>
          <w:numId w:val="19"/>
        </w:numPr>
        <w:pBdr>
          <w:top w:val="single" w:sz="4" w:space="1" w:color="auto"/>
          <w:left w:val="single" w:sz="4" w:space="4" w:color="auto"/>
          <w:bottom w:val="single" w:sz="4" w:space="1" w:color="auto"/>
          <w:right w:val="single" w:sz="4" w:space="4" w:color="auto"/>
        </w:pBdr>
        <w:spacing w:after="0" w:line="254" w:lineRule="auto"/>
        <w:rPr>
          <w:rFonts w:ascii="Verdana" w:eastAsia="Calibri" w:hAnsi="Verdana" w:cs="Arial"/>
          <w:color w:val="000000" w:themeColor="text1"/>
        </w:rPr>
      </w:pPr>
      <w:r w:rsidRPr="00CF25ED">
        <w:rPr>
          <w:rFonts w:ascii="Verdana" w:eastAsia="Calibri" w:hAnsi="Verdana" w:cs="Times New Roman"/>
          <w:lang w:val="es-ES_tradnl"/>
        </w:rPr>
        <w:t>Ley</w:t>
      </w:r>
      <w:r w:rsidR="00396FBA">
        <w:rPr>
          <w:rFonts w:ascii="Verdana" w:eastAsia="Calibri" w:hAnsi="Verdana" w:cs="Times New Roman"/>
          <w:lang w:val="es-ES_tradnl"/>
        </w:rPr>
        <w:t xml:space="preserve"> 1150 de 2007, artículos 5 y 6. </w:t>
      </w:r>
    </w:p>
    <w:p w14:paraId="4087C10E" w14:textId="1EBBE8B7" w:rsidR="00396FBA" w:rsidRPr="008A06AD" w:rsidRDefault="00396FBA" w:rsidP="00396FBA">
      <w:pPr>
        <w:numPr>
          <w:ilvl w:val="0"/>
          <w:numId w:val="19"/>
        </w:numPr>
        <w:pBdr>
          <w:top w:val="single" w:sz="4" w:space="1" w:color="auto"/>
          <w:left w:val="single" w:sz="4" w:space="4" w:color="auto"/>
          <w:bottom w:val="single" w:sz="4" w:space="1" w:color="auto"/>
          <w:right w:val="single" w:sz="4" w:space="4" w:color="auto"/>
        </w:pBdr>
        <w:spacing w:after="0" w:line="254" w:lineRule="auto"/>
        <w:rPr>
          <w:rFonts w:ascii="Verdana" w:eastAsia="Calibri" w:hAnsi="Verdana" w:cs="Arial"/>
          <w:color w:val="000000" w:themeColor="text1"/>
        </w:rPr>
      </w:pPr>
      <w:r>
        <w:rPr>
          <w:rFonts w:ascii="Verdana" w:eastAsia="Calibri" w:hAnsi="Verdana" w:cs="Times New Roman"/>
          <w:lang w:val="es-ES_tradnl"/>
        </w:rPr>
        <w:t>Decreto 1082 de 2015, artículo 2.2.1.1.1.</w:t>
      </w:r>
      <w:r w:rsidR="008A06AD">
        <w:rPr>
          <w:rFonts w:ascii="Verdana" w:eastAsia="Calibri" w:hAnsi="Verdana" w:cs="Times New Roman"/>
          <w:lang w:val="es-ES_tradnl"/>
        </w:rPr>
        <w:t>5.2, 2.2.1.1.1.5.3, 2.2.1.1.1.6.2</w:t>
      </w:r>
    </w:p>
    <w:p w14:paraId="62AB629A" w14:textId="36EF7FF3" w:rsidR="008A06AD" w:rsidRPr="00174D51" w:rsidRDefault="008A06AD" w:rsidP="00174D51">
      <w:pPr>
        <w:numPr>
          <w:ilvl w:val="0"/>
          <w:numId w:val="19"/>
        </w:numPr>
        <w:pBdr>
          <w:top w:val="single" w:sz="4" w:space="1" w:color="auto"/>
          <w:left w:val="single" w:sz="4" w:space="4" w:color="auto"/>
          <w:bottom w:val="single" w:sz="4" w:space="1" w:color="auto"/>
          <w:right w:val="single" w:sz="4" w:space="4" w:color="auto"/>
        </w:pBdr>
        <w:spacing w:after="0" w:line="254" w:lineRule="auto"/>
        <w:rPr>
          <w:rFonts w:ascii="Verdana" w:eastAsia="Calibri" w:hAnsi="Verdana" w:cs="Arial"/>
          <w:color w:val="000000" w:themeColor="text1"/>
        </w:rPr>
      </w:pPr>
      <w:r>
        <w:rPr>
          <w:rFonts w:ascii="Verdana" w:eastAsia="Calibri" w:hAnsi="Verdana" w:cs="Times New Roman"/>
          <w:lang w:val="es-ES_tradnl"/>
        </w:rPr>
        <w:t>Agencia Nacional de Contratación Pública</w:t>
      </w:r>
      <w:r w:rsidR="00174D51">
        <w:rPr>
          <w:rFonts w:ascii="Verdana" w:eastAsia="Calibri" w:hAnsi="Verdana" w:cs="Times New Roman"/>
          <w:lang w:val="es-ES_tradnl"/>
        </w:rPr>
        <w:t xml:space="preserve"> – Colombia Compra Eficiente, “Manual para determinar y verificar los requisitos habilitantes en los </w:t>
      </w:r>
      <w:r w:rsidR="00174D51" w:rsidRPr="00174D51">
        <w:rPr>
          <w:rFonts w:ascii="Verdana" w:eastAsia="Calibri" w:hAnsi="Verdana" w:cs="Times New Roman"/>
          <w:lang w:val="es-ES_tradnl"/>
        </w:rPr>
        <w:t>Procesos de Contratación”.</w:t>
      </w:r>
    </w:p>
    <w:p w14:paraId="7C6A4345" w14:textId="77777777" w:rsidR="00174D51" w:rsidRDefault="00174D51" w:rsidP="00097E14">
      <w:pPr>
        <w:pStyle w:val="Prrafodelista"/>
        <w:spacing w:after="0" w:line="276" w:lineRule="auto"/>
        <w:ind w:left="0"/>
        <w:jc w:val="both"/>
        <w:rPr>
          <w:rFonts w:ascii="Verdana" w:hAnsi="Verdana" w:cs="Arial"/>
          <w:b/>
          <w:bCs/>
          <w:color w:val="000000" w:themeColor="text1"/>
        </w:rPr>
      </w:pPr>
    </w:p>
    <w:p w14:paraId="0A8F1040" w14:textId="1D0C501E" w:rsidR="00B00E05" w:rsidRPr="00BB1A4E" w:rsidRDefault="00C904F1" w:rsidP="00097E14">
      <w:pPr>
        <w:pStyle w:val="Prrafodelista"/>
        <w:spacing w:after="0" w:line="276" w:lineRule="auto"/>
        <w:ind w:left="0"/>
        <w:jc w:val="both"/>
        <w:rPr>
          <w:rFonts w:ascii="Verdana" w:hAnsi="Verdana" w:cs="Arial"/>
          <w:b/>
          <w:bCs/>
          <w:color w:val="000000" w:themeColor="text1"/>
        </w:rPr>
      </w:pPr>
      <w:r w:rsidRPr="00BB1A4E">
        <w:rPr>
          <w:rFonts w:ascii="Verdana" w:hAnsi="Verdana" w:cs="Arial"/>
          <w:b/>
          <w:bCs/>
          <w:color w:val="000000" w:themeColor="text1"/>
        </w:rPr>
        <w:t xml:space="preserve">5. </w:t>
      </w:r>
      <w:r w:rsidR="005C06FE" w:rsidRPr="00BB1A4E">
        <w:rPr>
          <w:rFonts w:ascii="Verdana" w:hAnsi="Verdana" w:cs="Arial"/>
          <w:b/>
          <w:bCs/>
          <w:color w:val="000000" w:themeColor="text1"/>
        </w:rPr>
        <w:t xml:space="preserve">Doctrina de la Agencia Nacional de Contratación Pública: </w:t>
      </w:r>
    </w:p>
    <w:p w14:paraId="7618329F" w14:textId="77777777" w:rsidR="005C06FE" w:rsidRDefault="005C06FE" w:rsidP="00097E14">
      <w:pPr>
        <w:pStyle w:val="Prrafodelista"/>
        <w:spacing w:after="0" w:line="276" w:lineRule="auto"/>
        <w:ind w:left="0"/>
        <w:jc w:val="both"/>
        <w:rPr>
          <w:rFonts w:ascii="Verdana" w:hAnsi="Verdana" w:cs="Arial"/>
          <w:color w:val="000000" w:themeColor="text1"/>
        </w:rPr>
      </w:pPr>
    </w:p>
    <w:p w14:paraId="4D727D45" w14:textId="43BE5EFF" w:rsidR="00084E35" w:rsidRDefault="00084E35" w:rsidP="00084E35">
      <w:pPr>
        <w:widowControl w:val="0"/>
        <w:autoSpaceDE w:val="0"/>
        <w:autoSpaceDN w:val="0"/>
        <w:spacing w:after="0" w:line="276" w:lineRule="auto"/>
        <w:jc w:val="both"/>
        <w:rPr>
          <w:rFonts w:ascii="Verdana" w:eastAsia="Calibri" w:hAnsi="Verdana" w:cs="Times New Roman"/>
        </w:rPr>
      </w:pPr>
      <w:r w:rsidRPr="005F0A61">
        <w:rPr>
          <w:rFonts w:ascii="Verdana" w:hAnsi="Verdana" w:cs="Arial"/>
          <w:color w:val="000000" w:themeColor="text1"/>
          <w:shd w:val="clear" w:color="auto" w:fill="FFFFFF"/>
          <w:lang w:val="es-ES"/>
        </w:rPr>
        <w:t>La Agencia Nacional de Contratación Pública – Colombia Compra Eficiente se ha referido a la acreditación de requisitos habilitantes y la capacidad financiera en los conceptos con radicado No. 2201913000007980 del 24 de octubre de 2019,</w:t>
      </w:r>
      <w:r w:rsidRPr="005F0A61">
        <w:rPr>
          <w:rFonts w:ascii="Verdana" w:hAnsi="Verdana"/>
          <w:lang w:val="es-ES"/>
        </w:rPr>
        <w:t xml:space="preserve"> C-868 del 19 de diciembre de 2022, C-877 del 26 de diciembre de 2022, </w:t>
      </w:r>
      <w:r w:rsidRPr="005F0A61">
        <w:rPr>
          <w:rFonts w:ascii="Verdana" w:hAnsi="Verdana" w:cs="Arial"/>
          <w:color w:val="000000" w:themeColor="text1"/>
          <w:shd w:val="clear" w:color="auto" w:fill="FFFFFF"/>
          <w:lang w:val="es-ES"/>
        </w:rPr>
        <w:t xml:space="preserve"> </w:t>
      </w:r>
      <w:r w:rsidRPr="005F0A61">
        <w:rPr>
          <w:rFonts w:ascii="Verdana" w:hAnsi="Verdana"/>
          <w:lang w:val="es-ES"/>
        </w:rPr>
        <w:t xml:space="preserve">C-417 del 27 de septiembre de 2023 ,C-432 del 23 de octubre de 2023, C-174 del 23 de julio de 2024, </w:t>
      </w:r>
      <w:r w:rsidRPr="005F0A61">
        <w:rPr>
          <w:rFonts w:ascii="Verdana" w:eastAsia="Calibri" w:hAnsi="Verdana" w:cs="Arial"/>
          <w:lang w:val="es-ES" w:eastAsia="es-ES_tradnl"/>
        </w:rPr>
        <w:t xml:space="preserve">C- 530 del 4 de octubre de 2024, C-595 del 24 de octubre </w:t>
      </w:r>
      <w:r w:rsidRPr="005F0A61">
        <w:rPr>
          <w:rFonts w:ascii="Verdana" w:eastAsia="Calibri" w:hAnsi="Verdana" w:cs="Arial"/>
          <w:lang w:val="es-ES" w:eastAsia="es-ES_tradnl"/>
        </w:rPr>
        <w:lastRenderedPageBreak/>
        <w:t xml:space="preserve">2024, </w:t>
      </w:r>
      <w:r w:rsidRPr="005F0A61">
        <w:rPr>
          <w:rFonts w:ascii="Verdana" w:eastAsia="Calibri" w:hAnsi="Verdana" w:cs="Arial"/>
          <w:lang w:val="es-ES" w:eastAsia="es-ES"/>
        </w:rPr>
        <w:t>C-648 del 6 de noviembre 2024, C-615 del 10 de junio de 2025</w:t>
      </w:r>
      <w:r>
        <w:rPr>
          <w:rFonts w:ascii="Verdana" w:eastAsia="Calibri" w:hAnsi="Verdana" w:cs="Arial"/>
          <w:lang w:val="es-ES" w:eastAsia="es-ES"/>
        </w:rPr>
        <w:t>, C-1084 de 2025 y C-1169 del 30 de septiembre de 2025</w:t>
      </w:r>
      <w:r w:rsidRPr="00E96AE3">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r:id="rId13" w:history="1">
        <w:r w:rsidRPr="00022FF1">
          <w:rPr>
            <w:rStyle w:val="Hipervnculo"/>
            <w:rFonts w:ascii="Verdana" w:eastAsia="Calibri" w:hAnsi="Verdana" w:cs="Times New Roman"/>
            <w:lang w:val="es-ES"/>
          </w:rPr>
          <w:t>https://relatoria.colombiacompra.gov.co/busqueda/conceptos</w:t>
        </w:r>
      </w:hyperlink>
      <w:r w:rsidRPr="00022FF1">
        <w:rPr>
          <w:rFonts w:ascii="Verdana" w:eastAsia="Calibri" w:hAnsi="Verdana" w:cs="Times New Roman"/>
        </w:rPr>
        <w:t>.</w:t>
      </w:r>
    </w:p>
    <w:p w14:paraId="647530D0" w14:textId="77777777" w:rsidR="00084E35" w:rsidRPr="00084E35" w:rsidRDefault="00084E35" w:rsidP="00084E35">
      <w:pPr>
        <w:widowControl w:val="0"/>
        <w:autoSpaceDE w:val="0"/>
        <w:autoSpaceDN w:val="0"/>
        <w:spacing w:after="0" w:line="276" w:lineRule="auto"/>
        <w:jc w:val="both"/>
        <w:rPr>
          <w:rStyle w:val="normaltextrun"/>
          <w:rFonts w:ascii="Verdana" w:hAnsi="Verdana" w:cs="Arial"/>
          <w:bCs/>
          <w:shd w:val="clear" w:color="auto" w:fill="FFFFFF"/>
        </w:rPr>
      </w:pPr>
    </w:p>
    <w:p w14:paraId="75D3ED0D" w14:textId="705AAB62" w:rsidR="006D4BC8" w:rsidRDefault="006D4BC8" w:rsidP="006D4BC8">
      <w:pPr>
        <w:widowControl w:val="0"/>
        <w:autoSpaceDE w:val="0"/>
        <w:autoSpaceDN w:val="0"/>
        <w:spacing w:after="0" w:line="276" w:lineRule="auto"/>
        <w:jc w:val="both"/>
        <w:rPr>
          <w:rFonts w:ascii="Verdana" w:hAnsi="Verdana" w:cs="Arial"/>
          <w:color w:val="000000" w:themeColor="text1"/>
          <w:shd w:val="clear" w:color="auto" w:fill="FFFFFF"/>
        </w:rPr>
      </w:pPr>
      <w:r w:rsidRPr="006D4BC8">
        <w:rPr>
          <w:rFonts w:ascii="Verdana" w:hAnsi="Verdana" w:cs="Arial"/>
          <w:color w:val="000000" w:themeColor="text1"/>
          <w:shd w:val="clear" w:color="auto" w:fill="FFFFFF"/>
        </w:rPr>
        <w:t xml:space="preserve">disponibles para consulta en el Sistema de Relatoría de la Agencia, en el cual también podrás encontrar jurisprudencia del Consejo de Estado, laudos arbitrales y la normativa de la contratación concordada con la doctrina de la Subdirección de Gestión Contractual. </w:t>
      </w:r>
      <w:r w:rsidRPr="00022FF1">
        <w:rPr>
          <w:rFonts w:ascii="Verdana" w:hAnsi="Verdana" w:cs="Arial"/>
          <w:color w:val="000000" w:themeColor="text1"/>
          <w:shd w:val="clear" w:color="auto" w:fill="FFFFFF"/>
        </w:rPr>
        <w:t>Accede a través del siguiente enlace: </w:t>
      </w:r>
      <w:hyperlink r:id="rId14" w:tgtFrame="_blank" w:tooltip="Dirección URL original: https://relatoria.colombiacompra.gov.co/. Haga clic o pulse si confía en este vínculo." w:history="1">
        <w:r w:rsidRPr="00022FF1">
          <w:rPr>
            <w:rStyle w:val="Hipervnculo"/>
            <w:rFonts w:ascii="Verdana" w:hAnsi="Verdana" w:cs="Arial"/>
            <w:shd w:val="clear" w:color="auto" w:fill="FFFFFF"/>
          </w:rPr>
          <w:t>https://relatoria.colombiacompra.gov.co/</w:t>
        </w:r>
      </w:hyperlink>
      <w:r w:rsidRPr="00022FF1">
        <w:rPr>
          <w:rFonts w:ascii="Verdana" w:hAnsi="Verdana" w:cs="Arial"/>
          <w:color w:val="000000" w:themeColor="text1"/>
          <w:shd w:val="clear" w:color="auto" w:fill="FFFFFF"/>
        </w:rPr>
        <w:t> .</w:t>
      </w:r>
    </w:p>
    <w:p w14:paraId="170F6D49" w14:textId="77777777" w:rsidR="006D4BC8" w:rsidRDefault="006D4BC8" w:rsidP="006D4BC8">
      <w:pPr>
        <w:widowControl w:val="0"/>
        <w:autoSpaceDE w:val="0"/>
        <w:autoSpaceDN w:val="0"/>
        <w:spacing w:after="0" w:line="276" w:lineRule="auto"/>
        <w:jc w:val="both"/>
        <w:rPr>
          <w:rFonts w:ascii="Verdana" w:hAnsi="Verdana" w:cs="Arial"/>
          <w:color w:val="000000" w:themeColor="text1"/>
          <w:shd w:val="clear" w:color="auto" w:fill="FFFFFF"/>
        </w:rPr>
      </w:pPr>
    </w:p>
    <w:p w14:paraId="63C565EA" w14:textId="77777777" w:rsidR="008A3CB3" w:rsidRPr="00B06915" w:rsidRDefault="008A3CB3" w:rsidP="008A3CB3">
      <w:pPr>
        <w:spacing w:after="0" w:line="254" w:lineRule="auto"/>
        <w:rPr>
          <w:rFonts w:ascii="Verdana" w:eastAsia="Calibri" w:hAnsi="Verdana" w:cs="Times New Roman"/>
        </w:rPr>
      </w:pPr>
      <w:r w:rsidRPr="00B06915">
        <w:rPr>
          <w:rFonts w:ascii="Verdana" w:eastAsia="Calibri" w:hAnsi="Verdana" w:cs="Times New Roman"/>
        </w:rPr>
        <w:t xml:space="preserve">Por último, lo invitamos a seguirnos en las redes sociales en las cuales se difunde información institucional: </w:t>
      </w:r>
    </w:p>
    <w:p w14:paraId="26E3C0B7" w14:textId="77777777" w:rsidR="008A3CB3" w:rsidRPr="00B06915" w:rsidRDefault="008A3CB3" w:rsidP="008A3CB3">
      <w:pPr>
        <w:spacing w:after="0" w:line="254" w:lineRule="auto"/>
        <w:rPr>
          <w:rFonts w:ascii="Verdana" w:eastAsia="Calibri" w:hAnsi="Verdana" w:cs="Times New Roman"/>
        </w:rPr>
      </w:pPr>
    </w:p>
    <w:p w14:paraId="0A64E5E1" w14:textId="77777777" w:rsidR="008A3CB3" w:rsidRPr="00B06915" w:rsidRDefault="008A3CB3" w:rsidP="008A3CB3">
      <w:pPr>
        <w:spacing w:after="0" w:line="254" w:lineRule="auto"/>
        <w:rPr>
          <w:rFonts w:ascii="Verdana" w:eastAsia="Calibri" w:hAnsi="Verdana" w:cs="Times New Roman"/>
        </w:rPr>
      </w:pPr>
      <w:r w:rsidRPr="00B06915">
        <w:rPr>
          <w:rFonts w:ascii="Verdana" w:eastAsia="Calibri" w:hAnsi="Verdana" w:cs="Times New Roman"/>
        </w:rPr>
        <w:t xml:space="preserve">Twitter: </w:t>
      </w:r>
      <w:r w:rsidRPr="00B06915">
        <w:rPr>
          <w:rFonts w:ascii="Verdana" w:eastAsia="Calibri" w:hAnsi="Verdana" w:cs="Times New Roman"/>
          <w:u w:val="single"/>
        </w:rPr>
        <w:t>@colombiacompra</w:t>
      </w:r>
      <w:r w:rsidRPr="00B06915">
        <w:rPr>
          <w:rFonts w:ascii="Verdana" w:eastAsia="Calibri" w:hAnsi="Verdana" w:cs="Times New Roman"/>
        </w:rPr>
        <w:t xml:space="preserve"> </w:t>
      </w:r>
    </w:p>
    <w:p w14:paraId="5BD3A175" w14:textId="77777777" w:rsidR="008A3CB3" w:rsidRPr="00B06915" w:rsidRDefault="008A3CB3" w:rsidP="008A3CB3">
      <w:pPr>
        <w:spacing w:after="0" w:line="254" w:lineRule="auto"/>
        <w:rPr>
          <w:rFonts w:ascii="Verdana" w:eastAsia="Calibri" w:hAnsi="Verdana" w:cs="Times New Roman"/>
        </w:rPr>
      </w:pPr>
      <w:r w:rsidRPr="00B06915">
        <w:rPr>
          <w:rFonts w:ascii="Verdana" w:eastAsia="Calibri" w:hAnsi="Verdana" w:cs="Times New Roman"/>
        </w:rPr>
        <w:t xml:space="preserve">Facebook: </w:t>
      </w:r>
      <w:proofErr w:type="spellStart"/>
      <w:r w:rsidRPr="00B06915">
        <w:rPr>
          <w:rFonts w:ascii="Verdana" w:eastAsia="Calibri" w:hAnsi="Verdana" w:cs="Times New Roman"/>
          <w:u w:val="single"/>
        </w:rPr>
        <w:t>ColombiaCompraEficiente</w:t>
      </w:r>
      <w:proofErr w:type="spellEnd"/>
    </w:p>
    <w:p w14:paraId="60E5F299" w14:textId="77777777" w:rsidR="008A3CB3" w:rsidRPr="00B06915" w:rsidRDefault="008A3CB3" w:rsidP="008A3CB3">
      <w:pPr>
        <w:spacing w:after="0" w:line="254" w:lineRule="auto"/>
        <w:rPr>
          <w:rFonts w:ascii="Verdana" w:eastAsia="Calibri" w:hAnsi="Verdana" w:cs="Times New Roman"/>
          <w:u w:val="single"/>
        </w:rPr>
      </w:pPr>
      <w:r w:rsidRPr="00B06915">
        <w:rPr>
          <w:rFonts w:ascii="Verdana" w:eastAsia="Calibri" w:hAnsi="Verdana" w:cs="Times New Roman"/>
        </w:rPr>
        <w:t xml:space="preserve">LinkedIn: </w:t>
      </w:r>
      <w:r w:rsidRPr="00B06915">
        <w:rPr>
          <w:rFonts w:ascii="Verdana" w:eastAsia="Calibri" w:hAnsi="Verdana" w:cs="Times New Roman"/>
          <w:u w:val="single"/>
        </w:rPr>
        <w:t>Agencia Nacional de Contratación Pública - Colombia Compra Eficiente</w:t>
      </w:r>
      <w:r w:rsidRPr="00B06915">
        <w:rPr>
          <w:rFonts w:ascii="Verdana" w:eastAsia="Calibri" w:hAnsi="Verdana" w:cs="Times New Roman"/>
        </w:rPr>
        <w:t xml:space="preserve"> Instagram: </w:t>
      </w:r>
      <w:r w:rsidRPr="00B06915">
        <w:rPr>
          <w:rFonts w:ascii="Verdana" w:eastAsia="Calibri" w:hAnsi="Verdana" w:cs="Times New Roman"/>
          <w:u w:val="single"/>
        </w:rPr>
        <w:t>@colombiacompraeficiente_cce</w:t>
      </w:r>
    </w:p>
    <w:p w14:paraId="7098C367" w14:textId="77777777" w:rsidR="008A3CB3" w:rsidRPr="00B06915" w:rsidRDefault="008A3CB3" w:rsidP="008A3CB3">
      <w:pPr>
        <w:spacing w:after="0" w:line="254" w:lineRule="auto"/>
        <w:rPr>
          <w:rFonts w:ascii="Verdana" w:eastAsia="Calibri" w:hAnsi="Verdana" w:cs="Times New Roman"/>
          <w:u w:val="single"/>
        </w:rPr>
      </w:pPr>
    </w:p>
    <w:p w14:paraId="2F8D2EDF" w14:textId="77777777" w:rsidR="008A3CB3" w:rsidRPr="00B06915" w:rsidRDefault="008A3CB3" w:rsidP="008A3CB3">
      <w:pPr>
        <w:spacing w:after="0" w:line="254" w:lineRule="auto"/>
        <w:jc w:val="both"/>
        <w:rPr>
          <w:rFonts w:ascii="Verdana" w:eastAsia="Calibri" w:hAnsi="Verdana" w:cs="Times New Roman"/>
          <w:bCs/>
          <w:lang w:val="es-ES_tradnl"/>
        </w:rPr>
      </w:pPr>
      <w:r w:rsidRPr="00B0691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64BDC94" w14:textId="77777777" w:rsidR="008A3CB3" w:rsidRPr="00B06915" w:rsidRDefault="008A3CB3" w:rsidP="008A3CB3">
      <w:pPr>
        <w:spacing w:after="0" w:line="254" w:lineRule="auto"/>
        <w:jc w:val="both"/>
        <w:rPr>
          <w:rFonts w:ascii="Verdana" w:eastAsia="Calibri" w:hAnsi="Verdana" w:cs="Times New Roman"/>
        </w:rPr>
      </w:pPr>
    </w:p>
    <w:p w14:paraId="375A031E" w14:textId="77777777" w:rsidR="008A3CB3" w:rsidRDefault="008A3CB3" w:rsidP="008A3CB3">
      <w:pPr>
        <w:spacing w:after="0" w:line="254" w:lineRule="auto"/>
        <w:jc w:val="both"/>
        <w:rPr>
          <w:rFonts w:ascii="Verdana" w:eastAsia="Calibri" w:hAnsi="Verdana" w:cs="Times New Roman"/>
        </w:rPr>
      </w:pPr>
      <w:r w:rsidRPr="00B06915">
        <w:rPr>
          <w:rFonts w:ascii="Verdana" w:eastAsia="Calibri" w:hAnsi="Verdana" w:cs="Times New Roman"/>
        </w:rPr>
        <w:t>Atentamente,</w:t>
      </w:r>
    </w:p>
    <w:p w14:paraId="07C930A3" w14:textId="0B1D42A0" w:rsidR="008A3CB3" w:rsidRDefault="00E74147" w:rsidP="008A3CB3">
      <w:pPr>
        <w:spacing w:after="0" w:line="254" w:lineRule="auto"/>
        <w:jc w:val="both"/>
        <w:rPr>
          <w:rFonts w:ascii="Verdana" w:eastAsia="Calibri" w:hAnsi="Verdana" w:cs="Times New Roman"/>
        </w:rPr>
      </w:pPr>
      <w:r w:rsidRPr="00580D84">
        <w:rPr>
          <w:rFonts w:ascii="Verdana" w:eastAsia="Verdana" w:hAnsi="Verdana" w:cs="Verdana"/>
          <w:b/>
          <w:bCs/>
          <w:noProof/>
          <w:lang w:val="es-MX"/>
        </w:rPr>
        <w:drawing>
          <wp:anchor distT="0" distB="0" distL="114300" distR="114300" simplePos="0" relativeHeight="251659776" behindDoc="1" locked="0" layoutInCell="1" allowOverlap="1" wp14:anchorId="61312873" wp14:editId="04AF0F44">
            <wp:simplePos x="0" y="0"/>
            <wp:positionH relativeFrom="column">
              <wp:posOffset>1543260</wp:posOffset>
            </wp:positionH>
            <wp:positionV relativeFrom="paragraph">
              <wp:posOffset>154305</wp:posOffset>
            </wp:positionV>
            <wp:extent cx="3011805" cy="1067435"/>
            <wp:effectExtent l="0" t="0" r="0" b="0"/>
            <wp:wrapTight wrapText="bothSides">
              <wp:wrapPolygon edited="0">
                <wp:start x="0" y="0"/>
                <wp:lineTo x="0" y="21202"/>
                <wp:lineTo x="21450" y="21202"/>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5">
                      <a:extLst>
                        <a:ext uri="{28A0092B-C50C-407E-A947-70E740481C1C}">
                          <a14:useLocalDpi xmlns:a14="http://schemas.microsoft.com/office/drawing/2010/main" val="0"/>
                        </a:ext>
                      </a:extLst>
                    </a:blip>
                    <a:stretch>
                      <a:fillRect/>
                    </a:stretch>
                  </pic:blipFill>
                  <pic:spPr>
                    <a:xfrm>
                      <a:off x="0" y="0"/>
                      <a:ext cx="3011805" cy="1067435"/>
                    </a:xfrm>
                    <a:prstGeom prst="rect">
                      <a:avLst/>
                    </a:prstGeom>
                  </pic:spPr>
                </pic:pic>
              </a:graphicData>
            </a:graphic>
            <wp14:sizeRelV relativeFrom="margin">
              <wp14:pctHeight>0</wp14:pctHeight>
            </wp14:sizeRelV>
          </wp:anchor>
        </w:drawing>
      </w:r>
    </w:p>
    <w:p w14:paraId="7134D7AD" w14:textId="69660D68" w:rsidR="008A3CB3" w:rsidRPr="00B06915" w:rsidRDefault="008A3CB3" w:rsidP="008A3CB3">
      <w:pPr>
        <w:spacing w:after="0" w:line="254" w:lineRule="auto"/>
        <w:jc w:val="both"/>
        <w:rPr>
          <w:rFonts w:ascii="Verdana" w:eastAsia="Calibri" w:hAnsi="Verdana" w:cs="Times New Roman"/>
        </w:rPr>
      </w:pPr>
    </w:p>
    <w:p w14:paraId="4AC9A3AF" w14:textId="77777777" w:rsidR="006D4BC8" w:rsidRPr="006D4BC8" w:rsidRDefault="006D4BC8" w:rsidP="006D4BC8">
      <w:pPr>
        <w:widowControl w:val="0"/>
        <w:autoSpaceDE w:val="0"/>
        <w:autoSpaceDN w:val="0"/>
        <w:spacing w:after="0" w:line="276" w:lineRule="auto"/>
        <w:jc w:val="both"/>
        <w:rPr>
          <w:rFonts w:ascii="Verdana" w:eastAsia="Calibri" w:hAnsi="Verdana" w:cs="Arial"/>
          <w:shd w:val="clear" w:color="auto" w:fill="FFFFFF"/>
        </w:rPr>
      </w:pPr>
    </w:p>
    <w:p w14:paraId="4F3E878C" w14:textId="77777777" w:rsidR="005C06FE" w:rsidRPr="006D4BC8" w:rsidRDefault="005C06FE" w:rsidP="006D4BC8">
      <w:pPr>
        <w:pStyle w:val="Prrafodelista"/>
        <w:spacing w:after="0" w:line="276" w:lineRule="auto"/>
        <w:ind w:left="0"/>
        <w:jc w:val="both"/>
        <w:rPr>
          <w:rFonts w:ascii="Verdana" w:hAnsi="Verdana" w:cs="Arial"/>
          <w:color w:val="000000" w:themeColor="text1"/>
          <w:lang w:val="es-CO"/>
        </w:rPr>
      </w:pPr>
    </w:p>
    <w:p w14:paraId="729D6FA2" w14:textId="77777777" w:rsidR="00616D28" w:rsidRPr="00DB1195" w:rsidRDefault="00616D28" w:rsidP="00097E14">
      <w:pPr>
        <w:pStyle w:val="Prrafodelista"/>
        <w:spacing w:after="0" w:line="276" w:lineRule="auto"/>
        <w:ind w:left="0"/>
        <w:jc w:val="both"/>
        <w:rPr>
          <w:rFonts w:ascii="Verdana" w:hAnsi="Verdana" w:cs="Arial"/>
          <w:color w:val="000000" w:themeColor="text1"/>
        </w:rPr>
      </w:pPr>
    </w:p>
    <w:p w14:paraId="07967526" w14:textId="77777777" w:rsidR="00616D28" w:rsidRPr="00DB1195" w:rsidRDefault="00616D28" w:rsidP="00097E14">
      <w:pPr>
        <w:pStyle w:val="Prrafodelista"/>
        <w:spacing w:after="0" w:line="276" w:lineRule="auto"/>
        <w:ind w:left="0"/>
        <w:jc w:val="both"/>
        <w:rPr>
          <w:rFonts w:ascii="Verdana" w:hAnsi="Verdana" w:cs="Arial"/>
          <w:color w:val="000000" w:themeColor="text1"/>
        </w:rPr>
      </w:pPr>
    </w:p>
    <w:p w14:paraId="25E5BBA5" w14:textId="77777777" w:rsidR="002F026C" w:rsidRDefault="002F026C" w:rsidP="002F026C">
      <w:pPr>
        <w:spacing w:after="0" w:line="240" w:lineRule="auto"/>
        <w:textAlignment w:val="baseline"/>
        <w:rPr>
          <w:rFonts w:ascii="Verdana" w:eastAsia="Times New Roman" w:hAnsi="Verdana" w:cs="Segoe UI"/>
          <w:lang w:val="es-MX" w:eastAsia="es-CO"/>
        </w:rPr>
      </w:pPr>
    </w:p>
    <w:p w14:paraId="795C8254" w14:textId="77777777" w:rsidR="002F026C" w:rsidRDefault="002F026C" w:rsidP="002F026C">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2F026C" w:rsidRPr="004C0111" w14:paraId="7C1930B2" w14:textId="77777777" w:rsidTr="000E1056">
        <w:trPr>
          <w:trHeight w:val="622"/>
        </w:trPr>
        <w:tc>
          <w:tcPr>
            <w:tcW w:w="893" w:type="dxa"/>
            <w:vAlign w:val="center"/>
            <w:hideMark/>
          </w:tcPr>
          <w:p w14:paraId="6D00DC1B" w14:textId="77777777" w:rsidR="002F026C" w:rsidRPr="004C0111" w:rsidRDefault="002F026C" w:rsidP="000E1056">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2F026C" w:rsidRPr="004C0111" w14:paraId="2581F7C7" w14:textId="77777777" w:rsidTr="000E1056">
              <w:trPr>
                <w:trHeight w:val="45"/>
              </w:trPr>
              <w:tc>
                <w:tcPr>
                  <w:tcW w:w="5091" w:type="dxa"/>
                  <w:tcBorders>
                    <w:top w:val="dotted" w:sz="6" w:space="0" w:color="7F7F7F"/>
                    <w:left w:val="nil"/>
                    <w:bottom w:val="dotted" w:sz="6" w:space="0" w:color="7F7F7F"/>
                    <w:right w:val="nil"/>
                  </w:tcBorders>
                  <w:vAlign w:val="center"/>
                  <w:hideMark/>
                </w:tcPr>
                <w:p w14:paraId="5508E0EF" w14:textId="77777777" w:rsidR="002F026C" w:rsidRPr="004C0111" w:rsidRDefault="002F026C" w:rsidP="000E1056">
                  <w:pPr>
                    <w:spacing w:after="0"/>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Kelmis Yirama Brugés Alvarado</w:t>
                  </w:r>
                </w:p>
                <w:p w14:paraId="50AA04AB" w14:textId="77777777" w:rsidR="002F026C" w:rsidRPr="004C0111" w:rsidRDefault="002F026C" w:rsidP="000E1056">
                  <w:pPr>
                    <w:spacing w:after="0"/>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060B571A" w14:textId="77777777" w:rsidR="002F026C" w:rsidRPr="004C0111" w:rsidRDefault="002F026C" w:rsidP="000E1056">
            <w:pPr>
              <w:spacing w:line="276" w:lineRule="auto"/>
              <w:contextualSpacing/>
              <w:rPr>
                <w:rFonts w:ascii="Verdana" w:eastAsia="Calibri" w:hAnsi="Verdana" w:cs="Arial"/>
                <w:sz w:val="16"/>
                <w:szCs w:val="16"/>
                <w:lang w:val="es-MX"/>
              </w:rPr>
            </w:pPr>
          </w:p>
        </w:tc>
      </w:tr>
      <w:tr w:rsidR="002F026C" w:rsidRPr="004C0111" w14:paraId="7990C343" w14:textId="77777777" w:rsidTr="000E1056">
        <w:trPr>
          <w:trHeight w:val="330"/>
        </w:trPr>
        <w:tc>
          <w:tcPr>
            <w:tcW w:w="893" w:type="dxa"/>
            <w:vAlign w:val="center"/>
            <w:hideMark/>
          </w:tcPr>
          <w:p w14:paraId="6D6E1BF7" w14:textId="77777777" w:rsidR="002F026C" w:rsidRPr="004C0111" w:rsidRDefault="002F026C" w:rsidP="000E1056">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lastRenderedPageBreak/>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3433C3F3" w14:textId="0562AE17" w:rsidR="002F026C" w:rsidRPr="004C0111" w:rsidRDefault="002F026C" w:rsidP="000E1056">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Adriana López </w:t>
            </w:r>
            <w:r w:rsidR="0027778E">
              <w:rPr>
                <w:rFonts w:ascii="Verdana" w:eastAsia="Times New Roman" w:hAnsi="Verdana" w:cs="Arial"/>
                <w:sz w:val="16"/>
                <w:szCs w:val="16"/>
                <w:lang w:eastAsia="es-CO"/>
              </w:rPr>
              <w:t>Rodríguez</w:t>
            </w:r>
          </w:p>
          <w:p w14:paraId="40F10670" w14:textId="6A8F90CA" w:rsidR="002F026C" w:rsidRPr="004C0111" w:rsidRDefault="0027778E" w:rsidP="000E1056">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002F026C" w:rsidRPr="004C0111">
              <w:rPr>
                <w:rFonts w:ascii="Verdana" w:eastAsia="Times New Roman" w:hAnsi="Verdana" w:cs="Arial"/>
                <w:sz w:val="16"/>
                <w:szCs w:val="16"/>
                <w:lang w:eastAsia="es-CO"/>
              </w:rPr>
              <w:t>de la Subdirección de Gestión Contractual</w:t>
            </w:r>
          </w:p>
        </w:tc>
      </w:tr>
      <w:tr w:rsidR="002F026C" w:rsidRPr="004C0111" w14:paraId="78E65F7D" w14:textId="77777777" w:rsidTr="000E1056">
        <w:trPr>
          <w:trHeight w:val="77"/>
        </w:trPr>
        <w:tc>
          <w:tcPr>
            <w:tcW w:w="893" w:type="dxa"/>
            <w:vAlign w:val="center"/>
          </w:tcPr>
          <w:p w14:paraId="419FD39B" w14:textId="77777777" w:rsidR="002F026C" w:rsidRPr="004C0111" w:rsidRDefault="002F026C" w:rsidP="000E1056">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2B85BB4D" w14:textId="77777777" w:rsidR="002F026C" w:rsidRPr="002F2853" w:rsidRDefault="002F026C" w:rsidP="000E1056">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46F3238" w14:textId="77777777" w:rsidR="002F026C" w:rsidRPr="004C0111" w:rsidRDefault="002F026C" w:rsidP="000E1056">
            <w:pPr>
              <w:spacing w:line="276" w:lineRule="auto"/>
              <w:contextualSpacing/>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69BC4D14" w14:textId="15503A9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673AEC38" w:rsidR="00127233" w:rsidRPr="0015699B" w:rsidRDefault="00127233" w:rsidP="00225197">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27766" w14:textId="77777777" w:rsidR="00AD3D64" w:rsidRDefault="00AD3D64" w:rsidP="004A1847">
      <w:pPr>
        <w:spacing w:after="0" w:line="240" w:lineRule="auto"/>
      </w:pPr>
      <w:r>
        <w:separator/>
      </w:r>
    </w:p>
  </w:endnote>
  <w:endnote w:type="continuationSeparator" w:id="0">
    <w:p w14:paraId="4DB85362" w14:textId="77777777" w:rsidR="00AD3D64" w:rsidRDefault="00AD3D64" w:rsidP="004A1847">
      <w:pPr>
        <w:spacing w:after="0" w:line="240" w:lineRule="auto"/>
      </w:pPr>
      <w:r>
        <w:continuationSeparator/>
      </w:r>
    </w:p>
  </w:endnote>
  <w:endnote w:type="continuationNotice" w:id="1">
    <w:p w14:paraId="111EA01E" w14:textId="77777777" w:rsidR="00AD3D64" w:rsidRDefault="00AD3D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0794C" w14:textId="77777777" w:rsidR="00AD3D64" w:rsidRDefault="00AD3D64" w:rsidP="004A1847">
      <w:pPr>
        <w:spacing w:after="0" w:line="240" w:lineRule="auto"/>
      </w:pPr>
      <w:r>
        <w:separator/>
      </w:r>
    </w:p>
  </w:footnote>
  <w:footnote w:type="continuationSeparator" w:id="0">
    <w:p w14:paraId="58C50AE7" w14:textId="77777777" w:rsidR="00AD3D64" w:rsidRDefault="00AD3D64" w:rsidP="004A1847">
      <w:pPr>
        <w:spacing w:after="0" w:line="240" w:lineRule="auto"/>
      </w:pPr>
      <w:r>
        <w:continuationSeparator/>
      </w:r>
    </w:p>
  </w:footnote>
  <w:footnote w:type="continuationNotice" w:id="1">
    <w:p w14:paraId="2B6D7384" w14:textId="77777777" w:rsidR="00AD3D64" w:rsidRDefault="00AD3D64">
      <w:pPr>
        <w:spacing w:after="0" w:line="240" w:lineRule="auto"/>
      </w:pPr>
    </w:p>
  </w:footnote>
  <w:footnote w:id="2">
    <w:p w14:paraId="3482C69D" w14:textId="77777777" w:rsidR="00DB71C3" w:rsidRPr="00FC26A8" w:rsidRDefault="00DB71C3" w:rsidP="00DB71C3">
      <w:pPr>
        <w:pStyle w:val="NormalWeb"/>
        <w:snapToGrid w:val="0"/>
        <w:spacing w:before="0" w:beforeAutospacing="0" w:after="0" w:afterAutospacing="0"/>
        <w:ind w:firstLine="709"/>
        <w:contextualSpacing/>
        <w:jc w:val="both"/>
        <w:rPr>
          <w:rFonts w:ascii="Verdana" w:hAnsi="Verdana" w:cs="Arial"/>
          <w:sz w:val="16"/>
          <w:szCs w:val="16"/>
        </w:rPr>
      </w:pPr>
      <w:r w:rsidRPr="00FC26A8">
        <w:rPr>
          <w:rStyle w:val="Refdenotaalpie"/>
          <w:rFonts w:ascii="Verdana" w:eastAsiaTheme="majorEastAsia" w:hAnsi="Verdana" w:cs="Arial"/>
          <w:sz w:val="16"/>
          <w:szCs w:val="16"/>
        </w:rPr>
        <w:footnoteRef/>
      </w:r>
      <w:r w:rsidRPr="00FC26A8">
        <w:rPr>
          <w:rFonts w:ascii="Verdana" w:hAnsi="Verdana" w:cs="Arial"/>
          <w:sz w:val="16"/>
          <w:szCs w:val="16"/>
        </w:rPr>
        <w:t xml:space="preserve"> </w:t>
      </w:r>
      <w:r w:rsidRPr="00FC26A8">
        <w:rPr>
          <w:rFonts w:ascii="Verdana" w:hAnsi="Verdana" w:cs="Arial"/>
          <w:sz w:val="16"/>
          <w:szCs w:val="16"/>
          <w:lang w:val="es-ES"/>
        </w:rPr>
        <w:t>“</w:t>
      </w:r>
      <w:r w:rsidRPr="00FC26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180A4882" w14:textId="77777777" w:rsidR="00DB71C3" w:rsidRDefault="00DB71C3" w:rsidP="00DB71C3">
      <w:pPr>
        <w:snapToGrid w:val="0"/>
        <w:spacing w:after="0" w:line="240" w:lineRule="auto"/>
        <w:ind w:firstLine="708"/>
        <w:contextualSpacing/>
        <w:jc w:val="both"/>
        <w:rPr>
          <w:rFonts w:ascii="Verdana" w:hAnsi="Verdana" w:cs="Arial"/>
          <w:sz w:val="16"/>
          <w:szCs w:val="16"/>
        </w:rPr>
      </w:pPr>
      <w:r w:rsidRPr="001B0871">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5D8C640A" w14:textId="77777777" w:rsidR="00DB71C3" w:rsidRPr="001B0871" w:rsidRDefault="00DB71C3" w:rsidP="00DB71C3">
      <w:pPr>
        <w:snapToGrid w:val="0"/>
        <w:spacing w:after="0" w:line="240" w:lineRule="auto"/>
        <w:ind w:firstLine="708"/>
        <w:contextualSpacing/>
        <w:jc w:val="both"/>
        <w:rPr>
          <w:rFonts w:ascii="Verdana" w:hAnsi="Verdana" w:cs="Arial"/>
          <w:sz w:val="16"/>
          <w:szCs w:val="16"/>
        </w:rPr>
      </w:pPr>
    </w:p>
  </w:footnote>
  <w:footnote w:id="3">
    <w:p w14:paraId="639D2806" w14:textId="77777777" w:rsidR="00F22D75" w:rsidRPr="00AF5AD6" w:rsidRDefault="00F22D75" w:rsidP="00F22D75">
      <w:pPr>
        <w:pStyle w:val="Textonotapie"/>
        <w:rPr>
          <w:rFonts w:ascii="Verdana" w:hAnsi="Verdana"/>
          <w:sz w:val="16"/>
          <w:szCs w:val="16"/>
          <w:lang w:val="es-ES"/>
        </w:rPr>
      </w:pPr>
      <w:r w:rsidRPr="00AF5AD6">
        <w:rPr>
          <w:rStyle w:val="Refdenotaalpie"/>
          <w:rFonts w:ascii="Verdana" w:hAnsi="Verdana"/>
          <w:sz w:val="16"/>
          <w:szCs w:val="16"/>
        </w:rPr>
        <w:footnoteRef/>
      </w:r>
      <w:r w:rsidRPr="00AF5AD6">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0A74E3B"/>
    <w:multiLevelType w:val="hybridMultilevel"/>
    <w:tmpl w:val="925C75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AA6912"/>
    <w:multiLevelType w:val="hybridMultilevel"/>
    <w:tmpl w:val="3B0801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48A74AE"/>
    <w:multiLevelType w:val="hybridMultilevel"/>
    <w:tmpl w:val="9496AA5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1127511889">
    <w:abstractNumId w:val="2"/>
  </w:num>
  <w:num w:numId="17" w16cid:durableId="1962687685">
    <w:abstractNumId w:val="9"/>
  </w:num>
  <w:num w:numId="18" w16cid:durableId="1419062489">
    <w:abstractNumId w:val="10"/>
  </w:num>
  <w:num w:numId="19" w16cid:durableId="149109619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056"/>
    <w:rsid w:val="00007F80"/>
    <w:rsid w:val="00016F78"/>
    <w:rsid w:val="00020311"/>
    <w:rsid w:val="00022FF1"/>
    <w:rsid w:val="00024330"/>
    <w:rsid w:val="00031398"/>
    <w:rsid w:val="00046945"/>
    <w:rsid w:val="0005148E"/>
    <w:rsid w:val="00056DD6"/>
    <w:rsid w:val="00061B2A"/>
    <w:rsid w:val="00062A90"/>
    <w:rsid w:val="00082362"/>
    <w:rsid w:val="00084E35"/>
    <w:rsid w:val="00084EF2"/>
    <w:rsid w:val="00097E14"/>
    <w:rsid w:val="000A683E"/>
    <w:rsid w:val="000B19B9"/>
    <w:rsid w:val="000B631E"/>
    <w:rsid w:val="000C5571"/>
    <w:rsid w:val="000C5579"/>
    <w:rsid w:val="000C6309"/>
    <w:rsid w:val="000D0334"/>
    <w:rsid w:val="000D1FD8"/>
    <w:rsid w:val="000D2F39"/>
    <w:rsid w:val="000D31F0"/>
    <w:rsid w:val="000D5187"/>
    <w:rsid w:val="000D5DA7"/>
    <w:rsid w:val="000F6486"/>
    <w:rsid w:val="00116940"/>
    <w:rsid w:val="00123071"/>
    <w:rsid w:val="00125105"/>
    <w:rsid w:val="00127233"/>
    <w:rsid w:val="00143644"/>
    <w:rsid w:val="001545DA"/>
    <w:rsid w:val="0015551D"/>
    <w:rsid w:val="0015699B"/>
    <w:rsid w:val="00172A32"/>
    <w:rsid w:val="00174D51"/>
    <w:rsid w:val="001A33BF"/>
    <w:rsid w:val="001A41CF"/>
    <w:rsid w:val="001C348E"/>
    <w:rsid w:val="001E4177"/>
    <w:rsid w:val="001F0B24"/>
    <w:rsid w:val="001F6AD8"/>
    <w:rsid w:val="001F7DC6"/>
    <w:rsid w:val="00203866"/>
    <w:rsid w:val="0022400B"/>
    <w:rsid w:val="00225197"/>
    <w:rsid w:val="00241F59"/>
    <w:rsid w:val="002421BB"/>
    <w:rsid w:val="00252DD7"/>
    <w:rsid w:val="0025796E"/>
    <w:rsid w:val="002707A2"/>
    <w:rsid w:val="00272110"/>
    <w:rsid w:val="0027778E"/>
    <w:rsid w:val="002951A0"/>
    <w:rsid w:val="002962BC"/>
    <w:rsid w:val="00296388"/>
    <w:rsid w:val="002A093D"/>
    <w:rsid w:val="002A0DD0"/>
    <w:rsid w:val="002A49AC"/>
    <w:rsid w:val="002A64FD"/>
    <w:rsid w:val="002B2585"/>
    <w:rsid w:val="002B33C3"/>
    <w:rsid w:val="002B42CC"/>
    <w:rsid w:val="002B79E0"/>
    <w:rsid w:val="002C1101"/>
    <w:rsid w:val="002C3860"/>
    <w:rsid w:val="002C7A84"/>
    <w:rsid w:val="002E1361"/>
    <w:rsid w:val="002E2BF8"/>
    <w:rsid w:val="002E4FD9"/>
    <w:rsid w:val="002E7F5C"/>
    <w:rsid w:val="002F026C"/>
    <w:rsid w:val="002F1A89"/>
    <w:rsid w:val="00306004"/>
    <w:rsid w:val="0030657A"/>
    <w:rsid w:val="00322A85"/>
    <w:rsid w:val="00324168"/>
    <w:rsid w:val="00330834"/>
    <w:rsid w:val="00343647"/>
    <w:rsid w:val="003448F4"/>
    <w:rsid w:val="00345244"/>
    <w:rsid w:val="00371160"/>
    <w:rsid w:val="00374F5E"/>
    <w:rsid w:val="00377E3E"/>
    <w:rsid w:val="00381B2E"/>
    <w:rsid w:val="00383275"/>
    <w:rsid w:val="00393A51"/>
    <w:rsid w:val="00396BF5"/>
    <w:rsid w:val="00396FBA"/>
    <w:rsid w:val="003972DC"/>
    <w:rsid w:val="003A779E"/>
    <w:rsid w:val="003B18F5"/>
    <w:rsid w:val="003C17FC"/>
    <w:rsid w:val="003D0F4D"/>
    <w:rsid w:val="003D5B0D"/>
    <w:rsid w:val="003E0499"/>
    <w:rsid w:val="003E4F80"/>
    <w:rsid w:val="003E6439"/>
    <w:rsid w:val="003E6918"/>
    <w:rsid w:val="003F3941"/>
    <w:rsid w:val="00402C37"/>
    <w:rsid w:val="00406575"/>
    <w:rsid w:val="00414C74"/>
    <w:rsid w:val="00415CDA"/>
    <w:rsid w:val="0042722E"/>
    <w:rsid w:val="00427C10"/>
    <w:rsid w:val="0044528D"/>
    <w:rsid w:val="00445B56"/>
    <w:rsid w:val="00451A26"/>
    <w:rsid w:val="0046328E"/>
    <w:rsid w:val="00466E39"/>
    <w:rsid w:val="004710BE"/>
    <w:rsid w:val="00474204"/>
    <w:rsid w:val="00475A86"/>
    <w:rsid w:val="0049192A"/>
    <w:rsid w:val="004A1847"/>
    <w:rsid w:val="004A2F16"/>
    <w:rsid w:val="004A305D"/>
    <w:rsid w:val="004C1507"/>
    <w:rsid w:val="004F21C4"/>
    <w:rsid w:val="004F685F"/>
    <w:rsid w:val="0050135B"/>
    <w:rsid w:val="00506B6E"/>
    <w:rsid w:val="0051544C"/>
    <w:rsid w:val="00531B02"/>
    <w:rsid w:val="00545A0F"/>
    <w:rsid w:val="0055612A"/>
    <w:rsid w:val="005566E8"/>
    <w:rsid w:val="00574867"/>
    <w:rsid w:val="00591460"/>
    <w:rsid w:val="005A65E0"/>
    <w:rsid w:val="005C06FE"/>
    <w:rsid w:val="005C3777"/>
    <w:rsid w:val="005C5CDC"/>
    <w:rsid w:val="005D18FE"/>
    <w:rsid w:val="005D1A1C"/>
    <w:rsid w:val="005D476C"/>
    <w:rsid w:val="005E1333"/>
    <w:rsid w:val="005E6D4F"/>
    <w:rsid w:val="00616D28"/>
    <w:rsid w:val="006200BF"/>
    <w:rsid w:val="006219F8"/>
    <w:rsid w:val="00625758"/>
    <w:rsid w:val="006302F7"/>
    <w:rsid w:val="00640403"/>
    <w:rsid w:val="00641962"/>
    <w:rsid w:val="00646B9F"/>
    <w:rsid w:val="00646E8E"/>
    <w:rsid w:val="00650EF5"/>
    <w:rsid w:val="0066200C"/>
    <w:rsid w:val="00665D70"/>
    <w:rsid w:val="0067192B"/>
    <w:rsid w:val="00674ECD"/>
    <w:rsid w:val="006900D9"/>
    <w:rsid w:val="006A14F0"/>
    <w:rsid w:val="006B30FE"/>
    <w:rsid w:val="006C5BB5"/>
    <w:rsid w:val="006D0B5A"/>
    <w:rsid w:val="006D4BC8"/>
    <w:rsid w:val="006D5519"/>
    <w:rsid w:val="006E4DD3"/>
    <w:rsid w:val="006E6E98"/>
    <w:rsid w:val="006F6AD3"/>
    <w:rsid w:val="00704616"/>
    <w:rsid w:val="00706C16"/>
    <w:rsid w:val="00717323"/>
    <w:rsid w:val="00720C69"/>
    <w:rsid w:val="007340C3"/>
    <w:rsid w:val="00737FA4"/>
    <w:rsid w:val="0075235A"/>
    <w:rsid w:val="007538DC"/>
    <w:rsid w:val="007560FE"/>
    <w:rsid w:val="00756841"/>
    <w:rsid w:val="00761CFE"/>
    <w:rsid w:val="00762A7A"/>
    <w:rsid w:val="007649AB"/>
    <w:rsid w:val="00771D0C"/>
    <w:rsid w:val="007807C9"/>
    <w:rsid w:val="007833AC"/>
    <w:rsid w:val="007A6A67"/>
    <w:rsid w:val="007B268C"/>
    <w:rsid w:val="007B3A20"/>
    <w:rsid w:val="007B7171"/>
    <w:rsid w:val="007C0C0F"/>
    <w:rsid w:val="007C38F8"/>
    <w:rsid w:val="007C3DC2"/>
    <w:rsid w:val="007D40E1"/>
    <w:rsid w:val="007E5497"/>
    <w:rsid w:val="008035F8"/>
    <w:rsid w:val="00803F25"/>
    <w:rsid w:val="00806F5F"/>
    <w:rsid w:val="00820278"/>
    <w:rsid w:val="008258C9"/>
    <w:rsid w:val="008358EF"/>
    <w:rsid w:val="00841298"/>
    <w:rsid w:val="0084327E"/>
    <w:rsid w:val="00844AE9"/>
    <w:rsid w:val="0085212A"/>
    <w:rsid w:val="008522CD"/>
    <w:rsid w:val="00867F95"/>
    <w:rsid w:val="00881FBB"/>
    <w:rsid w:val="008843B6"/>
    <w:rsid w:val="00891928"/>
    <w:rsid w:val="00895F24"/>
    <w:rsid w:val="008A06AD"/>
    <w:rsid w:val="008A3CB3"/>
    <w:rsid w:val="008A446D"/>
    <w:rsid w:val="008B25F1"/>
    <w:rsid w:val="008C6B72"/>
    <w:rsid w:val="008D180B"/>
    <w:rsid w:val="008E72EB"/>
    <w:rsid w:val="008E7E12"/>
    <w:rsid w:val="008F0B3C"/>
    <w:rsid w:val="008F0EA7"/>
    <w:rsid w:val="008F6A52"/>
    <w:rsid w:val="0090363B"/>
    <w:rsid w:val="00903805"/>
    <w:rsid w:val="00904413"/>
    <w:rsid w:val="00910CF1"/>
    <w:rsid w:val="00910F8E"/>
    <w:rsid w:val="00912E33"/>
    <w:rsid w:val="00913F1B"/>
    <w:rsid w:val="009155FA"/>
    <w:rsid w:val="00922CFC"/>
    <w:rsid w:val="00923EEF"/>
    <w:rsid w:val="00935ABB"/>
    <w:rsid w:val="009419F9"/>
    <w:rsid w:val="00954A7E"/>
    <w:rsid w:val="0095685E"/>
    <w:rsid w:val="00961B09"/>
    <w:rsid w:val="00963AD0"/>
    <w:rsid w:val="00965334"/>
    <w:rsid w:val="0097093E"/>
    <w:rsid w:val="0097403A"/>
    <w:rsid w:val="009A0DFA"/>
    <w:rsid w:val="009A1C6F"/>
    <w:rsid w:val="009A2A1F"/>
    <w:rsid w:val="009B2D26"/>
    <w:rsid w:val="009C47C2"/>
    <w:rsid w:val="009C71FA"/>
    <w:rsid w:val="009C72E7"/>
    <w:rsid w:val="009C7F7E"/>
    <w:rsid w:val="009D17E8"/>
    <w:rsid w:val="009D2BAF"/>
    <w:rsid w:val="009D3058"/>
    <w:rsid w:val="009E02DC"/>
    <w:rsid w:val="009F2742"/>
    <w:rsid w:val="009F3A13"/>
    <w:rsid w:val="00A02571"/>
    <w:rsid w:val="00A122D3"/>
    <w:rsid w:val="00A14468"/>
    <w:rsid w:val="00A17F13"/>
    <w:rsid w:val="00A20739"/>
    <w:rsid w:val="00A2241D"/>
    <w:rsid w:val="00A23AF9"/>
    <w:rsid w:val="00A33C78"/>
    <w:rsid w:val="00A36E17"/>
    <w:rsid w:val="00A3752F"/>
    <w:rsid w:val="00A667C7"/>
    <w:rsid w:val="00A727CE"/>
    <w:rsid w:val="00A757EF"/>
    <w:rsid w:val="00A923AE"/>
    <w:rsid w:val="00A973E7"/>
    <w:rsid w:val="00A97E7F"/>
    <w:rsid w:val="00AA3E9C"/>
    <w:rsid w:val="00AB0ADB"/>
    <w:rsid w:val="00AC288C"/>
    <w:rsid w:val="00AD3D64"/>
    <w:rsid w:val="00AF30C6"/>
    <w:rsid w:val="00AF788A"/>
    <w:rsid w:val="00B00C0E"/>
    <w:rsid w:val="00B00E05"/>
    <w:rsid w:val="00B01B1A"/>
    <w:rsid w:val="00B01C69"/>
    <w:rsid w:val="00B0381D"/>
    <w:rsid w:val="00B31A38"/>
    <w:rsid w:val="00B32AC1"/>
    <w:rsid w:val="00B421E8"/>
    <w:rsid w:val="00B44A47"/>
    <w:rsid w:val="00B72CD3"/>
    <w:rsid w:val="00B72FFF"/>
    <w:rsid w:val="00B77237"/>
    <w:rsid w:val="00BA2473"/>
    <w:rsid w:val="00BB1A4E"/>
    <w:rsid w:val="00BC2686"/>
    <w:rsid w:val="00BC3D36"/>
    <w:rsid w:val="00BD54A6"/>
    <w:rsid w:val="00BD5E24"/>
    <w:rsid w:val="00BD7F72"/>
    <w:rsid w:val="00BF7425"/>
    <w:rsid w:val="00C04FB3"/>
    <w:rsid w:val="00C11D8B"/>
    <w:rsid w:val="00C13B1B"/>
    <w:rsid w:val="00C15139"/>
    <w:rsid w:val="00C328E3"/>
    <w:rsid w:val="00C330EB"/>
    <w:rsid w:val="00C50D69"/>
    <w:rsid w:val="00C5365C"/>
    <w:rsid w:val="00C65CD3"/>
    <w:rsid w:val="00C66703"/>
    <w:rsid w:val="00C754BE"/>
    <w:rsid w:val="00C76B1C"/>
    <w:rsid w:val="00C84253"/>
    <w:rsid w:val="00C904F1"/>
    <w:rsid w:val="00C925AC"/>
    <w:rsid w:val="00CA2E51"/>
    <w:rsid w:val="00CB4CA8"/>
    <w:rsid w:val="00CB6357"/>
    <w:rsid w:val="00CC1B26"/>
    <w:rsid w:val="00CF2DB7"/>
    <w:rsid w:val="00CF4F07"/>
    <w:rsid w:val="00CF6436"/>
    <w:rsid w:val="00D03320"/>
    <w:rsid w:val="00D04CC3"/>
    <w:rsid w:val="00D16A09"/>
    <w:rsid w:val="00D361FD"/>
    <w:rsid w:val="00D423A2"/>
    <w:rsid w:val="00D44E26"/>
    <w:rsid w:val="00D520D8"/>
    <w:rsid w:val="00D6235C"/>
    <w:rsid w:val="00D63AC2"/>
    <w:rsid w:val="00D7383B"/>
    <w:rsid w:val="00D76F8A"/>
    <w:rsid w:val="00D7788A"/>
    <w:rsid w:val="00DA231B"/>
    <w:rsid w:val="00DB1195"/>
    <w:rsid w:val="00DB71C3"/>
    <w:rsid w:val="00DC39FC"/>
    <w:rsid w:val="00DD050C"/>
    <w:rsid w:val="00DE4FA4"/>
    <w:rsid w:val="00DF5254"/>
    <w:rsid w:val="00E002F3"/>
    <w:rsid w:val="00E02013"/>
    <w:rsid w:val="00E02524"/>
    <w:rsid w:val="00E05BC3"/>
    <w:rsid w:val="00E16408"/>
    <w:rsid w:val="00E20894"/>
    <w:rsid w:val="00E245AB"/>
    <w:rsid w:val="00E2764C"/>
    <w:rsid w:val="00E27F2E"/>
    <w:rsid w:val="00E335B1"/>
    <w:rsid w:val="00E50AFE"/>
    <w:rsid w:val="00E54483"/>
    <w:rsid w:val="00E63E0D"/>
    <w:rsid w:val="00E65F48"/>
    <w:rsid w:val="00E70E4C"/>
    <w:rsid w:val="00E71212"/>
    <w:rsid w:val="00E74147"/>
    <w:rsid w:val="00E75C92"/>
    <w:rsid w:val="00E771DC"/>
    <w:rsid w:val="00E8772A"/>
    <w:rsid w:val="00E90F6B"/>
    <w:rsid w:val="00E91272"/>
    <w:rsid w:val="00E92C27"/>
    <w:rsid w:val="00EA0E3D"/>
    <w:rsid w:val="00EC233E"/>
    <w:rsid w:val="00EC38A7"/>
    <w:rsid w:val="00EE1568"/>
    <w:rsid w:val="00EE1AA8"/>
    <w:rsid w:val="00EF391D"/>
    <w:rsid w:val="00EF5C51"/>
    <w:rsid w:val="00F22D75"/>
    <w:rsid w:val="00F23FEA"/>
    <w:rsid w:val="00F2578B"/>
    <w:rsid w:val="00F27A7A"/>
    <w:rsid w:val="00F309B0"/>
    <w:rsid w:val="00F31EDC"/>
    <w:rsid w:val="00F454CF"/>
    <w:rsid w:val="00F45BF1"/>
    <w:rsid w:val="00F462B3"/>
    <w:rsid w:val="00F51A98"/>
    <w:rsid w:val="00F5664F"/>
    <w:rsid w:val="00F572DC"/>
    <w:rsid w:val="00F666C4"/>
    <w:rsid w:val="00F763A0"/>
    <w:rsid w:val="00F76AFC"/>
    <w:rsid w:val="00F8184F"/>
    <w:rsid w:val="00F81B44"/>
    <w:rsid w:val="00F91F2E"/>
    <w:rsid w:val="00FA47C0"/>
    <w:rsid w:val="00FA6D4F"/>
    <w:rsid w:val="00FB5DD1"/>
    <w:rsid w:val="00FB7190"/>
    <w:rsid w:val="00FC2B5D"/>
    <w:rsid w:val="00FC69EF"/>
    <w:rsid w:val="00FD6FA6"/>
    <w:rsid w:val="00FE0E00"/>
    <w:rsid w:val="00FF1449"/>
    <w:rsid w:val="00FF6088"/>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B0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52DD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52DD7"/>
    <w:rPr>
      <w:rFonts w:ascii="Geomanist Light" w:hAnsi="Geomanist Light"/>
      <w:lang w:val="es-ES"/>
    </w:rPr>
  </w:style>
  <w:style w:type="character" w:styleId="Refdecomentario">
    <w:name w:val="annotation reference"/>
    <w:basedOn w:val="Fuentedeprrafopredeter"/>
    <w:uiPriority w:val="99"/>
    <w:semiHidden/>
    <w:unhideWhenUsed/>
    <w:rsid w:val="003E6918"/>
    <w:rPr>
      <w:sz w:val="16"/>
      <w:szCs w:val="16"/>
    </w:rPr>
  </w:style>
  <w:style w:type="paragraph" w:styleId="Textocomentario">
    <w:name w:val="annotation text"/>
    <w:basedOn w:val="Normal"/>
    <w:link w:val="TextocomentarioCar"/>
    <w:uiPriority w:val="99"/>
    <w:semiHidden/>
    <w:unhideWhenUsed/>
    <w:rsid w:val="003E691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E6918"/>
    <w:rPr>
      <w:sz w:val="20"/>
      <w:szCs w:val="20"/>
    </w:rPr>
  </w:style>
  <w:style w:type="paragraph" w:styleId="Asuntodelcomentario">
    <w:name w:val="annotation subject"/>
    <w:basedOn w:val="Textocomentario"/>
    <w:next w:val="Textocomentario"/>
    <w:link w:val="AsuntodelcomentarioCar"/>
    <w:uiPriority w:val="99"/>
    <w:semiHidden/>
    <w:unhideWhenUsed/>
    <w:rsid w:val="003E6918"/>
    <w:rPr>
      <w:b/>
      <w:bCs/>
    </w:rPr>
  </w:style>
  <w:style w:type="character" w:customStyle="1" w:styleId="AsuntodelcomentarioCar">
    <w:name w:val="Asunto del comentario Car"/>
    <w:basedOn w:val="TextocomentarioCar"/>
    <w:link w:val="Asuntodelcomentario"/>
    <w:uiPriority w:val="99"/>
    <w:semiHidden/>
    <w:rsid w:val="003E6918"/>
    <w:rPr>
      <w:b/>
      <w:bCs/>
      <w:sz w:val="20"/>
      <w:szCs w:val="20"/>
    </w:rPr>
  </w:style>
  <w:style w:type="character" w:customStyle="1" w:styleId="NormalWebCar">
    <w:name w:val="Normal (Web) Car"/>
    <w:link w:val="NormalWeb"/>
    <w:uiPriority w:val="99"/>
    <w:rsid w:val="004710B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366309">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3F5AF87-8AB9-4A67-B0D4-101B66567234}">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71B0B7F4-9499-41A2-BDE8-4C24F71451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11</Pages>
  <Words>3220</Words>
  <Characters>18035</Characters>
  <Application>Microsoft Office Word</Application>
  <DocSecurity>0</DocSecurity>
  <Lines>375</Lines>
  <Paragraphs>89</Paragraphs>
  <ScaleCrop>false</ScaleCrop>
  <Company/>
  <LinksUpToDate>false</LinksUpToDate>
  <CharactersWithSpaces>21166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2026-02-23T13:27:00Z</dcterms:created>
  <dcterms:modified xsi:type="dcterms:W3CDTF">2026-02-24T17:20:00Z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