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FCFC5" w14:textId="77777777" w:rsidR="005B2F4A" w:rsidRDefault="005B2F4A" w:rsidP="005B2F4A">
      <w:pPr>
        <w:spacing w:line="276" w:lineRule="auto"/>
        <w:jc w:val="both"/>
        <w:rPr>
          <w:rFonts w:ascii="Verdana" w:eastAsia="Calibri" w:hAnsi="Verdana" w:cs="Arial"/>
          <w:b/>
          <w:bCs/>
          <w:lang w:val="es-ES" w:eastAsia="es-ES"/>
        </w:rPr>
      </w:pPr>
      <w:bookmarkStart w:id="0" w:name="_Hlk143780582"/>
      <w:r w:rsidRPr="005B2F4A">
        <w:rPr>
          <w:rFonts w:ascii="Verdana" w:eastAsia="Calibri" w:hAnsi="Verdana" w:cs="Arial"/>
          <w:b/>
          <w:bCs/>
          <w:lang w:val="es-ES" w:eastAsia="es-ES"/>
        </w:rPr>
        <w:t xml:space="preserve">REQUISITOS HABILITANTES ‒ Concepto – Finalidad </w:t>
      </w:r>
    </w:p>
    <w:p w14:paraId="5F1A3220" w14:textId="77777777" w:rsidR="00221D9E" w:rsidRPr="00221D9E" w:rsidRDefault="00221D9E" w:rsidP="00221D9E">
      <w:pPr>
        <w:spacing w:after="120" w:line="240" w:lineRule="auto"/>
        <w:jc w:val="both"/>
        <w:rPr>
          <w:rFonts w:ascii="Verdana" w:hAnsi="Verdana" w:cs="Arial"/>
          <w:bCs/>
          <w:sz w:val="20"/>
          <w:szCs w:val="20"/>
          <w:lang w:val="es-ES_tradnl" w:eastAsia="es-ES" w:bidi="es-ES"/>
        </w:rPr>
      </w:pPr>
      <w:r w:rsidRPr="00221D9E">
        <w:rPr>
          <w:rFonts w:ascii="Verdana" w:hAnsi="Verdana" w:cs="Arial"/>
          <w:bCs/>
          <w:sz w:val="20"/>
          <w:szCs w:val="20"/>
          <w:lang w:val="es-ES_tradnl" w:eastAsia="es-ES" w:bidi="es-ES"/>
        </w:rPr>
        <w:t xml:space="preserve">Los </w:t>
      </w:r>
      <w:r w:rsidRPr="00F2568E">
        <w:rPr>
          <w:rFonts w:ascii="Verdana" w:hAnsi="Verdana" w:cs="Arial"/>
          <w:bCs/>
          <w:sz w:val="20"/>
          <w:szCs w:val="20"/>
          <w:lang w:val="es-ES_tradnl" w:eastAsia="es-ES" w:bidi="es-ES"/>
        </w:rPr>
        <w:t>requisitos habilitantes</w:t>
      </w:r>
      <w:r w:rsidRPr="00221D9E">
        <w:rPr>
          <w:rFonts w:ascii="Verdana" w:hAnsi="Verdana" w:cs="Arial"/>
          <w:bCs/>
          <w:sz w:val="20"/>
          <w:szCs w:val="20"/>
          <w:lang w:val="es-ES_tradnl" w:eastAsia="es-ES" w:bidi="es-ES"/>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221D9E">
        <w:rPr>
          <w:rFonts w:ascii="Verdana" w:hAnsi="Verdana" w:cs="Arial"/>
          <w:bCs/>
          <w:i/>
          <w:iCs/>
          <w:sz w:val="20"/>
          <w:szCs w:val="20"/>
          <w:lang w:val="es-ES_tradnl" w:eastAsia="es-ES" w:bidi="es-ES"/>
        </w:rPr>
        <w:t>criterios de evaluación</w:t>
      </w:r>
      <w:r w:rsidRPr="00221D9E">
        <w:rPr>
          <w:rFonts w:ascii="Verdana" w:hAnsi="Verdana" w:cs="Arial"/>
          <w:bCs/>
          <w:sz w:val="20"/>
          <w:szCs w:val="20"/>
          <w:lang w:val="es-ES_tradnl" w:eastAsia="es-ES" w:bidi="es-ES"/>
        </w:rPr>
        <w:t xml:space="preserve"> –también conocidos como </w:t>
      </w:r>
      <w:r w:rsidRPr="00221D9E">
        <w:rPr>
          <w:rFonts w:ascii="Verdana" w:hAnsi="Verdana" w:cs="Arial"/>
          <w:bCs/>
          <w:i/>
          <w:iCs/>
          <w:sz w:val="20"/>
          <w:szCs w:val="20"/>
          <w:lang w:val="es-ES_tradnl" w:eastAsia="es-ES" w:bidi="es-ES"/>
        </w:rPr>
        <w:t>criterios de calificación</w:t>
      </w:r>
      <w:r w:rsidRPr="00221D9E">
        <w:rPr>
          <w:rFonts w:ascii="Verdana" w:hAnsi="Verdana" w:cs="Arial"/>
          <w:bCs/>
          <w:sz w:val="20"/>
          <w:szCs w:val="20"/>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B01D6A9" w14:textId="77777777" w:rsidR="00221D9E" w:rsidRPr="00221D9E" w:rsidRDefault="00221D9E" w:rsidP="00221D9E">
      <w:pPr>
        <w:spacing w:after="120" w:line="240" w:lineRule="auto"/>
        <w:jc w:val="both"/>
        <w:rPr>
          <w:rFonts w:ascii="Verdana" w:eastAsia="Calibri" w:hAnsi="Verdana" w:cs="Arial"/>
          <w:sz w:val="20"/>
          <w:szCs w:val="20"/>
          <w:lang w:val="es-ES" w:eastAsia="es-MX"/>
        </w:rPr>
      </w:pPr>
      <w:r w:rsidRPr="00221D9E">
        <w:rPr>
          <w:rFonts w:ascii="Verdana" w:eastAsia="Calibri" w:hAnsi="Verdana" w:cs="Arial"/>
          <w:sz w:val="20"/>
          <w:szCs w:val="20"/>
          <w:lang w:val="es-ES" w:eastAsia="es-MX"/>
        </w:rPr>
        <w:t>Los requisitos habilitantes constituyen los requisitos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 De esta manera,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6094CD7C" w14:textId="77777777" w:rsidR="00221D9E" w:rsidRPr="00221D9E" w:rsidRDefault="00221D9E" w:rsidP="00221D9E">
      <w:pPr>
        <w:spacing w:after="120" w:line="240" w:lineRule="auto"/>
        <w:jc w:val="both"/>
        <w:rPr>
          <w:rFonts w:ascii="Verdana" w:hAnsi="Verdana" w:cs="Arial"/>
          <w:color w:val="000000" w:themeColor="text1"/>
          <w:sz w:val="20"/>
          <w:szCs w:val="20"/>
          <w:lang w:val="es-ES_tradnl"/>
        </w:rPr>
      </w:pPr>
      <w:r w:rsidRPr="00221D9E">
        <w:rPr>
          <w:rFonts w:ascii="Verdana" w:hAnsi="Verdana" w:cs="Arial"/>
          <w:color w:val="000000" w:themeColor="text1"/>
          <w:sz w:val="20"/>
          <w:szCs w:val="20"/>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221D9E">
        <w:rPr>
          <w:rFonts w:ascii="Verdana" w:hAnsi="Verdana" w:cs="Arial"/>
          <w:i/>
          <w:iCs/>
          <w:color w:val="000000" w:themeColor="text1"/>
          <w:sz w:val="20"/>
          <w:szCs w:val="20"/>
          <w:lang w:val="es-ES_tradnl"/>
        </w:rPr>
        <w:t>.</w:t>
      </w:r>
      <w:r w:rsidRPr="00221D9E">
        <w:rPr>
          <w:rFonts w:ascii="Verdana" w:hAnsi="Verdana" w:cs="Arial"/>
          <w:color w:val="000000" w:themeColor="text1"/>
          <w:sz w:val="20"/>
          <w:szCs w:val="20"/>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6618F90E" w14:textId="02D8FE48" w:rsidR="005B2F4A" w:rsidRPr="005B2F4A" w:rsidRDefault="005B2F4A" w:rsidP="005B2F4A">
      <w:pPr>
        <w:spacing w:line="276" w:lineRule="auto"/>
        <w:jc w:val="both"/>
        <w:rPr>
          <w:rFonts w:ascii="Verdana" w:eastAsia="Calibri" w:hAnsi="Verdana" w:cs="Arial"/>
          <w:b/>
          <w:bCs/>
          <w:lang w:val="es-ES_tradnl" w:eastAsia="es-ES_tradnl"/>
        </w:rPr>
      </w:pPr>
      <w:r w:rsidRPr="005B2F4A">
        <w:rPr>
          <w:rFonts w:ascii="Verdana" w:eastAsia="Calibri" w:hAnsi="Verdana" w:cs="Arial"/>
          <w:b/>
          <w:bCs/>
          <w:lang w:val="es-ES_tradnl" w:eastAsia="es-ES_tradnl"/>
        </w:rPr>
        <w:t>SOCIEDADES NUEVAS ‒ Experiencia ‒ Inferior a tres a</w:t>
      </w:r>
      <w:r w:rsidRPr="005B2F4A">
        <w:rPr>
          <w:rFonts w:ascii="Verdana" w:eastAsia="Calibri" w:hAnsi="Verdana" w:cs="Century Gothic"/>
          <w:b/>
          <w:bCs/>
          <w:lang w:val="es-ES_tradnl" w:eastAsia="es-ES_tradnl"/>
        </w:rPr>
        <w:t>ñ</w:t>
      </w:r>
      <w:r w:rsidRPr="005B2F4A">
        <w:rPr>
          <w:rFonts w:ascii="Verdana" w:eastAsia="Calibri" w:hAnsi="Verdana" w:cs="Arial"/>
          <w:b/>
          <w:bCs/>
          <w:lang w:val="es-ES_tradnl" w:eastAsia="es-ES_tradnl"/>
        </w:rPr>
        <w:t xml:space="preserve">os ‒ Requisitos habilitantes </w:t>
      </w:r>
    </w:p>
    <w:p w14:paraId="49A992C3" w14:textId="77777777" w:rsidR="003D484C" w:rsidRPr="003D484C" w:rsidRDefault="003D484C" w:rsidP="003D484C">
      <w:pPr>
        <w:spacing w:after="120" w:line="240" w:lineRule="auto"/>
        <w:jc w:val="both"/>
        <w:rPr>
          <w:rFonts w:ascii="Verdana" w:eastAsia="Calibri" w:hAnsi="Verdana" w:cs="Arial"/>
          <w:sz w:val="20"/>
          <w:szCs w:val="20"/>
          <w:lang w:val="es-ES" w:eastAsia="es-MX"/>
        </w:rPr>
      </w:pPr>
      <w:r w:rsidRPr="003D484C">
        <w:rPr>
          <w:rFonts w:ascii="Verdana" w:eastAsia="Calibri" w:hAnsi="Verdana" w:cs="Arial"/>
          <w:sz w:val="20"/>
          <w:szCs w:val="20"/>
          <w:lang w:val="es-ES" w:eastAsia="es-MX"/>
        </w:rPr>
        <w:t>Por ello, el interesado debe indicar en cada certificado, o en cada copia de los contratos, los bienes, obras y servicios a los cuales corresponde la experiencia que pretende acreditar, identificándolos con el Clasificador de Bienes y Servicios, en el tercer nivel. Sin embargo, es menester destacar que la parte final del numeral 2.5 del referido artículo indica que “[s]i la constitución del interesado es menor a tres (3) años, puede acreditar la experiencia de sus accionistas, socios o constituyentes”.</w:t>
      </w:r>
    </w:p>
    <w:p w14:paraId="09701EEE" w14:textId="77777777" w:rsidR="003D484C" w:rsidRPr="003D484C" w:rsidRDefault="003D484C" w:rsidP="003D484C">
      <w:pPr>
        <w:spacing w:after="120" w:line="240" w:lineRule="auto"/>
        <w:jc w:val="both"/>
        <w:rPr>
          <w:rFonts w:ascii="Verdana" w:eastAsia="Calibri" w:hAnsi="Verdana" w:cs="Arial"/>
          <w:sz w:val="20"/>
          <w:szCs w:val="20"/>
          <w:lang w:val="es-ES" w:eastAsia="es-MX"/>
        </w:rPr>
      </w:pPr>
      <w:r w:rsidRPr="003D484C">
        <w:rPr>
          <w:rFonts w:ascii="Verdana" w:eastAsia="Calibri" w:hAnsi="Verdana" w:cs="Arial"/>
          <w:sz w:val="20"/>
          <w:szCs w:val="20"/>
          <w:lang w:val="es-ES" w:eastAsia="es-MX"/>
        </w:rPr>
        <w:t>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2D5F4D01" w14:textId="77777777" w:rsidR="003D484C" w:rsidRPr="003D484C" w:rsidRDefault="003D484C" w:rsidP="003D484C">
      <w:pPr>
        <w:spacing w:after="120" w:line="240" w:lineRule="auto"/>
        <w:jc w:val="both"/>
        <w:rPr>
          <w:rFonts w:ascii="Verdana" w:eastAsia="Calibri" w:hAnsi="Verdana" w:cs="Arial"/>
          <w:sz w:val="20"/>
          <w:szCs w:val="20"/>
          <w:lang w:val="es-ES" w:eastAsia="es-MX"/>
        </w:rPr>
      </w:pPr>
      <w:r w:rsidRPr="003D484C">
        <w:rPr>
          <w:rFonts w:ascii="Verdana" w:eastAsia="Calibri" w:hAnsi="Verdana" w:cs="Arial"/>
          <w:sz w:val="20"/>
          <w:szCs w:val="20"/>
          <w:lang w:val="es-ES" w:eastAsia="es-MX"/>
        </w:rPr>
        <w:lastRenderedPageBreak/>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3C19F036" w14:textId="77777777" w:rsidR="003D484C" w:rsidRPr="003D484C" w:rsidRDefault="003D484C" w:rsidP="003D484C">
      <w:pPr>
        <w:spacing w:after="120" w:line="240" w:lineRule="auto"/>
        <w:jc w:val="both"/>
        <w:rPr>
          <w:rFonts w:ascii="Verdana" w:eastAsia="Calibri" w:hAnsi="Verdana" w:cs="Arial"/>
          <w:sz w:val="20"/>
          <w:szCs w:val="20"/>
          <w:lang w:val="es-ES" w:eastAsia="es-MX"/>
        </w:rPr>
      </w:pPr>
      <w:r w:rsidRPr="003D484C">
        <w:rPr>
          <w:rFonts w:ascii="Verdana" w:eastAsia="Calibri" w:hAnsi="Verdana" w:cs="Arial"/>
          <w:sz w:val="20"/>
          <w:szCs w:val="20"/>
          <w:lang w:val="es-ES" w:eastAsia="es-MX"/>
        </w:rPr>
        <w:t xml:space="preserve">Ahora bien, 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19E54F76" w14:textId="08EC35E9" w:rsidR="005B2F4A" w:rsidRDefault="005B2F4A">
      <w:pPr>
        <w:rPr>
          <w:rFonts w:ascii="Verdana" w:hAnsi="Verdana"/>
        </w:rPr>
      </w:pPr>
      <w:r>
        <w:rPr>
          <w:rFonts w:ascii="Verdana" w:hAnsi="Verdana"/>
        </w:rPr>
        <w:br w:type="page"/>
      </w:r>
    </w:p>
    <w:p w14:paraId="4E15FDF3" w14:textId="0D47E33D" w:rsidR="00CF7DE9" w:rsidRPr="00CF7DE9" w:rsidRDefault="00D87446" w:rsidP="005E6736">
      <w:pPr>
        <w:spacing w:after="0" w:line="276" w:lineRule="auto"/>
        <w:rPr>
          <w:rFonts w:ascii="Verdana" w:hAnsi="Verdana"/>
        </w:rPr>
      </w:pPr>
      <w:r w:rsidRPr="00D87446">
        <w:rPr>
          <w:rFonts w:ascii="Verdana" w:eastAsia="Calibri" w:hAnsi="Verdana" w:cs="Times New Roman"/>
          <w:b/>
          <w:bCs/>
        </w:rPr>
        <w:lastRenderedPageBreak/>
        <w:drawing>
          <wp:anchor distT="0" distB="0" distL="114300" distR="114300" simplePos="0" relativeHeight="251659264" behindDoc="1" locked="0" layoutInCell="1" allowOverlap="1" wp14:anchorId="50642125" wp14:editId="002A1199">
            <wp:simplePos x="0" y="0"/>
            <wp:positionH relativeFrom="margin">
              <wp:align>right</wp:align>
            </wp:positionH>
            <wp:positionV relativeFrom="paragraph">
              <wp:posOffset>73336</wp:posOffset>
            </wp:positionV>
            <wp:extent cx="2806065" cy="749935"/>
            <wp:effectExtent l="0" t="0" r="0" b="0"/>
            <wp:wrapNone/>
            <wp:docPr id="7157760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776009"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806065" cy="749935"/>
                    </a:xfrm>
                    <a:prstGeom prst="rect">
                      <a:avLst/>
                    </a:prstGeom>
                  </pic:spPr>
                </pic:pic>
              </a:graphicData>
            </a:graphic>
          </wp:anchor>
        </w:drawing>
      </w:r>
      <w:r w:rsidR="00C15139" w:rsidRPr="0024624F">
        <w:rPr>
          <w:rFonts w:ascii="Verdana" w:hAnsi="Verdana"/>
        </w:rPr>
        <w:t xml:space="preserve">Bogotá D.C., </w:t>
      </w:r>
      <w:r w:rsidR="006D33A8">
        <w:rPr>
          <w:rFonts w:ascii="Verdana" w:hAnsi="Verdana"/>
        </w:rPr>
        <w:t xml:space="preserve">17 </w:t>
      </w:r>
      <w:proofErr w:type="gramStart"/>
      <w:r w:rsidR="006D33A8">
        <w:rPr>
          <w:rFonts w:ascii="Verdana" w:hAnsi="Verdana"/>
        </w:rPr>
        <w:t>Febrero</w:t>
      </w:r>
      <w:proofErr w:type="gramEnd"/>
      <w:r w:rsidR="006D33A8">
        <w:rPr>
          <w:rFonts w:ascii="Verdana" w:hAnsi="Verdana"/>
        </w:rPr>
        <w:t xml:space="preserve"> 2026</w:t>
      </w:r>
      <w:r w:rsidR="00C15139" w:rsidRPr="000E2B93">
        <w:rPr>
          <w:rFonts w:ascii="Verdana" w:hAnsi="Verdana"/>
        </w:rPr>
        <w:br/>
      </w:r>
      <w:r w:rsidR="00C15139" w:rsidRPr="0024624F">
        <w:rPr>
          <w:rFonts w:ascii="Verdana" w:hAnsi="Verdana"/>
        </w:rPr>
        <w:tab/>
      </w:r>
      <w:bookmarkStart w:id="1" w:name="_Hlk186494164"/>
    </w:p>
    <w:p w14:paraId="3CBC3A87" w14:textId="3934AB88" w:rsidR="00CF7DE9" w:rsidRPr="00BC5D50" w:rsidRDefault="00CF7DE9" w:rsidP="005E6736">
      <w:pPr>
        <w:spacing w:after="0" w:line="276" w:lineRule="auto"/>
        <w:jc w:val="both"/>
        <w:rPr>
          <w:rFonts w:ascii="Verdana" w:eastAsia="Calibri" w:hAnsi="Verdana" w:cs="Arial"/>
          <w:lang w:eastAsia="es-ES"/>
        </w:rPr>
      </w:pPr>
      <w:r w:rsidRPr="00BC5D50">
        <w:rPr>
          <w:rFonts w:ascii="Verdana" w:eastAsia="Calibri" w:hAnsi="Verdana" w:cs="Arial"/>
          <w:lang w:eastAsia="es-ES"/>
        </w:rPr>
        <w:t>Señor</w:t>
      </w:r>
    </w:p>
    <w:p w14:paraId="1C1E326C" w14:textId="399EFF50" w:rsidR="00CF7DE9" w:rsidRPr="00BC5D50" w:rsidRDefault="00CF7DE9" w:rsidP="005E6736">
      <w:pPr>
        <w:spacing w:after="0" w:line="276" w:lineRule="auto"/>
        <w:rPr>
          <w:rFonts w:ascii="Verdana" w:eastAsia="Calibri" w:hAnsi="Verdana" w:cs="Times New Roman"/>
          <w:b/>
          <w:bCs/>
        </w:rPr>
      </w:pPr>
      <w:r w:rsidRPr="00BC5D50">
        <w:rPr>
          <w:rFonts w:ascii="Verdana" w:eastAsia="Calibri" w:hAnsi="Verdana" w:cs="Times New Roman"/>
          <w:b/>
          <w:bCs/>
        </w:rPr>
        <w:t>Jairo Rol</w:t>
      </w:r>
      <w:r>
        <w:rPr>
          <w:rFonts w:ascii="Verdana" w:eastAsia="Calibri" w:hAnsi="Verdana" w:cs="Times New Roman"/>
          <w:b/>
          <w:bCs/>
        </w:rPr>
        <w:t>ó</w:t>
      </w:r>
      <w:r w:rsidRPr="00BC5D50">
        <w:rPr>
          <w:rFonts w:ascii="Verdana" w:eastAsia="Calibri" w:hAnsi="Verdana" w:cs="Times New Roman"/>
          <w:b/>
          <w:bCs/>
        </w:rPr>
        <w:t>n Gevez</w:t>
      </w:r>
      <w:r w:rsidR="00D87446" w:rsidRPr="00D87446">
        <w:rPr>
          <w:noProof/>
        </w:rPr>
        <w:t xml:space="preserve"> </w:t>
      </w:r>
    </w:p>
    <w:p w14:paraId="4D8129DB" w14:textId="2324FAD3" w:rsidR="00CF7DE9" w:rsidRPr="00BC5D50" w:rsidRDefault="005E6736" w:rsidP="005E6736">
      <w:pPr>
        <w:spacing w:after="0" w:line="276" w:lineRule="auto"/>
        <w:rPr>
          <w:rFonts w:ascii="Verdana" w:eastAsia="Calibri" w:hAnsi="Verdana" w:cs="Times New Roman"/>
        </w:rPr>
      </w:pPr>
      <w:hyperlink r:id="rId12" w:history="1">
        <w:r w:rsidRPr="0099765C">
          <w:rPr>
            <w:rStyle w:val="Hipervnculo"/>
            <w:rFonts w:ascii="Verdana" w:eastAsia="Calibri" w:hAnsi="Verdana" w:cs="Times New Roman"/>
          </w:rPr>
          <w:t>rolongelvezjairo@gmail.com</w:t>
        </w:r>
      </w:hyperlink>
    </w:p>
    <w:p w14:paraId="6F2FA17B" w14:textId="77777777" w:rsidR="00CF7DE9" w:rsidRPr="00BC5D50" w:rsidRDefault="00CF7DE9" w:rsidP="005E6736">
      <w:pPr>
        <w:spacing w:after="0" w:line="276" w:lineRule="auto"/>
        <w:rPr>
          <w:rFonts w:ascii="Verdana" w:eastAsia="Calibri" w:hAnsi="Verdana" w:cs="Times New Roman"/>
        </w:rPr>
      </w:pPr>
      <w:r w:rsidRPr="00BC5D50">
        <w:rPr>
          <w:rFonts w:ascii="Verdana" w:eastAsia="Calibri" w:hAnsi="Verdana" w:cs="Times New Roman"/>
        </w:rPr>
        <w:t>Ciudad</w:t>
      </w:r>
    </w:p>
    <w:p w14:paraId="1152CD3E" w14:textId="77777777" w:rsidR="00CF7DE9" w:rsidRPr="00BC5D50" w:rsidRDefault="00CF7DE9" w:rsidP="00A9272D">
      <w:pPr>
        <w:spacing w:after="0" w:line="276" w:lineRule="auto"/>
        <w:ind w:firstLine="709"/>
        <w:rPr>
          <w:rFonts w:ascii="Verdana" w:eastAsia="Calibri" w:hAnsi="Verdana" w:cs="Arial"/>
          <w:lang w:eastAsia="es-ES"/>
        </w:rPr>
      </w:pPr>
    </w:p>
    <w:p w14:paraId="30988A2F" w14:textId="77777777" w:rsidR="00CF7DE9" w:rsidRPr="00BC5D50" w:rsidRDefault="00CF7DE9" w:rsidP="00A9272D">
      <w:pPr>
        <w:spacing w:after="0" w:line="276" w:lineRule="auto"/>
        <w:ind w:left="2124" w:firstLine="709"/>
        <w:rPr>
          <w:rFonts w:ascii="Verdana" w:eastAsia="Calibri" w:hAnsi="Verdana" w:cs="Arial"/>
          <w:b/>
          <w:bCs/>
          <w:color w:val="000000"/>
          <w:lang w:eastAsia="es-ES_tradnl"/>
        </w:rPr>
      </w:pPr>
    </w:p>
    <w:p w14:paraId="66F9EB90" w14:textId="77777777" w:rsidR="00CF7DE9" w:rsidRPr="00BC5D50" w:rsidRDefault="00CF7DE9" w:rsidP="00A9272D">
      <w:pPr>
        <w:spacing w:after="0" w:line="276" w:lineRule="auto"/>
        <w:ind w:left="2124" w:firstLine="709"/>
        <w:rPr>
          <w:rFonts w:ascii="Verdana" w:eastAsia="Calibri" w:hAnsi="Verdana" w:cs="Arial"/>
          <w:b/>
          <w:bCs/>
          <w:lang w:eastAsia="es-ES"/>
        </w:rPr>
      </w:pPr>
      <w:r w:rsidRPr="00BC5D50">
        <w:rPr>
          <w:rFonts w:ascii="Verdana" w:eastAsia="Calibri" w:hAnsi="Verdana" w:cs="Arial"/>
          <w:b/>
          <w:bCs/>
          <w:lang w:eastAsia="es-ES"/>
        </w:rPr>
        <w:t>Concepto C – 041 de 2026</w:t>
      </w:r>
    </w:p>
    <w:p w14:paraId="1CCEDFE3" w14:textId="77777777" w:rsidR="00CF7DE9" w:rsidRPr="00BC5D50" w:rsidRDefault="00CF7DE9" w:rsidP="00A9272D">
      <w:pPr>
        <w:spacing w:after="0" w:line="276" w:lineRule="auto"/>
        <w:ind w:firstLine="709"/>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F7DE9" w:rsidRPr="00BC5D50" w14:paraId="3326CECA" w14:textId="77777777" w:rsidTr="00E26F18">
        <w:trPr>
          <w:trHeight w:val="884"/>
        </w:trPr>
        <w:tc>
          <w:tcPr>
            <w:tcW w:w="2689" w:type="dxa"/>
          </w:tcPr>
          <w:p w14:paraId="476FC282" w14:textId="77777777" w:rsidR="00CF7DE9" w:rsidRPr="00BC5D50" w:rsidRDefault="00CF7DE9" w:rsidP="00A9272D">
            <w:pPr>
              <w:spacing w:line="276" w:lineRule="auto"/>
              <w:ind w:firstLine="709"/>
              <w:jc w:val="both"/>
              <w:rPr>
                <w:rFonts w:ascii="Verdana" w:eastAsia="Calibri" w:hAnsi="Verdana" w:cs="Arial"/>
                <w:color w:val="000000"/>
                <w:lang w:eastAsia="es-ES_tradnl"/>
              </w:rPr>
            </w:pPr>
            <w:r w:rsidRPr="00BC5D50">
              <w:rPr>
                <w:rFonts w:ascii="Verdana" w:eastAsia="Calibri" w:hAnsi="Verdana" w:cs="Arial"/>
                <w:b/>
                <w:color w:val="000000"/>
                <w:lang w:eastAsia="es-ES_tradnl"/>
              </w:rPr>
              <w:t>Temas:</w:t>
            </w:r>
            <w:r w:rsidRPr="00BC5D50">
              <w:rPr>
                <w:rFonts w:ascii="Verdana" w:eastAsia="Calibri" w:hAnsi="Verdana" w:cs="Arial"/>
                <w:color w:val="000000"/>
                <w:lang w:eastAsia="es-ES_tradnl"/>
              </w:rPr>
              <w:t xml:space="preserve">                   </w:t>
            </w:r>
          </w:p>
        </w:tc>
        <w:tc>
          <w:tcPr>
            <w:tcW w:w="6100" w:type="dxa"/>
          </w:tcPr>
          <w:p w14:paraId="2585D42A" w14:textId="77777777" w:rsidR="00CF7DE9" w:rsidRDefault="00CF7DE9" w:rsidP="0066226B">
            <w:pPr>
              <w:spacing w:line="276" w:lineRule="auto"/>
              <w:jc w:val="both"/>
              <w:rPr>
                <w:rFonts w:ascii="Verdana" w:eastAsia="Calibri" w:hAnsi="Verdana" w:cs="Arial"/>
                <w:bCs/>
                <w:lang w:val="es-ES_tradnl" w:eastAsia="es-ES_tradnl"/>
              </w:rPr>
            </w:pPr>
            <w:r w:rsidRPr="00612B80">
              <w:rPr>
                <w:rFonts w:ascii="Verdana" w:eastAsia="Calibri" w:hAnsi="Verdana" w:cs="Arial"/>
                <w:lang w:val="es-ES" w:eastAsia="es-ES"/>
              </w:rPr>
              <w:t>REQUISITOS HABILITANTES ‒ Concepto</w:t>
            </w:r>
            <w:r>
              <w:rPr>
                <w:rFonts w:ascii="Verdana" w:eastAsia="Calibri" w:hAnsi="Verdana" w:cs="Arial"/>
                <w:lang w:val="es-ES" w:eastAsia="es-ES"/>
              </w:rPr>
              <w:t xml:space="preserve"> – Finalidad</w:t>
            </w:r>
            <w:r w:rsidRPr="00612B80">
              <w:rPr>
                <w:rFonts w:ascii="Verdana" w:eastAsia="Calibri" w:hAnsi="Verdana" w:cs="Arial"/>
                <w:lang w:val="es-ES" w:eastAsia="es-ES"/>
              </w:rPr>
              <w:t xml:space="preserve"> </w:t>
            </w:r>
            <w:r>
              <w:rPr>
                <w:rFonts w:ascii="Verdana" w:eastAsia="Calibri" w:hAnsi="Verdana" w:cs="Arial"/>
                <w:lang w:val="es-ES" w:eastAsia="es-ES"/>
              </w:rPr>
              <w:t xml:space="preserve">/ </w:t>
            </w:r>
            <w:r w:rsidRPr="00FE10F1">
              <w:rPr>
                <w:rFonts w:ascii="Verdana" w:eastAsia="Calibri" w:hAnsi="Verdana" w:cs="Arial"/>
                <w:bCs/>
                <w:lang w:val="es-ES_tradnl" w:eastAsia="es-ES_tradnl"/>
              </w:rPr>
              <w:t>SOCIEDADES NUEVAS ‒ Experiencia ‒ Inferior a tres a</w:t>
            </w:r>
            <w:r w:rsidRPr="00FE10F1">
              <w:rPr>
                <w:rFonts w:ascii="Verdana" w:eastAsia="Calibri" w:hAnsi="Verdana" w:cs="Century Gothic"/>
                <w:bCs/>
                <w:lang w:val="es-ES_tradnl" w:eastAsia="es-ES_tradnl"/>
              </w:rPr>
              <w:t>ñ</w:t>
            </w:r>
            <w:r w:rsidRPr="00FE10F1">
              <w:rPr>
                <w:rFonts w:ascii="Verdana" w:eastAsia="Calibri" w:hAnsi="Verdana" w:cs="Arial"/>
                <w:bCs/>
                <w:lang w:val="es-ES_tradnl" w:eastAsia="es-ES_tradnl"/>
              </w:rPr>
              <w:t xml:space="preserve">os ‒ Requisitos habilitantes </w:t>
            </w:r>
          </w:p>
          <w:p w14:paraId="1A29080E" w14:textId="77777777" w:rsidR="00CF7DE9" w:rsidRPr="00BC5D50" w:rsidRDefault="00CF7DE9" w:rsidP="00A9272D">
            <w:pPr>
              <w:spacing w:line="276" w:lineRule="auto"/>
              <w:ind w:firstLine="709"/>
              <w:jc w:val="both"/>
              <w:rPr>
                <w:rFonts w:ascii="Verdana" w:eastAsia="Calibri" w:hAnsi="Verdana" w:cs="Arial"/>
                <w:lang w:eastAsia="es-ES"/>
              </w:rPr>
            </w:pPr>
          </w:p>
        </w:tc>
      </w:tr>
      <w:tr w:rsidR="00CF7DE9" w:rsidRPr="00BC5D50" w14:paraId="2804E975" w14:textId="77777777" w:rsidTr="00E26F18">
        <w:tc>
          <w:tcPr>
            <w:tcW w:w="2689" w:type="dxa"/>
          </w:tcPr>
          <w:p w14:paraId="72D7DCB8" w14:textId="77777777" w:rsidR="00CF7DE9" w:rsidRPr="00BC5D50" w:rsidRDefault="00CF7DE9" w:rsidP="00A9272D">
            <w:pPr>
              <w:spacing w:line="276" w:lineRule="auto"/>
              <w:ind w:firstLine="709"/>
              <w:jc w:val="both"/>
              <w:rPr>
                <w:rFonts w:ascii="Verdana" w:eastAsia="Calibri" w:hAnsi="Verdana" w:cs="Arial"/>
                <w:b/>
                <w:lang w:eastAsia="es-ES_tradnl"/>
              </w:rPr>
            </w:pPr>
            <w:r w:rsidRPr="00BC5D50">
              <w:rPr>
                <w:rFonts w:ascii="Verdana" w:eastAsia="Calibri" w:hAnsi="Verdana" w:cs="Arial"/>
                <w:b/>
                <w:lang w:eastAsia="es-ES_tradnl"/>
              </w:rPr>
              <w:t>Radicación:</w:t>
            </w:r>
            <w:r w:rsidRPr="00BC5D50">
              <w:rPr>
                <w:rFonts w:ascii="Verdana" w:eastAsia="Calibri" w:hAnsi="Verdana" w:cs="Arial"/>
                <w:lang w:eastAsia="es-ES_tradnl"/>
              </w:rPr>
              <w:t xml:space="preserve">               </w:t>
            </w:r>
          </w:p>
        </w:tc>
        <w:tc>
          <w:tcPr>
            <w:tcW w:w="6100" w:type="dxa"/>
          </w:tcPr>
          <w:p w14:paraId="5E3B67AB" w14:textId="13795161" w:rsidR="00CF7DE9" w:rsidRPr="00BC5D50" w:rsidRDefault="00CF7DE9" w:rsidP="0066226B">
            <w:pPr>
              <w:spacing w:line="276" w:lineRule="auto"/>
              <w:jc w:val="both"/>
              <w:rPr>
                <w:rFonts w:ascii="Verdana" w:eastAsia="Calibri" w:hAnsi="Verdana" w:cs="Arial"/>
                <w:lang w:eastAsia="es-ES_tradnl"/>
              </w:rPr>
            </w:pPr>
            <w:r w:rsidRPr="00BC5D50">
              <w:rPr>
                <w:rFonts w:ascii="Verdana" w:eastAsia="Calibri" w:hAnsi="Verdana" w:cs="Arial"/>
                <w:lang w:eastAsia="es-ES_tradnl"/>
              </w:rPr>
              <w:t>Respuesta a consulta con radicado No. 1_2026_01_13_000279</w:t>
            </w:r>
            <w:r w:rsidR="00AE547C">
              <w:rPr>
                <w:rFonts w:ascii="Verdana" w:eastAsia="Calibri" w:hAnsi="Verdana" w:cs="Arial"/>
                <w:lang w:eastAsia="es-ES_tradnl"/>
              </w:rPr>
              <w:t xml:space="preserve"> acumulada con </w:t>
            </w:r>
            <w:r w:rsidR="00725D3F" w:rsidRPr="008F3A8D">
              <w:rPr>
                <w:rFonts w:ascii="Verdana" w:eastAsia="Calibri" w:hAnsi="Verdana" w:cs="Arial"/>
                <w:lang w:eastAsia="es-ES_tradnl"/>
              </w:rPr>
              <w:t>1_2026_01_13_000280</w:t>
            </w:r>
            <w:r w:rsidR="006F5939">
              <w:rPr>
                <w:rFonts w:ascii="Verdana" w:eastAsia="Calibri" w:hAnsi="Verdana" w:cs="Arial"/>
                <w:lang w:eastAsia="es-ES_tradnl"/>
              </w:rPr>
              <w:t xml:space="preserve">, </w:t>
            </w:r>
            <w:r w:rsidR="00725D3F" w:rsidRPr="008F3A8D">
              <w:rPr>
                <w:rFonts w:ascii="Verdana" w:eastAsia="Calibri" w:hAnsi="Verdana" w:cs="Arial"/>
                <w:lang w:eastAsia="es-ES_tradnl"/>
              </w:rPr>
              <w:t>1_2026_01_13_000299</w:t>
            </w:r>
            <w:r w:rsidR="006F5939">
              <w:rPr>
                <w:rFonts w:ascii="Verdana" w:eastAsia="Calibri" w:hAnsi="Verdana" w:cs="Arial"/>
                <w:lang w:eastAsia="es-ES_tradnl"/>
              </w:rPr>
              <w:t xml:space="preserve">, </w:t>
            </w:r>
            <w:r w:rsidR="00725D3F" w:rsidRPr="008F3A8D">
              <w:rPr>
                <w:rFonts w:ascii="Verdana" w:eastAsia="Calibri" w:hAnsi="Verdana" w:cs="Arial"/>
                <w:lang w:eastAsia="es-ES_tradnl"/>
              </w:rPr>
              <w:t>1_2026_01_13_000302</w:t>
            </w:r>
            <w:r w:rsidR="006F5939">
              <w:rPr>
                <w:rFonts w:ascii="Verdana" w:eastAsia="Calibri" w:hAnsi="Verdana" w:cs="Arial"/>
                <w:lang w:eastAsia="es-ES_tradnl"/>
              </w:rPr>
              <w:t xml:space="preserve">, </w:t>
            </w:r>
            <w:r w:rsidR="00725D3F" w:rsidRPr="008F3A8D">
              <w:rPr>
                <w:rFonts w:ascii="Verdana" w:eastAsia="Calibri" w:hAnsi="Verdana" w:cs="Arial"/>
                <w:lang w:eastAsia="es-ES_tradnl"/>
              </w:rPr>
              <w:t>1_2026_01_14_000313</w:t>
            </w:r>
            <w:r w:rsidR="006F5939">
              <w:rPr>
                <w:rFonts w:ascii="Verdana" w:eastAsia="Calibri" w:hAnsi="Verdana" w:cs="Arial"/>
                <w:lang w:eastAsia="es-ES_tradnl"/>
              </w:rPr>
              <w:t>,</w:t>
            </w:r>
            <w:r w:rsidR="00DB200D">
              <w:rPr>
                <w:rFonts w:ascii="Verdana" w:eastAsia="Calibri" w:hAnsi="Verdana" w:cs="Arial"/>
                <w:lang w:eastAsia="es-ES_tradnl"/>
              </w:rPr>
              <w:t xml:space="preserve"> </w:t>
            </w:r>
            <w:r w:rsidR="00725D3F" w:rsidRPr="008F3A8D">
              <w:rPr>
                <w:rFonts w:ascii="Verdana" w:eastAsia="Calibri" w:hAnsi="Verdana" w:cs="Arial"/>
                <w:lang w:eastAsia="es-ES_tradnl"/>
              </w:rPr>
              <w:t>1_2026_01_14_000319</w:t>
            </w:r>
          </w:p>
        </w:tc>
      </w:tr>
    </w:tbl>
    <w:p w14:paraId="5F7CFB47" w14:textId="77777777" w:rsidR="00CF7DE9" w:rsidRPr="00BC5D50" w:rsidRDefault="00CF7DE9" w:rsidP="00A9272D">
      <w:pPr>
        <w:spacing w:after="0" w:line="276" w:lineRule="auto"/>
        <w:ind w:firstLine="709"/>
        <w:jc w:val="both"/>
        <w:rPr>
          <w:rFonts w:ascii="Verdana" w:eastAsia="Calibri" w:hAnsi="Verdana" w:cs="Arial"/>
          <w:color w:val="000000"/>
          <w:lang w:eastAsia="es-ES_tradnl"/>
        </w:rPr>
      </w:pPr>
    </w:p>
    <w:p w14:paraId="58C0C176" w14:textId="77777777" w:rsidR="00CF7DE9" w:rsidRPr="00BC5D50" w:rsidRDefault="00CF7DE9" w:rsidP="00A9272D">
      <w:pPr>
        <w:spacing w:after="0" w:line="276" w:lineRule="auto"/>
        <w:ind w:firstLine="709"/>
        <w:jc w:val="both"/>
        <w:rPr>
          <w:rFonts w:ascii="Verdana" w:eastAsia="Calibri" w:hAnsi="Verdana" w:cs="Arial"/>
          <w:color w:val="000000"/>
          <w:lang w:eastAsia="es-ES_tradnl"/>
        </w:rPr>
      </w:pPr>
    </w:p>
    <w:p w14:paraId="75CAB091" w14:textId="77777777" w:rsidR="00CF7DE9" w:rsidRPr="00BC5D50" w:rsidRDefault="00CF7DE9" w:rsidP="0066226B">
      <w:pPr>
        <w:spacing w:after="0" w:line="276" w:lineRule="auto"/>
        <w:jc w:val="both"/>
        <w:rPr>
          <w:rFonts w:ascii="Verdana" w:eastAsia="Calibri" w:hAnsi="Verdana" w:cs="Arial"/>
          <w:lang w:eastAsia="es-ES"/>
        </w:rPr>
      </w:pPr>
      <w:r w:rsidRPr="00BC5D50">
        <w:rPr>
          <w:rFonts w:ascii="Verdana" w:eastAsia="Calibri" w:hAnsi="Verdana" w:cs="Arial"/>
          <w:lang w:eastAsia="es-ES"/>
        </w:rPr>
        <w:t xml:space="preserve">Estimado </w:t>
      </w:r>
      <w:r>
        <w:rPr>
          <w:rFonts w:ascii="Verdana" w:eastAsia="Calibri" w:hAnsi="Verdana" w:cs="Arial"/>
          <w:lang w:eastAsia="es-ES"/>
        </w:rPr>
        <w:t>señor Rolón</w:t>
      </w:r>
      <w:r w:rsidRPr="00BC5D50">
        <w:rPr>
          <w:rFonts w:ascii="Verdana" w:eastAsia="Calibri" w:hAnsi="Verdana" w:cs="Arial"/>
          <w:lang w:eastAsia="es-ES"/>
        </w:rPr>
        <w:t>, cordial saludo,</w:t>
      </w:r>
    </w:p>
    <w:p w14:paraId="7BE4AFAC" w14:textId="77777777" w:rsidR="00CF7DE9" w:rsidRPr="00BC5D50" w:rsidRDefault="00CF7DE9" w:rsidP="00A9272D">
      <w:pPr>
        <w:tabs>
          <w:tab w:val="left" w:pos="3768"/>
        </w:tabs>
        <w:spacing w:after="0" w:line="276" w:lineRule="auto"/>
        <w:ind w:firstLine="709"/>
        <w:jc w:val="both"/>
        <w:rPr>
          <w:rFonts w:ascii="Verdana" w:eastAsia="Calibri" w:hAnsi="Verdana" w:cs="Arial"/>
          <w:color w:val="000000"/>
          <w:lang w:eastAsia="es-ES"/>
        </w:rPr>
      </w:pPr>
      <w:r w:rsidRPr="00BC5D50">
        <w:rPr>
          <w:rFonts w:ascii="Verdana" w:eastAsia="Calibri" w:hAnsi="Verdana" w:cs="Arial"/>
          <w:color w:val="000000"/>
          <w:lang w:eastAsia="es-ES"/>
        </w:rPr>
        <w:tab/>
      </w:r>
    </w:p>
    <w:p w14:paraId="0F344336" w14:textId="77777777" w:rsidR="00CF7DE9" w:rsidRPr="00BC5D50" w:rsidRDefault="00CF7DE9" w:rsidP="0066226B">
      <w:pPr>
        <w:spacing w:after="0" w:line="276" w:lineRule="auto"/>
        <w:jc w:val="both"/>
        <w:rPr>
          <w:rFonts w:ascii="Verdana" w:eastAsia="Calibri" w:hAnsi="Verdana" w:cs="Arial"/>
          <w:i/>
          <w:iCs/>
          <w:lang w:eastAsia="es-ES"/>
        </w:rPr>
      </w:pPr>
      <w:r w:rsidRPr="00BC5D50">
        <w:rPr>
          <w:rFonts w:ascii="Verdana" w:eastAsia="Calibri" w:hAnsi="Verdana" w:cs="Arial"/>
          <w:color w:val="000000"/>
          <w:lang w:eastAsia="es-ES"/>
        </w:rPr>
        <w:t>En ejercicio de la competencia otorgada por los artículos 3, numeral 5º, y 11, numeral 8º, del Decreto Ley 4170 de 2011,</w:t>
      </w:r>
      <w:r w:rsidRPr="00BC5D50">
        <w:rPr>
          <w:rFonts w:ascii="Verdana" w:eastAsia="Arial MT" w:hAnsi="Verdana" w:cs="Arial MT"/>
          <w:lang w:eastAsia="es-ES"/>
        </w:rPr>
        <w:t xml:space="preserve"> </w:t>
      </w:r>
      <w:r w:rsidRPr="00BC5D50">
        <w:rPr>
          <w:rFonts w:ascii="Verdana" w:eastAsia="Calibri" w:hAnsi="Verdana" w:cs="Arial"/>
        </w:rPr>
        <w:t xml:space="preserve">así como lo establecido en el artículo 4 de la Resolución 1707 de 2018 expedida por esta Entidad, </w:t>
      </w:r>
      <w:r w:rsidRPr="00BC5D50">
        <w:rPr>
          <w:rFonts w:ascii="Verdana" w:eastAsia="Calibri" w:hAnsi="Verdana" w:cs="Arial"/>
          <w:color w:val="000000"/>
          <w:lang w:eastAsia="es-ES"/>
        </w:rPr>
        <w:t>la Agencia Nacional de Contratación Pública – Colombia Compra Eficiente responde su solicitud de concepto del 13 de enero de 2026,</w:t>
      </w:r>
      <w:r w:rsidRPr="00BC5D50">
        <w:rPr>
          <w:rFonts w:ascii="Verdana" w:eastAsia="Calibri" w:hAnsi="Verdana" w:cs="Arial"/>
          <w:lang w:eastAsia="es-ES"/>
        </w:rPr>
        <w:t xml:space="preserve"> en las que manifiesta lo siguiente:</w:t>
      </w:r>
      <w:r w:rsidRPr="00BC5D50">
        <w:rPr>
          <w:rFonts w:ascii="Verdana" w:eastAsia="Calibri" w:hAnsi="Verdana" w:cs="Arial"/>
          <w:i/>
          <w:iCs/>
          <w:lang w:eastAsia="es-ES"/>
        </w:rPr>
        <w:t xml:space="preserve"> </w:t>
      </w:r>
      <w:bookmarkStart w:id="2" w:name="_Hlk95313578"/>
    </w:p>
    <w:p w14:paraId="63032D7B" w14:textId="77777777" w:rsidR="00CF7DE9" w:rsidRPr="00BC5D50" w:rsidRDefault="00CF7DE9" w:rsidP="0066226B">
      <w:pPr>
        <w:spacing w:after="0" w:line="276" w:lineRule="auto"/>
        <w:jc w:val="both"/>
        <w:rPr>
          <w:rFonts w:ascii="Verdana" w:eastAsia="Calibri" w:hAnsi="Verdana" w:cs="Arial"/>
          <w:i/>
          <w:iCs/>
          <w:lang w:eastAsia="es-ES"/>
        </w:rPr>
      </w:pPr>
    </w:p>
    <w:p w14:paraId="0BF4B0BD" w14:textId="77777777" w:rsidR="00CF7DE9" w:rsidRPr="00B44D5C" w:rsidRDefault="00CF7DE9" w:rsidP="0066226B">
      <w:pPr>
        <w:spacing w:after="0" w:line="276" w:lineRule="auto"/>
        <w:ind w:left="709" w:right="709"/>
        <w:jc w:val="both"/>
        <w:rPr>
          <w:rFonts w:ascii="Verdana" w:eastAsia="Aptos" w:hAnsi="Verdana" w:cs="Times New Roman"/>
          <w:i/>
          <w:kern w:val="2"/>
          <w:sz w:val="20"/>
          <w:szCs w:val="20"/>
          <w14:ligatures w14:val="standardContextual"/>
        </w:rPr>
      </w:pPr>
      <w:r w:rsidRPr="00B44D5C">
        <w:rPr>
          <w:rFonts w:ascii="Verdana" w:eastAsia="Arial" w:hAnsi="Verdana" w:cs="Arial"/>
          <w:i/>
          <w:color w:val="000000"/>
          <w:sz w:val="20"/>
          <w:szCs w:val="20"/>
        </w:rPr>
        <w:t>“</w:t>
      </w:r>
      <w:bookmarkEnd w:id="2"/>
      <w:r w:rsidRPr="00B44D5C">
        <w:rPr>
          <w:rFonts w:ascii="Verdana" w:eastAsia="Aptos" w:hAnsi="Verdana" w:cs="Times New Roman"/>
          <w:i/>
          <w:kern w:val="2"/>
          <w:sz w:val="20"/>
          <w:szCs w:val="20"/>
          <w14:ligatures w14:val="standardContextual"/>
        </w:rPr>
        <w:t>(…)</w:t>
      </w:r>
    </w:p>
    <w:p w14:paraId="452CE919" w14:textId="77777777" w:rsidR="00CF7DE9" w:rsidRPr="00B44D5C" w:rsidRDefault="00CF7DE9" w:rsidP="0066226B">
      <w:pPr>
        <w:spacing w:after="0" w:line="276" w:lineRule="auto"/>
        <w:ind w:left="709" w:right="709"/>
        <w:jc w:val="both"/>
        <w:rPr>
          <w:rFonts w:ascii="Verdana" w:eastAsia="Aptos" w:hAnsi="Verdana" w:cs="Times New Roman"/>
          <w:i/>
          <w:kern w:val="2"/>
          <w:sz w:val="20"/>
          <w:szCs w:val="20"/>
          <w14:ligatures w14:val="standardContextual"/>
        </w:rPr>
      </w:pPr>
    </w:p>
    <w:p w14:paraId="66F744E3" w14:textId="77777777" w:rsidR="00CF7DE9" w:rsidRPr="00B44D5C" w:rsidRDefault="00CF7DE9" w:rsidP="0066226B">
      <w:pPr>
        <w:spacing w:after="0" w:line="276" w:lineRule="auto"/>
        <w:ind w:left="709" w:right="709"/>
        <w:jc w:val="both"/>
        <w:rPr>
          <w:rFonts w:ascii="Verdana" w:eastAsia="Aptos" w:hAnsi="Verdana" w:cs="Times New Roman"/>
          <w:i/>
          <w:kern w:val="2"/>
          <w:sz w:val="20"/>
          <w:szCs w:val="20"/>
          <w14:ligatures w14:val="standardContextual"/>
        </w:rPr>
      </w:pPr>
      <w:r w:rsidRPr="00B44D5C">
        <w:rPr>
          <w:rFonts w:ascii="Verdana" w:eastAsia="Aptos" w:hAnsi="Verdana" w:cs="Times New Roman"/>
          <w:i/>
          <w:kern w:val="2"/>
          <w:sz w:val="20"/>
          <w:szCs w:val="20"/>
          <w14:ligatures w14:val="standardContextual"/>
        </w:rPr>
        <w:t>en ejercicio del derecho de petición de interés general, solicito que la Agencia emita un concepto técnico sobre la interpretación de la normativa de contratación estatal respecto a los siguientes puntos:</w:t>
      </w:r>
    </w:p>
    <w:p w14:paraId="371AAC61" w14:textId="77777777" w:rsidR="00CF7DE9" w:rsidRPr="00B44D5C" w:rsidRDefault="00CF7DE9" w:rsidP="0066226B">
      <w:pPr>
        <w:spacing w:after="0" w:line="276" w:lineRule="auto"/>
        <w:ind w:left="709" w:right="709"/>
        <w:jc w:val="both"/>
        <w:rPr>
          <w:rFonts w:ascii="Verdana" w:eastAsia="Aptos" w:hAnsi="Verdana" w:cs="Times New Roman"/>
          <w:i/>
          <w:kern w:val="2"/>
          <w:sz w:val="20"/>
          <w:szCs w:val="20"/>
          <w14:ligatures w14:val="standardContextual"/>
        </w:rPr>
      </w:pPr>
    </w:p>
    <w:p w14:paraId="1553DF01" w14:textId="77777777" w:rsidR="00CF7DE9" w:rsidRPr="00B44D5C" w:rsidRDefault="00CF7DE9" w:rsidP="0066226B">
      <w:pPr>
        <w:numPr>
          <w:ilvl w:val="0"/>
          <w:numId w:val="18"/>
        </w:numPr>
        <w:spacing w:after="0" w:line="276" w:lineRule="auto"/>
        <w:ind w:right="709" w:firstLine="0"/>
        <w:jc w:val="both"/>
        <w:rPr>
          <w:rFonts w:ascii="Verdana" w:eastAsia="Aptos" w:hAnsi="Verdana" w:cs="Times New Roman"/>
          <w:i/>
          <w:kern w:val="2"/>
          <w:sz w:val="20"/>
          <w:szCs w:val="20"/>
          <w14:ligatures w14:val="standardContextual"/>
        </w:rPr>
      </w:pPr>
      <w:r w:rsidRPr="00B44D5C">
        <w:rPr>
          <w:rFonts w:ascii="Verdana" w:eastAsia="Aptos" w:hAnsi="Verdana" w:cs="Times New Roman"/>
          <w:i/>
          <w:kern w:val="2"/>
          <w:sz w:val="20"/>
          <w:szCs w:val="20"/>
          <w14:ligatures w14:val="standardContextual"/>
        </w:rPr>
        <w:t xml:space="preserve">Consulta: ¿Resulta ajustado a los principios de selección objetiva, libre concurrencia y pluralidad de oferentes (Ley 80 de 1993) que una </w:t>
      </w:r>
      <w:r w:rsidRPr="00B44D5C">
        <w:rPr>
          <w:rFonts w:ascii="Verdana" w:eastAsia="Aptos" w:hAnsi="Verdana" w:cs="Times New Roman"/>
          <w:i/>
          <w:kern w:val="2"/>
          <w:sz w:val="20"/>
          <w:szCs w:val="20"/>
          <w14:ligatures w14:val="standardContextual"/>
        </w:rPr>
        <w:lastRenderedPageBreak/>
        <w:t>entidad estatal establezca como requisito habilitante una antigüedad mínima de constitución en la Cámara de Comercio?</w:t>
      </w:r>
    </w:p>
    <w:p w14:paraId="4D9EF411" w14:textId="77777777" w:rsidR="00CF7DE9" w:rsidRPr="00B44D5C" w:rsidRDefault="00CF7DE9" w:rsidP="0066226B">
      <w:pPr>
        <w:numPr>
          <w:ilvl w:val="0"/>
          <w:numId w:val="18"/>
        </w:numPr>
        <w:spacing w:after="0" w:line="276" w:lineRule="auto"/>
        <w:ind w:right="709" w:firstLine="0"/>
        <w:jc w:val="both"/>
        <w:rPr>
          <w:rFonts w:ascii="Verdana" w:eastAsia="Aptos" w:hAnsi="Verdana" w:cs="Times New Roman"/>
          <w:i/>
          <w:kern w:val="2"/>
          <w:sz w:val="20"/>
          <w:szCs w:val="20"/>
          <w14:ligatures w14:val="standardContextual"/>
        </w:rPr>
      </w:pPr>
      <w:r w:rsidRPr="00B44D5C">
        <w:rPr>
          <w:rFonts w:ascii="Verdana" w:eastAsia="Aptos" w:hAnsi="Verdana" w:cs="Times New Roman"/>
          <w:i/>
          <w:kern w:val="2"/>
          <w:sz w:val="20"/>
          <w:szCs w:val="20"/>
          <w14:ligatures w14:val="standardContextual"/>
        </w:rPr>
        <w:t>Consulta: ¿Es la antigüedad de la persona jurídica un criterio válido para medir la experiencia, considerando que el Decreto 1082 de 2015 permite acreditar la experiencia de los socios en empresas de reciente constitución?</w:t>
      </w:r>
    </w:p>
    <w:p w14:paraId="66060DAF" w14:textId="77777777" w:rsidR="00CF7DE9" w:rsidRPr="00B44D5C" w:rsidRDefault="00CF7DE9" w:rsidP="0066226B">
      <w:pPr>
        <w:spacing w:after="0" w:line="276" w:lineRule="auto"/>
        <w:ind w:left="720" w:right="709"/>
        <w:jc w:val="both"/>
        <w:rPr>
          <w:rFonts w:ascii="Verdana" w:eastAsia="Aptos" w:hAnsi="Verdana" w:cs="Times New Roman"/>
          <w:i/>
          <w:kern w:val="2"/>
          <w:sz w:val="20"/>
          <w:szCs w:val="20"/>
          <w14:ligatures w14:val="standardContextual"/>
        </w:rPr>
      </w:pPr>
    </w:p>
    <w:p w14:paraId="1147E6CB" w14:textId="77777777" w:rsidR="00CF7DE9" w:rsidRPr="00B44D5C" w:rsidRDefault="00CF7DE9" w:rsidP="0066226B">
      <w:pPr>
        <w:numPr>
          <w:ilvl w:val="0"/>
          <w:numId w:val="18"/>
        </w:numPr>
        <w:spacing w:after="0" w:line="276" w:lineRule="auto"/>
        <w:ind w:right="709" w:firstLine="0"/>
        <w:jc w:val="both"/>
        <w:rPr>
          <w:rFonts w:ascii="Verdana" w:eastAsia="Aptos" w:hAnsi="Verdana" w:cs="Times New Roman"/>
          <w:i/>
          <w:kern w:val="2"/>
          <w:sz w:val="20"/>
          <w:szCs w:val="20"/>
          <w14:ligatures w14:val="standardContextual"/>
        </w:rPr>
      </w:pPr>
      <w:r w:rsidRPr="00B44D5C">
        <w:rPr>
          <w:rFonts w:ascii="Verdana" w:eastAsia="Aptos" w:hAnsi="Verdana" w:cs="Times New Roman"/>
          <w:i/>
          <w:kern w:val="2"/>
          <w:sz w:val="20"/>
          <w:szCs w:val="20"/>
          <w14:ligatures w14:val="standardContextual"/>
        </w:rPr>
        <w:t>Consulta: ¿Existe alguna prohibición para que las entidades limiten la participación de empresas con menos de (X) años de existencia si estas demuestran capacidad técnica y financiera?</w:t>
      </w:r>
    </w:p>
    <w:p w14:paraId="0E6DA2A9" w14:textId="77777777" w:rsidR="00CF7DE9" w:rsidRPr="00B44D5C" w:rsidRDefault="00CF7DE9" w:rsidP="0066226B">
      <w:pPr>
        <w:spacing w:after="0" w:line="276" w:lineRule="auto"/>
        <w:ind w:left="709" w:right="709"/>
        <w:jc w:val="both"/>
        <w:rPr>
          <w:rFonts w:ascii="Verdana" w:eastAsia="Aptos" w:hAnsi="Verdana" w:cs="Times New Roman"/>
          <w:i/>
          <w:kern w:val="2"/>
          <w:sz w:val="20"/>
          <w:szCs w:val="20"/>
          <w14:ligatures w14:val="standardContextual"/>
        </w:rPr>
      </w:pPr>
    </w:p>
    <w:p w14:paraId="1F05E79E" w14:textId="77777777" w:rsidR="00CF7DE9" w:rsidRPr="00B44D5C" w:rsidRDefault="00CF7DE9" w:rsidP="0066226B">
      <w:pPr>
        <w:spacing w:after="0" w:line="276" w:lineRule="auto"/>
        <w:ind w:left="709" w:right="709"/>
        <w:jc w:val="both"/>
        <w:rPr>
          <w:rFonts w:ascii="Verdana" w:eastAsia="Aptos" w:hAnsi="Verdana" w:cs="Times New Roman"/>
          <w:i/>
          <w:kern w:val="2"/>
          <w:sz w:val="20"/>
          <w:szCs w:val="20"/>
          <w14:ligatures w14:val="standardContextual"/>
        </w:rPr>
      </w:pPr>
      <w:r w:rsidRPr="00B44D5C">
        <w:rPr>
          <w:rFonts w:ascii="Verdana" w:eastAsia="Aptos" w:hAnsi="Verdana" w:cs="Times New Roman"/>
          <w:i/>
          <w:kern w:val="2"/>
          <w:sz w:val="20"/>
          <w:szCs w:val="20"/>
          <w14:ligatures w14:val="standardContextual"/>
        </w:rPr>
        <w:t>Sustento:</w:t>
      </w:r>
      <w:r w:rsidRPr="00B44D5C">
        <w:rPr>
          <w:rFonts w:ascii="Verdana" w:eastAsia="Aptos" w:hAnsi="Verdana" w:cs="Times New Roman"/>
          <w:i/>
          <w:kern w:val="2"/>
          <w:sz w:val="20"/>
          <w:szCs w:val="20"/>
          <w14:ligatures w14:val="standardContextual"/>
        </w:rPr>
        <w:br/>
        <w:t>He observado que en diversos procesos de selección se utiliza la antigüedad como un filtro que excluye a nuevos emprendimientos, lo cual parece contravenir lo dicho por la Agencia en la Guía para el manejo de la Experiencia, donde se enfatiza que la experiencia es la ejecución efectiva de contratos y no el tiempo de existencia legal.</w:t>
      </w:r>
      <w:r w:rsidRPr="00B44D5C">
        <w:rPr>
          <w:rFonts w:ascii="Verdana" w:eastAsia="Calibri" w:hAnsi="Verdana" w:cs="Times New Roman"/>
          <w:i/>
          <w:sz w:val="20"/>
          <w:szCs w:val="20"/>
        </w:rPr>
        <w:t>”</w:t>
      </w:r>
    </w:p>
    <w:p w14:paraId="4093510B" w14:textId="77777777" w:rsidR="00CF7DE9" w:rsidRPr="00BC5D50" w:rsidRDefault="00CF7DE9" w:rsidP="0066226B">
      <w:pPr>
        <w:spacing w:after="0" w:line="276" w:lineRule="auto"/>
        <w:ind w:right="709"/>
        <w:jc w:val="both"/>
        <w:rPr>
          <w:rFonts w:ascii="Verdana" w:eastAsia="Aptos" w:hAnsi="Verdana" w:cs="Times New Roman"/>
          <w:kern w:val="2"/>
          <w14:ligatures w14:val="standardContextual"/>
        </w:rPr>
      </w:pPr>
    </w:p>
    <w:p w14:paraId="6E98F91F" w14:textId="77777777" w:rsidR="00CF7DE9" w:rsidRPr="00BC5D50" w:rsidRDefault="00CF7DE9" w:rsidP="0066226B">
      <w:pPr>
        <w:spacing w:after="120" w:line="276" w:lineRule="auto"/>
        <w:jc w:val="both"/>
        <w:rPr>
          <w:rFonts w:ascii="Verdana" w:eastAsia="Calibri" w:hAnsi="Verdana" w:cs="Arial"/>
          <w:color w:val="000000"/>
          <w:lang w:eastAsia="es-ES"/>
        </w:rPr>
      </w:pPr>
      <w:r w:rsidRPr="00BC5D50">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5D50">
        <w:rPr>
          <w:rFonts w:ascii="Verdana" w:eastAsia="Calibri" w:hAnsi="Verdana" w:cs="Arial"/>
          <w:color w:val="000000"/>
          <w:lang w:eastAsia="es-ES_tradnl"/>
        </w:rPr>
        <w:tab/>
      </w:r>
    </w:p>
    <w:p w14:paraId="7D9A0A33" w14:textId="77777777" w:rsidR="00CF7DE9" w:rsidRPr="00BC5D50" w:rsidRDefault="00CF7DE9" w:rsidP="0066226B">
      <w:pPr>
        <w:spacing w:after="0" w:line="276" w:lineRule="auto"/>
        <w:jc w:val="both"/>
        <w:rPr>
          <w:rFonts w:ascii="Verdana" w:eastAsia="Calibri" w:hAnsi="Verdana" w:cs="Arial"/>
          <w:color w:val="000000"/>
          <w:lang w:eastAsia="es-ES"/>
        </w:rPr>
      </w:pPr>
      <w:r w:rsidRPr="00BC5D50">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BC5D50">
        <w:rPr>
          <w:rFonts w:ascii="Verdana" w:eastAsia="Calibri" w:hAnsi="Verdana" w:cs="Arial"/>
          <w:color w:val="7030A0"/>
          <w:lang w:eastAsia="es-ES"/>
        </w:rPr>
        <w:t xml:space="preserve"> </w:t>
      </w:r>
      <w:r w:rsidRPr="00BC5D50">
        <w:rPr>
          <w:rFonts w:ascii="Verdana" w:eastAsia="Calibri" w:hAnsi="Verdana" w:cs="Arial"/>
          <w:color w:val="000000"/>
          <w:lang w:eastAsia="es-ES"/>
        </w:rPr>
        <w:t>problemas</w:t>
      </w:r>
      <w:r w:rsidRPr="00BC5D50">
        <w:rPr>
          <w:rFonts w:ascii="Verdana" w:eastAsia="Calibri" w:hAnsi="Verdana" w:cs="Arial"/>
          <w:color w:val="7030A0"/>
          <w:lang w:eastAsia="es-ES"/>
        </w:rPr>
        <w:t xml:space="preserve"> </w:t>
      </w:r>
      <w:r w:rsidRPr="00BC5D50">
        <w:rPr>
          <w:rFonts w:ascii="Verdana" w:eastAsia="Calibri" w:hAnsi="Verdana" w:cs="Arial"/>
          <w:color w:val="000000"/>
          <w:lang w:eastAsia="es-ES"/>
        </w:rPr>
        <w:t>jurídicos</w:t>
      </w:r>
      <w:r w:rsidRPr="00BC5D50">
        <w:rPr>
          <w:rFonts w:ascii="Verdana" w:eastAsia="Calibri" w:hAnsi="Verdana" w:cs="Arial"/>
          <w:color w:val="7030A0"/>
          <w:lang w:eastAsia="es-ES"/>
        </w:rPr>
        <w:t xml:space="preserve"> </w:t>
      </w:r>
      <w:r w:rsidRPr="00BC5D50">
        <w:rPr>
          <w:rFonts w:ascii="Verdana" w:eastAsia="Calibri" w:hAnsi="Verdana" w:cs="Arial"/>
          <w:color w:val="000000"/>
          <w:lang w:eastAsia="es-ES"/>
        </w:rPr>
        <w:t xml:space="preserve">de su consulta. </w:t>
      </w:r>
    </w:p>
    <w:p w14:paraId="1986551E" w14:textId="77777777" w:rsidR="00CF7DE9" w:rsidRPr="00BC5D50" w:rsidRDefault="00CF7DE9" w:rsidP="0066226B">
      <w:pPr>
        <w:spacing w:after="0" w:line="276" w:lineRule="auto"/>
        <w:jc w:val="both"/>
        <w:rPr>
          <w:rFonts w:ascii="Verdana" w:eastAsia="Calibri" w:hAnsi="Verdana" w:cs="Arial"/>
          <w:color w:val="000000"/>
          <w:lang w:eastAsia="es-ES"/>
        </w:rPr>
      </w:pPr>
    </w:p>
    <w:p w14:paraId="517C2CD9" w14:textId="77777777" w:rsidR="00CF7DE9" w:rsidRPr="00BC5D50" w:rsidRDefault="00CF7DE9" w:rsidP="0066226B">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BC5D50">
        <w:rPr>
          <w:rFonts w:ascii="Verdana" w:eastAsia="Century Gothic" w:hAnsi="Verdana" w:cs="Century Gothic"/>
          <w:b/>
          <w:bCs/>
        </w:rPr>
        <w:t>Problema planteado:</w:t>
      </w:r>
    </w:p>
    <w:p w14:paraId="23D16F94" w14:textId="77777777" w:rsidR="00CF7DE9" w:rsidRPr="00BC5D50" w:rsidRDefault="00CF7DE9" w:rsidP="0066226B">
      <w:pPr>
        <w:tabs>
          <w:tab w:val="left" w:pos="426"/>
        </w:tabs>
        <w:spacing w:after="0" w:line="276" w:lineRule="auto"/>
        <w:jc w:val="both"/>
        <w:rPr>
          <w:rFonts w:ascii="Verdana" w:eastAsia="Century Gothic" w:hAnsi="Verdana" w:cs="Century Gothic"/>
        </w:rPr>
      </w:pPr>
    </w:p>
    <w:p w14:paraId="34B24613" w14:textId="77777777" w:rsidR="00CF7DE9" w:rsidRPr="00BC5D50" w:rsidRDefault="00CF7DE9" w:rsidP="0066226B">
      <w:pPr>
        <w:snapToGrid w:val="0"/>
        <w:spacing w:after="0" w:line="276" w:lineRule="auto"/>
        <w:jc w:val="both"/>
        <w:rPr>
          <w:rFonts w:ascii="Verdana" w:eastAsia="Century Gothic" w:hAnsi="Verdana" w:cs="Arial"/>
        </w:rPr>
      </w:pPr>
      <w:r w:rsidRPr="00BC5D50">
        <w:rPr>
          <w:rFonts w:ascii="Verdana" w:eastAsia="Century Gothic" w:hAnsi="Verdana" w:cs="Century Gothic"/>
        </w:rPr>
        <w:t xml:space="preserve">De acuerdo con el contenido de su solicitud, esta Agencia resolverá los siguientes problemas jurídicos: i) </w:t>
      </w:r>
      <w:r w:rsidRPr="00BC5D50">
        <w:rPr>
          <w:rFonts w:ascii="Verdana" w:eastAsia="Aptos" w:hAnsi="Verdana" w:cs="Times New Roman"/>
        </w:rPr>
        <w:t xml:space="preserve">¿Qué aspectos deben considerar las entidades estatales al definir los requisitos habilitantes en sus procesos de selección? </w:t>
      </w:r>
      <w:proofErr w:type="spellStart"/>
      <w:r w:rsidRPr="00BC5D50">
        <w:rPr>
          <w:rFonts w:ascii="Verdana" w:eastAsia="Aptos" w:hAnsi="Verdana" w:cs="Times New Roman"/>
        </w:rPr>
        <w:t>ii</w:t>
      </w:r>
      <w:proofErr w:type="spellEnd"/>
      <w:r w:rsidRPr="00BC5D50">
        <w:rPr>
          <w:rFonts w:ascii="Verdana" w:eastAsia="Aptos" w:hAnsi="Verdana" w:cs="Times New Roman"/>
        </w:rPr>
        <w:t>) En el marco de un proceso de selección, ¿qué experiencia puede acreditar una sociedad con menos de tres (3) años de constituida?</w:t>
      </w:r>
    </w:p>
    <w:p w14:paraId="3637216B" w14:textId="77777777" w:rsidR="00CF7DE9" w:rsidRPr="00BC5D50" w:rsidRDefault="00CF7DE9" w:rsidP="0066226B">
      <w:pPr>
        <w:snapToGrid w:val="0"/>
        <w:spacing w:after="0" w:line="276" w:lineRule="auto"/>
        <w:jc w:val="both"/>
        <w:rPr>
          <w:rFonts w:ascii="Verdana" w:eastAsia="Calibri" w:hAnsi="Verdana" w:cs="Arial"/>
          <w:color w:val="7030A0"/>
        </w:rPr>
      </w:pPr>
    </w:p>
    <w:p w14:paraId="7C09C987" w14:textId="77777777" w:rsidR="00CF7DE9" w:rsidRPr="00BC5D50" w:rsidRDefault="00CF7DE9" w:rsidP="0066226B">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BC5D50">
        <w:rPr>
          <w:rFonts w:ascii="Verdana" w:eastAsia="Century Gothic" w:hAnsi="Verdana" w:cs="Century Gothic"/>
          <w:b/>
          <w:bCs/>
        </w:rPr>
        <w:t>Respuestas:</w:t>
      </w:r>
    </w:p>
    <w:p w14:paraId="1E854112" w14:textId="77777777" w:rsidR="00CF7DE9" w:rsidRPr="00BC5D50" w:rsidRDefault="00CF7DE9" w:rsidP="0066226B">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7DE9" w:rsidRPr="00BC5D50" w14:paraId="3E76B3E3" w14:textId="77777777" w:rsidTr="00E26F18">
        <w:trPr>
          <w:jc w:val="center"/>
        </w:trPr>
        <w:tc>
          <w:tcPr>
            <w:tcW w:w="8828" w:type="dxa"/>
          </w:tcPr>
          <w:p w14:paraId="791E2148" w14:textId="77777777" w:rsidR="00CF7DE9" w:rsidRPr="00E14027" w:rsidRDefault="00CF7DE9" w:rsidP="0066226B">
            <w:pPr>
              <w:spacing w:before="120" w:after="120" w:line="276" w:lineRule="auto"/>
              <w:jc w:val="both"/>
              <w:rPr>
                <w:rFonts w:ascii="Verdana" w:eastAsia="Calibri" w:hAnsi="Verdana" w:cs="Arial"/>
                <w:lang w:eastAsia="es-MX"/>
              </w:rPr>
            </w:pPr>
            <w:bookmarkStart w:id="3" w:name="_Hlk171694685"/>
            <w:r w:rsidRPr="00E14027">
              <w:rPr>
                <w:rFonts w:ascii="Verdana" w:eastAsia="Calibri" w:hAnsi="Verdana" w:cs="Arial"/>
                <w:lang w:eastAsia="es-MX"/>
              </w:rPr>
              <w:t>i.</w:t>
            </w:r>
            <w:r>
              <w:rPr>
                <w:rFonts w:ascii="Verdana" w:eastAsia="Calibri" w:hAnsi="Verdana" w:cs="Arial"/>
                <w:lang w:eastAsia="es-MX"/>
              </w:rPr>
              <w:t xml:space="preserve"> </w:t>
            </w:r>
            <w:r w:rsidRPr="00E14027">
              <w:rPr>
                <w:rFonts w:ascii="Verdana" w:eastAsia="Calibri" w:hAnsi="Verdana" w:cs="Arial"/>
                <w:lang w:eastAsia="es-MX"/>
              </w:rPr>
              <w:t>Para dar respuesta a su consulta, es necesario precisar que los requisitos habilitantes se entienden como aquellas exigencias de participación en los procedimientos de selección, establecidas en disposiciones normativas de carácter legal o reglamentario, o contenidas en el acto administrativo que regula las reglas de la convocatoria —esto es, en el pliego de condiciones o en el documento que haga sus veces—, mediante las cuales se evalúa la aptitud del proponente para participar en un proceso de contratación.</w:t>
            </w:r>
          </w:p>
          <w:p w14:paraId="13EFCDE1" w14:textId="77777777" w:rsidR="00CF7DE9" w:rsidRPr="00BC5D50" w:rsidRDefault="00CF7DE9" w:rsidP="0066226B">
            <w:pPr>
              <w:spacing w:before="120" w:after="120" w:line="276" w:lineRule="auto"/>
              <w:jc w:val="both"/>
              <w:rPr>
                <w:rFonts w:ascii="Verdana" w:hAnsi="Verdana" w:cs="Arial"/>
                <w:bCs/>
                <w:lang w:val="es-ES" w:eastAsia="es-ES" w:bidi="es-ES"/>
              </w:rPr>
            </w:pPr>
            <w:r>
              <w:rPr>
                <w:rFonts w:ascii="Verdana" w:eastAsia="Calibri" w:hAnsi="Verdana" w:cs="Arial"/>
                <w:bCs/>
                <w:lang w:val="es-ES" w:eastAsia="es-MX" w:bidi="es-ES"/>
              </w:rPr>
              <w:t>Ahora bien, l</w:t>
            </w:r>
            <w:r w:rsidRPr="00BC5D50">
              <w:rPr>
                <w:rFonts w:ascii="Verdana" w:hAnsi="Verdana" w:cs="Arial"/>
                <w:bCs/>
                <w:lang w:val="es-ES" w:eastAsia="es-ES" w:bidi="es-ES"/>
              </w:rPr>
              <w:t xml:space="preserve">os factores de escogencia y calificación que establezcan las Entidades en los pliegos de condiciones o sus documentos equivalentes deberán tener en cuenta el deber de selección objetiva. En </w:t>
            </w:r>
            <w:r>
              <w:rPr>
                <w:rFonts w:ascii="Verdana" w:hAnsi="Verdana" w:cs="Arial"/>
                <w:bCs/>
                <w:lang w:val="es-ES" w:eastAsia="es-ES" w:bidi="es-ES"/>
              </w:rPr>
              <w:t>particular</w:t>
            </w:r>
            <w:r>
              <w:t xml:space="preserve"> </w:t>
            </w:r>
            <w:r w:rsidRPr="00D03163">
              <w:rPr>
                <w:rFonts w:ascii="Verdana" w:hAnsi="Verdana" w:cs="Arial"/>
                <w:bCs/>
                <w:lang w:val="es-ES" w:eastAsia="es-ES" w:bidi="es-ES"/>
              </w:rPr>
              <w:t>la Ley dispone que</w:t>
            </w:r>
            <w:r w:rsidRPr="00BC5D50">
              <w:rPr>
                <w:rFonts w:ascii="Verdana" w:hAnsi="Verdana" w:cs="Arial"/>
                <w:bCs/>
                <w:lang w:val="es-ES" w:eastAsia="es-ES" w:bidi="es-ES"/>
              </w:rPr>
              <w:t xml:space="preserve"> los criterios habilitantes que determine la Entidad deberán ser adecuados y proporcionales </w:t>
            </w:r>
            <w:r>
              <w:rPr>
                <w:rFonts w:ascii="Verdana" w:hAnsi="Verdana" w:cs="Arial"/>
                <w:bCs/>
                <w:lang w:val="es-ES" w:eastAsia="es-ES" w:bidi="es-ES"/>
              </w:rPr>
              <w:t xml:space="preserve">tanto </w:t>
            </w:r>
            <w:r w:rsidRPr="00BC5D50">
              <w:rPr>
                <w:rFonts w:ascii="Verdana" w:hAnsi="Verdana" w:cs="Arial"/>
                <w:bCs/>
                <w:lang w:val="es-ES" w:eastAsia="es-ES" w:bidi="es-ES"/>
              </w:rPr>
              <w:t xml:space="preserve">a la naturaleza del contrato a suscribir </w:t>
            </w:r>
            <w:r>
              <w:rPr>
                <w:rFonts w:ascii="Verdana" w:hAnsi="Verdana" w:cs="Arial"/>
                <w:bCs/>
                <w:lang w:val="es-ES" w:eastAsia="es-ES" w:bidi="es-ES"/>
              </w:rPr>
              <w:t>como</w:t>
            </w:r>
            <w:r w:rsidRPr="00BC5D50">
              <w:rPr>
                <w:rFonts w:ascii="Verdana" w:hAnsi="Verdana" w:cs="Arial"/>
                <w:bCs/>
                <w:lang w:val="es-ES" w:eastAsia="es-ES" w:bidi="es-ES"/>
              </w:rPr>
              <w:t xml:space="preserve"> a su valor. De esta manera, </w:t>
            </w:r>
            <w:r>
              <w:rPr>
                <w:rFonts w:ascii="Verdana" w:hAnsi="Verdana" w:cs="Arial"/>
                <w:bCs/>
                <w:lang w:val="es-ES" w:eastAsia="es-ES" w:bidi="es-ES"/>
              </w:rPr>
              <w:t xml:space="preserve">aquellas </w:t>
            </w:r>
            <w:r w:rsidRPr="00BC5D50">
              <w:rPr>
                <w:rFonts w:ascii="Verdana" w:hAnsi="Verdana" w:cs="Arial"/>
                <w:bCs/>
                <w:lang w:val="es-ES" w:eastAsia="es-ES" w:bidi="es-ES"/>
              </w:rPr>
              <w:t xml:space="preserve">condiciones habilitantes que no resulten adecuadas para determinar la idoneidad o capacidad del proponente para </w:t>
            </w:r>
            <w:r>
              <w:rPr>
                <w:rFonts w:ascii="Verdana" w:hAnsi="Verdana" w:cs="Arial"/>
                <w:bCs/>
                <w:lang w:val="es-ES" w:eastAsia="es-ES" w:bidi="es-ES"/>
              </w:rPr>
              <w:t>ejecutar</w:t>
            </w:r>
            <w:r w:rsidRPr="00BC5D50">
              <w:rPr>
                <w:rFonts w:ascii="Verdana" w:hAnsi="Verdana" w:cs="Arial"/>
                <w:bCs/>
                <w:lang w:val="es-ES" w:eastAsia="es-ES" w:bidi="es-ES"/>
              </w:rPr>
              <w:t xml:space="preserve"> el objeto del contrato, o que sean desproporcionados frente a este, serán contrarias al deber de selección objetiva.</w:t>
            </w:r>
          </w:p>
          <w:p w14:paraId="71B9FAFD" w14:textId="77777777" w:rsidR="00CF7DE9" w:rsidRPr="00BC5D50" w:rsidRDefault="00CF7DE9" w:rsidP="0066226B">
            <w:pPr>
              <w:spacing w:before="120" w:after="120" w:line="276" w:lineRule="auto"/>
              <w:jc w:val="both"/>
              <w:rPr>
                <w:rFonts w:ascii="Verdana" w:eastAsia="Times New Roman" w:hAnsi="Verdana" w:cs="Arial"/>
                <w:lang w:eastAsia="es-MX"/>
              </w:rPr>
            </w:pPr>
            <w:r w:rsidRPr="00BC5D50">
              <w:rPr>
                <w:rFonts w:ascii="Verdana" w:eastAsia="Times New Roman" w:hAnsi="Verdana" w:cs="Arial"/>
                <w:lang w:eastAsia="es-MX"/>
              </w:rPr>
              <w:t xml:space="preserve">En este sentido, si bien las Entidades Estatales </w:t>
            </w:r>
            <w:r>
              <w:rPr>
                <w:rFonts w:ascii="Verdana" w:eastAsia="Times New Roman" w:hAnsi="Verdana" w:cs="Arial"/>
                <w:lang w:eastAsia="es-MX"/>
              </w:rPr>
              <w:t>gozan de autonomía</w:t>
            </w:r>
            <w:r w:rsidRPr="00BC5D50">
              <w:rPr>
                <w:rFonts w:ascii="Verdana" w:eastAsia="Times New Roman" w:hAnsi="Verdana" w:cs="Arial"/>
                <w:lang w:eastAsia="es-MX"/>
              </w:rPr>
              <w:t xml:space="preserve"> para definir los requisitos habilitantes, tal facultad no puede ejercerse de </w:t>
            </w:r>
            <w:r>
              <w:rPr>
                <w:rFonts w:ascii="Verdana" w:eastAsia="Times New Roman" w:hAnsi="Verdana" w:cs="Arial"/>
                <w:lang w:eastAsia="es-MX"/>
              </w:rPr>
              <w:t>manera</w:t>
            </w:r>
            <w:r w:rsidRPr="00BC5D50">
              <w:rPr>
                <w:rFonts w:ascii="Verdana" w:eastAsia="Times New Roman" w:hAnsi="Verdana" w:cs="Arial"/>
                <w:lang w:eastAsia="es-MX"/>
              </w:rPr>
              <w:t xml:space="preserve"> arbitraria, caprichosa </w:t>
            </w:r>
            <w:r>
              <w:rPr>
                <w:rFonts w:ascii="Verdana" w:eastAsia="Times New Roman" w:hAnsi="Verdana" w:cs="Arial"/>
                <w:lang w:eastAsia="es-MX"/>
              </w:rPr>
              <w:t>ni</w:t>
            </w:r>
            <w:r w:rsidRPr="00BC5D50">
              <w:rPr>
                <w:rFonts w:ascii="Verdana" w:eastAsia="Times New Roman" w:hAnsi="Verdana" w:cs="Arial"/>
                <w:lang w:eastAsia="es-MX"/>
              </w:rPr>
              <w:t>, mucho menos, con el ánimo de direccionar el proceso de contratación o favorecer a alguno de los proponentes</w:t>
            </w:r>
            <w:r w:rsidRPr="00BC5D50">
              <w:rPr>
                <w:rFonts w:ascii="Verdana" w:eastAsia="Times New Roman" w:hAnsi="Verdana" w:cs="Arial"/>
                <w:i/>
                <w:iCs/>
                <w:lang w:eastAsia="es-MX"/>
              </w:rPr>
              <w:t>.</w:t>
            </w:r>
            <w:r w:rsidRPr="00BC5D50">
              <w:rPr>
                <w:rFonts w:ascii="Verdana" w:eastAsia="Times New Roman" w:hAnsi="Verdana" w:cs="Arial"/>
                <w:lang w:eastAsia="es-MX"/>
              </w:rPr>
              <w:t xml:space="preserve"> </w:t>
            </w:r>
            <w:r>
              <w:rPr>
                <w:rFonts w:ascii="Verdana" w:eastAsia="Times New Roman" w:hAnsi="Verdana" w:cs="Arial"/>
                <w:lang w:eastAsia="es-MX"/>
              </w:rPr>
              <w:t>Por el contrario, d</w:t>
            </w:r>
            <w:r w:rsidRPr="00BC5D50">
              <w:rPr>
                <w:rFonts w:ascii="Verdana" w:eastAsia="Times New Roman" w:hAnsi="Verdana" w:cs="Arial"/>
                <w:lang w:eastAsia="es-MX"/>
              </w:rPr>
              <w:t xml:space="preserve">icha autonomía debe ser ejercida procurando </w:t>
            </w:r>
            <w:r>
              <w:rPr>
                <w:rFonts w:ascii="Verdana" w:eastAsia="Times New Roman" w:hAnsi="Verdana" w:cs="Arial"/>
                <w:lang w:eastAsia="es-MX"/>
              </w:rPr>
              <w:t>establecer</w:t>
            </w:r>
            <w:r w:rsidRPr="00BC5D50">
              <w:rPr>
                <w:rFonts w:ascii="Verdana" w:eastAsia="Times New Roman" w:hAnsi="Verdana" w:cs="Arial"/>
                <w:lang w:eastAsia="es-MX"/>
              </w:rPr>
              <w:t xml:space="preserve"> condiciones habilitantes de manera objetiva, de suerte que estas sirvan para determinar si los participantes del proceso de contratación cuentan con las capacidades que los hacen aptos para ejecutar el objeto contractual. Para e</w:t>
            </w:r>
            <w:r>
              <w:rPr>
                <w:rFonts w:ascii="Verdana" w:eastAsia="Times New Roman" w:hAnsi="Verdana" w:cs="Arial"/>
                <w:lang w:eastAsia="es-MX"/>
              </w:rPr>
              <w:t>llo,</w:t>
            </w:r>
            <w:r w:rsidRPr="00BC5D50">
              <w:rPr>
                <w:rFonts w:ascii="Verdana" w:eastAsia="Times New Roman" w:hAnsi="Verdana" w:cs="Arial"/>
                <w:lang w:eastAsia="es-MX"/>
              </w:rPr>
              <w:t xml:space="preserve"> resulta indispensable que los requisitos establecidos por la entidad se fijen de manera </w:t>
            </w:r>
            <w:r w:rsidRPr="00BC5D50">
              <w:rPr>
                <w:rFonts w:ascii="Verdana" w:eastAsia="Times New Roman" w:hAnsi="Verdana" w:cs="Arial"/>
                <w:lang w:eastAsia="es-MX"/>
              </w:rPr>
              <w:lastRenderedPageBreak/>
              <w:t xml:space="preserve">adecuada y proporcional a las características del objeto a contratar, </w:t>
            </w:r>
            <w:r>
              <w:rPr>
                <w:rFonts w:ascii="Verdana" w:eastAsia="Times New Roman" w:hAnsi="Verdana" w:cs="Arial"/>
                <w:lang w:eastAsia="es-MX"/>
              </w:rPr>
              <w:t>en estricta observancia de la</w:t>
            </w:r>
            <w:r w:rsidRPr="00BC5D50">
              <w:rPr>
                <w:rFonts w:ascii="Verdana" w:eastAsia="Times New Roman" w:hAnsi="Verdana" w:cs="Arial"/>
                <w:lang w:eastAsia="es-MX"/>
              </w:rPr>
              <w:t xml:space="preserve"> normativa que resulte aplicable.</w:t>
            </w:r>
          </w:p>
          <w:p w14:paraId="06DEBC57" w14:textId="77777777" w:rsidR="00CF7DE9" w:rsidRDefault="00CF7DE9" w:rsidP="0066226B">
            <w:pPr>
              <w:widowControl w:val="0"/>
              <w:autoSpaceDE w:val="0"/>
              <w:autoSpaceDN w:val="0"/>
              <w:spacing w:before="120" w:line="276" w:lineRule="auto"/>
              <w:jc w:val="both"/>
              <w:rPr>
                <w:rFonts w:ascii="Verdana" w:hAnsi="Verdana" w:cs="Arial"/>
              </w:rPr>
            </w:pPr>
            <w:r>
              <w:rPr>
                <w:rFonts w:ascii="Verdana" w:hAnsi="Verdana" w:cs="Arial"/>
              </w:rPr>
              <w:t>En</w:t>
            </w:r>
            <w:r w:rsidRPr="00BC5D50">
              <w:rPr>
                <w:rFonts w:ascii="Verdana" w:hAnsi="Verdana" w:cs="Arial"/>
              </w:rPr>
              <w:t xml:space="preserve"> el anterior marco</w:t>
            </w:r>
            <w:r>
              <w:rPr>
                <w:rFonts w:ascii="Verdana" w:hAnsi="Verdana" w:cs="Arial"/>
              </w:rPr>
              <w:t xml:space="preserve">, </w:t>
            </w:r>
            <w:r w:rsidRPr="00BC5D50">
              <w:rPr>
                <w:rFonts w:ascii="Verdana" w:hAnsi="Verdana" w:cs="Arial"/>
              </w:rPr>
              <w:t>las entidades estatales</w:t>
            </w:r>
            <w:r>
              <w:rPr>
                <w:rFonts w:ascii="Verdana" w:hAnsi="Verdana" w:cs="Arial"/>
              </w:rPr>
              <w:t xml:space="preserve"> solicitan</w:t>
            </w:r>
            <w:r w:rsidRPr="00BC5D50">
              <w:rPr>
                <w:rFonts w:ascii="Verdana" w:hAnsi="Verdana" w:cs="Arial"/>
              </w:rPr>
              <w:t xml:space="preserve"> la presentación de di</w:t>
            </w:r>
            <w:r>
              <w:rPr>
                <w:rFonts w:ascii="Verdana" w:hAnsi="Verdana" w:cs="Arial"/>
              </w:rPr>
              <w:t>versos</w:t>
            </w:r>
            <w:r w:rsidRPr="00BC5D50">
              <w:rPr>
                <w:rFonts w:ascii="Verdana" w:hAnsi="Verdana" w:cs="Arial"/>
              </w:rPr>
              <w:t xml:space="preserve"> documentos </w:t>
            </w:r>
            <w:r>
              <w:rPr>
                <w:rFonts w:ascii="Verdana" w:hAnsi="Verdana" w:cs="Arial"/>
              </w:rPr>
              <w:t>con el finde verificar el cumplimiento de los requisitos habilitantes por parte de los proponentes</w:t>
            </w:r>
            <w:r w:rsidRPr="00BC5D50">
              <w:rPr>
                <w:rFonts w:ascii="Verdana" w:hAnsi="Verdana" w:cs="Arial"/>
              </w:rPr>
              <w:t xml:space="preserve">, entre </w:t>
            </w:r>
            <w:r>
              <w:rPr>
                <w:rFonts w:ascii="Verdana" w:hAnsi="Verdana" w:cs="Arial"/>
              </w:rPr>
              <w:t>los cuales se encuentra el</w:t>
            </w:r>
            <w:r w:rsidRPr="00BC5D50">
              <w:rPr>
                <w:rFonts w:ascii="Verdana" w:hAnsi="Verdana" w:cs="Arial"/>
              </w:rPr>
              <w:t xml:space="preserve"> Registro Único Tributario </w:t>
            </w:r>
            <w:r>
              <w:rPr>
                <w:rFonts w:ascii="Verdana" w:hAnsi="Verdana" w:cs="Arial"/>
              </w:rPr>
              <w:t>–RUP-, documento en el que debe encontrarse debidamente registrada la experiencia acreditada.</w:t>
            </w:r>
          </w:p>
          <w:p w14:paraId="68907B9D" w14:textId="4D6AE539" w:rsidR="00087580" w:rsidRDefault="00CF7DE9" w:rsidP="00087580">
            <w:pPr>
              <w:spacing w:before="120" w:line="276" w:lineRule="auto"/>
              <w:jc w:val="both"/>
              <w:rPr>
                <w:rFonts w:ascii="Verdana" w:eastAsia="Calibri" w:hAnsi="Verdana" w:cs="Arial"/>
                <w:color w:val="000000"/>
                <w:lang w:val="es-ES" w:eastAsia="es-ES_tradnl"/>
              </w:rPr>
            </w:pPr>
            <w:proofErr w:type="spellStart"/>
            <w:r>
              <w:rPr>
                <w:rFonts w:ascii="Verdana" w:hAnsi="Verdana" w:cs="Arial"/>
              </w:rPr>
              <w:t>ii</w:t>
            </w:r>
            <w:proofErr w:type="spellEnd"/>
            <w:r>
              <w:rPr>
                <w:rFonts w:ascii="Verdana" w:hAnsi="Verdana" w:cs="Arial"/>
              </w:rPr>
              <w:t>. Por su parte, e</w:t>
            </w:r>
            <w:r w:rsidRPr="00437F53">
              <w:rPr>
                <w:rFonts w:ascii="Verdana" w:eastAsia="Calibri" w:hAnsi="Verdana" w:cs="Arial"/>
                <w:color w:val="000000"/>
                <w:lang w:val="es-ES" w:eastAsia="es-ES_tradnl"/>
              </w:rPr>
              <w:t>l numeral 2.5 del artículo 2.2.1.1.1.5.2 del Decreto 1082 de 2015 indica de forma clara que una sociedad con menos de tres años de constitu</w:t>
            </w:r>
            <w:r>
              <w:rPr>
                <w:rFonts w:ascii="Verdana" w:eastAsia="Calibri" w:hAnsi="Verdana" w:cs="Arial"/>
                <w:color w:val="000000"/>
                <w:lang w:val="es-ES" w:eastAsia="es-ES_tradnl"/>
              </w:rPr>
              <w:t>ción</w:t>
            </w:r>
            <w:r w:rsidRPr="00437F53">
              <w:rPr>
                <w:rFonts w:ascii="Verdana" w:eastAsia="Calibri" w:hAnsi="Verdana" w:cs="Arial"/>
                <w:color w:val="000000"/>
                <w:lang w:val="es-ES" w:eastAsia="es-ES_tradnl"/>
              </w:rPr>
              <w:t xml:space="preserve"> puede aportar la experiencia de sus accionistas, socios o constituyentes. Esta prerrogativa, que puede entenderse como una medida de fomento a la participación de pequeños oferentes en la contratación estatal, permite que las sociedades relativamente nuevas ─</w:t>
            </w:r>
            <w:r>
              <w:rPr>
                <w:rFonts w:ascii="Verdana" w:eastAsia="Calibri" w:hAnsi="Verdana" w:cs="Arial"/>
                <w:color w:val="000000"/>
                <w:lang w:val="es-ES" w:eastAsia="es-ES_tradnl"/>
              </w:rPr>
              <w:t xml:space="preserve">esto es, aquellos </w:t>
            </w:r>
            <w:r w:rsidRPr="00437F53">
              <w:rPr>
                <w:rFonts w:ascii="Verdana" w:eastAsia="Calibri" w:hAnsi="Verdana" w:cs="Arial"/>
                <w:color w:val="000000"/>
                <w:lang w:val="es-ES" w:eastAsia="es-ES_tradnl"/>
              </w:rPr>
              <w:t>con menos de 3 años de constitución─ puedan acreditar como experiencia en el RUP la de sus accionistas, socios o constituyentes.</w:t>
            </w:r>
          </w:p>
          <w:p w14:paraId="2E179368" w14:textId="33E4A615" w:rsidR="00FF4A2C" w:rsidRPr="00712B24" w:rsidRDefault="00FF4A2C" w:rsidP="000258F9">
            <w:pPr>
              <w:spacing w:before="240" w:after="120" w:line="276" w:lineRule="auto"/>
              <w:jc w:val="both"/>
              <w:rPr>
                <w:rFonts w:ascii="Verdana" w:eastAsia="Calibri" w:hAnsi="Verdana" w:cs="Arial"/>
              </w:rPr>
            </w:pPr>
            <w:r>
              <w:rPr>
                <w:rFonts w:ascii="Verdana" w:eastAsia="Calibri" w:hAnsi="Verdana" w:cs="Arial"/>
              </w:rPr>
              <w:t>E</w:t>
            </w:r>
            <w:r w:rsidRPr="00712B24">
              <w:rPr>
                <w:rFonts w:ascii="Verdana" w:eastAsia="Calibri" w:hAnsi="Verdana" w:cs="Arial"/>
              </w:rPr>
              <w:t>s importante hacer énfasis en que, de conformidad con lo dispuesto en el artículo 6 de la Ley 1150 de 2007, todas las personas naturales o jurídicas, nacionales o extranjeras, domiciliadas en Colombia o con sucursal en el país, que pretendan celebrar contratos con las entidades estatales, deben encontrarse inscritas en el Registro Único de Proponentes (</w:t>
            </w:r>
            <w:r>
              <w:rPr>
                <w:rFonts w:ascii="Verdana" w:eastAsia="Calibri" w:hAnsi="Verdana" w:cs="Arial"/>
              </w:rPr>
              <w:t xml:space="preserve">en adelante </w:t>
            </w:r>
            <w:r w:rsidRPr="00712B24">
              <w:rPr>
                <w:rFonts w:ascii="Verdana" w:eastAsia="Calibri" w:hAnsi="Verdana" w:cs="Arial"/>
              </w:rPr>
              <w:t>RUP). En dicha inscripción reposa la información referente a la experiencia, así como a la capacidad jurídica, financiera y organizacional del proponente, además de su clasificación. Esta inscripción constituye la base para la verificación de los requisitos habilitantes.</w:t>
            </w:r>
          </w:p>
          <w:p w14:paraId="597EB6C6" w14:textId="77777777" w:rsidR="00FF4A2C" w:rsidRPr="00712B24" w:rsidRDefault="00FF4A2C" w:rsidP="000258F9">
            <w:pPr>
              <w:spacing w:before="120" w:after="120" w:line="276" w:lineRule="auto"/>
              <w:jc w:val="both"/>
              <w:rPr>
                <w:rFonts w:ascii="Verdana" w:eastAsia="Calibri" w:hAnsi="Verdana" w:cs="Arial"/>
              </w:rPr>
            </w:pPr>
            <w:r w:rsidRPr="00712B24">
              <w:rPr>
                <w:rFonts w:ascii="Verdana" w:eastAsia="Calibri" w:hAnsi="Verdana" w:cs="Arial"/>
              </w:rPr>
              <w:t xml:space="preserve">Por otro lado, el Decreto 1082 de 2015, en su artículo 2.2.1.1.1.5.2, en su numeral 2.5 señala que la persona jurídica se registrará aportando los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Aunado a lo anterior, el interesado debe indicar en cada certificado, o en cada copia de los contratos, los bienes, obras y servicios a los cuales corresponde la experiencia que pretende acreditar, identificándolos con el Clasificador de Bienes y Servicios, en el tercer nivel. </w:t>
            </w:r>
          </w:p>
          <w:p w14:paraId="6D36BA65" w14:textId="77777777" w:rsidR="00FF4A2C" w:rsidRPr="00712B24" w:rsidRDefault="00FF4A2C" w:rsidP="00FF4A2C">
            <w:pPr>
              <w:spacing w:after="120" w:line="276" w:lineRule="auto"/>
              <w:ind w:firstLine="708"/>
              <w:jc w:val="both"/>
              <w:rPr>
                <w:rFonts w:ascii="Verdana" w:eastAsia="Calibri" w:hAnsi="Verdana" w:cs="Arial"/>
              </w:rPr>
            </w:pPr>
            <w:r w:rsidRPr="00712B24">
              <w:rPr>
                <w:rFonts w:ascii="Verdana" w:eastAsia="Calibri" w:hAnsi="Verdana" w:cs="Arial"/>
              </w:rPr>
              <w:lastRenderedPageBreak/>
              <w:t xml:space="preserve">Ahora bien, para responder el problema jurídico planteado, el mismo numeral 2.5 establece que, si la constitución de la sociedad que quiera participar en procesos de contratación pública es menor a tres (3) años, se puede acreditar la experiencia de sus accionistas, socios o constituyentes. Lo anterior, se entiende como una medida diferenciada que busca fomentar la participación de pequeños oferentes en la contratación estatal, permitiendo que dichas sociedades puedan acreditar como experiencia en el RUP la de sus accionistas, socios o constituyentes, a pesar que de que, la experiencia es inherente a la persona que la ha obtenido, por disposición legal o reglamentaria, en casos excepcionales, como el descrito por el artículo mencionado, se permite que las sociedades recién constituidas utilicen la experiencia de sus accionistas o socios para acreditar su capacidad. </w:t>
            </w:r>
          </w:p>
          <w:p w14:paraId="6799A72E" w14:textId="77777777" w:rsidR="00FF4A2C" w:rsidRPr="00712B24" w:rsidRDefault="00FF4A2C" w:rsidP="00FF4A2C">
            <w:pPr>
              <w:spacing w:before="120" w:after="120" w:line="276" w:lineRule="auto"/>
              <w:ind w:firstLine="709"/>
              <w:jc w:val="both"/>
              <w:rPr>
                <w:rFonts w:ascii="Verdana" w:eastAsia="Calibri" w:hAnsi="Verdana" w:cs="Arial"/>
                <w:i/>
                <w:iCs/>
              </w:rPr>
            </w:pPr>
            <w:r w:rsidRPr="00712B24">
              <w:rPr>
                <w:rFonts w:ascii="Verdana" w:eastAsia="Calibri" w:hAnsi="Verdana" w:cs="Arial"/>
              </w:rPr>
              <w:t>En consecuencia, los documentos para acreditar la experiencia de una sociedad con menos de tres (3) años, a través de los sus accionistas, socios y constituyentes serán los mismos dispuestos por el Decreto 1082 de 2015, artículo 2.2.1.1.1.5.2, en su numeral 2.1</w:t>
            </w:r>
            <w:r w:rsidRPr="00712B24">
              <w:rPr>
                <w:rFonts w:ascii="Verdana" w:eastAsia="Times New Roman" w:hAnsi="Verdana" w:cs="Arial"/>
                <w:bCs/>
                <w:lang w:eastAsia="es-CO"/>
              </w:rPr>
              <w:t>, la</w:t>
            </w:r>
            <w:r w:rsidRPr="00712B24">
              <w:rPr>
                <w:rFonts w:ascii="Verdana" w:eastAsia="Times New Roman" w:hAnsi="Verdana" w:cs="Arial"/>
                <w:lang w:val="es-ES" w:eastAsia="es-CO"/>
              </w:rPr>
              <w:t xml:space="preserve">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w:t>
            </w:r>
          </w:p>
          <w:p w14:paraId="49D6548E" w14:textId="74BAE845" w:rsidR="00CF7DE9" w:rsidRPr="0005136D" w:rsidRDefault="00FF4A2C" w:rsidP="0066226B">
            <w:pPr>
              <w:spacing w:before="120" w:line="276" w:lineRule="auto"/>
              <w:jc w:val="both"/>
              <w:rPr>
                <w:rFonts w:ascii="Verdana" w:eastAsia="Calibri" w:hAnsi="Verdana" w:cs="Arial"/>
                <w:color w:val="000000"/>
                <w:lang w:val="es-ES" w:eastAsia="es-ES_tradnl"/>
              </w:rPr>
            </w:pPr>
            <w:r w:rsidRPr="00712B24">
              <w:rPr>
                <w:rFonts w:ascii="Verdana" w:eastAsia="Times New Roman" w:hAnsi="Verdana" w:cs="Arial"/>
                <w:lang w:val="es-ES" w:eastAsia="es-CO"/>
              </w:rPr>
              <w:t xml:space="preserve">Finalmente, con el RUP se verifica que el proponente tenga experiencia en la ejecución del objeto que pretende contratar la entidad, esto es, que haya celebrado y ejecutado contratos que se asimilen a la necesidad que la entidad requiere satisfacer con el procedimiento contractual y son </w:t>
            </w:r>
            <w:r w:rsidRPr="00712B24">
              <w:rPr>
                <w:rFonts w:ascii="Verdana" w:eastAsia="Calibri" w:hAnsi="Verdana" w:cs="Arial"/>
              </w:rPr>
              <w:t>las Cámaras de Comercio las encargadas de realizar la respectiva verificación documental de la información que se ha plasmado en el Registro Único de Proponentes (RUP) por parte de los interesados al momento de inscribirse.</w:t>
            </w:r>
          </w:p>
        </w:tc>
      </w:tr>
    </w:tbl>
    <w:p w14:paraId="6ADFDF4F" w14:textId="77777777" w:rsidR="00CF7DE9" w:rsidRPr="00BC5D50" w:rsidRDefault="00CF7DE9" w:rsidP="00A9272D">
      <w:pPr>
        <w:tabs>
          <w:tab w:val="left" w:pos="142"/>
          <w:tab w:val="left" w:pos="284"/>
        </w:tabs>
        <w:spacing w:after="0" w:line="276" w:lineRule="auto"/>
        <w:ind w:firstLine="709"/>
        <w:jc w:val="both"/>
        <w:rPr>
          <w:rFonts w:ascii="Verdana" w:eastAsia="Century Gothic" w:hAnsi="Verdana" w:cs="Century Gothic"/>
          <w:b/>
          <w:bCs/>
        </w:rPr>
      </w:pPr>
    </w:p>
    <w:bookmarkEnd w:id="3"/>
    <w:p w14:paraId="2986BD5B" w14:textId="711107AC" w:rsidR="00CF7DE9" w:rsidRPr="00C136F5" w:rsidRDefault="00CF7DE9" w:rsidP="00C136F5">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C136F5">
        <w:rPr>
          <w:rFonts w:ascii="Verdana" w:eastAsia="Century Gothic" w:hAnsi="Verdana" w:cs="Century Gothic"/>
          <w:b/>
          <w:bCs/>
        </w:rPr>
        <w:t>Razones de las respuestas:</w:t>
      </w:r>
    </w:p>
    <w:p w14:paraId="311B1604" w14:textId="77777777" w:rsidR="00CF7DE9" w:rsidRPr="00BC5D50" w:rsidRDefault="00CF7DE9" w:rsidP="00A9272D">
      <w:pPr>
        <w:tabs>
          <w:tab w:val="left" w:pos="142"/>
          <w:tab w:val="left" w:pos="284"/>
        </w:tabs>
        <w:spacing w:after="0" w:line="276" w:lineRule="auto"/>
        <w:ind w:left="360" w:firstLine="709"/>
        <w:jc w:val="both"/>
        <w:rPr>
          <w:rFonts w:ascii="Verdana" w:eastAsia="Century Gothic" w:hAnsi="Verdana" w:cs="Century Gothic"/>
          <w:b/>
          <w:bCs/>
        </w:rPr>
      </w:pPr>
    </w:p>
    <w:p w14:paraId="772855A4" w14:textId="77777777" w:rsidR="00CF7DE9" w:rsidRDefault="00CF7DE9" w:rsidP="00A9272D">
      <w:pPr>
        <w:pStyle w:val="Textoindependiente"/>
        <w:spacing w:line="276" w:lineRule="auto"/>
        <w:ind w:left="260"/>
        <w:jc w:val="both"/>
        <w:rPr>
          <w:spacing w:val="-2"/>
          <w:lang w:val="es-CO"/>
        </w:rPr>
      </w:pPr>
      <w:r w:rsidRPr="00BC5D50">
        <w:rPr>
          <w:lang w:val="es-CO"/>
        </w:rPr>
        <w:t>Lo</w:t>
      </w:r>
      <w:r w:rsidRPr="00BC5D50">
        <w:rPr>
          <w:spacing w:val="-4"/>
          <w:lang w:val="es-CO"/>
        </w:rPr>
        <w:t xml:space="preserve"> </w:t>
      </w:r>
      <w:r w:rsidRPr="00BC5D50">
        <w:rPr>
          <w:lang w:val="es-CO"/>
        </w:rPr>
        <w:t>anterior</w:t>
      </w:r>
      <w:r w:rsidRPr="00BC5D50">
        <w:rPr>
          <w:spacing w:val="-8"/>
          <w:lang w:val="es-CO"/>
        </w:rPr>
        <w:t xml:space="preserve"> </w:t>
      </w:r>
      <w:r w:rsidRPr="00BC5D50">
        <w:rPr>
          <w:lang w:val="es-CO"/>
        </w:rPr>
        <w:t>se</w:t>
      </w:r>
      <w:r w:rsidRPr="00BC5D50">
        <w:rPr>
          <w:spacing w:val="-5"/>
          <w:lang w:val="es-CO"/>
        </w:rPr>
        <w:t xml:space="preserve"> </w:t>
      </w:r>
      <w:r w:rsidRPr="00BC5D50">
        <w:rPr>
          <w:lang w:val="es-CO"/>
        </w:rPr>
        <w:t>sustenta</w:t>
      </w:r>
      <w:r w:rsidRPr="00BC5D50">
        <w:rPr>
          <w:spacing w:val="-8"/>
          <w:lang w:val="es-CO"/>
        </w:rPr>
        <w:t xml:space="preserve"> </w:t>
      </w:r>
      <w:r w:rsidRPr="00BC5D50">
        <w:rPr>
          <w:lang w:val="es-CO"/>
        </w:rPr>
        <w:t>en</w:t>
      </w:r>
      <w:r w:rsidRPr="00BC5D50">
        <w:rPr>
          <w:spacing w:val="-4"/>
          <w:lang w:val="es-CO"/>
        </w:rPr>
        <w:t xml:space="preserve"> </w:t>
      </w:r>
      <w:r w:rsidRPr="00BC5D50">
        <w:rPr>
          <w:lang w:val="es-CO"/>
        </w:rPr>
        <w:t>las</w:t>
      </w:r>
      <w:r w:rsidRPr="00BC5D50">
        <w:rPr>
          <w:spacing w:val="-5"/>
          <w:lang w:val="es-CO"/>
        </w:rPr>
        <w:t xml:space="preserve"> </w:t>
      </w:r>
      <w:r w:rsidRPr="00BC5D50">
        <w:rPr>
          <w:lang w:val="es-CO"/>
        </w:rPr>
        <w:t>siguientes</w:t>
      </w:r>
      <w:r w:rsidRPr="00BC5D50">
        <w:rPr>
          <w:spacing w:val="-4"/>
          <w:lang w:val="es-CO"/>
        </w:rPr>
        <w:t xml:space="preserve"> </w:t>
      </w:r>
      <w:r w:rsidRPr="00BC5D50">
        <w:rPr>
          <w:spacing w:val="-2"/>
          <w:lang w:val="es-CO"/>
        </w:rPr>
        <w:t>consideraciones:</w:t>
      </w:r>
    </w:p>
    <w:p w14:paraId="616A6BA3" w14:textId="77777777" w:rsidR="00CF7DE9" w:rsidRDefault="00CF7DE9" w:rsidP="00A9272D">
      <w:pPr>
        <w:pStyle w:val="Textoindependiente"/>
        <w:spacing w:line="276" w:lineRule="auto"/>
        <w:ind w:left="260"/>
        <w:jc w:val="both"/>
        <w:rPr>
          <w:spacing w:val="-2"/>
          <w:lang w:val="es-CO"/>
        </w:rPr>
      </w:pPr>
    </w:p>
    <w:p w14:paraId="4AB03E2E" w14:textId="77777777" w:rsidR="00CF7DE9" w:rsidRDefault="00CF7DE9" w:rsidP="00A9272D">
      <w:pPr>
        <w:spacing w:after="120" w:line="276" w:lineRule="auto"/>
        <w:ind w:firstLine="709"/>
        <w:jc w:val="both"/>
        <w:rPr>
          <w:rFonts w:ascii="Verdana" w:hAnsi="Verdana" w:cs="Arial"/>
          <w:bCs/>
          <w:lang w:val="es-ES_tradnl" w:eastAsia="es-ES" w:bidi="es-ES"/>
        </w:rPr>
      </w:pPr>
      <w:r w:rsidRPr="00CC581A">
        <w:rPr>
          <w:rFonts w:ascii="Verdana" w:hAnsi="Verdana" w:cs="Arial"/>
          <w:bCs/>
          <w:lang w:val="es-ES_tradnl" w:eastAsia="es-ES" w:bidi="es-ES"/>
        </w:rPr>
        <w:t>i) Lo</w:t>
      </w:r>
      <w:r w:rsidRPr="0041694B">
        <w:rPr>
          <w:rFonts w:ascii="Verdana" w:hAnsi="Verdana" w:cs="Arial"/>
          <w:bCs/>
          <w:lang w:val="es-ES_tradnl" w:eastAsia="es-ES" w:bidi="es-ES"/>
        </w:rPr>
        <w:t xml:space="preserve">s </w:t>
      </w:r>
      <w:r w:rsidRPr="00540444">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w:t>
      </w:r>
      <w:r>
        <w:rPr>
          <w:rFonts w:ascii="Verdana" w:hAnsi="Verdana" w:cs="Arial"/>
          <w:bCs/>
          <w:lang w:val="es-ES_tradnl" w:eastAsia="es-ES" w:bidi="es-ES"/>
        </w:rPr>
        <w:t>a</w:t>
      </w:r>
      <w:r w:rsidRPr="0041694B">
        <w:rPr>
          <w:rFonts w:ascii="Verdana" w:hAnsi="Verdana" w:cs="Arial"/>
          <w:bCs/>
          <w:lang w:val="es-ES_tradnl" w:eastAsia="es-ES" w:bidi="es-ES"/>
        </w:rPr>
        <w:t xml:space="preserve">s en disposiciones normativas de carácter legal o reglamentario, o contenidas en el acto administrativo que regula las reglas de la convocatoria, es decir, en el pliego de condiciones o el documento </w:t>
      </w:r>
      <w:r w:rsidRPr="0041694B">
        <w:rPr>
          <w:rFonts w:ascii="Verdana" w:hAnsi="Verdana" w:cs="Arial"/>
          <w:bCs/>
          <w:lang w:val="es-ES_tradnl" w:eastAsia="es-ES" w:bidi="es-ES"/>
        </w:rPr>
        <w:lastRenderedPageBreak/>
        <w:t xml:space="preserve">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en que estos son los factores definidos por la Entidad Estatal para la asignación de puntaje en el momento de la comparación de las ofertas, y que, a partir de su ponderación, permiten establecer el orden de elegibilidad y</w:t>
      </w:r>
      <w:r w:rsidRPr="00C94107">
        <w:rPr>
          <w:rFonts w:ascii="Verdana" w:hAnsi="Verdana" w:cs="Arial"/>
          <w:bCs/>
          <w:lang w:val="es-ES_tradnl" w:eastAsia="es-ES" w:bidi="es-ES"/>
        </w:rPr>
        <w:t>, por ende,</w:t>
      </w:r>
      <w:r>
        <w:rPr>
          <w:rFonts w:ascii="Verdana" w:hAnsi="Verdana" w:cs="Arial"/>
          <w:bCs/>
          <w:lang w:val="es-ES_tradnl" w:eastAsia="es-ES" w:bidi="es-ES"/>
        </w:rPr>
        <w:t xml:space="preserve"> </w:t>
      </w:r>
      <w:r w:rsidRPr="0041694B">
        <w:rPr>
          <w:rFonts w:ascii="Verdana" w:hAnsi="Verdana" w:cs="Arial"/>
          <w:bCs/>
          <w:lang w:val="es-ES_tradnl" w:eastAsia="es-ES" w:bidi="es-ES"/>
        </w:rPr>
        <w:t xml:space="preserve">la propuesta ganadora. </w:t>
      </w:r>
    </w:p>
    <w:p w14:paraId="664E4F1D" w14:textId="77777777" w:rsidR="00CF7DE9" w:rsidRPr="000D0F09" w:rsidRDefault="00CF7DE9" w:rsidP="00A9272D">
      <w:pPr>
        <w:spacing w:after="120" w:line="276" w:lineRule="auto"/>
        <w:ind w:firstLine="709"/>
        <w:jc w:val="both"/>
        <w:rPr>
          <w:rFonts w:ascii="Verdana" w:eastAsia="Calibri" w:hAnsi="Verdana" w:cs="Arial"/>
          <w:lang w:val="es-ES" w:eastAsia="es-MX"/>
        </w:rPr>
      </w:pPr>
      <w:bookmarkStart w:id="4" w:name="_Hlk191626670"/>
      <w:r w:rsidRPr="001A4E79">
        <w:rPr>
          <w:rFonts w:ascii="Verdana" w:eastAsia="Calibri" w:hAnsi="Verdana" w:cs="Arial"/>
          <w:lang w:val="es-ES" w:eastAsia="es-MX"/>
        </w:rPr>
        <w:t>Los requisitos habilitantes constituyen los requ</w:t>
      </w:r>
      <w:r>
        <w:rPr>
          <w:rFonts w:ascii="Verdana" w:eastAsia="Calibri" w:hAnsi="Verdana" w:cs="Arial"/>
          <w:lang w:val="es-ES" w:eastAsia="es-MX"/>
        </w:rPr>
        <w:t>isi</w:t>
      </w:r>
      <w:r w:rsidRPr="001A4E79">
        <w:rPr>
          <w:rFonts w:ascii="Verdana" w:eastAsia="Calibri" w:hAnsi="Verdana" w:cs="Arial"/>
          <w:lang w:val="es-ES" w:eastAsia="es-MX"/>
        </w:rPr>
        <w:t>tos mínimos con los que deben cumplir los proponentes para poder participar en el procedimiento de selección, razón por la que los mismos no se valoran con un puntaje tendiente a determinar el orden de escogencia, sino que se analizan como criterios previos a la evaluación en sentido estricto</w:t>
      </w:r>
      <w:r w:rsidRPr="00C94107">
        <w:rPr>
          <w:rFonts w:ascii="Verdana" w:eastAsia="Calibri" w:hAnsi="Verdana" w:cs="Arial"/>
          <w:lang w:val="es-ES" w:eastAsia="es-MX"/>
        </w:rPr>
        <w:t>. De esta</w:t>
      </w:r>
      <w:r w:rsidRPr="001A4E79">
        <w:rPr>
          <w:rFonts w:ascii="Verdana" w:eastAsia="Calibri" w:hAnsi="Verdana" w:cs="Arial"/>
          <w:lang w:val="es-ES" w:eastAsia="es-MX"/>
        </w:rPr>
        <w:t xml:space="preserve"> manera</w:t>
      </w:r>
      <w:r w:rsidRPr="00C94107">
        <w:rPr>
          <w:rFonts w:ascii="Verdana" w:eastAsia="Calibri" w:hAnsi="Verdana" w:cs="Arial"/>
          <w:lang w:val="es-ES" w:eastAsia="es-MX"/>
        </w:rPr>
        <w:t>,</w:t>
      </w:r>
      <w:r w:rsidRPr="001A4E79">
        <w:rPr>
          <w:rFonts w:ascii="Verdana" w:eastAsia="Calibri" w:hAnsi="Verdana" w:cs="Arial"/>
          <w:lang w:val="es-ES" w:eastAsia="es-MX"/>
        </w:rPr>
        <w:t xml:space="preserve"> quienes no los reúnan no pueden continuar en el procedimiento de selección, es decir, incurren en causal de rechazo. </w:t>
      </w:r>
      <w:bookmarkEnd w:id="4"/>
      <w:r w:rsidRPr="001A4E79">
        <w:rPr>
          <w:rFonts w:ascii="Verdana" w:eastAsia="Calibri" w:hAnsi="Verdana" w:cs="Arial"/>
          <w:lang w:val="es-ES" w:eastAsia="es-MX"/>
        </w:rPr>
        <w:t>Esto</w:t>
      </w:r>
      <w:r w:rsidRPr="00C94107">
        <w:rPr>
          <w:rFonts w:ascii="Verdana" w:eastAsia="Calibri" w:hAnsi="Verdana" w:cs="Arial"/>
          <w:lang w:val="es-ES" w:eastAsia="es-MX"/>
        </w:rPr>
        <w:t>,</w:t>
      </w:r>
      <w:r w:rsidRPr="001A4E79">
        <w:rPr>
          <w:rFonts w:ascii="Verdana" w:eastAsia="Calibri" w:hAnsi="Verdana" w:cs="Arial"/>
          <w:lang w:val="es-ES" w:eastAsia="es-MX"/>
        </w:rPr>
        <w:t xml:space="preserve"> sin perjuicio del derecho que tienen los oferentes de subsanar los defectos que se presenten en la prueba de tales requisitos, de conformidad con el </w:t>
      </w:r>
      <w:bookmarkStart w:id="5" w:name="_Hlk191626971"/>
      <w:r w:rsidRPr="001A4E79">
        <w:rPr>
          <w:rFonts w:ascii="Verdana" w:eastAsia="Calibri" w:hAnsi="Verdana" w:cs="Arial"/>
          <w:lang w:val="es-ES" w:eastAsia="es-MX"/>
        </w:rPr>
        <w:t>artículo 5, parágrafos 1º al 4º, de la Ley 1150 de 2007</w:t>
      </w:r>
      <w:bookmarkEnd w:id="5"/>
      <w:r w:rsidRPr="001A4E79">
        <w:rPr>
          <w:rFonts w:ascii="Verdana" w:eastAsia="Calibri" w:hAnsi="Verdana" w:cs="Arial"/>
          <w:lang w:val="es-ES" w:eastAsia="es-MX"/>
        </w:rPr>
        <w:t>.</w:t>
      </w:r>
    </w:p>
    <w:p w14:paraId="653DF4A8" w14:textId="77777777" w:rsidR="00CF7DE9" w:rsidRPr="00C94107" w:rsidRDefault="00CF7DE9" w:rsidP="00A9272D">
      <w:pPr>
        <w:spacing w:after="120" w:line="276" w:lineRule="auto"/>
        <w:ind w:firstLine="709"/>
        <w:jc w:val="both"/>
        <w:rPr>
          <w:rFonts w:ascii="Verdana" w:hAnsi="Verdana" w:cs="Arial"/>
          <w:color w:val="000000" w:themeColor="text1"/>
          <w:lang w:val="es-ES_tradnl"/>
        </w:rPr>
      </w:pPr>
      <w:r w:rsidRPr="00C94107">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C94107">
        <w:rPr>
          <w:rFonts w:ascii="Verdana" w:hAnsi="Verdana" w:cs="Arial"/>
          <w:i/>
          <w:iCs/>
          <w:color w:val="000000" w:themeColor="text1"/>
          <w:lang w:val="es-ES_tradnl"/>
        </w:rPr>
        <w:t>.</w:t>
      </w:r>
      <w:r w:rsidRPr="00C94107">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14DFCB2B" w14:textId="77777777" w:rsidR="00CF7DE9" w:rsidRPr="0041694B" w:rsidRDefault="00CF7DE9" w:rsidP="00A9272D">
      <w:pPr>
        <w:spacing w:after="0" w:line="276" w:lineRule="auto"/>
        <w:ind w:firstLine="709"/>
        <w:jc w:val="both"/>
        <w:rPr>
          <w:rFonts w:ascii="Verdana" w:hAnsi="Verdana" w:cs="Arial"/>
          <w:bCs/>
          <w:lang w:val="es-ES" w:eastAsia="es-ES" w:bidi="es-ES"/>
        </w:rPr>
      </w:pPr>
      <w:r w:rsidRPr="0041694B">
        <w:rPr>
          <w:rFonts w:ascii="Verdana" w:hAnsi="Verdana" w:cs="Arial"/>
          <w:bCs/>
          <w:lang w:val="es-ES" w:eastAsia="es-ES" w:bidi="es-ES"/>
        </w:rPr>
        <w:t>Específicamente, el numeral 1º del artículo</w:t>
      </w:r>
      <w:r>
        <w:rPr>
          <w:rFonts w:ascii="Verdana" w:hAnsi="Verdana" w:cs="Arial"/>
          <w:bCs/>
          <w:lang w:val="es-ES" w:eastAsia="es-ES" w:bidi="es-ES"/>
        </w:rPr>
        <w:t xml:space="preserve"> 5 de la Ley 1150 de 2007 </w:t>
      </w:r>
      <w:r w:rsidRPr="0041694B">
        <w:rPr>
          <w:rFonts w:ascii="Verdana" w:hAnsi="Verdana" w:cs="Arial"/>
          <w:bCs/>
          <w:lang w:val="es-ES" w:eastAsia="es-ES" w:bidi="es-ES"/>
        </w:rPr>
        <w:t>establece que</w:t>
      </w:r>
      <w:r w:rsidRPr="00C94107">
        <w:rPr>
          <w:rFonts w:ascii="Verdana" w:hAnsi="Verdana" w:cs="Arial"/>
          <w:bCs/>
          <w:lang w:val="es-ES" w:eastAsia="es-ES" w:bidi="es-ES"/>
        </w:rPr>
        <w:t>,</w:t>
      </w:r>
      <w:r w:rsidRPr="0041694B">
        <w:rPr>
          <w:rFonts w:ascii="Verdana" w:hAnsi="Verdana" w:cs="Arial"/>
          <w:bCs/>
          <w:lang w:val="es-ES" w:eastAsia="es-ES" w:bidi="es-ES"/>
        </w:rPr>
        <w:t xml:space="preserve"> en los procesos de selección de contratistas</w:t>
      </w:r>
      <w:r w:rsidRPr="00C94107">
        <w:rPr>
          <w:rFonts w:ascii="Verdana" w:hAnsi="Verdana" w:cs="Arial"/>
          <w:bCs/>
          <w:lang w:val="es-ES" w:eastAsia="es-ES" w:bidi="es-ES"/>
        </w:rPr>
        <w:t>,</w:t>
      </w:r>
      <w:r w:rsidRPr="0041694B">
        <w:rPr>
          <w:rFonts w:ascii="Verdana" w:hAnsi="Verdana" w:cs="Arial"/>
          <w:bCs/>
          <w:lang w:val="es-ES" w:eastAsia="es-ES" w:bidi="es-ES"/>
        </w:rPr>
        <w:t xml:space="preserve"> serán objeto de verificación, como requisitos habilitantes, </w:t>
      </w:r>
      <w:r w:rsidRPr="0041694B">
        <w:rPr>
          <w:rFonts w:ascii="Verdana" w:hAnsi="Verdana" w:cs="Arial"/>
          <w:bCs/>
          <w:i/>
          <w:iCs/>
          <w:lang w:val="es-ES" w:eastAsia="es-ES" w:bidi="es-ES"/>
        </w:rPr>
        <w:t>entre otros</w:t>
      </w:r>
      <w:r w:rsidRPr="0041694B">
        <w:rPr>
          <w:rFonts w:ascii="Verdana" w:hAnsi="Verdana" w:cs="Arial"/>
          <w:bCs/>
          <w:lang w:val="es-ES" w:eastAsia="es-ES" w:bidi="es-ES"/>
        </w:rPr>
        <w:t xml:space="preserve">, los siguientes: </w:t>
      </w:r>
      <w:r>
        <w:rPr>
          <w:rFonts w:ascii="Verdana" w:hAnsi="Verdana" w:cs="Arial"/>
          <w:bCs/>
          <w:lang w:val="es-ES" w:eastAsia="es-ES" w:bidi="es-ES"/>
        </w:rPr>
        <w:t>(</w:t>
      </w:r>
      <w:r w:rsidRPr="0041694B">
        <w:rPr>
          <w:rFonts w:ascii="Verdana" w:hAnsi="Verdana" w:cs="Arial"/>
          <w:bCs/>
          <w:lang w:val="es-ES" w:eastAsia="es-ES" w:bidi="es-ES"/>
        </w:rPr>
        <w:t xml:space="preserve">i) la capacidad jurídica; </w:t>
      </w:r>
      <w:r>
        <w:rPr>
          <w:rFonts w:ascii="Verdana" w:hAnsi="Verdana" w:cs="Arial"/>
          <w:bCs/>
          <w:lang w:val="es-ES" w:eastAsia="es-ES" w:bidi="es-ES"/>
        </w:rPr>
        <w:t>(</w:t>
      </w:r>
      <w:proofErr w:type="spellStart"/>
      <w:r w:rsidRPr="0041694B">
        <w:rPr>
          <w:rFonts w:ascii="Verdana" w:hAnsi="Verdana" w:cs="Arial"/>
          <w:bCs/>
          <w:lang w:val="es-ES" w:eastAsia="es-ES" w:bidi="es-ES"/>
        </w:rPr>
        <w:t>ii</w:t>
      </w:r>
      <w:proofErr w:type="spellEnd"/>
      <w:r w:rsidRPr="0041694B">
        <w:rPr>
          <w:rFonts w:ascii="Verdana" w:hAnsi="Verdana" w:cs="Arial"/>
          <w:bCs/>
          <w:lang w:val="es-ES" w:eastAsia="es-ES" w:bidi="es-ES"/>
        </w:rPr>
        <w:t xml:space="preserve">) la experiencia; </w:t>
      </w:r>
      <w:r>
        <w:rPr>
          <w:rFonts w:ascii="Verdana" w:hAnsi="Verdana" w:cs="Arial"/>
          <w:bCs/>
          <w:lang w:val="es-ES" w:eastAsia="es-ES" w:bidi="es-ES"/>
        </w:rPr>
        <w:t>(</w:t>
      </w:r>
      <w:proofErr w:type="spellStart"/>
      <w:r w:rsidRPr="0041694B">
        <w:rPr>
          <w:rFonts w:ascii="Verdana" w:hAnsi="Verdana" w:cs="Arial"/>
          <w:bCs/>
          <w:lang w:val="es-ES" w:eastAsia="es-ES" w:bidi="es-ES"/>
        </w:rPr>
        <w:t>iii</w:t>
      </w:r>
      <w:proofErr w:type="spellEnd"/>
      <w:r w:rsidRPr="0041694B">
        <w:rPr>
          <w:rFonts w:ascii="Verdana" w:hAnsi="Verdana" w:cs="Arial"/>
          <w:bCs/>
          <w:lang w:val="es-ES" w:eastAsia="es-ES" w:bidi="es-ES"/>
        </w:rPr>
        <w:t xml:space="preserve">) la capacidad financiera y </w:t>
      </w:r>
      <w:r>
        <w:rPr>
          <w:rFonts w:ascii="Verdana" w:hAnsi="Verdana" w:cs="Arial"/>
          <w:bCs/>
          <w:lang w:val="es-ES" w:eastAsia="es-ES" w:bidi="es-ES"/>
        </w:rPr>
        <w:t>(</w:t>
      </w:r>
      <w:proofErr w:type="spellStart"/>
      <w:r w:rsidRPr="0041694B">
        <w:rPr>
          <w:rFonts w:ascii="Verdana" w:hAnsi="Verdana" w:cs="Arial"/>
          <w:bCs/>
          <w:lang w:val="es-ES" w:eastAsia="es-ES" w:bidi="es-ES"/>
        </w:rPr>
        <w:t>iv</w:t>
      </w:r>
      <w:proofErr w:type="spellEnd"/>
      <w:r w:rsidRPr="0041694B">
        <w:rPr>
          <w:rFonts w:ascii="Verdana" w:hAnsi="Verdana" w:cs="Arial"/>
          <w:bCs/>
          <w:lang w:val="es-ES" w:eastAsia="es-ES" w:bidi="es-ES"/>
        </w:rPr>
        <w:t>) la capacidad de organización. En efecto, la normati</w:t>
      </w:r>
      <w:r>
        <w:rPr>
          <w:rFonts w:ascii="Verdana" w:hAnsi="Verdana" w:cs="Arial"/>
          <w:bCs/>
          <w:lang w:val="es-ES" w:eastAsia="es-ES" w:bidi="es-ES"/>
        </w:rPr>
        <w:t>va citada prescribe</w:t>
      </w:r>
      <w:r w:rsidRPr="0041694B">
        <w:rPr>
          <w:rFonts w:ascii="Verdana" w:hAnsi="Verdana" w:cs="Arial"/>
          <w:bCs/>
          <w:lang w:val="es-ES" w:eastAsia="es-ES" w:bidi="es-ES"/>
        </w:rPr>
        <w:t>:</w:t>
      </w:r>
    </w:p>
    <w:p w14:paraId="6881E6F1" w14:textId="77777777" w:rsidR="00CF7DE9" w:rsidRPr="00C94107" w:rsidRDefault="00CF7DE9" w:rsidP="000258F9">
      <w:pPr>
        <w:spacing w:after="0" w:line="240" w:lineRule="auto"/>
        <w:ind w:firstLine="709"/>
        <w:jc w:val="both"/>
        <w:rPr>
          <w:rFonts w:ascii="Verdana" w:hAnsi="Verdana" w:cs="Arial"/>
          <w:bCs/>
          <w:lang w:val="es-ES" w:eastAsia="es-ES" w:bidi="es-ES"/>
        </w:rPr>
      </w:pPr>
    </w:p>
    <w:p w14:paraId="5A859FD7" w14:textId="77777777" w:rsidR="00CF7DE9" w:rsidRPr="00810146" w:rsidRDefault="00CF7DE9" w:rsidP="000258F9">
      <w:pPr>
        <w:spacing w:after="0" w:line="240" w:lineRule="auto"/>
        <w:ind w:left="709" w:right="709" w:firstLine="709"/>
        <w:jc w:val="both"/>
        <w:rPr>
          <w:rFonts w:ascii="Verdana" w:hAnsi="Verdana" w:cs="Arial"/>
          <w:sz w:val="20"/>
          <w:szCs w:val="20"/>
          <w:lang w:val="es-ES_tradnl" w:eastAsia="es-ES" w:bidi="es-ES"/>
        </w:rPr>
      </w:pPr>
      <w:r w:rsidRPr="00810146">
        <w:rPr>
          <w:rFonts w:ascii="Verdana" w:hAnsi="Verdana" w:cs="Arial"/>
          <w:i/>
          <w:sz w:val="20"/>
          <w:szCs w:val="20"/>
          <w:lang w:val="es-ES_tradnl" w:eastAsia="es-ES" w:bidi="es-ES"/>
        </w:rPr>
        <w:t>“</w:t>
      </w:r>
      <w:r w:rsidRPr="00810146">
        <w:rPr>
          <w:rFonts w:ascii="Verdana" w:hAnsi="Verdana" w:cs="Arial"/>
          <w:sz w:val="20"/>
          <w:szCs w:val="20"/>
          <w:lang w:val="es-ES_tradnl" w:eastAsia="es-ES" w:bidi="es-ES"/>
        </w:rPr>
        <w:t xml:space="preserve">Artículo 5. De la Selección Objetiva. </w:t>
      </w:r>
    </w:p>
    <w:p w14:paraId="5351D159" w14:textId="77777777" w:rsidR="00CF7DE9" w:rsidRPr="00810146" w:rsidRDefault="00CF7DE9" w:rsidP="000258F9">
      <w:pPr>
        <w:spacing w:after="0" w:line="240" w:lineRule="auto"/>
        <w:ind w:left="709" w:right="709" w:firstLine="709"/>
        <w:jc w:val="both"/>
        <w:rPr>
          <w:rFonts w:ascii="Verdana" w:hAnsi="Verdana" w:cs="Arial"/>
          <w:sz w:val="20"/>
          <w:szCs w:val="20"/>
          <w:lang w:val="es-ES_tradnl" w:eastAsia="es-ES" w:bidi="es-ES"/>
        </w:rPr>
      </w:pPr>
      <w:r w:rsidRPr="00810146">
        <w:rPr>
          <w:rFonts w:ascii="Verdana" w:hAnsi="Verdana" w:cs="Arial"/>
          <w:sz w:val="20"/>
          <w:szCs w:val="20"/>
          <w:lang w:val="es-ES_tradnl" w:eastAsia="es-ES" w:bidi="es-ES"/>
        </w:rPr>
        <w:t>[…]</w:t>
      </w:r>
    </w:p>
    <w:p w14:paraId="04D91FCC" w14:textId="77777777" w:rsidR="00CF7DE9" w:rsidRPr="00810146" w:rsidRDefault="00CF7DE9" w:rsidP="000258F9">
      <w:pPr>
        <w:spacing w:after="0" w:line="240" w:lineRule="auto"/>
        <w:ind w:left="709" w:right="709" w:firstLine="709"/>
        <w:jc w:val="both"/>
        <w:rPr>
          <w:rFonts w:ascii="Verdana" w:hAnsi="Verdana" w:cs="Arial"/>
          <w:sz w:val="20"/>
          <w:szCs w:val="20"/>
          <w:lang w:val="es-ES" w:eastAsia="es-ES" w:bidi="es-ES"/>
        </w:rPr>
      </w:pPr>
      <w:r w:rsidRPr="00810146">
        <w:rPr>
          <w:rFonts w:ascii="Verdana" w:hAnsi="Verdana" w:cs="Arial"/>
          <w:sz w:val="20"/>
          <w:szCs w:val="20"/>
          <w:lang w:val="es-ES" w:eastAsia="es-ES" w:bidi="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18A58E22" w14:textId="77777777" w:rsidR="00CF7DE9" w:rsidRPr="00810146" w:rsidRDefault="00CF7DE9" w:rsidP="00A9272D">
      <w:pPr>
        <w:spacing w:after="0" w:line="276" w:lineRule="auto"/>
        <w:ind w:right="709" w:firstLine="709"/>
        <w:jc w:val="both"/>
        <w:rPr>
          <w:rFonts w:ascii="Verdana" w:hAnsi="Verdana" w:cs="Arial"/>
          <w:lang w:val="es-ES" w:eastAsia="es-ES" w:bidi="es-ES"/>
        </w:rPr>
      </w:pPr>
    </w:p>
    <w:p w14:paraId="224A6A99" w14:textId="77777777" w:rsidR="00CF7DE9" w:rsidRPr="001A4E79" w:rsidRDefault="00CF7DE9" w:rsidP="00A9272D">
      <w:pPr>
        <w:spacing w:after="120" w:line="276" w:lineRule="auto"/>
        <w:ind w:firstLine="709"/>
        <w:jc w:val="both"/>
        <w:rPr>
          <w:rFonts w:ascii="Verdana" w:eastAsia="Times New Roman" w:hAnsi="Verdana" w:cs="Arial"/>
          <w:highlight w:val="cyan"/>
          <w:lang w:val="es-ES_tradnl" w:eastAsia="es-MX"/>
        </w:rPr>
      </w:pPr>
      <w:bookmarkStart w:id="6" w:name="_Hlk99547809"/>
      <w:bookmarkStart w:id="7" w:name="_Hlk99546625"/>
      <w:r w:rsidRPr="001A4E79">
        <w:rPr>
          <w:rFonts w:ascii="Verdana" w:eastAsia="Times New Roman" w:hAnsi="Verdana" w:cs="Arial"/>
          <w:lang w:val="es-ES_tradnl" w:eastAsia="es-MX"/>
        </w:rPr>
        <w:t>La Agencia Nacional de Contratación Pública</w:t>
      </w:r>
      <w:r>
        <w:rPr>
          <w:rFonts w:ascii="Verdana" w:eastAsia="Times New Roman" w:hAnsi="Verdana" w:cs="Arial"/>
          <w:lang w:val="es-ES_tradnl" w:eastAsia="es-MX"/>
        </w:rPr>
        <w:t xml:space="preserve"> – Colombia Compra Eficiente</w:t>
      </w:r>
      <w:r w:rsidRPr="001A4E79">
        <w:rPr>
          <w:rFonts w:ascii="Verdana" w:eastAsia="Times New Roman" w:hAnsi="Verdana" w:cs="Arial"/>
          <w:lang w:val="es-ES_tradnl" w:eastAsia="es-MX"/>
        </w:rPr>
        <w:t xml:space="preserve"> ha defendido el carácter </w:t>
      </w:r>
      <w:bookmarkStart w:id="8" w:name="_Hlk99547799"/>
      <w:r w:rsidRPr="001A4E79">
        <w:rPr>
          <w:rFonts w:ascii="Verdana" w:eastAsia="Times New Roman" w:hAnsi="Verdana" w:cs="Arial"/>
          <w:lang w:val="es-ES_tradnl" w:eastAsia="es-MX"/>
        </w:rPr>
        <w:t xml:space="preserve">enunciativo del listado de los requisitos habilitantes contenidos en el numeral 1 del artículo 5 de la Ley 1150 de 2007, en la medida en que </w:t>
      </w:r>
      <w:r>
        <w:rPr>
          <w:rFonts w:ascii="Verdana" w:eastAsia="Times New Roman" w:hAnsi="Verdana" w:cs="Arial"/>
          <w:lang w:val="es-ES_tradnl" w:eastAsia="es-MX"/>
        </w:rPr>
        <w:t xml:space="preserve">la mencionada </w:t>
      </w:r>
      <w:r w:rsidRPr="001A4E79">
        <w:rPr>
          <w:rFonts w:ascii="Verdana" w:eastAsia="Times New Roman" w:hAnsi="Verdana" w:cs="Arial"/>
          <w:lang w:val="es-ES_tradnl" w:eastAsia="es-MX"/>
        </w:rPr>
        <w:t xml:space="preserve">disposición, al referirse a los requisitos habilitantes, no contiene una expresión como </w:t>
      </w:r>
      <w:r>
        <w:rPr>
          <w:rFonts w:ascii="Verdana" w:eastAsia="Times New Roman" w:hAnsi="Verdana" w:cs="Arial"/>
          <w:lang w:val="es-ES_tradnl" w:eastAsia="es-MX"/>
        </w:rPr>
        <w:t>“</w:t>
      </w:r>
      <w:r w:rsidRPr="001A4E79">
        <w:rPr>
          <w:rFonts w:ascii="Verdana" w:eastAsia="Times New Roman" w:hAnsi="Verdana" w:cs="Arial"/>
          <w:lang w:val="es-ES_tradnl" w:eastAsia="es-MX"/>
        </w:rPr>
        <w:t>únicamente</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o </w:t>
      </w:r>
      <w:r>
        <w:rPr>
          <w:rFonts w:ascii="Verdana" w:eastAsia="Times New Roman" w:hAnsi="Verdana" w:cs="Arial"/>
          <w:lang w:val="es-ES_tradnl" w:eastAsia="es-MX"/>
        </w:rPr>
        <w:t>“</w:t>
      </w:r>
      <w:r w:rsidRPr="001A4E79">
        <w:rPr>
          <w:rFonts w:ascii="Verdana" w:eastAsia="Times New Roman" w:hAnsi="Verdana" w:cs="Arial"/>
          <w:lang w:val="es-ES_tradnl" w:eastAsia="es-MX"/>
        </w:rPr>
        <w:t>solo</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de la que pueda colegirse la taxatividad de los requisitos </w:t>
      </w:r>
      <w:r w:rsidRPr="00C94107">
        <w:rPr>
          <w:rFonts w:ascii="Verdana" w:eastAsia="Times New Roman" w:hAnsi="Verdana" w:cs="Arial"/>
          <w:lang w:val="es-ES_tradnl" w:eastAsia="es-MX"/>
        </w:rPr>
        <w:t>señalados.</w:t>
      </w:r>
      <w:r w:rsidRPr="001A4E79">
        <w:rPr>
          <w:rFonts w:ascii="Verdana" w:eastAsia="Times New Roman" w:hAnsi="Verdana" w:cs="Arial"/>
          <w:lang w:val="es-ES_tradnl" w:eastAsia="es-MX"/>
        </w:rPr>
        <w:t xml:space="preserve"> </w:t>
      </w:r>
      <w:bookmarkEnd w:id="6"/>
      <w:bookmarkEnd w:id="8"/>
      <w:r w:rsidRPr="001A4E79">
        <w:rPr>
          <w:rFonts w:ascii="Verdana" w:eastAsia="Times New Roman" w:hAnsi="Verdana" w:cs="Arial"/>
          <w:lang w:val="es-ES_tradnl" w:eastAsia="es-MX"/>
        </w:rPr>
        <w:t xml:space="preserve">Esta conclusión además se apoya en una la lectura integral de las normas que regulan la contratación estatal, en virtud de la cual es posible evidenciar que existen otras condiciones que deben cumplirse para la contratación con Entidades </w:t>
      </w:r>
      <w:r>
        <w:rPr>
          <w:rFonts w:ascii="Verdana" w:eastAsia="Times New Roman" w:hAnsi="Verdana" w:cs="Arial"/>
          <w:lang w:val="es-ES_tradnl" w:eastAsia="es-MX"/>
        </w:rPr>
        <w:t>Estatales</w:t>
      </w:r>
      <w:r w:rsidRPr="001A4E79">
        <w:rPr>
          <w:rFonts w:ascii="Verdana" w:eastAsia="Times New Roman" w:hAnsi="Verdana" w:cs="Arial"/>
          <w:lang w:val="es-ES_tradnl" w:eastAsia="es-MX"/>
        </w:rPr>
        <w:t>, de las que derivan requisitos habilitantes, como sucede, por ejemplo, con la capacidad residual a la que se refiere el artículo 6º, parágrafo 1, de la Ley 1150 de 2007</w:t>
      </w:r>
      <w:bookmarkEnd w:id="7"/>
      <w:r w:rsidRPr="001A4E79">
        <w:rPr>
          <w:rFonts w:ascii="Verdana" w:eastAsia="Times New Roman" w:hAnsi="Verdana" w:cs="Arial"/>
          <w:vertAlign w:val="superscript"/>
          <w:lang w:val="es-ES_tradnl" w:eastAsia="es-MX"/>
        </w:rPr>
        <w:footnoteReference w:id="2"/>
      </w:r>
      <w:r w:rsidRPr="001A4E79">
        <w:rPr>
          <w:rFonts w:ascii="Verdana" w:eastAsia="Times New Roman" w:hAnsi="Verdana" w:cs="Arial"/>
          <w:lang w:val="es-ES_tradnl" w:eastAsia="es-MX"/>
        </w:rPr>
        <w:t xml:space="preserve">. </w:t>
      </w:r>
    </w:p>
    <w:p w14:paraId="1BE8248F" w14:textId="77777777" w:rsidR="00CF7DE9" w:rsidRPr="00C94107" w:rsidRDefault="00CF7DE9" w:rsidP="00A9272D">
      <w:pPr>
        <w:spacing w:after="120" w:line="276" w:lineRule="auto"/>
        <w:ind w:firstLine="709"/>
        <w:jc w:val="both"/>
        <w:rPr>
          <w:rFonts w:ascii="Verdana" w:hAnsi="Verdana" w:cs="Arial"/>
          <w:bCs/>
          <w:lang w:val="es-ES" w:eastAsia="es-ES" w:bidi="es-ES"/>
        </w:rPr>
      </w:pPr>
      <w:r w:rsidRPr="001A4E79">
        <w:rPr>
          <w:rFonts w:ascii="Verdana" w:eastAsia="Times New Roman" w:hAnsi="Verdana" w:cs="Arial"/>
          <w:lang w:val="es-ES" w:eastAsia="es-MX"/>
        </w:rPr>
        <w:t xml:space="preserve">Por otro lado, </w:t>
      </w:r>
      <w:r>
        <w:rPr>
          <w:rFonts w:ascii="Verdana" w:hAnsi="Verdana" w:cs="Arial"/>
          <w:bCs/>
          <w:lang w:val="es-ES" w:eastAsia="es-ES" w:bidi="es-ES"/>
        </w:rPr>
        <w:t>e</w:t>
      </w:r>
      <w:r w:rsidRPr="0041694B">
        <w:rPr>
          <w:rFonts w:ascii="Verdana" w:hAnsi="Verdana" w:cs="Arial"/>
          <w:bCs/>
          <w:lang w:val="es-ES" w:eastAsia="es-ES" w:bidi="es-ES"/>
        </w:rPr>
        <w:t>l artículo</w:t>
      </w:r>
      <w:r>
        <w:rPr>
          <w:rFonts w:ascii="Verdana" w:hAnsi="Verdana" w:cs="Arial"/>
          <w:bCs/>
          <w:lang w:val="es-ES" w:eastAsia="es-ES" w:bidi="es-ES"/>
        </w:rPr>
        <w:t xml:space="preserve"> 5 de la Ley 1150 de 2007</w:t>
      </w:r>
      <w:r w:rsidRPr="0041694B">
        <w:rPr>
          <w:rFonts w:ascii="Verdana" w:hAnsi="Verdana" w:cs="Arial"/>
          <w:bCs/>
          <w:lang w:val="es-ES" w:eastAsia="es-ES" w:bidi="es-ES"/>
        </w:rPr>
        <w:t xml:space="preserve">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w:t>
      </w:r>
      <w:r w:rsidRPr="00C94107">
        <w:rPr>
          <w:rFonts w:ascii="Verdana" w:hAnsi="Verdana" w:cs="Arial"/>
          <w:bCs/>
          <w:lang w:val="es-ES" w:eastAsia="es-ES" w:bidi="es-ES"/>
        </w:rPr>
        <w:t>Entidades</w:t>
      </w:r>
      <w:r w:rsidRPr="0041694B">
        <w:rPr>
          <w:rFonts w:ascii="Verdana" w:hAnsi="Verdana" w:cs="Arial"/>
          <w:bCs/>
          <w:lang w:val="es-ES" w:eastAsia="es-ES" w:bidi="es-ES"/>
        </w:rPr>
        <w:t xml:space="preserve"> en los pliegos de condiciones o sus documentos equivalentes deberán tener en cuenta, entre otras cuestiones, </w:t>
      </w:r>
      <w:r>
        <w:rPr>
          <w:rFonts w:ascii="Verdana" w:hAnsi="Verdana" w:cs="Arial"/>
          <w:bCs/>
          <w:lang w:val="es-ES" w:eastAsia="es-ES" w:bidi="es-ES"/>
        </w:rPr>
        <w:t xml:space="preserve">el deber de selección objetiva, según </w:t>
      </w:r>
      <w:r w:rsidRPr="0041694B">
        <w:rPr>
          <w:rFonts w:ascii="Verdana" w:hAnsi="Verdana" w:cs="Arial"/>
          <w:bCs/>
          <w:lang w:val="es-ES" w:eastAsia="es-ES" w:bidi="es-ES"/>
        </w:rPr>
        <w:t xml:space="preserve">los criterios establecidos en dicha disposición. </w:t>
      </w:r>
    </w:p>
    <w:p w14:paraId="33CF4589" w14:textId="77777777" w:rsidR="00CF7DE9" w:rsidRDefault="00CF7DE9" w:rsidP="00A9272D">
      <w:pPr>
        <w:spacing w:after="120" w:line="276" w:lineRule="auto"/>
        <w:ind w:firstLine="709"/>
        <w:jc w:val="both"/>
        <w:rPr>
          <w:rFonts w:ascii="Verdana" w:hAnsi="Verdana" w:cs="Arial"/>
          <w:bCs/>
          <w:lang w:val="es-ES" w:eastAsia="es-ES" w:bidi="es-ES"/>
        </w:rPr>
      </w:pPr>
      <w:r>
        <w:rPr>
          <w:rFonts w:ascii="Verdana" w:hAnsi="Verdana" w:cs="Arial"/>
          <w:bCs/>
          <w:lang w:val="es-ES" w:eastAsia="es-ES" w:bidi="es-ES"/>
        </w:rPr>
        <w:t xml:space="preserve">En especial, señala la Ley que los criterios habilitantes que determine la </w:t>
      </w:r>
      <w:r w:rsidRPr="00C94107">
        <w:rPr>
          <w:rFonts w:ascii="Verdana" w:hAnsi="Verdana" w:cs="Arial"/>
          <w:bCs/>
          <w:lang w:val="es-ES" w:eastAsia="es-ES" w:bidi="es-ES"/>
        </w:rPr>
        <w:t>Entidad</w:t>
      </w:r>
      <w:r>
        <w:rPr>
          <w:rFonts w:ascii="Verdana" w:hAnsi="Verdana" w:cs="Arial"/>
          <w:bCs/>
          <w:lang w:val="es-ES" w:eastAsia="es-ES" w:bidi="es-ES"/>
        </w:rPr>
        <w:t xml:space="preserve"> </w:t>
      </w:r>
      <w:r w:rsidRPr="00266285">
        <w:rPr>
          <w:rFonts w:ascii="Verdana" w:hAnsi="Verdana" w:cs="Arial"/>
          <w:bCs/>
          <w:lang w:val="es-ES" w:eastAsia="es-ES" w:bidi="es-ES"/>
        </w:rPr>
        <w:t xml:space="preserve">deberán ser </w:t>
      </w:r>
      <w:r w:rsidRPr="00266285">
        <w:rPr>
          <w:rFonts w:ascii="Verdana" w:hAnsi="Verdana" w:cs="Arial"/>
          <w:bCs/>
          <w:i/>
          <w:iCs/>
          <w:lang w:val="es-ES" w:eastAsia="es-ES" w:bidi="es-ES"/>
        </w:rPr>
        <w:t>adecuados y proporcionales</w:t>
      </w:r>
      <w:r w:rsidRPr="00266285">
        <w:rPr>
          <w:rFonts w:ascii="Verdana" w:hAnsi="Verdana" w:cs="Arial"/>
          <w:bCs/>
          <w:lang w:val="es-ES" w:eastAsia="es-ES" w:bidi="es-ES"/>
        </w:rPr>
        <w:t xml:space="preserve">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31AB6C77" w14:textId="77777777" w:rsidR="00CF7DE9" w:rsidRPr="00577103" w:rsidRDefault="00CF7DE9" w:rsidP="00A9272D">
      <w:pPr>
        <w:spacing w:before="120" w:after="120" w:line="276" w:lineRule="auto"/>
        <w:ind w:firstLine="709"/>
        <w:jc w:val="both"/>
        <w:rPr>
          <w:rFonts w:ascii="Verdana" w:eastAsia="Times New Roman" w:hAnsi="Verdana" w:cs="Arial"/>
          <w:lang w:val="es-ES" w:eastAsia="es-MX"/>
        </w:rPr>
      </w:pPr>
      <w:r w:rsidRPr="00577103">
        <w:rPr>
          <w:rFonts w:ascii="Verdana" w:eastAsia="Times New Roman" w:hAnsi="Verdana" w:cs="Arial"/>
          <w:lang w:val="es-ES" w:eastAsia="es-MX"/>
        </w:rPr>
        <w:t xml:space="preserve">En línea con lo anterior, el </w:t>
      </w:r>
      <w:bookmarkStart w:id="9" w:name="_Hlk191627190"/>
      <w:r w:rsidRPr="00577103">
        <w:rPr>
          <w:rFonts w:ascii="Verdana" w:eastAsia="Times New Roman" w:hAnsi="Verdana" w:cs="Arial"/>
          <w:lang w:val="es-ES" w:eastAsia="es-MX"/>
        </w:rPr>
        <w:t>“Manual para determinar y verificar los requisitos habilitantes en los Procesos de Contratación</w:t>
      </w:r>
      <w:bookmarkEnd w:id="9"/>
      <w:r w:rsidRPr="00577103">
        <w:rPr>
          <w:rFonts w:ascii="Verdana" w:eastAsia="Times New Roman" w:hAnsi="Verdana" w:cs="Arial"/>
          <w:lang w:val="es-ES" w:eastAsia="es-MX"/>
        </w:rPr>
        <w:t>”</w:t>
      </w:r>
      <w:r w:rsidRPr="00577103">
        <w:rPr>
          <w:rStyle w:val="Refdenotaalpie"/>
          <w:rFonts w:ascii="Verdana" w:eastAsia="Times New Roman" w:hAnsi="Verdana" w:cs="Arial"/>
          <w:lang w:val="es-ES" w:eastAsia="es-MX"/>
        </w:rPr>
        <w:footnoteReference w:id="3"/>
      </w:r>
      <w:r w:rsidRPr="00577103">
        <w:rPr>
          <w:rFonts w:ascii="Verdana" w:eastAsia="Calibri" w:hAnsi="Verdana" w:cs="Arial"/>
          <w:lang w:val="es-ES" w:eastAsia="es-MX"/>
        </w:rPr>
        <w:t>,</w:t>
      </w:r>
      <w:r w:rsidRPr="00577103">
        <w:rPr>
          <w:rFonts w:ascii="Verdana" w:eastAsia="Times New Roman" w:hAnsi="Verdana" w:cs="Arial"/>
          <w:lang w:val="es-ES" w:eastAsia="es-MX"/>
        </w:rPr>
        <w:t xml:space="preserve"> expedido por la </w:t>
      </w:r>
      <w:r w:rsidRPr="00577103">
        <w:rPr>
          <w:rFonts w:ascii="Verdana" w:eastAsia="Calibri" w:hAnsi="Verdana" w:cs="Arial"/>
          <w:lang w:val="es-ES" w:eastAsia="es-MX"/>
        </w:rPr>
        <w:t>Agencia Nacional de Contratación Pública – Colombia Compra Eficiente,</w:t>
      </w:r>
      <w:r w:rsidRPr="00577103">
        <w:rPr>
          <w:rFonts w:ascii="Verdana" w:eastAsia="Times New Roman" w:hAnsi="Verdana" w:cs="Arial"/>
          <w:lang w:val="es-ES" w:eastAsia="es-MX"/>
        </w:rPr>
        <w:t xml:space="preserve"> </w:t>
      </w:r>
      <w:r w:rsidRPr="00577103">
        <w:rPr>
          <w:rFonts w:ascii="Verdana" w:eastAsia="Times New Roman" w:hAnsi="Verdana" w:cs="Arial"/>
          <w:lang w:val="es-ES" w:eastAsia="es-MX"/>
        </w:rPr>
        <w:lastRenderedPageBreak/>
        <w:t>determinó los parámetros para establecer, acreditar y subsanar los requisitos habilitantes. Al respecto, precisa que estos tienen como fin primordial medir “</w:t>
      </w:r>
      <w:bookmarkStart w:id="10" w:name="_Hlk191627260"/>
      <w:r w:rsidRPr="00577103">
        <w:rPr>
          <w:rFonts w:ascii="Verdana" w:eastAsia="Times New Roman" w:hAnsi="Verdana" w:cs="Arial"/>
          <w:lang w:val="es-ES" w:eastAsia="es-MX"/>
        </w:rPr>
        <w:t xml:space="preserve">la aptitud del proponente para participar en un Proceso de Contratación como oferente y están referidos a su capacidad jurídica, financiera, organizacional y su experiencia”. </w:t>
      </w:r>
      <w:bookmarkEnd w:id="10"/>
      <w:r w:rsidRPr="00577103">
        <w:rPr>
          <w:rFonts w:ascii="Verdana" w:eastAsia="Times New Roman" w:hAnsi="Verdana" w:cs="Arial"/>
          <w:lang w:val="es-ES" w:eastAsia="es-MX"/>
        </w:rPr>
        <w:t xml:space="preserve">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186CE6F4" w14:textId="77777777" w:rsidR="00CF7DE9" w:rsidRPr="001A4E79" w:rsidRDefault="00CF7DE9" w:rsidP="00A9272D">
      <w:pPr>
        <w:spacing w:before="120" w:after="120" w:line="276" w:lineRule="auto"/>
        <w:ind w:firstLine="709"/>
        <w:jc w:val="both"/>
        <w:rPr>
          <w:rFonts w:ascii="Verdana" w:eastAsia="Times New Roman" w:hAnsi="Verdana" w:cs="Arial"/>
          <w:lang w:val="es-ES" w:eastAsia="es-MX"/>
        </w:rPr>
      </w:pPr>
      <w:r w:rsidRPr="001A4E79">
        <w:rPr>
          <w:rFonts w:ascii="Verdana" w:eastAsia="Times New Roman" w:hAnsi="Verdana" w:cs="Arial"/>
          <w:lang w:val="es-ES" w:eastAsia="es-MX"/>
        </w:rPr>
        <w:t xml:space="preserve">Así las cosas, al tratarse de condiciones mínimas, significa que </w:t>
      </w:r>
      <w:bookmarkStart w:id="11" w:name="_Hlk191627287"/>
      <w:r w:rsidRPr="001A4E79">
        <w:rPr>
          <w:rFonts w:ascii="Verdana" w:eastAsia="Times New Roman" w:hAnsi="Verdana" w:cs="Arial"/>
          <w:lang w:val="es-ES" w:eastAsia="es-MX"/>
        </w:rPr>
        <w:t xml:space="preserve">las </w:t>
      </w:r>
      <w:r w:rsidRPr="00C94107">
        <w:rPr>
          <w:rFonts w:ascii="Verdana" w:eastAsia="Times New Roman" w:hAnsi="Verdana" w:cs="Arial"/>
          <w:lang w:val="es-ES" w:eastAsia="es-MX"/>
        </w:rPr>
        <w:t>Entidades</w:t>
      </w:r>
      <w:r w:rsidRPr="001A4E79">
        <w:rPr>
          <w:rFonts w:ascii="Verdana" w:eastAsia="Times New Roman" w:hAnsi="Verdana" w:cs="Arial"/>
          <w:lang w:val="es-ES" w:eastAsia="es-MX"/>
        </w:rPr>
        <w:t xml:space="preserve"> podrían establecer otras, según su autonomía de la voluntad, y teniendo en cuenta el objeto del contrato, los riesgos detectados en los estudios previos, el presupuesto oficial, entre otros factores.</w:t>
      </w:r>
      <w:r>
        <w:rPr>
          <w:rFonts w:ascii="Verdana" w:eastAsia="Times New Roman" w:hAnsi="Verdana" w:cs="Arial"/>
          <w:lang w:val="es-ES" w:eastAsia="es-MX"/>
        </w:rPr>
        <w:t xml:space="preserve"> Sin embargo, esto no implica que las Entidades puedan establecer cualquier tipo de requisitos, pues su exigencia debe en todo caso ser </w:t>
      </w:r>
      <w:r w:rsidRPr="00810146">
        <w:rPr>
          <w:rFonts w:ascii="Verdana" w:eastAsia="Times New Roman" w:hAnsi="Verdana" w:cs="Arial"/>
          <w:i/>
          <w:lang w:val="es-ES" w:eastAsia="es-MX"/>
        </w:rPr>
        <w:t>proporcional y adecuada</w:t>
      </w:r>
      <w:r>
        <w:rPr>
          <w:rFonts w:ascii="Verdana" w:eastAsia="Times New Roman" w:hAnsi="Verdana" w:cs="Arial"/>
          <w:lang w:val="es-ES" w:eastAsia="es-MX"/>
        </w:rPr>
        <w:t xml:space="preserve"> frente a la naturaleza y el valor del contrato.</w:t>
      </w:r>
    </w:p>
    <w:p w14:paraId="24E4CA53" w14:textId="77777777" w:rsidR="00CF7DE9" w:rsidRDefault="00CF7DE9" w:rsidP="00A9272D">
      <w:pPr>
        <w:tabs>
          <w:tab w:val="left" w:pos="426"/>
        </w:tabs>
        <w:spacing w:before="120" w:after="0" w:line="276" w:lineRule="auto"/>
        <w:ind w:firstLine="709"/>
        <w:jc w:val="both"/>
        <w:rPr>
          <w:rFonts w:ascii="Verdana" w:eastAsia="Times New Roman" w:hAnsi="Verdana" w:cs="Arial"/>
          <w:lang w:val="es-ES_tradnl" w:eastAsia="es-MX"/>
        </w:rPr>
      </w:pPr>
      <w:bookmarkStart w:id="12" w:name="_Hlk99548027"/>
      <w:bookmarkEnd w:id="11"/>
      <w:r w:rsidRPr="008D1B9C">
        <w:rPr>
          <w:rFonts w:ascii="Verdana" w:eastAsia="Times New Roman" w:hAnsi="Verdana" w:cs="Arial"/>
          <w:lang w:val="es-ES_tradnl" w:eastAsia="es-MX"/>
        </w:rPr>
        <w:t xml:space="preserve">En ese sentido, </w:t>
      </w:r>
      <w:bookmarkStart w:id="13" w:name="_Hlk191627322"/>
      <w:r w:rsidRPr="008D1B9C">
        <w:rPr>
          <w:rFonts w:ascii="Verdana" w:eastAsia="Times New Roman" w:hAnsi="Verdana" w:cs="Arial"/>
          <w:lang w:val="es-ES_tradnl" w:eastAsia="es-MX"/>
        </w:rPr>
        <w:t xml:space="preserve">si bien </w:t>
      </w:r>
      <w:r w:rsidRPr="008D1B9C">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r w:rsidRPr="008D1B9C">
        <w:rPr>
          <w:rFonts w:ascii="Verdana" w:eastAsia="Times New Roman" w:hAnsi="Verdana" w:cs="Arial"/>
          <w:lang w:val="es-ES_tradnl" w:eastAsia="es-MX"/>
        </w:rPr>
        <w:t>En consecuencia, corresponde a las Entidades Estatales,</w:t>
      </w:r>
      <w:r w:rsidRPr="001A4E79">
        <w:rPr>
          <w:rFonts w:ascii="Verdana" w:eastAsia="Times New Roman" w:hAnsi="Verdana" w:cs="Arial"/>
          <w:lang w:val="es-ES_tradnl" w:eastAsia="es-MX"/>
        </w:rPr>
        <w:t xml:space="preserve"> durante la etapa de planeación del contrato estatal, estudiar y </w:t>
      </w:r>
      <w:r w:rsidRPr="001A4E79">
        <w:rPr>
          <w:rFonts w:ascii="Verdana" w:eastAsia="Times New Roman" w:hAnsi="Verdana" w:cs="Arial"/>
          <w:bCs/>
          <w:iCs/>
          <w:lang w:val="es-ES_tradnl" w:eastAsia="es-MX"/>
        </w:rPr>
        <w:t>determinar</w:t>
      </w:r>
      <w:r w:rsidRPr="001A4E79">
        <w:rPr>
          <w:rFonts w:ascii="Verdana" w:eastAsia="Times New Roman" w:hAnsi="Verdana" w:cs="Arial"/>
          <w:lang w:val="es-ES_tradnl" w:eastAsia="es-MX"/>
        </w:rPr>
        <w:t xml:space="preserve"> los requisitos habilitantes que establecerán en los pliegos de condiciones</w:t>
      </w:r>
      <w:r w:rsidRPr="00C94107">
        <w:rPr>
          <w:rFonts w:ascii="Verdana" w:eastAsia="Times New Roman" w:hAnsi="Verdana" w:cs="Arial"/>
          <w:lang w:val="es-ES_tradnl" w:eastAsia="es-MX"/>
        </w:rPr>
        <w:t xml:space="preserve"> o documentos equivalentes</w:t>
      </w:r>
      <w:r w:rsidRPr="001A4E79">
        <w:rPr>
          <w:rFonts w:ascii="Verdana" w:eastAsia="Times New Roman" w:hAnsi="Verdana" w:cs="Arial"/>
          <w:lang w:val="es-ES_tradnl" w:eastAsia="es-MX"/>
        </w:rPr>
        <w:t xml:space="preserve">, </w:t>
      </w:r>
      <w:r w:rsidRPr="00987A26">
        <w:rPr>
          <w:rFonts w:ascii="Verdana" w:eastAsia="Times New Roman" w:hAnsi="Verdana" w:cs="Arial"/>
          <w:i/>
          <w:iCs/>
          <w:lang w:val="es-ES_tradnl" w:eastAsia="es-MX"/>
        </w:rPr>
        <w:t>los cuales deben fijarse de forma adecuada y proporcional</w:t>
      </w:r>
      <w:r w:rsidRPr="001A4E79">
        <w:rPr>
          <w:rFonts w:ascii="Verdana" w:eastAsia="Times New Roman" w:hAnsi="Verdana" w:cs="Arial"/>
          <w:lang w:val="es-ES_tradnl" w:eastAsia="es-MX"/>
        </w:rPr>
        <w:t xml:space="preserve">. </w:t>
      </w:r>
      <w:bookmarkEnd w:id="12"/>
      <w:bookmarkEnd w:id="13"/>
      <w:r w:rsidRPr="001A4E79">
        <w:rPr>
          <w:rFonts w:ascii="Verdana" w:eastAsia="Times New Roman" w:hAnsi="Verdana" w:cs="Arial"/>
          <w:lang w:val="es-ES_tradnl" w:eastAsia="es-MX"/>
        </w:rPr>
        <w:t>Al respecto, en la Sentencia C-004 de 2017, la Corte Constitucional señaló que</w:t>
      </w:r>
      <w:r>
        <w:rPr>
          <w:rFonts w:ascii="Verdana" w:eastAsia="Times New Roman" w:hAnsi="Verdana" w:cs="Arial"/>
          <w:lang w:val="es-ES_tradnl" w:eastAsia="es-MX"/>
        </w:rPr>
        <w:t>:</w:t>
      </w:r>
    </w:p>
    <w:p w14:paraId="7832A804" w14:textId="77777777" w:rsidR="00CF7DE9" w:rsidRPr="00C94107" w:rsidRDefault="00CF7DE9" w:rsidP="00A9272D">
      <w:pPr>
        <w:tabs>
          <w:tab w:val="left" w:pos="426"/>
        </w:tabs>
        <w:spacing w:after="0" w:line="276" w:lineRule="auto"/>
        <w:ind w:firstLine="709"/>
        <w:jc w:val="both"/>
        <w:rPr>
          <w:rFonts w:ascii="Verdana" w:eastAsia="Times New Roman" w:hAnsi="Verdana" w:cs="Arial"/>
          <w:lang w:val="es-ES_tradnl" w:eastAsia="es-MX"/>
        </w:rPr>
      </w:pPr>
    </w:p>
    <w:p w14:paraId="4A64A7CD" w14:textId="77777777" w:rsidR="00CF7DE9" w:rsidRPr="006475B3" w:rsidRDefault="00CF7DE9" w:rsidP="000258F9">
      <w:pPr>
        <w:spacing w:after="0" w:line="240" w:lineRule="auto"/>
        <w:ind w:left="709" w:right="709" w:firstLine="709"/>
        <w:jc w:val="both"/>
        <w:rPr>
          <w:rFonts w:ascii="Verdana" w:hAnsi="Verdana" w:cs="Arial"/>
          <w:sz w:val="20"/>
          <w:szCs w:val="20"/>
          <w:lang w:val="es-ES_tradnl" w:eastAsia="es-ES" w:bidi="es-ES"/>
        </w:rPr>
      </w:pPr>
      <w:r w:rsidRPr="006475B3">
        <w:rPr>
          <w:rFonts w:ascii="Verdana" w:hAnsi="Verdana" w:cs="Arial"/>
          <w:sz w:val="20"/>
          <w:szCs w:val="20"/>
          <w:lang w:val="es-ES_tradnl" w:eastAsia="es-ES" w:bidi="es-ES"/>
        </w:rPr>
        <w:t>“[l]a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1286312D" w14:textId="77777777" w:rsidR="00CF7DE9" w:rsidRPr="000C2E6B" w:rsidRDefault="00CF7DE9" w:rsidP="00A9272D">
      <w:pPr>
        <w:spacing w:after="0" w:line="276" w:lineRule="auto"/>
        <w:ind w:left="709" w:right="709" w:firstLine="709"/>
        <w:jc w:val="both"/>
        <w:rPr>
          <w:rFonts w:ascii="Verdana" w:hAnsi="Verdana" w:cs="Arial"/>
          <w:sz w:val="20"/>
          <w:szCs w:val="20"/>
          <w:lang w:val="es-ES_tradnl" w:eastAsia="es-ES" w:bidi="es-ES"/>
        </w:rPr>
      </w:pPr>
    </w:p>
    <w:p w14:paraId="41194CAF" w14:textId="77777777" w:rsidR="00CF7DE9" w:rsidRPr="001A4E79" w:rsidRDefault="00CF7DE9" w:rsidP="00A9272D">
      <w:pPr>
        <w:tabs>
          <w:tab w:val="left" w:pos="426"/>
        </w:tabs>
        <w:spacing w:after="120" w:line="276" w:lineRule="auto"/>
        <w:ind w:firstLine="709"/>
        <w:jc w:val="both"/>
        <w:rPr>
          <w:rFonts w:ascii="Verdana" w:eastAsia="Times New Roman" w:hAnsi="Verdana" w:cs="Arial"/>
          <w:lang w:val="es-ES_tradnl" w:eastAsia="es-MX"/>
        </w:rPr>
      </w:pPr>
      <w:r w:rsidRPr="001A4E79">
        <w:rPr>
          <w:rFonts w:ascii="Verdana" w:eastAsia="Times New Roman" w:hAnsi="Verdana" w:cs="Arial"/>
          <w:lang w:val="es-ES_tradnl" w:eastAsia="es-MX"/>
        </w:rPr>
        <w:t xml:space="preserve">El </w:t>
      </w:r>
      <w:bookmarkStart w:id="14" w:name="_Hlk191627359"/>
      <w:r w:rsidRPr="001A4E79">
        <w:rPr>
          <w:rFonts w:ascii="Verdana" w:eastAsia="Times New Roman" w:hAnsi="Verdana" w:cs="Arial"/>
          <w:lang w:val="es-ES_tradnl" w:eastAsia="es-MX"/>
        </w:rPr>
        <w:t>Decreto 1082 de 2015 en su artículo 2.2.1.1.1.6.2</w:t>
      </w:r>
      <w:r w:rsidRPr="00C94107">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w:t>
      </w:r>
      <w:bookmarkEnd w:id="14"/>
      <w:r w:rsidRPr="001A4E79">
        <w:rPr>
          <w:rFonts w:ascii="Verdana" w:eastAsia="Times New Roman" w:hAnsi="Verdana" w:cs="Arial"/>
          <w:lang w:val="es-ES_tradnl" w:eastAsia="es-MX"/>
        </w:rPr>
        <w:t>reglamenta los requisitos habilitantes, estableciendo que estos deben ser señalados en los pliegos de condiciones o en la invitación</w:t>
      </w:r>
      <w:r w:rsidRPr="001A4E79">
        <w:rPr>
          <w:rStyle w:val="Refdenotaalpie"/>
          <w:rFonts w:ascii="Verdana" w:eastAsia="Times New Roman" w:hAnsi="Verdana" w:cs="Arial"/>
          <w:lang w:val="es-ES_tradnl" w:eastAsia="es-MX"/>
        </w:rPr>
        <w:footnoteReference w:id="4"/>
      </w:r>
      <w:r w:rsidRPr="001A4E79">
        <w:rPr>
          <w:rFonts w:ascii="Verdana" w:eastAsia="Times New Roman" w:hAnsi="Verdana" w:cs="Arial"/>
          <w:lang w:val="es-ES_tradnl" w:eastAsia="es-MX"/>
        </w:rPr>
        <w:t xml:space="preserve">, lo cual es concordante con el </w:t>
      </w:r>
      <w:bookmarkStart w:id="15" w:name="_Hlk191627380"/>
      <w:r w:rsidRPr="001A4E79">
        <w:rPr>
          <w:rFonts w:ascii="Verdana" w:eastAsia="Times New Roman" w:hAnsi="Verdana" w:cs="Arial"/>
          <w:lang w:val="es-ES_tradnl" w:eastAsia="es-MX"/>
        </w:rPr>
        <w:t xml:space="preserve">numeral </w:t>
      </w:r>
      <w:r w:rsidRPr="001A4E79">
        <w:rPr>
          <w:rFonts w:ascii="Verdana" w:eastAsia="Times New Roman" w:hAnsi="Verdana" w:cs="Arial"/>
          <w:lang w:val="es-ES_tradnl" w:eastAsia="es-MX"/>
        </w:rPr>
        <w:lastRenderedPageBreak/>
        <w:t>5 del artículo 2.2.1.1.2.1.3</w:t>
      </w:r>
      <w:bookmarkEnd w:id="15"/>
      <w:r w:rsidRPr="001A4E79">
        <w:rPr>
          <w:rFonts w:ascii="Verdana" w:eastAsia="Times New Roman" w:hAnsi="Verdana" w:cs="Arial"/>
          <w:lang w:val="es-ES_tradnl" w:eastAsia="es-MX"/>
        </w:rPr>
        <w:t>, en el que se establece como uno de los componentes mínimos de los pliegos de condiciones</w:t>
      </w:r>
      <w:r w:rsidRPr="001A4E79">
        <w:rPr>
          <w:rFonts w:ascii="Verdana" w:hAnsi="Verdana" w:cs="Arial"/>
          <w:color w:val="000000"/>
        </w:rPr>
        <w:t xml:space="preserve"> a las reglas aplicables a la presentación y evaluación de las ofertas, entre las que se inscriben las relativas a la acreditación de las condiciones habilitantes. </w:t>
      </w:r>
      <w:r>
        <w:rPr>
          <w:rFonts w:ascii="Verdana" w:eastAsia="Times New Roman" w:hAnsi="Verdana" w:cs="Arial"/>
          <w:lang w:val="es-ES_tradnl" w:eastAsia="es-MX"/>
        </w:rPr>
        <w:t>A</w:t>
      </w:r>
      <w:r w:rsidRPr="001A4E79">
        <w:rPr>
          <w:rFonts w:ascii="Verdana" w:eastAsia="Times New Roman" w:hAnsi="Verdana" w:cs="Arial"/>
          <w:lang w:val="es-ES_tradnl" w:eastAsia="es-MX"/>
        </w:rPr>
        <w:t>demás</w:t>
      </w:r>
      <w:r>
        <w:rPr>
          <w:rFonts w:ascii="Verdana" w:eastAsia="Times New Roman" w:hAnsi="Verdana" w:cs="Arial"/>
          <w:lang w:val="es-ES_tradnl" w:eastAsia="es-MX"/>
        </w:rPr>
        <w:t>,</w:t>
      </w:r>
      <w:r w:rsidRPr="001A4E79">
        <w:rPr>
          <w:rFonts w:ascii="Verdana" w:eastAsia="Times New Roman" w:hAnsi="Verdana" w:cs="Arial"/>
          <w:lang w:val="es-ES_tradnl" w:eastAsia="es-MX"/>
        </w:rPr>
        <w:t xml:space="preserve"> el artículo 2.2.1.1.1.6.2 </w:t>
      </w:r>
      <w:r>
        <w:rPr>
          <w:rFonts w:ascii="Verdana" w:eastAsia="Times New Roman" w:hAnsi="Verdana" w:cs="Arial"/>
          <w:lang w:val="es-ES_tradnl" w:eastAsia="es-MX"/>
        </w:rPr>
        <w:t xml:space="preserve">establece </w:t>
      </w:r>
      <w:r w:rsidRPr="001A4E79">
        <w:rPr>
          <w:rFonts w:ascii="Verdana" w:eastAsia="Times New Roman" w:hAnsi="Verdana" w:cs="Arial"/>
          <w:lang w:val="es-ES_tradnl" w:eastAsia="es-MX"/>
        </w:rPr>
        <w:t xml:space="preserve">que la determinación de los requisitos habilitantes debe ser realizada en función de criterios </w:t>
      </w:r>
      <w:r w:rsidRPr="00987A26">
        <w:rPr>
          <w:rFonts w:ascii="Verdana" w:eastAsia="Times New Roman" w:hAnsi="Verdana" w:cs="Arial"/>
          <w:i/>
          <w:iCs/>
          <w:lang w:val="es-ES_tradnl" w:eastAsia="es-MX"/>
        </w:rPr>
        <w:t>como el riesgo del proceso de contratación, el valor del contrato, el análisis del sector económico respectivo y el conocimiento de fondo de los posibles oferentes desde la perspectiva comercial</w:t>
      </w:r>
      <w:r w:rsidRPr="001A4E79">
        <w:rPr>
          <w:rFonts w:ascii="Verdana" w:eastAsia="Times New Roman" w:hAnsi="Verdana" w:cs="Arial"/>
          <w:lang w:val="es-ES_tradnl" w:eastAsia="es-MX"/>
        </w:rPr>
        <w:t xml:space="preserve">. </w:t>
      </w:r>
    </w:p>
    <w:p w14:paraId="029FBE67" w14:textId="77777777" w:rsidR="00CF7DE9" w:rsidRDefault="00CF7DE9" w:rsidP="00A9272D">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C94107">
        <w:rPr>
          <w:rFonts w:ascii="Verdana" w:eastAsia="Times New Roman" w:hAnsi="Verdana" w:cs="Arial"/>
          <w:lang w:val="es-ES" w:eastAsia="es-MX"/>
        </w:rPr>
        <w:t>los mismos</w:t>
      </w:r>
      <w:proofErr w:type="gramEnd"/>
      <w:r w:rsidRPr="00C94107">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5"/>
      </w:r>
      <w:r w:rsidRPr="00C94107">
        <w:rPr>
          <w:rFonts w:ascii="Verdana" w:eastAsia="Times New Roman" w:hAnsi="Verdana" w:cs="Arial"/>
          <w:lang w:val="es-ES" w:eastAsia="es-MX"/>
        </w:rPr>
        <w:t xml:space="preserve">. </w:t>
      </w:r>
    </w:p>
    <w:p w14:paraId="45582D51" w14:textId="77777777" w:rsidR="00CF7DE9" w:rsidRPr="00C94107" w:rsidRDefault="00CF7DE9" w:rsidP="00A9272D">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 </w:t>
      </w:r>
      <w:r w:rsidRPr="00C94107">
        <w:rPr>
          <w:rFonts w:ascii="Verdana" w:eastAsia="Times New Roman" w:hAnsi="Verdana" w:cs="Arial"/>
          <w:i/>
          <w:iCs/>
          <w:lang w:val="es-ES" w:eastAsia="es-MX"/>
        </w:rPr>
        <w:t>pero tal facultad no puede ejercerse de forma arbitraria, caprichosa y, mucho menos, con el ánimo de direccionar el proceso de contratación</w:t>
      </w:r>
      <w:r w:rsidRPr="00C94107">
        <w:rPr>
          <w:rFonts w:ascii="Verdana" w:eastAsia="Times New Roman" w:hAnsi="Verdana" w:cs="Arial"/>
          <w:lang w:val="es-ES" w:eastAsia="es-MX"/>
        </w:rPr>
        <w:t xml:space="preserve"> o favorecer a alguno de los proponentes. Tampoco puede suceder que el ejercicio de dicha atribución se haga con desconocimiento de los límites impuestos por la normativa vigente, como, por ejemplo, el parágrafo 2 del artículo 5 de la Ley 1150 de 2007, que </w:t>
      </w:r>
      <w:r w:rsidRPr="00C94107">
        <w:rPr>
          <w:rFonts w:ascii="Verdana" w:eastAsia="Times New Roman" w:hAnsi="Verdana" w:cs="Arial"/>
          <w:lang w:val="es-ES" w:eastAsia="es-MX"/>
        </w:rPr>
        <w:lastRenderedPageBreak/>
        <w:t xml:space="preserve">prohíbe exigir certificaciones de sistemas de gestión de calidad como requisito habilitante. </w:t>
      </w:r>
    </w:p>
    <w:p w14:paraId="62CF433C" w14:textId="77777777" w:rsidR="00CF7DE9" w:rsidRPr="003D0085" w:rsidRDefault="00CF7DE9" w:rsidP="00A9272D">
      <w:pPr>
        <w:spacing w:after="120" w:line="276" w:lineRule="auto"/>
        <w:ind w:firstLine="709"/>
        <w:jc w:val="both"/>
        <w:rPr>
          <w:rFonts w:ascii="Verdana" w:hAnsi="Verdana" w:cs="Arial"/>
        </w:rPr>
      </w:pPr>
      <w:bookmarkStart w:id="17" w:name="_Hlk99548176"/>
      <w:r>
        <w:rPr>
          <w:rFonts w:ascii="Verdana" w:hAnsi="Verdana" w:cs="Arial"/>
        </w:rPr>
        <w:t xml:space="preserve">Ahora bien, </w:t>
      </w:r>
      <w:r w:rsidRPr="00C94107">
        <w:rPr>
          <w:rFonts w:ascii="Verdana" w:hAnsi="Verdana" w:cs="Arial"/>
        </w:rPr>
        <w:t>una vez fijados los requisitos habilitantes por la Entidad Estatal, quienes presenten ofertas deben acreditar que cumplen con los mismos, pues, en el evento contrario, las propuestas deberán ser rechazadas. E</w:t>
      </w:r>
      <w:r w:rsidRPr="003D0085">
        <w:rPr>
          <w:rFonts w:ascii="Verdana" w:hAnsi="Verdana" w:cs="Arial"/>
        </w:rPr>
        <w:t>n cuanto al cumplimiento de los requisitos habilitantes, las Entidades Estatales sometidas al Estatuto General de Contratación de la Administración Pública – en adelante EGCAP -,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3D0085">
        <w:rPr>
          <w:rFonts w:ascii="Verdana" w:hAnsi="Verdana" w:cs="Arial"/>
          <w:vertAlign w:val="superscript"/>
        </w:rPr>
        <w:footnoteReference w:id="6"/>
      </w:r>
      <w:r w:rsidRPr="003D0085">
        <w:rPr>
          <w:rFonts w:ascii="Verdana" w:hAnsi="Verdana" w:cs="Arial"/>
        </w:rPr>
        <w:t xml:space="preserve">, tal como lo establece el artículo 6.1 de la Ley 1150 de 2007. Por su parte, el artículo 5.1 ibidem, al fijar los criterios que deben tener en cuenta las Entidades Estatales para garantizar la selección objetiva, dispone que las Cámaras de Comercio verificarán la información suministrada por las personas naturales o jurídicas para la inscripción en el Registro. </w:t>
      </w:r>
    </w:p>
    <w:bookmarkEnd w:id="17"/>
    <w:p w14:paraId="4453383A" w14:textId="04E96405" w:rsidR="00CF7DE9" w:rsidRDefault="00CF7DE9" w:rsidP="00A9272D">
      <w:pPr>
        <w:spacing w:after="120" w:line="276" w:lineRule="auto"/>
        <w:ind w:firstLine="709"/>
        <w:jc w:val="both"/>
        <w:rPr>
          <w:rFonts w:ascii="Verdana" w:hAnsi="Verdana" w:cs="Arial"/>
        </w:rPr>
      </w:pPr>
      <w:r w:rsidRPr="003D0085">
        <w:rPr>
          <w:rFonts w:ascii="Verdana" w:hAnsi="Verdana" w:cs="Arial"/>
        </w:rPr>
        <w:t xml:space="preserve">Dicha información debe tenerse en cuenta por las </w:t>
      </w:r>
      <w:r w:rsidRPr="00C94107">
        <w:rPr>
          <w:rFonts w:ascii="Verdana" w:hAnsi="Verdana" w:cs="Arial"/>
        </w:rPr>
        <w:t>Entidades</w:t>
      </w:r>
      <w:r w:rsidRPr="003D0085">
        <w:rPr>
          <w:rFonts w:ascii="Verdana" w:hAnsi="Verdana" w:cs="Arial"/>
        </w:rPr>
        <w:t xml:space="preserve"> en los </w:t>
      </w:r>
      <w:r w:rsidRPr="00C94107">
        <w:rPr>
          <w:rFonts w:ascii="Verdana" w:hAnsi="Verdana" w:cs="Arial"/>
        </w:rPr>
        <w:t>procedimientos</w:t>
      </w:r>
      <w:r w:rsidRPr="003D0085">
        <w:rPr>
          <w:rFonts w:ascii="Verdana" w:hAnsi="Verdana" w:cs="Arial"/>
        </w:rPr>
        <w:t xml:space="preserve"> de </w:t>
      </w:r>
      <w:r w:rsidRPr="00C94107">
        <w:rPr>
          <w:rFonts w:ascii="Verdana" w:hAnsi="Verdana" w:cs="Arial"/>
        </w:rPr>
        <w:t>contratación</w:t>
      </w:r>
      <w:r w:rsidRPr="003D0085">
        <w:rPr>
          <w:rFonts w:ascii="Verdana" w:hAnsi="Verdana" w:cs="Arial"/>
        </w:rPr>
        <w:t xml:space="preserve"> en los que es exigible el RUP</w:t>
      </w:r>
      <w:r w:rsidRPr="003D0085">
        <w:rPr>
          <w:rFonts w:ascii="Verdana" w:hAnsi="Verdana" w:cs="Arial"/>
          <w:vertAlign w:val="superscript"/>
        </w:rPr>
        <w:footnoteReference w:id="7"/>
      </w:r>
      <w:r w:rsidR="00796000">
        <w:rPr>
          <w:rFonts w:ascii="Verdana" w:hAnsi="Verdana" w:cs="Arial"/>
        </w:rPr>
        <w:t>.</w:t>
      </w:r>
      <w:r w:rsidRPr="003D0085">
        <w:rPr>
          <w:rFonts w:ascii="Verdana" w:hAnsi="Verdana" w:cs="Arial"/>
        </w:rPr>
        <w:t xml:space="preserve"> Así las cosas, la capacidad jurídica y las condiciones de experiencia, capacidad financiera y de organización de los proponentes deberán ser verificadas exclusivamente a través del RUP, pues de acuerdo con lo expuesto, este documento es plena prueba de la información financiera, de experiencia y de capacidad acreditada por la persona natural o jurídica</w:t>
      </w:r>
      <w:r w:rsidRPr="003D0085">
        <w:rPr>
          <w:rFonts w:ascii="Verdana" w:hAnsi="Verdana" w:cs="Arial"/>
          <w:vertAlign w:val="superscript"/>
        </w:rPr>
        <w:footnoteReference w:id="8"/>
      </w:r>
      <w:r w:rsidRPr="003D0085">
        <w:rPr>
          <w:rFonts w:ascii="Verdana" w:hAnsi="Verdana" w:cs="Arial"/>
        </w:rPr>
        <w:t xml:space="preserve">. </w:t>
      </w:r>
    </w:p>
    <w:p w14:paraId="47A0E455" w14:textId="77777777" w:rsidR="00CF7DE9" w:rsidRPr="00C94107" w:rsidRDefault="00CF7DE9" w:rsidP="00A9272D">
      <w:pPr>
        <w:spacing w:after="120" w:line="276" w:lineRule="auto"/>
        <w:ind w:firstLine="709"/>
        <w:jc w:val="both"/>
        <w:rPr>
          <w:rFonts w:ascii="Verdana" w:hAnsi="Verdana" w:cs="Arial"/>
        </w:rPr>
      </w:pPr>
      <w:bookmarkStart w:id="18" w:name="_Hlk99548308"/>
      <w:r w:rsidRPr="003D0085">
        <w:rPr>
          <w:rFonts w:ascii="Verdana" w:hAnsi="Verdana" w:cs="Arial"/>
        </w:rPr>
        <w:lastRenderedPageBreak/>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bookmarkEnd w:id="18"/>
      <w:r w:rsidRPr="003D0085">
        <w:rPr>
          <w:rFonts w:ascii="Verdana" w:hAnsi="Verdana" w:cs="Arial"/>
        </w:rPr>
        <w:t xml:space="preserve">. </w:t>
      </w:r>
    </w:p>
    <w:p w14:paraId="026473DD" w14:textId="77777777" w:rsidR="00CF7DE9" w:rsidRDefault="00CF7DE9" w:rsidP="00A9272D">
      <w:pPr>
        <w:spacing w:after="120" w:line="276" w:lineRule="auto"/>
        <w:ind w:firstLine="709"/>
        <w:jc w:val="both"/>
        <w:rPr>
          <w:rFonts w:ascii="Verdana" w:hAnsi="Verdana" w:cs="Arial"/>
        </w:rPr>
      </w:pPr>
      <w:r w:rsidRPr="003D0085">
        <w:rPr>
          <w:rFonts w:ascii="Verdana" w:hAnsi="Verdana" w:cs="Arial"/>
          <w:lang w:val="es-ES_tradnl"/>
        </w:rPr>
        <w:t xml:space="preserve">Estas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w:t>
      </w:r>
      <w:r w:rsidRPr="00C94107">
        <w:rPr>
          <w:rFonts w:ascii="Verdana" w:hAnsi="Verdana" w:cs="Arial"/>
          <w:lang w:val="es-ES_tradnl"/>
        </w:rPr>
        <w:t>Ley</w:t>
      </w:r>
      <w:r w:rsidRPr="003D0085">
        <w:rPr>
          <w:rFonts w:ascii="Verdana" w:hAnsi="Verdana" w:cs="Arial"/>
          <w:lang w:val="es-ES_tradnl"/>
        </w:rPr>
        <w:t xml:space="preserve">. </w:t>
      </w:r>
      <w:r w:rsidRPr="003D0085">
        <w:rPr>
          <w:rFonts w:ascii="Verdana" w:hAnsi="Verdana" w:cs="Arial"/>
        </w:rPr>
        <w:t xml:space="preserve">Adicionalmente, en el numeral 6.1. del artículo 6 de la Ley 1150 de 2007 establece que cuando sea necesario verificar requisitos o información que no reposa en RUP, la </w:t>
      </w:r>
      <w:r w:rsidRPr="00C94107">
        <w:rPr>
          <w:rFonts w:ascii="Verdana" w:hAnsi="Verdana" w:cs="Arial"/>
        </w:rPr>
        <w:t>Entidad</w:t>
      </w:r>
      <w:r w:rsidRPr="003D0085">
        <w:rPr>
          <w:rFonts w:ascii="Verdana" w:hAnsi="Verdana" w:cs="Arial"/>
        </w:rPr>
        <w:t xml:space="preserve"> podrá solicitar información adicional solo para complementar la información contenida en el RUP</w:t>
      </w:r>
      <w:r w:rsidRPr="003D0085">
        <w:rPr>
          <w:rFonts w:ascii="Verdana" w:hAnsi="Verdana" w:cs="Arial"/>
          <w:vertAlign w:val="superscript"/>
        </w:rPr>
        <w:footnoteReference w:id="9"/>
      </w:r>
      <w:r w:rsidRPr="003D0085">
        <w:rPr>
          <w:rFonts w:ascii="Verdana" w:hAnsi="Verdana" w:cs="Arial"/>
        </w:rPr>
        <w:t>.</w:t>
      </w:r>
    </w:p>
    <w:p w14:paraId="62BD96BC" w14:textId="77777777" w:rsidR="00CF7DE9" w:rsidRDefault="00CF7DE9" w:rsidP="00A9272D">
      <w:pPr>
        <w:spacing w:after="120" w:line="276" w:lineRule="auto"/>
        <w:ind w:firstLine="709"/>
        <w:jc w:val="both"/>
        <w:rPr>
          <w:rFonts w:ascii="Verdana" w:hAnsi="Verdana" w:cs="Arial"/>
        </w:rPr>
      </w:pPr>
      <w:r>
        <w:rPr>
          <w:rFonts w:ascii="Verdana" w:hAnsi="Verdana" w:cs="Arial"/>
        </w:rPr>
        <w:t xml:space="preserve">En cualquier caso, en los procedimientos en los cuales no es exigible el RUP, como aquellos que se adelanten mediante la modalidad de mínima cuantía, las </w:t>
      </w:r>
      <w:r w:rsidRPr="00C94107">
        <w:rPr>
          <w:rFonts w:ascii="Verdana" w:hAnsi="Verdana" w:cs="Arial"/>
        </w:rPr>
        <w:t>Entidades</w:t>
      </w:r>
      <w:r>
        <w:rPr>
          <w:rFonts w:ascii="Verdana" w:hAnsi="Verdana" w:cs="Arial"/>
        </w:rPr>
        <w:t xml:space="preserve"> deberán </w:t>
      </w:r>
      <w:r w:rsidRPr="003D0085">
        <w:rPr>
          <w:rFonts w:ascii="Verdana" w:hAnsi="Verdana" w:cs="Arial"/>
        </w:rPr>
        <w:t>verificar directamente el cumplimiento de los requisitos habilitantes</w:t>
      </w:r>
      <w:r w:rsidRPr="003D0085">
        <w:rPr>
          <w:rFonts w:ascii="Verdana" w:hAnsi="Verdana" w:cs="Arial"/>
          <w:vertAlign w:val="superscript"/>
        </w:rPr>
        <w:footnoteReference w:id="10"/>
      </w:r>
      <w:r>
        <w:rPr>
          <w:rFonts w:ascii="Verdana" w:hAnsi="Verdana" w:cs="Arial"/>
        </w:rPr>
        <w:t xml:space="preserve">. Para esto, deberá señalar en la invitación, o el documento que haga sus veces, </w:t>
      </w:r>
      <w:r w:rsidRPr="00FB79E2">
        <w:rPr>
          <w:rFonts w:ascii="Verdana" w:eastAsia="Times New Roman" w:hAnsi="Verdana" w:cs="Arial"/>
          <w:lang w:eastAsia="es-ES_tradnl"/>
        </w:rPr>
        <w:t>cuál es la información que se debe acreditar, así como los documentos que tendrá como válidos para tal fin.</w:t>
      </w:r>
      <w:r>
        <w:rPr>
          <w:rFonts w:ascii="Verdana" w:hAnsi="Verdana" w:cs="Arial"/>
        </w:rPr>
        <w:t xml:space="preserve"> Estos documentos también deberán ser proporcionales y adecuados, pues no podrán imponer barreras injustificadas para la participación en el proceso de selección.</w:t>
      </w:r>
    </w:p>
    <w:p w14:paraId="1DF6BE51" w14:textId="77777777" w:rsidR="001F38F7" w:rsidRDefault="00CF7DE9" w:rsidP="001F38F7">
      <w:pPr>
        <w:ind w:firstLine="709"/>
        <w:jc w:val="both"/>
        <w:rPr>
          <w:rFonts w:ascii="Verdana" w:hAnsi="Verdana" w:cs="Arial"/>
        </w:rPr>
      </w:pPr>
      <w:proofErr w:type="spellStart"/>
      <w:r w:rsidRPr="00B13819">
        <w:rPr>
          <w:rFonts w:ascii="Verdana" w:hAnsi="Verdana" w:cs="Arial"/>
        </w:rPr>
        <w:t>ii</w:t>
      </w:r>
      <w:proofErr w:type="spellEnd"/>
      <w:r w:rsidRPr="00B13819">
        <w:rPr>
          <w:rFonts w:ascii="Verdana" w:hAnsi="Verdana" w:cs="Arial"/>
        </w:rPr>
        <w:t xml:space="preserve">) La ley 1150 de 2007, en el artículo 5, establece los requisitos habilitantes para participar en un procedimiento contractual, dentro de los cuales se destaca la experiencia. Su propósito es que las entidades fijen unos requisitos mínimos que debe tener y acreditar el proponente, para que la entidad pueda verificar su aptitud para participar en el procedimiento de contratación y, si se </w:t>
      </w:r>
      <w:r w:rsidRPr="00B13819">
        <w:rPr>
          <w:rFonts w:ascii="Verdana" w:hAnsi="Verdana" w:cs="Arial"/>
        </w:rPr>
        <w:lastRenderedPageBreak/>
        <w:t>le adjudica, ejecutar el contrato estatal</w:t>
      </w:r>
      <w:r w:rsidRPr="00B13819">
        <w:rPr>
          <w:rFonts w:ascii="Verdana" w:hAnsi="Verdana" w:cs="Arial"/>
        </w:rPr>
        <w:footnoteReference w:id="11"/>
      </w:r>
      <w:r w:rsidRPr="00B13819">
        <w:rPr>
          <w:rFonts w:ascii="Verdana" w:hAnsi="Verdana" w:cs="Arial"/>
        </w:rPr>
        <w:t>. En ese sentido, la entidad, como responsable de la estructuración de su procedimiento de contratación, es autónoma para requerir la experiencia necesaria para ejecutar el objeto contractual que se pretende satisfacer con el procedimiento, para lo cual, de acuerdo con el artículo 2.2.1.1.1.6.2. del Decreto 1082 de 2015, debe tener en cuenta el estudio del sector y de sus componentes, como la identificación de riesgos, así como el mercado y precio del bien, obra o servicio a contrat</w:t>
      </w:r>
      <w:r w:rsidR="001F38F7">
        <w:rPr>
          <w:rFonts w:ascii="Verdana" w:hAnsi="Verdana" w:cs="Arial"/>
        </w:rPr>
        <w:t>ar.</w:t>
      </w:r>
      <w:r w:rsidR="001F38F7">
        <w:rPr>
          <w:rStyle w:val="Refdenotaalpie"/>
          <w:rFonts w:ascii="Verdana" w:hAnsi="Verdana" w:cs="Arial"/>
        </w:rPr>
        <w:footnoteReference w:id="12"/>
      </w:r>
    </w:p>
    <w:p w14:paraId="1A58923C" w14:textId="4F983A05" w:rsidR="00CF7DE9" w:rsidRPr="001F38F7" w:rsidRDefault="00CF7DE9" w:rsidP="001F38F7">
      <w:pPr>
        <w:ind w:firstLine="709"/>
        <w:jc w:val="both"/>
        <w:rPr>
          <w:rFonts w:ascii="Verdana" w:hAnsi="Verdana" w:cs="Arial"/>
        </w:rPr>
      </w:pPr>
      <w:r w:rsidRPr="001F38F7">
        <w:rPr>
          <w:rFonts w:ascii="Verdana" w:hAnsi="Verdana" w:cs="Arial"/>
        </w:rPr>
        <w:t>La experiencia que se deriva de los contratos que el proponente ha celebrado y ejecutado con diferentes contratantes, sin importar la naturaleza de estos, se verifica con el Registro Único de Proponentes –RUP-</w:t>
      </w:r>
      <w:r w:rsidRPr="001F38F7">
        <w:rPr>
          <w:rFonts w:ascii="Verdana" w:hAnsi="Verdana"/>
        </w:rPr>
        <w:footnoteReference w:id="13"/>
      </w:r>
      <w:r w:rsidRPr="001F38F7">
        <w:rPr>
          <w:rFonts w:ascii="Verdana" w:hAnsi="Verdana" w:cs="Arial"/>
        </w:rPr>
        <w:t>, cuando este certificado sea exigible de acuerdo con la ley. En el RUP constan los requisitos habilitantes que se evalúan exclusivamente con este documento, que es su plena prueba, sin que la entidad o el proponente puedan solicitar o aportar otra documentación</w:t>
      </w:r>
      <w:r>
        <w:rPr>
          <w:rStyle w:val="Refdenotaalpie"/>
          <w:rFonts w:eastAsia="Calibri" w:cs="Arial"/>
          <w:kern w:val="2"/>
          <w14:ligatures w14:val="standardContextual"/>
        </w:rPr>
        <w:footnoteReference w:id="14"/>
      </w:r>
      <w:r>
        <w:rPr>
          <w:rFonts w:eastAsia="Calibri" w:cs="Arial"/>
          <w:kern w:val="2"/>
          <w14:ligatures w14:val="standardContextual"/>
        </w:rPr>
        <w:t xml:space="preserve">. </w:t>
      </w:r>
    </w:p>
    <w:p w14:paraId="59943AE3" w14:textId="77777777" w:rsidR="000D19EA" w:rsidRPr="00BC7E57" w:rsidRDefault="00CF7DE9" w:rsidP="00BC7E57">
      <w:pPr>
        <w:ind w:firstLine="709"/>
        <w:jc w:val="both"/>
        <w:rPr>
          <w:rFonts w:ascii="Verdana" w:hAnsi="Verdana" w:cs="Arial"/>
        </w:rPr>
      </w:pPr>
      <w:r w:rsidRPr="00A25B54">
        <w:rPr>
          <w:rFonts w:ascii="Verdana" w:eastAsia="Calibri" w:hAnsi="Verdana" w:cs="Arial"/>
          <w:kern w:val="2"/>
          <w14:ligatures w14:val="standardContextual"/>
        </w:rPr>
        <w:t xml:space="preserve">Respecto de la experiencia, esta debe inscribirse, renovarse o actualizarse en el RUP con copia de los contratos o con certificados de los contratos celebrados por el proponente con diferentes contratantes, quienes son terceros </w:t>
      </w:r>
      <w:r w:rsidRPr="00A25B54">
        <w:rPr>
          <w:rFonts w:ascii="Verdana" w:eastAsia="Calibri" w:hAnsi="Verdana" w:cs="Arial"/>
          <w:kern w:val="2"/>
          <w14:ligatures w14:val="standardContextual"/>
        </w:rPr>
        <w:lastRenderedPageBreak/>
        <w:t>que los expiden cuando el contrato fue ejecutado y recibieron los bienes, obras o servicios de parte del proponente</w:t>
      </w:r>
      <w:r>
        <w:rPr>
          <w:rStyle w:val="Refdenotaalpie"/>
          <w:rFonts w:eastAsia="Calibri" w:cs="Arial"/>
          <w:kern w:val="2"/>
          <w14:ligatures w14:val="standardContextual"/>
        </w:rPr>
        <w:footnoteReference w:id="15"/>
      </w:r>
      <w:r>
        <w:rPr>
          <w:rFonts w:eastAsia="Calibri" w:cs="Arial"/>
          <w:kern w:val="2"/>
          <w14:ligatures w14:val="standardContextual"/>
        </w:rPr>
        <w:t xml:space="preserve">. De esta manera, con el RUP se verifica </w:t>
      </w:r>
      <w:r w:rsidRPr="00BC7E57">
        <w:rPr>
          <w:rFonts w:ascii="Verdana" w:hAnsi="Verdana" w:cs="Arial"/>
        </w:rPr>
        <w:t>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 o que dependerá de la forma como la entidad solicita la experiencia en el pliego de condiciones o documento equivalente.</w:t>
      </w:r>
    </w:p>
    <w:p w14:paraId="2C56B54F" w14:textId="6470E1D3" w:rsidR="00CF7DE9" w:rsidRPr="00BC7E57" w:rsidRDefault="00CF7DE9" w:rsidP="00BC7E57">
      <w:pPr>
        <w:ind w:firstLine="709"/>
        <w:jc w:val="both"/>
        <w:rPr>
          <w:rFonts w:ascii="Verdana" w:hAnsi="Verdana" w:cs="Arial"/>
        </w:rPr>
      </w:pPr>
      <w:r w:rsidRPr="00BC7E57">
        <w:rPr>
          <w:rFonts w:ascii="Verdana" w:hAnsi="Verdana" w:cs="Arial"/>
        </w:rPr>
        <w:t>En concordancia con lo expuesto, tenemos que el “Manual para determinar y verificar los requisitos habilitantes en los Procesos de Contratación”</w:t>
      </w:r>
      <w:r w:rsidRPr="00BC7E57">
        <w:rPr>
          <w:rFonts w:ascii="Verdana" w:hAnsi="Verdana" w:cs="Arial"/>
        </w:rPr>
        <w:footnoteReference w:id="16"/>
      </w:r>
      <w:r w:rsidRPr="00BC7E57">
        <w:rPr>
          <w:rFonts w:ascii="Verdana" w:hAnsi="Verdana" w:cs="Arial"/>
        </w:rPr>
        <w:t xml:space="preserve">, establece las definiciones de cada requisito habilitante y da lineamientos orientadores sobre lo que las entidades deben y pueden hacer para configurarlos. En particular, sobre el requisito habilitante de experiencia, el Manual se centra en una de sus cualidades, y es que, es personal; lo que significa que quien tiene la experiencia lo hace </w:t>
      </w:r>
      <w:proofErr w:type="gramStart"/>
      <w:r w:rsidRPr="00BC7E57">
        <w:rPr>
          <w:rFonts w:ascii="Verdana" w:hAnsi="Verdana" w:cs="Arial"/>
        </w:rPr>
        <w:t>en razón de</w:t>
      </w:r>
      <w:proofErr w:type="gramEnd"/>
      <w:r w:rsidRPr="00BC7E57">
        <w:rPr>
          <w:rFonts w:ascii="Verdana" w:hAnsi="Verdana" w:cs="Arial"/>
        </w:rPr>
        <w:t xml:space="preserve"> su participación, con anterioridad, en actividades que le permitieron conocer cómo ejecutar el objeto contractual que la entidad pretende satisfacer mediante el Proceso de Contratación. </w:t>
      </w:r>
    </w:p>
    <w:p w14:paraId="15766567" w14:textId="77777777" w:rsidR="00CF7DE9" w:rsidRPr="00642BE4" w:rsidRDefault="00CF7DE9" w:rsidP="00642BE4">
      <w:pPr>
        <w:ind w:firstLine="709"/>
        <w:jc w:val="both"/>
        <w:rPr>
          <w:rFonts w:ascii="Verdana" w:eastAsia="Calibri" w:hAnsi="Verdana" w:cs="Arial"/>
          <w:lang w:val="es-ES"/>
        </w:rPr>
      </w:pPr>
      <w:r w:rsidRPr="00642BE4">
        <w:rPr>
          <w:rFonts w:ascii="Verdana" w:eastAsia="Calibri" w:hAnsi="Verdana" w:cs="Arial"/>
          <w:lang w:val="es-ES"/>
        </w:rPr>
        <w:t xml:space="preserve">En ese sentido, el Manual </w:t>
      </w:r>
      <w:r w:rsidRPr="00642BE4">
        <w:rPr>
          <w:rFonts w:ascii="Verdana" w:eastAsia="Arial" w:hAnsi="Verdana" w:cs="Arial"/>
        </w:rPr>
        <w:t>define la experiencia como “el conocimiento del proponente derivado de su participación previa en actividades iguales o similares a las previstas en el objeto del contrato” y adicionalmente, explica que la experiencia puede obtenerse directamente o por participar asociado con otra persona, como es el caso de los proponentes plurales, en cuyo evento la experiencia no deja de ser personal, sino que es proporcional a la participación como miembro de un consorcio o unión temporal, donde por tratarse de esquemas asociativos la experiencia es compartida.</w:t>
      </w:r>
    </w:p>
    <w:p w14:paraId="5393E6A7" w14:textId="77777777" w:rsidR="00642BE4" w:rsidRDefault="00CF7DE9" w:rsidP="00642BE4">
      <w:pPr>
        <w:ind w:firstLine="709"/>
        <w:jc w:val="both"/>
        <w:rPr>
          <w:rFonts w:ascii="Verdana" w:eastAsia="Calibri" w:hAnsi="Verdana" w:cs="Arial"/>
          <w:lang w:val="es-ES_tradnl"/>
        </w:rPr>
      </w:pPr>
      <w:r w:rsidRPr="00642BE4">
        <w:rPr>
          <w:rFonts w:ascii="Verdana" w:eastAsia="Calibri" w:hAnsi="Verdana" w:cs="Arial"/>
          <w:lang w:val="es-ES_tradnl"/>
        </w:rPr>
        <w:t xml:space="preserve">Lo anterior es determinante, porque no es posible tener experiencia si en la práctica no se han ejecutado actividades similares previas. Precisamente, de la experiencia se deriva el conocimiento del proponente, y para la contratación </w:t>
      </w:r>
      <w:r w:rsidRPr="00642BE4">
        <w:rPr>
          <w:rFonts w:ascii="Verdana" w:eastAsia="Calibri" w:hAnsi="Verdana" w:cs="Arial"/>
          <w:lang w:val="es-ES_tradnl"/>
        </w:rPr>
        <w:lastRenderedPageBreak/>
        <w:t xml:space="preserve">pública es importante, ya que garantiza que no habrá improvisación ni mayores costos por errores o dificultades originadas en realizar una actividad por primera vez. </w:t>
      </w:r>
    </w:p>
    <w:p w14:paraId="410D91F0" w14:textId="18FD96EE" w:rsidR="00CF7DE9" w:rsidRPr="00642BE4" w:rsidRDefault="00CF7DE9" w:rsidP="00642BE4">
      <w:pPr>
        <w:ind w:firstLine="709"/>
        <w:jc w:val="both"/>
        <w:rPr>
          <w:rFonts w:ascii="Verdana" w:eastAsia="Calibri" w:hAnsi="Verdana" w:cs="Arial"/>
          <w:lang w:val="es-ES_tradnl"/>
        </w:rPr>
      </w:pPr>
      <w:r w:rsidRPr="38FACAB2">
        <w:rPr>
          <w:rFonts w:ascii="Verdana" w:eastAsia="Calibri" w:hAnsi="Verdana" w:cs="Arial"/>
          <w:color w:val="000000"/>
          <w:shd w:val="clear" w:color="auto" w:fill="FFFFFF"/>
          <w:lang w:val="es-ES"/>
        </w:rPr>
        <w:t xml:space="preserve">En ese orden, se tiene que el artículo 6 de la Ley 1150 de 2007 señala que todas las personas naturales o jurídicas, nacionales o extranjeras, domiciliadas o con sucursal en Colombia que aspiren a celebrar contratos con las entidades, como se indicó en líneas anteriores, deberán estar inscritas en el RUP. En este registro constará la información relacionada con la experiencia, capacidad jurídica, financiera y de organización del proponente y su clasificación. </w:t>
      </w:r>
      <w:r w:rsidRPr="000151B1">
        <w:rPr>
          <w:rFonts w:ascii="Verdana" w:eastAsia="Calibri" w:hAnsi="Verdana" w:cs="Arial"/>
          <w:color w:val="000000"/>
          <w:shd w:val="clear" w:color="auto" w:fill="FFFFFF"/>
          <w:lang w:val="es-ES"/>
        </w:rPr>
        <w:t>De esta forma,</w:t>
      </w:r>
      <w:r w:rsidRPr="38FACAB2">
        <w:rPr>
          <w:rFonts w:ascii="Verdana" w:eastAsia="Calibri" w:hAnsi="Verdana" w:cs="Arial"/>
          <w:color w:val="000000"/>
          <w:shd w:val="clear" w:color="auto" w:fill="FFFFFF"/>
          <w:lang w:val="es-ES"/>
        </w:rPr>
        <w:t xml:space="preserve"> </w:t>
      </w:r>
      <w:r w:rsidRPr="38FACAB2">
        <w:rPr>
          <w:rFonts w:ascii="Verdana" w:eastAsia="Times New Roman" w:hAnsi="Verdana" w:cs="Arial"/>
          <w:lang w:val="es-ES" w:eastAsia="es-ES"/>
        </w:rPr>
        <w:t>el numeral 2.5 del artículo 2.2.1.1.1.5.2 del Decreto 1082 de 2015, señala que la persona jurídica se registrará aportando los certificados de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w:t>
      </w:r>
      <w:r w:rsidRPr="38FACAB2">
        <w:rPr>
          <w:rFonts w:ascii="Verdana" w:eastAsia="Calibri" w:hAnsi="Verdana" w:cs="Arial"/>
          <w:vertAlign w:val="superscript"/>
          <w:lang w:val="es-ES" w:eastAsia="es-ES"/>
        </w:rPr>
        <w:footnoteReference w:id="17"/>
      </w:r>
      <w:r w:rsidRPr="38FACAB2">
        <w:rPr>
          <w:rFonts w:ascii="Verdana" w:eastAsia="Times New Roman" w:hAnsi="Verdana" w:cs="Arial"/>
          <w:lang w:val="es-ES" w:eastAsia="es-ES"/>
        </w:rPr>
        <w:t xml:space="preserve">. </w:t>
      </w:r>
    </w:p>
    <w:p w14:paraId="40A48286" w14:textId="77777777" w:rsidR="00CF7DE9" w:rsidRPr="002A000A" w:rsidRDefault="00CF7DE9" w:rsidP="00A9272D">
      <w:pPr>
        <w:spacing w:before="120" w:after="120" w:line="276" w:lineRule="auto"/>
        <w:ind w:firstLine="709"/>
        <w:jc w:val="both"/>
        <w:rPr>
          <w:rFonts w:ascii="Verdana" w:eastAsia="Times New Roman" w:hAnsi="Verdana" w:cs="Arial"/>
          <w:lang w:val="es-ES" w:eastAsia="es-ES"/>
        </w:rPr>
      </w:pPr>
      <w:r w:rsidRPr="1508AF59">
        <w:rPr>
          <w:rFonts w:ascii="Verdana" w:eastAsia="Times New Roman" w:hAnsi="Verdana" w:cs="Arial"/>
          <w:lang w:val="es-ES" w:eastAsia="es-ES"/>
        </w:rPr>
        <w:t xml:space="preserve">Por ello, el interesado debe indicar en cada certificado, o en cada copia de los contratos, los bienes, obras y servicios a los cuales corresponde la experiencia que pretende acreditar, identificándolos con el Clasificador de Bienes y Servicios, en el tercer nivel. Sin embargo, es menester destacar que la parte final del numeral 2.5 del referido artículo indica que </w:t>
      </w:r>
      <w:r w:rsidRPr="1508AF59">
        <w:rPr>
          <w:rFonts w:ascii="Verdana" w:eastAsia="Calibri" w:hAnsi="Verdana" w:cs="Arial"/>
          <w:lang w:val="es-ES" w:eastAsia="es-ES"/>
        </w:rPr>
        <w:t>“</w:t>
      </w:r>
      <w:r w:rsidRPr="1508AF59">
        <w:rPr>
          <w:rFonts w:ascii="Verdana" w:eastAsia="Times New Roman" w:hAnsi="Verdana" w:cs="Arial"/>
          <w:lang w:val="es-ES" w:eastAsia="es-ES"/>
        </w:rPr>
        <w:t>[s]i la constitución del interesado es menor a tres (3) años, puede acreditar la experiencia de sus accionistas, socios o constituyentes</w:t>
      </w:r>
      <w:r w:rsidRPr="1508AF59">
        <w:rPr>
          <w:rFonts w:ascii="Verdana" w:eastAsia="Calibri" w:hAnsi="Verdana" w:cs="Arial"/>
          <w:lang w:val="es-ES" w:eastAsia="es-ES"/>
        </w:rPr>
        <w:t>”</w:t>
      </w:r>
      <w:r w:rsidRPr="1508AF59">
        <w:rPr>
          <w:rFonts w:ascii="Verdana" w:eastAsia="Times New Roman" w:hAnsi="Verdana" w:cs="Arial"/>
          <w:lang w:val="es-ES" w:eastAsia="es-ES"/>
        </w:rPr>
        <w:t>.</w:t>
      </w:r>
    </w:p>
    <w:p w14:paraId="02301C76" w14:textId="7FB192AC" w:rsidR="00CF7DE9" w:rsidRDefault="00CF7DE9" w:rsidP="00A9272D">
      <w:pPr>
        <w:tabs>
          <w:tab w:val="left" w:pos="483"/>
        </w:tabs>
        <w:spacing w:after="120" w:line="276" w:lineRule="auto"/>
        <w:ind w:firstLine="709"/>
        <w:jc w:val="both"/>
        <w:rPr>
          <w:rFonts w:ascii="Verdana" w:eastAsia="Calibri" w:hAnsi="Verdana" w:cs="Arial"/>
          <w:color w:val="000000"/>
          <w:shd w:val="clear" w:color="auto" w:fill="FFFFFF"/>
          <w:lang w:val="es-ES"/>
        </w:rPr>
      </w:pPr>
      <w:r w:rsidRPr="38FACAB2">
        <w:rPr>
          <w:rFonts w:ascii="Verdana" w:eastAsia="Calibri" w:hAnsi="Verdana" w:cs="Arial"/>
          <w:color w:val="000000"/>
          <w:shd w:val="clear" w:color="auto" w:fill="FFFFFF"/>
          <w:lang w:val="es-ES"/>
        </w:rPr>
        <w:t xml:space="preserve">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w:t>
      </w:r>
      <w:r w:rsidRPr="38FACAB2">
        <w:rPr>
          <w:rFonts w:ascii="Verdana" w:eastAsia="Calibri" w:hAnsi="Verdana" w:cs="Arial"/>
          <w:color w:val="000000"/>
          <w:shd w:val="clear" w:color="auto" w:fill="FFFFFF"/>
          <w:lang w:val="es-ES"/>
        </w:rPr>
        <w:lastRenderedPageBreak/>
        <w:t>constituyentes. Pese a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46E5BEA8" w14:textId="6D791444" w:rsidR="00BA7DE1" w:rsidRPr="002A000A" w:rsidRDefault="00BA7DE1" w:rsidP="00A9272D">
      <w:pPr>
        <w:tabs>
          <w:tab w:val="left" w:pos="483"/>
        </w:tabs>
        <w:spacing w:after="120" w:line="276" w:lineRule="auto"/>
        <w:ind w:firstLine="709"/>
        <w:jc w:val="both"/>
        <w:rPr>
          <w:rFonts w:ascii="Verdana" w:eastAsia="Calibri" w:hAnsi="Verdana" w:cs="Arial"/>
          <w:color w:val="000000"/>
          <w:shd w:val="clear" w:color="auto" w:fill="FFFFFF"/>
          <w:lang w:val="es-ES"/>
        </w:rPr>
      </w:pPr>
      <w:r w:rsidRPr="00BA7DE1">
        <w:rPr>
          <w:rFonts w:ascii="Verdana" w:eastAsia="Calibri" w:hAnsi="Verdana" w:cs="Arial"/>
          <w:color w:val="000000"/>
          <w:shd w:val="clear" w:color="auto" w:fill="FFFFFF"/>
        </w:rPr>
        <w:t>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Procesos de Contratación, y de esta forma promover el desarrollo de la empresa y la pluralidad de oferentes en la contratación pública.</w:t>
      </w:r>
    </w:p>
    <w:p w14:paraId="1580F5E8" w14:textId="77777777" w:rsidR="00CF7DE9" w:rsidRDefault="00CF7DE9" w:rsidP="00A9272D">
      <w:pPr>
        <w:spacing w:before="120" w:after="120" w:line="276" w:lineRule="auto"/>
        <w:ind w:firstLine="709"/>
        <w:jc w:val="both"/>
        <w:rPr>
          <w:rFonts w:ascii="Verdana" w:eastAsia="Times New Roman" w:hAnsi="Verdana" w:cs="Arial"/>
          <w:lang w:val="es-ES_tradnl" w:eastAsia="es-ES_tradnl"/>
        </w:rPr>
      </w:pPr>
      <w:r>
        <w:rPr>
          <w:rFonts w:ascii="Verdana" w:eastAsia="Times New Roman" w:hAnsi="Verdana" w:cs="Arial"/>
          <w:lang w:val="es-ES_tradnl" w:eastAsia="es-ES_tradnl"/>
        </w:rPr>
        <w:t>Ahora bien, e</w:t>
      </w:r>
      <w:r w:rsidRPr="002A000A">
        <w:rPr>
          <w:rFonts w:ascii="Verdana" w:eastAsia="Times New Roman" w:hAnsi="Verdana" w:cs="Arial"/>
          <w:lang w:val="es-ES_tradnl" w:eastAsia="es-ES_tradnl"/>
        </w:rPr>
        <w:t xml:space="preserv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0F66948D" w14:textId="77777777" w:rsidR="00CF7DE9" w:rsidRPr="00BC5D50" w:rsidRDefault="00CF7DE9" w:rsidP="00A9272D">
      <w:pPr>
        <w:pStyle w:val="Textoindependiente"/>
        <w:spacing w:line="276" w:lineRule="auto"/>
        <w:ind w:left="260"/>
        <w:jc w:val="both"/>
        <w:rPr>
          <w:spacing w:val="-2"/>
          <w:lang w:val="es-CO"/>
        </w:rPr>
      </w:pPr>
    </w:p>
    <w:p w14:paraId="6D5D9031" w14:textId="0CDC5112" w:rsidR="00CF7DE9" w:rsidRPr="008E6B63" w:rsidRDefault="00CF7DE9" w:rsidP="00C136F5">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8E6B63">
        <w:rPr>
          <w:rFonts w:ascii="Verdana" w:eastAsia="Century Gothic" w:hAnsi="Verdana" w:cs="Century Gothic"/>
          <w:b/>
          <w:bCs/>
        </w:rPr>
        <w:t>Referencias normativas y jurisprudenciales:</w:t>
      </w:r>
    </w:p>
    <w:p w14:paraId="39719B61" w14:textId="77777777" w:rsidR="00CF7DE9" w:rsidRPr="00BC5D50" w:rsidRDefault="00CF7DE9" w:rsidP="00A9272D">
      <w:pPr>
        <w:widowControl w:val="0"/>
        <w:autoSpaceDE w:val="0"/>
        <w:autoSpaceDN w:val="0"/>
        <w:spacing w:after="0" w:line="276" w:lineRule="auto"/>
        <w:ind w:firstLine="709"/>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7DE9" w:rsidRPr="00BC5D50" w14:paraId="416B9525" w14:textId="77777777" w:rsidTr="00E26F18">
        <w:trPr>
          <w:trHeight w:val="410"/>
          <w:jc w:val="center"/>
        </w:trPr>
        <w:tc>
          <w:tcPr>
            <w:tcW w:w="8647" w:type="dxa"/>
          </w:tcPr>
          <w:p w14:paraId="5662A5F0" w14:textId="77777777" w:rsidR="00CF7DE9" w:rsidRPr="008E6B63" w:rsidRDefault="00CF7DE9" w:rsidP="008E6B63">
            <w:pPr>
              <w:pStyle w:val="Prrafodelista"/>
              <w:numPr>
                <w:ilvl w:val="0"/>
                <w:numId w:val="19"/>
              </w:numPr>
              <w:spacing w:line="276" w:lineRule="auto"/>
              <w:rPr>
                <w:rFonts w:ascii="Verdana" w:hAnsi="Verdana"/>
              </w:rPr>
            </w:pPr>
            <w:r w:rsidRPr="008E6B63">
              <w:rPr>
                <w:rFonts w:ascii="Verdana" w:hAnsi="Verdana"/>
              </w:rPr>
              <w:t xml:space="preserve">Ley 1150 de 2007 - Artículo 5, 6 </w:t>
            </w:r>
          </w:p>
          <w:p w14:paraId="2184CFE4" w14:textId="77777777" w:rsidR="00CF7DE9" w:rsidRPr="008E6B63" w:rsidRDefault="00CF7DE9" w:rsidP="008E6B63">
            <w:pPr>
              <w:pStyle w:val="Prrafodelista"/>
              <w:numPr>
                <w:ilvl w:val="0"/>
                <w:numId w:val="19"/>
              </w:numPr>
              <w:spacing w:line="276" w:lineRule="auto"/>
              <w:rPr>
                <w:rFonts w:ascii="Verdana" w:eastAsia="Calibri" w:hAnsi="Verdana"/>
              </w:rPr>
            </w:pPr>
            <w:r w:rsidRPr="008E6B63">
              <w:rPr>
                <w:rFonts w:ascii="Verdana" w:hAnsi="Verdana"/>
              </w:rPr>
              <w:t xml:space="preserve">Decreto 1082 de 2015 - Artículo 2.2.1.1.1.6.2.; 2.2.1.1.1.5.3.; </w:t>
            </w:r>
            <w:r w:rsidRPr="008E6B63">
              <w:rPr>
                <w:rFonts w:ascii="Verdana" w:eastAsia="Calibri" w:hAnsi="Verdana"/>
                <w:color w:val="000000" w:themeColor="text1"/>
              </w:rPr>
              <w:t>2.2.1.1.1.5.2 numeral 2.1, 2.5</w:t>
            </w:r>
          </w:p>
          <w:p w14:paraId="7F282049" w14:textId="77777777" w:rsidR="00CF7DE9" w:rsidRPr="008E6B63" w:rsidRDefault="00CF7DE9" w:rsidP="008E6B63">
            <w:pPr>
              <w:pStyle w:val="Prrafodelista"/>
              <w:numPr>
                <w:ilvl w:val="0"/>
                <w:numId w:val="19"/>
              </w:numPr>
              <w:spacing w:line="276" w:lineRule="auto"/>
              <w:rPr>
                <w:rFonts w:eastAsia="Calibri"/>
              </w:rPr>
            </w:pPr>
            <w:r w:rsidRPr="008E6B63">
              <w:rPr>
                <w:rFonts w:ascii="Verdana" w:hAnsi="Verdana"/>
              </w:rPr>
              <w:t xml:space="preserve">Agencia Nacional de Contratación Pública – Colombia Compra Eficiente: “Manual para determinar y verificar requisitos habilitantes en los procesos de contratación” </w:t>
            </w:r>
            <w:hyperlink r:id="rId13" w:history="1">
              <w:r w:rsidRPr="008E6B63">
                <w:rPr>
                  <w:rFonts w:ascii="Verdana" w:eastAsia="Aptos" w:hAnsi="Verdana"/>
                  <w:color w:val="0000FF"/>
                  <w:u w:val="single"/>
                  <w:lang w:val="es-ES_tradnl"/>
                </w:rPr>
                <w:t>https://www.colombiacompra.gov.co/archivos/manual/manual-para-determinar-y-verificar-los-requisitos-habilitantes-en-los-procesos-de-contratacion</w:t>
              </w:r>
            </w:hyperlink>
          </w:p>
        </w:tc>
      </w:tr>
    </w:tbl>
    <w:p w14:paraId="57457366" w14:textId="77777777" w:rsidR="00CF7DE9" w:rsidRPr="00C136F5" w:rsidRDefault="00CF7DE9" w:rsidP="0043165F">
      <w:pPr>
        <w:tabs>
          <w:tab w:val="left" w:pos="142"/>
          <w:tab w:val="left" w:pos="284"/>
        </w:tabs>
        <w:spacing w:after="0" w:line="276" w:lineRule="auto"/>
        <w:ind w:left="360"/>
        <w:contextualSpacing/>
        <w:jc w:val="both"/>
        <w:rPr>
          <w:rFonts w:ascii="Verdana" w:eastAsia="Century Gothic" w:hAnsi="Verdana" w:cs="Century Gothic"/>
          <w:b/>
          <w:bCs/>
        </w:rPr>
      </w:pPr>
    </w:p>
    <w:p w14:paraId="1E68EA6C" w14:textId="3E4D4399" w:rsidR="00CF7DE9" w:rsidRPr="008E6B63" w:rsidRDefault="00CF7DE9" w:rsidP="00C136F5">
      <w:pPr>
        <w:numPr>
          <w:ilvl w:val="0"/>
          <w:numId w:val="16"/>
        </w:numPr>
        <w:tabs>
          <w:tab w:val="left" w:pos="142"/>
          <w:tab w:val="left" w:pos="284"/>
        </w:tabs>
        <w:spacing w:after="0" w:line="276" w:lineRule="auto"/>
        <w:ind w:firstLine="0"/>
        <w:contextualSpacing/>
        <w:jc w:val="both"/>
        <w:rPr>
          <w:rFonts w:ascii="Verdana" w:eastAsia="Century Gothic" w:hAnsi="Verdana" w:cs="Century Gothic"/>
          <w:b/>
          <w:bCs/>
        </w:rPr>
      </w:pPr>
      <w:r w:rsidRPr="008E6B63">
        <w:rPr>
          <w:rFonts w:ascii="Verdana" w:eastAsia="Century Gothic" w:hAnsi="Verdana" w:cs="Century Gothic"/>
          <w:b/>
          <w:bCs/>
        </w:rPr>
        <w:t>Doctrina de la Agencia Nacional de Contratación Pública:</w:t>
      </w:r>
    </w:p>
    <w:p w14:paraId="39F5E6F5" w14:textId="77777777" w:rsidR="00CF7DE9" w:rsidRPr="00BC5D50" w:rsidRDefault="00CF7DE9" w:rsidP="00A9272D">
      <w:pPr>
        <w:tabs>
          <w:tab w:val="left" w:pos="142"/>
          <w:tab w:val="left" w:pos="284"/>
        </w:tabs>
        <w:spacing w:after="0" w:line="276" w:lineRule="auto"/>
        <w:ind w:firstLine="709"/>
        <w:jc w:val="both"/>
        <w:rPr>
          <w:rFonts w:ascii="Verdana" w:eastAsia="Century Gothic" w:hAnsi="Verdana" w:cs="Century Gothic"/>
          <w:b/>
          <w:bCs/>
        </w:rPr>
      </w:pPr>
    </w:p>
    <w:p w14:paraId="7FC9E67D" w14:textId="2C1AEBC1" w:rsidR="00CF7DE9" w:rsidRPr="008E6B63" w:rsidRDefault="00CF7DE9" w:rsidP="008F4DAA">
      <w:pPr>
        <w:spacing w:line="276" w:lineRule="auto"/>
        <w:jc w:val="both"/>
        <w:rPr>
          <w:rFonts w:ascii="Verdana" w:hAnsi="Verdana"/>
          <w:shd w:val="clear" w:color="auto" w:fill="FFFFFF"/>
        </w:rPr>
      </w:pPr>
      <w:r w:rsidRPr="008E6B63">
        <w:rPr>
          <w:rFonts w:ascii="Verdana" w:hAnsi="Verdana"/>
          <w:shd w:val="clear" w:color="auto" w:fill="FFFFFF"/>
        </w:rPr>
        <w:lastRenderedPageBreak/>
        <w:t xml:space="preserve">La Agencia Nacional de Contratación Pública – Colombia Compra Eficiente, se pronunció sobre la acreditación de experiencia de socios por parte de sociedades con menos de tres años de constitución, en los conceptos </w:t>
      </w:r>
      <w:r w:rsidRPr="008E6B63">
        <w:rPr>
          <w:rFonts w:ascii="Verdana" w:eastAsia="Arial MT" w:hAnsi="Verdana"/>
          <w:lang w:val="es-ES"/>
        </w:rPr>
        <w:t>C-725 del 25 de enero de 2022, C-034 del 2 de marzo de 2022, C-144 del 1 de abril de 2022, C-239 del 26 de julio de 2022, C-324 del 19 de mayo de 2022, C-447 del 19 de julio de 2022, C-456 del 15 de julio de 2022, C-592 del 20 de septiembre de 2022, C-623 del 29 de septiembre de 2022, C-837 del 6 de diciembre de 2022, C-841 del 6 de diciembre de 2022, C-929 del 30 de diciembre de 2022, C-128 del 18 de mayo de 2023, C-146 de 13 de junio de 2023, C-261 del 13 de julio de 2023, C-466 del 01 de diciembre de 2023, C-088 de 2024 del 13 junio de 2024,  C-593 del 11/12/2024, entre otros.</w:t>
      </w:r>
      <w:r w:rsidRPr="008E6B63">
        <w:rPr>
          <w:rFonts w:ascii="Verdana" w:hAnsi="Verdana"/>
        </w:rPr>
        <w:t xml:space="preserve"> </w:t>
      </w:r>
      <w:r w:rsidRPr="008E6B63">
        <w:rPr>
          <w:rFonts w:ascii="Verdana" w:hAnsi="Verdana"/>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8E6B63">
          <w:rPr>
            <w:rStyle w:val="Hipervnculo"/>
            <w:rFonts w:ascii="Verdana" w:hAnsi="Verdana" w:cs="Arial"/>
            <w:shd w:val="clear" w:color="auto" w:fill="FFFFFF"/>
          </w:rPr>
          <w:t>https://relatoria.colombiacompra.gov.co/</w:t>
        </w:r>
      </w:hyperlink>
    </w:p>
    <w:p w14:paraId="29B27E81" w14:textId="0EA491C0" w:rsidR="00CF7DE9" w:rsidRPr="008E6B63" w:rsidRDefault="00CF7DE9" w:rsidP="008F4DAA">
      <w:pPr>
        <w:spacing w:line="276" w:lineRule="auto"/>
        <w:jc w:val="both"/>
        <w:rPr>
          <w:rFonts w:ascii="Verdana" w:hAnsi="Verdana"/>
        </w:rPr>
      </w:pPr>
      <w:r w:rsidRPr="008E6B63">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FABF082" w14:textId="77777777" w:rsidR="00CF7DE9" w:rsidRPr="008E6B63" w:rsidRDefault="00CF7DE9" w:rsidP="008F4DAA">
      <w:pPr>
        <w:pStyle w:val="Prrafodelista"/>
        <w:numPr>
          <w:ilvl w:val="0"/>
          <w:numId w:val="20"/>
        </w:numPr>
        <w:spacing w:line="276" w:lineRule="auto"/>
        <w:jc w:val="both"/>
        <w:rPr>
          <w:rFonts w:ascii="Verdana" w:eastAsia="Verdana" w:hAnsi="Verdana" w:cs="Verdana"/>
          <w:color w:val="4472C4" w:themeColor="accent1"/>
          <w:u w:val="single"/>
        </w:rPr>
      </w:pPr>
      <w:r w:rsidRPr="008E6B63">
        <w:rPr>
          <w:rFonts w:ascii="Verdana" w:eastAsia="Verdana" w:hAnsi="Verdana" w:cs="Verdana"/>
        </w:rPr>
        <w:t xml:space="preserve">Línea nacional gratuita o servicio a la ciudadanía (Mesa de servicio): </w:t>
      </w:r>
      <w:r w:rsidRPr="008E6B63">
        <w:rPr>
          <w:rStyle w:val="Hipervnculo"/>
          <w:rFonts w:ascii="Verdana" w:hAnsi="Verdana"/>
          <w:lang w:val="es-CO"/>
        </w:rPr>
        <w:t>01800 0520808</w:t>
      </w:r>
    </w:p>
    <w:p w14:paraId="4236764E" w14:textId="77777777" w:rsidR="00CF7DE9" w:rsidRPr="008E6B63" w:rsidRDefault="00CF7DE9" w:rsidP="008F4DAA">
      <w:pPr>
        <w:pStyle w:val="Prrafodelista"/>
        <w:numPr>
          <w:ilvl w:val="0"/>
          <w:numId w:val="20"/>
        </w:numPr>
        <w:spacing w:line="276" w:lineRule="auto"/>
        <w:jc w:val="both"/>
        <w:rPr>
          <w:rFonts w:ascii="Verdana" w:eastAsia="Verdana" w:hAnsi="Verdana" w:cs="Verdana"/>
          <w:color w:val="4472C4" w:themeColor="accent1"/>
          <w:u w:val="single"/>
        </w:rPr>
      </w:pPr>
      <w:r w:rsidRPr="008E6B63">
        <w:rPr>
          <w:rFonts w:ascii="Verdana" w:eastAsia="Verdana" w:hAnsi="Verdana" w:cs="Verdana"/>
        </w:rPr>
        <w:t>Línea en Bogotá (Mesa de servicio</w:t>
      </w:r>
      <w:proofErr w:type="gramStart"/>
      <w:r w:rsidRPr="008E6B63">
        <w:rPr>
          <w:rFonts w:ascii="Verdana" w:eastAsia="Verdana" w:hAnsi="Verdana" w:cs="Verdana"/>
        </w:rPr>
        <w:t>):</w:t>
      </w:r>
      <w:r w:rsidRPr="008E6B63">
        <w:rPr>
          <w:rStyle w:val="Hipervnculo"/>
          <w:rFonts w:ascii="Verdana" w:hAnsi="Verdana"/>
          <w:lang w:val="es-CO"/>
        </w:rPr>
        <w:t>+</w:t>
      </w:r>
      <w:proofErr w:type="gramEnd"/>
      <w:r w:rsidRPr="008E6B63">
        <w:rPr>
          <w:rStyle w:val="Hipervnculo"/>
          <w:rFonts w:ascii="Verdana" w:hAnsi="Verdana"/>
          <w:lang w:val="es-CO"/>
        </w:rPr>
        <w:t>57 601 7456788</w:t>
      </w:r>
    </w:p>
    <w:p w14:paraId="3E656853" w14:textId="77777777" w:rsidR="00CF7DE9" w:rsidRPr="008E6B63" w:rsidRDefault="00CF7DE9" w:rsidP="008F4DAA">
      <w:pPr>
        <w:pStyle w:val="Prrafodelista"/>
        <w:numPr>
          <w:ilvl w:val="0"/>
          <w:numId w:val="20"/>
        </w:numPr>
        <w:spacing w:line="276" w:lineRule="auto"/>
        <w:jc w:val="both"/>
        <w:rPr>
          <w:rFonts w:ascii="Verdana" w:eastAsia="Verdana" w:hAnsi="Verdana" w:cs="Verdana"/>
          <w:color w:val="0000FF"/>
          <w:u w:val="single"/>
        </w:rPr>
      </w:pPr>
      <w:r w:rsidRPr="008E6B63">
        <w:rPr>
          <w:rFonts w:ascii="Verdana" w:eastAsia="Verdana" w:hAnsi="Verdana" w:cs="Verdana"/>
        </w:rPr>
        <w:t xml:space="preserve">Correo de radicación de correspondencia: </w:t>
      </w:r>
      <w:hyperlink r:id="rId15" w:history="1">
        <w:r w:rsidRPr="008E6B63">
          <w:rPr>
            <w:rStyle w:val="Hipervnculo"/>
            <w:rFonts w:ascii="Verdana" w:eastAsia="Verdana" w:hAnsi="Verdana" w:cs="Verdana"/>
            <w:lang w:val="es-CO"/>
          </w:rPr>
          <w:t>ventanilladeradicacion@colombiacompra.gov.co</w:t>
        </w:r>
      </w:hyperlink>
    </w:p>
    <w:p w14:paraId="287C64FD" w14:textId="5087A400" w:rsidR="00CF7DE9" w:rsidRPr="008E6B63" w:rsidRDefault="00CF7DE9" w:rsidP="008F4DAA">
      <w:pPr>
        <w:pStyle w:val="Prrafodelista"/>
        <w:numPr>
          <w:ilvl w:val="0"/>
          <w:numId w:val="20"/>
        </w:numPr>
        <w:spacing w:line="276" w:lineRule="auto"/>
        <w:jc w:val="both"/>
        <w:rPr>
          <w:rFonts w:ascii="Verdana" w:eastAsia="Verdana" w:hAnsi="Verdana" w:cs="Verdana"/>
          <w:color w:val="0000FF"/>
          <w:u w:val="single"/>
        </w:rPr>
      </w:pPr>
      <w:r w:rsidRPr="008E6B63">
        <w:rPr>
          <w:rFonts w:ascii="Verdana" w:eastAsia="Verdana" w:hAnsi="Verdana" w:cs="Verdana"/>
        </w:rPr>
        <w:t xml:space="preserve">Formulario web para PQRSD: </w:t>
      </w:r>
      <w:hyperlink r:id="rId16" w:history="1">
        <w:r w:rsidRPr="008E6B63">
          <w:rPr>
            <w:rStyle w:val="Hipervnculo"/>
            <w:rFonts w:ascii="Verdana" w:eastAsia="Verdana" w:hAnsi="Verdana" w:cs="Verdana"/>
            <w:lang w:val="es-CO"/>
          </w:rPr>
          <w:t>https://www.colombiacompra.gov.co/pqrsd/informacion-importante-antes-de-formular-una-pqrsd</w:t>
        </w:r>
      </w:hyperlink>
    </w:p>
    <w:p w14:paraId="3F6A252D" w14:textId="1FAD65FB" w:rsidR="00CF7DE9" w:rsidRPr="008E6B63" w:rsidRDefault="00CF7DE9" w:rsidP="008F4DAA">
      <w:pPr>
        <w:spacing w:line="276" w:lineRule="auto"/>
        <w:jc w:val="both"/>
        <w:rPr>
          <w:rFonts w:ascii="Verdana" w:hAnsi="Verdana"/>
        </w:rPr>
      </w:pPr>
      <w:r w:rsidRPr="008E6B63">
        <w:rPr>
          <w:rFonts w:ascii="Verdana" w:hAnsi="Verdana"/>
        </w:rPr>
        <w:t>Evalúa el servicio que ofrece la Agencia por el canal de atención de PQRSD en el siguiente enlace:</w:t>
      </w:r>
      <w:r w:rsidR="008E6B63">
        <w:rPr>
          <w:rFonts w:ascii="Verdana" w:hAnsi="Verdana"/>
        </w:rPr>
        <w:t xml:space="preserve"> </w:t>
      </w:r>
      <w:hyperlink r:id="rId17" w:history="1">
        <w:r w:rsidR="008E6B63" w:rsidRPr="0099765C">
          <w:rPr>
            <w:rStyle w:val="Hipervnculo"/>
            <w:rFonts w:ascii="Verdana" w:hAnsi="Verdana"/>
          </w:rPr>
          <w:t>https://forms.office.com/r/pPHyWVs2SZ</w:t>
        </w:r>
      </w:hyperlink>
      <w:r w:rsidRPr="008E6B63">
        <w:rPr>
          <w:rFonts w:ascii="Verdana" w:hAnsi="Verdana"/>
        </w:rPr>
        <w:t xml:space="preserve"> .¡Ayúdanos a mejorar porque el compromiso es de todos!</w:t>
      </w:r>
    </w:p>
    <w:p w14:paraId="19E944F4" w14:textId="280EDA7C" w:rsidR="00CF7DE9" w:rsidRPr="008E6B63" w:rsidRDefault="00CF7DE9" w:rsidP="008F4DAA">
      <w:pPr>
        <w:spacing w:line="276" w:lineRule="auto"/>
        <w:jc w:val="both"/>
        <w:rPr>
          <w:rFonts w:ascii="Verdana" w:hAnsi="Verdana"/>
        </w:rPr>
      </w:pPr>
      <w:r w:rsidRPr="008E6B63">
        <w:rPr>
          <w:rFonts w:ascii="Verdana" w:hAnsi="Verdana"/>
        </w:rPr>
        <w:t xml:space="preserve">Por último, lo invitamos a seguirnos en las redes sociales en las cuales se difunde información institucional: </w:t>
      </w:r>
    </w:p>
    <w:p w14:paraId="2506F5F2" w14:textId="77777777" w:rsidR="00CF7DE9" w:rsidRPr="008E6B63" w:rsidRDefault="00CF7DE9" w:rsidP="008F4DAA">
      <w:pPr>
        <w:pStyle w:val="Prrafodelista"/>
        <w:numPr>
          <w:ilvl w:val="0"/>
          <w:numId w:val="21"/>
        </w:numPr>
        <w:spacing w:line="276" w:lineRule="auto"/>
        <w:jc w:val="both"/>
        <w:rPr>
          <w:rFonts w:ascii="Verdana" w:hAnsi="Verdana"/>
        </w:rPr>
      </w:pPr>
      <w:r w:rsidRPr="008E6B63">
        <w:rPr>
          <w:rFonts w:ascii="Verdana" w:hAnsi="Verdana"/>
        </w:rPr>
        <w:t xml:space="preserve">Twitter: </w:t>
      </w:r>
      <w:r w:rsidRPr="008E6B63">
        <w:rPr>
          <w:rStyle w:val="Hipervnculo"/>
          <w:rFonts w:ascii="Verdana" w:hAnsi="Verdana"/>
        </w:rPr>
        <w:t>@colombiacompra</w:t>
      </w:r>
      <w:r w:rsidRPr="008E6B63">
        <w:rPr>
          <w:rFonts w:ascii="Verdana" w:hAnsi="Verdana"/>
        </w:rPr>
        <w:t xml:space="preserve"> </w:t>
      </w:r>
    </w:p>
    <w:p w14:paraId="17160C53" w14:textId="77777777" w:rsidR="00CF7DE9" w:rsidRPr="008E6B63" w:rsidRDefault="00CF7DE9" w:rsidP="008F4DAA">
      <w:pPr>
        <w:pStyle w:val="Prrafodelista"/>
        <w:numPr>
          <w:ilvl w:val="0"/>
          <w:numId w:val="21"/>
        </w:numPr>
        <w:spacing w:line="276" w:lineRule="auto"/>
        <w:jc w:val="both"/>
        <w:rPr>
          <w:rFonts w:ascii="Verdana" w:hAnsi="Verdana"/>
        </w:rPr>
      </w:pPr>
      <w:r w:rsidRPr="008E6B63">
        <w:rPr>
          <w:rFonts w:ascii="Verdana" w:hAnsi="Verdana"/>
        </w:rPr>
        <w:lastRenderedPageBreak/>
        <w:t xml:space="preserve">Facebook: </w:t>
      </w:r>
      <w:proofErr w:type="spellStart"/>
      <w:r w:rsidRPr="008E6B63">
        <w:rPr>
          <w:rStyle w:val="Hipervnculo"/>
          <w:rFonts w:ascii="Verdana" w:hAnsi="Verdana"/>
        </w:rPr>
        <w:t>ColombiaCompraEficiente</w:t>
      </w:r>
      <w:proofErr w:type="spellEnd"/>
    </w:p>
    <w:p w14:paraId="0A3C6E4F" w14:textId="2B462F33" w:rsidR="00CF7DE9" w:rsidRPr="008E6B63" w:rsidRDefault="00CF7DE9" w:rsidP="008F4DAA">
      <w:pPr>
        <w:pStyle w:val="Prrafodelista"/>
        <w:numPr>
          <w:ilvl w:val="0"/>
          <w:numId w:val="21"/>
        </w:numPr>
        <w:spacing w:line="276" w:lineRule="auto"/>
        <w:jc w:val="both"/>
        <w:rPr>
          <w:rFonts w:ascii="Verdana" w:hAnsi="Verdana"/>
        </w:rPr>
      </w:pPr>
      <w:r w:rsidRPr="008E6B63">
        <w:rPr>
          <w:rFonts w:ascii="Verdana" w:hAnsi="Verdana"/>
        </w:rPr>
        <w:t xml:space="preserve">LinkedIn: </w:t>
      </w:r>
      <w:r w:rsidRPr="008E6B63">
        <w:rPr>
          <w:rStyle w:val="Hipervnculo"/>
          <w:rFonts w:ascii="Verdana" w:hAnsi="Verdana"/>
        </w:rPr>
        <w:t>Agencia Nacional de Contratación Pública - Colombia Compra Eficiente</w:t>
      </w:r>
      <w:r w:rsidRPr="008E6B63">
        <w:rPr>
          <w:rFonts w:ascii="Verdana" w:hAnsi="Verdana"/>
        </w:rPr>
        <w:t xml:space="preserve"> Instagram: </w:t>
      </w:r>
      <w:r w:rsidRPr="008E6B63">
        <w:rPr>
          <w:rStyle w:val="Hipervnculo"/>
          <w:rFonts w:ascii="Verdana" w:hAnsi="Verdana"/>
        </w:rPr>
        <w:t>@colombiacompraeficiente_cce</w:t>
      </w:r>
    </w:p>
    <w:p w14:paraId="4B608B7D" w14:textId="77777777" w:rsidR="00CF7DE9" w:rsidRPr="008E6B63" w:rsidRDefault="00CF7DE9" w:rsidP="008F4DAA">
      <w:pPr>
        <w:spacing w:line="276" w:lineRule="auto"/>
        <w:jc w:val="both"/>
        <w:rPr>
          <w:rFonts w:ascii="Verdana" w:eastAsia="Calibri" w:hAnsi="Verdana" w:cs="Times New Roman"/>
          <w:bCs/>
        </w:rPr>
      </w:pPr>
      <w:r w:rsidRPr="008E6B63">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10B3F83" w14:textId="77777777" w:rsidR="00171C07" w:rsidRDefault="00171C07" w:rsidP="00171C07">
      <w:pPr>
        <w:spacing w:after="0" w:line="276" w:lineRule="auto"/>
        <w:rPr>
          <w:rFonts w:ascii="Verdana" w:hAnsi="Verdana"/>
        </w:rPr>
      </w:pPr>
      <w:bookmarkStart w:id="19" w:name="_Hlk117695077"/>
    </w:p>
    <w:p w14:paraId="664D3318" w14:textId="71305A91" w:rsidR="00CF7DE9" w:rsidRPr="00BC5D50" w:rsidRDefault="00CF7DE9" w:rsidP="00171C07">
      <w:pPr>
        <w:spacing w:after="0" w:line="276" w:lineRule="auto"/>
        <w:rPr>
          <w:rFonts w:ascii="Verdana" w:eastAsia="Times New Roman" w:hAnsi="Verdana" w:cs="Arial"/>
          <w:lang w:eastAsia="es-CO"/>
        </w:rPr>
      </w:pPr>
      <w:r w:rsidRPr="00BC5D50">
        <w:rPr>
          <w:rFonts w:ascii="Verdana" w:eastAsia="Times New Roman" w:hAnsi="Verdana" w:cs="Arial"/>
          <w:lang w:eastAsia="es-CO"/>
        </w:rPr>
        <w:t xml:space="preserve">Atentamente, </w:t>
      </w:r>
    </w:p>
    <w:p w14:paraId="2A4187EE" w14:textId="698DA1BE" w:rsidR="00230B5F" w:rsidRPr="00230B5F" w:rsidRDefault="00230B5F" w:rsidP="00230B5F">
      <w:pPr>
        <w:spacing w:after="0" w:line="276" w:lineRule="auto"/>
        <w:ind w:firstLine="709"/>
        <w:jc w:val="center"/>
        <w:rPr>
          <w:rFonts w:ascii="Verdana" w:eastAsia="Times New Roman" w:hAnsi="Verdana" w:cs="Arial"/>
          <w:lang w:eastAsia="es-CO"/>
        </w:rPr>
      </w:pPr>
      <w:r w:rsidRPr="00230B5F">
        <w:rPr>
          <w:rFonts w:ascii="Verdana" w:eastAsia="Times New Roman" w:hAnsi="Verdana" w:cs="Arial"/>
          <w:lang w:eastAsia="es-CO"/>
        </w:rPr>
        <w:drawing>
          <wp:inline distT="0" distB="0" distL="0" distR="0" wp14:anchorId="78532F11" wp14:editId="1FD55893">
            <wp:extent cx="3771900" cy="1400175"/>
            <wp:effectExtent l="0" t="0" r="0" b="9525"/>
            <wp:docPr id="1730501892"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501892" name="Imagen 2" descr="Texto&#10;&#10;El contenido generado por IA puede ser incorrect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bookmarkEnd w:id="19"/>
    <w:p w14:paraId="6227937C" w14:textId="77777777" w:rsidR="00CF7DE9" w:rsidRPr="00BC5D50" w:rsidRDefault="00CF7DE9" w:rsidP="00A9272D">
      <w:pPr>
        <w:spacing w:after="0" w:line="276" w:lineRule="auto"/>
        <w:ind w:firstLine="709"/>
        <w:jc w:val="center"/>
        <w:rPr>
          <w:rFonts w:ascii="Verdana" w:eastAsia="Times New Roman" w:hAnsi="Verdana" w:cs="Arial"/>
        </w:rPr>
      </w:pPr>
    </w:p>
    <w:p w14:paraId="2351E446" w14:textId="77777777" w:rsidR="00CF7DE9" w:rsidRPr="00BC5D50" w:rsidRDefault="00CF7DE9" w:rsidP="00A9272D">
      <w:pPr>
        <w:spacing w:after="0" w:line="276" w:lineRule="auto"/>
        <w:ind w:firstLine="709"/>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7DE9" w:rsidRPr="0043165F" w14:paraId="51B3C8DE" w14:textId="77777777" w:rsidTr="00E26F18">
        <w:trPr>
          <w:trHeight w:val="315"/>
        </w:trPr>
        <w:tc>
          <w:tcPr>
            <w:tcW w:w="893" w:type="dxa"/>
            <w:vAlign w:val="center"/>
            <w:hideMark/>
          </w:tcPr>
          <w:p w14:paraId="17AF1E4F" w14:textId="77777777" w:rsidR="00CF7DE9" w:rsidRPr="0043165F" w:rsidRDefault="00CF7DE9" w:rsidP="0043165F">
            <w:pPr>
              <w:rPr>
                <w:rFonts w:ascii="Verdana" w:hAnsi="Verdana"/>
                <w:sz w:val="16"/>
                <w:szCs w:val="16"/>
                <w:lang w:eastAsia="es-ES"/>
              </w:rPr>
            </w:pPr>
            <w:r w:rsidRPr="0043165F">
              <w:rPr>
                <w:rFonts w:ascii="Verdana" w:hAnsi="Verdana"/>
                <w:sz w:val="16"/>
                <w:szCs w:val="16"/>
                <w:lang w:eastAsia="es-ES"/>
              </w:rPr>
              <w:t>Elaboró:</w:t>
            </w:r>
          </w:p>
        </w:tc>
        <w:tc>
          <w:tcPr>
            <w:tcW w:w="5628" w:type="dxa"/>
            <w:tcBorders>
              <w:top w:val="nil"/>
              <w:left w:val="nil"/>
              <w:bottom w:val="dotted" w:sz="4" w:space="0" w:color="7F7F7F"/>
              <w:right w:val="nil"/>
            </w:tcBorders>
            <w:vAlign w:val="center"/>
            <w:hideMark/>
          </w:tcPr>
          <w:p w14:paraId="342A7E1D" w14:textId="77777777" w:rsidR="00CF7DE9" w:rsidRPr="0043165F" w:rsidRDefault="00CF7DE9" w:rsidP="0043165F">
            <w:pPr>
              <w:rPr>
                <w:rFonts w:ascii="Verdana" w:eastAsia="Arial" w:hAnsi="Verdana"/>
                <w:sz w:val="16"/>
                <w:szCs w:val="16"/>
              </w:rPr>
            </w:pPr>
            <w:r w:rsidRPr="0043165F">
              <w:rPr>
                <w:rFonts w:ascii="Verdana" w:eastAsia="Arial" w:hAnsi="Verdana"/>
                <w:sz w:val="16"/>
                <w:szCs w:val="16"/>
              </w:rPr>
              <w:t>Ángela María Olmos Andrade</w:t>
            </w:r>
          </w:p>
          <w:p w14:paraId="5D34E7F7" w14:textId="77777777" w:rsidR="00CF7DE9" w:rsidRPr="0043165F" w:rsidRDefault="00CF7DE9" w:rsidP="0043165F">
            <w:pPr>
              <w:rPr>
                <w:rFonts w:ascii="Verdana" w:eastAsia="Arial" w:hAnsi="Verdana"/>
                <w:sz w:val="16"/>
                <w:szCs w:val="16"/>
              </w:rPr>
            </w:pPr>
            <w:r w:rsidRPr="0043165F">
              <w:rPr>
                <w:rFonts w:ascii="Verdana" w:eastAsia="Arial" w:hAnsi="Verdana"/>
                <w:sz w:val="16"/>
                <w:szCs w:val="16"/>
              </w:rPr>
              <w:t>Analista T2 - 02 de la Subdirección de Gestión Contractual</w:t>
            </w:r>
          </w:p>
        </w:tc>
      </w:tr>
      <w:tr w:rsidR="00CF7DE9" w:rsidRPr="0043165F" w14:paraId="4F940950" w14:textId="77777777" w:rsidTr="00E26F18">
        <w:trPr>
          <w:trHeight w:val="330"/>
        </w:trPr>
        <w:tc>
          <w:tcPr>
            <w:tcW w:w="893" w:type="dxa"/>
            <w:vAlign w:val="center"/>
            <w:hideMark/>
          </w:tcPr>
          <w:p w14:paraId="792DDA31" w14:textId="77777777" w:rsidR="00CF7DE9" w:rsidRPr="0043165F" w:rsidRDefault="00CF7DE9" w:rsidP="0043165F">
            <w:pPr>
              <w:rPr>
                <w:rFonts w:ascii="Verdana" w:hAnsi="Verdana"/>
                <w:sz w:val="16"/>
                <w:szCs w:val="16"/>
                <w:lang w:eastAsia="es-ES"/>
              </w:rPr>
            </w:pPr>
            <w:r w:rsidRPr="0043165F">
              <w:rPr>
                <w:rFonts w:ascii="Verdana" w:hAnsi="Verdana"/>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6F187911" w14:textId="77777777" w:rsidR="00CF7DE9" w:rsidRPr="0043165F" w:rsidRDefault="00CF7DE9" w:rsidP="0043165F">
            <w:pPr>
              <w:rPr>
                <w:rFonts w:ascii="Verdana" w:hAnsi="Verdana"/>
                <w:sz w:val="16"/>
                <w:szCs w:val="16"/>
              </w:rPr>
            </w:pPr>
            <w:r w:rsidRPr="0043165F">
              <w:rPr>
                <w:rFonts w:ascii="Verdana" w:hAnsi="Verdana"/>
                <w:sz w:val="16"/>
                <w:szCs w:val="16"/>
              </w:rPr>
              <w:t>Adriana Katherine López Rodríguez</w:t>
            </w:r>
          </w:p>
          <w:p w14:paraId="18E97757" w14:textId="77777777" w:rsidR="00CF7DE9" w:rsidRPr="0043165F" w:rsidRDefault="00CF7DE9" w:rsidP="0043165F">
            <w:pPr>
              <w:rPr>
                <w:rFonts w:ascii="Verdana" w:hAnsi="Verdana"/>
                <w:sz w:val="16"/>
                <w:szCs w:val="16"/>
              </w:rPr>
            </w:pPr>
            <w:r w:rsidRPr="0043165F">
              <w:rPr>
                <w:rFonts w:ascii="Verdana" w:hAnsi="Verdana"/>
                <w:sz w:val="16"/>
                <w:szCs w:val="16"/>
              </w:rPr>
              <w:t>Contratista de la Subdirección de Gestión Contractual</w:t>
            </w:r>
          </w:p>
        </w:tc>
      </w:tr>
      <w:tr w:rsidR="00CF7DE9" w:rsidRPr="0043165F" w14:paraId="1A96A996" w14:textId="77777777" w:rsidTr="00E26F18">
        <w:trPr>
          <w:trHeight w:val="300"/>
        </w:trPr>
        <w:tc>
          <w:tcPr>
            <w:tcW w:w="893" w:type="dxa"/>
            <w:vAlign w:val="center"/>
            <w:hideMark/>
          </w:tcPr>
          <w:p w14:paraId="7D36318D" w14:textId="77777777" w:rsidR="00CF7DE9" w:rsidRPr="0043165F" w:rsidRDefault="00CF7DE9" w:rsidP="0043165F">
            <w:pPr>
              <w:rPr>
                <w:rFonts w:ascii="Verdana" w:hAnsi="Verdana"/>
                <w:sz w:val="16"/>
                <w:szCs w:val="16"/>
                <w:lang w:eastAsia="es-ES"/>
              </w:rPr>
            </w:pPr>
            <w:r w:rsidRPr="0043165F">
              <w:rPr>
                <w:rFonts w:ascii="Verdana" w:hAnsi="Verdana"/>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2317F937" w14:textId="77777777" w:rsidR="00CF7DE9" w:rsidRPr="0043165F" w:rsidRDefault="00CF7DE9" w:rsidP="0043165F">
            <w:pPr>
              <w:rPr>
                <w:rFonts w:ascii="Verdana" w:hAnsi="Verdana"/>
                <w:sz w:val="16"/>
                <w:szCs w:val="16"/>
              </w:rPr>
            </w:pPr>
            <w:r w:rsidRPr="0043165F">
              <w:rPr>
                <w:rFonts w:ascii="Verdana" w:hAnsi="Verdana"/>
                <w:sz w:val="16"/>
                <w:szCs w:val="16"/>
              </w:rPr>
              <w:t>Carolina Quintero Gacharná</w:t>
            </w:r>
          </w:p>
          <w:p w14:paraId="69C08AB8" w14:textId="77777777" w:rsidR="00CF7DE9" w:rsidRPr="0043165F" w:rsidRDefault="00CF7DE9" w:rsidP="0043165F">
            <w:pPr>
              <w:rPr>
                <w:rFonts w:ascii="Verdana" w:hAnsi="Verdana"/>
                <w:sz w:val="16"/>
                <w:szCs w:val="16"/>
              </w:rPr>
            </w:pPr>
            <w:r w:rsidRPr="0043165F">
              <w:rPr>
                <w:rFonts w:ascii="Verdana" w:hAnsi="Verdana"/>
                <w:sz w:val="16"/>
                <w:szCs w:val="16"/>
              </w:rPr>
              <w:t>Subdirectora de Gestión Contractual ANCP – CCE</w:t>
            </w:r>
          </w:p>
        </w:tc>
      </w:tr>
      <w:bookmarkEnd w:id="0"/>
      <w:bookmarkEnd w:id="1"/>
    </w:tbl>
    <w:p w14:paraId="12443EE0" w14:textId="77777777" w:rsidR="00C15139" w:rsidRPr="0024624F" w:rsidRDefault="00C15139" w:rsidP="0043165F">
      <w:pPr>
        <w:tabs>
          <w:tab w:val="left" w:pos="142"/>
          <w:tab w:val="left" w:pos="284"/>
        </w:tabs>
        <w:spacing w:after="0" w:line="276" w:lineRule="auto"/>
        <w:contextualSpacing/>
        <w:jc w:val="both"/>
        <w:rPr>
          <w:rFonts w:ascii="Verdana" w:hAnsi="Verdana"/>
        </w:rPr>
      </w:pPr>
    </w:p>
    <w:sectPr w:rsidR="00C15139" w:rsidRPr="0024624F"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D643C" w14:textId="77777777" w:rsidR="00250393" w:rsidRDefault="00250393" w:rsidP="004A1847">
      <w:pPr>
        <w:spacing w:after="0" w:line="240" w:lineRule="auto"/>
      </w:pPr>
      <w:r>
        <w:separator/>
      </w:r>
    </w:p>
  </w:endnote>
  <w:endnote w:type="continuationSeparator" w:id="0">
    <w:p w14:paraId="3FB4012D" w14:textId="77777777" w:rsidR="00250393" w:rsidRDefault="00250393" w:rsidP="004A1847">
      <w:pPr>
        <w:spacing w:after="0" w:line="240" w:lineRule="auto"/>
      </w:pPr>
      <w:r>
        <w:continuationSeparator/>
      </w:r>
    </w:p>
  </w:endnote>
  <w:endnote w:type="continuationNotice" w:id="1">
    <w:p w14:paraId="02A2FACD" w14:textId="77777777" w:rsidR="00250393" w:rsidRDefault="002503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221BA" w14:textId="77777777" w:rsidR="00250393" w:rsidRDefault="00250393" w:rsidP="004A1847">
      <w:pPr>
        <w:spacing w:after="0" w:line="240" w:lineRule="auto"/>
      </w:pPr>
      <w:r>
        <w:separator/>
      </w:r>
    </w:p>
  </w:footnote>
  <w:footnote w:type="continuationSeparator" w:id="0">
    <w:p w14:paraId="4B069B43" w14:textId="77777777" w:rsidR="00250393" w:rsidRDefault="00250393" w:rsidP="004A1847">
      <w:pPr>
        <w:spacing w:after="0" w:line="240" w:lineRule="auto"/>
      </w:pPr>
      <w:r>
        <w:continuationSeparator/>
      </w:r>
    </w:p>
  </w:footnote>
  <w:footnote w:type="continuationNotice" w:id="1">
    <w:p w14:paraId="4739ED9B" w14:textId="77777777" w:rsidR="00250393" w:rsidRDefault="00250393">
      <w:pPr>
        <w:spacing w:after="0" w:line="240" w:lineRule="auto"/>
      </w:pPr>
    </w:p>
  </w:footnote>
  <w:footnote w:id="2">
    <w:p w14:paraId="49953A0A" w14:textId="77777777" w:rsidR="00CF7DE9" w:rsidRPr="00B44D5C" w:rsidRDefault="00CF7DE9" w:rsidP="00CF7DE9">
      <w:pPr>
        <w:pStyle w:val="NormalWeb"/>
        <w:snapToGrid w:val="0"/>
        <w:spacing w:before="0" w:beforeAutospacing="0" w:after="0" w:afterAutospacing="0"/>
        <w:ind w:firstLine="709"/>
        <w:contextualSpacing/>
        <w:jc w:val="both"/>
        <w:rPr>
          <w:rFonts w:ascii="Verdana" w:hAnsi="Verdana" w:cs="Arial"/>
          <w:sz w:val="14"/>
          <w:szCs w:val="14"/>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val="es-ES"/>
        </w:rPr>
        <w:t>“</w:t>
      </w:r>
      <w:r w:rsidRPr="00B44D5C">
        <w:rPr>
          <w:rFonts w:ascii="Verdana" w:hAnsi="Verdana" w:cs="Arial"/>
          <w:sz w:val="14"/>
          <w:szCs w:val="14"/>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7CE0646D" w14:textId="77777777" w:rsidR="00CF7DE9" w:rsidRPr="00B44D5C" w:rsidRDefault="00CF7DE9" w:rsidP="00CF7DE9">
      <w:pPr>
        <w:snapToGrid w:val="0"/>
        <w:spacing w:after="0" w:line="240" w:lineRule="auto"/>
        <w:ind w:firstLine="708"/>
        <w:contextualSpacing/>
        <w:jc w:val="both"/>
        <w:rPr>
          <w:rFonts w:ascii="Verdana" w:hAnsi="Verdana" w:cs="Arial"/>
          <w:sz w:val="14"/>
          <w:szCs w:val="14"/>
        </w:rPr>
      </w:pPr>
      <w:r w:rsidRPr="00B44D5C">
        <w:rPr>
          <w:rFonts w:ascii="Verdana" w:hAnsi="Verdana" w:cs="Arial"/>
          <w:sz w:val="14"/>
          <w:szCs w:val="14"/>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3">
    <w:p w14:paraId="47799EC9" w14:textId="77777777" w:rsidR="00CF7DE9" w:rsidRPr="00B44D5C" w:rsidRDefault="00CF7DE9" w:rsidP="00CF7DE9">
      <w:pPr>
        <w:pStyle w:val="Textonotapie"/>
        <w:ind w:firstLine="708"/>
        <w:contextualSpacing/>
        <w:jc w:val="both"/>
        <w:rPr>
          <w:rFonts w:ascii="Verdana" w:hAnsi="Verdana"/>
          <w:sz w:val="14"/>
          <w:szCs w:val="14"/>
        </w:rPr>
      </w:pPr>
      <w:r w:rsidRPr="00B44D5C">
        <w:rPr>
          <w:rStyle w:val="Refdenotaalpie"/>
          <w:rFonts w:ascii="Verdana" w:hAnsi="Verdana"/>
          <w:sz w:val="14"/>
          <w:szCs w:val="14"/>
        </w:rPr>
        <w:footnoteRef/>
      </w:r>
      <w:r w:rsidRPr="00B44D5C">
        <w:rPr>
          <w:rFonts w:ascii="Verdana" w:hAnsi="Verdana"/>
          <w:sz w:val="14"/>
          <w:szCs w:val="14"/>
        </w:rPr>
        <w:t xml:space="preserve"> El </w:t>
      </w:r>
      <w:r w:rsidRPr="00B44D5C">
        <w:rPr>
          <w:rFonts w:ascii="Verdana" w:eastAsia="Times New Roman" w:hAnsi="Verdana" w:cs="Arial"/>
          <w:sz w:val="14"/>
          <w:szCs w:val="14"/>
          <w:lang w:val="es-ES" w:eastAsia="es-MX"/>
        </w:rPr>
        <w:t>“Manual para determinar y verificar los requisitos habilitantes en los Procesos de Contratación”</w:t>
      </w:r>
      <w:r w:rsidRPr="00B44D5C">
        <w:rPr>
          <w:rFonts w:ascii="Verdana" w:eastAsia="Calibri" w:hAnsi="Verdana" w:cs="Arial"/>
          <w:sz w:val="14"/>
          <w:szCs w:val="14"/>
          <w:lang w:val="es-ES" w:eastAsia="es-MX"/>
        </w:rPr>
        <w:t>,</w:t>
      </w:r>
      <w:r w:rsidRPr="00B44D5C">
        <w:rPr>
          <w:rFonts w:ascii="Verdana" w:eastAsia="Times New Roman" w:hAnsi="Verdana" w:cs="Arial"/>
          <w:sz w:val="14"/>
          <w:szCs w:val="14"/>
          <w:lang w:val="es-ES" w:eastAsia="es-MX"/>
        </w:rPr>
        <w:t xml:space="preserve"> expedido por la </w:t>
      </w:r>
      <w:r w:rsidRPr="00B44D5C">
        <w:rPr>
          <w:rFonts w:ascii="Verdana" w:eastAsia="Calibri" w:hAnsi="Verdana" w:cs="Arial"/>
          <w:sz w:val="14"/>
          <w:szCs w:val="14"/>
          <w:lang w:val="es-ES" w:eastAsia="es-MX"/>
        </w:rPr>
        <w:t xml:space="preserve">Agencia Nacional de Contratación Pública – Colombia Compra Eficiente, puede ser consultado en el siguiente enlace: </w:t>
      </w:r>
      <w:hyperlink r:id="rId1" w:history="1">
        <w:r w:rsidRPr="00B44D5C">
          <w:rPr>
            <w:rStyle w:val="Hipervnculo"/>
            <w:rFonts w:ascii="Verdana" w:eastAsia="Calibri" w:hAnsi="Verdana" w:cs="Arial"/>
            <w:sz w:val="14"/>
            <w:szCs w:val="14"/>
            <w:lang w:val="es-ES" w:eastAsia="es-MX"/>
          </w:rPr>
          <w:t>https://colombiacompra.gov.co/sites/cce_public/files/cce_documents/cce-eicp-ma-04._manual_requisitos_habilitantes_v3_29-09-2023.pdf</w:t>
        </w:r>
      </w:hyperlink>
      <w:r w:rsidRPr="00B44D5C">
        <w:rPr>
          <w:rFonts w:ascii="Verdana" w:eastAsia="Calibri" w:hAnsi="Verdana" w:cs="Arial"/>
          <w:sz w:val="14"/>
          <w:szCs w:val="14"/>
          <w:lang w:val="es-ES" w:eastAsia="es-MX"/>
        </w:rPr>
        <w:t xml:space="preserve">  </w:t>
      </w:r>
    </w:p>
  </w:footnote>
  <w:footnote w:id="4">
    <w:p w14:paraId="1FCD6228" w14:textId="77777777" w:rsidR="00CF7DE9" w:rsidRPr="00B44D5C" w:rsidRDefault="00CF7DE9" w:rsidP="00CF7DE9">
      <w:pPr>
        <w:pStyle w:val="NormalWeb"/>
        <w:snapToGrid w:val="0"/>
        <w:spacing w:before="0" w:beforeAutospacing="0" w:after="0" w:afterAutospacing="0"/>
        <w:ind w:firstLine="709"/>
        <w:contextualSpacing/>
        <w:jc w:val="both"/>
        <w:rPr>
          <w:rFonts w:ascii="Verdana" w:hAnsi="Verdana" w:cs="Arial"/>
          <w:sz w:val="14"/>
          <w:szCs w:val="14"/>
          <w:lang w:val="es-ES"/>
        </w:rPr>
      </w:pPr>
      <w:r w:rsidRPr="00B44D5C">
        <w:rPr>
          <w:rStyle w:val="Refdenotaalpie"/>
          <w:rFonts w:ascii="Verdana" w:hAnsi="Verdana" w:cs="Arial"/>
          <w:sz w:val="14"/>
          <w:szCs w:val="14"/>
        </w:rPr>
        <w:footnoteRef/>
      </w:r>
      <w:r w:rsidRPr="00B44D5C">
        <w:rPr>
          <w:rStyle w:val="Refdenotaalpie"/>
          <w:rFonts w:ascii="Verdana" w:hAnsi="Verdana" w:cs="Arial"/>
          <w:sz w:val="14"/>
          <w:szCs w:val="14"/>
        </w:rPr>
        <w:t xml:space="preserve"> </w:t>
      </w:r>
      <w:r w:rsidRPr="00B44D5C">
        <w:rPr>
          <w:rFonts w:ascii="Verdana" w:hAnsi="Verdana" w:cs="Arial"/>
          <w:sz w:val="14"/>
          <w:szCs w:val="14"/>
        </w:rPr>
        <w:t>“</w:t>
      </w:r>
      <w:r w:rsidRPr="00B44D5C">
        <w:rPr>
          <w:rFonts w:ascii="Verdana" w:hAnsi="Verdana" w:cs="Arial"/>
          <w:sz w:val="14"/>
          <w:szCs w:val="14"/>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53B69E8" w14:textId="77777777" w:rsidR="00CF7DE9" w:rsidRPr="00B44D5C" w:rsidRDefault="00CF7DE9" w:rsidP="00CF7DE9">
      <w:pPr>
        <w:pStyle w:val="NormalWeb"/>
        <w:snapToGrid w:val="0"/>
        <w:spacing w:before="0" w:beforeAutospacing="0" w:after="0" w:afterAutospacing="0"/>
        <w:ind w:firstLine="709"/>
        <w:contextualSpacing/>
        <w:jc w:val="both"/>
        <w:rPr>
          <w:rFonts w:ascii="Verdana" w:hAnsi="Verdana" w:cs="Arial"/>
          <w:sz w:val="14"/>
          <w:szCs w:val="14"/>
          <w:lang w:val="es-ES"/>
        </w:rPr>
      </w:pPr>
      <w:r w:rsidRPr="00B44D5C">
        <w:rPr>
          <w:rFonts w:ascii="Verdana" w:hAnsi="Verdana" w:cs="Arial"/>
          <w:sz w:val="14"/>
          <w:szCs w:val="14"/>
          <w:lang w:val="es-ES"/>
        </w:rPr>
        <w:t>Parágrafo Transitorio. 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w:t>
      </w:r>
    </w:p>
    <w:p w14:paraId="717DBB75" w14:textId="4E2F18F4" w:rsidR="005E41DD" w:rsidRPr="00B44D5C" w:rsidRDefault="00CF7DE9" w:rsidP="005E41DD">
      <w:pPr>
        <w:pStyle w:val="NormalWeb"/>
        <w:snapToGrid w:val="0"/>
        <w:spacing w:before="0" w:beforeAutospacing="0" w:after="0" w:afterAutospacing="0"/>
        <w:ind w:firstLine="708"/>
        <w:contextualSpacing/>
        <w:jc w:val="both"/>
        <w:rPr>
          <w:rStyle w:val="Refdenotaalpie"/>
          <w:rFonts w:ascii="Verdana" w:hAnsi="Verdana" w:cs="Arial"/>
          <w:sz w:val="14"/>
          <w:szCs w:val="14"/>
          <w:vertAlign w:val="baseline"/>
          <w:lang w:val="es-ES"/>
        </w:rPr>
      </w:pPr>
      <w:r w:rsidRPr="00B44D5C">
        <w:rPr>
          <w:rFonts w:ascii="Verdana" w:hAnsi="Verdana" w:cs="Arial"/>
          <w:sz w:val="14"/>
          <w:szCs w:val="14"/>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B44D5C">
        <w:rPr>
          <w:rFonts w:ascii="Verdana" w:hAnsi="Verdana" w:cs="Verdana"/>
          <w:sz w:val="14"/>
          <w:szCs w:val="14"/>
          <w:lang w:val="es-ES"/>
        </w:rPr>
        <w:t>”</w:t>
      </w:r>
      <w:r w:rsidR="005E41DD">
        <w:rPr>
          <w:rFonts w:ascii="Verdana" w:hAnsi="Verdana" w:cs="Arial"/>
          <w:sz w:val="14"/>
          <w:szCs w:val="14"/>
          <w:lang w:val="es-ES"/>
        </w:rPr>
        <w:t>.</w:t>
      </w:r>
    </w:p>
  </w:footnote>
  <w:footnote w:id="5">
    <w:p w14:paraId="77BDBED1" w14:textId="77777777" w:rsidR="00CF7DE9" w:rsidRPr="00B44D5C" w:rsidRDefault="00CF7DE9" w:rsidP="00CF7DE9">
      <w:pPr>
        <w:pStyle w:val="Textonotapie"/>
        <w:ind w:firstLine="708"/>
        <w:contextualSpacing/>
        <w:jc w:val="both"/>
        <w:rPr>
          <w:rFonts w:ascii="Verdana" w:hAnsi="Verdana"/>
          <w:sz w:val="14"/>
          <w:szCs w:val="14"/>
        </w:rPr>
      </w:pPr>
      <w:r w:rsidRPr="00B44D5C">
        <w:rPr>
          <w:rStyle w:val="Refdenotaalpie"/>
          <w:rFonts w:ascii="Verdana" w:hAnsi="Verdana"/>
          <w:sz w:val="14"/>
          <w:szCs w:val="14"/>
        </w:rPr>
        <w:footnoteRef/>
      </w:r>
      <w:r w:rsidRPr="00B44D5C">
        <w:rPr>
          <w:rFonts w:ascii="Verdana" w:hAnsi="Verdana"/>
          <w:sz w:val="14"/>
          <w:szCs w:val="14"/>
        </w:rPr>
        <w:t xml:space="preserve"> </w:t>
      </w:r>
      <w:bookmarkStart w:id="16" w:name="44"/>
      <w:r w:rsidRPr="00B44D5C">
        <w:rPr>
          <w:rFonts w:ascii="Verdana" w:hAnsi="Verdana"/>
          <w:sz w:val="14"/>
          <w:szCs w:val="14"/>
        </w:rPr>
        <w:t xml:space="preserve">Sobre el particular el </w:t>
      </w:r>
      <w:r w:rsidRPr="00B44D5C">
        <w:rPr>
          <w:rFonts w:ascii="Verdana" w:hAnsi="Verdana"/>
          <w:sz w:val="14"/>
          <w:szCs w:val="14"/>
          <w:lang w:val="es-CO"/>
        </w:rPr>
        <w:t>artículo 44 de la Ley 1437 de 2011, dispone: “Decisiones Discrecionales.</w:t>
      </w:r>
      <w:bookmarkEnd w:id="16"/>
      <w:r w:rsidRPr="00B44D5C">
        <w:rPr>
          <w:rFonts w:ascii="Verdana" w:hAnsi="Verdana"/>
          <w:sz w:val="14"/>
          <w:szCs w:val="14"/>
          <w:lang w:val="es-CO"/>
        </w:rPr>
        <w:t xml:space="preserve"> En la medida en que el contenido de una decisión de carácter general o particular sea discrecional, debe ser adecuada a los fines de la norma que la autoriza, y proporcional a los hechos que le sirven de causa”.</w:t>
      </w:r>
    </w:p>
  </w:footnote>
  <w:footnote w:id="6">
    <w:p w14:paraId="454E488B" w14:textId="77777777" w:rsidR="00CF7DE9" w:rsidRPr="00B44D5C" w:rsidRDefault="00CF7DE9" w:rsidP="00CF7DE9">
      <w:pPr>
        <w:pStyle w:val="Textonotapie"/>
        <w:snapToGrid w:val="0"/>
        <w:ind w:firstLine="708"/>
        <w:contextualSpacing/>
        <w:jc w:val="both"/>
        <w:rPr>
          <w:rFonts w:ascii="Verdana" w:hAnsi="Verdana" w:cs="Arial"/>
          <w:sz w:val="14"/>
          <w:szCs w:val="14"/>
        </w:rPr>
      </w:pPr>
      <w:r w:rsidRPr="00810146">
        <w:rPr>
          <w:rStyle w:val="Refdenotaalpie"/>
          <w:rFonts w:ascii="Verdana" w:hAnsi="Verdana" w:cs="Arial"/>
          <w:sz w:val="16"/>
          <w:szCs w:val="16"/>
        </w:rPr>
        <w:footnoteRef/>
      </w:r>
      <w:r w:rsidRPr="00810146">
        <w:rPr>
          <w:rFonts w:ascii="Verdana" w:hAnsi="Verdana" w:cs="Arial"/>
          <w:sz w:val="16"/>
          <w:szCs w:val="16"/>
        </w:rPr>
        <w:t xml:space="preserve"> </w:t>
      </w:r>
      <w:r w:rsidRPr="00B44D5C">
        <w:rPr>
          <w:rFonts w:ascii="Verdana" w:hAnsi="Verdana" w:cs="Arial"/>
          <w:sz w:val="14"/>
          <w:szCs w:val="14"/>
        </w:rPr>
        <w:t>Ley 1150 de 2007: “Artículo 6. De la verificación de las condiciones de los proponentes.</w:t>
      </w:r>
      <w:r w:rsidRPr="00B44D5C">
        <w:rPr>
          <w:rFonts w:ascii="Verdana" w:hAnsi="Verdana" w:cs="Arial"/>
          <w:sz w:val="14"/>
          <w:szCs w:val="14"/>
          <w:lang w:eastAsia="es-CO"/>
        </w:rPr>
        <w:t xml:space="preserve"> […]</w:t>
      </w:r>
      <w:r w:rsidRPr="00B44D5C">
        <w:rPr>
          <w:rFonts w:ascii="Verdana" w:hAnsi="Verdana" w:cs="Arial"/>
          <w:sz w:val="14"/>
          <w:szCs w:val="14"/>
        </w:rPr>
        <w:t xml:space="preserve"> </w:t>
      </w:r>
      <w:r w:rsidRPr="00B44D5C">
        <w:rPr>
          <w:rFonts w:ascii="Verdana" w:hAnsi="Verdana" w:cs="Arial"/>
          <w:sz w:val="14"/>
          <w:szCs w:val="14"/>
          <w:lang w:eastAsia="es-CO"/>
        </w:rPr>
        <w:t>“6.1. […] “El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6741D6A2" w14:textId="2B3AADCD" w:rsidR="00CF7DE9" w:rsidRPr="00B44D5C" w:rsidRDefault="00CF7DE9" w:rsidP="00CF7DE9">
      <w:pPr>
        <w:pStyle w:val="Textonotapie"/>
        <w:snapToGrid w:val="0"/>
        <w:contextualSpacing/>
        <w:jc w:val="both"/>
        <w:rPr>
          <w:rFonts w:ascii="Verdana" w:hAnsi="Verdana" w:cs="Arial"/>
          <w:sz w:val="14"/>
          <w:szCs w:val="14"/>
          <w:lang w:eastAsia="es-CO"/>
        </w:rPr>
      </w:pPr>
      <w:r w:rsidRPr="00B44D5C">
        <w:rPr>
          <w:rFonts w:ascii="Verdana" w:hAnsi="Verdana" w:cs="Arial"/>
          <w:sz w:val="14"/>
          <w:szCs w:val="14"/>
          <w:lang w:eastAsia="es-CO"/>
        </w:rPr>
        <w:t xml:space="preserve">No </w:t>
      </w:r>
      <w:r w:rsidR="00DC10D2" w:rsidRPr="00B44D5C">
        <w:rPr>
          <w:rFonts w:ascii="Verdana" w:hAnsi="Verdana" w:cs="Arial"/>
          <w:sz w:val="14"/>
          <w:szCs w:val="14"/>
          <w:lang w:eastAsia="es-CO"/>
        </w:rPr>
        <w:t>obstante,</w:t>
      </w:r>
      <w:r w:rsidRPr="00B44D5C">
        <w:rPr>
          <w:rFonts w:ascii="Verdana" w:hAnsi="Verdana" w:cs="Arial"/>
          <w:sz w:val="14"/>
          <w:szCs w:val="14"/>
          <w:lang w:eastAsia="es-CO"/>
        </w:rPr>
        <w:t xml:space="preserve"> lo anterior, sólo en aquellos casos en que por las características del objeto a contratar se requiera la verificación de requisitos del proponente adicionales a los contenidos en el Registro, la entidad podrá hacer tal verificación en forma directa […]”.</w:t>
      </w:r>
    </w:p>
  </w:footnote>
  <w:footnote w:id="7">
    <w:p w14:paraId="63D3F265" w14:textId="77777777" w:rsidR="00CF7DE9" w:rsidRPr="00B44D5C" w:rsidRDefault="00CF7DE9" w:rsidP="00CF7DE9">
      <w:pPr>
        <w:pStyle w:val="Textonotapie"/>
        <w:snapToGrid w:val="0"/>
        <w:ind w:firstLine="708"/>
        <w:contextualSpacing/>
        <w:jc w:val="both"/>
        <w:rPr>
          <w:rFonts w:ascii="Verdana" w:hAnsi="Verdana" w:cs="Arial"/>
          <w:sz w:val="14"/>
          <w:szCs w:val="14"/>
          <w:lang w:eastAsia="es-CO"/>
        </w:rPr>
      </w:pPr>
      <w:r w:rsidRPr="00B44D5C">
        <w:rPr>
          <w:rStyle w:val="Refdenotaalpie"/>
          <w:rFonts w:ascii="Verdana" w:hAnsi="Verdana" w:cs="Arial"/>
          <w:sz w:val="14"/>
          <w:szCs w:val="14"/>
        </w:rPr>
        <w:footnoteRef/>
      </w:r>
      <w:r w:rsidRPr="00B44D5C">
        <w:rPr>
          <w:rFonts w:ascii="Verdana" w:hAnsi="Verdana" w:cs="Arial"/>
          <w:sz w:val="14"/>
          <w:szCs w:val="14"/>
        </w:rPr>
        <w:t xml:space="preserve"> Ley 1150 de 2007: “Artículo 5. De la selección objetiva.</w:t>
      </w:r>
      <w:r w:rsidRPr="00B44D5C">
        <w:rPr>
          <w:rFonts w:ascii="Verdana" w:hAnsi="Verdana" w:cs="Arial"/>
          <w:sz w:val="14"/>
          <w:szCs w:val="14"/>
          <w:lang w:eastAsia="es-CO"/>
        </w:rPr>
        <w:t xml:space="preserve"> […] “1.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w:t>
      </w:r>
      <w:r w:rsidRPr="00810146">
        <w:rPr>
          <w:rFonts w:ascii="Verdana" w:hAnsi="Verdana" w:cs="Arial"/>
          <w:sz w:val="16"/>
          <w:szCs w:val="16"/>
          <w:lang w:eastAsia="es-CO"/>
        </w:rPr>
        <w:t xml:space="preserve"> </w:t>
      </w:r>
      <w:r w:rsidRPr="00B44D5C">
        <w:rPr>
          <w:rFonts w:ascii="Verdana" w:hAnsi="Verdana" w:cs="Arial"/>
          <w:sz w:val="14"/>
          <w:szCs w:val="14"/>
          <w:lang w:eastAsia="es-CO"/>
        </w:rPr>
        <w:t>conformidad con lo establecido en el artículo 6o de la presente ley, de acuerdo con lo cual se expedirá la respectiva certificación. […]”.</w:t>
      </w:r>
    </w:p>
  </w:footnote>
  <w:footnote w:id="8">
    <w:p w14:paraId="5506FBF5" w14:textId="77777777" w:rsidR="00CF7DE9" w:rsidRPr="00B44D5C" w:rsidRDefault="00CF7DE9" w:rsidP="00CF7DE9">
      <w:pPr>
        <w:pStyle w:val="Textonotapie"/>
        <w:snapToGrid w:val="0"/>
        <w:ind w:firstLine="708"/>
        <w:contextualSpacing/>
        <w:jc w:val="both"/>
        <w:rPr>
          <w:rFonts w:ascii="Verdana" w:hAnsi="Verdana" w:cs="Arial"/>
          <w:sz w:val="14"/>
          <w:szCs w:val="14"/>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eastAsia="es-CO"/>
        </w:rPr>
        <w:t>Consejo de Estado. Sección Tercera. Subsección A. Sentencia del 12 de febrero de 2014. Exp. 31.753. C.P. Mauricio Fajardo Gómez: “El certificado del Registro Único de Proponentes se erigió como “plena prueba” de las circunstancias sometidas al mismo, además de que se estableció que en el procedimiento de contratación no se pueden solicitar de nuevo los mismos documentos verificados por las Cámaras de Comercio según se observa de la disposición contenida en el artículo 5º de la Ley 1150”.</w:t>
      </w:r>
    </w:p>
  </w:footnote>
  <w:footnote w:id="9">
    <w:p w14:paraId="07FCDC18" w14:textId="77777777" w:rsidR="00CF7DE9" w:rsidRPr="00B44D5C" w:rsidRDefault="00CF7DE9" w:rsidP="00CF7DE9">
      <w:pPr>
        <w:pStyle w:val="Textonotapie"/>
        <w:snapToGrid w:val="0"/>
        <w:ind w:firstLine="708"/>
        <w:contextualSpacing/>
        <w:jc w:val="both"/>
        <w:rPr>
          <w:rFonts w:ascii="Verdana" w:hAnsi="Verdana" w:cs="Arial"/>
          <w:sz w:val="14"/>
          <w:szCs w:val="14"/>
          <w:lang w:eastAsia="es-CO"/>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0">
    <w:p w14:paraId="0A944263" w14:textId="77777777" w:rsidR="00CF7DE9" w:rsidRPr="00B44D5C" w:rsidRDefault="00CF7DE9" w:rsidP="00CF7DE9">
      <w:pPr>
        <w:pStyle w:val="Textonotapie"/>
        <w:snapToGrid w:val="0"/>
        <w:ind w:firstLine="708"/>
        <w:contextualSpacing/>
        <w:jc w:val="both"/>
        <w:rPr>
          <w:rFonts w:ascii="Verdana" w:hAnsi="Verdana" w:cs="Arial"/>
          <w:sz w:val="14"/>
          <w:szCs w:val="14"/>
          <w:lang w:eastAsia="es-CO"/>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B44D5C">
        <w:rPr>
          <w:rFonts w:ascii="Verdana" w:hAnsi="Verdana" w:cs="Arial"/>
          <w:sz w:val="14"/>
          <w:szCs w:val="14"/>
          <w:lang w:eastAsia="es-CO"/>
        </w:rPr>
        <w:t>Ley 1150 de 2007: “Artículo 6.  De la verificación de las condiciones de los proponentes. [...] “No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w:t>
      </w:r>
      <w:r w:rsidRPr="00810146">
        <w:rPr>
          <w:rFonts w:ascii="Verdana" w:hAnsi="Verdana" w:cs="Arial"/>
          <w:sz w:val="16"/>
          <w:szCs w:val="16"/>
          <w:lang w:eastAsia="es-CO"/>
        </w:rPr>
        <w:t xml:space="preserve"> </w:t>
      </w:r>
      <w:r w:rsidRPr="00B44D5C">
        <w:rPr>
          <w:rFonts w:ascii="Verdana" w:hAnsi="Verdana" w:cs="Arial"/>
          <w:sz w:val="14"/>
          <w:szCs w:val="14"/>
          <w:lang w:eastAsia="es-CO"/>
        </w:rPr>
        <w:t xml:space="preserve">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11">
    <w:p w14:paraId="74C3963F" w14:textId="77777777" w:rsidR="00CF7DE9" w:rsidRPr="00B44D5C" w:rsidRDefault="00CF7DE9" w:rsidP="00CF7DE9">
      <w:pPr>
        <w:pStyle w:val="Textonotapie"/>
        <w:snapToGrid w:val="0"/>
        <w:ind w:firstLine="709"/>
        <w:jc w:val="both"/>
        <w:rPr>
          <w:rFonts w:ascii="Verdana" w:hAnsi="Verdana" w:cs="Arial"/>
          <w:sz w:val="14"/>
          <w:szCs w:val="14"/>
        </w:rPr>
      </w:pPr>
      <w:r w:rsidRPr="00B44D5C">
        <w:rPr>
          <w:rStyle w:val="Refdenotaalpie"/>
          <w:sz w:val="14"/>
          <w:szCs w:val="14"/>
        </w:rPr>
        <w:footnoteRef/>
      </w:r>
      <w:r w:rsidRPr="00B44D5C">
        <w:rPr>
          <w:sz w:val="14"/>
          <w:szCs w:val="14"/>
        </w:rPr>
        <w:t xml:space="preserve"> </w:t>
      </w:r>
      <w:r w:rsidRPr="00B44D5C">
        <w:rPr>
          <w:rFonts w:ascii="Verdana" w:hAnsi="Verdana" w:cs="Arial"/>
          <w:sz w:val="14"/>
          <w:szCs w:val="14"/>
        </w:rPr>
        <w:t>Ley 1150 de 2007: “Artículo 5.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0E67D744" w14:textId="77777777" w:rsidR="00CF7DE9" w:rsidRPr="00B44D5C" w:rsidRDefault="00CF7DE9" w:rsidP="00CF7DE9">
      <w:pPr>
        <w:pStyle w:val="Textonotapie"/>
        <w:snapToGrid w:val="0"/>
        <w:ind w:firstLine="709"/>
        <w:jc w:val="both"/>
        <w:rPr>
          <w:rFonts w:ascii="Verdana" w:hAnsi="Verdana" w:cs="Arial"/>
          <w:sz w:val="14"/>
          <w:szCs w:val="14"/>
        </w:rPr>
      </w:pPr>
      <w:r w:rsidRPr="00B44D5C">
        <w:rPr>
          <w:rFonts w:ascii="Verdana" w:hAnsi="Verdana" w:cs="Arial"/>
          <w:sz w:val="14"/>
          <w:szCs w:val="14"/>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footnote>
  <w:footnote w:id="12">
    <w:p w14:paraId="13A758AE" w14:textId="68C4184F" w:rsidR="001F38F7" w:rsidRPr="00B44D5C" w:rsidRDefault="001F38F7" w:rsidP="001F38F7">
      <w:pPr>
        <w:pStyle w:val="Textonotapie"/>
        <w:snapToGrid w:val="0"/>
        <w:ind w:firstLine="709"/>
        <w:jc w:val="both"/>
        <w:rPr>
          <w:rFonts w:ascii="Verdana" w:hAnsi="Verdana" w:cs="Arial"/>
          <w:sz w:val="14"/>
          <w:szCs w:val="14"/>
        </w:rPr>
      </w:pPr>
      <w:r w:rsidRPr="00B44D5C">
        <w:rPr>
          <w:rStyle w:val="Refdenotaalpie"/>
          <w:sz w:val="14"/>
          <w:szCs w:val="14"/>
        </w:rPr>
        <w:footnoteRef/>
      </w:r>
      <w:r w:rsidRPr="00B44D5C">
        <w:rPr>
          <w:sz w:val="14"/>
          <w:szCs w:val="14"/>
        </w:rPr>
        <w:t xml:space="preserve"> </w:t>
      </w:r>
      <w:r w:rsidRPr="00B44D5C">
        <w:rPr>
          <w:rFonts w:ascii="Verdana" w:hAnsi="Verdana" w:cs="Arial"/>
          <w:sz w:val="14"/>
          <w:szCs w:val="14"/>
        </w:rPr>
        <w:t>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13">
    <w:p w14:paraId="3AA79793" w14:textId="77777777" w:rsidR="00CF7DE9" w:rsidRPr="00B44D5C" w:rsidRDefault="00CF7DE9" w:rsidP="00CF7DE9">
      <w:pPr>
        <w:pStyle w:val="Textonotapie"/>
        <w:snapToGrid w:val="0"/>
        <w:ind w:firstLine="709"/>
        <w:jc w:val="both"/>
        <w:rPr>
          <w:rFonts w:ascii="Verdana" w:hAnsi="Verdana" w:cs="Arial"/>
          <w:sz w:val="14"/>
          <w:szCs w:val="14"/>
        </w:rPr>
      </w:pPr>
      <w:r w:rsidRPr="00B44D5C">
        <w:rPr>
          <w:rStyle w:val="Refdenotaalpie"/>
          <w:sz w:val="14"/>
          <w:szCs w:val="14"/>
        </w:rPr>
        <w:footnoteRef/>
      </w:r>
      <w:r w:rsidRPr="00B44D5C">
        <w:rPr>
          <w:sz w:val="14"/>
          <w:szCs w:val="14"/>
        </w:rPr>
        <w:t xml:space="preserve"> </w:t>
      </w:r>
      <w:r w:rsidRPr="00B44D5C">
        <w:rPr>
          <w:rFonts w:ascii="Verdana" w:hAnsi="Verdana" w:cs="Arial"/>
          <w:sz w:val="14"/>
          <w:szCs w:val="14"/>
        </w:rPr>
        <w:t>Decreto 1082 de 2015: “Artículo 2.2.1.1.1.5.3. Requisitos habilitantes contenidos en el RUP. Las cámaras de comercio, con base en la información a la que hace referencia el artículo anterior, deben verificar y certificar los siguientes requisitos habilitantes:</w:t>
      </w:r>
    </w:p>
    <w:p w14:paraId="4A6EA876" w14:textId="77777777" w:rsidR="00CF7DE9" w:rsidRPr="00395683" w:rsidRDefault="00CF7DE9" w:rsidP="00CF7DE9">
      <w:pPr>
        <w:pStyle w:val="Textonotapie"/>
        <w:snapToGrid w:val="0"/>
        <w:ind w:firstLine="709"/>
        <w:jc w:val="both"/>
        <w:rPr>
          <w:rFonts w:ascii="Verdana" w:hAnsi="Verdana" w:cs="Arial"/>
          <w:sz w:val="16"/>
          <w:szCs w:val="16"/>
        </w:rPr>
      </w:pPr>
      <w:r w:rsidRPr="00B44D5C">
        <w:rPr>
          <w:rFonts w:ascii="Verdana" w:hAnsi="Verdana" w:cs="Arial"/>
          <w:sz w:val="14"/>
          <w:szCs w:val="14"/>
        </w:rPr>
        <w:t>1. Experiencia – Los contratos celebrados por el interesado para cada uno de los bienes, obras y servicios que ofrecerá a las Entidades Estatales, identificados con el Clasificador de Bienes y Servicios en el tercer nivel y su valor expresado en SMMLV.</w:t>
      </w:r>
    </w:p>
  </w:footnote>
  <w:footnote w:id="14">
    <w:p w14:paraId="12418A57" w14:textId="77777777" w:rsidR="00CF7DE9" w:rsidRPr="00B44D5C" w:rsidRDefault="00CF7DE9" w:rsidP="00CF7DE9">
      <w:pPr>
        <w:pStyle w:val="Textonotapie"/>
        <w:snapToGrid w:val="0"/>
        <w:ind w:firstLine="709"/>
        <w:jc w:val="both"/>
        <w:rPr>
          <w:rFonts w:ascii="Verdana" w:hAnsi="Verdana" w:cs="Arial"/>
          <w:sz w:val="14"/>
          <w:szCs w:val="14"/>
        </w:rPr>
      </w:pPr>
      <w:r w:rsidRPr="00B44D5C">
        <w:rPr>
          <w:rStyle w:val="Refdenotaalpie"/>
          <w:sz w:val="14"/>
          <w:szCs w:val="14"/>
        </w:rPr>
        <w:footnoteRef/>
      </w:r>
      <w:r w:rsidRPr="00B44D5C">
        <w:rPr>
          <w:sz w:val="14"/>
          <w:szCs w:val="14"/>
        </w:rPr>
        <w:t xml:space="preserve"> </w:t>
      </w:r>
      <w:r w:rsidRPr="00B44D5C">
        <w:rPr>
          <w:rFonts w:ascii="Verdana" w:hAnsi="Verdana" w:cs="Arial"/>
          <w:sz w:val="14"/>
          <w:szCs w:val="14"/>
        </w:rPr>
        <w:t>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764EC6A" w14:textId="77777777" w:rsidR="00CF7DE9" w:rsidRPr="00B44D5C" w:rsidRDefault="00CF7DE9" w:rsidP="00CF7DE9">
      <w:pPr>
        <w:pStyle w:val="Textonotapie"/>
        <w:snapToGrid w:val="0"/>
        <w:ind w:firstLine="709"/>
        <w:jc w:val="both"/>
        <w:rPr>
          <w:rFonts w:ascii="Verdana" w:hAnsi="Verdana" w:cs="Arial"/>
          <w:sz w:val="14"/>
          <w:szCs w:val="14"/>
        </w:rPr>
      </w:pPr>
      <w:r w:rsidRPr="00B44D5C">
        <w:rPr>
          <w:rFonts w:ascii="Verdana" w:hAnsi="Verdana" w:cs="Arial"/>
          <w:sz w:val="14"/>
          <w:szCs w:val="14"/>
        </w:rPr>
        <w:t>[...]</w:t>
      </w:r>
    </w:p>
    <w:p w14:paraId="75CEA347" w14:textId="77777777" w:rsidR="00CF7DE9" w:rsidRPr="00B44D5C" w:rsidRDefault="00CF7DE9" w:rsidP="00CF7DE9">
      <w:pPr>
        <w:pStyle w:val="Textonotapie"/>
        <w:snapToGrid w:val="0"/>
        <w:ind w:firstLine="709"/>
        <w:jc w:val="both"/>
        <w:rPr>
          <w:rFonts w:ascii="Verdana" w:hAnsi="Verdana" w:cs="Arial"/>
          <w:sz w:val="14"/>
          <w:szCs w:val="14"/>
        </w:rPr>
      </w:pPr>
      <w:r w:rsidRPr="00B44D5C">
        <w:rPr>
          <w:rFonts w:ascii="Verdana" w:hAnsi="Verdana" w:cs="Arial"/>
          <w:sz w:val="14"/>
          <w:szCs w:val="14"/>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35AD5E7" w14:textId="77777777" w:rsidR="00CF7DE9" w:rsidRPr="00B44D5C" w:rsidRDefault="00CF7DE9" w:rsidP="00CF7DE9">
      <w:pPr>
        <w:pStyle w:val="Textonotapie"/>
        <w:rPr>
          <w:sz w:val="14"/>
          <w:szCs w:val="14"/>
        </w:rPr>
      </w:pPr>
      <w:r w:rsidRPr="00B44D5C">
        <w:rPr>
          <w:rFonts w:ascii="Verdana" w:hAnsi="Verdana" w:cs="Arial"/>
          <w:sz w:val="14"/>
          <w:szCs w:val="14"/>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15">
    <w:p w14:paraId="1ECCC32E" w14:textId="77777777" w:rsidR="00CF7DE9" w:rsidRPr="00B44D5C" w:rsidRDefault="00CF7DE9" w:rsidP="00CF7DE9">
      <w:pPr>
        <w:pStyle w:val="Textonotapie"/>
        <w:snapToGrid w:val="0"/>
        <w:ind w:firstLine="709"/>
        <w:jc w:val="both"/>
        <w:rPr>
          <w:rFonts w:ascii="Verdana" w:hAnsi="Verdana" w:cs="Arial"/>
          <w:sz w:val="14"/>
          <w:szCs w:val="14"/>
        </w:rPr>
      </w:pPr>
      <w:r w:rsidRPr="00B44D5C">
        <w:rPr>
          <w:rStyle w:val="Refdenotaalpie"/>
          <w:sz w:val="14"/>
          <w:szCs w:val="14"/>
        </w:rPr>
        <w:footnoteRef/>
      </w:r>
      <w:r w:rsidRPr="00B44D5C">
        <w:rPr>
          <w:sz w:val="14"/>
          <w:szCs w:val="14"/>
        </w:rPr>
        <w:t xml:space="preserve"> </w:t>
      </w:r>
      <w:r w:rsidRPr="00B44D5C">
        <w:rPr>
          <w:rFonts w:ascii="Verdana" w:hAnsi="Verdana" w:cs="Arial"/>
          <w:sz w:val="14"/>
          <w:szCs w:val="14"/>
        </w:rPr>
        <w:t>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30688165" w14:textId="77777777" w:rsidR="00CF7DE9" w:rsidRPr="00B44D5C" w:rsidRDefault="00CF7DE9" w:rsidP="00CF7DE9">
      <w:pPr>
        <w:pStyle w:val="Textonotapie"/>
        <w:snapToGrid w:val="0"/>
        <w:ind w:firstLine="709"/>
        <w:jc w:val="both"/>
        <w:rPr>
          <w:rFonts w:ascii="Verdana" w:hAnsi="Verdana" w:cs="Arial"/>
          <w:sz w:val="14"/>
          <w:szCs w:val="14"/>
        </w:rPr>
      </w:pPr>
      <w:r w:rsidRPr="00B44D5C">
        <w:rPr>
          <w:rFonts w:ascii="Verdana" w:hAnsi="Verdana" w:cs="Arial"/>
          <w:sz w:val="14"/>
          <w:szCs w:val="14"/>
        </w:rPr>
        <w:t>1. Si es una persona natural:</w:t>
      </w:r>
    </w:p>
    <w:p w14:paraId="3438D6AF" w14:textId="77777777" w:rsidR="00CF7DE9" w:rsidRPr="00B44D5C" w:rsidRDefault="00CF7DE9" w:rsidP="00CF7DE9">
      <w:pPr>
        <w:pStyle w:val="Textonotapie"/>
        <w:snapToGrid w:val="0"/>
        <w:ind w:firstLine="709"/>
        <w:jc w:val="both"/>
        <w:rPr>
          <w:rFonts w:ascii="Verdana" w:hAnsi="Verdana" w:cs="Arial"/>
          <w:sz w:val="14"/>
          <w:szCs w:val="14"/>
        </w:rPr>
      </w:pPr>
      <w:r w:rsidRPr="00B44D5C">
        <w:rPr>
          <w:rFonts w:ascii="Verdana" w:hAnsi="Verdana" w:cs="Arial"/>
          <w:sz w:val="14"/>
          <w:szCs w:val="14"/>
        </w:rPr>
        <w:t>1.1. Bienes, obras y servicios que ofrecerá a las Entidades Estatales, identificados con el Clasificador de Bienes y Servicios en el tercer nivel.</w:t>
      </w:r>
    </w:p>
    <w:p w14:paraId="0390CCFF" w14:textId="77777777" w:rsidR="00CF7DE9" w:rsidRDefault="00CF7DE9" w:rsidP="00CF7DE9">
      <w:pPr>
        <w:pStyle w:val="Textonotapie"/>
      </w:pPr>
      <w:r w:rsidRPr="00B44D5C">
        <w:rPr>
          <w:rFonts w:ascii="Verdana" w:hAnsi="Verdana" w:cs="Arial"/>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footnote>
  <w:footnote w:id="16">
    <w:p w14:paraId="651508CF" w14:textId="77777777" w:rsidR="00CF7DE9" w:rsidRPr="00B44D5C" w:rsidRDefault="00CF7DE9" w:rsidP="00CF7DE9">
      <w:pPr>
        <w:pStyle w:val="Textonotapie"/>
        <w:snapToGrid w:val="0"/>
        <w:ind w:firstLine="709"/>
        <w:jc w:val="both"/>
        <w:rPr>
          <w:rFonts w:ascii="Verdana" w:hAnsi="Verdana"/>
          <w:sz w:val="14"/>
          <w:szCs w:val="14"/>
          <w:lang w:val="es-CO"/>
        </w:rPr>
      </w:pPr>
      <w:r w:rsidRPr="00B44D5C">
        <w:rPr>
          <w:rStyle w:val="Refdenotaalpie"/>
          <w:rFonts w:ascii="Verdana" w:hAnsi="Verdana"/>
          <w:sz w:val="14"/>
          <w:szCs w:val="14"/>
        </w:rPr>
        <w:footnoteRef/>
      </w:r>
      <w:r w:rsidRPr="00B44D5C">
        <w:rPr>
          <w:rFonts w:ascii="Verdana" w:hAnsi="Verdana"/>
          <w:sz w:val="14"/>
          <w:szCs w:val="14"/>
        </w:rPr>
        <w:t xml:space="preserve"> Disponible en el siguiente enlace: </w:t>
      </w:r>
      <w:hyperlink r:id="rId2" w:history="1">
        <w:r w:rsidRPr="00B44D5C">
          <w:rPr>
            <w:rStyle w:val="Hipervnculo"/>
            <w:rFonts w:ascii="Verdana" w:hAnsi="Verdana"/>
            <w:sz w:val="14"/>
            <w:szCs w:val="14"/>
          </w:rPr>
          <w:t>https://colombiacompra.gov.co/manuales-guias-y-pliegos-tipo/manuales-y-guias/manual-para-determinar-y-verificar-los-requisitos</w:t>
        </w:r>
      </w:hyperlink>
      <w:r w:rsidRPr="00B44D5C">
        <w:rPr>
          <w:rFonts w:ascii="Verdana" w:hAnsi="Verdana"/>
          <w:sz w:val="14"/>
          <w:szCs w:val="14"/>
        </w:rPr>
        <w:t xml:space="preserve">  </w:t>
      </w:r>
    </w:p>
  </w:footnote>
  <w:footnote w:id="17">
    <w:p w14:paraId="72FFD38C" w14:textId="77777777" w:rsidR="00CF7DE9" w:rsidRPr="00544777" w:rsidRDefault="00CF7DE9" w:rsidP="00CF7DE9">
      <w:pPr>
        <w:pStyle w:val="Car1"/>
        <w:snapToGrid w:val="0"/>
        <w:ind w:firstLine="709"/>
        <w:jc w:val="both"/>
        <w:rPr>
          <w:rFonts w:ascii="Verdana" w:hAnsi="Verdana" w:cs="Arial"/>
          <w:sz w:val="14"/>
          <w:szCs w:val="14"/>
        </w:rPr>
      </w:pPr>
      <w:r w:rsidRPr="00B44D5C">
        <w:rPr>
          <w:rStyle w:val="Refdenotaalpie"/>
          <w:rFonts w:ascii="Verdana" w:hAnsi="Verdana" w:cs="Arial"/>
          <w:sz w:val="14"/>
          <w:szCs w:val="14"/>
        </w:rPr>
        <w:footnoteRef/>
      </w:r>
      <w:r w:rsidRPr="00B44D5C">
        <w:rPr>
          <w:rFonts w:ascii="Verdana" w:hAnsi="Verdana" w:cs="Arial"/>
          <w:sz w:val="14"/>
          <w:szCs w:val="14"/>
        </w:rPr>
        <w:t xml:space="preserve"> “</w:t>
      </w:r>
      <w:r w:rsidRPr="00544777">
        <w:rPr>
          <w:rFonts w:ascii="Verdana" w:hAnsi="Verdana" w:cs="Arial"/>
          <w:sz w:val="14"/>
          <w:szCs w:val="14"/>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5B63A6B5" w14:textId="77777777" w:rsidR="00CF7DE9" w:rsidRPr="00544777" w:rsidRDefault="00CF7DE9" w:rsidP="00CF7DE9">
      <w:pPr>
        <w:pStyle w:val="Car1"/>
        <w:snapToGrid w:val="0"/>
        <w:ind w:firstLine="709"/>
        <w:jc w:val="both"/>
        <w:rPr>
          <w:rFonts w:ascii="Verdana" w:hAnsi="Verdana" w:cs="Arial"/>
          <w:sz w:val="14"/>
          <w:szCs w:val="14"/>
        </w:rPr>
      </w:pPr>
      <w:r w:rsidRPr="00544777">
        <w:rPr>
          <w:rFonts w:ascii="Verdana" w:hAnsi="Verdana" w:cs="Arial"/>
          <w:sz w:val="14"/>
          <w:szCs w:val="14"/>
        </w:rPr>
        <w:t>[…]</w:t>
      </w:r>
    </w:p>
    <w:p w14:paraId="18FF498B" w14:textId="77777777" w:rsidR="00CF7DE9" w:rsidRPr="00595F31" w:rsidRDefault="00CF7DE9" w:rsidP="00CF7DE9">
      <w:pPr>
        <w:pStyle w:val="Car1"/>
        <w:snapToGrid w:val="0"/>
        <w:ind w:firstLine="709"/>
        <w:jc w:val="both"/>
        <w:rPr>
          <w:rFonts w:ascii="Verdana" w:hAnsi="Verdana" w:cs="Arial"/>
          <w:sz w:val="16"/>
          <w:szCs w:val="16"/>
          <w:lang w:val="es-CO"/>
        </w:rPr>
      </w:pPr>
      <w:r w:rsidRPr="00544777">
        <w:rPr>
          <w:rFonts w:ascii="Verdana" w:hAnsi="Verdana" w:cs="Arial"/>
          <w:sz w:val="14"/>
          <w:szCs w:val="14"/>
          <w:shd w:val="clear" w:color="auto" w:fill="FFFFFF"/>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544777">
        <w:rPr>
          <w:rFonts w:ascii="Verdana" w:hAnsi="Verdana" w:cs="Arial"/>
          <w:sz w:val="14"/>
          <w:szCs w:val="14"/>
          <w:shd w:val="clear" w:color="auto" w:fill="FFFFFF"/>
        </w:rPr>
        <w:softHyphen/>
        <w:t>ficador de Bienes y Servicios en el tercer nivel. Si la constitución del interesado es menor a 3 años, puede acreditar la experiencia de sus accionistas, socios o constituyentes</w:t>
      </w:r>
      <w:r w:rsidRPr="00544777">
        <w:rPr>
          <w:rFonts w:ascii="Verdana" w:hAnsi="Verdana" w:cs="Arial"/>
          <w:sz w:val="14"/>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51315C4B"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5pt;height:11.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2423303"/>
    <w:multiLevelType w:val="hybridMultilevel"/>
    <w:tmpl w:val="A0E8673A"/>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AE1A10"/>
    <w:multiLevelType w:val="multilevel"/>
    <w:tmpl w:val="3FB44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D012C15"/>
    <w:multiLevelType w:val="hybridMultilevel"/>
    <w:tmpl w:val="98D80DF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FF0212F"/>
    <w:multiLevelType w:val="hybridMultilevel"/>
    <w:tmpl w:val="949CBC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B06F78"/>
    <w:multiLevelType w:val="hybridMultilevel"/>
    <w:tmpl w:val="4AAAD28E"/>
    <w:lvl w:ilvl="0" w:tplc="96FCDB5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8"/>
  </w:num>
  <w:num w:numId="2" w16cid:durableId="19822139">
    <w:abstractNumId w:val="1"/>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2038387874">
    <w:abstractNumId w:val="12"/>
  </w:num>
  <w:num w:numId="17" w16cid:durableId="1240798036">
    <w:abstractNumId w:val="5"/>
  </w:num>
  <w:num w:numId="18" w16cid:durableId="125300940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50089694">
    <w:abstractNumId w:val="11"/>
  </w:num>
  <w:num w:numId="20" w16cid:durableId="1438215832">
    <w:abstractNumId w:val="2"/>
  </w:num>
  <w:num w:numId="21" w16cid:durableId="716313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8F9"/>
    <w:rsid w:val="000377FB"/>
    <w:rsid w:val="00046945"/>
    <w:rsid w:val="00061B2A"/>
    <w:rsid w:val="00064609"/>
    <w:rsid w:val="00082362"/>
    <w:rsid w:val="00087580"/>
    <w:rsid w:val="000A683E"/>
    <w:rsid w:val="000B19B9"/>
    <w:rsid w:val="000D0334"/>
    <w:rsid w:val="000D19EA"/>
    <w:rsid w:val="000D5DA7"/>
    <w:rsid w:val="000F6486"/>
    <w:rsid w:val="00116940"/>
    <w:rsid w:val="00125105"/>
    <w:rsid w:val="00127233"/>
    <w:rsid w:val="001410DF"/>
    <w:rsid w:val="0015699B"/>
    <w:rsid w:val="00171C07"/>
    <w:rsid w:val="001A33BF"/>
    <w:rsid w:val="001E4177"/>
    <w:rsid w:val="001F0B24"/>
    <w:rsid w:val="001F38F7"/>
    <w:rsid w:val="001F7DC6"/>
    <w:rsid w:val="00221D9E"/>
    <w:rsid w:val="00223158"/>
    <w:rsid w:val="0022400B"/>
    <w:rsid w:val="00230B5F"/>
    <w:rsid w:val="00235CA9"/>
    <w:rsid w:val="002421BB"/>
    <w:rsid w:val="00250393"/>
    <w:rsid w:val="0025796E"/>
    <w:rsid w:val="002707A2"/>
    <w:rsid w:val="002951A0"/>
    <w:rsid w:val="002962BC"/>
    <w:rsid w:val="002A093D"/>
    <w:rsid w:val="002A0DD0"/>
    <w:rsid w:val="002A49AC"/>
    <w:rsid w:val="002A64FD"/>
    <w:rsid w:val="002C7A84"/>
    <w:rsid w:val="002E1EB2"/>
    <w:rsid w:val="002E2BF8"/>
    <w:rsid w:val="002E4FD9"/>
    <w:rsid w:val="0030657A"/>
    <w:rsid w:val="00322A85"/>
    <w:rsid w:val="00324168"/>
    <w:rsid w:val="00330834"/>
    <w:rsid w:val="003448F4"/>
    <w:rsid w:val="003605F9"/>
    <w:rsid w:val="00374F5E"/>
    <w:rsid w:val="00377E3E"/>
    <w:rsid w:val="003824DA"/>
    <w:rsid w:val="003A779E"/>
    <w:rsid w:val="003D0F4D"/>
    <w:rsid w:val="003D484C"/>
    <w:rsid w:val="003D5B0D"/>
    <w:rsid w:val="003E0499"/>
    <w:rsid w:val="003E4F80"/>
    <w:rsid w:val="003E6439"/>
    <w:rsid w:val="003F3941"/>
    <w:rsid w:val="00406575"/>
    <w:rsid w:val="00414967"/>
    <w:rsid w:val="00414C74"/>
    <w:rsid w:val="0042722E"/>
    <w:rsid w:val="0043165F"/>
    <w:rsid w:val="0044528D"/>
    <w:rsid w:val="00466E39"/>
    <w:rsid w:val="004A1847"/>
    <w:rsid w:val="004A305D"/>
    <w:rsid w:val="004C626E"/>
    <w:rsid w:val="004D5813"/>
    <w:rsid w:val="004F21C4"/>
    <w:rsid w:val="004F685F"/>
    <w:rsid w:val="00535EB2"/>
    <w:rsid w:val="00544777"/>
    <w:rsid w:val="005566E8"/>
    <w:rsid w:val="00574867"/>
    <w:rsid w:val="00591460"/>
    <w:rsid w:val="005A65E0"/>
    <w:rsid w:val="005B2F4A"/>
    <w:rsid w:val="005C3777"/>
    <w:rsid w:val="005C5CDC"/>
    <w:rsid w:val="005D476C"/>
    <w:rsid w:val="005E41DD"/>
    <w:rsid w:val="005E6736"/>
    <w:rsid w:val="006200BF"/>
    <w:rsid w:val="006219F8"/>
    <w:rsid w:val="006302F7"/>
    <w:rsid w:val="00642BE4"/>
    <w:rsid w:val="00646B9F"/>
    <w:rsid w:val="006475B3"/>
    <w:rsid w:val="0066226B"/>
    <w:rsid w:val="00665D70"/>
    <w:rsid w:val="006900D9"/>
    <w:rsid w:val="006B49D0"/>
    <w:rsid w:val="006D33A8"/>
    <w:rsid w:val="006F5939"/>
    <w:rsid w:val="00706C16"/>
    <w:rsid w:val="00725D3F"/>
    <w:rsid w:val="007340C3"/>
    <w:rsid w:val="0075235A"/>
    <w:rsid w:val="00756841"/>
    <w:rsid w:val="007649AB"/>
    <w:rsid w:val="00771D0C"/>
    <w:rsid w:val="00782BFA"/>
    <w:rsid w:val="007833AC"/>
    <w:rsid w:val="00796000"/>
    <w:rsid w:val="007B268C"/>
    <w:rsid w:val="007B7171"/>
    <w:rsid w:val="007C0C0F"/>
    <w:rsid w:val="007C3DC2"/>
    <w:rsid w:val="007E5497"/>
    <w:rsid w:val="007F6F37"/>
    <w:rsid w:val="00806F5F"/>
    <w:rsid w:val="00820278"/>
    <w:rsid w:val="008258C9"/>
    <w:rsid w:val="00844AE9"/>
    <w:rsid w:val="00867F95"/>
    <w:rsid w:val="008843B6"/>
    <w:rsid w:val="00891928"/>
    <w:rsid w:val="008A446D"/>
    <w:rsid w:val="008B25F1"/>
    <w:rsid w:val="008D180B"/>
    <w:rsid w:val="008E6B63"/>
    <w:rsid w:val="008F0EA7"/>
    <w:rsid w:val="008F4DAA"/>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5B54"/>
    <w:rsid w:val="00A33C78"/>
    <w:rsid w:val="00A50EB7"/>
    <w:rsid w:val="00A90F53"/>
    <w:rsid w:val="00A9272D"/>
    <w:rsid w:val="00AB0ADB"/>
    <w:rsid w:val="00AE547C"/>
    <w:rsid w:val="00B00C0E"/>
    <w:rsid w:val="00B01B1A"/>
    <w:rsid w:val="00B0381D"/>
    <w:rsid w:val="00B13819"/>
    <w:rsid w:val="00B44A47"/>
    <w:rsid w:val="00B44D5C"/>
    <w:rsid w:val="00B72CD3"/>
    <w:rsid w:val="00B72FFF"/>
    <w:rsid w:val="00BA7DE1"/>
    <w:rsid w:val="00BC3D36"/>
    <w:rsid w:val="00BC7E57"/>
    <w:rsid w:val="00BD54A6"/>
    <w:rsid w:val="00BD7F72"/>
    <w:rsid w:val="00BF3D82"/>
    <w:rsid w:val="00BF7425"/>
    <w:rsid w:val="00C04FB3"/>
    <w:rsid w:val="00C11D8B"/>
    <w:rsid w:val="00C136F5"/>
    <w:rsid w:val="00C15139"/>
    <w:rsid w:val="00C330EB"/>
    <w:rsid w:val="00C50D69"/>
    <w:rsid w:val="00C5365C"/>
    <w:rsid w:val="00C74E6C"/>
    <w:rsid w:val="00C754BE"/>
    <w:rsid w:val="00C76B1C"/>
    <w:rsid w:val="00C925AC"/>
    <w:rsid w:val="00CB6357"/>
    <w:rsid w:val="00CC1B26"/>
    <w:rsid w:val="00CF7DE9"/>
    <w:rsid w:val="00D361FD"/>
    <w:rsid w:val="00D423A2"/>
    <w:rsid w:val="00D44E26"/>
    <w:rsid w:val="00D520D8"/>
    <w:rsid w:val="00D63AC2"/>
    <w:rsid w:val="00D7383B"/>
    <w:rsid w:val="00D7788A"/>
    <w:rsid w:val="00D87446"/>
    <w:rsid w:val="00DA231B"/>
    <w:rsid w:val="00DB200D"/>
    <w:rsid w:val="00DC10D2"/>
    <w:rsid w:val="00DC39FC"/>
    <w:rsid w:val="00DF5254"/>
    <w:rsid w:val="00E02524"/>
    <w:rsid w:val="00E05B46"/>
    <w:rsid w:val="00E16408"/>
    <w:rsid w:val="00E20894"/>
    <w:rsid w:val="00E245AB"/>
    <w:rsid w:val="00E26F18"/>
    <w:rsid w:val="00E2764C"/>
    <w:rsid w:val="00E27F2E"/>
    <w:rsid w:val="00E50AFE"/>
    <w:rsid w:val="00E51522"/>
    <w:rsid w:val="00E72EB9"/>
    <w:rsid w:val="00E75C92"/>
    <w:rsid w:val="00E771DC"/>
    <w:rsid w:val="00E8772A"/>
    <w:rsid w:val="00E90F6B"/>
    <w:rsid w:val="00E92C27"/>
    <w:rsid w:val="00EA0E3D"/>
    <w:rsid w:val="00EC38A7"/>
    <w:rsid w:val="00EE1AA8"/>
    <w:rsid w:val="00F23FEA"/>
    <w:rsid w:val="00F2568E"/>
    <w:rsid w:val="00F31EDC"/>
    <w:rsid w:val="00F462B3"/>
    <w:rsid w:val="00F5664F"/>
    <w:rsid w:val="00F666C4"/>
    <w:rsid w:val="00F76AFC"/>
    <w:rsid w:val="00FA47C0"/>
    <w:rsid w:val="00FB5DD1"/>
    <w:rsid w:val="00FB739C"/>
    <w:rsid w:val="00FC2B5D"/>
    <w:rsid w:val="00FF1449"/>
    <w:rsid w:val="00FF4A2C"/>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A1543C2-8FFA-4DB2-93A4-BB07D539A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F7DE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7DE9"/>
    <w:rPr>
      <w:rFonts w:ascii="Geomanist Light" w:hAnsi="Geomanist Light"/>
      <w:lang w:val="es-ES"/>
    </w:rPr>
  </w:style>
  <w:style w:type="paragraph" w:styleId="Textoindependiente">
    <w:name w:val="Body Text"/>
    <w:basedOn w:val="Normal"/>
    <w:link w:val="TextoindependienteCar"/>
    <w:uiPriority w:val="1"/>
    <w:qFormat/>
    <w:rsid w:val="00CF7DE9"/>
    <w:pPr>
      <w:widowControl w:val="0"/>
      <w:autoSpaceDE w:val="0"/>
      <w:autoSpaceDN w:val="0"/>
      <w:spacing w:after="0" w:line="240" w:lineRule="auto"/>
      <w:ind w:firstLine="709"/>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CF7DE9"/>
    <w:rPr>
      <w:rFonts w:ascii="Verdana" w:eastAsia="Verdana" w:hAnsi="Verdana" w:cs="Verdana"/>
      <w:lang w:val="es-ES"/>
    </w:rPr>
  </w:style>
  <w:style w:type="character" w:customStyle="1" w:styleId="NormalWebCar">
    <w:name w:val="Normal (Web) Car"/>
    <w:link w:val="NormalWeb"/>
    <w:uiPriority w:val="99"/>
    <w:locked/>
    <w:rsid w:val="00CF7DE9"/>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CF7DE9"/>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manual-para-determinar-y-verificar-los-requisitos-habilitantes-en-los-procesos-de-contratacion"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rolongelvezjairo@gmail.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colombiacompra.gov.co/manuales-guias-y-pliegos-tipo/manuales-y-guias/manual-para-determinar-y-verificar-los-requisitos" TargetMode="External"/><Relationship Id="rId1" Type="http://schemas.openxmlformats.org/officeDocument/2006/relationships/hyperlink" Target="https://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59E2067E-BF08-4CAC-9E1B-8908A4667E87}">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2CE1EA8-7AD7-4C23-8133-7284AEF3A49C}"/>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19</Pages>
  <Words>6050</Words>
  <Characters>33400</Characters>
  <Application>Microsoft Office Word</Application>
  <DocSecurity>0</DocSecurity>
  <Lines>630</Lines>
  <Paragraphs>130</Paragraphs>
  <ScaleCrop>false</ScaleCrop>
  <Company/>
  <LinksUpToDate>false</LinksUpToDate>
  <CharactersWithSpaces>39320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11</cp:revision>
  <cp:lastPrinted>2023-01-10T18:18:00Z</cp:lastPrinted>
  <dcterms:created xsi:type="dcterms:W3CDTF">2026-02-16T15:56:00Z</dcterms:created>
  <dcterms:modified xsi:type="dcterms:W3CDTF">2026-02-17T15:19:00Z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