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9A5B3" w14:textId="77777777" w:rsidR="00E47455" w:rsidRDefault="00E47455" w:rsidP="30821638">
      <w:pPr>
        <w:spacing w:after="0"/>
        <w:rPr>
          <w:rFonts w:ascii="Verdana" w:eastAsia="Verdana" w:hAnsi="Verdana" w:cs="Verdana"/>
        </w:rPr>
      </w:pPr>
      <w:bookmarkStart w:id="0" w:name="_Hlk143780582"/>
    </w:p>
    <w:p w14:paraId="44AEDD23" w14:textId="77777777" w:rsidR="00E47455" w:rsidRPr="000036B2" w:rsidRDefault="00E47455" w:rsidP="00E47455">
      <w:pPr>
        <w:spacing w:after="0" w:line="240" w:lineRule="auto"/>
        <w:contextualSpacing/>
        <w:jc w:val="both"/>
        <w:rPr>
          <w:rFonts w:ascii="Verdana" w:eastAsia="Calibri" w:hAnsi="Verdana" w:cs="Arial"/>
          <w:b/>
          <w:lang w:val="es-MX" w:eastAsia="es-MX"/>
        </w:rPr>
      </w:pPr>
      <w:r w:rsidRPr="000036B2">
        <w:rPr>
          <w:rFonts w:ascii="Verdana" w:eastAsia="Calibri" w:hAnsi="Verdana" w:cs="Arial"/>
          <w:b/>
          <w:lang w:val="es-MX" w:eastAsia="es-MX"/>
        </w:rPr>
        <w:t xml:space="preserve">LEY DE GARANTÍAS ELECTORALES – Naturaleza </w:t>
      </w:r>
      <w:r>
        <w:rPr>
          <w:rFonts w:ascii="Verdana" w:eastAsia="Calibri" w:hAnsi="Verdana" w:cs="Arial"/>
          <w:b/>
          <w:lang w:val="es-MX" w:eastAsia="es-MX"/>
        </w:rPr>
        <w:t>j</w:t>
      </w:r>
      <w:r w:rsidRPr="000036B2">
        <w:rPr>
          <w:rFonts w:ascii="Verdana" w:eastAsia="Calibri" w:hAnsi="Verdana" w:cs="Arial"/>
          <w:b/>
          <w:lang w:val="es-MX" w:eastAsia="es-MX"/>
        </w:rPr>
        <w:t xml:space="preserve">urídica </w:t>
      </w:r>
    </w:p>
    <w:p w14:paraId="03665FFC" w14:textId="77777777" w:rsidR="00E47455" w:rsidRPr="000036B2" w:rsidRDefault="00E47455" w:rsidP="00E47455">
      <w:pPr>
        <w:spacing w:after="0" w:line="240" w:lineRule="auto"/>
        <w:contextualSpacing/>
        <w:jc w:val="both"/>
        <w:rPr>
          <w:rFonts w:ascii="Verdana" w:eastAsia="Calibri" w:hAnsi="Verdana" w:cs="Arial"/>
          <w:b/>
          <w:sz w:val="20"/>
          <w:szCs w:val="20"/>
          <w:lang w:val="es-MX" w:eastAsia="es-MX"/>
        </w:rPr>
      </w:pPr>
    </w:p>
    <w:p w14:paraId="097CF8FA" w14:textId="77777777" w:rsidR="00E47455" w:rsidRPr="000036B2" w:rsidRDefault="00E47455" w:rsidP="00E47455">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1A684BAA" w14:textId="77777777" w:rsidR="00E47455" w:rsidRPr="000036B2" w:rsidRDefault="00E47455" w:rsidP="00E47455">
      <w:pPr>
        <w:spacing w:after="0" w:line="240" w:lineRule="auto"/>
        <w:jc w:val="both"/>
        <w:rPr>
          <w:rFonts w:ascii="Verdana" w:hAnsi="Verdana"/>
        </w:rPr>
      </w:pPr>
    </w:p>
    <w:p w14:paraId="2E2B7F1E" w14:textId="77777777" w:rsidR="00E47455" w:rsidRPr="000036B2" w:rsidRDefault="00E47455" w:rsidP="00E47455">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55B86AE1" w14:textId="77777777" w:rsidR="00E47455" w:rsidRPr="000036B2" w:rsidRDefault="00E47455" w:rsidP="00E47455">
      <w:pPr>
        <w:spacing w:after="0" w:line="240" w:lineRule="auto"/>
        <w:contextualSpacing/>
        <w:jc w:val="both"/>
        <w:rPr>
          <w:rFonts w:ascii="Verdana" w:eastAsia="Calibri" w:hAnsi="Verdana" w:cs="Arial"/>
          <w:b/>
          <w:sz w:val="20"/>
          <w:szCs w:val="20"/>
          <w:lang w:val="es-MX" w:eastAsia="es-MX"/>
        </w:rPr>
      </w:pPr>
    </w:p>
    <w:p w14:paraId="1EE9106F" w14:textId="77777777" w:rsidR="00E47455" w:rsidRPr="000036B2" w:rsidRDefault="00E47455" w:rsidP="00E47455">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6E282BDE" w14:textId="77777777" w:rsidR="00E47455" w:rsidRPr="000036B2" w:rsidRDefault="00E47455" w:rsidP="00E47455">
      <w:pPr>
        <w:spacing w:after="0" w:line="240" w:lineRule="auto"/>
        <w:contextualSpacing/>
        <w:jc w:val="both"/>
        <w:rPr>
          <w:rFonts w:ascii="Verdana" w:eastAsia="Times New Roman" w:hAnsi="Verdana" w:cs="Arial"/>
          <w:bCs/>
          <w:sz w:val="20"/>
          <w:szCs w:val="20"/>
          <w:lang w:val="es-MX" w:eastAsia="es-CO"/>
        </w:rPr>
      </w:pPr>
    </w:p>
    <w:p w14:paraId="1627D0AC" w14:textId="77777777" w:rsidR="00E47455" w:rsidRPr="000036B2" w:rsidRDefault="00E47455" w:rsidP="00E47455">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07D150D" w14:textId="77777777" w:rsidR="00E47455" w:rsidRPr="000036B2" w:rsidRDefault="00E47455" w:rsidP="00E47455">
      <w:pPr>
        <w:spacing w:after="0" w:line="240" w:lineRule="auto"/>
        <w:contextualSpacing/>
        <w:jc w:val="both"/>
        <w:rPr>
          <w:rFonts w:ascii="Verdana" w:eastAsia="Times New Roman" w:hAnsi="Verdana" w:cs="Arial"/>
          <w:bCs/>
          <w:sz w:val="20"/>
          <w:szCs w:val="20"/>
          <w:lang w:val="es-MX" w:eastAsia="es-CO"/>
        </w:rPr>
      </w:pPr>
    </w:p>
    <w:p w14:paraId="299D60E7" w14:textId="77777777" w:rsidR="00E47455" w:rsidRPr="000036B2" w:rsidRDefault="00E47455" w:rsidP="00E47455">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59B34D8" w14:textId="77777777" w:rsidR="00E47455" w:rsidRPr="000036B2" w:rsidRDefault="00E47455" w:rsidP="00E47455">
      <w:pPr>
        <w:tabs>
          <w:tab w:val="left" w:pos="1574"/>
        </w:tabs>
        <w:spacing w:after="0" w:line="240" w:lineRule="auto"/>
        <w:jc w:val="both"/>
        <w:rPr>
          <w:rFonts w:ascii="Verdana" w:eastAsia="Times New Roman" w:hAnsi="Verdana" w:cs="Arial"/>
          <w:bCs/>
          <w:sz w:val="20"/>
          <w:szCs w:val="20"/>
          <w:lang w:val="es-MX" w:eastAsia="es-CO"/>
        </w:rPr>
      </w:pPr>
    </w:p>
    <w:p w14:paraId="7E46FB69" w14:textId="77777777" w:rsidR="00E47455" w:rsidRPr="000036B2" w:rsidRDefault="00E47455" w:rsidP="00E47455">
      <w:pPr>
        <w:shd w:val="clear" w:color="auto" w:fill="FFFFFF"/>
        <w:spacing w:after="0" w:line="240" w:lineRule="auto"/>
        <w:contextualSpacing/>
        <w:jc w:val="both"/>
        <w:rPr>
          <w:rFonts w:ascii="Verdana" w:eastAsia="Times New Roman" w:hAnsi="Verdana" w:cs="Arial"/>
          <w:b/>
          <w:lang w:eastAsia="es-CO"/>
        </w:rPr>
      </w:pPr>
      <w:r w:rsidRPr="00F46F75">
        <w:rPr>
          <w:rFonts w:ascii="Verdana" w:eastAsia="Times New Roman" w:hAnsi="Verdana" w:cs="Arial"/>
          <w:b/>
          <w:bCs/>
          <w:lang w:eastAsia="es-CO"/>
        </w:rPr>
        <w:t>LEY DE GARANTÍAS ELECTORALES ─ Artículo 33 ‒ Excepciones – Contratos para la atención de emergencias</w:t>
      </w:r>
    </w:p>
    <w:p w14:paraId="0427ED26" w14:textId="77777777" w:rsidR="00E47455" w:rsidRPr="00327549" w:rsidRDefault="00E47455" w:rsidP="00E47455">
      <w:pPr>
        <w:tabs>
          <w:tab w:val="left" w:pos="426"/>
        </w:tabs>
        <w:spacing w:after="120" w:line="240" w:lineRule="auto"/>
        <w:jc w:val="both"/>
        <w:rPr>
          <w:rFonts w:ascii="Verdana" w:eastAsia="Times New Roman" w:hAnsi="Verdana" w:cs="Arial"/>
          <w:bCs/>
          <w:sz w:val="20"/>
          <w:szCs w:val="20"/>
          <w:lang w:eastAsia="es-CO"/>
        </w:rPr>
      </w:pPr>
      <w:r w:rsidRPr="00327549">
        <w:rPr>
          <w:rFonts w:ascii="Verdana" w:eastAsia="Times New Roman" w:hAnsi="Verdana" w:cs="Arial"/>
          <w:sz w:val="20"/>
          <w:szCs w:val="20"/>
          <w:lang w:eastAsia="x-none"/>
        </w:rPr>
        <w:lastRenderedPageBreak/>
        <w:t xml:space="preserve">[…] </w:t>
      </w:r>
      <w:r w:rsidRPr="00327549">
        <w:rPr>
          <w:rFonts w:ascii="Verdana" w:eastAsia="Times New Roman" w:hAnsi="Verdana" w:cs="Arial"/>
          <w:bCs/>
          <w:sz w:val="20"/>
          <w:szCs w:val="20"/>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327549">
        <w:rPr>
          <w:rFonts w:ascii="Verdana" w:eastAsia="Times New Roman" w:hAnsi="Verdana" w:cs="Arial"/>
          <w:i/>
          <w:sz w:val="20"/>
          <w:szCs w:val="20"/>
          <w:lang w:eastAsia="es-CO"/>
        </w:rPr>
        <w:t>contratación directa</w:t>
      </w:r>
      <w:r w:rsidRPr="00327549">
        <w:rPr>
          <w:rFonts w:ascii="Verdana" w:eastAsia="Times New Roman" w:hAnsi="Verdana" w:cs="Arial"/>
          <w:bCs/>
          <w:sz w:val="20"/>
          <w:szCs w:val="20"/>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0AC183FB" w14:textId="77777777" w:rsidR="00E47455" w:rsidRPr="00E12ADB" w:rsidRDefault="00E47455" w:rsidP="00E47455">
      <w:pPr>
        <w:tabs>
          <w:tab w:val="left" w:pos="426"/>
        </w:tabs>
        <w:spacing w:after="0" w:line="240" w:lineRule="auto"/>
        <w:contextualSpacing/>
        <w:jc w:val="both"/>
        <w:rPr>
          <w:rFonts w:ascii="Verdana" w:eastAsia="Times New Roman" w:hAnsi="Verdana" w:cs="Arial"/>
          <w:b/>
          <w:bCs/>
          <w:lang w:eastAsia="x-none"/>
        </w:rPr>
      </w:pPr>
    </w:p>
    <w:p w14:paraId="3CF0D800" w14:textId="77777777" w:rsidR="00E47455" w:rsidRPr="00E12ADB" w:rsidRDefault="00E47455" w:rsidP="00E47455">
      <w:pPr>
        <w:spacing w:after="0" w:line="240" w:lineRule="auto"/>
        <w:contextualSpacing/>
        <w:jc w:val="both"/>
        <w:rPr>
          <w:rFonts w:ascii="Verdana" w:eastAsia="Times New Roman" w:hAnsi="Verdana" w:cs="Arial"/>
          <w:b/>
          <w:bCs/>
          <w:lang w:eastAsia="x-none"/>
        </w:rPr>
      </w:pPr>
      <w:r w:rsidRPr="00E12ADB">
        <w:rPr>
          <w:rFonts w:ascii="Verdana" w:eastAsia="Times New Roman" w:hAnsi="Verdana" w:cs="Arial"/>
          <w:b/>
          <w:bCs/>
          <w:lang w:eastAsia="x-none"/>
        </w:rPr>
        <w:t>CUERPOS DE BOMBEROS VOLUNTARIOS ‒ Noción</w:t>
      </w:r>
    </w:p>
    <w:p w14:paraId="7E9B4B18" w14:textId="77777777" w:rsidR="00E47455" w:rsidRPr="000036B2" w:rsidRDefault="00E47455" w:rsidP="00E47455">
      <w:pPr>
        <w:spacing w:after="0" w:line="240" w:lineRule="auto"/>
        <w:contextualSpacing/>
        <w:jc w:val="both"/>
        <w:rPr>
          <w:rFonts w:ascii="Verdana" w:eastAsia="Times New Roman" w:hAnsi="Verdana" w:cs="Arial"/>
          <w:b/>
          <w:lang w:val="es-ES" w:eastAsia="es-CO"/>
        </w:rPr>
      </w:pPr>
    </w:p>
    <w:p w14:paraId="269CC26B" w14:textId="77777777" w:rsidR="00E47455" w:rsidRPr="00FF2C4D" w:rsidRDefault="00E47455" w:rsidP="00E47455">
      <w:pPr>
        <w:spacing w:after="120" w:line="240" w:lineRule="auto"/>
        <w:jc w:val="both"/>
        <w:rPr>
          <w:rFonts w:ascii="Verdana" w:eastAsia="Times New Roman" w:hAnsi="Verdana" w:cs="Arial"/>
          <w:bCs/>
          <w:sz w:val="20"/>
          <w:szCs w:val="20"/>
          <w:lang w:eastAsia="es-CO"/>
        </w:rPr>
      </w:pPr>
      <w:r w:rsidRPr="00FF2C4D">
        <w:rPr>
          <w:rFonts w:ascii="Verdana" w:eastAsia="Times New Roman" w:hAnsi="Verdana" w:cs="Arial"/>
          <w:bCs/>
          <w:sz w:val="20"/>
          <w:szCs w:val="20"/>
          <w:lang w:eastAsia="es-CO"/>
        </w:rPr>
        <w:t>[…] Con arreglo a lo dispuesto en el artículo 4 de la referida ley, los Cuerpos de Bomberos Voluntarios Reconocidos integran los Bomberos de Colombia y hacen parte integral del Sistema Nacional para la Prevención y Atención de Desastres. Estos son definidos por el artículo 18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66DB4F85" w14:textId="77777777" w:rsidR="00E47455" w:rsidRDefault="00E47455" w:rsidP="00E47455">
      <w:pPr>
        <w:spacing w:after="0"/>
        <w:jc w:val="both"/>
        <w:rPr>
          <w:rFonts w:ascii="Verdana" w:eastAsia="Times New Roman" w:hAnsi="Verdana" w:cs="Arial"/>
          <w:sz w:val="20"/>
          <w:szCs w:val="20"/>
          <w:lang w:eastAsia="x-none"/>
        </w:rPr>
      </w:pPr>
    </w:p>
    <w:p w14:paraId="06869A8E" w14:textId="77777777" w:rsidR="00E47455" w:rsidRPr="009969AD" w:rsidRDefault="00E47455" w:rsidP="00E47455">
      <w:pPr>
        <w:spacing w:after="0"/>
        <w:jc w:val="both"/>
        <w:rPr>
          <w:rFonts w:ascii="Verdana" w:eastAsia="Verdana" w:hAnsi="Verdana" w:cs="Verdana"/>
          <w:color w:val="ED7D31" w:themeColor="accent2"/>
          <w:sz w:val="20"/>
          <w:szCs w:val="20"/>
        </w:rPr>
      </w:pPr>
      <w:r w:rsidRPr="003C4FD7">
        <w:rPr>
          <w:rFonts w:ascii="Verdana" w:eastAsia="Times New Roman" w:hAnsi="Verdana" w:cs="Arial"/>
          <w:b/>
          <w:bCs/>
          <w:lang w:eastAsia="es-CO"/>
        </w:rPr>
        <w:t>CUERPOS DE BOMBEROS VOLUNTARIOS – Servicio público esencial</w:t>
      </w:r>
    </w:p>
    <w:p w14:paraId="74E3E903" w14:textId="77777777" w:rsidR="00E47455" w:rsidRPr="003C4FD7" w:rsidRDefault="00E47455" w:rsidP="00E47455">
      <w:pPr>
        <w:spacing w:after="0"/>
        <w:jc w:val="both"/>
        <w:rPr>
          <w:rFonts w:ascii="Verdana" w:eastAsia="Verdana" w:hAnsi="Verdana" w:cs="Verdana"/>
          <w:color w:val="ED7D31" w:themeColor="accent2"/>
          <w:sz w:val="20"/>
          <w:szCs w:val="20"/>
        </w:rPr>
      </w:pPr>
    </w:p>
    <w:p w14:paraId="666F1777" w14:textId="77777777" w:rsidR="00E47455" w:rsidRDefault="00E47455" w:rsidP="00E47455">
      <w:pPr>
        <w:spacing w:after="12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C4FD7">
        <w:rPr>
          <w:rFonts w:ascii="Verdana" w:eastAsia="Times New Roman" w:hAnsi="Verdana" w:cs="Arial"/>
          <w:bCs/>
          <w:sz w:val="20"/>
          <w:szCs w:val="20"/>
          <w:lang w:eastAsia="es-CO"/>
        </w:rPr>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3C4FD7">
        <w:rPr>
          <w:rFonts w:ascii="Verdana" w:eastAsia="Times New Roman" w:hAnsi="Verdana" w:cs="Arial"/>
          <w:bCs/>
          <w:i/>
          <w:iCs/>
          <w:sz w:val="20"/>
          <w:szCs w:val="20"/>
          <w:lang w:eastAsia="es-CO"/>
        </w:rPr>
        <w:t>mediante la celebración de contratos y/o convenios con los cuerpos de bomberos voluntarios</w:t>
      </w:r>
      <w:r w:rsidRPr="003C4FD7">
        <w:rPr>
          <w:rFonts w:ascii="Verdana" w:eastAsia="Times New Roman" w:hAnsi="Verdana" w:cs="Arial"/>
          <w:bCs/>
          <w:sz w:val="20"/>
          <w:szCs w:val="20"/>
          <w:lang w:eastAsia="es-CO"/>
        </w:rPr>
        <w:t>” [Énfasis fuera de texto]. </w:t>
      </w:r>
      <w:r>
        <w:rPr>
          <w:rFonts w:ascii="Verdana" w:eastAsia="Times New Roman" w:hAnsi="Verdana" w:cs="Arial"/>
          <w:bCs/>
          <w:sz w:val="20"/>
          <w:szCs w:val="20"/>
          <w:lang w:eastAsia="es-CO"/>
        </w:rPr>
        <w:t>[…]</w:t>
      </w:r>
    </w:p>
    <w:p w14:paraId="4EE42857" w14:textId="77777777" w:rsidR="00E47455" w:rsidRDefault="00E47455" w:rsidP="00E47455">
      <w:pPr>
        <w:spacing w:after="120" w:line="240" w:lineRule="auto"/>
        <w:jc w:val="both"/>
        <w:rPr>
          <w:rFonts w:ascii="Verdana" w:eastAsia="Times New Roman" w:hAnsi="Verdana" w:cs="Arial"/>
          <w:b/>
          <w:lang w:eastAsia="es-CO"/>
        </w:rPr>
      </w:pPr>
      <w:r w:rsidRPr="00FC5C38">
        <w:rPr>
          <w:rFonts w:ascii="Verdana" w:eastAsia="Times New Roman" w:hAnsi="Verdana" w:cs="Arial"/>
          <w:b/>
          <w:lang w:eastAsia="es-CO"/>
        </w:rPr>
        <w:t>CUERPOS DE BOMBEROS VOLUNTARIOS – Modalidades de selección contratación</w:t>
      </w:r>
    </w:p>
    <w:p w14:paraId="21EC71F7" w14:textId="77777777" w:rsidR="00E47455" w:rsidRPr="00752B85" w:rsidRDefault="00E47455" w:rsidP="00E47455">
      <w:pPr>
        <w:spacing w:after="120" w:line="240" w:lineRule="auto"/>
        <w:jc w:val="both"/>
        <w:rPr>
          <w:rFonts w:ascii="Verdana" w:eastAsia="Times New Roman" w:hAnsi="Verdana" w:cs="Arial"/>
          <w:b/>
          <w:sz w:val="20"/>
          <w:szCs w:val="20"/>
          <w:lang w:eastAsia="es-CO"/>
        </w:rPr>
      </w:pPr>
      <w:r w:rsidRPr="00752B85">
        <w:rPr>
          <w:rFonts w:ascii="Verdana" w:hAnsi="Verdana"/>
          <w:sz w:val="20"/>
          <w:szCs w:val="20"/>
        </w:rPr>
        <w:lastRenderedPageBreak/>
        <w:t xml:space="preserve">[…] </w:t>
      </w:r>
      <w:r w:rsidRPr="00752B85">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w:t>
      </w:r>
      <w:r>
        <w:rPr>
          <w:rFonts w:ascii="Verdana" w:eastAsia="Calibri" w:hAnsi="Verdana" w:cs="Arial"/>
          <w:bCs/>
          <w:sz w:val="20"/>
          <w:szCs w:val="20"/>
          <w:lang w:val="es-ES_tradnl" w:eastAsia="x-none"/>
        </w:rPr>
        <w:t>s.</w:t>
      </w:r>
    </w:p>
    <w:p w14:paraId="06DCDAD7" w14:textId="77777777" w:rsidR="00E47455" w:rsidRPr="00752B85" w:rsidRDefault="00E47455" w:rsidP="00E47455">
      <w:pPr>
        <w:spacing w:after="120" w:line="240" w:lineRule="auto"/>
        <w:jc w:val="both"/>
        <w:rPr>
          <w:rFonts w:ascii="Verdana" w:eastAsia="Calibri" w:hAnsi="Verdana" w:cs="Arial"/>
          <w:sz w:val="20"/>
          <w:szCs w:val="20"/>
          <w:lang w:val="es-ES_tradnl" w:eastAsia="x-none"/>
        </w:rPr>
      </w:pPr>
      <w:r w:rsidRPr="00752B85">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752B85">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1C40FDE" w14:textId="77777777" w:rsidR="00E47455" w:rsidRPr="00752B85" w:rsidRDefault="00E47455" w:rsidP="00E47455">
      <w:pPr>
        <w:spacing w:after="120" w:line="240" w:lineRule="auto"/>
        <w:jc w:val="both"/>
        <w:rPr>
          <w:rFonts w:ascii="Verdana" w:eastAsia="Times New Roman" w:hAnsi="Verdana" w:cs="Arial"/>
          <w:b/>
          <w:sz w:val="20"/>
          <w:szCs w:val="20"/>
          <w:lang w:eastAsia="es-CO"/>
        </w:rPr>
      </w:pPr>
      <w:r w:rsidRPr="00752B85">
        <w:rPr>
          <w:rFonts w:ascii="Verdana" w:eastAsia="Calibri" w:hAnsi="Verdana" w:cs="Arial"/>
          <w:sz w:val="20"/>
          <w:szCs w:val="20"/>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39A1A678" w14:textId="77777777" w:rsidR="00E47455" w:rsidRPr="004E329C" w:rsidRDefault="00E47455" w:rsidP="00E47455">
      <w:pPr>
        <w:spacing w:after="0"/>
        <w:rPr>
          <w:rFonts w:ascii="Verdana" w:hAnsi="Verdana"/>
          <w:color w:val="ED7D31" w:themeColor="accent2"/>
        </w:rPr>
      </w:pPr>
    </w:p>
    <w:p w14:paraId="097C15E0" w14:textId="77777777" w:rsidR="00E47455" w:rsidRDefault="00E47455" w:rsidP="00E47455">
      <w:pPr>
        <w:spacing w:after="0"/>
        <w:jc w:val="both"/>
        <w:rPr>
          <w:rFonts w:ascii="Verdana" w:hAnsi="Verdana"/>
          <w:b/>
          <w:bCs/>
        </w:rPr>
      </w:pPr>
      <w:r w:rsidRPr="004E329C">
        <w:rPr>
          <w:rFonts w:ascii="Verdana" w:hAnsi="Verdana"/>
          <w:b/>
          <w:bCs/>
        </w:rPr>
        <w:t>CUERPOS DE BOMBEROS VOLUNTARIOS – Objeto del contrato – Atención de emergencias – Excepción</w:t>
      </w:r>
    </w:p>
    <w:p w14:paraId="785FE267" w14:textId="77777777" w:rsidR="00E47455" w:rsidRDefault="00E47455" w:rsidP="00E47455">
      <w:pPr>
        <w:spacing w:after="0"/>
        <w:jc w:val="both"/>
        <w:rPr>
          <w:rFonts w:ascii="Verdana" w:hAnsi="Verdana"/>
          <w:b/>
          <w:bCs/>
        </w:rPr>
      </w:pPr>
    </w:p>
    <w:p w14:paraId="117D73D2" w14:textId="77777777" w:rsidR="00E47455" w:rsidRPr="00B94BF9" w:rsidRDefault="00E47455" w:rsidP="00E47455">
      <w:pPr>
        <w:spacing w:after="0" w:line="240" w:lineRule="auto"/>
        <w:jc w:val="both"/>
        <w:rPr>
          <w:rFonts w:ascii="Verdana" w:hAnsi="Verdana"/>
          <w:b/>
          <w:bCs/>
          <w:sz w:val="20"/>
          <w:szCs w:val="20"/>
        </w:rPr>
      </w:pPr>
      <w:r w:rsidRPr="00B94BF9">
        <w:rPr>
          <w:rFonts w:ascii="Verdana" w:hAnsi="Verdana"/>
          <w:sz w:val="20"/>
          <w:szCs w:val="20"/>
        </w:rPr>
        <w:t xml:space="preserve">[…] </w:t>
      </w:r>
      <w:r w:rsidRPr="00B94BF9">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B94BF9">
        <w:rPr>
          <w:rFonts w:ascii="Verdana" w:eastAsia="Times New Roman" w:hAnsi="Verdana" w:cs="Arial"/>
          <w:bCs/>
          <w:i/>
          <w:iCs/>
          <w:sz w:val="20"/>
          <w:szCs w:val="20"/>
          <w:lang w:eastAsia="es-CO"/>
        </w:rPr>
        <w:t>per se,</w:t>
      </w:r>
      <w:r w:rsidRPr="00B94BF9">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14D0F012" w14:textId="77777777" w:rsidR="00E47455" w:rsidRPr="00B94BF9" w:rsidRDefault="00E47455" w:rsidP="00E47455">
      <w:pPr>
        <w:spacing w:after="0" w:line="240" w:lineRule="auto"/>
        <w:jc w:val="both"/>
        <w:rPr>
          <w:rFonts w:ascii="Verdana" w:hAnsi="Verdana"/>
          <w:b/>
          <w:bCs/>
          <w:sz w:val="20"/>
          <w:szCs w:val="20"/>
        </w:rPr>
      </w:pPr>
    </w:p>
    <w:p w14:paraId="2E969F88" w14:textId="77777777" w:rsidR="00E47455" w:rsidRPr="00B94BF9" w:rsidRDefault="00E47455" w:rsidP="00E47455">
      <w:pPr>
        <w:spacing w:after="0" w:line="240" w:lineRule="auto"/>
        <w:jc w:val="both"/>
        <w:rPr>
          <w:rFonts w:ascii="Verdana" w:hAnsi="Verdana"/>
          <w:b/>
          <w:bCs/>
          <w:sz w:val="20"/>
          <w:szCs w:val="20"/>
        </w:rPr>
      </w:pPr>
      <w:r w:rsidRPr="00B94BF9">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B94BF9">
        <w:rPr>
          <w:rFonts w:ascii="Verdana" w:eastAsia="Times New Roman" w:hAnsi="Verdana" w:cs="Arial"/>
          <w:bCs/>
          <w:i/>
          <w:iCs/>
          <w:sz w:val="20"/>
          <w:szCs w:val="20"/>
          <w:lang w:eastAsia="es-CO"/>
        </w:rPr>
        <w:t>atención de incidentes relacionados con incendios</w:t>
      </w:r>
      <w:r w:rsidRPr="00B94BF9">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B94BF9">
        <w:rPr>
          <w:rFonts w:ascii="Verdana" w:eastAsia="Times New Roman" w:hAnsi="Verdana" w:cs="Arial"/>
          <w:bCs/>
          <w:i/>
          <w:iCs/>
          <w:sz w:val="20"/>
          <w:szCs w:val="20"/>
          <w:lang w:eastAsia="es-CO"/>
        </w:rPr>
        <w:t>Preparación</w:t>
      </w:r>
      <w:r w:rsidRPr="00B94BF9">
        <w:rPr>
          <w:rFonts w:ascii="Verdana" w:eastAsia="Times New Roman" w:hAnsi="Verdana" w:cs="Arial"/>
          <w:bCs/>
          <w:sz w:val="20"/>
          <w:szCs w:val="20"/>
          <w:lang w:eastAsia="es-CO"/>
        </w:rPr>
        <w:t xml:space="preserve"> y </w:t>
      </w:r>
      <w:r w:rsidRPr="00B94BF9">
        <w:rPr>
          <w:rFonts w:ascii="Verdana" w:eastAsia="Times New Roman" w:hAnsi="Verdana" w:cs="Arial"/>
          <w:bCs/>
          <w:i/>
          <w:iCs/>
          <w:sz w:val="20"/>
          <w:szCs w:val="20"/>
          <w:lang w:eastAsia="es-CO"/>
        </w:rPr>
        <w:t xml:space="preserve">Respuesta, </w:t>
      </w:r>
      <w:r w:rsidRPr="00B94BF9">
        <w:rPr>
          <w:rFonts w:ascii="Verdana" w:eastAsia="Times New Roman" w:hAnsi="Verdana" w:cs="Arial"/>
          <w:bCs/>
          <w:sz w:val="20"/>
          <w:szCs w:val="20"/>
          <w:lang w:eastAsia="es-CO"/>
        </w:rPr>
        <w:t>reguladas por la Ley 1523 de 2012 en el marco del Sistema Nacional de Gestión del Riesgo de Desastres y la Estrategia Nacional para la Respuesta a Emergencias […]</w:t>
      </w:r>
    </w:p>
    <w:p w14:paraId="676DA2C6" w14:textId="77777777" w:rsidR="00E47455" w:rsidRDefault="00E47455" w:rsidP="00E47455">
      <w:pPr>
        <w:rPr>
          <w:rFonts w:ascii="Verdana" w:hAnsi="Verdana"/>
          <w:color w:val="ED7D31" w:themeColor="accent2"/>
        </w:rPr>
      </w:pPr>
    </w:p>
    <w:p w14:paraId="1468C46D" w14:textId="3530F12D" w:rsidR="00C15139" w:rsidRPr="0024624F" w:rsidRDefault="00C15139" w:rsidP="00E47455">
      <w:pPr>
        <w:rPr>
          <w:rFonts w:ascii="Verdana" w:eastAsia="Verdana" w:hAnsi="Verdana" w:cs="Verdana"/>
        </w:rPr>
      </w:pPr>
      <w:r w:rsidRPr="30821638">
        <w:rPr>
          <w:rFonts w:ascii="Verdana" w:eastAsia="Verdana" w:hAnsi="Verdana" w:cs="Verdana"/>
        </w:rPr>
        <w:lastRenderedPageBreak/>
        <w:t>Bogotá D.C.</w:t>
      </w:r>
      <w:r w:rsidR="00FA143D">
        <w:rPr>
          <w:rFonts w:ascii="Verdana" w:eastAsia="Verdana" w:hAnsi="Verdana" w:cs="Verdana"/>
        </w:rPr>
        <w:t>, 18 de febrero de 2026</w:t>
      </w:r>
      <w:r>
        <w:br/>
      </w:r>
      <w:r>
        <w:tab/>
      </w:r>
    </w:p>
    <w:p w14:paraId="12443EE0" w14:textId="547355DC" w:rsidR="00C15139" w:rsidRDefault="00E47455" w:rsidP="30821638">
      <w:pPr>
        <w:spacing w:after="0"/>
        <w:rPr>
          <w:rFonts w:ascii="Verdana" w:eastAsia="Verdana" w:hAnsi="Verdana" w:cs="Verdana"/>
        </w:rPr>
      </w:pPr>
      <w:r w:rsidRPr="00E47455">
        <w:rPr>
          <w:rFonts w:ascii="Verdana" w:eastAsia="Verdana" w:hAnsi="Verdana" w:cs="Verdana"/>
          <w:noProof/>
        </w:rPr>
        <w:drawing>
          <wp:anchor distT="0" distB="0" distL="114300" distR="114300" simplePos="0" relativeHeight="251659265" behindDoc="1" locked="0" layoutInCell="1" allowOverlap="1" wp14:anchorId="4BCB6B15" wp14:editId="5914385D">
            <wp:simplePos x="0" y="0"/>
            <wp:positionH relativeFrom="column">
              <wp:posOffset>2984500</wp:posOffset>
            </wp:positionH>
            <wp:positionV relativeFrom="paragraph">
              <wp:posOffset>175895</wp:posOffset>
            </wp:positionV>
            <wp:extent cx="2686050" cy="775335"/>
            <wp:effectExtent l="0" t="0" r="0" b="5715"/>
            <wp:wrapTight wrapText="bothSides">
              <wp:wrapPolygon edited="0">
                <wp:start x="0" y="0"/>
                <wp:lineTo x="0" y="21229"/>
                <wp:lineTo x="21447" y="21229"/>
                <wp:lineTo x="21447" y="0"/>
                <wp:lineTo x="0" y="0"/>
              </wp:wrapPolygon>
            </wp:wrapTight>
            <wp:docPr id="20609312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6050" cy="775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024F">
        <w:rPr>
          <w:rFonts w:ascii="Verdana" w:eastAsia="Verdana" w:hAnsi="Verdana" w:cs="Verdana"/>
        </w:rPr>
        <w:t xml:space="preserve">Señor </w:t>
      </w:r>
    </w:p>
    <w:p w14:paraId="18DFBBAC" w14:textId="37B59F69" w:rsidR="00DD024F" w:rsidRPr="008A2653" w:rsidRDefault="00DD024F" w:rsidP="30821638">
      <w:pPr>
        <w:spacing w:after="0"/>
        <w:rPr>
          <w:rFonts w:ascii="Verdana" w:eastAsia="Verdana" w:hAnsi="Verdana" w:cs="Verdana"/>
          <w:b/>
          <w:bCs/>
        </w:rPr>
      </w:pPr>
      <w:r w:rsidRPr="008A2653">
        <w:rPr>
          <w:rFonts w:ascii="Verdana" w:eastAsia="Verdana" w:hAnsi="Verdana" w:cs="Verdana"/>
          <w:b/>
          <w:bCs/>
        </w:rPr>
        <w:t xml:space="preserve">José Antonio </w:t>
      </w:r>
      <w:r w:rsidR="00F06961" w:rsidRPr="008A2653">
        <w:rPr>
          <w:rFonts w:ascii="Verdana" w:eastAsia="Verdana" w:hAnsi="Verdana" w:cs="Verdana"/>
          <w:b/>
          <w:bCs/>
        </w:rPr>
        <w:t>Pérez</w:t>
      </w:r>
    </w:p>
    <w:p w14:paraId="012143A4" w14:textId="22EBF25D" w:rsidR="00DD024F" w:rsidRDefault="00B80924" w:rsidP="30821638">
      <w:pPr>
        <w:spacing w:after="0"/>
        <w:rPr>
          <w:rFonts w:ascii="Verdana" w:eastAsia="Verdana" w:hAnsi="Verdana" w:cs="Verdana"/>
        </w:rPr>
      </w:pPr>
      <w:hyperlink r:id="rId12" w:history="1">
        <w:r w:rsidRPr="00BF32DA">
          <w:rPr>
            <w:rStyle w:val="Hipervnculo"/>
            <w:rFonts w:ascii="Verdana" w:eastAsia="Verdana" w:hAnsi="Verdana" w:cs="Verdana"/>
          </w:rPr>
          <w:t>josejurista@gmail.com</w:t>
        </w:r>
      </w:hyperlink>
      <w:r>
        <w:rPr>
          <w:rFonts w:ascii="Verdana" w:eastAsia="Verdana" w:hAnsi="Verdana" w:cs="Verdana"/>
        </w:rPr>
        <w:t xml:space="preserve"> </w:t>
      </w:r>
    </w:p>
    <w:p w14:paraId="480810A0" w14:textId="4A0DD4BB" w:rsidR="00B80924" w:rsidRDefault="00B80924" w:rsidP="30821638">
      <w:pPr>
        <w:spacing w:after="0"/>
        <w:rPr>
          <w:rFonts w:ascii="Verdana" w:eastAsia="Verdana" w:hAnsi="Verdana" w:cs="Verdana"/>
        </w:rPr>
      </w:pPr>
      <w:r>
        <w:rPr>
          <w:rFonts w:ascii="Verdana" w:eastAsia="Verdana" w:hAnsi="Verdana" w:cs="Verdana"/>
        </w:rPr>
        <w:t>Ciudad</w:t>
      </w:r>
    </w:p>
    <w:p w14:paraId="0F354359" w14:textId="77777777" w:rsidR="00B80924" w:rsidRDefault="00B80924" w:rsidP="30821638">
      <w:pPr>
        <w:spacing w:after="0"/>
        <w:rPr>
          <w:rFonts w:ascii="Verdana" w:eastAsia="Verdana" w:hAnsi="Verdana" w:cs="Verdana"/>
        </w:rPr>
      </w:pPr>
    </w:p>
    <w:p w14:paraId="41693D47" w14:textId="77777777" w:rsidR="007B46AA" w:rsidRPr="00A12CB6" w:rsidRDefault="007B46AA" w:rsidP="007B46AA">
      <w:pPr>
        <w:spacing w:after="0" w:line="240" w:lineRule="auto"/>
        <w:rPr>
          <w:rFonts w:ascii="Verdana" w:eastAsia="Calibri" w:hAnsi="Verdana" w:cs="Times New Roman"/>
        </w:rPr>
      </w:pPr>
    </w:p>
    <w:p w14:paraId="7D60B16B" w14:textId="4BD3C3E4" w:rsidR="007B46AA" w:rsidRPr="00A12CB6" w:rsidRDefault="007B46AA" w:rsidP="007B46AA">
      <w:pPr>
        <w:spacing w:after="0" w:line="240"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w:t>
      </w:r>
      <w:r w:rsidR="009D3AAD">
        <w:rPr>
          <w:rFonts w:ascii="Verdana" w:eastAsia="Calibri" w:hAnsi="Verdana" w:cs="Times New Roman"/>
          <w:b/>
          <w:bCs/>
          <w:lang w:val="es-ES"/>
        </w:rPr>
        <w:t xml:space="preserve">      </w:t>
      </w:r>
      <w:r>
        <w:rPr>
          <w:rFonts w:ascii="Verdana" w:eastAsia="Calibri" w:hAnsi="Verdana" w:cs="Times New Roman"/>
          <w:b/>
          <w:bCs/>
          <w:lang w:val="es-ES"/>
        </w:rPr>
        <w:t xml:space="preserve">Concepto C- </w:t>
      </w:r>
      <w:r w:rsidR="000471CC">
        <w:rPr>
          <w:rFonts w:ascii="Verdana" w:eastAsia="Calibri" w:hAnsi="Verdana" w:cs="Times New Roman"/>
          <w:b/>
          <w:bCs/>
          <w:lang w:val="es-ES"/>
        </w:rPr>
        <w:t>044</w:t>
      </w:r>
      <w:r>
        <w:rPr>
          <w:rFonts w:ascii="Verdana" w:eastAsia="Calibri" w:hAnsi="Verdana" w:cs="Times New Roman"/>
          <w:b/>
          <w:bCs/>
          <w:lang w:val="es-ES"/>
        </w:rPr>
        <w:t xml:space="preserve"> de 2026</w:t>
      </w:r>
    </w:p>
    <w:p w14:paraId="018353E8" w14:textId="77777777" w:rsidR="007B46AA" w:rsidRPr="00A12CB6" w:rsidRDefault="007B46AA" w:rsidP="007B46AA">
      <w:pPr>
        <w:spacing w:after="0" w:line="240"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77"/>
        <w:gridCol w:w="6095"/>
        <w:gridCol w:w="6091"/>
      </w:tblGrid>
      <w:tr w:rsidR="007B46AA" w:rsidRPr="00A12CB6" w14:paraId="1028B011" w14:textId="77777777" w:rsidTr="000D2A6C">
        <w:trPr>
          <w:trHeight w:val="2884"/>
        </w:trPr>
        <w:tc>
          <w:tcPr>
            <w:tcW w:w="2977" w:type="dxa"/>
            <w:hideMark/>
          </w:tcPr>
          <w:p w14:paraId="26368C7A" w14:textId="77777777" w:rsidR="007B46AA" w:rsidRPr="00A12CB6" w:rsidRDefault="007B46AA" w:rsidP="00CB2C66">
            <w:pPr>
              <w:spacing w:line="256" w:lineRule="auto"/>
              <w:rPr>
                <w:rFonts w:ascii="Verdana" w:hAnsi="Verdana"/>
                <w:b/>
                <w:bCs/>
                <w:lang w:val="es-ES_tradnl"/>
              </w:rPr>
            </w:pPr>
            <w:r w:rsidRPr="00A12CB6">
              <w:rPr>
                <w:rFonts w:ascii="Verdana" w:hAnsi="Verdana"/>
                <w:b/>
                <w:bCs/>
                <w:lang w:val="es-ES_tradnl"/>
              </w:rPr>
              <w:t xml:space="preserve">Temas:                   </w:t>
            </w:r>
          </w:p>
        </w:tc>
        <w:tc>
          <w:tcPr>
            <w:tcW w:w="6095" w:type="dxa"/>
            <w:hideMark/>
          </w:tcPr>
          <w:p w14:paraId="77A8729A" w14:textId="77777777" w:rsidR="00793304" w:rsidRPr="0061670C" w:rsidRDefault="00793304" w:rsidP="00793304">
            <w:pPr>
              <w:spacing w:line="276" w:lineRule="auto"/>
              <w:jc w:val="both"/>
              <w:rPr>
                <w:rFonts w:ascii="Verdana" w:hAnsi="Verdana" w:cs="Arial"/>
                <w:bCs/>
              </w:rPr>
            </w:pPr>
            <w:r w:rsidRPr="0061670C">
              <w:rPr>
                <w:rFonts w:ascii="Verdana" w:hAnsi="Verdana" w:cs="Arial"/>
                <w:bCs/>
              </w:rPr>
              <w:t>LEY DE GARANTÍAS ELECTORALES – Naturaleza jurídica / LEY DE GARANTÍAS ELECTORALES – Prohibiciones / LEY DE GARANTÍAS ELECTORALES ─ Artículo 33 ‒ Excepciones</w:t>
            </w:r>
            <w:r>
              <w:rPr>
                <w:rFonts w:ascii="Verdana" w:hAnsi="Verdana" w:cs="Arial"/>
                <w:bCs/>
              </w:rPr>
              <w:t xml:space="preserve"> –</w:t>
            </w:r>
            <w:r w:rsidRPr="0061670C" w:rsidDel="00B030F3">
              <w:rPr>
                <w:rFonts w:ascii="Verdana" w:hAnsi="Verdana" w:cs="Arial"/>
                <w:bCs/>
              </w:rPr>
              <w:t xml:space="preserve"> </w:t>
            </w:r>
            <w:r>
              <w:rPr>
                <w:rFonts w:ascii="Verdana" w:hAnsi="Verdana" w:cs="Arial"/>
                <w:bCs/>
              </w:rPr>
              <w:t xml:space="preserve">Contratos para la atención de emergencias </w:t>
            </w:r>
            <w:r w:rsidRPr="0061670C">
              <w:rPr>
                <w:rFonts w:ascii="Verdana" w:hAnsi="Verdana" w:cs="Arial"/>
                <w:bCs/>
              </w:rPr>
              <w:t>/ CUERPOS DE BOMBEROS VOLUNTARIOS ‒</w:t>
            </w:r>
            <w:r>
              <w:rPr>
                <w:rFonts w:ascii="Verdana" w:hAnsi="Verdana" w:cs="Arial"/>
                <w:bCs/>
              </w:rPr>
              <w:t xml:space="preserve"> Noción / </w:t>
            </w:r>
            <w:r w:rsidRPr="0061670C">
              <w:rPr>
                <w:rFonts w:ascii="Verdana" w:hAnsi="Verdana" w:cs="Arial"/>
                <w:bCs/>
              </w:rPr>
              <w:t>CUERPOS DE BOMBEROS VOLUNTARIOS</w:t>
            </w:r>
            <w:r>
              <w:rPr>
                <w:rFonts w:ascii="Verdana" w:hAnsi="Verdana" w:cs="Arial"/>
                <w:bCs/>
              </w:rPr>
              <w:t xml:space="preserve"> –</w:t>
            </w:r>
            <w:r w:rsidRPr="0061670C" w:rsidDel="00B030F3">
              <w:rPr>
                <w:rFonts w:ascii="Verdana" w:hAnsi="Verdana" w:cs="Arial"/>
                <w:bCs/>
              </w:rPr>
              <w:t xml:space="preserve"> </w:t>
            </w:r>
            <w:r>
              <w:rPr>
                <w:rFonts w:ascii="Verdana" w:hAnsi="Verdana" w:cs="Arial"/>
                <w:bCs/>
              </w:rPr>
              <w:t xml:space="preserve">Servicio público esencial / </w:t>
            </w:r>
            <w:r w:rsidRPr="0061670C">
              <w:rPr>
                <w:rFonts w:ascii="Verdana" w:hAnsi="Verdana" w:cs="Arial"/>
                <w:bCs/>
              </w:rPr>
              <w:t>CUERPOS DE BOMBEROS VOLUNTARIOS</w:t>
            </w:r>
            <w:r>
              <w:rPr>
                <w:rFonts w:ascii="Verdana" w:hAnsi="Verdana" w:cs="Arial"/>
                <w:bCs/>
              </w:rPr>
              <w:t xml:space="preserve"> – Modalidades de selección contratación / </w:t>
            </w:r>
            <w:r w:rsidRPr="0061670C">
              <w:rPr>
                <w:rFonts w:ascii="Verdana" w:hAnsi="Verdana" w:cs="Arial"/>
                <w:bCs/>
              </w:rPr>
              <w:t>CUERPOS DE BOMBEROS VOLUNTARIOS</w:t>
            </w:r>
            <w:r>
              <w:rPr>
                <w:rFonts w:ascii="Verdana" w:hAnsi="Verdana" w:cs="Arial"/>
                <w:bCs/>
              </w:rPr>
              <w:t xml:space="preserve"> – Objeto del contrato – Atención de emergencias – Excepción</w:t>
            </w:r>
          </w:p>
          <w:p w14:paraId="15B7E9B5" w14:textId="2CDACC64" w:rsidR="007B46AA" w:rsidRPr="002971FF" w:rsidRDefault="007B46AA" w:rsidP="00CB2C66">
            <w:pPr>
              <w:spacing w:line="276" w:lineRule="auto"/>
              <w:jc w:val="both"/>
              <w:rPr>
                <w:rFonts w:ascii="Verdana" w:hAnsi="Verdana" w:cs="Arial"/>
                <w:lang w:val="es-MX" w:eastAsia="es-ES_tradnl"/>
              </w:rPr>
            </w:pPr>
          </w:p>
        </w:tc>
        <w:tc>
          <w:tcPr>
            <w:tcW w:w="6091" w:type="dxa"/>
          </w:tcPr>
          <w:p w14:paraId="4B8D8B60" w14:textId="77777777" w:rsidR="007B46AA" w:rsidRPr="00A12CB6" w:rsidRDefault="007B46AA" w:rsidP="00CB2C66">
            <w:pPr>
              <w:spacing w:line="256" w:lineRule="auto"/>
              <w:rPr>
                <w:rFonts w:ascii="Verdana" w:hAnsi="Verdana"/>
              </w:rPr>
            </w:pPr>
          </w:p>
        </w:tc>
      </w:tr>
    </w:tbl>
    <w:p w14:paraId="03F7313B" w14:textId="77777777" w:rsidR="007B46AA" w:rsidRPr="00593A5F" w:rsidRDefault="007B46AA" w:rsidP="007B46AA">
      <w:pPr>
        <w:spacing w:after="0" w:line="240" w:lineRule="auto"/>
        <w:rPr>
          <w:rFonts w:ascii="Verdana" w:eastAsia="Calibri" w:hAnsi="Verdana" w:cs="Arial"/>
          <w:b/>
          <w:bCs/>
          <w:color w:val="000000"/>
          <w:lang w:val="es-ES_tradnl" w:eastAsia="es-ES_tradnl"/>
        </w:rPr>
      </w:pPr>
    </w:p>
    <w:tbl>
      <w:tblPr>
        <w:tblStyle w:val="Tablaconcuadrcula"/>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77"/>
        <w:gridCol w:w="6090"/>
      </w:tblGrid>
      <w:tr w:rsidR="007B46AA" w:rsidRPr="008E6AD9" w14:paraId="6723361E" w14:textId="77777777" w:rsidTr="004932CD">
        <w:trPr>
          <w:trHeight w:val="795"/>
        </w:trPr>
        <w:tc>
          <w:tcPr>
            <w:tcW w:w="2977" w:type="dxa"/>
          </w:tcPr>
          <w:p w14:paraId="3D2848A0" w14:textId="77777777" w:rsidR="007B46AA" w:rsidRPr="008E6AD9" w:rsidRDefault="007B46AA" w:rsidP="00CB2C6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090" w:type="dxa"/>
          </w:tcPr>
          <w:p w14:paraId="6670BD92" w14:textId="78FE8FD2" w:rsidR="00BB1BDE" w:rsidRPr="00BB1BDE" w:rsidRDefault="007B46AA" w:rsidP="00BB1BDE">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00BB1BDE">
              <w:rPr>
                <w:rFonts w:ascii="Verdana" w:hAnsi="Verdana" w:cs="Calibri"/>
              </w:rPr>
              <w:t>1_2026_01_13_000294</w:t>
            </w:r>
          </w:p>
          <w:p w14:paraId="4D76F1B3" w14:textId="531BCC37" w:rsidR="007B46AA" w:rsidRPr="00DD4F85" w:rsidRDefault="007B46AA" w:rsidP="00CB2C66">
            <w:pPr>
              <w:jc w:val="both"/>
              <w:rPr>
                <w:rFonts w:ascii="Verdana" w:eastAsia="Calibri" w:hAnsi="Verdana" w:cs="Arial"/>
                <w:lang w:val="es-ES_tradnl" w:eastAsia="es-ES_tradnl"/>
              </w:rPr>
            </w:pPr>
          </w:p>
        </w:tc>
      </w:tr>
    </w:tbl>
    <w:p w14:paraId="542522CC" w14:textId="304083DA" w:rsidR="007B46AA" w:rsidRPr="008E6AD9" w:rsidRDefault="007B46AA" w:rsidP="007B46AA">
      <w:pPr>
        <w:spacing w:after="0" w:line="240"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 Doctor Pérez:</w:t>
      </w:r>
      <w:r w:rsidRPr="008E6AD9">
        <w:rPr>
          <w:rFonts w:ascii="Verdana" w:eastAsia="Calibri" w:hAnsi="Verdana" w:cs="Arial"/>
          <w:lang w:val="es-ES" w:eastAsia="es-ES"/>
        </w:rPr>
        <w:t xml:space="preserve"> </w:t>
      </w:r>
    </w:p>
    <w:p w14:paraId="2FB4CE7E" w14:textId="77777777" w:rsidR="007B46AA" w:rsidRDefault="007B46AA" w:rsidP="007B46AA">
      <w:pPr>
        <w:tabs>
          <w:tab w:val="left" w:pos="3768"/>
        </w:tabs>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627E35" w14:textId="437B9999" w:rsidR="007B46AA" w:rsidRDefault="007B46AA" w:rsidP="007B46AA">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 xml:space="preserve">a solicitud de consulta en torno a la celebración de convenios interadministrativos de cooperación entre el Ministerio de Vivienda, Ciudad y Territorio con entidades territoriales para </w:t>
      </w:r>
      <w:r w:rsidRPr="00973E63">
        <w:rPr>
          <w:rFonts w:ascii="Verdana" w:eastAsia="Calibri" w:hAnsi="Verdana" w:cs="Arial"/>
          <w:bCs/>
          <w:color w:val="000000" w:themeColor="text1"/>
          <w:lang w:eastAsia="es-ES" w:bidi="es-ES"/>
        </w:rPr>
        <w:t xml:space="preserve">Conexiones Intradomiciliarias, </w:t>
      </w:r>
      <w:r>
        <w:rPr>
          <w:rFonts w:ascii="Verdana" w:eastAsia="Calibri" w:hAnsi="Verdana" w:cs="Arial"/>
          <w:bCs/>
          <w:color w:val="000000" w:themeColor="text1"/>
          <w:lang w:eastAsia="es-ES" w:bidi="es-ES"/>
        </w:rPr>
        <w:t xml:space="preserve">que fue </w:t>
      </w:r>
      <w:r>
        <w:rPr>
          <w:rFonts w:ascii="Verdana" w:eastAsia="Calibri" w:hAnsi="Verdana" w:cs="Arial"/>
          <w:bCs/>
          <w:color w:val="000000" w:themeColor="text1"/>
          <w:lang w:val="es-ES" w:eastAsia="es-ES" w:bidi="es-ES"/>
        </w:rPr>
        <w:t xml:space="preserve">remitida el </w:t>
      </w:r>
      <w:r w:rsidR="00BB1BDE">
        <w:rPr>
          <w:rFonts w:ascii="Verdana" w:eastAsia="Calibri" w:hAnsi="Verdana" w:cs="Arial"/>
          <w:bCs/>
          <w:color w:val="000000" w:themeColor="text1"/>
          <w:lang w:val="es-ES" w:eastAsia="es-ES" w:bidi="es-ES"/>
        </w:rPr>
        <w:t>13</w:t>
      </w:r>
      <w:r>
        <w:rPr>
          <w:rFonts w:ascii="Verdana" w:eastAsia="Calibri" w:hAnsi="Verdana" w:cs="Arial"/>
          <w:bCs/>
          <w:color w:val="000000" w:themeColor="text1"/>
          <w:lang w:val="es-ES" w:eastAsia="es-ES" w:bidi="es-ES"/>
        </w:rPr>
        <w:t xml:space="preserve"> de enero de 2026</w:t>
      </w:r>
      <w:r w:rsidRPr="00102203">
        <w:rPr>
          <w:rFonts w:ascii="Verdana" w:eastAsia="Calibri" w:hAnsi="Verdana" w:cs="Arial"/>
          <w:bCs/>
          <w:color w:val="000000" w:themeColor="text1"/>
          <w:lang w:val="es-ES" w:eastAsia="es-ES" w:bidi="es-ES"/>
        </w:rPr>
        <w:t xml:space="preserve">: </w:t>
      </w:r>
    </w:p>
    <w:p w14:paraId="713F17C7" w14:textId="77777777" w:rsidR="006F4C81" w:rsidRDefault="006F4C81" w:rsidP="006F4C81">
      <w:pPr>
        <w:spacing w:after="0" w:line="276" w:lineRule="auto"/>
        <w:jc w:val="both"/>
        <w:rPr>
          <w:rFonts w:ascii="Verdana" w:eastAsia="Calibri" w:hAnsi="Verdana" w:cs="Arial"/>
          <w:bCs/>
          <w:color w:val="000000" w:themeColor="text1"/>
          <w:lang w:val="es-ES" w:eastAsia="es-ES" w:bidi="es-ES"/>
        </w:rPr>
      </w:pPr>
    </w:p>
    <w:p w14:paraId="792AF7D0" w14:textId="6C272EA0" w:rsidR="006F4C81" w:rsidRPr="00796AB6" w:rsidRDefault="00793304" w:rsidP="00796AB6">
      <w:pPr>
        <w:spacing w:after="0" w:line="276" w:lineRule="auto"/>
        <w:ind w:left="709" w:right="709"/>
        <w:jc w:val="both"/>
        <w:rPr>
          <w:rFonts w:ascii="Verdana" w:eastAsia="Calibri" w:hAnsi="Verdana" w:cs="Arial"/>
          <w:bCs/>
          <w:color w:val="000000" w:themeColor="text1"/>
          <w:sz w:val="21"/>
          <w:szCs w:val="21"/>
          <w:lang w:val="es-ES" w:eastAsia="es-ES" w:bidi="es-ES"/>
        </w:rPr>
      </w:pPr>
      <w:r>
        <w:rPr>
          <w:rFonts w:ascii="Verdana" w:eastAsia="Calibri" w:hAnsi="Verdana" w:cs="Arial"/>
          <w:bCs/>
          <w:color w:val="000000" w:themeColor="text1"/>
          <w:sz w:val="21"/>
          <w:szCs w:val="21"/>
          <w:lang w:val="es-ES" w:eastAsia="es-ES" w:bidi="es-ES"/>
        </w:rPr>
        <w:t>“</w:t>
      </w:r>
      <w:r w:rsidR="006F4C81" w:rsidRPr="00796AB6">
        <w:rPr>
          <w:rFonts w:ascii="Verdana" w:eastAsia="Calibri" w:hAnsi="Verdana" w:cs="Arial"/>
          <w:bCs/>
          <w:color w:val="000000" w:themeColor="text1"/>
          <w:sz w:val="21"/>
          <w:szCs w:val="21"/>
          <w:lang w:val="es-ES" w:eastAsia="es-ES" w:bidi="es-ES"/>
        </w:rPr>
        <w:t>¿Pueden los Cuerpos de Bomberos</w:t>
      </w:r>
      <w:r w:rsidR="00A03C9B" w:rsidRPr="00796AB6">
        <w:rPr>
          <w:rFonts w:ascii="Verdana" w:eastAsia="Calibri" w:hAnsi="Verdana" w:cs="Arial"/>
          <w:bCs/>
          <w:color w:val="000000" w:themeColor="text1"/>
          <w:sz w:val="21"/>
          <w:szCs w:val="21"/>
          <w:lang w:val="es-ES" w:eastAsia="es-ES" w:bidi="es-ES"/>
        </w:rPr>
        <w:t xml:space="preserve"> Voluntarios de cada municipio o distrito suscribir contratos de prestación de </w:t>
      </w:r>
      <w:r w:rsidR="001E7BD7" w:rsidRPr="00796AB6">
        <w:rPr>
          <w:rFonts w:ascii="Verdana" w:eastAsia="Calibri" w:hAnsi="Verdana" w:cs="Arial"/>
          <w:bCs/>
          <w:color w:val="000000" w:themeColor="text1"/>
          <w:sz w:val="21"/>
          <w:szCs w:val="21"/>
          <w:lang w:val="es-ES" w:eastAsia="es-ES" w:bidi="es-ES"/>
        </w:rPr>
        <w:t>servicios</w:t>
      </w:r>
      <w:r w:rsidR="00A03C9B" w:rsidRPr="00796AB6">
        <w:rPr>
          <w:rFonts w:ascii="Verdana" w:eastAsia="Calibri" w:hAnsi="Verdana" w:cs="Arial"/>
          <w:bCs/>
          <w:color w:val="000000" w:themeColor="text1"/>
          <w:sz w:val="21"/>
          <w:szCs w:val="21"/>
          <w:lang w:val="es-ES" w:eastAsia="es-ES" w:bidi="es-ES"/>
        </w:rPr>
        <w:t xml:space="preserve"> dentro del periodo de la Ley de Garantías</w:t>
      </w:r>
      <w:r w:rsidR="001E7BD7" w:rsidRPr="00796AB6">
        <w:rPr>
          <w:rFonts w:ascii="Verdana" w:eastAsia="Calibri" w:hAnsi="Verdana" w:cs="Arial"/>
          <w:bCs/>
          <w:color w:val="000000" w:themeColor="text1"/>
          <w:sz w:val="21"/>
          <w:szCs w:val="21"/>
          <w:lang w:val="es-ES" w:eastAsia="es-ES" w:bidi="es-ES"/>
        </w:rPr>
        <w:t xml:space="preserve">? Lo anterior, teniendo de presente el servicio </w:t>
      </w:r>
      <w:r w:rsidR="001E7BD7" w:rsidRPr="00796AB6">
        <w:rPr>
          <w:rFonts w:ascii="Verdana" w:eastAsia="Calibri" w:hAnsi="Verdana" w:cs="Arial"/>
          <w:bCs/>
          <w:color w:val="000000" w:themeColor="text1"/>
          <w:sz w:val="21"/>
          <w:szCs w:val="21"/>
          <w:lang w:val="es-ES" w:eastAsia="es-ES" w:bidi="es-ES"/>
        </w:rPr>
        <w:lastRenderedPageBreak/>
        <w:t>esencial, fundamental que hace parte de la atención de riesgos y desastres por su naturaleza</w:t>
      </w:r>
      <w:r w:rsidR="002D4B5E" w:rsidRPr="00796AB6">
        <w:rPr>
          <w:rFonts w:ascii="Verdana" w:eastAsia="Calibri" w:hAnsi="Verdana" w:cs="Arial"/>
          <w:bCs/>
          <w:color w:val="000000" w:themeColor="text1"/>
          <w:sz w:val="21"/>
          <w:szCs w:val="21"/>
          <w:lang w:val="es-ES" w:eastAsia="es-ES" w:bidi="es-ES"/>
        </w:rPr>
        <w:t>”.</w:t>
      </w:r>
    </w:p>
    <w:p w14:paraId="149DFEEA" w14:textId="77777777" w:rsidR="002D4B5E" w:rsidRDefault="002D4B5E" w:rsidP="006F4C81">
      <w:pPr>
        <w:spacing w:after="0" w:line="276" w:lineRule="auto"/>
        <w:jc w:val="both"/>
        <w:rPr>
          <w:rFonts w:ascii="Verdana" w:eastAsia="Calibri" w:hAnsi="Verdana" w:cs="Arial"/>
          <w:bCs/>
          <w:color w:val="000000" w:themeColor="text1"/>
          <w:lang w:val="es-ES" w:eastAsia="es-ES" w:bidi="es-ES"/>
        </w:rPr>
      </w:pPr>
    </w:p>
    <w:p w14:paraId="7C499950" w14:textId="77777777" w:rsidR="00796AB6" w:rsidRPr="00A652FF" w:rsidRDefault="00796AB6" w:rsidP="00796AB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E8B920B" w14:textId="77777777" w:rsidR="00796AB6" w:rsidRPr="00423BE7" w:rsidRDefault="00796AB6" w:rsidP="00796AB6">
      <w:pPr>
        <w:spacing w:after="120" w:line="276" w:lineRule="auto"/>
        <w:ind w:firstLine="709"/>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164F5A98" w14:textId="267E3484" w:rsidR="00796AB6" w:rsidRDefault="00796AB6" w:rsidP="00CE6F7F">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796AB6">
        <w:rPr>
          <w:rFonts w:ascii="Verdana" w:eastAsia="Century Gothic" w:hAnsi="Verdana" w:cs="Century Gothic"/>
          <w:b/>
          <w:bCs/>
        </w:rPr>
        <w:t>Problema planteado:</w:t>
      </w:r>
    </w:p>
    <w:p w14:paraId="0B1D87BB" w14:textId="77777777" w:rsidR="007D3E23" w:rsidRDefault="007D3E23" w:rsidP="00796AB6">
      <w:pPr>
        <w:tabs>
          <w:tab w:val="left" w:pos="142"/>
          <w:tab w:val="left" w:pos="284"/>
        </w:tabs>
        <w:spacing w:after="0" w:line="276" w:lineRule="auto"/>
        <w:ind w:left="708"/>
        <w:jc w:val="both"/>
        <w:rPr>
          <w:rFonts w:ascii="Verdana" w:eastAsia="Century Gothic" w:hAnsi="Verdana" w:cs="Century Gothic"/>
          <w:b/>
          <w:bCs/>
        </w:rPr>
      </w:pPr>
    </w:p>
    <w:p w14:paraId="2B46C0D5" w14:textId="5C8F7A71" w:rsidR="00CE6F7F" w:rsidRPr="009D3AAD" w:rsidRDefault="007B52A3" w:rsidP="007B52A3">
      <w:pPr>
        <w:spacing w:after="0" w:line="276" w:lineRule="auto"/>
        <w:jc w:val="both"/>
        <w:rPr>
          <w:rFonts w:ascii="Verdana" w:eastAsia="Century Gothic" w:hAnsi="Verdana" w:cs="Century Gothic"/>
          <w:b/>
          <w:bCs/>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009A6631" w:rsidRPr="00A16078">
        <w:rPr>
          <w:rFonts w:ascii="Verdana" w:eastAsia="Century Gothic" w:hAnsi="Verdana" w:cs="Century Gothic"/>
        </w:rPr>
        <w:t xml:space="preserve">Es jurídicamente viable la celebración de </w:t>
      </w:r>
      <w:r w:rsidR="00BD5EF6">
        <w:rPr>
          <w:rFonts w:ascii="Verdana" w:eastAsia="Century Gothic" w:hAnsi="Verdana" w:cs="Century Gothic"/>
        </w:rPr>
        <w:t>contratos</w:t>
      </w:r>
      <w:r w:rsidR="009A6631" w:rsidRPr="00A16078">
        <w:rPr>
          <w:rFonts w:ascii="Verdana" w:eastAsia="Century Gothic" w:hAnsi="Verdana" w:cs="Century Gothic"/>
        </w:rPr>
        <w:t xml:space="preserve"> entre entidades territoriales y Cuerpos de Bomberos Voluntarios durante la vigencia de las restricciones previstas en la Ley 996 de 2005?</w:t>
      </w:r>
    </w:p>
    <w:p w14:paraId="42FB9BFB" w14:textId="044F145D" w:rsidR="007B52A3" w:rsidRDefault="00CE6F7F" w:rsidP="00B424A0">
      <w:pPr>
        <w:spacing w:after="120" w:line="276" w:lineRule="auto"/>
        <w:jc w:val="both"/>
        <w:rPr>
          <w:rFonts w:ascii="Verdana" w:eastAsia="Century Gothic" w:hAnsi="Verdana" w:cs="Century Gothic"/>
        </w:rPr>
      </w:pPr>
      <w:r w:rsidRPr="009D3AAD">
        <w:rPr>
          <w:rFonts w:ascii="Verdana" w:eastAsia="Century Gothic" w:hAnsi="Verdana" w:cs="Century Gothic"/>
          <w:b/>
          <w:bCs/>
        </w:rPr>
        <w:t xml:space="preserve">2. Respuesta: </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86039" w:rsidRPr="009969AD" w14:paraId="4CF02E3F" w14:textId="77777777" w:rsidTr="00EC387F">
        <w:tc>
          <w:tcPr>
            <w:tcW w:w="8828" w:type="dxa"/>
          </w:tcPr>
          <w:p w14:paraId="4DE69CA4" w14:textId="77777777" w:rsidR="00D86039" w:rsidRDefault="00D86039" w:rsidP="00EC387F">
            <w:pPr>
              <w:spacing w:before="120" w:after="120" w:line="276" w:lineRule="auto"/>
              <w:jc w:val="both"/>
              <w:rPr>
                <w:rFonts w:ascii="Verdana" w:eastAsia="Calibri" w:hAnsi="Verdana" w:cs="Arial"/>
              </w:rPr>
            </w:pPr>
            <w:r w:rsidRPr="00BC092D">
              <w:rPr>
                <w:rFonts w:ascii="Verdana" w:eastAsia="Calibri" w:hAnsi="Verdana" w:cs="Arial"/>
              </w:rPr>
              <w:t>Durante la vigencia de las restricciones previstas en la Ley 996 de 2005,</w:t>
            </w:r>
            <w:r>
              <w:rPr>
                <w:rFonts w:ascii="Verdana" w:eastAsia="Calibri" w:hAnsi="Verdana" w:cs="Arial"/>
              </w:rPr>
              <w:t xml:space="preserve"> en cumplimiento de la obligación dispuesta en el artículo 3 de la Ley 1575 de 2012, </w:t>
            </w:r>
            <w:r w:rsidRPr="00BC092D">
              <w:rPr>
                <w:rFonts w:ascii="Verdana" w:eastAsia="Calibri" w:hAnsi="Verdana" w:cs="Arial"/>
              </w:rPr>
              <w:t xml:space="preserve"> las entidades territoriales pueden celebrar contratos o convenios con los </w:t>
            </w:r>
            <w:r w:rsidRPr="0076277C">
              <w:rPr>
                <w:rFonts w:ascii="Verdana" w:eastAsia="Calibri" w:hAnsi="Verdana" w:cs="Arial"/>
                <w:i/>
              </w:rPr>
              <w:t>Cuerpos de Bomberos Voluntarios,</w:t>
            </w:r>
            <w:r w:rsidRPr="00BC092D">
              <w:rPr>
                <w:rFonts w:ascii="Verdana" w:eastAsia="Calibri" w:hAnsi="Verdana" w:cs="Arial"/>
              </w:rPr>
              <w:t xml:space="preserve"> siempre que la escogencia del contratista se realice mediante un procedimiento competitivo que garantice la participación de una pluralidad de oferentes, en la medida en que la prohibición contenida en el artículo 33 recae específicamente sobre la contratación directa. En consecuencia, la celebración de acuerdos derivados de procesos abiertos y competitivos resulta jurídicamente viable dentro del periodo de la Ley de </w:t>
            </w:r>
            <w:r w:rsidRPr="00BC092D">
              <w:rPr>
                <w:rFonts w:ascii="Verdana" w:eastAsia="Calibri" w:hAnsi="Verdana" w:cs="Arial"/>
              </w:rPr>
              <w:lastRenderedPageBreak/>
              <w:t>Garantías.</w:t>
            </w:r>
            <w:r>
              <w:rPr>
                <w:rFonts w:ascii="Verdana" w:eastAsia="Calibri" w:hAnsi="Verdana" w:cs="Arial"/>
              </w:rPr>
              <w:t xml:space="preserve"> La </w:t>
            </w:r>
            <w:r w:rsidRPr="00BC092D">
              <w:rPr>
                <w:rFonts w:ascii="Verdana" w:eastAsia="Calibri" w:hAnsi="Verdana" w:cs="Arial"/>
              </w:rPr>
              <w:t xml:space="preserve">prohibición de celebrar </w:t>
            </w:r>
            <w:r w:rsidRPr="0076277C">
              <w:rPr>
                <w:rFonts w:ascii="Verdana" w:eastAsia="Calibri" w:hAnsi="Verdana" w:cs="Arial"/>
                <w:i/>
              </w:rPr>
              <w:t>convenios interadministrativos</w:t>
            </w:r>
            <w:r w:rsidRPr="00BC092D">
              <w:rPr>
                <w:rFonts w:ascii="Verdana" w:eastAsia="Calibri" w:hAnsi="Verdana" w:cs="Arial"/>
              </w:rPr>
              <w:t xml:space="preserve"> prevista en el parágrafo del artículo 38 de la Ley 996 de 2005 no resulta aplicable cuando el acuerdo se suscribe con Cuerpos de Bomberos Voluntarios, debido a su naturaleza jurídica privada, lo que impide que dichos convenios sean calificados como interadministrativos bajo el criterio orgánico que caracteriza esta modalidad contractual.</w:t>
            </w:r>
          </w:p>
          <w:p w14:paraId="23141F57" w14:textId="77777777" w:rsidR="00D86039" w:rsidRPr="00BC092D" w:rsidRDefault="00D86039" w:rsidP="00EC387F">
            <w:pPr>
              <w:spacing w:before="120" w:after="120" w:line="276" w:lineRule="auto"/>
              <w:ind w:firstLine="709"/>
              <w:jc w:val="both"/>
              <w:rPr>
                <w:rFonts w:ascii="Verdana" w:eastAsia="Calibri" w:hAnsi="Verdana" w:cs="Arial"/>
              </w:rPr>
            </w:pPr>
            <w:r>
              <w:rPr>
                <w:rFonts w:ascii="Verdana" w:eastAsia="Calibri" w:hAnsi="Verdana" w:cs="Arial"/>
              </w:rPr>
              <w:t>Excepcionalmente</w:t>
            </w:r>
            <w:r w:rsidRPr="00BC092D">
              <w:rPr>
                <w:rFonts w:ascii="Verdana" w:eastAsia="Calibri" w:hAnsi="Verdana" w:cs="Arial"/>
              </w:rPr>
              <w:t xml:space="preserve">, </w:t>
            </w:r>
            <w:r>
              <w:rPr>
                <w:rFonts w:ascii="Verdana" w:eastAsia="Calibri" w:hAnsi="Verdana" w:cs="Arial"/>
              </w:rPr>
              <w:t xml:space="preserve">durante la vigencia de la restricción del artículo 33 de la Ley 996 de 2005, </w:t>
            </w:r>
            <w:r w:rsidRPr="00BC092D">
              <w:rPr>
                <w:rFonts w:ascii="Verdana" w:eastAsia="Calibri" w:hAnsi="Verdana" w:cs="Arial"/>
              </w:rPr>
              <w:t>la</w:t>
            </w:r>
            <w:r>
              <w:rPr>
                <w:rFonts w:ascii="Verdana" w:eastAsia="Calibri" w:hAnsi="Verdana" w:cs="Arial"/>
              </w:rPr>
              <w:t xml:space="preserve">s entidades estatales podrán acudir a mecanismos de </w:t>
            </w:r>
            <w:r w:rsidRPr="00BC092D">
              <w:rPr>
                <w:rFonts w:ascii="Verdana" w:eastAsia="Calibri" w:hAnsi="Verdana" w:cs="Arial"/>
              </w:rPr>
              <w:t>contratación directa</w:t>
            </w:r>
            <w:r>
              <w:rPr>
                <w:rFonts w:ascii="Verdana" w:eastAsia="Calibri" w:hAnsi="Verdana" w:cs="Arial"/>
              </w:rPr>
              <w:t xml:space="preserve"> para celebrar este tipo de contratos o convenios </w:t>
            </w:r>
            <w:r w:rsidRPr="00BC092D">
              <w:rPr>
                <w:rFonts w:ascii="Verdana" w:eastAsia="Calibri" w:hAnsi="Verdana" w:cs="Arial"/>
              </w:rPr>
              <w:t>cuando</w:t>
            </w:r>
            <w:r>
              <w:rPr>
                <w:rFonts w:ascii="Verdana" w:eastAsia="Calibri" w:hAnsi="Verdana" w:cs="Arial"/>
              </w:rPr>
              <w:t>: i) se configure alguna de las causales de contratación directa previstas en la ley; y ii)</w:t>
            </w:r>
            <w:r w:rsidRPr="00BC092D">
              <w:rPr>
                <w:rFonts w:ascii="Verdana" w:eastAsia="Calibri" w:hAnsi="Verdana" w:cs="Arial"/>
              </w:rPr>
              <w:t xml:space="preserve"> el objeto contractual se enmarque en alguna de las excepciones previstas en el inciso segundo del artículo 33 de la Ley 996 de 2005, particularmente </w:t>
            </w:r>
            <w:r>
              <w:rPr>
                <w:rFonts w:ascii="Verdana" w:eastAsia="Calibri" w:hAnsi="Verdana" w:cs="Arial"/>
              </w:rPr>
              <w:t xml:space="preserve">con </w:t>
            </w:r>
            <w:r w:rsidRPr="00BC092D">
              <w:rPr>
                <w:rFonts w:ascii="Verdana" w:eastAsia="Calibri" w:hAnsi="Verdana" w:cs="Arial"/>
              </w:rPr>
              <w:t xml:space="preserve">aquellas </w:t>
            </w:r>
            <w:r>
              <w:rPr>
                <w:rFonts w:ascii="Verdana" w:eastAsia="Calibri" w:hAnsi="Verdana" w:cs="Arial"/>
              </w:rPr>
              <w:t xml:space="preserve">actividades </w:t>
            </w:r>
            <w:r w:rsidRPr="00BC092D">
              <w:rPr>
                <w:rFonts w:ascii="Verdana" w:eastAsia="Calibri" w:hAnsi="Verdana" w:cs="Arial"/>
              </w:rPr>
              <w:t xml:space="preserve">relacionadas con la atención de emergencias o desastres, </w:t>
            </w:r>
            <w:r>
              <w:rPr>
                <w:rFonts w:ascii="Verdana" w:eastAsia="Calibri" w:hAnsi="Verdana" w:cs="Arial"/>
              </w:rPr>
              <w:t>comprendidas dentro del servicios prestados por los Cuerpos de Bomberos con sustento en las l</w:t>
            </w:r>
            <w:r w:rsidRPr="00BC092D">
              <w:rPr>
                <w:rFonts w:ascii="Verdana" w:eastAsia="Calibri" w:hAnsi="Verdana" w:cs="Arial"/>
              </w:rPr>
              <w:t xml:space="preserve">eyes 1523 y 1575 de 2012, circunstancia que debe ser analizada y debidamente sustentada por la entidad estatal en cada caso concreto. En ausencia de tales supuestos, la entidad deberá acudir a mecanismos de selección competitivos </w:t>
            </w:r>
            <w:r>
              <w:rPr>
                <w:rFonts w:ascii="Verdana" w:eastAsia="Calibri" w:hAnsi="Verdana" w:cs="Arial"/>
              </w:rPr>
              <w:t xml:space="preserve">para dar cumplimiento al inciso cuarto del artículo 3 de la Ley 1523 de 2012, </w:t>
            </w:r>
            <w:r w:rsidRPr="00BC092D">
              <w:rPr>
                <w:rFonts w:ascii="Verdana" w:eastAsia="Calibri" w:hAnsi="Verdana" w:cs="Arial"/>
              </w:rPr>
              <w:t>garantiza</w:t>
            </w:r>
            <w:r>
              <w:rPr>
                <w:rFonts w:ascii="Verdana" w:eastAsia="Calibri" w:hAnsi="Verdana" w:cs="Arial"/>
              </w:rPr>
              <w:t>ndo</w:t>
            </w:r>
            <w:r w:rsidRPr="00BC092D">
              <w:rPr>
                <w:rFonts w:ascii="Verdana" w:eastAsia="Calibri" w:hAnsi="Verdana" w:cs="Arial"/>
              </w:rPr>
              <w:t xml:space="preserve"> la validez de la contratación durante el periodo de restricción electoral.</w:t>
            </w:r>
          </w:p>
          <w:p w14:paraId="56030553" w14:textId="77777777" w:rsidR="00D86039" w:rsidRPr="009969AD" w:rsidRDefault="00D86039" w:rsidP="00EC387F">
            <w:pPr>
              <w:spacing w:before="120" w:after="120" w:line="276" w:lineRule="auto"/>
              <w:ind w:firstLine="709"/>
              <w:jc w:val="both"/>
              <w:rPr>
                <w:rFonts w:ascii="Verdana" w:eastAsia="Calibri" w:hAnsi="Verdana" w:cs="Arial"/>
                <w:color w:val="ED7D31" w:themeColor="accent2"/>
              </w:rPr>
            </w:pPr>
            <w:r w:rsidRPr="00952B33">
              <w:rPr>
                <w:rFonts w:ascii="Verdana" w:eastAsia="Calibri" w:hAnsi="Verdana" w:cs="Arial"/>
                <w:bCs/>
              </w:rPr>
              <w:t>Finalmente</w:t>
            </w:r>
            <w:r w:rsidRPr="00952B33">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952B33">
              <w:rPr>
                <w:rFonts w:ascii="Verdana" w:hAnsi="Verdana"/>
              </w:rPr>
              <w:t xml:space="preserve"> </w:t>
            </w:r>
          </w:p>
        </w:tc>
      </w:tr>
    </w:tbl>
    <w:p w14:paraId="3B344C5C" w14:textId="77777777" w:rsidR="00D86039" w:rsidRDefault="00D86039" w:rsidP="00993CB1">
      <w:pPr>
        <w:spacing w:after="120" w:line="276" w:lineRule="auto"/>
        <w:jc w:val="both"/>
        <w:rPr>
          <w:rFonts w:ascii="Verdana" w:eastAsia="Century Gothic" w:hAnsi="Verdana" w:cs="Century Gothic"/>
        </w:rPr>
      </w:pPr>
    </w:p>
    <w:p w14:paraId="10BD0F17" w14:textId="5444E030" w:rsidR="007D3E23" w:rsidRPr="00CE3388" w:rsidRDefault="00CE3388" w:rsidP="00CE3388">
      <w:pPr>
        <w:spacing w:after="0" w:line="276" w:lineRule="auto"/>
        <w:jc w:val="both"/>
        <w:rPr>
          <w:rFonts w:ascii="Verdana" w:eastAsia="Calibri" w:hAnsi="Verdana" w:cs="Arial"/>
          <w:b/>
          <w:bCs/>
          <w:color w:val="7030A0"/>
        </w:rPr>
      </w:pPr>
      <w:r w:rsidRPr="00CE3388">
        <w:rPr>
          <w:rFonts w:ascii="Verdana" w:eastAsia="Calibri" w:hAnsi="Verdana" w:cs="Arial"/>
          <w:b/>
          <w:bCs/>
          <w:color w:val="000000" w:themeColor="text1"/>
        </w:rPr>
        <w:t xml:space="preserve">3. Razones de la respuesta: </w:t>
      </w:r>
    </w:p>
    <w:p w14:paraId="11667296" w14:textId="77777777" w:rsidR="00CE3388" w:rsidRPr="00CE3388" w:rsidRDefault="00CE3388" w:rsidP="00CE3388">
      <w:pPr>
        <w:spacing w:after="0" w:line="276" w:lineRule="auto"/>
        <w:jc w:val="both"/>
        <w:rPr>
          <w:rFonts w:ascii="Verdana" w:eastAsia="Calibri" w:hAnsi="Verdana" w:cs="Arial"/>
          <w:b/>
          <w:bCs/>
          <w:color w:val="7030A0"/>
        </w:rPr>
      </w:pPr>
    </w:p>
    <w:p w14:paraId="085AE11E" w14:textId="24FD3174" w:rsidR="00CE3388" w:rsidRPr="00CE3388" w:rsidRDefault="00CE3388" w:rsidP="00CE3388">
      <w:pPr>
        <w:rPr>
          <w:rFonts w:ascii="Verdana" w:eastAsia="Calibri" w:hAnsi="Verdana" w:cs="Arial"/>
        </w:rPr>
      </w:pPr>
      <w:r w:rsidRPr="00CE3388">
        <w:rPr>
          <w:rFonts w:ascii="Verdana" w:eastAsia="Calibri" w:hAnsi="Verdana" w:cs="Arial"/>
        </w:rPr>
        <w:t xml:space="preserve">Lo anterior se sustenta en las siguientes consideraciones: </w:t>
      </w:r>
    </w:p>
    <w:p w14:paraId="68CB2819" w14:textId="77777777" w:rsidR="00CE3388" w:rsidRPr="00CE3388" w:rsidRDefault="00CE3388" w:rsidP="00CE3388">
      <w:pPr>
        <w:rPr>
          <w:rFonts w:ascii="Verdana" w:eastAsia="Calibri" w:hAnsi="Verdana" w:cs="Arial"/>
        </w:rPr>
      </w:pPr>
    </w:p>
    <w:p w14:paraId="42981BE5" w14:textId="77777777" w:rsidR="00C9614C" w:rsidRPr="005A676F" w:rsidRDefault="00C9614C" w:rsidP="00C9614C">
      <w:pPr>
        <w:tabs>
          <w:tab w:val="left" w:pos="426"/>
        </w:tabs>
        <w:spacing w:after="120" w:line="276" w:lineRule="auto"/>
        <w:jc w:val="both"/>
        <w:rPr>
          <w:rFonts w:ascii="Verdana" w:eastAsia="Calibri" w:hAnsi="Verdana" w:cs="Arial"/>
          <w:bCs/>
          <w:lang w:val="es-ES_tradnl" w:eastAsia="es-CO"/>
        </w:rPr>
      </w:pPr>
      <w:r w:rsidRPr="005A676F">
        <w:rPr>
          <w:rFonts w:ascii="Verdana" w:eastAsia="Calibri" w:hAnsi="Verdana" w:cs="Arial"/>
          <w:bCs/>
          <w:lang w:eastAsia="es-ES_tradnl"/>
        </w:rPr>
        <w:t>i.</w:t>
      </w:r>
      <w:r>
        <w:rPr>
          <w:rFonts w:ascii="Verdana" w:eastAsia="Calibri" w:hAnsi="Verdana" w:cs="Arial"/>
          <w:bCs/>
          <w:lang w:eastAsia="es-ES_tradnl"/>
        </w:rPr>
        <w:t xml:space="preserve"> </w:t>
      </w:r>
      <w:r w:rsidR="00CE3388" w:rsidRPr="005A676F">
        <w:rPr>
          <w:rFonts w:ascii="Verdana" w:eastAsia="Calibri" w:hAnsi="Verdana" w:cs="Arial"/>
          <w:lang w:val="es-ES_tradnl" w:eastAsia="es-ES_tradnl"/>
        </w:rPr>
        <w:t>El ordenamiento jurídico colombiano contempla previsiones claras para evitar</w:t>
      </w:r>
      <w:r w:rsidR="00CA29EE" w:rsidRPr="005A676F">
        <w:rPr>
          <w:rFonts w:ascii="Verdana" w:eastAsia="Calibri" w:hAnsi="Verdana" w:cs="Arial"/>
          <w:lang w:val="es-ES_tradnl" w:eastAsia="es-ES_tradnl"/>
        </w:rPr>
        <w:t xml:space="preserve"> la obtención de beneficios personales en asuntos propios de la administración </w:t>
      </w:r>
      <w:r w:rsidR="00CA29EE" w:rsidRPr="005A676F">
        <w:rPr>
          <w:rFonts w:ascii="Verdana" w:eastAsia="Calibri" w:hAnsi="Verdana" w:cs="Arial"/>
          <w:lang w:val="es-ES_tradnl" w:eastAsia="es-ES_tradnl"/>
        </w:rPr>
        <w:lastRenderedPageBreak/>
        <w:t>pública</w:t>
      </w:r>
      <w:r w:rsidR="00CA29EE" w:rsidRPr="005A676F">
        <w:rPr>
          <w:rFonts w:ascii="Verdana" w:eastAsia="Calibri" w:hAnsi="Verdana" w:cs="Arial"/>
          <w:i/>
          <w:lang w:val="es-ES_tradnl" w:eastAsia="es-ES_tradnl"/>
        </w:rPr>
        <w:t xml:space="preserve">. </w:t>
      </w:r>
      <w:r w:rsidRPr="005A676F">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5A676F">
        <w:rPr>
          <w:rFonts w:ascii="Verdana" w:eastAsia="Calibri" w:hAnsi="Verdana" w:cs="Arial"/>
          <w:bCs/>
          <w:vertAlign w:val="superscript"/>
          <w:lang w:val="es-ES_tradnl" w:eastAsia="es-ES_tradnl"/>
        </w:rPr>
        <w:footnoteReference w:id="1"/>
      </w:r>
      <w:r w:rsidRPr="005A676F">
        <w:rPr>
          <w:rFonts w:ascii="Verdana" w:eastAsia="Calibri" w:hAnsi="Verdana" w:cs="Arial"/>
          <w:bCs/>
          <w:lang w:val="es-ES_tradnl" w:eastAsia="es-ES_tradnl"/>
        </w:rPr>
        <w:t xml:space="preserve">. </w:t>
      </w:r>
    </w:p>
    <w:p w14:paraId="60730485" w14:textId="77777777" w:rsidR="00C9614C" w:rsidRDefault="00C9614C" w:rsidP="00C9614C">
      <w:pPr>
        <w:tabs>
          <w:tab w:val="left" w:pos="426"/>
        </w:tabs>
        <w:spacing w:after="0" w:line="276" w:lineRule="auto"/>
        <w:ind w:firstLine="709"/>
        <w:jc w:val="both"/>
        <w:rPr>
          <w:rFonts w:ascii="Verdana" w:eastAsia="Calibri" w:hAnsi="Verdana" w:cs="Arial"/>
          <w:bCs/>
          <w:lang w:val="es-ES_tradnl" w:eastAsia="es-CO"/>
        </w:rPr>
      </w:pPr>
      <w:r w:rsidRPr="005A676F">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A676F">
        <w:rPr>
          <w:rFonts w:ascii="Verdana" w:eastAsia="Calibri" w:hAnsi="Verdana" w:cs="Arial"/>
          <w:bCs/>
          <w:vertAlign w:val="superscript"/>
          <w:lang w:val="es-ES_tradnl" w:eastAsia="es-CO"/>
        </w:rPr>
        <w:footnoteReference w:id="2"/>
      </w:r>
      <w:r w:rsidRPr="005A676F">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5A676F">
        <w:rPr>
          <w:rFonts w:ascii="Verdana" w:eastAsia="Calibri" w:hAnsi="Verdana" w:cs="Arial"/>
          <w:noProof/>
          <w:lang w:val="es-ES_tradnl" w:eastAsia="es-ES_tradnl"/>
        </w:rPr>
        <w:t xml:space="preserve"> </w:t>
      </w:r>
      <w:r w:rsidRPr="005A676F">
        <w:rPr>
          <w:rFonts w:ascii="Verdana" w:eastAsia="Calibri" w:hAnsi="Verdana" w:cs="Arial"/>
          <w:bCs/>
          <w:lang w:val="es-ES_tradnl" w:eastAsia="es-CO"/>
        </w:rPr>
        <w:t>En armonía con lo anterior, la Corte Constitucional ha abordado la definición de la Ley de Garantías Electorales, en los siguientes términos:</w:t>
      </w:r>
    </w:p>
    <w:p w14:paraId="37814479" w14:textId="77777777" w:rsidR="00C9614C" w:rsidRPr="00432152" w:rsidRDefault="00C9614C" w:rsidP="00C9614C">
      <w:pPr>
        <w:tabs>
          <w:tab w:val="left" w:pos="426"/>
        </w:tabs>
        <w:spacing w:after="0" w:line="276" w:lineRule="auto"/>
        <w:ind w:firstLine="709"/>
        <w:jc w:val="both"/>
        <w:rPr>
          <w:rFonts w:ascii="Verdana" w:eastAsia="Calibri" w:hAnsi="Verdana" w:cs="Arial"/>
          <w:bCs/>
          <w:lang w:val="es-ES_tradnl" w:eastAsia="es-CO"/>
        </w:rPr>
      </w:pPr>
    </w:p>
    <w:p w14:paraId="752CADD8" w14:textId="77777777" w:rsidR="00C9614C" w:rsidRPr="00432152" w:rsidRDefault="00C9614C" w:rsidP="00C9614C">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sz w:val="20"/>
          <w:szCs w:val="20"/>
          <w:lang w:val="es-ES" w:eastAsia="es-CO"/>
        </w:rPr>
        <w:t xml:space="preserve">[…] </w:t>
      </w:r>
      <w:r w:rsidRPr="00432152">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4E163A25" w14:textId="77777777" w:rsidR="00C9614C" w:rsidRPr="00432152" w:rsidRDefault="00C9614C" w:rsidP="00C9614C">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 </w:t>
      </w:r>
    </w:p>
    <w:p w14:paraId="45C16EE3" w14:textId="77777777" w:rsidR="00C9614C" w:rsidRDefault="00C9614C" w:rsidP="00C9614C">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32152">
        <w:rPr>
          <w:rFonts w:ascii="Verdana" w:eastAsia="Calibri" w:hAnsi="Verdana" w:cs="Arial"/>
          <w:sz w:val="20"/>
          <w:szCs w:val="20"/>
          <w:vertAlign w:val="superscript"/>
          <w:lang w:val="es-ES_tradnl" w:eastAsia="es-ES_tradnl"/>
        </w:rPr>
        <w:footnoteReference w:id="3"/>
      </w:r>
    </w:p>
    <w:p w14:paraId="28C7E550" w14:textId="77777777" w:rsidR="00C9614C" w:rsidRPr="00432152" w:rsidRDefault="00C9614C" w:rsidP="00C9614C">
      <w:pPr>
        <w:spacing w:after="0" w:line="240" w:lineRule="auto"/>
        <w:ind w:left="709" w:right="709"/>
        <w:jc w:val="both"/>
        <w:rPr>
          <w:rFonts w:ascii="Verdana" w:eastAsia="Calibri" w:hAnsi="Verdana" w:cs="Arial"/>
          <w:bCs/>
          <w:sz w:val="20"/>
          <w:szCs w:val="20"/>
          <w:lang w:val="es-ES_tradnl" w:eastAsia="es-CO"/>
        </w:rPr>
      </w:pPr>
    </w:p>
    <w:p w14:paraId="17B508A7" w14:textId="77777777" w:rsidR="00C9614C" w:rsidRDefault="00C9614C" w:rsidP="00C9614C">
      <w:pPr>
        <w:spacing w:after="120" w:line="276" w:lineRule="auto"/>
        <w:ind w:firstLine="709"/>
        <w:jc w:val="both"/>
        <w:rPr>
          <w:rFonts w:ascii="Verdana" w:eastAsia="Times New Roman" w:hAnsi="Verdana" w:cs="Arial"/>
          <w:bCs/>
          <w:lang w:val="es-MX" w:eastAsia="es-CO"/>
        </w:rPr>
      </w:pPr>
      <w:bookmarkStart w:id="1" w:name="_Hlk78818186"/>
      <w:r w:rsidRPr="00432152">
        <w:rPr>
          <w:rFonts w:ascii="Verdana" w:eastAsia="Times New Roman" w:hAnsi="Verdana" w:cs="Arial"/>
          <w:bCs/>
          <w:lang w:val="es-MX" w:eastAsia="es-CO"/>
        </w:rPr>
        <w:lastRenderedPageBreak/>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1719B94D" w14:textId="77777777" w:rsidR="00C9614C" w:rsidRPr="00432152" w:rsidRDefault="00C9614C" w:rsidP="00C9614C">
      <w:pPr>
        <w:spacing w:after="200" w:line="276" w:lineRule="auto"/>
        <w:ind w:left="142" w:firstLine="709"/>
        <w:jc w:val="both"/>
        <w:rPr>
          <w:rFonts w:ascii="Verdana" w:eastAsia="Calibri" w:hAnsi="Verdana" w:cs="Arial"/>
          <w:bCs/>
          <w:lang w:val="es-ES_tradnl"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1"/>
    </w:p>
    <w:p w14:paraId="50E66F27" w14:textId="77777777" w:rsidR="00C9614C" w:rsidRDefault="00C9614C" w:rsidP="00C9614C">
      <w:pPr>
        <w:spacing w:after="0" w:line="240" w:lineRule="auto"/>
        <w:ind w:left="851" w:right="709"/>
        <w:jc w:val="both"/>
        <w:rPr>
          <w:rFonts w:ascii="Verdana" w:eastAsia="Calibri" w:hAnsi="Verdana" w:cs="Arial"/>
          <w:sz w:val="20"/>
          <w:szCs w:val="20"/>
          <w:lang w:val="es-ES" w:eastAsia="es-CO"/>
        </w:rPr>
      </w:pPr>
      <w:r w:rsidRPr="4057FCD2">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42FD24" w14:textId="77777777" w:rsidR="00C9614C" w:rsidRPr="00432152" w:rsidRDefault="00C9614C" w:rsidP="00C9614C">
      <w:pPr>
        <w:spacing w:after="0" w:line="240" w:lineRule="auto"/>
        <w:ind w:left="851" w:right="709"/>
        <w:jc w:val="both"/>
        <w:rPr>
          <w:rFonts w:ascii="Verdana" w:eastAsia="Calibri" w:hAnsi="Verdana" w:cs="Arial"/>
          <w:sz w:val="20"/>
          <w:szCs w:val="20"/>
          <w:lang w:val="es-ES" w:eastAsia="es-CO"/>
        </w:rPr>
      </w:pPr>
    </w:p>
    <w:p w14:paraId="2BF61CFB" w14:textId="77777777" w:rsidR="00C9614C" w:rsidRDefault="00C9614C" w:rsidP="00C9614C">
      <w:pPr>
        <w:spacing w:after="0" w:line="240" w:lineRule="auto"/>
        <w:ind w:left="851"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La jurisprudencia de la Corte Constitucional</w:t>
      </w:r>
      <w:r w:rsidRPr="00432152">
        <w:rPr>
          <w:rFonts w:ascii="Verdana" w:eastAsia="Calibri" w:hAnsi="Verdana" w:cs="Arial"/>
          <w:bCs/>
          <w:sz w:val="20"/>
          <w:szCs w:val="20"/>
          <w:vertAlign w:val="superscript"/>
          <w:lang w:val="es-ES_tradnl" w:eastAsia="es-CO"/>
        </w:rPr>
        <w:footnoteReference w:id="4"/>
      </w:r>
      <w:r w:rsidRPr="00432152">
        <w:rPr>
          <w:rFonts w:ascii="Verdana" w:eastAsia="Calibri" w:hAnsi="Verdana" w:cs="Arial"/>
          <w:bCs/>
          <w:sz w:val="20"/>
          <w:szCs w:val="20"/>
          <w:lang w:val="es-ES_tradnl" w:eastAsia="es-CO"/>
        </w:rPr>
        <w:t> y del Consejo de Estado</w:t>
      </w:r>
      <w:r w:rsidRPr="00432152">
        <w:rPr>
          <w:rFonts w:ascii="Verdana" w:eastAsia="Calibri" w:hAnsi="Verdana" w:cs="Arial"/>
          <w:bCs/>
          <w:sz w:val="20"/>
          <w:szCs w:val="20"/>
          <w:vertAlign w:val="superscript"/>
          <w:lang w:val="es-ES_tradnl" w:eastAsia="es-CO"/>
        </w:rPr>
        <w:footnoteReference w:id="5"/>
      </w:r>
      <w:r w:rsidRPr="00432152">
        <w:rPr>
          <w:rFonts w:ascii="Verdana" w:eastAsia="Calibri" w:hAnsi="Verdana" w:cs="Arial"/>
          <w:bCs/>
          <w:sz w:val="20"/>
          <w:szCs w:val="20"/>
          <w:lang w:val="es-ES_tradnl"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32152">
        <w:rPr>
          <w:rFonts w:ascii="Verdana" w:eastAsia="Calibri" w:hAnsi="Verdana" w:cs="Arial"/>
          <w:bCs/>
          <w:sz w:val="20"/>
          <w:szCs w:val="20"/>
          <w:vertAlign w:val="superscript"/>
          <w:lang w:val="es-ES_tradnl" w:eastAsia="es-CO"/>
        </w:rPr>
        <w:footnoteReference w:id="6"/>
      </w:r>
      <w:r w:rsidRPr="00432152">
        <w:rPr>
          <w:rFonts w:ascii="Verdana" w:eastAsia="Calibri" w:hAnsi="Verdana" w:cs="Arial"/>
          <w:bCs/>
          <w:sz w:val="20"/>
          <w:szCs w:val="20"/>
          <w:lang w:val="es-ES_tradnl" w:eastAsia="es-CO"/>
        </w:rPr>
        <w:t>.</w:t>
      </w:r>
    </w:p>
    <w:p w14:paraId="1BC286ED" w14:textId="77777777" w:rsidR="00C9614C" w:rsidRPr="00432152" w:rsidRDefault="00C9614C" w:rsidP="00C9614C">
      <w:pPr>
        <w:spacing w:after="0" w:line="240" w:lineRule="auto"/>
        <w:ind w:left="851" w:right="709"/>
        <w:jc w:val="both"/>
        <w:rPr>
          <w:rFonts w:ascii="Verdana" w:eastAsia="Calibri" w:hAnsi="Verdana" w:cs="Arial"/>
          <w:bCs/>
          <w:sz w:val="20"/>
          <w:szCs w:val="20"/>
          <w:lang w:val="es-ES_tradnl" w:eastAsia="es-CO"/>
        </w:rPr>
      </w:pPr>
    </w:p>
    <w:p w14:paraId="10BEFF5A" w14:textId="77777777" w:rsidR="00C9614C" w:rsidRPr="00432152" w:rsidRDefault="00C9614C" w:rsidP="00C9614C">
      <w:pPr>
        <w:spacing w:after="120" w:line="276" w:lineRule="auto"/>
        <w:ind w:left="142"/>
        <w:jc w:val="both"/>
        <w:rPr>
          <w:rFonts w:ascii="Verdana" w:eastAsia="Arial" w:hAnsi="Verdana" w:cs="Arial"/>
          <w:lang w:val="es-ES" w:eastAsia="es-ES" w:bidi="es-ES"/>
        </w:rPr>
      </w:pPr>
      <w:r w:rsidRPr="00432152">
        <w:rPr>
          <w:rFonts w:ascii="Verdana" w:eastAsia="Calibri" w:hAnsi="Verdana" w:cs="Arial"/>
          <w:bCs/>
          <w:lang w:val="es-ES_tradnl" w:eastAsia="es-CO"/>
        </w:rPr>
        <w:tab/>
        <w:t>De</w:t>
      </w:r>
      <w:r w:rsidRPr="00432152">
        <w:rPr>
          <w:rFonts w:ascii="Verdana" w:eastAsia="Arial" w:hAnsi="Verdana" w:cs="Arial"/>
          <w:lang w:val="es-ES" w:eastAsia="es-ES" w:bidi="es-ES"/>
        </w:rPr>
        <w:t xml:space="preserve"> conformidad con lo anterior, </w:t>
      </w:r>
      <w:bookmarkStart w:id="2" w:name="_Hlk77236098"/>
      <w:r w:rsidRPr="004321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0A56DD97" w14:textId="77777777" w:rsidR="00C9614C" w:rsidRDefault="00C9614C" w:rsidP="00C9614C">
      <w:pPr>
        <w:spacing w:after="0" w:line="276" w:lineRule="auto"/>
        <w:ind w:firstLine="709"/>
        <w:contextualSpacing/>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417F9EAE" w14:textId="77777777" w:rsidR="00C9614C" w:rsidRPr="00432152" w:rsidRDefault="00C9614C" w:rsidP="00C9614C">
      <w:pPr>
        <w:spacing w:after="0" w:line="276" w:lineRule="auto"/>
        <w:ind w:firstLine="709"/>
        <w:contextualSpacing/>
        <w:jc w:val="both"/>
        <w:rPr>
          <w:rFonts w:ascii="Verdana" w:eastAsia="Calibri" w:hAnsi="Verdana" w:cs="Arial"/>
          <w:lang w:val="es-ES_tradnl" w:eastAsia="es-ES_tradnl"/>
        </w:rPr>
      </w:pPr>
    </w:p>
    <w:p w14:paraId="57F75539" w14:textId="77777777" w:rsidR="00C9614C" w:rsidRDefault="00C9614C" w:rsidP="00C9614C">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468D47A5" w14:textId="77777777" w:rsidR="00C9614C" w:rsidRDefault="00C9614C" w:rsidP="00C9614C">
      <w:pPr>
        <w:widowControl w:val="0"/>
        <w:autoSpaceDE w:val="0"/>
        <w:autoSpaceDN w:val="0"/>
        <w:spacing w:after="0" w:line="276" w:lineRule="auto"/>
        <w:ind w:firstLine="709"/>
        <w:contextualSpacing/>
        <w:jc w:val="both"/>
        <w:rPr>
          <w:rFonts w:ascii="Verdana" w:eastAsia="Arial" w:hAnsi="Verdana" w:cs="Arial"/>
          <w:lang w:val="es-ES" w:eastAsia="es-ES" w:bidi="es-ES"/>
        </w:rPr>
      </w:pPr>
    </w:p>
    <w:p w14:paraId="350259E9" w14:textId="77777777" w:rsidR="00C9614C" w:rsidRPr="00432152" w:rsidRDefault="00C9614C" w:rsidP="00C9614C">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64018BC" w14:textId="77777777" w:rsidR="00C9614C" w:rsidRDefault="00C9614C" w:rsidP="00C9614C">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5401BD03" w14:textId="77777777" w:rsidR="00C9614C" w:rsidRPr="00432152" w:rsidRDefault="00C9614C" w:rsidP="00C9614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2152">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432152">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432152">
        <w:rPr>
          <w:rFonts w:ascii="Verdana" w:eastAsia="Arial" w:hAnsi="Verdana" w:cs="Arial"/>
          <w:sz w:val="20"/>
          <w:szCs w:val="20"/>
          <w:vertAlign w:val="superscript"/>
          <w:lang w:val="es-ES" w:eastAsia="es-ES" w:bidi="es-ES"/>
        </w:rPr>
        <w:footnoteReference w:id="9"/>
      </w:r>
      <w:r w:rsidRPr="00432152">
        <w:rPr>
          <w:rFonts w:ascii="Verdana" w:eastAsia="Arial" w:hAnsi="Verdana" w:cs="Arial"/>
          <w:sz w:val="20"/>
          <w:szCs w:val="20"/>
          <w:lang w:val="es-ES" w:eastAsia="es-ES" w:bidi="es-ES"/>
        </w:rPr>
        <w:t>.</w:t>
      </w:r>
    </w:p>
    <w:p w14:paraId="61BCF853" w14:textId="77777777" w:rsidR="00C9614C" w:rsidRDefault="00C9614C" w:rsidP="00C9614C">
      <w:pPr>
        <w:spacing w:after="0" w:line="276" w:lineRule="auto"/>
        <w:ind w:left="142" w:firstLine="709"/>
        <w:jc w:val="both"/>
        <w:rPr>
          <w:rFonts w:ascii="Verdana" w:eastAsia="Arial" w:hAnsi="Verdana" w:cs="Arial"/>
          <w:lang w:val="es-ES" w:eastAsia="es-ES" w:bidi="es-ES"/>
        </w:rPr>
      </w:pPr>
    </w:p>
    <w:p w14:paraId="298F78FF" w14:textId="77777777" w:rsidR="00C9614C" w:rsidRPr="00432152" w:rsidRDefault="00C9614C" w:rsidP="00C9614C">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De lo anterior se desprende que </w:t>
      </w:r>
      <w:bookmarkStart w:id="4" w:name="_Hlk77236420"/>
      <w:bookmarkStart w:id="5"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xml:space="preserve">, también se </w:t>
      </w:r>
      <w:r w:rsidRPr="00432152">
        <w:rPr>
          <w:rFonts w:ascii="Verdana" w:eastAsia="Arial" w:hAnsi="Verdana" w:cs="Arial"/>
          <w:lang w:val="es-ES" w:eastAsia="es-ES" w:bidi="es-ES"/>
        </w:rPr>
        <w:lastRenderedPageBreak/>
        <w:t>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5"/>
    <w:p w14:paraId="0021973F" w14:textId="77777777" w:rsidR="00C9614C" w:rsidRPr="00432152" w:rsidRDefault="00C9614C" w:rsidP="00C9614C">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23B3FFBD" w14:textId="77777777" w:rsidR="00C9614C" w:rsidRPr="00D8028D" w:rsidRDefault="00C9614C" w:rsidP="00C9614C">
      <w:pPr>
        <w:spacing w:after="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D8028D">
        <w:rPr>
          <w:rFonts w:ascii="Verdana" w:eastAsia="Arial" w:hAnsi="Verdana" w:cs="Arial"/>
          <w:lang w:val="es-ES" w:eastAsia="es-ES" w:bidi="es-ES"/>
        </w:rPr>
        <w:t xml:space="preserve">para el Vicepresidente que no haya ejercido la presidencia o que la haya ejercido por un tiempo inferior a tres (3) meses durante el respectivo cuatrienio, en forma continua o discontinua, conforme al artículo 197 de la Constitución Política.  </w:t>
      </w:r>
    </w:p>
    <w:p w14:paraId="4B66C3D0" w14:textId="77777777" w:rsidR="00C9614C" w:rsidRPr="00D8028D" w:rsidRDefault="00C9614C" w:rsidP="00C9614C">
      <w:pPr>
        <w:spacing w:after="0" w:line="276" w:lineRule="auto"/>
        <w:jc w:val="both"/>
        <w:rPr>
          <w:rFonts w:ascii="Verdana" w:eastAsia="Calibri" w:hAnsi="Verdana" w:cs="Arial"/>
          <w:lang w:val="es-ES"/>
        </w:rPr>
      </w:pPr>
    </w:p>
    <w:p w14:paraId="4072D5BC" w14:textId="77777777" w:rsidR="00C9614C" w:rsidRPr="00D8028D" w:rsidRDefault="00C9614C" w:rsidP="00C9614C">
      <w:pPr>
        <w:spacing w:after="0" w:line="276" w:lineRule="auto"/>
        <w:jc w:val="both"/>
        <w:rPr>
          <w:rFonts w:ascii="Verdana" w:eastAsia="Calibri" w:hAnsi="Verdana" w:cs="Arial"/>
          <w:lang w:val="es-ES_tradnl" w:eastAsia="es-CO"/>
        </w:rPr>
      </w:pPr>
      <w:r w:rsidRPr="00D8028D">
        <w:rPr>
          <w:rFonts w:ascii="Verdana" w:eastAsia="Calibri" w:hAnsi="Verdana" w:cs="Arial"/>
          <w:bCs/>
          <w:lang w:val="es-ES" w:eastAsia="es-CO"/>
        </w:rPr>
        <w:t xml:space="preserve">ii. </w:t>
      </w:r>
      <w:r w:rsidRPr="00D8028D">
        <w:rPr>
          <w:rFonts w:ascii="Verdana" w:eastAsia="Calibri" w:hAnsi="Verdana" w:cs="Arial"/>
          <w:bCs/>
          <w:lang w:val="es-ES_tradnl" w:eastAsia="x-none"/>
        </w:rPr>
        <w:t xml:space="preserve">El ámbito material de la prohibición contenida en el artículo 33 de la ley 996 de 2005 está delimitado por la expresión </w:t>
      </w:r>
      <w:r w:rsidRPr="00D8028D">
        <w:rPr>
          <w:rFonts w:ascii="Verdana" w:eastAsia="Calibri" w:hAnsi="Verdana" w:cs="Arial"/>
          <w:bCs/>
          <w:lang w:val="es-ES_tradnl" w:eastAsia="es-ES_tradnl"/>
        </w:rPr>
        <w:t>“</w:t>
      </w:r>
      <w:r w:rsidRPr="00D8028D">
        <w:rPr>
          <w:rFonts w:ascii="Verdana" w:eastAsia="Calibri" w:hAnsi="Verdana" w:cs="Arial"/>
          <w:bCs/>
          <w:lang w:val="es-ES_tradnl" w:eastAsia="x-none"/>
        </w:rPr>
        <w:t>queda prohibida la contratación directa</w:t>
      </w:r>
      <w:r w:rsidRPr="00D8028D">
        <w:rPr>
          <w:rFonts w:ascii="Verdana" w:eastAsia="Calibri" w:hAnsi="Verdana" w:cs="Arial"/>
          <w:lang w:val="es-ES_tradnl" w:eastAsia="es-ES_tradnl"/>
        </w:rPr>
        <w:t>”</w:t>
      </w:r>
      <w:r w:rsidRPr="00D8028D">
        <w:rPr>
          <w:rFonts w:ascii="Verdana" w:eastAsia="Calibri" w:hAnsi="Verdana" w:cs="Arial"/>
          <w:bCs/>
          <w:lang w:val="es-ES_tradnl" w:eastAsia="x-none"/>
        </w:rPr>
        <w:t xml:space="preserve">. </w:t>
      </w:r>
      <w:r w:rsidRPr="00D8028D">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107E589A" w14:textId="77777777" w:rsidR="00C9614C" w:rsidRPr="00D8028D" w:rsidRDefault="00C9614C" w:rsidP="00C9614C">
      <w:pPr>
        <w:spacing w:after="0" w:line="276" w:lineRule="auto"/>
        <w:jc w:val="both"/>
        <w:rPr>
          <w:rFonts w:ascii="Verdana" w:eastAsia="Calibri" w:hAnsi="Verdana" w:cs="Arial"/>
          <w:bCs/>
          <w:lang w:val="es-ES_tradnl" w:eastAsia="es-CO"/>
        </w:rPr>
      </w:pPr>
    </w:p>
    <w:p w14:paraId="5A19D47A" w14:textId="77777777" w:rsidR="00C9614C" w:rsidRPr="00D8028D" w:rsidRDefault="00C9614C" w:rsidP="00C9614C">
      <w:pPr>
        <w:spacing w:after="0" w:line="240" w:lineRule="auto"/>
        <w:ind w:left="709" w:right="709"/>
        <w:jc w:val="both"/>
        <w:rPr>
          <w:rFonts w:ascii="Verdana" w:eastAsia="Calibri" w:hAnsi="Verdana" w:cs="Arial"/>
          <w:sz w:val="20"/>
          <w:szCs w:val="20"/>
          <w:lang w:val="es-ES_tradnl" w:eastAsia="es-ES_tradnl"/>
        </w:rPr>
      </w:pPr>
      <w:r w:rsidRPr="00D8028D">
        <w:rPr>
          <w:rFonts w:ascii="Verdana" w:eastAsia="Calibri" w:hAnsi="Verdana" w:cs="Arial"/>
          <w:sz w:val="20"/>
          <w:szCs w:val="20"/>
          <w:lang w:val="es-ES_tradnl" w:eastAsia="es-ES_tradnl"/>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D8028D">
        <w:rPr>
          <w:rFonts w:ascii="Verdana" w:eastAsia="Calibri" w:hAnsi="Verdana" w:cs="Arial"/>
          <w:sz w:val="20"/>
          <w:szCs w:val="20"/>
          <w:lang w:val="es-ES_tradnl" w:eastAsia="es-ES_tradnl"/>
        </w:rPr>
        <w:lastRenderedPageBreak/>
        <w:t>2, ley 1150 de 2007), y cumpliendo siempre los principios que rigen la contratación pública</w:t>
      </w:r>
      <w:r w:rsidRPr="00D8028D">
        <w:rPr>
          <w:rFonts w:ascii="Verdana" w:eastAsia="Calibri" w:hAnsi="Verdana" w:cs="Arial"/>
          <w:sz w:val="20"/>
          <w:szCs w:val="20"/>
          <w:vertAlign w:val="superscript"/>
          <w:lang w:val="es-ES_tradnl" w:eastAsia="es-CO"/>
        </w:rPr>
        <w:footnoteReference w:id="10"/>
      </w:r>
      <w:r w:rsidRPr="00D8028D">
        <w:rPr>
          <w:rFonts w:ascii="Verdana" w:eastAsia="Calibri" w:hAnsi="Verdana" w:cs="Arial"/>
          <w:sz w:val="20"/>
          <w:szCs w:val="20"/>
          <w:lang w:val="es-ES_tradnl" w:eastAsia="es-ES_tradnl"/>
        </w:rPr>
        <w:t>.</w:t>
      </w:r>
    </w:p>
    <w:p w14:paraId="2BF91F91" w14:textId="77777777" w:rsidR="00C9614C" w:rsidRPr="00D8028D" w:rsidRDefault="00C9614C" w:rsidP="00C9614C">
      <w:pPr>
        <w:spacing w:after="0" w:line="240" w:lineRule="auto"/>
        <w:ind w:left="709" w:right="709"/>
        <w:jc w:val="both"/>
        <w:rPr>
          <w:rFonts w:ascii="Verdana" w:eastAsia="Calibri" w:hAnsi="Verdana" w:cs="Arial"/>
          <w:sz w:val="20"/>
          <w:szCs w:val="20"/>
          <w:lang w:val="es-ES_tradnl" w:eastAsia="es-ES_tradnl"/>
        </w:rPr>
      </w:pPr>
    </w:p>
    <w:p w14:paraId="0F3CCFF3" w14:textId="77777777" w:rsidR="00C9614C" w:rsidRPr="00D8028D" w:rsidRDefault="00C9614C" w:rsidP="00C9614C">
      <w:pPr>
        <w:spacing w:after="0" w:line="240" w:lineRule="auto"/>
        <w:ind w:left="709" w:right="709"/>
        <w:jc w:val="both"/>
        <w:rPr>
          <w:rFonts w:ascii="Verdana" w:eastAsia="Calibri" w:hAnsi="Verdana" w:cs="Arial"/>
          <w:sz w:val="20"/>
          <w:szCs w:val="20"/>
          <w:lang w:val="es-ES" w:eastAsia="es-ES"/>
        </w:rPr>
      </w:pPr>
      <w:r w:rsidRPr="00D8028D">
        <w:rPr>
          <w:rFonts w:ascii="Verdana" w:eastAsia="Calibri" w:hAnsi="Verdana" w:cs="Arial"/>
          <w:sz w:val="20"/>
          <w:szCs w:val="20"/>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D8028D">
        <w:rPr>
          <w:rFonts w:ascii="Verdana" w:eastAsia="Calibri" w:hAnsi="Verdana" w:cs="Arial"/>
          <w:sz w:val="20"/>
          <w:szCs w:val="20"/>
          <w:vertAlign w:val="superscript"/>
          <w:lang w:val="es-ES" w:eastAsia="es-ES"/>
        </w:rPr>
        <w:footnoteReference w:id="11"/>
      </w:r>
      <w:r w:rsidRPr="00D8028D">
        <w:rPr>
          <w:rFonts w:ascii="Verdana" w:eastAsia="Calibri" w:hAnsi="Verdana" w:cs="Arial"/>
          <w:sz w:val="20"/>
          <w:szCs w:val="20"/>
          <w:vertAlign w:val="superscript"/>
          <w:lang w:val="es-ES" w:eastAsia="es-ES"/>
        </w:rPr>
        <w:t>.</w:t>
      </w:r>
      <w:r w:rsidRPr="00D8028D">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D8028D">
        <w:rPr>
          <w:rFonts w:ascii="Verdana" w:eastAsia="Calibri" w:hAnsi="Verdana" w:cs="Arial"/>
          <w:sz w:val="20"/>
          <w:szCs w:val="20"/>
          <w:vertAlign w:val="superscript"/>
          <w:lang w:val="es-ES" w:eastAsia="es-CO"/>
        </w:rPr>
        <w:footnoteReference w:id="12"/>
      </w:r>
      <w:r w:rsidRPr="00D8028D">
        <w:rPr>
          <w:rFonts w:ascii="Verdana" w:eastAsia="Calibri" w:hAnsi="Verdana" w:cs="Arial"/>
          <w:sz w:val="20"/>
          <w:szCs w:val="20"/>
          <w:lang w:val="es-ES" w:eastAsia="es-ES"/>
        </w:rPr>
        <w:t xml:space="preserve"> .</w:t>
      </w:r>
    </w:p>
    <w:p w14:paraId="2B0261B0" w14:textId="77777777" w:rsidR="00C9614C" w:rsidRPr="00D8028D" w:rsidRDefault="00C9614C" w:rsidP="00C9614C">
      <w:pPr>
        <w:spacing w:after="0" w:line="240" w:lineRule="auto"/>
        <w:ind w:left="709" w:right="709"/>
        <w:jc w:val="both"/>
        <w:rPr>
          <w:rFonts w:ascii="Verdana" w:eastAsia="Calibri" w:hAnsi="Verdana" w:cs="Arial"/>
          <w:sz w:val="20"/>
          <w:szCs w:val="20"/>
          <w:lang w:val="es-ES" w:eastAsia="es-ES"/>
        </w:rPr>
      </w:pPr>
    </w:p>
    <w:p w14:paraId="156A708F" w14:textId="77777777" w:rsidR="00C9614C" w:rsidRPr="00D8028D" w:rsidRDefault="00C9614C" w:rsidP="00C9614C">
      <w:pPr>
        <w:spacing w:after="120" w:line="276" w:lineRule="auto"/>
        <w:ind w:firstLine="708"/>
        <w:jc w:val="both"/>
        <w:rPr>
          <w:rFonts w:ascii="Verdana" w:eastAsia="Times New Roman" w:hAnsi="Verdana" w:cs="Arial"/>
          <w:bCs/>
          <w:lang w:val="es-ES_tradnl" w:eastAsia="x-none"/>
        </w:rPr>
      </w:pPr>
      <w:r w:rsidRPr="00D8028D">
        <w:rPr>
          <w:rFonts w:ascii="Verdana" w:eastAsia="Calibri" w:hAnsi="Verdana" w:cs="Arial"/>
          <w:lang w:val="es-ES_tradnl" w:eastAsia="x-none"/>
        </w:rPr>
        <w:t xml:space="preserve">De acuerdo con el citado concepto, la prohibición del artículo 33 de la Ley de Garantías Electorales se refiere a </w:t>
      </w:r>
      <w:r w:rsidRPr="00D8028D">
        <w:rPr>
          <w:rFonts w:ascii="Verdana" w:eastAsia="Calibri" w:hAnsi="Verdana" w:cs="Arial"/>
          <w:lang w:val="es-ES_tradnl" w:eastAsia="en-GB"/>
        </w:rPr>
        <w:t>“</w:t>
      </w:r>
      <w:r w:rsidRPr="00D8028D">
        <w:rPr>
          <w:rFonts w:ascii="Verdana" w:eastAsia="Calibri" w:hAnsi="Verdana" w:cs="Arial"/>
          <w:lang w:val="es-ES_tradnl" w:eastAsia="x-none"/>
        </w:rPr>
        <w:t>cualquier sistema que no implique convocatoria pública y posibilidad de pluralidad de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D8028D">
        <w:rPr>
          <w:rFonts w:ascii="Verdana" w:eastAsia="Calibri" w:hAnsi="Verdana" w:cs="Arial"/>
          <w:color w:val="000000"/>
          <w:lang w:val="es-ES_tradnl" w:eastAsia="x-none"/>
        </w:rPr>
        <w:t>además lo es con la posterior creación de la modalidad de mínima cuantía establecida actualmente en el numeral 5 del artículo 2 de la Ley 1150 de 2007, de acuerdo con las modificaciones realizadas por leyes posteriores</w:t>
      </w:r>
      <w:r w:rsidRPr="00D8028D">
        <w:rPr>
          <w:rFonts w:ascii="Verdana" w:eastAsia="Calibri" w:hAnsi="Verdana" w:cs="Arial"/>
          <w:color w:val="000000"/>
          <w:vertAlign w:val="superscript"/>
          <w:lang w:val="es-ES_tradnl" w:eastAsia="x-none"/>
        </w:rPr>
        <w:footnoteReference w:id="13"/>
      </w:r>
      <w:r w:rsidRPr="00D8028D">
        <w:rPr>
          <w:rFonts w:ascii="Verdana" w:eastAsia="Calibri" w:hAnsi="Verdana" w:cs="Arial"/>
          <w:color w:val="000000"/>
          <w:lang w:val="es-ES_tradnl" w:eastAsia="x-none"/>
        </w:rPr>
        <w:t>.</w:t>
      </w:r>
      <w:r w:rsidRPr="00D8028D">
        <w:rPr>
          <w:rFonts w:ascii="Verdana" w:eastAsia="Times New Roman" w:hAnsi="Verdana" w:cs="Arial"/>
          <w:lang w:val="es-ES_tradnl" w:eastAsia="x-none"/>
        </w:rPr>
        <w:t xml:space="preserve"> </w:t>
      </w:r>
    </w:p>
    <w:p w14:paraId="2F6CECB3" w14:textId="77777777" w:rsidR="00C9614C" w:rsidRPr="00D8028D" w:rsidRDefault="00C9614C" w:rsidP="00C9614C">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lang w:val="es-ES_tradnl" w:eastAsia="x-none"/>
        </w:rPr>
        <w:t xml:space="preserve">De esta forma, con fundamento en la evolución de la normativa sobre la contratación pública, se ha depurado la noción de </w:t>
      </w:r>
      <w:r w:rsidRPr="00D8028D">
        <w:rPr>
          <w:rFonts w:ascii="Verdana" w:eastAsia="Calibri" w:hAnsi="Verdana" w:cs="Arial"/>
          <w:lang w:val="es-ES_tradnl" w:eastAsia="en-GB"/>
        </w:rPr>
        <w:t>“</w:t>
      </w:r>
      <w:r w:rsidRPr="00D8028D">
        <w:rPr>
          <w:rFonts w:ascii="Verdana" w:eastAsia="Calibri" w:hAnsi="Verdana" w:cs="Arial"/>
          <w:lang w:val="es-ES_tradnl" w:eastAsia="x-none"/>
        </w:rPr>
        <w:t>contratación directa</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r w:rsidRPr="00D8028D">
        <w:rPr>
          <w:rFonts w:ascii="Verdana" w:eastAsia="Calibri" w:hAnsi="Verdana" w:cs="Arial"/>
          <w:lang w:val="es-ES_tradnl" w:eastAsia="x-none"/>
        </w:rPr>
        <w:lastRenderedPageBreak/>
        <w:t>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D8028D">
        <w:rPr>
          <w:rFonts w:ascii="Verdana" w:eastAsia="Calibri" w:hAnsi="Verdana" w:cs="Arial"/>
          <w:vertAlign w:val="superscript"/>
          <w:lang w:val="en-GB" w:eastAsia="x-none"/>
        </w:rPr>
        <w:footnoteReference w:id="14"/>
      </w:r>
      <w:r w:rsidRPr="00D8028D">
        <w:rPr>
          <w:rFonts w:ascii="Verdana" w:eastAsia="Calibri" w:hAnsi="Verdana" w:cs="Arial"/>
          <w:lang w:val="es-ES_tradnl" w:eastAsia="x-none"/>
        </w:rPr>
        <w:t>, han establecido sistemas de contratación que implican convocatoria pública y participación de varios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p>
    <w:p w14:paraId="00C16533" w14:textId="77777777" w:rsidR="00C9614C" w:rsidRPr="00D8028D" w:rsidRDefault="00C9614C" w:rsidP="00C9614C">
      <w:pPr>
        <w:spacing w:after="120" w:line="276" w:lineRule="auto"/>
        <w:ind w:firstLine="708"/>
        <w:jc w:val="both"/>
        <w:rPr>
          <w:rFonts w:ascii="Verdana" w:eastAsia="Calibri" w:hAnsi="Verdana" w:cs="Arial"/>
          <w:bCs/>
          <w:lang w:val="es-ES_tradnl" w:eastAsia="es-CO"/>
        </w:rPr>
      </w:pPr>
      <w:r w:rsidRPr="00D8028D">
        <w:rPr>
          <w:rFonts w:ascii="Verdana" w:eastAsia="Calibri" w:hAnsi="Verdana" w:cs="Arial"/>
          <w:bCs/>
          <w:lang w:val="es-ES_tradnl" w:eastAsia="x-none"/>
        </w:rPr>
        <w:t>E</w:t>
      </w:r>
      <w:r w:rsidRPr="00D8028D">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D8028D">
        <w:rPr>
          <w:rFonts w:ascii="Verdana" w:eastAsia="Calibri" w:hAnsi="Verdana" w:cs="Arial"/>
          <w:vertAlign w:val="superscript"/>
          <w:lang w:val="es-ES_tradnl" w:eastAsia="x-none"/>
        </w:rPr>
        <w:footnoteReference w:id="15"/>
      </w:r>
      <w:r w:rsidRPr="00D8028D">
        <w:rPr>
          <w:rFonts w:ascii="Verdana" w:eastAsia="Calibri" w:hAnsi="Verdana" w:cs="Arial"/>
          <w:lang w:val="es-ES_tradnl" w:eastAsia="x-none"/>
        </w:rPr>
        <w:t xml:space="preserve">. </w:t>
      </w:r>
    </w:p>
    <w:p w14:paraId="165404A9" w14:textId="77777777" w:rsidR="00C9614C" w:rsidRPr="00D8028D" w:rsidRDefault="00C9614C" w:rsidP="00C9614C">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043848A" w14:textId="77777777" w:rsidR="00C9614C" w:rsidRPr="00D8028D" w:rsidRDefault="00C9614C" w:rsidP="00C9614C">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D8028D">
        <w:rPr>
          <w:rFonts w:ascii="Verdana" w:eastAsia="Calibri" w:hAnsi="Verdana" w:cs="Arial"/>
          <w:bCs/>
          <w:lang w:val="es-ES_tradnl" w:eastAsia="x-none"/>
        </w:rPr>
        <w:lastRenderedPageBreak/>
        <w:t>que no incluya la convocatoria pública en alguna de sus etapas, ni permita la participación de una pluralidad de oferentes</w:t>
      </w:r>
      <w:r w:rsidRPr="00D8028D">
        <w:rPr>
          <w:rFonts w:ascii="Verdana" w:eastAsia="Calibri" w:hAnsi="Verdana" w:cs="Arial"/>
          <w:vertAlign w:val="superscript"/>
          <w:lang w:val="es-ES_tradnl" w:eastAsia="x-none"/>
        </w:rPr>
        <w:footnoteReference w:id="16"/>
      </w:r>
      <w:r w:rsidRPr="00D8028D">
        <w:rPr>
          <w:rFonts w:ascii="Verdana" w:eastAsia="Calibri" w:hAnsi="Verdana" w:cs="Arial"/>
          <w:bCs/>
          <w:lang w:val="es-ES_tradnl" w:eastAsia="x-none"/>
        </w:rPr>
        <w:t>.</w:t>
      </w:r>
      <w:r w:rsidRPr="00D8028D">
        <w:rPr>
          <w:rFonts w:ascii="Verdana" w:eastAsia="Calibri" w:hAnsi="Verdana" w:cs="Arial"/>
          <w:vertAlign w:val="superscript"/>
          <w:lang w:val="es-ES_tradnl" w:eastAsia="x-none"/>
        </w:rPr>
        <w:t xml:space="preserve"> </w:t>
      </w:r>
    </w:p>
    <w:p w14:paraId="29406981" w14:textId="77777777" w:rsidR="00C9614C" w:rsidRPr="00D8028D" w:rsidRDefault="00C9614C" w:rsidP="00C9614C">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D8028D">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71C4102" w14:textId="77777777" w:rsidR="00C9614C" w:rsidRPr="00D8028D" w:rsidRDefault="00C9614C" w:rsidP="00C9614C">
      <w:pPr>
        <w:spacing w:after="120" w:line="276" w:lineRule="auto"/>
        <w:ind w:firstLine="708"/>
        <w:jc w:val="both"/>
        <w:rPr>
          <w:rFonts w:ascii="Verdana" w:eastAsia="Calibri" w:hAnsi="Verdana" w:cs="Arial"/>
          <w:lang w:val="es-ES"/>
        </w:rPr>
      </w:pPr>
      <w:r w:rsidRPr="00D8028D">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01F6C255" w14:textId="77777777" w:rsidR="00C9614C" w:rsidRPr="00D8028D" w:rsidRDefault="00C9614C" w:rsidP="00C9614C">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rPr>
        <w:t>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8028D">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289F57B" w14:textId="77777777" w:rsidR="00C9614C" w:rsidRPr="00D8028D" w:rsidRDefault="00C9614C" w:rsidP="00C9614C">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En esta labor es importante tener en cuenta, como lo anotó la Corte Constitucional, en Sentencia C-1153 de noviembre 11 de 2005</w:t>
      </w:r>
      <w:r w:rsidRPr="00D8028D">
        <w:rPr>
          <w:rFonts w:ascii="Verdana" w:eastAsia="Calibri" w:hAnsi="Verdana" w:cs="Calibri"/>
          <w:vertAlign w:val="superscript"/>
          <w:lang w:val="es-ES_tradnl" w:eastAsia="es-ES_tradnl"/>
        </w:rPr>
        <w:t>,</w:t>
      </w:r>
      <w:r w:rsidRPr="00D8028D">
        <w:rPr>
          <w:rFonts w:ascii="Verdana" w:eastAsia="Calibri" w:hAnsi="Verdana" w:cs="Arial"/>
          <w:bCs/>
          <w:lang w:val="es-ES_tradnl" w:eastAsia="x-none"/>
        </w:rPr>
        <w:t xml:space="preserve"> que «si bien la </w:t>
      </w:r>
      <w:r w:rsidRPr="00D8028D">
        <w:rPr>
          <w:rFonts w:ascii="Verdana" w:eastAsia="Calibri" w:hAnsi="Verdana" w:cs="Arial"/>
          <w:bCs/>
          <w:lang w:val="es-ES_tradnl" w:eastAsia="x-none"/>
        </w:rPr>
        <w:lastRenderedPageBreak/>
        <w:t>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D8028D">
        <w:rPr>
          <w:rFonts w:ascii="Verdana" w:eastAsia="Calibri" w:hAnsi="Verdana" w:cs="Arial"/>
          <w:vertAlign w:val="superscript"/>
          <w:lang w:val="es-ES_tradnl" w:eastAsia="es-ES_tradnl"/>
        </w:rPr>
        <w:footnoteReference w:id="17"/>
      </w:r>
      <w:r w:rsidRPr="00D8028D">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19B5387" w14:textId="77777777" w:rsidR="00C9614C" w:rsidRPr="00D8028D" w:rsidRDefault="00C9614C" w:rsidP="00C9614C">
      <w:pPr>
        <w:spacing w:after="120" w:line="276" w:lineRule="auto"/>
        <w:ind w:firstLine="709"/>
        <w:jc w:val="both"/>
        <w:rPr>
          <w:rFonts w:ascii="Verdana" w:eastAsia="Times New Roman" w:hAnsi="Verdana" w:cs="Arial"/>
          <w:bCs/>
          <w:lang w:val="es-MX" w:eastAsia="es-CO"/>
        </w:rPr>
      </w:pPr>
      <w:r w:rsidRPr="00D8028D">
        <w:rPr>
          <w:rFonts w:ascii="Verdana" w:eastAsia="Calibri" w:hAnsi="Verdana" w:cs="Arial"/>
          <w:bCs/>
          <w:color w:val="000000"/>
          <w:lang w:val="es-MX" w:eastAsia="x-none"/>
        </w:rPr>
        <w:t>En relación con los destinatarios de la restricción analizada</w:t>
      </w:r>
      <w:r w:rsidRPr="00D8028D">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D8028D">
        <w:rPr>
          <w:rFonts w:ascii="Verdana" w:eastAsia="Calibri" w:hAnsi="Verdana" w:cs="Arial"/>
          <w:lang w:val="es-MX"/>
        </w:rPr>
        <w:t xml:space="preserve"> </w:t>
      </w:r>
      <w:r w:rsidRPr="00D8028D">
        <w:rPr>
          <w:rFonts w:ascii="Verdana" w:eastAsia="Times New Roman" w:hAnsi="Verdana" w:cs="Arial"/>
          <w:bCs/>
          <w:lang w:val="es-MX" w:eastAsia="x-none"/>
        </w:rPr>
        <w:t>En efecto, tal como lo ha sostenido el Consejo de Estado, el vocablo “todos” utilizado por el legislador comprende</w:t>
      </w:r>
      <w:r w:rsidRPr="00D8028D">
        <w:rPr>
          <w:rFonts w:ascii="Verdana" w:eastAsia="Calibri" w:hAnsi="Verdana" w:cs="Arial"/>
          <w:lang w:val="es-MX"/>
        </w:rPr>
        <w:t xml:space="preserve"> </w:t>
      </w:r>
      <w:r w:rsidRPr="00D8028D">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6" w:name="_Hlk75787147"/>
      <w:r w:rsidRPr="00D8028D">
        <w:rPr>
          <w:rFonts w:ascii="Verdana" w:eastAsia="Times New Roman" w:hAnsi="Verdana" w:cs="Arial"/>
          <w:bCs/>
          <w:lang w:val="es-MX" w:eastAsia="x-none"/>
        </w:rPr>
        <w:t xml:space="preserve"> </w:t>
      </w:r>
      <w:r w:rsidRPr="00D8028D">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D8028D">
        <w:rPr>
          <w:rFonts w:ascii="Verdana" w:eastAsia="Calibri" w:hAnsi="Verdana" w:cs="Arial"/>
          <w:bCs/>
          <w:color w:val="000000"/>
          <w:vertAlign w:val="superscript"/>
          <w:lang w:val="es-MX" w:eastAsia="x-none"/>
        </w:rPr>
        <w:footnoteReference w:id="18"/>
      </w:r>
      <w:r w:rsidRPr="00D8028D">
        <w:rPr>
          <w:rFonts w:ascii="Verdana" w:eastAsia="Calibri" w:hAnsi="Verdana" w:cs="Arial"/>
          <w:bCs/>
          <w:color w:val="000000"/>
          <w:lang w:val="es-MX" w:eastAsia="x-none"/>
        </w:rPr>
        <w:t>.</w:t>
      </w:r>
    </w:p>
    <w:p w14:paraId="2EE04121" w14:textId="77777777" w:rsidR="00C9614C" w:rsidRDefault="00C9614C" w:rsidP="00C9614C">
      <w:pPr>
        <w:spacing w:after="0" w:line="276" w:lineRule="auto"/>
        <w:ind w:firstLine="708"/>
        <w:jc w:val="both"/>
        <w:rPr>
          <w:rFonts w:ascii="Verdana" w:eastAsia="Times New Roman" w:hAnsi="Verdana" w:cs="Arial"/>
          <w:bCs/>
          <w:lang w:val="es-MX" w:eastAsia="x-none"/>
        </w:rPr>
      </w:pPr>
      <w:bookmarkStart w:id="7" w:name="_Hlk77237229"/>
      <w:bookmarkEnd w:id="6"/>
      <w:r w:rsidRPr="00D8028D">
        <w:rPr>
          <w:rFonts w:ascii="Verdana" w:eastAsia="Calibri" w:hAnsi="Verdana" w:cs="Arial"/>
          <w:lang w:val="es-MX"/>
        </w:rPr>
        <w:lastRenderedPageBreak/>
        <w:t>Por lo tanto, la restricción prevista en la Ley 996 de 200</w:t>
      </w:r>
      <w:bookmarkStart w:id="8" w:name="_Hlk75741539"/>
      <w:r w:rsidRPr="00D8028D">
        <w:rPr>
          <w:rFonts w:ascii="Verdana" w:eastAsia="Calibri" w:hAnsi="Verdana" w:cs="Arial"/>
          <w:lang w:val="es-MX"/>
        </w:rPr>
        <w:t xml:space="preserve">5, </w:t>
      </w:r>
      <w:r w:rsidRPr="00D8028D">
        <w:rPr>
          <w:rFonts w:ascii="Verdana" w:eastAsia="Times New Roman" w:hAnsi="Verdana" w:cs="Arial"/>
          <w:bCs/>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7"/>
      <w:bookmarkEnd w:id="8"/>
      <w:r>
        <w:rPr>
          <w:rFonts w:ascii="Verdana" w:eastAsia="Times New Roman" w:hAnsi="Verdana" w:cs="Arial"/>
          <w:bCs/>
          <w:lang w:val="es-MX" w:eastAsia="x-none"/>
        </w:rPr>
        <w:t>.</w:t>
      </w:r>
    </w:p>
    <w:p w14:paraId="6C2F55B8" w14:textId="77777777" w:rsidR="00C9614C" w:rsidRPr="0076277C" w:rsidRDefault="00C9614C" w:rsidP="00C9614C">
      <w:pPr>
        <w:spacing w:after="0" w:line="276" w:lineRule="auto"/>
        <w:jc w:val="both"/>
        <w:rPr>
          <w:rFonts w:ascii="Verdana" w:eastAsia="Times New Roman" w:hAnsi="Verdana" w:cs="Arial"/>
          <w:lang w:val="es-ES" w:eastAsia="x-none"/>
        </w:rPr>
      </w:pPr>
    </w:p>
    <w:p w14:paraId="6EF85FAA" w14:textId="77777777" w:rsidR="00C9614C" w:rsidRPr="00343E12" w:rsidRDefault="00C9614C" w:rsidP="00C9614C">
      <w:pPr>
        <w:spacing w:after="0" w:line="276" w:lineRule="auto"/>
        <w:jc w:val="both"/>
        <w:rPr>
          <w:rFonts w:ascii="Verdana" w:eastAsia="Times New Roman" w:hAnsi="Verdana" w:cs="Arial"/>
          <w:lang w:eastAsia="es-CO"/>
        </w:rPr>
      </w:pPr>
      <w:r>
        <w:rPr>
          <w:rFonts w:ascii="Verdana" w:eastAsia="Times New Roman" w:hAnsi="Verdana" w:cs="Arial"/>
          <w:bCs/>
          <w:lang w:val="es-MX" w:eastAsia="x-none"/>
        </w:rPr>
        <w:t xml:space="preserve">iii. De otra parte, es importante precisar que, </w:t>
      </w:r>
      <w:r>
        <w:rPr>
          <w:rFonts w:ascii="Verdana" w:eastAsia="Times New Roman" w:hAnsi="Verdana" w:cs="Arial"/>
          <w:lang w:val="es-MX" w:eastAsia="es-CO"/>
        </w:rPr>
        <w:t>l</w:t>
      </w:r>
      <w:r w:rsidRPr="00725218">
        <w:rPr>
          <w:rFonts w:ascii="Verdana" w:eastAsia="Times New Roman" w:hAnsi="Verdana" w:cs="Arial"/>
          <w:lang w:val="es-MX" w:eastAsia="es-CO"/>
        </w:rPr>
        <w:t>a prohibición</w:t>
      </w:r>
      <w:r>
        <w:rPr>
          <w:rFonts w:ascii="Verdana" w:eastAsia="Times New Roman" w:hAnsi="Verdana" w:cs="Arial"/>
          <w:lang w:val="es-MX" w:eastAsia="es-CO"/>
        </w:rPr>
        <w:t xml:space="preserve"> establecida en el parágrafo del artículo 38 de la Ley 996 de 2005,</w:t>
      </w:r>
      <w:r w:rsidRPr="00725218">
        <w:rPr>
          <w:rFonts w:ascii="Verdana" w:eastAsia="Times New Roman" w:hAnsi="Verdana" w:cs="Arial"/>
          <w:lang w:val="es-MX" w:eastAsia="es-CO"/>
        </w:rPr>
        <w:t xml:space="preserve"> la Circular Externa No. 006 de 2025 expedida por la ANCP -CCE, en los literales ii) y iv) del numeral 2</w:t>
      </w:r>
      <w:r w:rsidRPr="00725218">
        <w:rPr>
          <w:rFonts w:ascii="Verdana" w:eastAsia="Times New Roman" w:hAnsi="Verdana" w:cs="Arial"/>
          <w:lang w:eastAsia="es-CO"/>
        </w:rPr>
        <w:t>,</w:t>
      </w:r>
      <w:r w:rsidRPr="00725218">
        <w:rPr>
          <w:rFonts w:ascii="Verdana" w:eastAsia="Times New Roman" w:hAnsi="Verdana" w:cs="Arial"/>
          <w:lang w:val="es-MX" w:eastAsia="es-CO"/>
        </w:rPr>
        <w:t xml:space="preserve"> indica que </w:t>
      </w:r>
      <w:r>
        <w:rPr>
          <w:rFonts w:ascii="Verdana" w:eastAsia="Times New Roman" w:hAnsi="Verdana" w:cs="Arial"/>
          <w:lang w:val="es-MX" w:eastAsia="es-CO"/>
        </w:rPr>
        <w:t>esta disposición</w:t>
      </w:r>
      <w:r w:rsidRPr="00343E12">
        <w:rPr>
          <w:rFonts w:ascii="Verdana" w:eastAsia="Times New Roman" w:hAnsi="Verdana" w:cs="Arial"/>
          <w:lang w:eastAsia="es-CO"/>
        </w:rPr>
        <w:t xml:space="preserve">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497AE548" w14:textId="77777777" w:rsidR="00C9614C" w:rsidRPr="00343E12" w:rsidRDefault="00C9614C" w:rsidP="00C9614C">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0ABAE3FC" w14:textId="77777777" w:rsidR="00C9614C" w:rsidRPr="00FD6CE7" w:rsidRDefault="00C9614C" w:rsidP="00C9614C">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w:t>
      </w:r>
      <w:r w:rsidRPr="00343E12">
        <w:rPr>
          <w:rFonts w:ascii="Verdana" w:eastAsia="Aptos" w:hAnsi="Verdana" w:cs="Arial"/>
          <w:bCs/>
          <w:lang w:val="es-MX" w:eastAsia="x-none"/>
        </w:rPr>
        <w:lastRenderedPageBreak/>
        <w:t>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3EC8F272" w14:textId="77777777" w:rsidR="00C9614C" w:rsidRPr="00343E12" w:rsidRDefault="00C9614C" w:rsidP="00C9614C">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3E09C639" w14:textId="77777777" w:rsidR="00C9614C" w:rsidRPr="00343E12" w:rsidRDefault="00C9614C" w:rsidP="00C9614C">
      <w:pPr>
        <w:spacing w:after="0" w:line="276" w:lineRule="auto"/>
        <w:ind w:firstLine="709"/>
        <w:jc w:val="both"/>
        <w:rPr>
          <w:rFonts w:ascii="Verdana" w:eastAsia="Aptos" w:hAnsi="Verdana" w:cs="Arial"/>
        </w:rPr>
      </w:pPr>
    </w:p>
    <w:p w14:paraId="18064523" w14:textId="77777777" w:rsidR="00C9614C" w:rsidRPr="00343E12" w:rsidRDefault="00C9614C" w:rsidP="00C9614C">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3970DAE" w14:textId="77777777" w:rsidR="00C9614C" w:rsidRPr="00343E12" w:rsidRDefault="00C9614C" w:rsidP="00C9614C">
      <w:pPr>
        <w:spacing w:after="0" w:line="240" w:lineRule="auto"/>
        <w:ind w:left="709" w:right="709"/>
        <w:jc w:val="both"/>
        <w:rPr>
          <w:rFonts w:ascii="Verdana" w:eastAsia="Aptos" w:hAnsi="Verdana" w:cs="Arial"/>
          <w:sz w:val="20"/>
          <w:szCs w:val="20"/>
        </w:rPr>
      </w:pPr>
    </w:p>
    <w:p w14:paraId="14F4AE5F" w14:textId="77777777" w:rsidR="00C9614C" w:rsidRPr="00343E12" w:rsidRDefault="00C9614C" w:rsidP="00C9614C">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09D2240B" w14:textId="77777777" w:rsidR="00C9614C" w:rsidRPr="00343E12" w:rsidRDefault="00C9614C" w:rsidP="00C9614C">
      <w:pPr>
        <w:spacing w:after="0" w:line="276" w:lineRule="auto"/>
        <w:ind w:left="709" w:right="709"/>
        <w:jc w:val="both"/>
        <w:rPr>
          <w:rFonts w:ascii="Verdana" w:eastAsia="Aptos" w:hAnsi="Verdana" w:cs="Arial"/>
        </w:rPr>
      </w:pPr>
    </w:p>
    <w:p w14:paraId="5DBD6FF1" w14:textId="77777777" w:rsidR="00C9614C" w:rsidRPr="00343E12" w:rsidRDefault="00C9614C" w:rsidP="00C9614C">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w:t>
      </w:r>
      <w:r w:rsidRPr="00343E12">
        <w:rPr>
          <w:rFonts w:ascii="Verdana" w:eastAsia="Arial" w:hAnsi="Verdana" w:cs="Arial"/>
          <w:i/>
          <w:iCs/>
          <w:lang w:eastAsia="es-ES" w:bidi="es-ES"/>
        </w:rPr>
        <w:lastRenderedPageBreak/>
        <w:t xml:space="preserve">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77C685C" w14:textId="77777777" w:rsidR="00C9614C" w:rsidRPr="00343E12" w:rsidRDefault="00C9614C" w:rsidP="00C9614C">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0ABC7C46" w14:textId="77777777" w:rsidR="00C9614C" w:rsidRPr="00343E12" w:rsidRDefault="00C9614C" w:rsidP="00C9614C">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7BF83DA7" w14:textId="77777777" w:rsidR="00C9614C" w:rsidRPr="00343E12" w:rsidRDefault="00C9614C" w:rsidP="00C9614C">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0"/>
      </w:r>
      <w:r w:rsidRPr="00343E12">
        <w:rPr>
          <w:rFonts w:ascii="Verdana" w:eastAsia="Times New Roman" w:hAnsi="Verdana" w:cs="Times New Roman"/>
          <w:lang w:eastAsia="es-ES"/>
        </w:rPr>
        <w:t xml:space="preserve">. Sobre el </w:t>
      </w:r>
      <w:r w:rsidRPr="00343E1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D6220A8" w14:textId="77777777" w:rsidR="00C9614C" w:rsidRDefault="00C9614C" w:rsidP="00C9614C">
      <w:pPr>
        <w:spacing w:after="120" w:line="276" w:lineRule="auto"/>
        <w:ind w:firstLine="709"/>
        <w:jc w:val="both"/>
        <w:rPr>
          <w:rFonts w:ascii="Verdana" w:eastAsia="Times New Roman" w:hAnsi="Verdana" w:cs="Arial"/>
          <w:lang w:eastAsia="es-CO"/>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Pr>
          <w:rFonts w:ascii="Verdana" w:eastAsia="Times New Roman" w:hAnsi="Verdana" w:cs="Arial"/>
          <w:lang w:eastAsia="es-CO"/>
        </w:rPr>
        <w:t xml:space="preserve"> </w:t>
      </w: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1"/>
      </w:r>
      <w:r>
        <w:rPr>
          <w:rFonts w:ascii="Verdana" w:eastAsia="Times New Roman" w:hAnsi="Verdana" w:cs="Arial"/>
          <w:lang w:eastAsia="es-CO"/>
        </w:rPr>
        <w:t xml:space="preserve">. </w:t>
      </w:r>
    </w:p>
    <w:p w14:paraId="388BC9F0" w14:textId="77777777" w:rsidR="00C9614C" w:rsidRPr="0004207F" w:rsidRDefault="00C9614C" w:rsidP="00C9614C">
      <w:pPr>
        <w:spacing w:line="276" w:lineRule="auto"/>
        <w:jc w:val="both"/>
        <w:rPr>
          <w:rFonts w:ascii="Verdana" w:hAnsi="Verdana" w:cs="Arial"/>
          <w:bCs/>
          <w:lang w:val="es-MX" w:eastAsia="x-none"/>
        </w:rPr>
      </w:pPr>
      <w:r>
        <w:rPr>
          <w:rFonts w:ascii="Verdana" w:eastAsia="Times New Roman" w:hAnsi="Verdana" w:cs="Arial"/>
          <w:lang w:eastAsia="es-CO"/>
        </w:rPr>
        <w:t xml:space="preserve">iv. </w:t>
      </w:r>
      <w:r w:rsidRPr="0004207F">
        <w:rPr>
          <w:rFonts w:ascii="Verdana" w:hAnsi="Verdana" w:cs="Arial"/>
          <w:bCs/>
          <w:lang w:val="es-MX" w:eastAsia="x-none"/>
        </w:rPr>
        <w:t>Es importante reiterar que</w:t>
      </w:r>
      <w:r>
        <w:rPr>
          <w:rFonts w:ascii="Verdana" w:hAnsi="Verdana" w:cs="Arial"/>
          <w:bCs/>
          <w:lang w:val="es-MX" w:eastAsia="x-none"/>
        </w:rPr>
        <w:t>,</w:t>
      </w:r>
      <w:r w:rsidRPr="0004207F">
        <w:rPr>
          <w:rFonts w:ascii="Verdana" w:hAnsi="Verdana" w:cs="Arial"/>
          <w:bCs/>
          <w:lang w:val="es-MX" w:eastAsia="x-none"/>
        </w:rPr>
        <w:t xml:space="preserv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2"/>
      </w:r>
      <w:r w:rsidRPr="0004207F">
        <w:rPr>
          <w:rFonts w:ascii="Verdana" w:hAnsi="Verdana" w:cs="Arial"/>
          <w:bCs/>
          <w:lang w:val="es-MX" w:eastAsia="x-none"/>
        </w:rPr>
        <w:t>.</w:t>
      </w:r>
    </w:p>
    <w:p w14:paraId="65CECE3B" w14:textId="77777777" w:rsidR="00C9614C" w:rsidRPr="0004207F" w:rsidRDefault="00C9614C" w:rsidP="00C9614C">
      <w:pPr>
        <w:shd w:val="clear" w:color="auto" w:fill="FFFFFF" w:themeFill="background1"/>
        <w:spacing w:line="276" w:lineRule="auto"/>
        <w:ind w:firstLine="709"/>
        <w:jc w:val="both"/>
        <w:rPr>
          <w:rFonts w:ascii="Verdana" w:hAnsi="Verdana" w:cs="Arial"/>
          <w:lang w:val="es-ES" w:eastAsia="es-CO"/>
        </w:rPr>
      </w:pPr>
      <w:r w:rsidRPr="37D461F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w:t>
      </w:r>
      <w:r w:rsidRPr="37D461F2">
        <w:rPr>
          <w:rFonts w:ascii="Verdana" w:hAnsi="Verdana" w:cs="Arial"/>
          <w:lang w:val="es-ES" w:eastAsia="es-CO"/>
        </w:rPr>
        <w:lastRenderedPageBreak/>
        <w:t>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04207F">
        <w:rPr>
          <w:rStyle w:val="Refdenotaalpie"/>
          <w:rFonts w:ascii="Verdana" w:hAnsi="Verdana" w:cs="Arial"/>
          <w:lang w:val="es-ES_tradnl" w:eastAsia="es-CO"/>
        </w:rPr>
        <w:footnoteReference w:id="23"/>
      </w:r>
      <w:r w:rsidRPr="37D461F2">
        <w:rPr>
          <w:rFonts w:ascii="Verdana" w:hAnsi="Verdana" w:cs="Arial"/>
          <w:lang w:val="es-ES" w:eastAsia="es-CO"/>
        </w:rPr>
        <w:t xml:space="preserve">. </w:t>
      </w:r>
    </w:p>
    <w:p w14:paraId="49CAA9AA" w14:textId="77777777" w:rsidR="00C9614C" w:rsidRPr="0004207F" w:rsidRDefault="00C9614C" w:rsidP="00C9614C">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7EDBBEBD" w14:textId="77777777" w:rsidR="00C9614C" w:rsidRPr="0004207F" w:rsidRDefault="00C9614C" w:rsidP="00C9614C">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4"/>
      </w:r>
      <w:r w:rsidRPr="0004207F">
        <w:rPr>
          <w:rFonts w:ascii="Verdana" w:eastAsia="Calibri" w:hAnsi="Verdana" w:cs="Arial"/>
          <w:bCs/>
          <w:color w:val="000000" w:themeColor="text1"/>
        </w:rPr>
        <w:t>.</w:t>
      </w:r>
    </w:p>
    <w:p w14:paraId="4F314CA6" w14:textId="77777777" w:rsidR="00C9614C" w:rsidRPr="00AB6523" w:rsidRDefault="00C9614C" w:rsidP="00C9614C">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lastRenderedPageBreak/>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31565D0A" w14:textId="77777777" w:rsidR="00C9614C" w:rsidRPr="00D93A6C" w:rsidRDefault="00C9614C" w:rsidP="00C9614C">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9" w:name="_Hlk35871146"/>
      <w:r w:rsidRPr="00D93A6C">
        <w:rPr>
          <w:rFonts w:ascii="Verdana" w:eastAsia="Calibri" w:hAnsi="Verdana" w:cs="Arial"/>
          <w:lang w:val="es-ES_tradnl"/>
        </w:rPr>
        <w:t>el apresamiento de enemigos, los actos de autoridad ejercidos por un funcionario público</w:t>
      </w:r>
      <w:bookmarkEnd w:id="9"/>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5"/>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w:t>
      </w:r>
      <w:r w:rsidRPr="00D93A6C">
        <w:rPr>
          <w:rFonts w:ascii="Verdana" w:eastAsia="Calibri" w:hAnsi="Verdana" w:cs="Arial"/>
          <w:lang w:val="es-ES_tradnl"/>
        </w:rPr>
        <w:lastRenderedPageBreak/>
        <w:t xml:space="preserve">previsibilidad o que, incluso, se originan en la actuación humana intencional, estos dos conceptos también los definió </w:t>
      </w:r>
      <w:bookmarkStart w:id="10" w:name="_Hlk35879271"/>
      <w:r w:rsidRPr="00D93A6C">
        <w:rPr>
          <w:rFonts w:ascii="Verdana" w:eastAsia="Calibri" w:hAnsi="Verdana" w:cs="Arial"/>
          <w:lang w:val="es-ES_tradnl"/>
        </w:rPr>
        <w:t>el artículo 4, numerales 5 y 8, de la Ley 1523 de 2012</w:t>
      </w:r>
      <w:bookmarkEnd w:id="10"/>
      <w:r w:rsidRPr="00D93A6C">
        <w:rPr>
          <w:rFonts w:ascii="Verdana" w:eastAsia="Calibri" w:hAnsi="Verdana" w:cs="Arial"/>
          <w:lang w:val="es-ES_tradnl"/>
        </w:rPr>
        <w:t>:</w:t>
      </w:r>
    </w:p>
    <w:p w14:paraId="593C0F37" w14:textId="77777777" w:rsidR="00C9614C" w:rsidRPr="00D93A6C" w:rsidRDefault="00C9614C" w:rsidP="00C9614C">
      <w:pPr>
        <w:spacing w:after="0" w:line="276" w:lineRule="auto"/>
        <w:ind w:firstLine="708"/>
        <w:jc w:val="both"/>
        <w:rPr>
          <w:rFonts w:ascii="Verdana" w:eastAsia="Calibri" w:hAnsi="Verdana" w:cs="Arial"/>
          <w:lang w:val="es-ES_tradnl"/>
        </w:rPr>
      </w:pPr>
    </w:p>
    <w:p w14:paraId="70208EDD" w14:textId="77777777" w:rsidR="00C9614C" w:rsidRPr="00DB5641" w:rsidRDefault="00C9614C" w:rsidP="00C9614C">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2C15A4FB" w14:textId="77777777" w:rsidR="00C9614C" w:rsidRPr="00DB5641" w:rsidRDefault="00C9614C" w:rsidP="00C9614C">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5566EBDA" w14:textId="77777777" w:rsidR="00C9614C" w:rsidRPr="00DB5641" w:rsidRDefault="00C9614C" w:rsidP="00C9614C">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11"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12" w:name="_Hlk35870820"/>
      <w:r w:rsidRPr="00DB5641">
        <w:rPr>
          <w:rFonts w:ascii="Verdana" w:eastAsia="Calibri" w:hAnsi="Verdana" w:cs="Arial"/>
          <w:sz w:val="20"/>
          <w:szCs w:val="20"/>
          <w:lang w:val="es-ES_tradnl"/>
        </w:rPr>
        <w:t xml:space="preserve">o antropogénicos no intencionales </w:t>
      </w:r>
      <w:bookmarkEnd w:id="12"/>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1"/>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6872ECA6" w14:textId="77777777" w:rsidR="00C9614C" w:rsidRPr="00DB5641" w:rsidRDefault="00C9614C" w:rsidP="00C9614C">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1BED9012" w14:textId="77777777" w:rsidR="00C9614C" w:rsidRDefault="00C9614C" w:rsidP="00C9614C">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03BCCE5F" w14:textId="77777777" w:rsidR="00C9614C" w:rsidRDefault="00C9614C" w:rsidP="00C9614C">
      <w:pPr>
        <w:spacing w:after="0" w:line="240" w:lineRule="auto"/>
        <w:ind w:left="709" w:right="709"/>
        <w:jc w:val="both"/>
        <w:rPr>
          <w:rFonts w:ascii="Verdana" w:eastAsia="Calibri" w:hAnsi="Verdana" w:cs="Arial"/>
          <w:sz w:val="20"/>
          <w:szCs w:val="20"/>
        </w:rPr>
      </w:pPr>
    </w:p>
    <w:p w14:paraId="7D45BF17" w14:textId="77777777" w:rsidR="00C9614C" w:rsidRPr="00D93A6C" w:rsidRDefault="00C9614C" w:rsidP="00C9614C">
      <w:pPr>
        <w:spacing w:after="0" w:line="240" w:lineRule="auto"/>
        <w:ind w:left="709" w:right="709"/>
        <w:jc w:val="both"/>
        <w:rPr>
          <w:rFonts w:ascii="Verdana" w:eastAsia="Calibri" w:hAnsi="Verdana" w:cs="Arial"/>
          <w:lang w:val="es-ES_tradnl"/>
        </w:rPr>
      </w:pPr>
      <w:r w:rsidRPr="000B15C1">
        <w:rPr>
          <w:rFonts w:ascii="Verdana" w:eastAsia="Calibri" w:hAnsi="Verdana" w:cs="Arial"/>
          <w:sz w:val="20"/>
          <w:szCs w:val="20"/>
        </w:rPr>
        <w:t>9. Emergencia:</w:t>
      </w:r>
      <w:r>
        <w:rPr>
          <w:rFonts w:ascii="Verdana" w:eastAsia="Calibri" w:hAnsi="Verdana" w:cs="Arial"/>
          <w:sz w:val="20"/>
          <w:szCs w:val="20"/>
        </w:rPr>
        <w:t xml:space="preserve"> </w:t>
      </w:r>
      <w:r w:rsidRPr="000B15C1">
        <w:rPr>
          <w:rFonts w:ascii="Verdana" w:eastAsia="Calibri" w:hAnsi="Verdana" w:cs="Arial"/>
          <w:sz w:val="20"/>
          <w:szCs w:val="20"/>
        </w:rPr>
        <w:t>Situación caracterizada por la alteración o interrupción intensa y grave de las condiciones normales de funcionamiento u operación de una comunidad, causada por un evento adverso o por la inminencia del mismo, que obliga a una reacción inmediata y que requiere la respuesta de las instituciones del Estado, los medios de comunicación y de la comunidad en general</w:t>
      </w:r>
      <w:r w:rsidRPr="00DB5641">
        <w:rPr>
          <w:rFonts w:ascii="Verdana" w:eastAsia="Calibri" w:hAnsi="Verdana" w:cs="Arial"/>
          <w:sz w:val="20"/>
          <w:szCs w:val="20"/>
          <w:lang w:val="es-ES_tradnl"/>
        </w:rPr>
        <w:t>”.</w:t>
      </w:r>
    </w:p>
    <w:p w14:paraId="77C0D87A" w14:textId="77777777" w:rsidR="00C9614C" w:rsidRPr="00D93A6C" w:rsidRDefault="00C9614C" w:rsidP="00C9614C">
      <w:pPr>
        <w:spacing w:after="0" w:line="276" w:lineRule="auto"/>
        <w:ind w:left="709" w:right="709"/>
        <w:jc w:val="both"/>
        <w:rPr>
          <w:rFonts w:ascii="Verdana" w:eastAsia="Calibri" w:hAnsi="Verdana" w:cs="Arial"/>
          <w:lang w:val="es-ES_tradnl"/>
        </w:rPr>
      </w:pPr>
    </w:p>
    <w:p w14:paraId="3C3DBBBA" w14:textId="77777777" w:rsidR="00C9614C" w:rsidRDefault="00C9614C" w:rsidP="00C9614C">
      <w:pPr>
        <w:spacing w:after="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6"/>
      </w:r>
      <w:r w:rsidRPr="3683B926">
        <w:rPr>
          <w:rFonts w:ascii="Verdana" w:eastAsia="Calibri" w:hAnsi="Verdana" w:cs="Arial"/>
          <w:lang w:val="es-ES"/>
        </w:rPr>
        <w:t xml:space="preserve">, facultad </w:t>
      </w:r>
      <w:r w:rsidRPr="3683B926">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7"/>
      </w:r>
      <w:r w:rsidRPr="3683B926">
        <w:rPr>
          <w:rFonts w:ascii="Verdana" w:eastAsia="Calibri" w:hAnsi="Verdana" w:cs="Arial"/>
          <w:lang w:val="es-ES"/>
        </w:rPr>
        <w:t xml:space="preserve">. </w:t>
      </w:r>
    </w:p>
    <w:p w14:paraId="2757AEB5" w14:textId="77777777" w:rsidR="00C9614C" w:rsidRDefault="00C9614C" w:rsidP="00C9614C">
      <w:pPr>
        <w:spacing w:after="0" w:line="276" w:lineRule="auto"/>
        <w:ind w:firstLine="709"/>
        <w:jc w:val="both"/>
        <w:rPr>
          <w:rFonts w:ascii="Verdana" w:eastAsia="Times New Roman" w:hAnsi="Verdana" w:cs="Arial"/>
          <w:lang w:eastAsia="es-CO"/>
        </w:rPr>
      </w:pPr>
    </w:p>
    <w:p w14:paraId="69D60AF3" w14:textId="77777777" w:rsidR="00C9614C" w:rsidRDefault="00C9614C" w:rsidP="00C9614C">
      <w:pPr>
        <w:spacing w:after="120" w:line="276" w:lineRule="auto"/>
        <w:jc w:val="both"/>
        <w:rPr>
          <w:rFonts w:ascii="Verdana" w:eastAsia="Times New Roman" w:hAnsi="Verdana" w:cs="Arial"/>
          <w:bCs/>
          <w:lang w:eastAsia="es-CO"/>
        </w:rPr>
      </w:pPr>
      <w:r>
        <w:rPr>
          <w:rFonts w:ascii="Verdana" w:eastAsia="Times New Roman" w:hAnsi="Verdana" w:cs="Arial"/>
          <w:lang w:eastAsia="es-CO"/>
        </w:rPr>
        <w:t xml:space="preserve">iv. Ahora bien, para dar respuesta al problema jurídico objeto de consulta es necesario revisar el ámbito de aplicación de la </w:t>
      </w:r>
      <w:r w:rsidRPr="00122A17">
        <w:rPr>
          <w:rFonts w:ascii="Verdana" w:eastAsia="Times New Roman" w:hAnsi="Verdana" w:cs="Arial"/>
          <w:bCs/>
          <w:lang w:eastAsia="es-CO"/>
        </w:rPr>
        <w:t xml:space="preserve">Ley 1575 de 2012, denominada </w:t>
      </w:r>
      <w:r w:rsidRPr="0076277C">
        <w:rPr>
          <w:rFonts w:ascii="Verdana" w:eastAsia="Times New Roman" w:hAnsi="Verdana" w:cs="Arial"/>
          <w:i/>
          <w:lang w:eastAsia="es-CO"/>
        </w:rPr>
        <w:t>“Ley General de Bomberos de Colombia”</w:t>
      </w:r>
      <w:r>
        <w:rPr>
          <w:rFonts w:ascii="Verdana" w:eastAsia="Times New Roman" w:hAnsi="Verdana" w:cs="Arial"/>
          <w:bCs/>
          <w:lang w:eastAsia="es-CO"/>
        </w:rPr>
        <w:t>. El artículo 1 de este cuerpo normativo</w:t>
      </w:r>
      <w:r w:rsidRPr="00122A17">
        <w:rPr>
          <w:rFonts w:ascii="Verdana" w:eastAsia="Times New Roman" w:hAnsi="Verdana" w:cs="Arial"/>
          <w:bCs/>
          <w:lang w:eastAsia="es-CO"/>
        </w:rPr>
        <w:t xml:space="preserve"> define </w:t>
      </w:r>
      <w:r w:rsidRPr="001A084C">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Pr="00122A17">
        <w:rPr>
          <w:rFonts w:ascii="Verdana" w:eastAsia="Times New Roman" w:hAnsi="Verdana" w:cs="Arial"/>
          <w:bCs/>
          <w:vertAlign w:val="superscript"/>
          <w:lang w:eastAsia="es-CO"/>
        </w:rPr>
        <w:footnoteReference w:id="28"/>
      </w:r>
      <w:r w:rsidRPr="001A084C">
        <w:rPr>
          <w:rFonts w:ascii="Verdana" w:hAnsi="Verdana" w:cs="Arial"/>
          <w:bCs/>
        </w:rPr>
        <w:t>.</w:t>
      </w:r>
      <w:r>
        <w:rPr>
          <w:rFonts w:ascii="Verdana" w:hAnsi="Verdana" w:cs="Arial"/>
        </w:rPr>
        <w:t xml:space="preserve"> </w:t>
      </w:r>
      <w:r>
        <w:rPr>
          <w:rFonts w:ascii="Verdana" w:eastAsia="Times New Roman" w:hAnsi="Verdana" w:cs="Arial"/>
          <w:bCs/>
          <w:lang w:eastAsia="es-CO"/>
        </w:rPr>
        <w:t xml:space="preserve">De acuerdo con esto, la norma dispone en esquema de </w:t>
      </w:r>
      <w:r w:rsidRPr="0076277C">
        <w:rPr>
          <w:rFonts w:ascii="Verdana" w:eastAsia="Times New Roman" w:hAnsi="Verdana" w:cs="Arial"/>
          <w:i/>
          <w:lang w:eastAsia="es-CO"/>
        </w:rPr>
        <w:lastRenderedPageBreak/>
        <w:t>responsabilidad compartida</w:t>
      </w:r>
      <w:r>
        <w:rPr>
          <w:rFonts w:ascii="Verdana" w:eastAsia="Times New Roman" w:hAnsi="Verdana" w:cs="Arial"/>
          <w:bCs/>
          <w:lang w:eastAsia="es-CO"/>
        </w:rPr>
        <w:t>, en el marco del cual</w:t>
      </w:r>
      <w:r w:rsidRPr="001A084C">
        <w:rPr>
          <w:rFonts w:ascii="Verdana" w:eastAsia="Times New Roman" w:hAnsi="Verdana" w:cs="Arial"/>
          <w:bCs/>
          <w:lang w:eastAsia="es-CO"/>
        </w:rPr>
        <w:t xml:space="preserve"> las entidades públicas y privadas deben incorporar la contingencia asociada a estos riesgos en la administración de sus bienes muebles e inmuebles —incluidos parques naturales, edificaciones, desarrollos urbanísticos e instalaciones— y adelantar planes, programas y proyectos orientados a reducir su vulnerabilidad y fortalecer la prevención y atención de tales evento</w:t>
      </w:r>
      <w:r>
        <w:rPr>
          <w:rFonts w:ascii="Verdana" w:eastAsia="Times New Roman" w:hAnsi="Verdana" w:cs="Arial"/>
          <w:bCs/>
          <w:lang w:eastAsia="es-CO"/>
        </w:rPr>
        <w:t xml:space="preserve">s. </w:t>
      </w:r>
    </w:p>
    <w:p w14:paraId="536F0B21" w14:textId="77777777" w:rsidR="00C9614C" w:rsidRDefault="00C9614C" w:rsidP="00C9614C">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t xml:space="preserve">En consonancia con lo anterior, el artículo 2 </w:t>
      </w:r>
      <w:r w:rsidRPr="007D3416">
        <w:rPr>
          <w:rFonts w:ascii="Verdana" w:hAnsi="Verdana" w:cs="Arial"/>
          <w:bCs/>
        </w:rPr>
        <w:t>dispone que</w:t>
      </w:r>
      <w:r>
        <w:rPr>
          <w:rFonts w:ascii="Verdana" w:hAnsi="Verdana" w:cs="Arial"/>
          <w:bCs/>
        </w:rPr>
        <w:t xml:space="preserve"> </w:t>
      </w:r>
      <w:r w:rsidRPr="007D3416">
        <w:rPr>
          <w:rFonts w:ascii="Verdana" w:hAnsi="Verdana" w:cs="Arial"/>
          <w:bCs/>
        </w:rPr>
        <w:t>la gestión integral del riesgo contra incendio, la preparación y atención de rescates en todas sus modalidades y la respuesta a incidentes con materiales peligrosos se encuentran a cargo de las instituciones bomberiles y, para todos los efectos, constituyen un servicio público esencial bajo responsabilidad del Estado.</w:t>
      </w:r>
      <w:r>
        <w:rPr>
          <w:rFonts w:ascii="Verdana" w:hAnsi="Verdana" w:cs="Arial"/>
          <w:bCs/>
        </w:rPr>
        <w:t xml:space="preserve"> </w:t>
      </w:r>
      <w:r w:rsidRPr="007D3416">
        <w:rPr>
          <w:rFonts w:ascii="Verdana" w:eastAsia="Times New Roman" w:hAnsi="Verdana" w:cs="Arial"/>
          <w:bCs/>
          <w:lang w:eastAsia="es-CO"/>
        </w:rPr>
        <w:t>En ese sentido, corresponde al Estado garantizar su prestación eficiente a todos los habitantes del territorio nacional, de manera directa a través de los Cuerpos de Bomberos Oficiales, Voluntarios y aeronáuticos, asegurando la continuidad y cobertura de este servicio.</w:t>
      </w:r>
    </w:p>
    <w:p w14:paraId="660ADEAE" w14:textId="77777777" w:rsidR="00C9614C" w:rsidRPr="007D3416" w:rsidRDefault="00C9614C" w:rsidP="00C9614C">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t>Por su parte, e</w:t>
      </w:r>
      <w:r w:rsidRPr="00A6570E">
        <w:rPr>
          <w:rFonts w:ascii="Verdana" w:eastAsia="Times New Roman" w:hAnsi="Verdana" w:cs="Arial"/>
          <w:bCs/>
          <w:lang w:eastAsia="es-CO"/>
        </w:rPr>
        <w:t>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w:t>
      </w:r>
      <w:r>
        <w:rPr>
          <w:rFonts w:ascii="Verdana" w:eastAsia="Times New Roman" w:hAnsi="Verdana" w:cs="Arial"/>
          <w:bCs/>
          <w:lang w:eastAsia="es-CO"/>
        </w:rPr>
        <w:t xml:space="preserve"> Para el efecto, el inciso cuarto de la norma estable que: “</w:t>
      </w:r>
      <w:r w:rsidRPr="00682C16">
        <w:rPr>
          <w:rFonts w:ascii="Verdana" w:eastAsia="Times New Roman" w:hAnsi="Verdana" w:cs="Arial"/>
          <w:bCs/>
          <w:lang w:eastAsia="es-CO"/>
        </w:rPr>
        <w:t xml:space="preserve">Es obligación de los distritos, con asiento en su respectiva jurisdicción y de los municipios la prestación del servicio público esencial a través de los cuerpos de bomberos oficiales o </w:t>
      </w:r>
      <w:r w:rsidRPr="0076277C">
        <w:rPr>
          <w:rFonts w:ascii="Verdana" w:eastAsia="Times New Roman" w:hAnsi="Verdana" w:cs="Arial"/>
          <w:i/>
          <w:lang w:eastAsia="es-CO"/>
        </w:rPr>
        <w:t>mediante la celebración de contratos y/o convenios con los cuerpos de bomberos voluntarios</w:t>
      </w:r>
      <w:r>
        <w:rPr>
          <w:rFonts w:ascii="Verdana" w:eastAsia="Times New Roman" w:hAnsi="Verdana" w:cs="Arial"/>
          <w:bCs/>
          <w:lang w:eastAsia="es-CO"/>
        </w:rPr>
        <w:t>” [Énfasis fuera de texto]</w:t>
      </w:r>
      <w:r w:rsidRPr="00682C16">
        <w:rPr>
          <w:rFonts w:ascii="Verdana" w:eastAsia="Times New Roman" w:hAnsi="Verdana" w:cs="Arial"/>
          <w:bCs/>
          <w:lang w:eastAsia="es-CO"/>
        </w:rPr>
        <w:t>. </w:t>
      </w:r>
    </w:p>
    <w:p w14:paraId="4A0DB66A" w14:textId="77777777" w:rsidR="00C9614C" w:rsidRDefault="00C9614C" w:rsidP="00C9614C">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 </w:t>
      </w:r>
      <w:r>
        <w:rPr>
          <w:rFonts w:ascii="Verdana" w:eastAsia="Times New Roman" w:hAnsi="Verdana" w:cs="Arial"/>
          <w:bCs/>
          <w:lang w:eastAsia="es-CO"/>
        </w:rPr>
        <w:tab/>
        <w:t>Con arreglo a lo dispuesto en el artículo 4 de la referida ley, los</w:t>
      </w:r>
      <w:r w:rsidRPr="00610194">
        <w:rPr>
          <w:rFonts w:ascii="Verdana" w:eastAsia="Times New Roman" w:hAnsi="Verdana" w:cs="Arial"/>
          <w:bCs/>
          <w:lang w:eastAsia="es-CO"/>
        </w:rPr>
        <w:t xml:space="preserve"> </w:t>
      </w:r>
      <w:r w:rsidRPr="0076277C">
        <w:rPr>
          <w:rFonts w:ascii="Verdana" w:eastAsia="Times New Roman" w:hAnsi="Verdana" w:cs="Arial"/>
          <w:i/>
          <w:lang w:eastAsia="es-CO"/>
        </w:rPr>
        <w:t>Cuerpos de Bomberos Voluntarios Reconocidos</w:t>
      </w:r>
      <w:r>
        <w:rPr>
          <w:rFonts w:ascii="Verdana" w:eastAsia="Times New Roman" w:hAnsi="Verdana" w:cs="Arial"/>
          <w:bCs/>
          <w:i/>
          <w:iCs/>
          <w:lang w:eastAsia="es-CO"/>
        </w:rPr>
        <w:t xml:space="preserve"> </w:t>
      </w:r>
      <w:r>
        <w:rPr>
          <w:rFonts w:ascii="Verdana" w:eastAsia="Times New Roman" w:hAnsi="Verdana" w:cs="Arial"/>
          <w:bCs/>
          <w:lang w:eastAsia="es-CO"/>
        </w:rPr>
        <w:t xml:space="preserve">integran los Bomberos de Colombia y hacen parte integral del </w:t>
      </w:r>
      <w:r w:rsidRPr="00894500">
        <w:rPr>
          <w:rFonts w:ascii="Verdana" w:eastAsia="Times New Roman" w:hAnsi="Verdana" w:cs="Arial"/>
          <w:bCs/>
          <w:lang w:eastAsia="es-CO"/>
        </w:rPr>
        <w:t>Sistema Nacional para la Prevención y Atención de Desastres</w:t>
      </w:r>
      <w:r>
        <w:rPr>
          <w:rFonts w:ascii="Verdana" w:eastAsia="Times New Roman" w:hAnsi="Verdana" w:cs="Arial"/>
          <w:bCs/>
          <w:lang w:eastAsia="es-CO"/>
        </w:rPr>
        <w:t>. Estos son definidos por el artículo 18</w:t>
      </w:r>
      <w:r w:rsidRPr="00122A17">
        <w:rPr>
          <w:rFonts w:ascii="Verdana" w:eastAsia="Times New Roman" w:hAnsi="Verdana" w:cs="Arial"/>
          <w:bCs/>
          <w:lang w:eastAsia="es-CO"/>
        </w:rPr>
        <w:t xml:space="preserve"> como aquellos </w:t>
      </w:r>
      <w:r w:rsidRPr="0076277C">
        <w:rPr>
          <w:rFonts w:ascii="Verdana" w:eastAsia="Times New Roman" w:hAnsi="Verdana" w:cs="Arial"/>
          <w:i/>
          <w:lang w:eastAsia="es-CO"/>
        </w:rPr>
        <w:t xml:space="preserve">“organizados como asociaciones sin ánimo de lucro, de utilidad común y con personería jurídica expedida por las secretarías de gobierno departamentales, organizadas </w:t>
      </w:r>
      <w:r w:rsidRPr="0076277C">
        <w:rPr>
          <w:rFonts w:ascii="Verdana" w:eastAsia="Times New Roman" w:hAnsi="Verdana" w:cs="Arial"/>
          <w:i/>
          <w:lang w:eastAsia="es-CO"/>
        </w:rPr>
        <w:lastRenderedPageBreak/>
        <w:t>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w:t>
      </w:r>
      <w:r w:rsidRPr="00122A17">
        <w:rPr>
          <w:rFonts w:ascii="Verdana" w:eastAsia="Times New Roman" w:hAnsi="Verdana" w:cs="Arial"/>
          <w:bCs/>
          <w:lang w:eastAsia="es-CO"/>
        </w:rPr>
        <w:t xml:space="preserve">. </w:t>
      </w:r>
    </w:p>
    <w:p w14:paraId="0B1BEE5B" w14:textId="77777777" w:rsidR="00C9614C" w:rsidRPr="000756DF" w:rsidRDefault="00C9614C" w:rsidP="00C9614C">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sidRPr="000756DF">
        <w:rPr>
          <w:rFonts w:ascii="Verdana" w:hAnsi="Verdana" w:cs="Arial"/>
          <w:bCs/>
        </w:rPr>
        <w:t>El artículo 22 de la Ley 1575 de 2012 define las funciones asignadas a los cuerpos de bomberos en el marco de la gestión integral del riesgo contra incendio, los preparativos y atención de rescates en todas sus modalidades y la respuesta a incidentes con materiales peligrosos. De esta manera, precisa el conjunto de competencias operativas, preventivas y de apoyo que estructuran el ejercicio de la función bomberil dentro del servicio público esencial a cargo del Estado.</w:t>
      </w:r>
      <w:r>
        <w:rPr>
          <w:rFonts w:ascii="Verdana" w:hAnsi="Verdana" w:cs="Arial"/>
          <w:bCs/>
        </w:rPr>
        <w:t xml:space="preserve"> </w:t>
      </w:r>
      <w:r>
        <w:rPr>
          <w:rFonts w:ascii="Verdana" w:eastAsia="Times New Roman" w:hAnsi="Verdana" w:cs="Arial"/>
          <w:bCs/>
          <w:lang w:eastAsia="es-CO"/>
        </w:rPr>
        <w:t>L</w:t>
      </w:r>
      <w:r w:rsidRPr="000756DF">
        <w:rPr>
          <w:rFonts w:ascii="Verdana" w:eastAsia="Times New Roman" w:hAnsi="Verdana" w:cs="Arial"/>
          <w:bCs/>
          <w:lang w:eastAsia="es-CO"/>
        </w:rPr>
        <w:t>a disposición orienta la actuación de estas instituciones hacia la protección de la vida, los bienes y el ambiente, bajo criterios de coordinación con las autoridades competentes y en articulación con el Sistema Nacional de Gestión del Riesgo de Desastres, asegurando una respuesta oportuna, eficaz y organizada frente a las situaciones de emergencia.</w:t>
      </w:r>
    </w:p>
    <w:p w14:paraId="4993D779" w14:textId="77777777" w:rsidR="00C9614C" w:rsidRPr="008806B0" w:rsidRDefault="00C9614C" w:rsidP="00C9614C">
      <w:pPr>
        <w:tabs>
          <w:tab w:val="left" w:pos="426"/>
        </w:tabs>
        <w:spacing w:after="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w:t>
      </w:r>
      <w:r w:rsidRPr="008806B0">
        <w:rPr>
          <w:rFonts w:ascii="Verdana" w:eastAsia="Times New Roman" w:hAnsi="Verdana" w:cs="Arial"/>
          <w:bCs/>
          <w:lang w:eastAsia="es-CO"/>
        </w:rPr>
        <w:t xml:space="preserve">pueden optar por celebrar contratos o convenios con cuerpos de bomberos voluntarios. Sobre la prestación del servicio objeto de la consulta, esta Agencia se pronunció mediante el concepto con radicado número 2201913000008606, del 19 de noviembre de 2019, indicando lo siguiente: </w:t>
      </w:r>
    </w:p>
    <w:p w14:paraId="47BE228F" w14:textId="77777777" w:rsidR="00C9614C" w:rsidRPr="008806B0" w:rsidRDefault="00C9614C" w:rsidP="00C9614C">
      <w:pPr>
        <w:tabs>
          <w:tab w:val="left" w:pos="426"/>
        </w:tabs>
        <w:spacing w:after="0" w:line="276" w:lineRule="auto"/>
        <w:ind w:firstLine="709"/>
        <w:jc w:val="both"/>
        <w:rPr>
          <w:rFonts w:ascii="Verdana" w:eastAsia="Times New Roman" w:hAnsi="Verdana" w:cs="Arial"/>
          <w:bCs/>
          <w:lang w:eastAsia="es-CO"/>
        </w:rPr>
      </w:pPr>
    </w:p>
    <w:p w14:paraId="6440AD7A" w14:textId="77777777" w:rsidR="00C9614C" w:rsidRPr="008806B0" w:rsidRDefault="00C9614C" w:rsidP="00C9614C">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380AEBF8">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204BFFE2" w14:textId="77777777" w:rsidR="00C9614C" w:rsidRPr="008806B0" w:rsidRDefault="00C9614C" w:rsidP="00C9614C">
      <w:pPr>
        <w:spacing w:after="0" w:line="240" w:lineRule="auto"/>
        <w:ind w:left="709" w:right="709"/>
        <w:jc w:val="both"/>
        <w:rPr>
          <w:rFonts w:ascii="Verdana" w:eastAsia="Calibri" w:hAnsi="Verdana" w:cs="Arial"/>
          <w:sz w:val="20"/>
          <w:szCs w:val="20"/>
          <w:lang w:val="es-ES_tradnl"/>
        </w:rPr>
      </w:pPr>
      <w:r w:rsidRPr="008806B0">
        <w:rPr>
          <w:rFonts w:ascii="Verdana" w:eastAsia="Calibri" w:hAnsi="Verdana" w:cs="Arial"/>
          <w:sz w:val="20"/>
          <w:szCs w:val="20"/>
          <w:lang w:val="es-ES_tradnl"/>
        </w:rPr>
        <w:t>[…]</w:t>
      </w:r>
    </w:p>
    <w:p w14:paraId="1EA43D6C" w14:textId="77777777" w:rsidR="00C9614C" w:rsidRDefault="00C9614C" w:rsidP="00C9614C">
      <w:pPr>
        <w:spacing w:after="0" w:line="240" w:lineRule="auto"/>
        <w:ind w:left="709" w:right="709"/>
        <w:jc w:val="both"/>
        <w:rPr>
          <w:rFonts w:ascii="Verdana" w:hAnsi="Verdana" w:cs="Arial"/>
          <w:i/>
          <w:iCs/>
          <w:sz w:val="20"/>
          <w:szCs w:val="20"/>
        </w:rPr>
      </w:pPr>
      <w:r w:rsidRPr="008806B0">
        <w:rPr>
          <w:rFonts w:ascii="Verdana" w:eastAsia="Calibri" w:hAnsi="Verdana" w:cs="Arial"/>
          <w:sz w:val="20"/>
          <w:szCs w:val="20"/>
          <w:lang w:val="es-ES_tradnl"/>
        </w:rPr>
        <w:t xml:space="preserve">El texto de la norma no obliga a contratar con los bomberos voluntario, sino que faculta al municipio a hacerlo cuando no cuente con un cuerpo </w:t>
      </w:r>
      <w:r w:rsidRPr="008806B0">
        <w:rPr>
          <w:rFonts w:ascii="Verdana" w:eastAsia="Calibri" w:hAnsi="Verdana" w:cs="Arial"/>
          <w:sz w:val="20"/>
          <w:szCs w:val="20"/>
          <w:lang w:val="es-ES_tradnl"/>
        </w:rPr>
        <w:lastRenderedPageBreak/>
        <w:t>de bomberos oficiales, es más, la norma dispone que los municipios de menos de veinte mil habitantes cuentan con apoyo técnico del departamento, quien podrá asesorarlos con el fin de escoger la opción que mejor convenga entre constituir un cuerpo de bomberos oficial o contratar con uno voluntario</w:t>
      </w:r>
      <w:r w:rsidRPr="008806B0">
        <w:rPr>
          <w:rFonts w:ascii="Verdana" w:hAnsi="Verdana" w:cs="Arial"/>
          <w:i/>
          <w:iCs/>
          <w:sz w:val="20"/>
          <w:szCs w:val="20"/>
        </w:rPr>
        <w:t>.</w:t>
      </w:r>
    </w:p>
    <w:p w14:paraId="1DD5142E" w14:textId="77777777" w:rsidR="00C9614C" w:rsidRPr="00F70638" w:rsidRDefault="00C9614C" w:rsidP="00C9614C">
      <w:pPr>
        <w:spacing w:after="0" w:line="240" w:lineRule="auto"/>
        <w:ind w:left="709" w:right="709"/>
        <w:jc w:val="both"/>
        <w:rPr>
          <w:rFonts w:ascii="Verdana" w:hAnsi="Verdana" w:cs="Arial"/>
          <w:i/>
          <w:iCs/>
          <w:sz w:val="18"/>
          <w:szCs w:val="18"/>
        </w:rPr>
      </w:pPr>
    </w:p>
    <w:p w14:paraId="1273E82E" w14:textId="77777777" w:rsidR="00C9614C" w:rsidRPr="00F70638" w:rsidRDefault="00C9614C" w:rsidP="00C9614C">
      <w:pPr>
        <w:spacing w:after="0" w:line="240" w:lineRule="auto"/>
        <w:ind w:left="709" w:right="709"/>
        <w:jc w:val="both"/>
        <w:rPr>
          <w:rFonts w:ascii="Verdana" w:eastAsia="Times New Roman" w:hAnsi="Verdana" w:cs="Arial"/>
          <w:bCs/>
          <w:sz w:val="20"/>
          <w:szCs w:val="20"/>
          <w:lang w:eastAsia="es-CO"/>
        </w:rPr>
      </w:pPr>
      <w:r w:rsidRPr="00F70638">
        <w:rPr>
          <w:rFonts w:ascii="Verdana" w:eastAsia="Times New Roman" w:hAnsi="Verdana" w:cs="Arial"/>
          <w:bCs/>
          <w:sz w:val="20"/>
          <w:szCs w:val="20"/>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Pr>
          <w:rFonts w:ascii="Verdana" w:eastAsia="Times New Roman" w:hAnsi="Verdana" w:cs="Arial"/>
          <w:bCs/>
          <w:sz w:val="20"/>
          <w:szCs w:val="20"/>
          <w:lang w:eastAsia="es-CO"/>
        </w:rPr>
        <w:t>”</w:t>
      </w:r>
      <w:r w:rsidRPr="00F70638">
        <w:rPr>
          <w:rFonts w:ascii="Verdana" w:eastAsia="Times New Roman" w:hAnsi="Verdana" w:cs="Arial"/>
          <w:bCs/>
          <w:sz w:val="20"/>
          <w:szCs w:val="20"/>
          <w:vertAlign w:val="superscript"/>
          <w:lang w:eastAsia="es-CO"/>
        </w:rPr>
        <w:footnoteReference w:id="29"/>
      </w:r>
      <w:r w:rsidRPr="00F70638">
        <w:rPr>
          <w:rFonts w:ascii="Verdana" w:eastAsia="Times New Roman" w:hAnsi="Verdana" w:cs="Arial"/>
          <w:bCs/>
          <w:sz w:val="20"/>
          <w:szCs w:val="20"/>
          <w:lang w:eastAsia="es-CO"/>
        </w:rPr>
        <w:t xml:space="preserve">. </w:t>
      </w:r>
    </w:p>
    <w:p w14:paraId="039EDA6C" w14:textId="77777777" w:rsidR="00C9614C" w:rsidRPr="008806B0" w:rsidRDefault="00C9614C" w:rsidP="00C9614C">
      <w:pPr>
        <w:spacing w:after="0" w:line="240" w:lineRule="auto"/>
        <w:ind w:left="709" w:right="709"/>
        <w:jc w:val="both"/>
        <w:rPr>
          <w:rFonts w:ascii="Verdana" w:eastAsia="Times New Roman" w:hAnsi="Verdana" w:cs="Arial"/>
          <w:bCs/>
          <w:lang w:eastAsia="es-CO"/>
        </w:rPr>
      </w:pPr>
    </w:p>
    <w:p w14:paraId="002E0D12" w14:textId="77777777" w:rsidR="00C9614C" w:rsidRDefault="00C9614C" w:rsidP="00C9614C">
      <w:pPr>
        <w:tabs>
          <w:tab w:val="left" w:pos="426"/>
        </w:tabs>
        <w:spacing w:after="120" w:line="276" w:lineRule="auto"/>
        <w:ind w:firstLine="709"/>
        <w:jc w:val="both"/>
        <w:rPr>
          <w:rFonts w:ascii="Verdana" w:eastAsia="Times New Roman" w:hAnsi="Verdana" w:cs="Arial"/>
          <w:bCs/>
          <w:lang w:eastAsia="es-CO"/>
        </w:rPr>
      </w:pPr>
      <w:r w:rsidRPr="008806B0">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8806B0">
        <w:rPr>
          <w:rStyle w:val="Refdenotaalpie"/>
          <w:rFonts w:ascii="Verdana" w:eastAsia="Times New Roman" w:hAnsi="Verdana" w:cs="Arial"/>
          <w:bCs/>
          <w:lang w:eastAsia="es-CO"/>
        </w:rPr>
        <w:footnoteReference w:id="30"/>
      </w:r>
      <w:r w:rsidRPr="008806B0">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municipios contrataran directamente el servicio bomberil con fundamento </w:t>
      </w:r>
      <w:r w:rsidRPr="00122A17">
        <w:rPr>
          <w:rFonts w:ascii="Verdana" w:eastAsia="Times New Roman" w:hAnsi="Verdana" w:cs="Arial"/>
          <w:bCs/>
          <w:lang w:eastAsia="es-CO"/>
        </w:rPr>
        <w:t xml:space="preserve">en aquella causal. </w:t>
      </w:r>
    </w:p>
    <w:p w14:paraId="01B828FC" w14:textId="77777777" w:rsidR="00C9614C" w:rsidRDefault="00C9614C" w:rsidP="00C9614C">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w:t>
      </w:r>
      <w:r>
        <w:rPr>
          <w:rFonts w:ascii="Verdana" w:eastAsia="Times New Roman" w:hAnsi="Verdana" w:cs="Arial"/>
          <w:bCs/>
          <w:lang w:eastAsia="es-CO"/>
        </w:rPr>
        <w:t>En ese orden</w:t>
      </w:r>
      <w:r w:rsidRPr="00122A17">
        <w:rPr>
          <w:rFonts w:ascii="Verdana" w:eastAsia="Times New Roman" w:hAnsi="Verdana" w:cs="Arial"/>
          <w:bCs/>
          <w:lang w:eastAsia="es-CO"/>
        </w:rPr>
        <w:t xml:space="preserve">, dado que no existe una modalidad </w:t>
      </w:r>
      <w:r>
        <w:rPr>
          <w:rFonts w:ascii="Verdana" w:eastAsia="Times New Roman" w:hAnsi="Verdana" w:cs="Arial"/>
          <w:bCs/>
          <w:lang w:eastAsia="es-CO"/>
        </w:rPr>
        <w:t xml:space="preserve">o causal especifica, para la celebración de </w:t>
      </w:r>
      <w:r w:rsidRPr="0076277C">
        <w:rPr>
          <w:rFonts w:ascii="Verdana" w:eastAsia="Times New Roman" w:hAnsi="Verdana" w:cs="Arial"/>
          <w:i/>
          <w:lang w:eastAsia="es-CO"/>
        </w:rPr>
        <w:t>contratos</w:t>
      </w:r>
      <w:r>
        <w:rPr>
          <w:rFonts w:ascii="Verdana" w:eastAsia="Times New Roman" w:hAnsi="Verdana" w:cs="Arial"/>
          <w:bCs/>
          <w:lang w:eastAsia="es-CO"/>
        </w:rPr>
        <w:t xml:space="preserve"> que tengan por objeto el desarrollo de actividades relacionadas con el servicio público bomberil, las Entidades Estatales sujetas al EGCAP deben acudir a</w:t>
      </w:r>
      <w:r w:rsidRPr="00122A17">
        <w:rPr>
          <w:rFonts w:ascii="Verdana" w:eastAsia="Times New Roman" w:hAnsi="Verdana" w:cs="Arial"/>
          <w:bCs/>
          <w:lang w:eastAsia="es-CO"/>
        </w:rPr>
        <w:t xml:space="preserve"> </w:t>
      </w:r>
      <w:r>
        <w:rPr>
          <w:rFonts w:ascii="Verdana" w:eastAsia="Times New Roman" w:hAnsi="Verdana" w:cs="Arial"/>
          <w:bCs/>
          <w:lang w:eastAsia="es-CO"/>
        </w:rPr>
        <w:t xml:space="preserve">las </w:t>
      </w:r>
      <w:r w:rsidRPr="00122A17">
        <w:rPr>
          <w:rFonts w:ascii="Verdana" w:eastAsia="Times New Roman" w:hAnsi="Verdana" w:cs="Arial"/>
          <w:bCs/>
          <w:lang w:eastAsia="es-CO"/>
        </w:rPr>
        <w:t xml:space="preserve">modalidades de selección </w:t>
      </w:r>
      <w:r>
        <w:rPr>
          <w:rFonts w:ascii="Verdana" w:eastAsia="Times New Roman" w:hAnsi="Verdana" w:cs="Arial"/>
          <w:bCs/>
          <w:lang w:eastAsia="es-CO"/>
        </w:rPr>
        <w:t xml:space="preserve">previstas en el </w:t>
      </w:r>
      <w:r>
        <w:rPr>
          <w:rFonts w:ascii="Verdana" w:eastAsia="Times New Roman" w:hAnsi="Verdana" w:cs="Arial"/>
          <w:bCs/>
          <w:lang w:eastAsia="es-CO"/>
        </w:rPr>
        <w:lastRenderedPageBreak/>
        <w:t>artículo 2 de la Ley 1150 de 2007, –</w:t>
      </w:r>
      <w:r w:rsidRPr="00122A17">
        <w:rPr>
          <w:rFonts w:ascii="Verdana" w:eastAsia="Times New Roman" w:hAnsi="Verdana" w:cs="Arial"/>
          <w:bCs/>
          <w:lang w:eastAsia="es-CO"/>
        </w:rPr>
        <w:t>licitación pública, selección abreviada, concurso de méritos, mínima cuantía o contratación directa</w:t>
      </w:r>
      <w:r>
        <w:rPr>
          <w:rFonts w:ascii="Verdana" w:eastAsia="Times New Roman" w:hAnsi="Verdana" w:cs="Arial"/>
          <w:bCs/>
          <w:lang w:eastAsia="es-CO"/>
        </w:rPr>
        <w:t>–,</w:t>
      </w:r>
      <w:r w:rsidRPr="00122A17">
        <w:rPr>
          <w:rFonts w:ascii="Verdana" w:eastAsia="Times New Roman" w:hAnsi="Verdana" w:cs="Arial"/>
          <w:bCs/>
          <w:lang w:eastAsia="es-CO"/>
        </w:rPr>
        <w:t xml:space="preserve"> </w:t>
      </w:r>
      <w:r>
        <w:rPr>
          <w:rFonts w:ascii="Verdana" w:eastAsia="Times New Roman" w:hAnsi="Verdana" w:cs="Arial"/>
          <w:bCs/>
          <w:lang w:eastAsia="es-CO"/>
        </w:rPr>
        <w:t>siguiendo</w:t>
      </w:r>
      <w:r w:rsidRPr="00122A17" w:rsidDel="00E15850">
        <w:rPr>
          <w:rFonts w:ascii="Verdana" w:eastAsia="Times New Roman" w:hAnsi="Verdana" w:cs="Arial"/>
          <w:bCs/>
          <w:lang w:eastAsia="es-CO"/>
        </w:rPr>
        <w:t xml:space="preserve"> </w:t>
      </w:r>
      <w:r w:rsidRPr="00122A17">
        <w:rPr>
          <w:rFonts w:ascii="Verdana" w:eastAsia="Times New Roman" w:hAnsi="Verdana" w:cs="Arial"/>
          <w:bCs/>
          <w:lang w:eastAsia="es-CO"/>
        </w:rPr>
        <w:t>las reglas y causales que</w:t>
      </w:r>
      <w:r>
        <w:rPr>
          <w:rFonts w:ascii="Verdana" w:eastAsia="Times New Roman" w:hAnsi="Verdana" w:cs="Arial"/>
          <w:bCs/>
          <w:lang w:eastAsia="es-CO"/>
        </w:rPr>
        <w:t xml:space="preserve"> dicha disposición</w:t>
      </w:r>
      <w:r w:rsidRPr="00122A17">
        <w:rPr>
          <w:rFonts w:ascii="Verdana" w:eastAsia="Times New Roman" w:hAnsi="Verdana" w:cs="Arial"/>
          <w:bCs/>
          <w:lang w:eastAsia="es-CO"/>
        </w:rPr>
        <w:t xml:space="preserve"> establece. </w:t>
      </w:r>
    </w:p>
    <w:p w14:paraId="1108FCEE" w14:textId="77777777" w:rsidR="00C9614C" w:rsidRDefault="00C9614C" w:rsidP="00C9614C">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Sin embargo, en atención a la naturaleza jurídica de los </w:t>
      </w:r>
      <w:r w:rsidRPr="0076277C">
        <w:rPr>
          <w:rFonts w:ascii="Verdana" w:eastAsia="Times New Roman" w:hAnsi="Verdana" w:cs="Arial"/>
          <w:i/>
          <w:lang w:eastAsia="es-CO"/>
        </w:rPr>
        <w:t>Cuerpos de Bomberos Voluntarios</w:t>
      </w:r>
      <w:r w:rsidRPr="0076277C">
        <w:rPr>
          <w:rFonts w:ascii="Verdana" w:eastAsia="Times New Roman" w:hAnsi="Verdana" w:cs="Arial"/>
          <w:lang w:eastAsia="es-CO"/>
        </w:rPr>
        <w:t>–entidades sin ánimo de lucro–</w:t>
      </w:r>
      <w:r>
        <w:rPr>
          <w:rFonts w:ascii="Verdana" w:eastAsia="Times New Roman" w:hAnsi="Verdana" w:cs="Arial"/>
          <w:bCs/>
          <w:lang w:eastAsia="es-CO"/>
        </w:rPr>
        <w:t>, al interés general asociado a la prestación del servicio de gestión integral del riesgo de incendio y a la gratuidad que la ley impone respecto de algunas de las actividades desarrolladas por los bomberos</w:t>
      </w:r>
      <w:r>
        <w:rPr>
          <w:rStyle w:val="Refdenotaalpie"/>
          <w:rFonts w:ascii="Verdana" w:eastAsia="Times New Roman" w:hAnsi="Verdana" w:cs="Arial"/>
          <w:bCs/>
          <w:lang w:eastAsia="es-CO"/>
        </w:rPr>
        <w:footnoteReference w:id="31"/>
      </w:r>
      <w:r>
        <w:rPr>
          <w:rFonts w:ascii="Verdana" w:eastAsia="Times New Roman" w:hAnsi="Verdana" w:cs="Arial"/>
          <w:bCs/>
          <w:lang w:eastAsia="es-CO"/>
        </w:rPr>
        <w:t>, también es posible que, para efectos de cumplir con la obligación dispuesta en el inciso cuarto del artículo 3 de la Ley 1575 de 2012 se desarrollen convenios de asociación de acuerdo con lo establecido en el artículo 96 de Ley 489 de 1998, cuya selección reglamenta el artículo 5 del Decreto 092 de 2017.</w:t>
      </w:r>
    </w:p>
    <w:p w14:paraId="20DBECD9" w14:textId="77777777" w:rsidR="00C9614C" w:rsidRDefault="00C9614C" w:rsidP="00C9614C">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v. </w:t>
      </w:r>
      <w:r w:rsidRPr="00122A17">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76277C">
        <w:rPr>
          <w:rFonts w:ascii="Verdana" w:eastAsia="Times New Roman" w:hAnsi="Verdana" w:cs="Arial"/>
          <w:i/>
          <w:lang w:eastAsia="es-CO"/>
        </w:rPr>
        <w:t>contratación directa</w:t>
      </w:r>
      <w:r w:rsidRPr="00122A17">
        <w:rPr>
          <w:rFonts w:ascii="Verdana" w:eastAsia="Times New Roman" w:hAnsi="Verdana" w:cs="Arial"/>
          <w:bCs/>
          <w:lang w:eastAsia="es-CO"/>
        </w:rPr>
        <w:t xml:space="preserve">, entendiendo esta como aquel sistema de selección de contratistas en el que no exista convocatoria pública, ni sea posible la participación de una pluralidad de oferentes, independientemente del régimen de contratación que se aplique. </w:t>
      </w:r>
      <w:r>
        <w:rPr>
          <w:rFonts w:ascii="Verdana" w:eastAsia="Times New Roman" w:hAnsi="Verdana" w:cs="Arial"/>
          <w:bCs/>
          <w:lang w:eastAsia="es-CO"/>
        </w:rPr>
        <w:t xml:space="preserve">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301A15D7" w14:textId="77777777" w:rsidR="00C9614C" w:rsidRDefault="00C9614C" w:rsidP="00C9614C">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 Con todo, se debe advertir que, si bien el artículo 2 de la Ley 1575 de 2012 establece que</w:t>
      </w:r>
      <w:r w:rsidRPr="00362463">
        <w:rPr>
          <w:rFonts w:ascii="Verdana" w:eastAsia="Times New Roman" w:hAnsi="Verdana" w:cs="Arial"/>
          <w:bCs/>
          <w:lang w:eastAsia="es-CO"/>
        </w:rPr>
        <w:t xml:space="preserve"> </w:t>
      </w:r>
      <w:r>
        <w:rPr>
          <w:rFonts w:ascii="Verdana" w:eastAsia="Times New Roman" w:hAnsi="Verdana" w:cs="Arial"/>
          <w:bCs/>
          <w:lang w:eastAsia="es-CO"/>
        </w:rPr>
        <w:t>l</w:t>
      </w:r>
      <w:r w:rsidRPr="00362463">
        <w:rPr>
          <w:rFonts w:ascii="Verdana" w:eastAsia="Times New Roman" w:hAnsi="Verdana" w:cs="Arial"/>
          <w:bCs/>
          <w:lang w:eastAsia="es-CO"/>
        </w:rPr>
        <w:t>a gestión integral del riesgo contra incendio</w:t>
      </w:r>
      <w:r>
        <w:rPr>
          <w:rFonts w:ascii="Verdana" w:eastAsia="Times New Roman" w:hAnsi="Verdana" w:cs="Arial"/>
          <w:bCs/>
          <w:lang w:eastAsia="es-CO"/>
        </w:rPr>
        <w:t>s</w:t>
      </w:r>
      <w:r w:rsidRPr="00362463">
        <w:rPr>
          <w:rFonts w:ascii="Verdana" w:eastAsia="Times New Roman" w:hAnsi="Verdana" w:cs="Arial"/>
          <w:bCs/>
          <w:lang w:eastAsia="es-CO"/>
        </w:rPr>
        <w:t>, los preparativos y atención de rescates en todas sus modalidades y la atención de incidentes con materiales peligrosos</w:t>
      </w:r>
      <w:r>
        <w:rPr>
          <w:rFonts w:ascii="Verdana" w:eastAsia="Times New Roman" w:hAnsi="Verdana" w:cs="Arial"/>
          <w:bCs/>
          <w:lang w:eastAsia="es-CO"/>
        </w:rPr>
        <w:t xml:space="preserve"> </w:t>
      </w:r>
      <w:r w:rsidRPr="00362463">
        <w:rPr>
          <w:rFonts w:ascii="Verdana" w:eastAsia="Times New Roman" w:hAnsi="Verdana" w:cs="Arial"/>
          <w:bCs/>
          <w:lang w:eastAsia="es-CO"/>
        </w:rPr>
        <w:t>constituyen un servicio público esencial</w:t>
      </w:r>
      <w:r>
        <w:rPr>
          <w:rFonts w:ascii="Verdana" w:eastAsia="Times New Roman" w:hAnsi="Verdana" w:cs="Arial"/>
          <w:bCs/>
          <w:lang w:eastAsia="es-CO"/>
        </w:rPr>
        <w:t xml:space="preserve">, dicha calidad, </w:t>
      </w:r>
      <w:r w:rsidRPr="0076277C">
        <w:rPr>
          <w:rFonts w:ascii="Verdana" w:eastAsia="Times New Roman" w:hAnsi="Verdana" w:cs="Arial"/>
          <w:i/>
          <w:lang w:eastAsia="es-CO"/>
        </w:rPr>
        <w:t>per se</w:t>
      </w:r>
      <w:r>
        <w:rPr>
          <w:rFonts w:ascii="Verdana" w:eastAsia="Times New Roman" w:hAnsi="Verdana" w:cs="Arial"/>
          <w:bCs/>
          <w:i/>
          <w:iCs/>
          <w:lang w:eastAsia="es-CO"/>
        </w:rPr>
        <w:t>,</w:t>
      </w:r>
      <w:r>
        <w:rPr>
          <w:rFonts w:ascii="Verdana" w:eastAsia="Times New Roman" w:hAnsi="Verdana" w:cs="Arial"/>
          <w:bCs/>
          <w:lang w:eastAsia="es-CO"/>
        </w:rPr>
        <w:t xml:space="preserve"> no implica que los contratos requeridos para su prestación estén sustraídos de la restricción del artículo 33 de la Ley 996 de 2005. En ese </w:t>
      </w:r>
      <w:r>
        <w:rPr>
          <w:rFonts w:ascii="Verdana" w:eastAsia="Times New Roman" w:hAnsi="Verdana" w:cs="Arial"/>
          <w:bCs/>
          <w:lang w:eastAsia="es-CO"/>
        </w:rPr>
        <w:lastRenderedPageBreak/>
        <w:t xml:space="preserve">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r w:rsidRPr="00362463">
        <w:rPr>
          <w:rFonts w:ascii="Verdana" w:eastAsia="Times New Roman" w:hAnsi="Verdana" w:cs="Arial"/>
          <w:bCs/>
          <w:lang w:eastAsia="es-CO"/>
        </w:rPr>
        <w:t xml:space="preserve"> </w:t>
      </w:r>
    </w:p>
    <w:p w14:paraId="73C4A27F" w14:textId="77777777" w:rsidR="00C9614C" w:rsidRDefault="00C9614C" w:rsidP="00C9614C">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Para el efecto, puede resultar relevante la excepción establecida por dicha norma respecto de los contratos que deban celebrarse para la atención de situaciones de emergencia y/o </w:t>
      </w:r>
      <w:r w:rsidRPr="00B17DAE">
        <w:rPr>
          <w:rFonts w:ascii="Verdana" w:eastAsia="Times New Roman" w:hAnsi="Verdana" w:cs="Arial"/>
          <w:bCs/>
          <w:lang w:eastAsia="es-CO"/>
        </w:rPr>
        <w:t>desastre</w:t>
      </w:r>
      <w:r>
        <w:rPr>
          <w:rFonts w:ascii="Verdana" w:eastAsia="Times New Roman" w:hAnsi="Verdana" w:cs="Arial"/>
          <w:bCs/>
          <w:lang w:eastAsia="es-CO"/>
        </w:rPr>
        <w:t xml:space="preserve">, de conformidad con lo establecido en las leyes 1523 y 1575 de 2012. Al respecto, debe tenerse en cuenta que, actividades como la </w:t>
      </w:r>
      <w:r w:rsidRPr="00C17DEF">
        <w:rPr>
          <w:rFonts w:ascii="Verdana" w:eastAsia="Times New Roman" w:hAnsi="Verdana" w:cs="Arial"/>
          <w:bCs/>
          <w:i/>
          <w:iCs/>
          <w:lang w:eastAsia="es-CO"/>
        </w:rPr>
        <w:t xml:space="preserve">atención </w:t>
      </w:r>
      <w:r w:rsidRPr="0076277C">
        <w:rPr>
          <w:rFonts w:ascii="Verdana" w:eastAsia="Times New Roman" w:hAnsi="Verdana" w:cs="Arial"/>
          <w:i/>
          <w:lang w:eastAsia="es-CO"/>
        </w:rPr>
        <w:t>de incidentes relacionados con incendios</w:t>
      </w:r>
      <w:r>
        <w:rPr>
          <w:rFonts w:ascii="Verdana" w:eastAsia="Times New Roman" w:hAnsi="Verdana" w:cs="Arial"/>
          <w:bCs/>
          <w:lang w:eastAsia="es-CO"/>
        </w:rPr>
        <w:t xml:space="preserve">, que de conformidad con el artículo 22 de la Ley 1575 de 2012, desarrollan los cuerpos de bomberos, están contempladas dentro de las actividades asociadas a la </w:t>
      </w:r>
      <w:r w:rsidRPr="0076277C">
        <w:rPr>
          <w:rFonts w:ascii="Verdana" w:eastAsia="Times New Roman" w:hAnsi="Verdana" w:cs="Arial"/>
          <w:i/>
          <w:lang w:eastAsia="es-CO"/>
        </w:rPr>
        <w:t>Preparación</w:t>
      </w:r>
      <w:r>
        <w:rPr>
          <w:rFonts w:ascii="Verdana" w:eastAsia="Times New Roman" w:hAnsi="Verdana" w:cs="Arial"/>
          <w:bCs/>
          <w:lang w:eastAsia="es-CO"/>
        </w:rPr>
        <w:t xml:space="preserve"> y </w:t>
      </w:r>
      <w:r w:rsidRPr="0076277C">
        <w:rPr>
          <w:rFonts w:ascii="Verdana" w:eastAsia="Times New Roman" w:hAnsi="Verdana" w:cs="Arial"/>
          <w:i/>
          <w:lang w:eastAsia="es-CO"/>
        </w:rPr>
        <w:t>Respuesta</w:t>
      </w:r>
      <w:r>
        <w:rPr>
          <w:rFonts w:ascii="Verdana" w:eastAsia="Times New Roman" w:hAnsi="Verdana" w:cs="Arial"/>
          <w:bCs/>
          <w:i/>
          <w:iCs/>
          <w:lang w:eastAsia="es-CO"/>
        </w:rPr>
        <w:t xml:space="preserve">, </w:t>
      </w:r>
      <w:r>
        <w:rPr>
          <w:rFonts w:ascii="Verdana" w:eastAsia="Times New Roman" w:hAnsi="Verdana" w:cs="Arial"/>
          <w:bCs/>
          <w:lang w:eastAsia="es-CO"/>
        </w:rPr>
        <w:t xml:space="preserve">reguladas por la Ley 1523 de 2012 en el marco del </w:t>
      </w:r>
      <w:r w:rsidRPr="000A0D5C">
        <w:rPr>
          <w:rFonts w:ascii="Verdana" w:eastAsia="Times New Roman" w:hAnsi="Verdana" w:cs="Arial"/>
          <w:bCs/>
          <w:lang w:eastAsia="es-CO"/>
        </w:rPr>
        <w:t>Sistema Nacional de Gestión del Riesgo de Desastres</w:t>
      </w:r>
      <w:r>
        <w:rPr>
          <w:rFonts w:ascii="Verdana" w:eastAsia="Times New Roman" w:hAnsi="Verdana" w:cs="Arial"/>
          <w:bCs/>
          <w:lang w:eastAsia="es-CO"/>
        </w:rPr>
        <w:t xml:space="preserve"> y la </w:t>
      </w:r>
      <w:r w:rsidRPr="00227715">
        <w:rPr>
          <w:rFonts w:ascii="Verdana" w:eastAsia="Times New Roman" w:hAnsi="Verdana" w:cs="Arial"/>
          <w:bCs/>
          <w:lang w:eastAsia="es-CO"/>
        </w:rPr>
        <w:t>Estrategia Nacional para la Respuesta a Emergencias</w:t>
      </w:r>
      <w:r>
        <w:rPr>
          <w:rStyle w:val="Refdenotaalpie"/>
          <w:rFonts w:ascii="Verdana" w:eastAsia="Times New Roman" w:hAnsi="Verdana" w:cs="Arial"/>
          <w:bCs/>
          <w:lang w:eastAsia="es-CO"/>
        </w:rPr>
        <w:footnoteReference w:id="32"/>
      </w:r>
      <w:r>
        <w:rPr>
          <w:rFonts w:ascii="Verdana" w:eastAsia="Times New Roman" w:hAnsi="Verdana" w:cs="Arial"/>
          <w:bCs/>
          <w:lang w:eastAsia="es-CO"/>
        </w:rPr>
        <w:t xml:space="preserve">. </w:t>
      </w:r>
    </w:p>
    <w:p w14:paraId="599ACBF9" w14:textId="77777777" w:rsidR="00C9614C" w:rsidRPr="008D5074" w:rsidRDefault="00C9614C" w:rsidP="00C9614C">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lastRenderedPageBreak/>
        <w:t xml:space="preserve"> Sin perjuicio de lo anterior, es importante considerar que, cuando la necesidad de celebrar el contrato no se presenta en función de la necesidad de atender una emergencia o desastre especifico efectivamente declarado, no resulta viable acudir a causales de contratación directa como la urgencia 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No obstante, en caso de que se cumplan los presupuestos para la aplicación de alguna de las otras causales de contratación directa previstas en las normas que rigen la contratación de la entidad estatal contratante, esta podrá valorar la posibilidad de celebrar directamente el contrato para la prestación del servicio establecido en el artículo 2 de la Ley  1575 de 2012 al amparo de la excepción establecida relacionada con los contratos requeridos para la atención de emergencias y desastres, establecida en el inciso segundo del artículo 33 de la Ley 996 de 2005.    </w:t>
      </w:r>
    </w:p>
    <w:p w14:paraId="228FEBFF" w14:textId="77777777" w:rsidR="00C9614C" w:rsidRPr="00AC0049" w:rsidRDefault="00C9614C" w:rsidP="00C9614C">
      <w:pPr>
        <w:spacing w:after="120" w:line="276" w:lineRule="auto"/>
        <w:ind w:firstLine="708"/>
        <w:jc w:val="both"/>
        <w:rPr>
          <w:rFonts w:ascii="Verdana" w:eastAsia="Times New Roman" w:hAnsi="Verdana" w:cs="Times New Roman"/>
          <w:lang w:eastAsia="es-ES"/>
        </w:rPr>
      </w:pPr>
      <w:bookmarkStart w:id="14" w:name="_Hlk102983874"/>
      <w:bookmarkStart w:id="15" w:name="_Hlk102388095"/>
      <w:r w:rsidRPr="008806B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8806B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4"/>
      <w:bookmarkEnd w:id="15"/>
    </w:p>
    <w:p w14:paraId="3E924FD5" w14:textId="5DD54076" w:rsidR="00FB1462" w:rsidRDefault="00FB1462" w:rsidP="00993CB1">
      <w:pPr>
        <w:tabs>
          <w:tab w:val="left" w:pos="426"/>
        </w:tabs>
        <w:spacing w:before="240" w:after="120" w:line="276" w:lineRule="auto"/>
        <w:jc w:val="both"/>
        <w:rPr>
          <w:rFonts w:ascii="Verdana" w:eastAsia="Arial" w:hAnsi="Verdana" w:cs="Arial"/>
          <w:b/>
          <w:bCs/>
        </w:rPr>
      </w:pPr>
      <w:bookmarkStart w:id="16" w:name="_heading=h.4d34og8" w:colFirst="0" w:colLast="0"/>
      <w:bookmarkEnd w:id="16"/>
      <w:r w:rsidRPr="002C4004">
        <w:rPr>
          <w:rFonts w:ascii="Verdana" w:eastAsia="Arial" w:hAnsi="Verdana" w:cs="Arial"/>
          <w:b/>
          <w:bCs/>
        </w:rPr>
        <w:t xml:space="preserve">4. </w:t>
      </w:r>
      <w:r w:rsidR="00486B84" w:rsidRPr="002C4004">
        <w:rPr>
          <w:rFonts w:ascii="Verdana" w:eastAsia="Arial" w:hAnsi="Verdana" w:cs="Arial"/>
          <w:b/>
          <w:bCs/>
        </w:rPr>
        <w:t xml:space="preserve">Referencias normativas, jurisprudenciales y otras fuentes: </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41CEE" w:rsidRPr="00C124EB" w14:paraId="7B693A34" w14:textId="77777777" w:rsidTr="00EC387F">
        <w:trPr>
          <w:trHeight w:val="595"/>
        </w:trPr>
        <w:tc>
          <w:tcPr>
            <w:tcW w:w="8647" w:type="dxa"/>
          </w:tcPr>
          <w:p w14:paraId="2060F215"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Constitución Política de Colombia. Artículo 127.</w:t>
            </w:r>
          </w:p>
          <w:p w14:paraId="4233C461"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996 de 2005. Artículos 33 y 38.</w:t>
            </w:r>
          </w:p>
          <w:p w14:paraId="57019248" w14:textId="77777777" w:rsidR="00B41CEE"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1150 de 2007. Artículo 2.</w:t>
            </w:r>
          </w:p>
          <w:p w14:paraId="7255B436"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Pr>
                <w:rFonts w:ascii="Verdana" w:eastAsia="Arial MT" w:hAnsi="Verdana" w:cs="Arial"/>
                <w:bCs/>
                <w:lang w:eastAsia="es-ES" w:bidi="es-ES"/>
              </w:rPr>
              <w:t>Ley 1523 de 2012. Artículos 4, 35 y 66.</w:t>
            </w:r>
          </w:p>
          <w:p w14:paraId="5CEF7693"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lastRenderedPageBreak/>
              <w:t>Ley 1575 de 2012. Artículos 1</w:t>
            </w:r>
            <w:r>
              <w:rPr>
                <w:rFonts w:ascii="Verdana" w:eastAsia="Arial MT" w:hAnsi="Verdana" w:cs="Arial"/>
                <w:bCs/>
                <w:lang w:eastAsia="es-ES" w:bidi="es-ES"/>
              </w:rPr>
              <w:t>, 2, 3,</w:t>
            </w:r>
            <w:r w:rsidRPr="00C124EB">
              <w:rPr>
                <w:rFonts w:ascii="Verdana" w:eastAsia="Arial MT" w:hAnsi="Verdana" w:cs="Arial"/>
                <w:bCs/>
                <w:lang w:eastAsia="es-ES" w:bidi="es-ES"/>
              </w:rPr>
              <w:t xml:space="preserve"> y 18</w:t>
            </w:r>
            <w:r>
              <w:rPr>
                <w:rFonts w:ascii="Verdana" w:eastAsia="Arial MT" w:hAnsi="Verdana" w:cs="Arial"/>
                <w:bCs/>
                <w:lang w:eastAsia="es-ES" w:bidi="es-ES"/>
              </w:rPr>
              <w:t>, 22</w:t>
            </w:r>
            <w:r w:rsidRPr="00C124EB">
              <w:rPr>
                <w:rFonts w:ascii="Verdana" w:eastAsia="Arial MT" w:hAnsi="Verdana" w:cs="Arial"/>
                <w:bCs/>
                <w:lang w:eastAsia="es-ES" w:bidi="es-ES"/>
              </w:rPr>
              <w:t>.</w:t>
            </w:r>
          </w:p>
          <w:p w14:paraId="69A4C216"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Corte Constitucional, Sentencia C- 1153 de 2005. M.P. Marco Gerardo Monroy Cabra.</w:t>
            </w:r>
          </w:p>
          <w:p w14:paraId="70B6BA47"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2D153266" w14:textId="77777777" w:rsidR="00B41CEE" w:rsidRPr="00C124EB" w:rsidRDefault="00B41CEE" w:rsidP="00B41CEE">
            <w:pPr>
              <w:widowControl w:val="0"/>
              <w:numPr>
                <w:ilvl w:val="0"/>
                <w:numId w:val="20"/>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del 17 de febrero de 2015. C.P. William Zambrano Cetina. Radicación No. 11001-03-06-000-2015-00164-00 (2269).</w:t>
            </w:r>
          </w:p>
          <w:p w14:paraId="213B4F98" w14:textId="77777777" w:rsidR="00B41CEE" w:rsidRPr="00C124EB" w:rsidRDefault="00B41CEE" w:rsidP="00B41CEE">
            <w:pPr>
              <w:widowControl w:val="0"/>
              <w:numPr>
                <w:ilvl w:val="0"/>
                <w:numId w:val="20"/>
              </w:numPr>
              <w:autoSpaceDE w:val="0"/>
              <w:autoSpaceDN w:val="0"/>
              <w:spacing w:line="276" w:lineRule="auto"/>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r w:rsidRPr="00C124EB" w:rsidDel="008A775A">
              <w:rPr>
                <w:rFonts w:ascii="Verdana" w:eastAsia="Arial MT" w:hAnsi="Verdana" w:cs="Arial"/>
                <w:bCs/>
                <w:lang w:eastAsia="es-ES" w:bidi="es-ES"/>
              </w:rPr>
              <w:t>.</w:t>
            </w:r>
          </w:p>
        </w:tc>
      </w:tr>
    </w:tbl>
    <w:p w14:paraId="3AC7D331" w14:textId="77777777" w:rsidR="002C4004" w:rsidRPr="002C4004" w:rsidRDefault="002C4004" w:rsidP="00FA39E6">
      <w:pPr>
        <w:widowControl w:val="0"/>
        <w:spacing w:after="120" w:line="276" w:lineRule="auto"/>
        <w:jc w:val="both"/>
        <w:rPr>
          <w:rFonts w:ascii="Verdana" w:eastAsia="Arial" w:hAnsi="Verdana" w:cs="Arial"/>
          <w:b/>
          <w:bCs/>
        </w:rPr>
      </w:pPr>
    </w:p>
    <w:p w14:paraId="2C71861D" w14:textId="16779BF1" w:rsidR="00F8228A" w:rsidRPr="00800107" w:rsidRDefault="00FA39E6" w:rsidP="00FA39E6">
      <w:pPr>
        <w:widowControl w:val="0"/>
        <w:spacing w:after="120" w:line="276" w:lineRule="auto"/>
        <w:jc w:val="both"/>
        <w:rPr>
          <w:rFonts w:ascii="Verdana" w:eastAsia="Arial" w:hAnsi="Verdana" w:cs="Arial"/>
          <w:b/>
          <w:bCs/>
        </w:rPr>
      </w:pPr>
      <w:r w:rsidRPr="00800107">
        <w:rPr>
          <w:rFonts w:ascii="Verdana" w:eastAsia="Arial" w:hAnsi="Verdana" w:cs="Arial"/>
          <w:b/>
          <w:bCs/>
        </w:rPr>
        <w:t xml:space="preserve">5. Doctrina de la Agencia Nacional de Contratación Pública: </w:t>
      </w:r>
    </w:p>
    <w:p w14:paraId="2B12EEA4" w14:textId="59F9030A" w:rsidR="0063485E" w:rsidRPr="00492128" w:rsidRDefault="0063485E" w:rsidP="0063485E">
      <w:pPr>
        <w:spacing w:after="0" w:line="276" w:lineRule="auto"/>
        <w:jc w:val="both"/>
        <w:rPr>
          <w:rFonts w:ascii="Verdana" w:hAnsi="Verdana"/>
          <w:color w:val="0000FF"/>
          <w:lang w:val="es-ES"/>
        </w:rPr>
      </w:pPr>
      <w:r w:rsidRPr="00064E6A">
        <w:rPr>
          <w:rFonts w:ascii="Verdana" w:eastAsia="Calibri" w:hAnsi="Verdana" w:cs="Arial"/>
          <w:lang w:val="es-ES"/>
        </w:rPr>
        <w:t xml:space="preserve">La Agencia Nacional de Contratación Pública – Colombia Compra Eficiente se ha referido </w:t>
      </w:r>
      <w:r w:rsidRPr="00064E6A">
        <w:rPr>
          <w:rFonts w:ascii="Verdana" w:hAnsi="Verdana" w:cs="Arial"/>
          <w:shd w:val="clear" w:color="auto" w:fill="FFFFFF"/>
          <w:lang w:val="es-ES"/>
        </w:rPr>
        <w:t xml:space="preserve">sobre </w:t>
      </w:r>
      <w:r w:rsidRPr="00064E6A">
        <w:rPr>
          <w:rFonts w:ascii="Verdana" w:hAnsi="Verdana" w:cs="Arial"/>
        </w:rPr>
        <w:t xml:space="preserve">sobre </w:t>
      </w:r>
      <w:r w:rsidRPr="00FC7D77">
        <w:rPr>
          <w:rFonts w:ascii="Verdana" w:hAnsi="Verdana" w:cs="Arial"/>
        </w:rPr>
        <w:t>la Ley de Garantías Electorales</w:t>
      </w:r>
      <w:r w:rsidRPr="009969AD">
        <w:rPr>
          <w:rFonts w:ascii="Verdana" w:hAnsi="Verdana" w:cs="Arial"/>
          <w:color w:val="ED7D31" w:themeColor="accent2"/>
          <w:shd w:val="clear" w:color="auto" w:fill="FFFFFF"/>
        </w:rPr>
        <w:t xml:space="preserve"> </w:t>
      </w:r>
      <w:r w:rsidRPr="00FC7D77">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FC7D77">
        <w:rPr>
          <w:rFonts w:ascii="Verdana" w:hAnsi="Verdana" w:cs="Arial"/>
          <w:shd w:val="clear" w:color="auto" w:fill="FFFFFF"/>
        </w:rPr>
        <w:t xml:space="preserve">C-180 del 21 de marzo de 2025, C-317 del 25 de abril de 2025, C-510 del 4 de junio de 2025, </w:t>
      </w:r>
      <w:r w:rsidRPr="00FC7D7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FC7D77">
        <w:rPr>
          <w:rFonts w:ascii="Verdana" w:hAnsi="Verdana" w:cs="Arial"/>
          <w:shd w:val="clear" w:color="auto" w:fill="FFFFFF"/>
        </w:rPr>
        <w:t>C–750 de 17 de julio 2025, C-868 del 12 de agosto de 2025, C-1057 del 5 de septiembre de 2025, C-1195 del 3 de octubre de 2025, C-1350 del 19 de septiembre de 2025</w:t>
      </w:r>
      <w:r>
        <w:rPr>
          <w:rFonts w:ascii="Verdana" w:hAnsi="Verdana" w:cs="Arial"/>
          <w:shd w:val="clear" w:color="auto" w:fill="FFFFFF"/>
        </w:rPr>
        <w:t>,</w:t>
      </w:r>
      <w:r w:rsidRPr="00FC7D77">
        <w:rPr>
          <w:rFonts w:ascii="Verdana" w:hAnsi="Verdana" w:cs="Arial"/>
          <w:shd w:val="clear" w:color="auto" w:fill="FFFFFF"/>
        </w:rPr>
        <w:t xml:space="preserve"> C- 1236 del 27 de octubre de 2025</w:t>
      </w:r>
      <w:r>
        <w:rPr>
          <w:rFonts w:ascii="Verdana" w:hAnsi="Verdana" w:cs="Arial"/>
          <w:shd w:val="clear" w:color="auto" w:fill="FFFFFF"/>
        </w:rPr>
        <w:t>, C-1835 del 21 de enero de 2026</w:t>
      </w:r>
      <w:r w:rsidRPr="00FC7D77">
        <w:rPr>
          <w:rFonts w:ascii="Verdana" w:hAnsi="Verdana" w:cs="Arial"/>
          <w:shd w:val="clear" w:color="auto" w:fill="FFFFFF"/>
        </w:rPr>
        <w:t>,</w:t>
      </w:r>
      <w:r>
        <w:rPr>
          <w:rFonts w:ascii="Verdana" w:hAnsi="Verdana" w:cs="Arial"/>
          <w:shd w:val="clear" w:color="auto" w:fill="FFFFFF"/>
        </w:rPr>
        <w:t xml:space="preserve"> C-021 de 18 de febrero de 2026,</w:t>
      </w:r>
      <w:r w:rsidRPr="00FC7D77">
        <w:rPr>
          <w:rFonts w:ascii="Verdana" w:hAnsi="Verdana" w:cs="Arial"/>
          <w:shd w:val="clear" w:color="auto" w:fill="FFFFFF"/>
        </w:rPr>
        <w:t xml:space="preserve"> </w:t>
      </w:r>
      <w:r w:rsidRPr="00FC7D77">
        <w:rPr>
          <w:rFonts w:ascii="Verdana" w:hAnsi="Verdana" w:cs="Arial"/>
        </w:rPr>
        <w:t>entre otros</w:t>
      </w:r>
      <w:r w:rsidRPr="00FC7D77">
        <w:rPr>
          <w:rFonts w:ascii="Verdana" w:hAnsi="Verdana" w:cs="Arial"/>
          <w:shd w:val="clear" w:color="auto" w:fill="FFFFFF"/>
        </w:rPr>
        <w:t>.</w:t>
      </w:r>
      <w:r>
        <w:rPr>
          <w:rFonts w:ascii="Verdana" w:hAnsi="Verdana" w:cs="Arial"/>
          <w:shd w:val="clear" w:color="auto" w:fill="FFFFFF"/>
          <w:lang w:val="es-ES"/>
        </w:rPr>
        <w:t xml:space="preserve"> </w:t>
      </w:r>
      <w:r w:rsidRPr="00AC0049">
        <w:rPr>
          <w:rFonts w:ascii="Verdana" w:hAnsi="Verdana" w:cs="Arial"/>
          <w:shd w:val="clear" w:color="auto" w:fill="FFFFFF"/>
          <w:lang w:val="es-ES"/>
        </w:rPr>
        <w:t>Estos</w:t>
      </w:r>
      <w:r w:rsidRPr="00AC0049">
        <w:rPr>
          <w:rFonts w:ascii="Verdana" w:hAnsi="Verdana"/>
          <w:lang w:val="es-ES"/>
        </w:rPr>
        <w:t xml:space="preserve"> y otros se encuentran disponibles para consulta en el Sistema de relatoría de la Agencia, al cual se puede acceder a través del siguiente enlace:</w:t>
      </w:r>
      <w:r w:rsidRPr="00AC0049">
        <w:rPr>
          <w:rFonts w:ascii="Verdana" w:hAnsi="Verdana" w:cs="Arial"/>
          <w:shd w:val="clear" w:color="auto" w:fill="FFFFFF"/>
          <w:lang w:val="es-ES"/>
        </w:rPr>
        <w:t xml:space="preserve"> </w:t>
      </w:r>
      <w:hyperlink r:id="rId13" w:history="1">
        <w:r w:rsidRPr="00492128">
          <w:rPr>
            <w:rStyle w:val="Hipervnculo"/>
            <w:rFonts w:ascii="Verdana" w:hAnsi="Verdana" w:cs="Arial"/>
            <w:shd w:val="clear" w:color="auto" w:fill="FFFFFF"/>
            <w:lang w:val="es-ES"/>
          </w:rPr>
          <w:t>https://relatoria.colombiacompra.gov.co/busqueda/conceptos</w:t>
        </w:r>
      </w:hyperlink>
    </w:p>
    <w:p w14:paraId="57948940" w14:textId="77777777" w:rsidR="00C922BA" w:rsidRDefault="00C922BA" w:rsidP="00FA39E6">
      <w:pPr>
        <w:widowControl w:val="0"/>
        <w:spacing w:after="120" w:line="276" w:lineRule="auto"/>
        <w:jc w:val="both"/>
        <w:rPr>
          <w:rFonts w:ascii="Verdana" w:hAnsi="Verdana" w:cs="Arial"/>
          <w:shd w:val="clear" w:color="auto" w:fill="FFFFFF"/>
        </w:rPr>
      </w:pPr>
    </w:p>
    <w:p w14:paraId="2733D613" w14:textId="77777777" w:rsidR="00C922BA" w:rsidRPr="00AC0049" w:rsidRDefault="00C922BA" w:rsidP="00C922BA">
      <w:pPr>
        <w:spacing w:after="0"/>
        <w:jc w:val="both"/>
        <w:rPr>
          <w:rFonts w:ascii="Verdana" w:hAnsi="Verdana" w:cs="Arial"/>
          <w:shd w:val="clear" w:color="auto" w:fill="FFFFFF"/>
        </w:rPr>
      </w:pPr>
      <w:r w:rsidRPr="00AC0049">
        <w:rPr>
          <w:rFonts w:ascii="Verdana" w:hAnsi="Verdana" w:cs="Arial"/>
          <w:shd w:val="clear" w:color="auto" w:fill="FFFFFF"/>
        </w:rPr>
        <w:t>También le contamos que ya se encuentra disponible la </w:t>
      </w:r>
      <w:r w:rsidRPr="00AC004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C0049">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w:t>
      </w:r>
      <w:r w:rsidRPr="00AC0049">
        <w:rPr>
          <w:rFonts w:ascii="Verdana" w:hAnsi="Verdana" w:cs="Arial"/>
          <w:shd w:val="clear" w:color="auto" w:fill="FFFFFF"/>
        </w:rPr>
        <w:lastRenderedPageBreak/>
        <w:t>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C0049">
          <w:rPr>
            <w:rStyle w:val="Hipervnculo"/>
            <w:rFonts w:ascii="Verdana" w:hAnsi="Verdana"/>
          </w:rPr>
          <w:t>Guía de lineamientos de transparencia y selección objetiva para el departamento de La Guajira – Objetivo sexto constitucional de la Sentencia T-302 del 2017</w:t>
        </w:r>
      </w:hyperlink>
    </w:p>
    <w:p w14:paraId="522752B4" w14:textId="77777777" w:rsidR="00FA39E6" w:rsidRPr="00847C50" w:rsidRDefault="00FA39E6" w:rsidP="00FA39E6">
      <w:pPr>
        <w:widowControl w:val="0"/>
        <w:spacing w:after="120" w:line="276" w:lineRule="auto"/>
        <w:jc w:val="both"/>
        <w:rPr>
          <w:rFonts w:ascii="Verdana" w:eastAsia="Arial" w:hAnsi="Verdana" w:cs="Arial"/>
        </w:rPr>
      </w:pPr>
    </w:p>
    <w:p w14:paraId="1728C553" w14:textId="77777777" w:rsidR="00D614DE" w:rsidRPr="001711E5" w:rsidRDefault="00D614DE" w:rsidP="00D614DE">
      <w:pPr>
        <w:spacing w:after="0"/>
        <w:jc w:val="both"/>
        <w:rPr>
          <w:rFonts w:ascii="Verdana" w:hAnsi="Verdana"/>
        </w:rPr>
      </w:pPr>
      <w:r w:rsidRPr="001711E5">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7919473" w14:textId="77777777" w:rsidR="001711E5" w:rsidRPr="001711E5" w:rsidRDefault="001711E5" w:rsidP="001711E5">
      <w:pPr>
        <w:spacing w:after="0"/>
        <w:jc w:val="both"/>
        <w:rPr>
          <w:rFonts w:ascii="Verdana" w:hAnsi="Verdana"/>
        </w:rPr>
      </w:pPr>
    </w:p>
    <w:p w14:paraId="66F8E386" w14:textId="77777777" w:rsidR="001711E5" w:rsidRPr="001711E5" w:rsidRDefault="001711E5" w:rsidP="001711E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711E5">
        <w:rPr>
          <w:rFonts w:ascii="Verdana" w:eastAsia="Verdana" w:hAnsi="Verdana" w:cs="Verdana"/>
          <w:lang w:val="es-MX"/>
        </w:rPr>
        <w:t xml:space="preserve">Línea nacional gratuita o servicio a la ciudadanía (Mesa de servicio): </w:t>
      </w:r>
      <w:r w:rsidRPr="001711E5">
        <w:rPr>
          <w:rStyle w:val="Hipervnculo"/>
          <w:rFonts w:ascii="Verdana" w:hAnsi="Verdana"/>
        </w:rPr>
        <w:t>01800 0520808</w:t>
      </w:r>
    </w:p>
    <w:p w14:paraId="753D7AF2" w14:textId="77777777" w:rsidR="001711E5" w:rsidRPr="001711E5" w:rsidRDefault="001711E5" w:rsidP="001711E5">
      <w:pPr>
        <w:pStyle w:val="Prrafodelista"/>
        <w:numPr>
          <w:ilvl w:val="0"/>
          <w:numId w:val="15"/>
        </w:numPr>
        <w:spacing w:after="0"/>
        <w:rPr>
          <w:rFonts w:ascii="Verdana" w:eastAsia="Verdana" w:hAnsi="Verdana" w:cs="Verdana"/>
          <w:color w:val="4472C4" w:themeColor="accent1"/>
          <w:u w:val="single"/>
          <w:lang w:val="es-MX"/>
        </w:rPr>
      </w:pPr>
      <w:r w:rsidRPr="001711E5">
        <w:rPr>
          <w:rFonts w:ascii="Verdana" w:eastAsia="Verdana" w:hAnsi="Verdana" w:cs="Verdana"/>
          <w:lang w:val="es-MX"/>
        </w:rPr>
        <w:t>Línea en Bogotá (Mesa de servicio):</w:t>
      </w:r>
      <w:r w:rsidRPr="001711E5">
        <w:rPr>
          <w:rStyle w:val="Hipervnculo"/>
          <w:rFonts w:ascii="Verdana" w:hAnsi="Verdana"/>
        </w:rPr>
        <w:t>+57 601 7456788</w:t>
      </w:r>
    </w:p>
    <w:p w14:paraId="52A28C00" w14:textId="77777777" w:rsidR="001711E5" w:rsidRPr="001711E5" w:rsidRDefault="001711E5" w:rsidP="001711E5">
      <w:pPr>
        <w:pStyle w:val="Prrafodelista"/>
        <w:numPr>
          <w:ilvl w:val="0"/>
          <w:numId w:val="15"/>
        </w:numPr>
        <w:spacing w:after="0"/>
        <w:rPr>
          <w:rFonts w:ascii="Verdana" w:eastAsia="Verdana" w:hAnsi="Verdana" w:cs="Verdana"/>
          <w:color w:val="0000FF"/>
          <w:u w:val="single"/>
          <w:lang w:val="es-MX"/>
        </w:rPr>
      </w:pPr>
      <w:r w:rsidRPr="001711E5">
        <w:rPr>
          <w:rFonts w:ascii="Verdana" w:eastAsia="Verdana" w:hAnsi="Verdana" w:cs="Verdana"/>
          <w:lang w:val="es-MX"/>
        </w:rPr>
        <w:t xml:space="preserve">Correo de radicación de correspondencia: </w:t>
      </w:r>
      <w:hyperlink r:id="rId15">
        <w:r w:rsidRPr="001711E5">
          <w:rPr>
            <w:rStyle w:val="Hipervnculo"/>
            <w:rFonts w:ascii="Verdana" w:eastAsia="Verdana" w:hAnsi="Verdana" w:cs="Verdana"/>
            <w:lang w:val="es-MX"/>
          </w:rPr>
          <w:t>ventanilladeradicacion@colombiacompra.gov.co</w:t>
        </w:r>
      </w:hyperlink>
    </w:p>
    <w:p w14:paraId="40E1C008" w14:textId="77777777" w:rsidR="001711E5" w:rsidRPr="001711E5" w:rsidRDefault="001711E5" w:rsidP="001711E5">
      <w:pPr>
        <w:pStyle w:val="Prrafodelista"/>
        <w:numPr>
          <w:ilvl w:val="0"/>
          <w:numId w:val="15"/>
        </w:numPr>
        <w:spacing w:after="0"/>
        <w:rPr>
          <w:rFonts w:ascii="Verdana" w:eastAsia="Verdana" w:hAnsi="Verdana" w:cs="Verdana"/>
          <w:color w:val="0000FF"/>
          <w:u w:val="single"/>
          <w:lang w:val="es-MX"/>
        </w:rPr>
      </w:pPr>
      <w:r w:rsidRPr="001711E5">
        <w:rPr>
          <w:rFonts w:ascii="Verdana" w:eastAsia="Verdana" w:hAnsi="Verdana" w:cs="Verdana"/>
        </w:rPr>
        <w:t>Formulario web para</w:t>
      </w:r>
      <w:r w:rsidRPr="001711E5">
        <w:rPr>
          <w:rFonts w:ascii="Verdana" w:eastAsia="Verdana" w:hAnsi="Verdana" w:cs="Verdana"/>
          <w:lang w:val="es"/>
        </w:rPr>
        <w:t xml:space="preserve"> PQRSD: </w:t>
      </w:r>
      <w:hyperlink r:id="rId16">
        <w:r w:rsidRPr="001711E5">
          <w:rPr>
            <w:rStyle w:val="Hipervnculo"/>
            <w:rFonts w:ascii="Verdana" w:eastAsia="Verdana" w:hAnsi="Verdana" w:cs="Verdana"/>
            <w:lang w:val="es-MX"/>
          </w:rPr>
          <w:t>https://www.colombiacompra.gov.co/pqrsd/informacion-importante-antes-de-formular-una-pqrsd</w:t>
        </w:r>
      </w:hyperlink>
    </w:p>
    <w:p w14:paraId="2F90B931" w14:textId="77777777" w:rsidR="001711E5" w:rsidRPr="00116940" w:rsidRDefault="001711E5" w:rsidP="001711E5">
      <w:pPr>
        <w:spacing w:after="0" w:line="240" w:lineRule="auto"/>
        <w:ind w:left="720"/>
        <w:jc w:val="both"/>
        <w:rPr>
          <w:rFonts w:ascii="Verdana" w:hAnsi="Verdana"/>
        </w:rPr>
      </w:pPr>
    </w:p>
    <w:p w14:paraId="5E1D4ED0" w14:textId="77777777" w:rsidR="001711E5" w:rsidRPr="001711E5" w:rsidRDefault="001711E5" w:rsidP="001711E5">
      <w:pPr>
        <w:spacing w:after="0" w:line="240" w:lineRule="auto"/>
        <w:rPr>
          <w:rFonts w:ascii="Verdana" w:hAnsi="Verdana"/>
        </w:rPr>
      </w:pPr>
      <w:r w:rsidRPr="001711E5">
        <w:rPr>
          <w:rFonts w:ascii="Verdana" w:hAnsi="Verdana"/>
        </w:rPr>
        <w:t>Evalúa el servicio que ofrece la Agencia por el canal de atención de PQRSD en el siguiente enlace :</w:t>
      </w:r>
      <w:hyperlink r:id="rId17" w:tgtFrame="_blank" w:tooltip="https://forms.office.com/r/pphywvs2sz" w:history="1">
        <w:r w:rsidRPr="001711E5">
          <w:rPr>
            <w:rStyle w:val="Hipervnculo"/>
            <w:rFonts w:ascii="Verdana" w:hAnsi="Verdana"/>
          </w:rPr>
          <w:t>https://forms.office.com/r/pPHyWVs2SZ</w:t>
        </w:r>
      </w:hyperlink>
      <w:r w:rsidRPr="001711E5">
        <w:rPr>
          <w:rFonts w:ascii="Verdana" w:hAnsi="Verdana"/>
        </w:rPr>
        <w:t xml:space="preserve"> .¡Ayúdanos a mejorar porque el compromiso es de todos!</w:t>
      </w:r>
    </w:p>
    <w:p w14:paraId="25655C61" w14:textId="77777777" w:rsidR="001711E5" w:rsidRPr="001711E5" w:rsidRDefault="001711E5" w:rsidP="001711E5">
      <w:pPr>
        <w:spacing w:after="0" w:line="240" w:lineRule="auto"/>
        <w:rPr>
          <w:rFonts w:ascii="Verdana" w:hAnsi="Verdana"/>
        </w:rPr>
      </w:pPr>
    </w:p>
    <w:p w14:paraId="3C95AE69" w14:textId="77777777" w:rsidR="001711E5" w:rsidRPr="001711E5" w:rsidRDefault="001711E5" w:rsidP="001711E5">
      <w:pPr>
        <w:spacing w:after="0" w:line="240" w:lineRule="auto"/>
        <w:jc w:val="both"/>
        <w:rPr>
          <w:rFonts w:ascii="Verdana" w:hAnsi="Verdana"/>
        </w:rPr>
      </w:pPr>
      <w:r w:rsidRPr="001711E5">
        <w:rPr>
          <w:rFonts w:ascii="Verdana" w:hAnsi="Verdana"/>
        </w:rPr>
        <w:t xml:space="preserve">Por último, lo invitamos a seguirnos en las redes sociales en las cuales se difunde información institucional: </w:t>
      </w:r>
    </w:p>
    <w:p w14:paraId="5550BC53" w14:textId="77777777" w:rsidR="001711E5" w:rsidRPr="001711E5" w:rsidRDefault="001711E5" w:rsidP="001711E5">
      <w:pPr>
        <w:spacing w:after="0" w:line="240" w:lineRule="auto"/>
        <w:jc w:val="both"/>
        <w:rPr>
          <w:rFonts w:ascii="Verdana" w:hAnsi="Verdana"/>
        </w:rPr>
      </w:pPr>
    </w:p>
    <w:p w14:paraId="15558F40" w14:textId="77777777" w:rsidR="001711E5" w:rsidRPr="001711E5" w:rsidRDefault="001711E5" w:rsidP="001711E5">
      <w:pPr>
        <w:spacing w:after="0" w:line="240" w:lineRule="auto"/>
        <w:jc w:val="both"/>
        <w:rPr>
          <w:rFonts w:ascii="Verdana" w:hAnsi="Verdana"/>
        </w:rPr>
      </w:pPr>
      <w:r w:rsidRPr="001711E5">
        <w:rPr>
          <w:rFonts w:ascii="Verdana" w:hAnsi="Verdana"/>
        </w:rPr>
        <w:t xml:space="preserve">Twitter: </w:t>
      </w:r>
      <w:r w:rsidRPr="001711E5">
        <w:rPr>
          <w:rStyle w:val="Hipervnculo"/>
          <w:rFonts w:ascii="Verdana" w:hAnsi="Verdana"/>
        </w:rPr>
        <w:t>@colombiacompra</w:t>
      </w:r>
      <w:r w:rsidRPr="001711E5">
        <w:rPr>
          <w:rFonts w:ascii="Verdana" w:hAnsi="Verdana"/>
        </w:rPr>
        <w:t xml:space="preserve"> </w:t>
      </w:r>
    </w:p>
    <w:p w14:paraId="0E654E97" w14:textId="77777777" w:rsidR="001711E5" w:rsidRPr="001711E5" w:rsidRDefault="001711E5" w:rsidP="001711E5">
      <w:pPr>
        <w:spacing w:after="0" w:line="240" w:lineRule="auto"/>
        <w:jc w:val="both"/>
        <w:rPr>
          <w:rFonts w:ascii="Verdana" w:hAnsi="Verdana"/>
        </w:rPr>
      </w:pPr>
      <w:r w:rsidRPr="001711E5">
        <w:rPr>
          <w:rFonts w:ascii="Verdana" w:hAnsi="Verdana"/>
        </w:rPr>
        <w:t xml:space="preserve">Facebook: </w:t>
      </w:r>
      <w:r w:rsidRPr="001711E5">
        <w:rPr>
          <w:rStyle w:val="Hipervnculo"/>
          <w:rFonts w:ascii="Verdana" w:hAnsi="Verdana"/>
        </w:rPr>
        <w:t>ColombiaCompraEficiente</w:t>
      </w:r>
    </w:p>
    <w:p w14:paraId="5F849D24" w14:textId="77777777" w:rsidR="001711E5" w:rsidRPr="001711E5" w:rsidRDefault="001711E5" w:rsidP="001711E5">
      <w:pPr>
        <w:spacing w:after="0" w:line="240" w:lineRule="auto"/>
        <w:jc w:val="both"/>
        <w:rPr>
          <w:rFonts w:ascii="Verdana" w:hAnsi="Verdana"/>
        </w:rPr>
      </w:pPr>
      <w:r w:rsidRPr="001711E5">
        <w:rPr>
          <w:rFonts w:ascii="Verdana" w:hAnsi="Verdana"/>
        </w:rPr>
        <w:t xml:space="preserve">LinkedIn: </w:t>
      </w:r>
      <w:r w:rsidRPr="001711E5">
        <w:rPr>
          <w:rStyle w:val="Hipervnculo"/>
          <w:rFonts w:ascii="Verdana" w:hAnsi="Verdana"/>
        </w:rPr>
        <w:t>Agencia Nacional de Contratación Pública - Colombia Compra Eficiente</w:t>
      </w:r>
      <w:r w:rsidRPr="001711E5">
        <w:rPr>
          <w:rFonts w:ascii="Verdana" w:hAnsi="Verdana"/>
        </w:rPr>
        <w:t xml:space="preserve"> Instagram: </w:t>
      </w:r>
      <w:r w:rsidRPr="001711E5">
        <w:rPr>
          <w:rStyle w:val="Hipervnculo"/>
          <w:rFonts w:ascii="Verdana" w:hAnsi="Verdana"/>
        </w:rPr>
        <w:t>@colombiacompraeficiente_cce</w:t>
      </w:r>
    </w:p>
    <w:p w14:paraId="7D8D674F" w14:textId="77777777" w:rsidR="001711E5" w:rsidRPr="001711E5" w:rsidRDefault="001711E5" w:rsidP="001711E5">
      <w:pPr>
        <w:spacing w:after="0" w:line="240" w:lineRule="auto"/>
        <w:jc w:val="both"/>
        <w:rPr>
          <w:rFonts w:ascii="Verdana" w:hAnsi="Verdana"/>
        </w:rPr>
      </w:pPr>
    </w:p>
    <w:p w14:paraId="34C13DDB" w14:textId="77777777" w:rsidR="001711E5" w:rsidRPr="001711E5" w:rsidRDefault="001711E5" w:rsidP="001711E5">
      <w:pPr>
        <w:spacing w:after="0" w:line="256" w:lineRule="auto"/>
        <w:jc w:val="both"/>
        <w:rPr>
          <w:rFonts w:ascii="Verdana" w:eastAsia="Calibri" w:hAnsi="Verdana" w:cs="Times New Roman"/>
          <w:bCs/>
          <w:lang w:val="es-ES_tradnl"/>
        </w:rPr>
      </w:pPr>
      <w:r w:rsidRPr="001711E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46ED3A5" w14:textId="77777777" w:rsidR="001711E5" w:rsidRPr="001711E5" w:rsidRDefault="001711E5" w:rsidP="001711E5">
      <w:pPr>
        <w:spacing w:after="0" w:line="256" w:lineRule="auto"/>
        <w:jc w:val="both"/>
        <w:rPr>
          <w:rFonts w:ascii="Verdana" w:eastAsia="Calibri" w:hAnsi="Verdana" w:cs="Times New Roman"/>
          <w:lang w:val="es-ES_tradnl"/>
        </w:rPr>
      </w:pPr>
    </w:p>
    <w:p w14:paraId="5ABA6005" w14:textId="2C5704B3" w:rsidR="001711E5" w:rsidRDefault="001711E5" w:rsidP="001711E5">
      <w:pPr>
        <w:spacing w:after="0" w:line="256" w:lineRule="auto"/>
        <w:jc w:val="both"/>
        <w:rPr>
          <w:rFonts w:ascii="Verdana" w:eastAsia="Calibri" w:hAnsi="Verdana" w:cs="Times New Roman"/>
        </w:rPr>
      </w:pPr>
      <w:r w:rsidRPr="001711E5">
        <w:rPr>
          <w:rFonts w:ascii="Verdana" w:eastAsia="Calibri" w:hAnsi="Verdana" w:cs="Times New Roman"/>
        </w:rPr>
        <w:t>Atentamente,</w:t>
      </w:r>
    </w:p>
    <w:p w14:paraId="2F201CA2" w14:textId="05230C05" w:rsidR="001711E5" w:rsidRPr="001711E5" w:rsidRDefault="00E47455" w:rsidP="001711E5">
      <w:pPr>
        <w:spacing w:after="0" w:line="256" w:lineRule="auto"/>
        <w:jc w:val="both"/>
        <w:rPr>
          <w:rFonts w:ascii="Verdana" w:eastAsia="Calibri" w:hAnsi="Verdana" w:cs="Times New Roman"/>
        </w:rPr>
      </w:pPr>
      <w:r w:rsidRPr="00580D84">
        <w:rPr>
          <w:rFonts w:ascii="Verdana" w:eastAsia="Verdana" w:hAnsi="Verdana" w:cs="Verdana"/>
          <w:b/>
          <w:bCs/>
          <w:noProof/>
          <w:lang w:val="es-MX"/>
        </w:rPr>
        <w:lastRenderedPageBreak/>
        <w:drawing>
          <wp:anchor distT="0" distB="0" distL="114300" distR="114300" simplePos="0" relativeHeight="251660289" behindDoc="1" locked="0" layoutInCell="1" allowOverlap="1" wp14:anchorId="2DF03C27" wp14:editId="4CC61A98">
            <wp:simplePos x="0" y="0"/>
            <wp:positionH relativeFrom="column">
              <wp:posOffset>1399540</wp:posOffset>
            </wp:positionH>
            <wp:positionV relativeFrom="paragraph">
              <wp:posOffset>19050</wp:posOffset>
            </wp:positionV>
            <wp:extent cx="3011805" cy="862965"/>
            <wp:effectExtent l="0" t="0" r="0" b="0"/>
            <wp:wrapTight wrapText="bothSides">
              <wp:wrapPolygon edited="0">
                <wp:start x="0" y="0"/>
                <wp:lineTo x="0" y="20980"/>
                <wp:lineTo x="21450" y="20980"/>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8">
                      <a:extLst>
                        <a:ext uri="{28A0092B-C50C-407E-A947-70E740481C1C}">
                          <a14:useLocalDpi xmlns:a14="http://schemas.microsoft.com/office/drawing/2010/main" val="0"/>
                        </a:ext>
                      </a:extLst>
                    </a:blip>
                    <a:stretch>
                      <a:fillRect/>
                    </a:stretch>
                  </pic:blipFill>
                  <pic:spPr>
                    <a:xfrm>
                      <a:off x="0" y="0"/>
                      <a:ext cx="3011805" cy="862965"/>
                    </a:xfrm>
                    <a:prstGeom prst="rect">
                      <a:avLst/>
                    </a:prstGeom>
                  </pic:spPr>
                </pic:pic>
              </a:graphicData>
            </a:graphic>
            <wp14:sizeRelV relativeFrom="margin">
              <wp14:pctHeight>0</wp14:pctHeight>
            </wp14:sizeRelV>
          </wp:anchor>
        </w:drawing>
      </w:r>
    </w:p>
    <w:p w14:paraId="1CE7CED3" w14:textId="1ADF5741" w:rsidR="00BC1CE9" w:rsidRPr="00F8228A" w:rsidRDefault="00BC1CE9" w:rsidP="00D614DE">
      <w:pPr>
        <w:widowControl w:val="0"/>
        <w:spacing w:after="120" w:line="276" w:lineRule="auto"/>
        <w:jc w:val="both"/>
        <w:rPr>
          <w:rFonts w:ascii="Verdana" w:eastAsia="Arial" w:hAnsi="Verdana" w:cs="Arial"/>
        </w:rPr>
      </w:pPr>
    </w:p>
    <w:p w14:paraId="17DC6524" w14:textId="77777777" w:rsidR="00737F4D" w:rsidRPr="00F8228A" w:rsidRDefault="00737F4D" w:rsidP="002C764A">
      <w:pPr>
        <w:spacing w:after="120" w:line="276" w:lineRule="auto"/>
        <w:ind w:firstLine="709"/>
        <w:jc w:val="both"/>
        <w:rPr>
          <w:rFonts w:ascii="Verdana" w:eastAsia="Arial" w:hAnsi="Verdana" w:cs="Arial"/>
        </w:rPr>
      </w:pPr>
    </w:p>
    <w:p w14:paraId="03AFE91C" w14:textId="77777777" w:rsidR="00DC2197" w:rsidRDefault="00DC2197" w:rsidP="00DC2197">
      <w:pPr>
        <w:spacing w:after="0" w:line="240" w:lineRule="auto"/>
        <w:textAlignment w:val="baseline"/>
        <w:rPr>
          <w:rFonts w:ascii="Verdana" w:eastAsia="Times New Roman" w:hAnsi="Verdana" w:cs="Segoe UI"/>
          <w:lang w:val="es-MX" w:eastAsia="es-CO"/>
        </w:rPr>
      </w:pPr>
    </w:p>
    <w:p w14:paraId="0E8E96A4" w14:textId="77777777" w:rsidR="00DC2197" w:rsidRDefault="00DC2197" w:rsidP="00DC2197">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DC2197" w:rsidRPr="004C0111" w14:paraId="259B8B2C" w14:textId="77777777" w:rsidTr="00CB2C66">
        <w:trPr>
          <w:trHeight w:val="622"/>
        </w:trPr>
        <w:tc>
          <w:tcPr>
            <w:tcW w:w="893" w:type="dxa"/>
            <w:vAlign w:val="center"/>
            <w:hideMark/>
          </w:tcPr>
          <w:p w14:paraId="0F35BF4A" w14:textId="77777777" w:rsidR="00DC2197" w:rsidRPr="004C0111" w:rsidRDefault="00DC2197" w:rsidP="00CB2C66">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DC2197" w:rsidRPr="004C0111" w14:paraId="38C2E543" w14:textId="77777777" w:rsidTr="079C6238">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1BF825B8" w14:textId="77777777" w:rsidR="00DC2197" w:rsidRPr="004C0111" w:rsidRDefault="00DC2197" w:rsidP="00CB2C66">
                  <w:pPr>
                    <w:spacing w:after="0"/>
                    <w:rPr>
                      <w:rFonts w:ascii="Verdana" w:eastAsia="Times New Roman" w:hAnsi="Verdana" w:cs="Arial"/>
                      <w:sz w:val="16"/>
                      <w:szCs w:val="16"/>
                      <w:lang w:val="es-ES" w:eastAsia="es-ES"/>
                    </w:rPr>
                  </w:pPr>
                  <w:r w:rsidRPr="079C6238">
                    <w:rPr>
                      <w:rFonts w:ascii="Verdana" w:eastAsia="Times New Roman" w:hAnsi="Verdana" w:cs="Arial"/>
                      <w:sz w:val="16"/>
                      <w:szCs w:val="16"/>
                      <w:lang w:val="es-ES" w:eastAsia="es-ES"/>
                    </w:rPr>
                    <w:t>Kelmis Yirama Brugés Alvarado</w:t>
                  </w:r>
                </w:p>
                <w:p w14:paraId="19CBC14A" w14:textId="77777777" w:rsidR="00DC2197" w:rsidRPr="004C0111" w:rsidRDefault="00DC2197" w:rsidP="00CB2C66">
                  <w:pPr>
                    <w:spacing w:after="0"/>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27E209B7" w14:textId="77777777" w:rsidR="00DC2197" w:rsidRPr="004C0111" w:rsidRDefault="00DC2197" w:rsidP="00CB2C66">
            <w:pPr>
              <w:spacing w:line="276" w:lineRule="auto"/>
              <w:contextualSpacing/>
              <w:rPr>
                <w:rFonts w:ascii="Verdana" w:eastAsia="Calibri" w:hAnsi="Verdana" w:cs="Arial"/>
                <w:sz w:val="16"/>
                <w:szCs w:val="16"/>
                <w:lang w:val="es-MX"/>
              </w:rPr>
            </w:pPr>
          </w:p>
        </w:tc>
      </w:tr>
      <w:tr w:rsidR="00DC2197" w:rsidRPr="004C0111" w14:paraId="1F5D5BE8" w14:textId="77777777" w:rsidTr="00CB2C66">
        <w:trPr>
          <w:trHeight w:val="330"/>
        </w:trPr>
        <w:tc>
          <w:tcPr>
            <w:tcW w:w="893" w:type="dxa"/>
            <w:vAlign w:val="center"/>
            <w:hideMark/>
          </w:tcPr>
          <w:p w14:paraId="5B36DAB8" w14:textId="77777777" w:rsidR="00DC2197" w:rsidRPr="004C0111" w:rsidRDefault="00DC2197" w:rsidP="00CB2C66">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6271A679" w14:textId="30BB7857" w:rsidR="00DC2197" w:rsidRPr="004C0111" w:rsidRDefault="00DC2197" w:rsidP="00CB2C66">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Alejandro </w:t>
            </w:r>
            <w:r w:rsidR="00C922BA">
              <w:rPr>
                <w:rFonts w:ascii="Verdana" w:eastAsia="Times New Roman" w:hAnsi="Verdana" w:cs="Arial"/>
                <w:sz w:val="16"/>
                <w:szCs w:val="16"/>
                <w:lang w:eastAsia="es-CO"/>
              </w:rPr>
              <w:t>R.</w:t>
            </w:r>
            <w:r>
              <w:rPr>
                <w:rFonts w:ascii="Verdana" w:eastAsia="Times New Roman" w:hAnsi="Verdana" w:cs="Arial"/>
                <w:sz w:val="16"/>
                <w:szCs w:val="16"/>
                <w:lang w:eastAsia="es-CO"/>
              </w:rPr>
              <w:t xml:space="preserve"> Sarmiento</w:t>
            </w:r>
            <w:r w:rsidR="00C922BA">
              <w:rPr>
                <w:rFonts w:ascii="Verdana" w:eastAsia="Times New Roman" w:hAnsi="Verdana" w:cs="Arial"/>
                <w:sz w:val="16"/>
                <w:szCs w:val="16"/>
                <w:lang w:eastAsia="es-CO"/>
              </w:rPr>
              <w:t xml:space="preserve"> Cantillo</w:t>
            </w:r>
          </w:p>
          <w:p w14:paraId="3D0C63CC" w14:textId="7F7BD64C" w:rsidR="00DC2197" w:rsidRPr="004C0111" w:rsidRDefault="00DC2197" w:rsidP="00CB2C66">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Gestor T1- Grado 15 </w:t>
            </w:r>
            <w:r w:rsidRPr="004C0111">
              <w:rPr>
                <w:rFonts w:ascii="Verdana" w:eastAsia="Times New Roman" w:hAnsi="Verdana" w:cs="Arial"/>
                <w:sz w:val="16"/>
                <w:szCs w:val="16"/>
                <w:lang w:eastAsia="es-CO"/>
              </w:rPr>
              <w:t>de la Subdirección de Gestión Contractual</w:t>
            </w:r>
          </w:p>
        </w:tc>
      </w:tr>
      <w:tr w:rsidR="00DC2197" w:rsidRPr="004C0111" w14:paraId="7F32C78C" w14:textId="77777777" w:rsidTr="00CB2C66">
        <w:trPr>
          <w:trHeight w:val="77"/>
        </w:trPr>
        <w:tc>
          <w:tcPr>
            <w:tcW w:w="893" w:type="dxa"/>
            <w:vAlign w:val="center"/>
          </w:tcPr>
          <w:p w14:paraId="5B9BA21B" w14:textId="77777777" w:rsidR="00DC2197" w:rsidRPr="004C0111" w:rsidRDefault="00DC2197" w:rsidP="00CB2C66">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7CA6C2F1" w14:textId="77777777" w:rsidR="00DC2197" w:rsidRPr="002F2853" w:rsidRDefault="00DC2197" w:rsidP="00CB2C66">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24918F4A" w14:textId="77777777" w:rsidR="00DC2197" w:rsidRPr="004C0111" w:rsidRDefault="00DC2197" w:rsidP="00CB2C66">
            <w:pPr>
              <w:spacing w:line="276" w:lineRule="auto"/>
              <w:contextualSpacing/>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A4A372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39F49EFA" w:rsidR="00127233" w:rsidRPr="0015699B" w:rsidRDefault="00127233" w:rsidP="00DD024F">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70834" w14:textId="77777777" w:rsidR="004C1836" w:rsidRDefault="004C1836" w:rsidP="004A1847">
      <w:pPr>
        <w:spacing w:after="0" w:line="240" w:lineRule="auto"/>
      </w:pPr>
      <w:r>
        <w:separator/>
      </w:r>
    </w:p>
  </w:endnote>
  <w:endnote w:type="continuationSeparator" w:id="0">
    <w:p w14:paraId="6E0E44DD" w14:textId="77777777" w:rsidR="004C1836" w:rsidRDefault="004C18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7EE9A" w14:textId="77777777" w:rsidR="004C1836" w:rsidRDefault="004C1836" w:rsidP="004A1847">
      <w:pPr>
        <w:spacing w:after="0" w:line="240" w:lineRule="auto"/>
      </w:pPr>
      <w:r>
        <w:separator/>
      </w:r>
    </w:p>
  </w:footnote>
  <w:footnote w:type="continuationSeparator" w:id="0">
    <w:p w14:paraId="23B26A7C" w14:textId="77777777" w:rsidR="004C1836" w:rsidRDefault="004C1836" w:rsidP="004A1847">
      <w:pPr>
        <w:spacing w:after="0" w:line="240" w:lineRule="auto"/>
      </w:pPr>
      <w:r>
        <w:continuationSeparator/>
      </w:r>
    </w:p>
  </w:footnote>
  <w:footnote w:id="1">
    <w:p w14:paraId="065D55A1"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5AAB99C" w14:textId="77777777" w:rsidR="00C9614C" w:rsidRPr="00A0267C" w:rsidRDefault="00C9614C" w:rsidP="00C9614C">
      <w:pPr>
        <w:pStyle w:val="Textonotapie"/>
        <w:ind w:firstLine="709"/>
        <w:jc w:val="both"/>
        <w:rPr>
          <w:rFonts w:ascii="Verdana" w:hAnsi="Verdana" w:cs="Arial"/>
          <w:sz w:val="16"/>
          <w:szCs w:val="16"/>
        </w:rPr>
      </w:pPr>
      <w:r w:rsidRPr="00A0267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19F7162" w14:textId="77777777" w:rsidR="00C9614C" w:rsidRPr="00A0267C" w:rsidRDefault="00C9614C" w:rsidP="00C9614C">
      <w:pPr>
        <w:pStyle w:val="Textonotapie"/>
        <w:ind w:firstLine="709"/>
        <w:jc w:val="both"/>
        <w:rPr>
          <w:rFonts w:ascii="Verdana" w:hAnsi="Verdana" w:cs="Arial"/>
          <w:sz w:val="16"/>
          <w:szCs w:val="16"/>
        </w:rPr>
      </w:pPr>
    </w:p>
  </w:footnote>
  <w:footnote w:id="2">
    <w:p w14:paraId="17F42900" w14:textId="21B0C1B5"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Gaceta del Congreso de la República No. 71 del 2005.</w:t>
      </w:r>
    </w:p>
  </w:footnote>
  <w:footnote w:id="3">
    <w:p w14:paraId="0CD5963B"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 C- 1153 de 2005, M.P. Marco Gerardo Monroy Cabra.</w:t>
      </w:r>
    </w:p>
    <w:p w14:paraId="78F115DE" w14:textId="77777777" w:rsidR="00C9614C" w:rsidRPr="00A0267C" w:rsidRDefault="00C9614C" w:rsidP="00C9614C">
      <w:pPr>
        <w:pStyle w:val="Textonotapie"/>
        <w:ind w:firstLine="709"/>
        <w:jc w:val="both"/>
        <w:rPr>
          <w:rFonts w:ascii="Verdana" w:hAnsi="Verdana" w:cs="Arial"/>
          <w:sz w:val="16"/>
          <w:szCs w:val="16"/>
        </w:rPr>
      </w:pPr>
    </w:p>
  </w:footnote>
  <w:footnote w:id="4">
    <w:p w14:paraId="53E0EDF1"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77151FF9" w14:textId="77777777" w:rsidR="00C9614C" w:rsidRPr="00A0267C" w:rsidRDefault="00C9614C" w:rsidP="00C9614C">
      <w:pPr>
        <w:pStyle w:val="Textonotapie"/>
        <w:ind w:firstLine="709"/>
        <w:jc w:val="both"/>
        <w:rPr>
          <w:rFonts w:ascii="Verdana" w:hAnsi="Verdana" w:cs="Arial"/>
          <w:sz w:val="16"/>
          <w:szCs w:val="16"/>
        </w:rPr>
      </w:pPr>
    </w:p>
  </w:footnote>
  <w:footnote w:id="5">
    <w:p w14:paraId="0078831B" w14:textId="77777777" w:rsidR="00C9614C" w:rsidRPr="00A0267C" w:rsidRDefault="00C9614C" w:rsidP="00C9614C">
      <w:pPr>
        <w:pStyle w:val="Textonotapie"/>
        <w:ind w:firstLine="708"/>
        <w:jc w:val="both"/>
        <w:rPr>
          <w:rFonts w:ascii="Verdana" w:hAnsi="Verdana" w:cs="Arial"/>
          <w:sz w:val="16"/>
          <w:szCs w:val="16"/>
          <w:lang w:val="es-CO"/>
        </w:rPr>
      </w:pPr>
      <w:r w:rsidRPr="00A0267C">
        <w:rPr>
          <w:rStyle w:val="Refdenotaalpie"/>
          <w:rFonts w:ascii="Verdana" w:hAnsi="Verdana" w:cs="Arial"/>
          <w:sz w:val="16"/>
          <w:szCs w:val="16"/>
        </w:rPr>
        <w:footnoteRef/>
      </w:r>
      <w:r w:rsidRPr="00A0267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2A4A48CD" w14:textId="77777777" w:rsidR="00C9614C" w:rsidRPr="00A0267C" w:rsidRDefault="00C9614C" w:rsidP="00C9614C">
      <w:pPr>
        <w:pStyle w:val="Textonotapie"/>
        <w:ind w:firstLine="708"/>
        <w:jc w:val="both"/>
        <w:rPr>
          <w:rFonts w:ascii="Verdana" w:hAnsi="Verdana" w:cs="Arial"/>
          <w:sz w:val="16"/>
          <w:szCs w:val="16"/>
          <w:lang w:val="es-CO"/>
        </w:rPr>
      </w:pPr>
    </w:p>
  </w:footnote>
  <w:footnote w:id="6">
    <w:p w14:paraId="7ED79778"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de fecha 24 de julio de 2013, radicado 2166, Consejero Ponente: Álvaro Namén Vargas.  </w:t>
      </w:r>
    </w:p>
    <w:p w14:paraId="2FDAC860" w14:textId="77777777" w:rsidR="00C9614C" w:rsidRPr="00A0267C" w:rsidRDefault="00C9614C" w:rsidP="00C9614C">
      <w:pPr>
        <w:pStyle w:val="Textonotapie"/>
        <w:ind w:firstLine="709"/>
        <w:jc w:val="both"/>
        <w:rPr>
          <w:rFonts w:ascii="Verdana" w:hAnsi="Verdana" w:cs="Arial"/>
          <w:sz w:val="16"/>
          <w:szCs w:val="16"/>
        </w:rPr>
      </w:pPr>
    </w:p>
  </w:footnote>
  <w:footnote w:id="7">
    <w:p w14:paraId="7745CAC9" w14:textId="77777777" w:rsidR="00C9614C" w:rsidRPr="00A0267C" w:rsidRDefault="00C9614C" w:rsidP="00C9614C">
      <w:pPr>
        <w:spacing w:after="0" w:line="240" w:lineRule="auto"/>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bCs/>
          <w:color w:val="000000"/>
          <w:sz w:val="16"/>
          <w:szCs w:val="16"/>
        </w:rPr>
        <w:t>“</w:t>
      </w:r>
      <w:r w:rsidRPr="00A0267C">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B817EE6" w14:textId="77777777" w:rsidR="00C9614C" w:rsidRPr="00A0267C" w:rsidRDefault="00C9614C" w:rsidP="00C9614C">
      <w:pPr>
        <w:spacing w:after="0" w:line="240" w:lineRule="auto"/>
        <w:ind w:firstLine="709"/>
        <w:jc w:val="both"/>
        <w:rPr>
          <w:rFonts w:ascii="Verdana" w:hAnsi="Verdana" w:cs="Arial"/>
          <w:sz w:val="16"/>
          <w:szCs w:val="16"/>
        </w:rPr>
      </w:pPr>
      <w:r w:rsidRPr="00A0267C">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0267C">
        <w:rPr>
          <w:rFonts w:ascii="Verdana" w:hAnsi="Verdana" w:cs="Arial"/>
          <w:bCs/>
          <w:color w:val="000000"/>
          <w:sz w:val="16"/>
          <w:szCs w:val="16"/>
        </w:rPr>
        <w:t>”</w:t>
      </w:r>
      <w:r w:rsidRPr="00A0267C">
        <w:rPr>
          <w:rFonts w:ascii="Verdana" w:hAnsi="Verdana" w:cs="Arial"/>
          <w:sz w:val="16"/>
          <w:szCs w:val="16"/>
        </w:rPr>
        <w:t>.</w:t>
      </w:r>
    </w:p>
    <w:p w14:paraId="41EE1D63" w14:textId="77777777" w:rsidR="00C9614C" w:rsidRPr="00A0267C" w:rsidRDefault="00C9614C" w:rsidP="00C9614C">
      <w:pPr>
        <w:spacing w:after="0" w:line="240" w:lineRule="auto"/>
        <w:ind w:firstLine="709"/>
        <w:jc w:val="both"/>
        <w:rPr>
          <w:rFonts w:ascii="Verdana" w:hAnsi="Verdana" w:cs="Arial"/>
          <w:sz w:val="16"/>
          <w:szCs w:val="16"/>
        </w:rPr>
      </w:pPr>
    </w:p>
  </w:footnote>
  <w:footnote w:id="8">
    <w:p w14:paraId="66EA4504" w14:textId="77777777" w:rsidR="00C9614C" w:rsidRPr="00A0267C" w:rsidRDefault="00C9614C" w:rsidP="00C9614C">
      <w:pPr>
        <w:pStyle w:val="NormalWeb"/>
        <w:spacing w:before="0" w:beforeAutospacing="0" w:after="0" w:afterAutospacing="0"/>
        <w:ind w:firstLine="709"/>
        <w:jc w:val="both"/>
        <w:rPr>
          <w:rFonts w:ascii="Verdana" w:hAnsi="Verdana" w:cs="Arial"/>
          <w:sz w:val="16"/>
          <w:szCs w:val="16"/>
          <w:lang w:val="es-MX"/>
        </w:rPr>
      </w:pPr>
      <w:r w:rsidRPr="00A0267C">
        <w:rPr>
          <w:rStyle w:val="Refdenotaalpie"/>
          <w:rFonts w:ascii="Verdana" w:hAnsi="Verdana" w:cs="Arial"/>
          <w:sz w:val="16"/>
          <w:szCs w:val="16"/>
        </w:rPr>
        <w:footnoteRef/>
      </w:r>
      <w:r w:rsidRPr="00A0267C">
        <w:rPr>
          <w:rFonts w:ascii="Verdana" w:hAnsi="Verdana" w:cs="Arial"/>
          <w:sz w:val="16"/>
          <w:szCs w:val="16"/>
        </w:rPr>
        <w:t xml:space="preserve"> </w:t>
      </w:r>
      <w:bookmarkStart w:id="3" w:name="38"/>
      <w:r w:rsidRPr="00A0267C">
        <w:rPr>
          <w:rFonts w:ascii="Verdana" w:hAnsi="Verdana" w:cs="Arial"/>
          <w:sz w:val="16"/>
          <w:szCs w:val="16"/>
        </w:rPr>
        <w:t>“</w:t>
      </w:r>
      <w:r w:rsidRPr="00A0267C">
        <w:rPr>
          <w:rFonts w:ascii="Verdana" w:hAnsi="Verdana" w:cs="Arial"/>
          <w:sz w:val="16"/>
          <w:szCs w:val="16"/>
          <w:lang w:val="es-MX"/>
        </w:rPr>
        <w:t>Artículo 38. Prohibiciones para los servidores públicos. A los empleados del Estado les está prohibido:</w:t>
      </w:r>
      <w:bookmarkEnd w:id="3"/>
      <w:r w:rsidRPr="00A0267C">
        <w:rPr>
          <w:rFonts w:ascii="Verdana" w:hAnsi="Verdana" w:cs="Arial"/>
          <w:sz w:val="16"/>
          <w:szCs w:val="16"/>
          <w:lang w:val="es-MX"/>
        </w:rPr>
        <w:t xml:space="preserve"> […] </w:t>
      </w:r>
      <w:r w:rsidRPr="00A0267C">
        <w:rPr>
          <w:rStyle w:val="baj"/>
          <w:rFonts w:ascii="Verdana" w:hAnsi="Verdana" w:cs="Arial"/>
          <w:sz w:val="16"/>
          <w:szCs w:val="16"/>
          <w:lang w:val="es-MX"/>
        </w:rPr>
        <w:t>Parágrafo.</w:t>
      </w:r>
      <w:r w:rsidRPr="00A0267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0267C">
        <w:rPr>
          <w:rFonts w:ascii="Verdana" w:eastAsia="Calibri" w:hAnsi="Verdana" w:cs="Arial"/>
          <w:bCs/>
          <w:color w:val="000000"/>
          <w:sz w:val="16"/>
          <w:szCs w:val="16"/>
        </w:rPr>
        <w:t>”</w:t>
      </w:r>
      <w:r w:rsidRPr="00A0267C">
        <w:rPr>
          <w:rFonts w:ascii="Verdana" w:hAnsi="Verdana" w:cs="Arial"/>
          <w:sz w:val="16"/>
          <w:szCs w:val="16"/>
          <w:lang w:val="es-MX"/>
        </w:rPr>
        <w:t>.</w:t>
      </w:r>
    </w:p>
    <w:p w14:paraId="4466936D" w14:textId="77777777" w:rsidR="00C9614C" w:rsidRPr="00A0267C" w:rsidRDefault="00C9614C" w:rsidP="00C9614C">
      <w:pPr>
        <w:pStyle w:val="NormalWeb"/>
        <w:spacing w:before="0" w:beforeAutospacing="0" w:after="0" w:afterAutospacing="0"/>
        <w:ind w:firstLine="709"/>
        <w:jc w:val="both"/>
        <w:rPr>
          <w:rFonts w:ascii="Verdana" w:hAnsi="Verdana" w:cs="Arial"/>
          <w:sz w:val="16"/>
          <w:szCs w:val="16"/>
          <w:lang w:val="es-MX"/>
        </w:rPr>
      </w:pPr>
    </w:p>
  </w:footnote>
  <w:footnote w:id="9">
    <w:p w14:paraId="2E32A8CC" w14:textId="77777777" w:rsidR="00C9614C" w:rsidRPr="00A0267C" w:rsidRDefault="00C9614C" w:rsidP="00C9614C">
      <w:pPr>
        <w:spacing w:after="0" w:line="240" w:lineRule="auto"/>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17 de febrero de 2015. C.P. William Zambrano Cetina. Radicación No. 11001-03-06-000-2015-00164-00(2269).</w:t>
      </w:r>
    </w:p>
    <w:p w14:paraId="688258AC" w14:textId="77777777" w:rsidR="00C9614C" w:rsidRPr="00A0267C" w:rsidRDefault="00C9614C" w:rsidP="00C9614C">
      <w:pPr>
        <w:spacing w:after="0" w:line="240" w:lineRule="auto"/>
        <w:ind w:firstLine="709"/>
        <w:jc w:val="both"/>
        <w:rPr>
          <w:rFonts w:ascii="Verdana" w:hAnsi="Verdana" w:cs="Arial"/>
          <w:sz w:val="16"/>
          <w:szCs w:val="16"/>
          <w:lang w:val="es-ES"/>
        </w:rPr>
      </w:pPr>
    </w:p>
  </w:footnote>
  <w:footnote w:id="10">
    <w:p w14:paraId="6B90B205"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Sección Tercera. Sentencia de 3 de diciembre de 2007. Radicados: 24.715, 25.206, 25.409, 24.524, 27.834, 25.410, 26.105, 28.244, 31.447 -acumulados- “.</w:t>
      </w:r>
    </w:p>
    <w:p w14:paraId="290A6D78" w14:textId="77777777" w:rsidR="00C9614C" w:rsidRPr="00A0267C" w:rsidRDefault="00C9614C" w:rsidP="00C9614C">
      <w:pPr>
        <w:pStyle w:val="Textonotapie"/>
        <w:ind w:firstLine="709"/>
        <w:jc w:val="both"/>
        <w:rPr>
          <w:rFonts w:ascii="Verdana" w:hAnsi="Verdana" w:cs="Arial"/>
          <w:sz w:val="16"/>
          <w:szCs w:val="16"/>
        </w:rPr>
      </w:pPr>
    </w:p>
  </w:footnote>
  <w:footnote w:id="11">
    <w:p w14:paraId="10164D9E"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“Al respecto ver el concepto 1712 de 2 de febrero de 2006. Consejo de Estado Sala de Consulta y Servicio Civil”.</w:t>
      </w:r>
    </w:p>
    <w:p w14:paraId="42AC62A4" w14:textId="77777777" w:rsidR="00C9614C" w:rsidRPr="00A0267C" w:rsidRDefault="00C9614C" w:rsidP="00C9614C">
      <w:pPr>
        <w:pStyle w:val="Textonotapie"/>
        <w:ind w:firstLine="709"/>
        <w:jc w:val="both"/>
        <w:rPr>
          <w:rFonts w:ascii="Verdana" w:hAnsi="Verdana" w:cs="Arial"/>
          <w:sz w:val="16"/>
          <w:szCs w:val="16"/>
        </w:rPr>
      </w:pPr>
    </w:p>
  </w:footnote>
  <w:footnote w:id="12">
    <w:p w14:paraId="6A5108EA"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41CFE2F5" w14:textId="77777777" w:rsidR="00C9614C" w:rsidRPr="00A0267C" w:rsidRDefault="00C9614C" w:rsidP="00C9614C">
      <w:pPr>
        <w:pStyle w:val="Textonotapie"/>
        <w:ind w:firstLine="709"/>
        <w:jc w:val="both"/>
        <w:rPr>
          <w:rFonts w:ascii="Verdana" w:hAnsi="Verdana" w:cs="Arial"/>
          <w:sz w:val="16"/>
          <w:szCs w:val="16"/>
        </w:rPr>
      </w:pPr>
    </w:p>
  </w:footnote>
  <w:footnote w:id="13">
    <w:p w14:paraId="5F42A4B2" w14:textId="77777777" w:rsidR="00C9614C" w:rsidRPr="00A0267C" w:rsidRDefault="00C9614C" w:rsidP="00C9614C">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1AB53CBF" w14:textId="77777777" w:rsidR="00C9614C" w:rsidRPr="00A0267C" w:rsidRDefault="00C9614C" w:rsidP="00C9614C">
      <w:pPr>
        <w:pStyle w:val="Textonotapie"/>
        <w:ind w:firstLine="708"/>
        <w:jc w:val="both"/>
        <w:rPr>
          <w:rFonts w:ascii="Verdana" w:hAnsi="Verdana" w:cs="Arial"/>
          <w:sz w:val="16"/>
          <w:szCs w:val="16"/>
        </w:rPr>
      </w:pPr>
      <w:r w:rsidRPr="00A0267C">
        <w:rPr>
          <w:rFonts w:ascii="Verdana" w:hAnsi="Verdana" w:cs="Arial"/>
          <w:sz w:val="16"/>
          <w:szCs w:val="16"/>
        </w:rPr>
        <w:t>[…]</w:t>
      </w:r>
    </w:p>
    <w:p w14:paraId="35E83D6F" w14:textId="77777777" w:rsidR="00C9614C" w:rsidRPr="00A0267C" w:rsidRDefault="00C9614C" w:rsidP="00C9614C">
      <w:pPr>
        <w:pStyle w:val="Textonotapie"/>
        <w:ind w:firstLine="708"/>
        <w:jc w:val="both"/>
        <w:rPr>
          <w:rFonts w:ascii="Verdana" w:hAnsi="Verdana" w:cs="Arial"/>
          <w:sz w:val="16"/>
          <w:szCs w:val="16"/>
        </w:rPr>
      </w:pPr>
      <w:r w:rsidRPr="00A0267C">
        <w:rPr>
          <w:rFonts w:ascii="Verdana" w:hAnsi="Verdana" w:cs="Arial"/>
          <w:sz w:val="16"/>
          <w:szCs w:val="16"/>
        </w:rPr>
        <w:t>5. Contratación mínima cuantía. [Numeral modificado por el artículo 30 de la Ley 2069 de 2020]”.</w:t>
      </w:r>
    </w:p>
  </w:footnote>
  <w:footnote w:id="14">
    <w:p w14:paraId="2989A132" w14:textId="77777777" w:rsidR="00C9614C" w:rsidRPr="00A0267C" w:rsidRDefault="00C9614C" w:rsidP="00C9614C">
      <w:pPr>
        <w:pStyle w:val="Textonotapie"/>
        <w:ind w:firstLine="709"/>
        <w:jc w:val="both"/>
        <w:rPr>
          <w:rFonts w:ascii="Verdana" w:hAnsi="Verdana" w:cs="Arial"/>
          <w:sz w:val="16"/>
          <w:szCs w:val="16"/>
          <w:lang w:val="es-ES"/>
        </w:rPr>
      </w:pPr>
      <w:r w:rsidRPr="00A0267C">
        <w:rPr>
          <w:rStyle w:val="Refdenotaalpie"/>
          <w:rFonts w:ascii="Verdana" w:hAnsi="Verdana" w:cs="Arial"/>
          <w:sz w:val="16"/>
          <w:szCs w:val="16"/>
        </w:rPr>
        <w:footnoteRef/>
      </w:r>
      <w:r w:rsidRPr="00A0267C">
        <w:rPr>
          <w:rStyle w:val="Refdenotaalpie"/>
          <w:rFonts w:ascii="Verdana" w:hAnsi="Verdana" w:cs="Arial"/>
          <w:sz w:val="16"/>
          <w:szCs w:val="16"/>
        </w:rPr>
        <w:t xml:space="preserve"> </w:t>
      </w:r>
      <w:r w:rsidRPr="00A0267C">
        <w:rPr>
          <w:rFonts w:ascii="Verdana" w:hAnsi="Verdana" w:cs="Arial"/>
          <w:sz w:val="16"/>
          <w:szCs w:val="16"/>
          <w:lang w:val="es-ES"/>
        </w:rPr>
        <w:t xml:space="preserve">“[…] A este respecto, cabe recordar que el artículo 860 del Código de Comercio regula la licitación en el derecho privado”. </w:t>
      </w:r>
    </w:p>
    <w:p w14:paraId="1FF9B4C9" w14:textId="77777777" w:rsidR="00C9614C" w:rsidRPr="00A0267C" w:rsidRDefault="00C9614C" w:rsidP="00C9614C">
      <w:pPr>
        <w:pStyle w:val="Textonotapie"/>
        <w:ind w:firstLine="709"/>
        <w:jc w:val="both"/>
        <w:rPr>
          <w:rFonts w:ascii="Verdana" w:hAnsi="Verdana" w:cs="Arial"/>
          <w:sz w:val="16"/>
          <w:szCs w:val="16"/>
          <w:lang w:val="es-ES"/>
        </w:rPr>
      </w:pPr>
    </w:p>
  </w:footnote>
  <w:footnote w:id="15">
    <w:p w14:paraId="499950A5" w14:textId="77777777" w:rsidR="00C9614C" w:rsidRPr="00A0267C" w:rsidRDefault="00C9614C" w:rsidP="00C9614C">
      <w:pPr>
        <w:shd w:val="clear" w:color="auto" w:fill="FFFFFF"/>
        <w:spacing w:after="0" w:line="240" w:lineRule="auto"/>
        <w:ind w:firstLine="709"/>
        <w:jc w:val="both"/>
        <w:rPr>
          <w:rFonts w:ascii="Verdana" w:hAnsi="Verdana" w:cs="Arial"/>
          <w:sz w:val="16"/>
          <w:szCs w:val="16"/>
          <w:lang w:val="es-ES"/>
        </w:rPr>
      </w:pPr>
      <w:r w:rsidRPr="00A0267C">
        <w:rPr>
          <w:rStyle w:val="Refdenotaalpie"/>
          <w:rFonts w:ascii="Verdana" w:hAnsi="Verdana" w:cs="Arial"/>
          <w:sz w:val="16"/>
          <w:szCs w:val="16"/>
        </w:rPr>
        <w:footnoteRef/>
      </w:r>
      <w:r w:rsidRPr="00A0267C">
        <w:rPr>
          <w:rStyle w:val="Refdenotaalpie"/>
          <w:rFonts w:ascii="Verdana" w:hAnsi="Verdana" w:cs="Arial"/>
          <w:sz w:val="16"/>
          <w:szCs w:val="16"/>
        </w:rPr>
        <w:t xml:space="preserve"> </w:t>
      </w:r>
      <w:r w:rsidRPr="00A0267C">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19B7AAAD" w14:textId="77777777" w:rsidR="00C9614C" w:rsidRPr="00A0267C" w:rsidRDefault="00C9614C" w:rsidP="00C9614C">
      <w:pPr>
        <w:shd w:val="clear" w:color="auto" w:fill="FFFFFF"/>
        <w:spacing w:after="0" w:line="240" w:lineRule="auto"/>
        <w:ind w:firstLine="709"/>
        <w:jc w:val="both"/>
        <w:rPr>
          <w:rFonts w:ascii="Verdana" w:hAnsi="Verdana" w:cs="Arial"/>
          <w:sz w:val="16"/>
          <w:szCs w:val="16"/>
          <w:lang w:val="es-ES"/>
        </w:rPr>
      </w:pPr>
    </w:p>
  </w:footnote>
  <w:footnote w:id="16">
    <w:p w14:paraId="361B756E"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08 de mayo de 2018. Exp. 2.382. C.P. Álvaro Namén Vargas.</w:t>
      </w:r>
    </w:p>
    <w:p w14:paraId="5674DAD8" w14:textId="77777777" w:rsidR="00C9614C" w:rsidRPr="00A0267C" w:rsidRDefault="00C9614C" w:rsidP="00C9614C">
      <w:pPr>
        <w:pStyle w:val="Textonotapie"/>
        <w:ind w:firstLine="709"/>
        <w:jc w:val="both"/>
        <w:rPr>
          <w:rFonts w:ascii="Verdana" w:hAnsi="Verdana" w:cs="Arial"/>
          <w:sz w:val="16"/>
          <w:szCs w:val="16"/>
        </w:rPr>
      </w:pPr>
    </w:p>
  </w:footnote>
  <w:footnote w:id="17">
    <w:p w14:paraId="5BFC8129" w14:textId="77777777" w:rsidR="00C9614C" w:rsidRPr="00A0267C" w:rsidRDefault="00C9614C" w:rsidP="00C9614C">
      <w:pPr>
        <w:pStyle w:val="Textonotapie"/>
        <w:ind w:firstLine="709"/>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p w14:paraId="00F3E2EE" w14:textId="77777777" w:rsidR="00C9614C" w:rsidRPr="00A0267C" w:rsidRDefault="00C9614C" w:rsidP="00C9614C">
      <w:pPr>
        <w:pStyle w:val="Textonotapie"/>
        <w:ind w:firstLine="709"/>
        <w:jc w:val="both"/>
        <w:rPr>
          <w:rFonts w:ascii="Verdana" w:hAnsi="Verdana" w:cs="Arial"/>
          <w:sz w:val="16"/>
          <w:szCs w:val="16"/>
        </w:rPr>
      </w:pPr>
    </w:p>
  </w:footnote>
  <w:footnote w:id="18">
    <w:p w14:paraId="2755808E" w14:textId="77777777" w:rsidR="00C9614C" w:rsidRPr="00A0267C" w:rsidRDefault="00C9614C" w:rsidP="00C9614C">
      <w:pPr>
        <w:spacing w:after="0" w:line="240" w:lineRule="auto"/>
        <w:ind w:firstLine="709"/>
        <w:jc w:val="both"/>
        <w:rPr>
          <w:rFonts w:ascii="Verdana" w:hAnsi="Verdana" w:cs="Arial"/>
          <w:color w:val="000000"/>
          <w:sz w:val="16"/>
          <w:szCs w:val="16"/>
        </w:rPr>
      </w:pPr>
      <w:r w:rsidRPr="00A0267C">
        <w:rPr>
          <w:rStyle w:val="Refdenotaalpie"/>
          <w:rFonts w:ascii="Verdana" w:hAnsi="Verdana" w:cs="Arial"/>
          <w:color w:val="000000"/>
          <w:sz w:val="16"/>
          <w:szCs w:val="16"/>
        </w:rPr>
        <w:footnoteRef/>
      </w:r>
      <w:r w:rsidRPr="00A0267C">
        <w:rPr>
          <w:rFonts w:ascii="Verdana" w:hAnsi="Verdana" w:cs="Arial"/>
          <w:color w:val="000000"/>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63194FE" w14:textId="77777777" w:rsidR="00C9614C" w:rsidRPr="00A0267C" w:rsidRDefault="00C9614C" w:rsidP="00C9614C">
      <w:pPr>
        <w:spacing w:after="0" w:line="240" w:lineRule="auto"/>
        <w:ind w:firstLine="709"/>
        <w:jc w:val="both"/>
        <w:rPr>
          <w:rFonts w:ascii="Verdana" w:hAnsi="Verdana" w:cs="Arial"/>
          <w:color w:val="000000"/>
          <w:sz w:val="16"/>
          <w:szCs w:val="16"/>
        </w:rPr>
      </w:pPr>
    </w:p>
  </w:footnote>
  <w:footnote w:id="19">
    <w:p w14:paraId="072D853E" w14:textId="77777777" w:rsidR="00C9614C" w:rsidRPr="00A0267C" w:rsidRDefault="00C9614C" w:rsidP="00C9614C">
      <w:pPr>
        <w:pStyle w:val="Textonotapie"/>
        <w:ind w:firstLine="709"/>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lang w:val="es-CO"/>
        </w:rPr>
        <w:t xml:space="preserve"> Consejo de Estado, Sección Tercera. Auto del 4 de octubre de 2024. Exp. 70.313. C.P: Fredy Ibarra Martínez.</w:t>
      </w:r>
    </w:p>
    <w:p w14:paraId="785D56C0" w14:textId="77777777" w:rsidR="00C9614C" w:rsidRPr="00A0267C" w:rsidRDefault="00C9614C" w:rsidP="00C9614C">
      <w:pPr>
        <w:pStyle w:val="Textonotapie"/>
        <w:ind w:firstLine="709"/>
        <w:jc w:val="both"/>
        <w:rPr>
          <w:rFonts w:ascii="Verdana" w:hAnsi="Verdana"/>
          <w:sz w:val="16"/>
          <w:szCs w:val="16"/>
          <w:lang w:val="es-CO"/>
        </w:rPr>
      </w:pPr>
    </w:p>
  </w:footnote>
  <w:footnote w:id="20">
    <w:p w14:paraId="2FD6074A" w14:textId="77777777" w:rsidR="00C9614C" w:rsidRPr="00A0267C" w:rsidRDefault="00C9614C" w:rsidP="00C9614C">
      <w:pPr>
        <w:spacing w:after="0" w:line="240" w:lineRule="auto"/>
        <w:ind w:firstLine="709"/>
        <w:jc w:val="both"/>
        <w:rPr>
          <w:rFonts w:ascii="Verdana" w:eastAsia="Times New Roman" w:hAnsi="Verdana" w:cs="Times New Roman"/>
          <w:sz w:val="16"/>
          <w:szCs w:val="16"/>
          <w:lang w:eastAsia="es-ES"/>
        </w:rPr>
      </w:pPr>
      <w:r w:rsidRPr="00A0267C">
        <w:rPr>
          <w:rStyle w:val="Refdenotaalpie"/>
          <w:rFonts w:ascii="Verdana" w:hAnsi="Verdana"/>
          <w:sz w:val="16"/>
          <w:szCs w:val="16"/>
        </w:rPr>
        <w:footnoteRef/>
      </w:r>
      <w:r w:rsidRPr="00A0267C">
        <w:rPr>
          <w:rFonts w:ascii="Verdana" w:hAnsi="Verdana"/>
          <w:sz w:val="16"/>
          <w:szCs w:val="16"/>
        </w:rPr>
        <w:t xml:space="preserve"> </w:t>
      </w:r>
      <w:r w:rsidRPr="00A0267C">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A0267C">
        <w:rPr>
          <w:rFonts w:ascii="Verdana" w:hAnsi="Verdana"/>
          <w:sz w:val="16"/>
          <w:szCs w:val="16"/>
        </w:rPr>
        <w:t xml:space="preserve">La parte de la providencia señala: </w:t>
      </w:r>
      <w:r w:rsidRPr="00A0267C">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0E26398" w14:textId="77777777" w:rsidR="00C9614C" w:rsidRPr="00A0267C" w:rsidRDefault="00C9614C" w:rsidP="00C9614C">
      <w:pPr>
        <w:spacing w:after="0" w:line="240" w:lineRule="auto"/>
        <w:ind w:firstLine="709"/>
        <w:jc w:val="both"/>
        <w:rPr>
          <w:rFonts w:ascii="Verdana" w:eastAsia="Times New Roman" w:hAnsi="Verdana" w:cs="Times New Roman"/>
          <w:sz w:val="16"/>
          <w:szCs w:val="16"/>
          <w:lang w:eastAsia="es-ES"/>
        </w:rPr>
      </w:pPr>
    </w:p>
  </w:footnote>
  <w:footnote w:id="21">
    <w:p w14:paraId="4813A386" w14:textId="77777777" w:rsidR="00C9614C" w:rsidRPr="00A0267C" w:rsidRDefault="00C9614C" w:rsidP="00C9614C">
      <w:pPr>
        <w:pStyle w:val="Textonotapie"/>
        <w:ind w:firstLine="709"/>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2">
    <w:p w14:paraId="34751556" w14:textId="77777777" w:rsidR="00C9614C" w:rsidRPr="00A0267C" w:rsidRDefault="00C9614C" w:rsidP="00C9614C">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3">
    <w:p w14:paraId="0AC04CED" w14:textId="77777777" w:rsidR="00C9614C" w:rsidRPr="00A0267C" w:rsidRDefault="00C9614C" w:rsidP="00C9614C">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 C-1153 de 2005 M.P. Marco Gerardo Monroy Cabra. </w:t>
      </w:r>
    </w:p>
  </w:footnote>
  <w:footnote w:id="24">
    <w:p w14:paraId="0E53DAEB" w14:textId="77777777" w:rsidR="00C9614C" w:rsidRPr="00A0267C" w:rsidRDefault="00C9614C" w:rsidP="00C9614C">
      <w:pPr>
        <w:pStyle w:val="Textonotapie"/>
        <w:ind w:firstLine="708"/>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A0267C">
        <w:rPr>
          <w:rFonts w:ascii="Verdana" w:hAnsi="Verdana"/>
          <w:i/>
          <w:iCs/>
          <w:sz w:val="16"/>
          <w:szCs w:val="16"/>
        </w:rPr>
        <w:t>las palabras de la ley se entenderán en su sentido natural y obvio, según el uso general de las mismas palabras</w:t>
      </w:r>
      <w:r w:rsidRPr="00A0267C">
        <w:rPr>
          <w:rFonts w:ascii="Verdana" w:hAnsi="Verdana"/>
          <w:sz w:val="16"/>
          <w:szCs w:val="16"/>
        </w:rPr>
        <w:t>’, es decir, el uso de la gente educada. El Diccionario de la Lengua publicado por la Real Academia Española goza a este respecto de gran autoridad. ‘</w:t>
      </w:r>
      <w:r w:rsidRPr="00A0267C">
        <w:rPr>
          <w:rFonts w:ascii="Verdana" w:hAnsi="Verdana"/>
          <w:i/>
          <w:iCs/>
          <w:sz w:val="16"/>
          <w:szCs w:val="16"/>
        </w:rPr>
        <w:t>Pero cuando el legislador</w:t>
      </w:r>
      <w:r w:rsidRPr="00A0267C">
        <w:rPr>
          <w:rFonts w:ascii="Verdana" w:hAnsi="Verdana"/>
          <w:sz w:val="16"/>
          <w:szCs w:val="16"/>
        </w:rPr>
        <w:t xml:space="preserve">, agrega el artículo 20, </w:t>
      </w:r>
      <w:r w:rsidRPr="00A0267C">
        <w:rPr>
          <w:rFonts w:ascii="Verdana" w:hAnsi="Verdana"/>
          <w:i/>
          <w:iCs/>
          <w:sz w:val="16"/>
          <w:szCs w:val="16"/>
        </w:rPr>
        <w:t>las haya definido expresamente para ciertas materias se les dará en éstas su significado legal</w:t>
      </w:r>
      <w:r w:rsidRPr="00A0267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5">
    <w:p w14:paraId="42023367" w14:textId="77777777" w:rsidR="00C9614C" w:rsidRPr="00A0267C" w:rsidRDefault="00C9614C" w:rsidP="00C9614C">
      <w:pPr>
        <w:spacing w:after="0" w:line="240" w:lineRule="auto"/>
        <w:ind w:firstLine="708"/>
        <w:jc w:val="both"/>
        <w:rPr>
          <w:rFonts w:ascii="Verdana" w:eastAsia="Calibri" w:hAnsi="Verdana" w:cs="Arial"/>
          <w:sz w:val="16"/>
          <w:szCs w:val="16"/>
          <w:lang w:val="es-ES_tradnl"/>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_tradnl"/>
        </w:rPr>
        <w:t>La jurisprudencia delimita su sentido y alcance de la siguiente manera –</w:t>
      </w:r>
      <w:r w:rsidRPr="00A0267C">
        <w:rPr>
          <w:rFonts w:ascii="Verdana" w:hAnsi="Verdana" w:cs="Arial"/>
          <w:sz w:val="16"/>
          <w:szCs w:val="16"/>
          <w:lang w:val="es-ES"/>
        </w:rPr>
        <w:t>CORTE SUPREMA DE JUSTICIA. Sala de Casación Civil. Sentencia 20 de noviembre de 1989. MP. Alberto Ospina Botero. Publicada en la Gaceta Judicial. Tomo CXCVI. N° 2435. p. 93</w:t>
      </w:r>
      <w:r w:rsidRPr="00A0267C">
        <w:rPr>
          <w:rFonts w:ascii="Verdana" w:hAnsi="Verdana" w:cs="Arial"/>
          <w:sz w:val="16"/>
          <w:szCs w:val="16"/>
          <w:lang w:val="es-ES_tradnl"/>
        </w:rPr>
        <w:t>–:</w:t>
      </w:r>
    </w:p>
    <w:p w14:paraId="697ABB93" w14:textId="77777777" w:rsidR="00C9614C" w:rsidRPr="00A0267C" w:rsidRDefault="00C9614C" w:rsidP="00C9614C">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“6. […] la fuerza mayor o caso fortuito se configura por la concurrencia de dos factores:</w:t>
      </w:r>
    </w:p>
    <w:p w14:paraId="247AE958" w14:textId="77777777" w:rsidR="00C9614C" w:rsidRPr="00A0267C" w:rsidRDefault="00C9614C" w:rsidP="00C9614C">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1A56A0E0" w14:textId="77777777" w:rsidR="00C9614C" w:rsidRPr="00A0267C" w:rsidRDefault="00C9614C" w:rsidP="00C9614C">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b) Que el hecho sea irresistible, o sea, que el agente no pueda evitar su acaecimiento ni superar sus consecuencias.</w:t>
      </w:r>
    </w:p>
    <w:p w14:paraId="086664EE" w14:textId="77777777" w:rsidR="00C9614C" w:rsidRPr="00A0267C" w:rsidRDefault="00C9614C" w:rsidP="00C9614C">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5B3AB0BD" w14:textId="77777777" w:rsidR="00C9614C" w:rsidRPr="00A0267C" w:rsidRDefault="00C9614C" w:rsidP="00C9614C">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759B17ED" w14:textId="77777777" w:rsidR="00C9614C" w:rsidRPr="00A0267C" w:rsidRDefault="00C9614C" w:rsidP="00C9614C">
      <w:pPr>
        <w:spacing w:after="0" w:line="240" w:lineRule="auto"/>
        <w:ind w:right="49"/>
        <w:jc w:val="both"/>
        <w:rPr>
          <w:rFonts w:ascii="Verdana" w:eastAsia="Calibri" w:hAnsi="Verdana" w:cs="Arial"/>
          <w:sz w:val="16"/>
          <w:szCs w:val="16"/>
          <w:lang w:val="es-ES_tradnl"/>
        </w:rPr>
      </w:pPr>
      <w:r w:rsidRPr="00A0267C">
        <w:rPr>
          <w:rFonts w:ascii="Verdana" w:eastAsia="Calibri" w:hAnsi="Verdana" w:cs="Arial"/>
          <w:sz w:val="16"/>
          <w:szCs w:val="16"/>
          <w:lang w:val="es-ES_tradnl"/>
        </w:rPr>
        <w:t>[…]</w:t>
      </w:r>
    </w:p>
    <w:p w14:paraId="59F1D40F" w14:textId="77777777" w:rsidR="00C9614C" w:rsidRPr="00A0267C" w:rsidRDefault="00C9614C" w:rsidP="00C9614C">
      <w:pPr>
        <w:pStyle w:val="Textonotapie"/>
        <w:ind w:right="49" w:firstLine="708"/>
        <w:jc w:val="both"/>
        <w:rPr>
          <w:rFonts w:ascii="Verdana" w:hAnsi="Verdana" w:cs="Arial"/>
          <w:sz w:val="16"/>
          <w:szCs w:val="16"/>
          <w:lang w:val="es-CO"/>
        </w:rPr>
      </w:pPr>
      <w:r w:rsidRPr="00A0267C">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6">
    <w:p w14:paraId="2D61321F" w14:textId="77777777" w:rsidR="00C9614C" w:rsidRPr="00A0267C" w:rsidRDefault="00C9614C" w:rsidP="00C9614C">
      <w:pPr>
        <w:pStyle w:val="Textonotapie"/>
        <w:ind w:firstLine="708"/>
        <w:jc w:val="both"/>
        <w:rPr>
          <w:rFonts w:ascii="Verdana" w:hAnsi="Verdana" w:cs="Arial"/>
          <w:sz w:val="16"/>
          <w:szCs w:val="16"/>
          <w:lang w:val="es-ES"/>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04CC8D9B" w14:textId="77777777" w:rsidR="00C9614C" w:rsidRPr="00A0267C" w:rsidRDefault="00C9614C" w:rsidP="00C9614C">
      <w:pPr>
        <w:pStyle w:val="Textonotapie"/>
        <w:ind w:firstLine="708"/>
        <w:jc w:val="both"/>
        <w:rPr>
          <w:rFonts w:ascii="Verdana" w:hAnsi="Verdana" w:cs="Arial"/>
          <w:sz w:val="16"/>
          <w:szCs w:val="16"/>
          <w:lang w:val="es-ES"/>
        </w:rPr>
      </w:pPr>
      <w:r w:rsidRPr="00A0267C">
        <w:rPr>
          <w:rFonts w:ascii="Verdana" w:hAnsi="Verdana" w:cs="Arial"/>
          <w:sz w:val="16"/>
          <w:szCs w:val="16"/>
          <w:lang w:val="es-ES"/>
        </w:rPr>
        <w:t>1. Nacional. Existirá una situación de desastre nacional:</w:t>
      </w:r>
    </w:p>
    <w:p w14:paraId="36612B95" w14:textId="77777777" w:rsidR="00C9614C" w:rsidRPr="00A0267C" w:rsidRDefault="00C9614C" w:rsidP="00C9614C">
      <w:pPr>
        <w:pStyle w:val="Textonotapie"/>
        <w:ind w:firstLine="708"/>
        <w:jc w:val="both"/>
        <w:rPr>
          <w:rFonts w:ascii="Verdana" w:hAnsi="Verdana" w:cs="Arial"/>
          <w:sz w:val="16"/>
          <w:szCs w:val="16"/>
          <w:lang w:val="es-ES"/>
        </w:rPr>
      </w:pPr>
      <w:r w:rsidRPr="00A0267C">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48D1B66A" w14:textId="77777777" w:rsidR="00C9614C" w:rsidRPr="00A0267C" w:rsidRDefault="00C9614C" w:rsidP="00C9614C">
      <w:pPr>
        <w:pStyle w:val="Textonotapie"/>
        <w:ind w:firstLine="708"/>
        <w:jc w:val="both"/>
        <w:rPr>
          <w:rFonts w:ascii="Verdana" w:hAnsi="Verdana" w:cs="Arial"/>
          <w:sz w:val="16"/>
          <w:szCs w:val="16"/>
          <w:lang w:val="es-ES"/>
        </w:rPr>
      </w:pPr>
      <w:r w:rsidRPr="00A0267C">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304FDEB2" w14:textId="77777777" w:rsidR="00C9614C" w:rsidRPr="00A0267C" w:rsidRDefault="00C9614C" w:rsidP="00C9614C">
      <w:pPr>
        <w:pStyle w:val="Textonotapie"/>
        <w:ind w:firstLine="708"/>
        <w:jc w:val="both"/>
        <w:rPr>
          <w:rFonts w:ascii="Verdana" w:hAnsi="Verdana" w:cs="Arial"/>
          <w:sz w:val="16"/>
          <w:szCs w:val="16"/>
          <w:lang w:val="es-ES"/>
        </w:rPr>
      </w:pPr>
      <w:r w:rsidRPr="00A0267C">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031F1282" w14:textId="77777777" w:rsidR="00C9614C" w:rsidRPr="00A0267C" w:rsidRDefault="00C9614C" w:rsidP="00C9614C">
      <w:pPr>
        <w:pStyle w:val="Textonotapie"/>
        <w:ind w:firstLine="708"/>
        <w:jc w:val="both"/>
        <w:rPr>
          <w:rFonts w:ascii="Verdana" w:hAnsi="Verdana" w:cs="Arial"/>
          <w:sz w:val="16"/>
          <w:szCs w:val="16"/>
          <w:lang w:val="es-ES"/>
        </w:rPr>
      </w:pPr>
      <w:r w:rsidRPr="00A0267C">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5A15AF69" w14:textId="77777777" w:rsidR="00C9614C" w:rsidRPr="00A0267C" w:rsidRDefault="00C9614C" w:rsidP="00C9614C">
      <w:pPr>
        <w:pStyle w:val="Textonotapie"/>
        <w:ind w:firstLine="708"/>
        <w:jc w:val="both"/>
        <w:rPr>
          <w:rFonts w:ascii="Verdana" w:hAnsi="Verdana" w:cs="Arial"/>
          <w:sz w:val="16"/>
          <w:szCs w:val="16"/>
          <w:lang w:val="es-ES"/>
        </w:rPr>
      </w:pPr>
      <w:r w:rsidRPr="00A0267C">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7">
    <w:p w14:paraId="0CF7331B" w14:textId="77777777" w:rsidR="00C9614C" w:rsidRPr="00A0267C" w:rsidRDefault="00C9614C" w:rsidP="00C9614C">
      <w:pPr>
        <w:pStyle w:val="Textonotapie"/>
        <w:ind w:firstLine="708"/>
        <w:jc w:val="both"/>
        <w:rPr>
          <w:rFonts w:ascii="Verdana" w:hAnsi="Verdana" w:cs="Arial"/>
          <w:sz w:val="16"/>
          <w:szCs w:val="16"/>
          <w:lang w:val="es-CO"/>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 xml:space="preserve">Artículo 57. Declaratoria de situación de calamidad pública. </w:t>
      </w:r>
      <w:bookmarkStart w:id="13" w:name="_Hlk132729568"/>
      <w:r w:rsidRPr="00A0267C">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3"/>
      <w:r w:rsidRPr="00A0267C">
        <w:rPr>
          <w:rFonts w:ascii="Verdana" w:hAnsi="Verdana" w:cs="Arial"/>
          <w:sz w:val="16"/>
          <w:szCs w:val="16"/>
          <w:lang w:val="es-ES"/>
        </w:rPr>
        <w:t>”.</w:t>
      </w:r>
    </w:p>
  </w:footnote>
  <w:footnote w:id="28">
    <w:p w14:paraId="027042C4" w14:textId="77777777" w:rsidR="00C9614C" w:rsidRPr="00A0267C" w:rsidRDefault="00C9614C" w:rsidP="00C9614C">
      <w:pPr>
        <w:pStyle w:val="Textonotapie"/>
        <w:ind w:firstLine="708"/>
        <w:jc w:val="both"/>
        <w:rPr>
          <w:rStyle w:val="Refdenotaalpie"/>
          <w:rFonts w:ascii="Verdana" w:hAnsi="Verdana" w:cs="Arial"/>
          <w:sz w:val="16"/>
          <w:szCs w:val="16"/>
          <w:vertAlign w:val="baseline"/>
        </w:rPr>
      </w:pPr>
      <w:r w:rsidRPr="00A0267C">
        <w:rPr>
          <w:rStyle w:val="Refdenotaalpie"/>
          <w:rFonts w:ascii="Verdana" w:hAnsi="Verdana" w:cs="Arial"/>
          <w:sz w:val="16"/>
          <w:szCs w:val="16"/>
        </w:rPr>
        <w:footnoteRef/>
      </w:r>
      <w:r w:rsidRPr="00A0267C">
        <w:rPr>
          <w:rStyle w:val="Refdenotaalpie"/>
          <w:rFonts w:ascii="Verdana" w:hAnsi="Verdana" w:cs="Arial"/>
          <w:sz w:val="16"/>
          <w:szCs w:val="16"/>
          <w:vertAlign w:val="baseline"/>
        </w:rPr>
        <w:t xml:space="preserve"> Ley 1575 de 2012. </w:t>
      </w:r>
      <w:r w:rsidRPr="00A0267C">
        <w:rPr>
          <w:rFonts w:ascii="Verdana" w:hAnsi="Verdana" w:cs="Arial"/>
          <w:sz w:val="16"/>
          <w:szCs w:val="16"/>
        </w:rPr>
        <w:t>“</w:t>
      </w:r>
      <w:r w:rsidRPr="00A0267C">
        <w:rPr>
          <w:rStyle w:val="Refdenotaalpie"/>
          <w:rFonts w:ascii="Verdana" w:hAnsi="Verdana" w:cs="Arial"/>
          <w:sz w:val="16"/>
          <w:szCs w:val="16"/>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27BE1646" w14:textId="77777777" w:rsidR="00C9614C" w:rsidRPr="00A0267C" w:rsidRDefault="00C9614C" w:rsidP="00C9614C">
      <w:pPr>
        <w:pStyle w:val="Textonotapie"/>
        <w:ind w:firstLine="708"/>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42693055" w14:textId="77777777" w:rsidR="00C9614C" w:rsidRPr="00A0267C" w:rsidRDefault="00C9614C" w:rsidP="00C9614C">
      <w:pPr>
        <w:pStyle w:val="Textonotapie"/>
        <w:ind w:firstLine="707"/>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5870007F" w14:textId="77777777" w:rsidR="00C9614C" w:rsidRPr="00A0267C" w:rsidRDefault="00C9614C" w:rsidP="00C9614C">
      <w:pPr>
        <w:pStyle w:val="Textonotapie"/>
        <w:jc w:val="both"/>
        <w:rPr>
          <w:rFonts w:ascii="Verdana" w:hAnsi="Verdana" w:cs="Arial"/>
          <w:sz w:val="16"/>
          <w:szCs w:val="16"/>
          <w:lang w:val="es-ES"/>
        </w:rPr>
      </w:pPr>
    </w:p>
  </w:footnote>
  <w:footnote w:id="29">
    <w:p w14:paraId="5BCFFD40" w14:textId="77777777" w:rsidR="00C9614C" w:rsidRPr="00A0267C" w:rsidRDefault="00C9614C" w:rsidP="00C9614C">
      <w:pPr>
        <w:spacing w:after="0" w:line="240" w:lineRule="auto"/>
        <w:ind w:firstLine="707"/>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position w:val="6"/>
          <w:sz w:val="16"/>
          <w:szCs w:val="16"/>
        </w:rPr>
        <w:t xml:space="preserve"> </w:t>
      </w:r>
      <w:r w:rsidRPr="00A0267C">
        <w:rPr>
          <w:rFonts w:ascii="Verdana" w:hAnsi="Verdana" w:cs="Arial"/>
          <w:sz w:val="16"/>
          <w:szCs w:val="16"/>
        </w:rPr>
        <w:t xml:space="preserve">Colombia Compra Eficiente. Concepto 2201913000008606, del 19 de noviembre de 2019. </w:t>
      </w:r>
    </w:p>
    <w:p w14:paraId="5533566B" w14:textId="77777777" w:rsidR="00C9614C" w:rsidRPr="00A0267C" w:rsidRDefault="00C9614C" w:rsidP="00C9614C">
      <w:pPr>
        <w:spacing w:after="0" w:line="240" w:lineRule="auto"/>
        <w:ind w:firstLine="707"/>
        <w:jc w:val="both"/>
        <w:rPr>
          <w:rFonts w:ascii="Verdana" w:hAnsi="Verdana" w:cs="Arial"/>
          <w:sz w:val="16"/>
          <w:szCs w:val="16"/>
        </w:rPr>
      </w:pPr>
    </w:p>
  </w:footnote>
  <w:footnote w:id="30">
    <w:p w14:paraId="2D871C5E" w14:textId="77777777" w:rsidR="00C9614C" w:rsidRPr="00A0267C" w:rsidRDefault="00C9614C" w:rsidP="00C9614C">
      <w:pPr>
        <w:pStyle w:val="Textonotapie"/>
        <w:ind w:firstLine="707"/>
        <w:jc w:val="both"/>
        <w:rPr>
          <w:rFonts w:ascii="Verdana" w:hAnsi="Verdana" w:cs="Arial"/>
          <w:sz w:val="16"/>
          <w:szCs w:val="16"/>
          <w:lang w:val="es-CO"/>
        </w:rPr>
      </w:pPr>
      <w:r w:rsidRPr="00A0267C">
        <w:rPr>
          <w:rStyle w:val="Refdenotaalpie"/>
          <w:rFonts w:ascii="Verdana" w:hAnsi="Verdana" w:cs="Arial"/>
          <w:sz w:val="16"/>
          <w:szCs w:val="16"/>
        </w:rPr>
        <w:footnoteRef/>
      </w:r>
      <w:r w:rsidRPr="00A0267C">
        <w:rPr>
          <w:rFonts w:ascii="Verdana" w:hAnsi="Verdana" w:cs="Arial"/>
          <w:sz w:val="16"/>
          <w:szCs w:val="16"/>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3357FF4B" w14:textId="77777777" w:rsidR="00C9614C" w:rsidRPr="0076277C" w:rsidRDefault="00C9614C" w:rsidP="00C9614C">
      <w:pPr>
        <w:pStyle w:val="Textonotapie"/>
        <w:spacing w:line="276" w:lineRule="auto"/>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Ley 1575 de 2012: “Los cuerpos de bomberos no podrán cobrar suma alguna a la ciudadanía o exigir compensación de cualquier naturaleza en contraprestación a los servicios de emergencia”.</w:t>
      </w:r>
    </w:p>
  </w:footnote>
  <w:footnote w:id="32">
    <w:p w14:paraId="51E99C1D" w14:textId="77777777" w:rsidR="00C9614C" w:rsidRPr="0076277C" w:rsidRDefault="00C9614C" w:rsidP="00C9614C">
      <w:pPr>
        <w:pStyle w:val="Textonotapie"/>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Ley 1523 de 2012: “</w:t>
      </w:r>
      <w:r w:rsidRPr="0076277C">
        <w:rPr>
          <w:rFonts w:ascii="Verdana" w:hAnsi="Verdana"/>
          <w:sz w:val="16"/>
          <w:szCs w:val="16"/>
          <w:lang w:val="es-CO"/>
        </w:rPr>
        <w:t>Artículo 4°. </w:t>
      </w:r>
      <w:r w:rsidRPr="0076277C">
        <w:rPr>
          <w:rFonts w:ascii="Verdana" w:hAnsi="Verdana"/>
          <w:i/>
          <w:sz w:val="16"/>
          <w:szCs w:val="16"/>
          <w:lang w:val="es-CO"/>
        </w:rPr>
        <w:t>Definiciones. </w:t>
      </w:r>
      <w:r w:rsidRPr="0076277C">
        <w:rPr>
          <w:rFonts w:ascii="Verdana" w:hAnsi="Verdana"/>
          <w:sz w:val="16"/>
          <w:szCs w:val="16"/>
          <w:lang w:val="es-CO"/>
        </w:rPr>
        <w:t>Para efectos de la presente ley se entenderá por:</w:t>
      </w:r>
      <w:r w:rsidRPr="0076277C">
        <w:rPr>
          <w:rFonts w:ascii="Verdana" w:hAnsi="Verdana"/>
          <w:sz w:val="16"/>
          <w:szCs w:val="16"/>
        </w:rPr>
        <w:t xml:space="preserve"> </w:t>
      </w:r>
    </w:p>
    <w:p w14:paraId="0A16E366" w14:textId="77777777" w:rsidR="00C9614C" w:rsidRPr="0076277C" w:rsidRDefault="00C9614C" w:rsidP="00C9614C">
      <w:pPr>
        <w:pStyle w:val="Textonotapie"/>
        <w:ind w:firstLine="709"/>
        <w:jc w:val="both"/>
        <w:rPr>
          <w:rFonts w:ascii="Verdana" w:hAnsi="Verdana"/>
          <w:sz w:val="16"/>
          <w:szCs w:val="16"/>
        </w:rPr>
      </w:pPr>
      <w:r w:rsidRPr="0076277C">
        <w:rPr>
          <w:rFonts w:ascii="Verdana" w:hAnsi="Verdana"/>
          <w:sz w:val="16"/>
          <w:szCs w:val="16"/>
        </w:rPr>
        <w:t>[…]</w:t>
      </w:r>
    </w:p>
    <w:p w14:paraId="2B1E71E2" w14:textId="77777777" w:rsidR="00C9614C" w:rsidRPr="0076277C" w:rsidRDefault="00C9614C" w:rsidP="00C9614C">
      <w:pPr>
        <w:pStyle w:val="Textonotapie"/>
        <w:ind w:firstLine="709"/>
        <w:jc w:val="both"/>
        <w:rPr>
          <w:rFonts w:ascii="Verdana" w:hAnsi="Verdana"/>
          <w:sz w:val="16"/>
          <w:szCs w:val="16"/>
          <w:lang w:val="es-CO"/>
        </w:rPr>
      </w:pPr>
      <w:r w:rsidRPr="0076277C">
        <w:rPr>
          <w:rFonts w:ascii="Verdana" w:hAnsi="Verdana"/>
          <w:sz w:val="16"/>
          <w:szCs w:val="16"/>
          <w:lang w:val="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4A03BCEC" w14:textId="77777777" w:rsidR="00C9614C" w:rsidRPr="0076277C" w:rsidRDefault="00C9614C" w:rsidP="00C9614C">
      <w:pPr>
        <w:pStyle w:val="Textonotapie"/>
        <w:ind w:firstLine="709"/>
        <w:jc w:val="both"/>
        <w:rPr>
          <w:rFonts w:ascii="Verdana" w:hAnsi="Verdana"/>
          <w:sz w:val="16"/>
          <w:szCs w:val="16"/>
        </w:rPr>
      </w:pPr>
      <w:r w:rsidRPr="0076277C">
        <w:rPr>
          <w:rFonts w:ascii="Verdana" w:hAnsi="Verdana"/>
          <w:sz w:val="16"/>
          <w:szCs w:val="16"/>
        </w:rPr>
        <w:t>[…]</w:t>
      </w:r>
    </w:p>
    <w:p w14:paraId="0C739110" w14:textId="77777777" w:rsidR="00C9614C" w:rsidRPr="0076277C" w:rsidRDefault="00C9614C" w:rsidP="00C9614C">
      <w:pPr>
        <w:pStyle w:val="Textonotapie"/>
        <w:ind w:firstLine="709"/>
        <w:jc w:val="both"/>
        <w:rPr>
          <w:rFonts w:ascii="Verdana" w:hAnsi="Verdana"/>
          <w:sz w:val="16"/>
          <w:szCs w:val="16"/>
          <w:lang w:val="es-CO"/>
        </w:rPr>
      </w:pPr>
      <w:r w:rsidRPr="0076277C">
        <w:rPr>
          <w:rFonts w:ascii="Verdana" w:hAnsi="Verdana"/>
          <w:sz w:val="16"/>
          <w:szCs w:val="16"/>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4890D8CC" w14:textId="77777777" w:rsidR="00C9614C" w:rsidRPr="0076277C" w:rsidRDefault="00C9614C" w:rsidP="00C9614C">
      <w:pPr>
        <w:pStyle w:val="Textonotapie"/>
        <w:ind w:firstLine="709"/>
        <w:jc w:val="both"/>
        <w:rPr>
          <w:rFonts w:ascii="Verdana" w:hAnsi="Verdana"/>
          <w:sz w:val="16"/>
          <w:szCs w:val="16"/>
          <w:lang w:val="es-CO"/>
        </w:rPr>
      </w:pPr>
      <w:r w:rsidRPr="0076277C">
        <w:rPr>
          <w:rFonts w:ascii="Verdana" w:hAnsi="Verdana"/>
          <w:sz w:val="16"/>
          <w:szCs w:val="16"/>
          <w:lang w:val="es-CO"/>
        </w:rPr>
        <w:t>[…]</w:t>
      </w:r>
    </w:p>
    <w:p w14:paraId="77D9D69C" w14:textId="77777777" w:rsidR="00C9614C" w:rsidRPr="0076277C" w:rsidRDefault="00C9614C" w:rsidP="00C9614C">
      <w:pPr>
        <w:pStyle w:val="Textonotapie"/>
        <w:ind w:firstLine="709"/>
        <w:jc w:val="both"/>
        <w:rPr>
          <w:rFonts w:ascii="Verdana" w:hAnsi="Verdana"/>
          <w:sz w:val="16"/>
          <w:szCs w:val="16"/>
        </w:rPr>
      </w:pPr>
      <w:r w:rsidRPr="0076277C">
        <w:rPr>
          <w:rFonts w:ascii="Verdana" w:hAnsi="Verdana"/>
          <w:sz w:val="16"/>
          <w:szCs w:val="16"/>
        </w:rPr>
        <w:t xml:space="preserve">Artículo 35. </w:t>
      </w:r>
      <w:r w:rsidRPr="0076277C">
        <w:rPr>
          <w:rFonts w:ascii="Verdana" w:hAnsi="Verdana"/>
          <w:i/>
          <w:sz w:val="16"/>
          <w:szCs w:val="16"/>
        </w:rPr>
        <w:t>Estrategia Nacional para la Respuesta a Emergencias. </w:t>
      </w:r>
      <w:r w:rsidRPr="0076277C">
        <w:rPr>
          <w:rFonts w:ascii="Verdana" w:hAnsi="Verdana"/>
          <w:sz w:val="16"/>
          <w:szCs w:val="16"/>
        </w:rPr>
        <w:t>La estrategia nacional para la respuesta a emergencias,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7B0B09F7" w14:textId="77777777" w:rsidR="00C9614C" w:rsidRPr="0076277C" w:rsidRDefault="00C9614C" w:rsidP="00C9614C">
      <w:pPr>
        <w:pStyle w:val="Textonotapie"/>
        <w:ind w:firstLine="709"/>
        <w:jc w:val="both"/>
        <w:rPr>
          <w:rFonts w:ascii="Verdana" w:hAnsi="Verdana"/>
          <w:sz w:val="16"/>
          <w:szCs w:val="16"/>
        </w:rPr>
      </w:pPr>
      <w:r w:rsidRPr="0076277C">
        <w:rPr>
          <w:rFonts w:ascii="Verdana" w:hAnsi="Verdana"/>
          <w:sz w:val="16"/>
          <w:szCs w:val="16"/>
        </w:rPr>
        <w:t>Parágrafo.</w:t>
      </w:r>
    </w:p>
    <w:p w14:paraId="718A4D20" w14:textId="77777777" w:rsidR="00C9614C" w:rsidRPr="0076277C" w:rsidRDefault="00C9614C" w:rsidP="00C9614C">
      <w:pPr>
        <w:pStyle w:val="Textonotapie"/>
        <w:ind w:firstLine="709"/>
        <w:jc w:val="both"/>
        <w:rPr>
          <w:rFonts w:ascii="Verdana" w:hAnsi="Verdana"/>
          <w:sz w:val="16"/>
          <w:szCs w:val="16"/>
          <w:lang w:val="es-CO"/>
        </w:rPr>
      </w:pPr>
      <w:r w:rsidRPr="0076277C">
        <w:rPr>
          <w:rFonts w:ascii="Verdana" w:hAnsi="Verdana"/>
          <w:sz w:val="16"/>
          <w:szCs w:val="16"/>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p w14:paraId="61BDC354" w14:textId="77777777" w:rsidR="00C9614C" w:rsidRPr="0076277C" w:rsidRDefault="00C9614C" w:rsidP="00C9614C">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A505275"/>
    <w:multiLevelType w:val="hybridMultilevel"/>
    <w:tmpl w:val="400EC4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E29453E"/>
    <w:multiLevelType w:val="hybridMultilevel"/>
    <w:tmpl w:val="2C7CF608"/>
    <w:lvl w:ilvl="0" w:tplc="240A0001">
      <w:start w:val="1"/>
      <w:numFmt w:val="bullet"/>
      <w:lvlText w:val=""/>
      <w:lvlJc w:val="left"/>
      <w:pPr>
        <w:ind w:left="2149" w:hanging="360"/>
      </w:pPr>
      <w:rPr>
        <w:rFonts w:ascii="Symbol" w:hAnsi="Symbol" w:hint="default"/>
      </w:rPr>
    </w:lvl>
    <w:lvl w:ilvl="1" w:tplc="240A0003" w:tentative="1">
      <w:start w:val="1"/>
      <w:numFmt w:val="bullet"/>
      <w:lvlText w:val="o"/>
      <w:lvlJc w:val="left"/>
      <w:pPr>
        <w:ind w:left="2869" w:hanging="360"/>
      </w:pPr>
      <w:rPr>
        <w:rFonts w:ascii="Courier New" w:hAnsi="Courier New" w:cs="Courier New" w:hint="default"/>
      </w:rPr>
    </w:lvl>
    <w:lvl w:ilvl="2" w:tplc="240A0005" w:tentative="1">
      <w:start w:val="1"/>
      <w:numFmt w:val="bullet"/>
      <w:lvlText w:val=""/>
      <w:lvlJc w:val="left"/>
      <w:pPr>
        <w:ind w:left="3589" w:hanging="360"/>
      </w:pPr>
      <w:rPr>
        <w:rFonts w:ascii="Wingdings" w:hAnsi="Wingdings" w:hint="default"/>
      </w:rPr>
    </w:lvl>
    <w:lvl w:ilvl="3" w:tplc="240A0001" w:tentative="1">
      <w:start w:val="1"/>
      <w:numFmt w:val="bullet"/>
      <w:lvlText w:val=""/>
      <w:lvlJc w:val="left"/>
      <w:pPr>
        <w:ind w:left="4309" w:hanging="360"/>
      </w:pPr>
      <w:rPr>
        <w:rFonts w:ascii="Symbol" w:hAnsi="Symbol" w:hint="default"/>
      </w:rPr>
    </w:lvl>
    <w:lvl w:ilvl="4" w:tplc="240A0003" w:tentative="1">
      <w:start w:val="1"/>
      <w:numFmt w:val="bullet"/>
      <w:lvlText w:val="o"/>
      <w:lvlJc w:val="left"/>
      <w:pPr>
        <w:ind w:left="5029" w:hanging="360"/>
      </w:pPr>
      <w:rPr>
        <w:rFonts w:ascii="Courier New" w:hAnsi="Courier New" w:cs="Courier New" w:hint="default"/>
      </w:rPr>
    </w:lvl>
    <w:lvl w:ilvl="5" w:tplc="240A0005" w:tentative="1">
      <w:start w:val="1"/>
      <w:numFmt w:val="bullet"/>
      <w:lvlText w:val=""/>
      <w:lvlJc w:val="left"/>
      <w:pPr>
        <w:ind w:left="5749" w:hanging="360"/>
      </w:pPr>
      <w:rPr>
        <w:rFonts w:ascii="Wingdings" w:hAnsi="Wingdings" w:hint="default"/>
      </w:rPr>
    </w:lvl>
    <w:lvl w:ilvl="6" w:tplc="240A0001" w:tentative="1">
      <w:start w:val="1"/>
      <w:numFmt w:val="bullet"/>
      <w:lvlText w:val=""/>
      <w:lvlJc w:val="left"/>
      <w:pPr>
        <w:ind w:left="6469" w:hanging="360"/>
      </w:pPr>
      <w:rPr>
        <w:rFonts w:ascii="Symbol" w:hAnsi="Symbol" w:hint="default"/>
      </w:rPr>
    </w:lvl>
    <w:lvl w:ilvl="7" w:tplc="240A0003" w:tentative="1">
      <w:start w:val="1"/>
      <w:numFmt w:val="bullet"/>
      <w:lvlText w:val="o"/>
      <w:lvlJc w:val="left"/>
      <w:pPr>
        <w:ind w:left="7189" w:hanging="360"/>
      </w:pPr>
      <w:rPr>
        <w:rFonts w:ascii="Courier New" w:hAnsi="Courier New" w:cs="Courier New" w:hint="default"/>
      </w:rPr>
    </w:lvl>
    <w:lvl w:ilvl="8" w:tplc="240A0005" w:tentative="1">
      <w:start w:val="1"/>
      <w:numFmt w:val="bullet"/>
      <w:lvlText w:val=""/>
      <w:lvlJc w:val="left"/>
      <w:pPr>
        <w:ind w:left="7909"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59C3365"/>
    <w:multiLevelType w:val="hybridMultilevel"/>
    <w:tmpl w:val="E26E3FC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611937891">
    <w:abstractNumId w:val="0"/>
  </w:num>
  <w:num w:numId="17" w16cid:durableId="307445121">
    <w:abstractNumId w:val="12"/>
  </w:num>
  <w:num w:numId="18" w16cid:durableId="1536893721">
    <w:abstractNumId w:val="4"/>
  </w:num>
  <w:num w:numId="19" w16cid:durableId="99180627">
    <w:abstractNumId w:val="3"/>
  </w:num>
  <w:num w:numId="20" w16cid:durableId="1532558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64F"/>
    <w:rsid w:val="00016F78"/>
    <w:rsid w:val="00046945"/>
    <w:rsid w:val="000471CC"/>
    <w:rsid w:val="000556A6"/>
    <w:rsid w:val="00060EA8"/>
    <w:rsid w:val="00061B2A"/>
    <w:rsid w:val="00082362"/>
    <w:rsid w:val="00090758"/>
    <w:rsid w:val="000925B6"/>
    <w:rsid w:val="000A683E"/>
    <w:rsid w:val="000B16DF"/>
    <w:rsid w:val="000B19B9"/>
    <w:rsid w:val="000C157D"/>
    <w:rsid w:val="000D02CF"/>
    <w:rsid w:val="000D0334"/>
    <w:rsid w:val="000D2A6C"/>
    <w:rsid w:val="000D3849"/>
    <w:rsid w:val="000D5DA7"/>
    <w:rsid w:val="000F6486"/>
    <w:rsid w:val="00102676"/>
    <w:rsid w:val="00116940"/>
    <w:rsid w:val="00125105"/>
    <w:rsid w:val="00127233"/>
    <w:rsid w:val="0015699B"/>
    <w:rsid w:val="00160AC2"/>
    <w:rsid w:val="00163148"/>
    <w:rsid w:val="001711E5"/>
    <w:rsid w:val="00177851"/>
    <w:rsid w:val="00177F02"/>
    <w:rsid w:val="001A10C9"/>
    <w:rsid w:val="001A33BF"/>
    <w:rsid w:val="001D1D5D"/>
    <w:rsid w:val="001D688E"/>
    <w:rsid w:val="001D6D5F"/>
    <w:rsid w:val="001E4177"/>
    <w:rsid w:val="001E7BD7"/>
    <w:rsid w:val="001F0B24"/>
    <w:rsid w:val="001F1894"/>
    <w:rsid w:val="001F7DC6"/>
    <w:rsid w:val="002138E8"/>
    <w:rsid w:val="00223BAA"/>
    <w:rsid w:val="0022400B"/>
    <w:rsid w:val="002368A5"/>
    <w:rsid w:val="002421BB"/>
    <w:rsid w:val="0024784A"/>
    <w:rsid w:val="0025796E"/>
    <w:rsid w:val="002707A2"/>
    <w:rsid w:val="0028139C"/>
    <w:rsid w:val="002938D2"/>
    <w:rsid w:val="002951A0"/>
    <w:rsid w:val="002962BC"/>
    <w:rsid w:val="002971FF"/>
    <w:rsid w:val="00297463"/>
    <w:rsid w:val="002A093D"/>
    <w:rsid w:val="002A09D8"/>
    <w:rsid w:val="002A0DD0"/>
    <w:rsid w:val="002A49AC"/>
    <w:rsid w:val="002A64FD"/>
    <w:rsid w:val="002B1307"/>
    <w:rsid w:val="002C1CC6"/>
    <w:rsid w:val="002C4004"/>
    <w:rsid w:val="002C764A"/>
    <w:rsid w:val="002C7A84"/>
    <w:rsid w:val="002D4B5E"/>
    <w:rsid w:val="002E2BF8"/>
    <w:rsid w:val="002E4FD9"/>
    <w:rsid w:val="0030657A"/>
    <w:rsid w:val="00317A22"/>
    <w:rsid w:val="00322A85"/>
    <w:rsid w:val="00324168"/>
    <w:rsid w:val="00330834"/>
    <w:rsid w:val="00332C0E"/>
    <w:rsid w:val="00337EF1"/>
    <w:rsid w:val="003448F4"/>
    <w:rsid w:val="00365FE3"/>
    <w:rsid w:val="00374F5E"/>
    <w:rsid w:val="00377E3E"/>
    <w:rsid w:val="00380035"/>
    <w:rsid w:val="003A1F83"/>
    <w:rsid w:val="003A779E"/>
    <w:rsid w:val="003D0F4D"/>
    <w:rsid w:val="003D5B0D"/>
    <w:rsid w:val="003E0499"/>
    <w:rsid w:val="003E4F80"/>
    <w:rsid w:val="003E6439"/>
    <w:rsid w:val="003E78F2"/>
    <w:rsid w:val="003F0106"/>
    <w:rsid w:val="003F3941"/>
    <w:rsid w:val="00406575"/>
    <w:rsid w:val="0041405B"/>
    <w:rsid w:val="00414C74"/>
    <w:rsid w:val="0042722E"/>
    <w:rsid w:val="0044528D"/>
    <w:rsid w:val="00447A36"/>
    <w:rsid w:val="00454CE6"/>
    <w:rsid w:val="00466E39"/>
    <w:rsid w:val="004714D2"/>
    <w:rsid w:val="00486B84"/>
    <w:rsid w:val="004932CD"/>
    <w:rsid w:val="004A1847"/>
    <w:rsid w:val="004A305D"/>
    <w:rsid w:val="004A55C1"/>
    <w:rsid w:val="004C1507"/>
    <w:rsid w:val="004C1836"/>
    <w:rsid w:val="004C68A9"/>
    <w:rsid w:val="004F0614"/>
    <w:rsid w:val="004F21C4"/>
    <w:rsid w:val="004F2D07"/>
    <w:rsid w:val="004F685F"/>
    <w:rsid w:val="004F7D56"/>
    <w:rsid w:val="005047B7"/>
    <w:rsid w:val="00507A79"/>
    <w:rsid w:val="00525268"/>
    <w:rsid w:val="00540649"/>
    <w:rsid w:val="00544A73"/>
    <w:rsid w:val="005566E8"/>
    <w:rsid w:val="00574867"/>
    <w:rsid w:val="005770EB"/>
    <w:rsid w:val="00580D39"/>
    <w:rsid w:val="005869BA"/>
    <w:rsid w:val="005879B3"/>
    <w:rsid w:val="00591460"/>
    <w:rsid w:val="005A1E9B"/>
    <w:rsid w:val="005A65E0"/>
    <w:rsid w:val="005C3777"/>
    <w:rsid w:val="005C5CDC"/>
    <w:rsid w:val="005D476C"/>
    <w:rsid w:val="005F295C"/>
    <w:rsid w:val="005F2F4E"/>
    <w:rsid w:val="00606D31"/>
    <w:rsid w:val="00613A0C"/>
    <w:rsid w:val="006168B9"/>
    <w:rsid w:val="006200BF"/>
    <w:rsid w:val="006219F8"/>
    <w:rsid w:val="00625A5D"/>
    <w:rsid w:val="006302F7"/>
    <w:rsid w:val="0063485E"/>
    <w:rsid w:val="006449D7"/>
    <w:rsid w:val="00646B9F"/>
    <w:rsid w:val="00665D70"/>
    <w:rsid w:val="00676946"/>
    <w:rsid w:val="006900D9"/>
    <w:rsid w:val="006A15A3"/>
    <w:rsid w:val="006A1D6D"/>
    <w:rsid w:val="006C027D"/>
    <w:rsid w:val="006C7964"/>
    <w:rsid w:val="006D5664"/>
    <w:rsid w:val="006F0642"/>
    <w:rsid w:val="006F4C81"/>
    <w:rsid w:val="00702537"/>
    <w:rsid w:val="00706C16"/>
    <w:rsid w:val="007340C3"/>
    <w:rsid w:val="00737F4D"/>
    <w:rsid w:val="00751BD7"/>
    <w:rsid w:val="0075235A"/>
    <w:rsid w:val="00756841"/>
    <w:rsid w:val="007649AB"/>
    <w:rsid w:val="00771D0C"/>
    <w:rsid w:val="007833AC"/>
    <w:rsid w:val="00793304"/>
    <w:rsid w:val="00796AB6"/>
    <w:rsid w:val="007A333A"/>
    <w:rsid w:val="007B268C"/>
    <w:rsid w:val="007B46AA"/>
    <w:rsid w:val="007B52A3"/>
    <w:rsid w:val="007B7171"/>
    <w:rsid w:val="007C0C0F"/>
    <w:rsid w:val="007C21E3"/>
    <w:rsid w:val="007C3DC2"/>
    <w:rsid w:val="007D3E23"/>
    <w:rsid w:val="007E5497"/>
    <w:rsid w:val="00800107"/>
    <w:rsid w:val="00803DEA"/>
    <w:rsid w:val="00806F5F"/>
    <w:rsid w:val="00811128"/>
    <w:rsid w:val="00816055"/>
    <w:rsid w:val="00820278"/>
    <w:rsid w:val="008258C9"/>
    <w:rsid w:val="00832446"/>
    <w:rsid w:val="00844AE9"/>
    <w:rsid w:val="00845DC7"/>
    <w:rsid w:val="00847C50"/>
    <w:rsid w:val="00867F95"/>
    <w:rsid w:val="00875FC4"/>
    <w:rsid w:val="008843B6"/>
    <w:rsid w:val="00885CA7"/>
    <w:rsid w:val="00891928"/>
    <w:rsid w:val="008A1C0A"/>
    <w:rsid w:val="008A2653"/>
    <w:rsid w:val="008A446D"/>
    <w:rsid w:val="008B25F1"/>
    <w:rsid w:val="008D180B"/>
    <w:rsid w:val="008F0EA7"/>
    <w:rsid w:val="008F7C62"/>
    <w:rsid w:val="00923EEF"/>
    <w:rsid w:val="00927C51"/>
    <w:rsid w:val="00932D73"/>
    <w:rsid w:val="009330EE"/>
    <w:rsid w:val="009419F9"/>
    <w:rsid w:val="0095685E"/>
    <w:rsid w:val="00961B09"/>
    <w:rsid w:val="00965334"/>
    <w:rsid w:val="0097093E"/>
    <w:rsid w:val="00973E3E"/>
    <w:rsid w:val="00974A28"/>
    <w:rsid w:val="00993CB1"/>
    <w:rsid w:val="00997D56"/>
    <w:rsid w:val="009A0DFA"/>
    <w:rsid w:val="009A1C6F"/>
    <w:rsid w:val="009A6631"/>
    <w:rsid w:val="009B2D26"/>
    <w:rsid w:val="009B7A97"/>
    <w:rsid w:val="009C71FA"/>
    <w:rsid w:val="009C72E7"/>
    <w:rsid w:val="009C7F7E"/>
    <w:rsid w:val="009D0F1C"/>
    <w:rsid w:val="009D3058"/>
    <w:rsid w:val="009D3AAD"/>
    <w:rsid w:val="009E4B2C"/>
    <w:rsid w:val="009F3A13"/>
    <w:rsid w:val="00A03C9B"/>
    <w:rsid w:val="00A067FE"/>
    <w:rsid w:val="00A122D3"/>
    <w:rsid w:val="00A14468"/>
    <w:rsid w:val="00A17F13"/>
    <w:rsid w:val="00A20739"/>
    <w:rsid w:val="00A20961"/>
    <w:rsid w:val="00A23AF9"/>
    <w:rsid w:val="00A33C78"/>
    <w:rsid w:val="00A44FFD"/>
    <w:rsid w:val="00A83A70"/>
    <w:rsid w:val="00AA0010"/>
    <w:rsid w:val="00AA0414"/>
    <w:rsid w:val="00AB0ADB"/>
    <w:rsid w:val="00AB0E9A"/>
    <w:rsid w:val="00AB628D"/>
    <w:rsid w:val="00AC45DD"/>
    <w:rsid w:val="00AD71A5"/>
    <w:rsid w:val="00AE659F"/>
    <w:rsid w:val="00AF2494"/>
    <w:rsid w:val="00AF66DC"/>
    <w:rsid w:val="00B00C0E"/>
    <w:rsid w:val="00B01B1A"/>
    <w:rsid w:val="00B02B82"/>
    <w:rsid w:val="00B0381D"/>
    <w:rsid w:val="00B36244"/>
    <w:rsid w:val="00B40828"/>
    <w:rsid w:val="00B41CEE"/>
    <w:rsid w:val="00B424A0"/>
    <w:rsid w:val="00B44A47"/>
    <w:rsid w:val="00B60721"/>
    <w:rsid w:val="00B62373"/>
    <w:rsid w:val="00B72CD3"/>
    <w:rsid w:val="00B72FFF"/>
    <w:rsid w:val="00B80924"/>
    <w:rsid w:val="00B838D2"/>
    <w:rsid w:val="00B84F9E"/>
    <w:rsid w:val="00B97289"/>
    <w:rsid w:val="00BA4EFE"/>
    <w:rsid w:val="00BB1BDE"/>
    <w:rsid w:val="00BC1CE9"/>
    <w:rsid w:val="00BC3D36"/>
    <w:rsid w:val="00BC3D56"/>
    <w:rsid w:val="00BC636E"/>
    <w:rsid w:val="00BD54A6"/>
    <w:rsid w:val="00BD5EF6"/>
    <w:rsid w:val="00BD7F72"/>
    <w:rsid w:val="00BF1968"/>
    <w:rsid w:val="00BF7425"/>
    <w:rsid w:val="00C04FB3"/>
    <w:rsid w:val="00C11D8B"/>
    <w:rsid w:val="00C15139"/>
    <w:rsid w:val="00C32B87"/>
    <w:rsid w:val="00C330EB"/>
    <w:rsid w:val="00C50D69"/>
    <w:rsid w:val="00C50DFA"/>
    <w:rsid w:val="00C5365C"/>
    <w:rsid w:val="00C754BE"/>
    <w:rsid w:val="00C76B1C"/>
    <w:rsid w:val="00C77F9C"/>
    <w:rsid w:val="00C922BA"/>
    <w:rsid w:val="00C925AC"/>
    <w:rsid w:val="00C9614C"/>
    <w:rsid w:val="00CA29EE"/>
    <w:rsid w:val="00CB2C66"/>
    <w:rsid w:val="00CB3984"/>
    <w:rsid w:val="00CB6357"/>
    <w:rsid w:val="00CC1B26"/>
    <w:rsid w:val="00CD6667"/>
    <w:rsid w:val="00CE3388"/>
    <w:rsid w:val="00CE4AA2"/>
    <w:rsid w:val="00CE6F7F"/>
    <w:rsid w:val="00CF7D03"/>
    <w:rsid w:val="00D361FD"/>
    <w:rsid w:val="00D423A2"/>
    <w:rsid w:val="00D44E26"/>
    <w:rsid w:val="00D520D8"/>
    <w:rsid w:val="00D614DE"/>
    <w:rsid w:val="00D63AC2"/>
    <w:rsid w:val="00D7383B"/>
    <w:rsid w:val="00D768AF"/>
    <w:rsid w:val="00D7788A"/>
    <w:rsid w:val="00D86039"/>
    <w:rsid w:val="00D92FA4"/>
    <w:rsid w:val="00DA231B"/>
    <w:rsid w:val="00DB44D6"/>
    <w:rsid w:val="00DC2197"/>
    <w:rsid w:val="00DC39FC"/>
    <w:rsid w:val="00DD024F"/>
    <w:rsid w:val="00DF5254"/>
    <w:rsid w:val="00DF59B5"/>
    <w:rsid w:val="00DF640C"/>
    <w:rsid w:val="00DF7144"/>
    <w:rsid w:val="00E002F3"/>
    <w:rsid w:val="00E02524"/>
    <w:rsid w:val="00E16408"/>
    <w:rsid w:val="00E20894"/>
    <w:rsid w:val="00E245AB"/>
    <w:rsid w:val="00E2764C"/>
    <w:rsid w:val="00E27F2E"/>
    <w:rsid w:val="00E47455"/>
    <w:rsid w:val="00E50AFE"/>
    <w:rsid w:val="00E64E62"/>
    <w:rsid w:val="00E7364A"/>
    <w:rsid w:val="00E75C92"/>
    <w:rsid w:val="00E771DC"/>
    <w:rsid w:val="00E8772A"/>
    <w:rsid w:val="00E90F6B"/>
    <w:rsid w:val="00E91635"/>
    <w:rsid w:val="00E92C27"/>
    <w:rsid w:val="00E9439A"/>
    <w:rsid w:val="00EA0E3D"/>
    <w:rsid w:val="00EA28B4"/>
    <w:rsid w:val="00EC344C"/>
    <w:rsid w:val="00EC38A7"/>
    <w:rsid w:val="00EC50E9"/>
    <w:rsid w:val="00ED01C4"/>
    <w:rsid w:val="00EE1AA8"/>
    <w:rsid w:val="00EF40C4"/>
    <w:rsid w:val="00EF5BCB"/>
    <w:rsid w:val="00F06961"/>
    <w:rsid w:val="00F11B92"/>
    <w:rsid w:val="00F23FEA"/>
    <w:rsid w:val="00F31EDC"/>
    <w:rsid w:val="00F334DD"/>
    <w:rsid w:val="00F462B3"/>
    <w:rsid w:val="00F5664F"/>
    <w:rsid w:val="00F666C4"/>
    <w:rsid w:val="00F76AFC"/>
    <w:rsid w:val="00F8228A"/>
    <w:rsid w:val="00FA143D"/>
    <w:rsid w:val="00FA39E6"/>
    <w:rsid w:val="00FA47C0"/>
    <w:rsid w:val="00FA6D4F"/>
    <w:rsid w:val="00FB1462"/>
    <w:rsid w:val="00FB5DD1"/>
    <w:rsid w:val="00FC1735"/>
    <w:rsid w:val="00FC2B5D"/>
    <w:rsid w:val="00FE2104"/>
    <w:rsid w:val="00FF1449"/>
    <w:rsid w:val="00FF3D07"/>
    <w:rsid w:val="00FF7963"/>
    <w:rsid w:val="071B8F93"/>
    <w:rsid w:val="079C6238"/>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227E40A-0EEC-48BC-9D98-5D6F3FF7D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A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B46AA"/>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6AB6"/>
    <w:rPr>
      <w:rFonts w:ascii="Geomanist Light" w:hAnsi="Geomanist Light"/>
      <w:lang w:val="es-ES"/>
    </w:rPr>
  </w:style>
  <w:style w:type="character" w:styleId="Refdecomentario">
    <w:name w:val="annotation reference"/>
    <w:basedOn w:val="Fuentedeprrafopredeter"/>
    <w:uiPriority w:val="99"/>
    <w:semiHidden/>
    <w:unhideWhenUsed/>
    <w:rsid w:val="002A09D8"/>
    <w:rPr>
      <w:sz w:val="16"/>
      <w:szCs w:val="16"/>
    </w:rPr>
  </w:style>
  <w:style w:type="paragraph" w:styleId="Textocomentario">
    <w:name w:val="annotation text"/>
    <w:basedOn w:val="Normal"/>
    <w:link w:val="TextocomentarioCar"/>
    <w:uiPriority w:val="99"/>
    <w:unhideWhenUsed/>
    <w:rsid w:val="002A09D8"/>
    <w:pPr>
      <w:spacing w:line="240" w:lineRule="auto"/>
    </w:pPr>
    <w:rPr>
      <w:sz w:val="20"/>
      <w:szCs w:val="20"/>
    </w:rPr>
  </w:style>
  <w:style w:type="character" w:customStyle="1" w:styleId="TextocomentarioCar">
    <w:name w:val="Texto comentario Car"/>
    <w:basedOn w:val="Fuentedeprrafopredeter"/>
    <w:link w:val="Textocomentario"/>
    <w:uiPriority w:val="99"/>
    <w:rsid w:val="002A09D8"/>
    <w:rPr>
      <w:sz w:val="20"/>
      <w:szCs w:val="20"/>
    </w:rPr>
  </w:style>
  <w:style w:type="paragraph" w:styleId="Asuntodelcomentario">
    <w:name w:val="annotation subject"/>
    <w:basedOn w:val="Textocomentario"/>
    <w:next w:val="Textocomentario"/>
    <w:link w:val="AsuntodelcomentarioCar"/>
    <w:uiPriority w:val="99"/>
    <w:semiHidden/>
    <w:unhideWhenUsed/>
    <w:rsid w:val="002A09D8"/>
    <w:rPr>
      <w:b/>
      <w:bCs/>
    </w:rPr>
  </w:style>
  <w:style w:type="character" w:customStyle="1" w:styleId="AsuntodelcomentarioCar">
    <w:name w:val="Asunto del comentario Car"/>
    <w:basedOn w:val="TextocomentarioCar"/>
    <w:link w:val="Asuntodelcomentario"/>
    <w:uiPriority w:val="99"/>
    <w:semiHidden/>
    <w:rsid w:val="002A09D8"/>
    <w:rPr>
      <w:b/>
      <w:bCs/>
      <w:sz w:val="20"/>
      <w:szCs w:val="20"/>
    </w:rPr>
  </w:style>
  <w:style w:type="paragraph" w:customStyle="1" w:styleId="Appelnotedebasde">
    <w:name w:val="Appel note de bas de..."/>
    <w:basedOn w:val="Normal"/>
    <w:link w:val="Refdenotaalpie"/>
    <w:uiPriority w:val="99"/>
    <w:rsid w:val="002A09D8"/>
    <w:pPr>
      <w:spacing w:line="240" w:lineRule="exact"/>
    </w:pPr>
    <w:rPr>
      <w:vertAlign w:val="superscript"/>
    </w:rPr>
  </w:style>
  <w:style w:type="character" w:customStyle="1" w:styleId="baj">
    <w:name w:val="b_aj"/>
    <w:basedOn w:val="Fuentedeprrafopredeter"/>
    <w:rsid w:val="002A09D8"/>
  </w:style>
  <w:style w:type="character" w:customStyle="1" w:styleId="NormalWebCar">
    <w:name w:val="Normal (Web) Car"/>
    <w:link w:val="NormalWeb"/>
    <w:uiPriority w:val="99"/>
    <w:locked/>
    <w:rsid w:val="002A09D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5819979">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osejurista@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688B0A-30BC-47B5-B735-BC6C8D9F690B}">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8336111D-AF5E-4153-9608-756896D20E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32</Pages>
  <Words>10916</Words>
  <Characters>59058</Characters>
  <Application>Microsoft Office Word</Application>
  <DocSecurity>0</DocSecurity>
  <Lines>1073</Lines>
  <Paragraphs>179</Paragraphs>
  <ScaleCrop>false</ScaleCrop>
  <Company/>
  <LinksUpToDate>false</LinksUpToDate>
  <CharactersWithSpaces>69795</CharactersWithSpaces>
  <SharedDoc>false</SharedDoc>
  <HLinks>
    <vt:vector size="30"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1376301</vt:i4>
      </vt:variant>
      <vt:variant>
        <vt:i4>0</vt:i4>
      </vt:variant>
      <vt:variant>
        <vt:i4>0</vt:i4>
      </vt:variant>
      <vt:variant>
        <vt:i4>5</vt:i4>
      </vt:variant>
      <vt:variant>
        <vt:lpwstr>mailto:josejurista@gmail.com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2023-01-11T00:18:00Z</cp:lastPrinted>
  <dcterms:created xsi:type="dcterms:W3CDTF">2026-02-18T15:25:00Z</dcterms:created>
  <dcterms:modified xsi:type="dcterms:W3CDTF">2026-02-20T22:20:00Z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