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9D29E" w14:textId="77777777" w:rsidR="00DF29EC" w:rsidRPr="00F6534F" w:rsidRDefault="00DF29EC" w:rsidP="00DF29EC">
      <w:pPr>
        <w:snapToGrid w:val="0"/>
        <w:spacing w:after="0" w:line="240" w:lineRule="auto"/>
        <w:contextualSpacing/>
        <w:jc w:val="both"/>
        <w:rPr>
          <w:rFonts w:ascii="Verdana" w:eastAsia="Calibri" w:hAnsi="Verdana" w:cs="Arial"/>
          <w:b/>
          <w:bCs/>
          <w:lang w:val="es-ES" w:eastAsia="es-ES"/>
        </w:rPr>
      </w:pPr>
      <w:bookmarkStart w:id="0" w:name="_Hlk213674657"/>
      <w:bookmarkEnd w:id="0"/>
      <w:r w:rsidRPr="00F6534F">
        <w:rPr>
          <w:rFonts w:ascii="Verdana" w:eastAsia="Calibri" w:hAnsi="Verdana" w:cs="Arial"/>
          <w:b/>
          <w:bCs/>
          <w:lang w:val="es-ES" w:eastAsia="es-ES"/>
        </w:rPr>
        <w:t>GARANTÍAS – Contratación estatal – Constitución de garantías – Finalidad – Cumplimiento – Obligaciones contractuales</w:t>
      </w:r>
    </w:p>
    <w:p w14:paraId="06C1E58C" w14:textId="77777777" w:rsidR="00DF29EC" w:rsidRPr="00F6534F" w:rsidRDefault="00DF29EC" w:rsidP="00DF29EC">
      <w:pPr>
        <w:snapToGrid w:val="0"/>
        <w:contextualSpacing/>
        <w:jc w:val="both"/>
        <w:rPr>
          <w:rFonts w:ascii="Verdana" w:hAnsi="Verdana" w:cs="Arial"/>
          <w:shd w:val="clear" w:color="auto" w:fill="FFFFFF"/>
          <w:lang w:val="es-ES"/>
        </w:rPr>
      </w:pPr>
    </w:p>
    <w:p w14:paraId="578FDFC9" w14:textId="77777777" w:rsidR="00DF29EC" w:rsidRPr="0046004F" w:rsidRDefault="00DF29EC" w:rsidP="00DF29EC">
      <w:pPr>
        <w:snapToGrid w:val="0"/>
        <w:spacing w:after="0" w:line="240" w:lineRule="auto"/>
        <w:contextualSpacing/>
        <w:jc w:val="both"/>
        <w:rPr>
          <w:rFonts w:ascii="Verdana" w:eastAsia="Calibri" w:hAnsi="Verdana" w:cs="Arial"/>
          <w:b/>
          <w:bCs/>
          <w:sz w:val="20"/>
          <w:szCs w:val="20"/>
          <w:lang w:val="es-ES" w:eastAsia="es-ES"/>
        </w:rPr>
      </w:pPr>
      <w:r w:rsidRPr="0046004F">
        <w:rPr>
          <w:rFonts w:ascii="Verdana" w:hAnsi="Verdana" w:cs="Arial"/>
          <w:sz w:val="20"/>
          <w:szCs w:val="20"/>
          <w:shd w:val="clear" w:color="auto" w:fill="FFFFFF"/>
          <w:lang w:val="es-ES"/>
        </w:rPr>
        <w:t>Por regla general, para seleccionar contratistas y para ejecutar contratos se requiere la constitución de garantías. Por un lado, l</w:t>
      </w:r>
      <w:r w:rsidRPr="0046004F">
        <w:rPr>
          <w:rFonts w:ascii="Verdana" w:eastAsia="Calibri" w:hAnsi="Verdana" w:cs="Arial"/>
          <w:sz w:val="20"/>
          <w:szCs w:val="20"/>
          <w:lang w:val="es-ES"/>
        </w:rPr>
        <w:t xml:space="preserve">a </w:t>
      </w:r>
      <w:r w:rsidRPr="0046004F">
        <w:rPr>
          <w:rFonts w:ascii="Verdana" w:eastAsia="Calibri" w:hAnsi="Verdana" w:cs="Arial"/>
          <w:i/>
          <w:iCs/>
          <w:sz w:val="20"/>
          <w:szCs w:val="20"/>
          <w:lang w:val="es-ES"/>
        </w:rPr>
        <w:t>garantía de seriedad</w:t>
      </w:r>
      <w:r w:rsidRPr="0046004F">
        <w:rPr>
          <w:rFonts w:ascii="Verdana" w:eastAsia="Calibri" w:hAnsi="Verdana" w:cs="Arial"/>
          <w:sz w:val="20"/>
          <w:szCs w:val="20"/>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4588F723" w14:textId="77777777" w:rsidR="00DF29EC" w:rsidRPr="0046004F" w:rsidRDefault="00DF29EC" w:rsidP="00DF29EC">
      <w:pPr>
        <w:snapToGrid w:val="0"/>
        <w:spacing w:after="0" w:line="240" w:lineRule="auto"/>
        <w:contextualSpacing/>
        <w:jc w:val="both"/>
        <w:rPr>
          <w:rFonts w:ascii="Verdana" w:eastAsia="Calibri" w:hAnsi="Verdana" w:cs="Arial"/>
          <w:b/>
          <w:bCs/>
          <w:lang w:val="es-ES" w:eastAsia="es-ES"/>
        </w:rPr>
      </w:pPr>
    </w:p>
    <w:p w14:paraId="327DE0BE" w14:textId="77777777" w:rsidR="00DF29EC" w:rsidRPr="00572E66" w:rsidRDefault="00DF29EC" w:rsidP="00DF29EC">
      <w:pPr>
        <w:spacing w:line="276" w:lineRule="auto"/>
        <w:jc w:val="both"/>
        <w:rPr>
          <w:rFonts w:ascii="Verdana" w:hAnsi="Verdana" w:cs="Arial"/>
          <w:b/>
          <w:bCs/>
          <w:color w:val="000000" w:themeColor="text1"/>
          <w:lang w:val="es-ES"/>
        </w:rPr>
      </w:pPr>
      <w:r w:rsidRPr="00572E66">
        <w:rPr>
          <w:rFonts w:ascii="Verdana" w:hAnsi="Verdana" w:cs="Arial"/>
          <w:b/>
          <w:bCs/>
          <w:color w:val="000000" w:themeColor="text1"/>
          <w:lang w:val="es-ES"/>
        </w:rPr>
        <w:t xml:space="preserve">SUBSANABILIDAD – Aplicación – Regla general – Excepciones </w:t>
      </w:r>
    </w:p>
    <w:p w14:paraId="2223A980" w14:textId="77777777" w:rsidR="00DF29EC" w:rsidRDefault="00DF29EC" w:rsidP="00DF29EC">
      <w:pPr>
        <w:spacing w:after="0" w:line="240" w:lineRule="auto"/>
        <w:jc w:val="both"/>
        <w:rPr>
          <w:rFonts w:ascii="Verdana" w:eastAsia="Times New Roman" w:hAnsi="Verdana" w:cs="Arial"/>
          <w:sz w:val="20"/>
          <w:szCs w:val="20"/>
          <w:lang w:val="es-ES" w:eastAsia="es-ES"/>
        </w:rPr>
      </w:pPr>
      <w:r w:rsidRPr="00EC0EEB">
        <w:rPr>
          <w:rFonts w:ascii="Verdana" w:hAnsi="Verdana" w:cs="Arial"/>
          <w:noProof/>
          <w:sz w:val="20"/>
          <w:szCs w:val="20"/>
          <w:lang w:val="es-ES"/>
        </w:rPr>
        <w:t>L</w:t>
      </w:r>
      <w:r w:rsidRPr="00EC0EEB">
        <w:rPr>
          <w:rFonts w:ascii="Verdana" w:eastAsia="Times New Roman" w:hAnsi="Verdana" w:cs="Arial"/>
          <w:sz w:val="20"/>
          <w:szCs w:val="20"/>
        </w:rPr>
        <w:t>a regla de la subsanabilidad de las ofertas en los procedimientos de selección</w:t>
      </w:r>
      <w:r w:rsidRPr="00EC0EEB">
        <w:rPr>
          <w:rFonts w:ascii="Verdana" w:eastAsia="Times New Roman" w:hAnsi="Verdana" w:cs="Arial"/>
          <w:b/>
          <w:bCs/>
          <w:sz w:val="20"/>
          <w:szCs w:val="20"/>
        </w:rPr>
        <w:t xml:space="preserve"> </w:t>
      </w:r>
      <w:r w:rsidRPr="00EC0EEB">
        <w:rPr>
          <w:rFonts w:ascii="Verdana" w:eastAsia="Times New Roman" w:hAnsi="Verdana" w:cs="Arial"/>
          <w:sz w:val="20"/>
          <w:szCs w:val="20"/>
          <w:lang w:val="es-ES" w:eastAsia="es-ES"/>
        </w:rPr>
        <w:t>indica que, por regla general, la falta de entrega y los defectos en la acreditación de los requisitos habilitantes son aspectos subsanables. La excepción corresponde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4D2A4A1F" w14:textId="77777777" w:rsidR="00DF29EC" w:rsidRDefault="00DF29EC" w:rsidP="00DF29EC">
      <w:pPr>
        <w:spacing w:after="0" w:line="240" w:lineRule="auto"/>
        <w:jc w:val="both"/>
        <w:rPr>
          <w:rFonts w:ascii="Verdana" w:eastAsia="Times New Roman" w:hAnsi="Verdana" w:cs="Arial"/>
          <w:sz w:val="20"/>
          <w:szCs w:val="20"/>
          <w:lang w:val="es-ES" w:eastAsia="es-ES"/>
        </w:rPr>
      </w:pPr>
    </w:p>
    <w:p w14:paraId="6A6A710F" w14:textId="77777777" w:rsidR="00DF29EC" w:rsidRDefault="00DF29EC" w:rsidP="00DF29EC">
      <w:pPr>
        <w:spacing w:after="0" w:line="240" w:lineRule="auto"/>
        <w:jc w:val="both"/>
        <w:rPr>
          <w:rFonts w:ascii="Verdana" w:hAnsi="Verdana" w:cs="Arial"/>
          <w:b/>
          <w:bCs/>
          <w:color w:val="000000" w:themeColor="text1"/>
          <w:lang w:val="es-ES"/>
        </w:rPr>
      </w:pPr>
      <w:r w:rsidRPr="00572E66">
        <w:rPr>
          <w:rFonts w:ascii="Verdana" w:hAnsi="Verdana" w:cs="Arial"/>
          <w:b/>
          <w:bCs/>
          <w:color w:val="000000" w:themeColor="text1"/>
          <w:lang w:val="es-ES"/>
        </w:rPr>
        <w:t>SUBSANABILIDAD – Ley 1882 de 2018</w:t>
      </w:r>
    </w:p>
    <w:p w14:paraId="10803893" w14:textId="77777777" w:rsidR="00DF29EC" w:rsidRPr="00F33B44" w:rsidRDefault="00DF29EC" w:rsidP="00DF29EC">
      <w:pPr>
        <w:spacing w:after="0" w:line="240" w:lineRule="auto"/>
        <w:jc w:val="both"/>
        <w:rPr>
          <w:rFonts w:ascii="Verdana" w:hAnsi="Verdana" w:cs="Arial"/>
          <w:b/>
          <w:bCs/>
          <w:color w:val="EE0000"/>
          <w:lang w:val="es-ES"/>
        </w:rPr>
      </w:pPr>
    </w:p>
    <w:p w14:paraId="22071700" w14:textId="77777777" w:rsidR="00DF29EC" w:rsidRPr="00A10E40" w:rsidRDefault="00DF29EC" w:rsidP="00DF29EC">
      <w:pPr>
        <w:spacing w:after="0" w:line="240" w:lineRule="auto"/>
        <w:jc w:val="both"/>
        <w:rPr>
          <w:rFonts w:ascii="Verdana" w:eastAsia="Times New Roman" w:hAnsi="Verdana" w:cs="Arial"/>
          <w:sz w:val="20"/>
          <w:szCs w:val="20"/>
          <w:lang w:val="es-ES" w:eastAsia="es-ES"/>
        </w:rPr>
      </w:pPr>
      <w:r w:rsidRPr="00A10E40">
        <w:rPr>
          <w:rFonts w:ascii="Verdana" w:eastAsia="Times New Roman" w:hAnsi="Verdana" w:cs="Arial"/>
          <w:sz w:val="20"/>
          <w:szCs w:val="20"/>
          <w:lang w:val="es-ES" w:eastAsia="es-ES"/>
        </w:rPr>
        <w:t>[…] el legislador expidió la Ley 1882 de 2018, con la finalidad de introducir cambios y ajustes para fortalecer la contratación pública. […] esta norma: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w:t>
      </w:r>
    </w:p>
    <w:p w14:paraId="050A2C4D" w14:textId="77777777" w:rsidR="00DF29EC" w:rsidRPr="00A10E40" w:rsidRDefault="00DF29EC" w:rsidP="00DF29EC">
      <w:pPr>
        <w:spacing w:after="0" w:line="240" w:lineRule="auto"/>
        <w:jc w:val="both"/>
        <w:rPr>
          <w:rFonts w:ascii="Verdana" w:eastAsia="Times New Roman" w:hAnsi="Verdana" w:cs="Arial"/>
          <w:sz w:val="20"/>
          <w:szCs w:val="20"/>
          <w:lang w:val="es-ES" w:eastAsia="es-ES"/>
        </w:rPr>
      </w:pPr>
    </w:p>
    <w:p w14:paraId="72523C85" w14:textId="77777777" w:rsidR="00DF29EC" w:rsidRPr="00A10E40" w:rsidRDefault="00DF29EC" w:rsidP="00DF29EC">
      <w:pPr>
        <w:spacing w:after="0" w:line="240" w:lineRule="auto"/>
        <w:jc w:val="both"/>
        <w:rPr>
          <w:rFonts w:ascii="Verdana" w:eastAsia="Times New Roman" w:hAnsi="Verdana" w:cs="Arial"/>
          <w:sz w:val="20"/>
          <w:szCs w:val="20"/>
          <w:lang w:val="es-ES" w:eastAsia="es-ES"/>
        </w:rPr>
      </w:pPr>
      <w:r w:rsidRPr="00A10E40">
        <w:rPr>
          <w:rFonts w:ascii="Verdana" w:eastAsia="Times New Roman" w:hAnsi="Verdana" w:cs="Arial"/>
          <w:sz w:val="20"/>
          <w:szCs w:val="20"/>
          <w:lang w:val="es-ES" w:eastAsia="es-ES"/>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57E89D25" w14:textId="77777777" w:rsidR="00DF29EC" w:rsidRPr="00A10E40" w:rsidRDefault="00DF29EC" w:rsidP="00DF29EC">
      <w:pPr>
        <w:spacing w:before="120" w:after="0" w:line="240" w:lineRule="auto"/>
        <w:jc w:val="both"/>
        <w:rPr>
          <w:rFonts w:ascii="Verdana" w:eastAsia="Times New Roman" w:hAnsi="Verdana" w:cs="Arial"/>
          <w:sz w:val="20"/>
          <w:szCs w:val="20"/>
          <w:lang w:val="es-ES" w:eastAsia="es-ES"/>
        </w:rPr>
      </w:pPr>
      <w:r w:rsidRPr="00A10E40">
        <w:rPr>
          <w:rFonts w:ascii="Verdana" w:eastAsia="Times New Roman" w:hAnsi="Verdana" w:cs="Arial"/>
          <w:sz w:val="20"/>
          <w:szCs w:val="20"/>
          <w:lang w:val="es-ES" w:eastAsia="es-ES"/>
        </w:rPr>
        <w:t xml:space="preserve">Un mejor entendimiento del significado de la expresión “circunstancias ocurridas con posterioridad al cierre del proceso” lleva necesariamente a distinguir entre la prueba de </w:t>
      </w:r>
      <w:r w:rsidRPr="00A10E40">
        <w:rPr>
          <w:rFonts w:ascii="Verdana" w:eastAsia="Times New Roman" w:hAnsi="Verdana" w:cs="Arial"/>
          <w:sz w:val="20"/>
          <w:szCs w:val="20"/>
          <w:lang w:val="es-ES" w:eastAsia="es-ES"/>
        </w:rPr>
        <w:lastRenderedPageBreak/>
        <w:t>un hecho y el hecho mismo. En el caso de la subsanabilidad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11E184C3" w14:textId="77777777" w:rsidR="00DF29EC" w:rsidRDefault="00DF29EC" w:rsidP="00DF29E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13AEEB09" w14:textId="77777777" w:rsidR="00DF29EC" w:rsidRDefault="00DF29EC" w:rsidP="00DF29EC">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r w:rsidRPr="00EC0EEB">
        <w:rPr>
          <w:rFonts w:ascii="Verdana" w:hAnsi="Verdana" w:cs="Arial"/>
          <w:b/>
          <w:bCs/>
          <w:color w:val="000000" w:themeColor="text1"/>
        </w:rPr>
        <w:t xml:space="preserve">CAUSALES DE RECHAZO DE LAS OFERTAS – Origen – Límites en su configuración </w:t>
      </w:r>
    </w:p>
    <w:p w14:paraId="387B629B" w14:textId="77777777" w:rsidR="00DF29EC" w:rsidRDefault="00DF29EC" w:rsidP="00DF29EC">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p>
    <w:p w14:paraId="70829FD5" w14:textId="77777777" w:rsidR="00DF29EC" w:rsidRPr="00EC0EEB" w:rsidRDefault="00DF29EC" w:rsidP="00DF29E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A10E40">
        <w:rPr>
          <w:rFonts w:ascii="Verdana" w:eastAsia="Times New Roman" w:hAnsi="Verdana" w:cs="Arial"/>
          <w:sz w:val="20"/>
          <w:szCs w:val="20"/>
          <w:lang w:val="es-ES" w:eastAsia="es-ES"/>
        </w:rPr>
        <w:t>[…]</w:t>
      </w:r>
      <w:r>
        <w:rPr>
          <w:rFonts w:ascii="Verdana" w:eastAsia="Times New Roman" w:hAnsi="Verdana" w:cs="Arial"/>
          <w:sz w:val="20"/>
          <w:szCs w:val="20"/>
          <w:lang w:val="es-ES" w:eastAsia="es-ES"/>
        </w:rPr>
        <w:t xml:space="preserve"> </w:t>
      </w:r>
      <w:r w:rsidRPr="00EC0EEB">
        <w:rPr>
          <w:rFonts w:ascii="Verdana" w:eastAsia="Arial" w:hAnsi="Verdana" w:cs="Arial"/>
          <w:sz w:val="20"/>
          <w:szCs w:val="20"/>
        </w:rPr>
        <w:t xml:space="preserve">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14:paraId="5E3AB22D" w14:textId="77777777" w:rsidR="00DF29EC" w:rsidRDefault="00DF29EC" w:rsidP="00DF29EC">
      <w:pPr>
        <w:spacing w:after="0" w:line="240" w:lineRule="auto"/>
        <w:jc w:val="both"/>
        <w:rPr>
          <w:rFonts w:ascii="Verdana" w:eastAsia="Arial" w:hAnsi="Verdana" w:cs="Arial"/>
          <w:sz w:val="20"/>
          <w:szCs w:val="20"/>
        </w:rPr>
      </w:pPr>
    </w:p>
    <w:p w14:paraId="0CD255AC" w14:textId="77777777" w:rsidR="00DF29EC" w:rsidRDefault="00DF29EC" w:rsidP="00DF29EC">
      <w:pPr>
        <w:spacing w:after="0" w:line="240" w:lineRule="auto"/>
        <w:jc w:val="both"/>
        <w:rPr>
          <w:rFonts w:ascii="Verdana" w:eastAsia="Arial" w:hAnsi="Verdana" w:cs="Arial"/>
          <w:sz w:val="20"/>
          <w:szCs w:val="20"/>
        </w:rPr>
      </w:pPr>
      <w:r w:rsidRPr="00EC0EEB">
        <w:rPr>
          <w:rFonts w:ascii="Verdana" w:eastAsia="Arial" w:hAnsi="Verdana" w:cs="Arial"/>
          <w:sz w:val="20"/>
          <w:szCs w:val="20"/>
        </w:rPr>
        <w:t xml:space="preserve">En ese entendido, uno de los límites a la facultad para establecer causales de rechazo, se encuentra en la regla de subsanabilidad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r w:rsidRPr="00A10E40">
        <w:rPr>
          <w:rFonts w:ascii="Verdana" w:eastAsia="Times New Roman" w:hAnsi="Verdana" w:cs="Arial"/>
          <w:sz w:val="20"/>
          <w:szCs w:val="20"/>
          <w:lang w:val="es-ES" w:eastAsia="es-ES"/>
        </w:rPr>
        <w:t>[…]</w:t>
      </w:r>
    </w:p>
    <w:p w14:paraId="7C2D5B7B" w14:textId="77777777" w:rsidR="00DF29EC" w:rsidRDefault="00DF29EC" w:rsidP="00DF29EC">
      <w:pPr>
        <w:spacing w:after="0" w:line="240" w:lineRule="auto"/>
        <w:jc w:val="both"/>
        <w:rPr>
          <w:rFonts w:ascii="Verdana" w:eastAsia="Arial" w:hAnsi="Verdana" w:cs="Arial"/>
          <w:sz w:val="20"/>
          <w:szCs w:val="20"/>
        </w:rPr>
      </w:pPr>
    </w:p>
    <w:p w14:paraId="731B8022" w14:textId="77777777" w:rsidR="00DF29EC" w:rsidRDefault="00DF29EC" w:rsidP="00DF29EC">
      <w:pPr>
        <w:spacing w:after="0" w:line="240" w:lineRule="auto"/>
        <w:jc w:val="both"/>
        <w:rPr>
          <w:rFonts w:ascii="Verdana" w:eastAsia="Arial" w:hAnsi="Verdana" w:cs="Arial"/>
          <w:sz w:val="20"/>
          <w:szCs w:val="20"/>
        </w:rPr>
      </w:pPr>
    </w:p>
    <w:p w14:paraId="010F7B56"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49FB43C5"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4763B8E1"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57B86CA6"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592CFF22"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2E44AB98"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1B77C3CF"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5C9F8AA7"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6F971A2F"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12D45E09"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7828348A"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397497F5"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48F6555D"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2D35B5F1"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00919A46"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6CD819FD"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3969DF58" w14:textId="77777777" w:rsidR="00DF29EC" w:rsidRDefault="00DF29EC" w:rsidP="00DF29EC">
      <w:pPr>
        <w:tabs>
          <w:tab w:val="left" w:pos="426"/>
        </w:tabs>
        <w:spacing w:after="0" w:line="240" w:lineRule="auto"/>
        <w:contextualSpacing/>
        <w:jc w:val="both"/>
        <w:rPr>
          <w:rFonts w:ascii="Arial" w:eastAsia="Times New Roman" w:hAnsi="Arial" w:cs="Arial"/>
          <w:bCs/>
          <w:color w:val="EE0000"/>
          <w:sz w:val="20"/>
          <w:szCs w:val="20"/>
          <w:lang w:eastAsia="x-none"/>
        </w:rPr>
      </w:pPr>
    </w:p>
    <w:p w14:paraId="017BC5A5" w14:textId="77777777" w:rsidR="00DF29EC" w:rsidRDefault="00DF29EC" w:rsidP="00DF29EC">
      <w:pPr>
        <w:spacing w:after="0"/>
        <w:rPr>
          <w:rFonts w:ascii="Arial" w:eastAsia="Times New Roman" w:hAnsi="Arial" w:cs="Arial"/>
          <w:bCs/>
          <w:color w:val="EE0000"/>
          <w:sz w:val="20"/>
          <w:szCs w:val="20"/>
          <w:lang w:eastAsia="x-none"/>
        </w:rPr>
      </w:pPr>
    </w:p>
    <w:p w14:paraId="3892E496" w14:textId="0019660B" w:rsidR="00DF29EC" w:rsidRPr="008257D4" w:rsidRDefault="00DF29EC" w:rsidP="00DF29EC">
      <w:pPr>
        <w:spacing w:after="0"/>
        <w:rPr>
          <w:rFonts w:ascii="Verdana" w:hAnsi="Verdana"/>
        </w:rPr>
      </w:pPr>
      <w:r w:rsidRPr="008257D4">
        <w:rPr>
          <w:rFonts w:ascii="Verdana" w:hAnsi="Verdana"/>
        </w:rPr>
        <w:lastRenderedPageBreak/>
        <w:t xml:space="preserve">Bogotá D.C., </w:t>
      </w:r>
      <w:r w:rsidR="0088620C">
        <w:rPr>
          <w:rFonts w:ascii="Verdana" w:hAnsi="Verdana"/>
        </w:rPr>
        <w:t>18 Febrero 2026</w:t>
      </w:r>
    </w:p>
    <w:p w14:paraId="76582CF9" w14:textId="696C5ACF" w:rsidR="00DF29EC" w:rsidRPr="008257D4" w:rsidRDefault="005324A1" w:rsidP="00DF29EC">
      <w:pPr>
        <w:spacing w:after="0"/>
        <w:rPr>
          <w:rFonts w:ascii="Verdana" w:hAnsi="Verdana"/>
          <w:lang w:val="es-ES"/>
        </w:rPr>
      </w:pPr>
      <w:r w:rsidRPr="005324A1">
        <w:rPr>
          <w:rFonts w:ascii="Verdana" w:eastAsia="Calibri" w:hAnsi="Verdana" w:cs="Arial"/>
          <w:lang w:eastAsia="es-ES"/>
        </w:rPr>
        <w:drawing>
          <wp:anchor distT="0" distB="0" distL="114300" distR="114300" simplePos="0" relativeHeight="251660288" behindDoc="1" locked="0" layoutInCell="1" allowOverlap="1" wp14:anchorId="043DC69E" wp14:editId="7CE4947C">
            <wp:simplePos x="0" y="0"/>
            <wp:positionH relativeFrom="margin">
              <wp:align>right</wp:align>
            </wp:positionH>
            <wp:positionV relativeFrom="paragraph">
              <wp:posOffset>19050</wp:posOffset>
            </wp:positionV>
            <wp:extent cx="2275205" cy="682625"/>
            <wp:effectExtent l="0" t="0" r="0" b="3175"/>
            <wp:wrapNone/>
            <wp:docPr id="85162336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3364"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275205" cy="682625"/>
                    </a:xfrm>
                    <a:prstGeom prst="rect">
                      <a:avLst/>
                    </a:prstGeom>
                  </pic:spPr>
                </pic:pic>
              </a:graphicData>
            </a:graphic>
            <wp14:sizeRelH relativeFrom="margin">
              <wp14:pctWidth>0</wp14:pctWidth>
            </wp14:sizeRelH>
            <wp14:sizeRelV relativeFrom="margin">
              <wp14:pctHeight>0</wp14:pctHeight>
            </wp14:sizeRelV>
          </wp:anchor>
        </w:drawing>
      </w:r>
    </w:p>
    <w:p w14:paraId="2FC24E89" w14:textId="236EB78F" w:rsidR="00DF29EC" w:rsidRPr="001B7DEA" w:rsidRDefault="00DF29EC" w:rsidP="00DF29EC">
      <w:pPr>
        <w:spacing w:after="0" w:line="240" w:lineRule="auto"/>
        <w:rPr>
          <w:rFonts w:ascii="Verdana" w:hAnsi="Verdana"/>
          <w:lang w:val="es-ES"/>
        </w:rPr>
      </w:pPr>
      <w:bookmarkStart w:id="1" w:name="_Hlk143780582"/>
      <w:r w:rsidRPr="001B7DEA">
        <w:rPr>
          <w:rFonts w:ascii="Verdana" w:eastAsia="Calibri" w:hAnsi="Verdana" w:cs="Arial"/>
          <w:lang w:val="es-ES" w:eastAsia="es-ES"/>
        </w:rPr>
        <w:t>Señora</w:t>
      </w:r>
    </w:p>
    <w:p w14:paraId="4C4B9DD5" w14:textId="14DE6A95" w:rsidR="00DF29EC" w:rsidRPr="001B7DEA" w:rsidRDefault="00DF29EC" w:rsidP="00DF29EC">
      <w:pPr>
        <w:spacing w:after="0"/>
        <w:rPr>
          <w:rFonts w:ascii="Verdana" w:eastAsia="Calibri" w:hAnsi="Verdana" w:cs="Arial"/>
          <w:b/>
          <w:bCs/>
          <w:lang w:eastAsia="es-ES"/>
        </w:rPr>
      </w:pPr>
      <w:r w:rsidRPr="001B7DEA">
        <w:rPr>
          <w:rFonts w:ascii="Verdana" w:eastAsia="Calibri" w:hAnsi="Verdana" w:cs="Arial"/>
          <w:b/>
          <w:bCs/>
          <w:lang w:eastAsia="es-ES"/>
        </w:rPr>
        <w:t>Claudia Milena Ricaurte Rincón</w:t>
      </w:r>
    </w:p>
    <w:p w14:paraId="0BF2D9D6" w14:textId="62392E7E" w:rsidR="00DF29EC" w:rsidRPr="00E44689" w:rsidRDefault="00DF29EC" w:rsidP="00DF29EC">
      <w:pPr>
        <w:tabs>
          <w:tab w:val="center" w:pos="4419"/>
        </w:tabs>
        <w:spacing w:after="0"/>
        <w:rPr>
          <w:rFonts w:ascii="Verdana" w:eastAsia="Calibri" w:hAnsi="Verdana" w:cs="Arial"/>
          <w:color w:val="EE0000"/>
          <w:lang w:eastAsia="es-ES"/>
        </w:rPr>
      </w:pPr>
      <w:hyperlink r:id="rId12" w:history="1">
        <w:r w:rsidRPr="00FA2C90">
          <w:rPr>
            <w:rStyle w:val="Hipervnculo"/>
            <w:rFonts w:ascii="Verdana" w:eastAsia="Calibri" w:hAnsi="Verdana" w:cs="Arial"/>
            <w:lang w:eastAsia="es-ES"/>
          </w:rPr>
          <w:t>ingenieracricaurte@gmail.com</w:t>
        </w:r>
      </w:hyperlink>
      <w:r>
        <w:rPr>
          <w:rFonts w:ascii="Verdana" w:eastAsia="Calibri" w:hAnsi="Verdana" w:cs="Arial"/>
          <w:color w:val="EE0000"/>
          <w:lang w:eastAsia="es-ES"/>
        </w:rPr>
        <w:t xml:space="preserve"> </w:t>
      </w:r>
    </w:p>
    <w:p w14:paraId="7E9B97F7" w14:textId="1E1B4853" w:rsidR="00DF29EC" w:rsidRPr="00E44689" w:rsidRDefault="00DF29EC" w:rsidP="00DF29EC">
      <w:pPr>
        <w:spacing w:after="0"/>
        <w:rPr>
          <w:rFonts w:ascii="Verdana" w:eastAsia="Calibri" w:hAnsi="Verdana" w:cs="Arial"/>
          <w:color w:val="EE0000"/>
          <w:lang w:val="es-ES" w:eastAsia="es-ES"/>
        </w:rPr>
      </w:pPr>
      <w:r w:rsidRPr="00F56BD8">
        <w:rPr>
          <w:rFonts w:ascii="Verdana" w:eastAsia="Calibri" w:hAnsi="Verdana" w:cs="Arial"/>
          <w:lang w:eastAsia="es-ES"/>
        </w:rPr>
        <w:t>Villavicencio, Meta</w:t>
      </w:r>
    </w:p>
    <w:p w14:paraId="3221EBE6" w14:textId="77777777" w:rsidR="00DF29EC" w:rsidRPr="00E44689" w:rsidRDefault="00DF29EC" w:rsidP="00DF29EC">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F29EC" w:rsidRPr="00E44689" w14:paraId="66BF03A7" w14:textId="77777777" w:rsidTr="00907256">
        <w:trPr>
          <w:trHeight w:val="300"/>
        </w:trPr>
        <w:tc>
          <w:tcPr>
            <w:tcW w:w="2410" w:type="dxa"/>
          </w:tcPr>
          <w:p w14:paraId="5A63921F" w14:textId="77777777" w:rsidR="00DF29EC" w:rsidRPr="00E44689" w:rsidRDefault="00DF29EC" w:rsidP="00907256">
            <w:pPr>
              <w:ind w:left="-142"/>
              <w:jc w:val="both"/>
              <w:rPr>
                <w:rFonts w:ascii="Verdana" w:eastAsia="Calibri" w:hAnsi="Verdana" w:cs="Arial"/>
                <w:b/>
                <w:bCs/>
                <w:color w:val="EE0000"/>
                <w:lang w:val="es-ES" w:eastAsia="es-ES_tradnl"/>
              </w:rPr>
            </w:pPr>
          </w:p>
        </w:tc>
        <w:tc>
          <w:tcPr>
            <w:tcW w:w="6100" w:type="dxa"/>
          </w:tcPr>
          <w:p w14:paraId="38E9989D" w14:textId="77777777" w:rsidR="00DF29EC" w:rsidRPr="00FC26EC" w:rsidRDefault="00DF29EC" w:rsidP="00907256">
            <w:pPr>
              <w:ind w:left="3"/>
              <w:jc w:val="both"/>
              <w:rPr>
                <w:rFonts w:ascii="Verdana" w:eastAsia="Calibri" w:hAnsi="Verdana" w:cs="Arial"/>
                <w:b/>
                <w:bCs/>
                <w:lang w:val="es-ES" w:eastAsia="es-ES"/>
              </w:rPr>
            </w:pPr>
            <w:r w:rsidRPr="00FC26EC">
              <w:rPr>
                <w:rFonts w:ascii="Verdana" w:eastAsia="Calibri" w:hAnsi="Verdana" w:cs="Arial"/>
                <w:b/>
                <w:bCs/>
                <w:lang w:val="es-ES" w:eastAsia="es-ES"/>
              </w:rPr>
              <w:t>Concepto C-045 de 2026</w:t>
            </w:r>
          </w:p>
          <w:p w14:paraId="74908158" w14:textId="77777777" w:rsidR="00DF29EC" w:rsidRPr="00E44689" w:rsidRDefault="00DF29EC" w:rsidP="00907256">
            <w:pPr>
              <w:ind w:left="3"/>
              <w:jc w:val="both"/>
              <w:rPr>
                <w:rFonts w:ascii="Verdana" w:eastAsia="Calibri" w:hAnsi="Verdana" w:cs="Arial"/>
                <w:b/>
                <w:bCs/>
                <w:color w:val="EE0000"/>
                <w:lang w:val="es-ES" w:eastAsia="es-ES"/>
              </w:rPr>
            </w:pPr>
          </w:p>
        </w:tc>
      </w:tr>
      <w:tr w:rsidR="00DF29EC" w:rsidRPr="00E44689" w14:paraId="724FEBC1" w14:textId="77777777" w:rsidTr="00907256">
        <w:trPr>
          <w:trHeight w:val="300"/>
        </w:trPr>
        <w:tc>
          <w:tcPr>
            <w:tcW w:w="2410" w:type="dxa"/>
          </w:tcPr>
          <w:p w14:paraId="48FC1315" w14:textId="77777777" w:rsidR="00DF29EC" w:rsidRPr="00E44689" w:rsidRDefault="00DF29EC" w:rsidP="00907256">
            <w:pPr>
              <w:ind w:left="424" w:firstLine="137"/>
              <w:jc w:val="both"/>
              <w:rPr>
                <w:rFonts w:ascii="Verdana" w:eastAsia="Calibri" w:hAnsi="Verdana" w:cs="Arial"/>
                <w:color w:val="EE0000"/>
                <w:lang w:val="es-ES" w:eastAsia="es-ES_tradnl"/>
              </w:rPr>
            </w:pPr>
            <w:r w:rsidRPr="00350969">
              <w:rPr>
                <w:rFonts w:ascii="Verdana" w:eastAsia="Calibri" w:hAnsi="Verdana" w:cs="Arial"/>
                <w:b/>
                <w:lang w:val="es-ES" w:eastAsia="es-ES_tradnl"/>
              </w:rPr>
              <w:t>Temas:</w:t>
            </w:r>
            <w:r w:rsidRPr="00350969">
              <w:rPr>
                <w:rFonts w:ascii="Verdana" w:eastAsia="Calibri" w:hAnsi="Verdana" w:cs="Arial"/>
                <w:lang w:val="es-ES" w:eastAsia="es-ES_tradnl"/>
              </w:rPr>
              <w:t xml:space="preserve">              </w:t>
            </w:r>
          </w:p>
        </w:tc>
        <w:tc>
          <w:tcPr>
            <w:tcW w:w="6100" w:type="dxa"/>
          </w:tcPr>
          <w:p w14:paraId="0974D84F" w14:textId="77777777" w:rsidR="00DF29EC" w:rsidRPr="005A648D" w:rsidRDefault="00DF29EC" w:rsidP="00907256">
            <w:pPr>
              <w:jc w:val="both"/>
              <w:rPr>
                <w:rFonts w:ascii="Verdana" w:eastAsia="Calibri" w:hAnsi="Verdana" w:cs="Arial"/>
                <w:bCs/>
              </w:rPr>
            </w:pPr>
            <w:r w:rsidRPr="005A648D">
              <w:rPr>
                <w:rFonts w:ascii="Verdana" w:eastAsia="Calibri" w:hAnsi="Verdana" w:cs="Arial"/>
                <w:bCs/>
              </w:rPr>
              <w:t>GARANTÍAS – Contratación estatal – Constitución de garantías – Finalidad – Cumplimiento – Obligaciones contractuales / SUBSANABILIDAD – Aplicación – Regla general – Excepciones / SUBSANABILIDAD – Ley 1882 de 2018 / CAUSALES DE RECHAZO DE LAS OFERTAS – Origen – Límites en su configuración</w:t>
            </w:r>
          </w:p>
          <w:p w14:paraId="629B13B5" w14:textId="77777777" w:rsidR="00DF29EC" w:rsidRPr="00E44689" w:rsidRDefault="00DF29EC" w:rsidP="00907256">
            <w:pPr>
              <w:jc w:val="both"/>
              <w:rPr>
                <w:rFonts w:ascii="Verdana" w:hAnsi="Verdana"/>
                <w:color w:val="EE0000"/>
              </w:rPr>
            </w:pPr>
          </w:p>
        </w:tc>
      </w:tr>
      <w:tr w:rsidR="00DF29EC" w:rsidRPr="00FC26EC" w14:paraId="21E8ECBB" w14:textId="77777777" w:rsidTr="00907256">
        <w:trPr>
          <w:trHeight w:val="204"/>
        </w:trPr>
        <w:tc>
          <w:tcPr>
            <w:tcW w:w="2410" w:type="dxa"/>
          </w:tcPr>
          <w:p w14:paraId="7F14459E" w14:textId="77777777" w:rsidR="00DF29EC" w:rsidRPr="00FC26EC" w:rsidRDefault="00DF29EC" w:rsidP="00907256">
            <w:pPr>
              <w:ind w:left="561"/>
              <w:jc w:val="both"/>
              <w:rPr>
                <w:rFonts w:ascii="Verdana" w:eastAsia="Calibri" w:hAnsi="Verdana" w:cs="Arial"/>
                <w:b/>
                <w:lang w:val="es-ES" w:eastAsia="es-ES_tradnl"/>
              </w:rPr>
            </w:pPr>
            <w:r w:rsidRPr="00FC26EC">
              <w:rPr>
                <w:rFonts w:ascii="Verdana" w:eastAsia="Calibri" w:hAnsi="Verdana" w:cs="Arial"/>
                <w:b/>
                <w:lang w:val="es-ES" w:eastAsia="es-ES_tradnl"/>
              </w:rPr>
              <w:t>Radicación:</w:t>
            </w:r>
            <w:r w:rsidRPr="00FC26EC">
              <w:rPr>
                <w:rFonts w:ascii="Verdana" w:eastAsia="Calibri" w:hAnsi="Verdana" w:cs="Arial"/>
                <w:lang w:val="es-ES" w:eastAsia="es-ES_tradnl"/>
              </w:rPr>
              <w:t xml:space="preserve">              </w:t>
            </w:r>
          </w:p>
        </w:tc>
        <w:tc>
          <w:tcPr>
            <w:tcW w:w="6100" w:type="dxa"/>
          </w:tcPr>
          <w:p w14:paraId="47BFBE00" w14:textId="77777777" w:rsidR="00DF29EC" w:rsidRPr="00FC26EC" w:rsidRDefault="00DF29EC" w:rsidP="00907256">
            <w:pPr>
              <w:ind w:left="3"/>
              <w:jc w:val="both"/>
              <w:rPr>
                <w:rFonts w:ascii="Verdana" w:hAnsi="Verdana"/>
                <w:lang w:val="es-ES"/>
              </w:rPr>
            </w:pPr>
            <w:r w:rsidRPr="00FC26EC">
              <w:rPr>
                <w:rFonts w:ascii="Verdana" w:eastAsia="Calibri" w:hAnsi="Verdana" w:cs="Arial"/>
                <w:lang w:val="es-ES" w:eastAsia="es-ES"/>
              </w:rPr>
              <w:t>Respuesta a consulta con radicado No. 1_2026_01_09_000210</w:t>
            </w:r>
          </w:p>
        </w:tc>
      </w:tr>
    </w:tbl>
    <w:p w14:paraId="7FCE7688" w14:textId="77777777" w:rsidR="00DF29EC" w:rsidRPr="00FC26EC" w:rsidRDefault="00DF29EC" w:rsidP="00DF29EC">
      <w:pPr>
        <w:spacing w:after="0" w:line="276" w:lineRule="auto"/>
        <w:jc w:val="both"/>
        <w:rPr>
          <w:rFonts w:ascii="Verdana" w:eastAsia="Calibri" w:hAnsi="Verdana" w:cs="Arial"/>
          <w:lang w:val="es-ES" w:eastAsia="es-ES"/>
        </w:rPr>
      </w:pPr>
    </w:p>
    <w:p w14:paraId="2EA62CE1" w14:textId="77777777" w:rsidR="00DF29EC" w:rsidRPr="00F56BD8" w:rsidRDefault="00DF29EC" w:rsidP="00DF29EC">
      <w:pPr>
        <w:spacing w:after="0" w:line="276" w:lineRule="auto"/>
        <w:jc w:val="both"/>
        <w:rPr>
          <w:rFonts w:ascii="Verdana" w:eastAsia="Calibri" w:hAnsi="Verdana" w:cs="Arial"/>
          <w:lang w:eastAsia="es-ES"/>
        </w:rPr>
      </w:pPr>
      <w:r w:rsidRPr="00F56BD8">
        <w:rPr>
          <w:rFonts w:ascii="Verdana" w:eastAsia="Calibri" w:hAnsi="Verdana" w:cs="Arial"/>
          <w:lang w:eastAsia="es-ES"/>
        </w:rPr>
        <w:t>Estimada señora Ricaurte:</w:t>
      </w:r>
    </w:p>
    <w:p w14:paraId="381475C0" w14:textId="77777777" w:rsidR="00DF29EC" w:rsidRPr="00F56BD8" w:rsidRDefault="00DF29EC" w:rsidP="00DF29EC">
      <w:pPr>
        <w:spacing w:after="0" w:line="276" w:lineRule="auto"/>
        <w:jc w:val="both"/>
        <w:rPr>
          <w:rFonts w:ascii="Verdana" w:eastAsia="Calibri" w:hAnsi="Verdana" w:cs="Arial"/>
          <w:lang w:eastAsia="es-ES"/>
        </w:rPr>
      </w:pPr>
      <w:r w:rsidRPr="00F56BD8">
        <w:rPr>
          <w:rFonts w:ascii="Verdana" w:eastAsia="Calibri" w:hAnsi="Verdana" w:cs="Arial"/>
          <w:lang w:eastAsia="es-ES"/>
        </w:rPr>
        <w:t xml:space="preserve"> </w:t>
      </w:r>
    </w:p>
    <w:p w14:paraId="03F62191" w14:textId="77777777" w:rsidR="00DF29EC" w:rsidRPr="00F56BD8" w:rsidRDefault="00DF29EC" w:rsidP="00DF29EC">
      <w:pPr>
        <w:tabs>
          <w:tab w:val="left" w:pos="3768"/>
        </w:tabs>
        <w:spacing w:after="0" w:line="276" w:lineRule="auto"/>
        <w:jc w:val="both"/>
        <w:rPr>
          <w:rFonts w:ascii="Verdana" w:eastAsia="Calibri" w:hAnsi="Verdana" w:cs="Arial"/>
          <w:lang w:eastAsia="es-ES"/>
        </w:rPr>
      </w:pPr>
      <w:r w:rsidRPr="00F56BD8">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09 de enero de 2026, en la cual manifiesta lo siguiente: </w:t>
      </w:r>
    </w:p>
    <w:p w14:paraId="147270D9" w14:textId="77777777" w:rsidR="00DF29EC" w:rsidRPr="00F56BD8" w:rsidRDefault="00DF29EC" w:rsidP="00DF29EC">
      <w:pPr>
        <w:tabs>
          <w:tab w:val="left" w:pos="3768"/>
        </w:tabs>
        <w:spacing w:after="0" w:line="276" w:lineRule="auto"/>
        <w:jc w:val="both"/>
        <w:rPr>
          <w:rFonts w:ascii="Verdana" w:eastAsia="Calibri" w:hAnsi="Verdana" w:cs="Arial"/>
          <w:lang w:eastAsia="es-ES"/>
        </w:rPr>
      </w:pPr>
    </w:p>
    <w:p w14:paraId="055FFF04" w14:textId="77777777" w:rsidR="00DF29EC" w:rsidRPr="00F56BD8" w:rsidRDefault="00DF29EC" w:rsidP="00DF29EC">
      <w:pPr>
        <w:spacing w:before="120" w:after="120"/>
        <w:ind w:left="709" w:right="709"/>
        <w:contextualSpacing/>
        <w:jc w:val="both"/>
        <w:rPr>
          <w:rFonts w:ascii="Verdana" w:eastAsia="Century Gothic" w:hAnsi="Verdana" w:cs="Century Gothic"/>
          <w:i/>
          <w:iCs/>
          <w:sz w:val="20"/>
          <w:szCs w:val="20"/>
          <w:lang w:val="es-ES"/>
        </w:rPr>
      </w:pPr>
      <w:r w:rsidRPr="00F56BD8">
        <w:rPr>
          <w:rFonts w:ascii="Verdana" w:eastAsia="Century Gothic" w:hAnsi="Verdana" w:cs="Century Gothic"/>
          <w:i/>
          <w:iCs/>
          <w:sz w:val="20"/>
          <w:szCs w:val="20"/>
          <w:lang w:val="es-ES"/>
        </w:rPr>
        <w:t>“(…) SE SOLICITO A LA ENTIDAD, ACLARAR SI LA POLIZA DE GARANTIA SE PUEDE SUBSANAR. EJEMPLO DE LA SITUACION: SI POR ERROR NO SE</w:t>
      </w:r>
    </w:p>
    <w:p w14:paraId="4EC6E92F" w14:textId="77777777" w:rsidR="00DF29EC" w:rsidRPr="00F56BD8" w:rsidRDefault="00DF29EC" w:rsidP="00DF29EC">
      <w:pPr>
        <w:spacing w:before="120" w:after="120"/>
        <w:ind w:left="709" w:right="709"/>
        <w:contextualSpacing/>
        <w:jc w:val="both"/>
        <w:rPr>
          <w:rFonts w:ascii="Verdana" w:eastAsia="Century Gothic" w:hAnsi="Verdana" w:cs="Century Gothic"/>
          <w:i/>
          <w:iCs/>
          <w:sz w:val="20"/>
          <w:szCs w:val="20"/>
          <w:lang w:val="es-ES"/>
        </w:rPr>
      </w:pPr>
      <w:r w:rsidRPr="00F56BD8">
        <w:rPr>
          <w:rFonts w:ascii="Verdana" w:eastAsia="Century Gothic" w:hAnsi="Verdana" w:cs="Century Gothic"/>
          <w:i/>
          <w:iCs/>
          <w:sz w:val="20"/>
          <w:szCs w:val="20"/>
          <w:lang w:val="es-ES"/>
        </w:rPr>
        <w:t>ADJUNTA LA POLIZA EN EL PROCESO LICITATORIO, PERO SI SEENCUENTRA EXPEDIDA CON FECHA ANTERIOR A LA FECHA DE CIERRE,</w:t>
      </w:r>
    </w:p>
    <w:p w14:paraId="3FEC9AC6" w14:textId="77777777" w:rsidR="00DF29EC" w:rsidRPr="00F56BD8" w:rsidRDefault="00DF29EC" w:rsidP="00DF29EC">
      <w:pPr>
        <w:spacing w:before="120" w:after="120"/>
        <w:ind w:left="709" w:right="709"/>
        <w:contextualSpacing/>
        <w:jc w:val="both"/>
        <w:rPr>
          <w:rFonts w:ascii="Verdana" w:eastAsia="Century Gothic" w:hAnsi="Verdana" w:cs="Century Gothic"/>
          <w:i/>
          <w:iCs/>
          <w:sz w:val="20"/>
          <w:szCs w:val="20"/>
          <w:lang w:val="es-ES"/>
        </w:rPr>
      </w:pPr>
      <w:r w:rsidRPr="00F56BD8">
        <w:rPr>
          <w:rFonts w:ascii="Verdana" w:eastAsia="Century Gothic" w:hAnsi="Verdana" w:cs="Century Gothic"/>
          <w:i/>
          <w:iCs/>
          <w:sz w:val="20"/>
          <w:szCs w:val="20"/>
          <w:lang w:val="es-ES"/>
        </w:rPr>
        <w:t>PERO POR ERROR HUMANO NO SE ADJUNTA EN EL MOMENTO DEL CARGUE. SIGUE SIENDO CAUZAL DE RECHAZO, O SE PUEDE SUBSANAR</w:t>
      </w:r>
    </w:p>
    <w:p w14:paraId="72FA6A94" w14:textId="77777777" w:rsidR="00DF29EC" w:rsidRPr="00F56BD8" w:rsidRDefault="00DF29EC" w:rsidP="00DF29EC">
      <w:pPr>
        <w:spacing w:before="120" w:after="120"/>
        <w:ind w:left="709" w:right="709"/>
        <w:contextualSpacing/>
        <w:jc w:val="both"/>
        <w:rPr>
          <w:rFonts w:ascii="Verdana" w:eastAsia="Century Gothic" w:hAnsi="Verdana" w:cs="Century Gothic"/>
          <w:i/>
          <w:iCs/>
          <w:sz w:val="20"/>
          <w:szCs w:val="20"/>
          <w:lang w:val="es-ES"/>
        </w:rPr>
      </w:pPr>
      <w:r w:rsidRPr="00F56BD8">
        <w:rPr>
          <w:rFonts w:ascii="Verdana" w:eastAsia="Century Gothic" w:hAnsi="Verdana" w:cs="Century Gothic"/>
          <w:i/>
          <w:iCs/>
          <w:sz w:val="20"/>
          <w:szCs w:val="20"/>
          <w:lang w:val="es-ES"/>
        </w:rPr>
        <w:t>¿SIENDO QUE LA POLIZA TIENE FECHA DE EXPEDICION ANTERIOR ALCIERRE?: (…)”</w:t>
      </w:r>
    </w:p>
    <w:p w14:paraId="0BD7A901" w14:textId="77777777" w:rsidR="00DF29EC" w:rsidRPr="00F56BD8" w:rsidRDefault="00DF29EC" w:rsidP="00DF29EC">
      <w:pPr>
        <w:spacing w:before="120" w:after="120"/>
        <w:ind w:right="709"/>
        <w:contextualSpacing/>
        <w:jc w:val="both"/>
        <w:rPr>
          <w:rFonts w:ascii="Verdana" w:eastAsia="Century Gothic" w:hAnsi="Verdana" w:cs="Century Gothic"/>
          <w:i/>
          <w:iCs/>
          <w:sz w:val="20"/>
          <w:szCs w:val="20"/>
          <w:lang w:val="es-ES"/>
        </w:rPr>
      </w:pPr>
    </w:p>
    <w:p w14:paraId="6B7B3AF1" w14:textId="77777777" w:rsidR="00DF29EC" w:rsidRPr="00F56BD8" w:rsidRDefault="00DF29EC" w:rsidP="00DF29EC">
      <w:pPr>
        <w:spacing w:after="120" w:line="276" w:lineRule="auto"/>
        <w:ind w:firstLine="708"/>
        <w:jc w:val="both"/>
        <w:rPr>
          <w:rFonts w:ascii="Verdana" w:eastAsia="Calibri" w:hAnsi="Verdana" w:cs="Arial"/>
          <w:lang w:val="es-ES" w:eastAsia="es-ES"/>
        </w:rPr>
      </w:pPr>
      <w:r w:rsidRPr="00F56BD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F56BD8">
        <w:rPr>
          <w:rFonts w:ascii="Verdana" w:eastAsia="Calibri" w:hAnsi="Verdana" w:cs="Arial"/>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6BD8">
        <w:rPr>
          <w:rFonts w:ascii="Verdana" w:hAnsi="Verdana"/>
          <w:lang w:val="es-ES"/>
        </w:rPr>
        <w:tab/>
      </w:r>
    </w:p>
    <w:p w14:paraId="71911680" w14:textId="77777777" w:rsidR="00DF29EC" w:rsidRPr="00F56BD8" w:rsidRDefault="00DF29EC" w:rsidP="00DF29EC">
      <w:pPr>
        <w:spacing w:after="0" w:line="276" w:lineRule="auto"/>
        <w:ind w:firstLine="709"/>
        <w:jc w:val="both"/>
        <w:rPr>
          <w:rFonts w:ascii="Verdana" w:eastAsia="Calibri" w:hAnsi="Verdana" w:cs="Arial"/>
          <w:lang w:val="es-ES" w:eastAsia="es-ES"/>
        </w:rPr>
      </w:pPr>
      <w:r w:rsidRPr="00F56BD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6191C84" w14:textId="77777777" w:rsidR="00DF29EC" w:rsidRPr="00F56BD8" w:rsidRDefault="00DF29EC" w:rsidP="00DF29EC">
      <w:pPr>
        <w:spacing w:after="0" w:line="276" w:lineRule="auto"/>
        <w:ind w:firstLine="709"/>
        <w:jc w:val="both"/>
        <w:rPr>
          <w:rFonts w:ascii="Verdana" w:eastAsia="Calibri" w:hAnsi="Verdana" w:cs="Arial"/>
          <w:lang w:val="es-ES" w:eastAsia="es-ES"/>
        </w:rPr>
      </w:pPr>
    </w:p>
    <w:p w14:paraId="6C67E312" w14:textId="77777777" w:rsidR="00DF29EC" w:rsidRPr="00F56BD8" w:rsidRDefault="00DF29EC" w:rsidP="00DF29EC">
      <w:pPr>
        <w:tabs>
          <w:tab w:val="left" w:pos="142"/>
          <w:tab w:val="left" w:pos="284"/>
        </w:tabs>
        <w:spacing w:after="0" w:line="276" w:lineRule="auto"/>
        <w:contextualSpacing/>
        <w:jc w:val="both"/>
        <w:rPr>
          <w:rFonts w:ascii="Verdana" w:eastAsia="Century Gothic" w:hAnsi="Verdana" w:cs="Century Gothic"/>
          <w:b/>
          <w:lang w:val="es-ES"/>
        </w:rPr>
      </w:pPr>
      <w:r w:rsidRPr="00F56BD8">
        <w:rPr>
          <w:rFonts w:ascii="Verdana" w:eastAsia="Century Gothic" w:hAnsi="Verdana" w:cs="Century Gothic"/>
          <w:b/>
          <w:lang w:val="es-ES"/>
        </w:rPr>
        <w:t>1. Problema planteado:</w:t>
      </w:r>
    </w:p>
    <w:p w14:paraId="687F11B0" w14:textId="77777777" w:rsidR="00DF29EC" w:rsidRPr="00D220C7" w:rsidRDefault="00DF29EC" w:rsidP="00DF29EC">
      <w:pPr>
        <w:tabs>
          <w:tab w:val="left" w:pos="426"/>
        </w:tabs>
        <w:spacing w:after="0" w:line="276" w:lineRule="auto"/>
        <w:jc w:val="both"/>
        <w:rPr>
          <w:rFonts w:ascii="Verdana" w:eastAsia="Century Gothic" w:hAnsi="Verdana" w:cs="Century Gothic"/>
          <w:lang w:val="es-ES"/>
        </w:rPr>
      </w:pPr>
    </w:p>
    <w:p w14:paraId="6DD6795B" w14:textId="77777777" w:rsidR="00DF29EC" w:rsidRPr="009D5394" w:rsidRDefault="00DF29EC" w:rsidP="00DF29EC">
      <w:pPr>
        <w:spacing w:after="0" w:line="276" w:lineRule="auto"/>
        <w:jc w:val="both"/>
        <w:rPr>
          <w:rFonts w:ascii="Verdana" w:eastAsia="Century Gothic" w:hAnsi="Verdana" w:cs="Century Gothic"/>
        </w:rPr>
      </w:pPr>
      <w:r w:rsidRPr="009D5394">
        <w:rPr>
          <w:rFonts w:ascii="Verdana" w:eastAsia="Century Gothic" w:hAnsi="Verdana" w:cs="Century Gothic"/>
          <w:lang w:val="es-ES"/>
        </w:rPr>
        <w:t xml:space="preserve">De acuerdo con el contenido de su solicitud, esta Agencia resolverá el siguiente problema jurídico: </w:t>
      </w:r>
      <w:r w:rsidRPr="009D5394">
        <w:rPr>
          <w:rFonts w:ascii="Verdana" w:eastAsia="Century Gothic" w:hAnsi="Verdana" w:cs="Century Gothic"/>
        </w:rPr>
        <w:t>¿Es subsanable la omisión de adjuntar la garantía de seriedad de la oferta cuando esta existía antes del cierre del proceso de selección?</w:t>
      </w:r>
    </w:p>
    <w:p w14:paraId="57FA91E4" w14:textId="77777777" w:rsidR="00DF29EC" w:rsidRPr="00E44689" w:rsidRDefault="00DF29EC" w:rsidP="00DF29EC">
      <w:pPr>
        <w:spacing w:after="0" w:line="276" w:lineRule="auto"/>
        <w:jc w:val="both"/>
        <w:rPr>
          <w:rFonts w:ascii="Verdana" w:eastAsia="Century Gothic" w:hAnsi="Verdana" w:cs="Century Gothic"/>
          <w:color w:val="EE0000"/>
        </w:rPr>
      </w:pPr>
    </w:p>
    <w:p w14:paraId="42BBBF28" w14:textId="77777777" w:rsidR="00DF29EC" w:rsidRPr="0096484D" w:rsidRDefault="00DF29EC" w:rsidP="00DF29EC">
      <w:pPr>
        <w:tabs>
          <w:tab w:val="left" w:pos="142"/>
          <w:tab w:val="left" w:pos="284"/>
        </w:tabs>
        <w:spacing w:after="0" w:line="276" w:lineRule="auto"/>
        <w:jc w:val="both"/>
        <w:rPr>
          <w:rFonts w:ascii="Verdana" w:eastAsia="Century Gothic" w:hAnsi="Verdana" w:cs="Century Gothic"/>
          <w:b/>
          <w:lang w:val="es-ES"/>
        </w:rPr>
      </w:pPr>
      <w:r w:rsidRPr="0096484D">
        <w:rPr>
          <w:rFonts w:ascii="Verdana" w:eastAsia="Century Gothic" w:hAnsi="Verdana" w:cs="Century Gothic"/>
          <w:b/>
          <w:lang w:val="es-ES"/>
        </w:rPr>
        <w:t>2. Respuesta:</w:t>
      </w:r>
    </w:p>
    <w:p w14:paraId="37A12784" w14:textId="77777777" w:rsidR="00DF29EC" w:rsidRPr="00E44689" w:rsidRDefault="00DF29EC" w:rsidP="00DF29EC">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29EC" w:rsidRPr="00E44689" w14:paraId="5EC25C93" w14:textId="77777777" w:rsidTr="00907256">
        <w:tc>
          <w:tcPr>
            <w:tcW w:w="8828" w:type="dxa"/>
          </w:tcPr>
          <w:p w14:paraId="3C75BF75" w14:textId="77777777" w:rsidR="00DF29EC" w:rsidRDefault="00DF29EC" w:rsidP="00907256">
            <w:pPr>
              <w:spacing w:before="120" w:after="120" w:line="276" w:lineRule="auto"/>
              <w:jc w:val="both"/>
              <w:rPr>
                <w:rFonts w:ascii="Verdana" w:eastAsia="Calibri" w:hAnsi="Verdana" w:cs="Arial"/>
              </w:rPr>
            </w:pPr>
            <w:r w:rsidRPr="008F7F88">
              <w:rPr>
                <w:rFonts w:ascii="Verdana" w:eastAsia="Calibri" w:hAnsi="Verdana" w:cs="Arial"/>
              </w:rPr>
              <w:t xml:space="preserve">Para resolver el problema jurídico planteado, en primer lugar, es importante precisar que, </w:t>
            </w:r>
            <w:r>
              <w:rPr>
                <w:rFonts w:ascii="Verdana" w:eastAsia="Calibri" w:hAnsi="Verdana" w:cs="Arial"/>
              </w:rPr>
              <w:t>p</w:t>
            </w:r>
            <w:r w:rsidRPr="00ED6624">
              <w:rPr>
                <w:rFonts w:ascii="Verdana" w:eastAsia="Calibri" w:hAnsi="Verdana" w:cs="Arial"/>
              </w:rPr>
              <w:t>or regla general, para seleccionar contratistas y para ejecutar contratos se requiere la constitución de garantías. Por un lado, la garantía de seriedad respalda al principio de irrevocabilidad de la oferta, caso en el cual los proponentes que pierdan interés en la adjudicación resarcirán los perjuicios causados por su retiro del proceso de selección</w:t>
            </w:r>
            <w:r>
              <w:rPr>
                <w:rFonts w:ascii="Verdana" w:eastAsia="Calibri" w:hAnsi="Verdana" w:cs="Arial"/>
              </w:rPr>
              <w:t>.</w:t>
            </w:r>
          </w:p>
          <w:p w14:paraId="0C3EB071" w14:textId="77777777" w:rsidR="00DF29EC" w:rsidRDefault="00DF29EC" w:rsidP="00907256">
            <w:pPr>
              <w:spacing w:before="120" w:after="120" w:line="276" w:lineRule="auto"/>
              <w:ind w:firstLine="709"/>
              <w:jc w:val="both"/>
              <w:rPr>
                <w:rFonts w:ascii="Verdana" w:eastAsia="Calibri" w:hAnsi="Verdana" w:cs="Arial"/>
              </w:rPr>
            </w:pPr>
            <w:r w:rsidRPr="00BA2A49">
              <w:rPr>
                <w:rFonts w:ascii="Verdana" w:eastAsia="Calibri" w:hAnsi="Verdana" w:cs="Arial"/>
              </w:rPr>
              <w:t xml:space="preserve">Ahora bien, la regla de subsanabilidad en los procedimientos de selección dispone que, como principio general, la ausencia de documentos o los defectos en la acreditación de los requisitos habilitantes pueden ser subsanados. No obstante, la ley consagra tres excepciones expresas a dicha regla: i) cuando se trate de requisitos que inciden en la asignación de puntaje; ii) cuando se pretenda acreditar circunstancias ocurridas con posterioridad al </w:t>
            </w:r>
            <w:r w:rsidRPr="00BA2A49">
              <w:rPr>
                <w:rFonts w:ascii="Verdana" w:eastAsia="Calibri" w:hAnsi="Verdana" w:cs="Arial"/>
              </w:rPr>
              <w:lastRenderedPageBreak/>
              <w:t>cierre del proceso; y iii) cuando no se haya aportado la garantía de seriedad de la oferta junto con la propuesta.</w:t>
            </w:r>
          </w:p>
          <w:p w14:paraId="5C0396B9" w14:textId="77777777" w:rsidR="00DF29EC" w:rsidRDefault="00DF29EC" w:rsidP="00907256">
            <w:pPr>
              <w:spacing w:before="120" w:after="120" w:line="276" w:lineRule="auto"/>
              <w:ind w:firstLine="709"/>
              <w:jc w:val="both"/>
              <w:rPr>
                <w:rFonts w:ascii="Verdana" w:eastAsia="Calibri" w:hAnsi="Verdana" w:cs="Arial"/>
              </w:rPr>
            </w:pPr>
            <w:r w:rsidRPr="00D42BB6">
              <w:rPr>
                <w:rFonts w:ascii="Verdana" w:eastAsia="Calibri" w:hAnsi="Verdana" w:cs="Arial"/>
              </w:rPr>
              <w:t xml:space="preserve">En ese contexto, de conformidad con el artículo 5 de la Ley 1882 de 2018, la prohibición de acreditar circunstancias </w:t>
            </w:r>
            <w:r w:rsidRPr="00114892">
              <w:rPr>
                <w:rFonts w:ascii="Verdana" w:hAnsi="Verdana"/>
              </w:rPr>
              <w:t xml:space="preserve">posteriores </w:t>
            </w:r>
            <w:r w:rsidRPr="00D42BB6">
              <w:rPr>
                <w:rFonts w:ascii="Verdana" w:eastAsia="Calibri" w:hAnsi="Verdana" w:cs="Arial"/>
              </w:rPr>
              <w:t>al cierre del proceso significa que únicamente es subsanable la prueba de hechos o situaciones que ya existían al momento de presentar la oferta, m</w:t>
            </w:r>
            <w:r>
              <w:rPr>
                <w:rFonts w:ascii="Verdana" w:eastAsia="Calibri" w:hAnsi="Verdana" w:cs="Arial"/>
              </w:rPr>
              <w:t>á</w:t>
            </w:r>
            <w:r w:rsidRPr="00D42BB6">
              <w:rPr>
                <w:rFonts w:ascii="Verdana" w:eastAsia="Calibri" w:hAnsi="Verdana" w:cs="Arial"/>
              </w:rPr>
              <w:t>s no la constitución extemporánea de requisitos habilitantes. De allí surge la necesidad de distinguir entre el requisito en sí mismo y su medio de acreditación: lo jurídicamente inadmisible es subsanar un requisito que no se encontraba cumplido al cierre del proceso, mientras que sí resulta procedente aportar con posterioridad los documentos que demuestren una circunstancia preexistente.</w:t>
            </w:r>
          </w:p>
          <w:p w14:paraId="10BA0F7A" w14:textId="77777777" w:rsidR="00DF29EC" w:rsidRDefault="00DF29EC" w:rsidP="00907256">
            <w:pPr>
              <w:spacing w:before="120" w:after="120" w:line="276" w:lineRule="auto"/>
              <w:ind w:firstLine="709"/>
              <w:jc w:val="both"/>
              <w:rPr>
                <w:rFonts w:ascii="Verdana" w:eastAsia="Calibri" w:hAnsi="Verdana" w:cs="Arial"/>
              </w:rPr>
            </w:pPr>
            <w:r>
              <w:rPr>
                <w:rFonts w:ascii="Verdana" w:eastAsia="Calibri" w:hAnsi="Verdana" w:cs="Arial"/>
              </w:rPr>
              <w:t xml:space="preserve">Así las cosas, </w:t>
            </w:r>
            <w:r w:rsidRPr="00114892">
              <w:rPr>
                <w:rFonts w:ascii="Verdana" w:hAnsi="Verdana"/>
              </w:rPr>
              <w:t>la garantía de seriedad de la oferta debe existir y encontrarse válidamente constituida y vigente al cierre del plazo de presentación de propuestas, siendo insubsanable su no aportación o su expedición posterior. No obstante, los soportes documentales asociados a la póliza, como el comprobante de pago de la prima, no constituyen requisitos habilitantes autónomos, sino medios probatorios de una relación jurídica ya existente, cuya acreditación puede realizarse con posterioridad sin que ello suponga la introducción de un hecho nuevo.</w:t>
            </w:r>
          </w:p>
          <w:p w14:paraId="4CF06DBF" w14:textId="77777777" w:rsidR="00DF29EC" w:rsidRDefault="00DF29EC" w:rsidP="00907256">
            <w:pPr>
              <w:tabs>
                <w:tab w:val="left" w:pos="2805"/>
              </w:tabs>
              <w:spacing w:before="120" w:after="120" w:line="276" w:lineRule="auto"/>
              <w:ind w:firstLine="738"/>
              <w:jc w:val="both"/>
              <w:rPr>
                <w:rFonts w:ascii="Verdana" w:eastAsia="Calibri" w:hAnsi="Verdana" w:cs="Arial"/>
              </w:rPr>
            </w:pPr>
            <w:r w:rsidRPr="00114892">
              <w:rPr>
                <w:rFonts w:ascii="Verdana" w:hAnsi="Verdana"/>
              </w:rPr>
              <w:t>Por tanto, la entrega posterior del comprobante de pago se enmarca en la regla general de subsanabilidad, siempre que la póliza haya sido expedida y se encuentre vigente antes del cierre del proceso. En consecuencia, salvo que la ley o el pliego de condiciones hayan previsto de manera expresa, razonable y proporcional el pago de la prima como causal autónoma de rechazo</w:t>
            </w:r>
            <w:r>
              <w:rPr>
                <w:rFonts w:ascii="Verdana" w:hAnsi="Verdana"/>
              </w:rPr>
              <w:t xml:space="preserve">, </w:t>
            </w:r>
            <w:r w:rsidRPr="00114892">
              <w:rPr>
                <w:rFonts w:ascii="Verdana" w:hAnsi="Verdana"/>
              </w:rPr>
              <w:t>lo cual es de interpretación restrictiva, la ausencia inicial de dicho soporte no constituye fundamento jurídico suficiente para rechazar la oferta.</w:t>
            </w:r>
          </w:p>
          <w:p w14:paraId="3EAF1B98" w14:textId="77777777" w:rsidR="00DF29EC" w:rsidRPr="00E44689" w:rsidRDefault="00DF29EC" w:rsidP="00907256">
            <w:pPr>
              <w:spacing w:before="120" w:after="120" w:line="276" w:lineRule="auto"/>
              <w:ind w:firstLine="709"/>
              <w:jc w:val="both"/>
              <w:rPr>
                <w:rFonts w:ascii="Verdana" w:eastAsia="Calibri" w:hAnsi="Verdana" w:cs="Arial"/>
                <w:color w:val="EE0000"/>
              </w:rPr>
            </w:pPr>
            <w:r w:rsidRPr="0021672E">
              <w:rPr>
                <w:rFonts w:ascii="Verdana" w:eastAsia="Calibri" w:hAnsi="Verdana" w:cs="Arial"/>
                <w:bCs/>
              </w:rPr>
              <w:t>Finalmente</w:t>
            </w:r>
            <w:r w:rsidRPr="0021672E">
              <w:rPr>
                <w:rFonts w:ascii="Verdana" w:eastAsia="Calibri" w:hAnsi="Verdana" w:cs="Times New Roman"/>
                <w:lang w:val="es-ES"/>
              </w:rPr>
              <w:t xml:space="preserv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21672E">
              <w:rPr>
                <w:rFonts w:ascii="Verdana" w:eastAsia="Calibri" w:hAnsi="Verdana" w:cs="Times New Roman"/>
                <w:lang w:val="es-ES"/>
              </w:rPr>
              <w:lastRenderedPageBreak/>
              <w:t>interesados de adoptar la decisión y, en caso de conflicto, a las autoridades judiciales, fiscales y disciplinarias.</w:t>
            </w:r>
            <w:r w:rsidRPr="0021672E">
              <w:rPr>
                <w:rFonts w:ascii="Verdana" w:hAnsi="Verdana"/>
              </w:rPr>
              <w:t xml:space="preserve"> </w:t>
            </w:r>
          </w:p>
        </w:tc>
      </w:tr>
    </w:tbl>
    <w:p w14:paraId="616662BE" w14:textId="77777777" w:rsidR="00DF29EC" w:rsidRPr="00E44689" w:rsidRDefault="00DF29EC" w:rsidP="00DF29EC">
      <w:pPr>
        <w:tabs>
          <w:tab w:val="left" w:pos="142"/>
          <w:tab w:val="left" w:pos="284"/>
        </w:tabs>
        <w:spacing w:after="0" w:line="276" w:lineRule="auto"/>
        <w:jc w:val="both"/>
        <w:rPr>
          <w:rFonts w:ascii="Verdana" w:eastAsia="Century Gothic" w:hAnsi="Verdana" w:cs="Century Gothic"/>
          <w:b/>
          <w:bCs/>
          <w:color w:val="EE0000"/>
          <w:lang w:val="es-ES"/>
        </w:rPr>
      </w:pPr>
    </w:p>
    <w:p w14:paraId="2FE71014" w14:textId="77777777" w:rsidR="00DF29EC" w:rsidRPr="0021672E" w:rsidRDefault="00DF29EC" w:rsidP="00DF29EC">
      <w:pPr>
        <w:tabs>
          <w:tab w:val="left" w:pos="142"/>
          <w:tab w:val="left" w:pos="284"/>
        </w:tabs>
        <w:spacing w:after="0" w:line="276" w:lineRule="auto"/>
        <w:jc w:val="both"/>
        <w:rPr>
          <w:rFonts w:ascii="Verdana" w:eastAsia="Century Gothic" w:hAnsi="Verdana" w:cs="Century Gothic"/>
          <w:b/>
          <w:lang w:val="es-ES"/>
        </w:rPr>
      </w:pPr>
      <w:r w:rsidRPr="0021672E">
        <w:rPr>
          <w:rFonts w:ascii="Verdana" w:eastAsia="Century Gothic" w:hAnsi="Verdana" w:cs="Century Gothic"/>
          <w:b/>
          <w:lang w:val="es-ES"/>
        </w:rPr>
        <w:t>3. Razones de la respuesta:</w:t>
      </w:r>
    </w:p>
    <w:p w14:paraId="4E60AF2C" w14:textId="77777777" w:rsidR="00DF29EC" w:rsidRPr="0021672E" w:rsidRDefault="00DF29EC" w:rsidP="00DF29EC">
      <w:pPr>
        <w:tabs>
          <w:tab w:val="left" w:pos="142"/>
          <w:tab w:val="left" w:pos="284"/>
        </w:tabs>
        <w:spacing w:after="0" w:line="276" w:lineRule="auto"/>
        <w:jc w:val="both"/>
        <w:rPr>
          <w:rFonts w:ascii="Verdana" w:eastAsia="Century Gothic" w:hAnsi="Verdana" w:cs="Century Gothic"/>
          <w:b/>
          <w:lang w:val="es-ES"/>
        </w:rPr>
      </w:pPr>
    </w:p>
    <w:p w14:paraId="6E2D1801" w14:textId="77777777" w:rsidR="00DF29EC" w:rsidRPr="00E44689" w:rsidRDefault="00DF29EC" w:rsidP="00DF29EC">
      <w:pPr>
        <w:tabs>
          <w:tab w:val="left" w:pos="7451"/>
        </w:tabs>
        <w:spacing w:after="0" w:line="276" w:lineRule="auto"/>
        <w:jc w:val="both"/>
        <w:rPr>
          <w:rFonts w:ascii="Verdana" w:eastAsia="Calibri" w:hAnsi="Verdana" w:cs="Arial"/>
          <w:color w:val="EE0000"/>
          <w:lang w:val="es-ES"/>
        </w:rPr>
      </w:pPr>
      <w:r w:rsidRPr="0021672E">
        <w:rPr>
          <w:rFonts w:ascii="Verdana" w:eastAsia="Calibri" w:hAnsi="Verdana" w:cs="Arial"/>
          <w:lang w:val="es-ES"/>
        </w:rPr>
        <w:t>Lo anterior se sustenta en las siguientes consideraciones:</w:t>
      </w:r>
      <w:r w:rsidRPr="00E44689">
        <w:rPr>
          <w:rFonts w:ascii="Verdana" w:eastAsia="Calibri" w:hAnsi="Verdana" w:cs="Arial"/>
          <w:color w:val="EE0000"/>
          <w:lang w:val="es-ES"/>
        </w:rPr>
        <w:tab/>
      </w:r>
    </w:p>
    <w:p w14:paraId="52FEC337" w14:textId="77777777" w:rsidR="00DF29EC" w:rsidRPr="00E44689" w:rsidRDefault="00DF29EC" w:rsidP="00DF29EC">
      <w:pPr>
        <w:tabs>
          <w:tab w:val="left" w:pos="7451"/>
        </w:tabs>
        <w:spacing w:after="0" w:line="276" w:lineRule="auto"/>
        <w:jc w:val="both"/>
        <w:rPr>
          <w:rFonts w:ascii="Verdana" w:eastAsia="Calibri" w:hAnsi="Verdana" w:cs="Arial"/>
          <w:color w:val="EE0000"/>
          <w:lang w:val="es-ES"/>
        </w:rPr>
      </w:pPr>
    </w:p>
    <w:p w14:paraId="129401B4" w14:textId="77777777" w:rsidR="00DF29EC" w:rsidRPr="00983DE2" w:rsidRDefault="00DF29EC" w:rsidP="00DF29EC">
      <w:pPr>
        <w:spacing w:after="0" w:line="276" w:lineRule="auto"/>
        <w:jc w:val="both"/>
        <w:rPr>
          <w:rFonts w:ascii="Verdana" w:eastAsia="Calibri" w:hAnsi="Verdana" w:cs="Arial"/>
          <w:color w:val="000000" w:themeColor="text1"/>
          <w:lang w:val="es-ES"/>
        </w:rPr>
      </w:pPr>
      <w:r w:rsidRPr="0021672E">
        <w:rPr>
          <w:rFonts w:ascii="Verdana" w:eastAsia="Calibri" w:hAnsi="Verdana" w:cs="Arial"/>
          <w:bCs/>
          <w:lang w:eastAsia="es-ES_tradnl"/>
        </w:rPr>
        <w:t xml:space="preserve">i. </w:t>
      </w:r>
      <w:r w:rsidRPr="00983DE2">
        <w:rPr>
          <w:rFonts w:ascii="Verdana" w:hAnsi="Verdana" w:cs="Arial"/>
          <w:color w:val="000000"/>
          <w:shd w:val="clear" w:color="auto" w:fill="FFFFFF"/>
          <w:lang w:val="es-ES"/>
        </w:rPr>
        <w:t xml:space="preserve">Por regla general, para seleccionar contratistas y para ejecutar contratos se requiere la constitución de garantías. </w:t>
      </w:r>
      <w:bookmarkStart w:id="2" w:name="_Hlk47893233"/>
      <w:r w:rsidRPr="00983DE2">
        <w:rPr>
          <w:rFonts w:ascii="Verdana" w:hAnsi="Verdana" w:cs="Arial"/>
          <w:color w:val="000000"/>
          <w:shd w:val="clear" w:color="auto" w:fill="FFFFFF"/>
          <w:lang w:val="es-ES"/>
        </w:rPr>
        <w:t>Por un lado, l</w:t>
      </w:r>
      <w:r w:rsidRPr="00983DE2">
        <w:rPr>
          <w:rFonts w:ascii="Verdana" w:eastAsia="Calibri" w:hAnsi="Verdana" w:cs="Arial"/>
          <w:color w:val="000000" w:themeColor="text1"/>
          <w:lang w:val="es-ES"/>
        </w:rPr>
        <w:t xml:space="preserve">a </w:t>
      </w:r>
      <w:r w:rsidRPr="00983DE2">
        <w:rPr>
          <w:rFonts w:ascii="Verdana" w:eastAsia="Calibri" w:hAnsi="Verdana" w:cs="Arial"/>
          <w:i/>
          <w:iCs/>
          <w:color w:val="000000" w:themeColor="text1"/>
          <w:lang w:val="es-ES"/>
        </w:rPr>
        <w:t>garantía de seriedad</w:t>
      </w:r>
      <w:r w:rsidRPr="00983DE2">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2"/>
      <w:r w:rsidRPr="00983DE2">
        <w:rPr>
          <w:rStyle w:val="Refdenotaalpie"/>
          <w:rFonts w:ascii="Verdana" w:eastAsia="Calibri" w:hAnsi="Verdana" w:cs="Arial"/>
          <w:color w:val="000000" w:themeColor="text1"/>
          <w:lang w:val="es-ES"/>
        </w:rPr>
        <w:footnoteReference w:id="1"/>
      </w:r>
      <w:r w:rsidRPr="00983DE2">
        <w:rPr>
          <w:rFonts w:ascii="Verdana" w:eastAsia="Calibri" w:hAnsi="Verdana" w:cs="Arial"/>
          <w:color w:val="000000" w:themeColor="text1"/>
          <w:lang w:val="es-ES"/>
        </w:rPr>
        <w:t>. Sobre este aspecto, la doctrina explica que:</w:t>
      </w:r>
    </w:p>
    <w:p w14:paraId="53121F5F" w14:textId="77777777" w:rsidR="00DF29EC" w:rsidRPr="00983DE2" w:rsidRDefault="00DF29EC" w:rsidP="00DF29EC">
      <w:pPr>
        <w:spacing w:after="0" w:line="276" w:lineRule="auto"/>
        <w:jc w:val="both"/>
        <w:rPr>
          <w:rFonts w:ascii="Verdana" w:eastAsia="Calibri" w:hAnsi="Verdana" w:cs="Arial"/>
          <w:color w:val="000000" w:themeColor="text1"/>
          <w:lang w:val="es-ES"/>
        </w:rPr>
      </w:pPr>
    </w:p>
    <w:p w14:paraId="794A5633" w14:textId="77777777" w:rsidR="00DF29EC" w:rsidRPr="00104A4A" w:rsidRDefault="00DF29EC" w:rsidP="00DF29EC">
      <w:pPr>
        <w:spacing w:after="0" w:line="240" w:lineRule="auto"/>
        <w:ind w:left="709" w:right="709"/>
        <w:jc w:val="both"/>
        <w:rPr>
          <w:rFonts w:ascii="Verdana" w:eastAsia="Calibri" w:hAnsi="Verdana" w:cs="Arial"/>
          <w:color w:val="000000" w:themeColor="text1"/>
          <w:sz w:val="20"/>
          <w:szCs w:val="20"/>
          <w:lang w:val="es-ES"/>
        </w:rPr>
      </w:pPr>
      <w:r w:rsidRPr="00104A4A">
        <w:rPr>
          <w:rFonts w:ascii="Verdana" w:eastAsia="Calibri" w:hAnsi="Verdana" w:cs="Arial"/>
          <w:color w:val="000000" w:themeColor="text1"/>
          <w:sz w:val="20"/>
          <w:szCs w:val="20"/>
          <w:lang w:val="es-ES"/>
        </w:rPr>
        <w:t xml:space="preserve">“Las </w:t>
      </w:r>
      <w:r w:rsidRPr="00104A4A">
        <w:rPr>
          <w:rFonts w:ascii="Verdana" w:eastAsia="Calibri" w:hAnsi="Verdana" w:cs="Arial"/>
          <w:i/>
          <w:iCs/>
          <w:color w:val="000000" w:themeColor="text1"/>
          <w:sz w:val="20"/>
          <w:szCs w:val="20"/>
          <w:lang w:val="es-ES"/>
        </w:rPr>
        <w:t>garantías provisionales</w:t>
      </w:r>
      <w:r w:rsidRPr="00104A4A">
        <w:rPr>
          <w:rFonts w:ascii="Verdana" w:eastAsia="Calibri" w:hAnsi="Verdana" w:cs="Arial"/>
          <w:color w:val="000000" w:themeColor="text1"/>
          <w:sz w:val="20"/>
          <w:szCs w:val="20"/>
          <w:lang w:val="es-ES"/>
        </w:rPr>
        <w:t xml:space="preserve"> “avalan la solemnidad de la oferta por parte del contratista”; constituyen una seña pre-contractual destinada a </w:t>
      </w:r>
      <w:r w:rsidRPr="00104A4A">
        <w:rPr>
          <w:rFonts w:ascii="Verdana" w:eastAsia="Calibri" w:hAnsi="Verdana" w:cs="Arial"/>
          <w:i/>
          <w:iCs/>
          <w:color w:val="000000" w:themeColor="text1"/>
          <w:sz w:val="20"/>
          <w:szCs w:val="20"/>
          <w:lang w:val="es-ES"/>
        </w:rPr>
        <w:t>asegurar la celebración del contrato</w:t>
      </w:r>
      <w:r w:rsidRPr="00104A4A">
        <w:rPr>
          <w:rFonts w:ascii="Verdana" w:eastAsia="Calibri" w:hAnsi="Verdana" w:cs="Arial"/>
          <w:color w:val="000000" w:themeColor="text1"/>
          <w:sz w:val="20"/>
          <w:szCs w:val="20"/>
          <w:lang w:val="es-ES"/>
        </w:rPr>
        <w:t xml:space="preserve">, no su cumplimiento. La administración procede a devolver a los oferentes no adjudicatarios, y a transformar en definitiva respecto al adjudicatario, las garantías provisionales, deduciéndose entonces que las </w:t>
      </w:r>
      <w:r w:rsidRPr="00104A4A">
        <w:rPr>
          <w:rFonts w:ascii="Verdana" w:eastAsia="Calibri" w:hAnsi="Verdana" w:cs="Arial"/>
          <w:i/>
          <w:iCs/>
          <w:color w:val="000000" w:themeColor="text1"/>
          <w:sz w:val="20"/>
          <w:szCs w:val="20"/>
          <w:lang w:val="es-ES"/>
        </w:rPr>
        <w:t>arras</w:t>
      </w:r>
      <w:r w:rsidRPr="00104A4A">
        <w:rPr>
          <w:rFonts w:ascii="Verdana" w:eastAsia="Calibri" w:hAnsi="Verdana" w:cs="Arial"/>
          <w:color w:val="000000" w:themeColor="text1"/>
          <w:sz w:val="20"/>
          <w:szCs w:val="20"/>
          <w:lang w:val="es-ES"/>
        </w:rPr>
        <w:t xml:space="preserve"> no forman parte del precio, ni son por tanto arras confirmatorias […], sino puramente penitenciales […] como garantías y compensación del </w:t>
      </w:r>
      <w:r w:rsidRPr="00104A4A">
        <w:rPr>
          <w:rFonts w:ascii="Verdana" w:eastAsia="Calibri" w:hAnsi="Verdana" w:cs="Arial"/>
          <w:i/>
          <w:iCs/>
          <w:color w:val="000000" w:themeColor="text1"/>
          <w:sz w:val="20"/>
          <w:szCs w:val="20"/>
          <w:lang w:val="es-ES"/>
        </w:rPr>
        <w:t>ius puniendi</w:t>
      </w:r>
      <w:r w:rsidRPr="00104A4A">
        <w:rPr>
          <w:rFonts w:ascii="Verdana" w:eastAsia="Calibri" w:hAnsi="Verdana" w:cs="Arial"/>
          <w:color w:val="000000" w:themeColor="text1"/>
          <w:sz w:val="20"/>
          <w:szCs w:val="20"/>
          <w:lang w:val="es-ES"/>
        </w:rPr>
        <w:t xml:space="preserve"> del licitante. Son, en consecuencia, “la medida de la responsabilidad pre-contractual del oferente”; o, más bien, la garantía de oferta representa en definitiva la medida de la responsabilidad”</w:t>
      </w:r>
      <w:r w:rsidRPr="00104A4A">
        <w:rPr>
          <w:rStyle w:val="Refdenotaalpie"/>
          <w:rFonts w:ascii="Verdana" w:eastAsia="Calibri" w:hAnsi="Verdana" w:cs="Arial"/>
          <w:color w:val="000000" w:themeColor="text1"/>
          <w:sz w:val="20"/>
          <w:szCs w:val="20"/>
          <w:lang w:val="es-ES"/>
        </w:rPr>
        <w:footnoteReference w:id="2"/>
      </w:r>
      <w:r w:rsidRPr="00104A4A">
        <w:rPr>
          <w:rFonts w:ascii="Verdana" w:eastAsia="Calibri" w:hAnsi="Verdana" w:cs="Arial"/>
          <w:color w:val="000000" w:themeColor="text1"/>
          <w:sz w:val="20"/>
          <w:szCs w:val="20"/>
          <w:lang w:val="es-ES"/>
        </w:rPr>
        <w:t xml:space="preserve">. (Cursivas dentro del texto)   </w:t>
      </w:r>
    </w:p>
    <w:p w14:paraId="33D9E8CD" w14:textId="77777777" w:rsidR="00DF29EC" w:rsidRPr="00983DE2" w:rsidRDefault="00DF29EC" w:rsidP="00DF29EC">
      <w:pPr>
        <w:spacing w:after="0" w:line="276" w:lineRule="auto"/>
        <w:jc w:val="both"/>
        <w:rPr>
          <w:rFonts w:ascii="Verdana" w:eastAsia="Calibri" w:hAnsi="Verdana" w:cs="Arial"/>
          <w:color w:val="000000" w:themeColor="text1"/>
          <w:lang w:val="es-ES"/>
        </w:rPr>
      </w:pPr>
    </w:p>
    <w:p w14:paraId="49C4C721" w14:textId="77777777" w:rsidR="00DF29EC" w:rsidRDefault="00DF29EC" w:rsidP="00DF29EC">
      <w:pPr>
        <w:spacing w:after="120" w:line="276" w:lineRule="auto"/>
        <w:ind w:firstLine="709"/>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En contraste, mediante la </w:t>
      </w:r>
      <w:r w:rsidRPr="00983DE2">
        <w:rPr>
          <w:rFonts w:ascii="Verdana" w:eastAsia="Calibri" w:hAnsi="Verdana" w:cs="Arial"/>
          <w:i/>
          <w:iCs/>
          <w:color w:val="000000" w:themeColor="text1"/>
          <w:lang w:val="es-ES"/>
        </w:rPr>
        <w:t>garantía de única de cumplimiento</w:t>
      </w:r>
      <w:r w:rsidRPr="00983DE2">
        <w:rPr>
          <w:rFonts w:ascii="Verdana" w:eastAsia="Calibri" w:hAnsi="Verdana" w:cs="Arial"/>
          <w:color w:val="000000" w:themeColor="text1"/>
          <w:lang w:val="es-ES"/>
        </w:rPr>
        <w:t xml:space="preserve">, el contratista ampara los perjuicios que le pueda generar a la entidad el </w:t>
      </w:r>
      <w:r w:rsidRPr="00983DE2">
        <w:rPr>
          <w:rFonts w:ascii="Verdana" w:eastAsia="Calibri" w:hAnsi="Verdana" w:cs="Arial"/>
          <w:color w:val="000000" w:themeColor="text1"/>
          <w:lang w:val="es-ES"/>
        </w:rPr>
        <w:lastRenderedPageBreak/>
        <w:t>incumplimiento de las obligaciones derivadas del contrato</w:t>
      </w:r>
      <w:r w:rsidRPr="00983DE2">
        <w:rPr>
          <w:rStyle w:val="Refdenotaalpie"/>
          <w:rFonts w:ascii="Verdana" w:eastAsia="Calibri" w:hAnsi="Verdana" w:cs="Arial"/>
          <w:color w:val="000000" w:themeColor="text1"/>
          <w:lang w:val="es-ES"/>
        </w:rPr>
        <w:footnoteReference w:id="3"/>
      </w:r>
      <w:r w:rsidRPr="00983DE2">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983DE2">
        <w:rPr>
          <w:rFonts w:ascii="Verdana" w:hAnsi="Verdana" w:cs="Arial"/>
          <w:color w:val="000000" w:themeColor="text1"/>
          <w:lang w:val="es-ES"/>
        </w:rPr>
        <w:t>Para estos efectos es única, ya que “[…] La prioridad […] es que no haya garantías separadas para los diferentes riesgos, aunque existan varias garantías para diferentes proporciones del interés asegurado […]”</w:t>
      </w:r>
      <w:r w:rsidRPr="00983DE2">
        <w:rPr>
          <w:rStyle w:val="Refdenotaalpie"/>
          <w:rFonts w:ascii="Verdana" w:hAnsi="Verdana" w:cs="Arial"/>
          <w:color w:val="000000" w:themeColor="text1"/>
          <w:lang w:val="es-ES"/>
        </w:rPr>
        <w:footnoteReference w:id="4"/>
      </w:r>
      <w:r w:rsidRPr="00983DE2">
        <w:rPr>
          <w:rFonts w:ascii="Verdana" w:hAnsi="Verdana" w:cs="Arial"/>
          <w:color w:val="000000" w:themeColor="text1"/>
          <w:lang w:val="es-ES"/>
        </w:rPr>
        <w:t xml:space="preserve">.    </w:t>
      </w:r>
    </w:p>
    <w:p w14:paraId="1D1821D8" w14:textId="77777777" w:rsidR="00DF29EC" w:rsidRPr="00983DE2" w:rsidRDefault="00DF29EC" w:rsidP="00DF29EC">
      <w:pPr>
        <w:spacing w:after="120" w:line="276" w:lineRule="auto"/>
        <w:ind w:firstLine="709"/>
        <w:jc w:val="both"/>
        <w:rPr>
          <w:rFonts w:ascii="Verdana" w:hAnsi="Verdana" w:cs="Arial"/>
          <w:color w:val="000000" w:themeColor="text1"/>
          <w:lang w:val="es-ES"/>
        </w:rPr>
      </w:pPr>
      <w:r w:rsidRPr="00983DE2">
        <w:rPr>
          <w:rFonts w:ascii="Verdana" w:hAnsi="Verdana" w:cs="Arial"/>
          <w:color w:val="000000" w:themeColor="text1"/>
          <w:lang w:val="es-ES"/>
        </w:rPr>
        <w:t>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ii) garantías bancarias o iii)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0983DE2">
        <w:rPr>
          <w:rStyle w:val="Refdenotaalpie"/>
          <w:rFonts w:ascii="Verdana" w:hAnsi="Verdana" w:cs="Arial"/>
          <w:color w:val="000000" w:themeColor="text1"/>
          <w:lang w:val="es-ES"/>
        </w:rPr>
        <w:footnoteReference w:id="5"/>
      </w:r>
      <w:r w:rsidRPr="00983DE2">
        <w:rPr>
          <w:rFonts w:ascii="Verdana" w:hAnsi="Verdana" w:cs="Arial"/>
          <w:color w:val="000000" w:themeColor="text1"/>
          <w:lang w:val="es-ES"/>
        </w:rPr>
        <w:t>. De esta manera, las garantías previstas en la ley tienen como objetivo asegurar la solvencia del garante</w:t>
      </w:r>
      <w:r w:rsidRPr="00983DE2">
        <w:rPr>
          <w:rStyle w:val="Refdenotaalpie"/>
          <w:rFonts w:ascii="Verdana" w:hAnsi="Verdana" w:cs="Arial"/>
          <w:color w:val="000000" w:themeColor="text1"/>
          <w:lang w:val="es-ES"/>
        </w:rPr>
        <w:footnoteReference w:id="6"/>
      </w:r>
      <w:r w:rsidRPr="00983DE2">
        <w:rPr>
          <w:rFonts w:ascii="Verdana" w:hAnsi="Verdana" w:cs="Arial"/>
          <w:color w:val="000000" w:themeColor="text1"/>
          <w:lang w:val="es-ES"/>
        </w:rPr>
        <w:t>.</w:t>
      </w:r>
    </w:p>
    <w:p w14:paraId="41D721AD" w14:textId="77777777" w:rsidR="00DF29EC" w:rsidRDefault="00DF29EC" w:rsidP="00DF29EC">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lastRenderedPageBreak/>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7533CB40" w14:textId="77777777" w:rsidR="00DF29EC" w:rsidRPr="00104A4A" w:rsidRDefault="00DF29EC" w:rsidP="00DF29EC">
      <w:pPr>
        <w:spacing w:after="120" w:line="276" w:lineRule="auto"/>
        <w:jc w:val="both"/>
        <w:rPr>
          <w:rFonts w:ascii="Verdana" w:eastAsia="Times New Roman" w:hAnsi="Verdana" w:cs="Arial"/>
          <w:lang w:val="es-ES" w:eastAsia="es-ES"/>
        </w:rPr>
      </w:pPr>
      <w:r>
        <w:rPr>
          <w:rFonts w:ascii="Verdana" w:hAnsi="Verdana" w:cs="Arial"/>
          <w:color w:val="000000" w:themeColor="text1"/>
          <w:lang w:val="es-ES"/>
        </w:rPr>
        <w:t xml:space="preserve">ii) Ahora bien, </w:t>
      </w:r>
      <w:r>
        <w:rPr>
          <w:rFonts w:ascii="Verdana" w:hAnsi="Verdana" w:cs="Arial"/>
          <w:noProof/>
          <w:lang w:val="es-ES"/>
        </w:rPr>
        <w:t>l</w:t>
      </w:r>
      <w:r w:rsidRPr="3F2B4452">
        <w:rPr>
          <w:rFonts w:ascii="Verdana" w:eastAsia="Times New Roman" w:hAnsi="Verdana" w:cs="Arial"/>
        </w:rPr>
        <w:t>a regla de la subsanabilidad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w:t>
      </w:r>
      <w:r w:rsidRPr="00104A4A">
        <w:rPr>
          <w:rFonts w:ascii="Verdana" w:eastAsia="Times New Roman" w:hAnsi="Verdana" w:cs="Arial"/>
          <w:lang w:val="es-ES" w:eastAsia="es-ES"/>
        </w:rPr>
        <w:t>seriedad de la oferta que no fue aportada con la propuesta.</w:t>
      </w:r>
    </w:p>
    <w:p w14:paraId="5F095B8C" w14:textId="77777777" w:rsidR="00DF29EC" w:rsidRPr="00104A4A" w:rsidRDefault="00DF29EC" w:rsidP="00DF29EC">
      <w:pPr>
        <w:tabs>
          <w:tab w:val="left" w:pos="3828"/>
        </w:tabs>
        <w:spacing w:after="120" w:line="276" w:lineRule="auto"/>
        <w:ind w:firstLine="709"/>
        <w:jc w:val="both"/>
        <w:rPr>
          <w:rFonts w:ascii="Verdana" w:eastAsia="Times New Roman" w:hAnsi="Verdana" w:cs="Arial"/>
          <w:lang w:val="es-ES" w:eastAsia="es-ES"/>
        </w:rPr>
      </w:pPr>
      <w:r w:rsidRPr="00104A4A">
        <w:rPr>
          <w:rFonts w:ascii="Verdana" w:eastAsia="Times New Roman" w:hAnsi="Verdana" w:cs="Arial"/>
          <w:lang w:val="es-ES" w:eastAsia="es-ES"/>
        </w:rPr>
        <w:t xml:space="preserve">La posibilidad de enmendar, corregir o subsanar los errores en los que se incurre en los documentos contentivos de la oferta, es un asunto que ha tenido diferentes momentos o etapas en el ordenamiento jurídico colombiano. </w:t>
      </w:r>
    </w:p>
    <w:p w14:paraId="0509E919" w14:textId="77777777" w:rsidR="00DF29EC" w:rsidRPr="00104A4A" w:rsidRDefault="00DF29EC" w:rsidP="00DF29EC">
      <w:pPr>
        <w:spacing w:after="120" w:line="276" w:lineRule="auto"/>
        <w:ind w:firstLine="709"/>
        <w:jc w:val="both"/>
        <w:rPr>
          <w:rFonts w:ascii="Verdana" w:eastAsia="Arial" w:hAnsi="Verdana" w:cs="Arial"/>
        </w:rPr>
      </w:pPr>
      <w:r w:rsidRPr="00104A4A">
        <w:rPr>
          <w:rFonts w:ascii="Verdana" w:eastAsia="Arial" w:hAnsi="Verdana" w:cs="Arial"/>
        </w:rPr>
        <w:t xml:space="preserve">En un </w:t>
      </w:r>
      <w:r w:rsidRPr="00104A4A">
        <w:rPr>
          <w:rFonts w:ascii="Verdana" w:eastAsia="Arial" w:hAnsi="Verdana" w:cs="Arial"/>
          <w:i/>
        </w:rPr>
        <w:t>primer momento</w:t>
      </w:r>
      <w:r w:rsidRPr="00104A4A">
        <w:rPr>
          <w:rFonts w:ascii="Verdana" w:eastAsia="Arial" w:hAnsi="Verdana" w:cs="Arial"/>
        </w:rPr>
        <w:t xml:space="preserve">, antes de expedirse la Constitución Política de 1991, el régimen jurídico de la subsanabilidad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68401263" w14:textId="77777777" w:rsidR="00DF29EC" w:rsidRPr="00104A4A" w:rsidRDefault="00DF29EC" w:rsidP="00DF29EC">
      <w:pPr>
        <w:spacing w:before="120" w:after="0" w:line="276" w:lineRule="auto"/>
        <w:ind w:firstLine="709"/>
        <w:jc w:val="both"/>
        <w:rPr>
          <w:rFonts w:ascii="Verdana" w:eastAsia="Arial" w:hAnsi="Verdana" w:cs="Arial"/>
        </w:rPr>
      </w:pPr>
      <w:r w:rsidRPr="00104A4A">
        <w:rPr>
          <w:rFonts w:ascii="Verdana" w:eastAsia="Arial" w:hAnsi="Verdana" w:cs="Arial"/>
        </w:rPr>
        <w:t xml:space="preserve">En un </w:t>
      </w:r>
      <w:r w:rsidRPr="00104A4A">
        <w:rPr>
          <w:rFonts w:ascii="Verdana" w:eastAsia="Arial" w:hAnsi="Verdana" w:cs="Arial"/>
          <w:i/>
        </w:rPr>
        <w:t>segundo momento</w:t>
      </w:r>
      <w:r w:rsidRPr="00104A4A">
        <w:rPr>
          <w:rFonts w:ascii="Verdana" w:eastAsia="Arial" w:hAnsi="Verdana" w:cs="Arial"/>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p>
    <w:p w14:paraId="7D0E438B" w14:textId="77777777" w:rsidR="00DF29EC" w:rsidRPr="00104A4A" w:rsidRDefault="00DF29EC" w:rsidP="00DF29EC">
      <w:pPr>
        <w:spacing w:after="0" w:line="276" w:lineRule="auto"/>
        <w:jc w:val="both"/>
        <w:rPr>
          <w:rFonts w:ascii="Verdana" w:eastAsia="Arial" w:hAnsi="Verdana" w:cs="Arial"/>
        </w:rPr>
      </w:pPr>
    </w:p>
    <w:p w14:paraId="274214B2" w14:textId="77777777" w:rsidR="00DF29EC" w:rsidRPr="00104A4A" w:rsidRDefault="00DF29EC" w:rsidP="00DF29EC">
      <w:pPr>
        <w:spacing w:after="0" w:line="240" w:lineRule="auto"/>
        <w:ind w:left="709" w:right="709"/>
        <w:jc w:val="both"/>
        <w:rPr>
          <w:rFonts w:ascii="Verdana" w:eastAsia="Arial" w:hAnsi="Verdana" w:cs="Arial"/>
          <w:sz w:val="20"/>
          <w:szCs w:val="20"/>
        </w:rPr>
      </w:pPr>
      <w:r w:rsidRPr="00104A4A">
        <w:rPr>
          <w:rFonts w:ascii="Verdana" w:eastAsia="Arial" w:hAnsi="Verdana" w:cs="Arial"/>
          <w:sz w:val="20"/>
          <w:szCs w:val="20"/>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2D20CB67" w14:textId="77777777" w:rsidR="00DF29EC" w:rsidRPr="00104A4A" w:rsidRDefault="00DF29EC" w:rsidP="00DF29EC">
      <w:pPr>
        <w:spacing w:after="0" w:line="240" w:lineRule="auto"/>
        <w:ind w:left="709" w:right="709"/>
        <w:jc w:val="both"/>
        <w:rPr>
          <w:rFonts w:ascii="Verdana" w:eastAsia="Arial" w:hAnsi="Verdana" w:cs="Arial"/>
          <w:sz w:val="20"/>
          <w:szCs w:val="20"/>
        </w:rPr>
      </w:pPr>
    </w:p>
    <w:p w14:paraId="5E2806FB" w14:textId="77777777" w:rsidR="00DF29EC" w:rsidRPr="00104A4A" w:rsidRDefault="00DF29EC" w:rsidP="00DF29EC">
      <w:pPr>
        <w:spacing w:after="0" w:line="240" w:lineRule="auto"/>
        <w:ind w:left="709" w:right="709"/>
        <w:jc w:val="both"/>
        <w:rPr>
          <w:rFonts w:ascii="Verdana" w:eastAsia="Arial" w:hAnsi="Verdana" w:cs="Arial"/>
          <w:sz w:val="20"/>
          <w:szCs w:val="20"/>
        </w:rPr>
      </w:pPr>
      <w:r w:rsidRPr="00104A4A">
        <w:rPr>
          <w:rFonts w:ascii="Verdana" w:eastAsia="Arial" w:hAnsi="Verdana" w:cs="Arial"/>
          <w:sz w:val="20"/>
          <w:szCs w:val="20"/>
        </w:rPr>
        <w:lastRenderedPageBreak/>
        <w:t xml:space="preserve">La ausencia de requisitos o la falta de documentos referentes a la futura contratación o al proponente, no necesarios para la comparación de propuestas, no servirá de título suficiente para el rechazo de los ofrecimientos hechos”. </w:t>
      </w:r>
    </w:p>
    <w:p w14:paraId="40A0BFD9" w14:textId="77777777" w:rsidR="00DF29EC" w:rsidRPr="00104A4A" w:rsidRDefault="00DF29EC" w:rsidP="00DF29EC">
      <w:pPr>
        <w:spacing w:after="0" w:line="240" w:lineRule="auto"/>
        <w:ind w:left="709" w:right="709"/>
        <w:jc w:val="both"/>
        <w:rPr>
          <w:rFonts w:ascii="Verdana" w:eastAsia="Arial" w:hAnsi="Verdana" w:cs="Arial"/>
        </w:rPr>
      </w:pPr>
    </w:p>
    <w:p w14:paraId="71ECBA8D" w14:textId="77777777" w:rsidR="00DF29EC" w:rsidRPr="00104A4A" w:rsidRDefault="00DF29EC" w:rsidP="00DF29EC">
      <w:pPr>
        <w:spacing w:after="0" w:line="276" w:lineRule="auto"/>
        <w:ind w:firstLine="709"/>
        <w:jc w:val="both"/>
        <w:rPr>
          <w:rFonts w:ascii="Verdana" w:eastAsia="Arial" w:hAnsi="Verdana" w:cs="Arial"/>
        </w:rPr>
      </w:pPr>
      <w:r w:rsidRPr="00104A4A">
        <w:rPr>
          <w:rFonts w:ascii="Verdana" w:eastAsia="Arial" w:hAnsi="Verdana" w:cs="Arial"/>
        </w:rPr>
        <w:t>Bajo el amparo de esta norma, el régimen jurídico de subsanabilidad de las ofertas sufre un cambio fundamental, pues ya no era posible rechazar las ofertas por falta de requisitos o documentos que no fueran “</w:t>
      </w:r>
      <w:r w:rsidRPr="00104A4A">
        <w:rPr>
          <w:rFonts w:ascii="Verdana" w:eastAsia="Arial" w:hAnsi="Verdana" w:cs="Arial"/>
          <w:i/>
        </w:rPr>
        <w:t>necesarios para la comparación de propuestas</w:t>
      </w:r>
      <w:r w:rsidRPr="00104A4A">
        <w:rPr>
          <w:rFonts w:ascii="Verdana" w:eastAsia="Arial" w:hAnsi="Verdana" w:cs="Arial"/>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21BDA172" w14:textId="77777777" w:rsidR="00DF29EC" w:rsidRPr="00104A4A" w:rsidRDefault="00DF29EC" w:rsidP="00DF29EC">
      <w:pPr>
        <w:spacing w:before="120" w:after="0" w:line="276" w:lineRule="auto"/>
        <w:ind w:firstLine="709"/>
        <w:jc w:val="both"/>
        <w:rPr>
          <w:rFonts w:ascii="Verdana" w:eastAsia="Arial" w:hAnsi="Verdana" w:cs="Arial"/>
        </w:rPr>
      </w:pPr>
      <w:r w:rsidRPr="00104A4A">
        <w:rPr>
          <w:rFonts w:ascii="Verdana" w:eastAsia="Arial" w:hAnsi="Verdana" w:cs="Arial"/>
        </w:rPr>
        <w:t>El artículo 25 numeral 15 de la Ley 80 de 1993 debía leerse en conjunto con otras del EGCAP, particularmente con el artículo 30 numeral 7</w:t>
      </w:r>
      <w:r w:rsidRPr="00104A4A">
        <w:rPr>
          <w:rFonts w:ascii="Verdana" w:eastAsia="Arial" w:hAnsi="Verdana" w:cs="Arial"/>
          <w:vertAlign w:val="superscript"/>
        </w:rPr>
        <w:footnoteReference w:id="7"/>
      </w:r>
      <w:r w:rsidRPr="00104A4A">
        <w:rPr>
          <w:rFonts w:ascii="Verdana" w:eastAsia="Arial" w:hAnsi="Verdana" w:cs="Arial"/>
        </w:rPr>
        <w:t>, que ordena a la entidad señalar un plazo razonable para evaluar las propuestas y pedir a los proponentes, de ser necesario, que aclaren o expliquen aspectos que ofrezcan dudas y resulten indispensables para hacer la evaluación. Con el artículo 30 numeral 8</w:t>
      </w:r>
      <w:r w:rsidRPr="00104A4A">
        <w:rPr>
          <w:rFonts w:ascii="Verdana" w:eastAsia="Arial" w:hAnsi="Verdana" w:cs="Arial"/>
          <w:vertAlign w:val="superscript"/>
        </w:rPr>
        <w:footnoteReference w:id="8"/>
      </w:r>
      <w:r w:rsidRPr="00104A4A">
        <w:rPr>
          <w:rFonts w:ascii="Verdana" w:eastAsia="Arial" w:hAnsi="Verdana" w:cs="Arial"/>
        </w:rPr>
        <w:t xml:space="preserve">, que consagró el término de 5 días hábiles para que los oferentes presenten observaciones al informe de evaluación de las propuestas, sin que sea posible completar, adicionar, modificar o mejorar la oferta. A partir de la lectura integrada de estas tres normas, debía concluirse que con la Ley 80 de 1993 era posible subsanar las propuestas, y la omisión o el error en algún aspecto de la misma no podía llevar a su rechazo, sin antes verificar que lo omitido fuera un aspecto necesario para la comparación. </w:t>
      </w:r>
    </w:p>
    <w:p w14:paraId="02E74D63" w14:textId="77777777" w:rsidR="00DF29EC" w:rsidRPr="00104A4A" w:rsidRDefault="00DF29EC" w:rsidP="00DF29EC">
      <w:pPr>
        <w:spacing w:before="120" w:after="0" w:line="276" w:lineRule="auto"/>
        <w:ind w:firstLine="709"/>
        <w:jc w:val="both"/>
        <w:rPr>
          <w:rFonts w:ascii="Verdana" w:eastAsia="Arial" w:hAnsi="Verdana" w:cs="Arial"/>
        </w:rPr>
      </w:pPr>
      <w:r w:rsidRPr="00104A4A">
        <w:rPr>
          <w:rFonts w:ascii="Verdana" w:eastAsia="Arial" w:hAnsi="Verdana" w:cs="Arial"/>
        </w:rPr>
        <w:t xml:space="preserve">En un </w:t>
      </w:r>
      <w:r w:rsidRPr="00104A4A">
        <w:rPr>
          <w:rFonts w:ascii="Verdana" w:eastAsia="Arial" w:hAnsi="Verdana" w:cs="Arial"/>
          <w:i/>
        </w:rPr>
        <w:t>tercer momento</w:t>
      </w:r>
      <w:r w:rsidRPr="00104A4A">
        <w:rPr>
          <w:rFonts w:ascii="Verdana" w:eastAsia="Arial" w:hAnsi="Verdana" w:cs="Arial"/>
        </w:rPr>
        <w:t xml:space="preserve">,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w:t>
      </w:r>
      <w:r w:rsidRPr="00104A4A">
        <w:rPr>
          <w:rFonts w:ascii="Verdana" w:eastAsia="Arial" w:hAnsi="Verdana" w:cs="Arial"/>
        </w:rPr>
        <w:lastRenderedPageBreak/>
        <w:t>comparación de las propuestas no servirán de título suficiente para el rechazo de los ofrecimientos hechos. En consecuencia</w:t>
      </w:r>
      <w:r w:rsidRPr="00104A4A">
        <w:rPr>
          <w:rFonts w:ascii="Verdana" w:eastAsia="Arial" w:hAnsi="Verdana" w:cs="Arial"/>
          <w:b/>
        </w:rPr>
        <w:t xml:space="preserve">, </w:t>
      </w:r>
      <w:r w:rsidRPr="00104A4A">
        <w:rPr>
          <w:rFonts w:ascii="Verdana" w:eastAsia="Arial" w:hAnsi="Verdana" w:cs="Arial"/>
        </w:rPr>
        <w:t xml:space="preserve">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7E908090" w14:textId="77777777" w:rsidR="00DF29EC" w:rsidRPr="00104A4A" w:rsidRDefault="00DF29EC" w:rsidP="00DF29EC">
      <w:pPr>
        <w:spacing w:before="120" w:after="0" w:line="276" w:lineRule="auto"/>
        <w:ind w:firstLine="709"/>
        <w:jc w:val="both"/>
        <w:rPr>
          <w:rFonts w:ascii="Verdana" w:eastAsia="Arial" w:hAnsi="Verdana" w:cs="Arial"/>
        </w:rPr>
      </w:pPr>
      <w:r w:rsidRPr="00104A4A">
        <w:rPr>
          <w:rFonts w:ascii="Verdana" w:eastAsia="Arial" w:hAnsi="Verdana" w:cs="Arial"/>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08A11DF6" w14:textId="77777777" w:rsidR="00DF29EC" w:rsidRPr="00104A4A" w:rsidRDefault="00DF29EC" w:rsidP="00DF29EC">
      <w:pPr>
        <w:spacing w:before="120" w:after="0" w:line="276" w:lineRule="auto"/>
        <w:ind w:firstLine="709"/>
        <w:jc w:val="both"/>
        <w:rPr>
          <w:rFonts w:ascii="Verdana" w:eastAsia="Arial" w:hAnsi="Verdana" w:cs="Arial"/>
        </w:rPr>
      </w:pPr>
      <w:r w:rsidRPr="00104A4A">
        <w:rPr>
          <w:rFonts w:ascii="Verdana" w:eastAsia="Arial" w:hAnsi="Verdana" w:cs="Arial"/>
        </w:rPr>
        <w:t>El artículo 5 de la Ley 1150 de 2007, además de consagrar un criterio más claro, y, de paso, reducir la discrecionalidad de la Administración, fijó un ámbito temporal para la subsanación de las ofertas: “</w:t>
      </w:r>
      <w:r w:rsidRPr="00104A4A">
        <w:rPr>
          <w:rFonts w:ascii="Verdana" w:eastAsia="Arial" w:hAnsi="Verdana" w:cs="Arial"/>
          <w:i/>
        </w:rPr>
        <w:t>en cualquier momento, hasta la adjudicación</w:t>
      </w:r>
      <w:r w:rsidRPr="00104A4A">
        <w:rPr>
          <w:rFonts w:ascii="Verdana" w:eastAsia="Arial" w:hAnsi="Verdana" w:cs="Arial"/>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28072456" w14:textId="77777777" w:rsidR="00DF29EC" w:rsidRPr="00104A4A" w:rsidRDefault="00DF29EC" w:rsidP="00DF29EC">
      <w:pPr>
        <w:spacing w:after="0" w:line="240" w:lineRule="auto"/>
        <w:jc w:val="both"/>
        <w:rPr>
          <w:rFonts w:ascii="Verdana" w:eastAsia="Arial" w:hAnsi="Verdana" w:cs="Arial"/>
        </w:rPr>
      </w:pPr>
    </w:p>
    <w:p w14:paraId="3509B309" w14:textId="77777777" w:rsidR="00DF29EC" w:rsidRPr="00104A4A" w:rsidRDefault="00DF29EC" w:rsidP="00DF29EC">
      <w:pPr>
        <w:spacing w:after="0" w:line="240" w:lineRule="auto"/>
        <w:ind w:left="709" w:right="709"/>
        <w:jc w:val="both"/>
        <w:rPr>
          <w:rFonts w:ascii="Verdana" w:eastAsia="Arial" w:hAnsi="Verdana" w:cs="Arial"/>
          <w:sz w:val="20"/>
          <w:szCs w:val="20"/>
        </w:rPr>
      </w:pPr>
      <w:r w:rsidRPr="00104A4A">
        <w:rPr>
          <w:rFonts w:ascii="Verdana" w:eastAsia="Arial" w:hAnsi="Verdana" w:cs="Arial"/>
          <w:sz w:val="20"/>
          <w:szCs w:val="20"/>
        </w:rPr>
        <w:t xml:space="preserve">“Esto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w:t>
      </w:r>
      <w:r w:rsidRPr="00104A4A">
        <w:rPr>
          <w:rFonts w:ascii="Verdana" w:eastAsia="Arial" w:hAnsi="Verdana" w:cs="Arial"/>
          <w:sz w:val="20"/>
          <w:szCs w:val="20"/>
        </w:rPr>
        <w:lastRenderedPageBreak/>
        <w:t>ofertas, con la condición de que cuando le pidan la acreditación la satisfaga suficientemente”</w:t>
      </w:r>
      <w:r w:rsidRPr="00104A4A">
        <w:rPr>
          <w:rFonts w:ascii="Verdana" w:eastAsia="Arial" w:hAnsi="Verdana" w:cs="Arial"/>
          <w:sz w:val="20"/>
          <w:szCs w:val="20"/>
          <w:vertAlign w:val="superscript"/>
        </w:rPr>
        <w:footnoteReference w:id="9"/>
      </w:r>
      <w:r w:rsidRPr="00104A4A">
        <w:rPr>
          <w:rFonts w:ascii="Verdana" w:eastAsia="Arial" w:hAnsi="Verdana" w:cs="Arial"/>
          <w:sz w:val="20"/>
          <w:szCs w:val="20"/>
        </w:rPr>
        <w:t>.</w:t>
      </w:r>
    </w:p>
    <w:p w14:paraId="50263829" w14:textId="77777777" w:rsidR="00DF29EC" w:rsidRPr="00104A4A" w:rsidRDefault="00DF29EC" w:rsidP="00DF29EC">
      <w:pPr>
        <w:spacing w:after="0" w:line="240" w:lineRule="auto"/>
        <w:ind w:left="709" w:right="709"/>
        <w:jc w:val="both"/>
        <w:rPr>
          <w:rFonts w:ascii="Verdana" w:eastAsia="Arial" w:hAnsi="Verdana" w:cs="Arial"/>
          <w:sz w:val="20"/>
          <w:szCs w:val="20"/>
        </w:rPr>
      </w:pPr>
    </w:p>
    <w:p w14:paraId="65455934" w14:textId="77777777" w:rsidR="00DF29EC" w:rsidRPr="00104A4A" w:rsidRDefault="00DF29EC" w:rsidP="00DF29EC">
      <w:pPr>
        <w:pBdr>
          <w:top w:val="nil"/>
          <w:left w:val="nil"/>
          <w:bottom w:val="nil"/>
          <w:right w:val="nil"/>
          <w:between w:val="nil"/>
        </w:pBdr>
        <w:tabs>
          <w:tab w:val="left" w:pos="284"/>
        </w:tabs>
        <w:spacing w:after="0" w:line="276" w:lineRule="auto"/>
        <w:ind w:firstLine="709"/>
        <w:jc w:val="both"/>
        <w:rPr>
          <w:rFonts w:ascii="Verdana" w:eastAsia="Arial" w:hAnsi="Verdana" w:cs="Arial"/>
        </w:rPr>
      </w:pPr>
      <w:r w:rsidRPr="00104A4A">
        <w:rPr>
          <w:rFonts w:ascii="Verdana" w:eastAsia="Arial" w:hAnsi="Verdana" w:cs="Arial"/>
        </w:rPr>
        <w:t>Esa interpretación fue compartida por la Agencia Nacional de Contratación Pública – Colombia Compra Eficiente, pues en la Circular Externa Única</w:t>
      </w:r>
      <w:r w:rsidRPr="00104A4A">
        <w:rPr>
          <w:rStyle w:val="Refdenotaalpie"/>
          <w:rFonts w:ascii="Verdana" w:eastAsia="Arial" w:hAnsi="Verdana" w:cs="Arial"/>
        </w:rPr>
        <w:footnoteReference w:id="10"/>
      </w:r>
      <w:r w:rsidRPr="00104A4A">
        <w:rPr>
          <w:rFonts w:ascii="Verdana" w:eastAsia="Arial" w:hAnsi="Verdana" w:cs="Arial"/>
        </w:rPr>
        <w:t xml:space="preserve"> se había precisado que, si durante un proceso de contratación hay proponentes que no acreditaron en sus ofertas requisitos que no afectan la asignación de puntaje o la comparación de estas, la entidad estatal deberá indicarlo en el informe de evaluación y advertir que la correspondiente oferta no será evaluada hasta que se subsane.</w:t>
      </w:r>
    </w:p>
    <w:p w14:paraId="307C17B4" w14:textId="77777777" w:rsidR="00DF29EC" w:rsidRPr="004C47DE" w:rsidRDefault="00DF29EC" w:rsidP="00DF29EC">
      <w:pPr>
        <w:pBdr>
          <w:top w:val="nil"/>
          <w:left w:val="nil"/>
          <w:bottom w:val="nil"/>
          <w:right w:val="nil"/>
          <w:between w:val="nil"/>
        </w:pBdr>
        <w:tabs>
          <w:tab w:val="left" w:pos="284"/>
        </w:tabs>
        <w:spacing w:before="120" w:after="0" w:line="276" w:lineRule="auto"/>
        <w:ind w:firstLine="709"/>
        <w:jc w:val="both"/>
        <w:rPr>
          <w:rFonts w:ascii="Verdana" w:eastAsia="Arial" w:hAnsi="Verdana" w:cs="Arial"/>
        </w:rPr>
      </w:pPr>
      <w:r w:rsidRPr="00104A4A">
        <w:rPr>
          <w:rFonts w:ascii="Verdana" w:eastAsia="Arial" w:hAnsi="Verdana" w:cs="Arial"/>
        </w:rPr>
        <w:t xml:space="preserve">En un </w:t>
      </w:r>
      <w:r w:rsidRPr="00104A4A">
        <w:rPr>
          <w:rFonts w:ascii="Verdana" w:eastAsia="Arial" w:hAnsi="Verdana" w:cs="Arial"/>
          <w:i/>
        </w:rPr>
        <w:t>cuarto momento</w:t>
      </w:r>
      <w:r w:rsidRPr="00104A4A">
        <w:rPr>
          <w:rFonts w:ascii="Verdana" w:eastAsia="Arial" w:hAnsi="Verdana" w:cs="Arial"/>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w:t>
      </w:r>
      <w:r w:rsidRPr="004C47DE">
        <w:rPr>
          <w:rFonts w:ascii="Verdana" w:eastAsia="Arial" w:hAnsi="Verdana" w:cs="Arial"/>
        </w:rPr>
        <w:t xml:space="preserve">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23A618E1" w14:textId="77777777" w:rsidR="00DF29EC" w:rsidRPr="004C47DE" w:rsidRDefault="00DF29EC" w:rsidP="00DF29EC">
      <w:pPr>
        <w:pBdr>
          <w:top w:val="nil"/>
          <w:left w:val="nil"/>
          <w:bottom w:val="nil"/>
          <w:right w:val="nil"/>
          <w:between w:val="nil"/>
        </w:pBdr>
        <w:tabs>
          <w:tab w:val="left" w:pos="284"/>
        </w:tabs>
        <w:spacing w:before="120" w:after="0" w:line="276" w:lineRule="auto"/>
        <w:ind w:firstLine="709"/>
        <w:contextualSpacing/>
        <w:jc w:val="both"/>
        <w:rPr>
          <w:rFonts w:ascii="Verdana" w:eastAsia="Arial" w:hAnsi="Verdana" w:cs="Arial"/>
        </w:rPr>
      </w:pPr>
    </w:p>
    <w:p w14:paraId="361523F7" w14:textId="77777777" w:rsidR="00DF29EC" w:rsidRPr="004C47DE" w:rsidRDefault="00DF29EC" w:rsidP="00DF29EC">
      <w:pPr>
        <w:tabs>
          <w:tab w:val="left" w:pos="426"/>
        </w:tabs>
        <w:spacing w:after="120" w:line="276" w:lineRule="auto"/>
        <w:contextualSpacing/>
        <w:jc w:val="both"/>
        <w:rPr>
          <w:rFonts w:ascii="Verdana" w:eastAsia="Arial" w:hAnsi="Verdana" w:cs="Arial"/>
        </w:rPr>
      </w:pPr>
      <w:r>
        <w:rPr>
          <w:rFonts w:ascii="Verdana" w:eastAsia="Arial" w:hAnsi="Verdana" w:cs="Arial"/>
        </w:rPr>
        <w:tab/>
      </w:r>
      <w:r w:rsidRPr="004C47DE">
        <w:rPr>
          <w:rFonts w:ascii="Verdana" w:eastAsia="Arial" w:hAnsi="Verdana" w:cs="Arial"/>
        </w:rPr>
        <w:t>Como puede observarse, esta norma: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w:t>
      </w:r>
    </w:p>
    <w:p w14:paraId="6411855B" w14:textId="77777777" w:rsidR="00DF29EC" w:rsidRDefault="00DF29EC" w:rsidP="00DF29EC">
      <w:pPr>
        <w:tabs>
          <w:tab w:val="left" w:pos="426"/>
        </w:tabs>
        <w:spacing w:after="120" w:line="276" w:lineRule="auto"/>
        <w:contextualSpacing/>
        <w:jc w:val="both"/>
        <w:rPr>
          <w:rFonts w:ascii="Verdana" w:eastAsia="Calibri" w:hAnsi="Verdana" w:cs="Arial"/>
          <w:bCs/>
          <w:color w:val="EE0000"/>
          <w:lang w:eastAsia="es-ES_tradnl"/>
        </w:rPr>
      </w:pPr>
    </w:p>
    <w:p w14:paraId="0F35F0F8" w14:textId="77777777" w:rsidR="00DF29EC" w:rsidRPr="004C47DE" w:rsidRDefault="00DF29EC" w:rsidP="00DF29EC">
      <w:pPr>
        <w:spacing w:after="0" w:line="276" w:lineRule="auto"/>
        <w:ind w:firstLine="709"/>
        <w:jc w:val="both"/>
        <w:rPr>
          <w:rFonts w:ascii="Verdana" w:eastAsia="Arial" w:hAnsi="Verdana" w:cs="Arial"/>
          <w:color w:val="000000"/>
        </w:rPr>
      </w:pPr>
      <w:r w:rsidRPr="004C47DE">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236A05B4" w14:textId="77777777" w:rsidR="00DF29EC" w:rsidRPr="004C47DE" w:rsidRDefault="00DF29EC" w:rsidP="00DF29EC">
      <w:pPr>
        <w:spacing w:before="120" w:after="0" w:line="276" w:lineRule="auto"/>
        <w:ind w:firstLine="709"/>
        <w:jc w:val="both"/>
        <w:rPr>
          <w:rFonts w:ascii="Verdana" w:eastAsia="Arial" w:hAnsi="Verdana" w:cs="Arial"/>
          <w:color w:val="000000"/>
        </w:rPr>
      </w:pPr>
      <w:r w:rsidRPr="004C47DE">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subsanabilidad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3569994B" w14:textId="77777777" w:rsidR="00DF29EC" w:rsidRPr="004C47DE" w:rsidRDefault="00DF29EC" w:rsidP="00DF29EC">
      <w:pPr>
        <w:spacing w:before="120" w:after="0" w:line="276" w:lineRule="auto"/>
        <w:ind w:firstLine="709"/>
        <w:jc w:val="both"/>
        <w:rPr>
          <w:rFonts w:ascii="Verdana" w:eastAsia="Arial" w:hAnsi="Verdana" w:cs="Arial"/>
          <w:color w:val="000000"/>
        </w:rPr>
      </w:pPr>
      <w:r w:rsidRPr="004C47DE">
        <w:rPr>
          <w:rFonts w:ascii="Verdana" w:eastAsia="Arial" w:hAnsi="Verdana" w:cs="Arial"/>
          <w:color w:val="000000"/>
        </w:rPr>
        <w:t>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ii)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4C47DE">
        <w:rPr>
          <w:rFonts w:ascii="Verdana" w:eastAsia="Arial" w:hAnsi="Verdana" w:cs="Arial"/>
          <w:color w:val="000000"/>
          <w:vertAlign w:val="superscript"/>
        </w:rPr>
        <w:footnoteReference w:id="11"/>
      </w:r>
      <w:r w:rsidRPr="004C47DE">
        <w:rPr>
          <w:rFonts w:ascii="Verdana" w:eastAsia="Arial" w:hAnsi="Verdana" w:cs="Arial"/>
          <w:color w:val="000000"/>
        </w:rPr>
        <w:t>; iii) si un oferente no anexó el certificado de existencia y representación legal, el documento aportado con posterioridad debe dar cuenta de que la sociedad existe desde antes del cierre del proceso</w:t>
      </w:r>
      <w:r w:rsidRPr="004C47DE">
        <w:rPr>
          <w:rFonts w:ascii="Verdana" w:eastAsia="Arial" w:hAnsi="Verdana" w:cs="Arial"/>
          <w:color w:val="000000"/>
          <w:vertAlign w:val="superscript"/>
        </w:rPr>
        <w:footnoteReference w:id="12"/>
      </w:r>
      <w:r w:rsidRPr="004C47DE">
        <w:rPr>
          <w:rFonts w:ascii="Verdana" w:eastAsia="Arial" w:hAnsi="Verdana" w:cs="Arial"/>
          <w:color w:val="000000"/>
        </w:rPr>
        <w:t xml:space="preserve">; iv) si un oferente olvidó adjuntar un certificado que demuestra un título universitario, el documento, aunque tenga fecha posterior al cierre del proceso, debe acreditar que el título </w:t>
      </w:r>
      <w:r w:rsidRPr="004C47DE">
        <w:rPr>
          <w:rFonts w:ascii="Verdana" w:eastAsia="Arial" w:hAnsi="Verdana" w:cs="Arial"/>
          <w:color w:val="000000"/>
        </w:rPr>
        <w:lastRenderedPageBreak/>
        <w:t xml:space="preserve">académico se obtuvo con anterioridad al cierre del proceso; v) si un oferente no aportó un certificado de experiencia, el documento que subsana –sin importar que tenga fecha posterior– debe demostrar que la experiencia que se pretende hacer valer se obtuvo antes de vencerse el término para presentar ofertas, o vi) si el oferente olvidó firmar la propuesta o presentar una copia de ella, puede subsanar sin que se entienda que acreditó una circunstancia ocurrida con posterioridad al cierre del proceso. </w:t>
      </w:r>
    </w:p>
    <w:p w14:paraId="2F2A8FFD" w14:textId="77777777" w:rsidR="00DF29EC" w:rsidRPr="00C64261" w:rsidRDefault="00DF29EC" w:rsidP="00DF29EC">
      <w:pPr>
        <w:spacing w:before="120" w:after="0" w:line="276" w:lineRule="auto"/>
        <w:ind w:firstLine="709"/>
        <w:jc w:val="both"/>
        <w:rPr>
          <w:rFonts w:ascii="Verdana" w:eastAsia="Arial" w:hAnsi="Verdana" w:cs="Arial"/>
          <w:color w:val="000000"/>
        </w:rPr>
      </w:pPr>
      <w:r w:rsidRPr="004C47DE">
        <w:rPr>
          <w:rFonts w:ascii="Verdana" w:eastAsia="Arial" w:hAnsi="Verdana" w:cs="Arial"/>
          <w:color w:val="000000"/>
        </w:rPr>
        <w:t>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w:t>
      </w:r>
      <w:r w:rsidRPr="00C64261">
        <w:rPr>
          <w:rFonts w:ascii="Verdana" w:eastAsia="Arial" w:hAnsi="Verdana" w:cs="Arial"/>
          <w:color w:val="000000"/>
        </w:rPr>
        <w:t xml:space="preserve"> ocurrido antes, esto es, que no sea una circunstancia ocurrida con posterioridad al cierre del proceso. Es por ello por lo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C64261">
        <w:rPr>
          <w:rFonts w:ascii="Verdana" w:eastAsia="Arial" w:hAnsi="Verdana" w:cs="Arial"/>
          <w:color w:val="000000"/>
          <w:vertAlign w:val="superscript"/>
        </w:rPr>
        <w:footnoteReference w:id="13"/>
      </w:r>
      <w:r w:rsidRPr="00C64261">
        <w:rPr>
          <w:rFonts w:ascii="Verdana" w:eastAsia="Arial" w:hAnsi="Verdana" w:cs="Arial"/>
          <w:color w:val="000000"/>
        </w:rPr>
        <w:t xml:space="preserve">. </w:t>
      </w:r>
    </w:p>
    <w:p w14:paraId="0EE2AA2A" w14:textId="77777777" w:rsidR="00DF29EC" w:rsidRDefault="00DF29EC" w:rsidP="00DF29EC">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28A6CB26" w14:textId="77777777" w:rsidR="00DF29EC" w:rsidRPr="00E734A6" w:rsidRDefault="00DF29EC" w:rsidP="00DF29EC">
      <w:pPr>
        <w:spacing w:before="120" w:after="12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Finalmente, el parágrafo 3 del artículo 5 de la Ley 1882 de 2018 determinó, de manera expresa, que “la no entrega de la garantía de seriedad junto con la propuesta no será subsanable y será causal de rechazo de la misma”, dejando claro que se trata de un documento de obligatoria presentación </w:t>
      </w:r>
      <w:r w:rsidRPr="05E3EA9D">
        <w:rPr>
          <w:rFonts w:ascii="Verdana" w:eastAsia="Arial" w:hAnsi="Verdana" w:cs="Arial"/>
          <w:color w:val="000000" w:themeColor="text1"/>
        </w:rPr>
        <w:lastRenderedPageBreak/>
        <w:t>junto con la propuesta y que materializa los principios de seriedad e irrevocabilidad de la oferta.</w:t>
      </w:r>
    </w:p>
    <w:p w14:paraId="21CC4BFF" w14:textId="77777777" w:rsidR="00DF29EC" w:rsidRDefault="00DF29EC" w:rsidP="00DF29EC">
      <w:pPr>
        <w:spacing w:after="120" w:line="276" w:lineRule="auto"/>
        <w:jc w:val="both"/>
        <w:rPr>
          <w:rFonts w:ascii="Verdana" w:eastAsia="Arial" w:hAnsi="Verdana" w:cs="Arial"/>
          <w:color w:val="000000"/>
        </w:rPr>
      </w:pPr>
      <w:r>
        <w:rPr>
          <w:rFonts w:ascii="Verdana" w:eastAsia="Arial" w:hAnsi="Verdana" w:cs="Arial"/>
          <w:color w:val="000000"/>
        </w:rPr>
        <w:t xml:space="preserve">iii) </w:t>
      </w:r>
      <w:r w:rsidRPr="00B36F85">
        <w:rPr>
          <w:rFonts w:ascii="Verdana" w:eastAsia="Arial" w:hAnsi="Verdana" w:cs="Arial"/>
        </w:rPr>
        <w:t xml:space="preserve">El rechazo de las ofertas y los eventos en los que proceden han sido asuntos de los que se ha ocupado la legislación nacional en materia de contratación pública, por lo que </w:t>
      </w:r>
      <w:r>
        <w:rPr>
          <w:rFonts w:ascii="Verdana" w:eastAsia="Arial" w:hAnsi="Verdana" w:cs="Arial"/>
        </w:rPr>
        <w:t>“</w:t>
      </w:r>
      <w:r w:rsidRPr="00B36F85">
        <w:rPr>
          <w:rFonts w:ascii="Verdana" w:eastAsia="Arial" w:hAnsi="Verdana" w:cs="Arial"/>
        </w:rPr>
        <w:t>la competencia de las entidades estales para establecer eventos de exclusión de propuestas es de carácter residual y restringido</w:t>
      </w:r>
      <w:r>
        <w:rPr>
          <w:rFonts w:ascii="Verdana" w:eastAsia="Arial" w:hAnsi="Verdana" w:cs="Arial"/>
        </w:rPr>
        <w:t>”</w:t>
      </w:r>
      <w:r w:rsidRPr="00B36F85">
        <w:rPr>
          <w:rFonts w:ascii="Verdana" w:eastAsia="Arial" w:hAnsi="Verdana" w:cs="Arial"/>
          <w:vertAlign w:val="superscript"/>
        </w:rPr>
        <w:footnoteReference w:id="14"/>
      </w:r>
      <w:r w:rsidRPr="00B36F85">
        <w:rPr>
          <w:rFonts w:ascii="Verdana" w:eastAsia="Arial" w:hAnsi="Verdana"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B36F85">
        <w:rPr>
          <w:rFonts w:ascii="Verdana" w:eastAsia="Arial" w:hAnsi="Verdana" w:cs="Arial"/>
          <w:vertAlign w:val="superscript"/>
        </w:rPr>
        <w:footnoteReference w:id="15"/>
      </w:r>
      <w:r w:rsidRPr="00B36F85">
        <w:rPr>
          <w:rFonts w:ascii="Verdana" w:eastAsia="Arial" w:hAnsi="Verdana" w:cs="Arial"/>
        </w:rPr>
        <w:t xml:space="preserve"> y regular los eventos en los que procede su rechazo</w:t>
      </w:r>
      <w:r w:rsidRPr="00B36F85">
        <w:rPr>
          <w:rFonts w:ascii="Verdana" w:eastAsia="Arial" w:hAnsi="Verdana" w:cs="Arial"/>
          <w:vertAlign w:val="superscript"/>
        </w:rPr>
        <w:footnoteReference w:id="16"/>
      </w:r>
      <w:r w:rsidRPr="00B36F85">
        <w:rPr>
          <w:rFonts w:ascii="Verdana" w:eastAsia="Arial" w:hAnsi="Verdana" w:cs="Arial"/>
        </w:rPr>
        <w:t xml:space="preserve">, el ejercicio de tales facultades encuentra ciertos límites en la ley y el reglamento, así como en los principios de razonabilidad y proporcionalidad.  </w:t>
      </w:r>
    </w:p>
    <w:p w14:paraId="358C2B49" w14:textId="77777777" w:rsidR="00DF29EC" w:rsidRDefault="00DF29EC" w:rsidP="00DF29EC">
      <w:pPr>
        <w:spacing w:before="120" w:after="0" w:line="276" w:lineRule="auto"/>
        <w:ind w:firstLine="709"/>
        <w:jc w:val="both"/>
        <w:rPr>
          <w:rFonts w:ascii="Verdana" w:eastAsia="Arial" w:hAnsi="Verdana" w:cs="Arial"/>
          <w:color w:val="000000"/>
        </w:rPr>
      </w:pPr>
      <w:r w:rsidRPr="00B36F85">
        <w:rPr>
          <w:rFonts w:ascii="Verdana" w:eastAsia="Arial" w:hAnsi="Verdana" w:cs="Arial"/>
        </w:rPr>
        <w:t xml:space="preserve">En ese entendido, uno de los límites a la facultad para establecer causales de rechazo, se encuentra en la regla de subsanabilidad del parágrafo 1 del artículo 5 de la Ley 1150 de 2007, según la cual </w:t>
      </w:r>
      <w:r>
        <w:rPr>
          <w:rFonts w:ascii="Verdana" w:eastAsia="Arial" w:hAnsi="Verdana" w:cs="Arial"/>
        </w:rPr>
        <w:t>“</w:t>
      </w:r>
      <w:r w:rsidRPr="00B36F85">
        <w:rPr>
          <w:rFonts w:ascii="Verdana" w:eastAsia="Arial" w:hAnsi="Verdana" w:cs="Arial"/>
        </w:rPr>
        <w:t>La ausencia de requisitos o la falta de documentos referentes a la futura contratación o al proponente, no necesarios para la comparación de las propuestas no servirán de título suficiente para el rechazo de los ofrecimientos hechos</w:t>
      </w:r>
      <w:r>
        <w:rPr>
          <w:rFonts w:ascii="Verdana" w:eastAsia="Arial" w:hAnsi="Verdana" w:cs="Arial"/>
        </w:rPr>
        <w:t>”</w:t>
      </w:r>
      <w:r w:rsidRPr="00B36F85">
        <w:rPr>
          <w:rFonts w:ascii="Verdana" w:eastAsia="Arial" w:hAnsi="Verdana" w:cs="Arial"/>
        </w:rPr>
        <w:t xml:space="preserve">, por lo que las entidades no podrán establecer causales de rechazo referentes a meros requisitos formales o rechazar las ofertas por esa razón. </w:t>
      </w:r>
    </w:p>
    <w:p w14:paraId="5D656B74" w14:textId="77777777" w:rsidR="00DF29EC" w:rsidRPr="00C36234" w:rsidRDefault="00DF29EC" w:rsidP="00DF29EC">
      <w:pPr>
        <w:spacing w:before="120" w:after="120" w:line="276" w:lineRule="auto"/>
        <w:ind w:firstLine="709"/>
        <w:jc w:val="both"/>
        <w:rPr>
          <w:rFonts w:ascii="Verdana" w:eastAsia="Arial" w:hAnsi="Verdana" w:cs="Arial"/>
        </w:rPr>
      </w:pPr>
      <w:r w:rsidRPr="00B36F85">
        <w:rPr>
          <w:rFonts w:ascii="Verdana" w:eastAsia="Arial" w:hAnsi="Verdana" w:cs="Arial"/>
        </w:rPr>
        <w:t xml:space="preserve">De esta manera, la jurisprudencia del Consejo de Estado ha determinado que las causales de rechazo pueden o no estar establecidas en el pliego de condiciones, sin perjuicio de que sean aplicables al proceso contractual las </w:t>
      </w:r>
      <w:r w:rsidRPr="00B36F85">
        <w:rPr>
          <w:rFonts w:ascii="Verdana" w:eastAsia="Arial" w:hAnsi="Verdana" w:cs="Arial"/>
        </w:rPr>
        <w:lastRenderedPageBreak/>
        <w:t>establecidas directamente en la ley. Así se estableció en la sentencia del 27 de abril de 2011, en los siguientes términos:</w:t>
      </w:r>
    </w:p>
    <w:p w14:paraId="16D83C7A" w14:textId="77777777" w:rsidR="00DF29EC" w:rsidRPr="004B49E2" w:rsidRDefault="00DF29EC" w:rsidP="00DF29EC">
      <w:pPr>
        <w:widowControl w:val="0"/>
        <w:spacing w:after="120" w:line="240" w:lineRule="auto"/>
        <w:ind w:left="709" w:right="709"/>
        <w:jc w:val="both"/>
        <w:rPr>
          <w:rFonts w:ascii="Verdana" w:eastAsia="Arial" w:hAnsi="Verdana" w:cs="Arial"/>
          <w:sz w:val="20"/>
          <w:szCs w:val="20"/>
        </w:rPr>
      </w:pPr>
      <w:r>
        <w:rPr>
          <w:rFonts w:ascii="Verdana" w:eastAsia="Arial" w:hAnsi="Verdana" w:cs="Arial"/>
          <w:sz w:val="21"/>
          <w:szCs w:val="21"/>
        </w:rPr>
        <w:t>“</w:t>
      </w:r>
      <w:r w:rsidRPr="004B49E2">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0094C70D" w14:textId="77777777" w:rsidR="00DF29EC" w:rsidRDefault="00DF29EC" w:rsidP="00DF29EC">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66A4F013" w14:textId="77777777" w:rsidR="00DF29EC" w:rsidRDefault="00DF29EC" w:rsidP="00DF29EC">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w:t>
      </w:r>
    </w:p>
    <w:p w14:paraId="609AE523" w14:textId="77777777" w:rsidR="00DF29EC" w:rsidRPr="004B49E2" w:rsidRDefault="00DF29EC" w:rsidP="00DF29EC">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4B49E2">
        <w:rPr>
          <w:rFonts w:ascii="Verdana" w:eastAsia="Arial" w:hAnsi="Verdana" w:cs="Arial"/>
          <w:i/>
          <w:iCs/>
          <w:sz w:val="20"/>
          <w:szCs w:val="20"/>
        </w:rPr>
        <w:t>ope</w:t>
      </w:r>
      <w:proofErr w:type="spellEnd"/>
      <w:r w:rsidRPr="004B49E2">
        <w:rPr>
          <w:rFonts w:ascii="Verdana" w:eastAsia="Arial" w:hAnsi="Verdana" w:cs="Arial"/>
          <w:i/>
          <w:iCs/>
          <w:sz w:val="20"/>
          <w:szCs w:val="20"/>
        </w:rPr>
        <w:t xml:space="preserve"> legis</w:t>
      </w:r>
      <w:r w:rsidRPr="004B49E2">
        <w:rPr>
          <w:rFonts w:ascii="Verdana" w:eastAsia="Arial"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4B49E2">
        <w:rPr>
          <w:rFonts w:ascii="Verdana" w:eastAsia="Arial" w:hAnsi="Verdana" w:cs="Arial"/>
          <w:sz w:val="20"/>
          <w:szCs w:val="20"/>
          <w:vertAlign w:val="superscript"/>
        </w:rPr>
        <w:footnoteReference w:id="17"/>
      </w:r>
      <w:r w:rsidRPr="004B49E2">
        <w:rPr>
          <w:rFonts w:ascii="Verdana" w:eastAsia="Arial" w:hAnsi="Verdana" w:cs="Arial"/>
          <w:sz w:val="20"/>
          <w:szCs w:val="20"/>
        </w:rPr>
        <w:t>”.</w:t>
      </w:r>
    </w:p>
    <w:p w14:paraId="31556C06" w14:textId="77777777" w:rsidR="00DF29EC" w:rsidRPr="004B49E2" w:rsidRDefault="00DF29EC" w:rsidP="00DF29EC">
      <w:pPr>
        <w:widowControl w:val="0"/>
        <w:spacing w:after="0" w:line="240" w:lineRule="auto"/>
        <w:ind w:left="709" w:right="709"/>
        <w:jc w:val="both"/>
        <w:rPr>
          <w:rFonts w:ascii="Verdana" w:eastAsia="Arial" w:hAnsi="Verdana" w:cs="Arial"/>
          <w:sz w:val="20"/>
          <w:szCs w:val="20"/>
        </w:rPr>
      </w:pPr>
    </w:p>
    <w:p w14:paraId="351DE2C5" w14:textId="77777777" w:rsidR="00DF29EC" w:rsidRDefault="00DF29EC" w:rsidP="00DF29EC">
      <w:pPr>
        <w:widowControl w:val="0"/>
        <w:spacing w:after="0" w:line="276" w:lineRule="auto"/>
        <w:ind w:firstLine="709"/>
        <w:jc w:val="both"/>
        <w:rPr>
          <w:rFonts w:ascii="Verdana" w:eastAsia="Arial" w:hAnsi="Verdana" w:cs="Arial"/>
        </w:rPr>
      </w:pPr>
      <w:r w:rsidRPr="00B36F85">
        <w:rPr>
          <w:rFonts w:ascii="Verdana" w:eastAsia="Arial" w:hAnsi="Verdana" w:cs="Arial"/>
        </w:rPr>
        <w:t xml:space="preserve">De acuerdo con la jurisprudencia citada, existen dos </w:t>
      </w:r>
      <w:r>
        <w:rPr>
          <w:rFonts w:ascii="Verdana" w:eastAsia="Arial" w:hAnsi="Verdana" w:cs="Arial"/>
        </w:rPr>
        <w:t>eventos</w:t>
      </w:r>
      <w:r w:rsidRPr="00B36F85">
        <w:rPr>
          <w:rFonts w:ascii="Verdana" w:eastAsia="Arial" w:hAnsi="Verdana" w:cs="Arial"/>
        </w:rPr>
        <w:t xml:space="preserve"> en los </w:t>
      </w:r>
      <w:r>
        <w:rPr>
          <w:rFonts w:ascii="Verdana" w:eastAsia="Arial" w:hAnsi="Verdana" w:cs="Arial"/>
        </w:rPr>
        <w:t xml:space="preserve">cuales </w:t>
      </w:r>
      <w:r w:rsidRPr="00B36F85">
        <w:rPr>
          <w:rFonts w:ascii="Verdana" w:eastAsia="Arial" w:hAnsi="Verdana" w:cs="Arial"/>
        </w:rPr>
        <w:t xml:space="preserve">procede el rechazo de la oferta: </w:t>
      </w:r>
      <w:r>
        <w:rPr>
          <w:rFonts w:ascii="Verdana" w:eastAsia="Arial" w:hAnsi="Verdana" w:cs="Arial"/>
        </w:rPr>
        <w:t xml:space="preserve">i) cuando </w:t>
      </w:r>
      <w:r w:rsidRPr="00B36F85">
        <w:rPr>
          <w:rFonts w:ascii="Verdana" w:eastAsia="Arial" w:hAnsi="Verdana" w:cs="Arial"/>
        </w:rPr>
        <w:t xml:space="preserve">se configure alguna de las causales </w:t>
      </w:r>
      <w:r w:rsidRPr="00B36F85">
        <w:rPr>
          <w:rFonts w:ascii="Verdana" w:eastAsia="Arial" w:hAnsi="Verdana" w:cs="Arial"/>
        </w:rPr>
        <w:lastRenderedPageBreak/>
        <w:t>de rechazo originadas en la ley o</w:t>
      </w:r>
      <w:r>
        <w:rPr>
          <w:rFonts w:ascii="Verdana" w:eastAsia="Arial" w:hAnsi="Verdana" w:cs="Arial"/>
        </w:rPr>
        <w:t xml:space="preserve"> el reglamento y</w:t>
      </w:r>
      <w:r w:rsidRPr="00B36F85">
        <w:rPr>
          <w:rFonts w:ascii="Verdana" w:eastAsia="Arial" w:hAnsi="Verdana" w:cs="Arial"/>
        </w:rPr>
        <w:t xml:space="preserve"> </w:t>
      </w:r>
      <w:r>
        <w:rPr>
          <w:rFonts w:ascii="Verdana" w:eastAsia="Arial" w:hAnsi="Verdana" w:cs="Arial"/>
        </w:rPr>
        <w:t xml:space="preserve">ii) cuando se materialicen </w:t>
      </w:r>
      <w:r w:rsidRPr="00B36F85">
        <w:rPr>
          <w:rFonts w:ascii="Verdana" w:eastAsia="Arial" w:hAnsi="Verdana" w:cs="Arial"/>
        </w:rPr>
        <w:t>las establecidas en el pliego de condiciones. En tal sentido, las causales de rechazo de la oferta serán las consagradas en la ley o</w:t>
      </w:r>
      <w:r>
        <w:rPr>
          <w:rFonts w:ascii="Verdana" w:eastAsia="Arial" w:hAnsi="Verdana" w:cs="Arial"/>
        </w:rPr>
        <w:t xml:space="preserve"> el reglamento</w:t>
      </w:r>
      <w:r w:rsidRPr="00B36F85">
        <w:rPr>
          <w:rFonts w:ascii="Verdana" w:eastAsia="Arial" w:hAnsi="Verdana" w:cs="Arial"/>
        </w:rPr>
        <w:t xml:space="preserve"> producto de su aplicación, así como las definidas por las entidades en el respectivo pliego de condiciones. </w:t>
      </w:r>
    </w:p>
    <w:p w14:paraId="56916912" w14:textId="77777777" w:rsidR="00DF29EC" w:rsidRDefault="00DF29EC" w:rsidP="00DF29EC">
      <w:pPr>
        <w:widowControl w:val="0"/>
        <w:spacing w:before="120" w:after="0" w:line="276" w:lineRule="auto"/>
        <w:ind w:firstLine="709"/>
        <w:jc w:val="both"/>
        <w:rPr>
          <w:rFonts w:ascii="Verdana" w:eastAsia="Arial" w:hAnsi="Verdana" w:cs="Arial"/>
        </w:rPr>
      </w:pPr>
      <w:r w:rsidRPr="00B36F85">
        <w:rPr>
          <w:rFonts w:ascii="Verdana" w:eastAsia="Arial" w:hAnsi="Verdana" w:cs="Arial"/>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2378B8A6" w14:textId="77777777" w:rsidR="00DF29EC" w:rsidRDefault="00DF29EC" w:rsidP="00DF29EC">
      <w:pPr>
        <w:widowControl w:val="0"/>
        <w:spacing w:before="120" w:after="0" w:line="276" w:lineRule="auto"/>
        <w:ind w:firstLine="709"/>
        <w:jc w:val="both"/>
        <w:rPr>
          <w:rFonts w:ascii="Verdana" w:eastAsia="Arial" w:hAnsi="Verdana" w:cs="Arial"/>
        </w:rPr>
      </w:pPr>
      <w:r w:rsidRPr="05E3EA9D">
        <w:rPr>
          <w:rFonts w:ascii="Verdana" w:eastAsia="Arial" w:hAnsi="Verdana" w:cs="Arial"/>
          <w:lang w:val="es-ES"/>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5E3EA9D">
        <w:rPr>
          <w:rFonts w:ascii="Verdana" w:eastAsia="Arial" w:hAnsi="Verdana" w:cs="Arial"/>
          <w:vertAlign w:val="superscript"/>
          <w:lang w:val="es-ES"/>
        </w:rPr>
        <w:footnoteReference w:id="18"/>
      </w:r>
      <w:r w:rsidRPr="05E3EA9D">
        <w:rPr>
          <w:rFonts w:ascii="Verdana" w:eastAsia="Arial" w:hAnsi="Verdana" w:cs="Arial"/>
          <w:lang w:val="es-ES"/>
        </w:rPr>
        <w:t xml:space="preserve"> sostuvo: </w:t>
      </w:r>
    </w:p>
    <w:p w14:paraId="69507B5D" w14:textId="77777777" w:rsidR="00DF29EC" w:rsidRPr="008C505B" w:rsidRDefault="00DF29EC" w:rsidP="00DF29EC">
      <w:pPr>
        <w:spacing w:after="0" w:line="240" w:lineRule="auto"/>
        <w:ind w:firstLine="709"/>
        <w:jc w:val="both"/>
        <w:rPr>
          <w:rFonts w:ascii="Verdana" w:eastAsia="Arial" w:hAnsi="Verdana" w:cs="Arial"/>
        </w:rPr>
      </w:pPr>
    </w:p>
    <w:p w14:paraId="4F998E6D" w14:textId="77777777" w:rsidR="00DF29EC" w:rsidRDefault="00DF29EC" w:rsidP="00DF29EC">
      <w:pPr>
        <w:spacing w:after="0"/>
        <w:ind w:left="708" w:right="709"/>
        <w:jc w:val="both"/>
        <w:rPr>
          <w:rFonts w:ascii="Verdana" w:eastAsia="Arial" w:hAnsi="Verdana" w:cs="Arial"/>
          <w:sz w:val="20"/>
          <w:szCs w:val="20"/>
          <w:lang w:val="es-ES"/>
        </w:rPr>
      </w:pPr>
      <w:r w:rsidRPr="05E3EA9D">
        <w:rPr>
          <w:rFonts w:ascii="Verdana" w:eastAsia="Arial" w:hAnsi="Verdana" w:cs="Arial"/>
          <w:sz w:val="20"/>
          <w:szCs w:val="20"/>
          <w:lang w:val="es-ES"/>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50F9DE2A" w14:textId="77777777" w:rsidR="00DF29EC" w:rsidRPr="004B49E2" w:rsidRDefault="00DF29EC" w:rsidP="00DF29EC">
      <w:pPr>
        <w:spacing w:after="0"/>
        <w:ind w:left="708" w:right="709"/>
        <w:jc w:val="both"/>
        <w:rPr>
          <w:rFonts w:ascii="Verdana" w:eastAsia="Arial" w:hAnsi="Verdana" w:cs="Arial"/>
          <w:sz w:val="20"/>
          <w:szCs w:val="20"/>
          <w:lang w:val="es-ES"/>
        </w:rPr>
      </w:pPr>
    </w:p>
    <w:p w14:paraId="1CCCC0AF" w14:textId="77777777" w:rsidR="00DF29EC" w:rsidRDefault="00DF29EC" w:rsidP="00DF29EC">
      <w:pPr>
        <w:spacing w:after="120" w:line="276" w:lineRule="auto"/>
        <w:ind w:firstLine="709"/>
        <w:jc w:val="both"/>
        <w:rPr>
          <w:rFonts w:ascii="Verdana" w:eastAsia="Arial" w:hAnsi="Verdana" w:cs="Arial"/>
          <w:lang w:val="es-ES"/>
        </w:rPr>
      </w:pPr>
      <w:r w:rsidRPr="004B49E2">
        <w:rPr>
          <w:rFonts w:ascii="Verdana" w:eastAsia="Arial" w:hAnsi="Verdana" w:cs="Arial"/>
          <w:lang w:val="es-ES"/>
        </w:rPr>
        <w:lastRenderedPageBreak/>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7608C1BA" w14:textId="77777777" w:rsidR="00DF29EC" w:rsidRDefault="00DF29EC" w:rsidP="00DF29EC">
      <w:pPr>
        <w:spacing w:after="120" w:line="276" w:lineRule="auto"/>
        <w:ind w:firstLine="709"/>
        <w:jc w:val="both"/>
        <w:rPr>
          <w:rFonts w:ascii="Verdana" w:eastAsia="Arial" w:hAnsi="Verdana" w:cs="Arial"/>
        </w:rPr>
      </w:pPr>
      <w:r>
        <w:rPr>
          <w:rFonts w:ascii="Verdana" w:eastAsia="Arial" w:hAnsi="Verdana" w:cs="Arial"/>
        </w:rPr>
        <w:t>De conformidad con lo anterior, p</w:t>
      </w:r>
      <w:r w:rsidRPr="004B49E2">
        <w:rPr>
          <w:rFonts w:ascii="Verdana" w:eastAsia="Arial" w:hAnsi="Verdana" w:cs="Arial"/>
        </w:rPr>
        <w:t xml:space="preserve">ara garantizar el principio de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w:t>
      </w:r>
    </w:p>
    <w:p w14:paraId="48FCF9B3" w14:textId="77777777" w:rsidR="00DF29EC" w:rsidRDefault="00DF29EC" w:rsidP="00DF29EC">
      <w:pPr>
        <w:spacing w:after="120" w:line="276" w:lineRule="auto"/>
        <w:ind w:firstLine="709"/>
        <w:jc w:val="both"/>
        <w:rPr>
          <w:rFonts w:ascii="Verdana" w:eastAsia="Arial" w:hAnsi="Verdana" w:cs="Arial"/>
        </w:rPr>
      </w:pPr>
      <w:r w:rsidRPr="004B49E2">
        <w:rPr>
          <w:rFonts w:ascii="Verdana" w:eastAsia="Arial" w:hAnsi="Verdana" w:cs="Arial"/>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2C042F0E" w14:textId="77777777" w:rsidR="00DF29EC" w:rsidRPr="00B311A4" w:rsidRDefault="00DF29EC" w:rsidP="00DF29EC">
      <w:pPr>
        <w:spacing w:after="120" w:line="276" w:lineRule="auto"/>
        <w:ind w:firstLine="709"/>
        <w:jc w:val="both"/>
        <w:rPr>
          <w:rFonts w:ascii="Verdana" w:eastAsia="Arial" w:hAnsi="Verdana" w:cs="Arial"/>
        </w:rPr>
      </w:pPr>
      <w:r w:rsidRPr="00C90784">
        <w:rPr>
          <w:rFonts w:ascii="Verdana" w:eastAsia="Arial" w:hAnsi="Verdana" w:cs="Arial"/>
        </w:rPr>
        <w:t xml:space="preserve">Con base en lo anterior, tratándose de la garantía de seriedad de la oferta, debe precisarse que la regla de subsanabilidad prevista por el legislador recae sobre la no entrega de la garantía junto con la propuesta y, en general, sobre la inexistencia o falta de vigencia de la póliza al momento del cierre del proceso, por cuanto ello implicaría pretender acreditar una circunstancia constitutiva posterior e inadmisible. Sin embargo, resulta necesario distinguir entre la garantía como requisito habilitante y los soportes documentales asociados a su acreditación, como el comprobante de pago de la prima. En la medida en que el pago de la prima corresponde a una obligación derivada del contrato de seguro entre tomador y aseguradora, su soporte constituye un medio de prueba que no altera la realidad jurídica de la oferta, siempre que la póliza haya sido válidamente expedida y se encuentre vigente desde antes del cierre del plazo de presentación de propuestas. Por tanto, la entrega posterior del comprobante de pago no configura la acreditación de una circunstancia ocurrida con posterioridad al cierre del proceso, sino la aportación extemporánea de un documento verificable, subsanable bajo la regla del artículo 5 de la Ley 1882 de 2018, salvo </w:t>
      </w:r>
      <w:r w:rsidRPr="00C90784">
        <w:rPr>
          <w:rFonts w:ascii="Verdana" w:eastAsia="Arial" w:hAnsi="Verdana" w:cs="Arial"/>
        </w:rPr>
        <w:lastRenderedPageBreak/>
        <w:t>que la ley o el pliego de condiciones</w:t>
      </w:r>
      <w:r>
        <w:rPr>
          <w:rFonts w:ascii="Verdana" w:eastAsia="Arial" w:hAnsi="Verdana" w:cs="Arial"/>
        </w:rPr>
        <w:t xml:space="preserve">, </w:t>
      </w:r>
      <w:r w:rsidRPr="00C90784">
        <w:rPr>
          <w:rFonts w:ascii="Verdana" w:eastAsia="Arial" w:hAnsi="Verdana" w:cs="Arial"/>
        </w:rPr>
        <w:t>de forma expresa, razonable y proporcional</w:t>
      </w:r>
      <w:r>
        <w:rPr>
          <w:rFonts w:ascii="Verdana" w:eastAsia="Arial" w:hAnsi="Verdana" w:cs="Arial"/>
        </w:rPr>
        <w:t xml:space="preserve">, </w:t>
      </w:r>
      <w:r w:rsidRPr="00C90784">
        <w:rPr>
          <w:rFonts w:ascii="Verdana" w:eastAsia="Arial" w:hAnsi="Verdana" w:cs="Arial"/>
        </w:rPr>
        <w:t xml:space="preserve"> hubiesen elevado dicho soporte a causal autónoma de rechazo, hipótesis que, </w:t>
      </w:r>
      <w:r w:rsidRPr="00B311A4">
        <w:rPr>
          <w:rFonts w:ascii="Verdana" w:eastAsia="Arial" w:hAnsi="Verdana" w:cs="Arial"/>
        </w:rPr>
        <w:t>por su naturaleza, es de interpretación estricta y restrictiva.</w:t>
      </w:r>
    </w:p>
    <w:p w14:paraId="378DFC8F" w14:textId="77777777" w:rsidR="00DF29EC" w:rsidRPr="00172A02" w:rsidRDefault="00DF29EC" w:rsidP="00DF29EC">
      <w:pPr>
        <w:shd w:val="clear" w:color="auto" w:fill="FFFFFF"/>
        <w:spacing w:after="120" w:line="276" w:lineRule="auto"/>
        <w:ind w:right="51" w:firstLine="709"/>
        <w:jc w:val="both"/>
        <w:rPr>
          <w:rFonts w:ascii="Verdana" w:eastAsia="Times New Roman" w:hAnsi="Verdana" w:cs="Times New Roman"/>
          <w:lang w:eastAsia="es-ES"/>
        </w:rPr>
      </w:pPr>
      <w:bookmarkStart w:id="3" w:name="_Hlk102983874"/>
      <w:bookmarkStart w:id="4" w:name="_Hlk102388095"/>
      <w:r w:rsidRPr="00B311A4">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B311A4">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3"/>
      <w:bookmarkEnd w:id="4"/>
    </w:p>
    <w:p w14:paraId="5D1ED6EF" w14:textId="77777777" w:rsidR="00DF29EC" w:rsidRPr="00172A02" w:rsidRDefault="00DF29EC" w:rsidP="00DF29EC">
      <w:pPr>
        <w:spacing w:after="0" w:line="276" w:lineRule="auto"/>
        <w:ind w:firstLine="709"/>
        <w:jc w:val="both"/>
        <w:rPr>
          <w:rFonts w:ascii="Verdana" w:eastAsia="Times New Roman" w:hAnsi="Verdana" w:cs="Times New Roman"/>
          <w:lang w:eastAsia="es-ES"/>
        </w:rPr>
      </w:pPr>
    </w:p>
    <w:p w14:paraId="032878A1" w14:textId="77777777" w:rsidR="00DF29EC" w:rsidRPr="00172A02" w:rsidRDefault="00DF29EC" w:rsidP="00DF29EC">
      <w:pPr>
        <w:spacing w:after="120" w:line="276" w:lineRule="auto"/>
        <w:jc w:val="both"/>
        <w:rPr>
          <w:rFonts w:ascii="Verdana" w:eastAsia="Century Gothic" w:hAnsi="Verdana" w:cs="Century Gothic"/>
          <w:b/>
          <w:lang w:val="es-ES"/>
        </w:rPr>
      </w:pPr>
      <w:r w:rsidRPr="00172A02">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F29EC" w:rsidRPr="00E44689" w14:paraId="1717C6C2" w14:textId="77777777" w:rsidTr="00907256">
        <w:trPr>
          <w:trHeight w:val="1689"/>
        </w:trPr>
        <w:tc>
          <w:tcPr>
            <w:tcW w:w="8647" w:type="dxa"/>
          </w:tcPr>
          <w:p w14:paraId="42A857E2" w14:textId="77777777" w:rsidR="00DF29EC" w:rsidRPr="000C2DE4" w:rsidRDefault="00DF29EC" w:rsidP="0090725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0C2DE4">
              <w:rPr>
                <w:rFonts w:ascii="Verdana" w:eastAsia="Arial MT" w:hAnsi="Verdana" w:cs="Arial"/>
                <w:bCs/>
                <w:lang w:eastAsia="es-ES" w:bidi="es-ES"/>
              </w:rPr>
              <w:t>Ley 80 de 1993. Artículos 24, 25 y 30</w:t>
            </w:r>
          </w:p>
          <w:p w14:paraId="4F405710" w14:textId="77777777" w:rsidR="00DF29EC" w:rsidRPr="000C2DE4" w:rsidRDefault="00DF29EC" w:rsidP="0090725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0C2DE4">
              <w:rPr>
                <w:rFonts w:ascii="Verdana" w:eastAsia="Arial MT" w:hAnsi="Verdana" w:cs="Arial"/>
                <w:bCs/>
                <w:lang w:eastAsia="es-ES" w:bidi="es-ES"/>
              </w:rPr>
              <w:t>Ley 1150 de 2007. Artículo 5</w:t>
            </w:r>
          </w:p>
          <w:p w14:paraId="7258E91C" w14:textId="77777777" w:rsidR="00DF29EC" w:rsidRPr="000C2DE4" w:rsidRDefault="00DF29EC" w:rsidP="0090725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0C2DE4">
              <w:rPr>
                <w:rFonts w:ascii="Verdana" w:eastAsia="Arial MT" w:hAnsi="Verdana" w:cs="Arial"/>
                <w:bCs/>
                <w:lang w:eastAsia="es-ES" w:bidi="es-ES"/>
              </w:rPr>
              <w:t>Ley 1882 de 2018. Artículo 5</w:t>
            </w:r>
          </w:p>
          <w:p w14:paraId="57F3D161" w14:textId="77777777" w:rsidR="00DF29EC" w:rsidRPr="000C2DE4" w:rsidRDefault="00DF29EC" w:rsidP="0090725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0C2DE4">
              <w:rPr>
                <w:rFonts w:ascii="Verdana" w:eastAsia="Arial MT" w:hAnsi="Verdana" w:cs="Arial"/>
                <w:bCs/>
                <w:lang w:eastAsia="es-ES" w:bidi="es-ES"/>
              </w:rPr>
              <w:t>Decreto 1082 de 2015. Artículo 2.2.1.2.3.1.9</w:t>
            </w:r>
          </w:p>
          <w:p w14:paraId="3FB459F8" w14:textId="77777777" w:rsidR="00DF29EC" w:rsidRPr="000C2DE4" w:rsidRDefault="00DF29EC" w:rsidP="0090725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0C2DE4">
              <w:rPr>
                <w:rFonts w:ascii="Verdana" w:eastAsia="Arial MT" w:hAnsi="Verdana" w:cs="Arial"/>
                <w:bCs/>
                <w:lang w:eastAsia="es-ES" w:bidi="es-ES"/>
              </w:rPr>
              <w:t xml:space="preserve">Corte Constitucional. Sentencia C-452 de 1999. M.P. Eduardo Cifuentes Muñoz. </w:t>
            </w:r>
          </w:p>
          <w:p w14:paraId="04EC4FDF" w14:textId="77777777" w:rsidR="00DF29EC" w:rsidRPr="000C2DE4" w:rsidRDefault="00DF29EC" w:rsidP="0090725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0C2DE4">
              <w:rPr>
                <w:rFonts w:ascii="Verdana" w:eastAsia="Arial MT" w:hAnsi="Verdana" w:cs="Arial"/>
                <w:bCs/>
                <w:lang w:eastAsia="es-ES" w:bidi="es-ES"/>
              </w:rPr>
              <w:t>Consejo de Estado. Sala de lo Contencioso Administrativo Sección Tercera, Subsección C. Sentencia del 26 de febrero de 2014. Radicado: 1999-00113-01 (25.804). C.P. Enrique Gil Botero.</w:t>
            </w:r>
          </w:p>
          <w:p w14:paraId="78C0CA24" w14:textId="77777777" w:rsidR="00DF29EC" w:rsidRPr="000C2DE4" w:rsidRDefault="00DF29EC" w:rsidP="00907256">
            <w:pPr>
              <w:widowControl w:val="0"/>
              <w:numPr>
                <w:ilvl w:val="0"/>
                <w:numId w:val="16"/>
              </w:numPr>
              <w:autoSpaceDE w:val="0"/>
              <w:autoSpaceDN w:val="0"/>
              <w:spacing w:line="276" w:lineRule="auto"/>
              <w:ind w:left="714" w:hanging="357"/>
              <w:jc w:val="both"/>
              <w:rPr>
                <w:rFonts w:ascii="Verdana" w:eastAsia="Arial MT" w:hAnsi="Verdana" w:cs="Arial"/>
                <w:bCs/>
                <w:color w:val="EE0000"/>
                <w:lang w:eastAsia="es-ES" w:bidi="es-ES"/>
              </w:rPr>
            </w:pPr>
            <w:r w:rsidRPr="000C2DE4">
              <w:rPr>
                <w:rFonts w:ascii="Verdana" w:eastAsia="Arial MT" w:hAnsi="Verdana" w:cs="Arial"/>
                <w:bCs/>
                <w:lang w:eastAsia="es-ES" w:bidi="es-ES"/>
              </w:rPr>
              <w:t>Ver Consejo de Estado, Sección Tercera, Subsección C. Sentencia del 26 de febrero de 2014. C.P. Enrique Gil Botero. Radicado: 13001-23-31-000-1999-00113-01 (25.804). M.P: Enrique Gil Botero.</w:t>
            </w:r>
          </w:p>
        </w:tc>
      </w:tr>
    </w:tbl>
    <w:p w14:paraId="0630C7BD" w14:textId="77777777" w:rsidR="00DF29EC" w:rsidRPr="00E44689" w:rsidRDefault="00DF29EC" w:rsidP="00DF29EC">
      <w:pPr>
        <w:widowControl w:val="0"/>
        <w:autoSpaceDE w:val="0"/>
        <w:autoSpaceDN w:val="0"/>
        <w:spacing w:after="0" w:line="276" w:lineRule="auto"/>
        <w:jc w:val="both"/>
        <w:rPr>
          <w:rFonts w:ascii="Verdana" w:hAnsi="Verdana" w:cs="Arial"/>
          <w:color w:val="EE0000"/>
          <w:lang w:val="es-ES"/>
        </w:rPr>
      </w:pPr>
    </w:p>
    <w:p w14:paraId="186B472C" w14:textId="77777777" w:rsidR="00DF29EC" w:rsidRPr="00172A02" w:rsidRDefault="00DF29EC" w:rsidP="00DF29EC">
      <w:pPr>
        <w:tabs>
          <w:tab w:val="left" w:pos="142"/>
          <w:tab w:val="left" w:pos="284"/>
        </w:tabs>
        <w:spacing w:after="0" w:line="276" w:lineRule="auto"/>
        <w:jc w:val="both"/>
        <w:rPr>
          <w:rFonts w:ascii="Verdana" w:eastAsia="Century Gothic" w:hAnsi="Verdana" w:cs="Century Gothic"/>
          <w:b/>
          <w:lang w:val="es-ES"/>
        </w:rPr>
      </w:pPr>
      <w:r w:rsidRPr="00172A02">
        <w:rPr>
          <w:rFonts w:ascii="Verdana" w:eastAsia="Century Gothic" w:hAnsi="Verdana" w:cs="Century Gothic"/>
          <w:b/>
          <w:lang w:val="es-ES"/>
        </w:rPr>
        <w:t>5. Doctrina de la Agencia Nacional de Contratación Pública:</w:t>
      </w:r>
    </w:p>
    <w:p w14:paraId="66962E96" w14:textId="77777777" w:rsidR="00DF29EC" w:rsidRPr="00C21ACE" w:rsidRDefault="00DF29EC" w:rsidP="00DF29EC">
      <w:pPr>
        <w:widowControl w:val="0"/>
        <w:autoSpaceDE w:val="0"/>
        <w:autoSpaceDN w:val="0"/>
        <w:spacing w:after="0" w:line="276" w:lineRule="auto"/>
        <w:jc w:val="both"/>
        <w:rPr>
          <w:rFonts w:ascii="Verdana" w:hAnsi="Verdana" w:cs="Arial"/>
          <w:lang w:val="es-ES"/>
        </w:rPr>
      </w:pPr>
    </w:p>
    <w:p w14:paraId="2A8614E6" w14:textId="77777777" w:rsidR="00DF29EC" w:rsidRPr="00C21ACE" w:rsidRDefault="00DF29EC" w:rsidP="00DF29EC">
      <w:pPr>
        <w:widowControl w:val="0"/>
        <w:autoSpaceDE w:val="0"/>
        <w:autoSpaceDN w:val="0"/>
        <w:spacing w:after="0" w:line="276" w:lineRule="auto"/>
        <w:jc w:val="both"/>
        <w:rPr>
          <w:rStyle w:val="normaltextrun"/>
          <w:rFonts w:ascii="Verdana" w:hAnsi="Verdana" w:cs="Arial"/>
          <w:shd w:val="clear" w:color="auto" w:fill="FFFFFF"/>
          <w:lang w:val="es-ES"/>
        </w:rPr>
      </w:pPr>
      <w:r w:rsidRPr="00C21ACE">
        <w:rPr>
          <w:rFonts w:ascii="Verdana" w:eastAsia="Calibri" w:hAnsi="Verdana" w:cs="Arial"/>
          <w:lang w:val="es-ES"/>
        </w:rPr>
        <w:t xml:space="preserve">La Agencia Nacional de Contratación Pública – Colombia Compra Eficiente se ha referido </w:t>
      </w:r>
      <w:r w:rsidRPr="00C21ACE">
        <w:rPr>
          <w:rFonts w:ascii="Verdana" w:hAnsi="Verdana" w:cs="Arial"/>
          <w:shd w:val="clear" w:color="auto" w:fill="FFFFFF"/>
          <w:lang w:val="es-ES"/>
        </w:rPr>
        <w:t xml:space="preserve">sobre </w:t>
      </w:r>
      <w:r w:rsidRPr="00C21ACE">
        <w:rPr>
          <w:rFonts w:ascii="Verdana" w:hAnsi="Verdana" w:cs="Arial"/>
        </w:rPr>
        <w:t>sobre la subsanabilidad</w:t>
      </w:r>
      <w:r w:rsidRPr="00C21ACE">
        <w:rPr>
          <w:rFonts w:ascii="Verdana" w:hAnsi="Verdana" w:cs="Arial"/>
          <w:shd w:val="clear" w:color="auto" w:fill="FFFFFF"/>
        </w:rPr>
        <w:t xml:space="preserve"> </w:t>
      </w:r>
      <w:r w:rsidRPr="00C21ACE">
        <w:rPr>
          <w:rFonts w:ascii="Verdana" w:hAnsi="Verdana" w:cs="Arial"/>
        </w:rPr>
        <w:t xml:space="preserve">en los </w:t>
      </w:r>
      <w:r w:rsidRPr="00C21ACE">
        <w:rPr>
          <w:rStyle w:val="normaltextrun"/>
          <w:rFonts w:ascii="Verdana" w:hAnsi="Verdana" w:cs="Arial"/>
          <w:shd w:val="clear" w:color="auto" w:fill="FFFFFF"/>
          <w:lang w:val="es-ES"/>
        </w:rPr>
        <w:t xml:space="preserve">C-140 del 28 de marzo de 2022, </w:t>
      </w:r>
      <w:r w:rsidRPr="00C21ACE">
        <w:rPr>
          <w:rStyle w:val="normaltextrun"/>
          <w:rFonts w:ascii="Verdana" w:hAnsi="Verdana" w:cs="Arial"/>
          <w:shd w:val="clear" w:color="auto" w:fill="FFFFFF"/>
          <w:lang w:val="es-ES"/>
        </w:rPr>
        <w:lastRenderedPageBreak/>
        <w:t>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C-304 del 4 de julio de 2023, C-051 del 21 de febrero de 2025, C-293 del 16 de abril de 2025, C-295 del 16 de abril de 2025, C-678 del 9 de julio de 2025, C- 1363 del 30 de octubre de 2025, C-1376 del 31 de octubre de 2025</w:t>
      </w:r>
      <w:r>
        <w:rPr>
          <w:rStyle w:val="normaltextrun"/>
          <w:rFonts w:ascii="Verdana" w:hAnsi="Verdana" w:cs="Arial"/>
          <w:shd w:val="clear" w:color="auto" w:fill="FFFFFF"/>
          <w:lang w:val="es-ES"/>
        </w:rPr>
        <w:t xml:space="preserve"> y C-1771 del 28 de diciembre de 2025, </w:t>
      </w:r>
      <w:r w:rsidRPr="00C21ACE">
        <w:rPr>
          <w:rStyle w:val="normaltextrun"/>
          <w:rFonts w:ascii="Verdana" w:hAnsi="Verdana" w:cs="Arial"/>
          <w:shd w:val="clear" w:color="auto" w:fill="FFFFFF"/>
          <w:lang w:val="es-ES"/>
        </w:rPr>
        <w:t xml:space="preserve">entre otros. </w:t>
      </w:r>
    </w:p>
    <w:p w14:paraId="74DC7E50" w14:textId="77777777" w:rsidR="00DF29EC" w:rsidRPr="00E44689" w:rsidRDefault="00DF29EC" w:rsidP="00DF29EC">
      <w:pPr>
        <w:spacing w:after="0" w:line="276" w:lineRule="auto"/>
        <w:jc w:val="both"/>
        <w:rPr>
          <w:rStyle w:val="normaltextrun"/>
          <w:rFonts w:ascii="Verdana" w:hAnsi="Verdana" w:cs="Arial"/>
          <w:color w:val="EE0000"/>
          <w:shd w:val="clear" w:color="auto" w:fill="FFFFFF"/>
          <w:lang w:val="es-ES"/>
        </w:rPr>
      </w:pPr>
    </w:p>
    <w:p w14:paraId="49E6BD32" w14:textId="77777777" w:rsidR="00DF29EC" w:rsidRPr="00CC5DC7" w:rsidRDefault="00DF29EC" w:rsidP="00DF29EC">
      <w:pPr>
        <w:spacing w:after="0" w:line="276" w:lineRule="auto"/>
        <w:jc w:val="both"/>
        <w:rPr>
          <w:rFonts w:ascii="Verdana" w:hAnsi="Verdana"/>
          <w:lang w:val="es-ES"/>
        </w:rPr>
      </w:pPr>
      <w:r w:rsidRPr="00CC5DC7">
        <w:rPr>
          <w:rFonts w:ascii="Verdana" w:hAnsi="Verdana" w:cs="Arial"/>
          <w:shd w:val="clear" w:color="auto" w:fill="FFFFFF"/>
          <w:lang w:val="es-ES"/>
        </w:rPr>
        <w:t>Estos</w:t>
      </w:r>
      <w:r w:rsidRPr="00CC5DC7">
        <w:rPr>
          <w:rFonts w:ascii="Verdana" w:hAnsi="Verdana"/>
          <w:lang w:val="es-ES"/>
        </w:rPr>
        <w:t xml:space="preserve"> y otros se encuentran disponibles para consulta en el Sistema de relatoría de la Agencia, al cual se puede acceder a través del siguiente enlace:</w:t>
      </w:r>
      <w:r w:rsidRPr="00CC5DC7">
        <w:rPr>
          <w:rFonts w:ascii="Verdana" w:hAnsi="Verdana" w:cs="Arial"/>
          <w:shd w:val="clear" w:color="auto" w:fill="FFFFFF"/>
          <w:lang w:val="es-ES"/>
        </w:rPr>
        <w:t xml:space="preserve"> </w:t>
      </w:r>
      <w:hyperlink r:id="rId13" w:history="1">
        <w:r w:rsidRPr="00CC5DC7">
          <w:rPr>
            <w:rStyle w:val="Hipervnculo"/>
            <w:rFonts w:ascii="Verdana" w:hAnsi="Verdana" w:cs="Arial"/>
            <w:shd w:val="clear" w:color="auto" w:fill="FFFFFF"/>
            <w:lang w:val="es-ES"/>
          </w:rPr>
          <w:t>https://relatoria.colombiacompra.gov.co/busqueda/conce</w:t>
        </w:r>
        <w:r w:rsidRPr="00334E23">
          <w:rPr>
            <w:rStyle w:val="Hipervnculo"/>
            <w:rFonts w:ascii="Verdana" w:hAnsi="Verdana" w:cs="Arial"/>
            <w:shd w:val="clear" w:color="auto" w:fill="FFFFFF"/>
            <w:lang w:val="es-ES"/>
          </w:rPr>
          <w:t>ptos</w:t>
        </w:r>
      </w:hyperlink>
    </w:p>
    <w:p w14:paraId="33F50400" w14:textId="77777777" w:rsidR="00DF29EC" w:rsidRPr="00CC5DC7" w:rsidRDefault="00DF29EC" w:rsidP="00DF29EC">
      <w:pPr>
        <w:spacing w:after="0"/>
        <w:jc w:val="both"/>
        <w:rPr>
          <w:rFonts w:ascii="Verdana" w:hAnsi="Verdana" w:cs="Arial"/>
          <w:shd w:val="clear" w:color="auto" w:fill="FFFFFF"/>
          <w:lang w:val="es-ES"/>
        </w:rPr>
      </w:pPr>
    </w:p>
    <w:p w14:paraId="59A74FDC" w14:textId="77777777" w:rsidR="00DF29EC" w:rsidRPr="00CC5DC7" w:rsidRDefault="00DF29EC" w:rsidP="00DF29EC">
      <w:pPr>
        <w:spacing w:after="0"/>
        <w:jc w:val="both"/>
        <w:rPr>
          <w:rFonts w:ascii="Verdana" w:hAnsi="Verdana" w:cs="Arial"/>
          <w:shd w:val="clear" w:color="auto" w:fill="FFFFFF"/>
        </w:rPr>
      </w:pPr>
      <w:r w:rsidRPr="00CC5DC7">
        <w:rPr>
          <w:rFonts w:ascii="Verdana" w:hAnsi="Verdana" w:cs="Arial"/>
          <w:shd w:val="clear" w:color="auto" w:fill="FFFFFF"/>
        </w:rPr>
        <w:t>También le contamos que ya se encuentra disponible la </w:t>
      </w:r>
      <w:r w:rsidRPr="00CC5DC7">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CC5DC7">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CC5DC7">
          <w:rPr>
            <w:rStyle w:val="Hipervnculo"/>
            <w:rFonts w:ascii="Verdana" w:hAnsi="Verdana"/>
          </w:rPr>
          <w:t>Guía de lineamientos de transparencia y selección objetiva para el departamento de La Guajira – Objetivo sexto constitucional de la Sentencia T-302 del 2017</w:t>
        </w:r>
      </w:hyperlink>
    </w:p>
    <w:p w14:paraId="02AF9F4A" w14:textId="77777777" w:rsidR="00DF29EC" w:rsidRPr="00CC5DC7" w:rsidRDefault="00DF29EC" w:rsidP="00DF29EC">
      <w:pPr>
        <w:spacing w:after="0"/>
        <w:jc w:val="both"/>
        <w:rPr>
          <w:rFonts w:ascii="Verdana" w:hAnsi="Verdana" w:cs="Arial"/>
          <w:shd w:val="clear" w:color="auto" w:fill="FFFFFF"/>
        </w:rPr>
      </w:pPr>
    </w:p>
    <w:p w14:paraId="267E90BB" w14:textId="77777777" w:rsidR="00DF29EC" w:rsidRPr="00CC5DC7" w:rsidRDefault="00DF29EC" w:rsidP="00DF29EC">
      <w:pPr>
        <w:spacing w:after="0"/>
        <w:jc w:val="both"/>
        <w:rPr>
          <w:rFonts w:ascii="Verdana" w:hAnsi="Verdana" w:cs="Arial"/>
          <w:shd w:val="clear" w:color="auto" w:fill="FFFFFF"/>
        </w:rPr>
      </w:pPr>
      <w:r w:rsidRPr="00CC5DC7">
        <w:rPr>
          <w:rFonts w:ascii="Verdana" w:hAnsi="Verdana" w:cs="Arial"/>
          <w:shd w:val="clear" w:color="auto" w:fill="FFFFFF"/>
        </w:rPr>
        <w:t xml:space="preserve">Por último, lo invitamos a seguirnos en las redes sociales en las cuales se difunde información institucional: </w:t>
      </w:r>
    </w:p>
    <w:p w14:paraId="60832E46" w14:textId="77777777" w:rsidR="00DF29EC" w:rsidRPr="00CC5DC7" w:rsidRDefault="00DF29EC" w:rsidP="00DF29EC">
      <w:pPr>
        <w:spacing w:after="0"/>
        <w:jc w:val="both"/>
        <w:rPr>
          <w:rFonts w:ascii="Verdana" w:hAnsi="Verdana" w:cs="Arial"/>
          <w:shd w:val="clear" w:color="auto" w:fill="FFFFFF"/>
        </w:rPr>
      </w:pPr>
    </w:p>
    <w:p w14:paraId="23932A31" w14:textId="77777777" w:rsidR="00DF29EC" w:rsidRPr="00CC5DC7" w:rsidRDefault="00DF29EC" w:rsidP="00DF29EC">
      <w:pPr>
        <w:spacing w:after="0"/>
        <w:jc w:val="both"/>
        <w:rPr>
          <w:rFonts w:ascii="Verdana" w:hAnsi="Verdana" w:cs="Arial"/>
          <w:shd w:val="clear" w:color="auto" w:fill="FFFFFF"/>
        </w:rPr>
      </w:pPr>
      <w:r w:rsidRPr="00CC5DC7">
        <w:rPr>
          <w:rFonts w:ascii="Verdana" w:hAnsi="Verdana" w:cs="Arial"/>
          <w:shd w:val="clear" w:color="auto" w:fill="FFFFFF"/>
        </w:rPr>
        <w:t xml:space="preserve">Twitter: </w:t>
      </w:r>
      <w:r w:rsidRPr="004B2E9F">
        <w:rPr>
          <w:rStyle w:val="Hipervnculo"/>
          <w:rFonts w:ascii="Verdana" w:hAnsi="Verdana"/>
          <w:lang w:val="es-ES"/>
        </w:rPr>
        <w:t>@colombiacompra</w:t>
      </w:r>
      <w:r w:rsidRPr="004B2E9F">
        <w:rPr>
          <w:rFonts w:cs="Arial"/>
          <w:shd w:val="clear" w:color="auto" w:fill="FFFFFF"/>
        </w:rPr>
        <w:t xml:space="preserve"> </w:t>
      </w:r>
    </w:p>
    <w:p w14:paraId="5FC66FD1" w14:textId="77777777" w:rsidR="00DF29EC" w:rsidRPr="00CC5DC7" w:rsidRDefault="00DF29EC" w:rsidP="00DF29EC">
      <w:pPr>
        <w:spacing w:after="0"/>
        <w:jc w:val="both"/>
        <w:rPr>
          <w:rFonts w:ascii="Verdana" w:hAnsi="Verdana" w:cs="Arial"/>
          <w:shd w:val="clear" w:color="auto" w:fill="FFFFFF"/>
        </w:rPr>
      </w:pPr>
      <w:r w:rsidRPr="00CC5DC7">
        <w:rPr>
          <w:rFonts w:ascii="Verdana" w:hAnsi="Verdana" w:cs="Arial"/>
          <w:shd w:val="clear" w:color="auto" w:fill="FFFFFF"/>
        </w:rPr>
        <w:t>Facebook:</w:t>
      </w:r>
      <w:r w:rsidRPr="004B2E9F">
        <w:rPr>
          <w:rStyle w:val="Hipervnculo"/>
          <w:rFonts w:ascii="Verdana" w:hAnsi="Verdana"/>
          <w:lang w:val="es-ES"/>
        </w:rPr>
        <w:t xml:space="preserve"> ColombiaCompraEficiente</w:t>
      </w:r>
    </w:p>
    <w:p w14:paraId="5ABC92D8" w14:textId="77777777" w:rsidR="00DF29EC" w:rsidRPr="004B2E9F" w:rsidRDefault="00DF29EC" w:rsidP="00DF29EC">
      <w:pPr>
        <w:spacing w:after="0"/>
        <w:jc w:val="both"/>
        <w:rPr>
          <w:rFonts w:ascii="Verdana" w:hAnsi="Verdana" w:cs="Arial"/>
          <w:color w:val="0000FF"/>
          <w:shd w:val="clear" w:color="auto" w:fill="FFFFFF"/>
        </w:rPr>
      </w:pPr>
      <w:r w:rsidRPr="00CC5DC7">
        <w:rPr>
          <w:rFonts w:ascii="Verdana" w:hAnsi="Verdana" w:cs="Arial"/>
          <w:shd w:val="clear" w:color="auto" w:fill="FFFFFF"/>
        </w:rPr>
        <w:t xml:space="preserve">LinkedIn: </w:t>
      </w:r>
      <w:r w:rsidRPr="004B2E9F">
        <w:rPr>
          <w:rStyle w:val="Hipervnculo"/>
          <w:rFonts w:ascii="Verdana" w:hAnsi="Verdana"/>
          <w:lang w:val="es-ES"/>
        </w:rPr>
        <w:t>Agencia Nacional de Contratación Pública - Colombia Compra Eficiente</w:t>
      </w:r>
      <w:r w:rsidRPr="004B2E9F">
        <w:rPr>
          <w:rFonts w:ascii="Verdana" w:hAnsi="Verdana" w:cs="Arial"/>
          <w:color w:val="0000FF"/>
          <w:shd w:val="clear" w:color="auto" w:fill="FFFFFF"/>
        </w:rPr>
        <w:t xml:space="preserve"> </w:t>
      </w:r>
    </w:p>
    <w:p w14:paraId="0F5A5438" w14:textId="77777777" w:rsidR="00DF29EC" w:rsidRPr="00CC5DC7" w:rsidRDefault="00DF29EC" w:rsidP="00DF29EC">
      <w:pPr>
        <w:spacing w:after="0"/>
        <w:jc w:val="both"/>
        <w:rPr>
          <w:rFonts w:ascii="Verdana" w:hAnsi="Verdana" w:cs="Arial"/>
          <w:shd w:val="clear" w:color="auto" w:fill="FFFFFF"/>
        </w:rPr>
      </w:pPr>
      <w:r w:rsidRPr="00CC5DC7">
        <w:rPr>
          <w:rFonts w:ascii="Verdana" w:hAnsi="Verdana" w:cs="Arial"/>
          <w:shd w:val="clear" w:color="auto" w:fill="FFFFFF"/>
        </w:rPr>
        <w:t xml:space="preserve">Instagram: </w:t>
      </w:r>
      <w:r w:rsidRPr="004B2E9F">
        <w:rPr>
          <w:rStyle w:val="Hipervnculo"/>
          <w:rFonts w:ascii="Verdana" w:hAnsi="Verdana"/>
          <w:lang w:val="es-ES"/>
        </w:rPr>
        <w:t>@colombiacompraeficiente_cce</w:t>
      </w:r>
    </w:p>
    <w:p w14:paraId="175DA377" w14:textId="77777777" w:rsidR="00DF29EC" w:rsidRPr="00CC5DC7" w:rsidRDefault="00DF29EC" w:rsidP="00DF29EC">
      <w:pPr>
        <w:widowControl w:val="0"/>
        <w:autoSpaceDE w:val="0"/>
        <w:autoSpaceDN w:val="0"/>
        <w:spacing w:after="0" w:line="276" w:lineRule="auto"/>
        <w:jc w:val="both"/>
        <w:rPr>
          <w:rFonts w:ascii="Verdana" w:hAnsi="Verdana" w:cs="Arial"/>
          <w:lang w:val="es-ES"/>
        </w:rPr>
      </w:pPr>
    </w:p>
    <w:p w14:paraId="7E54CBC4" w14:textId="77777777" w:rsidR="00DF29EC" w:rsidRPr="00256600" w:rsidRDefault="00DF29EC" w:rsidP="00DF29EC">
      <w:pPr>
        <w:widowControl w:val="0"/>
        <w:autoSpaceDE w:val="0"/>
        <w:autoSpaceDN w:val="0"/>
        <w:spacing w:after="0" w:line="276" w:lineRule="auto"/>
        <w:jc w:val="both"/>
        <w:rPr>
          <w:rFonts w:ascii="Verdana" w:hAnsi="Verdana" w:cs="Arial"/>
          <w:lang w:val="es-ES"/>
        </w:rPr>
      </w:pPr>
      <w:r w:rsidRPr="00CC5DC7">
        <w:rPr>
          <w:rFonts w:ascii="Verdana" w:hAnsi="Verdana" w:cs="Arial"/>
          <w:lang w:val="es-ES"/>
        </w:rPr>
        <w:t xml:space="preserve">Este concepto tiene el alcance previsto en el artículo 28 del Código de Procedimiento Administrativo y de lo Contencioso Administrativo y las </w:t>
      </w:r>
      <w:r w:rsidRPr="00CC5DC7">
        <w:rPr>
          <w:rFonts w:ascii="Verdana" w:hAnsi="Verdana" w:cs="Arial"/>
          <w:lang w:val="es-ES"/>
        </w:rPr>
        <w:lastRenderedPageBreak/>
        <w:t xml:space="preserve">expresiones aquí utilizadas con mayúscula inicial deben ser entendidas con el </w:t>
      </w:r>
      <w:r w:rsidRPr="00256600">
        <w:rPr>
          <w:rFonts w:ascii="Verdana" w:hAnsi="Verdana" w:cs="Arial"/>
          <w:lang w:val="es-ES"/>
        </w:rPr>
        <w:t>significado que les otorga el artículo 2.2.1.1.1.3.1. del Decreto 1082 de 2015.</w:t>
      </w:r>
    </w:p>
    <w:p w14:paraId="161A1F9B" w14:textId="77777777" w:rsidR="00DF29EC" w:rsidRPr="00256600" w:rsidRDefault="00DF29EC" w:rsidP="00DF29EC">
      <w:pPr>
        <w:widowControl w:val="0"/>
        <w:autoSpaceDE w:val="0"/>
        <w:autoSpaceDN w:val="0"/>
        <w:spacing w:after="0" w:line="276" w:lineRule="auto"/>
        <w:jc w:val="both"/>
        <w:rPr>
          <w:rFonts w:ascii="Verdana" w:hAnsi="Verdana" w:cs="Arial"/>
          <w:lang w:val="es-ES"/>
        </w:rPr>
      </w:pPr>
    </w:p>
    <w:p w14:paraId="14CAB2A8" w14:textId="68096A90" w:rsidR="00DF29EC" w:rsidRPr="00521AED" w:rsidRDefault="00DF29EC" w:rsidP="00521AED">
      <w:pPr>
        <w:spacing w:after="0" w:line="276" w:lineRule="auto"/>
        <w:rPr>
          <w:rFonts w:ascii="Verdana" w:hAnsi="Verdana" w:cs="Arial"/>
          <w:lang w:val="es-ES" w:eastAsia="es-CO"/>
        </w:rPr>
      </w:pPr>
      <w:r w:rsidRPr="00256600">
        <w:rPr>
          <w:rFonts w:ascii="Verdana" w:eastAsia="Times New Roman" w:hAnsi="Verdana" w:cs="Arial"/>
          <w:lang w:val="es-ES" w:eastAsia="es-CO"/>
        </w:rPr>
        <w:t>Atentamente,</w:t>
      </w:r>
      <w:r w:rsidRPr="00256600">
        <w:rPr>
          <w:rFonts w:ascii="Verdana" w:hAnsi="Verdana" w:cs="Arial"/>
          <w:lang w:val="es-ES" w:eastAsia="es-CO"/>
        </w:rPr>
        <w:t xml:space="preserve"> </w:t>
      </w:r>
    </w:p>
    <w:p w14:paraId="360A811D" w14:textId="11715F5B" w:rsidR="00DF29EC" w:rsidRPr="00916D59" w:rsidRDefault="00916D59" w:rsidP="00DF29EC">
      <w:pPr>
        <w:spacing w:after="0" w:line="276" w:lineRule="auto"/>
        <w:jc w:val="center"/>
        <w:rPr>
          <w:rFonts w:ascii="Verdana" w:hAnsi="Verdana"/>
          <w:noProof/>
          <w:color w:val="EE0000"/>
        </w:rPr>
      </w:pPr>
      <w:r w:rsidRPr="00916D59">
        <w:rPr>
          <w:rFonts w:ascii="Verdana" w:hAnsi="Verdana"/>
          <w:noProof/>
          <w:color w:val="EE0000"/>
        </w:rPr>
        <w:drawing>
          <wp:inline distT="0" distB="0" distL="0" distR="0" wp14:anchorId="3DF5B4E5" wp14:editId="552446C4">
            <wp:extent cx="3030734" cy="1222744"/>
            <wp:effectExtent l="0" t="0" r="0" b="0"/>
            <wp:docPr id="37892487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24874" name="Imagen 1" descr="Texto&#10;&#10;El contenido generado por IA puede ser incorrecto."/>
                    <pic:cNvPicPr/>
                  </pic:nvPicPr>
                  <pic:blipFill>
                    <a:blip r:embed="rId15"/>
                    <a:stretch>
                      <a:fillRect/>
                    </a:stretch>
                  </pic:blipFill>
                  <pic:spPr>
                    <a:xfrm>
                      <a:off x="0" y="0"/>
                      <a:ext cx="3040228" cy="1226574"/>
                    </a:xfrm>
                    <a:prstGeom prst="rect">
                      <a:avLst/>
                    </a:prstGeom>
                  </pic:spPr>
                </pic:pic>
              </a:graphicData>
            </a:graphic>
          </wp:inline>
        </w:drawing>
      </w:r>
    </w:p>
    <w:p w14:paraId="4C07F3CD" w14:textId="77777777" w:rsidR="00DF29EC" w:rsidRPr="00CC5DC7" w:rsidRDefault="00DF29EC" w:rsidP="00DF29EC">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29EC" w:rsidRPr="00CC5DC7" w14:paraId="05E2E449" w14:textId="77777777" w:rsidTr="00907256">
        <w:trPr>
          <w:trHeight w:val="315"/>
        </w:trPr>
        <w:tc>
          <w:tcPr>
            <w:tcW w:w="893" w:type="dxa"/>
            <w:vAlign w:val="center"/>
            <w:hideMark/>
          </w:tcPr>
          <w:p w14:paraId="6820D723" w14:textId="77777777" w:rsidR="00DF29EC" w:rsidRPr="00CC5DC7" w:rsidRDefault="00DF29EC" w:rsidP="00907256">
            <w:pPr>
              <w:contextualSpacing/>
              <w:rPr>
                <w:rFonts w:ascii="Verdana" w:hAnsi="Verdana" w:cs="Arial"/>
                <w:sz w:val="16"/>
                <w:szCs w:val="16"/>
                <w:lang w:val="es-ES" w:eastAsia="es-ES"/>
              </w:rPr>
            </w:pPr>
            <w:r w:rsidRPr="00CC5D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EEA477C" w14:textId="77777777" w:rsidR="00DF29EC" w:rsidRPr="00CC5DC7" w:rsidRDefault="00DF29EC" w:rsidP="00907256">
            <w:pPr>
              <w:rPr>
                <w:rFonts w:ascii="Verdana" w:eastAsia="Times New Roman" w:hAnsi="Verdana" w:cs="Arial"/>
                <w:sz w:val="16"/>
                <w:szCs w:val="16"/>
                <w:lang w:eastAsia="es-ES"/>
              </w:rPr>
            </w:pPr>
            <w:r w:rsidRPr="00CC5DC7">
              <w:rPr>
                <w:rFonts w:ascii="Verdana" w:eastAsia="Times New Roman" w:hAnsi="Verdana" w:cs="Arial"/>
                <w:sz w:val="16"/>
                <w:szCs w:val="16"/>
                <w:lang w:eastAsia="es-ES"/>
              </w:rPr>
              <w:t>Camila Alejandra Naranjo Gómez</w:t>
            </w:r>
          </w:p>
          <w:p w14:paraId="0CC53DDC" w14:textId="77777777" w:rsidR="00DF29EC" w:rsidRPr="00CC5DC7" w:rsidRDefault="00DF29EC" w:rsidP="00907256">
            <w:pPr>
              <w:contextualSpacing/>
              <w:rPr>
                <w:rFonts w:ascii="Verdana" w:eastAsia="Arial" w:hAnsi="Verdana" w:cs="Arial"/>
                <w:sz w:val="16"/>
                <w:szCs w:val="16"/>
                <w:lang w:val="es-ES"/>
              </w:rPr>
            </w:pPr>
            <w:r w:rsidRPr="00CC5DC7">
              <w:rPr>
                <w:rFonts w:ascii="Verdana" w:eastAsia="Times New Roman" w:hAnsi="Verdana" w:cs="Arial"/>
                <w:sz w:val="16"/>
                <w:szCs w:val="16"/>
                <w:lang w:eastAsia="es-ES"/>
              </w:rPr>
              <w:t>Analista T2-02 de la Subdirección de Gestión Contractual</w:t>
            </w:r>
          </w:p>
        </w:tc>
      </w:tr>
      <w:tr w:rsidR="00DF29EC" w:rsidRPr="00E44689" w14:paraId="7EEDFA11" w14:textId="77777777" w:rsidTr="00907256">
        <w:trPr>
          <w:trHeight w:val="330"/>
        </w:trPr>
        <w:tc>
          <w:tcPr>
            <w:tcW w:w="893" w:type="dxa"/>
            <w:vAlign w:val="center"/>
            <w:hideMark/>
          </w:tcPr>
          <w:p w14:paraId="6C5C834F" w14:textId="77777777" w:rsidR="00DF29EC" w:rsidRPr="00256600" w:rsidRDefault="00DF29EC" w:rsidP="00907256">
            <w:pPr>
              <w:contextualSpacing/>
              <w:rPr>
                <w:rFonts w:ascii="Verdana" w:hAnsi="Verdana" w:cs="Arial"/>
                <w:sz w:val="16"/>
                <w:szCs w:val="16"/>
                <w:lang w:val="es-ES" w:eastAsia="es-ES"/>
              </w:rPr>
            </w:pPr>
            <w:r w:rsidRPr="0025660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4264FC8" w14:textId="77777777" w:rsidR="00DF29EC" w:rsidRPr="00256600" w:rsidRDefault="00DF29EC" w:rsidP="00907256">
            <w:pPr>
              <w:rPr>
                <w:rFonts w:ascii="Verdana" w:eastAsia="Times New Roman" w:hAnsi="Verdana" w:cs="Arial"/>
                <w:sz w:val="16"/>
                <w:szCs w:val="16"/>
                <w:lang w:eastAsia="es-ES"/>
              </w:rPr>
            </w:pPr>
            <w:r>
              <w:rPr>
                <w:rFonts w:ascii="Verdana" w:eastAsia="Times New Roman" w:hAnsi="Verdana" w:cs="Arial"/>
                <w:sz w:val="16"/>
                <w:szCs w:val="16"/>
                <w:lang w:eastAsia="es-ES"/>
              </w:rPr>
              <w:t>Adriana Katerine López Rodríguez</w:t>
            </w:r>
          </w:p>
          <w:p w14:paraId="3CCF7CA7" w14:textId="77777777" w:rsidR="00DF29EC" w:rsidRPr="00256600" w:rsidRDefault="00DF29EC" w:rsidP="00907256">
            <w:pPr>
              <w:pStyle w:val="paragraph"/>
              <w:spacing w:before="0" w:beforeAutospacing="0" w:after="0" w:afterAutospacing="0"/>
              <w:contextualSpacing/>
              <w:textAlignment w:val="baseline"/>
              <w:rPr>
                <w:rFonts w:ascii="Verdana" w:hAnsi="Verdana" w:cs="Segoe UI"/>
                <w:sz w:val="16"/>
                <w:szCs w:val="16"/>
                <w:lang w:val="es-ES"/>
              </w:rPr>
            </w:pPr>
            <w:r w:rsidRPr="00256600">
              <w:rPr>
                <w:rFonts w:ascii="Verdana" w:hAnsi="Verdana" w:cs="Arial"/>
                <w:sz w:val="16"/>
                <w:szCs w:val="16"/>
                <w:lang w:eastAsia="es-ES"/>
              </w:rPr>
              <w:t>Contratista de la Subdirección de Gestión Contractual</w:t>
            </w:r>
          </w:p>
        </w:tc>
      </w:tr>
      <w:tr w:rsidR="00DF29EC" w:rsidRPr="00E44689" w14:paraId="19F96283" w14:textId="77777777" w:rsidTr="00907256">
        <w:trPr>
          <w:trHeight w:val="300"/>
        </w:trPr>
        <w:tc>
          <w:tcPr>
            <w:tcW w:w="893" w:type="dxa"/>
            <w:vAlign w:val="center"/>
          </w:tcPr>
          <w:p w14:paraId="0A9F517E" w14:textId="77777777" w:rsidR="00DF29EC" w:rsidRPr="00256600" w:rsidRDefault="00DF29EC" w:rsidP="00907256">
            <w:pPr>
              <w:contextualSpacing/>
              <w:rPr>
                <w:rFonts w:ascii="Verdana" w:hAnsi="Verdana" w:cs="Arial"/>
                <w:sz w:val="16"/>
                <w:szCs w:val="16"/>
                <w:lang w:val="es-ES" w:eastAsia="es-ES"/>
              </w:rPr>
            </w:pPr>
            <w:r w:rsidRPr="0025660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06173B" w14:textId="77777777" w:rsidR="00DF29EC" w:rsidRPr="00256600" w:rsidRDefault="00DF29EC" w:rsidP="00907256">
            <w:pPr>
              <w:contextualSpacing/>
              <w:rPr>
                <w:rFonts w:ascii="Verdana" w:eastAsia="Calibri" w:hAnsi="Verdana" w:cs="Arial"/>
                <w:sz w:val="16"/>
                <w:szCs w:val="16"/>
                <w:lang w:val="es-ES" w:eastAsia="es-ES"/>
              </w:rPr>
            </w:pPr>
            <w:r w:rsidRPr="00256600">
              <w:rPr>
                <w:rFonts w:ascii="Verdana" w:eastAsia="Calibri" w:hAnsi="Verdana" w:cs="Arial"/>
                <w:sz w:val="16"/>
                <w:szCs w:val="16"/>
                <w:lang w:val="es-ES" w:eastAsia="es-ES"/>
              </w:rPr>
              <w:t>Carolina Quintero Gacharná</w:t>
            </w:r>
          </w:p>
          <w:p w14:paraId="0DB5FEB7" w14:textId="77777777" w:rsidR="00DF29EC" w:rsidRPr="00256600" w:rsidRDefault="00DF29EC" w:rsidP="00907256">
            <w:pPr>
              <w:contextualSpacing/>
              <w:rPr>
                <w:rFonts w:ascii="Verdana" w:eastAsia="Calibri" w:hAnsi="Verdana" w:cs="Arial"/>
                <w:sz w:val="16"/>
                <w:szCs w:val="16"/>
                <w:lang w:val="es-ES" w:eastAsia="es-ES"/>
              </w:rPr>
            </w:pPr>
            <w:r w:rsidRPr="00256600">
              <w:rPr>
                <w:rFonts w:ascii="Verdana" w:eastAsia="Calibri" w:hAnsi="Verdana" w:cs="Arial"/>
                <w:sz w:val="16"/>
                <w:szCs w:val="16"/>
                <w:lang w:val="es-ES" w:eastAsia="es-ES"/>
              </w:rPr>
              <w:t>Subdirectora de Gestión Contractual ANCP – CCE</w:t>
            </w:r>
          </w:p>
        </w:tc>
      </w:tr>
    </w:tbl>
    <w:p w14:paraId="0F44FFA1" w14:textId="77777777" w:rsidR="00DF29EC" w:rsidRPr="009969AD" w:rsidRDefault="00DF29EC" w:rsidP="00DF29EC">
      <w:pPr>
        <w:spacing w:after="120" w:line="276" w:lineRule="auto"/>
        <w:jc w:val="both"/>
        <w:rPr>
          <w:rFonts w:ascii="Verdana" w:eastAsia="Century Gothic" w:hAnsi="Verdana" w:cs="Century Gothic"/>
          <w:b/>
          <w:color w:val="ED7D31" w:themeColor="accent2"/>
        </w:rPr>
      </w:pPr>
    </w:p>
    <w:bookmarkEnd w:id="1"/>
    <w:p w14:paraId="650F7444" w14:textId="682145FE" w:rsidR="00DF29EC" w:rsidRPr="009969AD" w:rsidRDefault="00DF29EC" w:rsidP="00DF29EC">
      <w:pPr>
        <w:spacing w:after="120" w:line="276" w:lineRule="auto"/>
        <w:jc w:val="both"/>
        <w:rPr>
          <w:rFonts w:ascii="Verdana" w:eastAsia="Century Gothic" w:hAnsi="Verdana" w:cs="Century Gothic"/>
          <w:b/>
          <w:color w:val="ED7D31" w:themeColor="accent2"/>
          <w:lang w:val="es-ES"/>
        </w:rPr>
      </w:pPr>
    </w:p>
    <w:p w14:paraId="0F293BF4" w14:textId="69CE858E" w:rsidR="00127233" w:rsidRPr="00DF29EC" w:rsidRDefault="00127233" w:rsidP="00DF29EC"/>
    <w:sectPr w:rsidR="00127233" w:rsidRPr="00DF29EC"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FF09E" w14:textId="77777777" w:rsidR="000212FD" w:rsidRDefault="000212FD" w:rsidP="004A1847">
      <w:pPr>
        <w:spacing w:after="0" w:line="240" w:lineRule="auto"/>
      </w:pPr>
      <w:r>
        <w:separator/>
      </w:r>
    </w:p>
  </w:endnote>
  <w:endnote w:type="continuationSeparator" w:id="0">
    <w:p w14:paraId="1DA6BFA2" w14:textId="77777777" w:rsidR="000212FD" w:rsidRDefault="000212F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76869" w14:textId="77777777" w:rsidR="000212FD" w:rsidRDefault="000212FD" w:rsidP="004A1847">
      <w:pPr>
        <w:spacing w:after="0" w:line="240" w:lineRule="auto"/>
      </w:pPr>
      <w:r>
        <w:separator/>
      </w:r>
    </w:p>
  </w:footnote>
  <w:footnote w:type="continuationSeparator" w:id="0">
    <w:p w14:paraId="646071D1" w14:textId="77777777" w:rsidR="000212FD" w:rsidRDefault="000212FD" w:rsidP="004A1847">
      <w:pPr>
        <w:spacing w:after="0" w:line="240" w:lineRule="auto"/>
      </w:pPr>
      <w:r>
        <w:continuationSeparator/>
      </w:r>
    </w:p>
  </w:footnote>
  <w:footnote w:id="1">
    <w:p w14:paraId="2C8B130B" w14:textId="77777777" w:rsidR="00DF29EC" w:rsidRPr="00B85689" w:rsidRDefault="00DF29EC" w:rsidP="00DF29EC">
      <w:pPr>
        <w:pStyle w:val="Textonotapie"/>
        <w:snapToGrid w:val="0"/>
        <w:ind w:firstLine="708"/>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Corte Constitucional. Sentencia C-452 de 1999. M.P. Eduardo Cifuentes Muñoz. </w:t>
      </w:r>
    </w:p>
  </w:footnote>
  <w:footnote w:id="2">
    <w:p w14:paraId="6E6650F4" w14:textId="77777777" w:rsidR="00DF29EC" w:rsidRPr="00B85689" w:rsidRDefault="00DF29EC" w:rsidP="00DF29EC">
      <w:pPr>
        <w:pStyle w:val="Textonotapie"/>
        <w:snapToGrid w:val="0"/>
        <w:ind w:firstLine="708"/>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DROMI, José Roberto. La licitación pública. Buenos Aires: Ciudad Argentina, 1980. pp. 288-289.</w:t>
      </w:r>
    </w:p>
  </w:footnote>
  <w:footnote w:id="3">
    <w:p w14:paraId="663C972D" w14:textId="77777777" w:rsidR="00DF29EC" w:rsidRPr="00B85689" w:rsidRDefault="00DF29EC" w:rsidP="00DF29EC">
      <w:pPr>
        <w:pStyle w:val="Textonotapie"/>
        <w:snapToGrid w:val="0"/>
        <w:ind w:firstLine="708"/>
        <w:contextualSpacing/>
        <w:jc w:val="both"/>
        <w:rPr>
          <w:rFonts w:ascii="Verdana" w:hAnsi="Verdana" w:cs="Arial"/>
          <w:sz w:val="16"/>
          <w:szCs w:val="16"/>
        </w:rPr>
      </w:pPr>
      <w:r w:rsidRPr="00B85689">
        <w:rPr>
          <w:rStyle w:val="Refdenotaalpie"/>
          <w:rFonts w:ascii="Verdana" w:hAnsi="Verdana" w:cs="Arial"/>
          <w:sz w:val="16"/>
          <w:szCs w:val="16"/>
        </w:rPr>
        <w:footnoteRef/>
      </w:r>
      <w:r w:rsidRPr="00B85689">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4">
    <w:p w14:paraId="3D8080F9" w14:textId="77777777" w:rsidR="00DF29EC" w:rsidRPr="00B85689" w:rsidRDefault="00DF29EC" w:rsidP="00DF29EC">
      <w:pPr>
        <w:pStyle w:val="Textonotapie"/>
        <w:snapToGrid w:val="0"/>
        <w:ind w:firstLine="709"/>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Ordóñez, Andrés E. Seguro de cumplimiento de los contratos estatales en Colombia. Bogotá: Universidad Externado de Colombia, 2011. p. 44.</w:t>
      </w:r>
    </w:p>
  </w:footnote>
  <w:footnote w:id="5">
    <w:p w14:paraId="05E0B251" w14:textId="77777777" w:rsidR="00DF29EC" w:rsidRPr="00B85689" w:rsidRDefault="00DF29EC" w:rsidP="00DF29EC">
      <w:pPr>
        <w:pStyle w:val="Textonotapie"/>
        <w:snapToGrid w:val="0"/>
        <w:ind w:firstLine="709"/>
        <w:contextualSpacing/>
        <w:jc w:val="both"/>
        <w:rPr>
          <w:rFonts w:ascii="Verdana" w:hAnsi="Verdana" w:cs="Arial"/>
          <w:color w:val="000000" w:themeColor="text1"/>
          <w:sz w:val="16"/>
          <w:szCs w:val="16"/>
          <w:lang w:val="es-ES"/>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B85689">
        <w:rPr>
          <w:rFonts w:ascii="Verdana" w:hAnsi="Verdana" w:cs="Arial"/>
          <w:color w:val="000000" w:themeColor="text1"/>
          <w:sz w:val="16"/>
          <w:szCs w:val="16"/>
          <w:lang w:val="es-ES"/>
        </w:rPr>
        <w:t xml:space="preserve">Igualmente, el inciso primero del artículo 1071 </w:t>
      </w:r>
      <w:r w:rsidRPr="00B85689">
        <w:rPr>
          <w:rFonts w:ascii="Verdana" w:hAnsi="Verdana" w:cs="Arial"/>
          <w:i/>
          <w:iCs/>
          <w:color w:val="000000" w:themeColor="text1"/>
          <w:sz w:val="16"/>
          <w:szCs w:val="16"/>
          <w:lang w:val="es-ES"/>
        </w:rPr>
        <w:t>ibidem</w:t>
      </w:r>
      <w:r w:rsidRPr="00B85689">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6">
    <w:p w14:paraId="18258972" w14:textId="77777777" w:rsidR="00DF29EC" w:rsidRPr="00B85689" w:rsidRDefault="00DF29EC" w:rsidP="00DF29EC">
      <w:pPr>
        <w:pStyle w:val="Textonotapie"/>
        <w:snapToGrid w:val="0"/>
        <w:ind w:firstLine="709"/>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w:t>
      </w:r>
      <w:r>
        <w:rPr>
          <w:rFonts w:ascii="Verdana" w:hAnsi="Verdana" w:cs="Arial"/>
          <w:color w:val="000000" w:themeColor="text1"/>
          <w:sz w:val="16"/>
          <w:szCs w:val="16"/>
        </w:rPr>
        <w:t>(</w:t>
      </w:r>
      <w:r w:rsidRPr="00B85689">
        <w:rPr>
          <w:rFonts w:ascii="Verdana" w:hAnsi="Verdana" w:cs="Arial"/>
          <w:color w:val="000000" w:themeColor="text1"/>
          <w:sz w:val="16"/>
          <w:szCs w:val="16"/>
        </w:rPr>
        <w:t>Cfr. STIGLITZ, Rubén S. Derecho de seguros. Tomo I. Tercera Edición. Buenos Aires: Abeledo – Perrot, 2001. p. 21).</w:t>
      </w:r>
    </w:p>
  </w:footnote>
  <w:footnote w:id="7">
    <w:p w14:paraId="7316A0D8"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462574C8"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8">
    <w:p w14:paraId="25FDEF4E"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9">
    <w:p w14:paraId="19D2443A"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lo Contencioso Administrativo Sección Tercera, Subsección C. Sentencia del 26 de febrero de 2014. Radicado: 1999-00113-01 (25.804). C.P. Enrique Gil Botero. </w:t>
      </w:r>
    </w:p>
    <w:p w14:paraId="32902416"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0">
    <w:p w14:paraId="5EC5309D" w14:textId="77777777" w:rsidR="00DF29EC" w:rsidRPr="00AF56B9" w:rsidRDefault="00DF29EC" w:rsidP="00DF29EC">
      <w:pPr>
        <w:pStyle w:val="Textonotapie"/>
        <w:ind w:firstLine="709"/>
        <w:jc w:val="both"/>
        <w:rPr>
          <w:rFonts w:ascii="Verdana" w:hAnsi="Verdana"/>
          <w:sz w:val="16"/>
          <w:szCs w:val="16"/>
        </w:rPr>
      </w:pPr>
      <w:r w:rsidRPr="00AF56B9">
        <w:rPr>
          <w:rStyle w:val="Refdenotaalpie"/>
          <w:rFonts w:ascii="Verdana" w:hAnsi="Verdana"/>
          <w:sz w:val="16"/>
          <w:szCs w:val="16"/>
        </w:rPr>
        <w:footnoteRef/>
      </w:r>
      <w:r w:rsidRPr="00AF56B9">
        <w:rPr>
          <w:rFonts w:ascii="Verdana" w:hAnsi="Verdana"/>
          <w:sz w:val="16"/>
          <w:szCs w:val="16"/>
        </w:rPr>
        <w:t xml:space="preserve"> En </w:t>
      </w:r>
      <w:hyperlink r:id="rId1" w:history="1">
        <w:r>
          <w:rPr>
            <w:rStyle w:val="Hipervnculo"/>
            <w:rFonts w:ascii="Verdana" w:hAnsi="Verdana"/>
            <w:sz w:val="16"/>
            <w:szCs w:val="16"/>
            <w:lang w:val="es-CO"/>
          </w:rPr>
          <w:t>Circular Externa única Vr3</w:t>
        </w:r>
      </w:hyperlink>
    </w:p>
  </w:footnote>
  <w:footnote w:id="11">
    <w:p w14:paraId="4DE6E1F5"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Sala de lo Contencioso Administrativo. Sección Tercera, Subsección C. Sentencia del 26 de febrero de 2011. Radicado: 11001-03-26-000-2009-00018-00 (36.408). C.P. Jaime Orlando Santofimio.   </w:t>
      </w:r>
    </w:p>
    <w:p w14:paraId="2D775590"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2">
    <w:p w14:paraId="561A3BD2"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Sección Tercera, Subsección C. Sentencia del 26 de febrero de 2014. C.P. Enrique Gil Botero. Radicado: 13001-23-31-000-1999-00113-01 (25.804). M.P: Enrique Gil Botero.   </w:t>
      </w:r>
    </w:p>
    <w:p w14:paraId="4775BE35"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3">
    <w:p w14:paraId="0B0EC5B5"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Consulta y Servicio Civil. Concepto del 20 de mayo de 2010. Rad. 2010-00034-00 (1992). C.P. Enrique José Arboleda Perdomo.</w:t>
      </w:r>
    </w:p>
    <w:p w14:paraId="50C36B0C"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4">
    <w:p w14:paraId="73EE9155"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RODRÍGUEZ TAMAYO, Mauricio Fernando. Evaluación y rechazo de ofertas en la Ley 80 de 1993. Medellín: Librería Jurídica Sánchez, 2016. p. 190. </w:t>
      </w:r>
    </w:p>
    <w:p w14:paraId="224A7240"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15">
    <w:p w14:paraId="1D0DCB35"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Ley 80 de 1993 “</w:t>
      </w:r>
      <w:r w:rsidRPr="00AF56B9">
        <w:rPr>
          <w:rFonts w:ascii="Verdana" w:eastAsia="Arial" w:hAnsi="Verdana" w:cs="Arial"/>
          <w:bCs/>
          <w:color w:val="000000" w:themeColor="text1"/>
          <w:sz w:val="16"/>
          <w:szCs w:val="16"/>
        </w:rPr>
        <w:t>Articulo 24. Del principio de transparencia. </w:t>
      </w:r>
      <w:r w:rsidRPr="00AF56B9">
        <w:rPr>
          <w:rFonts w:ascii="Verdana" w:eastAsia="Arial" w:hAnsi="Verdana" w:cs="Arial"/>
          <w:color w:val="000000" w:themeColor="text1"/>
          <w:sz w:val="16"/>
          <w:szCs w:val="16"/>
        </w:rPr>
        <w:t xml:space="preserve">En virtud de este principio: </w:t>
      </w:r>
    </w:p>
    <w:p w14:paraId="35396E72"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774EDC1C" w14:textId="77777777" w:rsidR="00DF29EC" w:rsidRPr="00AF56B9" w:rsidRDefault="00DF29EC" w:rsidP="00DF29EC">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5o. En los pliegos de condiciones:</w:t>
      </w:r>
    </w:p>
    <w:p w14:paraId="275F1011" w14:textId="77777777" w:rsidR="00DF29EC" w:rsidRPr="00AF56B9" w:rsidRDefault="00DF29EC" w:rsidP="00DF29EC">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04F81341" w14:textId="77777777" w:rsidR="00DF29EC" w:rsidRDefault="00DF29EC" w:rsidP="00DF29EC">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14:paraId="3C074522" w14:textId="77777777" w:rsidR="00DF29EC" w:rsidRPr="00AF56B9" w:rsidRDefault="00DF29EC" w:rsidP="00DF29EC">
      <w:pPr>
        <w:spacing w:after="0" w:line="240" w:lineRule="auto"/>
        <w:ind w:firstLine="709"/>
        <w:jc w:val="both"/>
        <w:rPr>
          <w:rFonts w:ascii="Verdana" w:eastAsia="Arial" w:hAnsi="Verdana" w:cs="Arial"/>
          <w:color w:val="000000" w:themeColor="text1"/>
          <w:sz w:val="16"/>
          <w:szCs w:val="16"/>
        </w:rPr>
      </w:pPr>
    </w:p>
  </w:footnote>
  <w:footnote w:id="16">
    <w:p w14:paraId="7DF3FCBE"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Decreto 1082 de 2015 “Artículo 2.2.1.1.2.1.3. Pliegos de condiciones. Los pliegos de condiciones deben contener por lo menos la siguiente información</w:t>
      </w:r>
    </w:p>
    <w:p w14:paraId="14340B99"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2BADA8C0"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6. Las causas que dan lugar a rechazar una oferta […]”.</w:t>
      </w:r>
    </w:p>
  </w:footnote>
  <w:footnote w:id="17">
    <w:p w14:paraId="402FA21F" w14:textId="77777777" w:rsidR="00DF29EC"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Consejo de Estado. Sala de lo Contencioso Administrativo. Sección Tercera Subsección B. Sentencia del 27 de abril de 2011. Radicado: 25000-23-26-000-1997-03924-01 (18.293). C.P. Ponente: Ruth Stella Correa Palacio. </w:t>
      </w:r>
    </w:p>
    <w:p w14:paraId="7E6B46F7" w14:textId="77777777" w:rsidR="00DF29EC" w:rsidRPr="00AF56B9" w:rsidRDefault="00DF29EC" w:rsidP="00DF29E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18">
    <w:p w14:paraId="748E6B69" w14:textId="77777777" w:rsidR="00DF29EC" w:rsidRPr="00AF56B9" w:rsidRDefault="00DF29EC" w:rsidP="00DF29EC">
      <w:pPr>
        <w:pStyle w:val="Textonotapie"/>
        <w:ind w:firstLine="709"/>
        <w:jc w:val="both"/>
        <w:rPr>
          <w:rFonts w:ascii="Verdana" w:eastAsia="Times New Roman" w:hAnsi="Verdana" w:cs="Arial"/>
          <w:sz w:val="16"/>
          <w:szCs w:val="16"/>
          <w:lang w:val="es-CO" w:eastAsia="es-CO"/>
        </w:rPr>
      </w:pPr>
      <w:r w:rsidRPr="00AF56B9">
        <w:rPr>
          <w:rStyle w:val="Refdenotaalpie"/>
          <w:rFonts w:ascii="Verdana" w:hAnsi="Verdana" w:cs="Arial"/>
          <w:sz w:val="16"/>
          <w:szCs w:val="16"/>
        </w:rPr>
        <w:footnoteRef/>
      </w:r>
      <w:r w:rsidRPr="00AF56B9">
        <w:rPr>
          <w:rFonts w:ascii="Verdana" w:hAnsi="Verdana" w:cs="Arial"/>
          <w:sz w:val="16"/>
          <w:szCs w:val="16"/>
        </w:rPr>
        <w:t xml:space="preserve"> </w:t>
      </w:r>
      <w:r w:rsidRPr="00AF56B9">
        <w:rPr>
          <w:rFonts w:ascii="Verdana" w:eastAsia="Times New Roman" w:hAnsi="Verdana" w:cs="Arial"/>
          <w:sz w:val="16"/>
          <w:szCs w:val="16"/>
          <w:lang w:val="es-CO" w:eastAsia="es-CO"/>
        </w:rPr>
        <w:t>Consejo de Estado. Sección Tercera. Sentencia del 21 de noviembre de 2013. Radicado 25000-23-26-000-1999-01850-01 (25.397). C.P.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2FD"/>
    <w:rsid w:val="000247FA"/>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21AED"/>
    <w:rsid w:val="005324A1"/>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1C9D"/>
    <w:rsid w:val="007C3DC2"/>
    <w:rsid w:val="007E5497"/>
    <w:rsid w:val="00806F5F"/>
    <w:rsid w:val="00820278"/>
    <w:rsid w:val="008258C9"/>
    <w:rsid w:val="00844AE9"/>
    <w:rsid w:val="00867F95"/>
    <w:rsid w:val="008843B6"/>
    <w:rsid w:val="0088620C"/>
    <w:rsid w:val="00891928"/>
    <w:rsid w:val="008A446D"/>
    <w:rsid w:val="008B25F1"/>
    <w:rsid w:val="008D180B"/>
    <w:rsid w:val="008F0EA7"/>
    <w:rsid w:val="00916D59"/>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453B5"/>
    <w:rsid w:val="00B72CD3"/>
    <w:rsid w:val="00B72FFF"/>
    <w:rsid w:val="00BC3D36"/>
    <w:rsid w:val="00BD54A6"/>
    <w:rsid w:val="00BD7F72"/>
    <w:rsid w:val="00BF7425"/>
    <w:rsid w:val="00C033AA"/>
    <w:rsid w:val="00C04FB3"/>
    <w:rsid w:val="00C11D8B"/>
    <w:rsid w:val="00C15139"/>
    <w:rsid w:val="00C24F23"/>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29E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2A48"/>
    <w:rsid w:val="00EC38A7"/>
    <w:rsid w:val="00EE1AA8"/>
    <w:rsid w:val="00F23FEA"/>
    <w:rsid w:val="00F31EDC"/>
    <w:rsid w:val="00F446C0"/>
    <w:rsid w:val="00F462B3"/>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29E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genieracricaurte@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74C6188-CB99-46E6-88BE-7112C3D977FC}"/>
</file>

<file path=customXml/itemProps3.xml><?xml version="1.0" encoding="utf-8"?>
<ds:datastoreItem xmlns:ds="http://schemas.openxmlformats.org/officeDocument/2006/customXml" ds:itemID="{7466E9D1-A615-4E9E-8F1E-BEEAEABFB7EE}">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20</Pages>
  <Words>6905</Words>
  <Characters>36460</Characters>
  <Application>Microsoft Office Word</Application>
  <DocSecurity>0</DocSecurity>
  <Lines>701</Lines>
  <Paragraphs>133</Paragraphs>
  <ScaleCrop>false</ScaleCrop>
  <Company/>
  <LinksUpToDate>false</LinksUpToDate>
  <CharactersWithSpaces>43232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2023-01-10T21:18:00Z</cp:lastPrinted>
  <dcterms:created xsi:type="dcterms:W3CDTF">2026-02-18T15:56:00Z</dcterms:created>
  <dcterms:modified xsi:type="dcterms:W3CDTF">2026-02-18T16:39:00Z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