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D35D65" w14:textId="77777777" w:rsidR="009B5304" w:rsidRDefault="009B5304" w:rsidP="009B5304">
      <w:pPr>
        <w:pStyle w:val="paragraph"/>
        <w:spacing w:before="0" w:beforeAutospacing="0" w:after="0" w:afterAutospacing="0"/>
        <w:textAlignment w:val="baseline"/>
        <w:rPr>
          <w:rFonts w:ascii="Segoe UI" w:hAnsi="Segoe UI" w:cs="Segoe UI"/>
          <w:sz w:val="18"/>
          <w:szCs w:val="18"/>
        </w:rPr>
      </w:pPr>
      <w:r>
        <w:rPr>
          <w:rStyle w:val="normaltextrun"/>
          <w:rFonts w:ascii="Verdana" w:hAnsi="Verdana" w:cs="Segoe UI"/>
          <w:b/>
          <w:bCs/>
          <w:sz w:val="22"/>
          <w:szCs w:val="22"/>
          <w:lang w:val="es-MX"/>
        </w:rPr>
        <w:t>LEY DE GARANTÍAS ELECTORALES ‒ Finalidad</w:t>
      </w:r>
      <w:r>
        <w:rPr>
          <w:rStyle w:val="eop"/>
          <w:rFonts w:ascii="Verdana" w:hAnsi="Verdana" w:cs="Segoe UI"/>
          <w:sz w:val="22"/>
          <w:szCs w:val="22"/>
        </w:rPr>
        <w:t> </w:t>
      </w:r>
    </w:p>
    <w:p w14:paraId="79B2E48C" w14:textId="77777777" w:rsidR="009B5304" w:rsidRDefault="009B5304" w:rsidP="009B5304">
      <w:pPr>
        <w:pStyle w:val="paragraph"/>
        <w:spacing w:before="0" w:beforeAutospacing="0" w:after="0" w:afterAutospacing="0"/>
        <w:textAlignment w:val="baseline"/>
        <w:rPr>
          <w:rFonts w:ascii="Segoe UI" w:hAnsi="Segoe UI" w:cs="Segoe UI"/>
          <w:sz w:val="18"/>
          <w:szCs w:val="18"/>
        </w:rPr>
      </w:pPr>
      <w:r>
        <w:rPr>
          <w:rStyle w:val="eop"/>
          <w:rFonts w:ascii="Verdana" w:hAnsi="Verdana" w:cs="Segoe UI"/>
          <w:sz w:val="22"/>
          <w:szCs w:val="22"/>
        </w:rPr>
        <w:t> </w:t>
      </w:r>
    </w:p>
    <w:p w14:paraId="5EF6CE89" w14:textId="77777777" w:rsidR="009B5304" w:rsidRDefault="009B5304" w:rsidP="009B5304">
      <w:pPr>
        <w:pStyle w:val="paragraph"/>
        <w:spacing w:before="0" w:beforeAutospacing="0" w:after="0" w:afterAutospacing="0"/>
        <w:jc w:val="both"/>
        <w:textAlignment w:val="baseline"/>
        <w:rPr>
          <w:rStyle w:val="eop"/>
          <w:rFonts w:ascii="Verdana" w:hAnsi="Verdana" w:cs="Segoe UI"/>
          <w:sz w:val="20"/>
          <w:szCs w:val="20"/>
        </w:rPr>
      </w:pPr>
      <w:r>
        <w:rPr>
          <w:rStyle w:val="normaltextrun"/>
          <w:rFonts w:ascii="Verdana" w:hAnsi="Verdana" w:cs="Segoe UI"/>
          <w:sz w:val="20"/>
          <w:szCs w:val="20"/>
        </w:rPr>
        <w:t>El ordenamiento jurídico colombiano contempla previsiones claras para evitar la obtención de beneficios personales en asuntos propios de la administración pública</w:t>
      </w:r>
      <w:r>
        <w:rPr>
          <w:rStyle w:val="normaltextrun"/>
          <w:rFonts w:ascii="Verdana" w:hAnsi="Verdana" w:cs="Segoe UI"/>
          <w:i/>
          <w:iCs/>
          <w:sz w:val="20"/>
          <w:szCs w:val="20"/>
        </w:rPr>
        <w:t>. </w:t>
      </w:r>
      <w:r>
        <w:rPr>
          <w:rStyle w:val="normaltextrun"/>
          <w:rFonts w:ascii="Verdana" w:hAnsi="Verdana" w:cs="Segoe UI"/>
          <w:sz w:val="20"/>
          <w:szCs w:val="20"/>
        </w:rPr>
        <w:t>Por ejemplo, el artículo 127 de la Constitución Política establece una prohibición contractual a los servidores públicos y, en cuanto a aspectos políticos, establece restricciones a ciertos empleados del Estado, incluso en época no electoral. </w:t>
      </w:r>
      <w:r>
        <w:rPr>
          <w:rStyle w:val="eop"/>
          <w:rFonts w:ascii="Verdana" w:hAnsi="Verdana" w:cs="Segoe UI"/>
          <w:sz w:val="20"/>
          <w:szCs w:val="20"/>
        </w:rPr>
        <w:t> </w:t>
      </w:r>
    </w:p>
    <w:p w14:paraId="3D5E4B64" w14:textId="77777777" w:rsidR="009B5304" w:rsidRDefault="009B5304" w:rsidP="009B5304">
      <w:pPr>
        <w:pStyle w:val="paragraph"/>
        <w:spacing w:before="0" w:beforeAutospacing="0" w:after="0" w:afterAutospacing="0"/>
        <w:jc w:val="both"/>
        <w:textAlignment w:val="baseline"/>
        <w:rPr>
          <w:rFonts w:ascii="Segoe UI" w:hAnsi="Segoe UI" w:cs="Segoe UI"/>
          <w:sz w:val="18"/>
          <w:szCs w:val="18"/>
        </w:rPr>
      </w:pPr>
    </w:p>
    <w:p w14:paraId="657F0B33" w14:textId="77777777" w:rsidR="009B5304" w:rsidRDefault="009B5304" w:rsidP="009B5304">
      <w:pPr>
        <w:pStyle w:val="paragraph"/>
        <w:spacing w:before="0" w:beforeAutospacing="0" w:after="0" w:afterAutospacing="0"/>
        <w:jc w:val="both"/>
        <w:textAlignment w:val="baseline"/>
        <w:rPr>
          <w:rFonts w:ascii="Segoe UI" w:hAnsi="Segoe UI" w:cs="Segoe UI"/>
          <w:sz w:val="18"/>
          <w:szCs w:val="18"/>
        </w:rPr>
      </w:pPr>
      <w:r>
        <w:rPr>
          <w:rStyle w:val="normaltextrun"/>
          <w:rFonts w:ascii="Verdana" w:hAnsi="Verdana" w:cs="Segoe UI"/>
          <w:sz w:val="20"/>
          <w:szCs w:val="20"/>
          <w:lang w:val="es-MX"/>
        </w:rPr>
        <w:t>[…] 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 En esta medida, introduce limitaciones para realizar nombramientos, postulaciones, contrataciones o cualquier otro tipo de actividad que implique destinación de recursos públicos bajo el devenir propio de las entidades estatales.</w:t>
      </w:r>
      <w:r>
        <w:rPr>
          <w:rStyle w:val="eop"/>
          <w:rFonts w:ascii="Verdana" w:hAnsi="Verdana" w:cs="Segoe UI"/>
          <w:sz w:val="20"/>
          <w:szCs w:val="20"/>
        </w:rPr>
        <w:t> </w:t>
      </w:r>
    </w:p>
    <w:p w14:paraId="55DD957E" w14:textId="77777777" w:rsidR="009B5304" w:rsidRDefault="009B5304" w:rsidP="009B5304">
      <w:pPr>
        <w:pStyle w:val="paragraph"/>
        <w:spacing w:before="0" w:beforeAutospacing="0" w:after="0" w:afterAutospacing="0"/>
        <w:jc w:val="both"/>
        <w:textAlignment w:val="baseline"/>
        <w:rPr>
          <w:rFonts w:ascii="Segoe UI" w:hAnsi="Segoe UI" w:cs="Segoe UI"/>
          <w:sz w:val="18"/>
          <w:szCs w:val="18"/>
        </w:rPr>
      </w:pPr>
      <w:r>
        <w:rPr>
          <w:rStyle w:val="eop"/>
          <w:rFonts w:ascii="Verdana" w:hAnsi="Verdana" w:cs="Segoe UI"/>
          <w:sz w:val="20"/>
          <w:szCs w:val="20"/>
        </w:rPr>
        <w:t> </w:t>
      </w:r>
    </w:p>
    <w:p w14:paraId="30BCE72E" w14:textId="77777777" w:rsidR="009B5304" w:rsidRPr="00252092" w:rsidRDefault="009B5304" w:rsidP="009B5304">
      <w:pPr>
        <w:pStyle w:val="paragraph"/>
        <w:spacing w:before="0" w:beforeAutospacing="0" w:after="0" w:afterAutospacing="0"/>
        <w:jc w:val="both"/>
        <w:textAlignment w:val="baseline"/>
        <w:rPr>
          <w:rStyle w:val="eop"/>
          <w:rFonts w:ascii="Verdana" w:hAnsi="Verdana" w:cs="Segoe UI"/>
          <w:b/>
          <w:bCs/>
          <w:sz w:val="20"/>
          <w:szCs w:val="20"/>
        </w:rPr>
      </w:pPr>
    </w:p>
    <w:p w14:paraId="59FD9279" w14:textId="77777777" w:rsidR="009B5304" w:rsidRDefault="009B5304" w:rsidP="009B5304">
      <w:pPr>
        <w:pStyle w:val="paragraph"/>
        <w:spacing w:before="0" w:beforeAutospacing="0" w:after="0" w:afterAutospacing="0"/>
        <w:jc w:val="both"/>
        <w:textAlignment w:val="baseline"/>
        <w:rPr>
          <w:rFonts w:ascii="Verdana" w:eastAsia="Aptos" w:hAnsi="Verdana" w:cs="Arial"/>
          <w:b/>
          <w:bCs/>
          <w:sz w:val="22"/>
          <w:szCs w:val="22"/>
          <w:lang w:val="es-MX" w:eastAsia="es-ES"/>
        </w:rPr>
      </w:pPr>
      <w:r w:rsidRPr="00252092">
        <w:rPr>
          <w:rFonts w:ascii="Verdana" w:eastAsia="Aptos" w:hAnsi="Verdana" w:cs="Arial"/>
          <w:b/>
          <w:bCs/>
          <w:sz w:val="22"/>
          <w:szCs w:val="22"/>
          <w:lang w:val="es-MX" w:eastAsia="es-ES"/>
        </w:rPr>
        <w:t>LEY DE GARANTÍAS ELECTORALES – Prohibición – Artículo 3</w:t>
      </w:r>
      <w:r>
        <w:rPr>
          <w:rFonts w:ascii="Verdana" w:eastAsia="Aptos" w:hAnsi="Verdana" w:cs="Arial"/>
          <w:b/>
          <w:bCs/>
          <w:sz w:val="22"/>
          <w:szCs w:val="22"/>
          <w:lang w:val="es-MX" w:eastAsia="es-ES"/>
        </w:rPr>
        <w:t>3</w:t>
      </w:r>
      <w:r w:rsidRPr="00252092">
        <w:rPr>
          <w:rFonts w:ascii="Verdana" w:eastAsia="Aptos" w:hAnsi="Verdana" w:cs="Arial"/>
          <w:b/>
          <w:bCs/>
          <w:sz w:val="22"/>
          <w:szCs w:val="22"/>
          <w:lang w:val="es-MX" w:eastAsia="es-ES"/>
        </w:rPr>
        <w:t xml:space="preserve"> – Contratación directa – Alcance </w:t>
      </w:r>
    </w:p>
    <w:p w14:paraId="6FE8FFB9" w14:textId="77777777" w:rsidR="009B5304" w:rsidRDefault="009B5304" w:rsidP="009B5304">
      <w:pPr>
        <w:spacing w:after="0" w:line="240" w:lineRule="auto"/>
        <w:ind w:left="708" w:hanging="708"/>
        <w:jc w:val="both"/>
        <w:rPr>
          <w:rFonts w:ascii="Verdana" w:hAnsi="Verdana" w:cs="Arial"/>
          <w:b/>
          <w:bCs/>
          <w:color w:val="00BCD8"/>
          <w:lang w:val="es-MX" w:eastAsia="es-ES"/>
        </w:rPr>
      </w:pPr>
    </w:p>
    <w:p w14:paraId="58A75F41" w14:textId="77777777" w:rsidR="009B5304" w:rsidRPr="00D047BE" w:rsidRDefault="009B5304" w:rsidP="009B5304">
      <w:pPr>
        <w:spacing w:after="120" w:line="276" w:lineRule="auto"/>
        <w:jc w:val="both"/>
        <w:rPr>
          <w:rFonts w:ascii="Verdana" w:eastAsia="Times New Roman" w:hAnsi="Verdana" w:cs="Arial"/>
          <w:bCs/>
          <w:sz w:val="20"/>
          <w:szCs w:val="20"/>
          <w:lang w:val="es-MX" w:eastAsia="x-none"/>
        </w:rPr>
      </w:pPr>
      <w:r w:rsidRPr="00D047BE">
        <w:rPr>
          <w:rFonts w:ascii="Verdana" w:eastAsia="Times New Roman" w:hAnsi="Verdana" w:cs="Arial"/>
          <w:bCs/>
          <w:sz w:val="20"/>
          <w:szCs w:val="20"/>
          <w:lang w:val="es-MX" w:eastAsia="x-none"/>
        </w:rPr>
        <w:t>Así las cosas, ha de entenderse que, para los efectos de la Ley de Garantías Electorales y, en particular, para la prohibición o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r>
        <w:rPr>
          <w:rFonts w:ascii="Verdana" w:eastAsia="Times New Roman" w:hAnsi="Verdana" w:cs="Arial"/>
          <w:sz w:val="20"/>
          <w:szCs w:val="20"/>
          <w:vertAlign w:val="superscript"/>
          <w:lang w:eastAsia="x-none"/>
        </w:rPr>
        <w:t>.</w:t>
      </w:r>
      <w:r w:rsidRPr="00D047BE">
        <w:rPr>
          <w:rFonts w:ascii="Verdana" w:eastAsia="Times New Roman" w:hAnsi="Verdana" w:cs="Arial"/>
          <w:sz w:val="20"/>
          <w:szCs w:val="20"/>
          <w:vertAlign w:val="superscript"/>
          <w:lang w:eastAsia="x-none"/>
        </w:rPr>
        <w:t xml:space="preserve"> </w:t>
      </w:r>
    </w:p>
    <w:p w14:paraId="27FE34FB" w14:textId="77777777" w:rsidR="009B5304" w:rsidRPr="00D047BE" w:rsidRDefault="009B5304" w:rsidP="009B5304">
      <w:pPr>
        <w:spacing w:after="120" w:line="276" w:lineRule="auto"/>
        <w:jc w:val="both"/>
        <w:rPr>
          <w:rFonts w:ascii="Verdana" w:eastAsia="Times New Roman" w:hAnsi="Verdana" w:cs="Arial"/>
          <w:sz w:val="20"/>
          <w:szCs w:val="20"/>
          <w:lang w:eastAsia="x-none"/>
        </w:rPr>
      </w:pPr>
      <w:r w:rsidRPr="00D047BE">
        <w:rPr>
          <w:rFonts w:ascii="Verdana" w:eastAsia="Times New Roman" w:hAnsi="Verdana" w:cs="Arial"/>
          <w:bCs/>
          <w:sz w:val="20"/>
          <w:szCs w:val="20"/>
          <w:lang w:val="es-MX" w:eastAsia="x-none"/>
        </w:rPr>
        <w:t>De lo anterior se desprende que la restricción aplica, sin perjuicio de las excepciones establecidas en la misma ley, para celebrar cualquier contrato de forma directa, esto es, sin que exista un proceso abierto y competitivo.</w:t>
      </w:r>
      <w:r w:rsidRPr="00D047BE">
        <w:rPr>
          <w:rFonts w:ascii="Verdana" w:eastAsia="Times New Roman" w:hAnsi="Verdana" w:cs="Arial"/>
          <w:sz w:val="20"/>
          <w:szCs w:val="20"/>
          <w:lang w:eastAsia="x-none"/>
        </w:rPr>
        <w:t xml:space="preserve"> Por tanto, no son materia de la prohibición las demás modalidades de selección previstas en la Ley 1150 de 2007, es decir, la licitación pública, el concurso de méritos, la selección abreviada y la mínima cuantía, razón por la cual en ese período preelectoral de que trata la disposición las entidades públicas pueden seguir contratando bajo estos sistemas.</w:t>
      </w:r>
    </w:p>
    <w:p w14:paraId="5E433808" w14:textId="77777777" w:rsidR="009B5304" w:rsidRPr="00663BBD" w:rsidRDefault="009B5304" w:rsidP="009B5304">
      <w:pPr>
        <w:pStyle w:val="paragraph"/>
        <w:jc w:val="both"/>
        <w:textAlignment w:val="baseline"/>
        <w:rPr>
          <w:rFonts w:ascii="Verdana" w:eastAsia="Aptos" w:hAnsi="Verdana" w:cs="Arial"/>
          <w:b/>
          <w:bCs/>
          <w:sz w:val="22"/>
          <w:szCs w:val="22"/>
          <w:lang w:val="es-MX" w:eastAsia="es-ES"/>
        </w:rPr>
      </w:pPr>
      <w:r w:rsidRPr="00663BBD">
        <w:rPr>
          <w:rFonts w:ascii="Verdana" w:eastAsia="Aptos" w:hAnsi="Verdana" w:cs="Arial"/>
          <w:b/>
          <w:bCs/>
          <w:sz w:val="22"/>
          <w:szCs w:val="22"/>
          <w:lang w:val="es-MX" w:eastAsia="es-ES"/>
        </w:rPr>
        <w:t xml:space="preserve">LEY DE GARANTÍAS ELECTORALES – Contratos interadministrativos – Criterio orgánico </w:t>
      </w:r>
    </w:p>
    <w:p w14:paraId="53C9633F" w14:textId="77777777" w:rsidR="009B5304" w:rsidRPr="005D646A" w:rsidRDefault="009B5304" w:rsidP="009B5304">
      <w:pPr>
        <w:pStyle w:val="paragraph"/>
        <w:spacing w:after="0"/>
        <w:jc w:val="both"/>
        <w:textAlignment w:val="baseline"/>
        <w:rPr>
          <w:rFonts w:ascii="Verdana" w:eastAsia="Aptos" w:hAnsi="Verdana" w:cs="Arial"/>
          <w:sz w:val="20"/>
          <w:szCs w:val="20"/>
          <w:lang w:val="es-MX" w:eastAsia="es-ES_tradnl"/>
        </w:rPr>
      </w:pPr>
      <w:r w:rsidRPr="005D646A">
        <w:rPr>
          <w:rFonts w:ascii="Verdana" w:eastAsia="Aptos" w:hAnsi="Verdana" w:cs="Arial"/>
          <w:sz w:val="20"/>
          <w:szCs w:val="20"/>
          <w:lang w:val="es-MX" w:eastAsia="es-ES_tradnl"/>
        </w:rPr>
        <w:t xml:space="preserve">Para tales efectos, debe precisarse que los contratos o convenios interadministrativos están determinados por un criterio orgánico, pues es necesario que los extremos de la relación contractual sean entidades públicas, independientemente de las normas que regulan la relación contractual. En este sentido, los convenios interadministrativos solo </w:t>
      </w:r>
      <w:r w:rsidRPr="005D646A">
        <w:rPr>
          <w:rFonts w:ascii="Verdana" w:eastAsia="Aptos" w:hAnsi="Verdana" w:cs="Arial"/>
          <w:sz w:val="20"/>
          <w:szCs w:val="20"/>
          <w:lang w:val="es-MX" w:eastAsia="es-ES_tradnl"/>
        </w:rPr>
        <w:lastRenderedPageBreak/>
        <w:t>pueden ser celebrados entre entidades públicas, pues a éstas corresponde la realización de los fines y tareas que el legislador les ha asignado.</w:t>
      </w:r>
    </w:p>
    <w:p w14:paraId="6FF147A4" w14:textId="77777777" w:rsidR="009B5304" w:rsidRPr="005D646A" w:rsidRDefault="009B5304" w:rsidP="009B5304">
      <w:pPr>
        <w:pStyle w:val="paragraph"/>
        <w:spacing w:after="0"/>
        <w:jc w:val="both"/>
        <w:textAlignment w:val="baseline"/>
        <w:rPr>
          <w:rFonts w:ascii="Verdana" w:eastAsia="Aptos" w:hAnsi="Verdana" w:cs="Arial"/>
          <w:sz w:val="20"/>
          <w:szCs w:val="20"/>
          <w:lang w:val="es-MX" w:eastAsia="es-ES_tradnl"/>
        </w:rPr>
      </w:pPr>
      <w:r w:rsidRPr="005D646A">
        <w:rPr>
          <w:rFonts w:ascii="Verdana" w:eastAsia="Aptos" w:hAnsi="Verdana" w:cs="Arial"/>
          <w:sz w:val="20"/>
          <w:szCs w:val="20"/>
          <w:lang w:val="es-MX" w:eastAsia="es-ES_tradnl"/>
        </w:rPr>
        <w:t>Si bien los contratos o convenios interadministrativos están previstos en la Ley 80 de 1993, en la Ley 1150 de 2007 y en el Decreto 1082 de 2015, no quiere decir que solo puedan celebrarse entre Entidades Estatales que apliquen el régimen de contratación allí previsto. En efecto, una Entidad Estatal de la Ley 80 de 1993 – como es el caso de un municipio – bien puede celebrar esta clase de convenios con una Entidad Estatal de régimen especial y no por ello dejará de ser un contrato o convenio interadministrativo.</w:t>
      </w:r>
    </w:p>
    <w:p w14:paraId="16566407" w14:textId="77777777" w:rsidR="009B5304" w:rsidRPr="004D2656" w:rsidRDefault="009B5304" w:rsidP="009B5304">
      <w:pPr>
        <w:pStyle w:val="paragraph"/>
        <w:spacing w:after="0"/>
        <w:jc w:val="both"/>
        <w:textAlignment w:val="baseline"/>
        <w:rPr>
          <w:rFonts w:ascii="Verdana" w:eastAsia="Aptos" w:hAnsi="Verdana" w:cs="Arial"/>
          <w:sz w:val="20"/>
          <w:szCs w:val="20"/>
          <w:lang w:val="es-MX" w:eastAsia="es-ES_tradnl"/>
        </w:rPr>
      </w:pPr>
      <w:r w:rsidRPr="005D646A">
        <w:rPr>
          <w:rFonts w:ascii="Verdana" w:eastAsia="Aptos" w:hAnsi="Verdana" w:cs="Arial"/>
          <w:sz w:val="20"/>
          <w:szCs w:val="20"/>
          <w:lang w:val="es-MX" w:eastAsia="es-ES_tradnl"/>
        </w:rPr>
        <w:t>Un contrato o convenio interadministrativo no está determinado por la modalidad de selección utilizada para celebrarlo. La Ley 1150 de 2007 establece que pueden celebrarse directamente, siempre que las obligaciones derivadas del mismo tengan relación directa con el objeto de la entidad ejecutora, señalado en la ley o en sus reglamentos, a menos que, según las excepciones previstas en dicha Ley, deba adelantarse un procedimiento susceptible de pluralidad de oferentes. Nótese que, en este caso, lo que cambia es la modalidad de selección y no la naturaleza de contrato interadministrativo.</w:t>
      </w:r>
    </w:p>
    <w:p w14:paraId="0B48275B" w14:textId="77777777" w:rsidR="009B5304" w:rsidRPr="004D2656" w:rsidRDefault="009B5304" w:rsidP="009B5304">
      <w:pPr>
        <w:pStyle w:val="paragraph"/>
        <w:spacing w:before="0" w:beforeAutospacing="0" w:after="0" w:afterAutospacing="0"/>
        <w:jc w:val="both"/>
        <w:textAlignment w:val="baseline"/>
        <w:rPr>
          <w:rStyle w:val="eop"/>
          <w:rFonts w:ascii="Verdana" w:hAnsi="Verdana" w:cs="Segoe UI"/>
          <w:b/>
          <w:bCs/>
          <w:sz w:val="18"/>
          <w:szCs w:val="18"/>
        </w:rPr>
      </w:pPr>
      <w:r w:rsidRPr="004D2656">
        <w:rPr>
          <w:rFonts w:ascii="Verdana" w:eastAsia="Aptos" w:hAnsi="Verdana" w:cs="Arial"/>
          <w:b/>
          <w:bCs/>
          <w:sz w:val="22"/>
          <w:szCs w:val="22"/>
          <w:lang w:val="es-MX" w:eastAsia="es-ES_tradnl"/>
        </w:rPr>
        <w:t>CONTRATOS Y CONVENIOS INTERADMINISTRATIVOS – Circular Externa Única – Medida cautelar de suspensión.</w:t>
      </w:r>
    </w:p>
    <w:p w14:paraId="6A1A741F" w14:textId="77777777" w:rsidR="009B5304" w:rsidRPr="004D2656" w:rsidRDefault="009B5304" w:rsidP="009B5304">
      <w:pPr>
        <w:pStyle w:val="paragraph"/>
        <w:spacing w:after="0"/>
        <w:jc w:val="both"/>
        <w:textAlignment w:val="baseline"/>
        <w:rPr>
          <w:rStyle w:val="eop"/>
          <w:rFonts w:ascii="Verdana" w:hAnsi="Verdana" w:cs="Segoe UI"/>
          <w:sz w:val="20"/>
          <w:szCs w:val="20"/>
        </w:rPr>
      </w:pPr>
      <w:r w:rsidRPr="004D2656">
        <w:rPr>
          <w:rStyle w:val="eop"/>
          <w:rFonts w:ascii="Verdana" w:hAnsi="Verdana" w:cs="Segoe UI"/>
          <w:sz w:val="20"/>
          <w:szCs w:val="20"/>
        </w:rPr>
        <w:t xml:space="preserve">De conformidad con los argumentos de dicha providencia, se parte de la distinción entre los conceptos de “convenio” y “contrato” interadministrativos, para diferenciarlos en su naturaleza, contenido y alcance, lo cual ha servido de fundamento para que tanto la Sección Tercera como también la Sala de Consulta y Servicio Civil de esa Corporación hayan realzado la distinción entre uno y otro negocio jurídico. En este sentido, en relación con el parágrafo del artículo 38 de la Ley 996 de 2005 concluyó que “si el legislador no diferenció al establecer la prohibición o la restricción, mal haría el reglamento en aplicar un efecto expansivo o extensivo para incluir una categoría no cobijada con la limitación, (…)”. Por tal motivo, para efectos de decretar la medida de suspensión provisional de los apartes señalados del numeral 16.2 de la Circular Externa Única, argumentó que “con independencia del propósito loable o plausible de la disposición ya que, procura que no se usen los recursos estatales para incidir o afectar la contienda electoral, no cabe duda de que la entidad demandada incorporó en la prohibición una categoría que no quedó comprendida expresa e inequívocamente en la ley. </w:t>
      </w:r>
    </w:p>
    <w:p w14:paraId="13E5AD98" w14:textId="77777777" w:rsidR="009B5304" w:rsidRPr="004D2656" w:rsidRDefault="009B5304" w:rsidP="009B5304">
      <w:pPr>
        <w:pStyle w:val="paragraph"/>
        <w:spacing w:after="0"/>
        <w:jc w:val="both"/>
        <w:textAlignment w:val="baseline"/>
        <w:rPr>
          <w:rStyle w:val="eop"/>
          <w:rFonts w:ascii="Verdana" w:hAnsi="Verdana" w:cs="Segoe UI"/>
          <w:sz w:val="20"/>
          <w:szCs w:val="20"/>
        </w:rPr>
      </w:pPr>
      <w:r w:rsidRPr="004D2656">
        <w:rPr>
          <w:rStyle w:val="eop"/>
          <w:rFonts w:ascii="Verdana" w:hAnsi="Verdana" w:cs="Segoe UI"/>
          <w:sz w:val="20"/>
          <w:szCs w:val="20"/>
        </w:rPr>
        <w:t xml:space="preserve">De igual manera, mediante auto del 6 de noviembre de 2025, el Consejo de Estado, Subsección A de la Sección Tercera, decretó la suspensión provisional de los apartes cuestionados del inciso segundo y del inciso cuarto del numeral 16.2 de la Circular Externa Única, versión 3 del 27 de diciembre de 2023, expedida por la Agencia Nacional de Contratación Pública – Colombia Compra Eficiente relacionados con los contratos interadministrativos. Para tales efectos, el alto tribunal resaltó la interpretación restrictiva de las normas que contienen prohibiciones, como la del parágrafo del artículo 38 de la Ley 996 de 2005, por manera que se excluye la analogía </w:t>
      </w:r>
      <w:proofErr w:type="spellStart"/>
      <w:r w:rsidRPr="004D2656">
        <w:rPr>
          <w:rStyle w:val="eop"/>
          <w:rFonts w:ascii="Verdana" w:hAnsi="Verdana" w:cs="Segoe UI"/>
          <w:sz w:val="20"/>
          <w:szCs w:val="20"/>
        </w:rPr>
        <w:t>legis</w:t>
      </w:r>
      <w:proofErr w:type="spellEnd"/>
      <w:r w:rsidRPr="004D2656">
        <w:rPr>
          <w:rStyle w:val="eop"/>
          <w:rFonts w:ascii="Verdana" w:hAnsi="Verdana" w:cs="Segoe UI"/>
          <w:sz w:val="20"/>
          <w:szCs w:val="20"/>
        </w:rPr>
        <w:t xml:space="preserve"> o iuris y la </w:t>
      </w:r>
      <w:r w:rsidRPr="004D2656">
        <w:rPr>
          <w:rStyle w:val="eop"/>
          <w:rFonts w:ascii="Verdana" w:hAnsi="Verdana" w:cs="Segoe UI"/>
          <w:sz w:val="20"/>
          <w:szCs w:val="20"/>
        </w:rPr>
        <w:lastRenderedPageBreak/>
        <w:t xml:space="preserve">interpretación extensiva y reiteró los argumentos sobre la diferencia entre contratos y convenios interadministrativos. </w:t>
      </w:r>
    </w:p>
    <w:p w14:paraId="6D415C02" w14:textId="77777777" w:rsidR="009B5304" w:rsidRDefault="009B5304" w:rsidP="009B5304">
      <w:pPr>
        <w:pStyle w:val="paragraph"/>
        <w:spacing w:before="0" w:beforeAutospacing="0" w:after="0" w:afterAutospacing="0"/>
        <w:jc w:val="both"/>
        <w:textAlignment w:val="baseline"/>
        <w:rPr>
          <w:rStyle w:val="eop"/>
          <w:rFonts w:ascii="Verdana" w:hAnsi="Verdana" w:cs="Segoe UI"/>
          <w:sz w:val="20"/>
          <w:szCs w:val="20"/>
        </w:rPr>
      </w:pPr>
      <w:r w:rsidRPr="004D2656">
        <w:rPr>
          <w:rStyle w:val="eop"/>
          <w:rFonts w:ascii="Verdana" w:hAnsi="Verdana" w:cs="Segoe UI"/>
          <w:sz w:val="20"/>
          <w:szCs w:val="20"/>
        </w:rPr>
        <w:t>Finalmente, mediante sentencia del 17 de octubre de 2025, emitida por la Sala de lo Contencioso Administrativo del Consejo de Estado, dentro del expediente 11001-03-26-000-2023-00139-00, se declaró la nulidad parcial del numeral 16.2 de la Circular Externa Única de 2022 expedida por la Agencia Nacional de Contratación Pública - Colombia Compra Eficiente que indicaba: “Esta restricción es aplicable tanto a los convenios como a los contratos interadministrativos…”.</w:t>
      </w:r>
    </w:p>
    <w:p w14:paraId="7F73B6FA" w14:textId="77777777" w:rsidR="009B5304" w:rsidRPr="00FE167C" w:rsidRDefault="009B5304" w:rsidP="009B5304">
      <w:pPr>
        <w:spacing w:after="0" w:line="240" w:lineRule="auto"/>
        <w:jc w:val="both"/>
        <w:rPr>
          <w:rFonts w:ascii="Verdana" w:eastAsia="Calibri" w:hAnsi="Verdana" w:cs="Arial"/>
          <w:color w:val="00BCD8"/>
          <w:lang w:eastAsia="es-ES"/>
        </w:rPr>
      </w:pPr>
    </w:p>
    <w:p w14:paraId="153F9793" w14:textId="77777777" w:rsidR="009B5304" w:rsidRPr="00FE167C" w:rsidRDefault="009B5304" w:rsidP="009B5304">
      <w:pPr>
        <w:spacing w:after="0" w:line="240" w:lineRule="auto"/>
        <w:jc w:val="both"/>
        <w:rPr>
          <w:rFonts w:ascii="Verdana" w:eastAsia="Calibri" w:hAnsi="Verdana" w:cs="Arial"/>
          <w:color w:val="00BCD8"/>
          <w:lang w:eastAsia="es-ES"/>
        </w:rPr>
      </w:pPr>
    </w:p>
    <w:p w14:paraId="43A69488" w14:textId="77777777" w:rsidR="009B5304" w:rsidRPr="00FE167C" w:rsidRDefault="009B5304" w:rsidP="009B5304">
      <w:pPr>
        <w:spacing w:after="0" w:line="240" w:lineRule="auto"/>
        <w:jc w:val="both"/>
        <w:rPr>
          <w:rFonts w:ascii="Verdana" w:eastAsia="Calibri" w:hAnsi="Verdana" w:cs="Arial"/>
          <w:color w:val="00BCD8"/>
          <w:lang w:eastAsia="es-ES"/>
        </w:rPr>
      </w:pPr>
    </w:p>
    <w:p w14:paraId="689CECBC" w14:textId="77777777" w:rsidR="009B5304" w:rsidRPr="00FE167C" w:rsidRDefault="009B5304" w:rsidP="009B5304">
      <w:pPr>
        <w:spacing w:after="0" w:line="240" w:lineRule="auto"/>
        <w:jc w:val="both"/>
        <w:rPr>
          <w:rFonts w:ascii="Verdana" w:eastAsia="Calibri" w:hAnsi="Verdana" w:cs="Arial"/>
          <w:color w:val="00BCD8"/>
          <w:lang w:eastAsia="es-ES"/>
        </w:rPr>
      </w:pPr>
    </w:p>
    <w:p w14:paraId="6732E580" w14:textId="77777777" w:rsidR="009B5304" w:rsidRPr="00FE167C" w:rsidRDefault="009B5304" w:rsidP="009B5304">
      <w:pPr>
        <w:spacing w:after="0" w:line="240" w:lineRule="auto"/>
        <w:jc w:val="both"/>
        <w:rPr>
          <w:rFonts w:ascii="Verdana" w:eastAsia="Calibri" w:hAnsi="Verdana" w:cs="Arial"/>
          <w:color w:val="00BCD8"/>
          <w:lang w:eastAsia="es-ES"/>
        </w:rPr>
      </w:pPr>
    </w:p>
    <w:p w14:paraId="269B4D59" w14:textId="77777777" w:rsidR="009B5304" w:rsidRPr="00FE167C" w:rsidRDefault="009B5304" w:rsidP="009B5304">
      <w:pPr>
        <w:spacing w:after="0" w:line="240" w:lineRule="auto"/>
        <w:jc w:val="both"/>
        <w:rPr>
          <w:rFonts w:ascii="Verdana" w:eastAsia="Calibri" w:hAnsi="Verdana" w:cs="Arial"/>
          <w:color w:val="00BCD8"/>
          <w:lang w:eastAsia="es-ES"/>
        </w:rPr>
      </w:pPr>
    </w:p>
    <w:p w14:paraId="2EF30DC0" w14:textId="77777777" w:rsidR="009B5304" w:rsidRPr="00FE167C" w:rsidRDefault="009B5304" w:rsidP="009B5304">
      <w:pPr>
        <w:spacing w:after="0" w:line="240" w:lineRule="auto"/>
        <w:jc w:val="both"/>
        <w:rPr>
          <w:rFonts w:ascii="Verdana" w:eastAsia="Calibri" w:hAnsi="Verdana" w:cs="Arial"/>
          <w:color w:val="00BCD8"/>
          <w:lang w:eastAsia="es-ES"/>
        </w:rPr>
      </w:pPr>
    </w:p>
    <w:p w14:paraId="3D633DFD" w14:textId="77777777" w:rsidR="009B5304" w:rsidRPr="00FE167C" w:rsidRDefault="009B5304" w:rsidP="009B5304">
      <w:pPr>
        <w:spacing w:after="0" w:line="240" w:lineRule="auto"/>
        <w:jc w:val="both"/>
        <w:rPr>
          <w:rFonts w:ascii="Verdana" w:eastAsia="Calibri" w:hAnsi="Verdana" w:cs="Arial"/>
          <w:color w:val="00BCD8"/>
          <w:lang w:eastAsia="es-ES"/>
        </w:rPr>
      </w:pPr>
    </w:p>
    <w:p w14:paraId="234DF871" w14:textId="77777777" w:rsidR="009B5304" w:rsidRPr="00FE167C" w:rsidRDefault="009B5304" w:rsidP="009B5304">
      <w:pPr>
        <w:spacing w:after="0" w:line="240" w:lineRule="auto"/>
        <w:jc w:val="both"/>
        <w:rPr>
          <w:rFonts w:ascii="Verdana" w:eastAsia="Calibri" w:hAnsi="Verdana" w:cs="Arial"/>
          <w:color w:val="00BCD8"/>
          <w:lang w:eastAsia="es-ES"/>
        </w:rPr>
      </w:pPr>
    </w:p>
    <w:p w14:paraId="0140BF40" w14:textId="77777777" w:rsidR="009B5304" w:rsidRPr="00FE167C" w:rsidRDefault="009B5304" w:rsidP="009B5304">
      <w:pPr>
        <w:spacing w:after="0" w:line="240" w:lineRule="auto"/>
        <w:jc w:val="both"/>
        <w:rPr>
          <w:rFonts w:ascii="Verdana" w:eastAsia="Calibri" w:hAnsi="Verdana" w:cs="Arial"/>
          <w:color w:val="00BCD8"/>
          <w:lang w:eastAsia="es-ES"/>
        </w:rPr>
      </w:pPr>
    </w:p>
    <w:p w14:paraId="2BF5B692" w14:textId="77777777" w:rsidR="009B5304" w:rsidRPr="00FE167C" w:rsidRDefault="009B5304" w:rsidP="009B5304">
      <w:pPr>
        <w:spacing w:after="0" w:line="240" w:lineRule="auto"/>
        <w:jc w:val="both"/>
        <w:rPr>
          <w:rFonts w:ascii="Verdana" w:eastAsia="Calibri" w:hAnsi="Verdana" w:cs="Arial"/>
          <w:color w:val="00BCD8"/>
          <w:lang w:eastAsia="es-ES"/>
        </w:rPr>
      </w:pPr>
    </w:p>
    <w:p w14:paraId="0C69BAFD" w14:textId="77777777" w:rsidR="009B5304" w:rsidRPr="00FE167C" w:rsidRDefault="009B5304" w:rsidP="009B5304">
      <w:pPr>
        <w:spacing w:after="0" w:line="240" w:lineRule="auto"/>
        <w:jc w:val="both"/>
        <w:rPr>
          <w:rFonts w:ascii="Verdana" w:eastAsia="Calibri" w:hAnsi="Verdana" w:cs="Arial"/>
          <w:color w:val="00BCD8"/>
          <w:lang w:eastAsia="es-ES"/>
        </w:rPr>
      </w:pPr>
    </w:p>
    <w:p w14:paraId="4F372083" w14:textId="77777777" w:rsidR="009B5304" w:rsidRPr="00FE167C" w:rsidRDefault="009B5304" w:rsidP="009B5304">
      <w:pPr>
        <w:spacing w:after="0" w:line="240" w:lineRule="auto"/>
        <w:jc w:val="both"/>
        <w:rPr>
          <w:rFonts w:ascii="Verdana" w:eastAsia="Calibri" w:hAnsi="Verdana" w:cs="Arial"/>
          <w:color w:val="00BCD8"/>
          <w:lang w:eastAsia="es-ES"/>
        </w:rPr>
      </w:pPr>
    </w:p>
    <w:p w14:paraId="10E72450" w14:textId="77777777" w:rsidR="009B5304" w:rsidRPr="00FE167C" w:rsidRDefault="009B5304" w:rsidP="009B5304">
      <w:pPr>
        <w:spacing w:after="0" w:line="240" w:lineRule="auto"/>
        <w:jc w:val="both"/>
        <w:rPr>
          <w:rFonts w:ascii="Verdana" w:eastAsia="Calibri" w:hAnsi="Verdana" w:cs="Arial"/>
          <w:color w:val="00BCD8"/>
          <w:lang w:eastAsia="es-ES"/>
        </w:rPr>
      </w:pPr>
    </w:p>
    <w:p w14:paraId="0E68BD46" w14:textId="77777777" w:rsidR="009B5304" w:rsidRPr="00FE167C" w:rsidRDefault="009B5304" w:rsidP="009B5304">
      <w:pPr>
        <w:spacing w:after="0" w:line="240" w:lineRule="auto"/>
        <w:jc w:val="both"/>
        <w:rPr>
          <w:rFonts w:ascii="Verdana" w:eastAsia="Calibri" w:hAnsi="Verdana" w:cs="Arial"/>
          <w:color w:val="00BCD8"/>
          <w:lang w:eastAsia="es-ES"/>
        </w:rPr>
      </w:pPr>
    </w:p>
    <w:p w14:paraId="6331E059" w14:textId="77777777" w:rsidR="009B5304" w:rsidRPr="00FE167C" w:rsidRDefault="009B5304" w:rsidP="009B5304">
      <w:pPr>
        <w:spacing w:after="0" w:line="240" w:lineRule="auto"/>
        <w:jc w:val="both"/>
        <w:rPr>
          <w:rFonts w:ascii="Verdana" w:eastAsia="Calibri" w:hAnsi="Verdana" w:cs="Arial"/>
          <w:color w:val="00BCD8"/>
          <w:lang w:eastAsia="es-ES"/>
        </w:rPr>
      </w:pPr>
    </w:p>
    <w:p w14:paraId="0B789FD6" w14:textId="77777777" w:rsidR="009B5304" w:rsidRPr="00FE167C" w:rsidRDefault="009B5304" w:rsidP="009B5304">
      <w:pPr>
        <w:spacing w:after="0" w:line="240" w:lineRule="auto"/>
        <w:jc w:val="both"/>
        <w:rPr>
          <w:rFonts w:ascii="Verdana" w:eastAsia="Calibri" w:hAnsi="Verdana" w:cs="Arial"/>
          <w:color w:val="00BCD8"/>
          <w:lang w:eastAsia="es-ES"/>
        </w:rPr>
      </w:pPr>
    </w:p>
    <w:p w14:paraId="2D987EA1" w14:textId="77777777" w:rsidR="009B5304" w:rsidRPr="00FE167C" w:rsidRDefault="009B5304" w:rsidP="009B5304">
      <w:pPr>
        <w:spacing w:after="0" w:line="240" w:lineRule="auto"/>
        <w:jc w:val="both"/>
        <w:rPr>
          <w:rFonts w:ascii="Verdana" w:eastAsia="Calibri" w:hAnsi="Verdana" w:cs="Arial"/>
          <w:color w:val="00BCD8"/>
          <w:lang w:eastAsia="es-ES"/>
        </w:rPr>
      </w:pPr>
    </w:p>
    <w:p w14:paraId="4E3EAE92" w14:textId="77777777" w:rsidR="009B5304" w:rsidRPr="00FE167C" w:rsidRDefault="009B5304" w:rsidP="009B5304">
      <w:pPr>
        <w:spacing w:after="0" w:line="240" w:lineRule="auto"/>
        <w:jc w:val="both"/>
        <w:rPr>
          <w:rFonts w:ascii="Verdana" w:eastAsia="Calibri" w:hAnsi="Verdana" w:cs="Arial"/>
          <w:color w:val="00BCD8"/>
          <w:lang w:eastAsia="es-ES"/>
        </w:rPr>
      </w:pPr>
    </w:p>
    <w:p w14:paraId="55BBE6D6" w14:textId="77777777" w:rsidR="009B5304" w:rsidRPr="00FE167C" w:rsidRDefault="009B5304" w:rsidP="009B5304">
      <w:pPr>
        <w:spacing w:after="0" w:line="240" w:lineRule="auto"/>
        <w:jc w:val="both"/>
        <w:rPr>
          <w:rFonts w:ascii="Verdana" w:eastAsia="Calibri" w:hAnsi="Verdana" w:cs="Arial"/>
          <w:color w:val="00BCD8"/>
          <w:lang w:eastAsia="es-ES"/>
        </w:rPr>
      </w:pPr>
    </w:p>
    <w:p w14:paraId="24938ABE" w14:textId="77777777" w:rsidR="009B5304" w:rsidRPr="00FE167C" w:rsidRDefault="009B5304" w:rsidP="009B5304">
      <w:pPr>
        <w:spacing w:after="0" w:line="240" w:lineRule="auto"/>
        <w:jc w:val="both"/>
        <w:rPr>
          <w:rFonts w:ascii="Verdana" w:eastAsia="Calibri" w:hAnsi="Verdana" w:cs="Arial"/>
          <w:color w:val="00BCD8"/>
          <w:lang w:eastAsia="es-ES"/>
        </w:rPr>
      </w:pPr>
    </w:p>
    <w:p w14:paraId="4B3E5D2F" w14:textId="77777777" w:rsidR="009B5304" w:rsidRDefault="009B5304" w:rsidP="009B5304">
      <w:pPr>
        <w:spacing w:after="0" w:line="240" w:lineRule="auto"/>
        <w:jc w:val="both"/>
        <w:rPr>
          <w:rFonts w:ascii="Verdana" w:eastAsia="Calibri" w:hAnsi="Verdana" w:cs="Arial"/>
          <w:color w:val="00BCD8"/>
          <w:lang w:eastAsia="es-ES"/>
        </w:rPr>
      </w:pPr>
    </w:p>
    <w:p w14:paraId="3289BCD3" w14:textId="77777777" w:rsidR="009B5304" w:rsidRDefault="009B5304" w:rsidP="009B5304">
      <w:pPr>
        <w:spacing w:after="0" w:line="240" w:lineRule="auto"/>
        <w:jc w:val="both"/>
        <w:rPr>
          <w:rFonts w:ascii="Verdana" w:eastAsia="Calibri" w:hAnsi="Verdana" w:cs="Arial"/>
          <w:color w:val="00BCD8"/>
          <w:lang w:eastAsia="es-ES"/>
        </w:rPr>
      </w:pPr>
    </w:p>
    <w:p w14:paraId="691DC1F1" w14:textId="77777777" w:rsidR="009B5304" w:rsidRDefault="009B5304" w:rsidP="009B5304">
      <w:pPr>
        <w:spacing w:after="0" w:line="240" w:lineRule="auto"/>
        <w:jc w:val="both"/>
        <w:rPr>
          <w:rFonts w:ascii="Verdana" w:eastAsia="Calibri" w:hAnsi="Verdana" w:cs="Arial"/>
          <w:color w:val="00BCD8"/>
          <w:lang w:eastAsia="es-ES"/>
        </w:rPr>
      </w:pPr>
    </w:p>
    <w:p w14:paraId="35A62BD8" w14:textId="77777777" w:rsidR="009B5304" w:rsidRDefault="009B5304" w:rsidP="009B5304">
      <w:pPr>
        <w:spacing w:after="0" w:line="240" w:lineRule="auto"/>
        <w:jc w:val="both"/>
        <w:rPr>
          <w:rFonts w:ascii="Verdana" w:eastAsia="Calibri" w:hAnsi="Verdana" w:cs="Arial"/>
          <w:color w:val="00BCD8"/>
          <w:lang w:eastAsia="es-ES"/>
        </w:rPr>
      </w:pPr>
    </w:p>
    <w:p w14:paraId="42ECC985" w14:textId="77777777" w:rsidR="009B5304" w:rsidRDefault="009B5304" w:rsidP="009B5304">
      <w:pPr>
        <w:spacing w:after="0" w:line="240" w:lineRule="auto"/>
        <w:jc w:val="both"/>
        <w:rPr>
          <w:rFonts w:ascii="Verdana" w:eastAsia="Calibri" w:hAnsi="Verdana" w:cs="Arial"/>
          <w:color w:val="00BCD8"/>
          <w:lang w:eastAsia="es-ES"/>
        </w:rPr>
      </w:pPr>
    </w:p>
    <w:p w14:paraId="10FBDB2C" w14:textId="77777777" w:rsidR="009B5304" w:rsidRDefault="009B5304" w:rsidP="009B5304">
      <w:pPr>
        <w:spacing w:after="0" w:line="240" w:lineRule="auto"/>
        <w:jc w:val="both"/>
        <w:rPr>
          <w:rFonts w:ascii="Verdana" w:eastAsia="Calibri" w:hAnsi="Verdana" w:cs="Arial"/>
          <w:color w:val="00BCD8"/>
          <w:lang w:eastAsia="es-ES"/>
        </w:rPr>
      </w:pPr>
    </w:p>
    <w:p w14:paraId="375157ED" w14:textId="77777777" w:rsidR="009B5304" w:rsidRDefault="009B5304" w:rsidP="009B5304">
      <w:pPr>
        <w:spacing w:after="0" w:line="240" w:lineRule="auto"/>
        <w:jc w:val="both"/>
        <w:rPr>
          <w:rFonts w:ascii="Verdana" w:eastAsia="Calibri" w:hAnsi="Verdana" w:cs="Arial"/>
          <w:color w:val="00BCD8"/>
          <w:lang w:eastAsia="es-ES"/>
        </w:rPr>
      </w:pPr>
    </w:p>
    <w:p w14:paraId="6D1C8225" w14:textId="77777777" w:rsidR="00120219" w:rsidRPr="00FE167C" w:rsidRDefault="00120219" w:rsidP="009B5304">
      <w:pPr>
        <w:spacing w:after="0" w:line="240" w:lineRule="auto"/>
        <w:jc w:val="both"/>
        <w:rPr>
          <w:rFonts w:ascii="Verdana" w:eastAsia="Calibri" w:hAnsi="Verdana" w:cs="Arial"/>
          <w:color w:val="00BCD8"/>
          <w:lang w:eastAsia="es-ES"/>
        </w:rPr>
      </w:pPr>
    </w:p>
    <w:p w14:paraId="46A6FA96" w14:textId="77777777" w:rsidR="009B5304" w:rsidRPr="00FE167C" w:rsidRDefault="009B5304" w:rsidP="009B5304">
      <w:pPr>
        <w:spacing w:after="0" w:line="240" w:lineRule="auto"/>
        <w:jc w:val="both"/>
        <w:rPr>
          <w:rFonts w:ascii="Verdana" w:eastAsia="Calibri" w:hAnsi="Verdana" w:cs="Arial"/>
          <w:color w:val="00BCD8"/>
          <w:lang w:eastAsia="es-ES"/>
        </w:rPr>
      </w:pPr>
    </w:p>
    <w:p w14:paraId="0EE81E04" w14:textId="77777777" w:rsidR="009B5304" w:rsidRDefault="009B5304" w:rsidP="009B5304">
      <w:pPr>
        <w:spacing w:after="0" w:line="240" w:lineRule="auto"/>
        <w:jc w:val="both"/>
        <w:rPr>
          <w:rFonts w:ascii="Verdana" w:eastAsia="Calibri" w:hAnsi="Verdana" w:cs="Arial"/>
          <w:color w:val="00BCD8"/>
          <w:lang w:eastAsia="es-ES"/>
        </w:rPr>
      </w:pPr>
    </w:p>
    <w:p w14:paraId="79D44AE7" w14:textId="77777777" w:rsidR="009B5304" w:rsidRDefault="009B5304" w:rsidP="009B5304">
      <w:pPr>
        <w:spacing w:after="0" w:line="240" w:lineRule="auto"/>
        <w:jc w:val="both"/>
        <w:rPr>
          <w:rFonts w:ascii="Verdana" w:eastAsia="Calibri" w:hAnsi="Verdana" w:cs="Arial"/>
          <w:color w:val="00BCD8"/>
          <w:lang w:eastAsia="es-ES"/>
        </w:rPr>
      </w:pPr>
    </w:p>
    <w:p w14:paraId="604A7CBF" w14:textId="77777777" w:rsidR="009B5304" w:rsidRPr="00FE167C" w:rsidRDefault="009B5304" w:rsidP="009B5304">
      <w:pPr>
        <w:spacing w:after="0" w:line="240" w:lineRule="auto"/>
        <w:jc w:val="both"/>
        <w:rPr>
          <w:rFonts w:ascii="Verdana" w:eastAsia="Calibri" w:hAnsi="Verdana" w:cs="Arial"/>
          <w:color w:val="00BCD8"/>
          <w:lang w:eastAsia="es-ES"/>
        </w:rPr>
      </w:pPr>
    </w:p>
    <w:p w14:paraId="24A09CE8" w14:textId="2825706B" w:rsidR="009B5304" w:rsidRPr="00FE167C" w:rsidRDefault="00077656" w:rsidP="009B5304">
      <w:pPr>
        <w:spacing w:after="0" w:line="240" w:lineRule="auto"/>
        <w:jc w:val="both"/>
        <w:rPr>
          <w:rFonts w:ascii="Verdana" w:hAnsi="Verdana"/>
          <w:color w:val="000000" w:themeColor="text1"/>
        </w:rPr>
      </w:pPr>
      <w:r w:rsidRPr="00077656">
        <w:rPr>
          <w:rFonts w:ascii="Verdana" w:hAnsi="Verdana"/>
          <w:noProof/>
          <w:color w:val="000000" w:themeColor="text1"/>
        </w:rPr>
        <w:lastRenderedPageBreak/>
        <w:drawing>
          <wp:anchor distT="0" distB="0" distL="114300" distR="114300" simplePos="0" relativeHeight="251661312" behindDoc="0" locked="0" layoutInCell="1" allowOverlap="1" wp14:anchorId="623320B1" wp14:editId="736B3858">
            <wp:simplePos x="0" y="0"/>
            <wp:positionH relativeFrom="margin">
              <wp:posOffset>2942590</wp:posOffset>
            </wp:positionH>
            <wp:positionV relativeFrom="margin">
              <wp:posOffset>-69872</wp:posOffset>
            </wp:positionV>
            <wp:extent cx="3286125" cy="1028700"/>
            <wp:effectExtent l="0" t="0" r="9525" b="0"/>
            <wp:wrapSquare wrapText="bothSides"/>
            <wp:docPr id="1865460095"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5460095" name="Imagen 1" descr="Texto&#10;&#10;El contenido generado por IA puede ser incorrecto."/>
                    <pic:cNvPicPr/>
                  </pic:nvPicPr>
                  <pic:blipFill>
                    <a:blip r:embed="rId11">
                      <a:extLst>
                        <a:ext uri="{28A0092B-C50C-407E-A947-70E740481C1C}">
                          <a14:useLocalDpi xmlns:a14="http://schemas.microsoft.com/office/drawing/2010/main" val="0"/>
                        </a:ext>
                      </a:extLst>
                    </a:blip>
                    <a:stretch>
                      <a:fillRect/>
                    </a:stretch>
                  </pic:blipFill>
                  <pic:spPr>
                    <a:xfrm>
                      <a:off x="0" y="0"/>
                      <a:ext cx="3286125" cy="1028700"/>
                    </a:xfrm>
                    <a:prstGeom prst="rect">
                      <a:avLst/>
                    </a:prstGeom>
                  </pic:spPr>
                </pic:pic>
              </a:graphicData>
            </a:graphic>
          </wp:anchor>
        </w:drawing>
      </w:r>
      <w:r w:rsidR="003009C6" w:rsidRPr="003009C6">
        <w:rPr>
          <w:rFonts w:ascii="Verdana" w:hAnsi="Verdana"/>
          <w:color w:val="000000" w:themeColor="text1"/>
        </w:rPr>
        <w:t xml:space="preserve">Bogotá D.C, 05 </w:t>
      </w:r>
      <w:proofErr w:type="gramStart"/>
      <w:r w:rsidR="003009C6" w:rsidRPr="003009C6">
        <w:rPr>
          <w:rFonts w:ascii="Verdana" w:hAnsi="Verdana"/>
          <w:color w:val="000000" w:themeColor="text1"/>
        </w:rPr>
        <w:t>Febrero</w:t>
      </w:r>
      <w:proofErr w:type="gramEnd"/>
      <w:r w:rsidR="003009C6" w:rsidRPr="003009C6">
        <w:rPr>
          <w:rFonts w:ascii="Verdana" w:hAnsi="Verdana"/>
          <w:color w:val="000000" w:themeColor="text1"/>
        </w:rPr>
        <w:t xml:space="preserve"> 2026</w:t>
      </w:r>
      <w:r w:rsidR="009B5304" w:rsidRPr="00FE167C">
        <w:rPr>
          <w:rFonts w:ascii="Verdana" w:eastAsia="Calibri" w:hAnsi="Verdana" w:cs="Arial"/>
          <w:color w:val="000000" w:themeColor="text1"/>
          <w:lang w:eastAsia="es-ES"/>
        </w:rPr>
        <w:t>  </w:t>
      </w:r>
    </w:p>
    <w:p w14:paraId="40B02AE0" w14:textId="755CB375" w:rsidR="009B5304" w:rsidRPr="00FE167C" w:rsidRDefault="009B5304" w:rsidP="009B5304">
      <w:pPr>
        <w:spacing w:after="0" w:line="240" w:lineRule="auto"/>
        <w:jc w:val="both"/>
        <w:rPr>
          <w:rFonts w:ascii="Verdana" w:hAnsi="Verdana"/>
          <w:color w:val="000000" w:themeColor="text1"/>
        </w:rPr>
      </w:pPr>
    </w:p>
    <w:p w14:paraId="4169AEDD" w14:textId="32294331" w:rsidR="009B5304" w:rsidRPr="00FE167C" w:rsidRDefault="009B5304" w:rsidP="009B5304">
      <w:pPr>
        <w:tabs>
          <w:tab w:val="left" w:pos="6279"/>
        </w:tabs>
        <w:spacing w:after="0" w:line="240" w:lineRule="auto"/>
        <w:jc w:val="both"/>
        <w:rPr>
          <w:rFonts w:ascii="Verdana" w:eastAsia="Calibri" w:hAnsi="Verdana" w:cs="Arial"/>
          <w:color w:val="000000" w:themeColor="text1"/>
          <w:lang w:eastAsia="es-ES"/>
        </w:rPr>
      </w:pPr>
      <w:r w:rsidRPr="00FE167C">
        <w:rPr>
          <w:rFonts w:ascii="Verdana" w:eastAsia="Calibri" w:hAnsi="Verdana" w:cs="Arial"/>
          <w:color w:val="000000" w:themeColor="text1"/>
          <w:lang w:eastAsia="es-ES"/>
        </w:rPr>
        <w:t>Señora</w:t>
      </w:r>
    </w:p>
    <w:p w14:paraId="0E6625CF" w14:textId="4CFD9F80" w:rsidR="009B5304" w:rsidRPr="009B5304" w:rsidRDefault="009B5304" w:rsidP="009B5304">
      <w:pPr>
        <w:spacing w:after="0" w:line="240" w:lineRule="auto"/>
        <w:jc w:val="both"/>
        <w:rPr>
          <w:rFonts w:ascii="Verdana" w:eastAsia="Calibri" w:hAnsi="Verdana" w:cs="Arial"/>
          <w:b/>
          <w:color w:val="000000" w:themeColor="text1"/>
          <w:lang w:eastAsia="es-ES_tradnl"/>
        </w:rPr>
      </w:pPr>
      <w:r w:rsidRPr="00FE167C">
        <w:rPr>
          <w:rFonts w:ascii="Verdana" w:eastAsia="Calibri" w:hAnsi="Verdana" w:cs="Arial"/>
          <w:b/>
          <w:color w:val="000000" w:themeColor="text1"/>
          <w:lang w:eastAsia="es-ES_tradnl"/>
        </w:rPr>
        <w:t>Liliana María</w:t>
      </w:r>
      <w:r w:rsidRPr="009B5304">
        <w:rPr>
          <w:rFonts w:ascii="Verdana" w:eastAsia="Calibri" w:hAnsi="Verdana" w:cs="Arial"/>
          <w:b/>
          <w:color w:val="000000" w:themeColor="text1"/>
          <w:lang w:eastAsia="es-ES_tradnl"/>
        </w:rPr>
        <w:t xml:space="preserve"> Lenis Tangarife</w:t>
      </w:r>
    </w:p>
    <w:p w14:paraId="7FC541A6" w14:textId="77777777" w:rsidR="009B5304" w:rsidRPr="009B5304" w:rsidRDefault="009B5304" w:rsidP="009B5304">
      <w:pPr>
        <w:spacing w:after="0" w:line="240" w:lineRule="auto"/>
        <w:jc w:val="both"/>
        <w:rPr>
          <w:rStyle w:val="Hipervnculo"/>
          <w:rFonts w:ascii="Verdana" w:hAnsi="Verdana"/>
          <w:color w:val="00BCD8"/>
        </w:rPr>
      </w:pPr>
      <w:hyperlink r:id="rId12" w:history="1">
        <w:r w:rsidRPr="009B5304">
          <w:rPr>
            <w:rStyle w:val="Hipervnculo"/>
            <w:rFonts w:ascii="Verdana" w:hAnsi="Verdana"/>
          </w:rPr>
          <w:t>lilimaria.tangarife@gmail.com</w:t>
        </w:r>
      </w:hyperlink>
    </w:p>
    <w:p w14:paraId="4D747A22" w14:textId="40DA7F76" w:rsidR="009B5304" w:rsidRPr="00FE167C" w:rsidRDefault="009B5304" w:rsidP="009B5304">
      <w:pPr>
        <w:spacing w:after="0" w:line="240" w:lineRule="auto"/>
        <w:jc w:val="both"/>
        <w:rPr>
          <w:rFonts w:ascii="Verdana" w:hAnsi="Verdana"/>
          <w:color w:val="000000" w:themeColor="text1"/>
        </w:rPr>
      </w:pPr>
      <w:r w:rsidRPr="00FE167C">
        <w:rPr>
          <w:rFonts w:ascii="Verdana" w:hAnsi="Verdana"/>
          <w:color w:val="000000" w:themeColor="text1"/>
        </w:rPr>
        <w:t>Copacabana, Antioquia</w:t>
      </w:r>
    </w:p>
    <w:p w14:paraId="087E5BDF" w14:textId="77777777" w:rsidR="009B5304" w:rsidRPr="00FE167C" w:rsidRDefault="009B5304" w:rsidP="009B5304">
      <w:pPr>
        <w:spacing w:after="0" w:line="240" w:lineRule="auto"/>
        <w:jc w:val="both"/>
        <w:rPr>
          <w:rFonts w:ascii="Verdana" w:hAnsi="Verdana"/>
          <w:color w:val="000000" w:themeColor="text1"/>
        </w:rPr>
      </w:pPr>
    </w:p>
    <w:p w14:paraId="7297349A" w14:textId="59A2D307" w:rsidR="009B5304" w:rsidRPr="00FE167C" w:rsidRDefault="009B5304" w:rsidP="009B5304">
      <w:pPr>
        <w:spacing w:after="0" w:line="240" w:lineRule="auto"/>
        <w:jc w:val="both"/>
        <w:rPr>
          <w:rFonts w:ascii="Verdana" w:hAnsi="Verdana"/>
          <w:color w:val="00BCD8"/>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9B5304" w:rsidRPr="00FE167C" w14:paraId="0B2412B3" w14:textId="77777777">
        <w:trPr>
          <w:trHeight w:val="162"/>
        </w:trPr>
        <w:tc>
          <w:tcPr>
            <w:tcW w:w="3119" w:type="dxa"/>
          </w:tcPr>
          <w:p w14:paraId="2DC9F9CC" w14:textId="77777777" w:rsidR="009B5304" w:rsidRPr="00FE167C" w:rsidRDefault="009B5304">
            <w:pPr>
              <w:jc w:val="both"/>
              <w:rPr>
                <w:rFonts w:ascii="Verdana" w:eastAsia="Calibri" w:hAnsi="Verdana" w:cs="Arial"/>
                <w:b/>
                <w:bCs/>
                <w:color w:val="000000" w:themeColor="text1"/>
                <w:lang w:val="it-CH" w:eastAsia="es-ES_tradnl"/>
              </w:rPr>
            </w:pPr>
          </w:p>
        </w:tc>
        <w:tc>
          <w:tcPr>
            <w:tcW w:w="5670" w:type="dxa"/>
          </w:tcPr>
          <w:p w14:paraId="3880D8B5" w14:textId="6EB0FD7E" w:rsidR="009B5304" w:rsidRPr="00FE167C" w:rsidRDefault="009B5304">
            <w:pPr>
              <w:jc w:val="both"/>
              <w:rPr>
                <w:rFonts w:ascii="Verdana" w:eastAsia="Calibri" w:hAnsi="Verdana" w:cs="Arial"/>
                <w:b/>
                <w:bCs/>
                <w:color w:val="000000" w:themeColor="text1"/>
                <w:lang w:eastAsia="es-ES"/>
              </w:rPr>
            </w:pPr>
            <w:r w:rsidRPr="00FE167C">
              <w:rPr>
                <w:rFonts w:ascii="Verdana" w:eastAsia="Calibri" w:hAnsi="Verdana" w:cs="Arial"/>
                <w:b/>
                <w:bCs/>
                <w:color w:val="000000" w:themeColor="text1"/>
                <w:lang w:eastAsia="es-ES"/>
              </w:rPr>
              <w:t>Concepto C-046 de 2026</w:t>
            </w:r>
          </w:p>
          <w:p w14:paraId="42066A2D" w14:textId="77777777" w:rsidR="009B5304" w:rsidRPr="00FE167C" w:rsidRDefault="009B5304">
            <w:pPr>
              <w:jc w:val="both"/>
              <w:rPr>
                <w:rFonts w:ascii="Verdana" w:eastAsia="Calibri" w:hAnsi="Verdana" w:cs="Arial"/>
                <w:b/>
                <w:bCs/>
                <w:color w:val="000000" w:themeColor="text1"/>
                <w:lang w:eastAsia="es-ES"/>
              </w:rPr>
            </w:pPr>
          </w:p>
        </w:tc>
      </w:tr>
      <w:tr w:rsidR="009B5304" w:rsidRPr="00FE167C" w14:paraId="0682F5FE" w14:textId="77777777">
        <w:trPr>
          <w:trHeight w:val="884"/>
        </w:trPr>
        <w:tc>
          <w:tcPr>
            <w:tcW w:w="3119" w:type="dxa"/>
          </w:tcPr>
          <w:p w14:paraId="01EE020C" w14:textId="77777777" w:rsidR="009B5304" w:rsidRPr="00D047BE" w:rsidRDefault="009B5304">
            <w:pPr>
              <w:jc w:val="both"/>
              <w:rPr>
                <w:rFonts w:ascii="Verdana" w:eastAsia="Calibri" w:hAnsi="Verdana" w:cs="Arial"/>
                <w:color w:val="000000" w:themeColor="text1"/>
                <w:lang w:eastAsia="es-ES_tradnl"/>
              </w:rPr>
            </w:pPr>
            <w:r w:rsidRPr="00D047BE">
              <w:rPr>
                <w:rFonts w:ascii="Verdana" w:eastAsia="Calibri" w:hAnsi="Verdana" w:cs="Arial"/>
                <w:b/>
                <w:color w:val="000000" w:themeColor="text1"/>
                <w:lang w:eastAsia="es-ES_tradnl"/>
              </w:rPr>
              <w:t>Temas:</w:t>
            </w:r>
            <w:r w:rsidRPr="00D047BE">
              <w:rPr>
                <w:rFonts w:ascii="Verdana" w:eastAsia="Calibri" w:hAnsi="Verdana" w:cs="Arial"/>
                <w:color w:val="000000" w:themeColor="text1"/>
                <w:lang w:eastAsia="es-ES_tradnl"/>
              </w:rPr>
              <w:t xml:space="preserve">                   </w:t>
            </w:r>
          </w:p>
        </w:tc>
        <w:tc>
          <w:tcPr>
            <w:tcW w:w="5670" w:type="dxa"/>
          </w:tcPr>
          <w:p w14:paraId="22D12F7F" w14:textId="6A3C8190" w:rsidR="009B5304" w:rsidRPr="000531AF" w:rsidRDefault="009B5304" w:rsidP="00D82229">
            <w:pPr>
              <w:pStyle w:val="paragraph"/>
              <w:spacing w:before="0" w:beforeAutospacing="0" w:after="0" w:afterAutospacing="0" w:line="276" w:lineRule="auto"/>
              <w:jc w:val="both"/>
              <w:textAlignment w:val="baseline"/>
              <w:rPr>
                <w:rFonts w:ascii="Verdana" w:eastAsia="Aptos" w:hAnsi="Verdana" w:cs="Arial"/>
                <w:color w:val="000000" w:themeColor="text1"/>
                <w:sz w:val="22"/>
                <w:szCs w:val="22"/>
                <w:lang w:val="es-MX" w:eastAsia="es-ES_tradnl"/>
              </w:rPr>
            </w:pPr>
            <w:r w:rsidRPr="00D047BE">
              <w:rPr>
                <w:rStyle w:val="normaltextrun"/>
                <w:rFonts w:ascii="Verdana" w:hAnsi="Verdana" w:cs="Segoe UI"/>
                <w:color w:val="000000" w:themeColor="text1"/>
                <w:sz w:val="22"/>
                <w:szCs w:val="22"/>
                <w:lang w:val="es-MX"/>
              </w:rPr>
              <w:t>LEY DE GARANTÍAS ELECTORALES ‒ Finalidad</w:t>
            </w:r>
            <w:r w:rsidRPr="00D047BE">
              <w:rPr>
                <w:rStyle w:val="eop"/>
                <w:rFonts w:ascii="Verdana" w:hAnsi="Verdana" w:cs="Segoe UI"/>
                <w:color w:val="000000" w:themeColor="text1"/>
                <w:sz w:val="22"/>
                <w:szCs w:val="22"/>
              </w:rPr>
              <w:t> /</w:t>
            </w:r>
            <w:r w:rsidRPr="00D047BE">
              <w:rPr>
                <w:rStyle w:val="eop"/>
                <w:color w:val="000000" w:themeColor="text1"/>
              </w:rPr>
              <w:t xml:space="preserve"> </w:t>
            </w:r>
            <w:r w:rsidRPr="00D047BE">
              <w:rPr>
                <w:rFonts w:ascii="Verdana" w:eastAsia="Aptos" w:hAnsi="Verdana" w:cs="Arial"/>
                <w:color w:val="000000" w:themeColor="text1"/>
                <w:sz w:val="22"/>
                <w:szCs w:val="22"/>
                <w:lang w:val="es-MX" w:eastAsia="es-ES"/>
              </w:rPr>
              <w:t xml:space="preserve">LEY DE GARANTÍAS ELECTORALES – Prohibición – Artículo 33 – Contratación directa – Alcance / LEY DE GARANTÍAS ELECTORALES – Contratos interadministrativos – Criterio orgánico / </w:t>
            </w:r>
            <w:r w:rsidRPr="00D047BE">
              <w:rPr>
                <w:rFonts w:ascii="Verdana" w:eastAsia="Aptos" w:hAnsi="Verdana" w:cs="Arial"/>
                <w:color w:val="000000" w:themeColor="text1"/>
                <w:sz w:val="22"/>
                <w:szCs w:val="22"/>
                <w:lang w:val="es-MX" w:eastAsia="es-ES_tradnl"/>
              </w:rPr>
              <w:t>CONTRATOS Y CONVENIOS INTERADMINISTRATIVOS – Circular Externa Única – Medida cautelar de suspensión.</w:t>
            </w:r>
          </w:p>
          <w:p w14:paraId="4E17EA43" w14:textId="77777777" w:rsidR="009B5304" w:rsidRPr="00D047BE" w:rsidRDefault="009B5304">
            <w:pPr>
              <w:spacing w:line="276" w:lineRule="auto"/>
              <w:jc w:val="both"/>
              <w:rPr>
                <w:rFonts w:ascii="Verdana" w:hAnsi="Verdana" w:cs="Arial"/>
                <w:color w:val="000000" w:themeColor="text1"/>
                <w:lang w:val="es-ES" w:eastAsia="es-ES"/>
              </w:rPr>
            </w:pPr>
          </w:p>
        </w:tc>
      </w:tr>
      <w:tr w:rsidR="009B5304" w:rsidRPr="00FE167C" w14:paraId="525FC548" w14:textId="77777777">
        <w:tc>
          <w:tcPr>
            <w:tcW w:w="3119" w:type="dxa"/>
          </w:tcPr>
          <w:p w14:paraId="6923C918" w14:textId="77777777" w:rsidR="009B5304" w:rsidRPr="00FE167C" w:rsidRDefault="009B5304">
            <w:pPr>
              <w:jc w:val="both"/>
              <w:rPr>
                <w:rFonts w:ascii="Verdana" w:eastAsia="Calibri" w:hAnsi="Verdana" w:cs="Arial"/>
                <w:b/>
                <w:color w:val="000000" w:themeColor="text1"/>
                <w:lang w:eastAsia="es-ES_tradnl"/>
              </w:rPr>
            </w:pPr>
            <w:r w:rsidRPr="00FE167C">
              <w:rPr>
                <w:rFonts w:ascii="Verdana" w:eastAsia="Calibri" w:hAnsi="Verdana" w:cs="Arial"/>
                <w:b/>
                <w:color w:val="000000" w:themeColor="text1"/>
                <w:lang w:eastAsia="es-ES_tradnl"/>
              </w:rPr>
              <w:t>Radicación:</w:t>
            </w:r>
            <w:r w:rsidRPr="00FE167C">
              <w:rPr>
                <w:rFonts w:ascii="Verdana" w:eastAsia="Calibri" w:hAnsi="Verdana" w:cs="Arial"/>
                <w:color w:val="000000" w:themeColor="text1"/>
                <w:lang w:eastAsia="es-ES_tradnl"/>
              </w:rPr>
              <w:t xml:space="preserve">               </w:t>
            </w:r>
          </w:p>
        </w:tc>
        <w:tc>
          <w:tcPr>
            <w:tcW w:w="5670" w:type="dxa"/>
          </w:tcPr>
          <w:p w14:paraId="1CE683EC" w14:textId="77777777" w:rsidR="009B5304" w:rsidRPr="00FE167C" w:rsidRDefault="009B5304">
            <w:pPr>
              <w:jc w:val="both"/>
              <w:rPr>
                <w:rFonts w:ascii="Verdana" w:eastAsia="Calibri" w:hAnsi="Verdana" w:cs="Arial"/>
                <w:color w:val="000000" w:themeColor="text1"/>
                <w:lang w:eastAsia="es-ES_tradnl"/>
              </w:rPr>
            </w:pPr>
            <w:r w:rsidRPr="00FE167C">
              <w:rPr>
                <w:rFonts w:ascii="Verdana" w:eastAsia="Calibri" w:hAnsi="Verdana" w:cs="Arial"/>
                <w:color w:val="000000" w:themeColor="text1"/>
                <w:lang w:eastAsia="es-ES_tradnl"/>
              </w:rPr>
              <w:t>Respuesta a consultas con radicado No. 1_2026_01_13_000300</w:t>
            </w:r>
          </w:p>
        </w:tc>
      </w:tr>
    </w:tbl>
    <w:p w14:paraId="3F203F1C" w14:textId="77777777" w:rsidR="009B5304" w:rsidRPr="00FE167C" w:rsidRDefault="009B5304" w:rsidP="009B5304">
      <w:pPr>
        <w:spacing w:after="0" w:line="276" w:lineRule="auto"/>
        <w:jc w:val="both"/>
        <w:rPr>
          <w:rFonts w:ascii="Verdana" w:eastAsia="Calibri" w:hAnsi="Verdana" w:cs="Arial"/>
          <w:color w:val="00BCD8"/>
          <w:lang w:eastAsia="es-ES"/>
        </w:rPr>
      </w:pPr>
    </w:p>
    <w:p w14:paraId="5321FAD9" w14:textId="77777777" w:rsidR="009B5304" w:rsidRPr="00FE167C" w:rsidRDefault="009B5304" w:rsidP="009B5304">
      <w:pPr>
        <w:spacing w:after="0" w:line="276" w:lineRule="auto"/>
        <w:jc w:val="both"/>
        <w:rPr>
          <w:rFonts w:ascii="Verdana" w:eastAsia="Calibri" w:hAnsi="Verdana" w:cs="Arial"/>
          <w:color w:val="000000" w:themeColor="text1"/>
          <w:lang w:eastAsia="es-ES"/>
        </w:rPr>
      </w:pPr>
    </w:p>
    <w:p w14:paraId="59A14354" w14:textId="77777777" w:rsidR="009B5304" w:rsidRPr="00FE167C" w:rsidRDefault="009B5304" w:rsidP="009B5304">
      <w:pPr>
        <w:spacing w:after="0" w:line="276" w:lineRule="auto"/>
        <w:jc w:val="both"/>
        <w:rPr>
          <w:rFonts w:ascii="Verdana" w:eastAsia="Calibri" w:hAnsi="Verdana" w:cs="Arial"/>
          <w:color w:val="000000" w:themeColor="text1"/>
          <w:lang w:eastAsia="es-ES"/>
        </w:rPr>
      </w:pPr>
      <w:r w:rsidRPr="00FE167C">
        <w:rPr>
          <w:rFonts w:ascii="Verdana" w:eastAsia="Calibri" w:hAnsi="Verdana" w:cs="Arial"/>
          <w:color w:val="000000" w:themeColor="text1"/>
          <w:lang w:eastAsia="es-ES"/>
        </w:rPr>
        <w:t xml:space="preserve">Estimada señora Liliana María, </w:t>
      </w:r>
      <w:r w:rsidRPr="00FE167C">
        <w:rPr>
          <w:rFonts w:ascii="Verdana" w:eastAsia="Calibri" w:hAnsi="Verdana" w:cs="Arial"/>
          <w:color w:val="000000" w:themeColor="text1"/>
          <w:lang w:eastAsia="es-ES_tradnl"/>
        </w:rPr>
        <w:t>cordial saludo</w:t>
      </w:r>
      <w:r w:rsidRPr="00FE167C">
        <w:rPr>
          <w:rFonts w:ascii="Verdana" w:eastAsia="Calibri" w:hAnsi="Verdana" w:cs="Arial"/>
          <w:color w:val="000000" w:themeColor="text1"/>
          <w:lang w:eastAsia="es-ES"/>
        </w:rPr>
        <w:t xml:space="preserve">: </w:t>
      </w:r>
    </w:p>
    <w:p w14:paraId="1AA0C7F5" w14:textId="77777777" w:rsidR="009B5304" w:rsidRPr="00FE167C" w:rsidRDefault="009B5304" w:rsidP="009B5304">
      <w:pPr>
        <w:tabs>
          <w:tab w:val="left" w:pos="3768"/>
        </w:tabs>
        <w:spacing w:after="0" w:line="240" w:lineRule="auto"/>
        <w:jc w:val="both"/>
        <w:rPr>
          <w:rFonts w:ascii="Verdana" w:eastAsia="Calibri" w:hAnsi="Verdana" w:cs="Arial"/>
          <w:color w:val="000000" w:themeColor="text1"/>
          <w:lang w:eastAsia="es-ES"/>
        </w:rPr>
      </w:pPr>
    </w:p>
    <w:p w14:paraId="2523BEB3" w14:textId="3495C3A9" w:rsidR="009B5304" w:rsidRPr="00FE167C" w:rsidRDefault="009B5304" w:rsidP="009B5304">
      <w:pPr>
        <w:tabs>
          <w:tab w:val="left" w:pos="3768"/>
        </w:tabs>
        <w:spacing w:after="0" w:line="276" w:lineRule="auto"/>
        <w:jc w:val="both"/>
        <w:rPr>
          <w:rFonts w:ascii="Verdana" w:eastAsia="Calibri" w:hAnsi="Verdana" w:cs="Arial"/>
          <w:color w:val="000000" w:themeColor="text1"/>
          <w:lang w:eastAsia="es-ES"/>
        </w:rPr>
      </w:pPr>
      <w:r w:rsidRPr="00FE167C">
        <w:rPr>
          <w:rFonts w:ascii="Verdana" w:eastAsia="Calibri" w:hAnsi="Verdana" w:cs="Arial"/>
          <w:color w:val="000000" w:themeColor="text1"/>
          <w:lang w:eastAsia="es-ES"/>
        </w:rPr>
        <w:t>En ejercicio de la competencia otorgada por los artículos 3, numeral 5º, y 11, numeral 8º, del Decreto Ley 4170 de 2011,</w:t>
      </w:r>
      <w:r w:rsidRPr="00FE167C">
        <w:rPr>
          <w:rFonts w:ascii="Verdana" w:eastAsia="Arial MT" w:hAnsi="Verdana" w:cs="Arial MT"/>
          <w:color w:val="000000" w:themeColor="text1"/>
          <w:lang w:eastAsia="es-ES"/>
        </w:rPr>
        <w:t xml:space="preserve"> </w:t>
      </w:r>
      <w:r w:rsidRPr="00FE167C">
        <w:rPr>
          <w:rFonts w:ascii="Verdana" w:hAnsi="Verdana" w:cs="Arial"/>
          <w:color w:val="000000" w:themeColor="text1"/>
        </w:rPr>
        <w:t xml:space="preserve">así como lo establecido en la Resolución 469 de 2025 expedida por esta Entidad, </w:t>
      </w:r>
      <w:r w:rsidRPr="00FE167C">
        <w:rPr>
          <w:rFonts w:ascii="Verdana" w:eastAsia="Calibri" w:hAnsi="Verdana" w:cs="Arial"/>
          <w:color w:val="000000" w:themeColor="text1"/>
          <w:lang w:eastAsia="es-ES"/>
        </w:rPr>
        <w:t xml:space="preserve">la Agencia Nacional de Contratación Pública – Colombia Compra Eficiente– responde su solicitud de consulta de fecha </w:t>
      </w:r>
      <w:r>
        <w:rPr>
          <w:rFonts w:ascii="Verdana" w:eastAsia="Calibri" w:hAnsi="Verdana" w:cs="Arial"/>
          <w:color w:val="000000" w:themeColor="text1"/>
          <w:lang w:eastAsia="es-ES"/>
        </w:rPr>
        <w:t>13</w:t>
      </w:r>
      <w:r w:rsidRPr="00FE167C">
        <w:rPr>
          <w:rFonts w:ascii="Verdana" w:eastAsia="Calibri" w:hAnsi="Verdana" w:cs="Arial"/>
          <w:color w:val="000000" w:themeColor="text1"/>
          <w:lang w:eastAsia="es-ES"/>
        </w:rPr>
        <w:t xml:space="preserve"> de </w:t>
      </w:r>
      <w:r>
        <w:rPr>
          <w:rFonts w:ascii="Verdana" w:eastAsia="Calibri" w:hAnsi="Verdana" w:cs="Arial"/>
          <w:color w:val="000000" w:themeColor="text1"/>
          <w:lang w:eastAsia="es-ES"/>
        </w:rPr>
        <w:t>enero</w:t>
      </w:r>
      <w:r w:rsidRPr="00FE167C">
        <w:rPr>
          <w:rFonts w:ascii="Verdana" w:eastAsia="Calibri" w:hAnsi="Verdana" w:cs="Arial"/>
          <w:color w:val="000000" w:themeColor="text1"/>
          <w:lang w:eastAsia="es-ES"/>
        </w:rPr>
        <w:t xml:space="preserve"> de 202</w:t>
      </w:r>
      <w:r>
        <w:rPr>
          <w:rFonts w:ascii="Verdana" w:eastAsia="Calibri" w:hAnsi="Verdana" w:cs="Arial"/>
          <w:color w:val="000000" w:themeColor="text1"/>
          <w:lang w:eastAsia="es-ES"/>
        </w:rPr>
        <w:t>6</w:t>
      </w:r>
      <w:r w:rsidRPr="00FE167C">
        <w:rPr>
          <w:rFonts w:ascii="Verdana" w:eastAsia="Calibri" w:hAnsi="Verdana" w:cs="Arial"/>
          <w:color w:val="000000" w:themeColor="text1"/>
          <w:lang w:eastAsia="es-ES"/>
        </w:rPr>
        <w:t xml:space="preserve">, en la cual manifiesta lo siguiente: </w:t>
      </w:r>
    </w:p>
    <w:p w14:paraId="67579172" w14:textId="77777777" w:rsidR="009B5304" w:rsidRPr="00FE167C" w:rsidRDefault="009B5304" w:rsidP="009B5304">
      <w:pPr>
        <w:pStyle w:val="Prrafodelista"/>
        <w:tabs>
          <w:tab w:val="left" w:pos="142"/>
          <w:tab w:val="left" w:pos="284"/>
        </w:tabs>
        <w:spacing w:after="0" w:line="276" w:lineRule="auto"/>
        <w:ind w:left="142"/>
        <w:contextualSpacing w:val="0"/>
        <w:jc w:val="both"/>
        <w:rPr>
          <w:rFonts w:ascii="Verdana" w:eastAsia="Century Gothic" w:hAnsi="Verdana" w:cs="Century Gothic"/>
          <w:b/>
          <w:bCs/>
          <w:i/>
          <w:iCs/>
          <w:color w:val="00BCD8"/>
          <w:sz w:val="20"/>
          <w:szCs w:val="20"/>
        </w:rPr>
      </w:pPr>
    </w:p>
    <w:p w14:paraId="2573BA00" w14:textId="77777777" w:rsidR="009B5304" w:rsidRPr="00FE167C" w:rsidRDefault="009B5304" w:rsidP="009B5304">
      <w:pPr>
        <w:spacing w:after="0" w:line="240" w:lineRule="auto"/>
        <w:ind w:left="709" w:right="709"/>
        <w:jc w:val="both"/>
        <w:rPr>
          <w:rFonts w:ascii="Verdana" w:hAnsi="Verdana"/>
          <w:i/>
          <w:iCs/>
          <w:color w:val="00BCD8"/>
          <w:sz w:val="20"/>
          <w:szCs w:val="20"/>
        </w:rPr>
      </w:pPr>
      <w:bookmarkStart w:id="0" w:name="_Hlk192699624"/>
      <w:bookmarkStart w:id="1" w:name="_Hlk199394899"/>
      <w:r w:rsidRPr="00FE167C">
        <w:rPr>
          <w:rFonts w:ascii="Verdana" w:eastAsia="Century Gothic" w:hAnsi="Verdana" w:cs="Century Gothic"/>
          <w:i/>
          <w:iCs/>
          <w:color w:val="000000" w:themeColor="text1"/>
          <w:sz w:val="20"/>
          <w:szCs w:val="20"/>
        </w:rPr>
        <w:t>“</w:t>
      </w:r>
      <w:bookmarkStart w:id="2" w:name="_Hlk218669352"/>
      <w:bookmarkEnd w:id="0"/>
      <w:bookmarkEnd w:id="1"/>
      <w:r w:rsidRPr="00FE167C">
        <w:rPr>
          <w:rFonts w:ascii="Verdana" w:eastAsia="Century Gothic" w:hAnsi="Verdana" w:cs="Century Gothic"/>
          <w:i/>
          <w:iCs/>
          <w:color w:val="000000" w:themeColor="text1"/>
          <w:sz w:val="20"/>
          <w:szCs w:val="20"/>
        </w:rPr>
        <w:t xml:space="preserve">Conforme a la sentencia del CONSEJO DE ESTADO SALA DE LO CONTENCIOSO ADMINISTRATIVO SECCIÓN TERCERA SUBSECCIÓN B Bogotá DC, diecisiete (17) de octubre de dos mil veinticinco (2025), Magistrado ponente: FREDY IBARRA MARTÍNEZ Expediente: 11001-03-26-000-2023-00139-00 (70.313) y teniendo como base la Circular externa 006 de 25 de septiembre de 2025 de la Agencia Nacional de Contratación Pública Colombia Compra Eficiente, pueden los entes territorial suscribir contratos interadministrativos hasta el 31 de enero que </w:t>
      </w:r>
      <w:r w:rsidRPr="00FE167C">
        <w:rPr>
          <w:rFonts w:ascii="Verdana" w:eastAsia="Century Gothic" w:hAnsi="Verdana" w:cs="Century Gothic"/>
          <w:i/>
          <w:iCs/>
          <w:color w:val="000000" w:themeColor="text1"/>
          <w:sz w:val="20"/>
          <w:szCs w:val="20"/>
        </w:rPr>
        <w:lastRenderedPageBreak/>
        <w:t xml:space="preserve">comienza ley de </w:t>
      </w:r>
      <w:proofErr w:type="spellStart"/>
      <w:r w:rsidRPr="00FE167C">
        <w:rPr>
          <w:rFonts w:ascii="Verdana" w:eastAsia="Century Gothic" w:hAnsi="Verdana" w:cs="Century Gothic"/>
          <w:i/>
          <w:iCs/>
          <w:color w:val="000000" w:themeColor="text1"/>
          <w:sz w:val="20"/>
          <w:szCs w:val="20"/>
        </w:rPr>
        <w:t>garantias</w:t>
      </w:r>
      <w:proofErr w:type="spellEnd"/>
      <w:r w:rsidRPr="00FE167C">
        <w:rPr>
          <w:rFonts w:ascii="Verdana" w:eastAsia="Century Gothic" w:hAnsi="Verdana" w:cs="Century Gothic"/>
          <w:i/>
          <w:iCs/>
          <w:color w:val="000000" w:themeColor="text1"/>
          <w:sz w:val="20"/>
          <w:szCs w:val="20"/>
        </w:rPr>
        <w:t xml:space="preserve"> (siguiendo lo establecido en el </w:t>
      </w:r>
      <w:proofErr w:type="spellStart"/>
      <w:r w:rsidRPr="00FE167C">
        <w:rPr>
          <w:rFonts w:ascii="Verdana" w:eastAsia="Century Gothic" w:hAnsi="Verdana" w:cs="Century Gothic"/>
          <w:i/>
          <w:iCs/>
          <w:color w:val="000000" w:themeColor="text1"/>
          <w:sz w:val="20"/>
          <w:szCs w:val="20"/>
        </w:rPr>
        <w:t>articulo</w:t>
      </w:r>
      <w:proofErr w:type="spellEnd"/>
      <w:r w:rsidRPr="00FE167C">
        <w:rPr>
          <w:rFonts w:ascii="Verdana" w:eastAsia="Century Gothic" w:hAnsi="Verdana" w:cs="Century Gothic"/>
          <w:i/>
          <w:iCs/>
          <w:color w:val="000000" w:themeColor="text1"/>
          <w:sz w:val="20"/>
          <w:szCs w:val="20"/>
        </w:rPr>
        <w:t xml:space="preserve"> 33 de la ley 996 de 2005)?”</w:t>
      </w:r>
      <w:r w:rsidRPr="00FE167C">
        <w:rPr>
          <w:rFonts w:ascii="Verdana" w:hAnsi="Verdana"/>
          <w:i/>
          <w:iCs/>
          <w:color w:val="00BCD8"/>
          <w:sz w:val="20"/>
          <w:szCs w:val="20"/>
        </w:rPr>
        <w:t xml:space="preserve"> </w:t>
      </w:r>
    </w:p>
    <w:bookmarkEnd w:id="2"/>
    <w:p w14:paraId="74A76F80" w14:textId="77777777" w:rsidR="009B5304" w:rsidRPr="00FE167C" w:rsidRDefault="009B5304" w:rsidP="009B5304">
      <w:pPr>
        <w:spacing w:before="120" w:after="0" w:line="276" w:lineRule="auto"/>
        <w:ind w:firstLine="709"/>
        <w:jc w:val="both"/>
        <w:rPr>
          <w:rFonts w:ascii="Verdana" w:eastAsia="Calibri" w:hAnsi="Verdana" w:cs="Arial"/>
          <w:color w:val="000000" w:themeColor="text1"/>
          <w:szCs w:val="24"/>
          <w:lang w:eastAsia="es-ES_tradnl"/>
        </w:rPr>
      </w:pPr>
      <w:r w:rsidRPr="00FE167C">
        <w:rPr>
          <w:rFonts w:ascii="Verdana" w:eastAsia="Calibri" w:hAnsi="Verdana" w:cs="Arial"/>
          <w:color w:val="000000" w:themeColor="text1"/>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566D715E" w14:textId="77777777" w:rsidR="009B5304" w:rsidRPr="00E309C4" w:rsidRDefault="009B5304" w:rsidP="009B5304">
      <w:pPr>
        <w:spacing w:before="120" w:after="0" w:line="276" w:lineRule="auto"/>
        <w:ind w:firstLine="709"/>
        <w:jc w:val="both"/>
        <w:rPr>
          <w:rFonts w:ascii="Verdana" w:eastAsia="Calibri" w:hAnsi="Verdana" w:cs="Arial"/>
          <w:color w:val="000000" w:themeColor="text1"/>
          <w:szCs w:val="24"/>
          <w:lang w:eastAsia="es-ES_tradnl"/>
        </w:rPr>
      </w:pPr>
      <w:r w:rsidRPr="00FE167C">
        <w:rPr>
          <w:rFonts w:ascii="Verdana" w:eastAsia="Calibri" w:hAnsi="Verdana" w:cs="Arial"/>
          <w:color w:val="000000" w:themeColor="text1"/>
          <w:lang w:eastAsia="es-ES"/>
        </w:rPr>
        <w:t>Conforme lo expuesto, en aras de garantizar el derecho fundamental de p</w:t>
      </w:r>
      <w:r w:rsidRPr="00E309C4">
        <w:rPr>
          <w:rFonts w:ascii="Verdana" w:eastAsia="Calibri" w:hAnsi="Verdana" w:cs="Arial"/>
          <w:color w:val="000000" w:themeColor="text1"/>
          <w:lang w:eastAsia="es-ES"/>
        </w:rPr>
        <w:t xml:space="preserve">etición, se resolverá su petición dentro de los límites de la referida competencia consultiva, esto es, haciendo abstracción del caso particular y concreto señalado en su petición, pero señalando algunas consideraciones sobre las normas generales relacionadas con el problema jurídico de su consulta.  </w:t>
      </w:r>
    </w:p>
    <w:p w14:paraId="3FA30455" w14:textId="77777777" w:rsidR="009B5304" w:rsidRPr="00E309C4" w:rsidRDefault="009B5304" w:rsidP="009B5304">
      <w:pPr>
        <w:spacing w:after="0"/>
        <w:ind w:firstLine="709"/>
        <w:jc w:val="both"/>
        <w:rPr>
          <w:rFonts w:ascii="Verdana" w:eastAsia="Calibri" w:hAnsi="Verdana" w:cs="Arial"/>
          <w:color w:val="000000" w:themeColor="text1"/>
          <w:lang w:eastAsia="es-ES"/>
        </w:rPr>
      </w:pPr>
    </w:p>
    <w:p w14:paraId="6BE9FAE8" w14:textId="77777777" w:rsidR="009B5304" w:rsidRPr="00E309C4" w:rsidRDefault="009B5304" w:rsidP="009B5304">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E309C4">
        <w:rPr>
          <w:rFonts w:ascii="Verdana" w:eastAsia="Century Gothic" w:hAnsi="Verdana" w:cs="Century Gothic"/>
          <w:b/>
          <w:bCs/>
          <w:color w:val="000000" w:themeColor="text1"/>
        </w:rPr>
        <w:t>Problema planteado:</w:t>
      </w:r>
    </w:p>
    <w:p w14:paraId="0A4B81CF" w14:textId="77777777" w:rsidR="009B5304" w:rsidRPr="0011390F" w:rsidRDefault="009B5304" w:rsidP="009B5304">
      <w:pPr>
        <w:spacing w:after="0" w:line="276" w:lineRule="auto"/>
        <w:jc w:val="both"/>
        <w:rPr>
          <w:rFonts w:ascii="Verdana" w:eastAsia="Calibri" w:hAnsi="Verdana" w:cs="Arial"/>
          <w:color w:val="000000" w:themeColor="text1"/>
          <w:lang w:eastAsia="es-ES"/>
        </w:rPr>
      </w:pPr>
    </w:p>
    <w:p w14:paraId="0DBF887E" w14:textId="07DC7C66" w:rsidR="009B5304" w:rsidRDefault="009B5304" w:rsidP="009B5304">
      <w:pPr>
        <w:spacing w:after="0" w:line="276" w:lineRule="auto"/>
        <w:jc w:val="both"/>
        <w:rPr>
          <w:rFonts w:ascii="Verdana" w:hAnsi="Verdana"/>
          <w:color w:val="000000" w:themeColor="text1"/>
          <w:lang w:val="es-ES"/>
        </w:rPr>
      </w:pPr>
      <w:bookmarkStart w:id="3" w:name="OLE_LINK1"/>
      <w:r w:rsidRPr="0011390F">
        <w:rPr>
          <w:rFonts w:ascii="Verdana" w:eastAsia="Calibri" w:hAnsi="Verdana" w:cs="Arial"/>
          <w:color w:val="000000" w:themeColor="text1"/>
          <w:lang w:eastAsia="es-ES"/>
        </w:rPr>
        <w:t xml:space="preserve">De acuerdo con el contenido de su solicitud, esta Agencia resolverá el siguiente problema jurídico: Según con las consideraciones el </w:t>
      </w:r>
      <w:r w:rsidRPr="0011390F">
        <w:rPr>
          <w:rFonts w:ascii="Verdana" w:eastAsia="Arial" w:hAnsi="Verdana" w:cs="Arial"/>
          <w:color w:val="000000" w:themeColor="text1"/>
          <w:lang w:val="es-ES"/>
        </w:rPr>
        <w:t xml:space="preserve">fallo de 17 de octubre de 2025, de la Subsección B de la Sección Tercera del Consejo de Estado, </w:t>
      </w:r>
      <w:proofErr w:type="spellStart"/>
      <w:r w:rsidRPr="0011390F">
        <w:rPr>
          <w:rFonts w:ascii="Verdana" w:eastAsia="Arial" w:hAnsi="Verdana" w:cs="Arial"/>
          <w:color w:val="000000" w:themeColor="text1"/>
          <w:lang w:val="es-ES"/>
        </w:rPr>
        <w:t>Exp</w:t>
      </w:r>
      <w:proofErr w:type="spellEnd"/>
      <w:r w:rsidRPr="0011390F">
        <w:rPr>
          <w:rFonts w:ascii="Verdana" w:eastAsia="Arial" w:hAnsi="Verdana" w:cs="Arial"/>
          <w:color w:val="000000" w:themeColor="text1"/>
          <w:lang w:val="es-ES"/>
        </w:rPr>
        <w:t>. No. 70.313</w:t>
      </w:r>
      <w:r w:rsidRPr="000531AF">
        <w:rPr>
          <w:rFonts w:ascii="Verdana" w:eastAsia="Arial" w:hAnsi="Verdana" w:cs="Arial"/>
          <w:color w:val="000000" w:themeColor="text1"/>
          <w:lang w:val="es-ES"/>
        </w:rPr>
        <w:t xml:space="preserve">: </w:t>
      </w:r>
      <w:bookmarkEnd w:id="3"/>
      <w:r w:rsidRPr="000531AF">
        <w:rPr>
          <w:rFonts w:ascii="Verdana" w:hAnsi="Verdana"/>
          <w:color w:val="000000" w:themeColor="text1"/>
          <w:lang w:val="es-ES"/>
        </w:rPr>
        <w:t xml:space="preserve">¿Resulta jurídicamente </w:t>
      </w:r>
      <w:r w:rsidR="00717DE7">
        <w:rPr>
          <w:rFonts w:ascii="Verdana" w:hAnsi="Verdana"/>
          <w:color w:val="000000" w:themeColor="text1"/>
          <w:lang w:val="es-ES"/>
        </w:rPr>
        <w:t xml:space="preserve">viable </w:t>
      </w:r>
      <w:r>
        <w:rPr>
          <w:rFonts w:ascii="Verdana" w:hAnsi="Verdana"/>
          <w:color w:val="000000" w:themeColor="text1"/>
          <w:lang w:val="es-ES"/>
        </w:rPr>
        <w:t>suscri</w:t>
      </w:r>
      <w:r w:rsidR="00717DE7">
        <w:rPr>
          <w:rFonts w:ascii="Verdana" w:hAnsi="Verdana"/>
          <w:color w:val="000000" w:themeColor="text1"/>
          <w:lang w:val="es-ES"/>
        </w:rPr>
        <w:t>bir</w:t>
      </w:r>
      <w:r>
        <w:rPr>
          <w:rFonts w:ascii="Verdana" w:hAnsi="Verdana"/>
          <w:color w:val="000000" w:themeColor="text1"/>
          <w:lang w:val="es-ES"/>
        </w:rPr>
        <w:t xml:space="preserve"> </w:t>
      </w:r>
      <w:r w:rsidRPr="000531AF">
        <w:rPr>
          <w:rFonts w:ascii="Verdana" w:hAnsi="Verdana"/>
          <w:color w:val="000000" w:themeColor="text1"/>
          <w:lang w:val="es-ES"/>
        </w:rPr>
        <w:t>contratos interadministrativos antes del inicio de</w:t>
      </w:r>
      <w:r w:rsidR="002C5D63">
        <w:rPr>
          <w:rFonts w:ascii="Verdana" w:hAnsi="Verdana"/>
          <w:color w:val="000000" w:themeColor="text1"/>
          <w:lang w:val="es-ES"/>
        </w:rPr>
        <w:t xml:space="preserve"> la restricción establecida </w:t>
      </w:r>
      <w:r w:rsidRPr="000531AF">
        <w:rPr>
          <w:rFonts w:ascii="Verdana" w:hAnsi="Verdana"/>
          <w:color w:val="000000" w:themeColor="text1"/>
          <w:lang w:val="es-ES"/>
        </w:rPr>
        <w:t>en el artículo 33 de la Ley 996 de 2005?</w:t>
      </w:r>
    </w:p>
    <w:p w14:paraId="07E3F649" w14:textId="77777777" w:rsidR="009B5304" w:rsidRPr="000531AF" w:rsidRDefault="009B5304" w:rsidP="009B5304">
      <w:pPr>
        <w:spacing w:after="0" w:line="276" w:lineRule="auto"/>
        <w:jc w:val="both"/>
        <w:rPr>
          <w:rFonts w:ascii="Verdana" w:hAnsi="Verdana"/>
          <w:color w:val="000000" w:themeColor="text1"/>
          <w:lang w:val="es-ES"/>
        </w:rPr>
      </w:pPr>
    </w:p>
    <w:p w14:paraId="4F6BFDF3" w14:textId="77777777" w:rsidR="009B5304" w:rsidRPr="000531AF" w:rsidRDefault="009B5304" w:rsidP="009B5304">
      <w:pPr>
        <w:spacing w:after="0" w:line="276" w:lineRule="auto"/>
        <w:jc w:val="both"/>
        <w:rPr>
          <w:rFonts w:ascii="Verdana" w:eastAsia="Century Gothic" w:hAnsi="Verdana" w:cs="Century Gothic"/>
          <w:color w:val="000000" w:themeColor="text1"/>
        </w:rPr>
      </w:pPr>
      <w:r w:rsidRPr="000531AF">
        <w:rPr>
          <w:rFonts w:ascii="Verdana" w:eastAsia="Century Gothic" w:hAnsi="Verdana" w:cs="Century Gothic"/>
          <w:color w:val="000000" w:themeColor="text1"/>
        </w:rPr>
        <w:t>2. Respuesta:</w:t>
      </w:r>
    </w:p>
    <w:p w14:paraId="7CFA2C4A" w14:textId="77777777" w:rsidR="009B5304" w:rsidRPr="000531AF" w:rsidRDefault="009B5304" w:rsidP="009B5304">
      <w:pPr>
        <w:tabs>
          <w:tab w:val="left" w:pos="142"/>
          <w:tab w:val="left" w:pos="284"/>
        </w:tabs>
        <w:spacing w:after="0" w:line="276" w:lineRule="auto"/>
        <w:jc w:val="both"/>
        <w:rPr>
          <w:rFonts w:ascii="Verdana" w:eastAsia="Century Gothic" w:hAnsi="Verdana" w:cs="Century Gothic"/>
          <w:color w:val="00BCD8"/>
        </w:rPr>
      </w:pPr>
    </w:p>
    <w:tbl>
      <w:tblPr>
        <w:tblStyle w:val="Tablaconcuadrcula"/>
        <w:tblW w:w="0" w:type="auto"/>
        <w:tblInd w:w="-113"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9B5304" w:rsidRPr="00FE167C" w14:paraId="79653202" w14:textId="77777777">
        <w:tc>
          <w:tcPr>
            <w:tcW w:w="8828" w:type="dxa"/>
          </w:tcPr>
          <w:p w14:paraId="24820AFF" w14:textId="77777777" w:rsidR="009B5304" w:rsidRPr="004F1C0A" w:rsidRDefault="009B5304">
            <w:pPr>
              <w:spacing w:after="120" w:line="276" w:lineRule="auto"/>
              <w:jc w:val="both"/>
              <w:rPr>
                <w:rFonts w:ascii="Verdana" w:eastAsia="Times New Roman" w:hAnsi="Verdana" w:cs="Arial"/>
                <w:bCs/>
                <w:lang w:val="es-MX" w:eastAsia="x-none"/>
              </w:rPr>
            </w:pPr>
            <w:r w:rsidRPr="004F1C0A">
              <w:rPr>
                <w:rFonts w:ascii="Verdana" w:eastAsia="Calibri" w:hAnsi="Verdana" w:cs="Arial"/>
                <w:lang w:val="es-MX"/>
              </w:rPr>
              <w:t xml:space="preserve">De acuerdo con el problema jurídico, objeto de consulta, </w:t>
            </w:r>
            <w:r w:rsidRPr="004F1C0A">
              <w:rPr>
                <w:rFonts w:ascii="Verdana" w:eastAsia="Times New Roman" w:hAnsi="Verdana" w:cs="Arial"/>
                <w:bCs/>
                <w:lang w:val="es-MX" w:eastAsia="x-none"/>
              </w:rPr>
              <w:t xml:space="preserve">se señala que la interpretación del artículo 33 de la Ley 996 de 2005 ha sido clara en los pronunciamientos del Consejo de Estado y la Doctrina Oficial de la Agencia: durante los cuatro meses previos a las elecciones presidenciales, las entidades estatales tienen restringida la posibilidad de celebrar contratos bajo la </w:t>
            </w:r>
            <w:r w:rsidRPr="004F1C0A">
              <w:rPr>
                <w:rFonts w:ascii="Verdana" w:eastAsia="Times New Roman" w:hAnsi="Verdana" w:cs="Arial"/>
                <w:bCs/>
                <w:lang w:val="es-MX" w:eastAsia="x-none"/>
              </w:rPr>
              <w:lastRenderedPageBreak/>
              <w:t>modalidad de contratación directa, lo que incluye los contratos interadministrativos</w:t>
            </w:r>
            <w:r>
              <w:rPr>
                <w:rFonts w:ascii="Verdana" w:eastAsia="Times New Roman" w:hAnsi="Verdana" w:cs="Arial"/>
                <w:bCs/>
                <w:lang w:val="es-MX" w:eastAsia="x-none"/>
              </w:rPr>
              <w:t xml:space="preserve"> que no se celebren de forma competitiva</w:t>
            </w:r>
            <w:r w:rsidRPr="004F1C0A">
              <w:rPr>
                <w:rFonts w:ascii="Verdana" w:eastAsia="Times New Roman" w:hAnsi="Verdana" w:cs="Arial"/>
                <w:bCs/>
                <w:lang w:val="es-MX" w:eastAsia="x-none"/>
              </w:rPr>
              <w:t>. Esta prohibición busca garantizar la transparencia y evitar que la contratación pública se convierta en un instrumento de influencia política en tiempos electorales.</w:t>
            </w:r>
          </w:p>
          <w:p w14:paraId="603BAFC4" w14:textId="2E8C375E" w:rsidR="00991721" w:rsidRDefault="009B5304">
            <w:pPr>
              <w:spacing w:after="120" w:line="276" w:lineRule="auto"/>
              <w:ind w:firstLine="709"/>
              <w:jc w:val="both"/>
              <w:rPr>
                <w:rFonts w:ascii="Verdana" w:eastAsia="Times New Roman" w:hAnsi="Verdana" w:cs="Arial"/>
                <w:bCs/>
                <w:lang w:val="es-MX" w:eastAsia="x-none"/>
              </w:rPr>
            </w:pPr>
            <w:r w:rsidRPr="00186DE9">
              <w:rPr>
                <w:rFonts w:ascii="Verdana" w:eastAsia="Times New Roman" w:hAnsi="Verdana" w:cs="Arial"/>
                <w:bCs/>
                <w:lang w:val="es-MX" w:eastAsia="x-none"/>
              </w:rPr>
              <w:t xml:space="preserve">En este contexto, </w:t>
            </w:r>
            <w:r w:rsidR="009B4E23">
              <w:rPr>
                <w:rFonts w:ascii="Verdana" w:eastAsia="Times New Roman" w:hAnsi="Verdana" w:cs="Arial"/>
                <w:bCs/>
                <w:lang w:val="es-MX" w:eastAsia="x-none"/>
              </w:rPr>
              <w:t>dad</w:t>
            </w:r>
            <w:r w:rsidR="00A541E2">
              <w:rPr>
                <w:rFonts w:ascii="Verdana" w:eastAsia="Times New Roman" w:hAnsi="Verdana" w:cs="Arial"/>
                <w:bCs/>
                <w:lang w:val="es-MX" w:eastAsia="x-none"/>
              </w:rPr>
              <w:t>a la disímil naturaleza jurídica de los</w:t>
            </w:r>
            <w:r w:rsidRPr="00186DE9">
              <w:rPr>
                <w:rFonts w:ascii="Verdana" w:eastAsia="Times New Roman" w:hAnsi="Verdana" w:cs="Arial"/>
                <w:bCs/>
                <w:lang w:val="es-MX" w:eastAsia="x-none"/>
              </w:rPr>
              <w:t xml:space="preserve"> convenios y contratos interadministrativos, </w:t>
            </w:r>
            <w:r w:rsidR="009C5190">
              <w:rPr>
                <w:rFonts w:ascii="Verdana" w:eastAsia="Times New Roman" w:hAnsi="Verdana" w:cs="Arial"/>
                <w:bCs/>
                <w:lang w:val="es-MX" w:eastAsia="x-none"/>
              </w:rPr>
              <w:t xml:space="preserve">la restricción </w:t>
            </w:r>
            <w:r w:rsidR="00320CB6">
              <w:rPr>
                <w:rFonts w:ascii="Verdana" w:eastAsia="Times New Roman" w:hAnsi="Verdana" w:cs="Arial"/>
                <w:bCs/>
                <w:lang w:val="es-MX" w:eastAsia="x-none"/>
              </w:rPr>
              <w:t>prevista en el artículo 38 de la Ley 996 de 2005</w:t>
            </w:r>
            <w:r w:rsidR="003C55D0">
              <w:rPr>
                <w:rFonts w:ascii="Verdana" w:eastAsia="Times New Roman" w:hAnsi="Verdana" w:cs="Arial"/>
                <w:bCs/>
                <w:lang w:val="es-MX" w:eastAsia="x-none"/>
              </w:rPr>
              <w:t xml:space="preserve"> para estos últimos</w:t>
            </w:r>
            <w:r w:rsidR="00320CB6">
              <w:rPr>
                <w:rFonts w:ascii="Verdana" w:eastAsia="Times New Roman" w:hAnsi="Verdana" w:cs="Arial"/>
                <w:bCs/>
                <w:lang w:val="es-MX" w:eastAsia="x-none"/>
              </w:rPr>
              <w:t>, no puede ser extendida</w:t>
            </w:r>
            <w:r w:rsidR="003C55D0">
              <w:rPr>
                <w:rFonts w:ascii="Verdana" w:eastAsia="Times New Roman" w:hAnsi="Verdana" w:cs="Arial"/>
                <w:bCs/>
                <w:lang w:val="es-MX" w:eastAsia="x-none"/>
              </w:rPr>
              <w:t xml:space="preserve"> a los aquellos</w:t>
            </w:r>
            <w:r w:rsidRPr="00186DE9">
              <w:rPr>
                <w:rFonts w:ascii="Verdana" w:eastAsia="Times New Roman" w:hAnsi="Verdana" w:cs="Arial"/>
                <w:bCs/>
                <w:lang w:val="es-MX" w:eastAsia="x-none"/>
              </w:rPr>
              <w:t xml:space="preserve">. </w:t>
            </w:r>
            <w:r w:rsidR="003C55D0">
              <w:rPr>
                <w:rFonts w:ascii="Verdana" w:eastAsia="Times New Roman" w:hAnsi="Verdana" w:cs="Arial"/>
                <w:bCs/>
                <w:lang w:val="es-MX" w:eastAsia="x-none"/>
              </w:rPr>
              <w:t>En concordancia con esto,</w:t>
            </w:r>
            <w:r w:rsidRPr="00186DE9">
              <w:rPr>
                <w:rFonts w:ascii="Verdana" w:eastAsia="Times New Roman" w:hAnsi="Verdana" w:cs="Arial"/>
                <w:bCs/>
                <w:lang w:val="es-MX" w:eastAsia="x-none"/>
              </w:rPr>
              <w:t xml:space="preserve"> la Sentencia</w:t>
            </w:r>
            <w:r w:rsidR="00A516D3" w:rsidRPr="0011390F">
              <w:rPr>
                <w:rFonts w:ascii="Verdana" w:eastAsia="Arial" w:hAnsi="Verdana" w:cs="Arial"/>
                <w:color w:val="000000" w:themeColor="text1"/>
                <w:lang w:val="es-ES"/>
              </w:rPr>
              <w:t>17 de octubre de 2025 de la Subsección B de la Sección Tercera del Consejo de Estado</w:t>
            </w:r>
            <w:r w:rsidR="00991721">
              <w:rPr>
                <w:rFonts w:ascii="Verdana" w:eastAsia="Arial" w:hAnsi="Verdana" w:cs="Arial"/>
                <w:color w:val="000000" w:themeColor="text1"/>
                <w:lang w:val="es-ES"/>
              </w:rPr>
              <w:t xml:space="preserve"> explica que</w:t>
            </w:r>
            <w:r w:rsidRPr="00186DE9">
              <w:rPr>
                <w:rFonts w:ascii="Verdana" w:eastAsia="Times New Roman" w:hAnsi="Verdana" w:cs="Arial"/>
                <w:bCs/>
                <w:lang w:val="es-MX" w:eastAsia="x-none"/>
              </w:rPr>
              <w:t xml:space="preserve"> dicha restricción aplica exclusivamente a los convenios interadministrativos en el marco de cualquier contienda electoral. </w:t>
            </w:r>
          </w:p>
          <w:p w14:paraId="2BEC92B5" w14:textId="0457349D" w:rsidR="009B5304" w:rsidRPr="004F1C0A" w:rsidRDefault="009B5304">
            <w:pPr>
              <w:spacing w:after="120" w:line="276" w:lineRule="auto"/>
              <w:ind w:firstLine="709"/>
              <w:jc w:val="both"/>
              <w:rPr>
                <w:rFonts w:ascii="Verdana" w:eastAsia="Times New Roman" w:hAnsi="Verdana" w:cs="Arial"/>
                <w:bCs/>
                <w:lang w:val="es-MX" w:eastAsia="x-none"/>
              </w:rPr>
            </w:pPr>
            <w:r w:rsidRPr="00186DE9">
              <w:rPr>
                <w:rFonts w:ascii="Verdana" w:eastAsia="Times New Roman" w:hAnsi="Verdana" w:cs="Arial"/>
                <w:bCs/>
                <w:lang w:val="es-MX" w:eastAsia="x-none"/>
              </w:rPr>
              <w:t xml:space="preserve">No obstante, </w:t>
            </w:r>
            <w:r w:rsidR="001F407A">
              <w:rPr>
                <w:rFonts w:ascii="Verdana" w:eastAsia="Times New Roman" w:hAnsi="Verdana" w:cs="Arial"/>
                <w:bCs/>
                <w:lang w:val="es-MX" w:eastAsia="x-none"/>
              </w:rPr>
              <w:t>el análisis realizado en la sentencia</w:t>
            </w:r>
            <w:r w:rsidRPr="00186DE9">
              <w:rPr>
                <w:rFonts w:ascii="Verdana" w:eastAsia="Times New Roman" w:hAnsi="Verdana" w:cs="Arial"/>
                <w:bCs/>
                <w:lang w:val="es-MX" w:eastAsia="x-none"/>
              </w:rPr>
              <w:t xml:space="preserve"> </w:t>
            </w:r>
            <w:r w:rsidR="00606F83">
              <w:rPr>
                <w:rFonts w:ascii="Verdana" w:eastAsia="Times New Roman" w:hAnsi="Verdana" w:cs="Arial"/>
                <w:bCs/>
                <w:lang w:val="es-MX" w:eastAsia="x-none"/>
              </w:rPr>
              <w:t xml:space="preserve">se refiere únicamente al artículo 38, mas no a la </w:t>
            </w:r>
            <w:r w:rsidRPr="00186DE9">
              <w:rPr>
                <w:rFonts w:ascii="Verdana" w:eastAsia="Times New Roman" w:hAnsi="Verdana" w:cs="Arial"/>
                <w:bCs/>
                <w:lang w:val="es-MX" w:eastAsia="x-none"/>
              </w:rPr>
              <w:t xml:space="preserve">limitación contenida en el artículo 33, que prohíbe adelantar cualquier </w:t>
            </w:r>
            <w:r w:rsidR="000C364A">
              <w:rPr>
                <w:rFonts w:ascii="Verdana" w:eastAsia="Times New Roman" w:hAnsi="Verdana" w:cs="Arial"/>
                <w:bCs/>
                <w:lang w:val="es-MX" w:eastAsia="x-none"/>
              </w:rPr>
              <w:t xml:space="preserve">tipo de </w:t>
            </w:r>
            <w:r w:rsidRPr="00186DE9">
              <w:rPr>
                <w:rFonts w:ascii="Verdana" w:eastAsia="Times New Roman" w:hAnsi="Verdana" w:cs="Arial"/>
                <w:bCs/>
                <w:lang w:val="es-MX" w:eastAsia="x-none"/>
              </w:rPr>
              <w:t xml:space="preserve">contratación bajo la </w:t>
            </w:r>
            <w:r w:rsidR="000C364A">
              <w:rPr>
                <w:rFonts w:ascii="Verdana" w:eastAsia="Times New Roman" w:hAnsi="Verdana" w:cs="Arial"/>
                <w:bCs/>
                <w:lang w:val="es-MX" w:eastAsia="x-none"/>
              </w:rPr>
              <w:t>modalidad de</w:t>
            </w:r>
            <w:r w:rsidRPr="00186DE9">
              <w:rPr>
                <w:rFonts w:ascii="Verdana" w:eastAsia="Times New Roman" w:hAnsi="Verdana" w:cs="Arial"/>
                <w:bCs/>
                <w:lang w:val="es-MX" w:eastAsia="x-none"/>
              </w:rPr>
              <w:t xml:space="preserve"> contratación directa.</w:t>
            </w:r>
            <w:r>
              <w:rPr>
                <w:rFonts w:ascii="Verdana" w:eastAsia="Times New Roman" w:hAnsi="Verdana" w:cs="Arial"/>
                <w:bCs/>
                <w:lang w:val="es-MX" w:eastAsia="x-none"/>
              </w:rPr>
              <w:t xml:space="preserve"> Es decir, lo resuelto en dich</w:t>
            </w:r>
            <w:r w:rsidR="00033C49">
              <w:rPr>
                <w:rFonts w:ascii="Verdana" w:eastAsia="Times New Roman" w:hAnsi="Verdana" w:cs="Arial"/>
                <w:bCs/>
                <w:lang w:val="es-MX" w:eastAsia="x-none"/>
              </w:rPr>
              <w:t xml:space="preserve">a sentencia </w:t>
            </w:r>
            <w:r>
              <w:rPr>
                <w:rFonts w:ascii="Verdana" w:eastAsia="Times New Roman" w:hAnsi="Verdana" w:cs="Arial"/>
                <w:bCs/>
                <w:lang w:val="es-MX" w:eastAsia="x-none"/>
              </w:rPr>
              <w:t xml:space="preserve">no contempló la prohibición de celebrar contratos interadministrativos de forma directa, que están sujetas a la restricción del artículo 33 de la Ley 996 de 2005. </w:t>
            </w:r>
            <w:r w:rsidRPr="004F1C0A">
              <w:rPr>
                <w:rFonts w:ascii="Verdana" w:eastAsia="Times New Roman" w:hAnsi="Verdana" w:cs="Arial"/>
                <w:bCs/>
                <w:lang w:val="es-MX" w:eastAsia="x-none"/>
              </w:rPr>
              <w:t xml:space="preserve">En este sentido, todos los entes del Estado, independiente del régimen jurídico aplicable, están sujetos a la restricción del artículo 33 de la Ley 996 de 2005, es decir, no podrán adelantar sistema que implique contratación directa respecto de </w:t>
            </w:r>
            <w:r w:rsidRPr="004F1C0A">
              <w:rPr>
                <w:rFonts w:ascii="Verdana" w:eastAsia="Times New Roman" w:hAnsi="Verdana" w:cs="Arial"/>
                <w:bCs/>
                <w:lang w:val="es-MX" w:eastAsia="x-none" w:bidi="es-ES"/>
              </w:rPr>
              <w:t>las elecciones presidenciales, dentro de los 4 meses an</w:t>
            </w:r>
            <w:r>
              <w:rPr>
                <w:rFonts w:ascii="Verdana" w:eastAsia="Times New Roman" w:hAnsi="Verdana" w:cs="Arial"/>
                <w:bCs/>
                <w:lang w:val="es-MX" w:eastAsia="x-none" w:bidi="es-ES"/>
              </w:rPr>
              <w:t>teriores a la celebración de dichos</w:t>
            </w:r>
            <w:r w:rsidRPr="004F1C0A">
              <w:rPr>
                <w:rFonts w:ascii="Verdana" w:eastAsia="Times New Roman" w:hAnsi="Verdana" w:cs="Arial"/>
                <w:bCs/>
                <w:lang w:val="es-MX" w:eastAsia="x-none" w:bidi="es-ES"/>
              </w:rPr>
              <w:t xml:space="preserve"> comicios. </w:t>
            </w:r>
          </w:p>
          <w:p w14:paraId="2DC4FAD4" w14:textId="11CF1BFD" w:rsidR="009B5304" w:rsidRDefault="009B5304">
            <w:pPr>
              <w:spacing w:after="120" w:line="276" w:lineRule="auto"/>
              <w:ind w:firstLine="709"/>
              <w:jc w:val="both"/>
              <w:rPr>
                <w:rFonts w:ascii="Verdana" w:eastAsia="Times New Roman" w:hAnsi="Verdana" w:cs="Arial"/>
                <w:bCs/>
                <w:lang w:val="es-MX" w:eastAsia="x-none"/>
              </w:rPr>
            </w:pPr>
            <w:r w:rsidRPr="004F1C0A">
              <w:rPr>
                <w:rFonts w:ascii="Verdana" w:eastAsia="Times New Roman" w:hAnsi="Verdana" w:cs="Arial"/>
                <w:bCs/>
                <w:lang w:val="es-MX" w:eastAsia="x-none"/>
              </w:rPr>
              <w:t xml:space="preserve">Esto sin perjuicio de las excepciones a la prohibición establecidas en el inciso segundo del mismo artículo 33, como son: i) la defensa y seguridad del Estado; </w:t>
            </w:r>
            <w:proofErr w:type="spellStart"/>
            <w:r w:rsidRPr="004F1C0A">
              <w:rPr>
                <w:rFonts w:ascii="Verdana" w:eastAsia="Times New Roman" w:hAnsi="Verdana" w:cs="Arial"/>
                <w:bCs/>
                <w:lang w:val="es-MX" w:eastAsia="x-none"/>
              </w:rPr>
              <w:t>ii</w:t>
            </w:r>
            <w:proofErr w:type="spellEnd"/>
            <w:r w:rsidRPr="004F1C0A">
              <w:rPr>
                <w:rFonts w:ascii="Verdana" w:eastAsia="Times New Roman" w:hAnsi="Verdana" w:cs="Arial"/>
                <w:bCs/>
                <w:lang w:val="es-MX" w:eastAsia="x-none"/>
              </w:rPr>
              <w:t xml:space="preserve">) los contratos de crédito público; </w:t>
            </w:r>
            <w:proofErr w:type="spellStart"/>
            <w:r w:rsidRPr="004F1C0A">
              <w:rPr>
                <w:rFonts w:ascii="Verdana" w:eastAsia="Times New Roman" w:hAnsi="Verdana" w:cs="Arial"/>
                <w:bCs/>
                <w:lang w:val="es-MX" w:eastAsia="x-none"/>
              </w:rPr>
              <w:t>iii</w:t>
            </w:r>
            <w:proofErr w:type="spellEnd"/>
            <w:r w:rsidRPr="004F1C0A">
              <w:rPr>
                <w:rFonts w:ascii="Verdana" w:eastAsia="Times New Roman" w:hAnsi="Verdana" w:cs="Arial"/>
                <w:bCs/>
                <w:lang w:val="es-MX" w:eastAsia="x-none"/>
              </w:rPr>
              <w:t xml:space="preserve">) los requeridos para cubrir las emergencias educativas, sanitarias y desastres; </w:t>
            </w:r>
            <w:proofErr w:type="spellStart"/>
            <w:r w:rsidRPr="004F1C0A">
              <w:rPr>
                <w:rFonts w:ascii="Verdana" w:eastAsia="Times New Roman" w:hAnsi="Verdana" w:cs="Arial"/>
                <w:bCs/>
                <w:lang w:val="es-MX" w:eastAsia="x-none"/>
              </w:rPr>
              <w:t>iv</w:t>
            </w:r>
            <w:proofErr w:type="spellEnd"/>
            <w:r w:rsidRPr="004F1C0A">
              <w:rPr>
                <w:rFonts w:ascii="Verdana" w:eastAsia="Times New Roman" w:hAnsi="Verdana" w:cs="Arial"/>
                <w:bCs/>
                <w:lang w:val="es-MX"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78D75F05" w14:textId="3281DED2" w:rsidR="009B5304" w:rsidRPr="000531AF" w:rsidRDefault="009B5304">
            <w:pPr>
              <w:spacing w:after="120" w:line="276" w:lineRule="auto"/>
              <w:ind w:firstLine="709"/>
              <w:jc w:val="both"/>
              <w:rPr>
                <w:rFonts w:ascii="Verdana" w:eastAsia="Times New Roman" w:hAnsi="Verdana" w:cs="Arial"/>
                <w:bCs/>
                <w:lang w:val="es-MX" w:eastAsia="x-none"/>
              </w:rPr>
            </w:pPr>
            <w:r w:rsidRPr="000531AF">
              <w:rPr>
                <w:rFonts w:ascii="Verdana" w:eastAsia="Times New Roman" w:hAnsi="Verdana" w:cs="Arial"/>
                <w:bCs/>
                <w:lang w:eastAsia="x-none"/>
              </w:rPr>
              <w:lastRenderedPageBreak/>
              <w:t>En consecuencia, antes del inicio del período de aplicación de la Ley de Garantías Electorales, esto es, hasta el 3</w:t>
            </w:r>
            <w:r w:rsidR="000C4FB2">
              <w:rPr>
                <w:rFonts w:ascii="Verdana" w:eastAsia="Times New Roman" w:hAnsi="Verdana" w:cs="Arial"/>
                <w:bCs/>
                <w:lang w:eastAsia="x-none"/>
              </w:rPr>
              <w:t>0</w:t>
            </w:r>
            <w:r w:rsidRPr="000531AF">
              <w:rPr>
                <w:rFonts w:ascii="Verdana" w:eastAsia="Times New Roman" w:hAnsi="Verdana" w:cs="Arial"/>
                <w:bCs/>
                <w:lang w:eastAsia="x-none"/>
              </w:rPr>
              <w:t xml:space="preserve"> de enero de 2026, los entes territoriales sí estaban jurídicamente habilitados para suscribir contratos interadministrativos, incluso bajo modalidades de contratación directa, sin perjuicio de las reglas generales de la contratación estatal.</w:t>
            </w:r>
            <w:r w:rsidR="002C5D63">
              <w:rPr>
                <w:rFonts w:ascii="Verdana" w:eastAsia="Times New Roman" w:hAnsi="Verdana" w:cs="Arial"/>
                <w:bCs/>
                <w:lang w:eastAsia="x-none"/>
              </w:rPr>
              <w:t xml:space="preserve"> No obstante, tras haber entrado en vi</w:t>
            </w:r>
            <w:r w:rsidR="00653630">
              <w:rPr>
                <w:rFonts w:ascii="Verdana" w:eastAsia="Times New Roman" w:hAnsi="Verdana" w:cs="Arial"/>
                <w:bCs/>
                <w:lang w:eastAsia="x-none"/>
              </w:rPr>
              <w:t>gor la restricción el pasado 31 de enero de 2026,</w:t>
            </w:r>
            <w:r w:rsidR="00035600">
              <w:rPr>
                <w:rFonts w:ascii="Verdana" w:eastAsia="Times New Roman" w:hAnsi="Verdana" w:cs="Arial"/>
                <w:bCs/>
                <w:lang w:eastAsia="x-none"/>
              </w:rPr>
              <w:t xml:space="preserve"> hasta que no se </w:t>
            </w:r>
            <w:r w:rsidR="003E1ECE">
              <w:rPr>
                <w:rFonts w:ascii="Verdana" w:eastAsia="Times New Roman" w:hAnsi="Verdana" w:cs="Arial"/>
                <w:bCs/>
                <w:lang w:eastAsia="x-none"/>
              </w:rPr>
              <w:t xml:space="preserve">desarrollen los </w:t>
            </w:r>
            <w:r w:rsidR="00BD7B57">
              <w:rPr>
                <w:rFonts w:ascii="Verdana" w:eastAsia="Times New Roman" w:hAnsi="Verdana" w:cs="Arial"/>
                <w:bCs/>
                <w:lang w:eastAsia="x-none"/>
              </w:rPr>
              <w:t>comicios</w:t>
            </w:r>
            <w:r w:rsidR="003E1ECE">
              <w:rPr>
                <w:rFonts w:ascii="Verdana" w:eastAsia="Times New Roman" w:hAnsi="Verdana" w:cs="Arial"/>
                <w:bCs/>
                <w:lang w:eastAsia="x-none"/>
              </w:rPr>
              <w:t xml:space="preserve"> para</w:t>
            </w:r>
            <w:r w:rsidR="00874100">
              <w:rPr>
                <w:rFonts w:ascii="Verdana" w:eastAsia="Times New Roman" w:hAnsi="Verdana" w:cs="Arial"/>
                <w:bCs/>
                <w:lang w:eastAsia="x-none"/>
              </w:rPr>
              <w:t xml:space="preserve"> escoger</w:t>
            </w:r>
            <w:r w:rsidR="003E1ECE">
              <w:rPr>
                <w:rFonts w:ascii="Verdana" w:eastAsia="Times New Roman" w:hAnsi="Verdana" w:cs="Arial"/>
                <w:bCs/>
                <w:lang w:eastAsia="x-none"/>
              </w:rPr>
              <w:t xml:space="preserve"> </w:t>
            </w:r>
            <w:r w:rsidR="00D022E4">
              <w:rPr>
                <w:rFonts w:ascii="Verdana" w:eastAsia="Times New Roman" w:hAnsi="Verdana" w:cs="Arial"/>
                <w:bCs/>
                <w:lang w:eastAsia="x-none"/>
              </w:rPr>
              <w:t>presidente</w:t>
            </w:r>
            <w:r w:rsidR="003E1ECE">
              <w:rPr>
                <w:rFonts w:ascii="Verdana" w:eastAsia="Times New Roman" w:hAnsi="Verdana" w:cs="Arial"/>
                <w:bCs/>
                <w:lang w:eastAsia="x-none"/>
              </w:rPr>
              <w:t xml:space="preserve"> de la Re</w:t>
            </w:r>
            <w:r w:rsidR="00874100">
              <w:rPr>
                <w:rFonts w:ascii="Verdana" w:eastAsia="Times New Roman" w:hAnsi="Verdana" w:cs="Arial"/>
                <w:bCs/>
                <w:lang w:eastAsia="x-none"/>
              </w:rPr>
              <w:t>pública,</w:t>
            </w:r>
            <w:r w:rsidR="00653630">
              <w:rPr>
                <w:rFonts w:ascii="Verdana" w:eastAsia="Times New Roman" w:hAnsi="Verdana" w:cs="Arial"/>
                <w:bCs/>
                <w:lang w:eastAsia="x-none"/>
              </w:rPr>
              <w:t xml:space="preserve"> las entidades estatales solo tienen la posibilidad de suscribir contratos inte</w:t>
            </w:r>
            <w:r w:rsidR="006C508A">
              <w:rPr>
                <w:rFonts w:ascii="Verdana" w:eastAsia="Times New Roman" w:hAnsi="Verdana" w:cs="Arial"/>
                <w:bCs/>
                <w:lang w:eastAsia="x-none"/>
              </w:rPr>
              <w:t xml:space="preserve">radministrativos: i) previo desarrollo de proceso competitivo; o </w:t>
            </w:r>
            <w:proofErr w:type="spellStart"/>
            <w:r w:rsidR="006C508A">
              <w:rPr>
                <w:rFonts w:ascii="Verdana" w:eastAsia="Times New Roman" w:hAnsi="Verdana" w:cs="Arial"/>
                <w:bCs/>
                <w:lang w:eastAsia="x-none"/>
              </w:rPr>
              <w:t>ii</w:t>
            </w:r>
            <w:proofErr w:type="spellEnd"/>
            <w:r w:rsidR="006C508A">
              <w:rPr>
                <w:rFonts w:ascii="Verdana" w:eastAsia="Times New Roman" w:hAnsi="Verdana" w:cs="Arial"/>
                <w:bCs/>
                <w:lang w:eastAsia="x-none"/>
              </w:rPr>
              <w:t>)</w:t>
            </w:r>
            <w:r w:rsidR="007807D6">
              <w:rPr>
                <w:rFonts w:ascii="Verdana" w:eastAsia="Times New Roman" w:hAnsi="Verdana" w:cs="Arial"/>
                <w:bCs/>
                <w:lang w:eastAsia="x-none"/>
              </w:rPr>
              <w:t xml:space="preserve"> </w:t>
            </w:r>
            <w:r w:rsidR="006C508A">
              <w:rPr>
                <w:rFonts w:ascii="Verdana" w:eastAsia="Times New Roman" w:hAnsi="Verdana" w:cs="Arial"/>
                <w:bCs/>
                <w:lang w:eastAsia="x-none"/>
              </w:rPr>
              <w:t xml:space="preserve">excepcionalmente, de manera directa, cuanto se configure alguno de las </w:t>
            </w:r>
            <w:r w:rsidR="00C87E6D">
              <w:rPr>
                <w:rFonts w:ascii="Verdana" w:eastAsia="Times New Roman" w:hAnsi="Verdana" w:cs="Arial"/>
                <w:bCs/>
                <w:lang w:eastAsia="x-none"/>
              </w:rPr>
              <w:t>excepciones contempladas en el inciso segundo de</w:t>
            </w:r>
            <w:r w:rsidR="003271CE">
              <w:rPr>
                <w:rFonts w:ascii="Verdana" w:eastAsia="Times New Roman" w:hAnsi="Verdana" w:cs="Arial"/>
                <w:bCs/>
                <w:lang w:eastAsia="x-none"/>
              </w:rPr>
              <w:t>l artículo 33 de</w:t>
            </w:r>
            <w:r w:rsidR="00C87E6D">
              <w:rPr>
                <w:rFonts w:ascii="Verdana" w:eastAsia="Times New Roman" w:hAnsi="Verdana" w:cs="Arial"/>
                <w:bCs/>
                <w:lang w:eastAsia="x-none"/>
              </w:rPr>
              <w:t xml:space="preserve"> la Ley 996 de 2005. </w:t>
            </w:r>
          </w:p>
        </w:tc>
      </w:tr>
    </w:tbl>
    <w:p w14:paraId="3A3C65D9" w14:textId="77777777" w:rsidR="009B5304" w:rsidRPr="00255700" w:rsidRDefault="009B5304" w:rsidP="009B5304">
      <w:pPr>
        <w:tabs>
          <w:tab w:val="left" w:pos="142"/>
          <w:tab w:val="left" w:pos="284"/>
        </w:tabs>
        <w:spacing w:after="0" w:line="276" w:lineRule="auto"/>
        <w:jc w:val="both"/>
        <w:rPr>
          <w:rFonts w:ascii="Verdana" w:eastAsia="Century Gothic" w:hAnsi="Verdana" w:cs="Century Gothic"/>
          <w:b/>
          <w:bCs/>
          <w:color w:val="000000" w:themeColor="text1"/>
        </w:rPr>
      </w:pPr>
    </w:p>
    <w:p w14:paraId="3A1BF7B2" w14:textId="77777777" w:rsidR="009B5304" w:rsidRPr="00255700" w:rsidRDefault="009B5304" w:rsidP="009B5304">
      <w:pPr>
        <w:tabs>
          <w:tab w:val="left" w:pos="142"/>
          <w:tab w:val="left" w:pos="284"/>
        </w:tabs>
        <w:spacing w:after="0" w:line="276" w:lineRule="auto"/>
        <w:jc w:val="both"/>
        <w:rPr>
          <w:rFonts w:ascii="Verdana" w:eastAsia="Century Gothic" w:hAnsi="Verdana" w:cs="Century Gothic"/>
          <w:b/>
          <w:bCs/>
          <w:color w:val="000000" w:themeColor="text1"/>
        </w:rPr>
      </w:pPr>
      <w:r w:rsidRPr="00255700">
        <w:rPr>
          <w:rFonts w:ascii="Verdana" w:eastAsia="Century Gothic" w:hAnsi="Verdana" w:cs="Century Gothic"/>
          <w:b/>
          <w:bCs/>
          <w:color w:val="000000" w:themeColor="text1"/>
        </w:rPr>
        <w:t>3. Razones de la respuesta:</w:t>
      </w:r>
    </w:p>
    <w:p w14:paraId="5DFA348A" w14:textId="77777777" w:rsidR="009B5304" w:rsidRPr="00255700" w:rsidRDefault="009B5304" w:rsidP="009B5304">
      <w:pPr>
        <w:spacing w:after="0" w:line="276" w:lineRule="auto"/>
        <w:jc w:val="both"/>
        <w:rPr>
          <w:rFonts w:ascii="Verdana" w:eastAsia="Calibri" w:hAnsi="Verdana" w:cs="Arial"/>
          <w:color w:val="000000" w:themeColor="text1"/>
          <w:lang w:val="es-ES"/>
        </w:rPr>
      </w:pPr>
      <w:bookmarkStart w:id="4" w:name="_Hlk204854194"/>
    </w:p>
    <w:p w14:paraId="62BE79E8" w14:textId="77777777" w:rsidR="009B5304" w:rsidRPr="00255700" w:rsidRDefault="009B5304" w:rsidP="009B5304">
      <w:pPr>
        <w:spacing w:after="0" w:line="276" w:lineRule="auto"/>
        <w:jc w:val="both"/>
        <w:rPr>
          <w:rFonts w:ascii="Verdana" w:eastAsia="Calibri" w:hAnsi="Verdana" w:cs="Arial"/>
          <w:color w:val="000000" w:themeColor="text1"/>
          <w:lang w:val="es-ES"/>
        </w:rPr>
      </w:pPr>
      <w:r w:rsidRPr="00255700">
        <w:rPr>
          <w:rFonts w:ascii="Verdana" w:eastAsia="Calibri" w:hAnsi="Verdana" w:cs="Arial"/>
          <w:color w:val="000000" w:themeColor="text1"/>
          <w:lang w:val="es-ES"/>
        </w:rPr>
        <w:t xml:space="preserve">Lo anterior se sustenta en las siguientes consideraciones: </w:t>
      </w:r>
    </w:p>
    <w:p w14:paraId="4057A913" w14:textId="77777777" w:rsidR="009B5304" w:rsidRPr="00FE167C" w:rsidRDefault="009B5304" w:rsidP="009B5304">
      <w:pPr>
        <w:spacing w:after="0" w:line="276" w:lineRule="auto"/>
        <w:jc w:val="both"/>
        <w:rPr>
          <w:rFonts w:ascii="Verdana" w:eastAsia="Calibri" w:hAnsi="Verdana" w:cs="Arial"/>
          <w:color w:val="00BCD8"/>
          <w:lang w:val="es-ES"/>
        </w:rPr>
      </w:pPr>
    </w:p>
    <w:p w14:paraId="7DFE180A" w14:textId="77777777" w:rsidR="009B5304" w:rsidRPr="002D6B43" w:rsidRDefault="009B5304" w:rsidP="009B5304">
      <w:pPr>
        <w:tabs>
          <w:tab w:val="left" w:pos="426"/>
        </w:tabs>
        <w:spacing w:after="120" w:line="276" w:lineRule="auto"/>
        <w:jc w:val="both"/>
        <w:rPr>
          <w:rFonts w:ascii="Verdana" w:eastAsia="Times New Roman" w:hAnsi="Verdana" w:cs="Arial"/>
          <w:lang w:eastAsia="es-CO"/>
        </w:rPr>
      </w:pPr>
      <w:r w:rsidRPr="002D6B43">
        <w:rPr>
          <w:rFonts w:ascii="Verdana" w:eastAsia="Calibri" w:hAnsi="Verdana" w:cs="Arial"/>
        </w:rPr>
        <w:t>i. El ordenamiento jurídico colombiano contempla previsiones claras para evitar la obtención de beneficios personales en asuntos propios de la administración pública</w:t>
      </w:r>
      <w:r w:rsidRPr="002D6B43">
        <w:rPr>
          <w:rFonts w:ascii="Verdana" w:eastAsia="Calibri" w:hAnsi="Verdana" w:cs="Arial"/>
          <w:i/>
        </w:rPr>
        <w:t xml:space="preserve">. </w:t>
      </w:r>
      <w:r w:rsidRPr="002D6B43">
        <w:rPr>
          <w:rFonts w:ascii="Verdana" w:eastAsia="Calibri" w:hAnsi="Verdana" w:cs="Arial"/>
        </w:rPr>
        <w:t>Por ejemplo, el artículo 127 de la Constitución Política establece una prohibición contractual a los servidores públicos y, en cuanto a aspectos políticos, establece restricciones a ciertos empleados del Estado, incluso en época no electoral</w:t>
      </w:r>
      <w:r w:rsidRPr="001924B7">
        <w:rPr>
          <w:rFonts w:ascii="Verdana" w:hAnsi="Verdana"/>
          <w:vertAlign w:val="superscript"/>
        </w:rPr>
        <w:footnoteReference w:id="1"/>
      </w:r>
      <w:r w:rsidRPr="002D6B43">
        <w:rPr>
          <w:rFonts w:ascii="Verdana" w:eastAsia="Calibri" w:hAnsi="Verdana" w:cs="Arial"/>
        </w:rPr>
        <w:t xml:space="preserve">. </w:t>
      </w:r>
    </w:p>
    <w:p w14:paraId="17ED252E" w14:textId="77777777" w:rsidR="009B5304" w:rsidRPr="006B14B5" w:rsidRDefault="009B5304" w:rsidP="009B5304">
      <w:pPr>
        <w:tabs>
          <w:tab w:val="left" w:pos="426"/>
        </w:tabs>
        <w:spacing w:after="0" w:line="276" w:lineRule="auto"/>
        <w:ind w:firstLine="709"/>
        <w:jc w:val="both"/>
        <w:rPr>
          <w:rFonts w:ascii="Verdana" w:eastAsia="Calibri" w:hAnsi="Verdana" w:cs="Arial"/>
          <w:lang w:val="es-ES_tradnl"/>
        </w:rPr>
      </w:pPr>
      <w:r w:rsidRPr="00E2397D">
        <w:rPr>
          <w:rFonts w:ascii="Verdana" w:eastAsia="Times New Roman" w:hAnsi="Verdana" w:cs="Arial"/>
          <w:lang w:eastAsia="es-CO"/>
        </w:rPr>
        <w:t>En el mismo sentido</w:t>
      </w:r>
      <w:r w:rsidRPr="00E2397D">
        <w:rPr>
          <w:rFonts w:ascii="Verdana" w:eastAsia="Times New Roman" w:hAnsi="Verdana" w:cs="Arial"/>
          <w:lang w:val="es-MX" w:eastAsia="es-CO"/>
        </w:rPr>
        <w:t xml:space="preserve">, </w:t>
      </w:r>
      <w:bookmarkStart w:id="5" w:name="_Hlk99576829"/>
      <w:r w:rsidRPr="00E2397D">
        <w:rPr>
          <w:rFonts w:ascii="Verdana" w:eastAsia="Times New Roman" w:hAnsi="Verdana" w:cs="Arial"/>
          <w:lang w:val="es-MX" w:eastAsia="es-CO"/>
        </w:rPr>
        <w:t xml:space="preserve">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w:t>
      </w:r>
      <w:r w:rsidRPr="00E2397D">
        <w:rPr>
          <w:rFonts w:ascii="Verdana" w:eastAsia="Times New Roman" w:hAnsi="Verdana" w:cs="Arial"/>
          <w:lang w:val="es-MX" w:eastAsia="es-CO"/>
        </w:rPr>
        <w:lastRenderedPageBreak/>
        <w:t>del Estado en las campañas o falta de garantías en la elección presidencial</w:t>
      </w:r>
      <w:r w:rsidRPr="00E2397D">
        <w:rPr>
          <w:rFonts w:ascii="Verdana" w:eastAsia="Times New Roman" w:hAnsi="Verdana" w:cs="Arial"/>
          <w:vertAlign w:val="superscript"/>
          <w:lang w:val="es-MX" w:eastAsia="es-CO"/>
        </w:rPr>
        <w:footnoteReference w:id="2"/>
      </w:r>
      <w:r w:rsidRPr="00E2397D">
        <w:rPr>
          <w:rFonts w:ascii="Verdana" w:eastAsia="Times New Roman" w:hAnsi="Verdana" w:cs="Arial"/>
          <w:lang w:val="es-MX" w:eastAsia="es-CO"/>
        </w:rPr>
        <w:t>. En esta medida, introduce limitaciones para realizar nombramientos, postulaciones, contrataciones o cualquier otro tipo de actividad que implique destinación de recursos públicos bajo el devenir propio de las Entidades Estatales.</w:t>
      </w:r>
      <w:r w:rsidRPr="00E2397D">
        <w:rPr>
          <w:rFonts w:ascii="Verdana" w:eastAsia="Calibri" w:hAnsi="Verdana" w:cs="Arial"/>
          <w:lang w:val="es-ES_tradnl"/>
        </w:rPr>
        <w:t xml:space="preserve"> </w:t>
      </w:r>
      <w:bookmarkEnd w:id="5"/>
      <w:r w:rsidRPr="00E2397D">
        <w:rPr>
          <w:rFonts w:ascii="Verdana" w:eastAsia="Times New Roman" w:hAnsi="Verdana" w:cs="Arial"/>
          <w:lang w:val="es-MX" w:eastAsia="es-CO"/>
        </w:rPr>
        <w:t>En armonía con lo anterior, la Corte Constitucional ha abordado la definición de la Ley de Garantías Electorales. De esta manera, explica que tiene como propósito:</w:t>
      </w:r>
    </w:p>
    <w:p w14:paraId="7FB81EC3" w14:textId="77777777" w:rsidR="009B5304" w:rsidRPr="00E2397D" w:rsidRDefault="009B5304" w:rsidP="009B5304">
      <w:pPr>
        <w:spacing w:after="0" w:line="276" w:lineRule="auto"/>
        <w:ind w:right="709"/>
        <w:contextualSpacing/>
        <w:jc w:val="both"/>
        <w:rPr>
          <w:rFonts w:ascii="Verdana" w:eastAsia="Times New Roman" w:hAnsi="Verdana" w:cs="Arial"/>
          <w:lang w:val="es-ES" w:eastAsia="es-CO"/>
        </w:rPr>
      </w:pPr>
    </w:p>
    <w:p w14:paraId="558122DD" w14:textId="77777777" w:rsidR="009B5304" w:rsidRPr="00E2397D" w:rsidRDefault="009B5304" w:rsidP="009B5304">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ES" w:eastAsia="es-CO"/>
        </w:rPr>
        <w:t xml:space="preserve">“[…] </w:t>
      </w:r>
      <w:r w:rsidRPr="00E2397D">
        <w:rPr>
          <w:rFonts w:ascii="Verdana" w:eastAsia="Times New Roman" w:hAnsi="Verdana" w:cs="Arial"/>
          <w:sz w:val="20"/>
          <w:szCs w:val="20"/>
          <w:lang w:val="es-MX" w:eastAsia="es-CO"/>
        </w:rPr>
        <w:t>la definición de reglas claras que permitan acceder a los canales de expresión democrática de manera efectiva e igualitaria. El objetivo de una ley de garantías es definir esas reglas.</w:t>
      </w:r>
    </w:p>
    <w:p w14:paraId="56235439" w14:textId="77777777" w:rsidR="009B5304" w:rsidRDefault="009B5304" w:rsidP="009B5304">
      <w:pPr>
        <w:spacing w:after="0" w:line="240" w:lineRule="auto"/>
        <w:ind w:left="709" w:right="709"/>
        <w:contextualSpacing/>
        <w:jc w:val="both"/>
        <w:rPr>
          <w:rFonts w:ascii="Verdana" w:eastAsia="Times New Roman" w:hAnsi="Verdana" w:cs="Arial"/>
          <w:sz w:val="20"/>
          <w:szCs w:val="20"/>
          <w:lang w:val="es-MX" w:eastAsia="es-CO"/>
        </w:rPr>
      </w:pPr>
      <w:r>
        <w:rPr>
          <w:rFonts w:ascii="Verdana" w:eastAsia="Times New Roman" w:hAnsi="Verdana" w:cs="Arial"/>
          <w:sz w:val="20"/>
          <w:szCs w:val="20"/>
          <w:lang w:val="es-MX" w:eastAsia="es-CO"/>
        </w:rPr>
        <w:t xml:space="preserve">[…] </w:t>
      </w:r>
    </w:p>
    <w:p w14:paraId="2462E3AD" w14:textId="77777777" w:rsidR="009B5304" w:rsidRPr="000B35C5" w:rsidRDefault="009B5304" w:rsidP="009B5304">
      <w:pPr>
        <w:spacing w:after="0" w:line="240" w:lineRule="auto"/>
        <w:ind w:left="709" w:right="709"/>
        <w:contextualSpacing/>
        <w:jc w:val="both"/>
        <w:rPr>
          <w:rFonts w:ascii="Verdana" w:eastAsia="Times New Roman" w:hAnsi="Verdana" w:cs="Arial"/>
          <w:sz w:val="12"/>
          <w:szCs w:val="12"/>
          <w:lang w:val="es-MX" w:eastAsia="es-CO"/>
        </w:rPr>
      </w:pPr>
    </w:p>
    <w:p w14:paraId="00C53CF1" w14:textId="77777777" w:rsidR="009B5304" w:rsidRPr="00E2397D" w:rsidRDefault="009B5304" w:rsidP="009B5304">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E2397D">
        <w:rPr>
          <w:rFonts w:ascii="Verdana" w:eastAsia="Calibri" w:hAnsi="Verdana" w:cs="Arial"/>
          <w:sz w:val="20"/>
          <w:szCs w:val="20"/>
          <w:vertAlign w:val="superscript"/>
          <w:lang w:val="es-MX"/>
        </w:rPr>
        <w:footnoteReference w:id="3"/>
      </w:r>
    </w:p>
    <w:p w14:paraId="29BF9BE7" w14:textId="77777777" w:rsidR="009B5304" w:rsidRPr="00E2397D" w:rsidRDefault="009B5304" w:rsidP="009B5304">
      <w:pPr>
        <w:spacing w:after="0" w:line="276" w:lineRule="auto"/>
        <w:ind w:firstLine="709"/>
        <w:jc w:val="both"/>
        <w:rPr>
          <w:rFonts w:ascii="Verdana" w:eastAsia="Times New Roman" w:hAnsi="Verdana" w:cs="Arial"/>
          <w:lang w:val="es-MX" w:eastAsia="es-CO"/>
        </w:rPr>
      </w:pPr>
      <w:bookmarkStart w:id="6" w:name="_Hlk78818186"/>
    </w:p>
    <w:p w14:paraId="36CCC928" w14:textId="77777777" w:rsidR="009B5304" w:rsidRPr="00E2397D" w:rsidRDefault="009B5304" w:rsidP="009B5304">
      <w:pPr>
        <w:spacing w:after="0" w:line="276" w:lineRule="auto"/>
        <w:ind w:firstLine="709"/>
        <w:jc w:val="both"/>
        <w:rPr>
          <w:rFonts w:ascii="Verdana" w:eastAsia="Times New Roman" w:hAnsi="Verdana" w:cs="Arial"/>
          <w:lang w:val="es-MX" w:eastAsia="es-CO"/>
        </w:rPr>
      </w:pPr>
      <w:r w:rsidRPr="00E2397D">
        <w:rPr>
          <w:rFonts w:ascii="Verdana" w:eastAsia="Times New Roman" w:hAnsi="Verdana" w:cs="Arial"/>
          <w:lang w:val="es-MX" w:eastAsia="es-CO"/>
        </w:rPr>
        <w:t>En este contexto, la Ley de Garantías Electorales establece el marco jurídico para el desarrollo de las elecciones, procurando condiciones de igualdad y transparencia para los aspirantes. Paralelamente,</w:t>
      </w:r>
      <w:r>
        <w:rPr>
          <w:rFonts w:ascii="Verdana" w:eastAsia="Times New Roman" w:hAnsi="Verdana" w:cs="Arial"/>
          <w:lang w:val="es-MX" w:eastAsia="es-CO"/>
        </w:rPr>
        <w:t xml:space="preserve"> se incluyen restricciones en las actuaciones</w:t>
      </w:r>
      <w:r w:rsidRPr="00E2397D">
        <w:rPr>
          <w:rFonts w:ascii="Verdana" w:eastAsia="Times New Roman" w:hAnsi="Verdana" w:cs="Arial"/>
          <w:lang w:val="es-MX" w:eastAsia="es-CO"/>
        </w:rPr>
        <w:t xml:space="preserve"> de los servidores públicos, evitando interferencias en la contienda electoral, así como la posible desviación de recursos públicos en aspiraciones electorales. </w:t>
      </w:r>
      <w:bookmarkEnd w:id="6"/>
      <w:r w:rsidRPr="00E2397D">
        <w:rPr>
          <w:rFonts w:ascii="Verdana" w:eastAsia="Times New Roman" w:hAnsi="Verdana" w:cs="Arial"/>
          <w:lang w:val="es-MX" w:eastAsia="es-CO"/>
        </w:rPr>
        <w:t>Por ello, varias de las disposiciones de la Ley 996 de 2005, al contener normas prohibitivas, no admiten una interpretación amplia, sino que deben interpretarse restrictivamente. En efecto, la Sala de Consulta y Servicio Civil del Consejo de Estado, pre</w:t>
      </w:r>
      <w:r>
        <w:rPr>
          <w:rFonts w:ascii="Verdana" w:eastAsia="Times New Roman" w:hAnsi="Verdana" w:cs="Arial"/>
          <w:lang w:val="es-MX" w:eastAsia="es-CO"/>
        </w:rPr>
        <w:t>cisó</w:t>
      </w:r>
      <w:r w:rsidRPr="00E2397D">
        <w:rPr>
          <w:rFonts w:ascii="Verdana" w:eastAsia="Times New Roman" w:hAnsi="Verdana" w:cs="Arial"/>
          <w:lang w:val="es-MX" w:eastAsia="es-CO"/>
        </w:rPr>
        <w:t>:</w:t>
      </w:r>
    </w:p>
    <w:p w14:paraId="694DD982" w14:textId="77777777" w:rsidR="009B5304" w:rsidRPr="00886C02" w:rsidRDefault="009B5304" w:rsidP="009B5304">
      <w:pPr>
        <w:spacing w:after="0" w:line="276" w:lineRule="auto"/>
        <w:ind w:firstLine="709"/>
        <w:jc w:val="both"/>
        <w:rPr>
          <w:rFonts w:ascii="Verdana" w:eastAsia="Times New Roman" w:hAnsi="Verdana" w:cs="Arial"/>
          <w:lang w:val="es-MX" w:eastAsia="es-CO"/>
        </w:rPr>
      </w:pPr>
    </w:p>
    <w:p w14:paraId="6A9E4DCE" w14:textId="77777777" w:rsidR="009B5304" w:rsidRPr="00E2397D" w:rsidRDefault="009B5304" w:rsidP="009B5304">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E2397D">
        <w:rPr>
          <w:rFonts w:ascii="Verdana" w:eastAsia="Times New Roman" w:hAnsi="Verdana" w:cs="Arial"/>
          <w:sz w:val="20"/>
          <w:szCs w:val="20"/>
          <w:lang w:val="es-MX" w:eastAsia="es-CO"/>
        </w:rPr>
        <w:t>legis</w:t>
      </w:r>
      <w:proofErr w:type="spellEnd"/>
      <w:r w:rsidRPr="00E2397D">
        <w:rPr>
          <w:rFonts w:ascii="Verdana" w:eastAsia="Times New Roman" w:hAnsi="Verdana" w:cs="Arial"/>
          <w:sz w:val="20"/>
          <w:szCs w:val="20"/>
          <w:lang w:val="es-MX" w:eastAsia="es-CO"/>
        </w:rPr>
        <w:t xml:space="preserve"> o iuris y la interpretación extensiva. Las normas legales de contenido prohibitivo hacen parte de un conjunto de disposiciones que integran un </w:t>
      </w:r>
      <w:r w:rsidRPr="00E2397D">
        <w:rPr>
          <w:rFonts w:ascii="Verdana" w:eastAsia="Times New Roman" w:hAnsi="Verdana" w:cs="Arial"/>
          <w:sz w:val="20"/>
          <w:szCs w:val="20"/>
          <w:lang w:val="es-MX" w:eastAsia="es-CO"/>
        </w:rPr>
        <w:lastRenderedPageBreak/>
        <w:t>régimen jurídico imperativo y de orden público, razón por la cual no son disponibles ni pueden ser derogadas, modificadas, ampliadas o adicionadas por acuerdo o convenio o acto unilateral.</w:t>
      </w:r>
    </w:p>
    <w:p w14:paraId="561BC228" w14:textId="77777777" w:rsidR="009B5304" w:rsidRPr="000B35C5" w:rsidRDefault="009B5304" w:rsidP="009B5304">
      <w:pPr>
        <w:spacing w:after="0" w:line="240" w:lineRule="auto"/>
        <w:ind w:right="709"/>
        <w:contextualSpacing/>
        <w:jc w:val="both"/>
        <w:rPr>
          <w:rFonts w:ascii="Verdana" w:eastAsia="Times New Roman" w:hAnsi="Verdana" w:cs="Arial"/>
          <w:sz w:val="12"/>
          <w:szCs w:val="12"/>
          <w:lang w:val="es-MX" w:eastAsia="es-CO"/>
        </w:rPr>
      </w:pPr>
    </w:p>
    <w:p w14:paraId="01F46F12" w14:textId="77777777" w:rsidR="009B5304" w:rsidRPr="00E2397D" w:rsidRDefault="009B5304" w:rsidP="009B5304">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La jurisprudencia de la Corte Constitucional</w:t>
      </w:r>
      <w:r w:rsidRPr="00E2397D">
        <w:rPr>
          <w:rFonts w:ascii="Verdana" w:eastAsia="Times New Roman" w:hAnsi="Verdana" w:cs="Arial"/>
          <w:sz w:val="20"/>
          <w:szCs w:val="20"/>
          <w:vertAlign w:val="superscript"/>
          <w:lang w:val="es-MX" w:eastAsia="es-CO"/>
        </w:rPr>
        <w:footnoteReference w:id="4"/>
      </w:r>
      <w:r w:rsidRPr="00E2397D">
        <w:rPr>
          <w:rFonts w:ascii="Verdana" w:eastAsia="Times New Roman" w:hAnsi="Verdana" w:cs="Arial"/>
          <w:sz w:val="20"/>
          <w:szCs w:val="20"/>
          <w:lang w:val="es-MX" w:eastAsia="es-CO"/>
        </w:rPr>
        <w:t> y del Consejo de Estado</w:t>
      </w:r>
      <w:r w:rsidRPr="00E2397D">
        <w:rPr>
          <w:rFonts w:ascii="Verdana" w:eastAsia="Times New Roman" w:hAnsi="Verdana" w:cs="Arial"/>
          <w:sz w:val="20"/>
          <w:szCs w:val="20"/>
          <w:vertAlign w:val="superscript"/>
          <w:lang w:val="es-MX" w:eastAsia="es-CO"/>
        </w:rPr>
        <w:footnoteReference w:id="5"/>
      </w:r>
      <w:r w:rsidRPr="00E2397D">
        <w:rPr>
          <w:rFonts w:ascii="Verdana" w:eastAsia="Times New Roman" w:hAnsi="Verdana" w:cs="Arial"/>
          <w:sz w:val="20"/>
          <w:szCs w:val="20"/>
          <w:lang w:val="es-MX"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E2397D">
        <w:rPr>
          <w:rFonts w:ascii="Verdana" w:eastAsia="Times New Roman" w:hAnsi="Verdana" w:cs="Arial"/>
          <w:sz w:val="20"/>
          <w:szCs w:val="20"/>
          <w:vertAlign w:val="superscript"/>
          <w:lang w:val="es-MX" w:eastAsia="es-CO"/>
        </w:rPr>
        <w:footnoteReference w:id="6"/>
      </w:r>
      <w:r w:rsidRPr="00E2397D">
        <w:rPr>
          <w:rFonts w:ascii="Verdana" w:eastAsia="Times New Roman" w:hAnsi="Verdana" w:cs="Arial"/>
          <w:sz w:val="20"/>
          <w:szCs w:val="20"/>
          <w:lang w:val="es-MX" w:eastAsia="es-CO"/>
        </w:rPr>
        <w:t>.</w:t>
      </w:r>
    </w:p>
    <w:p w14:paraId="1955C6A8" w14:textId="77777777" w:rsidR="009B5304" w:rsidRPr="00E2397D" w:rsidRDefault="009B5304" w:rsidP="009B5304">
      <w:pPr>
        <w:spacing w:after="0" w:line="276" w:lineRule="auto"/>
        <w:jc w:val="both"/>
        <w:rPr>
          <w:rFonts w:ascii="Verdana" w:eastAsia="Calibri" w:hAnsi="Verdana" w:cs="Arial"/>
          <w:bCs/>
          <w:lang w:val="es-ES_tradnl"/>
        </w:rPr>
      </w:pPr>
    </w:p>
    <w:p w14:paraId="0AB2C898" w14:textId="77777777" w:rsidR="009B5304" w:rsidRDefault="009B5304" w:rsidP="009B5304">
      <w:pPr>
        <w:spacing w:after="0" w:line="276" w:lineRule="auto"/>
        <w:ind w:firstLine="709"/>
        <w:jc w:val="both"/>
        <w:rPr>
          <w:rFonts w:ascii="Verdana" w:eastAsia="Arial" w:hAnsi="Verdana" w:cs="Arial"/>
          <w:lang w:val="es-ES" w:eastAsia="es-ES" w:bidi="es-ES"/>
        </w:rPr>
      </w:pPr>
      <w:r w:rsidRPr="00E2397D">
        <w:rPr>
          <w:rFonts w:ascii="Verdana" w:eastAsia="Times New Roman" w:hAnsi="Verdana" w:cs="Arial"/>
          <w:lang w:val="es-MX" w:eastAsia="es-CO"/>
        </w:rPr>
        <w:t>De</w:t>
      </w:r>
      <w:r w:rsidRPr="00E2397D">
        <w:rPr>
          <w:rFonts w:ascii="Verdana" w:eastAsia="Arial" w:hAnsi="Verdana" w:cs="Arial"/>
          <w:lang w:val="es-ES" w:eastAsia="es-ES" w:bidi="es-ES"/>
        </w:rPr>
        <w:t xml:space="preserve"> conformidad con lo anterior, la L</w:t>
      </w:r>
      <w:r>
        <w:rPr>
          <w:rFonts w:ascii="Verdana" w:eastAsia="Arial" w:hAnsi="Verdana" w:cs="Arial"/>
          <w:lang w:val="es-ES" w:eastAsia="es-ES" w:bidi="es-ES"/>
        </w:rPr>
        <w:t>ey de Garantías Electorales estableció</w:t>
      </w:r>
      <w:r w:rsidRPr="00E2397D">
        <w:rPr>
          <w:rFonts w:ascii="Verdana" w:eastAsia="Arial" w:hAnsi="Verdana" w:cs="Arial"/>
          <w:lang w:val="es-ES" w:eastAsia="es-ES" w:bidi="es-ES"/>
        </w:rPr>
        <w:t xml:space="preserve">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w:t>
      </w:r>
    </w:p>
    <w:p w14:paraId="07C6241F" w14:textId="77777777" w:rsidR="009B5304" w:rsidRDefault="009B5304" w:rsidP="009B5304">
      <w:pPr>
        <w:spacing w:after="0" w:line="276" w:lineRule="auto"/>
        <w:ind w:firstLine="709"/>
        <w:jc w:val="both"/>
        <w:rPr>
          <w:rFonts w:ascii="Verdana" w:eastAsia="Arial" w:hAnsi="Verdana" w:cs="Arial"/>
          <w:lang w:val="es-ES" w:eastAsia="es-ES" w:bidi="es-ES"/>
        </w:rPr>
      </w:pPr>
    </w:p>
    <w:p w14:paraId="576475E1" w14:textId="77777777" w:rsidR="009B5304" w:rsidRPr="00E2397D" w:rsidRDefault="009B5304" w:rsidP="009B5304">
      <w:pPr>
        <w:spacing w:after="120" w:line="276" w:lineRule="auto"/>
        <w:jc w:val="both"/>
        <w:rPr>
          <w:rFonts w:ascii="Verdana" w:eastAsia="Arial" w:hAnsi="Verdana" w:cs="Arial"/>
          <w:lang w:val="es-ES" w:eastAsia="es-ES" w:bidi="es-ES"/>
        </w:rPr>
      </w:pPr>
      <w:proofErr w:type="spellStart"/>
      <w:r w:rsidRPr="00E2397D">
        <w:rPr>
          <w:rFonts w:ascii="Verdana" w:eastAsia="Arial" w:hAnsi="Verdana" w:cs="Arial"/>
          <w:lang w:val="es-ES" w:eastAsia="es-ES" w:bidi="es-ES"/>
        </w:rPr>
        <w:t>ii</w:t>
      </w:r>
      <w:proofErr w:type="spellEnd"/>
      <w:r w:rsidRPr="00E2397D">
        <w:rPr>
          <w:rFonts w:ascii="Verdana" w:eastAsia="Arial" w:hAnsi="Verdana" w:cs="Arial"/>
          <w:lang w:val="es-ES" w:eastAsia="es-ES" w:bidi="es-ES"/>
        </w:rPr>
        <w:t>. Precisado el propósito de la Ley, es pertinente señalar que las restricciones consagradas en la citada Ley se dirigen a dos (2) tipos de campañas electorales claramente diferenciadas: las presidenciales y las demás que se adelanten para la elección de los demás cargos de elección popular, tanto a nivel nacional como territorial.</w:t>
      </w:r>
    </w:p>
    <w:p w14:paraId="440B108E" w14:textId="77777777" w:rsidR="009B5304" w:rsidRPr="00E2397D" w:rsidRDefault="009B5304" w:rsidP="009B5304">
      <w:pPr>
        <w:spacing w:after="120" w:line="276" w:lineRule="auto"/>
        <w:ind w:firstLine="708"/>
        <w:jc w:val="both"/>
        <w:rPr>
          <w:rFonts w:ascii="Verdana" w:eastAsia="Calibri" w:hAnsi="Verdana" w:cs="Arial"/>
        </w:rPr>
      </w:pPr>
      <w:r w:rsidRPr="00E2397D">
        <w:rPr>
          <w:rFonts w:ascii="Verdana" w:eastAsia="Calibri" w:hAnsi="Verdana" w:cs="Arial"/>
        </w:rPr>
        <w:t xml:space="preserve">Por un lado, el </w:t>
      </w:r>
      <w:r w:rsidRPr="00E2397D">
        <w:rPr>
          <w:rFonts w:ascii="Verdana" w:eastAsia="Calibri" w:hAnsi="Verdana" w:cs="Arial"/>
          <w:i/>
          <w:iCs/>
        </w:rPr>
        <w:t>artículo 33 de la Ley 996 de 2005</w:t>
      </w:r>
      <w:r w:rsidRPr="00E2397D">
        <w:rPr>
          <w:rFonts w:ascii="Verdana" w:eastAsia="Calibri" w:hAnsi="Verdana" w:cs="Arial"/>
        </w:rPr>
        <w:t xml:space="preserve"> prohíbe “[…] la contratación directa por parte de todos los entes del Estado” durante los cuatro (4) meses anteriores a las elecciones presidenciales, salvo “[…] lo referente a la defensa y seguridad del Estado, los contratos de crédito público, los requeridos </w:t>
      </w:r>
      <w:r w:rsidRPr="00E2397D">
        <w:rPr>
          <w:rFonts w:ascii="Verdana" w:eastAsia="Calibri" w:hAnsi="Verdana" w:cs="Arial"/>
        </w:rPr>
        <w:lastRenderedPageBreak/>
        <w:t>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E2397D">
        <w:rPr>
          <w:rFonts w:ascii="Verdana" w:eastAsia="Calibri" w:hAnsi="Verdana" w:cs="Arial"/>
          <w:vertAlign w:val="superscript"/>
        </w:rPr>
        <w:footnoteReference w:id="7"/>
      </w:r>
      <w:r w:rsidRPr="00E2397D">
        <w:rPr>
          <w:rFonts w:ascii="Verdana" w:eastAsia="Calibri" w:hAnsi="Verdana" w:cs="Arial"/>
        </w:rPr>
        <w:t>.</w:t>
      </w:r>
    </w:p>
    <w:p w14:paraId="7786ECED" w14:textId="77777777" w:rsidR="009B5304" w:rsidRDefault="009B5304" w:rsidP="009B5304">
      <w:pPr>
        <w:widowControl w:val="0"/>
        <w:autoSpaceDE w:val="0"/>
        <w:autoSpaceDN w:val="0"/>
        <w:spacing w:after="120" w:line="276" w:lineRule="auto"/>
        <w:ind w:right="113" w:firstLine="709"/>
        <w:jc w:val="both"/>
        <w:rPr>
          <w:rFonts w:ascii="Verdana" w:eastAsia="Arial" w:hAnsi="Verdana" w:cs="Arial"/>
          <w:lang w:val="es-ES" w:eastAsia="es-ES" w:bidi="es-ES"/>
        </w:rPr>
      </w:pPr>
      <w:r w:rsidRPr="00E2397D">
        <w:rPr>
          <w:rFonts w:ascii="Verdana" w:eastAsia="Calibri" w:hAnsi="Verdana" w:cs="Arial"/>
        </w:rPr>
        <w:t xml:space="preserve">Por otro lado, </w:t>
      </w:r>
      <w:r w:rsidRPr="00E2397D">
        <w:rPr>
          <w:rFonts w:ascii="Verdana" w:eastAsia="Calibri" w:hAnsi="Verdana" w:cs="Arial"/>
          <w:i/>
          <w:iCs/>
        </w:rPr>
        <w:t>el parágrafo del artículo 38 de la Ley 996 de 2005</w:t>
      </w:r>
      <w:r w:rsidRPr="00E2397D">
        <w:rPr>
          <w:rFonts w:ascii="Verdana" w:eastAsia="Calibri" w:hAnsi="Verdana" w:cs="Arial"/>
        </w:rPr>
        <w:t xml:space="preserve"> prevé una restricción, aplicable respecto de cualquier tipo de contienda electoral, que prohíbe a los gobernadores, alcaldes municipales o distritales, secretarios, gerentes y directores de entidades descentralizadas del orden municipal, departamental o distrital “[…] </w:t>
      </w:r>
      <w:r w:rsidRPr="00E2397D">
        <w:rPr>
          <w:rFonts w:ascii="Verdana" w:eastAsia="Calibri" w:hAnsi="Verdana" w:cs="Arial"/>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E2397D">
        <w:rPr>
          <w:rFonts w:ascii="Verdana" w:eastAsia="Calibri" w:hAnsi="Verdana" w:cs="Arial"/>
        </w:rPr>
        <w:t>”</w:t>
      </w:r>
      <w:r w:rsidRPr="00E2397D">
        <w:rPr>
          <w:rFonts w:ascii="Verdana" w:eastAsia="Calibri" w:hAnsi="Verdana" w:cs="Arial"/>
          <w:vertAlign w:val="superscript"/>
        </w:rPr>
        <w:footnoteReference w:id="8"/>
      </w:r>
      <w:r w:rsidRPr="00E2397D">
        <w:rPr>
          <w:rFonts w:ascii="Verdana" w:eastAsia="Calibri" w:hAnsi="Verdana" w:cs="Arial"/>
          <w:lang w:val="es-MX"/>
        </w:rPr>
        <w:t>.</w:t>
      </w:r>
      <w:r w:rsidRPr="00E2397D">
        <w:rPr>
          <w:rFonts w:ascii="Verdana" w:eastAsia="Arial" w:hAnsi="Verdana" w:cs="Arial"/>
          <w:lang w:val="es-ES" w:eastAsia="es-ES" w:bidi="es-ES"/>
        </w:rPr>
        <w:t xml:space="preserve"> </w:t>
      </w:r>
    </w:p>
    <w:p w14:paraId="0E3C3C08" w14:textId="77777777" w:rsidR="009B5304" w:rsidRDefault="009B5304" w:rsidP="009B5304">
      <w:pPr>
        <w:spacing w:after="120" w:line="276" w:lineRule="auto"/>
        <w:ind w:firstLine="708"/>
        <w:jc w:val="both"/>
        <w:rPr>
          <w:rFonts w:ascii="Verdana" w:eastAsia="Times New Roman" w:hAnsi="Verdana" w:cs="Arial"/>
          <w:bCs/>
          <w:lang w:eastAsia="es-CO"/>
        </w:rPr>
      </w:pPr>
      <w:r>
        <w:rPr>
          <w:rFonts w:ascii="Verdana" w:eastAsia="Times New Roman" w:hAnsi="Verdana" w:cs="Arial"/>
          <w:bCs/>
          <w:lang w:val="es-MX" w:eastAsia="es-CO"/>
        </w:rPr>
        <w:t>Para entender el momento de aplicación de estas restricciones, es preciso señalar que el vocablo “celebrar” es definido por el Diccionario Panhispánico del Español Jurídico como:</w:t>
      </w:r>
      <w:r w:rsidRPr="00116894">
        <w:rPr>
          <w:rFonts w:ascii="Verdana" w:eastAsia="Times New Roman" w:hAnsi="Verdana" w:cs="Arial"/>
          <w:bCs/>
          <w:lang w:val="es-MX" w:eastAsia="es-CO"/>
        </w:rPr>
        <w:t xml:space="preserve"> “</w:t>
      </w:r>
      <w:r w:rsidRPr="00116894">
        <w:rPr>
          <w:rFonts w:ascii="Verdana" w:eastAsia="Times New Roman" w:hAnsi="Verdana" w:cs="Arial"/>
          <w:bCs/>
          <w:lang w:eastAsia="es-CO"/>
        </w:rPr>
        <w:t>1. </w:t>
      </w:r>
      <w:r w:rsidRPr="00116894">
        <w:rPr>
          <w:rFonts w:ascii="Verdana" w:eastAsia="Times New Roman" w:hAnsi="Verdana" w:cs="Arial"/>
          <w:bCs/>
          <w:i/>
          <w:iCs/>
          <w:lang w:eastAsia="es-CO"/>
        </w:rPr>
        <w:t>Gral.</w:t>
      </w:r>
      <w:r>
        <w:rPr>
          <w:rFonts w:ascii="Verdana" w:eastAsia="Times New Roman" w:hAnsi="Verdana" w:cs="Arial"/>
          <w:bCs/>
          <w:lang w:eastAsia="es-CO"/>
        </w:rPr>
        <w:t xml:space="preserve"> </w:t>
      </w:r>
      <w:r w:rsidRPr="00116894">
        <w:rPr>
          <w:rFonts w:ascii="Verdana" w:eastAsia="Times New Roman" w:hAnsi="Verdana" w:cs="Arial"/>
          <w:bCs/>
          <w:lang w:eastAsia="es-CO"/>
        </w:rPr>
        <w:t>Otorgar o firmar un contrato. 2</w:t>
      </w:r>
      <w:r>
        <w:rPr>
          <w:rFonts w:ascii="Verdana" w:eastAsia="Times New Roman" w:hAnsi="Verdana" w:cs="Arial"/>
          <w:bCs/>
          <w:lang w:eastAsia="es-CO"/>
        </w:rPr>
        <w:t xml:space="preserve">. </w:t>
      </w:r>
      <w:proofErr w:type="spellStart"/>
      <w:r w:rsidRPr="00116894">
        <w:rPr>
          <w:rFonts w:ascii="Verdana" w:eastAsia="Times New Roman" w:hAnsi="Verdana" w:cs="Arial"/>
          <w:bCs/>
          <w:i/>
          <w:iCs/>
          <w:lang w:eastAsia="es-CO"/>
        </w:rPr>
        <w:t>Proc</w:t>
      </w:r>
      <w:proofErr w:type="spellEnd"/>
      <w:r w:rsidRPr="00116894">
        <w:rPr>
          <w:rFonts w:ascii="Verdana" w:eastAsia="Times New Roman" w:hAnsi="Verdana" w:cs="Arial"/>
          <w:bCs/>
          <w:i/>
          <w:iCs/>
          <w:lang w:eastAsia="es-CO"/>
        </w:rPr>
        <w:t>.</w:t>
      </w:r>
      <w:r>
        <w:rPr>
          <w:rFonts w:ascii="Verdana" w:eastAsia="Times New Roman" w:hAnsi="Verdana" w:cs="Arial"/>
          <w:bCs/>
          <w:lang w:eastAsia="es-CO"/>
        </w:rPr>
        <w:t xml:space="preserve"> </w:t>
      </w:r>
      <w:r w:rsidRPr="00116894">
        <w:rPr>
          <w:rFonts w:ascii="Verdana" w:eastAsia="Times New Roman" w:hAnsi="Verdana" w:cs="Arial"/>
          <w:bCs/>
          <w:lang w:eastAsia="es-CO"/>
        </w:rPr>
        <w:t>Realizar los actos procesa</w:t>
      </w:r>
      <w:r>
        <w:rPr>
          <w:rFonts w:ascii="Verdana" w:eastAsia="Times New Roman" w:hAnsi="Verdana" w:cs="Arial"/>
          <w:bCs/>
          <w:lang w:eastAsia="es-CO"/>
        </w:rPr>
        <w:t xml:space="preserve">les propios de un juicio o vista”. Dentro de las dos definiciones, la que se acerca a la expresión “celebrar” en el contexto de la Ley de Garantías Electorales es la primera, esto es, al perfeccionamiento del contrato. </w:t>
      </w:r>
    </w:p>
    <w:p w14:paraId="37D7C32B" w14:textId="77777777" w:rsidR="009B5304" w:rsidRDefault="009B5304" w:rsidP="009B5304">
      <w:pPr>
        <w:spacing w:after="120" w:line="276" w:lineRule="auto"/>
        <w:ind w:firstLine="708"/>
        <w:jc w:val="both"/>
        <w:rPr>
          <w:rFonts w:ascii="Verdana" w:eastAsia="Times New Roman" w:hAnsi="Verdana" w:cs="Arial"/>
          <w:bCs/>
          <w:lang w:val="es-ES" w:eastAsia="es-CO"/>
        </w:rPr>
      </w:pPr>
      <w:r>
        <w:rPr>
          <w:rFonts w:ascii="Verdana" w:eastAsia="Times New Roman" w:hAnsi="Verdana" w:cs="Arial"/>
          <w:bCs/>
          <w:lang w:eastAsia="es-CO"/>
        </w:rPr>
        <w:t xml:space="preserve">En efecto, el concepto de celebración en el marco de la contratación estatal se relaciona con el perfeccionamiento, es decir, con los requisitos para que exista un contrato estatal. Al respecto, se destaca que en entidades sometidas al Estatuto General de Contratación de la Administración Pública </w:t>
      </w:r>
      <w:r w:rsidRPr="00447D82">
        <w:rPr>
          <w:rFonts w:ascii="Verdana" w:eastAsia="Times New Roman" w:hAnsi="Verdana" w:cs="Arial"/>
          <w:bCs/>
          <w:lang w:val="es-ES" w:eastAsia="es-CO"/>
        </w:rPr>
        <w:t xml:space="preserve">la existencia de los contratos estatales, es decir, la producción de efectos jurídicos </w:t>
      </w:r>
      <w:r w:rsidRPr="00447D82">
        <w:rPr>
          <w:rFonts w:ascii="Verdana" w:eastAsia="Times New Roman" w:hAnsi="Verdana" w:cs="Arial"/>
          <w:bCs/>
          <w:lang w:val="es-ES" w:eastAsia="es-CO"/>
        </w:rPr>
        <w:lastRenderedPageBreak/>
        <w:t xml:space="preserve">en los términos del artículo 1501 </w:t>
      </w:r>
      <w:r w:rsidRPr="00447D82">
        <w:rPr>
          <w:rFonts w:ascii="Verdana" w:eastAsia="Times New Roman" w:hAnsi="Verdana" w:cs="Arial"/>
          <w:bCs/>
          <w:i/>
          <w:lang w:val="es-ES" w:eastAsia="es-CO"/>
        </w:rPr>
        <w:t>ib</w:t>
      </w:r>
      <w:r>
        <w:rPr>
          <w:rFonts w:ascii="Verdana" w:eastAsia="Times New Roman" w:hAnsi="Verdana" w:cs="Arial"/>
          <w:bCs/>
          <w:i/>
          <w:lang w:val="es-ES" w:eastAsia="es-CO"/>
        </w:rPr>
        <w:t>i</w:t>
      </w:r>
      <w:r w:rsidRPr="00447D82">
        <w:rPr>
          <w:rFonts w:ascii="Verdana" w:eastAsia="Times New Roman" w:hAnsi="Verdana" w:cs="Arial"/>
          <w:bCs/>
          <w:i/>
          <w:lang w:val="es-ES" w:eastAsia="es-CO"/>
        </w:rPr>
        <w:t>dem</w:t>
      </w:r>
      <w:r w:rsidRPr="00447D82">
        <w:rPr>
          <w:rFonts w:ascii="Verdana" w:eastAsia="Times New Roman" w:hAnsi="Verdana" w:cs="Arial"/>
          <w:bCs/>
          <w:lang w:val="es-ES" w:eastAsia="es-CO"/>
        </w:rPr>
        <w:t>, depende de la regulación del inciso primero d</w:t>
      </w:r>
      <w:r>
        <w:rPr>
          <w:rFonts w:ascii="Verdana" w:eastAsia="Times New Roman" w:hAnsi="Verdana" w:cs="Arial"/>
          <w:bCs/>
          <w:lang w:val="es-ES" w:eastAsia="es-CO"/>
        </w:rPr>
        <w:t>e los artículos 39 y 41 de la Ley 80 de 1993</w:t>
      </w:r>
      <w:r w:rsidRPr="00447D82">
        <w:rPr>
          <w:rFonts w:ascii="Verdana" w:eastAsia="Times New Roman" w:hAnsi="Verdana" w:cs="Arial"/>
          <w:bCs/>
          <w:lang w:val="es-ES" w:eastAsia="es-CO"/>
        </w:rPr>
        <w:t>. Por un lado, “Los contratos 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legales vigentes deban cumplir con dicha formalidad”. Por otra parte, “Los contratos del Estado se perfeccionan cuando se logre acuerdo sobre el objeto y la contraprestación y éste se eleve a escrito”.</w:t>
      </w:r>
      <w:r>
        <w:rPr>
          <w:rFonts w:ascii="Verdana" w:eastAsia="Times New Roman" w:hAnsi="Verdana" w:cs="Arial"/>
          <w:bCs/>
          <w:lang w:val="es-ES" w:eastAsia="es-CO"/>
        </w:rPr>
        <w:t xml:space="preserve"> </w:t>
      </w:r>
    </w:p>
    <w:p w14:paraId="6B670E4D" w14:textId="77777777" w:rsidR="009B5304" w:rsidRDefault="009B5304" w:rsidP="009B5304">
      <w:pPr>
        <w:spacing w:after="120" w:line="276" w:lineRule="auto"/>
        <w:ind w:firstLine="708"/>
        <w:jc w:val="both"/>
        <w:rPr>
          <w:rFonts w:ascii="Verdana" w:eastAsia="Times New Roman" w:hAnsi="Verdana" w:cs="Arial"/>
          <w:bCs/>
          <w:lang w:val="es-ES" w:eastAsia="es-CO"/>
        </w:rPr>
      </w:pPr>
      <w:r>
        <w:rPr>
          <w:rFonts w:ascii="Verdana" w:eastAsia="Times New Roman" w:hAnsi="Verdana" w:cs="Arial"/>
          <w:bCs/>
          <w:lang w:val="es-ES" w:eastAsia="es-CO"/>
        </w:rPr>
        <w:t xml:space="preserve">De este modo, esta Agencia precisa que el concepto “celebrar” para efectos de las restricciones en la contratación dispuesta por la Ley de Garantías Electorales se refiere a los requisitos de perfeccionamiento del contrato estatal. Por tanto, no se refiere a los requisitos de ejecución, es decir, aquellas condiciones para iniciar un contrato, como es la aprobación de las garantías o el registro presupuestal, o en algunos casos, la firma del acta de inicio, si así se determinó. </w:t>
      </w:r>
    </w:p>
    <w:p w14:paraId="6B9C9D53" w14:textId="77777777" w:rsidR="009B5304" w:rsidRPr="00894384" w:rsidRDefault="009B5304" w:rsidP="009B5304">
      <w:pPr>
        <w:spacing w:after="120" w:line="276" w:lineRule="auto"/>
        <w:ind w:firstLine="708"/>
        <w:jc w:val="both"/>
        <w:rPr>
          <w:rFonts w:ascii="Verdana" w:eastAsia="Times New Roman" w:hAnsi="Verdana" w:cs="Arial"/>
          <w:bCs/>
          <w:lang w:val="es-ES" w:eastAsia="es-CO"/>
        </w:rPr>
      </w:pPr>
      <w:r>
        <w:rPr>
          <w:rFonts w:ascii="Verdana" w:eastAsia="Times New Roman" w:hAnsi="Verdana" w:cs="Arial"/>
          <w:bCs/>
          <w:lang w:val="es-ES" w:eastAsia="es-CO"/>
        </w:rPr>
        <w:t xml:space="preserve">Asimismo, </w:t>
      </w:r>
      <w:r>
        <w:rPr>
          <w:rFonts w:ascii="Verdana" w:eastAsia="Times New Roman" w:hAnsi="Verdana" w:cs="Arial"/>
          <w:bCs/>
          <w:lang w:val="es-MX" w:eastAsia="es-CO"/>
        </w:rPr>
        <w:t>c</w:t>
      </w:r>
      <w:r w:rsidRPr="00894384">
        <w:rPr>
          <w:rFonts w:ascii="Verdana" w:eastAsia="Times New Roman" w:hAnsi="Verdana" w:cs="Arial"/>
          <w:bCs/>
          <w:lang w:val="es-MX" w:eastAsia="es-CO"/>
        </w:rPr>
        <w:t xml:space="preserve">omo en otras oportunidades lo ha manifestado esta Agencia, las prórrogas, modificaciones o adiciones de los contratos suscritos antes de la </w:t>
      </w:r>
      <w:proofErr w:type="gramStart"/>
      <w:r w:rsidRPr="00894384">
        <w:rPr>
          <w:rFonts w:ascii="Verdana" w:eastAsia="Times New Roman" w:hAnsi="Verdana" w:cs="Arial"/>
          <w:bCs/>
          <w:lang w:val="es-MX" w:eastAsia="es-CO"/>
        </w:rPr>
        <w:t>entrada en vigencia</w:t>
      </w:r>
      <w:proofErr w:type="gramEnd"/>
      <w:r w:rsidRPr="00894384">
        <w:rPr>
          <w:rFonts w:ascii="Verdana" w:eastAsia="Times New Roman" w:hAnsi="Verdana" w:cs="Arial"/>
          <w:bCs/>
          <w:lang w:val="es-MX" w:eastAsia="es-CO"/>
        </w:rPr>
        <w:t xml:space="preserve"> de las prohibiciones anotadas, así como la cesión de </w:t>
      </w:r>
      <w:proofErr w:type="gramStart"/>
      <w:r w:rsidRPr="00894384">
        <w:rPr>
          <w:rFonts w:ascii="Verdana" w:eastAsia="Times New Roman" w:hAnsi="Verdana" w:cs="Arial"/>
          <w:bCs/>
          <w:lang w:val="es-MX" w:eastAsia="es-CO"/>
        </w:rPr>
        <w:t>los mismos</w:t>
      </w:r>
      <w:proofErr w:type="gramEnd"/>
      <w:r w:rsidRPr="00894384">
        <w:rPr>
          <w:rFonts w:ascii="Verdana" w:eastAsia="Times New Roman" w:hAnsi="Verdana" w:cs="Arial"/>
          <w:bCs/>
          <w:lang w:val="es-MX" w:eastAsia="es-CO"/>
        </w:rPr>
        <w:t>, pueden tener lugar en el período de aplicación de la Ley de Garantías, sin que ello haga nugatoria la restricción de la contratación directa y siempre que cumplan los principios de planeación, transparencia y responsabilidad</w:t>
      </w:r>
      <w:r w:rsidRPr="00894384">
        <w:rPr>
          <w:rFonts w:ascii="Verdana" w:eastAsia="Times New Roman" w:hAnsi="Verdana" w:cs="Arial"/>
          <w:bCs/>
          <w:vertAlign w:val="superscript"/>
          <w:lang w:val="es-MX" w:eastAsia="es-CO"/>
        </w:rPr>
        <w:footnoteReference w:id="9"/>
      </w:r>
      <w:r w:rsidRPr="00894384">
        <w:rPr>
          <w:rFonts w:ascii="Verdana" w:eastAsia="Times New Roman" w:hAnsi="Verdana" w:cs="Arial"/>
          <w:bCs/>
          <w:lang w:val="es-MX" w:eastAsia="es-CO"/>
        </w:rPr>
        <w:t xml:space="preserve">. </w:t>
      </w:r>
    </w:p>
    <w:p w14:paraId="724C7502" w14:textId="77777777" w:rsidR="009B5304" w:rsidRPr="00E2397D" w:rsidRDefault="009B5304" w:rsidP="009B5304">
      <w:pPr>
        <w:widowControl w:val="0"/>
        <w:autoSpaceDE w:val="0"/>
        <w:autoSpaceDN w:val="0"/>
        <w:spacing w:after="0" w:line="276" w:lineRule="auto"/>
        <w:ind w:right="113" w:firstLine="708"/>
        <w:contextualSpacing/>
        <w:jc w:val="both"/>
        <w:rPr>
          <w:rFonts w:ascii="Verdana" w:eastAsia="Arial" w:hAnsi="Verdana" w:cs="Arial"/>
          <w:lang w:val="es-ES" w:eastAsia="es-ES" w:bidi="es-ES"/>
        </w:rPr>
      </w:pPr>
      <w:r w:rsidRPr="00E2397D">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consid</w:t>
      </w:r>
      <w:r>
        <w:rPr>
          <w:rFonts w:ascii="Verdana" w:eastAsia="Arial" w:hAnsi="Verdana" w:cs="Arial"/>
          <w:lang w:val="es-ES" w:eastAsia="es-ES" w:bidi="es-ES"/>
        </w:rPr>
        <w:t>era</w:t>
      </w:r>
      <w:r w:rsidRPr="00E2397D">
        <w:rPr>
          <w:rFonts w:ascii="Verdana" w:eastAsia="Arial" w:hAnsi="Verdana" w:cs="Arial"/>
          <w:lang w:val="es-ES" w:eastAsia="es-ES" w:bidi="es-ES"/>
        </w:rPr>
        <w:t>:</w:t>
      </w:r>
    </w:p>
    <w:p w14:paraId="7A31B14E" w14:textId="77777777" w:rsidR="009B5304" w:rsidRPr="00E2397D" w:rsidRDefault="009B5304" w:rsidP="009B5304">
      <w:pPr>
        <w:widowControl w:val="0"/>
        <w:autoSpaceDE w:val="0"/>
        <w:autoSpaceDN w:val="0"/>
        <w:spacing w:after="0" w:line="276" w:lineRule="auto"/>
        <w:ind w:left="805" w:right="812"/>
        <w:contextualSpacing/>
        <w:jc w:val="both"/>
        <w:rPr>
          <w:rFonts w:ascii="Verdana" w:eastAsia="Arial" w:hAnsi="Verdana" w:cs="Arial"/>
          <w:lang w:val="es-ES" w:eastAsia="es-ES" w:bidi="es-ES"/>
        </w:rPr>
      </w:pPr>
    </w:p>
    <w:p w14:paraId="5F6BE69C" w14:textId="77777777" w:rsidR="009B5304" w:rsidRPr="00E2397D" w:rsidRDefault="009B5304" w:rsidP="009B5304">
      <w:pPr>
        <w:widowControl w:val="0"/>
        <w:autoSpaceDE w:val="0"/>
        <w:autoSpaceDN w:val="0"/>
        <w:spacing w:after="0" w:line="240" w:lineRule="auto"/>
        <w:ind w:left="709" w:right="709"/>
        <w:jc w:val="both"/>
        <w:rPr>
          <w:rFonts w:ascii="Verdana" w:eastAsia="Arial" w:hAnsi="Verdana" w:cs="Arial"/>
          <w:sz w:val="20"/>
          <w:szCs w:val="20"/>
          <w:lang w:eastAsia="es-ES" w:bidi="es-ES"/>
        </w:rPr>
      </w:pPr>
      <w:r w:rsidRPr="00E2397D">
        <w:rPr>
          <w:rFonts w:ascii="Verdana" w:eastAsia="Arial" w:hAnsi="Verdana" w:cs="Arial"/>
          <w:sz w:val="20"/>
          <w:szCs w:val="20"/>
          <w:lang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w:t>
      </w:r>
      <w:bookmarkStart w:id="9" w:name="_Hlk76109421"/>
      <w:r w:rsidRPr="00E2397D">
        <w:rPr>
          <w:rFonts w:ascii="Verdana" w:eastAsia="Arial" w:hAnsi="Verdana" w:cs="Arial"/>
          <w:sz w:val="20"/>
          <w:szCs w:val="20"/>
          <w:lang w:eastAsia="es-ES" w:bidi="es-ES"/>
        </w:rPr>
        <w:t>se integran parcialmente</w:t>
      </w:r>
      <w:bookmarkEnd w:id="9"/>
      <w:r w:rsidRPr="00E2397D">
        <w:rPr>
          <w:rFonts w:ascii="Verdana" w:eastAsia="Arial" w:hAnsi="Verdana" w:cs="Arial"/>
          <w:sz w:val="20"/>
          <w:szCs w:val="20"/>
          <w:lang w:eastAsia="es-ES" w:bidi="es-ES"/>
        </w:rPr>
        <w:t xml:space="preserve">, lo que permite concluir que </w:t>
      </w:r>
      <w:r w:rsidRPr="00E2397D">
        <w:rPr>
          <w:rFonts w:ascii="Verdana" w:eastAsia="Arial" w:hAnsi="Verdana" w:cs="Arial"/>
          <w:sz w:val="20"/>
          <w:szCs w:val="20"/>
          <w:lang w:eastAsia="es-ES" w:bidi="es-ES"/>
        </w:rPr>
        <w:lastRenderedPageBreak/>
        <w:t xml:space="preserve">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w:t>
      </w:r>
      <w:proofErr w:type="gramStart"/>
      <w:r w:rsidRPr="00E2397D">
        <w:rPr>
          <w:rFonts w:ascii="Verdana" w:eastAsia="Arial" w:hAnsi="Verdana" w:cs="Arial"/>
          <w:sz w:val="20"/>
          <w:szCs w:val="20"/>
          <w:lang w:eastAsia="es-ES" w:bidi="es-ES"/>
        </w:rPr>
        <w:t>Presidente</w:t>
      </w:r>
      <w:proofErr w:type="gramEnd"/>
      <w:r w:rsidRPr="00E2397D">
        <w:rPr>
          <w:rFonts w:ascii="Verdana" w:eastAsia="Arial" w:hAnsi="Verdana" w:cs="Arial"/>
          <w:sz w:val="20"/>
          <w:szCs w:val="20"/>
          <w:lang w:eastAsia="es-ES" w:bidi="es-ES"/>
        </w:rPr>
        <w:t xml:space="preserve"> de la República, a las autoridades territoriales allí mencionadas sólo se aplican las restricciones contenidas en el parágrafo del artículo 38”.</w:t>
      </w:r>
      <w:r w:rsidRPr="00E2397D">
        <w:rPr>
          <w:rFonts w:ascii="Verdana" w:eastAsia="Arial" w:hAnsi="Verdana" w:cs="Arial"/>
          <w:sz w:val="20"/>
          <w:szCs w:val="20"/>
          <w:vertAlign w:val="superscript"/>
          <w:lang w:eastAsia="es-ES" w:bidi="es-ES"/>
        </w:rPr>
        <w:footnoteReference w:id="10"/>
      </w:r>
    </w:p>
    <w:p w14:paraId="497AD074" w14:textId="77777777" w:rsidR="009B5304" w:rsidRPr="00E2397D" w:rsidRDefault="009B5304" w:rsidP="009B5304">
      <w:pPr>
        <w:widowControl w:val="0"/>
        <w:autoSpaceDE w:val="0"/>
        <w:autoSpaceDN w:val="0"/>
        <w:spacing w:after="0" w:line="276" w:lineRule="auto"/>
        <w:contextualSpacing/>
        <w:rPr>
          <w:rFonts w:ascii="Verdana" w:eastAsia="Arial" w:hAnsi="Verdana" w:cs="Arial"/>
          <w:lang w:val="es-ES" w:eastAsia="es-ES" w:bidi="es-ES"/>
        </w:rPr>
      </w:pPr>
    </w:p>
    <w:p w14:paraId="079BCD8F" w14:textId="77777777" w:rsidR="009B5304" w:rsidRPr="00E2397D" w:rsidRDefault="009B5304" w:rsidP="009B5304">
      <w:pPr>
        <w:spacing w:after="120" w:line="276" w:lineRule="auto"/>
        <w:ind w:firstLine="709"/>
        <w:jc w:val="both"/>
        <w:rPr>
          <w:rFonts w:ascii="Verdana" w:eastAsia="Arial" w:hAnsi="Verdana" w:cs="Arial"/>
          <w:lang w:val="es-ES" w:eastAsia="es-ES" w:bidi="es-ES"/>
        </w:rPr>
      </w:pPr>
      <w:r w:rsidRPr="00E2397D">
        <w:rPr>
          <w:rFonts w:ascii="Verdana" w:eastAsia="Arial" w:hAnsi="Verdana" w:cs="Arial"/>
          <w:lang w:val="es-ES" w:eastAsia="es-ES" w:bidi="es-ES"/>
        </w:rPr>
        <w:t xml:space="preserve">De conformidad con lo anterior, </w:t>
      </w:r>
      <w:bookmarkStart w:id="10" w:name="_Hlk77236420"/>
      <w:bookmarkStart w:id="11" w:name="_Hlk78818435"/>
      <w:bookmarkStart w:id="12" w:name="_Hlk75780333"/>
      <w:r w:rsidRPr="00E2397D">
        <w:rPr>
          <w:rFonts w:ascii="Verdana" w:eastAsia="Arial" w:hAnsi="Verdana" w:cs="Arial"/>
          <w:lang w:val="es-ES" w:eastAsia="es-ES" w:bidi="es-ES"/>
        </w:rPr>
        <w:t xml:space="preserve">la Ley 996 de 2005 establece dos (2) tipos de restricciones en materia de contratación, las cuales coinciden parcialmente. </w:t>
      </w:r>
      <w:r w:rsidRPr="00E2397D">
        <w:rPr>
          <w:rFonts w:ascii="Verdana" w:eastAsia="Arial" w:hAnsi="Verdana" w:cs="Arial"/>
          <w:i/>
          <w:lang w:val="es-ES" w:eastAsia="es-ES" w:bidi="es-ES"/>
        </w:rPr>
        <w:t>En primer lugar</w:t>
      </w:r>
      <w:r w:rsidRPr="00E2397D">
        <w:rPr>
          <w:rFonts w:ascii="Verdana" w:eastAsia="Arial" w:hAnsi="Verdana" w:cs="Arial"/>
          <w:lang w:val="es-ES" w:eastAsia="es-ES" w:bidi="es-ES"/>
        </w:rPr>
        <w:t xml:space="preserve">, la del artículo 33 que </w:t>
      </w:r>
      <w:r>
        <w:rPr>
          <w:rFonts w:ascii="Verdana" w:eastAsia="Arial" w:hAnsi="Verdana" w:cs="Arial"/>
          <w:lang w:val="es-ES" w:eastAsia="es-ES" w:bidi="es-ES"/>
        </w:rPr>
        <w:t xml:space="preserve">aplica </w:t>
      </w:r>
      <w:r w:rsidRPr="00E2397D">
        <w:rPr>
          <w:rFonts w:ascii="Verdana" w:eastAsia="Arial" w:hAnsi="Verdana" w:cs="Arial"/>
          <w:lang w:val="es-ES" w:eastAsia="es-ES" w:bidi="es-ES"/>
        </w:rPr>
        <w:t xml:space="preserve">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E2397D">
        <w:rPr>
          <w:rFonts w:ascii="Verdana" w:eastAsia="Arial" w:hAnsi="Verdana" w:cs="Arial"/>
          <w:i/>
          <w:lang w:val="es-ES" w:eastAsia="es-ES" w:bidi="es-ES"/>
        </w:rPr>
        <w:t>En segundo lugar</w:t>
      </w:r>
      <w:r w:rsidRPr="00E2397D">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bookmarkEnd w:id="10"/>
    </w:p>
    <w:bookmarkEnd w:id="11"/>
    <w:p w14:paraId="7F298B23" w14:textId="77777777" w:rsidR="009B5304" w:rsidRPr="00E2397D" w:rsidRDefault="009B5304" w:rsidP="009B5304">
      <w:pPr>
        <w:spacing w:after="120" w:line="276" w:lineRule="auto"/>
        <w:ind w:firstLine="709"/>
        <w:jc w:val="both"/>
        <w:rPr>
          <w:rFonts w:ascii="Verdana" w:eastAsia="Arial" w:hAnsi="Verdana" w:cs="Arial"/>
          <w:lang w:val="es-ES" w:eastAsia="es-ES" w:bidi="es-ES"/>
        </w:rPr>
      </w:pPr>
      <w:r w:rsidRPr="00E2397D">
        <w:rPr>
          <w:rFonts w:ascii="Verdana" w:eastAsia="Arial" w:hAnsi="Verdana" w:cs="Arial"/>
          <w:lang w:val="es-ES" w:eastAsia="es-ES" w:bidi="es-ES"/>
        </w:rPr>
        <w:t>Ambas restricciones no son excluyentes, lo que permite concluir que</w:t>
      </w:r>
      <w:r>
        <w:rPr>
          <w:rFonts w:ascii="Verdana" w:eastAsia="Arial" w:hAnsi="Verdana" w:cs="Arial"/>
          <w:lang w:val="es-ES" w:eastAsia="es-ES" w:bidi="es-ES"/>
        </w:rPr>
        <w:t>,</w:t>
      </w:r>
      <w:r w:rsidRPr="00E2397D">
        <w:rPr>
          <w:rFonts w:ascii="Verdana" w:eastAsia="Arial" w:hAnsi="Verdana" w:cs="Arial"/>
          <w:lang w:val="es-ES" w:eastAsia="es-ES" w:bidi="es-ES"/>
        </w:rPr>
        <w:t xml:space="preserve"> en el período preelectoral para elección de </w:t>
      </w:r>
      <w:proofErr w:type="gramStart"/>
      <w:r w:rsidRPr="00E2397D">
        <w:rPr>
          <w:rFonts w:ascii="Verdana" w:eastAsia="Arial" w:hAnsi="Verdana" w:cs="Arial"/>
          <w:lang w:val="es-ES" w:eastAsia="es-ES" w:bidi="es-ES"/>
        </w:rPr>
        <w:t>Presidente</w:t>
      </w:r>
      <w:proofErr w:type="gramEnd"/>
      <w:r w:rsidRPr="00E2397D">
        <w:rPr>
          <w:rFonts w:ascii="Verdana" w:eastAsia="Arial" w:hAnsi="Verdana" w:cs="Arial"/>
          <w:lang w:val="es-ES" w:eastAsia="es-ES" w:bidi="es-ES"/>
        </w:rPr>
        <w:t xml:space="preserve"> de la República, a todos los entes del Estado, incluidos los territoriales, aplican las restricciones del artículo 33 con sus excepciones, así como las del parágrafo del artículo 38. En cambio, tratándose de elecciones en general, excluyendo las correspondientes al </w:t>
      </w:r>
      <w:proofErr w:type="gramStart"/>
      <w:r w:rsidRPr="00E2397D">
        <w:rPr>
          <w:rFonts w:ascii="Verdana" w:eastAsia="Arial" w:hAnsi="Verdana" w:cs="Arial"/>
          <w:lang w:val="es-ES" w:eastAsia="es-ES" w:bidi="es-ES"/>
        </w:rPr>
        <w:t>Presidente</w:t>
      </w:r>
      <w:proofErr w:type="gramEnd"/>
      <w:r w:rsidRPr="00E2397D">
        <w:rPr>
          <w:rFonts w:ascii="Verdana" w:eastAsia="Arial" w:hAnsi="Verdana" w:cs="Arial"/>
          <w:lang w:val="es-ES" w:eastAsia="es-ES" w:bidi="es-ES"/>
        </w:rPr>
        <w:t xml:space="preserve"> de la República, las autoridades allí mencionadas sólo deben aplicar las restricciones contenidas en el parágrafo del artículo 38.</w:t>
      </w:r>
    </w:p>
    <w:bookmarkEnd w:id="12"/>
    <w:p w14:paraId="77CBB3A6" w14:textId="77777777" w:rsidR="009B5304" w:rsidRDefault="009B5304" w:rsidP="009B5304">
      <w:pPr>
        <w:spacing w:after="0" w:line="276" w:lineRule="auto"/>
        <w:ind w:firstLine="709"/>
        <w:jc w:val="both"/>
        <w:rPr>
          <w:rFonts w:ascii="Verdana" w:eastAsia="Arial" w:hAnsi="Verdana" w:cs="Arial"/>
          <w:lang w:val="es-ES" w:eastAsia="es-ES" w:bidi="es-ES"/>
        </w:rPr>
      </w:pPr>
      <w:r w:rsidRPr="00E2397D">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w:t>
      </w:r>
      <w:proofErr w:type="gramStart"/>
      <w:r w:rsidRPr="00E2397D">
        <w:rPr>
          <w:rFonts w:ascii="Verdana" w:eastAsia="Arial" w:hAnsi="Verdana" w:cs="Arial"/>
          <w:lang w:val="es-ES" w:eastAsia="es-ES" w:bidi="es-ES"/>
        </w:rPr>
        <w:t>Presidente</w:t>
      </w:r>
      <w:proofErr w:type="gramEnd"/>
      <w:r w:rsidRPr="00E2397D">
        <w:rPr>
          <w:rFonts w:ascii="Verdana" w:eastAsia="Arial" w:hAnsi="Verdana" w:cs="Arial"/>
          <w:lang w:val="es-ES" w:eastAsia="es-ES" w:bidi="es-ES"/>
        </w:rPr>
        <w:t xml:space="preserve"> o el </w:t>
      </w:r>
      <w:proofErr w:type="gramStart"/>
      <w:r w:rsidRPr="00E2397D">
        <w:rPr>
          <w:rFonts w:ascii="Verdana" w:eastAsia="Arial" w:hAnsi="Verdana" w:cs="Arial"/>
          <w:lang w:val="es-ES" w:eastAsia="es-ES" w:bidi="es-ES"/>
        </w:rPr>
        <w:t>Vicepresidente</w:t>
      </w:r>
      <w:proofErr w:type="gramEnd"/>
      <w:r w:rsidRPr="00E2397D">
        <w:rPr>
          <w:rFonts w:ascii="Verdana" w:eastAsia="Arial" w:hAnsi="Verdana" w:cs="Arial"/>
          <w:lang w:val="es-ES" w:eastAsia="es-ES" w:bidi="es-ES"/>
        </w:rPr>
        <w:t xml:space="preserve"> desde que éstos –estando en ejercicio de su cargo– manifiesten el interés de ser candidato </w:t>
      </w:r>
      <w:r w:rsidRPr="00E2397D">
        <w:rPr>
          <w:rFonts w:ascii="Verdana" w:eastAsia="Arial" w:hAnsi="Verdana" w:cs="Arial"/>
          <w:lang w:val="es-ES" w:eastAsia="es-ES" w:bidi="es-ES"/>
        </w:rPr>
        <w:lastRenderedPageBreak/>
        <w:t xml:space="preserve">presidencial, lo cual debe ocurrir seis (6) meses antes de la elección en primera vuelta, de acuerdo con el artículo 9 de la Ley 996 de 2005. Sin embargo, el condicionamiento impuesto por la Corte Constitucional, relacionado con el momento en que estas restricciones empiezan a regir para el </w:t>
      </w:r>
      <w:proofErr w:type="gramStart"/>
      <w:r w:rsidRPr="00E2397D">
        <w:rPr>
          <w:rFonts w:ascii="Verdana" w:eastAsia="Arial" w:hAnsi="Verdana" w:cs="Arial"/>
          <w:lang w:val="es-ES" w:eastAsia="es-ES" w:bidi="es-ES"/>
        </w:rPr>
        <w:t>Presidente</w:t>
      </w:r>
      <w:proofErr w:type="gramEnd"/>
      <w:r w:rsidRPr="00E2397D">
        <w:rPr>
          <w:rFonts w:ascii="Verdana" w:eastAsia="Arial" w:hAnsi="Verdana" w:cs="Arial"/>
          <w:lang w:val="es-ES" w:eastAsia="es-ES" w:bidi="es-ES"/>
        </w:rPr>
        <w:t xml:space="preserve"> y el </w:t>
      </w:r>
      <w:proofErr w:type="gramStart"/>
      <w:r w:rsidRPr="00E2397D">
        <w:rPr>
          <w:rFonts w:ascii="Verdana" w:eastAsia="Arial" w:hAnsi="Verdana" w:cs="Arial"/>
          <w:lang w:val="es-ES" w:eastAsia="es-ES" w:bidi="es-ES"/>
        </w:rPr>
        <w:t>Vicepresidente</w:t>
      </w:r>
      <w:proofErr w:type="gramEnd"/>
      <w:r w:rsidRPr="00E2397D">
        <w:rPr>
          <w:rFonts w:ascii="Verdana" w:eastAsia="Arial" w:hAnsi="Verdana" w:cs="Arial"/>
          <w:lang w:val="es-ES" w:eastAsia="es-ES" w:bidi="es-ES"/>
        </w:rPr>
        <w:t xml:space="preserve"> de la República, ha perdido vigencia ante la prohibición de la reelección presidencial, restablecida por el Acto Legislativo 2 de 2015. Esto excepto para el </w:t>
      </w:r>
      <w:proofErr w:type="gramStart"/>
      <w:r w:rsidRPr="00E2397D">
        <w:rPr>
          <w:rFonts w:ascii="Verdana" w:eastAsia="Arial" w:hAnsi="Verdana" w:cs="Arial"/>
          <w:lang w:val="es-ES" w:eastAsia="es-ES" w:bidi="es-ES"/>
        </w:rPr>
        <w:t>Vicepresidente</w:t>
      </w:r>
      <w:proofErr w:type="gramEnd"/>
      <w:r w:rsidRPr="00E2397D">
        <w:rPr>
          <w:rFonts w:ascii="Verdana" w:eastAsia="Arial" w:hAnsi="Verdana" w:cs="Arial"/>
          <w:lang w:val="es-ES" w:eastAsia="es-ES" w:bidi="es-ES"/>
        </w:rPr>
        <w:t xml:space="preserve"> que no haya ejercido la presidencia o que la haya ejercido por un tiempo inferior a tres (3) meses durante el respectivo cuatrienio, en forma continua o discontinua, conforme al artículo 197 de la Constitución Política. </w:t>
      </w:r>
    </w:p>
    <w:p w14:paraId="5CB7E3E9" w14:textId="77777777" w:rsidR="009B5304" w:rsidRPr="00E2397D" w:rsidRDefault="009B5304" w:rsidP="009B5304">
      <w:pPr>
        <w:spacing w:after="0" w:line="276" w:lineRule="auto"/>
        <w:ind w:firstLine="708"/>
        <w:jc w:val="both"/>
        <w:rPr>
          <w:rFonts w:ascii="Verdana" w:eastAsia="Arial" w:hAnsi="Verdana" w:cs="Arial"/>
          <w:lang w:val="es-ES" w:eastAsia="es-ES" w:bidi="es-ES"/>
        </w:rPr>
      </w:pPr>
      <w:r w:rsidRPr="00E2397D">
        <w:rPr>
          <w:rFonts w:ascii="Verdana" w:eastAsia="Arial" w:hAnsi="Verdana" w:cs="Arial"/>
          <w:lang w:val="es-ES" w:eastAsia="es-ES" w:bidi="es-ES"/>
        </w:rPr>
        <w:t xml:space="preserve"> </w:t>
      </w:r>
      <w:bookmarkStart w:id="13" w:name="_Hlk78820161"/>
    </w:p>
    <w:p w14:paraId="15AF3E2F" w14:textId="77777777" w:rsidR="009B5304" w:rsidRPr="0057193B" w:rsidRDefault="009B5304" w:rsidP="009B5304">
      <w:pPr>
        <w:spacing w:line="276" w:lineRule="auto"/>
        <w:jc w:val="both"/>
        <w:rPr>
          <w:rFonts w:ascii="Verdana" w:eastAsia="Times New Roman" w:hAnsi="Verdana" w:cs="Arial"/>
          <w:bCs/>
          <w:lang w:val="es-MX" w:eastAsia="es-CO"/>
        </w:rPr>
      </w:pPr>
      <w:proofErr w:type="spellStart"/>
      <w:r>
        <w:rPr>
          <w:rFonts w:ascii="Verdana" w:eastAsia="Arial" w:hAnsi="Verdana" w:cs="Arial"/>
          <w:lang w:val="es-ES" w:eastAsia="es-ES" w:bidi="es-ES"/>
        </w:rPr>
        <w:t>iii</w:t>
      </w:r>
      <w:proofErr w:type="spellEnd"/>
      <w:r>
        <w:rPr>
          <w:rFonts w:ascii="Verdana" w:eastAsia="Arial" w:hAnsi="Verdana" w:cs="Arial"/>
          <w:lang w:val="es-ES" w:eastAsia="es-ES" w:bidi="es-ES"/>
        </w:rPr>
        <w:t>.</w:t>
      </w:r>
      <w:r w:rsidRPr="0057193B">
        <w:rPr>
          <w:rFonts w:ascii="Verdana" w:eastAsia="Arial" w:hAnsi="Verdana" w:cs="Arial"/>
          <w:lang w:val="es-ES" w:eastAsia="es-ES" w:bidi="es-ES"/>
        </w:rPr>
        <w:t xml:space="preserve"> </w:t>
      </w:r>
      <w:bookmarkEnd w:id="13"/>
      <w:r w:rsidRPr="0057193B">
        <w:rPr>
          <w:rFonts w:ascii="Verdana" w:eastAsia="Times New Roman" w:hAnsi="Verdana" w:cs="Arial"/>
          <w:bCs/>
          <w:lang w:val="es-MX" w:eastAsia="x-none"/>
        </w:rPr>
        <w:t xml:space="preserve">El ámbito material de la prohibición contenida en el artículo 33 de la ley 996 de 2005 está delimitado por la expresión </w:t>
      </w:r>
      <w:r>
        <w:rPr>
          <w:rFonts w:ascii="Verdana" w:eastAsia="Calibri" w:hAnsi="Verdana" w:cs="Arial"/>
          <w:bCs/>
          <w:sz w:val="20"/>
          <w:szCs w:val="20"/>
          <w:lang w:val="es-MX"/>
        </w:rPr>
        <w:t>“</w:t>
      </w:r>
      <w:r w:rsidRPr="0057193B">
        <w:rPr>
          <w:rFonts w:ascii="Verdana" w:eastAsia="Times New Roman" w:hAnsi="Verdana" w:cs="Arial"/>
          <w:bCs/>
          <w:lang w:val="es-MX" w:eastAsia="x-none"/>
        </w:rPr>
        <w:t>queda prohibida la contratación directa</w:t>
      </w:r>
      <w:r>
        <w:rPr>
          <w:rFonts w:ascii="Verdana" w:eastAsia="Calibri" w:hAnsi="Verdana" w:cs="Arial"/>
          <w:sz w:val="20"/>
          <w:szCs w:val="20"/>
          <w:lang w:val="es-MX"/>
        </w:rPr>
        <w:t>”</w:t>
      </w:r>
      <w:r w:rsidRPr="0057193B">
        <w:rPr>
          <w:rFonts w:ascii="Verdana" w:eastAsia="Times New Roman" w:hAnsi="Verdana" w:cs="Arial"/>
          <w:bCs/>
          <w:lang w:val="es-MX" w:eastAsia="x-none"/>
        </w:rPr>
        <w:t xml:space="preserve">. </w:t>
      </w:r>
      <w:r w:rsidRPr="0057193B">
        <w:rPr>
          <w:rFonts w:ascii="Verdana" w:eastAsia="Times New Roman" w:hAnsi="Verdana" w:cs="Arial"/>
          <w:lang w:val="es-MX" w:eastAsia="es-CO"/>
        </w:rPr>
        <w:t xml:space="preserve"> A propósito de </w:t>
      </w:r>
      <w:r w:rsidRPr="0057193B">
        <w:rPr>
          <w:rFonts w:ascii="Verdana" w:eastAsia="Times New Roman" w:hAnsi="Verdana" w:cs="Arial"/>
          <w:lang w:eastAsia="es-CO"/>
        </w:rPr>
        <w:t>esta restricción de la Ley de Garantías Electorales, la Sala de Consulta y Servicio Civil del Consejo de Estado ha considerado que:</w:t>
      </w:r>
    </w:p>
    <w:p w14:paraId="7EF1510F" w14:textId="77777777" w:rsidR="009B5304" w:rsidRPr="00817856" w:rsidRDefault="009B5304" w:rsidP="009B5304">
      <w:pPr>
        <w:spacing w:after="0" w:line="240" w:lineRule="auto"/>
        <w:ind w:left="708" w:right="709"/>
        <w:jc w:val="both"/>
        <w:rPr>
          <w:rFonts w:ascii="Verdana" w:eastAsia="Calibri" w:hAnsi="Verdana" w:cs="Arial"/>
          <w:sz w:val="20"/>
          <w:szCs w:val="20"/>
          <w:lang w:val="es-MX"/>
        </w:rPr>
      </w:pPr>
    </w:p>
    <w:p w14:paraId="0ABFB14D" w14:textId="77777777" w:rsidR="009B5304" w:rsidRPr="00817856" w:rsidRDefault="009B5304" w:rsidP="009B5304">
      <w:pPr>
        <w:spacing w:after="120" w:line="240" w:lineRule="auto"/>
        <w:ind w:left="709" w:right="709"/>
        <w:jc w:val="both"/>
        <w:rPr>
          <w:rFonts w:ascii="Verdana" w:eastAsia="Calibri" w:hAnsi="Verdana" w:cs="Arial"/>
          <w:sz w:val="20"/>
          <w:szCs w:val="20"/>
          <w:lang w:val="es-MX"/>
        </w:rPr>
      </w:pPr>
      <w:r w:rsidRPr="00817856">
        <w:rPr>
          <w:rFonts w:ascii="Verdana" w:eastAsia="Calibri" w:hAnsi="Verdana" w:cs="Arial"/>
          <w:sz w:val="20"/>
          <w:szCs w:val="20"/>
          <w:lang w:val="es-MX"/>
        </w:rPr>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r w:rsidRPr="00817856">
        <w:rPr>
          <w:rFonts w:ascii="Verdana" w:eastAsia="Times New Roman" w:hAnsi="Verdana" w:cs="Arial"/>
          <w:sz w:val="20"/>
          <w:szCs w:val="20"/>
          <w:vertAlign w:val="superscript"/>
          <w:lang w:eastAsia="es-CO"/>
        </w:rPr>
        <w:footnoteReference w:id="11"/>
      </w:r>
      <w:r w:rsidRPr="00817856">
        <w:rPr>
          <w:rFonts w:ascii="Verdana" w:eastAsia="Calibri" w:hAnsi="Verdana" w:cs="Arial"/>
          <w:sz w:val="20"/>
          <w:szCs w:val="20"/>
          <w:lang w:val="es-MX"/>
        </w:rPr>
        <w:t>.</w:t>
      </w:r>
    </w:p>
    <w:p w14:paraId="77018C65" w14:textId="77777777" w:rsidR="009B5304" w:rsidRPr="00817856" w:rsidRDefault="009B5304" w:rsidP="009B5304">
      <w:pPr>
        <w:spacing w:after="0" w:line="240" w:lineRule="auto"/>
        <w:ind w:left="708" w:right="709"/>
        <w:jc w:val="both"/>
        <w:rPr>
          <w:rFonts w:ascii="Verdana" w:eastAsia="Calibri" w:hAnsi="Verdana" w:cs="Arial"/>
          <w:sz w:val="20"/>
          <w:szCs w:val="20"/>
          <w:lang w:val="es-MX"/>
        </w:rPr>
      </w:pPr>
      <w:r w:rsidRPr="00817856">
        <w:rPr>
          <w:rFonts w:ascii="Verdana" w:eastAsia="Calibri" w:hAnsi="Verdana" w:cs="Arial"/>
          <w:sz w:val="20"/>
          <w:szCs w:val="20"/>
          <w:lang w:val="es-MX"/>
        </w:rPr>
        <w:t xml:space="preserve">Esta Sala ha entendido </w:t>
      </w:r>
      <w:proofErr w:type="gramStart"/>
      <w:r w:rsidRPr="00817856">
        <w:rPr>
          <w:rFonts w:ascii="Verdana" w:eastAsia="Calibri" w:hAnsi="Verdana" w:cs="Arial"/>
          <w:sz w:val="20"/>
          <w:szCs w:val="20"/>
          <w:lang w:val="es-MX"/>
        </w:rPr>
        <w:t>que</w:t>
      </w:r>
      <w:proofErr w:type="gramEnd"/>
      <w:r w:rsidRPr="00817856">
        <w:rPr>
          <w:rFonts w:ascii="Verdana" w:eastAsia="Calibri" w:hAnsi="Verdana" w:cs="Arial"/>
          <w:sz w:val="20"/>
          <w:szCs w:val="20"/>
          <w:lang w:val="es-MX"/>
        </w:rPr>
        <w:t xml:space="preserve"> para los efectos de la ley de garantías, y dada su finalidad, el enunciado ´contratación directa´ es sinónimo de cualquier sistema que no implique convocatoria pública y posibilidad de pluralidad de oferentes, y que, además, no necesariamente hace referencia al procedimiento especial regulado por la ley de contratación estatal, sino a cualquier otro que prescinda de un proceso de licitación pública o concurso</w:t>
      </w:r>
      <w:r w:rsidRPr="00817856">
        <w:rPr>
          <w:rFonts w:ascii="Verdana" w:eastAsia="Times New Roman" w:hAnsi="Verdana" w:cs="Arial"/>
          <w:sz w:val="20"/>
          <w:szCs w:val="20"/>
          <w:vertAlign w:val="superscript"/>
          <w:lang w:val="es-MX"/>
        </w:rPr>
        <w:footnoteReference w:id="12"/>
      </w:r>
      <w:r w:rsidRPr="00817856">
        <w:rPr>
          <w:rFonts w:ascii="Verdana" w:eastAsia="Times New Roman" w:hAnsi="Verdana" w:cs="Arial"/>
          <w:sz w:val="20"/>
          <w:szCs w:val="20"/>
          <w:vertAlign w:val="superscript"/>
          <w:lang w:val="es-MX"/>
        </w:rPr>
        <w:t>.</w:t>
      </w:r>
      <w:r w:rsidRPr="00817856">
        <w:rPr>
          <w:rFonts w:ascii="Verdana" w:eastAsia="Calibri" w:hAnsi="Verdana" w:cs="Arial"/>
          <w:sz w:val="20"/>
          <w:szCs w:val="20"/>
          <w:lang w:val="es-MX"/>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sidRPr="00817856">
        <w:rPr>
          <w:rFonts w:ascii="Verdana" w:eastAsia="Times New Roman" w:hAnsi="Verdana" w:cs="Arial"/>
          <w:sz w:val="20"/>
          <w:szCs w:val="20"/>
          <w:vertAlign w:val="superscript"/>
          <w:lang w:eastAsia="es-CO"/>
        </w:rPr>
        <w:footnoteReference w:id="13"/>
      </w:r>
      <w:r w:rsidRPr="00817856">
        <w:rPr>
          <w:rFonts w:ascii="Verdana" w:eastAsia="Calibri" w:hAnsi="Verdana" w:cs="Arial"/>
          <w:sz w:val="20"/>
          <w:szCs w:val="20"/>
          <w:lang w:val="es-MX"/>
        </w:rPr>
        <w:t xml:space="preserve"> .</w:t>
      </w:r>
    </w:p>
    <w:p w14:paraId="1173EC17" w14:textId="77777777" w:rsidR="009B5304" w:rsidRPr="0057193B" w:rsidRDefault="009B5304" w:rsidP="009B5304">
      <w:pPr>
        <w:shd w:val="clear" w:color="auto" w:fill="FFFFFF"/>
        <w:spacing w:after="0" w:line="276" w:lineRule="auto"/>
        <w:ind w:firstLine="709"/>
        <w:jc w:val="both"/>
        <w:rPr>
          <w:rFonts w:ascii="Verdana" w:eastAsia="Times New Roman" w:hAnsi="Verdana" w:cs="Arial"/>
          <w:lang w:eastAsia="x-none"/>
        </w:rPr>
      </w:pPr>
    </w:p>
    <w:p w14:paraId="2734E953" w14:textId="77777777" w:rsidR="009B5304" w:rsidRPr="0057193B" w:rsidRDefault="009B5304" w:rsidP="009B5304">
      <w:pPr>
        <w:spacing w:after="120" w:line="276" w:lineRule="auto"/>
        <w:ind w:firstLine="708"/>
        <w:jc w:val="both"/>
        <w:rPr>
          <w:rFonts w:ascii="Verdana" w:eastAsia="Times New Roman" w:hAnsi="Verdana" w:cs="Arial"/>
          <w:bCs/>
          <w:lang w:eastAsia="x-none"/>
        </w:rPr>
      </w:pPr>
      <w:r w:rsidRPr="0057193B">
        <w:rPr>
          <w:rFonts w:ascii="Verdana" w:eastAsia="Times New Roman" w:hAnsi="Verdana" w:cs="Arial"/>
          <w:lang w:eastAsia="x-none"/>
        </w:rPr>
        <w:t xml:space="preserve">De acuerdo con el citado concepto, la prohibición del artículo 33 de la Ley de Garantías Electorales se refiere a </w:t>
      </w:r>
      <w:r>
        <w:rPr>
          <w:rFonts w:ascii="Verdana" w:eastAsia="Times New Roman" w:hAnsi="Verdana" w:cs="Arial"/>
          <w:sz w:val="19"/>
          <w:szCs w:val="19"/>
          <w:lang w:eastAsia="en-GB"/>
        </w:rPr>
        <w:t>“</w:t>
      </w:r>
      <w:r w:rsidRPr="0057193B">
        <w:rPr>
          <w:rFonts w:ascii="Verdana" w:eastAsia="Times New Roman" w:hAnsi="Verdana" w:cs="Arial"/>
          <w:lang w:eastAsia="x-none"/>
        </w:rPr>
        <w:t>cualquier sistema que no implique convocatoria pública y posibilidad de pluralidad de oferentes</w:t>
      </w:r>
      <w:r>
        <w:rPr>
          <w:rFonts w:ascii="Verdana" w:eastAsia="Times New Roman" w:hAnsi="Verdana" w:cs="Arial"/>
          <w:lang w:eastAsia="en-GB"/>
        </w:rPr>
        <w:t>”</w:t>
      </w:r>
      <w:r w:rsidRPr="0057193B">
        <w:rPr>
          <w:rFonts w:ascii="Verdana" w:eastAsia="Times New Roman" w:hAnsi="Verdana" w:cs="Arial"/>
          <w:lang w:eastAsia="x-none"/>
        </w:rPr>
        <w:t xml:space="preserve">, por lo que excluye las demás modalidades de contratación previstas en la Ley 1150 de 2007, es decir, la licitación pública, la selección abreviada, el concurso de méritos </w:t>
      </w:r>
      <w:r w:rsidRPr="0057193B">
        <w:rPr>
          <w:rFonts w:ascii="Verdana" w:eastAsia="Times New Roman" w:hAnsi="Verdana" w:cs="Arial"/>
          <w:lang w:val="es-ES_tradnl" w:eastAsia="x-none"/>
        </w:rPr>
        <w:t>y la mínima cuantía</w:t>
      </w:r>
      <w:r w:rsidRPr="0057193B" w:rsidDel="00A85D9F">
        <w:rPr>
          <w:rFonts w:ascii="Verdana" w:eastAsia="Times New Roman" w:hAnsi="Verdana" w:cs="Arial"/>
          <w:lang w:eastAsia="x-none"/>
        </w:rPr>
        <w:t xml:space="preserve"> </w:t>
      </w:r>
      <w:r w:rsidRPr="0057193B">
        <w:rPr>
          <w:rFonts w:ascii="Verdana" w:eastAsia="Times New Roman" w:hAnsi="Verdana" w:cs="Arial"/>
          <w:lang w:eastAsia="x-none"/>
        </w:rPr>
        <w:t>u otros previstos en normas especiales. Esta posición es congruente con la expedición de la Ley 1150 de 2007 que, entre otras reformas, introdujo la selección abreviada, rediseñó el concurso de méritos</w:t>
      </w:r>
      <w:r w:rsidRPr="0057193B">
        <w:rPr>
          <w:rFonts w:ascii="Verdana" w:eastAsia="Times New Roman" w:hAnsi="Verdana" w:cs="Arial"/>
          <w:vertAlign w:val="superscript"/>
          <w:lang w:val="en-GB" w:eastAsia="x-none"/>
        </w:rPr>
        <w:footnoteReference w:id="14"/>
      </w:r>
      <w:r w:rsidRPr="0057193B">
        <w:rPr>
          <w:rFonts w:ascii="Verdana" w:eastAsia="Times New Roman" w:hAnsi="Verdana" w:cs="Arial"/>
          <w:lang w:eastAsia="x-none"/>
        </w:rPr>
        <w:t xml:space="preserve"> y sistematizó las causales de contratación directa</w:t>
      </w:r>
      <w:r w:rsidRPr="0057193B">
        <w:rPr>
          <w:rFonts w:ascii="Verdana" w:eastAsia="Times New Roman" w:hAnsi="Verdana" w:cs="Arial"/>
          <w:vertAlign w:val="superscript"/>
          <w:lang w:val="en-GB" w:eastAsia="x-none"/>
        </w:rPr>
        <w:footnoteReference w:id="15"/>
      </w:r>
      <w:r w:rsidRPr="0057193B">
        <w:rPr>
          <w:rFonts w:ascii="Verdana" w:eastAsia="Times New Roman" w:hAnsi="Verdana" w:cs="Arial"/>
          <w:lang w:eastAsia="x-none"/>
        </w:rPr>
        <w:t xml:space="preserve">, </w:t>
      </w:r>
      <w:r w:rsidRPr="0057193B">
        <w:rPr>
          <w:rFonts w:ascii="Verdana" w:eastAsia="Calibri" w:hAnsi="Verdana" w:cs="Arial"/>
          <w:szCs w:val="24"/>
          <w:lang w:eastAsia="x-none"/>
        </w:rPr>
        <w:t>además lo es con la posterior creación de la modalidad de mínima cuantía establecida actualmente en el numeral 5 del artículo 2 de la Ley 1150 de 2007, de acuerdo con las modificaciones realizadas por leyes posteriores.</w:t>
      </w:r>
    </w:p>
    <w:p w14:paraId="33E7ED1F" w14:textId="77777777" w:rsidR="009B5304" w:rsidRPr="0057193B" w:rsidRDefault="009B5304" w:rsidP="009B5304">
      <w:pPr>
        <w:spacing w:after="120" w:line="276" w:lineRule="auto"/>
        <w:ind w:firstLine="708"/>
        <w:jc w:val="both"/>
        <w:rPr>
          <w:rFonts w:ascii="Verdana" w:eastAsia="Times New Roman" w:hAnsi="Verdana" w:cs="Arial"/>
          <w:lang w:val="es-MX" w:eastAsia="x-none"/>
        </w:rPr>
      </w:pPr>
      <w:r w:rsidRPr="0057193B">
        <w:rPr>
          <w:rFonts w:ascii="Verdana" w:eastAsia="Times New Roman" w:hAnsi="Verdana" w:cs="Arial"/>
          <w:lang w:eastAsia="x-none"/>
        </w:rPr>
        <w:t xml:space="preserve">De esta forma, con fundamento en la evolución de la normativa sobre la contratación pública, se ha depurado la noción de </w:t>
      </w:r>
      <w:r>
        <w:rPr>
          <w:rFonts w:ascii="Verdana" w:eastAsia="Times New Roman" w:hAnsi="Verdana" w:cs="Arial"/>
          <w:sz w:val="19"/>
          <w:szCs w:val="19"/>
          <w:lang w:eastAsia="en-GB"/>
        </w:rPr>
        <w:t>“</w:t>
      </w:r>
      <w:r w:rsidRPr="0057193B">
        <w:rPr>
          <w:rFonts w:ascii="Verdana" w:eastAsia="Times New Roman" w:hAnsi="Verdana" w:cs="Arial"/>
          <w:lang w:eastAsia="x-none"/>
        </w:rPr>
        <w:t>contratación directa</w:t>
      </w:r>
      <w:r>
        <w:rPr>
          <w:rFonts w:ascii="Verdana" w:eastAsia="Times New Roman" w:hAnsi="Verdana" w:cs="Arial"/>
          <w:lang w:eastAsia="en-GB"/>
        </w:rPr>
        <w:t>”</w:t>
      </w:r>
      <w:r w:rsidRPr="0057193B">
        <w:rPr>
          <w:rFonts w:ascii="Verdana" w:eastAsia="Times New Roman" w:hAnsi="Verdana" w:cs="Arial"/>
          <w:lang w:eastAsia="x-none"/>
        </w:rPr>
        <w:t>, precisando el Consejo de Estad</w:t>
      </w:r>
      <w:r>
        <w:rPr>
          <w:rFonts w:ascii="Verdana" w:eastAsia="Times New Roman" w:hAnsi="Verdana" w:cs="Arial"/>
          <w:lang w:eastAsia="x-none"/>
        </w:rPr>
        <w:t>o –en el concepto citado– que, “</w:t>
      </w:r>
      <w:r w:rsidRPr="0057193B">
        <w:rPr>
          <w:rFonts w:ascii="Verdana" w:eastAsia="Times New Roman" w:hAnsi="Verdana" w:cs="Arial"/>
          <w:lang w:eastAsia="x-none"/>
        </w:rPr>
        <w:t>aun cuando no coincide única y exactamente con la regulación que de dicho sistema de selección hace el artículo 2º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w:t>
      </w:r>
      <w:r w:rsidRPr="0057193B">
        <w:rPr>
          <w:rFonts w:ascii="Verdana" w:eastAsia="Times New Roman" w:hAnsi="Verdana" w:cs="Arial"/>
          <w:vertAlign w:val="superscript"/>
          <w:lang w:val="en-GB" w:eastAsia="x-none"/>
        </w:rPr>
        <w:footnoteReference w:id="16"/>
      </w:r>
      <w:r w:rsidRPr="0057193B">
        <w:rPr>
          <w:rFonts w:ascii="Verdana" w:eastAsia="Times New Roman" w:hAnsi="Verdana" w:cs="Arial"/>
          <w:lang w:eastAsia="x-none"/>
        </w:rPr>
        <w:t>, han establecido sistemas de contratación que implican convocatoria pública y participación de varios oferentes</w:t>
      </w:r>
      <w:r>
        <w:rPr>
          <w:rFonts w:ascii="Verdana" w:eastAsia="Times New Roman" w:hAnsi="Verdana" w:cs="Arial"/>
          <w:lang w:eastAsia="en-GB"/>
        </w:rPr>
        <w:t>”</w:t>
      </w:r>
      <w:r w:rsidRPr="0057193B">
        <w:rPr>
          <w:rFonts w:ascii="Verdana" w:eastAsia="Times New Roman" w:hAnsi="Verdana" w:cs="Arial"/>
          <w:lang w:eastAsia="x-none"/>
        </w:rPr>
        <w:t xml:space="preserve">. </w:t>
      </w:r>
    </w:p>
    <w:p w14:paraId="63807B2D" w14:textId="77777777" w:rsidR="009B5304" w:rsidRPr="005154AE" w:rsidRDefault="009B5304" w:rsidP="009B5304">
      <w:pPr>
        <w:spacing w:after="120" w:line="276" w:lineRule="auto"/>
        <w:ind w:firstLine="708"/>
        <w:jc w:val="both"/>
        <w:rPr>
          <w:rFonts w:ascii="Verdana" w:eastAsia="Times New Roman" w:hAnsi="Verdana" w:cs="Arial"/>
          <w:lang w:eastAsia="x-none"/>
        </w:rPr>
      </w:pPr>
      <w:r w:rsidRPr="0057193B">
        <w:rPr>
          <w:rFonts w:ascii="Verdana" w:eastAsia="Times New Roman" w:hAnsi="Verdana" w:cs="Arial"/>
          <w:bCs/>
          <w:lang w:val="es-MX" w:eastAsia="x-none"/>
        </w:rPr>
        <w:t>E</w:t>
      </w:r>
      <w:r w:rsidRPr="0057193B">
        <w:rPr>
          <w:rFonts w:ascii="Verdana" w:eastAsia="Times New Roman" w:hAnsi="Verdana" w:cs="Arial"/>
          <w:lang w:eastAsia="x-none"/>
        </w:rPr>
        <w:t>n efecto, vale la pena mencionar que, 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w:t>
      </w:r>
      <w:r>
        <w:rPr>
          <w:rFonts w:ascii="Verdana" w:eastAsia="Times New Roman" w:hAnsi="Verdana" w:cs="Arial"/>
          <w:lang w:eastAsia="x-none"/>
        </w:rPr>
        <w:t>ue dicho sistema no constituye “contratación directa”</w:t>
      </w:r>
      <w:r w:rsidRPr="0057193B">
        <w:rPr>
          <w:rFonts w:ascii="Verdana" w:eastAsia="Times New Roman" w:hAnsi="Verdana" w:cs="Arial"/>
          <w:lang w:eastAsia="x-none"/>
        </w:rPr>
        <w:t xml:space="preserve">, es que la convocatoria para </w:t>
      </w:r>
      <w:r w:rsidRPr="0057193B">
        <w:rPr>
          <w:rFonts w:ascii="Verdana" w:eastAsia="Times New Roman" w:hAnsi="Verdana" w:cs="Arial"/>
          <w:lang w:eastAsia="x-none"/>
        </w:rPr>
        <w:lastRenderedPageBreak/>
        <w:t>inscribirse en forma previa se haga de manera pública, y que se permita la participación de una pluralidad de oferentes</w:t>
      </w:r>
      <w:r w:rsidRPr="0057193B">
        <w:rPr>
          <w:rFonts w:ascii="Verdana" w:eastAsia="Times New Roman" w:hAnsi="Verdana" w:cs="Arial"/>
          <w:vertAlign w:val="superscript"/>
          <w:lang w:eastAsia="x-none"/>
        </w:rPr>
        <w:footnoteReference w:id="17"/>
      </w:r>
      <w:r w:rsidRPr="0057193B">
        <w:rPr>
          <w:rFonts w:ascii="Verdana" w:eastAsia="Times New Roman" w:hAnsi="Verdana" w:cs="Arial"/>
          <w:lang w:eastAsia="x-none"/>
        </w:rPr>
        <w:t xml:space="preserve">. </w:t>
      </w:r>
    </w:p>
    <w:p w14:paraId="53026109" w14:textId="77777777" w:rsidR="009B5304" w:rsidRPr="0057193B" w:rsidRDefault="009B5304" w:rsidP="009B5304">
      <w:pPr>
        <w:spacing w:after="120" w:line="276" w:lineRule="auto"/>
        <w:ind w:firstLine="708"/>
        <w:jc w:val="both"/>
        <w:rPr>
          <w:rFonts w:ascii="Verdana" w:eastAsia="Times New Roman" w:hAnsi="Verdana" w:cs="Arial"/>
          <w:bCs/>
          <w:lang w:val="es-MX" w:eastAsia="es-CO"/>
        </w:rPr>
      </w:pPr>
      <w:r w:rsidRPr="0057193B">
        <w:rPr>
          <w:rFonts w:ascii="Verdana" w:eastAsia="Times New Roman" w:hAnsi="Verdana" w:cs="Arial"/>
          <w:bCs/>
          <w:lang w:val="es-MX" w:eastAsia="es-CO"/>
        </w:rPr>
        <w:t>Como se advierte de lo anterior, el Consejo de Estado realiza una interpretación amplia de la contratación directa, para efectos de aplicar las restricciones establecidas en la Ley de Garantías, al señalar que no solo aplica frente a las entidades sometidas al Estatuto general de Contratación de la Administración Pública, sino también frente a las entidades que tengan un régimen especial de contratación. No obstante, también se observa que luego de la expedición de Ley 1150 de 2007, el Consejo de Estado comenzó a delimitar con mayor precisión el término de «contratación directa».</w:t>
      </w:r>
    </w:p>
    <w:p w14:paraId="1D51817F" w14:textId="77777777" w:rsidR="009B5304" w:rsidRPr="0057193B" w:rsidRDefault="009B5304" w:rsidP="009B5304">
      <w:pPr>
        <w:spacing w:after="120" w:line="276" w:lineRule="auto"/>
        <w:ind w:firstLine="708"/>
        <w:jc w:val="both"/>
        <w:rPr>
          <w:rFonts w:ascii="Verdana" w:eastAsia="Times New Roman" w:hAnsi="Verdana" w:cs="Arial"/>
          <w:bCs/>
          <w:lang w:val="es-MX" w:eastAsia="x-none"/>
        </w:rPr>
      </w:pPr>
      <w:r w:rsidRPr="0057193B">
        <w:rPr>
          <w:rFonts w:ascii="Verdana" w:eastAsia="Times New Roman" w:hAnsi="Verdana" w:cs="Arial"/>
          <w:bCs/>
          <w:lang w:val="es-MX" w:eastAsia="x-none"/>
        </w:rPr>
        <w:t xml:space="preserve"> Así las cosas, ha de entenderse que, para los efectos de la Ley de Garantías Electorales y, en particular, para la prohibición o restricción tempora</w:t>
      </w:r>
      <w:r>
        <w:rPr>
          <w:rFonts w:ascii="Verdana" w:eastAsia="Times New Roman" w:hAnsi="Verdana" w:cs="Arial"/>
          <w:bCs/>
          <w:lang w:val="es-MX" w:eastAsia="x-none"/>
        </w:rPr>
        <w:t>l contenida en su artículo 33, “contratación directa”</w:t>
      </w:r>
      <w:r w:rsidRPr="0057193B">
        <w:rPr>
          <w:rFonts w:ascii="Verdana" w:eastAsia="Times New Roman" w:hAnsi="Verdana" w:cs="Arial"/>
          <w:bCs/>
          <w:lang w:val="es-MX" w:eastAsia="x-none"/>
        </w:rPr>
        <w:t xml:space="preserve"> es cualquier sistema de selección o procedimiento de contratación utilizado por las entidades estatales que no incluya la convocatoria pública en alguna de sus etapas, ni permita la participación de una pluralidad de oferentes</w:t>
      </w:r>
      <w:r w:rsidRPr="0057193B">
        <w:rPr>
          <w:rFonts w:ascii="Verdana" w:eastAsia="Times New Roman" w:hAnsi="Verdana" w:cs="Arial"/>
          <w:vertAlign w:val="superscript"/>
          <w:lang w:eastAsia="x-none"/>
        </w:rPr>
        <w:footnoteReference w:id="18"/>
      </w:r>
      <w:r w:rsidRPr="0057193B">
        <w:rPr>
          <w:rFonts w:ascii="Verdana" w:eastAsia="Times New Roman" w:hAnsi="Verdana" w:cs="Arial"/>
          <w:bCs/>
          <w:lang w:val="es-MX" w:eastAsia="x-none"/>
        </w:rPr>
        <w:t>.</w:t>
      </w:r>
      <w:r w:rsidRPr="0057193B">
        <w:rPr>
          <w:rFonts w:ascii="Verdana" w:eastAsia="Times New Roman" w:hAnsi="Verdana" w:cs="Arial"/>
          <w:vertAlign w:val="superscript"/>
          <w:lang w:eastAsia="x-none"/>
        </w:rPr>
        <w:t xml:space="preserve"> </w:t>
      </w:r>
    </w:p>
    <w:p w14:paraId="5AE195D7" w14:textId="77777777" w:rsidR="009B5304" w:rsidRPr="0057193B" w:rsidRDefault="009B5304" w:rsidP="009B5304">
      <w:pPr>
        <w:spacing w:after="120" w:line="276" w:lineRule="auto"/>
        <w:ind w:firstLine="708"/>
        <w:jc w:val="both"/>
        <w:rPr>
          <w:rFonts w:ascii="Verdana" w:eastAsia="Times New Roman" w:hAnsi="Verdana" w:cs="Arial"/>
          <w:lang w:eastAsia="x-none"/>
        </w:rPr>
      </w:pPr>
      <w:r w:rsidRPr="0057193B">
        <w:rPr>
          <w:rFonts w:ascii="Verdana" w:eastAsia="Times New Roman" w:hAnsi="Verdana" w:cs="Arial"/>
          <w:bCs/>
          <w:lang w:val="es-MX" w:eastAsia="x-none"/>
        </w:rPr>
        <w:t>De lo anterior se desprende que la restricción aplica, sin perjuicio de las excepciones establecidas en la misma ley, para celebrar cualquier contrato de forma directa, esto es, sin que exista un proceso abierto y competitivo.</w:t>
      </w:r>
      <w:r w:rsidRPr="0057193B">
        <w:rPr>
          <w:rFonts w:ascii="Verdana" w:eastAsia="Times New Roman" w:hAnsi="Verdana" w:cs="Arial"/>
          <w:lang w:eastAsia="x-none"/>
        </w:rPr>
        <w:t xml:space="preserve"> Por tanto, no son materia de la prohibición las demás modalidades de selección previstas en la Ley 1150 de 2007, es decir, la licitación pública, el concurso de méritos, la selección abreviada y la mínima cuantía, razón por la cual en ese período preelectoral de que trata la disposición las entidades públicas pueden seguir contratando bajo estos sistemas.</w:t>
      </w:r>
    </w:p>
    <w:p w14:paraId="1B3E357F" w14:textId="77777777" w:rsidR="009B5304" w:rsidRPr="00447D82" w:rsidRDefault="009B5304" w:rsidP="009B5304">
      <w:pPr>
        <w:spacing w:after="120" w:line="276" w:lineRule="auto"/>
        <w:ind w:firstLine="708"/>
        <w:jc w:val="both"/>
        <w:rPr>
          <w:rFonts w:ascii="Verdana" w:eastAsia="Times New Roman" w:hAnsi="Verdana" w:cs="Arial"/>
          <w:bCs/>
          <w:lang w:val="es-MX" w:eastAsia="es-CO"/>
        </w:rPr>
      </w:pPr>
      <w:r w:rsidRPr="0057193B">
        <w:rPr>
          <w:rFonts w:ascii="Verdana" w:eastAsia="Times New Roman" w:hAnsi="Verdana" w:cs="Arial"/>
          <w:bCs/>
          <w:lang w:val="es-MX" w:eastAsia="es-CO"/>
        </w:rPr>
        <w:t xml:space="preserve">Como en otras oportunidades lo ha manifestado esta Agencia, las prórrogas, modificaciones o adiciones de los contratos suscritos antes de la </w:t>
      </w:r>
      <w:proofErr w:type="gramStart"/>
      <w:r w:rsidRPr="0057193B">
        <w:rPr>
          <w:rFonts w:ascii="Verdana" w:eastAsia="Times New Roman" w:hAnsi="Verdana" w:cs="Arial"/>
          <w:bCs/>
          <w:lang w:val="es-MX" w:eastAsia="es-CO"/>
        </w:rPr>
        <w:t>entrada en vigencia</w:t>
      </w:r>
      <w:proofErr w:type="gramEnd"/>
      <w:r w:rsidRPr="0057193B">
        <w:rPr>
          <w:rFonts w:ascii="Verdana" w:eastAsia="Times New Roman" w:hAnsi="Verdana" w:cs="Arial"/>
          <w:bCs/>
          <w:lang w:val="es-MX" w:eastAsia="es-CO"/>
        </w:rPr>
        <w:t xml:space="preserve"> de las prohibiciones anotadas, así como la cesión de </w:t>
      </w:r>
      <w:proofErr w:type="gramStart"/>
      <w:r w:rsidRPr="0057193B">
        <w:rPr>
          <w:rFonts w:ascii="Verdana" w:eastAsia="Times New Roman" w:hAnsi="Verdana" w:cs="Arial"/>
          <w:bCs/>
          <w:lang w:val="es-MX" w:eastAsia="es-CO"/>
        </w:rPr>
        <w:t>los mismos</w:t>
      </w:r>
      <w:proofErr w:type="gramEnd"/>
      <w:r w:rsidRPr="0057193B">
        <w:rPr>
          <w:rFonts w:ascii="Verdana" w:eastAsia="Times New Roman" w:hAnsi="Verdana" w:cs="Arial"/>
          <w:bCs/>
          <w:lang w:val="es-MX" w:eastAsia="es-CO"/>
        </w:rPr>
        <w:t>, pueden tener lugar en el período de aplicación de la Ley de Garantías, sin que ello haga nugatoria la restricción de la contratación directa y siempre que cumplan los principios de planeación, transparencia y responsabilidad</w:t>
      </w:r>
      <w:r w:rsidRPr="0057193B">
        <w:rPr>
          <w:rFonts w:ascii="Verdana" w:eastAsia="Times New Roman" w:hAnsi="Verdana" w:cs="Arial"/>
          <w:bCs/>
          <w:vertAlign w:val="superscript"/>
          <w:lang w:val="es-MX" w:eastAsia="es-CO"/>
        </w:rPr>
        <w:footnoteReference w:id="19"/>
      </w:r>
      <w:r w:rsidRPr="0057193B">
        <w:rPr>
          <w:rFonts w:ascii="Verdana" w:eastAsia="Times New Roman" w:hAnsi="Verdana" w:cs="Arial"/>
          <w:bCs/>
          <w:lang w:val="es-MX" w:eastAsia="es-CO"/>
        </w:rPr>
        <w:t xml:space="preserve">. </w:t>
      </w:r>
      <w:r w:rsidRPr="0057193B">
        <w:rPr>
          <w:rFonts w:ascii="Verdana" w:eastAsia="Times New Roman" w:hAnsi="Verdana" w:cs="Arial"/>
          <w:bCs/>
          <w:lang w:val="es-MX" w:eastAsia="es-CO"/>
        </w:rPr>
        <w:lastRenderedPageBreak/>
        <w:t>Además, también es posible que contratos celebrados previamente se continúen ejecutando con normalidad.</w:t>
      </w:r>
      <w:r>
        <w:rPr>
          <w:rFonts w:ascii="Verdana" w:eastAsia="Times New Roman" w:hAnsi="Verdana" w:cs="Arial"/>
          <w:bCs/>
          <w:lang w:val="es-MX" w:eastAsia="es-CO"/>
        </w:rPr>
        <w:t xml:space="preserve"> </w:t>
      </w:r>
    </w:p>
    <w:p w14:paraId="3C96FB30" w14:textId="77777777" w:rsidR="009B5304" w:rsidRPr="0057193B" w:rsidRDefault="009B5304" w:rsidP="009B5304">
      <w:pPr>
        <w:spacing w:after="120" w:line="276" w:lineRule="auto"/>
        <w:ind w:firstLine="708"/>
        <w:jc w:val="both"/>
        <w:rPr>
          <w:rFonts w:ascii="Verdana" w:eastAsia="Times New Roman" w:hAnsi="Verdana" w:cs="Arial"/>
          <w:bCs/>
          <w:lang w:val="es-MX" w:eastAsia="es-CO"/>
        </w:rPr>
      </w:pPr>
      <w:r w:rsidRPr="0057193B">
        <w:rPr>
          <w:rFonts w:ascii="Verdana" w:eastAsia="Times New Roman" w:hAnsi="Verdana" w:cs="Arial"/>
          <w:bCs/>
          <w:lang w:val="es-MX" w:eastAsia="x-none"/>
        </w:rPr>
        <w:t xml:space="preserve">De otro lado, las excepciones a la restricción prevista en la Ley de Garantías, con fundamento en las cuales podrán las entidades públicas adelantar procedimientos de selección directa en períodos previos a la contienda electoral por la Presidencia, se encuentran consagradas expresamente en el inciso final del citado artículo 33 de la Ley 996 de 2005 en lo referente a i) la defensa y seguridad del Estado; </w:t>
      </w:r>
      <w:proofErr w:type="spellStart"/>
      <w:r w:rsidRPr="0057193B">
        <w:rPr>
          <w:rFonts w:ascii="Verdana" w:eastAsia="Times New Roman" w:hAnsi="Verdana" w:cs="Arial"/>
          <w:bCs/>
          <w:lang w:val="es-MX" w:eastAsia="x-none"/>
        </w:rPr>
        <w:t>ii</w:t>
      </w:r>
      <w:proofErr w:type="spellEnd"/>
      <w:r w:rsidRPr="0057193B">
        <w:rPr>
          <w:rFonts w:ascii="Verdana" w:eastAsia="Times New Roman" w:hAnsi="Verdana" w:cs="Arial"/>
          <w:bCs/>
          <w:lang w:val="es-MX" w:eastAsia="x-none"/>
        </w:rPr>
        <w:t xml:space="preserve">) los contratos de crédito público; </w:t>
      </w:r>
      <w:proofErr w:type="spellStart"/>
      <w:r w:rsidRPr="0057193B">
        <w:rPr>
          <w:rFonts w:ascii="Verdana" w:eastAsia="Times New Roman" w:hAnsi="Verdana" w:cs="Arial"/>
          <w:bCs/>
          <w:lang w:val="es-MX" w:eastAsia="x-none"/>
        </w:rPr>
        <w:t>iii</w:t>
      </w:r>
      <w:proofErr w:type="spellEnd"/>
      <w:r w:rsidRPr="0057193B">
        <w:rPr>
          <w:rFonts w:ascii="Verdana" w:eastAsia="Times New Roman" w:hAnsi="Verdana" w:cs="Arial"/>
          <w:bCs/>
          <w:lang w:val="es-MX" w:eastAsia="x-none"/>
        </w:rPr>
        <w:t xml:space="preserve">) los requeridos para cubrir las emergencias educativas, sanitarias y desastres; </w:t>
      </w:r>
      <w:proofErr w:type="spellStart"/>
      <w:r w:rsidRPr="0057193B">
        <w:rPr>
          <w:rFonts w:ascii="Verdana" w:eastAsia="Times New Roman" w:hAnsi="Verdana" w:cs="Arial"/>
          <w:bCs/>
          <w:lang w:val="es-MX" w:eastAsia="x-none"/>
        </w:rPr>
        <w:t>iv</w:t>
      </w:r>
      <w:proofErr w:type="spellEnd"/>
      <w:r w:rsidRPr="0057193B">
        <w:rPr>
          <w:rFonts w:ascii="Verdana" w:eastAsia="Times New Roman" w:hAnsi="Verdana" w:cs="Arial"/>
          <w:bCs/>
          <w:lang w:val="es-MX"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57193B">
        <w:rPr>
          <w:rFonts w:ascii="Verdana" w:eastAsia="Times New Roman" w:hAnsi="Verdana" w:cs="Arial"/>
          <w:bCs/>
          <w:lang w:val="es-MX" w:eastAsia="es-CO"/>
        </w:rPr>
        <w:t xml:space="preserve">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072F472B" w14:textId="77777777" w:rsidR="009B5304" w:rsidRPr="0057193B" w:rsidRDefault="009B5304" w:rsidP="009B5304">
      <w:pPr>
        <w:spacing w:after="120" w:line="276" w:lineRule="auto"/>
        <w:ind w:firstLine="709"/>
        <w:jc w:val="both"/>
        <w:rPr>
          <w:rFonts w:ascii="Verdana" w:eastAsia="Times New Roman" w:hAnsi="Verdana" w:cs="Arial"/>
          <w:bCs/>
          <w:lang w:val="es-MX" w:eastAsia="x-none"/>
        </w:rPr>
      </w:pPr>
      <w:r w:rsidRPr="0057193B">
        <w:rPr>
          <w:rFonts w:ascii="Verdana" w:eastAsia="Times New Roman" w:hAnsi="Verdana" w:cs="Arial"/>
          <w:bCs/>
          <w:lang w:val="es-MX" w:eastAsia="x-none"/>
        </w:rPr>
        <w:t>En esta labor es importante tener en cuenta, como lo anotó la Corte Constitucional, en Sentencia C-11</w:t>
      </w:r>
      <w:r>
        <w:rPr>
          <w:rFonts w:ascii="Verdana" w:eastAsia="Times New Roman" w:hAnsi="Verdana" w:cs="Arial"/>
          <w:bCs/>
          <w:lang w:val="es-MX" w:eastAsia="x-none"/>
        </w:rPr>
        <w:t>53 de noviembre 11 de 2005 que “</w:t>
      </w:r>
      <w:r w:rsidRPr="0057193B">
        <w:rPr>
          <w:rFonts w:ascii="Verdana" w:eastAsia="Times New Roman" w:hAnsi="Verdana" w:cs="Arial"/>
          <w:bCs/>
          <w:lang w:val="es-MX" w:eastAsia="x-none"/>
        </w:rPr>
        <w:t>si bien la limitación garantiza la igualdad de condiciones, también es necesario que tal limitación que pretende la igualdad no termine yendo en detrimento de intereses públicos, cuya garantía está en cabeza del ejecutivo, como son los inmersos en las excepciones para</w:t>
      </w:r>
      <w:r>
        <w:rPr>
          <w:rFonts w:ascii="Verdana" w:eastAsia="Times New Roman" w:hAnsi="Verdana" w:cs="Arial"/>
          <w:bCs/>
          <w:lang w:val="es-MX" w:eastAsia="x-none"/>
        </w:rPr>
        <w:t xml:space="preserve"> la prohibición de contratación”</w:t>
      </w:r>
      <w:r w:rsidRPr="0057193B">
        <w:rPr>
          <w:rFonts w:ascii="Verdana" w:eastAsia="Calibri" w:hAnsi="Verdana" w:cs="Arial"/>
          <w:vertAlign w:val="superscript"/>
          <w:lang w:val="es-MX"/>
        </w:rPr>
        <w:footnoteReference w:id="20"/>
      </w:r>
      <w:r w:rsidRPr="0057193B">
        <w:rPr>
          <w:rFonts w:ascii="Verdana" w:eastAsia="Times New Roman" w:hAnsi="Verdana" w:cs="Arial"/>
          <w:bCs/>
          <w:lang w:val="es-MX" w:eastAsia="x-none"/>
        </w:rPr>
        <w:t>. De ahí que la Corte haya señalado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candidatos como garantía electoral.</w:t>
      </w:r>
    </w:p>
    <w:p w14:paraId="3BC9F139" w14:textId="77777777" w:rsidR="009B5304" w:rsidRPr="0057193B" w:rsidRDefault="009B5304" w:rsidP="009B5304">
      <w:pPr>
        <w:spacing w:after="0" w:line="276" w:lineRule="auto"/>
        <w:ind w:firstLine="708"/>
        <w:jc w:val="both"/>
        <w:rPr>
          <w:rFonts w:ascii="Verdana" w:eastAsia="Times New Roman" w:hAnsi="Verdana" w:cs="Arial"/>
          <w:bCs/>
          <w:lang w:val="es-MX" w:eastAsia="x-none"/>
        </w:rPr>
      </w:pPr>
      <w:r w:rsidRPr="0057193B">
        <w:rPr>
          <w:rFonts w:ascii="Verdana" w:eastAsia="Times New Roman" w:hAnsi="Verdana" w:cs="Arial"/>
          <w:bCs/>
          <w:lang w:val="es-MX" w:eastAsia="x-none"/>
        </w:rPr>
        <w:t>En relación con los destinatarios de la restricción analizada, el artículo 33 de la Ley 996 de 2005 los señala expresamente</w:t>
      </w:r>
      <w:r>
        <w:rPr>
          <w:rFonts w:ascii="Verdana" w:eastAsia="Times New Roman" w:hAnsi="Verdana" w:cs="Arial"/>
          <w:bCs/>
          <w:lang w:val="es-MX" w:eastAsia="x-none"/>
        </w:rPr>
        <w:t xml:space="preserve">, en el sentido de que son “todos </w:t>
      </w:r>
      <w:r>
        <w:rPr>
          <w:rFonts w:ascii="Verdana" w:eastAsia="Times New Roman" w:hAnsi="Verdana" w:cs="Arial"/>
          <w:bCs/>
          <w:lang w:val="es-MX" w:eastAsia="x-none"/>
        </w:rPr>
        <w:lastRenderedPageBreak/>
        <w:t>los entes del Estado”</w:t>
      </w:r>
      <w:r w:rsidRPr="0057193B">
        <w:rPr>
          <w:rFonts w:ascii="Verdana" w:eastAsia="Times New Roman" w:hAnsi="Verdana" w:cs="Arial"/>
          <w:bCs/>
          <w:lang w:val="es-MX" w:eastAsia="x-none"/>
        </w:rPr>
        <w:t>, expresión que contempla a los diferentes organismos o entidades autorizadas por la ley para suscribir contratos.</w:t>
      </w:r>
      <w:r w:rsidRPr="0057193B">
        <w:rPr>
          <w:rFonts w:ascii="Verdana" w:eastAsia="Calibri" w:hAnsi="Verdana" w:cs="Arial"/>
          <w:sz w:val="24"/>
          <w:lang w:val="es-MX"/>
        </w:rPr>
        <w:t xml:space="preserve"> </w:t>
      </w:r>
      <w:r w:rsidRPr="0057193B">
        <w:rPr>
          <w:rFonts w:ascii="Verdana" w:eastAsia="Times New Roman" w:hAnsi="Verdana" w:cs="Arial"/>
          <w:bCs/>
          <w:lang w:val="es-MX" w:eastAsia="x-none"/>
        </w:rPr>
        <w:t>En efecto, tal como lo ha sostenido el</w:t>
      </w:r>
      <w:r>
        <w:rPr>
          <w:rFonts w:ascii="Verdana" w:eastAsia="Times New Roman" w:hAnsi="Verdana" w:cs="Arial"/>
          <w:bCs/>
          <w:lang w:val="es-MX" w:eastAsia="x-none"/>
        </w:rPr>
        <w:t xml:space="preserve"> Consejo de Estado, el vocablo “todos”</w:t>
      </w:r>
      <w:r w:rsidRPr="0057193B">
        <w:rPr>
          <w:rFonts w:ascii="Verdana" w:eastAsia="Times New Roman" w:hAnsi="Verdana" w:cs="Arial"/>
          <w:bCs/>
          <w:lang w:val="es-MX" w:eastAsia="x-none"/>
        </w:rPr>
        <w:t xml:space="preserve"> utilizado por el legislador comprende</w:t>
      </w:r>
      <w:r w:rsidRPr="0057193B">
        <w:rPr>
          <w:rFonts w:ascii="Verdana" w:eastAsia="Calibri" w:hAnsi="Verdana" w:cs="Arial"/>
          <w:sz w:val="24"/>
          <w:lang w:val="es-MX"/>
        </w:rPr>
        <w:t xml:space="preserve"> </w:t>
      </w:r>
      <w:r w:rsidRPr="0057193B">
        <w:rPr>
          <w:rFonts w:ascii="Verdana" w:eastAsia="Times New Roman" w:hAnsi="Verdana" w:cs="Arial"/>
          <w:bCs/>
          <w:lang w:val="es-MX" w:eastAsia="x-none"/>
        </w:rPr>
        <w:t xml:space="preserve">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w:t>
      </w:r>
      <w:r w:rsidRPr="0057193B">
        <w:rPr>
          <w:rFonts w:ascii="Verdana" w:eastAsia="Times New Roman" w:hAnsi="Verdana" w:cs="Arial"/>
          <w:bCs/>
          <w:lang w:val="es-ES_tradnl" w:eastAsia="x-none"/>
        </w:rPr>
        <w:t xml:space="preserve">La Sala de Consulta y Servicio Civil del Consejo de Estado, en Concepto 1727 de fecha 20 de febrero de 2006, consideró que: </w:t>
      </w:r>
    </w:p>
    <w:p w14:paraId="4D37DED0" w14:textId="77777777" w:rsidR="009B5304" w:rsidRPr="0057193B" w:rsidRDefault="009B5304" w:rsidP="009B5304">
      <w:pPr>
        <w:spacing w:after="0" w:line="276" w:lineRule="auto"/>
        <w:jc w:val="both"/>
        <w:rPr>
          <w:rFonts w:ascii="Verdana" w:eastAsia="Times New Roman" w:hAnsi="Verdana" w:cs="Arial"/>
          <w:bCs/>
          <w:lang w:val="es-MX" w:eastAsia="x-none"/>
        </w:rPr>
      </w:pPr>
    </w:p>
    <w:p w14:paraId="736BB9DC" w14:textId="0EA17554" w:rsidR="009B5304" w:rsidRPr="0057193B" w:rsidRDefault="00D022E4" w:rsidP="009B5304">
      <w:pPr>
        <w:spacing w:after="0" w:line="240" w:lineRule="auto"/>
        <w:ind w:left="708" w:right="709"/>
        <w:jc w:val="both"/>
        <w:rPr>
          <w:rFonts w:ascii="Verdana" w:eastAsia="Times New Roman" w:hAnsi="Verdana" w:cs="Arial"/>
          <w:bCs/>
          <w:sz w:val="21"/>
          <w:szCs w:val="21"/>
          <w:lang w:val="es-MX" w:eastAsia="es-CO"/>
        </w:rPr>
      </w:pPr>
      <w:r>
        <w:rPr>
          <w:rFonts w:ascii="Verdana" w:eastAsia="Times New Roman" w:hAnsi="Verdana" w:cs="Arial"/>
          <w:bCs/>
          <w:sz w:val="21"/>
          <w:szCs w:val="21"/>
          <w:lang w:val="es-MX" w:eastAsia="x-none"/>
        </w:rPr>
        <w:t>“</w:t>
      </w:r>
      <w:r w:rsidR="009B5304" w:rsidRPr="0057193B">
        <w:rPr>
          <w:rFonts w:ascii="Verdana" w:eastAsia="Times New Roman" w:hAnsi="Verdana" w:cs="Arial"/>
          <w:bCs/>
          <w:sz w:val="21"/>
          <w:szCs w:val="21"/>
          <w:lang w:val="es-MX" w:eastAsia="x-none"/>
        </w:rPr>
        <w:t>El artículo 33 de la ley 996 de 2005, efectivamente se aplica incluso a las entidades estatales con régimen especial de contratación y que están exceptuadas del ámbito de aplicación del Estatuto General de Contratación de la Administración Pública, como por ejemplo los prestadores de servicios públicos domiciliarios (empresas de servicios públicos oficiales y empresas industriales y comerciales del Estado) y a los municipios prestadores directos, incluyendo las excepciones contenidas en el segundo inciso de esta norma</w:t>
      </w:r>
      <w:r>
        <w:rPr>
          <w:rFonts w:ascii="Verdana" w:eastAsia="Times New Roman" w:hAnsi="Verdana" w:cs="Arial"/>
          <w:bCs/>
          <w:sz w:val="21"/>
          <w:szCs w:val="21"/>
          <w:lang w:val="es-MX" w:eastAsia="x-none"/>
        </w:rPr>
        <w:t>”</w:t>
      </w:r>
      <w:r w:rsidR="009B5304" w:rsidRPr="0057193B">
        <w:rPr>
          <w:rFonts w:ascii="Verdana" w:eastAsia="Times New Roman" w:hAnsi="Verdana" w:cs="Arial"/>
          <w:bCs/>
          <w:sz w:val="21"/>
          <w:szCs w:val="21"/>
          <w:vertAlign w:val="superscript"/>
          <w:lang w:val="es-MX" w:eastAsia="x-none"/>
        </w:rPr>
        <w:footnoteReference w:id="21"/>
      </w:r>
      <w:r w:rsidR="009B5304" w:rsidRPr="0057193B">
        <w:rPr>
          <w:rFonts w:ascii="Verdana" w:eastAsia="Times New Roman" w:hAnsi="Verdana" w:cs="Arial"/>
          <w:bCs/>
          <w:sz w:val="21"/>
          <w:szCs w:val="21"/>
          <w:lang w:val="es-MX" w:eastAsia="x-none"/>
        </w:rPr>
        <w:t>.</w:t>
      </w:r>
      <w:r w:rsidR="009B5304" w:rsidRPr="0057193B">
        <w:rPr>
          <w:rFonts w:ascii="Verdana" w:eastAsia="Times New Roman" w:hAnsi="Verdana" w:cs="Arial"/>
          <w:bCs/>
          <w:sz w:val="21"/>
          <w:szCs w:val="21"/>
          <w:lang w:val="es-MX" w:eastAsia="es-CO"/>
        </w:rPr>
        <w:t xml:space="preserve"> </w:t>
      </w:r>
    </w:p>
    <w:p w14:paraId="06C62722" w14:textId="77777777" w:rsidR="009B5304" w:rsidRDefault="009B5304" w:rsidP="00B92AD0">
      <w:pPr>
        <w:spacing w:after="0" w:line="276" w:lineRule="auto"/>
        <w:jc w:val="both"/>
        <w:rPr>
          <w:rFonts w:ascii="Verdana" w:eastAsia="Times New Roman" w:hAnsi="Verdana" w:cs="Arial"/>
          <w:bCs/>
          <w:lang w:val="es-MX" w:eastAsia="es-CO"/>
        </w:rPr>
      </w:pPr>
    </w:p>
    <w:p w14:paraId="7AD800B7" w14:textId="77777777" w:rsidR="009B5304" w:rsidRDefault="009B5304" w:rsidP="009B5304">
      <w:pPr>
        <w:spacing w:after="120" w:line="276" w:lineRule="auto"/>
        <w:ind w:firstLine="708"/>
        <w:jc w:val="both"/>
        <w:rPr>
          <w:rFonts w:ascii="Verdana" w:eastAsia="Times New Roman" w:hAnsi="Verdana" w:cs="Arial"/>
          <w:bCs/>
          <w:lang w:val="es-MX" w:eastAsia="x-none"/>
        </w:rPr>
      </w:pPr>
      <w:r>
        <w:rPr>
          <w:rFonts w:ascii="Verdana" w:eastAsia="Times New Roman" w:hAnsi="Verdana" w:cs="Arial"/>
          <w:bCs/>
          <w:lang w:val="es-MX" w:eastAsia="es-CO"/>
        </w:rPr>
        <w:t xml:space="preserve">La </w:t>
      </w:r>
      <w:r w:rsidRPr="0057193B">
        <w:rPr>
          <w:rFonts w:ascii="Verdana" w:eastAsia="Calibri" w:hAnsi="Verdana" w:cs="Arial"/>
          <w:lang w:val="es-MX"/>
        </w:rPr>
        <w:t xml:space="preserve">restricción prevista en la Ley 996 de 2005 </w:t>
      </w:r>
      <w:r w:rsidRPr="0057193B">
        <w:rPr>
          <w:rFonts w:ascii="Verdana" w:eastAsia="Times New Roman" w:hAnsi="Verdana" w:cs="Arial"/>
          <w:bCs/>
          <w:lang w:val="es-MX" w:eastAsia="x-none"/>
        </w:rPr>
        <w:t xml:space="preserve">cobija a cualquier entidad pública independiente del régimen jurídico, que pueda mediante la contratación directa romper el equilibrio entre los candidatos en desarrollo de las elecciones presidenciales. Tampoco existe un supuesto de exoneración a la prohibición por tener un régimen especial de los actos </w:t>
      </w:r>
      <w:proofErr w:type="gramStart"/>
      <w:r w:rsidRPr="0057193B">
        <w:rPr>
          <w:rFonts w:ascii="Verdana" w:eastAsia="Times New Roman" w:hAnsi="Verdana" w:cs="Arial"/>
          <w:bCs/>
          <w:lang w:val="es-MX" w:eastAsia="x-none"/>
        </w:rPr>
        <w:t xml:space="preserve">o </w:t>
      </w:r>
      <w:r>
        <w:rPr>
          <w:rFonts w:ascii="Verdana" w:eastAsia="Times New Roman" w:hAnsi="Verdana" w:cs="Arial"/>
          <w:bCs/>
          <w:lang w:val="es-MX" w:eastAsia="x-none"/>
        </w:rPr>
        <w:t xml:space="preserve"> por</w:t>
      </w:r>
      <w:proofErr w:type="gramEnd"/>
      <w:r>
        <w:rPr>
          <w:rFonts w:ascii="Verdana" w:eastAsia="Times New Roman" w:hAnsi="Verdana" w:cs="Arial"/>
          <w:bCs/>
          <w:lang w:val="es-MX" w:eastAsia="x-none"/>
        </w:rPr>
        <w:t xml:space="preserve"> la ejecución de un cierto tipo de recursos en sus contrataciones</w:t>
      </w:r>
      <w:r w:rsidRPr="0057193B">
        <w:rPr>
          <w:rFonts w:ascii="Verdana" w:eastAsia="Times New Roman" w:hAnsi="Verdana" w:cs="Arial"/>
          <w:bCs/>
          <w:lang w:val="es-MX" w:eastAsia="x-none"/>
        </w:rPr>
        <w:t>, pues, la posibilidad de que lo</w:t>
      </w:r>
      <w:r>
        <w:rPr>
          <w:rFonts w:ascii="Verdana" w:eastAsia="Times New Roman" w:hAnsi="Verdana" w:cs="Arial"/>
          <w:bCs/>
          <w:lang w:val="es-MX" w:eastAsia="x-none"/>
        </w:rPr>
        <w:t>s entes del Estado usen</w:t>
      </w:r>
      <w:r w:rsidRPr="0057193B">
        <w:rPr>
          <w:rFonts w:ascii="Verdana" w:eastAsia="Times New Roman" w:hAnsi="Verdana" w:cs="Arial"/>
          <w:bCs/>
          <w:lang w:val="es-MX" w:eastAsia="x-none"/>
        </w:rPr>
        <w:t xml:space="preserve"> la contratación con fines políticos, esto es, con la intención de influir a los electores y alterar la voluntad popular en las contiendas electorales, puede presentarse tanto en la contratación regulada por la Ley 80 de 1993 como en la regida por normas especiales.</w:t>
      </w:r>
    </w:p>
    <w:p w14:paraId="4BA0639E" w14:textId="77777777" w:rsidR="009B5304" w:rsidRDefault="009B5304" w:rsidP="009B5304">
      <w:pPr>
        <w:spacing w:after="120" w:line="276" w:lineRule="auto"/>
        <w:ind w:firstLine="709"/>
        <w:jc w:val="both"/>
        <w:rPr>
          <w:rFonts w:ascii="Verdana" w:eastAsia="Times New Roman" w:hAnsi="Verdana" w:cs="Arial"/>
          <w:bCs/>
          <w:lang w:val="es-MX" w:eastAsia="x-none"/>
        </w:rPr>
      </w:pPr>
      <w:r w:rsidRPr="00186DE9">
        <w:rPr>
          <w:rFonts w:ascii="Verdana" w:eastAsia="Times New Roman" w:hAnsi="Verdana" w:cs="Arial"/>
          <w:bCs/>
          <w:lang w:val="es-MX" w:eastAsia="x-none"/>
        </w:rPr>
        <w:t xml:space="preserve">Teniendo en cuenta lo expuesto, es evidente que le aplican que la interpretación del artículo 33 de la Ley 996 de 2005 ha sido clara en ha sido </w:t>
      </w:r>
      <w:r w:rsidRPr="00186DE9">
        <w:rPr>
          <w:rFonts w:ascii="Verdana" w:eastAsia="Times New Roman" w:hAnsi="Verdana" w:cs="Arial"/>
          <w:bCs/>
          <w:lang w:val="es-MX" w:eastAsia="x-none"/>
        </w:rPr>
        <w:lastRenderedPageBreak/>
        <w:t>clara en los pronunciamientos del Consejo de Estado y la Doctrina Oficial de la Agencia: durante los cuatro meses previos a las elecciones presidenciales, las entidades estatales tienen restringida la posibilidad de celebrar contratos bajo la modalidad de contratación directa, lo que incluye los contratos interadministrativos que no se celebren de forma competitiva. Esta prohibición busca garantizar la transparencia y evitar que la contratación pública se convierta en un instrumento de influencia política en tiempos electorales.</w:t>
      </w:r>
    </w:p>
    <w:p w14:paraId="631A770B" w14:textId="77777777" w:rsidR="009B5304" w:rsidRPr="00D047BE" w:rsidRDefault="009B5304" w:rsidP="009B5304">
      <w:pPr>
        <w:spacing w:after="120" w:line="276" w:lineRule="auto"/>
        <w:ind w:firstLine="709"/>
        <w:jc w:val="both"/>
        <w:rPr>
          <w:rFonts w:ascii="Verdana" w:eastAsia="Times New Roman" w:hAnsi="Verdana" w:cs="Arial"/>
          <w:lang w:val="es-ES" w:eastAsia="es-ES"/>
        </w:rPr>
      </w:pPr>
      <w:r w:rsidRPr="00E5590F">
        <w:rPr>
          <w:rFonts w:ascii="Verdana" w:eastAsia="Arial" w:hAnsi="Verdana" w:cs="Arial"/>
          <w:color w:val="000000" w:themeColor="text1"/>
          <w:lang w:val="es-ES" w:eastAsia="es-ES" w:bidi="es-ES"/>
        </w:rPr>
        <w:t xml:space="preserve">Ahora bien, </w:t>
      </w:r>
      <w:r w:rsidRPr="00E5590F">
        <w:rPr>
          <w:rFonts w:ascii="Verdana" w:eastAsia="Calibri" w:hAnsi="Verdana" w:cs="Arial"/>
          <w:color w:val="000000" w:themeColor="text1"/>
          <w:lang w:eastAsia="es-ES" w:bidi="es-ES"/>
        </w:rPr>
        <w:t>para responder al problema jurídico planteado</w:t>
      </w:r>
      <w:r>
        <w:rPr>
          <w:rFonts w:ascii="Verdana" w:eastAsia="Times New Roman" w:hAnsi="Verdana" w:cs="Arial"/>
          <w:lang w:val="es-ES" w:eastAsia="es-ES"/>
        </w:rPr>
        <w:t xml:space="preserve">debe precisarse que </w:t>
      </w:r>
      <w:r>
        <w:rPr>
          <w:rFonts w:ascii="Verdana" w:eastAsia="Times New Roman" w:hAnsi="Verdana" w:cs="Arial"/>
          <w:color w:val="000000" w:themeColor="text1"/>
          <w:lang w:val="es-ES" w:eastAsia="es-CO"/>
        </w:rPr>
        <w:t xml:space="preserve">los contratos o convenios interadministrativos están determinados por un criterio orgánico, pues es necesario que los extremos de la relación contractual sean entidades públicas, </w:t>
      </w:r>
      <w:r>
        <w:rPr>
          <w:rFonts w:ascii="Verdana" w:hAnsi="Verdana" w:cs="Arial"/>
          <w:lang w:eastAsia="es-ES"/>
        </w:rPr>
        <w:t>independientemente de las normas que regulan la relación contractual. En este sentido, los convenios interadministrativos solo pueden ser celebrados entre entidades públicas, pues a éstas corresponde la realización de los fines y tareas que el legislador les ha asignado</w:t>
      </w:r>
      <w:r>
        <w:rPr>
          <w:rFonts w:ascii="Verdana" w:hAnsi="Verdana" w:cs="Arial"/>
          <w:vertAlign w:val="superscript"/>
          <w:lang w:eastAsia="es-ES"/>
        </w:rPr>
        <w:footnoteReference w:id="22"/>
      </w:r>
      <w:r>
        <w:rPr>
          <w:rFonts w:ascii="Verdana" w:hAnsi="Verdana" w:cs="Arial"/>
          <w:lang w:eastAsia="es-ES"/>
        </w:rPr>
        <w:t>.</w:t>
      </w:r>
    </w:p>
    <w:p w14:paraId="0955C840" w14:textId="77777777" w:rsidR="009B5304" w:rsidRDefault="009B5304" w:rsidP="009B5304">
      <w:pPr>
        <w:spacing w:after="120" w:line="276" w:lineRule="auto"/>
        <w:ind w:firstLine="709"/>
        <w:jc w:val="both"/>
        <w:rPr>
          <w:rFonts w:ascii="Verdana" w:hAnsi="Verdana" w:cs="Arial"/>
          <w:color w:val="000000" w:themeColor="text1"/>
          <w:lang w:val="es-ES_tradnl"/>
        </w:rPr>
      </w:pPr>
      <w:r>
        <w:rPr>
          <w:rFonts w:ascii="Verdana" w:hAnsi="Verdana" w:cs="Arial"/>
          <w:color w:val="000000" w:themeColor="text1"/>
          <w:lang w:val="es-ES_tradnl"/>
        </w:rPr>
        <w:t>Si bien los contratos o convenios interadministrativos están previstos en la Ley 80 de 1993, en la Ley 1150 de 2007 y en el Decreto 1082 de 2015, no quiere decir que solo puedan celebrarse entre Entidades Estatales que apliquen el régimen de contratación allí previsto. En efecto, una Entidad Estatal de la Ley 80 de 1993 – como es el caso de un municipio – bien puede celebrar esta clase de convenios con una Entidad Estatal de régimen especial y no por ello dejará de ser un contrato o convenio interadministrativo.</w:t>
      </w:r>
    </w:p>
    <w:p w14:paraId="3AEFFE44" w14:textId="77777777" w:rsidR="009B5304" w:rsidRDefault="009B5304" w:rsidP="009B5304">
      <w:pPr>
        <w:spacing w:before="120" w:after="120" w:line="276" w:lineRule="auto"/>
        <w:ind w:firstLine="709"/>
        <w:jc w:val="both"/>
        <w:rPr>
          <w:rFonts w:ascii="Verdana" w:hAnsi="Verdana" w:cs="Arial"/>
          <w:lang w:val="es-ES_tradnl"/>
        </w:rPr>
      </w:pPr>
      <w:r>
        <w:rPr>
          <w:rFonts w:ascii="Verdana" w:hAnsi="Verdana" w:cs="Arial"/>
          <w:lang w:val="es-ES"/>
        </w:rPr>
        <w:t>Un contrato o convenio interadministrativo no está determinado por la modalidad de selección utilizada para celebrarlo. La Ley 1150 de 2007 establece que pueden celebrarse directamente, siempre que las obligaciones derivadas del mismo tengan relación directa con el objeto de la entidad ejecutora, señalado en la ley o en sus reglamentos, a menos que, según las excepciones previstas en dicha Ley, deba adelantarse un procedimiento susceptible de pluralidad de oferentes</w:t>
      </w:r>
      <w:r>
        <w:rPr>
          <w:rFonts w:ascii="Verdana" w:hAnsi="Verdana" w:cs="Arial"/>
          <w:vertAlign w:val="superscript"/>
          <w:lang w:val="es-ES"/>
        </w:rPr>
        <w:footnoteReference w:id="23"/>
      </w:r>
      <w:r>
        <w:rPr>
          <w:rFonts w:ascii="Verdana" w:hAnsi="Verdana" w:cs="Arial"/>
          <w:lang w:val="es-ES"/>
        </w:rPr>
        <w:t>. Nótese que, en este caso, lo que cambia es la modalidad de selección y no la naturaleza de contrato interadministrativo.</w:t>
      </w:r>
    </w:p>
    <w:p w14:paraId="23FA4754" w14:textId="77777777" w:rsidR="009B5304" w:rsidRDefault="009B5304" w:rsidP="009B5304">
      <w:pPr>
        <w:spacing w:before="120" w:after="120" w:line="276" w:lineRule="auto"/>
        <w:ind w:firstLine="709"/>
        <w:jc w:val="both"/>
        <w:rPr>
          <w:rFonts w:ascii="Verdana" w:hAnsi="Verdana" w:cs="Arial"/>
          <w:lang w:val="es-ES_tradnl"/>
        </w:rPr>
      </w:pPr>
      <w:r>
        <w:rPr>
          <w:rFonts w:ascii="Verdana" w:hAnsi="Verdana" w:cs="Arial"/>
          <w:lang w:val="es-ES"/>
        </w:rPr>
        <w:lastRenderedPageBreak/>
        <w:t>Además, es necesario tener en cuenta que para que un contrato o convenio interadministrativo exista debe cumplir con los siguientes elementos: acuerdo sobre el objeto y la contraprestación y que conste por escrito</w:t>
      </w:r>
      <w:r>
        <w:rPr>
          <w:rFonts w:ascii="Verdana" w:hAnsi="Verdana" w:cs="Arial"/>
          <w:vertAlign w:val="superscript"/>
          <w:lang w:val="es-ES"/>
        </w:rPr>
        <w:footnoteReference w:id="24"/>
      </w:r>
      <w:r>
        <w:rPr>
          <w:rFonts w:ascii="Verdana" w:hAnsi="Verdana" w:cs="Arial"/>
          <w:lang w:val="es-ES"/>
        </w:rPr>
        <w:t>. Entonces, si ambas partes son entidades estatales, pueden celebrar convenios interadministrativos, porque las disposiciones que regulan esta tipología hacen referencia a la calidad de los sujetos que intervienen en la contratación, que deben ser entidades estatales o de derecho público.</w:t>
      </w:r>
    </w:p>
    <w:p w14:paraId="538F2613" w14:textId="77777777" w:rsidR="009B5304" w:rsidRDefault="009B5304" w:rsidP="009B5304">
      <w:pPr>
        <w:spacing w:before="120" w:after="120" w:line="276" w:lineRule="auto"/>
        <w:ind w:firstLine="709"/>
        <w:jc w:val="both"/>
        <w:rPr>
          <w:rFonts w:ascii="Verdana" w:hAnsi="Verdana"/>
          <w:sz w:val="24"/>
          <w:szCs w:val="24"/>
          <w:lang w:eastAsia="es-CO"/>
        </w:rPr>
      </w:pPr>
      <w:r>
        <w:rPr>
          <w:rFonts w:ascii="Verdana" w:hAnsi="Verdana" w:cs="Arial"/>
          <w:lang w:val="es-ES"/>
        </w:rPr>
        <w:t>Sobre este aspecto, se resalta que la Corte Constitucional señaló en la Sentencia C–671 de 2015 que “Lo que hace interadministrativo a un contrato o convenio no es el procedimiento de selección aplicable, sino la calidad de los sujetos contratantes, esto es que las dos partes de la relación jurídica contractual formen parte de la administración pública”. Así las cosas, atendiendo a la literalidad de las normas enunciadas, no cabe una interpretación diferente</w:t>
      </w:r>
      <w:r>
        <w:rPr>
          <w:rFonts w:ascii="Verdana" w:hAnsi="Verdana" w:cs="Arial"/>
          <w:vertAlign w:val="superscript"/>
          <w:lang w:val="es-ES"/>
        </w:rPr>
        <w:footnoteReference w:id="25"/>
      </w:r>
      <w:r>
        <w:rPr>
          <w:rFonts w:ascii="Verdana" w:hAnsi="Verdana" w:cs="Arial"/>
          <w:lang w:val="es-ES"/>
        </w:rPr>
        <w:t>, pues, de acuerdo con lo anotado, esta clase de acuerdos de voluntades se definen por un criterio orgánico, por lo que uno de sus elementos esenciales es que en los extremos de la relación jurídico negocial concurran personas de derecho público</w:t>
      </w:r>
      <w:r>
        <w:rPr>
          <w:rFonts w:ascii="Verdana" w:hAnsi="Verdana"/>
          <w:sz w:val="24"/>
          <w:szCs w:val="24"/>
          <w:lang w:eastAsia="es-CO"/>
        </w:rPr>
        <w:t>.</w:t>
      </w:r>
    </w:p>
    <w:p w14:paraId="35B48876" w14:textId="77777777" w:rsidR="009B5304" w:rsidRDefault="009B5304" w:rsidP="009B5304">
      <w:pPr>
        <w:spacing w:before="120" w:after="120" w:line="276" w:lineRule="auto"/>
        <w:ind w:firstLine="709"/>
        <w:jc w:val="both"/>
        <w:rPr>
          <w:rFonts w:ascii="Verdana" w:eastAsia="Times New Roman" w:hAnsi="Verdana" w:cs="Arial"/>
          <w:lang w:val="es-MX" w:eastAsia="es-CO"/>
        </w:rPr>
      </w:pPr>
      <w:bookmarkStart w:id="14" w:name="_Hlk219368755"/>
      <w:r>
        <w:rPr>
          <w:rFonts w:ascii="Verdana" w:eastAsia="Arial" w:hAnsi="Verdana" w:cs="Arial"/>
          <w:lang w:val="es-MX" w:eastAsia="es-ES" w:bidi="es-ES"/>
        </w:rPr>
        <w:t>De esta manera, se</w:t>
      </w:r>
      <w:r>
        <w:rPr>
          <w:rFonts w:ascii="Verdana" w:eastAsia="Times New Roman" w:hAnsi="Verdana" w:cs="Arial"/>
          <w:lang w:eastAsia="es-CO"/>
        </w:rPr>
        <w:t xml:space="preserve"> observa entonces que </w:t>
      </w:r>
      <w:r>
        <w:rPr>
          <w:rFonts w:ascii="Verdana" w:eastAsia="Times New Roman" w:hAnsi="Verdana" w:cs="Arial"/>
          <w:lang w:val="es-MX" w:eastAsia="es-CO"/>
        </w:rPr>
        <w:t xml:space="preserve">el parágrafo del artículo 38 de la Ley 996 de 2005 prohíbe a los </w:t>
      </w:r>
      <w:proofErr w:type="gramStart"/>
      <w:r>
        <w:rPr>
          <w:rFonts w:ascii="Verdana" w:eastAsia="Times New Roman" w:hAnsi="Verdana" w:cs="Arial"/>
          <w:lang w:val="es-MX" w:eastAsia="es-CO"/>
        </w:rPr>
        <w:t>Alcaldes</w:t>
      </w:r>
      <w:proofErr w:type="gramEnd"/>
      <w:r>
        <w:rPr>
          <w:rFonts w:ascii="Verdana" w:eastAsia="Times New Roman" w:hAnsi="Verdana" w:cs="Arial"/>
          <w:lang w:val="es-MX" w:eastAsia="es-CO"/>
        </w:rPr>
        <w:t xml:space="preserve">, Gobernadores, </w:t>
      </w:r>
      <w:proofErr w:type="gramStart"/>
      <w:r>
        <w:rPr>
          <w:rFonts w:ascii="Verdana" w:eastAsia="Times New Roman" w:hAnsi="Verdana" w:cs="Arial"/>
          <w:lang w:val="es-MX" w:eastAsia="es-CO"/>
        </w:rPr>
        <w:t>Secretarios</w:t>
      </w:r>
      <w:proofErr w:type="gramEnd"/>
      <w:r>
        <w:rPr>
          <w:rFonts w:ascii="Verdana" w:eastAsia="Times New Roman" w:hAnsi="Verdana" w:cs="Arial"/>
          <w:lang w:val="es-MX" w:eastAsia="es-CO"/>
        </w:rPr>
        <w:t xml:space="preserve">, Gerentes y </w:t>
      </w:r>
      <w:proofErr w:type="gramStart"/>
      <w:r>
        <w:rPr>
          <w:rFonts w:ascii="Verdana" w:eastAsia="Times New Roman" w:hAnsi="Verdana" w:cs="Arial"/>
          <w:lang w:val="es-MX" w:eastAsia="es-CO"/>
        </w:rPr>
        <w:t>Directores</w:t>
      </w:r>
      <w:proofErr w:type="gramEnd"/>
      <w:r>
        <w:rPr>
          <w:rFonts w:ascii="Verdana" w:eastAsia="Times New Roman" w:hAnsi="Verdana" w:cs="Arial"/>
          <w:lang w:val="es-MX" w:eastAsia="es-CO"/>
        </w:rPr>
        <w:t xml:space="preserve"> de las entidades del orden municipal, departamental o distrital celebrar </w:t>
      </w:r>
      <w:r>
        <w:rPr>
          <w:rFonts w:ascii="Verdana" w:eastAsia="Times New Roman" w:hAnsi="Verdana" w:cs="Arial"/>
          <w:i/>
          <w:iCs/>
          <w:lang w:val="es-MX" w:eastAsia="es-CO"/>
        </w:rPr>
        <w:t>convenios interadministrativos</w:t>
      </w:r>
      <w:r>
        <w:rPr>
          <w:rFonts w:ascii="Verdana" w:eastAsia="Times New Roman" w:hAnsi="Verdana" w:cs="Arial"/>
          <w:lang w:val="es-MX" w:eastAsia="es-CO"/>
        </w:rPr>
        <w:t xml:space="preserve"> para la ejecución de recursos públicos. En este sentido, si una o ambas partes de la relación contractual es una entidad de aquellas descritas en el parágrafo </w:t>
      </w:r>
      <w:r>
        <w:rPr>
          <w:rFonts w:ascii="Verdana" w:eastAsia="Times New Roman" w:hAnsi="Verdana" w:cs="Arial"/>
          <w:i/>
          <w:lang w:val="es-MX" w:eastAsia="es-CO"/>
        </w:rPr>
        <w:t>ibidem</w:t>
      </w:r>
      <w:r>
        <w:rPr>
          <w:rFonts w:ascii="Verdana" w:eastAsia="Times New Roman" w:hAnsi="Verdana" w:cs="Arial"/>
          <w:lang w:val="es-MX" w:eastAsia="es-CO"/>
        </w:rPr>
        <w:t xml:space="preserve">, no podrá celebrar tales </w:t>
      </w:r>
      <w:r>
        <w:rPr>
          <w:rFonts w:ascii="Verdana" w:eastAsia="Times New Roman" w:hAnsi="Verdana" w:cs="Arial"/>
          <w:i/>
          <w:iCs/>
          <w:lang w:val="es-MX" w:eastAsia="es-CO"/>
        </w:rPr>
        <w:t>convenios</w:t>
      </w:r>
      <w:r>
        <w:rPr>
          <w:rFonts w:ascii="Verdana" w:eastAsia="Times New Roman" w:hAnsi="Verdana" w:cs="Arial"/>
          <w:lang w:val="es-MX" w:eastAsia="es-CO"/>
        </w:rPr>
        <w:t xml:space="preserve"> durante la aplicación de la Ley de Garantías Electorales, toda vez que la citada disposición hace referencia a dicha tipología contractual sin que el legislador hubiere contemplado un efecto extensivo a otra tipología.</w:t>
      </w:r>
    </w:p>
    <w:p w14:paraId="69E3DD5F" w14:textId="77777777" w:rsidR="009B5304" w:rsidRPr="00373B20" w:rsidRDefault="009B5304" w:rsidP="009B5304">
      <w:pPr>
        <w:spacing w:before="120" w:after="120" w:line="276" w:lineRule="auto"/>
        <w:ind w:firstLine="709"/>
        <w:jc w:val="both"/>
        <w:rPr>
          <w:rFonts w:ascii="Verdana" w:eastAsia="Times New Roman" w:hAnsi="Verdana" w:cs="Arial"/>
          <w:lang w:eastAsia="es-CO"/>
        </w:rPr>
      </w:pPr>
      <w:r w:rsidRPr="00373B20">
        <w:rPr>
          <w:rFonts w:ascii="Verdana" w:eastAsia="Times New Roman" w:hAnsi="Verdana" w:cs="Arial"/>
          <w:lang w:val="es-MX" w:eastAsia="es-CO"/>
        </w:rPr>
        <w:t xml:space="preserve">En este aspecto, se destaca que uno de los sujetos de aplicación de dicha restricción son las entidades descentralizadas por servicios, </w:t>
      </w:r>
      <w:r w:rsidRPr="00373B20">
        <w:rPr>
          <w:rFonts w:ascii="Verdana" w:eastAsia="Times New Roman" w:hAnsi="Verdana" w:cs="Arial"/>
          <w:lang w:eastAsia="es-CO"/>
        </w:rPr>
        <w:t>las cuales –sin perjuicio del control de tutela– tienen personería jurídica, autonomía administrativa y patrimonio propio.</w:t>
      </w:r>
      <w:r w:rsidRPr="00373B20">
        <w:rPr>
          <w:rFonts w:ascii="Verdana" w:eastAsia="Times New Roman" w:hAnsi="Verdana" w:cs="Arial"/>
          <w:b/>
          <w:bCs/>
          <w:lang w:eastAsia="es-CO"/>
        </w:rPr>
        <w:t xml:space="preserve"> </w:t>
      </w:r>
      <w:r w:rsidRPr="00373B20">
        <w:rPr>
          <w:rFonts w:ascii="Verdana" w:eastAsia="Times New Roman" w:hAnsi="Verdana" w:cs="Arial"/>
          <w:lang w:eastAsia="es-CO"/>
        </w:rPr>
        <w:t xml:space="preserve">Dentro de la categoría amplia de entidades </w:t>
      </w:r>
      <w:r w:rsidRPr="00373B20">
        <w:rPr>
          <w:rFonts w:ascii="Verdana" w:eastAsia="Times New Roman" w:hAnsi="Verdana" w:cs="Arial"/>
          <w:lang w:eastAsia="es-CO"/>
        </w:rPr>
        <w:lastRenderedPageBreak/>
        <w:t xml:space="preserve">descentralizadas por servicios se encuentran las Empresas Industriales y Comerciales del Estado, los establecimientos públicos, las sociedades públicas, las sociedades de economía mixta, las empresas sociales del Estado, entre otras entidades. </w:t>
      </w:r>
    </w:p>
    <w:bookmarkEnd w:id="14"/>
    <w:p w14:paraId="65B082CA" w14:textId="77777777" w:rsidR="009B5304" w:rsidRDefault="009B5304" w:rsidP="009B5304">
      <w:pPr>
        <w:spacing w:before="120" w:after="120" w:line="276" w:lineRule="auto"/>
        <w:ind w:firstLine="709"/>
        <w:jc w:val="both"/>
        <w:rPr>
          <w:rFonts w:ascii="Verdana" w:eastAsia="Times New Roman" w:hAnsi="Verdana" w:cs="Arial"/>
          <w:lang w:eastAsia="es-CO"/>
        </w:rPr>
      </w:pPr>
      <w:r>
        <w:rPr>
          <w:rFonts w:ascii="Verdana" w:eastAsia="Times New Roman" w:hAnsi="Verdana" w:cs="Arial"/>
          <w:lang w:val="es-MX" w:eastAsia="es-CO"/>
        </w:rPr>
        <w:t xml:space="preserve">Respecto del alcance de esta prohibición la Circular Externa No. 006 de 2025 expedida por la ANCP -CCE, en los literales </w:t>
      </w:r>
      <w:proofErr w:type="spellStart"/>
      <w:r>
        <w:rPr>
          <w:rFonts w:ascii="Verdana" w:eastAsia="Times New Roman" w:hAnsi="Verdana" w:cs="Arial"/>
          <w:lang w:val="es-MX" w:eastAsia="es-CO"/>
        </w:rPr>
        <w:t>ii</w:t>
      </w:r>
      <w:proofErr w:type="spellEnd"/>
      <w:r>
        <w:rPr>
          <w:rFonts w:ascii="Verdana" w:eastAsia="Times New Roman" w:hAnsi="Verdana" w:cs="Arial"/>
          <w:lang w:val="es-MX" w:eastAsia="es-CO"/>
        </w:rPr>
        <w:t xml:space="preserve">) y </w:t>
      </w:r>
      <w:proofErr w:type="spellStart"/>
      <w:r>
        <w:rPr>
          <w:rFonts w:ascii="Verdana" w:eastAsia="Times New Roman" w:hAnsi="Verdana" w:cs="Arial"/>
          <w:lang w:val="es-MX" w:eastAsia="es-CO"/>
        </w:rPr>
        <w:t>iv</w:t>
      </w:r>
      <w:proofErr w:type="spellEnd"/>
      <w:r>
        <w:rPr>
          <w:rFonts w:ascii="Verdana" w:eastAsia="Times New Roman" w:hAnsi="Verdana" w:cs="Arial"/>
          <w:lang w:val="es-MX" w:eastAsia="es-CO"/>
        </w:rPr>
        <w:t>) del numeral 2</w:t>
      </w:r>
      <w:r>
        <w:rPr>
          <w:rFonts w:ascii="Verdana" w:eastAsia="Times New Roman" w:hAnsi="Verdana" w:cs="Arial"/>
          <w:lang w:eastAsia="es-CO"/>
        </w:rPr>
        <w:t>,</w:t>
      </w:r>
      <w:r>
        <w:rPr>
          <w:rFonts w:ascii="Verdana" w:eastAsia="Times New Roman" w:hAnsi="Verdana" w:cs="Arial"/>
          <w:lang w:val="es-MX" w:eastAsia="es-CO"/>
        </w:rPr>
        <w:t xml:space="preserve"> indica que el </w:t>
      </w:r>
      <w:r>
        <w:rPr>
          <w:rFonts w:ascii="Verdana" w:eastAsia="Times New Roman" w:hAnsi="Verdana" w:cs="Arial"/>
          <w:lang w:eastAsia="es-CO"/>
        </w:rPr>
        <w:t xml:space="preserve">parágrafo del artículo 38 de la Ley 996 de 2005 cobija expresamente a los </w:t>
      </w:r>
      <w:r>
        <w:rPr>
          <w:rFonts w:ascii="Verdana" w:eastAsia="Times New Roman" w:hAnsi="Verdana" w:cs="Arial"/>
          <w:i/>
          <w:iCs/>
          <w:lang w:eastAsia="es-CO"/>
        </w:rPr>
        <w:t>convenios interadministrativos</w:t>
      </w:r>
      <w:r>
        <w:rPr>
          <w:rFonts w:ascii="Verdana" w:eastAsia="Times New Roman" w:hAnsi="Verdana" w:cs="Arial"/>
          <w:lang w:eastAsia="es-CO"/>
        </w:rPr>
        <w:t xml:space="preserve"> en los que se contemple la ejecución de recursos públicos. Además, precisa que el parágrafo referido no estableció ningún supuesto que exceptúe la aplicación de esta prohibición, por lo que la restricción referida a la celebración de convenios interadministrativos aplicará a los sujetos allí señalados, </w:t>
      </w:r>
      <w:r>
        <w:rPr>
          <w:rFonts w:ascii="Verdana" w:eastAsia="Times New Roman" w:hAnsi="Verdana" w:cs="Arial"/>
          <w:i/>
          <w:iCs/>
          <w:lang w:eastAsia="es-CO"/>
        </w:rPr>
        <w:t>“aunque se configure alguno de los supuestos de excepción que señaló el inciso final del artículo 33”.</w:t>
      </w:r>
      <w:r>
        <w:rPr>
          <w:rFonts w:ascii="Verdana" w:eastAsia="Times New Roman" w:hAnsi="Verdana" w:cs="Arial"/>
          <w:lang w:eastAsia="es-CO"/>
        </w:rPr>
        <w:t xml:space="preserve"> </w:t>
      </w:r>
    </w:p>
    <w:p w14:paraId="3F967432" w14:textId="77777777" w:rsidR="009B5304" w:rsidRPr="00E72F76" w:rsidRDefault="009B5304" w:rsidP="009B5304">
      <w:pPr>
        <w:spacing w:before="120" w:after="120" w:line="276" w:lineRule="auto"/>
        <w:ind w:firstLine="709"/>
        <w:jc w:val="both"/>
        <w:rPr>
          <w:rFonts w:ascii="Verdana" w:eastAsia="Times New Roman" w:hAnsi="Verdana" w:cs="Arial"/>
          <w:lang w:eastAsia="es-CO"/>
        </w:rPr>
      </w:pPr>
      <w:r w:rsidRPr="00B40D3B">
        <w:rPr>
          <w:rFonts w:ascii="Verdana" w:eastAsia="Times New Roman" w:hAnsi="Verdana" w:cs="Arial"/>
          <w:lang w:eastAsia="es-CO"/>
        </w:rPr>
        <w:t xml:space="preserve">Sin embargo, el ámbito de aplicación de la restricción prevista en el parágrafo del artículo 38 de la Ley 996 de 2005 comprende a los </w:t>
      </w:r>
      <w:r w:rsidRPr="00B40D3B">
        <w:rPr>
          <w:rFonts w:ascii="Verdana" w:eastAsia="Times New Roman" w:hAnsi="Verdana" w:cs="Arial"/>
          <w:i/>
          <w:iCs/>
          <w:lang w:eastAsia="es-CO"/>
        </w:rPr>
        <w:t>convenios interadministrativos</w:t>
      </w:r>
      <w:r w:rsidRPr="00B40D3B">
        <w:rPr>
          <w:rFonts w:ascii="Verdana" w:eastAsia="Times New Roman" w:hAnsi="Verdana" w:cs="Arial"/>
          <w:lang w:eastAsia="es-CO"/>
        </w:rPr>
        <w:t xml:space="preserve"> en los que exista </w:t>
      </w:r>
      <w:r w:rsidRPr="00B40D3B">
        <w:rPr>
          <w:rFonts w:ascii="Verdana" w:eastAsia="Times New Roman" w:hAnsi="Verdana" w:cs="Arial"/>
          <w:i/>
          <w:iCs/>
          <w:lang w:eastAsia="es-CO"/>
        </w:rPr>
        <w:t>ejecución de recursos públicos</w:t>
      </w:r>
      <w:r w:rsidRPr="00B40D3B">
        <w:rPr>
          <w:rFonts w:ascii="Verdana" w:eastAsia="Times New Roman" w:hAnsi="Verdana" w:cs="Arial"/>
          <w:lang w:eastAsia="es-CO"/>
        </w:rPr>
        <w:t xml:space="preserve">, sin importar de que estos sean en dinero o en especie, ya que la norma no distingue. </w:t>
      </w:r>
      <w:r w:rsidRPr="00B40D3B">
        <w:rPr>
          <w:rFonts w:ascii="Verdana" w:eastAsia="Times New Roman" w:hAnsi="Verdana" w:cs="Arial"/>
          <w:lang w:val="es-ES" w:eastAsia="es-CO"/>
        </w:rPr>
        <w:t>Lo anterior conforme a la directriz interpretativa del artículo 31 del Código Civil, según la cual “Lo favorable u odioso de una disposición no se tomará en cuenta para ampliar o restringir su interpretación. La extensión que deba darse a toda ley se determinará por su genuino sentido, y según las reglas de interpretación precedentes”</w:t>
      </w:r>
      <w:r w:rsidRPr="00B40D3B">
        <w:rPr>
          <w:rFonts w:ascii="Verdana" w:eastAsia="Times New Roman" w:hAnsi="Verdana" w:cs="Arial"/>
          <w:vertAlign w:val="superscript"/>
          <w:lang w:val="es-ES" w:eastAsia="es-CO"/>
        </w:rPr>
        <w:footnoteReference w:id="26"/>
      </w:r>
      <w:r w:rsidRPr="00B40D3B">
        <w:rPr>
          <w:rFonts w:ascii="Verdana" w:eastAsia="Times New Roman" w:hAnsi="Verdana" w:cs="Arial"/>
          <w:lang w:val="es-ES" w:eastAsia="es-CO"/>
        </w:rPr>
        <w:t>.</w:t>
      </w:r>
      <w:r w:rsidRPr="00B40D3B">
        <w:rPr>
          <w:rFonts w:ascii="Verdana" w:eastAsia="Times New Roman" w:hAnsi="Verdana" w:cs="Arial"/>
          <w:lang w:eastAsia="es-CO"/>
        </w:rPr>
        <w:t xml:space="preserve"> Por ello, la Agencia Nacional de Contratación Pública, en varios conceptos ha sostenido que la ejecución de recursos no se agota en el “[…] el dinero que integra el ciclo presupuestal de la entidad […]”, pues “[…] también </w:t>
      </w:r>
      <w:r w:rsidRPr="00B40D3B">
        <w:rPr>
          <w:rFonts w:ascii="Verdana" w:eastAsia="Times New Roman" w:hAnsi="Verdana" w:cs="Arial"/>
          <w:lang w:eastAsia="es-CO"/>
        </w:rPr>
        <w:lastRenderedPageBreak/>
        <w:t>los bienes muebles, inmuebles y personal hacen parte del concepto de ‘recursos públicos”</w:t>
      </w:r>
      <w:r>
        <w:rPr>
          <w:rFonts w:ascii="Verdana" w:eastAsia="Times New Roman" w:hAnsi="Verdana" w:cs="Arial"/>
          <w:lang w:eastAsia="es-CO"/>
        </w:rPr>
        <w:t>.</w:t>
      </w:r>
    </w:p>
    <w:p w14:paraId="09F482D3" w14:textId="77777777" w:rsidR="009B5304" w:rsidRDefault="009B5304" w:rsidP="009B5304">
      <w:pPr>
        <w:spacing w:before="120" w:after="120" w:line="276" w:lineRule="auto"/>
        <w:ind w:firstLine="709"/>
        <w:jc w:val="both"/>
        <w:rPr>
          <w:rFonts w:ascii="Verdana" w:eastAsia="Times New Roman" w:hAnsi="Verdana" w:cs="Arial"/>
          <w:lang w:eastAsia="es-CO"/>
        </w:rPr>
      </w:pPr>
      <w:r w:rsidRPr="00E72F76">
        <w:rPr>
          <w:rFonts w:ascii="Verdana" w:eastAsia="Times New Roman" w:hAnsi="Verdana" w:cs="Arial"/>
          <w:lang w:eastAsia="es-CO"/>
        </w:rPr>
        <w:t xml:space="preserve">De esta manera, conforme a lo dispuesto en la Circular referida, si se suscriben </w:t>
      </w:r>
      <w:r w:rsidRPr="00E72F76">
        <w:rPr>
          <w:rFonts w:ascii="Verdana" w:eastAsia="Times New Roman" w:hAnsi="Verdana" w:cs="Arial"/>
          <w:i/>
          <w:iCs/>
          <w:lang w:eastAsia="es-CO"/>
        </w:rPr>
        <w:t>convenios interadministrativos para la ejecución de recursos públicos</w:t>
      </w:r>
      <w:r w:rsidRPr="00E72F76">
        <w:rPr>
          <w:rFonts w:ascii="Verdana" w:eastAsia="Times New Roman" w:hAnsi="Verdana" w:cs="Arial"/>
          <w:lang w:eastAsia="es-CO"/>
        </w:rPr>
        <w:t xml:space="preserve"> por los alcaldes, gobernadores, secretarios, gerentes y directores de las entidades del orden municipal, departamental o distrital, aplicará la prohibición del parágrafo del artículo 38 </w:t>
      </w:r>
      <w:r w:rsidRPr="00E72F76">
        <w:rPr>
          <w:rFonts w:ascii="Verdana" w:eastAsia="Times New Roman" w:hAnsi="Verdana" w:cs="Arial"/>
          <w:i/>
          <w:iCs/>
          <w:lang w:eastAsia="es-CO"/>
        </w:rPr>
        <w:t>ibidem</w:t>
      </w:r>
      <w:r w:rsidRPr="00E72F76">
        <w:rPr>
          <w:rFonts w:ascii="Verdana" w:eastAsia="Times New Roman" w:hAnsi="Verdana" w:cs="Arial"/>
          <w:lang w:eastAsia="es-CO"/>
        </w:rPr>
        <w:t>, independientemente de que se configure alguno de los supuestos de excepción que señaló el inciso final del artículo 33, es decir, que se trate de:</w:t>
      </w:r>
      <w:r w:rsidRPr="00E72F76">
        <w:rPr>
          <w:rFonts w:ascii="Verdana" w:eastAsia="Times New Roman" w:hAnsi="Verdana" w:cs="Arial"/>
          <w:bCs/>
          <w:lang w:val="es-MX" w:eastAsia="es-CO"/>
        </w:rPr>
        <w:t xml:space="preserve"> i) la defensa y seguridad del Estado; </w:t>
      </w:r>
      <w:proofErr w:type="spellStart"/>
      <w:r w:rsidRPr="00E72F76">
        <w:rPr>
          <w:rFonts w:ascii="Verdana" w:eastAsia="Times New Roman" w:hAnsi="Verdana" w:cs="Arial"/>
          <w:bCs/>
          <w:lang w:val="es-MX" w:eastAsia="es-CO"/>
        </w:rPr>
        <w:t>ii</w:t>
      </w:r>
      <w:proofErr w:type="spellEnd"/>
      <w:r w:rsidRPr="00E72F76">
        <w:rPr>
          <w:rFonts w:ascii="Verdana" w:eastAsia="Times New Roman" w:hAnsi="Verdana" w:cs="Arial"/>
          <w:bCs/>
          <w:lang w:val="es-MX" w:eastAsia="es-CO"/>
        </w:rPr>
        <w:t xml:space="preserve">) los contratos de crédito público; </w:t>
      </w:r>
      <w:proofErr w:type="spellStart"/>
      <w:r w:rsidRPr="00E72F76">
        <w:rPr>
          <w:rFonts w:ascii="Verdana" w:eastAsia="Times New Roman" w:hAnsi="Verdana" w:cs="Arial"/>
          <w:bCs/>
          <w:lang w:val="es-MX" w:eastAsia="es-CO"/>
        </w:rPr>
        <w:t>iii</w:t>
      </w:r>
      <w:proofErr w:type="spellEnd"/>
      <w:r w:rsidRPr="00E72F76">
        <w:rPr>
          <w:rFonts w:ascii="Verdana" w:eastAsia="Times New Roman" w:hAnsi="Verdana" w:cs="Arial"/>
          <w:bCs/>
          <w:lang w:val="es-MX" w:eastAsia="es-CO"/>
        </w:rPr>
        <w:t xml:space="preserve">) los requeridos para cubrir las emergencias educativas, sanitarias y desastres; </w:t>
      </w:r>
      <w:proofErr w:type="spellStart"/>
      <w:r w:rsidRPr="00E72F76">
        <w:rPr>
          <w:rFonts w:ascii="Verdana" w:eastAsia="Times New Roman" w:hAnsi="Verdana" w:cs="Arial"/>
          <w:bCs/>
          <w:lang w:val="es-MX" w:eastAsia="es-CO"/>
        </w:rPr>
        <w:t>iv</w:t>
      </w:r>
      <w:proofErr w:type="spellEnd"/>
      <w:r w:rsidRPr="00E72F76">
        <w:rPr>
          <w:rFonts w:ascii="Verdana" w:eastAsia="Times New Roman" w:hAnsi="Verdana" w:cs="Arial"/>
          <w:bCs/>
          <w:lang w:val="es-MX" w:eastAsia="es-CO"/>
        </w:rPr>
        <w:t xml:space="preserve">)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w:t>
      </w:r>
      <w:r w:rsidRPr="00E72F76">
        <w:rPr>
          <w:rFonts w:ascii="Verdana" w:eastAsia="Times New Roman" w:hAnsi="Verdana" w:cs="Arial"/>
          <w:lang w:eastAsia="es-CO"/>
        </w:rPr>
        <w:t xml:space="preserve">  </w:t>
      </w:r>
    </w:p>
    <w:p w14:paraId="044B9845" w14:textId="77777777" w:rsidR="009B5304" w:rsidRDefault="009B5304" w:rsidP="009B5304">
      <w:pPr>
        <w:spacing w:before="120" w:after="120" w:line="276" w:lineRule="auto"/>
        <w:ind w:firstLine="709"/>
        <w:jc w:val="both"/>
        <w:rPr>
          <w:rFonts w:ascii="Verdana" w:eastAsia="Times New Roman" w:hAnsi="Verdana" w:cs="Arial"/>
          <w:lang w:val="es-MX" w:eastAsia="es-CO"/>
        </w:rPr>
      </w:pPr>
      <w:r w:rsidRPr="001E4DA4">
        <w:rPr>
          <w:rFonts w:ascii="Verdana" w:eastAsia="Times New Roman" w:hAnsi="Verdana" w:cs="Arial"/>
          <w:lang w:eastAsia="es-CO"/>
        </w:rPr>
        <w:t xml:space="preserve">Sin embargo, es importante tener en cuenta que el ámbito de aplicación de la restricción prevista en el parágrafo del artículo 38 de la Ley 996 de 2005 solo se extiende a los </w:t>
      </w:r>
      <w:r w:rsidRPr="001E4DA4">
        <w:rPr>
          <w:rFonts w:ascii="Verdana" w:eastAsia="Times New Roman" w:hAnsi="Verdana" w:cs="Arial"/>
          <w:i/>
          <w:iCs/>
          <w:lang w:eastAsia="es-CO"/>
        </w:rPr>
        <w:t>convenios interadministrativos</w:t>
      </w:r>
      <w:r w:rsidRPr="001E4DA4">
        <w:rPr>
          <w:rFonts w:ascii="Verdana" w:eastAsia="Times New Roman" w:hAnsi="Verdana" w:cs="Arial"/>
          <w:lang w:eastAsia="es-CO"/>
        </w:rPr>
        <w:t xml:space="preserve"> en los que se contemple la </w:t>
      </w:r>
      <w:r w:rsidRPr="001E4DA4">
        <w:rPr>
          <w:rFonts w:ascii="Verdana" w:eastAsia="Times New Roman" w:hAnsi="Verdana" w:cs="Arial"/>
          <w:i/>
          <w:iCs/>
          <w:lang w:eastAsia="es-CO"/>
        </w:rPr>
        <w:t>ejecución de recursos públicos</w:t>
      </w:r>
      <w:r w:rsidRPr="001E4DA4">
        <w:rPr>
          <w:rFonts w:ascii="Verdana" w:eastAsia="Times New Roman" w:hAnsi="Verdana" w:cs="Arial"/>
          <w:lang w:eastAsia="es-CO"/>
        </w:rPr>
        <w:t xml:space="preserve">. Esto significa que la prohibición no resulta aplicable a </w:t>
      </w:r>
      <w:r w:rsidRPr="001E4DA4">
        <w:rPr>
          <w:rFonts w:ascii="Verdana" w:eastAsia="Times New Roman" w:hAnsi="Verdana" w:cs="Arial"/>
          <w:i/>
          <w:iCs/>
          <w:lang w:eastAsia="es-CO"/>
        </w:rPr>
        <w:t>convenios interadministrativos a título gratuito,</w:t>
      </w:r>
      <w:r w:rsidRPr="001E4DA4">
        <w:rPr>
          <w:rFonts w:ascii="Verdana" w:eastAsia="Times New Roman" w:hAnsi="Verdana" w:cs="Arial"/>
          <w:lang w:eastAsia="es-CO"/>
        </w:rPr>
        <w:t xml:space="preserve"> los cuales pueden celebrarse válidamente durante la vigencia de la mencionada restricción.</w:t>
      </w:r>
      <w:r>
        <w:rPr>
          <w:rFonts w:ascii="Verdana" w:eastAsia="Times New Roman" w:hAnsi="Verdana" w:cs="Arial"/>
          <w:lang w:eastAsia="es-CO"/>
        </w:rPr>
        <w:t xml:space="preserve"> </w:t>
      </w:r>
    </w:p>
    <w:p w14:paraId="631D4AB5" w14:textId="77777777" w:rsidR="009B5304" w:rsidRPr="00174058" w:rsidRDefault="009B5304" w:rsidP="009B5304">
      <w:pPr>
        <w:spacing w:before="120" w:after="120" w:line="276" w:lineRule="auto"/>
        <w:ind w:firstLine="709"/>
        <w:jc w:val="both"/>
        <w:rPr>
          <w:rFonts w:ascii="Verdana" w:eastAsia="Times New Roman" w:hAnsi="Verdana" w:cs="Arial"/>
          <w:lang w:eastAsia="es-CO"/>
        </w:rPr>
      </w:pPr>
      <w:r>
        <w:rPr>
          <w:rFonts w:ascii="Verdana" w:eastAsia="Times New Roman" w:hAnsi="Verdana" w:cs="Arial"/>
          <w:lang w:eastAsia="es-CO"/>
        </w:rPr>
        <w:t xml:space="preserve">En este punto, teniendo en cuenta el contenido de su petición vale la pena destacar </w:t>
      </w:r>
      <w:proofErr w:type="gramStart"/>
      <w:r>
        <w:rPr>
          <w:rFonts w:ascii="Verdana" w:eastAsia="Times New Roman" w:hAnsi="Verdana" w:cs="Arial"/>
          <w:lang w:eastAsia="es-CO"/>
        </w:rPr>
        <w:t>que</w:t>
      </w:r>
      <w:proofErr w:type="gramEnd"/>
      <w:r>
        <w:rPr>
          <w:rFonts w:ascii="Verdana" w:eastAsia="Times New Roman" w:hAnsi="Verdana" w:cs="Arial"/>
          <w:lang w:eastAsia="es-CO"/>
        </w:rPr>
        <w:t xml:space="preserve"> </w:t>
      </w:r>
      <w:r>
        <w:rPr>
          <w:rFonts w:ascii="Verdana" w:eastAsia="Arial" w:hAnsi="Verdana" w:cs="Arial"/>
          <w:lang w:val="es-MX" w:eastAsia="es-ES" w:bidi="es-ES"/>
        </w:rPr>
        <w:t xml:space="preserve">mediante auto de 4 de octubre del 2024, el Consejo de Estado, Subsección C de la Sección Tercera, decretó medida de suspensión provisional parcial del </w:t>
      </w:r>
      <w:r>
        <w:rPr>
          <w:rFonts w:ascii="Verdana" w:hAnsi="Verdana" w:cs="Arial"/>
        </w:rPr>
        <w:t>numeral 16.2 de la Circular Externa Única de 2022 expedida por la Agencia Nacional de Contratación Pública -Colombia Compra Eficiente-, concretamente, respecto de los siguientes apartes normativos</w:t>
      </w:r>
      <w:r>
        <w:rPr>
          <w:rFonts w:ascii="Verdana" w:hAnsi="Verdana" w:cs="Arial"/>
          <w:vertAlign w:val="superscript"/>
        </w:rPr>
        <w:footnoteReference w:id="27"/>
      </w:r>
      <w:r>
        <w:rPr>
          <w:rFonts w:ascii="Verdana" w:hAnsi="Verdana" w:cs="Arial"/>
        </w:rPr>
        <w:t xml:space="preserve">: </w:t>
      </w:r>
    </w:p>
    <w:p w14:paraId="75C7F212" w14:textId="77777777" w:rsidR="009B5304" w:rsidRPr="00343E12" w:rsidRDefault="009B5304" w:rsidP="009B5304">
      <w:pPr>
        <w:spacing w:after="0" w:line="240" w:lineRule="auto"/>
        <w:ind w:left="709" w:right="709"/>
        <w:jc w:val="both"/>
        <w:rPr>
          <w:rFonts w:ascii="Verdana" w:eastAsia="Aptos" w:hAnsi="Verdana" w:cs="Arial"/>
          <w:sz w:val="20"/>
          <w:szCs w:val="20"/>
        </w:rPr>
      </w:pPr>
      <w:r>
        <w:rPr>
          <w:rFonts w:ascii="Verdana" w:hAnsi="Verdana" w:cs="Arial"/>
          <w:sz w:val="20"/>
          <w:szCs w:val="20"/>
          <w:lang w:val="es-MX"/>
        </w:rPr>
        <w:t>“</w:t>
      </w:r>
      <w:r w:rsidRPr="00343E12">
        <w:rPr>
          <w:rFonts w:ascii="Verdana" w:eastAsia="Aptos" w:hAnsi="Verdana" w:cs="Arial"/>
          <w:sz w:val="20"/>
          <w:szCs w:val="20"/>
          <w:lang w:val="es-MX"/>
        </w:rPr>
        <w:t>i)</w:t>
      </w:r>
      <w:r w:rsidRPr="00343E12">
        <w:rPr>
          <w:rFonts w:ascii="Verdana" w:eastAsia="Aptos" w:hAnsi="Verdana" w:cs="Arial"/>
          <w:sz w:val="20"/>
          <w:szCs w:val="20"/>
        </w:rPr>
        <w:t xml:space="preserve"> el inciso segundo 2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w:t>
      </w:r>
      <w:r w:rsidRPr="00343E12">
        <w:rPr>
          <w:rFonts w:ascii="Verdana" w:eastAsia="Aptos" w:hAnsi="Verdana" w:cs="Arial"/>
          <w:sz w:val="20"/>
          <w:szCs w:val="20"/>
        </w:rPr>
        <w:lastRenderedPageBreak/>
        <w:t xml:space="preserve">la modalidad de selección para la contratación entre entidades públicas a través de estas dos figuras jurídicas” y, </w:t>
      </w:r>
    </w:p>
    <w:p w14:paraId="129E8119" w14:textId="77777777" w:rsidR="009B5304" w:rsidRPr="00343E12" w:rsidRDefault="009B5304" w:rsidP="009B5304">
      <w:pPr>
        <w:spacing w:after="0" w:line="240" w:lineRule="auto"/>
        <w:ind w:left="709" w:right="709"/>
        <w:jc w:val="both"/>
        <w:rPr>
          <w:rFonts w:ascii="Verdana" w:eastAsia="Aptos" w:hAnsi="Verdana" w:cs="Arial"/>
          <w:sz w:val="20"/>
          <w:szCs w:val="20"/>
        </w:rPr>
      </w:pPr>
    </w:p>
    <w:p w14:paraId="65CB4690" w14:textId="77777777" w:rsidR="009B5304" w:rsidRPr="00343E12" w:rsidRDefault="009B5304" w:rsidP="009B5304">
      <w:pPr>
        <w:spacing w:after="0" w:line="240" w:lineRule="auto"/>
        <w:ind w:left="709" w:right="709"/>
        <w:jc w:val="both"/>
        <w:rPr>
          <w:rFonts w:ascii="Verdana" w:eastAsia="Aptos" w:hAnsi="Verdana" w:cs="Arial"/>
          <w:sz w:val="20"/>
          <w:szCs w:val="20"/>
        </w:rPr>
      </w:pPr>
      <w:proofErr w:type="spellStart"/>
      <w:r w:rsidRPr="00343E12">
        <w:rPr>
          <w:rFonts w:ascii="Verdana" w:eastAsia="Aptos" w:hAnsi="Verdana" w:cs="Arial"/>
          <w:sz w:val="20"/>
          <w:szCs w:val="20"/>
        </w:rPr>
        <w:t>ii</w:t>
      </w:r>
      <w:proofErr w:type="spellEnd"/>
      <w:r w:rsidRPr="00343E12">
        <w:rPr>
          <w:rFonts w:ascii="Verdana" w:eastAsia="Aptos" w:hAnsi="Verdana" w:cs="Arial"/>
          <w:sz w:val="20"/>
          <w:szCs w:val="20"/>
        </w:rPr>
        <w:t xml:space="preserve">) la expresión y el siguiente párrafo contenidos en el inciso cuarto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 </w:t>
      </w:r>
    </w:p>
    <w:p w14:paraId="425F0224" w14:textId="77777777" w:rsidR="009B5304" w:rsidRPr="00343E12" w:rsidRDefault="009B5304" w:rsidP="00B92AD0">
      <w:pPr>
        <w:spacing w:after="0" w:line="23" w:lineRule="atLeast"/>
        <w:ind w:left="709" w:right="709" w:firstLine="709"/>
        <w:jc w:val="both"/>
        <w:rPr>
          <w:rFonts w:ascii="Verdana" w:eastAsia="Aptos" w:hAnsi="Verdana" w:cs="Arial"/>
        </w:rPr>
      </w:pPr>
    </w:p>
    <w:p w14:paraId="51E1F445" w14:textId="77777777" w:rsidR="009B5304" w:rsidRDefault="009B5304" w:rsidP="009B5304">
      <w:pPr>
        <w:spacing w:after="120" w:line="276" w:lineRule="auto"/>
        <w:ind w:firstLine="709"/>
        <w:jc w:val="both"/>
        <w:rPr>
          <w:rFonts w:ascii="Verdana" w:eastAsia="Arial" w:hAnsi="Verdana" w:cs="Arial"/>
          <w:i/>
          <w:iCs/>
          <w:lang w:eastAsia="es-ES" w:bidi="es-ES"/>
        </w:rPr>
      </w:pPr>
      <w:r>
        <w:rPr>
          <w:rFonts w:ascii="Verdana" w:eastAsia="Arial" w:hAnsi="Verdana" w:cs="Arial"/>
          <w:lang w:val="es-MX" w:eastAsia="es-ES" w:bidi="es-ES"/>
        </w:rPr>
        <w:t xml:space="preserve">De conformidad con los argumentos de dicha providencia, se parte de la distinción entre los conceptos </w:t>
      </w:r>
      <w:r>
        <w:rPr>
          <w:rFonts w:ascii="Verdana" w:eastAsia="Arial" w:hAnsi="Verdana" w:cs="Arial"/>
          <w:lang w:eastAsia="es-ES" w:bidi="es-ES"/>
        </w:rPr>
        <w:t>de “convenio” y “contrato” interadministrativos, para diferenciarlos en su naturaleza, contenido y alcance, lo cual ha servido de fundamento para que tanto la Sección Tercera como también la Sala de Consulta y Servicio Civil de esa Corporación hayan realzado la distinción entre uno y otro negocio jurídico.</w:t>
      </w:r>
      <w:r w:rsidRPr="00343E12">
        <w:rPr>
          <w:rFonts w:ascii="Verdana" w:eastAsia="Aptos" w:hAnsi="Verdana" w:cs="Times New Roman"/>
          <w:sz w:val="24"/>
          <w:szCs w:val="24"/>
          <w:lang w:eastAsia="es-CO"/>
        </w:rPr>
        <w:t xml:space="preserve"> </w:t>
      </w:r>
      <w:r>
        <w:rPr>
          <w:rFonts w:ascii="Verdana" w:eastAsia="Arial" w:hAnsi="Verdana" w:cs="Arial"/>
          <w:lang w:eastAsia="es-ES" w:bidi="es-ES"/>
        </w:rPr>
        <w:t xml:space="preserve">En este sentido, en relación con el parágrafo del artículo 38 de la Ley 996 de 2005 concluyó que </w:t>
      </w:r>
      <w:r>
        <w:rPr>
          <w:rFonts w:ascii="Verdana" w:eastAsia="Arial" w:hAnsi="Verdana" w:cs="Arial"/>
          <w:i/>
          <w:iCs/>
          <w:lang w:eastAsia="es-ES" w:bidi="es-ES"/>
        </w:rPr>
        <w:t xml:space="preserve">“si el legislador no diferenció al establecer la prohibición o la restricción, mal haría el reglamento en aplicar un efecto expansivo o extensivo para incluir una categoría no cobijada con la limitación, (…)”. </w:t>
      </w:r>
      <w:r>
        <w:rPr>
          <w:rFonts w:ascii="Verdana" w:eastAsia="Arial" w:hAnsi="Verdana" w:cs="Arial"/>
          <w:lang w:eastAsia="es-ES" w:bidi="es-ES"/>
        </w:rPr>
        <w:t xml:space="preserve">Por tal motivo, para efectos de decretar la medida de suspensión provisional de los apartes señalados del numeral 16.2 de la Circular Externa Única, argumentó que </w:t>
      </w:r>
      <w:r>
        <w:rPr>
          <w:rFonts w:ascii="Verdana" w:eastAsia="Arial" w:hAnsi="Verdana" w:cs="Arial"/>
          <w:i/>
          <w:iCs/>
          <w:lang w:eastAsia="es-ES" w:bidi="es-ES"/>
        </w:rPr>
        <w:t xml:space="preserve">“con independencia del propósito loable o plausible de la disposición ya que, procura que no se usen los recursos estatales para incidir o afectar la contienda electoral, no cabe duda de que la entidad demandada incorporó en la prohibición una categoría que no quedó comprendida expresa e inequívocamente en la ley. </w:t>
      </w:r>
    </w:p>
    <w:p w14:paraId="6464E90F" w14:textId="77777777" w:rsidR="009B5304" w:rsidRDefault="009B5304" w:rsidP="009B5304">
      <w:pPr>
        <w:spacing w:after="120" w:line="276" w:lineRule="auto"/>
        <w:ind w:firstLine="709"/>
        <w:jc w:val="both"/>
        <w:rPr>
          <w:rFonts w:ascii="Verdana" w:eastAsia="Arial" w:hAnsi="Verdana" w:cs="Arial"/>
          <w:lang w:eastAsia="es-ES" w:bidi="es-ES"/>
        </w:rPr>
      </w:pPr>
      <w:r>
        <w:rPr>
          <w:rFonts w:ascii="Verdana" w:eastAsia="Arial" w:hAnsi="Verdana" w:cs="Arial"/>
          <w:lang w:eastAsia="es-ES" w:bidi="es-ES"/>
        </w:rPr>
        <w:t>De igual manera, mediante auto del 6 de noviembre de 2025, el Consejo de Estado, Subsección A de la Sección Tercera, decretó</w:t>
      </w:r>
      <w:r>
        <w:rPr>
          <w:rFonts w:ascii="Verdana" w:eastAsia="Arial" w:hAnsi="Verdana" w:cs="Arial"/>
          <w:b/>
          <w:bCs/>
          <w:lang w:eastAsia="es-ES" w:bidi="es-ES"/>
        </w:rPr>
        <w:t xml:space="preserve"> </w:t>
      </w:r>
      <w:r>
        <w:rPr>
          <w:rFonts w:ascii="Verdana" w:eastAsia="Arial" w:hAnsi="Verdana" w:cs="Arial"/>
          <w:lang w:eastAsia="es-ES" w:bidi="es-ES"/>
        </w:rPr>
        <w:t>la suspensión provisional de los apartes cuestionados del inciso segundo y del inciso cuarto del numeral 16.2 de la Circular Externa Única, versión 3 del 27 de diciembre de 2023, expedida por la Agencia Nacional de Contratación Pública – Colombia Compra Eficiente relacionados con los contratos interadministrativos</w:t>
      </w:r>
      <w:r>
        <w:rPr>
          <w:rFonts w:ascii="Verdana" w:eastAsia="Arial" w:hAnsi="Verdana" w:cs="Arial"/>
          <w:vertAlign w:val="superscript"/>
          <w:lang w:eastAsia="es-ES" w:bidi="es-ES"/>
        </w:rPr>
        <w:footnoteReference w:id="28"/>
      </w:r>
      <w:r>
        <w:rPr>
          <w:rFonts w:ascii="Verdana" w:eastAsia="Arial" w:hAnsi="Verdana" w:cs="Arial"/>
          <w:lang w:eastAsia="es-ES" w:bidi="es-ES"/>
        </w:rPr>
        <w:t xml:space="preserve">. Para tales </w:t>
      </w:r>
      <w:r>
        <w:rPr>
          <w:rFonts w:ascii="Verdana" w:eastAsia="Arial" w:hAnsi="Verdana" w:cs="Arial"/>
          <w:lang w:eastAsia="es-ES" w:bidi="es-ES"/>
        </w:rPr>
        <w:lastRenderedPageBreak/>
        <w:t xml:space="preserve">efectos, el alto tribunal resaltó la interpretación restrictiva de las normas que contienen prohibiciones, como la del parágrafo del artículo 38 de la Ley 996 de 2005, por manera que se excluye la analogía </w:t>
      </w:r>
      <w:proofErr w:type="spellStart"/>
      <w:r>
        <w:rPr>
          <w:rFonts w:ascii="Verdana" w:eastAsia="Arial" w:hAnsi="Verdana" w:cs="Arial"/>
          <w:lang w:eastAsia="es-ES" w:bidi="es-ES"/>
        </w:rPr>
        <w:t>legis</w:t>
      </w:r>
      <w:proofErr w:type="spellEnd"/>
      <w:r>
        <w:rPr>
          <w:rFonts w:ascii="Verdana" w:eastAsia="Arial" w:hAnsi="Verdana" w:cs="Arial"/>
          <w:lang w:eastAsia="es-ES" w:bidi="es-ES"/>
        </w:rPr>
        <w:t xml:space="preserve"> o iuris y la interpretación extensiva y reiteró los argumentos sobre la diferencia entre contratos y convenios interadministrativos. </w:t>
      </w:r>
    </w:p>
    <w:p w14:paraId="0E4DD72B" w14:textId="77777777" w:rsidR="009B5304" w:rsidRDefault="009B5304" w:rsidP="009B5304">
      <w:pPr>
        <w:spacing w:after="120" w:line="276" w:lineRule="auto"/>
        <w:ind w:firstLine="709"/>
        <w:jc w:val="both"/>
        <w:rPr>
          <w:rFonts w:ascii="Verdana" w:eastAsia="Times New Roman" w:hAnsi="Verdana" w:cs="Times New Roman"/>
          <w:lang w:eastAsia="es-ES"/>
        </w:rPr>
      </w:pPr>
      <w:r>
        <w:rPr>
          <w:rFonts w:ascii="Verdana" w:eastAsia="Arial" w:hAnsi="Verdana" w:cs="Arial"/>
          <w:lang w:eastAsia="es-ES" w:bidi="es-ES"/>
        </w:rPr>
        <w:t xml:space="preserve">Finalmente, mediante sentencia del 17 de octubre de 2025, emitida por la Sala de lo Contencioso Administrativo del Consejo de Estado, dentro del expediente </w:t>
      </w:r>
      <w:r>
        <w:rPr>
          <w:rFonts w:ascii="Verdana" w:eastAsia="Times New Roman" w:hAnsi="Verdana" w:cs="Times New Roman"/>
          <w:lang w:eastAsia="es-ES"/>
        </w:rPr>
        <w:t xml:space="preserve">11001-03-26-000-2023-00139-00, se declaró la nulidad parcial del numeral 16.2 de la Circular Externa Única de 2022 expedida por la Agencia Nacional de Contratación Pública - Colombia Compra Eficiente que indicaba: “Esta restricción es aplicable tanto a los convenios como a los contratos interadministrativos…”. </w:t>
      </w:r>
    </w:p>
    <w:p w14:paraId="5B44439E" w14:textId="77777777" w:rsidR="009B5304" w:rsidRDefault="009B5304" w:rsidP="009B5304">
      <w:pPr>
        <w:spacing w:after="120" w:line="276" w:lineRule="auto"/>
        <w:ind w:firstLine="709"/>
        <w:jc w:val="both"/>
        <w:rPr>
          <w:rFonts w:ascii="Verdana" w:eastAsia="Times New Roman" w:hAnsi="Verdana" w:cs="Times New Roman"/>
          <w:lang w:eastAsia="es-ES"/>
        </w:rPr>
      </w:pPr>
      <w:r>
        <w:rPr>
          <w:rFonts w:ascii="Verdana" w:eastAsia="Times New Roman" w:hAnsi="Verdana" w:cs="Times New Roman"/>
          <w:lang w:eastAsia="es-ES"/>
        </w:rPr>
        <w:t>La anterior decisión se adoptó al considerar que la Agencia excedió su competencia material al incluir contratos en una restricción que la Ley de Garantías Electorales solo previó para convenios, cuando no es posible aplicar por analogía o extensión una norma que establece prohibiciones</w:t>
      </w:r>
      <w:r>
        <w:rPr>
          <w:rStyle w:val="Refdenotaalpie"/>
          <w:rFonts w:ascii="Verdana" w:eastAsia="Times New Roman" w:hAnsi="Verdana" w:cs="Times New Roman"/>
          <w:lang w:eastAsia="es-ES"/>
        </w:rPr>
        <w:footnoteReference w:id="29"/>
      </w:r>
      <w:r>
        <w:rPr>
          <w:rFonts w:ascii="Verdana" w:eastAsia="Times New Roman" w:hAnsi="Verdana" w:cs="Times New Roman"/>
          <w:lang w:eastAsia="es-ES"/>
        </w:rPr>
        <w:t xml:space="preserve">. Sobre el particular, la Sala concluyó que contratos y convenios interadministrativos son figuras distintas en naturaleza, objeto y efectos, pues mientras los contratos implican obligaciones patrimoniales y contraprestación, los convenios se basan </w:t>
      </w:r>
      <w:r>
        <w:rPr>
          <w:rFonts w:ascii="Verdana" w:eastAsia="Times New Roman" w:hAnsi="Verdana" w:cs="Times New Roman"/>
          <w:lang w:eastAsia="es-ES"/>
        </w:rPr>
        <w:lastRenderedPageBreak/>
        <w:t xml:space="preserve">en cooperación sin ánimo económico. Por ello, la restricción legal no podía aplicarse extensivamente a los contratos. </w:t>
      </w:r>
    </w:p>
    <w:p w14:paraId="64E2EAAC" w14:textId="77777777" w:rsidR="009B5304" w:rsidRPr="00534313" w:rsidRDefault="009B5304" w:rsidP="009B5304">
      <w:pPr>
        <w:spacing w:after="120" w:line="276" w:lineRule="auto"/>
        <w:ind w:firstLine="709"/>
        <w:jc w:val="both"/>
        <w:rPr>
          <w:rFonts w:ascii="Verdana" w:eastAsia="Times New Roman" w:hAnsi="Verdana" w:cs="Arial"/>
          <w:lang w:eastAsia="es-CO"/>
        </w:rPr>
      </w:pPr>
      <w:r w:rsidRPr="00534313">
        <w:rPr>
          <w:rFonts w:ascii="Verdana" w:eastAsia="Times New Roman" w:hAnsi="Verdana" w:cs="Arial"/>
          <w:lang w:eastAsia="es-CO"/>
        </w:rPr>
        <w:t xml:space="preserve">A juicio de la Sala, aunque el propósito de la Circular Externa era legítimo –evitar el uso indebido de recursos en época electoral–, el numeral 16.2. desconoció el alcance literal del artículo 38 de la Ley 996 de 2005 y los límites de la potestad reglamentaria, lo que configuró un vicio de contenido. Así las cosas, a la luz de lo expuesto por el Consejo de Estado, en la sentencia expedida por la Sección Tercera de la Sala de lo Contencioso Administrativo del 17 de octubre de 2025, en los autos del 4 de octubre de 2024 y 6 de noviembre de 2025, no resultaría aplicable la prohibición del parágrafo del artículo 38 de la Ley de Garantías Electorales a los </w:t>
      </w:r>
      <w:r w:rsidRPr="00534313">
        <w:rPr>
          <w:rFonts w:ascii="Verdana" w:eastAsia="Times New Roman" w:hAnsi="Verdana" w:cs="Arial"/>
          <w:i/>
          <w:iCs/>
          <w:lang w:eastAsia="es-CO"/>
        </w:rPr>
        <w:t>contratos interadministrativos</w:t>
      </w:r>
      <w:r w:rsidRPr="00534313">
        <w:rPr>
          <w:rFonts w:ascii="Verdana" w:eastAsia="Times New Roman" w:hAnsi="Verdana" w:cs="Arial"/>
          <w:lang w:eastAsia="es-CO"/>
        </w:rPr>
        <w:t>, esta prohibición solo aplicaría a los convenios interadministrativos que impliquen la ejecución de recursos públicos</w:t>
      </w:r>
      <w:r w:rsidRPr="00534313">
        <w:rPr>
          <w:rFonts w:ascii="Verdana" w:eastAsia="Times New Roman" w:hAnsi="Verdana" w:cs="Arial"/>
          <w:vertAlign w:val="superscript"/>
          <w:lang w:eastAsia="es-CO"/>
        </w:rPr>
        <w:footnoteReference w:id="30"/>
      </w:r>
      <w:r w:rsidRPr="00534313">
        <w:rPr>
          <w:rFonts w:ascii="Verdana" w:eastAsia="Times New Roman" w:hAnsi="Verdana" w:cs="Arial"/>
          <w:lang w:eastAsia="es-CO"/>
        </w:rPr>
        <w:t xml:space="preserve">. Conforme a lo señalado por el Consejo de Estado, cuando dos entidades públicas celebren un </w:t>
      </w:r>
      <w:r w:rsidRPr="00534313">
        <w:rPr>
          <w:rFonts w:ascii="Verdana" w:eastAsia="Times New Roman" w:hAnsi="Verdana" w:cs="Arial"/>
          <w:i/>
          <w:iCs/>
          <w:lang w:eastAsia="es-CO"/>
        </w:rPr>
        <w:t>contrato interadministrativo,</w:t>
      </w:r>
      <w:r w:rsidRPr="00534313">
        <w:rPr>
          <w:rFonts w:ascii="Verdana" w:eastAsia="Times New Roman" w:hAnsi="Verdana" w:cs="Arial"/>
          <w:lang w:eastAsia="es-CO"/>
        </w:rPr>
        <w:t xml:space="preserve"> independientemente del objeto, dicho contrato puede suscribirse durante el periodo preelectoral.</w:t>
      </w:r>
    </w:p>
    <w:p w14:paraId="7051C65C" w14:textId="77777777" w:rsidR="009B5304" w:rsidRPr="00534313" w:rsidRDefault="009B5304" w:rsidP="009B5304">
      <w:pPr>
        <w:spacing w:after="120" w:line="276" w:lineRule="auto"/>
        <w:ind w:firstLine="709"/>
        <w:jc w:val="both"/>
        <w:rPr>
          <w:rFonts w:ascii="Verdana" w:eastAsia="Times New Roman" w:hAnsi="Verdana" w:cs="Arial"/>
          <w:lang w:eastAsia="es-CO"/>
        </w:rPr>
      </w:pPr>
      <w:r w:rsidRPr="00534313">
        <w:rPr>
          <w:rFonts w:ascii="Verdana" w:eastAsia="Times New Roman" w:hAnsi="Verdana" w:cs="Arial"/>
          <w:lang w:eastAsia="es-CO"/>
        </w:rPr>
        <w:t>En este aspecto, se encuentra que la restricción para la celebración de convenios interadministrativos para la ejecución de recursos públicos no puede aludirse a contratantes o contratistas, sino de partes cooperantes o colaboradoras. Así mismo, aplica para cualquier tipo de elección, lo que implica que la restricción del parágrafo del artículo 38</w:t>
      </w:r>
      <w:r w:rsidRPr="00534313">
        <w:rPr>
          <w:rFonts w:ascii="Verdana" w:eastAsia="Times New Roman" w:hAnsi="Verdana" w:cs="Arial"/>
          <w:bCs/>
          <w:lang w:val="es-MX" w:eastAsia="es-CO"/>
        </w:rPr>
        <w:t xml:space="preserve"> aplica desde el 8 de noviembre de 2025, teniendo en cuenta que la Resolución 02580 del 5 de marzo de 2025 de la Registraduría Nacional del Estado Civil dispuso que las elecciones de senado y cámara se celebrarán el 8 de marzo de 2026. Esta restricción se extiende a las elecciones presidenciales que se celebrarán el 31 de mayo de 2026, así como una posible segunda vuelta tres semanas después, es decir, el 21 de junio de 2026. </w:t>
      </w:r>
    </w:p>
    <w:p w14:paraId="0C33BD9F" w14:textId="77777777" w:rsidR="009B5304" w:rsidRPr="00534313" w:rsidRDefault="009B5304" w:rsidP="009B5304">
      <w:pPr>
        <w:spacing w:after="120" w:line="276" w:lineRule="auto"/>
        <w:ind w:firstLine="709"/>
        <w:jc w:val="both"/>
        <w:rPr>
          <w:rFonts w:ascii="Verdana" w:eastAsia="Times New Roman" w:hAnsi="Verdana" w:cs="Arial"/>
          <w:lang w:eastAsia="es-CO"/>
        </w:rPr>
      </w:pPr>
      <w:r w:rsidRPr="00534313">
        <w:rPr>
          <w:rFonts w:ascii="Verdana" w:eastAsia="Times New Roman" w:hAnsi="Verdana" w:cs="Arial"/>
          <w:lang w:eastAsia="es-CO"/>
        </w:rPr>
        <w:t xml:space="preserve"> No obstante, es importante mencionar que aún se encuentra por definir la demanda </w:t>
      </w:r>
      <w:r w:rsidRPr="00534313">
        <w:rPr>
          <w:rFonts w:ascii="Verdana" w:eastAsia="Times New Roman" w:hAnsi="Verdana" w:cs="Arial"/>
          <w:lang w:val="es-ES" w:eastAsia="es-CO"/>
        </w:rPr>
        <w:t xml:space="preserve">de nulidad simple, identificada con el Radicado número 11001-03-26-000-2025-00016-00, en la cual se cuestiona </w:t>
      </w:r>
      <w:r w:rsidRPr="00534313">
        <w:rPr>
          <w:rFonts w:ascii="Verdana" w:eastAsia="Times New Roman" w:hAnsi="Verdana" w:cs="Arial"/>
          <w:lang w:eastAsia="es-CO"/>
        </w:rPr>
        <w:t xml:space="preserve">parcialmente el numeral 16.2 de la Circular Externa Única CCE-EICP-MA-06, Versión 03 del 27 de diciembre </w:t>
      </w:r>
      <w:r w:rsidRPr="00534313">
        <w:rPr>
          <w:rFonts w:ascii="Verdana" w:eastAsia="Times New Roman" w:hAnsi="Verdana" w:cs="Arial"/>
          <w:lang w:eastAsia="es-CO"/>
        </w:rPr>
        <w:lastRenderedPageBreak/>
        <w:t>de 2023.</w:t>
      </w:r>
      <w:r w:rsidRPr="00534313">
        <w:rPr>
          <w:rFonts w:ascii="Verdana" w:eastAsia="Times New Roman" w:hAnsi="Verdana" w:cs="Arial"/>
          <w:lang w:val="es-ES" w:eastAsia="es-CO"/>
        </w:rPr>
        <w:t xml:space="preserve"> </w:t>
      </w:r>
      <w:r w:rsidRPr="00534313">
        <w:rPr>
          <w:rFonts w:ascii="Verdana" w:eastAsia="Times New Roman" w:hAnsi="Verdana" w:cs="Arial"/>
          <w:bCs/>
          <w:lang w:eastAsia="es-CO"/>
        </w:rPr>
        <w:t xml:space="preserve">En todo caso, vale anotar que es responsabilidad del respectivo ente del Estado examinar en cada caso la naturaleza de las actividades que adelanta y justificar si las mismas se enmarcan en alguna de las excepciones, de manera que pueda realizar la contratación directa durante el periodo de la prohibición. Igualmente, le corresponde a cada entidad </w:t>
      </w:r>
      <w:r w:rsidRPr="00534313">
        <w:rPr>
          <w:rFonts w:ascii="Verdana" w:eastAsia="Times New Roman" w:hAnsi="Verdana" w:cs="Arial"/>
          <w:lang w:eastAsia="es-CO"/>
        </w:rPr>
        <w:t>establecer si el instrumento jurídico que se pretende suscribir tiene la naturaleza de contrato o de convenio interadministrativo para la ejecución de recursos públicos. En este último supuesto, resulta aplicable la prohibición contenida en el parágrafo del artículo 38 de la Ley de Garantías Electorales, conforme se explicó.</w:t>
      </w:r>
    </w:p>
    <w:p w14:paraId="37FE3C87" w14:textId="77777777" w:rsidR="009B5304" w:rsidRPr="00C67B1F" w:rsidRDefault="009B5304" w:rsidP="009B5304">
      <w:pPr>
        <w:spacing w:after="120" w:line="276" w:lineRule="auto"/>
        <w:ind w:firstLine="709"/>
        <w:jc w:val="both"/>
        <w:rPr>
          <w:rFonts w:ascii="Verdana" w:eastAsia="Times New Roman" w:hAnsi="Verdana" w:cs="Arial"/>
          <w:bCs/>
          <w:lang w:val="es-MX" w:eastAsia="x-none"/>
        </w:rPr>
      </w:pPr>
      <w:r w:rsidRPr="0057193B">
        <w:rPr>
          <w:rFonts w:ascii="Verdana" w:eastAsia="Times New Roman" w:hAnsi="Verdana" w:cs="Arial"/>
          <w:bCs/>
          <w:lang w:val="es-MX" w:eastAsia="x-none"/>
        </w:rPr>
        <w:t>Finalmente, se reitera, c</w:t>
      </w:r>
      <w:r w:rsidRPr="0057193B">
        <w:rPr>
          <w:rFonts w:ascii="Verdana" w:eastAsia="Times New Roman" w:hAnsi="Verdana" w:cs="Arial"/>
          <w:bCs/>
          <w:lang w:val="es-MX" w:eastAsia="es-CO"/>
        </w:rPr>
        <w:t xml:space="preserve">omo en otras oportunidades lo ha manifestado esta Agencia, que las prórrogas, modificaciones o adiciones de los contratos suscritos antes de la entrada en vigor de las prohibiciones anotadas, así como la cesión de </w:t>
      </w:r>
      <w:proofErr w:type="gramStart"/>
      <w:r w:rsidRPr="0057193B">
        <w:rPr>
          <w:rFonts w:ascii="Verdana" w:eastAsia="Times New Roman" w:hAnsi="Verdana" w:cs="Arial"/>
          <w:bCs/>
          <w:lang w:val="es-MX" w:eastAsia="es-CO"/>
        </w:rPr>
        <w:t>los mismos</w:t>
      </w:r>
      <w:proofErr w:type="gramEnd"/>
      <w:r w:rsidRPr="0057193B">
        <w:rPr>
          <w:rFonts w:ascii="Verdana" w:eastAsia="Times New Roman" w:hAnsi="Verdana" w:cs="Arial"/>
          <w:bCs/>
          <w:lang w:val="es-MX" w:eastAsia="es-CO"/>
        </w:rPr>
        <w:t>, pueden tener lugar en el período de aplicación de la Ley de Garantías, sin que ello haga nugatoria la restricción de la contratación directa y siempre que cumplan los principios de planeación, transparencia y responsabilidad</w:t>
      </w:r>
      <w:r w:rsidRPr="0057193B">
        <w:rPr>
          <w:rFonts w:ascii="Verdana" w:eastAsia="Times New Roman" w:hAnsi="Verdana" w:cs="Arial"/>
          <w:bCs/>
          <w:vertAlign w:val="superscript"/>
          <w:lang w:val="es-MX" w:eastAsia="es-CO"/>
        </w:rPr>
        <w:footnoteReference w:id="31"/>
      </w:r>
      <w:r w:rsidRPr="0057193B">
        <w:rPr>
          <w:rFonts w:ascii="Verdana" w:eastAsia="Times New Roman" w:hAnsi="Verdana" w:cs="Arial"/>
          <w:bCs/>
          <w:lang w:val="es-MX" w:eastAsia="es-CO"/>
        </w:rPr>
        <w:t>. Además, también es posible que contratos celebrados previamente se continúen ejecutando con normalidad.</w:t>
      </w:r>
    </w:p>
    <w:p w14:paraId="2F64D0A0" w14:textId="77777777" w:rsidR="009B5304" w:rsidRPr="005154AE" w:rsidRDefault="009B5304" w:rsidP="009B5304">
      <w:pPr>
        <w:spacing w:after="120" w:line="276" w:lineRule="auto"/>
        <w:jc w:val="both"/>
        <w:rPr>
          <w:rFonts w:ascii="Verdana" w:eastAsia="Arial" w:hAnsi="Verdana" w:cs="Arial"/>
          <w:bCs/>
          <w:color w:val="000000" w:themeColor="text1"/>
        </w:rPr>
      </w:pPr>
      <w:proofErr w:type="spellStart"/>
      <w:r>
        <w:rPr>
          <w:rFonts w:ascii="Verdana" w:eastAsia="Arial" w:hAnsi="Verdana" w:cs="Arial"/>
          <w:lang w:val="es-ES" w:eastAsia="es-ES" w:bidi="es-ES"/>
        </w:rPr>
        <w:t>iv</w:t>
      </w:r>
      <w:proofErr w:type="spellEnd"/>
      <w:r>
        <w:rPr>
          <w:rFonts w:ascii="Verdana" w:eastAsia="Arial" w:hAnsi="Verdana" w:cs="Arial"/>
          <w:lang w:val="es-ES" w:eastAsia="es-ES" w:bidi="es-ES"/>
        </w:rPr>
        <w:t xml:space="preserve">. </w:t>
      </w:r>
      <w:r w:rsidRPr="00F4158D">
        <w:rPr>
          <w:rFonts w:ascii="Verdana" w:eastAsia="Calibri" w:hAnsi="Verdana" w:cs="Arial"/>
          <w:bCs/>
          <w:color w:val="000000" w:themeColor="text1"/>
        </w:rPr>
        <w:t xml:space="preserve">Al margen de la explicación precedente debe advertirse que el análisis requerido para resolver problemas específicos en torno a la gestión contractual de </w:t>
      </w:r>
      <w:r>
        <w:rPr>
          <w:rFonts w:ascii="Verdana" w:eastAsia="Calibri" w:hAnsi="Verdana" w:cs="Arial"/>
          <w:bCs/>
          <w:color w:val="000000" w:themeColor="text1"/>
        </w:rPr>
        <w:t xml:space="preserve">las entidades públicas debe realizarse </w:t>
      </w:r>
      <w:r w:rsidRPr="00F4158D">
        <w:rPr>
          <w:rFonts w:ascii="Verdana" w:eastAsia="Calibri" w:hAnsi="Verdana" w:cs="Arial"/>
          <w:bCs/>
          <w:color w:val="000000" w:themeColor="text1"/>
        </w:rPr>
        <w:t>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49A44BD6" w14:textId="77777777" w:rsidR="009B5304" w:rsidRPr="00F4158D" w:rsidRDefault="009B5304" w:rsidP="009B5304">
      <w:pPr>
        <w:spacing w:after="0" w:line="276" w:lineRule="auto"/>
        <w:ind w:firstLine="708"/>
        <w:jc w:val="both"/>
        <w:rPr>
          <w:rFonts w:ascii="Verdana" w:hAnsi="Verdana" w:cs="Arial"/>
          <w:color w:val="000000" w:themeColor="text1"/>
        </w:rPr>
      </w:pPr>
      <w:r w:rsidRPr="00F4158D">
        <w:rPr>
          <w:rFonts w:ascii="Verdana" w:eastAsia="Calibri"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w:t>
      </w:r>
      <w:r w:rsidRPr="00F4158D">
        <w:rPr>
          <w:rFonts w:ascii="Verdana" w:eastAsia="Calibri" w:hAnsi="Verdana" w:cs="Arial"/>
          <w:bCs/>
          <w:color w:val="000000" w:themeColor="text1"/>
        </w:rPr>
        <w:lastRenderedPageBreak/>
        <w:t>el principio de juridicidad. Así, cada entidad definirá la forma de adelantar su gestión contractual, sin que sea atribución de Colombia Compra Eficiente validar sus actuaciones.</w:t>
      </w:r>
    </w:p>
    <w:p w14:paraId="3EFE360C" w14:textId="77777777" w:rsidR="009B5304" w:rsidRPr="00AE1E71" w:rsidRDefault="009B5304" w:rsidP="009B5304">
      <w:pPr>
        <w:spacing w:after="0" w:line="276" w:lineRule="auto"/>
        <w:jc w:val="both"/>
        <w:rPr>
          <w:rFonts w:ascii="Verdana" w:hAnsi="Verdana"/>
          <w:lang w:val="es-ES"/>
        </w:rPr>
      </w:pPr>
    </w:p>
    <w:p w14:paraId="396C3404" w14:textId="77777777" w:rsidR="009B5304" w:rsidRPr="00AE1E71" w:rsidRDefault="009B5304" w:rsidP="009B5304">
      <w:pPr>
        <w:tabs>
          <w:tab w:val="left" w:pos="142"/>
          <w:tab w:val="left" w:pos="284"/>
        </w:tabs>
        <w:spacing w:after="0" w:line="276" w:lineRule="auto"/>
        <w:rPr>
          <w:rFonts w:ascii="Verdana" w:eastAsia="Century Gothic" w:hAnsi="Verdana" w:cs="Century Gothic"/>
          <w:b/>
          <w:bCs/>
        </w:rPr>
      </w:pPr>
      <w:r w:rsidRPr="00AE1E71">
        <w:rPr>
          <w:rFonts w:ascii="Verdana" w:eastAsia="Century Gothic" w:hAnsi="Verdana" w:cs="Century Gothic"/>
          <w:b/>
          <w:bCs/>
        </w:rPr>
        <w:t>4. Referencias normativas:</w:t>
      </w:r>
      <w:bookmarkEnd w:id="4"/>
    </w:p>
    <w:p w14:paraId="07144623" w14:textId="77777777" w:rsidR="009B5304" w:rsidRPr="00FE167C" w:rsidRDefault="009B5304" w:rsidP="009B5304">
      <w:pPr>
        <w:widowControl w:val="0"/>
        <w:autoSpaceDE w:val="0"/>
        <w:autoSpaceDN w:val="0"/>
        <w:spacing w:after="0" w:line="276" w:lineRule="auto"/>
        <w:jc w:val="both"/>
        <w:rPr>
          <w:rFonts w:ascii="Verdana" w:hAnsi="Verdana" w:cs="Arial"/>
          <w:color w:val="00BCD8"/>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9B5304" w:rsidRPr="00FE167C" w14:paraId="26649FDE" w14:textId="77777777">
        <w:trPr>
          <w:trHeight w:val="1162"/>
          <w:jc w:val="center"/>
        </w:trPr>
        <w:tc>
          <w:tcPr>
            <w:tcW w:w="8647" w:type="dxa"/>
          </w:tcPr>
          <w:p w14:paraId="2FD36789" w14:textId="77777777" w:rsidR="009B5304" w:rsidRPr="000E2A3A" w:rsidRDefault="009B5304" w:rsidP="009B5304">
            <w:pPr>
              <w:widowControl w:val="0"/>
              <w:numPr>
                <w:ilvl w:val="0"/>
                <w:numId w:val="17"/>
              </w:numPr>
              <w:autoSpaceDE w:val="0"/>
              <w:autoSpaceDN w:val="0"/>
              <w:spacing w:before="120" w:after="120"/>
              <w:jc w:val="both"/>
              <w:rPr>
                <w:rFonts w:ascii="Verdana" w:eastAsia="Arial MT" w:hAnsi="Verdana" w:cs="Arial"/>
                <w:lang w:eastAsia="es-ES" w:bidi="es-ES"/>
              </w:rPr>
            </w:pPr>
            <w:r w:rsidRPr="000E2A3A">
              <w:rPr>
                <w:rFonts w:ascii="Verdana" w:eastAsia="Arial MT" w:hAnsi="Verdana" w:cs="Arial"/>
                <w:lang w:eastAsia="es-ES" w:bidi="es-ES"/>
              </w:rPr>
              <w:t>Constitución Política de Colombia. Artículos: 127 y 197. </w:t>
            </w:r>
          </w:p>
          <w:p w14:paraId="5C37BCCC" w14:textId="77777777" w:rsidR="009B5304" w:rsidRPr="000E2A3A" w:rsidRDefault="009B5304" w:rsidP="009B5304">
            <w:pPr>
              <w:widowControl w:val="0"/>
              <w:numPr>
                <w:ilvl w:val="0"/>
                <w:numId w:val="17"/>
              </w:numPr>
              <w:autoSpaceDE w:val="0"/>
              <w:autoSpaceDN w:val="0"/>
              <w:spacing w:before="120" w:after="120"/>
              <w:jc w:val="both"/>
              <w:rPr>
                <w:rFonts w:ascii="Verdana" w:eastAsia="Arial MT" w:hAnsi="Verdana" w:cs="Arial"/>
                <w:lang w:eastAsia="es-ES" w:bidi="es-ES"/>
              </w:rPr>
            </w:pPr>
            <w:r w:rsidRPr="000E2A3A">
              <w:rPr>
                <w:rFonts w:ascii="Verdana" w:eastAsia="Arial MT" w:hAnsi="Verdana" w:cs="Arial"/>
                <w:lang w:eastAsia="es-ES" w:bidi="es-ES"/>
              </w:rPr>
              <w:t>Ley 80 de 1993. Artículos: 39 y 41. </w:t>
            </w:r>
          </w:p>
          <w:p w14:paraId="6152C9A1" w14:textId="77777777" w:rsidR="009B5304" w:rsidRPr="000E2A3A" w:rsidRDefault="009B5304" w:rsidP="009B5304">
            <w:pPr>
              <w:widowControl w:val="0"/>
              <w:numPr>
                <w:ilvl w:val="0"/>
                <w:numId w:val="17"/>
              </w:numPr>
              <w:autoSpaceDE w:val="0"/>
              <w:autoSpaceDN w:val="0"/>
              <w:spacing w:before="120" w:after="120"/>
              <w:jc w:val="both"/>
              <w:rPr>
                <w:rFonts w:ascii="Verdana" w:eastAsia="Arial MT" w:hAnsi="Verdana" w:cs="Arial"/>
                <w:lang w:eastAsia="es-ES" w:bidi="es-ES"/>
              </w:rPr>
            </w:pPr>
            <w:r w:rsidRPr="000E2A3A">
              <w:rPr>
                <w:rFonts w:ascii="Verdana" w:eastAsia="Arial MT" w:hAnsi="Verdana" w:cs="Arial"/>
                <w:lang w:eastAsia="es-ES" w:bidi="es-ES"/>
              </w:rPr>
              <w:t>Ley 1150 de 2007. Artículo 2.  </w:t>
            </w:r>
          </w:p>
          <w:p w14:paraId="400E186E" w14:textId="77777777" w:rsidR="009B5304" w:rsidRPr="000E2A3A" w:rsidRDefault="009B5304" w:rsidP="009B5304">
            <w:pPr>
              <w:widowControl w:val="0"/>
              <w:numPr>
                <w:ilvl w:val="0"/>
                <w:numId w:val="17"/>
              </w:numPr>
              <w:autoSpaceDE w:val="0"/>
              <w:autoSpaceDN w:val="0"/>
              <w:spacing w:before="120" w:after="120"/>
              <w:jc w:val="both"/>
              <w:rPr>
                <w:rFonts w:ascii="Verdana" w:eastAsia="Arial MT" w:hAnsi="Verdana" w:cs="Arial"/>
                <w:lang w:eastAsia="es-ES" w:bidi="es-ES"/>
              </w:rPr>
            </w:pPr>
            <w:r w:rsidRPr="000E2A3A">
              <w:rPr>
                <w:rFonts w:ascii="Verdana" w:eastAsia="Arial MT" w:hAnsi="Verdana" w:cs="Arial"/>
                <w:lang w:eastAsia="es-ES" w:bidi="es-ES"/>
              </w:rPr>
              <w:t>Ley 996 de 2025. Artículos: 9, 33 y 38.  </w:t>
            </w:r>
          </w:p>
          <w:p w14:paraId="77CBFFDC" w14:textId="77777777" w:rsidR="009B5304" w:rsidRPr="000E2A3A" w:rsidRDefault="009B5304" w:rsidP="009B5304">
            <w:pPr>
              <w:widowControl w:val="0"/>
              <w:numPr>
                <w:ilvl w:val="0"/>
                <w:numId w:val="17"/>
              </w:numPr>
              <w:autoSpaceDE w:val="0"/>
              <w:autoSpaceDN w:val="0"/>
              <w:spacing w:before="120" w:after="120"/>
              <w:jc w:val="both"/>
              <w:rPr>
                <w:rFonts w:ascii="Verdana" w:eastAsia="Arial MT" w:hAnsi="Verdana" w:cs="Arial"/>
                <w:lang w:eastAsia="es-ES" w:bidi="es-ES"/>
              </w:rPr>
            </w:pPr>
            <w:r w:rsidRPr="000E2A3A">
              <w:rPr>
                <w:rFonts w:ascii="Verdana" w:eastAsia="Arial MT" w:hAnsi="Verdana" w:cs="Arial"/>
                <w:lang w:eastAsia="es-ES" w:bidi="es-ES"/>
              </w:rPr>
              <w:t>Consejo de Estado. Sala de lo Contencioso Administrativo. Sección Primera. Sentencia de 3 de marzo de 2005. Radicado: 25001-23-15-000-2004-00823-01(PI). C.P: Camilo Arciniegas Andrade.  </w:t>
            </w:r>
          </w:p>
          <w:p w14:paraId="68239B32" w14:textId="77777777" w:rsidR="009B5304" w:rsidRPr="000E2A3A" w:rsidRDefault="009B5304" w:rsidP="009B5304">
            <w:pPr>
              <w:widowControl w:val="0"/>
              <w:numPr>
                <w:ilvl w:val="0"/>
                <w:numId w:val="17"/>
              </w:numPr>
              <w:autoSpaceDE w:val="0"/>
              <w:autoSpaceDN w:val="0"/>
              <w:spacing w:before="120" w:after="120"/>
              <w:jc w:val="both"/>
              <w:rPr>
                <w:rFonts w:ascii="Verdana" w:eastAsia="Arial MT" w:hAnsi="Verdana" w:cs="Arial"/>
                <w:lang w:eastAsia="es-ES" w:bidi="es-ES"/>
              </w:rPr>
            </w:pPr>
            <w:r w:rsidRPr="000E2A3A">
              <w:rPr>
                <w:rFonts w:ascii="Verdana" w:eastAsia="Arial MT" w:hAnsi="Verdana" w:cs="Arial"/>
                <w:lang w:eastAsia="es-ES" w:bidi="es-ES"/>
              </w:rPr>
              <w:t>Consejo de Estado. Sala de Consulta y Servicio Civil. 24 de julio de 2013, radicado: 11001-03-06-000-2013-00407-00 (2166). C.P. Álvaro Namén Vargas. </w:t>
            </w:r>
          </w:p>
          <w:p w14:paraId="3905CC2B" w14:textId="77777777" w:rsidR="009B5304" w:rsidRPr="000E2A3A" w:rsidRDefault="009B5304" w:rsidP="009B5304">
            <w:pPr>
              <w:widowControl w:val="0"/>
              <w:numPr>
                <w:ilvl w:val="0"/>
                <w:numId w:val="17"/>
              </w:numPr>
              <w:autoSpaceDE w:val="0"/>
              <w:autoSpaceDN w:val="0"/>
              <w:spacing w:before="120" w:after="120"/>
              <w:jc w:val="both"/>
              <w:rPr>
                <w:rFonts w:ascii="Verdana" w:eastAsia="Arial MT" w:hAnsi="Verdana" w:cs="Arial"/>
                <w:lang w:eastAsia="es-ES" w:bidi="es-ES"/>
              </w:rPr>
            </w:pPr>
            <w:r w:rsidRPr="000E2A3A">
              <w:rPr>
                <w:rFonts w:ascii="Verdana" w:eastAsia="Arial MT" w:hAnsi="Verdana" w:cs="Arial"/>
                <w:lang w:eastAsia="es-ES" w:bidi="es-ES"/>
              </w:rPr>
              <w:t>Consejo de Estado. Sala de Consulta y Servicio Civil. Concepto del 17 de febrero de 2015. Radicado: 11001-03-06-000-2015-00164-00 (2269). C.P. William Zambrano Cetina. </w:t>
            </w:r>
          </w:p>
          <w:p w14:paraId="2E7662E4" w14:textId="77777777" w:rsidR="009B5304" w:rsidRDefault="009B5304" w:rsidP="009B5304">
            <w:pPr>
              <w:widowControl w:val="0"/>
              <w:numPr>
                <w:ilvl w:val="0"/>
                <w:numId w:val="17"/>
              </w:numPr>
              <w:autoSpaceDE w:val="0"/>
              <w:autoSpaceDN w:val="0"/>
              <w:spacing w:before="120" w:after="120"/>
              <w:jc w:val="both"/>
              <w:rPr>
                <w:rFonts w:ascii="Verdana" w:eastAsia="Arial MT" w:hAnsi="Verdana" w:cs="Arial"/>
                <w:lang w:eastAsia="es-ES" w:bidi="es-ES"/>
              </w:rPr>
            </w:pPr>
            <w:r w:rsidRPr="000E2A3A">
              <w:rPr>
                <w:rFonts w:ascii="Verdana" w:eastAsia="Arial MT" w:hAnsi="Verdana" w:cs="Arial"/>
                <w:lang w:eastAsia="es-ES" w:bidi="es-ES"/>
              </w:rPr>
              <w:t>Consejo de Estado. Sala de Consulta y Servicio Civil. Concepto del 2 de septiembre de 2013. Radicación: 11001-03-06-000-2013-00412-00 (2168). Consejero Ponente: Álvaro Namén Vargas. </w:t>
            </w:r>
          </w:p>
          <w:p w14:paraId="0EBC936E" w14:textId="77777777" w:rsidR="009B5304" w:rsidRPr="00A418DB" w:rsidRDefault="009B5304" w:rsidP="009B5304">
            <w:pPr>
              <w:widowControl w:val="0"/>
              <w:numPr>
                <w:ilvl w:val="0"/>
                <w:numId w:val="17"/>
              </w:numPr>
              <w:autoSpaceDE w:val="0"/>
              <w:autoSpaceDN w:val="0"/>
              <w:spacing w:before="120" w:after="120"/>
              <w:jc w:val="both"/>
              <w:rPr>
                <w:rFonts w:ascii="Verdana" w:eastAsia="Arial MT" w:hAnsi="Verdana" w:cs="Arial"/>
                <w:lang w:eastAsia="es-ES" w:bidi="es-ES"/>
              </w:rPr>
            </w:pPr>
            <w:r w:rsidRPr="00143132">
              <w:rPr>
                <w:rFonts w:ascii="Verdana" w:eastAsia="Times New Roman" w:hAnsi="Verdana" w:cs="Times New Roman"/>
                <w:lang w:val="es-ES" w:eastAsia="es-ES"/>
              </w:rPr>
              <w:t xml:space="preserve">Consejo de Estado. Sala de lo Contencioso Administrativo. Sección Tercera. Subsección B. </w:t>
            </w:r>
            <w:r w:rsidRPr="000A4A44">
              <w:rPr>
                <w:rFonts w:ascii="Verdana" w:eastAsia="Times New Roman" w:hAnsi="Verdana" w:cs="Times New Roman"/>
                <w:lang w:eastAsia="es-ES"/>
              </w:rPr>
              <w:t>Sentencia del</w:t>
            </w:r>
            <w:r>
              <w:rPr>
                <w:rFonts w:ascii="Verdana" w:eastAsia="Times New Roman" w:hAnsi="Verdana" w:cs="Times New Roman"/>
                <w:lang w:eastAsia="es-ES"/>
              </w:rPr>
              <w:t xml:space="preserve"> </w:t>
            </w:r>
            <w:r>
              <w:rPr>
                <w:rFonts w:ascii="Verdana" w:eastAsia="Times New Roman" w:hAnsi="Verdana" w:cs="Times New Roman"/>
                <w:lang w:val="es-ES" w:eastAsia="es-ES"/>
              </w:rPr>
              <w:t>04</w:t>
            </w:r>
            <w:r w:rsidRPr="00143132">
              <w:rPr>
                <w:rFonts w:ascii="Verdana" w:eastAsia="Times New Roman" w:hAnsi="Verdana" w:cs="Times New Roman"/>
                <w:lang w:val="es-ES" w:eastAsia="es-ES"/>
              </w:rPr>
              <w:t xml:space="preserve"> de octubre de 202</w:t>
            </w:r>
            <w:r>
              <w:rPr>
                <w:rFonts w:ascii="Verdana" w:eastAsia="Times New Roman" w:hAnsi="Verdana" w:cs="Times New Roman"/>
                <w:lang w:val="es-ES" w:eastAsia="es-ES"/>
              </w:rPr>
              <w:t>4</w:t>
            </w:r>
            <w:r w:rsidRPr="00143132">
              <w:rPr>
                <w:rFonts w:ascii="Verdana" w:eastAsia="Times New Roman" w:hAnsi="Verdana" w:cs="Times New Roman"/>
                <w:lang w:val="es-ES" w:eastAsia="es-ES"/>
              </w:rPr>
              <w:t>.</w:t>
            </w:r>
            <w:r w:rsidRPr="001400DD">
              <w:t xml:space="preserve"> </w:t>
            </w:r>
            <w:r w:rsidRPr="001400DD">
              <w:rPr>
                <w:rFonts w:ascii="Verdana" w:eastAsia="Times New Roman" w:hAnsi="Verdana" w:cs="Times New Roman"/>
                <w:lang w:eastAsia="es-ES"/>
              </w:rPr>
              <w:t xml:space="preserve">Radicado: 11001-03-26-000-2023-00139-00 (70.313). C.P. </w:t>
            </w:r>
            <w:r w:rsidRPr="00A418DB">
              <w:rPr>
                <w:rFonts w:ascii="Verdana" w:eastAsia="Times New Roman" w:hAnsi="Verdana" w:cs="Times New Roman"/>
                <w:lang w:eastAsia="es-ES"/>
              </w:rPr>
              <w:t>Fredy Ibarra Martínez</w:t>
            </w:r>
            <w:r>
              <w:rPr>
                <w:rFonts w:ascii="Verdana" w:eastAsia="Times New Roman" w:hAnsi="Verdana" w:cs="Times New Roman"/>
                <w:lang w:eastAsia="es-ES"/>
              </w:rPr>
              <w:t>.</w:t>
            </w:r>
          </w:p>
          <w:p w14:paraId="7370AB30" w14:textId="77777777" w:rsidR="009B5304" w:rsidRDefault="009B5304" w:rsidP="009B5304">
            <w:pPr>
              <w:widowControl w:val="0"/>
              <w:numPr>
                <w:ilvl w:val="0"/>
                <w:numId w:val="17"/>
              </w:numPr>
              <w:autoSpaceDE w:val="0"/>
              <w:autoSpaceDN w:val="0"/>
              <w:spacing w:before="120" w:after="120"/>
              <w:jc w:val="both"/>
              <w:rPr>
                <w:rFonts w:ascii="Verdana" w:eastAsia="Arial MT" w:hAnsi="Verdana" w:cs="Arial"/>
                <w:lang w:eastAsia="es-ES" w:bidi="es-ES"/>
              </w:rPr>
            </w:pPr>
            <w:r w:rsidRPr="000F79F9">
              <w:rPr>
                <w:rFonts w:ascii="Verdana" w:eastAsia="Arial MT" w:hAnsi="Verdana" w:cs="Arial"/>
                <w:lang w:eastAsia="es-ES" w:bidi="es-ES"/>
              </w:rPr>
              <w:t>Consejo de Estado. Sala de lo Contencioso Administrativo. Sección Tercera. Subsección A. Sentencia del 13 de noviembre de 2013. Radicado: 25000-23-26-000-1999-02197-01 (25646). C.P. Mauricio Fajardo Gómez.  </w:t>
            </w:r>
          </w:p>
          <w:p w14:paraId="44645489" w14:textId="77777777" w:rsidR="009B5304" w:rsidRPr="00760CA8" w:rsidRDefault="009B5304" w:rsidP="009B5304">
            <w:pPr>
              <w:widowControl w:val="0"/>
              <w:numPr>
                <w:ilvl w:val="0"/>
                <w:numId w:val="17"/>
              </w:numPr>
              <w:autoSpaceDE w:val="0"/>
              <w:autoSpaceDN w:val="0"/>
              <w:spacing w:before="120" w:after="120" w:line="259" w:lineRule="auto"/>
              <w:jc w:val="both"/>
              <w:rPr>
                <w:rFonts w:ascii="Verdana" w:eastAsia="Arial MT" w:hAnsi="Verdana" w:cs="Arial"/>
                <w:lang w:eastAsia="es-ES" w:bidi="es-ES"/>
              </w:rPr>
            </w:pPr>
            <w:r w:rsidRPr="00760CA8">
              <w:rPr>
                <w:rFonts w:ascii="Verdana" w:eastAsia="Arial MT" w:hAnsi="Verdana" w:cs="Arial"/>
                <w:lang w:eastAsia="es-ES" w:bidi="es-ES"/>
              </w:rPr>
              <w:t>Consejo de Estado. Sala de lo Contencioso Administrativo. Sección Tercera. Subsección B. 13 de noviembre de 2024. Radicado: 11001-03-26-000-2023-00139-00 (70.313). C.P. Fredy Ibarra Martínez.</w:t>
            </w:r>
          </w:p>
          <w:p w14:paraId="580BEE99" w14:textId="77777777" w:rsidR="009B5304" w:rsidRPr="000E2A3A" w:rsidRDefault="009B5304" w:rsidP="009B5304">
            <w:pPr>
              <w:widowControl w:val="0"/>
              <w:numPr>
                <w:ilvl w:val="0"/>
                <w:numId w:val="17"/>
              </w:numPr>
              <w:autoSpaceDE w:val="0"/>
              <w:autoSpaceDN w:val="0"/>
              <w:spacing w:before="120" w:after="120" w:line="259" w:lineRule="auto"/>
              <w:jc w:val="both"/>
              <w:rPr>
                <w:rFonts w:ascii="Verdana" w:eastAsia="Arial MT" w:hAnsi="Verdana" w:cs="Arial"/>
                <w:lang w:eastAsia="es-ES" w:bidi="es-ES"/>
              </w:rPr>
            </w:pPr>
            <w:r w:rsidRPr="00760CA8">
              <w:rPr>
                <w:rFonts w:ascii="Verdana" w:eastAsia="Arial MT" w:hAnsi="Verdana" w:cs="Arial"/>
                <w:lang w:eastAsia="es-ES" w:bidi="es-ES"/>
              </w:rPr>
              <w:t>Consejo de Estado. Sala de lo Contencioso Administrativo. Sección Tercera. Subsección B. 06 de noviembre de 2025. Radicado: 11001-</w:t>
            </w:r>
            <w:r w:rsidRPr="00760CA8">
              <w:rPr>
                <w:rFonts w:ascii="Verdana" w:eastAsia="Arial MT" w:hAnsi="Verdana" w:cs="Arial"/>
                <w:lang w:eastAsia="es-ES" w:bidi="es-ES"/>
              </w:rPr>
              <w:lastRenderedPageBreak/>
              <w:t>03-26-000-2025-00016-00 (72.424). C.P. Fernando Alexei Pardo Flórez.</w:t>
            </w:r>
          </w:p>
          <w:p w14:paraId="5CCD53D3" w14:textId="77777777" w:rsidR="009B5304" w:rsidRPr="00343E12" w:rsidRDefault="009B5304" w:rsidP="009B5304">
            <w:pPr>
              <w:numPr>
                <w:ilvl w:val="0"/>
                <w:numId w:val="17"/>
              </w:numPr>
              <w:spacing w:before="120" w:line="276" w:lineRule="auto"/>
              <w:jc w:val="both"/>
              <w:rPr>
                <w:rFonts w:ascii="Verdana" w:eastAsia="Times New Roman" w:hAnsi="Verdana" w:cs="Arial"/>
                <w:color w:val="000000"/>
                <w:lang w:eastAsia="es-CO"/>
              </w:rPr>
            </w:pPr>
            <w:r w:rsidRPr="00343E12">
              <w:rPr>
                <w:rFonts w:ascii="Verdana" w:eastAsia="Times New Roman" w:hAnsi="Verdana" w:cs="Arial"/>
                <w:color w:val="000000"/>
                <w:lang w:eastAsia="es-CO"/>
              </w:rPr>
              <w:t>Corte Constitucional. Sentencia C-1153 de 2005 de 11 de noviembre de 2005. M.P: Marco Gerardo Monroy Cabra.</w:t>
            </w:r>
          </w:p>
          <w:p w14:paraId="4C15A33D" w14:textId="77777777" w:rsidR="009B5304" w:rsidRPr="00343E12" w:rsidRDefault="009B5304" w:rsidP="009B5304">
            <w:pPr>
              <w:numPr>
                <w:ilvl w:val="0"/>
                <w:numId w:val="17"/>
              </w:numPr>
              <w:spacing w:before="120" w:line="276" w:lineRule="auto"/>
              <w:jc w:val="both"/>
              <w:rPr>
                <w:rFonts w:ascii="Verdana" w:eastAsia="Times New Roman" w:hAnsi="Verdana" w:cs="Arial"/>
                <w:color w:val="000000"/>
                <w:lang w:eastAsia="es-CO"/>
              </w:rPr>
            </w:pPr>
            <w:r w:rsidRPr="00343E12">
              <w:rPr>
                <w:rFonts w:ascii="Verdana" w:eastAsia="Times New Roman" w:hAnsi="Verdana" w:cs="Arial"/>
                <w:color w:val="000000"/>
                <w:lang w:eastAsia="es-CO"/>
              </w:rPr>
              <w:t>Corte Constitucional. Sentencia C-233 de 4 de abril de 2002. M.P: Álvaro Tafur Galvis.</w:t>
            </w:r>
          </w:p>
          <w:p w14:paraId="75242FFA" w14:textId="77777777" w:rsidR="009B5304" w:rsidRPr="00343E12" w:rsidRDefault="009B5304" w:rsidP="009B5304">
            <w:pPr>
              <w:numPr>
                <w:ilvl w:val="0"/>
                <w:numId w:val="17"/>
              </w:numPr>
              <w:spacing w:before="120" w:line="276" w:lineRule="auto"/>
              <w:jc w:val="both"/>
              <w:rPr>
                <w:rFonts w:ascii="Verdana" w:eastAsia="Times New Roman" w:hAnsi="Verdana" w:cs="Arial"/>
                <w:color w:val="000000"/>
                <w:lang w:eastAsia="es-CO"/>
              </w:rPr>
            </w:pPr>
            <w:r w:rsidRPr="00343E12">
              <w:rPr>
                <w:rFonts w:ascii="Verdana" w:eastAsia="Times New Roman" w:hAnsi="Verdana" w:cs="Arial"/>
                <w:color w:val="000000"/>
                <w:lang w:eastAsia="es-CO"/>
              </w:rPr>
              <w:t>Corte Constitucional. Sentencia C-551 de 9 de julio de 2003. M.P: Eduardo Montealegre Lynnet.</w:t>
            </w:r>
          </w:p>
          <w:p w14:paraId="08517B57" w14:textId="77777777" w:rsidR="009B5304" w:rsidRPr="00343E12" w:rsidRDefault="009B5304" w:rsidP="009B5304">
            <w:pPr>
              <w:numPr>
                <w:ilvl w:val="0"/>
                <w:numId w:val="17"/>
              </w:numPr>
              <w:spacing w:before="120" w:line="276" w:lineRule="auto"/>
              <w:jc w:val="both"/>
              <w:rPr>
                <w:rFonts w:ascii="Verdana" w:eastAsia="Times New Roman" w:hAnsi="Verdana" w:cs="Arial"/>
                <w:color w:val="000000"/>
                <w:lang w:eastAsia="es-CO"/>
              </w:rPr>
            </w:pPr>
            <w:r w:rsidRPr="00343E12">
              <w:rPr>
                <w:rFonts w:ascii="Verdana" w:eastAsia="Times New Roman" w:hAnsi="Verdana" w:cs="Arial"/>
                <w:color w:val="000000"/>
                <w:lang w:eastAsia="es-CO"/>
              </w:rPr>
              <w:t xml:space="preserve">Corte Constitucional. Sentencia C-353 de 20 de mayo de 2009. M.P: Jorge Iván Palacio </w:t>
            </w:r>
            <w:proofErr w:type="spellStart"/>
            <w:r w:rsidRPr="00343E12">
              <w:rPr>
                <w:rFonts w:ascii="Verdana" w:eastAsia="Times New Roman" w:hAnsi="Verdana" w:cs="Arial"/>
                <w:color w:val="000000"/>
                <w:lang w:eastAsia="es-CO"/>
              </w:rPr>
              <w:t>Palacio</w:t>
            </w:r>
            <w:proofErr w:type="spellEnd"/>
            <w:r w:rsidRPr="00343E12">
              <w:rPr>
                <w:rFonts w:ascii="Verdana" w:eastAsia="Times New Roman" w:hAnsi="Verdana" w:cs="Arial"/>
                <w:color w:val="000000"/>
                <w:lang w:eastAsia="es-CO"/>
              </w:rPr>
              <w:t>.</w:t>
            </w:r>
          </w:p>
          <w:p w14:paraId="38F57346" w14:textId="77777777" w:rsidR="009B5304" w:rsidRPr="00343E12" w:rsidRDefault="009B5304" w:rsidP="009B5304">
            <w:pPr>
              <w:numPr>
                <w:ilvl w:val="0"/>
                <w:numId w:val="17"/>
              </w:numPr>
              <w:spacing w:before="120" w:line="276" w:lineRule="auto"/>
              <w:jc w:val="both"/>
              <w:rPr>
                <w:rFonts w:ascii="Verdana" w:eastAsia="Times New Roman" w:hAnsi="Verdana" w:cs="Arial"/>
                <w:color w:val="000000"/>
                <w:lang w:eastAsia="es-CO"/>
              </w:rPr>
            </w:pPr>
            <w:r w:rsidRPr="00343E12">
              <w:rPr>
                <w:rFonts w:ascii="Verdana" w:eastAsia="Times New Roman" w:hAnsi="Verdana" w:cs="Arial"/>
                <w:color w:val="000000"/>
                <w:lang w:eastAsia="es-CO"/>
              </w:rPr>
              <w:t>Corte Constitucional. Sentencia C-541 de 30 de junio de 2010. M.P: Gabriel Eduardo Mendoza Martelo.</w:t>
            </w:r>
          </w:p>
          <w:p w14:paraId="3B5426E3" w14:textId="77777777" w:rsidR="009B5304" w:rsidRPr="00FE167C" w:rsidRDefault="009B5304" w:rsidP="009B5304">
            <w:pPr>
              <w:pStyle w:val="NormalWeb"/>
              <w:numPr>
                <w:ilvl w:val="0"/>
                <w:numId w:val="17"/>
              </w:numPr>
              <w:spacing w:beforeAutospacing="0" w:after="0" w:afterAutospacing="0" w:line="276" w:lineRule="auto"/>
              <w:jc w:val="both"/>
              <w:rPr>
                <w:rFonts w:ascii="Verdana" w:hAnsi="Verdana" w:cs="Arial"/>
                <w:color w:val="00BCD8"/>
                <w:sz w:val="22"/>
                <w:szCs w:val="22"/>
                <w:lang w:val="es-ES"/>
              </w:rPr>
            </w:pPr>
            <w:r w:rsidRPr="000E2A3A">
              <w:rPr>
                <w:rFonts w:ascii="Verdana" w:eastAsia="Arial MT" w:hAnsi="Verdana" w:cs="Arial"/>
                <w:lang w:eastAsia="es-ES" w:bidi="es-ES"/>
              </w:rPr>
              <w:t>Circular única Externa. En </w:t>
            </w:r>
            <w:hyperlink r:id="rId13" w:tgtFrame="_blank" w:history="1">
              <w:r w:rsidRPr="000E2A3A">
                <w:rPr>
                  <w:rStyle w:val="Hipervnculo"/>
                  <w:rFonts w:ascii="Verdana" w:eastAsia="Arial MT" w:hAnsi="Verdana" w:cs="Arial"/>
                  <w:lang w:eastAsia="es-ES" w:bidi="es-ES"/>
                </w:rPr>
                <w:t>circular_externa_unica_version_3_vf49.pdf</w:t>
              </w:r>
            </w:hyperlink>
          </w:p>
        </w:tc>
      </w:tr>
    </w:tbl>
    <w:p w14:paraId="7D55D379" w14:textId="77777777" w:rsidR="009B5304" w:rsidRPr="00FE167C" w:rsidRDefault="009B5304" w:rsidP="009B5304">
      <w:pPr>
        <w:widowControl w:val="0"/>
        <w:autoSpaceDE w:val="0"/>
        <w:autoSpaceDN w:val="0"/>
        <w:spacing w:after="0" w:line="276" w:lineRule="auto"/>
        <w:jc w:val="both"/>
        <w:rPr>
          <w:rFonts w:ascii="Verdana" w:hAnsi="Verdana" w:cs="Arial"/>
          <w:color w:val="00BCD8"/>
        </w:rPr>
      </w:pPr>
    </w:p>
    <w:p w14:paraId="609EC244" w14:textId="77777777" w:rsidR="009B5304" w:rsidRPr="00AE1E71" w:rsidRDefault="009B5304" w:rsidP="009B5304">
      <w:pPr>
        <w:tabs>
          <w:tab w:val="left" w:pos="142"/>
          <w:tab w:val="left" w:pos="284"/>
        </w:tabs>
        <w:spacing w:after="0" w:line="276" w:lineRule="auto"/>
        <w:jc w:val="both"/>
        <w:rPr>
          <w:rFonts w:ascii="Verdana" w:eastAsia="Century Gothic" w:hAnsi="Verdana" w:cs="Century Gothic"/>
          <w:b/>
          <w:bCs/>
        </w:rPr>
      </w:pPr>
      <w:r w:rsidRPr="00AE1E71">
        <w:rPr>
          <w:rFonts w:ascii="Verdana" w:eastAsia="Century Gothic" w:hAnsi="Verdana" w:cs="Century Gothic"/>
          <w:b/>
          <w:bCs/>
        </w:rPr>
        <w:t>5. Doctrina de la Agencia Nacional de Contratación Pública:</w:t>
      </w:r>
    </w:p>
    <w:p w14:paraId="458F878A" w14:textId="77777777" w:rsidR="009B5304" w:rsidRPr="00FE167C" w:rsidRDefault="009B5304" w:rsidP="009B5304">
      <w:pPr>
        <w:widowControl w:val="0"/>
        <w:autoSpaceDE w:val="0"/>
        <w:autoSpaceDN w:val="0"/>
        <w:spacing w:after="0" w:line="276" w:lineRule="auto"/>
        <w:jc w:val="both"/>
        <w:rPr>
          <w:rFonts w:ascii="Verdana" w:eastAsia="Aptos" w:hAnsi="Verdana" w:cs="Arial"/>
          <w:color w:val="00BCD8"/>
          <w:shd w:val="clear" w:color="auto" w:fill="FFFFFF"/>
          <w:lang w:val="es-ES"/>
        </w:rPr>
      </w:pPr>
    </w:p>
    <w:p w14:paraId="2E4F94FF" w14:textId="77777777" w:rsidR="009B5304" w:rsidRDefault="009B5304" w:rsidP="009B5304">
      <w:pPr>
        <w:spacing w:after="0" w:line="240" w:lineRule="auto"/>
        <w:jc w:val="both"/>
        <w:rPr>
          <w:rFonts w:ascii="Verdana" w:hAnsi="Verdana" w:cs="Arial"/>
          <w:color w:val="0070C0"/>
          <w:shd w:val="clear" w:color="auto" w:fill="FFFFFF"/>
        </w:rPr>
      </w:pPr>
    </w:p>
    <w:p w14:paraId="3E13C8A3" w14:textId="2C5D4FB5" w:rsidR="009B5304" w:rsidRPr="00CC1C63" w:rsidRDefault="009B5304" w:rsidP="009B5304">
      <w:pPr>
        <w:spacing w:after="120" w:line="276" w:lineRule="auto"/>
        <w:jc w:val="both"/>
        <w:rPr>
          <w:rFonts w:ascii="Verdana" w:hAnsi="Verdana"/>
        </w:rPr>
      </w:pPr>
      <w:r w:rsidRPr="00CC1C63">
        <w:rPr>
          <w:rFonts w:ascii="Verdana" w:hAnsi="Verdana"/>
        </w:rPr>
        <w:t xml:space="preserve">Sobre la finalidad y propósito de la Ley de Garantías Electorales, la ANCP- CCE se ha pronunciado en los Conceptos 4201913000004536 de 17 de julio de 2019, 4201912000005556 del 12 de septiembre de 2019, 4201913000005175 del 13 de septiembre de 2019, 4201913000006452 del 07 de octubre de 2019, 4201913000005082 del 17 de octubre de 2019, 4201913000006306 del 21 de octubre de 2019, 4201912000006552 del 07 de noviembre de 2019, 4201913000006604 del 17 de diciembre de 2019,  C-227 del 24 de mayo de 2021 y 396 del 13 de agosto de 2021, C-439 del 27 de agosto de 2021, C-456 del 3 de septiembre, C-481 del 9 de septiembre de 2021, C- 528 del 27 de septiembre de 2021, C-550 del 5 de octubre de 2021 y C-523 del 10 de octubre de 2021, C-606 del 28 de octubre de 2021 y C-614 del 2 de noviembre de 2021, C-636 del 16 de noviembre de 2021, 681 del 7 de diciembre de 2021, C-686 del 21 de diciembre de 2021, C-697 del 3 de enero de 2022, C-317 del 25 de abril de 2025, C-510 del 4 de junio de 2025, 646 del 26 de junio de 2025, C-957 del 23 de agosto de 2025, C-975 del 28 de agosto de 2025, C-1015 del 4 de septiembre de 2025, C-1096 del 28 de agosto de 2025, C-1174 del 29 de </w:t>
      </w:r>
      <w:r w:rsidRPr="00CC1C63">
        <w:rPr>
          <w:rFonts w:ascii="Verdana" w:hAnsi="Verdana"/>
        </w:rPr>
        <w:lastRenderedPageBreak/>
        <w:t xml:space="preserve">septiembre de 2025, C- 1170 del 16 de septiembre de 2025, C-1194 del 3 de octubre de 2025, C-1343 del 20 de octubre de 2025, C-1350 del 1˚ de octubre de 2025, C-1401 del 22 de octubre de 2025, C-1512 del 27 de octubre de 2025, C-1488 del 30 de octubre de 2025, C-1596 del 6 de noviembre de 2025, C-1509 del 19 de noviembre de 2025, C-1773 del 5 de diciembre de 2025, C – 1603 del 9 de diciembre de 2025, C-1646 del 17 de diciembre de 2025,  C-1703 del 29 de diciembre de 2025, </w:t>
      </w:r>
      <w:r>
        <w:rPr>
          <w:rFonts w:ascii="Verdana" w:hAnsi="Verdana"/>
        </w:rPr>
        <w:t xml:space="preserve">C-1812 del 21 de enero de 2026, C- 086 del 27 de enero de 2026 </w:t>
      </w:r>
      <w:r w:rsidRPr="00CC1C63">
        <w:rPr>
          <w:rFonts w:ascii="Verdana" w:hAnsi="Verdana"/>
        </w:rPr>
        <w:t>entre otros. 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hyperlink r:id="rId14" w:history="1">
        <w:r w:rsidRPr="00CC1C63">
          <w:rPr>
            <w:rStyle w:val="Hipervnculo"/>
            <w:rFonts w:ascii="Verdana" w:hAnsi="Verdana"/>
          </w:rPr>
          <w:t>https://relatoria.colombiacompra.gov.co/busqueda/conceptos</w:t>
        </w:r>
      </w:hyperlink>
      <w:r w:rsidRPr="00CC1C63">
        <w:rPr>
          <w:rFonts w:ascii="Verdana" w:hAnsi="Verdana"/>
        </w:rPr>
        <w:t xml:space="preserve">. </w:t>
      </w:r>
    </w:p>
    <w:p w14:paraId="1804F26E" w14:textId="123BD118" w:rsidR="009B5304" w:rsidRPr="00FA312E" w:rsidRDefault="009B5304" w:rsidP="009B5304">
      <w:pPr>
        <w:widowControl w:val="0"/>
        <w:autoSpaceDE w:val="0"/>
        <w:autoSpaceDN w:val="0"/>
        <w:spacing w:after="0" w:line="276" w:lineRule="auto"/>
        <w:jc w:val="both"/>
        <w:rPr>
          <w:rFonts w:ascii="Verdana" w:hAnsi="Verdana" w:cs="Arial"/>
          <w:shd w:val="clear" w:color="auto" w:fill="FFFFFF"/>
        </w:rPr>
      </w:pPr>
      <w:r w:rsidRPr="00FA312E">
        <w:rPr>
          <w:rFonts w:ascii="Verdana" w:hAnsi="Verdana" w:cs="Arial"/>
          <w:shd w:val="clear" w:color="auto" w:fill="FFFFFF"/>
        </w:rPr>
        <w:t>Por último, lo invitamos a seguirnos en las redes sociales en las cuales se difunde información institucional:  </w:t>
      </w:r>
    </w:p>
    <w:p w14:paraId="10D517F1" w14:textId="77777777" w:rsidR="009B5304" w:rsidRPr="00FA312E" w:rsidRDefault="009B5304" w:rsidP="009B5304">
      <w:pPr>
        <w:widowControl w:val="0"/>
        <w:autoSpaceDE w:val="0"/>
        <w:autoSpaceDN w:val="0"/>
        <w:spacing w:after="0" w:line="276" w:lineRule="auto"/>
        <w:jc w:val="both"/>
        <w:rPr>
          <w:rFonts w:ascii="Verdana" w:hAnsi="Verdana" w:cs="Arial"/>
          <w:shd w:val="clear" w:color="auto" w:fill="FFFFFF"/>
        </w:rPr>
      </w:pPr>
      <w:r w:rsidRPr="00FA312E">
        <w:rPr>
          <w:rFonts w:ascii="Verdana" w:hAnsi="Verdana" w:cs="Arial"/>
          <w:shd w:val="clear" w:color="auto" w:fill="FFFFFF"/>
        </w:rPr>
        <w:t>Twitter: </w:t>
      </w:r>
      <w:r w:rsidRPr="00FA312E">
        <w:rPr>
          <w:rFonts w:ascii="Verdana" w:hAnsi="Verdana" w:cs="Arial"/>
          <w:u w:val="single"/>
          <w:shd w:val="clear" w:color="auto" w:fill="FFFFFF"/>
        </w:rPr>
        <w:t>@colombiacompra</w:t>
      </w:r>
      <w:r w:rsidRPr="00FA312E">
        <w:rPr>
          <w:rFonts w:ascii="Verdana" w:hAnsi="Verdana" w:cs="Arial"/>
          <w:shd w:val="clear" w:color="auto" w:fill="FFFFFF"/>
        </w:rPr>
        <w:t>  </w:t>
      </w:r>
    </w:p>
    <w:p w14:paraId="5A0431F2" w14:textId="77777777" w:rsidR="009B5304" w:rsidRPr="00FA312E" w:rsidRDefault="009B5304" w:rsidP="009B5304">
      <w:pPr>
        <w:widowControl w:val="0"/>
        <w:autoSpaceDE w:val="0"/>
        <w:autoSpaceDN w:val="0"/>
        <w:spacing w:after="0" w:line="276" w:lineRule="auto"/>
        <w:jc w:val="both"/>
        <w:rPr>
          <w:rFonts w:ascii="Verdana" w:hAnsi="Verdana" w:cs="Arial"/>
          <w:shd w:val="clear" w:color="auto" w:fill="FFFFFF"/>
        </w:rPr>
      </w:pPr>
      <w:r w:rsidRPr="00FA312E">
        <w:rPr>
          <w:rFonts w:ascii="Verdana" w:hAnsi="Verdana" w:cs="Arial"/>
          <w:shd w:val="clear" w:color="auto" w:fill="FFFFFF"/>
        </w:rPr>
        <w:t>Facebook: </w:t>
      </w:r>
      <w:proofErr w:type="spellStart"/>
      <w:r w:rsidRPr="00FA312E">
        <w:rPr>
          <w:rFonts w:ascii="Verdana" w:hAnsi="Verdana" w:cs="Arial"/>
          <w:u w:val="single"/>
          <w:shd w:val="clear" w:color="auto" w:fill="FFFFFF"/>
        </w:rPr>
        <w:t>ColombiaCompraEficiente</w:t>
      </w:r>
      <w:proofErr w:type="spellEnd"/>
      <w:r w:rsidRPr="00FA312E">
        <w:rPr>
          <w:rFonts w:ascii="Verdana" w:hAnsi="Verdana" w:cs="Arial"/>
          <w:shd w:val="clear" w:color="auto" w:fill="FFFFFF"/>
        </w:rPr>
        <w:t> </w:t>
      </w:r>
    </w:p>
    <w:p w14:paraId="6DFCEFFF" w14:textId="1AE0DABC" w:rsidR="009B5304" w:rsidRPr="00FA312E" w:rsidRDefault="009B5304" w:rsidP="009B5304">
      <w:pPr>
        <w:widowControl w:val="0"/>
        <w:autoSpaceDE w:val="0"/>
        <w:autoSpaceDN w:val="0"/>
        <w:spacing w:after="0" w:line="276" w:lineRule="auto"/>
        <w:jc w:val="both"/>
        <w:rPr>
          <w:rFonts w:ascii="Verdana" w:hAnsi="Verdana" w:cs="Arial"/>
          <w:shd w:val="clear" w:color="auto" w:fill="FFFFFF"/>
        </w:rPr>
      </w:pPr>
      <w:r w:rsidRPr="00FA312E">
        <w:rPr>
          <w:rFonts w:ascii="Verdana" w:hAnsi="Verdana" w:cs="Arial"/>
          <w:shd w:val="clear" w:color="auto" w:fill="FFFFFF"/>
        </w:rPr>
        <w:t>LinkedIn: Agencia Nacional de Contratación Pública - Colombia Compra Eficiente</w:t>
      </w:r>
    </w:p>
    <w:p w14:paraId="1B8FF6BC" w14:textId="1972CB52" w:rsidR="009B5304" w:rsidRPr="00431FE8" w:rsidRDefault="009B5304" w:rsidP="009B5304">
      <w:pPr>
        <w:widowControl w:val="0"/>
        <w:autoSpaceDE w:val="0"/>
        <w:autoSpaceDN w:val="0"/>
        <w:spacing w:after="0" w:line="276" w:lineRule="auto"/>
        <w:jc w:val="both"/>
        <w:rPr>
          <w:rFonts w:ascii="Verdana" w:hAnsi="Verdana" w:cs="Arial"/>
          <w:color w:val="002060"/>
          <w:shd w:val="clear" w:color="auto" w:fill="FFFFFF"/>
        </w:rPr>
      </w:pPr>
      <w:r w:rsidRPr="00FA312E">
        <w:rPr>
          <w:rFonts w:ascii="Verdana" w:hAnsi="Verdana" w:cs="Arial"/>
          <w:shd w:val="clear" w:color="auto" w:fill="FFFFFF"/>
        </w:rPr>
        <w:t>Instagram: </w:t>
      </w:r>
      <w:r w:rsidRPr="00431FE8">
        <w:rPr>
          <w:rFonts w:ascii="Verdana" w:hAnsi="Verdana" w:cs="Arial"/>
          <w:color w:val="002060"/>
          <w:u w:val="single"/>
          <w:shd w:val="clear" w:color="auto" w:fill="FFFFFF"/>
        </w:rPr>
        <w:t>@colombiacompraeficiente_cce</w:t>
      </w:r>
    </w:p>
    <w:p w14:paraId="5A8C529A" w14:textId="7964B41A" w:rsidR="00431FE8" w:rsidRPr="00FA312E" w:rsidRDefault="00431FE8" w:rsidP="00431FE8">
      <w:pPr>
        <w:widowControl w:val="0"/>
        <w:autoSpaceDE w:val="0"/>
        <w:autoSpaceDN w:val="0"/>
        <w:spacing w:after="0" w:line="276" w:lineRule="auto"/>
        <w:jc w:val="both"/>
        <w:rPr>
          <w:rFonts w:ascii="Verdana" w:hAnsi="Verdana" w:cs="Arial"/>
          <w:shd w:val="clear" w:color="auto" w:fill="FFFFFF"/>
        </w:rPr>
      </w:pPr>
    </w:p>
    <w:p w14:paraId="5449BFBA" w14:textId="054FB6DB" w:rsidR="00431FE8" w:rsidRPr="005D67BA" w:rsidRDefault="00431FE8" w:rsidP="00431FE8">
      <w:pPr>
        <w:spacing w:after="0" w:line="276" w:lineRule="auto"/>
        <w:jc w:val="both"/>
        <w:rPr>
          <w:rFonts w:ascii="Verdana" w:hAnsi="Verdana"/>
        </w:rPr>
      </w:pPr>
      <w:r w:rsidRPr="00FA312E">
        <w:rPr>
          <w:rFonts w:ascii="Verdana" w:hAnsi="Verdana"/>
        </w:rPr>
        <w:t xml:space="preserve">Este concepto tiene el alcance previsto en el artículo 28 del Código de Procedimiento Administrativo y de lo Contencioso </w:t>
      </w:r>
      <w:r w:rsidRPr="005D67BA">
        <w:rPr>
          <w:rFonts w:ascii="Verdana" w:hAnsi="Verdana"/>
        </w:rPr>
        <w:t>Administrativo y las expresiones utilizadas con mayúscula inicial deben ser entendidas con el significado que les otorga el artículo 2.2.1.1.1.3.1 del Decreto 1082 de 2015.</w:t>
      </w:r>
    </w:p>
    <w:p w14:paraId="2C4D1DFC" w14:textId="3DFD6060" w:rsidR="00431FE8" w:rsidRDefault="00431FE8" w:rsidP="00431FE8">
      <w:pPr>
        <w:spacing w:after="0" w:line="276" w:lineRule="auto"/>
        <w:jc w:val="both"/>
        <w:rPr>
          <w:noProof/>
        </w:rPr>
      </w:pPr>
    </w:p>
    <w:p w14:paraId="276DCDEE" w14:textId="3C671F30" w:rsidR="00B92AD0" w:rsidRDefault="004F6041" w:rsidP="00B92AD0">
      <w:pPr>
        <w:spacing w:after="0" w:line="276" w:lineRule="auto"/>
        <w:jc w:val="both"/>
        <w:rPr>
          <w:noProof/>
        </w:rPr>
      </w:pPr>
      <w:r>
        <w:rPr>
          <w:noProof/>
        </w:rPr>
        <w:drawing>
          <wp:anchor distT="0" distB="0" distL="114300" distR="114300" simplePos="0" relativeHeight="251662336" behindDoc="0" locked="0" layoutInCell="1" allowOverlap="1" wp14:anchorId="2C20BF80" wp14:editId="786B8EB7">
            <wp:simplePos x="0" y="0"/>
            <wp:positionH relativeFrom="margin">
              <wp:posOffset>1272540</wp:posOffset>
            </wp:positionH>
            <wp:positionV relativeFrom="margin">
              <wp:posOffset>5014595</wp:posOffset>
            </wp:positionV>
            <wp:extent cx="3133090" cy="1163955"/>
            <wp:effectExtent l="0" t="0" r="0" b="0"/>
            <wp:wrapSquare wrapText="bothSides"/>
            <wp:docPr id="1354253044"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4253044" name="Imagen 1" descr="Texto&#10;&#10;El contenido generado por IA puede ser incorrecto."/>
                    <pic:cNvPicPr/>
                  </pic:nvPicPr>
                  <pic:blipFill>
                    <a:blip r:embed="rId15">
                      <a:extLst>
                        <a:ext uri="{28A0092B-C50C-407E-A947-70E740481C1C}">
                          <a14:useLocalDpi xmlns:a14="http://schemas.microsoft.com/office/drawing/2010/main" val="0"/>
                        </a:ext>
                      </a:extLst>
                    </a:blip>
                    <a:stretch>
                      <a:fillRect/>
                    </a:stretch>
                  </pic:blipFill>
                  <pic:spPr>
                    <a:xfrm>
                      <a:off x="0" y="0"/>
                      <a:ext cx="3133090" cy="1163955"/>
                    </a:xfrm>
                    <a:prstGeom prst="rect">
                      <a:avLst/>
                    </a:prstGeom>
                  </pic:spPr>
                </pic:pic>
              </a:graphicData>
            </a:graphic>
            <wp14:sizeRelH relativeFrom="margin">
              <wp14:pctWidth>0</wp14:pctWidth>
            </wp14:sizeRelH>
            <wp14:sizeRelV relativeFrom="margin">
              <wp14:pctHeight>0</wp14:pctHeight>
            </wp14:sizeRelV>
          </wp:anchor>
        </w:drawing>
      </w:r>
      <w:r w:rsidR="00431FE8" w:rsidRPr="005D67BA">
        <w:rPr>
          <w:rFonts w:ascii="Verdana" w:eastAsia="Calibri" w:hAnsi="Verdana" w:cs="Times New Roman"/>
        </w:rPr>
        <w:t>Atentamente</w:t>
      </w:r>
      <w:r w:rsidR="00B92AD0">
        <w:rPr>
          <w:rFonts w:ascii="Verdana" w:eastAsia="Calibri" w:hAnsi="Verdana" w:cs="Times New Roman"/>
        </w:rPr>
        <w:t>,</w:t>
      </w:r>
      <w:r w:rsidR="00B92AD0" w:rsidRPr="00B92AD0">
        <w:rPr>
          <w:noProof/>
        </w:rPr>
        <w:t xml:space="preserve"> </w:t>
      </w:r>
    </w:p>
    <w:p w14:paraId="2226F74A" w14:textId="2A031F0B" w:rsidR="003009C6" w:rsidRDefault="003009C6" w:rsidP="00B92AD0">
      <w:pPr>
        <w:spacing w:after="0" w:line="276" w:lineRule="auto"/>
        <w:jc w:val="both"/>
        <w:rPr>
          <w:rFonts w:ascii="Verdana" w:eastAsia="Calibri" w:hAnsi="Verdana" w:cs="Times New Roman"/>
        </w:rPr>
      </w:pPr>
    </w:p>
    <w:p w14:paraId="2DB0E1D2" w14:textId="47764C83" w:rsidR="00431FE8" w:rsidRDefault="00431FE8" w:rsidP="00431FE8">
      <w:pPr>
        <w:spacing w:after="0" w:line="276" w:lineRule="auto"/>
        <w:jc w:val="center"/>
        <w:rPr>
          <w:rFonts w:ascii="Verdana" w:eastAsia="Calibri" w:hAnsi="Verdana" w:cs="Times New Roman"/>
        </w:rPr>
      </w:pPr>
    </w:p>
    <w:p w14:paraId="23AA61C3" w14:textId="77777777" w:rsidR="003009C6" w:rsidRDefault="003009C6" w:rsidP="00431FE8">
      <w:pPr>
        <w:spacing w:after="0" w:line="276" w:lineRule="auto"/>
        <w:jc w:val="center"/>
        <w:rPr>
          <w:rFonts w:ascii="Verdana" w:eastAsia="Calibri" w:hAnsi="Verdana" w:cs="Times New Roman"/>
        </w:rPr>
      </w:pPr>
    </w:p>
    <w:p w14:paraId="3664F010" w14:textId="77777777" w:rsidR="003009C6" w:rsidRDefault="003009C6" w:rsidP="004C2DAE">
      <w:pPr>
        <w:spacing w:after="0" w:line="276" w:lineRule="auto"/>
        <w:rPr>
          <w:rFonts w:ascii="Verdana" w:eastAsia="Calibri" w:hAnsi="Verdana" w:cs="Times New Roman"/>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431FE8" w:rsidRPr="005D67BA" w14:paraId="18AECC4C" w14:textId="77777777" w:rsidTr="00A16151">
        <w:trPr>
          <w:trHeight w:val="315"/>
        </w:trPr>
        <w:tc>
          <w:tcPr>
            <w:tcW w:w="893" w:type="dxa"/>
            <w:vAlign w:val="center"/>
            <w:hideMark/>
          </w:tcPr>
          <w:p w14:paraId="753AA234" w14:textId="77777777" w:rsidR="00431FE8" w:rsidRPr="005D67BA" w:rsidRDefault="00431FE8" w:rsidP="00A16151">
            <w:pPr>
              <w:contextualSpacing/>
              <w:rPr>
                <w:rFonts w:ascii="Verdana" w:hAnsi="Verdana" w:cs="Arial"/>
                <w:sz w:val="16"/>
                <w:szCs w:val="16"/>
                <w:lang w:eastAsia="es-ES"/>
              </w:rPr>
            </w:pPr>
            <w:r w:rsidRPr="005D67BA">
              <w:rPr>
                <w:rFonts w:ascii="Verdana" w:hAnsi="Verdana" w:cs="Arial"/>
                <w:sz w:val="16"/>
                <w:szCs w:val="16"/>
                <w:lang w:eastAsia="es-ES"/>
              </w:rPr>
              <w:t>Elaboró:</w:t>
            </w:r>
          </w:p>
        </w:tc>
        <w:tc>
          <w:tcPr>
            <w:tcW w:w="5628" w:type="dxa"/>
            <w:tcBorders>
              <w:top w:val="nil"/>
              <w:left w:val="nil"/>
              <w:bottom w:val="dotted" w:sz="4" w:space="0" w:color="7F7F7F" w:themeColor="text1" w:themeTint="80"/>
              <w:right w:val="nil"/>
            </w:tcBorders>
            <w:vAlign w:val="center"/>
            <w:hideMark/>
          </w:tcPr>
          <w:p w14:paraId="656DA145" w14:textId="22E1259E" w:rsidR="00431FE8" w:rsidRPr="005D67BA" w:rsidRDefault="00431FE8" w:rsidP="00A16151">
            <w:pPr>
              <w:contextualSpacing/>
              <w:rPr>
                <w:rFonts w:ascii="Verdana" w:hAnsi="Verdana"/>
                <w:sz w:val="16"/>
                <w:szCs w:val="16"/>
              </w:rPr>
            </w:pPr>
            <w:r w:rsidRPr="005D67BA">
              <w:rPr>
                <w:rFonts w:ascii="Verdana" w:hAnsi="Verdana"/>
                <w:sz w:val="16"/>
                <w:szCs w:val="16"/>
              </w:rPr>
              <w:t>Denis Andrea Cárdenas Hernández</w:t>
            </w:r>
          </w:p>
          <w:p w14:paraId="39D0C1FD" w14:textId="77777777" w:rsidR="00431FE8" w:rsidRPr="005D67BA" w:rsidRDefault="00431FE8" w:rsidP="00A16151">
            <w:pPr>
              <w:contextualSpacing/>
              <w:rPr>
                <w:rFonts w:ascii="Verdana" w:eastAsia="Arial" w:hAnsi="Verdana" w:cs="Arial"/>
                <w:sz w:val="16"/>
                <w:szCs w:val="16"/>
              </w:rPr>
            </w:pPr>
            <w:r w:rsidRPr="005D67BA">
              <w:rPr>
                <w:rFonts w:ascii="Verdana" w:hAnsi="Verdana"/>
                <w:sz w:val="16"/>
                <w:szCs w:val="16"/>
              </w:rPr>
              <w:t xml:space="preserve">Analista </w:t>
            </w:r>
            <w:r w:rsidRPr="005D67BA">
              <w:rPr>
                <w:rFonts w:ascii="Verdana" w:hAnsi="Verdana" w:cs="Arial"/>
                <w:sz w:val="16"/>
                <w:szCs w:val="16"/>
                <w:lang w:val="es-ES_tradnl"/>
              </w:rPr>
              <w:t xml:space="preserve">T2 ‒ </w:t>
            </w:r>
            <w:r>
              <w:rPr>
                <w:rFonts w:ascii="Verdana" w:hAnsi="Verdana" w:cs="Arial"/>
                <w:sz w:val="16"/>
                <w:szCs w:val="16"/>
                <w:lang w:val="es-ES_tradnl"/>
              </w:rPr>
              <w:t>1</w:t>
            </w:r>
            <w:r w:rsidRPr="005D67BA">
              <w:rPr>
                <w:rFonts w:ascii="Verdana" w:hAnsi="Verdana" w:cs="Arial"/>
                <w:sz w:val="16"/>
                <w:szCs w:val="16"/>
                <w:lang w:val="es-ES_tradnl"/>
              </w:rPr>
              <w:t xml:space="preserve"> de la Subdirección de Gestión Contractual</w:t>
            </w:r>
          </w:p>
        </w:tc>
      </w:tr>
      <w:tr w:rsidR="00431FE8" w:rsidRPr="005D67BA" w14:paraId="0A015FB7" w14:textId="77777777" w:rsidTr="00A16151">
        <w:trPr>
          <w:trHeight w:val="330"/>
        </w:trPr>
        <w:tc>
          <w:tcPr>
            <w:tcW w:w="893" w:type="dxa"/>
            <w:vAlign w:val="center"/>
            <w:hideMark/>
          </w:tcPr>
          <w:p w14:paraId="04E03ABB" w14:textId="77777777" w:rsidR="00431FE8" w:rsidRPr="005D67BA" w:rsidRDefault="00431FE8" w:rsidP="00A16151">
            <w:pPr>
              <w:contextualSpacing/>
              <w:rPr>
                <w:rFonts w:ascii="Verdana" w:hAnsi="Verdana" w:cs="Arial"/>
                <w:sz w:val="16"/>
                <w:szCs w:val="16"/>
                <w:lang w:eastAsia="es-ES"/>
              </w:rPr>
            </w:pPr>
            <w:r w:rsidRPr="005D67BA">
              <w:rPr>
                <w:rFonts w:ascii="Verdana" w:hAnsi="Verdana" w:cs="Arial"/>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2939D779" w14:textId="0D13DA4A" w:rsidR="00431FE8" w:rsidRPr="005D67BA" w:rsidRDefault="00431FE8" w:rsidP="00A16151">
            <w:pPr>
              <w:rPr>
                <w:rFonts w:ascii="Verdana" w:eastAsia="Aptos" w:hAnsi="Verdana" w:cs="Arial"/>
                <w:sz w:val="16"/>
                <w:szCs w:val="16"/>
                <w:lang w:eastAsia="es-ES"/>
              </w:rPr>
            </w:pPr>
            <w:r w:rsidRPr="005D67BA">
              <w:rPr>
                <w:rFonts w:ascii="Verdana" w:eastAsia="Aptos" w:hAnsi="Verdana" w:cs="Arial"/>
                <w:sz w:val="16"/>
                <w:szCs w:val="16"/>
                <w:lang w:eastAsia="es-ES"/>
              </w:rPr>
              <w:t>Alejandro Sarmiento Cantillo</w:t>
            </w:r>
          </w:p>
          <w:p w14:paraId="2B0C17FF" w14:textId="77777777" w:rsidR="00431FE8" w:rsidRPr="005D67BA" w:rsidRDefault="00431FE8" w:rsidP="00A16151">
            <w:pPr>
              <w:contextualSpacing/>
              <w:textAlignment w:val="baseline"/>
              <w:rPr>
                <w:rFonts w:ascii="Verdana" w:eastAsia="Times New Roman" w:hAnsi="Verdana" w:cs="Segoe UI"/>
                <w:sz w:val="16"/>
                <w:szCs w:val="16"/>
                <w:lang w:eastAsia="es-ES_tradnl"/>
              </w:rPr>
            </w:pPr>
            <w:r w:rsidRPr="005D67BA">
              <w:rPr>
                <w:rFonts w:ascii="Verdana" w:eastAsia="Aptos" w:hAnsi="Verdana" w:cs="Arial"/>
                <w:sz w:val="16"/>
                <w:szCs w:val="16"/>
                <w:lang w:eastAsia="es-ES"/>
              </w:rPr>
              <w:t>Gestor T1 – 15 de la Subdirección de Gestión Contractual</w:t>
            </w:r>
          </w:p>
        </w:tc>
      </w:tr>
      <w:tr w:rsidR="00431FE8" w:rsidRPr="005D67BA" w14:paraId="69570E5D" w14:textId="77777777" w:rsidTr="00A16151">
        <w:trPr>
          <w:trHeight w:val="300"/>
        </w:trPr>
        <w:tc>
          <w:tcPr>
            <w:tcW w:w="893" w:type="dxa"/>
            <w:vAlign w:val="center"/>
          </w:tcPr>
          <w:p w14:paraId="71C1AD4B" w14:textId="77777777" w:rsidR="00431FE8" w:rsidRPr="005D67BA" w:rsidRDefault="00431FE8" w:rsidP="00A16151">
            <w:pPr>
              <w:contextualSpacing/>
              <w:rPr>
                <w:rFonts w:ascii="Verdana" w:hAnsi="Verdana" w:cs="Arial"/>
                <w:sz w:val="16"/>
                <w:szCs w:val="16"/>
                <w:lang w:eastAsia="es-ES"/>
              </w:rPr>
            </w:pPr>
            <w:r w:rsidRPr="005D67BA">
              <w:rPr>
                <w:rFonts w:ascii="Verdana" w:hAnsi="Verdana" w:cs="Arial"/>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2E2210D5" w14:textId="77777777" w:rsidR="00431FE8" w:rsidRPr="005D67BA" w:rsidRDefault="00431FE8" w:rsidP="00A16151">
            <w:pPr>
              <w:contextualSpacing/>
              <w:rPr>
                <w:rFonts w:ascii="Verdana" w:eastAsia="Calibri" w:hAnsi="Verdana" w:cs="Arial"/>
                <w:sz w:val="16"/>
                <w:szCs w:val="16"/>
                <w:lang w:eastAsia="es-ES"/>
              </w:rPr>
            </w:pPr>
            <w:r w:rsidRPr="005D67BA">
              <w:rPr>
                <w:rFonts w:ascii="Verdana" w:eastAsia="Calibri" w:hAnsi="Verdana" w:cs="Arial"/>
                <w:sz w:val="16"/>
                <w:szCs w:val="16"/>
                <w:lang w:eastAsia="es-ES"/>
              </w:rPr>
              <w:t>Carolina Quintero Gacharná</w:t>
            </w:r>
          </w:p>
          <w:p w14:paraId="6BEC7525" w14:textId="77777777" w:rsidR="00431FE8" w:rsidRPr="005D67BA" w:rsidRDefault="00431FE8" w:rsidP="00A16151">
            <w:pPr>
              <w:contextualSpacing/>
              <w:rPr>
                <w:rFonts w:ascii="Verdana" w:eastAsia="Calibri" w:hAnsi="Verdana" w:cs="Arial"/>
                <w:sz w:val="16"/>
                <w:szCs w:val="16"/>
                <w:lang w:eastAsia="es-ES"/>
              </w:rPr>
            </w:pPr>
            <w:r w:rsidRPr="005D67BA">
              <w:rPr>
                <w:rFonts w:ascii="Verdana" w:eastAsia="Calibri" w:hAnsi="Verdana" w:cs="Arial"/>
                <w:sz w:val="16"/>
                <w:szCs w:val="16"/>
                <w:lang w:eastAsia="es-ES"/>
              </w:rPr>
              <w:t>Subdirectora de Gestión Contractual ANCP – CCE</w:t>
            </w:r>
          </w:p>
        </w:tc>
      </w:tr>
    </w:tbl>
    <w:p w14:paraId="25E2292A" w14:textId="77777777" w:rsidR="00431FE8" w:rsidRPr="009B5304" w:rsidRDefault="00431FE8" w:rsidP="009B5304"/>
    <w:sectPr w:rsidR="00431FE8" w:rsidRPr="009B5304"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83B301" w14:textId="77777777" w:rsidR="00EA6C12" w:rsidRDefault="00EA6C12" w:rsidP="004A1847">
      <w:pPr>
        <w:spacing w:after="0" w:line="240" w:lineRule="auto"/>
      </w:pPr>
      <w:r>
        <w:separator/>
      </w:r>
    </w:p>
  </w:endnote>
  <w:endnote w:type="continuationSeparator" w:id="0">
    <w:p w14:paraId="032C7A56" w14:textId="77777777" w:rsidR="00EA6C12" w:rsidRDefault="00EA6C12"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526E47" w14:textId="77777777" w:rsidR="00EA6C12" w:rsidRDefault="00EA6C12" w:rsidP="004A1847">
      <w:pPr>
        <w:spacing w:after="0" w:line="240" w:lineRule="auto"/>
      </w:pPr>
      <w:r>
        <w:separator/>
      </w:r>
    </w:p>
  </w:footnote>
  <w:footnote w:type="continuationSeparator" w:id="0">
    <w:p w14:paraId="13AE7099" w14:textId="77777777" w:rsidR="00EA6C12" w:rsidRDefault="00EA6C12" w:rsidP="004A1847">
      <w:pPr>
        <w:spacing w:after="0" w:line="240" w:lineRule="auto"/>
      </w:pPr>
      <w:r>
        <w:continuationSeparator/>
      </w:r>
    </w:p>
  </w:footnote>
  <w:footnote w:id="1">
    <w:p w14:paraId="5A1D2321" w14:textId="77777777" w:rsidR="009B5304" w:rsidRPr="004674CF" w:rsidRDefault="009B5304" w:rsidP="009B5304">
      <w:pPr>
        <w:pStyle w:val="Textonotapie"/>
        <w:ind w:firstLine="709"/>
        <w:jc w:val="both"/>
        <w:rPr>
          <w:rFonts w:ascii="Verdana" w:hAnsi="Verdana" w:cs="Arial"/>
          <w:sz w:val="16"/>
          <w:szCs w:val="16"/>
        </w:rPr>
      </w:pPr>
      <w:r w:rsidRPr="004674CF">
        <w:rPr>
          <w:rStyle w:val="Refdenotaalpie"/>
          <w:rFonts w:ascii="Verdana" w:hAnsi="Verdana" w:cs="Arial"/>
          <w:sz w:val="16"/>
          <w:szCs w:val="16"/>
        </w:rPr>
        <w:footnoteRef/>
      </w:r>
      <w:r w:rsidRPr="004674CF">
        <w:rPr>
          <w:rFonts w:ascii="Verdana" w:hAnsi="Verdana" w:cs="Arial"/>
          <w:sz w:val="16"/>
          <w:szCs w:val="16"/>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2AD98321" w14:textId="77777777" w:rsidR="009B5304" w:rsidRPr="004674CF" w:rsidRDefault="009B5304" w:rsidP="009B5304">
      <w:pPr>
        <w:pStyle w:val="Textonotapie"/>
        <w:ind w:firstLine="709"/>
        <w:jc w:val="both"/>
        <w:rPr>
          <w:rFonts w:ascii="Verdana" w:hAnsi="Verdana" w:cs="Arial"/>
          <w:sz w:val="16"/>
          <w:szCs w:val="16"/>
        </w:rPr>
      </w:pPr>
      <w:r w:rsidRPr="004674CF">
        <w:rPr>
          <w:rFonts w:ascii="Verdana" w:hAnsi="Verdana" w:cs="Arial"/>
          <w:sz w:val="16"/>
          <w:szCs w:val="16"/>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footnote>
  <w:footnote w:id="2">
    <w:p w14:paraId="7588502B" w14:textId="77777777" w:rsidR="009B5304" w:rsidRPr="004674CF" w:rsidRDefault="009B5304" w:rsidP="009B5304">
      <w:pPr>
        <w:pStyle w:val="Textonotapie"/>
        <w:ind w:firstLine="709"/>
        <w:jc w:val="both"/>
        <w:rPr>
          <w:rFonts w:ascii="Verdana" w:hAnsi="Verdana" w:cs="Arial"/>
          <w:sz w:val="16"/>
          <w:szCs w:val="16"/>
        </w:rPr>
      </w:pPr>
      <w:r w:rsidRPr="004674CF">
        <w:rPr>
          <w:rStyle w:val="Refdenotaalpie"/>
          <w:rFonts w:ascii="Verdana" w:hAnsi="Verdana" w:cs="Arial"/>
          <w:sz w:val="16"/>
          <w:szCs w:val="16"/>
        </w:rPr>
        <w:footnoteRef/>
      </w:r>
      <w:r w:rsidRPr="004674CF">
        <w:rPr>
          <w:rFonts w:ascii="Verdana" w:hAnsi="Verdana" w:cs="Arial"/>
          <w:sz w:val="16"/>
          <w:szCs w:val="16"/>
        </w:rPr>
        <w:t xml:space="preserve"> Gaceta del Congreso de la República No. 71 del 2005.</w:t>
      </w:r>
    </w:p>
  </w:footnote>
  <w:footnote w:id="3">
    <w:p w14:paraId="097870E5" w14:textId="77777777" w:rsidR="009B5304" w:rsidRPr="004674CF" w:rsidRDefault="009B5304" w:rsidP="009B5304">
      <w:pPr>
        <w:pStyle w:val="Textonotapie"/>
        <w:ind w:firstLine="709"/>
        <w:jc w:val="both"/>
        <w:rPr>
          <w:rFonts w:ascii="Verdana" w:hAnsi="Verdana" w:cs="Arial"/>
          <w:sz w:val="16"/>
          <w:szCs w:val="16"/>
          <w:lang w:val="pt-BR"/>
        </w:rPr>
      </w:pPr>
      <w:r w:rsidRPr="004674CF">
        <w:rPr>
          <w:rStyle w:val="Refdenotaalpie"/>
          <w:rFonts w:ascii="Verdana" w:hAnsi="Verdana" w:cs="Arial"/>
          <w:sz w:val="16"/>
          <w:szCs w:val="16"/>
        </w:rPr>
        <w:footnoteRef/>
      </w:r>
      <w:r w:rsidRPr="004674CF">
        <w:rPr>
          <w:rFonts w:ascii="Verdana" w:hAnsi="Verdana" w:cs="Arial"/>
          <w:sz w:val="16"/>
          <w:szCs w:val="16"/>
          <w:lang w:val="pt-BR"/>
        </w:rPr>
        <w:t xml:space="preserve"> Corte Constitucional, Sentencia C- 1153 de 2005, M.P. Marco Gerardo Monroy Cabra.</w:t>
      </w:r>
    </w:p>
  </w:footnote>
  <w:footnote w:id="4">
    <w:p w14:paraId="6C8FAAA0" w14:textId="77777777" w:rsidR="009B5304" w:rsidRPr="004674CF" w:rsidRDefault="009B5304" w:rsidP="009B5304">
      <w:pPr>
        <w:pStyle w:val="Textonotapie"/>
        <w:ind w:firstLine="709"/>
        <w:jc w:val="both"/>
        <w:rPr>
          <w:rFonts w:ascii="Verdana" w:hAnsi="Verdana" w:cs="Arial"/>
          <w:sz w:val="16"/>
          <w:szCs w:val="16"/>
          <w:lang w:val="pt-BR"/>
        </w:rPr>
      </w:pPr>
      <w:r w:rsidRPr="004674CF">
        <w:rPr>
          <w:rStyle w:val="Refdenotaalpie"/>
          <w:rFonts w:ascii="Verdana" w:hAnsi="Verdana" w:cs="Arial"/>
          <w:sz w:val="16"/>
          <w:szCs w:val="16"/>
        </w:rPr>
        <w:footnoteRef/>
      </w:r>
      <w:r w:rsidRPr="004674CF">
        <w:rPr>
          <w:rFonts w:ascii="Verdana" w:hAnsi="Verdana" w:cs="Arial"/>
          <w:sz w:val="16"/>
          <w:szCs w:val="16"/>
          <w:lang w:val="pt-BR"/>
        </w:rPr>
        <w:t xml:space="preserve"> 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footnote>
  <w:footnote w:id="5">
    <w:p w14:paraId="5E91A71F" w14:textId="77777777" w:rsidR="009B5304" w:rsidRPr="004674CF" w:rsidRDefault="009B5304" w:rsidP="009B5304">
      <w:pPr>
        <w:pStyle w:val="Textonotapie"/>
        <w:ind w:firstLine="709"/>
        <w:jc w:val="both"/>
        <w:rPr>
          <w:rFonts w:ascii="Verdana" w:hAnsi="Verdana" w:cs="Arial"/>
          <w:sz w:val="16"/>
          <w:szCs w:val="16"/>
          <w:lang w:val="es-CO"/>
        </w:rPr>
      </w:pPr>
      <w:r w:rsidRPr="004674CF">
        <w:rPr>
          <w:rStyle w:val="Refdenotaalpie"/>
          <w:rFonts w:ascii="Verdana" w:hAnsi="Verdana" w:cs="Arial"/>
          <w:sz w:val="16"/>
          <w:szCs w:val="16"/>
        </w:rPr>
        <w:footnoteRef/>
      </w:r>
      <w:r w:rsidRPr="004674CF">
        <w:rPr>
          <w:rFonts w:ascii="Verdana" w:hAnsi="Verdana" w:cs="Arial"/>
          <w:sz w:val="16"/>
          <w:szCs w:val="16"/>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6">
    <w:p w14:paraId="14C538CA" w14:textId="77777777" w:rsidR="009B5304" w:rsidRPr="004674CF" w:rsidRDefault="009B5304" w:rsidP="009B5304">
      <w:pPr>
        <w:pStyle w:val="Textonotapie"/>
        <w:ind w:firstLine="709"/>
        <w:jc w:val="both"/>
        <w:rPr>
          <w:rFonts w:ascii="Verdana" w:hAnsi="Verdana" w:cs="Arial"/>
          <w:sz w:val="16"/>
          <w:szCs w:val="16"/>
        </w:rPr>
      </w:pPr>
      <w:r w:rsidRPr="004674CF">
        <w:rPr>
          <w:rStyle w:val="Refdenotaalpie"/>
          <w:rFonts w:ascii="Verdana" w:hAnsi="Verdana" w:cs="Arial"/>
          <w:sz w:val="16"/>
          <w:szCs w:val="16"/>
        </w:rPr>
        <w:footnoteRef/>
      </w:r>
      <w:r w:rsidRPr="004674CF">
        <w:rPr>
          <w:rFonts w:ascii="Verdana" w:hAnsi="Verdana" w:cs="Arial"/>
          <w:sz w:val="16"/>
          <w:szCs w:val="16"/>
        </w:rPr>
        <w:t xml:space="preserve"> Consejo de Estado, Sala de Consulta y Servicio Civil de fecha 24 de julio de 2013, radicado 2166, C. P. Álvaro Namén Vargas.  </w:t>
      </w:r>
    </w:p>
  </w:footnote>
  <w:footnote w:id="7">
    <w:p w14:paraId="6D205FC4" w14:textId="77777777" w:rsidR="009B5304" w:rsidRPr="004674CF" w:rsidRDefault="009B5304" w:rsidP="009B5304">
      <w:pPr>
        <w:spacing w:after="0" w:line="240" w:lineRule="auto"/>
        <w:ind w:firstLine="709"/>
        <w:jc w:val="both"/>
        <w:rPr>
          <w:rFonts w:ascii="Verdana" w:eastAsia="Times New Roman" w:hAnsi="Verdana" w:cs="Arial"/>
          <w:sz w:val="16"/>
          <w:szCs w:val="16"/>
        </w:rPr>
      </w:pPr>
      <w:r w:rsidRPr="004674CF">
        <w:rPr>
          <w:rStyle w:val="Refdenotaalpie"/>
          <w:rFonts w:ascii="Verdana" w:hAnsi="Verdana" w:cs="Arial"/>
          <w:sz w:val="16"/>
          <w:szCs w:val="16"/>
        </w:rPr>
        <w:footnoteRef/>
      </w:r>
      <w:r w:rsidRPr="004674CF">
        <w:rPr>
          <w:rFonts w:ascii="Verdana" w:hAnsi="Verdana" w:cs="Arial"/>
          <w:sz w:val="16"/>
          <w:szCs w:val="16"/>
        </w:rPr>
        <w:t xml:space="preserve"> </w:t>
      </w:r>
      <w:bookmarkStart w:id="7" w:name="33"/>
      <w:r w:rsidRPr="004674CF">
        <w:rPr>
          <w:rFonts w:ascii="Verdana" w:eastAsia="Calibri" w:hAnsi="Verdana" w:cs="Arial"/>
          <w:color w:val="000000"/>
          <w:sz w:val="16"/>
          <w:szCs w:val="16"/>
        </w:rPr>
        <w:t>“</w:t>
      </w:r>
      <w:r w:rsidRPr="004674CF">
        <w:rPr>
          <w:rFonts w:ascii="Verdana" w:eastAsia="Times New Roman" w:hAnsi="Verdana" w:cs="Arial"/>
          <w:sz w:val="16"/>
          <w:szCs w:val="16"/>
        </w:rPr>
        <w:t>Artículo 33. Restricciones a la contratación pública.</w:t>
      </w:r>
      <w:bookmarkEnd w:id="7"/>
      <w:r w:rsidRPr="004674CF">
        <w:rPr>
          <w:rFonts w:ascii="Verdana" w:eastAsia="Times New Roman" w:hAnsi="Verdana" w:cs="Arial"/>
          <w:sz w:val="16"/>
          <w:szCs w:val="16"/>
        </w:rPr>
        <w:t> Durante los cuatro (4) meses anteriores a la elección presidencial y hasta la realización de la elección en la segunda vuelta, si fuere el caso, queda prohibida la contratación directa por parte de todos los entes del Estado.</w:t>
      </w:r>
    </w:p>
    <w:p w14:paraId="0E06DFDC" w14:textId="77777777" w:rsidR="009B5304" w:rsidRPr="004674CF" w:rsidRDefault="009B5304" w:rsidP="009B5304">
      <w:pPr>
        <w:spacing w:after="0" w:line="240" w:lineRule="auto"/>
        <w:ind w:firstLine="709"/>
        <w:jc w:val="both"/>
        <w:rPr>
          <w:rFonts w:ascii="Verdana" w:eastAsia="Times New Roman" w:hAnsi="Verdana" w:cs="Arial"/>
          <w:sz w:val="16"/>
          <w:szCs w:val="16"/>
        </w:rPr>
      </w:pPr>
      <w:r w:rsidRPr="004674CF">
        <w:rPr>
          <w:rFonts w:ascii="Verdana" w:eastAsia="Times New Roman" w:hAnsi="Verdana" w:cs="Arial"/>
          <w:sz w:val="16"/>
          <w:szCs w:val="16"/>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4674CF">
        <w:rPr>
          <w:rFonts w:ascii="Verdana" w:eastAsia="Calibri" w:hAnsi="Verdana" w:cs="Arial"/>
          <w:color w:val="000000"/>
          <w:sz w:val="16"/>
          <w:szCs w:val="16"/>
        </w:rPr>
        <w:t>”</w:t>
      </w:r>
      <w:r w:rsidRPr="004674CF">
        <w:rPr>
          <w:rFonts w:ascii="Verdana" w:eastAsia="Times New Roman" w:hAnsi="Verdana" w:cs="Arial"/>
          <w:sz w:val="16"/>
          <w:szCs w:val="16"/>
        </w:rPr>
        <w:t>.</w:t>
      </w:r>
    </w:p>
  </w:footnote>
  <w:footnote w:id="8">
    <w:p w14:paraId="38C6C5ED" w14:textId="77777777" w:rsidR="009B5304" w:rsidRPr="004674CF" w:rsidRDefault="009B5304" w:rsidP="009B5304">
      <w:pPr>
        <w:pStyle w:val="NormalWeb"/>
        <w:spacing w:before="0" w:beforeAutospacing="0" w:after="0" w:afterAutospacing="0"/>
        <w:ind w:firstLine="709"/>
        <w:jc w:val="both"/>
        <w:rPr>
          <w:rFonts w:ascii="Verdana" w:hAnsi="Verdana" w:cs="Arial"/>
          <w:sz w:val="16"/>
          <w:szCs w:val="16"/>
          <w:lang w:val="es-MX"/>
        </w:rPr>
      </w:pPr>
      <w:r w:rsidRPr="004674CF">
        <w:rPr>
          <w:rStyle w:val="Refdenotaalpie"/>
          <w:rFonts w:ascii="Verdana" w:hAnsi="Verdana" w:cs="Arial"/>
          <w:sz w:val="16"/>
          <w:szCs w:val="16"/>
        </w:rPr>
        <w:footnoteRef/>
      </w:r>
      <w:r w:rsidRPr="004674CF">
        <w:rPr>
          <w:rFonts w:ascii="Verdana" w:hAnsi="Verdana" w:cs="Arial"/>
          <w:sz w:val="16"/>
          <w:szCs w:val="16"/>
        </w:rPr>
        <w:t xml:space="preserve"> </w:t>
      </w:r>
      <w:bookmarkStart w:id="8" w:name="38"/>
      <w:r w:rsidRPr="004674CF">
        <w:rPr>
          <w:rFonts w:ascii="Verdana" w:eastAsia="Calibri" w:hAnsi="Verdana" w:cs="Arial"/>
          <w:color w:val="000000"/>
          <w:sz w:val="16"/>
          <w:szCs w:val="16"/>
        </w:rPr>
        <w:t>“</w:t>
      </w:r>
      <w:r w:rsidRPr="004674CF">
        <w:rPr>
          <w:rFonts w:ascii="Verdana" w:hAnsi="Verdana" w:cs="Arial"/>
          <w:sz w:val="16"/>
          <w:szCs w:val="16"/>
          <w:lang w:val="es-MX"/>
        </w:rPr>
        <w:t>Artículo 38. Prohibiciones para los servidores públicos. A los empleados del Estado les está prohibido:</w:t>
      </w:r>
      <w:bookmarkEnd w:id="8"/>
      <w:r w:rsidRPr="004674CF">
        <w:rPr>
          <w:rFonts w:ascii="Verdana" w:hAnsi="Verdana" w:cs="Arial"/>
          <w:sz w:val="16"/>
          <w:szCs w:val="16"/>
          <w:lang w:val="es-MX"/>
        </w:rPr>
        <w:t xml:space="preserve"> […]</w:t>
      </w:r>
    </w:p>
    <w:p w14:paraId="3CA3E81E" w14:textId="77777777" w:rsidR="009B5304" w:rsidRPr="004674CF" w:rsidRDefault="009B5304" w:rsidP="009B5304">
      <w:pPr>
        <w:pStyle w:val="NormalWeb"/>
        <w:spacing w:before="0" w:beforeAutospacing="0" w:after="0" w:afterAutospacing="0"/>
        <w:ind w:firstLine="709"/>
        <w:jc w:val="both"/>
        <w:rPr>
          <w:rFonts w:ascii="Verdana" w:hAnsi="Verdana" w:cs="Arial"/>
          <w:sz w:val="16"/>
          <w:szCs w:val="16"/>
          <w:lang w:val="es-MX"/>
        </w:rPr>
      </w:pPr>
      <w:r w:rsidRPr="004674CF">
        <w:rPr>
          <w:rStyle w:val="baj"/>
          <w:rFonts w:ascii="Verdana" w:hAnsi="Verdana" w:cs="Arial"/>
          <w:sz w:val="16"/>
          <w:szCs w:val="16"/>
          <w:lang w:val="es-MX"/>
        </w:rPr>
        <w:t>Parágrafo.</w:t>
      </w:r>
      <w:r w:rsidRPr="004674CF">
        <w:rPr>
          <w:rFonts w:ascii="Verdana" w:hAnsi="Verdana" w:cs="Arial"/>
          <w:sz w:val="16"/>
          <w:szCs w:val="16"/>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4674CF">
        <w:rPr>
          <w:rFonts w:ascii="Verdana" w:eastAsia="Calibri" w:hAnsi="Verdana" w:cs="Arial"/>
          <w:color w:val="000000"/>
          <w:sz w:val="16"/>
          <w:szCs w:val="16"/>
        </w:rPr>
        <w:t>”</w:t>
      </w:r>
      <w:r w:rsidRPr="004674CF">
        <w:rPr>
          <w:rFonts w:ascii="Verdana" w:hAnsi="Verdana" w:cs="Arial"/>
          <w:sz w:val="16"/>
          <w:szCs w:val="16"/>
          <w:lang w:val="es-MX"/>
        </w:rPr>
        <w:t>.</w:t>
      </w:r>
    </w:p>
  </w:footnote>
  <w:footnote w:id="9">
    <w:p w14:paraId="770CAAA0" w14:textId="77777777" w:rsidR="009B5304" w:rsidRPr="004674CF" w:rsidRDefault="009B5304" w:rsidP="009B5304">
      <w:pPr>
        <w:pStyle w:val="Textonotapie"/>
        <w:ind w:firstLine="708"/>
        <w:jc w:val="both"/>
        <w:rPr>
          <w:rFonts w:ascii="Verdana" w:hAnsi="Verdana" w:cs="Arial"/>
          <w:sz w:val="16"/>
          <w:szCs w:val="16"/>
        </w:rPr>
      </w:pPr>
      <w:r w:rsidRPr="004674CF">
        <w:rPr>
          <w:rStyle w:val="Refdenotaalpie"/>
          <w:rFonts w:ascii="Verdana" w:hAnsi="Verdana" w:cs="Arial"/>
          <w:sz w:val="16"/>
          <w:szCs w:val="16"/>
        </w:rPr>
        <w:footnoteRef/>
      </w:r>
      <w:r w:rsidRPr="004674CF">
        <w:rPr>
          <w:rFonts w:ascii="Verdana" w:hAnsi="Verdana" w:cs="Arial"/>
          <w:sz w:val="16"/>
          <w:szCs w:val="16"/>
        </w:rPr>
        <w:t xml:space="preserve"> Colombia Compra Eficiente. Circular Externa Única. Numeral 16.5. </w:t>
      </w:r>
    </w:p>
  </w:footnote>
  <w:footnote w:id="10">
    <w:p w14:paraId="3BFAB343" w14:textId="77777777" w:rsidR="009B5304" w:rsidRPr="004674CF" w:rsidRDefault="009B5304" w:rsidP="009B5304">
      <w:pPr>
        <w:spacing w:after="0" w:line="240" w:lineRule="auto"/>
        <w:ind w:left="100" w:right="244" w:firstLine="608"/>
        <w:jc w:val="both"/>
        <w:rPr>
          <w:rFonts w:ascii="Verdana" w:hAnsi="Verdana" w:cs="Arial"/>
          <w:sz w:val="16"/>
          <w:szCs w:val="16"/>
          <w:lang w:val="es-ES"/>
        </w:rPr>
      </w:pPr>
      <w:r w:rsidRPr="004674CF">
        <w:rPr>
          <w:rStyle w:val="Refdenotaalpie"/>
          <w:rFonts w:ascii="Verdana" w:hAnsi="Verdana" w:cs="Arial"/>
          <w:sz w:val="16"/>
          <w:szCs w:val="16"/>
        </w:rPr>
        <w:footnoteRef/>
      </w:r>
      <w:r w:rsidRPr="004674CF">
        <w:rPr>
          <w:rFonts w:ascii="Verdana" w:hAnsi="Verdana" w:cs="Arial"/>
          <w:sz w:val="16"/>
          <w:szCs w:val="16"/>
        </w:rPr>
        <w:t xml:space="preserve"> Consejo de Estado. Sala de Consulta y Servicio Civil. Concepto del 17 de febrero de 2015. C.P. William Zambrano Cetina. Radicación No. 11001-03-06-000-2015-00164-00(2269).</w:t>
      </w:r>
    </w:p>
  </w:footnote>
  <w:footnote w:id="11">
    <w:p w14:paraId="1BBBE3FD" w14:textId="77777777" w:rsidR="009B5304" w:rsidRPr="004674CF" w:rsidRDefault="009B5304" w:rsidP="009B5304">
      <w:pPr>
        <w:pStyle w:val="Textonotapie"/>
        <w:ind w:right="51" w:firstLine="709"/>
        <w:jc w:val="both"/>
        <w:rPr>
          <w:rFonts w:ascii="Verdana" w:hAnsi="Verdana" w:cs="Arial"/>
          <w:sz w:val="16"/>
          <w:szCs w:val="16"/>
        </w:rPr>
      </w:pPr>
      <w:r w:rsidRPr="004674CF">
        <w:rPr>
          <w:rStyle w:val="Refdenotaalpie"/>
          <w:rFonts w:ascii="Verdana" w:hAnsi="Verdana" w:cs="Arial"/>
          <w:sz w:val="16"/>
          <w:szCs w:val="16"/>
        </w:rPr>
        <w:footnoteRef/>
      </w:r>
      <w:r w:rsidRPr="004674CF">
        <w:rPr>
          <w:rFonts w:ascii="Verdana" w:hAnsi="Verdana" w:cs="Arial"/>
          <w:sz w:val="16"/>
          <w:szCs w:val="16"/>
        </w:rPr>
        <w:t xml:space="preserve"> “</w:t>
      </w:r>
      <w:r w:rsidRPr="004674CF">
        <w:rPr>
          <w:rFonts w:ascii="Verdana" w:hAnsi="Verdana" w:cs="Arial"/>
          <w:sz w:val="16"/>
          <w:szCs w:val="16"/>
          <w:lang w:val="es-ES"/>
        </w:rPr>
        <w:t xml:space="preserve">[25] </w:t>
      </w:r>
      <w:r w:rsidRPr="004674CF">
        <w:rPr>
          <w:rFonts w:ascii="Verdana" w:hAnsi="Verdana" w:cs="Arial"/>
          <w:sz w:val="16"/>
          <w:szCs w:val="16"/>
        </w:rPr>
        <w:t>Cfr. Consejo de Estado. Sección Tercera. Sentencia de 3 de diciembre de 2007. Radicados: 24.715, 25.206, 25.409, 24.524, 27.834, 25.410, 26.105, 28.244, 31.447 -acumulados-“.</w:t>
      </w:r>
    </w:p>
  </w:footnote>
  <w:footnote w:id="12">
    <w:p w14:paraId="122621CD" w14:textId="77777777" w:rsidR="009B5304" w:rsidRPr="004674CF" w:rsidRDefault="009B5304" w:rsidP="009B5304">
      <w:pPr>
        <w:pStyle w:val="Textonotapie"/>
        <w:ind w:right="51" w:firstLine="709"/>
        <w:jc w:val="both"/>
        <w:rPr>
          <w:rFonts w:ascii="Verdana" w:hAnsi="Verdana" w:cs="Arial"/>
          <w:sz w:val="16"/>
          <w:szCs w:val="16"/>
        </w:rPr>
      </w:pPr>
      <w:r w:rsidRPr="004674CF">
        <w:rPr>
          <w:rStyle w:val="Refdenotaalpie"/>
          <w:rFonts w:ascii="Verdana" w:hAnsi="Verdana" w:cs="Arial"/>
          <w:sz w:val="16"/>
          <w:szCs w:val="16"/>
        </w:rPr>
        <w:footnoteRef/>
      </w:r>
      <w:r w:rsidRPr="004674CF">
        <w:rPr>
          <w:rFonts w:ascii="Verdana" w:hAnsi="Verdana" w:cs="Arial"/>
          <w:sz w:val="16"/>
          <w:szCs w:val="16"/>
        </w:rPr>
        <w:t xml:space="preserve"> “</w:t>
      </w:r>
      <w:r w:rsidRPr="004674CF">
        <w:rPr>
          <w:rFonts w:ascii="Verdana" w:hAnsi="Verdana" w:cs="Arial"/>
          <w:sz w:val="16"/>
          <w:szCs w:val="16"/>
          <w:lang w:val="es-ES"/>
        </w:rPr>
        <w:t xml:space="preserve">[26] </w:t>
      </w:r>
      <w:r w:rsidRPr="004674CF">
        <w:rPr>
          <w:rFonts w:ascii="Verdana" w:hAnsi="Verdana" w:cs="Arial"/>
          <w:sz w:val="16"/>
          <w:szCs w:val="16"/>
        </w:rPr>
        <w:t>Al respecto ver el concepto 1712 de 2 de febrero de 2006. Consejo de Estado Sala de Consulta y Servicio Civil”.</w:t>
      </w:r>
    </w:p>
  </w:footnote>
  <w:footnote w:id="13">
    <w:p w14:paraId="5BEB747C" w14:textId="77777777" w:rsidR="009B5304" w:rsidRPr="004674CF" w:rsidRDefault="009B5304" w:rsidP="009B5304">
      <w:pPr>
        <w:pStyle w:val="Textonotapie"/>
        <w:ind w:firstLine="709"/>
        <w:jc w:val="both"/>
        <w:rPr>
          <w:rFonts w:ascii="Verdana" w:hAnsi="Verdana" w:cs="Arial"/>
          <w:sz w:val="16"/>
          <w:szCs w:val="16"/>
        </w:rPr>
      </w:pPr>
      <w:r w:rsidRPr="004674CF">
        <w:rPr>
          <w:rStyle w:val="Refdenotaalpie"/>
          <w:rFonts w:ascii="Verdana" w:hAnsi="Verdana" w:cs="Arial"/>
          <w:sz w:val="16"/>
          <w:szCs w:val="16"/>
        </w:rPr>
        <w:footnoteRef/>
      </w:r>
      <w:r w:rsidRPr="004674CF">
        <w:rPr>
          <w:rFonts w:ascii="Verdana" w:hAnsi="Verdana" w:cs="Arial"/>
          <w:sz w:val="16"/>
          <w:szCs w:val="16"/>
        </w:rPr>
        <w:t xml:space="preserve"> Consejo de Estado. Sala de Consulta y Servicio Civil. Concepto del 2 de septiembre de 2013. Radicación número: 11001-03-06-000-2013-00412-00 (2168). Consejero Ponente: Álvaro Namén Vargas.</w:t>
      </w:r>
    </w:p>
  </w:footnote>
  <w:footnote w:id="14">
    <w:p w14:paraId="72E0B008" w14:textId="77777777" w:rsidR="009B5304" w:rsidRPr="004674CF" w:rsidRDefault="009B5304" w:rsidP="009B5304">
      <w:pPr>
        <w:pStyle w:val="Textonotapie"/>
        <w:ind w:firstLine="709"/>
        <w:jc w:val="both"/>
        <w:rPr>
          <w:rFonts w:ascii="Verdana" w:hAnsi="Verdana" w:cs="Arial"/>
          <w:sz w:val="16"/>
          <w:szCs w:val="16"/>
          <w:lang w:val="es-ES"/>
        </w:rPr>
      </w:pPr>
      <w:r w:rsidRPr="004674CF">
        <w:rPr>
          <w:rStyle w:val="Refdenotaalpie"/>
          <w:rFonts w:ascii="Verdana" w:hAnsi="Verdana" w:cs="Arial"/>
          <w:sz w:val="16"/>
          <w:szCs w:val="16"/>
        </w:rPr>
        <w:footnoteRef/>
      </w:r>
      <w:r w:rsidRPr="004674CF">
        <w:rPr>
          <w:rFonts w:ascii="Verdana" w:hAnsi="Verdana" w:cs="Arial"/>
          <w:sz w:val="16"/>
          <w:szCs w:val="16"/>
        </w:rPr>
        <w:t xml:space="preserve"> </w:t>
      </w:r>
      <w:r w:rsidRPr="004674CF">
        <w:rPr>
          <w:rFonts w:ascii="Verdana" w:hAnsi="Verdana" w:cs="Arial"/>
          <w:sz w:val="16"/>
          <w:szCs w:val="16"/>
          <w:lang w:val="es-ES"/>
        </w:rPr>
        <w:t xml:space="preserve">Artículo 2. </w:t>
      </w:r>
    </w:p>
  </w:footnote>
  <w:footnote w:id="15">
    <w:p w14:paraId="30CE0DD5" w14:textId="77777777" w:rsidR="009B5304" w:rsidRPr="004674CF" w:rsidRDefault="009B5304" w:rsidP="009B5304">
      <w:pPr>
        <w:pStyle w:val="Textonotapie"/>
        <w:ind w:firstLine="709"/>
        <w:jc w:val="both"/>
        <w:rPr>
          <w:rFonts w:ascii="Verdana" w:hAnsi="Verdana" w:cs="Arial"/>
          <w:sz w:val="16"/>
          <w:szCs w:val="16"/>
          <w:lang w:val="es-ES"/>
        </w:rPr>
      </w:pPr>
      <w:r w:rsidRPr="004674CF">
        <w:rPr>
          <w:rStyle w:val="Refdenotaalpie"/>
          <w:rFonts w:ascii="Verdana" w:hAnsi="Verdana" w:cs="Arial"/>
          <w:sz w:val="16"/>
          <w:szCs w:val="16"/>
        </w:rPr>
        <w:footnoteRef/>
      </w:r>
      <w:r w:rsidRPr="004674CF">
        <w:rPr>
          <w:rFonts w:ascii="Verdana" w:hAnsi="Verdana" w:cs="Arial"/>
          <w:sz w:val="16"/>
          <w:szCs w:val="16"/>
        </w:rPr>
        <w:t xml:space="preserve"> </w:t>
      </w:r>
      <w:r w:rsidRPr="004674CF">
        <w:rPr>
          <w:rFonts w:ascii="Verdana" w:hAnsi="Verdana" w:cs="Arial"/>
          <w:i/>
          <w:sz w:val="16"/>
          <w:szCs w:val="16"/>
          <w:lang w:val="es-ES"/>
        </w:rPr>
        <w:t>Ídem</w:t>
      </w:r>
      <w:r w:rsidRPr="004674CF">
        <w:rPr>
          <w:rFonts w:ascii="Verdana" w:hAnsi="Verdana" w:cs="Arial"/>
          <w:sz w:val="16"/>
          <w:szCs w:val="16"/>
          <w:lang w:val="es-ES"/>
        </w:rPr>
        <w:t>.</w:t>
      </w:r>
    </w:p>
  </w:footnote>
  <w:footnote w:id="16">
    <w:p w14:paraId="6BF55FA5" w14:textId="77777777" w:rsidR="009B5304" w:rsidRPr="004674CF" w:rsidRDefault="009B5304" w:rsidP="009B5304">
      <w:pPr>
        <w:pStyle w:val="Textonotapie"/>
        <w:ind w:firstLine="709"/>
        <w:jc w:val="both"/>
        <w:rPr>
          <w:rFonts w:ascii="Verdana" w:hAnsi="Verdana" w:cs="Arial"/>
          <w:sz w:val="16"/>
          <w:szCs w:val="16"/>
          <w:lang w:val="es-ES"/>
        </w:rPr>
      </w:pPr>
      <w:r w:rsidRPr="004674CF">
        <w:rPr>
          <w:rStyle w:val="Refdenotaalpie"/>
          <w:rFonts w:ascii="Verdana" w:hAnsi="Verdana" w:cs="Arial"/>
          <w:sz w:val="16"/>
          <w:szCs w:val="16"/>
        </w:rPr>
        <w:footnoteRef/>
      </w:r>
      <w:r w:rsidRPr="004674CF">
        <w:rPr>
          <w:rStyle w:val="Refdenotaalpie"/>
          <w:rFonts w:ascii="Verdana" w:hAnsi="Verdana" w:cs="Arial"/>
          <w:sz w:val="16"/>
          <w:szCs w:val="16"/>
        </w:rPr>
        <w:t xml:space="preserve"> </w:t>
      </w:r>
      <w:r w:rsidRPr="004674CF">
        <w:rPr>
          <w:rFonts w:ascii="Verdana" w:hAnsi="Verdana" w:cs="Arial"/>
          <w:sz w:val="16"/>
          <w:szCs w:val="16"/>
          <w:lang w:val="es-ES"/>
        </w:rPr>
        <w:t xml:space="preserve">“[…] A este respecto, cabe recordar que el artículo 860 del Código de Comercio regula la licitación en el derecho privado”. </w:t>
      </w:r>
    </w:p>
  </w:footnote>
  <w:footnote w:id="17">
    <w:p w14:paraId="3F6330C8" w14:textId="77777777" w:rsidR="009B5304" w:rsidRPr="004674CF" w:rsidRDefault="009B5304" w:rsidP="009B5304">
      <w:pPr>
        <w:shd w:val="clear" w:color="auto" w:fill="FFFFFF"/>
        <w:spacing w:after="0" w:line="240" w:lineRule="auto"/>
        <w:ind w:firstLine="709"/>
        <w:jc w:val="both"/>
        <w:rPr>
          <w:rFonts w:ascii="Verdana" w:hAnsi="Verdana" w:cs="Arial"/>
          <w:sz w:val="16"/>
          <w:szCs w:val="16"/>
          <w:lang w:val="es-ES"/>
        </w:rPr>
      </w:pPr>
      <w:r w:rsidRPr="004674CF">
        <w:rPr>
          <w:rStyle w:val="Refdenotaalpie"/>
          <w:rFonts w:ascii="Verdana" w:hAnsi="Verdana" w:cs="Arial"/>
          <w:sz w:val="16"/>
          <w:szCs w:val="16"/>
        </w:rPr>
        <w:footnoteRef/>
      </w:r>
      <w:r w:rsidRPr="004674CF">
        <w:rPr>
          <w:rStyle w:val="Refdenotaalpie"/>
          <w:rFonts w:ascii="Verdana" w:hAnsi="Verdana" w:cs="Arial"/>
          <w:sz w:val="16"/>
          <w:szCs w:val="16"/>
        </w:rPr>
        <w:t xml:space="preserve"> </w:t>
      </w:r>
      <w:r w:rsidRPr="004674CF">
        <w:rPr>
          <w:rFonts w:ascii="Verdana" w:hAnsi="Verdana" w:cs="Arial"/>
          <w:sz w:val="16"/>
          <w:szCs w:val="16"/>
          <w:lang w:val="es-ES"/>
        </w:rPr>
        <w:t>Consejo de Estado. Sala de Consulta y Servicio Civil, Concepto de 8 de mayo de 2018. C.P. Álvaro Namén Vargas. Rad. 2382.</w:t>
      </w:r>
    </w:p>
  </w:footnote>
  <w:footnote w:id="18">
    <w:p w14:paraId="5B533B9A" w14:textId="77777777" w:rsidR="009B5304" w:rsidRPr="004674CF" w:rsidRDefault="009B5304" w:rsidP="009B5304">
      <w:pPr>
        <w:pStyle w:val="Textonotapie"/>
        <w:ind w:firstLine="709"/>
        <w:jc w:val="both"/>
        <w:rPr>
          <w:rFonts w:ascii="Verdana" w:hAnsi="Verdana" w:cs="Arial"/>
          <w:sz w:val="16"/>
          <w:szCs w:val="16"/>
        </w:rPr>
      </w:pPr>
      <w:r w:rsidRPr="004674CF">
        <w:rPr>
          <w:rStyle w:val="Refdenotaalpie"/>
          <w:rFonts w:ascii="Verdana" w:hAnsi="Verdana" w:cs="Arial"/>
          <w:sz w:val="16"/>
          <w:szCs w:val="16"/>
        </w:rPr>
        <w:footnoteRef/>
      </w:r>
      <w:r w:rsidRPr="004674CF">
        <w:rPr>
          <w:rFonts w:ascii="Verdana" w:hAnsi="Verdana" w:cs="Arial"/>
          <w:sz w:val="16"/>
          <w:szCs w:val="16"/>
        </w:rPr>
        <w:t xml:space="preserve"> Consejo de Estado. Sala de Consulta y Servicio Civil. Concepto del 08 de mayo de 2018.</w:t>
      </w:r>
      <w:r w:rsidRPr="004674CF">
        <w:rPr>
          <w:rFonts w:ascii="Verdana" w:hAnsi="Verdana" w:cs="Arial"/>
          <w:sz w:val="16"/>
          <w:szCs w:val="16"/>
          <w:lang w:val="es-CO"/>
        </w:rPr>
        <w:t xml:space="preserve"> C.P. Álvaro Namén Vargas.</w:t>
      </w:r>
      <w:r w:rsidRPr="004674CF">
        <w:rPr>
          <w:rFonts w:ascii="Verdana" w:hAnsi="Verdana" w:cs="Arial"/>
          <w:sz w:val="16"/>
          <w:szCs w:val="16"/>
        </w:rPr>
        <w:t xml:space="preserve"> Exp. 2.382.</w:t>
      </w:r>
    </w:p>
  </w:footnote>
  <w:footnote w:id="19">
    <w:p w14:paraId="23225FB5" w14:textId="77777777" w:rsidR="009B5304" w:rsidRPr="004674CF" w:rsidRDefault="009B5304" w:rsidP="009B5304">
      <w:pPr>
        <w:pStyle w:val="Textonotapie"/>
        <w:ind w:firstLine="708"/>
        <w:jc w:val="both"/>
        <w:rPr>
          <w:rFonts w:ascii="Verdana" w:hAnsi="Verdana" w:cs="Arial"/>
          <w:sz w:val="16"/>
          <w:szCs w:val="16"/>
        </w:rPr>
      </w:pPr>
      <w:r w:rsidRPr="004674CF">
        <w:rPr>
          <w:rStyle w:val="Refdenotaalpie"/>
          <w:rFonts w:ascii="Verdana" w:hAnsi="Verdana" w:cs="Arial"/>
          <w:sz w:val="16"/>
          <w:szCs w:val="16"/>
        </w:rPr>
        <w:footnoteRef/>
      </w:r>
      <w:r w:rsidRPr="004674CF">
        <w:rPr>
          <w:rFonts w:ascii="Verdana" w:hAnsi="Verdana" w:cs="Arial"/>
          <w:sz w:val="16"/>
          <w:szCs w:val="16"/>
        </w:rPr>
        <w:t xml:space="preserve"> Colombia Compra Eficiente. Circular Externa Única. Numeral 16.5. En este sentido, la Agencia ha expresado: “[…] las prórrogas, modificaciones o adiciones, y la cesión de los contratos suscritos antes del período de la campaña electoral, pueden realizarse en cualquier tiempo antes o después del comienzo de la aplicación de la Ley de Garantías, siempre y cuando el contrato se encuentre vigente y se observen las demás disposiciones conforme a las cuales deben realizarse dichas actuaciones”.</w:t>
      </w:r>
    </w:p>
  </w:footnote>
  <w:footnote w:id="20">
    <w:p w14:paraId="78BE77A5" w14:textId="77777777" w:rsidR="009B5304" w:rsidRPr="004674CF" w:rsidRDefault="009B5304" w:rsidP="009B5304">
      <w:pPr>
        <w:pStyle w:val="Textonotapie"/>
        <w:ind w:firstLine="709"/>
        <w:jc w:val="both"/>
        <w:rPr>
          <w:rFonts w:ascii="Verdana" w:hAnsi="Verdana" w:cs="Arial"/>
          <w:sz w:val="16"/>
          <w:szCs w:val="16"/>
        </w:rPr>
      </w:pPr>
      <w:r w:rsidRPr="004674CF">
        <w:rPr>
          <w:rStyle w:val="Refdenotaalpie"/>
          <w:rFonts w:ascii="Verdana" w:hAnsi="Verdana" w:cs="Arial"/>
          <w:sz w:val="16"/>
          <w:szCs w:val="16"/>
        </w:rPr>
        <w:footnoteRef/>
      </w:r>
      <w:r w:rsidRPr="004674CF">
        <w:rPr>
          <w:rFonts w:ascii="Verdana" w:hAnsi="Verdana" w:cs="Arial"/>
          <w:sz w:val="16"/>
          <w:szCs w:val="16"/>
        </w:rPr>
        <w:t xml:space="preserve"> La Corte Constitucional mediante Sentencia C-1153-05 de 11 de noviembre de 2005, Magistrado Ponente Marco Gerardo Monroy Cabra, efectuó el Control constitucional al Proyecto de Ley Estatutaria N° 216/05 Senado, N° 235-Cámara que dio lugar a la Ley de Garantías Electorales.</w:t>
      </w:r>
    </w:p>
  </w:footnote>
  <w:footnote w:id="21">
    <w:p w14:paraId="3E00ED6D" w14:textId="77777777" w:rsidR="009B5304" w:rsidRPr="004674CF" w:rsidRDefault="009B5304" w:rsidP="009B5304">
      <w:pPr>
        <w:spacing w:after="0" w:line="240" w:lineRule="auto"/>
        <w:ind w:firstLine="709"/>
        <w:jc w:val="both"/>
        <w:rPr>
          <w:rFonts w:ascii="Verdana" w:hAnsi="Verdana" w:cs="Arial"/>
          <w:sz w:val="16"/>
          <w:szCs w:val="16"/>
        </w:rPr>
      </w:pPr>
      <w:r w:rsidRPr="004674CF">
        <w:rPr>
          <w:rStyle w:val="Refdenotaalpie"/>
          <w:rFonts w:ascii="Verdana" w:hAnsi="Verdana" w:cs="Arial"/>
          <w:sz w:val="16"/>
          <w:szCs w:val="16"/>
        </w:rPr>
        <w:footnoteRef/>
      </w:r>
      <w:r w:rsidRPr="004674CF">
        <w:rPr>
          <w:rFonts w:ascii="Verdana" w:hAnsi="Verdana" w:cs="Arial"/>
          <w:sz w:val="16"/>
          <w:szCs w:val="16"/>
        </w:rPr>
        <w:t xml:space="preserve"> Consejo de Estado. Sala de Consulta y Servicio Civil. Concepto de 20 de febrero de 2006. C.P. Enrique José Arboleda Perdomo. Rad. 1727.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footnote>
  <w:footnote w:id="22">
    <w:p w14:paraId="44A14B6F" w14:textId="77777777" w:rsidR="009B5304" w:rsidRPr="00382345" w:rsidRDefault="009B5304" w:rsidP="009B5304">
      <w:pPr>
        <w:pStyle w:val="Textonotapie"/>
        <w:ind w:firstLine="709"/>
        <w:jc w:val="both"/>
        <w:rPr>
          <w:rFonts w:ascii="Verdana" w:hAnsi="Verdana" w:cs="Arial"/>
          <w:sz w:val="16"/>
          <w:szCs w:val="16"/>
        </w:rPr>
      </w:pPr>
      <w:r w:rsidRPr="00382345">
        <w:rPr>
          <w:rStyle w:val="Refdenotaalpie"/>
          <w:rFonts w:ascii="Verdana" w:hAnsi="Verdana"/>
          <w:sz w:val="16"/>
          <w:szCs w:val="16"/>
        </w:rPr>
        <w:footnoteRef/>
      </w:r>
      <w:r w:rsidRPr="00382345">
        <w:rPr>
          <w:rFonts w:ascii="Verdana" w:hAnsi="Verdana"/>
          <w:sz w:val="16"/>
          <w:szCs w:val="16"/>
        </w:rPr>
        <w:t xml:space="preserve"> </w:t>
      </w:r>
      <w:r w:rsidRPr="00382345">
        <w:rPr>
          <w:rFonts w:ascii="Verdana" w:hAnsi="Verdana" w:cs="Arial"/>
          <w:sz w:val="16"/>
          <w:szCs w:val="16"/>
        </w:rPr>
        <w:t>Consejo de Estado -Sección Tercera-. Sentencia del 21 de febrero de 2025. Radicación Número: 68.280. CP: José Roberto Sáchica Méndez.</w:t>
      </w:r>
    </w:p>
  </w:footnote>
  <w:footnote w:id="23">
    <w:p w14:paraId="4181A870" w14:textId="1D021BCB" w:rsidR="009B5304" w:rsidRPr="00382345" w:rsidRDefault="009B5304" w:rsidP="009B5304">
      <w:pPr>
        <w:pStyle w:val="Textonotapie"/>
        <w:ind w:firstLine="709"/>
        <w:jc w:val="both"/>
        <w:rPr>
          <w:rFonts w:ascii="Verdana" w:hAnsi="Verdana" w:cs="Arial"/>
          <w:sz w:val="16"/>
          <w:szCs w:val="16"/>
        </w:rPr>
      </w:pPr>
      <w:r w:rsidRPr="00382345">
        <w:rPr>
          <w:rFonts w:ascii="Verdana" w:hAnsi="Verdana"/>
          <w:sz w:val="16"/>
          <w:szCs w:val="16"/>
          <w:vertAlign w:val="superscript"/>
        </w:rPr>
        <w:footnoteRef/>
      </w:r>
      <w:r w:rsidRPr="00382345">
        <w:rPr>
          <w:rFonts w:ascii="Verdana" w:hAnsi="Verdana"/>
          <w:sz w:val="16"/>
          <w:szCs w:val="16"/>
          <w:vertAlign w:val="superscript"/>
        </w:rPr>
        <w:t xml:space="preserve"> </w:t>
      </w:r>
      <w:r w:rsidRPr="00382345">
        <w:rPr>
          <w:rFonts w:ascii="Verdana" w:hAnsi="Verdana" w:cs="Arial"/>
          <w:sz w:val="16"/>
          <w:szCs w:val="16"/>
        </w:rPr>
        <w:t>Ley 1150 de 2007: Artículo 2, numeral 4, literal c. […] Se exceptúan los contratos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Estos contratos podrán ser ejecutados por las mismas, siempre que participen en procesos de licitación pública o contratación abreviada de acuerdo con lo dispuesto por los numerales 1 y 2 del presente artículo.</w:t>
      </w:r>
    </w:p>
  </w:footnote>
  <w:footnote w:id="24">
    <w:p w14:paraId="5B4A08C4" w14:textId="441BC495" w:rsidR="009B5304" w:rsidRPr="00382345" w:rsidRDefault="009B5304" w:rsidP="00B92AD0">
      <w:pPr>
        <w:pStyle w:val="Textonotapie"/>
        <w:ind w:firstLine="708"/>
        <w:jc w:val="both"/>
        <w:rPr>
          <w:rFonts w:ascii="Verdana" w:hAnsi="Verdana" w:cs="Arial"/>
          <w:sz w:val="16"/>
          <w:szCs w:val="16"/>
        </w:rPr>
      </w:pPr>
      <w:r w:rsidRPr="00382345">
        <w:rPr>
          <w:rFonts w:ascii="Verdana" w:hAnsi="Verdana"/>
          <w:sz w:val="16"/>
          <w:szCs w:val="16"/>
          <w:vertAlign w:val="superscript"/>
        </w:rPr>
        <w:footnoteRef/>
      </w:r>
      <w:r w:rsidRPr="00382345">
        <w:rPr>
          <w:rFonts w:ascii="Verdana" w:hAnsi="Verdana" w:cs="Arial"/>
          <w:sz w:val="16"/>
          <w:szCs w:val="16"/>
          <w:vertAlign w:val="superscript"/>
        </w:rPr>
        <w:t xml:space="preserve"> </w:t>
      </w:r>
      <w:r w:rsidRPr="00382345">
        <w:rPr>
          <w:rFonts w:ascii="Verdana" w:hAnsi="Verdana" w:cs="Arial"/>
          <w:sz w:val="16"/>
          <w:szCs w:val="16"/>
        </w:rPr>
        <w:t>Ley 80 de 1993: “Artículo 41. Del perfeccionamiento del contrato. Los contratos del Estado se perfeccionan cuando se logre acuerdo sobre el objeto y la contraprestación y éste se eleve a escrito</w:t>
      </w:r>
      <w:r>
        <w:rPr>
          <w:rFonts w:ascii="Verdana" w:hAnsi="Verdana" w:cs="Arial"/>
          <w:sz w:val="16"/>
          <w:szCs w:val="16"/>
        </w:rPr>
        <w:t xml:space="preserve"> </w:t>
      </w:r>
      <w:r w:rsidRPr="00382345">
        <w:rPr>
          <w:rFonts w:ascii="Verdana" w:hAnsi="Verdana" w:cs="Arial"/>
          <w:sz w:val="16"/>
          <w:szCs w:val="16"/>
        </w:rPr>
        <w:t>[…]”.</w:t>
      </w:r>
    </w:p>
  </w:footnote>
  <w:footnote w:id="25">
    <w:p w14:paraId="423F22D7" w14:textId="77777777" w:rsidR="009B5304" w:rsidRPr="00382345" w:rsidRDefault="009B5304" w:rsidP="009B5304">
      <w:pPr>
        <w:pStyle w:val="Textonotapie"/>
        <w:ind w:firstLine="709"/>
        <w:jc w:val="both"/>
        <w:rPr>
          <w:rFonts w:ascii="Verdana" w:hAnsi="Verdana" w:cs="Arial"/>
          <w:sz w:val="16"/>
          <w:szCs w:val="16"/>
        </w:rPr>
      </w:pPr>
      <w:r w:rsidRPr="00382345">
        <w:rPr>
          <w:rFonts w:ascii="Verdana" w:hAnsi="Verdana"/>
          <w:sz w:val="16"/>
          <w:szCs w:val="16"/>
          <w:vertAlign w:val="superscript"/>
        </w:rPr>
        <w:footnoteRef/>
      </w:r>
      <w:r w:rsidRPr="00382345">
        <w:rPr>
          <w:rFonts w:ascii="Verdana" w:hAnsi="Verdana" w:cs="Arial"/>
          <w:sz w:val="16"/>
          <w:szCs w:val="16"/>
          <w:vertAlign w:val="superscript"/>
        </w:rPr>
        <w:t xml:space="preserve"> </w:t>
      </w:r>
      <w:r w:rsidRPr="00382345">
        <w:rPr>
          <w:rFonts w:ascii="Verdana" w:hAnsi="Verdana" w:cs="Arial"/>
          <w:sz w:val="16"/>
          <w:szCs w:val="16"/>
        </w:rPr>
        <w:t>Código Civil: “Artículo 27. Cuando el sentido de la ley sea claro, no se desatenderá su tenor a pretexto de consultar su espíritu”.</w:t>
      </w:r>
    </w:p>
  </w:footnote>
  <w:footnote w:id="26">
    <w:p w14:paraId="29998AE3" w14:textId="77777777" w:rsidR="009B5304" w:rsidRPr="00382345" w:rsidRDefault="009B5304" w:rsidP="009B5304">
      <w:pPr>
        <w:pStyle w:val="Textonotapie"/>
        <w:ind w:firstLine="708"/>
        <w:jc w:val="both"/>
        <w:rPr>
          <w:rFonts w:ascii="Verdana" w:hAnsi="Verdana"/>
          <w:sz w:val="16"/>
          <w:szCs w:val="16"/>
          <w:lang w:val="es-ES"/>
        </w:rPr>
      </w:pPr>
      <w:r w:rsidRPr="00382345">
        <w:rPr>
          <w:rFonts w:ascii="Verdana" w:hAnsi="Verdana"/>
          <w:sz w:val="16"/>
          <w:szCs w:val="16"/>
          <w:vertAlign w:val="superscript"/>
        </w:rPr>
        <w:footnoteRef/>
      </w:r>
      <w:r w:rsidRPr="00382345">
        <w:rPr>
          <w:rFonts w:ascii="Verdana" w:hAnsi="Verdana"/>
          <w:sz w:val="16"/>
          <w:szCs w:val="16"/>
        </w:rPr>
        <w:t xml:space="preserve"> </w:t>
      </w:r>
      <w:r w:rsidRPr="00382345">
        <w:rPr>
          <w:rFonts w:ascii="Verdana" w:hAnsi="Verdana"/>
          <w:sz w:val="16"/>
          <w:szCs w:val="16"/>
          <w:lang w:val="es-ES"/>
        </w:rPr>
        <w:t xml:space="preserve">La doctrina chilena ilustra su aplicación en los siguientes términos: “La ley se ha de entender general e indistintamente. Cuando la ley no hace excepción alguna, pudiendo haberla hecho, no podemos separarnos de su disposición general por medio de una distinción que ella no ha formulado. </w:t>
      </w:r>
      <w:r w:rsidRPr="00382345">
        <w:rPr>
          <w:rFonts w:ascii="Verdana" w:hAnsi="Verdana"/>
          <w:i/>
          <w:iCs/>
          <w:sz w:val="16"/>
          <w:szCs w:val="16"/>
          <w:lang w:val="es-ES"/>
        </w:rPr>
        <w:t>Ubi lex non distinguit nec nos distinguere debemus</w:t>
      </w:r>
      <w:r w:rsidRPr="00382345">
        <w:rPr>
          <w:rFonts w:ascii="Verdana" w:hAnsi="Verdana"/>
          <w:sz w:val="16"/>
          <w:szCs w:val="16"/>
          <w:lang w:val="es-ES"/>
        </w:rPr>
        <w:t>, ‘donde la ley no distingue no puede el hombre distinguir’. ‘La extensión que deba dársele a la ley se determinará por su genuino sentido y según las reglas de interpretación precedentes’, dice el artículo 23.</w:t>
      </w:r>
    </w:p>
    <w:p w14:paraId="0271FDAF" w14:textId="77777777" w:rsidR="009B5304" w:rsidRPr="00382345" w:rsidRDefault="009B5304" w:rsidP="009B5304">
      <w:pPr>
        <w:pStyle w:val="Textonotapie"/>
        <w:ind w:firstLine="708"/>
        <w:jc w:val="both"/>
        <w:rPr>
          <w:rFonts w:ascii="Verdana" w:hAnsi="Verdana"/>
          <w:sz w:val="16"/>
          <w:szCs w:val="16"/>
        </w:rPr>
      </w:pPr>
      <w:r w:rsidRPr="00382345">
        <w:rPr>
          <w:rFonts w:ascii="Verdana" w:hAnsi="Verdana"/>
          <w:sz w:val="16"/>
          <w:szCs w:val="16"/>
          <w:lang w:val="es-ES"/>
        </w:rPr>
        <w:t xml:space="preserve">En el derecho antiguo y en el derecho canónico se distinguían las leyes en favorables y odiosas, para ampliar o restringir su interpretación. </w:t>
      </w:r>
      <w:r w:rsidRPr="00382345">
        <w:rPr>
          <w:rFonts w:ascii="Verdana" w:hAnsi="Verdana"/>
          <w:i/>
          <w:iCs/>
          <w:sz w:val="16"/>
          <w:szCs w:val="16"/>
          <w:lang w:val="es-ES"/>
        </w:rPr>
        <w:t>Odia restringí et favores convenit ampliari</w:t>
      </w:r>
      <w:r w:rsidRPr="00382345">
        <w:rPr>
          <w:rFonts w:ascii="Verdana" w:hAnsi="Verdana"/>
          <w:sz w:val="16"/>
          <w:szCs w:val="16"/>
          <w:lang w:val="es-ES"/>
        </w:rPr>
        <w:t xml:space="preserve">. Según esto se tomaban las palabras en su más amplia y extensa significación en materia favorable y se procuraba limitar en lo posible, en caso de duda, en materia odiosa. Estas reglas de aplicación de las leyes eran contrarias a los principios de una correcta interpretación, que no tiene otro objeto que reconstruir el pensamiento del legislador y llegar por este medio al conocimiento completo de la ley. Por este motivo el Código no las admite […]” (Cfr. </w:t>
      </w:r>
      <w:r w:rsidRPr="00382345">
        <w:rPr>
          <w:rFonts w:ascii="Verdana" w:hAnsi="Verdana"/>
          <w:sz w:val="16"/>
          <w:szCs w:val="16"/>
        </w:rPr>
        <w:t>CLARO SOLAR, Luis. Explicaciones de derecho civil chileno y comparado. Volumen I. Tomo I. Santiago: Editorial Jurídica de Chile, 2013. p. 119. Énfasis dentro del texto).</w:t>
      </w:r>
    </w:p>
    <w:p w14:paraId="6A1DE688" w14:textId="77777777" w:rsidR="009B5304" w:rsidRPr="00676B87" w:rsidRDefault="009B5304" w:rsidP="009B5304">
      <w:pPr>
        <w:pStyle w:val="Textonotapie"/>
        <w:ind w:firstLine="708"/>
        <w:jc w:val="both"/>
        <w:rPr>
          <w:sz w:val="16"/>
          <w:szCs w:val="16"/>
        </w:rPr>
      </w:pPr>
    </w:p>
  </w:footnote>
  <w:footnote w:id="27">
    <w:p w14:paraId="1821E5F3" w14:textId="77777777" w:rsidR="009B5304" w:rsidRPr="00382345" w:rsidRDefault="009B5304" w:rsidP="009B5304">
      <w:pPr>
        <w:pStyle w:val="Textonotapie"/>
        <w:ind w:firstLine="709"/>
        <w:jc w:val="both"/>
        <w:rPr>
          <w:rFonts w:ascii="Verdana" w:hAnsi="Verdana"/>
          <w:sz w:val="16"/>
          <w:szCs w:val="16"/>
          <w:lang w:val="es-CO"/>
        </w:rPr>
      </w:pPr>
      <w:r w:rsidRPr="00382345">
        <w:rPr>
          <w:rStyle w:val="Refdenotaalpie"/>
          <w:rFonts w:ascii="Verdana" w:hAnsi="Verdana"/>
          <w:sz w:val="16"/>
          <w:szCs w:val="16"/>
        </w:rPr>
        <w:footnoteRef/>
      </w:r>
      <w:r w:rsidRPr="00382345">
        <w:rPr>
          <w:rFonts w:ascii="Verdana" w:hAnsi="Verdana"/>
          <w:sz w:val="16"/>
          <w:szCs w:val="16"/>
          <w:lang w:val="es-CO"/>
        </w:rPr>
        <w:t xml:space="preserve"> Consejo de Estado, Sección Tercera. Auto del 4 de octubre de 2024. Exp. 70.313. C.P: Fredy Ibarra Martínez.</w:t>
      </w:r>
    </w:p>
  </w:footnote>
  <w:footnote w:id="28">
    <w:p w14:paraId="677F4D07" w14:textId="77777777" w:rsidR="009B5304" w:rsidRPr="00382345" w:rsidRDefault="009B5304" w:rsidP="009B5304">
      <w:pPr>
        <w:pStyle w:val="Textonotapie"/>
        <w:ind w:firstLine="709"/>
        <w:jc w:val="both"/>
        <w:rPr>
          <w:rFonts w:ascii="Verdana" w:hAnsi="Verdana"/>
          <w:sz w:val="16"/>
          <w:szCs w:val="16"/>
          <w:lang w:val="es-CO"/>
        </w:rPr>
      </w:pPr>
      <w:r w:rsidRPr="00382345">
        <w:rPr>
          <w:rStyle w:val="Refdenotaalpie"/>
          <w:rFonts w:ascii="Verdana" w:hAnsi="Verdana"/>
          <w:sz w:val="16"/>
          <w:szCs w:val="16"/>
        </w:rPr>
        <w:footnoteRef/>
      </w:r>
      <w:r w:rsidRPr="00382345">
        <w:rPr>
          <w:rFonts w:ascii="Verdana" w:hAnsi="Verdana"/>
          <w:sz w:val="16"/>
          <w:szCs w:val="16"/>
        </w:rPr>
        <w:t xml:space="preserve"> La parte resolutiva del auto dispone lo siguiente; “</w:t>
      </w:r>
      <w:r w:rsidRPr="00382345">
        <w:rPr>
          <w:rFonts w:ascii="Verdana" w:hAnsi="Verdana"/>
          <w:sz w:val="16"/>
          <w:szCs w:val="16"/>
          <w:lang w:val="es-CO"/>
        </w:rPr>
        <w:t xml:space="preserve">PRIMERO: DECRETAR la suspensión provisional de los apartes cuestionados del inciso segundo del numeral 16.2 de la Circular Externa única, versión 3 del 27 de diciembre de 2023, expedida por la Agencia Nacional de Contratación Pública – Colombia Compra Eficiente, según el cual </w:t>
      </w:r>
      <w:r w:rsidRPr="00382345">
        <w:rPr>
          <w:rFonts w:ascii="Verdana" w:hAnsi="Verdana"/>
          <w:i/>
          <w:sz w:val="16"/>
          <w:szCs w:val="16"/>
          <w:lang w:val="es-CO"/>
        </w:rPr>
        <w:t>“[e]sta restricción es aplicable (…)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w:t>
      </w:r>
      <w:r w:rsidRPr="00382345">
        <w:rPr>
          <w:rFonts w:ascii="Verdana" w:hAnsi="Verdana"/>
          <w:sz w:val="16"/>
          <w:szCs w:val="16"/>
          <w:lang w:val="es-CO"/>
        </w:rPr>
        <w:t xml:space="preserve">, por las razones expuestas en precedencia. </w:t>
      </w:r>
    </w:p>
    <w:p w14:paraId="19BAF6C3" w14:textId="77777777" w:rsidR="009B5304" w:rsidRPr="00382345" w:rsidRDefault="009B5304" w:rsidP="009B5304">
      <w:pPr>
        <w:pStyle w:val="Textonotapie"/>
        <w:ind w:firstLine="709"/>
        <w:jc w:val="both"/>
        <w:rPr>
          <w:rFonts w:ascii="Verdana" w:hAnsi="Verdana"/>
          <w:sz w:val="16"/>
          <w:szCs w:val="16"/>
          <w:lang w:val="es-CO"/>
        </w:rPr>
      </w:pPr>
      <w:r w:rsidRPr="00382345">
        <w:rPr>
          <w:rFonts w:ascii="Verdana" w:hAnsi="Verdana"/>
          <w:sz w:val="16"/>
          <w:szCs w:val="16"/>
          <w:lang w:val="es-CO"/>
        </w:rPr>
        <w:t>SEGUNDO: DECRETAR la suspensión provisional de la expresión “</w:t>
      </w:r>
      <w:r w:rsidRPr="00382345">
        <w:rPr>
          <w:rFonts w:ascii="Verdana" w:hAnsi="Verdana"/>
          <w:i/>
          <w:sz w:val="16"/>
          <w:szCs w:val="16"/>
          <w:lang w:val="es-CO"/>
        </w:rPr>
        <w:t>contratos</w:t>
      </w:r>
      <w:r w:rsidRPr="00382345">
        <w:rPr>
          <w:rFonts w:ascii="Verdana" w:hAnsi="Verdana"/>
          <w:sz w:val="16"/>
          <w:szCs w:val="16"/>
          <w:lang w:val="es-CO"/>
        </w:rPr>
        <w:t xml:space="preserve">” y del párrafo </w:t>
      </w:r>
      <w:r w:rsidRPr="00382345">
        <w:rPr>
          <w:rFonts w:ascii="Verdana" w:hAnsi="Verdana"/>
          <w:i/>
          <w:sz w:val="16"/>
          <w:szCs w:val="16"/>
          <w:lang w:val="es-CO"/>
        </w:rPr>
        <w:t>“[e]n este sentido, la prohibición que establece el parágrafo del artículo 38 de la Ley de Garantías consiste en evitar que los recursos del Estado se ejecuten para lograr apoyos indebidos mediante la suscripción de contratos (…) que, para efectos de la Ley de Garantías, tienen la misma connotación y propósito</w:t>
      </w:r>
      <w:r w:rsidRPr="00382345">
        <w:rPr>
          <w:rFonts w:ascii="Verdana" w:hAnsi="Verdana"/>
          <w:sz w:val="16"/>
          <w:szCs w:val="16"/>
          <w:lang w:val="es-CO"/>
        </w:rPr>
        <w:t xml:space="preserve">”, contenidos en el inciso cuarto del numeral 16.2 de la Circular Externa única, versión 3 del 27 de diciembre de 2023, expedida por la Agencia Nacional de Contratación Pública – Colombia Compra Eficiente, por las razones expuestas de manera precedente”. Consejo de Estado, Sección Tercera. Auto del 6 de noviembre de 2025. Exp. 72.424. C.P: Fernando Alexei Pardo Florez. </w:t>
      </w:r>
    </w:p>
  </w:footnote>
  <w:footnote w:id="29">
    <w:p w14:paraId="34995BED" w14:textId="77777777" w:rsidR="009B5304" w:rsidRPr="00382345" w:rsidRDefault="009B5304" w:rsidP="009B5304">
      <w:pPr>
        <w:spacing w:line="240" w:lineRule="auto"/>
        <w:ind w:firstLine="709"/>
        <w:contextualSpacing/>
        <w:jc w:val="both"/>
        <w:rPr>
          <w:rFonts w:ascii="Verdana" w:eastAsia="Times New Roman" w:hAnsi="Verdana" w:cs="Times New Roman"/>
          <w:sz w:val="16"/>
          <w:szCs w:val="16"/>
          <w:lang w:eastAsia="es-ES"/>
        </w:rPr>
      </w:pPr>
      <w:r w:rsidRPr="00382345">
        <w:rPr>
          <w:rStyle w:val="Refdenotaalpie"/>
          <w:rFonts w:ascii="Verdana" w:hAnsi="Verdana"/>
          <w:sz w:val="16"/>
          <w:szCs w:val="16"/>
        </w:rPr>
        <w:footnoteRef/>
      </w:r>
      <w:r w:rsidRPr="00382345">
        <w:rPr>
          <w:rFonts w:ascii="Verdana" w:hAnsi="Verdana"/>
          <w:sz w:val="16"/>
          <w:szCs w:val="16"/>
        </w:rPr>
        <w:t xml:space="preserve"> </w:t>
      </w:r>
      <w:r w:rsidRPr="00382345">
        <w:rPr>
          <w:rFonts w:ascii="Verdana" w:eastAsia="Times New Roman" w:hAnsi="Verdana" w:cs="Times New Roman"/>
          <w:sz w:val="16"/>
          <w:szCs w:val="16"/>
          <w:lang w:eastAsia="es-ES"/>
        </w:rPr>
        <w:t xml:space="preserve">Consejo de Estado. Sala de lo Contencioso Administrativo. Sección Tercera. Subsección B. 17 de octubre de 2025. Magistrado Ponente: Fredy Ibarra Martínez.  </w:t>
      </w:r>
      <w:r w:rsidRPr="00382345">
        <w:rPr>
          <w:rFonts w:ascii="Verdana" w:hAnsi="Verdana"/>
          <w:sz w:val="16"/>
          <w:szCs w:val="16"/>
        </w:rPr>
        <w:t xml:space="preserve">La parte de la providencia señala: </w:t>
      </w:r>
      <w:r w:rsidRPr="00382345">
        <w:rPr>
          <w:rFonts w:ascii="Verdana" w:eastAsia="Times New Roman" w:hAnsi="Verdana" w:cs="Times New Roman"/>
          <w:sz w:val="16"/>
          <w:szCs w:val="16"/>
          <w:lang w:eastAsia="es-ES"/>
        </w:rPr>
        <w:t>Declárase la nulidad parcial del numeral 16.2 de la Circular Externa Única de 2022 expedida por la Agencia Nacional de Contratación Pública -Colombia Compra Eficiente-, concretamente, de los siguientes apartes normativos: i) el inciso tercero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ii) la expresión y el siguiente párrafo contenidos en el inciso quinto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w:t>
      </w:r>
    </w:p>
  </w:footnote>
  <w:footnote w:id="30">
    <w:p w14:paraId="7A6858B4" w14:textId="77777777" w:rsidR="009B5304" w:rsidRDefault="009B5304" w:rsidP="009B5304">
      <w:pPr>
        <w:pStyle w:val="Textonotapie"/>
        <w:ind w:firstLine="709"/>
        <w:jc w:val="both"/>
        <w:rPr>
          <w:rFonts w:ascii="Verdana" w:hAnsi="Verdana"/>
          <w:sz w:val="16"/>
          <w:szCs w:val="16"/>
        </w:rPr>
      </w:pPr>
      <w:r w:rsidRPr="00382345">
        <w:rPr>
          <w:rFonts w:ascii="Verdana" w:hAnsi="Verdana"/>
          <w:sz w:val="16"/>
          <w:szCs w:val="16"/>
          <w:vertAlign w:val="superscript"/>
        </w:rPr>
        <w:footnoteRef/>
      </w:r>
      <w:r w:rsidRPr="00382345">
        <w:rPr>
          <w:rFonts w:ascii="Verdana" w:hAnsi="Verdana"/>
          <w:sz w:val="16"/>
          <w:szCs w:val="16"/>
        </w:rPr>
        <w:t xml:space="preserve"> No obstante lo anterior, es importante mencionar que aún se encuentra por definir la demanda de nulidad simple, identificada con el Radicado número 11001-03-26-000-2025-00016-00, en la cual se cuestiona parcialmente el numeral 16.2 de la Circular Externa Única CCE-EICP-MA-06, Versión 03 del 27 de diciembre de 2023.</w:t>
      </w:r>
    </w:p>
    <w:p w14:paraId="101FE7C8" w14:textId="77777777" w:rsidR="009B5304" w:rsidRPr="00676B87" w:rsidRDefault="009B5304" w:rsidP="009B5304">
      <w:pPr>
        <w:pStyle w:val="Textonotapie"/>
        <w:ind w:firstLine="709"/>
        <w:jc w:val="both"/>
        <w:rPr>
          <w:sz w:val="16"/>
          <w:szCs w:val="16"/>
        </w:rPr>
      </w:pPr>
    </w:p>
  </w:footnote>
  <w:footnote w:id="31">
    <w:p w14:paraId="330B96D5" w14:textId="77777777" w:rsidR="009B5304" w:rsidRPr="004674CF" w:rsidRDefault="009B5304" w:rsidP="009B5304">
      <w:pPr>
        <w:pStyle w:val="Textonotapie"/>
        <w:ind w:firstLine="708"/>
        <w:jc w:val="both"/>
        <w:rPr>
          <w:rFonts w:ascii="Arial" w:hAnsi="Arial" w:cs="Arial"/>
          <w:sz w:val="16"/>
          <w:szCs w:val="16"/>
        </w:rPr>
      </w:pPr>
      <w:r w:rsidRPr="004674CF">
        <w:rPr>
          <w:rStyle w:val="Refdenotaalpie"/>
          <w:rFonts w:ascii="Verdana" w:hAnsi="Verdana" w:cs="Arial"/>
          <w:sz w:val="16"/>
          <w:szCs w:val="16"/>
        </w:rPr>
        <w:footnoteRef/>
      </w:r>
      <w:r w:rsidRPr="004674CF">
        <w:rPr>
          <w:rFonts w:ascii="Verdana" w:hAnsi="Verdana" w:cs="Arial"/>
          <w:sz w:val="16"/>
          <w:szCs w:val="16"/>
        </w:rPr>
        <w:t xml:space="preserve"> Colombia Compra Eficiente. Circular Externa Única. Numeral 15.5.</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75pt;height:11.7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560793310">
    <w:abstractNumId w:val="0"/>
  </w:num>
  <w:num w:numId="17" w16cid:durableId="100960053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6"/>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33C49"/>
    <w:rsid w:val="00035600"/>
    <w:rsid w:val="000415E3"/>
    <w:rsid w:val="00046945"/>
    <w:rsid w:val="00061B2A"/>
    <w:rsid w:val="00077656"/>
    <w:rsid w:val="00082362"/>
    <w:rsid w:val="000A683E"/>
    <w:rsid w:val="000B19B9"/>
    <w:rsid w:val="000C364A"/>
    <w:rsid w:val="000C4FB2"/>
    <w:rsid w:val="000D0334"/>
    <w:rsid w:val="000D5DA7"/>
    <w:rsid w:val="000F6486"/>
    <w:rsid w:val="00116940"/>
    <w:rsid w:val="00120219"/>
    <w:rsid w:val="00125105"/>
    <w:rsid w:val="00127233"/>
    <w:rsid w:val="0015699B"/>
    <w:rsid w:val="00165DBB"/>
    <w:rsid w:val="001726AA"/>
    <w:rsid w:val="00186B4C"/>
    <w:rsid w:val="001A33BF"/>
    <w:rsid w:val="001B3696"/>
    <w:rsid w:val="001E4177"/>
    <w:rsid w:val="001F0B24"/>
    <w:rsid w:val="001F407A"/>
    <w:rsid w:val="001F7DC6"/>
    <w:rsid w:val="0022400B"/>
    <w:rsid w:val="0023666A"/>
    <w:rsid w:val="002421BB"/>
    <w:rsid w:val="0025796E"/>
    <w:rsid w:val="002707A2"/>
    <w:rsid w:val="002951A0"/>
    <w:rsid w:val="002962BC"/>
    <w:rsid w:val="00296949"/>
    <w:rsid w:val="002A093D"/>
    <w:rsid w:val="002A0DD0"/>
    <w:rsid w:val="002A49AC"/>
    <w:rsid w:val="002A64FD"/>
    <w:rsid w:val="002C5D63"/>
    <w:rsid w:val="002C7A84"/>
    <w:rsid w:val="002E2BF8"/>
    <w:rsid w:val="002E4FD9"/>
    <w:rsid w:val="003009C6"/>
    <w:rsid w:val="0030657A"/>
    <w:rsid w:val="00320CB6"/>
    <w:rsid w:val="00321F48"/>
    <w:rsid w:val="00322A85"/>
    <w:rsid w:val="00324168"/>
    <w:rsid w:val="003271CE"/>
    <w:rsid w:val="00330834"/>
    <w:rsid w:val="003448F4"/>
    <w:rsid w:val="00354F90"/>
    <w:rsid w:val="00374F5E"/>
    <w:rsid w:val="00377E3E"/>
    <w:rsid w:val="003A779E"/>
    <w:rsid w:val="003B2F8E"/>
    <w:rsid w:val="003C55D0"/>
    <w:rsid w:val="003D0F4D"/>
    <w:rsid w:val="003D5B0D"/>
    <w:rsid w:val="003E0499"/>
    <w:rsid w:val="003E1ECE"/>
    <w:rsid w:val="003E4F80"/>
    <w:rsid w:val="003E6439"/>
    <w:rsid w:val="003F3941"/>
    <w:rsid w:val="00406575"/>
    <w:rsid w:val="00414876"/>
    <w:rsid w:val="00414C74"/>
    <w:rsid w:val="0042722E"/>
    <w:rsid w:val="00431FE8"/>
    <w:rsid w:val="0044528D"/>
    <w:rsid w:val="0045522E"/>
    <w:rsid w:val="00455B6C"/>
    <w:rsid w:val="00466E39"/>
    <w:rsid w:val="004A1847"/>
    <w:rsid w:val="004A305D"/>
    <w:rsid w:val="004C2DAE"/>
    <w:rsid w:val="004F21C4"/>
    <w:rsid w:val="004F6041"/>
    <w:rsid w:val="004F685F"/>
    <w:rsid w:val="00536209"/>
    <w:rsid w:val="00555C65"/>
    <w:rsid w:val="005566E8"/>
    <w:rsid w:val="00574867"/>
    <w:rsid w:val="00591460"/>
    <w:rsid w:val="00593104"/>
    <w:rsid w:val="005A65E0"/>
    <w:rsid w:val="005C3777"/>
    <w:rsid w:val="005C5CDC"/>
    <w:rsid w:val="005D476C"/>
    <w:rsid w:val="00606F83"/>
    <w:rsid w:val="006200BF"/>
    <w:rsid w:val="006219F8"/>
    <w:rsid w:val="006302F7"/>
    <w:rsid w:val="00631205"/>
    <w:rsid w:val="00644105"/>
    <w:rsid w:val="00646B9F"/>
    <w:rsid w:val="00653630"/>
    <w:rsid w:val="00665D70"/>
    <w:rsid w:val="006900D9"/>
    <w:rsid w:val="006B090A"/>
    <w:rsid w:val="006C1F77"/>
    <w:rsid w:val="006C508A"/>
    <w:rsid w:val="006F2229"/>
    <w:rsid w:val="00706C16"/>
    <w:rsid w:val="00717DE7"/>
    <w:rsid w:val="007340C3"/>
    <w:rsid w:val="007341E5"/>
    <w:rsid w:val="0075235A"/>
    <w:rsid w:val="007531E3"/>
    <w:rsid w:val="00756841"/>
    <w:rsid w:val="007649AB"/>
    <w:rsid w:val="00771D0C"/>
    <w:rsid w:val="007807D6"/>
    <w:rsid w:val="007833AC"/>
    <w:rsid w:val="007A79BB"/>
    <w:rsid w:val="007B268C"/>
    <w:rsid w:val="007B7171"/>
    <w:rsid w:val="007C0C0F"/>
    <w:rsid w:val="007C3DC2"/>
    <w:rsid w:val="007C3E12"/>
    <w:rsid w:val="007E4BE1"/>
    <w:rsid w:val="007E5497"/>
    <w:rsid w:val="00806F5F"/>
    <w:rsid w:val="00820278"/>
    <w:rsid w:val="008258C9"/>
    <w:rsid w:val="00844AE9"/>
    <w:rsid w:val="00867F95"/>
    <w:rsid w:val="00874100"/>
    <w:rsid w:val="008843B6"/>
    <w:rsid w:val="00891928"/>
    <w:rsid w:val="008A446D"/>
    <w:rsid w:val="008B25F1"/>
    <w:rsid w:val="008D180B"/>
    <w:rsid w:val="008F0EA7"/>
    <w:rsid w:val="00903CBD"/>
    <w:rsid w:val="00923B50"/>
    <w:rsid w:val="00923EEF"/>
    <w:rsid w:val="009419F9"/>
    <w:rsid w:val="00943ECC"/>
    <w:rsid w:val="00954F75"/>
    <w:rsid w:val="0095685E"/>
    <w:rsid w:val="00961B09"/>
    <w:rsid w:val="00965334"/>
    <w:rsid w:val="0097093E"/>
    <w:rsid w:val="00977969"/>
    <w:rsid w:val="00991721"/>
    <w:rsid w:val="00993725"/>
    <w:rsid w:val="00997570"/>
    <w:rsid w:val="009A0DFA"/>
    <w:rsid w:val="009A1C6F"/>
    <w:rsid w:val="009B2D26"/>
    <w:rsid w:val="009B4E23"/>
    <w:rsid w:val="009B5304"/>
    <w:rsid w:val="009C5190"/>
    <w:rsid w:val="009C71FA"/>
    <w:rsid w:val="009C72E7"/>
    <w:rsid w:val="009C7F7E"/>
    <w:rsid w:val="009D3058"/>
    <w:rsid w:val="009F3A13"/>
    <w:rsid w:val="00A071BB"/>
    <w:rsid w:val="00A122D3"/>
    <w:rsid w:val="00A14468"/>
    <w:rsid w:val="00A17F13"/>
    <w:rsid w:val="00A20739"/>
    <w:rsid w:val="00A23AF9"/>
    <w:rsid w:val="00A33C78"/>
    <w:rsid w:val="00A516D3"/>
    <w:rsid w:val="00A541E2"/>
    <w:rsid w:val="00A96EDA"/>
    <w:rsid w:val="00AB0ADB"/>
    <w:rsid w:val="00AE1E71"/>
    <w:rsid w:val="00AE7A51"/>
    <w:rsid w:val="00B00C0E"/>
    <w:rsid w:val="00B01B1A"/>
    <w:rsid w:val="00B0381D"/>
    <w:rsid w:val="00B44A47"/>
    <w:rsid w:val="00B72CD3"/>
    <w:rsid w:val="00B72FFF"/>
    <w:rsid w:val="00B92AD0"/>
    <w:rsid w:val="00B96939"/>
    <w:rsid w:val="00BC3D36"/>
    <w:rsid w:val="00BD54A6"/>
    <w:rsid w:val="00BD7B57"/>
    <w:rsid w:val="00BD7F72"/>
    <w:rsid w:val="00BF7425"/>
    <w:rsid w:val="00C04FB3"/>
    <w:rsid w:val="00C11D8B"/>
    <w:rsid w:val="00C15139"/>
    <w:rsid w:val="00C330EB"/>
    <w:rsid w:val="00C44A24"/>
    <w:rsid w:val="00C50D69"/>
    <w:rsid w:val="00C5365C"/>
    <w:rsid w:val="00C55FA4"/>
    <w:rsid w:val="00C754BE"/>
    <w:rsid w:val="00C76B1C"/>
    <w:rsid w:val="00C87E6D"/>
    <w:rsid w:val="00C925AC"/>
    <w:rsid w:val="00CB6357"/>
    <w:rsid w:val="00CC1B26"/>
    <w:rsid w:val="00CE6B85"/>
    <w:rsid w:val="00D022E4"/>
    <w:rsid w:val="00D361FD"/>
    <w:rsid w:val="00D423A2"/>
    <w:rsid w:val="00D44E26"/>
    <w:rsid w:val="00D520D8"/>
    <w:rsid w:val="00D63AC2"/>
    <w:rsid w:val="00D7383B"/>
    <w:rsid w:val="00D7788A"/>
    <w:rsid w:val="00D82229"/>
    <w:rsid w:val="00D84C55"/>
    <w:rsid w:val="00DA231B"/>
    <w:rsid w:val="00DB2460"/>
    <w:rsid w:val="00DB51AB"/>
    <w:rsid w:val="00DC2A03"/>
    <w:rsid w:val="00DC39FC"/>
    <w:rsid w:val="00DF0E64"/>
    <w:rsid w:val="00DF479E"/>
    <w:rsid w:val="00DF5254"/>
    <w:rsid w:val="00E02524"/>
    <w:rsid w:val="00E11F1D"/>
    <w:rsid w:val="00E16408"/>
    <w:rsid w:val="00E20894"/>
    <w:rsid w:val="00E245AB"/>
    <w:rsid w:val="00E2764C"/>
    <w:rsid w:val="00E27F2E"/>
    <w:rsid w:val="00E50AFE"/>
    <w:rsid w:val="00E75C92"/>
    <w:rsid w:val="00E771DC"/>
    <w:rsid w:val="00E8772A"/>
    <w:rsid w:val="00E90F6B"/>
    <w:rsid w:val="00E92C27"/>
    <w:rsid w:val="00EA0E3D"/>
    <w:rsid w:val="00EA6C12"/>
    <w:rsid w:val="00EC38A7"/>
    <w:rsid w:val="00ED466A"/>
    <w:rsid w:val="00EE1AA8"/>
    <w:rsid w:val="00EE6095"/>
    <w:rsid w:val="00EF2248"/>
    <w:rsid w:val="00F23FEA"/>
    <w:rsid w:val="00F31EDC"/>
    <w:rsid w:val="00F462B3"/>
    <w:rsid w:val="00F5664F"/>
    <w:rsid w:val="00F666C4"/>
    <w:rsid w:val="00F7062E"/>
    <w:rsid w:val="00F76AFC"/>
    <w:rsid w:val="00FA47C0"/>
    <w:rsid w:val="00FB5DD1"/>
    <w:rsid w:val="00FC2B5D"/>
    <w:rsid w:val="00FC2E55"/>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C770D9BA-4014-42A1-B148-29AF1628F8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9B5304"/>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9B5304"/>
    <w:rPr>
      <w:rFonts w:ascii="Geomanist Light" w:hAnsi="Geomanist Light"/>
      <w:lang w:val="es-ES"/>
    </w:rPr>
  </w:style>
  <w:style w:type="character" w:customStyle="1" w:styleId="NormalWebCar">
    <w:name w:val="Normal (Web) Car"/>
    <w:link w:val="NormalWeb"/>
    <w:uiPriority w:val="99"/>
    <w:locked/>
    <w:rsid w:val="009B5304"/>
    <w:rPr>
      <w:rFonts w:ascii="Times New Roman" w:eastAsia="Times New Roman" w:hAnsi="Times New Roman" w:cs="Times New Roman"/>
      <w:sz w:val="24"/>
      <w:szCs w:val="24"/>
      <w:lang w:eastAsia="es-CO"/>
    </w:rPr>
  </w:style>
  <w:style w:type="character" w:customStyle="1" w:styleId="baj">
    <w:name w:val="b_aj"/>
    <w:basedOn w:val="Fuentedeprrafopredeter"/>
    <w:rsid w:val="009B5304"/>
  </w:style>
  <w:style w:type="character" w:styleId="Refdecomentario">
    <w:name w:val="annotation reference"/>
    <w:basedOn w:val="Fuentedeprrafopredeter"/>
    <w:uiPriority w:val="99"/>
    <w:semiHidden/>
    <w:unhideWhenUsed/>
    <w:rsid w:val="00165DBB"/>
    <w:rPr>
      <w:sz w:val="16"/>
      <w:szCs w:val="16"/>
    </w:rPr>
  </w:style>
  <w:style w:type="paragraph" w:styleId="Textocomentario">
    <w:name w:val="annotation text"/>
    <w:basedOn w:val="Normal"/>
    <w:link w:val="TextocomentarioCar"/>
    <w:uiPriority w:val="99"/>
    <w:unhideWhenUsed/>
    <w:rsid w:val="00165DBB"/>
    <w:pPr>
      <w:spacing w:line="240" w:lineRule="auto"/>
    </w:pPr>
    <w:rPr>
      <w:sz w:val="20"/>
      <w:szCs w:val="20"/>
    </w:rPr>
  </w:style>
  <w:style w:type="character" w:customStyle="1" w:styleId="TextocomentarioCar">
    <w:name w:val="Texto comentario Car"/>
    <w:basedOn w:val="Fuentedeprrafopredeter"/>
    <w:link w:val="Textocomentario"/>
    <w:uiPriority w:val="99"/>
    <w:rsid w:val="00165DBB"/>
    <w:rPr>
      <w:sz w:val="20"/>
      <w:szCs w:val="20"/>
    </w:rPr>
  </w:style>
  <w:style w:type="paragraph" w:styleId="Asuntodelcomentario">
    <w:name w:val="annotation subject"/>
    <w:basedOn w:val="Textocomentario"/>
    <w:next w:val="Textocomentario"/>
    <w:link w:val="AsuntodelcomentarioCar"/>
    <w:uiPriority w:val="99"/>
    <w:semiHidden/>
    <w:unhideWhenUsed/>
    <w:rsid w:val="00165DBB"/>
    <w:rPr>
      <w:b/>
      <w:bCs/>
    </w:rPr>
  </w:style>
  <w:style w:type="character" w:customStyle="1" w:styleId="AsuntodelcomentarioCar">
    <w:name w:val="Asunto del comentario Car"/>
    <w:basedOn w:val="TextocomentarioCar"/>
    <w:link w:val="Asuntodelcomentario"/>
    <w:uiPriority w:val="99"/>
    <w:semiHidden/>
    <w:rsid w:val="00165DBB"/>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operaciones.colombiacompra.gov.co/sites/cce_public/files/cce_circulares/circular_externa_unica_version_3_vf49.pdf"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lilimaria.tangarife@gmail.com"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image" Target="media/image3.png"/><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latoria.colombiacompra.gov.co/busqueda/conceptos"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customXml/itemProps2.xml><?xml version="1.0" encoding="utf-8"?>
<ds:datastoreItem xmlns:ds="http://schemas.openxmlformats.org/officeDocument/2006/customXml" ds:itemID="{8FCADA9C-6FEC-4AB9-A79F-2DA07A5E6CCA}">
  <ds:schemaRefs>
    <ds:schemaRef ds:uri="http://schemas.openxmlformats.org/officeDocument/2006/bibliography"/>
  </ds:schemaRefs>
</ds:datastoreItem>
</file>

<file path=customXml/itemProps3.xml><?xml version="1.0" encoding="utf-8"?>
<ds:datastoreItem xmlns:ds="http://schemas.openxmlformats.org/officeDocument/2006/customXml" ds:itemID="{B24781B2-5647-4B5E-84A3-38F7A40DD7A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19</TotalTime>
  <Pages>28</Pages>
  <Words>8983</Words>
  <Characters>50489</Characters>
  <Application>Microsoft Office Word</Application>
  <DocSecurity>0</DocSecurity>
  <Lines>1009</Lines>
  <Paragraphs>226</Paragraphs>
  <ScaleCrop>false</ScaleCrop>
  <Company/>
  <LinksUpToDate>false</LinksUpToDate>
  <CharactersWithSpaces>59246</CharactersWithSpaces>
  <SharedDoc>false</SharedDoc>
  <HLinks>
    <vt:vector size="18" baseType="variant">
      <vt:variant>
        <vt:i4>7471218</vt:i4>
      </vt:variant>
      <vt:variant>
        <vt:i4>6</vt:i4>
      </vt:variant>
      <vt:variant>
        <vt:i4>0</vt:i4>
      </vt:variant>
      <vt:variant>
        <vt:i4>5</vt:i4>
      </vt:variant>
      <vt:variant>
        <vt:lpwstr>https://relatoria.colombiacompra.gov.co/busqueda/conceptos</vt:lpwstr>
      </vt:variant>
      <vt:variant>
        <vt:lpwstr/>
      </vt:variant>
      <vt:variant>
        <vt:i4>7471108</vt:i4>
      </vt:variant>
      <vt:variant>
        <vt:i4>3</vt:i4>
      </vt:variant>
      <vt:variant>
        <vt:i4>0</vt:i4>
      </vt:variant>
      <vt:variant>
        <vt:i4>5</vt:i4>
      </vt:variant>
      <vt:variant>
        <vt:lpwstr>https://operaciones.colombiacompra.gov.co/sites/cce_public/files/cce_circulares/circular_externa_unica_version_3_vf49.pdf</vt:lpwstr>
      </vt:variant>
      <vt:variant>
        <vt:lpwstr/>
      </vt:variant>
      <vt:variant>
        <vt:i4>983163</vt:i4>
      </vt:variant>
      <vt:variant>
        <vt:i4>0</vt:i4>
      </vt:variant>
      <vt:variant>
        <vt:i4>0</vt:i4>
      </vt:variant>
      <vt:variant>
        <vt:i4>5</vt:i4>
      </vt:variant>
      <vt:variant>
        <vt:lpwstr>mailto:lilimaria.tangarife@gmail.com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Andreina Cerpa Muñoz</cp:lastModifiedBy>
  <cp:revision>10</cp:revision>
  <cp:lastPrinted>2023-01-10T21:18:00Z</cp:lastPrinted>
  <dcterms:created xsi:type="dcterms:W3CDTF">2026-02-04T16:16:00Z</dcterms:created>
  <dcterms:modified xsi:type="dcterms:W3CDTF">2026-02-12T14:28:00Z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