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B7A5C" w14:textId="77777777" w:rsidR="00925E66" w:rsidRPr="00682C93" w:rsidRDefault="00925E66" w:rsidP="007A54B3">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2221ED2C" w14:textId="77777777" w:rsidR="00925E66" w:rsidRDefault="00925E66" w:rsidP="007A54B3">
      <w:pPr>
        <w:spacing w:after="0" w:line="240" w:lineRule="auto"/>
        <w:jc w:val="both"/>
        <w:rPr>
          <w:rFonts w:ascii="Verdana" w:hAnsi="Verdana" w:cs="Arial"/>
          <w:b/>
          <w:lang w:val="es-MX" w:eastAsia="es-ES_tradnl"/>
        </w:rPr>
      </w:pPr>
    </w:p>
    <w:p w14:paraId="0A946AFC" w14:textId="77777777" w:rsidR="00925E66" w:rsidRDefault="00925E66" w:rsidP="007A54B3">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AD8E949" w14:textId="77777777" w:rsidR="00925E66" w:rsidRPr="00682C93" w:rsidRDefault="00925E66" w:rsidP="007A54B3">
      <w:pPr>
        <w:spacing w:after="0" w:line="240" w:lineRule="auto"/>
        <w:jc w:val="both"/>
        <w:rPr>
          <w:rFonts w:ascii="Verdana" w:hAnsi="Verdana" w:cs="Arial"/>
          <w:b/>
          <w:sz w:val="20"/>
          <w:lang w:val="es-MX" w:eastAsia="es-ES_tradnl"/>
        </w:rPr>
      </w:pPr>
    </w:p>
    <w:p w14:paraId="6E7A8802" w14:textId="235468D3" w:rsidR="00925E66" w:rsidRPr="00682C93" w:rsidRDefault="00925E66" w:rsidP="007A54B3">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w:t>
      </w:r>
      <w:r w:rsidR="006A2093">
        <w:rPr>
          <w:rFonts w:ascii="Verdana" w:hAnsi="Verdana" w:cs="Arial"/>
          <w:b/>
          <w:lang w:val="es-MX" w:eastAsia="es-ES_tradnl"/>
        </w:rPr>
        <w:t>C</w:t>
      </w:r>
      <w:r w:rsidRPr="00682C93">
        <w:rPr>
          <w:rFonts w:ascii="Verdana" w:hAnsi="Verdana" w:cs="Arial"/>
          <w:b/>
          <w:lang w:val="es-MX" w:eastAsia="es-ES_tradnl"/>
        </w:rPr>
        <w:t>elebración</w:t>
      </w:r>
      <w:r w:rsidR="006A2093">
        <w:rPr>
          <w:rFonts w:ascii="Verdana" w:hAnsi="Verdana" w:cs="Arial"/>
          <w:b/>
          <w:lang w:val="es-MX" w:eastAsia="es-ES_tradnl"/>
        </w:rPr>
        <w:t xml:space="preserve"> </w:t>
      </w:r>
      <w:r w:rsidR="006A2093" w:rsidRPr="006A2093">
        <w:rPr>
          <w:rFonts w:ascii="Verdana" w:hAnsi="Verdana" w:cs="Arial"/>
          <w:b/>
          <w:bCs/>
          <w:lang w:val="es-ES" w:eastAsia="es-ES_tradnl"/>
        </w:rPr>
        <w:t>–</w:t>
      </w:r>
      <w:r w:rsidRPr="00682C93">
        <w:rPr>
          <w:rFonts w:ascii="Verdana" w:hAnsi="Verdana" w:cs="Arial"/>
          <w:b/>
          <w:lang w:val="es-MX" w:eastAsia="es-ES_tradnl"/>
        </w:rPr>
        <w:t xml:space="preserve"> </w:t>
      </w:r>
      <w:r w:rsidR="006A2093">
        <w:rPr>
          <w:rFonts w:ascii="Verdana" w:hAnsi="Verdana" w:cs="Arial"/>
          <w:b/>
          <w:lang w:val="es-MX" w:eastAsia="es-ES_tradnl"/>
        </w:rPr>
        <w:t>L</w:t>
      </w:r>
      <w:r w:rsidRPr="00682C93">
        <w:rPr>
          <w:rFonts w:ascii="Verdana" w:hAnsi="Verdana" w:cs="Arial"/>
          <w:b/>
          <w:lang w:val="es-MX" w:eastAsia="es-ES_tradnl"/>
        </w:rPr>
        <w:t>ímite</w:t>
      </w:r>
    </w:p>
    <w:p w14:paraId="6DC0A38B" w14:textId="77777777" w:rsidR="00925E66" w:rsidRDefault="00925E66" w:rsidP="007A54B3">
      <w:pPr>
        <w:spacing w:after="0" w:line="240" w:lineRule="auto"/>
        <w:jc w:val="both"/>
        <w:rPr>
          <w:rFonts w:ascii="Verdana" w:hAnsi="Verdana" w:cs="Arial"/>
          <w:b/>
          <w:lang w:val="es-MX" w:eastAsia="es-ES_tradnl"/>
        </w:rPr>
      </w:pPr>
    </w:p>
    <w:p w14:paraId="124EFE37" w14:textId="77777777" w:rsidR="00925E66" w:rsidRPr="00E41F23" w:rsidRDefault="00925E66" w:rsidP="007A54B3">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7B7B3B0D" w14:textId="77777777" w:rsidR="00925E66" w:rsidRPr="00E41F23" w:rsidRDefault="00925E66" w:rsidP="007A54B3">
      <w:pPr>
        <w:spacing w:after="0" w:line="240" w:lineRule="auto"/>
        <w:jc w:val="both"/>
        <w:rPr>
          <w:rFonts w:ascii="Verdana" w:eastAsia="Calibri" w:hAnsi="Verdana" w:cs="Arial"/>
          <w:sz w:val="20"/>
        </w:rPr>
      </w:pPr>
    </w:p>
    <w:p w14:paraId="41954EF8" w14:textId="77777777" w:rsidR="00925E66" w:rsidRDefault="00925E66" w:rsidP="007A54B3">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180353A4" w14:textId="77777777" w:rsidR="00925E66" w:rsidRPr="00E41F23" w:rsidRDefault="00925E66" w:rsidP="007A54B3">
      <w:pPr>
        <w:widowControl w:val="0"/>
        <w:autoSpaceDE w:val="0"/>
        <w:autoSpaceDN w:val="0"/>
        <w:spacing w:after="0" w:line="240" w:lineRule="auto"/>
        <w:ind w:right="113"/>
        <w:jc w:val="both"/>
        <w:rPr>
          <w:rFonts w:ascii="Verdana" w:eastAsia="Arial" w:hAnsi="Verdana" w:cs="Arial"/>
          <w:sz w:val="20"/>
          <w:lang w:val="es-ES" w:eastAsia="es-ES" w:bidi="es-ES"/>
        </w:rPr>
      </w:pPr>
    </w:p>
    <w:p w14:paraId="52AC825C" w14:textId="77777777" w:rsidR="00925E66" w:rsidRPr="00E41F23" w:rsidRDefault="00925E66" w:rsidP="007A54B3">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r w:rsidRPr="00E41F23">
        <w:rPr>
          <w:rFonts w:ascii="Verdana" w:eastAsia="Times New Roman" w:hAnsi="Verdana" w:cs="Arial"/>
          <w:bCs/>
          <w:i/>
          <w:sz w:val="20"/>
          <w:lang w:val="es-ES" w:eastAsia="es-CO"/>
        </w:rPr>
        <w:t>ibídem</w:t>
      </w:r>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3F11DDB6" w14:textId="77777777" w:rsidR="00925E66" w:rsidRPr="003F2A9C" w:rsidRDefault="00925E66" w:rsidP="007A54B3">
      <w:pPr>
        <w:spacing w:after="0" w:line="240" w:lineRule="auto"/>
        <w:jc w:val="both"/>
        <w:rPr>
          <w:rFonts w:ascii="Verdana" w:hAnsi="Verdana" w:cs="Arial"/>
          <w:b/>
          <w:sz w:val="20"/>
          <w:lang w:val="es-MX" w:eastAsia="es-ES_tradnl"/>
        </w:rPr>
      </w:pPr>
    </w:p>
    <w:p w14:paraId="2B73643D" w14:textId="77777777" w:rsidR="00925E66" w:rsidRPr="00682C93" w:rsidRDefault="00925E66" w:rsidP="007A54B3">
      <w:pPr>
        <w:spacing w:after="0" w:line="240" w:lineRule="auto"/>
        <w:jc w:val="both"/>
        <w:rPr>
          <w:rFonts w:ascii="Verdana" w:hAnsi="Verdana" w:cs="Arial"/>
          <w:b/>
          <w:lang w:val="es-MX" w:eastAsia="es-ES_tradnl"/>
        </w:rPr>
      </w:pPr>
      <w:r w:rsidRPr="00682C93">
        <w:rPr>
          <w:rFonts w:ascii="Verdana" w:hAnsi="Verdana" w:cs="Arial"/>
          <w:b/>
          <w:lang w:val="es-MX" w:eastAsia="es-ES_tradnl"/>
        </w:rPr>
        <w:lastRenderedPageBreak/>
        <w:t xml:space="preserve">LEY DE GARANTÍAS ELECTORALES – Prohibición artículo 33 – Contratación directa – Alcance </w:t>
      </w:r>
    </w:p>
    <w:p w14:paraId="04D938D4" w14:textId="77777777" w:rsidR="00925E66" w:rsidRDefault="00925E66" w:rsidP="007A54B3">
      <w:pPr>
        <w:spacing w:after="0" w:line="240" w:lineRule="auto"/>
        <w:jc w:val="both"/>
        <w:rPr>
          <w:rFonts w:ascii="Verdana" w:hAnsi="Verdana" w:cs="Arial"/>
          <w:b/>
          <w:lang w:val="es-MX" w:eastAsia="es-ES_tradnl"/>
        </w:rPr>
      </w:pPr>
    </w:p>
    <w:p w14:paraId="1C65C721" w14:textId="77777777" w:rsidR="00925E66" w:rsidRPr="00E41F23" w:rsidRDefault="00925E66" w:rsidP="007A54B3">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0794F39D" w14:textId="77777777" w:rsidR="00925E66" w:rsidRPr="00E41F23" w:rsidRDefault="00925E66" w:rsidP="007A54B3">
      <w:pPr>
        <w:spacing w:after="0" w:line="240" w:lineRule="auto"/>
        <w:jc w:val="both"/>
        <w:rPr>
          <w:rFonts w:ascii="Verdana" w:hAnsi="Verdana" w:cs="Arial"/>
          <w:b/>
          <w:lang w:eastAsia="es-ES_tradnl"/>
        </w:rPr>
      </w:pPr>
    </w:p>
    <w:p w14:paraId="78529178" w14:textId="77777777" w:rsidR="00925E66" w:rsidRPr="00682C93" w:rsidRDefault="00925E66" w:rsidP="007A54B3">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12A394B8" w14:textId="77777777" w:rsidR="00925E66" w:rsidRPr="00E41F23" w:rsidRDefault="00925E66" w:rsidP="007A54B3">
      <w:pPr>
        <w:spacing w:after="0" w:line="240" w:lineRule="auto"/>
        <w:jc w:val="both"/>
        <w:rPr>
          <w:rFonts w:ascii="Verdana" w:hAnsi="Verdana" w:cs="Arial"/>
          <w:b/>
          <w:sz w:val="20"/>
          <w:lang w:val="es-MX" w:eastAsia="es-ES_tradnl"/>
        </w:rPr>
      </w:pPr>
    </w:p>
    <w:p w14:paraId="288D0E84" w14:textId="77777777" w:rsidR="00925E66" w:rsidRPr="00E41F23" w:rsidRDefault="00925E66" w:rsidP="007A54B3">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672B638" w14:textId="77777777" w:rsidR="00925E66" w:rsidRPr="00682C93" w:rsidRDefault="00925E66" w:rsidP="007A54B3">
      <w:pPr>
        <w:spacing w:after="0" w:line="240" w:lineRule="auto"/>
        <w:jc w:val="both"/>
        <w:rPr>
          <w:rFonts w:ascii="Verdana" w:hAnsi="Verdana" w:cs="Arial"/>
          <w:b/>
          <w:lang w:val="es-MX" w:eastAsia="es-ES_tradnl"/>
        </w:rPr>
      </w:pPr>
    </w:p>
    <w:p w14:paraId="39C55B22" w14:textId="77777777" w:rsidR="00925E66" w:rsidRPr="00682C93" w:rsidRDefault="00925E66" w:rsidP="007A54B3">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63460A8E" w14:textId="77777777" w:rsidR="00925E66" w:rsidRDefault="00925E66" w:rsidP="007A54B3">
      <w:pPr>
        <w:spacing w:after="0" w:line="240" w:lineRule="auto"/>
        <w:rPr>
          <w:rFonts w:ascii="Verdana" w:hAnsi="Verdana" w:cs="Arial"/>
          <w:lang w:val="es-MX" w:eastAsia="es-ES_tradnl"/>
        </w:rPr>
      </w:pPr>
    </w:p>
    <w:p w14:paraId="110FD64F" w14:textId="77777777" w:rsidR="00925E66" w:rsidRDefault="00925E66" w:rsidP="007A54B3">
      <w:pPr>
        <w:spacing w:after="0" w:line="240" w:lineRule="auto"/>
        <w:jc w:val="both"/>
        <w:rPr>
          <w:rFonts w:ascii="Verdana" w:eastAsia="Calibri" w:hAnsi="Verdana" w:cs="Arial"/>
          <w:sz w:val="20"/>
          <w:lang w:val="es-MX"/>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w:t>
      </w:r>
      <w:r w:rsidRPr="00E41F23">
        <w:rPr>
          <w:rFonts w:ascii="Verdana" w:eastAsia="Calibri" w:hAnsi="Verdana" w:cs="Arial"/>
          <w:sz w:val="20"/>
          <w:lang w:val="es-MX"/>
        </w:rPr>
        <w:lastRenderedPageBreak/>
        <w:t>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sz w:val="20"/>
          <w:lang w:val="es-MX"/>
        </w:rPr>
        <w:t>.</w:t>
      </w:r>
    </w:p>
    <w:p w14:paraId="727A91F8" w14:textId="1909BA76" w:rsidR="00925E66" w:rsidRPr="00925E66" w:rsidRDefault="00925E66" w:rsidP="007A54B3">
      <w:pPr>
        <w:spacing w:after="0" w:line="240" w:lineRule="auto"/>
        <w:jc w:val="both"/>
        <w:rPr>
          <w:rFonts w:ascii="Verdana" w:eastAsia="Verdana" w:hAnsi="Verdana" w:cs="Verdana"/>
          <w:b/>
          <w:lang w:val="es-MX"/>
        </w:rPr>
      </w:pPr>
    </w:p>
    <w:p w14:paraId="1FCED323" w14:textId="77777777" w:rsidR="00925E66" w:rsidRPr="00925E66" w:rsidRDefault="00925E66" w:rsidP="007A54B3">
      <w:pPr>
        <w:spacing w:after="0" w:line="240" w:lineRule="auto"/>
        <w:jc w:val="both"/>
        <w:rPr>
          <w:rFonts w:ascii="Verdana" w:eastAsia="Verdana" w:hAnsi="Verdana" w:cs="Verdana"/>
          <w:b/>
          <w:lang w:val="es-MX"/>
        </w:rPr>
      </w:pPr>
      <w:r w:rsidRPr="00925E66">
        <w:rPr>
          <w:rFonts w:ascii="Verdana" w:eastAsia="Verdana" w:hAnsi="Verdana" w:cs="Verdana"/>
          <w:b/>
          <w:lang w:val="es-MX"/>
        </w:rPr>
        <w:t xml:space="preserve">MINISTERIO DE RELACIONES EXTERIORES – Funciones </w:t>
      </w:r>
    </w:p>
    <w:p w14:paraId="25D3FBAA" w14:textId="77777777" w:rsidR="00925E66" w:rsidRPr="00925E66" w:rsidRDefault="00925E66" w:rsidP="007A54B3">
      <w:pPr>
        <w:spacing w:after="0" w:line="240" w:lineRule="auto"/>
        <w:jc w:val="both"/>
        <w:rPr>
          <w:rFonts w:ascii="Verdana" w:eastAsia="Verdana" w:hAnsi="Verdana" w:cs="Verdana"/>
          <w:b/>
          <w:lang w:val="es-MX"/>
        </w:rPr>
      </w:pPr>
    </w:p>
    <w:p w14:paraId="2A289BFF" w14:textId="19956432" w:rsidR="00925E66" w:rsidRDefault="00925E66" w:rsidP="007A54B3">
      <w:pPr>
        <w:spacing w:after="0" w:line="240" w:lineRule="auto"/>
        <w:jc w:val="both"/>
        <w:rPr>
          <w:rFonts w:ascii="Verdana" w:eastAsia="Verdana" w:hAnsi="Verdana" w:cs="Verdana"/>
          <w:sz w:val="20"/>
          <w:lang w:val="es-ES"/>
        </w:rPr>
      </w:pPr>
      <w:r>
        <w:rPr>
          <w:rFonts w:ascii="Verdana" w:eastAsia="Verdana" w:hAnsi="Verdana" w:cs="Verdana"/>
          <w:sz w:val="20"/>
          <w:lang w:val="es-ES"/>
        </w:rPr>
        <w:t xml:space="preserve">[…] </w:t>
      </w:r>
      <w:r w:rsidRPr="00925E66">
        <w:rPr>
          <w:rFonts w:ascii="Verdana" w:eastAsia="Verdana" w:hAnsi="Verdana" w:cs="Verdana"/>
          <w:sz w:val="20"/>
          <w:lang w:val="es-ES"/>
        </w:rPr>
        <w:t>es pertinente señalar que el Ministerio de Relaciones Exteriores es el organismo rector del Sector Administrativo de Relaciones Exteriores y, bajo la dirección del Presidente de la República, tiene la responsabilidad de formular, coordinar, ejecutar y evaluar la política exterior de Colombia. También administra el servicio exterior y gestiona las relaciones internacionales del país, asegurando que estas respondan a los intereses nacionales y a los principios del Derecho Internacional.</w:t>
      </w:r>
    </w:p>
    <w:p w14:paraId="5DB0C6F8" w14:textId="77777777" w:rsidR="00925E66" w:rsidRPr="00925E66" w:rsidRDefault="00925E66" w:rsidP="007A54B3">
      <w:pPr>
        <w:spacing w:after="0" w:line="240" w:lineRule="auto"/>
        <w:jc w:val="both"/>
        <w:rPr>
          <w:rFonts w:ascii="Verdana" w:eastAsia="Verdana" w:hAnsi="Verdana" w:cs="Verdana"/>
          <w:sz w:val="20"/>
          <w:lang w:val="es-ES"/>
        </w:rPr>
      </w:pPr>
    </w:p>
    <w:p w14:paraId="72F55BA7" w14:textId="5448ACCC" w:rsidR="00925E66" w:rsidRDefault="00925E66" w:rsidP="007A54B3">
      <w:pPr>
        <w:spacing w:after="0" w:line="240" w:lineRule="auto"/>
        <w:jc w:val="both"/>
        <w:rPr>
          <w:rFonts w:ascii="Verdana" w:eastAsia="Verdana" w:hAnsi="Verdana" w:cs="Verdana"/>
          <w:sz w:val="20"/>
          <w:lang w:val="es-ES"/>
        </w:rPr>
      </w:pPr>
      <w:r w:rsidRPr="00925E66">
        <w:rPr>
          <w:rFonts w:ascii="Verdana" w:eastAsia="Verdana" w:hAnsi="Verdana" w:cs="Verdana"/>
          <w:sz w:val="20"/>
          <w:lang w:val="es-ES"/>
        </w:rPr>
        <w:t>Entre sus funciones principales reguladas en el Decreto 869 de 2016, “</w:t>
      </w:r>
      <w:r w:rsidRPr="00925E66">
        <w:rPr>
          <w:rFonts w:ascii="Verdana" w:eastAsia="Verdana" w:hAnsi="Verdana" w:cs="Verdana"/>
          <w:sz w:val="20"/>
        </w:rPr>
        <w:t>Por medio del cual se modifica la estructura del Ministerio de Relaciones Exteriores y se dictan otras disposiciones”</w:t>
      </w:r>
      <w:r w:rsidRPr="00925E66">
        <w:rPr>
          <w:rFonts w:ascii="Verdana" w:eastAsia="Verdana" w:hAnsi="Verdana" w:cs="Verdana"/>
          <w:sz w:val="20"/>
          <w:lang w:val="es-ES"/>
        </w:rPr>
        <w:t xml:space="preserve"> se encuentran diseñar y proponer la política exterior, mantener relaciones con Estados y organismos internacionales, coordinar la acción del Estado en asuntos internacionales y participar en negociaciones de tratados y acuerdos. Además, articula políticas sectoriales con impacto internacional, fortalece la capacidad negociadora del país, orienta la cooperación internacional y participa en la formulación de la política de comercio exterior y de integración regional.</w:t>
      </w:r>
    </w:p>
    <w:p w14:paraId="5289CF2C" w14:textId="77777777" w:rsidR="00925E66" w:rsidRPr="00925E66" w:rsidRDefault="00925E66" w:rsidP="007A54B3">
      <w:pPr>
        <w:spacing w:after="0" w:line="240" w:lineRule="auto"/>
        <w:jc w:val="both"/>
        <w:rPr>
          <w:rFonts w:ascii="Verdana" w:eastAsia="Verdana" w:hAnsi="Verdana" w:cs="Verdana"/>
          <w:b/>
          <w:lang w:val="es-ES"/>
        </w:rPr>
      </w:pPr>
    </w:p>
    <w:p w14:paraId="430B48FE" w14:textId="77777777" w:rsidR="00925E66" w:rsidRPr="00925E66" w:rsidRDefault="00925E66" w:rsidP="007A54B3">
      <w:pPr>
        <w:spacing w:after="0" w:line="240" w:lineRule="auto"/>
        <w:jc w:val="both"/>
        <w:rPr>
          <w:rFonts w:ascii="Verdana" w:eastAsia="Verdana" w:hAnsi="Verdana" w:cs="Verdana"/>
          <w:b/>
          <w:lang w:val="es-MX"/>
        </w:rPr>
      </w:pPr>
      <w:r w:rsidRPr="00925E66">
        <w:rPr>
          <w:rFonts w:ascii="Verdana" w:eastAsia="Verdana" w:hAnsi="Verdana" w:cs="Verdana"/>
          <w:b/>
          <w:lang w:val="es-MX"/>
        </w:rPr>
        <w:t xml:space="preserve">MINISTERIO DE RELACIONES EXTERIORES – Estructura Administrativa – Desconcentración Administrativa – Misiones Diplomáticas – Consulados </w:t>
      </w:r>
    </w:p>
    <w:p w14:paraId="58DC837F" w14:textId="77777777" w:rsidR="00925E66" w:rsidRPr="007A54B3" w:rsidRDefault="00925E66" w:rsidP="007A54B3">
      <w:pPr>
        <w:spacing w:after="0" w:line="240" w:lineRule="auto"/>
        <w:jc w:val="both"/>
        <w:rPr>
          <w:rFonts w:ascii="Verdana" w:eastAsia="Verdana" w:hAnsi="Verdana" w:cs="Verdana"/>
          <w:sz w:val="20"/>
          <w:lang w:val="es-MX"/>
        </w:rPr>
      </w:pPr>
    </w:p>
    <w:p w14:paraId="7C4C4CC2" w14:textId="6FF14BFF" w:rsidR="007A54B3" w:rsidRDefault="007A54B3" w:rsidP="007A54B3">
      <w:pPr>
        <w:spacing w:after="0" w:line="240" w:lineRule="auto"/>
        <w:jc w:val="both"/>
        <w:rPr>
          <w:rFonts w:ascii="Verdana" w:eastAsia="Verdana" w:hAnsi="Verdana" w:cs="Verdana"/>
          <w:sz w:val="20"/>
          <w:lang w:val="es-ES_tradnl"/>
        </w:rPr>
      </w:pPr>
      <w:r w:rsidRPr="007A54B3">
        <w:rPr>
          <w:rFonts w:ascii="Verdana" w:eastAsia="Verdana" w:hAnsi="Verdana" w:cs="Verdana"/>
          <w:sz w:val="20"/>
          <w:lang w:val="es-ES_tradnl"/>
        </w:rPr>
        <w:t xml:space="preserve">En el ejercicio de sus competencias, el Ministerio de Relaciones Exteriores opera mediante diversas dependencias y misiones que desarrollan funciones y propósitos específicos. Estas estructuras constituyen manifestaciones de la desconcentración administrativa, orientadas a garantizar una gestión más eficiente, especializada y territorialmente articulada de los asuntos exteriores del Estado. Para estos efectos, la doctrina define la desconcentración como “[…]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 En otras palabras, se trata de una atribución que tiene el superior jerárquico para repartir algunas competencias entre los subalternos, sin que les otorgue autonomía en el cumplimiento de sus funciones; razón por la cual, implica una adecuada distribución del trabajo en la que el titular de las funciones conserva la dirección y el control de las tareas asignadas. </w:t>
      </w:r>
    </w:p>
    <w:p w14:paraId="7BE5F643" w14:textId="77777777" w:rsidR="007A54B3" w:rsidRPr="007A54B3" w:rsidRDefault="007A54B3" w:rsidP="007A54B3">
      <w:pPr>
        <w:spacing w:after="0" w:line="240" w:lineRule="auto"/>
        <w:jc w:val="both"/>
        <w:rPr>
          <w:rFonts w:ascii="Verdana" w:eastAsia="Verdana" w:hAnsi="Verdana" w:cs="Verdana"/>
          <w:sz w:val="20"/>
          <w:lang w:val="es-ES_tradnl"/>
        </w:rPr>
      </w:pPr>
    </w:p>
    <w:p w14:paraId="1629B487" w14:textId="4AC525C6" w:rsidR="007A54B3" w:rsidRPr="007A54B3" w:rsidRDefault="007A54B3" w:rsidP="007A54B3">
      <w:pPr>
        <w:spacing w:after="0" w:line="240" w:lineRule="auto"/>
        <w:jc w:val="both"/>
        <w:rPr>
          <w:rFonts w:ascii="Verdana" w:eastAsia="Verdana" w:hAnsi="Verdana" w:cs="Verdana"/>
          <w:sz w:val="20"/>
        </w:rPr>
      </w:pPr>
      <w:r w:rsidRPr="007A54B3">
        <w:rPr>
          <w:rFonts w:ascii="Verdana" w:eastAsia="Verdana" w:hAnsi="Verdana" w:cs="Verdana"/>
          <w:sz w:val="20"/>
          <w:lang w:val="es-ES"/>
        </w:rPr>
        <w:t xml:space="preserve">En el marco de la desconcentración administrativa, el Ministerio de Relaciones Exteriores en su estructura administrativa cuenta con Misiones Diplomáticas Acreditadas en el Exterior, como son Las </w:t>
      </w:r>
      <w:r w:rsidRPr="007A54B3">
        <w:rPr>
          <w:rFonts w:ascii="Verdana" w:eastAsia="Verdana" w:hAnsi="Verdana" w:cs="Verdana"/>
          <w:sz w:val="20"/>
        </w:rPr>
        <w:t xml:space="preserve">Misiones Permanentes ante Organismos Internacionales Multilaterales y Regionales, Embajadas y Consulados. Estos últimos como oficinas del </w:t>
      </w:r>
      <w:r w:rsidRPr="007A54B3">
        <w:rPr>
          <w:rFonts w:ascii="Verdana" w:eastAsia="Verdana" w:hAnsi="Verdana" w:cs="Verdana"/>
          <w:sz w:val="20"/>
        </w:rPr>
        <w:lastRenderedPageBreak/>
        <w:t>Ministerio de Relaciones Exteriores o de la Cancillería del país establecidas en ciudades extranjeras, encargadas de proteger y asistir a sus ciudadanos en el exterior. Dentro de las funciones principales de los Consulados el artículo 25 del Decreto 869 de 2016 se concentran en proteger y representar al Estado y a sus nacionales en el exterior, prestando asistencia jurídica, social y administrativa; expidiendo documentos como pasaportes y registros civiles; apoyando la promoción económica, cultural y turística del país; informando a la misión diplomática sobre asuntos migratorios y de servicios consulares; manteniendo registros actualizados de la comunidad colombiana; y actuando ante autoridades locales para salvaguardar los derechos fundamentales de los connacionales, todo dentro del marco del Derecho Internacional y las normas del Estado receptor.</w:t>
      </w:r>
    </w:p>
    <w:p w14:paraId="7E6D874B" w14:textId="77777777" w:rsidR="00925E66" w:rsidRPr="007A54B3" w:rsidRDefault="00925E66" w:rsidP="007A54B3">
      <w:pPr>
        <w:spacing w:after="0" w:line="240" w:lineRule="auto"/>
        <w:jc w:val="both"/>
        <w:rPr>
          <w:rFonts w:ascii="Verdana" w:eastAsia="Verdana" w:hAnsi="Verdana" w:cs="Verdana"/>
          <w:b/>
        </w:rPr>
      </w:pPr>
    </w:p>
    <w:p w14:paraId="7F2A27CE" w14:textId="77777777" w:rsidR="00925E66" w:rsidRPr="00925E66" w:rsidRDefault="00925E66" w:rsidP="007A54B3">
      <w:pPr>
        <w:spacing w:after="0" w:line="240" w:lineRule="auto"/>
        <w:jc w:val="both"/>
        <w:rPr>
          <w:rFonts w:ascii="Verdana" w:eastAsia="Verdana" w:hAnsi="Verdana" w:cs="Verdana"/>
          <w:b/>
          <w:lang w:val="es-MX"/>
        </w:rPr>
      </w:pPr>
      <w:r w:rsidRPr="00925E66">
        <w:rPr>
          <w:rFonts w:ascii="Verdana" w:eastAsia="Verdana" w:hAnsi="Verdana" w:cs="Verdana"/>
          <w:b/>
          <w:lang w:val="es-MX"/>
        </w:rPr>
        <w:t xml:space="preserve">MISIONES DIPLOMÁTICAS – Consulados – Competencia Contractual – Delegación – Contratos en el Extranjero </w:t>
      </w:r>
    </w:p>
    <w:p w14:paraId="2DCB6986" w14:textId="77777777" w:rsidR="00925E66" w:rsidRPr="007A54B3" w:rsidRDefault="00925E66" w:rsidP="007A54B3">
      <w:pPr>
        <w:spacing w:after="0" w:line="240" w:lineRule="auto"/>
        <w:jc w:val="both"/>
        <w:rPr>
          <w:rFonts w:ascii="Verdana" w:eastAsia="Verdana" w:hAnsi="Verdana" w:cs="Verdana"/>
          <w:sz w:val="20"/>
          <w:lang w:val="es-MX"/>
        </w:rPr>
      </w:pPr>
    </w:p>
    <w:p w14:paraId="2769D8B8" w14:textId="2ED2E4C0" w:rsidR="007A54B3" w:rsidRPr="007A54B3" w:rsidRDefault="007A54B3" w:rsidP="007A54B3">
      <w:pPr>
        <w:spacing w:after="0" w:line="240" w:lineRule="auto"/>
        <w:jc w:val="both"/>
        <w:rPr>
          <w:rFonts w:ascii="Verdana" w:eastAsia="Verdana" w:hAnsi="Verdana" w:cs="Verdana"/>
          <w:sz w:val="20"/>
        </w:rPr>
      </w:pPr>
      <w:r w:rsidRPr="007A54B3">
        <w:rPr>
          <w:rFonts w:ascii="Verdana" w:eastAsia="Verdana" w:hAnsi="Verdana" w:cs="Verdana"/>
          <w:sz w:val="20"/>
        </w:rPr>
        <w:t xml:space="preserve">Del análisis del artículo se concluye que a los jefes de Misiones Diplomáticas, de Delegaciones Permanentes y de Oficinas Consulares de Colombia en el exterior —o a quienes hagan sus veces— se les delegó la competencia para celebrar, modificar, adicionar, prorrogar, terminar y supervisar los contratos, en nombre y representación del Ministerio de Relaciones Exteriores y de su Fondo Rotatorio. Esta delegación no aplica a los contratos que se celebren y ejecuten en el territorio nacional, los cuales permanecen bajo la competencia de la autoridad correspondiente en Colombia.  </w:t>
      </w:r>
    </w:p>
    <w:p w14:paraId="6B9E6C9E" w14:textId="77777777" w:rsidR="007A54B3" w:rsidRPr="007A54B3" w:rsidRDefault="007A54B3" w:rsidP="007A54B3">
      <w:pPr>
        <w:spacing w:after="0" w:line="240" w:lineRule="auto"/>
        <w:jc w:val="both"/>
        <w:rPr>
          <w:rFonts w:ascii="Verdana" w:eastAsia="Verdana" w:hAnsi="Verdana" w:cs="Verdana"/>
          <w:sz w:val="20"/>
        </w:rPr>
      </w:pPr>
    </w:p>
    <w:p w14:paraId="22ABDA7F" w14:textId="031087CF" w:rsidR="007A54B3" w:rsidRPr="007A54B3" w:rsidRDefault="007A54B3" w:rsidP="007A54B3">
      <w:pPr>
        <w:spacing w:after="0" w:line="240" w:lineRule="auto"/>
        <w:jc w:val="both"/>
        <w:rPr>
          <w:rFonts w:ascii="Verdana" w:eastAsia="Verdana" w:hAnsi="Verdana" w:cs="Verdana"/>
          <w:sz w:val="20"/>
          <w:lang w:val="es-ES"/>
        </w:rPr>
      </w:pPr>
      <w:r w:rsidRPr="007A54B3">
        <w:rPr>
          <w:rFonts w:ascii="Verdana" w:eastAsia="Verdana" w:hAnsi="Verdana" w:cs="Verdana"/>
          <w:sz w:val="20"/>
        </w:rPr>
        <w:t xml:space="preserve">Teniendo en cuenta estas precisiones sobre la competencia de los consulados para suscribir contratos, es necesario revisar el ámbito territorial del régimen de contratación aplicable, regulado en el artículo 13 de la Ley 80 de 1993, el cual </w:t>
      </w:r>
      <w:r w:rsidRPr="007A54B3">
        <w:rPr>
          <w:rFonts w:ascii="Verdana" w:eastAsia="Verdana" w:hAnsi="Verdana" w:cs="Verdana"/>
          <w:sz w:val="20"/>
          <w:lang w:val="es-ES"/>
        </w:rPr>
        <w:t xml:space="preserve">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p>
    <w:p w14:paraId="687E87A9" w14:textId="77777777" w:rsidR="00925E66" w:rsidRPr="007A54B3" w:rsidRDefault="00925E66" w:rsidP="007A54B3">
      <w:pPr>
        <w:spacing w:after="0" w:line="240" w:lineRule="auto"/>
        <w:jc w:val="both"/>
        <w:rPr>
          <w:rFonts w:ascii="Verdana" w:eastAsia="Verdana" w:hAnsi="Verdana" w:cs="Verdana"/>
          <w:b/>
          <w:lang w:val="es-ES"/>
        </w:rPr>
      </w:pPr>
    </w:p>
    <w:p w14:paraId="2542ED00" w14:textId="78462151" w:rsidR="00925E66" w:rsidRDefault="00925E66" w:rsidP="007A54B3">
      <w:pPr>
        <w:spacing w:after="0" w:line="240" w:lineRule="auto"/>
        <w:jc w:val="both"/>
        <w:rPr>
          <w:rFonts w:ascii="Verdana" w:eastAsia="Verdana" w:hAnsi="Verdana" w:cs="Verdana"/>
          <w:b/>
          <w:lang w:val="es-MX"/>
        </w:rPr>
      </w:pPr>
      <w:r w:rsidRPr="00925E66">
        <w:rPr>
          <w:rFonts w:ascii="Verdana" w:eastAsia="Verdana" w:hAnsi="Verdana" w:cs="Verdana"/>
          <w:b/>
          <w:lang w:val="es-MX"/>
        </w:rPr>
        <w:t>CONSULADOS – No aplicación – Ley de Garantías - Restricción – Artículo 33 – Artículo 38</w:t>
      </w:r>
    </w:p>
    <w:p w14:paraId="2E6F7F7E" w14:textId="77777777" w:rsidR="007A54B3" w:rsidRPr="00925E66" w:rsidRDefault="007A54B3" w:rsidP="007A54B3">
      <w:pPr>
        <w:spacing w:after="0" w:line="240" w:lineRule="auto"/>
        <w:jc w:val="both"/>
        <w:rPr>
          <w:rFonts w:ascii="Verdana" w:eastAsia="Verdana" w:hAnsi="Verdana" w:cs="Verdana"/>
          <w:b/>
          <w:lang w:val="es-MX"/>
        </w:rPr>
      </w:pPr>
    </w:p>
    <w:p w14:paraId="7F8C7CCE" w14:textId="4DEC619C" w:rsidR="007A54B3" w:rsidRDefault="007A54B3" w:rsidP="007A54B3">
      <w:pPr>
        <w:spacing w:after="0" w:line="240" w:lineRule="auto"/>
        <w:jc w:val="both"/>
        <w:rPr>
          <w:rFonts w:ascii="Verdana" w:eastAsia="Verdana" w:hAnsi="Verdana" w:cs="Verdana"/>
          <w:sz w:val="20"/>
          <w:lang w:val="es-ES"/>
        </w:rPr>
      </w:pPr>
      <w:r w:rsidRPr="007A54B3">
        <w:rPr>
          <w:rFonts w:ascii="Verdana" w:eastAsia="Verdana" w:hAnsi="Verdana" w:cs="Verdana"/>
          <w:sz w:val="20"/>
          <w:lang w:val="es-ES"/>
        </w:rPr>
        <w:t xml:space="preserve">Bajo esta lógica, la restricción prevista en la Ley 996 de 2005 respecto a la imposibilidad de celebrar contratos de manera directa durante los cuatro meses previos a las elecciones presidenciales no resulta aplicable a los convenios que los consulados celebren en el exterior. Ello se debe a que el ámbito de aplicación de dicha ley se circunscribe a la contratación estatal sometida al régimen jurídico colombiano y </w:t>
      </w:r>
      <w:r w:rsidRPr="007A54B3">
        <w:rPr>
          <w:rFonts w:ascii="Verdana" w:eastAsia="Verdana" w:hAnsi="Verdana" w:cs="Verdana"/>
          <w:sz w:val="20"/>
          <w:lang w:val="es-ES"/>
        </w:rPr>
        <w:lastRenderedPageBreak/>
        <w:t xml:space="preserve">ejecutada dentro del territorio nacional, lo que excluye los actos contractuales desarrollados íntegramente fuera del país. En consecuencia, los convenios suscritos por consulados con entidades sin ánimo de lucro en el exterior se rigen por las normas del país receptor y no por las restricciones propias de la Ley de Garantías Electorales. </w:t>
      </w:r>
    </w:p>
    <w:p w14:paraId="0069696E" w14:textId="77777777" w:rsidR="007A54B3" w:rsidRPr="007A54B3" w:rsidRDefault="007A54B3" w:rsidP="007A54B3">
      <w:pPr>
        <w:spacing w:after="0" w:line="240" w:lineRule="auto"/>
        <w:jc w:val="both"/>
        <w:rPr>
          <w:rFonts w:ascii="Verdana" w:eastAsia="Verdana" w:hAnsi="Verdana" w:cs="Verdana"/>
          <w:sz w:val="20"/>
          <w:lang w:val="es-ES"/>
        </w:rPr>
      </w:pPr>
    </w:p>
    <w:p w14:paraId="4B9CE977" w14:textId="66F7C1E3" w:rsidR="007A54B3" w:rsidRDefault="007A54B3" w:rsidP="007A54B3">
      <w:pPr>
        <w:spacing w:after="0" w:line="240" w:lineRule="auto"/>
        <w:jc w:val="both"/>
        <w:rPr>
          <w:rFonts w:ascii="Verdana" w:eastAsia="Verdana" w:hAnsi="Verdana" w:cs="Verdana"/>
          <w:sz w:val="20"/>
          <w:lang w:val="es-ES"/>
        </w:rPr>
      </w:pPr>
      <w:r w:rsidRPr="007A54B3">
        <w:rPr>
          <w:rFonts w:ascii="Verdana" w:eastAsia="Verdana" w:hAnsi="Verdana" w:cs="Verdana"/>
          <w:sz w:val="20"/>
          <w:lang w:val="es-ES"/>
        </w:rPr>
        <w:t xml:space="preserve">De igual modo, se señala que no es posible aludir a la restricción de convenios interadministrativos para la ejecución de recursos públicos del artículo 38 de la Ley 996 de 2005 –Ley de Garantías Electorales- porque las entidades sin ánimo de lucro extranjeras no pueden considerarse como entidades públicas en el ordenamiento jurídico nacional. En tal sentido, no es jurídicamente válido extender dicha limitación a organizaciones privadas extranjeras que, aunque puedan recibir recursos o participar en proyectos, no forman parte de la administración pública nacional. </w:t>
      </w:r>
    </w:p>
    <w:p w14:paraId="49D60139" w14:textId="3282FA61" w:rsidR="007A54B3" w:rsidRDefault="007A54B3" w:rsidP="007A54B3">
      <w:pPr>
        <w:spacing w:after="0" w:line="240" w:lineRule="auto"/>
        <w:jc w:val="both"/>
        <w:rPr>
          <w:rFonts w:ascii="Verdana" w:eastAsia="Verdana" w:hAnsi="Verdana" w:cs="Verdana"/>
          <w:sz w:val="20"/>
          <w:lang w:val="es-ES"/>
        </w:rPr>
      </w:pPr>
    </w:p>
    <w:p w14:paraId="65CC2D35" w14:textId="2CA3C71F" w:rsidR="007A54B3" w:rsidRDefault="007A54B3" w:rsidP="007A54B3">
      <w:pPr>
        <w:spacing w:after="0" w:line="240" w:lineRule="auto"/>
        <w:jc w:val="both"/>
        <w:rPr>
          <w:rFonts w:ascii="Verdana" w:eastAsia="Verdana" w:hAnsi="Verdana" w:cs="Verdana"/>
          <w:sz w:val="20"/>
          <w:lang w:val="es-ES"/>
        </w:rPr>
      </w:pPr>
    </w:p>
    <w:p w14:paraId="221AC53C" w14:textId="1285DF8A" w:rsidR="007A54B3" w:rsidRDefault="007A54B3" w:rsidP="007A54B3">
      <w:pPr>
        <w:spacing w:after="0" w:line="240" w:lineRule="auto"/>
        <w:jc w:val="both"/>
        <w:rPr>
          <w:rFonts w:ascii="Verdana" w:eastAsia="Verdana" w:hAnsi="Verdana" w:cs="Verdana"/>
          <w:sz w:val="20"/>
          <w:lang w:val="es-ES"/>
        </w:rPr>
      </w:pPr>
    </w:p>
    <w:p w14:paraId="34DD75EB" w14:textId="074A9B72" w:rsidR="007A54B3" w:rsidRDefault="007A54B3" w:rsidP="007A54B3">
      <w:pPr>
        <w:spacing w:after="0" w:line="240" w:lineRule="auto"/>
        <w:jc w:val="both"/>
        <w:rPr>
          <w:rFonts w:ascii="Verdana" w:eastAsia="Verdana" w:hAnsi="Verdana" w:cs="Verdana"/>
          <w:sz w:val="20"/>
          <w:lang w:val="es-ES"/>
        </w:rPr>
      </w:pPr>
    </w:p>
    <w:p w14:paraId="543A05D5" w14:textId="7C51B4A3" w:rsidR="007A54B3" w:rsidRDefault="007A54B3" w:rsidP="007A54B3">
      <w:pPr>
        <w:spacing w:after="0" w:line="240" w:lineRule="auto"/>
        <w:jc w:val="both"/>
        <w:rPr>
          <w:rFonts w:ascii="Verdana" w:eastAsia="Verdana" w:hAnsi="Verdana" w:cs="Verdana"/>
          <w:sz w:val="20"/>
          <w:lang w:val="es-ES"/>
        </w:rPr>
      </w:pPr>
    </w:p>
    <w:p w14:paraId="658BD589" w14:textId="43100743" w:rsidR="007A54B3" w:rsidRDefault="007A54B3" w:rsidP="007A54B3">
      <w:pPr>
        <w:spacing w:after="0" w:line="240" w:lineRule="auto"/>
        <w:jc w:val="both"/>
        <w:rPr>
          <w:rFonts w:ascii="Verdana" w:eastAsia="Verdana" w:hAnsi="Verdana" w:cs="Verdana"/>
          <w:sz w:val="20"/>
          <w:lang w:val="es-ES"/>
        </w:rPr>
      </w:pPr>
    </w:p>
    <w:p w14:paraId="58F37971" w14:textId="659B08CB" w:rsidR="007A54B3" w:rsidRDefault="007A54B3" w:rsidP="007A54B3">
      <w:pPr>
        <w:spacing w:after="0" w:line="240" w:lineRule="auto"/>
        <w:jc w:val="both"/>
        <w:rPr>
          <w:rFonts w:ascii="Verdana" w:eastAsia="Verdana" w:hAnsi="Verdana" w:cs="Verdana"/>
          <w:sz w:val="20"/>
          <w:lang w:val="es-ES"/>
        </w:rPr>
      </w:pPr>
    </w:p>
    <w:p w14:paraId="07AD3A7A" w14:textId="2BBE637C" w:rsidR="007A54B3" w:rsidRDefault="007A54B3" w:rsidP="007A54B3">
      <w:pPr>
        <w:spacing w:after="0" w:line="240" w:lineRule="auto"/>
        <w:jc w:val="both"/>
        <w:rPr>
          <w:rFonts w:ascii="Verdana" w:eastAsia="Verdana" w:hAnsi="Verdana" w:cs="Verdana"/>
          <w:sz w:val="20"/>
          <w:lang w:val="es-ES"/>
        </w:rPr>
      </w:pPr>
    </w:p>
    <w:p w14:paraId="41FB64FD" w14:textId="0E0AE4D8" w:rsidR="007A54B3" w:rsidRDefault="007A54B3" w:rsidP="007A54B3">
      <w:pPr>
        <w:spacing w:after="0" w:line="240" w:lineRule="auto"/>
        <w:jc w:val="both"/>
        <w:rPr>
          <w:rFonts w:ascii="Verdana" w:eastAsia="Verdana" w:hAnsi="Verdana" w:cs="Verdana"/>
          <w:sz w:val="20"/>
          <w:lang w:val="es-ES"/>
        </w:rPr>
      </w:pPr>
    </w:p>
    <w:p w14:paraId="52F9EAE4" w14:textId="5B704D2E" w:rsidR="007A54B3" w:rsidRDefault="007A54B3" w:rsidP="007A54B3">
      <w:pPr>
        <w:spacing w:after="0" w:line="240" w:lineRule="auto"/>
        <w:jc w:val="both"/>
        <w:rPr>
          <w:rFonts w:ascii="Verdana" w:eastAsia="Verdana" w:hAnsi="Verdana" w:cs="Verdana"/>
          <w:sz w:val="20"/>
          <w:lang w:val="es-ES"/>
        </w:rPr>
      </w:pPr>
    </w:p>
    <w:p w14:paraId="7E4DD046" w14:textId="4FA9A799" w:rsidR="007A54B3" w:rsidRDefault="007A54B3" w:rsidP="007A54B3">
      <w:pPr>
        <w:spacing w:after="0" w:line="240" w:lineRule="auto"/>
        <w:jc w:val="both"/>
        <w:rPr>
          <w:rFonts w:ascii="Verdana" w:eastAsia="Verdana" w:hAnsi="Verdana" w:cs="Verdana"/>
          <w:sz w:val="20"/>
          <w:lang w:val="es-ES"/>
        </w:rPr>
      </w:pPr>
    </w:p>
    <w:p w14:paraId="3A8F6562" w14:textId="695C5BA5" w:rsidR="007A54B3" w:rsidRDefault="007A54B3" w:rsidP="007A54B3">
      <w:pPr>
        <w:spacing w:after="0" w:line="240" w:lineRule="auto"/>
        <w:jc w:val="both"/>
        <w:rPr>
          <w:rFonts w:ascii="Verdana" w:eastAsia="Verdana" w:hAnsi="Verdana" w:cs="Verdana"/>
          <w:sz w:val="20"/>
          <w:lang w:val="es-ES"/>
        </w:rPr>
      </w:pPr>
    </w:p>
    <w:p w14:paraId="1734A987" w14:textId="4F000AE4" w:rsidR="007A54B3" w:rsidRDefault="007A54B3" w:rsidP="007A54B3">
      <w:pPr>
        <w:spacing w:after="0" w:line="240" w:lineRule="auto"/>
        <w:jc w:val="both"/>
        <w:rPr>
          <w:rFonts w:ascii="Verdana" w:eastAsia="Verdana" w:hAnsi="Verdana" w:cs="Verdana"/>
          <w:sz w:val="20"/>
          <w:lang w:val="es-ES"/>
        </w:rPr>
      </w:pPr>
    </w:p>
    <w:p w14:paraId="4FAEAE29" w14:textId="59F3021C" w:rsidR="007A54B3" w:rsidRDefault="007A54B3" w:rsidP="007A54B3">
      <w:pPr>
        <w:spacing w:after="0" w:line="240" w:lineRule="auto"/>
        <w:jc w:val="both"/>
        <w:rPr>
          <w:rFonts w:ascii="Verdana" w:eastAsia="Verdana" w:hAnsi="Verdana" w:cs="Verdana"/>
          <w:sz w:val="20"/>
          <w:lang w:val="es-ES"/>
        </w:rPr>
      </w:pPr>
    </w:p>
    <w:p w14:paraId="5AA4E4A8" w14:textId="6DE53657" w:rsidR="007A54B3" w:rsidRDefault="007A54B3" w:rsidP="007A54B3">
      <w:pPr>
        <w:spacing w:after="0" w:line="240" w:lineRule="auto"/>
        <w:jc w:val="both"/>
        <w:rPr>
          <w:rFonts w:ascii="Verdana" w:eastAsia="Verdana" w:hAnsi="Verdana" w:cs="Verdana"/>
          <w:sz w:val="20"/>
          <w:lang w:val="es-ES"/>
        </w:rPr>
      </w:pPr>
    </w:p>
    <w:p w14:paraId="0D628E1C" w14:textId="615021C3" w:rsidR="007A54B3" w:rsidRDefault="007A54B3" w:rsidP="007A54B3">
      <w:pPr>
        <w:spacing w:after="0" w:line="240" w:lineRule="auto"/>
        <w:jc w:val="both"/>
        <w:rPr>
          <w:rFonts w:ascii="Verdana" w:eastAsia="Verdana" w:hAnsi="Verdana" w:cs="Verdana"/>
          <w:sz w:val="20"/>
          <w:lang w:val="es-ES"/>
        </w:rPr>
      </w:pPr>
    </w:p>
    <w:p w14:paraId="5A2C10F4" w14:textId="096EA460" w:rsidR="007A54B3" w:rsidRDefault="007A54B3" w:rsidP="007A54B3">
      <w:pPr>
        <w:spacing w:after="0" w:line="240" w:lineRule="auto"/>
        <w:jc w:val="both"/>
        <w:rPr>
          <w:rFonts w:ascii="Verdana" w:eastAsia="Verdana" w:hAnsi="Verdana" w:cs="Verdana"/>
          <w:sz w:val="20"/>
          <w:lang w:val="es-ES"/>
        </w:rPr>
      </w:pPr>
    </w:p>
    <w:p w14:paraId="74A4B36A" w14:textId="0E067CDB" w:rsidR="007A54B3" w:rsidRDefault="007A54B3" w:rsidP="007A54B3">
      <w:pPr>
        <w:spacing w:after="0" w:line="240" w:lineRule="auto"/>
        <w:jc w:val="both"/>
        <w:rPr>
          <w:rFonts w:ascii="Verdana" w:eastAsia="Verdana" w:hAnsi="Verdana" w:cs="Verdana"/>
          <w:sz w:val="20"/>
          <w:lang w:val="es-ES"/>
        </w:rPr>
      </w:pPr>
    </w:p>
    <w:p w14:paraId="29F09F33" w14:textId="6780849C" w:rsidR="007A54B3" w:rsidRDefault="007A54B3" w:rsidP="007A54B3">
      <w:pPr>
        <w:spacing w:after="0" w:line="240" w:lineRule="auto"/>
        <w:jc w:val="both"/>
        <w:rPr>
          <w:rFonts w:ascii="Verdana" w:eastAsia="Verdana" w:hAnsi="Verdana" w:cs="Verdana"/>
          <w:sz w:val="20"/>
          <w:lang w:val="es-ES"/>
        </w:rPr>
      </w:pPr>
    </w:p>
    <w:p w14:paraId="486C3AE0" w14:textId="58068E33" w:rsidR="007A54B3" w:rsidRDefault="007A54B3" w:rsidP="007A54B3">
      <w:pPr>
        <w:spacing w:after="0" w:line="240" w:lineRule="auto"/>
        <w:jc w:val="both"/>
        <w:rPr>
          <w:rFonts w:ascii="Verdana" w:eastAsia="Verdana" w:hAnsi="Verdana" w:cs="Verdana"/>
          <w:sz w:val="20"/>
          <w:lang w:val="es-ES"/>
        </w:rPr>
      </w:pPr>
    </w:p>
    <w:p w14:paraId="0E8A2F45" w14:textId="27885A83" w:rsidR="007A54B3" w:rsidRDefault="007A54B3" w:rsidP="007A54B3">
      <w:pPr>
        <w:spacing w:after="0" w:line="240" w:lineRule="auto"/>
        <w:jc w:val="both"/>
        <w:rPr>
          <w:rFonts w:ascii="Verdana" w:eastAsia="Verdana" w:hAnsi="Verdana" w:cs="Verdana"/>
          <w:sz w:val="20"/>
          <w:lang w:val="es-ES"/>
        </w:rPr>
      </w:pPr>
    </w:p>
    <w:p w14:paraId="350524F7" w14:textId="46E51C67" w:rsidR="007A54B3" w:rsidRDefault="007A54B3" w:rsidP="007A54B3">
      <w:pPr>
        <w:spacing w:after="0" w:line="240" w:lineRule="auto"/>
        <w:jc w:val="both"/>
        <w:rPr>
          <w:rFonts w:ascii="Verdana" w:eastAsia="Verdana" w:hAnsi="Verdana" w:cs="Verdana"/>
          <w:sz w:val="20"/>
          <w:lang w:val="es-ES"/>
        </w:rPr>
      </w:pPr>
    </w:p>
    <w:p w14:paraId="5E7F7A0D" w14:textId="667F64E6" w:rsidR="007A54B3" w:rsidRDefault="007A54B3" w:rsidP="007A54B3">
      <w:pPr>
        <w:spacing w:after="0" w:line="240" w:lineRule="auto"/>
        <w:jc w:val="both"/>
        <w:rPr>
          <w:rFonts w:ascii="Verdana" w:eastAsia="Verdana" w:hAnsi="Verdana" w:cs="Verdana"/>
          <w:sz w:val="20"/>
          <w:lang w:val="es-ES"/>
        </w:rPr>
      </w:pPr>
    </w:p>
    <w:p w14:paraId="404EBCFF" w14:textId="55BBA15A" w:rsidR="007A54B3" w:rsidRDefault="007A54B3" w:rsidP="007A54B3">
      <w:pPr>
        <w:spacing w:after="0" w:line="240" w:lineRule="auto"/>
        <w:jc w:val="both"/>
        <w:rPr>
          <w:rFonts w:ascii="Verdana" w:eastAsia="Verdana" w:hAnsi="Verdana" w:cs="Verdana"/>
          <w:sz w:val="20"/>
          <w:lang w:val="es-ES"/>
        </w:rPr>
      </w:pPr>
    </w:p>
    <w:p w14:paraId="1A29EC57" w14:textId="578DF1E5" w:rsidR="007A54B3" w:rsidRDefault="007A54B3" w:rsidP="007A54B3">
      <w:pPr>
        <w:spacing w:after="0" w:line="240" w:lineRule="auto"/>
        <w:jc w:val="both"/>
        <w:rPr>
          <w:rFonts w:ascii="Verdana" w:eastAsia="Verdana" w:hAnsi="Verdana" w:cs="Verdana"/>
          <w:sz w:val="20"/>
          <w:lang w:val="es-ES"/>
        </w:rPr>
      </w:pPr>
    </w:p>
    <w:p w14:paraId="7B85BF85" w14:textId="3206E9C9" w:rsidR="007A54B3" w:rsidRDefault="007A54B3" w:rsidP="007A54B3">
      <w:pPr>
        <w:spacing w:after="0" w:line="240" w:lineRule="auto"/>
        <w:jc w:val="both"/>
        <w:rPr>
          <w:rFonts w:ascii="Verdana" w:eastAsia="Verdana" w:hAnsi="Verdana" w:cs="Verdana"/>
          <w:sz w:val="20"/>
          <w:lang w:val="es-ES"/>
        </w:rPr>
      </w:pPr>
    </w:p>
    <w:p w14:paraId="4E43A1FB" w14:textId="378E9A60" w:rsidR="007A54B3" w:rsidRDefault="007A54B3" w:rsidP="007A54B3">
      <w:pPr>
        <w:spacing w:after="0" w:line="240" w:lineRule="auto"/>
        <w:jc w:val="both"/>
        <w:rPr>
          <w:rFonts w:ascii="Verdana" w:eastAsia="Verdana" w:hAnsi="Verdana" w:cs="Verdana"/>
          <w:sz w:val="20"/>
          <w:lang w:val="es-ES"/>
        </w:rPr>
      </w:pPr>
    </w:p>
    <w:p w14:paraId="74C51FF3" w14:textId="49C3BFC7" w:rsidR="007A54B3" w:rsidRDefault="007A54B3" w:rsidP="007A54B3">
      <w:pPr>
        <w:spacing w:after="0" w:line="240" w:lineRule="auto"/>
        <w:jc w:val="both"/>
        <w:rPr>
          <w:rFonts w:ascii="Verdana" w:eastAsia="Verdana" w:hAnsi="Verdana" w:cs="Verdana"/>
          <w:sz w:val="20"/>
          <w:lang w:val="es-ES"/>
        </w:rPr>
      </w:pPr>
    </w:p>
    <w:p w14:paraId="75A11F17" w14:textId="0DE81371" w:rsidR="007A54B3" w:rsidRDefault="007A54B3" w:rsidP="007A54B3">
      <w:pPr>
        <w:spacing w:after="0" w:line="240" w:lineRule="auto"/>
        <w:jc w:val="both"/>
        <w:rPr>
          <w:rFonts w:ascii="Verdana" w:eastAsia="Verdana" w:hAnsi="Verdana" w:cs="Verdana"/>
          <w:sz w:val="20"/>
          <w:lang w:val="es-ES"/>
        </w:rPr>
      </w:pPr>
    </w:p>
    <w:p w14:paraId="1B3E9405" w14:textId="56907626" w:rsidR="007A54B3" w:rsidRDefault="007A54B3" w:rsidP="007A54B3">
      <w:pPr>
        <w:spacing w:after="0" w:line="240" w:lineRule="auto"/>
        <w:jc w:val="both"/>
        <w:rPr>
          <w:rFonts w:ascii="Verdana" w:eastAsia="Verdana" w:hAnsi="Verdana" w:cs="Verdana"/>
          <w:sz w:val="20"/>
          <w:lang w:val="es-ES"/>
        </w:rPr>
      </w:pPr>
    </w:p>
    <w:p w14:paraId="7F118510" w14:textId="5E0F0F9C" w:rsidR="007A54B3" w:rsidRDefault="007A54B3" w:rsidP="007A54B3">
      <w:pPr>
        <w:spacing w:after="0" w:line="240" w:lineRule="auto"/>
        <w:jc w:val="both"/>
        <w:rPr>
          <w:rFonts w:ascii="Verdana" w:eastAsia="Verdana" w:hAnsi="Verdana" w:cs="Verdana"/>
          <w:sz w:val="20"/>
          <w:lang w:val="es-ES"/>
        </w:rPr>
      </w:pPr>
    </w:p>
    <w:p w14:paraId="3B8C773F" w14:textId="2356F8CD" w:rsidR="007A54B3" w:rsidRPr="007A54B3" w:rsidRDefault="007A54B3" w:rsidP="007A54B3">
      <w:pPr>
        <w:spacing w:after="0" w:line="240" w:lineRule="auto"/>
        <w:jc w:val="both"/>
        <w:rPr>
          <w:rFonts w:ascii="Verdana" w:eastAsia="Verdana" w:hAnsi="Verdana" w:cs="Verdana"/>
          <w:sz w:val="20"/>
          <w:lang w:val="es-ES"/>
        </w:rPr>
      </w:pPr>
    </w:p>
    <w:p w14:paraId="30218D45" w14:textId="77777777" w:rsidR="00925E66" w:rsidRPr="007A54B3" w:rsidRDefault="00925E66" w:rsidP="00925E66">
      <w:pPr>
        <w:spacing w:after="0"/>
        <w:rPr>
          <w:rFonts w:ascii="Verdana" w:eastAsia="Verdana" w:hAnsi="Verdana" w:cs="Verdana"/>
          <w:lang w:val="es-ES"/>
        </w:rPr>
      </w:pPr>
    </w:p>
    <w:p w14:paraId="282CC172" w14:textId="68B4930F" w:rsidR="00BE4455" w:rsidRPr="009B39AC" w:rsidRDefault="00925E66" w:rsidP="00BE4455">
      <w:pPr>
        <w:spacing w:after="0"/>
        <w:rPr>
          <w:rFonts w:ascii="Verdana" w:hAnsi="Verdana"/>
        </w:rPr>
      </w:pPr>
      <w:r w:rsidRPr="00925E66">
        <w:rPr>
          <w:noProof/>
          <w:lang w:val="en-US"/>
        </w:rPr>
        <w:lastRenderedPageBreak/>
        <w:drawing>
          <wp:anchor distT="0" distB="0" distL="114300" distR="114300" simplePos="0" relativeHeight="251659264" behindDoc="0" locked="0" layoutInCell="1" allowOverlap="1" wp14:anchorId="557F0BD5" wp14:editId="0275F306">
            <wp:simplePos x="0" y="0"/>
            <wp:positionH relativeFrom="column">
              <wp:posOffset>2844165</wp:posOffset>
            </wp:positionH>
            <wp:positionV relativeFrom="paragraph">
              <wp:posOffset>3810</wp:posOffset>
            </wp:positionV>
            <wp:extent cx="2643505" cy="729615"/>
            <wp:effectExtent l="0" t="0" r="444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43505" cy="72961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eastAsia="Verdana" w:hAnsi="Verdana" w:cs="Verdana"/>
        </w:rPr>
        <w:t>Bogotá D.C., 16 de febrero de 2026</w:t>
      </w:r>
      <w:r w:rsidR="00BE4455">
        <w:tab/>
      </w:r>
      <w:r w:rsidR="00BE4455">
        <w:br/>
      </w:r>
    </w:p>
    <w:p w14:paraId="580603C9" w14:textId="4B926D8A" w:rsidR="00BE4455" w:rsidRDefault="00BE4455" w:rsidP="00BE4455">
      <w:pPr>
        <w:spacing w:after="0" w:line="240" w:lineRule="auto"/>
        <w:jc w:val="both"/>
        <w:rPr>
          <w:rFonts w:ascii="Verdana" w:eastAsia="Calibri" w:hAnsi="Verdana" w:cs="Arial"/>
          <w:color w:val="000000"/>
          <w:lang w:val="es-ES"/>
        </w:rPr>
      </w:pPr>
    </w:p>
    <w:p w14:paraId="4B81368D" w14:textId="77777777" w:rsidR="00925E66" w:rsidRPr="00593A5F" w:rsidRDefault="00925E66" w:rsidP="00BE4455">
      <w:pPr>
        <w:spacing w:after="0" w:line="240" w:lineRule="auto"/>
        <w:jc w:val="both"/>
        <w:rPr>
          <w:rFonts w:ascii="Verdana" w:eastAsia="Calibri" w:hAnsi="Verdana" w:cs="Arial"/>
          <w:color w:val="000000"/>
          <w:lang w:val="es-ES"/>
        </w:rPr>
      </w:pPr>
    </w:p>
    <w:p w14:paraId="79CC19E5" w14:textId="6924501E" w:rsidR="00BE4455" w:rsidRPr="000C555D" w:rsidRDefault="00925E66" w:rsidP="00BE4455">
      <w:pPr>
        <w:spacing w:after="0" w:line="240" w:lineRule="auto"/>
        <w:jc w:val="both"/>
        <w:rPr>
          <w:rFonts w:ascii="Verdana" w:eastAsia="Calibri" w:hAnsi="Verdana" w:cs="Arial"/>
          <w:lang w:val="es-ES" w:eastAsia="es-ES"/>
        </w:rPr>
      </w:pPr>
      <w:r w:rsidRPr="00925E66">
        <w:rPr>
          <w:rFonts w:ascii="Verdana" w:hAnsi="Verdana"/>
          <w:noProof/>
          <w:lang w:val="en-US"/>
        </w:rPr>
        <w:drawing>
          <wp:anchor distT="0" distB="0" distL="114300" distR="114300" simplePos="0" relativeHeight="251658240" behindDoc="0" locked="0" layoutInCell="1" allowOverlap="1" wp14:anchorId="3273E908" wp14:editId="01D37456">
            <wp:simplePos x="0" y="0"/>
            <wp:positionH relativeFrom="margin">
              <wp:posOffset>2850515</wp:posOffset>
            </wp:positionH>
            <wp:positionV relativeFrom="paragraph">
              <wp:posOffset>12700</wp:posOffset>
            </wp:positionV>
            <wp:extent cx="2638425" cy="746125"/>
            <wp:effectExtent l="0" t="0" r="952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638425" cy="746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E4455">
        <w:rPr>
          <w:rFonts w:ascii="Verdana" w:eastAsia="Calibri" w:hAnsi="Verdana" w:cs="Arial"/>
          <w:lang w:val="es-ES" w:eastAsia="es-ES"/>
        </w:rPr>
        <w:t>Señor</w:t>
      </w:r>
    </w:p>
    <w:p w14:paraId="260A6B44" w14:textId="005C1F2A" w:rsidR="00BE4455" w:rsidRDefault="00BE4455" w:rsidP="00BE4455">
      <w:pPr>
        <w:spacing w:after="0" w:line="240" w:lineRule="auto"/>
        <w:rPr>
          <w:rFonts w:ascii="Verdana" w:eastAsia="Calibri" w:hAnsi="Verdana" w:cs="Arial"/>
          <w:b/>
          <w:lang w:val="es-ES" w:eastAsia="es-ES"/>
        </w:rPr>
      </w:pPr>
      <w:r>
        <w:rPr>
          <w:rFonts w:ascii="Verdana" w:eastAsia="Calibri" w:hAnsi="Verdana" w:cs="Arial"/>
          <w:b/>
          <w:lang w:val="es-ES" w:eastAsia="es-ES"/>
        </w:rPr>
        <w:t>Javier Humberto Barragán Pérez</w:t>
      </w:r>
    </w:p>
    <w:p w14:paraId="78C1D9F4" w14:textId="3B4BD43F" w:rsidR="00BE4455" w:rsidRPr="00E22A1A" w:rsidRDefault="00BE4455" w:rsidP="00BE4455">
      <w:pPr>
        <w:spacing w:after="0" w:line="240" w:lineRule="auto"/>
        <w:rPr>
          <w:rFonts w:ascii="Verdana" w:eastAsia="Calibri" w:hAnsi="Verdana" w:cs="Arial"/>
          <w:bCs/>
          <w:color w:val="000000"/>
          <w:lang w:val="es-ES_tradnl" w:eastAsia="es-ES_tradnl"/>
        </w:rPr>
      </w:pPr>
      <w:hyperlink r:id="rId13" w:history="1">
        <w:r w:rsidRPr="00771D4E">
          <w:rPr>
            <w:rStyle w:val="Hipervnculo"/>
            <w:rFonts w:ascii="Verdana" w:eastAsia="Calibri" w:hAnsi="Verdana" w:cs="Arial"/>
            <w:bCs/>
            <w:lang w:val="es-ES_tradnl" w:eastAsia="es-ES_tradnl"/>
          </w:rPr>
          <w:t>javier.barragan12021993@gmail.com</w:t>
        </w:r>
      </w:hyperlink>
      <w:r>
        <w:rPr>
          <w:rFonts w:ascii="Verdana" w:eastAsia="Calibri" w:hAnsi="Verdana" w:cs="Arial"/>
          <w:bCs/>
          <w:color w:val="000000"/>
          <w:lang w:val="es-ES_tradnl" w:eastAsia="es-ES_tradnl"/>
        </w:rPr>
        <w:t xml:space="preserve"> </w:t>
      </w:r>
    </w:p>
    <w:p w14:paraId="3FD36611" w14:textId="77777777" w:rsidR="00BE4455" w:rsidRDefault="00BE4455" w:rsidP="00BE4455">
      <w:pPr>
        <w:spacing w:after="0" w:line="240" w:lineRule="auto"/>
        <w:rPr>
          <w:rFonts w:ascii="Verdana" w:eastAsia="Calibri" w:hAnsi="Verdana" w:cs="Arial"/>
          <w:bCs/>
          <w:color w:val="000000"/>
          <w:lang w:val="es-ES_tradnl" w:eastAsia="es-ES_tradnl"/>
        </w:rPr>
      </w:pPr>
      <w:r>
        <w:rPr>
          <w:rFonts w:ascii="Verdana" w:eastAsia="Calibri" w:hAnsi="Verdana" w:cs="Arial"/>
          <w:bCs/>
          <w:color w:val="000000"/>
          <w:lang w:val="es-ES_tradnl" w:eastAsia="es-ES_tradnl"/>
        </w:rPr>
        <w:t>Bogotá D.C.</w:t>
      </w:r>
    </w:p>
    <w:p w14:paraId="2BFF80E7" w14:textId="3ED35960" w:rsidR="00BE4455" w:rsidRDefault="00BE4455" w:rsidP="00BE4455">
      <w:pPr>
        <w:spacing w:after="0" w:line="240" w:lineRule="auto"/>
        <w:rPr>
          <w:rFonts w:ascii="Verdana" w:eastAsia="Calibri" w:hAnsi="Verdana" w:cs="Times New Roman"/>
        </w:rPr>
      </w:pPr>
    </w:p>
    <w:p w14:paraId="0400F8E3" w14:textId="60873DF7" w:rsidR="00BE4455" w:rsidRPr="00A12CB6" w:rsidRDefault="00BE4455" w:rsidP="00BE4455">
      <w:pPr>
        <w:spacing w:after="0" w:line="240" w:lineRule="auto"/>
        <w:rPr>
          <w:rFonts w:ascii="Verdana" w:eastAsia="Calibri" w:hAnsi="Verdana" w:cs="Times New Roman"/>
        </w:rPr>
      </w:pPr>
    </w:p>
    <w:p w14:paraId="3458BD36" w14:textId="394E4033" w:rsidR="00BE4455" w:rsidRPr="00A12CB6" w:rsidRDefault="00BE4455" w:rsidP="00BE4455">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C- 050 de 2026</w:t>
      </w:r>
    </w:p>
    <w:p w14:paraId="4B5F828E" w14:textId="28E2022A" w:rsidR="00BE4455" w:rsidRPr="00A12CB6" w:rsidRDefault="00BE4455" w:rsidP="00BE4455">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BE4455" w:rsidRPr="00A12CB6" w14:paraId="5F3A1C82" w14:textId="77777777" w:rsidTr="008A7F7B">
        <w:trPr>
          <w:trHeight w:val="4247"/>
        </w:trPr>
        <w:tc>
          <w:tcPr>
            <w:tcW w:w="2685" w:type="dxa"/>
            <w:hideMark/>
          </w:tcPr>
          <w:p w14:paraId="2A20556F" w14:textId="77777777" w:rsidR="00BE4455" w:rsidRPr="00A12CB6" w:rsidRDefault="00BE4455" w:rsidP="008A7F7B">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357A409E" w14:textId="55D92693" w:rsidR="00BE4455" w:rsidRPr="00021A39" w:rsidRDefault="00BE4455" w:rsidP="008A7F7B">
            <w:pPr>
              <w:spacing w:line="276" w:lineRule="auto"/>
              <w:jc w:val="both"/>
              <w:rPr>
                <w:rFonts w:ascii="Verdana" w:hAnsi="Verdana" w:cs="Arial"/>
                <w:lang w:val="es-MX"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MINISTERIO DE RELACIONES EXTERIORES – Funciones / MINISTERIO DE RELACIONES EXTERIORES – Estructura Administrativa – Desconcentración Administrativa – Misiones Diplomáticas – Consulados / MISIONES DIPLOMÁTICAS – Consulados – Competencia Contractual – Delegación – Contratos en el Extranjero / CONSULADOS – No aplicación – Ley de Garantías - Restricción – Artículo 33 – Artículo 38</w:t>
            </w:r>
          </w:p>
        </w:tc>
        <w:tc>
          <w:tcPr>
            <w:tcW w:w="6237" w:type="dxa"/>
          </w:tcPr>
          <w:p w14:paraId="2E0DB734" w14:textId="77777777" w:rsidR="00BE4455" w:rsidRPr="00A12CB6" w:rsidRDefault="00BE4455" w:rsidP="008A7F7B">
            <w:pPr>
              <w:spacing w:line="256" w:lineRule="auto"/>
              <w:rPr>
                <w:rFonts w:ascii="Verdana" w:hAnsi="Verdana"/>
              </w:rPr>
            </w:pPr>
          </w:p>
        </w:tc>
      </w:tr>
    </w:tbl>
    <w:p w14:paraId="5364802A" w14:textId="77777777" w:rsidR="00BE4455" w:rsidRPr="00593A5F" w:rsidRDefault="00BE4455" w:rsidP="00BE445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BE4455" w:rsidRPr="008E6AD9" w14:paraId="01684681" w14:textId="77777777" w:rsidTr="008A7F7B">
        <w:tc>
          <w:tcPr>
            <w:tcW w:w="2689" w:type="dxa"/>
          </w:tcPr>
          <w:p w14:paraId="5195BC66" w14:textId="77777777" w:rsidR="00BE4455" w:rsidRPr="008E6AD9" w:rsidRDefault="00BE4455" w:rsidP="008A7F7B">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8697988" w14:textId="77777777" w:rsidR="00BE4455" w:rsidRPr="00AD67E7" w:rsidRDefault="00BE4455" w:rsidP="008A7F7B">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s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330F80">
              <w:rPr>
                <w:rFonts w:ascii="Verdana" w:eastAsia="Calibri" w:hAnsi="Verdana" w:cs="Arial"/>
                <w:lang w:eastAsia="es-ES_tradnl"/>
              </w:rPr>
              <w:t>1_2026_01_14_000357</w:t>
            </w:r>
            <w:r>
              <w:rPr>
                <w:rFonts w:ascii="Verdana" w:eastAsia="Calibri" w:hAnsi="Verdana" w:cs="Arial"/>
                <w:lang w:eastAsia="es-ES_tradnl"/>
              </w:rPr>
              <w:t xml:space="preserve"> y </w:t>
            </w:r>
            <w:r w:rsidRPr="00330F80">
              <w:rPr>
                <w:rFonts w:ascii="Verdana" w:eastAsia="Calibri" w:hAnsi="Verdana" w:cs="Arial"/>
                <w:lang w:eastAsia="es-ES_tradnl"/>
              </w:rPr>
              <w:t>1_2026_01_14_000359</w:t>
            </w:r>
            <w:r>
              <w:rPr>
                <w:rFonts w:ascii="Verdana" w:eastAsia="Calibri" w:hAnsi="Verdana" w:cs="Arial"/>
                <w:lang w:eastAsia="es-ES_tradnl"/>
              </w:rPr>
              <w:t xml:space="preserve"> (acumulados) </w:t>
            </w:r>
          </w:p>
        </w:tc>
      </w:tr>
    </w:tbl>
    <w:p w14:paraId="18656C27" w14:textId="77777777" w:rsidR="00BE4455" w:rsidRPr="00593A5F" w:rsidRDefault="00BE4455" w:rsidP="00BE4455">
      <w:pPr>
        <w:spacing w:after="0" w:line="240" w:lineRule="auto"/>
        <w:jc w:val="both"/>
        <w:rPr>
          <w:rFonts w:ascii="Verdana" w:eastAsia="Calibri" w:hAnsi="Verdana" w:cs="Arial"/>
          <w:color w:val="000000"/>
          <w:lang w:val="es-ES_tradnl" w:eastAsia="es-ES_tradnl"/>
        </w:rPr>
      </w:pPr>
    </w:p>
    <w:p w14:paraId="05F2CADF" w14:textId="77777777" w:rsidR="00BE4455" w:rsidRPr="00593A5F" w:rsidRDefault="00BE4455" w:rsidP="00BE4455">
      <w:pPr>
        <w:spacing w:after="0" w:line="240" w:lineRule="auto"/>
        <w:jc w:val="both"/>
        <w:rPr>
          <w:rFonts w:ascii="Verdana" w:eastAsia="Calibri" w:hAnsi="Verdana" w:cs="Arial"/>
          <w:color w:val="000000"/>
          <w:lang w:val="es-ES_tradnl" w:eastAsia="es-ES_tradnl"/>
        </w:rPr>
      </w:pPr>
    </w:p>
    <w:p w14:paraId="4E5D7C8E" w14:textId="77777777" w:rsidR="00BE4455" w:rsidRPr="008E6AD9" w:rsidRDefault="00BE4455" w:rsidP="00BE445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 Señor Barragán</w:t>
      </w:r>
      <w:r w:rsidRPr="008E6AD9">
        <w:rPr>
          <w:rFonts w:ascii="Verdana" w:eastAsia="Calibri" w:hAnsi="Verdana" w:cs="Arial"/>
          <w:lang w:val="es-ES" w:eastAsia="es-ES"/>
        </w:rPr>
        <w:t xml:space="preserve">: </w:t>
      </w:r>
    </w:p>
    <w:p w14:paraId="738023DE" w14:textId="77777777" w:rsidR="00BE4455" w:rsidRDefault="00BE4455" w:rsidP="00BE445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15ED00B9" w14:textId="77777777" w:rsidR="00BE4455" w:rsidRPr="00C26C4E" w:rsidRDefault="00BE4455" w:rsidP="00BE4455">
      <w:pPr>
        <w:spacing w:after="120" w:line="276" w:lineRule="auto"/>
        <w:jc w:val="both"/>
        <w:rPr>
          <w:rFonts w:ascii="Verdana" w:eastAsia="Calibri" w:hAnsi="Verdana" w:cs="Arial"/>
          <w:bCs/>
          <w:color w:val="000000" w:themeColor="text1"/>
          <w:lang w:val="es-ES" w:eastAsia="es-ES" w:bidi="es-ES"/>
        </w:rPr>
      </w:pPr>
      <w:r w:rsidRPr="00C26C4E">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C26C4E">
        <w:rPr>
          <w:rFonts w:ascii="Verdana" w:eastAsia="Calibri" w:hAnsi="Verdana" w:cs="Arial"/>
          <w:bCs/>
          <w:color w:val="000000" w:themeColor="text1"/>
          <w:lang w:eastAsia="es-ES"/>
        </w:rPr>
        <w:t xml:space="preserve">así como lo establecido por la </w:t>
      </w:r>
      <w:r w:rsidRPr="00C26C4E">
        <w:rPr>
          <w:rFonts w:ascii="Verdana" w:eastAsia="Calibri" w:hAnsi="Verdana" w:cs="Arial"/>
          <w:bCs/>
          <w:color w:val="000000" w:themeColor="text1"/>
          <w:lang w:eastAsia="es-ES"/>
        </w:rPr>
        <w:lastRenderedPageBreak/>
        <w:t xml:space="preserve">Resolución 469 de 2025 expedida por esta Entidad, </w:t>
      </w:r>
      <w:r w:rsidRPr="00C26C4E">
        <w:rPr>
          <w:rFonts w:ascii="Verdana" w:eastAsia="Calibri" w:hAnsi="Verdana" w:cs="Arial"/>
          <w:bCs/>
          <w:color w:val="000000" w:themeColor="text1"/>
          <w:lang w:val="es-ES" w:eastAsia="es-ES" w:bidi="es-ES"/>
        </w:rPr>
        <w:t xml:space="preserve">la Agencia Nacional de Contratación Pública – Colombia Compra Eficiente– responde la solicitud de consulta remitida el 14 de enero de 2026, en la cual manifiesta: </w:t>
      </w:r>
      <w:bookmarkStart w:id="1" w:name="_Hlk95313578"/>
      <w:r w:rsidRPr="00C26C4E">
        <w:rPr>
          <w:rFonts w:ascii="Verdana" w:eastAsia="Calibri" w:hAnsi="Verdana" w:cs="Arial"/>
          <w:bCs/>
          <w:color w:val="000000" w:themeColor="text1"/>
          <w:lang w:val="es-ES" w:eastAsia="es-ES" w:bidi="es-ES"/>
        </w:rPr>
        <w:t xml:space="preserve"> </w:t>
      </w:r>
      <w:r w:rsidRPr="00C26C4E">
        <w:rPr>
          <w:rFonts w:ascii="Verdana" w:eastAsia="Century Gothic" w:hAnsi="Verdana" w:cs="Century Gothic"/>
          <w:lang w:val="es-ES"/>
        </w:rPr>
        <w:t>“</w:t>
      </w:r>
      <w:bookmarkEnd w:id="1"/>
      <w:r w:rsidRPr="00C26C4E">
        <w:rPr>
          <w:rFonts w:ascii="Verdana" w:eastAsia="Century Gothic" w:hAnsi="Verdana" w:cs="Century Gothic"/>
        </w:rPr>
        <w:t>¿Pueden los consulados de Colombia en el exterior suscribir contratos o convenios de asociación con organizaciones sin ánimo de lucro en el exterior para realizar proyectos y estrategias, orientadas a fortalecer el tejido social y promover actividades entre colombianos fuera del país conforme la Ley 2136 de 2021, durante ley de garantías?”</w:t>
      </w:r>
    </w:p>
    <w:p w14:paraId="40418376" w14:textId="77777777" w:rsidR="00BE4455" w:rsidRPr="00A652FF" w:rsidRDefault="00BE4455" w:rsidP="00BE4455">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C5D1FEF" w14:textId="77777777" w:rsidR="00BE4455" w:rsidRPr="00423BE7" w:rsidRDefault="00BE4455" w:rsidP="00BE4455">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el problema jurídico de su consulta. </w:t>
      </w:r>
    </w:p>
    <w:p w14:paraId="0B9ED40B" w14:textId="77777777" w:rsidR="00BE4455" w:rsidRPr="00593A5F" w:rsidRDefault="00BE4455" w:rsidP="00BE4455">
      <w:pPr>
        <w:spacing w:after="0" w:line="276" w:lineRule="auto"/>
        <w:ind w:firstLine="709"/>
        <w:jc w:val="both"/>
        <w:rPr>
          <w:rFonts w:ascii="Verdana" w:eastAsia="Calibri" w:hAnsi="Verdana" w:cs="Arial"/>
          <w:color w:val="000000"/>
          <w:lang w:val="es-ES" w:eastAsia="es-ES"/>
        </w:rPr>
      </w:pPr>
    </w:p>
    <w:p w14:paraId="673950A8" w14:textId="77777777" w:rsidR="00BE4455" w:rsidRPr="00593A5F" w:rsidRDefault="00BE4455" w:rsidP="00BE4455">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1CD832BF" w14:textId="77777777" w:rsidR="00BE4455" w:rsidRPr="00593A5F" w:rsidRDefault="00BE4455" w:rsidP="00BE4455">
      <w:pPr>
        <w:tabs>
          <w:tab w:val="left" w:pos="426"/>
        </w:tabs>
        <w:spacing w:after="0" w:line="276" w:lineRule="auto"/>
        <w:jc w:val="both"/>
        <w:rPr>
          <w:rFonts w:ascii="Verdana" w:eastAsia="Century Gothic" w:hAnsi="Verdana" w:cs="Century Gothic"/>
          <w:lang w:val="es-ES"/>
        </w:rPr>
      </w:pPr>
    </w:p>
    <w:p w14:paraId="2D1F8A93" w14:textId="77777777" w:rsidR="00BE4455" w:rsidRDefault="00BE4455" w:rsidP="00BE4455">
      <w:pPr>
        <w:spacing w:after="0" w:line="276" w:lineRule="auto"/>
        <w:jc w:val="both"/>
        <w:rPr>
          <w:rFonts w:ascii="Verdana" w:eastAsia="Century Gothic" w:hAnsi="Verdana" w:cs="Century Gothic"/>
        </w:rPr>
      </w:pPr>
      <w:r w:rsidRPr="00906BE9">
        <w:rPr>
          <w:rFonts w:ascii="Verdana" w:eastAsia="Century Gothic" w:hAnsi="Verdana" w:cs="Century Gothic"/>
        </w:rPr>
        <w:t xml:space="preserve">De acuerdo con el contenido de su solicitud, esta Agencia resolverá </w:t>
      </w:r>
      <w:r>
        <w:rPr>
          <w:rFonts w:ascii="Verdana" w:eastAsia="Century Gothic" w:hAnsi="Verdana" w:cs="Century Gothic"/>
        </w:rPr>
        <w:t>el siguiente problema jurídico</w:t>
      </w:r>
      <w:r w:rsidRPr="00906BE9">
        <w:rPr>
          <w:rFonts w:ascii="Verdana" w:eastAsia="Century Gothic" w:hAnsi="Verdana" w:cs="Century Gothic"/>
        </w:rPr>
        <w:t>:</w:t>
      </w:r>
      <w:r>
        <w:rPr>
          <w:rFonts w:ascii="Verdana" w:eastAsia="Century Gothic" w:hAnsi="Verdana" w:cs="Century Gothic"/>
        </w:rPr>
        <w:t xml:space="preserve"> </w:t>
      </w:r>
      <w:r w:rsidRPr="00881848">
        <w:rPr>
          <w:rFonts w:ascii="Verdana" w:eastAsia="Century Gothic" w:hAnsi="Verdana" w:cs="Century Gothic"/>
        </w:rPr>
        <w:t xml:space="preserve">¿Están facultados los consulados de Colombia en el exterior para suscribir convenios con </w:t>
      </w:r>
      <w:r>
        <w:rPr>
          <w:rFonts w:ascii="Verdana" w:eastAsia="Century Gothic" w:hAnsi="Verdana" w:cs="Century Gothic"/>
        </w:rPr>
        <w:t xml:space="preserve">entidades </w:t>
      </w:r>
      <w:r w:rsidRPr="00881848">
        <w:rPr>
          <w:rFonts w:ascii="Verdana" w:eastAsia="Century Gothic" w:hAnsi="Verdana" w:cs="Century Gothic"/>
        </w:rPr>
        <w:t>sin ánimo de lucro extranjeras, destinados a ejecutar proyectos y estrategias previstas en la Ley 2136 de 2021 para fortalecer el tejido social de l</w:t>
      </w:r>
      <w:r>
        <w:rPr>
          <w:rFonts w:ascii="Verdana" w:eastAsia="Century Gothic" w:hAnsi="Verdana" w:cs="Century Gothic"/>
        </w:rPr>
        <w:t>os colombianos en el extranjero</w:t>
      </w:r>
      <w:r w:rsidRPr="00881848">
        <w:rPr>
          <w:rFonts w:ascii="Verdana" w:eastAsia="Century Gothic" w:hAnsi="Verdana" w:cs="Century Gothic"/>
        </w:rPr>
        <w:t>, aun durante la vigencia de la</w:t>
      </w:r>
      <w:r>
        <w:rPr>
          <w:rFonts w:ascii="Verdana" w:eastAsia="Century Gothic" w:hAnsi="Verdana" w:cs="Century Gothic"/>
        </w:rPr>
        <w:t>s restricciones contractuales definidas en la Ley 996 de 2005 -Ley de Garantías Electorales</w:t>
      </w:r>
      <w:r w:rsidRPr="00881848">
        <w:rPr>
          <w:rFonts w:ascii="Verdana" w:eastAsia="Century Gothic" w:hAnsi="Verdana" w:cs="Century Gothic"/>
        </w:rPr>
        <w:t>?</w:t>
      </w:r>
    </w:p>
    <w:p w14:paraId="2E14044B" w14:textId="77777777" w:rsidR="00BE4455" w:rsidRPr="004B140F" w:rsidRDefault="00BE4455" w:rsidP="00BE4455">
      <w:pPr>
        <w:spacing w:after="0" w:line="276" w:lineRule="auto"/>
        <w:jc w:val="both"/>
        <w:rPr>
          <w:rFonts w:ascii="Verdana" w:eastAsia="Calibri" w:hAnsi="Verdana" w:cs="Arial"/>
          <w:color w:val="7030A0"/>
        </w:rPr>
      </w:pPr>
    </w:p>
    <w:p w14:paraId="50F57162" w14:textId="77777777" w:rsidR="00BE4455" w:rsidRPr="00593A5F" w:rsidRDefault="00BE4455" w:rsidP="00BE44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30BA905" w14:textId="77777777" w:rsidR="00BE4455" w:rsidRPr="00593A5F" w:rsidRDefault="00BE4455" w:rsidP="00BE445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E4455" w:rsidRPr="00593A5F" w14:paraId="2CCE321B" w14:textId="77777777" w:rsidTr="008A7F7B">
        <w:trPr>
          <w:jc w:val="center"/>
        </w:trPr>
        <w:tc>
          <w:tcPr>
            <w:tcW w:w="8828" w:type="dxa"/>
          </w:tcPr>
          <w:p w14:paraId="21601EA7" w14:textId="77777777" w:rsidR="00BE4455" w:rsidRPr="00021A39" w:rsidRDefault="00BE4455" w:rsidP="008A7F7B">
            <w:pPr>
              <w:spacing w:before="120" w:after="120" w:line="276" w:lineRule="auto"/>
              <w:jc w:val="both"/>
              <w:rPr>
                <w:rFonts w:ascii="Verdana" w:eastAsia="Calibri" w:hAnsi="Verdana" w:cs="Arial"/>
                <w:lang w:val="es-ES"/>
              </w:rPr>
            </w:pPr>
            <w:bookmarkStart w:id="2" w:name="_Hlk171694685"/>
            <w:r w:rsidRPr="004F1C0A">
              <w:rPr>
                <w:rFonts w:ascii="Verdana" w:eastAsia="Calibri" w:hAnsi="Verdana" w:cs="Arial"/>
                <w:lang w:val="es-MX"/>
              </w:rPr>
              <w:t xml:space="preserve">De acuerdo con el problema jurídico, objeto de consulta, </w:t>
            </w:r>
            <w:r>
              <w:rPr>
                <w:rFonts w:ascii="Verdana" w:eastAsia="Calibri" w:hAnsi="Verdana" w:cs="Arial"/>
              </w:rPr>
              <w:t xml:space="preserve">se señala que teniendo en cuenta las competencias que se delegaron mediante la </w:t>
            </w:r>
            <w:r w:rsidRPr="00C26C4E">
              <w:rPr>
                <w:rFonts w:ascii="Verdana" w:eastAsia="Calibri" w:hAnsi="Verdana" w:cs="Arial"/>
              </w:rPr>
              <w:t>Resolución 5992 de 2005</w:t>
            </w:r>
            <w:r>
              <w:rPr>
                <w:rFonts w:ascii="Verdana" w:eastAsia="Calibri" w:hAnsi="Verdana" w:cs="Arial"/>
              </w:rPr>
              <w:t xml:space="preserve"> por parte del Ministerio de Relaciones Exteriores a </w:t>
            </w:r>
            <w:r w:rsidRPr="006120A6">
              <w:rPr>
                <w:rFonts w:ascii="Verdana" w:eastAsia="Calibri" w:hAnsi="Verdana" w:cs="Arial"/>
              </w:rPr>
              <w:t>los jefes de Misiones Diplomáticas, de Delegaciones Permanentes y de Oficinas Consulares de Colombia en el exterior —o a quienes hagan sus veces—</w:t>
            </w:r>
            <w:r>
              <w:rPr>
                <w:rFonts w:ascii="Verdana" w:eastAsia="Calibri" w:hAnsi="Verdana" w:cs="Arial"/>
              </w:rPr>
              <w:t>solo para contratos que se celebran en el exterior, se constata que el régimen aplicable será el de exterior.</w:t>
            </w:r>
          </w:p>
          <w:p w14:paraId="7F84ADA1" w14:textId="77777777" w:rsidR="00BE4455" w:rsidRPr="003070D5" w:rsidRDefault="00BE4455" w:rsidP="008A7F7B">
            <w:pPr>
              <w:spacing w:before="120" w:after="120" w:line="276" w:lineRule="auto"/>
              <w:ind w:firstLine="708"/>
              <w:jc w:val="both"/>
              <w:rPr>
                <w:rFonts w:ascii="Verdana" w:eastAsia="Calibri" w:hAnsi="Verdana" w:cs="Arial"/>
                <w:lang w:val="es-ES"/>
              </w:rPr>
            </w:pPr>
            <w:r>
              <w:rPr>
                <w:rFonts w:ascii="Verdana" w:eastAsia="Calibri" w:hAnsi="Verdana" w:cs="Arial"/>
                <w:lang w:val="es-ES"/>
              </w:rPr>
              <w:t>Ahora bien, l</w:t>
            </w:r>
            <w:r w:rsidRPr="003070D5">
              <w:rPr>
                <w:rFonts w:ascii="Verdana" w:eastAsia="Calibri" w:hAnsi="Verdana" w:cs="Arial"/>
                <w:lang w:val="es-ES"/>
              </w:rPr>
              <w:t>a celebración de convenios con entidades sin ánimo de lucro en el exterior exige un análisis previo sobre la territorialidad y el ámbito de aplicación del ordenamiento jurídico colombiano. Si bien la Ley 2136 de 2021 —que establece los lineamientos de la Política Integral Migratoria del Estado Colombiano— faculta a</w:t>
            </w:r>
            <w:r>
              <w:rPr>
                <w:rFonts w:ascii="Verdana" w:eastAsia="Calibri" w:hAnsi="Verdana" w:cs="Arial"/>
                <w:lang w:val="es-ES"/>
              </w:rPr>
              <w:t xml:space="preserve"> las autoridades nacionales</w:t>
            </w:r>
            <w:r w:rsidRPr="003070D5">
              <w:rPr>
                <w:rFonts w:ascii="Verdana" w:eastAsia="Calibri" w:hAnsi="Verdana" w:cs="Arial"/>
                <w:lang w:val="es-ES"/>
              </w:rPr>
              <w:t xml:space="preserve"> para desarrollar iniciativas, proyectos y estrategias orientadas a fortalecer el tejido social de la diáspora y mejorar su calidad de vida mediante servicios de formación, seguridad social, acceso al sistema financiero, convalidación de títulos y facilidades para el transporte de menaje, dicha habilitación debe interpretarse a la luz del contexto extraterritorial en el que actúan los consulados.</w:t>
            </w:r>
          </w:p>
          <w:p w14:paraId="2005E5D6" w14:textId="77777777" w:rsidR="00BE4455" w:rsidRPr="003070D5" w:rsidRDefault="00BE4455" w:rsidP="008A7F7B">
            <w:pPr>
              <w:spacing w:before="120" w:after="120" w:line="276" w:lineRule="auto"/>
              <w:ind w:firstLine="708"/>
              <w:jc w:val="both"/>
              <w:rPr>
                <w:rFonts w:ascii="Verdana" w:eastAsia="Calibri" w:hAnsi="Verdana" w:cs="Arial"/>
                <w:lang w:val="es-ES"/>
              </w:rPr>
            </w:pPr>
            <w:r w:rsidRPr="003070D5">
              <w:rPr>
                <w:rFonts w:ascii="Verdana" w:eastAsia="Calibri" w:hAnsi="Verdana" w:cs="Arial"/>
                <w:lang w:val="es-ES"/>
              </w:rPr>
              <w:t xml:space="preserve">En efecto, para promover estas estrategias y articular proyectos sociales en beneficio de la comunidad </w:t>
            </w:r>
            <w:r>
              <w:rPr>
                <w:rFonts w:ascii="Verdana" w:eastAsia="Calibri" w:hAnsi="Verdana" w:cs="Arial"/>
                <w:lang w:val="es-ES"/>
              </w:rPr>
              <w:t>connacional que vive en el extranjero</w:t>
            </w:r>
            <w:r w:rsidRPr="003070D5">
              <w:rPr>
                <w:rFonts w:ascii="Verdana" w:eastAsia="Calibri" w:hAnsi="Verdana" w:cs="Arial"/>
                <w:lang w:val="es-ES"/>
              </w:rPr>
              <w:t>, los consulados operan en un entorno jurídico distinto al colombiano</w:t>
            </w:r>
            <w:r>
              <w:rPr>
                <w:rFonts w:ascii="Verdana" w:eastAsia="Calibri" w:hAnsi="Verdana" w:cs="Arial"/>
                <w:lang w:val="es-ES"/>
              </w:rPr>
              <w:t xml:space="preserve">, por lo que no es posible extender la regulación dispuesta en la Ley 80 de 1993 ni mucho menos lo dispuesto en el Decreto 092 de 2017, que remite al EGCAP en lo no regulado en este último. </w:t>
            </w:r>
            <w:r w:rsidRPr="00021A39">
              <w:rPr>
                <w:rFonts w:ascii="Verdana" w:eastAsia="Calibri" w:hAnsi="Verdana" w:cs="Arial"/>
                <w:lang w:val="es-ES"/>
              </w:rPr>
              <w:t xml:space="preserve">Esto implica que las disposiciones de la Ley 2136 y otras normas conexas se aplican a los consulados como órganos del Estado, pero su ejecución práctica requiere respetar las condiciones jurídicas del país receptor. </w:t>
            </w:r>
            <w:r w:rsidRPr="003070D5">
              <w:rPr>
                <w:rFonts w:ascii="Verdana" w:eastAsia="Calibri" w:hAnsi="Verdana" w:cs="Arial"/>
                <w:lang w:val="es-ES"/>
              </w:rPr>
              <w:t>Esto supone que la celebración de convenios con entidades sin ánimo de lucro en el exterior debe regirse por las reglas locales, tanto en materia contractual como en los requisitos de constitución, operación y supervisión de las organizaciones participantes.</w:t>
            </w:r>
          </w:p>
          <w:p w14:paraId="1D4F0F65" w14:textId="77777777" w:rsidR="00BE4455" w:rsidRDefault="00BE4455" w:rsidP="008A7F7B">
            <w:pPr>
              <w:spacing w:before="120" w:after="120" w:line="276" w:lineRule="auto"/>
              <w:ind w:firstLine="708"/>
              <w:jc w:val="both"/>
              <w:rPr>
                <w:rFonts w:ascii="Verdana" w:eastAsia="Calibri" w:hAnsi="Verdana" w:cs="Arial"/>
                <w:lang w:val="es-ES"/>
              </w:rPr>
            </w:pPr>
            <w:r w:rsidRPr="003070D5">
              <w:rPr>
                <w:rFonts w:ascii="Verdana" w:eastAsia="Calibri" w:hAnsi="Verdana" w:cs="Arial"/>
                <w:lang w:val="es-ES"/>
              </w:rPr>
              <w:t xml:space="preserve">Bajo esta lógica, </w:t>
            </w:r>
            <w:r>
              <w:rPr>
                <w:rFonts w:ascii="Verdana" w:eastAsia="Calibri" w:hAnsi="Verdana" w:cs="Arial"/>
                <w:lang w:val="es-ES"/>
              </w:rPr>
              <w:t>la restricción prevista en el artículo 33 de la</w:t>
            </w:r>
            <w:r w:rsidRPr="00C26C4E">
              <w:rPr>
                <w:rFonts w:ascii="Verdana" w:eastAsia="Calibri" w:hAnsi="Verdana" w:cs="Arial"/>
                <w:lang w:val="es-ES"/>
              </w:rPr>
              <w:t xml:space="preserve"> Ley 996 de 2005 respecto a la imposibilidad de celebrar contratos de manera directa </w:t>
            </w:r>
            <w:r w:rsidRPr="00C26C4E">
              <w:rPr>
                <w:rFonts w:ascii="Verdana" w:eastAsia="Calibri" w:hAnsi="Verdana" w:cs="Arial"/>
                <w:lang w:val="es-ES"/>
              </w:rPr>
              <w:lastRenderedPageBreak/>
              <w:t>durante los cuatro meses previos a las elecciones presidenciales no resulta aplicable a los convenios que los consulados celebren en el exterior. Ello se debe a que el ámbito de aplicación de dicha ley se circunscribe a la contratación estatal sometida al régimen jurídico colombiano y ejecutada dentro del territorio nacional, lo que excluye los actos contractuales desarrollados íntegramente fuera del país.</w:t>
            </w:r>
            <w:r>
              <w:rPr>
                <w:rFonts w:ascii="Verdana" w:eastAsia="Calibri" w:hAnsi="Verdana" w:cs="Arial"/>
                <w:lang w:val="es-ES"/>
              </w:rPr>
              <w:t xml:space="preserve"> </w:t>
            </w:r>
            <w:r w:rsidRPr="00C26C4E">
              <w:rPr>
                <w:rFonts w:ascii="Verdana" w:eastAsia="Calibri" w:hAnsi="Verdana" w:cs="Arial"/>
                <w:lang w:val="es-ES"/>
              </w:rPr>
              <w:t>En consecuencia, los convenios suscritos por consulados con entidades sin ánimo de lucro en el exterior se rigen por las normas del país receptor y no por las restricciones propias de</w:t>
            </w:r>
            <w:r>
              <w:rPr>
                <w:rFonts w:ascii="Verdana" w:eastAsia="Calibri" w:hAnsi="Verdana" w:cs="Arial"/>
                <w:lang w:val="es-ES"/>
              </w:rPr>
              <w:t xml:space="preserve"> la Ley de Garantías Electorales </w:t>
            </w:r>
            <w:r w:rsidRPr="00C26C4E">
              <w:rPr>
                <w:rFonts w:ascii="Verdana" w:eastAsia="Calibri" w:hAnsi="Verdana" w:cs="Arial"/>
                <w:lang w:val="es-ES"/>
              </w:rPr>
              <w:t xml:space="preserve">colombiano. </w:t>
            </w:r>
          </w:p>
          <w:p w14:paraId="7D0E688F" w14:textId="77777777" w:rsidR="00BE4455" w:rsidRPr="00C26C4E" w:rsidRDefault="00BE4455" w:rsidP="008A7F7B">
            <w:pPr>
              <w:spacing w:before="120" w:after="120" w:line="276" w:lineRule="auto"/>
              <w:ind w:firstLine="708"/>
              <w:jc w:val="both"/>
              <w:rPr>
                <w:rFonts w:ascii="Verdana" w:eastAsia="Calibri" w:hAnsi="Verdana" w:cs="Arial"/>
                <w:lang w:val="es-ES"/>
              </w:rPr>
            </w:pPr>
            <w:r w:rsidRPr="0012146D">
              <w:rPr>
                <w:rFonts w:ascii="Verdana" w:eastAsia="Calibri" w:hAnsi="Verdana" w:cs="Arial"/>
                <w:lang w:val="es-ES"/>
              </w:rPr>
              <w:t>De igual modo, se señala que no es posible aludir a la restricción de convenios interadministrativos para la ejecución de recursos públicos del artículo 38 de la Ley 996 de 2005 –Ley de Garantías Electorales- porque las entidades sin ánimo de lucro extranjeras no pueden considerarse como entidades públicas en el ordenamiento jurídico nacional. En tal sentido, no es jurídicamente válido extender dicha limitación a organizaciones privadas extranjeras que, aunque puedan recibir recursos o participar en proyectos, no forman parte de la administración pública nacional. Por tanto, las reglas de la Ley de Garantías Electorales solo pueden operar dentro del marco normativo nacional, sin que sea posible proyectarlas hacia relaciones jurídicas que se rigen por sistemas legales distintos, preservando así la coherencia y el alcance propio del derecho interno colombiano.</w:t>
            </w:r>
          </w:p>
        </w:tc>
      </w:tr>
    </w:tbl>
    <w:p w14:paraId="7D650EE5" w14:textId="77777777" w:rsidR="00BE4455" w:rsidRPr="00593A5F" w:rsidRDefault="00BE4455" w:rsidP="00BE4455">
      <w:pPr>
        <w:tabs>
          <w:tab w:val="left" w:pos="142"/>
          <w:tab w:val="left" w:pos="284"/>
        </w:tabs>
        <w:spacing w:after="0" w:line="276" w:lineRule="auto"/>
        <w:jc w:val="both"/>
        <w:rPr>
          <w:rFonts w:ascii="Verdana" w:eastAsia="Century Gothic" w:hAnsi="Verdana" w:cs="Century Gothic"/>
          <w:b/>
          <w:bCs/>
          <w:lang w:val="es-ES"/>
        </w:rPr>
      </w:pPr>
    </w:p>
    <w:bookmarkEnd w:id="2"/>
    <w:p w14:paraId="28F96646" w14:textId="77777777" w:rsidR="00BE4455" w:rsidRPr="00593A5F" w:rsidRDefault="00BE4455" w:rsidP="00BE44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02D5414F" w14:textId="77777777" w:rsidR="00BE4455" w:rsidRPr="00593A5F" w:rsidRDefault="00BE4455" w:rsidP="00BE4455">
      <w:pPr>
        <w:spacing w:after="0" w:line="276" w:lineRule="auto"/>
        <w:jc w:val="both"/>
        <w:rPr>
          <w:rFonts w:ascii="Verdana" w:eastAsia="Calibri" w:hAnsi="Verdana" w:cs="Arial"/>
          <w:color w:val="7030A0"/>
          <w:lang w:val="es-ES"/>
        </w:rPr>
      </w:pPr>
    </w:p>
    <w:p w14:paraId="4A3717D0" w14:textId="77777777" w:rsidR="00BE4455" w:rsidRDefault="00BE4455" w:rsidP="00BE4455">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3E997589" w14:textId="77777777" w:rsidR="00BE4455" w:rsidRDefault="00BE4455" w:rsidP="00BE4455">
      <w:pPr>
        <w:spacing w:after="0" w:line="276" w:lineRule="auto"/>
        <w:jc w:val="both"/>
        <w:rPr>
          <w:rFonts w:ascii="Verdana" w:eastAsia="Calibri" w:hAnsi="Verdana" w:cs="Arial"/>
          <w:lang w:val="es-ES"/>
        </w:rPr>
      </w:pPr>
    </w:p>
    <w:p w14:paraId="203ED3A0" w14:textId="77777777" w:rsidR="00BE4455" w:rsidRPr="002D6B43" w:rsidRDefault="00BE4455" w:rsidP="00BE4455">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 xml:space="preserve">Por ejemplo, el artículo 127 de la Constitución Política establece una prohibición contractual a los servidores públicos y, en cuanto a aspectos </w:t>
      </w:r>
      <w:r w:rsidRPr="002D6B43">
        <w:rPr>
          <w:rFonts w:ascii="Verdana" w:eastAsia="Calibri" w:hAnsi="Verdana" w:cs="Arial"/>
        </w:rPr>
        <w:lastRenderedPageBreak/>
        <w:t>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25496636" w14:textId="77777777" w:rsidR="00BE4455" w:rsidRPr="006B14B5" w:rsidRDefault="00BE4455" w:rsidP="00BE4455">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3"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3"/>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BE2EB3B" w14:textId="77777777" w:rsidR="00BE4455" w:rsidRPr="00E2397D" w:rsidRDefault="00BE4455" w:rsidP="00BE4455">
      <w:pPr>
        <w:spacing w:after="0" w:line="276" w:lineRule="auto"/>
        <w:ind w:right="709"/>
        <w:contextualSpacing/>
        <w:jc w:val="both"/>
        <w:rPr>
          <w:rFonts w:ascii="Verdana" w:eastAsia="Times New Roman" w:hAnsi="Verdana" w:cs="Arial"/>
          <w:lang w:val="es-ES" w:eastAsia="es-CO"/>
        </w:rPr>
      </w:pPr>
    </w:p>
    <w:p w14:paraId="1B66E019" w14:textId="77777777" w:rsidR="00BE4455" w:rsidRPr="00E2397D" w:rsidRDefault="00BE4455" w:rsidP="00BE4455">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54AFD242" w14:textId="77777777" w:rsidR="00BE4455" w:rsidRPr="00D07CEE" w:rsidRDefault="00BE4455" w:rsidP="00BE4455">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78220A23" w14:textId="77777777" w:rsidR="00BE4455" w:rsidRPr="00E2397D" w:rsidRDefault="00BE4455" w:rsidP="00BE4455">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4CEBCA97" w14:textId="77777777" w:rsidR="00BE4455" w:rsidRPr="00E2397D" w:rsidRDefault="00BE4455" w:rsidP="00BE4455">
      <w:pPr>
        <w:spacing w:after="0" w:line="276" w:lineRule="auto"/>
        <w:ind w:firstLine="709"/>
        <w:jc w:val="both"/>
        <w:rPr>
          <w:rFonts w:ascii="Verdana" w:eastAsia="Times New Roman" w:hAnsi="Verdana" w:cs="Arial"/>
          <w:lang w:val="es-MX" w:eastAsia="es-CO"/>
        </w:rPr>
      </w:pPr>
      <w:bookmarkStart w:id="4" w:name="_Hlk78818186"/>
    </w:p>
    <w:p w14:paraId="0CC7CFA9" w14:textId="77777777" w:rsidR="00BE4455" w:rsidRPr="00E2397D" w:rsidRDefault="00BE4455" w:rsidP="00BE4455">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w:t>
      </w:r>
      <w:r w:rsidRPr="00E2397D">
        <w:rPr>
          <w:rFonts w:ascii="Verdana" w:eastAsia="Times New Roman" w:hAnsi="Verdana" w:cs="Arial"/>
          <w:lang w:val="es-MX" w:eastAsia="es-CO"/>
        </w:rPr>
        <w:lastRenderedPageBreak/>
        <w:t>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4"/>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687640D6" w14:textId="77777777" w:rsidR="00BE4455" w:rsidRPr="00886C02" w:rsidRDefault="00BE4455" w:rsidP="00BE4455">
      <w:pPr>
        <w:spacing w:after="0" w:line="276" w:lineRule="auto"/>
        <w:ind w:firstLine="709"/>
        <w:jc w:val="both"/>
        <w:rPr>
          <w:rFonts w:ascii="Verdana" w:eastAsia="Times New Roman" w:hAnsi="Verdana" w:cs="Arial"/>
          <w:lang w:val="es-MX" w:eastAsia="es-CO"/>
        </w:rPr>
      </w:pPr>
    </w:p>
    <w:p w14:paraId="1BA245A9" w14:textId="77777777" w:rsidR="00BE4455" w:rsidRPr="00E2397D" w:rsidRDefault="00BE4455" w:rsidP="00BE4455">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B5717CC" w14:textId="77777777" w:rsidR="00BE4455" w:rsidRPr="000B35C5" w:rsidRDefault="00BE4455" w:rsidP="00BE4455">
      <w:pPr>
        <w:spacing w:after="0" w:line="240" w:lineRule="auto"/>
        <w:ind w:right="709"/>
        <w:contextualSpacing/>
        <w:jc w:val="both"/>
        <w:rPr>
          <w:rFonts w:ascii="Verdana" w:eastAsia="Times New Roman" w:hAnsi="Verdana" w:cs="Arial"/>
          <w:sz w:val="12"/>
          <w:szCs w:val="12"/>
          <w:lang w:val="es-MX" w:eastAsia="es-CO"/>
        </w:rPr>
      </w:pPr>
    </w:p>
    <w:p w14:paraId="1738B7D1" w14:textId="77777777" w:rsidR="00BE4455" w:rsidRPr="00E2397D" w:rsidRDefault="00BE4455" w:rsidP="00BE4455">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75F08412" w14:textId="77777777" w:rsidR="00BE4455" w:rsidRPr="00E2397D" w:rsidRDefault="00BE4455" w:rsidP="00BE4455">
      <w:pPr>
        <w:spacing w:after="0" w:line="276" w:lineRule="auto"/>
        <w:jc w:val="both"/>
        <w:rPr>
          <w:rFonts w:ascii="Verdana" w:eastAsia="Calibri" w:hAnsi="Verdana" w:cs="Arial"/>
          <w:bCs/>
          <w:lang w:val="es-ES_tradnl"/>
        </w:rPr>
      </w:pPr>
    </w:p>
    <w:p w14:paraId="27079AC1" w14:textId="77777777" w:rsidR="00BE4455" w:rsidRDefault="00BE4455" w:rsidP="00BE4455">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t>De</w:t>
      </w:r>
      <w:r w:rsidRPr="00E2397D">
        <w:rPr>
          <w:rFonts w:ascii="Verdana" w:eastAsia="Arial" w:hAnsi="Verdana" w:cs="Arial"/>
          <w:lang w:val="es-ES" w:eastAsia="es-ES" w:bidi="es-ES"/>
        </w:rPr>
        <w:t xml:space="preserve"> conformidad con lo anterior, </w:t>
      </w:r>
      <w:bookmarkStart w:id="5" w:name="_Hlk77236098"/>
      <w:bookmarkStart w:id="6"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w:t>
      </w:r>
      <w:r w:rsidRPr="00E2397D">
        <w:rPr>
          <w:rFonts w:ascii="Verdana" w:eastAsia="Arial" w:hAnsi="Verdana" w:cs="Arial"/>
          <w:lang w:val="es-ES" w:eastAsia="es-ES" w:bidi="es-ES"/>
        </w:rPr>
        <w:lastRenderedPageBreak/>
        <w:t xml:space="preserve">siquiera sospecha de que, por ese medio, en los periodos previos a la contienda electoral, se altere las condiciones de igualdad entre los candidatos. </w:t>
      </w:r>
    </w:p>
    <w:p w14:paraId="69C8AD76" w14:textId="77777777" w:rsidR="00BE4455" w:rsidRPr="00E2397D" w:rsidRDefault="00BE4455" w:rsidP="00BE4455">
      <w:pPr>
        <w:spacing w:after="0" w:line="276" w:lineRule="auto"/>
        <w:ind w:firstLine="709"/>
        <w:jc w:val="both"/>
        <w:rPr>
          <w:rFonts w:ascii="Verdana" w:eastAsia="Arial" w:hAnsi="Verdana" w:cs="Arial"/>
          <w:lang w:val="es-ES" w:eastAsia="es-ES" w:bidi="es-ES"/>
        </w:rPr>
      </w:pPr>
    </w:p>
    <w:p w14:paraId="52B36F6B" w14:textId="77777777" w:rsidR="00BE4455" w:rsidRPr="00E2397D" w:rsidRDefault="00BE4455" w:rsidP="00BE4455">
      <w:pPr>
        <w:spacing w:after="120" w:line="276" w:lineRule="auto"/>
        <w:jc w:val="both"/>
        <w:rPr>
          <w:rFonts w:ascii="Verdana" w:eastAsia="Arial" w:hAnsi="Verdana" w:cs="Arial"/>
          <w:lang w:val="es-ES" w:eastAsia="es-ES" w:bidi="es-ES"/>
        </w:rPr>
      </w:pPr>
      <w:r w:rsidRPr="00E2397D">
        <w:rPr>
          <w:rFonts w:ascii="Verdana" w:eastAsia="Arial" w:hAnsi="Verdana" w:cs="Arial"/>
          <w:lang w:val="es-ES" w:eastAsia="es-ES" w:bidi="es-ES"/>
        </w:rPr>
        <w:t>ii.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5"/>
    </w:p>
    <w:p w14:paraId="48C636C2" w14:textId="77777777" w:rsidR="00BE4455" w:rsidRPr="00E2397D" w:rsidRDefault="00BE4455" w:rsidP="00BE4455">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772F96FA" w14:textId="77777777" w:rsidR="00BE4455" w:rsidRDefault="00BE4455" w:rsidP="00BE4455">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6"/>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77BFE13D" w14:textId="77777777" w:rsidR="00BE4455" w:rsidRDefault="00BE4455" w:rsidP="00BE4455">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lastRenderedPageBreak/>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r w:rsidRPr="00116894">
        <w:rPr>
          <w:rFonts w:ascii="Verdana" w:eastAsia="Times New Roman" w:hAnsi="Verdana" w:cs="Arial"/>
          <w:bCs/>
          <w:i/>
          <w:iCs/>
          <w:lang w:eastAsia="es-CO"/>
        </w:rPr>
        <w:t>Proc.</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1730DB12" w14:textId="77777777" w:rsidR="00BE4455" w:rsidRDefault="00BE4455" w:rsidP="00BE445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r w:rsidRPr="00447D82">
        <w:rPr>
          <w:rFonts w:ascii="Verdana" w:eastAsia="Times New Roman" w:hAnsi="Verdana" w:cs="Arial"/>
          <w:bCs/>
          <w:i/>
          <w:lang w:val="es-ES" w:eastAsia="es-CO"/>
        </w:rPr>
        <w:t>ib</w:t>
      </w:r>
      <w:r>
        <w:rPr>
          <w:rFonts w:ascii="Verdana" w:eastAsia="Times New Roman" w:hAnsi="Verdana" w:cs="Arial"/>
          <w:bCs/>
          <w:i/>
          <w:lang w:val="es-ES" w:eastAsia="es-CO"/>
        </w:rPr>
        <w:t>i</w:t>
      </w:r>
      <w:r w:rsidRPr="00447D82">
        <w:rPr>
          <w:rFonts w:ascii="Verdana" w:eastAsia="Times New Roman" w:hAnsi="Verdana" w:cs="Arial"/>
          <w:bCs/>
          <w:i/>
          <w:lang w:val="es-ES" w:eastAsia="es-CO"/>
        </w:rPr>
        <w:t>dem</w:t>
      </w:r>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48510965" w14:textId="77777777" w:rsidR="00BE4455" w:rsidRDefault="00BE4455" w:rsidP="00BE445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67E248F2" w14:textId="77777777" w:rsidR="00BE4455" w:rsidRPr="00D07CEE" w:rsidRDefault="00BE4455" w:rsidP="00BE4455">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Asimismo,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w:t>
      </w:r>
      <w:r w:rsidRPr="00894384">
        <w:rPr>
          <w:rFonts w:ascii="Verdana" w:eastAsia="Times New Roman" w:hAnsi="Verdana" w:cs="Arial"/>
          <w:bCs/>
          <w:lang w:val="es-MX" w:eastAsia="es-CO"/>
        </w:rPr>
        <w:lastRenderedPageBreak/>
        <w:t>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r>
        <w:rPr>
          <w:rFonts w:ascii="Verdana" w:eastAsia="Times New Roman" w:hAnsi="Verdana" w:cs="Arial"/>
          <w:bCs/>
          <w:lang w:val="es-MX" w:eastAsia="es-CO"/>
        </w:rPr>
        <w:t>Al respecto, l</w:t>
      </w:r>
      <w:r w:rsidRPr="00E2397D">
        <w:rPr>
          <w:rFonts w:ascii="Verdana" w:eastAsia="Arial" w:hAnsi="Verdana" w:cs="Arial"/>
          <w:lang w:val="es-ES" w:eastAsia="es-ES" w:bidi="es-ES"/>
        </w:rPr>
        <w:t>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6F156346" w14:textId="77777777" w:rsidR="00BE4455" w:rsidRPr="00E2397D" w:rsidRDefault="00BE4455" w:rsidP="00BE4455">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228E5BD5" w14:textId="77777777" w:rsidR="00BE4455" w:rsidRPr="00E2397D" w:rsidRDefault="00BE4455" w:rsidP="00BE4455">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9" w:name="_Hlk76109421"/>
      <w:r w:rsidRPr="00E2397D">
        <w:rPr>
          <w:rFonts w:ascii="Verdana" w:eastAsia="Arial" w:hAnsi="Verdana" w:cs="Arial"/>
          <w:sz w:val="20"/>
          <w:szCs w:val="20"/>
          <w:lang w:eastAsia="es-ES" w:bidi="es-ES"/>
        </w:rPr>
        <w:t>se integran parcialmente</w:t>
      </w:r>
      <w:bookmarkEnd w:id="9"/>
      <w:r w:rsidRPr="00E2397D">
        <w:rPr>
          <w:rFonts w:ascii="Verdana" w:eastAsia="Arial" w:hAnsi="Verdana" w:cs="Arial"/>
          <w:sz w:val="20"/>
          <w:szCs w:val="20"/>
          <w:lang w:eastAsia="es-ES" w:bidi="es-ES"/>
        </w:rPr>
        <w:t>,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Presidente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4A65C754" w14:textId="77777777" w:rsidR="00BE4455" w:rsidRPr="00E2397D" w:rsidRDefault="00BE4455" w:rsidP="00BE4455">
      <w:pPr>
        <w:widowControl w:val="0"/>
        <w:autoSpaceDE w:val="0"/>
        <w:autoSpaceDN w:val="0"/>
        <w:spacing w:after="0" w:line="276" w:lineRule="auto"/>
        <w:contextualSpacing/>
        <w:rPr>
          <w:rFonts w:ascii="Verdana" w:eastAsia="Arial" w:hAnsi="Verdana" w:cs="Arial"/>
          <w:lang w:val="es-ES" w:eastAsia="es-ES" w:bidi="es-ES"/>
        </w:rPr>
      </w:pPr>
    </w:p>
    <w:p w14:paraId="3D9CD043" w14:textId="77777777" w:rsidR="00BE4455" w:rsidRPr="00E2397D" w:rsidRDefault="00BE4455" w:rsidP="00BE4455">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10" w:name="_Hlk77236420"/>
      <w:bookmarkStart w:id="11" w:name="_Hlk78818435"/>
      <w:bookmarkStart w:id="12"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convenios </w:t>
      </w:r>
      <w:r w:rsidRPr="00E2397D">
        <w:rPr>
          <w:rFonts w:ascii="Verdana" w:eastAsia="Arial" w:hAnsi="Verdana" w:cs="Arial"/>
          <w:lang w:val="es-ES" w:eastAsia="es-ES" w:bidi="es-ES"/>
        </w:rPr>
        <w:lastRenderedPageBreak/>
        <w:t>interadministrativos que impliquen la ejecución de recursos públicos dentro de los cuatro (4) meses anteriores a la respectiva jornada de votaciones.</w:t>
      </w:r>
      <w:bookmarkEnd w:id="10"/>
    </w:p>
    <w:bookmarkEnd w:id="11"/>
    <w:p w14:paraId="43EE5FA6" w14:textId="77777777" w:rsidR="00BE4455" w:rsidRPr="00E2397D" w:rsidRDefault="00BE4455" w:rsidP="00BE4455">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2"/>
    <w:p w14:paraId="2AD83DD2" w14:textId="77777777" w:rsidR="00BE4455" w:rsidRDefault="00BE4455" w:rsidP="00BE4455">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Esto excepto para el Vicepresidente que no haya ejercido la presidencia o que la haya ejercido por un tiempo inferior a tres (3) meses durante el respectivo cuatrienio, en forma continua o discontinua, conforme al artículo 197 de la Constitución Política. </w:t>
      </w:r>
    </w:p>
    <w:p w14:paraId="44C864F3" w14:textId="77777777" w:rsidR="00BE4455" w:rsidRPr="00E2397D" w:rsidRDefault="00BE4455" w:rsidP="00BE4455">
      <w:pPr>
        <w:spacing w:after="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3" w:name="_Hlk78820161"/>
    </w:p>
    <w:p w14:paraId="56D598F1" w14:textId="77777777" w:rsidR="00BE4455" w:rsidRPr="0057193B" w:rsidRDefault="00BE4455" w:rsidP="00BE4455">
      <w:pPr>
        <w:spacing w:line="276" w:lineRule="auto"/>
        <w:jc w:val="both"/>
        <w:rPr>
          <w:rFonts w:ascii="Verdana" w:eastAsia="Times New Roman" w:hAnsi="Verdana" w:cs="Arial"/>
          <w:bCs/>
          <w:lang w:val="es-MX" w:eastAsia="es-CO"/>
        </w:rPr>
      </w:pPr>
      <w:r>
        <w:rPr>
          <w:rFonts w:ascii="Verdana" w:eastAsia="Arial" w:hAnsi="Verdana" w:cs="Arial"/>
          <w:lang w:val="es-ES" w:eastAsia="es-ES" w:bidi="es-ES"/>
        </w:rPr>
        <w:t>iii.</w:t>
      </w:r>
      <w:r w:rsidRPr="0057193B">
        <w:rPr>
          <w:rFonts w:ascii="Verdana" w:eastAsia="Arial" w:hAnsi="Verdana" w:cs="Arial"/>
          <w:lang w:val="es-ES" w:eastAsia="es-ES" w:bidi="es-ES"/>
        </w:rPr>
        <w:t xml:space="preserve"> </w:t>
      </w:r>
      <w:bookmarkEnd w:id="13"/>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5B592725" w14:textId="77777777" w:rsidR="00BE4455" w:rsidRPr="00817856" w:rsidRDefault="00BE4455" w:rsidP="00BE4455">
      <w:pPr>
        <w:spacing w:after="0" w:line="240" w:lineRule="auto"/>
        <w:ind w:left="708" w:right="709"/>
        <w:jc w:val="both"/>
        <w:rPr>
          <w:rFonts w:ascii="Verdana" w:eastAsia="Calibri" w:hAnsi="Verdana" w:cs="Arial"/>
          <w:sz w:val="20"/>
          <w:szCs w:val="20"/>
          <w:lang w:val="es-MX"/>
        </w:rPr>
      </w:pPr>
    </w:p>
    <w:p w14:paraId="063FAF3B" w14:textId="77777777" w:rsidR="00BE4455" w:rsidRDefault="00BE4455" w:rsidP="00BE4455">
      <w:pPr>
        <w:spacing w:after="0" w:line="240" w:lineRule="auto"/>
        <w:ind w:left="709" w:right="709"/>
        <w:jc w:val="both"/>
        <w:rPr>
          <w:rFonts w:ascii="Verdana" w:eastAsia="Calibri" w:hAnsi="Verdana" w:cs="Arial"/>
          <w:sz w:val="20"/>
          <w:szCs w:val="20"/>
          <w:lang w:val="es-MX"/>
        </w:rPr>
      </w:pPr>
      <w:r w:rsidRPr="00817856">
        <w:rPr>
          <w:rFonts w:ascii="Verdana" w:eastAsia="Calibri"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817856">
        <w:rPr>
          <w:rFonts w:ascii="Verdana" w:eastAsia="Calibri" w:hAnsi="Verdana" w:cs="Arial"/>
          <w:sz w:val="20"/>
          <w:szCs w:val="20"/>
          <w:lang w:val="es-MX"/>
        </w:rPr>
        <w:lastRenderedPageBreak/>
        <w:t>2, ley 1150 de 2007), y cumpliendo siempre los principios que rigen la contratación pública</w:t>
      </w:r>
      <w:r w:rsidRPr="00817856">
        <w:rPr>
          <w:rFonts w:ascii="Verdana" w:eastAsia="Times New Roman" w:hAnsi="Verdana" w:cs="Arial"/>
          <w:sz w:val="20"/>
          <w:szCs w:val="20"/>
          <w:vertAlign w:val="superscript"/>
          <w:lang w:eastAsia="es-CO"/>
        </w:rPr>
        <w:footnoteReference w:id="12"/>
      </w:r>
      <w:r w:rsidRPr="00817856">
        <w:rPr>
          <w:rFonts w:ascii="Verdana" w:eastAsia="Calibri" w:hAnsi="Verdana" w:cs="Arial"/>
          <w:sz w:val="20"/>
          <w:szCs w:val="20"/>
          <w:lang w:val="es-MX"/>
        </w:rPr>
        <w:t>.</w:t>
      </w:r>
    </w:p>
    <w:p w14:paraId="5432166A" w14:textId="77777777" w:rsidR="00BE4455" w:rsidRPr="00817856" w:rsidRDefault="00BE4455" w:rsidP="00BE4455">
      <w:pPr>
        <w:spacing w:after="0" w:line="240" w:lineRule="auto"/>
        <w:ind w:left="709" w:right="709"/>
        <w:jc w:val="both"/>
        <w:rPr>
          <w:rFonts w:ascii="Verdana" w:eastAsia="Calibri" w:hAnsi="Verdana" w:cs="Arial"/>
          <w:sz w:val="20"/>
          <w:szCs w:val="20"/>
          <w:lang w:val="es-MX"/>
        </w:rPr>
      </w:pPr>
    </w:p>
    <w:p w14:paraId="2092D240" w14:textId="77777777" w:rsidR="00BE4455" w:rsidRPr="00817856" w:rsidRDefault="00BE4455" w:rsidP="00BE4455">
      <w:pPr>
        <w:spacing w:after="0" w:line="240" w:lineRule="auto"/>
        <w:ind w:left="708" w:right="709"/>
        <w:jc w:val="both"/>
        <w:rPr>
          <w:rFonts w:ascii="Verdana" w:eastAsia="Calibri" w:hAnsi="Verdana" w:cs="Arial"/>
          <w:sz w:val="20"/>
          <w:szCs w:val="20"/>
          <w:lang w:val="es-MX"/>
        </w:rPr>
      </w:pPr>
      <w:r w:rsidRPr="00817856">
        <w:rPr>
          <w:rFonts w:ascii="Verdana" w:eastAsia="Calibri" w:hAnsi="Verdana" w:cs="Arial"/>
          <w:sz w:val="20"/>
          <w:szCs w:val="20"/>
          <w:lang w:val="es-MX"/>
        </w:rPr>
        <w:t>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817856">
        <w:rPr>
          <w:rFonts w:ascii="Verdana" w:eastAsia="Times New Roman" w:hAnsi="Verdana" w:cs="Arial"/>
          <w:sz w:val="20"/>
          <w:szCs w:val="20"/>
          <w:vertAlign w:val="superscript"/>
          <w:lang w:val="es-MX"/>
        </w:rPr>
        <w:footnoteReference w:id="13"/>
      </w:r>
      <w:r w:rsidRPr="00817856">
        <w:rPr>
          <w:rFonts w:ascii="Verdana" w:eastAsia="Times New Roman" w:hAnsi="Verdana" w:cs="Arial"/>
          <w:sz w:val="20"/>
          <w:szCs w:val="20"/>
          <w:vertAlign w:val="superscript"/>
          <w:lang w:val="es-MX"/>
        </w:rPr>
        <w:t>.</w:t>
      </w:r>
      <w:r w:rsidRPr="00817856">
        <w:rPr>
          <w:rFonts w:ascii="Verdana" w:eastAsia="Calibri"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817856">
        <w:rPr>
          <w:rFonts w:ascii="Verdana" w:eastAsia="Times New Roman" w:hAnsi="Verdana" w:cs="Arial"/>
          <w:sz w:val="20"/>
          <w:szCs w:val="20"/>
          <w:vertAlign w:val="superscript"/>
          <w:lang w:eastAsia="es-CO"/>
        </w:rPr>
        <w:footnoteReference w:id="14"/>
      </w:r>
      <w:r w:rsidRPr="00817856">
        <w:rPr>
          <w:rFonts w:ascii="Verdana" w:eastAsia="Calibri" w:hAnsi="Verdana" w:cs="Arial"/>
          <w:sz w:val="20"/>
          <w:szCs w:val="20"/>
          <w:lang w:val="es-MX"/>
        </w:rPr>
        <w:t xml:space="preserve"> .</w:t>
      </w:r>
    </w:p>
    <w:p w14:paraId="3B98B0C0" w14:textId="77777777" w:rsidR="00BE4455" w:rsidRPr="0057193B" w:rsidRDefault="00BE4455" w:rsidP="00BE4455">
      <w:pPr>
        <w:shd w:val="clear" w:color="auto" w:fill="FFFFFF"/>
        <w:spacing w:after="0" w:line="276" w:lineRule="auto"/>
        <w:ind w:firstLine="709"/>
        <w:jc w:val="both"/>
        <w:rPr>
          <w:rFonts w:ascii="Verdana" w:eastAsia="Times New Roman" w:hAnsi="Verdana" w:cs="Arial"/>
          <w:lang w:eastAsia="x-none"/>
        </w:rPr>
      </w:pPr>
    </w:p>
    <w:p w14:paraId="6BC184DF" w14:textId="77777777" w:rsidR="00BE4455" w:rsidRPr="0057193B" w:rsidRDefault="00BE4455" w:rsidP="00BE4455">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7A135805" w14:textId="77777777" w:rsidR="00BE4455" w:rsidRPr="0057193B" w:rsidRDefault="00BE4455" w:rsidP="00BE4455">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Pr>
          <w:rFonts w:ascii="Verdana" w:eastAsia="Times New Roman" w:hAnsi="Verdana" w:cs="Arial"/>
          <w:lang w:eastAsia="en-GB"/>
        </w:rPr>
        <w:t>”</w:t>
      </w:r>
      <w:r w:rsidRPr="0057193B">
        <w:rPr>
          <w:rFonts w:ascii="Verdana" w:eastAsia="Times New Roman" w:hAnsi="Verdana" w:cs="Arial"/>
          <w:lang w:eastAsia="x-none"/>
        </w:rPr>
        <w:t>, precisando el Consejo de Estad</w:t>
      </w:r>
      <w:r>
        <w:rPr>
          <w:rFonts w:ascii="Verdana" w:eastAsia="Times New Roman" w:hAnsi="Verdana" w:cs="Arial"/>
          <w:lang w:eastAsia="x-none"/>
        </w:rPr>
        <w:t>o –en el concepto citado– que, “</w:t>
      </w:r>
      <w:r w:rsidRPr="0057193B">
        <w:rPr>
          <w:rFonts w:ascii="Verdana" w:eastAsia="Times New Roman" w:hAnsi="Verdana" w:cs="Arial"/>
          <w:lang w:eastAsia="x-none"/>
        </w:rPr>
        <w:t xml:space="preserve">aun cuando no coincide única y exactamente con la regulación que de dicho sistema de selección hace el artículo 2º de la Ley 1150 de 2007, tampoco puede afirmarse que sea cualquier procedimiento de contratación distinto de la licitación pública, pues </w:t>
      </w:r>
      <w:r w:rsidRPr="0057193B">
        <w:rPr>
          <w:rFonts w:ascii="Verdana" w:eastAsia="Times New Roman" w:hAnsi="Verdana" w:cs="Arial"/>
          <w:lang w:eastAsia="x-none"/>
        </w:rPr>
        <w:lastRenderedPageBreak/>
        <w:t>esto sería tanto como desconocer que el legislador, no solo en el Estatuto 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Pr>
          <w:rFonts w:ascii="Verdana" w:eastAsia="Times New Roman" w:hAnsi="Verdana" w:cs="Arial"/>
          <w:lang w:eastAsia="en-GB"/>
        </w:rPr>
        <w:t>”</w:t>
      </w:r>
      <w:r w:rsidRPr="0057193B">
        <w:rPr>
          <w:rFonts w:ascii="Verdana" w:eastAsia="Times New Roman" w:hAnsi="Verdana" w:cs="Arial"/>
          <w:lang w:eastAsia="x-none"/>
        </w:rPr>
        <w:t xml:space="preserve">. </w:t>
      </w:r>
    </w:p>
    <w:p w14:paraId="53249F24" w14:textId="77777777" w:rsidR="00BE4455" w:rsidRPr="005154AE" w:rsidRDefault="00BE4455" w:rsidP="00BE4455">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w:t>
      </w:r>
      <w:r>
        <w:rPr>
          <w:rFonts w:ascii="Verdana" w:eastAsia="Times New Roman" w:hAnsi="Verdana" w:cs="Arial"/>
          <w:lang w:eastAsia="x-none"/>
        </w:rPr>
        <w:t>ue dicho sistema no constituye “contratación directa”</w:t>
      </w:r>
      <w:r w:rsidRPr="0057193B">
        <w:rPr>
          <w:rFonts w:ascii="Verdana" w:eastAsia="Times New Roman" w:hAnsi="Verdana" w:cs="Arial"/>
          <w:lang w:eastAsia="x-none"/>
        </w:rPr>
        <w:t>,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3EFA1480" w14:textId="77777777" w:rsidR="00BE4455" w:rsidRPr="0057193B" w:rsidRDefault="00BE4455" w:rsidP="00BE4455">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1AF145F9" w14:textId="77777777" w:rsidR="00BE4455" w:rsidRPr="0057193B" w:rsidRDefault="00BE4455" w:rsidP="00BE4455">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35162245" w14:textId="77777777" w:rsidR="00BE4455" w:rsidRPr="0057193B" w:rsidRDefault="00BE4455" w:rsidP="00BE4455">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 xml:space="preserve">De lo anterior se desprende que la restricción aplica, sin perjuicio de las excepciones establecidas en la misma ley, para celebrar cualquier contrato de </w:t>
      </w:r>
      <w:r w:rsidRPr="0057193B">
        <w:rPr>
          <w:rFonts w:ascii="Verdana" w:eastAsia="Times New Roman" w:hAnsi="Verdana" w:cs="Arial"/>
          <w:bCs/>
          <w:lang w:val="es-MX" w:eastAsia="x-none"/>
        </w:rPr>
        <w:lastRenderedPageBreak/>
        <w:t>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2D2D8F7A" w14:textId="77777777" w:rsidR="00BE4455" w:rsidRPr="0057193B" w:rsidRDefault="00BE4455" w:rsidP="00BE4455">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7E61010" w14:textId="77777777" w:rsidR="00BE4455" w:rsidRPr="0057193B" w:rsidRDefault="00BE4455" w:rsidP="00BE4455">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si bien la limitación garantiza la igualdad de condiciones, también es necesario que tal limitación que pretende la igualdad no termine yendo en detrimento de intereses públicos, cuya garantía está en cabeza del ejecutivo, como son los inmersos en 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0"/>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6003205C" w14:textId="77777777" w:rsidR="00BE4455" w:rsidRPr="0057193B" w:rsidRDefault="00BE4455" w:rsidP="00BE4455">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lastRenderedPageBreak/>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72FD4E7F" w14:textId="77777777" w:rsidR="00BE4455" w:rsidRPr="0057193B" w:rsidRDefault="00BE4455" w:rsidP="00BE4455">
      <w:pPr>
        <w:spacing w:after="0" w:line="276" w:lineRule="auto"/>
        <w:jc w:val="both"/>
        <w:rPr>
          <w:rFonts w:ascii="Verdana" w:eastAsia="Times New Roman" w:hAnsi="Verdana" w:cs="Arial"/>
          <w:bCs/>
          <w:lang w:val="es-MX" w:eastAsia="x-none"/>
        </w:rPr>
      </w:pPr>
    </w:p>
    <w:p w14:paraId="7AB95F9C" w14:textId="77777777" w:rsidR="00BE4455" w:rsidRPr="0057193B" w:rsidRDefault="00BE4455" w:rsidP="00BE4455">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1"/>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3495DF14" w14:textId="77777777" w:rsidR="00BE4455" w:rsidRPr="0057193B" w:rsidRDefault="00BE4455" w:rsidP="00BE4455">
      <w:pPr>
        <w:spacing w:after="0" w:line="276" w:lineRule="auto"/>
        <w:ind w:firstLine="708"/>
        <w:jc w:val="both"/>
        <w:rPr>
          <w:rFonts w:ascii="Verdana" w:eastAsia="Times New Roman" w:hAnsi="Verdana" w:cs="Arial"/>
          <w:bCs/>
          <w:lang w:val="es-MX" w:eastAsia="es-CO"/>
        </w:rPr>
      </w:pPr>
    </w:p>
    <w:p w14:paraId="749BE265" w14:textId="77777777" w:rsidR="00BE4455" w:rsidRPr="0057193B" w:rsidRDefault="00BE4455" w:rsidP="00BE4455">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2"/>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w:t>
      </w:r>
      <w:r w:rsidRPr="0057193B">
        <w:rPr>
          <w:rFonts w:ascii="Verdana" w:eastAsia="Calibri" w:hAnsi="Verdana" w:cs="Arial"/>
          <w:lang w:val="es-MX"/>
        </w:rPr>
        <w:lastRenderedPageBreak/>
        <w:t>realizó la siguiente distinción, retomando el pronunciamiento de la misma sala del 20 de febrero de 2006, citado anteriormente:</w:t>
      </w:r>
    </w:p>
    <w:p w14:paraId="1B493E9F" w14:textId="77777777" w:rsidR="00BE4455" w:rsidRPr="0057193B" w:rsidRDefault="00BE4455" w:rsidP="00BE4455">
      <w:pPr>
        <w:spacing w:after="0" w:line="276" w:lineRule="auto"/>
        <w:jc w:val="both"/>
        <w:rPr>
          <w:rFonts w:ascii="Verdana" w:eastAsia="Calibri" w:hAnsi="Verdana" w:cs="Arial"/>
          <w:lang w:val="es-MX"/>
        </w:rPr>
      </w:pPr>
    </w:p>
    <w:p w14:paraId="63F40C09" w14:textId="77777777" w:rsidR="00BE4455" w:rsidRPr="001924B7" w:rsidRDefault="00BE4455" w:rsidP="00BE4455">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47EB0E7" w14:textId="77777777" w:rsidR="00BE4455" w:rsidRPr="001924B7" w:rsidRDefault="00BE4455" w:rsidP="00BE4455">
      <w:pPr>
        <w:spacing w:after="0" w:line="240" w:lineRule="auto"/>
        <w:ind w:left="708" w:right="709"/>
        <w:jc w:val="both"/>
        <w:rPr>
          <w:rFonts w:ascii="Verdana" w:eastAsia="Calibri" w:hAnsi="Verdana" w:cs="Arial"/>
          <w:sz w:val="20"/>
          <w:szCs w:val="20"/>
          <w:lang w:val="es-MX"/>
        </w:rPr>
      </w:pPr>
    </w:p>
    <w:p w14:paraId="2B555C85" w14:textId="77777777" w:rsidR="00BE4455" w:rsidRPr="001924B7" w:rsidRDefault="00BE4455" w:rsidP="00BE4455">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3"/>
      </w:r>
      <w:r w:rsidRPr="001924B7">
        <w:rPr>
          <w:rFonts w:ascii="Verdana" w:eastAsia="Times New Roman" w:hAnsi="Verdana" w:cs="Arial"/>
          <w:bCs/>
          <w:sz w:val="20"/>
          <w:szCs w:val="20"/>
          <w:lang w:val="es-MX" w:eastAsia="x-none"/>
        </w:rPr>
        <w:t>.</w:t>
      </w:r>
    </w:p>
    <w:p w14:paraId="04CB228D" w14:textId="77777777" w:rsidR="00BE4455" w:rsidRPr="0057193B" w:rsidRDefault="00BE4455" w:rsidP="00BE4455">
      <w:pPr>
        <w:spacing w:after="0" w:line="276" w:lineRule="auto"/>
        <w:jc w:val="both"/>
        <w:rPr>
          <w:rFonts w:ascii="Verdana" w:eastAsia="Calibri" w:hAnsi="Verdana" w:cs="Arial"/>
          <w:lang w:val="es-MX"/>
        </w:rPr>
      </w:pPr>
    </w:p>
    <w:p w14:paraId="7FF93297" w14:textId="77777777" w:rsidR="00BE4455" w:rsidRPr="0057193B" w:rsidRDefault="00BE4455" w:rsidP="00BE4455">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establecimientos de crédito, las sociedades de servicios 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w:t>
      </w:r>
      <w:r w:rsidRPr="0057193B">
        <w:rPr>
          <w:rFonts w:ascii="Verdana" w:eastAsia="Calibri" w:hAnsi="Verdana" w:cs="Arial"/>
          <w:lang w:val="es-MX"/>
        </w:rPr>
        <w:lastRenderedPageBreak/>
        <w:t xml:space="preserve">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4"/>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1616D3FA" w14:textId="77777777" w:rsidR="00BE4455" w:rsidRDefault="00BE4455" w:rsidP="00BE4455">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04CEE0E3" w14:textId="77777777" w:rsidR="00BE4455" w:rsidRPr="00186DE9" w:rsidRDefault="00BE4455" w:rsidP="00BE4455">
      <w:pPr>
        <w:spacing w:after="120" w:line="276" w:lineRule="auto"/>
        <w:ind w:firstLine="709"/>
        <w:jc w:val="both"/>
        <w:rPr>
          <w:rFonts w:ascii="Verdana" w:eastAsia="Times New Roman" w:hAnsi="Verdana" w:cs="Arial"/>
          <w:bCs/>
          <w:lang w:val="es-MX" w:eastAsia="x-none" w:bidi="es-ES"/>
        </w:rPr>
      </w:pPr>
      <w:r w:rsidRPr="00186DE9">
        <w:rPr>
          <w:rFonts w:ascii="Verdana" w:eastAsia="Times New Roman" w:hAnsi="Verdana" w:cs="Arial"/>
          <w:bCs/>
          <w:lang w:val="es-MX" w:eastAsia="x-none"/>
        </w:rPr>
        <w:t xml:space="preserve"> En este sentido, todos los entes del Estado, independiente del régimen jurídico aplicable, están sujetos a la restricción del artículo 33 de la Ley 996 de 2005, es decir, no podrán adelantar sistema que implique contratación directa respecto de </w:t>
      </w:r>
      <w:r w:rsidRPr="00186DE9">
        <w:rPr>
          <w:rFonts w:ascii="Verdana" w:eastAsia="Times New Roman" w:hAnsi="Verdana" w:cs="Arial"/>
          <w:bCs/>
          <w:lang w:val="es-MX" w:eastAsia="x-none" w:bidi="es-ES"/>
        </w:rPr>
        <w:t xml:space="preserve">las elecciones presidenciales, dentro de los cuatro (4) meses anteriores a la celebración de los comicios, salvo las excepciones dispuestas en esta. </w:t>
      </w:r>
      <w:r w:rsidRPr="00186DE9">
        <w:rPr>
          <w:rFonts w:ascii="Verdana" w:eastAsia="Times New Roman" w:hAnsi="Verdana" w:cs="Arial"/>
          <w:bCs/>
          <w:lang w:val="es-MX" w:eastAsia="x-none"/>
        </w:rPr>
        <w:t>En efecto, los entes del Estado independiente de su régimen especial no podrán celebrar contratos de forma directa desde el 31 de enero de 2026, teniendo en cuenta que la Resolución 02580 del 5 de marzo de 2025 de la Registraduría Nacional del Estado Civil dispuso que las elecciones presidenciales se celebrarán el 31 de mayo de 2026.</w:t>
      </w:r>
    </w:p>
    <w:p w14:paraId="0F960762" w14:textId="77777777" w:rsidR="00BE4455" w:rsidRPr="00A63F17" w:rsidRDefault="00BE4455" w:rsidP="00BE4455">
      <w:pPr>
        <w:spacing w:after="120" w:line="276" w:lineRule="auto"/>
        <w:ind w:firstLine="709"/>
        <w:jc w:val="both"/>
        <w:rPr>
          <w:rFonts w:ascii="Verdana" w:eastAsia="Times New Roman" w:hAnsi="Verdana" w:cs="Arial"/>
          <w:bCs/>
          <w:lang w:val="es-MX" w:eastAsia="x-none"/>
        </w:rPr>
      </w:pPr>
      <w:r w:rsidRPr="00355EA0">
        <w:rPr>
          <w:rFonts w:ascii="Verdana" w:eastAsia="Times New Roman" w:hAnsi="Verdana" w:cs="Arial"/>
          <w:bCs/>
          <w:lang w:val="es-MX" w:eastAsia="x-none" w:bidi="es-ES"/>
        </w:rPr>
        <w:t xml:space="preserve">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w:t>
      </w:r>
      <w:r w:rsidRPr="00355EA0">
        <w:rPr>
          <w:rFonts w:ascii="Verdana" w:eastAsia="Times New Roman" w:hAnsi="Verdana" w:cs="Arial"/>
          <w:bCs/>
          <w:lang w:val="es-MX" w:eastAsia="x-none" w:bidi="es-ES"/>
        </w:rPr>
        <w:lastRenderedPageBreak/>
        <w:t>la restricción se extenderá hasta la fecha en la que se realice la segunda vuelta</w:t>
      </w:r>
      <w:r>
        <w:rPr>
          <w:rFonts w:ascii="Verdana" w:eastAsia="Times New Roman" w:hAnsi="Verdana" w:cs="Arial"/>
          <w:bCs/>
          <w:lang w:val="es-MX" w:eastAsia="x-none" w:bidi="es-ES"/>
        </w:rPr>
        <w:t>, que, de acuerdo con lo expuesto, se celebraría el 21 de junio de 2026.</w:t>
      </w:r>
    </w:p>
    <w:p w14:paraId="09A606CF" w14:textId="77777777" w:rsidR="00BE4455" w:rsidRPr="003B7D6C" w:rsidRDefault="00BE4455" w:rsidP="00BE4455">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415FDC43" w14:textId="77777777" w:rsidR="00BE4455" w:rsidRDefault="00BE4455" w:rsidP="00BE4455">
      <w:pPr>
        <w:spacing w:after="120" w:line="276" w:lineRule="auto"/>
        <w:ind w:firstLine="709"/>
        <w:jc w:val="both"/>
        <w:rPr>
          <w:rFonts w:ascii="Verdana" w:eastAsia="Times New Roman" w:hAnsi="Verdana" w:cs="Arial"/>
          <w:bCs/>
          <w:lang w:val="es-MX" w:eastAsia="es-CO"/>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omo en otras oportunidades lo ha manifestado esta Agencia, que las prórrogas, modificaciones o adiciones de los contratos suscritos antes de la entrada en vigor de las prohibiciones anotadas, así como la cesión de</w:t>
      </w:r>
      <w:r>
        <w:rPr>
          <w:rFonts w:ascii="Verdana" w:eastAsia="Times New Roman" w:hAnsi="Verdana" w:cs="Arial"/>
          <w:bCs/>
          <w:lang w:val="es-MX" w:eastAsia="es-CO"/>
        </w:rPr>
        <w:t xml:space="preserve"> estos</w:t>
      </w:r>
      <w:r w:rsidRPr="0057193B">
        <w:rPr>
          <w:rFonts w:ascii="Verdana" w:eastAsia="Times New Roman"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5"/>
      </w:r>
      <w:r w:rsidRPr="0057193B">
        <w:rPr>
          <w:rFonts w:ascii="Verdana" w:eastAsia="Times New Roman" w:hAnsi="Verdana" w:cs="Arial"/>
          <w:bCs/>
          <w:lang w:val="es-MX" w:eastAsia="es-CO"/>
        </w:rPr>
        <w:t>. Además, también es posible que contratos celebrados previamente se continúen ejecutando con normalidad.</w:t>
      </w:r>
    </w:p>
    <w:p w14:paraId="1591BE80" w14:textId="77777777" w:rsidR="00BE4455" w:rsidRDefault="00BE4455" w:rsidP="00BE4455">
      <w:pPr>
        <w:spacing w:after="120" w:line="276" w:lineRule="auto"/>
        <w:jc w:val="both"/>
        <w:rPr>
          <w:rFonts w:ascii="Verdana" w:eastAsia="Times New Roman" w:hAnsi="Verdana" w:cs="Arial"/>
          <w:bCs/>
          <w:lang w:val="es-MX" w:eastAsia="es-CO"/>
        </w:rPr>
      </w:pPr>
    </w:p>
    <w:p w14:paraId="1345E4E8" w14:textId="77777777" w:rsidR="00BE4455" w:rsidRPr="00B57ED5" w:rsidRDefault="00BE4455" w:rsidP="00BE4455">
      <w:pPr>
        <w:spacing w:before="120" w:after="120" w:line="276" w:lineRule="auto"/>
        <w:jc w:val="both"/>
        <w:rPr>
          <w:rFonts w:ascii="Verdana" w:eastAsia="Calibri" w:hAnsi="Verdana" w:cs="Arial"/>
          <w:lang w:val="es-ES"/>
        </w:rPr>
      </w:pPr>
      <w:r w:rsidRPr="00021A39">
        <w:rPr>
          <w:rFonts w:ascii="Verdana" w:eastAsia="Times New Roman" w:hAnsi="Verdana" w:cs="Arial"/>
          <w:bCs/>
          <w:lang w:val="es-MX" w:eastAsia="es-CO"/>
        </w:rPr>
        <w:t xml:space="preserve">iv. </w:t>
      </w:r>
      <w:r w:rsidRPr="00021A39">
        <w:rPr>
          <w:rFonts w:ascii="Verdana" w:eastAsia="Calibri" w:hAnsi="Verdana" w:cs="Arial"/>
          <w:lang w:val="es-ES"/>
        </w:rPr>
        <w:t xml:space="preserve">En torno a la </w:t>
      </w:r>
      <w:r>
        <w:rPr>
          <w:rFonts w:ascii="Verdana" w:eastAsia="Calibri" w:hAnsi="Verdana" w:cs="Arial"/>
          <w:lang w:val="es-ES"/>
        </w:rPr>
        <w:t xml:space="preserve">contratación de los consulados y la posibilidad de aplicación de la Ley 996 de 2005 -Ley de Garantías Electorales- es pertinente revisar las funciones de estos organismos como dependencias del Ministerio de Relaciones Exteriores. Para ello, es pertinente señalar que el </w:t>
      </w:r>
      <w:r w:rsidRPr="00B57ED5">
        <w:rPr>
          <w:rFonts w:ascii="Verdana" w:eastAsia="Calibri" w:hAnsi="Verdana" w:cs="Arial"/>
          <w:lang w:val="es-ES"/>
        </w:rPr>
        <w:t>Ministerio de Relaciones Exteriores es el organismo rector del Sector Administrativo de Relaciones Exteriores y, bajo la dirección del Presidente de la República, tiene la responsabilidad de formular, coordinar, ejecutar y evaluar la política exterior de Colombia. También administra el servicio exterior y gestiona las relaciones internacionales del país, asegurando que estas respondan a los intereses nacionales y a los principios del Derecho Internacional.</w:t>
      </w:r>
    </w:p>
    <w:p w14:paraId="7B6B58CB" w14:textId="77777777" w:rsidR="00BE4455" w:rsidRPr="00B57ED5" w:rsidRDefault="00BE4455" w:rsidP="00BE4455">
      <w:pPr>
        <w:spacing w:before="120" w:after="120" w:line="276" w:lineRule="auto"/>
        <w:ind w:firstLine="709"/>
        <w:jc w:val="both"/>
        <w:rPr>
          <w:rFonts w:ascii="Verdana" w:eastAsia="Calibri" w:hAnsi="Verdana" w:cs="Arial"/>
          <w:lang w:val="es-ES"/>
        </w:rPr>
      </w:pPr>
      <w:r w:rsidRPr="00B57ED5">
        <w:rPr>
          <w:rFonts w:ascii="Verdana" w:eastAsia="Calibri" w:hAnsi="Verdana" w:cs="Arial"/>
          <w:lang w:val="es-ES"/>
        </w:rPr>
        <w:lastRenderedPageBreak/>
        <w:t>Entre sus funciones principales</w:t>
      </w:r>
      <w:r>
        <w:rPr>
          <w:rFonts w:ascii="Verdana" w:eastAsia="Calibri" w:hAnsi="Verdana" w:cs="Arial"/>
          <w:lang w:val="es-ES"/>
        </w:rPr>
        <w:t xml:space="preserve"> reguladas en el Decreto 869 de 2016, “</w:t>
      </w:r>
      <w:r w:rsidRPr="00AA05E1">
        <w:rPr>
          <w:rFonts w:ascii="Verdana" w:eastAsia="Calibri" w:hAnsi="Verdana" w:cs="Arial"/>
        </w:rPr>
        <w:t>Por medio del cual se modifica la estructura del Ministerio de Relaciones Exteriores y se dictan otras disposiciones</w:t>
      </w:r>
      <w:r>
        <w:rPr>
          <w:rFonts w:ascii="Verdana" w:eastAsia="Calibri" w:hAnsi="Verdana" w:cs="Arial"/>
        </w:rPr>
        <w:t>”</w:t>
      </w:r>
      <w:r w:rsidRPr="00B57ED5">
        <w:rPr>
          <w:rFonts w:ascii="Verdana" w:eastAsia="Calibri" w:hAnsi="Verdana" w:cs="Arial"/>
          <w:lang w:val="es-ES"/>
        </w:rPr>
        <w:t xml:space="preserve"> se encuentran diseñar y proponer la política exterior, mantener relaciones con Estados y organismos internacionales, coordinar la acción del Estado en asuntos internacionales y participar en negociaciones de tratados y acuerdos. Además, articula políticas sectoriales con impacto internacional, fortalece la capacidad negociadora del país, orienta la cooperación internacional y participa en la formulación de la política de comercio exterior y de integración regional.</w:t>
      </w:r>
    </w:p>
    <w:p w14:paraId="603A4CA5" w14:textId="77777777" w:rsidR="00BE4455" w:rsidRDefault="00BE4455" w:rsidP="00BE4455">
      <w:pPr>
        <w:spacing w:before="120" w:after="120" w:line="276" w:lineRule="auto"/>
        <w:ind w:firstLine="709"/>
        <w:jc w:val="both"/>
        <w:rPr>
          <w:rFonts w:ascii="Verdana" w:eastAsia="Calibri" w:hAnsi="Verdana" w:cs="Arial"/>
          <w:lang w:val="es-ES"/>
        </w:rPr>
      </w:pPr>
      <w:r w:rsidRPr="00B57ED5">
        <w:rPr>
          <w:rFonts w:ascii="Verdana" w:eastAsia="Calibri" w:hAnsi="Verdana" w:cs="Arial"/>
          <w:lang w:val="es-ES"/>
        </w:rPr>
        <w:t xml:space="preserve">El Ministerio también administra la política migratoria, la integración y el desarrollo fronterizo, protege los derechos de los colombianos en el exterior, aplica el régimen de privilegios e inmunidades, tramita naturalizaciones y expide pasaportes. Asimismo, preside o coordina delegaciones internacionales cuando corresponde, actúa como Secretaría Técnica de la Comisión Asesora de Relaciones Exteriores y ejerce las demás funciones que le asignen la ley o el Presidente. </w:t>
      </w:r>
    </w:p>
    <w:p w14:paraId="379B3B2C" w14:textId="77777777" w:rsidR="00BE4455" w:rsidRPr="00AA05E1" w:rsidRDefault="00BE4455" w:rsidP="00BE4455">
      <w:pPr>
        <w:spacing w:before="120" w:after="120" w:line="276" w:lineRule="auto"/>
        <w:ind w:firstLine="709"/>
        <w:jc w:val="both"/>
        <w:rPr>
          <w:rFonts w:ascii="Verdana" w:eastAsia="Calibri" w:hAnsi="Verdana" w:cs="Arial"/>
          <w:lang w:val="es-ES_tradnl"/>
        </w:rPr>
      </w:pPr>
      <w:r w:rsidRPr="00AA05E1">
        <w:rPr>
          <w:rFonts w:ascii="Verdana" w:eastAsia="Calibri" w:hAnsi="Verdana" w:cs="Arial"/>
          <w:lang w:val="es-ES_tradnl"/>
        </w:rPr>
        <w:t xml:space="preserve">En el ejercicio de sus competencias, el Ministerio de Relaciones Exteriores opera </w:t>
      </w:r>
      <w:r>
        <w:rPr>
          <w:rFonts w:ascii="Verdana" w:eastAsia="Calibri" w:hAnsi="Verdana" w:cs="Arial"/>
          <w:lang w:val="es-ES_tradnl"/>
        </w:rPr>
        <w:t xml:space="preserve">mediante </w:t>
      </w:r>
      <w:r w:rsidRPr="00AA05E1">
        <w:rPr>
          <w:rFonts w:ascii="Verdana" w:eastAsia="Calibri" w:hAnsi="Verdana" w:cs="Arial"/>
          <w:lang w:val="es-ES_tradnl"/>
        </w:rPr>
        <w:t>diversas dependencias y misiones que desarrollan funciones y propósitos específicos. Estas estructuras constituyen manifestaciones de la desconcentración administrativa, orientadas a garantizar una gestión más eficiente, especializada y territorialmente articulada de los asuntos exteriores del Estado.</w:t>
      </w:r>
      <w:r>
        <w:rPr>
          <w:rFonts w:ascii="Verdana" w:eastAsia="Calibri" w:hAnsi="Verdana" w:cs="Arial"/>
          <w:lang w:val="es-ES_tradnl"/>
        </w:rPr>
        <w:t xml:space="preserve"> </w:t>
      </w:r>
      <w:r w:rsidRPr="00AA05E1">
        <w:rPr>
          <w:rFonts w:ascii="Verdana" w:eastAsia="Calibri" w:hAnsi="Verdana" w:cs="Arial"/>
          <w:lang w:val="es-ES_tradnl"/>
        </w:rPr>
        <w:t>Para estos efectos, la doctrina define la desconcentración como “[…]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w:t>
      </w:r>
      <w:r w:rsidRPr="00AA05E1">
        <w:rPr>
          <w:rFonts w:ascii="Verdana" w:eastAsia="Calibri" w:hAnsi="Verdana" w:cs="Arial"/>
          <w:vertAlign w:val="superscript"/>
          <w:lang w:val="es-ES_tradnl"/>
        </w:rPr>
        <w:footnoteReference w:id="26"/>
      </w:r>
      <w:r w:rsidRPr="00AA05E1">
        <w:rPr>
          <w:rFonts w:ascii="Verdana" w:eastAsia="Calibri" w:hAnsi="Verdana" w:cs="Arial"/>
          <w:lang w:val="es-ES_tradnl"/>
        </w:rPr>
        <w:t>. En otras palabras, se trata de una atribución que tiene el superior jerárquico para repartir algunas competencias entre los subalternos, sin que les otorgue autonomía en el cumplimiento de sus funciones; razón por la cual, implica una adecuada distribución del trabajo en la que el titular de las funciones conserva la dirección y el control de las tareas asignadas</w:t>
      </w:r>
      <w:r w:rsidRPr="00AA05E1">
        <w:rPr>
          <w:rFonts w:ascii="Verdana" w:eastAsia="Calibri" w:hAnsi="Verdana" w:cs="Arial"/>
          <w:vertAlign w:val="superscript"/>
          <w:lang w:val="es-ES_tradnl"/>
        </w:rPr>
        <w:footnoteReference w:id="27"/>
      </w:r>
      <w:r w:rsidRPr="00AA05E1">
        <w:rPr>
          <w:rFonts w:ascii="Verdana" w:eastAsia="Calibri" w:hAnsi="Verdana" w:cs="Arial"/>
          <w:lang w:val="es-ES_tradnl"/>
        </w:rPr>
        <w:t xml:space="preserve">. </w:t>
      </w:r>
    </w:p>
    <w:p w14:paraId="5939C9AB" w14:textId="77777777" w:rsidR="00BE4455" w:rsidRDefault="00BE4455" w:rsidP="00BE4455">
      <w:pPr>
        <w:spacing w:before="120" w:after="120" w:line="276" w:lineRule="auto"/>
        <w:ind w:firstLine="709"/>
        <w:jc w:val="both"/>
        <w:rPr>
          <w:rFonts w:ascii="Verdana" w:eastAsia="Calibri" w:hAnsi="Verdana" w:cs="Arial"/>
        </w:rPr>
      </w:pPr>
      <w:r>
        <w:rPr>
          <w:rFonts w:ascii="Verdana" w:eastAsia="Calibri" w:hAnsi="Verdana" w:cs="Arial"/>
          <w:lang w:val="es-ES"/>
        </w:rPr>
        <w:lastRenderedPageBreak/>
        <w:t xml:space="preserve">En el marco de la desconcentración administrativa, el Ministerio de Relaciones Exteriores en su estructura administrativa cuenta con Misiones Diplomáticas Acreditadas en el Exterior, como son Las </w:t>
      </w:r>
      <w:r w:rsidRPr="009B6FCF">
        <w:rPr>
          <w:rFonts w:ascii="Verdana" w:eastAsia="Calibri" w:hAnsi="Verdana" w:cs="Arial"/>
        </w:rPr>
        <w:t>Misiones Permanentes ante Organismos Internacionales Multilaterales y Regionales</w:t>
      </w:r>
      <w:r>
        <w:rPr>
          <w:rFonts w:ascii="Verdana" w:eastAsia="Calibri" w:hAnsi="Verdana" w:cs="Arial"/>
        </w:rPr>
        <w:t xml:space="preserve">, </w:t>
      </w:r>
      <w:r w:rsidRPr="009B6FCF">
        <w:rPr>
          <w:rFonts w:ascii="Verdana" w:eastAsia="Calibri" w:hAnsi="Verdana" w:cs="Arial"/>
        </w:rPr>
        <w:t>Embajadas</w:t>
      </w:r>
      <w:r>
        <w:rPr>
          <w:rFonts w:ascii="Verdana" w:eastAsia="Calibri" w:hAnsi="Verdana" w:cs="Arial"/>
        </w:rPr>
        <w:t xml:space="preserve"> y </w:t>
      </w:r>
      <w:r w:rsidRPr="009B6FCF">
        <w:rPr>
          <w:rFonts w:ascii="Verdana" w:eastAsia="Calibri" w:hAnsi="Verdana" w:cs="Arial"/>
        </w:rPr>
        <w:t>Consulados.</w:t>
      </w:r>
      <w:r>
        <w:rPr>
          <w:rFonts w:ascii="Verdana" w:eastAsia="Calibri" w:hAnsi="Verdana" w:cs="Arial"/>
        </w:rPr>
        <w:t xml:space="preserve"> Estos últimos como oficinas </w:t>
      </w:r>
      <w:r w:rsidRPr="00863A7F">
        <w:rPr>
          <w:rFonts w:ascii="Verdana" w:eastAsia="Calibri" w:hAnsi="Verdana" w:cs="Arial"/>
        </w:rPr>
        <w:t xml:space="preserve">del Ministerio de Relaciones Exteriores </w:t>
      </w:r>
      <w:r>
        <w:rPr>
          <w:rFonts w:ascii="Verdana" w:eastAsia="Calibri" w:hAnsi="Verdana" w:cs="Arial"/>
        </w:rPr>
        <w:t xml:space="preserve">o de la Cancillería </w:t>
      </w:r>
      <w:r w:rsidRPr="00863A7F">
        <w:rPr>
          <w:rFonts w:ascii="Verdana" w:eastAsia="Calibri" w:hAnsi="Verdana" w:cs="Arial"/>
        </w:rPr>
        <w:t>de</w:t>
      </w:r>
      <w:r>
        <w:rPr>
          <w:rFonts w:ascii="Verdana" w:eastAsia="Calibri" w:hAnsi="Verdana" w:cs="Arial"/>
        </w:rPr>
        <w:t xml:space="preserve">l </w:t>
      </w:r>
      <w:r w:rsidRPr="00863A7F">
        <w:rPr>
          <w:rFonts w:ascii="Verdana" w:eastAsia="Calibri" w:hAnsi="Verdana" w:cs="Arial"/>
        </w:rPr>
        <w:t>país establecidas en ciudades extranjeras, encargadas de proteger y asistir a sus ciudadanos en el exterior</w:t>
      </w:r>
      <w:r>
        <w:rPr>
          <w:rFonts w:ascii="Verdana" w:eastAsia="Calibri" w:hAnsi="Verdana" w:cs="Arial"/>
        </w:rPr>
        <w:t>. Dentro de las funciones principales de los Consulados el artículo 25 del Decreto 869 de 2016</w:t>
      </w:r>
      <w:r w:rsidRPr="00024E88">
        <w:rPr>
          <w:rFonts w:ascii="Verdana" w:eastAsia="Calibri" w:hAnsi="Verdana" w:cs="Arial"/>
          <w:vertAlign w:val="superscript"/>
        </w:rPr>
        <w:footnoteReference w:id="28"/>
      </w:r>
      <w:r>
        <w:rPr>
          <w:rFonts w:ascii="Verdana" w:eastAsia="Calibri" w:hAnsi="Verdana" w:cs="Arial"/>
        </w:rPr>
        <w:t xml:space="preserve"> </w:t>
      </w:r>
      <w:r w:rsidRPr="00024E88">
        <w:rPr>
          <w:rFonts w:ascii="Verdana" w:eastAsia="Calibri" w:hAnsi="Verdana" w:cs="Arial"/>
        </w:rPr>
        <w:t xml:space="preserve">se concentran en proteger y representar al Estado y a sus nacionales en el exterior, prestando asistencia jurídica, social y administrativa; expidiendo documentos como pasaportes y registros civiles; apoyando la promoción económica, cultural </w:t>
      </w:r>
      <w:r w:rsidRPr="00024E88">
        <w:rPr>
          <w:rFonts w:ascii="Verdana" w:eastAsia="Calibri" w:hAnsi="Verdana" w:cs="Arial"/>
        </w:rPr>
        <w:lastRenderedPageBreak/>
        <w:t>y turística del país; informando a la misión diplomática sobre asuntos migratorios y de servicios consulares; manteniendo registros actualizados de la comunidad colombiana; y actuando ante autoridades locales para salvaguardar los derechos fundamentales de los connacionales, todo dentro del marco del Derecho Internacional y las normas del Estado receptor</w:t>
      </w:r>
      <w:r>
        <w:rPr>
          <w:rFonts w:ascii="Verdana" w:eastAsia="Calibri" w:hAnsi="Verdana" w:cs="Arial"/>
        </w:rPr>
        <w:t>.</w:t>
      </w:r>
    </w:p>
    <w:p w14:paraId="18FA984A" w14:textId="77777777" w:rsidR="00BE4455" w:rsidRDefault="00BE4455" w:rsidP="00BE4455">
      <w:pPr>
        <w:spacing w:before="120" w:after="0" w:line="276" w:lineRule="auto"/>
        <w:ind w:firstLine="709"/>
        <w:jc w:val="both"/>
        <w:rPr>
          <w:rFonts w:ascii="Verdana" w:eastAsia="Calibri" w:hAnsi="Verdana" w:cs="Arial"/>
        </w:rPr>
      </w:pPr>
      <w:r w:rsidRPr="0049524E">
        <w:rPr>
          <w:rFonts w:ascii="Verdana" w:eastAsia="Calibri" w:hAnsi="Verdana" w:cs="Arial"/>
        </w:rPr>
        <w:t xml:space="preserve">En relación con la celebración de contratos por parte de los consulados y </w:t>
      </w:r>
      <w:r>
        <w:rPr>
          <w:rFonts w:ascii="Verdana" w:eastAsia="Calibri" w:hAnsi="Verdana" w:cs="Arial"/>
        </w:rPr>
        <w:t xml:space="preserve">demás </w:t>
      </w:r>
      <w:r w:rsidRPr="0049524E">
        <w:rPr>
          <w:rFonts w:ascii="Verdana" w:eastAsia="Calibri" w:hAnsi="Verdana" w:cs="Arial"/>
        </w:rPr>
        <w:t xml:space="preserve">misiones diplomáticas en el exterior, es importante señalar que, en principio, estos organismos no cuentan con </w:t>
      </w:r>
      <w:r>
        <w:rPr>
          <w:rFonts w:ascii="Verdana" w:eastAsia="Calibri" w:hAnsi="Verdana" w:cs="Arial"/>
        </w:rPr>
        <w:t xml:space="preserve">la </w:t>
      </w:r>
      <w:r w:rsidRPr="0049524E">
        <w:rPr>
          <w:rFonts w:ascii="Verdana" w:eastAsia="Calibri" w:hAnsi="Verdana" w:cs="Arial"/>
        </w:rPr>
        <w:t>competencia propia para suscribirlos. No obstante, la Resolución 5992 de 2005, expedida por este Ministerio, les delegó determinadas funciones, entre ellas la facultad de celebrar contratos. En ese sentido, el artículo 9° de la citada Resolución dispone:</w:t>
      </w:r>
    </w:p>
    <w:p w14:paraId="60B10953" w14:textId="77777777" w:rsidR="00BE4455" w:rsidRDefault="00BE4455" w:rsidP="00BE4455">
      <w:pPr>
        <w:spacing w:before="120" w:after="0" w:line="276" w:lineRule="auto"/>
        <w:ind w:firstLine="709"/>
        <w:jc w:val="both"/>
        <w:rPr>
          <w:rFonts w:ascii="Verdana" w:eastAsia="Calibri" w:hAnsi="Verdana" w:cs="Arial"/>
        </w:rPr>
      </w:pPr>
      <w:r>
        <w:rPr>
          <w:rFonts w:ascii="Verdana" w:eastAsia="Calibri" w:hAnsi="Verdana" w:cs="Arial"/>
        </w:rPr>
        <w:t xml:space="preserve"> </w:t>
      </w:r>
    </w:p>
    <w:p w14:paraId="02BFA912" w14:textId="77777777" w:rsidR="00BE4455" w:rsidRPr="0049524E" w:rsidRDefault="00BE4455" w:rsidP="00BE4455">
      <w:pPr>
        <w:spacing w:after="0" w:line="240" w:lineRule="auto"/>
        <w:ind w:left="709" w:right="709"/>
        <w:jc w:val="both"/>
        <w:rPr>
          <w:rFonts w:ascii="Verdana" w:eastAsia="Times New Roman" w:hAnsi="Verdana" w:cs="Times New Roman"/>
          <w:b/>
          <w:bCs/>
          <w:spacing w:val="2"/>
          <w:sz w:val="20"/>
          <w:szCs w:val="20"/>
          <w:lang w:eastAsia="es-CO"/>
        </w:rPr>
      </w:pPr>
      <w:bookmarkStart w:id="15" w:name="9"/>
      <w:r w:rsidRPr="0049524E">
        <w:rPr>
          <w:rFonts w:ascii="Verdana" w:eastAsia="Times New Roman" w:hAnsi="Verdana" w:cs="Times New Roman"/>
          <w:spacing w:val="2"/>
          <w:sz w:val="20"/>
          <w:szCs w:val="20"/>
          <w:lang w:eastAsia="es-CO"/>
        </w:rPr>
        <w:t>ARTÍCULO 9. DELEGACIÓN EN LOS JEFES DE MISIONES DIPLOMÁTICAS, EN LOS JEFES DE DELEGACIONES PERMANENTES Y EN LOS JEFES DE OFICINAS CONSULARES DE COLOMBIA EN EL EXTERIOR.</w:t>
      </w:r>
      <w:r w:rsidRPr="0049524E">
        <w:rPr>
          <w:rFonts w:ascii="Verdana" w:eastAsia="Times New Roman" w:hAnsi="Verdana" w:cs="Times New Roman"/>
          <w:b/>
          <w:bCs/>
          <w:spacing w:val="2"/>
          <w:sz w:val="20"/>
          <w:szCs w:val="20"/>
          <w:lang w:eastAsia="es-CO"/>
        </w:rPr>
        <w:t> </w:t>
      </w:r>
      <w:bookmarkEnd w:id="15"/>
      <w:r w:rsidRPr="0049524E">
        <w:rPr>
          <w:rFonts w:ascii="Verdana" w:eastAsia="Times New Roman" w:hAnsi="Verdana" w:cs="Times New Roman"/>
          <w:b/>
          <w:bCs/>
          <w:spacing w:val="2"/>
          <w:sz w:val="20"/>
          <w:szCs w:val="20"/>
          <w:lang w:eastAsia="es-CO"/>
        </w:rPr>
        <w:t>Deléguese en los jefes de Misiones Diplomáticas, en los jefes de Delegaciones Permanentes y en los jefes de Oficinas Consulares de Colombia en el exterior o quienes hagan sus veces, las siguientes funciones:</w:t>
      </w:r>
    </w:p>
    <w:p w14:paraId="0DC5CAF1" w14:textId="77777777" w:rsidR="00BE4455" w:rsidRPr="0049524E" w:rsidRDefault="00BE4455" w:rsidP="00BE445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1. Ordenar el gasto por objeto, alineado con el monto del rubro presupuestal así como el pago en nombre del ministerio de Relaciones Exteriores y de su Fondo Rotatorio de los gastos de sostenimiento, servicios y demás conceptos inherentes a la función diplomática y consular.</w:t>
      </w:r>
    </w:p>
    <w:p w14:paraId="78074A41" w14:textId="77777777" w:rsidR="00BE4455" w:rsidRPr="0049524E" w:rsidRDefault="00BE4455" w:rsidP="00BE4455">
      <w:pPr>
        <w:spacing w:after="0" w:line="240" w:lineRule="auto"/>
        <w:ind w:left="709" w:right="709"/>
        <w:jc w:val="both"/>
        <w:rPr>
          <w:rFonts w:ascii="Verdana" w:eastAsia="Times New Roman" w:hAnsi="Verdana" w:cs="Times New Roman"/>
          <w:b/>
          <w:bCs/>
          <w:i/>
          <w:iCs/>
          <w:spacing w:val="2"/>
          <w:sz w:val="20"/>
          <w:szCs w:val="20"/>
          <w:lang w:eastAsia="es-CO"/>
        </w:rPr>
      </w:pPr>
      <w:r w:rsidRPr="0049524E">
        <w:rPr>
          <w:rFonts w:ascii="Verdana" w:eastAsia="Times New Roman" w:hAnsi="Verdana" w:cs="Times New Roman"/>
          <w:b/>
          <w:bCs/>
          <w:i/>
          <w:iCs/>
          <w:spacing w:val="2"/>
          <w:sz w:val="20"/>
          <w:szCs w:val="20"/>
          <w:lang w:eastAsia="es-CO"/>
        </w:rPr>
        <w:t>2. Celebrar, terminar, modificar, adicionar prorrogar y supervisar los contratos, en nombre y representación del ministerio de Relaciones Exteriores y de su Fondo Rotatorio, con excepción de los contratos a ser celebrados y ejecutados en el territorio nacional.</w:t>
      </w:r>
    </w:p>
    <w:p w14:paraId="4AB89420" w14:textId="77777777" w:rsidR="00BE4455" w:rsidRPr="0049524E" w:rsidRDefault="00BE4455" w:rsidP="00BE445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3. Ejercer la representación judicial de los procesos ante las diferentes jurisdicciones, así como en las actuaciones extrajudiciales y administrativas en los cuales sean parte las Misiones Diplomáticas, Delegaciones Permanentes u Oficinas Consulares de Colombia en el exterior, para lo cual podrá otorgar poderes dentro de la jurisdicción de la Misión u Oficina consular.</w:t>
      </w:r>
    </w:p>
    <w:p w14:paraId="26177AD9" w14:textId="77777777" w:rsidR="00BE4455" w:rsidRPr="0049524E" w:rsidRDefault="00BE4455" w:rsidP="00BE445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 xml:space="preserve">4. Celebrar contratos con las personas nacionales o residenciadas de manera permanente en el país en el que se encuentra ubicada la respectiva misión u oficina consular; suscribir las modificaciones, adiciones, prórrogas, suspensiones temporales de los contratos y declarar la terminación y liquidación de los mismos, de acuerdo con las necesidades del servicio y con sujeción a la legislación laboral del país receptor, así como afiliar a los trabajadores locales al sistema de </w:t>
      </w:r>
      <w:r w:rsidRPr="0049524E">
        <w:rPr>
          <w:rFonts w:ascii="Verdana" w:eastAsia="Times New Roman" w:hAnsi="Verdana" w:cs="Times New Roman"/>
          <w:spacing w:val="2"/>
          <w:sz w:val="20"/>
          <w:szCs w:val="20"/>
          <w:lang w:eastAsia="es-CO"/>
        </w:rPr>
        <w:lastRenderedPageBreak/>
        <w:t>seguridad social que el país receptor imponga a los empleadores, dando aplicación y cabal cumplimiento a la Convención de Viena sobre Asuntos Diplomáticos de 1961, la Convención de Viena sobre Asuntos Consulares de 1963, el artículo </w:t>
      </w:r>
      <w:hyperlink r:id="rId14" w:anchor="88" w:history="1">
        <w:r w:rsidRPr="0049524E">
          <w:rPr>
            <w:rFonts w:ascii="Verdana" w:eastAsia="Times New Roman" w:hAnsi="Verdana" w:cs="Times New Roman"/>
            <w:spacing w:val="2"/>
            <w:sz w:val="20"/>
            <w:szCs w:val="20"/>
            <w:u w:val="single"/>
            <w:lang w:eastAsia="es-CO"/>
          </w:rPr>
          <w:t>88</w:t>
        </w:r>
      </w:hyperlink>
      <w:r w:rsidRPr="0049524E">
        <w:rPr>
          <w:rFonts w:ascii="Verdana" w:eastAsia="Times New Roman" w:hAnsi="Verdana" w:cs="Times New Roman"/>
          <w:spacing w:val="2"/>
          <w:sz w:val="20"/>
          <w:szCs w:val="20"/>
          <w:lang w:eastAsia="es-CO"/>
        </w:rPr>
        <w:t> del Decreto Ley 274 de 2000, el Artículo </w:t>
      </w:r>
      <w:hyperlink r:id="rId15" w:anchor="5" w:history="1">
        <w:r w:rsidRPr="0049524E">
          <w:rPr>
            <w:rFonts w:ascii="Verdana" w:eastAsia="Times New Roman" w:hAnsi="Verdana" w:cs="Times New Roman"/>
            <w:spacing w:val="2"/>
            <w:sz w:val="20"/>
            <w:szCs w:val="20"/>
            <w:u w:val="single"/>
            <w:lang w:eastAsia="es-CO"/>
          </w:rPr>
          <w:t>5o</w:t>
        </w:r>
      </w:hyperlink>
      <w:r w:rsidRPr="0049524E">
        <w:rPr>
          <w:rFonts w:ascii="Verdana" w:eastAsia="Times New Roman" w:hAnsi="Verdana" w:cs="Times New Roman"/>
          <w:spacing w:val="2"/>
          <w:sz w:val="20"/>
          <w:szCs w:val="20"/>
          <w:lang w:eastAsia="es-CO"/>
        </w:rPr>
        <w:t> del Decreto 2078 de 2004, el artículo </w:t>
      </w:r>
      <w:hyperlink r:id="rId16" w:anchor="1" w:history="1">
        <w:r w:rsidRPr="0049524E">
          <w:rPr>
            <w:rFonts w:ascii="Verdana" w:eastAsia="Times New Roman" w:hAnsi="Verdana" w:cs="Times New Roman"/>
            <w:spacing w:val="2"/>
            <w:sz w:val="20"/>
            <w:szCs w:val="20"/>
            <w:u w:val="single"/>
            <w:lang w:eastAsia="es-CO"/>
          </w:rPr>
          <w:t>1o</w:t>
        </w:r>
      </w:hyperlink>
      <w:r w:rsidRPr="0049524E">
        <w:rPr>
          <w:rFonts w:ascii="Verdana" w:eastAsia="Times New Roman" w:hAnsi="Verdana" w:cs="Times New Roman"/>
          <w:spacing w:val="2"/>
          <w:sz w:val="20"/>
          <w:szCs w:val="20"/>
          <w:lang w:eastAsia="es-CO"/>
        </w:rPr>
        <w:t> del Decreto 3357 de 2009 y el parágrafo del artículo </w:t>
      </w:r>
      <w:hyperlink r:id="rId17" w:anchor="1" w:history="1">
        <w:r w:rsidRPr="0049524E">
          <w:rPr>
            <w:rFonts w:ascii="Verdana" w:eastAsia="Times New Roman" w:hAnsi="Verdana" w:cs="Times New Roman"/>
            <w:spacing w:val="2"/>
            <w:sz w:val="20"/>
            <w:szCs w:val="20"/>
            <w:u w:val="single"/>
            <w:lang w:eastAsia="es-CO"/>
          </w:rPr>
          <w:t>1o</w:t>
        </w:r>
      </w:hyperlink>
      <w:r w:rsidRPr="0049524E">
        <w:rPr>
          <w:rFonts w:ascii="Verdana" w:eastAsia="Times New Roman" w:hAnsi="Verdana" w:cs="Times New Roman"/>
          <w:spacing w:val="2"/>
          <w:sz w:val="20"/>
          <w:szCs w:val="20"/>
          <w:lang w:eastAsia="es-CO"/>
        </w:rPr>
        <w:t> del Decreto 2348 de 2014 y demás normas que lo modifiquen, adicionen o deroguen.</w:t>
      </w:r>
    </w:p>
    <w:p w14:paraId="6DD0ADE5" w14:textId="77777777" w:rsidR="00BE4455" w:rsidRPr="0049524E" w:rsidRDefault="00BE4455" w:rsidP="00BE445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5. Ejercer las funciones de supervisión e interventoría de los contratos autorizados por el ministerio de Relaciones Exteriores, velando por el estricto cumplimiento del objeto contenido en los mismos, absteniéndose de asignar a los contratistas autorizados por el ministerio de Relaciones Exteriores, funciones que correspondan a personal de servicio exterior de la República y todas aquellas actividades que vayan en contra de la naturaleza de dichos contratos.</w:t>
      </w:r>
    </w:p>
    <w:p w14:paraId="79AC2CF0" w14:textId="77777777" w:rsidR="00BE4455" w:rsidRPr="0049524E" w:rsidRDefault="00BE4455" w:rsidP="00BE445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6. Posesionar a los funcionarios del ministerio de Relaciones Exteriores que hayan sido designados a prestar sus servicios en la Misión Diplomática, Delegación Permanente u Oficina Consular bajo su dirección.</w:t>
      </w:r>
    </w:p>
    <w:p w14:paraId="5D44F20A" w14:textId="77777777" w:rsidR="00BE4455" w:rsidRPr="0049524E" w:rsidRDefault="00BE4455" w:rsidP="00BE445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7. Acudir a los mecanismos alternativos de solución de controversias para dirimir los conflictos que se originen en desarrollo de la relación laboral, previa autorización del Comité de Conciliación del ministerio de Relaciones Exteriores y su Fondo Rotatorio.</w:t>
      </w:r>
    </w:p>
    <w:p w14:paraId="39065767" w14:textId="77777777" w:rsidR="00BE4455" w:rsidRPr="0049524E" w:rsidRDefault="00BE4455" w:rsidP="00BE445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8. Ordenar el gasto y los pagos de sentencias y acuerdos de conciliación judicial y extrajudicial, adelantadas en el territorio de la jurisdicción de la Misión que dirige, previa solicitud de exequátur de que trata el artículo </w:t>
      </w:r>
      <w:hyperlink r:id="rId18" w:anchor="605" w:history="1">
        <w:r w:rsidRPr="0049524E">
          <w:rPr>
            <w:rFonts w:ascii="Verdana" w:eastAsia="Times New Roman" w:hAnsi="Verdana" w:cs="Times New Roman"/>
            <w:spacing w:val="2"/>
            <w:sz w:val="20"/>
            <w:szCs w:val="20"/>
            <w:u w:val="single"/>
            <w:lang w:eastAsia="es-CO"/>
          </w:rPr>
          <w:t>605</w:t>
        </w:r>
      </w:hyperlink>
      <w:r w:rsidRPr="0049524E">
        <w:rPr>
          <w:rFonts w:ascii="Verdana" w:eastAsia="Times New Roman" w:hAnsi="Verdana" w:cs="Times New Roman"/>
          <w:spacing w:val="2"/>
          <w:sz w:val="20"/>
          <w:szCs w:val="20"/>
          <w:lang w:eastAsia="es-CO"/>
        </w:rPr>
        <w:t> y siguientes del Código General del Proceso.</w:t>
      </w:r>
    </w:p>
    <w:p w14:paraId="4353E83A" w14:textId="77777777" w:rsidR="00BE4455" w:rsidRPr="0049524E" w:rsidRDefault="00BE4455" w:rsidP="00BE4455">
      <w:pPr>
        <w:spacing w:after="0" w:line="240" w:lineRule="auto"/>
        <w:ind w:left="709" w:right="709"/>
        <w:jc w:val="both"/>
        <w:rPr>
          <w:rFonts w:ascii="Verdana" w:eastAsia="Times New Roman" w:hAnsi="Verdana" w:cs="Times New Roman"/>
          <w:spacing w:val="2"/>
          <w:sz w:val="20"/>
          <w:szCs w:val="20"/>
          <w:lang w:eastAsia="es-CO"/>
        </w:rPr>
      </w:pPr>
      <w:r w:rsidRPr="0049524E">
        <w:rPr>
          <w:rFonts w:ascii="Verdana" w:eastAsia="Times New Roman" w:hAnsi="Verdana" w:cs="Times New Roman"/>
          <w:spacing w:val="2"/>
          <w:sz w:val="20"/>
          <w:szCs w:val="20"/>
          <w:lang w:eastAsia="es-CO"/>
        </w:rPr>
        <w:t>9. Suscribir, previo visto bueno del (la) secretario(a) General, de acuerdo con las normas sobre el particular en el Estado receptor y en aquellos en los cuales tenga concurrencia, convenios para prácticas laborales ad honorem con las Instituciones extranjeras de Educación Superior, debidamente reconocidas y acreditadas por el Organismo competente en cada Estado, siempre que se encuentren dentro de su circunscripción.</w:t>
      </w:r>
      <w:r>
        <w:rPr>
          <w:rFonts w:ascii="Verdana" w:eastAsia="Times New Roman" w:hAnsi="Verdana" w:cs="Times New Roman"/>
          <w:spacing w:val="2"/>
          <w:sz w:val="20"/>
          <w:szCs w:val="20"/>
          <w:lang w:eastAsia="es-CO"/>
        </w:rPr>
        <w:t xml:space="preserve"> (énfasis fuera de texto). </w:t>
      </w:r>
    </w:p>
    <w:p w14:paraId="0500E2CC" w14:textId="77777777" w:rsidR="00BE4455" w:rsidRDefault="00BE4455" w:rsidP="00BE4455">
      <w:pPr>
        <w:spacing w:before="120" w:after="120" w:line="276" w:lineRule="auto"/>
        <w:ind w:firstLine="709"/>
        <w:jc w:val="both"/>
        <w:rPr>
          <w:rFonts w:ascii="Verdana" w:eastAsia="Calibri" w:hAnsi="Verdana" w:cs="Arial"/>
        </w:rPr>
      </w:pPr>
    </w:p>
    <w:p w14:paraId="0E096AE7" w14:textId="77777777" w:rsidR="00BE4455" w:rsidRDefault="00BE4455" w:rsidP="00BE4455">
      <w:pPr>
        <w:spacing w:before="120" w:after="120" w:line="276" w:lineRule="auto"/>
        <w:ind w:firstLine="709"/>
        <w:jc w:val="both"/>
        <w:rPr>
          <w:rFonts w:ascii="Verdana" w:eastAsia="Calibri" w:hAnsi="Verdana" w:cs="Arial"/>
        </w:rPr>
      </w:pPr>
      <w:r w:rsidRPr="006120A6">
        <w:rPr>
          <w:rFonts w:ascii="Verdana" w:eastAsia="Calibri" w:hAnsi="Verdana" w:cs="Arial"/>
        </w:rPr>
        <w:t>Del análisis del artículo se concluye que a los jefes de Misiones Diplomáticas, de Delegaciones Permanentes y de Oficinas Consulares de Colombia en el exterior —o a quienes hagan sus veces— se les delegó la competencia para celebrar, modificar, adicionar, prorrogar, terminar y supervisar los contratos, en nombre y representación del Ministerio de Relaciones Exteriores y de su Fondo Rotatorio.</w:t>
      </w:r>
      <w:r>
        <w:rPr>
          <w:rFonts w:ascii="Verdana" w:eastAsia="Calibri" w:hAnsi="Verdana" w:cs="Arial"/>
        </w:rPr>
        <w:t xml:space="preserve"> </w:t>
      </w:r>
      <w:r w:rsidRPr="006120A6">
        <w:rPr>
          <w:rFonts w:ascii="Verdana" w:eastAsia="Calibri" w:hAnsi="Verdana" w:cs="Arial"/>
        </w:rPr>
        <w:t>Esta delegación no aplica a los contratos que se celebren y ejecuten en el territorio nacional, los cuales permanecen bajo la competencia de la autoridad correspondiente en Colombia.</w:t>
      </w:r>
      <w:r w:rsidRPr="0049524E">
        <w:rPr>
          <w:rFonts w:ascii="Verdana" w:eastAsia="Calibri" w:hAnsi="Verdana" w:cs="Arial"/>
        </w:rPr>
        <w:t xml:space="preserve"> </w:t>
      </w:r>
      <w:r>
        <w:rPr>
          <w:rFonts w:ascii="Verdana" w:eastAsia="Calibri" w:hAnsi="Verdana" w:cs="Arial"/>
        </w:rPr>
        <w:t xml:space="preserve"> </w:t>
      </w:r>
    </w:p>
    <w:p w14:paraId="1A56DBA3" w14:textId="77777777" w:rsidR="00BE4455" w:rsidRPr="00EA569D" w:rsidRDefault="00BE4455" w:rsidP="00BE4455">
      <w:pPr>
        <w:spacing w:before="120" w:after="120" w:line="276" w:lineRule="auto"/>
        <w:ind w:firstLine="709"/>
        <w:jc w:val="both"/>
        <w:rPr>
          <w:rFonts w:ascii="Verdana" w:eastAsia="Calibri" w:hAnsi="Verdana" w:cs="Arial"/>
          <w:lang w:val="es-ES"/>
        </w:rPr>
      </w:pPr>
      <w:r>
        <w:rPr>
          <w:rFonts w:ascii="Verdana" w:eastAsia="Calibri" w:hAnsi="Verdana" w:cs="Arial"/>
        </w:rPr>
        <w:lastRenderedPageBreak/>
        <w:t xml:space="preserve">Teniendo en cuenta estas precisiones sobre la competencia de los consulados para suscribir contratos, es necesario revisar el ámbito territorial del régimen de contratación aplicable, regulado en el artículo 13 de la Ley 80 de 1993, </w:t>
      </w:r>
      <w:bookmarkStart w:id="16" w:name="_Hlk99449078"/>
      <w:r>
        <w:rPr>
          <w:rFonts w:ascii="Verdana" w:eastAsia="Calibri" w:hAnsi="Verdana" w:cs="Arial"/>
        </w:rPr>
        <w:t xml:space="preserve">el cual </w:t>
      </w:r>
      <w:r w:rsidRPr="00EA569D">
        <w:rPr>
          <w:rFonts w:ascii="Verdana" w:eastAsia="Calibri" w:hAnsi="Verdana" w:cs="Arial"/>
          <w:lang w:val="es-ES"/>
        </w:rPr>
        <w:t>regula de forma general el régimen aplicable a los contratos que celebren las entidades referidas en el artículo segundo del estatuto, señalando en el inciso primero, como primer criterio, la aplicabilidad de las disposiciones civiles y comerciales nacionales, sin perjuicio de la aplicación prevalente de las contenidas en el Estatuto General de Contratación de la Administración Pública</w:t>
      </w:r>
      <w:r w:rsidRPr="00EA569D">
        <w:rPr>
          <w:rFonts w:ascii="Verdana" w:eastAsia="Calibri" w:hAnsi="Verdana" w:cs="Arial"/>
          <w:vertAlign w:val="superscript"/>
          <w:lang w:val="es-ES"/>
        </w:rPr>
        <w:footnoteReference w:id="29"/>
      </w:r>
      <w:r w:rsidRPr="00EA569D">
        <w:rPr>
          <w:rFonts w:ascii="Verdana" w:eastAsia="Calibri" w:hAnsi="Verdana" w:cs="Arial"/>
          <w:lang w:val="es-ES"/>
        </w:rPr>
        <w:t xml:space="preserve">. Sin embargo, en su segundo inciso, respecto a los contratos celebrados en el exterior, permite que su ejecución se realice de conformidad con las normas del país donde se hayan suscrito, salvo que deban cumplirse en Colombia, caso en el que se aplicaría el esquema señalado respecto al inciso primero. Por último, el inciso tercero permite que los contratos que se celebren en Colombia, pero deban ejecutarse o cumplirse en el extranjero, se sometan a la ley extranjera. </w:t>
      </w:r>
    </w:p>
    <w:bookmarkEnd w:id="16"/>
    <w:p w14:paraId="1134CD24" w14:textId="77777777" w:rsidR="00BE4455" w:rsidRDefault="00BE4455" w:rsidP="00BE4455">
      <w:pPr>
        <w:spacing w:before="120" w:after="0" w:line="276" w:lineRule="auto"/>
        <w:ind w:firstLine="709"/>
        <w:jc w:val="both"/>
        <w:rPr>
          <w:rFonts w:ascii="Verdana" w:eastAsia="Calibri" w:hAnsi="Verdana" w:cs="Arial"/>
          <w:lang w:val="es-ES"/>
        </w:rPr>
      </w:pPr>
      <w:r w:rsidRPr="00EA569D">
        <w:rPr>
          <w:rFonts w:ascii="Verdana" w:eastAsia="Calibri" w:hAnsi="Verdana" w:cs="Arial"/>
          <w:lang w:val="es-ES"/>
        </w:rPr>
        <w:t>Nótese cómo el artículo citado permite que las entidades estatales no se rijan siempre por la normativa colombiana, permitiendo, en algunos casos, la aplicación de la ley extranjera. Además de los supuestos anteriores, el Consejo de Estado explica, en general, los siguientes escenarios, en los cuales el régimen jurídico puede ser uno diferente al prescrito en el derecho nacional, pese a tratarse de contratos sometidos, en principio, a la Ley 80 de 1993:</w:t>
      </w:r>
      <w:r>
        <w:rPr>
          <w:rFonts w:ascii="Verdana" w:eastAsia="Calibri" w:hAnsi="Verdana" w:cs="Arial"/>
          <w:lang w:val="es-ES"/>
        </w:rPr>
        <w:t xml:space="preserve"> </w:t>
      </w:r>
    </w:p>
    <w:p w14:paraId="31AE9826" w14:textId="77777777" w:rsidR="00BE4455" w:rsidRPr="00EA569D" w:rsidRDefault="00BE4455" w:rsidP="00BE4455">
      <w:pPr>
        <w:spacing w:before="120" w:after="0" w:line="276" w:lineRule="auto"/>
        <w:ind w:firstLine="709"/>
        <w:jc w:val="both"/>
        <w:rPr>
          <w:rFonts w:ascii="Verdana" w:eastAsia="Calibri" w:hAnsi="Verdana" w:cs="Arial"/>
          <w:lang w:val="es-ES"/>
        </w:rPr>
      </w:pPr>
    </w:p>
    <w:p w14:paraId="120FBAE1" w14:textId="77777777" w:rsidR="00BE4455" w:rsidRPr="00EA569D" w:rsidRDefault="00BE4455" w:rsidP="00BE4455">
      <w:pPr>
        <w:spacing w:after="0" w:line="240" w:lineRule="auto"/>
        <w:ind w:left="709" w:right="709"/>
        <w:jc w:val="both"/>
        <w:rPr>
          <w:rFonts w:ascii="Verdana" w:eastAsia="Calibri" w:hAnsi="Verdana" w:cs="Arial"/>
          <w:sz w:val="20"/>
          <w:szCs w:val="20"/>
          <w:lang w:val="es-ES"/>
        </w:rPr>
      </w:pPr>
      <w:r w:rsidRPr="00EA569D">
        <w:rPr>
          <w:rFonts w:ascii="Verdana" w:eastAsia="Calibri" w:hAnsi="Verdana" w:cs="Arial"/>
          <w:sz w:val="20"/>
          <w:szCs w:val="20"/>
          <w:lang w:val="es-ES"/>
        </w:rPr>
        <w:t xml:space="preserve">“i) Contratos celebrados en el exterior, los cuales se podrán regir en su ejecución por las reglas del país donde se ha suscrito, salvo cuando su cumplimiento deba hacerse en Colombia, caso en el cual se aplicará la legislación nacional, ii) Contratos celebrados en territorio colombiano que deben ejecutarse o cumplirse en el extranjero, en tal caso podrá regirse bajo legislación foránea, salvo aquella parte que deba ejecutarse o cumplirse en Colombia, la cual se regirá por el derecho nacional, iii) a) los contratos financiados con fondos de organismos multilaterales de crédito y b) aquellos celebrados con personas extranjeras de derecho público u organismos de cooperación, asistencia o ayudas internacionales, los cuales ‘podrán someterse a los reglamentos de tales entidades en todo lo </w:t>
      </w:r>
      <w:r w:rsidRPr="00EA569D">
        <w:rPr>
          <w:rFonts w:ascii="Verdana" w:eastAsia="Calibri" w:hAnsi="Verdana" w:cs="Arial"/>
          <w:sz w:val="20"/>
          <w:szCs w:val="20"/>
          <w:lang w:val="es-ES"/>
        </w:rPr>
        <w:lastRenderedPageBreak/>
        <w:t>relacionado con procedimientos de formación y adjudicación y cláusulas especiales de ejecución, cumplimiento, pagos y ajustes’”</w:t>
      </w:r>
      <w:r w:rsidRPr="00EA569D">
        <w:rPr>
          <w:rFonts w:ascii="Verdana" w:eastAsia="Calibri" w:hAnsi="Verdana" w:cs="Arial"/>
          <w:sz w:val="20"/>
          <w:szCs w:val="20"/>
          <w:vertAlign w:val="superscript"/>
          <w:lang w:val="es-ES"/>
        </w:rPr>
        <w:footnoteReference w:id="30"/>
      </w:r>
      <w:r w:rsidRPr="00EA569D">
        <w:rPr>
          <w:rFonts w:ascii="Verdana" w:eastAsia="Calibri" w:hAnsi="Verdana" w:cs="Arial"/>
          <w:sz w:val="20"/>
          <w:szCs w:val="20"/>
          <w:lang w:val="es-ES"/>
        </w:rPr>
        <w:t xml:space="preserve">. </w:t>
      </w:r>
    </w:p>
    <w:p w14:paraId="008111C0" w14:textId="77777777" w:rsidR="00BE4455" w:rsidRPr="00021A39" w:rsidRDefault="00BE4455" w:rsidP="00BE4455">
      <w:pPr>
        <w:spacing w:before="120" w:after="120" w:line="276" w:lineRule="auto"/>
        <w:jc w:val="both"/>
        <w:rPr>
          <w:rFonts w:ascii="Verdana" w:eastAsia="Calibri" w:hAnsi="Verdana" w:cs="Arial"/>
        </w:rPr>
      </w:pPr>
    </w:p>
    <w:p w14:paraId="72929537" w14:textId="77777777" w:rsidR="00BE4455" w:rsidRPr="00021A39" w:rsidRDefault="00BE4455" w:rsidP="00BE4455">
      <w:pPr>
        <w:spacing w:before="120" w:after="120" w:line="276" w:lineRule="auto"/>
        <w:ind w:firstLine="708"/>
        <w:jc w:val="both"/>
        <w:rPr>
          <w:rFonts w:ascii="Verdana" w:eastAsia="Calibri" w:hAnsi="Verdana" w:cs="Arial"/>
          <w:lang w:val="es-ES"/>
        </w:rPr>
      </w:pPr>
      <w:r>
        <w:rPr>
          <w:rFonts w:ascii="Verdana" w:eastAsia="Calibri" w:hAnsi="Verdana" w:cs="Arial"/>
        </w:rPr>
        <w:t xml:space="preserve">A partir de lo expuesto y teniendo en cuenta las competencias que se delegaron mediante la </w:t>
      </w:r>
      <w:r w:rsidRPr="00C26C4E">
        <w:rPr>
          <w:rFonts w:ascii="Verdana" w:eastAsia="Calibri" w:hAnsi="Verdana" w:cs="Arial"/>
        </w:rPr>
        <w:t>Resolución 5992 de 2005</w:t>
      </w:r>
      <w:r>
        <w:rPr>
          <w:rFonts w:ascii="Verdana" w:eastAsia="Calibri" w:hAnsi="Verdana" w:cs="Arial"/>
        </w:rPr>
        <w:t xml:space="preserve"> por parte del Ministerio de Relaciones Exteriores a </w:t>
      </w:r>
      <w:r w:rsidRPr="006120A6">
        <w:rPr>
          <w:rFonts w:ascii="Verdana" w:eastAsia="Calibri" w:hAnsi="Verdana" w:cs="Arial"/>
        </w:rPr>
        <w:t>los jefes de Misiones Diplomáticas, de Delegaciones Permanentes y de Oficinas Consulares de Colombia en el exterior —o a quienes hagan sus veces—</w:t>
      </w:r>
      <w:r>
        <w:rPr>
          <w:rFonts w:ascii="Verdana" w:eastAsia="Calibri" w:hAnsi="Verdana" w:cs="Arial"/>
        </w:rPr>
        <w:t xml:space="preserve">solo para contratos que se celebran en el exterior, se constata que el régimen aplicable será el de exterior. </w:t>
      </w:r>
    </w:p>
    <w:p w14:paraId="7C734E19" w14:textId="77777777" w:rsidR="00BE4455" w:rsidRPr="003070D5" w:rsidRDefault="00BE4455" w:rsidP="00BE4455">
      <w:pPr>
        <w:spacing w:before="120" w:after="120" w:line="276" w:lineRule="auto"/>
        <w:ind w:firstLine="708"/>
        <w:jc w:val="both"/>
        <w:rPr>
          <w:rFonts w:ascii="Verdana" w:eastAsia="Calibri" w:hAnsi="Verdana" w:cs="Arial"/>
          <w:lang w:val="es-ES"/>
        </w:rPr>
      </w:pPr>
      <w:r>
        <w:rPr>
          <w:rFonts w:ascii="Verdana" w:eastAsia="Calibri" w:hAnsi="Verdana" w:cs="Arial"/>
          <w:lang w:val="es-ES"/>
        </w:rPr>
        <w:t>Ahora bien, l</w:t>
      </w:r>
      <w:r w:rsidRPr="003070D5">
        <w:rPr>
          <w:rFonts w:ascii="Verdana" w:eastAsia="Calibri" w:hAnsi="Verdana" w:cs="Arial"/>
          <w:lang w:val="es-ES"/>
        </w:rPr>
        <w:t>a celebración de convenios de asociación con entidades sin ánimo de lucro en el exterior exige un análisis previo sobre la territorialidad y el ámbito de aplicación del ordenamiento jurídico colombiano. Si bien la Ley 2136 de 2021 —que establece los lineamientos de la Política Integral Migratoria del Estado Colombiano— faculta a</w:t>
      </w:r>
      <w:r>
        <w:rPr>
          <w:rFonts w:ascii="Verdana" w:eastAsia="Calibri" w:hAnsi="Verdana" w:cs="Arial"/>
          <w:lang w:val="es-ES"/>
        </w:rPr>
        <w:t xml:space="preserve"> las autoridades nacionales</w:t>
      </w:r>
      <w:r w:rsidRPr="003070D5">
        <w:rPr>
          <w:rFonts w:ascii="Verdana" w:eastAsia="Calibri" w:hAnsi="Verdana" w:cs="Arial"/>
          <w:lang w:val="es-ES"/>
        </w:rPr>
        <w:t xml:space="preserve"> para desarrollar iniciativas, proyectos y estrategias orientadas a fortalecer el tejido social de la diáspora y mejorar su calidad de vida mediante servicios de formación, seguridad social, acceso al sistema financiero, convalidación de títulos y facilidades para el transporte de menaje, dicha habilitación debe interpretarse a la luz del contexto extraterritorial en el que actúan los consulados.</w:t>
      </w:r>
    </w:p>
    <w:p w14:paraId="6E8808D8" w14:textId="77777777" w:rsidR="00BE4455" w:rsidRPr="003070D5" w:rsidRDefault="00BE4455" w:rsidP="00BE4455">
      <w:pPr>
        <w:spacing w:before="120" w:after="120" w:line="276" w:lineRule="auto"/>
        <w:ind w:firstLine="708"/>
        <w:jc w:val="both"/>
        <w:rPr>
          <w:rFonts w:ascii="Verdana" w:eastAsia="Calibri" w:hAnsi="Verdana" w:cs="Arial"/>
          <w:lang w:val="es-ES"/>
        </w:rPr>
      </w:pPr>
      <w:r w:rsidRPr="003070D5">
        <w:rPr>
          <w:rFonts w:ascii="Verdana" w:eastAsia="Calibri" w:hAnsi="Verdana" w:cs="Arial"/>
          <w:lang w:val="es-ES"/>
        </w:rPr>
        <w:t xml:space="preserve">En efecto, para promover estas estrategias y articular proyectos sociales en beneficio de la comunidad </w:t>
      </w:r>
      <w:r>
        <w:rPr>
          <w:rFonts w:ascii="Verdana" w:eastAsia="Calibri" w:hAnsi="Verdana" w:cs="Arial"/>
          <w:lang w:val="es-ES"/>
        </w:rPr>
        <w:t>connacional que vive en el extranjero</w:t>
      </w:r>
      <w:r w:rsidRPr="003070D5">
        <w:rPr>
          <w:rFonts w:ascii="Verdana" w:eastAsia="Calibri" w:hAnsi="Verdana" w:cs="Arial"/>
          <w:lang w:val="es-ES"/>
        </w:rPr>
        <w:t>, los consulados operan en un entorno jurídico distinto al colombiano</w:t>
      </w:r>
      <w:r>
        <w:rPr>
          <w:rFonts w:ascii="Verdana" w:eastAsia="Calibri" w:hAnsi="Verdana" w:cs="Arial"/>
          <w:lang w:val="es-ES"/>
        </w:rPr>
        <w:t xml:space="preserve">, por lo que no es posible extender la regulación dispuesta en la Ley 80 de 1993 ni mucho menos lo dispuesto en el Decreto 092 de 2017, que remite al EGCAP en lo no regulado en este último. </w:t>
      </w:r>
      <w:r w:rsidRPr="00021A39">
        <w:rPr>
          <w:rFonts w:ascii="Verdana" w:eastAsia="Calibri" w:hAnsi="Verdana" w:cs="Arial"/>
          <w:lang w:val="es-ES"/>
        </w:rPr>
        <w:t xml:space="preserve">Esto implica que las disposiciones de la Ley 2136 y otras normas conexas se aplican a los consulados como órganos del Estado, pero su ejecución práctica requiere respetar las condiciones jurídicas del país receptor. </w:t>
      </w:r>
      <w:r w:rsidRPr="003070D5">
        <w:rPr>
          <w:rFonts w:ascii="Verdana" w:eastAsia="Calibri" w:hAnsi="Verdana" w:cs="Arial"/>
          <w:lang w:val="es-ES"/>
        </w:rPr>
        <w:t>Esto supone que la celebración de convenios con entidades sin ánimo de lucro en el exterior debe regirse por las reglas locales, tanto en materia contractual como en los requisitos de constitución, operación y supervisión de las organizaciones participantes.</w:t>
      </w:r>
    </w:p>
    <w:p w14:paraId="73C838BB" w14:textId="77777777" w:rsidR="00BE4455" w:rsidRDefault="00BE4455" w:rsidP="00BE4455">
      <w:pPr>
        <w:spacing w:before="120" w:after="120" w:line="276" w:lineRule="auto"/>
        <w:ind w:firstLine="708"/>
        <w:jc w:val="both"/>
        <w:rPr>
          <w:rFonts w:ascii="Verdana" w:eastAsia="Calibri" w:hAnsi="Verdana" w:cs="Arial"/>
          <w:lang w:val="es-ES"/>
        </w:rPr>
      </w:pPr>
      <w:r w:rsidRPr="003070D5">
        <w:rPr>
          <w:rFonts w:ascii="Verdana" w:eastAsia="Calibri" w:hAnsi="Verdana" w:cs="Arial"/>
          <w:lang w:val="es-ES"/>
        </w:rPr>
        <w:lastRenderedPageBreak/>
        <w:t xml:space="preserve">Bajo esta lógica, </w:t>
      </w:r>
      <w:r>
        <w:rPr>
          <w:rFonts w:ascii="Verdana" w:eastAsia="Calibri" w:hAnsi="Verdana" w:cs="Arial"/>
          <w:lang w:val="es-ES"/>
        </w:rPr>
        <w:t>l</w:t>
      </w:r>
      <w:r w:rsidRPr="00C26C4E">
        <w:rPr>
          <w:rFonts w:ascii="Verdana" w:eastAsia="Calibri" w:hAnsi="Verdana" w:cs="Arial"/>
          <w:lang w:val="es-ES"/>
        </w:rPr>
        <w:t>a restricción prevista en la Ley 996 de 2005 respecto a la imposibilidad de celebrar contratos de manera directa durante los cuatro meses previos a las elecciones presidenciales no resulta aplicable a los convenios que los consulados celebren en el exterior. Ello se debe a que el ámbito de aplicación de dicha ley se circunscribe a la contratación estatal sometida al régimen jurídico colombiano y ejecutada dentro del territorio nacional, lo que excluye los actos contractuales desarrollados íntegramente fuera del país.</w:t>
      </w:r>
      <w:r>
        <w:rPr>
          <w:rFonts w:ascii="Verdana" w:eastAsia="Calibri" w:hAnsi="Verdana" w:cs="Arial"/>
          <w:lang w:val="es-ES"/>
        </w:rPr>
        <w:t xml:space="preserve"> </w:t>
      </w:r>
      <w:r w:rsidRPr="00C26C4E">
        <w:rPr>
          <w:rFonts w:ascii="Verdana" w:eastAsia="Calibri" w:hAnsi="Verdana" w:cs="Arial"/>
          <w:lang w:val="es-ES"/>
        </w:rPr>
        <w:t>En consecuencia, los convenios suscritos por consulados con entidades sin ánimo de lucro en el exterior se rigen por las normas del país receptor y no por las restricciones propias de</w:t>
      </w:r>
      <w:r>
        <w:rPr>
          <w:rFonts w:ascii="Verdana" w:eastAsia="Calibri" w:hAnsi="Verdana" w:cs="Arial"/>
          <w:lang w:val="es-ES"/>
        </w:rPr>
        <w:t xml:space="preserve"> la Ley de Garantías E</w:t>
      </w:r>
      <w:r w:rsidRPr="00C26C4E">
        <w:rPr>
          <w:rFonts w:ascii="Verdana" w:eastAsia="Calibri" w:hAnsi="Verdana" w:cs="Arial"/>
          <w:lang w:val="es-ES"/>
        </w:rPr>
        <w:t xml:space="preserve">lectorales. </w:t>
      </w:r>
    </w:p>
    <w:p w14:paraId="63355E49" w14:textId="77777777" w:rsidR="00BE4455" w:rsidRDefault="00BE4455" w:rsidP="00BE4455">
      <w:pPr>
        <w:spacing w:before="120" w:after="120" w:line="276" w:lineRule="auto"/>
        <w:ind w:firstLine="708"/>
        <w:jc w:val="both"/>
        <w:rPr>
          <w:rFonts w:ascii="Verdana" w:eastAsia="Calibri" w:hAnsi="Verdana" w:cs="Arial"/>
          <w:lang w:val="es-ES"/>
        </w:rPr>
      </w:pPr>
      <w:r>
        <w:rPr>
          <w:rFonts w:ascii="Verdana" w:eastAsia="Calibri" w:hAnsi="Verdana" w:cs="Arial"/>
          <w:lang w:val="es-ES"/>
        </w:rPr>
        <w:t xml:space="preserve">De igual modo, se señala que no es posible aludir a la restricción de convenios interadministrativos para la ejecución de recursos públicos del artículo 38 de la Ley 996 de 2005 –Ley de Garantías Electorales- porque las entidades sin ánimo de lucro extranjeras no pueden considerarse como entidades públicas en el ordenamiento jurídico nacional. </w:t>
      </w:r>
      <w:r w:rsidRPr="00ED61D5">
        <w:rPr>
          <w:rFonts w:ascii="Verdana" w:eastAsia="Calibri" w:hAnsi="Verdana" w:cs="Arial"/>
          <w:lang w:val="es-ES"/>
        </w:rPr>
        <w:t>En</w:t>
      </w:r>
      <w:r>
        <w:rPr>
          <w:rFonts w:ascii="Verdana" w:eastAsia="Calibri" w:hAnsi="Verdana" w:cs="Arial"/>
          <w:lang w:val="es-ES"/>
        </w:rPr>
        <w:t xml:space="preserve"> tal sentido</w:t>
      </w:r>
      <w:r w:rsidRPr="00ED61D5">
        <w:rPr>
          <w:rFonts w:ascii="Verdana" w:eastAsia="Calibri" w:hAnsi="Verdana" w:cs="Arial"/>
          <w:lang w:val="es-ES"/>
        </w:rPr>
        <w:t>, no es jurídicamente válido extender dicha limitación a organizaciones privadas</w:t>
      </w:r>
      <w:r>
        <w:rPr>
          <w:rFonts w:ascii="Verdana" w:eastAsia="Calibri" w:hAnsi="Verdana" w:cs="Arial"/>
          <w:lang w:val="es-ES"/>
        </w:rPr>
        <w:t xml:space="preserve"> extranjeras</w:t>
      </w:r>
      <w:r w:rsidRPr="00ED61D5">
        <w:rPr>
          <w:rFonts w:ascii="Verdana" w:eastAsia="Calibri" w:hAnsi="Verdana" w:cs="Arial"/>
          <w:lang w:val="es-ES"/>
        </w:rPr>
        <w:t xml:space="preserve"> que, aunque puedan recibir recursos o participar en proyectos, no forman parte de la administración pública</w:t>
      </w:r>
      <w:r>
        <w:rPr>
          <w:rFonts w:ascii="Verdana" w:eastAsia="Calibri" w:hAnsi="Verdana" w:cs="Arial"/>
          <w:lang w:val="es-ES"/>
        </w:rPr>
        <w:t xml:space="preserve"> nacional</w:t>
      </w:r>
      <w:r w:rsidRPr="00ED61D5">
        <w:rPr>
          <w:rFonts w:ascii="Verdana" w:eastAsia="Calibri" w:hAnsi="Verdana" w:cs="Arial"/>
          <w:lang w:val="es-ES"/>
        </w:rPr>
        <w:t>.</w:t>
      </w:r>
      <w:r>
        <w:rPr>
          <w:rFonts w:ascii="Verdana" w:eastAsia="Calibri" w:hAnsi="Verdana" w:cs="Arial"/>
          <w:lang w:val="es-ES"/>
        </w:rPr>
        <w:t xml:space="preserve"> </w:t>
      </w:r>
    </w:p>
    <w:p w14:paraId="116EF635" w14:textId="77777777" w:rsidR="00BE4455" w:rsidRPr="00881848" w:rsidRDefault="00BE4455" w:rsidP="00BE4455">
      <w:pPr>
        <w:spacing w:before="120" w:after="120" w:line="276" w:lineRule="auto"/>
        <w:ind w:firstLine="708"/>
        <w:jc w:val="both"/>
        <w:rPr>
          <w:rFonts w:ascii="Verdana" w:eastAsia="Calibri" w:hAnsi="Verdana" w:cs="Arial"/>
          <w:lang w:val="es-ES"/>
        </w:rPr>
      </w:pPr>
      <w:r w:rsidRPr="001F7CD6">
        <w:rPr>
          <w:rFonts w:ascii="Verdana" w:eastAsia="Calibri" w:hAnsi="Verdana" w:cs="Arial"/>
          <w:lang w:val="es-ES"/>
        </w:rPr>
        <w:t>Así las cosas, la aplicación de la Ley 996 de 2005 se encuentra limitada por el principio de territorialidad del derecho interno, lo que impide extender sus restricciones a escenarios contractuales que, aunque impulsados por órganos del Estado colombiano, se desarrollan bajo la vigencia de un orde</w:t>
      </w:r>
      <w:r>
        <w:rPr>
          <w:rFonts w:ascii="Verdana" w:eastAsia="Calibri" w:hAnsi="Verdana" w:cs="Arial"/>
          <w:lang w:val="es-ES"/>
        </w:rPr>
        <w:t>namiento jurídico extranjero. Por tanto</w:t>
      </w:r>
      <w:r w:rsidRPr="001F7CD6">
        <w:rPr>
          <w:rFonts w:ascii="Verdana" w:eastAsia="Calibri" w:hAnsi="Verdana" w:cs="Arial"/>
          <w:lang w:val="es-ES"/>
        </w:rPr>
        <w:t>, las reglas de la Ley de Garantías Electorales solo pueden operar dentro del marco normativo nacional, sin que sea posible proyectarlas hacia relaciones jurídicas que se rigen por sistemas legales distintos, preservando así la coherencia y el alcance propio del derecho interno colombiano.</w:t>
      </w:r>
    </w:p>
    <w:p w14:paraId="68E80101" w14:textId="77777777" w:rsidR="00BE4455" w:rsidRPr="00C26C4E" w:rsidRDefault="00BE4455" w:rsidP="00BE4455">
      <w:pPr>
        <w:spacing w:after="120" w:line="276" w:lineRule="auto"/>
        <w:jc w:val="both"/>
        <w:rPr>
          <w:rFonts w:ascii="Verdana" w:eastAsia="Arial" w:hAnsi="Verdana" w:cs="Arial"/>
          <w:lang w:eastAsia="es-ES" w:bidi="es-ES"/>
        </w:rPr>
      </w:pPr>
    </w:p>
    <w:p w14:paraId="277B7495" w14:textId="77777777" w:rsidR="00BE4455" w:rsidRPr="005154AE" w:rsidRDefault="00BE4455" w:rsidP="00BE4455">
      <w:pPr>
        <w:spacing w:after="120" w:line="276" w:lineRule="auto"/>
        <w:jc w:val="both"/>
        <w:rPr>
          <w:rFonts w:ascii="Verdana" w:eastAsia="Arial" w:hAnsi="Verdana" w:cs="Arial"/>
          <w:bCs/>
          <w:color w:val="000000" w:themeColor="text1"/>
        </w:rPr>
      </w:pPr>
      <w:r>
        <w:rPr>
          <w:rFonts w:ascii="Verdana" w:eastAsia="Arial" w:hAnsi="Verdana" w:cs="Arial"/>
          <w:lang w:val="es-ES" w:eastAsia="es-ES" w:bidi="es-ES"/>
        </w:rPr>
        <w:t xml:space="preserve">iv. </w:t>
      </w:r>
      <w:r w:rsidRPr="00F4158D">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w:t>
      </w:r>
      <w:r>
        <w:rPr>
          <w:rFonts w:ascii="Verdana" w:eastAsia="Calibri" w:hAnsi="Verdana" w:cs="Arial"/>
          <w:bCs/>
          <w:color w:val="000000" w:themeColor="text1"/>
        </w:rPr>
        <w:t xml:space="preserve">las entidades públicas debe realizarse </w:t>
      </w:r>
      <w:r w:rsidRPr="00F4158D">
        <w:rPr>
          <w:rFonts w:ascii="Verdana" w:eastAsia="Calibri" w:hAnsi="Verdana" w:cs="Arial"/>
          <w:bCs/>
          <w:color w:val="000000" w:themeColor="text1"/>
        </w:rPr>
        <w:t xml:space="preserve">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w:t>
      </w:r>
      <w:r w:rsidRPr="00F4158D">
        <w:rPr>
          <w:rFonts w:ascii="Verdana" w:eastAsia="Calibri" w:hAnsi="Verdana" w:cs="Arial"/>
          <w:bCs/>
          <w:color w:val="000000" w:themeColor="text1"/>
        </w:rPr>
        <w:lastRenderedPageBreak/>
        <w:t>de situaciones particulares corresponde a los interesados adoptar la decisión correspondiente y, en caso de conflicto, a las autoridades judiciales, fiscales y disciplinarias.</w:t>
      </w:r>
    </w:p>
    <w:p w14:paraId="46343D36" w14:textId="77777777" w:rsidR="00BE4455" w:rsidRPr="00F4158D" w:rsidRDefault="00BE4455" w:rsidP="00BE4455">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5D1D2C96" w14:textId="77777777" w:rsidR="00BE4455" w:rsidRPr="00F4158D" w:rsidRDefault="00BE4455" w:rsidP="00BE4455">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43446CE1" w14:textId="77777777" w:rsidR="00BE4455" w:rsidRPr="00593A5F" w:rsidRDefault="00BE4455" w:rsidP="00BE44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593A5F">
        <w:rPr>
          <w:rFonts w:ascii="Verdana" w:eastAsia="Century Gothic" w:hAnsi="Verdana" w:cs="Century Gothic"/>
          <w:b/>
          <w:bCs/>
        </w:rPr>
        <w:t>:</w:t>
      </w:r>
    </w:p>
    <w:p w14:paraId="3311CD47" w14:textId="77777777" w:rsidR="00BE4455" w:rsidRPr="00593A5F" w:rsidRDefault="00BE4455" w:rsidP="00BE445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E4455" w:rsidRPr="002407CE" w14:paraId="7DE63E1A" w14:textId="77777777" w:rsidTr="008A7F7B">
        <w:trPr>
          <w:trHeight w:val="311"/>
          <w:jc w:val="center"/>
        </w:trPr>
        <w:tc>
          <w:tcPr>
            <w:tcW w:w="8647" w:type="dxa"/>
          </w:tcPr>
          <w:p w14:paraId="4CFCF8F4" w14:textId="77777777" w:rsidR="00BE4455" w:rsidRDefault="00BE4455" w:rsidP="008A7F7B">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Constitución Política de 1991, artículo 127, 190 y 197.</w:t>
            </w:r>
          </w:p>
          <w:p w14:paraId="1FE79284" w14:textId="77777777" w:rsidR="00BE4455" w:rsidRDefault="00BE4455" w:rsidP="008A7F7B">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80 de 1993, artículos 2, 13, 39 y 41.</w:t>
            </w:r>
          </w:p>
          <w:p w14:paraId="11EC9EAF" w14:textId="77777777" w:rsidR="00BE4455" w:rsidRDefault="00BE4455" w:rsidP="008A7F7B">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996 de 2005, artículos 33 y 38.</w:t>
            </w:r>
          </w:p>
          <w:p w14:paraId="3D90530D" w14:textId="77777777" w:rsidR="00BE4455" w:rsidRDefault="00BE4455" w:rsidP="008A7F7B">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2.</w:t>
            </w:r>
          </w:p>
          <w:p w14:paraId="64CEEB64" w14:textId="77777777" w:rsidR="00BE4455" w:rsidRPr="00566660" w:rsidRDefault="00BE4455" w:rsidP="008A7F7B">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566660">
              <w:rPr>
                <w:rFonts w:ascii="Verdana" w:hAnsi="Verdana" w:cs="Arial"/>
              </w:rPr>
              <w:t>Código Civil, artículos 31 y 1501.</w:t>
            </w:r>
            <w:r w:rsidRPr="00566660">
              <w:rPr>
                <w:rFonts w:ascii="Verdana" w:eastAsia="Calibri" w:hAnsi="Verdana" w:cs="Arial"/>
                <w:bCs/>
              </w:rPr>
              <w:t xml:space="preserve"> </w:t>
            </w:r>
          </w:p>
          <w:p w14:paraId="71295B14" w14:textId="77777777" w:rsidR="00BE4455" w:rsidRPr="00566660" w:rsidRDefault="00BE4455" w:rsidP="008A7F7B">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sidRPr="00566660">
              <w:rPr>
                <w:rFonts w:ascii="Verdana" w:eastAsia="Calibri" w:hAnsi="Verdana" w:cs="Arial"/>
                <w:bCs/>
              </w:rPr>
              <w:t xml:space="preserve">Resolución 5992 de 2015 del Ministerio de Relaciones Exteriores, artículo 9. </w:t>
            </w:r>
          </w:p>
          <w:p w14:paraId="5A9802DA" w14:textId="3AB6E107" w:rsidR="00BE4455" w:rsidRPr="00566660" w:rsidRDefault="00BE4455" w:rsidP="008A7F7B">
            <w:pPr>
              <w:pStyle w:val="Prrafodelista"/>
              <w:widowControl w:val="0"/>
              <w:numPr>
                <w:ilvl w:val="0"/>
                <w:numId w:val="17"/>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Decreto 869 de 2016, artículos 6 y 25</w:t>
            </w:r>
            <w:r w:rsidR="006A2093">
              <w:rPr>
                <w:rFonts w:ascii="Verdana" w:hAnsi="Verdana" w:cs="Arial"/>
              </w:rPr>
              <w:t>.</w:t>
            </w:r>
          </w:p>
          <w:p w14:paraId="14B25750" w14:textId="77777777" w:rsidR="00BE4455" w:rsidRPr="00566660" w:rsidRDefault="00BE4455" w:rsidP="008A7F7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 xml:space="preserve">Consejo de Estado, Sala de Consulta y Servicio Civil. Concepto de 20 de febrero de 2006. C.P. Enrique José Arboleda Perdomo. Rad. 1727. </w:t>
            </w:r>
          </w:p>
          <w:p w14:paraId="18CC640B" w14:textId="77777777" w:rsidR="00BE4455" w:rsidRPr="00566660" w:rsidRDefault="00BE4455" w:rsidP="008A7F7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Consejo de Estado. Sala de Consulta y Servicio Civil. Concepto de 6 de abril de 2006.C.P. Enrique José Arboleda Perdomo. Rad. 1738 “</w:t>
            </w:r>
          </w:p>
          <w:p w14:paraId="7426B483" w14:textId="77777777" w:rsidR="00BE4455" w:rsidRPr="00566660" w:rsidRDefault="00BE4455" w:rsidP="008A7F7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 xml:space="preserve">Consejo de Estado, Sala de Consulta y Servicio Civil. Concepto del 24 de julio de 2013. C. P. Álvaro Namén Vargas. Rad. 2166.  </w:t>
            </w:r>
          </w:p>
          <w:p w14:paraId="0BE8007A" w14:textId="77777777" w:rsidR="00BE4455" w:rsidRPr="00566660" w:rsidRDefault="00BE4455" w:rsidP="008A7F7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Consejo de Estado, Sala de Consulta y Servicio Civil. Concepto del 2 de septiembre de 2013. C.P. Álvaro Namén Vargas. Rad. 2168.</w:t>
            </w:r>
          </w:p>
          <w:p w14:paraId="5E66F799" w14:textId="77777777" w:rsidR="00BE4455" w:rsidRPr="00566660" w:rsidRDefault="00BE4455" w:rsidP="008A7F7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lastRenderedPageBreak/>
              <w:t>Consejo de Estado, Sala de Consulta y Servicio Civil. Concepto del 17 de febrero de 2015. C.P. William Zambrano Cetina. Rad. 2269.</w:t>
            </w:r>
          </w:p>
          <w:p w14:paraId="2F359A06" w14:textId="77777777" w:rsidR="00BE4455" w:rsidRPr="00566660" w:rsidRDefault="00BE4455" w:rsidP="008A7F7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 xml:space="preserve">Consejo de Estado. Sección Tercera, Subsección C. Sentencia del 26 de noviembre de 2015. C.P Jaime Orlando Santofimio Gamboa. Exp. 54.069. </w:t>
            </w:r>
          </w:p>
          <w:p w14:paraId="3662B22B" w14:textId="77777777" w:rsidR="00BE4455" w:rsidRPr="00566660" w:rsidRDefault="00BE4455" w:rsidP="008A7F7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Consejo de Estado, Sala de Consulta y Servicio Civil, Concepto de 8 de mayo de 2018. C.P. Álvaro Namén Vargas. Rad. 2382.</w:t>
            </w:r>
          </w:p>
          <w:p w14:paraId="0359FB3C" w14:textId="77777777" w:rsidR="00BE4455" w:rsidRPr="00566660" w:rsidRDefault="00BE4455" w:rsidP="008A7F7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Corte Constitucional, Sentencia C- 1153 de 2005, M.P. Marco Gerardo Monroy Cabra.</w:t>
            </w:r>
          </w:p>
          <w:p w14:paraId="2E07D795" w14:textId="77777777" w:rsidR="00BE4455" w:rsidRPr="00585673" w:rsidRDefault="00BE4455" w:rsidP="008A7F7B">
            <w:pPr>
              <w:pStyle w:val="Prrafodelista"/>
              <w:widowControl w:val="0"/>
              <w:numPr>
                <w:ilvl w:val="0"/>
                <w:numId w:val="17"/>
              </w:numPr>
              <w:autoSpaceDE w:val="0"/>
              <w:autoSpaceDN w:val="0"/>
              <w:spacing w:before="120" w:after="120" w:line="276" w:lineRule="auto"/>
              <w:contextualSpacing w:val="0"/>
              <w:jc w:val="both"/>
              <w:rPr>
                <w:rFonts w:ascii="Verdana" w:hAnsi="Verdana" w:cs="Arial"/>
              </w:rPr>
            </w:pPr>
            <w:r w:rsidRPr="00566660">
              <w:rPr>
                <w:rFonts w:ascii="Verdana" w:hAnsi="Verdana" w:cs="Arial"/>
              </w:rPr>
              <w:t xml:space="preserve">HERNÁNDEZ, Pedro Alfonso. Descentralización, desconcentración y delegación en Colombia. Bogotá: Legis, 1999. </w:t>
            </w:r>
          </w:p>
        </w:tc>
      </w:tr>
    </w:tbl>
    <w:p w14:paraId="04E95686" w14:textId="77777777" w:rsidR="00BE4455" w:rsidRPr="002407CE" w:rsidRDefault="00BE4455" w:rsidP="00BE4455">
      <w:pPr>
        <w:widowControl w:val="0"/>
        <w:autoSpaceDE w:val="0"/>
        <w:autoSpaceDN w:val="0"/>
        <w:spacing w:after="0" w:line="276" w:lineRule="auto"/>
        <w:jc w:val="both"/>
        <w:rPr>
          <w:rFonts w:ascii="Verdana" w:hAnsi="Verdana" w:cs="Arial"/>
        </w:rPr>
      </w:pPr>
    </w:p>
    <w:p w14:paraId="06A8F586" w14:textId="77777777" w:rsidR="00BE4455" w:rsidRPr="00593A5F" w:rsidRDefault="00BE4455" w:rsidP="00BE4455">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1ADFDAEB" w14:textId="77777777" w:rsidR="00BE4455" w:rsidRPr="00593A5F" w:rsidRDefault="00BE4455" w:rsidP="00BE4455">
      <w:pPr>
        <w:widowControl w:val="0"/>
        <w:autoSpaceDE w:val="0"/>
        <w:autoSpaceDN w:val="0"/>
        <w:spacing w:after="0" w:line="276" w:lineRule="auto"/>
        <w:jc w:val="both"/>
        <w:rPr>
          <w:rFonts w:ascii="Verdana" w:hAnsi="Verdana" w:cs="Arial"/>
        </w:rPr>
      </w:pPr>
    </w:p>
    <w:p w14:paraId="18DE168E" w14:textId="77777777" w:rsidR="00BE4455" w:rsidRPr="007D6CC8" w:rsidRDefault="00BE4455" w:rsidP="00BE4455">
      <w:pPr>
        <w:widowControl w:val="0"/>
        <w:autoSpaceDE w:val="0"/>
        <w:autoSpaceDN w:val="0"/>
        <w:spacing w:after="0" w:line="276" w:lineRule="auto"/>
        <w:jc w:val="both"/>
        <w:rPr>
          <w:rFonts w:ascii="Verdana" w:hAnsi="Verdana" w:cs="Arial"/>
          <w:shd w:val="clear" w:color="auto" w:fill="FFFFFF"/>
        </w:rPr>
      </w:pPr>
      <w:r w:rsidRPr="00177E85">
        <w:rPr>
          <w:rFonts w:ascii="Verdana" w:hAnsi="Verdana" w:cs="Arial"/>
          <w:shd w:val="clear" w:color="auto" w:fill="FFFFFF"/>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 C-317 del 25 de abril de 2025, C-510 del 4 de junio de 2025, 646 del 26 de junio de 2025, C-957 del 23 de agosto de 2025, C-975 del 28 de agosto de 2025, C-1015 del 4 de septiembre de 2025, C-1096 del 28 de agosto de 2025, C-1174 del 29 de septiembre de 2025, C- 1170 del 16 de septiembre de 2025, C-1194 del 3 de octubre de 2025, </w:t>
      </w:r>
      <w:r>
        <w:rPr>
          <w:rFonts w:ascii="Verdana" w:hAnsi="Verdana" w:cs="Arial"/>
          <w:shd w:val="clear" w:color="auto" w:fill="FFFFFF"/>
        </w:rPr>
        <w:t xml:space="preserve">C-1343 del 20 de octubre de 2025, C-1350 del 1˚ de octubre de 2025, C-1401 del 22 de octubre de 2025, C-1512 del 27 de octubre de 2025, C-1488 del 30 de octubre de 2025, C-1596 del 6 de noviembre de 2025, C-1509 </w:t>
      </w:r>
      <w:r>
        <w:rPr>
          <w:rFonts w:ascii="Verdana" w:hAnsi="Verdana" w:cs="Arial"/>
          <w:shd w:val="clear" w:color="auto" w:fill="FFFFFF"/>
        </w:rPr>
        <w:lastRenderedPageBreak/>
        <w:t>del 19 de noviembre de 2025, C-1773 del 5 de diciembre de 2025, C-1646 del 17 de diciembre de 2025, C-1703 del 29 de diciembre de 2025, C-068 del 27 de enero de 2026, C-111 del 6 de febrero de 2026, C-127 del 6 de febrero de 2026, entre otros</w:t>
      </w:r>
      <w:r>
        <w:rPr>
          <w:rFonts w:ascii="Verdana" w:hAnsi="Verdana"/>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B140D5F" w14:textId="77777777" w:rsidR="00BE4455" w:rsidRPr="00185EE9" w:rsidRDefault="00BE4455" w:rsidP="00BE4455">
      <w:pPr>
        <w:spacing w:after="0" w:line="256" w:lineRule="auto"/>
        <w:jc w:val="both"/>
        <w:rPr>
          <w:rFonts w:ascii="Verdana" w:eastAsia="Calibri" w:hAnsi="Verdana" w:cs="Times New Roman"/>
        </w:rPr>
      </w:pPr>
      <w:hyperlink r:id="rId19" w:history="1">
        <w:r w:rsidRPr="00F14AAD">
          <w:rPr>
            <w:rStyle w:val="Hipervnculo"/>
            <w:rFonts w:ascii="Verdana" w:eastAsia="Calibri" w:hAnsi="Verdana" w:cs="Times New Roman"/>
            <w:lang w:val="es-ES"/>
          </w:rPr>
          <w:t>https://relatoria.colombiacompra.gov.co/busqueda/conceptos</w:t>
        </w:r>
      </w:hyperlink>
      <w:r w:rsidRPr="00185EE9">
        <w:rPr>
          <w:rFonts w:ascii="Verdana" w:eastAsia="Calibri" w:hAnsi="Verdana" w:cs="Times New Roman"/>
        </w:rPr>
        <w:t xml:space="preserve">. </w:t>
      </w:r>
    </w:p>
    <w:p w14:paraId="6B51A96F" w14:textId="77777777" w:rsidR="00BE4455" w:rsidRPr="00096788" w:rsidRDefault="00BE4455" w:rsidP="00BE4455">
      <w:pPr>
        <w:widowControl w:val="0"/>
        <w:autoSpaceDE w:val="0"/>
        <w:autoSpaceDN w:val="0"/>
        <w:spacing w:after="0" w:line="276" w:lineRule="auto"/>
        <w:jc w:val="both"/>
        <w:rPr>
          <w:rFonts w:ascii="Verdana" w:hAnsi="Verdana" w:cs="Arial"/>
          <w:color w:val="000000" w:themeColor="text1"/>
          <w:shd w:val="clear" w:color="auto" w:fill="FFFFFF"/>
        </w:rPr>
      </w:pPr>
    </w:p>
    <w:p w14:paraId="36DE02CF" w14:textId="77777777" w:rsidR="00BE4455" w:rsidRDefault="00BE4455" w:rsidP="00BE4455">
      <w:pPr>
        <w:shd w:val="clear" w:color="auto" w:fill="FFFFFF"/>
        <w:spacing w:after="0" w:line="276" w:lineRule="auto"/>
        <w:jc w:val="both"/>
        <w:rPr>
          <w:rFonts w:ascii="Verdana" w:hAnsi="Verdana"/>
          <w:color w:val="000000"/>
          <w:u w:val="single"/>
        </w:rPr>
      </w:pPr>
      <w:r w:rsidRPr="00B83C56">
        <w:rPr>
          <w:rFonts w:ascii="Verdana" w:hAnsi="Verdana"/>
          <w:color w:val="000000"/>
        </w:rPr>
        <w:t xml:space="preserve">Te informamos </w:t>
      </w:r>
      <w:r w:rsidRPr="00032009">
        <w:rPr>
          <w:rFonts w:ascii="Verdana" w:hAnsi="Verdana"/>
          <w:color w:val="000000"/>
        </w:rPr>
        <w:t>que ya se encuentra disponible la </w:t>
      </w:r>
      <w:r w:rsidRPr="00032009">
        <w:rPr>
          <w:rFonts w:ascii="Verdana" w:hAnsi="Verdana"/>
          <w:b/>
          <w:bCs/>
          <w:color w:val="000000"/>
        </w:rPr>
        <w:t>Guía de lineamientos de transparencia y selección objetiva para el departamento de La Guajira – Objetivo sexto constitucional de la Sentencia T-302 del 2017. </w:t>
      </w:r>
      <w:r w:rsidRPr="00032009">
        <w:rPr>
          <w:rFonts w:ascii="Verdana" w:hAnsi="Verdana"/>
          <w:color w:val="000000"/>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20" w:tgtFrame="_blank" w:tooltip="Dirección URL original: https://www.colombiacompra.gov.co/wp-content/uploads/2025/05/GUIA-DE-LINEAMIENTOS-DE-TRANSPARENCIA-Y-SELECCION-OBJETIVA-1.0.pdf. Haga clic o pulse si confía en este vínculo." w:history="1">
        <w:r w:rsidRPr="00032009">
          <w:rPr>
            <w:rStyle w:val="Hipervnculo"/>
            <w:rFonts w:ascii="Verdana" w:hAnsi="Verdana"/>
          </w:rPr>
          <w:t>Guía de lineamientos de transparencia y selección objetiva para el departamento de La Guajira – Objetivo sexto constitucional de la Sentencia T-302 del 2017</w:t>
        </w:r>
      </w:hyperlink>
      <w:r w:rsidRPr="00032009">
        <w:rPr>
          <w:rFonts w:ascii="Verdana" w:hAnsi="Verdana"/>
          <w:color w:val="000000"/>
          <w:u w:val="single"/>
        </w:rPr>
        <w:t>"</w:t>
      </w:r>
      <w:r>
        <w:rPr>
          <w:rFonts w:ascii="Verdana" w:hAnsi="Verdana"/>
          <w:color w:val="000000"/>
          <w:u w:val="single"/>
        </w:rPr>
        <w:t>.</w:t>
      </w:r>
    </w:p>
    <w:p w14:paraId="7E1E7FDC" w14:textId="77777777" w:rsidR="00BE4455" w:rsidRDefault="00BE4455" w:rsidP="00BE4455">
      <w:pPr>
        <w:shd w:val="clear" w:color="auto" w:fill="FFFFFF"/>
        <w:spacing w:after="0" w:line="276" w:lineRule="auto"/>
        <w:jc w:val="both"/>
        <w:rPr>
          <w:rFonts w:ascii="Verdana" w:hAnsi="Verdana"/>
          <w:color w:val="000000"/>
          <w:u w:val="single"/>
        </w:rPr>
      </w:pPr>
    </w:p>
    <w:p w14:paraId="731C11C1" w14:textId="77777777" w:rsidR="00BE4455" w:rsidRPr="00116940" w:rsidRDefault="00BE4455" w:rsidP="00BE4455">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16E21C9E" w14:textId="77777777" w:rsidR="00BE4455" w:rsidRPr="00116940" w:rsidRDefault="00BE4455" w:rsidP="00BE4455">
      <w:pPr>
        <w:spacing w:after="0"/>
        <w:jc w:val="both"/>
        <w:rPr>
          <w:rFonts w:ascii="Verdana" w:hAnsi="Verdana"/>
        </w:rPr>
      </w:pPr>
    </w:p>
    <w:p w14:paraId="7B70847B" w14:textId="77777777" w:rsidR="00BE4455" w:rsidRPr="00116940" w:rsidRDefault="00BE4455" w:rsidP="00BE4455">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6974D89" w14:textId="77777777" w:rsidR="00BE4455" w:rsidRPr="00116940" w:rsidRDefault="00BE4455" w:rsidP="00BE4455">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15863526" w14:textId="77777777" w:rsidR="00BE4455" w:rsidRPr="00116940" w:rsidRDefault="00BE4455" w:rsidP="00BE445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1">
        <w:r w:rsidRPr="00116940">
          <w:rPr>
            <w:rStyle w:val="Hipervnculo"/>
            <w:rFonts w:ascii="Verdana" w:eastAsia="Verdana" w:hAnsi="Verdana" w:cs="Verdana"/>
            <w:lang w:val="es-MX"/>
          </w:rPr>
          <w:t>ventanilladeradicacion@colombiacompra.gov.co</w:t>
        </w:r>
      </w:hyperlink>
    </w:p>
    <w:p w14:paraId="58B1A501" w14:textId="77777777" w:rsidR="00BE4455" w:rsidRPr="00116940" w:rsidRDefault="00BE4455" w:rsidP="00BE4455">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2">
        <w:r w:rsidRPr="00116940">
          <w:rPr>
            <w:rStyle w:val="Hipervnculo"/>
            <w:rFonts w:ascii="Verdana" w:eastAsia="Verdana" w:hAnsi="Verdana" w:cs="Verdana"/>
            <w:lang w:val="es-MX"/>
          </w:rPr>
          <w:t>https://www.colombiacompra.gov.co/pqrsd/informacion-importante-antes-de-formular-una-pqrsd</w:t>
        </w:r>
      </w:hyperlink>
    </w:p>
    <w:p w14:paraId="32140C07" w14:textId="77777777" w:rsidR="00BE4455" w:rsidRPr="00116940" w:rsidRDefault="00BE4455" w:rsidP="00BE4455">
      <w:pPr>
        <w:spacing w:after="0" w:line="240" w:lineRule="auto"/>
        <w:ind w:left="720"/>
        <w:jc w:val="both"/>
        <w:rPr>
          <w:rFonts w:ascii="Verdana" w:hAnsi="Verdana"/>
        </w:rPr>
      </w:pPr>
    </w:p>
    <w:p w14:paraId="461E3B44" w14:textId="77777777" w:rsidR="00BE4455" w:rsidRPr="00116940" w:rsidRDefault="00BE4455" w:rsidP="00BE4455">
      <w:pPr>
        <w:spacing w:after="0" w:line="240" w:lineRule="auto"/>
        <w:rPr>
          <w:rFonts w:ascii="Verdana" w:hAnsi="Verdana"/>
        </w:rPr>
      </w:pPr>
      <w:r w:rsidRPr="00116940">
        <w:rPr>
          <w:rFonts w:ascii="Verdana" w:hAnsi="Verdana"/>
        </w:rPr>
        <w:lastRenderedPageBreak/>
        <w:t>Evalúa el servicio que ofrece la Agencia por el canal de atención de PQRSD en el siguiente enlace :</w:t>
      </w:r>
      <w:hyperlink r:id="rId23"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10D46790" w14:textId="77777777" w:rsidR="00BE4455" w:rsidRPr="00116940" w:rsidRDefault="00BE4455" w:rsidP="00BE4455">
      <w:pPr>
        <w:spacing w:after="0" w:line="240" w:lineRule="auto"/>
        <w:rPr>
          <w:rFonts w:ascii="Verdana" w:hAnsi="Verdana"/>
        </w:rPr>
      </w:pPr>
    </w:p>
    <w:p w14:paraId="3F95BA35" w14:textId="77777777" w:rsidR="00BE4455" w:rsidRPr="00116940" w:rsidRDefault="00BE4455" w:rsidP="00BE4455">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E155440" w14:textId="77777777" w:rsidR="00BE4455" w:rsidRPr="00116940" w:rsidRDefault="00BE4455" w:rsidP="00BE4455">
      <w:pPr>
        <w:spacing w:after="0" w:line="240" w:lineRule="auto"/>
        <w:jc w:val="both"/>
        <w:rPr>
          <w:rFonts w:ascii="Verdana" w:hAnsi="Verdana"/>
        </w:rPr>
      </w:pPr>
    </w:p>
    <w:p w14:paraId="434E02A7" w14:textId="77777777" w:rsidR="00BE4455" w:rsidRPr="00116940" w:rsidRDefault="00BE4455" w:rsidP="00BE4455">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22C88D9F" w14:textId="77777777" w:rsidR="00BE4455" w:rsidRPr="00116940" w:rsidRDefault="00BE4455" w:rsidP="00BE4455">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02EDD526" w14:textId="77777777" w:rsidR="00BE4455" w:rsidRPr="00116940" w:rsidRDefault="00BE4455" w:rsidP="00BE4455">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7916B1BF" w14:textId="77777777" w:rsidR="00BE4455" w:rsidRPr="00116940" w:rsidRDefault="00BE4455" w:rsidP="00BE4455">
      <w:pPr>
        <w:spacing w:after="0" w:line="240" w:lineRule="auto"/>
        <w:jc w:val="both"/>
        <w:rPr>
          <w:rFonts w:ascii="Verdana" w:hAnsi="Verdana"/>
        </w:rPr>
      </w:pPr>
    </w:p>
    <w:p w14:paraId="76ADED43" w14:textId="77777777" w:rsidR="00BE4455" w:rsidRPr="009037F6" w:rsidRDefault="00BE4455" w:rsidP="00BE4455">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9742472" w14:textId="77777777" w:rsidR="00BE4455" w:rsidRPr="00492C4A" w:rsidRDefault="00BE4455" w:rsidP="00BE4455">
      <w:pPr>
        <w:spacing w:after="0" w:line="256" w:lineRule="auto"/>
        <w:jc w:val="both"/>
        <w:rPr>
          <w:rFonts w:ascii="Verdana" w:eastAsia="Calibri" w:hAnsi="Verdana" w:cs="Times New Roman"/>
          <w:lang w:val="es-ES_tradnl"/>
        </w:rPr>
      </w:pPr>
    </w:p>
    <w:p w14:paraId="47A6DBB1" w14:textId="77777777" w:rsidR="00BE4455" w:rsidRDefault="00BE4455" w:rsidP="00BE4455">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6746EA91" w14:textId="77777777" w:rsidR="00BE4455" w:rsidRDefault="00BE4455" w:rsidP="00BE4455">
      <w:pPr>
        <w:spacing w:after="0" w:line="256" w:lineRule="auto"/>
        <w:jc w:val="both"/>
        <w:rPr>
          <w:rFonts w:ascii="Verdana" w:eastAsia="Calibri" w:hAnsi="Verdana" w:cs="Times New Roman"/>
        </w:rPr>
      </w:pPr>
    </w:p>
    <w:p w14:paraId="26A1B1A4" w14:textId="09632F6F" w:rsidR="00BE4455" w:rsidRPr="00286830" w:rsidRDefault="00BE4455" w:rsidP="00BE4455">
      <w:pPr>
        <w:spacing w:after="0" w:line="256" w:lineRule="auto"/>
        <w:jc w:val="center"/>
        <w:rPr>
          <w:rFonts w:ascii="Century Gothic" w:hAnsi="Century Gothic"/>
          <w:noProof/>
          <w:lang w:val="en-US"/>
        </w:rPr>
      </w:pPr>
      <w:r w:rsidRPr="00FD1DDC">
        <w:rPr>
          <w:rFonts w:ascii="Verdana" w:hAnsi="Verdana"/>
          <w:sz w:val="16"/>
          <w:szCs w:val="16"/>
        </w:rPr>
        <w:t xml:space="preserve"> </w:t>
      </w:r>
      <w:r w:rsidR="007A54B3" w:rsidRPr="002C3AD6">
        <w:rPr>
          <w:rFonts w:ascii="Century Gothic" w:hAnsi="Century Gothic"/>
          <w:noProof/>
          <w:lang w:val="en-US"/>
        </w:rPr>
        <w:drawing>
          <wp:inline distT="0" distB="0" distL="0" distR="0" wp14:anchorId="3D1F729E" wp14:editId="7A7CE133">
            <wp:extent cx="3279697" cy="1217463"/>
            <wp:effectExtent l="0" t="0" r="0" b="1905"/>
            <wp:docPr id="5"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4"/>
                    <a:stretch>
                      <a:fillRect/>
                    </a:stretch>
                  </pic:blipFill>
                  <pic:spPr>
                    <a:xfrm>
                      <a:off x="0" y="0"/>
                      <a:ext cx="3312722" cy="1229722"/>
                    </a:xfrm>
                    <a:prstGeom prst="rect">
                      <a:avLst/>
                    </a:prstGeom>
                  </pic:spPr>
                </pic:pic>
              </a:graphicData>
            </a:graphic>
          </wp:inline>
        </w:drawing>
      </w:r>
    </w:p>
    <w:p w14:paraId="2428A8D0" w14:textId="77777777" w:rsidR="00BE4455" w:rsidRPr="00286830" w:rsidRDefault="00BE4455" w:rsidP="00BE4455">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BE4455" w:rsidRPr="00286830" w14:paraId="7DCFD956" w14:textId="77777777" w:rsidTr="008A7F7B">
        <w:trPr>
          <w:trHeight w:val="409"/>
        </w:trPr>
        <w:tc>
          <w:tcPr>
            <w:tcW w:w="817" w:type="dxa"/>
            <w:tcBorders>
              <w:top w:val="nil"/>
              <w:left w:val="nil"/>
              <w:bottom w:val="nil"/>
              <w:right w:val="nil"/>
            </w:tcBorders>
            <w:vAlign w:val="center"/>
            <w:hideMark/>
          </w:tcPr>
          <w:p w14:paraId="46E0EAEF" w14:textId="77777777" w:rsidR="00BE4455" w:rsidRPr="00286830" w:rsidRDefault="00BE4455" w:rsidP="008A7F7B">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DA1B595" w14:textId="77777777" w:rsidR="00BE4455" w:rsidRPr="00286830" w:rsidRDefault="00BE4455" w:rsidP="008A7F7B">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José Luis Sánchez Cardona</w:t>
            </w:r>
          </w:p>
          <w:p w14:paraId="7FBFD809" w14:textId="77777777" w:rsidR="00BE4455" w:rsidRPr="00286830" w:rsidRDefault="00BE4455" w:rsidP="008A7F7B">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Contratista de la Subdirección de Gestión Contractual</w:t>
            </w:r>
          </w:p>
        </w:tc>
      </w:tr>
      <w:tr w:rsidR="00BE4455" w:rsidRPr="00286830" w14:paraId="5E24C144" w14:textId="77777777" w:rsidTr="008A7F7B">
        <w:trPr>
          <w:trHeight w:val="409"/>
        </w:trPr>
        <w:tc>
          <w:tcPr>
            <w:tcW w:w="817" w:type="dxa"/>
            <w:tcBorders>
              <w:top w:val="nil"/>
              <w:left w:val="nil"/>
              <w:bottom w:val="nil"/>
              <w:right w:val="nil"/>
            </w:tcBorders>
            <w:vAlign w:val="center"/>
            <w:hideMark/>
          </w:tcPr>
          <w:p w14:paraId="29D1B30D" w14:textId="77777777" w:rsidR="00BE4455" w:rsidRPr="00286830" w:rsidRDefault="00BE4455" w:rsidP="008A7F7B">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CCEC878" w14:textId="77777777" w:rsidR="00BE4455" w:rsidRPr="00286830" w:rsidRDefault="00BE4455" w:rsidP="008A7F7B">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 xml:space="preserve">Alejandro </w:t>
            </w:r>
            <w:r>
              <w:rPr>
                <w:rFonts w:ascii="Verdana" w:eastAsia="Calibri" w:hAnsi="Verdana" w:cs="Times New Roman"/>
                <w:sz w:val="16"/>
                <w:szCs w:val="16"/>
              </w:rPr>
              <w:t xml:space="preserve">R. </w:t>
            </w:r>
            <w:r w:rsidRPr="00286830">
              <w:rPr>
                <w:rFonts w:ascii="Verdana" w:eastAsia="Calibri" w:hAnsi="Verdana" w:cs="Times New Roman"/>
                <w:sz w:val="16"/>
                <w:szCs w:val="16"/>
              </w:rPr>
              <w:t>Sarmiento Cantillo</w:t>
            </w:r>
          </w:p>
          <w:p w14:paraId="53EDA020" w14:textId="77777777" w:rsidR="00BE4455" w:rsidRPr="00286830" w:rsidRDefault="00BE4455" w:rsidP="008A7F7B">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Gestor T1-15 de la Subdirección de Gestión Contractual </w:t>
            </w:r>
          </w:p>
        </w:tc>
      </w:tr>
      <w:tr w:rsidR="00BE4455" w:rsidRPr="00286830" w14:paraId="66FD492F" w14:textId="77777777" w:rsidTr="008A7F7B">
        <w:trPr>
          <w:trHeight w:val="389"/>
        </w:trPr>
        <w:tc>
          <w:tcPr>
            <w:tcW w:w="817" w:type="dxa"/>
            <w:tcBorders>
              <w:top w:val="nil"/>
              <w:left w:val="nil"/>
              <w:bottom w:val="nil"/>
              <w:right w:val="nil"/>
            </w:tcBorders>
            <w:vAlign w:val="center"/>
            <w:hideMark/>
          </w:tcPr>
          <w:p w14:paraId="43173F25" w14:textId="77777777" w:rsidR="00BE4455" w:rsidRPr="00286830" w:rsidRDefault="00BE4455" w:rsidP="008A7F7B">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DDE486E" w14:textId="77777777" w:rsidR="00BE4455" w:rsidRPr="00286830" w:rsidRDefault="00BE4455" w:rsidP="008A7F7B">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Carolina Quintero Gacharná</w:t>
            </w:r>
          </w:p>
          <w:p w14:paraId="038D8393" w14:textId="77777777" w:rsidR="00BE4455" w:rsidRPr="00286830" w:rsidRDefault="00BE4455" w:rsidP="008A7F7B">
            <w:pPr>
              <w:spacing w:after="0" w:line="256" w:lineRule="auto"/>
              <w:rPr>
                <w:rFonts w:ascii="Verdana" w:eastAsia="Calibri" w:hAnsi="Verdana" w:cs="Times New Roman"/>
                <w:sz w:val="16"/>
                <w:szCs w:val="16"/>
              </w:rPr>
            </w:pPr>
            <w:r w:rsidRPr="00286830">
              <w:rPr>
                <w:rFonts w:ascii="Verdana" w:eastAsia="Calibri" w:hAnsi="Verdana" w:cs="Times New Roman"/>
                <w:sz w:val="16"/>
                <w:szCs w:val="16"/>
              </w:rPr>
              <w:t>Subdirectora de Gestión Contractual ANCP – CCE</w:t>
            </w:r>
          </w:p>
        </w:tc>
      </w:tr>
      <w:bookmarkEnd w:id="0"/>
    </w:tbl>
    <w:p w14:paraId="41FD1E17" w14:textId="53DE9C43" w:rsidR="004674CF" w:rsidRPr="00BE4455" w:rsidRDefault="004674CF" w:rsidP="00BE4455"/>
    <w:sectPr w:rsidR="004674CF" w:rsidRPr="00BE4455" w:rsidSect="007C0C0F">
      <w:headerReference w:type="default" r:id="rId25"/>
      <w:footerReference w:type="default" r:id="rId2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8193BF" w14:textId="77777777" w:rsidR="00F6449F" w:rsidRDefault="00F6449F" w:rsidP="004A1847">
      <w:pPr>
        <w:spacing w:after="0" w:line="240" w:lineRule="auto"/>
      </w:pPr>
      <w:r>
        <w:separator/>
      </w:r>
    </w:p>
  </w:endnote>
  <w:endnote w:type="continuationSeparator" w:id="0">
    <w:p w14:paraId="77802F5B" w14:textId="77777777" w:rsidR="00F6449F" w:rsidRDefault="00F6449F" w:rsidP="004A1847">
      <w:pPr>
        <w:spacing w:after="0" w:line="240" w:lineRule="auto"/>
      </w:pPr>
      <w:r>
        <w:continuationSeparator/>
      </w:r>
    </w:p>
  </w:endnote>
  <w:endnote w:type="continuationNotice" w:id="1">
    <w:p w14:paraId="6F95D6C7" w14:textId="77777777" w:rsidR="00F6449F" w:rsidRDefault="00F644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504700E4"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7A54B3" w:rsidRPr="007A54B3">
      <w:rPr>
        <w:rFonts w:ascii="Verdana" w:eastAsiaTheme="minorEastAsia" w:hAnsi="Verdana"/>
        <w:b/>
        <w:bCs/>
        <w:noProof/>
        <w:sz w:val="16"/>
        <w:szCs w:val="16"/>
      </w:rPr>
      <w:t>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009075" w14:textId="77777777" w:rsidR="00F6449F" w:rsidRDefault="00F6449F" w:rsidP="004A1847">
      <w:pPr>
        <w:spacing w:after="0" w:line="240" w:lineRule="auto"/>
      </w:pPr>
      <w:r>
        <w:separator/>
      </w:r>
    </w:p>
  </w:footnote>
  <w:footnote w:type="continuationSeparator" w:id="0">
    <w:p w14:paraId="0FC48A6C" w14:textId="77777777" w:rsidR="00F6449F" w:rsidRDefault="00F6449F" w:rsidP="004A1847">
      <w:pPr>
        <w:spacing w:after="0" w:line="240" w:lineRule="auto"/>
      </w:pPr>
      <w:r>
        <w:continuationSeparator/>
      </w:r>
    </w:p>
  </w:footnote>
  <w:footnote w:type="continuationNotice" w:id="1">
    <w:p w14:paraId="3294E710" w14:textId="77777777" w:rsidR="00F6449F" w:rsidRDefault="00F6449F">
      <w:pPr>
        <w:spacing w:after="0" w:line="240" w:lineRule="auto"/>
      </w:pPr>
    </w:p>
  </w:footnote>
  <w:footnote w:id="2">
    <w:p w14:paraId="6F61F8C8" w14:textId="77777777" w:rsidR="00BE4455" w:rsidRPr="004674CF" w:rsidRDefault="00BE4455" w:rsidP="00BE4455">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C91FA62" w14:textId="77777777" w:rsidR="00BE4455" w:rsidRPr="004674CF" w:rsidRDefault="00BE4455" w:rsidP="00BE4455">
      <w:pPr>
        <w:pStyle w:val="Textonotapie"/>
        <w:ind w:firstLine="709"/>
        <w:jc w:val="both"/>
        <w:rPr>
          <w:rFonts w:ascii="Verdana" w:hAnsi="Verdana" w:cs="Arial"/>
          <w:sz w:val="16"/>
          <w:szCs w:val="16"/>
        </w:rPr>
      </w:pPr>
      <w:r w:rsidRPr="004674CF">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273F4078" w14:textId="77777777" w:rsidR="00BE4455" w:rsidRPr="004674CF" w:rsidRDefault="00BE4455" w:rsidP="00BE4455">
      <w:pPr>
        <w:pStyle w:val="Textonotapie"/>
        <w:ind w:firstLine="709"/>
        <w:jc w:val="both"/>
        <w:rPr>
          <w:rFonts w:ascii="Verdana" w:hAnsi="Verdana" w:cs="Arial"/>
          <w:sz w:val="16"/>
          <w:szCs w:val="16"/>
        </w:rPr>
      </w:pPr>
      <w:r w:rsidRPr="004674CF">
        <w:rPr>
          <w:rStyle w:val="Refdenotaalpie"/>
          <w:rFonts w:ascii="Verdana" w:hAnsi="Verdana" w:cs="Arial"/>
          <w:sz w:val="16"/>
          <w:szCs w:val="16"/>
        </w:rPr>
        <w:footnoteRef/>
      </w:r>
      <w:r w:rsidRPr="004674CF">
        <w:rPr>
          <w:rFonts w:ascii="Verdana" w:hAnsi="Verdana" w:cs="Arial"/>
          <w:sz w:val="16"/>
          <w:szCs w:val="16"/>
        </w:rPr>
        <w:t xml:space="preserve"> Gaceta del Congreso de la República No. 71 del 2005.</w:t>
      </w:r>
    </w:p>
  </w:footnote>
  <w:footnote w:id="4">
    <w:p w14:paraId="4098FE48" w14:textId="77777777" w:rsidR="00BE4455" w:rsidRPr="007B3DC1" w:rsidRDefault="00BE4455" w:rsidP="00BE4455">
      <w:pPr>
        <w:pStyle w:val="Textonotapie"/>
        <w:ind w:firstLine="709"/>
        <w:jc w:val="both"/>
        <w:rPr>
          <w:rFonts w:ascii="Verdana" w:hAnsi="Verdana" w:cs="Arial"/>
          <w:sz w:val="16"/>
          <w:szCs w:val="16"/>
          <w:lang w:val="pt-BR"/>
        </w:rPr>
      </w:pPr>
      <w:r w:rsidRPr="007B3DC1">
        <w:rPr>
          <w:rStyle w:val="Refdenotaalpie"/>
          <w:rFonts w:ascii="Verdana" w:hAnsi="Verdana" w:cs="Arial"/>
          <w:sz w:val="16"/>
          <w:szCs w:val="16"/>
        </w:rPr>
        <w:footnoteRef/>
      </w:r>
      <w:r w:rsidRPr="007B3DC1">
        <w:rPr>
          <w:rFonts w:ascii="Verdana" w:hAnsi="Verdana" w:cs="Arial"/>
          <w:sz w:val="16"/>
          <w:szCs w:val="16"/>
          <w:lang w:val="pt-BR"/>
        </w:rPr>
        <w:t xml:space="preserve"> Corte Constitucional, Sentencia C- 1153 de 2005, M.P. Marco Gerardo Monroy Cabra.</w:t>
      </w:r>
    </w:p>
  </w:footnote>
  <w:footnote w:id="5">
    <w:p w14:paraId="485FDCF5" w14:textId="77777777" w:rsidR="00BE4455" w:rsidRPr="007B3DC1" w:rsidRDefault="00BE4455" w:rsidP="00BE4455">
      <w:pPr>
        <w:pStyle w:val="Textonotapie"/>
        <w:ind w:firstLine="709"/>
        <w:jc w:val="both"/>
        <w:rPr>
          <w:rFonts w:ascii="Verdana" w:hAnsi="Verdana" w:cs="Arial"/>
          <w:sz w:val="16"/>
          <w:szCs w:val="16"/>
          <w:lang w:val="pt-BR"/>
        </w:rPr>
      </w:pPr>
      <w:r w:rsidRPr="007B3DC1">
        <w:rPr>
          <w:rStyle w:val="Refdenotaalpie"/>
          <w:rFonts w:ascii="Verdana" w:hAnsi="Verdana" w:cs="Arial"/>
          <w:sz w:val="16"/>
          <w:szCs w:val="16"/>
        </w:rPr>
        <w:footnoteRef/>
      </w:r>
      <w:r w:rsidRPr="007B3DC1">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20AC83D0" w14:textId="77777777" w:rsidR="00BE4455" w:rsidRPr="007B3DC1" w:rsidRDefault="00BE4455" w:rsidP="00BE4455">
      <w:pPr>
        <w:pStyle w:val="Textonotapie"/>
        <w:ind w:firstLine="709"/>
        <w:jc w:val="both"/>
        <w:rPr>
          <w:rFonts w:ascii="Verdana" w:hAnsi="Verdana" w:cs="Arial"/>
          <w:sz w:val="16"/>
          <w:szCs w:val="16"/>
          <w:lang w:val="es-CO"/>
        </w:rPr>
      </w:pPr>
      <w:r w:rsidRPr="007B3DC1">
        <w:rPr>
          <w:rStyle w:val="Refdenotaalpie"/>
          <w:rFonts w:ascii="Verdana" w:hAnsi="Verdana" w:cs="Arial"/>
          <w:sz w:val="16"/>
          <w:szCs w:val="16"/>
        </w:rPr>
        <w:footnoteRef/>
      </w:r>
      <w:r w:rsidRPr="007B3DC1">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1549901E" w14:textId="77777777" w:rsidR="00BE4455" w:rsidRPr="007B3DC1" w:rsidRDefault="00BE4455" w:rsidP="00BE4455">
      <w:pPr>
        <w:pStyle w:val="Textonotapie"/>
        <w:ind w:firstLine="709"/>
        <w:jc w:val="both"/>
        <w:rPr>
          <w:rFonts w:ascii="Verdana"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Consejo de Estado, Sala de Consulta y Servicio Civil de fecha 24 de julio de 2013, radicado 2166, C. P. Álvaro Namén Vargas.  </w:t>
      </w:r>
    </w:p>
  </w:footnote>
  <w:footnote w:id="8">
    <w:p w14:paraId="422A824D" w14:textId="77777777" w:rsidR="00BE4455" w:rsidRPr="007B3DC1" w:rsidRDefault="00BE4455" w:rsidP="00BE4455">
      <w:pPr>
        <w:spacing w:after="0" w:line="240" w:lineRule="auto"/>
        <w:ind w:firstLine="709"/>
        <w:jc w:val="both"/>
        <w:rPr>
          <w:rFonts w:ascii="Verdana" w:eastAsia="Times New Roman"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w:t>
      </w:r>
      <w:bookmarkStart w:id="7" w:name="33"/>
      <w:r w:rsidRPr="007B3DC1">
        <w:rPr>
          <w:rFonts w:ascii="Verdana" w:eastAsia="Calibri" w:hAnsi="Verdana" w:cs="Arial"/>
          <w:color w:val="000000"/>
          <w:sz w:val="16"/>
          <w:szCs w:val="16"/>
        </w:rPr>
        <w:t>“</w:t>
      </w:r>
      <w:r w:rsidRPr="007B3DC1">
        <w:rPr>
          <w:rFonts w:ascii="Verdana" w:eastAsia="Times New Roman" w:hAnsi="Verdana" w:cs="Arial"/>
          <w:sz w:val="16"/>
          <w:szCs w:val="16"/>
        </w:rPr>
        <w:t>Artículo 33. Restricciones a la contratación pública.</w:t>
      </w:r>
      <w:bookmarkEnd w:id="7"/>
      <w:r w:rsidRPr="007B3DC1">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3D58EAC" w14:textId="77777777" w:rsidR="00BE4455" w:rsidRPr="007B3DC1" w:rsidRDefault="00BE4455" w:rsidP="00BE4455">
      <w:pPr>
        <w:spacing w:after="0" w:line="240" w:lineRule="auto"/>
        <w:ind w:firstLine="709"/>
        <w:jc w:val="both"/>
        <w:rPr>
          <w:rFonts w:ascii="Verdana" w:eastAsia="Times New Roman" w:hAnsi="Verdana" w:cs="Arial"/>
          <w:sz w:val="16"/>
          <w:szCs w:val="16"/>
        </w:rPr>
      </w:pPr>
      <w:r w:rsidRPr="007B3DC1">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7B3DC1">
        <w:rPr>
          <w:rFonts w:ascii="Verdana" w:eastAsia="Calibri" w:hAnsi="Verdana" w:cs="Arial"/>
          <w:color w:val="000000"/>
          <w:sz w:val="16"/>
          <w:szCs w:val="16"/>
        </w:rPr>
        <w:t>”</w:t>
      </w:r>
      <w:r w:rsidRPr="007B3DC1">
        <w:rPr>
          <w:rFonts w:ascii="Verdana" w:eastAsia="Times New Roman" w:hAnsi="Verdana" w:cs="Arial"/>
          <w:sz w:val="16"/>
          <w:szCs w:val="16"/>
        </w:rPr>
        <w:t>.</w:t>
      </w:r>
    </w:p>
  </w:footnote>
  <w:footnote w:id="9">
    <w:p w14:paraId="62CF605B" w14:textId="77777777" w:rsidR="00BE4455" w:rsidRPr="007B3DC1" w:rsidRDefault="00BE4455" w:rsidP="00BE4455">
      <w:pPr>
        <w:pStyle w:val="NormalWeb"/>
        <w:spacing w:before="0" w:beforeAutospacing="0" w:after="0" w:afterAutospacing="0"/>
        <w:ind w:firstLine="709"/>
        <w:jc w:val="both"/>
        <w:rPr>
          <w:rFonts w:ascii="Verdana" w:hAnsi="Verdana" w:cs="Arial"/>
          <w:sz w:val="16"/>
          <w:szCs w:val="16"/>
          <w:lang w:val="es-MX"/>
        </w:rPr>
      </w:pPr>
      <w:r w:rsidRPr="007B3DC1">
        <w:rPr>
          <w:rStyle w:val="Refdenotaalpie"/>
          <w:rFonts w:ascii="Verdana" w:hAnsi="Verdana" w:cs="Arial"/>
          <w:sz w:val="16"/>
          <w:szCs w:val="16"/>
        </w:rPr>
        <w:footnoteRef/>
      </w:r>
      <w:r w:rsidRPr="007B3DC1">
        <w:rPr>
          <w:rFonts w:ascii="Verdana" w:hAnsi="Verdana" w:cs="Arial"/>
          <w:sz w:val="16"/>
          <w:szCs w:val="16"/>
        </w:rPr>
        <w:t xml:space="preserve"> </w:t>
      </w:r>
      <w:bookmarkStart w:id="8" w:name="38"/>
      <w:r w:rsidRPr="007B3DC1">
        <w:rPr>
          <w:rFonts w:ascii="Verdana" w:eastAsia="Calibri" w:hAnsi="Verdana" w:cs="Arial"/>
          <w:color w:val="000000"/>
          <w:sz w:val="16"/>
          <w:szCs w:val="16"/>
        </w:rPr>
        <w:t>“</w:t>
      </w:r>
      <w:r w:rsidRPr="007B3DC1">
        <w:rPr>
          <w:rFonts w:ascii="Verdana" w:hAnsi="Verdana" w:cs="Arial"/>
          <w:sz w:val="16"/>
          <w:szCs w:val="16"/>
          <w:lang w:val="es-MX"/>
        </w:rPr>
        <w:t>Artículo 38. Prohibiciones para los servidores públicos. A los empleados del Estado les está prohibido:</w:t>
      </w:r>
      <w:bookmarkEnd w:id="8"/>
      <w:r w:rsidRPr="007B3DC1">
        <w:rPr>
          <w:rFonts w:ascii="Verdana" w:hAnsi="Verdana" w:cs="Arial"/>
          <w:sz w:val="16"/>
          <w:szCs w:val="16"/>
          <w:lang w:val="es-MX"/>
        </w:rPr>
        <w:t xml:space="preserve"> […]</w:t>
      </w:r>
    </w:p>
    <w:p w14:paraId="48B07746" w14:textId="77777777" w:rsidR="00BE4455" w:rsidRPr="007B3DC1" w:rsidRDefault="00BE4455" w:rsidP="00BE4455">
      <w:pPr>
        <w:pStyle w:val="NormalWeb"/>
        <w:spacing w:before="0" w:beforeAutospacing="0" w:after="0" w:afterAutospacing="0"/>
        <w:ind w:firstLine="709"/>
        <w:jc w:val="both"/>
        <w:rPr>
          <w:rFonts w:ascii="Verdana" w:hAnsi="Verdana" w:cs="Arial"/>
          <w:sz w:val="16"/>
          <w:szCs w:val="16"/>
          <w:lang w:val="es-MX"/>
        </w:rPr>
      </w:pPr>
      <w:r w:rsidRPr="007B3DC1">
        <w:rPr>
          <w:rStyle w:val="baj"/>
          <w:rFonts w:ascii="Verdana" w:hAnsi="Verdana" w:cs="Arial"/>
          <w:sz w:val="16"/>
          <w:szCs w:val="16"/>
          <w:lang w:val="es-MX"/>
        </w:rPr>
        <w:t>Parágrafo.</w:t>
      </w:r>
      <w:r w:rsidRPr="007B3DC1">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7B3DC1">
        <w:rPr>
          <w:rFonts w:ascii="Verdana" w:eastAsia="Calibri" w:hAnsi="Verdana" w:cs="Arial"/>
          <w:color w:val="000000"/>
          <w:sz w:val="16"/>
          <w:szCs w:val="16"/>
        </w:rPr>
        <w:t>”</w:t>
      </w:r>
      <w:r w:rsidRPr="007B3DC1">
        <w:rPr>
          <w:rFonts w:ascii="Verdana" w:hAnsi="Verdana" w:cs="Arial"/>
          <w:sz w:val="16"/>
          <w:szCs w:val="16"/>
          <w:lang w:val="es-MX"/>
        </w:rPr>
        <w:t>.</w:t>
      </w:r>
    </w:p>
  </w:footnote>
  <w:footnote w:id="10">
    <w:p w14:paraId="34DC87B4" w14:textId="77777777" w:rsidR="00BE4455" w:rsidRPr="007B3DC1" w:rsidRDefault="00BE4455" w:rsidP="00BE4455">
      <w:pPr>
        <w:pStyle w:val="Textonotapie"/>
        <w:ind w:firstLine="708"/>
        <w:jc w:val="both"/>
        <w:rPr>
          <w:rFonts w:ascii="Verdana"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Colombia Compra Eficiente. Circular Externa Única. Numeral 16.5. </w:t>
      </w:r>
    </w:p>
  </w:footnote>
  <w:footnote w:id="11">
    <w:p w14:paraId="0B4EE4FA" w14:textId="77777777" w:rsidR="00BE4455" w:rsidRPr="007B3DC1" w:rsidRDefault="00BE4455" w:rsidP="00BE4455">
      <w:pPr>
        <w:spacing w:after="0" w:line="240" w:lineRule="auto"/>
        <w:ind w:left="100" w:right="244" w:firstLine="608"/>
        <w:jc w:val="both"/>
        <w:rPr>
          <w:rFonts w:ascii="Verdana" w:hAnsi="Verdana" w:cs="Arial"/>
          <w:sz w:val="16"/>
          <w:szCs w:val="16"/>
          <w:lang w:val="es-ES"/>
        </w:rPr>
      </w:pPr>
      <w:r w:rsidRPr="007B3DC1">
        <w:rPr>
          <w:rStyle w:val="Refdenotaalpie"/>
          <w:rFonts w:ascii="Verdana" w:hAnsi="Verdana" w:cs="Arial"/>
          <w:sz w:val="16"/>
          <w:szCs w:val="16"/>
        </w:rPr>
        <w:footnoteRef/>
      </w:r>
      <w:r w:rsidRPr="007B3DC1">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2">
    <w:p w14:paraId="6CB30377" w14:textId="77777777" w:rsidR="00BE4455" w:rsidRPr="007B3DC1" w:rsidRDefault="00BE4455" w:rsidP="00BE4455">
      <w:pPr>
        <w:pStyle w:val="Textonotapie"/>
        <w:ind w:right="51" w:firstLine="709"/>
        <w:jc w:val="both"/>
        <w:rPr>
          <w:rFonts w:ascii="Verdana"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w:t>
      </w:r>
      <w:r w:rsidRPr="007B3DC1">
        <w:rPr>
          <w:rFonts w:ascii="Verdana" w:hAnsi="Verdana" w:cs="Arial"/>
          <w:sz w:val="16"/>
          <w:szCs w:val="16"/>
          <w:lang w:val="es-ES"/>
        </w:rPr>
        <w:t xml:space="preserve">[25] </w:t>
      </w:r>
      <w:r w:rsidRPr="007B3DC1">
        <w:rPr>
          <w:rFonts w:ascii="Verdana" w:hAnsi="Verdana" w:cs="Arial"/>
          <w:sz w:val="16"/>
          <w:szCs w:val="16"/>
        </w:rPr>
        <w:t>Cfr. Consejo de Estado. Sección Tercera. Sentencia de 3 de diciembre de 2007. Radicados: 24.715, 25.206, 25.409, 24.524, 27.834, 25.410, 26.105, 28.244, 31.447 -acumulados-“.</w:t>
      </w:r>
    </w:p>
  </w:footnote>
  <w:footnote w:id="13">
    <w:p w14:paraId="2A98D25C" w14:textId="77777777" w:rsidR="00BE4455" w:rsidRPr="007B3DC1" w:rsidRDefault="00BE4455" w:rsidP="00BE4455">
      <w:pPr>
        <w:pStyle w:val="Textonotapie"/>
        <w:ind w:right="51" w:firstLine="709"/>
        <w:jc w:val="both"/>
        <w:rPr>
          <w:rFonts w:ascii="Verdana"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w:t>
      </w:r>
      <w:r w:rsidRPr="007B3DC1">
        <w:rPr>
          <w:rFonts w:ascii="Verdana" w:hAnsi="Verdana" w:cs="Arial"/>
          <w:sz w:val="16"/>
          <w:szCs w:val="16"/>
          <w:lang w:val="es-ES"/>
        </w:rPr>
        <w:t xml:space="preserve">[26] </w:t>
      </w:r>
      <w:r w:rsidRPr="007B3DC1">
        <w:rPr>
          <w:rFonts w:ascii="Verdana" w:hAnsi="Verdana" w:cs="Arial"/>
          <w:sz w:val="16"/>
          <w:szCs w:val="16"/>
        </w:rPr>
        <w:t>Al respecto ver el concepto 1712 de 2 de febrero de 2006. Consejo de Estado Sala de Consulta y Servicio Civil”.</w:t>
      </w:r>
    </w:p>
  </w:footnote>
  <w:footnote w:id="14">
    <w:p w14:paraId="43CADD14" w14:textId="77777777" w:rsidR="00BE4455" w:rsidRPr="007B3DC1" w:rsidRDefault="00BE4455" w:rsidP="00BE4455">
      <w:pPr>
        <w:pStyle w:val="Textonotapie"/>
        <w:ind w:firstLine="709"/>
        <w:jc w:val="both"/>
        <w:rPr>
          <w:rFonts w:ascii="Verdana"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5">
    <w:p w14:paraId="589010F2" w14:textId="77777777" w:rsidR="00BE4455" w:rsidRPr="007B3DC1" w:rsidRDefault="00BE4455" w:rsidP="00BE4455">
      <w:pPr>
        <w:pStyle w:val="Textonotapie"/>
        <w:ind w:firstLine="709"/>
        <w:jc w:val="both"/>
        <w:rPr>
          <w:rFonts w:ascii="Verdana" w:hAnsi="Verdana" w:cs="Arial"/>
          <w:sz w:val="16"/>
          <w:szCs w:val="16"/>
          <w:lang w:val="es-ES"/>
        </w:rPr>
      </w:pPr>
      <w:r w:rsidRPr="007B3DC1">
        <w:rPr>
          <w:rStyle w:val="Refdenotaalpie"/>
          <w:rFonts w:ascii="Verdana" w:hAnsi="Verdana" w:cs="Arial"/>
          <w:sz w:val="16"/>
          <w:szCs w:val="16"/>
        </w:rPr>
        <w:footnoteRef/>
      </w:r>
      <w:r w:rsidRPr="007B3DC1">
        <w:rPr>
          <w:rFonts w:ascii="Verdana" w:hAnsi="Verdana" w:cs="Arial"/>
          <w:sz w:val="16"/>
          <w:szCs w:val="16"/>
        </w:rPr>
        <w:t xml:space="preserve"> </w:t>
      </w:r>
      <w:r w:rsidRPr="007B3DC1">
        <w:rPr>
          <w:rFonts w:ascii="Verdana" w:hAnsi="Verdana" w:cs="Arial"/>
          <w:sz w:val="16"/>
          <w:szCs w:val="16"/>
          <w:lang w:val="es-ES"/>
        </w:rPr>
        <w:t xml:space="preserve">Artículo 2. </w:t>
      </w:r>
    </w:p>
  </w:footnote>
  <w:footnote w:id="16">
    <w:p w14:paraId="29E6F519" w14:textId="77777777" w:rsidR="00BE4455" w:rsidRPr="007B3DC1" w:rsidRDefault="00BE4455" w:rsidP="00BE4455">
      <w:pPr>
        <w:pStyle w:val="Textonotapie"/>
        <w:ind w:firstLine="709"/>
        <w:jc w:val="both"/>
        <w:rPr>
          <w:rFonts w:ascii="Verdana" w:hAnsi="Verdana" w:cs="Arial"/>
          <w:sz w:val="16"/>
          <w:szCs w:val="16"/>
          <w:lang w:val="es-ES"/>
        </w:rPr>
      </w:pPr>
      <w:r w:rsidRPr="007B3DC1">
        <w:rPr>
          <w:rStyle w:val="Refdenotaalpie"/>
          <w:rFonts w:ascii="Verdana" w:hAnsi="Verdana" w:cs="Arial"/>
          <w:sz w:val="16"/>
          <w:szCs w:val="16"/>
        </w:rPr>
        <w:footnoteRef/>
      </w:r>
      <w:r w:rsidRPr="007B3DC1">
        <w:rPr>
          <w:rFonts w:ascii="Verdana" w:hAnsi="Verdana" w:cs="Arial"/>
          <w:sz w:val="16"/>
          <w:szCs w:val="16"/>
        </w:rPr>
        <w:t xml:space="preserve"> </w:t>
      </w:r>
      <w:r w:rsidRPr="007B3DC1">
        <w:rPr>
          <w:rFonts w:ascii="Verdana" w:hAnsi="Verdana" w:cs="Arial"/>
          <w:i/>
          <w:sz w:val="16"/>
          <w:szCs w:val="16"/>
          <w:lang w:val="es-ES"/>
        </w:rPr>
        <w:t>Ídem</w:t>
      </w:r>
      <w:r w:rsidRPr="007B3DC1">
        <w:rPr>
          <w:rFonts w:ascii="Verdana" w:hAnsi="Verdana" w:cs="Arial"/>
          <w:sz w:val="16"/>
          <w:szCs w:val="16"/>
          <w:lang w:val="es-ES"/>
        </w:rPr>
        <w:t>.</w:t>
      </w:r>
    </w:p>
  </w:footnote>
  <w:footnote w:id="17">
    <w:p w14:paraId="1C558A1D" w14:textId="77777777" w:rsidR="00BE4455" w:rsidRPr="007B3DC1" w:rsidRDefault="00BE4455" w:rsidP="00BE4455">
      <w:pPr>
        <w:pStyle w:val="Textonotapie"/>
        <w:ind w:firstLine="709"/>
        <w:jc w:val="both"/>
        <w:rPr>
          <w:rFonts w:ascii="Verdana" w:hAnsi="Verdana" w:cs="Arial"/>
          <w:sz w:val="16"/>
          <w:szCs w:val="16"/>
          <w:lang w:val="es-ES"/>
        </w:rPr>
      </w:pPr>
      <w:r w:rsidRPr="007B3DC1">
        <w:rPr>
          <w:rStyle w:val="Refdenotaalpie"/>
          <w:rFonts w:ascii="Verdana" w:hAnsi="Verdana" w:cs="Arial"/>
          <w:sz w:val="16"/>
          <w:szCs w:val="16"/>
        </w:rPr>
        <w:footnoteRef/>
      </w:r>
      <w:r w:rsidRPr="007B3DC1">
        <w:rPr>
          <w:rStyle w:val="Refdenotaalpie"/>
          <w:rFonts w:ascii="Verdana" w:hAnsi="Verdana" w:cs="Arial"/>
          <w:sz w:val="16"/>
          <w:szCs w:val="16"/>
        </w:rPr>
        <w:t xml:space="preserve"> </w:t>
      </w:r>
      <w:r w:rsidRPr="007B3DC1">
        <w:rPr>
          <w:rFonts w:ascii="Verdana" w:hAnsi="Verdana" w:cs="Arial"/>
          <w:sz w:val="16"/>
          <w:szCs w:val="16"/>
          <w:lang w:val="es-ES"/>
        </w:rPr>
        <w:t xml:space="preserve">“[…] A este respecto, cabe recordar que el artículo 860 del Código de Comercio regula la licitación en el derecho privado”. </w:t>
      </w:r>
    </w:p>
  </w:footnote>
  <w:footnote w:id="18">
    <w:p w14:paraId="18A03FB2" w14:textId="77777777" w:rsidR="00BE4455" w:rsidRPr="007B3DC1" w:rsidRDefault="00BE4455" w:rsidP="00BE4455">
      <w:pPr>
        <w:shd w:val="clear" w:color="auto" w:fill="FFFFFF"/>
        <w:spacing w:after="0" w:line="240" w:lineRule="auto"/>
        <w:ind w:firstLine="709"/>
        <w:jc w:val="both"/>
        <w:rPr>
          <w:rFonts w:ascii="Verdana" w:hAnsi="Verdana" w:cs="Arial"/>
          <w:sz w:val="16"/>
          <w:szCs w:val="16"/>
          <w:lang w:val="es-ES"/>
        </w:rPr>
      </w:pPr>
      <w:r w:rsidRPr="007B3DC1">
        <w:rPr>
          <w:rStyle w:val="Refdenotaalpie"/>
          <w:rFonts w:ascii="Verdana" w:hAnsi="Verdana" w:cs="Arial"/>
          <w:sz w:val="16"/>
          <w:szCs w:val="16"/>
        </w:rPr>
        <w:footnoteRef/>
      </w:r>
      <w:r w:rsidRPr="007B3DC1">
        <w:rPr>
          <w:rStyle w:val="Refdenotaalpie"/>
          <w:rFonts w:ascii="Verdana" w:hAnsi="Verdana" w:cs="Arial"/>
          <w:sz w:val="16"/>
          <w:szCs w:val="16"/>
        </w:rPr>
        <w:t xml:space="preserve"> </w:t>
      </w:r>
      <w:r w:rsidRPr="007B3DC1">
        <w:rPr>
          <w:rFonts w:ascii="Verdana" w:hAnsi="Verdana" w:cs="Arial"/>
          <w:sz w:val="16"/>
          <w:szCs w:val="16"/>
          <w:lang w:val="es-ES"/>
        </w:rPr>
        <w:t>Consejo de Estado. Sala de Consulta y Servicio Civil, Concepto de 8 de mayo de 2018. C.P. Álvaro Namén Vargas. Rad. 2382.</w:t>
      </w:r>
    </w:p>
  </w:footnote>
  <w:footnote w:id="19">
    <w:p w14:paraId="56B85C3D" w14:textId="77777777" w:rsidR="00BE4455" w:rsidRPr="007B3DC1" w:rsidRDefault="00BE4455" w:rsidP="00BE4455">
      <w:pPr>
        <w:pStyle w:val="Textonotapie"/>
        <w:ind w:firstLine="709"/>
        <w:jc w:val="both"/>
        <w:rPr>
          <w:rFonts w:ascii="Verdana"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Consejo de Estado. Sala de Consulta y Servicio Civil. Concepto del 08 de mayo de 2018.</w:t>
      </w:r>
      <w:r w:rsidRPr="007B3DC1">
        <w:rPr>
          <w:rFonts w:ascii="Verdana" w:hAnsi="Verdana" w:cs="Arial"/>
          <w:sz w:val="16"/>
          <w:szCs w:val="16"/>
          <w:lang w:val="es-CO"/>
        </w:rPr>
        <w:t xml:space="preserve"> C.P. Álvaro Namén Vargas.</w:t>
      </w:r>
      <w:r w:rsidRPr="007B3DC1">
        <w:rPr>
          <w:rFonts w:ascii="Verdana" w:hAnsi="Verdana" w:cs="Arial"/>
          <w:sz w:val="16"/>
          <w:szCs w:val="16"/>
        </w:rPr>
        <w:t xml:space="preserve"> Exp. 2.382.</w:t>
      </w:r>
    </w:p>
  </w:footnote>
  <w:footnote w:id="20">
    <w:p w14:paraId="79B7826C" w14:textId="77777777" w:rsidR="00BE4455" w:rsidRPr="007B3DC1" w:rsidRDefault="00BE4455" w:rsidP="00BE4455">
      <w:pPr>
        <w:pStyle w:val="Textonotapie"/>
        <w:ind w:firstLine="709"/>
        <w:jc w:val="both"/>
        <w:rPr>
          <w:rFonts w:ascii="Verdana"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1">
    <w:p w14:paraId="10136984" w14:textId="77777777" w:rsidR="00BE4455" w:rsidRPr="007B3DC1" w:rsidRDefault="00BE4455" w:rsidP="00BE4455">
      <w:pPr>
        <w:spacing w:after="0" w:line="240" w:lineRule="auto"/>
        <w:ind w:firstLine="709"/>
        <w:jc w:val="both"/>
        <w:rPr>
          <w:rFonts w:ascii="Verdana"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Consejo de Estado. Sala de Consulta y Servicio Civil. Concepto de 20 de febrero de 2006. C.P. Enrique José Arboleda Perdomo. Rad. 1727.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2">
    <w:p w14:paraId="53C39F3B" w14:textId="77777777" w:rsidR="00BE4455" w:rsidRPr="007B3DC1" w:rsidRDefault="00BE4455" w:rsidP="00BE4455">
      <w:pPr>
        <w:pStyle w:val="Textonotapie"/>
        <w:ind w:right="51" w:firstLine="709"/>
        <w:jc w:val="both"/>
        <w:rPr>
          <w:rFonts w:ascii="Verdana" w:eastAsia="Times New Roman" w:hAnsi="Verdana" w:cs="Arial"/>
          <w:bCs/>
          <w:sz w:val="16"/>
          <w:szCs w:val="16"/>
          <w:lang w:eastAsia="x-none"/>
        </w:rPr>
      </w:pPr>
      <w:r w:rsidRPr="007B3DC1">
        <w:rPr>
          <w:rStyle w:val="Refdenotaalpie"/>
          <w:rFonts w:ascii="Verdana" w:hAnsi="Verdana" w:cs="Arial"/>
          <w:sz w:val="16"/>
          <w:szCs w:val="16"/>
        </w:rPr>
        <w:footnoteRef/>
      </w:r>
      <w:r w:rsidRPr="007B3DC1">
        <w:rPr>
          <w:rFonts w:ascii="Verdana" w:hAnsi="Verdana" w:cs="Arial"/>
          <w:sz w:val="16"/>
          <w:szCs w:val="16"/>
        </w:rPr>
        <w:t xml:space="preserve"> Consejo de Estado. Sala de Consulta y Servicio Civil. Concepto de 6 de abril de 2006.C.P. Enrique José Arboleda Perdomo. </w:t>
      </w:r>
      <w:r w:rsidRPr="007B3DC1">
        <w:rPr>
          <w:rFonts w:ascii="Verdana" w:hAnsi="Verdana" w:cs="Arial"/>
          <w:sz w:val="16"/>
          <w:szCs w:val="16"/>
          <w:lang w:val="es-CO"/>
        </w:rPr>
        <w:t>Rad. 1738</w:t>
      </w:r>
      <w:r w:rsidRPr="007B3DC1">
        <w:rPr>
          <w:rFonts w:ascii="Verdana" w:eastAsia="Times New Roman" w:hAnsi="Verdana" w:cs="Arial"/>
          <w:bCs/>
          <w:sz w:val="16"/>
          <w:szCs w:val="16"/>
          <w:lang w:eastAsia="x-none"/>
        </w:rPr>
        <w:t xml:space="preserve"> “</w:t>
      </w:r>
      <w:r w:rsidRPr="007B3DC1">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7B3DC1">
        <w:rPr>
          <w:rFonts w:ascii="Verdana" w:eastAsia="Times New Roman" w:hAnsi="Verdana" w:cs="Arial"/>
          <w:bCs/>
          <w:sz w:val="16"/>
          <w:szCs w:val="16"/>
          <w:lang w:eastAsia="x-none"/>
        </w:rPr>
        <w:t>”.</w:t>
      </w:r>
    </w:p>
  </w:footnote>
  <w:footnote w:id="23">
    <w:p w14:paraId="12C06FB4" w14:textId="77777777" w:rsidR="00BE4455" w:rsidRPr="007B3DC1" w:rsidRDefault="00BE4455" w:rsidP="00BE4455">
      <w:pPr>
        <w:spacing w:after="0" w:line="240" w:lineRule="auto"/>
        <w:ind w:firstLine="708"/>
        <w:jc w:val="both"/>
        <w:rPr>
          <w:rFonts w:ascii="Verdana"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Consejo de Estado. Sala de Consulta y Servicio Civil. Concepto de 6 de abril de 2006. C.P. Enrique José Arboleda Perdomo. Rad. 1738. </w:t>
      </w:r>
    </w:p>
  </w:footnote>
  <w:footnote w:id="24">
    <w:p w14:paraId="7B8A1AFD" w14:textId="77777777" w:rsidR="00BE4455" w:rsidRPr="007B3DC1" w:rsidRDefault="00BE4455" w:rsidP="00BE4455">
      <w:pPr>
        <w:pStyle w:val="Textonotapie"/>
        <w:ind w:right="51" w:firstLine="709"/>
        <w:jc w:val="both"/>
        <w:rPr>
          <w:rFonts w:ascii="Verdana"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Consejo de Estado. Sala de Consulta y Servicio Civil, ídem.</w:t>
      </w:r>
    </w:p>
  </w:footnote>
  <w:footnote w:id="25">
    <w:p w14:paraId="7C3A4A80" w14:textId="77777777" w:rsidR="00BE4455" w:rsidRPr="007B3DC1" w:rsidRDefault="00BE4455" w:rsidP="00BE4455">
      <w:pPr>
        <w:pStyle w:val="Textonotapie"/>
        <w:ind w:firstLine="708"/>
        <w:jc w:val="both"/>
        <w:rPr>
          <w:rFonts w:ascii="Verdana" w:hAnsi="Verdana" w:cs="Arial"/>
          <w:sz w:val="16"/>
          <w:szCs w:val="16"/>
        </w:rPr>
      </w:pPr>
      <w:r w:rsidRPr="007B3DC1">
        <w:rPr>
          <w:rStyle w:val="Refdenotaalpie"/>
          <w:rFonts w:ascii="Verdana" w:hAnsi="Verdana" w:cs="Arial"/>
          <w:sz w:val="16"/>
          <w:szCs w:val="16"/>
        </w:rPr>
        <w:footnoteRef/>
      </w:r>
      <w:r w:rsidRPr="007B3DC1">
        <w:rPr>
          <w:rFonts w:ascii="Verdana" w:hAnsi="Verdana" w:cs="Arial"/>
          <w:sz w:val="16"/>
          <w:szCs w:val="16"/>
        </w:rPr>
        <w:t xml:space="preserve"> Colombia Compra Eficiente. Circular Externa Única. Numeral 15.5.</w:t>
      </w:r>
    </w:p>
  </w:footnote>
  <w:footnote w:id="26">
    <w:p w14:paraId="63491499" w14:textId="77777777" w:rsidR="00BE4455" w:rsidRPr="007B3DC1" w:rsidRDefault="00BE4455" w:rsidP="00BE4455">
      <w:pPr>
        <w:pStyle w:val="Textonotapie"/>
        <w:ind w:firstLine="709"/>
        <w:jc w:val="both"/>
        <w:rPr>
          <w:rFonts w:ascii="Verdana" w:eastAsia="Calibri" w:hAnsi="Verdana" w:cs="Arial"/>
          <w:sz w:val="16"/>
          <w:szCs w:val="16"/>
          <w:lang w:val="es-ES_tradnl"/>
        </w:rPr>
      </w:pPr>
      <w:r w:rsidRPr="007B3DC1">
        <w:rPr>
          <w:rStyle w:val="Refdenotaalpie"/>
          <w:rFonts w:ascii="Verdana" w:hAnsi="Verdana" w:cs="Arial"/>
          <w:sz w:val="16"/>
          <w:szCs w:val="16"/>
        </w:rPr>
        <w:footnoteRef/>
      </w:r>
      <w:r w:rsidRPr="007B3DC1">
        <w:rPr>
          <w:rFonts w:ascii="Verdana" w:hAnsi="Verdana" w:cs="Arial"/>
          <w:sz w:val="16"/>
          <w:szCs w:val="16"/>
        </w:rPr>
        <w:t xml:space="preserve"> </w:t>
      </w:r>
      <w:r w:rsidRPr="007B3DC1">
        <w:rPr>
          <w:rFonts w:ascii="Verdana" w:eastAsia="Calibri" w:hAnsi="Verdana" w:cs="Arial"/>
          <w:sz w:val="16"/>
          <w:szCs w:val="16"/>
          <w:lang w:val="es-ES_tradnl"/>
        </w:rPr>
        <w:t>HERNÁNDEZ, Pedro Alfonso. Descentralización, desconcentración y delegación en Colombia. Bogotá: Legis, 1999. p. 158.</w:t>
      </w:r>
    </w:p>
  </w:footnote>
  <w:footnote w:id="27">
    <w:p w14:paraId="05A8146B" w14:textId="77777777" w:rsidR="00BE4455" w:rsidRPr="007B3DC1" w:rsidRDefault="00BE4455" w:rsidP="00BE4455">
      <w:pPr>
        <w:pStyle w:val="Textonotapie"/>
        <w:ind w:firstLine="709"/>
        <w:jc w:val="both"/>
        <w:rPr>
          <w:rFonts w:ascii="Verdana" w:hAnsi="Verdana" w:cs="Arial"/>
          <w:sz w:val="16"/>
          <w:szCs w:val="16"/>
          <w:lang w:val="es-ES"/>
        </w:rPr>
      </w:pPr>
      <w:r w:rsidRPr="007B3DC1">
        <w:rPr>
          <w:rStyle w:val="Refdenotaalpie"/>
          <w:rFonts w:ascii="Verdana" w:hAnsi="Verdana" w:cs="Arial"/>
          <w:sz w:val="16"/>
          <w:szCs w:val="16"/>
        </w:rPr>
        <w:footnoteRef/>
      </w:r>
      <w:r w:rsidRPr="007B3DC1">
        <w:rPr>
          <w:rFonts w:ascii="Verdana" w:hAnsi="Verdana" w:cs="Arial"/>
          <w:sz w:val="16"/>
          <w:szCs w:val="16"/>
        </w:rPr>
        <w:t xml:space="preserve"> </w:t>
      </w:r>
      <w:r w:rsidRPr="007B3DC1">
        <w:rPr>
          <w:rFonts w:ascii="Verdana" w:eastAsia="Calibri" w:hAnsi="Verdana" w:cs="Arial"/>
          <w:sz w:val="16"/>
          <w:szCs w:val="16"/>
          <w:lang w:val="es-ES_tradnl"/>
        </w:rPr>
        <w:t xml:space="preserve">En esta medida, “Difiere […] la delegación y la desconcentración, en que la primera supone una asignación específica de funciones de un órgano que las ejecuta bajo su entera autonomía y responsabilidad, salvo que el delegante obre con dolo o culpa grave en sus funciones generales de vigilancia y control, evento en el que también sería responsable, mientras que en la segunda, esto es, la desconcentración, es el encargo que el superior hace a sus dependientes para que éstos, actuando a nombre y dirección de aquel, descongestionen la actividad administrativa” (Cfr. PALACIO HINCAPÉ, Juan Ángel. La contratación de las entidades estatales. Séptima Edición. Medellín: Librería Jurídica Sánchez, 2014. p. 97).   </w:t>
      </w:r>
      <w:r w:rsidRPr="007B3DC1">
        <w:rPr>
          <w:rFonts w:ascii="Verdana" w:hAnsi="Verdana" w:cs="Arial"/>
          <w:sz w:val="16"/>
          <w:szCs w:val="16"/>
        </w:rPr>
        <w:t xml:space="preserve">       </w:t>
      </w:r>
    </w:p>
  </w:footnote>
  <w:footnote w:id="28">
    <w:p w14:paraId="1C23F064" w14:textId="77777777" w:rsidR="00BE4455" w:rsidRPr="007B3DC1" w:rsidRDefault="00BE4455" w:rsidP="00BE4455">
      <w:pPr>
        <w:pStyle w:val="Textonotapie"/>
        <w:ind w:firstLine="708"/>
        <w:jc w:val="both"/>
        <w:rPr>
          <w:rFonts w:ascii="Verdana" w:hAnsi="Verdana"/>
          <w:sz w:val="16"/>
          <w:szCs w:val="16"/>
          <w:lang w:val="es-CO"/>
        </w:rPr>
      </w:pPr>
      <w:r w:rsidRPr="007B3DC1">
        <w:rPr>
          <w:rStyle w:val="Refdenotaalpie"/>
          <w:rFonts w:ascii="Verdana" w:hAnsi="Verdana"/>
          <w:sz w:val="16"/>
          <w:szCs w:val="16"/>
        </w:rPr>
        <w:footnoteRef/>
      </w:r>
      <w:r w:rsidRPr="007B3DC1">
        <w:rPr>
          <w:rFonts w:ascii="Verdana" w:hAnsi="Verdana"/>
          <w:sz w:val="16"/>
          <w:szCs w:val="16"/>
        </w:rPr>
        <w:t xml:space="preserve"> </w:t>
      </w:r>
      <w:bookmarkStart w:id="14" w:name="25"/>
      <w:r w:rsidRPr="007B3DC1">
        <w:rPr>
          <w:rFonts w:ascii="Verdana" w:hAnsi="Verdana"/>
          <w:sz w:val="16"/>
          <w:szCs w:val="16"/>
        </w:rPr>
        <w:t xml:space="preserve">Artículo 25. </w:t>
      </w:r>
      <w:r w:rsidRPr="007B3DC1">
        <w:rPr>
          <w:rFonts w:ascii="Verdana" w:hAnsi="Verdana"/>
          <w:sz w:val="16"/>
          <w:szCs w:val="16"/>
          <w:lang w:val="es-CO"/>
        </w:rPr>
        <w:t>Consulados.</w:t>
      </w:r>
      <w:bookmarkEnd w:id="14"/>
      <w:r w:rsidRPr="007B3DC1">
        <w:rPr>
          <w:rFonts w:ascii="Verdana" w:hAnsi="Verdana"/>
          <w:sz w:val="16"/>
          <w:szCs w:val="16"/>
          <w:lang w:val="es-CO"/>
        </w:rPr>
        <w:t> Sin perjuicio de las funciones establecidas en la Convención de Viena de 1963, son funciones permanentes de los consulados, las siguientes:</w:t>
      </w:r>
    </w:p>
    <w:p w14:paraId="29C9E38D"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1. Promover y salvaguardar los intereses del país y de sus nacionales en las áreas de su jurisdicción.</w:t>
      </w:r>
    </w:p>
    <w:p w14:paraId="412B6D0B"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2. Brindar asesoría jurídica, social y asistencia requerida por los connacionales.</w:t>
      </w:r>
    </w:p>
    <w:p w14:paraId="3A030A26"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3. Velar, dentro de los límites que impongan las leyes y reglamentos del Estado receptor, por los intereses de los connacionales menores de edad y de otras personas que carezcan de capacidad plena.</w:t>
      </w:r>
    </w:p>
    <w:p w14:paraId="21A934C4"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4. Actuar en calidad de notario, de funcionario de Registro Civil, y en funciones similares y ejercitar otras de carácter administrativo.</w:t>
      </w:r>
    </w:p>
    <w:p w14:paraId="7359F853"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5. Expedir pasaportes y documentos de viaje a los connacionales, y visados o documentos adecuados a las personas que deseen viajar a Colombia.</w:t>
      </w:r>
    </w:p>
    <w:p w14:paraId="5D988009"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6. Apoyar dentro de su jurisdicción, las labores de promoción económica, turística, científica, cultural, entre otras, conforme a los lineamientos de la Misión Diplomática correspondiente.</w:t>
      </w:r>
    </w:p>
    <w:p w14:paraId="3E74CB16"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7. Rendir informes, de conformidad con el reglamento, a la Misión Diplomática correspondiente sobre la evolución de la política migratoria bajo su jurisdicción.</w:t>
      </w:r>
    </w:p>
    <w:p w14:paraId="219FE176"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8. Presentar informes, de conformidad con el reglamento, a la Misión Diplomática correspondiente, a la Dirección de Asuntos Migratorios, Consulares y Servicio al Ciudadano y a la Dirección Administrativa y Financiera sobre la evolución de los servicios de trámites consulares, documentación, asistencia y asesorías prestados a la comunidad.</w:t>
      </w:r>
    </w:p>
    <w:p w14:paraId="0D9936E0"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9. Remitir a la Oficina Asesora Jurídica Interna la información relativa a las conciliaciones y a la defensa jurídica que se adelanten en su jurisdicción, en los que el Ministerio de Relaciones Exteriores y su Fondo Rotatorio hagan parte, a través de sus oficinas consulares.</w:t>
      </w:r>
    </w:p>
    <w:p w14:paraId="49DADC08"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10. Transmitir a la Dirección Administrativa y Financiera, el informe de los contratos que suscriba el consulado.</w:t>
      </w:r>
    </w:p>
    <w:p w14:paraId="6C3802A2"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11. Llevar un registro oportuno y confiable sobre el número y caracterización de la población colombiana que se encuentra en su jurisdicción.</w:t>
      </w:r>
    </w:p>
    <w:p w14:paraId="3BC9F7FD"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12. Mantener actualizados los sistemas de información referente al número y tipo de trámites consulares, documentación emitida, asistencia a connacionales, colombianos detenidos y asesorías prestadas, entre otros.</w:t>
      </w:r>
    </w:p>
    <w:p w14:paraId="4E3B778E"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13. Formular y ejecutar actividades de protección de los derechos fundamentales de los colombianos en el exterior y ejercer ante las autoridades del país donde se encuentren, las acciones pertinentes, de conformidad con los principios y normas del Derecho Internacional.</w:t>
      </w:r>
    </w:p>
    <w:p w14:paraId="5A6669D6"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14. Apoyar el desarrollo y sostenimiento del Sistema Integrado de Gestión Institucional.</w:t>
      </w:r>
    </w:p>
    <w:p w14:paraId="25F71C1F" w14:textId="77777777" w:rsidR="00BE4455" w:rsidRPr="007B3DC1" w:rsidRDefault="00BE4455" w:rsidP="00BE4455">
      <w:pPr>
        <w:pStyle w:val="Textonotapie"/>
        <w:ind w:firstLine="708"/>
        <w:jc w:val="both"/>
        <w:rPr>
          <w:rFonts w:ascii="Verdana" w:hAnsi="Verdana"/>
          <w:sz w:val="16"/>
          <w:szCs w:val="16"/>
          <w:lang w:val="es-CO"/>
        </w:rPr>
      </w:pPr>
      <w:r w:rsidRPr="007B3DC1">
        <w:rPr>
          <w:rFonts w:ascii="Verdana" w:hAnsi="Verdana"/>
          <w:sz w:val="16"/>
          <w:szCs w:val="16"/>
          <w:lang w:val="es-CO"/>
        </w:rPr>
        <w:t>15. Las demás que se le asignen y que correspondan a la naturaleza de la dependencia.</w:t>
      </w:r>
    </w:p>
    <w:p w14:paraId="13FEA1E3" w14:textId="77777777" w:rsidR="00BE4455" w:rsidRPr="007B3DC1" w:rsidRDefault="00BE4455" w:rsidP="00BE4455">
      <w:pPr>
        <w:pStyle w:val="Textonotapie"/>
        <w:jc w:val="both"/>
        <w:rPr>
          <w:rFonts w:ascii="Verdana" w:hAnsi="Verdana"/>
          <w:sz w:val="16"/>
          <w:szCs w:val="16"/>
          <w:lang w:val="es-CO"/>
        </w:rPr>
      </w:pPr>
    </w:p>
  </w:footnote>
  <w:footnote w:id="29">
    <w:p w14:paraId="2A954607" w14:textId="77777777" w:rsidR="00BE4455" w:rsidRPr="007B3DC1" w:rsidRDefault="00BE4455" w:rsidP="00BE4455">
      <w:pPr>
        <w:pStyle w:val="NormalWeb"/>
        <w:spacing w:before="0" w:beforeAutospacing="0" w:after="0" w:afterAutospacing="0"/>
        <w:ind w:firstLine="709"/>
        <w:jc w:val="both"/>
        <w:rPr>
          <w:rFonts w:ascii="Verdana" w:hAnsi="Verdana" w:cs="Arial"/>
          <w:color w:val="000000" w:themeColor="text1"/>
          <w:sz w:val="16"/>
          <w:szCs w:val="16"/>
        </w:rPr>
      </w:pPr>
      <w:r w:rsidRPr="007B3DC1">
        <w:rPr>
          <w:rStyle w:val="Refdenotaalpie"/>
          <w:rFonts w:ascii="Verdana" w:hAnsi="Verdana" w:cs="Arial"/>
          <w:sz w:val="16"/>
          <w:szCs w:val="16"/>
        </w:rPr>
        <w:footnoteRef/>
      </w:r>
      <w:r w:rsidRPr="007B3DC1">
        <w:rPr>
          <w:rFonts w:ascii="Verdana" w:hAnsi="Verdana" w:cs="Arial"/>
          <w:color w:val="000000" w:themeColor="text1"/>
          <w:sz w:val="16"/>
          <w:szCs w:val="16"/>
        </w:rPr>
        <w:t xml:space="preserve"> Ley 80 de 1993: “Artículo 13. De la normatividad aplicable a los contratos estatales. Los contratos que celebren las entidades a que se refiere el artículo </w:t>
      </w:r>
      <w:hyperlink r:id="rId1" w:anchor="2" w:history="1">
        <w:r w:rsidRPr="007B3DC1">
          <w:rPr>
            <w:rStyle w:val="Hipervnculo"/>
            <w:rFonts w:ascii="Verdana" w:hAnsi="Verdana" w:cs="Arial"/>
            <w:color w:val="000000" w:themeColor="text1"/>
            <w:sz w:val="16"/>
            <w:szCs w:val="16"/>
          </w:rPr>
          <w:t>2</w:t>
        </w:r>
      </w:hyperlink>
      <w:r w:rsidRPr="007B3DC1">
        <w:rPr>
          <w:rFonts w:ascii="Verdana" w:hAnsi="Verdana" w:cs="Arial"/>
          <w:color w:val="000000" w:themeColor="text1"/>
          <w:sz w:val="16"/>
          <w:szCs w:val="16"/>
        </w:rPr>
        <w:t>o. del presente estatuto se regirán por las disposiciones comerciales y civiles pertinentes, salvo en las materias particularmente reguladas en esta ley.</w:t>
      </w:r>
    </w:p>
    <w:p w14:paraId="3BAC35BD" w14:textId="77777777" w:rsidR="00BE4455" w:rsidRPr="007B3DC1" w:rsidRDefault="00BE4455" w:rsidP="00BE4455">
      <w:pPr>
        <w:pStyle w:val="NormalWeb"/>
        <w:spacing w:before="0" w:beforeAutospacing="0" w:after="0" w:afterAutospacing="0"/>
        <w:ind w:firstLine="709"/>
        <w:jc w:val="both"/>
        <w:rPr>
          <w:rFonts w:ascii="Verdana" w:hAnsi="Verdana" w:cs="Arial"/>
          <w:color w:val="000000" w:themeColor="text1"/>
          <w:sz w:val="16"/>
          <w:szCs w:val="16"/>
        </w:rPr>
      </w:pPr>
      <w:r w:rsidRPr="007B3DC1">
        <w:rPr>
          <w:rFonts w:ascii="Verdana" w:hAnsi="Verdana" w:cs="Arial"/>
          <w:color w:val="000000" w:themeColor="text1"/>
          <w:sz w:val="16"/>
          <w:szCs w:val="16"/>
        </w:rPr>
        <w:t>Los contratos celebrados en el exterior se podrán regir en su ejecución por las reglas del país en donde se hayan suscrito, a menos que deban cumplirse en Colombia.</w:t>
      </w:r>
    </w:p>
    <w:p w14:paraId="58965A2B" w14:textId="77777777" w:rsidR="00BE4455" w:rsidRPr="007B3DC1" w:rsidRDefault="00BE4455" w:rsidP="00BE4455">
      <w:pPr>
        <w:pStyle w:val="NormalWeb"/>
        <w:spacing w:before="0" w:beforeAutospacing="0" w:after="0" w:afterAutospacing="0"/>
        <w:ind w:firstLine="709"/>
        <w:jc w:val="both"/>
        <w:rPr>
          <w:rFonts w:ascii="Verdana" w:hAnsi="Verdana" w:cs="Arial"/>
          <w:color w:val="000000" w:themeColor="text1"/>
          <w:sz w:val="16"/>
          <w:szCs w:val="16"/>
        </w:rPr>
      </w:pPr>
      <w:r w:rsidRPr="007B3DC1">
        <w:rPr>
          <w:rFonts w:ascii="Verdana" w:hAnsi="Verdana" w:cs="Arial"/>
          <w:color w:val="000000" w:themeColor="text1"/>
          <w:sz w:val="16"/>
          <w:szCs w:val="16"/>
        </w:rPr>
        <w:t>Los contratos que se celebren en Colombia y deban ejecutarse o cumplirse en el extranjero, podrán someterse a la ley extranjera”.</w:t>
      </w:r>
    </w:p>
  </w:footnote>
  <w:footnote w:id="30">
    <w:p w14:paraId="1B0DFA8A" w14:textId="77777777" w:rsidR="00BE4455" w:rsidRPr="007B3DC1" w:rsidRDefault="00BE4455" w:rsidP="00BE4455">
      <w:pPr>
        <w:pStyle w:val="Textonotapie"/>
        <w:ind w:firstLine="709"/>
        <w:jc w:val="both"/>
        <w:rPr>
          <w:rFonts w:ascii="Verdana" w:hAnsi="Verdana" w:cs="Arial"/>
          <w:color w:val="000000" w:themeColor="text1"/>
          <w:sz w:val="16"/>
          <w:szCs w:val="16"/>
          <w:lang w:val="es-CO"/>
        </w:rPr>
      </w:pPr>
      <w:r w:rsidRPr="007B3DC1">
        <w:rPr>
          <w:rStyle w:val="Refdenotaalpie"/>
          <w:rFonts w:ascii="Verdana" w:hAnsi="Verdana" w:cs="Arial"/>
          <w:sz w:val="16"/>
          <w:szCs w:val="16"/>
        </w:rPr>
        <w:footnoteRef/>
      </w:r>
      <w:r w:rsidRPr="007B3DC1">
        <w:rPr>
          <w:rFonts w:ascii="Verdana" w:hAnsi="Verdana" w:cs="Arial"/>
          <w:color w:val="000000" w:themeColor="text1"/>
          <w:sz w:val="16"/>
          <w:szCs w:val="16"/>
        </w:rPr>
        <w:t xml:space="preserve"> Consejo de Estado. Sección Tercera, Subsección C. Sentencia del 26 de noviembre de 2015.</w:t>
      </w:r>
      <w:r w:rsidRPr="007636F9">
        <w:rPr>
          <w:rFonts w:ascii="Verdana" w:hAnsi="Verdana" w:cs="Arial"/>
          <w:color w:val="000000" w:themeColor="text1"/>
          <w:sz w:val="16"/>
          <w:szCs w:val="16"/>
          <w:lang w:val="es-CO"/>
        </w:rPr>
        <w:t xml:space="preserve"> C.P Jaime Orlando Santofimio Gamboa.</w:t>
      </w:r>
      <w:r w:rsidRPr="007B3DC1">
        <w:rPr>
          <w:rFonts w:ascii="Verdana" w:hAnsi="Verdana" w:cs="Arial"/>
          <w:color w:val="000000" w:themeColor="text1"/>
          <w:sz w:val="16"/>
          <w:szCs w:val="16"/>
        </w:rPr>
        <w:t xml:space="preserve"> </w:t>
      </w:r>
      <w:r w:rsidRPr="007B3DC1">
        <w:rPr>
          <w:rFonts w:ascii="Verdana" w:hAnsi="Verdana" w:cs="Arial"/>
          <w:color w:val="000000" w:themeColor="text1"/>
          <w:sz w:val="16"/>
          <w:szCs w:val="16"/>
          <w:lang w:val="es-ES_tradnl"/>
        </w:rPr>
        <w:t xml:space="preserve">Exp. </w:t>
      </w:r>
      <w:r w:rsidRPr="007B3DC1">
        <w:rPr>
          <w:rFonts w:ascii="Verdana" w:hAnsi="Verdana" w:cs="Arial"/>
          <w:color w:val="000000" w:themeColor="text1"/>
          <w:sz w:val="16"/>
          <w:szCs w:val="16"/>
          <w:lang w:val="es-CO"/>
        </w:rPr>
        <w:t xml:space="preserve">54.069.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15pt;height:13.15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79380012">
    <w:abstractNumId w:val="7"/>
  </w:num>
  <w:num w:numId="2" w16cid:durableId="1690525983">
    <w:abstractNumId w:val="2"/>
  </w:num>
  <w:num w:numId="3" w16cid:durableId="1491602662">
    <w:abstractNumId w:val="5"/>
  </w:num>
  <w:num w:numId="4" w16cid:durableId="197756636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694188633">
    <w:abstractNumId w:val="2"/>
  </w:num>
  <w:num w:numId="6" w16cid:durableId="214129008">
    <w:abstractNumId w:val="15"/>
  </w:num>
  <w:num w:numId="7" w16cid:durableId="1909487589">
    <w:abstractNumId w:val="6"/>
  </w:num>
  <w:num w:numId="8" w16cid:durableId="1943604444">
    <w:abstractNumId w:val="14"/>
  </w:num>
  <w:num w:numId="9" w16cid:durableId="1814524472">
    <w:abstractNumId w:val="8"/>
  </w:num>
  <w:num w:numId="10" w16cid:durableId="1928535502">
    <w:abstractNumId w:val="13"/>
  </w:num>
  <w:num w:numId="11" w16cid:durableId="1750931414">
    <w:abstractNumId w:val="9"/>
  </w:num>
  <w:num w:numId="12" w16cid:durableId="313529776">
    <w:abstractNumId w:val="1"/>
  </w:num>
  <w:num w:numId="13" w16cid:durableId="847333176">
    <w:abstractNumId w:val="4"/>
  </w:num>
  <w:num w:numId="14" w16cid:durableId="1492405226">
    <w:abstractNumId w:val="16"/>
  </w:num>
  <w:num w:numId="15" w16cid:durableId="1385520888">
    <w:abstractNumId w:val="12"/>
  </w:num>
  <w:num w:numId="16" w16cid:durableId="1346709983">
    <w:abstractNumId w:val="0"/>
  </w:num>
  <w:num w:numId="17" w16cid:durableId="1974021669">
    <w:abstractNumId w:val="10"/>
  </w:num>
  <w:num w:numId="18" w16cid:durableId="278881715">
    <w:abstractNumId w:val="11"/>
  </w:num>
  <w:num w:numId="19" w16cid:durableId="9199454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452B"/>
    <w:rsid w:val="0001041D"/>
    <w:rsid w:val="00016F78"/>
    <w:rsid w:val="00021DCE"/>
    <w:rsid w:val="00046945"/>
    <w:rsid w:val="00061B2A"/>
    <w:rsid w:val="00081367"/>
    <w:rsid w:val="00082362"/>
    <w:rsid w:val="000825A6"/>
    <w:rsid w:val="00095DAE"/>
    <w:rsid w:val="000A683E"/>
    <w:rsid w:val="000B19B9"/>
    <w:rsid w:val="000D0334"/>
    <w:rsid w:val="000D5040"/>
    <w:rsid w:val="000D5DA7"/>
    <w:rsid w:val="000F4BC5"/>
    <w:rsid w:val="000F6486"/>
    <w:rsid w:val="00102203"/>
    <w:rsid w:val="00116940"/>
    <w:rsid w:val="00125105"/>
    <w:rsid w:val="00127233"/>
    <w:rsid w:val="0012746B"/>
    <w:rsid w:val="00127474"/>
    <w:rsid w:val="0015699B"/>
    <w:rsid w:val="00186DE9"/>
    <w:rsid w:val="001967FD"/>
    <w:rsid w:val="001A33BF"/>
    <w:rsid w:val="001E194B"/>
    <w:rsid w:val="001E4177"/>
    <w:rsid w:val="001E5EA0"/>
    <w:rsid w:val="001F0B24"/>
    <w:rsid w:val="001F7DC6"/>
    <w:rsid w:val="0020079E"/>
    <w:rsid w:val="0022400B"/>
    <w:rsid w:val="002421BB"/>
    <w:rsid w:val="0024692A"/>
    <w:rsid w:val="0025796E"/>
    <w:rsid w:val="00261121"/>
    <w:rsid w:val="002707A2"/>
    <w:rsid w:val="00272A28"/>
    <w:rsid w:val="002826F0"/>
    <w:rsid w:val="002845F4"/>
    <w:rsid w:val="002857D9"/>
    <w:rsid w:val="00293441"/>
    <w:rsid w:val="002951A0"/>
    <w:rsid w:val="002962BC"/>
    <w:rsid w:val="002A093D"/>
    <w:rsid w:val="002A0DD0"/>
    <w:rsid w:val="002A49AC"/>
    <w:rsid w:val="002A64FD"/>
    <w:rsid w:val="002A760C"/>
    <w:rsid w:val="002C5725"/>
    <w:rsid w:val="002C7A84"/>
    <w:rsid w:val="002E2BF8"/>
    <w:rsid w:val="002E4FD9"/>
    <w:rsid w:val="002E60E4"/>
    <w:rsid w:val="002F3CDF"/>
    <w:rsid w:val="0030657A"/>
    <w:rsid w:val="00322A85"/>
    <w:rsid w:val="00324168"/>
    <w:rsid w:val="00330834"/>
    <w:rsid w:val="00330F80"/>
    <w:rsid w:val="003318AB"/>
    <w:rsid w:val="003448F4"/>
    <w:rsid w:val="00355EA0"/>
    <w:rsid w:val="003604F5"/>
    <w:rsid w:val="00374F5E"/>
    <w:rsid w:val="00377E3E"/>
    <w:rsid w:val="003A779E"/>
    <w:rsid w:val="003C5B9E"/>
    <w:rsid w:val="003C64B8"/>
    <w:rsid w:val="003D0F4D"/>
    <w:rsid w:val="003D1CF9"/>
    <w:rsid w:val="003D5B0D"/>
    <w:rsid w:val="003E0499"/>
    <w:rsid w:val="003E4F80"/>
    <w:rsid w:val="003E6439"/>
    <w:rsid w:val="003E6646"/>
    <w:rsid w:val="003F3941"/>
    <w:rsid w:val="00406575"/>
    <w:rsid w:val="00414C74"/>
    <w:rsid w:val="00417B5B"/>
    <w:rsid w:val="0042722E"/>
    <w:rsid w:val="00437377"/>
    <w:rsid w:val="0044528D"/>
    <w:rsid w:val="00447D22"/>
    <w:rsid w:val="0045377D"/>
    <w:rsid w:val="00466302"/>
    <w:rsid w:val="00466E39"/>
    <w:rsid w:val="004674CF"/>
    <w:rsid w:val="00473BEB"/>
    <w:rsid w:val="00494C69"/>
    <w:rsid w:val="004A1847"/>
    <w:rsid w:val="004A305D"/>
    <w:rsid w:val="004B7D74"/>
    <w:rsid w:val="004D420F"/>
    <w:rsid w:val="004F1C0A"/>
    <w:rsid w:val="004F21C4"/>
    <w:rsid w:val="004F685F"/>
    <w:rsid w:val="00515363"/>
    <w:rsid w:val="005154AE"/>
    <w:rsid w:val="0053199F"/>
    <w:rsid w:val="005461C4"/>
    <w:rsid w:val="005566E8"/>
    <w:rsid w:val="00574867"/>
    <w:rsid w:val="00580BC6"/>
    <w:rsid w:val="00585673"/>
    <w:rsid w:val="00591460"/>
    <w:rsid w:val="00597A19"/>
    <w:rsid w:val="005A10AB"/>
    <w:rsid w:val="005A65E0"/>
    <w:rsid w:val="005B0452"/>
    <w:rsid w:val="005C3777"/>
    <w:rsid w:val="005C5CDC"/>
    <w:rsid w:val="005C6BC8"/>
    <w:rsid w:val="005D476C"/>
    <w:rsid w:val="005E6B20"/>
    <w:rsid w:val="005F181C"/>
    <w:rsid w:val="00614323"/>
    <w:rsid w:val="006200BF"/>
    <w:rsid w:val="006219F8"/>
    <w:rsid w:val="006229C7"/>
    <w:rsid w:val="006302F7"/>
    <w:rsid w:val="00646B9F"/>
    <w:rsid w:val="00656F96"/>
    <w:rsid w:val="00662D62"/>
    <w:rsid w:val="00665485"/>
    <w:rsid w:val="00665D70"/>
    <w:rsid w:val="00686C01"/>
    <w:rsid w:val="006900D9"/>
    <w:rsid w:val="006A2093"/>
    <w:rsid w:val="006C04F1"/>
    <w:rsid w:val="006D76F7"/>
    <w:rsid w:val="006E2BF4"/>
    <w:rsid w:val="00706C16"/>
    <w:rsid w:val="00721364"/>
    <w:rsid w:val="007317FA"/>
    <w:rsid w:val="007340C3"/>
    <w:rsid w:val="00737DF0"/>
    <w:rsid w:val="0075235A"/>
    <w:rsid w:val="00752490"/>
    <w:rsid w:val="00756841"/>
    <w:rsid w:val="007649AB"/>
    <w:rsid w:val="00771D0C"/>
    <w:rsid w:val="007744FB"/>
    <w:rsid w:val="007829E1"/>
    <w:rsid w:val="007833AC"/>
    <w:rsid w:val="0078433B"/>
    <w:rsid w:val="007A153F"/>
    <w:rsid w:val="007A54B3"/>
    <w:rsid w:val="007B268C"/>
    <w:rsid w:val="007B7171"/>
    <w:rsid w:val="007C0C0F"/>
    <w:rsid w:val="007C3DC2"/>
    <w:rsid w:val="007D3968"/>
    <w:rsid w:val="007E5497"/>
    <w:rsid w:val="00806F5F"/>
    <w:rsid w:val="00815B83"/>
    <w:rsid w:val="00817856"/>
    <w:rsid w:val="00820169"/>
    <w:rsid w:val="00820278"/>
    <w:rsid w:val="00824114"/>
    <w:rsid w:val="008258C9"/>
    <w:rsid w:val="00826EE8"/>
    <w:rsid w:val="00844AE9"/>
    <w:rsid w:val="00867F95"/>
    <w:rsid w:val="008835B4"/>
    <w:rsid w:val="008843B6"/>
    <w:rsid w:val="00891928"/>
    <w:rsid w:val="008934CB"/>
    <w:rsid w:val="00895356"/>
    <w:rsid w:val="008A446D"/>
    <w:rsid w:val="008B104D"/>
    <w:rsid w:val="008B25F1"/>
    <w:rsid w:val="008C571F"/>
    <w:rsid w:val="008C5A84"/>
    <w:rsid w:val="008D180B"/>
    <w:rsid w:val="008E72AF"/>
    <w:rsid w:val="008F0EA7"/>
    <w:rsid w:val="008F327E"/>
    <w:rsid w:val="00923EEF"/>
    <w:rsid w:val="00925E66"/>
    <w:rsid w:val="009305DC"/>
    <w:rsid w:val="009419F9"/>
    <w:rsid w:val="0095685E"/>
    <w:rsid w:val="00961B09"/>
    <w:rsid w:val="00965334"/>
    <w:rsid w:val="0097093E"/>
    <w:rsid w:val="00990BF1"/>
    <w:rsid w:val="009A027F"/>
    <w:rsid w:val="009A0DFA"/>
    <w:rsid w:val="009A1C6F"/>
    <w:rsid w:val="009B2D26"/>
    <w:rsid w:val="009B7652"/>
    <w:rsid w:val="009C71FA"/>
    <w:rsid w:val="009C72E7"/>
    <w:rsid w:val="009C7F7E"/>
    <w:rsid w:val="009D3058"/>
    <w:rsid w:val="009D31B2"/>
    <w:rsid w:val="009E6333"/>
    <w:rsid w:val="009F3A13"/>
    <w:rsid w:val="00A07EBF"/>
    <w:rsid w:val="00A1025E"/>
    <w:rsid w:val="00A122D3"/>
    <w:rsid w:val="00A14468"/>
    <w:rsid w:val="00A17F13"/>
    <w:rsid w:val="00A20739"/>
    <w:rsid w:val="00A218FA"/>
    <w:rsid w:val="00A23AF9"/>
    <w:rsid w:val="00A33C78"/>
    <w:rsid w:val="00A63F17"/>
    <w:rsid w:val="00A83161"/>
    <w:rsid w:val="00A86E5C"/>
    <w:rsid w:val="00AB0ADB"/>
    <w:rsid w:val="00AD67E7"/>
    <w:rsid w:val="00B00C0E"/>
    <w:rsid w:val="00B01B1A"/>
    <w:rsid w:val="00B0381D"/>
    <w:rsid w:val="00B13882"/>
    <w:rsid w:val="00B14F11"/>
    <w:rsid w:val="00B14F36"/>
    <w:rsid w:val="00B44A47"/>
    <w:rsid w:val="00B72CD3"/>
    <w:rsid w:val="00B72FFF"/>
    <w:rsid w:val="00B7443D"/>
    <w:rsid w:val="00B82816"/>
    <w:rsid w:val="00B944AA"/>
    <w:rsid w:val="00B95ED8"/>
    <w:rsid w:val="00BA15D8"/>
    <w:rsid w:val="00BA7A2E"/>
    <w:rsid w:val="00BB1573"/>
    <w:rsid w:val="00BC3D36"/>
    <w:rsid w:val="00BC6E4E"/>
    <w:rsid w:val="00BD54A6"/>
    <w:rsid w:val="00BD7F72"/>
    <w:rsid w:val="00BE0FC4"/>
    <w:rsid w:val="00BE4455"/>
    <w:rsid w:val="00BF05E4"/>
    <w:rsid w:val="00BF58CD"/>
    <w:rsid w:val="00BF6651"/>
    <w:rsid w:val="00BF7425"/>
    <w:rsid w:val="00C04FB3"/>
    <w:rsid w:val="00C11D8B"/>
    <w:rsid w:val="00C15139"/>
    <w:rsid w:val="00C330EB"/>
    <w:rsid w:val="00C50D69"/>
    <w:rsid w:val="00C5365C"/>
    <w:rsid w:val="00C67C8B"/>
    <w:rsid w:val="00C729D3"/>
    <w:rsid w:val="00C754BE"/>
    <w:rsid w:val="00C76B1C"/>
    <w:rsid w:val="00C925AC"/>
    <w:rsid w:val="00C946BF"/>
    <w:rsid w:val="00C958D1"/>
    <w:rsid w:val="00CA0E68"/>
    <w:rsid w:val="00CB6357"/>
    <w:rsid w:val="00CC1B26"/>
    <w:rsid w:val="00CD6067"/>
    <w:rsid w:val="00CE4589"/>
    <w:rsid w:val="00CE72C3"/>
    <w:rsid w:val="00CF4861"/>
    <w:rsid w:val="00D13C5D"/>
    <w:rsid w:val="00D14E75"/>
    <w:rsid w:val="00D31EC6"/>
    <w:rsid w:val="00D350D3"/>
    <w:rsid w:val="00D361FD"/>
    <w:rsid w:val="00D417C8"/>
    <w:rsid w:val="00D423A2"/>
    <w:rsid w:val="00D439FC"/>
    <w:rsid w:val="00D44E26"/>
    <w:rsid w:val="00D520D8"/>
    <w:rsid w:val="00D53F94"/>
    <w:rsid w:val="00D63AC2"/>
    <w:rsid w:val="00D71035"/>
    <w:rsid w:val="00D7383B"/>
    <w:rsid w:val="00D7788A"/>
    <w:rsid w:val="00DA231B"/>
    <w:rsid w:val="00DC39FC"/>
    <w:rsid w:val="00DD0992"/>
    <w:rsid w:val="00DE2965"/>
    <w:rsid w:val="00DF3F1B"/>
    <w:rsid w:val="00DF5254"/>
    <w:rsid w:val="00E02524"/>
    <w:rsid w:val="00E16408"/>
    <w:rsid w:val="00E20894"/>
    <w:rsid w:val="00E22A1A"/>
    <w:rsid w:val="00E245AB"/>
    <w:rsid w:val="00E2764C"/>
    <w:rsid w:val="00E27F2E"/>
    <w:rsid w:val="00E35083"/>
    <w:rsid w:val="00E5016B"/>
    <w:rsid w:val="00E50AFE"/>
    <w:rsid w:val="00E54809"/>
    <w:rsid w:val="00E56EE8"/>
    <w:rsid w:val="00E60AD8"/>
    <w:rsid w:val="00E75C92"/>
    <w:rsid w:val="00E760D9"/>
    <w:rsid w:val="00E771DC"/>
    <w:rsid w:val="00E8252C"/>
    <w:rsid w:val="00E83EFE"/>
    <w:rsid w:val="00E8772A"/>
    <w:rsid w:val="00E90AC3"/>
    <w:rsid w:val="00E90F6B"/>
    <w:rsid w:val="00E92C27"/>
    <w:rsid w:val="00EA0E3D"/>
    <w:rsid w:val="00EA4B5D"/>
    <w:rsid w:val="00EC38A7"/>
    <w:rsid w:val="00EE1AA8"/>
    <w:rsid w:val="00F04FFA"/>
    <w:rsid w:val="00F163B0"/>
    <w:rsid w:val="00F16BC8"/>
    <w:rsid w:val="00F23FEA"/>
    <w:rsid w:val="00F31A4A"/>
    <w:rsid w:val="00F31EDC"/>
    <w:rsid w:val="00F462B3"/>
    <w:rsid w:val="00F5664F"/>
    <w:rsid w:val="00F624DD"/>
    <w:rsid w:val="00F6449F"/>
    <w:rsid w:val="00F666C4"/>
    <w:rsid w:val="00F7339B"/>
    <w:rsid w:val="00F76AFC"/>
    <w:rsid w:val="00FA3E17"/>
    <w:rsid w:val="00FA47C0"/>
    <w:rsid w:val="00FB2271"/>
    <w:rsid w:val="00FB5DD1"/>
    <w:rsid w:val="00FC2B5D"/>
    <w:rsid w:val="00FD63E7"/>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E66"/>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CE72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javier.barragan12021993@gmail.com" TargetMode="External"/><Relationship Id="rId18" Type="http://schemas.openxmlformats.org/officeDocument/2006/relationships/hyperlink" Target="https://www.cancilleria.gov.co/normograma/compilacion/docs/ley_1564_2012.htm"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mailto:ventanilladeradicacion@colombiacompra.gov.co" TargetMode="Externa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hyperlink" Target="https://www.cancilleria.gov.co/normograma/compilacion/docs/decreto_2348_2014.htm"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cancilleria.gov.co/normograma/compilacion/docs/decreto_3357_2009.htm" TargetMode="External"/><Relationship Id="rId20"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image" Target="media/image4.png"/><Relationship Id="rId5" Type="http://schemas.openxmlformats.org/officeDocument/2006/relationships/numbering" Target="numbering.xml"/><Relationship Id="rId15" Type="http://schemas.openxmlformats.org/officeDocument/2006/relationships/hyperlink" Target="https://www.cancilleria.gov.co/normograma/compilacion/docs/decreto_2078_2004.htm" TargetMode="External"/><Relationship Id="rId23" Type="http://schemas.openxmlformats.org/officeDocument/2006/relationships/hyperlink" Target="https://forms.office.com/r/pPHyWVs2SZ"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relatoria.colombiacompra.gov.co/busqueda/conceptos"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ancilleria.gov.co/normograma/compilacion/docs/decreto_0274_2000.htm" TargetMode="External"/><Relationship Id="rId22" Type="http://schemas.openxmlformats.org/officeDocument/2006/relationships/hyperlink" Target="https://www.colombiacompra.gov.co/pqrsd/informacion-importante-antes-de-formular-una-pqrsd"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secretariasenado.gov.co/senado/basedoc/ley_0080_1993.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4C918C67-18F4-418E-9E75-0BCDE0686B3D}">
  <ds:schemaRefs>
    <ds:schemaRef ds:uri="http://schemas.openxmlformats.org/officeDocument/2006/bibliography"/>
  </ds:schemaRefs>
</ds:datastoreItem>
</file>

<file path=customXml/itemProps3.xml><?xml version="1.0" encoding="utf-8"?>
<ds:datastoreItem xmlns:ds="http://schemas.openxmlformats.org/officeDocument/2006/customXml" ds:itemID="{45950FBB-3E2C-491D-9174-C23D85878BD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19</TotalTime>
  <Pages>33</Pages>
  <Words>11447</Words>
  <Characters>63076</Characters>
  <Application>Microsoft Office Word</Application>
  <DocSecurity>0</DocSecurity>
  <Lines>1190</Lines>
  <Paragraphs>194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2026-02-14T15:04:00Z</dcterms:created>
  <dcterms:modified xsi:type="dcterms:W3CDTF">2026-02-17T15:54:00Z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