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404E4" w14:textId="77777777" w:rsidR="00F76CA5" w:rsidRPr="00D337FB" w:rsidRDefault="00F76CA5" w:rsidP="00F76CA5">
      <w:pPr>
        <w:pStyle w:val="paragraph"/>
        <w:spacing w:before="0" w:beforeAutospacing="0" w:after="0" w:afterAutospacing="0"/>
        <w:jc w:val="both"/>
        <w:textAlignment w:val="baseline"/>
        <w:rPr>
          <w:rFonts w:ascii="Verdana" w:hAnsi="Verdana" w:cs="Arial"/>
          <w:sz w:val="22"/>
          <w:szCs w:val="22"/>
        </w:rPr>
      </w:pPr>
      <w:bookmarkStart w:id="0" w:name="_Hlk143780582"/>
      <w:r w:rsidRPr="00D337FB">
        <w:rPr>
          <w:rStyle w:val="normaltextrun"/>
          <w:rFonts w:ascii="Verdana" w:hAnsi="Verdana" w:cs="Arial"/>
          <w:b/>
          <w:bCs/>
          <w:sz w:val="22"/>
          <w:szCs w:val="22"/>
          <w:lang w:val="es-MX"/>
        </w:rPr>
        <w:t>LEY DE GARANTÍAS ELECTORALES ‒ Finalidad</w:t>
      </w:r>
      <w:r w:rsidRPr="00D337FB">
        <w:rPr>
          <w:rStyle w:val="eop"/>
          <w:rFonts w:ascii="Verdana" w:hAnsi="Verdana" w:cs="Arial"/>
          <w:sz w:val="22"/>
          <w:szCs w:val="22"/>
        </w:rPr>
        <w:t> </w:t>
      </w:r>
    </w:p>
    <w:p w14:paraId="196C7F43"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725AFE69" w14:textId="18348C5B"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normaltextrun"/>
          <w:rFonts w:ascii="Verdana" w:hAnsi="Verdana" w:cs="Arial"/>
          <w:sz w:val="20"/>
          <w:szCs w:val="20"/>
          <w:lang w:val="es-ES"/>
        </w:rPr>
        <w:t xml:space="preserve">[…] </w:t>
      </w:r>
      <w:r w:rsidRPr="00480A95">
        <w:rPr>
          <w:rStyle w:val="normaltextrun"/>
          <w:rFonts w:ascii="Verdana" w:hAnsi="Verdana" w:cs="Arial"/>
          <w:sz w:val="20"/>
          <w:szCs w:val="20"/>
          <w:lang w:val="es-MX"/>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80A95">
        <w:rPr>
          <w:rStyle w:val="eop"/>
          <w:rFonts w:ascii="Verdana" w:hAnsi="Verdana" w:cs="Arial"/>
          <w:sz w:val="20"/>
          <w:szCs w:val="20"/>
        </w:rPr>
        <w:t> </w:t>
      </w:r>
    </w:p>
    <w:p w14:paraId="27DEF084"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2EBDC0DC" w14:textId="77777777" w:rsidR="00F76CA5" w:rsidRPr="00D337FB" w:rsidRDefault="00F76CA5" w:rsidP="00F76CA5">
      <w:pPr>
        <w:pStyle w:val="paragraph"/>
        <w:spacing w:before="0" w:beforeAutospacing="0" w:after="0" w:afterAutospacing="0"/>
        <w:jc w:val="both"/>
        <w:textAlignment w:val="baseline"/>
        <w:rPr>
          <w:rFonts w:ascii="Verdana" w:hAnsi="Verdana" w:cs="Arial"/>
          <w:sz w:val="22"/>
          <w:szCs w:val="22"/>
        </w:rPr>
      </w:pPr>
      <w:r w:rsidRPr="00D337FB">
        <w:rPr>
          <w:rStyle w:val="normaltextrun"/>
          <w:rFonts w:ascii="Verdana" w:hAnsi="Verdana" w:cs="Arial"/>
          <w:b/>
          <w:bCs/>
          <w:sz w:val="22"/>
          <w:szCs w:val="22"/>
          <w:lang w:val="es-MX"/>
        </w:rPr>
        <w:t xml:space="preserve">LEY DE GARANTÍAS ELECTORALES ‒ Tipos de restricciones ‒ Ámbito temporal </w:t>
      </w:r>
      <w:r w:rsidRPr="00D337FB">
        <w:rPr>
          <w:rStyle w:val="eop"/>
          <w:rFonts w:ascii="Verdana" w:hAnsi="Verdana" w:cs="Arial"/>
          <w:sz w:val="22"/>
          <w:szCs w:val="22"/>
        </w:rPr>
        <w:t> </w:t>
      </w:r>
    </w:p>
    <w:p w14:paraId="409C87A5"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500CA8F8"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normaltextrun"/>
          <w:rFonts w:ascii="Verdana" w:hAnsi="Verdana" w:cs="Arial"/>
          <w:sz w:val="20"/>
          <w:szCs w:val="20"/>
          <w:lang w:val="es-ES"/>
        </w:rPr>
        <w:t xml:space="preserve">[…] la Ley 996 de 2005 establece dos (2) tipos de restricciones en materia de contratación, las cuales coinciden parcialmente. </w:t>
      </w:r>
      <w:r w:rsidRPr="00480A95">
        <w:rPr>
          <w:rStyle w:val="normaltextrun"/>
          <w:rFonts w:ascii="Verdana" w:hAnsi="Verdana" w:cs="Arial"/>
          <w:i/>
          <w:iCs/>
          <w:sz w:val="20"/>
          <w:szCs w:val="20"/>
          <w:lang w:val="es-ES"/>
        </w:rPr>
        <w:t>En primer lugar</w:t>
      </w:r>
      <w:r w:rsidRPr="00480A95">
        <w:rPr>
          <w:rStyle w:val="normaltextrun"/>
          <w:rFonts w:ascii="Verdana" w:hAnsi="Verdana" w:cs="Arial"/>
          <w:sz w:val="20"/>
          <w:szCs w:val="20"/>
          <w:lang w:val="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80A95">
        <w:rPr>
          <w:rStyle w:val="normaltextrun"/>
          <w:rFonts w:ascii="Verdana" w:hAnsi="Verdana" w:cs="Arial"/>
          <w:i/>
          <w:iCs/>
          <w:sz w:val="20"/>
          <w:szCs w:val="20"/>
          <w:lang w:val="es-ES"/>
        </w:rPr>
        <w:t>En segundo lugar</w:t>
      </w:r>
      <w:r w:rsidRPr="00480A95">
        <w:rPr>
          <w:rStyle w:val="normaltextrun"/>
          <w:rFonts w:ascii="Verdana" w:hAnsi="Verdana" w:cs="Arial"/>
          <w:sz w:val="20"/>
          <w:szCs w:val="20"/>
          <w:lang w:val="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480A95">
        <w:rPr>
          <w:rStyle w:val="eop"/>
          <w:rFonts w:ascii="Verdana" w:hAnsi="Verdana" w:cs="Arial"/>
          <w:sz w:val="20"/>
          <w:szCs w:val="20"/>
        </w:rPr>
        <w:t> </w:t>
      </w:r>
    </w:p>
    <w:p w14:paraId="10BB1EBE"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75972108" w14:textId="77777777" w:rsidR="00F76CA5" w:rsidRPr="00D337FB" w:rsidRDefault="00F76CA5" w:rsidP="00F76CA5">
      <w:pPr>
        <w:pStyle w:val="paragraph"/>
        <w:spacing w:before="0" w:beforeAutospacing="0" w:after="0" w:afterAutospacing="0"/>
        <w:jc w:val="both"/>
        <w:textAlignment w:val="baseline"/>
        <w:rPr>
          <w:rFonts w:ascii="Verdana" w:hAnsi="Verdana" w:cs="Arial"/>
          <w:sz w:val="22"/>
          <w:szCs w:val="22"/>
        </w:rPr>
      </w:pPr>
      <w:r w:rsidRPr="00D337FB">
        <w:rPr>
          <w:rStyle w:val="normaltextrun"/>
          <w:rFonts w:ascii="Verdana" w:hAnsi="Verdana" w:cs="Arial"/>
          <w:b/>
          <w:bCs/>
          <w:sz w:val="22"/>
          <w:szCs w:val="22"/>
          <w:lang w:val="es-MX"/>
        </w:rPr>
        <w:t>LEY DE GARANTÍAS ELECTORALES ‒ Prohibición por elección de cargos populares – Convenios y contratos interadministrativos – Definición – Criterio orgánico</w:t>
      </w:r>
      <w:r w:rsidRPr="00D337FB">
        <w:rPr>
          <w:rStyle w:val="eop"/>
          <w:rFonts w:ascii="Verdana" w:hAnsi="Verdana" w:cs="Arial"/>
          <w:sz w:val="22"/>
          <w:szCs w:val="22"/>
        </w:rPr>
        <w:t> </w:t>
      </w:r>
    </w:p>
    <w:p w14:paraId="41DB3115" w14:textId="77777777" w:rsidR="00F76CA5" w:rsidRPr="00480A95" w:rsidRDefault="00F76CA5" w:rsidP="00F76CA5">
      <w:pPr>
        <w:pStyle w:val="paragraph"/>
        <w:spacing w:before="0" w:beforeAutospacing="0" w:after="0" w:afterAutospacing="0"/>
        <w:jc w:val="both"/>
        <w:textAlignment w:val="baseline"/>
        <w:rPr>
          <w:rStyle w:val="normaltextrun"/>
          <w:rFonts w:ascii="Verdana" w:hAnsi="Verdana"/>
          <w:lang w:val="es-ES"/>
        </w:rPr>
      </w:pPr>
      <w:r w:rsidRPr="00480A95">
        <w:rPr>
          <w:rStyle w:val="normaltextrun"/>
          <w:rFonts w:ascii="Verdana" w:hAnsi="Verdana"/>
          <w:lang w:val="es-ES"/>
        </w:rPr>
        <w:t> </w:t>
      </w:r>
    </w:p>
    <w:p w14:paraId="10F6D22A" w14:textId="77777777" w:rsidR="00F76CA5" w:rsidRPr="00480A95" w:rsidRDefault="00F76CA5" w:rsidP="00F76CA5">
      <w:pPr>
        <w:spacing w:after="120" w:line="240" w:lineRule="auto"/>
        <w:jc w:val="both"/>
        <w:rPr>
          <w:rStyle w:val="normaltextrun"/>
          <w:rFonts w:ascii="Verdana" w:eastAsia="Times New Roman" w:hAnsi="Verdana" w:cs="Arial"/>
          <w:sz w:val="20"/>
          <w:szCs w:val="20"/>
          <w:lang w:val="es-ES" w:eastAsia="es-CO"/>
        </w:rPr>
      </w:pPr>
      <w:r w:rsidRPr="00480A95">
        <w:rPr>
          <w:rStyle w:val="normaltextrun"/>
          <w:rFonts w:ascii="Verdana" w:eastAsia="Times New Roman" w:hAnsi="Verdana" w:cs="Arial"/>
          <w:sz w:val="20"/>
          <w:szCs w:val="20"/>
          <w:lang w:val="es-ES" w:eastAsia="es-CO"/>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7E95F6F" w14:textId="6602AAD5" w:rsidR="00F76CA5" w:rsidRDefault="00F76CA5" w:rsidP="00E3285D">
      <w:pPr>
        <w:spacing w:after="240" w:line="240" w:lineRule="auto"/>
        <w:jc w:val="both"/>
        <w:rPr>
          <w:rStyle w:val="normaltextrun"/>
          <w:rFonts w:ascii="Verdana" w:eastAsia="Times New Roman" w:hAnsi="Verdana" w:cs="Arial"/>
          <w:sz w:val="20"/>
          <w:szCs w:val="20"/>
          <w:lang w:val="es-ES" w:eastAsia="es-CO"/>
        </w:rPr>
      </w:pPr>
      <w:r w:rsidRPr="00480A95">
        <w:rPr>
          <w:rStyle w:val="normaltextrun"/>
          <w:rFonts w:ascii="Verdana" w:eastAsia="Times New Roman" w:hAnsi="Verdana" w:cs="Arial"/>
          <w:sz w:val="20"/>
          <w:szCs w:val="20"/>
          <w:lang w:val="es-ES" w:eastAsia="es-CO"/>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w:t>
      </w:r>
      <w:r w:rsidRPr="00480A95">
        <w:rPr>
          <w:rStyle w:val="normaltextrun"/>
          <w:rFonts w:ascii="Verdana" w:eastAsia="Times New Roman" w:hAnsi="Verdana" w:cs="Arial"/>
          <w:sz w:val="20"/>
          <w:szCs w:val="20"/>
          <w:lang w:val="es-ES" w:eastAsia="es-CO"/>
        </w:rPr>
        <w:lastRenderedPageBreak/>
        <w:t>municipio – bien puede celebrar esta clase de convenios con una Entidad Estatal de régimen especial y no por ello dejará de ser un contrato o convenio interadministrativo</w:t>
      </w:r>
      <w:r w:rsidR="00E3285D">
        <w:rPr>
          <w:rStyle w:val="normaltextrun"/>
          <w:rFonts w:ascii="Verdana" w:eastAsia="Times New Roman" w:hAnsi="Verdana" w:cs="Arial"/>
          <w:sz w:val="20"/>
          <w:szCs w:val="20"/>
          <w:lang w:val="es-ES" w:eastAsia="es-CO"/>
        </w:rPr>
        <w:t>.</w:t>
      </w:r>
    </w:p>
    <w:p w14:paraId="4FE673D3" w14:textId="77777777" w:rsidR="00E3285D" w:rsidRPr="00D337FB" w:rsidRDefault="00E3285D" w:rsidP="00E3285D">
      <w:pPr>
        <w:spacing w:line="240" w:lineRule="auto"/>
        <w:jc w:val="both"/>
        <w:rPr>
          <w:rFonts w:ascii="Verdana" w:eastAsia="Calibri" w:hAnsi="Verdana" w:cs="Arial"/>
          <w:color w:val="000000" w:themeColor="text1"/>
        </w:rPr>
      </w:pPr>
      <w:r w:rsidRPr="00D337FB">
        <w:rPr>
          <w:rFonts w:ascii="Verdana" w:eastAsia="Calibri" w:hAnsi="Verdana" w:cs="Arial"/>
          <w:b/>
          <w:color w:val="000000" w:themeColor="text1"/>
        </w:rPr>
        <w:t xml:space="preserve">ACTIVIDADES DE CIENCIA, TECNOLOGÍA E INNOVACIÓN – Regulación </w:t>
      </w:r>
    </w:p>
    <w:p w14:paraId="56F649E8" w14:textId="77777777" w:rsidR="00E3285D" w:rsidRPr="00480A95" w:rsidRDefault="00E3285D" w:rsidP="00E3285D">
      <w:pPr>
        <w:spacing w:line="240" w:lineRule="auto"/>
        <w:jc w:val="both"/>
        <w:rPr>
          <w:rFonts w:ascii="Verdana" w:eastAsia="Calibri" w:hAnsi="Verdana" w:cs="Arial"/>
          <w:color w:val="000000" w:themeColor="text1"/>
          <w:sz w:val="20"/>
          <w:szCs w:val="20"/>
        </w:rPr>
      </w:pPr>
      <w:r w:rsidRPr="00480A95">
        <w:rPr>
          <w:rFonts w:ascii="Verdana" w:eastAsia="Calibri" w:hAnsi="Verdana" w:cs="Arial"/>
          <w:color w:val="000000" w:themeColor="text1"/>
          <w:sz w:val="20"/>
          <w:szCs w:val="20"/>
        </w:rPr>
        <w:t xml:space="preserve">Las actividades de ciencia, tecnología e innovación están previstas en cuatro cuerpos normativos, que se sintetizan de la siguiente manera: i) el Decreto Ley 393 de 1991, que prevé dos formas de asociación para que las entidades ejecuten actividades científicas y tecnológicas, proyectos de investigación y creación de tecnologías: a) crear personas jurídicas civiles, comerciales y sin ánimo de lucro y b) celebrar convenios especiales de cooperación. ii) El Decreto Ley 591 de 1991, que enlista actividades científicas y tecnológicas y, a pesar de que su propósito principal era regular las modalidades específicas de contratos de fomento de esas actividades, con la derogatoria del artículo 7 que señalaba 10 tipos de contratos, actualmente se encuentran vigentes 3: a) contratos de financiamiento, b) contratos de administración de proyectos y c) convenios especiales de cooperación. iii) La Ley 1286 de 2009. Y iv) el Documento CONPES 3582 de 2009, donde se define cuáles son estas actividades de los actores del Sistema Nacional de Ciencia, Tecnología e Innovación. </w:t>
      </w:r>
    </w:p>
    <w:p w14:paraId="6A816247" w14:textId="12A3FC57" w:rsidR="0028553B" w:rsidRDefault="00D337FB" w:rsidP="0028553B">
      <w:pPr>
        <w:spacing w:after="240" w:line="240" w:lineRule="auto"/>
        <w:jc w:val="both"/>
        <w:rPr>
          <w:rFonts w:ascii="Verdana" w:eastAsia="Times New Roman" w:hAnsi="Verdana" w:cs="Arial"/>
          <w:b/>
          <w:bCs/>
          <w:lang w:eastAsia="es-CO"/>
        </w:rPr>
      </w:pPr>
      <w:r w:rsidRPr="00D337FB">
        <w:rPr>
          <w:rFonts w:ascii="Verdana" w:eastAsia="Times New Roman" w:hAnsi="Verdana" w:cs="Arial"/>
          <w:b/>
          <w:bCs/>
          <w:lang w:eastAsia="es-CO"/>
        </w:rPr>
        <w:t xml:space="preserve">CONTRATACIÓN ESTATAL </w:t>
      </w:r>
      <w:r w:rsidR="002A4ED0" w:rsidRPr="002A4ED0">
        <w:rPr>
          <w:rFonts w:ascii="Verdana" w:eastAsia="Times New Roman" w:hAnsi="Verdana" w:cs="Arial"/>
          <w:b/>
          <w:bCs/>
          <w:lang w:val="es-ES" w:eastAsia="es-CO"/>
        </w:rPr>
        <w:t>–</w:t>
      </w:r>
      <w:r w:rsidRPr="00D337FB">
        <w:rPr>
          <w:rFonts w:ascii="Verdana" w:eastAsia="Times New Roman" w:hAnsi="Verdana" w:cs="Arial"/>
          <w:b/>
          <w:bCs/>
          <w:lang w:eastAsia="es-CO"/>
        </w:rPr>
        <w:t xml:space="preserve"> Aplicación de la ley 996 de 2005 </w:t>
      </w:r>
      <w:r w:rsidR="002A4ED0" w:rsidRPr="002A4ED0">
        <w:rPr>
          <w:rFonts w:ascii="Verdana" w:eastAsia="Times New Roman" w:hAnsi="Verdana" w:cs="Arial"/>
          <w:b/>
          <w:bCs/>
          <w:lang w:val="es-ES" w:eastAsia="es-CO"/>
        </w:rPr>
        <w:t>–</w:t>
      </w:r>
      <w:r w:rsidR="002A4ED0">
        <w:rPr>
          <w:rFonts w:ascii="Verdana" w:eastAsia="Times New Roman" w:hAnsi="Verdana" w:cs="Arial"/>
          <w:b/>
          <w:bCs/>
          <w:lang w:val="es-ES" w:eastAsia="es-CO"/>
        </w:rPr>
        <w:t xml:space="preserve"> </w:t>
      </w:r>
      <w:r w:rsidRPr="00D337FB">
        <w:rPr>
          <w:rFonts w:ascii="Verdana" w:eastAsia="Times New Roman" w:hAnsi="Verdana" w:cs="Arial"/>
          <w:b/>
          <w:bCs/>
          <w:lang w:eastAsia="es-CO"/>
        </w:rPr>
        <w:t>Contratos de fomento o financiación de actividades científicas y tecnológicas</w:t>
      </w:r>
    </w:p>
    <w:p w14:paraId="67D3CBAA" w14:textId="288B7292" w:rsidR="00195892" w:rsidRPr="00B8325E" w:rsidRDefault="00F40262" w:rsidP="00B8325E">
      <w:pPr>
        <w:spacing w:after="120" w:line="240" w:lineRule="auto"/>
        <w:jc w:val="both"/>
        <w:rPr>
          <w:rStyle w:val="normaltextrun"/>
          <w:rFonts w:ascii="Verdana" w:hAnsi="Verdana" w:cs="Arial"/>
          <w:sz w:val="20"/>
          <w:szCs w:val="20"/>
          <w:lang w:val="es-ES"/>
        </w:rPr>
      </w:pPr>
      <w:r w:rsidRPr="00480A95">
        <w:rPr>
          <w:rStyle w:val="normaltextrun"/>
          <w:rFonts w:ascii="Verdana" w:hAnsi="Verdana" w:cs="Arial"/>
          <w:sz w:val="20"/>
          <w:szCs w:val="20"/>
          <w:lang w:val="es-ES"/>
        </w:rPr>
        <w:t>[…]</w:t>
      </w:r>
      <w:r w:rsidR="00B8325E">
        <w:rPr>
          <w:rStyle w:val="normaltextrun"/>
          <w:rFonts w:ascii="Verdana" w:hAnsi="Verdana" w:cs="Arial"/>
          <w:sz w:val="20"/>
          <w:szCs w:val="20"/>
          <w:lang w:val="es-ES"/>
        </w:rPr>
        <w:t xml:space="preserve"> </w:t>
      </w:r>
      <w:r w:rsidR="002E56E7" w:rsidRPr="002E56E7">
        <w:rPr>
          <w:rFonts w:ascii="Verdana" w:eastAsia="Times New Roman" w:hAnsi="Verdana" w:cs="Arial"/>
          <w:sz w:val="20"/>
          <w:szCs w:val="20"/>
          <w:lang w:eastAsia="es-CO"/>
        </w:rPr>
        <w:t>Una interpretación sistemática de los artículos 4 num. 5 y 33 de la ley 1286, lleva a sostener que en los contratos cuyo objeto es la realización de actividades de ciencia y tecnología, la modalidad de selección aplicable es la contratación directa, la cual puede instrumentarse mediante convocatorias públicas que permitan pluralidad de ofertas y concurrencia de oferentes con miras a realizar el principio de selección objetiva ínsito en la contratación pública. Es menester concluir que en los contratos de ciencia y tecnología no podrá acudirse a la modalidad de contratación directa dentro del ámbito temporal en que la prohibición prevista en el artículo 33 de la ley estatutaria 996 de 2005 produce sus efectos jurídicos, en atención a que la prohibición temporal contenida en ésta se aplica también a los contratos de derecho público de ciencia y tecnología.</w:t>
      </w:r>
      <w:r w:rsidR="00B8325E" w:rsidRPr="00B8325E">
        <w:rPr>
          <w:rStyle w:val="normaltextrun"/>
          <w:rFonts w:ascii="Verdana" w:hAnsi="Verdana" w:cs="Arial"/>
          <w:sz w:val="20"/>
          <w:szCs w:val="20"/>
          <w:lang w:val="es-ES"/>
        </w:rPr>
        <w:t xml:space="preserve"> </w:t>
      </w:r>
      <w:r w:rsidR="00B8325E" w:rsidRPr="00480A95">
        <w:rPr>
          <w:rStyle w:val="normaltextrun"/>
          <w:rFonts w:ascii="Verdana" w:hAnsi="Verdana" w:cs="Arial"/>
          <w:sz w:val="20"/>
          <w:szCs w:val="20"/>
          <w:lang w:val="es-ES"/>
        </w:rPr>
        <w:t>[…]</w:t>
      </w:r>
    </w:p>
    <w:p w14:paraId="743EAF9B" w14:textId="77777777" w:rsidR="003704ED" w:rsidRDefault="003704ED" w:rsidP="00195892">
      <w:pPr>
        <w:rPr>
          <w:rStyle w:val="normaltextrun"/>
          <w:rFonts w:ascii="Verdana" w:eastAsia="Times New Roman" w:hAnsi="Verdana" w:cs="Arial"/>
          <w:sz w:val="20"/>
          <w:szCs w:val="20"/>
          <w:lang w:val="es-ES" w:eastAsia="es-CO"/>
        </w:rPr>
      </w:pPr>
    </w:p>
    <w:p w14:paraId="71EF815C" w14:textId="77777777" w:rsidR="00B8325E" w:rsidRDefault="00B8325E" w:rsidP="00195892">
      <w:pPr>
        <w:rPr>
          <w:rStyle w:val="normaltextrun"/>
          <w:rFonts w:ascii="Verdana" w:eastAsia="Times New Roman" w:hAnsi="Verdana" w:cs="Arial"/>
          <w:sz w:val="20"/>
          <w:szCs w:val="20"/>
          <w:lang w:val="es-ES" w:eastAsia="es-CO"/>
        </w:rPr>
      </w:pPr>
    </w:p>
    <w:p w14:paraId="7324A3B3" w14:textId="77777777" w:rsidR="00B8325E" w:rsidRDefault="00B8325E" w:rsidP="00195892">
      <w:pPr>
        <w:rPr>
          <w:rStyle w:val="normaltextrun"/>
          <w:rFonts w:ascii="Verdana" w:eastAsia="Times New Roman" w:hAnsi="Verdana" w:cs="Arial"/>
          <w:sz w:val="20"/>
          <w:szCs w:val="20"/>
          <w:lang w:val="es-ES" w:eastAsia="es-CO"/>
        </w:rPr>
      </w:pPr>
    </w:p>
    <w:p w14:paraId="6F26175A" w14:textId="77777777" w:rsidR="00B8325E" w:rsidRDefault="00B8325E" w:rsidP="00195892">
      <w:pPr>
        <w:rPr>
          <w:rStyle w:val="normaltextrun"/>
          <w:rFonts w:ascii="Verdana" w:eastAsia="Times New Roman" w:hAnsi="Verdana" w:cs="Arial"/>
          <w:sz w:val="20"/>
          <w:szCs w:val="20"/>
          <w:lang w:val="es-ES" w:eastAsia="es-CO"/>
        </w:rPr>
      </w:pPr>
    </w:p>
    <w:p w14:paraId="6EFF858A" w14:textId="77777777" w:rsidR="00B8325E" w:rsidRDefault="00B8325E" w:rsidP="00195892">
      <w:pPr>
        <w:rPr>
          <w:rStyle w:val="normaltextrun"/>
          <w:rFonts w:ascii="Verdana" w:eastAsia="Times New Roman" w:hAnsi="Verdana" w:cs="Arial"/>
          <w:sz w:val="20"/>
          <w:szCs w:val="20"/>
          <w:lang w:val="es-ES" w:eastAsia="es-CO"/>
        </w:rPr>
      </w:pPr>
    </w:p>
    <w:p w14:paraId="790F2532" w14:textId="77777777" w:rsidR="00B8325E" w:rsidRDefault="00B8325E" w:rsidP="00195892">
      <w:pPr>
        <w:rPr>
          <w:rStyle w:val="normaltextrun"/>
          <w:rFonts w:ascii="Verdana" w:eastAsia="Times New Roman" w:hAnsi="Verdana" w:cs="Arial"/>
          <w:sz w:val="20"/>
          <w:szCs w:val="20"/>
          <w:lang w:val="es-ES" w:eastAsia="es-CO"/>
        </w:rPr>
      </w:pPr>
    </w:p>
    <w:p w14:paraId="518CE572" w14:textId="77777777" w:rsidR="00B8325E" w:rsidRDefault="00B8325E" w:rsidP="00195892">
      <w:pPr>
        <w:rPr>
          <w:rStyle w:val="normaltextrun"/>
          <w:rFonts w:ascii="Verdana" w:eastAsia="Times New Roman" w:hAnsi="Verdana" w:cs="Arial"/>
          <w:sz w:val="20"/>
          <w:szCs w:val="20"/>
          <w:lang w:val="es-ES" w:eastAsia="es-CO"/>
        </w:rPr>
      </w:pPr>
    </w:p>
    <w:p w14:paraId="3CB7BA8D" w14:textId="77777777" w:rsidR="00E60F74" w:rsidRDefault="00E60F74" w:rsidP="00195892">
      <w:pPr>
        <w:rPr>
          <w:rStyle w:val="normaltextrun"/>
          <w:rFonts w:ascii="Verdana" w:eastAsia="Times New Roman" w:hAnsi="Verdana" w:cs="Arial"/>
          <w:sz w:val="20"/>
          <w:szCs w:val="20"/>
          <w:lang w:val="es-ES" w:eastAsia="es-CO"/>
        </w:rPr>
      </w:pPr>
    </w:p>
    <w:p w14:paraId="64B9A640" w14:textId="5F2A6317" w:rsidR="00E60F74" w:rsidRDefault="00C15139" w:rsidP="00195892">
      <w:pPr>
        <w:rPr>
          <w:rFonts w:ascii="Verdana" w:hAnsi="Verdana"/>
        </w:rPr>
      </w:pPr>
      <w:r w:rsidRPr="00480A95">
        <w:rPr>
          <w:rFonts w:ascii="Verdana" w:hAnsi="Verdana"/>
        </w:rPr>
        <w:lastRenderedPageBreak/>
        <w:t xml:space="preserve">Bogotá D.C., </w:t>
      </w:r>
      <w:r w:rsidR="00E60F74">
        <w:rPr>
          <w:rFonts w:ascii="Verdana" w:hAnsi="Verdana"/>
        </w:rPr>
        <w:t>30 de enero del 2026</w:t>
      </w:r>
      <w:r w:rsidRPr="00480A95">
        <w:rPr>
          <w:rFonts w:ascii="Verdana" w:hAnsi="Verdana"/>
        </w:rPr>
        <w:tab/>
      </w:r>
    </w:p>
    <w:p w14:paraId="1468C46D" w14:textId="11C40400" w:rsidR="00C15139" w:rsidRPr="00480A95" w:rsidRDefault="00E60F74" w:rsidP="00E60F74">
      <w:pPr>
        <w:jc w:val="right"/>
        <w:rPr>
          <w:rFonts w:ascii="Verdana" w:eastAsia="Times New Roman" w:hAnsi="Verdana" w:cs="Arial"/>
          <w:sz w:val="20"/>
          <w:szCs w:val="20"/>
          <w:lang w:val="es-ES" w:eastAsia="es-CO"/>
        </w:rPr>
      </w:pPr>
      <w:r w:rsidRPr="00E60F74">
        <w:rPr>
          <w:rFonts w:ascii="Verdana" w:hAnsi="Verdana"/>
          <w:noProof/>
        </w:rPr>
        <w:drawing>
          <wp:inline distT="0" distB="0" distL="0" distR="0" wp14:anchorId="27DA3AE2" wp14:editId="665AE642">
            <wp:extent cx="2838450" cy="828675"/>
            <wp:effectExtent l="0" t="0" r="0" b="9525"/>
            <wp:docPr id="191583840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838400" name="Imagen 1" descr="Texto&#10;&#10;El contenido generado por IA puede ser incorrecto."/>
                    <pic:cNvPicPr/>
                  </pic:nvPicPr>
                  <pic:blipFill>
                    <a:blip r:embed="rId11"/>
                    <a:stretch>
                      <a:fillRect/>
                    </a:stretch>
                  </pic:blipFill>
                  <pic:spPr>
                    <a:xfrm>
                      <a:off x="0" y="0"/>
                      <a:ext cx="2838871" cy="828798"/>
                    </a:xfrm>
                    <a:prstGeom prst="rect">
                      <a:avLst/>
                    </a:prstGeom>
                  </pic:spPr>
                </pic:pic>
              </a:graphicData>
            </a:graphic>
          </wp:inline>
        </w:drawing>
      </w:r>
      <w:r w:rsidR="00C15139" w:rsidRPr="00480A95">
        <w:rPr>
          <w:rFonts w:ascii="Verdana" w:hAnsi="Verdana"/>
        </w:rPr>
        <w:tab/>
      </w:r>
    </w:p>
    <w:p w14:paraId="655D22D3" w14:textId="7CCEE68C" w:rsidR="00F346E0" w:rsidRPr="00480A95" w:rsidRDefault="007A07B2" w:rsidP="00F346E0">
      <w:pPr>
        <w:spacing w:after="0"/>
        <w:rPr>
          <w:rFonts w:ascii="Verdana" w:hAnsi="Verdana"/>
        </w:rPr>
      </w:pPr>
      <w:r w:rsidRPr="00480A95">
        <w:rPr>
          <w:rFonts w:ascii="Verdana" w:eastAsia="Calibri" w:hAnsi="Verdana" w:cs="Arial"/>
          <w:color w:val="000000" w:themeColor="text1"/>
          <w:lang w:val="es-ES" w:eastAsia="es-ES"/>
        </w:rPr>
        <w:t>Doctora</w:t>
      </w:r>
    </w:p>
    <w:p w14:paraId="410DD749" w14:textId="7122118B" w:rsidR="00F346E0" w:rsidRPr="00480A95" w:rsidRDefault="00051C0F" w:rsidP="00F346E0">
      <w:pPr>
        <w:spacing w:after="0" w:line="240" w:lineRule="auto"/>
        <w:jc w:val="both"/>
        <w:rPr>
          <w:rFonts w:ascii="Verdana" w:eastAsia="Calibri" w:hAnsi="Verdana" w:cs="Arial"/>
          <w:b/>
          <w:bCs/>
          <w:color w:val="000000" w:themeColor="text1"/>
          <w:lang w:eastAsia="es-ES"/>
        </w:rPr>
      </w:pPr>
      <w:r w:rsidRPr="00480A95">
        <w:rPr>
          <w:rFonts w:ascii="Verdana" w:eastAsia="Calibri" w:hAnsi="Verdana" w:cs="Arial"/>
          <w:b/>
          <w:bCs/>
          <w:color w:val="000000" w:themeColor="text1"/>
          <w:lang w:eastAsia="es-ES"/>
        </w:rPr>
        <w:t xml:space="preserve">Carolina Montealegre </w:t>
      </w:r>
    </w:p>
    <w:p w14:paraId="13DCA87A" w14:textId="360A308E" w:rsidR="00341C79" w:rsidRPr="00480A95" w:rsidRDefault="00341C79" w:rsidP="00F346E0">
      <w:pPr>
        <w:spacing w:after="0" w:line="240" w:lineRule="auto"/>
        <w:jc w:val="both"/>
        <w:rPr>
          <w:rFonts w:ascii="Verdana" w:eastAsia="Calibri" w:hAnsi="Verdana" w:cs="Arial"/>
          <w:color w:val="000000" w:themeColor="text1"/>
          <w:lang w:eastAsia="es-ES"/>
        </w:rPr>
      </w:pPr>
      <w:r w:rsidRPr="00480A95">
        <w:rPr>
          <w:rFonts w:ascii="Verdana" w:eastAsia="Calibri" w:hAnsi="Verdana" w:cs="Arial"/>
          <w:color w:val="000000" w:themeColor="text1"/>
          <w:lang w:eastAsia="es-ES"/>
        </w:rPr>
        <w:t>Directora de Gestión de Recursos para la Ciencia Te</w:t>
      </w:r>
      <w:r w:rsidR="00AC6AD1" w:rsidRPr="00480A95">
        <w:rPr>
          <w:rFonts w:ascii="Verdana" w:eastAsia="Calibri" w:hAnsi="Verdana" w:cs="Arial"/>
          <w:color w:val="000000" w:themeColor="text1"/>
          <w:lang w:eastAsia="es-ES"/>
        </w:rPr>
        <w:t>cnología e Innovación</w:t>
      </w:r>
    </w:p>
    <w:p w14:paraId="47551CC0" w14:textId="7C98C8E1" w:rsidR="00AC6AD1" w:rsidRPr="00480A95" w:rsidRDefault="00B63582" w:rsidP="00F346E0">
      <w:pPr>
        <w:spacing w:after="0" w:line="240" w:lineRule="auto"/>
        <w:jc w:val="both"/>
        <w:rPr>
          <w:rFonts w:ascii="Verdana" w:eastAsia="Calibri" w:hAnsi="Verdana" w:cs="Arial"/>
          <w:color w:val="000000" w:themeColor="text1"/>
          <w:lang w:eastAsia="es-ES"/>
        </w:rPr>
      </w:pPr>
      <w:r w:rsidRPr="00480A95">
        <w:rPr>
          <w:rFonts w:ascii="Verdana" w:eastAsia="Calibri" w:hAnsi="Verdana" w:cs="Arial"/>
          <w:color w:val="000000" w:themeColor="text1"/>
          <w:lang w:eastAsia="es-ES"/>
        </w:rPr>
        <w:t xml:space="preserve">Ministerio de </w:t>
      </w:r>
      <w:r w:rsidR="00154598" w:rsidRPr="00480A95">
        <w:rPr>
          <w:rFonts w:ascii="Verdana" w:eastAsia="Calibri" w:hAnsi="Verdana" w:cs="Arial"/>
          <w:color w:val="000000" w:themeColor="text1"/>
          <w:lang w:eastAsia="es-ES"/>
        </w:rPr>
        <w:t>Tecnologías</w:t>
      </w:r>
      <w:r w:rsidRPr="00480A95">
        <w:rPr>
          <w:rFonts w:ascii="Verdana" w:eastAsia="Calibri" w:hAnsi="Verdana" w:cs="Arial"/>
          <w:color w:val="000000" w:themeColor="text1"/>
          <w:lang w:eastAsia="es-ES"/>
        </w:rPr>
        <w:t xml:space="preserve"> de la Información </w:t>
      </w:r>
    </w:p>
    <w:p w14:paraId="1C7EA44A" w14:textId="72909368" w:rsidR="005E7609" w:rsidRPr="00480A95" w:rsidRDefault="005E7609" w:rsidP="00F346E0">
      <w:pPr>
        <w:spacing w:after="0" w:line="240" w:lineRule="auto"/>
        <w:rPr>
          <w:rFonts w:ascii="Verdana" w:hAnsi="Verdana"/>
        </w:rPr>
      </w:pPr>
      <w:hyperlink r:id="rId12" w:history="1">
        <w:r w:rsidRPr="00480A95">
          <w:rPr>
            <w:rStyle w:val="Hipervnculo"/>
            <w:rFonts w:ascii="Verdana" w:hAnsi="Verdana"/>
          </w:rPr>
          <w:t>comontealegre@minciencias.gov.co</w:t>
        </w:r>
      </w:hyperlink>
    </w:p>
    <w:p w14:paraId="31B250CF" w14:textId="5BB727CC" w:rsidR="00F346E0" w:rsidRPr="00480A95" w:rsidRDefault="00E0235C" w:rsidP="00F346E0">
      <w:pPr>
        <w:spacing w:after="0" w:line="240" w:lineRule="auto"/>
        <w:rPr>
          <w:rFonts w:ascii="Verdana" w:eastAsia="Calibri" w:hAnsi="Verdana" w:cs="Arial"/>
          <w:b/>
          <w:bCs/>
          <w:color w:val="000000" w:themeColor="text1"/>
          <w:lang w:val="es-ES_tradnl" w:eastAsia="es-ES"/>
        </w:rPr>
      </w:pPr>
      <w:r w:rsidRPr="00480A95">
        <w:rPr>
          <w:rFonts w:ascii="Verdana" w:eastAsia="Calibri" w:hAnsi="Verdana" w:cs="Arial"/>
          <w:color w:val="000000" w:themeColor="text1"/>
          <w:lang w:val="es-ES_tradnl" w:eastAsia="es-ES"/>
        </w:rPr>
        <w:t>Bogotá D.C.</w:t>
      </w:r>
    </w:p>
    <w:p w14:paraId="20D2D50A" w14:textId="77777777" w:rsidR="00F346E0" w:rsidRPr="00480A95" w:rsidRDefault="00F346E0" w:rsidP="00F346E0">
      <w:pPr>
        <w:spacing w:after="0" w:line="240" w:lineRule="auto"/>
        <w:rPr>
          <w:rFonts w:ascii="Verdana" w:eastAsia="Calibri" w:hAnsi="Verdana" w:cs="Arial"/>
          <w:b/>
          <w:bCs/>
          <w:color w:val="000000" w:themeColor="text1"/>
          <w:highlight w:val="cyan"/>
          <w:lang w:val="es-ES_tradnl" w:eastAsia="es-ES_tradnl"/>
        </w:rPr>
      </w:pPr>
    </w:p>
    <w:p w14:paraId="5343B12E" w14:textId="77777777" w:rsidR="00F346E0" w:rsidRPr="00480A95" w:rsidRDefault="00F346E0" w:rsidP="00F346E0">
      <w:pPr>
        <w:spacing w:after="0" w:line="240" w:lineRule="auto"/>
        <w:rPr>
          <w:rFonts w:ascii="Verdana" w:eastAsia="Calibri" w:hAnsi="Verdana" w:cs="Arial"/>
          <w:b/>
          <w:bCs/>
          <w:color w:val="000000" w:themeColor="text1"/>
          <w:highlight w:val="cyan"/>
          <w:lang w:val="es-ES_tradnl" w:eastAsia="es-ES_tradnl"/>
        </w:rPr>
      </w:pPr>
    </w:p>
    <w:p w14:paraId="66F115AA" w14:textId="1EAD5E81" w:rsidR="00F346E0" w:rsidRPr="00480A95" w:rsidRDefault="00F346E0" w:rsidP="00F346E0">
      <w:pPr>
        <w:spacing w:after="0" w:line="240" w:lineRule="auto"/>
        <w:rPr>
          <w:rFonts w:ascii="Verdana" w:eastAsia="Calibri" w:hAnsi="Verdana" w:cs="Arial"/>
          <w:b/>
          <w:bCs/>
          <w:color w:val="000000" w:themeColor="text1"/>
          <w:lang w:val="es-ES_tradnl" w:eastAsia="es-ES_tradnl"/>
        </w:rPr>
      </w:pPr>
      <w:r w:rsidRPr="00480A95">
        <w:rPr>
          <w:rFonts w:ascii="Verdana" w:eastAsia="Calibri" w:hAnsi="Verdana" w:cs="Arial"/>
          <w:b/>
          <w:bCs/>
          <w:color w:val="000000" w:themeColor="text1"/>
          <w:lang w:val="es-ES_tradnl" w:eastAsia="es-ES_tradnl"/>
        </w:rPr>
        <w:t xml:space="preserve">                                   Concepto </w:t>
      </w:r>
      <w:r w:rsidR="00131923" w:rsidRPr="00480A95">
        <w:rPr>
          <w:rFonts w:ascii="Verdana" w:eastAsia="Calibri" w:hAnsi="Verdana" w:cs="Arial"/>
          <w:b/>
          <w:bCs/>
          <w:color w:val="000000" w:themeColor="text1"/>
          <w:lang w:val="es-ES_tradnl" w:eastAsia="es-ES_tradnl"/>
        </w:rPr>
        <w:t xml:space="preserve">C-051 </w:t>
      </w:r>
      <w:r w:rsidRPr="00480A95">
        <w:rPr>
          <w:rFonts w:ascii="Verdana" w:eastAsia="Calibri" w:hAnsi="Verdana" w:cs="Arial"/>
          <w:b/>
          <w:bCs/>
          <w:color w:val="000000" w:themeColor="text1"/>
          <w:lang w:val="es-ES_tradnl" w:eastAsia="es-ES_tradnl"/>
        </w:rPr>
        <w:t>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346E0" w:rsidRPr="00480A95" w14:paraId="085DE8BB" w14:textId="77777777" w:rsidTr="007A0EF6">
        <w:trPr>
          <w:gridAfter w:val="1"/>
          <w:wAfter w:w="6100" w:type="dxa"/>
          <w:trHeight w:val="133"/>
        </w:trPr>
        <w:tc>
          <w:tcPr>
            <w:tcW w:w="2689" w:type="dxa"/>
          </w:tcPr>
          <w:p w14:paraId="49D9006F" w14:textId="77777777" w:rsidR="00F346E0" w:rsidRPr="00480A95" w:rsidRDefault="00F346E0" w:rsidP="007A0EF6">
            <w:pPr>
              <w:jc w:val="both"/>
              <w:rPr>
                <w:rFonts w:ascii="Verdana" w:eastAsia="Calibri" w:hAnsi="Verdana" w:cs="Arial"/>
                <w:b/>
                <w:bCs/>
                <w:color w:val="000000" w:themeColor="text1"/>
                <w:highlight w:val="cyan"/>
                <w:lang w:val="es-ES_tradnl" w:eastAsia="es-ES_tradnl"/>
              </w:rPr>
            </w:pPr>
          </w:p>
          <w:p w14:paraId="24F28ED3" w14:textId="77777777" w:rsidR="00F346E0" w:rsidRPr="00480A95" w:rsidRDefault="00F346E0" w:rsidP="007A0EF6">
            <w:pPr>
              <w:jc w:val="both"/>
              <w:rPr>
                <w:rFonts w:ascii="Verdana" w:eastAsia="Calibri" w:hAnsi="Verdana" w:cs="Arial"/>
                <w:b/>
                <w:bCs/>
                <w:color w:val="000000" w:themeColor="text1"/>
                <w:highlight w:val="cyan"/>
                <w:lang w:val="es-ES_tradnl" w:eastAsia="es-ES_tradnl"/>
              </w:rPr>
            </w:pPr>
          </w:p>
        </w:tc>
      </w:tr>
      <w:tr w:rsidR="00F346E0" w:rsidRPr="00480A95" w14:paraId="1F0AD398" w14:textId="77777777" w:rsidTr="007A0EF6">
        <w:trPr>
          <w:trHeight w:val="884"/>
        </w:trPr>
        <w:tc>
          <w:tcPr>
            <w:tcW w:w="2689" w:type="dxa"/>
          </w:tcPr>
          <w:p w14:paraId="15B60AA1" w14:textId="77777777" w:rsidR="00F346E0" w:rsidRPr="00480A95" w:rsidRDefault="00F346E0" w:rsidP="007A0EF6">
            <w:pPr>
              <w:jc w:val="both"/>
              <w:rPr>
                <w:rFonts w:ascii="Verdana" w:eastAsia="Calibri" w:hAnsi="Verdana" w:cs="Arial"/>
                <w:color w:val="000000" w:themeColor="text1"/>
                <w:lang w:val="es-ES_tradnl" w:eastAsia="es-ES_tradnl"/>
              </w:rPr>
            </w:pPr>
            <w:r w:rsidRPr="00480A95">
              <w:rPr>
                <w:rFonts w:ascii="Verdana" w:eastAsia="Calibri" w:hAnsi="Verdana" w:cs="Arial"/>
                <w:b/>
                <w:color w:val="000000" w:themeColor="text1"/>
                <w:lang w:val="es-ES_tradnl" w:eastAsia="es-ES_tradnl"/>
              </w:rPr>
              <w:t>Temas:</w:t>
            </w:r>
            <w:r w:rsidRPr="00480A95">
              <w:rPr>
                <w:rFonts w:ascii="Verdana" w:eastAsia="Calibri" w:hAnsi="Verdana" w:cs="Arial"/>
                <w:color w:val="000000" w:themeColor="text1"/>
                <w:lang w:val="es-ES_tradnl" w:eastAsia="es-ES_tradnl"/>
              </w:rPr>
              <w:t xml:space="preserve">                   </w:t>
            </w:r>
          </w:p>
        </w:tc>
        <w:tc>
          <w:tcPr>
            <w:tcW w:w="6100" w:type="dxa"/>
          </w:tcPr>
          <w:p w14:paraId="4D54881D" w14:textId="3CBB8215" w:rsidR="00D42149" w:rsidRPr="00480A95" w:rsidRDefault="00D42149" w:rsidP="00D42149">
            <w:pPr>
              <w:jc w:val="both"/>
              <w:rPr>
                <w:rStyle w:val="eop"/>
                <w:rFonts w:ascii="Verdana" w:hAnsi="Verdana" w:cs="Arial"/>
                <w:color w:val="000000"/>
                <w:shd w:val="clear" w:color="auto" w:fill="FFFFFF"/>
              </w:rPr>
            </w:pPr>
            <w:r w:rsidRPr="00480A95">
              <w:rPr>
                <w:rStyle w:val="normaltextrun"/>
                <w:rFonts w:ascii="Verdana" w:hAnsi="Verdana" w:cs="Arial"/>
                <w:color w:val="000000"/>
                <w:shd w:val="clear" w:color="auto" w:fill="FFFFFF"/>
                <w:lang w:val="es-MX"/>
              </w:rPr>
              <w:t>LEY DE GARANTÍAS ELECTORALES ‒ Finalidad / LEY DE GARANTÍAS ELECTORALES ‒ Tipos de restricciones ‒ Ámbito temporal / LEY DE GARANTÍAS ELECTORALES ‒ Prohibición por elección de cargos populares – Convenios interadministrativos – Definición – Criterio orgánico</w:t>
            </w:r>
            <w:r w:rsidRPr="00480A95">
              <w:rPr>
                <w:rStyle w:val="eop"/>
                <w:rFonts w:ascii="Verdana" w:hAnsi="Verdana" w:cs="Arial"/>
                <w:color w:val="000000"/>
                <w:shd w:val="clear" w:color="auto" w:fill="FFFFFF"/>
              </w:rPr>
              <w:t> </w:t>
            </w:r>
            <w:r w:rsidR="004C6880">
              <w:rPr>
                <w:rStyle w:val="eop"/>
                <w:rFonts w:ascii="Verdana" w:hAnsi="Verdana" w:cs="Arial"/>
                <w:color w:val="000000"/>
                <w:shd w:val="clear" w:color="auto" w:fill="FFFFFF"/>
              </w:rPr>
              <w:t>/</w:t>
            </w:r>
            <w:r w:rsidR="004C6880" w:rsidRPr="00480A95">
              <w:rPr>
                <w:rFonts w:ascii="Verdana" w:eastAsia="Calibri" w:hAnsi="Verdana" w:cs="Arial"/>
                <w:color w:val="000000" w:themeColor="text1"/>
              </w:rPr>
              <w:t xml:space="preserve"> ACTIVIDADES DE CIENCIA, TECNOLOGÍA E INNOVACIÓN ― Regulación </w:t>
            </w:r>
            <w:r w:rsidR="00AD7D39">
              <w:rPr>
                <w:rFonts w:ascii="Verdana" w:eastAsia="Calibri" w:hAnsi="Verdana" w:cs="Arial"/>
                <w:color w:val="000000" w:themeColor="text1"/>
              </w:rPr>
              <w:t>/</w:t>
            </w:r>
            <w:r w:rsidR="00AD7D39">
              <w:t xml:space="preserve"> </w:t>
            </w:r>
            <w:r w:rsidR="00AD7D39" w:rsidRPr="00AD7D39">
              <w:rPr>
                <w:rFonts w:ascii="Verdana" w:eastAsia="Calibri" w:hAnsi="Verdana" w:cs="Arial"/>
                <w:color w:val="000000" w:themeColor="text1"/>
              </w:rPr>
              <w:t>CONTRATACIÓN ESTATAL - Aplicación de la ley 996 de 2005 -Contratos de fomento o financiación de actividades científicas y tecnológicas.</w:t>
            </w:r>
          </w:p>
          <w:p w14:paraId="56F20DDE" w14:textId="77777777" w:rsidR="00F346E0" w:rsidRPr="00480A95" w:rsidRDefault="00F346E0" w:rsidP="007A0EF6">
            <w:pPr>
              <w:spacing w:line="276" w:lineRule="auto"/>
              <w:jc w:val="both"/>
              <w:rPr>
                <w:rFonts w:ascii="Verdana" w:hAnsi="Verdana" w:cs="Arial"/>
                <w:bCs/>
                <w:color w:val="000000" w:themeColor="text1"/>
                <w:highlight w:val="cyan"/>
              </w:rPr>
            </w:pPr>
          </w:p>
        </w:tc>
      </w:tr>
      <w:tr w:rsidR="00F346E0" w:rsidRPr="00480A95" w14:paraId="7E1C127B" w14:textId="77777777" w:rsidTr="007A0EF6">
        <w:tc>
          <w:tcPr>
            <w:tcW w:w="2689" w:type="dxa"/>
          </w:tcPr>
          <w:p w14:paraId="7D642ECE" w14:textId="77777777" w:rsidR="00F346E0" w:rsidRPr="00480A95" w:rsidRDefault="00F346E0" w:rsidP="007A0EF6">
            <w:pPr>
              <w:jc w:val="both"/>
              <w:rPr>
                <w:rFonts w:ascii="Verdana" w:eastAsia="Calibri" w:hAnsi="Verdana" w:cs="Arial"/>
                <w:b/>
                <w:color w:val="000000" w:themeColor="text1"/>
                <w:lang w:val="es-ES_tradnl" w:eastAsia="es-ES_tradnl"/>
              </w:rPr>
            </w:pPr>
            <w:r w:rsidRPr="00480A95">
              <w:rPr>
                <w:rFonts w:ascii="Verdana" w:eastAsia="Calibri" w:hAnsi="Verdana" w:cs="Arial"/>
                <w:b/>
                <w:color w:val="000000" w:themeColor="text1"/>
                <w:lang w:val="es-ES_tradnl" w:eastAsia="es-ES_tradnl"/>
              </w:rPr>
              <w:t>Radicación:</w:t>
            </w:r>
            <w:r w:rsidRPr="00480A95">
              <w:rPr>
                <w:rFonts w:ascii="Verdana" w:eastAsia="Calibri" w:hAnsi="Verdana" w:cs="Arial"/>
                <w:color w:val="000000" w:themeColor="text1"/>
                <w:lang w:val="es-ES_tradnl" w:eastAsia="es-ES_tradnl"/>
              </w:rPr>
              <w:t xml:space="preserve">               </w:t>
            </w:r>
          </w:p>
        </w:tc>
        <w:tc>
          <w:tcPr>
            <w:tcW w:w="6100" w:type="dxa"/>
          </w:tcPr>
          <w:p w14:paraId="076484B5" w14:textId="233E8FEF" w:rsidR="00F346E0" w:rsidRPr="00480A95" w:rsidRDefault="00F346E0" w:rsidP="007A0EF6">
            <w:pPr>
              <w:jc w:val="both"/>
              <w:rPr>
                <w:rFonts w:ascii="Verdana" w:eastAsia="Calibri" w:hAnsi="Verdana" w:cs="Arial"/>
                <w:color w:val="000000" w:themeColor="text1"/>
                <w:lang w:eastAsia="es-ES_tradnl"/>
              </w:rPr>
            </w:pPr>
            <w:r w:rsidRPr="00480A95">
              <w:rPr>
                <w:rFonts w:ascii="Verdana" w:eastAsia="Calibri" w:hAnsi="Verdana" w:cs="Arial"/>
                <w:color w:val="000000" w:themeColor="text1"/>
                <w:lang w:val="es-ES_tradnl" w:eastAsia="es-ES_tradnl"/>
              </w:rPr>
              <w:t>Respuesta a consulta con radicado N</w:t>
            </w:r>
            <w:r w:rsidR="006B67FE" w:rsidRPr="00480A95">
              <w:rPr>
                <w:rFonts w:ascii="Verdana" w:eastAsia="Calibri" w:hAnsi="Verdana" w:cs="Arial"/>
                <w:color w:val="000000" w:themeColor="text1"/>
                <w:lang w:val="es-ES_tradnl" w:eastAsia="es-ES_tradnl"/>
              </w:rPr>
              <w:t>r</w:t>
            </w:r>
            <w:r w:rsidRPr="00480A95">
              <w:rPr>
                <w:rFonts w:ascii="Verdana" w:eastAsia="Calibri" w:hAnsi="Verdana" w:cs="Arial"/>
                <w:color w:val="000000" w:themeColor="text1"/>
                <w:lang w:val="es-ES_tradnl" w:eastAsia="es-ES_tradnl"/>
              </w:rPr>
              <w:t>o.</w:t>
            </w:r>
            <w:r w:rsidRPr="00480A95">
              <w:rPr>
                <w:rFonts w:ascii="Verdana" w:hAnsi="Verdana"/>
              </w:rPr>
              <w:t xml:space="preserve"> </w:t>
            </w:r>
            <w:r w:rsidR="000A7C58" w:rsidRPr="00480A95">
              <w:rPr>
                <w:rFonts w:ascii="Verdana" w:eastAsia="Calibri" w:hAnsi="Verdana" w:cs="Arial"/>
                <w:color w:val="000000" w:themeColor="text1"/>
                <w:lang w:eastAsia="es-ES_tradnl"/>
              </w:rPr>
              <w:t>1_2026_01_15_000380</w:t>
            </w:r>
            <w:r w:rsidR="006B67FE" w:rsidRPr="00480A95">
              <w:rPr>
                <w:rFonts w:ascii="Verdana" w:eastAsia="Calibri" w:hAnsi="Verdana" w:cs="Arial"/>
                <w:color w:val="000000" w:themeColor="text1"/>
                <w:lang w:eastAsia="es-ES_tradnl"/>
              </w:rPr>
              <w:t xml:space="preserve"> reiterada con el radicado Nro. </w:t>
            </w:r>
            <w:r w:rsidR="006B67FE" w:rsidRPr="00480A95">
              <w:rPr>
                <w:rFonts w:ascii="Verdana" w:hAnsi="Verdana" w:cs="Segoe UI"/>
                <w:color w:val="2B2B2B"/>
                <w:shd w:val="clear" w:color="auto" w:fill="FFFFFF"/>
              </w:rPr>
              <w:t>1_2026_01_15_000397</w:t>
            </w:r>
          </w:p>
          <w:p w14:paraId="3643CE93" w14:textId="77777777" w:rsidR="00F346E0" w:rsidRPr="00480A95" w:rsidRDefault="00F346E0" w:rsidP="007A0EF6">
            <w:pPr>
              <w:jc w:val="both"/>
              <w:rPr>
                <w:rFonts w:ascii="Verdana" w:hAnsi="Verdana" w:cs="Arial"/>
              </w:rPr>
            </w:pPr>
          </w:p>
          <w:p w14:paraId="6258A76E" w14:textId="77777777" w:rsidR="00F346E0" w:rsidRPr="00480A95" w:rsidRDefault="00F346E0" w:rsidP="007A0EF6">
            <w:pPr>
              <w:jc w:val="both"/>
              <w:rPr>
                <w:rFonts w:ascii="Verdana" w:hAnsi="Verdana"/>
                <w:color w:val="000000"/>
              </w:rPr>
            </w:pPr>
          </w:p>
        </w:tc>
      </w:tr>
    </w:tbl>
    <w:p w14:paraId="15FDEBA0" w14:textId="57E649AD" w:rsidR="00F346E0" w:rsidRPr="00480A95" w:rsidRDefault="00F346E0" w:rsidP="00F346E0">
      <w:pPr>
        <w:spacing w:after="0" w:line="276" w:lineRule="auto"/>
        <w:jc w:val="both"/>
        <w:rPr>
          <w:rFonts w:ascii="Verdana" w:eastAsia="Calibri" w:hAnsi="Verdana" w:cs="Arial"/>
          <w:color w:val="000000" w:themeColor="text1"/>
          <w:lang w:val="es-ES" w:eastAsia="es-ES"/>
        </w:rPr>
      </w:pPr>
      <w:r w:rsidRPr="00480A95">
        <w:rPr>
          <w:rFonts w:ascii="Verdana" w:eastAsia="Calibri" w:hAnsi="Verdana" w:cs="Arial"/>
          <w:color w:val="000000" w:themeColor="text1"/>
          <w:lang w:val="es-ES" w:eastAsia="es-ES"/>
        </w:rPr>
        <w:t>Estimad</w:t>
      </w:r>
      <w:r w:rsidR="00727EB3" w:rsidRPr="00480A95">
        <w:rPr>
          <w:rFonts w:ascii="Verdana" w:eastAsia="Calibri" w:hAnsi="Verdana" w:cs="Arial"/>
          <w:color w:val="000000" w:themeColor="text1"/>
          <w:lang w:val="es-ES" w:eastAsia="es-ES"/>
        </w:rPr>
        <w:t>a</w:t>
      </w:r>
      <w:r w:rsidRPr="00480A95">
        <w:rPr>
          <w:rFonts w:ascii="Verdana" w:eastAsia="Calibri" w:hAnsi="Verdana" w:cs="Arial"/>
          <w:color w:val="000000" w:themeColor="text1"/>
          <w:lang w:val="es-ES" w:eastAsia="es-ES"/>
        </w:rPr>
        <w:t xml:space="preserve"> </w:t>
      </w:r>
      <w:r w:rsidR="00727EB3" w:rsidRPr="00480A95">
        <w:rPr>
          <w:rFonts w:ascii="Verdana" w:eastAsia="Calibri" w:hAnsi="Verdana" w:cs="Arial"/>
          <w:color w:val="000000" w:themeColor="text1"/>
          <w:lang w:val="es-ES" w:eastAsia="es-ES"/>
        </w:rPr>
        <w:t>Doctora</w:t>
      </w:r>
      <w:r w:rsidRPr="00480A95">
        <w:rPr>
          <w:rFonts w:ascii="Verdana" w:eastAsia="Calibri" w:hAnsi="Verdana" w:cs="Arial"/>
          <w:color w:val="000000" w:themeColor="text1"/>
          <w:lang w:val="es-ES" w:eastAsia="es-ES"/>
        </w:rPr>
        <w:t xml:space="preserve"> </w:t>
      </w:r>
      <w:r w:rsidR="000B5D4A" w:rsidRPr="00480A95">
        <w:rPr>
          <w:rFonts w:ascii="Verdana" w:eastAsia="Calibri" w:hAnsi="Verdana" w:cs="Arial"/>
          <w:color w:val="000000" w:themeColor="text1"/>
          <w:lang w:eastAsia="es-ES"/>
        </w:rPr>
        <w:t>Montealegre</w:t>
      </w:r>
      <w:r w:rsidRPr="00480A95">
        <w:rPr>
          <w:rFonts w:ascii="Verdana" w:eastAsia="Calibri" w:hAnsi="Verdana" w:cs="Arial"/>
          <w:color w:val="000000" w:themeColor="text1"/>
          <w:lang w:val="es-ES" w:eastAsia="es-ES"/>
        </w:rPr>
        <w:t xml:space="preserve">: </w:t>
      </w:r>
    </w:p>
    <w:p w14:paraId="49452507" w14:textId="77777777" w:rsidR="00F346E0" w:rsidRPr="00480A95" w:rsidRDefault="00F346E0" w:rsidP="00F346E0">
      <w:pPr>
        <w:spacing w:after="0"/>
        <w:rPr>
          <w:rFonts w:ascii="Verdana" w:eastAsia="Times New Roman" w:hAnsi="Verdana" w:cs="Segoe UI"/>
          <w:highlight w:val="cyan"/>
          <w:lang w:eastAsia="es-CO"/>
        </w:rPr>
      </w:pPr>
    </w:p>
    <w:p w14:paraId="7CAA5774" w14:textId="5C8119EB" w:rsidR="00F346E0" w:rsidRPr="00480A95" w:rsidRDefault="00F346E0" w:rsidP="00F346E0">
      <w:pPr>
        <w:spacing w:after="0" w:line="276" w:lineRule="auto"/>
        <w:jc w:val="both"/>
        <w:rPr>
          <w:rFonts w:ascii="Verdana" w:eastAsia="Calibri" w:hAnsi="Verdana" w:cs="Arial"/>
          <w:lang w:val="es-ES" w:eastAsia="es-ES"/>
        </w:rPr>
      </w:pPr>
      <w:r w:rsidRPr="00480A95">
        <w:rPr>
          <w:rFonts w:ascii="Verdana" w:eastAsia="Calibri" w:hAnsi="Verdana" w:cs="Arial"/>
          <w:lang w:val="es-ES" w:eastAsia="es-ES"/>
        </w:rPr>
        <w:t>En ejercicio de la competencia otorgada por los artículos 3, numeral 5º, y 11, numeral 8º, del Decreto Ley 4170 de 2011,</w:t>
      </w:r>
      <w:r w:rsidRPr="00480A95">
        <w:rPr>
          <w:rFonts w:ascii="Verdana" w:eastAsia="Arial MT" w:hAnsi="Verdana" w:cs="Arial"/>
          <w:lang w:val="es-ES" w:eastAsia="es-ES"/>
        </w:rPr>
        <w:t xml:space="preserve"> </w:t>
      </w:r>
      <w:r w:rsidRPr="00480A95">
        <w:rPr>
          <w:rFonts w:ascii="Verdana" w:hAnsi="Verdana" w:cs="Arial"/>
        </w:rPr>
        <w:t xml:space="preserve">así como lo establecido en el artículo 4 de la Resolución 1707 de 2018 expedida por esta Entidad, </w:t>
      </w:r>
      <w:r w:rsidRPr="00480A95">
        <w:rPr>
          <w:rFonts w:ascii="Verdana" w:eastAsia="Calibri" w:hAnsi="Verdana" w:cs="Arial"/>
          <w:lang w:val="es-ES" w:eastAsia="es-ES"/>
        </w:rPr>
        <w:t xml:space="preserve">la Agencia Nacional </w:t>
      </w:r>
      <w:r w:rsidRPr="00480A95">
        <w:rPr>
          <w:rFonts w:ascii="Verdana" w:eastAsia="Calibri" w:hAnsi="Verdana" w:cs="Arial"/>
          <w:lang w:val="es-ES" w:eastAsia="es-ES"/>
        </w:rPr>
        <w:lastRenderedPageBreak/>
        <w:t xml:space="preserve">de Contratación Pública – Colombia Compra Eficiente– responde su solicitud del </w:t>
      </w:r>
      <w:r w:rsidR="007F78ED" w:rsidRPr="00480A95">
        <w:rPr>
          <w:rFonts w:ascii="Verdana" w:eastAsia="Calibri" w:hAnsi="Verdana" w:cs="Arial"/>
          <w:lang w:val="es-ES" w:eastAsia="es-ES"/>
        </w:rPr>
        <w:t>15 de enero del 2025</w:t>
      </w:r>
      <w:r w:rsidRPr="00480A95">
        <w:rPr>
          <w:rFonts w:ascii="Verdana" w:eastAsia="Calibri" w:hAnsi="Verdana" w:cs="Arial"/>
          <w:lang w:val="es-ES" w:eastAsia="es-ES"/>
        </w:rPr>
        <w:t xml:space="preserve">, en la cual manifiesta lo siguiente: </w:t>
      </w:r>
    </w:p>
    <w:p w14:paraId="2DE9FC25" w14:textId="77777777" w:rsidR="00F346E0" w:rsidRPr="00480A95" w:rsidRDefault="00F346E0" w:rsidP="00F346E0">
      <w:pPr>
        <w:spacing w:after="0" w:line="276" w:lineRule="auto"/>
        <w:jc w:val="both"/>
        <w:rPr>
          <w:rFonts w:ascii="Verdana" w:eastAsia="Calibri" w:hAnsi="Verdana" w:cs="Arial"/>
          <w:highlight w:val="cyan"/>
          <w:lang w:val="es-ES" w:eastAsia="es-ES"/>
        </w:rPr>
      </w:pPr>
    </w:p>
    <w:p w14:paraId="3F17A836" w14:textId="7401C93D" w:rsidR="00F346E0" w:rsidRPr="00480A95" w:rsidRDefault="00F346E0" w:rsidP="00B2749B">
      <w:pPr>
        <w:spacing w:after="0" w:line="240" w:lineRule="auto"/>
        <w:ind w:left="709" w:right="709"/>
        <w:jc w:val="both"/>
        <w:rPr>
          <w:rFonts w:ascii="Verdana" w:hAnsi="Verdana" w:cs="Arial"/>
          <w:sz w:val="20"/>
          <w:szCs w:val="20"/>
        </w:rPr>
      </w:pPr>
      <w:r w:rsidRPr="00480A95">
        <w:rPr>
          <w:rFonts w:ascii="Verdana" w:eastAsia="Century Gothic" w:hAnsi="Verdana" w:cs="Arial"/>
          <w:sz w:val="20"/>
          <w:szCs w:val="20"/>
          <w:lang w:val="es-ES"/>
        </w:rPr>
        <w:t>“[…]</w:t>
      </w:r>
      <w:r w:rsidR="008C1D4D" w:rsidRPr="00480A95">
        <w:rPr>
          <w:rFonts w:ascii="Verdana" w:eastAsia="Century Gothic" w:hAnsi="Verdana" w:cs="Arial"/>
          <w:sz w:val="20"/>
          <w:szCs w:val="20"/>
        </w:rPr>
        <w:t xml:space="preserve"> </w:t>
      </w:r>
      <w:r w:rsidR="00B2749B" w:rsidRPr="00480A95">
        <w:rPr>
          <w:rFonts w:ascii="Verdana" w:eastAsia="Century Gothic" w:hAnsi="Verdana" w:cs="Arial"/>
          <w:sz w:val="20"/>
          <w:szCs w:val="20"/>
        </w:rPr>
        <w:t>solicitamos respetuosamente a esa entidad se sirva emitir concepto respecto a la interpretación de la Ley 996 de 2005 en relación con la suscripción de contratos o convenios especiales de cooperación derivados de los mecanismos que adelanta Minciencias en el marco de la normatividad vigente en Ciencia, Tecnología e Innovación, indicando si procede la aplicación del artículo 33 en el escenario descrito</w:t>
      </w:r>
      <w:r w:rsidR="00B2749B" w:rsidRPr="00480A95">
        <w:rPr>
          <w:rFonts w:ascii="Verdana" w:eastAsia="Century Gothic" w:hAnsi="Verdana" w:cs="Arial"/>
          <w:sz w:val="20"/>
          <w:szCs w:val="20"/>
          <w:lang w:val="es-ES"/>
        </w:rPr>
        <w:t xml:space="preserve"> </w:t>
      </w:r>
      <w:r w:rsidRPr="00480A95">
        <w:rPr>
          <w:rFonts w:ascii="Verdana" w:eastAsia="Century Gothic" w:hAnsi="Verdana" w:cs="Arial"/>
          <w:sz w:val="20"/>
          <w:szCs w:val="20"/>
          <w:lang w:val="es-ES"/>
        </w:rPr>
        <w:t>[…]”</w:t>
      </w:r>
    </w:p>
    <w:p w14:paraId="099CF02B" w14:textId="77777777" w:rsidR="00F346E0" w:rsidRPr="00480A95" w:rsidRDefault="00F346E0" w:rsidP="00F346E0">
      <w:pPr>
        <w:spacing w:after="0"/>
        <w:jc w:val="both"/>
        <w:rPr>
          <w:rFonts w:ascii="Verdana" w:hAnsi="Verdana" w:cs="Arial"/>
          <w:highlight w:val="cyan"/>
          <w:lang w:val="es-ES"/>
        </w:rPr>
      </w:pPr>
    </w:p>
    <w:p w14:paraId="64B65F36" w14:textId="77777777" w:rsidR="00F346E0" w:rsidRPr="00480A95" w:rsidRDefault="00F346E0" w:rsidP="00F346E0">
      <w:pPr>
        <w:spacing w:after="120" w:line="276" w:lineRule="auto"/>
        <w:ind w:firstLine="709"/>
        <w:jc w:val="both"/>
        <w:rPr>
          <w:rFonts w:ascii="Verdana" w:eastAsia="Calibri" w:hAnsi="Verdana" w:cs="Arial"/>
          <w:color w:val="000000"/>
          <w:lang w:val="es-ES_tradnl" w:eastAsia="es-ES_tradnl"/>
        </w:rPr>
      </w:pPr>
      <w:r w:rsidRPr="00480A95">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36F804C" w14:textId="77777777" w:rsidR="00F346E0" w:rsidRPr="00480A95" w:rsidRDefault="00F346E0" w:rsidP="00F346E0">
      <w:pPr>
        <w:spacing w:after="0" w:line="276" w:lineRule="auto"/>
        <w:ind w:firstLine="709"/>
        <w:jc w:val="both"/>
        <w:rPr>
          <w:rFonts w:ascii="Verdana" w:eastAsia="Calibri" w:hAnsi="Verdana" w:cs="Arial"/>
          <w:color w:val="000000"/>
          <w:lang w:val="es-ES" w:eastAsia="es-ES"/>
        </w:rPr>
      </w:pPr>
      <w:r w:rsidRPr="00480A9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2799A9BE" w14:textId="77777777" w:rsidR="00F346E0" w:rsidRPr="00480A95" w:rsidRDefault="00F346E0" w:rsidP="00F346E0">
      <w:pPr>
        <w:spacing w:after="0"/>
        <w:jc w:val="both"/>
        <w:rPr>
          <w:rStyle w:val="Hipervnculo"/>
          <w:rFonts w:ascii="Verdana" w:hAnsi="Verdana"/>
          <w:highlight w:val="cyan"/>
          <w:lang w:val="es-ES"/>
        </w:rPr>
      </w:pPr>
    </w:p>
    <w:p w14:paraId="4D11B876" w14:textId="77777777" w:rsidR="00F346E0" w:rsidRPr="00480A95" w:rsidRDefault="00F346E0" w:rsidP="00F346E0">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480A95">
        <w:rPr>
          <w:rFonts w:ascii="Verdana" w:eastAsia="Century Gothic" w:hAnsi="Verdana" w:cs="Arial"/>
          <w:b/>
          <w:bCs/>
        </w:rPr>
        <w:t>Problema planteado:</w:t>
      </w:r>
    </w:p>
    <w:p w14:paraId="3BDE69EC" w14:textId="77777777" w:rsidR="00F346E0" w:rsidRPr="00480A95" w:rsidRDefault="00F346E0" w:rsidP="00F346E0">
      <w:pPr>
        <w:spacing w:after="0"/>
        <w:jc w:val="both"/>
        <w:rPr>
          <w:rStyle w:val="Hipervnculo"/>
          <w:rFonts w:ascii="Verdana" w:hAnsi="Verdana" w:cs="Arial"/>
          <w:highlight w:val="cyan"/>
        </w:rPr>
      </w:pPr>
    </w:p>
    <w:p w14:paraId="5E926184" w14:textId="691726F1" w:rsidR="00F346E0" w:rsidRPr="00480A95" w:rsidRDefault="00F346E0" w:rsidP="00F346E0">
      <w:pPr>
        <w:spacing w:after="0" w:line="276" w:lineRule="auto"/>
        <w:jc w:val="both"/>
        <w:rPr>
          <w:rFonts w:ascii="Verdana" w:eastAsia="Century Gothic" w:hAnsi="Verdana" w:cs="Century Gothic"/>
          <w:color w:val="000000" w:themeColor="text1"/>
        </w:rPr>
      </w:pPr>
      <w:r w:rsidRPr="00480A95">
        <w:rPr>
          <w:rFonts w:ascii="Verdana" w:eastAsia="Century Gothic" w:hAnsi="Verdana" w:cs="Arial"/>
        </w:rPr>
        <w:t xml:space="preserve">De acuerdo con el contenido de su solicitud, esta Agencia resolverá </w:t>
      </w:r>
      <w:r w:rsidR="004700E6" w:rsidRPr="00480A95">
        <w:rPr>
          <w:rFonts w:ascii="Verdana" w:eastAsia="Century Gothic" w:hAnsi="Verdana" w:cs="Arial"/>
        </w:rPr>
        <w:t>el</w:t>
      </w:r>
      <w:r w:rsidRPr="00480A95">
        <w:rPr>
          <w:rFonts w:ascii="Verdana" w:eastAsia="Century Gothic" w:hAnsi="Verdana" w:cs="Arial"/>
        </w:rPr>
        <w:t xml:space="preserve"> siguiente problema jurídico: </w:t>
      </w:r>
      <w:r w:rsidR="004700E6" w:rsidRPr="00480A95">
        <w:rPr>
          <w:rFonts w:ascii="Verdana" w:eastAsia="Century Gothic" w:hAnsi="Verdana" w:cs="Century Gothic"/>
        </w:rPr>
        <w:t>¿Se encuentra prohibida la suscripción de convenios especiales de cooperación para el desarrollo de actividades de ciencia, tecnología e innovación, que impliquen la utilización y ejecución de recursos públicos, durante el período de restricciones establecido en la Ley de Garantías Electorales?</w:t>
      </w:r>
    </w:p>
    <w:p w14:paraId="30B3FC8A" w14:textId="77777777" w:rsidR="00F346E0" w:rsidRPr="00480A95" w:rsidRDefault="00F346E0" w:rsidP="00F346E0">
      <w:pPr>
        <w:spacing w:after="0" w:line="276" w:lineRule="auto"/>
        <w:jc w:val="both"/>
        <w:rPr>
          <w:rStyle w:val="Hipervnculo"/>
          <w:rFonts w:ascii="Verdana" w:hAnsi="Verdana" w:cs="Arial"/>
          <w:highlight w:val="cyan"/>
          <w:lang w:val="es-ES"/>
        </w:rPr>
      </w:pPr>
    </w:p>
    <w:p w14:paraId="03EC1014" w14:textId="77777777" w:rsidR="00F346E0" w:rsidRPr="00480A95" w:rsidRDefault="00F346E0" w:rsidP="00F346E0">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480A95">
        <w:rPr>
          <w:rFonts w:ascii="Verdana" w:eastAsia="Arial" w:hAnsi="Verdana" w:cs="Arial"/>
          <w:b/>
          <w:bCs/>
        </w:rPr>
        <w:t>Respuesta:</w:t>
      </w:r>
    </w:p>
    <w:p w14:paraId="5940CCDC" w14:textId="77777777" w:rsidR="00DB3D4D" w:rsidRPr="00480A95" w:rsidRDefault="00DB3D4D" w:rsidP="00DB3D4D">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3D4D" w:rsidRPr="00480A95" w14:paraId="191DC5F0" w14:textId="77777777" w:rsidTr="00C80F90">
        <w:tc>
          <w:tcPr>
            <w:tcW w:w="8828" w:type="dxa"/>
          </w:tcPr>
          <w:p w14:paraId="1C992EA5" w14:textId="061BE454" w:rsidR="005F4951" w:rsidRDefault="00A37713" w:rsidP="006C22DA">
            <w:pPr>
              <w:spacing w:after="120" w:line="276" w:lineRule="auto"/>
              <w:jc w:val="both"/>
              <w:rPr>
                <w:rFonts w:ascii="Verdana" w:eastAsia="Calibri" w:hAnsi="Verdana" w:cs="Arial"/>
              </w:rPr>
            </w:pPr>
            <w:bookmarkStart w:id="1" w:name="_Hlk171067516"/>
            <w:r>
              <w:rPr>
                <w:rFonts w:ascii="Verdana" w:eastAsia="Calibri" w:hAnsi="Verdana" w:cs="Arial"/>
                <w:bCs/>
              </w:rPr>
              <w:t>De acuerdo con</w:t>
            </w:r>
            <w:r w:rsidR="005F4951">
              <w:rPr>
                <w:rFonts w:ascii="Verdana" w:eastAsia="Calibri" w:hAnsi="Verdana" w:cs="Arial"/>
                <w:bCs/>
              </w:rPr>
              <w:t xml:space="preserve"> lo establecido en el artículo 33 de la Ley 1286 de 2009, </w:t>
            </w:r>
            <w:r w:rsidR="00D510A8">
              <w:rPr>
                <w:rFonts w:ascii="Verdana" w:eastAsia="Calibri" w:hAnsi="Verdana" w:cs="Arial"/>
                <w:bCs/>
              </w:rPr>
              <w:t xml:space="preserve">los </w:t>
            </w:r>
            <w:r w:rsidR="00D510A8" w:rsidRPr="00D510A8">
              <w:rPr>
                <w:rFonts w:ascii="Verdana" w:eastAsia="Calibri" w:hAnsi="Verdana" w:cs="Arial"/>
                <w:bCs/>
              </w:rPr>
              <w:t>contratos y convenios que tengan por objeto la realización de actividades definidas como de ciencia, tecnología e innovació</w:t>
            </w:r>
            <w:r w:rsidR="00D510A8">
              <w:rPr>
                <w:rFonts w:ascii="Verdana" w:eastAsia="Calibri" w:hAnsi="Verdana" w:cs="Arial"/>
                <w:bCs/>
              </w:rPr>
              <w:t xml:space="preserve">n </w:t>
            </w:r>
            <w:r w:rsidR="00703A84">
              <w:rPr>
                <w:rFonts w:ascii="Verdana" w:eastAsia="Calibri" w:hAnsi="Verdana" w:cs="Arial"/>
                <w:bCs/>
              </w:rPr>
              <w:t>se celebran de</w:t>
            </w:r>
            <w:r w:rsidR="00703A84" w:rsidRPr="00703A84">
              <w:rPr>
                <w:rFonts w:ascii="Verdana" w:eastAsia="Calibri" w:hAnsi="Verdana" w:cs="Arial"/>
                <w:bCs/>
                <w:i/>
                <w:iCs/>
              </w:rPr>
              <w:t xml:space="preserve"> manera directa</w:t>
            </w:r>
            <w:r w:rsidR="00703A84">
              <w:rPr>
                <w:rFonts w:ascii="Verdana" w:eastAsia="Calibri" w:hAnsi="Verdana" w:cs="Arial"/>
                <w:bCs/>
              </w:rPr>
              <w:t>. De acuerdo co</w:t>
            </w:r>
            <w:r>
              <w:rPr>
                <w:rFonts w:ascii="Verdana" w:eastAsia="Calibri" w:hAnsi="Verdana" w:cs="Arial"/>
                <w:bCs/>
              </w:rPr>
              <w:t xml:space="preserve">n lo explicado por </w:t>
            </w:r>
            <w:r w:rsidR="000249D7">
              <w:rPr>
                <w:rFonts w:ascii="Verdana" w:eastAsia="Calibri" w:hAnsi="Verdana" w:cs="Arial"/>
                <w:bCs/>
              </w:rPr>
              <w:t xml:space="preserve">Sala de Consulta y Servicio Civil del Consejo de Estado en </w:t>
            </w:r>
            <w:r w:rsidR="006C22DA">
              <w:rPr>
                <w:rFonts w:ascii="Verdana" w:eastAsia="Calibri" w:hAnsi="Verdana" w:cs="Arial"/>
                <w:bCs/>
              </w:rPr>
              <w:t xml:space="preserve">el concepto de 26 de noviembre de 2009 –Exp. No. 1974–, si bien dicha modalidad puede </w:t>
            </w:r>
            <w:r w:rsidR="005F4951" w:rsidRPr="006C22DA">
              <w:rPr>
                <w:rFonts w:ascii="Verdana" w:eastAsia="Calibri" w:hAnsi="Verdana" w:cs="Arial"/>
                <w:bCs/>
                <w:i/>
                <w:iCs/>
              </w:rPr>
              <w:t>instrumentarse</w:t>
            </w:r>
            <w:r w:rsidR="005F4951" w:rsidRPr="00403A56">
              <w:rPr>
                <w:rFonts w:ascii="Verdana" w:eastAsia="Calibri" w:hAnsi="Verdana" w:cs="Arial"/>
                <w:bCs/>
              </w:rPr>
              <w:t xml:space="preserve"> mediante </w:t>
            </w:r>
            <w:r w:rsidR="005F4951" w:rsidRPr="00DA1764">
              <w:rPr>
                <w:rFonts w:ascii="Verdana" w:eastAsia="Calibri" w:hAnsi="Verdana" w:cs="Arial"/>
                <w:bCs/>
                <w:i/>
                <w:iCs/>
              </w:rPr>
              <w:t>convocatorias públicas</w:t>
            </w:r>
            <w:r w:rsidR="005F4951" w:rsidRPr="00403A56">
              <w:rPr>
                <w:rFonts w:ascii="Verdana" w:eastAsia="Calibri" w:hAnsi="Verdana" w:cs="Arial"/>
                <w:bCs/>
              </w:rPr>
              <w:t xml:space="preserve"> </w:t>
            </w:r>
            <w:r w:rsidR="006C22DA">
              <w:rPr>
                <w:rFonts w:ascii="Verdana" w:eastAsia="Calibri" w:hAnsi="Verdana" w:cs="Arial"/>
                <w:bCs/>
              </w:rPr>
              <w:t>con el fin de</w:t>
            </w:r>
            <w:r w:rsidR="005F4951" w:rsidRPr="00403A56">
              <w:rPr>
                <w:rFonts w:ascii="Verdana" w:eastAsia="Calibri" w:hAnsi="Verdana" w:cs="Arial"/>
                <w:bCs/>
              </w:rPr>
              <w:t xml:space="preserve"> </w:t>
            </w:r>
            <w:r w:rsidR="005F4951">
              <w:rPr>
                <w:rFonts w:ascii="Verdana" w:eastAsia="Calibri" w:hAnsi="Verdana" w:cs="Arial"/>
                <w:bCs/>
              </w:rPr>
              <w:t>garantizar</w:t>
            </w:r>
            <w:r w:rsidR="006C22DA">
              <w:rPr>
                <w:rFonts w:ascii="Verdana" w:eastAsia="Calibri" w:hAnsi="Verdana" w:cs="Arial"/>
                <w:bCs/>
              </w:rPr>
              <w:t xml:space="preserve"> unos mínimos de</w:t>
            </w:r>
            <w:r w:rsidR="005F4951">
              <w:rPr>
                <w:rFonts w:ascii="Verdana" w:eastAsia="Calibri" w:hAnsi="Verdana" w:cs="Arial"/>
                <w:bCs/>
              </w:rPr>
              <w:t xml:space="preserve"> </w:t>
            </w:r>
            <w:r w:rsidR="005F4951" w:rsidRPr="00DA1764">
              <w:rPr>
                <w:rFonts w:ascii="Verdana" w:eastAsia="Calibri" w:hAnsi="Verdana" w:cs="Arial"/>
                <w:bCs/>
                <w:i/>
                <w:iCs/>
              </w:rPr>
              <w:t>transparencia</w:t>
            </w:r>
            <w:r w:rsidR="005F4951">
              <w:rPr>
                <w:rFonts w:ascii="Verdana" w:eastAsia="Calibri" w:hAnsi="Verdana" w:cs="Arial"/>
                <w:bCs/>
              </w:rPr>
              <w:t xml:space="preserve"> en la celebración de este tipo contratos</w:t>
            </w:r>
            <w:r w:rsidR="006C22DA">
              <w:rPr>
                <w:rFonts w:ascii="Verdana" w:eastAsia="Calibri" w:hAnsi="Verdana" w:cs="Arial"/>
                <w:bCs/>
              </w:rPr>
              <w:t>,</w:t>
            </w:r>
            <w:r w:rsidR="0062637F">
              <w:rPr>
                <w:rFonts w:ascii="Verdana" w:eastAsia="Calibri" w:hAnsi="Verdana" w:cs="Arial"/>
                <w:bCs/>
              </w:rPr>
              <w:t xml:space="preserve"> ello no desvirtúa</w:t>
            </w:r>
            <w:r w:rsidR="005F4951">
              <w:rPr>
                <w:rFonts w:ascii="Verdana" w:eastAsia="Calibri" w:hAnsi="Verdana" w:cs="Arial"/>
                <w:bCs/>
              </w:rPr>
              <w:t xml:space="preserve"> que estos contratos se celebren de manera directa, de acuerdo con el artículo 33 de la Ley 1286 de 2009.  </w:t>
            </w:r>
          </w:p>
          <w:p w14:paraId="3B9F4150" w14:textId="5CD5795F" w:rsidR="005F4951" w:rsidRPr="005548E3" w:rsidRDefault="0062637F" w:rsidP="005F4951">
            <w:pPr>
              <w:spacing w:after="120" w:line="276" w:lineRule="auto"/>
              <w:ind w:firstLine="708"/>
              <w:jc w:val="both"/>
              <w:rPr>
                <w:rFonts w:ascii="Verdana" w:eastAsia="Calibri" w:hAnsi="Verdana" w:cs="Arial"/>
                <w:bCs/>
              </w:rPr>
            </w:pPr>
            <w:r>
              <w:rPr>
                <w:rFonts w:ascii="Verdana" w:eastAsia="Calibri" w:hAnsi="Verdana" w:cs="Arial"/>
                <w:bCs/>
              </w:rPr>
              <w:t>En consecuencia</w:t>
            </w:r>
            <w:r w:rsidR="005F4951">
              <w:rPr>
                <w:rFonts w:ascii="Verdana" w:eastAsia="Calibri" w:hAnsi="Verdana" w:cs="Arial"/>
                <w:bCs/>
              </w:rPr>
              <w:t>,</w:t>
            </w:r>
            <w:r w:rsidR="00AD0862">
              <w:rPr>
                <w:rFonts w:ascii="Verdana" w:eastAsia="Calibri" w:hAnsi="Verdana" w:cs="Arial"/>
                <w:bCs/>
              </w:rPr>
              <w:t xml:space="preserve"> este tipo de contratos y convenios se encuentran dentro del ámbito material de aplicación</w:t>
            </w:r>
            <w:r w:rsidR="005F4951">
              <w:rPr>
                <w:rFonts w:ascii="Verdana" w:eastAsia="Calibri" w:hAnsi="Verdana" w:cs="Arial"/>
                <w:bCs/>
              </w:rPr>
              <w:t xml:space="preserve"> de la restricción del artículo 33 de la Ley 996 de 2005, </w:t>
            </w:r>
            <w:r w:rsidR="00AD0862">
              <w:rPr>
                <w:rFonts w:ascii="Verdana" w:eastAsia="Calibri" w:hAnsi="Verdana" w:cs="Arial"/>
                <w:bCs/>
              </w:rPr>
              <w:t xml:space="preserve">el cual prohíbe todo tipo de </w:t>
            </w:r>
            <w:r w:rsidR="00AD0862" w:rsidRPr="00080166">
              <w:rPr>
                <w:rFonts w:ascii="Verdana" w:eastAsia="Calibri" w:hAnsi="Verdana" w:cs="Arial"/>
                <w:bCs/>
                <w:i/>
                <w:iCs/>
              </w:rPr>
              <w:t>contratación directa</w:t>
            </w:r>
            <w:r w:rsidR="00AD0862">
              <w:rPr>
                <w:rFonts w:ascii="Verdana" w:eastAsia="Calibri" w:hAnsi="Verdana" w:cs="Arial"/>
                <w:bCs/>
              </w:rPr>
              <w:t xml:space="preserve"> por parte de los entes del Estado</w:t>
            </w:r>
            <w:r w:rsidR="00080166">
              <w:rPr>
                <w:rFonts w:ascii="Verdana" w:eastAsia="Calibri" w:hAnsi="Verdana" w:cs="Arial"/>
                <w:bCs/>
              </w:rPr>
              <w:t>. En atenci</w:t>
            </w:r>
            <w:r w:rsidR="00ED49A3">
              <w:rPr>
                <w:rFonts w:ascii="Verdana" w:eastAsia="Calibri" w:hAnsi="Verdana" w:cs="Arial"/>
                <w:bCs/>
              </w:rPr>
              <w:t xml:space="preserve">ón a esto, la suscripción de </w:t>
            </w:r>
            <w:r w:rsidR="005F4951" w:rsidRPr="00BD6251">
              <w:rPr>
                <w:rFonts w:ascii="Verdana" w:eastAsia="Calibri" w:hAnsi="Verdana" w:cs="Arial"/>
                <w:bCs/>
              </w:rPr>
              <w:t>contratos</w:t>
            </w:r>
            <w:r w:rsidR="00ED49A3">
              <w:rPr>
                <w:rFonts w:ascii="Verdana" w:eastAsia="Calibri" w:hAnsi="Verdana" w:cs="Arial"/>
                <w:bCs/>
              </w:rPr>
              <w:t xml:space="preserve"> y/o convenios</w:t>
            </w:r>
            <w:r w:rsidR="005F4951" w:rsidRPr="00BD6251">
              <w:rPr>
                <w:rFonts w:ascii="Verdana" w:eastAsia="Calibri" w:hAnsi="Verdana" w:cs="Arial"/>
                <w:bCs/>
              </w:rPr>
              <w:t xml:space="preserve"> de ciencia y tecnología</w:t>
            </w:r>
            <w:r w:rsidR="00757873">
              <w:rPr>
                <w:rFonts w:ascii="Verdana" w:eastAsia="Calibri" w:hAnsi="Verdana" w:cs="Arial"/>
                <w:bCs/>
              </w:rPr>
              <w:t xml:space="preserve"> se encuentra restringida durante los 4 meses anteriores a </w:t>
            </w:r>
            <w:proofErr w:type="gramStart"/>
            <w:r w:rsidR="00757873">
              <w:rPr>
                <w:rFonts w:ascii="Verdana" w:eastAsia="Calibri" w:hAnsi="Verdana" w:cs="Arial"/>
                <w:bCs/>
              </w:rPr>
              <w:t>la elecciones presidenciales</w:t>
            </w:r>
            <w:proofErr w:type="gramEnd"/>
            <w:r w:rsidR="00757873">
              <w:rPr>
                <w:rFonts w:ascii="Verdana" w:eastAsia="Calibri" w:hAnsi="Verdana" w:cs="Arial"/>
                <w:bCs/>
              </w:rPr>
              <w:t xml:space="preserve">, periodo en el que surte sus efectos la mencionada prohibición. </w:t>
            </w:r>
            <w:r w:rsidR="005F4951">
              <w:rPr>
                <w:rFonts w:ascii="Verdana" w:eastAsia="Calibri" w:hAnsi="Verdana" w:cs="Arial"/>
                <w:bCs/>
              </w:rPr>
              <w:t xml:space="preserve">Esto comoquiera que, de acuerdo con lo previsto en el artículo 33 de la Ley 1286 de 2009, </w:t>
            </w:r>
            <w:r w:rsidR="004E5943">
              <w:rPr>
                <w:rFonts w:ascii="Verdana" w:eastAsia="Calibri" w:hAnsi="Verdana" w:cs="Arial"/>
                <w:bCs/>
              </w:rPr>
              <w:t xml:space="preserve">estos negocios jurídicos </w:t>
            </w:r>
            <w:r w:rsidR="005F4951">
              <w:rPr>
                <w:rFonts w:ascii="Verdana" w:eastAsia="Calibri" w:hAnsi="Verdana" w:cs="Arial"/>
                <w:bCs/>
              </w:rPr>
              <w:t xml:space="preserve">se celebran de manera directa, independientemente de que se desarrollen o no </w:t>
            </w:r>
            <w:r w:rsidR="005F4951" w:rsidRPr="00C638AC">
              <w:rPr>
                <w:rFonts w:ascii="Verdana" w:eastAsia="Calibri" w:hAnsi="Verdana" w:cs="Arial"/>
                <w:bCs/>
                <w:i/>
                <w:iCs/>
              </w:rPr>
              <w:t>convocatorias pública</w:t>
            </w:r>
            <w:r w:rsidR="005F4951">
              <w:rPr>
                <w:rFonts w:ascii="Verdana" w:eastAsia="Calibri" w:hAnsi="Verdana" w:cs="Arial"/>
                <w:bCs/>
                <w:i/>
                <w:iCs/>
              </w:rPr>
              <w:t>s</w:t>
            </w:r>
            <w:r w:rsidR="005F4951">
              <w:rPr>
                <w:rFonts w:ascii="Verdana" w:eastAsia="Calibri" w:hAnsi="Verdana" w:cs="Arial"/>
                <w:bCs/>
              </w:rPr>
              <w:t xml:space="preserve">, máxime cuando estas no son equiparables a los procesos de selección competitivos regulados en el EGCAP y normas especiales.   </w:t>
            </w:r>
            <w:r w:rsidR="005F4951">
              <w:rPr>
                <w:rFonts w:ascii="Verdana" w:eastAsia="Calibri" w:hAnsi="Verdana" w:cs="Arial"/>
                <w:bCs/>
                <w:i/>
                <w:iCs/>
              </w:rPr>
              <w:t xml:space="preserve">  </w:t>
            </w:r>
          </w:p>
          <w:p w14:paraId="67997DF1" w14:textId="77777777" w:rsidR="005F4951" w:rsidRPr="00480A95" w:rsidRDefault="005F4951" w:rsidP="005F4951">
            <w:pPr>
              <w:spacing w:after="120" w:line="276" w:lineRule="auto"/>
              <w:ind w:firstLine="708"/>
              <w:jc w:val="both"/>
              <w:rPr>
                <w:rFonts w:ascii="Verdana" w:eastAsia="Times New Roman" w:hAnsi="Verdana" w:cs="Arial"/>
                <w:lang w:eastAsia="es-CO"/>
              </w:rPr>
            </w:pPr>
            <w:r w:rsidRPr="00480A95">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67DF49C" w14:textId="79232AC5" w:rsidR="00E16C9F" w:rsidRPr="00042A48" w:rsidRDefault="005F4951" w:rsidP="0049103F">
            <w:pPr>
              <w:spacing w:line="276" w:lineRule="auto"/>
              <w:ind w:firstLine="708"/>
              <w:jc w:val="both"/>
              <w:rPr>
                <w:rFonts w:ascii="Verdana" w:hAnsi="Verdana" w:cs="Arial"/>
                <w:color w:val="000000" w:themeColor="text1"/>
              </w:rPr>
            </w:pPr>
            <w:r w:rsidRPr="00480A95">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bookmarkEnd w:id="1"/>
    </w:tbl>
    <w:p w14:paraId="263F43AF" w14:textId="77777777" w:rsidR="00DB3D4D" w:rsidRPr="00480A95" w:rsidRDefault="00DB3D4D" w:rsidP="00DB3D4D">
      <w:pPr>
        <w:widowControl w:val="0"/>
        <w:autoSpaceDE w:val="0"/>
        <w:autoSpaceDN w:val="0"/>
        <w:spacing w:before="1" w:after="0" w:line="240" w:lineRule="auto"/>
        <w:ind w:left="360" w:hanging="360"/>
        <w:outlineLvl w:val="0"/>
        <w:rPr>
          <w:rFonts w:ascii="Verdana" w:eastAsia="Arial" w:hAnsi="Verdana" w:cs="Arial"/>
          <w:b/>
          <w:bCs/>
          <w:lang w:val="es-ES"/>
        </w:rPr>
      </w:pPr>
    </w:p>
    <w:p w14:paraId="64144C97" w14:textId="77777777" w:rsidR="00DB3D4D" w:rsidRPr="00480A95" w:rsidRDefault="00DB3D4D" w:rsidP="00DB3D4D">
      <w:pPr>
        <w:widowControl w:val="0"/>
        <w:autoSpaceDE w:val="0"/>
        <w:autoSpaceDN w:val="0"/>
        <w:spacing w:before="1" w:after="0" w:line="240" w:lineRule="auto"/>
        <w:ind w:left="360" w:hanging="360"/>
        <w:outlineLvl w:val="0"/>
        <w:rPr>
          <w:rFonts w:ascii="Verdana" w:eastAsia="Arial" w:hAnsi="Verdana" w:cs="Arial"/>
          <w:b/>
          <w:bCs/>
          <w:lang w:val="es-ES"/>
        </w:rPr>
      </w:pPr>
      <w:r w:rsidRPr="00480A95">
        <w:rPr>
          <w:rFonts w:ascii="Verdana" w:eastAsia="Arial" w:hAnsi="Verdana" w:cs="Arial"/>
          <w:b/>
          <w:bCs/>
          <w:lang w:val="es-ES"/>
        </w:rPr>
        <w:t>3. Razones de la respuesta:</w:t>
      </w:r>
    </w:p>
    <w:p w14:paraId="79CB29A6" w14:textId="77777777" w:rsidR="00DB3D4D" w:rsidRPr="00480A95" w:rsidRDefault="00DB3D4D" w:rsidP="00DB3D4D">
      <w:pPr>
        <w:spacing w:after="0" w:line="276" w:lineRule="auto"/>
        <w:jc w:val="both"/>
        <w:rPr>
          <w:rFonts w:ascii="Verdana" w:eastAsia="Calibri" w:hAnsi="Verdana" w:cs="Arial"/>
          <w:lang w:val="es-ES"/>
        </w:rPr>
      </w:pPr>
    </w:p>
    <w:p w14:paraId="0209BB9F" w14:textId="77777777" w:rsidR="00DB3D4D" w:rsidRPr="00480A95" w:rsidRDefault="00DB3D4D" w:rsidP="00DB3D4D">
      <w:pPr>
        <w:spacing w:after="0" w:line="276" w:lineRule="auto"/>
        <w:jc w:val="both"/>
        <w:rPr>
          <w:rFonts w:ascii="Verdana" w:eastAsia="Calibri" w:hAnsi="Verdana" w:cs="Arial"/>
          <w:lang w:val="es-ES"/>
        </w:rPr>
      </w:pPr>
      <w:r w:rsidRPr="00480A95">
        <w:rPr>
          <w:rFonts w:ascii="Verdana" w:eastAsia="Calibri" w:hAnsi="Verdana" w:cs="Arial"/>
          <w:lang w:val="es-ES"/>
        </w:rPr>
        <w:t xml:space="preserve">La respuesta anterior se sustenta en las siguientes consideraciones: </w:t>
      </w:r>
    </w:p>
    <w:p w14:paraId="4A6F6F0B" w14:textId="77777777" w:rsidR="00DB3D4D" w:rsidRDefault="00DB3D4D" w:rsidP="00DB3D4D">
      <w:pPr>
        <w:spacing w:after="0"/>
        <w:rPr>
          <w:rFonts w:ascii="Verdana" w:eastAsia="Times New Roman" w:hAnsi="Verdana" w:cs="Segoe UI"/>
          <w:lang w:val="es-ES" w:eastAsia="es-CO"/>
        </w:rPr>
      </w:pPr>
    </w:p>
    <w:p w14:paraId="4831E1FA" w14:textId="4638F836" w:rsidR="00AE0C3B" w:rsidRPr="00480A95" w:rsidRDefault="00AE0C3B" w:rsidP="00AE0C3B">
      <w:pPr>
        <w:spacing w:after="120" w:line="276" w:lineRule="auto"/>
        <w:jc w:val="both"/>
        <w:rPr>
          <w:rFonts w:ascii="Verdana" w:eastAsia="Calibri" w:hAnsi="Verdana" w:cs="Arial"/>
          <w:color w:val="000000" w:themeColor="text1"/>
          <w:szCs w:val="24"/>
          <w:lang w:val="es-ES_tradnl" w:eastAsia="es-ES_tradnl"/>
        </w:rPr>
      </w:pPr>
      <w:r>
        <w:rPr>
          <w:rFonts w:ascii="Verdana" w:eastAsia="Calibri" w:hAnsi="Verdana" w:cs="Arial"/>
          <w:bCs/>
        </w:rPr>
        <w:t>i</w:t>
      </w:r>
      <w:r w:rsidR="00AD1778">
        <w:rPr>
          <w:rFonts w:ascii="Verdana" w:eastAsia="Calibri" w:hAnsi="Verdana" w:cs="Arial"/>
          <w:bCs/>
        </w:rPr>
        <w:t>.</w:t>
      </w:r>
      <w:r>
        <w:rPr>
          <w:rFonts w:ascii="Verdana" w:eastAsia="Calibri" w:hAnsi="Verdana" w:cs="Arial"/>
          <w:bCs/>
        </w:rPr>
        <w:t xml:space="preserve"> E</w:t>
      </w:r>
      <w:r w:rsidRPr="00480A95">
        <w:rPr>
          <w:rFonts w:ascii="Verdana" w:eastAsia="Calibri" w:hAnsi="Verdana" w:cs="Arial"/>
          <w:bCs/>
        </w:rPr>
        <w:t>l ordenamiento jurídico colombiano contempla previsiones claras para evitar la obtención de beneficios personales en asuntos propios de la administración pública</w:t>
      </w:r>
      <w:r w:rsidRPr="00480A95">
        <w:rPr>
          <w:rFonts w:ascii="Verdana" w:eastAsia="Calibri" w:hAnsi="Verdana" w:cs="Arial"/>
          <w:bCs/>
          <w:i/>
          <w:iCs/>
        </w:rPr>
        <w:t xml:space="preserve">. </w:t>
      </w:r>
      <w:r w:rsidRPr="00480A95">
        <w:rPr>
          <w:rFonts w:ascii="Verdana" w:eastAsia="Calibri" w:hAnsi="Verdana" w:cs="Arial"/>
          <w:bCs/>
        </w:rPr>
        <w:t>Por ejemplo, el artículo 127 de la Constitución Política establece una prohibición contractual a los servidores públicos y en cuanto a aspectos políticos consagra restricciones a ciertos empleados del Estado, incluso en época no electoral</w:t>
      </w:r>
      <w:r w:rsidRPr="00480A95">
        <w:rPr>
          <w:rFonts w:ascii="Verdana" w:eastAsia="Calibri" w:hAnsi="Verdana" w:cs="Arial"/>
          <w:bCs/>
          <w:vertAlign w:val="superscript"/>
        </w:rPr>
        <w:footnoteReference w:id="1"/>
      </w:r>
      <w:r w:rsidRPr="00480A95">
        <w:rPr>
          <w:rFonts w:ascii="Verdana" w:eastAsia="Calibri" w:hAnsi="Verdana" w:cs="Arial"/>
          <w:bCs/>
        </w:rPr>
        <w:t xml:space="preserve">. </w:t>
      </w:r>
    </w:p>
    <w:p w14:paraId="3CB71574" w14:textId="77777777" w:rsidR="00AE0C3B" w:rsidRPr="00480A95" w:rsidRDefault="00AE0C3B" w:rsidP="00AE0C3B">
      <w:pPr>
        <w:tabs>
          <w:tab w:val="left" w:pos="426"/>
        </w:tabs>
        <w:spacing w:after="120" w:line="276" w:lineRule="auto"/>
        <w:jc w:val="both"/>
        <w:rPr>
          <w:rFonts w:ascii="Verdana" w:eastAsia="Times New Roman" w:hAnsi="Verdana" w:cs="Arial"/>
          <w:bCs/>
          <w:lang w:val="es-MX" w:eastAsia="es-CO"/>
        </w:rPr>
      </w:pPr>
      <w:r w:rsidRPr="00480A95">
        <w:rPr>
          <w:rFonts w:ascii="Verdana" w:eastAsia="Times New Roman" w:hAnsi="Verdana" w:cs="Arial"/>
          <w:bCs/>
          <w:lang w:eastAsia="es-CO"/>
        </w:rPr>
        <w:tab/>
      </w:r>
      <w:r w:rsidRPr="00480A95">
        <w:rPr>
          <w:rFonts w:ascii="Verdana" w:eastAsia="Times New Roman" w:hAnsi="Verdana" w:cs="Arial"/>
          <w:bCs/>
          <w:lang w:eastAsia="es-CO"/>
        </w:rPr>
        <w:tab/>
        <w:t>En el mismo sentido</w:t>
      </w:r>
      <w:r w:rsidRPr="00480A95">
        <w:rPr>
          <w:rFonts w:ascii="Verdana" w:eastAsia="Times New Roman" w:hAnsi="Verdana" w:cs="Arial"/>
          <w:bCs/>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80A95">
        <w:rPr>
          <w:rFonts w:ascii="Verdana" w:eastAsia="Times New Roman" w:hAnsi="Verdana" w:cs="Arial"/>
          <w:bCs/>
          <w:vertAlign w:val="superscript"/>
          <w:lang w:val="es-MX" w:eastAsia="es-CO"/>
        </w:rPr>
        <w:footnoteReference w:id="2"/>
      </w:r>
      <w:r w:rsidRPr="00480A95">
        <w:rPr>
          <w:rFonts w:ascii="Verdana" w:eastAsia="Times New Roman" w:hAnsi="Verdana" w:cs="Arial"/>
          <w:bCs/>
          <w:lang w:val="es-MX" w:eastAsia="es-CO"/>
        </w:rPr>
        <w:t xml:space="preserve">. En esta medida, introduce limitaciones para realizar nombramientos, postulaciones, </w:t>
      </w:r>
      <w:r w:rsidRPr="00480A95">
        <w:rPr>
          <w:rFonts w:ascii="Verdana" w:eastAsia="Times New Roman" w:hAnsi="Verdana" w:cs="Arial"/>
          <w:bCs/>
          <w:lang w:val="es-MX" w:eastAsia="es-CO"/>
        </w:rPr>
        <w:lastRenderedPageBreak/>
        <w:t>contrataciones o cualquier otro tipo de actividad que implique destinación de recursos públicos bajo el devenir propio de las entidades estatales.</w:t>
      </w:r>
      <w:r w:rsidRPr="00480A95">
        <w:rPr>
          <w:rFonts w:ascii="Verdana" w:eastAsia="Calibri" w:hAnsi="Verdana" w:cs="Arial"/>
          <w:noProof/>
          <w:lang w:val="es-ES_tradnl"/>
        </w:rPr>
        <w:t xml:space="preserve"> </w:t>
      </w:r>
      <w:r w:rsidRPr="00480A95">
        <w:rPr>
          <w:rFonts w:ascii="Verdana" w:eastAsia="Times New Roman" w:hAnsi="Verdana" w:cs="Arial"/>
          <w:bCs/>
          <w:lang w:val="es-MX" w:eastAsia="es-CO"/>
        </w:rPr>
        <w:t>En armonía con lo anterior, la Corte Constitucional ha abordado la definición de la Ley de Garantías Electorales. De esta manera, explica que tiene como propósito:</w:t>
      </w:r>
    </w:p>
    <w:p w14:paraId="56BED09E" w14:textId="77777777" w:rsidR="00AE0C3B" w:rsidRPr="00480A95" w:rsidRDefault="00AE0C3B" w:rsidP="00AE0C3B">
      <w:pPr>
        <w:spacing w:after="0" w:line="276" w:lineRule="auto"/>
        <w:ind w:right="709"/>
        <w:contextualSpacing/>
        <w:jc w:val="both"/>
        <w:rPr>
          <w:rFonts w:ascii="Verdana" w:eastAsia="Times New Roman" w:hAnsi="Verdana" w:cs="Arial"/>
          <w:sz w:val="21"/>
          <w:szCs w:val="21"/>
          <w:lang w:val="es-ES" w:eastAsia="es-CO"/>
        </w:rPr>
      </w:pPr>
    </w:p>
    <w:p w14:paraId="71561031" w14:textId="77777777" w:rsidR="00AE0C3B" w:rsidRPr="00480A95" w:rsidRDefault="00AE0C3B" w:rsidP="00AE0C3B">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ES" w:eastAsia="es-CO"/>
        </w:rPr>
        <w:t xml:space="preserve">“[…] </w:t>
      </w:r>
      <w:r w:rsidRPr="00480A9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DB81CFE" w14:textId="77777777" w:rsidR="00AE0C3B" w:rsidRPr="00480A95" w:rsidRDefault="00AE0C3B" w:rsidP="00AE0C3B">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 xml:space="preserve">[…] </w:t>
      </w:r>
    </w:p>
    <w:p w14:paraId="6B3CF30B" w14:textId="77777777" w:rsidR="00AE0C3B" w:rsidRPr="00480A95" w:rsidRDefault="00AE0C3B" w:rsidP="00AE0C3B">
      <w:pPr>
        <w:spacing w:after="0" w:line="240" w:lineRule="auto"/>
        <w:ind w:right="709"/>
        <w:contextualSpacing/>
        <w:jc w:val="both"/>
        <w:rPr>
          <w:rFonts w:ascii="Verdana" w:eastAsia="Times New Roman" w:hAnsi="Verdana" w:cs="Arial"/>
          <w:sz w:val="20"/>
          <w:szCs w:val="20"/>
          <w:lang w:val="es-MX" w:eastAsia="es-CO"/>
        </w:rPr>
      </w:pPr>
    </w:p>
    <w:p w14:paraId="1C44E4BC" w14:textId="77777777" w:rsidR="00AE0C3B" w:rsidRPr="00480A95" w:rsidRDefault="00AE0C3B" w:rsidP="00AE0C3B">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80A95">
        <w:rPr>
          <w:rFonts w:ascii="Verdana" w:eastAsia="Calibri" w:hAnsi="Verdana" w:cs="Arial"/>
          <w:sz w:val="20"/>
          <w:szCs w:val="20"/>
          <w:vertAlign w:val="superscript"/>
          <w:lang w:val="es-MX"/>
        </w:rPr>
        <w:footnoteReference w:id="3"/>
      </w:r>
    </w:p>
    <w:p w14:paraId="1A07BDF7" w14:textId="77777777" w:rsidR="00AE0C3B" w:rsidRPr="00480A95" w:rsidRDefault="00AE0C3B" w:rsidP="00AE0C3B">
      <w:pPr>
        <w:spacing w:after="0" w:line="276" w:lineRule="auto"/>
        <w:ind w:left="709" w:right="709"/>
        <w:contextualSpacing/>
        <w:jc w:val="both"/>
        <w:rPr>
          <w:rFonts w:ascii="Verdana" w:eastAsia="Times New Roman" w:hAnsi="Verdana" w:cs="Arial"/>
          <w:bCs/>
          <w:sz w:val="21"/>
          <w:szCs w:val="21"/>
          <w:lang w:val="es-MX" w:eastAsia="es-CO"/>
        </w:rPr>
      </w:pPr>
    </w:p>
    <w:p w14:paraId="360F7304" w14:textId="77777777" w:rsidR="00AE0C3B" w:rsidRPr="00480A95" w:rsidRDefault="00AE0C3B" w:rsidP="00AE0C3B">
      <w:pPr>
        <w:spacing w:after="0" w:line="276" w:lineRule="auto"/>
        <w:ind w:firstLine="709"/>
        <w:jc w:val="both"/>
        <w:rPr>
          <w:rFonts w:ascii="Verdana" w:eastAsia="Times New Roman" w:hAnsi="Verdana" w:cs="Arial"/>
          <w:bCs/>
          <w:lang w:val="es-MX" w:eastAsia="es-CO"/>
        </w:rPr>
      </w:pPr>
      <w:r w:rsidRPr="00480A95">
        <w:rPr>
          <w:rFonts w:ascii="Verdana" w:eastAsia="Times New Roman" w:hAnsi="Verdana" w:cs="Arial"/>
          <w:bCs/>
          <w:lang w:val="es-MX" w:eastAsia="es-CO"/>
        </w:rPr>
        <w:t>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09BC2278" w14:textId="77777777" w:rsidR="00AE0C3B" w:rsidRPr="00480A95" w:rsidRDefault="00AE0C3B" w:rsidP="00AE0C3B">
      <w:pPr>
        <w:spacing w:after="0" w:line="276" w:lineRule="auto"/>
        <w:ind w:firstLine="709"/>
        <w:contextualSpacing/>
        <w:jc w:val="both"/>
        <w:rPr>
          <w:rFonts w:ascii="Verdana" w:eastAsia="Times New Roman" w:hAnsi="Verdana" w:cs="Arial"/>
          <w:bCs/>
          <w:lang w:val="es-MX" w:eastAsia="es-CO"/>
        </w:rPr>
      </w:pPr>
    </w:p>
    <w:p w14:paraId="11830A0C" w14:textId="77777777" w:rsidR="00AE0C3B" w:rsidRPr="00480A95" w:rsidRDefault="00AE0C3B" w:rsidP="00AE0C3B">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w:t>
      </w:r>
      <w:r w:rsidRPr="00480A95">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6B252787" w14:textId="77777777" w:rsidR="00AE0C3B" w:rsidRPr="00480A95" w:rsidRDefault="00AE0C3B" w:rsidP="00AE0C3B">
      <w:pPr>
        <w:spacing w:after="0" w:line="240" w:lineRule="auto"/>
        <w:ind w:left="709" w:right="709"/>
        <w:contextualSpacing/>
        <w:jc w:val="both"/>
        <w:rPr>
          <w:rFonts w:ascii="Verdana" w:eastAsia="Times New Roman" w:hAnsi="Verdana" w:cs="Arial"/>
          <w:sz w:val="20"/>
          <w:szCs w:val="20"/>
          <w:lang w:val="es-MX" w:eastAsia="es-CO"/>
        </w:rPr>
      </w:pPr>
    </w:p>
    <w:p w14:paraId="0B6A5697" w14:textId="77777777" w:rsidR="00AE0C3B" w:rsidRPr="00480A95" w:rsidRDefault="00AE0C3B" w:rsidP="00AE0C3B">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La jurisprudencia de la Corte Constitucional</w:t>
      </w:r>
      <w:r w:rsidRPr="00480A95">
        <w:rPr>
          <w:rFonts w:ascii="Verdana" w:eastAsia="Times New Roman" w:hAnsi="Verdana" w:cs="Arial"/>
          <w:sz w:val="20"/>
          <w:szCs w:val="20"/>
          <w:vertAlign w:val="superscript"/>
          <w:lang w:val="es-MX" w:eastAsia="es-CO"/>
        </w:rPr>
        <w:footnoteReference w:id="4"/>
      </w:r>
      <w:r w:rsidRPr="00480A95">
        <w:rPr>
          <w:rFonts w:ascii="Verdana" w:eastAsia="Times New Roman" w:hAnsi="Verdana" w:cs="Arial"/>
          <w:sz w:val="20"/>
          <w:szCs w:val="20"/>
          <w:lang w:val="es-MX" w:eastAsia="es-CO"/>
        </w:rPr>
        <w:t> y del Consejo de Estado</w:t>
      </w:r>
      <w:r w:rsidRPr="00480A95">
        <w:rPr>
          <w:rFonts w:ascii="Verdana" w:eastAsia="Times New Roman" w:hAnsi="Verdana" w:cs="Arial"/>
          <w:sz w:val="20"/>
          <w:szCs w:val="20"/>
          <w:vertAlign w:val="superscript"/>
          <w:lang w:val="es-MX" w:eastAsia="es-CO"/>
        </w:rPr>
        <w:footnoteReference w:id="5"/>
      </w:r>
      <w:r w:rsidRPr="00480A9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80A95">
        <w:rPr>
          <w:rFonts w:ascii="Verdana" w:eastAsia="Times New Roman" w:hAnsi="Verdana" w:cs="Arial"/>
          <w:sz w:val="20"/>
          <w:szCs w:val="20"/>
          <w:vertAlign w:val="superscript"/>
          <w:lang w:val="es-MX" w:eastAsia="es-CO"/>
        </w:rPr>
        <w:footnoteReference w:id="6"/>
      </w:r>
      <w:r w:rsidRPr="00480A95">
        <w:rPr>
          <w:rFonts w:ascii="Verdana" w:eastAsia="Times New Roman" w:hAnsi="Verdana" w:cs="Arial"/>
          <w:sz w:val="20"/>
          <w:szCs w:val="20"/>
          <w:lang w:val="es-MX" w:eastAsia="es-CO"/>
        </w:rPr>
        <w:t>.</w:t>
      </w:r>
    </w:p>
    <w:p w14:paraId="09888BBE" w14:textId="77777777" w:rsidR="00AE0C3B" w:rsidRPr="00480A95" w:rsidRDefault="00AE0C3B" w:rsidP="00AE0C3B">
      <w:pPr>
        <w:spacing w:after="0" w:line="276" w:lineRule="auto"/>
        <w:ind w:right="709"/>
        <w:contextualSpacing/>
        <w:jc w:val="both"/>
        <w:rPr>
          <w:rFonts w:ascii="Verdana" w:eastAsia="Times New Roman" w:hAnsi="Verdana" w:cs="Arial"/>
          <w:bCs/>
          <w:sz w:val="21"/>
          <w:szCs w:val="21"/>
          <w:lang w:val="es-MX" w:eastAsia="es-CO"/>
        </w:rPr>
      </w:pPr>
    </w:p>
    <w:p w14:paraId="5665A3EE" w14:textId="77777777" w:rsidR="00AE0C3B" w:rsidRPr="00480A95" w:rsidRDefault="00AE0C3B" w:rsidP="00AE0C3B">
      <w:pPr>
        <w:spacing w:after="120" w:line="276" w:lineRule="auto"/>
        <w:jc w:val="both"/>
        <w:rPr>
          <w:rFonts w:ascii="Verdana" w:eastAsia="Arial" w:hAnsi="Verdana" w:cs="Arial"/>
          <w:lang w:val="es-ES" w:eastAsia="es-ES" w:bidi="es-ES"/>
        </w:rPr>
      </w:pPr>
      <w:r w:rsidRPr="00480A95">
        <w:rPr>
          <w:rFonts w:ascii="Verdana" w:eastAsia="Times New Roman" w:hAnsi="Verdana" w:cs="Arial"/>
          <w:bCs/>
          <w:lang w:val="es-MX" w:eastAsia="es-CO"/>
        </w:rPr>
        <w:tab/>
        <w:t>De</w:t>
      </w:r>
      <w:r w:rsidRPr="00480A95">
        <w:rPr>
          <w:rFonts w:ascii="Verdana" w:eastAsia="Arial" w:hAnsi="Verdana" w:cs="Arial"/>
          <w:lang w:val="es-ES" w:eastAsia="es-ES" w:bidi="es-ES"/>
        </w:rPr>
        <w:t xml:space="preserve"> conformidad con lo anterior, 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144ECC3D" w14:textId="77777777" w:rsidR="00AE0C3B" w:rsidRPr="00480A95" w:rsidRDefault="00AE0C3B" w:rsidP="00AE0C3B">
      <w:pPr>
        <w:spacing w:after="120" w:line="276" w:lineRule="auto"/>
        <w:ind w:firstLine="708"/>
        <w:jc w:val="both"/>
        <w:rPr>
          <w:rFonts w:ascii="Verdana" w:eastAsia="Calibri" w:hAnsi="Verdana" w:cs="Arial"/>
        </w:rPr>
      </w:pPr>
      <w:r w:rsidRPr="00480A95">
        <w:rPr>
          <w:rFonts w:ascii="Verdana" w:eastAsia="Calibri" w:hAnsi="Verdana" w:cs="Arial"/>
        </w:rPr>
        <w:t xml:space="preserve">Por un lado, el artículo 33 de la Ley 996 de 2005 prohíbe </w:t>
      </w:r>
      <w:r w:rsidRPr="00480A95">
        <w:rPr>
          <w:rFonts w:ascii="Verdana" w:eastAsia="Calibri" w:hAnsi="Verdana" w:cs="Arial"/>
          <w:bCs/>
        </w:rPr>
        <w:t xml:space="preserve">“[…] </w:t>
      </w:r>
      <w:r w:rsidRPr="00480A95">
        <w:rPr>
          <w:rFonts w:ascii="Verdana" w:eastAsia="Calibri" w:hAnsi="Verdana" w:cs="Arial"/>
        </w:rPr>
        <w:t xml:space="preserve">la </w:t>
      </w:r>
      <w:r w:rsidRPr="00692211">
        <w:rPr>
          <w:rFonts w:ascii="Verdana" w:eastAsia="Calibri" w:hAnsi="Verdana" w:cs="Arial"/>
          <w:i/>
        </w:rPr>
        <w:t>contratación directa</w:t>
      </w:r>
      <w:r w:rsidRPr="00480A95">
        <w:rPr>
          <w:rFonts w:ascii="Verdana" w:eastAsia="Calibri" w:hAnsi="Verdana" w:cs="Arial"/>
        </w:rPr>
        <w:t xml:space="preserve"> por parte de todos los entes del Estado</w:t>
      </w:r>
      <w:r w:rsidRPr="00480A95">
        <w:rPr>
          <w:rFonts w:ascii="Verdana" w:eastAsia="Calibri" w:hAnsi="Verdana" w:cs="Arial"/>
          <w:bCs/>
        </w:rPr>
        <w:t>”</w:t>
      </w:r>
      <w:r w:rsidRPr="00480A95">
        <w:rPr>
          <w:rFonts w:ascii="Verdana" w:eastAsia="Calibri" w:hAnsi="Verdana" w:cs="Arial"/>
        </w:rPr>
        <w:t xml:space="preserve"> durante los cuatro (4) meses anteriores a las elecciones presidenciales, salvo </w:t>
      </w:r>
      <w:r w:rsidRPr="00480A95">
        <w:rPr>
          <w:rFonts w:ascii="Verdana" w:eastAsia="Calibri" w:hAnsi="Verdana" w:cs="Arial"/>
          <w:bCs/>
        </w:rPr>
        <w:t xml:space="preserve">“[…] </w:t>
      </w:r>
      <w:r w:rsidRPr="00480A95">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480A95">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480A95">
        <w:rPr>
          <w:rFonts w:ascii="Verdana" w:eastAsia="Calibri" w:hAnsi="Verdana" w:cs="Arial"/>
          <w:bCs/>
        </w:rPr>
        <w:t>”</w:t>
      </w:r>
      <w:r w:rsidRPr="00480A95">
        <w:rPr>
          <w:rFonts w:ascii="Verdana" w:eastAsia="Calibri" w:hAnsi="Verdana" w:cs="Arial"/>
          <w:bCs/>
          <w:vertAlign w:val="superscript"/>
        </w:rPr>
        <w:footnoteReference w:id="7"/>
      </w:r>
      <w:r w:rsidRPr="00480A95">
        <w:rPr>
          <w:rFonts w:ascii="Verdana" w:eastAsia="Calibri" w:hAnsi="Verdana" w:cs="Arial"/>
        </w:rPr>
        <w:t>.</w:t>
      </w:r>
    </w:p>
    <w:p w14:paraId="2DFDED6B" w14:textId="77777777" w:rsidR="00AE0C3B" w:rsidRPr="00480A95" w:rsidRDefault="00AE0C3B" w:rsidP="00AE0C3B">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480A95">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480A95">
        <w:rPr>
          <w:rFonts w:ascii="Verdana" w:eastAsia="Calibri" w:hAnsi="Verdana" w:cs="Arial"/>
          <w:bCs/>
        </w:rPr>
        <w:t xml:space="preserve">“[…] </w:t>
      </w:r>
      <w:r w:rsidRPr="00480A9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80A95">
        <w:rPr>
          <w:rFonts w:ascii="Verdana" w:eastAsia="Calibri" w:hAnsi="Verdana" w:cs="Arial"/>
          <w:bCs/>
          <w:sz w:val="19"/>
          <w:szCs w:val="19"/>
        </w:rPr>
        <w:t>”</w:t>
      </w:r>
      <w:r w:rsidRPr="00480A95">
        <w:rPr>
          <w:rFonts w:ascii="Verdana" w:eastAsia="Calibri" w:hAnsi="Verdana" w:cs="Arial"/>
          <w:bCs/>
          <w:sz w:val="19"/>
          <w:szCs w:val="19"/>
          <w:vertAlign w:val="superscript"/>
        </w:rPr>
        <w:footnoteReference w:id="8"/>
      </w:r>
      <w:r w:rsidRPr="00480A95">
        <w:rPr>
          <w:rFonts w:ascii="Verdana" w:eastAsia="Calibri" w:hAnsi="Verdana" w:cs="Arial"/>
          <w:lang w:val="es-MX"/>
        </w:rPr>
        <w:t>.</w:t>
      </w:r>
      <w:r w:rsidRPr="00480A95">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0189F0A0" w14:textId="77777777" w:rsidR="00AE0C3B" w:rsidRPr="00480A95" w:rsidRDefault="00AE0C3B" w:rsidP="00AE0C3B">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3E0D9EE" w14:textId="77777777" w:rsidR="00AE0C3B" w:rsidRPr="00480A95" w:rsidRDefault="00AE0C3B" w:rsidP="00AE0C3B">
      <w:pPr>
        <w:widowControl w:val="0"/>
        <w:autoSpaceDE w:val="0"/>
        <w:autoSpaceDN w:val="0"/>
        <w:spacing w:after="0" w:line="240" w:lineRule="auto"/>
        <w:ind w:left="709" w:right="709"/>
        <w:contextualSpacing/>
        <w:jc w:val="both"/>
        <w:rPr>
          <w:rFonts w:ascii="Verdana" w:eastAsia="Arial" w:hAnsi="Verdana" w:cs="Arial"/>
          <w:sz w:val="21"/>
          <w:szCs w:val="21"/>
          <w:lang w:val="es-ES" w:eastAsia="es-ES" w:bidi="es-ES"/>
        </w:rPr>
      </w:pPr>
      <w:r w:rsidRPr="00480A9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w:t>
      </w:r>
      <w:r w:rsidRPr="00480A95">
        <w:rPr>
          <w:rFonts w:ascii="Verdana" w:eastAsia="Arial" w:hAnsi="Verdana" w:cs="Arial"/>
          <w:sz w:val="20"/>
          <w:szCs w:val="20"/>
          <w:lang w:val="es-ES"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80A95">
        <w:rPr>
          <w:rFonts w:ascii="Verdana" w:eastAsia="Arial" w:hAnsi="Verdana" w:cs="Arial"/>
          <w:sz w:val="20"/>
          <w:szCs w:val="20"/>
          <w:lang w:val="es-ES" w:eastAsia="es-ES" w:bidi="es-ES"/>
        </w:rPr>
        <w:t>Presidente</w:t>
      </w:r>
      <w:proofErr w:type="gramEnd"/>
      <w:r w:rsidRPr="00480A95">
        <w:rPr>
          <w:rFonts w:ascii="Verdana" w:eastAsia="Arial" w:hAnsi="Verdana" w:cs="Arial"/>
          <w:sz w:val="20"/>
          <w:szCs w:val="20"/>
          <w:lang w:val="es-ES" w:eastAsia="es-ES" w:bidi="es-ES"/>
        </w:rPr>
        <w:t xml:space="preserve"> de la República, a las autoridades territoriales allí mencionadas sólo se aplican</w:t>
      </w:r>
      <w:r w:rsidRPr="00480A95">
        <w:rPr>
          <w:rFonts w:ascii="Verdana" w:eastAsia="Arial" w:hAnsi="Verdana" w:cs="Arial"/>
          <w:bCs/>
          <w:sz w:val="21"/>
          <w:szCs w:val="21"/>
          <w:lang w:val="es-ES" w:eastAsia="es-ES" w:bidi="es-ES"/>
        </w:rPr>
        <w:t xml:space="preserve"> </w:t>
      </w:r>
      <w:r w:rsidRPr="00480A95">
        <w:rPr>
          <w:rFonts w:ascii="Verdana" w:eastAsia="Arial" w:hAnsi="Verdana" w:cs="Arial"/>
          <w:sz w:val="20"/>
          <w:szCs w:val="20"/>
          <w:lang w:val="es-ES" w:eastAsia="es-ES" w:bidi="es-ES"/>
        </w:rPr>
        <w:t>las restricciones contenidas en el parágrafo del artículo 38”.</w:t>
      </w:r>
      <w:r w:rsidRPr="00480A95">
        <w:rPr>
          <w:rFonts w:ascii="Verdana" w:eastAsia="Arial" w:hAnsi="Verdana" w:cs="Arial"/>
          <w:sz w:val="20"/>
          <w:szCs w:val="20"/>
          <w:vertAlign w:val="superscript"/>
          <w:lang w:val="es-ES" w:eastAsia="es-ES" w:bidi="es-ES"/>
        </w:rPr>
        <w:footnoteReference w:id="9"/>
      </w:r>
    </w:p>
    <w:p w14:paraId="041554F6" w14:textId="77777777" w:rsidR="00AE0C3B" w:rsidRPr="00480A95" w:rsidRDefault="00AE0C3B" w:rsidP="00AE0C3B">
      <w:pPr>
        <w:widowControl w:val="0"/>
        <w:autoSpaceDE w:val="0"/>
        <w:autoSpaceDN w:val="0"/>
        <w:spacing w:after="0" w:line="276" w:lineRule="auto"/>
        <w:contextualSpacing/>
        <w:rPr>
          <w:rFonts w:ascii="Verdana" w:eastAsia="Arial" w:hAnsi="Verdana" w:cs="Arial"/>
          <w:lang w:val="es-ES" w:eastAsia="es-ES" w:bidi="es-ES"/>
        </w:rPr>
      </w:pPr>
    </w:p>
    <w:p w14:paraId="416903A6" w14:textId="77777777" w:rsidR="00AE0C3B" w:rsidRPr="00480A95" w:rsidRDefault="00AE0C3B" w:rsidP="00AE0C3B">
      <w:pPr>
        <w:spacing w:after="120" w:line="276" w:lineRule="auto"/>
        <w:ind w:firstLine="709"/>
        <w:jc w:val="both"/>
        <w:rPr>
          <w:rFonts w:ascii="Verdana" w:eastAsia="Arial" w:hAnsi="Verdana" w:cs="Arial"/>
          <w:lang w:val="es-ES" w:eastAsia="es-ES" w:bidi="es-ES"/>
        </w:rPr>
      </w:pPr>
      <w:r w:rsidRPr="00480A95">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480A95">
        <w:rPr>
          <w:rFonts w:ascii="Verdana" w:eastAsia="Arial" w:hAnsi="Verdana" w:cs="Arial"/>
          <w:i/>
          <w:iCs/>
          <w:lang w:val="es-ES" w:eastAsia="es-ES" w:bidi="es-ES"/>
        </w:rPr>
        <w:t>En primer lugar</w:t>
      </w:r>
      <w:r w:rsidRPr="00480A95">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80A95">
        <w:rPr>
          <w:rFonts w:ascii="Verdana" w:eastAsia="Arial" w:hAnsi="Verdana" w:cs="Arial"/>
          <w:i/>
          <w:iCs/>
          <w:lang w:val="es-ES" w:eastAsia="es-ES" w:bidi="es-ES"/>
        </w:rPr>
        <w:t>En segundo lugar</w:t>
      </w:r>
      <w:r w:rsidRPr="00480A95">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4BDC1D1" w14:textId="77777777" w:rsidR="00AE0C3B" w:rsidRPr="00480A95" w:rsidRDefault="00AE0C3B" w:rsidP="00AE0C3B">
      <w:pPr>
        <w:spacing w:after="120" w:line="276" w:lineRule="auto"/>
        <w:ind w:firstLine="709"/>
        <w:jc w:val="both"/>
        <w:rPr>
          <w:rFonts w:ascii="Verdana" w:eastAsia="Arial" w:hAnsi="Verdana" w:cs="Arial"/>
          <w:lang w:val="es-ES" w:eastAsia="es-ES" w:bidi="es-ES"/>
        </w:rPr>
      </w:pPr>
      <w:r w:rsidRPr="00480A95">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80A95">
        <w:rPr>
          <w:rFonts w:ascii="Verdana" w:eastAsia="Arial" w:hAnsi="Verdana" w:cs="Arial"/>
          <w:lang w:val="es-ES" w:eastAsia="es-ES" w:bidi="es-ES"/>
        </w:rPr>
        <w:t>Presidente</w:t>
      </w:r>
      <w:proofErr w:type="gramEnd"/>
      <w:r w:rsidRPr="00480A95">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80A95">
        <w:rPr>
          <w:rFonts w:ascii="Verdana" w:eastAsia="Arial" w:hAnsi="Verdana" w:cs="Arial"/>
          <w:lang w:val="es-ES" w:eastAsia="es-ES" w:bidi="es-ES"/>
        </w:rPr>
        <w:t>Presidente</w:t>
      </w:r>
      <w:proofErr w:type="gramEnd"/>
      <w:r w:rsidRPr="00480A95">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2EC17499" w14:textId="77777777" w:rsidR="00AE0C3B" w:rsidRPr="00480A95" w:rsidRDefault="00AE0C3B" w:rsidP="00AE0C3B">
      <w:pPr>
        <w:spacing w:after="0" w:line="276" w:lineRule="auto"/>
        <w:ind w:firstLine="709"/>
        <w:jc w:val="both"/>
        <w:rPr>
          <w:rFonts w:ascii="Verdana" w:eastAsia="Times New Roman" w:hAnsi="Verdana" w:cs="Arial"/>
          <w:lang w:val="es-ES" w:eastAsia="es-CO"/>
        </w:rPr>
      </w:pPr>
      <w:r w:rsidRPr="00480A95">
        <w:rPr>
          <w:rFonts w:ascii="Verdana" w:hAnsi="Verdana" w:cs="Arial"/>
          <w:lang w:val="es-ES" w:eastAsia="es-ES" w:bidi="es-ES"/>
        </w:rPr>
        <w:t xml:space="preserve">Para responder al </w:t>
      </w:r>
      <w:r>
        <w:rPr>
          <w:rFonts w:ascii="Verdana" w:hAnsi="Verdana" w:cs="Arial"/>
          <w:lang w:val="es-ES" w:eastAsia="es-ES" w:bidi="es-ES"/>
        </w:rPr>
        <w:t>objeto de la consulta, se debe</w:t>
      </w:r>
      <w:r w:rsidRPr="00480A95">
        <w:rPr>
          <w:rFonts w:ascii="Verdana" w:hAnsi="Verdana" w:cs="Arial"/>
          <w:lang w:val="es-ES" w:eastAsia="es-ES" w:bidi="es-ES"/>
        </w:rPr>
        <w:t xml:space="preserve"> precisar el alcance de la prohibición </w:t>
      </w:r>
      <w:r w:rsidRPr="00480A95">
        <w:rPr>
          <w:rFonts w:ascii="Verdana" w:eastAsia="Arial" w:hAnsi="Verdana" w:cs="Arial"/>
          <w:lang w:val="es-ES" w:eastAsia="es-ES" w:bidi="es-ES"/>
        </w:rPr>
        <w:t>establecida en e</w:t>
      </w:r>
      <w:r w:rsidRPr="00480A95">
        <w:rPr>
          <w:rFonts w:ascii="Verdana" w:hAnsi="Verdana" w:cs="Arial"/>
          <w:lang w:val="es-ES"/>
        </w:rPr>
        <w:t xml:space="preserve">l </w:t>
      </w:r>
      <w:r w:rsidRPr="00480A95">
        <w:rPr>
          <w:rFonts w:ascii="Verdana" w:eastAsia="Times New Roman" w:hAnsi="Verdana" w:cs="Arial"/>
          <w:lang w:val="es-ES"/>
        </w:rPr>
        <w:t xml:space="preserve">artículo 33 de la Ley 996 de 2005 y sus excepciones. El </w:t>
      </w:r>
      <w:r w:rsidRPr="00480A95">
        <w:rPr>
          <w:rFonts w:ascii="Verdana" w:eastAsia="Times New Roman" w:hAnsi="Verdana" w:cs="Arial"/>
          <w:i/>
          <w:iCs/>
          <w:lang w:val="es-ES"/>
        </w:rPr>
        <w:t>ámbito material</w:t>
      </w:r>
      <w:r w:rsidRPr="00480A95">
        <w:rPr>
          <w:rFonts w:ascii="Verdana" w:eastAsia="Times New Roman" w:hAnsi="Verdana" w:cs="Arial"/>
          <w:lang w:val="es-ES"/>
        </w:rPr>
        <w:t xml:space="preserve"> de esta prohibición está delimitado por la expresión </w:t>
      </w:r>
      <w:r w:rsidRPr="00480A95">
        <w:rPr>
          <w:rFonts w:ascii="Verdana" w:hAnsi="Verdana" w:cs="Arial"/>
          <w:bCs/>
          <w:lang w:val="es-ES"/>
        </w:rPr>
        <w:t>“</w:t>
      </w:r>
      <w:r w:rsidRPr="00480A95">
        <w:rPr>
          <w:rFonts w:ascii="Verdana" w:eastAsia="Times New Roman" w:hAnsi="Verdana" w:cs="Arial"/>
          <w:lang w:val="es-ES"/>
        </w:rPr>
        <w:t xml:space="preserve">queda </w:t>
      </w:r>
      <w:r w:rsidRPr="00480A95">
        <w:rPr>
          <w:rFonts w:ascii="Verdana" w:eastAsia="Times New Roman" w:hAnsi="Verdana" w:cs="Arial"/>
          <w:lang w:val="es-ES"/>
        </w:rPr>
        <w:lastRenderedPageBreak/>
        <w:t>prohibida la contratación directa</w:t>
      </w:r>
      <w:r w:rsidRPr="00480A95">
        <w:rPr>
          <w:rFonts w:ascii="Verdana" w:hAnsi="Verdana" w:cs="Arial"/>
          <w:lang w:val="es-ES"/>
        </w:rPr>
        <w:t>”</w:t>
      </w:r>
      <w:r w:rsidRPr="00480A95">
        <w:rPr>
          <w:rFonts w:ascii="Verdana" w:eastAsia="Times New Roman" w:hAnsi="Verdana" w:cs="Arial"/>
          <w:lang w:val="es-ES"/>
        </w:rPr>
        <w:t xml:space="preserve">. </w:t>
      </w:r>
      <w:r w:rsidRPr="00480A95">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4EA2ED38" w14:textId="77777777" w:rsidR="00AE0C3B" w:rsidRPr="00480A95" w:rsidRDefault="00AE0C3B" w:rsidP="00AE0C3B">
      <w:pPr>
        <w:spacing w:after="0" w:line="276" w:lineRule="auto"/>
        <w:ind w:firstLine="709"/>
        <w:jc w:val="both"/>
        <w:rPr>
          <w:rFonts w:ascii="Verdana" w:eastAsia="Times New Roman" w:hAnsi="Verdana" w:cs="Arial"/>
          <w:lang w:val="es-ES" w:eastAsia="es-CO"/>
        </w:rPr>
      </w:pPr>
    </w:p>
    <w:p w14:paraId="5B735CCD" w14:textId="77777777" w:rsidR="00AE0C3B" w:rsidRPr="00480A95" w:rsidRDefault="00AE0C3B" w:rsidP="00AE0C3B">
      <w:pPr>
        <w:spacing w:after="0" w:line="240" w:lineRule="auto"/>
        <w:ind w:left="709" w:right="709"/>
        <w:jc w:val="both"/>
        <w:rPr>
          <w:rFonts w:ascii="Verdana" w:hAnsi="Verdana" w:cs="Arial"/>
          <w:sz w:val="20"/>
          <w:szCs w:val="20"/>
        </w:rPr>
      </w:pPr>
      <w:r w:rsidRPr="00480A95">
        <w:rPr>
          <w:rFonts w:ascii="Verdana" w:hAnsi="Verdana" w:cs="Arial"/>
          <w:sz w:val="20"/>
          <w:szCs w:val="20"/>
        </w:rPr>
        <w:t xml:space="preserve">“(…) Esta Sala ha entendido </w:t>
      </w:r>
      <w:proofErr w:type="gramStart"/>
      <w:r w:rsidRPr="00480A95">
        <w:rPr>
          <w:rFonts w:ascii="Verdana" w:hAnsi="Verdana" w:cs="Arial"/>
          <w:sz w:val="20"/>
          <w:szCs w:val="20"/>
        </w:rPr>
        <w:t>que</w:t>
      </w:r>
      <w:proofErr w:type="gramEnd"/>
      <w:r w:rsidRPr="00480A95">
        <w:rPr>
          <w:rFonts w:ascii="Verdana" w:hAnsi="Verdana" w:cs="Arial"/>
          <w:sz w:val="20"/>
          <w:szCs w:val="20"/>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480A95">
        <w:rPr>
          <w:rFonts w:ascii="Verdana" w:eastAsia="Times New Roman" w:hAnsi="Verdana" w:cs="Arial"/>
          <w:sz w:val="20"/>
          <w:szCs w:val="20"/>
          <w:vertAlign w:val="superscript"/>
        </w:rPr>
        <w:footnoteReference w:id="10"/>
      </w:r>
      <w:r w:rsidRPr="00480A95">
        <w:rPr>
          <w:rFonts w:ascii="Verdana" w:eastAsia="Times New Roman" w:hAnsi="Verdana" w:cs="Arial"/>
          <w:sz w:val="20"/>
          <w:szCs w:val="20"/>
          <w:vertAlign w:val="superscript"/>
        </w:rPr>
        <w:t>.</w:t>
      </w:r>
      <w:r w:rsidRPr="00480A9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480A95">
        <w:rPr>
          <w:rFonts w:ascii="Verdana" w:eastAsia="Times New Roman" w:hAnsi="Verdana" w:cs="Arial"/>
          <w:sz w:val="20"/>
          <w:szCs w:val="20"/>
          <w:vertAlign w:val="superscript"/>
          <w:lang w:eastAsia="es-CO"/>
        </w:rPr>
        <w:footnoteReference w:id="11"/>
      </w:r>
      <w:r w:rsidRPr="00480A95">
        <w:rPr>
          <w:rFonts w:ascii="Verdana" w:hAnsi="Verdana" w:cs="Arial"/>
          <w:sz w:val="20"/>
          <w:szCs w:val="20"/>
        </w:rPr>
        <w:t>.</w:t>
      </w:r>
    </w:p>
    <w:p w14:paraId="73BC0E0B" w14:textId="77777777" w:rsidR="00AE0C3B" w:rsidRPr="00480A95" w:rsidRDefault="00AE0C3B" w:rsidP="00AE0C3B">
      <w:pPr>
        <w:shd w:val="clear" w:color="auto" w:fill="FFFFFF" w:themeFill="background1"/>
        <w:spacing w:after="0" w:line="240" w:lineRule="auto"/>
        <w:ind w:firstLine="709"/>
        <w:jc w:val="both"/>
        <w:rPr>
          <w:rFonts w:ascii="Verdana" w:eastAsia="Times New Roman" w:hAnsi="Verdana" w:cs="Arial"/>
          <w:lang w:val="es-ES" w:eastAsia="x-none"/>
        </w:rPr>
      </w:pPr>
    </w:p>
    <w:p w14:paraId="1073B994" w14:textId="77777777" w:rsidR="00AE0C3B" w:rsidRPr="00480A95" w:rsidRDefault="00AE0C3B" w:rsidP="00AE0C3B">
      <w:pPr>
        <w:spacing w:after="120" w:line="276" w:lineRule="auto"/>
        <w:ind w:firstLine="708"/>
        <w:jc w:val="both"/>
        <w:rPr>
          <w:rFonts w:ascii="Verdana" w:eastAsia="Times New Roman" w:hAnsi="Verdana" w:cs="Arial"/>
          <w:bCs/>
          <w:lang w:val="es-ES" w:eastAsia="x-none"/>
        </w:rPr>
      </w:pPr>
      <w:r w:rsidRPr="00480A95">
        <w:rPr>
          <w:rFonts w:ascii="Verdana" w:eastAsia="Times New Roman" w:hAnsi="Verdana" w:cs="Arial"/>
          <w:lang w:val="es-ES" w:eastAsia="x-none"/>
        </w:rPr>
        <w:t xml:space="preserve">De acuerdo con este concepto, la prohibición del artículo 33 de la Ley de Garantías Electorales se refiere a </w:t>
      </w:r>
      <w:r w:rsidRPr="00480A95">
        <w:rPr>
          <w:rFonts w:ascii="Verdana" w:eastAsia="Times New Roman" w:hAnsi="Verdana" w:cs="Arial"/>
          <w:sz w:val="19"/>
          <w:szCs w:val="19"/>
          <w:lang w:val="es-ES" w:eastAsia="en-GB"/>
        </w:rPr>
        <w:t>“</w:t>
      </w:r>
      <w:r w:rsidRPr="00480A95">
        <w:rPr>
          <w:rFonts w:ascii="Verdana" w:eastAsia="Times New Roman" w:hAnsi="Verdana" w:cs="Arial"/>
          <w:lang w:val="es-ES" w:eastAsia="x-none"/>
        </w:rPr>
        <w:t>cualquier sistema que no implique convocatoria pública y posibilidad de pluralidad de oferentes</w:t>
      </w:r>
      <w:r w:rsidRPr="00480A95">
        <w:rPr>
          <w:rFonts w:ascii="Verdana" w:eastAsia="Times New Roman" w:hAnsi="Verdana" w:cs="Arial"/>
          <w:lang w:val="es-ES" w:eastAsia="en-GB"/>
        </w:rPr>
        <w:t>”</w:t>
      </w:r>
      <w:r w:rsidRPr="00480A95">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480A95">
        <w:rPr>
          <w:rFonts w:ascii="Verdana" w:eastAsia="Times New Roman" w:hAnsi="Verdana" w:cs="Arial"/>
          <w:lang w:val="es-ES"/>
        </w:rPr>
        <w:t>y la mínima cuantía</w:t>
      </w:r>
      <w:r w:rsidRPr="00480A95" w:rsidDel="00A85D9F">
        <w:rPr>
          <w:rFonts w:ascii="Verdana" w:eastAsia="Times New Roman" w:hAnsi="Verdana" w:cs="Arial"/>
          <w:lang w:val="es-ES" w:eastAsia="x-none"/>
        </w:rPr>
        <w:t xml:space="preserve"> </w:t>
      </w:r>
      <w:r w:rsidRPr="00480A95">
        <w:rPr>
          <w:rFonts w:ascii="Verdana" w:eastAsia="Times New Roman" w:hAnsi="Verdana" w:cs="Arial"/>
          <w:lang w:val="es-ES"/>
        </w:rPr>
        <w:t xml:space="preserve">u otros previstos en normas especiales. </w:t>
      </w:r>
      <w:r w:rsidRPr="00480A95">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480A95">
        <w:rPr>
          <w:rFonts w:ascii="Verdana" w:eastAsia="Times New Roman" w:hAnsi="Verdana" w:cs="Arial"/>
          <w:vertAlign w:val="superscript"/>
          <w:lang w:val="es-ES" w:eastAsia="x-none"/>
        </w:rPr>
        <w:footnoteReference w:id="12"/>
      </w:r>
      <w:r w:rsidRPr="00480A95">
        <w:rPr>
          <w:rFonts w:ascii="Verdana" w:eastAsia="Times New Roman" w:hAnsi="Verdana" w:cs="Arial"/>
          <w:lang w:val="es-ES" w:eastAsia="x-none"/>
        </w:rPr>
        <w:t xml:space="preserve"> y sistematizó las causales de contratación directa</w:t>
      </w:r>
      <w:r w:rsidRPr="00480A95">
        <w:rPr>
          <w:rFonts w:ascii="Verdana" w:eastAsia="Times New Roman" w:hAnsi="Verdana" w:cs="Arial"/>
          <w:vertAlign w:val="superscript"/>
          <w:lang w:val="es-ES" w:eastAsia="x-none"/>
        </w:rPr>
        <w:footnoteReference w:id="13"/>
      </w:r>
      <w:r w:rsidRPr="00480A95">
        <w:rPr>
          <w:rFonts w:ascii="Verdana" w:eastAsia="Times New Roman" w:hAnsi="Verdana" w:cs="Arial"/>
          <w:lang w:val="es-ES" w:eastAsia="x-none"/>
        </w:rPr>
        <w:t xml:space="preserve">, </w:t>
      </w:r>
      <w:r w:rsidRPr="00480A95">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42A326BA" w14:textId="77777777" w:rsidR="00AE0C3B" w:rsidRPr="00480A95" w:rsidRDefault="00AE0C3B" w:rsidP="00AE0C3B">
      <w:pPr>
        <w:spacing w:after="120" w:line="276" w:lineRule="auto"/>
        <w:ind w:firstLine="708"/>
        <w:jc w:val="both"/>
        <w:rPr>
          <w:rFonts w:ascii="Verdana" w:eastAsia="Times New Roman" w:hAnsi="Verdana" w:cs="Arial"/>
          <w:bCs/>
          <w:lang w:val="es-ES" w:eastAsia="es-CO"/>
        </w:rPr>
      </w:pPr>
      <w:r w:rsidRPr="00480A95">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w:t>
      </w:r>
      <w:r w:rsidRPr="00480A95">
        <w:rPr>
          <w:rFonts w:ascii="Verdana" w:eastAsia="Times New Roman" w:hAnsi="Verdana" w:cs="Arial"/>
          <w:bCs/>
          <w:lang w:val="es-ES" w:eastAsia="es-CO"/>
        </w:rPr>
        <w:lastRenderedPageBreak/>
        <w:t>de la Administración Pública</w:t>
      </w:r>
      <w:r w:rsidRPr="00480A95">
        <w:rPr>
          <w:rFonts w:ascii="Verdana" w:eastAsia="Times New Roman" w:hAnsi="Verdana" w:cs="Arial"/>
          <w:bCs/>
          <w:i/>
          <w:iCs/>
          <w:lang w:val="es-ES" w:eastAsia="es-CO"/>
        </w:rPr>
        <w:t>, sino también frente a las entidades que tengan un régimen especial de contratación</w:t>
      </w:r>
      <w:r w:rsidRPr="00480A95">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480A95">
        <w:rPr>
          <w:rFonts w:ascii="Verdana" w:eastAsia="Times New Roman" w:hAnsi="Verdana" w:cs="Arial"/>
          <w:lang w:val="es-ES"/>
        </w:rPr>
        <w:t xml:space="preserve">Así, para la prohibición o restricción temporal contenida en su artículo 33, “contratación directa” es </w:t>
      </w:r>
      <w:r w:rsidRPr="00480A95">
        <w:rPr>
          <w:rFonts w:ascii="Verdana" w:eastAsia="Times New Roman" w:hAnsi="Verdana" w:cs="Arial"/>
          <w:i/>
          <w:iCs/>
          <w:lang w:val="es-ES"/>
        </w:rPr>
        <w:t>cualquier</w:t>
      </w:r>
      <w:r w:rsidRPr="00480A95">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480A95">
        <w:rPr>
          <w:rFonts w:ascii="Verdana" w:eastAsia="Times New Roman" w:hAnsi="Verdana" w:cs="Arial"/>
          <w:vertAlign w:val="superscript"/>
          <w:lang w:val="es-ES" w:eastAsia="x-none"/>
        </w:rPr>
        <w:footnoteReference w:id="14"/>
      </w:r>
      <w:r w:rsidRPr="00480A95">
        <w:rPr>
          <w:rFonts w:ascii="Verdana" w:eastAsia="Times New Roman" w:hAnsi="Verdana" w:cs="Arial"/>
          <w:lang w:val="es-ES"/>
        </w:rPr>
        <w:t>.</w:t>
      </w:r>
      <w:r w:rsidRPr="00480A95">
        <w:rPr>
          <w:rFonts w:ascii="Verdana" w:eastAsia="Times New Roman" w:hAnsi="Verdana" w:cs="Arial"/>
          <w:vertAlign w:val="superscript"/>
          <w:lang w:val="es-ES" w:eastAsia="x-none"/>
        </w:rPr>
        <w:t xml:space="preserve"> </w:t>
      </w:r>
    </w:p>
    <w:p w14:paraId="08117DBF" w14:textId="77777777" w:rsidR="00AE0C3B" w:rsidRPr="00480A95" w:rsidRDefault="00AE0C3B" w:rsidP="00AE0C3B">
      <w:pPr>
        <w:spacing w:after="120" w:line="276" w:lineRule="auto"/>
        <w:ind w:firstLine="708"/>
        <w:jc w:val="both"/>
        <w:rPr>
          <w:rFonts w:ascii="Verdana" w:eastAsia="Times New Roman" w:hAnsi="Verdana" w:cs="Arial"/>
          <w:lang w:val="es-ES"/>
        </w:rPr>
      </w:pPr>
      <w:r w:rsidRPr="00480A95">
        <w:rPr>
          <w:rFonts w:ascii="Verdana" w:eastAsia="Times New Roman" w:hAnsi="Verdana" w:cs="Arial"/>
          <w:lang w:val="es-ES"/>
        </w:rPr>
        <w:t xml:space="preserve">De lo anterior se desprende que la restricción aplica, sin perjuicio de las excepciones establecidas en la misma ley, para celebrar </w:t>
      </w:r>
      <w:r w:rsidRPr="00480A95">
        <w:rPr>
          <w:rFonts w:ascii="Verdana" w:eastAsia="Times New Roman" w:hAnsi="Verdana" w:cs="Arial"/>
          <w:i/>
          <w:iCs/>
          <w:lang w:val="es-ES"/>
        </w:rPr>
        <w:t>cualquier contrato o convenio de forma directa</w:t>
      </w:r>
      <w:r w:rsidRPr="00480A95">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211C980" w14:textId="77777777" w:rsidR="00AE0C3B" w:rsidRPr="00480A95" w:rsidRDefault="00AE0C3B" w:rsidP="00AE0C3B">
      <w:pPr>
        <w:spacing w:after="120" w:line="276" w:lineRule="auto"/>
        <w:ind w:firstLine="709"/>
        <w:jc w:val="both"/>
        <w:rPr>
          <w:rFonts w:ascii="Verdana" w:eastAsia="Century Gothic" w:hAnsi="Verdana" w:cs="Century Gothic"/>
        </w:rPr>
      </w:pPr>
      <w:r w:rsidRPr="00480A95">
        <w:rPr>
          <w:rFonts w:ascii="Verdana" w:eastAsia="Calibri" w:hAnsi="Verdana" w:cs="Arial"/>
          <w:color w:val="000000" w:themeColor="text1"/>
          <w:lang w:val="es-ES"/>
        </w:rPr>
        <w:t xml:space="preserve">Teniendo en cuenta la explicación precedente, se señala que los </w:t>
      </w:r>
      <w:r w:rsidRPr="00480A95">
        <w:rPr>
          <w:rFonts w:ascii="Verdana" w:eastAsia="Century Gothic" w:hAnsi="Verdana" w:cs="Century Gothic"/>
        </w:rPr>
        <w:t xml:space="preserve">convenios especiales de cooperación para el desarrollo de actividades de ciencia, tecnología e innovación que están prohibidos contratar durante los cuatro (4) meses previos a las elecciones de presidente son aquellos que se celebren de manera directa, es decir, a través de una modalidad de contratación que no implique pluralidad de oferentes. </w:t>
      </w:r>
    </w:p>
    <w:p w14:paraId="1F6C076C" w14:textId="77777777" w:rsidR="00AE0C3B" w:rsidRPr="00480A95" w:rsidRDefault="00AE0C3B" w:rsidP="00AE0C3B">
      <w:pPr>
        <w:spacing w:after="0" w:line="276" w:lineRule="auto"/>
        <w:ind w:firstLine="709"/>
        <w:jc w:val="both"/>
        <w:rPr>
          <w:rFonts w:ascii="Verdana" w:eastAsia="Times New Roman" w:hAnsi="Verdana" w:cs="Arial"/>
          <w:lang w:val="es-ES"/>
        </w:rPr>
      </w:pPr>
      <w:r w:rsidRPr="00480A95">
        <w:rPr>
          <w:rFonts w:ascii="Verdana" w:eastAsia="Times New Roman" w:hAnsi="Verdana" w:cs="Arial"/>
          <w:bCs/>
          <w:lang w:val="es-ES" w:eastAsia="es-CO"/>
        </w:rPr>
        <w:t xml:space="preserve">Con respecto a los </w:t>
      </w:r>
      <w:r w:rsidRPr="00480A95">
        <w:rPr>
          <w:rFonts w:ascii="Verdana" w:eastAsia="Times New Roman" w:hAnsi="Verdana" w:cs="Arial"/>
          <w:bCs/>
          <w:i/>
          <w:iCs/>
          <w:lang w:val="es-ES" w:eastAsia="es-CO"/>
        </w:rPr>
        <w:t>sujetos</w:t>
      </w:r>
      <w:r w:rsidRPr="00480A95">
        <w:rPr>
          <w:rFonts w:ascii="Verdana" w:eastAsia="Times New Roman" w:hAnsi="Verdana" w:cs="Arial"/>
          <w:bCs/>
          <w:lang w:val="es-ES" w:eastAsia="es-CO"/>
        </w:rPr>
        <w:t xml:space="preserve"> que se encuentran enmarcados en la prohibición del artículo 33, </w:t>
      </w:r>
      <w:r w:rsidRPr="00480A95">
        <w:rPr>
          <w:rFonts w:ascii="Verdana" w:eastAsia="Times New Roman" w:hAnsi="Verdana" w:cs="Arial"/>
          <w:lang w:val="es-ES"/>
        </w:rPr>
        <w:t>la Ley 996 de 2005 señala expresamente que son “</w:t>
      </w:r>
      <w:r w:rsidRPr="00480A95">
        <w:rPr>
          <w:rFonts w:ascii="Verdana" w:eastAsia="Times New Roman" w:hAnsi="Verdana" w:cs="Arial"/>
          <w:i/>
          <w:iCs/>
          <w:u w:val="single"/>
          <w:lang w:val="es-ES"/>
        </w:rPr>
        <w:t>todos</w:t>
      </w:r>
      <w:r w:rsidRPr="00480A95">
        <w:rPr>
          <w:rFonts w:ascii="Verdana" w:eastAsia="Times New Roman" w:hAnsi="Verdana" w:cs="Arial"/>
          <w:i/>
          <w:iCs/>
          <w:lang w:val="es-ES"/>
        </w:rPr>
        <w:t xml:space="preserve"> los entes del Estado</w:t>
      </w:r>
      <w:r w:rsidRPr="00480A95">
        <w:rPr>
          <w:rFonts w:ascii="Verdana" w:eastAsia="Times New Roman" w:hAnsi="Verdana" w:cs="Arial"/>
          <w:lang w:val="es-ES"/>
        </w:rPr>
        <w:t>” (énfasis propio). Al respecto la Sala de Consulta y Servicio Civil del Consejo de Estado señaló lo siguiente:</w:t>
      </w:r>
    </w:p>
    <w:p w14:paraId="0E657E7F" w14:textId="77777777" w:rsidR="00AE0C3B" w:rsidRPr="00480A95" w:rsidRDefault="00AE0C3B" w:rsidP="00AE0C3B">
      <w:pPr>
        <w:spacing w:after="0" w:line="276" w:lineRule="auto"/>
        <w:ind w:firstLine="709"/>
        <w:jc w:val="both"/>
        <w:rPr>
          <w:rFonts w:ascii="Verdana" w:eastAsia="Times New Roman" w:hAnsi="Verdana" w:cs="Arial"/>
          <w:lang w:val="es-ES"/>
        </w:rPr>
      </w:pPr>
    </w:p>
    <w:p w14:paraId="66B293D1" w14:textId="77777777" w:rsidR="00AE0C3B" w:rsidRPr="00480A95" w:rsidRDefault="00AE0C3B" w:rsidP="00AE0C3B">
      <w:pPr>
        <w:spacing w:after="0" w:line="240" w:lineRule="auto"/>
        <w:ind w:left="709" w:right="709"/>
        <w:jc w:val="both"/>
        <w:rPr>
          <w:rFonts w:ascii="Verdana" w:eastAsia="Times New Roman" w:hAnsi="Verdana" w:cs="Arial"/>
          <w:sz w:val="20"/>
          <w:szCs w:val="20"/>
          <w:lang w:eastAsia="es-CO"/>
        </w:rPr>
      </w:pPr>
      <w:r w:rsidRPr="00480A95">
        <w:rPr>
          <w:rFonts w:ascii="Verdana" w:eastAsia="Times New Roman" w:hAnsi="Verdana" w:cs="Arial"/>
          <w:sz w:val="20"/>
          <w:szCs w:val="20"/>
          <w:lang w:eastAsia="es-CO"/>
        </w:rPr>
        <w:t xml:space="preserve">“El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w:t>
      </w:r>
      <w:r w:rsidRPr="00480A95">
        <w:rPr>
          <w:rFonts w:ascii="Verdana" w:eastAsia="Times New Roman" w:hAnsi="Verdana" w:cs="Arial"/>
          <w:sz w:val="20"/>
          <w:szCs w:val="20"/>
          <w:lang w:eastAsia="es-CO"/>
        </w:rPr>
        <w:lastRenderedPageBreak/>
        <w:t>romper el equilibrio entre los partidos y los candidatos a las elecciones presidenciales (…)”</w:t>
      </w:r>
      <w:r w:rsidRPr="00480A95">
        <w:rPr>
          <w:rFonts w:ascii="Verdana" w:eastAsia="Times New Roman" w:hAnsi="Verdana" w:cs="Arial"/>
          <w:sz w:val="20"/>
          <w:szCs w:val="20"/>
          <w:vertAlign w:val="superscript"/>
          <w:lang w:eastAsia="es-CO"/>
        </w:rPr>
        <w:footnoteReference w:id="15"/>
      </w:r>
      <w:r w:rsidRPr="00480A95">
        <w:rPr>
          <w:rFonts w:ascii="Verdana" w:eastAsia="Times New Roman" w:hAnsi="Verdana" w:cs="Arial"/>
          <w:sz w:val="20"/>
          <w:szCs w:val="20"/>
          <w:lang w:eastAsia="es-CO"/>
        </w:rPr>
        <w:t>.</w:t>
      </w:r>
    </w:p>
    <w:p w14:paraId="6BDDB647" w14:textId="77777777" w:rsidR="00AE0C3B" w:rsidRPr="00480A95" w:rsidRDefault="00AE0C3B" w:rsidP="00AE0C3B">
      <w:pPr>
        <w:spacing w:after="0" w:line="240" w:lineRule="auto"/>
        <w:ind w:left="709" w:right="709"/>
        <w:jc w:val="both"/>
        <w:rPr>
          <w:rFonts w:ascii="Verdana" w:eastAsia="Times New Roman" w:hAnsi="Verdana" w:cs="Arial"/>
          <w:bCs/>
          <w:lang w:val="es-ES" w:eastAsia="es-CO"/>
        </w:rPr>
      </w:pPr>
    </w:p>
    <w:p w14:paraId="33A6BD93" w14:textId="77777777" w:rsidR="00AE0C3B" w:rsidRPr="00480A95" w:rsidRDefault="00AE0C3B" w:rsidP="00AE0C3B">
      <w:pPr>
        <w:spacing w:after="120" w:line="276" w:lineRule="auto"/>
        <w:ind w:firstLine="708"/>
        <w:jc w:val="both"/>
        <w:rPr>
          <w:rFonts w:ascii="Verdana" w:hAnsi="Verdana" w:cs="Arial"/>
          <w:bCs/>
          <w:lang w:val="es-ES" w:eastAsia="es-CO"/>
        </w:rPr>
      </w:pPr>
      <w:r w:rsidRPr="00480A95">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480A95">
        <w:rPr>
          <w:rFonts w:ascii="Verdana" w:hAnsi="Verdana"/>
          <w:lang w:val="es-ES"/>
        </w:rPr>
        <w:t xml:space="preserve"> </w:t>
      </w:r>
      <w:r w:rsidRPr="00480A95">
        <w:rPr>
          <w:rFonts w:ascii="Verdana" w:hAnsi="Verdana" w:cs="Arial"/>
          <w:bCs/>
          <w:lang w:val="es-ES" w:eastAsia="x-none"/>
        </w:rPr>
        <w:t>En efecto, tal como lo ha sostenido el Consejo de Estado, el vocablo “todos” utilizado por el legislador comprende</w:t>
      </w:r>
      <w:r w:rsidRPr="00480A95">
        <w:rPr>
          <w:rFonts w:ascii="Verdana" w:hAnsi="Verdana"/>
          <w:lang w:val="es-ES"/>
        </w:rPr>
        <w:t xml:space="preserve"> </w:t>
      </w:r>
      <w:r w:rsidRPr="00480A95">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480A95">
        <w:rPr>
          <w:rFonts w:ascii="Verdana" w:hAnsi="Verdana" w:cs="Arial"/>
          <w:bCs/>
          <w:vertAlign w:val="superscript"/>
          <w:lang w:val="es-ES" w:eastAsia="x-none"/>
        </w:rPr>
        <w:footnoteReference w:id="16"/>
      </w:r>
      <w:r w:rsidRPr="00480A95">
        <w:rPr>
          <w:rFonts w:ascii="Verdana" w:hAnsi="Verdana" w:cs="Arial"/>
          <w:bCs/>
          <w:lang w:val="es-ES" w:eastAsia="x-none"/>
        </w:rPr>
        <w:t>.</w:t>
      </w:r>
      <w:r w:rsidRPr="00480A95">
        <w:rPr>
          <w:rFonts w:ascii="Verdana" w:hAnsi="Verdana" w:cs="Arial"/>
          <w:bCs/>
          <w:lang w:val="es-ES" w:eastAsia="es-CO"/>
        </w:rPr>
        <w:t>”</w:t>
      </w:r>
    </w:p>
    <w:p w14:paraId="1EC38CF1" w14:textId="77777777" w:rsidR="00AE0C3B" w:rsidRPr="00480A95" w:rsidRDefault="00AE0C3B" w:rsidP="00AE0C3B">
      <w:pPr>
        <w:spacing w:after="120" w:line="276" w:lineRule="auto"/>
        <w:ind w:firstLine="709"/>
        <w:jc w:val="both"/>
        <w:rPr>
          <w:rFonts w:ascii="Verdana" w:eastAsia="Arial" w:hAnsi="Verdana" w:cs="Arial"/>
          <w:bCs/>
          <w:color w:val="000000" w:themeColor="text1"/>
          <w:lang w:val="es-ES"/>
        </w:rPr>
      </w:pPr>
      <w:r w:rsidRPr="00480A95">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F02B98A" w14:textId="77777777" w:rsidR="00AE0C3B" w:rsidRPr="00480A95" w:rsidRDefault="00AE0C3B" w:rsidP="00AE0C3B">
      <w:pPr>
        <w:spacing w:after="120" w:line="276" w:lineRule="auto"/>
        <w:ind w:firstLine="709"/>
        <w:jc w:val="both"/>
        <w:rPr>
          <w:rFonts w:ascii="Verdana" w:hAnsi="Verdana" w:cs="Arial"/>
          <w:bCs/>
          <w:color w:val="000000" w:themeColor="text1"/>
          <w:lang w:val="es-ES"/>
        </w:rPr>
      </w:pPr>
      <w:r w:rsidRPr="00480A95">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480A95">
        <w:rPr>
          <w:rFonts w:ascii="Verdana" w:hAnsi="Verdana" w:cs="Arial"/>
          <w:bCs/>
          <w:color w:val="000000" w:themeColor="text1"/>
          <w:lang w:val="es-ES"/>
        </w:rPr>
        <w:t xml:space="preserve">el segundo inciso de la misma disposición consagró las </w:t>
      </w:r>
      <w:r w:rsidRPr="00480A95">
        <w:rPr>
          <w:rFonts w:ascii="Verdana" w:hAnsi="Verdana" w:cs="Arial"/>
          <w:bCs/>
          <w:color w:val="000000" w:themeColor="text1"/>
          <w:lang w:val="es-ES"/>
        </w:rPr>
        <w:lastRenderedPageBreak/>
        <w:t xml:space="preserve">excepciones aplicables a la prohibición de contratación directa establecida en el mismo artículo. </w:t>
      </w:r>
    </w:p>
    <w:p w14:paraId="3694C19E" w14:textId="77777777" w:rsidR="00AE0C3B" w:rsidRPr="00480A95" w:rsidRDefault="00AE0C3B" w:rsidP="00AE0C3B">
      <w:pPr>
        <w:spacing w:after="120" w:line="276" w:lineRule="auto"/>
        <w:ind w:firstLine="709"/>
        <w:jc w:val="both"/>
        <w:rPr>
          <w:rFonts w:ascii="Verdana" w:hAnsi="Verdana" w:cs="Arial"/>
          <w:bCs/>
          <w:color w:val="000000" w:themeColor="text1"/>
          <w:lang w:val="es-ES"/>
        </w:rPr>
      </w:pPr>
      <w:r w:rsidRPr="00480A95">
        <w:rPr>
          <w:rFonts w:ascii="Verdana" w:hAnsi="Verdana" w:cs="Arial"/>
          <w:bCs/>
          <w:color w:val="000000" w:themeColor="text1"/>
          <w:lang w:val="es-ES"/>
        </w:rPr>
        <w:t>Como se indicó, las excepciones a la prohibición del artículo 33 de la norma mencionada son las siguientes:</w:t>
      </w:r>
    </w:p>
    <w:p w14:paraId="03D4A61D" w14:textId="77777777" w:rsidR="00AE0C3B" w:rsidRPr="00480A95" w:rsidRDefault="00AE0C3B" w:rsidP="00AE0C3B">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1) La contratación referente a la defensa y seguridad del Estado;</w:t>
      </w:r>
    </w:p>
    <w:p w14:paraId="0FF5669A" w14:textId="77777777" w:rsidR="00AE0C3B" w:rsidRPr="00480A95" w:rsidRDefault="00AE0C3B" w:rsidP="00AE0C3B">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2) Los contratos de crédito público;</w:t>
      </w:r>
    </w:p>
    <w:p w14:paraId="546DE109" w14:textId="77777777" w:rsidR="00AE0C3B" w:rsidRPr="00480A95" w:rsidRDefault="00AE0C3B" w:rsidP="00AE0C3B">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 xml:space="preserve">3) Los contratos requeridos para cubrir las emergencias educativas, sanitarias y desastres; </w:t>
      </w:r>
    </w:p>
    <w:p w14:paraId="165EEDDD" w14:textId="77777777" w:rsidR="00AE0C3B" w:rsidRPr="00480A95" w:rsidRDefault="00AE0C3B" w:rsidP="00AE0C3B">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52D7F7B9" w14:textId="77777777" w:rsidR="00AE0C3B" w:rsidRPr="00480A95" w:rsidRDefault="00AE0C3B" w:rsidP="00AE0C3B">
      <w:pPr>
        <w:tabs>
          <w:tab w:val="left" w:pos="709"/>
        </w:tabs>
        <w:spacing w:before="120" w:line="276" w:lineRule="auto"/>
        <w:jc w:val="both"/>
        <w:rPr>
          <w:rFonts w:ascii="Verdana" w:hAnsi="Verdana" w:cs="Arial"/>
          <w:bCs/>
          <w:i/>
          <w:iCs/>
          <w:color w:val="000000" w:themeColor="text1"/>
          <w:lang w:val="es-ES"/>
        </w:rPr>
      </w:pPr>
      <w:r w:rsidRPr="00480A95">
        <w:rPr>
          <w:rFonts w:ascii="Verdana" w:hAnsi="Verdana" w:cs="Arial"/>
          <w:bCs/>
          <w:color w:val="000000" w:themeColor="text1"/>
          <w:lang w:val="es-ES"/>
        </w:rPr>
        <w:tab/>
      </w:r>
      <w:r w:rsidRPr="00480A95">
        <w:rPr>
          <w:rFonts w:ascii="Verdana" w:hAnsi="Verdana" w:cs="Arial"/>
          <w:bCs/>
          <w:i/>
          <w:iCs/>
          <w:color w:val="000000" w:themeColor="text1"/>
          <w:lang w:val="es-ES"/>
        </w:rPr>
        <w:t xml:space="preserve">5) La contratación que deban realizar las entidades sanitarias y hospitalarias. </w:t>
      </w:r>
    </w:p>
    <w:p w14:paraId="42475623" w14:textId="77777777" w:rsidR="00AE0C3B" w:rsidRPr="00480A95" w:rsidRDefault="00AE0C3B" w:rsidP="00AE0C3B">
      <w:pPr>
        <w:tabs>
          <w:tab w:val="left" w:pos="426"/>
        </w:tabs>
        <w:spacing w:before="120" w:after="0" w:line="276" w:lineRule="auto"/>
        <w:ind w:firstLine="709"/>
        <w:jc w:val="both"/>
        <w:rPr>
          <w:rFonts w:ascii="Verdana" w:hAnsi="Verdana" w:cs="Arial"/>
          <w:bCs/>
          <w:color w:val="000000" w:themeColor="text1"/>
          <w:lang w:val="es-ES"/>
        </w:rPr>
      </w:pPr>
      <w:r w:rsidRPr="00480A95">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45C06610" w14:textId="77777777" w:rsidR="00AE0C3B" w:rsidRPr="00480A95" w:rsidRDefault="00AE0C3B" w:rsidP="00AE0C3B">
      <w:pPr>
        <w:tabs>
          <w:tab w:val="left" w:pos="426"/>
        </w:tabs>
        <w:spacing w:after="0" w:line="276" w:lineRule="auto"/>
        <w:ind w:firstLine="709"/>
        <w:jc w:val="both"/>
        <w:rPr>
          <w:rFonts w:ascii="Verdana" w:hAnsi="Verdana" w:cs="Arial"/>
          <w:bCs/>
          <w:color w:val="000000" w:themeColor="text1"/>
          <w:lang w:val="es-ES"/>
        </w:rPr>
      </w:pPr>
    </w:p>
    <w:p w14:paraId="01185C7E" w14:textId="77777777" w:rsidR="00AE0C3B" w:rsidRPr="00480A95" w:rsidRDefault="00AE0C3B" w:rsidP="00AE0C3B">
      <w:pPr>
        <w:shd w:val="clear" w:color="auto" w:fill="FFFFFF" w:themeFill="background1"/>
        <w:spacing w:after="0" w:line="240" w:lineRule="auto"/>
        <w:ind w:left="709" w:right="709"/>
        <w:jc w:val="both"/>
        <w:rPr>
          <w:rFonts w:ascii="Verdana" w:hAnsi="Verdana" w:cs="Arial"/>
          <w:color w:val="000000" w:themeColor="text1"/>
          <w:sz w:val="20"/>
          <w:szCs w:val="20"/>
          <w:lang w:eastAsia="es-CO"/>
        </w:rPr>
      </w:pPr>
      <w:r w:rsidRPr="00480A95">
        <w:rPr>
          <w:rFonts w:ascii="Verdana" w:hAnsi="Verdana" w:cs="Arial"/>
          <w:color w:val="000000" w:themeColor="text1"/>
          <w:sz w:val="20"/>
          <w:szCs w:val="20"/>
          <w:lang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80A95">
        <w:rPr>
          <w:rFonts w:ascii="Verdana" w:hAnsi="Verdana" w:cs="Arial"/>
          <w:color w:val="000000" w:themeColor="text1"/>
          <w:sz w:val="20"/>
          <w:szCs w:val="20"/>
          <w:vertAlign w:val="superscript"/>
          <w:lang w:eastAsia="es-CO"/>
        </w:rPr>
        <w:footnoteReference w:id="17"/>
      </w:r>
      <w:r w:rsidRPr="00480A95">
        <w:rPr>
          <w:rFonts w:ascii="Verdana" w:hAnsi="Verdana" w:cs="Arial"/>
          <w:color w:val="000000" w:themeColor="text1"/>
          <w:sz w:val="20"/>
          <w:szCs w:val="20"/>
          <w:lang w:eastAsia="es-CO"/>
        </w:rPr>
        <w:t xml:space="preserve">”. </w:t>
      </w:r>
    </w:p>
    <w:p w14:paraId="1EA0F7BC" w14:textId="77777777" w:rsidR="00AE0C3B" w:rsidRPr="00480A95" w:rsidRDefault="00AE0C3B" w:rsidP="00AE0C3B">
      <w:pPr>
        <w:shd w:val="clear" w:color="auto" w:fill="FFFFFF"/>
        <w:spacing w:after="0" w:line="240" w:lineRule="auto"/>
        <w:ind w:left="709" w:right="709"/>
        <w:jc w:val="both"/>
        <w:rPr>
          <w:rFonts w:ascii="Verdana" w:hAnsi="Verdana" w:cs="Arial"/>
          <w:color w:val="000000" w:themeColor="text1"/>
          <w:lang w:val="es-ES" w:eastAsia="es-CO"/>
        </w:rPr>
      </w:pPr>
    </w:p>
    <w:p w14:paraId="204CB65A" w14:textId="77777777" w:rsidR="00AE0C3B" w:rsidRPr="00480A95" w:rsidRDefault="00AE0C3B" w:rsidP="00AE0C3B">
      <w:pPr>
        <w:tabs>
          <w:tab w:val="left" w:pos="426"/>
        </w:tabs>
        <w:spacing w:after="120" w:line="276" w:lineRule="auto"/>
        <w:ind w:firstLine="709"/>
        <w:jc w:val="both"/>
        <w:rPr>
          <w:rFonts w:ascii="Verdana" w:hAnsi="Verdana" w:cs="Arial"/>
          <w:color w:val="000000" w:themeColor="text1"/>
          <w:shd w:val="clear" w:color="auto" w:fill="FFFFFF"/>
        </w:rPr>
      </w:pPr>
      <w:r w:rsidRPr="00480A95">
        <w:rPr>
          <w:rFonts w:ascii="Verdana" w:hAnsi="Verdana" w:cs="Arial"/>
          <w:color w:val="000000" w:themeColor="text1"/>
        </w:rPr>
        <w:t xml:space="preserve">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w:t>
      </w:r>
      <w:r w:rsidRPr="00480A95">
        <w:rPr>
          <w:rFonts w:ascii="Verdana" w:hAnsi="Verdana" w:cs="Arial"/>
          <w:color w:val="000000" w:themeColor="text1"/>
        </w:rPr>
        <w:lastRenderedPageBreak/>
        <w:t xml:space="preserve">taxativo, y señalando la independencia de los supuestos, así: “(…) </w:t>
      </w:r>
      <w:r w:rsidRPr="00480A95">
        <w:rPr>
          <w:rFonts w:ascii="Verdana" w:hAnsi="Verdana" w:cs="Arial"/>
          <w:i/>
          <w:iCs/>
          <w:color w:val="000000" w:themeColor="text1"/>
        </w:rPr>
        <w:t xml:space="preserve">Las excepciones aplicables a la restricción de contratación pública. </w:t>
      </w:r>
      <w:r w:rsidRPr="00480A95">
        <w:rPr>
          <w:rFonts w:ascii="Verdana" w:hAnsi="Verdana" w:cs="Arial"/>
          <w:color w:val="000000" w:themeColor="text1"/>
          <w:shd w:val="clear" w:color="auto" w:fill="FFFFFF"/>
        </w:rPr>
        <w:t>Ahora bien, las únicas excepciones a las disposiciones previstas en la Ley de Garantías se encuentran numeradas taxativamente en el último inciso del artículo 33 de la ley 996 de 2005 (…)”</w:t>
      </w:r>
      <w:r w:rsidRPr="00480A95">
        <w:rPr>
          <w:rFonts w:ascii="Verdana" w:hAnsi="Verdana" w:cs="Arial"/>
          <w:color w:val="000000" w:themeColor="text1"/>
          <w:shd w:val="clear" w:color="auto" w:fill="FFFFFF"/>
          <w:vertAlign w:val="superscript"/>
        </w:rPr>
        <w:footnoteReference w:id="18"/>
      </w:r>
      <w:r w:rsidRPr="00480A95">
        <w:rPr>
          <w:rFonts w:ascii="Verdana" w:hAnsi="Verdana" w:cs="Arial"/>
          <w:color w:val="000000" w:themeColor="text1"/>
          <w:shd w:val="clear" w:color="auto" w:fill="FFFFFF"/>
        </w:rPr>
        <w:t>.</w:t>
      </w:r>
    </w:p>
    <w:p w14:paraId="39FC4B83" w14:textId="77777777" w:rsidR="00AE0C3B" w:rsidRPr="00480A95" w:rsidRDefault="00AE0C3B" w:rsidP="00AE0C3B">
      <w:pPr>
        <w:tabs>
          <w:tab w:val="left" w:pos="426"/>
        </w:tabs>
        <w:spacing w:after="120" w:line="276" w:lineRule="auto"/>
        <w:ind w:firstLine="709"/>
        <w:jc w:val="both"/>
        <w:rPr>
          <w:rFonts w:ascii="Verdana" w:hAnsi="Verdana" w:cs="Arial"/>
          <w:bCs/>
          <w:color w:val="000000" w:themeColor="text1"/>
          <w:lang w:val="es-ES"/>
        </w:rPr>
      </w:pPr>
      <w:r w:rsidRPr="00480A95">
        <w:rPr>
          <w:rFonts w:ascii="Verdana" w:hAnsi="Verdana" w:cs="Arial"/>
          <w:bCs/>
          <w:color w:val="000000" w:themeColor="text1"/>
          <w:lang w:val="es-ES"/>
        </w:rPr>
        <w:t xml:space="preserve">Lo anterior implica que las excepciones al artículo 33 en comento deben interpretarse y aplicarse de manera </w:t>
      </w:r>
      <w:r w:rsidRPr="00480A95">
        <w:rPr>
          <w:rFonts w:ascii="Verdana" w:hAnsi="Verdana" w:cs="Arial"/>
          <w:bCs/>
          <w:i/>
          <w:iCs/>
          <w:color w:val="000000" w:themeColor="text1"/>
          <w:lang w:val="es-ES"/>
        </w:rPr>
        <w:t>estricta</w:t>
      </w:r>
      <w:r w:rsidRPr="00480A95">
        <w:rPr>
          <w:rFonts w:ascii="Verdana" w:hAnsi="Verdana" w:cs="Arial"/>
          <w:bCs/>
          <w:color w:val="000000" w:themeColor="text1"/>
          <w:lang w:val="es-ES"/>
        </w:rPr>
        <w:t>. En otras palabras, no es factible hacer interpretaciones extensivas</w:t>
      </w:r>
      <w:r w:rsidRPr="00480A95">
        <w:rPr>
          <w:rFonts w:ascii="Verdana" w:hAnsi="Verdana" w:cs="Arial"/>
          <w:bCs/>
          <w:i/>
          <w:iCs/>
          <w:color w:val="000000" w:themeColor="text1"/>
          <w:lang w:val="es-ES"/>
        </w:rPr>
        <w:t xml:space="preserve"> </w:t>
      </w:r>
      <w:r w:rsidRPr="00480A9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EE9B440" w14:textId="77777777" w:rsidR="00AE0C3B" w:rsidRPr="00480A95" w:rsidRDefault="00AE0C3B" w:rsidP="00AE0C3B">
      <w:pPr>
        <w:spacing w:after="120" w:line="276" w:lineRule="auto"/>
        <w:ind w:firstLine="708"/>
        <w:jc w:val="both"/>
        <w:rPr>
          <w:rFonts w:ascii="Verdana" w:eastAsia="Times New Roman" w:hAnsi="Verdana" w:cs="Arial"/>
          <w:bCs/>
          <w:lang w:val="es-MX" w:eastAsia="es-CO"/>
        </w:rPr>
      </w:pPr>
      <w:r w:rsidRPr="00480A95">
        <w:rPr>
          <w:rFonts w:ascii="Verdana" w:eastAsia="Times New Roman" w:hAnsi="Verdana" w:cs="Arial"/>
          <w:lang w:val="es-MX" w:eastAsia="es-CO"/>
        </w:rPr>
        <w:t>Conforme a las anteriores excepciones, es</w:t>
      </w:r>
      <w:r w:rsidRPr="00480A95">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6B4BA58" w14:textId="77777777" w:rsidR="00AE0C3B" w:rsidRPr="00480A95" w:rsidRDefault="00AE0C3B" w:rsidP="00AE0C3B">
      <w:pPr>
        <w:spacing w:after="120" w:line="276" w:lineRule="auto"/>
        <w:ind w:firstLine="709"/>
        <w:jc w:val="both"/>
        <w:rPr>
          <w:rFonts w:ascii="Verdana" w:eastAsia="Times New Roman" w:hAnsi="Verdana" w:cs="Arial"/>
          <w:lang w:val="es-MX"/>
        </w:rPr>
      </w:pPr>
      <w:r w:rsidRPr="00480A95">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480A95">
        <w:rPr>
          <w:rFonts w:ascii="Verdana" w:eastAsia="Calibri" w:hAnsi="Verdana" w:cs="Arial"/>
          <w:vertAlign w:val="superscript"/>
          <w:lang w:val="es-MX"/>
        </w:rPr>
        <w:footnoteReference w:id="19"/>
      </w:r>
      <w:r w:rsidRPr="00480A95">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E5D7332" w14:textId="77777777" w:rsidR="00AE0C3B" w:rsidRPr="00480A95" w:rsidRDefault="00AE0C3B" w:rsidP="00AE0C3B">
      <w:pPr>
        <w:spacing w:after="120" w:line="276" w:lineRule="auto"/>
        <w:ind w:firstLine="709"/>
        <w:jc w:val="both"/>
        <w:rPr>
          <w:rFonts w:ascii="Verdana" w:hAnsi="Verdana" w:cs="Arial"/>
          <w:lang w:val="es-ES"/>
        </w:rPr>
      </w:pPr>
      <w:r w:rsidRPr="00480A95">
        <w:rPr>
          <w:rFonts w:ascii="Verdana" w:hAnsi="Verdana" w:cs="Arial"/>
          <w:lang w:val="es-ES"/>
        </w:rPr>
        <w:t xml:space="preserve">Ahora bien, teniendo en cuenta el contenido de su consulta, debe indicarse que respecto del alcance del parágrafo </w:t>
      </w:r>
      <w:r w:rsidRPr="00480A95">
        <w:rPr>
          <w:rFonts w:ascii="Verdana" w:hAnsi="Verdana" w:cs="Arial"/>
        </w:rPr>
        <w:t xml:space="preserve">del artículo 38 de la Ley 996 de 2005, esta prohibición dispone en primera medida que: “[l]os Gobernadores, Alcaldes </w:t>
      </w:r>
      <w:r w:rsidRPr="00480A95">
        <w:rPr>
          <w:rFonts w:ascii="Verdana" w:hAnsi="Verdana" w:cs="Arial"/>
        </w:rPr>
        <w:lastRenderedPageBreak/>
        <w:t xml:space="preserve">Municipales y/o Distritales, Secretarios, Gerentes y directores de Entidades Descentralizadas del orden Municipal, Departamental o Distrital, dentro de los cuatro (4) meses anteriores a las elecciones, no podrán celebrar </w:t>
      </w:r>
      <w:r w:rsidRPr="00480A95">
        <w:rPr>
          <w:rFonts w:ascii="Verdana" w:hAnsi="Verdana" w:cs="Arial"/>
          <w:i/>
          <w:iCs/>
        </w:rPr>
        <w:t>convenios interadministrativos</w:t>
      </w:r>
      <w:r w:rsidRPr="00480A95">
        <w:rPr>
          <w:rFonts w:ascii="Verdana" w:hAnsi="Verdana" w:cs="Arial"/>
        </w:rPr>
        <w:t xml:space="preserve"> </w:t>
      </w:r>
      <w:r w:rsidRPr="00480A95">
        <w:rPr>
          <w:rFonts w:ascii="Verdana" w:hAnsi="Verdana" w:cs="Arial"/>
          <w:i/>
          <w:iCs/>
        </w:rPr>
        <w:t>para la ejecución de recursos públicos</w:t>
      </w:r>
      <w:r w:rsidRPr="00480A95">
        <w:rPr>
          <w:rFonts w:ascii="Verdana" w:hAnsi="Verdana" w:cs="Arial"/>
        </w:rPr>
        <w:t>”.</w:t>
      </w:r>
      <w:r w:rsidRPr="00480A95">
        <w:rPr>
          <w:rFonts w:ascii="Verdana" w:eastAsia="Times New Roman" w:hAnsi="Verdana" w:cs="Arial"/>
          <w:lang w:val="es-MX" w:eastAsia="x-none"/>
        </w:rPr>
        <w:t xml:space="preserve"> [Énfasis fuera del texto original]</w:t>
      </w:r>
    </w:p>
    <w:p w14:paraId="42192BF7" w14:textId="77777777" w:rsidR="00AE0C3B" w:rsidRPr="00480A95" w:rsidRDefault="00AE0C3B" w:rsidP="00AE0C3B">
      <w:pPr>
        <w:spacing w:after="120" w:line="276" w:lineRule="auto"/>
        <w:ind w:firstLine="709"/>
        <w:jc w:val="both"/>
        <w:rPr>
          <w:rFonts w:ascii="Verdana" w:hAnsi="Verdana" w:cs="Arial"/>
          <w:lang w:eastAsia="es-ES"/>
        </w:rPr>
      </w:pPr>
      <w:r w:rsidRPr="00480A95">
        <w:rPr>
          <w:rFonts w:ascii="Verdana" w:eastAsia="Times New Roman" w:hAnsi="Verdana" w:cs="Arial"/>
          <w:lang w:val="es-ES" w:eastAsia="es-ES"/>
        </w:rPr>
        <w:t xml:space="preserve">Para tales efectos, debe precisarse que </w:t>
      </w:r>
      <w:r w:rsidRPr="00480A9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480A9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480A95">
        <w:rPr>
          <w:rFonts w:ascii="Verdana" w:hAnsi="Verdana" w:cs="Arial"/>
          <w:vertAlign w:val="superscript"/>
          <w:lang w:eastAsia="es-ES"/>
        </w:rPr>
        <w:footnoteReference w:id="20"/>
      </w:r>
      <w:r w:rsidRPr="00480A95">
        <w:rPr>
          <w:rFonts w:ascii="Verdana" w:hAnsi="Verdana" w:cs="Arial"/>
          <w:lang w:eastAsia="es-ES"/>
        </w:rPr>
        <w:t>.</w:t>
      </w:r>
    </w:p>
    <w:p w14:paraId="5AB884A9" w14:textId="77777777" w:rsidR="00AE0C3B" w:rsidRPr="00480A95" w:rsidRDefault="00AE0C3B" w:rsidP="00AE0C3B">
      <w:pPr>
        <w:spacing w:after="120" w:line="276" w:lineRule="auto"/>
        <w:ind w:firstLine="709"/>
        <w:jc w:val="both"/>
        <w:rPr>
          <w:rFonts w:ascii="Verdana" w:hAnsi="Verdana" w:cs="Arial"/>
          <w:color w:val="000000" w:themeColor="text1"/>
          <w:lang w:val="es-ES_tradnl"/>
        </w:rPr>
      </w:pPr>
      <w:r w:rsidRPr="00480A95">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3C630BE" w14:textId="77777777" w:rsidR="00AE0C3B" w:rsidRPr="00480A95" w:rsidRDefault="00AE0C3B" w:rsidP="00AE0C3B">
      <w:pPr>
        <w:spacing w:before="120" w:after="0" w:line="276" w:lineRule="auto"/>
        <w:ind w:firstLine="708"/>
        <w:jc w:val="both"/>
        <w:rPr>
          <w:rFonts w:ascii="Verdana" w:hAnsi="Verdana" w:cs="Arial"/>
          <w:lang w:val="es-ES_tradnl"/>
        </w:rPr>
      </w:pPr>
      <w:r w:rsidRPr="00480A95">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480A95">
        <w:rPr>
          <w:rFonts w:ascii="Verdana" w:hAnsi="Verdana" w:cs="Arial"/>
          <w:vertAlign w:val="superscript"/>
          <w:lang w:val="es-ES"/>
        </w:rPr>
        <w:footnoteReference w:id="21"/>
      </w:r>
      <w:r w:rsidRPr="00480A95">
        <w:rPr>
          <w:rFonts w:ascii="Verdana" w:hAnsi="Verdana" w:cs="Arial"/>
          <w:lang w:val="es-ES"/>
        </w:rPr>
        <w:t>. Nótese que, en este caso, lo que cambia es la modalidad de selección y no la naturaleza de contrato interadministrativo.</w:t>
      </w:r>
    </w:p>
    <w:p w14:paraId="1548D1B4" w14:textId="77777777" w:rsidR="00AE0C3B" w:rsidRPr="00480A95" w:rsidRDefault="00AE0C3B" w:rsidP="00AE0C3B">
      <w:pPr>
        <w:spacing w:before="120" w:after="0" w:line="276" w:lineRule="auto"/>
        <w:ind w:firstLine="708"/>
        <w:jc w:val="both"/>
        <w:rPr>
          <w:rFonts w:ascii="Verdana" w:hAnsi="Verdana" w:cs="Arial"/>
          <w:lang w:val="es-ES_tradnl"/>
        </w:rPr>
      </w:pPr>
      <w:r w:rsidRPr="00480A95">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00480A95">
        <w:rPr>
          <w:rFonts w:ascii="Verdana" w:hAnsi="Verdana" w:cs="Arial"/>
          <w:vertAlign w:val="superscript"/>
          <w:lang w:val="es-ES"/>
        </w:rPr>
        <w:footnoteReference w:id="22"/>
      </w:r>
      <w:r w:rsidRPr="00480A95">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25A1906D" w14:textId="77777777" w:rsidR="00AE0C3B" w:rsidRPr="00480A95" w:rsidRDefault="00AE0C3B" w:rsidP="00AE0C3B">
      <w:pPr>
        <w:spacing w:before="120" w:after="0" w:line="276" w:lineRule="auto"/>
        <w:ind w:firstLine="708"/>
        <w:jc w:val="both"/>
        <w:rPr>
          <w:rFonts w:ascii="Verdana" w:hAnsi="Verdana"/>
          <w:sz w:val="24"/>
          <w:szCs w:val="24"/>
          <w:lang w:eastAsia="es-CO"/>
        </w:rPr>
      </w:pPr>
      <w:r w:rsidRPr="00480A95">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480A95">
        <w:rPr>
          <w:rFonts w:ascii="Verdana" w:hAnsi="Verdana" w:cs="Arial"/>
          <w:vertAlign w:val="superscript"/>
          <w:lang w:val="es-ES"/>
        </w:rPr>
        <w:footnoteReference w:id="23"/>
      </w:r>
      <w:r w:rsidRPr="00480A95">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480A95">
        <w:rPr>
          <w:rFonts w:ascii="Verdana" w:hAnsi="Verdana"/>
          <w:sz w:val="24"/>
          <w:szCs w:val="24"/>
          <w:lang w:eastAsia="es-CO"/>
        </w:rPr>
        <w:t>.</w:t>
      </w:r>
    </w:p>
    <w:p w14:paraId="422E7B9E" w14:textId="77777777" w:rsidR="00AE0C3B" w:rsidRPr="00480A95" w:rsidRDefault="00AE0C3B" w:rsidP="00AE0C3B">
      <w:pPr>
        <w:spacing w:before="120" w:after="0" w:line="276" w:lineRule="auto"/>
        <w:ind w:firstLine="708"/>
        <w:jc w:val="both"/>
        <w:rPr>
          <w:rFonts w:ascii="Verdana" w:eastAsia="Times New Roman" w:hAnsi="Verdana" w:cs="Arial"/>
          <w:lang w:val="es-MX" w:eastAsia="es-CO"/>
        </w:rPr>
      </w:pPr>
      <w:r w:rsidRPr="00480A95">
        <w:rPr>
          <w:rFonts w:ascii="Verdana" w:eastAsia="Arial" w:hAnsi="Verdana" w:cs="Arial"/>
          <w:lang w:val="es-MX" w:eastAsia="es-ES" w:bidi="es-ES"/>
        </w:rPr>
        <w:t>De esta manera, se</w:t>
      </w:r>
      <w:r w:rsidRPr="00480A95">
        <w:rPr>
          <w:rFonts w:ascii="Verdana" w:eastAsia="Times New Roman" w:hAnsi="Verdana" w:cs="Arial"/>
          <w:lang w:eastAsia="es-CO"/>
        </w:rPr>
        <w:t xml:space="preserve"> observa entonces que </w:t>
      </w:r>
      <w:r w:rsidRPr="00480A95">
        <w:rPr>
          <w:rFonts w:ascii="Verdana" w:eastAsia="Times New Roman" w:hAnsi="Verdana" w:cs="Arial"/>
          <w:lang w:val="es-MX" w:eastAsia="es-CO"/>
        </w:rPr>
        <w:t xml:space="preserve">el parágrafo del artículo 38 de la Ley 996 de 2005 prohíbe a los </w:t>
      </w:r>
      <w:proofErr w:type="gramStart"/>
      <w:r w:rsidRPr="00480A95">
        <w:rPr>
          <w:rFonts w:ascii="Verdana" w:eastAsia="Times New Roman" w:hAnsi="Verdana" w:cs="Arial"/>
          <w:lang w:val="es-MX" w:eastAsia="es-CO"/>
        </w:rPr>
        <w:t>Alcaldes</w:t>
      </w:r>
      <w:proofErr w:type="gramEnd"/>
      <w:r w:rsidRPr="00480A95">
        <w:rPr>
          <w:rFonts w:ascii="Verdana" w:eastAsia="Times New Roman" w:hAnsi="Verdana" w:cs="Arial"/>
          <w:lang w:val="es-MX" w:eastAsia="es-CO"/>
        </w:rPr>
        <w:t xml:space="preserve">, Gobernadores, </w:t>
      </w:r>
      <w:proofErr w:type="gramStart"/>
      <w:r w:rsidRPr="00480A95">
        <w:rPr>
          <w:rFonts w:ascii="Verdana" w:eastAsia="Times New Roman" w:hAnsi="Verdana" w:cs="Arial"/>
          <w:lang w:val="es-MX" w:eastAsia="es-CO"/>
        </w:rPr>
        <w:t>Secretarios</w:t>
      </w:r>
      <w:proofErr w:type="gramEnd"/>
      <w:r w:rsidRPr="00480A95">
        <w:rPr>
          <w:rFonts w:ascii="Verdana" w:eastAsia="Times New Roman" w:hAnsi="Verdana" w:cs="Arial"/>
          <w:lang w:val="es-MX" w:eastAsia="es-CO"/>
        </w:rPr>
        <w:t xml:space="preserve">, Gerentes y </w:t>
      </w:r>
      <w:proofErr w:type="gramStart"/>
      <w:r w:rsidRPr="00480A95">
        <w:rPr>
          <w:rFonts w:ascii="Verdana" w:eastAsia="Times New Roman" w:hAnsi="Verdana" w:cs="Arial"/>
          <w:lang w:val="es-MX" w:eastAsia="es-CO"/>
        </w:rPr>
        <w:t>Directores</w:t>
      </w:r>
      <w:proofErr w:type="gramEnd"/>
      <w:r w:rsidRPr="00480A95">
        <w:rPr>
          <w:rFonts w:ascii="Verdana" w:eastAsia="Times New Roman" w:hAnsi="Verdana" w:cs="Arial"/>
          <w:lang w:val="es-MX" w:eastAsia="es-CO"/>
        </w:rPr>
        <w:t xml:space="preserve"> de las entidades del orden municipal, departamental o distrital celebrar </w:t>
      </w:r>
      <w:r w:rsidRPr="00480A95">
        <w:rPr>
          <w:rFonts w:ascii="Verdana" w:eastAsia="Times New Roman" w:hAnsi="Verdana" w:cs="Arial"/>
          <w:i/>
          <w:iCs/>
          <w:lang w:val="es-MX" w:eastAsia="es-CO"/>
        </w:rPr>
        <w:t>convenios interadministrativos</w:t>
      </w:r>
      <w:r w:rsidRPr="00480A9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80A95">
        <w:rPr>
          <w:rFonts w:ascii="Verdana" w:eastAsia="Times New Roman" w:hAnsi="Verdana" w:cs="Arial"/>
          <w:i/>
          <w:lang w:val="es-MX" w:eastAsia="es-CO"/>
        </w:rPr>
        <w:t>ibidem</w:t>
      </w:r>
      <w:r w:rsidRPr="00480A95">
        <w:rPr>
          <w:rFonts w:ascii="Verdana" w:eastAsia="Times New Roman" w:hAnsi="Verdana" w:cs="Arial"/>
          <w:lang w:val="es-MX" w:eastAsia="es-CO"/>
        </w:rPr>
        <w:t xml:space="preserve">, no podrá celebrar tales </w:t>
      </w:r>
      <w:r w:rsidRPr="00480A95">
        <w:rPr>
          <w:rFonts w:ascii="Verdana" w:eastAsia="Times New Roman" w:hAnsi="Verdana" w:cs="Arial"/>
          <w:i/>
          <w:iCs/>
          <w:lang w:val="es-MX" w:eastAsia="es-CO"/>
        </w:rPr>
        <w:t>convenios</w:t>
      </w:r>
      <w:r w:rsidRPr="00480A9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0C4923F5" w14:textId="77777777" w:rsidR="00AE0C3B" w:rsidRPr="00480A95" w:rsidRDefault="00AE0C3B" w:rsidP="00AE0C3B">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val="es-MX" w:eastAsia="es-CO"/>
        </w:rPr>
        <w:t>Respecto del alcance de esta prohibición la Circular Externa No. 006 de 2025 expedida por la ANCP -CCE, en los literales ii) y iv) del numeral 2</w:t>
      </w:r>
      <w:r w:rsidRPr="00480A95">
        <w:rPr>
          <w:rFonts w:ascii="Verdana" w:eastAsia="Times New Roman" w:hAnsi="Verdana" w:cs="Arial"/>
          <w:lang w:eastAsia="es-CO"/>
        </w:rPr>
        <w:t>,</w:t>
      </w:r>
      <w:r w:rsidRPr="00480A95">
        <w:rPr>
          <w:rFonts w:ascii="Verdana" w:eastAsia="Times New Roman" w:hAnsi="Verdana" w:cs="Arial"/>
          <w:lang w:val="es-MX" w:eastAsia="es-CO"/>
        </w:rPr>
        <w:t xml:space="preserve"> indica que el </w:t>
      </w:r>
      <w:r w:rsidRPr="00480A95">
        <w:rPr>
          <w:rFonts w:ascii="Verdana" w:eastAsia="Times New Roman" w:hAnsi="Verdana" w:cs="Arial"/>
          <w:lang w:eastAsia="es-CO"/>
        </w:rPr>
        <w:t xml:space="preserve">parágrafo del artículo 38 de la Ley 996 de 2005 cobija expresamente a </w:t>
      </w:r>
      <w:r w:rsidRPr="00480A95">
        <w:rPr>
          <w:rFonts w:ascii="Verdana" w:eastAsia="Times New Roman" w:hAnsi="Verdana" w:cs="Arial"/>
          <w:lang w:eastAsia="es-CO"/>
        </w:rPr>
        <w:lastRenderedPageBreak/>
        <w:t xml:space="preserve">los </w:t>
      </w:r>
      <w:r w:rsidRPr="00480A95">
        <w:rPr>
          <w:rFonts w:ascii="Verdana" w:eastAsia="Times New Roman" w:hAnsi="Verdana" w:cs="Arial"/>
          <w:i/>
          <w:iCs/>
          <w:lang w:eastAsia="es-CO"/>
        </w:rPr>
        <w:t>convenios interadministrativos</w:t>
      </w:r>
      <w:r w:rsidRPr="00480A95">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480A95">
        <w:rPr>
          <w:rFonts w:ascii="Verdana" w:eastAsia="Times New Roman" w:hAnsi="Verdana" w:cs="Arial"/>
          <w:i/>
          <w:iCs/>
          <w:lang w:eastAsia="es-CO"/>
        </w:rPr>
        <w:t>“aunque se configure alguno de los supuestos de excepción que señaló el inciso final del artículo 33”.</w:t>
      </w:r>
      <w:r w:rsidRPr="00480A95">
        <w:rPr>
          <w:rFonts w:ascii="Verdana" w:eastAsia="Times New Roman" w:hAnsi="Verdana" w:cs="Arial"/>
          <w:lang w:eastAsia="es-CO"/>
        </w:rPr>
        <w:t xml:space="preserve"> </w:t>
      </w:r>
    </w:p>
    <w:p w14:paraId="6CF53363" w14:textId="77777777" w:rsidR="00AE0C3B" w:rsidRPr="00480A95" w:rsidRDefault="00AE0C3B" w:rsidP="00AE0C3B">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480A95">
        <w:rPr>
          <w:rFonts w:ascii="Verdana" w:eastAsia="Times New Roman" w:hAnsi="Verdana" w:cs="Arial"/>
          <w:i/>
          <w:iCs/>
          <w:lang w:eastAsia="es-CO"/>
        </w:rPr>
        <w:t>convenios interadministrativos</w:t>
      </w:r>
      <w:r w:rsidRPr="00480A95">
        <w:rPr>
          <w:rFonts w:ascii="Verdana" w:eastAsia="Times New Roman" w:hAnsi="Verdana" w:cs="Arial"/>
          <w:lang w:eastAsia="es-CO"/>
        </w:rPr>
        <w:t xml:space="preserve"> en los que se contemple la </w:t>
      </w:r>
      <w:r w:rsidRPr="00480A95">
        <w:rPr>
          <w:rFonts w:ascii="Verdana" w:eastAsia="Times New Roman" w:hAnsi="Verdana" w:cs="Arial"/>
          <w:i/>
          <w:iCs/>
          <w:lang w:eastAsia="es-CO"/>
        </w:rPr>
        <w:t>ejecución de recursos públicos</w:t>
      </w:r>
      <w:r w:rsidRPr="00480A95">
        <w:rPr>
          <w:rFonts w:ascii="Verdana" w:eastAsia="Times New Roman" w:hAnsi="Verdana" w:cs="Arial"/>
          <w:lang w:eastAsia="es-CO"/>
        </w:rPr>
        <w:t xml:space="preserve">. Esto significa que la prohibición no resulta aplicable a </w:t>
      </w:r>
      <w:r w:rsidRPr="00480A95">
        <w:rPr>
          <w:rFonts w:ascii="Verdana" w:eastAsia="Times New Roman" w:hAnsi="Verdana" w:cs="Arial"/>
          <w:i/>
          <w:iCs/>
          <w:lang w:eastAsia="es-CO"/>
        </w:rPr>
        <w:t>convenios interadministrativos a título gratuito,</w:t>
      </w:r>
      <w:r w:rsidRPr="00480A95">
        <w:rPr>
          <w:rFonts w:ascii="Verdana" w:eastAsia="Times New Roman" w:hAnsi="Verdana" w:cs="Arial"/>
          <w:lang w:eastAsia="es-CO"/>
        </w:rPr>
        <w:t xml:space="preserve"> los cuales pueden celebrarse válidamente durante la vigencia de la mencionada restricción. </w:t>
      </w:r>
    </w:p>
    <w:p w14:paraId="15C13E73" w14:textId="77777777" w:rsidR="00AE0C3B" w:rsidRPr="00480A95" w:rsidRDefault="00AE0C3B" w:rsidP="00AE0C3B">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eastAsia="es-CO"/>
        </w:rPr>
        <w:t xml:space="preserve">De esta manera, conforme a lo dispuesto en la Circular referida, si se suscriben </w:t>
      </w:r>
      <w:r w:rsidRPr="00480A95">
        <w:rPr>
          <w:rFonts w:ascii="Verdana" w:eastAsia="Times New Roman" w:hAnsi="Verdana" w:cs="Arial"/>
          <w:i/>
          <w:iCs/>
          <w:lang w:eastAsia="es-CO"/>
        </w:rPr>
        <w:t>convenios interadministrativos para la ejecución de recursos públicos</w:t>
      </w:r>
      <w:r w:rsidRPr="00480A95">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480A95">
        <w:rPr>
          <w:rFonts w:ascii="Verdana" w:eastAsia="Times New Roman" w:hAnsi="Verdana" w:cs="Arial"/>
          <w:i/>
          <w:iCs/>
          <w:lang w:eastAsia="es-CO"/>
        </w:rPr>
        <w:t>ibidem</w:t>
      </w:r>
      <w:r w:rsidRPr="00480A95">
        <w:rPr>
          <w:rFonts w:ascii="Verdana" w:eastAsia="Times New Roman" w:hAnsi="Verdana" w:cs="Arial"/>
          <w:lang w:eastAsia="es-CO"/>
        </w:rPr>
        <w:t>, independientemente de que se configure alguno de los supuestos de excepción que señaló el inciso final del artículo 33, es decir, que se trate de:</w:t>
      </w:r>
      <w:r w:rsidRPr="00480A95">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480A95">
        <w:rPr>
          <w:rFonts w:ascii="Verdana" w:hAnsi="Verdana" w:cs="Arial"/>
          <w:bCs/>
          <w:lang w:val="es-MX" w:eastAsia="es-CO"/>
        </w:rPr>
        <w:t xml:space="preserve"> </w:t>
      </w:r>
      <w:r w:rsidRPr="00480A95">
        <w:rPr>
          <w:rFonts w:ascii="Verdana" w:eastAsia="Times New Roman" w:hAnsi="Verdana" w:cs="Arial"/>
          <w:lang w:eastAsia="es-CO"/>
        </w:rPr>
        <w:t xml:space="preserve">  </w:t>
      </w:r>
    </w:p>
    <w:p w14:paraId="31858165" w14:textId="77777777" w:rsidR="00AE0C3B" w:rsidRPr="00480A95" w:rsidRDefault="00AE0C3B" w:rsidP="00AE0C3B">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eastAsia="es-CO"/>
        </w:rPr>
        <w:t xml:space="preserve">En este punto, teniendo en cuenta lo señalado en el contenido de su petición, vale la pena destacar </w:t>
      </w:r>
      <w:proofErr w:type="gramStart"/>
      <w:r w:rsidRPr="00480A95">
        <w:rPr>
          <w:rFonts w:ascii="Verdana" w:eastAsia="Times New Roman" w:hAnsi="Verdana" w:cs="Arial"/>
          <w:lang w:eastAsia="es-CO"/>
        </w:rPr>
        <w:t>que</w:t>
      </w:r>
      <w:proofErr w:type="gramEnd"/>
      <w:r w:rsidRPr="00480A95">
        <w:rPr>
          <w:rFonts w:ascii="Verdana" w:eastAsia="Times New Roman" w:hAnsi="Verdana" w:cs="Arial"/>
          <w:lang w:eastAsia="es-CO"/>
        </w:rPr>
        <w:t xml:space="preserve"> </w:t>
      </w:r>
      <w:r w:rsidRPr="00480A95">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480A95">
        <w:rPr>
          <w:rFonts w:ascii="Verdana" w:hAnsi="Verdana" w:cs="Arial"/>
        </w:rPr>
        <w:t>numeral 16.2 de la Circular Externa Única de 2022 expedida por la Agencia Nacional de Contratación Pública -Colombia Compra Eficiente-, concretamente, respecto de los siguientes apartes normativos</w:t>
      </w:r>
      <w:r w:rsidRPr="00480A95">
        <w:rPr>
          <w:rFonts w:ascii="Verdana" w:hAnsi="Verdana" w:cs="Arial"/>
          <w:vertAlign w:val="superscript"/>
        </w:rPr>
        <w:footnoteReference w:id="24"/>
      </w:r>
      <w:r w:rsidRPr="00480A95">
        <w:rPr>
          <w:rFonts w:ascii="Verdana" w:hAnsi="Verdana" w:cs="Arial"/>
        </w:rPr>
        <w:t xml:space="preserve">: </w:t>
      </w:r>
    </w:p>
    <w:p w14:paraId="69C1BB55" w14:textId="77777777" w:rsidR="00AE0C3B" w:rsidRPr="00480A95" w:rsidRDefault="00AE0C3B" w:rsidP="00AE0C3B">
      <w:pPr>
        <w:spacing w:after="0" w:line="276" w:lineRule="auto"/>
        <w:ind w:firstLine="709"/>
        <w:jc w:val="both"/>
        <w:rPr>
          <w:rFonts w:ascii="Verdana" w:hAnsi="Verdana" w:cs="Arial"/>
        </w:rPr>
      </w:pPr>
    </w:p>
    <w:p w14:paraId="483C9C32" w14:textId="77777777" w:rsidR="00AE0C3B" w:rsidRPr="00480A95" w:rsidRDefault="00AE0C3B" w:rsidP="00AE0C3B">
      <w:pPr>
        <w:spacing w:after="0" w:line="240" w:lineRule="auto"/>
        <w:ind w:left="709" w:right="709"/>
        <w:jc w:val="both"/>
        <w:rPr>
          <w:rFonts w:ascii="Verdana" w:hAnsi="Verdana" w:cs="Arial"/>
          <w:sz w:val="20"/>
          <w:szCs w:val="20"/>
        </w:rPr>
      </w:pPr>
      <w:r w:rsidRPr="00480A95">
        <w:rPr>
          <w:rFonts w:ascii="Verdana" w:hAnsi="Verdana" w:cs="Arial"/>
          <w:sz w:val="20"/>
          <w:szCs w:val="20"/>
          <w:lang w:val="es-MX"/>
        </w:rPr>
        <w:lastRenderedPageBreak/>
        <w:t>i)</w:t>
      </w:r>
      <w:r w:rsidRPr="00480A9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8410EB7" w14:textId="77777777" w:rsidR="00AE0C3B" w:rsidRPr="00480A95" w:rsidRDefault="00AE0C3B" w:rsidP="00AE0C3B">
      <w:pPr>
        <w:spacing w:after="0" w:line="240" w:lineRule="auto"/>
        <w:ind w:left="709" w:right="709"/>
        <w:jc w:val="both"/>
        <w:rPr>
          <w:rFonts w:ascii="Verdana" w:hAnsi="Verdana" w:cs="Arial"/>
          <w:sz w:val="20"/>
          <w:szCs w:val="20"/>
        </w:rPr>
      </w:pPr>
    </w:p>
    <w:p w14:paraId="52DE798A" w14:textId="77777777" w:rsidR="00AE0C3B" w:rsidRPr="00480A95" w:rsidRDefault="00AE0C3B" w:rsidP="00AE0C3B">
      <w:pPr>
        <w:spacing w:after="0" w:line="240" w:lineRule="auto"/>
        <w:ind w:left="709" w:right="709"/>
        <w:jc w:val="both"/>
        <w:rPr>
          <w:rFonts w:ascii="Verdana" w:hAnsi="Verdana" w:cs="Arial"/>
          <w:sz w:val="20"/>
          <w:szCs w:val="20"/>
        </w:rPr>
      </w:pPr>
      <w:r w:rsidRPr="00480A95">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BE99506" w14:textId="77777777" w:rsidR="00AE0C3B" w:rsidRPr="00480A95" w:rsidRDefault="00AE0C3B" w:rsidP="00AE0C3B">
      <w:pPr>
        <w:spacing w:after="0" w:line="276" w:lineRule="auto"/>
        <w:ind w:left="709" w:right="709"/>
        <w:jc w:val="both"/>
        <w:rPr>
          <w:rFonts w:ascii="Verdana" w:hAnsi="Verdana" w:cs="Arial"/>
        </w:rPr>
      </w:pPr>
    </w:p>
    <w:p w14:paraId="0B06E49E" w14:textId="77777777" w:rsidR="00AE0C3B" w:rsidRPr="00480A95" w:rsidRDefault="00AE0C3B" w:rsidP="00AE0C3B">
      <w:pPr>
        <w:spacing w:after="120" w:line="276" w:lineRule="auto"/>
        <w:ind w:firstLine="709"/>
        <w:jc w:val="both"/>
        <w:rPr>
          <w:rFonts w:ascii="Verdana" w:eastAsia="Arial" w:hAnsi="Verdana" w:cs="Arial"/>
          <w:i/>
          <w:iCs/>
          <w:lang w:eastAsia="es-ES" w:bidi="es-ES"/>
        </w:rPr>
      </w:pPr>
      <w:r w:rsidRPr="00480A95">
        <w:rPr>
          <w:rFonts w:ascii="Verdana" w:eastAsia="Arial" w:hAnsi="Verdana" w:cs="Arial"/>
          <w:lang w:val="es-MX" w:eastAsia="es-ES" w:bidi="es-ES"/>
        </w:rPr>
        <w:t xml:space="preserve">De conformidad con los argumentos de dicha providencia, se parte de la distinción entre los conceptos </w:t>
      </w:r>
      <w:r w:rsidRPr="00480A9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480A95">
        <w:rPr>
          <w:rFonts w:ascii="Verdana" w:hAnsi="Verdana"/>
          <w:sz w:val="24"/>
          <w:szCs w:val="24"/>
          <w:lang w:eastAsia="es-CO"/>
        </w:rPr>
        <w:t xml:space="preserve"> </w:t>
      </w:r>
      <w:r w:rsidRPr="00480A95">
        <w:rPr>
          <w:rFonts w:ascii="Verdana" w:eastAsia="Arial" w:hAnsi="Verdana" w:cs="Arial"/>
          <w:lang w:eastAsia="es-ES" w:bidi="es-ES"/>
        </w:rPr>
        <w:t xml:space="preserve">En este sentido, en relación con el parágrafo del artículo 38 de la Ley 996 de 2005 concluyó que </w:t>
      </w:r>
      <w:r w:rsidRPr="00480A95">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80A9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480A95">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27D4848" w14:textId="77777777" w:rsidR="00AE0C3B" w:rsidRPr="00480A95" w:rsidRDefault="00AE0C3B" w:rsidP="00AE0C3B">
      <w:pPr>
        <w:spacing w:after="120" w:line="276" w:lineRule="auto"/>
        <w:ind w:firstLine="709"/>
        <w:jc w:val="both"/>
        <w:rPr>
          <w:rFonts w:ascii="Verdana" w:eastAsia="Arial" w:hAnsi="Verdana" w:cs="Arial"/>
          <w:lang w:eastAsia="es-ES" w:bidi="es-ES"/>
        </w:rPr>
      </w:pPr>
      <w:r w:rsidRPr="00480A95">
        <w:rPr>
          <w:rFonts w:ascii="Verdana" w:eastAsia="Arial" w:hAnsi="Verdana" w:cs="Arial"/>
          <w:lang w:eastAsia="es-ES" w:bidi="es-ES"/>
        </w:rPr>
        <w:t>De igual manera, mediante auto del 6 de noviembre de 2025, el Consejo de Estado, Subsección A de la Sección Tercera, decretó</w:t>
      </w:r>
      <w:r w:rsidRPr="00480A95">
        <w:rPr>
          <w:rFonts w:ascii="Verdana" w:eastAsia="Arial" w:hAnsi="Verdana" w:cs="Arial"/>
          <w:b/>
          <w:bCs/>
          <w:lang w:eastAsia="es-ES" w:bidi="es-ES"/>
        </w:rPr>
        <w:t xml:space="preserve"> </w:t>
      </w:r>
      <w:r w:rsidRPr="00480A95">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480A95">
        <w:rPr>
          <w:rFonts w:ascii="Verdana" w:eastAsia="Arial" w:hAnsi="Verdana" w:cs="Arial"/>
          <w:lang w:eastAsia="es-ES" w:bidi="es-ES"/>
        </w:rPr>
        <w:lastRenderedPageBreak/>
        <w:t>Eficiente relacionados con los contratos interadministrativos</w:t>
      </w:r>
      <w:r w:rsidRPr="00480A95">
        <w:rPr>
          <w:rFonts w:ascii="Verdana" w:eastAsia="Arial" w:hAnsi="Verdana" w:cs="Arial"/>
          <w:vertAlign w:val="superscript"/>
          <w:lang w:eastAsia="es-ES" w:bidi="es-ES"/>
        </w:rPr>
        <w:footnoteReference w:id="25"/>
      </w:r>
      <w:r w:rsidRPr="00480A9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3B4AC58D" w14:textId="77777777" w:rsidR="00AE0C3B" w:rsidRPr="00480A95" w:rsidRDefault="00AE0C3B" w:rsidP="00AE0C3B">
      <w:pPr>
        <w:spacing w:after="120" w:line="276" w:lineRule="auto"/>
        <w:ind w:firstLine="709"/>
        <w:jc w:val="both"/>
        <w:rPr>
          <w:rFonts w:ascii="Verdana" w:eastAsia="Times New Roman" w:hAnsi="Verdana" w:cs="Times New Roman"/>
          <w:lang w:eastAsia="es-ES"/>
        </w:rPr>
      </w:pPr>
      <w:r w:rsidRPr="00480A9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480A95">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E89926E" w14:textId="77777777" w:rsidR="00AE0C3B" w:rsidRPr="00480A95" w:rsidRDefault="00AE0C3B" w:rsidP="00AE0C3B">
      <w:pPr>
        <w:spacing w:after="120" w:line="276" w:lineRule="auto"/>
        <w:ind w:firstLine="709"/>
        <w:jc w:val="both"/>
        <w:rPr>
          <w:rFonts w:ascii="Verdana" w:eastAsia="Times New Roman" w:hAnsi="Verdana" w:cs="Times New Roman"/>
          <w:lang w:eastAsia="es-ES"/>
        </w:rPr>
      </w:pPr>
      <w:r w:rsidRPr="00480A95">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480A95">
        <w:rPr>
          <w:rStyle w:val="Refdenotaalpie"/>
          <w:rFonts w:ascii="Verdana" w:eastAsia="Times New Roman" w:hAnsi="Verdana" w:cs="Times New Roman"/>
          <w:lang w:eastAsia="es-ES"/>
        </w:rPr>
        <w:footnoteReference w:id="26"/>
      </w:r>
      <w:r w:rsidRPr="00480A95">
        <w:rPr>
          <w:rFonts w:ascii="Verdana" w:eastAsia="Times New Roman" w:hAnsi="Verdana" w:cs="Times New Roman"/>
          <w:lang w:eastAsia="es-ES"/>
        </w:rPr>
        <w:t xml:space="preserve">. Sobre el </w:t>
      </w:r>
      <w:r w:rsidRPr="00480A95">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EC3687E" w14:textId="77777777" w:rsidR="00AE0C3B" w:rsidRPr="00480A95" w:rsidRDefault="00AE0C3B" w:rsidP="00AE0C3B">
      <w:pPr>
        <w:spacing w:after="120" w:line="276" w:lineRule="auto"/>
        <w:ind w:firstLine="709"/>
        <w:jc w:val="both"/>
        <w:rPr>
          <w:rFonts w:ascii="Verdana" w:eastAsia="Times New Roman" w:hAnsi="Verdana" w:cs="Times New Roman"/>
          <w:lang w:eastAsia="es-ES"/>
        </w:rPr>
      </w:pPr>
      <w:r w:rsidRPr="00480A9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698C7E24" w14:textId="77777777" w:rsidR="00AE0C3B" w:rsidRPr="00480A95" w:rsidRDefault="00AE0C3B" w:rsidP="00AE0C3B">
      <w:pPr>
        <w:spacing w:after="120" w:line="276" w:lineRule="auto"/>
        <w:ind w:firstLine="709"/>
        <w:jc w:val="both"/>
        <w:rPr>
          <w:rFonts w:ascii="Verdana" w:eastAsia="Times New Roman" w:hAnsi="Verdana" w:cs="Arial"/>
          <w:lang w:eastAsia="es-CO"/>
        </w:rPr>
      </w:pPr>
      <w:r w:rsidRPr="00480A9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480A95">
        <w:rPr>
          <w:rFonts w:ascii="Verdana" w:eastAsia="Times New Roman" w:hAnsi="Verdana" w:cs="Arial"/>
          <w:i/>
          <w:iCs/>
          <w:lang w:eastAsia="es-CO"/>
        </w:rPr>
        <w:t>contratos interadministrativos</w:t>
      </w:r>
      <w:r w:rsidRPr="00480A95">
        <w:rPr>
          <w:rFonts w:ascii="Verdana" w:eastAsia="Times New Roman" w:hAnsi="Verdana" w:cs="Arial"/>
          <w:lang w:eastAsia="es-CO"/>
        </w:rPr>
        <w:t>, esta prohibición solo aplicaría a los convenios interadministrativos que impliquen la ejecución de recursos públicos</w:t>
      </w:r>
      <w:r w:rsidRPr="00480A95">
        <w:rPr>
          <w:rStyle w:val="Refdenotaalpie"/>
          <w:rFonts w:ascii="Verdana" w:eastAsia="Times New Roman" w:hAnsi="Verdana" w:cs="Arial"/>
          <w:lang w:eastAsia="es-CO"/>
        </w:rPr>
        <w:footnoteReference w:id="27"/>
      </w:r>
      <w:r w:rsidRPr="00480A95">
        <w:rPr>
          <w:rFonts w:ascii="Verdana" w:eastAsia="Times New Roman" w:hAnsi="Verdana" w:cs="Arial"/>
          <w:lang w:eastAsia="es-CO"/>
        </w:rPr>
        <w:t>.</w:t>
      </w:r>
    </w:p>
    <w:p w14:paraId="7E31EB02" w14:textId="77777777" w:rsidR="00AD1778" w:rsidRDefault="00AE0C3B" w:rsidP="00AD1778">
      <w:pPr>
        <w:spacing w:after="120" w:line="276" w:lineRule="auto"/>
        <w:jc w:val="both"/>
        <w:rPr>
          <w:rFonts w:ascii="Verdana" w:eastAsia="Times New Roman" w:hAnsi="Verdana" w:cs="Arial"/>
          <w:lang w:eastAsia="es-CO"/>
        </w:rPr>
      </w:pPr>
      <w:r>
        <w:rPr>
          <w:rFonts w:ascii="Verdana" w:eastAsia="Times New Roman" w:hAnsi="Verdana" w:cs="Arial"/>
          <w:lang w:eastAsia="es-CO"/>
        </w:rPr>
        <w:t xml:space="preserve">iii. En síntesis, con sustento en lo expuesto es posible afirmar que, los </w:t>
      </w:r>
      <w:r w:rsidRPr="00905C7F">
        <w:rPr>
          <w:rFonts w:ascii="Verdana" w:eastAsia="Times New Roman" w:hAnsi="Verdana" w:cs="Arial"/>
          <w:i/>
          <w:iCs/>
          <w:lang w:eastAsia="es-CO"/>
        </w:rPr>
        <w:t xml:space="preserve">convenios </w:t>
      </w:r>
      <w:r>
        <w:rPr>
          <w:rFonts w:ascii="Verdana" w:eastAsia="Times New Roman" w:hAnsi="Verdana" w:cs="Arial"/>
          <w:i/>
          <w:iCs/>
          <w:lang w:eastAsia="es-CO"/>
        </w:rPr>
        <w:t xml:space="preserve">especiales </w:t>
      </w:r>
      <w:r w:rsidRPr="00905C7F">
        <w:rPr>
          <w:rFonts w:ascii="Verdana" w:eastAsia="Times New Roman" w:hAnsi="Verdana" w:cs="Arial"/>
          <w:i/>
          <w:iCs/>
          <w:lang w:eastAsia="es-CO"/>
        </w:rPr>
        <w:t>de cooperació</w:t>
      </w:r>
      <w:r>
        <w:rPr>
          <w:rFonts w:ascii="Verdana" w:eastAsia="Times New Roman" w:hAnsi="Verdana" w:cs="Arial"/>
          <w:i/>
          <w:iCs/>
          <w:lang w:eastAsia="es-CO"/>
        </w:rPr>
        <w:t xml:space="preserve">n </w:t>
      </w:r>
      <w:r>
        <w:rPr>
          <w:rFonts w:ascii="Verdana" w:eastAsia="Times New Roman" w:hAnsi="Verdana" w:cs="Arial"/>
          <w:lang w:eastAsia="es-CO"/>
        </w:rPr>
        <w:t xml:space="preserve">no se encuentran restringidos por lo dispuesto en el parágrafo del artículo 38 de la Ley 996 de 2005. Esto por cuanto, de acuerdo con el artículo 6 del Decreto 393 de 1991, estos se celebran entre entidades estatales y particulares, por lo que no cumplen con el criterio orgánico para ser considerados </w:t>
      </w:r>
      <w:r w:rsidRPr="00692211">
        <w:rPr>
          <w:rFonts w:ascii="Verdana" w:eastAsia="Times New Roman" w:hAnsi="Verdana" w:cs="Arial"/>
          <w:i/>
          <w:iCs/>
          <w:lang w:eastAsia="es-CO"/>
        </w:rPr>
        <w:t>convenios interadministrativos.</w:t>
      </w:r>
    </w:p>
    <w:p w14:paraId="596E3DEF" w14:textId="3EA521D2" w:rsidR="003F782A" w:rsidRDefault="00AE0C3B" w:rsidP="00AD1778">
      <w:pPr>
        <w:spacing w:after="120" w:line="276" w:lineRule="auto"/>
        <w:jc w:val="both"/>
        <w:rPr>
          <w:rFonts w:ascii="Verdana" w:eastAsia="Times New Roman" w:hAnsi="Verdana" w:cs="Arial"/>
          <w:lang w:eastAsia="es-CO"/>
        </w:rPr>
      </w:pPr>
      <w:r>
        <w:rPr>
          <w:rFonts w:ascii="Verdana" w:eastAsia="Times New Roman" w:hAnsi="Verdana" w:cs="Arial"/>
          <w:lang w:eastAsia="es-CO"/>
        </w:rPr>
        <w:t xml:space="preserve">No obstante, la celebración de este tipo de convenios si puede verse afectada por la restricción establecida en el artículo 33 de la Ley 996 de 2005, dado que </w:t>
      </w:r>
      <w:r>
        <w:rPr>
          <w:rFonts w:ascii="Verdana" w:eastAsia="Times New Roman" w:hAnsi="Verdana" w:cs="Arial"/>
          <w:lang w:eastAsia="es-CO"/>
        </w:rPr>
        <w:lastRenderedPageBreak/>
        <w:t xml:space="preserve">esta restricción prohíbe la contratación directa. Esto significa que, en vigencia de esta restricción, no se encuentra permitido celebrar convenios especiales de contratación aplicando la causal de contratación directa contemplada en el literal e) del numeral 4 del artículo 2 de la Ley 1150 de 2007, ni ninguna de las demás causales contempladas en dicho numeral. Tal posibilidad también se encuentra restringida para las entidades estatales de régimen especial, quienes en atención a los efectos del artículo 33 </w:t>
      </w:r>
      <w:r w:rsidRPr="00692211">
        <w:rPr>
          <w:rFonts w:ascii="Verdana" w:eastAsia="Times New Roman" w:hAnsi="Verdana" w:cs="Arial"/>
          <w:i/>
          <w:iCs/>
          <w:lang w:eastAsia="es-CO"/>
        </w:rPr>
        <w:t>ib</w:t>
      </w:r>
      <w:r>
        <w:rPr>
          <w:rFonts w:ascii="Verdana" w:eastAsia="Times New Roman" w:hAnsi="Verdana" w:cs="Arial"/>
          <w:i/>
          <w:iCs/>
          <w:lang w:eastAsia="es-CO"/>
        </w:rPr>
        <w:t>í</w:t>
      </w:r>
      <w:r w:rsidRPr="00692211">
        <w:rPr>
          <w:rFonts w:ascii="Verdana" w:eastAsia="Times New Roman" w:hAnsi="Verdana" w:cs="Arial"/>
          <w:i/>
          <w:iCs/>
          <w:lang w:eastAsia="es-CO"/>
        </w:rPr>
        <w:t>dem</w:t>
      </w:r>
      <w:r>
        <w:rPr>
          <w:rFonts w:ascii="Verdana" w:eastAsia="Times New Roman" w:hAnsi="Verdana" w:cs="Arial"/>
          <w:i/>
          <w:iCs/>
          <w:lang w:eastAsia="es-CO"/>
        </w:rPr>
        <w:t xml:space="preserve">, </w:t>
      </w:r>
      <w:r>
        <w:rPr>
          <w:rFonts w:ascii="Verdana" w:eastAsia="Times New Roman" w:hAnsi="Verdana" w:cs="Arial"/>
          <w:lang w:eastAsia="es-CO"/>
        </w:rPr>
        <w:t>tampoco pueden celebrar este tipo de convenios de manera directa.</w:t>
      </w:r>
    </w:p>
    <w:p w14:paraId="0CE442FD" w14:textId="62D0E90A" w:rsidR="002D2325" w:rsidRPr="002D2325" w:rsidRDefault="002D2325" w:rsidP="002D2325">
      <w:pPr>
        <w:spacing w:after="120" w:line="276" w:lineRule="auto"/>
        <w:ind w:firstLine="708"/>
        <w:jc w:val="both"/>
        <w:rPr>
          <w:rFonts w:ascii="Verdana" w:hAnsi="Verdana" w:cs="Arial"/>
          <w:bCs/>
          <w:color w:val="000000" w:themeColor="text1"/>
        </w:rPr>
      </w:pPr>
      <w:r>
        <w:rPr>
          <w:rFonts w:ascii="Verdana" w:eastAsia="Times New Roman" w:hAnsi="Verdana" w:cs="Arial"/>
          <w:lang w:eastAsia="es-CO"/>
        </w:rPr>
        <w:t xml:space="preserve">Sin perjuicio de lo anterior, en el marco de la autonomía que les asiste para dirigir su gestión contractual, las Entidades Estatales, de acuerdo con las reglas que rigen sus procedimientos de selección, podrán valorar la posibilidad de celebrar estos o cualquier otro negocio jurídico, previo desarrollo de un proceso competitivo en el que se garantice pluralidad de oferentes. </w:t>
      </w:r>
    </w:p>
    <w:p w14:paraId="42A78ACD" w14:textId="3B772708" w:rsidR="008A03C0" w:rsidRPr="00B26706" w:rsidRDefault="00AD1778" w:rsidP="008A03C0">
      <w:pPr>
        <w:spacing w:line="276" w:lineRule="auto"/>
        <w:contextualSpacing/>
        <w:jc w:val="both"/>
        <w:rPr>
          <w:rFonts w:ascii="Verdana" w:eastAsia="Calibri" w:hAnsi="Verdana" w:cs="Arial"/>
          <w:shd w:val="clear" w:color="auto" w:fill="FFFFFF"/>
        </w:rPr>
      </w:pPr>
      <w:r>
        <w:rPr>
          <w:rFonts w:ascii="Verdana" w:eastAsia="Times New Roman" w:hAnsi="Verdana" w:cs="Arial"/>
          <w:color w:val="000000" w:themeColor="text1"/>
          <w:lang w:val="es-ES" w:eastAsia="es-ES"/>
        </w:rPr>
        <w:t>i</w:t>
      </w:r>
      <w:r w:rsidR="00C92A4E">
        <w:rPr>
          <w:rFonts w:ascii="Verdana" w:eastAsia="Times New Roman" w:hAnsi="Verdana" w:cs="Arial"/>
          <w:color w:val="000000" w:themeColor="text1"/>
          <w:lang w:val="es-ES" w:eastAsia="es-ES"/>
        </w:rPr>
        <w:t>v</w:t>
      </w:r>
      <w:r w:rsidR="00E13B20">
        <w:rPr>
          <w:rFonts w:ascii="Verdana" w:eastAsia="Times New Roman" w:hAnsi="Verdana" w:cs="Arial"/>
          <w:color w:val="000000" w:themeColor="text1"/>
          <w:lang w:val="es-ES" w:eastAsia="es-ES"/>
        </w:rPr>
        <w:t xml:space="preserve">. </w:t>
      </w:r>
      <w:r w:rsidR="005E3580">
        <w:rPr>
          <w:rFonts w:ascii="Verdana" w:eastAsia="Calibri" w:hAnsi="Verdana" w:cs="Arial"/>
          <w:shd w:val="clear" w:color="auto" w:fill="FFFFFF"/>
        </w:rPr>
        <w:t xml:space="preserve">Por otro lado, </w:t>
      </w:r>
      <w:r w:rsidR="00C559F4">
        <w:rPr>
          <w:rFonts w:ascii="Verdana" w:eastAsia="Calibri" w:hAnsi="Verdana" w:cs="Arial"/>
          <w:shd w:val="clear" w:color="auto" w:fill="FFFFFF"/>
        </w:rPr>
        <w:t>y</w:t>
      </w:r>
      <w:r w:rsidR="007245E1">
        <w:rPr>
          <w:rFonts w:ascii="Verdana" w:eastAsia="Calibri" w:hAnsi="Verdana" w:cs="Arial"/>
          <w:shd w:val="clear" w:color="auto" w:fill="FFFFFF"/>
        </w:rPr>
        <w:t xml:space="preserve"> en</w:t>
      </w:r>
      <w:r w:rsidR="00C559F4">
        <w:rPr>
          <w:rFonts w:ascii="Verdana" w:eastAsia="Calibri" w:hAnsi="Verdana" w:cs="Arial"/>
          <w:shd w:val="clear" w:color="auto" w:fill="FFFFFF"/>
        </w:rPr>
        <w:t xml:space="preserve"> </w:t>
      </w:r>
      <w:r w:rsidR="00B6270E">
        <w:rPr>
          <w:rFonts w:ascii="Verdana" w:eastAsia="Calibri" w:hAnsi="Verdana" w:cs="Arial"/>
          <w:shd w:val="clear" w:color="auto" w:fill="FFFFFF"/>
        </w:rPr>
        <w:t xml:space="preserve">lo concerniente al objeto de la presente consulta, </w:t>
      </w:r>
      <w:r w:rsidR="008A03C0" w:rsidRPr="00B26706">
        <w:rPr>
          <w:rFonts w:ascii="Verdana" w:eastAsia="Calibri" w:hAnsi="Verdana" w:cs="Arial"/>
          <w:shd w:val="clear" w:color="auto" w:fill="FFFFFF"/>
        </w:rPr>
        <w:t>es conveniente realizar algunas precisiones conceptuales sobre las actividades de ciencia, tecnología e innovación. Lo primero es destacar que antes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3084B1D7" w14:textId="77777777" w:rsidR="008A03C0" w:rsidRPr="00B26706" w:rsidRDefault="008A03C0" w:rsidP="008A03C0">
      <w:pPr>
        <w:ind w:left="709" w:right="709"/>
        <w:contextualSpacing/>
        <w:jc w:val="both"/>
        <w:rPr>
          <w:rFonts w:ascii="Verdana" w:eastAsia="Calibri" w:hAnsi="Verdana" w:cs="Arial"/>
          <w:sz w:val="21"/>
          <w:szCs w:val="21"/>
          <w:shd w:val="clear" w:color="auto" w:fill="FFFFFF"/>
        </w:rPr>
      </w:pPr>
    </w:p>
    <w:p w14:paraId="6DA75700" w14:textId="77777777" w:rsidR="008A03C0" w:rsidRPr="00B26706" w:rsidRDefault="008A03C0" w:rsidP="008A03C0">
      <w:pPr>
        <w:ind w:left="709" w:right="709"/>
        <w:contextualSpacing/>
        <w:jc w:val="both"/>
        <w:rPr>
          <w:rFonts w:ascii="Verdana" w:eastAsia="Calibri" w:hAnsi="Verdana" w:cs="Arial"/>
          <w:sz w:val="21"/>
          <w:szCs w:val="21"/>
          <w:shd w:val="clear" w:color="auto" w:fill="FFFFFF"/>
        </w:rPr>
      </w:pPr>
      <w:r w:rsidRPr="00B26706">
        <w:rPr>
          <w:rFonts w:ascii="Verdana" w:eastAsia="Calibri" w:hAnsi="Verdana" w:cs="Arial"/>
          <w:sz w:val="21"/>
          <w:szCs w:val="21"/>
          <w:shd w:val="clear" w:color="auto" w:fill="FFFFFF"/>
        </w:rPr>
        <w:t>“corresponde al Estado promover y orientar el adelanto científico y tecnológico y, por lo mismo, está obligado a incorporar la ciencia y tecnología a los planes y programas de desarrollo económico y social del 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47C1894B" w14:textId="77777777" w:rsidR="008A03C0" w:rsidRPr="00B26706" w:rsidRDefault="008A03C0" w:rsidP="008A03C0">
      <w:pPr>
        <w:ind w:left="709" w:right="709"/>
        <w:contextualSpacing/>
        <w:jc w:val="both"/>
        <w:rPr>
          <w:rFonts w:ascii="Verdana" w:eastAsia="Calibri" w:hAnsi="Verdana" w:cs="Arial"/>
          <w:sz w:val="21"/>
          <w:szCs w:val="21"/>
          <w:shd w:val="clear" w:color="auto" w:fill="FFFFFF"/>
        </w:rPr>
      </w:pPr>
    </w:p>
    <w:p w14:paraId="66BCEA78" w14:textId="77777777" w:rsidR="008A03C0" w:rsidRPr="00B26706" w:rsidRDefault="008A03C0" w:rsidP="008A03C0">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De tal manera, la ley otorgó facultades extraordinarias que le permitirían al Gobierno Nacional dictar una serie de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w:t>
      </w:r>
      <w:r w:rsidRPr="00B26706">
        <w:rPr>
          <w:rFonts w:ascii="Verdana" w:eastAsia="Aptos" w:hAnsi="Verdana" w:cs="Arial"/>
          <w:lang w:val="es-ES" w:eastAsia="es-MX"/>
        </w:rPr>
        <w:lastRenderedPageBreak/>
        <w:t>tecnologías. En un segundo plano, las normas a expedir debían regular las modalidades específicas de los contratos mediante los cuales fuera posible el fomento de actividades científicas y tecnológicas.</w:t>
      </w:r>
    </w:p>
    <w:p w14:paraId="787BF0D5" w14:textId="5C889AAE" w:rsidR="008A03C0" w:rsidRPr="00B26706" w:rsidRDefault="008A03C0" w:rsidP="008A03C0">
      <w:pPr>
        <w:spacing w:before="120"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w:t>
      </w:r>
      <w:r w:rsidR="005C4B2F" w:rsidRPr="00B26706">
        <w:rPr>
          <w:rFonts w:ascii="Verdana" w:eastAsia="Aptos" w:hAnsi="Verdana" w:cs="Arial"/>
          <w:lang w:val="es-ES" w:eastAsia="es-MX"/>
        </w:rPr>
        <w:t xml:space="preserve">sustancial </w:t>
      </w:r>
      <w:r w:rsidR="005C4B2F" w:rsidRPr="005C4B2F">
        <w:rPr>
          <w:rFonts w:ascii="Verdana" w:eastAsia="Aptos" w:hAnsi="Verdana" w:cs="Arial"/>
          <w:i/>
          <w:iCs/>
          <w:lang w:val="es-ES" w:eastAsia="es-MX"/>
        </w:rPr>
        <w:t>tipologías</w:t>
      </w:r>
      <w:r w:rsidRPr="00B26706">
        <w:rPr>
          <w:rFonts w:ascii="Verdana" w:eastAsia="Aptos" w:hAnsi="Verdana" w:cs="Arial"/>
          <w:i/>
          <w:iCs/>
          <w:lang w:val="es-ES" w:eastAsia="es-MX"/>
        </w:rPr>
        <w:t xml:space="preserve"> contractuales</w:t>
      </w:r>
      <w:r w:rsidRPr="00B26706">
        <w:rPr>
          <w:rFonts w:ascii="Verdana" w:eastAsia="Aptos" w:hAnsi="Verdana" w:cs="Arial"/>
          <w:lang w:val="es-ES" w:eastAsia="es-MX"/>
        </w:rPr>
        <w:t xml:space="preserve"> que pueden implementar las entidades para desarrollar dichas actividades.</w:t>
      </w:r>
    </w:p>
    <w:p w14:paraId="45D30328" w14:textId="77777777" w:rsidR="008A03C0" w:rsidRPr="00B26706" w:rsidRDefault="008A03C0" w:rsidP="008A03C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En concreto, las actividades de ciencia, tecnología e innovación están previstas en cuatro (4) cuerpos normativos: </w:t>
      </w:r>
    </w:p>
    <w:p w14:paraId="4B2CDF09" w14:textId="0B567545" w:rsidR="008A03C0" w:rsidRPr="00B26706" w:rsidRDefault="008A03C0" w:rsidP="00C212D1">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13753D61" w14:textId="77777777" w:rsidR="008A03C0" w:rsidRPr="00B26706" w:rsidRDefault="008A03C0" w:rsidP="00C212D1">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13C0754D" w14:textId="77777777" w:rsidR="008A03C0" w:rsidRPr="00B26706" w:rsidRDefault="008A03C0" w:rsidP="00C212D1">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28"/>
      </w:r>
    </w:p>
    <w:p w14:paraId="5960D440" w14:textId="77777777" w:rsidR="008A03C0" w:rsidRPr="00B26706" w:rsidRDefault="008A03C0" w:rsidP="00C212D1">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Documento CONPES 3582 de 2009</w:t>
      </w:r>
      <w:r w:rsidRPr="00B26706">
        <w:rPr>
          <w:rFonts w:ascii="Verdana" w:eastAsia="Times New Roman" w:hAnsi="Verdana" w:cs="Arial"/>
          <w:lang w:eastAsia="es-ES_tradnl"/>
        </w:rPr>
        <w:t xml:space="preserve"> que identifica cuáles son estas actividades con respecto a los actores del Sistema Nacional de Ciencia, Tecnología e Innovación.</w:t>
      </w:r>
    </w:p>
    <w:p w14:paraId="72BB8DD0" w14:textId="77777777" w:rsidR="008A03C0" w:rsidRPr="00B26706" w:rsidRDefault="008A03C0" w:rsidP="008A03C0">
      <w:pPr>
        <w:shd w:val="clear" w:color="auto" w:fill="FFFFFF"/>
        <w:spacing w:line="276" w:lineRule="auto"/>
        <w:ind w:firstLine="709"/>
        <w:jc w:val="both"/>
        <w:rPr>
          <w:rFonts w:ascii="Verdana" w:hAnsi="Verdana" w:cs="Arial"/>
          <w:lang w:eastAsia="es-ES_tradnl"/>
        </w:rPr>
      </w:pPr>
      <w:r w:rsidRPr="00B26706">
        <w:rPr>
          <w:rFonts w:ascii="Verdana" w:hAnsi="Verdana" w:cs="Arial"/>
          <w:lang w:eastAsia="es-ES_tradnl"/>
        </w:rPr>
        <w:t xml:space="preserve">Así las cosas,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por las que pueden optar las entidades allí señaladas para contratar directamente el </w:t>
      </w:r>
      <w:r w:rsidRPr="00B26706">
        <w:rPr>
          <w:rFonts w:ascii="Verdana" w:hAnsi="Verdana" w:cs="Arial"/>
          <w:lang w:eastAsia="es-ES_tradnl"/>
        </w:rPr>
        <w:lastRenderedPageBreak/>
        <w:t xml:space="preserve">desarrollo de actividades de ciencia y tecnología. De cualquier modo, su aplicación se encuentra limitada a los sujetos y materias allí reguladas. </w:t>
      </w:r>
    </w:p>
    <w:p w14:paraId="203C5A5A" w14:textId="53BBB7DA" w:rsidR="008A03C0" w:rsidRPr="00B26706" w:rsidRDefault="008A03C0" w:rsidP="008A03C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Al respecto, el artículo primero del Decreto Ley 393 de 1991 señala expresamente que la Nación y sus entidades descentralizadas “podrán</w:t>
      </w:r>
      <w:r w:rsidRPr="00B26706">
        <w:rPr>
          <w:rFonts w:ascii="Verdana" w:hAnsi="Verdana" w:cs="Arial"/>
          <w:i/>
          <w:iCs/>
          <w:lang w:eastAsia="es-ES_tradnl"/>
        </w:rPr>
        <w:t xml:space="preserve"> </w:t>
      </w:r>
      <w:r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B26706">
        <w:rPr>
          <w:rFonts w:ascii="Verdana" w:hAnsi="Verdana" w:cs="Arial"/>
          <w:i/>
          <w:iCs/>
          <w:lang w:eastAsia="es-ES_tradnl"/>
        </w:rPr>
        <w:t xml:space="preserve">podrán </w:t>
      </w:r>
      <w:r w:rsidRPr="00B26706">
        <w:rPr>
          <w:rFonts w:ascii="Verdana" w:hAnsi="Verdana" w:cs="Arial"/>
          <w:lang w:eastAsia="es-ES_tradnl"/>
        </w:rPr>
        <w:t>celebrar con los particulares convenios especiales de cooperación, que no darán lugar al nacimiento de una nueva persona jurídica”</w:t>
      </w:r>
      <w:r w:rsidRPr="00B26706">
        <w:rPr>
          <w:rStyle w:val="Refdenotaalpie"/>
          <w:rFonts w:ascii="Verdana" w:hAnsi="Verdana" w:cs="Arial"/>
          <w:lang w:eastAsia="es-ES_tradnl"/>
        </w:rPr>
        <w:footnoteReference w:id="29"/>
      </w:r>
      <w:r w:rsidRPr="00B26706">
        <w:rPr>
          <w:rFonts w:ascii="Verdana" w:hAnsi="Verdana" w:cs="Arial"/>
          <w:lang w:eastAsia="es-ES_tradnl"/>
        </w:rPr>
        <w:t>. De manera similar, los artículo 8, 9 y 17 del Decreto Ley 591 de 1991 señalan que la Nación y sus entidades descentralizadas “</w:t>
      </w:r>
      <w:r w:rsidRPr="00B26706">
        <w:rPr>
          <w:rFonts w:ascii="Verdana" w:hAnsi="Verdana" w:cs="Arial"/>
          <w:i/>
          <w:iCs/>
          <w:lang w:eastAsia="es-ES_tradnl"/>
        </w:rPr>
        <w:t>podrán</w:t>
      </w:r>
      <w:r w:rsidRPr="00B26706">
        <w:rPr>
          <w:rFonts w:ascii="Verdana" w:hAnsi="Verdana" w:cs="Arial"/>
          <w:lang w:eastAsia="es-ES_tradnl"/>
        </w:rPr>
        <w:t xml:space="preserve">”: </w:t>
      </w:r>
      <w:r>
        <w:rPr>
          <w:rFonts w:ascii="Verdana" w:hAnsi="Verdana" w:cs="Arial"/>
          <w:lang w:eastAsia="es-ES_tradnl"/>
        </w:rPr>
        <w:t>1</w:t>
      </w:r>
      <w:r w:rsidRPr="00B26706">
        <w:rPr>
          <w:rFonts w:ascii="Verdana" w:hAnsi="Verdana" w:cs="Arial"/>
          <w:lang w:eastAsia="es-ES_tradnl"/>
        </w:rPr>
        <w:t xml:space="preserve">) celebrar contratos de financiamiento destinados a actividades científicas y tecnológicas, que tengan por objeto proveer de recursos al particular contratista o a otra entidad pública; </w:t>
      </w:r>
      <w:r>
        <w:rPr>
          <w:rFonts w:ascii="Verdana" w:hAnsi="Verdana" w:cs="Arial"/>
          <w:lang w:eastAsia="es-ES_tradnl"/>
        </w:rPr>
        <w:t>2</w:t>
      </w:r>
      <w:r w:rsidRPr="00B26706">
        <w:rPr>
          <w:rFonts w:ascii="Verdana" w:hAnsi="Verdana" w:cs="Arial"/>
          <w:lang w:eastAsia="es-ES_tradnl"/>
        </w:rPr>
        <w:t xml:space="preserve">) celebrar con personas públicas o privadas contratos de administración de proyectos; y </w:t>
      </w:r>
      <w:r>
        <w:rPr>
          <w:rFonts w:ascii="Verdana" w:hAnsi="Verdana" w:cs="Arial"/>
          <w:lang w:eastAsia="es-ES_tradnl"/>
        </w:rPr>
        <w:t>3</w:t>
      </w:r>
      <w:r w:rsidRPr="00B26706">
        <w:rPr>
          <w:rFonts w:ascii="Verdana" w:hAnsi="Verdana" w:cs="Arial"/>
          <w:lang w:eastAsia="es-ES_tradnl"/>
        </w:rPr>
        <w:t>)</w:t>
      </w:r>
      <w:r w:rsidRPr="00B26706">
        <w:rPr>
          <w:rFonts w:ascii="Arial" w:hAnsi="Arial" w:cs="Arial"/>
          <w:color w:val="000000"/>
          <w:sz w:val="21"/>
          <w:szCs w:val="21"/>
        </w:rPr>
        <w:t xml:space="preserve"> </w:t>
      </w:r>
      <w:r w:rsidRPr="00B26706">
        <w:rPr>
          <w:rFonts w:ascii="Verdana" w:hAnsi="Verdana" w:cs="Arial"/>
          <w:lang w:eastAsia="es-ES_tradnl"/>
        </w:rPr>
        <w:t xml:space="preserve">celebrar con los particulares y con otras entidades públicas de cualquier orden convenios especiales de cooperación. En efecto, </w:t>
      </w:r>
      <w:r w:rsidR="00AE0C3B" w:rsidRPr="00B26706">
        <w:rPr>
          <w:rFonts w:ascii="Verdana" w:hAnsi="Verdana" w:cs="Arial"/>
          <w:lang w:eastAsia="es-ES_tradnl"/>
        </w:rPr>
        <w:t>las normas referidas</w:t>
      </w:r>
      <w:r w:rsidRPr="00B26706">
        <w:rPr>
          <w:rFonts w:ascii="Verdana" w:hAnsi="Verdana" w:cs="Arial"/>
          <w:lang w:eastAsia="es-ES_tradnl"/>
        </w:rPr>
        <w:t xml:space="preserve"> otorgan la potestad para que la Nación y sus entidades descentralizadas adopten las tipologías contractuales allí descritas cuando pretendan contratar el desarrollo de actividades científicas y tecnológicas.</w:t>
      </w:r>
    </w:p>
    <w:p w14:paraId="4662F6DA" w14:textId="77777777" w:rsidR="008A03C0" w:rsidRPr="00EF65A5" w:rsidRDefault="008A03C0" w:rsidP="008A03C0">
      <w:pPr>
        <w:spacing w:after="120" w:line="276" w:lineRule="auto"/>
        <w:ind w:firstLine="708"/>
        <w:jc w:val="both"/>
        <w:rPr>
          <w:rFonts w:ascii="Verdana" w:eastAsia="Times New Roman" w:hAnsi="Verdana" w:cs="Arial"/>
          <w:lang w:eastAsia="es-ES_tradnl"/>
        </w:rPr>
      </w:pPr>
      <w:r w:rsidRPr="0069136E">
        <w:rPr>
          <w:rFonts w:ascii="Verdana" w:hAnsi="Verdana" w:cs="Arial"/>
          <w:lang w:eastAsia="es-ES_tradnl"/>
        </w:rPr>
        <w:t>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w:t>
      </w:r>
      <w:r>
        <w:rPr>
          <w:rFonts w:ascii="Verdana" w:hAnsi="Verdana" w:cs="Arial"/>
          <w:lang w:eastAsia="es-ES_tradnl"/>
        </w:rPr>
        <w:t xml:space="preserve"> los</w:t>
      </w:r>
      <w:r w:rsidRPr="0069136E">
        <w:rPr>
          <w:rFonts w:ascii="Verdana" w:hAnsi="Verdana" w:cs="Arial"/>
          <w:lang w:eastAsia="es-ES_tradnl"/>
        </w:rPr>
        <w:t xml:space="preserve">: </w:t>
      </w:r>
      <w:r w:rsidRPr="0069136E">
        <w:rPr>
          <w:rFonts w:ascii="Verdana" w:eastAsia="Times New Roman" w:hAnsi="Verdana" w:cs="Arial"/>
          <w:lang w:eastAsia="es-ES_tradnl"/>
        </w:rPr>
        <w:t>1) contratos de financiamiento, 2) contratos de administración de proyectos y 3) convenios especiales de cooperación</w:t>
      </w:r>
      <w:r>
        <w:rPr>
          <w:rFonts w:ascii="Verdana" w:eastAsia="Times New Roman" w:hAnsi="Verdana" w:cs="Arial"/>
          <w:lang w:eastAsia="es-ES_tradnl"/>
        </w:rPr>
        <w:t>.</w:t>
      </w:r>
    </w:p>
    <w:p w14:paraId="5DA4DFF6" w14:textId="77777777" w:rsidR="008A03C0" w:rsidRPr="00B47B4C" w:rsidRDefault="008A03C0" w:rsidP="008A03C0">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lastRenderedPageBreak/>
        <w:t xml:space="preserve"> Finalmente,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En consecuencia, la causal de contratación directa a la cual se refiere la </w:t>
      </w:r>
      <w:r w:rsidRPr="00B26706">
        <w:rPr>
          <w:rFonts w:ascii="Verdana" w:hAnsi="Verdana" w:cs="Arial"/>
          <w:lang w:eastAsia="es-ES_tradnl"/>
        </w:rPr>
        <w:t xml:space="preserve">Ley 1150 de 2007 autoriza a todas las Entidades Estatales regidas por el EGCAP para contratar directamente </w:t>
      </w:r>
      <w:r w:rsidRPr="00B47B4C">
        <w:rPr>
          <w:rFonts w:ascii="Verdana" w:hAnsi="Verdana" w:cs="Arial"/>
          <w:i/>
          <w:iCs/>
          <w:lang w:eastAsia="es-ES_tradnl"/>
        </w:rPr>
        <w:t>el desarrollo de actividades científicas y tecnológicas</w:t>
      </w:r>
      <w:r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1930C73F" w14:textId="77777777" w:rsidR="008A03C0" w:rsidRPr="00B26706" w:rsidRDefault="008A03C0" w:rsidP="008A03C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i) la </w:t>
      </w:r>
      <w:r>
        <w:rPr>
          <w:rFonts w:ascii="Verdana" w:hAnsi="Verdana" w:cs="Arial"/>
          <w:lang w:eastAsia="es-ES_tradnl"/>
        </w:rPr>
        <w:t>L</w:t>
      </w:r>
      <w:r w:rsidRPr="00B26706">
        <w:rPr>
          <w:rFonts w:ascii="Verdana" w:hAnsi="Verdana" w:cs="Arial"/>
          <w:lang w:eastAsia="es-ES_tradnl"/>
        </w:rPr>
        <w:t xml:space="preserve">ey 1150 de 2007 autorizó a las Entidades Estatales sometidas al EGCAP para contratar directamente el desarrollo de actividades científicas y tecnológicas, sin determinar una tipología específica; y ii)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7F587E6B" w14:textId="77777777" w:rsidR="008A03C0" w:rsidRPr="00B26706" w:rsidRDefault="008A03C0" w:rsidP="008A03C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w:t>
      </w:r>
      <w:r w:rsidRPr="00B26706">
        <w:rPr>
          <w:rFonts w:ascii="Verdana" w:hAnsi="Verdana" w:cs="Arial"/>
          <w:lang w:eastAsia="es-ES_tradnl"/>
        </w:rPr>
        <w:lastRenderedPageBreak/>
        <w:t xml:space="preserve">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00F6DA77" w14:textId="77777777" w:rsidR="008A03C0" w:rsidRPr="00B26706" w:rsidRDefault="008A03C0" w:rsidP="008A03C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EGCAP podrán contratar directamente el desarrollo de tales actividades en virtud de lo dispuesto en la Ley 1150 de 2007 implementando otras tipologías contractuales que resulten adecuadas para la satisfacción de la necesidad identificada. </w:t>
      </w:r>
    </w:p>
    <w:p w14:paraId="1927C9FF" w14:textId="77777777" w:rsidR="008A03C0" w:rsidRDefault="008A03C0" w:rsidP="008A03C0">
      <w:pPr>
        <w:shd w:val="clear" w:color="auto" w:fill="FFFFFF"/>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w:t>
      </w:r>
      <w:r>
        <w:rPr>
          <w:rFonts w:ascii="Verdana" w:hAnsi="Verdana" w:cs="Arial"/>
          <w:lang w:eastAsia="es-ES_tradnl"/>
        </w:rPr>
        <w:t xml:space="preserve">1) </w:t>
      </w:r>
      <w:r w:rsidRPr="00B26706">
        <w:rPr>
          <w:rFonts w:ascii="Verdana" w:hAnsi="Verdana" w:cs="Arial"/>
          <w:lang w:eastAsia="es-ES_tradnl"/>
        </w:rPr>
        <w:t xml:space="preserve">las asociaciones dirigidas a crear sociedades civiles y comerciales, y personas jurídicas sin ánimo de lucro como fundaciones y corporaciones; </w:t>
      </w:r>
      <w:r>
        <w:rPr>
          <w:rFonts w:ascii="Verdana" w:hAnsi="Verdana" w:cs="Arial"/>
          <w:lang w:eastAsia="es-ES_tradnl"/>
        </w:rPr>
        <w:t xml:space="preserve">2) </w:t>
      </w:r>
      <w:r w:rsidRPr="00B26706">
        <w:rPr>
          <w:rFonts w:ascii="Verdana" w:hAnsi="Verdana" w:cs="Arial"/>
          <w:lang w:eastAsia="es-ES_tradnl"/>
        </w:rPr>
        <w:t>los convenios especiales de cooperación;</w:t>
      </w:r>
      <w:r>
        <w:rPr>
          <w:rFonts w:ascii="Verdana" w:hAnsi="Verdana" w:cs="Arial"/>
          <w:lang w:eastAsia="es-ES_tradnl"/>
        </w:rPr>
        <w:t xml:space="preserve"> 3</w:t>
      </w:r>
      <w:r w:rsidRPr="00B26706">
        <w:rPr>
          <w:rFonts w:ascii="Verdana" w:hAnsi="Verdana" w:cs="Arial"/>
          <w:lang w:eastAsia="es-ES_tradnl"/>
        </w:rPr>
        <w:t xml:space="preserve">) los contratos de financiamiento y </w:t>
      </w:r>
      <w:r>
        <w:rPr>
          <w:rFonts w:ascii="Verdana" w:hAnsi="Verdana" w:cs="Arial"/>
          <w:lang w:eastAsia="es-ES_tradnl"/>
        </w:rPr>
        <w:t>4</w:t>
      </w:r>
      <w:r w:rsidRPr="00B26706">
        <w:rPr>
          <w:rFonts w:ascii="Verdana" w:hAnsi="Verdana" w:cs="Arial"/>
          <w:lang w:eastAsia="es-ES_tradnl"/>
        </w:rPr>
        <w:t xml:space="preserve">) los contratos de administración de proyectos. Si embargo señaló expresamente que “Este cuadro normativo no excluye la posibilidad de que las entidades de fomento de las actividades científicas y tecnológicas </w:t>
      </w:r>
      <w:r w:rsidRPr="00B47B4C">
        <w:rPr>
          <w:rFonts w:ascii="Verdana" w:hAnsi="Verdana" w:cs="Arial"/>
          <w:i/>
          <w:iCs/>
          <w:u w:val="single"/>
          <w:lang w:eastAsia="es-ES_tradnl"/>
        </w:rPr>
        <w:t>puedan convenir libremente negocios distintos</w:t>
      </w:r>
      <w:r w:rsidRPr="00B26706">
        <w:rPr>
          <w:rFonts w:ascii="Verdana" w:hAnsi="Verdana" w:cs="Arial"/>
          <w:lang w:eastAsia="es-ES_tradnl"/>
        </w:rPr>
        <w:t xml:space="preserve"> a los expresamente previstos en la ley o </w:t>
      </w:r>
      <w:r w:rsidRPr="00B26706">
        <w:rPr>
          <w:rFonts w:ascii="Verdana" w:hAnsi="Verdana" w:cs="Arial"/>
          <w:lang w:eastAsia="es-ES_tradnl"/>
        </w:rPr>
        <w:lastRenderedPageBreak/>
        <w:t>el reglamento, en desarrollo del principio de la autonomía de la voluntad […]”</w:t>
      </w:r>
      <w:r w:rsidRPr="00B26706">
        <w:rPr>
          <w:rStyle w:val="Refdenotaalpie"/>
          <w:rFonts w:ascii="Verdana" w:hAnsi="Verdana" w:cs="Arial"/>
          <w:lang w:eastAsia="es-ES_tradnl"/>
        </w:rPr>
        <w:footnoteReference w:id="30"/>
      </w:r>
      <w:r>
        <w:rPr>
          <w:rFonts w:ascii="Verdana" w:hAnsi="Verdana" w:cs="Arial"/>
          <w:lang w:eastAsia="es-ES_tradnl"/>
        </w:rPr>
        <w:t xml:space="preserve"> (Énfasis propio)</w:t>
      </w:r>
      <w:r w:rsidRPr="00B26706">
        <w:rPr>
          <w:rFonts w:ascii="Verdana" w:hAnsi="Verdana" w:cs="Arial"/>
          <w:lang w:eastAsia="es-ES_tradnl"/>
        </w:rPr>
        <w:t>.</w:t>
      </w:r>
    </w:p>
    <w:p w14:paraId="2DDA41DE" w14:textId="5F842195" w:rsidR="00B55A63" w:rsidRPr="00480A95" w:rsidRDefault="00B55A63" w:rsidP="00692211">
      <w:pPr>
        <w:spacing w:after="120" w:line="276" w:lineRule="auto"/>
        <w:ind w:firstLine="709"/>
        <w:jc w:val="both"/>
        <w:rPr>
          <w:rFonts w:ascii="Verdana" w:eastAsia="Calibri" w:hAnsi="Verdana" w:cs="Arial"/>
          <w:color w:val="000000" w:themeColor="text1"/>
          <w:szCs w:val="24"/>
          <w:lang w:val="es-ES_tradnl" w:eastAsia="es-ES_tradnl"/>
        </w:rPr>
      </w:pPr>
      <w:r w:rsidRPr="00480A95">
        <w:rPr>
          <w:rFonts w:ascii="Verdana" w:eastAsia="Times New Roman" w:hAnsi="Verdana" w:cs="Arial"/>
          <w:color w:val="000000" w:themeColor="text1"/>
          <w:szCs w:val="24"/>
          <w:lang w:val="es-ES_tradnl" w:eastAsia="es-ES_tradnl"/>
        </w:rPr>
        <w:t>De esta forma,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r w:rsidR="00C46272">
        <w:rPr>
          <w:rFonts w:ascii="Verdana" w:eastAsia="Times New Roman" w:hAnsi="Verdana" w:cs="Arial"/>
          <w:color w:val="000000" w:themeColor="text1"/>
          <w:szCs w:val="24"/>
          <w:lang w:val="es-ES_tradnl" w:eastAsia="es-ES_tradnl"/>
        </w:rPr>
        <w:t xml:space="preserve"> </w:t>
      </w:r>
      <w:r w:rsidRPr="00480A95">
        <w:rPr>
          <w:rFonts w:ascii="Verdana" w:eastAsia="Calibri" w:hAnsi="Verdana" w:cs="Arial"/>
          <w:color w:val="000000" w:themeColor="text1"/>
          <w:szCs w:val="24"/>
          <w:lang w:val="es-ES_tradnl" w:eastAsia="es-ES_tradnl"/>
        </w:rPr>
        <w:t>En todo caso, se resalta, el régimen de las actividades de ciencia, tecnología e innovación se define a partir de las normas citadas; pero le corresponde al Ministerio de Ciencia, Tecnología e Innovación, como autoridad competente, catalogar las actividades cuando las Entidades presenten dudas respecto de un objeto contractual que pretendan satisfacer</w:t>
      </w:r>
      <w:r w:rsidRPr="00480A95">
        <w:rPr>
          <w:rFonts w:ascii="Verdana" w:eastAsia="Calibri" w:hAnsi="Verdana" w:cs="Arial"/>
          <w:szCs w:val="24"/>
          <w:vertAlign w:val="superscript"/>
          <w:lang w:eastAsia="es-ES_tradnl"/>
        </w:rPr>
        <w:footnoteReference w:id="31"/>
      </w:r>
      <w:r w:rsidRPr="00480A95">
        <w:rPr>
          <w:rFonts w:ascii="Verdana" w:eastAsia="Calibri" w:hAnsi="Verdana" w:cs="Arial"/>
          <w:color w:val="000000" w:themeColor="text1"/>
          <w:szCs w:val="24"/>
          <w:lang w:val="es-ES_tradnl" w:eastAsia="es-ES_tradnl"/>
        </w:rPr>
        <w:t xml:space="preserve">. </w:t>
      </w:r>
    </w:p>
    <w:p w14:paraId="54D0A06F" w14:textId="65212FA7" w:rsidR="00FB3869" w:rsidRDefault="0049103F" w:rsidP="00AE0C3B">
      <w:pPr>
        <w:spacing w:after="120" w:line="276" w:lineRule="auto"/>
        <w:jc w:val="both"/>
        <w:rPr>
          <w:rFonts w:ascii="Verdana" w:eastAsia="Calibri" w:hAnsi="Verdana" w:cs="Arial"/>
          <w:bCs/>
        </w:rPr>
      </w:pPr>
      <w:r>
        <w:rPr>
          <w:rFonts w:ascii="Verdana" w:eastAsia="Calibri" w:hAnsi="Verdana" w:cs="Arial"/>
          <w:bCs/>
        </w:rPr>
        <w:t>v</w:t>
      </w:r>
      <w:r w:rsidR="00C212D1">
        <w:rPr>
          <w:rFonts w:ascii="Verdana" w:eastAsia="Calibri" w:hAnsi="Verdana" w:cs="Arial"/>
          <w:bCs/>
        </w:rPr>
        <w:t xml:space="preserve">. De otra parte, en aras de responder la solicitud, resulta necesario mencionar que, </w:t>
      </w:r>
      <w:r w:rsidR="00067281">
        <w:rPr>
          <w:rFonts w:ascii="Verdana" w:eastAsia="Calibri" w:hAnsi="Verdana" w:cs="Arial"/>
          <w:bCs/>
        </w:rPr>
        <w:t xml:space="preserve">la Sala de consulta y servicio civil del Consejo de Estado se pronunció </w:t>
      </w:r>
      <w:r w:rsidR="00E534C1">
        <w:rPr>
          <w:rFonts w:ascii="Verdana" w:eastAsia="Calibri" w:hAnsi="Verdana" w:cs="Arial"/>
          <w:bCs/>
        </w:rPr>
        <w:t xml:space="preserve">sobre </w:t>
      </w:r>
      <w:r w:rsidR="000A11AA">
        <w:rPr>
          <w:rFonts w:ascii="Verdana" w:eastAsia="Calibri" w:hAnsi="Verdana" w:cs="Arial"/>
          <w:bCs/>
        </w:rPr>
        <w:t xml:space="preserve">la aplicación de la restricción establecida en el artículo 33 de la </w:t>
      </w:r>
      <w:r w:rsidR="00B85FAC">
        <w:rPr>
          <w:rFonts w:ascii="Verdana" w:eastAsia="Calibri" w:hAnsi="Verdana" w:cs="Arial"/>
          <w:bCs/>
        </w:rPr>
        <w:t>L</w:t>
      </w:r>
      <w:r w:rsidR="000A11AA">
        <w:rPr>
          <w:rFonts w:ascii="Verdana" w:eastAsia="Calibri" w:hAnsi="Verdana" w:cs="Arial"/>
          <w:bCs/>
        </w:rPr>
        <w:t>ey 996 de 2005</w:t>
      </w:r>
      <w:r w:rsidR="00FB3869">
        <w:rPr>
          <w:rFonts w:ascii="Verdana" w:eastAsia="Calibri" w:hAnsi="Verdana" w:cs="Arial"/>
          <w:bCs/>
        </w:rPr>
        <w:t xml:space="preserve"> a</w:t>
      </w:r>
      <w:r w:rsidR="000A11AA">
        <w:rPr>
          <w:rFonts w:ascii="Verdana" w:eastAsia="Calibri" w:hAnsi="Verdana" w:cs="Arial"/>
          <w:bCs/>
        </w:rPr>
        <w:t xml:space="preserve"> la celebración </w:t>
      </w:r>
      <w:r w:rsidR="005F6ECA">
        <w:rPr>
          <w:rFonts w:ascii="Verdana" w:eastAsia="Calibri" w:hAnsi="Verdana" w:cs="Arial"/>
          <w:bCs/>
        </w:rPr>
        <w:t xml:space="preserve">de contratos de fomento o financiación de actividades científicas y tecnológicas. </w:t>
      </w:r>
      <w:r w:rsidR="00705E9D">
        <w:rPr>
          <w:rFonts w:ascii="Verdana" w:eastAsia="Calibri" w:hAnsi="Verdana" w:cs="Arial"/>
          <w:bCs/>
        </w:rPr>
        <w:t>Esto con base en lo establecido</w:t>
      </w:r>
      <w:r w:rsidR="00205B7D">
        <w:rPr>
          <w:rFonts w:ascii="Verdana" w:eastAsia="Calibri" w:hAnsi="Verdana" w:cs="Arial"/>
          <w:bCs/>
        </w:rPr>
        <w:t xml:space="preserve"> en el artículo 33 de la Ley 1286 de 2009, el cual expresamente establece que la modalidad aplicable a estos contratos es la contratación directa</w:t>
      </w:r>
      <w:r w:rsidR="003F488F">
        <w:rPr>
          <w:rFonts w:ascii="Verdana" w:eastAsia="Calibri" w:hAnsi="Verdana" w:cs="Arial"/>
          <w:bCs/>
        </w:rPr>
        <w:t xml:space="preserve">. Al respecto </w:t>
      </w:r>
      <w:r w:rsidR="00FB3869">
        <w:rPr>
          <w:rFonts w:ascii="Verdana" w:eastAsia="Calibri" w:hAnsi="Verdana" w:cs="Arial"/>
          <w:bCs/>
        </w:rPr>
        <w:t xml:space="preserve">indico: </w:t>
      </w:r>
    </w:p>
    <w:p w14:paraId="1847C276" w14:textId="2C3F407D" w:rsidR="00FB3869" w:rsidRPr="00645EAA" w:rsidRDefault="00705E9D"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“A juicio de la Sala, la norma transcrita</w:t>
      </w:r>
      <w:r w:rsidR="005A1B96" w:rsidRPr="00645EAA">
        <w:rPr>
          <w:rFonts w:ascii="Verdana" w:eastAsia="Calibri" w:hAnsi="Verdana" w:cs="Arial"/>
          <w:bCs/>
          <w:sz w:val="20"/>
          <w:szCs w:val="20"/>
        </w:rPr>
        <w:t xml:space="preserve"> [art. 33, Ley 1286 de 2009]</w:t>
      </w:r>
      <w:r w:rsidRPr="00645EAA">
        <w:rPr>
          <w:rFonts w:ascii="Verdana" w:eastAsia="Calibri" w:hAnsi="Verdana" w:cs="Arial"/>
          <w:bCs/>
          <w:sz w:val="20"/>
          <w:szCs w:val="20"/>
        </w:rPr>
        <w:t xml:space="preserve"> ratifica lo expuesto en precedencia y lo dicho por la Sección Tercera de esta Corporación en la sentencia del 11 de febrero de 2009 en el sentido de que los contratos que se celebren con el objeto de fomentar la ciencia y tecnología se encuentran sujetos a la ley 80 de 1993 con las</w:t>
      </w:r>
      <w:r w:rsidR="003F488F" w:rsidRPr="00645EAA">
        <w:rPr>
          <w:rFonts w:ascii="Verdana" w:eastAsia="Calibri" w:hAnsi="Verdana" w:cs="Arial"/>
          <w:bCs/>
          <w:sz w:val="20"/>
          <w:szCs w:val="20"/>
        </w:rPr>
        <w:t xml:space="preserve"> modificaciones previstas en la ley 1150, en todo aquello que no esté </w:t>
      </w:r>
      <w:r w:rsidR="003F488F" w:rsidRPr="00645EAA">
        <w:rPr>
          <w:rFonts w:ascii="Verdana" w:eastAsia="Calibri" w:hAnsi="Verdana" w:cs="Arial"/>
          <w:bCs/>
          <w:sz w:val="20"/>
          <w:szCs w:val="20"/>
        </w:rPr>
        <w:lastRenderedPageBreak/>
        <w:t>expresamente regulado en las normas especiales de los decretos — leyes 393 y 591 de 1991.</w:t>
      </w:r>
    </w:p>
    <w:p w14:paraId="6C540042" w14:textId="720A9BC4" w:rsidR="005A1B96" w:rsidRPr="00645EAA" w:rsidRDefault="005A1B96"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Igualmente ratifica </w:t>
      </w:r>
      <w:proofErr w:type="gramStart"/>
      <w:r w:rsidRPr="00645EAA">
        <w:rPr>
          <w:rFonts w:ascii="Verdana" w:eastAsia="Calibri" w:hAnsi="Verdana" w:cs="Arial"/>
          <w:bCs/>
          <w:sz w:val="20"/>
          <w:szCs w:val="20"/>
        </w:rPr>
        <w:t>que</w:t>
      </w:r>
      <w:proofErr w:type="gramEnd"/>
      <w:r w:rsidRPr="00645EAA">
        <w:rPr>
          <w:rFonts w:ascii="Verdana" w:eastAsia="Calibri" w:hAnsi="Verdana" w:cs="Arial"/>
          <w:bCs/>
          <w:sz w:val="20"/>
          <w:szCs w:val="20"/>
        </w:rPr>
        <w:t xml:space="preserve"> en los contratos de ciencia y tecnología, la modalidad de</w:t>
      </w:r>
      <w:r w:rsidR="00645EAA">
        <w:rPr>
          <w:rFonts w:ascii="Verdana" w:eastAsia="Calibri" w:hAnsi="Verdana" w:cs="Arial"/>
          <w:bCs/>
          <w:sz w:val="20"/>
          <w:szCs w:val="20"/>
        </w:rPr>
        <w:t xml:space="preserve"> </w:t>
      </w:r>
      <w:r w:rsidRPr="00645EAA">
        <w:rPr>
          <w:rFonts w:ascii="Verdana" w:eastAsia="Calibri" w:hAnsi="Verdana" w:cs="Arial"/>
          <w:bCs/>
          <w:sz w:val="20"/>
          <w:szCs w:val="20"/>
        </w:rPr>
        <w:t>selección del contratista es la contratación directa, regla plenamente concordante con lo señalado en la ley 80 y la modificación prevista en la ley 1150, expuestas en detalle en el punto 3.2.</w:t>
      </w:r>
    </w:p>
    <w:p w14:paraId="0443C19A" w14:textId="1AE9C937" w:rsidR="003F488F" w:rsidRPr="00645EAA" w:rsidRDefault="003F488F"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1CB2226D" w14:textId="695D064F" w:rsidR="000274E5" w:rsidRPr="00645EAA" w:rsidRDefault="000274E5"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r w:rsidR="00645EAA" w:rsidRPr="00645EAA">
        <w:rPr>
          <w:rFonts w:ascii="Verdana" w:eastAsia="Calibri" w:hAnsi="Verdana" w:cs="Arial"/>
          <w:bCs/>
          <w:sz w:val="20"/>
          <w:szCs w:val="20"/>
        </w:rPr>
        <w:t>L]</w:t>
      </w:r>
      <w:r w:rsidRPr="00645EAA">
        <w:rPr>
          <w:rFonts w:ascii="Verdana" w:eastAsia="Calibri" w:hAnsi="Verdana" w:cs="Arial"/>
          <w:bCs/>
          <w:sz w:val="20"/>
          <w:szCs w:val="20"/>
        </w:rPr>
        <w:t>o dispuesto en ese precepto, no es más que la ratificación</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del principio general de transparencia que rige la contratación estatal el cual se</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desarrolla en la ley 80 de 1993 (arts. 23 y 24), que para el caso concreto de la</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ciencia y tecnología permite concretarlo, además, en la realización de</w:t>
      </w:r>
      <w:r w:rsidR="00645EAA" w:rsidRPr="00645EAA">
        <w:rPr>
          <w:rFonts w:ascii="Verdana" w:eastAsia="Calibri" w:hAnsi="Verdana" w:cs="Arial"/>
          <w:bCs/>
          <w:sz w:val="20"/>
          <w:szCs w:val="20"/>
        </w:rPr>
        <w:t xml:space="preserve"> </w:t>
      </w:r>
      <w:r w:rsidRPr="00645EAA">
        <w:rPr>
          <w:rFonts w:ascii="Verdana" w:eastAsia="Calibri" w:hAnsi="Verdana" w:cs="Arial"/>
          <w:bCs/>
          <w:i/>
          <w:iCs/>
          <w:sz w:val="20"/>
          <w:szCs w:val="20"/>
        </w:rPr>
        <w:t xml:space="preserve">"convocatorias públicas", </w:t>
      </w:r>
      <w:r w:rsidRPr="00645EAA">
        <w:rPr>
          <w:rFonts w:ascii="Verdana" w:eastAsia="Calibri" w:hAnsi="Verdana" w:cs="Arial"/>
          <w:bCs/>
          <w:sz w:val="20"/>
          <w:szCs w:val="20"/>
        </w:rPr>
        <w:t>pero sin que ellas se conviertan en una nueva modalidad</w:t>
      </w:r>
      <w:r w:rsidR="000505A2" w:rsidRPr="00645EAA">
        <w:rPr>
          <w:rFonts w:ascii="Verdana" w:eastAsia="Calibri" w:hAnsi="Verdana" w:cs="Arial"/>
          <w:bCs/>
          <w:sz w:val="20"/>
          <w:szCs w:val="20"/>
        </w:rPr>
        <w:t xml:space="preserve"> </w:t>
      </w:r>
      <w:r w:rsidRPr="00645EAA">
        <w:rPr>
          <w:rFonts w:ascii="Verdana" w:eastAsia="Calibri" w:hAnsi="Verdana" w:cs="Arial"/>
          <w:bCs/>
          <w:sz w:val="20"/>
          <w:szCs w:val="20"/>
        </w:rPr>
        <w:t>de selección de contratistas diferente a la contratación directa prevista en el artículo</w:t>
      </w:r>
      <w:r w:rsidR="000505A2" w:rsidRPr="00645EAA">
        <w:rPr>
          <w:rFonts w:ascii="Verdana" w:eastAsia="Calibri" w:hAnsi="Verdana" w:cs="Arial"/>
          <w:bCs/>
          <w:sz w:val="20"/>
          <w:szCs w:val="20"/>
        </w:rPr>
        <w:t xml:space="preserve"> </w:t>
      </w:r>
      <w:r w:rsidRPr="00645EAA">
        <w:rPr>
          <w:rFonts w:ascii="Verdana" w:eastAsia="Calibri" w:hAnsi="Verdana" w:cs="Arial"/>
          <w:bCs/>
          <w:sz w:val="20"/>
          <w:szCs w:val="20"/>
        </w:rPr>
        <w:t>33 de la ley 1286, en concordancia con la leyes 80 y 1150, según se ha explicado.</w:t>
      </w:r>
    </w:p>
    <w:p w14:paraId="5616D96C" w14:textId="77777777" w:rsidR="00645EAA" w:rsidRPr="00645EAA" w:rsidRDefault="000274E5" w:rsidP="00645EAA">
      <w:pPr>
        <w:spacing w:after="120" w:line="240" w:lineRule="auto"/>
        <w:ind w:left="709" w:right="709"/>
        <w:jc w:val="both"/>
        <w:rPr>
          <w:rFonts w:ascii="Verdana" w:eastAsia="Calibri" w:hAnsi="Verdana" w:cs="Arial"/>
          <w:bCs/>
          <w:i/>
          <w:iCs/>
          <w:sz w:val="20"/>
          <w:szCs w:val="20"/>
        </w:rPr>
      </w:pPr>
      <w:r w:rsidRPr="00645EAA">
        <w:rPr>
          <w:rFonts w:ascii="Verdana" w:eastAsia="Calibri" w:hAnsi="Verdana" w:cs="Arial"/>
          <w:bCs/>
          <w:sz w:val="20"/>
          <w:szCs w:val="20"/>
        </w:rPr>
        <w:t xml:space="preserve">En efecto, Colciencias expidió la resolución 00389 de 2009 </w:t>
      </w:r>
      <w:r w:rsidRPr="00645EAA">
        <w:rPr>
          <w:rFonts w:ascii="Verdana" w:eastAsia="Calibri" w:hAnsi="Verdana" w:cs="Arial"/>
          <w:bCs/>
          <w:i/>
          <w:iCs/>
          <w:sz w:val="20"/>
          <w:szCs w:val="20"/>
        </w:rPr>
        <w:t>"por la cual se adopta</w:t>
      </w:r>
      <w:r w:rsidR="000505A2" w:rsidRPr="00645EAA">
        <w:rPr>
          <w:rFonts w:ascii="Verdana" w:eastAsia="Calibri" w:hAnsi="Verdana" w:cs="Arial"/>
          <w:bCs/>
          <w:i/>
          <w:iCs/>
          <w:sz w:val="20"/>
          <w:szCs w:val="20"/>
        </w:rPr>
        <w:t xml:space="preserve"> </w:t>
      </w:r>
      <w:r w:rsidRPr="00645EAA">
        <w:rPr>
          <w:rFonts w:ascii="Verdana" w:eastAsia="Calibri" w:hAnsi="Verdana" w:cs="Arial"/>
          <w:bCs/>
          <w:i/>
          <w:iCs/>
          <w:sz w:val="20"/>
          <w:szCs w:val="20"/>
        </w:rPr>
        <w:t xml:space="preserve">el Manual de Contratación", </w:t>
      </w:r>
      <w:r w:rsidRPr="00645EAA">
        <w:rPr>
          <w:rFonts w:ascii="Verdana" w:eastAsia="Calibri" w:hAnsi="Verdana" w:cs="Arial"/>
          <w:bCs/>
          <w:sz w:val="20"/>
          <w:szCs w:val="20"/>
        </w:rPr>
        <w:t>en donde se establece un procedimiento</w:t>
      </w:r>
      <w:r w:rsidR="000505A2" w:rsidRPr="00645EAA">
        <w:rPr>
          <w:rFonts w:ascii="Verdana" w:eastAsia="Calibri" w:hAnsi="Verdana" w:cs="Arial"/>
          <w:bCs/>
          <w:sz w:val="20"/>
          <w:szCs w:val="20"/>
        </w:rPr>
        <w:t xml:space="preserve"> </w:t>
      </w:r>
      <w:r w:rsidRPr="00645EAA">
        <w:rPr>
          <w:rFonts w:ascii="Verdana" w:eastAsia="Calibri" w:hAnsi="Verdana" w:cs="Arial"/>
          <w:bCs/>
          <w:sz w:val="20"/>
          <w:szCs w:val="20"/>
        </w:rPr>
        <w:t xml:space="preserve">sobre convocatorias públicas. </w:t>
      </w:r>
      <w:r w:rsidRPr="00645EAA">
        <w:rPr>
          <w:rFonts w:ascii="Verdana" w:eastAsia="Calibri" w:hAnsi="Verdana" w:cs="Arial"/>
          <w:bCs/>
          <w:i/>
          <w:iCs/>
          <w:sz w:val="20"/>
          <w:szCs w:val="20"/>
        </w:rPr>
        <w:t>Si bien el procedimiento permite aplicar el principio</w:t>
      </w:r>
      <w:r w:rsidR="000505A2" w:rsidRPr="00645EAA">
        <w:rPr>
          <w:rFonts w:ascii="Verdana" w:eastAsia="Calibri" w:hAnsi="Verdana" w:cs="Arial"/>
          <w:bCs/>
          <w:i/>
          <w:iCs/>
          <w:sz w:val="20"/>
          <w:szCs w:val="20"/>
        </w:rPr>
        <w:t xml:space="preserve"> </w:t>
      </w:r>
      <w:r w:rsidRPr="00645EAA">
        <w:rPr>
          <w:rFonts w:ascii="Verdana" w:eastAsia="Calibri" w:hAnsi="Verdana" w:cs="Arial"/>
          <w:bCs/>
          <w:i/>
          <w:iCs/>
          <w:sz w:val="20"/>
          <w:szCs w:val="20"/>
        </w:rPr>
        <w:t>de transparencia, de acuerdo con la ley, tanto la 80, la 1150 y la 1286, no</w:t>
      </w:r>
      <w:r w:rsidR="000505A2" w:rsidRPr="00645EAA">
        <w:rPr>
          <w:rFonts w:ascii="Verdana" w:eastAsia="Calibri" w:hAnsi="Verdana" w:cs="Arial"/>
          <w:bCs/>
          <w:i/>
          <w:iCs/>
          <w:sz w:val="20"/>
          <w:szCs w:val="20"/>
        </w:rPr>
        <w:t xml:space="preserve"> </w:t>
      </w:r>
      <w:r w:rsidRPr="00645EAA">
        <w:rPr>
          <w:rFonts w:ascii="Verdana" w:eastAsia="Calibri" w:hAnsi="Verdana" w:cs="Arial"/>
          <w:bCs/>
          <w:i/>
          <w:iCs/>
          <w:sz w:val="20"/>
          <w:szCs w:val="20"/>
        </w:rPr>
        <w:t>significa un sistema de licitación o concurso singular, sino aplicar dicho</w:t>
      </w:r>
      <w:r w:rsidR="000505A2" w:rsidRPr="00645EAA">
        <w:rPr>
          <w:rFonts w:ascii="Verdana" w:eastAsia="Calibri" w:hAnsi="Verdana" w:cs="Arial"/>
          <w:bCs/>
          <w:i/>
          <w:iCs/>
          <w:sz w:val="20"/>
          <w:szCs w:val="20"/>
        </w:rPr>
        <w:t xml:space="preserve"> </w:t>
      </w:r>
      <w:r w:rsidRPr="00645EAA">
        <w:rPr>
          <w:rFonts w:ascii="Verdana" w:eastAsia="Calibri" w:hAnsi="Verdana" w:cs="Arial"/>
          <w:bCs/>
          <w:i/>
          <w:iCs/>
          <w:sz w:val="20"/>
          <w:szCs w:val="20"/>
        </w:rPr>
        <w:t>principio en la contratación directa.</w:t>
      </w:r>
      <w:r w:rsidR="000505A2" w:rsidRPr="00645EAA">
        <w:rPr>
          <w:rFonts w:ascii="Verdana" w:eastAsia="Calibri" w:hAnsi="Verdana" w:cs="Arial"/>
          <w:bCs/>
          <w:i/>
          <w:iCs/>
          <w:sz w:val="20"/>
          <w:szCs w:val="20"/>
        </w:rPr>
        <w:t xml:space="preserve"> </w:t>
      </w:r>
    </w:p>
    <w:p w14:paraId="26D18D4A" w14:textId="69B0E8D2" w:rsidR="000274E5" w:rsidRPr="00645EAA" w:rsidRDefault="000274E5"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De esta manera, una interpretación sistemática de los artículos 4 num. 5 y 33 de</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la ley 1286, lleva a sostener que en los contratos cuyo objeto es la realización de</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actividades de ciencia y tecnología, la modalidad de selección aplicable es la</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contratación directa, la cual puede instrumentarse mediante convocatorias</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públicas que permitan pluralidad de ofertas y concurrencia de oferentes con miras a</w:t>
      </w:r>
      <w:r w:rsidR="00645EAA" w:rsidRPr="00645EAA">
        <w:rPr>
          <w:rFonts w:ascii="Verdana" w:eastAsia="Calibri" w:hAnsi="Verdana" w:cs="Arial"/>
          <w:bCs/>
          <w:sz w:val="20"/>
          <w:szCs w:val="20"/>
        </w:rPr>
        <w:t xml:space="preserve"> </w:t>
      </w:r>
      <w:r w:rsidRPr="00645EAA">
        <w:rPr>
          <w:rFonts w:ascii="Verdana" w:eastAsia="Calibri" w:hAnsi="Verdana" w:cs="Arial"/>
          <w:bCs/>
          <w:sz w:val="20"/>
          <w:szCs w:val="20"/>
        </w:rPr>
        <w:t>realizar el principio de selección objetiva ínsito en la contratación pública.</w:t>
      </w:r>
    </w:p>
    <w:p w14:paraId="573DC7DA" w14:textId="38DD0D8E" w:rsidR="00FB3869" w:rsidRPr="00645EAA" w:rsidRDefault="000505A2"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53487DD8" w14:textId="390253BE" w:rsidR="00FB3869" w:rsidRPr="00645EAA" w:rsidRDefault="00645EAA" w:rsidP="00645EAA">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[E]s menester </w:t>
      </w:r>
      <w:r w:rsidRPr="00645EAA">
        <w:rPr>
          <w:rFonts w:ascii="Verdana" w:eastAsia="Calibri" w:hAnsi="Verdana" w:cs="Arial"/>
          <w:bCs/>
          <w:i/>
          <w:iCs/>
          <w:sz w:val="20"/>
          <w:szCs w:val="20"/>
        </w:rPr>
        <w:t>concluir que en los contratos de ciencia y tecnología no podrá acudirse a la modalidad de contratación directa dentro del ámbito temporal en que la prohibición prevista en el artículo 33 de la ley estatutaria 996 de 2005 produce sus efectos jurídicos</w:t>
      </w:r>
      <w:r w:rsidRPr="00645EAA">
        <w:rPr>
          <w:rFonts w:ascii="Verdana" w:eastAsia="Calibri" w:hAnsi="Verdana" w:cs="Arial"/>
          <w:bCs/>
          <w:sz w:val="20"/>
          <w:szCs w:val="20"/>
        </w:rPr>
        <w:t xml:space="preserve">, en atención a que la prohibición temporal contenida en </w:t>
      </w:r>
      <w:r w:rsidR="00A72ECA" w:rsidRPr="00645EAA">
        <w:rPr>
          <w:rFonts w:ascii="Verdana" w:eastAsia="Calibri" w:hAnsi="Verdana" w:cs="Arial"/>
          <w:bCs/>
          <w:sz w:val="20"/>
          <w:szCs w:val="20"/>
        </w:rPr>
        <w:t>ésta</w:t>
      </w:r>
      <w:r w:rsidRPr="00645EAA">
        <w:rPr>
          <w:rFonts w:ascii="Verdana" w:eastAsia="Calibri" w:hAnsi="Verdana" w:cs="Arial"/>
          <w:bCs/>
          <w:sz w:val="20"/>
          <w:szCs w:val="20"/>
        </w:rPr>
        <w:t xml:space="preserve"> se aplica también a los contratos de derecho público de ciencia y tecnología”</w:t>
      </w:r>
      <w:r w:rsidRPr="00645EAA">
        <w:rPr>
          <w:rStyle w:val="Refdenotaalpie"/>
          <w:rFonts w:ascii="Verdana" w:eastAsia="Calibri" w:hAnsi="Verdana" w:cs="Arial"/>
          <w:bCs/>
        </w:rPr>
        <w:t xml:space="preserve"> </w:t>
      </w:r>
      <w:r>
        <w:rPr>
          <w:rFonts w:ascii="Verdana" w:eastAsia="Calibri" w:hAnsi="Verdana" w:cs="Arial"/>
          <w:bCs/>
        </w:rPr>
        <w:t>[Énfasis fuera de texto]</w:t>
      </w:r>
      <w:r>
        <w:rPr>
          <w:rStyle w:val="Refdenotaalpie"/>
          <w:rFonts w:ascii="Verdana" w:eastAsia="Calibri" w:hAnsi="Verdana" w:cs="Arial"/>
          <w:bCs/>
        </w:rPr>
        <w:footnoteReference w:id="32"/>
      </w:r>
    </w:p>
    <w:p w14:paraId="6FF5F0E2" w14:textId="7828E0E4" w:rsidR="003638B0" w:rsidRDefault="005F6ECA" w:rsidP="00A54690">
      <w:pPr>
        <w:spacing w:after="120" w:line="276" w:lineRule="auto"/>
        <w:ind w:firstLine="708"/>
        <w:jc w:val="both"/>
        <w:rPr>
          <w:rFonts w:ascii="Verdana" w:eastAsia="Calibri" w:hAnsi="Verdana" w:cs="Arial"/>
          <w:bCs/>
        </w:rPr>
      </w:pPr>
      <w:r>
        <w:rPr>
          <w:rFonts w:ascii="Verdana" w:eastAsia="Calibri" w:hAnsi="Verdana" w:cs="Arial"/>
          <w:bCs/>
        </w:rPr>
        <w:t xml:space="preserve">En este pronunciamiento </w:t>
      </w:r>
      <w:r w:rsidR="00BA6737">
        <w:rPr>
          <w:rFonts w:ascii="Verdana" w:eastAsia="Calibri" w:hAnsi="Verdana" w:cs="Arial"/>
          <w:bCs/>
        </w:rPr>
        <w:t xml:space="preserve">se determinó que </w:t>
      </w:r>
      <w:r w:rsidR="00CF2FB7">
        <w:rPr>
          <w:rFonts w:ascii="Verdana" w:eastAsia="Calibri" w:hAnsi="Verdana" w:cs="Arial"/>
          <w:bCs/>
        </w:rPr>
        <w:t>dada la naturaleza de la ley 996 de 2005, la aplicación de</w:t>
      </w:r>
      <w:r w:rsidR="001015C3">
        <w:rPr>
          <w:rFonts w:ascii="Verdana" w:eastAsia="Calibri" w:hAnsi="Verdana" w:cs="Arial"/>
          <w:bCs/>
        </w:rPr>
        <w:t xml:space="preserve"> su</w:t>
      </w:r>
      <w:r w:rsidR="00CF2FB7">
        <w:rPr>
          <w:rFonts w:ascii="Verdana" w:eastAsia="Calibri" w:hAnsi="Verdana" w:cs="Arial"/>
          <w:bCs/>
        </w:rPr>
        <w:t xml:space="preserve"> </w:t>
      </w:r>
      <w:r w:rsidR="001015C3">
        <w:rPr>
          <w:rFonts w:ascii="Verdana" w:eastAsia="Calibri" w:hAnsi="Verdana" w:cs="Arial"/>
          <w:bCs/>
        </w:rPr>
        <w:t>a</w:t>
      </w:r>
      <w:r w:rsidR="001015C3" w:rsidRPr="001015C3">
        <w:rPr>
          <w:rFonts w:ascii="Verdana" w:eastAsia="Calibri" w:hAnsi="Verdana" w:cs="Arial"/>
          <w:bCs/>
        </w:rPr>
        <w:t xml:space="preserve">rtículo 33 prevalece sobre cualquier régimen </w:t>
      </w:r>
      <w:r w:rsidR="001015C3" w:rsidRPr="001015C3">
        <w:rPr>
          <w:rFonts w:ascii="Verdana" w:eastAsia="Calibri" w:hAnsi="Verdana" w:cs="Arial"/>
          <w:bCs/>
        </w:rPr>
        <w:lastRenderedPageBreak/>
        <w:t xml:space="preserve">de contratación aplicable, ya sea el contenido en el Estatuto General de Contratación de la Administración Pública - ley 80 de 1993 con las modificaciones de la ley 1150 de 2007-, o uno especial </w:t>
      </w:r>
      <w:r w:rsidR="003638B0" w:rsidRPr="001015C3">
        <w:rPr>
          <w:rFonts w:ascii="Verdana" w:eastAsia="Calibri" w:hAnsi="Verdana" w:cs="Arial"/>
          <w:bCs/>
        </w:rPr>
        <w:t>debido al</w:t>
      </w:r>
      <w:r w:rsidR="001015C3" w:rsidRPr="001015C3">
        <w:rPr>
          <w:rFonts w:ascii="Verdana" w:eastAsia="Calibri" w:hAnsi="Verdana" w:cs="Arial"/>
          <w:bCs/>
        </w:rPr>
        <w:t xml:space="preserve"> objeto el contrato o de la entidad u órgano que contrata.</w:t>
      </w:r>
      <w:r w:rsidR="003638B0">
        <w:rPr>
          <w:rFonts w:ascii="Verdana" w:eastAsia="Calibri" w:hAnsi="Verdana" w:cs="Arial"/>
          <w:bCs/>
        </w:rPr>
        <w:t xml:space="preserve"> </w:t>
      </w:r>
    </w:p>
    <w:p w14:paraId="291DB7D1" w14:textId="54FC4918" w:rsidR="00AE0C3B" w:rsidRDefault="00295C67" w:rsidP="003638B0">
      <w:pPr>
        <w:spacing w:after="120" w:line="276" w:lineRule="auto"/>
        <w:ind w:firstLine="708"/>
        <w:jc w:val="both"/>
        <w:rPr>
          <w:rFonts w:ascii="Verdana" w:eastAsia="Calibri" w:hAnsi="Verdana" w:cs="Arial"/>
          <w:bCs/>
        </w:rPr>
      </w:pPr>
      <w:r>
        <w:rPr>
          <w:rFonts w:ascii="Verdana" w:eastAsia="Calibri" w:hAnsi="Verdana" w:cs="Arial"/>
          <w:bCs/>
        </w:rPr>
        <w:t>Así las cosas</w:t>
      </w:r>
      <w:r w:rsidR="00067B07">
        <w:rPr>
          <w:rFonts w:ascii="Verdana" w:eastAsia="Calibri" w:hAnsi="Verdana" w:cs="Arial"/>
          <w:bCs/>
        </w:rPr>
        <w:t xml:space="preserve">, tratándose de contratos de ciencia y tecnología, es clara la sala en afirmar que la modalidad de selección del contratista es la contratación directa, </w:t>
      </w:r>
      <w:r w:rsidR="0004570A">
        <w:rPr>
          <w:rFonts w:ascii="Verdana" w:eastAsia="Calibri" w:hAnsi="Verdana" w:cs="Arial"/>
          <w:bCs/>
        </w:rPr>
        <w:t xml:space="preserve">regla plenamente concordante con lo señalado en la </w:t>
      </w:r>
      <w:r w:rsidR="00DA1764">
        <w:rPr>
          <w:rFonts w:ascii="Verdana" w:eastAsia="Calibri" w:hAnsi="Verdana" w:cs="Arial"/>
          <w:bCs/>
        </w:rPr>
        <w:t>L</w:t>
      </w:r>
      <w:r w:rsidR="0004570A">
        <w:rPr>
          <w:rFonts w:ascii="Verdana" w:eastAsia="Calibri" w:hAnsi="Verdana" w:cs="Arial"/>
          <w:bCs/>
        </w:rPr>
        <w:t xml:space="preserve">ey 80 </w:t>
      </w:r>
      <w:r w:rsidR="00DA1764">
        <w:rPr>
          <w:rFonts w:ascii="Verdana" w:eastAsia="Calibri" w:hAnsi="Verdana" w:cs="Arial"/>
          <w:bCs/>
        </w:rPr>
        <w:t>de 1993</w:t>
      </w:r>
      <w:r w:rsidR="0004570A">
        <w:rPr>
          <w:rFonts w:ascii="Verdana" w:eastAsia="Calibri" w:hAnsi="Verdana" w:cs="Arial"/>
          <w:bCs/>
        </w:rPr>
        <w:t xml:space="preserve"> y la modificación prevista en la </w:t>
      </w:r>
      <w:r w:rsidR="003F6D28">
        <w:rPr>
          <w:rFonts w:ascii="Verdana" w:eastAsia="Calibri" w:hAnsi="Verdana" w:cs="Arial"/>
          <w:bCs/>
        </w:rPr>
        <w:t>L</w:t>
      </w:r>
      <w:r w:rsidR="0004570A">
        <w:rPr>
          <w:rFonts w:ascii="Verdana" w:eastAsia="Calibri" w:hAnsi="Verdana" w:cs="Arial"/>
          <w:bCs/>
        </w:rPr>
        <w:t>ey 1150</w:t>
      </w:r>
      <w:r w:rsidR="00DA1764">
        <w:rPr>
          <w:rFonts w:ascii="Verdana" w:eastAsia="Calibri" w:hAnsi="Verdana" w:cs="Arial"/>
          <w:bCs/>
        </w:rPr>
        <w:t xml:space="preserve"> de 2007</w:t>
      </w:r>
      <w:r w:rsidR="0004570A">
        <w:rPr>
          <w:rFonts w:ascii="Verdana" w:eastAsia="Calibri" w:hAnsi="Verdana" w:cs="Arial"/>
          <w:bCs/>
        </w:rPr>
        <w:t xml:space="preserve">. </w:t>
      </w:r>
      <w:r>
        <w:rPr>
          <w:rFonts w:ascii="Verdana" w:eastAsia="Calibri" w:hAnsi="Verdana" w:cs="Arial"/>
          <w:bCs/>
        </w:rPr>
        <w:t>Bajo este contexto</w:t>
      </w:r>
      <w:r w:rsidR="006B7E8D">
        <w:rPr>
          <w:rFonts w:ascii="Verdana" w:eastAsia="Calibri" w:hAnsi="Verdana" w:cs="Arial"/>
          <w:bCs/>
        </w:rPr>
        <w:t xml:space="preserve">, </w:t>
      </w:r>
      <w:r w:rsidR="000A3123">
        <w:rPr>
          <w:rFonts w:ascii="Verdana" w:eastAsia="Calibri" w:hAnsi="Verdana" w:cs="Arial"/>
          <w:bCs/>
        </w:rPr>
        <w:t>se</w:t>
      </w:r>
      <w:r w:rsidR="00403A56" w:rsidRPr="00403A56">
        <w:rPr>
          <w:rFonts w:ascii="Verdana" w:eastAsia="Calibri" w:hAnsi="Verdana" w:cs="Arial"/>
          <w:bCs/>
        </w:rPr>
        <w:t xml:space="preserve"> </w:t>
      </w:r>
      <w:r w:rsidR="000A3123">
        <w:rPr>
          <w:rFonts w:ascii="Verdana" w:eastAsia="Calibri" w:hAnsi="Verdana" w:cs="Arial"/>
          <w:bCs/>
        </w:rPr>
        <w:t>sostiene</w:t>
      </w:r>
      <w:r w:rsidR="00403A56" w:rsidRPr="00403A56">
        <w:rPr>
          <w:rFonts w:ascii="Verdana" w:eastAsia="Calibri" w:hAnsi="Verdana" w:cs="Arial"/>
          <w:bCs/>
        </w:rPr>
        <w:t xml:space="preserve"> que en los contratos cuyo objeto es la realización de actividades de ciencia y tecnología, la modalidad de selección aplicable es la contratación directa, la cual puede instrumentarse mediante </w:t>
      </w:r>
      <w:r w:rsidR="00403A56" w:rsidRPr="00DA1764">
        <w:rPr>
          <w:rFonts w:ascii="Verdana" w:eastAsia="Calibri" w:hAnsi="Verdana" w:cs="Arial"/>
          <w:i/>
        </w:rPr>
        <w:t>convocatorias públicas</w:t>
      </w:r>
      <w:r w:rsidR="00403A56" w:rsidRPr="00403A56">
        <w:rPr>
          <w:rFonts w:ascii="Verdana" w:eastAsia="Calibri" w:hAnsi="Verdana" w:cs="Arial"/>
          <w:bCs/>
        </w:rPr>
        <w:t xml:space="preserve"> </w:t>
      </w:r>
      <w:r w:rsidR="00DA1764">
        <w:rPr>
          <w:rFonts w:ascii="Verdana" w:eastAsia="Calibri" w:hAnsi="Verdana" w:cs="Arial"/>
          <w:bCs/>
        </w:rPr>
        <w:t>tendientes</w:t>
      </w:r>
      <w:r w:rsidR="00403A56" w:rsidRPr="00403A56">
        <w:rPr>
          <w:rFonts w:ascii="Verdana" w:eastAsia="Calibri" w:hAnsi="Verdana" w:cs="Arial"/>
          <w:bCs/>
        </w:rPr>
        <w:t xml:space="preserve"> </w:t>
      </w:r>
      <w:r w:rsidR="00DA1764">
        <w:rPr>
          <w:rFonts w:ascii="Verdana" w:eastAsia="Calibri" w:hAnsi="Verdana" w:cs="Arial"/>
          <w:bCs/>
        </w:rPr>
        <w:t xml:space="preserve">garantizar </w:t>
      </w:r>
      <w:r w:rsidR="00DA1764" w:rsidRPr="00DA1764">
        <w:rPr>
          <w:rFonts w:ascii="Verdana" w:eastAsia="Calibri" w:hAnsi="Verdana" w:cs="Arial"/>
          <w:bCs/>
          <w:i/>
          <w:iCs/>
        </w:rPr>
        <w:t>transparencia</w:t>
      </w:r>
      <w:r w:rsidR="00DA1764">
        <w:rPr>
          <w:rFonts w:ascii="Verdana" w:eastAsia="Calibri" w:hAnsi="Verdana" w:cs="Arial"/>
          <w:bCs/>
        </w:rPr>
        <w:t xml:space="preserve"> </w:t>
      </w:r>
      <w:r w:rsidR="0038115E">
        <w:rPr>
          <w:rFonts w:ascii="Verdana" w:eastAsia="Calibri" w:hAnsi="Verdana" w:cs="Arial"/>
          <w:bCs/>
        </w:rPr>
        <w:t xml:space="preserve">y </w:t>
      </w:r>
      <w:r w:rsidR="0038115E" w:rsidRPr="0038115E">
        <w:rPr>
          <w:rFonts w:ascii="Verdana" w:eastAsia="Calibri" w:hAnsi="Verdana" w:cs="Arial"/>
          <w:bCs/>
          <w:i/>
          <w:iCs/>
        </w:rPr>
        <w:t>objetividad</w:t>
      </w:r>
      <w:r w:rsidR="0038115E">
        <w:rPr>
          <w:rFonts w:ascii="Verdana" w:eastAsia="Calibri" w:hAnsi="Verdana" w:cs="Arial"/>
          <w:bCs/>
        </w:rPr>
        <w:t xml:space="preserve"> </w:t>
      </w:r>
      <w:r w:rsidR="00DA1764">
        <w:rPr>
          <w:rFonts w:ascii="Verdana" w:eastAsia="Calibri" w:hAnsi="Verdana" w:cs="Arial"/>
          <w:bCs/>
        </w:rPr>
        <w:t xml:space="preserve">en la celebración de este tipo contratos. No obstante, conforme explica </w:t>
      </w:r>
      <w:r w:rsidR="001752EA">
        <w:rPr>
          <w:rFonts w:ascii="Verdana" w:eastAsia="Calibri" w:hAnsi="Verdana" w:cs="Arial"/>
          <w:bCs/>
        </w:rPr>
        <w:t>el Consejo de Estado,</w:t>
      </w:r>
      <w:r w:rsidR="007554D3">
        <w:rPr>
          <w:rFonts w:ascii="Verdana" w:eastAsia="Calibri" w:hAnsi="Verdana" w:cs="Arial"/>
          <w:bCs/>
        </w:rPr>
        <w:t xml:space="preserve"> el</w:t>
      </w:r>
      <w:r w:rsidR="001752EA">
        <w:rPr>
          <w:rFonts w:ascii="Verdana" w:eastAsia="Calibri" w:hAnsi="Verdana" w:cs="Arial"/>
          <w:bCs/>
        </w:rPr>
        <w:t xml:space="preserve"> desarroll</w:t>
      </w:r>
      <w:r w:rsidR="007554D3">
        <w:rPr>
          <w:rFonts w:ascii="Verdana" w:eastAsia="Calibri" w:hAnsi="Verdana" w:cs="Arial"/>
          <w:bCs/>
        </w:rPr>
        <w:t>o</w:t>
      </w:r>
      <w:r w:rsidR="001752EA">
        <w:rPr>
          <w:rFonts w:ascii="Verdana" w:eastAsia="Calibri" w:hAnsi="Verdana" w:cs="Arial"/>
          <w:bCs/>
        </w:rPr>
        <w:t xml:space="preserve"> </w:t>
      </w:r>
      <w:r w:rsidR="007554D3">
        <w:rPr>
          <w:rFonts w:ascii="Verdana" w:eastAsia="Calibri" w:hAnsi="Verdana" w:cs="Arial"/>
          <w:bCs/>
        </w:rPr>
        <w:t xml:space="preserve">de </w:t>
      </w:r>
      <w:r w:rsidR="001752EA">
        <w:rPr>
          <w:rFonts w:ascii="Verdana" w:eastAsia="Calibri" w:hAnsi="Verdana" w:cs="Arial"/>
          <w:bCs/>
        </w:rPr>
        <w:t xml:space="preserve">este tipo de convocatorias, disimiles de los procesos de selección del EGCAP, </w:t>
      </w:r>
      <w:r w:rsidR="007554D3">
        <w:rPr>
          <w:rFonts w:ascii="Verdana" w:eastAsia="Calibri" w:hAnsi="Verdana" w:cs="Arial"/>
          <w:bCs/>
        </w:rPr>
        <w:t xml:space="preserve">no </w:t>
      </w:r>
      <w:r w:rsidR="00736A0F">
        <w:rPr>
          <w:rFonts w:ascii="Verdana" w:eastAsia="Calibri" w:hAnsi="Verdana" w:cs="Arial"/>
          <w:bCs/>
        </w:rPr>
        <w:t>quiere decir que estos contratos no se celebren de manera directa, de acuerdo con el art</w:t>
      </w:r>
      <w:r w:rsidR="006E018D">
        <w:rPr>
          <w:rFonts w:ascii="Verdana" w:eastAsia="Calibri" w:hAnsi="Verdana" w:cs="Arial"/>
          <w:bCs/>
        </w:rPr>
        <w:t xml:space="preserve">ículo 33 de la Ley 1286 de 2009. </w:t>
      </w:r>
      <w:r w:rsidR="00DA1764">
        <w:rPr>
          <w:rFonts w:ascii="Verdana" w:eastAsia="Calibri" w:hAnsi="Verdana" w:cs="Arial"/>
          <w:bCs/>
        </w:rPr>
        <w:t xml:space="preserve"> </w:t>
      </w:r>
    </w:p>
    <w:p w14:paraId="740FF941" w14:textId="5E41404C" w:rsidR="00BA4273" w:rsidRPr="005548E3" w:rsidRDefault="0038115E" w:rsidP="00BD6251">
      <w:pPr>
        <w:spacing w:after="120" w:line="276" w:lineRule="auto"/>
        <w:ind w:firstLine="708"/>
        <w:jc w:val="both"/>
        <w:rPr>
          <w:rFonts w:ascii="Verdana" w:eastAsia="Calibri" w:hAnsi="Verdana" w:cs="Arial"/>
          <w:bCs/>
        </w:rPr>
      </w:pPr>
      <w:r>
        <w:rPr>
          <w:rFonts w:ascii="Verdana" w:eastAsia="Calibri" w:hAnsi="Verdana" w:cs="Arial"/>
          <w:bCs/>
        </w:rPr>
        <w:t xml:space="preserve">De acuerdo con lo anterior, </w:t>
      </w:r>
      <w:r w:rsidR="00C87F70">
        <w:rPr>
          <w:rFonts w:ascii="Verdana" w:eastAsia="Calibri" w:hAnsi="Verdana" w:cs="Arial"/>
          <w:bCs/>
        </w:rPr>
        <w:t>es posible concluir que, en vigencia de</w:t>
      </w:r>
      <w:r w:rsidR="00CE5B4E">
        <w:rPr>
          <w:rFonts w:ascii="Verdana" w:eastAsia="Calibri" w:hAnsi="Verdana" w:cs="Arial"/>
          <w:bCs/>
        </w:rPr>
        <w:t xml:space="preserve"> la restricción </w:t>
      </w:r>
      <w:r w:rsidR="00283B96">
        <w:rPr>
          <w:rFonts w:ascii="Verdana" w:eastAsia="Calibri" w:hAnsi="Verdana" w:cs="Arial"/>
          <w:bCs/>
        </w:rPr>
        <w:t xml:space="preserve">del artículo 33 de la Ley </w:t>
      </w:r>
      <w:r w:rsidR="00122294">
        <w:rPr>
          <w:rFonts w:ascii="Verdana" w:eastAsia="Calibri" w:hAnsi="Verdana" w:cs="Arial"/>
          <w:bCs/>
        </w:rPr>
        <w:t>996 de 2005</w:t>
      </w:r>
      <w:r w:rsidR="006C5E1A">
        <w:rPr>
          <w:rFonts w:ascii="Verdana" w:eastAsia="Calibri" w:hAnsi="Verdana" w:cs="Arial"/>
          <w:bCs/>
        </w:rPr>
        <w:t>, no resulta jurídicamente</w:t>
      </w:r>
      <w:r w:rsidR="00C87F70">
        <w:rPr>
          <w:rFonts w:ascii="Verdana" w:eastAsia="Calibri" w:hAnsi="Verdana" w:cs="Arial"/>
          <w:bCs/>
        </w:rPr>
        <w:t xml:space="preserve"> </w:t>
      </w:r>
      <w:r w:rsidR="006C5E1A">
        <w:rPr>
          <w:rFonts w:ascii="Verdana" w:eastAsia="Calibri" w:hAnsi="Verdana" w:cs="Arial"/>
          <w:bCs/>
        </w:rPr>
        <w:t>viable</w:t>
      </w:r>
      <w:r w:rsidR="008B725C">
        <w:rPr>
          <w:rFonts w:ascii="Verdana" w:eastAsia="Calibri" w:hAnsi="Verdana" w:cs="Arial"/>
          <w:bCs/>
        </w:rPr>
        <w:t xml:space="preserve"> suscri</w:t>
      </w:r>
      <w:r w:rsidR="00122294">
        <w:rPr>
          <w:rFonts w:ascii="Verdana" w:eastAsia="Calibri" w:hAnsi="Verdana" w:cs="Arial"/>
          <w:bCs/>
        </w:rPr>
        <w:t>bir</w:t>
      </w:r>
      <w:r w:rsidR="008B725C">
        <w:rPr>
          <w:rFonts w:ascii="Verdana" w:eastAsia="Calibri" w:hAnsi="Verdana" w:cs="Arial"/>
          <w:bCs/>
        </w:rPr>
        <w:t xml:space="preserve"> </w:t>
      </w:r>
      <w:r w:rsidR="00BD6251" w:rsidRPr="00BD6251">
        <w:rPr>
          <w:rFonts w:ascii="Verdana" w:eastAsia="Calibri" w:hAnsi="Verdana" w:cs="Arial"/>
          <w:bCs/>
        </w:rPr>
        <w:t>contratos de ciencia y tecnología</w:t>
      </w:r>
      <w:r w:rsidR="00122294">
        <w:rPr>
          <w:rFonts w:ascii="Verdana" w:eastAsia="Calibri" w:hAnsi="Verdana" w:cs="Arial"/>
          <w:bCs/>
        </w:rPr>
        <w:t xml:space="preserve">, </w:t>
      </w:r>
      <w:r w:rsidR="008B782D">
        <w:rPr>
          <w:rFonts w:ascii="Verdana" w:eastAsia="Calibri" w:hAnsi="Verdana" w:cs="Arial"/>
          <w:bCs/>
        </w:rPr>
        <w:t>como</w:t>
      </w:r>
      <w:r w:rsidR="00CE08F5">
        <w:rPr>
          <w:rFonts w:ascii="Verdana" w:eastAsia="Calibri" w:hAnsi="Verdana" w:cs="Arial"/>
          <w:bCs/>
        </w:rPr>
        <w:t>,</w:t>
      </w:r>
      <w:r w:rsidR="008B782D">
        <w:rPr>
          <w:rFonts w:ascii="Verdana" w:eastAsia="Calibri" w:hAnsi="Verdana" w:cs="Arial"/>
          <w:bCs/>
        </w:rPr>
        <w:t xml:space="preserve"> por ejemplo</w:t>
      </w:r>
      <w:r w:rsidR="00CE08F5">
        <w:rPr>
          <w:rFonts w:ascii="Verdana" w:eastAsia="Calibri" w:hAnsi="Verdana" w:cs="Arial"/>
          <w:bCs/>
        </w:rPr>
        <w:t>,</w:t>
      </w:r>
      <w:r w:rsidR="0069178C">
        <w:rPr>
          <w:rFonts w:ascii="Verdana" w:eastAsia="Calibri" w:hAnsi="Verdana" w:cs="Arial"/>
          <w:bCs/>
        </w:rPr>
        <w:t xml:space="preserve"> convenios especiales de cooperación</w:t>
      </w:r>
      <w:r w:rsidR="007E1A49">
        <w:rPr>
          <w:rFonts w:ascii="Verdana" w:eastAsia="Calibri" w:hAnsi="Verdana" w:cs="Arial"/>
          <w:bCs/>
        </w:rPr>
        <w:t xml:space="preserve">. Esto comoquiera que, de acuerdo con lo previsto </w:t>
      </w:r>
      <w:r w:rsidR="008B782D">
        <w:rPr>
          <w:rFonts w:ascii="Verdana" w:eastAsia="Calibri" w:hAnsi="Verdana" w:cs="Arial"/>
          <w:bCs/>
        </w:rPr>
        <w:t xml:space="preserve">en el artículo 33 de la Ley 1286 de 2009, </w:t>
      </w:r>
      <w:r w:rsidR="00CE08F5">
        <w:rPr>
          <w:rFonts w:ascii="Verdana" w:eastAsia="Calibri" w:hAnsi="Verdana" w:cs="Arial"/>
          <w:bCs/>
        </w:rPr>
        <w:t xml:space="preserve">este tipo de contratos y convenios se celebran de manera directa, </w:t>
      </w:r>
      <w:r w:rsidR="00C638AC">
        <w:rPr>
          <w:rFonts w:ascii="Verdana" w:eastAsia="Calibri" w:hAnsi="Verdana" w:cs="Arial"/>
          <w:bCs/>
        </w:rPr>
        <w:t>independientemente de que se desarrollen</w:t>
      </w:r>
      <w:r w:rsidR="005548E3">
        <w:rPr>
          <w:rFonts w:ascii="Verdana" w:eastAsia="Calibri" w:hAnsi="Verdana" w:cs="Arial"/>
          <w:bCs/>
        </w:rPr>
        <w:t xml:space="preserve"> o no</w:t>
      </w:r>
      <w:r w:rsidR="00C638AC">
        <w:rPr>
          <w:rFonts w:ascii="Verdana" w:eastAsia="Calibri" w:hAnsi="Verdana" w:cs="Arial"/>
          <w:bCs/>
        </w:rPr>
        <w:t xml:space="preserve"> </w:t>
      </w:r>
      <w:r w:rsidR="00C638AC" w:rsidRPr="00C638AC">
        <w:rPr>
          <w:rFonts w:ascii="Verdana" w:eastAsia="Calibri" w:hAnsi="Verdana" w:cs="Arial"/>
          <w:bCs/>
          <w:i/>
          <w:iCs/>
        </w:rPr>
        <w:t>convocatorias pública</w:t>
      </w:r>
      <w:r w:rsidR="00C638AC">
        <w:rPr>
          <w:rFonts w:ascii="Verdana" w:eastAsia="Calibri" w:hAnsi="Verdana" w:cs="Arial"/>
          <w:bCs/>
          <w:i/>
          <w:iCs/>
        </w:rPr>
        <w:t>s</w:t>
      </w:r>
      <w:r w:rsidR="005548E3">
        <w:rPr>
          <w:rFonts w:ascii="Verdana" w:eastAsia="Calibri" w:hAnsi="Verdana" w:cs="Arial"/>
          <w:bCs/>
        </w:rPr>
        <w:t xml:space="preserve">, máxime cuando </w:t>
      </w:r>
      <w:r>
        <w:rPr>
          <w:rFonts w:ascii="Verdana" w:eastAsia="Calibri" w:hAnsi="Verdana" w:cs="Arial"/>
          <w:bCs/>
        </w:rPr>
        <w:t xml:space="preserve">estas </w:t>
      </w:r>
      <w:r w:rsidR="00CB7164">
        <w:rPr>
          <w:rFonts w:ascii="Verdana" w:eastAsia="Calibri" w:hAnsi="Verdana" w:cs="Arial"/>
          <w:bCs/>
        </w:rPr>
        <w:t>no son equiparables a los procesos de selección competitivos regulados en el EGCAP</w:t>
      </w:r>
      <w:r>
        <w:rPr>
          <w:rFonts w:ascii="Verdana" w:eastAsia="Calibri" w:hAnsi="Verdana" w:cs="Arial"/>
          <w:bCs/>
        </w:rPr>
        <w:t xml:space="preserve"> y normas especiales. </w:t>
      </w:r>
      <w:r w:rsidR="008B58C5">
        <w:rPr>
          <w:rFonts w:ascii="Verdana" w:eastAsia="Calibri" w:hAnsi="Verdana" w:cs="Arial"/>
          <w:bCs/>
        </w:rPr>
        <w:t xml:space="preserve"> </w:t>
      </w:r>
      <w:r w:rsidR="00CB7164">
        <w:rPr>
          <w:rFonts w:ascii="Verdana" w:eastAsia="Calibri" w:hAnsi="Verdana" w:cs="Arial"/>
          <w:bCs/>
        </w:rPr>
        <w:t xml:space="preserve"> </w:t>
      </w:r>
      <w:r w:rsidR="005548E3">
        <w:rPr>
          <w:rFonts w:ascii="Verdana" w:eastAsia="Calibri" w:hAnsi="Verdana" w:cs="Arial"/>
          <w:bCs/>
          <w:i/>
          <w:iCs/>
        </w:rPr>
        <w:t xml:space="preserve"> </w:t>
      </w:r>
      <w:r w:rsidR="00C638AC">
        <w:rPr>
          <w:rFonts w:ascii="Verdana" w:eastAsia="Calibri" w:hAnsi="Verdana" w:cs="Arial"/>
          <w:bCs/>
          <w:i/>
          <w:iCs/>
        </w:rPr>
        <w:t xml:space="preserve"> </w:t>
      </w:r>
    </w:p>
    <w:p w14:paraId="30822CEC" w14:textId="3BF4161E" w:rsidR="00B55A63" w:rsidRPr="00480A95" w:rsidRDefault="00B55A63" w:rsidP="00BD6251">
      <w:pPr>
        <w:spacing w:after="120" w:line="276" w:lineRule="auto"/>
        <w:ind w:firstLine="708"/>
        <w:jc w:val="both"/>
        <w:rPr>
          <w:rFonts w:ascii="Verdana" w:eastAsia="Times New Roman" w:hAnsi="Verdana" w:cs="Arial"/>
          <w:lang w:eastAsia="es-CO"/>
        </w:rPr>
      </w:pPr>
      <w:r w:rsidRPr="00480A95">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D0236F3" w14:textId="77777777" w:rsidR="00B55A63" w:rsidRPr="00480A95" w:rsidRDefault="00B55A63" w:rsidP="00B55A63">
      <w:pPr>
        <w:spacing w:after="0" w:line="276" w:lineRule="auto"/>
        <w:ind w:firstLine="708"/>
        <w:jc w:val="both"/>
        <w:rPr>
          <w:rFonts w:ascii="Verdana" w:hAnsi="Verdana" w:cs="Arial"/>
          <w:bCs/>
          <w:color w:val="000000" w:themeColor="text1"/>
        </w:rPr>
      </w:pPr>
      <w:r w:rsidRPr="00480A95">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902BA42" w14:textId="77777777" w:rsidR="00B55A63" w:rsidRPr="00480A95" w:rsidRDefault="00B55A63" w:rsidP="00B55A63">
      <w:pPr>
        <w:spacing w:after="0" w:line="276" w:lineRule="auto"/>
        <w:jc w:val="both"/>
        <w:rPr>
          <w:rFonts w:ascii="Verdana" w:eastAsia="Calibri" w:hAnsi="Verdana" w:cs="Arial"/>
        </w:rPr>
      </w:pPr>
    </w:p>
    <w:p w14:paraId="68B02F5F" w14:textId="77777777" w:rsidR="00B55A63" w:rsidRPr="00480A95" w:rsidRDefault="00B55A63" w:rsidP="00B55A63">
      <w:pPr>
        <w:spacing w:after="0" w:line="276" w:lineRule="auto"/>
        <w:jc w:val="both"/>
        <w:rPr>
          <w:rFonts w:ascii="Verdana" w:eastAsia="Century Gothic" w:hAnsi="Verdana" w:cs="Century Gothic"/>
          <w:b/>
          <w:bCs/>
        </w:rPr>
      </w:pPr>
      <w:r w:rsidRPr="00480A95">
        <w:rPr>
          <w:rFonts w:ascii="Verdana" w:eastAsia="Century Gothic" w:hAnsi="Verdana" w:cs="Century Gothic"/>
          <w:b/>
          <w:bCs/>
        </w:rPr>
        <w:t>4. Referencias normativas, jurisprudenciales y otras fuentes:</w:t>
      </w:r>
    </w:p>
    <w:p w14:paraId="4A162E98" w14:textId="77777777" w:rsidR="00B55A63" w:rsidRPr="00480A95" w:rsidRDefault="00B55A63" w:rsidP="00B55A63">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5A63" w:rsidRPr="00480A95" w14:paraId="592C23B7" w14:textId="77777777" w:rsidTr="00C80F90">
        <w:trPr>
          <w:trHeight w:val="632"/>
        </w:trPr>
        <w:tc>
          <w:tcPr>
            <w:tcW w:w="8647" w:type="dxa"/>
          </w:tcPr>
          <w:p w14:paraId="50066A50" w14:textId="77777777" w:rsidR="00B55A63" w:rsidRPr="00480A95" w:rsidRDefault="00B55A63" w:rsidP="00C80F9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Constitución Política, artículo 127.</w:t>
            </w:r>
          </w:p>
          <w:p w14:paraId="21296AE3" w14:textId="77777777" w:rsidR="00B55A63" w:rsidRPr="00480A95" w:rsidRDefault="00B55A63" w:rsidP="00C80F9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bCs/>
                <w:lang w:val="es-ES" w:eastAsia="es-ES" w:bidi="es-ES"/>
              </w:rPr>
              <w:t>Ley 996 de 2005, artículos 33 y 38.</w:t>
            </w:r>
          </w:p>
          <w:p w14:paraId="0C595E69" w14:textId="5B87A92D" w:rsidR="003C6C9C" w:rsidRPr="00480A95" w:rsidRDefault="003C6C9C" w:rsidP="00C80F9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Times New Roman" w:hAnsi="Verdana" w:cs="Arial"/>
                <w:color w:val="000000" w:themeColor="text1"/>
                <w:szCs w:val="24"/>
                <w:lang w:val="es-ES_tradnl" w:eastAsia="es-ES_tradnl"/>
              </w:rPr>
              <w:t>Decreto Ley 393 de 1991</w:t>
            </w:r>
          </w:p>
          <w:p w14:paraId="0A6D1477" w14:textId="77777777" w:rsidR="009E10BE" w:rsidRPr="00480A95" w:rsidRDefault="003C6C9C" w:rsidP="009E10B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Times New Roman" w:hAnsi="Verdana" w:cs="Arial"/>
                <w:color w:val="000000" w:themeColor="text1"/>
                <w:szCs w:val="24"/>
                <w:lang w:val="es-ES_tradnl" w:eastAsia="es-ES_tradnl"/>
              </w:rPr>
              <w:t>Decreto Ley 591 de 1991</w:t>
            </w:r>
          </w:p>
          <w:p w14:paraId="69CE1963" w14:textId="25A666BD" w:rsidR="00AA7673" w:rsidRPr="00480A95" w:rsidRDefault="00AA7673" w:rsidP="009E10B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Documento CONPES 3582 de 2009</w:t>
            </w:r>
          </w:p>
          <w:p w14:paraId="6796C752" w14:textId="4BE09817" w:rsidR="00395794" w:rsidRPr="00480A95" w:rsidRDefault="00395794" w:rsidP="009E10B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Ley 996 de 2005</w:t>
            </w:r>
          </w:p>
          <w:p w14:paraId="1A023ADC" w14:textId="088FF626" w:rsidR="00037143" w:rsidRPr="00480A95" w:rsidRDefault="00037143" w:rsidP="009E10B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Ley 1286 de 2009</w:t>
            </w:r>
          </w:p>
          <w:p w14:paraId="56C93CD1" w14:textId="21CB3EBE" w:rsidR="009E10BE" w:rsidRPr="00480A95" w:rsidRDefault="009E10BE" w:rsidP="009E10B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Times New Roman" w:hAnsi="Verdana" w:cs="Arial"/>
                <w:color w:val="000000" w:themeColor="text1"/>
                <w:szCs w:val="24"/>
                <w:lang w:val="es-ES_tradnl" w:eastAsia="es-ES_tradnl"/>
              </w:rPr>
              <w:t>Ley 1150 de 2007, en el artículo 2, numeral 4, literal e)</w:t>
            </w:r>
          </w:p>
          <w:p w14:paraId="1F4A2B02" w14:textId="77777777" w:rsidR="00B55A63" w:rsidRPr="00480A95" w:rsidRDefault="00B55A63" w:rsidP="00C80F90">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pt-BR"/>
              </w:rPr>
              <w:t>Corte Constitucional. Sentencia C-671 de 2015. M.P. Alberto Rojas Ríos.</w:t>
            </w:r>
          </w:p>
          <w:p w14:paraId="7B60A0C6" w14:textId="77777777" w:rsidR="00B55A63" w:rsidRPr="00480A95" w:rsidRDefault="00B55A63" w:rsidP="00C80F90">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es-ES"/>
              </w:rPr>
              <w:t xml:space="preserve">Consejo de Estado, Sección Primera. Sentencia de 3 de marzo de 2005, Exp. 2004-00823-01(PI). </w:t>
            </w:r>
          </w:p>
          <w:p w14:paraId="4504BCD9" w14:textId="77777777" w:rsidR="00B55A63" w:rsidRPr="00480A95" w:rsidRDefault="00B55A63" w:rsidP="00C80F90">
            <w:pPr>
              <w:numPr>
                <w:ilvl w:val="0"/>
                <w:numId w:val="17"/>
              </w:numPr>
              <w:spacing w:before="120" w:after="120" w:line="276" w:lineRule="auto"/>
              <w:jc w:val="both"/>
              <w:rPr>
                <w:rFonts w:ascii="Verdana" w:hAnsi="Verdana" w:cs="Arial"/>
                <w:lang w:val="es-ES"/>
              </w:rPr>
            </w:pPr>
            <w:r w:rsidRPr="00480A95">
              <w:rPr>
                <w:rFonts w:ascii="Verdana" w:hAnsi="Verdana" w:cs="Arial"/>
              </w:rPr>
              <w:t>Consejo de Estado. Sala de Consulta y Servicio Civil. Concepto del 15 de noviembre de 2007. Expediente número 1863. Consejero Ponente: Luis Fernando Álvarez Jaramillo</w:t>
            </w:r>
          </w:p>
          <w:p w14:paraId="61CDA07B" w14:textId="77777777" w:rsidR="00B55A63" w:rsidRPr="00480A95" w:rsidRDefault="00B55A63" w:rsidP="00C80F90">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es-ES"/>
              </w:rPr>
              <w:t xml:space="preserve">Consejo de Estado, Sala de Consulta y Servicio Civil, Concepto de fecha 24 de julio de 2013, Rad. 2166, C. P. Álvaro Namén Vargas. </w:t>
            </w:r>
          </w:p>
          <w:p w14:paraId="28926BBF" w14:textId="77777777" w:rsidR="00B55A63" w:rsidRPr="00480A95" w:rsidRDefault="00B55A63" w:rsidP="00C80F90">
            <w:pPr>
              <w:numPr>
                <w:ilvl w:val="0"/>
                <w:numId w:val="17"/>
              </w:numPr>
              <w:spacing w:before="120" w:after="120" w:line="276" w:lineRule="auto"/>
              <w:jc w:val="both"/>
              <w:rPr>
                <w:rFonts w:ascii="Verdana" w:hAnsi="Verdana" w:cs="Arial"/>
                <w:lang w:val="es-ES"/>
              </w:rPr>
            </w:pPr>
            <w:r w:rsidRPr="00480A95">
              <w:rPr>
                <w:rFonts w:ascii="Verdana" w:hAnsi="Verdana" w:cs="Arial"/>
              </w:rPr>
              <w:t>Consejo de Estado. Sala de Consulta y Servicio Civil. Concepto del 2 de septiembre de 2013 Radicado No: 2168. CP: Alvaro Namén Vargas.</w:t>
            </w:r>
          </w:p>
          <w:p w14:paraId="143C48CB" w14:textId="77777777" w:rsidR="00B55A63" w:rsidRPr="00480A95" w:rsidRDefault="00B55A63" w:rsidP="00C80F90">
            <w:pPr>
              <w:numPr>
                <w:ilvl w:val="0"/>
                <w:numId w:val="17"/>
              </w:numPr>
              <w:spacing w:before="120" w:after="120" w:line="276" w:lineRule="auto"/>
              <w:jc w:val="both"/>
              <w:rPr>
                <w:rFonts w:ascii="Verdana" w:hAnsi="Verdana" w:cs="Arial"/>
                <w:lang w:val="es-ES"/>
              </w:rPr>
            </w:pPr>
            <w:r w:rsidRPr="00480A95">
              <w:rPr>
                <w:rFonts w:ascii="Verdana" w:hAnsi="Verdana" w:cs="Arial"/>
                <w:lang w:val="es-ES"/>
              </w:rPr>
              <w:lastRenderedPageBreak/>
              <w:t>Consejo de Estado. Sala de Consulta y Servicio Civil. Concepto del 17 de febrero de 2015. C.P. William Zambrano Cetina. Radicación No. 11001-03-06-000-2015-00164-00(2269).</w:t>
            </w:r>
          </w:p>
          <w:p w14:paraId="67C15562" w14:textId="77777777" w:rsidR="00B55A63" w:rsidRPr="00480A95" w:rsidRDefault="00B55A63" w:rsidP="00C80F90">
            <w:pPr>
              <w:numPr>
                <w:ilvl w:val="0"/>
                <w:numId w:val="17"/>
              </w:numPr>
              <w:spacing w:before="120" w:after="120" w:line="276" w:lineRule="auto"/>
              <w:jc w:val="both"/>
              <w:rPr>
                <w:rFonts w:ascii="Verdana" w:hAnsi="Verdana" w:cs="Arial"/>
                <w:lang w:val="es-ES"/>
              </w:rPr>
            </w:pPr>
            <w:r w:rsidRPr="00480A95">
              <w:rPr>
                <w:rFonts w:ascii="Verdana" w:hAnsi="Verdana" w:cs="Arial"/>
                <w:lang w:val="es-ES"/>
              </w:rPr>
              <w:t>Consejo de Estado, Sala de Consulta y Servicio Civil, Concepto de fecha 8 de mayo de 2018, No. 2382. C. P. Álvaro Namén Vargas.</w:t>
            </w:r>
          </w:p>
          <w:p w14:paraId="7EF56EEF" w14:textId="77777777" w:rsidR="00B55A63" w:rsidRPr="00480A95" w:rsidRDefault="00B55A63" w:rsidP="00C80F90">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pt-BR"/>
              </w:rPr>
              <w:t>Consejo de Estado, Sección Tercera. Auto del 4 de octubre de 2024. Exp. 70.313. C.P: Fredy Ibarra Martínez.</w:t>
            </w:r>
          </w:p>
          <w:p w14:paraId="28ADBAF7" w14:textId="77777777" w:rsidR="00B55A63" w:rsidRPr="006F782E" w:rsidRDefault="00B55A63" w:rsidP="00C80F90">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7333B195" w14:textId="7E5A3C44" w:rsidR="006F782E" w:rsidRPr="00480A95" w:rsidRDefault="00306E4E" w:rsidP="00C80F90">
            <w:pPr>
              <w:widowControl w:val="0"/>
              <w:numPr>
                <w:ilvl w:val="0"/>
                <w:numId w:val="17"/>
              </w:numPr>
              <w:autoSpaceDE w:val="0"/>
              <w:autoSpaceDN w:val="0"/>
              <w:spacing w:after="120" w:line="276" w:lineRule="auto"/>
              <w:jc w:val="both"/>
              <w:rPr>
                <w:rFonts w:ascii="Verdana" w:hAnsi="Verdana" w:cs="Arial"/>
                <w:lang w:val="es-ES"/>
              </w:rPr>
            </w:pPr>
            <w:r>
              <w:rPr>
                <w:rFonts w:ascii="Verdana" w:eastAsia="Times New Roman" w:hAnsi="Verdana" w:cs="Times New Roman"/>
                <w:lang w:eastAsia="es-ES_tradnl"/>
              </w:rPr>
              <w:t>Consejo de Estado. Sala de consulta y servicio civil</w:t>
            </w:r>
            <w:r w:rsidR="008B74A1">
              <w:rPr>
                <w:rFonts w:ascii="Verdana" w:eastAsia="Times New Roman" w:hAnsi="Verdana" w:cs="Times New Roman"/>
                <w:lang w:eastAsia="es-ES_tradnl"/>
              </w:rPr>
              <w:t xml:space="preserve">. </w:t>
            </w:r>
            <w:r w:rsidR="005F55D7">
              <w:rPr>
                <w:rFonts w:ascii="Verdana" w:eastAsia="Times New Roman" w:hAnsi="Verdana" w:cs="Times New Roman"/>
                <w:lang w:eastAsia="es-ES_tradnl"/>
              </w:rPr>
              <w:t>Concepto del 26 de noviembre del 2009. C.P. Luis Fernando Álvarez Jaramillo</w:t>
            </w:r>
            <w:r w:rsidR="002E6303">
              <w:rPr>
                <w:rFonts w:ascii="Verdana" w:eastAsia="Times New Roman" w:hAnsi="Verdana" w:cs="Times New Roman"/>
                <w:lang w:eastAsia="es-ES_tradnl"/>
              </w:rPr>
              <w:t xml:space="preserve">. Radicado Nro. </w:t>
            </w:r>
            <w:r w:rsidR="002E6303" w:rsidRPr="002E6303">
              <w:rPr>
                <w:rFonts w:ascii="Verdana" w:eastAsia="Times New Roman" w:hAnsi="Verdana" w:cs="Times New Roman"/>
                <w:lang w:eastAsia="es-ES_tradnl"/>
              </w:rPr>
              <w:t>11001-03-06-000-2009-0062-00 (1974)</w:t>
            </w:r>
          </w:p>
          <w:p w14:paraId="2BEA5E30" w14:textId="77777777" w:rsidR="00B55A63" w:rsidRPr="00480A95" w:rsidRDefault="00B55A63" w:rsidP="00C80F90">
            <w:pPr>
              <w:widowControl w:val="0"/>
              <w:numPr>
                <w:ilvl w:val="0"/>
                <w:numId w:val="17"/>
              </w:numPr>
              <w:autoSpaceDE w:val="0"/>
              <w:autoSpaceDN w:val="0"/>
              <w:spacing w:after="120" w:line="276" w:lineRule="auto"/>
              <w:jc w:val="both"/>
              <w:rPr>
                <w:rFonts w:ascii="Verdana" w:hAnsi="Verdana" w:cs="Arial"/>
              </w:rPr>
            </w:pPr>
            <w:r w:rsidRPr="00480A95">
              <w:rPr>
                <w:rFonts w:ascii="Verdana" w:hAnsi="Verdana" w:cs="Arial"/>
              </w:rPr>
              <w:t xml:space="preserve">Circular Externa No. 006 de 2025 </w:t>
            </w:r>
            <w:hyperlink r:id="rId13" w:history="1">
              <w:r w:rsidRPr="00480A95">
                <w:rPr>
                  <w:rFonts w:ascii="Verdana" w:hAnsi="Verdana" w:cs="Arial"/>
                  <w:color w:val="0000FF"/>
                  <w:u w:val="single"/>
                </w:rPr>
                <w:t>https://www.colombiacompra.gov.co/archivos/circular/circular-externa-006-de-2025</w:t>
              </w:r>
            </w:hyperlink>
          </w:p>
        </w:tc>
      </w:tr>
    </w:tbl>
    <w:p w14:paraId="0D62F9E0" w14:textId="77777777" w:rsidR="00B55A63" w:rsidRPr="00480A95" w:rsidRDefault="00B55A63" w:rsidP="00B55A6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918CA69" w14:textId="77777777" w:rsidR="00B55A63" w:rsidRPr="00480A95" w:rsidRDefault="00B55A63" w:rsidP="00B55A6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80A95">
        <w:rPr>
          <w:rFonts w:ascii="Verdana" w:eastAsia="Century Gothic" w:hAnsi="Verdana" w:cs="Century Gothic"/>
          <w:b/>
          <w:bCs/>
          <w:lang w:val="es-CO"/>
        </w:rPr>
        <w:t xml:space="preserve">5. </w:t>
      </w:r>
      <w:r w:rsidRPr="00480A95">
        <w:rPr>
          <w:rFonts w:ascii="Verdana" w:eastAsia="Century Gothic" w:hAnsi="Verdana" w:cs="Century Gothic"/>
          <w:b/>
          <w:bCs/>
        </w:rPr>
        <w:t>Doctrina de la Agencia Nacional de Contratación Pública:</w:t>
      </w:r>
    </w:p>
    <w:p w14:paraId="3719F549" w14:textId="77777777" w:rsidR="00B55A63" w:rsidRPr="00480A95" w:rsidRDefault="00B55A63" w:rsidP="00B55A63">
      <w:pPr>
        <w:spacing w:after="0" w:line="276" w:lineRule="auto"/>
        <w:jc w:val="both"/>
        <w:rPr>
          <w:rFonts w:ascii="Verdana" w:eastAsia="Calibri" w:hAnsi="Verdana" w:cs="Arial"/>
          <w:lang w:eastAsia="es-ES_tradnl"/>
        </w:rPr>
      </w:pPr>
    </w:p>
    <w:p w14:paraId="79E3D4DF" w14:textId="72E20BAB" w:rsidR="00B55A63" w:rsidRPr="00480A95" w:rsidRDefault="00B55A63" w:rsidP="009D1A46">
      <w:pPr>
        <w:spacing w:after="120" w:line="276" w:lineRule="auto"/>
        <w:jc w:val="both"/>
        <w:rPr>
          <w:rFonts w:ascii="Verdana" w:eastAsia="Calibri" w:hAnsi="Verdana" w:cs="Arial"/>
          <w:lang w:val="es-ES_tradnl" w:eastAsia="es-ES_tradnl"/>
        </w:rPr>
      </w:pPr>
      <w:r w:rsidRPr="00480A95">
        <w:rPr>
          <w:rFonts w:ascii="Verdana" w:eastAsia="Calibri" w:hAnsi="Verdana" w:cs="Arial"/>
        </w:rPr>
        <w:t xml:space="preserve">La Agencia Nacional de Contratación Pública – Colombia Compra Eficiente –en adelante la ANCP-CCE– </w:t>
      </w:r>
      <w:r w:rsidRPr="00480A95">
        <w:rPr>
          <w:rFonts w:ascii="Verdana" w:eastAsia="Calibri" w:hAnsi="Verdana" w:cs="Arial"/>
          <w:lang w:val="es-ES_tradnl"/>
        </w:rPr>
        <w:t>ha impartido lineamientos sobre la aplicación de la Ley 996 de 2005, en los conceptos</w:t>
      </w:r>
      <w:r w:rsidRPr="00480A95">
        <w:rPr>
          <w:rFonts w:ascii="Verdana" w:eastAsia="Arial" w:hAnsi="Verdana" w:cs="Arial"/>
          <w:lang w:val="es-MX" w:eastAsia="es-ES_tradnl"/>
        </w:rPr>
        <w:t xml:space="preserve"> </w:t>
      </w:r>
      <w:r w:rsidRPr="00480A95">
        <w:rPr>
          <w:rFonts w:ascii="Verdana" w:eastAsia="Calibri" w:hAnsi="Verdana" w:cs="Arial"/>
          <w:bCs/>
          <w:lang w:val="es-MX"/>
        </w:rPr>
        <w:t xml:space="preserve">C-073 del 15 de marzo del 2023, C-027 del 22 de marzo del 2023, C-049 del 13 de abril de 2023, C-052 del 21 de abril del 2023, C-076 del 24 de abril del 2023,C-075 del 25 de abril del 2023, C-098 del 04 de mayo del 2023, C-107 del 08 de mayo del 2023, C-115 del 08 de mayo del 2023, C-116 del 8 de mayo de 2023, C-118 del 09 de mayo del 2023, C-145 del 18 de mayo del 2023, C-243 del 30 de mayo del 2023, C-149 del 01 de junio del 2023, C-105 del 14 de junio del 2023, C-099 del 20 de junio del 2023, C-154 del 02 de junio del 2023, C-182 del 29 de junio del 2023, C-193 del 13 de junio del 2023, C-200 del 27 de julio del 2023, C-233 del 25 de julio del 2023, C-241 del 22 de junio del 2023. Igualmente y </w:t>
      </w:r>
      <w:r w:rsidRPr="00480A95">
        <w:rPr>
          <w:rFonts w:ascii="Verdana" w:eastAsia="Calibri" w:hAnsi="Verdana" w:cs="Arial"/>
          <w:color w:val="000000" w:themeColor="text1"/>
        </w:rPr>
        <w:t xml:space="preserve">frente a las actividades de ciencia, tecnología e innovación la Agencia se ha pronunciado, entre otros, en los conceptos C-084 del 11 de marzo de 2020, C-236 del 6 de abril de 2020, C-036 del 2 de marzo de 2021, C-346 del 30 de junio de 2021, C-453 de 1 de </w:t>
      </w:r>
      <w:r w:rsidRPr="00480A95">
        <w:rPr>
          <w:rFonts w:ascii="Verdana" w:eastAsia="Calibri" w:hAnsi="Verdana" w:cs="Arial"/>
          <w:color w:val="000000" w:themeColor="text1"/>
        </w:rPr>
        <w:lastRenderedPageBreak/>
        <w:t>septiembre de 2021, C-529 de 27 de septiembre de 2021, C-574 de 13 de octubre de 2021, C-656 de 30 de noviembre de 2021, C-022 de 21 de febrero de 2022, C-131 del 28 de marzo del 2022</w:t>
      </w:r>
      <w:r w:rsidR="008858FA" w:rsidRPr="00480A95">
        <w:rPr>
          <w:rFonts w:ascii="Verdana" w:eastAsia="Calibri" w:hAnsi="Verdana" w:cs="Arial"/>
          <w:lang w:val="es-MX" w:eastAsia="es-ES_tradnl"/>
        </w:rPr>
        <w:t xml:space="preserve">, </w:t>
      </w:r>
      <w:r w:rsidRPr="00480A95">
        <w:rPr>
          <w:rFonts w:ascii="Verdana" w:eastAsia="Calibri" w:hAnsi="Verdana" w:cs="Arial"/>
          <w:lang w:val="es-MX" w:eastAsia="es-ES_tradnl"/>
        </w:rPr>
        <w:t>C-15 de 2023</w:t>
      </w:r>
      <w:r w:rsidR="008858FA" w:rsidRPr="00480A95">
        <w:rPr>
          <w:rFonts w:ascii="Verdana" w:eastAsia="Calibri" w:hAnsi="Verdana" w:cs="Arial"/>
          <w:lang w:val="es-MX" w:eastAsia="es-ES_tradnl"/>
        </w:rPr>
        <w:t xml:space="preserve"> y C-1587 del </w:t>
      </w:r>
      <w:r w:rsidR="00AA5D0F" w:rsidRPr="00480A95">
        <w:rPr>
          <w:rFonts w:ascii="Verdana" w:eastAsia="Calibri" w:hAnsi="Verdana" w:cs="Arial"/>
          <w:lang w:val="es-MX" w:eastAsia="es-ES_tradnl"/>
        </w:rPr>
        <w:t>09 de diciembre del 2025</w:t>
      </w:r>
      <w:r w:rsidRPr="00480A95">
        <w:rPr>
          <w:rFonts w:ascii="Verdana" w:hAnsi="Verdana" w:cs="Arial"/>
          <w:shd w:val="clear" w:color="auto" w:fill="FFFFFF"/>
          <w:lang w:val="es-ES"/>
        </w:rPr>
        <w:t xml:space="preserve">. </w:t>
      </w:r>
      <w:r w:rsidRPr="00480A95">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480A95">
          <w:rPr>
            <w:rStyle w:val="Hipervnculo"/>
            <w:rFonts w:ascii="Verdana" w:hAnsi="Verdana" w:cs="Arial"/>
            <w:shd w:val="clear" w:color="auto" w:fill="FFFFFF"/>
          </w:rPr>
          <w:t>https://relatoria.colombiacompra.gov.co/</w:t>
        </w:r>
      </w:hyperlink>
      <w:r w:rsidRPr="00480A95">
        <w:rPr>
          <w:rFonts w:ascii="Verdana" w:hAnsi="Verdana" w:cs="Arial"/>
          <w:shd w:val="clear" w:color="auto" w:fill="FFFFFF"/>
        </w:rPr>
        <w:t>.</w:t>
      </w:r>
    </w:p>
    <w:p w14:paraId="346A69AC" w14:textId="77777777" w:rsidR="00B55A63" w:rsidRPr="00480A95" w:rsidRDefault="00B55A63" w:rsidP="00B55A63">
      <w:pPr>
        <w:widowControl w:val="0"/>
        <w:autoSpaceDE w:val="0"/>
        <w:autoSpaceDN w:val="0"/>
        <w:spacing w:after="0" w:line="276" w:lineRule="auto"/>
        <w:jc w:val="both"/>
        <w:rPr>
          <w:rFonts w:ascii="Verdana" w:hAnsi="Verdana"/>
        </w:rPr>
      </w:pPr>
      <w:r w:rsidRPr="00480A95">
        <w:rPr>
          <w:rFonts w:ascii="Verdana" w:hAnsi="Verdana"/>
        </w:rPr>
        <w:t xml:space="preserve"> </w:t>
      </w:r>
    </w:p>
    <w:p w14:paraId="7164AC4B" w14:textId="77777777" w:rsidR="00B55A63" w:rsidRPr="00480A95" w:rsidRDefault="00B55A63" w:rsidP="00B55A63">
      <w:pPr>
        <w:spacing w:after="0" w:line="276" w:lineRule="auto"/>
        <w:jc w:val="both"/>
        <w:rPr>
          <w:rFonts w:ascii="Verdana" w:hAnsi="Verdana"/>
        </w:rPr>
      </w:pPr>
      <w:r w:rsidRPr="00480A95">
        <w:rPr>
          <w:rFonts w:ascii="Verdana" w:hAnsi="Verdana"/>
        </w:rPr>
        <w:t xml:space="preserve">Por último, lo invitamos a seguirnos en las redes sociales en las cuales se difunde información institucional: </w:t>
      </w:r>
    </w:p>
    <w:p w14:paraId="3E32BE05" w14:textId="77777777" w:rsidR="00B55A63" w:rsidRPr="00480A95" w:rsidRDefault="00B55A63" w:rsidP="00B55A63">
      <w:pPr>
        <w:spacing w:after="0" w:line="276" w:lineRule="auto"/>
        <w:jc w:val="both"/>
        <w:rPr>
          <w:rFonts w:ascii="Verdana" w:hAnsi="Verdana"/>
        </w:rPr>
      </w:pPr>
    </w:p>
    <w:p w14:paraId="3BB09A90" w14:textId="77777777" w:rsidR="00B55A63" w:rsidRPr="00480A95" w:rsidRDefault="00B55A63" w:rsidP="00B55A63">
      <w:pPr>
        <w:spacing w:after="0" w:line="276" w:lineRule="auto"/>
        <w:jc w:val="both"/>
        <w:rPr>
          <w:rFonts w:ascii="Verdana" w:hAnsi="Verdana"/>
        </w:rPr>
      </w:pPr>
      <w:r w:rsidRPr="00480A95">
        <w:rPr>
          <w:rFonts w:ascii="Verdana" w:hAnsi="Verdana"/>
        </w:rPr>
        <w:t xml:space="preserve">Twitter: </w:t>
      </w:r>
      <w:r w:rsidRPr="00480A95">
        <w:rPr>
          <w:rStyle w:val="Hipervnculo"/>
          <w:rFonts w:ascii="Verdana" w:hAnsi="Verdana"/>
          <w:color w:val="4472C4" w:themeColor="accent1"/>
        </w:rPr>
        <w:t>@colombiacompra</w:t>
      </w:r>
      <w:r w:rsidRPr="00480A95">
        <w:rPr>
          <w:rFonts w:ascii="Verdana" w:hAnsi="Verdana"/>
          <w:color w:val="4472C4" w:themeColor="accent1"/>
        </w:rPr>
        <w:t xml:space="preserve"> </w:t>
      </w:r>
    </w:p>
    <w:p w14:paraId="01264A80" w14:textId="77777777" w:rsidR="00B55A63" w:rsidRPr="00480A95" w:rsidRDefault="00B55A63" w:rsidP="00B55A63">
      <w:pPr>
        <w:spacing w:after="0" w:line="276" w:lineRule="auto"/>
        <w:jc w:val="both"/>
        <w:rPr>
          <w:rFonts w:ascii="Verdana" w:hAnsi="Verdana"/>
        </w:rPr>
      </w:pPr>
      <w:r w:rsidRPr="00480A95">
        <w:rPr>
          <w:rFonts w:ascii="Verdana" w:hAnsi="Verdana"/>
        </w:rPr>
        <w:t xml:space="preserve">Facebook: </w:t>
      </w:r>
      <w:r w:rsidRPr="00480A95">
        <w:rPr>
          <w:rStyle w:val="Hipervnculo"/>
          <w:rFonts w:ascii="Verdana" w:hAnsi="Verdana"/>
          <w:color w:val="4472C4" w:themeColor="accent1"/>
        </w:rPr>
        <w:t>ColombiaCompraEficiente</w:t>
      </w:r>
    </w:p>
    <w:p w14:paraId="3504CF37" w14:textId="77777777" w:rsidR="00B55A63" w:rsidRPr="00480A95" w:rsidRDefault="00B55A63" w:rsidP="00B55A63">
      <w:pPr>
        <w:spacing w:after="0" w:line="276" w:lineRule="auto"/>
        <w:jc w:val="both"/>
        <w:rPr>
          <w:rStyle w:val="Hipervnculo"/>
          <w:rFonts w:ascii="Verdana" w:hAnsi="Verdana"/>
          <w:color w:val="4472C4" w:themeColor="accent1"/>
        </w:rPr>
      </w:pPr>
      <w:r w:rsidRPr="00480A95">
        <w:rPr>
          <w:rFonts w:ascii="Verdana" w:hAnsi="Verdana"/>
        </w:rPr>
        <w:t xml:space="preserve">LinkedIn: </w:t>
      </w:r>
      <w:r w:rsidRPr="00480A95">
        <w:rPr>
          <w:rStyle w:val="Hipervnculo"/>
          <w:rFonts w:ascii="Verdana" w:hAnsi="Verdana"/>
          <w:color w:val="4472C4" w:themeColor="accent1"/>
        </w:rPr>
        <w:t>Agencia Nacional de Contratación Pública - Colombia Compra Eficiente</w:t>
      </w:r>
      <w:r w:rsidRPr="00480A95">
        <w:rPr>
          <w:rFonts w:ascii="Verdana" w:hAnsi="Verdana"/>
          <w:color w:val="4472C4" w:themeColor="accent1"/>
        </w:rPr>
        <w:t xml:space="preserve"> </w:t>
      </w:r>
      <w:r w:rsidRPr="00480A95">
        <w:rPr>
          <w:rFonts w:ascii="Verdana" w:hAnsi="Verdana"/>
        </w:rPr>
        <w:t xml:space="preserve">Instagram: </w:t>
      </w:r>
      <w:r w:rsidRPr="00480A95">
        <w:rPr>
          <w:rStyle w:val="Hipervnculo"/>
          <w:rFonts w:ascii="Verdana" w:hAnsi="Verdana"/>
          <w:color w:val="4472C4" w:themeColor="accent1"/>
        </w:rPr>
        <w:t>@colombiacompraeficiente_cce</w:t>
      </w:r>
    </w:p>
    <w:p w14:paraId="148E4C19" w14:textId="77777777" w:rsidR="00B55A63" w:rsidRPr="00480A95" w:rsidRDefault="00B55A63" w:rsidP="00B55A63">
      <w:pPr>
        <w:spacing w:after="0" w:line="276" w:lineRule="auto"/>
        <w:jc w:val="both"/>
        <w:rPr>
          <w:rFonts w:ascii="Verdana" w:hAnsi="Verdana"/>
        </w:rPr>
      </w:pPr>
    </w:p>
    <w:p w14:paraId="320A1544" w14:textId="77777777" w:rsidR="00B55A63" w:rsidRPr="00480A95" w:rsidRDefault="00B55A63" w:rsidP="00B55A63">
      <w:pPr>
        <w:widowControl w:val="0"/>
        <w:autoSpaceDE w:val="0"/>
        <w:autoSpaceDN w:val="0"/>
        <w:spacing w:after="0" w:line="276" w:lineRule="auto"/>
        <w:jc w:val="both"/>
        <w:rPr>
          <w:rFonts w:ascii="Verdana" w:hAnsi="Verdana" w:cs="Arial"/>
          <w:lang w:val="es-ES_tradnl"/>
        </w:rPr>
      </w:pPr>
      <w:r w:rsidRPr="00480A95">
        <w:rPr>
          <w:rFonts w:ascii="Verdana" w:hAnsi="Verdana" w:cs="Arial"/>
        </w:rPr>
        <w:t xml:space="preserve">Este concepto tiene el alcance previsto en el artículo 28 del Código de Procedimiento Administrativo y de lo Contencioso Administrativo </w:t>
      </w:r>
      <w:r w:rsidRPr="00480A95">
        <w:rPr>
          <w:rFonts w:ascii="Verdana" w:hAnsi="Verdana" w:cs="Arial"/>
          <w:lang w:val="es-ES_tradnl"/>
        </w:rPr>
        <w:t>y las expresiones aquí utilizadas con mayúscula inicial deben ser entendidas con el significado que les otorga el artículo 2.2.1.1.1.3.1. del Decreto 1082 de 2015.</w:t>
      </w:r>
    </w:p>
    <w:p w14:paraId="47DE9A0C" w14:textId="77777777" w:rsidR="00B55A63" w:rsidRPr="00480A95" w:rsidRDefault="00B55A63" w:rsidP="00B55A63">
      <w:pPr>
        <w:widowControl w:val="0"/>
        <w:autoSpaceDE w:val="0"/>
        <w:autoSpaceDN w:val="0"/>
        <w:spacing w:after="0" w:line="276" w:lineRule="auto"/>
        <w:jc w:val="both"/>
        <w:rPr>
          <w:rFonts w:ascii="Verdana" w:hAnsi="Verdana" w:cs="Arial"/>
          <w:lang w:val="es-ES_tradnl"/>
        </w:rPr>
      </w:pPr>
    </w:p>
    <w:p w14:paraId="41C8935E" w14:textId="77777777" w:rsidR="00B55A63" w:rsidRPr="00480A95" w:rsidRDefault="00B55A63" w:rsidP="00B55A63">
      <w:pPr>
        <w:spacing w:after="0" w:line="276" w:lineRule="auto"/>
        <w:rPr>
          <w:rFonts w:ascii="Verdana" w:hAnsi="Verdana" w:cs="Arial"/>
          <w:lang w:eastAsia="es-CO"/>
        </w:rPr>
      </w:pPr>
      <w:r w:rsidRPr="00480A95">
        <w:rPr>
          <w:rFonts w:ascii="Verdana" w:eastAsia="Times New Roman" w:hAnsi="Verdana" w:cs="Arial"/>
          <w:lang w:eastAsia="es-CO"/>
        </w:rPr>
        <w:t>Atentamente,</w:t>
      </w:r>
      <w:r w:rsidRPr="00480A95">
        <w:rPr>
          <w:rFonts w:ascii="Verdana" w:hAnsi="Verdana" w:cs="Arial"/>
          <w:lang w:eastAsia="es-CO"/>
        </w:rPr>
        <w:t xml:space="preserve"> </w:t>
      </w:r>
    </w:p>
    <w:p w14:paraId="590275E7" w14:textId="77777777" w:rsidR="00B55A63" w:rsidRPr="00480A95" w:rsidRDefault="00B55A63" w:rsidP="00111A6E">
      <w:pPr>
        <w:spacing w:after="0" w:line="240" w:lineRule="auto"/>
        <w:rPr>
          <w:rFonts w:ascii="Verdana" w:hAnsi="Verdana"/>
          <w:noProof/>
          <w:lang w:eastAsia="es-CO"/>
        </w:rPr>
      </w:pPr>
    </w:p>
    <w:p w14:paraId="4E720C76" w14:textId="17E91B60" w:rsidR="00B55A63" w:rsidRPr="00480A95" w:rsidRDefault="002E3FF0" w:rsidP="00B55A63">
      <w:pPr>
        <w:spacing w:line="276" w:lineRule="auto"/>
        <w:jc w:val="center"/>
        <w:rPr>
          <w:rFonts w:ascii="Verdana" w:eastAsia="Calibri" w:hAnsi="Verdana" w:cs="Arial"/>
          <w:lang w:val="es-ES_tradnl" w:eastAsia="es-CO"/>
        </w:rPr>
      </w:pPr>
      <w:r w:rsidRPr="004D5C25">
        <w:rPr>
          <w:rFonts w:ascii="Century Gothic" w:hAnsi="Century Gothic"/>
          <w:noProof/>
        </w:rPr>
        <w:drawing>
          <wp:inline distT="0" distB="0" distL="0" distR="0" wp14:anchorId="64CBF349" wp14:editId="7F41274F">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55A63" w:rsidRPr="00480A95" w14:paraId="7EF3B51F" w14:textId="77777777" w:rsidTr="00C80F90">
        <w:trPr>
          <w:trHeight w:val="315"/>
        </w:trPr>
        <w:tc>
          <w:tcPr>
            <w:tcW w:w="893" w:type="dxa"/>
            <w:vAlign w:val="center"/>
            <w:hideMark/>
          </w:tcPr>
          <w:p w14:paraId="0854FA24" w14:textId="77777777" w:rsidR="00B55A63" w:rsidRPr="00480A95" w:rsidRDefault="00B55A63" w:rsidP="00C80F90">
            <w:pPr>
              <w:rPr>
                <w:rFonts w:ascii="Verdana" w:eastAsia="Calibri" w:hAnsi="Verdana" w:cs="Arial"/>
                <w:sz w:val="16"/>
                <w:szCs w:val="16"/>
                <w:lang w:val="es-ES" w:eastAsia="es-ES"/>
              </w:rPr>
            </w:pPr>
            <w:r w:rsidRPr="00480A95">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3F0CE070" w14:textId="5926745E" w:rsidR="00B55A63" w:rsidRPr="00480A95" w:rsidRDefault="00B01EAF" w:rsidP="00C80F90">
            <w:pPr>
              <w:rPr>
                <w:rFonts w:ascii="Verdana" w:eastAsia="Arial" w:hAnsi="Verdana" w:cs="Arial"/>
                <w:sz w:val="16"/>
                <w:szCs w:val="16"/>
              </w:rPr>
            </w:pPr>
            <w:r w:rsidRPr="00480A95">
              <w:rPr>
                <w:rFonts w:ascii="Verdana" w:eastAsia="Arial" w:hAnsi="Verdana" w:cs="Arial"/>
                <w:sz w:val="16"/>
                <w:szCs w:val="16"/>
              </w:rPr>
              <w:t>Ana María Ortiz Ballesteros</w:t>
            </w:r>
          </w:p>
          <w:p w14:paraId="6C0B0CB7" w14:textId="77777777" w:rsidR="00B55A63" w:rsidRPr="00480A95" w:rsidRDefault="00B55A63" w:rsidP="00C80F90">
            <w:pPr>
              <w:rPr>
                <w:rFonts w:ascii="Verdana" w:eastAsia="Arial" w:hAnsi="Verdana" w:cs="Arial"/>
                <w:sz w:val="16"/>
                <w:szCs w:val="16"/>
              </w:rPr>
            </w:pPr>
            <w:r w:rsidRPr="00480A95">
              <w:rPr>
                <w:rFonts w:ascii="Verdana" w:eastAsia="Arial" w:hAnsi="Verdana" w:cs="Arial"/>
                <w:sz w:val="16"/>
                <w:szCs w:val="16"/>
              </w:rPr>
              <w:t>Contratista de la Subdirección de Gestión Contractual</w:t>
            </w:r>
          </w:p>
        </w:tc>
      </w:tr>
      <w:tr w:rsidR="00B55A63" w:rsidRPr="00480A95" w14:paraId="635D058E" w14:textId="77777777" w:rsidTr="00C80F90">
        <w:trPr>
          <w:trHeight w:val="330"/>
        </w:trPr>
        <w:tc>
          <w:tcPr>
            <w:tcW w:w="893" w:type="dxa"/>
            <w:vAlign w:val="center"/>
            <w:hideMark/>
          </w:tcPr>
          <w:p w14:paraId="66787526" w14:textId="77777777" w:rsidR="00B55A63" w:rsidRPr="00480A95" w:rsidRDefault="00B55A63" w:rsidP="00C80F90">
            <w:pPr>
              <w:rPr>
                <w:rFonts w:ascii="Verdana" w:eastAsia="Calibri" w:hAnsi="Verdana" w:cs="Arial"/>
                <w:sz w:val="16"/>
                <w:szCs w:val="16"/>
                <w:lang w:val="es-ES" w:eastAsia="es-ES"/>
              </w:rPr>
            </w:pPr>
            <w:r w:rsidRPr="00480A95">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8039BEE" w14:textId="159A9DEC" w:rsidR="00DB035E" w:rsidRPr="00480A95" w:rsidRDefault="00DB035E" w:rsidP="00DB035E">
            <w:pPr>
              <w:pStyle w:val="paragraph"/>
              <w:spacing w:before="0" w:beforeAutospacing="0" w:after="0" w:afterAutospacing="0"/>
              <w:contextualSpacing/>
              <w:textAlignment w:val="baseline"/>
              <w:rPr>
                <w:rFonts w:ascii="Verdana" w:hAnsi="Verdana" w:cs="Arial"/>
                <w:sz w:val="16"/>
                <w:szCs w:val="16"/>
              </w:rPr>
            </w:pPr>
            <w:r w:rsidRPr="00480A95">
              <w:rPr>
                <w:rFonts w:ascii="Verdana" w:hAnsi="Verdana" w:cs="Arial"/>
                <w:sz w:val="16"/>
                <w:szCs w:val="16"/>
              </w:rPr>
              <w:t xml:space="preserve">Alejandro Sarmiento </w:t>
            </w:r>
            <w:r w:rsidR="00D56888" w:rsidRPr="00480A95">
              <w:rPr>
                <w:rFonts w:ascii="Verdana" w:hAnsi="Verdana" w:cs="Arial"/>
                <w:sz w:val="16"/>
                <w:szCs w:val="16"/>
              </w:rPr>
              <w:t>Cantillo</w:t>
            </w:r>
          </w:p>
          <w:p w14:paraId="61B7CDBF" w14:textId="2D81CD88" w:rsidR="00B55A63" w:rsidRPr="00480A95" w:rsidRDefault="00DB035E" w:rsidP="00DB035E">
            <w:pPr>
              <w:textAlignment w:val="baseline"/>
              <w:rPr>
                <w:rFonts w:ascii="Verdana" w:eastAsia="Times New Roman" w:hAnsi="Verdana" w:cs="Segoe UI"/>
                <w:sz w:val="16"/>
                <w:szCs w:val="16"/>
                <w:lang w:eastAsia="es-ES_tradnl"/>
              </w:rPr>
            </w:pPr>
            <w:r w:rsidRPr="00480A95">
              <w:rPr>
                <w:rFonts w:ascii="Verdana" w:hAnsi="Verdana" w:cs="Arial"/>
                <w:sz w:val="16"/>
                <w:szCs w:val="16"/>
              </w:rPr>
              <w:lastRenderedPageBreak/>
              <w:t>Gestor T1-15 de la Subdirección de Gestión Contractual</w:t>
            </w:r>
          </w:p>
        </w:tc>
      </w:tr>
      <w:tr w:rsidR="00B55A63" w:rsidRPr="00480A95" w14:paraId="27048A54" w14:textId="77777777" w:rsidTr="00C80F90">
        <w:trPr>
          <w:trHeight w:val="300"/>
        </w:trPr>
        <w:tc>
          <w:tcPr>
            <w:tcW w:w="893" w:type="dxa"/>
            <w:vAlign w:val="center"/>
          </w:tcPr>
          <w:p w14:paraId="02AB0B61" w14:textId="77777777" w:rsidR="00B55A63" w:rsidRPr="00480A95" w:rsidRDefault="00B55A63" w:rsidP="00C80F90">
            <w:pPr>
              <w:rPr>
                <w:rFonts w:ascii="Verdana" w:eastAsia="Calibri" w:hAnsi="Verdana" w:cs="Arial"/>
                <w:sz w:val="16"/>
                <w:szCs w:val="16"/>
                <w:lang w:val="es-ES" w:eastAsia="es-ES"/>
              </w:rPr>
            </w:pPr>
            <w:r w:rsidRPr="00480A95">
              <w:rPr>
                <w:rFonts w:ascii="Verdana" w:eastAsia="Calibri" w:hAnsi="Verdana" w:cs="Arial"/>
                <w:sz w:val="16"/>
                <w:szCs w:val="16"/>
                <w:lang w:val="es-ES" w:eastAsia="es-ES"/>
              </w:rPr>
              <w:lastRenderedPageBreak/>
              <w:t>Aprobó:</w:t>
            </w:r>
          </w:p>
        </w:tc>
        <w:tc>
          <w:tcPr>
            <w:tcW w:w="5628" w:type="dxa"/>
            <w:tcBorders>
              <w:top w:val="dotted" w:sz="4" w:space="0" w:color="7F7F7F"/>
              <w:left w:val="nil"/>
              <w:bottom w:val="dotted" w:sz="4" w:space="0" w:color="7F7F7F"/>
              <w:right w:val="nil"/>
            </w:tcBorders>
            <w:vAlign w:val="center"/>
          </w:tcPr>
          <w:p w14:paraId="76E04633" w14:textId="77777777" w:rsidR="00B55A63" w:rsidRPr="00480A95" w:rsidRDefault="00B55A63" w:rsidP="00C80F90">
            <w:pPr>
              <w:rPr>
                <w:rFonts w:ascii="Verdana" w:eastAsia="Calibri" w:hAnsi="Verdana" w:cs="Arial"/>
                <w:sz w:val="16"/>
                <w:szCs w:val="16"/>
                <w:lang w:val="pt-BR" w:eastAsia="es-ES"/>
              </w:rPr>
            </w:pPr>
            <w:r w:rsidRPr="00480A95">
              <w:rPr>
                <w:rFonts w:ascii="Verdana" w:eastAsia="Calibri" w:hAnsi="Verdana" w:cs="Arial"/>
                <w:sz w:val="16"/>
                <w:szCs w:val="16"/>
                <w:lang w:val="pt-BR" w:eastAsia="es-ES"/>
              </w:rPr>
              <w:t>Carolina Quintero Gacharná</w:t>
            </w:r>
          </w:p>
          <w:p w14:paraId="14F21B0D" w14:textId="77777777" w:rsidR="00B55A63" w:rsidRPr="00480A95" w:rsidRDefault="00B55A63" w:rsidP="00C80F90">
            <w:pPr>
              <w:rPr>
                <w:rFonts w:ascii="Verdana" w:eastAsia="Calibri" w:hAnsi="Verdana" w:cs="Arial"/>
                <w:sz w:val="16"/>
                <w:szCs w:val="16"/>
                <w:lang w:val="pt-BR" w:eastAsia="es-ES"/>
              </w:rPr>
            </w:pPr>
            <w:r w:rsidRPr="00480A95">
              <w:rPr>
                <w:rFonts w:ascii="Verdana" w:eastAsia="Calibri" w:hAnsi="Verdana" w:cs="Arial"/>
                <w:sz w:val="16"/>
                <w:szCs w:val="16"/>
                <w:lang w:eastAsia="es-ES"/>
              </w:rPr>
              <w:t>Subdirectora</w:t>
            </w:r>
            <w:r w:rsidRPr="00480A95">
              <w:rPr>
                <w:rFonts w:ascii="Verdana" w:eastAsia="Calibri" w:hAnsi="Verdana" w:cs="Arial"/>
                <w:sz w:val="16"/>
                <w:szCs w:val="16"/>
                <w:lang w:val="pt-BR" w:eastAsia="es-ES"/>
              </w:rPr>
              <w:t xml:space="preserve"> de Gestión Contratual ANCP – CCE</w:t>
            </w:r>
          </w:p>
        </w:tc>
      </w:tr>
      <w:bookmarkEnd w:id="0"/>
    </w:tbl>
    <w:p w14:paraId="743F4760" w14:textId="77777777" w:rsidR="00DB3D4D" w:rsidRPr="00480A95" w:rsidRDefault="00DB3D4D" w:rsidP="00C15139">
      <w:pPr>
        <w:spacing w:after="0"/>
        <w:rPr>
          <w:rFonts w:ascii="Verdana" w:hAnsi="Verdana"/>
        </w:rPr>
      </w:pPr>
    </w:p>
    <w:sectPr w:rsidR="00DB3D4D" w:rsidRPr="00480A9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18216" w14:textId="77777777" w:rsidR="00905823" w:rsidRDefault="00905823" w:rsidP="004A1847">
      <w:pPr>
        <w:spacing w:after="0" w:line="240" w:lineRule="auto"/>
      </w:pPr>
      <w:r>
        <w:separator/>
      </w:r>
    </w:p>
  </w:endnote>
  <w:endnote w:type="continuationSeparator" w:id="0">
    <w:p w14:paraId="3C2BD754" w14:textId="77777777" w:rsidR="00905823" w:rsidRDefault="009058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42F96" w14:textId="77777777" w:rsidR="00905823" w:rsidRDefault="00905823" w:rsidP="004A1847">
      <w:pPr>
        <w:spacing w:after="0" w:line="240" w:lineRule="auto"/>
      </w:pPr>
      <w:r>
        <w:separator/>
      </w:r>
    </w:p>
  </w:footnote>
  <w:footnote w:type="continuationSeparator" w:id="0">
    <w:p w14:paraId="6D2D5083" w14:textId="77777777" w:rsidR="00905823" w:rsidRDefault="00905823" w:rsidP="004A1847">
      <w:pPr>
        <w:spacing w:after="0" w:line="240" w:lineRule="auto"/>
      </w:pPr>
      <w:r>
        <w:continuationSeparator/>
      </w:r>
    </w:p>
  </w:footnote>
  <w:footnote w:id="1">
    <w:p w14:paraId="126296DE"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B4282EF"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1A6052E"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Gaceta del Congreso de la República No. 71 del 2005.</w:t>
      </w:r>
    </w:p>
  </w:footnote>
  <w:footnote w:id="3">
    <w:p w14:paraId="0921A761"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Corte Constitucional, Sentencia C- 1153 de 2005, M.P. Marco Gerardo Monroy Cabra.</w:t>
      </w:r>
    </w:p>
  </w:footnote>
  <w:footnote w:id="4">
    <w:p w14:paraId="6B1EFCD7"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ED6C4AF" w14:textId="77777777" w:rsidR="00AE0C3B" w:rsidRPr="001A71E4" w:rsidRDefault="00AE0C3B" w:rsidP="00AE0C3B">
      <w:pPr>
        <w:pStyle w:val="Textonotapie"/>
        <w:ind w:firstLine="709"/>
        <w:contextualSpacing/>
        <w:jc w:val="both"/>
        <w:rPr>
          <w:rFonts w:ascii="Verdana" w:hAnsi="Verdana" w:cs="Arial"/>
          <w:sz w:val="18"/>
          <w:szCs w:val="18"/>
          <w:lang w:val="es-CO"/>
        </w:rPr>
      </w:pPr>
      <w:r w:rsidRPr="001A71E4">
        <w:rPr>
          <w:rStyle w:val="Refdenotaalpie"/>
          <w:rFonts w:ascii="Verdana" w:hAnsi="Verdana" w:cs="Arial"/>
          <w:sz w:val="18"/>
          <w:szCs w:val="18"/>
        </w:rPr>
        <w:footnoteRef/>
      </w:r>
      <w:r w:rsidRPr="001A71E4">
        <w:rPr>
          <w:rFonts w:ascii="Verdana" w:hAnsi="Verdana" w:cs="Arial"/>
          <w:sz w:val="18"/>
          <w:szCs w:val="18"/>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0443BBA"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Consejo de Estado, Sala de Consulta y Servicio Civil de fecha 24 de julio de 2013, radicado 2166, </w:t>
      </w:r>
      <w:proofErr w:type="gramStart"/>
      <w:r w:rsidRPr="001A71E4">
        <w:rPr>
          <w:rFonts w:ascii="Verdana" w:hAnsi="Verdana" w:cs="Arial"/>
          <w:sz w:val="18"/>
          <w:szCs w:val="18"/>
        </w:rPr>
        <w:t>Consejero</w:t>
      </w:r>
      <w:proofErr w:type="gramEnd"/>
      <w:r w:rsidRPr="001A71E4">
        <w:rPr>
          <w:rFonts w:ascii="Verdana" w:hAnsi="Verdana" w:cs="Arial"/>
          <w:sz w:val="18"/>
          <w:szCs w:val="18"/>
        </w:rPr>
        <w:t xml:space="preserve"> Ponente: Álvaro Namén Vargas.  </w:t>
      </w:r>
    </w:p>
  </w:footnote>
  <w:footnote w:id="7">
    <w:p w14:paraId="44B4135B" w14:textId="77777777" w:rsidR="00AE0C3B" w:rsidRPr="001A71E4" w:rsidRDefault="00AE0C3B" w:rsidP="00AE0C3B">
      <w:pPr>
        <w:spacing w:after="0" w:line="240" w:lineRule="auto"/>
        <w:ind w:firstLine="709"/>
        <w:contextualSpacing/>
        <w:jc w:val="both"/>
        <w:rPr>
          <w:rFonts w:ascii="Verdana" w:eastAsia="Times New Roman"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Pr="001A71E4">
        <w:rPr>
          <w:rFonts w:ascii="Verdana" w:eastAsia="Calibri" w:hAnsi="Verdana" w:cs="Arial"/>
          <w:sz w:val="18"/>
          <w:szCs w:val="18"/>
        </w:rPr>
        <w:t>“</w:t>
      </w:r>
      <w:r w:rsidRPr="001A71E4">
        <w:rPr>
          <w:rFonts w:ascii="Verdana" w:eastAsia="Times New Roman" w:hAnsi="Verdana" w:cs="Arial"/>
          <w:sz w:val="18"/>
          <w:szCs w:val="18"/>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B575A28" w14:textId="77777777" w:rsidR="00AE0C3B" w:rsidRPr="001A71E4" w:rsidRDefault="00AE0C3B" w:rsidP="00AE0C3B">
      <w:pPr>
        <w:spacing w:after="0" w:line="240" w:lineRule="auto"/>
        <w:ind w:firstLine="709"/>
        <w:contextualSpacing/>
        <w:jc w:val="both"/>
        <w:rPr>
          <w:rFonts w:ascii="Verdana" w:eastAsia="Times New Roman" w:hAnsi="Verdana" w:cs="Arial"/>
          <w:sz w:val="18"/>
          <w:szCs w:val="18"/>
        </w:rPr>
      </w:pPr>
      <w:r w:rsidRPr="001A71E4">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A71E4">
        <w:rPr>
          <w:rFonts w:ascii="Verdana" w:eastAsia="Calibri" w:hAnsi="Verdana" w:cs="Arial"/>
          <w:sz w:val="18"/>
          <w:szCs w:val="18"/>
        </w:rPr>
        <w:t>”</w:t>
      </w:r>
      <w:r w:rsidRPr="001A71E4">
        <w:rPr>
          <w:rFonts w:ascii="Verdana" w:eastAsia="Times New Roman" w:hAnsi="Verdana" w:cs="Arial"/>
          <w:sz w:val="18"/>
          <w:szCs w:val="18"/>
        </w:rPr>
        <w:t>.</w:t>
      </w:r>
    </w:p>
  </w:footnote>
  <w:footnote w:id="8">
    <w:p w14:paraId="712A9109" w14:textId="77777777" w:rsidR="00AE0C3B" w:rsidRPr="001A71E4" w:rsidRDefault="00AE0C3B" w:rsidP="00AE0C3B">
      <w:pPr>
        <w:pStyle w:val="NormalWeb"/>
        <w:spacing w:before="0" w:beforeAutospacing="0" w:after="0" w:afterAutospacing="0"/>
        <w:ind w:firstLine="709"/>
        <w:contextualSpacing/>
        <w:jc w:val="both"/>
        <w:rPr>
          <w:rFonts w:ascii="Verdana" w:hAnsi="Verdana" w:cs="Arial"/>
          <w:sz w:val="18"/>
          <w:szCs w:val="18"/>
          <w:lang w:val="es-MX"/>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Pr="001A71E4">
        <w:rPr>
          <w:rFonts w:ascii="Verdana" w:eastAsia="Calibri" w:hAnsi="Verdana" w:cs="Arial"/>
          <w:sz w:val="18"/>
          <w:szCs w:val="18"/>
        </w:rPr>
        <w:t>“</w:t>
      </w:r>
      <w:r w:rsidRPr="001A71E4">
        <w:rPr>
          <w:rFonts w:ascii="Verdana" w:hAnsi="Verdana" w:cs="Arial"/>
          <w:sz w:val="18"/>
          <w:szCs w:val="18"/>
          <w:lang w:val="es-MX"/>
        </w:rPr>
        <w:t>Artículo 38. Prohibiciones para los servidores públicos. A los empleados del Estado les está prohibido:</w:t>
      </w:r>
    </w:p>
    <w:p w14:paraId="090B04AD" w14:textId="77777777" w:rsidR="00AE0C3B" w:rsidRPr="001A71E4" w:rsidRDefault="00AE0C3B" w:rsidP="00AE0C3B">
      <w:pPr>
        <w:pStyle w:val="NormalWeb"/>
        <w:spacing w:before="0" w:beforeAutospacing="0" w:after="0" w:afterAutospacing="0"/>
        <w:ind w:firstLine="709"/>
        <w:contextualSpacing/>
        <w:jc w:val="both"/>
        <w:rPr>
          <w:rFonts w:ascii="Verdana" w:hAnsi="Verdana" w:cs="Arial"/>
          <w:sz w:val="18"/>
          <w:szCs w:val="18"/>
          <w:lang w:val="es-MX"/>
        </w:rPr>
      </w:pPr>
      <w:r w:rsidRPr="001A71E4">
        <w:rPr>
          <w:rFonts w:ascii="Verdana" w:hAnsi="Verdana" w:cs="Arial"/>
          <w:sz w:val="18"/>
          <w:szCs w:val="18"/>
          <w:lang w:val="es-MX"/>
        </w:rPr>
        <w:t>[…]</w:t>
      </w:r>
    </w:p>
    <w:p w14:paraId="06BF24D0" w14:textId="77777777" w:rsidR="00AE0C3B" w:rsidRPr="001A71E4" w:rsidRDefault="00AE0C3B" w:rsidP="00AE0C3B">
      <w:pPr>
        <w:pStyle w:val="NormalWeb"/>
        <w:spacing w:before="0" w:beforeAutospacing="0" w:after="0" w:afterAutospacing="0"/>
        <w:ind w:firstLine="709"/>
        <w:contextualSpacing/>
        <w:jc w:val="both"/>
        <w:rPr>
          <w:rFonts w:ascii="Verdana" w:hAnsi="Verdana" w:cs="Arial"/>
          <w:sz w:val="18"/>
          <w:szCs w:val="18"/>
          <w:lang w:val="es-MX"/>
        </w:rPr>
      </w:pPr>
      <w:r w:rsidRPr="001A71E4">
        <w:rPr>
          <w:rStyle w:val="baj"/>
          <w:rFonts w:ascii="Verdana" w:hAnsi="Verdana" w:cs="Arial"/>
          <w:sz w:val="18"/>
          <w:szCs w:val="18"/>
          <w:lang w:val="es-MX"/>
        </w:rPr>
        <w:t>Parágrafo.</w:t>
      </w:r>
      <w:r w:rsidRPr="001A71E4">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A71E4">
        <w:rPr>
          <w:rFonts w:ascii="Verdana" w:eastAsia="Calibri" w:hAnsi="Verdana" w:cs="Arial"/>
          <w:sz w:val="18"/>
          <w:szCs w:val="18"/>
        </w:rPr>
        <w:t>”</w:t>
      </w:r>
      <w:r w:rsidRPr="001A71E4">
        <w:rPr>
          <w:rFonts w:ascii="Verdana" w:hAnsi="Verdana" w:cs="Arial"/>
          <w:sz w:val="18"/>
          <w:szCs w:val="18"/>
          <w:lang w:val="es-MX"/>
        </w:rPr>
        <w:t>.</w:t>
      </w:r>
    </w:p>
  </w:footnote>
  <w:footnote w:id="9">
    <w:p w14:paraId="6DF3E95F" w14:textId="30F02E36" w:rsidR="00AE0C3B" w:rsidRPr="001A71E4" w:rsidRDefault="00AE0C3B" w:rsidP="00AE0C3B">
      <w:pPr>
        <w:spacing w:after="0" w:line="240" w:lineRule="auto"/>
        <w:ind w:left="100" w:right="244" w:firstLine="709"/>
        <w:contextualSpacing/>
        <w:jc w:val="both"/>
        <w:rPr>
          <w:rFonts w:ascii="Verdana" w:hAnsi="Verdana" w:cs="Arial"/>
          <w:sz w:val="18"/>
          <w:szCs w:val="18"/>
          <w:lang w:val="es-ES"/>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0049103F" w:rsidRPr="001A71E4">
        <w:rPr>
          <w:rFonts w:ascii="Verdana" w:hAnsi="Verdana" w:cs="Arial"/>
          <w:sz w:val="18"/>
          <w:szCs w:val="18"/>
        </w:rPr>
        <w:t>CONSEJO DE ESTADO.</w:t>
      </w:r>
      <w:r w:rsidRPr="001A71E4">
        <w:rPr>
          <w:rFonts w:ascii="Verdana" w:hAnsi="Verdana" w:cs="Arial"/>
          <w:sz w:val="18"/>
          <w:szCs w:val="18"/>
        </w:rPr>
        <w:t xml:space="preserve"> Sala de Consulta y Servicio Civil. Concepto del 17 de febrero de 2015. C.P. William Zambrano Cetina. Radicación No. 11001-03-06-000-2015-00164-00(2269).</w:t>
      </w:r>
    </w:p>
  </w:footnote>
  <w:footnote w:id="10">
    <w:p w14:paraId="414CC8FD" w14:textId="77777777" w:rsidR="00AE0C3B" w:rsidRPr="001A71E4" w:rsidRDefault="00AE0C3B" w:rsidP="00AE0C3B">
      <w:pPr>
        <w:pStyle w:val="Textonotapie"/>
        <w:ind w:right="51" w:firstLine="709"/>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Pr="001A71E4">
        <w:rPr>
          <w:rFonts w:ascii="Verdana" w:hAnsi="Verdana" w:cs="Arial"/>
          <w:sz w:val="18"/>
          <w:szCs w:val="18"/>
          <w:lang w:val="es-ES"/>
        </w:rPr>
        <w:t xml:space="preserve">[26] </w:t>
      </w:r>
      <w:r w:rsidRPr="001A71E4">
        <w:rPr>
          <w:rFonts w:ascii="Verdana" w:hAnsi="Verdana" w:cs="Arial"/>
          <w:sz w:val="18"/>
          <w:szCs w:val="18"/>
        </w:rPr>
        <w:t>Al respecto ver el concepto 1712 de 2 de febrero de 2006. Consejo de Estado Sala de Consulta y Servicio Civil”.</w:t>
      </w:r>
    </w:p>
  </w:footnote>
  <w:footnote w:id="11">
    <w:p w14:paraId="39C765E8" w14:textId="1E57A1B0" w:rsidR="00AE0C3B" w:rsidRPr="001A71E4" w:rsidRDefault="00AE0C3B" w:rsidP="00AE0C3B">
      <w:pPr>
        <w:pStyle w:val="Textonotapie"/>
        <w:ind w:firstLine="709"/>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0049103F" w:rsidRPr="001A71E4">
        <w:rPr>
          <w:rFonts w:ascii="Verdana" w:hAnsi="Verdana" w:cs="Arial"/>
          <w:sz w:val="18"/>
          <w:szCs w:val="18"/>
        </w:rPr>
        <w:t>CONSEJO DE ESTADO</w:t>
      </w:r>
      <w:r w:rsidRPr="001A71E4">
        <w:rPr>
          <w:rFonts w:ascii="Verdana" w:hAnsi="Verdana" w:cs="Arial"/>
          <w:sz w:val="18"/>
          <w:szCs w:val="18"/>
        </w:rPr>
        <w:t>. Sala de Consulta y Servicio Civil. Concepto del 2 de septiembre de 2013. Radicación número: 11001-03-06-000-2013-00412-00 (2168). C.P: Álvaro Namén Vargas.</w:t>
      </w:r>
    </w:p>
  </w:footnote>
  <w:footnote w:id="12">
    <w:p w14:paraId="319D4083" w14:textId="77777777" w:rsidR="00AE0C3B" w:rsidRPr="001A71E4" w:rsidRDefault="00AE0C3B" w:rsidP="00AE0C3B">
      <w:pPr>
        <w:pStyle w:val="Textonotapie"/>
        <w:ind w:firstLine="709"/>
        <w:jc w:val="both"/>
        <w:rPr>
          <w:rFonts w:ascii="Verdana" w:hAnsi="Verdana" w:cs="Arial"/>
          <w:sz w:val="18"/>
          <w:szCs w:val="18"/>
          <w:lang w:val="es-ES"/>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Pr="001A71E4">
        <w:rPr>
          <w:rFonts w:ascii="Verdana" w:hAnsi="Verdana" w:cs="Arial"/>
          <w:sz w:val="18"/>
          <w:szCs w:val="18"/>
          <w:lang w:val="es-ES"/>
        </w:rPr>
        <w:t xml:space="preserve">Artículo 2. </w:t>
      </w:r>
    </w:p>
  </w:footnote>
  <w:footnote w:id="13">
    <w:p w14:paraId="78C0A326" w14:textId="77777777" w:rsidR="00AE0C3B" w:rsidRPr="001A71E4" w:rsidRDefault="00AE0C3B" w:rsidP="00AE0C3B">
      <w:pPr>
        <w:pStyle w:val="Textonotapie"/>
        <w:ind w:firstLine="709"/>
        <w:jc w:val="both"/>
        <w:rPr>
          <w:rFonts w:ascii="Verdana" w:hAnsi="Verdana" w:cs="Arial"/>
          <w:sz w:val="18"/>
          <w:szCs w:val="18"/>
          <w:lang w:val="es-ES"/>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Pr="001A71E4">
        <w:rPr>
          <w:rFonts w:ascii="Verdana" w:hAnsi="Verdana" w:cs="Arial"/>
          <w:i/>
          <w:sz w:val="18"/>
          <w:szCs w:val="18"/>
          <w:lang w:val="es-ES"/>
        </w:rPr>
        <w:t>Ídem</w:t>
      </w:r>
      <w:r w:rsidRPr="001A71E4">
        <w:rPr>
          <w:rFonts w:ascii="Verdana" w:hAnsi="Verdana" w:cs="Arial"/>
          <w:sz w:val="18"/>
          <w:szCs w:val="18"/>
          <w:lang w:val="es-ES"/>
        </w:rPr>
        <w:t>.</w:t>
      </w:r>
    </w:p>
  </w:footnote>
  <w:footnote w:id="14">
    <w:p w14:paraId="113FE68A" w14:textId="694C5E5C" w:rsidR="00AE0C3B" w:rsidRPr="001A71E4" w:rsidRDefault="00AE0C3B" w:rsidP="00AE0C3B">
      <w:pPr>
        <w:pStyle w:val="Textonotapie"/>
        <w:ind w:firstLine="709"/>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0049103F" w:rsidRPr="001A71E4">
        <w:rPr>
          <w:rFonts w:ascii="Verdana" w:hAnsi="Verdana" w:cs="Arial"/>
          <w:sz w:val="18"/>
          <w:szCs w:val="18"/>
        </w:rPr>
        <w:t>CONSEJO DE ESTADO</w:t>
      </w:r>
      <w:r w:rsidRPr="001A71E4">
        <w:rPr>
          <w:rFonts w:ascii="Verdana" w:hAnsi="Verdana" w:cs="Arial"/>
          <w:sz w:val="18"/>
          <w:szCs w:val="18"/>
        </w:rPr>
        <w:t>. Sala de Consulta y Servicio Civil. Concepto del 08 de mayo de 2018. Exp. 2.382. C.P. Álvaro Namén Vargas.</w:t>
      </w:r>
    </w:p>
  </w:footnote>
  <w:footnote w:id="15">
    <w:p w14:paraId="5B7BE7D1" w14:textId="1934F6CC" w:rsidR="00AE0C3B" w:rsidRPr="001A71E4" w:rsidRDefault="00AE0C3B" w:rsidP="00AE0C3B">
      <w:pPr>
        <w:pStyle w:val="Textonotapie"/>
        <w:ind w:firstLine="708"/>
        <w:jc w:val="both"/>
        <w:rPr>
          <w:rFonts w:ascii="Verdana" w:hAnsi="Verdana"/>
          <w:sz w:val="18"/>
          <w:szCs w:val="18"/>
          <w:lang w:val="es-ES"/>
        </w:rPr>
      </w:pPr>
      <w:r w:rsidRPr="001A71E4">
        <w:rPr>
          <w:rStyle w:val="Refdenotaalpie"/>
          <w:rFonts w:ascii="Verdana" w:hAnsi="Verdana"/>
          <w:sz w:val="18"/>
          <w:szCs w:val="18"/>
        </w:rPr>
        <w:footnoteRef/>
      </w:r>
      <w:r w:rsidRPr="001A71E4">
        <w:rPr>
          <w:rFonts w:ascii="Verdana" w:hAnsi="Verdana"/>
          <w:sz w:val="18"/>
          <w:szCs w:val="18"/>
        </w:rPr>
        <w:t xml:space="preserve"> </w:t>
      </w:r>
      <w:r w:rsidR="0049103F" w:rsidRPr="001A71E4">
        <w:rPr>
          <w:rFonts w:ascii="Verdana" w:hAnsi="Verdana" w:cs="Arial"/>
          <w:sz w:val="18"/>
          <w:szCs w:val="18"/>
          <w:lang w:val="es-ES"/>
        </w:rPr>
        <w:t>CONSEJO DE ESTADO</w:t>
      </w:r>
      <w:r w:rsidRPr="001A71E4">
        <w:rPr>
          <w:rFonts w:ascii="Verdana" w:hAnsi="Verdana" w:cs="Arial"/>
          <w:sz w:val="18"/>
          <w:szCs w:val="18"/>
          <w:lang w:val="es-ES"/>
        </w:rPr>
        <w:t xml:space="preserve">, Sala de Consulta y Servicio Civil, Concepto de fecha 8 de mayo de 2018, No. </w:t>
      </w:r>
      <w:r w:rsidRPr="001A71E4">
        <w:rPr>
          <w:rFonts w:ascii="Verdana" w:hAnsi="Verdana"/>
          <w:sz w:val="18"/>
          <w:szCs w:val="18"/>
        </w:rPr>
        <w:t>2382. C. P. Álvaro Namén Vargas.</w:t>
      </w:r>
    </w:p>
  </w:footnote>
  <w:footnote w:id="16">
    <w:p w14:paraId="3B7912CB" w14:textId="572F41ED" w:rsidR="00AE0C3B" w:rsidRPr="001A71E4" w:rsidRDefault="00AE0C3B" w:rsidP="00AE0C3B">
      <w:pPr>
        <w:spacing w:after="0" w:line="240" w:lineRule="auto"/>
        <w:ind w:firstLine="709"/>
        <w:jc w:val="both"/>
        <w:rPr>
          <w:rFonts w:ascii="Verdana" w:hAnsi="Verdana" w:cs="Arial"/>
          <w:color w:val="000000" w:themeColor="text1"/>
          <w:sz w:val="18"/>
          <w:szCs w:val="18"/>
        </w:rPr>
      </w:pPr>
      <w:r w:rsidRPr="001A71E4">
        <w:rPr>
          <w:rStyle w:val="Refdenotaalpie"/>
          <w:rFonts w:ascii="Verdana" w:hAnsi="Verdana" w:cs="Arial"/>
          <w:color w:val="000000" w:themeColor="text1"/>
          <w:sz w:val="18"/>
          <w:szCs w:val="18"/>
        </w:rPr>
        <w:footnoteRef/>
      </w:r>
      <w:r w:rsidRPr="001A71E4">
        <w:rPr>
          <w:rFonts w:ascii="Verdana" w:hAnsi="Verdana" w:cs="Arial"/>
          <w:color w:val="000000" w:themeColor="text1"/>
          <w:sz w:val="18"/>
          <w:szCs w:val="18"/>
        </w:rPr>
        <w:t xml:space="preserve"> </w:t>
      </w:r>
      <w:r w:rsidR="0049103F" w:rsidRPr="001A71E4">
        <w:rPr>
          <w:rFonts w:ascii="Verdana" w:hAnsi="Verdana" w:cs="Arial"/>
          <w:color w:val="000000" w:themeColor="text1"/>
          <w:sz w:val="18"/>
          <w:szCs w:val="18"/>
        </w:rPr>
        <w:t>CONSEJO DE ESTADO</w:t>
      </w:r>
      <w:r w:rsidRPr="001A71E4">
        <w:rPr>
          <w:rFonts w:ascii="Verdana" w:hAnsi="Verdana" w:cs="Arial"/>
          <w:color w:val="000000" w:themeColor="text1"/>
          <w:sz w:val="18"/>
          <w:szCs w:val="18"/>
        </w:rPr>
        <w:t>. Sala de Consulta y Servicio Civil. Concepto de 20 de febrero de 2006. Radicación Número: 11001-03-06-000-2006-00026-00(1727).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2ED2D5BB" w14:textId="77777777" w:rsidR="00AE0C3B" w:rsidRPr="001A71E4" w:rsidRDefault="00AE0C3B" w:rsidP="00AE0C3B">
      <w:pPr>
        <w:pStyle w:val="Textonotapie"/>
        <w:ind w:firstLine="708"/>
        <w:jc w:val="both"/>
        <w:rPr>
          <w:rFonts w:ascii="Verdana" w:hAnsi="Verdana" w:cs="Arial"/>
          <w:color w:val="000000" w:themeColor="text1"/>
          <w:sz w:val="18"/>
          <w:szCs w:val="18"/>
        </w:rPr>
      </w:pPr>
      <w:r w:rsidRPr="001A71E4">
        <w:rPr>
          <w:rStyle w:val="Refdenotaalpie"/>
          <w:rFonts w:ascii="Verdana" w:hAnsi="Verdana" w:cs="Arial"/>
          <w:color w:val="000000" w:themeColor="text1"/>
          <w:sz w:val="18"/>
          <w:szCs w:val="18"/>
        </w:rPr>
        <w:footnoteRef/>
      </w:r>
      <w:r w:rsidRPr="001A71E4">
        <w:rPr>
          <w:rFonts w:ascii="Verdana" w:hAnsi="Verdana" w:cs="Arial"/>
          <w:color w:val="000000" w:themeColor="text1"/>
          <w:sz w:val="18"/>
          <w:szCs w:val="18"/>
        </w:rPr>
        <w:t xml:space="preserve"> Consejo de Estado. Sala de Consulta y Servicio Civil. Concepto del 18 de febrero 2010. Rad. 11001-03-06-000-2010-00006-00 (1985). C.P: Enrique José Arboleda Perdomo.</w:t>
      </w:r>
    </w:p>
  </w:footnote>
  <w:footnote w:id="18">
    <w:p w14:paraId="695E348F" w14:textId="77777777" w:rsidR="00AE0C3B" w:rsidRPr="001A71E4" w:rsidRDefault="00AE0C3B" w:rsidP="00AE0C3B">
      <w:pPr>
        <w:pStyle w:val="Textonotapie"/>
        <w:ind w:firstLine="708"/>
        <w:jc w:val="both"/>
        <w:rPr>
          <w:rFonts w:ascii="Verdana" w:hAnsi="Verdana" w:cs="Arial"/>
          <w:color w:val="000000" w:themeColor="text1"/>
          <w:sz w:val="18"/>
          <w:szCs w:val="18"/>
        </w:rPr>
      </w:pPr>
      <w:r w:rsidRPr="001A71E4">
        <w:rPr>
          <w:rStyle w:val="Refdenotaalpie"/>
          <w:rFonts w:ascii="Verdana" w:hAnsi="Verdana" w:cs="Arial"/>
          <w:color w:val="000000" w:themeColor="text1"/>
          <w:sz w:val="18"/>
          <w:szCs w:val="18"/>
        </w:rPr>
        <w:footnoteRef/>
      </w:r>
      <w:r w:rsidRPr="001A71E4">
        <w:rPr>
          <w:rFonts w:ascii="Verdana" w:hAnsi="Verdana" w:cs="Arial"/>
          <w:color w:val="000000" w:themeColor="text1"/>
          <w:sz w:val="18"/>
          <w:szCs w:val="18"/>
        </w:rPr>
        <w:t xml:space="preserve"> Consejo de Estado. Sala de Consulta y Servicio Civil. Concepto del 02 de septiembre de 2013. Rad. 11001-03-06-000-2013-00412-00 (2168). C.P: Álvaro Namén Vargas.</w:t>
      </w:r>
    </w:p>
  </w:footnote>
  <w:footnote w:id="19">
    <w:p w14:paraId="5E1332AE" w14:textId="77777777" w:rsidR="00AE0C3B" w:rsidRPr="001A71E4" w:rsidRDefault="00AE0C3B" w:rsidP="00AE0C3B">
      <w:pPr>
        <w:pStyle w:val="Textonotapie"/>
        <w:ind w:firstLine="709"/>
        <w:jc w:val="both"/>
        <w:rPr>
          <w:rFonts w:ascii="Verdana" w:hAnsi="Verdana" w:cs="Arial"/>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218C2A29" w14:textId="01D821A5" w:rsidR="00AE0C3B" w:rsidRPr="001A71E4" w:rsidRDefault="00AE0C3B" w:rsidP="00AE0C3B">
      <w:pPr>
        <w:pStyle w:val="Textonotapie"/>
        <w:ind w:firstLine="709"/>
        <w:contextualSpacing/>
        <w:jc w:val="both"/>
        <w:rPr>
          <w:rFonts w:ascii="Verdana" w:hAnsi="Verdana" w:cs="Arial"/>
          <w:sz w:val="18"/>
          <w:szCs w:val="18"/>
        </w:rPr>
      </w:pPr>
      <w:r w:rsidRPr="001A71E4">
        <w:rPr>
          <w:rStyle w:val="Refdenotaalpie"/>
          <w:rFonts w:ascii="Verdana" w:hAnsi="Verdana"/>
          <w:sz w:val="18"/>
          <w:szCs w:val="18"/>
        </w:rPr>
        <w:footnoteRef/>
      </w:r>
      <w:r w:rsidRPr="001A71E4">
        <w:rPr>
          <w:rFonts w:ascii="Verdana" w:hAnsi="Verdana"/>
          <w:sz w:val="18"/>
          <w:szCs w:val="18"/>
        </w:rPr>
        <w:t xml:space="preserve"> </w:t>
      </w:r>
      <w:r w:rsidR="0049103F" w:rsidRPr="001A71E4">
        <w:rPr>
          <w:rFonts w:ascii="Verdana" w:hAnsi="Verdana" w:cs="Arial"/>
          <w:sz w:val="18"/>
          <w:szCs w:val="18"/>
        </w:rPr>
        <w:t>CONSEJO DE ESTADO</w:t>
      </w:r>
      <w:r w:rsidRPr="001A71E4">
        <w:rPr>
          <w:rFonts w:ascii="Verdana" w:hAnsi="Verdana" w:cs="Arial"/>
          <w:sz w:val="18"/>
          <w:szCs w:val="18"/>
        </w:rPr>
        <w:t xml:space="preserve"> -Sección Tercera-. Sentencia del 21 de febrero de 2025. Radicación Número: 68.280. CP: José Roberto Sáchica Méndez.</w:t>
      </w:r>
    </w:p>
  </w:footnote>
  <w:footnote w:id="21">
    <w:p w14:paraId="193A1E6B"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Fonts w:ascii="Verdana" w:hAnsi="Verdana"/>
          <w:sz w:val="18"/>
          <w:szCs w:val="18"/>
          <w:vertAlign w:val="superscript"/>
        </w:rPr>
        <w:footnoteRef/>
      </w:r>
      <w:r w:rsidRPr="001A71E4">
        <w:rPr>
          <w:rFonts w:ascii="Verdana" w:hAnsi="Verdana"/>
          <w:sz w:val="18"/>
          <w:szCs w:val="18"/>
          <w:vertAlign w:val="superscript"/>
        </w:rPr>
        <w:t xml:space="preserve"> </w:t>
      </w:r>
      <w:r w:rsidRPr="001A71E4">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5ADB933" w14:textId="77777777" w:rsidR="00AE0C3B" w:rsidRPr="001A71E4" w:rsidRDefault="00AE0C3B" w:rsidP="00AE0C3B">
      <w:pPr>
        <w:pStyle w:val="Textonotapie"/>
        <w:ind w:firstLine="709"/>
        <w:contextualSpacing/>
        <w:jc w:val="both"/>
        <w:rPr>
          <w:rFonts w:ascii="Verdana" w:hAnsi="Verdana" w:cs="Arial"/>
          <w:sz w:val="18"/>
          <w:szCs w:val="18"/>
        </w:rPr>
      </w:pPr>
    </w:p>
  </w:footnote>
  <w:footnote w:id="22">
    <w:p w14:paraId="54A6BA8F"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Fonts w:ascii="Verdana" w:hAnsi="Verdana"/>
          <w:sz w:val="18"/>
          <w:szCs w:val="18"/>
          <w:vertAlign w:val="superscript"/>
        </w:rPr>
        <w:footnoteRef/>
      </w:r>
      <w:r w:rsidRPr="001A71E4">
        <w:rPr>
          <w:rFonts w:ascii="Verdana" w:hAnsi="Verdana" w:cs="Arial"/>
          <w:sz w:val="18"/>
          <w:szCs w:val="18"/>
          <w:vertAlign w:val="superscript"/>
        </w:rPr>
        <w:t xml:space="preserve"> </w:t>
      </w:r>
      <w:r w:rsidRPr="001A71E4">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1B4FE268"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Fonts w:ascii="Verdana" w:hAnsi="Verdana" w:cs="Arial"/>
          <w:sz w:val="18"/>
          <w:szCs w:val="18"/>
        </w:rPr>
        <w:t>[…]”.</w:t>
      </w:r>
    </w:p>
  </w:footnote>
  <w:footnote w:id="23">
    <w:p w14:paraId="62AD7D2E" w14:textId="77777777" w:rsidR="00AE0C3B" w:rsidRPr="001A71E4" w:rsidRDefault="00AE0C3B" w:rsidP="00AE0C3B">
      <w:pPr>
        <w:pStyle w:val="Textonotapie"/>
        <w:ind w:firstLine="709"/>
        <w:contextualSpacing/>
        <w:jc w:val="both"/>
        <w:rPr>
          <w:rFonts w:ascii="Verdana" w:hAnsi="Verdana" w:cs="Arial"/>
          <w:sz w:val="18"/>
          <w:szCs w:val="18"/>
        </w:rPr>
      </w:pPr>
      <w:r w:rsidRPr="001A71E4">
        <w:rPr>
          <w:rFonts w:ascii="Verdana" w:hAnsi="Verdana"/>
          <w:sz w:val="18"/>
          <w:szCs w:val="18"/>
          <w:vertAlign w:val="superscript"/>
        </w:rPr>
        <w:footnoteRef/>
      </w:r>
      <w:r w:rsidRPr="001A71E4">
        <w:rPr>
          <w:rFonts w:ascii="Verdana" w:hAnsi="Verdana" w:cs="Arial"/>
          <w:sz w:val="18"/>
          <w:szCs w:val="18"/>
          <w:vertAlign w:val="superscript"/>
        </w:rPr>
        <w:t xml:space="preserve"> </w:t>
      </w:r>
      <w:r w:rsidRPr="001A71E4">
        <w:rPr>
          <w:rFonts w:ascii="Verdana" w:hAnsi="Verdana" w:cs="Arial"/>
          <w:sz w:val="18"/>
          <w:szCs w:val="18"/>
        </w:rPr>
        <w:t>Código Civil: “Artículo 27. Cuando el sentido de la ley sea claro, no se desatenderá su tenor a pretexto de consultar su espíritu”.</w:t>
      </w:r>
    </w:p>
  </w:footnote>
  <w:footnote w:id="24">
    <w:p w14:paraId="34A83FE7" w14:textId="282EB9D5" w:rsidR="00AE0C3B" w:rsidRPr="001A71E4" w:rsidRDefault="00AE0C3B" w:rsidP="00AE0C3B">
      <w:pPr>
        <w:pStyle w:val="Textonotapie"/>
        <w:ind w:firstLine="709"/>
        <w:contextualSpacing/>
        <w:jc w:val="both"/>
        <w:rPr>
          <w:rFonts w:ascii="Verdana" w:hAnsi="Verdana"/>
          <w:sz w:val="18"/>
          <w:szCs w:val="18"/>
          <w:lang w:val="es-CO"/>
        </w:rPr>
      </w:pPr>
      <w:r w:rsidRPr="001A71E4">
        <w:rPr>
          <w:rStyle w:val="Refdenotaalpie"/>
          <w:rFonts w:ascii="Verdana" w:hAnsi="Verdana"/>
          <w:sz w:val="18"/>
          <w:szCs w:val="18"/>
        </w:rPr>
        <w:footnoteRef/>
      </w:r>
      <w:r w:rsidRPr="001A71E4">
        <w:rPr>
          <w:rFonts w:ascii="Verdana" w:hAnsi="Verdana"/>
          <w:sz w:val="18"/>
          <w:szCs w:val="18"/>
          <w:lang w:val="es-CO"/>
        </w:rPr>
        <w:t xml:space="preserve"> </w:t>
      </w:r>
      <w:r w:rsidR="0049103F" w:rsidRPr="001A71E4">
        <w:rPr>
          <w:rFonts w:ascii="Verdana" w:hAnsi="Verdana"/>
          <w:sz w:val="18"/>
          <w:szCs w:val="18"/>
          <w:lang w:val="es-CO"/>
        </w:rPr>
        <w:t>CONSEJO DE ESTADO</w:t>
      </w:r>
      <w:r w:rsidRPr="001A71E4">
        <w:rPr>
          <w:rFonts w:ascii="Verdana" w:hAnsi="Verdana"/>
          <w:sz w:val="18"/>
          <w:szCs w:val="18"/>
          <w:lang w:val="es-CO"/>
        </w:rPr>
        <w:t>, Sección Tercera. Auto del 4 de octubre de 2024. Exp. 70.313. C.P: Fredy Ibarra Martínez.</w:t>
      </w:r>
    </w:p>
  </w:footnote>
  <w:footnote w:id="25">
    <w:p w14:paraId="35A853DD" w14:textId="77777777" w:rsidR="00AE0C3B" w:rsidRPr="001A71E4" w:rsidRDefault="00AE0C3B" w:rsidP="00AE0C3B">
      <w:pPr>
        <w:pStyle w:val="Textonotapie"/>
        <w:ind w:firstLine="709"/>
        <w:contextualSpacing/>
        <w:jc w:val="both"/>
        <w:rPr>
          <w:rFonts w:ascii="Verdana" w:hAnsi="Verdana"/>
          <w:sz w:val="18"/>
          <w:szCs w:val="18"/>
          <w:lang w:val="es-CO"/>
        </w:rPr>
      </w:pPr>
      <w:r w:rsidRPr="001A71E4">
        <w:rPr>
          <w:rStyle w:val="Refdenotaalpie"/>
          <w:rFonts w:ascii="Verdana" w:hAnsi="Verdana"/>
          <w:sz w:val="18"/>
          <w:szCs w:val="18"/>
        </w:rPr>
        <w:footnoteRef/>
      </w:r>
      <w:r w:rsidRPr="001A71E4">
        <w:rPr>
          <w:rFonts w:ascii="Verdana" w:hAnsi="Verdana"/>
          <w:sz w:val="18"/>
          <w:szCs w:val="18"/>
        </w:rPr>
        <w:t xml:space="preserve"> La parte resolutiva del auto dispone lo siguiente; “</w:t>
      </w:r>
      <w:r w:rsidRPr="001A71E4">
        <w:rPr>
          <w:rFonts w:ascii="Verdana" w:hAnsi="Verdana"/>
          <w:b/>
          <w:sz w:val="18"/>
          <w:szCs w:val="18"/>
          <w:lang w:val="es-CO"/>
        </w:rPr>
        <w:t xml:space="preserve">PRIMERO: DECRETAR </w:t>
      </w:r>
      <w:r w:rsidRPr="001A71E4">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A71E4">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A71E4">
        <w:rPr>
          <w:rFonts w:ascii="Verdana" w:hAnsi="Verdana"/>
          <w:sz w:val="18"/>
          <w:szCs w:val="18"/>
          <w:lang w:val="es-CO"/>
        </w:rPr>
        <w:t xml:space="preserve">, por las razones expuestas en precedencia. </w:t>
      </w:r>
    </w:p>
    <w:p w14:paraId="15A6220D" w14:textId="77777777" w:rsidR="00AE0C3B" w:rsidRPr="001A71E4" w:rsidRDefault="00AE0C3B" w:rsidP="00AE0C3B">
      <w:pPr>
        <w:pStyle w:val="Textonotapie"/>
        <w:ind w:firstLine="709"/>
        <w:contextualSpacing/>
        <w:jc w:val="both"/>
        <w:rPr>
          <w:rFonts w:ascii="Verdana" w:hAnsi="Verdana"/>
          <w:sz w:val="18"/>
          <w:szCs w:val="18"/>
          <w:lang w:val="es-CO"/>
        </w:rPr>
      </w:pPr>
      <w:r w:rsidRPr="001A71E4">
        <w:rPr>
          <w:rFonts w:ascii="Verdana" w:hAnsi="Verdana"/>
          <w:b/>
          <w:sz w:val="18"/>
          <w:szCs w:val="18"/>
          <w:lang w:val="es-CO"/>
        </w:rPr>
        <w:t xml:space="preserve">SEGUNDO: DECRETAR </w:t>
      </w:r>
      <w:r w:rsidRPr="001A71E4">
        <w:rPr>
          <w:rFonts w:ascii="Verdana" w:hAnsi="Verdana"/>
          <w:sz w:val="18"/>
          <w:szCs w:val="18"/>
          <w:lang w:val="es-CO"/>
        </w:rPr>
        <w:t>la suspensión provisional de la expresión “</w:t>
      </w:r>
      <w:r w:rsidRPr="001A71E4">
        <w:rPr>
          <w:rFonts w:ascii="Verdana" w:hAnsi="Verdana"/>
          <w:i/>
          <w:sz w:val="18"/>
          <w:szCs w:val="18"/>
          <w:lang w:val="es-CO"/>
        </w:rPr>
        <w:t>contratos</w:t>
      </w:r>
      <w:r w:rsidRPr="001A71E4">
        <w:rPr>
          <w:rFonts w:ascii="Verdana" w:hAnsi="Verdana"/>
          <w:sz w:val="18"/>
          <w:szCs w:val="18"/>
          <w:lang w:val="es-CO"/>
        </w:rPr>
        <w:t xml:space="preserve">” y del párrafo </w:t>
      </w:r>
      <w:r w:rsidRPr="001A71E4">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A71E4">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6">
    <w:p w14:paraId="2174FB41" w14:textId="77777777" w:rsidR="00AE0C3B" w:rsidRPr="001A71E4" w:rsidRDefault="00AE0C3B" w:rsidP="00AE0C3B">
      <w:pPr>
        <w:spacing w:after="0" w:line="240" w:lineRule="auto"/>
        <w:ind w:firstLine="709"/>
        <w:contextualSpacing/>
        <w:jc w:val="both"/>
        <w:rPr>
          <w:rFonts w:ascii="Verdana" w:eastAsia="Times New Roman" w:hAnsi="Verdana" w:cs="Times New Roman"/>
          <w:sz w:val="18"/>
          <w:szCs w:val="18"/>
          <w:lang w:eastAsia="es-ES"/>
        </w:rPr>
      </w:pPr>
      <w:r w:rsidRPr="001A71E4">
        <w:rPr>
          <w:rStyle w:val="Refdenotaalpie"/>
          <w:rFonts w:ascii="Verdana" w:hAnsi="Verdana"/>
          <w:sz w:val="18"/>
          <w:szCs w:val="18"/>
        </w:rPr>
        <w:footnoteRef/>
      </w:r>
      <w:r w:rsidRPr="001A71E4">
        <w:rPr>
          <w:rFonts w:ascii="Verdana" w:hAnsi="Verdana"/>
          <w:sz w:val="18"/>
          <w:szCs w:val="18"/>
        </w:rPr>
        <w:t xml:space="preserve"> </w:t>
      </w:r>
      <w:r w:rsidRPr="001A71E4">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1A71E4">
        <w:rPr>
          <w:rFonts w:ascii="Verdana" w:hAnsi="Verdana"/>
          <w:sz w:val="18"/>
          <w:szCs w:val="18"/>
        </w:rPr>
        <w:t xml:space="preserve">La parte de la providencia señala: </w:t>
      </w:r>
      <w:r w:rsidRPr="001A71E4">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1FD7BEBD" w14:textId="77777777" w:rsidR="00AE0C3B" w:rsidRPr="001A71E4" w:rsidRDefault="00AE0C3B" w:rsidP="00AE0C3B">
      <w:pPr>
        <w:pStyle w:val="Textonotapie"/>
        <w:ind w:firstLine="709"/>
        <w:jc w:val="both"/>
        <w:rPr>
          <w:rFonts w:ascii="Verdana" w:hAnsi="Verdana"/>
          <w:sz w:val="18"/>
          <w:szCs w:val="18"/>
          <w:lang w:val="es-CO"/>
        </w:rPr>
      </w:pPr>
      <w:r w:rsidRPr="001A71E4">
        <w:rPr>
          <w:rStyle w:val="Refdenotaalpie"/>
          <w:rFonts w:ascii="Verdana" w:hAnsi="Verdana"/>
          <w:sz w:val="18"/>
          <w:szCs w:val="18"/>
        </w:rPr>
        <w:footnoteRef/>
      </w:r>
      <w:r w:rsidRPr="001A71E4">
        <w:rPr>
          <w:rFonts w:ascii="Verdana" w:hAnsi="Verdana"/>
          <w:sz w:val="18"/>
          <w:szCs w:val="18"/>
        </w:rPr>
        <w:t xml:space="preserve"> No </w:t>
      </w:r>
      <w:proofErr w:type="gramStart"/>
      <w:r w:rsidRPr="001A71E4">
        <w:rPr>
          <w:rFonts w:ascii="Verdana" w:hAnsi="Verdana"/>
          <w:sz w:val="18"/>
          <w:szCs w:val="18"/>
        </w:rPr>
        <w:t>obstante</w:t>
      </w:r>
      <w:proofErr w:type="gramEnd"/>
      <w:r w:rsidRPr="001A71E4">
        <w:rPr>
          <w:rFonts w:ascii="Verdana" w:hAnsi="Verdana"/>
          <w:sz w:val="18"/>
          <w:szCs w:val="18"/>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8">
    <w:p w14:paraId="21053330" w14:textId="77777777" w:rsidR="008A03C0" w:rsidRPr="001A71E4" w:rsidRDefault="008A03C0" w:rsidP="008A03C0">
      <w:pPr>
        <w:pStyle w:val="Textonotapie"/>
        <w:ind w:firstLine="708"/>
        <w:contextualSpacing/>
        <w:jc w:val="both"/>
        <w:rPr>
          <w:rFonts w:ascii="Verdana" w:hAnsi="Verdana"/>
          <w:sz w:val="18"/>
          <w:szCs w:val="18"/>
        </w:rPr>
      </w:pPr>
      <w:r w:rsidRPr="001A71E4">
        <w:rPr>
          <w:rStyle w:val="Refdenotaalpie"/>
          <w:rFonts w:ascii="Verdana" w:hAnsi="Verdana" w:cs="Arial"/>
          <w:sz w:val="18"/>
          <w:szCs w:val="18"/>
        </w:rPr>
        <w:footnoteRef/>
      </w:r>
      <w:r w:rsidRPr="001A71E4">
        <w:rPr>
          <w:rFonts w:ascii="Verdana" w:hAnsi="Verdana" w:cs="Arial"/>
          <w:sz w:val="18"/>
          <w:szCs w:val="18"/>
        </w:rPr>
        <w:t xml:space="preserve"> </w:t>
      </w:r>
      <w:r w:rsidRPr="001A71E4">
        <w:rPr>
          <w:rFonts w:ascii="Verdana" w:hAnsi="Verdana"/>
          <w:sz w:val="18"/>
          <w:szCs w:val="18"/>
        </w:rPr>
        <w:t>Por la cual se modifica la Ley 29 de 1990, se transforma a Colciencias en Departamento Administrativo, se fortalece el Sistema Nacional de Ciencia, Tecnología e Innovación&lt;</w:t>
      </w:r>
      <w:hyperlink r:id="rId1" w:anchor="1" w:history="1">
        <w:r w:rsidRPr="001A71E4">
          <w:rPr>
            <w:rFonts w:ascii="Verdana" w:hAnsi="Verdana"/>
            <w:sz w:val="18"/>
            <w:szCs w:val="18"/>
          </w:rPr>
          <w:t>1</w:t>
        </w:r>
      </w:hyperlink>
      <w:r w:rsidRPr="001A71E4">
        <w:rPr>
          <w:rFonts w:ascii="Verdana" w:hAnsi="Verdana"/>
          <w:sz w:val="18"/>
          <w:szCs w:val="18"/>
        </w:rPr>
        <w:t>&gt; en Colombia y se dictan otras disposiciones.</w:t>
      </w:r>
    </w:p>
  </w:footnote>
  <w:footnote w:id="29">
    <w:p w14:paraId="5F896EA6" w14:textId="77777777" w:rsidR="008A03C0" w:rsidRPr="001A71E4" w:rsidRDefault="008A03C0" w:rsidP="008A03C0">
      <w:pPr>
        <w:pStyle w:val="Textonotapie"/>
        <w:ind w:firstLine="708"/>
        <w:contextualSpacing/>
        <w:jc w:val="both"/>
        <w:rPr>
          <w:rFonts w:ascii="Verdana" w:hAnsi="Verdana"/>
          <w:sz w:val="18"/>
          <w:szCs w:val="18"/>
        </w:rPr>
      </w:pPr>
      <w:r w:rsidRPr="001A71E4">
        <w:rPr>
          <w:rStyle w:val="Refdenotaalpie"/>
          <w:rFonts w:ascii="Verdana" w:hAnsi="Verdana"/>
          <w:sz w:val="18"/>
          <w:szCs w:val="18"/>
        </w:rPr>
        <w:footnoteRef/>
      </w:r>
      <w:r w:rsidRPr="001A71E4">
        <w:rPr>
          <w:rFonts w:ascii="Verdana" w:hAnsi="Verdana"/>
          <w:sz w:val="18"/>
          <w:szCs w:val="18"/>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3666ACF6" w14:textId="77777777" w:rsidR="008A03C0" w:rsidRPr="001A71E4" w:rsidRDefault="008A03C0" w:rsidP="008A03C0">
      <w:pPr>
        <w:pStyle w:val="Textonotapie"/>
        <w:ind w:firstLine="708"/>
        <w:contextualSpacing/>
        <w:jc w:val="both"/>
        <w:rPr>
          <w:rFonts w:ascii="Verdana" w:hAnsi="Verdana"/>
          <w:sz w:val="18"/>
          <w:szCs w:val="18"/>
        </w:rPr>
      </w:pPr>
      <w:r w:rsidRPr="001A71E4">
        <w:rPr>
          <w:rFonts w:ascii="Verdana" w:hAnsi="Verdana"/>
          <w:sz w:val="18"/>
          <w:szCs w:val="18"/>
        </w:rPr>
        <w:t>1. Mediante la creación y organización de sociedades civiles y comerciales y personas jurídicas sin ánimo de lucro como corporaciones y fundaciones. </w:t>
      </w:r>
    </w:p>
    <w:p w14:paraId="1C0622A6" w14:textId="77777777" w:rsidR="008A03C0" w:rsidRPr="001A71E4" w:rsidRDefault="008A03C0" w:rsidP="008A03C0">
      <w:pPr>
        <w:pStyle w:val="Textonotapie"/>
        <w:ind w:firstLine="708"/>
        <w:contextualSpacing/>
        <w:jc w:val="both"/>
        <w:rPr>
          <w:rFonts w:ascii="Verdana" w:hAnsi="Verdana"/>
          <w:sz w:val="18"/>
          <w:szCs w:val="18"/>
        </w:rPr>
      </w:pPr>
      <w:r w:rsidRPr="001A71E4">
        <w:rPr>
          <w:rFonts w:ascii="Verdana" w:hAnsi="Verdana"/>
          <w:sz w:val="18"/>
          <w:szCs w:val="18"/>
        </w:rPr>
        <w:t>2. Mediante la celebración de convenios especiales de cooperación”. </w:t>
      </w:r>
    </w:p>
    <w:p w14:paraId="326C0682" w14:textId="77777777" w:rsidR="008A03C0" w:rsidRPr="001A71E4" w:rsidRDefault="008A03C0" w:rsidP="008A03C0">
      <w:pPr>
        <w:pStyle w:val="Textonotapie"/>
        <w:ind w:firstLine="708"/>
        <w:contextualSpacing/>
        <w:jc w:val="both"/>
        <w:rPr>
          <w:rFonts w:ascii="Verdana" w:hAnsi="Verdana"/>
          <w:sz w:val="18"/>
          <w:szCs w:val="18"/>
        </w:rPr>
      </w:pPr>
      <w:r w:rsidRPr="001A71E4">
        <w:rPr>
          <w:rFonts w:ascii="Verdana" w:hAnsi="Verdana"/>
          <w:sz w:val="18"/>
          <w:szCs w:val="18"/>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30">
    <w:p w14:paraId="754278A6" w14:textId="77777777" w:rsidR="008A03C0" w:rsidRPr="001A71E4" w:rsidRDefault="008A03C0" w:rsidP="008A03C0">
      <w:pPr>
        <w:pStyle w:val="Textonotapie"/>
        <w:ind w:firstLine="708"/>
        <w:contextualSpacing/>
        <w:jc w:val="both"/>
        <w:rPr>
          <w:rFonts w:ascii="Verdana" w:hAnsi="Verdana"/>
          <w:sz w:val="18"/>
          <w:szCs w:val="18"/>
          <w:lang w:val="es-ES"/>
        </w:rPr>
      </w:pPr>
      <w:r w:rsidRPr="001A71E4">
        <w:rPr>
          <w:rStyle w:val="Refdenotaalpie"/>
          <w:rFonts w:ascii="Verdana" w:hAnsi="Verdana"/>
          <w:sz w:val="18"/>
          <w:szCs w:val="18"/>
        </w:rPr>
        <w:footnoteRef/>
      </w:r>
      <w:r w:rsidRPr="001A71E4">
        <w:rPr>
          <w:rFonts w:ascii="Verdana" w:hAnsi="Verdana"/>
          <w:sz w:val="18"/>
          <w:szCs w:val="18"/>
        </w:rPr>
        <w:t xml:space="preserve"> </w:t>
      </w:r>
      <w:r w:rsidRPr="001A71E4">
        <w:rPr>
          <w:rFonts w:ascii="Verdana" w:hAnsi="Verdana"/>
          <w:sz w:val="18"/>
          <w:szCs w:val="18"/>
          <w:lang w:val="es-CO"/>
        </w:rPr>
        <w:t>Consejo de Estado. Sala de Consulta y Servicio Civil. Concepto del ocho (08) de marzo de dos mil diecisiete (2017). Radicación número: 11001-03-06-000-2016-00102-00(2298). C.P. Edgar González López.</w:t>
      </w:r>
    </w:p>
  </w:footnote>
  <w:footnote w:id="31">
    <w:p w14:paraId="33ECB6DA" w14:textId="77777777" w:rsidR="00B55A63" w:rsidRPr="001A71E4" w:rsidRDefault="00B55A63" w:rsidP="00540B34">
      <w:pPr>
        <w:pStyle w:val="Textonotapie"/>
        <w:ind w:firstLine="709"/>
        <w:jc w:val="both"/>
        <w:rPr>
          <w:rFonts w:ascii="Verdana" w:hAnsi="Verdana" w:cs="Arial"/>
          <w:color w:val="000000" w:themeColor="text1"/>
          <w:sz w:val="18"/>
          <w:szCs w:val="18"/>
        </w:rPr>
      </w:pPr>
      <w:r w:rsidRPr="001A71E4">
        <w:rPr>
          <w:rStyle w:val="Refdenotaalpie"/>
          <w:rFonts w:ascii="Verdana" w:hAnsi="Verdana" w:cs="Arial"/>
          <w:sz w:val="18"/>
          <w:szCs w:val="18"/>
        </w:rPr>
        <w:footnoteRef/>
      </w:r>
      <w:r w:rsidRPr="001A71E4">
        <w:rPr>
          <w:rFonts w:ascii="Verdana" w:hAnsi="Verdana" w:cs="Arial"/>
          <w:color w:val="000000" w:themeColor="text1"/>
          <w:sz w:val="18"/>
          <w:szCs w:val="18"/>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1B2FA044" w14:textId="77777777" w:rsidR="00B55A63" w:rsidRPr="001A71E4" w:rsidRDefault="00B55A63" w:rsidP="00540B34">
      <w:pPr>
        <w:pStyle w:val="Textonotapie"/>
        <w:ind w:firstLine="709"/>
        <w:jc w:val="both"/>
        <w:rPr>
          <w:rFonts w:ascii="Verdana" w:hAnsi="Verdana" w:cs="Arial"/>
          <w:color w:val="000000" w:themeColor="text1"/>
          <w:sz w:val="18"/>
          <w:szCs w:val="18"/>
        </w:rPr>
      </w:pPr>
      <w:r w:rsidRPr="001A71E4">
        <w:rPr>
          <w:rFonts w:ascii="Verdana" w:hAnsi="Verdana" w:cs="Arial"/>
          <w:color w:val="000000" w:themeColor="text1"/>
          <w:sz w:val="18"/>
          <w:szCs w:val="18"/>
        </w:rPr>
        <w:t>“El Documento CONPES 4069 de 2021, donde se define cuáles son estas actividades de los actores del Sistema Nacional de Ciencia, Tecnología e Innovación.</w:t>
      </w:r>
    </w:p>
    <w:p w14:paraId="0D2406BB" w14:textId="77777777" w:rsidR="00B55A63" w:rsidRPr="001A71E4" w:rsidRDefault="00B55A63" w:rsidP="00540B34">
      <w:pPr>
        <w:pStyle w:val="Textonotapie"/>
        <w:ind w:firstLine="709"/>
        <w:jc w:val="both"/>
        <w:rPr>
          <w:rFonts w:ascii="Verdana" w:hAnsi="Verdana" w:cs="Arial"/>
          <w:color w:val="000000" w:themeColor="text1"/>
          <w:sz w:val="18"/>
          <w:szCs w:val="18"/>
        </w:rPr>
      </w:pPr>
      <w:r w:rsidRPr="001A71E4">
        <w:rPr>
          <w:rFonts w:ascii="Verdana" w:hAnsi="Verdana" w:cs="Arial"/>
          <w:color w:val="000000" w:themeColor="text1"/>
          <w:sz w:val="18"/>
          <w:szCs w:val="18"/>
        </w:rPr>
        <w:t>“En caso de que las Entidades Estatales no tengan certeza sobre la catalogación de las actividades científicas, tecnológicas y de innovación, deben acudir al Ministerio de Ciencia, Tecnología e Innovación, autoridad competente en la materia.”</w:t>
      </w:r>
    </w:p>
  </w:footnote>
  <w:footnote w:id="32">
    <w:p w14:paraId="220CFA1C" w14:textId="615FF5CB" w:rsidR="00645EAA" w:rsidRPr="0049103F" w:rsidRDefault="00645EAA" w:rsidP="00645EAA">
      <w:pPr>
        <w:pStyle w:val="Textonotapie"/>
        <w:ind w:firstLine="708"/>
        <w:jc w:val="both"/>
        <w:rPr>
          <w:rFonts w:ascii="Verdana" w:hAnsi="Verdana"/>
          <w:sz w:val="16"/>
          <w:szCs w:val="16"/>
          <w:lang w:val="es-ES"/>
        </w:rPr>
      </w:pPr>
      <w:r w:rsidRPr="001A71E4">
        <w:rPr>
          <w:rStyle w:val="Refdenotaalpie"/>
          <w:rFonts w:ascii="Verdana" w:hAnsi="Verdana" w:cs="Arial"/>
          <w:sz w:val="18"/>
          <w:szCs w:val="18"/>
        </w:rPr>
        <w:footnoteRef/>
      </w:r>
      <w:r w:rsidRPr="001A71E4">
        <w:rPr>
          <w:rFonts w:ascii="Verdana" w:hAnsi="Verdana" w:cs="Arial"/>
          <w:sz w:val="18"/>
          <w:szCs w:val="18"/>
        </w:rPr>
        <w:t xml:space="preserve">  Consejo de Estado. Sala de consulta y </w:t>
      </w:r>
      <w:r w:rsidR="00C87F70" w:rsidRPr="001A71E4">
        <w:rPr>
          <w:rFonts w:ascii="Verdana" w:hAnsi="Verdana" w:cs="Arial"/>
          <w:sz w:val="18"/>
          <w:szCs w:val="18"/>
        </w:rPr>
        <w:t xml:space="preserve">Servicio Civil. </w:t>
      </w:r>
      <w:r w:rsidRPr="001A71E4">
        <w:rPr>
          <w:rFonts w:ascii="Verdana" w:hAnsi="Verdana" w:cs="Arial"/>
          <w:sz w:val="18"/>
          <w:szCs w:val="18"/>
        </w:rPr>
        <w:t>Concepto del 26 de noviembre del 2009. C.P. Luis Fernando Álvarez Jaramillo. Radicado Nro. 11001-03-06-000-2009-0062-00 (1974)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2A7397"/>
    <w:multiLevelType w:val="hybridMultilevel"/>
    <w:tmpl w:val="5F0CAC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1864202067">
    <w:abstractNumId w:val="11"/>
  </w:num>
  <w:num w:numId="18" w16cid:durableId="13239695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6E5"/>
    <w:rsid w:val="00016F78"/>
    <w:rsid w:val="00017A6E"/>
    <w:rsid w:val="00024404"/>
    <w:rsid w:val="000249D7"/>
    <w:rsid w:val="000274E5"/>
    <w:rsid w:val="00030153"/>
    <w:rsid w:val="00031ECE"/>
    <w:rsid w:val="00037143"/>
    <w:rsid w:val="00042A48"/>
    <w:rsid w:val="0004570A"/>
    <w:rsid w:val="00046945"/>
    <w:rsid w:val="000505A2"/>
    <w:rsid w:val="00050DED"/>
    <w:rsid w:val="00051C0F"/>
    <w:rsid w:val="00061B2A"/>
    <w:rsid w:val="00067281"/>
    <w:rsid w:val="00067B07"/>
    <w:rsid w:val="00080166"/>
    <w:rsid w:val="00082362"/>
    <w:rsid w:val="000A11AA"/>
    <w:rsid w:val="000A3123"/>
    <w:rsid w:val="000A683E"/>
    <w:rsid w:val="000A7C58"/>
    <w:rsid w:val="000B0A48"/>
    <w:rsid w:val="000B19B9"/>
    <w:rsid w:val="000B5D4A"/>
    <w:rsid w:val="000C447B"/>
    <w:rsid w:val="000C73AB"/>
    <w:rsid w:val="000D0334"/>
    <w:rsid w:val="000D0C2F"/>
    <w:rsid w:val="000D42B3"/>
    <w:rsid w:val="000D4E20"/>
    <w:rsid w:val="000D5DA7"/>
    <w:rsid w:val="000F6486"/>
    <w:rsid w:val="001015C3"/>
    <w:rsid w:val="00111A6E"/>
    <w:rsid w:val="001120B6"/>
    <w:rsid w:val="00116940"/>
    <w:rsid w:val="00122294"/>
    <w:rsid w:val="00125105"/>
    <w:rsid w:val="0012688F"/>
    <w:rsid w:val="00127233"/>
    <w:rsid w:val="00131923"/>
    <w:rsid w:val="00136E0A"/>
    <w:rsid w:val="00141550"/>
    <w:rsid w:val="00153E26"/>
    <w:rsid w:val="00154598"/>
    <w:rsid w:val="001559A5"/>
    <w:rsid w:val="0015699B"/>
    <w:rsid w:val="00165E70"/>
    <w:rsid w:val="001752EA"/>
    <w:rsid w:val="00181009"/>
    <w:rsid w:val="00185BA4"/>
    <w:rsid w:val="00195892"/>
    <w:rsid w:val="001A33BF"/>
    <w:rsid w:val="001A71E4"/>
    <w:rsid w:val="001B5DCD"/>
    <w:rsid w:val="001B6099"/>
    <w:rsid w:val="001B6769"/>
    <w:rsid w:val="001C655A"/>
    <w:rsid w:val="001E4177"/>
    <w:rsid w:val="001E6BE5"/>
    <w:rsid w:val="001F0B24"/>
    <w:rsid w:val="001F7DC6"/>
    <w:rsid w:val="00205B7D"/>
    <w:rsid w:val="002068FD"/>
    <w:rsid w:val="0022400B"/>
    <w:rsid w:val="002333D4"/>
    <w:rsid w:val="002421BB"/>
    <w:rsid w:val="0025796E"/>
    <w:rsid w:val="002707A2"/>
    <w:rsid w:val="00283B96"/>
    <w:rsid w:val="00283BA8"/>
    <w:rsid w:val="0028553B"/>
    <w:rsid w:val="00291654"/>
    <w:rsid w:val="0029370D"/>
    <w:rsid w:val="002951A0"/>
    <w:rsid w:val="00295C67"/>
    <w:rsid w:val="002962BC"/>
    <w:rsid w:val="002A093D"/>
    <w:rsid w:val="002A0DD0"/>
    <w:rsid w:val="002A10AA"/>
    <w:rsid w:val="002A49AC"/>
    <w:rsid w:val="002A4ED0"/>
    <w:rsid w:val="002A64FD"/>
    <w:rsid w:val="002B468B"/>
    <w:rsid w:val="002B55D3"/>
    <w:rsid w:val="002C72AF"/>
    <w:rsid w:val="002C7A84"/>
    <w:rsid w:val="002D2325"/>
    <w:rsid w:val="002D3363"/>
    <w:rsid w:val="002D4FB6"/>
    <w:rsid w:val="002E2BF8"/>
    <w:rsid w:val="002E3212"/>
    <w:rsid w:val="002E3F24"/>
    <w:rsid w:val="002E3FF0"/>
    <w:rsid w:val="002E4FD9"/>
    <w:rsid w:val="002E56E7"/>
    <w:rsid w:val="002E6258"/>
    <w:rsid w:val="002E6303"/>
    <w:rsid w:val="002F123F"/>
    <w:rsid w:val="002F3E02"/>
    <w:rsid w:val="0030657A"/>
    <w:rsid w:val="00306E4E"/>
    <w:rsid w:val="00322A85"/>
    <w:rsid w:val="00324168"/>
    <w:rsid w:val="0032601E"/>
    <w:rsid w:val="003264DE"/>
    <w:rsid w:val="00330834"/>
    <w:rsid w:val="00341C79"/>
    <w:rsid w:val="003448F4"/>
    <w:rsid w:val="003638B0"/>
    <w:rsid w:val="003704ED"/>
    <w:rsid w:val="003730E9"/>
    <w:rsid w:val="00374F5E"/>
    <w:rsid w:val="00377E3E"/>
    <w:rsid w:val="0038115E"/>
    <w:rsid w:val="00395794"/>
    <w:rsid w:val="003A12F0"/>
    <w:rsid w:val="003A779E"/>
    <w:rsid w:val="003C2E0D"/>
    <w:rsid w:val="003C60D9"/>
    <w:rsid w:val="003C6A0F"/>
    <w:rsid w:val="003C6C9C"/>
    <w:rsid w:val="003D0F4D"/>
    <w:rsid w:val="003D5B0D"/>
    <w:rsid w:val="003E0499"/>
    <w:rsid w:val="003E115E"/>
    <w:rsid w:val="003E4F80"/>
    <w:rsid w:val="003E6439"/>
    <w:rsid w:val="003E6B61"/>
    <w:rsid w:val="003F3941"/>
    <w:rsid w:val="003F488F"/>
    <w:rsid w:val="003F56CE"/>
    <w:rsid w:val="003F6D28"/>
    <w:rsid w:val="003F782A"/>
    <w:rsid w:val="00403A56"/>
    <w:rsid w:val="00406575"/>
    <w:rsid w:val="00414C74"/>
    <w:rsid w:val="00422994"/>
    <w:rsid w:val="004250D7"/>
    <w:rsid w:val="0042722E"/>
    <w:rsid w:val="004361B8"/>
    <w:rsid w:val="0044528D"/>
    <w:rsid w:val="00451B7C"/>
    <w:rsid w:val="00452F9A"/>
    <w:rsid w:val="00460BB8"/>
    <w:rsid w:val="00466E39"/>
    <w:rsid w:val="004700E6"/>
    <w:rsid w:val="00480A95"/>
    <w:rsid w:val="0049103F"/>
    <w:rsid w:val="004A1847"/>
    <w:rsid w:val="004A305D"/>
    <w:rsid w:val="004C6880"/>
    <w:rsid w:val="004E5943"/>
    <w:rsid w:val="004E6DDB"/>
    <w:rsid w:val="004F21C4"/>
    <w:rsid w:val="004F6580"/>
    <w:rsid w:val="004F685F"/>
    <w:rsid w:val="00503190"/>
    <w:rsid w:val="00516117"/>
    <w:rsid w:val="00521A51"/>
    <w:rsid w:val="00523B96"/>
    <w:rsid w:val="00540B34"/>
    <w:rsid w:val="005548E3"/>
    <w:rsid w:val="005566E8"/>
    <w:rsid w:val="00571AB1"/>
    <w:rsid w:val="0057239D"/>
    <w:rsid w:val="00574867"/>
    <w:rsid w:val="00590978"/>
    <w:rsid w:val="00591460"/>
    <w:rsid w:val="005A1B96"/>
    <w:rsid w:val="005A65E0"/>
    <w:rsid w:val="005A6AE0"/>
    <w:rsid w:val="005B6872"/>
    <w:rsid w:val="005C1491"/>
    <w:rsid w:val="005C3777"/>
    <w:rsid w:val="005C4B2F"/>
    <w:rsid w:val="005C5CDC"/>
    <w:rsid w:val="005D476C"/>
    <w:rsid w:val="005D556A"/>
    <w:rsid w:val="005E0100"/>
    <w:rsid w:val="005E3580"/>
    <w:rsid w:val="005E43B0"/>
    <w:rsid w:val="005E7609"/>
    <w:rsid w:val="005E7EBE"/>
    <w:rsid w:val="005F4951"/>
    <w:rsid w:val="005F55D7"/>
    <w:rsid w:val="005F6ECA"/>
    <w:rsid w:val="00610A66"/>
    <w:rsid w:val="006200BF"/>
    <w:rsid w:val="006219F8"/>
    <w:rsid w:val="0062637F"/>
    <w:rsid w:val="006302F7"/>
    <w:rsid w:val="00645EAA"/>
    <w:rsid w:val="00646B9F"/>
    <w:rsid w:val="00665D70"/>
    <w:rsid w:val="006779C0"/>
    <w:rsid w:val="006900D9"/>
    <w:rsid w:val="0069178C"/>
    <w:rsid w:val="00692211"/>
    <w:rsid w:val="006925DA"/>
    <w:rsid w:val="00692E4E"/>
    <w:rsid w:val="006B67FE"/>
    <w:rsid w:val="006B7E8D"/>
    <w:rsid w:val="006C22DA"/>
    <w:rsid w:val="006C5E1A"/>
    <w:rsid w:val="006C64BC"/>
    <w:rsid w:val="006E018D"/>
    <w:rsid w:val="006F1AB7"/>
    <w:rsid w:val="006F2A3D"/>
    <w:rsid w:val="006F485B"/>
    <w:rsid w:val="006F782E"/>
    <w:rsid w:val="00703A84"/>
    <w:rsid w:val="00705E9D"/>
    <w:rsid w:val="00706C16"/>
    <w:rsid w:val="007236D9"/>
    <w:rsid w:val="007245E1"/>
    <w:rsid w:val="00727EB3"/>
    <w:rsid w:val="007340C3"/>
    <w:rsid w:val="00736A0F"/>
    <w:rsid w:val="00745206"/>
    <w:rsid w:val="0075235A"/>
    <w:rsid w:val="007554D3"/>
    <w:rsid w:val="00756841"/>
    <w:rsid w:val="00757873"/>
    <w:rsid w:val="007649AB"/>
    <w:rsid w:val="00771D0C"/>
    <w:rsid w:val="00775A60"/>
    <w:rsid w:val="0077736D"/>
    <w:rsid w:val="00781011"/>
    <w:rsid w:val="007833AC"/>
    <w:rsid w:val="007A07B2"/>
    <w:rsid w:val="007A5D89"/>
    <w:rsid w:val="007B268C"/>
    <w:rsid w:val="007B5664"/>
    <w:rsid w:val="007B7171"/>
    <w:rsid w:val="007C0C0F"/>
    <w:rsid w:val="007C3DC2"/>
    <w:rsid w:val="007D40DB"/>
    <w:rsid w:val="007D72A2"/>
    <w:rsid w:val="007E19DC"/>
    <w:rsid w:val="007E1A49"/>
    <w:rsid w:val="007E5497"/>
    <w:rsid w:val="007E5F8D"/>
    <w:rsid w:val="007F78ED"/>
    <w:rsid w:val="00806F5F"/>
    <w:rsid w:val="0080710E"/>
    <w:rsid w:val="00820278"/>
    <w:rsid w:val="008258C9"/>
    <w:rsid w:val="00825F6E"/>
    <w:rsid w:val="00840803"/>
    <w:rsid w:val="00844AE9"/>
    <w:rsid w:val="008473BB"/>
    <w:rsid w:val="00862260"/>
    <w:rsid w:val="0086604C"/>
    <w:rsid w:val="00867F95"/>
    <w:rsid w:val="00881E7F"/>
    <w:rsid w:val="008843B6"/>
    <w:rsid w:val="008858FA"/>
    <w:rsid w:val="008861ED"/>
    <w:rsid w:val="00890819"/>
    <w:rsid w:val="00891928"/>
    <w:rsid w:val="00895A5D"/>
    <w:rsid w:val="00896AD7"/>
    <w:rsid w:val="008A03C0"/>
    <w:rsid w:val="008A446D"/>
    <w:rsid w:val="008B25F1"/>
    <w:rsid w:val="008B4334"/>
    <w:rsid w:val="008B58C5"/>
    <w:rsid w:val="008B725C"/>
    <w:rsid w:val="008B74A1"/>
    <w:rsid w:val="008B782D"/>
    <w:rsid w:val="008C1D4D"/>
    <w:rsid w:val="008D180B"/>
    <w:rsid w:val="008F0EA7"/>
    <w:rsid w:val="00905823"/>
    <w:rsid w:val="00917490"/>
    <w:rsid w:val="00917618"/>
    <w:rsid w:val="00923EEF"/>
    <w:rsid w:val="0092768F"/>
    <w:rsid w:val="009419F9"/>
    <w:rsid w:val="00943B6D"/>
    <w:rsid w:val="0095685E"/>
    <w:rsid w:val="009571E5"/>
    <w:rsid w:val="00961B09"/>
    <w:rsid w:val="0096227D"/>
    <w:rsid w:val="00965334"/>
    <w:rsid w:val="0097093E"/>
    <w:rsid w:val="00992335"/>
    <w:rsid w:val="009A0DFA"/>
    <w:rsid w:val="009A1C6F"/>
    <w:rsid w:val="009B1A13"/>
    <w:rsid w:val="009B2D26"/>
    <w:rsid w:val="009C619E"/>
    <w:rsid w:val="009C71FA"/>
    <w:rsid w:val="009C72E7"/>
    <w:rsid w:val="009C7F7E"/>
    <w:rsid w:val="009D1A46"/>
    <w:rsid w:val="009D3058"/>
    <w:rsid w:val="009D4C04"/>
    <w:rsid w:val="009E10BE"/>
    <w:rsid w:val="009F18CB"/>
    <w:rsid w:val="009F2C0D"/>
    <w:rsid w:val="009F3A13"/>
    <w:rsid w:val="009F4119"/>
    <w:rsid w:val="009F6693"/>
    <w:rsid w:val="00A06FE7"/>
    <w:rsid w:val="00A122D3"/>
    <w:rsid w:val="00A14468"/>
    <w:rsid w:val="00A17F13"/>
    <w:rsid w:val="00A20739"/>
    <w:rsid w:val="00A23AF9"/>
    <w:rsid w:val="00A27742"/>
    <w:rsid w:val="00A33C78"/>
    <w:rsid w:val="00A37713"/>
    <w:rsid w:val="00A4496C"/>
    <w:rsid w:val="00A449DB"/>
    <w:rsid w:val="00A54690"/>
    <w:rsid w:val="00A549AA"/>
    <w:rsid w:val="00A6084F"/>
    <w:rsid w:val="00A62B07"/>
    <w:rsid w:val="00A72ECA"/>
    <w:rsid w:val="00A81159"/>
    <w:rsid w:val="00A94CFB"/>
    <w:rsid w:val="00AA0422"/>
    <w:rsid w:val="00AA333C"/>
    <w:rsid w:val="00AA5D0F"/>
    <w:rsid w:val="00AA7673"/>
    <w:rsid w:val="00AB0ADB"/>
    <w:rsid w:val="00AC3747"/>
    <w:rsid w:val="00AC4E28"/>
    <w:rsid w:val="00AC6AD1"/>
    <w:rsid w:val="00AD0862"/>
    <w:rsid w:val="00AD1778"/>
    <w:rsid w:val="00AD1A58"/>
    <w:rsid w:val="00AD7D39"/>
    <w:rsid w:val="00AE0C3B"/>
    <w:rsid w:val="00AF0818"/>
    <w:rsid w:val="00AF3A0B"/>
    <w:rsid w:val="00B00C0E"/>
    <w:rsid w:val="00B01B1A"/>
    <w:rsid w:val="00B01EAF"/>
    <w:rsid w:val="00B0381D"/>
    <w:rsid w:val="00B2749B"/>
    <w:rsid w:val="00B3542F"/>
    <w:rsid w:val="00B361A8"/>
    <w:rsid w:val="00B42988"/>
    <w:rsid w:val="00B44A47"/>
    <w:rsid w:val="00B4638F"/>
    <w:rsid w:val="00B50109"/>
    <w:rsid w:val="00B55A63"/>
    <w:rsid w:val="00B621F3"/>
    <w:rsid w:val="00B6270E"/>
    <w:rsid w:val="00B63582"/>
    <w:rsid w:val="00B72CD3"/>
    <w:rsid w:val="00B72FFF"/>
    <w:rsid w:val="00B76D52"/>
    <w:rsid w:val="00B8325E"/>
    <w:rsid w:val="00B85FAC"/>
    <w:rsid w:val="00B869BF"/>
    <w:rsid w:val="00B90225"/>
    <w:rsid w:val="00BA4273"/>
    <w:rsid w:val="00BA46C7"/>
    <w:rsid w:val="00BA6737"/>
    <w:rsid w:val="00BA7EC3"/>
    <w:rsid w:val="00BB062F"/>
    <w:rsid w:val="00BB3A60"/>
    <w:rsid w:val="00BB5586"/>
    <w:rsid w:val="00BC3D36"/>
    <w:rsid w:val="00BC6C2A"/>
    <w:rsid w:val="00BD54A6"/>
    <w:rsid w:val="00BD6251"/>
    <w:rsid w:val="00BD7B43"/>
    <w:rsid w:val="00BD7F72"/>
    <w:rsid w:val="00BE0AB7"/>
    <w:rsid w:val="00BF1B9F"/>
    <w:rsid w:val="00BF3EFB"/>
    <w:rsid w:val="00BF7425"/>
    <w:rsid w:val="00C04FB3"/>
    <w:rsid w:val="00C07479"/>
    <w:rsid w:val="00C11D8B"/>
    <w:rsid w:val="00C15139"/>
    <w:rsid w:val="00C212D1"/>
    <w:rsid w:val="00C330EB"/>
    <w:rsid w:val="00C46272"/>
    <w:rsid w:val="00C5035F"/>
    <w:rsid w:val="00C50D69"/>
    <w:rsid w:val="00C5365C"/>
    <w:rsid w:val="00C559F4"/>
    <w:rsid w:val="00C638AC"/>
    <w:rsid w:val="00C6484B"/>
    <w:rsid w:val="00C70D1D"/>
    <w:rsid w:val="00C71D42"/>
    <w:rsid w:val="00C754BE"/>
    <w:rsid w:val="00C76B1C"/>
    <w:rsid w:val="00C840FD"/>
    <w:rsid w:val="00C87F70"/>
    <w:rsid w:val="00C925AC"/>
    <w:rsid w:val="00C92A4E"/>
    <w:rsid w:val="00C94E41"/>
    <w:rsid w:val="00CA6853"/>
    <w:rsid w:val="00CB55F6"/>
    <w:rsid w:val="00CB6357"/>
    <w:rsid w:val="00CB7164"/>
    <w:rsid w:val="00CC18D6"/>
    <w:rsid w:val="00CC1B26"/>
    <w:rsid w:val="00CC63F5"/>
    <w:rsid w:val="00CD1799"/>
    <w:rsid w:val="00CE08F5"/>
    <w:rsid w:val="00CE43E6"/>
    <w:rsid w:val="00CE5B4E"/>
    <w:rsid w:val="00CE64E0"/>
    <w:rsid w:val="00CF2FB7"/>
    <w:rsid w:val="00D07208"/>
    <w:rsid w:val="00D337FB"/>
    <w:rsid w:val="00D361FD"/>
    <w:rsid w:val="00D42149"/>
    <w:rsid w:val="00D423A2"/>
    <w:rsid w:val="00D427F5"/>
    <w:rsid w:val="00D44E26"/>
    <w:rsid w:val="00D510A8"/>
    <w:rsid w:val="00D51E56"/>
    <w:rsid w:val="00D520D8"/>
    <w:rsid w:val="00D5389B"/>
    <w:rsid w:val="00D561C0"/>
    <w:rsid w:val="00D56888"/>
    <w:rsid w:val="00D63AC2"/>
    <w:rsid w:val="00D716D1"/>
    <w:rsid w:val="00D72853"/>
    <w:rsid w:val="00D7383B"/>
    <w:rsid w:val="00D77044"/>
    <w:rsid w:val="00D7788A"/>
    <w:rsid w:val="00D80EE1"/>
    <w:rsid w:val="00D867A9"/>
    <w:rsid w:val="00D8782E"/>
    <w:rsid w:val="00D94813"/>
    <w:rsid w:val="00DA1764"/>
    <w:rsid w:val="00DA231B"/>
    <w:rsid w:val="00DA59B3"/>
    <w:rsid w:val="00DB035E"/>
    <w:rsid w:val="00DB3D4D"/>
    <w:rsid w:val="00DC39FC"/>
    <w:rsid w:val="00DC67E9"/>
    <w:rsid w:val="00DF5254"/>
    <w:rsid w:val="00E00859"/>
    <w:rsid w:val="00E0115C"/>
    <w:rsid w:val="00E01587"/>
    <w:rsid w:val="00E0235C"/>
    <w:rsid w:val="00E02524"/>
    <w:rsid w:val="00E117A7"/>
    <w:rsid w:val="00E13B20"/>
    <w:rsid w:val="00E16408"/>
    <w:rsid w:val="00E16C9F"/>
    <w:rsid w:val="00E20894"/>
    <w:rsid w:val="00E21400"/>
    <w:rsid w:val="00E225E2"/>
    <w:rsid w:val="00E245AB"/>
    <w:rsid w:val="00E26A8B"/>
    <w:rsid w:val="00E2764C"/>
    <w:rsid w:val="00E27F2E"/>
    <w:rsid w:val="00E3285D"/>
    <w:rsid w:val="00E42224"/>
    <w:rsid w:val="00E50AFE"/>
    <w:rsid w:val="00E534C1"/>
    <w:rsid w:val="00E57656"/>
    <w:rsid w:val="00E60F74"/>
    <w:rsid w:val="00E63D49"/>
    <w:rsid w:val="00E66295"/>
    <w:rsid w:val="00E75C92"/>
    <w:rsid w:val="00E771DC"/>
    <w:rsid w:val="00E811FC"/>
    <w:rsid w:val="00E8303B"/>
    <w:rsid w:val="00E8772A"/>
    <w:rsid w:val="00E90F6B"/>
    <w:rsid w:val="00E92C27"/>
    <w:rsid w:val="00EA0D95"/>
    <w:rsid w:val="00EA0E3D"/>
    <w:rsid w:val="00EC38A7"/>
    <w:rsid w:val="00ED49A3"/>
    <w:rsid w:val="00ED59BF"/>
    <w:rsid w:val="00ED5CFE"/>
    <w:rsid w:val="00EE1AA8"/>
    <w:rsid w:val="00EF2C32"/>
    <w:rsid w:val="00F00A73"/>
    <w:rsid w:val="00F14EF9"/>
    <w:rsid w:val="00F23FEA"/>
    <w:rsid w:val="00F31EDC"/>
    <w:rsid w:val="00F346E0"/>
    <w:rsid w:val="00F3763B"/>
    <w:rsid w:val="00F40262"/>
    <w:rsid w:val="00F462B3"/>
    <w:rsid w:val="00F5664F"/>
    <w:rsid w:val="00F63BB8"/>
    <w:rsid w:val="00F63C8D"/>
    <w:rsid w:val="00F666C4"/>
    <w:rsid w:val="00F702B4"/>
    <w:rsid w:val="00F72974"/>
    <w:rsid w:val="00F76AFC"/>
    <w:rsid w:val="00F76BB5"/>
    <w:rsid w:val="00F76CA5"/>
    <w:rsid w:val="00F776C6"/>
    <w:rsid w:val="00F85641"/>
    <w:rsid w:val="00FA47C0"/>
    <w:rsid w:val="00FA4BF0"/>
    <w:rsid w:val="00FB03FA"/>
    <w:rsid w:val="00FB3869"/>
    <w:rsid w:val="00FB4E9E"/>
    <w:rsid w:val="00FB5DD1"/>
    <w:rsid w:val="00FB5E4B"/>
    <w:rsid w:val="00FC2B5D"/>
    <w:rsid w:val="00FF1449"/>
    <w:rsid w:val="00FF2203"/>
    <w:rsid w:val="00FF7963"/>
    <w:rsid w:val="071B8F93"/>
    <w:rsid w:val="09908A09"/>
    <w:rsid w:val="0FF4CCA8"/>
    <w:rsid w:val="13CFC91B"/>
    <w:rsid w:val="19A2EC2C"/>
    <w:rsid w:val="2859CA1B"/>
    <w:rsid w:val="32A4F9CF"/>
    <w:rsid w:val="356CEDFD"/>
    <w:rsid w:val="69614A15"/>
    <w:rsid w:val="6C839BF2"/>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346E0"/>
    <w:rPr>
      <w:rFonts w:ascii="Geomanist Light" w:hAnsi="Geomanist Light"/>
      <w:lang w:val="es-ES"/>
    </w:rPr>
  </w:style>
  <w:style w:type="character" w:customStyle="1" w:styleId="s15">
    <w:name w:val="s15"/>
    <w:basedOn w:val="Fuentedeprrafopredeter"/>
    <w:rsid w:val="00DB3D4D"/>
  </w:style>
  <w:style w:type="paragraph" w:customStyle="1" w:styleId="Appelnotedebasde">
    <w:name w:val="Appel note de bas de..."/>
    <w:basedOn w:val="Normal"/>
    <w:link w:val="Refdenotaalpie"/>
    <w:uiPriority w:val="99"/>
    <w:rsid w:val="00B55A63"/>
    <w:pPr>
      <w:spacing w:line="240" w:lineRule="exact"/>
    </w:pPr>
    <w:rPr>
      <w:vertAlign w:val="superscript"/>
    </w:rPr>
  </w:style>
  <w:style w:type="character" w:customStyle="1" w:styleId="NormalWebCar">
    <w:name w:val="Normal (Web) Car"/>
    <w:link w:val="NormalWeb"/>
    <w:uiPriority w:val="99"/>
    <w:rsid w:val="00B55A63"/>
    <w:rPr>
      <w:rFonts w:ascii="Times New Roman" w:eastAsia="Times New Roman" w:hAnsi="Times New Roman" w:cs="Times New Roman"/>
      <w:sz w:val="24"/>
      <w:szCs w:val="24"/>
      <w:lang w:eastAsia="es-CO"/>
    </w:rPr>
  </w:style>
  <w:style w:type="character" w:customStyle="1" w:styleId="baj">
    <w:name w:val="b_aj"/>
    <w:basedOn w:val="Fuentedeprrafopredeter"/>
    <w:rsid w:val="00B55A63"/>
  </w:style>
  <w:style w:type="character" w:styleId="Refdecomentario">
    <w:name w:val="annotation reference"/>
    <w:basedOn w:val="Fuentedeprrafopredeter"/>
    <w:uiPriority w:val="99"/>
    <w:semiHidden/>
    <w:unhideWhenUsed/>
    <w:rsid w:val="00E8303B"/>
    <w:rPr>
      <w:sz w:val="16"/>
      <w:szCs w:val="16"/>
    </w:rPr>
  </w:style>
  <w:style w:type="paragraph" w:styleId="Textocomentario">
    <w:name w:val="annotation text"/>
    <w:basedOn w:val="Normal"/>
    <w:link w:val="TextocomentarioCar"/>
    <w:uiPriority w:val="99"/>
    <w:unhideWhenUsed/>
    <w:rsid w:val="00E8303B"/>
    <w:pPr>
      <w:spacing w:line="240" w:lineRule="auto"/>
    </w:pPr>
    <w:rPr>
      <w:sz w:val="20"/>
      <w:szCs w:val="20"/>
    </w:rPr>
  </w:style>
  <w:style w:type="character" w:customStyle="1" w:styleId="TextocomentarioCar">
    <w:name w:val="Texto comentario Car"/>
    <w:basedOn w:val="Fuentedeprrafopredeter"/>
    <w:link w:val="Textocomentario"/>
    <w:uiPriority w:val="99"/>
    <w:rsid w:val="00E8303B"/>
    <w:rPr>
      <w:sz w:val="20"/>
      <w:szCs w:val="20"/>
    </w:rPr>
  </w:style>
  <w:style w:type="paragraph" w:styleId="Asuntodelcomentario">
    <w:name w:val="annotation subject"/>
    <w:basedOn w:val="Textocomentario"/>
    <w:next w:val="Textocomentario"/>
    <w:link w:val="AsuntodelcomentarioCar"/>
    <w:uiPriority w:val="99"/>
    <w:semiHidden/>
    <w:unhideWhenUsed/>
    <w:rsid w:val="00E8303B"/>
    <w:rPr>
      <w:b/>
      <w:bCs/>
    </w:rPr>
  </w:style>
  <w:style w:type="character" w:customStyle="1" w:styleId="AsuntodelcomentarioCar">
    <w:name w:val="Asunto del comentario Car"/>
    <w:basedOn w:val="TextocomentarioCar"/>
    <w:link w:val="Asuntodelcomentario"/>
    <w:uiPriority w:val="99"/>
    <w:semiHidden/>
    <w:rsid w:val="00E830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ontealegre@minciencias.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7C59E2-AB34-489E-A7CB-F62F01DF6439}">
  <ds:schemaRefs>
    <ds:schemaRef ds:uri="http://schemas.openxmlformats.org/officeDocument/2006/bibliography"/>
  </ds:schemaRefs>
</ds:datastoreItem>
</file>

<file path=customXml/itemProps2.xml><?xml version="1.0" encoding="utf-8"?>
<ds:datastoreItem xmlns:ds="http://schemas.openxmlformats.org/officeDocument/2006/customXml" ds:itemID="{5388F83A-B50C-499E-BFE1-452910D6C7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33</Pages>
  <Words>10562</Words>
  <Characters>57249</Characters>
  <Application>Microsoft Office Word</Application>
  <DocSecurity>0</DocSecurity>
  <Lines>1040</Lines>
  <Paragraphs>197</Paragraphs>
  <ScaleCrop>false</ScaleCrop>
  <Company/>
  <LinksUpToDate>false</LinksUpToDate>
  <CharactersWithSpaces>67614</CharactersWithSpaces>
  <SharedDoc>false</SharedDoc>
  <HLinks>
    <vt:vector size="6" baseType="variant">
      <vt:variant>
        <vt:i4>4325435</vt:i4>
      </vt:variant>
      <vt:variant>
        <vt:i4>0</vt:i4>
      </vt:variant>
      <vt:variant>
        <vt:i4>0</vt:i4>
      </vt:variant>
      <vt:variant>
        <vt:i4>5</vt:i4>
      </vt:variant>
      <vt:variant>
        <vt:lpwstr>mailto:azsign@analitica.com.co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44</cp:revision>
  <cp:lastPrinted>2023-01-10T21:18:00Z</cp:lastPrinted>
  <dcterms:created xsi:type="dcterms:W3CDTF">2026-01-30T22:00:00Z</dcterms:created>
  <dcterms:modified xsi:type="dcterms:W3CDTF">2026-02-04T18:05:00Z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