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A2760" w14:textId="77777777" w:rsidR="00B1114B" w:rsidRPr="00A67A9A" w:rsidRDefault="00B1114B" w:rsidP="00A67A9A">
      <w:pPr>
        <w:jc w:val="both"/>
        <w:rPr>
          <w:rFonts w:ascii="Verdana" w:hAnsi="Verdana"/>
          <w:sz w:val="20"/>
          <w:szCs w:val="20"/>
          <w:lang w:val="es-ES_tradnl"/>
        </w:rPr>
      </w:pPr>
      <w:bookmarkStart w:id="0" w:name="_Hlk143780582"/>
    </w:p>
    <w:p w14:paraId="08D8A3A5" w14:textId="77777777" w:rsidR="00530370" w:rsidRDefault="00530370" w:rsidP="00A67A9A">
      <w:pPr>
        <w:rPr>
          <w:rFonts w:ascii="Verdana" w:hAnsi="Verdana"/>
        </w:rPr>
      </w:pPr>
    </w:p>
    <w:p w14:paraId="4ACEB724" w14:textId="77777777" w:rsidR="00CD1407" w:rsidRDefault="00530370">
      <w:pPr>
        <w:rPr>
          <w:rFonts w:ascii="Verdana" w:hAnsi="Verdana" w:cs="Arial"/>
          <w:sz w:val="20"/>
          <w:szCs w:val="20"/>
          <w:lang w:val="es-ES_tradnl"/>
        </w:rPr>
      </w:pPr>
      <w:r w:rsidRPr="00CD1407">
        <w:rPr>
          <w:rFonts w:ascii="Verdana" w:hAnsi="Verdana"/>
          <w:b/>
          <w:bCs/>
        </w:rPr>
        <w:t>ENTIDADES CON RÉGIMEN ESPECIAL – Normativa – Principios de la función administrativa y gestión fiscal Manual de contratación</w:t>
      </w:r>
    </w:p>
    <w:p w14:paraId="2E3D4641" w14:textId="77712614" w:rsidR="00CD1407" w:rsidRPr="00CD1407" w:rsidRDefault="00530370" w:rsidP="00CD1407">
      <w:pPr>
        <w:spacing w:after="120" w:line="276" w:lineRule="auto"/>
        <w:rPr>
          <w:rFonts w:ascii="Verdana" w:hAnsi="Verdana" w:cs="Arial"/>
          <w:sz w:val="20"/>
          <w:szCs w:val="20"/>
          <w:lang w:val="es-ES_tradnl"/>
        </w:rPr>
      </w:pPr>
      <w:r w:rsidRPr="00CD1407">
        <w:rPr>
          <w:rFonts w:ascii="Verdana" w:hAnsi="Verdana" w:cs="Arial"/>
          <w:sz w:val="20"/>
          <w:szCs w:val="20"/>
          <w:lang w:val="es-ES_tradnl"/>
        </w:rPr>
        <w:t xml:space="preserve"> </w:t>
      </w:r>
    </w:p>
    <w:p w14:paraId="7FBD047A" w14:textId="77777777" w:rsidR="00CD1407" w:rsidRDefault="00CD1407" w:rsidP="00CD1407">
      <w:pPr>
        <w:tabs>
          <w:tab w:val="left" w:pos="426"/>
        </w:tabs>
        <w:spacing w:before="120" w:after="120" w:line="276" w:lineRule="auto"/>
        <w:jc w:val="both"/>
        <w:rPr>
          <w:rFonts w:ascii="Verdana" w:hAnsi="Verdana" w:cs="Arial"/>
          <w:sz w:val="20"/>
          <w:szCs w:val="20"/>
          <w:lang w:val="es-ES_tradnl"/>
        </w:rPr>
      </w:pPr>
      <w:r w:rsidRPr="00CD1407">
        <w:rPr>
          <w:rFonts w:ascii="Verdana" w:hAnsi="Verdana" w:cs="Arial"/>
          <w:sz w:val="20"/>
          <w:szCs w:val="20"/>
          <w:lang w:val="es-ES_tradnl"/>
        </w:rPr>
        <w:t>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EGCAP–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0B103B80" w14:textId="77777777" w:rsidR="00CD1407" w:rsidRDefault="00CD1407" w:rsidP="00CD1407">
      <w:pPr>
        <w:tabs>
          <w:tab w:val="left" w:pos="426"/>
        </w:tabs>
        <w:spacing w:before="120" w:after="120" w:line="276" w:lineRule="auto"/>
        <w:jc w:val="both"/>
        <w:rPr>
          <w:rFonts w:ascii="Verdana" w:hAnsi="Verdana" w:cs="Arial"/>
          <w:sz w:val="20"/>
          <w:szCs w:val="20"/>
          <w:lang w:val="es-ES_tradnl"/>
        </w:rPr>
      </w:pPr>
    </w:p>
    <w:p w14:paraId="22CF7887" w14:textId="77777777" w:rsidR="00CD1407" w:rsidRDefault="00CD1407" w:rsidP="00CD1407">
      <w:pPr>
        <w:tabs>
          <w:tab w:val="left" w:pos="426"/>
        </w:tabs>
        <w:spacing w:before="120" w:after="120" w:line="276" w:lineRule="auto"/>
        <w:jc w:val="both"/>
        <w:rPr>
          <w:rFonts w:ascii="Verdana" w:hAnsi="Verdana"/>
          <w:b/>
          <w:bCs/>
        </w:rPr>
      </w:pPr>
      <w:r w:rsidRPr="00CD1407">
        <w:rPr>
          <w:rFonts w:ascii="Verdana" w:hAnsi="Verdana"/>
          <w:b/>
          <w:bCs/>
        </w:rPr>
        <w:t xml:space="preserve">ENTIDADES CON RÉGIMEN ESPECIAL – Gestión contractual </w:t>
      </w:r>
    </w:p>
    <w:p w14:paraId="61207E3D" w14:textId="77777777" w:rsidR="00CD1407" w:rsidRDefault="00CD1407" w:rsidP="00CD1407">
      <w:pPr>
        <w:tabs>
          <w:tab w:val="left" w:pos="426"/>
        </w:tabs>
        <w:spacing w:before="120" w:after="120" w:line="276" w:lineRule="auto"/>
        <w:jc w:val="both"/>
        <w:rPr>
          <w:rFonts w:ascii="Verdana" w:hAnsi="Verdana"/>
          <w:b/>
          <w:bCs/>
        </w:rPr>
      </w:pPr>
    </w:p>
    <w:p w14:paraId="55827495" w14:textId="77777777" w:rsidR="00CD1407" w:rsidRPr="00CD1407" w:rsidRDefault="00CD1407" w:rsidP="00CD1407">
      <w:pPr>
        <w:spacing w:before="120" w:after="120" w:line="276" w:lineRule="auto"/>
        <w:jc w:val="both"/>
        <w:rPr>
          <w:rFonts w:ascii="Verdana" w:hAnsi="Verdana" w:cs="Arial"/>
          <w:sz w:val="20"/>
          <w:szCs w:val="20"/>
          <w:lang w:val="es-ES"/>
        </w:rPr>
      </w:pPr>
      <w:r w:rsidRPr="00CD1407">
        <w:rPr>
          <w:rFonts w:ascii="Verdana" w:hAnsi="Verdana" w:cs="Arial"/>
          <w:sz w:val="20"/>
          <w:szCs w:val="20"/>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79778C73" w14:textId="77777777" w:rsidR="00CD1407" w:rsidRPr="00CD1407" w:rsidRDefault="00CD1407" w:rsidP="00CD1407">
      <w:pPr>
        <w:tabs>
          <w:tab w:val="left" w:pos="426"/>
        </w:tabs>
        <w:spacing w:before="120" w:after="120" w:line="276" w:lineRule="auto"/>
        <w:jc w:val="both"/>
        <w:rPr>
          <w:rFonts w:ascii="Verdana" w:hAnsi="Verdana"/>
          <w:b/>
          <w:bCs/>
          <w:lang w:val="es-ES"/>
        </w:rPr>
      </w:pPr>
    </w:p>
    <w:p w14:paraId="63128620" w14:textId="07BAE009" w:rsidR="00CD1407" w:rsidRDefault="00CD1407" w:rsidP="00964B06">
      <w:pPr>
        <w:tabs>
          <w:tab w:val="left" w:pos="426"/>
        </w:tabs>
        <w:spacing w:before="120" w:after="120" w:line="276" w:lineRule="auto"/>
        <w:jc w:val="both"/>
        <w:rPr>
          <w:rFonts w:ascii="Verdana" w:hAnsi="Verdana"/>
          <w:b/>
          <w:bCs/>
        </w:rPr>
      </w:pPr>
      <w:r w:rsidRPr="00CD1407">
        <w:rPr>
          <w:rFonts w:ascii="Verdana" w:hAnsi="Verdana"/>
          <w:b/>
          <w:bCs/>
        </w:rPr>
        <w:t>DÍAS HÁBILES – Concepto – Definición</w:t>
      </w:r>
    </w:p>
    <w:p w14:paraId="2866411B" w14:textId="77777777" w:rsidR="00DF55F5" w:rsidRDefault="00DF55F5" w:rsidP="00964B06">
      <w:pPr>
        <w:tabs>
          <w:tab w:val="left" w:pos="426"/>
        </w:tabs>
        <w:spacing w:before="120" w:after="120" w:line="276" w:lineRule="auto"/>
        <w:jc w:val="both"/>
        <w:rPr>
          <w:rFonts w:ascii="Verdana" w:hAnsi="Verdana"/>
          <w:b/>
          <w:bCs/>
        </w:rPr>
      </w:pPr>
    </w:p>
    <w:p w14:paraId="3E6717B5" w14:textId="77777777" w:rsidR="00DF55F5" w:rsidRDefault="00DF55F5" w:rsidP="00CD1407">
      <w:pPr>
        <w:tabs>
          <w:tab w:val="left" w:pos="426"/>
        </w:tabs>
        <w:spacing w:before="120" w:after="120" w:line="276" w:lineRule="auto"/>
        <w:jc w:val="both"/>
        <w:rPr>
          <w:rFonts w:ascii="Verdana" w:hAnsi="Verdana"/>
          <w:bCs/>
          <w:sz w:val="20"/>
          <w:szCs w:val="20"/>
          <w:lang w:val="es-ES"/>
        </w:rPr>
      </w:pPr>
      <w:r w:rsidRPr="00DF55F5">
        <w:rPr>
          <w:rFonts w:ascii="Verdana" w:hAnsi="Verdana"/>
          <w:sz w:val="20"/>
          <w:szCs w:val="20"/>
          <w:lang w:val="es-ES_tradnl"/>
        </w:rPr>
        <w:t xml:space="preserve">Por otro lado, en relación con los días hábiles para desarrollar la gestión contractual, </w:t>
      </w:r>
      <w:r w:rsidRPr="00DF55F5">
        <w:rPr>
          <w:rFonts w:ascii="Verdana" w:hAnsi="Verdana"/>
          <w:sz w:val="20"/>
          <w:szCs w:val="20"/>
        </w:rPr>
        <w:t xml:space="preserve">resulta importante revisar la postura vigente de esta Agencia en relación con la definición de </w:t>
      </w:r>
      <w:r w:rsidRPr="00DF55F5">
        <w:rPr>
          <w:rFonts w:ascii="Verdana" w:hAnsi="Verdana"/>
          <w:i/>
          <w:iCs/>
          <w:sz w:val="20"/>
          <w:szCs w:val="20"/>
        </w:rPr>
        <w:t>día hábil</w:t>
      </w:r>
      <w:r w:rsidRPr="00DF55F5">
        <w:rPr>
          <w:rFonts w:ascii="Verdana" w:hAnsi="Verdana"/>
          <w:sz w:val="20"/>
          <w:szCs w:val="20"/>
        </w:rPr>
        <w:t xml:space="preserve"> en los procesos de contratación pública. Esta parte de la tesis según la cual </w:t>
      </w:r>
      <w:r w:rsidRPr="00DF55F5">
        <w:rPr>
          <w:rFonts w:ascii="Verdana" w:hAnsi="Verdana"/>
          <w:bCs/>
          <w:sz w:val="20"/>
          <w:szCs w:val="20"/>
        </w:rPr>
        <w:t>no existe una acepción unívoca de dicha acepción, pues no existe certidumbre de cuáles son los días de la semana que pueden entenderse como hábiles, y ello en principio posibilita que las entidades regulen de manera disímil los términos de la modalidad de selección que aquí se trata</w:t>
      </w:r>
      <w:r w:rsidRPr="00DF55F5">
        <w:rPr>
          <w:rFonts w:ascii="Verdana" w:hAnsi="Verdana"/>
          <w:bCs/>
          <w:sz w:val="20"/>
          <w:szCs w:val="20"/>
          <w:lang w:val="es-ES"/>
        </w:rPr>
        <w:t xml:space="preserve">.  </w:t>
      </w:r>
    </w:p>
    <w:p w14:paraId="63E5F1E1" w14:textId="19DFEBD5" w:rsidR="00FA56DE" w:rsidRPr="00DF55F5" w:rsidRDefault="00DF55F5" w:rsidP="00CD1407">
      <w:pPr>
        <w:tabs>
          <w:tab w:val="left" w:pos="426"/>
        </w:tabs>
        <w:spacing w:before="120" w:after="120" w:line="276" w:lineRule="auto"/>
        <w:jc w:val="both"/>
        <w:rPr>
          <w:rFonts w:ascii="Verdana" w:hAnsi="Verdana"/>
          <w:sz w:val="20"/>
          <w:szCs w:val="20"/>
        </w:rPr>
      </w:pPr>
      <w:r w:rsidRPr="00DF55F5">
        <w:rPr>
          <w:rFonts w:ascii="Verdana" w:hAnsi="Verdana"/>
          <w:bCs/>
          <w:sz w:val="20"/>
          <w:szCs w:val="20"/>
          <w:lang w:val="es-ES"/>
        </w:rPr>
        <w:tab/>
      </w:r>
    </w:p>
    <w:p w14:paraId="1DCE4F9A" w14:textId="77777777" w:rsidR="00E04516" w:rsidRDefault="00FA56DE" w:rsidP="00E04516">
      <w:pPr>
        <w:jc w:val="both"/>
        <w:rPr>
          <w:rFonts w:ascii="Verdana" w:hAnsi="Verdana"/>
          <w:b/>
          <w:bCs/>
        </w:rPr>
      </w:pPr>
      <w:r w:rsidRPr="00964B06">
        <w:rPr>
          <w:rFonts w:ascii="Verdana" w:hAnsi="Verdana"/>
          <w:b/>
          <w:bCs/>
        </w:rPr>
        <w:t>GARANTÍAS – Normativa – Requisito de ejecució</w:t>
      </w:r>
      <w:r w:rsidR="00E04516">
        <w:rPr>
          <w:rFonts w:ascii="Verdana" w:hAnsi="Verdana"/>
          <w:b/>
          <w:bCs/>
        </w:rPr>
        <w:t>n</w:t>
      </w:r>
    </w:p>
    <w:p w14:paraId="4451A912" w14:textId="2DEDFB4C" w:rsidR="00964B06" w:rsidRPr="00E04516" w:rsidRDefault="00964B06" w:rsidP="00E04516">
      <w:pPr>
        <w:jc w:val="both"/>
        <w:rPr>
          <w:rFonts w:ascii="Verdana" w:hAnsi="Verdana"/>
          <w:b/>
          <w:bCs/>
        </w:rPr>
      </w:pPr>
      <w:r w:rsidRPr="00964B06">
        <w:rPr>
          <w:rFonts w:ascii="Verdana" w:hAnsi="Verdana" w:cs="Arial"/>
          <w:sz w:val="20"/>
          <w:szCs w:val="20"/>
          <w:lang w:val="es-MX"/>
        </w:rPr>
        <w:lastRenderedPageBreak/>
        <w:t>Una de las Entidades Estatales con régimen especial son las Empresas Sociales del Estado – ESE, objeto de su consulta, entendidas como Entidades Públicas que, conforme al artículo 194 de la Ley 100 de 1993, constituyen una categoría especial, descentralizada por servicios, con personería jurídica, patrimonio propio y autonomía administrativa</w:t>
      </w:r>
      <w:r w:rsidRPr="00964B06">
        <w:rPr>
          <w:rFonts w:ascii="Verdana" w:hAnsi="Verdana" w:cs="Arial"/>
          <w:sz w:val="20"/>
          <w:szCs w:val="20"/>
          <w:vertAlign w:val="superscript"/>
          <w:lang w:val="es-MX"/>
        </w:rPr>
        <w:footnoteReference w:id="1"/>
      </w:r>
      <w:r w:rsidRPr="00964B06">
        <w:rPr>
          <w:rFonts w:ascii="Verdana" w:hAnsi="Verdana" w:cs="Arial"/>
          <w:sz w:val="20"/>
          <w:szCs w:val="20"/>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20A2AD75" w14:textId="0BCFE6D1" w:rsidR="00964B06" w:rsidRPr="00964B06" w:rsidRDefault="00964B06" w:rsidP="00964B06">
      <w:pPr>
        <w:jc w:val="both"/>
        <w:rPr>
          <w:rFonts w:ascii="Verdana" w:hAnsi="Verdana"/>
          <w:b/>
          <w:bCs/>
          <w:sz w:val="20"/>
          <w:szCs w:val="20"/>
        </w:rPr>
      </w:pPr>
      <w:r w:rsidRPr="00964B06">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p>
    <w:p w14:paraId="250ADBFE" w14:textId="77777777" w:rsidR="00964B06" w:rsidRDefault="00FA56DE">
      <w:pPr>
        <w:rPr>
          <w:rFonts w:ascii="Verdana" w:hAnsi="Verdana"/>
          <w:b/>
          <w:bCs/>
        </w:rPr>
      </w:pPr>
      <w:r w:rsidRPr="00964B06">
        <w:rPr>
          <w:rFonts w:ascii="Verdana" w:hAnsi="Verdana"/>
          <w:b/>
          <w:bCs/>
        </w:rPr>
        <w:t xml:space="preserve"> </w:t>
      </w:r>
    </w:p>
    <w:p w14:paraId="093C2251" w14:textId="77777777" w:rsidR="00964B06" w:rsidRDefault="00FA56DE" w:rsidP="00E04516">
      <w:pPr>
        <w:spacing w:after="120" w:line="276" w:lineRule="auto"/>
        <w:rPr>
          <w:rFonts w:ascii="Verdana" w:hAnsi="Verdana"/>
          <w:b/>
          <w:bCs/>
        </w:rPr>
      </w:pPr>
      <w:r w:rsidRPr="00964B06">
        <w:rPr>
          <w:rFonts w:ascii="Verdana" w:hAnsi="Verdana"/>
          <w:b/>
          <w:bCs/>
        </w:rPr>
        <w:t>GARANTÍAS – Entidades de régimen especial – Régimen aplicable</w:t>
      </w:r>
      <w:r w:rsidRPr="00964B06">
        <w:rPr>
          <w:rFonts w:ascii="Verdana" w:hAnsi="Verdana"/>
          <w:b/>
          <w:bCs/>
        </w:rPr>
        <w:t xml:space="preserve"> </w:t>
      </w:r>
    </w:p>
    <w:p w14:paraId="23CBBC4D" w14:textId="77777777" w:rsidR="00964B06" w:rsidRPr="00E04516" w:rsidRDefault="00964B06" w:rsidP="00E04516">
      <w:pPr>
        <w:spacing w:after="120" w:line="276" w:lineRule="auto"/>
        <w:rPr>
          <w:rFonts w:ascii="Verdana" w:hAnsi="Verdana"/>
          <w:b/>
          <w:bCs/>
          <w:sz w:val="20"/>
          <w:szCs w:val="20"/>
        </w:rPr>
      </w:pPr>
    </w:p>
    <w:p w14:paraId="5EFCC15F" w14:textId="77777777" w:rsidR="00E04516" w:rsidRPr="00E04516" w:rsidRDefault="00E04516" w:rsidP="00E04516">
      <w:pPr>
        <w:spacing w:after="120" w:line="276" w:lineRule="auto"/>
        <w:jc w:val="both"/>
        <w:rPr>
          <w:rFonts w:ascii="Verdana" w:eastAsia="Calibri" w:hAnsi="Verdana" w:cs="Arial"/>
          <w:color w:val="000000" w:themeColor="text1"/>
          <w:sz w:val="20"/>
          <w:szCs w:val="20"/>
        </w:rPr>
      </w:pPr>
      <w:r w:rsidRPr="00E04516">
        <w:rPr>
          <w:rFonts w:ascii="Verdana" w:eastAsia="Calibri" w:hAnsi="Verdana" w:cs="Arial"/>
          <w:color w:val="000000" w:themeColor="text1"/>
          <w:sz w:val="20"/>
          <w:szCs w:val="20"/>
        </w:rPr>
        <w:t>Sin perjuicio de lo anterior, debe señalarse que, si bien los procesos de entidades de régimen especial no están cobijados por los artículos 7 de la Ley 1150 de 2007, ni el artículo 41 de la Ley 80 de 1993 o lo reglamentado en el Decreto 1082 de 2015, si resulta recomendable que las regulaciones que se establezcan en los manuales o reglamentos internos contemplen la exigencia de garantías como una condición para iniciar la ejecución de contratos. Esto como una medida para garantizar que la ejecución de los recursos públicos asociados al contrato se realice con garantizando los principios de la función administrativa y la gestión, los cuales también irradian la gestión contractual de las Entidades Estatales.</w:t>
      </w:r>
    </w:p>
    <w:p w14:paraId="076ED63C" w14:textId="62FD2044" w:rsidR="00530370" w:rsidRPr="00964B06" w:rsidRDefault="00530370" w:rsidP="00E04516">
      <w:pPr>
        <w:spacing w:after="120" w:line="276" w:lineRule="auto"/>
        <w:rPr>
          <w:rFonts w:ascii="Verdana" w:hAnsi="Verdana"/>
          <w:b/>
          <w:bCs/>
        </w:rPr>
      </w:pPr>
      <w:r w:rsidRPr="00964B06">
        <w:rPr>
          <w:rFonts w:ascii="Verdana" w:hAnsi="Verdana"/>
          <w:b/>
          <w:bCs/>
        </w:rPr>
        <w:br w:type="page"/>
      </w:r>
    </w:p>
    <w:p w14:paraId="7D17AF8C" w14:textId="77777777" w:rsidR="00530370" w:rsidRDefault="00530370" w:rsidP="00A67A9A">
      <w:pPr>
        <w:rPr>
          <w:rFonts w:ascii="Verdana" w:hAnsi="Verdana"/>
        </w:rPr>
      </w:pPr>
    </w:p>
    <w:p w14:paraId="1468C46D" w14:textId="5EB7A808" w:rsidR="00C15139" w:rsidRPr="0024624F" w:rsidRDefault="00C15139" w:rsidP="00A67A9A">
      <w:pPr>
        <w:rPr>
          <w:rFonts w:ascii="Verdana" w:hAnsi="Verdana"/>
        </w:rPr>
      </w:pPr>
      <w:r w:rsidRPr="0024624F">
        <w:rPr>
          <w:rFonts w:ascii="Verdana" w:hAnsi="Verdana"/>
        </w:rPr>
        <w:t xml:space="preserve">Bogotá D.C., </w:t>
      </w:r>
      <w:r w:rsidRPr="000E2B93">
        <w:rPr>
          <w:rFonts w:ascii="Verdana" w:hAnsi="Verdana"/>
        </w:rPr>
        <w:t>[Día] [</w:t>
      </w:r>
      <w:proofErr w:type="spellStart"/>
      <w:r w:rsidRPr="000E2B93">
        <w:rPr>
          <w:rFonts w:ascii="Verdana" w:hAnsi="Verdana"/>
        </w:rPr>
        <w:t>Mes.NombreCapitalizado</w:t>
      </w:r>
      <w:proofErr w:type="spellEnd"/>
      <w:r w:rsidRPr="000E2B93">
        <w:rPr>
          <w:rFonts w:ascii="Verdana" w:hAnsi="Verdana"/>
        </w:rPr>
        <w:t>] [Año]</w:t>
      </w:r>
      <w:r w:rsidRPr="000E2B93">
        <w:rPr>
          <w:rFonts w:ascii="Verdana" w:hAnsi="Verdana"/>
        </w:rPr>
        <w:tab/>
      </w:r>
      <w:r w:rsidRPr="000E2B93">
        <w:rPr>
          <w:rFonts w:ascii="Verdana" w:hAnsi="Verdana"/>
        </w:rPr>
        <w:br/>
      </w:r>
      <w:r w:rsidRPr="0024624F">
        <w:rPr>
          <w:rFonts w:ascii="Verdana" w:hAnsi="Verdana"/>
        </w:rPr>
        <w:tab/>
      </w:r>
    </w:p>
    <w:p w14:paraId="12443EE0" w14:textId="77777777" w:rsidR="00C15139" w:rsidRPr="0024624F" w:rsidRDefault="00C15139" w:rsidP="00C15139">
      <w:pPr>
        <w:spacing w:after="0"/>
        <w:rPr>
          <w:rFonts w:ascii="Verdana" w:hAnsi="Verdana"/>
        </w:rPr>
      </w:pPr>
    </w:p>
    <w:p w14:paraId="4B03230F" w14:textId="12658D6A" w:rsidR="00E245AB" w:rsidRDefault="0005646A" w:rsidP="005A65E0">
      <w:pPr>
        <w:spacing w:after="0"/>
        <w:rPr>
          <w:rFonts w:ascii="Verdana" w:hAnsi="Verdana"/>
          <w:lang w:val="es-MX"/>
        </w:rPr>
      </w:pPr>
      <w:r w:rsidRPr="0005646A">
        <w:rPr>
          <w:rFonts w:ascii="Verdana" w:hAnsi="Verdana"/>
          <w:noProof/>
          <w:lang w:val="es-MX"/>
        </w:rPr>
        <w:drawing>
          <wp:anchor distT="0" distB="0" distL="114300" distR="114300" simplePos="0" relativeHeight="251658752" behindDoc="1" locked="0" layoutInCell="1" allowOverlap="1" wp14:anchorId="1BEE3073" wp14:editId="36B5B9FF">
            <wp:simplePos x="0" y="0"/>
            <wp:positionH relativeFrom="column">
              <wp:posOffset>3200400</wp:posOffset>
            </wp:positionH>
            <wp:positionV relativeFrom="paragraph">
              <wp:posOffset>186055</wp:posOffset>
            </wp:positionV>
            <wp:extent cx="2411095" cy="706120"/>
            <wp:effectExtent l="0" t="0" r="8255" b="0"/>
            <wp:wrapTight wrapText="bothSides">
              <wp:wrapPolygon edited="0">
                <wp:start x="0" y="0"/>
                <wp:lineTo x="0" y="20978"/>
                <wp:lineTo x="21503" y="20978"/>
                <wp:lineTo x="21503" y="0"/>
                <wp:lineTo x="0" y="0"/>
              </wp:wrapPolygon>
            </wp:wrapTight>
            <wp:docPr id="7948554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11095" cy="706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0024624F">
        <w:rPr>
          <w:rFonts w:ascii="Verdana" w:hAnsi="Verdana"/>
          <w:lang w:val="es-MX"/>
        </w:rPr>
        <w:t xml:space="preserve">Señor </w:t>
      </w:r>
    </w:p>
    <w:p w14:paraId="5AF31D39" w14:textId="0844AE5B" w:rsidR="002A7508" w:rsidRPr="00BF50A9" w:rsidRDefault="002A7508" w:rsidP="005A65E0">
      <w:pPr>
        <w:spacing w:after="0"/>
        <w:rPr>
          <w:rFonts w:ascii="Verdana" w:hAnsi="Verdana"/>
          <w:b/>
          <w:bCs/>
          <w:lang w:val="es-MX"/>
        </w:rPr>
      </w:pPr>
      <w:r w:rsidRPr="00BF50A9">
        <w:rPr>
          <w:rFonts w:ascii="Verdana" w:hAnsi="Verdana"/>
          <w:b/>
          <w:bCs/>
          <w:lang w:val="es-MX"/>
        </w:rPr>
        <w:t xml:space="preserve">Luis Mogollón Behaine </w:t>
      </w:r>
    </w:p>
    <w:p w14:paraId="63B074B8" w14:textId="316D7DBD" w:rsidR="002A7508" w:rsidRDefault="00BF50A9" w:rsidP="005A65E0">
      <w:pPr>
        <w:spacing w:after="0"/>
        <w:rPr>
          <w:rFonts w:ascii="Verdana" w:hAnsi="Verdana"/>
          <w:lang w:val="es-MX"/>
        </w:rPr>
      </w:pPr>
      <w:hyperlink r:id="rId12" w:history="1">
        <w:r w:rsidRPr="00B03597">
          <w:rPr>
            <w:rStyle w:val="Hipervnculo"/>
            <w:rFonts w:ascii="Verdana" w:hAnsi="Verdana"/>
            <w:lang w:val="es-MX"/>
          </w:rPr>
          <w:t>Luismogollon20@hotmail.com</w:t>
        </w:r>
      </w:hyperlink>
      <w:r>
        <w:rPr>
          <w:rFonts w:ascii="Verdana" w:hAnsi="Verdana"/>
          <w:lang w:val="es-MX"/>
        </w:rPr>
        <w:t xml:space="preserve"> </w:t>
      </w:r>
    </w:p>
    <w:p w14:paraId="0208BB3F" w14:textId="00147180" w:rsidR="00BF50A9" w:rsidRDefault="00BF50A9" w:rsidP="005A65E0">
      <w:pPr>
        <w:spacing w:after="0"/>
        <w:rPr>
          <w:rFonts w:ascii="Verdana" w:hAnsi="Verdana"/>
          <w:lang w:val="es-MX"/>
        </w:rPr>
      </w:pPr>
      <w:r>
        <w:rPr>
          <w:rFonts w:ascii="Verdana" w:hAnsi="Verdana"/>
          <w:lang w:val="es-MX"/>
        </w:rPr>
        <w:t>Ciudad</w:t>
      </w:r>
      <w:r w:rsidR="000F0068">
        <w:rPr>
          <w:rFonts w:ascii="Verdana" w:hAnsi="Verdana"/>
          <w:lang w:val="es-MX"/>
        </w:rPr>
        <w:t xml:space="preserve"> </w:t>
      </w:r>
    </w:p>
    <w:p w14:paraId="27F99B36" w14:textId="77777777" w:rsidR="00FC60CE" w:rsidRDefault="00FC60CE" w:rsidP="005A65E0">
      <w:pPr>
        <w:spacing w:after="0"/>
        <w:rPr>
          <w:rFonts w:ascii="Verdana" w:hAnsi="Verdana"/>
          <w:lang w:val="es-MX"/>
        </w:rPr>
      </w:pPr>
    </w:p>
    <w:p w14:paraId="2E867D99" w14:textId="0882AB2F" w:rsidR="00BF50A9" w:rsidRDefault="00557819" w:rsidP="005A65E0">
      <w:pPr>
        <w:spacing w:after="0"/>
        <w:rPr>
          <w:rFonts w:ascii="Verdana" w:hAnsi="Verdana"/>
          <w:lang w:val="es-MX"/>
        </w:rPr>
      </w:pPr>
      <w:r>
        <w:rPr>
          <w:rFonts w:ascii="Verdana" w:hAnsi="Verdana"/>
          <w:b/>
          <w:bCs/>
          <w:lang w:val="es-ES"/>
        </w:rPr>
        <w:t xml:space="preserve">                                   </w:t>
      </w:r>
      <w:r w:rsidR="00FC60CE">
        <w:rPr>
          <w:rFonts w:ascii="Verdana" w:hAnsi="Verdana"/>
          <w:b/>
          <w:bCs/>
          <w:lang w:val="es-ES"/>
        </w:rPr>
        <w:t xml:space="preserve"> </w:t>
      </w:r>
      <w:r w:rsidRPr="00557819">
        <w:rPr>
          <w:rFonts w:ascii="Verdana" w:hAnsi="Verdana"/>
          <w:b/>
          <w:bCs/>
          <w:lang w:val="es-ES"/>
        </w:rPr>
        <w:t>Concepto C-</w:t>
      </w:r>
      <w:r w:rsidR="002419BC">
        <w:rPr>
          <w:rFonts w:ascii="Verdana" w:hAnsi="Verdana"/>
          <w:b/>
          <w:bCs/>
          <w:lang w:val="es-ES"/>
        </w:rPr>
        <w:t>052</w:t>
      </w:r>
      <w:r w:rsidRPr="00557819">
        <w:rPr>
          <w:rFonts w:ascii="Verdana" w:hAnsi="Verdana"/>
          <w:b/>
          <w:bCs/>
          <w:lang w:val="es-ES"/>
        </w:rPr>
        <w:t xml:space="preserve"> de 202</w:t>
      </w:r>
      <w:r w:rsidR="002419BC">
        <w:rPr>
          <w:rFonts w:ascii="Verdana" w:hAnsi="Verdana"/>
          <w:b/>
          <w:bCs/>
          <w:lang w:val="es-ES"/>
        </w:rPr>
        <w:t>6</w:t>
      </w:r>
    </w:p>
    <w:p w14:paraId="56B818DD" w14:textId="77777777" w:rsidR="00BF50A9" w:rsidRDefault="00BF50A9" w:rsidP="005A65E0">
      <w:pPr>
        <w:spacing w:after="0"/>
        <w:rPr>
          <w:rFonts w:ascii="Verdana" w:hAnsi="Verdana"/>
          <w:lang w:val="es-ES"/>
        </w:rPr>
      </w:pPr>
    </w:p>
    <w:tbl>
      <w:tblPr>
        <w:tblStyle w:val="Tablaconcuadrcula"/>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5958"/>
      </w:tblGrid>
      <w:tr w:rsidR="003773F6" w:rsidRPr="003773F6" w14:paraId="3984A59C" w14:textId="77777777" w:rsidTr="003773F6">
        <w:trPr>
          <w:trHeight w:val="884"/>
        </w:trPr>
        <w:tc>
          <w:tcPr>
            <w:tcW w:w="2689" w:type="dxa"/>
          </w:tcPr>
          <w:p w14:paraId="1B2160AB" w14:textId="77777777" w:rsidR="003773F6" w:rsidRPr="003773F6" w:rsidRDefault="003773F6" w:rsidP="003773F6">
            <w:pPr>
              <w:spacing w:line="259" w:lineRule="auto"/>
              <w:rPr>
                <w:rFonts w:ascii="Verdana" w:hAnsi="Verdana"/>
                <w:lang w:val="es-ES_tradnl"/>
              </w:rPr>
            </w:pPr>
            <w:r w:rsidRPr="003773F6">
              <w:rPr>
                <w:rFonts w:ascii="Verdana" w:hAnsi="Verdana"/>
                <w:b/>
                <w:lang w:val="es-ES_tradnl"/>
              </w:rPr>
              <w:t>Temas:</w:t>
            </w:r>
            <w:r w:rsidRPr="003773F6">
              <w:rPr>
                <w:rFonts w:ascii="Verdana" w:hAnsi="Verdana"/>
                <w:lang w:val="es-ES_tradnl"/>
              </w:rPr>
              <w:t xml:space="preserve">                   </w:t>
            </w:r>
          </w:p>
        </w:tc>
        <w:tc>
          <w:tcPr>
            <w:tcW w:w="5958" w:type="dxa"/>
          </w:tcPr>
          <w:p w14:paraId="38A20D73" w14:textId="2AA26604" w:rsidR="00A254C6" w:rsidRDefault="00C23234" w:rsidP="000F0068">
            <w:pPr>
              <w:spacing w:line="276" w:lineRule="auto"/>
              <w:jc w:val="both"/>
              <w:rPr>
                <w:rFonts w:ascii="Verdana" w:hAnsi="Verdana"/>
              </w:rPr>
            </w:pPr>
            <w:r>
              <w:rPr>
                <w:rFonts w:ascii="Verdana" w:hAnsi="Verdana"/>
              </w:rPr>
              <w:t xml:space="preserve">ENTIDADES CON RÉGIMEN ESPECIAL </w:t>
            </w:r>
            <w:r w:rsidR="00F15243">
              <w:rPr>
                <w:rFonts w:ascii="Verdana" w:hAnsi="Verdana"/>
              </w:rPr>
              <w:t>–</w:t>
            </w:r>
            <w:r w:rsidR="00FE1014">
              <w:rPr>
                <w:rFonts w:ascii="Verdana" w:hAnsi="Verdana"/>
              </w:rPr>
              <w:t xml:space="preserve"> Normativa – Principios de la función administrativa y gestión fiscal</w:t>
            </w:r>
            <w:r w:rsidR="0096370A">
              <w:rPr>
                <w:rFonts w:ascii="Verdana" w:hAnsi="Verdana"/>
              </w:rPr>
              <w:t xml:space="preserve"> Manual de contratación / ENTIDADES CON RÉGIMEN ESPECIAL –</w:t>
            </w:r>
            <w:r w:rsidR="00FC3D1C">
              <w:rPr>
                <w:rFonts w:ascii="Verdana" w:hAnsi="Verdana"/>
              </w:rPr>
              <w:t xml:space="preserve"> Gestión contractual </w:t>
            </w:r>
            <w:r w:rsidR="00A84B85">
              <w:rPr>
                <w:rFonts w:ascii="Verdana" w:hAnsi="Verdana"/>
              </w:rPr>
              <w:t xml:space="preserve">/ </w:t>
            </w:r>
            <w:r w:rsidR="00AA65D2" w:rsidRPr="003773F6">
              <w:rPr>
                <w:rFonts w:ascii="Verdana" w:hAnsi="Verdana"/>
              </w:rPr>
              <w:t xml:space="preserve">DÍAS HÁBILES – Concepto – </w:t>
            </w:r>
            <w:r w:rsidR="006E0540">
              <w:rPr>
                <w:rFonts w:ascii="Verdana" w:hAnsi="Verdana"/>
              </w:rPr>
              <w:t xml:space="preserve">Definición / </w:t>
            </w:r>
            <w:r w:rsidR="0044787D">
              <w:rPr>
                <w:rFonts w:ascii="Verdana" w:hAnsi="Verdana"/>
              </w:rPr>
              <w:t xml:space="preserve">GARANTÍAS – Normativa – </w:t>
            </w:r>
            <w:r w:rsidR="000F0068">
              <w:rPr>
                <w:rFonts w:ascii="Verdana" w:hAnsi="Verdana"/>
              </w:rPr>
              <w:t>Requisito de ejecución / GARANTÍAS – Entidades de régimen especial – Régimen aplicable</w:t>
            </w:r>
          </w:p>
          <w:p w14:paraId="6A8633F8" w14:textId="43C90B45" w:rsidR="000F0068" w:rsidRPr="003773F6" w:rsidRDefault="000F0068" w:rsidP="00A660D5">
            <w:pPr>
              <w:spacing w:line="276" w:lineRule="auto"/>
              <w:jc w:val="both"/>
              <w:rPr>
                <w:rFonts w:ascii="Verdana" w:hAnsi="Verdana"/>
              </w:rPr>
            </w:pPr>
          </w:p>
        </w:tc>
      </w:tr>
      <w:tr w:rsidR="003773F6" w:rsidRPr="003773F6" w14:paraId="4F6B3274" w14:textId="77777777" w:rsidTr="003773F6">
        <w:tc>
          <w:tcPr>
            <w:tcW w:w="2689" w:type="dxa"/>
          </w:tcPr>
          <w:p w14:paraId="30D21675" w14:textId="35D1EA87" w:rsidR="003773F6" w:rsidRPr="003773F6" w:rsidRDefault="00FC3D1C" w:rsidP="003773F6">
            <w:pPr>
              <w:spacing w:line="259" w:lineRule="auto"/>
              <w:rPr>
                <w:rFonts w:ascii="Verdana" w:hAnsi="Verdana"/>
                <w:b/>
                <w:lang w:val="es-ES_tradnl"/>
              </w:rPr>
            </w:pPr>
            <w:r>
              <w:rPr>
                <w:rFonts w:ascii="Verdana" w:hAnsi="Verdana"/>
                <w:b/>
                <w:lang w:val="es-ES_tradnl"/>
              </w:rPr>
              <w:t xml:space="preserve"> </w:t>
            </w:r>
            <w:r w:rsidR="003773F6" w:rsidRPr="003773F6">
              <w:rPr>
                <w:rFonts w:ascii="Verdana" w:hAnsi="Verdana"/>
                <w:b/>
                <w:lang w:val="es-ES_tradnl"/>
              </w:rPr>
              <w:t>Radicación:</w:t>
            </w:r>
            <w:r w:rsidR="003773F6" w:rsidRPr="003773F6">
              <w:rPr>
                <w:rFonts w:ascii="Verdana" w:hAnsi="Verdana"/>
                <w:lang w:val="es-ES_tradnl"/>
              </w:rPr>
              <w:t xml:space="preserve">               </w:t>
            </w:r>
          </w:p>
        </w:tc>
        <w:tc>
          <w:tcPr>
            <w:tcW w:w="5958" w:type="dxa"/>
          </w:tcPr>
          <w:p w14:paraId="5B2F11B8" w14:textId="77777777" w:rsidR="00B32D33" w:rsidRPr="00B32D33" w:rsidRDefault="003773F6" w:rsidP="00B32D33">
            <w:pPr>
              <w:rPr>
                <w:rFonts w:ascii="Verdana" w:hAnsi="Verdana"/>
              </w:rPr>
            </w:pPr>
            <w:r w:rsidRPr="003773F6">
              <w:rPr>
                <w:rFonts w:ascii="Verdana" w:hAnsi="Verdana"/>
                <w:lang w:val="es-ES_tradnl"/>
              </w:rPr>
              <w:t xml:space="preserve">Respuesta al radicado No. </w:t>
            </w:r>
            <w:r w:rsidR="00B32D33" w:rsidRPr="00B32D33">
              <w:rPr>
                <w:rFonts w:ascii="Verdana" w:hAnsi="Verdana"/>
              </w:rPr>
              <w:t>1_2026_01_02_000020</w:t>
            </w:r>
          </w:p>
          <w:p w14:paraId="06B4569B" w14:textId="37C7AD04" w:rsidR="003773F6" w:rsidRPr="003773F6" w:rsidRDefault="003773F6" w:rsidP="003773F6">
            <w:pPr>
              <w:spacing w:line="259" w:lineRule="auto"/>
              <w:rPr>
                <w:rFonts w:ascii="Verdana" w:hAnsi="Verdana"/>
                <w:lang w:val="es-ES_tradnl"/>
              </w:rPr>
            </w:pPr>
          </w:p>
        </w:tc>
      </w:tr>
    </w:tbl>
    <w:p w14:paraId="5E7B642E" w14:textId="77777777" w:rsidR="003773F6" w:rsidRPr="003773F6" w:rsidRDefault="003773F6" w:rsidP="003773F6">
      <w:pPr>
        <w:spacing w:after="0"/>
        <w:rPr>
          <w:rFonts w:ascii="Verdana" w:hAnsi="Verdana"/>
          <w:lang w:val="es-ES_tradnl"/>
        </w:rPr>
      </w:pPr>
    </w:p>
    <w:p w14:paraId="45AD0092" w14:textId="0DD0B715" w:rsidR="003773F6" w:rsidRDefault="003773F6" w:rsidP="003773F6">
      <w:pPr>
        <w:spacing w:after="0"/>
        <w:rPr>
          <w:rFonts w:ascii="Verdana" w:hAnsi="Verdana"/>
          <w:lang w:val="es-ES"/>
        </w:rPr>
      </w:pPr>
      <w:r w:rsidRPr="003773F6">
        <w:rPr>
          <w:rFonts w:ascii="Verdana" w:hAnsi="Verdana"/>
          <w:lang w:val="es-ES"/>
        </w:rPr>
        <w:t>Estimado señor</w:t>
      </w:r>
      <w:r>
        <w:rPr>
          <w:rFonts w:ascii="Verdana" w:hAnsi="Verdana"/>
          <w:lang w:val="es-ES"/>
        </w:rPr>
        <w:t xml:space="preserve"> Mogollón, cordial saludo, </w:t>
      </w:r>
    </w:p>
    <w:p w14:paraId="432B9FAC" w14:textId="77777777" w:rsidR="003773F6" w:rsidRDefault="003773F6" w:rsidP="00F001CF">
      <w:pPr>
        <w:spacing w:after="0"/>
        <w:jc w:val="both"/>
        <w:rPr>
          <w:rFonts w:ascii="Verdana" w:hAnsi="Verdana"/>
          <w:lang w:val="es-ES"/>
        </w:rPr>
      </w:pPr>
    </w:p>
    <w:p w14:paraId="21B7995F" w14:textId="463B752B" w:rsidR="00995A21" w:rsidRPr="00995A21" w:rsidRDefault="00995A21" w:rsidP="00A660D5">
      <w:pPr>
        <w:spacing w:after="0" w:line="276" w:lineRule="auto"/>
        <w:jc w:val="both"/>
        <w:rPr>
          <w:rFonts w:ascii="Verdana" w:hAnsi="Verdana"/>
          <w:lang w:val="es-ES"/>
        </w:rPr>
      </w:pPr>
      <w:r w:rsidRPr="00995A21">
        <w:rPr>
          <w:rFonts w:ascii="Verdana" w:hAnsi="Verdana"/>
          <w:lang w:val="es-ES"/>
        </w:rPr>
        <w:t xml:space="preserve">En ejercicio de la competencia otorgada por los artículos 3, numeral 5º, y 11, numeral 8º, del Decreto Ley 4170 de 2011, </w:t>
      </w:r>
      <w:r w:rsidRPr="00995A21">
        <w:rPr>
          <w:rFonts w:ascii="Verdana" w:hAnsi="Verdana"/>
        </w:rPr>
        <w:t xml:space="preserve">así como lo establecido en el artículo 4 de la Resolución 1707 de 2018 expedida por esta Entidad, </w:t>
      </w:r>
      <w:r w:rsidRPr="00995A21">
        <w:rPr>
          <w:rFonts w:ascii="Verdana" w:hAnsi="Verdana"/>
          <w:lang w:val="es-ES"/>
        </w:rPr>
        <w:t xml:space="preserve">la Agencia Nacional de Contratación Pública – Colombia Compra Eficiente– responde su solicitud de consulta de fecha </w:t>
      </w:r>
      <w:r w:rsidR="00F001CF">
        <w:rPr>
          <w:rFonts w:ascii="Verdana" w:hAnsi="Verdana"/>
          <w:lang w:val="es-ES"/>
        </w:rPr>
        <w:t>del 2 de enero de 2026</w:t>
      </w:r>
      <w:r w:rsidRPr="00995A21">
        <w:rPr>
          <w:rFonts w:ascii="Verdana" w:hAnsi="Verdana"/>
          <w:lang w:val="es-ES"/>
        </w:rPr>
        <w:t xml:space="preserve">, en la cual manifiesta lo siguiente: </w:t>
      </w:r>
    </w:p>
    <w:p w14:paraId="52FEDDBE" w14:textId="77777777" w:rsidR="00394998" w:rsidRPr="003773F6" w:rsidRDefault="00394998" w:rsidP="00F07173">
      <w:pPr>
        <w:spacing w:after="0"/>
        <w:jc w:val="both"/>
        <w:rPr>
          <w:rFonts w:ascii="Verdana" w:hAnsi="Verdana"/>
          <w:lang w:val="es-ES"/>
        </w:rPr>
      </w:pPr>
    </w:p>
    <w:p w14:paraId="3B2B744B" w14:textId="61ACFF63" w:rsidR="00187FD0" w:rsidRPr="00A660D5" w:rsidRDefault="008A4ED6" w:rsidP="00A97164">
      <w:pPr>
        <w:spacing w:after="0"/>
        <w:ind w:left="709" w:right="709"/>
        <w:jc w:val="both"/>
        <w:rPr>
          <w:rFonts w:ascii="Verdana" w:hAnsi="Verdana"/>
          <w:i/>
          <w:iCs/>
          <w:sz w:val="20"/>
          <w:szCs w:val="20"/>
        </w:rPr>
      </w:pPr>
      <w:r w:rsidRPr="00A660D5">
        <w:rPr>
          <w:rFonts w:ascii="Verdana" w:hAnsi="Verdana"/>
          <w:i/>
          <w:iCs/>
          <w:sz w:val="20"/>
          <w:szCs w:val="20"/>
        </w:rPr>
        <w:t>“</w:t>
      </w:r>
      <w:r w:rsidR="00790363" w:rsidRPr="00A660D5">
        <w:rPr>
          <w:rFonts w:ascii="Verdana" w:hAnsi="Verdana"/>
          <w:i/>
          <w:iCs/>
          <w:sz w:val="20"/>
          <w:szCs w:val="20"/>
        </w:rPr>
        <w:t xml:space="preserve">Puede un gerente de una empresa social del </w:t>
      </w:r>
      <w:r w:rsidR="009C1D9E" w:rsidRPr="00A660D5">
        <w:rPr>
          <w:rFonts w:ascii="Verdana" w:hAnsi="Verdana"/>
          <w:i/>
          <w:iCs/>
          <w:sz w:val="20"/>
          <w:szCs w:val="20"/>
        </w:rPr>
        <w:t>Estado celebrar contratos días no hábiles teniendo en cuenta el carácter fundamental y esencial del servicio que presta la entidad?</w:t>
      </w:r>
    </w:p>
    <w:p w14:paraId="413804B0" w14:textId="77777777" w:rsidR="00C37277" w:rsidRPr="00A660D5" w:rsidRDefault="00C37277" w:rsidP="00A97164">
      <w:pPr>
        <w:spacing w:after="0"/>
        <w:ind w:left="709" w:right="709"/>
        <w:jc w:val="both"/>
        <w:rPr>
          <w:rFonts w:ascii="Verdana" w:hAnsi="Verdana"/>
          <w:i/>
          <w:iCs/>
          <w:sz w:val="20"/>
          <w:szCs w:val="20"/>
        </w:rPr>
      </w:pPr>
    </w:p>
    <w:p w14:paraId="565008CC" w14:textId="77777777" w:rsidR="00C37277" w:rsidRPr="00A660D5" w:rsidRDefault="009C1D9E" w:rsidP="00A97164">
      <w:pPr>
        <w:spacing w:after="0"/>
        <w:ind w:left="709" w:right="709"/>
        <w:jc w:val="both"/>
        <w:rPr>
          <w:rFonts w:ascii="Verdana" w:hAnsi="Verdana"/>
          <w:i/>
          <w:iCs/>
          <w:sz w:val="20"/>
          <w:szCs w:val="20"/>
        </w:rPr>
      </w:pPr>
      <w:r w:rsidRPr="00A660D5">
        <w:rPr>
          <w:rFonts w:ascii="Verdana" w:hAnsi="Verdana"/>
          <w:i/>
          <w:iCs/>
          <w:sz w:val="20"/>
          <w:szCs w:val="20"/>
        </w:rPr>
        <w:t xml:space="preserve">Es posible iniciar la ejecución de un contrato celebrado por una empresa social del Estado, el cual, sea necesario para garantizar la </w:t>
      </w:r>
    </w:p>
    <w:p w14:paraId="6CA55F17" w14:textId="27D58033" w:rsidR="009C1D9E" w:rsidRPr="00C37277" w:rsidRDefault="009C1D9E" w:rsidP="00A97164">
      <w:pPr>
        <w:spacing w:after="0"/>
        <w:ind w:left="709" w:right="709"/>
        <w:jc w:val="both"/>
        <w:rPr>
          <w:rFonts w:ascii="Verdana" w:hAnsi="Verdana"/>
          <w:i/>
          <w:iCs/>
          <w:sz w:val="21"/>
          <w:szCs w:val="21"/>
        </w:rPr>
      </w:pPr>
      <w:r w:rsidRPr="00A660D5">
        <w:rPr>
          <w:rFonts w:ascii="Verdana" w:hAnsi="Verdana"/>
          <w:i/>
          <w:iCs/>
          <w:sz w:val="20"/>
          <w:szCs w:val="20"/>
        </w:rPr>
        <w:t>operación de este, a pesar de no haber sido aprobadas las garantías?</w:t>
      </w:r>
      <w:r w:rsidR="008A4ED6" w:rsidRPr="00A660D5">
        <w:rPr>
          <w:rFonts w:ascii="Verdana" w:hAnsi="Verdana"/>
          <w:i/>
          <w:iCs/>
          <w:sz w:val="20"/>
          <w:szCs w:val="20"/>
        </w:rPr>
        <w:t>”</w:t>
      </w:r>
    </w:p>
    <w:p w14:paraId="5EA52877" w14:textId="77777777" w:rsidR="009C1D9E" w:rsidRDefault="009C1D9E" w:rsidP="00C37277">
      <w:pPr>
        <w:spacing w:after="0"/>
        <w:jc w:val="both"/>
        <w:rPr>
          <w:rFonts w:ascii="Verdana" w:hAnsi="Verdana"/>
        </w:rPr>
      </w:pPr>
    </w:p>
    <w:p w14:paraId="3A8A41D4" w14:textId="77777777" w:rsidR="00C37277" w:rsidRPr="00C37277" w:rsidRDefault="00C37277" w:rsidP="005E7133">
      <w:pPr>
        <w:spacing w:after="120" w:line="276" w:lineRule="auto"/>
        <w:ind w:firstLine="709"/>
        <w:jc w:val="both"/>
        <w:rPr>
          <w:rFonts w:ascii="Verdana" w:hAnsi="Verdana"/>
          <w:lang w:val="es-ES_tradnl"/>
        </w:rPr>
      </w:pPr>
      <w:r w:rsidRPr="00C37277">
        <w:rPr>
          <w:rFonts w:ascii="Verdana" w:hAnsi="Verdana"/>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37277">
        <w:rPr>
          <w:rFonts w:ascii="Verdana" w:hAnsi="Verdana"/>
          <w:lang w:val="es-ES_tradnl"/>
        </w:rPr>
        <w:tab/>
      </w:r>
    </w:p>
    <w:p w14:paraId="650C2FDD" w14:textId="77777777" w:rsidR="00C37277" w:rsidRPr="00C37277" w:rsidRDefault="00C37277" w:rsidP="005E7133">
      <w:pPr>
        <w:spacing w:after="120" w:line="276" w:lineRule="auto"/>
        <w:ind w:firstLine="709"/>
        <w:jc w:val="both"/>
        <w:rPr>
          <w:rFonts w:ascii="Verdana" w:hAnsi="Verdana"/>
          <w:lang w:val="es-ES"/>
        </w:rPr>
      </w:pPr>
      <w:r w:rsidRPr="00C37277">
        <w:rPr>
          <w:rFonts w:ascii="Verdana" w:hAnsi="Verdana"/>
          <w:lang w:val="es-ES"/>
        </w:rPr>
        <w:t xml:space="preserve">Conforme lo expuesto, en aras de satisfacer el derecho fundamental de petición se resolverá su consulta dentro de los límites de la referida competencia consultiva, esto es, haciendo unas consideraciones sobre las normas generales relacionadas con el problema jurídico de su consulta. </w:t>
      </w:r>
    </w:p>
    <w:p w14:paraId="1F9526ED" w14:textId="77777777" w:rsidR="00C37277" w:rsidRPr="005F5171" w:rsidRDefault="00C37277" w:rsidP="00C37277">
      <w:pPr>
        <w:spacing w:after="0" w:line="276" w:lineRule="auto"/>
        <w:ind w:firstLine="709"/>
        <w:jc w:val="both"/>
        <w:rPr>
          <w:rFonts w:ascii="Verdana" w:hAnsi="Verdana"/>
          <w:b/>
          <w:bCs/>
          <w:lang w:val="es-ES"/>
        </w:rPr>
      </w:pPr>
    </w:p>
    <w:bookmarkEnd w:id="0"/>
    <w:p w14:paraId="35F7545C" w14:textId="6A3BA2D9" w:rsidR="009C1D9E" w:rsidRDefault="00643A17" w:rsidP="005F5171">
      <w:pPr>
        <w:spacing w:after="0"/>
        <w:jc w:val="both"/>
        <w:rPr>
          <w:rFonts w:ascii="Verdana" w:hAnsi="Verdana"/>
          <w:b/>
          <w:bCs/>
          <w:lang w:val="es-ES"/>
        </w:rPr>
      </w:pPr>
      <w:r w:rsidRPr="005F5171">
        <w:rPr>
          <w:rFonts w:ascii="Verdana" w:hAnsi="Verdana"/>
          <w:b/>
          <w:bCs/>
          <w:lang w:val="es-ES"/>
        </w:rPr>
        <w:t xml:space="preserve">1. Problema planteado: </w:t>
      </w:r>
    </w:p>
    <w:p w14:paraId="06777621" w14:textId="77777777" w:rsidR="005F5171" w:rsidRPr="005F5171" w:rsidRDefault="005F5171" w:rsidP="005F5171">
      <w:pPr>
        <w:spacing w:after="0"/>
        <w:jc w:val="both"/>
        <w:rPr>
          <w:rFonts w:ascii="Verdana" w:hAnsi="Verdana"/>
          <w:b/>
          <w:bCs/>
          <w:lang w:val="es-ES"/>
        </w:rPr>
      </w:pPr>
    </w:p>
    <w:p w14:paraId="073AEB0B" w14:textId="07252E4F" w:rsidR="00643A17" w:rsidRDefault="00643A17" w:rsidP="005F5171">
      <w:pPr>
        <w:spacing w:after="0"/>
        <w:jc w:val="both"/>
        <w:rPr>
          <w:rFonts w:ascii="Verdana" w:hAnsi="Verdana"/>
        </w:rPr>
      </w:pPr>
      <w:r>
        <w:rPr>
          <w:rFonts w:ascii="Verdana" w:hAnsi="Verdana"/>
          <w:lang w:val="es-ES"/>
        </w:rPr>
        <w:t>De acuerdo con el contenido de su solicitud, esta Agencia resolverá el siguiente problema jurídico</w:t>
      </w:r>
      <w:r w:rsidR="008C6CAB">
        <w:rPr>
          <w:rFonts w:ascii="Verdana" w:hAnsi="Verdana"/>
          <w:lang w:val="es-ES"/>
        </w:rPr>
        <w:t>:</w:t>
      </w:r>
      <w:r w:rsidR="008009EB">
        <w:rPr>
          <w:rFonts w:ascii="Verdana" w:hAnsi="Verdana"/>
          <w:lang w:val="es-ES"/>
        </w:rPr>
        <w:t xml:space="preserve"> i)</w:t>
      </w:r>
      <w:r w:rsidR="008C6CAB">
        <w:rPr>
          <w:rFonts w:ascii="Verdana" w:hAnsi="Verdana"/>
          <w:lang w:val="es-ES"/>
        </w:rPr>
        <w:t xml:space="preserve"> ¿</w:t>
      </w:r>
      <w:r w:rsidR="00F33F35">
        <w:rPr>
          <w:rFonts w:ascii="Verdana" w:hAnsi="Verdana"/>
          <w:lang w:val="es-ES"/>
        </w:rPr>
        <w:t>Pueden las Empresas Sociales del Estado</w:t>
      </w:r>
      <w:r w:rsidR="008C6CAB">
        <w:rPr>
          <w:rFonts w:ascii="Verdana" w:hAnsi="Verdana"/>
          <w:lang w:val="es-ES"/>
        </w:rPr>
        <w:t xml:space="preserve"> determinar </w:t>
      </w:r>
      <w:r w:rsidR="00F30D6E">
        <w:rPr>
          <w:rFonts w:ascii="Verdana" w:hAnsi="Verdana"/>
          <w:lang w:val="es-ES"/>
        </w:rPr>
        <w:t xml:space="preserve">cuáles son los </w:t>
      </w:r>
      <w:r w:rsidR="008C6CAB">
        <w:rPr>
          <w:rFonts w:ascii="Verdana" w:hAnsi="Verdana"/>
          <w:lang w:val="es-ES"/>
        </w:rPr>
        <w:t xml:space="preserve">días hábiles para efectos de </w:t>
      </w:r>
      <w:r w:rsidR="00F30D6E">
        <w:rPr>
          <w:rFonts w:ascii="Verdana" w:hAnsi="Verdana"/>
          <w:lang w:val="es-ES"/>
        </w:rPr>
        <w:t xml:space="preserve">su </w:t>
      </w:r>
      <w:r w:rsidR="008C6CAB">
        <w:rPr>
          <w:rFonts w:ascii="Verdana" w:hAnsi="Verdana"/>
          <w:lang w:val="es-ES"/>
        </w:rPr>
        <w:t>gestión contractual</w:t>
      </w:r>
      <w:r w:rsidR="00500CAA">
        <w:rPr>
          <w:rFonts w:ascii="Verdana" w:hAnsi="Verdana"/>
          <w:lang w:val="es-ES"/>
        </w:rPr>
        <w:t>?</w:t>
      </w:r>
      <w:r w:rsidR="008A4ED6">
        <w:rPr>
          <w:rFonts w:ascii="Verdana" w:hAnsi="Verdana"/>
          <w:lang w:val="es-ES"/>
        </w:rPr>
        <w:t>;</w:t>
      </w:r>
      <w:r w:rsidR="00FE1014">
        <w:rPr>
          <w:rFonts w:ascii="Verdana" w:hAnsi="Verdana"/>
          <w:lang w:val="es-ES"/>
        </w:rPr>
        <w:t xml:space="preserve"> y</w:t>
      </w:r>
      <w:r w:rsidR="008009EB">
        <w:rPr>
          <w:rFonts w:ascii="Verdana" w:hAnsi="Verdana"/>
          <w:lang w:val="es-ES"/>
        </w:rPr>
        <w:t xml:space="preserve"> ii) </w:t>
      </w:r>
      <w:r w:rsidR="00236F84" w:rsidRPr="00236F84">
        <w:rPr>
          <w:rFonts w:ascii="Verdana" w:hAnsi="Verdana"/>
        </w:rPr>
        <w:t>¿</w:t>
      </w:r>
      <w:r w:rsidR="00FE1014">
        <w:rPr>
          <w:rFonts w:ascii="Verdana" w:hAnsi="Verdana"/>
        </w:rPr>
        <w:t>es viable que las</w:t>
      </w:r>
      <w:r w:rsidR="00236F84" w:rsidRPr="00236F84">
        <w:rPr>
          <w:rFonts w:ascii="Verdana" w:hAnsi="Verdana"/>
        </w:rPr>
        <w:t xml:space="preserve"> </w:t>
      </w:r>
      <w:r w:rsidR="00FE1014">
        <w:rPr>
          <w:rFonts w:ascii="Verdana" w:hAnsi="Verdana"/>
        </w:rPr>
        <w:t xml:space="preserve">de </w:t>
      </w:r>
      <w:r w:rsidR="005F5171">
        <w:rPr>
          <w:rFonts w:ascii="Verdana" w:hAnsi="Verdana"/>
        </w:rPr>
        <w:t xml:space="preserve">régimen especial </w:t>
      </w:r>
      <w:r w:rsidR="00236F84" w:rsidRPr="00236F84">
        <w:rPr>
          <w:rFonts w:ascii="Verdana" w:hAnsi="Verdana"/>
        </w:rPr>
        <w:t>inic</w:t>
      </w:r>
      <w:r w:rsidR="00FE1014">
        <w:rPr>
          <w:rFonts w:ascii="Verdana" w:hAnsi="Verdana"/>
        </w:rPr>
        <w:t>ien</w:t>
      </w:r>
      <w:r w:rsidR="00236F84" w:rsidRPr="00236F84">
        <w:rPr>
          <w:rFonts w:ascii="Verdana" w:hAnsi="Verdana"/>
        </w:rPr>
        <w:t xml:space="preserve"> la ejecución de un contrato estatal</w:t>
      </w:r>
      <w:r w:rsidR="005F5171">
        <w:rPr>
          <w:rFonts w:ascii="Verdana" w:hAnsi="Verdana"/>
        </w:rPr>
        <w:t>,</w:t>
      </w:r>
      <w:r w:rsidR="00236F84" w:rsidRPr="00236F84">
        <w:rPr>
          <w:rFonts w:ascii="Verdana" w:hAnsi="Verdana"/>
        </w:rPr>
        <w:t xml:space="preserve"> aun cuando no se encuentren aprobadas las garantías exigidas contractualmente?</w:t>
      </w:r>
    </w:p>
    <w:p w14:paraId="06AC6404" w14:textId="77777777" w:rsidR="00F07173" w:rsidRDefault="00F07173" w:rsidP="005F5171">
      <w:pPr>
        <w:spacing w:after="0"/>
        <w:jc w:val="both"/>
        <w:rPr>
          <w:rFonts w:ascii="Verdana" w:hAnsi="Verdana"/>
        </w:rPr>
      </w:pPr>
    </w:p>
    <w:p w14:paraId="0A6F9A20" w14:textId="6EDFAD34" w:rsidR="00F07173" w:rsidRPr="004F1F7D" w:rsidRDefault="00F07173" w:rsidP="005F5171">
      <w:pPr>
        <w:spacing w:after="0"/>
        <w:jc w:val="both"/>
        <w:rPr>
          <w:rFonts w:ascii="Verdana" w:hAnsi="Verdana"/>
          <w:b/>
          <w:bCs/>
        </w:rPr>
      </w:pPr>
      <w:r w:rsidRPr="004F1F7D">
        <w:rPr>
          <w:rFonts w:ascii="Verdana" w:hAnsi="Verdana"/>
          <w:b/>
          <w:bCs/>
        </w:rPr>
        <w:t>2. Respuesta:</w:t>
      </w:r>
    </w:p>
    <w:p w14:paraId="4A828531" w14:textId="77777777" w:rsidR="00F07173" w:rsidRDefault="00F07173" w:rsidP="005F5171">
      <w:pPr>
        <w:spacing w:after="0"/>
        <w:jc w:val="both"/>
        <w:rPr>
          <w:rFonts w:ascii="Verdana" w:hAnsi="Verdana"/>
        </w:rPr>
      </w:pPr>
    </w:p>
    <w:p w14:paraId="1E7F6F28" w14:textId="1EE5EB86" w:rsidR="008870F0" w:rsidRDefault="008A4ED6" w:rsidP="00A660D5">
      <w:pPr>
        <w:pBdr>
          <w:top w:val="single" w:sz="4" w:space="1" w:color="auto"/>
          <w:left w:val="single" w:sz="4" w:space="4" w:color="auto"/>
          <w:bottom w:val="single" w:sz="4" w:space="1" w:color="auto"/>
          <w:right w:val="single" w:sz="4" w:space="4" w:color="auto"/>
        </w:pBdr>
        <w:spacing w:after="120" w:line="276" w:lineRule="auto"/>
        <w:jc w:val="both"/>
        <w:rPr>
          <w:rFonts w:ascii="Verdana" w:hAnsi="Verdana"/>
        </w:rPr>
      </w:pPr>
      <w:r>
        <w:rPr>
          <w:rFonts w:ascii="Verdana" w:hAnsi="Verdana"/>
        </w:rPr>
        <w:t>i</w:t>
      </w:r>
      <w:r w:rsidR="000F0068">
        <w:rPr>
          <w:rFonts w:ascii="Verdana" w:hAnsi="Verdana"/>
        </w:rPr>
        <w:t>.</w:t>
      </w:r>
      <w:r>
        <w:rPr>
          <w:rFonts w:ascii="Verdana" w:hAnsi="Verdana"/>
        </w:rPr>
        <w:t xml:space="preserve"> En respuesta a</w:t>
      </w:r>
      <w:r w:rsidR="00715F79">
        <w:rPr>
          <w:rFonts w:ascii="Verdana" w:hAnsi="Verdana"/>
        </w:rPr>
        <w:t xml:space="preserve">l primer </w:t>
      </w:r>
      <w:r w:rsidR="00AC50BC">
        <w:rPr>
          <w:rFonts w:ascii="Verdana" w:hAnsi="Verdana"/>
        </w:rPr>
        <w:t xml:space="preserve">problema jurídico planteado, </w:t>
      </w:r>
      <w:r w:rsidR="00CD0629">
        <w:rPr>
          <w:rFonts w:ascii="Verdana" w:hAnsi="Verdana"/>
        </w:rPr>
        <w:t xml:space="preserve">es menester </w:t>
      </w:r>
      <w:r w:rsidR="00C6721D">
        <w:rPr>
          <w:rFonts w:ascii="Verdana" w:hAnsi="Verdana"/>
        </w:rPr>
        <w:t>resaltar</w:t>
      </w:r>
      <w:r w:rsidR="00CB4060">
        <w:rPr>
          <w:rFonts w:ascii="Verdana" w:hAnsi="Verdana"/>
        </w:rPr>
        <w:t xml:space="preserve"> </w:t>
      </w:r>
      <w:r w:rsidR="00CD0629">
        <w:rPr>
          <w:rFonts w:ascii="Verdana" w:hAnsi="Verdana"/>
        </w:rPr>
        <w:t>que</w:t>
      </w:r>
      <w:r w:rsidR="00CB4060">
        <w:rPr>
          <w:rFonts w:ascii="Verdana" w:hAnsi="Verdana"/>
        </w:rPr>
        <w:t>,</w:t>
      </w:r>
      <w:r w:rsidR="00CD0629">
        <w:rPr>
          <w:rFonts w:ascii="Verdana" w:hAnsi="Verdana"/>
        </w:rPr>
        <w:t xml:space="preserve"> en </w:t>
      </w:r>
      <w:r w:rsidR="00B55134">
        <w:rPr>
          <w:rFonts w:ascii="Verdana" w:hAnsi="Verdana"/>
        </w:rPr>
        <w:t xml:space="preserve">el marco de la contratación pública, </w:t>
      </w:r>
      <w:r w:rsidR="00F30D6E">
        <w:rPr>
          <w:rFonts w:ascii="Verdana" w:hAnsi="Verdana"/>
        </w:rPr>
        <w:t>las empresas sociales del Estado</w:t>
      </w:r>
      <w:r w:rsidR="00B55134">
        <w:rPr>
          <w:rFonts w:ascii="Verdana" w:hAnsi="Verdana"/>
        </w:rPr>
        <w:t xml:space="preserve"> </w:t>
      </w:r>
      <w:r w:rsidR="00F30D6E">
        <w:rPr>
          <w:rFonts w:ascii="Verdana" w:hAnsi="Verdana"/>
        </w:rPr>
        <w:t xml:space="preserve">tienen la potestad de </w:t>
      </w:r>
      <w:r w:rsidR="00665B82">
        <w:rPr>
          <w:rFonts w:ascii="Verdana" w:hAnsi="Verdana"/>
        </w:rPr>
        <w:t>defini</w:t>
      </w:r>
      <w:r w:rsidR="00F30D6E">
        <w:rPr>
          <w:rFonts w:ascii="Verdana" w:hAnsi="Verdana"/>
        </w:rPr>
        <w:t>r</w:t>
      </w:r>
      <w:r w:rsidR="00665B82">
        <w:rPr>
          <w:rFonts w:ascii="Verdana" w:hAnsi="Verdana"/>
        </w:rPr>
        <w:t xml:space="preserve"> </w:t>
      </w:r>
      <w:r w:rsidR="00BE193E">
        <w:rPr>
          <w:rFonts w:ascii="Verdana" w:hAnsi="Verdana"/>
        </w:rPr>
        <w:t>a través de su</w:t>
      </w:r>
      <w:r w:rsidR="00CF6C56">
        <w:rPr>
          <w:rFonts w:ascii="Verdana" w:hAnsi="Verdana"/>
        </w:rPr>
        <w:t>s reglamentos internos y manuales de contratación</w:t>
      </w:r>
      <w:r w:rsidR="00F30D6E">
        <w:rPr>
          <w:rFonts w:ascii="Verdana" w:hAnsi="Verdana"/>
        </w:rPr>
        <w:t xml:space="preserve">, </w:t>
      </w:r>
      <w:r w:rsidR="00316DB5">
        <w:rPr>
          <w:rFonts w:ascii="Verdana" w:hAnsi="Verdana"/>
        </w:rPr>
        <w:t>cuáles</w:t>
      </w:r>
      <w:r w:rsidR="005B539E">
        <w:rPr>
          <w:rFonts w:ascii="Verdana" w:hAnsi="Verdana"/>
        </w:rPr>
        <w:t xml:space="preserve"> son las fechas</w:t>
      </w:r>
      <w:r w:rsidR="00564D49">
        <w:rPr>
          <w:rFonts w:ascii="Verdana" w:hAnsi="Verdana"/>
        </w:rPr>
        <w:t xml:space="preserve"> hábiles</w:t>
      </w:r>
      <w:r w:rsidR="00BE46D3">
        <w:rPr>
          <w:rFonts w:ascii="Verdana" w:hAnsi="Verdana"/>
        </w:rPr>
        <w:t xml:space="preserve"> para desarrollar las diferentes ac</w:t>
      </w:r>
      <w:r w:rsidR="00A17955">
        <w:rPr>
          <w:rFonts w:ascii="Verdana" w:hAnsi="Verdana"/>
        </w:rPr>
        <w:t xml:space="preserve">tuaciones que implica la gestión contractual. </w:t>
      </w:r>
      <w:r w:rsidR="00D52C15">
        <w:rPr>
          <w:rFonts w:ascii="Verdana" w:hAnsi="Verdana"/>
        </w:rPr>
        <w:t xml:space="preserve"> </w:t>
      </w:r>
      <w:r w:rsidR="00333AA8">
        <w:rPr>
          <w:rFonts w:ascii="Verdana" w:hAnsi="Verdana"/>
        </w:rPr>
        <w:t>P</w:t>
      </w:r>
      <w:r w:rsidR="00D52C15">
        <w:rPr>
          <w:rFonts w:ascii="Verdana" w:hAnsi="Verdana"/>
        </w:rPr>
        <w:t xml:space="preserve">or regla general, </w:t>
      </w:r>
      <w:r w:rsidR="004D0865">
        <w:rPr>
          <w:rFonts w:ascii="Verdana" w:hAnsi="Verdana"/>
        </w:rPr>
        <w:t xml:space="preserve">tales actividades deben desarrollarse dentro de </w:t>
      </w:r>
      <w:r w:rsidR="00D52C15">
        <w:rPr>
          <w:rFonts w:ascii="Verdana" w:hAnsi="Verdana"/>
        </w:rPr>
        <w:t>los</w:t>
      </w:r>
      <w:r w:rsidR="007524D4">
        <w:rPr>
          <w:rFonts w:ascii="Verdana" w:hAnsi="Verdana"/>
        </w:rPr>
        <w:t xml:space="preserve"> días</w:t>
      </w:r>
      <w:r w:rsidR="00D52C15">
        <w:rPr>
          <w:rFonts w:ascii="Verdana" w:hAnsi="Verdana"/>
        </w:rPr>
        <w:t xml:space="preserve"> laborales fijados por cada entidad</w:t>
      </w:r>
      <w:r w:rsidR="006D66B4">
        <w:rPr>
          <w:rFonts w:ascii="Verdana" w:hAnsi="Verdana"/>
        </w:rPr>
        <w:t xml:space="preserve">, con la posibilidad de que, </w:t>
      </w:r>
      <w:r w:rsidR="007524D4">
        <w:rPr>
          <w:rFonts w:ascii="Verdana" w:hAnsi="Verdana"/>
        </w:rPr>
        <w:t xml:space="preserve">sin perjuicio de que </w:t>
      </w:r>
      <w:r w:rsidR="006D66B4">
        <w:rPr>
          <w:rFonts w:ascii="Verdana" w:hAnsi="Verdana"/>
        </w:rPr>
        <w:t>se habiliten otros días</w:t>
      </w:r>
      <w:r w:rsidR="004568A9">
        <w:rPr>
          <w:rFonts w:ascii="Verdana" w:hAnsi="Verdana"/>
        </w:rPr>
        <w:t xml:space="preserve"> para realizar actuaciones específicas</w:t>
      </w:r>
      <w:r w:rsidR="000862B7">
        <w:rPr>
          <w:rFonts w:ascii="Verdana" w:hAnsi="Verdana"/>
        </w:rPr>
        <w:t>.</w:t>
      </w:r>
      <w:r w:rsidR="004568A9">
        <w:rPr>
          <w:rFonts w:ascii="Verdana" w:hAnsi="Verdana"/>
        </w:rPr>
        <w:t xml:space="preserve"> </w:t>
      </w:r>
      <w:r w:rsidR="007524D4">
        <w:rPr>
          <w:rFonts w:ascii="Verdana" w:hAnsi="Verdana"/>
        </w:rPr>
        <w:t xml:space="preserve"> </w:t>
      </w:r>
      <w:r w:rsidR="006D66B4">
        <w:rPr>
          <w:rFonts w:ascii="Verdana" w:hAnsi="Verdana"/>
        </w:rPr>
        <w:t xml:space="preserve"> </w:t>
      </w:r>
    </w:p>
    <w:p w14:paraId="387B7341" w14:textId="4051283C" w:rsidR="00820BE5" w:rsidRPr="00EA3DA4" w:rsidRDefault="008A3E9F" w:rsidP="00A660D5">
      <w:pPr>
        <w:pBdr>
          <w:top w:val="single" w:sz="4" w:space="1" w:color="auto"/>
          <w:left w:val="single" w:sz="4" w:space="4" w:color="auto"/>
          <w:bottom w:val="single" w:sz="4" w:space="1" w:color="auto"/>
          <w:right w:val="single" w:sz="4" w:space="4" w:color="auto"/>
        </w:pBdr>
        <w:spacing w:after="120" w:line="276" w:lineRule="auto"/>
        <w:jc w:val="both"/>
        <w:rPr>
          <w:rFonts w:ascii="Verdana" w:hAnsi="Verdana"/>
        </w:rPr>
      </w:pPr>
      <w:r>
        <w:rPr>
          <w:rFonts w:ascii="Verdana" w:hAnsi="Verdana"/>
        </w:rPr>
        <w:t>ii</w:t>
      </w:r>
      <w:r w:rsidR="000F0068">
        <w:rPr>
          <w:rFonts w:ascii="Verdana" w:hAnsi="Verdana"/>
        </w:rPr>
        <w:t>.</w:t>
      </w:r>
      <w:r>
        <w:rPr>
          <w:rFonts w:ascii="Verdana" w:hAnsi="Verdana"/>
        </w:rPr>
        <w:t xml:space="preserve"> </w:t>
      </w:r>
      <w:r w:rsidR="00DF0860" w:rsidRPr="00EA3DA4">
        <w:rPr>
          <w:rFonts w:ascii="Verdana" w:hAnsi="Verdana"/>
        </w:rPr>
        <w:t xml:space="preserve">Por otra parte, respecto </w:t>
      </w:r>
      <w:r w:rsidR="00F0284C" w:rsidRPr="00EA3DA4">
        <w:rPr>
          <w:rFonts w:ascii="Verdana" w:hAnsi="Verdana"/>
        </w:rPr>
        <w:t>de</w:t>
      </w:r>
      <w:r w:rsidR="002142D5" w:rsidRPr="00EA3DA4">
        <w:rPr>
          <w:rFonts w:ascii="Verdana" w:hAnsi="Verdana"/>
        </w:rPr>
        <w:t>l segundo problema jurídico,</w:t>
      </w:r>
      <w:r>
        <w:rPr>
          <w:rFonts w:ascii="Verdana" w:hAnsi="Verdana"/>
        </w:rPr>
        <w:t xml:space="preserve"> debe advertirse que, </w:t>
      </w:r>
      <w:r w:rsidR="00F90C7B">
        <w:rPr>
          <w:rFonts w:ascii="Verdana" w:hAnsi="Verdana"/>
        </w:rPr>
        <w:t>de conformidad con lo p</w:t>
      </w:r>
      <w:r w:rsidR="00D465E2">
        <w:rPr>
          <w:rFonts w:ascii="Verdana" w:hAnsi="Verdana"/>
        </w:rPr>
        <w:t>r</w:t>
      </w:r>
      <w:r w:rsidR="00F90C7B">
        <w:rPr>
          <w:rFonts w:ascii="Verdana" w:hAnsi="Verdana"/>
        </w:rPr>
        <w:t>evisto en el artículo 41 de la Ley 80 de</w:t>
      </w:r>
      <w:r w:rsidR="00D465E2">
        <w:rPr>
          <w:rFonts w:ascii="Verdana" w:hAnsi="Verdana"/>
        </w:rPr>
        <w:t xml:space="preserve"> </w:t>
      </w:r>
      <w:r w:rsidR="00CF28F0">
        <w:rPr>
          <w:rFonts w:ascii="Verdana" w:hAnsi="Verdana"/>
        </w:rPr>
        <w:t>1993,</w:t>
      </w:r>
      <w:r>
        <w:rPr>
          <w:rFonts w:ascii="Verdana" w:hAnsi="Verdana"/>
        </w:rPr>
        <w:t xml:space="preserve"> </w:t>
      </w:r>
      <w:r w:rsidR="009D660A">
        <w:rPr>
          <w:rFonts w:ascii="Verdana" w:hAnsi="Verdana"/>
        </w:rPr>
        <w:t xml:space="preserve">la aprobación de las garantías es un requisito </w:t>
      </w:r>
      <w:r w:rsidR="00BD27BE">
        <w:rPr>
          <w:rFonts w:ascii="Verdana" w:hAnsi="Verdana"/>
        </w:rPr>
        <w:t>que condiciona el inicio de la</w:t>
      </w:r>
      <w:r w:rsidR="009D660A">
        <w:rPr>
          <w:rFonts w:ascii="Verdana" w:hAnsi="Verdana"/>
        </w:rPr>
        <w:t xml:space="preserve"> </w:t>
      </w:r>
      <w:r w:rsidR="00BD27BE">
        <w:rPr>
          <w:rFonts w:ascii="Verdana" w:hAnsi="Verdana"/>
        </w:rPr>
        <w:t xml:space="preserve">ejecución del contrato. En la medida en que las </w:t>
      </w:r>
      <w:r w:rsidR="0093484D">
        <w:rPr>
          <w:rFonts w:ascii="Verdana" w:hAnsi="Verdana"/>
        </w:rPr>
        <w:t xml:space="preserve">entidades de régimen especial no se rigen por lo </w:t>
      </w:r>
      <w:r>
        <w:rPr>
          <w:rFonts w:ascii="Verdana" w:hAnsi="Verdana"/>
        </w:rPr>
        <w:t>establecido</w:t>
      </w:r>
      <w:r w:rsidR="0093484D">
        <w:rPr>
          <w:rFonts w:ascii="Verdana" w:hAnsi="Verdana"/>
        </w:rPr>
        <w:t xml:space="preserve"> dicha norma, </w:t>
      </w:r>
      <w:r w:rsidR="00651A8F">
        <w:rPr>
          <w:rFonts w:ascii="Verdana" w:hAnsi="Verdana"/>
        </w:rPr>
        <w:t xml:space="preserve">la exigencia de garantías y la </w:t>
      </w:r>
      <w:r w:rsidR="00CB69C7">
        <w:rPr>
          <w:rFonts w:ascii="Verdana" w:hAnsi="Verdana"/>
        </w:rPr>
        <w:t xml:space="preserve">exigibilidad de </w:t>
      </w:r>
      <w:r w:rsidR="00132CF1">
        <w:rPr>
          <w:rFonts w:ascii="Verdana" w:hAnsi="Verdana"/>
        </w:rPr>
        <w:t>estas</w:t>
      </w:r>
      <w:r w:rsidR="00CB69C7">
        <w:rPr>
          <w:rFonts w:ascii="Verdana" w:hAnsi="Verdana"/>
        </w:rPr>
        <w:t xml:space="preserve"> </w:t>
      </w:r>
      <w:r w:rsidR="00FF3F55">
        <w:rPr>
          <w:rFonts w:ascii="Verdana" w:hAnsi="Verdana"/>
        </w:rPr>
        <w:t xml:space="preserve">como requisito de ejecución, </w:t>
      </w:r>
      <w:r w:rsidR="0015510D">
        <w:rPr>
          <w:rFonts w:ascii="Verdana" w:hAnsi="Verdana"/>
        </w:rPr>
        <w:t>debe determinarse en función de lo establecido</w:t>
      </w:r>
      <w:r>
        <w:rPr>
          <w:rFonts w:ascii="Verdana" w:hAnsi="Verdana"/>
        </w:rPr>
        <w:t xml:space="preserve"> </w:t>
      </w:r>
      <w:r w:rsidR="0015510D">
        <w:rPr>
          <w:rFonts w:ascii="Verdana" w:hAnsi="Verdana"/>
        </w:rPr>
        <w:t xml:space="preserve">en sus respectivos manuales o reglamentos internos de contratación. </w:t>
      </w:r>
    </w:p>
    <w:p w14:paraId="37F64503" w14:textId="4DF077D0" w:rsidR="005B65C9" w:rsidRDefault="00064CF9" w:rsidP="005B65C9">
      <w:pPr>
        <w:pBdr>
          <w:top w:val="single" w:sz="4" w:space="1" w:color="auto"/>
          <w:left w:val="single" w:sz="4" w:space="4" w:color="auto"/>
          <w:bottom w:val="single" w:sz="4" w:space="1" w:color="auto"/>
          <w:right w:val="single" w:sz="4" w:space="4" w:color="auto"/>
        </w:pBdr>
        <w:spacing w:after="120" w:line="276" w:lineRule="auto"/>
        <w:ind w:firstLine="708"/>
        <w:jc w:val="both"/>
        <w:rPr>
          <w:rFonts w:ascii="Verdana" w:hAnsi="Verdana"/>
        </w:rPr>
      </w:pPr>
      <w:r>
        <w:rPr>
          <w:rFonts w:ascii="Verdana" w:hAnsi="Verdana"/>
        </w:rPr>
        <w:t>Al respecto, debe advertir</w:t>
      </w:r>
      <w:r w:rsidR="00DA2BC3">
        <w:rPr>
          <w:rFonts w:ascii="Verdana" w:hAnsi="Verdana"/>
        </w:rPr>
        <w:t>se que, si bien</w:t>
      </w:r>
      <w:r w:rsidR="00D550C4">
        <w:rPr>
          <w:rFonts w:ascii="Verdana" w:hAnsi="Verdana"/>
        </w:rPr>
        <w:t xml:space="preserve"> los procesos de entidades de régimen especial</w:t>
      </w:r>
      <w:r w:rsidR="00DA2BC3">
        <w:rPr>
          <w:rFonts w:ascii="Verdana" w:hAnsi="Verdana"/>
        </w:rPr>
        <w:t xml:space="preserve"> </w:t>
      </w:r>
      <w:r w:rsidR="00ED65BA">
        <w:rPr>
          <w:rFonts w:ascii="Verdana" w:hAnsi="Verdana"/>
        </w:rPr>
        <w:t xml:space="preserve">no están </w:t>
      </w:r>
      <w:r w:rsidR="00A660D5">
        <w:rPr>
          <w:rFonts w:ascii="Verdana" w:hAnsi="Verdana"/>
        </w:rPr>
        <w:t>cobijados</w:t>
      </w:r>
      <w:r w:rsidR="00ED65BA">
        <w:rPr>
          <w:rFonts w:ascii="Verdana" w:hAnsi="Verdana"/>
        </w:rPr>
        <w:t xml:space="preserve"> por los art</w:t>
      </w:r>
      <w:r w:rsidR="00A85CD0">
        <w:rPr>
          <w:rFonts w:ascii="Verdana" w:hAnsi="Verdana"/>
        </w:rPr>
        <w:t>í</w:t>
      </w:r>
      <w:r w:rsidR="00ED65BA">
        <w:rPr>
          <w:rFonts w:ascii="Verdana" w:hAnsi="Verdana"/>
        </w:rPr>
        <w:t>culo</w:t>
      </w:r>
      <w:r w:rsidR="00A85CD0">
        <w:rPr>
          <w:rFonts w:ascii="Verdana" w:hAnsi="Verdana"/>
        </w:rPr>
        <w:t>s</w:t>
      </w:r>
      <w:r w:rsidR="00ED65BA">
        <w:rPr>
          <w:rFonts w:ascii="Verdana" w:hAnsi="Verdana"/>
        </w:rPr>
        <w:t xml:space="preserve"> 7 de la Ley 1150 de 2007,</w:t>
      </w:r>
      <w:r w:rsidR="004A3EA2">
        <w:rPr>
          <w:rFonts w:ascii="Verdana" w:hAnsi="Verdana"/>
        </w:rPr>
        <w:t xml:space="preserve"> ni el artículo 41 de la Ley 80 de 1993 o lo reglamentado en el Decreto 1082 de 2015, </w:t>
      </w:r>
      <w:r w:rsidR="005B65C9">
        <w:rPr>
          <w:rFonts w:ascii="Verdana" w:hAnsi="Verdana"/>
        </w:rPr>
        <w:t xml:space="preserve">si resulta recomendable que las regulaciones que se establezcan en los manuales </w:t>
      </w:r>
      <w:r w:rsidR="00E9788C">
        <w:rPr>
          <w:rFonts w:ascii="Verdana" w:hAnsi="Verdana"/>
        </w:rPr>
        <w:t xml:space="preserve">o reglamentos internos, contemplen la </w:t>
      </w:r>
      <w:r w:rsidR="00530411">
        <w:rPr>
          <w:rFonts w:ascii="Verdana" w:hAnsi="Verdana"/>
        </w:rPr>
        <w:t>exigencia de garantías como una condición para iniciar la ejecución de contra</w:t>
      </w:r>
      <w:r w:rsidR="00602F2F">
        <w:rPr>
          <w:rFonts w:ascii="Verdana" w:hAnsi="Verdana"/>
        </w:rPr>
        <w:t>t</w:t>
      </w:r>
      <w:r w:rsidR="00530411">
        <w:rPr>
          <w:rFonts w:ascii="Verdana" w:hAnsi="Verdana"/>
        </w:rPr>
        <w:t>os</w:t>
      </w:r>
      <w:r w:rsidR="00F25348">
        <w:rPr>
          <w:rFonts w:ascii="Verdana" w:hAnsi="Verdana"/>
        </w:rPr>
        <w:t xml:space="preserve">. Esto como una medida para </w:t>
      </w:r>
      <w:r w:rsidR="00E805A5">
        <w:rPr>
          <w:rFonts w:ascii="Verdana" w:hAnsi="Verdana"/>
        </w:rPr>
        <w:t xml:space="preserve">garantizar que la ejecución de los recursos públicos </w:t>
      </w:r>
      <w:r w:rsidR="001C0A12">
        <w:rPr>
          <w:rFonts w:ascii="Verdana" w:hAnsi="Verdana"/>
        </w:rPr>
        <w:t xml:space="preserve">asociados al </w:t>
      </w:r>
      <w:r w:rsidR="005613FC">
        <w:rPr>
          <w:rFonts w:ascii="Verdana" w:hAnsi="Verdana"/>
        </w:rPr>
        <w:t>contrato</w:t>
      </w:r>
      <w:r w:rsidR="001C0A12">
        <w:rPr>
          <w:rFonts w:ascii="Verdana" w:hAnsi="Verdana"/>
        </w:rPr>
        <w:t xml:space="preserve"> se realice con </w:t>
      </w:r>
      <w:r w:rsidR="002E24BA">
        <w:rPr>
          <w:rFonts w:ascii="Verdana" w:hAnsi="Verdana"/>
        </w:rPr>
        <w:t xml:space="preserve">garantizando los principios de la función administrativa y la gestión, los cuales también </w:t>
      </w:r>
      <w:r w:rsidR="005B7859">
        <w:rPr>
          <w:rFonts w:ascii="Verdana" w:hAnsi="Verdana"/>
        </w:rPr>
        <w:t>irradian</w:t>
      </w:r>
      <w:r w:rsidR="00657839">
        <w:rPr>
          <w:rFonts w:ascii="Verdana" w:hAnsi="Verdana"/>
        </w:rPr>
        <w:t xml:space="preserve"> la gestión contractual de las Entidades Estatales. </w:t>
      </w:r>
    </w:p>
    <w:p w14:paraId="0AAEDA35" w14:textId="77777777" w:rsidR="00492C7E" w:rsidRDefault="00492C7E" w:rsidP="004F1F7D">
      <w:pPr>
        <w:spacing w:after="120" w:line="276" w:lineRule="auto"/>
        <w:jc w:val="both"/>
        <w:rPr>
          <w:rFonts w:ascii="Verdana" w:hAnsi="Verdana"/>
          <w:b/>
          <w:bCs/>
        </w:rPr>
      </w:pPr>
    </w:p>
    <w:p w14:paraId="296E15C7" w14:textId="2336DC51" w:rsidR="004F1F7D" w:rsidRDefault="004D79CD" w:rsidP="004F1F7D">
      <w:pPr>
        <w:spacing w:after="120" w:line="276" w:lineRule="auto"/>
        <w:jc w:val="both"/>
        <w:rPr>
          <w:rFonts w:ascii="Verdana" w:hAnsi="Verdana"/>
          <w:b/>
          <w:bCs/>
        </w:rPr>
      </w:pPr>
      <w:r w:rsidRPr="004D79CD">
        <w:rPr>
          <w:rFonts w:ascii="Verdana" w:hAnsi="Verdana"/>
          <w:b/>
          <w:bCs/>
        </w:rPr>
        <w:t xml:space="preserve">3. Razones de la respuesta: </w:t>
      </w:r>
    </w:p>
    <w:p w14:paraId="23D3C33E" w14:textId="3721CB05" w:rsidR="00492C7E" w:rsidRDefault="00492C7E" w:rsidP="004F1F7D">
      <w:pPr>
        <w:spacing w:after="120" w:line="276" w:lineRule="auto"/>
        <w:jc w:val="both"/>
        <w:rPr>
          <w:rFonts w:ascii="Verdana" w:hAnsi="Verdana"/>
        </w:rPr>
      </w:pPr>
      <w:r w:rsidRPr="00492C7E">
        <w:rPr>
          <w:rFonts w:ascii="Verdana" w:hAnsi="Verdana"/>
        </w:rPr>
        <w:t>Lo</w:t>
      </w:r>
      <w:r>
        <w:rPr>
          <w:rFonts w:ascii="Verdana" w:hAnsi="Verdana"/>
        </w:rPr>
        <w:t xml:space="preserve"> anterior, se sustenta en las siguientes consideraciones: </w:t>
      </w:r>
    </w:p>
    <w:p w14:paraId="568AB07C" w14:textId="2BC5B001" w:rsidR="009B1E29" w:rsidRPr="002A22E2" w:rsidRDefault="00BE0798" w:rsidP="00A660D5">
      <w:pPr>
        <w:tabs>
          <w:tab w:val="left" w:pos="426"/>
        </w:tabs>
        <w:spacing w:before="120" w:after="120" w:line="276" w:lineRule="auto"/>
        <w:jc w:val="both"/>
        <w:rPr>
          <w:rFonts w:ascii="Verdana" w:hAnsi="Verdana" w:cs="Arial"/>
          <w:b/>
          <w:lang w:val="es-ES_tradnl"/>
        </w:rPr>
      </w:pPr>
      <w:r>
        <w:rPr>
          <w:rFonts w:ascii="Verdana" w:hAnsi="Verdana" w:cs="Arial"/>
          <w:lang w:val="es-ES_tradnl"/>
        </w:rPr>
        <w:t xml:space="preserve">i. </w:t>
      </w:r>
      <w:r w:rsidR="009B1E29" w:rsidRPr="002A22E2">
        <w:rPr>
          <w:rFonts w:ascii="Verdana" w:hAnsi="Verdana" w:cs="Arial"/>
          <w:lang w:val="es-ES_tradnl"/>
        </w:rPr>
        <w:t xml:space="preserve">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w:t>
      </w:r>
      <w:bookmarkStart w:id="1" w:name="_Hlk97724318"/>
      <w:r w:rsidR="009B1E29" w:rsidRPr="002A22E2">
        <w:rPr>
          <w:rFonts w:ascii="Verdana" w:hAnsi="Verdana" w:cs="Arial"/>
          <w:lang w:val="es-ES_tradnl"/>
        </w:rPr>
        <w:t>EGCAP</w:t>
      </w:r>
      <w:bookmarkEnd w:id="1"/>
      <w:r w:rsidR="009B1E29" w:rsidRPr="002A22E2">
        <w:rPr>
          <w:rFonts w:ascii="Verdana" w:hAnsi="Verdana" w:cs="Arial"/>
          <w:lang w:val="es-ES_tradnl"/>
        </w:rPr>
        <w:t>–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21A163FC" w14:textId="77777777" w:rsidR="009B1E29" w:rsidRPr="002A22E2" w:rsidRDefault="009B1E29" w:rsidP="009B1E29">
      <w:pPr>
        <w:spacing w:before="120" w:after="120" w:line="276" w:lineRule="auto"/>
        <w:ind w:firstLine="709"/>
        <w:jc w:val="both"/>
        <w:rPr>
          <w:rFonts w:ascii="Verdana" w:hAnsi="Verdana" w:cs="Arial"/>
          <w:lang w:val="es-ES"/>
        </w:rPr>
      </w:pPr>
      <w:r w:rsidRPr="002A22E2">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47857358" w14:textId="77777777" w:rsidR="009B1E29" w:rsidRPr="00A46177" w:rsidRDefault="009B1E29" w:rsidP="009B1E29">
      <w:pPr>
        <w:spacing w:before="120" w:after="0" w:line="276" w:lineRule="auto"/>
        <w:ind w:firstLine="709"/>
        <w:jc w:val="both"/>
        <w:rPr>
          <w:rFonts w:ascii="Verdana" w:hAnsi="Verdana" w:cs="Arial"/>
          <w:bCs/>
          <w:lang w:val="es-ES"/>
        </w:rPr>
      </w:pPr>
      <w:r w:rsidRPr="002A22E2">
        <w:rPr>
          <w:rFonts w:ascii="Verdana" w:hAnsi="Verdana" w:cs="Arial"/>
          <w:lang w:val="es-ES"/>
        </w:rPr>
        <w:t>Pese a que</w:t>
      </w:r>
      <w:r w:rsidRPr="002A22E2">
        <w:rPr>
          <w:rFonts w:ascii="Verdana" w:eastAsia="Calibri" w:hAnsi="Verdana" w:cs="Arial"/>
          <w:lang w:val="es-ES_tradnl"/>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2A22E2">
        <w:rPr>
          <w:rFonts w:ascii="Verdana" w:hAnsi="Verdana" w:cs="Arial"/>
          <w:bCs/>
          <w:lang w:val="es-ES"/>
        </w:rPr>
        <w:t>de</w:t>
      </w:r>
      <w:r w:rsidRPr="00A46177">
        <w:rPr>
          <w:rFonts w:ascii="Verdana" w:hAnsi="Verdana" w:cs="Arial"/>
          <w:bCs/>
          <w:lang w:val="es-ES"/>
        </w:rPr>
        <w:t xml:space="preserve"> la Ley 1150 de 2007 preceptúa lo siguiente:</w:t>
      </w:r>
    </w:p>
    <w:p w14:paraId="65A6C4AB" w14:textId="77777777" w:rsidR="009B1E29" w:rsidRPr="00A46177" w:rsidRDefault="009B1E29" w:rsidP="009B1E29">
      <w:pPr>
        <w:spacing w:after="0" w:line="276" w:lineRule="auto"/>
        <w:ind w:firstLine="708"/>
        <w:jc w:val="both"/>
        <w:rPr>
          <w:rFonts w:ascii="Verdana" w:hAnsi="Verdana" w:cs="Arial"/>
          <w:bCs/>
          <w:lang w:val="es-ES"/>
        </w:rPr>
      </w:pPr>
      <w:r w:rsidRPr="00A46177">
        <w:rPr>
          <w:rFonts w:ascii="Verdana" w:hAnsi="Verdana" w:cs="Arial"/>
          <w:bCs/>
          <w:lang w:val="es-ES"/>
        </w:rPr>
        <w:t xml:space="preserve"> </w:t>
      </w:r>
    </w:p>
    <w:p w14:paraId="49D3BBD2" w14:textId="77777777" w:rsidR="009B1E29" w:rsidRPr="000F0068" w:rsidRDefault="009B1E29" w:rsidP="009B1E29">
      <w:pPr>
        <w:spacing w:after="0" w:line="240" w:lineRule="auto"/>
        <w:ind w:left="708" w:right="709"/>
        <w:jc w:val="both"/>
        <w:rPr>
          <w:rFonts w:ascii="Verdana" w:hAnsi="Verdana" w:cs="Arial"/>
          <w:bCs/>
          <w:sz w:val="20"/>
          <w:szCs w:val="20"/>
          <w:lang w:val="es-ES"/>
        </w:rPr>
      </w:pPr>
      <w:r w:rsidRPr="000F0068">
        <w:rPr>
          <w:rFonts w:ascii="Verdana" w:hAnsi="Verdana" w:cs="Arial"/>
          <w:bCs/>
          <w:sz w:val="20"/>
          <w:szCs w:val="20"/>
          <w:lang w:val="es-ES"/>
        </w:rPr>
        <w:t>“Artículo 13. Principios generales de la actividad contractual para entidades no sometidas al estatuto general de contratación de la administración pública.</w:t>
      </w:r>
      <w:r w:rsidRPr="000F0068">
        <w:rPr>
          <w:rFonts w:ascii="Verdana" w:hAnsi="Verdana" w:cs="Arial"/>
          <w:b/>
          <w:sz w:val="20"/>
          <w:szCs w:val="20"/>
          <w:lang w:val="es-ES"/>
        </w:rPr>
        <w:t xml:space="preserve"> </w:t>
      </w:r>
      <w:r w:rsidRPr="000F0068">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3" w:anchor="209" w:history="1">
        <w:r w:rsidRPr="000F0068">
          <w:rPr>
            <w:rFonts w:ascii="Verdana" w:hAnsi="Verdana" w:cs="Arial"/>
            <w:bCs/>
            <w:sz w:val="20"/>
            <w:szCs w:val="20"/>
            <w:lang w:val="es-ES"/>
          </w:rPr>
          <w:t>209</w:t>
        </w:r>
      </w:hyperlink>
      <w:r w:rsidRPr="000F0068">
        <w:rPr>
          <w:rFonts w:ascii="Verdana" w:hAnsi="Verdana" w:cs="Arial"/>
          <w:bCs/>
          <w:sz w:val="20"/>
          <w:szCs w:val="20"/>
          <w:lang w:val="es-ES"/>
        </w:rPr>
        <w:t> y </w:t>
      </w:r>
      <w:hyperlink r:id="rId14" w:anchor="267" w:history="1">
        <w:r w:rsidRPr="000F0068">
          <w:rPr>
            <w:rFonts w:ascii="Verdana" w:hAnsi="Verdana" w:cs="Arial"/>
            <w:bCs/>
            <w:sz w:val="20"/>
            <w:szCs w:val="20"/>
            <w:lang w:val="es-ES"/>
          </w:rPr>
          <w:t>267</w:t>
        </w:r>
      </w:hyperlink>
      <w:r w:rsidRPr="000F0068">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p>
    <w:p w14:paraId="5AD9501D" w14:textId="77777777" w:rsidR="009B1E29" w:rsidRPr="002A22E2" w:rsidRDefault="009B1E29" w:rsidP="009B1E29">
      <w:pPr>
        <w:spacing w:after="0" w:line="276" w:lineRule="auto"/>
        <w:ind w:firstLine="709"/>
        <w:jc w:val="both"/>
        <w:rPr>
          <w:rFonts w:ascii="Verdana" w:eastAsia="Calibri" w:hAnsi="Verdana" w:cs="Arial"/>
          <w:lang w:val="es-ES_tradnl"/>
        </w:rPr>
      </w:pPr>
    </w:p>
    <w:p w14:paraId="5DE346CB" w14:textId="77777777" w:rsidR="009B1E29" w:rsidRPr="002A22E2" w:rsidRDefault="009B1E29" w:rsidP="009B1E29">
      <w:pPr>
        <w:spacing w:after="0" w:line="276" w:lineRule="auto"/>
        <w:ind w:firstLine="709"/>
        <w:jc w:val="both"/>
        <w:rPr>
          <w:rFonts w:ascii="Verdana" w:eastAsia="Calibri" w:hAnsi="Verdana" w:cs="Arial"/>
          <w:lang w:val="es-ES_tradnl"/>
        </w:rPr>
      </w:pPr>
      <w:r w:rsidRPr="002A22E2">
        <w:rPr>
          <w:rFonts w:ascii="Verdana" w:eastAsia="Calibri" w:hAnsi="Verdana" w:cs="Arial"/>
          <w:lang w:val="es-ES_tradnl"/>
        </w:rPr>
        <w:t>Lo anterior es reafirmado por el Consejo de Estado, que destaca las reglas que sigue la contratación de las entidades de régimen especial:</w:t>
      </w:r>
    </w:p>
    <w:p w14:paraId="731FC6EA" w14:textId="77777777" w:rsidR="009B1E29" w:rsidRPr="002A22E2" w:rsidRDefault="009B1E29" w:rsidP="009B1E29">
      <w:pPr>
        <w:spacing w:after="0" w:line="276" w:lineRule="auto"/>
        <w:ind w:firstLine="709"/>
        <w:jc w:val="both"/>
        <w:rPr>
          <w:rFonts w:ascii="Verdana" w:eastAsia="Calibri" w:hAnsi="Verdana" w:cs="Arial"/>
          <w:lang w:val="es-ES_tradnl"/>
        </w:rPr>
      </w:pPr>
    </w:p>
    <w:p w14:paraId="251EF1CD" w14:textId="77777777" w:rsidR="009B1E29" w:rsidRPr="002A22E2" w:rsidRDefault="009B1E29" w:rsidP="009B1E29">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2F2F0371" w14:textId="77777777" w:rsidR="009B1E29" w:rsidRPr="002A22E2" w:rsidRDefault="009B1E29" w:rsidP="009B1E29">
      <w:pPr>
        <w:spacing w:after="0" w:line="240" w:lineRule="auto"/>
        <w:ind w:left="709" w:right="709"/>
        <w:jc w:val="both"/>
        <w:rPr>
          <w:rFonts w:ascii="Verdana" w:eastAsia="Calibri" w:hAnsi="Verdana" w:cs="Arial"/>
          <w:sz w:val="20"/>
          <w:szCs w:val="20"/>
          <w:lang w:val="es-ES_tradnl"/>
        </w:rPr>
      </w:pPr>
    </w:p>
    <w:p w14:paraId="39A3C1D8" w14:textId="77777777" w:rsidR="009B1E29" w:rsidRPr="002A22E2" w:rsidRDefault="009B1E29" w:rsidP="009B1E29">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5A50535C" w14:textId="77777777" w:rsidR="009B1E29" w:rsidRPr="002A22E2" w:rsidRDefault="009B1E29" w:rsidP="009B1E29">
      <w:pPr>
        <w:spacing w:after="0" w:line="240" w:lineRule="auto"/>
        <w:ind w:left="709" w:right="709"/>
        <w:jc w:val="both"/>
        <w:rPr>
          <w:rFonts w:ascii="Verdana" w:eastAsia="Calibri" w:hAnsi="Verdana" w:cs="Arial"/>
          <w:sz w:val="20"/>
          <w:szCs w:val="20"/>
          <w:lang w:val="es-ES_tradnl"/>
        </w:rPr>
      </w:pPr>
    </w:p>
    <w:p w14:paraId="569ACCBC" w14:textId="77777777" w:rsidR="009B1E29" w:rsidRPr="002A22E2" w:rsidRDefault="009B1E29" w:rsidP="009B1E29">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2A22E2">
        <w:rPr>
          <w:rFonts w:ascii="Verdana" w:eastAsia="Calibri" w:hAnsi="Verdana" w:cs="Arial"/>
          <w:sz w:val="20"/>
          <w:szCs w:val="20"/>
          <w:vertAlign w:val="superscript"/>
          <w:lang w:val="es-ES_tradnl"/>
        </w:rPr>
        <w:footnoteReference w:id="2"/>
      </w:r>
      <w:r w:rsidRPr="002A22E2">
        <w:rPr>
          <w:rFonts w:ascii="Verdana" w:eastAsia="Calibri" w:hAnsi="Verdana" w:cs="Arial"/>
          <w:sz w:val="20"/>
          <w:szCs w:val="20"/>
          <w:lang w:val="es-ES_tradnl"/>
        </w:rPr>
        <w:t>.</w:t>
      </w:r>
    </w:p>
    <w:p w14:paraId="0BAD19BF" w14:textId="77777777" w:rsidR="009B1E29" w:rsidRPr="00A46177" w:rsidRDefault="009B1E29" w:rsidP="009B1E29">
      <w:pPr>
        <w:spacing w:after="120" w:line="276" w:lineRule="auto"/>
        <w:ind w:left="709" w:right="709" w:firstLine="709"/>
        <w:jc w:val="both"/>
        <w:rPr>
          <w:rFonts w:ascii="Verdana" w:eastAsia="Calibri" w:hAnsi="Verdana" w:cs="Arial"/>
          <w:lang w:val="es-ES_tradnl"/>
        </w:rPr>
      </w:pPr>
    </w:p>
    <w:p w14:paraId="0AC178E0" w14:textId="77777777" w:rsidR="009B1E29" w:rsidRPr="002A22E2" w:rsidRDefault="009B1E29" w:rsidP="009B1E29">
      <w:pPr>
        <w:spacing w:after="120" w:line="276" w:lineRule="auto"/>
        <w:ind w:firstLine="709"/>
        <w:jc w:val="both"/>
        <w:rPr>
          <w:rFonts w:ascii="Verdana" w:hAnsi="Verdana" w:cs="Arial"/>
          <w:lang w:val="es-MX"/>
        </w:rPr>
      </w:pPr>
      <w:r w:rsidRPr="002A22E2">
        <w:rPr>
          <w:rFonts w:ascii="Verdana" w:hAnsi="Verdana" w:cs="Arial"/>
          <w:lang w:val="es-MX"/>
        </w:rPr>
        <w:t>Una de las Entidades Estatales con régimen especial son las Empresas Sociales del Estado – ESE, objeto de su consulta, entendidas como Entidades Públicas que, conforme al artículo 194 de la Ley 100 de 1993, constituyen una categoría especial, descentralizada por servicios, con personería jurídica, patrimonio propio y autonomía administrativa</w:t>
      </w:r>
      <w:r w:rsidRPr="002A22E2">
        <w:rPr>
          <w:rFonts w:ascii="Verdana" w:hAnsi="Verdana" w:cs="Arial"/>
          <w:vertAlign w:val="superscript"/>
          <w:lang w:val="es-MX"/>
        </w:rPr>
        <w:footnoteReference w:id="3"/>
      </w:r>
      <w:r w:rsidRPr="002A22E2">
        <w:rPr>
          <w:rFonts w:ascii="Verdana" w:hAnsi="Verdana" w:cs="Arial"/>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3B46DD9A" w14:textId="77777777" w:rsidR="009B1E29" w:rsidRDefault="009B1E29" w:rsidP="00BE0798">
      <w:pPr>
        <w:spacing w:after="0" w:line="276" w:lineRule="auto"/>
        <w:ind w:left="709" w:right="709"/>
        <w:jc w:val="both"/>
        <w:rPr>
          <w:rFonts w:ascii="Verdana" w:eastAsia="Calibri" w:hAnsi="Verdana" w:cs="Arial"/>
          <w:sz w:val="20"/>
          <w:szCs w:val="20"/>
        </w:rPr>
      </w:pPr>
      <w:r>
        <w:rPr>
          <w:rFonts w:ascii="Verdana" w:eastAsia="Calibri" w:hAnsi="Verdana" w:cs="Arial"/>
          <w:sz w:val="20"/>
          <w:szCs w:val="20"/>
        </w:rPr>
        <w:t>“</w:t>
      </w:r>
      <w:r w:rsidRPr="002A22E2">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Pr>
          <w:rFonts w:ascii="Verdana" w:eastAsia="Calibri" w:hAnsi="Verdana" w:cs="Arial"/>
          <w:sz w:val="20"/>
          <w:szCs w:val="20"/>
        </w:rPr>
        <w:t>”</w:t>
      </w:r>
      <w:r w:rsidRPr="002A22E2">
        <w:rPr>
          <w:rStyle w:val="Refdenotaalpie"/>
          <w:rFonts w:ascii="Verdana" w:eastAsia="Calibri" w:hAnsi="Verdana" w:cs="Arial"/>
          <w:sz w:val="20"/>
          <w:szCs w:val="20"/>
        </w:rPr>
        <w:footnoteReference w:id="4"/>
      </w:r>
      <w:r w:rsidRPr="002A22E2">
        <w:rPr>
          <w:rFonts w:ascii="Verdana" w:eastAsia="Calibri" w:hAnsi="Verdana" w:cs="Arial"/>
          <w:sz w:val="20"/>
          <w:szCs w:val="20"/>
        </w:rPr>
        <w:t xml:space="preserve">. </w:t>
      </w:r>
    </w:p>
    <w:p w14:paraId="15DFCA71" w14:textId="77777777" w:rsidR="00BE0798" w:rsidRPr="002A22E2" w:rsidRDefault="00BE0798" w:rsidP="00A660D5">
      <w:pPr>
        <w:spacing w:after="0" w:line="276" w:lineRule="auto"/>
        <w:ind w:left="709" w:right="709"/>
        <w:jc w:val="both"/>
        <w:rPr>
          <w:rFonts w:ascii="Verdana" w:eastAsia="Calibri" w:hAnsi="Verdana" w:cs="Arial"/>
          <w:sz w:val="20"/>
          <w:szCs w:val="20"/>
        </w:rPr>
      </w:pPr>
    </w:p>
    <w:p w14:paraId="28B02793" w14:textId="77777777" w:rsidR="009B1E29" w:rsidRPr="002A22E2" w:rsidRDefault="009B1E29" w:rsidP="009B1E29">
      <w:pPr>
        <w:pStyle w:val="Textoindependiente"/>
        <w:spacing w:after="120" w:line="276" w:lineRule="auto"/>
        <w:ind w:right="102" w:firstLine="709"/>
        <w:jc w:val="both"/>
        <w:rPr>
          <w:rFonts w:ascii="Verdana" w:hAnsi="Verdana"/>
        </w:rPr>
      </w:pPr>
      <w:r w:rsidRPr="002A22E2">
        <w:rPr>
          <w:rFonts w:ascii="Verdana" w:hAnsi="Verdana"/>
        </w:rPr>
        <w:t xml:space="preserve">De la cita precedente se puede concluir entonces que, las Empresas Sociales del Estado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08EB08F3" w14:textId="77777777" w:rsidR="009B1E29" w:rsidRPr="002A22E2" w:rsidRDefault="009B1E29" w:rsidP="009B1E29">
      <w:pPr>
        <w:spacing w:after="120" w:line="276" w:lineRule="auto"/>
        <w:ind w:firstLine="709"/>
        <w:jc w:val="both"/>
        <w:rPr>
          <w:rFonts w:ascii="Verdana" w:hAnsi="Verdana" w:cs="Arial"/>
        </w:rPr>
      </w:pPr>
      <w:r w:rsidRPr="002A22E2">
        <w:rPr>
          <w:rFonts w:ascii="Verdana" w:hAnsi="Verdana" w:cs="Arial"/>
        </w:rPr>
        <w:t xml:space="preserve">Por su parte, de conformidad con el numeral 6 del artículo 195 de la Ley 100 de 1993, el régimen de contratación de las Empresas Sociales del Estado es el de derecho privado, es decir, se rige por las disposiciones contenidas en el Código de Comercio y en el Código Civil, aplicables en lo que resulten pertinentes, salvo en las materias particularmente reguladas </w:t>
      </w:r>
      <w:r w:rsidRPr="002A22E2">
        <w:rPr>
          <w:rFonts w:ascii="Verdana" w:eastAsia="Calibri" w:hAnsi="Verdana" w:cs="Arial"/>
        </w:rPr>
        <w:t xml:space="preserve">por el derecho público. </w:t>
      </w:r>
      <w:r w:rsidRPr="002A22E2">
        <w:rPr>
          <w:rFonts w:ascii="Verdana" w:hAnsi="Verdana" w:cs="Arial"/>
        </w:rPr>
        <w:t>La norma referida prescribe que</w:t>
      </w:r>
      <w:r>
        <w:rPr>
          <w:rFonts w:ascii="Verdana" w:hAnsi="Verdana" w:cs="Arial"/>
        </w:rPr>
        <w:t>:</w:t>
      </w:r>
      <w:r w:rsidRPr="002A22E2">
        <w:rPr>
          <w:rFonts w:ascii="Verdana" w:hAnsi="Verdana" w:cs="Arial"/>
        </w:rPr>
        <w:t xml:space="preserve"> “En materia contractual se regirá por el derecho privado, pero podrá discrecionalmente utilizar las cláusulas exorbitantes previstas en el </w:t>
      </w:r>
      <w:r>
        <w:rPr>
          <w:rFonts w:ascii="Verdana" w:hAnsi="Verdana" w:cs="Arial"/>
        </w:rPr>
        <w:t>E</w:t>
      </w:r>
      <w:r w:rsidRPr="002A22E2">
        <w:rPr>
          <w:rFonts w:ascii="Verdana" w:hAnsi="Verdana" w:cs="Arial"/>
        </w:rPr>
        <w:t xml:space="preserve">statuto </w:t>
      </w:r>
      <w:r>
        <w:rPr>
          <w:rFonts w:ascii="Verdana" w:hAnsi="Verdana" w:cs="Arial"/>
        </w:rPr>
        <w:t>G</w:t>
      </w:r>
      <w:r w:rsidRPr="002A22E2">
        <w:rPr>
          <w:rFonts w:ascii="Verdana" w:hAnsi="Verdana" w:cs="Arial"/>
        </w:rPr>
        <w:t xml:space="preserve">eneral de </w:t>
      </w:r>
      <w:r>
        <w:rPr>
          <w:rFonts w:ascii="Verdana" w:hAnsi="Verdana" w:cs="Arial"/>
        </w:rPr>
        <w:t>C</w:t>
      </w:r>
      <w:r w:rsidRPr="002A22E2">
        <w:rPr>
          <w:rFonts w:ascii="Verdana" w:hAnsi="Verdana" w:cs="Arial"/>
        </w:rPr>
        <w:t xml:space="preserve">ontratación de la </w:t>
      </w:r>
      <w:r>
        <w:rPr>
          <w:rFonts w:ascii="Verdana" w:hAnsi="Verdana" w:cs="Arial"/>
        </w:rPr>
        <w:t>A</w:t>
      </w:r>
      <w:r w:rsidRPr="002A22E2">
        <w:rPr>
          <w:rFonts w:ascii="Verdana" w:hAnsi="Verdana" w:cs="Arial"/>
        </w:rPr>
        <w:t xml:space="preserve">dministración </w:t>
      </w:r>
      <w:r>
        <w:rPr>
          <w:rFonts w:ascii="Verdana" w:hAnsi="Verdana" w:cs="Arial"/>
        </w:rPr>
        <w:t>P</w:t>
      </w:r>
      <w:r w:rsidRPr="002A22E2">
        <w:rPr>
          <w:rFonts w:ascii="Verdana" w:hAnsi="Verdana" w:cs="Arial"/>
        </w:rPr>
        <w:t>ública”.</w:t>
      </w:r>
    </w:p>
    <w:p w14:paraId="3BC2FDE3" w14:textId="77777777" w:rsidR="009B1E29" w:rsidRPr="002A22E2" w:rsidRDefault="009B1E29" w:rsidP="009B1E29">
      <w:pPr>
        <w:spacing w:after="120" w:line="276" w:lineRule="auto"/>
        <w:ind w:firstLine="709"/>
        <w:jc w:val="both"/>
        <w:rPr>
          <w:rFonts w:ascii="Verdana" w:eastAsia="Arial" w:hAnsi="Verdana" w:cs="Arial"/>
        </w:rPr>
      </w:pPr>
      <w:r w:rsidRPr="002A22E2">
        <w:rPr>
          <w:rFonts w:ascii="Verdana" w:hAnsi="Verdana"/>
        </w:rPr>
        <w:t xml:space="preserve">En consecuencia, </w:t>
      </w:r>
      <w:r w:rsidRPr="00A46177">
        <w:rPr>
          <w:rFonts w:ascii="Verdana" w:eastAsia="Calibri" w:hAnsi="Verdana"/>
          <w:color w:val="000000" w:themeColor="text1"/>
          <w:lang w:val="es-MX"/>
        </w:rPr>
        <w:t xml:space="preserve">las Empresas Sociales del Estado no están sometidas al EGCAP ni a las normas que lo reglamentan o complementan, ya que, por disposición expresa de la norma transcrita, sus </w:t>
      </w:r>
      <w:r w:rsidRPr="002A22E2">
        <w:rPr>
          <w:rFonts w:ascii="Verdana" w:hAnsi="Verdana"/>
        </w:rPr>
        <w:t xml:space="preserve">contratos se rigen por el derecho privado. </w:t>
      </w:r>
      <w:r w:rsidRPr="002A22E2">
        <w:rPr>
          <w:rFonts w:ascii="Verdana" w:eastAsia="Arial" w:hAnsi="Verdana" w:cs="Arial"/>
        </w:rPr>
        <w:t>Ahora bien, puede decirse que una de las reglas para las Empresas Sociales del Estado, deriva</w:t>
      </w:r>
      <w:r>
        <w:rPr>
          <w:rFonts w:ascii="Verdana" w:eastAsia="Arial" w:hAnsi="Verdana" w:cs="Arial"/>
        </w:rPr>
        <w:t>da</w:t>
      </w:r>
      <w:r w:rsidRPr="002A22E2">
        <w:rPr>
          <w:rFonts w:ascii="Verdana" w:eastAsia="Arial" w:hAnsi="Verdana" w:cs="Arial"/>
        </w:rPr>
        <w:t xml:space="preserve"> de las normas de derecho público, consiste en el deber de expedir un manual de contratación</w:t>
      </w:r>
      <w:r>
        <w:rPr>
          <w:rFonts w:ascii="Verdana" w:eastAsia="Arial" w:hAnsi="Verdana" w:cs="Arial"/>
        </w:rPr>
        <w:t>. En este documento</w:t>
      </w:r>
      <w:r w:rsidRPr="002A22E2">
        <w:rPr>
          <w:rFonts w:ascii="Verdana" w:eastAsia="Arial" w:hAnsi="Verdana" w:cs="Arial"/>
        </w:rPr>
        <w:t xml:space="preserve"> deben concretarse los principios de la función administrativa y de la gestión fiscal, </w:t>
      </w:r>
      <w:r>
        <w:rPr>
          <w:rFonts w:ascii="Verdana" w:eastAsia="Arial" w:hAnsi="Verdana" w:cs="Arial"/>
        </w:rPr>
        <w:t>así como</w:t>
      </w:r>
      <w:r w:rsidRPr="002A22E2">
        <w:rPr>
          <w:rFonts w:ascii="Verdana" w:eastAsia="Arial" w:hAnsi="Verdana" w:cs="Arial"/>
        </w:rPr>
        <w:t xml:space="preserve"> determinarse la manera concreta como dichos principios </w:t>
      </w:r>
      <w:r>
        <w:rPr>
          <w:rFonts w:ascii="Verdana" w:eastAsia="Arial" w:hAnsi="Verdana" w:cs="Arial"/>
        </w:rPr>
        <w:t>orientarán</w:t>
      </w:r>
      <w:r w:rsidRPr="002A22E2">
        <w:rPr>
          <w:rFonts w:ascii="Verdana" w:eastAsia="Arial" w:hAnsi="Verdana" w:cs="Arial"/>
        </w:rPr>
        <w:t xml:space="preserve"> el derecho privado en el ejercicio de la actividad contractual. De esta manera, los potenciales oferentes podrán identificar las reglas que aplica la entidad en sus procesos contractuales.</w:t>
      </w:r>
    </w:p>
    <w:p w14:paraId="5DEB11CB" w14:textId="171138A0" w:rsidR="00461F87" w:rsidRDefault="009B1E29" w:rsidP="00A660D5">
      <w:pPr>
        <w:spacing w:after="0" w:line="276" w:lineRule="auto"/>
        <w:ind w:firstLine="709"/>
        <w:jc w:val="both"/>
        <w:rPr>
          <w:rFonts w:ascii="Verdana" w:hAnsi="Verdana"/>
          <w:lang w:val="es-ES_tradnl"/>
        </w:rPr>
      </w:pPr>
      <w:r w:rsidRPr="6737F637">
        <w:rPr>
          <w:rFonts w:ascii="Verdana" w:eastAsia="Calibri" w:hAnsi="Verdana" w:cs="Arial"/>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6737F637">
        <w:rPr>
          <w:rStyle w:val="Refdenotaalpie"/>
          <w:rFonts w:ascii="Verdana" w:eastAsia="Calibri" w:hAnsi="Verdana" w:cs="Arial"/>
          <w:lang w:val="es-ES"/>
        </w:rPr>
        <w:footnoteReference w:id="5"/>
      </w:r>
      <w:r w:rsidRPr="6737F637">
        <w:rPr>
          <w:rFonts w:ascii="Verdana" w:eastAsia="Calibri" w:hAnsi="Verdana" w:cs="Arial"/>
          <w:lang w:val="es-ES"/>
        </w:rPr>
        <w:t xml:space="preserve">. </w:t>
      </w:r>
      <w:r>
        <w:rPr>
          <w:rFonts w:ascii="Verdana" w:eastAsia="Calibri" w:hAnsi="Verdana" w:cs="Arial"/>
          <w:lang w:val="es-ES"/>
        </w:rPr>
        <w:t>D</w:t>
      </w:r>
      <w:r w:rsidRPr="6737F637">
        <w:rPr>
          <w:rFonts w:ascii="Verdana" w:eastAsia="Calibri" w:hAnsi="Verdana" w:cs="Arial"/>
          <w:lang w:val="es-ES"/>
        </w:rPr>
        <w:t>icha libertad es similar a la reconocida a los particulares por el derecho privado, pero no es idéntica a aquella, en la medida en que encuentra importantes limitantes</w:t>
      </w:r>
      <w:r w:rsidR="005309B9">
        <w:rPr>
          <w:rFonts w:ascii="Verdana" w:eastAsia="Calibri" w:hAnsi="Verdana" w:cs="Arial"/>
          <w:lang w:val="es-ES"/>
        </w:rPr>
        <w:t xml:space="preserve">, </w:t>
      </w:r>
      <w:r w:rsidR="00733EE1">
        <w:rPr>
          <w:rFonts w:ascii="Verdana" w:eastAsia="Calibri" w:hAnsi="Verdana" w:cs="Arial"/>
          <w:lang w:val="es-ES"/>
        </w:rPr>
        <w:t>delimitadas por el cumplimient</w:t>
      </w:r>
      <w:r w:rsidR="008370A4">
        <w:rPr>
          <w:rFonts w:ascii="Verdana" w:eastAsia="Calibri" w:hAnsi="Verdana" w:cs="Arial"/>
          <w:lang w:val="es-ES"/>
        </w:rPr>
        <w:t>o</w:t>
      </w:r>
      <w:r w:rsidR="005309B9">
        <w:rPr>
          <w:rFonts w:ascii="Verdana" w:eastAsia="Calibri" w:hAnsi="Verdana" w:cs="Arial"/>
          <w:lang w:val="es-ES"/>
        </w:rPr>
        <w:t xml:space="preserve"> los principios de la función administrativa</w:t>
      </w:r>
      <w:r w:rsidR="00EF6EEA">
        <w:rPr>
          <w:rFonts w:ascii="Verdana" w:eastAsia="Calibri" w:hAnsi="Verdana" w:cs="Arial"/>
          <w:lang w:val="es-ES"/>
        </w:rPr>
        <w:t xml:space="preserve"> y la gestión fiscal, así como </w:t>
      </w:r>
      <w:r w:rsidR="00895FA4">
        <w:rPr>
          <w:rFonts w:ascii="Verdana" w:eastAsia="Calibri" w:hAnsi="Verdana" w:cs="Arial"/>
          <w:lang w:val="es-ES"/>
        </w:rPr>
        <w:t xml:space="preserve">por el régimen de inhabilidades e incompatibilidades. </w:t>
      </w:r>
      <w:r w:rsidR="00461F87" w:rsidRPr="00461F87">
        <w:rPr>
          <w:rFonts w:ascii="Verdana" w:hAnsi="Verdana"/>
          <w:lang w:val="es-ES_tradnl"/>
        </w:rPr>
        <w:t>Lo anterior es reafirmado por el Consejo de Estado, que destaca las normas que sigue la contratación de las entidades de régimen especial:</w:t>
      </w:r>
    </w:p>
    <w:p w14:paraId="7EFDB429" w14:textId="77777777" w:rsidR="00716A58" w:rsidRPr="00461F87" w:rsidRDefault="00716A58" w:rsidP="00A660D5">
      <w:pPr>
        <w:spacing w:after="0" w:line="240" w:lineRule="auto"/>
        <w:ind w:firstLine="709"/>
        <w:jc w:val="both"/>
        <w:rPr>
          <w:rFonts w:ascii="Verdana" w:hAnsi="Verdana"/>
          <w:lang w:val="es-ES_tradnl"/>
        </w:rPr>
      </w:pPr>
    </w:p>
    <w:p w14:paraId="5F30CAE9" w14:textId="0B25DA63" w:rsidR="00461F87" w:rsidRPr="00A660D5" w:rsidRDefault="005613FC" w:rsidP="00A660D5">
      <w:pPr>
        <w:spacing w:after="0" w:line="240" w:lineRule="auto"/>
        <w:ind w:left="709" w:right="709"/>
        <w:jc w:val="both"/>
        <w:rPr>
          <w:rFonts w:ascii="Verdana" w:hAnsi="Verdana"/>
          <w:sz w:val="20"/>
          <w:szCs w:val="20"/>
          <w:lang w:val="es-ES_tradnl"/>
        </w:rPr>
      </w:pPr>
      <w:r w:rsidRPr="00A660D5">
        <w:rPr>
          <w:rFonts w:ascii="Verdana" w:hAnsi="Verdana"/>
          <w:sz w:val="20"/>
          <w:szCs w:val="20"/>
          <w:lang w:val="es-ES_tradnl"/>
        </w:rPr>
        <w:t>“</w:t>
      </w:r>
      <w:r w:rsidR="00461F87" w:rsidRPr="00A660D5">
        <w:rPr>
          <w:rFonts w:ascii="Verdana" w:hAnsi="Verdana"/>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0EB3EA2D" w14:textId="77777777" w:rsidR="00461F87" w:rsidRDefault="00461F87" w:rsidP="00EB0E42">
      <w:pPr>
        <w:spacing w:after="0" w:line="240" w:lineRule="auto"/>
        <w:ind w:left="709" w:right="709"/>
        <w:jc w:val="both"/>
        <w:rPr>
          <w:rFonts w:ascii="Verdana" w:hAnsi="Verdana"/>
          <w:sz w:val="20"/>
          <w:szCs w:val="20"/>
          <w:lang w:val="es-ES_tradnl"/>
        </w:rPr>
      </w:pPr>
      <w:r w:rsidRPr="00A660D5">
        <w:rPr>
          <w:rFonts w:ascii="Verdana" w:hAnsi="Verdana"/>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2420DBF9" w14:textId="77777777" w:rsidR="00EB0E42" w:rsidRPr="00A660D5" w:rsidRDefault="00EB0E42" w:rsidP="00A660D5">
      <w:pPr>
        <w:spacing w:after="0" w:line="240" w:lineRule="auto"/>
        <w:ind w:left="709" w:right="709"/>
        <w:jc w:val="both"/>
        <w:rPr>
          <w:rFonts w:ascii="Verdana" w:hAnsi="Verdana"/>
          <w:sz w:val="20"/>
          <w:szCs w:val="20"/>
          <w:lang w:val="es-ES_tradnl"/>
        </w:rPr>
      </w:pPr>
    </w:p>
    <w:p w14:paraId="4701CE9A" w14:textId="269599FE" w:rsidR="00461F87" w:rsidRPr="00A660D5" w:rsidRDefault="00461F87" w:rsidP="00A660D5">
      <w:pPr>
        <w:spacing w:after="0" w:line="240" w:lineRule="auto"/>
        <w:ind w:left="709" w:right="709"/>
        <w:jc w:val="both"/>
        <w:rPr>
          <w:rFonts w:ascii="Verdana" w:hAnsi="Verdana"/>
          <w:sz w:val="20"/>
          <w:szCs w:val="20"/>
          <w:lang w:val="es-ES_tradnl"/>
        </w:rPr>
      </w:pPr>
      <w:r w:rsidRPr="00A660D5">
        <w:rPr>
          <w:rFonts w:ascii="Verdana" w:hAnsi="Verdana"/>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005613FC" w:rsidRPr="00A660D5">
        <w:rPr>
          <w:rFonts w:ascii="Verdana" w:hAnsi="Verdana"/>
          <w:sz w:val="20"/>
          <w:szCs w:val="20"/>
          <w:lang w:val="es-ES_tradnl"/>
        </w:rPr>
        <w:t>”</w:t>
      </w:r>
      <w:r w:rsidRPr="00A660D5">
        <w:rPr>
          <w:rFonts w:ascii="Verdana" w:hAnsi="Verdana"/>
          <w:sz w:val="20"/>
          <w:szCs w:val="20"/>
          <w:vertAlign w:val="superscript"/>
          <w:lang w:val="es-ES_tradnl"/>
        </w:rPr>
        <w:footnoteReference w:id="6"/>
      </w:r>
      <w:r w:rsidRPr="00A660D5">
        <w:rPr>
          <w:rFonts w:ascii="Verdana" w:hAnsi="Verdana"/>
          <w:sz w:val="20"/>
          <w:szCs w:val="20"/>
          <w:lang w:val="es-ES_tradnl"/>
        </w:rPr>
        <w:t>.</w:t>
      </w:r>
    </w:p>
    <w:p w14:paraId="532A29C6" w14:textId="77777777" w:rsidR="006171C9" w:rsidRPr="00461F87" w:rsidRDefault="006171C9" w:rsidP="00312018">
      <w:pPr>
        <w:spacing w:after="120" w:line="240" w:lineRule="auto"/>
        <w:ind w:left="709" w:right="709" w:firstLine="709"/>
        <w:jc w:val="both"/>
        <w:rPr>
          <w:rFonts w:ascii="Verdana" w:hAnsi="Verdana"/>
          <w:lang w:val="es-ES_tradnl"/>
        </w:rPr>
      </w:pPr>
    </w:p>
    <w:p w14:paraId="1684435B" w14:textId="75AF92B8" w:rsidR="000C4BE5" w:rsidRPr="000C4BE5" w:rsidRDefault="000C4BE5" w:rsidP="00A660D5">
      <w:pPr>
        <w:spacing w:after="120" w:line="276" w:lineRule="auto"/>
        <w:ind w:firstLine="709"/>
        <w:jc w:val="both"/>
        <w:rPr>
          <w:rFonts w:ascii="Verdana" w:hAnsi="Verdana"/>
          <w:lang w:val="es-ES_tradnl"/>
        </w:rPr>
      </w:pPr>
      <w:r w:rsidRPr="000C4BE5">
        <w:rPr>
          <w:rFonts w:ascii="Verdana" w:hAnsi="Verdana"/>
          <w:lang w:val="es-ES_tradnl"/>
        </w:rPr>
        <w:t>Así mismo, estas entidades deben cumplir unas obligaciones transversales a la contratación pública, entre ellas la elaboración del Plan Anual de Adquisiciones, la publicación de sus procedimientos de selección a través de la herramienta SECOP, hacer uso del clasificador de bienes y servicios de las Naciones Unidas, analizar el sector económico de los oferentes, aplicar los Acuerdos Comerciales, en los casos en que les resulten aplicables, entre otras. En particular, en relación con este asunto en la Guía para las Entidades Estatales con régimen especial de Contratación</w:t>
      </w:r>
      <w:r>
        <w:rPr>
          <w:rFonts w:ascii="Verdana" w:hAnsi="Verdana"/>
          <w:lang w:val="es-ES_tradnl"/>
        </w:rPr>
        <w:t>”</w:t>
      </w:r>
      <w:r w:rsidRPr="000C4BE5">
        <w:rPr>
          <w:rFonts w:ascii="Verdana" w:hAnsi="Verdana"/>
          <w:lang w:val="es-ES_tradnl"/>
        </w:rPr>
        <w:t>, por ser relevante para la consulta se señaló lo siguiente, en relación con las disposiciones aplicables del Decreto 1082 de 2015 frente a las entidades exceptuadas del EGCAP</w:t>
      </w:r>
      <w:r w:rsidR="004749D4">
        <w:rPr>
          <w:rFonts w:ascii="Verdana" w:hAnsi="Verdana"/>
          <w:lang w:val="es-ES_tradnl"/>
        </w:rPr>
        <w:t>.</w:t>
      </w:r>
    </w:p>
    <w:p w14:paraId="1A76E7BC" w14:textId="0E59B8CC" w:rsidR="00BE0798" w:rsidRDefault="00BE0798" w:rsidP="00BE0798">
      <w:pPr>
        <w:spacing w:after="120" w:line="276" w:lineRule="auto"/>
        <w:jc w:val="both"/>
        <w:rPr>
          <w:rFonts w:ascii="Verdana" w:hAnsi="Verdana"/>
          <w:bCs/>
          <w:lang w:val="es-ES"/>
        </w:rPr>
      </w:pPr>
      <w:r>
        <w:rPr>
          <w:rFonts w:ascii="Verdana" w:hAnsi="Verdana"/>
          <w:lang w:val="es-ES_tradnl"/>
        </w:rPr>
        <w:t>ii. Por otro lado</w:t>
      </w:r>
      <w:r w:rsidR="00EE73D1">
        <w:rPr>
          <w:rFonts w:ascii="Verdana" w:hAnsi="Verdana"/>
          <w:lang w:val="es-ES_tradnl"/>
        </w:rPr>
        <w:t xml:space="preserve">, en relación </w:t>
      </w:r>
      <w:r>
        <w:rPr>
          <w:rFonts w:ascii="Verdana" w:hAnsi="Verdana"/>
          <w:lang w:val="es-ES_tradnl"/>
        </w:rPr>
        <w:t>con</w:t>
      </w:r>
      <w:r w:rsidR="00EE73D1">
        <w:rPr>
          <w:rFonts w:ascii="Verdana" w:hAnsi="Verdana"/>
          <w:lang w:val="es-ES_tradnl"/>
        </w:rPr>
        <w:t xml:space="preserve"> </w:t>
      </w:r>
      <w:r w:rsidR="00EE73D1" w:rsidRPr="00964B06">
        <w:rPr>
          <w:rFonts w:ascii="Verdana" w:hAnsi="Verdana"/>
          <w:lang w:val="es-ES_tradnl"/>
        </w:rPr>
        <w:t>los días hábiles</w:t>
      </w:r>
      <w:r w:rsidRPr="00964B06">
        <w:rPr>
          <w:rFonts w:ascii="Verdana" w:hAnsi="Verdana"/>
          <w:lang w:val="es-ES_tradnl"/>
        </w:rPr>
        <w:t xml:space="preserve"> para desarrollar la gestión contractual</w:t>
      </w:r>
      <w:r w:rsidR="00D022DF" w:rsidRPr="00964B06">
        <w:rPr>
          <w:rFonts w:ascii="Verdana" w:hAnsi="Verdana"/>
          <w:lang w:val="es-ES_tradnl"/>
        </w:rPr>
        <w:t xml:space="preserve">, </w:t>
      </w:r>
      <w:r w:rsidR="00135513" w:rsidRPr="00964B06">
        <w:rPr>
          <w:rFonts w:ascii="Verdana" w:hAnsi="Verdana"/>
        </w:rPr>
        <w:t xml:space="preserve">resulta importante revisar la postura vigente de esta Agencia en relación con la definición de </w:t>
      </w:r>
      <w:r w:rsidR="00135513" w:rsidRPr="00964B06">
        <w:rPr>
          <w:rFonts w:ascii="Verdana" w:hAnsi="Verdana"/>
          <w:i/>
          <w:iCs/>
        </w:rPr>
        <w:t>día hábil</w:t>
      </w:r>
      <w:r w:rsidR="00135513" w:rsidRPr="00964B06">
        <w:rPr>
          <w:rFonts w:ascii="Verdana" w:hAnsi="Verdana"/>
        </w:rPr>
        <w:t xml:space="preserve"> en los procesos de contratación pública. Esta parte de la tesis según la cual</w:t>
      </w:r>
      <w:r w:rsidR="00135513" w:rsidRPr="00135513">
        <w:rPr>
          <w:rFonts w:ascii="Verdana" w:hAnsi="Verdana"/>
        </w:rPr>
        <w:t xml:space="preserve"> </w:t>
      </w:r>
      <w:r w:rsidR="00135513" w:rsidRPr="00135513">
        <w:rPr>
          <w:rFonts w:ascii="Verdana" w:hAnsi="Verdana"/>
          <w:bCs/>
        </w:rPr>
        <w:t>no existe una acepción unívoca de dicha acepción, pues no existe certidumbre de cuáles son los días de la semana que pueden entenderse como hábiles, y ello en principio posibilita que las entidades regulen de manera disímil los términos de la modalidad de selección que aquí se trata</w:t>
      </w:r>
      <w:r w:rsidR="00135513" w:rsidRPr="00135513">
        <w:rPr>
          <w:rFonts w:ascii="Verdana" w:hAnsi="Verdana"/>
          <w:bCs/>
          <w:lang w:val="es-ES"/>
        </w:rPr>
        <w:t xml:space="preserve">. </w:t>
      </w:r>
      <w:r w:rsidR="002A2AEB">
        <w:rPr>
          <w:rFonts w:ascii="Verdana" w:hAnsi="Verdana"/>
          <w:bCs/>
          <w:lang w:val="es-ES"/>
        </w:rPr>
        <w:t xml:space="preserve"> </w:t>
      </w:r>
      <w:r w:rsidR="00135513" w:rsidRPr="00135513">
        <w:rPr>
          <w:rFonts w:ascii="Verdana" w:hAnsi="Verdana"/>
          <w:bCs/>
          <w:lang w:val="es-ES"/>
        </w:rPr>
        <w:tab/>
      </w:r>
    </w:p>
    <w:p w14:paraId="289C9BDD" w14:textId="5366667F" w:rsidR="00135513" w:rsidRPr="00135513" w:rsidRDefault="00135513" w:rsidP="00A660D5">
      <w:pPr>
        <w:spacing w:after="120" w:line="276" w:lineRule="auto"/>
        <w:ind w:firstLine="708"/>
        <w:jc w:val="both"/>
        <w:rPr>
          <w:rFonts w:ascii="Verdana" w:hAnsi="Verdana"/>
          <w:bCs/>
          <w:lang w:val="es-ES"/>
        </w:rPr>
      </w:pPr>
      <w:r w:rsidRPr="00135513">
        <w:rPr>
          <w:rFonts w:ascii="Verdana" w:hAnsi="Verdana"/>
          <w:bCs/>
          <w:lang w:val="es-ES"/>
        </w:rPr>
        <w:t>La ausencia de definición legal de día hábil autoriza acudir al sentido natural y obvio de la palabra hábil, encontrándonos las siguientes acepciones “1. adj. Capaz de realizar con éxito una tarea manual. 2. adj. Dotado del talento para actuar adecuadamente o lograr su objetivo. 3. adj. Propio de una persona hábil. 4. adj. Apto o adecuado para algo. 5. adj. Dicho de un período de tiempo: Establecido como válido o computable para realizar una actividad, especialmente administrativa o judicial”</w:t>
      </w:r>
      <w:r w:rsidRPr="00135513">
        <w:rPr>
          <w:rFonts w:ascii="Verdana" w:hAnsi="Verdana"/>
          <w:bCs/>
          <w:vertAlign w:val="superscript"/>
          <w:lang w:val="es-ES"/>
        </w:rPr>
        <w:footnoteReference w:id="7"/>
      </w:r>
      <w:r w:rsidRPr="00135513">
        <w:rPr>
          <w:rFonts w:ascii="Verdana" w:hAnsi="Verdana"/>
          <w:bCs/>
          <w:lang w:val="es-ES"/>
        </w:rPr>
        <w:t>. La última acepción se ajusta al entendimiento normativo. Sin embargo, no es suficiente para absolver lo que se indaga, en la medida en que corresponde al ordenamiento jurídico establecer cuáles son los días válidos para realizar las actuaciones.</w:t>
      </w:r>
    </w:p>
    <w:p w14:paraId="1B14390A" w14:textId="77777777" w:rsidR="00135513" w:rsidRPr="00135513" w:rsidRDefault="00135513" w:rsidP="00135513">
      <w:pPr>
        <w:spacing w:after="120" w:line="276" w:lineRule="auto"/>
        <w:jc w:val="both"/>
        <w:rPr>
          <w:rFonts w:ascii="Verdana" w:hAnsi="Verdana"/>
          <w:bCs/>
          <w:lang w:val="es-ES"/>
        </w:rPr>
      </w:pPr>
      <w:r w:rsidRPr="00135513">
        <w:rPr>
          <w:rFonts w:ascii="Verdana" w:hAnsi="Verdana"/>
          <w:bCs/>
          <w:lang w:val="es-ES"/>
        </w:rPr>
        <w:tab/>
        <w:t>A pesar de no existir una definición legal, existen normas supletivas que tienen como función servir de pautas para el cómputo de términos previstos en la ley, cuando no ha sido regulado de forma específica por las disposiciones que consagran dichos plazos. Los artículos 59 y 62 de la Ley 4 de 1913 disponen que:</w:t>
      </w:r>
    </w:p>
    <w:p w14:paraId="6D6178D9" w14:textId="77777777" w:rsidR="00135513" w:rsidRPr="00A660D5" w:rsidRDefault="00135513" w:rsidP="00A660D5">
      <w:pPr>
        <w:spacing w:after="0" w:line="240" w:lineRule="auto"/>
        <w:ind w:left="709" w:right="709"/>
        <w:jc w:val="both"/>
        <w:rPr>
          <w:rFonts w:ascii="Verdana" w:hAnsi="Verdana"/>
          <w:sz w:val="20"/>
          <w:szCs w:val="20"/>
        </w:rPr>
      </w:pPr>
      <w:r w:rsidRPr="00A660D5">
        <w:rPr>
          <w:rFonts w:ascii="Verdana" w:hAnsi="Verdana"/>
          <w:sz w:val="20"/>
          <w:szCs w:val="20"/>
        </w:rPr>
        <w:t>“Artículo 59.</w:t>
      </w:r>
      <w:r w:rsidRPr="00A660D5">
        <w:rPr>
          <w:rFonts w:ascii="Verdana" w:hAnsi="Verdana"/>
          <w:b/>
          <w:sz w:val="20"/>
          <w:szCs w:val="20"/>
        </w:rPr>
        <w:t> </w:t>
      </w:r>
      <w:r w:rsidRPr="00A660D5">
        <w:rPr>
          <w:rFonts w:ascii="Verdana" w:hAnsi="Verdana"/>
          <w:sz w:val="20"/>
          <w:szCs w:val="20"/>
        </w:rPr>
        <w:t>Todos los plazos de días, meses o años, del que se haga mención legal, se entenderán que terminan a la medianoche del último día del plazo. Por año y por mes se entienden los del calendario común, y por día el espacio de veinticuatro horas; pero en la ejecución de las penas se estará a lo que disponga la ley penal. </w:t>
      </w:r>
    </w:p>
    <w:p w14:paraId="4F6620C8" w14:textId="77777777" w:rsidR="00135513" w:rsidRPr="00A660D5" w:rsidRDefault="00135513" w:rsidP="00A660D5">
      <w:pPr>
        <w:spacing w:after="0" w:line="240" w:lineRule="auto"/>
        <w:ind w:left="709" w:right="709"/>
        <w:jc w:val="both"/>
        <w:rPr>
          <w:rFonts w:ascii="Verdana" w:hAnsi="Verdana"/>
          <w:sz w:val="20"/>
          <w:szCs w:val="20"/>
        </w:rPr>
      </w:pPr>
      <w:r w:rsidRPr="00A660D5">
        <w:rPr>
          <w:rFonts w:ascii="Verdana" w:hAnsi="Verdana"/>
          <w:sz w:val="20"/>
          <w:szCs w:val="20"/>
        </w:rPr>
        <w:t>[…]</w:t>
      </w:r>
    </w:p>
    <w:p w14:paraId="1C046D8D" w14:textId="77777777" w:rsidR="00135513" w:rsidRPr="00A660D5" w:rsidRDefault="00135513" w:rsidP="00A660D5">
      <w:pPr>
        <w:spacing w:after="0" w:line="240" w:lineRule="auto"/>
        <w:ind w:left="709" w:right="709"/>
        <w:jc w:val="both"/>
        <w:rPr>
          <w:rFonts w:ascii="Verdana" w:hAnsi="Verdana"/>
          <w:sz w:val="20"/>
          <w:szCs w:val="20"/>
        </w:rPr>
      </w:pPr>
      <w:r w:rsidRPr="00A660D5">
        <w:rPr>
          <w:rFonts w:ascii="Verdana" w:hAnsi="Verdana"/>
          <w:sz w:val="20"/>
          <w:szCs w:val="20"/>
        </w:rPr>
        <w:t>Artículo 62.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 </w:t>
      </w:r>
    </w:p>
    <w:p w14:paraId="346D8DF4" w14:textId="77777777" w:rsidR="00062BF5" w:rsidRPr="005974DF" w:rsidRDefault="00062BF5" w:rsidP="00A660D5">
      <w:pPr>
        <w:spacing w:after="0" w:line="276" w:lineRule="auto"/>
        <w:ind w:left="709" w:right="709"/>
        <w:jc w:val="both"/>
        <w:rPr>
          <w:rFonts w:ascii="Verdana" w:hAnsi="Verdana"/>
          <w:sz w:val="21"/>
          <w:szCs w:val="21"/>
        </w:rPr>
      </w:pPr>
    </w:p>
    <w:p w14:paraId="1773E8CF" w14:textId="19E9ABDD" w:rsidR="00135513" w:rsidRPr="00135513" w:rsidRDefault="00135513" w:rsidP="00A660D5">
      <w:pPr>
        <w:spacing w:after="120" w:line="276" w:lineRule="auto"/>
        <w:ind w:firstLine="709"/>
        <w:jc w:val="both"/>
        <w:rPr>
          <w:rFonts w:ascii="Verdana" w:hAnsi="Verdana"/>
          <w:bCs/>
          <w:lang w:val="es-ES"/>
        </w:rPr>
      </w:pPr>
      <w:r w:rsidRPr="00135513">
        <w:rPr>
          <w:rFonts w:ascii="Verdana" w:hAnsi="Verdana"/>
          <w:bCs/>
          <w:lang w:val="es-ES"/>
        </w:rPr>
        <w:t xml:space="preserve">El artículo 59 establece que los plazos a los que se haga mención en la ley terminan a la medianoche, y que por </w:t>
      </w:r>
      <w:r w:rsidRPr="00135513">
        <w:rPr>
          <w:rFonts w:ascii="Verdana" w:hAnsi="Verdana"/>
          <w:bCs/>
          <w:i/>
          <w:iCs/>
          <w:lang w:val="es-ES"/>
        </w:rPr>
        <w:t xml:space="preserve">día </w:t>
      </w:r>
      <w:r w:rsidRPr="00135513">
        <w:rPr>
          <w:rFonts w:ascii="Verdana" w:hAnsi="Verdana"/>
          <w:bCs/>
          <w:lang w:val="es-ES"/>
        </w:rPr>
        <w:t>se entiende el espacio de veinticuatro horas; mientras que el artículo 62 establece que de los plazos de días señalados en la ley se entienden suprimidos los feriados, y que cuando se aluda a meses se computarán conforme al calendario, extendiéndose hasta el día hábil siguiente si el mes termina en un día feriado o vacante. Si bien las reglas establecidas en estas normas no permiten esclarecer cómo deben computarse términos de un único día hábil, ni definen los días hábiles, sí denotan cierta antonimia con los vacantes y feriados, lo cual, en línea con la definición de uso común a la que antes se hacía referencia, indica que por hábiles se entiende los días laborables</w:t>
      </w:r>
      <w:r w:rsidRPr="00135513">
        <w:rPr>
          <w:rFonts w:ascii="Verdana" w:hAnsi="Verdana"/>
          <w:bCs/>
          <w:vertAlign w:val="superscript"/>
          <w:lang w:val="es-ES"/>
        </w:rPr>
        <w:footnoteReference w:id="8"/>
      </w:r>
      <w:r w:rsidRPr="00135513">
        <w:rPr>
          <w:rFonts w:ascii="Verdana" w:hAnsi="Verdana"/>
          <w:bCs/>
          <w:lang w:val="es-ES"/>
        </w:rPr>
        <w:t>.</w:t>
      </w:r>
    </w:p>
    <w:p w14:paraId="54B702C6" w14:textId="61C8D168" w:rsidR="00135513" w:rsidRPr="00135513" w:rsidRDefault="00135513" w:rsidP="00127334">
      <w:pPr>
        <w:spacing w:line="276" w:lineRule="auto"/>
        <w:ind w:firstLine="709"/>
        <w:jc w:val="both"/>
        <w:rPr>
          <w:rFonts w:ascii="Verdana" w:hAnsi="Verdana"/>
          <w:bCs/>
          <w:lang w:val="es-ES"/>
        </w:rPr>
      </w:pPr>
      <w:r w:rsidRPr="00135513">
        <w:rPr>
          <w:rFonts w:ascii="Verdana" w:hAnsi="Verdana"/>
          <w:bCs/>
          <w:lang w:val="es-ES"/>
        </w:rPr>
        <w:t>En esto coincide la jurisprudencia de vieja data del Consejo de Estado, que al interpretar el contenido del artículo 62 de la Ley 4 de 1913 ha relacionado los días hábiles con conceptos como el de “Despacho Público” y “días laborables forzosos”, que implican que el entendimiento normativo de los días hábiles está relacionado con el espacio de tiempo durante el cual las entidades públicas desarrollan sus funciones administrativas y están abiertas para la atención al público. Así, por ejemplo, en la sentencia del 12 de abril de 1978 explicó lo siguiente:</w:t>
      </w:r>
    </w:p>
    <w:p w14:paraId="66CA62A4" w14:textId="77777777" w:rsidR="00135513" w:rsidRPr="00A660D5" w:rsidRDefault="00135513" w:rsidP="00127334">
      <w:pPr>
        <w:spacing w:after="0" w:line="240" w:lineRule="auto"/>
        <w:ind w:left="709" w:right="709"/>
        <w:jc w:val="both"/>
        <w:rPr>
          <w:rFonts w:ascii="Verdana" w:hAnsi="Verdana"/>
          <w:sz w:val="20"/>
          <w:szCs w:val="20"/>
        </w:rPr>
      </w:pPr>
      <w:r w:rsidRPr="00A660D5">
        <w:rPr>
          <w:rFonts w:ascii="Verdana" w:hAnsi="Verdana"/>
          <w:sz w:val="20"/>
          <w:szCs w:val="20"/>
        </w:rPr>
        <w:t>“Debe entenderse por otra parte, que cuando la Ley habla de la supresión en los plazos de días de los de vacancia y feriados, se está refiriendo a los actos producidos por la Administración en las dependencias en que no hay despacho público en tales días y no pueden por lo tanto expedirse actos administrativos con consecuencias legales. Es “Despacho Público” el mantenimiento de la oficina abierta al público para ejecutar los actos y despachar los asuntos que corresponden a las funciones del empleo en los términos señalados en la Ley. Por lo tanto, hay despacho cuando se tiene facultad para laborar, despachar los asuntos y ejecutar los actos propios de sus atribuciones; así no se haya empleado esa facultad. Entonces, las sesiones de la Asamblea en sábados, domingos y lunes tienen la virtud y fuerza suficientes para producir o causar todos los efectos, aunque las sesiones no se hayan realizado efectivamente”</w:t>
      </w:r>
      <w:r w:rsidRPr="00A660D5">
        <w:rPr>
          <w:rFonts w:ascii="Verdana" w:hAnsi="Verdana"/>
          <w:sz w:val="20"/>
          <w:szCs w:val="20"/>
          <w:vertAlign w:val="superscript"/>
        </w:rPr>
        <w:footnoteReference w:id="9"/>
      </w:r>
      <w:r w:rsidRPr="00A660D5">
        <w:rPr>
          <w:rFonts w:ascii="Verdana" w:hAnsi="Verdana"/>
          <w:sz w:val="20"/>
          <w:szCs w:val="20"/>
        </w:rPr>
        <w:t>.</w:t>
      </w:r>
    </w:p>
    <w:p w14:paraId="65EDF64D" w14:textId="77777777" w:rsidR="005974DF" w:rsidRPr="005974DF" w:rsidRDefault="005974DF" w:rsidP="00127334">
      <w:pPr>
        <w:spacing w:after="0" w:line="240" w:lineRule="auto"/>
        <w:ind w:left="709" w:right="709"/>
        <w:jc w:val="both"/>
        <w:rPr>
          <w:rFonts w:ascii="Verdana" w:hAnsi="Verdana"/>
          <w:sz w:val="21"/>
          <w:szCs w:val="21"/>
          <w:lang w:val="es-ES"/>
        </w:rPr>
      </w:pPr>
    </w:p>
    <w:p w14:paraId="48B90545" w14:textId="19ED0F28" w:rsidR="00135513" w:rsidRPr="00135513" w:rsidRDefault="00135513" w:rsidP="00A660D5">
      <w:pPr>
        <w:spacing w:after="0" w:line="276" w:lineRule="auto"/>
        <w:ind w:firstLine="708"/>
        <w:jc w:val="both"/>
        <w:rPr>
          <w:rFonts w:ascii="Verdana" w:hAnsi="Verdana"/>
          <w:bCs/>
          <w:lang w:val="es-ES"/>
        </w:rPr>
      </w:pPr>
      <w:r w:rsidRPr="00135513">
        <w:rPr>
          <w:rFonts w:ascii="Verdana" w:hAnsi="Verdana"/>
          <w:bCs/>
          <w:lang w:val="es-ES"/>
        </w:rPr>
        <w:t>Posteriormente, en el auto del 26 de febrero de 1983, manifestó que el cómputo de los días hábiles de los que trata la norma debe hacerse con relación a los “días laborables forzosos”, introduciendo un criterio para determinar lo que se entiende por día hábil en los siguientes términos:</w:t>
      </w:r>
    </w:p>
    <w:p w14:paraId="51EFFE9E" w14:textId="77777777" w:rsidR="00BE0798" w:rsidRPr="004E718A" w:rsidRDefault="00BE0798" w:rsidP="00A660D5">
      <w:pPr>
        <w:spacing w:after="0" w:line="276" w:lineRule="auto"/>
        <w:ind w:left="709" w:right="709"/>
        <w:jc w:val="both"/>
        <w:rPr>
          <w:rFonts w:ascii="Verdana" w:hAnsi="Verdana"/>
          <w:sz w:val="21"/>
          <w:szCs w:val="21"/>
          <w:lang w:val="es-ES"/>
        </w:rPr>
      </w:pPr>
    </w:p>
    <w:p w14:paraId="4E678D56" w14:textId="7BE448F0" w:rsidR="00135513" w:rsidRPr="00A660D5" w:rsidRDefault="00BE0798" w:rsidP="00A660D5">
      <w:pPr>
        <w:spacing w:line="240" w:lineRule="auto"/>
        <w:ind w:left="709" w:right="709"/>
        <w:jc w:val="both"/>
        <w:rPr>
          <w:rFonts w:ascii="Verdana" w:hAnsi="Verdana"/>
          <w:sz w:val="20"/>
          <w:szCs w:val="20"/>
        </w:rPr>
      </w:pPr>
      <w:r w:rsidRPr="00A660D5">
        <w:rPr>
          <w:rFonts w:ascii="Verdana" w:hAnsi="Verdana"/>
          <w:sz w:val="20"/>
          <w:szCs w:val="20"/>
        </w:rPr>
        <w:t>“</w:t>
      </w:r>
      <w:r w:rsidR="00135513" w:rsidRPr="00A660D5">
        <w:rPr>
          <w:rFonts w:ascii="Verdana" w:hAnsi="Verdana"/>
          <w:sz w:val="20"/>
          <w:szCs w:val="20"/>
        </w:rPr>
        <w:t>[E]l cómputo de días hábiles de que trata el artículo 62 de la Ley 4.ª de 1913 debe realizarse con base en los días laborables forzosos, teniendo por tales todos los del año, excluidos los señalados por la ley como de descanso remunerado.</w:t>
      </w:r>
    </w:p>
    <w:p w14:paraId="75A5F27B" w14:textId="7469A511" w:rsidR="00135513" w:rsidRPr="00A660D5" w:rsidRDefault="00135513" w:rsidP="00A660D5">
      <w:pPr>
        <w:spacing w:after="0" w:line="240" w:lineRule="auto"/>
        <w:ind w:left="709" w:right="709"/>
        <w:jc w:val="both"/>
        <w:rPr>
          <w:rFonts w:ascii="Verdana" w:hAnsi="Verdana"/>
          <w:sz w:val="20"/>
          <w:szCs w:val="20"/>
        </w:rPr>
      </w:pPr>
      <w:r w:rsidRPr="00A660D5">
        <w:rPr>
          <w:rFonts w:ascii="Verdana" w:hAnsi="Verdana"/>
          <w:sz w:val="20"/>
          <w:szCs w:val="20"/>
        </w:rPr>
        <w:t xml:space="preserve">Así, el criterio que determina el carácter de hábil de los días, para el cómputo de los términos legales, es el de su laborabilidad [sic]. Ello implica que son hábiles aquellos para los que no hay disposición legal expresa que exima del deber de trabajar, vale decir, los ordinarios, días en los que deben funcionar las oficinas públicas; y no hábiles aquellos para los cuales la ley ha previsto el derecho a descanso remunerado; tales son los domingos, los previstos por el artículo </w:t>
      </w:r>
      <w:r w:rsidR="00933B70" w:rsidRPr="00A660D5">
        <w:rPr>
          <w:rFonts w:ascii="Verdana" w:hAnsi="Verdana"/>
          <w:sz w:val="20"/>
          <w:szCs w:val="20"/>
        </w:rPr>
        <w:t>1°</w:t>
      </w:r>
      <w:r w:rsidRPr="00A660D5">
        <w:rPr>
          <w:rFonts w:ascii="Verdana" w:hAnsi="Verdana"/>
          <w:sz w:val="20"/>
          <w:szCs w:val="20"/>
        </w:rPr>
        <w:t xml:space="preserve"> de la Ley 51 de 1983 y los señalados como vacancia para la rama jurisdiccional, el Ministerio Público y las direcciones de instrucción criminal. Cabe anotar que para algunas oficinas no son hábiles los sábados, en cuanto no funcionan en esos días por trasladarse la respectiva jornada, en extensión de la ordinaria, a los demás de la semana</w:t>
      </w:r>
      <w:r w:rsidR="00BE0798" w:rsidRPr="00A660D5">
        <w:rPr>
          <w:rFonts w:ascii="Verdana" w:hAnsi="Verdana"/>
          <w:sz w:val="20"/>
          <w:szCs w:val="20"/>
        </w:rPr>
        <w:t>”</w:t>
      </w:r>
      <w:r w:rsidRPr="00A660D5">
        <w:rPr>
          <w:rFonts w:ascii="Verdana" w:hAnsi="Verdana"/>
          <w:sz w:val="20"/>
          <w:szCs w:val="20"/>
          <w:vertAlign w:val="superscript"/>
        </w:rPr>
        <w:footnoteReference w:id="10"/>
      </w:r>
      <w:r w:rsidRPr="00A660D5">
        <w:rPr>
          <w:rFonts w:ascii="Verdana" w:hAnsi="Verdana"/>
          <w:sz w:val="20"/>
          <w:szCs w:val="20"/>
        </w:rPr>
        <w:t>.</w:t>
      </w:r>
    </w:p>
    <w:p w14:paraId="7A545B81" w14:textId="77777777" w:rsidR="00135513" w:rsidRPr="00135513" w:rsidRDefault="00135513" w:rsidP="00127334">
      <w:pPr>
        <w:spacing w:after="0" w:line="276" w:lineRule="auto"/>
        <w:jc w:val="both"/>
        <w:rPr>
          <w:rFonts w:ascii="Verdana" w:hAnsi="Verdana"/>
        </w:rPr>
      </w:pPr>
    </w:p>
    <w:p w14:paraId="114769C3" w14:textId="77777777" w:rsidR="00135513" w:rsidRPr="00135513" w:rsidRDefault="00135513" w:rsidP="00127334">
      <w:pPr>
        <w:spacing w:after="120" w:line="276" w:lineRule="auto"/>
        <w:jc w:val="both"/>
        <w:rPr>
          <w:rFonts w:ascii="Verdana" w:hAnsi="Verdana"/>
          <w:bCs/>
          <w:lang w:val="es-ES"/>
        </w:rPr>
      </w:pPr>
      <w:r w:rsidRPr="00135513">
        <w:rPr>
          <w:rFonts w:ascii="Verdana" w:hAnsi="Verdana"/>
        </w:rPr>
        <w:tab/>
        <w:t>En la misma línea, reiterando la facultad en cabeza de la Administración para establecer como hábiles los días sábados, en la sentencia del 29 de abril de 1983 el Consejo de Estado manifestó frente al artículo 62 de la Ley 4 de 1993 que: “[…]La Sala considera ésta una buena oportunidad para precisar el alcance de las disposiciones sobre los días hábiles e inhábiles. por regla general los sábados son días hábiles, pero si la administración ha dictado alguna norma general que considera inhábiles los sábados estos no pueden contarse en los términos de la ejecutoria</w:t>
      </w:r>
      <w:r w:rsidRPr="00135513">
        <w:rPr>
          <w:rFonts w:ascii="Verdana" w:hAnsi="Verdana"/>
          <w:vertAlign w:val="superscript"/>
        </w:rPr>
        <w:footnoteReference w:id="11"/>
      </w:r>
      <w:r w:rsidRPr="00135513">
        <w:rPr>
          <w:rFonts w:ascii="Verdana" w:hAnsi="Verdana"/>
        </w:rPr>
        <w:t>”. Postura que comparte el Departamento Administrativo de la Función Pública – DAFP en sus conceptos, cuando señala que: “[…] Cuando el plazo se haya fijado en días, estos se entienden hábiles, para lo cual se suprimen los feriados, entre los cuales se encuentran los domingos, festivos y los sábados cuando la administración ha dictado una norma que los considere inhábiles</w:t>
      </w:r>
      <w:r w:rsidRPr="00135513">
        <w:rPr>
          <w:rFonts w:ascii="Verdana" w:hAnsi="Verdana"/>
          <w:vertAlign w:val="superscript"/>
        </w:rPr>
        <w:footnoteReference w:id="12"/>
      </w:r>
      <w:r w:rsidRPr="00135513">
        <w:rPr>
          <w:rFonts w:ascii="Verdana" w:hAnsi="Verdana"/>
        </w:rPr>
        <w:t>”.</w:t>
      </w:r>
      <w:r w:rsidRPr="00135513">
        <w:rPr>
          <w:rFonts w:ascii="Verdana" w:hAnsi="Verdana"/>
          <w:bCs/>
          <w:lang w:val="es-ES"/>
        </w:rPr>
        <w:t xml:space="preserve"> </w:t>
      </w:r>
    </w:p>
    <w:p w14:paraId="7BB12817" w14:textId="77777777" w:rsidR="00135513" w:rsidRPr="00135513" w:rsidRDefault="00135513" w:rsidP="00127334">
      <w:pPr>
        <w:spacing w:after="120" w:line="276" w:lineRule="auto"/>
        <w:jc w:val="both"/>
        <w:rPr>
          <w:rFonts w:ascii="Verdana" w:hAnsi="Verdana"/>
          <w:bCs/>
          <w:lang w:val="es-ES"/>
        </w:rPr>
      </w:pPr>
      <w:r w:rsidRPr="00135513">
        <w:rPr>
          <w:rFonts w:ascii="Verdana" w:hAnsi="Verdana"/>
          <w:bCs/>
          <w:lang w:val="es-ES"/>
        </w:rPr>
        <w:tab/>
        <w:t>De esta manera, los días hábiles se determinan según la entidad, ya que “cada entidad pública establece la jornada laboral, a través de su reglamento interno, dando certeza sobre los días que atienden al público, e indirectamente definiendo qué día es hábil en determinada institución”</w:t>
      </w:r>
      <w:r w:rsidRPr="00135513">
        <w:rPr>
          <w:rFonts w:ascii="Verdana" w:hAnsi="Verdana"/>
          <w:bCs/>
          <w:vertAlign w:val="superscript"/>
          <w:lang w:val="es-ES"/>
        </w:rPr>
        <w:footnoteReference w:id="13"/>
      </w:r>
      <w:r w:rsidRPr="00135513">
        <w:rPr>
          <w:rFonts w:ascii="Verdana" w:hAnsi="Verdana"/>
          <w:bCs/>
          <w:lang w:val="es-ES"/>
        </w:rPr>
        <w:t>,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w:t>
      </w:r>
      <w:r w:rsidRPr="00135513">
        <w:rPr>
          <w:rFonts w:ascii="Verdana" w:hAnsi="Verdana"/>
          <w:bCs/>
          <w:vertAlign w:val="superscript"/>
          <w:lang w:val="es-ES"/>
        </w:rPr>
        <w:footnoteReference w:id="14"/>
      </w:r>
      <w:r w:rsidRPr="00135513">
        <w:rPr>
          <w:rFonts w:ascii="Verdana" w:hAnsi="Verdana"/>
          <w:bCs/>
          <w:lang w:val="es-ES"/>
        </w:rPr>
        <w:t xml:space="preserve">, ejemplo donde los días laborables o hábiles son todos los de la semana, con excepción del miércoles. </w:t>
      </w:r>
    </w:p>
    <w:p w14:paraId="565BFAC8" w14:textId="77777777" w:rsidR="00135513" w:rsidRPr="00135513" w:rsidRDefault="00135513" w:rsidP="00127334">
      <w:pPr>
        <w:spacing w:after="120" w:line="276" w:lineRule="auto"/>
        <w:jc w:val="both"/>
        <w:rPr>
          <w:rFonts w:ascii="Verdana" w:hAnsi="Verdana"/>
          <w:bCs/>
          <w:lang w:val="es-ES"/>
        </w:rPr>
      </w:pPr>
      <w:r w:rsidRPr="00135513">
        <w:rPr>
          <w:rFonts w:ascii="Verdana" w:hAnsi="Verdana"/>
          <w:bCs/>
          <w:lang w:val="es-ES"/>
        </w:rPr>
        <w:tab/>
        <w:t xml:space="preserve">Esto implica que, para el cómputo de los términos en días hábiles propios de los procesos de selección, deberá transcurrir dentro de los días definidos por cada entidad estatal como laborables en su correspondiente reglamento o manual de funciones. </w:t>
      </w:r>
    </w:p>
    <w:p w14:paraId="50F65943" w14:textId="6D30F5F2" w:rsidR="00BE0798" w:rsidRDefault="00135513" w:rsidP="00127334">
      <w:pPr>
        <w:spacing w:after="120" w:line="276" w:lineRule="auto"/>
        <w:jc w:val="both"/>
        <w:rPr>
          <w:rFonts w:ascii="Verdana" w:hAnsi="Verdana"/>
        </w:rPr>
      </w:pPr>
      <w:r w:rsidRPr="00135513">
        <w:rPr>
          <w:rFonts w:ascii="Verdana" w:hAnsi="Verdana"/>
          <w:bCs/>
          <w:lang w:val="es-ES"/>
        </w:rPr>
        <w:tab/>
      </w:r>
      <w:r w:rsidRPr="00135513">
        <w:rPr>
          <w:rFonts w:ascii="Verdana" w:hAnsi="Verdana"/>
        </w:rPr>
        <w:t xml:space="preserve">Ahora bien, </w:t>
      </w:r>
      <w:r w:rsidR="00BE0798" w:rsidRPr="00BE0798">
        <w:rPr>
          <w:rFonts w:ascii="Verdana" w:hAnsi="Verdana"/>
        </w:rPr>
        <w:t xml:space="preserve">el marco de la contratación </w:t>
      </w:r>
      <w:r w:rsidR="00BE0798">
        <w:rPr>
          <w:rFonts w:ascii="Verdana" w:hAnsi="Verdana"/>
        </w:rPr>
        <w:t xml:space="preserve">de </w:t>
      </w:r>
      <w:r w:rsidR="00BE0798" w:rsidRPr="00BE0798">
        <w:rPr>
          <w:rFonts w:ascii="Verdana" w:hAnsi="Verdana"/>
        </w:rPr>
        <w:t>las empresas sociales del Estado</w:t>
      </w:r>
      <w:r w:rsidR="00BE0798">
        <w:rPr>
          <w:rFonts w:ascii="Verdana" w:hAnsi="Verdana"/>
        </w:rPr>
        <w:t>, sin perjuicio de su régimen especial de contratación, es posible afirmar que estas</w:t>
      </w:r>
      <w:r w:rsidR="00BE0798" w:rsidRPr="00BE0798">
        <w:rPr>
          <w:rFonts w:ascii="Verdana" w:hAnsi="Verdana"/>
        </w:rPr>
        <w:t xml:space="preserve"> tienen la potestad de definir a través de sus reglamentos internos y manuales de contratación, cuáles son las fechas hábiles para desarrollar las diferentes actuaciones que implica la gestión contractual.  Por regla general, tales actividades deben desarrollarse dentro de los días laborales fijados por cada entidad, con la posibilidad de que, sin perjuicio de que se habiliten otros días para realizar actuaciones específicas.   </w:t>
      </w:r>
    </w:p>
    <w:p w14:paraId="1291D791" w14:textId="77777777" w:rsidR="00135513" w:rsidRPr="00135513" w:rsidRDefault="00135513" w:rsidP="00127334">
      <w:pPr>
        <w:spacing w:after="120" w:line="276" w:lineRule="auto"/>
        <w:jc w:val="both"/>
        <w:rPr>
          <w:rFonts w:ascii="Verdana" w:hAnsi="Verdana"/>
        </w:rPr>
      </w:pPr>
      <w:r w:rsidRPr="00135513">
        <w:rPr>
          <w:rFonts w:ascii="Verdana" w:hAnsi="Verdana"/>
        </w:rPr>
        <w:tab/>
        <w:t>Dicha facultad encuentra respaldo en el artículo 209 de la Constitución Política, que impone a las autoridades administrativas el deber de coordinar sus actuaciones para el cumplimiento adecuado de los fines del Estado. A su vez, el artículo 315, numeral 1, del mismo texto superior, atribuye a los alcaldes, en su calidad de jefes de la administración municipal, la responsabilidad de garantizar la prestación eficiente de los servicios públicos a cargo del municipio, así como de cumplir y hacer cumplir la Constitución, las leyes, los decretos y las ordenanzas.</w:t>
      </w:r>
    </w:p>
    <w:p w14:paraId="00079CC9" w14:textId="77777777" w:rsidR="00135513" w:rsidRPr="00135513" w:rsidRDefault="00135513" w:rsidP="00127334">
      <w:pPr>
        <w:spacing w:after="120" w:line="276" w:lineRule="auto"/>
        <w:jc w:val="both"/>
        <w:rPr>
          <w:rFonts w:ascii="Verdana" w:hAnsi="Verdana"/>
        </w:rPr>
      </w:pPr>
      <w:r w:rsidRPr="00135513">
        <w:rPr>
          <w:rFonts w:ascii="Verdana" w:hAnsi="Verdana"/>
        </w:rPr>
        <w:tab/>
        <w:t>De igual manera, conforme al artículo 1° de la Ley 489 de 1998, la administración pública debe garantizar la prestación continua de los servicios a su cargo, así como la atención eficiente de las necesidades operativas en las distintas dependencias de la entidad. En ese sentido, resulta jurídicamente viable y administrativamente conveniente que, en el marco de procesos de selección que revistan especial importancia o urgencia para los intereses de la comunidad, las autoridades competentes hagan uso de la facultad de habilitar días no laborables —como el sábado— para agilizar la gestión contractual.</w:t>
      </w:r>
    </w:p>
    <w:p w14:paraId="3F168CF5" w14:textId="77777777" w:rsidR="00135513" w:rsidRDefault="00135513" w:rsidP="00127334">
      <w:pPr>
        <w:spacing w:after="120" w:line="276" w:lineRule="auto"/>
        <w:jc w:val="both"/>
        <w:rPr>
          <w:rFonts w:ascii="Verdana" w:hAnsi="Verdana"/>
        </w:rPr>
      </w:pPr>
      <w:r w:rsidRPr="00135513">
        <w:rPr>
          <w:rFonts w:ascii="Verdana" w:hAnsi="Verdana"/>
        </w:rPr>
        <w:tab/>
        <w:t>No obstante, el ejercicio de dicha facultad debe observar condiciones mínimas de validez y eficacia, entre ellas, la adecuada publicidad de la decisión adoptada y su comunicación efectiva a todos los partícipes actuales o potenciales del proceso de selección, en aras de preservar los principios de transparencia, igualdad y selección objetiva que rigen la contratación estatal.</w:t>
      </w:r>
    </w:p>
    <w:p w14:paraId="2DC4E5EB" w14:textId="18BE6C97" w:rsidR="00862E7C" w:rsidRPr="003E2347" w:rsidRDefault="00481B84" w:rsidP="00A660D5">
      <w:pPr>
        <w:spacing w:before="120" w:line="276" w:lineRule="auto"/>
        <w:jc w:val="both"/>
        <w:rPr>
          <w:rFonts w:ascii="Verdana" w:hAnsi="Verdana" w:cs="Arial"/>
          <w:color w:val="000000" w:themeColor="text1"/>
        </w:rPr>
      </w:pPr>
      <w:r>
        <w:rPr>
          <w:rFonts w:ascii="Verdana" w:hAnsi="Verdana"/>
        </w:rPr>
        <w:t>iii.</w:t>
      </w:r>
      <w:r w:rsidR="00862E7C" w:rsidRPr="00862E7C">
        <w:rPr>
          <w:rFonts w:ascii="Verdana" w:eastAsia="Calibri" w:hAnsi="Verdana" w:cs="Arial"/>
          <w:color w:val="000000" w:themeColor="text1"/>
        </w:rPr>
        <w:t xml:space="preserve"> </w:t>
      </w:r>
      <w:r w:rsidR="00862E7C" w:rsidRPr="003E2347">
        <w:rPr>
          <w:rFonts w:ascii="Verdana" w:eastAsia="Calibri" w:hAnsi="Verdana" w:cs="Arial"/>
          <w:color w:val="000000" w:themeColor="text1"/>
        </w:rPr>
        <w:t xml:space="preserve">De otra parte, en cuanto a </w:t>
      </w:r>
      <w:r w:rsidR="00862E7C" w:rsidRPr="003E2347">
        <w:rPr>
          <w:rFonts w:ascii="Verdana" w:hAnsi="Verdana" w:cs="Arial"/>
          <w:color w:val="000000" w:themeColor="text1"/>
        </w:rPr>
        <w:t>las garantías en la contratación estatal, ha de tenerse en cuenta que el Estatuto General de Contratación de la Administración Pública, por regla general, para seleccionar los contratistas y para ejecutar los contratos se requiere la constitución de garantías.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r w:rsidR="00862E7C">
        <w:rPr>
          <w:rFonts w:ascii="Verdana" w:hAnsi="Verdana" w:cs="Arial"/>
          <w:color w:val="000000" w:themeColor="text1"/>
        </w:rPr>
        <w:t xml:space="preserve"> En concordancia con esto, el segundo inciso del artículo 41 de la Ley 80 de 1993, establece la aprobación de la garantía de cumplimiento como un requisito de ejecución del contrato, de manera tal, que </w:t>
      </w:r>
      <w:r w:rsidR="00600A2D">
        <w:rPr>
          <w:rFonts w:ascii="Verdana" w:hAnsi="Verdana" w:cs="Arial"/>
          <w:color w:val="000000" w:themeColor="text1"/>
        </w:rPr>
        <w:t>no es posible comenzar a ejecu</w:t>
      </w:r>
      <w:r w:rsidR="00C242FE">
        <w:rPr>
          <w:rFonts w:ascii="Verdana" w:hAnsi="Verdana" w:cs="Arial"/>
          <w:color w:val="000000" w:themeColor="text1"/>
        </w:rPr>
        <w:t xml:space="preserve">tarlos, hasta que no se haya verificado el cumplimiento de las condiciones mínimas de suficiencia establecidas en el reglamento. </w:t>
      </w:r>
    </w:p>
    <w:p w14:paraId="75B5419C" w14:textId="77777777" w:rsidR="00862E7C" w:rsidRPr="003E2347" w:rsidRDefault="00862E7C" w:rsidP="00862E7C">
      <w:pPr>
        <w:spacing w:before="120" w:line="276" w:lineRule="auto"/>
        <w:ind w:firstLine="708"/>
        <w:jc w:val="both"/>
        <w:rPr>
          <w:rFonts w:ascii="Verdana" w:hAnsi="Verdana" w:cs="Arial"/>
          <w:color w:val="000000" w:themeColor="text1"/>
        </w:rPr>
      </w:pPr>
      <w:r w:rsidRPr="003E2347">
        <w:rPr>
          <w:rFonts w:ascii="Verdana" w:hAnsi="Verdana" w:cs="Arial"/>
          <w:lang w:val="es-MX"/>
        </w:rPr>
        <w:t xml:space="preserve">Las condiciones en las que debe cumplirse esta obligación fueron reglamentadas por el Decreto 1082 de 2015, el cual entre sus artículos 2.2.1.2.3.1.1. y 2.2.1.2.3.1.19 se refiere a asuntos como las clases de garantías permitidas, la indivisibilidad de estas, los diferentes riesgos que deben ser objeto de garantía, la vigencia y valores mínimos que deben cubrir los amparos, entre otros aspectos que debe cumplir las garantías constituidas por los contratistas ya sea a través de pólizas de seguro, garantías bancarías o patrimonios autónomos. </w:t>
      </w:r>
    </w:p>
    <w:p w14:paraId="45A2E453" w14:textId="77777777" w:rsidR="00862E7C" w:rsidRPr="003E2347" w:rsidRDefault="00862E7C" w:rsidP="00862E7C">
      <w:pPr>
        <w:spacing w:before="120" w:line="276" w:lineRule="auto"/>
        <w:ind w:firstLine="708"/>
        <w:jc w:val="both"/>
        <w:rPr>
          <w:rFonts w:ascii="Verdana" w:hAnsi="Verdana" w:cs="Arial"/>
          <w:color w:val="000000" w:themeColor="text1"/>
        </w:rPr>
      </w:pPr>
      <w:r w:rsidRPr="003E2347">
        <w:rPr>
          <w:rFonts w:ascii="Verdana" w:eastAsia="Calibri" w:hAnsi="Verdana" w:cs="Arial"/>
          <w:lang w:val="es-ES_tradnl"/>
        </w:rPr>
        <w:t xml:space="preserve">De acuerdo a </w:t>
      </w:r>
      <w:r>
        <w:rPr>
          <w:rFonts w:ascii="Verdana" w:eastAsia="Calibri" w:hAnsi="Verdana" w:cs="Arial"/>
          <w:lang w:val="es-ES_tradnl"/>
        </w:rPr>
        <w:t>con esto</w:t>
      </w:r>
      <w:r w:rsidRPr="003E2347">
        <w:rPr>
          <w:rFonts w:ascii="Verdana" w:eastAsia="Calibri" w:hAnsi="Verdana" w:cs="Arial"/>
          <w:lang w:val="es-ES_tradnl"/>
        </w:rPr>
        <w:t>, l</w:t>
      </w:r>
      <w:r w:rsidRPr="003E2347">
        <w:rPr>
          <w:rFonts w:ascii="Verdana" w:hAnsi="Verdana" w:cs="Arial"/>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3E2347">
        <w:rPr>
          <w:rFonts w:ascii="Verdana" w:eastAsia="Calibri" w:hAnsi="Verdana" w:cs="Arial"/>
        </w:rPr>
        <w:t xml:space="preserve">para amparar los riesgos contractuales; </w:t>
      </w:r>
      <w:r w:rsidRPr="003E2347">
        <w:rPr>
          <w:rFonts w:ascii="Verdana" w:hAnsi="Verdana" w:cs="Arial"/>
        </w:rPr>
        <w:t>ii)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w:t>
      </w:r>
      <w:r w:rsidRPr="00907E99">
        <w:rPr>
          <w:rStyle w:val="Refdenotaalpie"/>
          <w:rFonts w:ascii="Verdana" w:hAnsi="Verdana" w:cs="Arial"/>
        </w:rPr>
        <w:footnoteReference w:id="15"/>
      </w:r>
      <w:r w:rsidRPr="003E2347">
        <w:rPr>
          <w:rFonts w:ascii="Verdana" w:hAnsi="Verdana" w:cs="Arial"/>
        </w:rPr>
        <w:t xml:space="preserve">;  iii) garantías bancarias o cartas de crédito </w:t>
      </w:r>
      <w:r w:rsidRPr="003E2347">
        <w:rPr>
          <w:rFonts w:ascii="Verdana" w:hAnsi="Verdana" w:cs="Arial"/>
          <w:i/>
          <w:iCs/>
        </w:rPr>
        <w:t>stand</w:t>
      </w:r>
      <w:r w:rsidRPr="003E2347">
        <w:rPr>
          <w:rFonts w:ascii="Verdana" w:hAnsi="Verdana" w:cs="Arial"/>
        </w:rPr>
        <w:t xml:space="preserve"> </w:t>
      </w:r>
      <w:proofErr w:type="spellStart"/>
      <w:r w:rsidRPr="003E2347">
        <w:rPr>
          <w:rFonts w:ascii="Verdana" w:hAnsi="Verdana" w:cs="Arial"/>
          <w:i/>
          <w:iCs/>
        </w:rPr>
        <w:t>by</w:t>
      </w:r>
      <w:proofErr w:type="spellEnd"/>
      <w:r w:rsidRPr="003E2347">
        <w:rPr>
          <w:rFonts w:ascii="Verdana" w:hAnsi="Verdana" w:cs="Arial"/>
        </w:rPr>
        <w:t>, que consisten en compromisos irrevocables o incondicionales asumidos por una entidad financiera de pagar una suma determinada de dinero</w:t>
      </w:r>
      <w:r w:rsidRPr="00907E99">
        <w:rPr>
          <w:rStyle w:val="Refdenotaalpie"/>
          <w:rFonts w:ascii="Verdana" w:hAnsi="Verdana" w:cs="Arial"/>
        </w:rPr>
        <w:footnoteReference w:id="16"/>
      </w:r>
      <w:r w:rsidRPr="003E2347">
        <w:rPr>
          <w:rFonts w:ascii="Verdana" w:hAnsi="Verdana" w:cs="Arial"/>
        </w:rPr>
        <w:t>. La suficiencia y la vigencia de las garantías deben ser las reguladas en los artículos 2.2.1.2.3.1.9 a 2.2.1.2.3.1.16 del Decreto 1082 de 2015.</w:t>
      </w:r>
    </w:p>
    <w:p w14:paraId="151E184D" w14:textId="63E632D2" w:rsidR="00862E7C" w:rsidRDefault="00862E7C" w:rsidP="00862E7C">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Con todo, en respuesta a</w:t>
      </w:r>
      <w:r w:rsidR="00C242FE">
        <w:rPr>
          <w:rFonts w:ascii="Verdana" w:eastAsia="Calibri" w:hAnsi="Verdana" w:cs="Arial"/>
          <w:color w:val="000000" w:themeColor="text1"/>
        </w:rPr>
        <w:t>l s</w:t>
      </w:r>
      <w:r w:rsidR="00713D4F">
        <w:rPr>
          <w:rFonts w:ascii="Verdana" w:eastAsia="Calibri" w:hAnsi="Verdana" w:cs="Arial"/>
          <w:color w:val="000000" w:themeColor="text1"/>
        </w:rPr>
        <w:t>e</w:t>
      </w:r>
      <w:r w:rsidR="00C242FE">
        <w:rPr>
          <w:rFonts w:ascii="Verdana" w:eastAsia="Calibri" w:hAnsi="Verdana" w:cs="Arial"/>
          <w:color w:val="000000" w:themeColor="text1"/>
        </w:rPr>
        <w:t>gundo interrogante planteado</w:t>
      </w:r>
      <w:r w:rsidR="00713D4F">
        <w:rPr>
          <w:rFonts w:ascii="Verdana" w:eastAsia="Calibri" w:hAnsi="Verdana" w:cs="Arial"/>
          <w:color w:val="000000" w:themeColor="text1"/>
        </w:rPr>
        <w:t xml:space="preserve"> se</w:t>
      </w:r>
      <w:r w:rsidR="00C242FE">
        <w:rPr>
          <w:rFonts w:ascii="Verdana" w:eastAsia="Calibri" w:hAnsi="Verdana" w:cs="Arial"/>
          <w:color w:val="000000" w:themeColor="text1"/>
        </w:rPr>
        <w:t xml:space="preserve"> </w:t>
      </w:r>
      <w:r>
        <w:rPr>
          <w:rFonts w:ascii="Verdana" w:eastAsia="Calibri" w:hAnsi="Verdana" w:cs="Arial"/>
          <w:color w:val="000000" w:themeColor="text1"/>
        </w:rPr>
        <w:t xml:space="preserve">debe indicar </w:t>
      </w:r>
      <w:r w:rsidR="00713D4F">
        <w:rPr>
          <w:rFonts w:ascii="Verdana" w:eastAsia="Calibri" w:hAnsi="Verdana" w:cs="Arial"/>
          <w:color w:val="000000" w:themeColor="text1"/>
        </w:rPr>
        <w:t>que este</w:t>
      </w:r>
      <w:r>
        <w:rPr>
          <w:rFonts w:ascii="Verdana" w:eastAsia="Calibri" w:hAnsi="Verdana" w:cs="Arial"/>
          <w:color w:val="000000" w:themeColor="text1"/>
        </w:rPr>
        <w:t xml:space="preserve"> régimen de garantías aplica respecto de los contratos sometidos al Estatuto General de Contratación de la Administración Pública. Esto significa que, estas regulaciones no resultan </w:t>
      </w:r>
      <w:r w:rsidRPr="006D4859">
        <w:rPr>
          <w:rFonts w:ascii="Verdana" w:eastAsia="Calibri" w:hAnsi="Verdana" w:cs="Arial"/>
          <w:i/>
          <w:iCs/>
          <w:color w:val="000000" w:themeColor="text1"/>
        </w:rPr>
        <w:t>per se</w:t>
      </w:r>
      <w:r>
        <w:rPr>
          <w:rFonts w:ascii="Verdana" w:eastAsia="Calibri" w:hAnsi="Verdana" w:cs="Arial"/>
          <w:i/>
          <w:iCs/>
          <w:color w:val="000000" w:themeColor="text1"/>
        </w:rPr>
        <w:t xml:space="preserve"> </w:t>
      </w:r>
      <w:r>
        <w:rPr>
          <w:rFonts w:ascii="Verdana" w:eastAsia="Calibri" w:hAnsi="Verdana" w:cs="Arial"/>
          <w:color w:val="000000" w:themeColor="text1"/>
        </w:rPr>
        <w:t xml:space="preserve">aplicables a las entidades estatales que, como los entes </w:t>
      </w:r>
      <w:r w:rsidR="00713D4F">
        <w:rPr>
          <w:rFonts w:ascii="Verdana" w:eastAsia="Calibri" w:hAnsi="Verdana" w:cs="Arial"/>
          <w:color w:val="000000" w:themeColor="text1"/>
        </w:rPr>
        <w:t>empresas sociales del estado</w:t>
      </w:r>
      <w:r>
        <w:rPr>
          <w:rFonts w:ascii="Verdana" w:eastAsia="Calibri" w:hAnsi="Verdana" w:cs="Arial"/>
          <w:color w:val="000000" w:themeColor="text1"/>
        </w:rPr>
        <w:t>, están sometidas a regímenes especiales,</w:t>
      </w:r>
      <w:r w:rsidR="00713D4F">
        <w:rPr>
          <w:rFonts w:ascii="Verdana" w:eastAsia="Calibri" w:hAnsi="Verdana" w:cs="Arial"/>
          <w:color w:val="000000" w:themeColor="text1"/>
        </w:rPr>
        <w:t xml:space="preserve"> quienes</w:t>
      </w:r>
      <w:r>
        <w:rPr>
          <w:rFonts w:ascii="Verdana" w:eastAsia="Calibri" w:hAnsi="Verdana" w:cs="Arial"/>
          <w:color w:val="000000" w:themeColor="text1"/>
        </w:rPr>
        <w:t xml:space="preserve"> están llamadas a aplicar los mecanismos de cobertura del riesgo que resulten pertinentes de acuerdo con lo establecidos en estatuto interno de contratación.</w:t>
      </w:r>
    </w:p>
    <w:p w14:paraId="6893F059" w14:textId="7A60EAC1" w:rsidR="00713D4F" w:rsidRPr="00A660D5" w:rsidRDefault="00713D4F" w:rsidP="00862E7C">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Sin perjuicio de lo anterior,</w:t>
      </w:r>
      <w:r w:rsidRPr="00713D4F">
        <w:rPr>
          <w:rFonts w:ascii="Verdana" w:eastAsia="Calibri" w:hAnsi="Verdana" w:cs="Arial"/>
          <w:color w:val="000000" w:themeColor="text1"/>
        </w:rPr>
        <w:t xml:space="preserve"> debe </w:t>
      </w:r>
      <w:r>
        <w:rPr>
          <w:rFonts w:ascii="Verdana" w:eastAsia="Calibri" w:hAnsi="Verdana" w:cs="Arial"/>
          <w:color w:val="000000" w:themeColor="text1"/>
        </w:rPr>
        <w:t xml:space="preserve">señalarse </w:t>
      </w:r>
      <w:r w:rsidRPr="00713D4F">
        <w:rPr>
          <w:rFonts w:ascii="Verdana" w:eastAsia="Calibri" w:hAnsi="Verdana" w:cs="Arial"/>
          <w:color w:val="000000" w:themeColor="text1"/>
        </w:rPr>
        <w:t xml:space="preserve">que, si bien los procesos de entidades de régimen especial no están cobijados por los artículos 7 de la Ley 1150 de 2007, ni el artículo 41 de la Ley 80 de 1993 o lo reglamentado en el Decreto 1082 de 2015, si resulta recomendable que las regulaciones que se establezcan en los manuales o reglamentos </w:t>
      </w:r>
      <w:r w:rsidR="00FE1014" w:rsidRPr="00713D4F">
        <w:rPr>
          <w:rFonts w:ascii="Verdana" w:eastAsia="Calibri" w:hAnsi="Verdana" w:cs="Arial"/>
          <w:color w:val="000000" w:themeColor="text1"/>
        </w:rPr>
        <w:t>internos</w:t>
      </w:r>
      <w:r w:rsidRPr="00713D4F">
        <w:rPr>
          <w:rFonts w:ascii="Verdana" w:eastAsia="Calibri" w:hAnsi="Verdana" w:cs="Arial"/>
          <w:color w:val="000000" w:themeColor="text1"/>
        </w:rPr>
        <w:t xml:space="preserve"> contemplen la exigencia de garantías como una condición para iniciar la ejecución de contratos. Esto como una medida para garantizar que la ejecución de los recursos públicos asociados al contrato se realice con garantizando los principios de la función administrativa y la gestión, los cuales también irradian la gestión contractual de las Entidades Estatales.</w:t>
      </w:r>
    </w:p>
    <w:p w14:paraId="3E96F4C6" w14:textId="77777777" w:rsidR="00862E7C" w:rsidRDefault="00862E7C" w:rsidP="00862E7C">
      <w:pPr>
        <w:spacing w:after="120" w:line="276" w:lineRule="auto"/>
        <w:ind w:firstLine="708"/>
        <w:jc w:val="both"/>
        <w:rPr>
          <w:rFonts w:ascii="Verdana" w:eastAsia="Calibri" w:hAnsi="Verdana" w:cs="Arial"/>
        </w:rPr>
      </w:pPr>
      <w:r>
        <w:rPr>
          <w:rFonts w:ascii="Verdana" w:eastAsia="Calibri" w:hAnsi="Verdana" w:cs="Arial"/>
          <w:color w:val="000000" w:themeColor="text1"/>
          <w:lang w:val="es-ES_tradnl"/>
        </w:rPr>
        <w:t>Al respecto, es importante tener en cuenta</w:t>
      </w:r>
      <w:r>
        <w:rPr>
          <w:rFonts w:ascii="Verdana" w:eastAsia="Calibri" w:hAnsi="Verdana" w:cs="Arial"/>
        </w:rPr>
        <w:t xml:space="preserve"> que</w:t>
      </w:r>
      <w:r w:rsidRPr="00BE4E34">
        <w:rPr>
          <w:rFonts w:ascii="Verdana" w:eastAsia="Calibri" w:hAnsi="Verdana" w:cs="Arial"/>
        </w:rPr>
        <w:t>, frente a la</w:t>
      </w:r>
      <w:r>
        <w:rPr>
          <w:rFonts w:ascii="Verdana" w:eastAsia="Calibri" w:hAnsi="Verdana" w:cs="Arial"/>
        </w:rPr>
        <w:t xml:space="preserve"> implementación de mecanismos de cobertura del riesgo como el contrato de seguro, su aplicación por parte de entidades de régimen especial implica ciertas distinciones en comparación con el régimen de contratación general. Por ejemplo, para la </w:t>
      </w:r>
      <w:r w:rsidRPr="00BE4E34">
        <w:rPr>
          <w:rFonts w:ascii="Verdana" w:eastAsia="Calibri" w:hAnsi="Verdana" w:cs="Arial"/>
        </w:rPr>
        <w:t>declaratoria del siniestro que da lugar al cobro de la póliza de cumplimiento, las entidades de régimen especial debe</w:t>
      </w:r>
      <w:r>
        <w:rPr>
          <w:rFonts w:ascii="Verdana" w:eastAsia="Calibri" w:hAnsi="Verdana" w:cs="Arial"/>
        </w:rPr>
        <w:t>n</w:t>
      </w:r>
      <w:r w:rsidRPr="00BE4E34">
        <w:rPr>
          <w:rFonts w:ascii="Verdana" w:eastAsia="Calibri" w:hAnsi="Verdana" w:cs="Arial"/>
        </w:rPr>
        <w:t xml:space="preserve"> seguir las normas del Código de Comercio. Sobre el particular este establece en su artículo 1077 que le corresponde al asegurado demostrar la ocurrencia del siniestro, así como la cuantía de la pérdida. </w:t>
      </w:r>
      <w:r>
        <w:rPr>
          <w:rFonts w:ascii="Verdana" w:eastAsia="Calibri" w:hAnsi="Verdana" w:cs="Arial"/>
        </w:rPr>
        <w:t>Esto resulta particularmente relevante, considerando que, de acuerdo con lo antes explicado,</w:t>
      </w:r>
      <w:r w:rsidRPr="00BE4E34">
        <w:rPr>
          <w:rFonts w:ascii="Verdana" w:eastAsia="Calibri" w:hAnsi="Verdana" w:cs="Arial"/>
        </w:rPr>
        <w:t xml:space="preserve"> </w:t>
      </w:r>
      <w:r>
        <w:rPr>
          <w:rFonts w:ascii="Verdana" w:eastAsia="Calibri" w:hAnsi="Verdana" w:cs="Arial"/>
        </w:rPr>
        <w:t xml:space="preserve">las entidades estatales de régimen especial no tienen la posibilidad de </w:t>
      </w:r>
      <w:r w:rsidRPr="00BE4E34">
        <w:rPr>
          <w:rFonts w:ascii="Verdana" w:eastAsia="Calibri" w:hAnsi="Verdana" w:cs="Arial"/>
        </w:rPr>
        <w:t xml:space="preserve">expedir actos administrativos </w:t>
      </w:r>
      <w:r>
        <w:rPr>
          <w:rFonts w:ascii="Verdana" w:eastAsia="Calibri" w:hAnsi="Verdana" w:cs="Arial"/>
        </w:rPr>
        <w:t>tendientes</w:t>
      </w:r>
      <w:r w:rsidRPr="00BE4E34">
        <w:rPr>
          <w:rFonts w:ascii="Verdana" w:eastAsia="Calibri" w:hAnsi="Verdana" w:cs="Arial"/>
        </w:rPr>
        <w:t xml:space="preserve"> declarar el incumplimiento</w:t>
      </w:r>
      <w:r>
        <w:rPr>
          <w:rFonts w:ascii="Verdana" w:eastAsia="Calibri" w:hAnsi="Verdana" w:cs="Arial"/>
        </w:rPr>
        <w:t>, materializar el siniestro</w:t>
      </w:r>
      <w:r w:rsidRPr="00BE4E34">
        <w:rPr>
          <w:rFonts w:ascii="Verdana" w:eastAsia="Calibri" w:hAnsi="Verdana" w:cs="Arial"/>
        </w:rPr>
        <w:t xml:space="preserve"> y hacer efectivo el amparo de la póliza del seguro de cumplimiento.</w:t>
      </w:r>
      <w:r>
        <w:rPr>
          <w:rFonts w:ascii="Verdana" w:eastAsia="Calibri" w:hAnsi="Verdana" w:cs="Arial"/>
        </w:rPr>
        <w:t xml:space="preserve"> </w:t>
      </w:r>
    </w:p>
    <w:p w14:paraId="40392F9D" w14:textId="77777777" w:rsidR="00862E7C" w:rsidRPr="005C280F" w:rsidRDefault="00862E7C" w:rsidP="00862E7C">
      <w:pPr>
        <w:spacing w:after="120" w:line="276" w:lineRule="auto"/>
        <w:ind w:firstLine="708"/>
        <w:jc w:val="both"/>
        <w:rPr>
          <w:rFonts w:ascii="Verdana" w:eastAsia="Calibri" w:hAnsi="Verdana" w:cs="Arial"/>
        </w:rPr>
      </w:pPr>
      <w:r w:rsidRPr="00BE4E34">
        <w:rPr>
          <w:rFonts w:ascii="Verdana" w:eastAsia="Calibri" w:hAnsi="Verdana" w:cs="Arial"/>
        </w:rPr>
        <w:t>Para ello, conforme lo establece el artículo 1075 de Código de Comercio, el asegurado o el beneficiario estarán obligados a dar noticia al asegurador de la ocurrencia del siniestro, dentro de los tres días siguientes a la fecha en que lo hayan conocido o debido conocer. La compañía aseguradora podrá tomar a su cargo el cumplimiento del contrato sustituyendo al contratista por otro que d</w:t>
      </w:r>
      <w:r>
        <w:rPr>
          <w:rFonts w:ascii="Verdana" w:eastAsia="Calibri" w:hAnsi="Verdana" w:cs="Arial"/>
        </w:rPr>
        <w:t>é</w:t>
      </w:r>
      <w:r w:rsidRPr="00BE4E34">
        <w:rPr>
          <w:rFonts w:ascii="Verdana" w:eastAsia="Calibri" w:hAnsi="Verdana" w:cs="Arial"/>
        </w:rPr>
        <w:t xml:space="preserve"> cumplimiento a los derechos y obligaciones derivados del contrato asegurado.</w:t>
      </w:r>
      <w:r>
        <w:rPr>
          <w:rFonts w:ascii="Verdana" w:eastAsia="Calibri" w:hAnsi="Verdana" w:cs="Arial"/>
        </w:rPr>
        <w:t xml:space="preserve"> </w:t>
      </w:r>
      <w:r w:rsidRPr="00BE4E34">
        <w:rPr>
          <w:rFonts w:ascii="Verdana" w:eastAsia="Calibri" w:hAnsi="Verdana" w:cs="Arial"/>
        </w:rPr>
        <w:t>En caso de que la reclamación sea objetada por parte de la compañía de seguros, la entidad deberá acudir al juez del contrato mediante la acción de responsabilidad civil contractual contra la contratista, vinculando como tercero civilmente responsable a la aseguradora. De esta manera, en caso de que el contratista sea condenado, el juez podrá ordenar a la aseguradora el pago de los perjuicios hasta el monto pactado como valor asegurado.</w:t>
      </w:r>
    </w:p>
    <w:p w14:paraId="78F66718" w14:textId="77E0753D" w:rsidR="00481B84" w:rsidRDefault="00862E7C" w:rsidP="00A660D5">
      <w:pPr>
        <w:spacing w:after="0" w:line="276" w:lineRule="auto"/>
        <w:ind w:firstLine="708"/>
        <w:jc w:val="both"/>
        <w:rPr>
          <w:rFonts w:ascii="Verdana" w:hAnsi="Verdana"/>
        </w:rPr>
      </w:pPr>
      <w:r>
        <w:rPr>
          <w:rFonts w:ascii="Verdana" w:eastAsia="Calibri" w:hAnsi="Verdana" w:cs="Arial"/>
        </w:rPr>
        <w:t xml:space="preserve">Sin perjuicio de lo anterior, en el marco de la discrecionalidad que les asiste para configurar el contenidas en sus manuales de contratación, los órganos de decisión que al interior de dichas entidades tengan la competencia para establecer el estatuto interno o manual de contratación, pueden optar por establecer mecanismos de cobertura del riesgos similares a los establecidos por el artículo 7 de la Ley 1150 de 2007 o incorporar los consideren adecuados a los negocios jurídicos que suscriben. De cualquier modo, los mecanismos que adopten deberán necesariamente enmarcarse en el derecho privado,  </w:t>
      </w:r>
    </w:p>
    <w:p w14:paraId="7B267B14" w14:textId="77777777" w:rsidR="009F3608" w:rsidRDefault="009F3608" w:rsidP="00A660D5">
      <w:pPr>
        <w:spacing w:after="0" w:line="276" w:lineRule="auto"/>
        <w:jc w:val="both"/>
        <w:rPr>
          <w:rFonts w:ascii="Verdana" w:hAnsi="Verdana"/>
        </w:rPr>
      </w:pPr>
    </w:p>
    <w:p w14:paraId="2F8E9AC0" w14:textId="279131EB" w:rsidR="009F3608" w:rsidRPr="00191DE0" w:rsidRDefault="009F3608" w:rsidP="00127334">
      <w:pPr>
        <w:spacing w:after="120" w:line="276" w:lineRule="auto"/>
        <w:jc w:val="both"/>
        <w:rPr>
          <w:rFonts w:ascii="Verdana" w:hAnsi="Verdana"/>
          <w:b/>
          <w:bCs/>
        </w:rPr>
      </w:pPr>
      <w:r w:rsidRPr="00191DE0">
        <w:rPr>
          <w:rFonts w:ascii="Verdana" w:hAnsi="Verdana"/>
          <w:b/>
          <w:bCs/>
        </w:rPr>
        <w:t xml:space="preserve">4. Referencias normativas y jurisprudenciales: </w:t>
      </w:r>
    </w:p>
    <w:p w14:paraId="0A40E5C7" w14:textId="5F6065CC" w:rsidR="002A5EBD" w:rsidRPr="00FE1014" w:rsidRDefault="00511063"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Constitución Política </w:t>
      </w:r>
      <w:r w:rsidR="00035F0F" w:rsidRPr="00FE1014">
        <w:rPr>
          <w:rFonts w:ascii="Verdana" w:hAnsi="Verdana"/>
        </w:rPr>
        <w:t>de 199</w:t>
      </w:r>
      <w:r w:rsidR="00F54EAF" w:rsidRPr="00FE1014">
        <w:rPr>
          <w:rFonts w:ascii="Verdana" w:hAnsi="Verdana"/>
        </w:rPr>
        <w:t xml:space="preserve">1, artículos 209 y numeral 1 del artículo 315. </w:t>
      </w:r>
    </w:p>
    <w:p w14:paraId="5891747A" w14:textId="143702AA" w:rsidR="00127334" w:rsidRPr="00FE1014" w:rsidRDefault="008C32DB"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Ley 80 de 1993, artículo </w:t>
      </w:r>
      <w:r w:rsidR="00EF5EC8" w:rsidRPr="00FE1014">
        <w:rPr>
          <w:rFonts w:ascii="Verdana" w:hAnsi="Verdana"/>
        </w:rPr>
        <w:t>41.</w:t>
      </w:r>
    </w:p>
    <w:p w14:paraId="69AF4250" w14:textId="0291B706" w:rsidR="00127334" w:rsidRPr="00FE1014" w:rsidRDefault="008C32DB"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Ley 4 de 1913, artículos 59 y 62. </w:t>
      </w:r>
    </w:p>
    <w:p w14:paraId="123126A9" w14:textId="561035A8" w:rsidR="00127334" w:rsidRPr="00FE1014" w:rsidRDefault="008C32DB"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Ley 1437 de 2011, artículo </w:t>
      </w:r>
      <w:r w:rsidR="00FE258B" w:rsidRPr="00FE1014">
        <w:rPr>
          <w:rFonts w:ascii="Verdana" w:hAnsi="Verdana"/>
        </w:rPr>
        <w:t xml:space="preserve">7. </w:t>
      </w:r>
    </w:p>
    <w:p w14:paraId="54D08CDC" w14:textId="1EA29F92" w:rsidR="00127334" w:rsidRPr="00FE1014" w:rsidRDefault="00C0052F"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Ley 1150 de 20</w:t>
      </w:r>
      <w:r w:rsidR="00CB6F3F" w:rsidRPr="00FE1014">
        <w:rPr>
          <w:rFonts w:ascii="Verdana" w:hAnsi="Verdana"/>
        </w:rPr>
        <w:t xml:space="preserve">07, </w:t>
      </w:r>
      <w:r w:rsidR="002F12B6" w:rsidRPr="00FE1014">
        <w:rPr>
          <w:rFonts w:ascii="Verdana" w:hAnsi="Verdana"/>
        </w:rPr>
        <w:t xml:space="preserve">artículo </w:t>
      </w:r>
      <w:r w:rsidR="00EF5EC8" w:rsidRPr="00FE1014">
        <w:rPr>
          <w:rFonts w:ascii="Verdana" w:hAnsi="Verdana"/>
        </w:rPr>
        <w:t>7</w:t>
      </w:r>
      <w:r w:rsidR="00127334" w:rsidRPr="00FE1014">
        <w:rPr>
          <w:rFonts w:ascii="Verdana" w:hAnsi="Verdana"/>
        </w:rPr>
        <w:t>.</w:t>
      </w:r>
    </w:p>
    <w:p w14:paraId="4A995993" w14:textId="194F0E5F" w:rsidR="00127334" w:rsidRPr="00FE1014" w:rsidRDefault="00F5675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Ley 1523 de 2012, artículo </w:t>
      </w:r>
      <w:r w:rsidR="00AF7D4C" w:rsidRPr="00FE1014">
        <w:rPr>
          <w:rFonts w:ascii="Verdana" w:hAnsi="Verdana"/>
        </w:rPr>
        <w:t>66.</w:t>
      </w:r>
    </w:p>
    <w:p w14:paraId="4E06FCE1" w14:textId="77777777" w:rsidR="00127334" w:rsidRPr="00FE1014" w:rsidRDefault="00FE258B"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Decreto 1082 de 2015, artículos </w:t>
      </w:r>
      <w:r w:rsidR="00191DE0" w:rsidRPr="00FE1014">
        <w:rPr>
          <w:rFonts w:ascii="Verdana" w:hAnsi="Verdana"/>
          <w:bCs/>
          <w:lang w:val="es-CO"/>
        </w:rPr>
        <w:t>2.2.1.1.2.1.3.</w:t>
      </w:r>
      <w:r w:rsidR="00E828F3" w:rsidRPr="00FE1014">
        <w:rPr>
          <w:rFonts w:ascii="Verdana" w:hAnsi="Verdana"/>
          <w:bCs/>
          <w:lang w:val="es-CO"/>
        </w:rPr>
        <w:t xml:space="preserve">, </w:t>
      </w:r>
      <w:r w:rsidR="005E78FA" w:rsidRPr="00FE1014">
        <w:rPr>
          <w:rFonts w:ascii="Verdana" w:hAnsi="Verdana"/>
          <w:bCs/>
        </w:rPr>
        <w:t>2.2.1.1.1.2.1, 2.2.1.1.1.6.1., 2.2.1.1.1.6.3.</w:t>
      </w:r>
    </w:p>
    <w:p w14:paraId="285310BC" w14:textId="70CA843E"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CONSEJO DE ESTADO. Sala Plena de lo Contencioso Administrativo. Sentencia del 12 de abril de 1978. C.P. Carlos Portocarrero Mutis. Exp. 355.</w:t>
      </w:r>
    </w:p>
    <w:p w14:paraId="0AEFB22B" w14:textId="3F515FBB"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  CONSEJO DE ESTADO. Sección Cuarta. Auto del 26 de febrero de 1983.</w:t>
      </w:r>
    </w:p>
    <w:p w14:paraId="6B458C6F" w14:textId="3BEEA63C"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CONSEJO DE ESTADO. Sala de lo Contencioso Administrativo. Sección Cuarta. Consejero Ponente: Enrique Low Murtra. Referencia: Radicación No. 10.174. Apelación del auto del tribunal de Caldas sobre impuestos de renta por el año de 1978. Bogotá, 29 de abril de 1983.</w:t>
      </w:r>
    </w:p>
    <w:p w14:paraId="643F2DEC" w14:textId="77777777"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CONSEJO DE ESTADO. Sección Tercera. Sentencia 18 de febrero de 2010. Rad: 11001-03-26-000-2009-00058-00(37004). CP: Enrique Gil Botero.</w:t>
      </w:r>
    </w:p>
    <w:p w14:paraId="63F3A8CF" w14:textId="77777777"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CONSEJO DE ESTADO. Sección Tercera. Radicado No. 45.607 del 24 de octubre de 2016. Consejera Ponente: María Nubia Velásquez Rico.</w:t>
      </w:r>
    </w:p>
    <w:p w14:paraId="15A00C48" w14:textId="77777777"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  DEPARTAMENTO ADMINISTRATIVO DE LA FUNCIÓN PÚBLICA. Concepto con Rad. 20196000060051 del 27 de febrero de 2019.</w:t>
      </w:r>
    </w:p>
    <w:p w14:paraId="3803DC08" w14:textId="77777777"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HINESTROSA FORERO, Fernando. Tratado de las Obligaciones II. De las fuentes de las obligaciones: el negocio jurídico. Volumen I. Bogotá: Universidad Externado de Colombia, 2015.</w:t>
      </w:r>
    </w:p>
    <w:p w14:paraId="603E97C7" w14:textId="5F6161C3"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eastAsia="Times New Roman" w:hAnsi="Verdana" w:cs="Arial"/>
        </w:rPr>
      </w:pPr>
      <w:r w:rsidRPr="00FE1014">
        <w:rPr>
          <w:rFonts w:ascii="Verdana" w:eastAsia="Times New Roman" w:hAnsi="Verdana" w:cs="Arial"/>
        </w:rPr>
        <w:t xml:space="preserve">MARÍN CORTÉS, Fabián G. Derecho de petición y procedimiento administrativo. 1a ed. Medellín: Librería Jurídica Sánchez R Ltda y Centro de Estudios de Derecho Administrativo, 2017. </w:t>
      </w:r>
    </w:p>
    <w:p w14:paraId="4F463BD3" w14:textId="77777777" w:rsidR="002571C4" w:rsidRDefault="002571C4" w:rsidP="002571C4">
      <w:pPr>
        <w:spacing w:after="120" w:line="276" w:lineRule="auto"/>
        <w:jc w:val="both"/>
        <w:rPr>
          <w:rFonts w:ascii="Verdana" w:hAnsi="Verdana"/>
        </w:rPr>
      </w:pPr>
    </w:p>
    <w:p w14:paraId="08F1CE6C" w14:textId="0FF9E42C" w:rsidR="002571C4" w:rsidRDefault="002571C4" w:rsidP="002571C4">
      <w:pPr>
        <w:spacing w:after="120" w:line="276" w:lineRule="auto"/>
        <w:jc w:val="both"/>
        <w:rPr>
          <w:rFonts w:ascii="Verdana" w:hAnsi="Verdana"/>
          <w:b/>
          <w:bCs/>
        </w:rPr>
      </w:pPr>
      <w:r w:rsidRPr="002A708E">
        <w:rPr>
          <w:rFonts w:ascii="Verdana" w:hAnsi="Verdana"/>
          <w:b/>
          <w:bCs/>
        </w:rPr>
        <w:t xml:space="preserve">5. Doctrina de la Agencia Nacional de Contratación Pública: </w:t>
      </w:r>
    </w:p>
    <w:p w14:paraId="4D218191" w14:textId="46CD9DF0" w:rsidR="007C703C" w:rsidRDefault="000728CE" w:rsidP="00A660D5">
      <w:pPr>
        <w:spacing w:after="120" w:line="276" w:lineRule="auto"/>
        <w:jc w:val="both"/>
        <w:rPr>
          <w:rFonts w:ascii="Verdana" w:eastAsia="Times New Roman" w:hAnsi="Verdana" w:cs="Arial"/>
          <w:bCs/>
          <w:kern w:val="2"/>
          <w:u w:val="single"/>
          <w:shd w:val="clear" w:color="auto" w:fill="FFFFFF"/>
          <w:lang w:eastAsia="es-ES_tradnl"/>
        </w:rPr>
      </w:pPr>
      <w:r w:rsidRPr="000728CE">
        <w:rPr>
          <w:rFonts w:ascii="Verdana" w:hAnsi="Verdana"/>
          <w:lang w:val="es-ES_tradnl"/>
        </w:rPr>
        <w:t xml:space="preserve">La Agencia Nacional de Contratación Pública – Colombia Compra Eficiente, en los Conceptos </w:t>
      </w:r>
      <w:r w:rsidRPr="000728CE">
        <w:rPr>
          <w:rFonts w:ascii="Verdana" w:hAnsi="Verdana"/>
          <w:lang w:val="es-ES"/>
        </w:rPr>
        <w:t>2201913000007955 del 27 de diciembre de 2019, C-115 del 24 de marzo de 2020, C-116 del 18 de febrero de 2020, C-168 del 31 de marzo de 2020, CU-003 del 24 de abril 2020, C-346 del 26 de mayo de 2020, C-637 del 28 de octubre de 2020 y C-176 del 6 de abril de 2022 se pronunció sobre las entidades estatales exceptuadas de aplicar el Estatuto General de Contratación de la Administración Pública, y, por tanto, sometidas a regímenes especiales de contratación</w:t>
      </w:r>
      <w:r w:rsidRPr="000728CE">
        <w:rPr>
          <w:rFonts w:ascii="Verdana" w:hAnsi="Verdana"/>
          <w:lang w:val="es-ES_tradnl"/>
        </w:rPr>
        <w:t>. En lo pertinente, las tesis desarrolladas en estos conceptos se reiteran a continuación y se complementa con algunas ideas relativas a la consulta realizada.</w:t>
      </w:r>
      <w:r>
        <w:rPr>
          <w:rFonts w:ascii="Verdana" w:hAnsi="Verdana"/>
          <w:lang w:val="es-ES_tradnl"/>
        </w:rPr>
        <w:t xml:space="preserve"> </w:t>
      </w:r>
      <w:r w:rsidR="00155E08" w:rsidRPr="00155E08">
        <w:rPr>
          <w:rFonts w:ascii="Verdana" w:hAnsi="Verdana"/>
        </w:rPr>
        <w:t>Sobre el cómputo de días hábiles en el marco de procesos de selección, esta Agencia emitió los conceptos C-135 del 28 de marzo de 2022 y C-271 del 4 de mayo de 2022</w:t>
      </w:r>
      <w:r w:rsidR="00155E08" w:rsidRPr="00155E08">
        <w:rPr>
          <w:rFonts w:ascii="Verdana" w:hAnsi="Verdana"/>
          <w:bCs/>
        </w:rPr>
        <w:t>.</w:t>
      </w:r>
      <w:r w:rsidR="000F0068">
        <w:rPr>
          <w:rFonts w:ascii="Verdana" w:eastAsia="Times New Roman" w:hAnsi="Verdana" w:cs="Arial"/>
          <w:bCs/>
          <w:kern w:val="2"/>
          <w:shd w:val="clear" w:color="auto" w:fill="FFFFFF"/>
          <w:lang w:eastAsia="es-ES_tradnl"/>
        </w:rPr>
        <w:t xml:space="preserve"> </w:t>
      </w:r>
      <w:r w:rsidR="007C703C" w:rsidRPr="006C4FB5">
        <w:rPr>
          <w:rFonts w:ascii="Verdana" w:eastAsia="Times New Roman" w:hAnsi="Verdana" w:cs="Arial"/>
          <w:bCs/>
          <w:kern w:val="2"/>
          <w:shd w:val="clear" w:color="auto" w:fill="FFFFFF"/>
          <w:lang w:eastAsia="es-ES_tradnl"/>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tgtFrame="_blank" w:tooltip="Dirección URL original: https://relatoria.colombiacompra.gov.co/. Haga clic o pulse si confía en este vínculo." w:history="1">
        <w:r w:rsidR="007C703C" w:rsidRPr="006C4FB5">
          <w:rPr>
            <w:rStyle w:val="Hipervnculo"/>
            <w:rFonts w:ascii="Verdana" w:eastAsia="Times New Roman" w:hAnsi="Verdana" w:cs="Arial"/>
            <w:bCs/>
            <w:kern w:val="2"/>
            <w:shd w:val="clear" w:color="auto" w:fill="FFFFFF"/>
            <w:lang w:eastAsia="es-ES_tradnl"/>
          </w:rPr>
          <w:t>https://relatoria.colombiacompra.gov.co/</w:t>
        </w:r>
      </w:hyperlink>
      <w:r w:rsidR="007C703C" w:rsidRPr="006C4FB5">
        <w:rPr>
          <w:rFonts w:ascii="Verdana" w:eastAsia="Times New Roman" w:hAnsi="Verdana" w:cs="Arial"/>
          <w:bCs/>
          <w:kern w:val="2"/>
          <w:u w:val="single"/>
          <w:shd w:val="clear" w:color="auto" w:fill="FFFFFF"/>
          <w:lang w:eastAsia="es-ES_tradnl"/>
        </w:rPr>
        <w:t> .</w:t>
      </w:r>
    </w:p>
    <w:p w14:paraId="197476C3" w14:textId="77777777" w:rsidR="007C703C" w:rsidRPr="006C4FB5" w:rsidRDefault="007C703C" w:rsidP="007C703C">
      <w:pPr>
        <w:spacing w:after="0" w:line="276" w:lineRule="auto"/>
        <w:jc w:val="both"/>
        <w:textAlignment w:val="baseline"/>
        <w:rPr>
          <w:rFonts w:ascii="Verdana" w:eastAsia="Times New Roman" w:hAnsi="Verdana" w:cs="Arial"/>
          <w:bCs/>
          <w:kern w:val="2"/>
          <w:shd w:val="clear" w:color="auto" w:fill="FFFFFF"/>
          <w:lang w:val="es-ES" w:eastAsia="es-ES_tradnl"/>
        </w:rPr>
      </w:pPr>
    </w:p>
    <w:p w14:paraId="23FCDD93"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eastAsia="es-ES_tradnl"/>
        </w:rPr>
      </w:pPr>
      <w:r w:rsidRPr="00764AE1">
        <w:rPr>
          <w:rFonts w:ascii="Verdana" w:eastAsia="Times New Roman" w:hAnsi="Verdana" w:cs="Arial"/>
          <w:bCs/>
          <w:kern w:val="2"/>
          <w:shd w:val="clear" w:color="auto" w:fill="FFFFFF"/>
          <w:lang w:eastAsia="es-ES_tradnl"/>
        </w:rPr>
        <w:t xml:space="preserve">Por último, lo invitamos a seguirnos en las redes sociales en las cuales se difunde información institucional: </w:t>
      </w:r>
    </w:p>
    <w:p w14:paraId="36CD15DD"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eastAsia="es-ES_tradnl"/>
        </w:rPr>
      </w:pPr>
    </w:p>
    <w:p w14:paraId="74CC815E"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eastAsia="es-ES_tradnl"/>
        </w:rPr>
      </w:pPr>
      <w:r w:rsidRPr="00764AE1">
        <w:rPr>
          <w:rFonts w:ascii="Verdana" w:eastAsia="Times New Roman" w:hAnsi="Verdana" w:cs="Arial"/>
          <w:bCs/>
          <w:kern w:val="2"/>
          <w:shd w:val="clear" w:color="auto" w:fill="FFFFFF"/>
          <w:lang w:eastAsia="es-ES_tradnl"/>
        </w:rPr>
        <w:t xml:space="preserve">Twitter: </w:t>
      </w:r>
      <w:r w:rsidRPr="00764AE1">
        <w:rPr>
          <w:rFonts w:ascii="Verdana" w:eastAsia="Times New Roman" w:hAnsi="Verdana" w:cs="Arial"/>
          <w:bCs/>
          <w:kern w:val="2"/>
          <w:u w:val="single"/>
          <w:shd w:val="clear" w:color="auto" w:fill="FFFFFF"/>
          <w:lang w:eastAsia="es-ES_tradnl"/>
        </w:rPr>
        <w:t>@colombiacompra</w:t>
      </w:r>
      <w:r w:rsidRPr="00764AE1">
        <w:rPr>
          <w:rFonts w:ascii="Verdana" w:eastAsia="Times New Roman" w:hAnsi="Verdana" w:cs="Arial"/>
          <w:bCs/>
          <w:kern w:val="2"/>
          <w:shd w:val="clear" w:color="auto" w:fill="FFFFFF"/>
          <w:lang w:eastAsia="es-ES_tradnl"/>
        </w:rPr>
        <w:t xml:space="preserve"> </w:t>
      </w:r>
    </w:p>
    <w:p w14:paraId="648BFB4B"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eastAsia="es-ES_tradnl"/>
        </w:rPr>
      </w:pPr>
      <w:r w:rsidRPr="00764AE1">
        <w:rPr>
          <w:rFonts w:ascii="Verdana" w:eastAsia="Times New Roman" w:hAnsi="Verdana" w:cs="Arial"/>
          <w:bCs/>
          <w:kern w:val="2"/>
          <w:shd w:val="clear" w:color="auto" w:fill="FFFFFF"/>
          <w:lang w:eastAsia="es-ES_tradnl"/>
        </w:rPr>
        <w:t xml:space="preserve">Facebook: </w:t>
      </w:r>
      <w:proofErr w:type="spellStart"/>
      <w:r w:rsidRPr="00764AE1">
        <w:rPr>
          <w:rFonts w:ascii="Verdana" w:eastAsia="Times New Roman" w:hAnsi="Verdana" w:cs="Arial"/>
          <w:bCs/>
          <w:kern w:val="2"/>
          <w:u w:val="single"/>
          <w:shd w:val="clear" w:color="auto" w:fill="FFFFFF"/>
          <w:lang w:eastAsia="es-ES_tradnl"/>
        </w:rPr>
        <w:t>ColombiaCompraEficiente</w:t>
      </w:r>
      <w:proofErr w:type="spellEnd"/>
    </w:p>
    <w:p w14:paraId="693447BB"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eastAsia="es-ES_tradnl"/>
        </w:rPr>
      </w:pPr>
      <w:r w:rsidRPr="00764AE1">
        <w:rPr>
          <w:rFonts w:ascii="Verdana" w:eastAsia="Times New Roman" w:hAnsi="Verdana" w:cs="Arial"/>
          <w:bCs/>
          <w:kern w:val="2"/>
          <w:shd w:val="clear" w:color="auto" w:fill="FFFFFF"/>
          <w:lang w:eastAsia="es-ES_tradnl"/>
        </w:rPr>
        <w:t xml:space="preserve">LinkedIn: </w:t>
      </w:r>
      <w:r w:rsidRPr="00764AE1">
        <w:rPr>
          <w:rFonts w:ascii="Verdana" w:eastAsia="Times New Roman" w:hAnsi="Verdana" w:cs="Arial"/>
          <w:bCs/>
          <w:kern w:val="2"/>
          <w:u w:val="single"/>
          <w:shd w:val="clear" w:color="auto" w:fill="FFFFFF"/>
          <w:lang w:eastAsia="es-ES_tradnl"/>
        </w:rPr>
        <w:t>Agencia Nacional de Contratación Pública - Colombia Compra Eficiente</w:t>
      </w:r>
      <w:r w:rsidRPr="00764AE1">
        <w:rPr>
          <w:rFonts w:ascii="Verdana" w:eastAsia="Times New Roman" w:hAnsi="Verdana" w:cs="Arial"/>
          <w:bCs/>
          <w:kern w:val="2"/>
          <w:shd w:val="clear" w:color="auto" w:fill="FFFFFF"/>
          <w:lang w:eastAsia="es-ES_tradnl"/>
        </w:rPr>
        <w:t xml:space="preserve"> Instagram: </w:t>
      </w:r>
      <w:r w:rsidRPr="00764AE1">
        <w:rPr>
          <w:rFonts w:ascii="Verdana" w:eastAsia="Times New Roman" w:hAnsi="Verdana" w:cs="Arial"/>
          <w:bCs/>
          <w:kern w:val="2"/>
          <w:u w:val="single"/>
          <w:shd w:val="clear" w:color="auto" w:fill="FFFFFF"/>
          <w:lang w:eastAsia="es-ES_tradnl"/>
        </w:rPr>
        <w:t>@colombiacompraeficiente_cce</w:t>
      </w:r>
    </w:p>
    <w:p w14:paraId="15B0C8D2"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eastAsia="es-ES_tradnl"/>
        </w:rPr>
      </w:pPr>
    </w:p>
    <w:p w14:paraId="3A14EBBE"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val="es-ES_tradnl" w:eastAsia="es-ES_tradnl"/>
        </w:rPr>
      </w:pPr>
      <w:r w:rsidRPr="00764AE1">
        <w:rPr>
          <w:rFonts w:ascii="Verdana" w:eastAsia="Times New Roman" w:hAnsi="Verdana" w:cs="Arial"/>
          <w:bCs/>
          <w:kern w:val="2"/>
          <w:shd w:val="clear" w:color="auto" w:fill="FFFFFF"/>
          <w:lang w:eastAsia="es-ES_tradnl"/>
        </w:rPr>
        <w:t>Este concepto tiene el alcance previsto en el artículo 28 del Código de Procedimiento Administrativo y de lo Contencioso Administrativo.</w:t>
      </w:r>
    </w:p>
    <w:p w14:paraId="4FA4AE7D" w14:textId="77777777" w:rsidR="007C703C" w:rsidRPr="00764AE1" w:rsidRDefault="007C703C" w:rsidP="007C703C">
      <w:pPr>
        <w:spacing w:after="120" w:line="276" w:lineRule="auto"/>
        <w:jc w:val="both"/>
        <w:textAlignment w:val="baseline"/>
        <w:rPr>
          <w:rFonts w:ascii="Verdana" w:eastAsia="Times New Roman" w:hAnsi="Verdana" w:cs="Arial"/>
          <w:bCs/>
          <w:kern w:val="2"/>
          <w:shd w:val="clear" w:color="auto" w:fill="FFFFFF"/>
          <w:lang w:eastAsia="es-ES_tradnl"/>
        </w:rPr>
      </w:pPr>
    </w:p>
    <w:p w14:paraId="7BC6E2C6" w14:textId="36147E61" w:rsidR="007C703C" w:rsidRDefault="00527143" w:rsidP="007C703C">
      <w:pPr>
        <w:spacing w:after="120" w:line="276" w:lineRule="auto"/>
        <w:jc w:val="both"/>
        <w:textAlignment w:val="baseline"/>
        <w:rPr>
          <w:rFonts w:ascii="Verdana" w:eastAsia="Times New Roman" w:hAnsi="Verdana" w:cs="Arial"/>
          <w:bCs/>
          <w:kern w:val="2"/>
          <w:shd w:val="clear" w:color="auto" w:fill="FFFFFF"/>
          <w:lang w:eastAsia="es-ES_tradnl"/>
        </w:rPr>
      </w:pPr>
      <w:r w:rsidRPr="00580D84">
        <w:rPr>
          <w:rFonts w:ascii="Verdana" w:eastAsia="Verdana" w:hAnsi="Verdana" w:cs="Verdana"/>
          <w:b/>
          <w:bCs/>
          <w:noProof/>
          <w:lang w:val="es-MX"/>
        </w:rPr>
        <w:drawing>
          <wp:anchor distT="0" distB="0" distL="114300" distR="114300" simplePos="0" relativeHeight="251661312" behindDoc="1" locked="0" layoutInCell="1" allowOverlap="1" wp14:anchorId="4B412ED9" wp14:editId="5FBD6CBC">
            <wp:simplePos x="0" y="0"/>
            <wp:positionH relativeFrom="column">
              <wp:posOffset>1218392</wp:posOffset>
            </wp:positionH>
            <wp:positionV relativeFrom="paragraph">
              <wp:posOffset>186690</wp:posOffset>
            </wp:positionV>
            <wp:extent cx="3011805" cy="1013460"/>
            <wp:effectExtent l="0" t="0" r="0" b="0"/>
            <wp:wrapTight wrapText="bothSides">
              <wp:wrapPolygon edited="0">
                <wp:start x="0" y="0"/>
                <wp:lineTo x="0" y="21113"/>
                <wp:lineTo x="21450" y="21113"/>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6">
                      <a:extLst>
                        <a:ext uri="{28A0092B-C50C-407E-A947-70E740481C1C}">
                          <a14:useLocalDpi xmlns:a14="http://schemas.microsoft.com/office/drawing/2010/main" val="0"/>
                        </a:ext>
                      </a:extLst>
                    </a:blip>
                    <a:stretch>
                      <a:fillRect/>
                    </a:stretch>
                  </pic:blipFill>
                  <pic:spPr>
                    <a:xfrm>
                      <a:off x="0" y="0"/>
                      <a:ext cx="3011805" cy="1013460"/>
                    </a:xfrm>
                    <a:prstGeom prst="rect">
                      <a:avLst/>
                    </a:prstGeom>
                  </pic:spPr>
                </pic:pic>
              </a:graphicData>
            </a:graphic>
            <wp14:sizeRelV relativeFrom="margin">
              <wp14:pctHeight>0</wp14:pctHeight>
            </wp14:sizeRelV>
          </wp:anchor>
        </w:drawing>
      </w:r>
      <w:r w:rsidR="007C703C" w:rsidRPr="00764AE1">
        <w:rPr>
          <w:rFonts w:ascii="Verdana" w:eastAsia="Times New Roman" w:hAnsi="Verdana" w:cs="Arial"/>
          <w:bCs/>
          <w:kern w:val="2"/>
          <w:shd w:val="clear" w:color="auto" w:fill="FFFFFF"/>
          <w:lang w:eastAsia="es-ES_tradnl"/>
        </w:rPr>
        <w:t xml:space="preserve">Atentamente, </w:t>
      </w:r>
    </w:p>
    <w:p w14:paraId="17F6BF51" w14:textId="77777777" w:rsidR="007C703C" w:rsidRDefault="007C703C" w:rsidP="007C703C">
      <w:pPr>
        <w:spacing w:after="120" w:line="276" w:lineRule="auto"/>
        <w:jc w:val="both"/>
        <w:textAlignment w:val="baseline"/>
        <w:rPr>
          <w:rFonts w:ascii="Verdana" w:eastAsia="Times New Roman" w:hAnsi="Verdana" w:cs="Arial"/>
          <w:bCs/>
          <w:kern w:val="2"/>
          <w:shd w:val="clear" w:color="auto" w:fill="FFFFFF"/>
          <w:lang w:eastAsia="es-ES_tradnl"/>
        </w:rPr>
      </w:pPr>
    </w:p>
    <w:p w14:paraId="701643CA" w14:textId="77777777" w:rsidR="007C703C" w:rsidRPr="00764AE1" w:rsidRDefault="007C703C" w:rsidP="007C703C">
      <w:pPr>
        <w:spacing w:after="120" w:line="276" w:lineRule="auto"/>
        <w:jc w:val="both"/>
        <w:textAlignment w:val="baseline"/>
        <w:rPr>
          <w:rFonts w:ascii="Verdana" w:eastAsia="Times New Roman" w:hAnsi="Verdana" w:cs="Arial"/>
          <w:bCs/>
          <w:kern w:val="2"/>
          <w:shd w:val="clear" w:color="auto" w:fill="FFFFFF"/>
          <w:lang w:eastAsia="es-ES_tradnl"/>
        </w:rPr>
      </w:pPr>
    </w:p>
    <w:p w14:paraId="21339385" w14:textId="77777777" w:rsidR="007C703C" w:rsidRPr="00764AE1" w:rsidRDefault="007C703C" w:rsidP="007C703C">
      <w:pPr>
        <w:spacing w:after="120" w:line="276" w:lineRule="auto"/>
        <w:jc w:val="both"/>
        <w:textAlignment w:val="baseline"/>
        <w:rPr>
          <w:rFonts w:ascii="Verdana" w:eastAsia="Times New Roman" w:hAnsi="Verdana" w:cs="Arial"/>
          <w:bCs/>
          <w:kern w:val="2"/>
          <w:shd w:val="clear" w:color="auto" w:fill="FFFFFF"/>
          <w:lang w:eastAsia="es-ES_tradnl"/>
        </w:rPr>
      </w:pPr>
    </w:p>
    <w:p w14:paraId="249CEF9F" w14:textId="009FB66C" w:rsidR="007C703C" w:rsidRPr="00256865" w:rsidRDefault="007C703C" w:rsidP="007C703C">
      <w:pPr>
        <w:spacing w:after="120" w:line="276" w:lineRule="auto"/>
        <w:ind w:right="709"/>
        <w:jc w:val="both"/>
        <w:textAlignment w:val="baseline"/>
        <w:rPr>
          <w:rFonts w:ascii="Verdana" w:eastAsia="Times New Roman" w:hAnsi="Verdana" w:cs="Arial"/>
          <w:bCs/>
          <w:kern w:val="2"/>
          <w:shd w:val="clear" w:color="auto" w:fill="FFFFFF"/>
          <w:lang w:eastAsia="es-ES_tradnl"/>
        </w:rPr>
      </w:pPr>
    </w:p>
    <w:tbl>
      <w:tblPr>
        <w:tblW w:w="411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3254"/>
      </w:tblGrid>
      <w:tr w:rsidR="007C703C" w:rsidRPr="00B45B4E" w14:paraId="1F02E605" w14:textId="77777777" w:rsidTr="00F517A2">
        <w:trPr>
          <w:trHeight w:val="315"/>
        </w:trPr>
        <w:tc>
          <w:tcPr>
            <w:tcW w:w="857" w:type="dxa"/>
            <w:tcBorders>
              <w:top w:val="nil"/>
              <w:left w:val="nil"/>
              <w:bottom w:val="nil"/>
              <w:right w:val="nil"/>
            </w:tcBorders>
            <w:vAlign w:val="center"/>
            <w:hideMark/>
          </w:tcPr>
          <w:p w14:paraId="33A165C7" w14:textId="77777777" w:rsidR="007C703C" w:rsidRPr="00B45B4E" w:rsidRDefault="007C703C" w:rsidP="0012733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3254" w:type="dxa"/>
            <w:tcBorders>
              <w:top w:val="nil"/>
              <w:left w:val="nil"/>
              <w:bottom w:val="dotted" w:sz="6" w:space="0" w:color="7F7F7F" w:themeColor="text1" w:themeTint="80"/>
              <w:right w:val="nil"/>
            </w:tcBorders>
            <w:vAlign w:val="center"/>
            <w:hideMark/>
          </w:tcPr>
          <w:p w14:paraId="51CA53EA" w14:textId="77777777" w:rsidR="007C703C" w:rsidRPr="00B45B4E" w:rsidRDefault="007C703C" w:rsidP="00127334">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5A0222EE" w14:textId="77777777" w:rsidR="007C703C" w:rsidRPr="00B45B4E" w:rsidRDefault="007C703C" w:rsidP="0012733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7C703C" w:rsidRPr="00F517A2" w14:paraId="6BF36D91" w14:textId="77777777" w:rsidTr="00F517A2">
        <w:trPr>
          <w:trHeight w:val="315"/>
        </w:trPr>
        <w:tc>
          <w:tcPr>
            <w:tcW w:w="857" w:type="dxa"/>
            <w:tcBorders>
              <w:top w:val="nil"/>
              <w:left w:val="nil"/>
              <w:bottom w:val="nil"/>
              <w:right w:val="nil"/>
            </w:tcBorders>
            <w:vAlign w:val="center"/>
            <w:hideMark/>
          </w:tcPr>
          <w:p w14:paraId="4D3F1453" w14:textId="77777777" w:rsidR="007C703C" w:rsidRPr="00B45B4E" w:rsidRDefault="007C703C" w:rsidP="0012733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3254" w:type="dxa"/>
            <w:tcBorders>
              <w:top w:val="dotted" w:sz="6" w:space="0" w:color="7F7F7F" w:themeColor="text1" w:themeTint="80"/>
              <w:left w:val="nil"/>
              <w:bottom w:val="dotted" w:sz="6" w:space="0" w:color="7F7F7F" w:themeColor="text1" w:themeTint="80"/>
              <w:right w:val="nil"/>
            </w:tcBorders>
            <w:vAlign w:val="center"/>
            <w:hideMark/>
          </w:tcPr>
          <w:p w14:paraId="07FB8B13" w14:textId="1F4140FF" w:rsidR="007C703C" w:rsidRDefault="004D7F5E" w:rsidP="00127334">
            <w:pPr>
              <w:spacing w:after="0" w:line="240" w:lineRule="auto"/>
              <w:jc w:val="both"/>
              <w:rPr>
                <w:rFonts w:ascii="Verdana" w:hAnsi="Verdana" w:cs="Arial"/>
                <w:sz w:val="16"/>
                <w:szCs w:val="16"/>
              </w:rPr>
            </w:pPr>
            <w:r>
              <w:rPr>
                <w:rFonts w:ascii="Verdana" w:hAnsi="Verdana" w:cs="Arial"/>
                <w:sz w:val="16"/>
                <w:szCs w:val="16"/>
              </w:rPr>
              <w:t xml:space="preserve">Alejandro </w:t>
            </w:r>
            <w:r w:rsidR="000F0068">
              <w:rPr>
                <w:rFonts w:ascii="Verdana" w:hAnsi="Verdana" w:cs="Arial"/>
                <w:sz w:val="16"/>
                <w:szCs w:val="16"/>
              </w:rPr>
              <w:t xml:space="preserve">R. </w:t>
            </w:r>
            <w:r>
              <w:rPr>
                <w:rFonts w:ascii="Verdana" w:hAnsi="Verdana" w:cs="Arial"/>
                <w:sz w:val="16"/>
                <w:szCs w:val="16"/>
              </w:rPr>
              <w:t>Sarmiento</w:t>
            </w:r>
            <w:r w:rsidR="000F0068">
              <w:rPr>
                <w:rFonts w:ascii="Verdana" w:hAnsi="Verdana" w:cs="Arial"/>
                <w:sz w:val="16"/>
                <w:szCs w:val="16"/>
              </w:rPr>
              <w:t xml:space="preserve"> Cantillo</w:t>
            </w:r>
          </w:p>
          <w:p w14:paraId="5812FFFD" w14:textId="5930E0C5" w:rsidR="007C703C" w:rsidRPr="00B45B4E" w:rsidRDefault="007C703C" w:rsidP="00127334">
            <w:pPr>
              <w:spacing w:after="0" w:line="240" w:lineRule="auto"/>
              <w:jc w:val="both"/>
              <w:rPr>
                <w:rFonts w:ascii="Verdana" w:hAnsi="Verdana" w:cs="Arial"/>
                <w:sz w:val="16"/>
                <w:szCs w:val="16"/>
              </w:rPr>
            </w:pPr>
            <w:r>
              <w:rPr>
                <w:rFonts w:ascii="Verdana" w:eastAsia="Calibri" w:hAnsi="Verdana" w:cs="Arial"/>
                <w:sz w:val="16"/>
                <w:szCs w:val="16"/>
              </w:rPr>
              <w:t>Gestor T1-15</w:t>
            </w:r>
            <w:r w:rsidRPr="00B45B4E">
              <w:rPr>
                <w:rFonts w:ascii="Verdana" w:eastAsia="Calibri" w:hAnsi="Verdana" w:cs="Arial"/>
                <w:sz w:val="16"/>
                <w:szCs w:val="16"/>
              </w:rPr>
              <w:t xml:space="preserve"> de la Subdirección de Gestión Contractual</w:t>
            </w:r>
          </w:p>
        </w:tc>
      </w:tr>
      <w:tr w:rsidR="004D7F5E" w:rsidRPr="00B45B4E" w14:paraId="4DB92F19" w14:textId="77777777" w:rsidTr="00F517A2">
        <w:trPr>
          <w:trHeight w:val="195"/>
        </w:trPr>
        <w:tc>
          <w:tcPr>
            <w:tcW w:w="857" w:type="dxa"/>
            <w:tcBorders>
              <w:top w:val="nil"/>
              <w:left w:val="nil"/>
              <w:bottom w:val="nil"/>
              <w:right w:val="nil"/>
            </w:tcBorders>
            <w:vAlign w:val="center"/>
            <w:hideMark/>
          </w:tcPr>
          <w:p w14:paraId="4C2B5C58" w14:textId="77777777" w:rsidR="004D7F5E" w:rsidRPr="00B45B4E" w:rsidRDefault="004D7F5E" w:rsidP="0012733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3254" w:type="dxa"/>
            <w:tcBorders>
              <w:top w:val="dotted" w:sz="6" w:space="0" w:color="7F7F7F" w:themeColor="text1" w:themeTint="80"/>
              <w:left w:val="nil"/>
              <w:bottom w:val="dotted" w:sz="6" w:space="0" w:color="7F7F7F" w:themeColor="text1" w:themeTint="80"/>
              <w:right w:val="nil"/>
            </w:tcBorders>
            <w:vAlign w:val="center"/>
            <w:hideMark/>
          </w:tcPr>
          <w:p w14:paraId="36827788" w14:textId="77777777" w:rsidR="004D7F5E" w:rsidRPr="004D7F5E" w:rsidRDefault="004D7F5E" w:rsidP="004D7F5E">
            <w:pPr>
              <w:spacing w:after="0" w:line="240" w:lineRule="auto"/>
              <w:jc w:val="both"/>
              <w:rPr>
                <w:rFonts w:ascii="Verdana" w:hAnsi="Verdana" w:cs="Arial"/>
                <w:sz w:val="16"/>
                <w:szCs w:val="16"/>
              </w:rPr>
            </w:pPr>
            <w:r w:rsidRPr="004D7F5E">
              <w:rPr>
                <w:rFonts w:ascii="Verdana" w:hAnsi="Verdana" w:cs="Arial"/>
                <w:sz w:val="16"/>
                <w:szCs w:val="16"/>
              </w:rPr>
              <w:t>Carolina Quintero Gacharná</w:t>
            </w:r>
          </w:p>
          <w:p w14:paraId="4630805C" w14:textId="77777777" w:rsidR="004D7F5E" w:rsidRPr="004D7F5E" w:rsidRDefault="004D7F5E" w:rsidP="004D7F5E">
            <w:pPr>
              <w:spacing w:after="0" w:line="240" w:lineRule="auto"/>
              <w:jc w:val="both"/>
              <w:rPr>
                <w:rFonts w:ascii="Verdana" w:hAnsi="Verdana" w:cs="Arial"/>
                <w:sz w:val="16"/>
                <w:szCs w:val="16"/>
              </w:rPr>
            </w:pPr>
            <w:r w:rsidRPr="004D7F5E">
              <w:rPr>
                <w:rFonts w:ascii="Verdana" w:hAnsi="Verdana" w:cs="Arial"/>
                <w:sz w:val="16"/>
                <w:szCs w:val="16"/>
              </w:rPr>
              <w:t xml:space="preserve">Subdirectora de Gestión Contractual </w:t>
            </w:r>
          </w:p>
        </w:tc>
      </w:tr>
    </w:tbl>
    <w:p w14:paraId="4A63BE9B" w14:textId="00DD7DAF" w:rsidR="00FC44ED" w:rsidRPr="00FC44ED" w:rsidRDefault="00FC44ED" w:rsidP="007C703C">
      <w:pPr>
        <w:spacing w:after="120" w:line="276" w:lineRule="auto"/>
        <w:jc w:val="both"/>
        <w:rPr>
          <w:rFonts w:ascii="Verdana" w:hAnsi="Verdana"/>
          <w:u w:val="single"/>
        </w:rPr>
      </w:pPr>
    </w:p>
    <w:p w14:paraId="4F02EE9E" w14:textId="77777777" w:rsidR="00155E08" w:rsidRPr="00155E08" w:rsidRDefault="00155E08" w:rsidP="00155E08">
      <w:pPr>
        <w:spacing w:after="120" w:line="276" w:lineRule="auto"/>
        <w:jc w:val="both"/>
        <w:rPr>
          <w:rFonts w:ascii="Verdana" w:hAnsi="Verdana"/>
        </w:rPr>
      </w:pPr>
    </w:p>
    <w:p w14:paraId="77FC2D6F" w14:textId="3AE7060C" w:rsidR="000728CE" w:rsidRPr="000728CE" w:rsidRDefault="000728CE" w:rsidP="000728CE">
      <w:pPr>
        <w:spacing w:after="120" w:line="276" w:lineRule="auto"/>
        <w:jc w:val="both"/>
        <w:rPr>
          <w:rFonts w:ascii="Verdana" w:hAnsi="Verdana"/>
          <w:lang w:val="es-ES_tradnl"/>
        </w:rPr>
      </w:pPr>
    </w:p>
    <w:p w14:paraId="2067FBD4" w14:textId="77777777" w:rsidR="000728CE" w:rsidRPr="000728CE" w:rsidRDefault="000728CE" w:rsidP="000728CE">
      <w:pPr>
        <w:spacing w:after="120" w:line="276" w:lineRule="auto"/>
        <w:jc w:val="both"/>
        <w:rPr>
          <w:rFonts w:ascii="Verdana" w:hAnsi="Verdana"/>
          <w:lang w:val="es-ES_tradnl"/>
        </w:rPr>
      </w:pPr>
    </w:p>
    <w:p w14:paraId="05389C4A" w14:textId="77777777" w:rsidR="002A708E" w:rsidRPr="000728CE" w:rsidRDefault="002A708E" w:rsidP="002571C4">
      <w:pPr>
        <w:spacing w:after="120" w:line="276" w:lineRule="auto"/>
        <w:jc w:val="both"/>
        <w:rPr>
          <w:rFonts w:ascii="Verdana" w:hAnsi="Verdana"/>
          <w:b/>
          <w:bCs/>
          <w:lang w:val="es-ES_tradnl"/>
        </w:rPr>
      </w:pPr>
    </w:p>
    <w:p w14:paraId="73A259D6" w14:textId="77777777" w:rsidR="002571C4" w:rsidRPr="002571C4" w:rsidRDefault="002571C4" w:rsidP="002571C4">
      <w:pPr>
        <w:spacing w:after="120" w:line="276" w:lineRule="auto"/>
        <w:jc w:val="both"/>
        <w:rPr>
          <w:rFonts w:ascii="Verdana" w:hAnsi="Verdana"/>
        </w:rPr>
      </w:pPr>
    </w:p>
    <w:p w14:paraId="0598B12E" w14:textId="77777777" w:rsidR="009F3608" w:rsidRDefault="009F3608" w:rsidP="00135513">
      <w:pPr>
        <w:spacing w:after="120" w:line="276" w:lineRule="auto"/>
        <w:jc w:val="both"/>
        <w:rPr>
          <w:rFonts w:ascii="Verdana" w:hAnsi="Verdana"/>
        </w:rPr>
      </w:pPr>
    </w:p>
    <w:p w14:paraId="07CE3DB2" w14:textId="77777777" w:rsidR="00933B70" w:rsidRDefault="00933B70" w:rsidP="00135513">
      <w:pPr>
        <w:spacing w:after="120" w:line="276" w:lineRule="auto"/>
        <w:jc w:val="both"/>
        <w:rPr>
          <w:rFonts w:ascii="Verdana" w:hAnsi="Verdana"/>
        </w:rPr>
      </w:pPr>
    </w:p>
    <w:p w14:paraId="5D15100E" w14:textId="77777777" w:rsidR="00A67A9A" w:rsidRDefault="00A67A9A" w:rsidP="00135513">
      <w:pPr>
        <w:spacing w:after="120" w:line="276" w:lineRule="auto"/>
        <w:jc w:val="both"/>
        <w:rPr>
          <w:rFonts w:ascii="Verdana" w:hAnsi="Verdana"/>
        </w:rPr>
      </w:pPr>
    </w:p>
    <w:p w14:paraId="0F925B5E" w14:textId="77777777" w:rsidR="00062BF5" w:rsidRPr="00135513" w:rsidRDefault="00062BF5" w:rsidP="00135513">
      <w:pPr>
        <w:spacing w:after="120" w:line="276" w:lineRule="auto"/>
        <w:jc w:val="both"/>
        <w:rPr>
          <w:rFonts w:ascii="Verdana" w:hAnsi="Verdana"/>
          <w:bCs/>
          <w:lang w:val="es-ES"/>
        </w:rPr>
      </w:pPr>
    </w:p>
    <w:p w14:paraId="0C09AF9B" w14:textId="77777777" w:rsidR="00492C7E" w:rsidRPr="004E718A" w:rsidRDefault="00492C7E" w:rsidP="004F1F7D">
      <w:pPr>
        <w:spacing w:after="120" w:line="276" w:lineRule="auto"/>
        <w:jc w:val="both"/>
        <w:rPr>
          <w:rFonts w:ascii="Verdana" w:hAnsi="Verdana"/>
          <w:lang w:val="es-ES"/>
        </w:rPr>
      </w:pPr>
    </w:p>
    <w:sectPr w:rsidR="00492C7E" w:rsidRPr="004E718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07E381" w14:textId="77777777" w:rsidR="00B32A59" w:rsidRDefault="00B32A59" w:rsidP="004A1847">
      <w:pPr>
        <w:spacing w:after="0" w:line="240" w:lineRule="auto"/>
      </w:pPr>
      <w:r>
        <w:separator/>
      </w:r>
    </w:p>
  </w:endnote>
  <w:endnote w:type="continuationSeparator" w:id="0">
    <w:p w14:paraId="42E0F22A" w14:textId="77777777" w:rsidR="00B32A59" w:rsidRDefault="00B32A5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7A8382" w14:textId="77777777" w:rsidR="00B32A59" w:rsidRDefault="00B32A59" w:rsidP="004A1847">
      <w:pPr>
        <w:spacing w:after="0" w:line="240" w:lineRule="auto"/>
      </w:pPr>
      <w:r>
        <w:separator/>
      </w:r>
    </w:p>
  </w:footnote>
  <w:footnote w:type="continuationSeparator" w:id="0">
    <w:p w14:paraId="263118DF" w14:textId="77777777" w:rsidR="00B32A59" w:rsidRDefault="00B32A59" w:rsidP="004A1847">
      <w:pPr>
        <w:spacing w:after="0" w:line="240" w:lineRule="auto"/>
      </w:pPr>
      <w:r>
        <w:continuationSeparator/>
      </w:r>
    </w:p>
  </w:footnote>
  <w:footnote w:id="1">
    <w:p w14:paraId="41D69A25" w14:textId="77777777" w:rsidR="00964B06" w:rsidRPr="00CA361F" w:rsidRDefault="00964B06" w:rsidP="00964B06">
      <w:pPr>
        <w:pStyle w:val="Textonotapie"/>
        <w:ind w:firstLine="709"/>
        <w:jc w:val="both"/>
        <w:rPr>
          <w:rFonts w:ascii="Verdana" w:hAnsi="Verdana" w:cs="Arial"/>
          <w:sz w:val="16"/>
          <w:szCs w:val="16"/>
          <w:lang w:val="es-ES"/>
        </w:rPr>
      </w:pPr>
      <w:r w:rsidRPr="00CA361F">
        <w:rPr>
          <w:rStyle w:val="Refdenotaalpie"/>
          <w:rFonts w:ascii="Verdana" w:hAnsi="Verdana" w:cs="Arial"/>
          <w:sz w:val="16"/>
          <w:szCs w:val="16"/>
        </w:rPr>
        <w:footnoteRef/>
      </w:r>
      <w:r w:rsidRPr="00CA361F">
        <w:rPr>
          <w:rFonts w:ascii="Verdana" w:hAnsi="Verdana" w:cs="Arial"/>
          <w:sz w:val="16"/>
          <w:szCs w:val="16"/>
        </w:rPr>
        <w:t xml:space="preserve"> </w:t>
      </w:r>
      <w:r w:rsidRPr="00CA361F">
        <w:rPr>
          <w:rFonts w:ascii="Verdana" w:hAnsi="Verdana" w:cs="Arial"/>
          <w:sz w:val="16"/>
          <w:szCs w:val="16"/>
          <w:lang w:val="es-ES"/>
        </w:rPr>
        <w:t>“</w:t>
      </w:r>
      <w:r w:rsidRPr="00CA361F">
        <w:rPr>
          <w:rFonts w:ascii="Verdana" w:hAnsi="Verdana" w:cs="Arial"/>
          <w:sz w:val="16"/>
          <w:szCs w:val="16"/>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CA361F">
        <w:rPr>
          <w:rFonts w:ascii="Verdana" w:hAnsi="Verdana" w:cs="Arial"/>
          <w:sz w:val="16"/>
          <w:szCs w:val="16"/>
          <w:lang w:val="es-ES"/>
        </w:rPr>
        <w:t>”.</w:t>
      </w:r>
    </w:p>
    <w:p w14:paraId="60E45C73" w14:textId="77777777" w:rsidR="00964B06" w:rsidRPr="00CA361F" w:rsidRDefault="00964B06" w:rsidP="00964B06">
      <w:pPr>
        <w:pStyle w:val="Textonotapie"/>
        <w:ind w:firstLine="709"/>
        <w:jc w:val="both"/>
        <w:rPr>
          <w:rFonts w:ascii="Verdana" w:hAnsi="Verdana" w:cs="Arial"/>
          <w:sz w:val="16"/>
          <w:szCs w:val="16"/>
        </w:rPr>
      </w:pPr>
    </w:p>
  </w:footnote>
  <w:footnote w:id="2">
    <w:p w14:paraId="12511FE4" w14:textId="77777777" w:rsidR="009B1E29" w:rsidRPr="00CA361F" w:rsidRDefault="009B1E29" w:rsidP="009B1E29">
      <w:pPr>
        <w:pStyle w:val="Textonotapie"/>
        <w:ind w:firstLine="709"/>
        <w:jc w:val="both"/>
        <w:rPr>
          <w:rFonts w:ascii="Verdana" w:hAnsi="Verdana" w:cs="Arial"/>
          <w:color w:val="000000"/>
          <w:sz w:val="16"/>
          <w:szCs w:val="16"/>
        </w:rPr>
      </w:pPr>
      <w:r w:rsidRPr="00CA361F">
        <w:rPr>
          <w:rStyle w:val="Refdenotaalpie"/>
          <w:rFonts w:ascii="Verdana" w:hAnsi="Verdana" w:cs="Arial"/>
          <w:color w:val="000000"/>
          <w:sz w:val="16"/>
          <w:szCs w:val="16"/>
        </w:rPr>
        <w:footnoteRef/>
      </w:r>
      <w:r w:rsidRPr="00CA361F">
        <w:rPr>
          <w:rFonts w:ascii="Verdana" w:hAnsi="Verdana" w:cs="Arial"/>
          <w:color w:val="000000"/>
          <w:sz w:val="16"/>
          <w:szCs w:val="16"/>
        </w:rPr>
        <w:t xml:space="preserve"> Consejo de Estado. Sección Tercera. Radicado No. 45.607 del 24 de octubre de 2016. Consejera Ponente: María Nubia Velásquez Rico.</w:t>
      </w:r>
    </w:p>
    <w:p w14:paraId="4D413B14" w14:textId="77777777" w:rsidR="009B1E29" w:rsidRPr="00CA361F" w:rsidRDefault="009B1E29" w:rsidP="009B1E29">
      <w:pPr>
        <w:pStyle w:val="Textonotapie"/>
        <w:ind w:firstLine="709"/>
        <w:jc w:val="both"/>
        <w:rPr>
          <w:rFonts w:ascii="Verdana" w:hAnsi="Verdana" w:cs="Arial"/>
          <w:color w:val="000000"/>
          <w:sz w:val="16"/>
          <w:szCs w:val="16"/>
          <w:lang w:val="es-ES"/>
        </w:rPr>
      </w:pPr>
    </w:p>
  </w:footnote>
  <w:footnote w:id="3">
    <w:p w14:paraId="5A845285" w14:textId="77777777" w:rsidR="009B1E29" w:rsidRPr="00CA361F" w:rsidRDefault="009B1E29" w:rsidP="009B1E29">
      <w:pPr>
        <w:pStyle w:val="Textonotapie"/>
        <w:ind w:firstLine="709"/>
        <w:jc w:val="both"/>
        <w:rPr>
          <w:rFonts w:ascii="Verdana" w:hAnsi="Verdana" w:cs="Arial"/>
          <w:sz w:val="16"/>
          <w:szCs w:val="16"/>
          <w:lang w:val="es-ES"/>
        </w:rPr>
      </w:pPr>
      <w:r w:rsidRPr="00CA361F">
        <w:rPr>
          <w:rStyle w:val="Refdenotaalpie"/>
          <w:rFonts w:ascii="Verdana" w:hAnsi="Verdana" w:cs="Arial"/>
          <w:sz w:val="16"/>
          <w:szCs w:val="16"/>
        </w:rPr>
        <w:footnoteRef/>
      </w:r>
      <w:r w:rsidRPr="00CA361F">
        <w:rPr>
          <w:rFonts w:ascii="Verdana" w:hAnsi="Verdana" w:cs="Arial"/>
          <w:sz w:val="16"/>
          <w:szCs w:val="16"/>
        </w:rPr>
        <w:t xml:space="preserve"> </w:t>
      </w:r>
      <w:r w:rsidRPr="00CA361F">
        <w:rPr>
          <w:rFonts w:ascii="Verdana" w:hAnsi="Verdana" w:cs="Arial"/>
          <w:sz w:val="16"/>
          <w:szCs w:val="16"/>
          <w:lang w:val="es-ES"/>
        </w:rPr>
        <w:t>“</w:t>
      </w:r>
      <w:r w:rsidRPr="00CA361F">
        <w:rPr>
          <w:rFonts w:ascii="Verdana" w:hAnsi="Verdana" w:cs="Arial"/>
          <w:sz w:val="16"/>
          <w:szCs w:val="16"/>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CA361F">
        <w:rPr>
          <w:rFonts w:ascii="Verdana" w:hAnsi="Verdana" w:cs="Arial"/>
          <w:sz w:val="16"/>
          <w:szCs w:val="16"/>
          <w:lang w:val="es-ES"/>
        </w:rPr>
        <w:t>”.</w:t>
      </w:r>
    </w:p>
    <w:p w14:paraId="215E9382" w14:textId="77777777" w:rsidR="009B1E29" w:rsidRPr="00CA361F" w:rsidRDefault="009B1E29" w:rsidP="009B1E29">
      <w:pPr>
        <w:pStyle w:val="Textonotapie"/>
        <w:ind w:firstLine="709"/>
        <w:jc w:val="both"/>
        <w:rPr>
          <w:rFonts w:ascii="Verdana" w:hAnsi="Verdana" w:cs="Arial"/>
          <w:sz w:val="16"/>
          <w:szCs w:val="16"/>
        </w:rPr>
      </w:pPr>
    </w:p>
  </w:footnote>
  <w:footnote w:id="4">
    <w:p w14:paraId="6FC8484F" w14:textId="222BBD6D" w:rsidR="009B1E29" w:rsidRPr="00CA361F" w:rsidRDefault="009B1E29" w:rsidP="009B1E29">
      <w:pPr>
        <w:pStyle w:val="Textonotapie"/>
        <w:ind w:firstLine="709"/>
        <w:jc w:val="both"/>
        <w:rPr>
          <w:rFonts w:ascii="Verdana" w:hAnsi="Verdana" w:cs="Arial"/>
          <w:sz w:val="16"/>
          <w:szCs w:val="16"/>
        </w:rPr>
      </w:pPr>
      <w:r w:rsidRPr="00CA361F">
        <w:rPr>
          <w:rStyle w:val="Refdenotaalpie"/>
          <w:rFonts w:ascii="Verdana" w:hAnsi="Verdana" w:cs="Arial"/>
          <w:sz w:val="16"/>
          <w:szCs w:val="16"/>
        </w:rPr>
        <w:footnoteRef/>
      </w:r>
      <w:r w:rsidRPr="00CA361F">
        <w:rPr>
          <w:rFonts w:ascii="Verdana" w:hAnsi="Verdana" w:cs="Arial"/>
          <w:sz w:val="16"/>
          <w:szCs w:val="16"/>
        </w:rPr>
        <w:t xml:space="preserve"> Consejo de Estado. Sección Tercera. Sentencia 18 de febrero de 2010. Rad: 11001-03-26-000-2009-00058-00(37004). CP: Enrique Gil Botero. </w:t>
      </w:r>
    </w:p>
  </w:footnote>
  <w:footnote w:id="5">
    <w:p w14:paraId="718AFA07" w14:textId="77777777" w:rsidR="009B1E29" w:rsidRPr="00CA361F" w:rsidRDefault="009B1E29" w:rsidP="009B1E29">
      <w:pPr>
        <w:pStyle w:val="Textonotapie"/>
        <w:ind w:firstLine="708"/>
        <w:jc w:val="both"/>
        <w:rPr>
          <w:rFonts w:ascii="Verdana" w:hAnsi="Verdana" w:cs="Arial"/>
          <w:color w:val="000000" w:themeColor="text1"/>
          <w:sz w:val="16"/>
          <w:szCs w:val="16"/>
        </w:rPr>
      </w:pPr>
      <w:r w:rsidRPr="00CA361F">
        <w:rPr>
          <w:rStyle w:val="Refdenotaalpie"/>
          <w:rFonts w:ascii="Verdana" w:hAnsi="Verdana" w:cs="Arial"/>
          <w:color w:val="000000" w:themeColor="text1"/>
          <w:sz w:val="16"/>
          <w:szCs w:val="16"/>
        </w:rPr>
        <w:footnoteRef/>
      </w:r>
      <w:r w:rsidRPr="00CA361F">
        <w:rPr>
          <w:rFonts w:ascii="Verdana" w:hAnsi="Verdana" w:cs="Arial"/>
          <w:color w:val="000000" w:themeColor="text1"/>
          <w:sz w:val="16"/>
          <w:szCs w:val="16"/>
        </w:rPr>
        <w:t xml:space="preserve"> HINESTROSA FORERO, Fernando. Tratado de las Obligaciones II. De las fuentes de las obligaciones: el negocio jurídico. Volumen I. Bogotá: Universidad Externado de Colombia, 2015. p. 116.  </w:t>
      </w:r>
    </w:p>
    <w:p w14:paraId="7BA6DE24" w14:textId="77777777" w:rsidR="009B1E29" w:rsidRPr="00CA361F" w:rsidRDefault="009B1E29" w:rsidP="009B1E29">
      <w:pPr>
        <w:pStyle w:val="Textonotapie"/>
        <w:ind w:firstLine="708"/>
        <w:jc w:val="both"/>
        <w:rPr>
          <w:rFonts w:ascii="Verdana" w:hAnsi="Verdana" w:cs="Arial"/>
          <w:color w:val="000000" w:themeColor="text1"/>
          <w:sz w:val="16"/>
          <w:szCs w:val="16"/>
        </w:rPr>
      </w:pPr>
    </w:p>
  </w:footnote>
  <w:footnote w:id="6">
    <w:p w14:paraId="1930548B" w14:textId="77777777" w:rsidR="00461F87" w:rsidRPr="00A660D5" w:rsidRDefault="00461F87" w:rsidP="00461F87">
      <w:pPr>
        <w:pStyle w:val="Textonotapie"/>
        <w:ind w:firstLine="709"/>
        <w:rPr>
          <w:rFonts w:ascii="Verdana" w:hAnsi="Verdana" w:cs="Arial"/>
          <w:color w:val="000000"/>
          <w:sz w:val="16"/>
          <w:szCs w:val="16"/>
        </w:rPr>
      </w:pPr>
      <w:r w:rsidRPr="00A660D5">
        <w:rPr>
          <w:rFonts w:ascii="Verdana" w:hAnsi="Verdana" w:cs="Arial"/>
          <w:color w:val="000000"/>
          <w:sz w:val="16"/>
          <w:szCs w:val="16"/>
          <w:vertAlign w:val="superscript"/>
        </w:rPr>
        <w:footnoteRef/>
      </w:r>
      <w:r w:rsidRPr="00A660D5">
        <w:rPr>
          <w:rFonts w:ascii="Verdana" w:hAnsi="Verdana" w:cs="Arial"/>
          <w:color w:val="000000"/>
          <w:sz w:val="16"/>
          <w:szCs w:val="16"/>
        </w:rPr>
        <w:t xml:space="preserve"> Consejo de Estado. Sección Tercera. Radicado No. 45.607 del 24 de octubre de 2016. Consejera Ponente: María Nubia Velásquez Rico.</w:t>
      </w:r>
    </w:p>
    <w:p w14:paraId="6E28182F" w14:textId="77777777" w:rsidR="00461F87" w:rsidRPr="00A660D5" w:rsidRDefault="00461F87" w:rsidP="00461F87">
      <w:pPr>
        <w:pStyle w:val="Textonotapie"/>
        <w:ind w:firstLine="709"/>
        <w:rPr>
          <w:rFonts w:ascii="Verdana" w:hAnsi="Verdana"/>
          <w:sz w:val="16"/>
          <w:szCs w:val="16"/>
        </w:rPr>
      </w:pPr>
    </w:p>
  </w:footnote>
  <w:footnote w:id="7">
    <w:p w14:paraId="71DD009B" w14:textId="18E930D7" w:rsidR="00135513" w:rsidRPr="00CA361F" w:rsidRDefault="00493167" w:rsidP="00991CAE">
      <w:pPr>
        <w:pStyle w:val="Textonotapie"/>
        <w:jc w:val="both"/>
        <w:rPr>
          <w:rFonts w:ascii="Verdana" w:hAnsi="Verdana"/>
          <w:sz w:val="16"/>
          <w:szCs w:val="16"/>
        </w:rPr>
      </w:pPr>
      <w:r w:rsidRPr="00CA361F">
        <w:rPr>
          <w:rFonts w:ascii="Verdana" w:hAnsi="Verdana"/>
          <w:color w:val="000000"/>
          <w:sz w:val="16"/>
          <w:szCs w:val="16"/>
          <w:vertAlign w:val="superscript"/>
        </w:rPr>
        <w:t>“</w:t>
      </w:r>
      <w:r w:rsidRPr="00CA361F">
        <w:rPr>
          <w:rFonts w:ascii="Verdana" w:hAnsi="Verdana"/>
          <w:color w:val="000000"/>
          <w:sz w:val="16"/>
          <w:szCs w:val="16"/>
        </w:rPr>
        <w:t>Real</w:t>
      </w:r>
      <w:r w:rsidR="00135513" w:rsidRPr="00CA361F">
        <w:rPr>
          <w:rFonts w:ascii="Verdana" w:hAnsi="Verdana"/>
          <w:color w:val="000000"/>
          <w:sz w:val="16"/>
          <w:szCs w:val="16"/>
        </w:rPr>
        <w:t xml:space="preserve"> Academia Española de la Lengua. Diccionario de la Lengua Española. Edición Tricentenario. Disponible en: </w:t>
      </w:r>
      <w:hyperlink r:id="rId1" w:history="1">
        <w:r w:rsidR="00135513" w:rsidRPr="00CA361F">
          <w:rPr>
            <w:rStyle w:val="Hipervnculo"/>
            <w:rFonts w:ascii="Verdana" w:hAnsi="Verdana" w:cs="Arial"/>
            <w:color w:val="000000"/>
            <w:sz w:val="16"/>
            <w:szCs w:val="16"/>
          </w:rPr>
          <w:t>https://dle.rae.es/h%C3%A1bil</w:t>
        </w:r>
      </w:hyperlink>
    </w:p>
  </w:footnote>
  <w:footnote w:id="8">
    <w:p w14:paraId="5F2A66D9"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color w:val="000000"/>
          <w:sz w:val="16"/>
          <w:szCs w:val="16"/>
          <w:vertAlign w:val="superscript"/>
        </w:rPr>
        <w:footnoteRef/>
      </w:r>
      <w:r w:rsidRPr="00CA361F">
        <w:rPr>
          <w:rFonts w:ascii="Verdana" w:hAnsi="Verdana"/>
          <w:color w:val="000000"/>
          <w:sz w:val="16"/>
          <w:szCs w:val="16"/>
        </w:rPr>
        <w:t xml:space="preserve"> MARÍN CORTÉS, Fabián G. Derecho de petición y procedimiento administrativo. 1</w:t>
      </w:r>
      <w:r w:rsidRPr="00CA361F">
        <w:rPr>
          <w:rFonts w:ascii="Verdana" w:hAnsi="Verdana"/>
          <w:color w:val="000000"/>
          <w:sz w:val="16"/>
          <w:szCs w:val="16"/>
          <w:u w:val="single"/>
          <w:vertAlign w:val="superscript"/>
        </w:rPr>
        <w:t>a</w:t>
      </w:r>
      <w:r w:rsidRPr="00CA361F">
        <w:rPr>
          <w:rFonts w:ascii="Verdana" w:hAnsi="Verdana"/>
          <w:color w:val="000000"/>
          <w:sz w:val="16"/>
          <w:szCs w:val="16"/>
        </w:rPr>
        <w:t xml:space="preserve"> ed. Medellín: Librería Jurídica Sánchez R Ltda y Centro de Estudios de Derecho Administrativo, 2017. p. 417. </w:t>
      </w:r>
    </w:p>
  </w:footnote>
  <w:footnote w:id="9">
    <w:p w14:paraId="78B8841F"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color w:val="000000"/>
          <w:sz w:val="16"/>
          <w:szCs w:val="16"/>
          <w:vertAlign w:val="superscript"/>
        </w:rPr>
        <w:footnoteRef/>
      </w:r>
      <w:r w:rsidRPr="00CA361F">
        <w:rPr>
          <w:rFonts w:ascii="Verdana" w:hAnsi="Verdana"/>
          <w:color w:val="000000"/>
          <w:sz w:val="16"/>
          <w:szCs w:val="16"/>
        </w:rPr>
        <w:t xml:space="preserve"> Consejo de Estado. Sala Plena de lo Contencioso Administrativo. Sentencia del 12 de abril de 1978. C.P. Carlos Portocarrero Mutis. Exp. 355.</w:t>
      </w:r>
    </w:p>
  </w:footnote>
  <w:footnote w:id="10">
    <w:p w14:paraId="59B18BAD"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color w:val="000000"/>
          <w:sz w:val="16"/>
          <w:szCs w:val="16"/>
          <w:vertAlign w:val="superscript"/>
        </w:rPr>
        <w:footnoteRef/>
      </w:r>
      <w:r w:rsidRPr="00CA361F">
        <w:rPr>
          <w:rFonts w:ascii="Verdana" w:hAnsi="Verdana"/>
          <w:color w:val="000000"/>
          <w:sz w:val="16"/>
          <w:szCs w:val="16"/>
        </w:rPr>
        <w:t xml:space="preserve"> Consejo de Estado. Sección Cuarta. Auto del 26 de febrero de 1983.</w:t>
      </w:r>
    </w:p>
  </w:footnote>
  <w:footnote w:id="11">
    <w:p w14:paraId="0B4853C7"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sz w:val="16"/>
          <w:szCs w:val="16"/>
          <w:vertAlign w:val="superscript"/>
        </w:rPr>
        <w:footnoteRef/>
      </w:r>
      <w:r w:rsidRPr="00CA361F">
        <w:rPr>
          <w:rFonts w:ascii="Verdana" w:hAnsi="Verdana"/>
          <w:sz w:val="16"/>
          <w:szCs w:val="16"/>
        </w:rPr>
        <w:t xml:space="preserve"> </w:t>
      </w:r>
      <w:r w:rsidRPr="00CA361F">
        <w:rPr>
          <w:rFonts w:ascii="Verdana" w:hAnsi="Verdana"/>
          <w:color w:val="000000"/>
          <w:sz w:val="16"/>
          <w:szCs w:val="16"/>
        </w:rPr>
        <w:t>Consejo de Estado. Sala de lo Contencioso Administrativo. Sección Cuarta. Consejero Ponente: Enrique Low Murtra. Referencia: Radicación No. 10.174. Apelación del auto del tribunal de Caldas sobre impuestos de renta por el año de 1978. Bogotá, 29 de abril de 1983.</w:t>
      </w:r>
    </w:p>
  </w:footnote>
  <w:footnote w:id="12">
    <w:p w14:paraId="70C2AA4B"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sz w:val="16"/>
          <w:szCs w:val="16"/>
          <w:vertAlign w:val="superscript"/>
        </w:rPr>
        <w:footnoteRef/>
      </w:r>
      <w:r w:rsidRPr="00CA361F">
        <w:rPr>
          <w:rFonts w:ascii="Verdana" w:hAnsi="Verdana"/>
          <w:sz w:val="16"/>
          <w:szCs w:val="16"/>
        </w:rPr>
        <w:t xml:space="preserve"> </w:t>
      </w:r>
      <w:r w:rsidRPr="00CA361F">
        <w:rPr>
          <w:rFonts w:ascii="Verdana" w:hAnsi="Verdana"/>
          <w:color w:val="000000"/>
          <w:sz w:val="16"/>
          <w:szCs w:val="16"/>
        </w:rPr>
        <w:t>Departamento Administrativo De La Función Pública. Concepto con Rad. 20196000060051 del 27 de febrero de 2019.</w:t>
      </w:r>
      <w:r w:rsidRPr="00CA361F">
        <w:rPr>
          <w:rFonts w:ascii="Verdana" w:hAnsi="Verdana"/>
          <w:sz w:val="16"/>
          <w:szCs w:val="16"/>
          <w:lang w:eastAsia="es-CO"/>
        </w:rPr>
        <w:t xml:space="preserve"> </w:t>
      </w:r>
    </w:p>
  </w:footnote>
  <w:footnote w:id="13">
    <w:p w14:paraId="770BF781" w14:textId="77777777" w:rsidR="00135513" w:rsidRPr="00CA361F" w:rsidRDefault="00135513" w:rsidP="00135513">
      <w:pPr>
        <w:pStyle w:val="Textonotapie"/>
        <w:ind w:firstLine="709"/>
        <w:jc w:val="both"/>
        <w:rPr>
          <w:rFonts w:ascii="Verdana" w:hAnsi="Verdana"/>
          <w:color w:val="000000"/>
          <w:sz w:val="16"/>
          <w:szCs w:val="16"/>
        </w:rPr>
      </w:pPr>
    </w:p>
    <w:p w14:paraId="2122FE3C"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color w:val="000000"/>
          <w:sz w:val="16"/>
          <w:szCs w:val="16"/>
          <w:vertAlign w:val="superscript"/>
        </w:rPr>
        <w:footnoteRef/>
      </w:r>
      <w:r w:rsidRPr="00CA361F">
        <w:rPr>
          <w:rFonts w:ascii="Verdana" w:hAnsi="Verdana"/>
          <w:color w:val="000000"/>
          <w:sz w:val="16"/>
          <w:szCs w:val="16"/>
        </w:rPr>
        <w:t xml:space="preserve"> MARÍN CORTÉS, Fabián G. Derecho de petición y procedimiento administrativo. 1</w:t>
      </w:r>
      <w:r w:rsidRPr="00CA361F">
        <w:rPr>
          <w:rFonts w:ascii="Verdana" w:hAnsi="Verdana"/>
          <w:color w:val="000000"/>
          <w:sz w:val="16"/>
          <w:szCs w:val="16"/>
          <w:u w:val="single"/>
          <w:vertAlign w:val="superscript"/>
        </w:rPr>
        <w:t>a</w:t>
      </w:r>
      <w:r w:rsidRPr="00CA361F">
        <w:rPr>
          <w:rFonts w:ascii="Verdana" w:hAnsi="Verdana"/>
          <w:color w:val="000000"/>
          <w:sz w:val="16"/>
          <w:szCs w:val="16"/>
        </w:rPr>
        <w:t xml:space="preserve"> ed. Medellín: Librería Jurídica Sánchez R Ltda y Centro de Estudios de Derecho Administrativo, 2017. p. 417.  </w:t>
      </w:r>
    </w:p>
  </w:footnote>
  <w:footnote w:id="14">
    <w:p w14:paraId="56800CB3"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color w:val="000000"/>
          <w:sz w:val="16"/>
          <w:szCs w:val="16"/>
          <w:vertAlign w:val="superscript"/>
        </w:rPr>
        <w:footnoteRef/>
      </w:r>
      <w:r w:rsidRPr="00CA361F">
        <w:rPr>
          <w:rFonts w:ascii="Verdana" w:hAnsi="Verdana"/>
          <w:color w:val="000000"/>
          <w:sz w:val="16"/>
          <w:szCs w:val="16"/>
          <w:lang w:val="es-CO"/>
        </w:rPr>
        <w:t xml:space="preserve"> </w:t>
      </w:r>
      <w:r w:rsidRPr="00CA361F">
        <w:rPr>
          <w:rFonts w:ascii="Verdana" w:hAnsi="Verdana"/>
          <w:i/>
          <w:color w:val="000000"/>
          <w:sz w:val="16"/>
          <w:szCs w:val="16"/>
          <w:lang w:val="es-CO"/>
        </w:rPr>
        <w:t>Ibídem.</w:t>
      </w:r>
      <w:r w:rsidRPr="00CA361F">
        <w:rPr>
          <w:rFonts w:ascii="Verdana" w:hAnsi="Verdana"/>
          <w:color w:val="000000"/>
          <w:sz w:val="16"/>
          <w:szCs w:val="16"/>
          <w:lang w:val="es-CO"/>
        </w:rPr>
        <w:t xml:space="preserve"> </w:t>
      </w:r>
    </w:p>
  </w:footnote>
  <w:footnote w:id="15">
    <w:p w14:paraId="6A8C6456" w14:textId="77777777" w:rsidR="00862E7C" w:rsidRPr="00A660D5" w:rsidRDefault="00862E7C" w:rsidP="00862E7C">
      <w:pPr>
        <w:pStyle w:val="Textonotapie"/>
        <w:ind w:firstLine="708"/>
        <w:jc w:val="both"/>
        <w:rPr>
          <w:rFonts w:ascii="Verdana" w:hAnsi="Verdana" w:cs="Arial"/>
          <w:sz w:val="16"/>
          <w:szCs w:val="16"/>
        </w:rPr>
      </w:pPr>
      <w:r w:rsidRPr="00A660D5">
        <w:rPr>
          <w:rStyle w:val="Refdenotaalpie"/>
          <w:rFonts w:ascii="Verdana" w:hAnsi="Verdana" w:cs="Arial"/>
          <w:sz w:val="16"/>
          <w:szCs w:val="16"/>
        </w:rPr>
        <w:footnoteRef/>
      </w:r>
      <w:r w:rsidRPr="00A660D5">
        <w:rPr>
          <w:rFonts w:ascii="Verdana" w:hAnsi="Verdana" w:cs="Arial"/>
          <w:sz w:val="16"/>
          <w:szCs w:val="16"/>
        </w:rPr>
        <w:t xml:space="preserve"> Agencia Nacional de Contratación Pública –Colombia Compra Eficiente–. Guía de garantías en procesos de contratación. p. 12. Disponible en: </w:t>
      </w:r>
      <w:hyperlink r:id="rId2" w:history="1">
        <w:r w:rsidRPr="00A660D5">
          <w:rPr>
            <w:rStyle w:val="Hipervnculo"/>
            <w:rFonts w:ascii="Verdana" w:hAnsi="Verdana"/>
            <w:sz w:val="16"/>
            <w:szCs w:val="16"/>
          </w:rPr>
          <w:t>https://www.colombiacompra.gov.co/manuales-guias-y-pliegos-tipo/manuales-y-guias</w:t>
        </w:r>
      </w:hyperlink>
      <w:r w:rsidRPr="00A660D5">
        <w:rPr>
          <w:rFonts w:ascii="Verdana" w:hAnsi="Verdana" w:cs="Arial"/>
          <w:sz w:val="16"/>
          <w:szCs w:val="16"/>
        </w:rPr>
        <w:t xml:space="preserve">. </w:t>
      </w:r>
    </w:p>
    <w:p w14:paraId="26F22A2F" w14:textId="77777777" w:rsidR="00862E7C" w:rsidRPr="00A660D5" w:rsidRDefault="00862E7C" w:rsidP="00862E7C">
      <w:pPr>
        <w:pStyle w:val="Textonotapie"/>
        <w:ind w:firstLine="708"/>
        <w:jc w:val="both"/>
        <w:rPr>
          <w:rFonts w:ascii="Verdana" w:hAnsi="Verdana" w:cs="Arial"/>
          <w:sz w:val="16"/>
          <w:szCs w:val="16"/>
          <w:lang w:val="es-CO"/>
        </w:rPr>
      </w:pPr>
    </w:p>
  </w:footnote>
  <w:footnote w:id="16">
    <w:p w14:paraId="334918FA" w14:textId="77777777" w:rsidR="00862E7C" w:rsidRPr="00A660D5" w:rsidRDefault="00862E7C" w:rsidP="00862E7C">
      <w:pPr>
        <w:pStyle w:val="Textonotapie"/>
        <w:ind w:firstLine="708"/>
        <w:jc w:val="both"/>
        <w:rPr>
          <w:rFonts w:ascii="Verdana" w:hAnsi="Verdana" w:cs="Arial"/>
          <w:sz w:val="16"/>
          <w:szCs w:val="16"/>
        </w:rPr>
      </w:pPr>
      <w:r w:rsidRPr="00A660D5">
        <w:rPr>
          <w:rStyle w:val="Refdenotaalpie"/>
          <w:rFonts w:ascii="Verdana" w:hAnsi="Verdana" w:cs="Arial"/>
          <w:sz w:val="16"/>
          <w:szCs w:val="16"/>
        </w:rPr>
        <w:footnoteRef/>
      </w:r>
      <w:r w:rsidRPr="00A660D5">
        <w:rPr>
          <w:rFonts w:ascii="Verdana" w:hAnsi="Verdana" w:cs="Arial"/>
          <w:sz w:val="16"/>
          <w:szCs w:val="16"/>
        </w:rPr>
        <w:t xml:space="preserve"> Ibidem., p. 17. La guía además señala en relación con las garantías bancarias y cartas de crédito stand </w:t>
      </w:r>
      <w:proofErr w:type="spellStart"/>
      <w:r w:rsidRPr="00A660D5">
        <w:rPr>
          <w:rFonts w:ascii="Verdana" w:hAnsi="Verdana" w:cs="Arial"/>
          <w:sz w:val="16"/>
          <w:szCs w:val="16"/>
        </w:rPr>
        <w:t>by</w:t>
      </w:r>
      <w:proofErr w:type="spellEnd"/>
      <w:r w:rsidRPr="00A660D5">
        <w:rPr>
          <w:rFonts w:ascii="Verdana" w:hAnsi="Verdana" w:cs="Arial"/>
          <w:sz w:val="16"/>
          <w:szCs w:val="16"/>
        </w:rPr>
        <w:t>,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FD1C243" w14:textId="683C5ECD"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1E3431"/>
    <w:multiLevelType w:val="hybridMultilevel"/>
    <w:tmpl w:val="95B25ED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F444DB"/>
    <w:multiLevelType w:val="hybridMultilevel"/>
    <w:tmpl w:val="FFFFFFFF"/>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D650D72"/>
    <w:multiLevelType w:val="hybridMultilevel"/>
    <w:tmpl w:val="F050C46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47F00E28"/>
    <w:multiLevelType w:val="hybridMultilevel"/>
    <w:tmpl w:val="FFFFFFFF"/>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9622A6F"/>
    <w:multiLevelType w:val="hybridMultilevel"/>
    <w:tmpl w:val="895640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E7546C3"/>
    <w:multiLevelType w:val="hybridMultilevel"/>
    <w:tmpl w:val="D2245AB2"/>
    <w:lvl w:ilvl="0" w:tplc="240A000B">
      <w:start w:val="1"/>
      <w:numFmt w:val="bullet"/>
      <w:lvlText w:val=""/>
      <w:lvlJc w:val="left"/>
      <w:pPr>
        <w:ind w:left="1429" w:hanging="360"/>
      </w:pPr>
      <w:rPr>
        <w:rFonts w:ascii="Wingdings" w:hAnsi="Wingdings"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5187E34"/>
    <w:multiLevelType w:val="hybridMultilevel"/>
    <w:tmpl w:val="CC0A1F8A"/>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7"/>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0"/>
  </w:num>
  <w:num w:numId="13" w16cid:durableId="1512908409">
    <w:abstractNumId w:val="3"/>
  </w:num>
  <w:num w:numId="14" w16cid:durableId="895897244">
    <w:abstractNumId w:val="18"/>
  </w:num>
  <w:num w:numId="15" w16cid:durableId="390349800">
    <w:abstractNumId w:val="12"/>
  </w:num>
  <w:num w:numId="16" w16cid:durableId="1231622807">
    <w:abstractNumId w:val="16"/>
  </w:num>
  <w:num w:numId="17" w16cid:durableId="1993168164">
    <w:abstractNumId w:val="2"/>
  </w:num>
  <w:num w:numId="18" w16cid:durableId="1165432515">
    <w:abstractNumId w:val="10"/>
  </w:num>
  <w:num w:numId="19" w16cid:durableId="453905314">
    <w:abstractNumId w:val="19"/>
  </w:num>
  <w:num w:numId="20" w16cid:durableId="1439257808">
    <w:abstractNumId w:val="4"/>
  </w:num>
  <w:num w:numId="21" w16cid:durableId="1903903041">
    <w:abstractNumId w:val="11"/>
  </w:num>
  <w:num w:numId="22" w16cid:durableId="13956619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071"/>
    <w:rsid w:val="000048C5"/>
    <w:rsid w:val="000067EB"/>
    <w:rsid w:val="00007825"/>
    <w:rsid w:val="00014535"/>
    <w:rsid w:val="00016F78"/>
    <w:rsid w:val="00022EC4"/>
    <w:rsid w:val="000269BE"/>
    <w:rsid w:val="00026D19"/>
    <w:rsid w:val="00035510"/>
    <w:rsid w:val="00035F0F"/>
    <w:rsid w:val="00046945"/>
    <w:rsid w:val="0005206A"/>
    <w:rsid w:val="0005646A"/>
    <w:rsid w:val="000606F8"/>
    <w:rsid w:val="000618A1"/>
    <w:rsid w:val="00061B2A"/>
    <w:rsid w:val="00062BF5"/>
    <w:rsid w:val="00064CF9"/>
    <w:rsid w:val="000728CE"/>
    <w:rsid w:val="00075EA9"/>
    <w:rsid w:val="00082362"/>
    <w:rsid w:val="000862B7"/>
    <w:rsid w:val="00091C60"/>
    <w:rsid w:val="00095048"/>
    <w:rsid w:val="0009587B"/>
    <w:rsid w:val="000A683E"/>
    <w:rsid w:val="000B19B9"/>
    <w:rsid w:val="000B1C77"/>
    <w:rsid w:val="000B52A0"/>
    <w:rsid w:val="000C4BE5"/>
    <w:rsid w:val="000D0334"/>
    <w:rsid w:val="000D5DA7"/>
    <w:rsid w:val="000D7F87"/>
    <w:rsid w:val="000E38F8"/>
    <w:rsid w:val="000E5511"/>
    <w:rsid w:val="000E5B32"/>
    <w:rsid w:val="000F0068"/>
    <w:rsid w:val="000F1906"/>
    <w:rsid w:val="000F6486"/>
    <w:rsid w:val="00114C61"/>
    <w:rsid w:val="00116940"/>
    <w:rsid w:val="00120BBA"/>
    <w:rsid w:val="00123C06"/>
    <w:rsid w:val="00125105"/>
    <w:rsid w:val="00126AC9"/>
    <w:rsid w:val="00127233"/>
    <w:rsid w:val="00127334"/>
    <w:rsid w:val="001275F2"/>
    <w:rsid w:val="00132CF1"/>
    <w:rsid w:val="00135513"/>
    <w:rsid w:val="00145344"/>
    <w:rsid w:val="001502B6"/>
    <w:rsid w:val="0015510D"/>
    <w:rsid w:val="00155E08"/>
    <w:rsid w:val="0015687D"/>
    <w:rsid w:val="0015699B"/>
    <w:rsid w:val="001579DD"/>
    <w:rsid w:val="00157E3B"/>
    <w:rsid w:val="0017292F"/>
    <w:rsid w:val="00172FD7"/>
    <w:rsid w:val="00185FD3"/>
    <w:rsid w:val="00187FD0"/>
    <w:rsid w:val="00190320"/>
    <w:rsid w:val="00191DE0"/>
    <w:rsid w:val="001970D0"/>
    <w:rsid w:val="001973B0"/>
    <w:rsid w:val="001A0593"/>
    <w:rsid w:val="001A33BF"/>
    <w:rsid w:val="001B1E8A"/>
    <w:rsid w:val="001B3174"/>
    <w:rsid w:val="001B6E80"/>
    <w:rsid w:val="001C0A12"/>
    <w:rsid w:val="001C4A81"/>
    <w:rsid w:val="001C7404"/>
    <w:rsid w:val="001D0D2B"/>
    <w:rsid w:val="001E29B0"/>
    <w:rsid w:val="001E37DB"/>
    <w:rsid w:val="001E4177"/>
    <w:rsid w:val="001F0B24"/>
    <w:rsid w:val="001F7DC6"/>
    <w:rsid w:val="002032BB"/>
    <w:rsid w:val="002142D5"/>
    <w:rsid w:val="0021500B"/>
    <w:rsid w:val="00217465"/>
    <w:rsid w:val="002217E3"/>
    <w:rsid w:val="00222786"/>
    <w:rsid w:val="0022400B"/>
    <w:rsid w:val="00236F84"/>
    <w:rsid w:val="002419BC"/>
    <w:rsid w:val="002421BB"/>
    <w:rsid w:val="00245FBE"/>
    <w:rsid w:val="0024776B"/>
    <w:rsid w:val="00250C1D"/>
    <w:rsid w:val="002511FA"/>
    <w:rsid w:val="002522BB"/>
    <w:rsid w:val="002546CD"/>
    <w:rsid w:val="002571C4"/>
    <w:rsid w:val="0025796E"/>
    <w:rsid w:val="002707A2"/>
    <w:rsid w:val="002739B4"/>
    <w:rsid w:val="0027419B"/>
    <w:rsid w:val="00275D85"/>
    <w:rsid w:val="00284D89"/>
    <w:rsid w:val="00284F92"/>
    <w:rsid w:val="002913A3"/>
    <w:rsid w:val="002951A0"/>
    <w:rsid w:val="002962BC"/>
    <w:rsid w:val="002A093D"/>
    <w:rsid w:val="002A0DD0"/>
    <w:rsid w:val="002A1073"/>
    <w:rsid w:val="002A2AEB"/>
    <w:rsid w:val="002A49AC"/>
    <w:rsid w:val="002A5EBD"/>
    <w:rsid w:val="002A64FD"/>
    <w:rsid w:val="002A708E"/>
    <w:rsid w:val="002A7508"/>
    <w:rsid w:val="002B1642"/>
    <w:rsid w:val="002B2199"/>
    <w:rsid w:val="002B2BC7"/>
    <w:rsid w:val="002B5479"/>
    <w:rsid w:val="002C7A84"/>
    <w:rsid w:val="002D585D"/>
    <w:rsid w:val="002D65D1"/>
    <w:rsid w:val="002D6AC3"/>
    <w:rsid w:val="002E21C3"/>
    <w:rsid w:val="002E24BA"/>
    <w:rsid w:val="002E2BF8"/>
    <w:rsid w:val="002E4FD9"/>
    <w:rsid w:val="002F0336"/>
    <w:rsid w:val="002F12B6"/>
    <w:rsid w:val="002F71D3"/>
    <w:rsid w:val="00304BB2"/>
    <w:rsid w:val="0030657A"/>
    <w:rsid w:val="00312018"/>
    <w:rsid w:val="00315440"/>
    <w:rsid w:val="00315554"/>
    <w:rsid w:val="00316DB5"/>
    <w:rsid w:val="00317379"/>
    <w:rsid w:val="00320A6B"/>
    <w:rsid w:val="0032284F"/>
    <w:rsid w:val="00322A85"/>
    <w:rsid w:val="00322EAD"/>
    <w:rsid w:val="00324168"/>
    <w:rsid w:val="00330834"/>
    <w:rsid w:val="0033088A"/>
    <w:rsid w:val="003317B5"/>
    <w:rsid w:val="003338B3"/>
    <w:rsid w:val="00333AA8"/>
    <w:rsid w:val="0033781D"/>
    <w:rsid w:val="00343F19"/>
    <w:rsid w:val="003448F4"/>
    <w:rsid w:val="00346986"/>
    <w:rsid w:val="00346F2F"/>
    <w:rsid w:val="0035063E"/>
    <w:rsid w:val="003623DA"/>
    <w:rsid w:val="00374F5E"/>
    <w:rsid w:val="003773F6"/>
    <w:rsid w:val="00377E3E"/>
    <w:rsid w:val="00380580"/>
    <w:rsid w:val="00385841"/>
    <w:rsid w:val="00390AB6"/>
    <w:rsid w:val="00394998"/>
    <w:rsid w:val="003A779E"/>
    <w:rsid w:val="003B0CCD"/>
    <w:rsid w:val="003B5617"/>
    <w:rsid w:val="003B6DDB"/>
    <w:rsid w:val="003B76FC"/>
    <w:rsid w:val="003D0F4D"/>
    <w:rsid w:val="003D5B0D"/>
    <w:rsid w:val="003D7504"/>
    <w:rsid w:val="003E0499"/>
    <w:rsid w:val="003E18B4"/>
    <w:rsid w:val="003E1FC4"/>
    <w:rsid w:val="003E4F80"/>
    <w:rsid w:val="003E51D6"/>
    <w:rsid w:val="003E6439"/>
    <w:rsid w:val="003F3941"/>
    <w:rsid w:val="003F7C17"/>
    <w:rsid w:val="0040045E"/>
    <w:rsid w:val="00406575"/>
    <w:rsid w:val="0041116E"/>
    <w:rsid w:val="00414C74"/>
    <w:rsid w:val="0042722E"/>
    <w:rsid w:val="00444274"/>
    <w:rsid w:val="004445EF"/>
    <w:rsid w:val="00444E53"/>
    <w:rsid w:val="0044528D"/>
    <w:rsid w:val="004472A8"/>
    <w:rsid w:val="00447553"/>
    <w:rsid w:val="0044787D"/>
    <w:rsid w:val="0045576E"/>
    <w:rsid w:val="00456852"/>
    <w:rsid w:val="004568A9"/>
    <w:rsid w:val="00461F87"/>
    <w:rsid w:val="00462530"/>
    <w:rsid w:val="00466E39"/>
    <w:rsid w:val="0046741B"/>
    <w:rsid w:val="004718E2"/>
    <w:rsid w:val="004749D4"/>
    <w:rsid w:val="00481B84"/>
    <w:rsid w:val="004841F7"/>
    <w:rsid w:val="00492C7E"/>
    <w:rsid w:val="00493167"/>
    <w:rsid w:val="004A1847"/>
    <w:rsid w:val="004A20F0"/>
    <w:rsid w:val="004A305D"/>
    <w:rsid w:val="004A3EA2"/>
    <w:rsid w:val="004A4FA7"/>
    <w:rsid w:val="004C1983"/>
    <w:rsid w:val="004C2FF4"/>
    <w:rsid w:val="004C747F"/>
    <w:rsid w:val="004D0814"/>
    <w:rsid w:val="004D0865"/>
    <w:rsid w:val="004D337C"/>
    <w:rsid w:val="004D41DA"/>
    <w:rsid w:val="004D79CD"/>
    <w:rsid w:val="004D7F5E"/>
    <w:rsid w:val="004E718A"/>
    <w:rsid w:val="004F1F7D"/>
    <w:rsid w:val="004F21C4"/>
    <w:rsid w:val="004F685F"/>
    <w:rsid w:val="00500CAA"/>
    <w:rsid w:val="00501A1E"/>
    <w:rsid w:val="00502912"/>
    <w:rsid w:val="005079C1"/>
    <w:rsid w:val="00511063"/>
    <w:rsid w:val="00511A07"/>
    <w:rsid w:val="00521582"/>
    <w:rsid w:val="00525DB1"/>
    <w:rsid w:val="00527143"/>
    <w:rsid w:val="00530370"/>
    <w:rsid w:val="00530411"/>
    <w:rsid w:val="005309B9"/>
    <w:rsid w:val="00537AF2"/>
    <w:rsid w:val="00537B96"/>
    <w:rsid w:val="005411DF"/>
    <w:rsid w:val="00545D87"/>
    <w:rsid w:val="00553B4C"/>
    <w:rsid w:val="00554C5F"/>
    <w:rsid w:val="0055585F"/>
    <w:rsid w:val="005566E8"/>
    <w:rsid w:val="00557819"/>
    <w:rsid w:val="005613FC"/>
    <w:rsid w:val="005644E8"/>
    <w:rsid w:val="00564D49"/>
    <w:rsid w:val="00564E7A"/>
    <w:rsid w:val="00567888"/>
    <w:rsid w:val="00574867"/>
    <w:rsid w:val="00576A14"/>
    <w:rsid w:val="00583DD9"/>
    <w:rsid w:val="005843C3"/>
    <w:rsid w:val="005859AB"/>
    <w:rsid w:val="0058728C"/>
    <w:rsid w:val="00591460"/>
    <w:rsid w:val="00591F4B"/>
    <w:rsid w:val="00595A26"/>
    <w:rsid w:val="00597054"/>
    <w:rsid w:val="005974DF"/>
    <w:rsid w:val="005A65E0"/>
    <w:rsid w:val="005B1FE9"/>
    <w:rsid w:val="005B2335"/>
    <w:rsid w:val="005B539E"/>
    <w:rsid w:val="005B65C9"/>
    <w:rsid w:val="005B6DA1"/>
    <w:rsid w:val="005B7807"/>
    <w:rsid w:val="005B7859"/>
    <w:rsid w:val="005C336E"/>
    <w:rsid w:val="005C3777"/>
    <w:rsid w:val="005C5CDC"/>
    <w:rsid w:val="005D476C"/>
    <w:rsid w:val="005E4904"/>
    <w:rsid w:val="005E54DC"/>
    <w:rsid w:val="005E7133"/>
    <w:rsid w:val="005E78FA"/>
    <w:rsid w:val="005F1A3B"/>
    <w:rsid w:val="005F5171"/>
    <w:rsid w:val="005F75F0"/>
    <w:rsid w:val="00600A2D"/>
    <w:rsid w:val="00600AF2"/>
    <w:rsid w:val="00601EA0"/>
    <w:rsid w:val="00602F2F"/>
    <w:rsid w:val="00607513"/>
    <w:rsid w:val="006119D0"/>
    <w:rsid w:val="00611FFD"/>
    <w:rsid w:val="00616415"/>
    <w:rsid w:val="006171C9"/>
    <w:rsid w:val="006200BF"/>
    <w:rsid w:val="006219F8"/>
    <w:rsid w:val="00627A96"/>
    <w:rsid w:val="006302F7"/>
    <w:rsid w:val="00630D79"/>
    <w:rsid w:val="006312D5"/>
    <w:rsid w:val="0063209A"/>
    <w:rsid w:val="006347E4"/>
    <w:rsid w:val="00635BB7"/>
    <w:rsid w:val="00643A17"/>
    <w:rsid w:val="00646B9F"/>
    <w:rsid w:val="00651A8F"/>
    <w:rsid w:val="00656C6D"/>
    <w:rsid w:val="00657839"/>
    <w:rsid w:val="00665B82"/>
    <w:rsid w:val="00665D70"/>
    <w:rsid w:val="00666470"/>
    <w:rsid w:val="00681D64"/>
    <w:rsid w:val="00685282"/>
    <w:rsid w:val="006900D9"/>
    <w:rsid w:val="00694FE0"/>
    <w:rsid w:val="00696FEC"/>
    <w:rsid w:val="006A7442"/>
    <w:rsid w:val="006A7A97"/>
    <w:rsid w:val="006B7A3F"/>
    <w:rsid w:val="006C0A0E"/>
    <w:rsid w:val="006D0669"/>
    <w:rsid w:val="006D66B4"/>
    <w:rsid w:val="006E0540"/>
    <w:rsid w:val="006E07E2"/>
    <w:rsid w:val="006E4CEA"/>
    <w:rsid w:val="006F56B8"/>
    <w:rsid w:val="006F7CF1"/>
    <w:rsid w:val="006F7EC8"/>
    <w:rsid w:val="00706C16"/>
    <w:rsid w:val="00711D7A"/>
    <w:rsid w:val="00713D4F"/>
    <w:rsid w:val="00715F79"/>
    <w:rsid w:val="00716A58"/>
    <w:rsid w:val="00733EE1"/>
    <w:rsid w:val="007340C3"/>
    <w:rsid w:val="00740F50"/>
    <w:rsid w:val="00741B1B"/>
    <w:rsid w:val="0075235A"/>
    <w:rsid w:val="007524D4"/>
    <w:rsid w:val="0075563A"/>
    <w:rsid w:val="00756841"/>
    <w:rsid w:val="007608AF"/>
    <w:rsid w:val="007649AB"/>
    <w:rsid w:val="00771D0C"/>
    <w:rsid w:val="00775113"/>
    <w:rsid w:val="007833AC"/>
    <w:rsid w:val="00790363"/>
    <w:rsid w:val="00793368"/>
    <w:rsid w:val="0079465D"/>
    <w:rsid w:val="007B0D5D"/>
    <w:rsid w:val="007B150E"/>
    <w:rsid w:val="007B268C"/>
    <w:rsid w:val="007B7171"/>
    <w:rsid w:val="007C026D"/>
    <w:rsid w:val="007C0C0F"/>
    <w:rsid w:val="007C3DC2"/>
    <w:rsid w:val="007C5871"/>
    <w:rsid w:val="007C703C"/>
    <w:rsid w:val="007D1B3B"/>
    <w:rsid w:val="007D7B53"/>
    <w:rsid w:val="007E0AF6"/>
    <w:rsid w:val="007E5497"/>
    <w:rsid w:val="008009EB"/>
    <w:rsid w:val="00803F5D"/>
    <w:rsid w:val="008043B7"/>
    <w:rsid w:val="00806F5F"/>
    <w:rsid w:val="00811169"/>
    <w:rsid w:val="0081240B"/>
    <w:rsid w:val="00812B3D"/>
    <w:rsid w:val="00820278"/>
    <w:rsid w:val="008203BA"/>
    <w:rsid w:val="0082088B"/>
    <w:rsid w:val="00820BE5"/>
    <w:rsid w:val="008258C9"/>
    <w:rsid w:val="008370A4"/>
    <w:rsid w:val="0084035E"/>
    <w:rsid w:val="008408B6"/>
    <w:rsid w:val="00844AE9"/>
    <w:rsid w:val="00850929"/>
    <w:rsid w:val="0085200F"/>
    <w:rsid w:val="00860623"/>
    <w:rsid w:val="00862E7C"/>
    <w:rsid w:val="00863723"/>
    <w:rsid w:val="00867F95"/>
    <w:rsid w:val="008722E2"/>
    <w:rsid w:val="008724BA"/>
    <w:rsid w:val="008758EA"/>
    <w:rsid w:val="008843B6"/>
    <w:rsid w:val="008851D9"/>
    <w:rsid w:val="008870F0"/>
    <w:rsid w:val="00891928"/>
    <w:rsid w:val="00892BD6"/>
    <w:rsid w:val="00895FA4"/>
    <w:rsid w:val="00896D48"/>
    <w:rsid w:val="008A06B7"/>
    <w:rsid w:val="008A30DC"/>
    <w:rsid w:val="008A3E9F"/>
    <w:rsid w:val="008A446D"/>
    <w:rsid w:val="008A4ED6"/>
    <w:rsid w:val="008B25F1"/>
    <w:rsid w:val="008B7670"/>
    <w:rsid w:val="008C32DB"/>
    <w:rsid w:val="008C566D"/>
    <w:rsid w:val="008C6CAB"/>
    <w:rsid w:val="008C6CB1"/>
    <w:rsid w:val="008C771F"/>
    <w:rsid w:val="008D180B"/>
    <w:rsid w:val="008F0EA7"/>
    <w:rsid w:val="00901087"/>
    <w:rsid w:val="0091331A"/>
    <w:rsid w:val="00920A6D"/>
    <w:rsid w:val="00923EEF"/>
    <w:rsid w:val="00925904"/>
    <w:rsid w:val="00932929"/>
    <w:rsid w:val="00932AAB"/>
    <w:rsid w:val="00933B70"/>
    <w:rsid w:val="009342F4"/>
    <w:rsid w:val="0093484D"/>
    <w:rsid w:val="009419F9"/>
    <w:rsid w:val="0095123E"/>
    <w:rsid w:val="00951F7F"/>
    <w:rsid w:val="0095685E"/>
    <w:rsid w:val="00961B09"/>
    <w:rsid w:val="0096370A"/>
    <w:rsid w:val="00964B06"/>
    <w:rsid w:val="00964E6C"/>
    <w:rsid w:val="00965334"/>
    <w:rsid w:val="0097093E"/>
    <w:rsid w:val="00971E16"/>
    <w:rsid w:val="009759E3"/>
    <w:rsid w:val="00976325"/>
    <w:rsid w:val="00987544"/>
    <w:rsid w:val="00991CAE"/>
    <w:rsid w:val="00993EEE"/>
    <w:rsid w:val="0099416D"/>
    <w:rsid w:val="00995A21"/>
    <w:rsid w:val="009967EA"/>
    <w:rsid w:val="00997CE0"/>
    <w:rsid w:val="009A0DFA"/>
    <w:rsid w:val="009A1C6F"/>
    <w:rsid w:val="009A3F82"/>
    <w:rsid w:val="009A7BF5"/>
    <w:rsid w:val="009B1E29"/>
    <w:rsid w:val="009B2D26"/>
    <w:rsid w:val="009B4131"/>
    <w:rsid w:val="009C1D9E"/>
    <w:rsid w:val="009C5E68"/>
    <w:rsid w:val="009C71FA"/>
    <w:rsid w:val="009C7233"/>
    <w:rsid w:val="009C72E7"/>
    <w:rsid w:val="009C7F7E"/>
    <w:rsid w:val="009D3058"/>
    <w:rsid w:val="009D660A"/>
    <w:rsid w:val="009E2A24"/>
    <w:rsid w:val="009F3608"/>
    <w:rsid w:val="009F3A13"/>
    <w:rsid w:val="009F4F45"/>
    <w:rsid w:val="009F605E"/>
    <w:rsid w:val="00A122D3"/>
    <w:rsid w:val="00A14468"/>
    <w:rsid w:val="00A157EE"/>
    <w:rsid w:val="00A17955"/>
    <w:rsid w:val="00A17F13"/>
    <w:rsid w:val="00A20739"/>
    <w:rsid w:val="00A23AF9"/>
    <w:rsid w:val="00A254C6"/>
    <w:rsid w:val="00A2664F"/>
    <w:rsid w:val="00A30466"/>
    <w:rsid w:val="00A33C78"/>
    <w:rsid w:val="00A4758B"/>
    <w:rsid w:val="00A6196E"/>
    <w:rsid w:val="00A660D5"/>
    <w:rsid w:val="00A665FA"/>
    <w:rsid w:val="00A67A9A"/>
    <w:rsid w:val="00A708F0"/>
    <w:rsid w:val="00A8278E"/>
    <w:rsid w:val="00A84B85"/>
    <w:rsid w:val="00A85CD0"/>
    <w:rsid w:val="00A97164"/>
    <w:rsid w:val="00AA1A62"/>
    <w:rsid w:val="00AA65D2"/>
    <w:rsid w:val="00AB0ADB"/>
    <w:rsid w:val="00AB1880"/>
    <w:rsid w:val="00AB5520"/>
    <w:rsid w:val="00AC50BC"/>
    <w:rsid w:val="00AD3BAF"/>
    <w:rsid w:val="00AD4119"/>
    <w:rsid w:val="00AD667B"/>
    <w:rsid w:val="00AE0BD4"/>
    <w:rsid w:val="00AE2505"/>
    <w:rsid w:val="00AE7608"/>
    <w:rsid w:val="00AF7D4C"/>
    <w:rsid w:val="00B00362"/>
    <w:rsid w:val="00B00C0E"/>
    <w:rsid w:val="00B01B1A"/>
    <w:rsid w:val="00B0381D"/>
    <w:rsid w:val="00B07F45"/>
    <w:rsid w:val="00B1114B"/>
    <w:rsid w:val="00B12A1E"/>
    <w:rsid w:val="00B1374E"/>
    <w:rsid w:val="00B2013A"/>
    <w:rsid w:val="00B32A59"/>
    <w:rsid w:val="00B32D33"/>
    <w:rsid w:val="00B40530"/>
    <w:rsid w:val="00B44A47"/>
    <w:rsid w:val="00B45350"/>
    <w:rsid w:val="00B4744A"/>
    <w:rsid w:val="00B474ED"/>
    <w:rsid w:val="00B55134"/>
    <w:rsid w:val="00B715F5"/>
    <w:rsid w:val="00B72CD3"/>
    <w:rsid w:val="00B72FFF"/>
    <w:rsid w:val="00B75627"/>
    <w:rsid w:val="00B76F8D"/>
    <w:rsid w:val="00B94F35"/>
    <w:rsid w:val="00BA11CF"/>
    <w:rsid w:val="00BC0F5E"/>
    <w:rsid w:val="00BC3D36"/>
    <w:rsid w:val="00BC6355"/>
    <w:rsid w:val="00BD27BE"/>
    <w:rsid w:val="00BD54A6"/>
    <w:rsid w:val="00BD6908"/>
    <w:rsid w:val="00BD7F72"/>
    <w:rsid w:val="00BE0798"/>
    <w:rsid w:val="00BE193E"/>
    <w:rsid w:val="00BE46D3"/>
    <w:rsid w:val="00BF2FAB"/>
    <w:rsid w:val="00BF4747"/>
    <w:rsid w:val="00BF50A9"/>
    <w:rsid w:val="00BF7425"/>
    <w:rsid w:val="00C0052F"/>
    <w:rsid w:val="00C04FB3"/>
    <w:rsid w:val="00C07D78"/>
    <w:rsid w:val="00C119D3"/>
    <w:rsid w:val="00C11D8B"/>
    <w:rsid w:val="00C12883"/>
    <w:rsid w:val="00C15139"/>
    <w:rsid w:val="00C23234"/>
    <w:rsid w:val="00C242FE"/>
    <w:rsid w:val="00C250C4"/>
    <w:rsid w:val="00C330EB"/>
    <w:rsid w:val="00C37277"/>
    <w:rsid w:val="00C50D69"/>
    <w:rsid w:val="00C5365C"/>
    <w:rsid w:val="00C6721D"/>
    <w:rsid w:val="00C74AEA"/>
    <w:rsid w:val="00C754BE"/>
    <w:rsid w:val="00C76B1C"/>
    <w:rsid w:val="00C838A1"/>
    <w:rsid w:val="00C83B53"/>
    <w:rsid w:val="00C925AC"/>
    <w:rsid w:val="00C9294B"/>
    <w:rsid w:val="00C92BF6"/>
    <w:rsid w:val="00C944C6"/>
    <w:rsid w:val="00CA361F"/>
    <w:rsid w:val="00CA4DC0"/>
    <w:rsid w:val="00CA5F7F"/>
    <w:rsid w:val="00CB4060"/>
    <w:rsid w:val="00CB6357"/>
    <w:rsid w:val="00CB69C7"/>
    <w:rsid w:val="00CB6F3F"/>
    <w:rsid w:val="00CC1B26"/>
    <w:rsid w:val="00CC7BD4"/>
    <w:rsid w:val="00CD0629"/>
    <w:rsid w:val="00CD1407"/>
    <w:rsid w:val="00CD6B6E"/>
    <w:rsid w:val="00CE4FFD"/>
    <w:rsid w:val="00CE5C23"/>
    <w:rsid w:val="00CF04DD"/>
    <w:rsid w:val="00CF1855"/>
    <w:rsid w:val="00CF28F0"/>
    <w:rsid w:val="00CF523C"/>
    <w:rsid w:val="00CF6C56"/>
    <w:rsid w:val="00CF7A89"/>
    <w:rsid w:val="00D022DF"/>
    <w:rsid w:val="00D07755"/>
    <w:rsid w:val="00D10BDC"/>
    <w:rsid w:val="00D123E1"/>
    <w:rsid w:val="00D21534"/>
    <w:rsid w:val="00D21812"/>
    <w:rsid w:val="00D21BDA"/>
    <w:rsid w:val="00D3011C"/>
    <w:rsid w:val="00D33E01"/>
    <w:rsid w:val="00D35DBB"/>
    <w:rsid w:val="00D361FD"/>
    <w:rsid w:val="00D37863"/>
    <w:rsid w:val="00D423A2"/>
    <w:rsid w:val="00D44E26"/>
    <w:rsid w:val="00D465E2"/>
    <w:rsid w:val="00D520D8"/>
    <w:rsid w:val="00D52C15"/>
    <w:rsid w:val="00D550C4"/>
    <w:rsid w:val="00D63AC2"/>
    <w:rsid w:val="00D66651"/>
    <w:rsid w:val="00D71EE2"/>
    <w:rsid w:val="00D7383B"/>
    <w:rsid w:val="00D775D4"/>
    <w:rsid w:val="00D7788A"/>
    <w:rsid w:val="00D81A23"/>
    <w:rsid w:val="00D96D88"/>
    <w:rsid w:val="00DA231B"/>
    <w:rsid w:val="00DA2BC3"/>
    <w:rsid w:val="00DB4F06"/>
    <w:rsid w:val="00DB67DA"/>
    <w:rsid w:val="00DB7621"/>
    <w:rsid w:val="00DC340B"/>
    <w:rsid w:val="00DC39FC"/>
    <w:rsid w:val="00DC4F71"/>
    <w:rsid w:val="00DD4860"/>
    <w:rsid w:val="00DD4A97"/>
    <w:rsid w:val="00DE188D"/>
    <w:rsid w:val="00DE4194"/>
    <w:rsid w:val="00DE64CB"/>
    <w:rsid w:val="00DF0860"/>
    <w:rsid w:val="00DF19CA"/>
    <w:rsid w:val="00DF5254"/>
    <w:rsid w:val="00DF55F5"/>
    <w:rsid w:val="00E002F3"/>
    <w:rsid w:val="00E02524"/>
    <w:rsid w:val="00E04516"/>
    <w:rsid w:val="00E13CA9"/>
    <w:rsid w:val="00E16408"/>
    <w:rsid w:val="00E20894"/>
    <w:rsid w:val="00E245AB"/>
    <w:rsid w:val="00E2764C"/>
    <w:rsid w:val="00E27F2E"/>
    <w:rsid w:val="00E31422"/>
    <w:rsid w:val="00E35BB4"/>
    <w:rsid w:val="00E37500"/>
    <w:rsid w:val="00E405E3"/>
    <w:rsid w:val="00E40A23"/>
    <w:rsid w:val="00E421B2"/>
    <w:rsid w:val="00E427C9"/>
    <w:rsid w:val="00E50AFE"/>
    <w:rsid w:val="00E65105"/>
    <w:rsid w:val="00E70A53"/>
    <w:rsid w:val="00E70B45"/>
    <w:rsid w:val="00E70FD7"/>
    <w:rsid w:val="00E72CE6"/>
    <w:rsid w:val="00E74D1B"/>
    <w:rsid w:val="00E75C92"/>
    <w:rsid w:val="00E771DC"/>
    <w:rsid w:val="00E805A5"/>
    <w:rsid w:val="00E828F3"/>
    <w:rsid w:val="00E85E99"/>
    <w:rsid w:val="00E8772A"/>
    <w:rsid w:val="00E90DDD"/>
    <w:rsid w:val="00E90F6B"/>
    <w:rsid w:val="00E92920"/>
    <w:rsid w:val="00E92C27"/>
    <w:rsid w:val="00E9788C"/>
    <w:rsid w:val="00EA0E3D"/>
    <w:rsid w:val="00EA3DA4"/>
    <w:rsid w:val="00EB0E42"/>
    <w:rsid w:val="00EC38A7"/>
    <w:rsid w:val="00ED0EAC"/>
    <w:rsid w:val="00ED2261"/>
    <w:rsid w:val="00ED65BA"/>
    <w:rsid w:val="00EE08F6"/>
    <w:rsid w:val="00EE1AA8"/>
    <w:rsid w:val="00EE29A1"/>
    <w:rsid w:val="00EE36EA"/>
    <w:rsid w:val="00EE73D1"/>
    <w:rsid w:val="00EF34B8"/>
    <w:rsid w:val="00EF5EC8"/>
    <w:rsid w:val="00EF6EEA"/>
    <w:rsid w:val="00F001CF"/>
    <w:rsid w:val="00F0284C"/>
    <w:rsid w:val="00F07173"/>
    <w:rsid w:val="00F1160A"/>
    <w:rsid w:val="00F151CE"/>
    <w:rsid w:val="00F15243"/>
    <w:rsid w:val="00F20D6B"/>
    <w:rsid w:val="00F2339F"/>
    <w:rsid w:val="00F23FEA"/>
    <w:rsid w:val="00F25348"/>
    <w:rsid w:val="00F30D6E"/>
    <w:rsid w:val="00F31EDC"/>
    <w:rsid w:val="00F3333D"/>
    <w:rsid w:val="00F33F35"/>
    <w:rsid w:val="00F36B05"/>
    <w:rsid w:val="00F374C2"/>
    <w:rsid w:val="00F37CCA"/>
    <w:rsid w:val="00F417FE"/>
    <w:rsid w:val="00F462B3"/>
    <w:rsid w:val="00F517A2"/>
    <w:rsid w:val="00F538C0"/>
    <w:rsid w:val="00F54EAF"/>
    <w:rsid w:val="00F5664F"/>
    <w:rsid w:val="00F56754"/>
    <w:rsid w:val="00F60D6A"/>
    <w:rsid w:val="00F666C4"/>
    <w:rsid w:val="00F750E9"/>
    <w:rsid w:val="00F76AFC"/>
    <w:rsid w:val="00F90C7B"/>
    <w:rsid w:val="00FA193E"/>
    <w:rsid w:val="00FA47C0"/>
    <w:rsid w:val="00FA56DE"/>
    <w:rsid w:val="00FA7B6A"/>
    <w:rsid w:val="00FB5DD1"/>
    <w:rsid w:val="00FB60F3"/>
    <w:rsid w:val="00FB6EA0"/>
    <w:rsid w:val="00FC2B5D"/>
    <w:rsid w:val="00FC3BDC"/>
    <w:rsid w:val="00FC3D1C"/>
    <w:rsid w:val="00FC44ED"/>
    <w:rsid w:val="00FC4D16"/>
    <w:rsid w:val="00FC60CE"/>
    <w:rsid w:val="00FC6B03"/>
    <w:rsid w:val="00FD541C"/>
    <w:rsid w:val="00FE1014"/>
    <w:rsid w:val="00FE1A0C"/>
    <w:rsid w:val="00FE21BB"/>
    <w:rsid w:val="00FE258B"/>
    <w:rsid w:val="00FF0AA3"/>
    <w:rsid w:val="00FF1449"/>
    <w:rsid w:val="00FF3F55"/>
    <w:rsid w:val="00FF7963"/>
    <w:rsid w:val="071B8F93"/>
    <w:rsid w:val="09908A09"/>
    <w:rsid w:val="0FF4CCA8"/>
    <w:rsid w:val="13CFC91B"/>
    <w:rsid w:val="19A2EC2C"/>
    <w:rsid w:val="2859CA1B"/>
    <w:rsid w:val="32A4F9CF"/>
    <w:rsid w:val="356CEDFD"/>
    <w:rsid w:val="4E318A36"/>
    <w:rsid w:val="69614A15"/>
    <w:rsid w:val="7BB183BC"/>
    <w:rsid w:val="7EBBAC04"/>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CF5AE00-F343-43FD-9E45-CAD621038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516"/>
  </w:style>
  <w:style w:type="paragraph" w:styleId="Ttulo1">
    <w:name w:val="heading 1"/>
    <w:basedOn w:val="Normal"/>
    <w:next w:val="Normal"/>
    <w:link w:val="Ttulo1Car"/>
    <w:uiPriority w:val="9"/>
    <w:qFormat/>
    <w:rsid w:val="00B32D3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F,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B32D33"/>
    <w:rPr>
      <w:rFonts w:asciiTheme="majorHAnsi" w:eastAsiaTheme="majorEastAsia" w:hAnsiTheme="majorHAnsi" w:cstheme="majorBidi"/>
      <w:color w:val="2F5496" w:themeColor="accent1" w:themeShade="BF"/>
      <w:sz w:val="32"/>
      <w:szCs w:val="32"/>
    </w:rPr>
  </w:style>
  <w:style w:type="paragraph" w:customStyle="1" w:styleId="Appelnotedebasde">
    <w:name w:val="Appel note de bas de..."/>
    <w:basedOn w:val="Normal"/>
    <w:link w:val="Refdenotaalpie"/>
    <w:uiPriority w:val="99"/>
    <w:rsid w:val="009B1E29"/>
    <w:pPr>
      <w:spacing w:line="240" w:lineRule="exact"/>
    </w:pPr>
    <w:rPr>
      <w:vertAlign w:val="superscript"/>
    </w:rPr>
  </w:style>
  <w:style w:type="paragraph" w:styleId="Textoindependiente">
    <w:name w:val="Body Text"/>
    <w:basedOn w:val="Normal"/>
    <w:link w:val="TextoindependienteCar"/>
    <w:uiPriority w:val="1"/>
    <w:unhideWhenUsed/>
    <w:rsid w:val="009B1E29"/>
    <w:pPr>
      <w:widowControl w:val="0"/>
      <w:autoSpaceDE w:val="0"/>
      <w:autoSpaceDN w:val="0"/>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9B1E29"/>
    <w:rPr>
      <w:rFonts w:ascii="Arial" w:eastAsia="Arial" w:hAnsi="Arial" w:cs="Arial"/>
      <w:lang w:val="es-ES"/>
    </w:rPr>
  </w:style>
  <w:style w:type="character" w:styleId="Refdecomentario">
    <w:name w:val="annotation reference"/>
    <w:basedOn w:val="Fuentedeprrafopredeter"/>
    <w:uiPriority w:val="99"/>
    <w:semiHidden/>
    <w:unhideWhenUsed/>
    <w:rsid w:val="00E70FD7"/>
    <w:rPr>
      <w:sz w:val="16"/>
      <w:szCs w:val="16"/>
    </w:rPr>
  </w:style>
  <w:style w:type="paragraph" w:styleId="Textocomentario">
    <w:name w:val="annotation text"/>
    <w:basedOn w:val="Normal"/>
    <w:link w:val="TextocomentarioCar"/>
    <w:uiPriority w:val="99"/>
    <w:unhideWhenUsed/>
    <w:rsid w:val="00E70FD7"/>
    <w:pPr>
      <w:spacing w:line="240" w:lineRule="auto"/>
    </w:pPr>
    <w:rPr>
      <w:sz w:val="20"/>
      <w:szCs w:val="20"/>
    </w:rPr>
  </w:style>
  <w:style w:type="character" w:customStyle="1" w:styleId="TextocomentarioCar">
    <w:name w:val="Texto comentario Car"/>
    <w:basedOn w:val="Fuentedeprrafopredeter"/>
    <w:link w:val="Textocomentario"/>
    <w:uiPriority w:val="99"/>
    <w:rsid w:val="00E70FD7"/>
    <w:rPr>
      <w:sz w:val="20"/>
      <w:szCs w:val="20"/>
    </w:rPr>
  </w:style>
  <w:style w:type="paragraph" w:styleId="Asuntodelcomentario">
    <w:name w:val="annotation subject"/>
    <w:basedOn w:val="Textocomentario"/>
    <w:next w:val="Textocomentario"/>
    <w:link w:val="AsuntodelcomentarioCar"/>
    <w:uiPriority w:val="99"/>
    <w:semiHidden/>
    <w:unhideWhenUsed/>
    <w:rsid w:val="00E70FD7"/>
    <w:rPr>
      <w:b/>
      <w:bCs/>
    </w:rPr>
  </w:style>
  <w:style w:type="character" w:customStyle="1" w:styleId="AsuntodelcomentarioCar">
    <w:name w:val="Asunto del comentario Car"/>
    <w:basedOn w:val="TextocomentarioCar"/>
    <w:link w:val="Asuntodelcomentario"/>
    <w:uiPriority w:val="99"/>
    <w:semiHidden/>
    <w:rsid w:val="00E70F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uismogollon20@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manuales-guias-y-pliegos-tipo/manuales-y-guias" TargetMode="External"/><Relationship Id="rId1" Type="http://schemas.openxmlformats.org/officeDocument/2006/relationships/hyperlink" Target="https://dle.rae.es/h%C3%A1bi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001B3FA-0CE7-47F2-BD0F-3E6E73450B13}"/>
</file>

<file path=customXml/itemProps3.xml><?xml version="1.0" encoding="utf-8"?>
<ds:datastoreItem xmlns:ds="http://schemas.openxmlformats.org/officeDocument/2006/customXml" ds:itemID="{FE77EE30-8B75-460A-9571-934AEB5F30A9}">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18</Pages>
  <Words>6307</Words>
  <Characters>33555</Characters>
  <Application>Microsoft Office Word</Application>
  <DocSecurity>0</DocSecurity>
  <Lines>657</Lines>
  <Paragraphs>137</Paragraphs>
  <ScaleCrop>false</ScaleCrop>
  <Company/>
  <LinksUpToDate>false</LinksUpToDate>
  <CharactersWithSpaces>39725</CharactersWithSpaces>
  <SharedDoc>false</SharedDoc>
  <HLinks>
    <vt:vector size="36" baseType="variant">
      <vt:variant>
        <vt:i4>2162739</vt:i4>
      </vt:variant>
      <vt:variant>
        <vt:i4>9</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1638475</vt:i4>
      </vt:variant>
      <vt:variant>
        <vt:i4>6</vt:i4>
      </vt:variant>
      <vt:variant>
        <vt:i4>0</vt:i4>
      </vt:variant>
      <vt:variant>
        <vt:i4>5</vt:i4>
      </vt:variant>
      <vt:variant>
        <vt:lpwstr>about:blank</vt:lpwstr>
      </vt:variant>
      <vt:variant>
        <vt:lpwstr>267</vt:lpwstr>
      </vt:variant>
      <vt:variant>
        <vt:i4>2031691</vt:i4>
      </vt:variant>
      <vt:variant>
        <vt:i4>3</vt:i4>
      </vt:variant>
      <vt:variant>
        <vt:i4>0</vt:i4>
      </vt:variant>
      <vt:variant>
        <vt:i4>5</vt:i4>
      </vt:variant>
      <vt:variant>
        <vt:lpwstr>about:blank</vt:lpwstr>
      </vt:variant>
      <vt:variant>
        <vt:lpwstr>209</vt:lpwstr>
      </vt:variant>
      <vt:variant>
        <vt:i4>3538956</vt:i4>
      </vt:variant>
      <vt:variant>
        <vt:i4>0</vt:i4>
      </vt:variant>
      <vt:variant>
        <vt:i4>0</vt:i4>
      </vt:variant>
      <vt:variant>
        <vt:i4>5</vt:i4>
      </vt:variant>
      <vt:variant>
        <vt:lpwstr>mailto:Luismogollon20@hotmail.com</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1638409</vt:i4>
      </vt:variant>
      <vt:variant>
        <vt:i4>0</vt:i4>
      </vt:variant>
      <vt:variant>
        <vt:i4>0</vt:i4>
      </vt:variant>
      <vt:variant>
        <vt:i4>5</vt:i4>
      </vt:variant>
      <vt:variant>
        <vt:lpwstr>https://dle.rae.es/h%C3%A1bil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2023-01-11T03:18:00Z</cp:lastPrinted>
  <dcterms:created xsi:type="dcterms:W3CDTF">2026-02-18T16:11:00Z</dcterms:created>
  <dcterms:modified xsi:type="dcterms:W3CDTF">2026-02-18T16:11:00Z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