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91B7B" w14:textId="4C9FF402" w:rsidR="002572E2" w:rsidRDefault="002572E2" w:rsidP="00DB5DAF">
      <w:pPr>
        <w:rPr>
          <w:rFonts w:ascii="Verdana" w:eastAsia="Calibri" w:hAnsi="Verdana" w:cs="Arial"/>
          <w:b/>
          <w:bCs/>
          <w:sz w:val="22"/>
          <w:szCs w:val="22"/>
          <w:lang w:val="es-ES" w:eastAsia="es-ES"/>
        </w:rPr>
      </w:pPr>
      <w:r w:rsidRPr="002572E2">
        <w:rPr>
          <w:rFonts w:ascii="Verdana" w:eastAsia="Calibri" w:hAnsi="Verdana" w:cs="Arial"/>
          <w:b/>
          <w:bCs/>
          <w:sz w:val="22"/>
          <w:szCs w:val="22"/>
          <w:lang w:val="es-ES" w:eastAsia="es-ES"/>
        </w:rPr>
        <w:t>CAJAS DE COMENSACIÓN FAMILIAR – Recursos – Naturaleza de los recursos</w:t>
      </w:r>
    </w:p>
    <w:p w14:paraId="2D7EF9EA" w14:textId="77777777" w:rsidR="002572E2" w:rsidRDefault="002572E2" w:rsidP="00DB5DAF">
      <w:pPr>
        <w:rPr>
          <w:rFonts w:ascii="Verdana" w:eastAsia="Calibri" w:hAnsi="Verdana" w:cs="Arial"/>
          <w:b/>
          <w:bCs/>
          <w:sz w:val="22"/>
          <w:szCs w:val="22"/>
          <w:lang w:val="es-ES" w:eastAsia="es-ES"/>
        </w:rPr>
      </w:pPr>
    </w:p>
    <w:p w14:paraId="22DE88E5" w14:textId="06DC9833" w:rsidR="002572E2" w:rsidRPr="002572E2" w:rsidRDefault="002572E2" w:rsidP="002572E2">
      <w:pPr>
        <w:spacing w:after="120" w:line="276" w:lineRule="auto"/>
        <w:jc w:val="both"/>
        <w:rPr>
          <w:rFonts w:ascii="Verdana" w:eastAsia="Calibri" w:hAnsi="Verdana" w:cs="Arial"/>
          <w:sz w:val="21"/>
          <w:szCs w:val="21"/>
          <w:shd w:val="clear" w:color="auto" w:fill="FFFFFF"/>
          <w:lang w:val="es-ES"/>
        </w:rPr>
      </w:pPr>
      <w:r w:rsidRPr="002572E2">
        <w:rPr>
          <w:rFonts w:ascii="Verdana" w:eastAsia="Calibri" w:hAnsi="Verdana" w:cs="Arial"/>
          <w:sz w:val="21"/>
          <w:szCs w:val="21"/>
          <w:lang w:val="es-ES" w:eastAsia="es-ES"/>
        </w:rPr>
        <w:t xml:space="preserve">[…] debe señalarse que, </w:t>
      </w:r>
      <w:r w:rsidRPr="002572E2">
        <w:rPr>
          <w:rFonts w:ascii="Verdana" w:hAnsi="Verdana" w:cs="Segoe UI"/>
          <w:sz w:val="21"/>
          <w:szCs w:val="21"/>
        </w:rPr>
        <w:t>dada la naturaleza pública de los recursos que administran y su calidad de sujetos obligados conforme a la Ley 1712 de 2014, a juicio de esta Agencia, las Cajas de Compensación Familiar deben publicar la información relativa a su contratación en SECOP, cuando esta se realice con cargo a recursos parafiscales u otros fondos con destinación pública.</w:t>
      </w:r>
    </w:p>
    <w:p w14:paraId="4E366D0B" w14:textId="77777777" w:rsidR="002572E2" w:rsidRPr="002572E2" w:rsidRDefault="002572E2" w:rsidP="002572E2">
      <w:pPr>
        <w:spacing w:after="120" w:line="276" w:lineRule="auto"/>
        <w:jc w:val="both"/>
        <w:rPr>
          <w:rFonts w:ascii="Verdana" w:hAnsi="Verdana" w:cs="Segoe UI"/>
          <w:sz w:val="21"/>
          <w:szCs w:val="21"/>
        </w:rPr>
      </w:pPr>
      <w:r w:rsidRPr="002572E2">
        <w:rPr>
          <w:rFonts w:ascii="Verdana" w:eastAsia="Calibri" w:hAnsi="Verdana" w:cs="Arial"/>
          <w:sz w:val="21"/>
          <w:szCs w:val="21"/>
          <w:shd w:val="clear" w:color="auto" w:fill="FFFFFF"/>
          <w:lang w:val="es-ES"/>
        </w:rPr>
        <w:t xml:space="preserve">Lo anterior se sustenta en que, </w:t>
      </w:r>
      <w:r w:rsidRPr="002572E2">
        <w:rPr>
          <w:rFonts w:ascii="Verdana" w:eastAsia="Calibri" w:hAnsi="Verdana" w:cs="Arial"/>
          <w:color w:val="000000" w:themeColor="text1"/>
          <w:sz w:val="21"/>
          <w:szCs w:val="21"/>
        </w:rPr>
        <w:t>d</w:t>
      </w:r>
      <w:r w:rsidRPr="002572E2">
        <w:rPr>
          <w:rFonts w:ascii="Verdana" w:hAnsi="Verdana" w:cs="Segoe UI"/>
          <w:sz w:val="21"/>
          <w:szCs w:val="21"/>
        </w:rPr>
        <w:t xml:space="preserve">e conformidad con lo previsto en el artículo 2.2.7.5.3.2 del Decreto 1072 de 2015, los recursos administrados por las Cajas de Compensación Familiar son de carácter parafiscal. Sobre estos, el Consejo de Estado ha señalado que poseen naturaleza pública, en tanto constituyen una fuente de financiación creada por el Estado en beneficio de un sector específico, aun cuando no integren el Presupuesto General de la Nación. </w:t>
      </w:r>
    </w:p>
    <w:p w14:paraId="42572727" w14:textId="1FC0BA6F" w:rsidR="002572E2" w:rsidRDefault="002572E2" w:rsidP="00DB5DAF">
      <w:pPr>
        <w:rPr>
          <w:rFonts w:ascii="Verdana" w:eastAsia="Calibri" w:hAnsi="Verdana" w:cs="Arial"/>
          <w:b/>
          <w:bCs/>
          <w:sz w:val="22"/>
          <w:szCs w:val="22"/>
          <w:lang w:val="es-ES" w:eastAsia="es-ES"/>
        </w:rPr>
      </w:pPr>
      <w:r w:rsidRPr="002572E2">
        <w:rPr>
          <w:rFonts w:ascii="Verdana" w:eastAsia="Calibri" w:hAnsi="Verdana" w:cs="Arial"/>
          <w:b/>
          <w:bCs/>
          <w:sz w:val="22"/>
          <w:szCs w:val="22"/>
          <w:lang w:val="es-ES" w:eastAsia="es-ES"/>
        </w:rPr>
        <w:t>PRINCIPIO DE PUBLICIDAD – Deber de publicación</w:t>
      </w:r>
      <w:r w:rsidR="00C343AF">
        <w:rPr>
          <w:rFonts w:ascii="Verdana" w:eastAsia="Calibri" w:hAnsi="Verdana" w:cs="Arial"/>
          <w:b/>
          <w:bCs/>
          <w:sz w:val="22"/>
          <w:szCs w:val="22"/>
          <w:lang w:val="es-ES" w:eastAsia="es-ES"/>
        </w:rPr>
        <w:t xml:space="preserve"> – SECOP</w:t>
      </w:r>
    </w:p>
    <w:p w14:paraId="199E74E0" w14:textId="77777777" w:rsidR="00C343AF" w:rsidRDefault="00C343AF" w:rsidP="00DB5DAF">
      <w:pPr>
        <w:rPr>
          <w:rFonts w:ascii="Verdana" w:eastAsia="Calibri" w:hAnsi="Verdana" w:cs="Arial"/>
          <w:b/>
          <w:bCs/>
          <w:sz w:val="22"/>
          <w:szCs w:val="22"/>
          <w:lang w:val="es-ES" w:eastAsia="es-ES"/>
        </w:rPr>
      </w:pPr>
    </w:p>
    <w:p w14:paraId="6B47A018" w14:textId="40CECF0F" w:rsidR="00C343AF" w:rsidRPr="00C343AF" w:rsidRDefault="00C343AF" w:rsidP="00C343AF">
      <w:pPr>
        <w:spacing w:after="120" w:line="276" w:lineRule="auto"/>
        <w:jc w:val="both"/>
        <w:rPr>
          <w:rFonts w:ascii="Verdana" w:eastAsia="Calibri" w:hAnsi="Verdana" w:cs="Arial"/>
          <w:color w:val="000000"/>
          <w:sz w:val="21"/>
          <w:szCs w:val="21"/>
          <w:lang w:val="es-ES_tradnl"/>
        </w:rPr>
      </w:pPr>
      <w:r w:rsidRPr="00C343AF">
        <w:rPr>
          <w:rFonts w:ascii="Verdana" w:hAnsi="Verdana" w:cs="Arial"/>
          <w:sz w:val="21"/>
          <w:szCs w:val="21"/>
          <w:lang w:val="es-ES_tradnl"/>
          <w14:ligatures w14:val="standardContextual"/>
        </w:rPr>
        <w:t xml:space="preserve">El principio de publicidad impone a las autoridades administrativas el deber de dar a conocer sus actos, contratos y decisiones, para que se divulguen y eventualmente se controlen. Así mismo, </w:t>
      </w:r>
      <w:r w:rsidRPr="00C343AF">
        <w:rPr>
          <w:rFonts w:ascii="Verdana" w:eastAsia="Calibri" w:hAnsi="Verdana" w:cs="Arial"/>
          <w:color w:val="000000"/>
          <w:sz w:val="21"/>
          <w:szCs w:val="21"/>
          <w:lang w:val="es-ES_tradn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p>
    <w:p w14:paraId="35D59901" w14:textId="77777777" w:rsidR="00C343AF" w:rsidRPr="00C343AF" w:rsidRDefault="00C343AF" w:rsidP="00C343AF">
      <w:pPr>
        <w:spacing w:after="120" w:line="276" w:lineRule="auto"/>
        <w:jc w:val="both"/>
        <w:rPr>
          <w:rFonts w:ascii="Verdana" w:hAnsi="Verdana" w:cs="Arial"/>
          <w:sz w:val="21"/>
          <w:szCs w:val="21"/>
          <w:lang w:val="es-ES" w:eastAsia="es-ES"/>
          <w14:ligatures w14:val="standardContextual"/>
        </w:rPr>
      </w:pPr>
      <w:r w:rsidRPr="00C343AF">
        <w:rPr>
          <w:rFonts w:ascii="Verdana" w:hAnsi="Verdana" w:cs="Arial"/>
          <w:sz w:val="21"/>
          <w:szCs w:val="21"/>
          <w:lang w:val="es-ES" w:eastAsia="es-ES"/>
          <w14:ligatures w14:val="standardContextual"/>
        </w:rPr>
        <w:t xml:space="preserve">En armonía con lo anterior, la Constitución Política de 1991 consagra en varios artículos la publicidad como un principio rector del Estado colombiano. Entre los más destacados, puede mencionarse el 209, que establece la publicidad como uno de los principios que fundamentan el ejercicio de la función administrativa, y el 74, que consagra la garantía de acceso a los documentos públicos que no estén sometidos a reserva, la cual es excepcional y solo procede si existe causal constitucional o legal expresa. </w:t>
      </w:r>
    </w:p>
    <w:p w14:paraId="584DE810" w14:textId="3FCC9810" w:rsidR="00C343AF" w:rsidRPr="00C343AF" w:rsidRDefault="00C343AF" w:rsidP="00C343AF">
      <w:pPr>
        <w:spacing w:after="120" w:line="276" w:lineRule="auto"/>
        <w:jc w:val="both"/>
        <w:rPr>
          <w:rFonts w:ascii="Verdana" w:hAnsi="Verdana" w:cs="Arial"/>
          <w:b/>
          <w:bCs/>
          <w:sz w:val="22"/>
          <w:szCs w:val="22"/>
          <w:lang w:val="es-ES" w:eastAsia="es-ES"/>
          <w14:ligatures w14:val="standardContextual"/>
        </w:rPr>
      </w:pPr>
      <w:r w:rsidRPr="00C343AF">
        <w:rPr>
          <w:rFonts w:ascii="Verdana" w:eastAsia="Calibri" w:hAnsi="Verdana" w:cs="Arial"/>
          <w:b/>
          <w:bCs/>
          <w:sz w:val="22"/>
          <w:szCs w:val="22"/>
          <w:lang w:val="es-ES" w:eastAsia="es-ES"/>
        </w:rPr>
        <w:t xml:space="preserve">PRINCIPIO DE PUBLICIDAD – Deber de publicación </w:t>
      </w:r>
      <w:r w:rsidRPr="00C343AF">
        <w:rPr>
          <w:rFonts w:ascii="Verdana" w:eastAsia="Aptos" w:hAnsi="Verdana"/>
          <w:b/>
          <w:bCs/>
          <w:kern w:val="2"/>
          <w:sz w:val="22"/>
          <w:szCs w:val="22"/>
          <w14:ligatures w14:val="standardContextual"/>
        </w:rPr>
        <w:t>– SECOP – Sujetos obligados</w:t>
      </w:r>
    </w:p>
    <w:p w14:paraId="1CDB7CDA" w14:textId="77777777" w:rsidR="00C343AF" w:rsidRPr="00C343AF" w:rsidRDefault="00C343AF" w:rsidP="00C343AF">
      <w:pPr>
        <w:spacing w:after="120" w:line="276" w:lineRule="auto"/>
        <w:jc w:val="both"/>
        <w:rPr>
          <w:rFonts w:ascii="Verdana" w:eastAsia="Calibri" w:hAnsi="Verdana" w:cs="Arial"/>
          <w:sz w:val="21"/>
          <w:szCs w:val="21"/>
          <w:lang w:val="es-ES_tradnl"/>
        </w:rPr>
      </w:pPr>
      <w:r w:rsidRPr="00C343AF">
        <w:rPr>
          <w:rFonts w:ascii="Verdana" w:eastAsia="Calibri" w:hAnsi="Verdana" w:cs="Arial"/>
          <w:sz w:val="21"/>
          <w:szCs w:val="21"/>
          <w:lang w:val="es-ES_tradnl"/>
        </w:rPr>
        <w:t xml:space="preserve">De la norma antes citada es posible establecer que la obligación de publicar la actividad contractual ha estado encaminada a que se publique aquella información relacionada con la ejecución de dineros públicos. Así las cosas, en SECOP deben publicarse los documentos vinculados a la contratación con cargo a recursos públicos. </w:t>
      </w:r>
    </w:p>
    <w:p w14:paraId="2B516B1F" w14:textId="77777777" w:rsidR="00C343AF" w:rsidRPr="00C343AF" w:rsidRDefault="00C343AF" w:rsidP="00C343AF">
      <w:pPr>
        <w:tabs>
          <w:tab w:val="left" w:pos="709"/>
        </w:tabs>
        <w:spacing w:after="120" w:line="276" w:lineRule="auto"/>
        <w:jc w:val="both"/>
        <w:rPr>
          <w:rFonts w:ascii="Verdana" w:hAnsi="Verdana" w:cs="Arial"/>
          <w:sz w:val="21"/>
          <w:szCs w:val="21"/>
          <w:shd w:val="clear" w:color="auto" w:fill="FFFFFF"/>
        </w:rPr>
      </w:pPr>
      <w:r w:rsidRPr="00C343AF">
        <w:rPr>
          <w:rFonts w:ascii="Verdana" w:hAnsi="Verdana" w:cs="Arial"/>
          <w:sz w:val="21"/>
          <w:szCs w:val="21"/>
          <w:shd w:val="clear" w:color="auto" w:fill="FFFFFF"/>
        </w:rPr>
        <w:lastRenderedPageBreak/>
        <w:t xml:space="preserve">La referida obligación incluye todos los documentos generados durante las fases precontractual, contractual y </w:t>
      </w:r>
      <w:proofErr w:type="spellStart"/>
      <w:r w:rsidRPr="00C343AF">
        <w:rPr>
          <w:rFonts w:ascii="Verdana" w:hAnsi="Verdana" w:cs="Arial"/>
          <w:sz w:val="21"/>
          <w:szCs w:val="21"/>
          <w:shd w:val="clear" w:color="auto" w:fill="FFFFFF"/>
        </w:rPr>
        <w:t>postcontractual</w:t>
      </w:r>
      <w:proofErr w:type="spellEnd"/>
      <w:r w:rsidRPr="00C343AF">
        <w:rPr>
          <w:rFonts w:ascii="Verdana" w:hAnsi="Verdana" w:cs="Arial"/>
          <w:sz w:val="21"/>
          <w:szCs w:val="21"/>
          <w:shd w:val="clear" w:color="auto" w:fill="FFFFFF"/>
        </w:rPr>
        <w:t>,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w:t>
      </w:r>
    </w:p>
    <w:p w14:paraId="7D4F6E4E" w14:textId="7C7CC543" w:rsidR="00C343AF" w:rsidRDefault="00C343AF" w:rsidP="00DB5DAF">
      <w:pPr>
        <w:rPr>
          <w:rFonts w:ascii="Verdana" w:eastAsia="Aptos" w:hAnsi="Verdana"/>
          <w:b/>
          <w:bCs/>
          <w:kern w:val="2"/>
          <w:sz w:val="22"/>
          <w:szCs w:val="22"/>
          <w14:ligatures w14:val="standardContextual"/>
        </w:rPr>
      </w:pPr>
      <w:r w:rsidRPr="00C343AF">
        <w:rPr>
          <w:rFonts w:ascii="Verdana" w:eastAsia="Calibri" w:hAnsi="Verdana" w:cs="Arial"/>
          <w:b/>
          <w:bCs/>
          <w:sz w:val="22"/>
          <w:szCs w:val="22"/>
          <w:lang w:val="es-ES" w:eastAsia="es-ES"/>
        </w:rPr>
        <w:t xml:space="preserve">PRINCIPIO DE PUBLICIDAD – Deber de publicación </w:t>
      </w:r>
      <w:r w:rsidRPr="00C343AF">
        <w:rPr>
          <w:rFonts w:ascii="Verdana" w:eastAsia="Aptos" w:hAnsi="Verdana"/>
          <w:b/>
          <w:bCs/>
          <w:kern w:val="2"/>
          <w:sz w:val="22"/>
          <w:szCs w:val="22"/>
          <w14:ligatures w14:val="standardContextual"/>
        </w:rPr>
        <w:t>– SECOP – Cajas de Compensación Familiar</w:t>
      </w:r>
    </w:p>
    <w:p w14:paraId="5CDD6E10" w14:textId="77777777" w:rsidR="00C343AF" w:rsidRDefault="00C343AF" w:rsidP="00DB5DAF">
      <w:pPr>
        <w:rPr>
          <w:rFonts w:ascii="Verdana" w:eastAsia="Aptos" w:hAnsi="Verdana"/>
          <w:b/>
          <w:bCs/>
          <w:kern w:val="2"/>
          <w:sz w:val="22"/>
          <w:szCs w:val="22"/>
          <w14:ligatures w14:val="standardContextual"/>
        </w:rPr>
      </w:pPr>
    </w:p>
    <w:p w14:paraId="294077A9" w14:textId="0AFD10E7" w:rsidR="00C343AF" w:rsidRPr="00C343AF" w:rsidRDefault="00C343AF" w:rsidP="00C343AF">
      <w:pPr>
        <w:jc w:val="both"/>
        <w:rPr>
          <w:rFonts w:ascii="Verdana" w:eastAsia="Calibri" w:hAnsi="Verdana" w:cs="Arial"/>
          <w:b/>
          <w:bCs/>
          <w:sz w:val="21"/>
          <w:szCs w:val="21"/>
          <w:lang w:eastAsia="es-ES"/>
        </w:rPr>
      </w:pPr>
      <w:r w:rsidRPr="00C343AF">
        <w:rPr>
          <w:rFonts w:ascii="Verdana" w:eastAsia="Calibri" w:hAnsi="Verdana" w:cs="Arial"/>
          <w:color w:val="000000"/>
          <w:sz w:val="21"/>
          <w:szCs w:val="21"/>
        </w:rPr>
        <w:t xml:space="preserve">En el caso de las Cajas de Compensación Familiar, la exigibilidad de publicidad en el SECOP no proviene del artículo 53 </w:t>
      </w:r>
      <w:r w:rsidRPr="00C343AF">
        <w:rPr>
          <w:rFonts w:ascii="Verdana" w:eastAsia="Calibri" w:hAnsi="Verdana" w:cs="Arial"/>
          <w:i/>
          <w:iCs/>
          <w:color w:val="000000"/>
          <w:sz w:val="21"/>
          <w:szCs w:val="21"/>
        </w:rPr>
        <w:t>ibidem</w:t>
      </w:r>
      <w:r w:rsidRPr="00C343AF">
        <w:rPr>
          <w:rFonts w:ascii="Verdana" w:eastAsia="Calibri" w:hAnsi="Verdana" w:cs="Arial"/>
          <w:color w:val="000000"/>
          <w:sz w:val="21"/>
          <w:szCs w:val="21"/>
        </w:rPr>
        <w:t xml:space="preserve">, sino de la Ley 1712 de 2014 y reglamentación, que imponen publicar en SECOP la información contractual cuando se contrata con cargo a recursos públicos. Así, </w:t>
      </w:r>
      <w:r w:rsidRPr="00C343AF">
        <w:rPr>
          <w:rFonts w:ascii="Verdana" w:eastAsia="Arial" w:hAnsi="Verdana" w:cs="Arial"/>
          <w:color w:val="000000"/>
          <w:sz w:val="21"/>
          <w:szCs w:val="21"/>
        </w:rPr>
        <w:t xml:space="preserve">aunque las Cajas de Compensación Familiar administran recursos parafiscales, ello no las convierte en entidades públicas y, por ende, tampoco en estatales sometidas o exceptuadas del Estatuto General de Contratación de la Administración Pública. </w:t>
      </w:r>
      <w:r w:rsidRPr="00C343AF">
        <w:rPr>
          <w:rFonts w:ascii="Verdana" w:hAnsi="Verdana" w:cs="Segoe UI"/>
          <w:sz w:val="21"/>
          <w:szCs w:val="21"/>
        </w:rPr>
        <w:t xml:space="preserve">Pese a que en ciertos escenarios pueden colaborar con el Estado y participar en la prestación de funciones sociales, </w:t>
      </w:r>
      <w:r w:rsidRPr="00C343AF">
        <w:rPr>
          <w:rStyle w:val="Fuerte"/>
          <w:rFonts w:ascii="Verdana" w:hAnsi="Verdana" w:cs="Segoe UI"/>
          <w:b w:val="0"/>
          <w:bCs w:val="0"/>
          <w:sz w:val="21"/>
          <w:szCs w:val="21"/>
        </w:rPr>
        <w:t>su naturaleza jurídica permanece en el ámbito del derecho privado</w:t>
      </w:r>
      <w:r w:rsidRPr="00C343AF">
        <w:rPr>
          <w:rFonts w:ascii="Verdana" w:hAnsi="Verdana" w:cs="Segoe UI"/>
          <w:sz w:val="21"/>
          <w:szCs w:val="21"/>
        </w:rPr>
        <w:t xml:space="preserve">, por lo cual continúan siendo </w:t>
      </w:r>
      <w:r w:rsidRPr="00C343AF">
        <w:rPr>
          <w:rStyle w:val="Fuerte"/>
          <w:rFonts w:ascii="Verdana" w:hAnsi="Verdana" w:cs="Segoe UI"/>
          <w:b w:val="0"/>
          <w:bCs w:val="0"/>
          <w:sz w:val="21"/>
          <w:szCs w:val="21"/>
        </w:rPr>
        <w:t>particulares</w:t>
      </w:r>
      <w:r w:rsidRPr="00C343AF">
        <w:rPr>
          <w:rFonts w:ascii="Verdana" w:hAnsi="Verdana" w:cs="Segoe UI"/>
          <w:sz w:val="21"/>
          <w:szCs w:val="21"/>
        </w:rPr>
        <w:t xml:space="preserve"> que gestionan recursos públicos</w:t>
      </w:r>
      <w:r w:rsidR="00B75833">
        <w:rPr>
          <w:rFonts w:ascii="Verdana" w:hAnsi="Verdana" w:cs="Segoe UI"/>
          <w:sz w:val="21"/>
          <w:szCs w:val="21"/>
        </w:rPr>
        <w:t>.</w:t>
      </w:r>
    </w:p>
    <w:p w14:paraId="54E0A4A0" w14:textId="77777777" w:rsidR="002572E2" w:rsidRPr="002572E2" w:rsidRDefault="002572E2" w:rsidP="00DB5DAF">
      <w:pPr>
        <w:rPr>
          <w:rFonts w:ascii="Verdana" w:eastAsia="Geomanist Light" w:hAnsi="Verdana" w:cs="Arial"/>
          <w:b/>
          <w:bCs/>
          <w:color w:val="000000" w:themeColor="text1"/>
          <w:sz w:val="22"/>
          <w:szCs w:val="22"/>
          <w:lang w:val="es-MX"/>
        </w:rPr>
      </w:pPr>
    </w:p>
    <w:p w14:paraId="60D27FB6" w14:textId="77777777" w:rsidR="00C343AF" w:rsidRDefault="00C343AF" w:rsidP="00DB5DAF">
      <w:pPr>
        <w:rPr>
          <w:rFonts w:ascii="Verdana" w:eastAsia="Geomanist Light" w:hAnsi="Verdana" w:cs="Arial"/>
          <w:color w:val="000000" w:themeColor="text1"/>
          <w:sz w:val="22"/>
          <w:szCs w:val="22"/>
          <w:lang w:val="es-MX"/>
        </w:rPr>
      </w:pPr>
    </w:p>
    <w:p w14:paraId="1FFF2DC9" w14:textId="77777777" w:rsidR="00C343AF" w:rsidRDefault="00C343AF" w:rsidP="00DB5DAF">
      <w:pPr>
        <w:rPr>
          <w:rFonts w:ascii="Verdana" w:eastAsia="Geomanist Light" w:hAnsi="Verdana" w:cs="Arial"/>
          <w:color w:val="000000" w:themeColor="text1"/>
          <w:sz w:val="22"/>
          <w:szCs w:val="22"/>
          <w:lang w:val="es-MX"/>
        </w:rPr>
      </w:pPr>
    </w:p>
    <w:p w14:paraId="6BBB1550" w14:textId="77777777" w:rsidR="00C343AF" w:rsidRDefault="00C343AF" w:rsidP="00DB5DAF">
      <w:pPr>
        <w:rPr>
          <w:rFonts w:ascii="Verdana" w:eastAsia="Geomanist Light" w:hAnsi="Verdana" w:cs="Arial"/>
          <w:color w:val="000000" w:themeColor="text1"/>
          <w:sz w:val="22"/>
          <w:szCs w:val="22"/>
          <w:lang w:val="es-MX"/>
        </w:rPr>
      </w:pPr>
    </w:p>
    <w:p w14:paraId="089EC28F" w14:textId="77777777" w:rsidR="00C343AF" w:rsidRDefault="00C343AF" w:rsidP="00DB5DAF">
      <w:pPr>
        <w:rPr>
          <w:rFonts w:ascii="Verdana" w:eastAsia="Geomanist Light" w:hAnsi="Verdana" w:cs="Arial"/>
          <w:color w:val="000000" w:themeColor="text1"/>
          <w:sz w:val="22"/>
          <w:szCs w:val="22"/>
          <w:lang w:val="es-MX"/>
        </w:rPr>
      </w:pPr>
    </w:p>
    <w:p w14:paraId="402CA30C" w14:textId="77777777" w:rsidR="00C343AF" w:rsidRDefault="00C343AF" w:rsidP="00DB5DAF">
      <w:pPr>
        <w:rPr>
          <w:rFonts w:ascii="Verdana" w:eastAsia="Geomanist Light" w:hAnsi="Verdana" w:cs="Arial"/>
          <w:color w:val="000000" w:themeColor="text1"/>
          <w:sz w:val="22"/>
          <w:szCs w:val="22"/>
          <w:lang w:val="es-MX"/>
        </w:rPr>
      </w:pPr>
    </w:p>
    <w:p w14:paraId="0FAA47FF" w14:textId="77777777" w:rsidR="00C343AF" w:rsidRDefault="00C343AF" w:rsidP="00DB5DAF">
      <w:pPr>
        <w:rPr>
          <w:rFonts w:ascii="Verdana" w:eastAsia="Geomanist Light" w:hAnsi="Verdana" w:cs="Arial"/>
          <w:color w:val="000000" w:themeColor="text1"/>
          <w:sz w:val="22"/>
          <w:szCs w:val="22"/>
          <w:lang w:val="es-MX"/>
        </w:rPr>
      </w:pPr>
    </w:p>
    <w:p w14:paraId="091817D0" w14:textId="77777777" w:rsidR="00C343AF" w:rsidRDefault="00C343AF" w:rsidP="00DB5DAF">
      <w:pPr>
        <w:rPr>
          <w:rFonts w:ascii="Verdana" w:eastAsia="Geomanist Light" w:hAnsi="Verdana" w:cs="Arial"/>
          <w:color w:val="000000" w:themeColor="text1"/>
          <w:sz w:val="22"/>
          <w:szCs w:val="22"/>
          <w:lang w:val="es-MX"/>
        </w:rPr>
      </w:pPr>
    </w:p>
    <w:p w14:paraId="12456B96" w14:textId="77777777" w:rsidR="00C343AF" w:rsidRDefault="00C343AF" w:rsidP="00DB5DAF">
      <w:pPr>
        <w:rPr>
          <w:rFonts w:ascii="Verdana" w:eastAsia="Geomanist Light" w:hAnsi="Verdana" w:cs="Arial"/>
          <w:color w:val="000000" w:themeColor="text1"/>
          <w:sz w:val="22"/>
          <w:szCs w:val="22"/>
          <w:lang w:val="es-MX"/>
        </w:rPr>
      </w:pPr>
    </w:p>
    <w:p w14:paraId="1C63E090" w14:textId="77777777" w:rsidR="00C343AF" w:rsidRDefault="00C343AF" w:rsidP="00DB5DAF">
      <w:pPr>
        <w:rPr>
          <w:rFonts w:ascii="Verdana" w:eastAsia="Geomanist Light" w:hAnsi="Verdana" w:cs="Arial"/>
          <w:color w:val="000000" w:themeColor="text1"/>
          <w:sz w:val="22"/>
          <w:szCs w:val="22"/>
          <w:lang w:val="es-MX"/>
        </w:rPr>
      </w:pPr>
    </w:p>
    <w:p w14:paraId="35A2EEA8" w14:textId="77777777" w:rsidR="00C343AF" w:rsidRDefault="00C343AF" w:rsidP="00DB5DAF">
      <w:pPr>
        <w:rPr>
          <w:rFonts w:ascii="Verdana" w:eastAsia="Geomanist Light" w:hAnsi="Verdana" w:cs="Arial"/>
          <w:color w:val="000000" w:themeColor="text1"/>
          <w:sz w:val="22"/>
          <w:szCs w:val="22"/>
          <w:lang w:val="es-MX"/>
        </w:rPr>
      </w:pPr>
    </w:p>
    <w:p w14:paraId="14CD50F7" w14:textId="77777777" w:rsidR="00C343AF" w:rsidRDefault="00C343AF" w:rsidP="00DB5DAF">
      <w:pPr>
        <w:rPr>
          <w:rFonts w:ascii="Verdana" w:eastAsia="Geomanist Light" w:hAnsi="Verdana" w:cs="Arial"/>
          <w:color w:val="000000" w:themeColor="text1"/>
          <w:sz w:val="22"/>
          <w:szCs w:val="22"/>
          <w:lang w:val="es-MX"/>
        </w:rPr>
      </w:pPr>
    </w:p>
    <w:p w14:paraId="75C8D6FA" w14:textId="77777777" w:rsidR="00C343AF" w:rsidRDefault="00C343AF" w:rsidP="00DB5DAF">
      <w:pPr>
        <w:rPr>
          <w:rFonts w:ascii="Verdana" w:eastAsia="Geomanist Light" w:hAnsi="Verdana" w:cs="Arial"/>
          <w:color w:val="000000" w:themeColor="text1"/>
          <w:sz w:val="22"/>
          <w:szCs w:val="22"/>
          <w:lang w:val="es-MX"/>
        </w:rPr>
      </w:pPr>
    </w:p>
    <w:p w14:paraId="61E69984" w14:textId="77777777" w:rsidR="00C343AF" w:rsidRDefault="00C343AF" w:rsidP="00DB5DAF">
      <w:pPr>
        <w:rPr>
          <w:rFonts w:ascii="Verdana" w:eastAsia="Geomanist Light" w:hAnsi="Verdana" w:cs="Arial"/>
          <w:color w:val="000000" w:themeColor="text1"/>
          <w:sz w:val="22"/>
          <w:szCs w:val="22"/>
          <w:lang w:val="es-MX"/>
        </w:rPr>
      </w:pPr>
    </w:p>
    <w:p w14:paraId="13506B84" w14:textId="77777777" w:rsidR="00C343AF" w:rsidRDefault="00C343AF" w:rsidP="00DB5DAF">
      <w:pPr>
        <w:rPr>
          <w:rFonts w:ascii="Verdana" w:eastAsia="Geomanist Light" w:hAnsi="Verdana" w:cs="Arial"/>
          <w:color w:val="000000" w:themeColor="text1"/>
          <w:sz w:val="22"/>
          <w:szCs w:val="22"/>
          <w:lang w:val="es-MX"/>
        </w:rPr>
      </w:pPr>
    </w:p>
    <w:p w14:paraId="25046E82" w14:textId="77777777" w:rsidR="00C343AF" w:rsidRDefault="00C343AF" w:rsidP="00DB5DAF">
      <w:pPr>
        <w:rPr>
          <w:rFonts w:ascii="Verdana" w:eastAsia="Geomanist Light" w:hAnsi="Verdana" w:cs="Arial"/>
          <w:color w:val="000000" w:themeColor="text1"/>
          <w:sz w:val="22"/>
          <w:szCs w:val="22"/>
          <w:lang w:val="es-MX"/>
        </w:rPr>
      </w:pPr>
    </w:p>
    <w:p w14:paraId="2653E86F" w14:textId="77777777" w:rsidR="00C343AF" w:rsidRDefault="00C343AF" w:rsidP="00DB5DAF">
      <w:pPr>
        <w:rPr>
          <w:rFonts w:ascii="Verdana" w:eastAsia="Geomanist Light" w:hAnsi="Verdana" w:cs="Arial"/>
          <w:color w:val="000000" w:themeColor="text1"/>
          <w:sz w:val="22"/>
          <w:szCs w:val="22"/>
          <w:lang w:val="es-MX"/>
        </w:rPr>
      </w:pPr>
    </w:p>
    <w:p w14:paraId="72B16699" w14:textId="77777777" w:rsidR="00C343AF" w:rsidRDefault="00C343AF" w:rsidP="00DB5DAF">
      <w:pPr>
        <w:rPr>
          <w:rFonts w:ascii="Verdana" w:eastAsia="Geomanist Light" w:hAnsi="Verdana" w:cs="Arial"/>
          <w:color w:val="000000" w:themeColor="text1"/>
          <w:sz w:val="22"/>
          <w:szCs w:val="22"/>
          <w:lang w:val="es-MX"/>
        </w:rPr>
      </w:pPr>
    </w:p>
    <w:p w14:paraId="532F7643" w14:textId="77777777" w:rsidR="00C343AF" w:rsidRDefault="00C343AF" w:rsidP="00DB5DAF">
      <w:pPr>
        <w:rPr>
          <w:rFonts w:ascii="Verdana" w:eastAsia="Geomanist Light" w:hAnsi="Verdana" w:cs="Arial"/>
          <w:color w:val="000000" w:themeColor="text1"/>
          <w:sz w:val="22"/>
          <w:szCs w:val="22"/>
          <w:lang w:val="es-MX"/>
        </w:rPr>
      </w:pPr>
    </w:p>
    <w:p w14:paraId="3E759B2C" w14:textId="77777777" w:rsidR="00C343AF" w:rsidRDefault="00C343AF" w:rsidP="00DB5DAF">
      <w:pPr>
        <w:rPr>
          <w:rFonts w:ascii="Verdana" w:eastAsia="Geomanist Light" w:hAnsi="Verdana" w:cs="Arial"/>
          <w:color w:val="000000" w:themeColor="text1"/>
          <w:sz w:val="22"/>
          <w:szCs w:val="22"/>
          <w:lang w:val="es-MX"/>
        </w:rPr>
      </w:pPr>
    </w:p>
    <w:p w14:paraId="313550C5" w14:textId="77777777" w:rsidR="00C343AF" w:rsidRDefault="00C343AF" w:rsidP="00DB5DAF">
      <w:pPr>
        <w:rPr>
          <w:rFonts w:ascii="Verdana" w:eastAsia="Geomanist Light" w:hAnsi="Verdana" w:cs="Arial"/>
          <w:color w:val="000000" w:themeColor="text1"/>
          <w:sz w:val="22"/>
          <w:szCs w:val="22"/>
          <w:lang w:val="es-MX"/>
        </w:rPr>
      </w:pPr>
    </w:p>
    <w:p w14:paraId="6FF47811" w14:textId="77777777" w:rsidR="00C343AF" w:rsidRDefault="00C343AF" w:rsidP="00DB5DAF">
      <w:pPr>
        <w:rPr>
          <w:rFonts w:ascii="Verdana" w:eastAsia="Geomanist Light" w:hAnsi="Verdana" w:cs="Arial"/>
          <w:color w:val="000000" w:themeColor="text1"/>
          <w:sz w:val="22"/>
          <w:szCs w:val="22"/>
          <w:lang w:val="es-MX"/>
        </w:rPr>
      </w:pPr>
    </w:p>
    <w:p w14:paraId="7B23ABEA" w14:textId="65685E3F" w:rsidR="00AD4EB8" w:rsidRPr="00E959BB" w:rsidRDefault="00AD4EB8" w:rsidP="00DB5DAF">
      <w:pPr>
        <w:rPr>
          <w:rFonts w:ascii="Verdana" w:eastAsia="Geomanist Light" w:hAnsi="Verdana" w:cs="Arial"/>
          <w:color w:val="201F1E"/>
          <w:sz w:val="22"/>
          <w:szCs w:val="22"/>
          <w:lang w:val="es-MX"/>
        </w:rPr>
      </w:pPr>
      <w:r w:rsidRPr="00E959BB">
        <w:rPr>
          <w:rFonts w:ascii="Verdana" w:eastAsia="Geomanist Light" w:hAnsi="Verdana" w:cs="Arial"/>
          <w:color w:val="000000" w:themeColor="text1"/>
          <w:sz w:val="22"/>
          <w:szCs w:val="22"/>
          <w:lang w:val="es-MX"/>
        </w:rPr>
        <w:lastRenderedPageBreak/>
        <w:t>Bogotá D.C., </w:t>
      </w:r>
      <w:r w:rsidR="00C343AF">
        <w:rPr>
          <w:rFonts w:ascii="Verdana" w:eastAsia="Geomanist Light" w:hAnsi="Verdana" w:cs="Arial"/>
          <w:color w:val="201F1E"/>
          <w:sz w:val="22"/>
          <w:szCs w:val="22"/>
          <w:lang w:val="es-MX"/>
        </w:rPr>
        <w:t>10</w:t>
      </w:r>
      <w:r w:rsidRPr="00E959BB">
        <w:rPr>
          <w:rFonts w:ascii="Verdana" w:eastAsia="Geomanist Light" w:hAnsi="Verdana" w:cs="Arial"/>
          <w:color w:val="201F1E"/>
          <w:sz w:val="22"/>
          <w:szCs w:val="22"/>
          <w:lang w:val="es-MX"/>
        </w:rPr>
        <w:t xml:space="preserve"> de </w:t>
      </w:r>
      <w:r w:rsidR="00C343AF">
        <w:rPr>
          <w:rFonts w:ascii="Verdana" w:eastAsia="Geomanist Light" w:hAnsi="Verdana" w:cs="Arial"/>
          <w:color w:val="201F1E"/>
          <w:sz w:val="22"/>
          <w:szCs w:val="22"/>
          <w:lang w:val="es-MX"/>
        </w:rPr>
        <w:t xml:space="preserve">febrero </w:t>
      </w:r>
      <w:r w:rsidRPr="00E959BB">
        <w:rPr>
          <w:rFonts w:ascii="Verdana" w:eastAsia="Geomanist Light" w:hAnsi="Verdana" w:cs="Arial"/>
          <w:color w:val="201F1E"/>
          <w:sz w:val="22"/>
          <w:szCs w:val="22"/>
          <w:lang w:val="es-MX"/>
        </w:rPr>
        <w:t xml:space="preserve">de </w:t>
      </w:r>
      <w:r w:rsidR="00C343AF">
        <w:rPr>
          <w:rFonts w:ascii="Verdana" w:eastAsia="Geomanist Light" w:hAnsi="Verdana" w:cs="Arial"/>
          <w:color w:val="201F1E"/>
          <w:sz w:val="22"/>
          <w:szCs w:val="22"/>
          <w:lang w:val="es-MX"/>
        </w:rPr>
        <w:t>2026</w:t>
      </w:r>
    </w:p>
    <w:p w14:paraId="22871A09" w14:textId="77777777" w:rsidR="00AD4EB8" w:rsidRPr="00E959BB" w:rsidRDefault="00AD4EB8">
      <w:pPr>
        <w:jc w:val="both"/>
        <w:rPr>
          <w:rFonts w:ascii="Verdana" w:eastAsia="Calibri" w:hAnsi="Verdana" w:cs="Arial"/>
          <w:color w:val="000000"/>
          <w:sz w:val="22"/>
          <w:szCs w:val="22"/>
          <w:lang w:val="es-MX"/>
        </w:rPr>
      </w:pPr>
    </w:p>
    <w:p w14:paraId="33FE7FA5" w14:textId="77777777" w:rsidR="00AD4EB8" w:rsidRPr="00E959BB" w:rsidRDefault="00AD4EB8">
      <w:pPr>
        <w:ind w:left="4956"/>
        <w:jc w:val="both"/>
        <w:rPr>
          <w:rFonts w:ascii="Verdana" w:eastAsia="Calibri" w:hAnsi="Verdana" w:cs="Arial"/>
          <w:sz w:val="22"/>
          <w:szCs w:val="22"/>
          <w:lang w:val="es-ES" w:eastAsia="es-ES"/>
        </w:rPr>
      </w:pPr>
    </w:p>
    <w:p w14:paraId="4573B582" w14:textId="6C0BB049" w:rsidR="00AD4EB8" w:rsidRPr="00E959BB" w:rsidRDefault="00DE3E09">
      <w:pPr>
        <w:jc w:val="both"/>
        <w:rPr>
          <w:rFonts w:ascii="Verdana" w:eastAsia="Calibri" w:hAnsi="Verdana" w:cs="Arial"/>
          <w:sz w:val="22"/>
          <w:szCs w:val="22"/>
          <w:lang w:val="pt-PT" w:eastAsia="es-ES"/>
        </w:rPr>
      </w:pPr>
      <w:r w:rsidRPr="00DE3E09">
        <w:rPr>
          <w:rFonts w:ascii="Verdana" w:eastAsia="Calibri" w:hAnsi="Verdana" w:cs="Arial"/>
          <w:b/>
          <w:sz w:val="22"/>
          <w:szCs w:val="22"/>
          <w:lang w:val="pt-PT"/>
        </w:rPr>
        <w:drawing>
          <wp:anchor distT="0" distB="0" distL="114300" distR="114300" simplePos="0" relativeHeight="251658240" behindDoc="0" locked="0" layoutInCell="1" allowOverlap="1" wp14:anchorId="03615FA7" wp14:editId="0FAA9AF6">
            <wp:simplePos x="0" y="0"/>
            <wp:positionH relativeFrom="margin">
              <wp:align>right</wp:align>
            </wp:positionH>
            <wp:positionV relativeFrom="paragraph">
              <wp:posOffset>8890</wp:posOffset>
            </wp:positionV>
            <wp:extent cx="2657475" cy="901065"/>
            <wp:effectExtent l="0" t="0" r="9525" b="0"/>
            <wp:wrapSquare wrapText="bothSides"/>
            <wp:docPr id="135441727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417273"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57475" cy="901065"/>
                    </a:xfrm>
                    <a:prstGeom prst="rect">
                      <a:avLst/>
                    </a:prstGeom>
                  </pic:spPr>
                </pic:pic>
              </a:graphicData>
            </a:graphic>
            <wp14:sizeRelH relativeFrom="margin">
              <wp14:pctWidth>0</wp14:pctWidth>
            </wp14:sizeRelH>
            <wp14:sizeRelV relativeFrom="margin">
              <wp14:pctHeight>0</wp14:pctHeight>
            </wp14:sizeRelV>
          </wp:anchor>
        </w:drawing>
      </w:r>
      <w:r w:rsidR="00AD4EB8" w:rsidRPr="00E959BB">
        <w:rPr>
          <w:rFonts w:ascii="Verdana" w:eastAsia="Calibri" w:hAnsi="Verdana" w:cs="Arial"/>
          <w:sz w:val="22"/>
          <w:szCs w:val="22"/>
          <w:lang w:val="pt-PT" w:eastAsia="es-ES"/>
        </w:rPr>
        <w:t>Doctor</w:t>
      </w:r>
    </w:p>
    <w:p w14:paraId="03070A88" w14:textId="3FB1923C" w:rsidR="00AD4EB8" w:rsidRPr="00E959BB" w:rsidRDefault="00AD4EB8">
      <w:pPr>
        <w:rPr>
          <w:rFonts w:ascii="Verdana" w:eastAsia="Calibri" w:hAnsi="Verdana" w:cs="Arial"/>
          <w:b/>
          <w:sz w:val="22"/>
          <w:szCs w:val="22"/>
          <w:lang w:val="pt-PT"/>
        </w:rPr>
      </w:pPr>
      <w:r w:rsidRPr="00E959BB">
        <w:rPr>
          <w:rFonts w:ascii="Verdana" w:eastAsia="Calibri" w:hAnsi="Verdana" w:cs="Arial"/>
          <w:b/>
          <w:sz w:val="22"/>
          <w:szCs w:val="22"/>
          <w:lang w:val="pt-PT"/>
        </w:rPr>
        <w:t>Carlos Andrés Esquiaqui Rangel</w:t>
      </w:r>
      <w:r w:rsidR="00DE3E09">
        <w:rPr>
          <w:rFonts w:ascii="Verdana" w:eastAsia="Calibri" w:hAnsi="Verdana" w:cs="Arial"/>
          <w:b/>
          <w:sz w:val="22"/>
          <w:szCs w:val="22"/>
          <w:lang w:val="pt-PT"/>
        </w:rPr>
        <w:t xml:space="preserve"> </w:t>
      </w:r>
    </w:p>
    <w:p w14:paraId="682F85AA" w14:textId="60E9E5C1" w:rsidR="002E7C5F" w:rsidRPr="00E959BB" w:rsidRDefault="00AD4EB8">
      <w:pPr>
        <w:rPr>
          <w:rFonts w:ascii="Verdana" w:eastAsia="Calibri" w:hAnsi="Verdana" w:cs="Arial"/>
          <w:sz w:val="22"/>
          <w:szCs w:val="22"/>
          <w:lang w:val="pt-PT"/>
        </w:rPr>
      </w:pPr>
      <w:r w:rsidRPr="00E959BB">
        <w:rPr>
          <w:rFonts w:ascii="Verdana" w:eastAsia="Calibri" w:hAnsi="Verdana" w:cs="Arial"/>
          <w:sz w:val="22"/>
          <w:szCs w:val="22"/>
          <w:lang w:val="pt-PT"/>
        </w:rPr>
        <w:t>Director Administrativo</w:t>
      </w:r>
    </w:p>
    <w:p w14:paraId="402BAFC4" w14:textId="0F23D0BE" w:rsidR="00AD4EB8" w:rsidRPr="00E959BB" w:rsidRDefault="00AD4EB8">
      <w:pPr>
        <w:rPr>
          <w:rFonts w:ascii="Verdana" w:eastAsia="Calibri" w:hAnsi="Verdana" w:cs="Arial"/>
          <w:b/>
          <w:sz w:val="22"/>
          <w:szCs w:val="22"/>
          <w:lang w:val="pt-PT"/>
        </w:rPr>
      </w:pPr>
      <w:r w:rsidRPr="00E959BB">
        <w:rPr>
          <w:rFonts w:ascii="Verdana" w:eastAsia="Calibri" w:hAnsi="Verdana" w:cs="Arial"/>
          <w:b/>
          <w:sz w:val="22"/>
          <w:szCs w:val="22"/>
          <w:lang w:val="pt-PT"/>
        </w:rPr>
        <w:t>COMFACOR</w:t>
      </w:r>
    </w:p>
    <w:p w14:paraId="6702BA0F" w14:textId="57AE2371" w:rsidR="00AD4EB8" w:rsidRPr="00E959BB" w:rsidRDefault="00AD4EB8">
      <w:pPr>
        <w:rPr>
          <w:rFonts w:ascii="Verdana" w:hAnsi="Verdana" w:cs="CIDFont+F1"/>
          <w:color w:val="467887"/>
          <w:sz w:val="22"/>
          <w:szCs w:val="22"/>
          <w:lang w:val="pt-PT"/>
        </w:rPr>
      </w:pPr>
      <w:hyperlink r:id="rId12" w:history="1">
        <w:r w:rsidRPr="00E959BB">
          <w:rPr>
            <w:rStyle w:val="Hipervnculo"/>
            <w:rFonts w:ascii="Verdana" w:hAnsi="Verdana"/>
            <w:sz w:val="22"/>
            <w:szCs w:val="22"/>
            <w:lang w:val="pt-PT"/>
          </w:rPr>
          <w:t>comfacor@comfacor.com.co</w:t>
        </w:r>
      </w:hyperlink>
    </w:p>
    <w:p w14:paraId="6EA8C9B5" w14:textId="77777777" w:rsidR="00AD4EB8" w:rsidRPr="00E959BB" w:rsidRDefault="00AD4EB8">
      <w:pPr>
        <w:rPr>
          <w:rFonts w:ascii="Verdana" w:eastAsia="Calibri" w:hAnsi="Verdana" w:cs="Arial"/>
          <w:b/>
          <w:sz w:val="22"/>
          <w:szCs w:val="22"/>
          <w:lang w:val="es-ES" w:eastAsia="es-ES"/>
        </w:rPr>
      </w:pPr>
      <w:r w:rsidRPr="00E959BB">
        <w:rPr>
          <w:rFonts w:ascii="Verdana" w:eastAsia="Calibri" w:hAnsi="Verdana" w:cs="Arial"/>
          <w:sz w:val="22"/>
          <w:szCs w:val="22"/>
          <w:lang w:val="es-ES" w:eastAsia="es-ES"/>
        </w:rPr>
        <w:t>Bogotá D.C.</w:t>
      </w:r>
    </w:p>
    <w:p w14:paraId="609A9B95" w14:textId="77777777" w:rsidR="00AD4EB8" w:rsidRPr="00E959BB" w:rsidRDefault="00AD4EB8">
      <w:pPr>
        <w:rPr>
          <w:rFonts w:ascii="Verdana" w:eastAsia="Calibri" w:hAnsi="Verdana" w:cs="Arial"/>
          <w:b/>
          <w:color w:val="000000"/>
          <w:sz w:val="22"/>
          <w:szCs w:val="22"/>
          <w:lang w:val="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D4EB8" w:rsidRPr="007563C1" w14:paraId="2DD2A12F" w14:textId="77777777" w:rsidTr="001E7AF0">
        <w:trPr>
          <w:trHeight w:val="80"/>
        </w:trPr>
        <w:tc>
          <w:tcPr>
            <w:tcW w:w="2689" w:type="dxa"/>
          </w:tcPr>
          <w:p w14:paraId="264F965F" w14:textId="77777777" w:rsidR="00AD4EB8" w:rsidRPr="00E959BB" w:rsidRDefault="00AD4EB8" w:rsidP="001E7AF0">
            <w:pPr>
              <w:jc w:val="both"/>
              <w:rPr>
                <w:rFonts w:ascii="Verdana" w:eastAsia="Calibri" w:hAnsi="Verdana" w:cs="Arial"/>
                <w:b/>
                <w:color w:val="7030A0"/>
                <w:sz w:val="22"/>
                <w:szCs w:val="22"/>
                <w:lang w:val="es-ES_tradnl"/>
              </w:rPr>
            </w:pPr>
          </w:p>
        </w:tc>
        <w:tc>
          <w:tcPr>
            <w:tcW w:w="6100" w:type="dxa"/>
          </w:tcPr>
          <w:p w14:paraId="56487BEC" w14:textId="77777777" w:rsidR="00AD4EB8" w:rsidRPr="00E959BB" w:rsidRDefault="00AD4EB8" w:rsidP="001E7AF0">
            <w:pPr>
              <w:jc w:val="both"/>
              <w:rPr>
                <w:rFonts w:ascii="Verdana" w:eastAsia="Calibri" w:hAnsi="Verdana" w:cs="Arial"/>
                <w:b/>
                <w:sz w:val="22"/>
                <w:szCs w:val="22"/>
                <w:lang w:val="es-ES" w:eastAsia="es-ES"/>
              </w:rPr>
            </w:pPr>
            <w:r w:rsidRPr="00E959BB">
              <w:rPr>
                <w:rFonts w:ascii="Verdana" w:eastAsia="Calibri" w:hAnsi="Verdana" w:cs="Arial"/>
                <w:b/>
                <w:sz w:val="22"/>
                <w:szCs w:val="22"/>
                <w:lang w:val="es-ES" w:eastAsia="es-ES"/>
              </w:rPr>
              <w:t>Concepto C-053</w:t>
            </w:r>
            <w:r w:rsidRPr="00E959BB">
              <w:rPr>
                <w:rFonts w:ascii="Verdana" w:eastAsia="Calibri" w:hAnsi="Verdana" w:cs="Arial"/>
                <w:b/>
                <w:color w:val="7030A0"/>
                <w:sz w:val="22"/>
                <w:szCs w:val="22"/>
                <w:lang w:val="es-ES" w:eastAsia="es-ES"/>
              </w:rPr>
              <w:t xml:space="preserve"> </w:t>
            </w:r>
            <w:r w:rsidRPr="00E959BB">
              <w:rPr>
                <w:rFonts w:ascii="Verdana" w:eastAsia="Calibri" w:hAnsi="Verdana" w:cs="Arial"/>
                <w:b/>
                <w:sz w:val="22"/>
                <w:szCs w:val="22"/>
                <w:lang w:val="es-ES" w:eastAsia="es-ES"/>
              </w:rPr>
              <w:t>de 2026</w:t>
            </w:r>
          </w:p>
          <w:p w14:paraId="35C6FC87" w14:textId="77777777" w:rsidR="00AD4EB8" w:rsidRPr="00E959BB" w:rsidRDefault="00AD4EB8" w:rsidP="001E7AF0">
            <w:pPr>
              <w:jc w:val="both"/>
              <w:rPr>
                <w:rFonts w:ascii="Verdana" w:eastAsia="Calibri" w:hAnsi="Verdana" w:cs="Arial"/>
                <w:b/>
                <w:color w:val="7030A0"/>
                <w:sz w:val="22"/>
                <w:szCs w:val="22"/>
                <w:lang w:val="es-ES" w:eastAsia="es-ES"/>
              </w:rPr>
            </w:pPr>
          </w:p>
        </w:tc>
      </w:tr>
      <w:tr w:rsidR="00AD4EB8" w:rsidRPr="007563C1" w14:paraId="1FC7F2AF" w14:textId="77777777" w:rsidTr="001E7AF0">
        <w:trPr>
          <w:trHeight w:val="884"/>
        </w:trPr>
        <w:tc>
          <w:tcPr>
            <w:tcW w:w="2689" w:type="dxa"/>
          </w:tcPr>
          <w:p w14:paraId="047E4F43" w14:textId="77777777" w:rsidR="00AD4EB8" w:rsidRPr="00E959BB" w:rsidRDefault="00AD4EB8" w:rsidP="001E7AF0">
            <w:pPr>
              <w:jc w:val="both"/>
              <w:rPr>
                <w:rFonts w:ascii="Verdana" w:eastAsia="Calibri" w:hAnsi="Verdana" w:cs="Arial"/>
                <w:color w:val="000000"/>
                <w:sz w:val="22"/>
                <w:szCs w:val="22"/>
                <w:lang w:val="es-ES_tradnl"/>
              </w:rPr>
            </w:pPr>
            <w:r w:rsidRPr="00E959BB">
              <w:rPr>
                <w:rFonts w:ascii="Verdana" w:eastAsia="Calibri" w:hAnsi="Verdana" w:cs="Arial"/>
                <w:b/>
                <w:color w:val="000000"/>
                <w:sz w:val="22"/>
                <w:szCs w:val="22"/>
                <w:lang w:val="es-ES_tradnl"/>
              </w:rPr>
              <w:t>Temas:</w:t>
            </w:r>
            <w:r w:rsidRPr="00E959BB">
              <w:rPr>
                <w:rFonts w:ascii="Verdana" w:eastAsia="Calibri" w:hAnsi="Verdana" w:cs="Arial"/>
                <w:color w:val="000000"/>
                <w:sz w:val="22"/>
                <w:szCs w:val="22"/>
                <w:lang w:val="es-ES_tradnl"/>
              </w:rPr>
              <w:t xml:space="preserve">                   </w:t>
            </w:r>
          </w:p>
        </w:tc>
        <w:tc>
          <w:tcPr>
            <w:tcW w:w="6100" w:type="dxa"/>
          </w:tcPr>
          <w:p w14:paraId="7CB35FE1" w14:textId="3FB40AE7" w:rsidR="00AD4EB8" w:rsidRPr="00E959BB" w:rsidRDefault="00FE17B2" w:rsidP="001E7AF0">
            <w:pPr>
              <w:jc w:val="both"/>
              <w:rPr>
                <w:rFonts w:ascii="Verdana" w:eastAsia="Aptos" w:hAnsi="Verdana"/>
                <w:kern w:val="2"/>
                <w:sz w:val="22"/>
                <w:szCs w:val="22"/>
                <w14:ligatures w14:val="standardContextual"/>
              </w:rPr>
            </w:pPr>
            <w:r w:rsidRPr="00E959BB">
              <w:rPr>
                <w:rFonts w:ascii="Verdana" w:eastAsia="Calibri" w:hAnsi="Verdana" w:cs="Arial"/>
                <w:sz w:val="22"/>
                <w:szCs w:val="22"/>
                <w:lang w:val="es-ES" w:eastAsia="es-ES"/>
              </w:rPr>
              <w:t xml:space="preserve">CAJAS DE COMENSACIÓN FAMILIAR – Recursos – Naturaleza de los recursos / </w:t>
            </w:r>
            <w:r w:rsidR="00AD4EB8" w:rsidRPr="00E959BB">
              <w:rPr>
                <w:rFonts w:ascii="Verdana" w:eastAsia="Calibri" w:hAnsi="Verdana" w:cs="Arial"/>
                <w:sz w:val="22"/>
                <w:szCs w:val="22"/>
                <w:lang w:val="es-ES" w:eastAsia="es-ES"/>
              </w:rPr>
              <w:t xml:space="preserve">PRINCIPIO DE PUBLICIDAD – Deber de publicación </w:t>
            </w:r>
            <w:r w:rsidR="00AD4EB8" w:rsidRPr="00E959BB">
              <w:rPr>
                <w:rFonts w:ascii="Verdana" w:eastAsia="Aptos" w:hAnsi="Verdana"/>
                <w:kern w:val="2"/>
                <w:sz w:val="22"/>
                <w:szCs w:val="22"/>
                <w14:ligatures w14:val="standardContextual"/>
              </w:rPr>
              <w:t xml:space="preserve">– SECOP </w:t>
            </w:r>
            <w:r w:rsidRPr="00E959BB">
              <w:rPr>
                <w:rFonts w:ascii="Verdana" w:eastAsia="Aptos" w:hAnsi="Verdana"/>
                <w:kern w:val="2"/>
                <w:sz w:val="22"/>
                <w:szCs w:val="22"/>
                <w14:ligatures w14:val="standardContextual"/>
              </w:rPr>
              <w:t xml:space="preserve">/ </w:t>
            </w:r>
            <w:r w:rsidRPr="00E959BB">
              <w:rPr>
                <w:rFonts w:ascii="Verdana" w:eastAsia="Calibri" w:hAnsi="Verdana" w:cs="Arial"/>
                <w:sz w:val="22"/>
                <w:szCs w:val="22"/>
                <w:lang w:val="es-ES" w:eastAsia="es-ES"/>
              </w:rPr>
              <w:t xml:space="preserve">PRINCIPIO DE PUBLICIDAD – Deber de publicación </w:t>
            </w:r>
            <w:r w:rsidRPr="00E959BB">
              <w:rPr>
                <w:rFonts w:ascii="Verdana" w:eastAsia="Aptos" w:hAnsi="Verdana"/>
                <w:kern w:val="2"/>
                <w:sz w:val="22"/>
                <w:szCs w:val="22"/>
                <w14:ligatures w14:val="standardContextual"/>
              </w:rPr>
              <w:t xml:space="preserve">– SECOP – Sujetos obligados / </w:t>
            </w:r>
            <w:r w:rsidRPr="00E959BB">
              <w:rPr>
                <w:rFonts w:ascii="Verdana" w:eastAsia="Calibri" w:hAnsi="Verdana" w:cs="Arial"/>
                <w:sz w:val="22"/>
                <w:szCs w:val="22"/>
                <w:lang w:val="es-ES" w:eastAsia="es-ES"/>
              </w:rPr>
              <w:t xml:space="preserve">PRINCIPIO DE PUBLICIDAD – Deber de publicación </w:t>
            </w:r>
            <w:r w:rsidRPr="00E959BB">
              <w:rPr>
                <w:rFonts w:ascii="Verdana" w:eastAsia="Aptos" w:hAnsi="Verdana"/>
                <w:kern w:val="2"/>
                <w:sz w:val="22"/>
                <w:szCs w:val="22"/>
                <w14:ligatures w14:val="standardContextual"/>
              </w:rPr>
              <w:t xml:space="preserve">– SECOP – Cajas de Compensación Familiar / SECOP - </w:t>
            </w:r>
            <w:r w:rsidR="00AD4EB8" w:rsidRPr="00E959BB">
              <w:rPr>
                <w:rFonts w:ascii="Verdana" w:eastAsia="Aptos" w:hAnsi="Verdana"/>
                <w:kern w:val="2"/>
                <w:sz w:val="22"/>
                <w:szCs w:val="22"/>
                <w14:ligatures w14:val="standardContextual"/>
              </w:rPr>
              <w:t xml:space="preserve">Actividad contractual – Recursos públicos </w:t>
            </w:r>
            <w:r w:rsidRPr="00E959BB">
              <w:rPr>
                <w:rFonts w:ascii="Verdana" w:eastAsia="Aptos" w:hAnsi="Verdana"/>
                <w:kern w:val="2"/>
                <w:sz w:val="22"/>
                <w:szCs w:val="22"/>
                <w14:ligatures w14:val="standardContextual"/>
              </w:rPr>
              <w:t>–</w:t>
            </w:r>
            <w:r w:rsidR="00AD4EB8" w:rsidRPr="00E959BB">
              <w:rPr>
                <w:rFonts w:ascii="Verdana" w:eastAsia="Aptos" w:hAnsi="Verdana"/>
                <w:kern w:val="2"/>
                <w:sz w:val="22"/>
                <w:szCs w:val="22"/>
                <w14:ligatures w14:val="standardContextual"/>
              </w:rPr>
              <w:t xml:space="preserve"> Procedencia</w:t>
            </w:r>
          </w:p>
          <w:p w14:paraId="087230D4" w14:textId="77777777" w:rsidR="00AD4EB8" w:rsidRPr="00E959BB" w:rsidRDefault="00AD4EB8" w:rsidP="00E959BB">
            <w:pPr>
              <w:jc w:val="both"/>
              <w:rPr>
                <w:rFonts w:ascii="Verdana" w:eastAsia="Calibri" w:hAnsi="Verdana" w:cs="Arial"/>
                <w:sz w:val="22"/>
                <w:szCs w:val="22"/>
                <w:lang w:val="es-ES" w:eastAsia="es-ES"/>
              </w:rPr>
            </w:pPr>
          </w:p>
        </w:tc>
      </w:tr>
      <w:tr w:rsidR="00AD4EB8" w:rsidRPr="007563C1" w14:paraId="6B1BD1A3" w14:textId="77777777" w:rsidTr="001E7AF0">
        <w:tc>
          <w:tcPr>
            <w:tcW w:w="2689" w:type="dxa"/>
          </w:tcPr>
          <w:p w14:paraId="54B5E9DB" w14:textId="77777777" w:rsidR="00AD4EB8" w:rsidRPr="00E959BB" w:rsidRDefault="00AD4EB8" w:rsidP="001E7AF0">
            <w:pPr>
              <w:jc w:val="both"/>
              <w:rPr>
                <w:rFonts w:ascii="Verdana" w:eastAsia="Calibri" w:hAnsi="Verdana" w:cs="Arial"/>
                <w:b/>
                <w:sz w:val="22"/>
                <w:szCs w:val="22"/>
                <w:lang w:val="es-ES_tradnl"/>
              </w:rPr>
            </w:pPr>
            <w:r w:rsidRPr="00E959BB">
              <w:rPr>
                <w:rFonts w:ascii="Verdana" w:eastAsia="Calibri" w:hAnsi="Verdana" w:cs="Arial"/>
                <w:b/>
                <w:sz w:val="22"/>
                <w:szCs w:val="22"/>
                <w:lang w:val="es-ES_tradnl"/>
              </w:rPr>
              <w:t xml:space="preserve"> Radicación:</w:t>
            </w:r>
            <w:r w:rsidRPr="00E959BB">
              <w:rPr>
                <w:rFonts w:ascii="Verdana" w:eastAsia="Calibri" w:hAnsi="Verdana" w:cs="Arial"/>
                <w:sz w:val="22"/>
                <w:szCs w:val="22"/>
                <w:lang w:val="es-ES_tradnl"/>
              </w:rPr>
              <w:t xml:space="preserve">               </w:t>
            </w:r>
          </w:p>
        </w:tc>
        <w:tc>
          <w:tcPr>
            <w:tcW w:w="6100" w:type="dxa"/>
          </w:tcPr>
          <w:p w14:paraId="61D95EEF" w14:textId="77777777" w:rsidR="00AD4EB8" w:rsidRPr="00E959BB" w:rsidRDefault="00AD4EB8" w:rsidP="001E7AF0">
            <w:pPr>
              <w:jc w:val="both"/>
              <w:rPr>
                <w:rFonts w:ascii="Verdana" w:eastAsia="Calibri" w:hAnsi="Verdana" w:cs="Arial"/>
                <w:sz w:val="22"/>
                <w:szCs w:val="22"/>
                <w:lang w:val="es-ES_tradnl"/>
              </w:rPr>
            </w:pPr>
            <w:r w:rsidRPr="00E959BB">
              <w:rPr>
                <w:rFonts w:ascii="Verdana" w:eastAsia="Calibri" w:hAnsi="Verdana" w:cs="Arial"/>
                <w:sz w:val="22"/>
                <w:szCs w:val="22"/>
                <w:lang w:val="es-ES_tradnl"/>
              </w:rPr>
              <w:t>Respuesta a consulta con radicado No. 1_2026_01_15_000377</w:t>
            </w:r>
          </w:p>
        </w:tc>
      </w:tr>
    </w:tbl>
    <w:p w14:paraId="254639C0" w14:textId="77777777" w:rsidR="00AD4EB8" w:rsidRPr="00E959BB" w:rsidRDefault="00AD4EB8" w:rsidP="00DB5DAF">
      <w:pPr>
        <w:jc w:val="both"/>
        <w:rPr>
          <w:rFonts w:ascii="Verdana" w:eastAsia="Calibri" w:hAnsi="Verdana" w:cs="Arial"/>
          <w:color w:val="000000"/>
          <w:sz w:val="22"/>
          <w:szCs w:val="22"/>
          <w:lang w:val="es-ES_tradnl"/>
        </w:rPr>
      </w:pPr>
    </w:p>
    <w:p w14:paraId="12224502" w14:textId="77777777" w:rsidR="00AD4EB8" w:rsidRPr="00E959BB" w:rsidRDefault="00AD4EB8">
      <w:pPr>
        <w:jc w:val="both"/>
        <w:rPr>
          <w:rFonts w:ascii="Verdana" w:eastAsia="Calibri" w:hAnsi="Verdana" w:cs="Arial"/>
          <w:color w:val="000000"/>
          <w:sz w:val="22"/>
          <w:szCs w:val="22"/>
          <w:lang w:val="es-ES_tradnl"/>
        </w:rPr>
      </w:pPr>
    </w:p>
    <w:p w14:paraId="47BE116D" w14:textId="77777777" w:rsidR="00AD4EB8" w:rsidRPr="00E959BB" w:rsidRDefault="00AD4EB8" w:rsidP="00DB5DAF">
      <w:pPr>
        <w:spacing w:line="276" w:lineRule="auto"/>
        <w:jc w:val="both"/>
        <w:rPr>
          <w:rFonts w:ascii="Verdana" w:eastAsia="Calibri" w:hAnsi="Verdana" w:cs="Arial"/>
          <w:sz w:val="22"/>
          <w:szCs w:val="22"/>
          <w:lang w:val="es-ES" w:eastAsia="es-ES"/>
        </w:rPr>
      </w:pPr>
      <w:r w:rsidRPr="00E959BB">
        <w:rPr>
          <w:rFonts w:ascii="Verdana" w:eastAsia="Calibri" w:hAnsi="Verdana" w:cs="Arial"/>
          <w:color w:val="000000" w:themeColor="text1"/>
          <w:sz w:val="22"/>
          <w:szCs w:val="22"/>
          <w:lang w:val="es-ES" w:eastAsia="es-ES"/>
        </w:rPr>
        <w:t xml:space="preserve">Estimado Doctor </w:t>
      </w:r>
      <w:proofErr w:type="spellStart"/>
      <w:r w:rsidRPr="00E959BB">
        <w:rPr>
          <w:rFonts w:ascii="Verdana" w:eastAsia="Calibri" w:hAnsi="Verdana" w:cs="Arial"/>
          <w:color w:val="000000" w:themeColor="text1"/>
          <w:sz w:val="22"/>
          <w:szCs w:val="22"/>
          <w:lang w:val="es-ES" w:eastAsia="es-ES"/>
        </w:rPr>
        <w:t>Esquiaqui</w:t>
      </w:r>
      <w:proofErr w:type="spellEnd"/>
      <w:r w:rsidRPr="00E959BB">
        <w:rPr>
          <w:rFonts w:ascii="Verdana" w:eastAsia="Calibri" w:hAnsi="Verdana" w:cs="Arial"/>
          <w:color w:val="000000" w:themeColor="text1"/>
          <w:sz w:val="22"/>
          <w:szCs w:val="22"/>
          <w:lang w:val="es-ES" w:eastAsia="es-ES"/>
        </w:rPr>
        <w:t xml:space="preserve"> Rangel</w:t>
      </w:r>
      <w:r w:rsidRPr="00E959BB">
        <w:rPr>
          <w:rFonts w:ascii="Verdana" w:eastAsia="Calibri" w:hAnsi="Verdana" w:cs="Arial"/>
          <w:sz w:val="22"/>
          <w:szCs w:val="22"/>
          <w:lang w:val="es-ES" w:eastAsia="es-ES"/>
        </w:rPr>
        <w:t>,</w:t>
      </w:r>
    </w:p>
    <w:p w14:paraId="61AF692C" w14:textId="77777777" w:rsidR="00AD4EB8" w:rsidRPr="00E959BB" w:rsidRDefault="00AD4EB8">
      <w:pPr>
        <w:tabs>
          <w:tab w:val="left" w:pos="3768"/>
        </w:tabs>
        <w:spacing w:line="276" w:lineRule="auto"/>
        <w:jc w:val="both"/>
        <w:rPr>
          <w:rFonts w:ascii="Verdana" w:eastAsia="Calibri" w:hAnsi="Verdana" w:cs="Arial"/>
          <w:sz w:val="22"/>
          <w:szCs w:val="22"/>
          <w:lang w:val="es-ES" w:eastAsia="es-ES"/>
        </w:rPr>
      </w:pPr>
      <w:r w:rsidRPr="00E959BB">
        <w:rPr>
          <w:rFonts w:ascii="Verdana" w:eastAsia="Calibri" w:hAnsi="Verdana" w:cs="Arial"/>
          <w:sz w:val="22"/>
          <w:szCs w:val="22"/>
          <w:lang w:val="es-ES" w:eastAsia="es-ES"/>
        </w:rPr>
        <w:tab/>
      </w:r>
    </w:p>
    <w:p w14:paraId="2162B060" w14:textId="77777777" w:rsidR="00AD4EB8" w:rsidRPr="00E959BB" w:rsidRDefault="00AD4EB8">
      <w:pPr>
        <w:spacing w:line="276" w:lineRule="auto"/>
        <w:contextualSpacing/>
        <w:jc w:val="both"/>
        <w:rPr>
          <w:rFonts w:ascii="Verdana" w:eastAsia="Calibri" w:hAnsi="Verdana" w:cs="Arial"/>
          <w:sz w:val="22"/>
          <w:szCs w:val="22"/>
          <w:lang w:val="es-ES"/>
        </w:rPr>
      </w:pPr>
      <w:r w:rsidRPr="00E959BB">
        <w:rPr>
          <w:rFonts w:ascii="Verdana" w:eastAsia="Calibri" w:hAnsi="Verdana" w:cs="Arial"/>
          <w:sz w:val="22"/>
          <w:szCs w:val="22"/>
          <w:lang w:val="es-ES"/>
        </w:rPr>
        <w:t xml:space="preserve">En ejercicio de la competencia otorgada por los artículos 3, numeral 5º, y 11, numeral 8º, del Decreto Ley 4170 de 2011, así como lo establecido en la Resolución </w:t>
      </w:r>
      <w:r w:rsidRPr="00E959BB">
        <w:rPr>
          <w:rFonts w:ascii="Verdana" w:hAnsi="Verdana" w:cs="Arial"/>
          <w:sz w:val="22"/>
          <w:szCs w:val="22"/>
        </w:rPr>
        <w:t xml:space="preserve">469 de 2025 </w:t>
      </w:r>
      <w:r w:rsidRPr="00E959BB">
        <w:rPr>
          <w:rFonts w:ascii="Verdana" w:eastAsia="Calibri" w:hAnsi="Verdana" w:cs="Arial"/>
          <w:sz w:val="22"/>
          <w:szCs w:val="22"/>
          <w:lang w:val="es-ES"/>
        </w:rPr>
        <w:t>expedida por esta Entidad, la Agencia Nacional de Contratación Pública – Colombia Compra Eficiente– responde su solicitud de consulta de fecha 15 de enero de 2026, en la cual manifiesta lo siguiente:</w:t>
      </w:r>
    </w:p>
    <w:p w14:paraId="62152239" w14:textId="77777777" w:rsidR="00AD4EB8" w:rsidRPr="007563C1" w:rsidRDefault="00AD4EB8" w:rsidP="00F8005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FCECC42" w14:textId="77777777" w:rsidR="00AD4EB8" w:rsidRPr="007563C1" w:rsidRDefault="00AD4EB8" w:rsidP="00C3373B">
      <w:pPr>
        <w:autoSpaceDE w:val="0"/>
        <w:autoSpaceDN w:val="0"/>
        <w:adjustRightInd w:val="0"/>
        <w:ind w:left="709" w:right="709"/>
        <w:jc w:val="both"/>
        <w:rPr>
          <w:rFonts w:ascii="Verdana" w:hAnsi="Verdana" w:cs="CIDFont+F1"/>
          <w:i/>
          <w:iCs/>
          <w:sz w:val="20"/>
          <w:szCs w:val="20"/>
        </w:rPr>
      </w:pPr>
      <w:r w:rsidRPr="007563C1">
        <w:rPr>
          <w:rFonts w:ascii="Verdana" w:hAnsi="Verdana" w:cs="CIDFont+F1"/>
          <w:i/>
          <w:iCs/>
          <w:sz w:val="20"/>
          <w:szCs w:val="20"/>
        </w:rPr>
        <w:t xml:space="preserve">“[…]En virtud de nuestra naturaleza jurídica, no nos encontramos dentro del ámbito de aplicación del Estatuto General de Contratación de la Administración Pública (Ley 80 de 1993), ni estamos obligados a utilizar la plataforma SECOP II para los procesos contractuales. En consecuencia, las actuaciones contractuales que adelanta COMFACOR se rigen por el Manual Único de Contratación – Versión 6, aprobado mediante Resolución AEI No.088 del 25 de abril de 2024, el cual adopta los principios de transparencia, selección objetiva, eficiencia objetiva, eficiencia y </w:t>
      </w:r>
      <w:r w:rsidRPr="007563C1">
        <w:rPr>
          <w:rFonts w:ascii="Verdana" w:hAnsi="Verdana" w:cs="CIDFont+F1"/>
          <w:i/>
          <w:iCs/>
          <w:sz w:val="20"/>
          <w:szCs w:val="20"/>
        </w:rPr>
        <w:lastRenderedPageBreak/>
        <w:t xml:space="preserve">publicidad, en armonía con el </w:t>
      </w:r>
      <w:proofErr w:type="spellStart"/>
      <w:r w:rsidRPr="007563C1">
        <w:rPr>
          <w:rFonts w:ascii="Verdana" w:hAnsi="Verdana" w:cs="CIDFont+F1"/>
          <w:i/>
          <w:iCs/>
          <w:sz w:val="20"/>
          <w:szCs w:val="20"/>
        </w:rPr>
        <w:t>articulo</w:t>
      </w:r>
      <w:proofErr w:type="spellEnd"/>
      <w:r w:rsidRPr="007563C1">
        <w:rPr>
          <w:rFonts w:ascii="Verdana" w:hAnsi="Verdana" w:cs="CIDFont+F1"/>
          <w:i/>
          <w:iCs/>
          <w:sz w:val="20"/>
          <w:szCs w:val="20"/>
        </w:rPr>
        <w:t xml:space="preserve"> 209 de la Constitución Política y con respeto por la autonomía de la voluntad privada. </w:t>
      </w:r>
    </w:p>
    <w:p w14:paraId="6233EEB5" w14:textId="77777777" w:rsidR="00A0419E" w:rsidRPr="007563C1" w:rsidRDefault="00A0419E" w:rsidP="00E959BB">
      <w:pPr>
        <w:autoSpaceDE w:val="0"/>
        <w:autoSpaceDN w:val="0"/>
        <w:adjustRightInd w:val="0"/>
        <w:ind w:left="709" w:right="709"/>
        <w:jc w:val="both"/>
        <w:rPr>
          <w:rFonts w:ascii="Verdana" w:hAnsi="Verdana" w:cs="CIDFont+F1"/>
          <w:i/>
          <w:iCs/>
          <w:sz w:val="20"/>
          <w:szCs w:val="20"/>
        </w:rPr>
      </w:pPr>
    </w:p>
    <w:p w14:paraId="1B7EDADE" w14:textId="0227B83B" w:rsidR="00AD4EB8" w:rsidRDefault="00AD4EB8">
      <w:pPr>
        <w:autoSpaceDE w:val="0"/>
        <w:autoSpaceDN w:val="0"/>
        <w:adjustRightInd w:val="0"/>
        <w:ind w:left="709" w:right="709"/>
        <w:jc w:val="both"/>
        <w:rPr>
          <w:rFonts w:ascii="Verdana" w:hAnsi="Verdana"/>
          <w:i/>
          <w:sz w:val="20"/>
          <w:szCs w:val="20"/>
        </w:rPr>
      </w:pPr>
      <w:r w:rsidRPr="007563C1">
        <w:rPr>
          <w:rFonts w:ascii="Verdana" w:hAnsi="Verdana" w:cs="CIDFont+F1"/>
          <w:i/>
          <w:iCs/>
          <w:sz w:val="20"/>
          <w:szCs w:val="20"/>
        </w:rPr>
        <w:t>No obstante lo anterior, la CGR mantuvo el hallazgo y</w:t>
      </w:r>
      <w:r w:rsidRPr="00E959BB">
        <w:rPr>
          <w:rFonts w:ascii="Verdana" w:hAnsi="Verdana"/>
          <w:i/>
          <w:sz w:val="20"/>
          <w:szCs w:val="20"/>
        </w:rPr>
        <w:t xml:space="preserve">, para su superación, fue aceptada dentro del Plan de Acción propuesto por COMFACOR la siguiente meta, la cual se transcribe textualmente: </w:t>
      </w:r>
    </w:p>
    <w:p w14:paraId="48D3715F" w14:textId="77777777" w:rsidR="002E7C5F" w:rsidRPr="007563C1" w:rsidRDefault="002E7C5F" w:rsidP="00E959BB">
      <w:pPr>
        <w:autoSpaceDE w:val="0"/>
        <w:autoSpaceDN w:val="0"/>
        <w:adjustRightInd w:val="0"/>
        <w:ind w:left="709" w:right="709"/>
        <w:jc w:val="both"/>
        <w:rPr>
          <w:rFonts w:ascii="Verdana" w:hAnsi="Verdana" w:cs="CIDFont+F1"/>
          <w:i/>
          <w:iCs/>
          <w:sz w:val="20"/>
          <w:szCs w:val="20"/>
        </w:rPr>
      </w:pPr>
    </w:p>
    <w:p w14:paraId="6C9F36C9" w14:textId="72B11D5B" w:rsidR="00AD4EB8" w:rsidRPr="007563C1" w:rsidRDefault="00AD4EB8">
      <w:pPr>
        <w:autoSpaceDE w:val="0"/>
        <w:autoSpaceDN w:val="0"/>
        <w:adjustRightInd w:val="0"/>
        <w:ind w:left="709" w:right="709"/>
        <w:jc w:val="both"/>
        <w:rPr>
          <w:rFonts w:ascii="Verdana" w:hAnsi="Verdana"/>
          <w:i/>
          <w:iCs/>
          <w:sz w:val="20"/>
          <w:szCs w:val="20"/>
        </w:rPr>
      </w:pPr>
      <w:r w:rsidRPr="007563C1">
        <w:rPr>
          <w:rFonts w:ascii="Verdana" w:hAnsi="Verdana"/>
          <w:i/>
          <w:iCs/>
          <w:sz w:val="20"/>
          <w:szCs w:val="20"/>
        </w:rPr>
        <w:t xml:space="preserve">“elevar consultas ante la Superintendencia del Subsidio Familiar sobre el uso de la herramienta SECOP y la obligatoriedad por parte de las Cajas de compensación Familiar privadas”. </w:t>
      </w:r>
    </w:p>
    <w:p w14:paraId="0FC026B8" w14:textId="77777777" w:rsidR="002E7C5F" w:rsidRPr="007563C1" w:rsidRDefault="002E7C5F" w:rsidP="00E959BB">
      <w:pPr>
        <w:autoSpaceDE w:val="0"/>
        <w:autoSpaceDN w:val="0"/>
        <w:adjustRightInd w:val="0"/>
        <w:ind w:left="709" w:right="709"/>
        <w:jc w:val="both"/>
        <w:rPr>
          <w:rFonts w:ascii="Verdana" w:hAnsi="Verdana"/>
          <w:i/>
          <w:iCs/>
          <w:sz w:val="20"/>
          <w:szCs w:val="20"/>
        </w:rPr>
      </w:pPr>
    </w:p>
    <w:p w14:paraId="3305A971" w14:textId="77777777" w:rsidR="00AD4EB8" w:rsidRPr="007563C1" w:rsidRDefault="00AD4EB8" w:rsidP="00E959BB">
      <w:pPr>
        <w:autoSpaceDE w:val="0"/>
        <w:autoSpaceDN w:val="0"/>
        <w:adjustRightInd w:val="0"/>
        <w:ind w:left="709" w:right="709"/>
        <w:jc w:val="both"/>
        <w:rPr>
          <w:rFonts w:ascii="Verdana" w:hAnsi="Verdana" w:cs="CIDFont+F1"/>
          <w:i/>
          <w:iCs/>
          <w:sz w:val="20"/>
          <w:szCs w:val="20"/>
        </w:rPr>
      </w:pPr>
      <w:r w:rsidRPr="007563C1">
        <w:rPr>
          <w:rFonts w:ascii="Verdana" w:hAnsi="Verdana"/>
          <w:i/>
          <w:iCs/>
          <w:sz w:val="20"/>
          <w:szCs w:val="20"/>
        </w:rPr>
        <w:t xml:space="preserve">Conforme a lo anterior, resulta de gran importancia para nuestros procesos contractuales obtener por parte de COLOMBIA COMPRA EFICIENTE un concepto jurídico referente al uso de la herramienta SECOP y a la eventual obligatoriedad de su aplicación para las Cajas de compensación Familiar privadas, teniendo en cuenta lo dispuesto en el </w:t>
      </w:r>
      <w:proofErr w:type="spellStart"/>
      <w:r w:rsidRPr="007563C1">
        <w:rPr>
          <w:rFonts w:ascii="Verdana" w:hAnsi="Verdana"/>
          <w:i/>
          <w:iCs/>
          <w:sz w:val="20"/>
          <w:szCs w:val="20"/>
        </w:rPr>
        <w:t>articulo</w:t>
      </w:r>
      <w:proofErr w:type="spellEnd"/>
      <w:r w:rsidRPr="007563C1">
        <w:rPr>
          <w:rFonts w:ascii="Verdana" w:hAnsi="Verdana"/>
          <w:i/>
          <w:iCs/>
          <w:sz w:val="20"/>
          <w:szCs w:val="20"/>
        </w:rPr>
        <w:t xml:space="preserve"> 53 de la Ley 2195 de 2022. </w:t>
      </w:r>
      <w:r w:rsidRPr="007563C1">
        <w:rPr>
          <w:rFonts w:ascii="Verdana" w:hAnsi="Verdana" w:cs="CIDFont+F1"/>
          <w:i/>
          <w:iCs/>
          <w:sz w:val="20"/>
          <w:szCs w:val="20"/>
        </w:rPr>
        <w:t>[…]”</w:t>
      </w:r>
    </w:p>
    <w:p w14:paraId="7B422798" w14:textId="77777777" w:rsidR="00AD4EB8" w:rsidRPr="00E959BB" w:rsidRDefault="00AD4EB8" w:rsidP="00E959BB">
      <w:pPr>
        <w:autoSpaceDE w:val="0"/>
        <w:autoSpaceDN w:val="0"/>
        <w:adjustRightInd w:val="0"/>
        <w:spacing w:line="276" w:lineRule="auto"/>
        <w:ind w:left="851" w:right="616"/>
        <w:jc w:val="both"/>
        <w:rPr>
          <w:rFonts w:ascii="Verdana" w:eastAsia="Century Gothic" w:hAnsi="Verdana" w:cs="Century Gothic"/>
          <w:b/>
          <w:sz w:val="22"/>
          <w:szCs w:val="22"/>
        </w:rPr>
      </w:pPr>
    </w:p>
    <w:p w14:paraId="33F5E05D" w14:textId="4427FD47" w:rsidR="00AD4EB8" w:rsidRPr="00E959BB" w:rsidRDefault="00AD4EB8" w:rsidP="00AD4EB8">
      <w:pPr>
        <w:spacing w:after="120" w:line="276" w:lineRule="auto"/>
        <w:ind w:firstLine="709"/>
        <w:jc w:val="both"/>
        <w:rPr>
          <w:rFonts w:ascii="Verdana" w:eastAsia="Calibri" w:hAnsi="Verdana" w:cs="Arial"/>
          <w:color w:val="000000"/>
          <w:sz w:val="22"/>
          <w:szCs w:val="22"/>
          <w:lang w:val="es-ES_tradnl"/>
        </w:rPr>
      </w:pPr>
      <w:r w:rsidRPr="00E959BB">
        <w:rPr>
          <w:rFonts w:ascii="Verdana" w:eastAsia="Calibri" w:hAnsi="Verdana" w:cs="Arial"/>
          <w:color w:val="000000"/>
          <w:sz w:val="22"/>
          <w:szCs w:val="22"/>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2E7C5F" w:rsidRPr="00E959BB">
        <w:rPr>
          <w:rFonts w:ascii="Verdana" w:eastAsia="Calibri" w:hAnsi="Verdana" w:cs="Arial"/>
          <w:color w:val="000000"/>
          <w:sz w:val="22"/>
          <w:szCs w:val="22"/>
          <w:lang w:val="es-ES" w:eastAsia="es-ES"/>
        </w:rPr>
        <w:t xml:space="preserve">la Agencia Nacional de Contratación Pública - </w:t>
      </w:r>
      <w:r w:rsidRPr="00E959BB">
        <w:rPr>
          <w:rFonts w:ascii="Verdana" w:eastAsia="Calibri" w:hAnsi="Verdana" w:cs="Arial"/>
          <w:color w:val="000000"/>
          <w:sz w:val="22"/>
          <w:szCs w:val="22"/>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959BB">
        <w:rPr>
          <w:rFonts w:ascii="Verdana" w:eastAsia="Calibri" w:hAnsi="Verdana" w:cs="Arial"/>
          <w:color w:val="000000"/>
          <w:sz w:val="22"/>
          <w:szCs w:val="22"/>
          <w:lang w:val="es-ES_tradnl"/>
        </w:rPr>
        <w:tab/>
      </w:r>
    </w:p>
    <w:p w14:paraId="7AAD2A38" w14:textId="7018D3D0" w:rsidR="00AD4EB8" w:rsidRPr="00E959BB" w:rsidRDefault="00AD4EB8" w:rsidP="00DB5DAF">
      <w:pPr>
        <w:spacing w:line="276" w:lineRule="auto"/>
        <w:ind w:firstLine="709"/>
        <w:jc w:val="both"/>
        <w:rPr>
          <w:rFonts w:ascii="Verdana" w:eastAsia="Calibri" w:hAnsi="Verdana" w:cs="Arial"/>
          <w:color w:val="000000"/>
          <w:sz w:val="22"/>
          <w:szCs w:val="22"/>
          <w:lang w:val="es-ES" w:eastAsia="es-ES"/>
        </w:rPr>
      </w:pPr>
      <w:r w:rsidRPr="00E959BB">
        <w:rPr>
          <w:rFonts w:ascii="Verdana" w:eastAsia="Calibri" w:hAnsi="Verdana" w:cs="Arial"/>
          <w:color w:val="000000"/>
          <w:sz w:val="22"/>
          <w:szCs w:val="22"/>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C838FF" w:rsidRPr="00E959BB">
        <w:rPr>
          <w:rFonts w:ascii="Verdana" w:eastAsia="Calibri" w:hAnsi="Verdana" w:cs="Arial"/>
          <w:color w:val="000000"/>
          <w:sz w:val="22"/>
          <w:szCs w:val="22"/>
          <w:lang w:val="es-ES" w:eastAsia="es-ES"/>
        </w:rPr>
        <w:t>señalando alg</w:t>
      </w:r>
      <w:r w:rsidRPr="00E959BB">
        <w:rPr>
          <w:rFonts w:ascii="Verdana" w:eastAsia="Calibri" w:hAnsi="Verdana" w:cs="Arial"/>
          <w:color w:val="000000"/>
          <w:sz w:val="22"/>
          <w:szCs w:val="22"/>
          <w:lang w:val="es-ES" w:eastAsia="es-ES"/>
        </w:rPr>
        <w:t>unas consideraciones sobre las normas generales relacionadas con el</w:t>
      </w:r>
      <w:r w:rsidRPr="00E959BB">
        <w:rPr>
          <w:rFonts w:ascii="Verdana" w:eastAsia="Calibri" w:hAnsi="Verdana" w:cs="Arial"/>
          <w:color w:val="7030A0"/>
          <w:sz w:val="22"/>
          <w:szCs w:val="22"/>
          <w:lang w:val="es-ES" w:eastAsia="es-ES"/>
        </w:rPr>
        <w:t xml:space="preserve"> </w:t>
      </w:r>
      <w:r w:rsidRPr="00E959BB">
        <w:rPr>
          <w:rFonts w:ascii="Verdana" w:eastAsia="Calibri" w:hAnsi="Verdana" w:cs="Arial"/>
          <w:color w:val="000000"/>
          <w:sz w:val="22"/>
          <w:szCs w:val="22"/>
          <w:lang w:val="es-ES" w:eastAsia="es-ES"/>
        </w:rPr>
        <w:t>problema</w:t>
      </w:r>
      <w:r w:rsidRPr="00E959BB">
        <w:rPr>
          <w:rFonts w:ascii="Verdana" w:eastAsia="Calibri" w:hAnsi="Verdana" w:cs="Arial"/>
          <w:color w:val="7030A0"/>
          <w:sz w:val="22"/>
          <w:szCs w:val="22"/>
          <w:lang w:val="es-ES" w:eastAsia="es-ES"/>
        </w:rPr>
        <w:t xml:space="preserve"> </w:t>
      </w:r>
      <w:r w:rsidRPr="00E959BB">
        <w:rPr>
          <w:rFonts w:ascii="Verdana" w:eastAsia="Calibri" w:hAnsi="Verdana" w:cs="Arial"/>
          <w:color w:val="000000"/>
          <w:sz w:val="22"/>
          <w:szCs w:val="22"/>
          <w:lang w:val="es-ES" w:eastAsia="es-ES"/>
        </w:rPr>
        <w:t>jurídico</w:t>
      </w:r>
      <w:r w:rsidRPr="00E959BB">
        <w:rPr>
          <w:rFonts w:ascii="Verdana" w:eastAsia="Calibri" w:hAnsi="Verdana" w:cs="Arial"/>
          <w:color w:val="7030A0"/>
          <w:sz w:val="22"/>
          <w:szCs w:val="22"/>
          <w:lang w:val="es-ES" w:eastAsia="es-ES"/>
        </w:rPr>
        <w:t xml:space="preserve"> </w:t>
      </w:r>
      <w:r w:rsidRPr="00E959BB">
        <w:rPr>
          <w:rFonts w:ascii="Verdana" w:eastAsia="Calibri" w:hAnsi="Verdana" w:cs="Arial"/>
          <w:color w:val="000000"/>
          <w:sz w:val="22"/>
          <w:szCs w:val="22"/>
          <w:lang w:val="es-ES" w:eastAsia="es-ES"/>
        </w:rPr>
        <w:t xml:space="preserve">de su consulta. </w:t>
      </w:r>
    </w:p>
    <w:p w14:paraId="6039AFC3" w14:textId="77777777" w:rsidR="00AD4EB8" w:rsidRPr="00E959BB" w:rsidRDefault="00AD4EB8">
      <w:pPr>
        <w:spacing w:line="276" w:lineRule="auto"/>
        <w:ind w:firstLine="709"/>
        <w:jc w:val="both"/>
        <w:rPr>
          <w:rFonts w:ascii="Verdana" w:eastAsia="Calibri" w:hAnsi="Verdana" w:cs="Arial"/>
          <w:color w:val="000000"/>
          <w:sz w:val="22"/>
          <w:szCs w:val="22"/>
          <w:lang w:val="es-ES" w:eastAsia="es-ES"/>
        </w:rPr>
      </w:pPr>
    </w:p>
    <w:p w14:paraId="2018AAC7" w14:textId="77777777" w:rsidR="00AD4EB8" w:rsidRPr="007563C1" w:rsidRDefault="00AD4EB8" w:rsidP="00AD4EB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7563C1">
        <w:rPr>
          <w:rFonts w:ascii="Verdana" w:eastAsia="Century Gothic" w:hAnsi="Verdana" w:cs="Century Gothic"/>
          <w:b/>
          <w:bCs/>
        </w:rPr>
        <w:t>Problema planteado:</w:t>
      </w:r>
    </w:p>
    <w:p w14:paraId="6D5C4D16" w14:textId="77777777" w:rsidR="00AD4EB8" w:rsidRPr="00E959BB" w:rsidRDefault="00AD4EB8">
      <w:pPr>
        <w:tabs>
          <w:tab w:val="left" w:pos="426"/>
        </w:tabs>
        <w:spacing w:line="276" w:lineRule="auto"/>
        <w:jc w:val="both"/>
        <w:rPr>
          <w:rFonts w:ascii="Verdana" w:eastAsia="Century Gothic" w:hAnsi="Verdana" w:cs="Century Gothic"/>
          <w:sz w:val="22"/>
          <w:szCs w:val="22"/>
          <w:lang w:val="es-ES"/>
        </w:rPr>
      </w:pPr>
    </w:p>
    <w:p w14:paraId="0906390F" w14:textId="6014D085" w:rsidR="00AD4EB8" w:rsidRPr="00E959BB" w:rsidRDefault="00AD4EB8">
      <w:pPr>
        <w:spacing w:line="276" w:lineRule="auto"/>
        <w:jc w:val="both"/>
        <w:rPr>
          <w:rFonts w:ascii="Verdana" w:eastAsia="Century Gothic" w:hAnsi="Verdana" w:cs="Century Gothic"/>
          <w:sz w:val="22"/>
          <w:szCs w:val="22"/>
        </w:rPr>
      </w:pPr>
      <w:r w:rsidRPr="00E959BB">
        <w:rPr>
          <w:rFonts w:ascii="Verdana" w:eastAsia="Century Gothic" w:hAnsi="Verdana" w:cs="Century Gothic"/>
          <w:sz w:val="22"/>
          <w:szCs w:val="22"/>
        </w:rPr>
        <w:lastRenderedPageBreak/>
        <w:t>De acuerdo con el contenido de su solicitud, esta Agencia resolverá el siguiente problema jurídico: ¿</w:t>
      </w:r>
      <w:r w:rsidR="001E29A7" w:rsidRPr="00E959BB">
        <w:rPr>
          <w:rFonts w:ascii="Verdana" w:eastAsia="Century Gothic" w:hAnsi="Verdana" w:cs="Century Gothic"/>
          <w:sz w:val="22"/>
          <w:szCs w:val="22"/>
        </w:rPr>
        <w:t>Las Cajas</w:t>
      </w:r>
      <w:r w:rsidRPr="00E959BB">
        <w:rPr>
          <w:rFonts w:ascii="Verdana" w:eastAsia="Century Gothic" w:hAnsi="Verdana" w:cs="Century Gothic"/>
          <w:sz w:val="22"/>
          <w:szCs w:val="22"/>
        </w:rPr>
        <w:t xml:space="preserve"> de </w:t>
      </w:r>
      <w:r w:rsidR="001E29A7" w:rsidRPr="00E959BB">
        <w:rPr>
          <w:rFonts w:ascii="Verdana" w:eastAsia="Century Gothic" w:hAnsi="Verdana" w:cs="Century Gothic"/>
          <w:sz w:val="22"/>
          <w:szCs w:val="22"/>
        </w:rPr>
        <w:t>Compensación Familiar</w:t>
      </w:r>
      <w:r w:rsidRPr="00E959BB">
        <w:rPr>
          <w:rFonts w:ascii="Verdana" w:eastAsia="Century Gothic" w:hAnsi="Verdana" w:cs="Century Gothic"/>
          <w:sz w:val="22"/>
          <w:szCs w:val="22"/>
        </w:rPr>
        <w:t xml:space="preserve"> de </w:t>
      </w:r>
      <w:r w:rsidR="001E29A7" w:rsidRPr="00E959BB">
        <w:rPr>
          <w:rFonts w:ascii="Verdana" w:eastAsia="Century Gothic" w:hAnsi="Verdana" w:cs="Century Gothic"/>
          <w:sz w:val="22"/>
          <w:szCs w:val="22"/>
        </w:rPr>
        <w:t xml:space="preserve">naturaleza privada se encuentran obligadas a </w:t>
      </w:r>
      <w:r w:rsidRPr="00E959BB">
        <w:rPr>
          <w:rFonts w:ascii="Verdana" w:eastAsia="Century Gothic" w:hAnsi="Verdana" w:cs="Century Gothic"/>
          <w:sz w:val="22"/>
          <w:szCs w:val="22"/>
        </w:rPr>
        <w:t xml:space="preserve">publicar </w:t>
      </w:r>
      <w:r w:rsidR="001E29A7" w:rsidRPr="00E959BB">
        <w:rPr>
          <w:rFonts w:ascii="Verdana" w:eastAsia="Century Gothic" w:hAnsi="Verdana" w:cs="Century Gothic"/>
          <w:sz w:val="22"/>
          <w:szCs w:val="22"/>
        </w:rPr>
        <w:t>su</w:t>
      </w:r>
      <w:r w:rsidRPr="00E959BB">
        <w:rPr>
          <w:rFonts w:ascii="Verdana" w:eastAsia="Century Gothic" w:hAnsi="Verdana" w:cs="Century Gothic"/>
          <w:sz w:val="22"/>
          <w:szCs w:val="22"/>
        </w:rPr>
        <w:t xml:space="preserve"> actividad contractual en SECOP</w:t>
      </w:r>
      <w:r w:rsidR="001E29A7" w:rsidRPr="00E959BB">
        <w:rPr>
          <w:rFonts w:ascii="Verdana" w:eastAsia="Century Gothic" w:hAnsi="Verdana" w:cs="Century Gothic"/>
          <w:sz w:val="22"/>
          <w:szCs w:val="22"/>
        </w:rPr>
        <w:t xml:space="preserve"> cuando ejecutan recursos del Sistema de Compensación Familiar u otros recursos con destinación pública</w:t>
      </w:r>
      <w:r w:rsidRPr="00E959BB">
        <w:rPr>
          <w:rFonts w:ascii="Verdana" w:eastAsia="Century Gothic" w:hAnsi="Verdana" w:cs="Century Gothic"/>
          <w:sz w:val="22"/>
          <w:szCs w:val="22"/>
        </w:rPr>
        <w:t>?</w:t>
      </w:r>
    </w:p>
    <w:p w14:paraId="4EC7B5DC" w14:textId="77777777" w:rsidR="00AD4EB8" w:rsidRPr="00E959BB" w:rsidRDefault="00AD4EB8">
      <w:pPr>
        <w:spacing w:line="276" w:lineRule="auto"/>
        <w:jc w:val="both"/>
        <w:rPr>
          <w:rFonts w:ascii="Verdana" w:eastAsia="Calibri" w:hAnsi="Verdana" w:cs="Arial"/>
          <w:color w:val="7030A0"/>
          <w:sz w:val="22"/>
          <w:szCs w:val="22"/>
          <w:lang w:val="es-ES"/>
        </w:rPr>
      </w:pPr>
    </w:p>
    <w:p w14:paraId="5E98A8B7" w14:textId="77777777" w:rsidR="00AD4EB8" w:rsidRPr="007563C1" w:rsidRDefault="00AD4EB8" w:rsidP="00AD4EB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563C1">
        <w:rPr>
          <w:rFonts w:ascii="Verdana" w:eastAsia="Century Gothic" w:hAnsi="Verdana" w:cs="Century Gothic"/>
          <w:b/>
          <w:bCs/>
        </w:rPr>
        <w:t>Respuesta:</w:t>
      </w:r>
    </w:p>
    <w:p w14:paraId="218D4E9F" w14:textId="77777777" w:rsidR="00AD4EB8" w:rsidRPr="002D1E9E" w:rsidRDefault="00AD4EB8">
      <w:pPr>
        <w:tabs>
          <w:tab w:val="left" w:pos="142"/>
          <w:tab w:val="left" w:pos="284"/>
        </w:tabs>
        <w:spacing w:line="276" w:lineRule="auto"/>
        <w:jc w:val="both"/>
        <w:rPr>
          <w:rFonts w:ascii="Verdana" w:eastAsia="Century Gothic" w:hAnsi="Verdana" w:cs="Century Gothic"/>
          <w:b/>
          <w:sz w:val="22"/>
          <w:szCs w:val="2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D4EB8" w:rsidRPr="007563C1" w14:paraId="4BF3CD2F" w14:textId="77777777" w:rsidTr="001E7AF0">
        <w:tc>
          <w:tcPr>
            <w:tcW w:w="8828" w:type="dxa"/>
          </w:tcPr>
          <w:p w14:paraId="3E04EF96" w14:textId="3608CEA3" w:rsidR="00783CE1" w:rsidRPr="002D1E9E" w:rsidRDefault="00AD4EB8" w:rsidP="002D1E9E">
            <w:pPr>
              <w:spacing w:after="120" w:line="276" w:lineRule="auto"/>
              <w:jc w:val="both"/>
              <w:rPr>
                <w:rFonts w:ascii="Verdana" w:eastAsia="Calibri" w:hAnsi="Verdana" w:cs="Arial"/>
                <w:sz w:val="22"/>
                <w:szCs w:val="22"/>
                <w:shd w:val="clear" w:color="auto" w:fill="FFFFFF"/>
                <w:lang w:val="es-ES"/>
              </w:rPr>
            </w:pPr>
            <w:r w:rsidRPr="002D1E9E">
              <w:rPr>
                <w:rFonts w:ascii="Verdana" w:eastAsia="Calibri" w:hAnsi="Verdana" w:cs="Arial"/>
                <w:sz w:val="22"/>
                <w:szCs w:val="22"/>
                <w:shd w:val="clear" w:color="auto" w:fill="FFFFFF"/>
                <w:lang w:val="es-ES"/>
              </w:rPr>
              <w:t>En relación con el problema jurídico</w:t>
            </w:r>
            <w:r w:rsidR="00783CE1" w:rsidRPr="002D1E9E">
              <w:rPr>
                <w:rFonts w:ascii="Verdana" w:eastAsia="Calibri" w:hAnsi="Verdana" w:cs="Arial"/>
                <w:sz w:val="22"/>
                <w:szCs w:val="22"/>
                <w:shd w:val="clear" w:color="auto" w:fill="FFFFFF"/>
                <w:lang w:val="es-ES"/>
              </w:rPr>
              <w:t xml:space="preserve"> planteado</w:t>
            </w:r>
            <w:r w:rsidRPr="002D1E9E">
              <w:rPr>
                <w:rFonts w:ascii="Verdana" w:eastAsia="Calibri" w:hAnsi="Verdana" w:cs="Arial"/>
                <w:sz w:val="22"/>
                <w:szCs w:val="22"/>
                <w:lang w:val="es-ES" w:eastAsia="es-ES"/>
              </w:rPr>
              <w:t xml:space="preserve">, debe señalarse que, </w:t>
            </w:r>
            <w:r w:rsidR="00783CE1" w:rsidRPr="00DB5DAF">
              <w:rPr>
                <w:rFonts w:ascii="Verdana" w:hAnsi="Verdana" w:cs="Segoe UI"/>
                <w:sz w:val="22"/>
                <w:szCs w:val="22"/>
              </w:rPr>
              <w:t>dada la naturaleza pública de los recursos que administran y su calidad de sujetos obligados conforme a la Ley 1712 de 2014, a juicio de esta Agencia, las Cajas de Compensación Familiar deben publicar la información relativa a su contratación en SECOP, cuando esta se realice con cargo a recursos parafiscales u otros fondos con destinación pública.</w:t>
            </w:r>
          </w:p>
          <w:p w14:paraId="2456F2C9" w14:textId="6BA744BF" w:rsidR="00783CE1" w:rsidRPr="00DB5DAF" w:rsidRDefault="00783CE1" w:rsidP="002D1E9E">
            <w:pPr>
              <w:spacing w:after="120" w:line="276" w:lineRule="auto"/>
              <w:ind w:firstLine="709"/>
              <w:jc w:val="both"/>
              <w:rPr>
                <w:rFonts w:ascii="Verdana" w:hAnsi="Verdana" w:cs="Segoe UI"/>
                <w:sz w:val="22"/>
                <w:szCs w:val="22"/>
              </w:rPr>
            </w:pPr>
            <w:r w:rsidRPr="002D1E9E">
              <w:rPr>
                <w:rFonts w:ascii="Verdana" w:eastAsia="Calibri" w:hAnsi="Verdana" w:cs="Arial"/>
                <w:sz w:val="22"/>
                <w:szCs w:val="22"/>
                <w:shd w:val="clear" w:color="auto" w:fill="FFFFFF"/>
                <w:lang w:val="es-ES"/>
              </w:rPr>
              <w:t xml:space="preserve">Lo anterior se sustenta en que, </w:t>
            </w:r>
            <w:r w:rsidR="00501A10" w:rsidRPr="002D1E9E">
              <w:rPr>
                <w:rFonts w:ascii="Verdana" w:eastAsia="Calibri" w:hAnsi="Verdana" w:cs="Arial"/>
                <w:color w:val="000000" w:themeColor="text1"/>
                <w:sz w:val="22"/>
                <w:szCs w:val="22"/>
              </w:rPr>
              <w:t>d</w:t>
            </w:r>
            <w:r w:rsidR="00501A10" w:rsidRPr="00DB5DAF">
              <w:rPr>
                <w:rFonts w:ascii="Verdana" w:hAnsi="Verdana" w:cs="Segoe UI"/>
                <w:sz w:val="22"/>
                <w:szCs w:val="22"/>
              </w:rPr>
              <w:t>e conformidad con lo previsto en el artículo 2.2.7.5.3.2 del Decreto 1072 de 2015</w:t>
            </w:r>
            <w:r w:rsidR="00501A10" w:rsidRPr="00606B3B">
              <w:rPr>
                <w:rFonts w:ascii="Verdana" w:hAnsi="Verdana" w:cs="Segoe UI"/>
                <w:sz w:val="22"/>
                <w:szCs w:val="22"/>
              </w:rPr>
              <w:t>, los recursos administrados por las Cajas de Compensación Familiar son</w:t>
            </w:r>
            <w:r w:rsidR="00501A10" w:rsidRPr="00DB5DAF">
              <w:rPr>
                <w:rFonts w:ascii="Verdana" w:hAnsi="Verdana" w:cs="Segoe UI"/>
                <w:sz w:val="22"/>
                <w:szCs w:val="22"/>
              </w:rPr>
              <w:t xml:space="preserve"> de carácter parafiscal. Sobre estos, el Consejo de Estado ha señalado que poseen naturaleza pública, en tanto constituyen una fuente de financiación creada por el Estado en beneficio de un sector específico, aun cuando no integren el Presupuesto General de la Nación. </w:t>
            </w:r>
          </w:p>
          <w:p w14:paraId="040AFD8F" w14:textId="54A6F6CD" w:rsidR="00501A10" w:rsidRPr="00DB5DAF" w:rsidRDefault="00783CE1" w:rsidP="00DB5DAF">
            <w:pPr>
              <w:spacing w:after="120" w:line="276" w:lineRule="auto"/>
              <w:ind w:firstLine="709"/>
              <w:jc w:val="both"/>
              <w:rPr>
                <w:rFonts w:ascii="Verdana" w:hAnsi="Verdana" w:cs="Segoe UI"/>
                <w:sz w:val="22"/>
                <w:szCs w:val="22"/>
              </w:rPr>
            </w:pPr>
            <w:r w:rsidRPr="00DB5DAF">
              <w:rPr>
                <w:rFonts w:ascii="Verdana" w:hAnsi="Verdana" w:cs="Segoe UI"/>
                <w:sz w:val="22"/>
                <w:szCs w:val="22"/>
              </w:rPr>
              <w:t>Por otro lado, e</w:t>
            </w:r>
            <w:r w:rsidR="00501A10" w:rsidRPr="00DB5DAF">
              <w:rPr>
                <w:rFonts w:ascii="Verdana" w:hAnsi="Verdana" w:cs="Segoe UI"/>
                <w:sz w:val="22"/>
                <w:szCs w:val="22"/>
              </w:rPr>
              <w:t xml:space="preserve">l artículo 5 de la Ley 1712 de 2014 – Ley de Transparencia y Acceso a la Información Pública – establece que son sujetos obligados a las disposiciones de dicha Ley todo aquel que administre instituciones parafiscales, fondos o recursos de naturaleza u origen público. En virtud de </w:t>
            </w:r>
            <w:r w:rsidRPr="00DB5DAF">
              <w:rPr>
                <w:rFonts w:ascii="Verdana" w:hAnsi="Verdana" w:cs="Segoe UI"/>
                <w:sz w:val="22"/>
                <w:szCs w:val="22"/>
              </w:rPr>
              <w:t>l</w:t>
            </w:r>
            <w:r w:rsidR="00501A10" w:rsidRPr="00DB5DAF">
              <w:rPr>
                <w:rFonts w:ascii="Verdana" w:hAnsi="Verdana" w:cs="Segoe UI"/>
                <w:sz w:val="22"/>
                <w:szCs w:val="22"/>
              </w:rPr>
              <w:t>a</w:t>
            </w:r>
            <w:r w:rsidRPr="00DB5DAF">
              <w:rPr>
                <w:rFonts w:ascii="Verdana" w:hAnsi="Verdana" w:cs="Segoe UI"/>
                <w:sz w:val="22"/>
                <w:szCs w:val="22"/>
              </w:rPr>
              <w:t>s</w:t>
            </w:r>
            <w:r w:rsidR="00501A10" w:rsidRPr="00DB5DAF">
              <w:rPr>
                <w:rFonts w:ascii="Verdana" w:hAnsi="Verdana" w:cs="Segoe UI"/>
                <w:sz w:val="22"/>
                <w:szCs w:val="22"/>
              </w:rPr>
              <w:t xml:space="preserve"> </w:t>
            </w:r>
            <w:r w:rsidRPr="00DB5DAF">
              <w:rPr>
                <w:rFonts w:ascii="Verdana" w:hAnsi="Verdana" w:cs="Segoe UI"/>
                <w:sz w:val="22"/>
                <w:szCs w:val="22"/>
              </w:rPr>
              <w:t xml:space="preserve">referidas </w:t>
            </w:r>
            <w:r w:rsidR="00501A10" w:rsidRPr="00DB5DAF">
              <w:rPr>
                <w:rFonts w:ascii="Verdana" w:hAnsi="Verdana" w:cs="Segoe UI"/>
                <w:sz w:val="22"/>
                <w:szCs w:val="22"/>
              </w:rPr>
              <w:t>disposici</w:t>
            </w:r>
            <w:r w:rsidRPr="00DB5DAF">
              <w:rPr>
                <w:rFonts w:ascii="Verdana" w:hAnsi="Verdana" w:cs="Segoe UI"/>
                <w:sz w:val="22"/>
                <w:szCs w:val="22"/>
              </w:rPr>
              <w:t>ones</w:t>
            </w:r>
            <w:r w:rsidR="00501A10" w:rsidRPr="00DB5DAF">
              <w:rPr>
                <w:rFonts w:ascii="Verdana" w:hAnsi="Verdana" w:cs="Segoe UI"/>
                <w:sz w:val="22"/>
                <w:szCs w:val="22"/>
              </w:rPr>
              <w:t xml:space="preserve">, las Cajas de Compensación Familiar, al administrar recursos parafiscales destinados al cumplimiento de fines sociales, encajan dentro de los sujetos obligados al régimen de transparencia. </w:t>
            </w:r>
          </w:p>
          <w:p w14:paraId="2241901E" w14:textId="36F387F8" w:rsidR="004379AC" w:rsidRPr="00DB5DAF" w:rsidRDefault="004379AC">
            <w:pPr>
              <w:spacing w:after="120" w:line="276" w:lineRule="auto"/>
              <w:ind w:firstLine="709"/>
              <w:jc w:val="both"/>
              <w:rPr>
                <w:rFonts w:ascii="Verdana" w:hAnsi="Verdana" w:cs="Arial"/>
                <w:bCs/>
                <w:sz w:val="22"/>
                <w:szCs w:val="22"/>
              </w:rPr>
            </w:pPr>
            <w:r w:rsidRPr="00DB5DAF">
              <w:rPr>
                <w:rFonts w:ascii="Verdana" w:eastAsia="Calibri" w:hAnsi="Verdana" w:cs="Arial"/>
                <w:sz w:val="22"/>
                <w:szCs w:val="22"/>
                <w:shd w:val="clear" w:color="auto" w:fill="FFFFFF"/>
                <w:lang w:val="es-ES"/>
              </w:rPr>
              <w:t>S</w:t>
            </w:r>
            <w:r w:rsidR="00783CE1" w:rsidRPr="00DB5DAF">
              <w:rPr>
                <w:rFonts w:ascii="Verdana" w:eastAsia="Calibri" w:hAnsi="Verdana" w:cs="Arial"/>
                <w:sz w:val="22"/>
                <w:szCs w:val="22"/>
                <w:shd w:val="clear" w:color="auto" w:fill="FFFFFF"/>
                <w:lang w:val="es-ES"/>
              </w:rPr>
              <w:t xml:space="preserve">i bien esta Agencia ha señalado en ocasiones pasadas que las Cajas de Compensación Familiar debían publicar su actividad contractual en SECOP II con fundamento en </w:t>
            </w:r>
            <w:r w:rsidR="00783CE1" w:rsidRPr="00DB5DAF">
              <w:rPr>
                <w:rFonts w:ascii="Verdana" w:eastAsia="Calibri" w:hAnsi="Verdana" w:cs="Arial"/>
                <w:sz w:val="22"/>
                <w:szCs w:val="22"/>
                <w:lang w:val="es-ES" w:eastAsia="es-ES"/>
              </w:rPr>
              <w:t xml:space="preserve">el artículo 53 de la Ley 2195 de 2022, </w:t>
            </w:r>
            <w:r w:rsidR="00783CE1" w:rsidRPr="00DB5DAF">
              <w:rPr>
                <w:rFonts w:ascii="Verdana" w:hAnsi="Verdana" w:cs="Arial"/>
                <w:bCs/>
                <w:sz w:val="22"/>
                <w:szCs w:val="22"/>
              </w:rPr>
              <w:t>mediante el cual se adicion</w:t>
            </w:r>
            <w:r w:rsidR="0056607A">
              <w:rPr>
                <w:rFonts w:ascii="Verdana" w:hAnsi="Verdana" w:cs="Arial"/>
                <w:bCs/>
                <w:sz w:val="22"/>
                <w:szCs w:val="22"/>
              </w:rPr>
              <w:t>ó</w:t>
            </w:r>
            <w:r w:rsidR="00783CE1" w:rsidRPr="00DB5DAF">
              <w:rPr>
                <w:rFonts w:ascii="Verdana" w:hAnsi="Verdana" w:cs="Arial"/>
                <w:bCs/>
                <w:sz w:val="22"/>
                <w:szCs w:val="22"/>
              </w:rPr>
              <w:t xml:space="preserve"> el artículo 13 de la Ley 1150 de 2007, resulta necesario precisar que la obligación de publicidad para las Cajas no se sustenta en que estas se clasifiquen como “entidades de régimen exceptuado”, sino en los mandatos normativos de transparencia y acceso a la información pública que cobija a quienes administran recursos parafiscales o de naturaleza pública.  </w:t>
            </w:r>
          </w:p>
          <w:p w14:paraId="1EF735CE" w14:textId="00F63AA6" w:rsidR="00783CE1" w:rsidRPr="002D1E9E" w:rsidRDefault="004379AC">
            <w:pPr>
              <w:spacing w:after="120" w:line="276" w:lineRule="auto"/>
              <w:ind w:firstLine="709"/>
              <w:jc w:val="both"/>
              <w:rPr>
                <w:rFonts w:ascii="Verdana" w:eastAsia="Calibri" w:hAnsi="Verdana" w:cs="Arial"/>
                <w:color w:val="000000" w:themeColor="text1"/>
                <w:sz w:val="22"/>
                <w:szCs w:val="22"/>
              </w:rPr>
            </w:pPr>
            <w:r w:rsidRPr="00DB5DAF">
              <w:rPr>
                <w:rFonts w:ascii="Verdana" w:hAnsi="Verdana" w:cs="Arial"/>
                <w:bCs/>
                <w:sz w:val="22"/>
                <w:szCs w:val="22"/>
              </w:rPr>
              <w:lastRenderedPageBreak/>
              <w:t>A</w:t>
            </w:r>
            <w:r w:rsidR="00783CE1" w:rsidRPr="00DB5DAF">
              <w:rPr>
                <w:rFonts w:ascii="Verdana" w:eastAsia="Arial" w:hAnsi="Verdana" w:cs="Arial"/>
                <w:color w:val="000000"/>
                <w:sz w:val="22"/>
                <w:szCs w:val="22"/>
              </w:rPr>
              <w:t xml:space="preserve">unque las Cajas de Compensación Familiar administran recursos parafiscales, ello no las convierte en entidades públicas y, por ende, tampoco en estatales sometidas o exceptuadas del Estatuto General de Contratación de la Administración Pública. </w:t>
            </w:r>
            <w:r w:rsidRPr="00DB5DAF">
              <w:rPr>
                <w:rFonts w:ascii="Verdana" w:hAnsi="Verdana" w:cs="Arial"/>
                <w:color w:val="000000"/>
                <w:sz w:val="22"/>
                <w:szCs w:val="22"/>
              </w:rPr>
              <w:t>Así las cosas, p</w:t>
            </w:r>
            <w:r w:rsidR="00783CE1" w:rsidRPr="00DB5DAF">
              <w:rPr>
                <w:rFonts w:ascii="Verdana" w:hAnsi="Verdana" w:cs="Segoe UI"/>
                <w:sz w:val="22"/>
                <w:szCs w:val="22"/>
              </w:rPr>
              <w:t xml:space="preserve">ese a que en ciertos escenarios pueden colaborar con el Estado y participar en la prestación de funciones sociales, </w:t>
            </w:r>
            <w:r w:rsidR="00783CE1" w:rsidRPr="00DB5DAF">
              <w:rPr>
                <w:rStyle w:val="Fuerte"/>
                <w:rFonts w:ascii="Verdana" w:hAnsi="Verdana" w:cs="Segoe UI"/>
                <w:b w:val="0"/>
                <w:bCs w:val="0"/>
                <w:sz w:val="22"/>
                <w:szCs w:val="22"/>
              </w:rPr>
              <w:t>su naturaleza jurídica permanece en el ámbito del derecho privado</w:t>
            </w:r>
            <w:r w:rsidR="00783CE1" w:rsidRPr="00DB5DAF">
              <w:rPr>
                <w:rFonts w:ascii="Verdana" w:hAnsi="Verdana" w:cs="Segoe UI"/>
                <w:sz w:val="22"/>
                <w:szCs w:val="22"/>
              </w:rPr>
              <w:t xml:space="preserve">, por lo cual continúan siendo </w:t>
            </w:r>
            <w:r w:rsidR="00783CE1" w:rsidRPr="00DB5DAF">
              <w:rPr>
                <w:rStyle w:val="Fuerte"/>
                <w:rFonts w:ascii="Verdana" w:hAnsi="Verdana" w:cs="Segoe UI"/>
                <w:b w:val="0"/>
                <w:bCs w:val="0"/>
                <w:sz w:val="22"/>
                <w:szCs w:val="22"/>
              </w:rPr>
              <w:t>particulares</w:t>
            </w:r>
            <w:r w:rsidR="00783CE1" w:rsidRPr="00DB5DAF">
              <w:rPr>
                <w:rFonts w:ascii="Verdana" w:hAnsi="Verdana" w:cs="Segoe UI"/>
                <w:sz w:val="22"/>
                <w:szCs w:val="22"/>
              </w:rPr>
              <w:t xml:space="preserve"> que gestionan recursos públicos de carácter parafiscal y no órganos de la administración pública. </w:t>
            </w:r>
            <w:r w:rsidRPr="00DB5DAF">
              <w:rPr>
                <w:rFonts w:ascii="Verdana" w:hAnsi="Verdana" w:cs="Segoe UI"/>
                <w:sz w:val="22"/>
                <w:szCs w:val="22"/>
              </w:rPr>
              <w:t xml:space="preserve">En consecuencia, </w:t>
            </w:r>
            <w:r w:rsidR="00783CE1" w:rsidRPr="00DB5DAF">
              <w:rPr>
                <w:rFonts w:ascii="Verdana" w:eastAsia="Calibri" w:hAnsi="Verdana" w:cs="Arial"/>
                <w:color w:val="000000"/>
                <w:sz w:val="22"/>
                <w:szCs w:val="22"/>
              </w:rPr>
              <w:t xml:space="preserve">la exigibilidad de publicidad en el SECOP </w:t>
            </w:r>
            <w:r w:rsidRPr="00DB5DAF">
              <w:rPr>
                <w:rFonts w:ascii="Verdana" w:eastAsia="Calibri" w:hAnsi="Verdana" w:cs="Arial"/>
                <w:color w:val="000000"/>
                <w:sz w:val="22"/>
                <w:szCs w:val="22"/>
              </w:rPr>
              <w:t xml:space="preserve">de las Cajas de Compensación Familiar </w:t>
            </w:r>
            <w:r w:rsidR="00783CE1" w:rsidRPr="00DB5DAF">
              <w:rPr>
                <w:rFonts w:ascii="Verdana" w:eastAsia="Calibri" w:hAnsi="Verdana" w:cs="Arial"/>
                <w:color w:val="000000"/>
                <w:sz w:val="22"/>
                <w:szCs w:val="22"/>
              </w:rPr>
              <w:t xml:space="preserve">no proviene del artículo 53 </w:t>
            </w:r>
            <w:r w:rsidR="00B450D6" w:rsidRPr="00B450D6">
              <w:rPr>
                <w:rFonts w:ascii="Verdana" w:eastAsia="Calibri" w:hAnsi="Verdana" w:cs="Arial"/>
                <w:i/>
                <w:iCs/>
                <w:color w:val="000000"/>
                <w:sz w:val="22"/>
                <w:szCs w:val="22"/>
              </w:rPr>
              <w:t>ibidem</w:t>
            </w:r>
            <w:r w:rsidR="00783CE1" w:rsidRPr="00DB5DAF">
              <w:rPr>
                <w:rFonts w:ascii="Verdana" w:eastAsia="Calibri" w:hAnsi="Verdana" w:cs="Arial"/>
                <w:color w:val="000000"/>
                <w:sz w:val="22"/>
                <w:szCs w:val="22"/>
              </w:rPr>
              <w:t xml:space="preserve">, sino de la Ley 1712 de 2014 y reglamentación, que imponen publicar en SECOP la información contractual cuando se contrata con cargo a recursos públicos. </w:t>
            </w:r>
          </w:p>
          <w:p w14:paraId="2CF19BD4" w14:textId="7EBDC167" w:rsidR="00AD4EB8" w:rsidRPr="002D1E9E" w:rsidRDefault="00AD4EB8" w:rsidP="001E7AF0">
            <w:pPr>
              <w:spacing w:after="120" w:line="276" w:lineRule="auto"/>
              <w:ind w:firstLine="709"/>
              <w:jc w:val="both"/>
              <w:rPr>
                <w:rFonts w:ascii="Verdana" w:eastAsia="Aptos" w:hAnsi="Verdana" w:cs="Arial"/>
                <w:sz w:val="22"/>
                <w:szCs w:val="22"/>
                <w:shd w:val="clear" w:color="auto" w:fill="FFFFFF"/>
              </w:rPr>
            </w:pPr>
            <w:r w:rsidRPr="002D1E9E">
              <w:rPr>
                <w:rFonts w:ascii="Verdana" w:eastAsia="Calibri" w:hAnsi="Verdana" w:cs="Arial"/>
                <w:color w:val="000000" w:themeColor="text1"/>
                <w:sz w:val="22"/>
                <w:szCs w:val="22"/>
              </w:rPr>
              <w:t>Finalmente, resulta importante advertir que la Agencia Nacional de Contratación Pública – Colombia Compra Eficiente, por vía consultiva, no puede definir un criterio universal y absoluto sobre la materia que se aborda, sino que brinda elementos hermenéuticos de carácter general para que los partícipes del sistema de compras y contratación pública adopten la decisión que corresponda, lo cual es acorde con el principio de juridicidad. Por lo que, e</w:t>
            </w:r>
            <w:r w:rsidRPr="002D1E9E">
              <w:rPr>
                <w:rFonts w:ascii="Verdana" w:eastAsia="Aptos" w:hAnsi="Verdana" w:cs="Arial"/>
                <w:sz w:val="22"/>
                <w:szCs w:val="22"/>
                <w:shd w:val="clear" w:color="auto" w:fill="FFFFFF"/>
              </w:rPr>
              <w:t xml:space="preserve">n todo caso, corresponde </w:t>
            </w:r>
            <w:r>
              <w:rPr>
                <w:rFonts w:ascii="Verdana" w:eastAsia="Aptos" w:hAnsi="Verdana" w:cs="Arial"/>
                <w:sz w:val="22"/>
                <w:szCs w:val="22"/>
                <w:shd w:val="clear" w:color="auto" w:fill="FFFFFF"/>
              </w:rPr>
              <w:t xml:space="preserve">cada </w:t>
            </w:r>
            <w:r w:rsidR="004379AC" w:rsidRPr="002D1E9E">
              <w:rPr>
                <w:rFonts w:ascii="Verdana" w:eastAsia="Aptos" w:hAnsi="Verdana" w:cs="Arial"/>
                <w:sz w:val="22"/>
                <w:szCs w:val="22"/>
                <w:shd w:val="clear" w:color="auto" w:fill="FFFFFF"/>
              </w:rPr>
              <w:t>persona – natural o jurídica -</w:t>
            </w:r>
            <w:r w:rsidRPr="002D1E9E">
              <w:rPr>
                <w:rFonts w:ascii="Verdana" w:eastAsia="Aptos" w:hAnsi="Verdana" w:cs="Arial"/>
                <w:sz w:val="22"/>
                <w:szCs w:val="22"/>
                <w:shd w:val="clear" w:color="auto" w:fill="FFFFFF"/>
              </w:rPr>
              <w:t xml:space="preserve"> dar cumplimiento al deber de publicación en relación con su actividad contractual en cumplimiento de</w:t>
            </w:r>
            <w:r w:rsidR="004379AC" w:rsidRPr="002D1E9E">
              <w:rPr>
                <w:rFonts w:ascii="Verdana" w:eastAsia="Aptos" w:hAnsi="Verdana" w:cs="Arial"/>
                <w:sz w:val="22"/>
                <w:szCs w:val="22"/>
                <w:shd w:val="clear" w:color="auto" w:fill="FFFFFF"/>
              </w:rPr>
              <w:t xml:space="preserve"> </w:t>
            </w:r>
            <w:r w:rsidRPr="002D1E9E">
              <w:rPr>
                <w:rFonts w:ascii="Verdana" w:eastAsia="Aptos" w:hAnsi="Verdana" w:cs="Arial"/>
                <w:sz w:val="22"/>
                <w:szCs w:val="22"/>
                <w:shd w:val="clear" w:color="auto" w:fill="FFFFFF"/>
              </w:rPr>
              <w:t>l</w:t>
            </w:r>
            <w:r w:rsidR="004379AC" w:rsidRPr="002D1E9E">
              <w:rPr>
                <w:rFonts w:ascii="Verdana" w:eastAsia="Aptos" w:hAnsi="Verdana" w:cs="Arial"/>
                <w:sz w:val="22"/>
                <w:szCs w:val="22"/>
                <w:shd w:val="clear" w:color="auto" w:fill="FFFFFF"/>
              </w:rPr>
              <w:t>as</w:t>
            </w:r>
            <w:r w:rsidRPr="002D1E9E">
              <w:rPr>
                <w:rFonts w:ascii="Verdana" w:eastAsia="Aptos" w:hAnsi="Verdana" w:cs="Arial"/>
                <w:sz w:val="22"/>
                <w:szCs w:val="22"/>
                <w:shd w:val="clear" w:color="auto" w:fill="FFFFFF"/>
              </w:rPr>
              <w:t xml:space="preserve"> normas </w:t>
            </w:r>
            <w:r w:rsidR="004379AC" w:rsidRPr="002D1E9E">
              <w:rPr>
                <w:rFonts w:ascii="Verdana" w:eastAsia="Aptos" w:hAnsi="Verdana" w:cs="Arial"/>
                <w:sz w:val="22"/>
                <w:szCs w:val="22"/>
                <w:shd w:val="clear" w:color="auto" w:fill="FFFFFF"/>
              </w:rPr>
              <w:t>que</w:t>
            </w:r>
            <w:r w:rsidRPr="002D1E9E">
              <w:rPr>
                <w:rFonts w:ascii="Verdana" w:eastAsia="Aptos" w:hAnsi="Verdana" w:cs="Arial"/>
                <w:sz w:val="22"/>
                <w:szCs w:val="22"/>
                <w:shd w:val="clear" w:color="auto" w:fill="FFFFFF"/>
              </w:rPr>
              <w:t xml:space="preserve"> l</w:t>
            </w:r>
            <w:r w:rsidR="005A0A22">
              <w:rPr>
                <w:rFonts w:ascii="Verdana" w:eastAsia="Aptos" w:hAnsi="Verdana" w:cs="Arial"/>
                <w:sz w:val="22"/>
                <w:szCs w:val="22"/>
                <w:shd w:val="clear" w:color="auto" w:fill="FFFFFF"/>
              </w:rPr>
              <w:t>a</w:t>
            </w:r>
            <w:r w:rsidRPr="002D1E9E">
              <w:rPr>
                <w:rFonts w:ascii="Verdana" w:eastAsia="Aptos" w:hAnsi="Verdana" w:cs="Arial"/>
                <w:sz w:val="22"/>
                <w:szCs w:val="22"/>
                <w:shd w:val="clear" w:color="auto" w:fill="FFFFFF"/>
              </w:rPr>
              <w:t xml:space="preserve"> </w:t>
            </w:r>
            <w:r w:rsidR="004379AC" w:rsidRPr="002D1E9E">
              <w:rPr>
                <w:rFonts w:ascii="Verdana" w:eastAsia="Aptos" w:hAnsi="Verdana" w:cs="Arial"/>
                <w:sz w:val="22"/>
                <w:szCs w:val="22"/>
                <w:shd w:val="clear" w:color="auto" w:fill="FFFFFF"/>
              </w:rPr>
              <w:t>rijan</w:t>
            </w:r>
            <w:r w:rsidRPr="002D1E9E">
              <w:rPr>
                <w:rFonts w:ascii="Verdana" w:eastAsia="Aptos" w:hAnsi="Verdana" w:cs="Arial"/>
                <w:sz w:val="22"/>
                <w:szCs w:val="22"/>
                <w:shd w:val="clear" w:color="auto" w:fill="FFFFFF"/>
              </w:rPr>
              <w:t xml:space="preserve">. </w:t>
            </w:r>
          </w:p>
        </w:tc>
      </w:tr>
    </w:tbl>
    <w:p w14:paraId="6313749D" w14:textId="77777777" w:rsidR="00AD4EB8" w:rsidRPr="002D1E9E" w:rsidRDefault="00AD4EB8" w:rsidP="00DB5DAF">
      <w:pPr>
        <w:tabs>
          <w:tab w:val="left" w:pos="142"/>
          <w:tab w:val="left" w:pos="284"/>
        </w:tabs>
        <w:spacing w:line="276" w:lineRule="auto"/>
        <w:jc w:val="both"/>
        <w:rPr>
          <w:rFonts w:ascii="Verdana" w:eastAsia="Century Gothic" w:hAnsi="Verdana" w:cs="Century Gothic"/>
          <w:b/>
          <w:sz w:val="22"/>
          <w:szCs w:val="22"/>
          <w:lang w:val="es-ES"/>
        </w:rPr>
      </w:pPr>
    </w:p>
    <w:p w14:paraId="7C6DA47E" w14:textId="77777777" w:rsidR="00AD4EB8" w:rsidRPr="007563C1" w:rsidRDefault="00AD4EB8" w:rsidP="00AD4EB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563C1">
        <w:rPr>
          <w:rFonts w:ascii="Verdana" w:eastAsia="Century Gothic" w:hAnsi="Verdana" w:cs="Century Gothic"/>
          <w:b/>
          <w:bCs/>
        </w:rPr>
        <w:t>Razones de la respuesta:</w:t>
      </w:r>
    </w:p>
    <w:p w14:paraId="154C6079" w14:textId="77777777" w:rsidR="00AD4EB8" w:rsidRPr="002D1E9E" w:rsidRDefault="00AD4EB8" w:rsidP="00606B3B">
      <w:pPr>
        <w:spacing w:line="276" w:lineRule="auto"/>
        <w:jc w:val="both"/>
        <w:rPr>
          <w:rFonts w:ascii="Verdana" w:eastAsia="Calibri" w:hAnsi="Verdana" w:cs="Arial"/>
          <w:color w:val="7030A0"/>
          <w:sz w:val="22"/>
          <w:szCs w:val="22"/>
          <w:lang w:val="es-ES"/>
        </w:rPr>
      </w:pPr>
    </w:p>
    <w:p w14:paraId="2E1DCE9C" w14:textId="77777777" w:rsidR="00AD4EB8" w:rsidRPr="002D1E9E" w:rsidRDefault="00AD4EB8">
      <w:pPr>
        <w:spacing w:line="276" w:lineRule="auto"/>
        <w:jc w:val="both"/>
        <w:rPr>
          <w:rFonts w:ascii="Verdana" w:eastAsia="Calibri" w:hAnsi="Verdana" w:cs="Arial"/>
          <w:sz w:val="22"/>
          <w:szCs w:val="22"/>
          <w:lang w:val="es-ES"/>
        </w:rPr>
      </w:pPr>
      <w:r w:rsidRPr="002D1E9E">
        <w:rPr>
          <w:rFonts w:ascii="Verdana" w:eastAsia="Calibri" w:hAnsi="Verdana" w:cs="Arial"/>
          <w:sz w:val="22"/>
          <w:szCs w:val="22"/>
          <w:lang w:val="es-ES"/>
        </w:rPr>
        <w:t xml:space="preserve">Lo anterior se sustenta en las siguientes consideraciones: </w:t>
      </w:r>
    </w:p>
    <w:p w14:paraId="488C098B" w14:textId="77777777" w:rsidR="00AD4EB8" w:rsidRPr="002D1E9E" w:rsidRDefault="00AD4EB8">
      <w:pPr>
        <w:spacing w:line="276" w:lineRule="auto"/>
        <w:jc w:val="both"/>
        <w:rPr>
          <w:rFonts w:ascii="Verdana" w:eastAsia="Calibri" w:hAnsi="Verdana" w:cs="Arial"/>
          <w:color w:val="7030A0"/>
          <w:sz w:val="22"/>
          <w:szCs w:val="22"/>
          <w:lang w:val="es-ES"/>
        </w:rPr>
      </w:pPr>
    </w:p>
    <w:p w14:paraId="081E89C0" w14:textId="60B67514" w:rsidR="001640CE" w:rsidRPr="002D1E9E" w:rsidRDefault="000F4376" w:rsidP="002D1E9E">
      <w:pPr>
        <w:spacing w:after="120" w:line="276" w:lineRule="auto"/>
        <w:jc w:val="both"/>
        <w:rPr>
          <w:rFonts w:ascii="Verdana" w:eastAsia="Calibri" w:hAnsi="Verdana" w:cs="Arial"/>
          <w:color w:val="000000"/>
          <w:kern w:val="2"/>
          <w:sz w:val="22"/>
          <w:szCs w:val="22"/>
          <w14:ligatures w14:val="standardContextual"/>
        </w:rPr>
      </w:pPr>
      <w:r w:rsidRPr="002D1E9E">
        <w:rPr>
          <w:rFonts w:ascii="Verdana" w:eastAsia="Calibri" w:hAnsi="Verdana" w:cs="Arial"/>
          <w:kern w:val="2"/>
          <w:sz w:val="22"/>
          <w:szCs w:val="22"/>
          <w14:ligatures w14:val="standardContextual"/>
        </w:rPr>
        <w:t>i) En primer lugar</w:t>
      </w:r>
      <w:r w:rsidR="001640CE" w:rsidRPr="002D1E9E">
        <w:rPr>
          <w:rFonts w:ascii="Verdana" w:eastAsia="Calibri" w:hAnsi="Verdana" w:cs="Arial"/>
          <w:kern w:val="2"/>
          <w:sz w:val="22"/>
          <w:szCs w:val="22"/>
          <w14:ligatures w14:val="standardContextual"/>
        </w:rPr>
        <w:t>, es pertinente mencionar que el Libro Segundo del Código de Comercio no incluy</w:t>
      </w:r>
      <w:r w:rsidR="005D2EBD" w:rsidRPr="002D1E9E">
        <w:rPr>
          <w:rFonts w:ascii="Verdana" w:eastAsia="Calibri" w:hAnsi="Verdana" w:cs="Arial"/>
          <w:kern w:val="2"/>
          <w:sz w:val="22"/>
          <w:szCs w:val="22"/>
          <w14:ligatures w14:val="standardContextual"/>
        </w:rPr>
        <w:t>e dentro de la enumeración de las sociedades comerciales</w:t>
      </w:r>
      <w:r w:rsidR="001640CE" w:rsidRPr="002D1E9E">
        <w:rPr>
          <w:rFonts w:ascii="Verdana" w:eastAsia="Calibri" w:hAnsi="Verdana" w:cs="Arial"/>
          <w:kern w:val="2"/>
          <w:sz w:val="22"/>
          <w:szCs w:val="22"/>
          <w14:ligatures w14:val="standardContextual"/>
        </w:rPr>
        <w:t xml:space="preserve"> a las corporaciones</w:t>
      </w:r>
      <w:r w:rsidR="005D2EBD" w:rsidRPr="002D1E9E">
        <w:rPr>
          <w:rFonts w:ascii="Verdana" w:eastAsia="Calibri" w:hAnsi="Verdana" w:cs="Arial"/>
          <w:kern w:val="2"/>
          <w:sz w:val="22"/>
          <w:szCs w:val="22"/>
          <w14:ligatures w14:val="standardContextual"/>
        </w:rPr>
        <w:t>,</w:t>
      </w:r>
      <w:r w:rsidR="001640CE" w:rsidRPr="002D1E9E">
        <w:rPr>
          <w:rFonts w:ascii="Verdana" w:eastAsia="Calibri" w:hAnsi="Verdana" w:cs="Arial"/>
          <w:kern w:val="2"/>
          <w:sz w:val="22"/>
          <w:szCs w:val="22"/>
          <w14:ligatures w14:val="standardContextual"/>
        </w:rPr>
        <w:t xml:space="preserve"> asociaciones </w:t>
      </w:r>
      <w:r w:rsidR="005D2EBD" w:rsidRPr="002D1E9E">
        <w:rPr>
          <w:rFonts w:ascii="Verdana" w:eastAsia="Calibri" w:hAnsi="Verdana" w:cs="Arial"/>
          <w:kern w:val="2"/>
          <w:sz w:val="22"/>
          <w:szCs w:val="22"/>
          <w14:ligatures w14:val="standardContextual"/>
        </w:rPr>
        <w:t>o</w:t>
      </w:r>
      <w:r w:rsidR="001640CE" w:rsidRPr="002D1E9E">
        <w:rPr>
          <w:rFonts w:ascii="Verdana" w:eastAsia="Calibri" w:hAnsi="Verdana" w:cs="Arial"/>
          <w:kern w:val="2"/>
          <w:sz w:val="22"/>
          <w:szCs w:val="22"/>
          <w14:ligatures w14:val="standardContextual"/>
        </w:rPr>
        <w:t xml:space="preserve"> fundaciones, es</w:t>
      </w:r>
      <w:r w:rsidR="005D2EBD" w:rsidRPr="002D1E9E">
        <w:rPr>
          <w:rFonts w:ascii="Verdana" w:eastAsia="Calibri" w:hAnsi="Verdana" w:cs="Arial"/>
          <w:kern w:val="2"/>
          <w:sz w:val="22"/>
          <w:szCs w:val="22"/>
          <w14:ligatures w14:val="standardContextual"/>
        </w:rPr>
        <w:t xml:space="preserve"> decir</w:t>
      </w:r>
      <w:r w:rsidR="001640CE" w:rsidRPr="002D1E9E">
        <w:rPr>
          <w:rFonts w:ascii="Verdana" w:eastAsia="Calibri" w:hAnsi="Verdana" w:cs="Arial"/>
          <w:kern w:val="2"/>
          <w:sz w:val="22"/>
          <w:szCs w:val="22"/>
          <w14:ligatures w14:val="standardContextual"/>
        </w:rPr>
        <w:t>, a las entidades sin ánimo de lucro</w:t>
      </w:r>
      <w:r w:rsidR="00C219E3" w:rsidRPr="002D1E9E">
        <w:rPr>
          <w:rFonts w:ascii="Verdana" w:eastAsia="Calibri" w:hAnsi="Verdana" w:cs="Arial"/>
          <w:kern w:val="2"/>
          <w:sz w:val="22"/>
          <w:szCs w:val="22"/>
          <w14:ligatures w14:val="standardContextual"/>
        </w:rPr>
        <w:t xml:space="preserve"> –</w:t>
      </w:r>
      <w:r w:rsidR="001640CE" w:rsidRPr="002D1E9E">
        <w:rPr>
          <w:rFonts w:ascii="Verdana" w:eastAsia="Calibri" w:hAnsi="Verdana" w:cs="Arial"/>
          <w:kern w:val="2"/>
          <w:sz w:val="22"/>
          <w:szCs w:val="22"/>
          <w14:ligatures w14:val="standardContextual"/>
        </w:rPr>
        <w:t xml:space="preserve"> en adelante ESAL</w:t>
      </w:r>
      <w:r w:rsidR="00C219E3" w:rsidRPr="002D1E9E">
        <w:rPr>
          <w:rFonts w:ascii="Verdana" w:eastAsia="Calibri" w:hAnsi="Verdana" w:cs="Arial"/>
          <w:kern w:val="2"/>
          <w:sz w:val="22"/>
          <w:szCs w:val="22"/>
          <w14:ligatures w14:val="standardContextual"/>
        </w:rPr>
        <w:t>–</w:t>
      </w:r>
      <w:r w:rsidR="001640CE" w:rsidRPr="002D1E9E">
        <w:rPr>
          <w:rFonts w:ascii="Verdana" w:eastAsia="Calibri" w:hAnsi="Verdana" w:cs="Arial"/>
          <w:kern w:val="2"/>
          <w:sz w:val="22"/>
          <w:szCs w:val="22"/>
          <w14:ligatures w14:val="standardContextual"/>
        </w:rPr>
        <w:t xml:space="preserve">. La razón de </w:t>
      </w:r>
      <w:r w:rsidR="00EF6D46" w:rsidRPr="002D1E9E">
        <w:rPr>
          <w:rFonts w:ascii="Verdana" w:eastAsia="Calibri" w:hAnsi="Verdana" w:cs="Arial"/>
          <w:kern w:val="2"/>
          <w:sz w:val="22"/>
          <w:szCs w:val="22"/>
          <w14:ligatures w14:val="standardContextual"/>
        </w:rPr>
        <w:t>esta</w:t>
      </w:r>
      <w:r w:rsidR="001640CE" w:rsidRPr="002D1E9E">
        <w:rPr>
          <w:rFonts w:ascii="Verdana" w:eastAsia="Calibri" w:hAnsi="Verdana" w:cs="Arial"/>
          <w:kern w:val="2"/>
          <w:sz w:val="22"/>
          <w:szCs w:val="22"/>
          <w14:ligatures w14:val="standardContextual"/>
        </w:rPr>
        <w:t xml:space="preserve"> exclusión, a </w:t>
      </w:r>
      <w:r w:rsidR="00EF6D46" w:rsidRPr="002D1E9E">
        <w:rPr>
          <w:rFonts w:ascii="Verdana" w:eastAsia="Calibri" w:hAnsi="Verdana" w:cs="Arial"/>
          <w:kern w:val="2"/>
          <w:sz w:val="22"/>
          <w:szCs w:val="22"/>
          <w14:ligatures w14:val="standardContextual"/>
        </w:rPr>
        <w:t>juicio</w:t>
      </w:r>
      <w:r w:rsidR="001640CE" w:rsidRPr="002D1E9E">
        <w:rPr>
          <w:rFonts w:ascii="Verdana" w:eastAsia="Calibri" w:hAnsi="Verdana" w:cs="Arial"/>
          <w:kern w:val="2"/>
          <w:sz w:val="22"/>
          <w:szCs w:val="22"/>
          <w14:ligatures w14:val="standardContextual"/>
        </w:rPr>
        <w:t xml:space="preserve"> de esta Agencia, es </w:t>
      </w:r>
      <w:r w:rsidR="00EF6D46" w:rsidRPr="002D1E9E">
        <w:rPr>
          <w:rFonts w:ascii="Verdana" w:eastAsia="Calibri" w:hAnsi="Verdana" w:cs="Arial"/>
          <w:kern w:val="2"/>
          <w:sz w:val="22"/>
          <w:szCs w:val="22"/>
          <w14:ligatures w14:val="standardContextual"/>
        </w:rPr>
        <w:t>evidente</w:t>
      </w:r>
      <w:r w:rsidR="001640CE" w:rsidRPr="002D1E9E">
        <w:rPr>
          <w:rFonts w:ascii="Verdana" w:eastAsia="Calibri" w:hAnsi="Verdana" w:cs="Arial"/>
          <w:kern w:val="2"/>
          <w:sz w:val="22"/>
          <w:szCs w:val="22"/>
          <w14:ligatures w14:val="standardContextual"/>
        </w:rPr>
        <w:t xml:space="preserve">: </w:t>
      </w:r>
      <w:r w:rsidR="00EF6D46" w:rsidRPr="002D1E9E">
        <w:rPr>
          <w:rFonts w:ascii="Verdana" w:eastAsia="Calibri" w:hAnsi="Verdana" w:cs="Arial"/>
          <w:kern w:val="2"/>
          <w:sz w:val="22"/>
          <w:szCs w:val="22"/>
          <w14:ligatures w14:val="standardContextual"/>
        </w:rPr>
        <w:t>dichas</w:t>
      </w:r>
      <w:r w:rsidR="001640CE" w:rsidRPr="002D1E9E">
        <w:rPr>
          <w:rFonts w:ascii="Verdana" w:eastAsia="Calibri" w:hAnsi="Verdana" w:cs="Arial"/>
          <w:kern w:val="2"/>
          <w:sz w:val="22"/>
          <w:szCs w:val="22"/>
          <w14:ligatures w14:val="standardContextual"/>
        </w:rPr>
        <w:t xml:space="preserve"> organizaciones no tienen fines comerciales, es decir, carecen de ánimo de lucro, </w:t>
      </w:r>
      <w:r w:rsidR="00EF6D46" w:rsidRPr="002D1E9E">
        <w:rPr>
          <w:rFonts w:ascii="Verdana" w:eastAsia="Calibri" w:hAnsi="Verdana" w:cs="Arial"/>
          <w:kern w:val="2"/>
          <w:sz w:val="22"/>
          <w:szCs w:val="22"/>
          <w14:ligatures w14:val="standardContextual"/>
        </w:rPr>
        <w:t xml:space="preserve">razón </w:t>
      </w:r>
      <w:r w:rsidR="001640CE" w:rsidRPr="002D1E9E">
        <w:rPr>
          <w:rFonts w:ascii="Verdana" w:eastAsia="Calibri" w:hAnsi="Verdana" w:cs="Arial"/>
          <w:kern w:val="2"/>
          <w:sz w:val="22"/>
          <w:szCs w:val="22"/>
          <w14:ligatures w14:val="standardContextual"/>
        </w:rPr>
        <w:t>por</w:t>
      </w:r>
      <w:r w:rsidR="00EF6D46" w:rsidRPr="002D1E9E">
        <w:rPr>
          <w:rFonts w:ascii="Verdana" w:eastAsia="Calibri" w:hAnsi="Verdana" w:cs="Arial"/>
          <w:kern w:val="2"/>
          <w:sz w:val="22"/>
          <w:szCs w:val="22"/>
          <w14:ligatures w14:val="standardContextual"/>
        </w:rPr>
        <w:t xml:space="preserve"> la cual</w:t>
      </w:r>
      <w:r w:rsidR="001640CE" w:rsidRPr="002D1E9E">
        <w:rPr>
          <w:rFonts w:ascii="Verdana" w:eastAsia="Calibri" w:hAnsi="Verdana" w:cs="Arial"/>
          <w:kern w:val="2"/>
          <w:sz w:val="22"/>
          <w:szCs w:val="22"/>
          <w14:ligatures w14:val="standardContextual"/>
        </w:rPr>
        <w:t xml:space="preserve"> no </w:t>
      </w:r>
      <w:r w:rsidR="00F239AE" w:rsidRPr="002D1E9E">
        <w:rPr>
          <w:rFonts w:ascii="Verdana" w:eastAsia="Calibri" w:hAnsi="Verdana" w:cs="Arial"/>
          <w:kern w:val="2"/>
          <w:sz w:val="22"/>
          <w:szCs w:val="22"/>
          <w14:ligatures w14:val="standardContextual"/>
        </w:rPr>
        <w:t>pueden considerarse</w:t>
      </w:r>
      <w:r w:rsidR="001640CE" w:rsidRPr="002D1E9E">
        <w:rPr>
          <w:rFonts w:ascii="Verdana" w:eastAsia="Calibri" w:hAnsi="Verdana" w:cs="Arial"/>
          <w:kern w:val="2"/>
          <w:sz w:val="22"/>
          <w:szCs w:val="22"/>
          <w14:ligatures w14:val="standardContextual"/>
        </w:rPr>
        <w:t xml:space="preserve"> un tipo o clase de sociedad comercial</w:t>
      </w:r>
      <w:r w:rsidR="001640CE" w:rsidRPr="002D1E9E">
        <w:rPr>
          <w:rFonts w:ascii="Verdana" w:eastAsia="Calibri" w:hAnsi="Verdana" w:cs="Arial"/>
          <w:color w:val="000000"/>
          <w:kern w:val="2"/>
          <w:sz w:val="22"/>
          <w:szCs w:val="22"/>
          <w:vertAlign w:val="superscript"/>
          <w14:ligatures w14:val="standardContextual"/>
        </w:rPr>
        <w:footnoteReference w:id="1"/>
      </w:r>
      <w:r w:rsidR="001640CE" w:rsidRPr="002D1E9E">
        <w:rPr>
          <w:rFonts w:ascii="Verdana" w:eastAsia="Calibri" w:hAnsi="Verdana" w:cs="Arial"/>
          <w:color w:val="000000"/>
          <w:kern w:val="2"/>
          <w:sz w:val="22"/>
          <w:szCs w:val="22"/>
          <w14:ligatures w14:val="standardContextual"/>
        </w:rPr>
        <w:t xml:space="preserve">. La norma que regula este tipo de </w:t>
      </w:r>
      <w:r w:rsidR="001640CE" w:rsidRPr="002D1E9E">
        <w:rPr>
          <w:rFonts w:ascii="Verdana" w:eastAsia="Calibri" w:hAnsi="Verdana" w:cs="Arial"/>
          <w:color w:val="000000"/>
          <w:kern w:val="2"/>
          <w:sz w:val="22"/>
          <w:szCs w:val="22"/>
          <w14:ligatures w14:val="standardContextual"/>
        </w:rPr>
        <w:lastRenderedPageBreak/>
        <w:t>corporaciones o asociaciones es el Código Civil –entre otras normas que se armonizan con este</w:t>
      </w:r>
      <w:r w:rsidR="00EF6D46" w:rsidRPr="002D1E9E">
        <w:rPr>
          <w:rFonts w:ascii="Verdana" w:eastAsia="Calibri" w:hAnsi="Verdana" w:cs="Arial"/>
          <w:color w:val="000000"/>
          <w:kern w:val="2"/>
          <w:sz w:val="22"/>
          <w:szCs w:val="22"/>
          <w14:ligatures w14:val="standardContextual"/>
        </w:rPr>
        <w:t xml:space="preserve"> </w:t>
      </w:r>
      <w:r w:rsidR="00F239AE" w:rsidRPr="002D1E9E">
        <w:rPr>
          <w:rFonts w:ascii="Verdana" w:eastAsia="Calibri" w:hAnsi="Verdana" w:cs="Arial"/>
          <w:color w:val="000000"/>
          <w:kern w:val="2"/>
          <w:sz w:val="22"/>
          <w:szCs w:val="22"/>
          <w14:ligatures w14:val="standardContextual"/>
        </w:rPr>
        <w:t>–</w:t>
      </w:r>
      <w:r w:rsidR="001640CE" w:rsidRPr="002D1E9E">
        <w:rPr>
          <w:rFonts w:ascii="Verdana" w:eastAsia="Calibri" w:hAnsi="Verdana" w:cs="Arial"/>
          <w:color w:val="000000"/>
          <w:kern w:val="2"/>
          <w:sz w:val="22"/>
          <w:szCs w:val="22"/>
          <w14:ligatures w14:val="standardContextual"/>
        </w:rPr>
        <w:t xml:space="preserve"> de lo que se sigue que no constituyen formas de sociedad comercial, sino formas de organización civil con fines esencialmente altruistas o de interés general, </w:t>
      </w:r>
      <w:r w:rsidR="00F239AE" w:rsidRPr="002D1E9E">
        <w:rPr>
          <w:rFonts w:ascii="Verdana" w:eastAsia="Calibri" w:hAnsi="Verdana" w:cs="Arial"/>
          <w:color w:val="000000"/>
          <w:kern w:val="2"/>
          <w:sz w:val="22"/>
          <w:szCs w:val="22"/>
          <w14:ligatures w14:val="standardContextual"/>
        </w:rPr>
        <w:t>creadas</w:t>
      </w:r>
      <w:r w:rsidR="001640CE" w:rsidRPr="002D1E9E">
        <w:rPr>
          <w:rFonts w:ascii="Verdana" w:eastAsia="Calibri" w:hAnsi="Verdana" w:cs="Arial"/>
          <w:color w:val="000000"/>
          <w:kern w:val="2"/>
          <w:sz w:val="22"/>
          <w:szCs w:val="22"/>
          <w14:ligatures w14:val="standardContextual"/>
        </w:rPr>
        <w:t xml:space="preserve"> </w:t>
      </w:r>
      <w:r w:rsidR="00EF6D46" w:rsidRPr="002D1E9E">
        <w:rPr>
          <w:rFonts w:ascii="Verdana" w:eastAsia="Calibri" w:hAnsi="Verdana" w:cs="Arial"/>
          <w:color w:val="000000"/>
          <w:kern w:val="2"/>
          <w:sz w:val="22"/>
          <w:szCs w:val="22"/>
          <w14:ligatures w14:val="standardContextual"/>
        </w:rPr>
        <w:t>por</w:t>
      </w:r>
      <w:r w:rsidR="001640CE" w:rsidRPr="002D1E9E">
        <w:rPr>
          <w:rFonts w:ascii="Verdana" w:eastAsia="Calibri" w:hAnsi="Verdana" w:cs="Arial"/>
          <w:color w:val="000000"/>
          <w:kern w:val="2"/>
          <w:sz w:val="22"/>
          <w:szCs w:val="22"/>
          <w14:ligatures w14:val="standardContextual"/>
        </w:rPr>
        <w:t xml:space="preserve"> personas que </w:t>
      </w:r>
      <w:r w:rsidR="00EF6D46" w:rsidRPr="002D1E9E">
        <w:rPr>
          <w:rFonts w:ascii="Verdana" w:eastAsia="Calibri" w:hAnsi="Verdana" w:cs="Arial"/>
          <w:color w:val="000000"/>
          <w:kern w:val="2"/>
          <w:sz w:val="22"/>
          <w:szCs w:val="22"/>
          <w14:ligatures w14:val="standardContextual"/>
        </w:rPr>
        <w:t>buscan</w:t>
      </w:r>
      <w:r w:rsidR="001640CE" w:rsidRPr="002D1E9E">
        <w:rPr>
          <w:rFonts w:ascii="Verdana" w:eastAsia="Calibri" w:hAnsi="Verdana" w:cs="Arial"/>
          <w:color w:val="000000"/>
          <w:kern w:val="2"/>
          <w:sz w:val="22"/>
          <w:szCs w:val="22"/>
          <w14:ligatures w14:val="standardContextual"/>
        </w:rPr>
        <w:t xml:space="preserve"> contribuir</w:t>
      </w:r>
      <w:r w:rsidR="00EF6D46" w:rsidRPr="002D1E9E">
        <w:rPr>
          <w:rFonts w:ascii="Verdana" w:eastAsia="Calibri" w:hAnsi="Verdana" w:cs="Arial"/>
          <w:color w:val="000000"/>
          <w:kern w:val="2"/>
          <w:sz w:val="22"/>
          <w:szCs w:val="22"/>
          <w14:ligatures w14:val="standardContextual"/>
        </w:rPr>
        <w:t>,</w:t>
      </w:r>
      <w:r w:rsidR="001640CE" w:rsidRPr="002D1E9E">
        <w:rPr>
          <w:rFonts w:ascii="Verdana" w:eastAsia="Calibri" w:hAnsi="Verdana" w:cs="Arial"/>
          <w:color w:val="000000"/>
          <w:kern w:val="2"/>
          <w:sz w:val="22"/>
          <w:szCs w:val="22"/>
          <w14:ligatures w14:val="standardContextual"/>
        </w:rPr>
        <w:t xml:space="preserve"> con su esfuerzo y hasta con sus bienes, a</w:t>
      </w:r>
      <w:r w:rsidR="00EF6D46" w:rsidRPr="002D1E9E">
        <w:rPr>
          <w:rFonts w:ascii="Verdana" w:eastAsia="Calibri" w:hAnsi="Verdana" w:cs="Arial"/>
          <w:color w:val="000000"/>
          <w:kern w:val="2"/>
          <w:sz w:val="22"/>
          <w:szCs w:val="22"/>
          <w14:ligatures w14:val="standardContextual"/>
        </w:rPr>
        <w:t>l bienestar de</w:t>
      </w:r>
      <w:r w:rsidR="001640CE" w:rsidRPr="002D1E9E">
        <w:rPr>
          <w:rFonts w:ascii="Verdana" w:eastAsia="Calibri" w:hAnsi="Verdana" w:cs="Arial"/>
          <w:color w:val="000000"/>
          <w:kern w:val="2"/>
          <w:sz w:val="22"/>
          <w:szCs w:val="22"/>
          <w14:ligatures w14:val="standardContextual"/>
        </w:rPr>
        <w:t xml:space="preserve"> la comunidad</w:t>
      </w:r>
      <w:r w:rsidR="001640CE" w:rsidRPr="002D1E9E">
        <w:rPr>
          <w:rFonts w:ascii="Verdana" w:eastAsia="Calibri" w:hAnsi="Verdana" w:cs="Arial"/>
          <w:color w:val="000000"/>
          <w:kern w:val="2"/>
          <w:sz w:val="22"/>
          <w:szCs w:val="22"/>
          <w:vertAlign w:val="superscript"/>
          <w14:ligatures w14:val="standardContextual"/>
        </w:rPr>
        <w:footnoteReference w:id="2"/>
      </w:r>
      <w:r w:rsidR="001640CE" w:rsidRPr="002D1E9E">
        <w:rPr>
          <w:rFonts w:ascii="Verdana" w:eastAsia="Calibri" w:hAnsi="Verdana" w:cs="Arial"/>
          <w:color w:val="000000"/>
          <w:kern w:val="2"/>
          <w:sz w:val="22"/>
          <w:szCs w:val="22"/>
          <w14:ligatures w14:val="standardContextual"/>
        </w:rPr>
        <w:t>. La ausencia de ánimo de lucro es, entonces, la característica determinante de estas corporaciones u organizaciones, lo que explica su nombre y la diferencia fundamental con las sociedades comerciales.</w:t>
      </w:r>
    </w:p>
    <w:p w14:paraId="16972CD8" w14:textId="5B2ED018" w:rsidR="001640CE" w:rsidRPr="002D1E9E" w:rsidRDefault="001640CE" w:rsidP="002D1E9E">
      <w:pPr>
        <w:spacing w:after="120" w:line="276" w:lineRule="auto"/>
        <w:jc w:val="both"/>
        <w:rPr>
          <w:rFonts w:ascii="Verdana" w:eastAsia="Calibri" w:hAnsi="Verdana" w:cs="Arial"/>
          <w:color w:val="000000"/>
          <w:kern w:val="2"/>
          <w:sz w:val="22"/>
          <w:szCs w:val="22"/>
          <w14:ligatures w14:val="standardContextual"/>
        </w:rPr>
      </w:pPr>
      <w:r w:rsidRPr="002D1E9E">
        <w:rPr>
          <w:rFonts w:ascii="Verdana" w:eastAsia="Calibri" w:hAnsi="Verdana" w:cs="Arial"/>
          <w:color w:val="000000"/>
          <w:kern w:val="2"/>
          <w:sz w:val="22"/>
          <w:szCs w:val="22"/>
          <w14:ligatures w14:val="standardContextual"/>
        </w:rPr>
        <w:tab/>
        <w:t>E</w:t>
      </w:r>
      <w:r w:rsidR="00F239AE" w:rsidRPr="002D1E9E">
        <w:rPr>
          <w:rFonts w:ascii="Verdana" w:eastAsia="Calibri" w:hAnsi="Verdana" w:cs="Arial"/>
          <w:color w:val="000000"/>
          <w:kern w:val="2"/>
          <w:sz w:val="22"/>
          <w:szCs w:val="22"/>
          <w14:ligatures w14:val="standardContextual"/>
        </w:rPr>
        <w:t>n efecto, e</w:t>
      </w:r>
      <w:r w:rsidRPr="002D1E9E">
        <w:rPr>
          <w:rFonts w:ascii="Verdana" w:eastAsia="Calibri" w:hAnsi="Verdana" w:cs="Arial"/>
          <w:color w:val="000000"/>
          <w:kern w:val="2"/>
          <w:sz w:val="22"/>
          <w:szCs w:val="22"/>
          <w14:ligatures w14:val="standardContextual"/>
        </w:rPr>
        <w:t xml:space="preserve">l inciso primero del artículo 98 del Código de Comercio </w:t>
      </w:r>
      <w:r w:rsidR="0017377D" w:rsidRPr="002D1E9E">
        <w:rPr>
          <w:rFonts w:ascii="Verdana" w:eastAsia="Calibri" w:hAnsi="Verdana" w:cs="Arial"/>
          <w:color w:val="000000"/>
          <w:kern w:val="2"/>
          <w:sz w:val="22"/>
          <w:szCs w:val="22"/>
          <w14:ligatures w14:val="standardContextual"/>
        </w:rPr>
        <w:t>dispone</w:t>
      </w:r>
      <w:r w:rsidRPr="002D1E9E">
        <w:rPr>
          <w:rFonts w:ascii="Verdana" w:eastAsia="Calibri" w:hAnsi="Verdana" w:cs="Arial"/>
          <w:color w:val="000000"/>
          <w:kern w:val="2"/>
          <w:sz w:val="22"/>
          <w:szCs w:val="22"/>
          <w14:ligatures w14:val="standardContextual"/>
        </w:rPr>
        <w:t xml:space="preserve"> que mediante el contrato de sociedad “dos o más personas se obligan a hacer un aporte en dinero, en trabajo o en otros bienes apreciables en dinero, </w:t>
      </w:r>
      <w:r w:rsidRPr="002D1E9E">
        <w:rPr>
          <w:rFonts w:ascii="Verdana" w:eastAsia="Calibri" w:hAnsi="Verdana" w:cs="Arial"/>
          <w:i/>
          <w:color w:val="000000"/>
          <w:kern w:val="2"/>
          <w:sz w:val="22"/>
          <w:szCs w:val="22"/>
          <w14:ligatures w14:val="standardContextual"/>
        </w:rPr>
        <w:t>con el fin de repartirse entre sí las utilidades obtenidas en la empresa o actividad social”</w:t>
      </w:r>
      <w:r w:rsidRPr="002D1E9E">
        <w:rPr>
          <w:rFonts w:ascii="Verdana" w:eastAsia="Calibri" w:hAnsi="Verdana" w:cs="Arial"/>
          <w:color w:val="000000"/>
          <w:kern w:val="2"/>
          <w:sz w:val="22"/>
          <w:szCs w:val="22"/>
          <w14:ligatures w14:val="standardContextual"/>
        </w:rPr>
        <w:t xml:space="preserve"> [Énfasis fuera de texto]. </w:t>
      </w:r>
      <w:r w:rsidR="0017377D" w:rsidRPr="002D1E9E">
        <w:rPr>
          <w:rFonts w:ascii="Verdana" w:eastAsia="Calibri" w:hAnsi="Verdana" w:cs="Arial"/>
          <w:color w:val="000000"/>
          <w:kern w:val="2"/>
          <w:sz w:val="22"/>
          <w:szCs w:val="22"/>
          <w14:ligatures w14:val="standardContextual"/>
        </w:rPr>
        <w:t>Ello pone de presente que</w:t>
      </w:r>
      <w:r w:rsidRPr="002D1E9E">
        <w:rPr>
          <w:rFonts w:ascii="Verdana" w:eastAsia="Calibri" w:hAnsi="Verdana" w:cs="Arial"/>
          <w:color w:val="000000"/>
          <w:kern w:val="2"/>
          <w:sz w:val="22"/>
          <w:szCs w:val="22"/>
          <w14:ligatures w14:val="standardContextual"/>
        </w:rPr>
        <w:t xml:space="preserve"> el reparto de utilidades</w:t>
      </w:r>
      <w:r w:rsidR="0017377D" w:rsidRPr="002D1E9E">
        <w:rPr>
          <w:rFonts w:ascii="Verdana" w:eastAsia="Calibri" w:hAnsi="Verdana" w:cs="Arial"/>
          <w:color w:val="000000"/>
          <w:kern w:val="2"/>
          <w:sz w:val="22"/>
          <w:szCs w:val="22"/>
          <w14:ligatures w14:val="standardContextual"/>
        </w:rPr>
        <w:t xml:space="preserve"> es un elemento esencial del contrato de sociedad, lo cual no es admisible en el caso de las </w:t>
      </w:r>
      <w:r w:rsidRPr="002D1E9E">
        <w:rPr>
          <w:rFonts w:ascii="Verdana" w:eastAsia="Calibri" w:hAnsi="Verdana" w:cs="Arial"/>
          <w:color w:val="000000"/>
          <w:kern w:val="2"/>
          <w:sz w:val="22"/>
          <w:szCs w:val="22"/>
          <w14:ligatures w14:val="standardContextual"/>
        </w:rPr>
        <w:t xml:space="preserve">ESAL, ni durante </w:t>
      </w:r>
      <w:r w:rsidR="0017377D" w:rsidRPr="002D1E9E">
        <w:rPr>
          <w:rFonts w:ascii="Verdana" w:eastAsia="Calibri" w:hAnsi="Verdana" w:cs="Arial"/>
          <w:color w:val="000000"/>
          <w:kern w:val="2"/>
          <w:sz w:val="22"/>
          <w:szCs w:val="22"/>
          <w14:ligatures w14:val="standardContextual"/>
        </w:rPr>
        <w:t>su</w:t>
      </w:r>
      <w:r w:rsidRPr="002D1E9E">
        <w:rPr>
          <w:rFonts w:ascii="Verdana" w:eastAsia="Calibri" w:hAnsi="Verdana" w:cs="Arial"/>
          <w:color w:val="000000"/>
          <w:kern w:val="2"/>
          <w:sz w:val="22"/>
          <w:szCs w:val="22"/>
          <w14:ligatures w14:val="standardContextual"/>
        </w:rPr>
        <w:t xml:space="preserve"> existencia ni cuando se extinga</w:t>
      </w:r>
      <w:r w:rsidR="0017377D" w:rsidRPr="002D1E9E">
        <w:rPr>
          <w:rFonts w:ascii="Verdana" w:eastAsia="Calibri" w:hAnsi="Verdana" w:cs="Arial"/>
          <w:color w:val="000000"/>
          <w:kern w:val="2"/>
          <w:sz w:val="22"/>
          <w:szCs w:val="22"/>
          <w14:ligatures w14:val="standardContextual"/>
        </w:rPr>
        <w:t xml:space="preserve">. </w:t>
      </w:r>
      <w:r w:rsidR="00A76D6C" w:rsidRPr="002D1E9E">
        <w:rPr>
          <w:rFonts w:ascii="Verdana" w:eastAsia="Calibri" w:hAnsi="Verdana" w:cs="Arial"/>
          <w:color w:val="000000"/>
          <w:kern w:val="2"/>
          <w:sz w:val="22"/>
          <w:szCs w:val="22"/>
          <w14:ligatures w14:val="standardContextual"/>
        </w:rPr>
        <w:t>Este es, quizá, el elemento distintivo</w:t>
      </w:r>
      <w:r w:rsidRPr="002D1E9E">
        <w:rPr>
          <w:rFonts w:ascii="Verdana" w:eastAsia="Calibri" w:hAnsi="Verdana" w:cs="Arial"/>
          <w:color w:val="000000"/>
          <w:kern w:val="2"/>
          <w:sz w:val="22"/>
          <w:szCs w:val="22"/>
          <w14:ligatures w14:val="standardContextual"/>
        </w:rPr>
        <w:t xml:space="preserve"> más </w:t>
      </w:r>
      <w:r w:rsidR="00A76D6C" w:rsidRPr="002D1E9E">
        <w:rPr>
          <w:rFonts w:ascii="Verdana" w:eastAsia="Calibri" w:hAnsi="Verdana" w:cs="Arial"/>
          <w:color w:val="000000"/>
          <w:kern w:val="2"/>
          <w:sz w:val="22"/>
          <w:szCs w:val="22"/>
          <w14:ligatures w14:val="standardContextual"/>
        </w:rPr>
        <w:t>relevante</w:t>
      </w:r>
      <w:r w:rsidRPr="002D1E9E">
        <w:rPr>
          <w:rFonts w:ascii="Verdana" w:eastAsia="Calibri" w:hAnsi="Verdana" w:cs="Arial"/>
          <w:color w:val="000000"/>
          <w:kern w:val="2"/>
          <w:sz w:val="22"/>
          <w:szCs w:val="22"/>
          <w14:ligatures w14:val="standardContextual"/>
        </w:rPr>
        <w:t xml:space="preserve"> entre unas y otras organizaciones, </w:t>
      </w:r>
      <w:r w:rsidR="00A76D6C" w:rsidRPr="002D1E9E">
        <w:rPr>
          <w:rFonts w:ascii="Verdana" w:eastAsia="Calibri" w:hAnsi="Verdana" w:cs="Arial"/>
          <w:color w:val="000000"/>
          <w:kern w:val="2"/>
          <w:sz w:val="22"/>
          <w:szCs w:val="22"/>
          <w14:ligatures w14:val="standardContextual"/>
        </w:rPr>
        <w:t>aun cuando</w:t>
      </w:r>
      <w:r w:rsidRPr="002D1E9E">
        <w:rPr>
          <w:rFonts w:ascii="Verdana" w:eastAsia="Calibri" w:hAnsi="Verdana" w:cs="Arial"/>
          <w:color w:val="000000"/>
          <w:kern w:val="2"/>
          <w:sz w:val="22"/>
          <w:szCs w:val="22"/>
          <w14:ligatures w14:val="standardContextual"/>
        </w:rPr>
        <w:t xml:space="preserve"> ambas se crean </w:t>
      </w:r>
      <w:r w:rsidR="00A76D6C" w:rsidRPr="002D1E9E">
        <w:rPr>
          <w:rFonts w:ascii="Verdana" w:eastAsia="Calibri" w:hAnsi="Verdana" w:cs="Arial"/>
          <w:color w:val="000000"/>
          <w:kern w:val="2"/>
          <w:sz w:val="22"/>
          <w:szCs w:val="22"/>
          <w14:ligatures w14:val="standardContextual"/>
        </w:rPr>
        <w:t>en ejercicio</w:t>
      </w:r>
      <w:r w:rsidRPr="002D1E9E">
        <w:rPr>
          <w:rFonts w:ascii="Verdana" w:eastAsia="Calibri" w:hAnsi="Verdana" w:cs="Arial"/>
          <w:color w:val="000000"/>
          <w:kern w:val="2"/>
          <w:sz w:val="22"/>
          <w:szCs w:val="22"/>
          <w14:ligatures w14:val="standardContextual"/>
        </w:rPr>
        <w:t xml:space="preserve"> del derecho fundamental de asociación, previsto en el artículo 38 de la Constitución Política y otras normas contenidas en tratados internacionales suscritos por Colombia.</w:t>
      </w:r>
    </w:p>
    <w:p w14:paraId="40A026BF" w14:textId="2002D016" w:rsidR="001640CE" w:rsidRPr="002D1E9E" w:rsidRDefault="001640CE" w:rsidP="002D1E9E">
      <w:pPr>
        <w:spacing w:after="120" w:line="276" w:lineRule="auto"/>
        <w:jc w:val="both"/>
        <w:rPr>
          <w:rFonts w:ascii="Verdana" w:eastAsia="Calibri" w:hAnsi="Verdana" w:cs="Arial"/>
          <w:color w:val="000000"/>
          <w:kern w:val="2"/>
          <w:sz w:val="22"/>
          <w:szCs w:val="22"/>
          <w14:ligatures w14:val="standardContextual"/>
        </w:rPr>
      </w:pPr>
      <w:r w:rsidRPr="002D1E9E">
        <w:rPr>
          <w:rFonts w:ascii="Verdana" w:eastAsia="Calibri" w:hAnsi="Verdana" w:cs="Arial"/>
          <w:color w:val="000000"/>
          <w:kern w:val="2"/>
          <w:sz w:val="22"/>
          <w:szCs w:val="22"/>
          <w14:ligatures w14:val="standardContextual"/>
        </w:rPr>
        <w:tab/>
        <w:t xml:space="preserve">Dentro del </w:t>
      </w:r>
      <w:r w:rsidR="008E5B01" w:rsidRPr="002D1E9E">
        <w:rPr>
          <w:rFonts w:ascii="Verdana" w:eastAsia="Calibri" w:hAnsi="Verdana" w:cs="Arial"/>
          <w:color w:val="000000"/>
          <w:kern w:val="2"/>
          <w:sz w:val="22"/>
          <w:szCs w:val="22"/>
          <w14:ligatures w14:val="standardContextual"/>
        </w:rPr>
        <w:t>conjunto</w:t>
      </w:r>
      <w:r w:rsidRPr="002D1E9E">
        <w:rPr>
          <w:rFonts w:ascii="Verdana" w:eastAsia="Calibri" w:hAnsi="Verdana" w:cs="Arial"/>
          <w:color w:val="000000"/>
          <w:kern w:val="2"/>
          <w:sz w:val="22"/>
          <w:szCs w:val="22"/>
          <w14:ligatures w14:val="standardContextual"/>
        </w:rPr>
        <w:t xml:space="preserve"> de asociaciones que conforman las ESAL están incluidas las Cajas de Compensación Familiar, </w:t>
      </w:r>
      <w:r w:rsidR="008E5B01" w:rsidRPr="002D1E9E">
        <w:rPr>
          <w:rFonts w:ascii="Verdana" w:eastAsia="Calibri" w:hAnsi="Verdana" w:cs="Arial"/>
          <w:color w:val="000000"/>
          <w:kern w:val="2"/>
          <w:sz w:val="22"/>
          <w:szCs w:val="22"/>
          <w14:ligatures w14:val="standardContextual"/>
        </w:rPr>
        <w:t>a las que se refiere en su consulta. E</w:t>
      </w:r>
      <w:r w:rsidRPr="002D1E9E">
        <w:rPr>
          <w:rFonts w:ascii="Verdana" w:eastAsia="Calibri" w:hAnsi="Verdana" w:cs="Arial"/>
          <w:color w:val="000000"/>
          <w:kern w:val="2"/>
          <w:sz w:val="22"/>
          <w:szCs w:val="22"/>
          <w14:ligatures w14:val="standardContextual"/>
        </w:rPr>
        <w:t>sto en razón a que, el artículo 39 de la Ley 21 de 1982 las define como “</w:t>
      </w:r>
      <w:r w:rsidRPr="002D1E9E">
        <w:rPr>
          <w:rFonts w:ascii="Verdana" w:eastAsia="Calibri" w:hAnsi="Verdana" w:cs="Arial"/>
          <w:i/>
          <w:color w:val="000000"/>
          <w:kern w:val="2"/>
          <w:sz w:val="22"/>
          <w:szCs w:val="22"/>
          <w14:ligatures w14:val="standardContextual"/>
        </w:rPr>
        <w:t>personas jurídicas de derecho privado sin ánimo de lucro, organizadas como corporaciones en la forma prevista en el Código Civil,</w:t>
      </w:r>
      <w:r w:rsidRPr="002D1E9E">
        <w:rPr>
          <w:rFonts w:ascii="Verdana" w:eastAsia="Calibri" w:hAnsi="Verdana" w:cs="Arial"/>
          <w:color w:val="000000"/>
          <w:kern w:val="2"/>
          <w:sz w:val="22"/>
          <w:szCs w:val="22"/>
          <w14:ligatures w14:val="standardContextual"/>
        </w:rPr>
        <w:t xml:space="preserve"> cumplen funciones de seguridad social y se hallan sometidas al control y vigilancia del Estado en la forma establecida por la ley”. [Énfasis fuera de texto]</w:t>
      </w:r>
    </w:p>
    <w:p w14:paraId="5AFB43C7" w14:textId="0E4EF30D" w:rsidR="001640CE" w:rsidRPr="002D1E9E" w:rsidRDefault="001640CE" w:rsidP="002D1E9E">
      <w:pPr>
        <w:spacing w:after="120" w:line="276" w:lineRule="auto"/>
        <w:jc w:val="both"/>
        <w:rPr>
          <w:rFonts w:ascii="Verdana" w:eastAsia="Calibri" w:hAnsi="Verdana" w:cs="Arial"/>
          <w:color w:val="000000"/>
          <w:kern w:val="2"/>
          <w:sz w:val="22"/>
          <w:szCs w:val="22"/>
          <w14:ligatures w14:val="standardContextual"/>
        </w:rPr>
      </w:pPr>
      <w:r w:rsidRPr="002D1E9E">
        <w:rPr>
          <w:rFonts w:ascii="Verdana" w:eastAsia="Calibri" w:hAnsi="Verdana" w:cs="Arial"/>
          <w:color w:val="000000"/>
          <w:kern w:val="2"/>
          <w:sz w:val="22"/>
          <w:szCs w:val="22"/>
          <w14:ligatures w14:val="standardContextual"/>
        </w:rPr>
        <w:tab/>
        <w:t>La Corte Constitucional</w:t>
      </w:r>
      <w:r w:rsidR="008E5B01" w:rsidRPr="002D1E9E">
        <w:rPr>
          <w:rFonts w:ascii="Verdana" w:eastAsia="Calibri" w:hAnsi="Verdana" w:cs="Arial"/>
          <w:color w:val="000000"/>
          <w:kern w:val="2"/>
          <w:sz w:val="22"/>
          <w:szCs w:val="22"/>
          <w14:ligatures w14:val="standardContextual"/>
        </w:rPr>
        <w:t>,</w:t>
      </w:r>
      <w:r w:rsidRPr="002D1E9E">
        <w:rPr>
          <w:rFonts w:ascii="Verdana" w:eastAsia="Calibri" w:hAnsi="Verdana" w:cs="Arial"/>
          <w:color w:val="000000"/>
          <w:kern w:val="2"/>
          <w:sz w:val="22"/>
          <w:szCs w:val="22"/>
          <w14:ligatures w14:val="standardContextual"/>
        </w:rPr>
        <w:t xml:space="preserve"> en Sentencia C-429 de 2019, señaló que “las Cajas de Compensación Familiar son entes jurídicos de naturaleza especialísima que </w:t>
      </w:r>
      <w:r w:rsidRPr="002D1E9E">
        <w:rPr>
          <w:rFonts w:ascii="Verdana" w:eastAsia="Calibri" w:hAnsi="Verdana" w:cs="Arial"/>
          <w:i/>
          <w:kern w:val="2"/>
          <w:sz w:val="22"/>
          <w:szCs w:val="22"/>
          <w:u w:val="single"/>
          <w14:ligatures w14:val="standardContextual"/>
        </w:rPr>
        <w:t>no ejercen funciones públicas</w:t>
      </w:r>
      <w:r w:rsidRPr="002D1E9E">
        <w:rPr>
          <w:rFonts w:ascii="Verdana" w:eastAsia="Calibri" w:hAnsi="Verdana" w:cs="Arial"/>
          <w:color w:val="000000"/>
          <w:kern w:val="2"/>
          <w:sz w:val="22"/>
          <w:szCs w:val="22"/>
          <w14:ligatures w14:val="standardContextual"/>
        </w:rPr>
        <w:t xml:space="preserve">, sino que </w:t>
      </w:r>
      <w:r w:rsidRPr="002D1E9E">
        <w:rPr>
          <w:rFonts w:ascii="Verdana" w:eastAsia="Calibri" w:hAnsi="Verdana" w:cs="Arial"/>
          <w:i/>
          <w:kern w:val="2"/>
          <w:sz w:val="22"/>
          <w:szCs w:val="22"/>
          <w:u w:val="single"/>
          <w14:ligatures w14:val="standardContextual"/>
        </w:rPr>
        <w:t>desarrollan una función social</w:t>
      </w:r>
      <w:r w:rsidRPr="002D1E9E">
        <w:rPr>
          <w:rFonts w:ascii="Verdana" w:eastAsia="Calibri" w:hAnsi="Verdana" w:cs="Arial"/>
          <w:color w:val="000000"/>
          <w:kern w:val="2"/>
          <w:sz w:val="22"/>
          <w:szCs w:val="22"/>
          <w14:ligatures w14:val="standardContextual"/>
        </w:rPr>
        <w:t xml:space="preserve">, pues </w:t>
      </w:r>
      <w:r w:rsidRPr="002D1E9E">
        <w:rPr>
          <w:rFonts w:ascii="Verdana" w:eastAsia="Calibri" w:hAnsi="Verdana" w:cs="Arial"/>
          <w:color w:val="000000"/>
          <w:kern w:val="2"/>
          <w:sz w:val="22"/>
          <w:szCs w:val="22"/>
          <w14:ligatures w14:val="standardContextual"/>
        </w:rPr>
        <w:lastRenderedPageBreak/>
        <w:t>se trata de actores privados que participan en la economía e intervienen en el servicio público de seguridad social e incluso, en algunos casos, pueden participar en su prestación, como ocurre con la participación que tienen en el sector salud”. [Énfasis fuera de texto]</w:t>
      </w:r>
    </w:p>
    <w:p w14:paraId="79651C8A" w14:textId="5EE81DD0" w:rsidR="00854D90" w:rsidRPr="002D1E9E" w:rsidRDefault="001640CE" w:rsidP="002D1E9E">
      <w:pPr>
        <w:spacing w:after="120" w:line="276" w:lineRule="auto"/>
        <w:jc w:val="both"/>
        <w:rPr>
          <w:rFonts w:ascii="Verdana" w:eastAsia="Calibri" w:hAnsi="Verdana" w:cs="Arial"/>
          <w:color w:val="000000"/>
          <w:kern w:val="2"/>
          <w:sz w:val="22"/>
          <w:szCs w:val="22"/>
          <w14:ligatures w14:val="standardContextual"/>
        </w:rPr>
      </w:pPr>
      <w:r w:rsidRPr="002D1E9E">
        <w:rPr>
          <w:rFonts w:ascii="Verdana" w:eastAsia="Calibri" w:hAnsi="Verdana" w:cs="Arial"/>
          <w:color w:val="000000"/>
          <w:kern w:val="2"/>
          <w:sz w:val="22"/>
          <w:szCs w:val="22"/>
          <w14:ligatures w14:val="standardContextual"/>
        </w:rPr>
        <w:tab/>
        <w:t>En con</w:t>
      </w:r>
      <w:r w:rsidR="00854D90" w:rsidRPr="002D1E9E">
        <w:rPr>
          <w:rFonts w:ascii="Verdana" w:eastAsia="Calibri" w:hAnsi="Verdana" w:cs="Arial"/>
          <w:color w:val="000000"/>
          <w:kern w:val="2"/>
          <w:sz w:val="22"/>
          <w:szCs w:val="22"/>
          <w14:ligatures w14:val="standardContextual"/>
        </w:rPr>
        <w:t>cordancia con</w:t>
      </w:r>
      <w:r w:rsidRPr="002D1E9E">
        <w:rPr>
          <w:rFonts w:ascii="Verdana" w:eastAsia="Calibri" w:hAnsi="Verdana" w:cs="Arial"/>
          <w:color w:val="000000"/>
          <w:kern w:val="2"/>
          <w:sz w:val="22"/>
          <w:szCs w:val="22"/>
          <w14:ligatures w14:val="standardContextual"/>
        </w:rPr>
        <w:t xml:space="preserve"> lo </w:t>
      </w:r>
      <w:r w:rsidR="00854D90" w:rsidRPr="002D1E9E">
        <w:rPr>
          <w:rFonts w:ascii="Verdana" w:eastAsia="Calibri" w:hAnsi="Verdana" w:cs="Arial"/>
          <w:color w:val="000000"/>
          <w:kern w:val="2"/>
          <w:sz w:val="22"/>
          <w:szCs w:val="22"/>
          <w14:ligatures w14:val="standardContextual"/>
        </w:rPr>
        <w:t>anterior</w:t>
      </w:r>
      <w:r w:rsidRPr="002D1E9E">
        <w:rPr>
          <w:rFonts w:ascii="Verdana" w:eastAsia="Calibri" w:hAnsi="Verdana" w:cs="Arial"/>
          <w:color w:val="000000"/>
          <w:kern w:val="2"/>
          <w:sz w:val="22"/>
          <w:szCs w:val="22"/>
          <w14:ligatures w14:val="standardContextual"/>
        </w:rPr>
        <w:t>, el artículo 15 de la Ley 21 de 1982</w:t>
      </w:r>
      <w:r w:rsidR="00C6735A" w:rsidRPr="002D1E9E">
        <w:rPr>
          <w:rFonts w:ascii="Verdana" w:eastAsia="Calibri" w:hAnsi="Verdana" w:cs="Arial"/>
          <w:color w:val="000000"/>
          <w:kern w:val="2"/>
          <w:sz w:val="22"/>
          <w:szCs w:val="22"/>
          <w14:ligatures w14:val="standardContextual"/>
        </w:rPr>
        <w:t xml:space="preserve"> es</w:t>
      </w:r>
      <w:r w:rsidR="004321F2">
        <w:rPr>
          <w:rFonts w:ascii="Verdana" w:eastAsia="Calibri" w:hAnsi="Verdana" w:cs="Arial"/>
          <w:color w:val="000000"/>
          <w:kern w:val="2"/>
          <w:sz w:val="22"/>
          <w:szCs w:val="22"/>
          <w14:ligatures w14:val="standardContextual"/>
        </w:rPr>
        <w:t>t</w:t>
      </w:r>
      <w:r w:rsidR="00C6735A" w:rsidRPr="002D1E9E">
        <w:rPr>
          <w:rFonts w:ascii="Verdana" w:eastAsia="Calibri" w:hAnsi="Verdana" w:cs="Arial"/>
          <w:color w:val="000000"/>
          <w:kern w:val="2"/>
          <w:sz w:val="22"/>
          <w:szCs w:val="22"/>
          <w14:ligatures w14:val="standardContextual"/>
        </w:rPr>
        <w:t>ablece que</w:t>
      </w:r>
      <w:r w:rsidRPr="002D1E9E">
        <w:rPr>
          <w:rFonts w:ascii="Verdana" w:eastAsia="Calibri" w:hAnsi="Verdana" w:cs="Arial"/>
          <w:color w:val="000000"/>
          <w:kern w:val="2"/>
          <w:sz w:val="22"/>
          <w:szCs w:val="22"/>
          <w14:ligatures w14:val="standardContextual"/>
        </w:rPr>
        <w:t xml:space="preserve"> el objeto principal de las Cajas de Compensación Familiar es el de recaudar y gestionar la aplicación de los aportes al </w:t>
      </w:r>
      <w:r w:rsidRPr="002D1E9E">
        <w:rPr>
          <w:rFonts w:ascii="Verdana" w:eastAsia="Calibri" w:hAnsi="Verdana" w:cs="Arial"/>
          <w:i/>
          <w:color w:val="000000"/>
          <w:kern w:val="2"/>
          <w:sz w:val="22"/>
          <w:szCs w:val="22"/>
          <w14:ligatures w14:val="standardContextual"/>
        </w:rPr>
        <w:t>subsidio familiar</w:t>
      </w:r>
      <w:r w:rsidRPr="002D1E9E">
        <w:rPr>
          <w:rFonts w:ascii="Verdana" w:eastAsia="Calibri" w:hAnsi="Verdana" w:cs="Arial"/>
          <w:color w:val="000000"/>
          <w:kern w:val="2"/>
          <w:sz w:val="22"/>
          <w:szCs w:val="22"/>
          <w14:ligatures w14:val="standardContextual"/>
        </w:rPr>
        <w:t xml:space="preserve"> que debe pagar todo empleador. </w:t>
      </w:r>
      <w:r w:rsidR="006C0E5F">
        <w:rPr>
          <w:rFonts w:ascii="Verdana" w:eastAsia="Calibri" w:hAnsi="Verdana" w:cs="Arial"/>
          <w:color w:val="000000"/>
          <w:kern w:val="2"/>
          <w:sz w:val="22"/>
          <w:szCs w:val="22"/>
          <w14:ligatures w14:val="standardContextual"/>
        </w:rPr>
        <w:t>E</w:t>
      </w:r>
      <w:r w:rsidR="00C6735A" w:rsidRPr="002D1E9E">
        <w:rPr>
          <w:rFonts w:ascii="Verdana" w:eastAsia="Calibri" w:hAnsi="Verdana" w:cs="Arial"/>
          <w:color w:val="000000"/>
          <w:kern w:val="2"/>
          <w:sz w:val="22"/>
          <w:szCs w:val="22"/>
          <w14:ligatures w14:val="standardContextual"/>
        </w:rPr>
        <w:t xml:space="preserve">sta definición reafirma su carácter de instituciones privadas sin ánimo de lucro que cumplen una función social dentro del Sistema de Seguridad Social, sin que ello las convierta en entidades estatales ni les atribuya el ejercicio de potestades públicas.  </w:t>
      </w:r>
    </w:p>
    <w:p w14:paraId="746413B0" w14:textId="19E3A0CC" w:rsidR="001640CE" w:rsidRPr="002D1E9E" w:rsidRDefault="001640CE" w:rsidP="002D1E9E">
      <w:pPr>
        <w:spacing w:before="120" w:line="276" w:lineRule="auto"/>
        <w:ind w:firstLine="708"/>
        <w:jc w:val="both"/>
        <w:rPr>
          <w:rFonts w:ascii="Verdana" w:eastAsia="Calibri" w:hAnsi="Verdana" w:cs="Arial"/>
          <w:color w:val="000000"/>
          <w:kern w:val="2"/>
          <w:sz w:val="22"/>
          <w:szCs w:val="22"/>
          <w14:ligatures w14:val="standardContextual"/>
        </w:rPr>
      </w:pPr>
      <w:r w:rsidRPr="002D1E9E">
        <w:rPr>
          <w:rFonts w:ascii="Verdana" w:eastAsia="Calibri" w:hAnsi="Verdana" w:cs="Arial"/>
          <w:color w:val="000000"/>
          <w:kern w:val="2"/>
          <w:sz w:val="22"/>
          <w:szCs w:val="22"/>
          <w14:ligatures w14:val="standardContextual"/>
        </w:rPr>
        <w:t>La Sala de Consulta y Servicio Civil del Consejo de Estado, mediante Concepto 1763 del 15 de agosto de 2006</w:t>
      </w:r>
      <w:r w:rsidR="00AF5D6E" w:rsidRPr="002D1E9E">
        <w:rPr>
          <w:rFonts w:ascii="Verdana" w:eastAsia="Calibri" w:hAnsi="Verdana" w:cs="Arial"/>
          <w:color w:val="000000"/>
          <w:kern w:val="2"/>
          <w:sz w:val="22"/>
          <w:szCs w:val="22"/>
          <w14:ligatures w14:val="standardContextual"/>
        </w:rPr>
        <w:t>,</w:t>
      </w:r>
      <w:r w:rsidRPr="002D1E9E">
        <w:rPr>
          <w:rFonts w:ascii="Verdana" w:eastAsia="Calibri" w:hAnsi="Verdana" w:cs="Arial"/>
          <w:color w:val="000000"/>
          <w:kern w:val="2"/>
          <w:sz w:val="22"/>
          <w:szCs w:val="22"/>
          <w14:ligatures w14:val="standardContextual"/>
        </w:rPr>
        <w:t xml:space="preserve"> realizó las siguientes precisiones sobre las Cajas de Compensación Familiar: </w:t>
      </w:r>
    </w:p>
    <w:p w14:paraId="3E544471" w14:textId="77777777" w:rsidR="001640CE" w:rsidRPr="002D1E9E" w:rsidRDefault="001640CE" w:rsidP="001640CE">
      <w:pPr>
        <w:spacing w:line="276" w:lineRule="auto"/>
        <w:jc w:val="both"/>
        <w:rPr>
          <w:rFonts w:ascii="Verdana" w:eastAsia="Calibri" w:hAnsi="Verdana" w:cs="Arial"/>
          <w:color w:val="000000"/>
          <w:kern w:val="2"/>
          <w:sz w:val="22"/>
          <w:szCs w:val="22"/>
          <w14:ligatures w14:val="standardContextual"/>
        </w:rPr>
      </w:pPr>
    </w:p>
    <w:p w14:paraId="41D2867B" w14:textId="355FA696" w:rsidR="001640CE" w:rsidRDefault="001640CE" w:rsidP="00AF5D6E">
      <w:pPr>
        <w:ind w:left="709" w:right="709"/>
        <w:jc w:val="both"/>
        <w:rPr>
          <w:rFonts w:ascii="Verdana" w:eastAsia="Calibri" w:hAnsi="Verdana" w:cs="Arial"/>
          <w:color w:val="000000"/>
          <w:kern w:val="2"/>
          <w:sz w:val="20"/>
          <w:szCs w:val="20"/>
          <w14:ligatures w14:val="standardContextual"/>
        </w:rPr>
      </w:pPr>
      <w:r w:rsidRPr="002D1E9E">
        <w:rPr>
          <w:rFonts w:ascii="Verdana" w:eastAsia="Calibri" w:hAnsi="Verdana" w:cs="Arial"/>
          <w:color w:val="000000"/>
          <w:kern w:val="2"/>
          <w:sz w:val="20"/>
          <w:szCs w:val="20"/>
          <w14:ligatures w14:val="standardContextual"/>
        </w:rPr>
        <w:t>“Las Cajas de Compensación Familiar nacen paralelamente con el sistema de subsidio familiar, que en un principio se concibió como fruto de la libertad de los patronos o del acuerdo entre éstos y sus trabajadores.</w:t>
      </w:r>
    </w:p>
    <w:p w14:paraId="3186888F" w14:textId="77777777" w:rsidR="00A77F08" w:rsidRPr="002D1E9E" w:rsidRDefault="00A77F08" w:rsidP="00AF5D6E">
      <w:pPr>
        <w:ind w:left="709" w:right="709"/>
        <w:jc w:val="both"/>
        <w:rPr>
          <w:rFonts w:ascii="Verdana" w:eastAsia="Calibri" w:hAnsi="Verdana" w:cs="Arial"/>
          <w:color w:val="000000"/>
          <w:kern w:val="2"/>
          <w:sz w:val="20"/>
          <w:szCs w:val="20"/>
          <w14:ligatures w14:val="standardContextual"/>
        </w:rPr>
      </w:pPr>
    </w:p>
    <w:p w14:paraId="447DF7F2" w14:textId="77777777" w:rsidR="001640CE" w:rsidRPr="002D1E9E" w:rsidRDefault="001640CE" w:rsidP="002D1E9E">
      <w:pPr>
        <w:ind w:left="709" w:right="709"/>
        <w:jc w:val="both"/>
        <w:rPr>
          <w:rFonts w:ascii="Verdana" w:eastAsia="Calibri" w:hAnsi="Verdana" w:cs="Arial"/>
          <w:color w:val="000000"/>
          <w:kern w:val="2"/>
          <w:sz w:val="20"/>
          <w:szCs w:val="20"/>
          <w14:ligatures w14:val="standardContextual"/>
        </w:rPr>
      </w:pPr>
      <w:r w:rsidRPr="002D1E9E">
        <w:rPr>
          <w:rFonts w:ascii="Verdana" w:eastAsia="Calibri" w:hAnsi="Verdana" w:cs="Arial"/>
          <w:color w:val="000000"/>
          <w:kern w:val="2"/>
          <w:sz w:val="20"/>
          <w:szCs w:val="20"/>
          <w14:ligatures w14:val="standardContextual"/>
        </w:rPr>
        <w:t>[…]</w:t>
      </w:r>
    </w:p>
    <w:p w14:paraId="362F783A" w14:textId="77777777" w:rsidR="00A77F08" w:rsidRDefault="00A77F08" w:rsidP="00AF5D6E">
      <w:pPr>
        <w:ind w:left="709" w:right="709"/>
        <w:jc w:val="both"/>
        <w:rPr>
          <w:rFonts w:ascii="Verdana" w:eastAsia="Calibri" w:hAnsi="Verdana" w:cs="Arial"/>
          <w:color w:val="000000"/>
          <w:kern w:val="2"/>
          <w:sz w:val="20"/>
          <w:szCs w:val="20"/>
          <w14:ligatures w14:val="standardContextual"/>
        </w:rPr>
      </w:pPr>
    </w:p>
    <w:p w14:paraId="2F9DE1E5" w14:textId="56240982" w:rsidR="001640CE" w:rsidRDefault="001640CE" w:rsidP="00AF5D6E">
      <w:pPr>
        <w:ind w:left="709" w:right="709"/>
        <w:jc w:val="both"/>
        <w:rPr>
          <w:rFonts w:ascii="Verdana" w:eastAsia="Calibri" w:hAnsi="Verdana" w:cs="Arial"/>
          <w:color w:val="000000"/>
          <w:kern w:val="2"/>
          <w:sz w:val="20"/>
          <w:szCs w:val="20"/>
          <w14:ligatures w14:val="standardContextual"/>
        </w:rPr>
      </w:pPr>
      <w:r w:rsidRPr="002D1E9E">
        <w:rPr>
          <w:rFonts w:ascii="Verdana" w:eastAsia="Calibri" w:hAnsi="Verdana" w:cs="Arial"/>
          <w:color w:val="000000"/>
          <w:kern w:val="2"/>
          <w:sz w:val="20"/>
          <w:szCs w:val="20"/>
          <w14:ligatures w14:val="standardContextual"/>
        </w:rPr>
        <w:t>[…] a partir del decreto 118 de 1957, las Cajas de Compensación Familiar se conformaron como corporaciones de acuerdo con lo dispuesto en el Código Civil, con personería jurídica, cuya creación dependía de la voluntad de asociación de los empleadores.</w:t>
      </w:r>
    </w:p>
    <w:p w14:paraId="3F8DA228" w14:textId="77777777" w:rsidR="00A77F08" w:rsidRPr="002D1E9E" w:rsidRDefault="00A77F08" w:rsidP="002D1E9E">
      <w:pPr>
        <w:ind w:left="709" w:right="709"/>
        <w:jc w:val="both"/>
        <w:rPr>
          <w:rFonts w:ascii="Verdana" w:eastAsia="Calibri" w:hAnsi="Verdana" w:cs="Arial"/>
          <w:color w:val="000000"/>
          <w:kern w:val="2"/>
          <w:sz w:val="20"/>
          <w:szCs w:val="20"/>
          <w14:ligatures w14:val="standardContextual"/>
        </w:rPr>
      </w:pPr>
    </w:p>
    <w:p w14:paraId="56EFE602" w14:textId="77777777" w:rsidR="001640CE" w:rsidRPr="002D1E9E" w:rsidRDefault="001640CE" w:rsidP="002D1E9E">
      <w:pPr>
        <w:ind w:left="709" w:right="709"/>
        <w:jc w:val="both"/>
        <w:rPr>
          <w:rFonts w:ascii="Verdana" w:eastAsia="Calibri" w:hAnsi="Verdana" w:cs="Arial"/>
          <w:color w:val="000000"/>
          <w:kern w:val="2"/>
          <w:sz w:val="20"/>
          <w:szCs w:val="20"/>
          <w14:ligatures w14:val="standardContextual"/>
        </w:rPr>
      </w:pPr>
      <w:r w:rsidRPr="002D1E9E">
        <w:rPr>
          <w:rFonts w:ascii="Verdana" w:eastAsia="Calibri" w:hAnsi="Verdana" w:cs="Arial"/>
          <w:color w:val="000000"/>
          <w:kern w:val="2"/>
          <w:sz w:val="20"/>
          <w:szCs w:val="20"/>
          <w14:ligatures w14:val="standardContextual"/>
        </w:rPr>
        <w:t>Sin embargo, fue mediante la ley 21 de 1982, por la cual se modificó el régimen del subsidio familiar, que el legislador definió el subsidio familiar como una prestación social de obligatorio pago a través de las Cajas de Compensación Familiar, por parte de todos los empleadores del sector público o privado que tuvieran uno o más trabajadores de carácter permanente […].</w:t>
      </w:r>
    </w:p>
    <w:p w14:paraId="1424BD6B" w14:textId="77777777" w:rsidR="00A77F08" w:rsidRDefault="00A77F08" w:rsidP="00AF5D6E">
      <w:pPr>
        <w:ind w:left="709" w:right="709"/>
        <w:jc w:val="both"/>
        <w:rPr>
          <w:rFonts w:ascii="Verdana" w:eastAsia="Calibri" w:hAnsi="Verdana" w:cs="Arial"/>
          <w:color w:val="000000"/>
          <w:kern w:val="2"/>
          <w:sz w:val="20"/>
          <w:szCs w:val="20"/>
          <w14:ligatures w14:val="standardContextual"/>
        </w:rPr>
      </w:pPr>
    </w:p>
    <w:p w14:paraId="4C57B012" w14:textId="3792C1E2" w:rsidR="001640CE" w:rsidRPr="002D1E9E" w:rsidRDefault="001640CE" w:rsidP="002D1E9E">
      <w:pPr>
        <w:ind w:left="709" w:right="709"/>
        <w:jc w:val="both"/>
        <w:rPr>
          <w:rFonts w:ascii="Verdana" w:eastAsia="Calibri" w:hAnsi="Verdana" w:cs="Arial"/>
          <w:color w:val="000000"/>
          <w:kern w:val="2"/>
          <w:sz w:val="20"/>
          <w:szCs w:val="20"/>
          <w14:ligatures w14:val="standardContextual"/>
        </w:rPr>
      </w:pPr>
      <w:r w:rsidRPr="002D1E9E">
        <w:rPr>
          <w:rFonts w:ascii="Verdana" w:eastAsia="Calibri" w:hAnsi="Verdana" w:cs="Arial"/>
          <w:color w:val="000000"/>
          <w:kern w:val="2"/>
          <w:sz w:val="20"/>
          <w:szCs w:val="20"/>
          <w14:ligatures w14:val="standardContextual"/>
        </w:rPr>
        <w:t>[…]</w:t>
      </w:r>
    </w:p>
    <w:p w14:paraId="2A66C96E" w14:textId="77777777" w:rsidR="00A77F08" w:rsidRDefault="00A77F08" w:rsidP="00AF5D6E">
      <w:pPr>
        <w:ind w:left="709" w:right="709"/>
        <w:jc w:val="both"/>
        <w:rPr>
          <w:rFonts w:ascii="Verdana" w:eastAsia="Calibri" w:hAnsi="Verdana" w:cs="Arial"/>
          <w:kern w:val="2"/>
          <w:sz w:val="20"/>
          <w:szCs w:val="20"/>
          <w14:ligatures w14:val="standardContextual"/>
        </w:rPr>
      </w:pPr>
    </w:p>
    <w:p w14:paraId="5B0A781B" w14:textId="60835BD4" w:rsidR="001640CE" w:rsidRPr="002D1E9E" w:rsidRDefault="001640CE" w:rsidP="002D1E9E">
      <w:pPr>
        <w:ind w:left="709" w:right="709"/>
        <w:jc w:val="both"/>
        <w:rPr>
          <w:rFonts w:ascii="Verdana" w:eastAsia="Calibri" w:hAnsi="Verdana" w:cs="Arial"/>
          <w:b/>
          <w:kern w:val="2"/>
          <w:sz w:val="20"/>
          <w:szCs w:val="20"/>
          <w14:ligatures w14:val="standardContextual"/>
        </w:rPr>
      </w:pPr>
      <w:r w:rsidRPr="002D1E9E">
        <w:rPr>
          <w:rFonts w:ascii="Verdana" w:eastAsia="Calibri" w:hAnsi="Verdana" w:cs="Arial"/>
          <w:kern w:val="2"/>
          <w:sz w:val="20"/>
          <w:szCs w:val="20"/>
          <w14:ligatures w14:val="standardContextual"/>
        </w:rPr>
        <w:t xml:space="preserve">En cuanto al ámbito funcional de las Cajas, es importante señalar que el artículo 41 de la ley 21, les asignó atribuciones relativas al </w:t>
      </w:r>
      <w:r w:rsidRPr="002D1E9E">
        <w:rPr>
          <w:rFonts w:ascii="Verdana" w:eastAsia="Calibri" w:hAnsi="Verdana" w:cs="Arial"/>
          <w:b/>
          <w:kern w:val="2"/>
          <w:sz w:val="20"/>
          <w:szCs w:val="20"/>
          <w14:ligatures w14:val="standardContextual"/>
        </w:rPr>
        <w:t xml:space="preserve">recaudo, distribución y pago </w:t>
      </w:r>
      <w:r w:rsidRPr="002D1E9E">
        <w:rPr>
          <w:rFonts w:ascii="Verdana" w:eastAsia="Calibri" w:hAnsi="Verdana" w:cs="Arial"/>
          <w:kern w:val="2"/>
          <w:sz w:val="20"/>
          <w:szCs w:val="20"/>
          <w14:ligatures w14:val="standardContextual"/>
        </w:rPr>
        <w:t xml:space="preserve">de los aportes destinados al </w:t>
      </w:r>
      <w:r w:rsidRPr="002D1E9E">
        <w:rPr>
          <w:rFonts w:ascii="Verdana" w:eastAsia="Calibri" w:hAnsi="Verdana" w:cs="Arial"/>
          <w:b/>
          <w:kern w:val="2"/>
          <w:sz w:val="20"/>
          <w:szCs w:val="20"/>
          <w14:ligatures w14:val="standardContextual"/>
        </w:rPr>
        <w:t xml:space="preserve">subsidio familiar, </w:t>
      </w:r>
      <w:r w:rsidRPr="002D1E9E">
        <w:rPr>
          <w:rFonts w:ascii="Verdana" w:eastAsia="Calibri" w:hAnsi="Verdana" w:cs="Arial"/>
          <w:kern w:val="2"/>
          <w:sz w:val="20"/>
          <w:szCs w:val="20"/>
          <w14:ligatures w14:val="standardContextual"/>
        </w:rPr>
        <w:t xml:space="preserve">Servicio Nacional de Aprendizaje (SENA), Escuela Superior de Administración Pública (ESAP), escuelas industriales </w:t>
      </w:r>
      <w:proofErr w:type="spellStart"/>
      <w:r w:rsidRPr="002D1E9E">
        <w:rPr>
          <w:rFonts w:ascii="Verdana" w:eastAsia="Calibri" w:hAnsi="Verdana" w:cs="Arial"/>
          <w:kern w:val="2"/>
          <w:sz w:val="20"/>
          <w:szCs w:val="20"/>
          <w14:ligatures w14:val="standardContextual"/>
        </w:rPr>
        <w:t>etc</w:t>
      </w:r>
      <w:proofErr w:type="spellEnd"/>
      <w:r w:rsidRPr="002D1E9E">
        <w:rPr>
          <w:rFonts w:ascii="Verdana" w:eastAsia="Calibri" w:hAnsi="Verdana" w:cs="Arial"/>
          <w:kern w:val="2"/>
          <w:sz w:val="20"/>
          <w:szCs w:val="20"/>
          <w14:ligatures w14:val="standardContextual"/>
        </w:rPr>
        <w:t xml:space="preserve">, lo que significa que desde aquel entonces y actualmente en los términos del artículo 3° </w:t>
      </w:r>
      <w:r w:rsidRPr="002D1E9E">
        <w:rPr>
          <w:rFonts w:ascii="Verdana" w:eastAsia="Calibri" w:hAnsi="Verdana" w:cs="Arial"/>
          <w:kern w:val="2"/>
          <w:sz w:val="20"/>
          <w:szCs w:val="20"/>
          <w14:ligatures w14:val="standardContextual"/>
        </w:rPr>
        <w:lastRenderedPageBreak/>
        <w:t xml:space="preserve">de la ley 610 de 2000, estos entes realizan </w:t>
      </w:r>
      <w:r w:rsidRPr="002D1E9E">
        <w:rPr>
          <w:rFonts w:ascii="Verdana" w:eastAsia="Calibri" w:hAnsi="Verdana" w:cs="Arial"/>
          <w:b/>
          <w:i/>
          <w:kern w:val="2"/>
          <w:sz w:val="20"/>
          <w:szCs w:val="20"/>
          <w:u w:val="single"/>
          <w14:ligatures w14:val="standardContextual"/>
        </w:rPr>
        <w:t>gestión fiscal</w:t>
      </w:r>
      <w:r w:rsidRPr="002D1E9E">
        <w:rPr>
          <w:rFonts w:ascii="Verdana" w:eastAsia="Calibri" w:hAnsi="Verdana" w:cs="Arial"/>
          <w:i/>
          <w:kern w:val="2"/>
          <w:sz w:val="20"/>
          <w:szCs w:val="20"/>
          <w14:ligatures w14:val="standardContextual"/>
        </w:rPr>
        <w:t xml:space="preserve"> </w:t>
      </w:r>
      <w:r w:rsidRPr="002D1E9E">
        <w:rPr>
          <w:rFonts w:ascii="Verdana" w:eastAsia="Calibri" w:hAnsi="Verdana" w:cs="Arial"/>
          <w:kern w:val="2"/>
          <w:sz w:val="20"/>
          <w:szCs w:val="20"/>
          <w14:ligatures w14:val="standardContextual"/>
        </w:rPr>
        <w:t xml:space="preserve">sobre los recursos del </w:t>
      </w:r>
      <w:r w:rsidRPr="002D1E9E">
        <w:rPr>
          <w:rFonts w:ascii="Verdana" w:eastAsia="Calibri" w:hAnsi="Verdana" w:cs="Arial"/>
          <w:b/>
          <w:kern w:val="2"/>
          <w:sz w:val="20"/>
          <w:szCs w:val="20"/>
          <w14:ligatures w14:val="standardContextual"/>
        </w:rPr>
        <w:t>subsidio familiar</w:t>
      </w:r>
      <w:r w:rsidRPr="002D1E9E">
        <w:rPr>
          <w:rFonts w:ascii="Verdana" w:eastAsia="Calibri" w:hAnsi="Verdana" w:cs="Arial"/>
          <w:kern w:val="2"/>
          <w:sz w:val="20"/>
          <w:szCs w:val="20"/>
          <w14:ligatures w14:val="standardContextual"/>
        </w:rPr>
        <w:t>.” [Negrillas propias, cursiva y subraya fuera de texto]</w:t>
      </w:r>
    </w:p>
    <w:p w14:paraId="3BAE8E48" w14:textId="77777777" w:rsidR="001640CE" w:rsidRPr="002D1E9E" w:rsidRDefault="001640CE" w:rsidP="002D1E9E">
      <w:pPr>
        <w:spacing w:line="276" w:lineRule="auto"/>
        <w:jc w:val="both"/>
        <w:rPr>
          <w:rFonts w:ascii="Verdana" w:eastAsia="Calibri" w:hAnsi="Verdana" w:cs="Arial"/>
          <w:color w:val="000000"/>
          <w:kern w:val="2"/>
          <w:sz w:val="22"/>
          <w:szCs w:val="22"/>
          <w14:ligatures w14:val="standardContextual"/>
        </w:rPr>
      </w:pPr>
    </w:p>
    <w:p w14:paraId="32953E44" w14:textId="444A4CA3" w:rsidR="001640CE" w:rsidRPr="002D1E9E" w:rsidRDefault="001640CE" w:rsidP="00A77F08">
      <w:pPr>
        <w:spacing w:line="276" w:lineRule="auto"/>
        <w:ind w:firstLine="708"/>
        <w:jc w:val="both"/>
        <w:rPr>
          <w:rFonts w:ascii="Verdana" w:eastAsia="Calibri" w:hAnsi="Verdana" w:cs="Arial"/>
          <w:kern w:val="2"/>
          <w:sz w:val="22"/>
          <w:szCs w:val="22"/>
          <w14:ligatures w14:val="standardContextual"/>
        </w:rPr>
      </w:pPr>
      <w:r w:rsidRPr="002D1E9E">
        <w:rPr>
          <w:rFonts w:ascii="Verdana" w:eastAsia="Calibri" w:hAnsi="Verdana" w:cs="Arial"/>
          <w:color w:val="000000"/>
          <w:kern w:val="2"/>
          <w:sz w:val="22"/>
          <w:szCs w:val="22"/>
          <w14:ligatures w14:val="standardContextual"/>
        </w:rPr>
        <w:t>Ahora bien, el Consejo de Estado sobre la naturaleza de los aportes que reciben dichas Cajas</w:t>
      </w:r>
      <w:r w:rsidR="00A77F08" w:rsidRPr="00A77F08">
        <w:rPr>
          <w:rFonts w:ascii="Verdana" w:eastAsia="Calibri" w:hAnsi="Verdana" w:cs="Arial"/>
          <w:color w:val="000000"/>
          <w:kern w:val="2"/>
          <w:sz w:val="22"/>
          <w:szCs w:val="22"/>
          <w14:ligatures w14:val="standardContextual"/>
        </w:rPr>
        <w:t>,</w:t>
      </w:r>
      <w:r w:rsidRPr="002D1E9E">
        <w:rPr>
          <w:rFonts w:ascii="Verdana" w:eastAsia="Calibri" w:hAnsi="Verdana" w:cs="Arial"/>
          <w:color w:val="000000"/>
          <w:kern w:val="2"/>
          <w:sz w:val="22"/>
          <w:szCs w:val="22"/>
          <w14:ligatures w14:val="standardContextual"/>
        </w:rPr>
        <w:t xml:space="preserve"> en su calidad de administradoras del subsidio familiar, enfatizó que la legislación y la jurisprudencia le han otorgado la </w:t>
      </w:r>
      <w:r w:rsidRPr="002D1E9E">
        <w:rPr>
          <w:rFonts w:ascii="Verdana" w:eastAsia="Calibri" w:hAnsi="Verdana" w:cs="Arial"/>
          <w:kern w:val="2"/>
          <w:sz w:val="22"/>
          <w:szCs w:val="22"/>
          <w14:ligatures w14:val="standardContextual"/>
        </w:rPr>
        <w:t>calidad de recursos parafiscales</w:t>
      </w:r>
      <w:r w:rsidRPr="002D1E9E">
        <w:rPr>
          <w:rFonts w:ascii="Verdana" w:eastAsia="Calibri" w:hAnsi="Verdana" w:cs="Arial"/>
          <w:kern w:val="2"/>
          <w:sz w:val="22"/>
          <w:szCs w:val="22"/>
          <w:vertAlign w:val="superscript"/>
          <w14:ligatures w14:val="standardContextual"/>
        </w:rPr>
        <w:footnoteReference w:id="3"/>
      </w:r>
      <w:r w:rsidRPr="002D1E9E">
        <w:rPr>
          <w:rFonts w:ascii="Verdana" w:eastAsia="Calibri" w:hAnsi="Verdana" w:cs="Arial"/>
          <w:kern w:val="2"/>
          <w:sz w:val="22"/>
          <w:szCs w:val="22"/>
          <w14:ligatures w14:val="standardContextual"/>
        </w:rPr>
        <w:t>. Apreciación, que se confirma con lo dispuesto en el artículo 2.2.7.5.3.2 del Decreto 1072 de 2015 –Decreto Único Reglamentario del Sector Trabajo– que señaló:</w:t>
      </w:r>
    </w:p>
    <w:p w14:paraId="228295F0" w14:textId="77777777" w:rsidR="001640CE" w:rsidRPr="002D1E9E" w:rsidRDefault="001640CE" w:rsidP="00A77F08">
      <w:pPr>
        <w:spacing w:line="276" w:lineRule="auto"/>
        <w:jc w:val="both"/>
        <w:rPr>
          <w:rFonts w:ascii="Verdana" w:eastAsia="Calibri" w:hAnsi="Verdana" w:cs="Arial"/>
          <w:kern w:val="2"/>
          <w:sz w:val="22"/>
          <w:szCs w:val="22"/>
          <w14:ligatures w14:val="standardContextual"/>
        </w:rPr>
      </w:pPr>
    </w:p>
    <w:p w14:paraId="06BEECDC" w14:textId="7AF6AF7C" w:rsidR="001640CE" w:rsidRDefault="001640CE" w:rsidP="00A77F08">
      <w:pPr>
        <w:ind w:left="709" w:right="709"/>
        <w:jc w:val="both"/>
        <w:rPr>
          <w:rFonts w:ascii="Verdana" w:eastAsia="Calibri" w:hAnsi="Verdana" w:cs="Arial"/>
          <w:kern w:val="2"/>
          <w:sz w:val="20"/>
          <w:szCs w:val="20"/>
          <w14:ligatures w14:val="standardContextual"/>
        </w:rPr>
      </w:pPr>
      <w:r w:rsidRPr="002D1E9E">
        <w:rPr>
          <w:rFonts w:ascii="Verdana" w:eastAsia="Calibri" w:hAnsi="Verdana" w:cs="Arial"/>
          <w:kern w:val="2"/>
          <w:sz w:val="20"/>
          <w:szCs w:val="20"/>
          <w14:ligatures w14:val="standardContextual"/>
        </w:rPr>
        <w:t>“Artículo 2.2.7.5.3.2. Afectación de los recursos administrados por las cajas de compensación familiar. Los recursos que administran las Cajas de Compensación Familiar están destinados a la atención de las prestaciones y servicios de la seguridad social y demás finalidades que prevea la ley y no podrán comprometerse para fines diferentes.</w:t>
      </w:r>
    </w:p>
    <w:p w14:paraId="64B71AC3" w14:textId="77777777" w:rsidR="00A77F08" w:rsidRPr="002D1E9E" w:rsidRDefault="00A77F08" w:rsidP="00A77F08">
      <w:pPr>
        <w:ind w:left="709" w:right="709"/>
        <w:jc w:val="both"/>
        <w:rPr>
          <w:rFonts w:ascii="Verdana" w:eastAsia="Calibri" w:hAnsi="Verdana" w:cs="Arial"/>
          <w:kern w:val="2"/>
          <w:sz w:val="20"/>
          <w:szCs w:val="20"/>
          <w14:ligatures w14:val="standardContextual"/>
        </w:rPr>
      </w:pPr>
    </w:p>
    <w:p w14:paraId="65917123" w14:textId="77777777" w:rsidR="001640CE" w:rsidRPr="002D1E9E" w:rsidRDefault="001640CE" w:rsidP="002D1E9E">
      <w:pPr>
        <w:ind w:left="709" w:right="709"/>
        <w:jc w:val="both"/>
        <w:rPr>
          <w:rFonts w:ascii="Verdana" w:eastAsia="Calibri" w:hAnsi="Verdana" w:cs="Arial"/>
          <w:kern w:val="2"/>
          <w:sz w:val="20"/>
          <w:szCs w:val="20"/>
          <w14:ligatures w14:val="standardContextual"/>
        </w:rPr>
      </w:pPr>
      <w:r w:rsidRPr="002D1E9E">
        <w:rPr>
          <w:rFonts w:ascii="Verdana" w:eastAsia="Calibri" w:hAnsi="Verdana" w:cs="Arial"/>
          <w:i/>
          <w:kern w:val="2"/>
          <w:sz w:val="20"/>
          <w:szCs w:val="20"/>
          <w14:ligatures w14:val="standardContextual"/>
        </w:rPr>
        <w:t xml:space="preserve">Los que provengan de los aportes obligatorios pagados por los empleadores y por las cooperativas de trabajo asociado tienen la condición de </w:t>
      </w:r>
      <w:r w:rsidRPr="002D1E9E">
        <w:rPr>
          <w:rFonts w:ascii="Verdana" w:eastAsia="Calibri" w:hAnsi="Verdana" w:cs="Arial"/>
          <w:i/>
          <w:kern w:val="2"/>
          <w:sz w:val="20"/>
          <w:szCs w:val="20"/>
          <w:u w:val="single"/>
          <w14:ligatures w14:val="standardContextual"/>
        </w:rPr>
        <w:t>recursos parafiscales</w:t>
      </w:r>
      <w:r w:rsidRPr="002D1E9E">
        <w:rPr>
          <w:rFonts w:ascii="Verdana" w:eastAsia="Calibri" w:hAnsi="Verdana" w:cs="Arial"/>
          <w:i/>
          <w:kern w:val="2"/>
          <w:sz w:val="20"/>
          <w:szCs w:val="20"/>
          <w14:ligatures w14:val="standardContextual"/>
        </w:rPr>
        <w:t xml:space="preserve"> y como tales, su administración se rige por las disposiciones legales correspondientes.</w:t>
      </w:r>
      <w:r w:rsidRPr="002D1E9E">
        <w:rPr>
          <w:rFonts w:ascii="Verdana" w:eastAsia="Calibri" w:hAnsi="Verdana" w:cs="Arial"/>
          <w:b/>
          <w:i/>
          <w:kern w:val="2"/>
          <w:sz w:val="20"/>
          <w:szCs w:val="20"/>
          <w14:ligatures w14:val="standardContextual"/>
        </w:rPr>
        <w:t xml:space="preserve"> </w:t>
      </w:r>
      <w:r w:rsidRPr="002D1E9E">
        <w:rPr>
          <w:rFonts w:ascii="Verdana" w:eastAsia="Calibri" w:hAnsi="Verdana" w:cs="Arial"/>
          <w:kern w:val="2"/>
          <w:sz w:val="20"/>
          <w:szCs w:val="20"/>
          <w14:ligatures w14:val="standardContextual"/>
        </w:rPr>
        <w:t>[…]” [Énfasis fuera de texto]</w:t>
      </w:r>
    </w:p>
    <w:p w14:paraId="17AE34EB" w14:textId="77777777" w:rsidR="001640CE" w:rsidRPr="002D1E9E" w:rsidRDefault="001640CE" w:rsidP="000A7105">
      <w:pPr>
        <w:spacing w:line="276" w:lineRule="auto"/>
        <w:jc w:val="both"/>
        <w:rPr>
          <w:rFonts w:ascii="Verdana" w:eastAsia="Calibri" w:hAnsi="Verdana" w:cs="Arial"/>
          <w:kern w:val="2"/>
          <w:sz w:val="22"/>
          <w:szCs w:val="22"/>
          <w14:ligatures w14:val="standardContextual"/>
        </w:rPr>
      </w:pPr>
    </w:p>
    <w:p w14:paraId="1130CFC0" w14:textId="77777777" w:rsidR="001640CE" w:rsidRPr="002D1E9E" w:rsidRDefault="001640CE" w:rsidP="002D1E9E">
      <w:pPr>
        <w:spacing w:after="120" w:line="276" w:lineRule="auto"/>
        <w:jc w:val="both"/>
        <w:rPr>
          <w:rFonts w:ascii="Verdana" w:eastAsia="Calibri" w:hAnsi="Verdana" w:cs="Arial"/>
          <w:kern w:val="2"/>
          <w:sz w:val="22"/>
          <w:szCs w:val="22"/>
          <w14:ligatures w14:val="standardContextual"/>
        </w:rPr>
      </w:pPr>
      <w:r w:rsidRPr="002D1E9E">
        <w:rPr>
          <w:rFonts w:ascii="Verdana" w:eastAsia="Calibri" w:hAnsi="Verdana" w:cs="Arial"/>
          <w:kern w:val="2"/>
          <w:sz w:val="22"/>
          <w:szCs w:val="22"/>
          <w14:ligatures w14:val="standardContextual"/>
        </w:rPr>
        <w:tab/>
        <w:t>En ese orden, para el Consejo de Estado, los recursos de carácter parafiscal que administran las Cajas de Compensación Familiar son de naturaleza pública, en tanto constituyen una fuente de financiación que el Estado consagra en beneficio de un sector, aunque desde la perspectiva presupuestal no integran el Presupuesto General de la Nación</w:t>
      </w:r>
      <w:r w:rsidRPr="002D1E9E">
        <w:rPr>
          <w:rFonts w:ascii="Verdana" w:hAnsi="Verdana" w:cs="Arial"/>
          <w:i/>
          <w:sz w:val="22"/>
          <w:szCs w:val="22"/>
          <w:vertAlign w:val="superscript"/>
          <w:lang w:val="es-ES" w:eastAsia="es-ES"/>
        </w:rPr>
        <w:footnoteReference w:id="4"/>
      </w:r>
      <w:r w:rsidRPr="002D1E9E">
        <w:rPr>
          <w:rFonts w:ascii="Verdana" w:hAnsi="Verdana" w:cs="Arial"/>
          <w:i/>
          <w:sz w:val="22"/>
          <w:szCs w:val="22"/>
          <w:lang w:val="es-ES" w:eastAsia="es-ES"/>
        </w:rPr>
        <w:t>.</w:t>
      </w:r>
    </w:p>
    <w:p w14:paraId="189EAAF4" w14:textId="7AA5229E" w:rsidR="001640CE" w:rsidRPr="002D1E9E" w:rsidRDefault="001640CE" w:rsidP="000A7105">
      <w:pPr>
        <w:spacing w:before="120" w:line="276" w:lineRule="auto"/>
        <w:jc w:val="both"/>
        <w:rPr>
          <w:rFonts w:ascii="Verdana" w:eastAsia="Calibri" w:hAnsi="Verdana" w:cs="Arial"/>
          <w:kern w:val="2"/>
          <w:sz w:val="22"/>
          <w:szCs w:val="22"/>
          <w14:ligatures w14:val="standardContextual"/>
        </w:rPr>
      </w:pPr>
      <w:r w:rsidRPr="002D1E9E">
        <w:rPr>
          <w:rFonts w:ascii="Verdana" w:eastAsia="Calibri" w:hAnsi="Verdana" w:cs="Arial"/>
          <w:kern w:val="2"/>
          <w:sz w:val="22"/>
          <w:szCs w:val="22"/>
          <w14:ligatures w14:val="standardContextual"/>
        </w:rPr>
        <w:tab/>
        <w:t xml:space="preserve">Teniendo en cuenta </w:t>
      </w:r>
      <w:r w:rsidR="00A77F08" w:rsidRPr="002D1E9E">
        <w:rPr>
          <w:rFonts w:ascii="Verdana" w:eastAsia="Calibri" w:hAnsi="Verdana" w:cs="Arial"/>
          <w:kern w:val="2"/>
          <w:sz w:val="22"/>
          <w:szCs w:val="22"/>
          <w14:ligatures w14:val="standardContextual"/>
        </w:rPr>
        <w:t xml:space="preserve">tanto </w:t>
      </w:r>
      <w:r w:rsidRPr="002D1E9E">
        <w:rPr>
          <w:rFonts w:ascii="Verdana" w:eastAsia="Calibri" w:hAnsi="Verdana" w:cs="Arial"/>
          <w:kern w:val="2"/>
          <w:sz w:val="22"/>
          <w:szCs w:val="22"/>
          <w14:ligatures w14:val="standardContextual"/>
        </w:rPr>
        <w:t xml:space="preserve">la función principal que desempeñan las Cajas de Compensación Familiar </w:t>
      </w:r>
      <w:r w:rsidR="00A77F08" w:rsidRPr="002D1E9E">
        <w:rPr>
          <w:rFonts w:ascii="Verdana" w:eastAsia="Calibri" w:hAnsi="Verdana" w:cs="Arial"/>
          <w:kern w:val="2"/>
          <w:sz w:val="22"/>
          <w:szCs w:val="22"/>
          <w14:ligatures w14:val="standardContextual"/>
        </w:rPr>
        <w:t>como</w:t>
      </w:r>
      <w:r w:rsidRPr="002D1E9E">
        <w:rPr>
          <w:rFonts w:ascii="Verdana" w:eastAsia="Calibri" w:hAnsi="Verdana" w:cs="Arial"/>
          <w:kern w:val="2"/>
          <w:sz w:val="22"/>
          <w:szCs w:val="22"/>
          <w14:ligatures w14:val="standardContextual"/>
        </w:rPr>
        <w:t xml:space="preserve"> la naturaleza </w:t>
      </w:r>
      <w:r w:rsidR="00A77F08" w:rsidRPr="002D1E9E">
        <w:rPr>
          <w:rFonts w:ascii="Verdana" w:eastAsia="Calibri" w:hAnsi="Verdana" w:cs="Arial"/>
          <w:kern w:val="2"/>
          <w:sz w:val="22"/>
          <w:szCs w:val="22"/>
          <w14:ligatures w14:val="standardContextual"/>
        </w:rPr>
        <w:t xml:space="preserve">pública </w:t>
      </w:r>
      <w:r w:rsidRPr="002D1E9E">
        <w:rPr>
          <w:rFonts w:ascii="Verdana" w:eastAsia="Calibri" w:hAnsi="Verdana" w:cs="Arial"/>
          <w:kern w:val="2"/>
          <w:sz w:val="22"/>
          <w:szCs w:val="22"/>
          <w14:ligatures w14:val="standardContextual"/>
        </w:rPr>
        <w:t xml:space="preserve">de los recursos </w:t>
      </w:r>
      <w:r w:rsidR="00A77F08" w:rsidRPr="002D1E9E">
        <w:rPr>
          <w:rFonts w:ascii="Verdana" w:eastAsia="Calibri" w:hAnsi="Verdana" w:cs="Arial"/>
          <w:kern w:val="2"/>
          <w:sz w:val="22"/>
          <w:szCs w:val="22"/>
          <w14:ligatures w14:val="standardContextual"/>
        </w:rPr>
        <w:t xml:space="preserve">parafiscales </w:t>
      </w:r>
      <w:r w:rsidRPr="002D1E9E">
        <w:rPr>
          <w:rFonts w:ascii="Verdana" w:eastAsia="Calibri" w:hAnsi="Verdana" w:cs="Arial"/>
          <w:kern w:val="2"/>
          <w:sz w:val="22"/>
          <w:szCs w:val="22"/>
          <w14:ligatures w14:val="standardContextual"/>
        </w:rPr>
        <w:t>que administran, a continuación</w:t>
      </w:r>
      <w:r w:rsidR="00777630" w:rsidRPr="002D1E9E">
        <w:rPr>
          <w:rFonts w:ascii="Verdana" w:eastAsia="Calibri" w:hAnsi="Verdana" w:cs="Arial"/>
          <w:kern w:val="2"/>
          <w:sz w:val="22"/>
          <w:szCs w:val="22"/>
          <w14:ligatures w14:val="standardContextual"/>
        </w:rPr>
        <w:t>,</w:t>
      </w:r>
      <w:r w:rsidRPr="002D1E9E">
        <w:rPr>
          <w:rFonts w:ascii="Verdana" w:eastAsia="Calibri" w:hAnsi="Verdana" w:cs="Arial"/>
          <w:kern w:val="2"/>
          <w:sz w:val="22"/>
          <w:szCs w:val="22"/>
          <w14:ligatures w14:val="standardContextual"/>
        </w:rPr>
        <w:t xml:space="preserve"> se analizará si </w:t>
      </w:r>
      <w:r w:rsidR="00A77F08" w:rsidRPr="002D1E9E">
        <w:rPr>
          <w:rFonts w:ascii="Verdana" w:eastAsia="Calibri" w:hAnsi="Verdana" w:cs="Arial"/>
          <w:kern w:val="2"/>
          <w:sz w:val="22"/>
          <w:szCs w:val="22"/>
          <w14:ligatures w14:val="standardContextual"/>
        </w:rPr>
        <w:t>dichas entidades</w:t>
      </w:r>
      <w:r w:rsidRPr="002D1E9E">
        <w:rPr>
          <w:rFonts w:ascii="Verdana" w:eastAsia="Calibri" w:hAnsi="Verdana" w:cs="Arial"/>
          <w:kern w:val="2"/>
          <w:sz w:val="22"/>
          <w:szCs w:val="22"/>
          <w14:ligatures w14:val="standardContextual"/>
        </w:rPr>
        <w:t xml:space="preserve"> están o no en la obligación </w:t>
      </w:r>
      <w:r w:rsidR="008C70DB" w:rsidRPr="002D1E9E">
        <w:rPr>
          <w:rFonts w:ascii="Verdana" w:eastAsia="Calibri" w:hAnsi="Verdana" w:cs="Arial"/>
          <w:kern w:val="2"/>
          <w:sz w:val="22"/>
          <w:szCs w:val="22"/>
          <w14:ligatures w14:val="standardContextual"/>
        </w:rPr>
        <w:t>de public</w:t>
      </w:r>
      <w:r w:rsidR="00A77F08" w:rsidRPr="002D1E9E">
        <w:rPr>
          <w:rFonts w:ascii="Verdana" w:eastAsia="Calibri" w:hAnsi="Verdana" w:cs="Arial"/>
          <w:kern w:val="2"/>
          <w:sz w:val="22"/>
          <w:szCs w:val="22"/>
          <w14:ligatures w14:val="standardContextual"/>
        </w:rPr>
        <w:t>itar</w:t>
      </w:r>
      <w:r w:rsidR="008C70DB" w:rsidRPr="002D1E9E">
        <w:rPr>
          <w:rFonts w:ascii="Verdana" w:eastAsia="Calibri" w:hAnsi="Verdana" w:cs="Arial"/>
          <w:kern w:val="2"/>
          <w:sz w:val="22"/>
          <w:szCs w:val="22"/>
          <w14:ligatures w14:val="standardContextual"/>
        </w:rPr>
        <w:t xml:space="preserve"> su actividad contractual en </w:t>
      </w:r>
      <w:r w:rsidR="00A77F08" w:rsidRPr="002D1E9E">
        <w:rPr>
          <w:rFonts w:ascii="Verdana" w:eastAsia="Calibri" w:hAnsi="Verdana" w:cs="Arial"/>
          <w:kern w:val="2"/>
          <w:sz w:val="22"/>
          <w:szCs w:val="22"/>
          <w14:ligatures w14:val="standardContextual"/>
        </w:rPr>
        <w:t xml:space="preserve">la plataforma </w:t>
      </w:r>
      <w:r w:rsidR="008C70DB" w:rsidRPr="002D1E9E">
        <w:rPr>
          <w:rFonts w:ascii="Verdana" w:eastAsia="Calibri" w:hAnsi="Verdana" w:cs="Arial"/>
          <w:kern w:val="2"/>
          <w:sz w:val="22"/>
          <w:szCs w:val="22"/>
          <w14:ligatures w14:val="standardContextual"/>
        </w:rPr>
        <w:t>SECOP</w:t>
      </w:r>
      <w:r w:rsidRPr="002D1E9E">
        <w:rPr>
          <w:rFonts w:ascii="Verdana" w:eastAsia="Calibri" w:hAnsi="Verdana" w:cs="Arial"/>
          <w:kern w:val="2"/>
          <w:sz w:val="22"/>
          <w:szCs w:val="22"/>
          <w14:ligatures w14:val="standardContextual"/>
        </w:rPr>
        <w:t>.</w:t>
      </w:r>
    </w:p>
    <w:p w14:paraId="165669CA" w14:textId="77777777" w:rsidR="001640CE" w:rsidRPr="002D1E9E" w:rsidRDefault="001640CE" w:rsidP="002D1E9E">
      <w:pPr>
        <w:spacing w:line="276" w:lineRule="auto"/>
        <w:jc w:val="both"/>
        <w:rPr>
          <w:rFonts w:ascii="Verdana" w:hAnsi="Verdana" w:cs="Arial"/>
          <w:sz w:val="22"/>
          <w:szCs w:val="22"/>
          <w14:ligatures w14:val="standardContextual"/>
        </w:rPr>
      </w:pPr>
    </w:p>
    <w:p w14:paraId="692F7E2F" w14:textId="53E3F6D3" w:rsidR="00A834F4" w:rsidRPr="002D1E9E" w:rsidRDefault="00A31EA5" w:rsidP="00AD4EB8">
      <w:pPr>
        <w:spacing w:after="120" w:line="276" w:lineRule="auto"/>
        <w:jc w:val="both"/>
        <w:rPr>
          <w:rFonts w:ascii="Verdana" w:eastAsia="Calibri" w:hAnsi="Verdana" w:cs="Arial"/>
          <w:color w:val="000000"/>
          <w:sz w:val="22"/>
          <w:szCs w:val="22"/>
          <w:lang w:val="es-ES_tradnl"/>
        </w:rPr>
      </w:pPr>
      <w:proofErr w:type="spellStart"/>
      <w:r w:rsidRPr="002D1E9E">
        <w:rPr>
          <w:rFonts w:ascii="Verdana" w:hAnsi="Verdana" w:cs="Arial"/>
          <w:sz w:val="22"/>
          <w:szCs w:val="22"/>
          <w14:ligatures w14:val="standardContextual"/>
        </w:rPr>
        <w:t>ii</w:t>
      </w:r>
      <w:proofErr w:type="spellEnd"/>
      <w:r w:rsidRPr="002D1E9E">
        <w:rPr>
          <w:rFonts w:ascii="Verdana" w:hAnsi="Verdana" w:cs="Arial"/>
          <w:sz w:val="22"/>
          <w:szCs w:val="22"/>
          <w14:ligatures w14:val="standardContextual"/>
        </w:rPr>
        <w:t>.</w:t>
      </w:r>
      <w:r w:rsidR="00731BC3" w:rsidRPr="002D1E9E">
        <w:rPr>
          <w:rFonts w:ascii="Verdana" w:hAnsi="Verdana" w:cs="Arial"/>
          <w:sz w:val="22"/>
          <w:szCs w:val="22"/>
          <w:lang w:val="es-ES_tradnl"/>
          <w14:ligatures w14:val="standardContextual"/>
        </w:rPr>
        <w:t xml:space="preserve"> E</w:t>
      </w:r>
      <w:r w:rsidR="00AD4EB8" w:rsidRPr="002D1E9E">
        <w:rPr>
          <w:rFonts w:ascii="Verdana" w:hAnsi="Verdana" w:cs="Arial"/>
          <w:sz w:val="22"/>
          <w:szCs w:val="22"/>
          <w:lang w:val="es-ES_tradnl"/>
          <w14:ligatures w14:val="standardContextual"/>
        </w:rPr>
        <w:t>l principio de publicidad impone a las autoridades administrativas el deber de dar a conocer sus actos, contratos y decisiones</w:t>
      </w:r>
      <w:r w:rsidR="00A77F08" w:rsidRPr="002D1E9E">
        <w:rPr>
          <w:rFonts w:ascii="Verdana" w:hAnsi="Verdana" w:cs="Arial"/>
          <w:sz w:val="22"/>
          <w:szCs w:val="22"/>
          <w:lang w:val="es-ES_tradnl"/>
          <w14:ligatures w14:val="standardContextual"/>
        </w:rPr>
        <w:t>,</w:t>
      </w:r>
      <w:r w:rsidR="00AD4EB8" w:rsidRPr="002D1E9E">
        <w:rPr>
          <w:rFonts w:ascii="Verdana" w:hAnsi="Verdana" w:cs="Arial"/>
          <w:sz w:val="22"/>
          <w:szCs w:val="22"/>
          <w:lang w:val="es-ES_tradnl"/>
          <w14:ligatures w14:val="standardContextual"/>
        </w:rPr>
        <w:t xml:space="preserve"> para que se divulguen y </w:t>
      </w:r>
      <w:r w:rsidR="00AD4EB8" w:rsidRPr="002D1E9E">
        <w:rPr>
          <w:rFonts w:ascii="Verdana" w:hAnsi="Verdana" w:cs="Arial"/>
          <w:sz w:val="22"/>
          <w:szCs w:val="22"/>
          <w:lang w:val="es-ES_tradnl"/>
          <w14:ligatures w14:val="standardContextual"/>
        </w:rPr>
        <w:lastRenderedPageBreak/>
        <w:t xml:space="preserve">eventualmente se controlen. Así mismo, </w:t>
      </w:r>
      <w:r w:rsidR="00AD4EB8" w:rsidRPr="002D1E9E">
        <w:rPr>
          <w:rFonts w:ascii="Verdana" w:eastAsia="Calibri" w:hAnsi="Verdana" w:cs="Arial"/>
          <w:color w:val="000000"/>
          <w:sz w:val="22"/>
          <w:szCs w:val="22"/>
          <w:lang w:val="es-ES_tradn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00AD4EB8" w:rsidRPr="002D1E9E">
        <w:rPr>
          <w:rFonts w:ascii="Verdana" w:eastAsia="Calibri" w:hAnsi="Verdana"/>
          <w:sz w:val="22"/>
          <w:szCs w:val="22"/>
          <w:vertAlign w:val="superscript"/>
          <w:lang w:val="es-ES_tradnl"/>
        </w:rPr>
        <w:footnoteReference w:id="5"/>
      </w:r>
      <w:r w:rsidR="00AD4EB8" w:rsidRPr="002D1E9E">
        <w:rPr>
          <w:rFonts w:ascii="Verdana" w:eastAsia="Calibri" w:hAnsi="Verdana" w:cs="Arial"/>
          <w:color w:val="000000"/>
          <w:sz w:val="22"/>
          <w:szCs w:val="22"/>
          <w:lang w:val="es-ES_tradnl"/>
        </w:rPr>
        <w:t>.</w:t>
      </w:r>
    </w:p>
    <w:p w14:paraId="48C96959" w14:textId="1E1955BA" w:rsidR="006E2563" w:rsidRPr="002D1E9E" w:rsidRDefault="00A77F08" w:rsidP="002D1E9E">
      <w:pPr>
        <w:spacing w:after="120" w:line="276" w:lineRule="auto"/>
        <w:ind w:firstLine="708"/>
        <w:jc w:val="both"/>
        <w:rPr>
          <w:rFonts w:ascii="Verdana" w:hAnsi="Verdana" w:cs="Arial"/>
          <w:sz w:val="22"/>
          <w:szCs w:val="22"/>
          <w:lang w:val="es-ES" w:eastAsia="es-ES"/>
          <w14:ligatures w14:val="standardContextual"/>
        </w:rPr>
      </w:pPr>
      <w:r w:rsidRPr="002D1E9E">
        <w:rPr>
          <w:rFonts w:ascii="Verdana" w:hAnsi="Verdana" w:cs="Arial"/>
          <w:sz w:val="22"/>
          <w:szCs w:val="22"/>
          <w:lang w:val="es-ES" w:eastAsia="es-ES"/>
          <w14:ligatures w14:val="standardContextual"/>
        </w:rPr>
        <w:t>En armonía con lo anterior</w:t>
      </w:r>
      <w:r w:rsidR="006E2563" w:rsidRPr="002D1E9E">
        <w:rPr>
          <w:rFonts w:ascii="Verdana" w:hAnsi="Verdana" w:cs="Arial"/>
          <w:sz w:val="22"/>
          <w:szCs w:val="22"/>
          <w:lang w:val="es-ES" w:eastAsia="es-ES"/>
          <w14:ligatures w14:val="standardContextual"/>
        </w:rPr>
        <w:t xml:space="preserve">, la Constitución Política de 1991 consagra en varios artículos la publicidad como un principio rector del Estado colombiano. Entre los más destacados, puede mencionarse el 209, que </w:t>
      </w:r>
      <w:r w:rsidRPr="002D1E9E">
        <w:rPr>
          <w:rFonts w:ascii="Verdana" w:hAnsi="Verdana" w:cs="Arial"/>
          <w:sz w:val="22"/>
          <w:szCs w:val="22"/>
          <w:lang w:val="es-ES" w:eastAsia="es-ES"/>
          <w14:ligatures w14:val="standardContextual"/>
        </w:rPr>
        <w:t>establece</w:t>
      </w:r>
      <w:r w:rsidR="006E2563" w:rsidRPr="002D1E9E">
        <w:rPr>
          <w:rFonts w:ascii="Verdana" w:hAnsi="Verdana" w:cs="Arial"/>
          <w:sz w:val="22"/>
          <w:szCs w:val="22"/>
          <w:lang w:val="es-ES" w:eastAsia="es-ES"/>
          <w14:ligatures w14:val="standardContextual"/>
        </w:rPr>
        <w:t xml:space="preserve"> la publicidad </w:t>
      </w:r>
      <w:r w:rsidR="00B11C4E" w:rsidRPr="002D1E9E">
        <w:rPr>
          <w:rFonts w:ascii="Verdana" w:hAnsi="Verdana" w:cs="Arial"/>
          <w:sz w:val="22"/>
          <w:szCs w:val="22"/>
          <w:lang w:val="es-ES" w:eastAsia="es-ES"/>
          <w14:ligatures w14:val="standardContextual"/>
        </w:rPr>
        <w:t>como</w:t>
      </w:r>
      <w:r w:rsidR="006E2563" w:rsidRPr="002D1E9E">
        <w:rPr>
          <w:rFonts w:ascii="Verdana" w:hAnsi="Verdana" w:cs="Arial"/>
          <w:sz w:val="22"/>
          <w:szCs w:val="22"/>
          <w:lang w:val="es-ES" w:eastAsia="es-ES"/>
          <w14:ligatures w14:val="standardContextual"/>
        </w:rPr>
        <w:t xml:space="preserve"> uno de los principios que fundamentan el ejercicio de la función administrativa, y el 74, que consagra la garantía de acceso a los documentos públicos que no </w:t>
      </w:r>
      <w:r w:rsidR="00B11C4E" w:rsidRPr="002D1E9E">
        <w:rPr>
          <w:rFonts w:ascii="Verdana" w:hAnsi="Verdana" w:cs="Arial"/>
          <w:sz w:val="22"/>
          <w:szCs w:val="22"/>
          <w:lang w:val="es-ES" w:eastAsia="es-ES"/>
          <w14:ligatures w14:val="standardContextual"/>
        </w:rPr>
        <w:t>estén sometidos a</w:t>
      </w:r>
      <w:r w:rsidR="006E2563" w:rsidRPr="002D1E9E">
        <w:rPr>
          <w:rFonts w:ascii="Verdana" w:hAnsi="Verdana" w:cs="Arial"/>
          <w:sz w:val="22"/>
          <w:szCs w:val="22"/>
          <w:lang w:val="es-ES" w:eastAsia="es-ES"/>
          <w14:ligatures w14:val="standardContextual"/>
        </w:rPr>
        <w:t xml:space="preserve"> reserva</w:t>
      </w:r>
      <w:r w:rsidR="00B11C4E" w:rsidRPr="002D1E9E">
        <w:rPr>
          <w:rFonts w:ascii="Verdana" w:hAnsi="Verdana" w:cs="Arial"/>
          <w:sz w:val="22"/>
          <w:szCs w:val="22"/>
          <w:lang w:val="es-ES" w:eastAsia="es-ES"/>
          <w14:ligatures w14:val="standardContextual"/>
        </w:rPr>
        <w:t>, la cual</w:t>
      </w:r>
      <w:r w:rsidR="006E2563" w:rsidRPr="002D1E9E">
        <w:rPr>
          <w:rFonts w:ascii="Verdana" w:hAnsi="Verdana" w:cs="Arial"/>
          <w:sz w:val="22"/>
          <w:szCs w:val="22"/>
          <w:lang w:val="es-ES" w:eastAsia="es-ES"/>
          <w14:ligatures w14:val="standardContextual"/>
        </w:rPr>
        <w:t xml:space="preserve"> es excepcional</w:t>
      </w:r>
      <w:r w:rsidR="00B11C4E" w:rsidRPr="002D1E9E">
        <w:rPr>
          <w:rFonts w:ascii="Verdana" w:hAnsi="Verdana" w:cs="Arial"/>
          <w:sz w:val="22"/>
          <w:szCs w:val="22"/>
          <w:lang w:val="es-ES" w:eastAsia="es-ES"/>
          <w14:ligatures w14:val="standardContextual"/>
        </w:rPr>
        <w:t xml:space="preserve"> y</w:t>
      </w:r>
      <w:r w:rsidR="006E2563" w:rsidRPr="002D1E9E">
        <w:rPr>
          <w:rFonts w:ascii="Verdana" w:hAnsi="Verdana" w:cs="Arial"/>
          <w:sz w:val="22"/>
          <w:szCs w:val="22"/>
          <w:lang w:val="es-ES" w:eastAsia="es-ES"/>
          <w14:ligatures w14:val="standardContextual"/>
        </w:rPr>
        <w:t xml:space="preserve"> solo procede si existe causal constitucional o legal expresa. </w:t>
      </w:r>
    </w:p>
    <w:p w14:paraId="3F56EF4A" w14:textId="5398774C" w:rsidR="00AD4EB8" w:rsidRPr="002D1E9E" w:rsidRDefault="00C2572D" w:rsidP="002D1E9E">
      <w:pPr>
        <w:spacing w:after="120" w:line="276" w:lineRule="auto"/>
        <w:ind w:firstLine="708"/>
        <w:jc w:val="both"/>
        <w:rPr>
          <w:rFonts w:ascii="Verdana" w:hAnsi="Verdana" w:cs="Arial"/>
          <w:sz w:val="22"/>
          <w:szCs w:val="22"/>
          <w:lang w:val="es-ES_tradnl"/>
          <w14:ligatures w14:val="standardContextual"/>
        </w:rPr>
      </w:pPr>
      <w:r w:rsidRPr="002D1E9E">
        <w:rPr>
          <w:rFonts w:ascii="Verdana" w:hAnsi="Verdana" w:cs="Arial"/>
          <w:sz w:val="22"/>
          <w:szCs w:val="22"/>
          <w:lang w:val="es-ES_tradnl"/>
          <w14:ligatures w14:val="standardContextual"/>
        </w:rPr>
        <w:t>E</w:t>
      </w:r>
      <w:r w:rsidR="00AD4EB8" w:rsidRPr="002D1E9E">
        <w:rPr>
          <w:rFonts w:ascii="Verdana" w:hAnsi="Verdana" w:cs="Arial"/>
          <w:sz w:val="22"/>
          <w:szCs w:val="22"/>
          <w:lang w:val="es-ES_tradnl"/>
          <w14:ligatures w14:val="standardContextual"/>
        </w:rPr>
        <w:t xml:space="preserve">n </w:t>
      </w:r>
      <w:r w:rsidR="000271E9" w:rsidRPr="002D1E9E">
        <w:rPr>
          <w:rFonts w:ascii="Verdana" w:hAnsi="Verdana" w:cs="Arial"/>
          <w:sz w:val="22"/>
          <w:szCs w:val="22"/>
          <w:lang w:val="es-ES_tradnl"/>
          <w14:ligatures w14:val="standardContextual"/>
        </w:rPr>
        <w:t>m</w:t>
      </w:r>
      <w:r w:rsidR="00AD4EB8" w:rsidRPr="002D1E9E">
        <w:rPr>
          <w:rFonts w:ascii="Verdana" w:hAnsi="Verdana" w:cs="Arial"/>
          <w:sz w:val="22"/>
          <w:szCs w:val="22"/>
          <w:lang w:val="es-ES_tradnl"/>
          <w14:ligatures w14:val="standardContextual"/>
        </w:rPr>
        <w:t>a</w:t>
      </w:r>
      <w:r w:rsidR="000271E9" w:rsidRPr="002D1E9E">
        <w:rPr>
          <w:rFonts w:ascii="Verdana" w:hAnsi="Verdana" w:cs="Arial"/>
          <w:sz w:val="22"/>
          <w:szCs w:val="22"/>
          <w:lang w:val="es-ES_tradnl"/>
          <w14:ligatures w14:val="standardContextual"/>
        </w:rPr>
        <w:t>teria de</w:t>
      </w:r>
      <w:r w:rsidR="00AD4EB8" w:rsidRPr="002D1E9E">
        <w:rPr>
          <w:rFonts w:ascii="Verdana" w:hAnsi="Verdana" w:cs="Arial"/>
          <w:sz w:val="22"/>
          <w:szCs w:val="22"/>
          <w:lang w:val="es-ES_tradnl"/>
          <w14:ligatures w14:val="standardContextual"/>
        </w:rPr>
        <w:t xml:space="preserve"> contratación estatal, el literal c) del artículo 3 de la Ley 1150 de 2007 establece el Sistema Electrónico para la Contratación Pública</w:t>
      </w:r>
      <w:r w:rsidR="00F0653F" w:rsidRPr="002D1E9E">
        <w:rPr>
          <w:rFonts w:ascii="Verdana" w:hAnsi="Verdana" w:cs="Arial"/>
          <w:sz w:val="22"/>
          <w:szCs w:val="22"/>
          <w:lang w:val="es-ES_tradnl"/>
          <w14:ligatures w14:val="standardContextual"/>
        </w:rPr>
        <w:t xml:space="preserve"> –</w:t>
      </w:r>
      <w:r w:rsidR="00AD4EB8" w:rsidRPr="002D1E9E">
        <w:rPr>
          <w:rFonts w:ascii="Verdana" w:hAnsi="Verdana" w:cs="Arial"/>
          <w:sz w:val="22"/>
          <w:szCs w:val="22"/>
          <w:lang w:val="es-ES_tradnl"/>
          <w14:ligatures w14:val="standardContextual"/>
        </w:rPr>
        <w:t xml:space="preserve"> SECOP</w:t>
      </w:r>
      <w:r w:rsidR="00F0653F" w:rsidRPr="002D1E9E">
        <w:rPr>
          <w:rFonts w:ascii="Verdana" w:hAnsi="Verdana" w:cs="Arial"/>
          <w:sz w:val="22"/>
          <w:szCs w:val="22"/>
          <w:lang w:val="es-ES_tradnl"/>
          <w14:ligatures w14:val="standardContextual"/>
        </w:rPr>
        <w:t xml:space="preserve"> –</w:t>
      </w:r>
      <w:r w:rsidR="00AD4EB8" w:rsidRPr="002D1E9E">
        <w:rPr>
          <w:rFonts w:ascii="Verdana" w:hAnsi="Verdana" w:cs="Arial"/>
          <w:sz w:val="22"/>
          <w:szCs w:val="22"/>
          <w:lang w:val="es-ES_tradnl"/>
          <w14:ligatures w14:val="standardContextual"/>
        </w:rPr>
        <w:t xml:space="preserve"> como un mecanismo que “contará con la información oficial de la contratación realizada con dineros públicos, para lo cual establecerá los patrones a que haya lugar y se encargará de su difusión a través de canales electrónicos”</w:t>
      </w:r>
      <w:r w:rsidR="00AD4EB8" w:rsidRPr="002D1E9E">
        <w:rPr>
          <w:rFonts w:ascii="Verdana" w:hAnsi="Verdana" w:cs="Arial"/>
          <w:sz w:val="22"/>
          <w:szCs w:val="22"/>
          <w:vertAlign w:val="superscript"/>
          <w:lang w:val="es-ES_tradnl"/>
          <w14:ligatures w14:val="standardContextual"/>
        </w:rPr>
        <w:footnoteReference w:id="6"/>
      </w:r>
      <w:r w:rsidR="00AD4EB8" w:rsidRPr="002D1E9E">
        <w:rPr>
          <w:rFonts w:ascii="Verdana" w:hAnsi="Verdana" w:cs="Arial"/>
          <w:sz w:val="22"/>
          <w:szCs w:val="22"/>
          <w:lang w:val="es-ES_tradnl"/>
          <w14:ligatures w14:val="standardContextual"/>
        </w:rPr>
        <w:t>.</w:t>
      </w:r>
    </w:p>
    <w:p w14:paraId="0526C2E7" w14:textId="6E759CFC" w:rsidR="00AD4EB8" w:rsidRPr="002D1E9E" w:rsidRDefault="00DB47D2" w:rsidP="00AD4EB8">
      <w:pPr>
        <w:spacing w:after="120" w:line="276" w:lineRule="auto"/>
        <w:ind w:firstLine="709"/>
        <w:jc w:val="both"/>
        <w:rPr>
          <w:rFonts w:ascii="Verdana" w:eastAsia="Calibri" w:hAnsi="Verdana" w:cs="Arial"/>
          <w:color w:val="000000"/>
          <w:sz w:val="22"/>
          <w:szCs w:val="22"/>
          <w:lang w:val="es-ES_tradnl"/>
        </w:rPr>
      </w:pPr>
      <w:r w:rsidRPr="002D1E9E">
        <w:rPr>
          <w:rFonts w:ascii="Verdana" w:eastAsia="Calibri" w:hAnsi="Verdana" w:cs="Arial"/>
          <w:sz w:val="22"/>
          <w:szCs w:val="22"/>
          <w:shd w:val="clear" w:color="auto" w:fill="FFFFFF"/>
        </w:rPr>
        <w:t>De igual forma</w:t>
      </w:r>
      <w:r w:rsidR="00AD4EB8" w:rsidRPr="002D1E9E">
        <w:rPr>
          <w:rFonts w:ascii="Verdana" w:eastAsia="Calibri" w:hAnsi="Verdana" w:cs="Arial"/>
          <w:sz w:val="22"/>
          <w:szCs w:val="22"/>
          <w:shd w:val="clear" w:color="auto" w:fill="FFFFFF"/>
        </w:rPr>
        <w:t xml:space="preserve">, la Ley 1712 de 2014 –Ley Estatutaria </w:t>
      </w:r>
      <w:r w:rsidR="004A7810" w:rsidRPr="002D1E9E">
        <w:rPr>
          <w:rFonts w:ascii="Verdana" w:eastAsia="Calibri" w:hAnsi="Verdana" w:cs="Arial"/>
          <w:sz w:val="22"/>
          <w:szCs w:val="22"/>
          <w:shd w:val="clear" w:color="auto" w:fill="FFFFFF"/>
        </w:rPr>
        <w:t>de T</w:t>
      </w:r>
      <w:r w:rsidR="00AD4EB8" w:rsidRPr="002D1E9E">
        <w:rPr>
          <w:rFonts w:ascii="Verdana" w:eastAsia="Calibri" w:hAnsi="Verdana" w:cs="Arial"/>
          <w:sz w:val="22"/>
          <w:szCs w:val="22"/>
          <w:shd w:val="clear" w:color="auto" w:fill="FFFFFF"/>
        </w:rPr>
        <w:t xml:space="preserve">ransparencia y </w:t>
      </w:r>
      <w:r w:rsidR="004A7810" w:rsidRPr="002D1E9E">
        <w:rPr>
          <w:rFonts w:ascii="Verdana" w:eastAsia="Calibri" w:hAnsi="Verdana" w:cs="Arial"/>
          <w:sz w:val="22"/>
          <w:szCs w:val="22"/>
          <w:shd w:val="clear" w:color="auto" w:fill="FFFFFF"/>
        </w:rPr>
        <w:t>d</w:t>
      </w:r>
      <w:r w:rsidR="00AD4EB8" w:rsidRPr="002D1E9E">
        <w:rPr>
          <w:rFonts w:ascii="Verdana" w:eastAsia="Calibri" w:hAnsi="Verdana" w:cs="Arial"/>
          <w:sz w:val="22"/>
          <w:szCs w:val="22"/>
          <w:shd w:val="clear" w:color="auto" w:fill="FFFFFF"/>
        </w:rPr>
        <w:t xml:space="preserve">el </w:t>
      </w:r>
      <w:r w:rsidR="004A7810" w:rsidRPr="002D1E9E">
        <w:rPr>
          <w:rFonts w:ascii="Verdana" w:eastAsia="Calibri" w:hAnsi="Verdana" w:cs="Arial"/>
          <w:sz w:val="22"/>
          <w:szCs w:val="22"/>
          <w:shd w:val="clear" w:color="auto" w:fill="FFFFFF"/>
        </w:rPr>
        <w:t xml:space="preserve">Derecho </w:t>
      </w:r>
      <w:r w:rsidR="00AD4EB8" w:rsidRPr="002D1E9E">
        <w:rPr>
          <w:rFonts w:ascii="Verdana" w:eastAsia="Calibri" w:hAnsi="Verdana" w:cs="Arial"/>
          <w:sz w:val="22"/>
          <w:szCs w:val="22"/>
          <w:shd w:val="clear" w:color="auto" w:fill="FFFFFF"/>
        </w:rPr>
        <w:t xml:space="preserve">de </w:t>
      </w:r>
      <w:r w:rsidR="004A7810" w:rsidRPr="002D1E9E">
        <w:rPr>
          <w:rFonts w:ascii="Verdana" w:eastAsia="Calibri" w:hAnsi="Verdana" w:cs="Arial"/>
          <w:sz w:val="22"/>
          <w:szCs w:val="22"/>
          <w:shd w:val="clear" w:color="auto" w:fill="FFFFFF"/>
        </w:rPr>
        <w:t>A</w:t>
      </w:r>
      <w:r w:rsidR="00AD4EB8" w:rsidRPr="002D1E9E">
        <w:rPr>
          <w:rFonts w:ascii="Verdana" w:eastAsia="Calibri" w:hAnsi="Verdana" w:cs="Arial"/>
          <w:sz w:val="22"/>
          <w:szCs w:val="22"/>
          <w:shd w:val="clear" w:color="auto" w:fill="FFFFFF"/>
        </w:rPr>
        <w:t xml:space="preserve">cceso a la </w:t>
      </w:r>
      <w:r w:rsidR="004A7810" w:rsidRPr="002D1E9E">
        <w:rPr>
          <w:rFonts w:ascii="Verdana" w:eastAsia="Calibri" w:hAnsi="Verdana" w:cs="Arial"/>
          <w:sz w:val="22"/>
          <w:szCs w:val="22"/>
          <w:shd w:val="clear" w:color="auto" w:fill="FFFFFF"/>
        </w:rPr>
        <w:t>I</w:t>
      </w:r>
      <w:r w:rsidR="00AD4EB8" w:rsidRPr="002D1E9E">
        <w:rPr>
          <w:rFonts w:ascii="Verdana" w:eastAsia="Calibri" w:hAnsi="Verdana" w:cs="Arial"/>
          <w:sz w:val="22"/>
          <w:szCs w:val="22"/>
          <w:shd w:val="clear" w:color="auto" w:fill="FFFFFF"/>
        </w:rPr>
        <w:t xml:space="preserve">nformación </w:t>
      </w:r>
      <w:r w:rsidR="00F74498">
        <w:rPr>
          <w:rFonts w:ascii="Verdana" w:eastAsia="Calibri" w:hAnsi="Verdana" w:cs="Arial"/>
          <w:sz w:val="22"/>
          <w:szCs w:val="22"/>
          <w:shd w:val="clear" w:color="auto" w:fill="FFFFFF"/>
        </w:rPr>
        <w:t>P</w:t>
      </w:r>
      <w:r w:rsidR="00AD4EB8" w:rsidRPr="002D1E9E">
        <w:rPr>
          <w:rFonts w:ascii="Verdana" w:eastAsia="Calibri" w:hAnsi="Verdana" w:cs="Arial"/>
          <w:sz w:val="22"/>
          <w:szCs w:val="22"/>
          <w:shd w:val="clear" w:color="auto" w:fill="FFFFFF"/>
        </w:rPr>
        <w:t>úblic</w:t>
      </w:r>
      <w:r w:rsidR="00F74498">
        <w:rPr>
          <w:rFonts w:ascii="Verdana" w:eastAsia="Calibri" w:hAnsi="Verdana" w:cs="Arial"/>
          <w:sz w:val="22"/>
          <w:szCs w:val="22"/>
          <w:shd w:val="clear" w:color="auto" w:fill="FFFFFF"/>
        </w:rPr>
        <w:t>a</w:t>
      </w:r>
      <w:r w:rsidR="00AD4EB8" w:rsidRPr="002D1E9E">
        <w:rPr>
          <w:rFonts w:ascii="Verdana" w:eastAsia="Calibri" w:hAnsi="Verdana" w:cs="Arial"/>
          <w:sz w:val="22"/>
          <w:szCs w:val="22"/>
          <w:shd w:val="clear" w:color="auto" w:fill="FFFFFF"/>
        </w:rPr>
        <w:t>– identifica como principios que orientan el derecho de acceso a la información pública, el</w:t>
      </w:r>
      <w:r w:rsidR="00AD4EB8" w:rsidRPr="002D1E9E">
        <w:rPr>
          <w:rFonts w:ascii="Verdana" w:eastAsia="Calibri" w:hAnsi="Verdana" w:cs="Arial"/>
          <w:color w:val="000000"/>
          <w:sz w:val="22"/>
          <w:szCs w:val="22"/>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00AD4EB8" w:rsidRPr="002D1E9E">
        <w:rPr>
          <w:rFonts w:ascii="Verdana" w:eastAsia="Aptos" w:hAnsi="Verdana"/>
          <w:color w:val="000000"/>
          <w:sz w:val="22"/>
          <w:szCs w:val="22"/>
          <w:vertAlign w:val="superscript"/>
          <w:lang w:val="es-ES_tradnl"/>
        </w:rPr>
        <w:footnoteReference w:id="7"/>
      </w:r>
      <w:r w:rsidR="00AD4EB8" w:rsidRPr="002D1E9E">
        <w:rPr>
          <w:rFonts w:ascii="Verdana" w:eastAsia="Calibri" w:hAnsi="Verdana" w:cs="Arial"/>
          <w:color w:val="000000"/>
          <w:sz w:val="22"/>
          <w:szCs w:val="22"/>
          <w:lang w:val="es-ES_tradnl"/>
        </w:rPr>
        <w:t xml:space="preserve">. </w:t>
      </w:r>
      <w:r w:rsidRPr="002D1E9E">
        <w:rPr>
          <w:rFonts w:ascii="Verdana" w:eastAsia="Calibri" w:hAnsi="Verdana" w:cs="Arial"/>
          <w:color w:val="000000"/>
          <w:sz w:val="22"/>
          <w:szCs w:val="22"/>
          <w:lang w:val="es-ES_tradnl"/>
        </w:rPr>
        <w:t>Por su parte, e</w:t>
      </w:r>
      <w:r w:rsidR="00AD4EB8" w:rsidRPr="002D1E9E">
        <w:rPr>
          <w:rFonts w:ascii="Verdana" w:eastAsia="Calibri" w:hAnsi="Verdana" w:cs="Arial"/>
          <w:color w:val="000000"/>
          <w:sz w:val="22"/>
          <w:szCs w:val="22"/>
          <w:lang w:val="es-ES_tradnl"/>
        </w:rPr>
        <w:t xml:space="preserve">l principio de transparencia en la información alude al deber de los sujetos de proporcionar y facilitar el acceso a la misma en los términos más amplios posibles, y a través de los medios y procedimientos legales. </w:t>
      </w:r>
    </w:p>
    <w:p w14:paraId="6D8FB199" w14:textId="370FBB25" w:rsidR="004D21EE" w:rsidRPr="002D1E9E" w:rsidRDefault="004D21EE" w:rsidP="00CF39FE">
      <w:pPr>
        <w:spacing w:line="276" w:lineRule="auto"/>
        <w:ind w:firstLine="709"/>
        <w:jc w:val="both"/>
        <w:rPr>
          <w:rFonts w:ascii="Verdana" w:hAnsi="Verdana" w:cs="Arial"/>
          <w:sz w:val="22"/>
          <w:szCs w:val="22"/>
          <w:lang w:val="es-ES_tradnl"/>
          <w14:ligatures w14:val="standardContextual"/>
        </w:rPr>
      </w:pPr>
      <w:r w:rsidRPr="002D1E9E">
        <w:rPr>
          <w:rFonts w:ascii="Verdana" w:hAnsi="Verdana" w:cs="Arial"/>
          <w:sz w:val="22"/>
          <w:szCs w:val="22"/>
          <w:lang w:val="es-ES_tradnl"/>
          <w14:ligatures w14:val="standardContextual"/>
        </w:rPr>
        <w:lastRenderedPageBreak/>
        <w:t xml:space="preserve">En este sentido, el artículo la Ley 1712 de 2014 </w:t>
      </w:r>
      <w:r w:rsidR="00CF39FE" w:rsidRPr="002D1E9E">
        <w:rPr>
          <w:rFonts w:ascii="Verdana" w:hAnsi="Verdana" w:cs="Arial"/>
          <w:sz w:val="22"/>
          <w:szCs w:val="22"/>
          <w:lang w:val="es-ES_tradnl"/>
          <w14:ligatures w14:val="standardContextual"/>
        </w:rPr>
        <w:t>determina</w:t>
      </w:r>
      <w:r w:rsidRPr="002D1E9E">
        <w:rPr>
          <w:rFonts w:ascii="Verdana" w:hAnsi="Verdana" w:cs="Arial"/>
          <w:sz w:val="22"/>
          <w:szCs w:val="22"/>
          <w:lang w:val="es-ES_tradnl"/>
          <w14:ligatures w14:val="standardContextual"/>
        </w:rPr>
        <w:t xml:space="preserve"> el ámbito de apli</w:t>
      </w:r>
      <w:r w:rsidR="00CF39FE" w:rsidRPr="002D1E9E">
        <w:rPr>
          <w:rFonts w:ascii="Verdana" w:hAnsi="Verdana" w:cs="Arial"/>
          <w:sz w:val="22"/>
          <w:szCs w:val="22"/>
          <w:lang w:val="es-ES_tradnl"/>
          <w14:ligatures w14:val="standardContextual"/>
        </w:rPr>
        <w:t>c</w:t>
      </w:r>
      <w:r w:rsidRPr="002D1E9E">
        <w:rPr>
          <w:rFonts w:ascii="Verdana" w:hAnsi="Verdana" w:cs="Arial"/>
          <w:sz w:val="22"/>
          <w:szCs w:val="22"/>
          <w:lang w:val="es-ES_tradnl"/>
          <w14:ligatures w14:val="standardContextual"/>
        </w:rPr>
        <w:t>ación, esto es, quienes son los sujetos obligados a publicar su información</w:t>
      </w:r>
      <w:r w:rsidR="00CF39FE" w:rsidRPr="002D1E9E">
        <w:rPr>
          <w:rFonts w:ascii="Verdana" w:hAnsi="Verdana" w:cs="Arial"/>
          <w:sz w:val="22"/>
          <w:szCs w:val="22"/>
          <w:lang w:val="es-ES_tradnl"/>
          <w14:ligatures w14:val="standardContextual"/>
        </w:rPr>
        <w:t>, lo cual resulta fundamental para establecer si una persona, como las Cajas de Compensación Familiar, debe o no divulgar su información. A tenor literal señala</w:t>
      </w:r>
      <w:r w:rsidRPr="002D1E9E">
        <w:rPr>
          <w:rFonts w:ascii="Verdana" w:hAnsi="Verdana" w:cs="Arial"/>
          <w:sz w:val="22"/>
          <w:szCs w:val="22"/>
          <w:lang w:val="es-ES_tradnl"/>
          <w14:ligatures w14:val="standardContextual"/>
        </w:rPr>
        <w:t>:</w:t>
      </w:r>
    </w:p>
    <w:p w14:paraId="3C9D3AB6" w14:textId="77777777" w:rsidR="004D21EE" w:rsidRPr="002D1E9E" w:rsidRDefault="004D21EE" w:rsidP="004D21EE">
      <w:pPr>
        <w:spacing w:line="276" w:lineRule="auto"/>
        <w:ind w:firstLine="709"/>
        <w:jc w:val="both"/>
        <w:rPr>
          <w:rFonts w:ascii="Verdana" w:hAnsi="Verdana" w:cs="Arial"/>
          <w:sz w:val="22"/>
          <w:szCs w:val="22"/>
          <w:lang w:val="es-ES_tradnl"/>
          <w14:ligatures w14:val="standardContextual"/>
        </w:rPr>
      </w:pPr>
    </w:p>
    <w:p w14:paraId="76E222F8" w14:textId="27DAACD6" w:rsidR="004D21EE" w:rsidRPr="002D1E9E" w:rsidRDefault="00CF39FE" w:rsidP="00CF39FE">
      <w:pPr>
        <w:ind w:left="709" w:right="709"/>
        <w:jc w:val="both"/>
        <w:rPr>
          <w:rFonts w:ascii="Verdana" w:hAnsi="Verdana" w:cs="Arial"/>
          <w:sz w:val="20"/>
          <w:szCs w:val="20"/>
          <w14:ligatures w14:val="standardContextual"/>
        </w:rPr>
      </w:pPr>
      <w:bookmarkStart w:id="0" w:name="5"/>
      <w:r w:rsidRPr="002D1E9E">
        <w:rPr>
          <w:rFonts w:ascii="Verdana" w:hAnsi="Verdana" w:cs="Arial"/>
          <w:bCs/>
          <w:sz w:val="20"/>
          <w:szCs w:val="20"/>
          <w14:ligatures w14:val="standardContextual"/>
        </w:rPr>
        <w:t>“</w:t>
      </w:r>
      <w:r w:rsidR="004D21EE" w:rsidRPr="002D1E9E">
        <w:rPr>
          <w:rFonts w:ascii="Verdana" w:hAnsi="Verdana" w:cs="Arial"/>
          <w:sz w:val="20"/>
          <w:szCs w:val="20"/>
          <w14:ligatures w14:val="standardContextual"/>
        </w:rPr>
        <w:t>ARTÍCULO 5o. Ámbito de Aplicación</w:t>
      </w:r>
      <w:r w:rsidR="004D21EE" w:rsidRPr="002D1E9E">
        <w:rPr>
          <w:rFonts w:ascii="Verdana" w:hAnsi="Verdana" w:cs="Arial"/>
          <w:b/>
          <w:sz w:val="20"/>
          <w:szCs w:val="20"/>
          <w14:ligatures w14:val="standardContextual"/>
        </w:rPr>
        <w:t>.</w:t>
      </w:r>
      <w:bookmarkEnd w:id="0"/>
      <w:r w:rsidR="004D21EE" w:rsidRPr="002D1E9E">
        <w:rPr>
          <w:rFonts w:ascii="Verdana" w:hAnsi="Verdana" w:cs="Arial"/>
          <w:sz w:val="20"/>
          <w:szCs w:val="20"/>
          <w14:ligatures w14:val="standardContextual"/>
        </w:rPr>
        <w:t> &lt;Artículo corregido por el artículo </w:t>
      </w:r>
      <w:hyperlink r:id="rId13" w:anchor="1" w:history="1">
        <w:r w:rsidR="004D21EE" w:rsidRPr="002D1E9E">
          <w:rPr>
            <w:rStyle w:val="Hipervnculo"/>
            <w:rFonts w:ascii="Verdana" w:hAnsi="Verdana" w:cs="Arial"/>
            <w:sz w:val="20"/>
            <w:szCs w:val="20"/>
            <w14:ligatures w14:val="standardContextual"/>
          </w:rPr>
          <w:t>1</w:t>
        </w:r>
      </w:hyperlink>
      <w:r w:rsidR="004D21EE" w:rsidRPr="002D1E9E">
        <w:rPr>
          <w:rFonts w:ascii="Verdana" w:hAnsi="Verdana" w:cs="Arial"/>
          <w:sz w:val="20"/>
          <w:szCs w:val="20"/>
          <w14:ligatures w14:val="standardContextual"/>
        </w:rPr>
        <w:t> del Decreto 1494 de 2015. El nuevo texto es el siguiente:&gt; Las disposiciones de esta ley serán aplicables a las siguientes personas en calidad de sujetos obligados:</w:t>
      </w:r>
    </w:p>
    <w:p w14:paraId="0A41136B" w14:textId="77777777" w:rsidR="00CF39FE" w:rsidRPr="002D1E9E" w:rsidRDefault="00CF39FE" w:rsidP="00CF39FE">
      <w:pPr>
        <w:ind w:left="709" w:right="709"/>
        <w:jc w:val="both"/>
        <w:rPr>
          <w:rFonts w:ascii="Verdana" w:hAnsi="Verdana" w:cs="Arial"/>
          <w:sz w:val="20"/>
          <w:szCs w:val="20"/>
          <w14:ligatures w14:val="standardContextual"/>
        </w:rPr>
      </w:pPr>
    </w:p>
    <w:p w14:paraId="5C646F8A" w14:textId="4CBAC31D" w:rsidR="004D21EE" w:rsidRDefault="004D21EE" w:rsidP="00CF39FE">
      <w:pPr>
        <w:ind w:left="709" w:right="709"/>
        <w:jc w:val="both"/>
        <w:rPr>
          <w:rFonts w:ascii="Verdana" w:hAnsi="Verdana" w:cs="Arial"/>
          <w:sz w:val="20"/>
          <w:szCs w:val="20"/>
          <w14:ligatures w14:val="standardContextual"/>
        </w:rPr>
      </w:pPr>
      <w:r w:rsidRPr="002D1E9E">
        <w:rPr>
          <w:rFonts w:ascii="Verdana" w:hAnsi="Verdana" w:cs="Arial"/>
          <w:sz w:val="20"/>
          <w:szCs w:val="20"/>
          <w14:ligatures w14:val="standardContextual"/>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33DBFF43" w14:textId="77777777" w:rsidR="00CF39FE" w:rsidRPr="002D1E9E" w:rsidRDefault="00CF39FE" w:rsidP="00CF39FE">
      <w:pPr>
        <w:ind w:left="709" w:right="709"/>
        <w:jc w:val="both"/>
        <w:rPr>
          <w:rFonts w:ascii="Verdana" w:hAnsi="Verdana" w:cs="Arial"/>
          <w:sz w:val="20"/>
          <w:szCs w:val="20"/>
          <w14:ligatures w14:val="standardContextual"/>
        </w:rPr>
      </w:pPr>
    </w:p>
    <w:p w14:paraId="1417ED42" w14:textId="77777777" w:rsidR="004D21EE" w:rsidRPr="002D1E9E" w:rsidRDefault="004D21EE" w:rsidP="00CF39FE">
      <w:pPr>
        <w:ind w:left="709" w:right="709"/>
        <w:jc w:val="both"/>
        <w:rPr>
          <w:rFonts w:ascii="Verdana" w:hAnsi="Verdana" w:cs="Arial"/>
          <w:sz w:val="20"/>
          <w:szCs w:val="20"/>
          <w14:ligatures w14:val="standardContextual"/>
        </w:rPr>
      </w:pPr>
      <w:r w:rsidRPr="002D1E9E">
        <w:rPr>
          <w:rFonts w:ascii="Verdana" w:hAnsi="Verdana" w:cs="Arial"/>
          <w:sz w:val="20"/>
          <w:szCs w:val="20"/>
          <w14:ligatures w14:val="standardContextual"/>
        </w:rPr>
        <w:t>b) Los órganos, organismos y entidades estatales independientes o autónomos y de control.</w:t>
      </w:r>
    </w:p>
    <w:p w14:paraId="5C19F0DC" w14:textId="77777777" w:rsidR="00CF39FE" w:rsidRDefault="00CF39FE" w:rsidP="00CF39FE">
      <w:pPr>
        <w:ind w:left="709" w:right="709"/>
        <w:jc w:val="both"/>
        <w:rPr>
          <w:rFonts w:ascii="Verdana" w:hAnsi="Verdana" w:cs="Arial"/>
          <w:sz w:val="20"/>
          <w:szCs w:val="20"/>
          <w14:ligatures w14:val="standardContextual"/>
        </w:rPr>
      </w:pPr>
    </w:p>
    <w:p w14:paraId="74F5B492" w14:textId="43D1A0FD" w:rsidR="004D21EE" w:rsidRPr="002D1E9E" w:rsidRDefault="004D21EE" w:rsidP="00CF39FE">
      <w:pPr>
        <w:ind w:left="709" w:right="709"/>
        <w:jc w:val="both"/>
        <w:rPr>
          <w:rFonts w:ascii="Verdana" w:hAnsi="Verdana" w:cs="Arial"/>
          <w:sz w:val="20"/>
          <w:szCs w:val="20"/>
          <w14:ligatures w14:val="standardContextual"/>
        </w:rPr>
      </w:pPr>
      <w:r w:rsidRPr="002D1E9E">
        <w:rPr>
          <w:rFonts w:ascii="Verdana" w:hAnsi="Verdana" w:cs="Arial"/>
          <w:sz w:val="20"/>
          <w:szCs w:val="20"/>
          <w14:ligatures w14:val="standardContextual"/>
        </w:rPr>
        <w:t>c) Las personas naturales y jurídicas, públicas o privadas, que presten función pública, que presten servicios públicos respecto de la información directamente relacionada con la prestación del servicio público.</w:t>
      </w:r>
    </w:p>
    <w:p w14:paraId="51AF817D" w14:textId="77777777" w:rsidR="00CF39FE" w:rsidRDefault="00CF39FE" w:rsidP="00CF39FE">
      <w:pPr>
        <w:ind w:left="709" w:right="709"/>
        <w:jc w:val="both"/>
        <w:rPr>
          <w:rFonts w:ascii="Verdana" w:hAnsi="Verdana" w:cs="Arial"/>
          <w:sz w:val="20"/>
          <w:szCs w:val="20"/>
          <w14:ligatures w14:val="standardContextual"/>
        </w:rPr>
      </w:pPr>
    </w:p>
    <w:p w14:paraId="111D3CB4" w14:textId="6A3A17CA" w:rsidR="004D21EE" w:rsidRPr="002D1E9E" w:rsidRDefault="004D21EE" w:rsidP="00CF39FE">
      <w:pPr>
        <w:ind w:left="709" w:right="709"/>
        <w:jc w:val="both"/>
        <w:rPr>
          <w:rFonts w:ascii="Verdana" w:hAnsi="Verdana" w:cs="Arial"/>
          <w:sz w:val="20"/>
          <w:szCs w:val="20"/>
          <w14:ligatures w14:val="standardContextual"/>
        </w:rPr>
      </w:pPr>
      <w:r w:rsidRPr="002D1E9E">
        <w:rPr>
          <w:rFonts w:ascii="Verdana" w:hAnsi="Verdana" w:cs="Arial"/>
          <w:sz w:val="20"/>
          <w:szCs w:val="20"/>
          <w14:ligatures w14:val="standardContextual"/>
        </w:rPr>
        <w:t xml:space="preserve">d) Cualquier persona natural, jurídica o dependencia de persona jurídica que desempeñe función pública o de </w:t>
      </w:r>
      <w:proofErr w:type="gramStart"/>
      <w:r w:rsidRPr="002D1E9E">
        <w:rPr>
          <w:rFonts w:ascii="Verdana" w:hAnsi="Verdana" w:cs="Arial"/>
          <w:sz w:val="20"/>
          <w:szCs w:val="20"/>
          <w14:ligatures w14:val="standardContextual"/>
        </w:rPr>
        <w:t>autoridad pública</w:t>
      </w:r>
      <w:proofErr w:type="gramEnd"/>
      <w:r w:rsidRPr="002D1E9E">
        <w:rPr>
          <w:rFonts w:ascii="Verdana" w:hAnsi="Verdana" w:cs="Arial"/>
          <w:sz w:val="20"/>
          <w:szCs w:val="20"/>
          <w14:ligatures w14:val="standardContextual"/>
        </w:rPr>
        <w:t>, respecto de la información directamente relacionada con el desempeño de su función.</w:t>
      </w:r>
    </w:p>
    <w:p w14:paraId="1C0CB806" w14:textId="77777777" w:rsidR="00CF39FE" w:rsidRDefault="00CF39FE" w:rsidP="00CF39FE">
      <w:pPr>
        <w:ind w:left="709" w:right="709"/>
        <w:jc w:val="both"/>
        <w:rPr>
          <w:rFonts w:ascii="Verdana" w:hAnsi="Verdana" w:cs="Arial"/>
          <w:sz w:val="20"/>
          <w:szCs w:val="20"/>
          <w14:ligatures w14:val="standardContextual"/>
        </w:rPr>
      </w:pPr>
    </w:p>
    <w:p w14:paraId="29AE7C04" w14:textId="4F93D6DD" w:rsidR="004D21EE" w:rsidRDefault="004D21EE" w:rsidP="00CF39FE">
      <w:pPr>
        <w:ind w:left="709" w:right="709"/>
        <w:jc w:val="both"/>
        <w:rPr>
          <w:rFonts w:ascii="Verdana" w:hAnsi="Verdana" w:cs="Arial"/>
          <w:sz w:val="20"/>
          <w:szCs w:val="20"/>
          <w14:ligatures w14:val="standardContextual"/>
        </w:rPr>
      </w:pPr>
      <w:r w:rsidRPr="002D1E9E">
        <w:rPr>
          <w:rFonts w:ascii="Verdana" w:hAnsi="Verdana" w:cs="Arial"/>
          <w:sz w:val="20"/>
          <w:szCs w:val="20"/>
          <w14:ligatures w14:val="standardContextual"/>
        </w:rPr>
        <w:t>e) Las empresas públicas creadas por ley, las empresas del Estado y sociedades en que este tenga participación.</w:t>
      </w:r>
    </w:p>
    <w:p w14:paraId="75A6B2E6" w14:textId="77777777" w:rsidR="00DE32B4" w:rsidRPr="002D1E9E" w:rsidRDefault="00DE32B4" w:rsidP="00CF39FE">
      <w:pPr>
        <w:ind w:left="709" w:right="709"/>
        <w:jc w:val="both"/>
        <w:rPr>
          <w:rFonts w:ascii="Verdana" w:hAnsi="Verdana" w:cs="Arial"/>
          <w:sz w:val="20"/>
          <w:szCs w:val="20"/>
          <w14:ligatures w14:val="standardContextual"/>
        </w:rPr>
      </w:pPr>
    </w:p>
    <w:p w14:paraId="25D868E4" w14:textId="77777777" w:rsidR="004D21EE" w:rsidRPr="002D1E9E" w:rsidRDefault="004D21EE" w:rsidP="00CF39FE">
      <w:pPr>
        <w:ind w:left="709" w:right="709"/>
        <w:jc w:val="both"/>
        <w:rPr>
          <w:rFonts w:ascii="Verdana" w:hAnsi="Verdana" w:cs="Arial"/>
          <w:sz w:val="20"/>
          <w:szCs w:val="20"/>
          <w14:ligatures w14:val="standardContextual"/>
        </w:rPr>
      </w:pPr>
      <w:r w:rsidRPr="002D1E9E">
        <w:rPr>
          <w:rFonts w:ascii="Verdana" w:hAnsi="Verdana" w:cs="Arial"/>
          <w:sz w:val="20"/>
          <w:szCs w:val="20"/>
          <w14:ligatures w14:val="standardContextual"/>
        </w:rPr>
        <w:t>f) Los partidos o movimientos políticos y los grupos significativos de ciudadanos.</w:t>
      </w:r>
    </w:p>
    <w:p w14:paraId="2955A107" w14:textId="77777777" w:rsidR="00CF39FE" w:rsidRDefault="00CF39FE" w:rsidP="00CF39FE">
      <w:pPr>
        <w:ind w:left="709" w:right="709"/>
        <w:jc w:val="both"/>
        <w:rPr>
          <w:rFonts w:ascii="Verdana" w:hAnsi="Verdana" w:cs="Arial"/>
          <w:i/>
          <w:iCs/>
          <w:sz w:val="20"/>
          <w:szCs w:val="20"/>
          <w14:ligatures w14:val="standardContextual"/>
        </w:rPr>
      </w:pPr>
    </w:p>
    <w:p w14:paraId="7A3CB895" w14:textId="550F51B3" w:rsidR="004D21EE" w:rsidRDefault="004D21EE" w:rsidP="00CF39FE">
      <w:pPr>
        <w:ind w:left="709" w:right="709"/>
        <w:jc w:val="both"/>
        <w:rPr>
          <w:rFonts w:ascii="Verdana" w:hAnsi="Verdana" w:cs="Arial"/>
          <w:i/>
          <w:sz w:val="20"/>
          <w:szCs w:val="20"/>
          <w14:ligatures w14:val="standardContextual"/>
        </w:rPr>
      </w:pPr>
      <w:r w:rsidRPr="002D1E9E">
        <w:rPr>
          <w:rFonts w:ascii="Verdana" w:hAnsi="Verdana" w:cs="Arial"/>
          <w:i/>
          <w:sz w:val="20"/>
          <w:szCs w:val="20"/>
          <w14:ligatures w14:val="standardContextual"/>
        </w:rPr>
        <w:t xml:space="preserve">g) </w:t>
      </w:r>
      <w:r w:rsidRPr="00AD1B1F">
        <w:rPr>
          <w:rFonts w:ascii="Verdana" w:hAnsi="Verdana" w:cs="Arial"/>
          <w:i/>
          <w:sz w:val="20"/>
          <w:szCs w:val="20"/>
          <w:u w:val="single"/>
          <w14:ligatures w14:val="standardContextual"/>
        </w:rPr>
        <w:t>Las entidades que administren instituciones parafiscales, fondos o recursos de naturaleza u origen público.</w:t>
      </w:r>
    </w:p>
    <w:p w14:paraId="47BE16CB" w14:textId="77777777" w:rsidR="00CF39FE" w:rsidRPr="002D1E9E" w:rsidRDefault="00CF39FE" w:rsidP="00CF39FE">
      <w:pPr>
        <w:ind w:left="709" w:right="709"/>
        <w:jc w:val="both"/>
        <w:rPr>
          <w:rFonts w:ascii="Verdana" w:hAnsi="Verdana" w:cs="Arial"/>
          <w:i/>
          <w:iCs/>
          <w:sz w:val="20"/>
          <w:szCs w:val="20"/>
          <w14:ligatures w14:val="standardContextual"/>
        </w:rPr>
      </w:pPr>
    </w:p>
    <w:p w14:paraId="06823075" w14:textId="627D509F" w:rsidR="004D21EE" w:rsidRDefault="004D21EE" w:rsidP="00CF39FE">
      <w:pPr>
        <w:ind w:left="709" w:right="709"/>
        <w:jc w:val="both"/>
        <w:rPr>
          <w:rFonts w:ascii="Verdana" w:hAnsi="Verdana" w:cs="Arial"/>
          <w:sz w:val="20"/>
          <w:szCs w:val="20"/>
          <w14:ligatures w14:val="standardContextual"/>
        </w:rPr>
      </w:pPr>
      <w:r w:rsidRPr="002D1E9E">
        <w:rPr>
          <w:rFonts w:ascii="Verdana" w:hAnsi="Verdana" w:cs="Arial"/>
          <w:sz w:val="20"/>
          <w:szCs w:val="20"/>
          <w14:ligatures w14:val="standardContextua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7C8ACCA8" w14:textId="77777777" w:rsidR="00CF39FE" w:rsidRPr="002D1E9E" w:rsidRDefault="00CF39FE" w:rsidP="00CF39FE">
      <w:pPr>
        <w:ind w:left="709" w:right="709"/>
        <w:jc w:val="both"/>
        <w:rPr>
          <w:rFonts w:ascii="Verdana" w:hAnsi="Verdana" w:cs="Arial"/>
          <w:sz w:val="20"/>
          <w:szCs w:val="20"/>
          <w14:ligatures w14:val="standardContextual"/>
        </w:rPr>
      </w:pPr>
    </w:p>
    <w:p w14:paraId="4B89A396" w14:textId="77777777" w:rsidR="004D21EE" w:rsidRPr="002D1E9E" w:rsidRDefault="004D21EE" w:rsidP="00CF39FE">
      <w:pPr>
        <w:ind w:left="709" w:right="709"/>
        <w:jc w:val="both"/>
        <w:rPr>
          <w:rFonts w:ascii="Verdana" w:hAnsi="Verdana" w:cs="Arial"/>
          <w:sz w:val="20"/>
          <w:szCs w:val="20"/>
          <w14:ligatures w14:val="standardContextual"/>
        </w:rPr>
      </w:pPr>
      <w:r w:rsidRPr="002D1E9E">
        <w:rPr>
          <w:rFonts w:ascii="Verdana" w:hAnsi="Verdana" w:cs="Arial"/>
          <w:sz w:val="20"/>
          <w:szCs w:val="20"/>
          <w14:ligatures w14:val="standardContextual"/>
        </w:rPr>
        <w:t>PARÁGRAFO 1o</w:t>
      </w:r>
      <w:r w:rsidRPr="002D1E9E">
        <w:rPr>
          <w:rFonts w:ascii="Verdana" w:hAnsi="Verdana" w:cs="Arial"/>
          <w:b/>
          <w:sz w:val="20"/>
          <w:szCs w:val="20"/>
          <w14:ligatures w14:val="standardContextual"/>
        </w:rPr>
        <w:t>.</w:t>
      </w:r>
      <w:r w:rsidRPr="002D1E9E">
        <w:rPr>
          <w:rFonts w:ascii="Verdana" w:hAnsi="Verdana" w:cs="Arial"/>
          <w:sz w:val="20"/>
          <w:szCs w:val="20"/>
          <w14:ligatures w14:val="standardContextual"/>
        </w:rPr>
        <w:t> No serán sujetos obligados aquellas personas naturales o jurídicas de carácter privado que sean usuarios de información pública.</w:t>
      </w:r>
    </w:p>
    <w:p w14:paraId="06352CCA" w14:textId="77777777" w:rsidR="004D21EE" w:rsidRPr="002D1E9E" w:rsidRDefault="004D21EE" w:rsidP="002D1E9E">
      <w:pPr>
        <w:spacing w:line="276" w:lineRule="auto"/>
        <w:ind w:firstLine="709"/>
        <w:jc w:val="both"/>
        <w:rPr>
          <w:rFonts w:ascii="Verdana" w:eastAsia="Calibri" w:hAnsi="Verdana" w:cs="Arial"/>
          <w:color w:val="000000"/>
          <w:sz w:val="22"/>
          <w:szCs w:val="22"/>
        </w:rPr>
      </w:pPr>
    </w:p>
    <w:p w14:paraId="3B0FC34D" w14:textId="1C1CCCF3" w:rsidR="00AD4EB8" w:rsidRPr="002D1E9E" w:rsidRDefault="00EB275B" w:rsidP="00AD4EB8">
      <w:pPr>
        <w:spacing w:after="120" w:line="276" w:lineRule="auto"/>
        <w:ind w:firstLine="709"/>
        <w:jc w:val="both"/>
        <w:rPr>
          <w:rFonts w:ascii="Verdana" w:hAnsi="Verdana" w:cs="Arial"/>
          <w:color w:val="000000"/>
          <w:sz w:val="22"/>
          <w:szCs w:val="22"/>
          <w:lang w:val="es-ES_tradnl"/>
        </w:rPr>
      </w:pPr>
      <w:r w:rsidRPr="002D1E9E">
        <w:rPr>
          <w:rFonts w:ascii="Verdana" w:eastAsia="Calibri" w:hAnsi="Verdana" w:cs="Arial"/>
          <w:color w:val="000000"/>
          <w:sz w:val="22"/>
          <w:szCs w:val="22"/>
          <w:lang w:val="es-ES_tradnl"/>
        </w:rPr>
        <w:lastRenderedPageBreak/>
        <w:t>Conforme al artículo precedente, l</w:t>
      </w:r>
      <w:r w:rsidR="00AD4EB8" w:rsidRPr="002D1E9E">
        <w:rPr>
          <w:rFonts w:ascii="Verdana" w:eastAsia="Calibri" w:hAnsi="Verdana" w:cs="Arial"/>
          <w:color w:val="000000"/>
          <w:sz w:val="22"/>
          <w:szCs w:val="22"/>
          <w:lang w:val="es-ES_tradnl"/>
        </w:rPr>
        <w:t>a citada Ley Estatutaria establece, en el literal e) del artículo 9, que los sujetos obligados</w:t>
      </w:r>
      <w:r w:rsidRPr="002D1E9E">
        <w:rPr>
          <w:rFonts w:ascii="Verdana" w:eastAsia="Calibri" w:hAnsi="Verdana" w:cs="Arial"/>
          <w:color w:val="000000"/>
          <w:sz w:val="22"/>
          <w:szCs w:val="22"/>
          <w:lang w:val="es-ES_tradnl"/>
        </w:rPr>
        <w:t xml:space="preserve"> </w:t>
      </w:r>
      <w:r w:rsidR="00AD4EB8" w:rsidRPr="002D1E9E">
        <w:rPr>
          <w:rFonts w:ascii="Verdana" w:eastAsia="Calibri" w:hAnsi="Verdana" w:cs="Arial"/>
          <w:color w:val="000000"/>
          <w:sz w:val="22"/>
          <w:szCs w:val="22"/>
          <w:lang w:val="es-ES_tradnl"/>
        </w:rPr>
        <w:t>deben publicar la información relativa a su contratación</w:t>
      </w:r>
      <w:r w:rsidR="00907BD9" w:rsidRPr="002D1E9E">
        <w:rPr>
          <w:rStyle w:val="Refdenotaalpie"/>
          <w:rFonts w:ascii="Verdana" w:eastAsia="Calibri" w:hAnsi="Verdana" w:cs="Arial"/>
          <w:color w:val="000000"/>
          <w:sz w:val="22"/>
          <w:szCs w:val="22"/>
          <w:lang w:val="es-ES_tradnl"/>
        </w:rPr>
        <w:footnoteReference w:id="8"/>
      </w:r>
      <w:r w:rsidR="00AD4EB8" w:rsidRPr="002D1E9E">
        <w:rPr>
          <w:rFonts w:ascii="Verdana" w:eastAsia="Calibri" w:hAnsi="Verdana" w:cs="Arial"/>
          <w:color w:val="000000"/>
          <w:sz w:val="22"/>
          <w:szCs w:val="22"/>
          <w:lang w:val="es-ES_tradnl"/>
        </w:rPr>
        <w:t xml:space="preserve">. </w:t>
      </w:r>
      <w:r w:rsidR="00AD4EB8" w:rsidRPr="002D1E9E">
        <w:rPr>
          <w:rFonts w:ascii="Verdana" w:hAnsi="Verdana" w:cs="Arial"/>
          <w:color w:val="000000"/>
          <w:sz w:val="22"/>
          <w:szCs w:val="22"/>
          <w:lang w:val="es-ES_tradnl"/>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información </w:t>
      </w:r>
      <w:r w:rsidR="00EF74EF" w:rsidRPr="002D1E9E">
        <w:rPr>
          <w:rFonts w:ascii="Verdana" w:hAnsi="Verdana" w:cs="Arial"/>
          <w:color w:val="000000"/>
          <w:sz w:val="22"/>
          <w:szCs w:val="22"/>
          <w:lang w:val="es-ES_tradnl"/>
        </w:rPr>
        <w:t>que, además,</w:t>
      </w:r>
      <w:r w:rsidR="00AD4EB8" w:rsidRPr="002D1E9E">
        <w:rPr>
          <w:rFonts w:ascii="Verdana" w:hAnsi="Verdana" w:cs="Arial"/>
          <w:color w:val="000000"/>
          <w:sz w:val="22"/>
          <w:szCs w:val="22"/>
          <w:lang w:val="es-ES_tradnl"/>
        </w:rPr>
        <w:t xml:space="preserve"> debe estar en el SECOP. </w:t>
      </w:r>
    </w:p>
    <w:p w14:paraId="66C44154" w14:textId="71D6C4D9" w:rsidR="00AD4EB8" w:rsidRPr="002D1E9E" w:rsidRDefault="00AD4EB8" w:rsidP="002D1E9E">
      <w:pPr>
        <w:spacing w:line="276" w:lineRule="auto"/>
        <w:jc w:val="both"/>
        <w:rPr>
          <w:rFonts w:ascii="Verdana" w:eastAsia="Calibri" w:hAnsi="Verdana" w:cs="Arial"/>
          <w:sz w:val="22"/>
          <w:szCs w:val="22"/>
          <w:shd w:val="clear" w:color="auto" w:fill="FFFFFF"/>
        </w:rPr>
      </w:pPr>
      <w:r w:rsidRPr="002D1E9E">
        <w:rPr>
          <w:rFonts w:ascii="Verdana" w:eastAsia="Calibri" w:hAnsi="Verdana" w:cs="Arial"/>
          <w:sz w:val="22"/>
          <w:szCs w:val="22"/>
          <w:shd w:val="clear" w:color="auto" w:fill="FFFFFF"/>
        </w:rPr>
        <w:tab/>
      </w:r>
      <w:r w:rsidR="000A7105" w:rsidRPr="002D1E9E">
        <w:rPr>
          <w:rFonts w:ascii="Verdana" w:eastAsia="Calibri" w:hAnsi="Verdana" w:cs="Arial"/>
          <w:color w:val="000000"/>
          <w:sz w:val="22"/>
          <w:szCs w:val="22"/>
          <w:lang w:val="es-ES_tradnl"/>
        </w:rPr>
        <w:t>Dicha</w:t>
      </w:r>
      <w:r w:rsidRPr="002D1E9E">
        <w:rPr>
          <w:rFonts w:ascii="Verdana" w:eastAsia="Calibri" w:hAnsi="Verdana" w:cs="Arial"/>
          <w:color w:val="000000"/>
          <w:sz w:val="22"/>
          <w:szCs w:val="22"/>
          <w:lang w:val="es-ES_tradnl"/>
        </w:rPr>
        <w:t xml:space="preserve"> obligación fue desarrollada por el Decreto Único Reglamentario 1082 de 2015</w:t>
      </w:r>
      <w:r w:rsidRPr="002D1E9E">
        <w:rPr>
          <w:rFonts w:ascii="Verdana" w:eastAsia="Aptos" w:hAnsi="Verdana"/>
          <w:color w:val="000000"/>
          <w:sz w:val="22"/>
          <w:szCs w:val="22"/>
          <w:vertAlign w:val="superscript"/>
          <w:lang w:val="es-ES_tradnl"/>
        </w:rPr>
        <w:footnoteReference w:id="9"/>
      </w:r>
      <w:r w:rsidRPr="002D1E9E">
        <w:rPr>
          <w:rFonts w:ascii="Verdana" w:eastAsia="Calibri" w:hAnsi="Verdana" w:cs="Arial"/>
          <w:color w:val="000000"/>
          <w:sz w:val="22"/>
          <w:szCs w:val="22"/>
          <w:lang w:val="es-ES_tradnl"/>
        </w:rPr>
        <w:t xml:space="preserve">, el cual dispuso que la publicación de la información contractual de los sujetos obligados que contratan con cargo a recursos públicos debe hacerse en el SECOP. </w:t>
      </w:r>
      <w:r w:rsidRPr="002D1E9E">
        <w:rPr>
          <w:rFonts w:ascii="Verdana" w:eastAsia="Calibri" w:hAnsi="Verdana" w:cs="Arial"/>
          <w:sz w:val="22"/>
          <w:szCs w:val="22"/>
          <w:shd w:val="clear" w:color="auto" w:fill="FFFFFF"/>
        </w:rPr>
        <w:t>En es</w:t>
      </w:r>
      <w:r w:rsidR="000A7105" w:rsidRPr="002D1E9E">
        <w:rPr>
          <w:rFonts w:ascii="Verdana" w:eastAsia="Calibri" w:hAnsi="Verdana" w:cs="Arial"/>
          <w:sz w:val="22"/>
          <w:szCs w:val="22"/>
          <w:shd w:val="clear" w:color="auto" w:fill="FFFFFF"/>
        </w:rPr>
        <w:t>t</w:t>
      </w:r>
      <w:r w:rsidRPr="002D1E9E">
        <w:rPr>
          <w:rFonts w:ascii="Verdana" w:eastAsia="Calibri" w:hAnsi="Verdana" w:cs="Arial"/>
          <w:sz w:val="22"/>
          <w:szCs w:val="22"/>
          <w:shd w:val="clear" w:color="auto" w:fill="FFFFFF"/>
        </w:rPr>
        <w:t xml:space="preserve">e </w:t>
      </w:r>
      <w:r w:rsidR="000A7105" w:rsidRPr="002D1E9E">
        <w:rPr>
          <w:rFonts w:ascii="Verdana" w:eastAsia="Calibri" w:hAnsi="Verdana" w:cs="Arial"/>
          <w:sz w:val="22"/>
          <w:szCs w:val="22"/>
          <w:shd w:val="clear" w:color="auto" w:fill="FFFFFF"/>
        </w:rPr>
        <w:t>mismo</w:t>
      </w:r>
      <w:r w:rsidRPr="002D1E9E">
        <w:rPr>
          <w:rFonts w:ascii="Verdana" w:eastAsia="Calibri" w:hAnsi="Verdana" w:cs="Arial"/>
          <w:sz w:val="22"/>
          <w:szCs w:val="22"/>
          <w:shd w:val="clear" w:color="auto" w:fill="FFFFFF"/>
        </w:rPr>
        <w:t xml:space="preserve"> contexto, </w:t>
      </w:r>
      <w:r w:rsidR="000A7105" w:rsidRPr="002D1E9E">
        <w:rPr>
          <w:rFonts w:ascii="Verdana" w:eastAsia="Calibri" w:hAnsi="Verdana" w:cs="Arial"/>
          <w:sz w:val="22"/>
          <w:szCs w:val="22"/>
          <w:shd w:val="clear" w:color="auto" w:fill="FFFFFF"/>
        </w:rPr>
        <w:t>los sujetos obligados</w:t>
      </w:r>
      <w:r w:rsidRPr="002D1E9E">
        <w:rPr>
          <w:rFonts w:ascii="Verdana" w:eastAsia="Calibri" w:hAnsi="Verdana" w:cs="Arial"/>
          <w:sz w:val="22"/>
          <w:szCs w:val="22"/>
          <w:shd w:val="clear" w:color="auto" w:fill="FFFFFF"/>
        </w:rPr>
        <w:t xml:space="preserve">, conforme al artículo 2.2.1.1.1.7.1 del Decreto 1082 de 2015, tienen la obligación de publicar en el SECOP “[…] los Documentos del Proceso y los actos administrativos del Proceso de Contratación, dentro de los tres (3) días siguientes a su expedición […]”. </w:t>
      </w:r>
    </w:p>
    <w:p w14:paraId="7EF24A1C" w14:textId="77777777" w:rsidR="000A7105" w:rsidRPr="002D1E9E" w:rsidRDefault="000A7105" w:rsidP="002D1E9E">
      <w:pPr>
        <w:spacing w:line="276" w:lineRule="auto"/>
        <w:jc w:val="both"/>
        <w:rPr>
          <w:rFonts w:ascii="Verdana" w:hAnsi="Verdana" w:cs="Arial"/>
          <w:sz w:val="22"/>
          <w:szCs w:val="22"/>
          <w:lang w:val="es-ES_tradnl"/>
          <w14:ligatures w14:val="standardContextual"/>
        </w:rPr>
      </w:pPr>
    </w:p>
    <w:p w14:paraId="4E4AC8D8" w14:textId="41F74660" w:rsidR="00D01E01" w:rsidRPr="00BA07AC" w:rsidRDefault="00101CF3" w:rsidP="00BA07AC">
      <w:pPr>
        <w:spacing w:after="120" w:line="276" w:lineRule="auto"/>
        <w:jc w:val="both"/>
        <w:rPr>
          <w:rFonts w:ascii="Verdana" w:hAnsi="Verdana" w:cs="Arial"/>
          <w:sz w:val="22"/>
          <w:szCs w:val="22"/>
          <w:lang w:val="es-ES_tradnl"/>
          <w14:ligatures w14:val="standardContextual"/>
        </w:rPr>
      </w:pPr>
      <w:proofErr w:type="spellStart"/>
      <w:r w:rsidRPr="002D1E9E">
        <w:rPr>
          <w:rFonts w:ascii="Verdana" w:hAnsi="Verdana" w:cs="Arial"/>
          <w:sz w:val="22"/>
          <w:szCs w:val="22"/>
          <w:lang w:val="es-ES_tradnl"/>
          <w14:ligatures w14:val="standardContextual"/>
        </w:rPr>
        <w:t>iii</w:t>
      </w:r>
      <w:proofErr w:type="spellEnd"/>
      <w:r w:rsidRPr="002D1E9E">
        <w:rPr>
          <w:rFonts w:ascii="Verdana" w:hAnsi="Verdana" w:cs="Arial"/>
          <w:sz w:val="22"/>
          <w:szCs w:val="22"/>
          <w:lang w:val="es-ES_tradnl"/>
          <w14:ligatures w14:val="standardContextual"/>
        </w:rPr>
        <w:t xml:space="preserve">) </w:t>
      </w:r>
      <w:r w:rsidR="00B55F03" w:rsidRPr="002D1E9E">
        <w:rPr>
          <w:rFonts w:ascii="Verdana" w:hAnsi="Verdana" w:cs="Arial"/>
          <w:sz w:val="22"/>
          <w:szCs w:val="22"/>
          <w:lang w:val="es-ES_tradnl"/>
          <w14:ligatures w14:val="standardContextual"/>
        </w:rPr>
        <w:t xml:space="preserve">Teniendo en cuenta </w:t>
      </w:r>
      <w:r w:rsidR="008254C7" w:rsidRPr="002D1E9E">
        <w:rPr>
          <w:rFonts w:ascii="Verdana" w:hAnsi="Verdana" w:cs="Arial"/>
          <w:sz w:val="22"/>
          <w:szCs w:val="22"/>
          <w:lang w:val="es-ES_tradnl"/>
          <w14:ligatures w14:val="standardContextual"/>
        </w:rPr>
        <w:t xml:space="preserve">la naturaleza jurídica de las Cajas de Compensación Familiar y </w:t>
      </w:r>
      <w:r w:rsidR="008D1770" w:rsidRPr="002D1E9E">
        <w:rPr>
          <w:rFonts w:ascii="Verdana" w:hAnsi="Verdana" w:cs="Arial"/>
          <w:sz w:val="22"/>
          <w:szCs w:val="22"/>
          <w:lang w:val="es-ES_tradnl"/>
          <w14:ligatures w14:val="standardContextual"/>
        </w:rPr>
        <w:t>la identificación de lo</w:t>
      </w:r>
      <w:r w:rsidR="00C809F1" w:rsidRPr="002D1E9E">
        <w:rPr>
          <w:rFonts w:ascii="Verdana" w:hAnsi="Verdana" w:cs="Arial"/>
          <w:sz w:val="22"/>
          <w:szCs w:val="22"/>
          <w:lang w:val="es-ES_tradnl"/>
          <w14:ligatures w14:val="standardContextual"/>
        </w:rPr>
        <w:t>s</w:t>
      </w:r>
      <w:r w:rsidR="00B55F03" w:rsidRPr="002D1E9E">
        <w:rPr>
          <w:rFonts w:ascii="Verdana" w:hAnsi="Verdana" w:cs="Arial"/>
          <w:sz w:val="22"/>
          <w:szCs w:val="22"/>
          <w:lang w:val="es-ES_tradnl"/>
          <w14:ligatures w14:val="standardContextual"/>
        </w:rPr>
        <w:t xml:space="preserve"> sujetos obligados a publicar la información</w:t>
      </w:r>
      <w:r w:rsidR="008254C7" w:rsidRPr="002D1E9E">
        <w:rPr>
          <w:rFonts w:ascii="Verdana" w:hAnsi="Verdana" w:cs="Arial"/>
          <w:sz w:val="22"/>
          <w:szCs w:val="22"/>
          <w:lang w:val="es-ES_tradnl"/>
          <w14:ligatures w14:val="standardContextual"/>
        </w:rPr>
        <w:t xml:space="preserve"> contractual</w:t>
      </w:r>
      <w:r w:rsidR="00B55F03" w:rsidRPr="002D1E9E">
        <w:rPr>
          <w:rFonts w:ascii="Verdana" w:hAnsi="Verdana" w:cs="Arial"/>
          <w:sz w:val="22"/>
          <w:szCs w:val="22"/>
          <w:lang w:val="es-ES_tradnl"/>
          <w14:ligatures w14:val="standardContextual"/>
        </w:rPr>
        <w:t xml:space="preserve">, </w:t>
      </w:r>
      <w:r w:rsidR="00C809F1" w:rsidRPr="002D1E9E">
        <w:rPr>
          <w:rFonts w:ascii="Verdana" w:hAnsi="Verdana" w:cs="Arial"/>
          <w:sz w:val="22"/>
          <w:szCs w:val="22"/>
          <w:lang w:val="es-ES_tradnl"/>
          <w14:ligatures w14:val="standardContextual"/>
        </w:rPr>
        <w:t>r</w:t>
      </w:r>
      <w:r w:rsidR="00B55F03" w:rsidRPr="002D1E9E">
        <w:rPr>
          <w:rFonts w:ascii="Verdana" w:hAnsi="Verdana" w:cs="Arial"/>
          <w:sz w:val="22"/>
          <w:szCs w:val="22"/>
          <w:lang w:val="es-ES_tradnl"/>
          <w14:ligatures w14:val="standardContextual"/>
        </w:rPr>
        <w:t>e</w:t>
      </w:r>
      <w:r w:rsidR="00C809F1" w:rsidRPr="002D1E9E">
        <w:rPr>
          <w:rFonts w:ascii="Verdana" w:hAnsi="Verdana" w:cs="Arial"/>
          <w:sz w:val="22"/>
          <w:szCs w:val="22"/>
          <w:lang w:val="es-ES_tradnl"/>
          <w14:ligatures w14:val="standardContextual"/>
        </w:rPr>
        <w:t>sulta</w:t>
      </w:r>
      <w:r w:rsidR="00B55F03" w:rsidRPr="002D1E9E">
        <w:rPr>
          <w:rFonts w:ascii="Verdana" w:hAnsi="Verdana" w:cs="Arial"/>
          <w:sz w:val="22"/>
          <w:szCs w:val="22"/>
          <w:lang w:val="es-ES_tradnl"/>
          <w14:ligatures w14:val="standardContextual"/>
        </w:rPr>
        <w:t xml:space="preserve"> pertinente </w:t>
      </w:r>
      <w:r w:rsidR="00C809F1" w:rsidRPr="002D1E9E">
        <w:rPr>
          <w:rFonts w:ascii="Verdana" w:hAnsi="Verdana" w:cs="Arial"/>
          <w:sz w:val="22"/>
          <w:szCs w:val="22"/>
          <w:lang w:val="es-ES_tradnl"/>
          <w14:ligatures w14:val="standardContextual"/>
        </w:rPr>
        <w:t>avanzar</w:t>
      </w:r>
      <w:r w:rsidR="008254C7" w:rsidRPr="002D1E9E">
        <w:rPr>
          <w:rFonts w:ascii="Verdana" w:hAnsi="Verdana" w:cs="Arial"/>
          <w:sz w:val="22"/>
          <w:szCs w:val="22"/>
          <w:lang w:val="es-ES_tradnl"/>
          <w14:ligatures w14:val="standardContextual"/>
        </w:rPr>
        <w:t xml:space="preserve"> </w:t>
      </w:r>
      <w:r w:rsidR="00C809F1" w:rsidRPr="002D1E9E">
        <w:rPr>
          <w:rFonts w:ascii="Verdana" w:hAnsi="Verdana" w:cs="Arial"/>
          <w:sz w:val="22"/>
          <w:szCs w:val="22"/>
          <w:lang w:val="es-ES_tradnl"/>
          <w14:ligatures w14:val="standardContextual"/>
        </w:rPr>
        <w:t>e</w:t>
      </w:r>
      <w:r w:rsidR="008254C7" w:rsidRPr="002D1E9E">
        <w:rPr>
          <w:rFonts w:ascii="Verdana" w:hAnsi="Verdana" w:cs="Arial"/>
          <w:sz w:val="22"/>
          <w:szCs w:val="22"/>
          <w:lang w:val="es-ES_tradnl"/>
          <w14:ligatures w14:val="standardContextual"/>
        </w:rPr>
        <w:t>n el análisis del problema jurídico planteado</w:t>
      </w:r>
      <w:r w:rsidR="00C809F1" w:rsidRPr="002D1E9E">
        <w:rPr>
          <w:rFonts w:ascii="Verdana" w:hAnsi="Verdana" w:cs="Arial"/>
          <w:sz w:val="22"/>
          <w:szCs w:val="22"/>
          <w:lang w:val="es-ES_tradnl"/>
          <w14:ligatures w14:val="standardContextual"/>
        </w:rPr>
        <w:t>,</w:t>
      </w:r>
      <w:r w:rsidR="008254C7" w:rsidRPr="002D1E9E">
        <w:rPr>
          <w:rFonts w:ascii="Verdana" w:hAnsi="Verdana" w:cs="Arial"/>
          <w:sz w:val="22"/>
          <w:szCs w:val="22"/>
          <w:lang w:val="es-ES_tradnl"/>
          <w14:ligatures w14:val="standardContextual"/>
        </w:rPr>
        <w:t xml:space="preserve"> </w:t>
      </w:r>
      <w:r w:rsidR="00C809F1" w:rsidRPr="002D1E9E">
        <w:rPr>
          <w:rFonts w:ascii="Verdana" w:hAnsi="Verdana" w:cs="Arial"/>
          <w:sz w:val="22"/>
          <w:szCs w:val="22"/>
          <w:lang w:val="es-ES_tradnl"/>
          <w14:ligatures w14:val="standardContextual"/>
        </w:rPr>
        <w:t xml:space="preserve">consistente en determinar si dichas entidades están obligadas a publicar </w:t>
      </w:r>
      <w:r w:rsidR="008D1770" w:rsidRPr="002D1E9E">
        <w:rPr>
          <w:rFonts w:ascii="Verdana" w:eastAsia="Century Gothic" w:hAnsi="Verdana" w:cs="Century Gothic"/>
          <w:sz w:val="22"/>
          <w:szCs w:val="22"/>
        </w:rPr>
        <w:t xml:space="preserve">su actividad contractual en </w:t>
      </w:r>
      <w:r w:rsidR="00C809F1" w:rsidRPr="002D1E9E">
        <w:rPr>
          <w:rFonts w:ascii="Verdana" w:eastAsia="Century Gothic" w:hAnsi="Verdana" w:cs="Century Gothic"/>
          <w:sz w:val="22"/>
          <w:szCs w:val="22"/>
        </w:rPr>
        <w:t xml:space="preserve">el </w:t>
      </w:r>
      <w:r w:rsidR="008D1770" w:rsidRPr="002D1E9E">
        <w:rPr>
          <w:rFonts w:ascii="Verdana" w:eastAsia="Century Gothic" w:hAnsi="Verdana" w:cs="Century Gothic"/>
          <w:sz w:val="22"/>
          <w:szCs w:val="22"/>
        </w:rPr>
        <w:t>SECOP cuando ejecutan recursos del Sistema de Compensación Familiar u otros recursos con destinación pública</w:t>
      </w:r>
      <w:r w:rsidR="00034C77" w:rsidRPr="00BA07AC">
        <w:rPr>
          <w:rFonts w:ascii="Verdana" w:eastAsia="Century Gothic" w:hAnsi="Verdana" w:cs="Century Gothic"/>
          <w:sz w:val="22"/>
          <w:szCs w:val="22"/>
        </w:rPr>
        <w:t>.</w:t>
      </w:r>
    </w:p>
    <w:p w14:paraId="5AED9950" w14:textId="1A31A6DF" w:rsidR="00C86D6B" w:rsidRPr="00BA07AC" w:rsidRDefault="00D01E01" w:rsidP="002D1E9E">
      <w:pPr>
        <w:spacing w:after="120" w:line="276" w:lineRule="auto"/>
        <w:ind w:firstLine="709"/>
        <w:jc w:val="both"/>
        <w:rPr>
          <w:rFonts w:ascii="Verdana" w:hAnsi="Verdana" w:cs="Segoe UI"/>
          <w:sz w:val="22"/>
          <w:szCs w:val="22"/>
        </w:rPr>
      </w:pPr>
      <w:r w:rsidRPr="002D1E9E">
        <w:rPr>
          <w:rFonts w:ascii="Verdana" w:hAnsi="Verdana" w:cs="Segoe UI"/>
          <w:sz w:val="22"/>
          <w:szCs w:val="22"/>
        </w:rPr>
        <w:t>De conformidad con lo previsto en el artículo 2.2.7.5.3.2 del Decreto 1072 de 2015, los recursos administrados por las Cajas de Compensación Familiar son de carácter parafiscal</w:t>
      </w:r>
      <w:r w:rsidR="00530A2C" w:rsidRPr="002D1E9E">
        <w:rPr>
          <w:rFonts w:ascii="Verdana" w:hAnsi="Verdana" w:cs="Segoe UI"/>
          <w:sz w:val="22"/>
          <w:szCs w:val="22"/>
        </w:rPr>
        <w:t>. Sobre es</w:t>
      </w:r>
      <w:r w:rsidR="00ED52DE" w:rsidRPr="00BA07AC">
        <w:rPr>
          <w:rFonts w:ascii="Verdana" w:hAnsi="Verdana" w:cs="Segoe UI"/>
          <w:sz w:val="22"/>
          <w:szCs w:val="22"/>
        </w:rPr>
        <w:t>tos</w:t>
      </w:r>
      <w:r w:rsidR="00530A2C" w:rsidRPr="002D1E9E">
        <w:rPr>
          <w:rFonts w:ascii="Verdana" w:hAnsi="Verdana" w:cs="Segoe UI"/>
          <w:sz w:val="22"/>
          <w:szCs w:val="22"/>
        </w:rPr>
        <w:t xml:space="preserve">, </w:t>
      </w:r>
      <w:r w:rsidRPr="002D1E9E">
        <w:rPr>
          <w:rFonts w:ascii="Verdana" w:hAnsi="Verdana" w:cs="Segoe UI"/>
          <w:sz w:val="22"/>
          <w:szCs w:val="22"/>
        </w:rPr>
        <w:t xml:space="preserve">el Consejo de Estado ha señalado que poseen naturaleza pública, en tanto constituyen una fuente de financiación creada por </w:t>
      </w:r>
      <w:r w:rsidRPr="002D1E9E">
        <w:rPr>
          <w:rFonts w:ascii="Verdana" w:hAnsi="Verdana" w:cs="Segoe UI"/>
          <w:sz w:val="22"/>
          <w:szCs w:val="22"/>
        </w:rPr>
        <w:lastRenderedPageBreak/>
        <w:t>el Estado en beneficio de un sector específico, aun</w:t>
      </w:r>
      <w:r w:rsidR="007B085C" w:rsidRPr="00BA07AC">
        <w:rPr>
          <w:rFonts w:ascii="Verdana" w:hAnsi="Verdana" w:cs="Segoe UI"/>
          <w:sz w:val="22"/>
          <w:szCs w:val="22"/>
        </w:rPr>
        <w:t xml:space="preserve"> cuando </w:t>
      </w:r>
      <w:r w:rsidRPr="002D1E9E">
        <w:rPr>
          <w:rFonts w:ascii="Verdana" w:hAnsi="Verdana" w:cs="Segoe UI"/>
          <w:sz w:val="22"/>
          <w:szCs w:val="22"/>
        </w:rPr>
        <w:t>no integren el Presupuesto General de la Nación.</w:t>
      </w:r>
      <w:r w:rsidR="007B085C" w:rsidRPr="00BA07AC">
        <w:rPr>
          <w:rFonts w:ascii="Verdana" w:hAnsi="Verdana" w:cs="Segoe UI"/>
          <w:sz w:val="22"/>
          <w:szCs w:val="22"/>
        </w:rPr>
        <w:t xml:space="preserve"> Así mismo</w:t>
      </w:r>
      <w:r w:rsidR="00C86D6B" w:rsidRPr="00BA07AC">
        <w:rPr>
          <w:rFonts w:ascii="Verdana" w:hAnsi="Verdana" w:cs="Segoe UI"/>
          <w:sz w:val="22"/>
          <w:szCs w:val="22"/>
        </w:rPr>
        <w:t xml:space="preserve">, </w:t>
      </w:r>
      <w:r w:rsidR="00034C77" w:rsidRPr="002D1E9E">
        <w:rPr>
          <w:rFonts w:ascii="Verdana" w:hAnsi="Verdana" w:cs="Segoe UI"/>
          <w:sz w:val="22"/>
          <w:szCs w:val="22"/>
        </w:rPr>
        <w:t>el</w:t>
      </w:r>
      <w:r w:rsidRPr="002D1E9E">
        <w:rPr>
          <w:rFonts w:ascii="Verdana" w:hAnsi="Verdana" w:cs="Segoe UI"/>
          <w:sz w:val="22"/>
          <w:szCs w:val="22"/>
        </w:rPr>
        <w:t xml:space="preserve"> artículo 5 de la Ley 1712 de 2014</w:t>
      </w:r>
      <w:r w:rsidR="007B085C" w:rsidRPr="00BA07AC">
        <w:rPr>
          <w:rFonts w:ascii="Verdana" w:hAnsi="Verdana" w:cs="Segoe UI"/>
          <w:sz w:val="22"/>
          <w:szCs w:val="22"/>
        </w:rPr>
        <w:t xml:space="preserve"> – Ley </w:t>
      </w:r>
      <w:r w:rsidR="007B085C" w:rsidRPr="009373ED">
        <w:rPr>
          <w:rFonts w:ascii="Verdana" w:hAnsi="Verdana" w:cs="Segoe UI"/>
          <w:sz w:val="22"/>
          <w:szCs w:val="22"/>
        </w:rPr>
        <w:t>de Transparenci</w:t>
      </w:r>
      <w:r w:rsidR="007B085C" w:rsidRPr="00606B3B">
        <w:rPr>
          <w:rFonts w:ascii="Verdana" w:hAnsi="Verdana" w:cs="Segoe UI"/>
          <w:sz w:val="22"/>
          <w:szCs w:val="22"/>
        </w:rPr>
        <w:t>a y Acceso a la Informaci</w:t>
      </w:r>
      <w:r w:rsidR="007B085C" w:rsidRPr="0064434E">
        <w:rPr>
          <w:rFonts w:ascii="Verdana" w:hAnsi="Verdana" w:cs="Segoe UI"/>
          <w:sz w:val="22"/>
          <w:szCs w:val="22"/>
        </w:rPr>
        <w:t>ón Públic</w:t>
      </w:r>
      <w:r w:rsidR="007B085C" w:rsidRPr="00BA07AC">
        <w:rPr>
          <w:rFonts w:ascii="Verdana" w:hAnsi="Verdana" w:cs="Segoe UI"/>
          <w:sz w:val="22"/>
          <w:szCs w:val="22"/>
        </w:rPr>
        <w:t>a – establece que son</w:t>
      </w:r>
      <w:r w:rsidRPr="002D1E9E">
        <w:rPr>
          <w:rFonts w:ascii="Verdana" w:hAnsi="Verdana" w:cs="Segoe UI"/>
          <w:sz w:val="22"/>
          <w:szCs w:val="22"/>
        </w:rPr>
        <w:t xml:space="preserve"> sujeto</w:t>
      </w:r>
      <w:r w:rsidR="007B085C" w:rsidRPr="00BA07AC">
        <w:rPr>
          <w:rFonts w:ascii="Verdana" w:hAnsi="Verdana" w:cs="Segoe UI"/>
          <w:sz w:val="22"/>
          <w:szCs w:val="22"/>
        </w:rPr>
        <w:t>s</w:t>
      </w:r>
      <w:r w:rsidRPr="002D1E9E">
        <w:rPr>
          <w:rFonts w:ascii="Verdana" w:hAnsi="Verdana" w:cs="Segoe UI"/>
          <w:sz w:val="22"/>
          <w:szCs w:val="22"/>
        </w:rPr>
        <w:t xml:space="preserve"> </w:t>
      </w:r>
      <w:r w:rsidR="00C86D6B" w:rsidRPr="00BA07AC">
        <w:rPr>
          <w:rFonts w:ascii="Verdana" w:hAnsi="Verdana" w:cs="Segoe UI"/>
          <w:sz w:val="22"/>
          <w:szCs w:val="22"/>
        </w:rPr>
        <w:t>obligado</w:t>
      </w:r>
      <w:r w:rsidR="007B085C" w:rsidRPr="00BA07AC">
        <w:rPr>
          <w:rFonts w:ascii="Verdana" w:hAnsi="Verdana" w:cs="Segoe UI"/>
          <w:sz w:val="22"/>
          <w:szCs w:val="22"/>
        </w:rPr>
        <w:t>s</w:t>
      </w:r>
      <w:r w:rsidR="00C86D6B" w:rsidRPr="00BA07AC">
        <w:rPr>
          <w:rFonts w:ascii="Verdana" w:hAnsi="Verdana" w:cs="Segoe UI"/>
          <w:sz w:val="22"/>
          <w:szCs w:val="22"/>
        </w:rPr>
        <w:t xml:space="preserve"> </w:t>
      </w:r>
      <w:r w:rsidR="007B085C" w:rsidRPr="009373ED">
        <w:rPr>
          <w:rFonts w:ascii="Verdana" w:hAnsi="Verdana" w:cs="Segoe UI"/>
          <w:sz w:val="22"/>
          <w:szCs w:val="22"/>
        </w:rPr>
        <w:t xml:space="preserve">a </w:t>
      </w:r>
      <w:r w:rsidR="00C86D6B" w:rsidRPr="00606B3B">
        <w:rPr>
          <w:rFonts w:ascii="Verdana" w:hAnsi="Verdana" w:cs="Segoe UI"/>
          <w:sz w:val="22"/>
          <w:szCs w:val="22"/>
        </w:rPr>
        <w:t>las disposiciones de dicha Ley</w:t>
      </w:r>
      <w:r w:rsidRPr="002D1E9E">
        <w:rPr>
          <w:rFonts w:ascii="Verdana" w:hAnsi="Verdana" w:cs="Segoe UI"/>
          <w:sz w:val="22"/>
          <w:szCs w:val="22"/>
        </w:rPr>
        <w:t xml:space="preserve"> todo aquel que administre instituciones parafiscales, fondos o recursos de naturaleza u origen público</w:t>
      </w:r>
      <w:r w:rsidR="007B085C" w:rsidRPr="00BA07AC">
        <w:rPr>
          <w:rFonts w:ascii="Verdana" w:hAnsi="Verdana" w:cs="Segoe UI"/>
          <w:sz w:val="22"/>
          <w:szCs w:val="22"/>
        </w:rPr>
        <w:t>. En virtud de esta disposición</w:t>
      </w:r>
      <w:r w:rsidR="007B085C" w:rsidRPr="009373ED">
        <w:rPr>
          <w:rFonts w:ascii="Verdana" w:hAnsi="Verdana" w:cs="Segoe UI"/>
          <w:sz w:val="22"/>
          <w:szCs w:val="22"/>
        </w:rPr>
        <w:t>,</w:t>
      </w:r>
      <w:r w:rsidR="007B085C" w:rsidRPr="00606B3B">
        <w:rPr>
          <w:rFonts w:ascii="Verdana" w:hAnsi="Verdana" w:cs="Segoe UI"/>
          <w:sz w:val="22"/>
          <w:szCs w:val="22"/>
        </w:rPr>
        <w:t xml:space="preserve"> las Cajas de Compensaci</w:t>
      </w:r>
      <w:r w:rsidR="007B085C" w:rsidRPr="0064434E">
        <w:rPr>
          <w:rFonts w:ascii="Verdana" w:hAnsi="Verdana" w:cs="Segoe UI"/>
          <w:sz w:val="22"/>
          <w:szCs w:val="22"/>
        </w:rPr>
        <w:t>ón Familiar, al administrar recursos parafiscales destinados al cumplimiento de fi</w:t>
      </w:r>
      <w:r w:rsidR="007B085C" w:rsidRPr="00BA07AC">
        <w:rPr>
          <w:rFonts w:ascii="Verdana" w:hAnsi="Verdana" w:cs="Segoe UI"/>
          <w:sz w:val="22"/>
          <w:szCs w:val="22"/>
        </w:rPr>
        <w:t xml:space="preserve">nes sociales, encajan dentro de los sujetos obligados al régimen de transparencia. </w:t>
      </w:r>
    </w:p>
    <w:p w14:paraId="192C747D" w14:textId="4A42BB00" w:rsidR="003C1C5E" w:rsidRPr="002D1E9E" w:rsidRDefault="00D01E01" w:rsidP="002D1E9E">
      <w:pPr>
        <w:spacing w:after="120" w:line="276" w:lineRule="auto"/>
        <w:ind w:firstLine="709"/>
        <w:jc w:val="both"/>
        <w:rPr>
          <w:rFonts w:ascii="Verdana" w:eastAsia="Calibri" w:hAnsi="Verdana" w:cs="Segoe UI"/>
          <w:sz w:val="22"/>
          <w:szCs w:val="22"/>
        </w:rPr>
      </w:pPr>
      <w:r w:rsidRPr="002D1E9E">
        <w:rPr>
          <w:rFonts w:ascii="Verdana" w:hAnsi="Verdana" w:cs="Segoe UI"/>
          <w:sz w:val="22"/>
          <w:szCs w:val="22"/>
        </w:rPr>
        <w:t xml:space="preserve">En consecuencia, </w:t>
      </w:r>
      <w:r w:rsidR="00034C77" w:rsidRPr="002D1E9E">
        <w:rPr>
          <w:rFonts w:ascii="Verdana" w:hAnsi="Verdana" w:cs="Segoe UI"/>
          <w:sz w:val="22"/>
          <w:szCs w:val="22"/>
        </w:rPr>
        <w:t xml:space="preserve">dada </w:t>
      </w:r>
      <w:r w:rsidRPr="002D1E9E">
        <w:rPr>
          <w:rFonts w:ascii="Verdana" w:hAnsi="Verdana" w:cs="Segoe UI"/>
          <w:sz w:val="22"/>
          <w:szCs w:val="22"/>
        </w:rPr>
        <w:t>la naturaleza pública de los recursos que administran</w:t>
      </w:r>
      <w:r w:rsidR="00034C77" w:rsidRPr="002D1E9E">
        <w:rPr>
          <w:rFonts w:ascii="Verdana" w:hAnsi="Verdana" w:cs="Segoe UI"/>
          <w:sz w:val="22"/>
          <w:szCs w:val="22"/>
        </w:rPr>
        <w:t xml:space="preserve"> y </w:t>
      </w:r>
      <w:r w:rsidRPr="002D1E9E">
        <w:rPr>
          <w:rFonts w:ascii="Verdana" w:hAnsi="Verdana" w:cs="Segoe UI"/>
          <w:sz w:val="22"/>
          <w:szCs w:val="22"/>
        </w:rPr>
        <w:t>su calidad de sujetos obligados</w:t>
      </w:r>
      <w:r w:rsidR="007B085C" w:rsidRPr="002D1E9E">
        <w:rPr>
          <w:rFonts w:ascii="Verdana" w:hAnsi="Verdana" w:cs="Segoe UI"/>
          <w:sz w:val="22"/>
          <w:szCs w:val="22"/>
        </w:rPr>
        <w:t xml:space="preserve"> conforme a</w:t>
      </w:r>
      <w:r w:rsidRPr="002D1E9E">
        <w:rPr>
          <w:rFonts w:ascii="Verdana" w:hAnsi="Verdana" w:cs="Segoe UI"/>
          <w:sz w:val="22"/>
          <w:szCs w:val="22"/>
        </w:rPr>
        <w:t xml:space="preserve"> la Ley 1712 de 2014</w:t>
      </w:r>
      <w:r w:rsidR="007B085C" w:rsidRPr="002D1E9E">
        <w:rPr>
          <w:rFonts w:ascii="Verdana" w:hAnsi="Verdana" w:cs="Segoe UI"/>
          <w:sz w:val="22"/>
          <w:szCs w:val="22"/>
        </w:rPr>
        <w:t>,</w:t>
      </w:r>
      <w:r w:rsidRPr="002D1E9E">
        <w:rPr>
          <w:rFonts w:ascii="Verdana" w:hAnsi="Verdana" w:cs="Segoe UI"/>
          <w:sz w:val="22"/>
          <w:szCs w:val="22"/>
        </w:rPr>
        <w:t xml:space="preserve"> </w:t>
      </w:r>
      <w:r w:rsidR="00C86D6B" w:rsidRPr="002D1E9E">
        <w:rPr>
          <w:rFonts w:ascii="Verdana" w:hAnsi="Verdana" w:cs="Segoe UI"/>
          <w:sz w:val="22"/>
          <w:szCs w:val="22"/>
        </w:rPr>
        <w:t>s</w:t>
      </w:r>
      <w:r w:rsidRPr="002D1E9E">
        <w:rPr>
          <w:rFonts w:ascii="Verdana" w:hAnsi="Verdana" w:cs="Segoe UI"/>
          <w:sz w:val="22"/>
          <w:szCs w:val="22"/>
        </w:rPr>
        <w:t xml:space="preserve">e concluye que las Cajas de Compensación Familiar </w:t>
      </w:r>
      <w:r w:rsidR="007B085C" w:rsidRPr="002D1E9E">
        <w:rPr>
          <w:rFonts w:ascii="Verdana" w:hAnsi="Verdana" w:cs="Segoe UI"/>
          <w:sz w:val="22"/>
          <w:szCs w:val="22"/>
        </w:rPr>
        <w:t>deben</w:t>
      </w:r>
      <w:r w:rsidRPr="002D1E9E">
        <w:rPr>
          <w:rFonts w:ascii="Verdana" w:hAnsi="Verdana" w:cs="Segoe UI"/>
          <w:sz w:val="22"/>
          <w:szCs w:val="22"/>
        </w:rPr>
        <w:t xml:space="preserve"> publicar la información relativa a su contratación</w:t>
      </w:r>
      <w:r w:rsidR="007B085C" w:rsidRPr="002D1E9E">
        <w:rPr>
          <w:rFonts w:ascii="Verdana" w:hAnsi="Verdana" w:cs="Segoe UI"/>
          <w:sz w:val="22"/>
          <w:szCs w:val="22"/>
        </w:rPr>
        <w:t xml:space="preserve"> </w:t>
      </w:r>
      <w:r w:rsidR="00D67747" w:rsidRPr="002D1E9E">
        <w:rPr>
          <w:rFonts w:ascii="Verdana" w:hAnsi="Verdana" w:cs="Segoe UI"/>
          <w:sz w:val="22"/>
          <w:szCs w:val="22"/>
        </w:rPr>
        <w:t>c</w:t>
      </w:r>
      <w:r w:rsidR="007B085C" w:rsidRPr="002D1E9E">
        <w:rPr>
          <w:rFonts w:ascii="Verdana" w:hAnsi="Verdana" w:cs="Segoe UI"/>
          <w:sz w:val="22"/>
          <w:szCs w:val="22"/>
        </w:rPr>
        <w:t>uando esta se realice con cargo a recursos parafiscales u otros fondos con destinación pública</w:t>
      </w:r>
      <w:r w:rsidR="00227D74" w:rsidRPr="00BA07AC">
        <w:rPr>
          <w:rFonts w:ascii="Verdana" w:hAnsi="Verdana" w:cs="Segoe UI"/>
          <w:sz w:val="22"/>
          <w:szCs w:val="22"/>
        </w:rPr>
        <w:t>.</w:t>
      </w:r>
    </w:p>
    <w:p w14:paraId="35C28DA6" w14:textId="0DC369C6" w:rsidR="00AD4EB8" w:rsidRPr="002D1E9E" w:rsidRDefault="00C86D6B" w:rsidP="00C86D6B">
      <w:pPr>
        <w:spacing w:line="276" w:lineRule="auto"/>
        <w:ind w:firstLine="708"/>
        <w:contextualSpacing/>
        <w:jc w:val="both"/>
        <w:rPr>
          <w:rFonts w:ascii="Verdana" w:eastAsia="Calibri" w:hAnsi="Verdana" w:cs="Arial"/>
          <w:sz w:val="22"/>
          <w:szCs w:val="22"/>
        </w:rPr>
      </w:pPr>
      <w:r w:rsidRPr="002D1E9E">
        <w:rPr>
          <w:rFonts w:ascii="Verdana" w:eastAsia="Calibri" w:hAnsi="Verdana" w:cs="Arial"/>
          <w:sz w:val="22"/>
          <w:szCs w:val="22"/>
          <w:shd w:val="clear" w:color="auto" w:fill="FFFFFF"/>
        </w:rPr>
        <w:t>Ahora bien</w:t>
      </w:r>
      <w:r w:rsidR="00AD4EB8" w:rsidRPr="002D1E9E">
        <w:rPr>
          <w:rFonts w:ascii="Verdana" w:eastAsia="Calibri" w:hAnsi="Verdana" w:cs="Arial"/>
          <w:sz w:val="22"/>
          <w:szCs w:val="22"/>
          <w:lang w:val="es-ES_tradnl" w:eastAsia="es-CO"/>
        </w:rPr>
        <w:t xml:space="preserve">, </w:t>
      </w:r>
      <w:r w:rsidR="00AD4EB8" w:rsidRPr="002D1E9E">
        <w:rPr>
          <w:rFonts w:ascii="Verdana" w:eastAsia="Calibri" w:hAnsi="Verdana" w:cs="Arial"/>
          <w:sz w:val="22"/>
          <w:szCs w:val="22"/>
        </w:rPr>
        <w:t xml:space="preserve">el Decreto 103 de 2015, mediante el cual se reglamentó la Ley 1712 de 2014 </w:t>
      </w:r>
      <w:r w:rsidR="00D67747" w:rsidRPr="002D1E9E">
        <w:rPr>
          <w:rFonts w:ascii="Verdana" w:eastAsia="Calibri" w:hAnsi="Verdana" w:cs="Arial"/>
          <w:sz w:val="22"/>
          <w:szCs w:val="22"/>
        </w:rPr>
        <w:t xml:space="preserve">– </w:t>
      </w:r>
      <w:r w:rsidR="00AD4EB8" w:rsidRPr="002D1E9E">
        <w:rPr>
          <w:rFonts w:ascii="Verdana" w:eastAsia="Calibri" w:hAnsi="Verdana" w:cs="Arial"/>
          <w:sz w:val="22"/>
          <w:szCs w:val="22"/>
        </w:rPr>
        <w:t xml:space="preserve">compilado </w:t>
      </w:r>
      <w:r w:rsidR="00AD4EB8" w:rsidRPr="002D1E9E">
        <w:rPr>
          <w:rFonts w:ascii="Verdana" w:eastAsia="Calibri" w:hAnsi="Verdana" w:cs="Arial"/>
          <w:sz w:val="22"/>
          <w:szCs w:val="22"/>
          <w:shd w:val="clear" w:color="auto" w:fill="FFFFFF"/>
        </w:rPr>
        <w:t>en los artículos 2.1.1.1.1. al 2.1.1.6.1. del Decreto 1081 de 2015–</w:t>
      </w:r>
      <w:r w:rsidR="00D67747" w:rsidRPr="002D1E9E">
        <w:rPr>
          <w:rFonts w:ascii="Verdana" w:eastAsia="Calibri" w:hAnsi="Verdana" w:cs="Arial"/>
          <w:sz w:val="22"/>
          <w:szCs w:val="22"/>
          <w:shd w:val="clear" w:color="auto" w:fill="FFFFFF"/>
        </w:rPr>
        <w:t xml:space="preserve"> desarrolló expresamente la obligación de publicidad contractual. En su artículo 7</w:t>
      </w:r>
      <w:r w:rsidR="00AD4EB8" w:rsidRPr="002D1E9E">
        <w:rPr>
          <w:rFonts w:ascii="Verdana" w:eastAsia="Calibri" w:hAnsi="Verdana" w:cs="Arial"/>
          <w:sz w:val="22"/>
          <w:szCs w:val="22"/>
          <w:shd w:val="clear" w:color="auto" w:fill="FFFFFF"/>
        </w:rPr>
        <w:t xml:space="preserve"> </w:t>
      </w:r>
      <w:r w:rsidR="00AD4EB8" w:rsidRPr="002D1E9E">
        <w:rPr>
          <w:rFonts w:ascii="Verdana" w:eastAsia="Calibri" w:hAnsi="Verdana" w:cs="Arial"/>
          <w:sz w:val="22"/>
          <w:szCs w:val="22"/>
        </w:rPr>
        <w:t>señala:</w:t>
      </w:r>
    </w:p>
    <w:p w14:paraId="03C0F4DF" w14:textId="77777777" w:rsidR="00AD4EB8" w:rsidRPr="002D1E9E" w:rsidRDefault="00AD4EB8" w:rsidP="00AD4EB8">
      <w:pPr>
        <w:spacing w:line="276" w:lineRule="auto"/>
        <w:ind w:firstLine="784"/>
        <w:contextualSpacing/>
        <w:jc w:val="both"/>
        <w:rPr>
          <w:rFonts w:ascii="Verdana" w:eastAsia="Calibri" w:hAnsi="Verdana" w:cs="Arial"/>
          <w:sz w:val="22"/>
          <w:szCs w:val="22"/>
        </w:rPr>
      </w:pPr>
    </w:p>
    <w:p w14:paraId="1C7EC124" w14:textId="77777777" w:rsidR="00AD4EB8" w:rsidRPr="007563C1" w:rsidRDefault="00AD4EB8" w:rsidP="00AD4EB8">
      <w:pPr>
        <w:ind w:left="709" w:right="709"/>
        <w:jc w:val="both"/>
        <w:rPr>
          <w:rFonts w:ascii="Verdana" w:hAnsi="Verdana" w:cs="Arial"/>
          <w:sz w:val="20"/>
          <w:szCs w:val="20"/>
          <w:lang w:eastAsia="es-CO"/>
        </w:rPr>
      </w:pPr>
      <w:r w:rsidRPr="007563C1">
        <w:rPr>
          <w:rFonts w:ascii="Verdana" w:hAnsi="Verdana" w:cs="Arial"/>
          <w:sz w:val="20"/>
          <w:szCs w:val="20"/>
          <w:lang w:eastAsia="es-CO"/>
        </w:rPr>
        <w:t>“Artículo 7°.</w:t>
      </w:r>
      <w:r w:rsidRPr="007563C1">
        <w:rPr>
          <w:rFonts w:ascii="Verdana" w:hAnsi="Verdana" w:cs="Arial"/>
          <w:i/>
          <w:sz w:val="20"/>
          <w:szCs w:val="20"/>
          <w:lang w:eastAsia="es-CO"/>
        </w:rPr>
        <w:t xml:space="preserve"> Publicación de la información contractual. </w:t>
      </w:r>
      <w:r w:rsidRPr="007563C1">
        <w:rPr>
          <w:rFonts w:ascii="Verdana" w:hAnsi="Verdana" w:cs="Arial"/>
          <w:sz w:val="20"/>
          <w:szCs w:val="20"/>
          <w:lang w:eastAsia="es-CO"/>
        </w:rPr>
        <w:t xml:space="preserve">De conformidad con el literal (c) del artículo 3° de la Ley 1150 de 2007, el sistema de información del Estado en el cual los sujetos obligados que contratan </w:t>
      </w:r>
      <w:r w:rsidRPr="007563C1">
        <w:rPr>
          <w:rFonts w:ascii="Verdana" w:hAnsi="Verdana" w:cs="Arial"/>
          <w:i/>
          <w:sz w:val="20"/>
          <w:szCs w:val="20"/>
          <w:lang w:eastAsia="es-CO"/>
        </w:rPr>
        <w:t xml:space="preserve">con cargo a </w:t>
      </w:r>
      <w:r w:rsidRPr="002D1E9E">
        <w:rPr>
          <w:rFonts w:ascii="Verdana" w:hAnsi="Verdana" w:cs="Arial"/>
          <w:sz w:val="20"/>
          <w:szCs w:val="20"/>
          <w:lang w:eastAsia="es-CO"/>
        </w:rPr>
        <w:t>recursos públicos</w:t>
      </w:r>
      <w:r w:rsidRPr="007563C1">
        <w:rPr>
          <w:rFonts w:ascii="Verdana" w:hAnsi="Verdana" w:cs="Arial"/>
          <w:sz w:val="20"/>
          <w:szCs w:val="20"/>
          <w:lang w:eastAsia="es-CO"/>
        </w:rPr>
        <w:t xml:space="preserve"> deben cumplir la obligación de publicar la información de su gestión contractual es el Sistema Electrónico para la Contratación Pública (</w:t>
      </w:r>
      <w:proofErr w:type="spellStart"/>
      <w:r w:rsidRPr="007563C1">
        <w:rPr>
          <w:rFonts w:ascii="Verdana" w:hAnsi="Verdana" w:cs="Arial"/>
          <w:sz w:val="20"/>
          <w:szCs w:val="20"/>
          <w:lang w:eastAsia="es-CO"/>
        </w:rPr>
        <w:t>Secop</w:t>
      </w:r>
      <w:proofErr w:type="spellEnd"/>
      <w:r w:rsidRPr="007563C1">
        <w:rPr>
          <w:rFonts w:ascii="Verdana" w:hAnsi="Verdana" w:cs="Arial"/>
          <w:sz w:val="20"/>
          <w:szCs w:val="20"/>
          <w:lang w:eastAsia="es-CO"/>
        </w:rPr>
        <w:t>). </w:t>
      </w:r>
    </w:p>
    <w:p w14:paraId="45C44969" w14:textId="77777777" w:rsidR="00AD4EB8" w:rsidRPr="007563C1" w:rsidRDefault="00AD4EB8" w:rsidP="00AD4EB8">
      <w:pPr>
        <w:ind w:left="709" w:right="709"/>
        <w:jc w:val="both"/>
        <w:rPr>
          <w:rFonts w:ascii="Verdana" w:hAnsi="Verdana" w:cs="Arial"/>
          <w:sz w:val="20"/>
          <w:szCs w:val="20"/>
          <w:lang w:eastAsia="es-CO"/>
        </w:rPr>
      </w:pPr>
    </w:p>
    <w:p w14:paraId="164117FD" w14:textId="77777777" w:rsidR="00AD4EB8" w:rsidRPr="007563C1" w:rsidRDefault="00AD4EB8" w:rsidP="00AD4EB8">
      <w:pPr>
        <w:ind w:left="709" w:right="709"/>
        <w:jc w:val="both"/>
        <w:rPr>
          <w:rFonts w:ascii="Verdana" w:hAnsi="Verdana" w:cs="Arial"/>
          <w:sz w:val="20"/>
          <w:szCs w:val="20"/>
          <w:lang w:eastAsia="es-CO"/>
        </w:rPr>
      </w:pPr>
      <w:r w:rsidRPr="007563C1">
        <w:rPr>
          <w:rFonts w:ascii="Verdana" w:hAnsi="Verdana" w:cs="Arial"/>
          <w:sz w:val="20"/>
          <w:szCs w:val="20"/>
          <w:lang w:eastAsia="es-CO"/>
        </w:rPr>
        <w:t xml:space="preserve">Los sujetos obligados que contratan </w:t>
      </w:r>
      <w:r w:rsidRPr="007563C1">
        <w:rPr>
          <w:rFonts w:ascii="Verdana" w:hAnsi="Verdana" w:cs="Arial"/>
          <w:i/>
          <w:sz w:val="20"/>
          <w:szCs w:val="20"/>
          <w:lang w:eastAsia="es-CO"/>
        </w:rPr>
        <w:t>con cargo a recursos públicos</w:t>
      </w:r>
      <w:r w:rsidRPr="007563C1">
        <w:rPr>
          <w:rFonts w:ascii="Verdana" w:hAnsi="Verdana" w:cs="Arial"/>
          <w:sz w:val="20"/>
          <w:szCs w:val="20"/>
          <w:lang w:eastAsia="es-CO"/>
        </w:rPr>
        <w:t xml:space="preserve"> deben publicar la información de su gestión contractual en el plazo previsto en el artículo 19 del Decreto 1510 de 2013, o el que lo modifique, sustituya o adicione. </w:t>
      </w:r>
    </w:p>
    <w:p w14:paraId="5A420C64" w14:textId="77777777" w:rsidR="00AD4EB8" w:rsidRPr="007563C1" w:rsidRDefault="00AD4EB8" w:rsidP="00AD4EB8">
      <w:pPr>
        <w:ind w:left="709" w:right="709"/>
        <w:jc w:val="both"/>
        <w:rPr>
          <w:rFonts w:ascii="Verdana" w:hAnsi="Verdana" w:cs="Arial"/>
          <w:sz w:val="20"/>
          <w:szCs w:val="20"/>
          <w:lang w:eastAsia="es-CO"/>
        </w:rPr>
      </w:pPr>
    </w:p>
    <w:p w14:paraId="32E23D1C" w14:textId="77777777" w:rsidR="00AD4EB8" w:rsidRPr="007563C1" w:rsidRDefault="00AD4EB8" w:rsidP="00AD4EB8">
      <w:pPr>
        <w:ind w:left="709" w:right="709"/>
        <w:jc w:val="both"/>
        <w:rPr>
          <w:rFonts w:ascii="Verdana" w:hAnsi="Verdana" w:cs="Arial"/>
          <w:sz w:val="20"/>
          <w:szCs w:val="20"/>
          <w:lang w:eastAsia="es-CO"/>
        </w:rPr>
      </w:pPr>
      <w:r w:rsidRPr="007563C1">
        <w:rPr>
          <w:rFonts w:ascii="Verdana" w:hAnsi="Verdana" w:cs="Arial"/>
          <w:sz w:val="20"/>
          <w:szCs w:val="20"/>
          <w:lang w:eastAsia="es-CO"/>
        </w:rPr>
        <w:t xml:space="preserve">Los sujetos obligados que contratan con recursos públicos y recursos </w:t>
      </w:r>
      <w:proofErr w:type="gramStart"/>
      <w:r w:rsidRPr="007563C1">
        <w:rPr>
          <w:rFonts w:ascii="Verdana" w:hAnsi="Verdana" w:cs="Arial"/>
          <w:sz w:val="20"/>
          <w:szCs w:val="20"/>
          <w:lang w:eastAsia="es-CO"/>
        </w:rPr>
        <w:t>privados,</w:t>
      </w:r>
      <w:proofErr w:type="gramEnd"/>
      <w:r w:rsidRPr="007563C1">
        <w:rPr>
          <w:rFonts w:ascii="Verdana" w:hAnsi="Verdana" w:cs="Arial"/>
          <w:sz w:val="20"/>
          <w:szCs w:val="20"/>
          <w:lang w:eastAsia="es-CO"/>
        </w:rPr>
        <w:t xml:space="preserve"> deben publicar la información de su gestión contractual </w:t>
      </w:r>
      <w:r w:rsidRPr="002D1E9E">
        <w:rPr>
          <w:rFonts w:ascii="Verdana" w:hAnsi="Verdana" w:cs="Arial"/>
          <w:i/>
          <w:sz w:val="20"/>
          <w:szCs w:val="20"/>
          <w:lang w:eastAsia="es-CO"/>
        </w:rPr>
        <w:t>con cargo a recursos</w:t>
      </w:r>
      <w:r w:rsidRPr="007563C1">
        <w:rPr>
          <w:rFonts w:ascii="Verdana" w:hAnsi="Verdana" w:cs="Arial"/>
          <w:sz w:val="20"/>
          <w:szCs w:val="20"/>
          <w:lang w:eastAsia="es-CO"/>
        </w:rPr>
        <w:t xml:space="preserve"> públicos en el Sistema Electrónico para la Contratación Pública (</w:t>
      </w:r>
      <w:proofErr w:type="spellStart"/>
      <w:r w:rsidRPr="007563C1">
        <w:rPr>
          <w:rFonts w:ascii="Verdana" w:hAnsi="Verdana" w:cs="Arial"/>
          <w:sz w:val="20"/>
          <w:szCs w:val="20"/>
          <w:lang w:eastAsia="es-CO"/>
        </w:rPr>
        <w:t>Secop</w:t>
      </w:r>
      <w:proofErr w:type="spellEnd"/>
      <w:r w:rsidRPr="007563C1">
        <w:rPr>
          <w:rFonts w:ascii="Verdana" w:hAnsi="Verdana" w:cs="Arial"/>
          <w:sz w:val="20"/>
          <w:szCs w:val="20"/>
          <w:lang w:eastAsia="es-CO"/>
        </w:rPr>
        <w:t>)”. [Énfasis fuera del texto original]</w:t>
      </w:r>
    </w:p>
    <w:p w14:paraId="2C4F1A6A" w14:textId="77777777" w:rsidR="00AD4EB8" w:rsidRPr="002D1E9E" w:rsidRDefault="00AD4EB8" w:rsidP="009373ED">
      <w:pPr>
        <w:spacing w:line="276" w:lineRule="auto"/>
        <w:ind w:left="709" w:right="709" w:firstLine="147"/>
        <w:jc w:val="both"/>
        <w:rPr>
          <w:rFonts w:ascii="Verdana" w:hAnsi="Verdana" w:cs="Arial"/>
          <w:sz w:val="22"/>
          <w:szCs w:val="22"/>
          <w:lang w:eastAsia="es-CO"/>
        </w:rPr>
      </w:pPr>
    </w:p>
    <w:p w14:paraId="0BE74C83" w14:textId="52E9A1E6" w:rsidR="005014EA" w:rsidRPr="002D1E9E" w:rsidRDefault="00AD4EB8" w:rsidP="005014EA">
      <w:pPr>
        <w:spacing w:after="120" w:line="276" w:lineRule="auto"/>
        <w:ind w:firstLine="709"/>
        <w:jc w:val="both"/>
        <w:rPr>
          <w:rFonts w:ascii="Verdana" w:eastAsia="Calibri" w:hAnsi="Verdana" w:cs="Arial"/>
          <w:sz w:val="22"/>
          <w:szCs w:val="22"/>
          <w:lang w:val="es-ES_tradnl"/>
        </w:rPr>
      </w:pPr>
      <w:bookmarkStart w:id="1" w:name="_Hlk110869205"/>
      <w:r w:rsidRPr="002D1E9E">
        <w:rPr>
          <w:rFonts w:ascii="Verdana" w:eastAsia="Calibri" w:hAnsi="Verdana" w:cs="Arial"/>
          <w:sz w:val="22"/>
          <w:szCs w:val="22"/>
          <w:lang w:val="es-ES_tradnl"/>
        </w:rPr>
        <w:t xml:space="preserve">De </w:t>
      </w:r>
      <w:r w:rsidR="00C86D6B" w:rsidRPr="002D1E9E">
        <w:rPr>
          <w:rFonts w:ascii="Verdana" w:eastAsia="Calibri" w:hAnsi="Verdana" w:cs="Arial"/>
          <w:sz w:val="22"/>
          <w:szCs w:val="22"/>
          <w:lang w:val="es-ES_tradnl"/>
        </w:rPr>
        <w:t>la</w:t>
      </w:r>
      <w:r w:rsidRPr="002D1E9E">
        <w:rPr>
          <w:rFonts w:ascii="Verdana" w:eastAsia="Calibri" w:hAnsi="Verdana" w:cs="Arial"/>
          <w:sz w:val="22"/>
          <w:szCs w:val="22"/>
          <w:lang w:val="es-ES_tradnl"/>
        </w:rPr>
        <w:t xml:space="preserve"> norma antes citada es posible establecer que la obligación de publicar la actividad contractual ha estado encaminada a que se publique aquella información relacionada con la ejecución de dineros públicos. </w:t>
      </w:r>
      <w:r w:rsidR="00C66457" w:rsidRPr="002D1E9E">
        <w:rPr>
          <w:rFonts w:ascii="Verdana" w:eastAsia="Calibri" w:hAnsi="Verdana" w:cs="Arial"/>
          <w:sz w:val="22"/>
          <w:szCs w:val="22"/>
          <w:lang w:val="es-ES_tradnl"/>
        </w:rPr>
        <w:t xml:space="preserve">Así las cosas, en </w:t>
      </w:r>
      <w:r w:rsidR="00C66457" w:rsidRPr="002D1E9E">
        <w:rPr>
          <w:rFonts w:ascii="Verdana" w:eastAsia="Calibri" w:hAnsi="Verdana" w:cs="Arial"/>
          <w:sz w:val="22"/>
          <w:szCs w:val="22"/>
          <w:lang w:val="es-ES_tradnl"/>
        </w:rPr>
        <w:lastRenderedPageBreak/>
        <w:t xml:space="preserve">SECOP deben publicarse los documentos vinculados a la contratación con cargo a recursos públicos. </w:t>
      </w:r>
    </w:p>
    <w:p w14:paraId="07A4E106" w14:textId="7B7BD1FF" w:rsidR="002D0F8A" w:rsidRPr="002D1E9E" w:rsidRDefault="00003AB2" w:rsidP="002D1E9E">
      <w:pPr>
        <w:tabs>
          <w:tab w:val="left" w:pos="709"/>
        </w:tabs>
        <w:spacing w:after="120" w:line="276" w:lineRule="auto"/>
        <w:ind w:firstLine="709"/>
        <w:jc w:val="both"/>
        <w:rPr>
          <w:rFonts w:ascii="Verdana" w:hAnsi="Verdana" w:cs="Arial"/>
          <w:sz w:val="22"/>
          <w:szCs w:val="22"/>
          <w:shd w:val="clear" w:color="auto" w:fill="FFFFFF"/>
        </w:rPr>
      </w:pPr>
      <w:r w:rsidRPr="002D1E9E">
        <w:rPr>
          <w:rFonts w:ascii="Verdana" w:hAnsi="Verdana" w:cs="Arial"/>
          <w:sz w:val="22"/>
          <w:szCs w:val="22"/>
          <w:shd w:val="clear" w:color="auto" w:fill="FFFFFF"/>
        </w:rPr>
        <w:t>La referida</w:t>
      </w:r>
      <w:r w:rsidR="002D0F8A" w:rsidRPr="002D1E9E">
        <w:rPr>
          <w:rFonts w:ascii="Verdana" w:hAnsi="Verdana" w:cs="Arial"/>
          <w:sz w:val="22"/>
          <w:szCs w:val="22"/>
          <w:shd w:val="clear" w:color="auto" w:fill="FFFFFF"/>
        </w:rPr>
        <w:t xml:space="preserve"> obligación incluye todos los documentos generados durante las fases precontractual, contractual y </w:t>
      </w:r>
      <w:proofErr w:type="spellStart"/>
      <w:r w:rsidR="002D0F8A" w:rsidRPr="002D1E9E">
        <w:rPr>
          <w:rFonts w:ascii="Verdana" w:hAnsi="Verdana" w:cs="Arial"/>
          <w:sz w:val="22"/>
          <w:szCs w:val="22"/>
          <w:shd w:val="clear" w:color="auto" w:fill="FFFFFF"/>
        </w:rPr>
        <w:t>postcontractual</w:t>
      </w:r>
      <w:proofErr w:type="spellEnd"/>
      <w:r w:rsidR="002D0F8A" w:rsidRPr="002D1E9E">
        <w:rPr>
          <w:rFonts w:ascii="Verdana" w:hAnsi="Verdana" w:cs="Arial"/>
          <w:sz w:val="22"/>
          <w:szCs w:val="22"/>
          <w:shd w:val="clear" w:color="auto" w:fill="FFFFFF"/>
        </w:rPr>
        <w:t>,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w:t>
      </w:r>
    </w:p>
    <w:p w14:paraId="7873B325" w14:textId="0E788DE6" w:rsidR="00F64404" w:rsidRPr="002D1E9E" w:rsidRDefault="00003AB2" w:rsidP="002D1E9E">
      <w:pPr>
        <w:spacing w:after="120" w:line="276" w:lineRule="auto"/>
        <w:ind w:firstLine="709"/>
        <w:jc w:val="both"/>
        <w:rPr>
          <w:rFonts w:ascii="Verdana" w:hAnsi="Verdana" w:cs="Arial"/>
          <w:bCs/>
          <w:sz w:val="22"/>
          <w:szCs w:val="22"/>
        </w:rPr>
      </w:pPr>
      <w:r w:rsidRPr="002D1E9E">
        <w:rPr>
          <w:rFonts w:ascii="Verdana" w:eastAsia="Calibri" w:hAnsi="Verdana" w:cs="Arial"/>
          <w:sz w:val="22"/>
          <w:szCs w:val="22"/>
          <w:shd w:val="clear" w:color="auto" w:fill="FFFFFF"/>
          <w:lang w:val="es-ES"/>
        </w:rPr>
        <w:t>Si bien esta Agencia ha señalado en ocasiones pasadas, como en los conceptos C-294</w:t>
      </w:r>
      <w:r w:rsidR="006F609F" w:rsidRPr="002D1E9E">
        <w:rPr>
          <w:rFonts w:ascii="Verdana" w:eastAsia="Calibri" w:hAnsi="Verdana" w:cs="Arial"/>
          <w:sz w:val="22"/>
          <w:szCs w:val="22"/>
          <w:shd w:val="clear" w:color="auto" w:fill="FFFFFF"/>
          <w:lang w:val="es-ES"/>
        </w:rPr>
        <w:t xml:space="preserve"> de 2025</w:t>
      </w:r>
      <w:r w:rsidRPr="002D1E9E">
        <w:rPr>
          <w:rFonts w:ascii="Verdana" w:eastAsia="Calibri" w:hAnsi="Verdana" w:cs="Arial"/>
          <w:sz w:val="22"/>
          <w:szCs w:val="22"/>
          <w:shd w:val="clear" w:color="auto" w:fill="FFFFFF"/>
          <w:lang w:val="es-ES"/>
        </w:rPr>
        <w:t xml:space="preserve">, </w:t>
      </w:r>
      <w:r w:rsidR="006F609F" w:rsidRPr="002D1E9E">
        <w:rPr>
          <w:rFonts w:ascii="Verdana" w:eastAsia="Calibri" w:hAnsi="Verdana" w:cs="Arial"/>
          <w:sz w:val="22"/>
          <w:szCs w:val="22"/>
          <w:shd w:val="clear" w:color="auto" w:fill="FFFFFF"/>
          <w:lang w:val="es-ES"/>
        </w:rPr>
        <w:t>C-</w:t>
      </w:r>
      <w:r w:rsidRPr="002D1E9E">
        <w:rPr>
          <w:rFonts w:ascii="Verdana" w:eastAsia="Calibri" w:hAnsi="Verdana" w:cs="Arial"/>
          <w:sz w:val="22"/>
          <w:szCs w:val="22"/>
          <w:shd w:val="clear" w:color="auto" w:fill="FFFFFF"/>
          <w:lang w:val="es-ES"/>
        </w:rPr>
        <w:t>778</w:t>
      </w:r>
      <w:r w:rsidR="006F609F" w:rsidRPr="002D1E9E">
        <w:rPr>
          <w:rFonts w:ascii="Verdana" w:eastAsia="Calibri" w:hAnsi="Verdana" w:cs="Arial"/>
          <w:sz w:val="22"/>
          <w:szCs w:val="22"/>
          <w:shd w:val="clear" w:color="auto" w:fill="FFFFFF"/>
          <w:lang w:val="es-ES"/>
        </w:rPr>
        <w:t xml:space="preserve"> de 2025</w:t>
      </w:r>
      <w:r w:rsidRPr="002D1E9E">
        <w:rPr>
          <w:rFonts w:ascii="Verdana" w:eastAsia="Calibri" w:hAnsi="Verdana" w:cs="Arial"/>
          <w:sz w:val="22"/>
          <w:szCs w:val="22"/>
          <w:shd w:val="clear" w:color="auto" w:fill="FFFFFF"/>
          <w:lang w:val="es-ES"/>
        </w:rPr>
        <w:t xml:space="preserve">, </w:t>
      </w:r>
      <w:r w:rsidR="006F609F" w:rsidRPr="002D1E9E">
        <w:rPr>
          <w:rFonts w:ascii="Verdana" w:eastAsia="Calibri" w:hAnsi="Verdana" w:cs="Arial"/>
          <w:sz w:val="22"/>
          <w:szCs w:val="22"/>
          <w:shd w:val="clear" w:color="auto" w:fill="FFFFFF"/>
          <w:lang w:val="es-ES"/>
        </w:rPr>
        <w:t>C-</w:t>
      </w:r>
      <w:r w:rsidRPr="002D1E9E">
        <w:rPr>
          <w:rFonts w:ascii="Verdana" w:eastAsia="Calibri" w:hAnsi="Verdana" w:cs="Arial"/>
          <w:sz w:val="22"/>
          <w:szCs w:val="22"/>
          <w:shd w:val="clear" w:color="auto" w:fill="FFFFFF"/>
          <w:lang w:val="es-ES"/>
        </w:rPr>
        <w:t>866</w:t>
      </w:r>
      <w:r w:rsidR="006F609F" w:rsidRPr="002D1E9E">
        <w:rPr>
          <w:rFonts w:ascii="Verdana" w:eastAsia="Calibri" w:hAnsi="Verdana" w:cs="Arial"/>
          <w:sz w:val="22"/>
          <w:szCs w:val="22"/>
          <w:shd w:val="clear" w:color="auto" w:fill="FFFFFF"/>
          <w:lang w:val="es-ES"/>
        </w:rPr>
        <w:t xml:space="preserve"> de 2025</w:t>
      </w:r>
      <w:r w:rsidRPr="002D1E9E">
        <w:rPr>
          <w:rFonts w:ascii="Verdana" w:eastAsia="Calibri" w:hAnsi="Verdana" w:cs="Arial"/>
          <w:sz w:val="22"/>
          <w:szCs w:val="22"/>
          <w:shd w:val="clear" w:color="auto" w:fill="FFFFFF"/>
          <w:lang w:val="es-ES"/>
        </w:rPr>
        <w:t xml:space="preserve"> y </w:t>
      </w:r>
      <w:r w:rsidR="006F609F" w:rsidRPr="002D1E9E">
        <w:rPr>
          <w:rFonts w:ascii="Verdana" w:eastAsia="Calibri" w:hAnsi="Verdana" w:cs="Arial"/>
          <w:sz w:val="22"/>
          <w:szCs w:val="22"/>
          <w:shd w:val="clear" w:color="auto" w:fill="FFFFFF"/>
          <w:lang w:val="es-ES"/>
        </w:rPr>
        <w:t>C-</w:t>
      </w:r>
      <w:r w:rsidRPr="002D1E9E">
        <w:rPr>
          <w:rFonts w:ascii="Verdana" w:eastAsia="Calibri" w:hAnsi="Verdana" w:cs="Arial"/>
          <w:sz w:val="22"/>
          <w:szCs w:val="22"/>
          <w:shd w:val="clear" w:color="auto" w:fill="FFFFFF"/>
          <w:lang w:val="es-ES"/>
        </w:rPr>
        <w:t xml:space="preserve">908 de 2025, </w:t>
      </w:r>
      <w:r w:rsidR="006F609F" w:rsidRPr="002D1E9E">
        <w:rPr>
          <w:rFonts w:ascii="Verdana" w:eastAsia="Calibri" w:hAnsi="Verdana" w:cs="Arial"/>
          <w:sz w:val="22"/>
          <w:szCs w:val="22"/>
          <w:shd w:val="clear" w:color="auto" w:fill="FFFFFF"/>
          <w:lang w:val="es-ES"/>
        </w:rPr>
        <w:t>que</w:t>
      </w:r>
      <w:r w:rsidRPr="002D1E9E">
        <w:rPr>
          <w:rFonts w:ascii="Verdana" w:eastAsia="Calibri" w:hAnsi="Verdana" w:cs="Arial"/>
          <w:sz w:val="22"/>
          <w:szCs w:val="22"/>
          <w:shd w:val="clear" w:color="auto" w:fill="FFFFFF"/>
          <w:lang w:val="es-ES"/>
        </w:rPr>
        <w:t xml:space="preserve"> las </w:t>
      </w:r>
      <w:r w:rsidR="006F609F" w:rsidRPr="002D1E9E">
        <w:rPr>
          <w:rFonts w:ascii="Verdana" w:eastAsia="Calibri" w:hAnsi="Verdana" w:cs="Arial"/>
          <w:sz w:val="22"/>
          <w:szCs w:val="22"/>
          <w:shd w:val="clear" w:color="auto" w:fill="FFFFFF"/>
          <w:lang w:val="es-ES"/>
        </w:rPr>
        <w:t>C</w:t>
      </w:r>
      <w:r w:rsidRPr="002D1E9E">
        <w:rPr>
          <w:rFonts w:ascii="Verdana" w:eastAsia="Calibri" w:hAnsi="Verdana" w:cs="Arial"/>
          <w:sz w:val="22"/>
          <w:szCs w:val="22"/>
          <w:shd w:val="clear" w:color="auto" w:fill="FFFFFF"/>
          <w:lang w:val="es-ES"/>
        </w:rPr>
        <w:t xml:space="preserve">ajas de </w:t>
      </w:r>
      <w:r w:rsidR="006F609F" w:rsidRPr="002D1E9E">
        <w:rPr>
          <w:rFonts w:ascii="Verdana" w:eastAsia="Calibri" w:hAnsi="Verdana" w:cs="Arial"/>
          <w:sz w:val="22"/>
          <w:szCs w:val="22"/>
          <w:shd w:val="clear" w:color="auto" w:fill="FFFFFF"/>
          <w:lang w:val="es-ES"/>
        </w:rPr>
        <w:t>C</w:t>
      </w:r>
      <w:r w:rsidRPr="002D1E9E">
        <w:rPr>
          <w:rFonts w:ascii="Verdana" w:eastAsia="Calibri" w:hAnsi="Verdana" w:cs="Arial"/>
          <w:sz w:val="22"/>
          <w:szCs w:val="22"/>
          <w:shd w:val="clear" w:color="auto" w:fill="FFFFFF"/>
          <w:lang w:val="es-ES"/>
        </w:rPr>
        <w:t xml:space="preserve">ompensación </w:t>
      </w:r>
      <w:r w:rsidR="006F609F" w:rsidRPr="002D1E9E">
        <w:rPr>
          <w:rFonts w:ascii="Verdana" w:eastAsia="Calibri" w:hAnsi="Verdana" w:cs="Arial"/>
          <w:sz w:val="22"/>
          <w:szCs w:val="22"/>
          <w:shd w:val="clear" w:color="auto" w:fill="FFFFFF"/>
          <w:lang w:val="es-ES"/>
        </w:rPr>
        <w:t>F</w:t>
      </w:r>
      <w:r w:rsidRPr="002D1E9E">
        <w:rPr>
          <w:rFonts w:ascii="Verdana" w:eastAsia="Calibri" w:hAnsi="Verdana" w:cs="Arial"/>
          <w:sz w:val="22"/>
          <w:szCs w:val="22"/>
          <w:shd w:val="clear" w:color="auto" w:fill="FFFFFF"/>
          <w:lang w:val="es-ES"/>
        </w:rPr>
        <w:t>amiliar deb</w:t>
      </w:r>
      <w:r w:rsidR="00F64404" w:rsidRPr="002D1E9E">
        <w:rPr>
          <w:rFonts w:ascii="Verdana" w:eastAsia="Calibri" w:hAnsi="Verdana" w:cs="Arial"/>
          <w:sz w:val="22"/>
          <w:szCs w:val="22"/>
          <w:shd w:val="clear" w:color="auto" w:fill="FFFFFF"/>
          <w:lang w:val="es-ES"/>
        </w:rPr>
        <w:t>ían</w:t>
      </w:r>
      <w:r w:rsidRPr="002D1E9E">
        <w:rPr>
          <w:rFonts w:ascii="Verdana" w:eastAsia="Calibri" w:hAnsi="Verdana" w:cs="Arial"/>
          <w:sz w:val="22"/>
          <w:szCs w:val="22"/>
          <w:shd w:val="clear" w:color="auto" w:fill="FFFFFF"/>
          <w:lang w:val="es-ES"/>
        </w:rPr>
        <w:t xml:space="preserve"> publicar su actividad contractual en SECOP II </w:t>
      </w:r>
      <w:r w:rsidR="00F64404" w:rsidRPr="002D1E9E">
        <w:rPr>
          <w:rFonts w:ascii="Verdana" w:eastAsia="Calibri" w:hAnsi="Verdana" w:cs="Arial"/>
          <w:sz w:val="22"/>
          <w:szCs w:val="22"/>
          <w:shd w:val="clear" w:color="auto" w:fill="FFFFFF"/>
          <w:lang w:val="es-ES"/>
        </w:rPr>
        <w:t>con fundamento</w:t>
      </w:r>
      <w:r w:rsidRPr="002D1E9E">
        <w:rPr>
          <w:rFonts w:ascii="Verdana" w:eastAsia="Calibri" w:hAnsi="Verdana" w:cs="Arial"/>
          <w:sz w:val="22"/>
          <w:szCs w:val="22"/>
          <w:shd w:val="clear" w:color="auto" w:fill="FFFFFF"/>
          <w:lang w:val="es-ES"/>
        </w:rPr>
        <w:t xml:space="preserve"> en </w:t>
      </w:r>
      <w:r w:rsidRPr="002D1E9E">
        <w:rPr>
          <w:rFonts w:ascii="Verdana" w:eastAsia="Calibri" w:hAnsi="Verdana" w:cs="Arial"/>
          <w:sz w:val="22"/>
          <w:szCs w:val="22"/>
          <w:lang w:val="es-ES" w:eastAsia="es-ES"/>
        </w:rPr>
        <w:t xml:space="preserve">el artículo 53 de la Ley 2195 de 2022, </w:t>
      </w:r>
      <w:r w:rsidRPr="002D1E9E">
        <w:rPr>
          <w:rFonts w:ascii="Verdana" w:hAnsi="Verdana" w:cs="Arial"/>
          <w:bCs/>
          <w:sz w:val="22"/>
          <w:szCs w:val="22"/>
        </w:rPr>
        <w:t xml:space="preserve">mediante el cual se adiciona el artículo 13 de la Ley 1150 de 2007, </w:t>
      </w:r>
      <w:r w:rsidR="00F64404" w:rsidRPr="002D1E9E">
        <w:rPr>
          <w:rFonts w:ascii="Verdana" w:hAnsi="Verdana" w:cs="Arial"/>
          <w:bCs/>
          <w:sz w:val="22"/>
          <w:szCs w:val="22"/>
        </w:rPr>
        <w:t xml:space="preserve">resulta necesario precisar que la obligación de publicidad para las Cajas no se </w:t>
      </w:r>
      <w:r w:rsidRPr="002D1E9E">
        <w:rPr>
          <w:rFonts w:ascii="Verdana" w:hAnsi="Verdana" w:cs="Arial"/>
          <w:bCs/>
          <w:sz w:val="22"/>
          <w:szCs w:val="22"/>
        </w:rPr>
        <w:t xml:space="preserve">sustenta </w:t>
      </w:r>
      <w:r w:rsidR="00F64404" w:rsidRPr="002D1E9E">
        <w:rPr>
          <w:rFonts w:ascii="Verdana" w:hAnsi="Verdana" w:cs="Arial"/>
          <w:bCs/>
          <w:sz w:val="22"/>
          <w:szCs w:val="22"/>
        </w:rPr>
        <w:t>en que estas se clasifiquen como “entidades de régimen exceptuado”, sino en los mandatos normativos de transparencia y acceso a la</w:t>
      </w:r>
      <w:r w:rsidR="007B6DDF" w:rsidRPr="002D1E9E">
        <w:rPr>
          <w:rFonts w:ascii="Verdana" w:hAnsi="Verdana" w:cs="Arial"/>
          <w:bCs/>
          <w:sz w:val="22"/>
          <w:szCs w:val="22"/>
        </w:rPr>
        <w:t xml:space="preserve"> </w:t>
      </w:r>
      <w:r w:rsidR="00F64404" w:rsidRPr="002D1E9E">
        <w:rPr>
          <w:rFonts w:ascii="Verdana" w:hAnsi="Verdana" w:cs="Arial"/>
          <w:bCs/>
          <w:sz w:val="22"/>
          <w:szCs w:val="22"/>
        </w:rPr>
        <w:t xml:space="preserve">información </w:t>
      </w:r>
      <w:r w:rsidR="007B6DDF" w:rsidRPr="002D1E9E">
        <w:rPr>
          <w:rFonts w:ascii="Verdana" w:hAnsi="Verdana" w:cs="Arial"/>
          <w:bCs/>
          <w:sz w:val="22"/>
          <w:szCs w:val="22"/>
        </w:rPr>
        <w:t xml:space="preserve">pública que cobija a quienes administran recursos parafiscales o de naturaleza pública, tal y como se ha expuesto a lo largo de este concepto. </w:t>
      </w:r>
      <w:r w:rsidR="00F64404" w:rsidRPr="002D1E9E">
        <w:rPr>
          <w:rFonts w:ascii="Verdana" w:hAnsi="Verdana" w:cs="Arial"/>
          <w:bCs/>
          <w:sz w:val="22"/>
          <w:szCs w:val="22"/>
        </w:rPr>
        <w:t xml:space="preserve"> </w:t>
      </w:r>
    </w:p>
    <w:p w14:paraId="306CA2CE" w14:textId="36BA6DC6" w:rsidR="00003AB2" w:rsidRPr="002D1E9E" w:rsidRDefault="007B6DDF" w:rsidP="009373ED">
      <w:pPr>
        <w:spacing w:after="120" w:line="276" w:lineRule="auto"/>
        <w:ind w:firstLine="709"/>
        <w:jc w:val="both"/>
        <w:rPr>
          <w:rFonts w:ascii="Verdana" w:eastAsia="Calibri" w:hAnsi="Verdana" w:cs="Arial"/>
          <w:color w:val="000000"/>
          <w:sz w:val="22"/>
          <w:szCs w:val="22"/>
        </w:rPr>
      </w:pPr>
      <w:r w:rsidRPr="002D1E9E">
        <w:rPr>
          <w:rFonts w:ascii="Verdana" w:hAnsi="Verdana" w:cs="Arial"/>
          <w:bCs/>
          <w:sz w:val="22"/>
          <w:szCs w:val="22"/>
        </w:rPr>
        <w:t xml:space="preserve">Al respecto, </w:t>
      </w:r>
      <w:r w:rsidRPr="002D1E9E">
        <w:rPr>
          <w:rFonts w:ascii="Verdana" w:eastAsia="Calibri" w:hAnsi="Verdana" w:cs="Arial"/>
          <w:color w:val="000000"/>
          <w:sz w:val="22"/>
          <w:szCs w:val="22"/>
        </w:rPr>
        <w:t>e</w:t>
      </w:r>
      <w:r w:rsidR="002D0F8A" w:rsidRPr="002D1E9E">
        <w:rPr>
          <w:rFonts w:ascii="Verdana" w:eastAsia="Calibri" w:hAnsi="Verdana" w:cs="Arial"/>
          <w:color w:val="000000"/>
          <w:sz w:val="22"/>
          <w:szCs w:val="22"/>
        </w:rPr>
        <w:t xml:space="preserve">l artículo 53 de la Ley 2195 de 2022 estableció la obligación de las </w:t>
      </w:r>
      <w:r w:rsidR="00C64ADA" w:rsidRPr="002D1E9E">
        <w:rPr>
          <w:rFonts w:ascii="Verdana" w:eastAsia="Calibri" w:hAnsi="Verdana" w:cs="Arial"/>
          <w:color w:val="000000"/>
          <w:sz w:val="22"/>
          <w:szCs w:val="22"/>
        </w:rPr>
        <w:t xml:space="preserve">entidades estatales </w:t>
      </w:r>
      <w:r w:rsidR="002D0F8A" w:rsidRPr="002D1E9E">
        <w:rPr>
          <w:rFonts w:ascii="Verdana" w:eastAsia="Calibri" w:hAnsi="Verdana" w:cs="Arial"/>
          <w:color w:val="000000"/>
          <w:sz w:val="22"/>
          <w:szCs w:val="22"/>
        </w:rPr>
        <w:t xml:space="preserve">exceptuadas del Estatuto General de Contratación de la Administración Pública de publicar en el SECOP II su actividad contractual. </w:t>
      </w:r>
      <w:r w:rsidRPr="002D1E9E">
        <w:rPr>
          <w:rFonts w:ascii="Verdana" w:eastAsia="Calibri" w:hAnsi="Verdana" w:cs="Arial"/>
          <w:color w:val="000000"/>
          <w:sz w:val="22"/>
          <w:szCs w:val="22"/>
        </w:rPr>
        <w:t xml:space="preserve">Esta regla se dirige a las entidades </w:t>
      </w:r>
      <w:r w:rsidRPr="00783CE1">
        <w:rPr>
          <w:rFonts w:ascii="Verdana" w:eastAsia="Calibri" w:hAnsi="Verdana" w:cs="Arial"/>
          <w:color w:val="000000"/>
          <w:sz w:val="22"/>
          <w:szCs w:val="22"/>
        </w:rPr>
        <w:t>públicas</w:t>
      </w:r>
      <w:r w:rsidRPr="002D1E9E">
        <w:rPr>
          <w:rFonts w:ascii="Verdana" w:eastAsia="Calibri" w:hAnsi="Verdana" w:cs="Arial"/>
          <w:color w:val="000000"/>
          <w:sz w:val="22"/>
          <w:szCs w:val="22"/>
        </w:rPr>
        <w:t xml:space="preserve"> que, por disposición legal, tienen un régimen contractual especial distinto a la Ley 80 de 1993. </w:t>
      </w:r>
    </w:p>
    <w:p w14:paraId="3B57FB56" w14:textId="1F426E51" w:rsidR="00003AB2" w:rsidRPr="002D1E9E" w:rsidRDefault="00003AB2">
      <w:pPr>
        <w:spacing w:after="120" w:line="276" w:lineRule="auto"/>
        <w:ind w:firstLine="709"/>
        <w:jc w:val="both"/>
        <w:rPr>
          <w:rFonts w:ascii="Verdana" w:eastAsia="Calibri" w:hAnsi="Verdana" w:cs="Arial"/>
          <w:color w:val="000000"/>
          <w:sz w:val="22"/>
          <w:szCs w:val="22"/>
        </w:rPr>
      </w:pPr>
      <w:r w:rsidRPr="002D1E9E">
        <w:rPr>
          <w:rFonts w:ascii="Verdana" w:eastAsia="Calibri" w:hAnsi="Verdana" w:cs="Arial"/>
          <w:color w:val="000000"/>
          <w:sz w:val="22"/>
          <w:szCs w:val="22"/>
        </w:rPr>
        <w:t xml:space="preserve">Ahora bien, esta obligatoriedad de publicar en SECOP II establecida en el artículo 53 de la Ley 2195 de 2022, así como las circulares que expidió </w:t>
      </w:r>
      <w:r w:rsidR="007B6DDF" w:rsidRPr="002D1E9E">
        <w:rPr>
          <w:rFonts w:ascii="Verdana" w:eastAsia="Calibri" w:hAnsi="Verdana" w:cs="Arial"/>
          <w:color w:val="000000"/>
          <w:sz w:val="22"/>
          <w:szCs w:val="22"/>
        </w:rPr>
        <w:t xml:space="preserve">la Agencia Nacional de Contratación Pública – </w:t>
      </w:r>
      <w:r w:rsidRPr="002D1E9E">
        <w:rPr>
          <w:rFonts w:ascii="Verdana" w:eastAsia="Calibri" w:hAnsi="Verdana" w:cs="Arial"/>
          <w:color w:val="000000"/>
          <w:sz w:val="22"/>
          <w:szCs w:val="22"/>
        </w:rPr>
        <w:t>Colombia Compra Eficiente sobre la materia</w:t>
      </w:r>
      <w:r w:rsidR="007B6DDF" w:rsidRPr="002D1E9E">
        <w:rPr>
          <w:rFonts w:ascii="Verdana" w:eastAsia="Calibri" w:hAnsi="Verdana" w:cs="Arial"/>
          <w:color w:val="000000"/>
          <w:sz w:val="22"/>
          <w:szCs w:val="22"/>
        </w:rPr>
        <w:t>,</w:t>
      </w:r>
      <w:r w:rsidRPr="002D1E9E">
        <w:rPr>
          <w:rFonts w:ascii="Verdana" w:eastAsia="Calibri" w:hAnsi="Verdana" w:cs="Arial"/>
          <w:color w:val="000000"/>
          <w:sz w:val="22"/>
          <w:szCs w:val="22"/>
        </w:rPr>
        <w:t xml:space="preserve"> no son aplicables a las </w:t>
      </w:r>
      <w:r w:rsidR="007B6DDF" w:rsidRPr="002D1E9E">
        <w:rPr>
          <w:rFonts w:ascii="Verdana" w:eastAsia="Calibri" w:hAnsi="Verdana" w:cs="Arial"/>
          <w:color w:val="000000"/>
          <w:sz w:val="22"/>
          <w:szCs w:val="22"/>
        </w:rPr>
        <w:t>Cajas de Compensación Familiar</w:t>
      </w:r>
      <w:r w:rsidRPr="002D1E9E">
        <w:rPr>
          <w:rFonts w:ascii="Verdana" w:eastAsia="Calibri" w:hAnsi="Verdana" w:cs="Arial"/>
          <w:color w:val="000000"/>
          <w:sz w:val="22"/>
          <w:szCs w:val="22"/>
        </w:rPr>
        <w:t xml:space="preserve">, </w:t>
      </w:r>
      <w:r w:rsidR="007B6DDF" w:rsidRPr="002D1E9E">
        <w:rPr>
          <w:rFonts w:ascii="Verdana" w:eastAsia="Calibri" w:hAnsi="Verdana" w:cs="Arial"/>
          <w:color w:val="000000"/>
          <w:sz w:val="22"/>
          <w:szCs w:val="22"/>
        </w:rPr>
        <w:t>pues no integran la administración pública ni tienen la condición de entidades descentralizadas</w:t>
      </w:r>
      <w:r w:rsidRPr="002D1E9E">
        <w:rPr>
          <w:rFonts w:ascii="Verdana" w:eastAsia="Calibri" w:hAnsi="Verdana" w:cs="Arial"/>
          <w:color w:val="000000"/>
          <w:sz w:val="22"/>
          <w:szCs w:val="22"/>
        </w:rPr>
        <w:t xml:space="preserve"> territorial o por servicios. Es decir, al no tener la calidad de ser entidades públicas de régimen especial de contratación, no puede extenderles la aplicación del artículo 53 de la Ley 2195 de 2022 que modifica el artículo 13 de la Ley 1150 de 2007 sobre la obligatoriedad del SECOP II. </w:t>
      </w:r>
    </w:p>
    <w:p w14:paraId="26929B2D" w14:textId="209AD6C9" w:rsidR="002D0F8A" w:rsidRPr="002D1E9E" w:rsidRDefault="007B6DDF" w:rsidP="002D1E9E">
      <w:pPr>
        <w:spacing w:after="120" w:line="276" w:lineRule="auto"/>
        <w:ind w:firstLine="709"/>
        <w:jc w:val="both"/>
        <w:rPr>
          <w:rFonts w:ascii="Verdana" w:eastAsia="Calibri" w:hAnsi="Verdana" w:cs="Arial"/>
          <w:color w:val="000000"/>
          <w:sz w:val="22"/>
          <w:szCs w:val="22"/>
        </w:rPr>
      </w:pPr>
      <w:r w:rsidRPr="002D1E9E">
        <w:rPr>
          <w:rFonts w:ascii="Verdana" w:eastAsia="Calibri" w:hAnsi="Verdana" w:cs="Arial"/>
          <w:color w:val="000000"/>
          <w:sz w:val="22"/>
          <w:szCs w:val="22"/>
        </w:rPr>
        <w:t xml:space="preserve">En el caso de las Cajas de Compensación Familiar, la exigibilidad de publicidad en el SECOP no proviene del artículo 53 </w:t>
      </w:r>
      <w:r w:rsidR="005542B0" w:rsidRPr="005542B0">
        <w:rPr>
          <w:rFonts w:ascii="Verdana" w:eastAsia="Calibri" w:hAnsi="Verdana" w:cs="Arial"/>
          <w:i/>
          <w:iCs/>
          <w:color w:val="000000"/>
          <w:sz w:val="22"/>
          <w:szCs w:val="22"/>
        </w:rPr>
        <w:t>ibidem</w:t>
      </w:r>
      <w:r w:rsidRPr="002D1E9E">
        <w:rPr>
          <w:rFonts w:ascii="Verdana" w:eastAsia="Calibri" w:hAnsi="Verdana" w:cs="Arial"/>
          <w:color w:val="000000"/>
          <w:sz w:val="22"/>
          <w:szCs w:val="22"/>
        </w:rPr>
        <w:t xml:space="preserve">, sino de la Ley 1712 de 2014 y reglamentación, que imponen publicar en SECOP la información </w:t>
      </w:r>
      <w:r w:rsidRPr="002D1E9E">
        <w:rPr>
          <w:rFonts w:ascii="Verdana" w:eastAsia="Calibri" w:hAnsi="Verdana" w:cs="Arial"/>
          <w:color w:val="000000"/>
          <w:sz w:val="22"/>
          <w:szCs w:val="22"/>
        </w:rPr>
        <w:lastRenderedPageBreak/>
        <w:t xml:space="preserve">contractual cuando se contrata con cargo a recursos públicos. Así, </w:t>
      </w:r>
      <w:r w:rsidRPr="00783CE1">
        <w:rPr>
          <w:rFonts w:ascii="Verdana" w:eastAsia="Arial" w:hAnsi="Verdana" w:cs="Arial"/>
          <w:color w:val="000000"/>
          <w:sz w:val="22"/>
          <w:szCs w:val="22"/>
        </w:rPr>
        <w:t>a</w:t>
      </w:r>
      <w:r w:rsidR="00034C77" w:rsidRPr="00783CE1">
        <w:rPr>
          <w:rFonts w:ascii="Verdana" w:eastAsia="Arial" w:hAnsi="Verdana" w:cs="Arial"/>
          <w:color w:val="000000"/>
          <w:sz w:val="22"/>
          <w:szCs w:val="22"/>
        </w:rPr>
        <w:t>unque las Cajas de Com</w:t>
      </w:r>
      <w:r w:rsidR="00034C77" w:rsidRPr="00FE17B2">
        <w:rPr>
          <w:rFonts w:ascii="Verdana" w:eastAsia="Arial" w:hAnsi="Verdana" w:cs="Arial"/>
          <w:color w:val="000000"/>
          <w:sz w:val="22"/>
          <w:szCs w:val="22"/>
        </w:rPr>
        <w:t>pensaci</w:t>
      </w:r>
      <w:r w:rsidR="00034C77" w:rsidRPr="00DB5DAF">
        <w:rPr>
          <w:rFonts w:ascii="Verdana" w:eastAsia="Arial" w:hAnsi="Verdana" w:cs="Arial"/>
          <w:color w:val="000000"/>
          <w:sz w:val="22"/>
          <w:szCs w:val="22"/>
        </w:rPr>
        <w:t xml:space="preserve">ón Familiar administran </w:t>
      </w:r>
      <w:r w:rsidR="00034C77" w:rsidRPr="00BA07AC">
        <w:rPr>
          <w:rFonts w:ascii="Verdana" w:eastAsia="Arial" w:hAnsi="Verdana" w:cs="Arial"/>
          <w:color w:val="000000"/>
          <w:sz w:val="22"/>
          <w:szCs w:val="22"/>
        </w:rPr>
        <w:t xml:space="preserve">recursos parafiscales, ello no las </w:t>
      </w:r>
      <w:r w:rsidR="00034C77" w:rsidRPr="009373ED">
        <w:rPr>
          <w:rFonts w:ascii="Verdana" w:eastAsia="Arial" w:hAnsi="Verdana" w:cs="Arial"/>
          <w:color w:val="000000"/>
          <w:sz w:val="22"/>
          <w:szCs w:val="22"/>
        </w:rPr>
        <w:t>convierte en entidades p</w:t>
      </w:r>
      <w:r w:rsidR="00034C77" w:rsidRPr="00674D41">
        <w:rPr>
          <w:rFonts w:ascii="Verdana" w:eastAsia="Arial" w:hAnsi="Verdana" w:cs="Arial"/>
          <w:color w:val="000000"/>
          <w:sz w:val="22"/>
          <w:szCs w:val="22"/>
        </w:rPr>
        <w:t>úblicas</w:t>
      </w:r>
      <w:r w:rsidR="00034C77" w:rsidRPr="0064434E">
        <w:rPr>
          <w:rFonts w:ascii="Verdana" w:eastAsia="Arial" w:hAnsi="Verdana" w:cs="Arial"/>
          <w:color w:val="000000"/>
          <w:sz w:val="22"/>
          <w:szCs w:val="22"/>
        </w:rPr>
        <w:t xml:space="preserve"> y, por ende, tampoco </w:t>
      </w:r>
      <w:r w:rsidR="00364AC6" w:rsidRPr="0064434E">
        <w:rPr>
          <w:rFonts w:ascii="Verdana" w:eastAsia="Arial" w:hAnsi="Verdana" w:cs="Arial"/>
          <w:color w:val="000000"/>
          <w:sz w:val="22"/>
          <w:szCs w:val="22"/>
        </w:rPr>
        <w:t xml:space="preserve">en </w:t>
      </w:r>
      <w:r w:rsidR="00364AC6" w:rsidRPr="009107D3">
        <w:rPr>
          <w:rFonts w:ascii="Verdana" w:eastAsia="Arial" w:hAnsi="Verdana" w:cs="Arial"/>
          <w:color w:val="000000"/>
          <w:sz w:val="22"/>
          <w:szCs w:val="22"/>
        </w:rPr>
        <w:t>estatales</w:t>
      </w:r>
      <w:r w:rsidR="00034C77" w:rsidRPr="009107D3">
        <w:rPr>
          <w:rFonts w:ascii="Verdana" w:eastAsia="Arial" w:hAnsi="Verdana" w:cs="Arial"/>
          <w:color w:val="000000"/>
          <w:sz w:val="22"/>
          <w:szCs w:val="22"/>
        </w:rPr>
        <w:t xml:space="preserve"> sometidas o exceptuadas </w:t>
      </w:r>
      <w:r w:rsidR="00034C77" w:rsidRPr="00783CE1">
        <w:rPr>
          <w:rFonts w:ascii="Verdana" w:eastAsia="Arial" w:hAnsi="Verdana" w:cs="Arial"/>
          <w:color w:val="000000"/>
          <w:sz w:val="22"/>
          <w:szCs w:val="22"/>
        </w:rPr>
        <w:t xml:space="preserve">del Estatuto General de Contratación de la Administración Pública. </w:t>
      </w:r>
      <w:r w:rsidR="00034C77" w:rsidRPr="00783CE1">
        <w:rPr>
          <w:rFonts w:ascii="Verdana" w:hAnsi="Verdana" w:cs="Segoe UI"/>
          <w:sz w:val="22"/>
          <w:szCs w:val="22"/>
        </w:rPr>
        <w:t xml:space="preserve">Pese a que en ciertos escenarios pueden colaborar con el Estado y participar en la prestación de funciones sociales, </w:t>
      </w:r>
      <w:r w:rsidR="00034C77" w:rsidRPr="00783CE1">
        <w:rPr>
          <w:rStyle w:val="Fuerte"/>
          <w:rFonts w:ascii="Verdana" w:hAnsi="Verdana" w:cs="Segoe UI"/>
          <w:b w:val="0"/>
          <w:bCs w:val="0"/>
          <w:sz w:val="22"/>
          <w:szCs w:val="22"/>
        </w:rPr>
        <w:t>su naturaleza jurídica permanece en el ámbito del derecho privado</w:t>
      </w:r>
      <w:r w:rsidR="00034C77" w:rsidRPr="00783CE1">
        <w:rPr>
          <w:rFonts w:ascii="Verdana" w:hAnsi="Verdana" w:cs="Segoe UI"/>
          <w:sz w:val="22"/>
          <w:szCs w:val="22"/>
        </w:rPr>
        <w:t xml:space="preserve">, por lo cual continúan siendo </w:t>
      </w:r>
      <w:r w:rsidR="00034C77" w:rsidRPr="00783CE1">
        <w:rPr>
          <w:rStyle w:val="Fuerte"/>
          <w:rFonts w:ascii="Verdana" w:hAnsi="Verdana" w:cs="Segoe UI"/>
          <w:b w:val="0"/>
          <w:bCs w:val="0"/>
          <w:sz w:val="22"/>
          <w:szCs w:val="22"/>
        </w:rPr>
        <w:t>particulares</w:t>
      </w:r>
      <w:r w:rsidR="00034C77" w:rsidRPr="00783CE1">
        <w:rPr>
          <w:rFonts w:ascii="Verdana" w:hAnsi="Verdana" w:cs="Segoe UI"/>
          <w:sz w:val="22"/>
          <w:szCs w:val="22"/>
        </w:rPr>
        <w:t xml:space="preserve"> que gestionan recursos públicos de carácter parafiscal y no órganos de la administración pública.</w:t>
      </w:r>
    </w:p>
    <w:bookmarkEnd w:id="1"/>
    <w:p w14:paraId="60D056B0" w14:textId="0580DB24" w:rsidR="00AD4EB8" w:rsidRPr="002D1E9E" w:rsidRDefault="00AD4EB8" w:rsidP="002D1E9E">
      <w:pPr>
        <w:spacing w:line="276" w:lineRule="auto"/>
        <w:ind w:firstLine="709"/>
        <w:jc w:val="both"/>
        <w:rPr>
          <w:rFonts w:ascii="Verdana" w:eastAsia="Aptos" w:hAnsi="Verdana" w:cs="Arial"/>
          <w:sz w:val="22"/>
          <w:szCs w:val="22"/>
          <w:shd w:val="clear" w:color="auto" w:fill="FFFFFF"/>
        </w:rPr>
      </w:pPr>
      <w:r w:rsidRPr="002D1E9E">
        <w:rPr>
          <w:rFonts w:ascii="Verdana" w:eastAsia="Calibri" w:hAnsi="Verdana" w:cs="Arial"/>
          <w:color w:val="000000" w:themeColor="text1"/>
          <w:sz w:val="22"/>
          <w:szCs w:val="22"/>
        </w:rPr>
        <w:t>Finalmente, se advierte que la Agencia Nacional de Contratación Pública – Colombia Compra Eficiente, por vía consultiva, no puede definir un criterio universal y absoluto sobre la materia que se aborda, sino que brinda elementos hermenéuticos de carácter general para que los partícipes del sistema de compras y contratación pública adopten la decisión que corresponda, lo cual es acorde con el principio de juridicidad. Por lo que, e</w:t>
      </w:r>
      <w:r w:rsidRPr="002D1E9E">
        <w:rPr>
          <w:rFonts w:ascii="Verdana" w:eastAsia="Aptos" w:hAnsi="Verdana" w:cs="Arial"/>
          <w:sz w:val="22"/>
          <w:szCs w:val="22"/>
          <w:shd w:val="clear" w:color="auto" w:fill="FFFFFF"/>
        </w:rPr>
        <w:t>n todo caso, corresponde a cada</w:t>
      </w:r>
      <w:r>
        <w:rPr>
          <w:rFonts w:ascii="Verdana" w:eastAsia="Aptos" w:hAnsi="Verdana" w:cs="Arial"/>
          <w:sz w:val="22"/>
          <w:szCs w:val="22"/>
          <w:shd w:val="clear" w:color="auto" w:fill="FFFFFF"/>
        </w:rPr>
        <w:t xml:space="preserve"> </w:t>
      </w:r>
      <w:r w:rsidR="0064434E" w:rsidRPr="00420F6B">
        <w:rPr>
          <w:rFonts w:ascii="Verdana" w:eastAsia="Aptos" w:hAnsi="Verdana" w:cs="Arial"/>
          <w:sz w:val="22"/>
          <w:szCs w:val="22"/>
          <w:shd w:val="clear" w:color="auto" w:fill="FFFFFF"/>
        </w:rPr>
        <w:t>persona – natural o jurídica -</w:t>
      </w:r>
      <w:r w:rsidRPr="00420F6B">
        <w:rPr>
          <w:rFonts w:ascii="Verdana" w:eastAsia="Aptos" w:hAnsi="Verdana" w:cs="Arial"/>
          <w:sz w:val="22"/>
          <w:szCs w:val="22"/>
          <w:shd w:val="clear" w:color="auto" w:fill="FFFFFF"/>
        </w:rPr>
        <w:t xml:space="preserve"> dar cumplimiento al deber de publicación en relación con su actividad contractual en cumplimiento </w:t>
      </w:r>
      <w:r w:rsidR="0064434E" w:rsidRPr="00420F6B">
        <w:rPr>
          <w:rFonts w:ascii="Verdana" w:eastAsia="Aptos" w:hAnsi="Verdana" w:cs="Arial"/>
          <w:sz w:val="22"/>
          <w:szCs w:val="22"/>
          <w:shd w:val="clear" w:color="auto" w:fill="FFFFFF"/>
        </w:rPr>
        <w:t>de las normas que lo rijan</w:t>
      </w:r>
      <w:r w:rsidRPr="00420F6B">
        <w:rPr>
          <w:rFonts w:ascii="Verdana" w:eastAsia="Aptos" w:hAnsi="Verdana" w:cs="Arial"/>
          <w:sz w:val="22"/>
          <w:szCs w:val="22"/>
          <w:shd w:val="clear" w:color="auto" w:fill="FFFFFF"/>
        </w:rPr>
        <w:t xml:space="preserve">. </w:t>
      </w:r>
    </w:p>
    <w:p w14:paraId="28C7200B" w14:textId="77777777" w:rsidR="005014EA" w:rsidRPr="002D1E9E" w:rsidRDefault="005014EA" w:rsidP="009373ED">
      <w:pPr>
        <w:widowControl w:val="0"/>
        <w:autoSpaceDE w:val="0"/>
        <w:autoSpaceDN w:val="0"/>
        <w:spacing w:line="276" w:lineRule="auto"/>
        <w:jc w:val="both"/>
        <w:rPr>
          <w:rFonts w:ascii="Verdana" w:hAnsi="Verdana" w:cs="Arial"/>
          <w:sz w:val="22"/>
          <w:szCs w:val="22"/>
        </w:rPr>
      </w:pPr>
    </w:p>
    <w:p w14:paraId="4902F2AE" w14:textId="77777777" w:rsidR="00AD4EB8" w:rsidRPr="007563C1" w:rsidRDefault="00AD4EB8" w:rsidP="00AD4EB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563C1">
        <w:rPr>
          <w:rFonts w:ascii="Verdana" w:eastAsia="Century Gothic" w:hAnsi="Verdana" w:cs="Century Gothic"/>
          <w:b/>
          <w:bCs/>
        </w:rPr>
        <w:t>Referencias normativas, jurisprudenciales y otras fuentes:</w:t>
      </w:r>
    </w:p>
    <w:p w14:paraId="1124CEBC" w14:textId="77777777" w:rsidR="00AD4EB8" w:rsidRPr="002D1E9E" w:rsidRDefault="00AD4EB8" w:rsidP="009373ED">
      <w:pPr>
        <w:widowControl w:val="0"/>
        <w:autoSpaceDE w:val="0"/>
        <w:autoSpaceDN w:val="0"/>
        <w:spacing w:line="276" w:lineRule="auto"/>
        <w:jc w:val="both"/>
        <w:rPr>
          <w:rFonts w:ascii="Verdana" w:hAnsi="Verdana" w:cs="Arial"/>
          <w:sz w:val="22"/>
          <w:szCs w:val="22"/>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D4EB8" w:rsidRPr="007563C1" w14:paraId="3006DA02" w14:textId="77777777" w:rsidTr="001E7AF0">
        <w:trPr>
          <w:trHeight w:val="870"/>
        </w:trPr>
        <w:tc>
          <w:tcPr>
            <w:tcW w:w="8647" w:type="dxa"/>
          </w:tcPr>
          <w:p w14:paraId="2CF39E35" w14:textId="1DA636F4" w:rsidR="009107D3" w:rsidRPr="0020562D" w:rsidRDefault="00AD4EB8" w:rsidP="0020562D">
            <w:pPr>
              <w:pStyle w:val="Prrafodelista"/>
              <w:numPr>
                <w:ilvl w:val="0"/>
                <w:numId w:val="17"/>
              </w:numPr>
              <w:spacing w:line="276" w:lineRule="auto"/>
              <w:ind w:left="357" w:hanging="357"/>
              <w:contextualSpacing w:val="0"/>
              <w:jc w:val="both"/>
              <w:rPr>
                <w:rFonts w:ascii="Verdana" w:hAnsi="Verdana" w:cs="Arial"/>
                <w:color w:val="000000" w:themeColor="text1"/>
              </w:rPr>
            </w:pPr>
            <w:r w:rsidRPr="009107D3">
              <w:rPr>
                <w:rFonts w:ascii="Verdana" w:hAnsi="Verdana" w:cs="Arial"/>
                <w:color w:val="000000" w:themeColor="text1"/>
              </w:rPr>
              <w:t>Ley 1150 de 2007, artículo 3 y 13</w:t>
            </w:r>
            <w:r w:rsidR="009107D3" w:rsidRPr="009107D3">
              <w:rPr>
                <w:rFonts w:ascii="Verdana" w:hAnsi="Verdana" w:cs="Arial"/>
                <w:color w:val="000000" w:themeColor="text1"/>
              </w:rPr>
              <w:t xml:space="preserve">. </w:t>
            </w:r>
          </w:p>
          <w:p w14:paraId="61B11537" w14:textId="5442F319" w:rsidR="00AD4EB8" w:rsidRPr="009107D3" w:rsidRDefault="00AD4EB8" w:rsidP="002D1E9E">
            <w:pPr>
              <w:pStyle w:val="Prrafodelista"/>
              <w:numPr>
                <w:ilvl w:val="0"/>
                <w:numId w:val="17"/>
              </w:numPr>
              <w:spacing w:line="276" w:lineRule="auto"/>
              <w:ind w:left="357" w:hanging="357"/>
              <w:contextualSpacing w:val="0"/>
              <w:jc w:val="both"/>
              <w:rPr>
                <w:rFonts w:ascii="Verdana" w:hAnsi="Verdana" w:cs="Arial"/>
                <w:color w:val="000000" w:themeColor="text1"/>
              </w:rPr>
            </w:pPr>
            <w:r w:rsidRPr="009107D3">
              <w:rPr>
                <w:rFonts w:ascii="Verdana" w:hAnsi="Verdana" w:cs="Arial"/>
                <w:color w:val="000000" w:themeColor="text1"/>
              </w:rPr>
              <w:t xml:space="preserve">Ley 1712 de 2014, artículos </w:t>
            </w:r>
            <w:r w:rsidR="009107D3" w:rsidRPr="009107D3">
              <w:rPr>
                <w:rFonts w:ascii="Verdana" w:hAnsi="Verdana" w:cs="Arial"/>
                <w:color w:val="000000" w:themeColor="text1"/>
              </w:rPr>
              <w:t xml:space="preserve">5, </w:t>
            </w:r>
            <w:r w:rsidRPr="009107D3">
              <w:rPr>
                <w:rFonts w:ascii="Verdana" w:hAnsi="Verdana" w:cs="Arial"/>
                <w:color w:val="000000" w:themeColor="text1"/>
              </w:rPr>
              <w:t>9 y 11.</w:t>
            </w:r>
          </w:p>
          <w:p w14:paraId="5E8DC87C" w14:textId="19091586" w:rsidR="009107D3" w:rsidRPr="009107D3" w:rsidRDefault="009107D3" w:rsidP="009107D3">
            <w:pPr>
              <w:pStyle w:val="Prrafodelista"/>
              <w:numPr>
                <w:ilvl w:val="0"/>
                <w:numId w:val="17"/>
              </w:numPr>
              <w:spacing w:line="276" w:lineRule="auto"/>
              <w:ind w:left="357" w:hanging="357"/>
              <w:contextualSpacing w:val="0"/>
              <w:jc w:val="both"/>
              <w:rPr>
                <w:rFonts w:ascii="Verdana" w:hAnsi="Verdana" w:cs="Arial"/>
                <w:color w:val="000000" w:themeColor="text1"/>
              </w:rPr>
            </w:pPr>
            <w:r w:rsidRPr="009107D3">
              <w:rPr>
                <w:rFonts w:ascii="Verdana" w:hAnsi="Verdana" w:cs="Arial"/>
                <w:color w:val="000000" w:themeColor="text1"/>
              </w:rPr>
              <w:t>Ley 2195 de 2022, artículo 53.</w:t>
            </w:r>
          </w:p>
          <w:p w14:paraId="40DE7796" w14:textId="52E15501" w:rsidR="009107D3" w:rsidRPr="009107D3" w:rsidRDefault="00AD4EB8" w:rsidP="002D1E9E">
            <w:pPr>
              <w:pStyle w:val="Prrafodelista"/>
              <w:numPr>
                <w:ilvl w:val="0"/>
                <w:numId w:val="17"/>
              </w:numPr>
              <w:spacing w:line="276" w:lineRule="auto"/>
              <w:ind w:left="357" w:hanging="357"/>
              <w:contextualSpacing w:val="0"/>
              <w:jc w:val="both"/>
              <w:rPr>
                <w:rFonts w:ascii="Verdana" w:hAnsi="Verdana" w:cs="Arial"/>
                <w:color w:val="000000" w:themeColor="text1"/>
              </w:rPr>
            </w:pPr>
            <w:r w:rsidRPr="009107D3">
              <w:rPr>
                <w:rFonts w:ascii="Verdana" w:hAnsi="Verdana" w:cs="Arial"/>
                <w:color w:val="000000" w:themeColor="text1"/>
              </w:rPr>
              <w:t>Decreto 1082 de 2015, artículo 2.1.1.2.1.7. y 2.2.1.1.1.7.1</w:t>
            </w:r>
          </w:p>
          <w:p w14:paraId="06783EB2" w14:textId="2B607381" w:rsidR="009107D3" w:rsidRPr="002D1E9E" w:rsidRDefault="009107D3" w:rsidP="009107D3">
            <w:pPr>
              <w:pStyle w:val="Prrafodelista"/>
              <w:numPr>
                <w:ilvl w:val="0"/>
                <w:numId w:val="17"/>
              </w:numPr>
              <w:spacing w:line="276" w:lineRule="auto"/>
              <w:ind w:left="357" w:hanging="357"/>
              <w:contextualSpacing w:val="0"/>
              <w:jc w:val="both"/>
              <w:rPr>
                <w:rFonts w:ascii="Verdana" w:hAnsi="Verdana" w:cs="Arial"/>
                <w:color w:val="000000"/>
              </w:rPr>
            </w:pPr>
            <w:r w:rsidRPr="002D1E9E">
              <w:rPr>
                <w:rFonts w:ascii="Verdana" w:hAnsi="Verdana" w:cs="Arial"/>
                <w:color w:val="000000"/>
              </w:rPr>
              <w:t>C</w:t>
            </w:r>
            <w:r w:rsidRPr="002D1E9E">
              <w:rPr>
                <w:rFonts w:ascii="Verdana" w:hAnsi="Verdana" w:cs="Arial"/>
                <w:color w:val="000000"/>
                <w:lang w:eastAsia="es-ES"/>
              </w:rPr>
              <w:t>orte Constitucional. Sentencia C‒274 de 9 de mayo de 2013. M.P. Mar</w:t>
            </w:r>
            <w:r w:rsidRPr="002D1E9E">
              <w:rPr>
                <w:rFonts w:ascii="Verdana" w:hAnsi="Verdana" w:cs="Century Gothic"/>
                <w:color w:val="000000"/>
                <w:lang w:eastAsia="es-ES"/>
              </w:rPr>
              <w:t>í</w:t>
            </w:r>
            <w:r w:rsidRPr="002D1E9E">
              <w:rPr>
                <w:rFonts w:ascii="Verdana" w:hAnsi="Verdana" w:cs="Arial"/>
                <w:color w:val="000000"/>
                <w:lang w:eastAsia="es-ES"/>
              </w:rPr>
              <w:t>a Victoria Calle Correa.</w:t>
            </w:r>
          </w:p>
          <w:p w14:paraId="4B232D05" w14:textId="49401AC0" w:rsidR="009107D3" w:rsidRPr="002D1E9E" w:rsidRDefault="009107D3" w:rsidP="009107D3">
            <w:pPr>
              <w:pStyle w:val="Prrafodelista"/>
              <w:numPr>
                <w:ilvl w:val="0"/>
                <w:numId w:val="17"/>
              </w:numPr>
              <w:spacing w:line="276" w:lineRule="auto"/>
              <w:ind w:left="357" w:hanging="357"/>
              <w:contextualSpacing w:val="0"/>
              <w:jc w:val="both"/>
              <w:rPr>
                <w:rFonts w:ascii="Verdana" w:hAnsi="Verdana" w:cs="Arial"/>
                <w:color w:val="000000"/>
              </w:rPr>
            </w:pPr>
            <w:r w:rsidRPr="002D1E9E">
              <w:rPr>
                <w:rFonts w:ascii="Verdana" w:hAnsi="Verdana" w:cs="Arial"/>
              </w:rPr>
              <w:t xml:space="preserve">Consejo de Estado, Sala de Consulta y Servicio Civil. Concepto del 15 de agosto de 2006, </w:t>
            </w:r>
            <w:r w:rsidRPr="002D1E9E">
              <w:rPr>
                <w:rFonts w:ascii="Verdana" w:hAnsi="Verdana" w:cs="Arial"/>
                <w:bCs/>
              </w:rPr>
              <w:t xml:space="preserve">Radicación número: </w:t>
            </w:r>
            <w:r w:rsidRPr="002D1E9E">
              <w:rPr>
                <w:rFonts w:ascii="Verdana" w:hAnsi="Verdana" w:cs="Arial"/>
              </w:rPr>
              <w:t>11001-03-06-000-2006-00073-00(1763)</w:t>
            </w:r>
          </w:p>
          <w:p w14:paraId="4A7B7E80" w14:textId="77777777" w:rsidR="00D53FAD" w:rsidRPr="005F567E" w:rsidRDefault="009107D3" w:rsidP="00D53FAD">
            <w:pPr>
              <w:pStyle w:val="Prrafodelista"/>
              <w:numPr>
                <w:ilvl w:val="0"/>
                <w:numId w:val="17"/>
              </w:numPr>
              <w:spacing w:line="276" w:lineRule="auto"/>
              <w:ind w:left="357" w:hanging="357"/>
              <w:contextualSpacing w:val="0"/>
              <w:jc w:val="both"/>
              <w:rPr>
                <w:rFonts w:ascii="Verdana" w:hAnsi="Verdana" w:cs="Arial"/>
                <w:color w:val="000000"/>
                <w:lang w:val="pt-BR"/>
              </w:rPr>
            </w:pPr>
            <w:r w:rsidRPr="002D1E9E">
              <w:rPr>
                <w:rFonts w:ascii="Verdana" w:hAnsi="Verdana" w:cs="Arial"/>
              </w:rPr>
              <w:t xml:space="preserve">Consejo de Estado. Sentencia del 02 de diciembre de 2015. </w:t>
            </w:r>
            <w:r w:rsidRPr="005F567E">
              <w:rPr>
                <w:rFonts w:ascii="Verdana" w:hAnsi="Verdana" w:cs="Arial"/>
                <w:lang w:val="pt-BR"/>
              </w:rPr>
              <w:t xml:space="preserve">Radicado No. 11001-03-06-000-2015-00144-00(2267). M.P. William Zambrano </w:t>
            </w:r>
            <w:proofErr w:type="spellStart"/>
            <w:r w:rsidRPr="005F567E">
              <w:rPr>
                <w:rFonts w:ascii="Verdana" w:hAnsi="Verdana" w:cs="Arial"/>
                <w:lang w:val="pt-BR"/>
              </w:rPr>
              <w:t>Centina</w:t>
            </w:r>
            <w:proofErr w:type="spellEnd"/>
            <w:r w:rsidRPr="005F567E">
              <w:rPr>
                <w:rFonts w:ascii="Verdana" w:hAnsi="Verdana" w:cs="Arial"/>
                <w:lang w:val="pt-BR"/>
              </w:rPr>
              <w:t>.</w:t>
            </w:r>
          </w:p>
          <w:p w14:paraId="4BF36AEE" w14:textId="77777777" w:rsidR="00D53FAD" w:rsidRPr="00D53FAD" w:rsidRDefault="009107D3" w:rsidP="002D1E9E">
            <w:pPr>
              <w:pStyle w:val="Prrafodelista"/>
              <w:numPr>
                <w:ilvl w:val="0"/>
                <w:numId w:val="17"/>
              </w:numPr>
              <w:spacing w:line="276" w:lineRule="auto"/>
              <w:ind w:left="357" w:hanging="357"/>
              <w:contextualSpacing w:val="0"/>
              <w:jc w:val="both"/>
              <w:rPr>
                <w:rFonts w:ascii="Verdana" w:hAnsi="Verdana" w:cs="Arial"/>
                <w:color w:val="000000"/>
              </w:rPr>
            </w:pPr>
            <w:r w:rsidRPr="00D53FAD">
              <w:rPr>
                <w:rFonts w:ascii="Verdana" w:hAnsi="Verdana"/>
                <w:color w:val="000000"/>
              </w:rPr>
              <w:lastRenderedPageBreak/>
              <w:t xml:space="preserve">TORRENTE BAYONA, César y BUSTAMANTE, Luis Eduardo. Las entidades sin ánimo de lucro (3ª Ed.). Editado por la Cámara de Comercio de Bogotá.  Bogotá. 2000. </w:t>
            </w:r>
          </w:p>
          <w:p w14:paraId="7EE8475E" w14:textId="0194FE7B" w:rsidR="00AD4EB8" w:rsidRPr="00D53FAD" w:rsidRDefault="009107D3" w:rsidP="00206419">
            <w:pPr>
              <w:pStyle w:val="Prrafodelista"/>
              <w:numPr>
                <w:ilvl w:val="0"/>
                <w:numId w:val="17"/>
              </w:numPr>
              <w:spacing w:after="120" w:line="276" w:lineRule="auto"/>
              <w:ind w:left="357" w:hanging="357"/>
              <w:contextualSpacing w:val="0"/>
              <w:jc w:val="both"/>
              <w:rPr>
                <w:rFonts w:ascii="Verdana" w:hAnsi="Verdana" w:cs="Arial"/>
                <w:color w:val="000000"/>
              </w:rPr>
            </w:pPr>
            <w:r w:rsidRPr="00D53FAD">
              <w:rPr>
                <w:rFonts w:ascii="Verdana" w:hAnsi="Verdana" w:cs="Arial"/>
                <w:color w:val="000000"/>
              </w:rPr>
              <w:t xml:space="preserve">BARRERO BUITRAGO, Álvaro. Manual para el establecimiento de sociedades (4ta. ed.). Editorial Librería del Profesional. Bogotá. 2006. </w:t>
            </w:r>
          </w:p>
        </w:tc>
      </w:tr>
    </w:tbl>
    <w:p w14:paraId="11E6581F" w14:textId="77777777" w:rsidR="00AD4EB8" w:rsidRPr="002D1E9E" w:rsidRDefault="00AD4EB8" w:rsidP="009373ED">
      <w:pPr>
        <w:widowControl w:val="0"/>
        <w:autoSpaceDE w:val="0"/>
        <w:autoSpaceDN w:val="0"/>
        <w:spacing w:line="276" w:lineRule="auto"/>
        <w:jc w:val="both"/>
        <w:rPr>
          <w:rFonts w:ascii="Verdana" w:hAnsi="Verdana" w:cs="Arial"/>
          <w:sz w:val="22"/>
          <w:szCs w:val="22"/>
        </w:rPr>
      </w:pPr>
    </w:p>
    <w:p w14:paraId="4CCF4520" w14:textId="77777777" w:rsidR="00AD4EB8" w:rsidRPr="007563C1" w:rsidRDefault="00AD4EB8" w:rsidP="00AD4EB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563C1">
        <w:rPr>
          <w:rFonts w:ascii="Verdana" w:eastAsia="Century Gothic" w:hAnsi="Verdana" w:cs="Century Gothic"/>
          <w:b/>
          <w:bCs/>
        </w:rPr>
        <w:t>Doctrina de la Agencia Nacional de Contratación Pública:</w:t>
      </w:r>
    </w:p>
    <w:p w14:paraId="469BA861" w14:textId="77777777" w:rsidR="00AD4EB8" w:rsidRPr="002D1E9E" w:rsidRDefault="00AD4EB8" w:rsidP="009107D3">
      <w:pPr>
        <w:widowControl w:val="0"/>
        <w:autoSpaceDE w:val="0"/>
        <w:autoSpaceDN w:val="0"/>
        <w:spacing w:line="276" w:lineRule="auto"/>
        <w:jc w:val="both"/>
        <w:rPr>
          <w:rFonts w:ascii="Verdana" w:hAnsi="Verdana" w:cs="Arial"/>
          <w:sz w:val="22"/>
          <w:szCs w:val="22"/>
        </w:rPr>
      </w:pPr>
    </w:p>
    <w:p w14:paraId="5C975D37" w14:textId="77777777" w:rsidR="00AD4EB8" w:rsidRPr="002D1E9E" w:rsidRDefault="00AD4EB8">
      <w:pPr>
        <w:widowControl w:val="0"/>
        <w:autoSpaceDE w:val="0"/>
        <w:autoSpaceDN w:val="0"/>
        <w:spacing w:line="276" w:lineRule="auto"/>
        <w:jc w:val="both"/>
        <w:rPr>
          <w:rStyle w:val="normaltextrun"/>
          <w:rFonts w:ascii="Verdana" w:hAnsi="Verdana" w:cs="Arial"/>
          <w:color w:val="7030A0"/>
          <w:sz w:val="22"/>
          <w:szCs w:val="22"/>
          <w:shd w:val="clear" w:color="auto" w:fill="FFFFFF"/>
          <w:lang w:val="es-ES"/>
        </w:rPr>
      </w:pPr>
      <w:r w:rsidRPr="002D1E9E">
        <w:rPr>
          <w:rStyle w:val="normaltextrun"/>
          <w:rFonts w:ascii="Verdana" w:hAnsi="Verdana" w:cs="Arial"/>
          <w:sz w:val="22"/>
          <w:szCs w:val="22"/>
          <w:shd w:val="clear" w:color="auto" w:fill="FFFFFF"/>
          <w:lang w:val="es-ES"/>
        </w:rPr>
        <w:t xml:space="preserve">Sobre el principio de publicidad, la obligatoriedad de publicación en la plataforma SECOP II y </w:t>
      </w:r>
      <w:r w:rsidRPr="002D1E9E">
        <w:rPr>
          <w:rFonts w:ascii="Verdana" w:hAnsi="Verdana"/>
          <w:sz w:val="22"/>
          <w:szCs w:val="22"/>
        </w:rPr>
        <w:t>la interpretación del artículo 53 de la Ley 2195 de 2022, se pronunció esta Subdirección en los conceptos CU-367 del 23 de julio de 2020, C-049 del 7 de marzo de 2022, C-120 del 22 de marzo de 2022, C-124 del 22 de marzo de 2022, C-132 del 28 de marzo de 2022,</w:t>
      </w:r>
      <w:r w:rsidRPr="002D1E9E">
        <w:rPr>
          <w:rStyle w:val="normaltextrun"/>
          <w:rFonts w:ascii="Verdana" w:hAnsi="Verdana" w:cs="Arial"/>
          <w:sz w:val="22"/>
          <w:szCs w:val="22"/>
          <w:shd w:val="clear" w:color="auto" w:fill="FFFFFF"/>
          <w:lang w:val="es-ES"/>
        </w:rPr>
        <w:t xml:space="preserve"> C-872 de 2024, C-941-2024, C-009 de 2025, C-073 de 2025, C-139 de 2025, C-402 de 2025, entre otros. Es</w:t>
      </w:r>
      <w:r w:rsidRPr="002D1E9E">
        <w:rPr>
          <w:rFonts w:ascii="Verdana" w:hAnsi="Verdana"/>
          <w:sz w:val="22"/>
          <w:szCs w:val="22"/>
        </w:rPr>
        <w:t>tos y otros conceptos se encuentran disponibles para consulta en el Sistema de relatoría de la Agencia, al cual se puede acceder a través del siguiente enlace:</w:t>
      </w:r>
      <w:r w:rsidRPr="002D1E9E">
        <w:rPr>
          <w:rStyle w:val="normaltextrun"/>
          <w:rFonts w:ascii="Verdana" w:hAnsi="Verdana" w:cs="Arial"/>
          <w:sz w:val="22"/>
          <w:szCs w:val="22"/>
          <w:shd w:val="clear" w:color="auto" w:fill="FFFFFF"/>
          <w:lang w:val="es-ES"/>
        </w:rPr>
        <w:t xml:space="preserve"> </w:t>
      </w:r>
      <w:hyperlink r:id="rId14" w:history="1">
        <w:r w:rsidRPr="002D1E9E">
          <w:rPr>
            <w:rStyle w:val="Hipervnculo"/>
            <w:rFonts w:ascii="Verdana" w:hAnsi="Verdana" w:cs="Arial"/>
            <w:sz w:val="22"/>
            <w:szCs w:val="22"/>
            <w:shd w:val="clear" w:color="auto" w:fill="FFFFFF"/>
            <w:lang w:val="es-ES"/>
          </w:rPr>
          <w:t>https://relatoria.colombiacompra.gov.co/busqueda/conceptos</w:t>
        </w:r>
      </w:hyperlink>
      <w:r w:rsidRPr="002D1E9E">
        <w:rPr>
          <w:rStyle w:val="normaltextrun"/>
          <w:rFonts w:ascii="Verdana" w:hAnsi="Verdana" w:cs="Arial"/>
          <w:color w:val="FF0000"/>
          <w:sz w:val="22"/>
          <w:szCs w:val="22"/>
          <w:shd w:val="clear" w:color="auto" w:fill="FFFFFF"/>
          <w:lang w:val="es-ES"/>
        </w:rPr>
        <w:t xml:space="preserve">. </w:t>
      </w:r>
    </w:p>
    <w:p w14:paraId="35DFE7DD" w14:textId="77777777" w:rsidR="00AD4EB8" w:rsidRPr="002D1E9E" w:rsidRDefault="00AD4EB8">
      <w:pPr>
        <w:widowControl w:val="0"/>
        <w:autoSpaceDE w:val="0"/>
        <w:autoSpaceDN w:val="0"/>
        <w:spacing w:line="276" w:lineRule="auto"/>
        <w:jc w:val="both"/>
        <w:rPr>
          <w:rStyle w:val="normaltextrun"/>
          <w:rFonts w:ascii="Verdana" w:hAnsi="Verdana" w:cs="Arial"/>
          <w:color w:val="FF0000"/>
          <w:sz w:val="22"/>
          <w:szCs w:val="22"/>
          <w:shd w:val="clear" w:color="auto" w:fill="FFFFFF"/>
          <w:lang w:val="es-ES"/>
        </w:rPr>
      </w:pPr>
    </w:p>
    <w:p w14:paraId="69CEDDCD" w14:textId="77777777" w:rsidR="00AD4EB8" w:rsidRPr="002D1E9E" w:rsidRDefault="00AD4EB8">
      <w:pPr>
        <w:shd w:val="clear" w:color="auto" w:fill="FFFFFF"/>
        <w:spacing w:line="276" w:lineRule="auto"/>
        <w:jc w:val="both"/>
        <w:textAlignment w:val="baseline"/>
        <w:rPr>
          <w:rFonts w:ascii="Verdana" w:hAnsi="Verdana"/>
          <w:color w:val="467886"/>
          <w:sz w:val="22"/>
          <w:szCs w:val="22"/>
          <w:u w:val="single"/>
          <w:bdr w:val="none" w:sz="0" w:space="0" w:color="auto" w:frame="1"/>
        </w:rPr>
      </w:pPr>
      <w:r w:rsidRPr="002D1E9E">
        <w:rPr>
          <w:rFonts w:ascii="Verdana" w:hAnsi="Verdana"/>
          <w:color w:val="000000"/>
          <w:sz w:val="22"/>
          <w:szCs w:val="22"/>
        </w:rPr>
        <w:t>La Agencia Nacional de Contratación Pública – Colombia Compra Eficiente informa</w:t>
      </w:r>
      <w:r w:rsidRPr="002D1E9E">
        <w:rPr>
          <w:rFonts w:ascii="Verdana" w:hAnsi="Verdana"/>
          <w:color w:val="000000"/>
          <w:sz w:val="22"/>
          <w:szCs w:val="22"/>
          <w:bdr w:val="none" w:sz="0" w:space="0" w:color="auto" w:frame="1"/>
        </w:rPr>
        <w:t xml:space="preserve"> que ya se encuentra disponible la </w:t>
      </w:r>
      <w:r w:rsidRPr="002D1E9E">
        <w:rPr>
          <w:rFonts w:ascii="Verdana" w:hAnsi="Verdana"/>
          <w:b/>
          <w:color w:val="000000"/>
          <w:sz w:val="22"/>
          <w:szCs w:val="22"/>
          <w:bdr w:val="none" w:sz="0" w:space="0" w:color="auto" w:frame="1"/>
        </w:rPr>
        <w:t>Guía de lineamientos de transparencia y selección objetiva para el departamento de La Guajira – Objetivo sexto constitucional de la Sentencia T-302 del 2017. </w:t>
      </w:r>
      <w:r w:rsidRPr="002D1E9E">
        <w:rPr>
          <w:rFonts w:ascii="Verdana" w:hAnsi="Verdana"/>
          <w:color w:val="000000"/>
          <w:sz w:val="22"/>
          <w:szCs w:val="22"/>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D1E9E">
        <w:rPr>
          <w:rFonts w:ascii="Verdana" w:hAnsi="Verdana"/>
          <w:color w:val="000000"/>
          <w:sz w:val="22"/>
          <w:szCs w:val="22"/>
          <w:bdr w:val="none" w:sz="0" w:space="0" w:color="auto" w:frame="1"/>
        </w:rPr>
        <w:t>Wayúu</w:t>
      </w:r>
      <w:proofErr w:type="spellEnd"/>
      <w:r w:rsidRPr="002D1E9E">
        <w:rPr>
          <w:rFonts w:ascii="Verdana" w:hAnsi="Verdana"/>
          <w:color w:val="000000"/>
          <w:sz w:val="22"/>
          <w:szCs w:val="22"/>
          <w:bdr w:val="none" w:sz="0" w:space="0" w:color="auto" w:frame="1"/>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2D1E9E">
          <w:rPr>
            <w:rStyle w:val="Hipervnculo"/>
            <w:rFonts w:ascii="Verdana" w:hAnsi="Verdana"/>
            <w:color w:val="467886"/>
            <w:sz w:val="22"/>
            <w:szCs w:val="22"/>
            <w:bdr w:val="none" w:sz="0" w:space="0" w:color="auto" w:frame="1"/>
          </w:rPr>
          <w:t>Guía de lineamientos de transparencia y selección objetiva para el departamento de La Guajira – Objetivo sexto constitucional de la Sentencia T-302 del 2017</w:t>
        </w:r>
      </w:hyperlink>
      <w:r w:rsidRPr="002D1E9E">
        <w:rPr>
          <w:rFonts w:ascii="Verdana" w:hAnsi="Verdana"/>
          <w:color w:val="467886"/>
          <w:sz w:val="22"/>
          <w:szCs w:val="22"/>
          <w:u w:val="single"/>
          <w:bdr w:val="none" w:sz="0" w:space="0" w:color="auto" w:frame="1"/>
        </w:rPr>
        <w:t>"</w:t>
      </w:r>
    </w:p>
    <w:p w14:paraId="401FFD7B" w14:textId="77777777" w:rsidR="00AD4EB8" w:rsidRPr="002D1E9E" w:rsidRDefault="00AD4EB8">
      <w:pPr>
        <w:shd w:val="clear" w:color="auto" w:fill="FFFFFF"/>
        <w:spacing w:line="276" w:lineRule="auto"/>
        <w:jc w:val="both"/>
        <w:textAlignment w:val="baseline"/>
        <w:rPr>
          <w:rFonts w:ascii="Verdana" w:hAnsi="Verdana"/>
          <w:color w:val="242424"/>
          <w:sz w:val="22"/>
          <w:szCs w:val="22"/>
        </w:rPr>
      </w:pPr>
    </w:p>
    <w:p w14:paraId="264C22C3" w14:textId="77777777" w:rsidR="00AD4EB8" w:rsidRPr="002D1E9E" w:rsidRDefault="00AD4EB8">
      <w:pPr>
        <w:spacing w:line="276" w:lineRule="auto"/>
        <w:jc w:val="both"/>
        <w:rPr>
          <w:rFonts w:ascii="Verdana" w:hAnsi="Verdana"/>
          <w:sz w:val="22"/>
          <w:szCs w:val="22"/>
        </w:rPr>
      </w:pPr>
      <w:r w:rsidRPr="002D1E9E">
        <w:rPr>
          <w:rFonts w:ascii="Verdana" w:hAnsi="Verdana"/>
          <w:sz w:val="22"/>
          <w:szCs w:val="22"/>
        </w:rPr>
        <w:t xml:space="preserve">Por último, lo invitamos a seguirnos en las redes sociales en las cuales se difunde información institucional: </w:t>
      </w:r>
    </w:p>
    <w:p w14:paraId="51DE6CD4" w14:textId="77777777" w:rsidR="00AD4EB8" w:rsidRPr="002D1E9E" w:rsidRDefault="00AD4EB8">
      <w:pPr>
        <w:spacing w:line="276" w:lineRule="auto"/>
        <w:jc w:val="both"/>
        <w:rPr>
          <w:rFonts w:ascii="Verdana" w:hAnsi="Verdana"/>
          <w:sz w:val="22"/>
          <w:szCs w:val="22"/>
        </w:rPr>
      </w:pPr>
    </w:p>
    <w:p w14:paraId="5D01E09F" w14:textId="77777777" w:rsidR="00AD4EB8" w:rsidRPr="002D1E9E" w:rsidRDefault="00AD4EB8">
      <w:pPr>
        <w:spacing w:line="276" w:lineRule="auto"/>
        <w:jc w:val="both"/>
        <w:rPr>
          <w:rFonts w:ascii="Verdana" w:hAnsi="Verdana"/>
          <w:sz w:val="22"/>
          <w:szCs w:val="22"/>
        </w:rPr>
      </w:pPr>
      <w:r w:rsidRPr="002D1E9E">
        <w:rPr>
          <w:rFonts w:ascii="Verdana" w:hAnsi="Verdana"/>
          <w:sz w:val="22"/>
          <w:szCs w:val="22"/>
        </w:rPr>
        <w:t xml:space="preserve">Twitter: </w:t>
      </w:r>
      <w:r w:rsidRPr="002D1E9E">
        <w:rPr>
          <w:rStyle w:val="Hipervnculo"/>
          <w:rFonts w:ascii="Verdana" w:hAnsi="Verdana"/>
          <w:color w:val="4472C4" w:themeColor="accent1"/>
          <w:sz w:val="22"/>
          <w:szCs w:val="22"/>
        </w:rPr>
        <w:t>@colombiacompra</w:t>
      </w:r>
      <w:r w:rsidRPr="002D1E9E">
        <w:rPr>
          <w:rFonts w:ascii="Verdana" w:hAnsi="Verdana"/>
          <w:color w:val="4472C4" w:themeColor="accent1"/>
          <w:sz w:val="22"/>
          <w:szCs w:val="22"/>
        </w:rPr>
        <w:t xml:space="preserve"> </w:t>
      </w:r>
    </w:p>
    <w:p w14:paraId="2C132B46" w14:textId="77777777" w:rsidR="00AD4EB8" w:rsidRPr="002D1E9E" w:rsidRDefault="00AD4EB8">
      <w:pPr>
        <w:spacing w:line="276" w:lineRule="auto"/>
        <w:jc w:val="both"/>
        <w:rPr>
          <w:rFonts w:ascii="Verdana" w:hAnsi="Verdana"/>
          <w:sz w:val="22"/>
          <w:szCs w:val="22"/>
        </w:rPr>
      </w:pPr>
      <w:r w:rsidRPr="002D1E9E">
        <w:rPr>
          <w:rFonts w:ascii="Verdana" w:hAnsi="Verdana"/>
          <w:sz w:val="22"/>
          <w:szCs w:val="22"/>
        </w:rPr>
        <w:t xml:space="preserve">Facebook: </w:t>
      </w:r>
      <w:proofErr w:type="spellStart"/>
      <w:r w:rsidRPr="002D1E9E">
        <w:rPr>
          <w:rStyle w:val="Hipervnculo"/>
          <w:rFonts w:ascii="Verdana" w:hAnsi="Verdana"/>
          <w:color w:val="4472C4" w:themeColor="accent1"/>
          <w:sz w:val="22"/>
          <w:szCs w:val="22"/>
        </w:rPr>
        <w:t>ColombiaCompraEficiente</w:t>
      </w:r>
      <w:proofErr w:type="spellEnd"/>
    </w:p>
    <w:p w14:paraId="766FEB67" w14:textId="77777777" w:rsidR="00AD4EB8" w:rsidRPr="002D1E9E" w:rsidRDefault="00AD4EB8">
      <w:pPr>
        <w:spacing w:line="276" w:lineRule="auto"/>
        <w:jc w:val="both"/>
        <w:rPr>
          <w:rFonts w:ascii="Verdana" w:hAnsi="Verdana"/>
          <w:sz w:val="22"/>
          <w:szCs w:val="22"/>
        </w:rPr>
      </w:pPr>
      <w:r w:rsidRPr="002D1E9E">
        <w:rPr>
          <w:rFonts w:ascii="Verdana" w:hAnsi="Verdana"/>
          <w:sz w:val="22"/>
          <w:szCs w:val="22"/>
        </w:rPr>
        <w:lastRenderedPageBreak/>
        <w:t xml:space="preserve">LinkedIn: </w:t>
      </w:r>
      <w:r w:rsidRPr="002D1E9E">
        <w:rPr>
          <w:rStyle w:val="Hipervnculo"/>
          <w:rFonts w:ascii="Verdana" w:hAnsi="Verdana"/>
          <w:color w:val="4472C4" w:themeColor="accent1"/>
          <w:sz w:val="22"/>
          <w:szCs w:val="22"/>
        </w:rPr>
        <w:t>Agencia Nacional de Contratación Pública - Colombia Compra Eficiente</w:t>
      </w:r>
      <w:r w:rsidRPr="002D1E9E">
        <w:rPr>
          <w:rFonts w:ascii="Verdana" w:hAnsi="Verdana"/>
          <w:color w:val="4472C4" w:themeColor="accent1"/>
          <w:sz w:val="22"/>
          <w:szCs w:val="22"/>
        </w:rPr>
        <w:t xml:space="preserve"> </w:t>
      </w:r>
      <w:r w:rsidRPr="002D1E9E">
        <w:rPr>
          <w:rFonts w:ascii="Verdana" w:hAnsi="Verdana"/>
          <w:sz w:val="22"/>
          <w:szCs w:val="22"/>
        </w:rPr>
        <w:t xml:space="preserve">Instagram: </w:t>
      </w:r>
      <w:r w:rsidRPr="002D1E9E">
        <w:rPr>
          <w:rStyle w:val="Hipervnculo"/>
          <w:rFonts w:ascii="Verdana" w:hAnsi="Verdana"/>
          <w:color w:val="4472C4" w:themeColor="accent1"/>
          <w:sz w:val="22"/>
          <w:szCs w:val="22"/>
        </w:rPr>
        <w:t>@colombiacompraeficiente_cce</w:t>
      </w:r>
    </w:p>
    <w:p w14:paraId="3EA6B97E" w14:textId="77777777" w:rsidR="00AD4EB8" w:rsidRPr="002D1E9E" w:rsidRDefault="00AD4EB8">
      <w:pPr>
        <w:widowControl w:val="0"/>
        <w:autoSpaceDE w:val="0"/>
        <w:autoSpaceDN w:val="0"/>
        <w:spacing w:line="276" w:lineRule="auto"/>
        <w:jc w:val="both"/>
        <w:rPr>
          <w:rFonts w:ascii="Verdana" w:hAnsi="Verdana" w:cs="Arial"/>
          <w:sz w:val="22"/>
          <w:szCs w:val="22"/>
        </w:rPr>
      </w:pPr>
    </w:p>
    <w:p w14:paraId="1D26DFFB" w14:textId="77777777" w:rsidR="00AD4EB8" w:rsidRPr="002D1E9E" w:rsidRDefault="00AD4EB8">
      <w:pPr>
        <w:widowControl w:val="0"/>
        <w:autoSpaceDE w:val="0"/>
        <w:autoSpaceDN w:val="0"/>
        <w:spacing w:line="276" w:lineRule="auto"/>
        <w:jc w:val="both"/>
        <w:rPr>
          <w:rFonts w:ascii="Verdana" w:hAnsi="Verdana" w:cs="Arial"/>
          <w:sz w:val="22"/>
          <w:szCs w:val="22"/>
          <w:lang w:val="es-ES_tradnl"/>
        </w:rPr>
      </w:pPr>
      <w:r w:rsidRPr="002D1E9E">
        <w:rPr>
          <w:rFonts w:ascii="Verdana" w:hAnsi="Verdana" w:cs="Arial"/>
          <w:sz w:val="22"/>
          <w:szCs w:val="22"/>
        </w:rPr>
        <w:t xml:space="preserve">Este concepto tiene el alcance previsto en el artículo 28 del Código de Procedimiento Administrativo y de lo Contencioso Administrativo </w:t>
      </w:r>
      <w:r w:rsidRPr="002D1E9E">
        <w:rPr>
          <w:rFonts w:ascii="Verdana" w:hAnsi="Verdana" w:cs="Arial"/>
          <w:sz w:val="22"/>
          <w:szCs w:val="22"/>
          <w:lang w:val="es-ES_tradnl"/>
        </w:rPr>
        <w:t>y las expresiones aquí utilizadas con mayúscula inicial deben ser entendidas con el significado que les otorga el artículo 2.2.1.1.1.3.1. del Decreto 1082 de 2015.</w:t>
      </w:r>
    </w:p>
    <w:p w14:paraId="776B656A" w14:textId="77777777" w:rsidR="00AD4EB8" w:rsidRPr="002D1E9E" w:rsidRDefault="00AD4EB8">
      <w:pPr>
        <w:widowControl w:val="0"/>
        <w:autoSpaceDE w:val="0"/>
        <w:autoSpaceDN w:val="0"/>
        <w:spacing w:line="276" w:lineRule="auto"/>
        <w:jc w:val="both"/>
        <w:rPr>
          <w:rFonts w:ascii="Verdana" w:hAnsi="Verdana" w:cs="Arial"/>
          <w:sz w:val="22"/>
          <w:szCs w:val="22"/>
        </w:rPr>
      </w:pPr>
    </w:p>
    <w:p w14:paraId="6E1E8D6A" w14:textId="77777777" w:rsidR="00AD4EB8" w:rsidRPr="002D1E9E" w:rsidRDefault="00AD4EB8">
      <w:pPr>
        <w:spacing w:line="276" w:lineRule="auto"/>
        <w:rPr>
          <w:rFonts w:ascii="Verdana" w:hAnsi="Verdana" w:cs="Arial"/>
          <w:sz w:val="22"/>
          <w:szCs w:val="22"/>
          <w:lang w:eastAsia="es-CO"/>
        </w:rPr>
      </w:pPr>
      <w:r w:rsidRPr="002D1E9E">
        <w:rPr>
          <w:rFonts w:ascii="Verdana" w:hAnsi="Verdana" w:cs="Arial"/>
          <w:sz w:val="22"/>
          <w:szCs w:val="22"/>
          <w:lang w:eastAsia="es-CO"/>
        </w:rPr>
        <w:t xml:space="preserve">Atentamente, </w:t>
      </w:r>
    </w:p>
    <w:p w14:paraId="252409BB" w14:textId="6F9FB8D2" w:rsidR="00AD4EB8" w:rsidRPr="007563C1" w:rsidRDefault="00C343AF" w:rsidP="00AD4EB8">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5D824ACC" wp14:editId="6A7C4D5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D4EB8" w:rsidRPr="007563C1" w14:paraId="283D4FAC" w14:textId="77777777" w:rsidTr="001E7AF0">
        <w:trPr>
          <w:trHeight w:val="315"/>
        </w:trPr>
        <w:tc>
          <w:tcPr>
            <w:tcW w:w="893" w:type="dxa"/>
            <w:vAlign w:val="center"/>
            <w:hideMark/>
          </w:tcPr>
          <w:p w14:paraId="729605E6" w14:textId="77777777" w:rsidR="00AD4EB8" w:rsidRPr="007563C1" w:rsidRDefault="00AD4EB8" w:rsidP="001E7AF0">
            <w:pPr>
              <w:contextualSpacing/>
              <w:rPr>
                <w:rFonts w:ascii="Verdana" w:hAnsi="Verdana" w:cs="Arial"/>
                <w:sz w:val="16"/>
                <w:szCs w:val="16"/>
                <w:lang w:val="es-ES" w:eastAsia="es-ES"/>
              </w:rPr>
            </w:pPr>
            <w:r w:rsidRPr="007563C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06D46E3" w14:textId="77777777" w:rsidR="00AD4EB8" w:rsidRPr="007563C1" w:rsidRDefault="00AD4EB8" w:rsidP="001E7AF0">
            <w:pPr>
              <w:contextualSpacing/>
              <w:rPr>
                <w:rFonts w:ascii="Verdana" w:eastAsia="Arial" w:hAnsi="Verdana" w:cs="Arial"/>
                <w:sz w:val="16"/>
                <w:szCs w:val="16"/>
              </w:rPr>
            </w:pPr>
            <w:r w:rsidRPr="007563C1">
              <w:rPr>
                <w:rFonts w:ascii="Verdana" w:eastAsia="Arial" w:hAnsi="Verdana" w:cs="Arial"/>
                <w:sz w:val="16"/>
                <w:szCs w:val="16"/>
              </w:rPr>
              <w:t>Richard Andrés Montenegro Siefken</w:t>
            </w:r>
          </w:p>
          <w:p w14:paraId="7B452F87" w14:textId="77777777" w:rsidR="00AD4EB8" w:rsidRPr="007563C1" w:rsidRDefault="00AD4EB8" w:rsidP="001E7AF0">
            <w:pPr>
              <w:contextualSpacing/>
              <w:rPr>
                <w:rFonts w:ascii="Verdana" w:eastAsia="Arial" w:hAnsi="Verdana" w:cs="Arial"/>
                <w:sz w:val="16"/>
                <w:szCs w:val="16"/>
              </w:rPr>
            </w:pPr>
            <w:r w:rsidRPr="007563C1">
              <w:rPr>
                <w:rStyle w:val="normaltextrun"/>
                <w:rFonts w:ascii="Verdana" w:eastAsia="Arial" w:hAnsi="Verdana" w:cs="Arial"/>
                <w:sz w:val="16"/>
                <w:szCs w:val="16"/>
              </w:rPr>
              <w:t>Contratista de la Subdirección de Gestión Contractual</w:t>
            </w:r>
          </w:p>
        </w:tc>
      </w:tr>
      <w:tr w:rsidR="00AD4EB8" w:rsidRPr="007563C1" w14:paraId="6E14C471" w14:textId="77777777" w:rsidTr="001E7AF0">
        <w:trPr>
          <w:trHeight w:val="330"/>
        </w:trPr>
        <w:tc>
          <w:tcPr>
            <w:tcW w:w="893" w:type="dxa"/>
            <w:vAlign w:val="center"/>
            <w:hideMark/>
          </w:tcPr>
          <w:p w14:paraId="532641A4" w14:textId="77777777" w:rsidR="00AD4EB8" w:rsidRPr="007563C1" w:rsidRDefault="00AD4EB8" w:rsidP="001E7AF0">
            <w:pPr>
              <w:contextualSpacing/>
              <w:rPr>
                <w:rFonts w:ascii="Verdana" w:hAnsi="Verdana" w:cs="Arial"/>
                <w:sz w:val="16"/>
                <w:szCs w:val="16"/>
                <w:lang w:val="es-ES" w:eastAsia="es-ES"/>
              </w:rPr>
            </w:pPr>
            <w:r w:rsidRPr="007563C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B10757" w14:textId="77777777" w:rsidR="00AD4EB8" w:rsidRPr="007563C1" w:rsidRDefault="00AD4EB8" w:rsidP="001E7AF0">
            <w:pPr>
              <w:pStyle w:val="paragraph"/>
              <w:spacing w:before="0" w:beforeAutospacing="0" w:after="0" w:afterAutospacing="0"/>
              <w:contextualSpacing/>
              <w:textAlignment w:val="baseline"/>
              <w:rPr>
                <w:rFonts w:ascii="Verdana" w:hAnsi="Verdana" w:cs="Segoe UI"/>
                <w:sz w:val="16"/>
                <w:szCs w:val="16"/>
              </w:rPr>
            </w:pPr>
            <w:r w:rsidRPr="007563C1">
              <w:rPr>
                <w:rFonts w:ascii="Verdana" w:hAnsi="Verdana" w:cs="Segoe UI"/>
                <w:sz w:val="16"/>
                <w:szCs w:val="16"/>
              </w:rPr>
              <w:t>Diana Lucia Saavedra Castañeda</w:t>
            </w:r>
          </w:p>
          <w:p w14:paraId="0B73A1D9" w14:textId="77777777" w:rsidR="00AD4EB8" w:rsidRPr="007563C1" w:rsidRDefault="00AD4EB8" w:rsidP="001E7AF0">
            <w:pPr>
              <w:pStyle w:val="paragraph"/>
              <w:spacing w:before="0" w:beforeAutospacing="0" w:after="0" w:afterAutospacing="0"/>
              <w:contextualSpacing/>
              <w:textAlignment w:val="baseline"/>
              <w:rPr>
                <w:rFonts w:ascii="Verdana" w:hAnsi="Verdana" w:cs="Segoe UI"/>
                <w:sz w:val="16"/>
                <w:szCs w:val="16"/>
              </w:rPr>
            </w:pPr>
            <w:r w:rsidRPr="007563C1">
              <w:rPr>
                <w:rStyle w:val="normaltextrun"/>
                <w:rFonts w:ascii="Verdana" w:hAnsi="Verdana" w:cs="Arial"/>
                <w:sz w:val="16"/>
                <w:szCs w:val="16"/>
                <w:lang w:val="es-ES"/>
              </w:rPr>
              <w:t>Contratista de la Subdirección de Gestión Contractual</w:t>
            </w:r>
            <w:r w:rsidRPr="007563C1">
              <w:rPr>
                <w:rStyle w:val="eop"/>
                <w:rFonts w:ascii="Verdana" w:hAnsi="Verdana" w:cs="Arial"/>
                <w:sz w:val="16"/>
                <w:szCs w:val="16"/>
              </w:rPr>
              <w:t> </w:t>
            </w:r>
          </w:p>
        </w:tc>
      </w:tr>
      <w:tr w:rsidR="00AD4EB8" w:rsidRPr="007563C1" w14:paraId="48790DBB" w14:textId="77777777" w:rsidTr="001E7AF0">
        <w:trPr>
          <w:trHeight w:val="300"/>
        </w:trPr>
        <w:tc>
          <w:tcPr>
            <w:tcW w:w="893" w:type="dxa"/>
            <w:vAlign w:val="center"/>
          </w:tcPr>
          <w:p w14:paraId="2DC10F40" w14:textId="77777777" w:rsidR="00AD4EB8" w:rsidRPr="007563C1" w:rsidRDefault="00AD4EB8" w:rsidP="001E7AF0">
            <w:pPr>
              <w:contextualSpacing/>
              <w:rPr>
                <w:rFonts w:ascii="Verdana" w:hAnsi="Verdana" w:cs="Arial"/>
                <w:sz w:val="16"/>
                <w:szCs w:val="16"/>
                <w:lang w:val="es-ES" w:eastAsia="es-ES"/>
              </w:rPr>
            </w:pPr>
            <w:r w:rsidRPr="007563C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72C8D0" w14:textId="22514017" w:rsidR="00AD4EB8" w:rsidRPr="007563C1" w:rsidRDefault="00907BD9" w:rsidP="001E7AF0">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688EC71A" w14:textId="22146B87" w:rsidR="00AD4EB8" w:rsidRPr="007563C1" w:rsidRDefault="00AD4EB8" w:rsidP="001E7AF0">
            <w:pPr>
              <w:contextualSpacing/>
              <w:rPr>
                <w:rFonts w:ascii="Verdana" w:eastAsia="Calibri" w:hAnsi="Verdana" w:cs="Arial"/>
                <w:sz w:val="16"/>
                <w:szCs w:val="16"/>
                <w:lang w:val="pt-BR" w:eastAsia="es-ES"/>
              </w:rPr>
            </w:pPr>
            <w:r w:rsidRPr="007563C1">
              <w:rPr>
                <w:rFonts w:ascii="Verdana" w:eastAsia="Calibri" w:hAnsi="Verdana" w:cs="Arial"/>
                <w:sz w:val="16"/>
                <w:szCs w:val="16"/>
                <w:lang w:eastAsia="es-ES"/>
              </w:rPr>
              <w:t>Subdirectora</w:t>
            </w:r>
            <w:r w:rsidRPr="007563C1">
              <w:rPr>
                <w:rFonts w:ascii="Verdana" w:eastAsia="Calibri" w:hAnsi="Verdana" w:cs="Arial"/>
                <w:sz w:val="16"/>
                <w:szCs w:val="16"/>
                <w:lang w:val="pt-BR" w:eastAsia="es-ES"/>
              </w:rPr>
              <w:t xml:space="preserve"> de Gestión Contractual ANCP – CCE </w:t>
            </w:r>
          </w:p>
        </w:tc>
      </w:tr>
    </w:tbl>
    <w:p w14:paraId="67109E3E" w14:textId="77777777" w:rsidR="00AD4EB8" w:rsidRPr="002D1E9E" w:rsidRDefault="00AD4EB8" w:rsidP="00AD4EB8">
      <w:pPr>
        <w:rPr>
          <w:rFonts w:ascii="Verdana" w:hAnsi="Verdana"/>
        </w:rPr>
      </w:pPr>
    </w:p>
    <w:p w14:paraId="0F293BF4" w14:textId="0502EF3C" w:rsidR="00127233" w:rsidRPr="002D1E9E" w:rsidRDefault="00127233" w:rsidP="0022781C">
      <w:pPr>
        <w:rPr>
          <w:rFonts w:ascii="Verdana" w:hAnsi="Verdana"/>
        </w:rPr>
      </w:pPr>
    </w:p>
    <w:sectPr w:rsidR="00127233" w:rsidRPr="002D1E9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DA67F" w14:textId="77777777" w:rsidR="002F5AF3" w:rsidRDefault="002F5AF3" w:rsidP="004A1847">
      <w:r>
        <w:separator/>
      </w:r>
    </w:p>
  </w:endnote>
  <w:endnote w:type="continuationSeparator" w:id="0">
    <w:p w14:paraId="6E7C86F1" w14:textId="77777777" w:rsidR="002F5AF3" w:rsidRDefault="002F5AF3" w:rsidP="004A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IDFont+F1">
    <w:altName w:val="Calibri"/>
    <w:charset w:val="00"/>
    <w:family w:val="auto"/>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cstheme="minorBidi"/>
        <w:b/>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cstheme="minorBidi"/>
        <w:b/>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22781C" w:rsidRDefault="356CEDFD" w:rsidP="356CEDFD">
    <w:pPr>
      <w:pBdr>
        <w:top w:val="nil"/>
        <w:left w:val="nil"/>
        <w:bottom w:val="nil"/>
        <w:right w:val="nil"/>
        <w:between w:val="nil"/>
      </w:pBdr>
      <w:tabs>
        <w:tab w:val="center" w:pos="4419"/>
        <w:tab w:val="right" w:pos="8838"/>
        <w:tab w:val="center" w:pos="5400"/>
      </w:tabs>
      <w:jc w:val="right"/>
      <w:rPr>
        <w:lang w:val="pt-PT"/>
      </w:rPr>
    </w:pPr>
    <w:r w:rsidRPr="0022781C">
      <w:rPr>
        <w:rFonts w:ascii="Century Gothic" w:eastAsia="Geo" w:hAnsi="Century Gothic" w:cs="Geo"/>
        <w:b/>
        <w:bCs/>
        <w:color w:val="000000" w:themeColor="text1"/>
        <w:sz w:val="16"/>
        <w:szCs w:val="16"/>
        <w:lang w:val="pt-PT" w:eastAsia="es-CO"/>
      </w:rPr>
      <w:t xml:space="preserve">Código: </w:t>
    </w:r>
    <w:r w:rsidRPr="0022781C">
      <w:rPr>
        <w:rFonts w:ascii="Century Gothic" w:eastAsia="Geo" w:hAnsi="Century Gothic" w:cs="Geo"/>
        <w:color w:val="000000" w:themeColor="text1"/>
        <w:sz w:val="16"/>
        <w:szCs w:val="16"/>
        <w:lang w:val="pt-PT" w:eastAsia="es-CO"/>
      </w:rPr>
      <w:t xml:space="preserve">CCE-REC-FM-17 </w:t>
    </w:r>
    <w:r w:rsidRPr="0022781C">
      <w:rPr>
        <w:rFonts w:ascii="Century Gothic" w:eastAsia="Geo" w:hAnsi="Century Gothic" w:cs="Geo"/>
        <w:b/>
        <w:bCs/>
        <w:color w:val="000000" w:themeColor="text1"/>
        <w:sz w:val="16"/>
        <w:szCs w:val="16"/>
        <w:lang w:val="pt-PT" w:eastAsia="es-CO"/>
      </w:rPr>
      <w:t>V</w:t>
    </w:r>
    <w:r w:rsidRPr="0022781C">
      <w:rPr>
        <w:rFonts w:ascii="Century Gothic" w:eastAsia="Arial Nova" w:hAnsi="Century Gothic" w:cs="Arial Nova"/>
        <w:b/>
        <w:bCs/>
        <w:color w:val="000000" w:themeColor="text1"/>
        <w:sz w:val="16"/>
        <w:szCs w:val="16"/>
        <w:lang w:val="pt-PT" w:eastAsia="es-CO"/>
      </w:rPr>
      <w:t xml:space="preserve">: </w:t>
    </w:r>
    <w:r w:rsidRPr="0022781C">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9B6134" w14:textId="77777777" w:rsidR="002F5AF3" w:rsidRDefault="002F5AF3" w:rsidP="004A1847">
      <w:r>
        <w:separator/>
      </w:r>
    </w:p>
  </w:footnote>
  <w:footnote w:type="continuationSeparator" w:id="0">
    <w:p w14:paraId="4D2EAB8E" w14:textId="77777777" w:rsidR="002F5AF3" w:rsidRDefault="002F5AF3" w:rsidP="004A1847">
      <w:r>
        <w:continuationSeparator/>
      </w:r>
    </w:p>
  </w:footnote>
  <w:footnote w:id="1">
    <w:p w14:paraId="1A1120F1" w14:textId="77777777" w:rsidR="001640CE" w:rsidRPr="00255158" w:rsidRDefault="001640CE" w:rsidP="002D1E9E">
      <w:pPr>
        <w:pStyle w:val="Textonotapie"/>
        <w:ind w:firstLine="709"/>
        <w:jc w:val="both"/>
        <w:rPr>
          <w:rFonts w:ascii="Verdana" w:hAnsi="Verdana" w:cs="Arial"/>
          <w:color w:val="000000"/>
          <w:sz w:val="12"/>
          <w:szCs w:val="12"/>
        </w:rPr>
      </w:pPr>
      <w:r w:rsidRPr="00255158">
        <w:rPr>
          <w:rStyle w:val="Refdenotaalpie"/>
          <w:rFonts w:ascii="Verdana" w:hAnsi="Verdana" w:cs="Arial"/>
          <w:color w:val="000000"/>
          <w:sz w:val="12"/>
          <w:szCs w:val="12"/>
        </w:rPr>
        <w:footnoteRef/>
      </w:r>
      <w:r w:rsidRPr="00255158">
        <w:rPr>
          <w:rFonts w:ascii="Verdana" w:hAnsi="Verdana" w:cs="Arial"/>
          <w:color w:val="000000"/>
          <w:sz w:val="12"/>
          <w:szCs w:val="12"/>
        </w:rPr>
        <w:t xml:space="preserve"> BARRERO BUITRAGO, Álvaro. Manual para el establecimiento de sociedades (4ta. ed.). Editorial Librería del Profesional. Bogotá. 2006. p. 21. Allí se lee, en relación con el requisito que deben cumplir las sociedades comerciales sobre el ánimo de lucro, lo siguiente: “esta característica viene a diferenciar a la sociedad mercantil de cualquier otra forma asociativa, pues para el comerciante la utilidad es primordial en sus actividades, no ocurriendo lo mismo para otras personas, donde el fin primordial no es obtener ganancias, como en el caso de las sociedades cooperativas”.</w:t>
      </w:r>
    </w:p>
    <w:p w14:paraId="1E299046" w14:textId="77777777" w:rsidR="001640CE" w:rsidRPr="00255158" w:rsidRDefault="001640CE" w:rsidP="002D1E9E">
      <w:pPr>
        <w:pStyle w:val="Textonotapie"/>
        <w:ind w:firstLine="709"/>
        <w:jc w:val="both"/>
        <w:rPr>
          <w:rFonts w:ascii="Verdana" w:hAnsi="Verdana" w:cs="Arial"/>
          <w:color w:val="000000"/>
          <w:sz w:val="12"/>
          <w:szCs w:val="12"/>
        </w:rPr>
      </w:pPr>
    </w:p>
  </w:footnote>
  <w:footnote w:id="2">
    <w:p w14:paraId="3B909549" w14:textId="5C407ED1" w:rsidR="001640CE" w:rsidRPr="00255158" w:rsidRDefault="001640CE" w:rsidP="00907BD9">
      <w:pPr>
        <w:pStyle w:val="Textonotapie"/>
        <w:ind w:firstLine="709"/>
        <w:jc w:val="both"/>
        <w:rPr>
          <w:rFonts w:ascii="Verdana" w:hAnsi="Verdana" w:cs="Arial"/>
          <w:color w:val="000000"/>
          <w:sz w:val="12"/>
          <w:szCs w:val="12"/>
        </w:rPr>
      </w:pPr>
      <w:r w:rsidRPr="00255158">
        <w:rPr>
          <w:rStyle w:val="Refdenotaalpie"/>
          <w:rFonts w:ascii="Verdana" w:hAnsi="Verdana" w:cs="Arial"/>
          <w:color w:val="000000"/>
          <w:sz w:val="12"/>
          <w:szCs w:val="12"/>
        </w:rPr>
        <w:footnoteRef/>
      </w:r>
      <w:r w:rsidRPr="00255158">
        <w:rPr>
          <w:rFonts w:ascii="Verdana" w:hAnsi="Verdana" w:cs="Arial"/>
          <w:color w:val="000000"/>
          <w:sz w:val="12"/>
          <w:szCs w:val="12"/>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w:t>
      </w:r>
    </w:p>
    <w:p w14:paraId="314E0A0B" w14:textId="77777777" w:rsidR="00907BD9" w:rsidRPr="00255158" w:rsidRDefault="00907BD9" w:rsidP="002D1E9E">
      <w:pPr>
        <w:pStyle w:val="Textonotapie"/>
        <w:ind w:firstLine="709"/>
        <w:jc w:val="both"/>
        <w:rPr>
          <w:rFonts w:ascii="Verdana" w:hAnsi="Verdana" w:cs="Arial"/>
          <w:color w:val="000000"/>
          <w:sz w:val="12"/>
          <w:szCs w:val="12"/>
        </w:rPr>
      </w:pPr>
    </w:p>
    <w:p w14:paraId="34BBF2C7" w14:textId="77777777" w:rsidR="001640CE" w:rsidRPr="00255158" w:rsidRDefault="001640CE" w:rsidP="002D1E9E">
      <w:pPr>
        <w:pStyle w:val="Textonotapie"/>
        <w:ind w:firstLine="709"/>
        <w:jc w:val="both"/>
        <w:rPr>
          <w:rFonts w:ascii="Verdana" w:hAnsi="Verdana" w:cs="Arial"/>
          <w:color w:val="000000"/>
          <w:sz w:val="12"/>
          <w:szCs w:val="12"/>
        </w:rPr>
      </w:pPr>
      <w:r w:rsidRPr="00255158">
        <w:rPr>
          <w:rFonts w:ascii="Verdana" w:hAnsi="Verdana" w:cs="Arial"/>
          <w:color w:val="000000"/>
          <w:sz w:val="12"/>
          <w:szCs w:val="12"/>
        </w:rPr>
        <w:t>La ausencia de lucro es una de sus características fundamentales, lo cual significa que no existe el reparto de utilidades o remanentes generados en el desarrollo de sus objetivos, ni es viable el reembolso de los bienes o dineros aportados a la entidad […]”.</w:t>
      </w:r>
    </w:p>
    <w:p w14:paraId="295D8D4B" w14:textId="77777777" w:rsidR="001640CE" w:rsidRPr="00255158" w:rsidRDefault="001640CE" w:rsidP="002D1E9E">
      <w:pPr>
        <w:pStyle w:val="Textonotapie"/>
        <w:ind w:firstLine="709"/>
        <w:jc w:val="both"/>
        <w:rPr>
          <w:rFonts w:ascii="Verdana" w:hAnsi="Verdana" w:cs="Arial"/>
          <w:color w:val="000000"/>
          <w:sz w:val="12"/>
          <w:szCs w:val="12"/>
        </w:rPr>
      </w:pPr>
    </w:p>
  </w:footnote>
  <w:footnote w:id="3">
    <w:p w14:paraId="5DDF1856" w14:textId="2DF4AB46" w:rsidR="001640CE" w:rsidRPr="00255158" w:rsidRDefault="001640CE" w:rsidP="002D1E9E">
      <w:pPr>
        <w:pStyle w:val="Textonotapie"/>
        <w:ind w:firstLine="709"/>
        <w:jc w:val="both"/>
        <w:rPr>
          <w:rFonts w:ascii="Verdana" w:hAnsi="Verdana" w:cs="Arial"/>
          <w:sz w:val="12"/>
          <w:szCs w:val="12"/>
        </w:rPr>
      </w:pPr>
      <w:r w:rsidRPr="00255158">
        <w:rPr>
          <w:rStyle w:val="Refdenotaalpie"/>
          <w:rFonts w:ascii="Verdana" w:hAnsi="Verdana" w:cs="Arial"/>
          <w:sz w:val="12"/>
          <w:szCs w:val="12"/>
        </w:rPr>
        <w:footnoteRef/>
      </w:r>
      <w:r w:rsidRPr="00255158">
        <w:rPr>
          <w:rFonts w:ascii="Verdana" w:hAnsi="Verdana" w:cs="Arial"/>
          <w:sz w:val="12"/>
          <w:szCs w:val="12"/>
        </w:rPr>
        <w:t xml:space="preserve"> C</w:t>
      </w:r>
      <w:r w:rsidR="009A5AC0" w:rsidRPr="00255158">
        <w:rPr>
          <w:rFonts w:ascii="Verdana" w:hAnsi="Verdana" w:cs="Arial"/>
          <w:sz w:val="12"/>
          <w:szCs w:val="12"/>
        </w:rPr>
        <w:t>onsejo de</w:t>
      </w:r>
      <w:r w:rsidRPr="00255158">
        <w:rPr>
          <w:rFonts w:ascii="Verdana" w:hAnsi="Verdana" w:cs="Arial"/>
          <w:sz w:val="12"/>
          <w:szCs w:val="12"/>
        </w:rPr>
        <w:t xml:space="preserve"> E</w:t>
      </w:r>
      <w:r w:rsidR="009A5AC0" w:rsidRPr="00255158">
        <w:rPr>
          <w:rFonts w:ascii="Verdana" w:hAnsi="Verdana" w:cs="Arial"/>
          <w:sz w:val="12"/>
          <w:szCs w:val="12"/>
        </w:rPr>
        <w:t>stado</w:t>
      </w:r>
      <w:r w:rsidRPr="00255158">
        <w:rPr>
          <w:rFonts w:ascii="Verdana" w:hAnsi="Verdana" w:cs="Arial"/>
          <w:sz w:val="12"/>
          <w:szCs w:val="12"/>
        </w:rPr>
        <w:t>. Sentencia del 02 de diciembre de 2015. Radicado No. 11001-03-06-000-2015-00144-00(2267). M.P. William Zambrano Centina</w:t>
      </w:r>
      <w:r w:rsidR="00907BD9" w:rsidRPr="00255158">
        <w:rPr>
          <w:rFonts w:ascii="Verdana" w:hAnsi="Verdana" w:cs="Arial"/>
          <w:sz w:val="12"/>
          <w:szCs w:val="12"/>
        </w:rPr>
        <w:t>.</w:t>
      </w:r>
    </w:p>
  </w:footnote>
  <w:footnote w:id="4">
    <w:p w14:paraId="410FB879" w14:textId="77777777" w:rsidR="001640CE" w:rsidRPr="00255158" w:rsidRDefault="001640CE" w:rsidP="002D1E9E">
      <w:pPr>
        <w:pStyle w:val="Textonotapie"/>
        <w:ind w:firstLine="709"/>
        <w:jc w:val="both"/>
        <w:rPr>
          <w:rFonts w:ascii="Verdana" w:hAnsi="Verdana" w:cs="Arial"/>
          <w:sz w:val="12"/>
          <w:szCs w:val="12"/>
        </w:rPr>
      </w:pPr>
    </w:p>
    <w:p w14:paraId="1324C257" w14:textId="4AE8D2D8" w:rsidR="001640CE" w:rsidRPr="00255158" w:rsidRDefault="001640CE" w:rsidP="00907BD9">
      <w:pPr>
        <w:pStyle w:val="Textonotapie"/>
        <w:ind w:firstLine="709"/>
        <w:jc w:val="both"/>
        <w:rPr>
          <w:rFonts w:ascii="Verdana" w:hAnsi="Verdana" w:cs="Arial"/>
          <w:sz w:val="12"/>
          <w:szCs w:val="12"/>
        </w:rPr>
      </w:pPr>
      <w:r w:rsidRPr="00255158">
        <w:rPr>
          <w:rStyle w:val="Refdenotaalpie"/>
          <w:rFonts w:ascii="Verdana" w:hAnsi="Verdana" w:cs="Arial"/>
          <w:sz w:val="12"/>
          <w:szCs w:val="12"/>
        </w:rPr>
        <w:footnoteRef/>
      </w:r>
      <w:r w:rsidRPr="00255158">
        <w:rPr>
          <w:rFonts w:ascii="Verdana" w:hAnsi="Verdana" w:cs="Arial"/>
          <w:sz w:val="12"/>
          <w:szCs w:val="12"/>
        </w:rPr>
        <w:t xml:space="preserve"> Consejo de Estado, Sala de Consulta y Servicio Civil. Concepto del 15 de agosto de 2006, Radicación número: 11001-03-06-000-2006-00073-00(1763).</w:t>
      </w:r>
    </w:p>
    <w:p w14:paraId="60ED787E" w14:textId="77777777" w:rsidR="001640CE" w:rsidRPr="00255158" w:rsidRDefault="001640CE" w:rsidP="00907BD9">
      <w:pPr>
        <w:pStyle w:val="Textonotapie"/>
        <w:ind w:firstLine="709"/>
        <w:jc w:val="both"/>
        <w:rPr>
          <w:rFonts w:ascii="Verdana" w:hAnsi="Verdana" w:cs="Arial"/>
          <w:sz w:val="12"/>
          <w:szCs w:val="12"/>
        </w:rPr>
      </w:pPr>
    </w:p>
  </w:footnote>
  <w:footnote w:id="5">
    <w:p w14:paraId="74CFC644" w14:textId="77777777" w:rsidR="00AD4EB8" w:rsidRPr="00255158" w:rsidRDefault="00AD4EB8" w:rsidP="00AD4EB8">
      <w:pPr>
        <w:pStyle w:val="Textonotapie"/>
        <w:ind w:firstLine="709"/>
        <w:jc w:val="both"/>
        <w:rPr>
          <w:rFonts w:ascii="Verdana" w:hAnsi="Verdana" w:cs="Arial"/>
          <w:color w:val="000000"/>
          <w:sz w:val="12"/>
          <w:szCs w:val="12"/>
        </w:rPr>
      </w:pPr>
      <w:r w:rsidRPr="00255158">
        <w:rPr>
          <w:rStyle w:val="Refdenotaalpie"/>
          <w:rFonts w:ascii="Verdana" w:hAnsi="Verdana" w:cs="Arial"/>
          <w:color w:val="000000"/>
          <w:sz w:val="12"/>
          <w:szCs w:val="12"/>
        </w:rPr>
        <w:footnoteRef/>
      </w:r>
      <w:r w:rsidRPr="00255158">
        <w:rPr>
          <w:rFonts w:ascii="Verdana" w:hAnsi="Verdana" w:cs="Arial"/>
          <w:color w:val="000000"/>
          <w:sz w:val="12"/>
          <w:szCs w:val="12"/>
        </w:rPr>
        <w:t xml:space="preserve"> C</w:t>
      </w:r>
      <w:r w:rsidRPr="00255158">
        <w:rPr>
          <w:rFonts w:ascii="Verdana" w:eastAsia="Times New Roman" w:hAnsi="Verdana" w:cs="Arial"/>
          <w:color w:val="000000"/>
          <w:sz w:val="12"/>
          <w:szCs w:val="12"/>
          <w:lang w:val="es-ES" w:eastAsia="es-ES"/>
        </w:rPr>
        <w:t>orte Constitucional. Sentencia C‒274 de 9 de mayo de 2013. M.P. Mar</w:t>
      </w:r>
      <w:r w:rsidRPr="00255158">
        <w:rPr>
          <w:rFonts w:ascii="Verdana" w:eastAsia="Times New Roman" w:hAnsi="Verdana" w:cs="Century Gothic"/>
          <w:color w:val="000000"/>
          <w:sz w:val="12"/>
          <w:szCs w:val="12"/>
          <w:lang w:val="es-ES" w:eastAsia="es-ES"/>
        </w:rPr>
        <w:t>í</w:t>
      </w:r>
      <w:r w:rsidRPr="00255158">
        <w:rPr>
          <w:rFonts w:ascii="Verdana" w:eastAsia="Times New Roman" w:hAnsi="Verdana" w:cs="Arial"/>
          <w:color w:val="000000"/>
          <w:sz w:val="12"/>
          <w:szCs w:val="12"/>
          <w:lang w:val="es-ES" w:eastAsia="es-ES"/>
        </w:rPr>
        <w:t xml:space="preserve">a Victoria Calle Correa. </w:t>
      </w:r>
    </w:p>
    <w:p w14:paraId="61F61C48" w14:textId="77777777" w:rsidR="00AD4EB8" w:rsidRPr="00255158" w:rsidRDefault="00AD4EB8" w:rsidP="00AD4EB8">
      <w:pPr>
        <w:pStyle w:val="Textonotapie"/>
        <w:ind w:firstLine="709"/>
        <w:jc w:val="both"/>
        <w:rPr>
          <w:rFonts w:ascii="Verdana" w:hAnsi="Verdana" w:cs="Arial"/>
          <w:color w:val="000000"/>
          <w:sz w:val="12"/>
          <w:szCs w:val="12"/>
          <w:lang w:val="es-CO"/>
        </w:rPr>
      </w:pPr>
    </w:p>
  </w:footnote>
  <w:footnote w:id="6">
    <w:p w14:paraId="39A7E07B" w14:textId="77777777" w:rsidR="00AD4EB8" w:rsidRPr="00255158" w:rsidRDefault="00AD4EB8" w:rsidP="00AD4EB8">
      <w:pPr>
        <w:pStyle w:val="Textonotapie"/>
        <w:ind w:firstLine="709"/>
        <w:jc w:val="both"/>
        <w:rPr>
          <w:rFonts w:ascii="Verdana" w:hAnsi="Verdana" w:cs="Arial"/>
          <w:color w:val="000000" w:themeColor="text1"/>
          <w:sz w:val="12"/>
          <w:szCs w:val="12"/>
        </w:rPr>
      </w:pPr>
      <w:r w:rsidRPr="00255158">
        <w:rPr>
          <w:rStyle w:val="Refdenotaalpie"/>
          <w:rFonts w:ascii="Verdana" w:hAnsi="Verdana" w:cs="Arial"/>
          <w:color w:val="000000" w:themeColor="text1"/>
          <w:sz w:val="12"/>
          <w:szCs w:val="12"/>
        </w:rPr>
        <w:footnoteRef/>
      </w:r>
      <w:r w:rsidRPr="00255158">
        <w:rPr>
          <w:rFonts w:ascii="Verdana" w:hAnsi="Verdana" w:cs="Arial"/>
          <w:color w:val="000000" w:themeColor="text1"/>
          <w:sz w:val="12"/>
          <w:szCs w:val="12"/>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85B9EDB" w14:textId="77777777" w:rsidR="00AD4EB8" w:rsidRPr="00255158" w:rsidRDefault="00AD4EB8" w:rsidP="00AD4EB8">
      <w:pPr>
        <w:pStyle w:val="Textonotapie"/>
        <w:ind w:firstLine="709"/>
        <w:jc w:val="both"/>
        <w:rPr>
          <w:rFonts w:ascii="Verdana" w:hAnsi="Verdana" w:cs="Arial"/>
          <w:color w:val="000000" w:themeColor="text1"/>
          <w:sz w:val="12"/>
          <w:szCs w:val="12"/>
        </w:rPr>
      </w:pPr>
      <w:r w:rsidRPr="00255158">
        <w:rPr>
          <w:rFonts w:ascii="Verdana" w:hAnsi="Verdana" w:cs="Arial"/>
          <w:color w:val="000000" w:themeColor="text1"/>
          <w:sz w:val="12"/>
          <w:szCs w:val="12"/>
        </w:rPr>
        <w:t>Lo anterior, sin perjuicio de las publicaciones previstas en el numeral 3 del artículo 30 de la Ley 80 de 1993.</w:t>
      </w:r>
    </w:p>
    <w:p w14:paraId="6DEA1F08" w14:textId="77777777" w:rsidR="00AD4EB8" w:rsidRPr="00255158" w:rsidRDefault="00AD4EB8" w:rsidP="00AD4EB8">
      <w:pPr>
        <w:pStyle w:val="Textonotapie"/>
        <w:ind w:firstLine="709"/>
        <w:jc w:val="both"/>
        <w:rPr>
          <w:rFonts w:ascii="Verdana" w:hAnsi="Verdana" w:cs="Arial"/>
          <w:color w:val="000000" w:themeColor="text1"/>
          <w:sz w:val="12"/>
          <w:szCs w:val="12"/>
        </w:rPr>
      </w:pPr>
      <w:r w:rsidRPr="00255158">
        <w:rPr>
          <w:rFonts w:ascii="Verdana" w:hAnsi="Verdana" w:cs="Arial"/>
          <w:color w:val="000000" w:themeColor="text1"/>
          <w:sz w:val="12"/>
          <w:szCs w:val="12"/>
        </w:rPr>
        <w:t xml:space="preserve">Con el fin de materializar los objetivos a que se refiere el inciso anterior, el Gobierno Nacional desarrollará el Sistema Electrónico para la Contratación Pública, Secop, el cual: </w:t>
      </w:r>
    </w:p>
    <w:p w14:paraId="49B57044" w14:textId="77777777" w:rsidR="00AD4EB8" w:rsidRPr="00255158" w:rsidRDefault="00AD4EB8" w:rsidP="00AD4EB8">
      <w:pPr>
        <w:pStyle w:val="Textonotapie"/>
        <w:ind w:firstLine="709"/>
        <w:jc w:val="both"/>
        <w:rPr>
          <w:rFonts w:ascii="Verdana" w:hAnsi="Verdana" w:cs="Arial"/>
          <w:color w:val="000000" w:themeColor="text1"/>
          <w:sz w:val="12"/>
          <w:szCs w:val="12"/>
        </w:rPr>
      </w:pPr>
      <w:r w:rsidRPr="00255158">
        <w:rPr>
          <w:rFonts w:ascii="Verdana" w:hAnsi="Verdana" w:cs="Arial"/>
          <w:color w:val="000000" w:themeColor="text1"/>
          <w:sz w:val="12"/>
          <w:szCs w:val="12"/>
        </w:rPr>
        <w:t>[…]</w:t>
      </w:r>
    </w:p>
    <w:p w14:paraId="50A0AC01" w14:textId="77777777" w:rsidR="00AD4EB8" w:rsidRPr="00255158" w:rsidRDefault="00AD4EB8" w:rsidP="00AD4EB8">
      <w:pPr>
        <w:pStyle w:val="Textonotapie"/>
        <w:ind w:firstLine="709"/>
        <w:jc w:val="both"/>
        <w:rPr>
          <w:rFonts w:ascii="Verdana" w:hAnsi="Verdana" w:cs="Arial"/>
          <w:color w:val="000000" w:themeColor="text1"/>
          <w:sz w:val="12"/>
          <w:szCs w:val="12"/>
        </w:rPr>
      </w:pPr>
      <w:r w:rsidRPr="00255158">
        <w:rPr>
          <w:rFonts w:ascii="Verdana" w:hAnsi="Verdana" w:cs="Arial"/>
          <w:color w:val="000000" w:themeColor="text1"/>
          <w:sz w:val="12"/>
          <w:szCs w:val="12"/>
        </w:rPr>
        <w:t xml:space="preserve">c) Contará con la información oficial de la contratación realizada con dineros públicos, para lo cual establecerá los patrones a que haya lugar y se encargará de su difusión a través de canales electrónico”. </w:t>
      </w:r>
    </w:p>
    <w:p w14:paraId="3EF39142" w14:textId="77777777" w:rsidR="00AD4EB8" w:rsidRPr="00255158" w:rsidRDefault="00AD4EB8" w:rsidP="00AD4EB8">
      <w:pPr>
        <w:pStyle w:val="Textonotapie"/>
        <w:ind w:firstLine="709"/>
        <w:jc w:val="both"/>
        <w:rPr>
          <w:rFonts w:ascii="Verdana" w:hAnsi="Verdana" w:cs="Arial"/>
          <w:color w:val="000000" w:themeColor="text1"/>
          <w:sz w:val="12"/>
          <w:szCs w:val="12"/>
          <w:lang w:val="es-CO"/>
        </w:rPr>
      </w:pPr>
    </w:p>
  </w:footnote>
  <w:footnote w:id="7">
    <w:p w14:paraId="7A318ABC" w14:textId="3CD414A3" w:rsidR="0064434E" w:rsidRPr="00255158" w:rsidRDefault="00AD4EB8" w:rsidP="0064434E">
      <w:pPr>
        <w:pStyle w:val="Textonotapie"/>
        <w:ind w:firstLine="709"/>
        <w:jc w:val="both"/>
        <w:rPr>
          <w:rFonts w:ascii="Verdana" w:hAnsi="Verdana" w:cs="Arial"/>
          <w:color w:val="000000"/>
          <w:sz w:val="12"/>
          <w:szCs w:val="12"/>
        </w:rPr>
      </w:pPr>
      <w:r w:rsidRPr="00255158">
        <w:rPr>
          <w:rStyle w:val="Refdenotaalpie"/>
          <w:rFonts w:ascii="Verdana" w:hAnsi="Verdana" w:cs="Arial"/>
          <w:color w:val="000000"/>
          <w:sz w:val="12"/>
          <w:szCs w:val="12"/>
        </w:rPr>
        <w:footnoteRef/>
      </w:r>
      <w:r w:rsidRPr="00255158">
        <w:rPr>
          <w:rFonts w:ascii="Verdana" w:hAnsi="Verdana" w:cs="Arial"/>
          <w:color w:val="000000"/>
          <w:sz w:val="12"/>
          <w:szCs w:val="12"/>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3FC9B0FB" w14:textId="77777777" w:rsidR="00AD4EB8" w:rsidRPr="00255158" w:rsidRDefault="00AD4EB8" w:rsidP="00AD4EB8">
      <w:pPr>
        <w:pStyle w:val="Textonotapie"/>
        <w:ind w:firstLine="709"/>
        <w:jc w:val="both"/>
        <w:rPr>
          <w:rFonts w:ascii="Verdana" w:hAnsi="Verdana" w:cs="Arial"/>
          <w:color w:val="000000"/>
          <w:sz w:val="12"/>
          <w:szCs w:val="12"/>
          <w:lang w:val="es-CO"/>
        </w:rPr>
      </w:pPr>
    </w:p>
  </w:footnote>
  <w:footnote w:id="8">
    <w:p w14:paraId="489D815E" w14:textId="0D3CDE1B" w:rsidR="00907BD9" w:rsidRPr="00255158" w:rsidRDefault="00907BD9" w:rsidP="002D1E9E">
      <w:pPr>
        <w:ind w:firstLine="709"/>
        <w:jc w:val="both"/>
        <w:rPr>
          <w:rFonts w:ascii="Verdana" w:hAnsi="Verdana"/>
          <w:sz w:val="12"/>
          <w:szCs w:val="12"/>
        </w:rPr>
      </w:pPr>
      <w:r w:rsidRPr="00255158">
        <w:rPr>
          <w:rStyle w:val="Refdenotaalpie"/>
          <w:rFonts w:ascii="Verdana" w:hAnsi="Verdana"/>
          <w:sz w:val="12"/>
          <w:szCs w:val="12"/>
        </w:rPr>
        <w:footnoteRef/>
      </w:r>
      <w:r w:rsidRPr="00255158">
        <w:rPr>
          <w:rFonts w:ascii="Verdana" w:hAnsi="Verdana"/>
          <w:sz w:val="12"/>
          <w:szCs w:val="12"/>
        </w:rPr>
        <w:t xml:space="preserve"> </w:t>
      </w:r>
      <w:r w:rsidRPr="00255158">
        <w:rPr>
          <w:rFonts w:ascii="Verdana" w:hAnsi="Verdana" w:cs="Arial"/>
          <w:color w:val="000000" w:themeColor="text1"/>
          <w:sz w:val="12"/>
          <w:szCs w:val="12"/>
        </w:rPr>
        <w:t xml:space="preserve">Ley 1412 de 2014: “Artículo 9. </w:t>
      </w:r>
      <w:r w:rsidRPr="00255158">
        <w:rPr>
          <w:rStyle w:val="nfasis"/>
          <w:rFonts w:ascii="Verdana" w:hAnsi="Verdana"/>
          <w:b/>
          <w:bCs/>
          <w:color w:val="333333"/>
          <w:sz w:val="12"/>
          <w:szCs w:val="12"/>
          <w:shd w:val="clear" w:color="auto" w:fill="FFFFFF"/>
        </w:rPr>
        <w:t>Información mínima obligatoria respecto a la estructura del sujeto obligado. </w:t>
      </w:r>
      <w:r w:rsidRPr="00255158">
        <w:rPr>
          <w:rFonts w:ascii="Verdana" w:hAnsi="Verdana"/>
          <w:color w:val="333333"/>
          <w:sz w:val="12"/>
          <w:szCs w:val="12"/>
          <w:shd w:val="clear" w:color="auto" w:fill="FFFFFF"/>
        </w:rPr>
        <w:t>Todo sujeto obligado deberá publicar la siguiente información mínima obligatoria de manera proactiva en los sistemas de información del Estado o herramientas que lo sustituyan:</w:t>
      </w:r>
    </w:p>
    <w:p w14:paraId="127A4090" w14:textId="52BC6593" w:rsidR="00907BD9" w:rsidRPr="00255158" w:rsidRDefault="0062005F" w:rsidP="002D1E9E">
      <w:pPr>
        <w:pStyle w:val="Textonotapie"/>
        <w:ind w:firstLine="709"/>
        <w:jc w:val="both"/>
        <w:rPr>
          <w:rFonts w:ascii="Verdana" w:hAnsi="Verdana"/>
          <w:sz w:val="12"/>
          <w:szCs w:val="12"/>
          <w:lang w:val="es-ES"/>
        </w:rPr>
      </w:pPr>
      <w:r w:rsidRPr="00255158">
        <w:rPr>
          <w:rFonts w:ascii="Verdana" w:hAnsi="Verdana"/>
          <w:sz w:val="12"/>
          <w:szCs w:val="12"/>
          <w:lang w:val="es-ES"/>
        </w:rPr>
        <w:t>[…]</w:t>
      </w:r>
    </w:p>
    <w:p w14:paraId="63EBCAC0" w14:textId="77777777" w:rsidR="00907BD9" w:rsidRPr="00255158" w:rsidRDefault="00907BD9" w:rsidP="002D1E9E">
      <w:pPr>
        <w:ind w:firstLine="709"/>
        <w:jc w:val="both"/>
        <w:rPr>
          <w:rFonts w:ascii="Verdana" w:hAnsi="Verdana"/>
          <w:sz w:val="12"/>
          <w:szCs w:val="12"/>
        </w:rPr>
      </w:pPr>
      <w:r w:rsidRPr="00255158">
        <w:rPr>
          <w:rFonts w:ascii="Verdana" w:hAnsi="Verdana"/>
          <w:color w:val="333333"/>
          <w:sz w:val="12"/>
          <w:szCs w:val="12"/>
          <w:shd w:val="clear" w:color="auto" w:fill="FFFFFF"/>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w:t>
      </w:r>
      <w:hyperlink r:id="rId1" w:anchor="74" w:history="1">
        <w:r w:rsidRPr="00255158">
          <w:rPr>
            <w:rStyle w:val="Hipervnculo"/>
            <w:rFonts w:ascii="Verdana" w:hAnsi="Verdana"/>
            <w:color w:val="007BFF"/>
            <w:sz w:val="12"/>
            <w:szCs w:val="12"/>
            <w:shd w:val="clear" w:color="auto" w:fill="FFFFFF"/>
          </w:rPr>
          <w:t>74</w:t>
        </w:r>
      </w:hyperlink>
      <w:r w:rsidRPr="00255158">
        <w:rPr>
          <w:rFonts w:ascii="Verdana" w:hAnsi="Verdana"/>
          <w:color w:val="333333"/>
          <w:sz w:val="12"/>
          <w:szCs w:val="12"/>
          <w:shd w:val="clear" w:color="auto" w:fill="FFFFFF"/>
        </w:rPr>
        <w:t> de la Ley </w:t>
      </w:r>
      <w:hyperlink r:id="rId2" w:anchor="0" w:history="1">
        <w:r w:rsidRPr="00255158">
          <w:rPr>
            <w:rStyle w:val="Hipervnculo"/>
            <w:rFonts w:ascii="Verdana" w:hAnsi="Verdana"/>
            <w:color w:val="007BFF"/>
            <w:sz w:val="12"/>
            <w:szCs w:val="12"/>
            <w:shd w:val="clear" w:color="auto" w:fill="FFFFFF"/>
          </w:rPr>
          <w:t>1474</w:t>
        </w:r>
      </w:hyperlink>
      <w:r w:rsidRPr="00255158">
        <w:rPr>
          <w:rFonts w:ascii="Verdana" w:hAnsi="Verdana"/>
          <w:color w:val="333333"/>
          <w:sz w:val="12"/>
          <w:szCs w:val="12"/>
          <w:shd w:val="clear" w:color="auto" w:fill="FFFFFF"/>
        </w:rPr>
        <w:t>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p>
    <w:p w14:paraId="5AD61C73" w14:textId="77777777" w:rsidR="00907BD9" w:rsidRPr="00255158" w:rsidRDefault="00907BD9" w:rsidP="002D1E9E">
      <w:pPr>
        <w:pStyle w:val="Textonotapie"/>
        <w:ind w:firstLine="709"/>
        <w:jc w:val="both"/>
        <w:rPr>
          <w:rFonts w:ascii="Verdana" w:hAnsi="Verdana"/>
          <w:sz w:val="12"/>
          <w:szCs w:val="12"/>
          <w:lang w:val="es-ES"/>
        </w:rPr>
      </w:pPr>
    </w:p>
  </w:footnote>
  <w:footnote w:id="9">
    <w:p w14:paraId="374F54BA" w14:textId="77777777" w:rsidR="00AD4EB8" w:rsidRPr="00255158" w:rsidRDefault="00AD4EB8" w:rsidP="00AD4EB8">
      <w:pPr>
        <w:pStyle w:val="Textonotapie"/>
        <w:ind w:firstLine="709"/>
        <w:jc w:val="both"/>
        <w:rPr>
          <w:rFonts w:ascii="Verdana" w:hAnsi="Verdana" w:cs="Arial"/>
          <w:color w:val="000000"/>
          <w:sz w:val="12"/>
          <w:szCs w:val="12"/>
        </w:rPr>
      </w:pPr>
      <w:r w:rsidRPr="00255158">
        <w:rPr>
          <w:rFonts w:ascii="Verdana" w:eastAsia="Times New Roman" w:hAnsi="Verdana" w:cs="Arial"/>
          <w:color w:val="000000"/>
          <w:sz w:val="12"/>
          <w:szCs w:val="12"/>
          <w:vertAlign w:val="superscript"/>
          <w:lang w:val="es-ES" w:eastAsia="es-ES"/>
        </w:rPr>
        <w:footnoteRef/>
      </w:r>
      <w:r w:rsidRPr="00255158">
        <w:rPr>
          <w:rFonts w:ascii="Verdana" w:eastAsia="Times New Roman" w:hAnsi="Verdana" w:cs="Arial"/>
          <w:color w:val="000000"/>
          <w:sz w:val="12"/>
          <w:szCs w:val="12"/>
          <w:vertAlign w:val="superscript"/>
          <w:lang w:val="es-ES" w:eastAsia="es-ES"/>
        </w:rPr>
        <w:t xml:space="preserve"> </w:t>
      </w:r>
      <w:r w:rsidRPr="00255158">
        <w:rPr>
          <w:rFonts w:ascii="Verdana" w:eastAsia="Times New Roman" w:hAnsi="Verdana" w:cs="Arial"/>
          <w:color w:val="000000"/>
          <w:sz w:val="12"/>
          <w:szCs w:val="12"/>
          <w:lang w:val="es-ES" w:eastAsia="es-ES"/>
        </w:rPr>
        <w:t>“</w:t>
      </w:r>
      <w:r w:rsidRPr="00255158">
        <w:rPr>
          <w:rFonts w:ascii="Verdana" w:hAnsi="Verdana" w:cs="Arial"/>
          <w:color w:val="000000"/>
          <w:sz w:val="12"/>
          <w:szCs w:val="12"/>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7972390F" w14:textId="77777777" w:rsidR="00AD4EB8" w:rsidRPr="00255158" w:rsidRDefault="00AD4EB8" w:rsidP="00AD4EB8">
      <w:pPr>
        <w:pStyle w:val="Textonotapie"/>
        <w:ind w:firstLine="709"/>
        <w:jc w:val="both"/>
        <w:rPr>
          <w:rFonts w:ascii="Verdana" w:eastAsia="Times New Roman" w:hAnsi="Verdana" w:cs="Arial"/>
          <w:color w:val="000000"/>
          <w:sz w:val="12"/>
          <w:szCs w:val="12"/>
          <w:lang w:val="es-ES" w:eastAsia="es-ES"/>
        </w:rPr>
      </w:pPr>
      <w:r w:rsidRPr="00255158">
        <w:rPr>
          <w:rFonts w:ascii="Verdana" w:hAnsi="Verdana" w:cs="Arial"/>
          <w:color w:val="000000"/>
          <w:sz w:val="12"/>
          <w:szCs w:val="12"/>
        </w:rPr>
        <w:t>[…].</w:t>
      </w:r>
    </w:p>
    <w:p w14:paraId="2E03FE52" w14:textId="77777777" w:rsidR="00AD4EB8" w:rsidRPr="00255158" w:rsidRDefault="00AD4EB8" w:rsidP="00AD4EB8">
      <w:pPr>
        <w:pStyle w:val="Textonotapie"/>
        <w:ind w:firstLine="709"/>
        <w:jc w:val="both"/>
        <w:rPr>
          <w:rFonts w:ascii="Verdana" w:eastAsia="Times New Roman" w:hAnsi="Verdana" w:cs="Arial"/>
          <w:color w:val="000000"/>
          <w:sz w:val="12"/>
          <w:szCs w:val="12"/>
          <w:lang w:val="es-ES" w:eastAsia="es-ES"/>
        </w:rPr>
      </w:pPr>
      <w:r w:rsidRPr="00255158">
        <w:rPr>
          <w:rFonts w:ascii="Verdana" w:eastAsia="Times New Roman" w:hAnsi="Verdana" w:cs="Arial"/>
          <w:color w:val="000000"/>
          <w:sz w:val="12"/>
          <w:szCs w:val="12"/>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6A404BA8" w14:textId="77777777" w:rsidR="00AD4EB8" w:rsidRPr="00255158" w:rsidRDefault="00AD4EB8" w:rsidP="00AD4EB8">
      <w:pPr>
        <w:pStyle w:val="Textonotapie"/>
        <w:ind w:firstLine="709"/>
        <w:jc w:val="both"/>
        <w:rPr>
          <w:rFonts w:ascii="Verdana" w:eastAsia="Times New Roman" w:hAnsi="Verdana" w:cs="Arial"/>
          <w:color w:val="000000"/>
          <w:sz w:val="12"/>
          <w:szCs w:val="12"/>
          <w:lang w:val="es-ES" w:eastAsia="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line="120" w:lineRule="auto"/>
      <w:rPr>
        <w:rFonts w:ascii="Century Gothic" w:eastAsia="Geo" w:hAnsi="Century Gothic" w:cs="Geo"/>
        <w:sz w:val="16"/>
        <w:szCs w:val="16"/>
        <w:lang w:eastAsia="es-CO"/>
      </w:rPr>
    </w:pPr>
  </w:p>
  <w:p w14:paraId="211B7F5D" w14:textId="77777777" w:rsidR="00C925AC" w:rsidRDefault="00C925AC" w:rsidP="00844AE9">
    <w:pPr>
      <w:rPr>
        <w:rFonts w:ascii="Verdana" w:hAnsi="Verdana"/>
      </w:rPr>
    </w:pPr>
  </w:p>
  <w:p w14:paraId="5A0054B1" w14:textId="77777777" w:rsidR="00A14468" w:rsidRPr="00C925AC" w:rsidRDefault="00A14468" w:rsidP="00844AE9">
    <w:pPr>
      <w:rPr>
        <w:rFonts w:ascii="Verdana" w:hAnsi="Verdana"/>
      </w:rPr>
    </w:pPr>
  </w:p>
  <w:p w14:paraId="1FD1C243" w14:textId="37C5500A" w:rsidR="008A446D" w:rsidRPr="00C925AC" w:rsidRDefault="00C925AC" w:rsidP="000D5DA7">
    <w:pPr>
      <w:spacing w:line="480" w:lineRule="auto"/>
      <w:rPr>
        <w:rFonts w:ascii="Verdana" w:hAnsi="Verdana"/>
        <w:b/>
      </w:rPr>
    </w:pPr>
    <w:r w:rsidRPr="00C925AC">
      <w:rPr>
        <w:rFonts w:ascii="Verdana" w:hAnsi="Verdana"/>
        <w:b/>
      </w:rPr>
      <w:t>FORMATO</w:t>
    </w:r>
    <w:r w:rsidR="00BF7425">
      <w:rPr>
        <w:rFonts w:ascii="Verdana" w:hAnsi="Verdana"/>
        <w:b/>
      </w:rPr>
      <w:t xml:space="preserve"> DE RESPUESTA </w:t>
    </w:r>
    <w:r w:rsidRPr="00C925AC">
      <w:rPr>
        <w:rFonts w:ascii="Verdana" w:hAnsi="Verdana"/>
        <w:b/>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5pt;height:13.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C569212"/>
    <w:lvl w:ilvl="0" w:tplc="5A46C10E">
      <w:start w:val="1"/>
      <w:numFmt w:val="bullet"/>
      <w:lvlText w:val=""/>
      <w:lvlJc w:val="left"/>
      <w:pPr>
        <w:ind w:left="360" w:hanging="360"/>
      </w:pPr>
      <w:rPr>
        <w:rFonts w:ascii="Symbol" w:hAnsi="Symbol" w:hint="default"/>
        <w:sz w:val="22"/>
        <w:szCs w:val="22"/>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3C110ECD"/>
    <w:multiLevelType w:val="hybridMultilevel"/>
    <w:tmpl w:val="FDB263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95398280">
    <w:abstractNumId w:val="6"/>
  </w:num>
  <w:num w:numId="2" w16cid:durableId="967659154">
    <w:abstractNumId w:val="2"/>
  </w:num>
  <w:num w:numId="3" w16cid:durableId="1960797654">
    <w:abstractNumId w:val="4"/>
  </w:num>
  <w:num w:numId="4" w16cid:durableId="171161170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84192720">
    <w:abstractNumId w:val="2"/>
  </w:num>
  <w:num w:numId="6" w16cid:durableId="1249928806">
    <w:abstractNumId w:val="14"/>
  </w:num>
  <w:num w:numId="7" w16cid:durableId="553588279">
    <w:abstractNumId w:val="5"/>
  </w:num>
  <w:num w:numId="8" w16cid:durableId="1276907757">
    <w:abstractNumId w:val="13"/>
  </w:num>
  <w:num w:numId="9" w16cid:durableId="1435053976">
    <w:abstractNumId w:val="7"/>
  </w:num>
  <w:num w:numId="10" w16cid:durableId="1880389518">
    <w:abstractNumId w:val="12"/>
  </w:num>
  <w:num w:numId="11" w16cid:durableId="1167939182">
    <w:abstractNumId w:val="8"/>
  </w:num>
  <w:num w:numId="12" w16cid:durableId="330261921">
    <w:abstractNumId w:val="1"/>
  </w:num>
  <w:num w:numId="13" w16cid:durableId="411391847">
    <w:abstractNumId w:val="3"/>
  </w:num>
  <w:num w:numId="14" w16cid:durableId="1541669253">
    <w:abstractNumId w:val="15"/>
  </w:num>
  <w:num w:numId="15" w16cid:durableId="394662739">
    <w:abstractNumId w:val="11"/>
  </w:num>
  <w:num w:numId="16" w16cid:durableId="1051542062">
    <w:abstractNumId w:val="0"/>
  </w:num>
  <w:num w:numId="17" w16cid:durableId="1579024511">
    <w:abstractNumId w:val="9"/>
  </w:num>
  <w:num w:numId="18" w16cid:durableId="20382398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AB2"/>
    <w:rsid w:val="00016F78"/>
    <w:rsid w:val="000245AF"/>
    <w:rsid w:val="000271E9"/>
    <w:rsid w:val="00034C77"/>
    <w:rsid w:val="00046945"/>
    <w:rsid w:val="00061B2A"/>
    <w:rsid w:val="00065ADA"/>
    <w:rsid w:val="00082362"/>
    <w:rsid w:val="000866BA"/>
    <w:rsid w:val="000A683E"/>
    <w:rsid w:val="000A7105"/>
    <w:rsid w:val="000B19B9"/>
    <w:rsid w:val="000D0334"/>
    <w:rsid w:val="000D5DA7"/>
    <w:rsid w:val="000F4376"/>
    <w:rsid w:val="000F6486"/>
    <w:rsid w:val="00101CF3"/>
    <w:rsid w:val="00116940"/>
    <w:rsid w:val="00125105"/>
    <w:rsid w:val="00127233"/>
    <w:rsid w:val="0015699B"/>
    <w:rsid w:val="001640CE"/>
    <w:rsid w:val="0017377D"/>
    <w:rsid w:val="00173DC0"/>
    <w:rsid w:val="001A33BF"/>
    <w:rsid w:val="001C3390"/>
    <w:rsid w:val="001E29A7"/>
    <w:rsid w:val="001E4177"/>
    <w:rsid w:val="001F0B24"/>
    <w:rsid w:val="001F7DC6"/>
    <w:rsid w:val="0020562D"/>
    <w:rsid w:val="00206419"/>
    <w:rsid w:val="0022400B"/>
    <w:rsid w:val="0022781C"/>
    <w:rsid w:val="00227D74"/>
    <w:rsid w:val="002377BB"/>
    <w:rsid w:val="002421BB"/>
    <w:rsid w:val="00251ECF"/>
    <w:rsid w:val="00255158"/>
    <w:rsid w:val="002567BC"/>
    <w:rsid w:val="002572E2"/>
    <w:rsid w:val="0025796E"/>
    <w:rsid w:val="00266576"/>
    <w:rsid w:val="002707A2"/>
    <w:rsid w:val="002951A0"/>
    <w:rsid w:val="002962BC"/>
    <w:rsid w:val="002A093D"/>
    <w:rsid w:val="002A0DD0"/>
    <w:rsid w:val="002A49AC"/>
    <w:rsid w:val="002A64FD"/>
    <w:rsid w:val="002B3B08"/>
    <w:rsid w:val="002C7A84"/>
    <w:rsid w:val="002D0F8A"/>
    <w:rsid w:val="002D1E9E"/>
    <w:rsid w:val="002E2BF8"/>
    <w:rsid w:val="002E4FD9"/>
    <w:rsid w:val="002E7C5F"/>
    <w:rsid w:val="002F5AF3"/>
    <w:rsid w:val="002F64A2"/>
    <w:rsid w:val="0030657A"/>
    <w:rsid w:val="00322A85"/>
    <w:rsid w:val="00324168"/>
    <w:rsid w:val="00330834"/>
    <w:rsid w:val="003448F4"/>
    <w:rsid w:val="0036222C"/>
    <w:rsid w:val="00364AC6"/>
    <w:rsid w:val="00374F5E"/>
    <w:rsid w:val="00377E3E"/>
    <w:rsid w:val="003A779E"/>
    <w:rsid w:val="003C1C5E"/>
    <w:rsid w:val="003D0F4D"/>
    <w:rsid w:val="003D5B0D"/>
    <w:rsid w:val="003E0499"/>
    <w:rsid w:val="003E4F80"/>
    <w:rsid w:val="003E6439"/>
    <w:rsid w:val="003F3941"/>
    <w:rsid w:val="003F5E34"/>
    <w:rsid w:val="00406575"/>
    <w:rsid w:val="00414C74"/>
    <w:rsid w:val="0042722E"/>
    <w:rsid w:val="004321F2"/>
    <w:rsid w:val="004379AC"/>
    <w:rsid w:val="0044528D"/>
    <w:rsid w:val="00466E39"/>
    <w:rsid w:val="00480537"/>
    <w:rsid w:val="004A1847"/>
    <w:rsid w:val="004A305D"/>
    <w:rsid w:val="004A7810"/>
    <w:rsid w:val="004D21EE"/>
    <w:rsid w:val="004F21C4"/>
    <w:rsid w:val="004F685F"/>
    <w:rsid w:val="005014EA"/>
    <w:rsid w:val="00501A10"/>
    <w:rsid w:val="00530A2C"/>
    <w:rsid w:val="00530EA5"/>
    <w:rsid w:val="00537ED8"/>
    <w:rsid w:val="005542B0"/>
    <w:rsid w:val="005566E8"/>
    <w:rsid w:val="0056607A"/>
    <w:rsid w:val="00574867"/>
    <w:rsid w:val="00591460"/>
    <w:rsid w:val="005A0A22"/>
    <w:rsid w:val="005A65E0"/>
    <w:rsid w:val="005B114E"/>
    <w:rsid w:val="005B14A5"/>
    <w:rsid w:val="005C3777"/>
    <w:rsid w:val="005C5CDC"/>
    <w:rsid w:val="005D2EBD"/>
    <w:rsid w:val="005D476C"/>
    <w:rsid w:val="005F433B"/>
    <w:rsid w:val="005F567E"/>
    <w:rsid w:val="00606B3B"/>
    <w:rsid w:val="0062005F"/>
    <w:rsid w:val="006200BF"/>
    <w:rsid w:val="006219F8"/>
    <w:rsid w:val="006302F7"/>
    <w:rsid w:val="0064434E"/>
    <w:rsid w:val="00646B9F"/>
    <w:rsid w:val="00651A62"/>
    <w:rsid w:val="00657CD1"/>
    <w:rsid w:val="00665D70"/>
    <w:rsid w:val="00674D41"/>
    <w:rsid w:val="006820FE"/>
    <w:rsid w:val="00682D25"/>
    <w:rsid w:val="006864ED"/>
    <w:rsid w:val="006900D9"/>
    <w:rsid w:val="006B51F3"/>
    <w:rsid w:val="006C0E5F"/>
    <w:rsid w:val="006E2563"/>
    <w:rsid w:val="006F609F"/>
    <w:rsid w:val="00706C16"/>
    <w:rsid w:val="00731BC3"/>
    <w:rsid w:val="007340C3"/>
    <w:rsid w:val="0075235A"/>
    <w:rsid w:val="007563C1"/>
    <w:rsid w:val="00756841"/>
    <w:rsid w:val="007649AB"/>
    <w:rsid w:val="00771D0C"/>
    <w:rsid w:val="00777630"/>
    <w:rsid w:val="007833AC"/>
    <w:rsid w:val="00783CE1"/>
    <w:rsid w:val="007A0E59"/>
    <w:rsid w:val="007B085C"/>
    <w:rsid w:val="007B268C"/>
    <w:rsid w:val="007B6DDF"/>
    <w:rsid w:val="007B7171"/>
    <w:rsid w:val="007C0C0F"/>
    <w:rsid w:val="007C3DC2"/>
    <w:rsid w:val="007C45EC"/>
    <w:rsid w:val="007E5497"/>
    <w:rsid w:val="007F05CB"/>
    <w:rsid w:val="00806F5F"/>
    <w:rsid w:val="00820278"/>
    <w:rsid w:val="008254C7"/>
    <w:rsid w:val="008258C9"/>
    <w:rsid w:val="00844AE9"/>
    <w:rsid w:val="00854D90"/>
    <w:rsid w:val="00867F95"/>
    <w:rsid w:val="008843B6"/>
    <w:rsid w:val="00891928"/>
    <w:rsid w:val="008A446D"/>
    <w:rsid w:val="008B25F1"/>
    <w:rsid w:val="008C70DB"/>
    <w:rsid w:val="008D1770"/>
    <w:rsid w:val="008D180B"/>
    <w:rsid w:val="008E07B0"/>
    <w:rsid w:val="008E5B01"/>
    <w:rsid w:val="008F0EA7"/>
    <w:rsid w:val="009004C1"/>
    <w:rsid w:val="00907BD9"/>
    <w:rsid w:val="009107D3"/>
    <w:rsid w:val="00920521"/>
    <w:rsid w:val="00923EEF"/>
    <w:rsid w:val="009373ED"/>
    <w:rsid w:val="009419F9"/>
    <w:rsid w:val="0095685E"/>
    <w:rsid w:val="00961B09"/>
    <w:rsid w:val="00962CCC"/>
    <w:rsid w:val="00965334"/>
    <w:rsid w:val="0097093E"/>
    <w:rsid w:val="009A0DFA"/>
    <w:rsid w:val="009A1C6F"/>
    <w:rsid w:val="009A5AC0"/>
    <w:rsid w:val="009B2D26"/>
    <w:rsid w:val="009C71FA"/>
    <w:rsid w:val="009C72E7"/>
    <w:rsid w:val="009C7F7E"/>
    <w:rsid w:val="009D3058"/>
    <w:rsid w:val="009D337B"/>
    <w:rsid w:val="009E75FC"/>
    <w:rsid w:val="009F3A13"/>
    <w:rsid w:val="00A0419E"/>
    <w:rsid w:val="00A122D3"/>
    <w:rsid w:val="00A12765"/>
    <w:rsid w:val="00A14468"/>
    <w:rsid w:val="00A17F13"/>
    <w:rsid w:val="00A20739"/>
    <w:rsid w:val="00A23AF9"/>
    <w:rsid w:val="00A31EA5"/>
    <w:rsid w:val="00A33C78"/>
    <w:rsid w:val="00A34B04"/>
    <w:rsid w:val="00A55148"/>
    <w:rsid w:val="00A61719"/>
    <w:rsid w:val="00A669FC"/>
    <w:rsid w:val="00A76D6C"/>
    <w:rsid w:val="00A77F08"/>
    <w:rsid w:val="00A834F4"/>
    <w:rsid w:val="00AB0ADB"/>
    <w:rsid w:val="00AD1B1F"/>
    <w:rsid w:val="00AD4EB8"/>
    <w:rsid w:val="00AF5D6E"/>
    <w:rsid w:val="00B00C0E"/>
    <w:rsid w:val="00B01B1A"/>
    <w:rsid w:val="00B0381D"/>
    <w:rsid w:val="00B11C4E"/>
    <w:rsid w:val="00B44A47"/>
    <w:rsid w:val="00B450D6"/>
    <w:rsid w:val="00B55F03"/>
    <w:rsid w:val="00B72CD3"/>
    <w:rsid w:val="00B72FFF"/>
    <w:rsid w:val="00B75833"/>
    <w:rsid w:val="00B82A80"/>
    <w:rsid w:val="00BA07AC"/>
    <w:rsid w:val="00BA39FB"/>
    <w:rsid w:val="00BC3D36"/>
    <w:rsid w:val="00BD54A6"/>
    <w:rsid w:val="00BD7F72"/>
    <w:rsid w:val="00BF7425"/>
    <w:rsid w:val="00C04FB3"/>
    <w:rsid w:val="00C11D8B"/>
    <w:rsid w:val="00C15139"/>
    <w:rsid w:val="00C219E3"/>
    <w:rsid w:val="00C2572D"/>
    <w:rsid w:val="00C330EB"/>
    <w:rsid w:val="00C3373B"/>
    <w:rsid w:val="00C343AF"/>
    <w:rsid w:val="00C50D69"/>
    <w:rsid w:val="00C5365C"/>
    <w:rsid w:val="00C55FB8"/>
    <w:rsid w:val="00C64ADA"/>
    <w:rsid w:val="00C66457"/>
    <w:rsid w:val="00C6735A"/>
    <w:rsid w:val="00C754BE"/>
    <w:rsid w:val="00C76B1C"/>
    <w:rsid w:val="00C809F1"/>
    <w:rsid w:val="00C838FF"/>
    <w:rsid w:val="00C86D6B"/>
    <w:rsid w:val="00C925AC"/>
    <w:rsid w:val="00CB6357"/>
    <w:rsid w:val="00CC1B26"/>
    <w:rsid w:val="00CE6AD8"/>
    <w:rsid w:val="00CF39FE"/>
    <w:rsid w:val="00D01E01"/>
    <w:rsid w:val="00D126A7"/>
    <w:rsid w:val="00D1564B"/>
    <w:rsid w:val="00D17155"/>
    <w:rsid w:val="00D30060"/>
    <w:rsid w:val="00D361FD"/>
    <w:rsid w:val="00D423A2"/>
    <w:rsid w:val="00D44E26"/>
    <w:rsid w:val="00D520D8"/>
    <w:rsid w:val="00D53FAD"/>
    <w:rsid w:val="00D63AC2"/>
    <w:rsid w:val="00D67747"/>
    <w:rsid w:val="00D7383B"/>
    <w:rsid w:val="00D7788A"/>
    <w:rsid w:val="00DA231B"/>
    <w:rsid w:val="00DB47D2"/>
    <w:rsid w:val="00DB5DAF"/>
    <w:rsid w:val="00DC08FB"/>
    <w:rsid w:val="00DC38D2"/>
    <w:rsid w:val="00DC39FC"/>
    <w:rsid w:val="00DC7205"/>
    <w:rsid w:val="00DE32B4"/>
    <w:rsid w:val="00DE3E09"/>
    <w:rsid w:val="00DF5254"/>
    <w:rsid w:val="00DF5B31"/>
    <w:rsid w:val="00E02524"/>
    <w:rsid w:val="00E16408"/>
    <w:rsid w:val="00E20894"/>
    <w:rsid w:val="00E245AB"/>
    <w:rsid w:val="00E2764C"/>
    <w:rsid w:val="00E27F2E"/>
    <w:rsid w:val="00E41EDB"/>
    <w:rsid w:val="00E50AFE"/>
    <w:rsid w:val="00E75C92"/>
    <w:rsid w:val="00E771DC"/>
    <w:rsid w:val="00E8772A"/>
    <w:rsid w:val="00E90F6B"/>
    <w:rsid w:val="00E92C27"/>
    <w:rsid w:val="00E959BB"/>
    <w:rsid w:val="00EA0E3D"/>
    <w:rsid w:val="00EB275B"/>
    <w:rsid w:val="00EC38A7"/>
    <w:rsid w:val="00ED52DE"/>
    <w:rsid w:val="00EE1AA8"/>
    <w:rsid w:val="00EF6D46"/>
    <w:rsid w:val="00EF74EF"/>
    <w:rsid w:val="00F0653F"/>
    <w:rsid w:val="00F239AE"/>
    <w:rsid w:val="00F23FEA"/>
    <w:rsid w:val="00F31EDC"/>
    <w:rsid w:val="00F35FE8"/>
    <w:rsid w:val="00F462B3"/>
    <w:rsid w:val="00F5664F"/>
    <w:rsid w:val="00F64404"/>
    <w:rsid w:val="00F666C4"/>
    <w:rsid w:val="00F74498"/>
    <w:rsid w:val="00F76AFC"/>
    <w:rsid w:val="00F8005F"/>
    <w:rsid w:val="00F85453"/>
    <w:rsid w:val="00FA47C0"/>
    <w:rsid w:val="00FB5DD1"/>
    <w:rsid w:val="00FC2B5D"/>
    <w:rsid w:val="00FC532E"/>
    <w:rsid w:val="00FE17B2"/>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BD9"/>
    <w:pPr>
      <w:spacing w:after="0" w:line="240" w:lineRule="auto"/>
    </w:pPr>
    <w:rPr>
      <w:rFonts w:ascii="Times New Roman" w:eastAsia="Times New Roman" w:hAnsi="Times New Roman" w:cs="Times New Roman"/>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spacing w:after="160" w:line="259" w:lineRule="auto"/>
      <w:ind w:left="720"/>
      <w:contextualSpacing/>
    </w:pPr>
    <w:rPr>
      <w:rFonts w:ascii="Geomanist Light" w:eastAsiaTheme="minorHAnsi" w:hAnsi="Geomanist Light" w:cstheme="minorBidi"/>
      <w:sz w:val="22"/>
      <w:szCs w:val="22"/>
      <w:lang w:val="es-ES" w:eastAsia="en-US"/>
    </w:rPr>
  </w:style>
  <w:style w:type="paragraph" w:styleId="Ttulo">
    <w:name w:val="Title"/>
    <w:basedOn w:val="Normal"/>
    <w:next w:val="Normal"/>
    <w:link w:val="TtuloCar"/>
    <w:uiPriority w:val="10"/>
    <w:qFormat/>
    <w:rsid w:val="005566E8"/>
    <w:pPr>
      <w:contextualSpacing/>
    </w:pPr>
    <w:rPr>
      <w:rFonts w:ascii="Geomanist" w:eastAsiaTheme="majorEastAsia" w:hAnsi="Geomanist" w:cstheme="majorBidi"/>
      <w:spacing w:val="-10"/>
      <w:kern w:val="28"/>
      <w:sz w:val="22"/>
      <w:szCs w:val="56"/>
      <w:lang w:val="es-ES" w:eastAsia="en-U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pPr>
    <w:rPr>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pPr>
    <w:rPr>
      <w:lang w:eastAsia="es-CO"/>
    </w:rPr>
  </w:style>
  <w:style w:type="paragraph" w:customStyle="1" w:styleId="blanco">
    <w:name w:val="blanco"/>
    <w:basedOn w:val="Normal"/>
    <w:rsid w:val="00C76B1C"/>
    <w:pPr>
      <w:spacing w:before="100" w:beforeAutospacing="1" w:after="100" w:afterAutospacing="1"/>
    </w:pPr>
    <w:rPr>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D4EB8"/>
    <w:pPr>
      <w:spacing w:after="160" w:line="240" w:lineRule="exact"/>
    </w:pPr>
    <w:rPr>
      <w:rFonts w:asciiTheme="minorHAnsi" w:eastAsiaTheme="minorHAnsi" w:hAnsiTheme="minorHAnsi" w:cstheme="minorBidi"/>
      <w:sz w:val="22"/>
      <w:szCs w:val="22"/>
      <w:vertAlign w:val="superscript"/>
      <w:lang w:eastAsia="en-U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D4EB8"/>
    <w:rPr>
      <w:rFonts w:ascii="Geomanist Light" w:hAnsi="Geomanist Light"/>
      <w:lang w:val="es-ES"/>
    </w:rPr>
  </w:style>
  <w:style w:type="character" w:styleId="Refdecomentario">
    <w:name w:val="annotation reference"/>
    <w:basedOn w:val="Fuentedeprrafopredeter"/>
    <w:uiPriority w:val="99"/>
    <w:semiHidden/>
    <w:unhideWhenUsed/>
    <w:rsid w:val="00A34B04"/>
    <w:rPr>
      <w:sz w:val="16"/>
      <w:szCs w:val="16"/>
    </w:rPr>
  </w:style>
  <w:style w:type="paragraph" w:styleId="Textocomentario">
    <w:name w:val="annotation text"/>
    <w:basedOn w:val="Normal"/>
    <w:link w:val="TextocomentarioCar"/>
    <w:uiPriority w:val="99"/>
    <w:unhideWhenUsed/>
    <w:rsid w:val="00530EA5"/>
    <w:rPr>
      <w:sz w:val="20"/>
      <w:szCs w:val="20"/>
    </w:rPr>
  </w:style>
  <w:style w:type="character" w:customStyle="1" w:styleId="TextocomentarioCar">
    <w:name w:val="Texto comentario Car"/>
    <w:basedOn w:val="Fuentedeprrafopredeter"/>
    <w:link w:val="Textocomentario"/>
    <w:uiPriority w:val="99"/>
    <w:rsid w:val="00A34B04"/>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A34B04"/>
    <w:rPr>
      <w:b/>
      <w:bCs/>
    </w:rPr>
  </w:style>
  <w:style w:type="character" w:customStyle="1" w:styleId="AsuntodelcomentarioCar">
    <w:name w:val="Asunto del comentario Car"/>
    <w:basedOn w:val="TextocomentarioCar"/>
    <w:link w:val="Asuntodelcomentario"/>
    <w:uiPriority w:val="99"/>
    <w:semiHidden/>
    <w:rsid w:val="00A34B04"/>
    <w:rPr>
      <w:rFonts w:ascii="Times New Roman" w:eastAsia="Times New Roman" w:hAnsi="Times New Roman" w:cs="Times New Roman"/>
      <w:b/>
      <w:bCs/>
      <w:sz w:val="20"/>
      <w:szCs w:val="20"/>
      <w:lang w:eastAsia="es-ES_tradnl"/>
    </w:rPr>
  </w:style>
  <w:style w:type="character" w:styleId="nfasis">
    <w:name w:val="Emphasis"/>
    <w:basedOn w:val="Fuentedeprrafopredeter"/>
    <w:uiPriority w:val="20"/>
    <w:qFormat/>
    <w:rsid w:val="006864ED"/>
    <w:rPr>
      <w:i/>
      <w:iCs/>
    </w:rPr>
  </w:style>
  <w:style w:type="character" w:styleId="Fuerte">
    <w:name w:val="Strong"/>
    <w:basedOn w:val="Fuentedeprrafopredeter"/>
    <w:uiPriority w:val="22"/>
    <w:qFormat/>
    <w:rsid w:val="006864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3225014">
      <w:bodyDiv w:val="1"/>
      <w:marLeft w:val="0"/>
      <w:marRight w:val="0"/>
      <w:marTop w:val="0"/>
      <w:marBottom w:val="0"/>
      <w:divBdr>
        <w:top w:val="none" w:sz="0" w:space="0" w:color="auto"/>
        <w:left w:val="none" w:sz="0" w:space="0" w:color="auto"/>
        <w:bottom w:val="none" w:sz="0" w:space="0" w:color="auto"/>
        <w:right w:val="none" w:sz="0" w:space="0" w:color="auto"/>
      </w:divBdr>
      <w:divsChild>
        <w:div w:id="2023895478">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20870060">
      <w:bodyDiv w:val="1"/>
      <w:marLeft w:val="0"/>
      <w:marRight w:val="0"/>
      <w:marTop w:val="0"/>
      <w:marBottom w:val="0"/>
      <w:divBdr>
        <w:top w:val="none" w:sz="0" w:space="0" w:color="auto"/>
        <w:left w:val="none" w:sz="0" w:space="0" w:color="auto"/>
        <w:bottom w:val="none" w:sz="0" w:space="0" w:color="auto"/>
        <w:right w:val="none" w:sz="0" w:space="0" w:color="auto"/>
      </w:divBdr>
      <w:divsChild>
        <w:div w:id="915013747">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21615102">
      <w:bodyDiv w:val="1"/>
      <w:marLeft w:val="0"/>
      <w:marRight w:val="0"/>
      <w:marTop w:val="0"/>
      <w:marBottom w:val="0"/>
      <w:divBdr>
        <w:top w:val="none" w:sz="0" w:space="0" w:color="auto"/>
        <w:left w:val="none" w:sz="0" w:space="0" w:color="auto"/>
        <w:bottom w:val="none" w:sz="0" w:space="0" w:color="auto"/>
        <w:right w:val="none" w:sz="0" w:space="0" w:color="auto"/>
      </w:divBdr>
    </w:div>
    <w:div w:id="1485970453">
      <w:bodyDiv w:val="1"/>
      <w:marLeft w:val="0"/>
      <w:marRight w:val="0"/>
      <w:marTop w:val="0"/>
      <w:marBottom w:val="0"/>
      <w:divBdr>
        <w:top w:val="none" w:sz="0" w:space="0" w:color="auto"/>
        <w:left w:val="none" w:sz="0" w:space="0" w:color="auto"/>
        <w:bottom w:val="none" w:sz="0" w:space="0" w:color="auto"/>
        <w:right w:val="none" w:sz="0" w:space="0" w:color="auto"/>
      </w:divBdr>
      <w:divsChild>
        <w:div w:id="486408341">
          <w:marLeft w:val="0"/>
          <w:marRight w:val="0"/>
          <w:marTop w:val="0"/>
          <w:marBottom w:val="0"/>
          <w:divBdr>
            <w:top w:val="none" w:sz="0" w:space="0" w:color="auto"/>
            <w:left w:val="none" w:sz="0" w:space="0" w:color="auto"/>
            <w:bottom w:val="none" w:sz="0" w:space="0" w:color="auto"/>
            <w:right w:val="none" w:sz="0" w:space="0" w:color="auto"/>
          </w:divBdr>
        </w:div>
      </w:divsChild>
    </w:div>
    <w:div w:id="1937127798">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decreto_1494_2015.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mfacor@comfacor.com.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funcionpublica.gov.co/eva/gestornormativo/norma.php?i=43292" TargetMode="External"/><Relationship Id="rId1" Type="http://schemas.openxmlformats.org/officeDocument/2006/relationships/hyperlink" Target="https://www.funcionpublica.gov.co/eva/gestornormativo/norma.php?i=4329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DCBA1AF4-24C4-4C97-8A0C-6CE4A502AE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E8E488D-45E6-4D25-8993-F9CE55DEBF28}">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17</Pages>
  <Words>5401</Words>
  <Characters>29549</Characters>
  <Application>Microsoft Office Word</Application>
  <DocSecurity>0</DocSecurity>
  <Lines>615</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2026-02-10T16:54:00Z</dcterms:created>
  <dcterms:modified xsi:type="dcterms:W3CDTF">2026-02-10T18:21:00Z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