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86590B" w:rsidR="00A525EF" w:rsidP="00A525EF" w:rsidRDefault="00A525EF" w14:paraId="42706DEC" w14:textId="77777777">
      <w:pPr>
        <w:spacing w:line="276" w:lineRule="auto"/>
        <w:jc w:val="both"/>
        <w:rPr>
          <w:rFonts w:ascii="Verdana" w:hAnsi="Verdana" w:cs="Arial"/>
          <w:b/>
          <w:bCs/>
          <w:color w:val="000000" w:themeColor="text1"/>
          <w:lang w:val="es-ES"/>
        </w:rPr>
      </w:pPr>
      <w:bookmarkStart w:name="_Hlk213674657" w:id="0"/>
      <w:bookmarkStart w:name="_Hlk143780582" w:id="1"/>
      <w:bookmarkEnd w:id="0"/>
      <w:r w:rsidRPr="0086590B">
        <w:rPr>
          <w:rFonts w:ascii="Verdana" w:hAnsi="Verdana" w:cs="Arial"/>
          <w:b/>
          <w:bCs/>
          <w:color w:val="000000" w:themeColor="text1"/>
          <w:lang w:val="es-ES"/>
        </w:rPr>
        <w:t xml:space="preserve">SUBSANABILIDAD – Aplicación – Regla general – Excepciones </w:t>
      </w:r>
    </w:p>
    <w:p w:rsidRPr="0086590B" w:rsidR="00A525EF" w:rsidP="00A525EF" w:rsidRDefault="00A525EF" w14:paraId="6E35CA6D" w14:textId="77777777">
      <w:pPr>
        <w:spacing w:after="0" w:line="240" w:lineRule="auto"/>
        <w:jc w:val="both"/>
        <w:rPr>
          <w:rFonts w:ascii="Verdana" w:hAnsi="Verdana" w:eastAsia="Times New Roman" w:cs="Arial"/>
          <w:sz w:val="20"/>
          <w:szCs w:val="20"/>
          <w:lang w:val="es-ES" w:eastAsia="es-ES"/>
        </w:rPr>
      </w:pPr>
      <w:r w:rsidRPr="0086590B">
        <w:rPr>
          <w:rFonts w:ascii="Verdana" w:hAnsi="Verdana" w:cs="Arial"/>
          <w:noProof/>
          <w:sz w:val="20"/>
          <w:szCs w:val="20"/>
          <w:lang w:val="es-ES"/>
        </w:rPr>
        <w:t>L</w:t>
      </w:r>
      <w:r w:rsidRPr="0086590B">
        <w:rPr>
          <w:rFonts w:ascii="Verdana" w:hAnsi="Verdana" w:eastAsia="Times New Roman" w:cs="Arial"/>
          <w:sz w:val="20"/>
          <w:szCs w:val="20"/>
        </w:rPr>
        <w:t xml:space="preserve">a regla de la </w:t>
      </w:r>
      <w:proofErr w:type="spellStart"/>
      <w:r w:rsidRPr="0086590B">
        <w:rPr>
          <w:rFonts w:ascii="Verdana" w:hAnsi="Verdana" w:eastAsia="Times New Roman" w:cs="Arial"/>
          <w:sz w:val="20"/>
          <w:szCs w:val="20"/>
        </w:rPr>
        <w:t>subsanabilidad</w:t>
      </w:r>
      <w:proofErr w:type="spellEnd"/>
      <w:r w:rsidRPr="0086590B">
        <w:rPr>
          <w:rFonts w:ascii="Verdana" w:hAnsi="Verdana" w:eastAsia="Times New Roman" w:cs="Arial"/>
          <w:sz w:val="20"/>
          <w:szCs w:val="20"/>
        </w:rPr>
        <w:t xml:space="preserve"> de las ofertas en los procedimientos de selección</w:t>
      </w:r>
      <w:r w:rsidRPr="0086590B">
        <w:rPr>
          <w:rFonts w:ascii="Verdana" w:hAnsi="Verdana" w:eastAsia="Times New Roman" w:cs="Arial"/>
          <w:b/>
          <w:bCs/>
          <w:sz w:val="20"/>
          <w:szCs w:val="20"/>
        </w:rPr>
        <w:t xml:space="preserve"> </w:t>
      </w:r>
      <w:r w:rsidRPr="0086590B">
        <w:rPr>
          <w:rFonts w:ascii="Verdana" w:hAnsi="Verdana" w:eastAsia="Times New Roman"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rsidRPr="0086590B" w:rsidR="00A525EF" w:rsidP="00A525EF" w:rsidRDefault="00A525EF" w14:paraId="20A3B3AE" w14:textId="77777777">
      <w:pPr>
        <w:spacing w:after="0" w:line="240" w:lineRule="auto"/>
        <w:jc w:val="both"/>
        <w:rPr>
          <w:rFonts w:ascii="Verdana" w:hAnsi="Verdana" w:eastAsia="Times New Roman" w:cs="Arial"/>
          <w:sz w:val="20"/>
          <w:szCs w:val="20"/>
          <w:lang w:val="es-ES" w:eastAsia="es-ES"/>
        </w:rPr>
      </w:pPr>
    </w:p>
    <w:p w:rsidRPr="0086590B" w:rsidR="00B41D15" w:rsidP="00B41D15" w:rsidRDefault="00B41D15" w14:paraId="60A6C1C3" w14:textId="77777777">
      <w:pPr>
        <w:spacing w:after="0" w:line="240" w:lineRule="auto"/>
        <w:jc w:val="both"/>
        <w:rPr>
          <w:rFonts w:ascii="Verdana" w:hAnsi="Verdana" w:eastAsia="Calibri" w:cs="Arial"/>
          <w:b/>
          <w:bCs/>
          <w:lang w:val="es-ES" w:eastAsia="es-ES"/>
        </w:rPr>
      </w:pPr>
      <w:r w:rsidRPr="0086590B">
        <w:rPr>
          <w:rFonts w:ascii="Verdana" w:hAnsi="Verdana" w:eastAsia="Calibri" w:cs="Arial"/>
          <w:b/>
          <w:bCs/>
          <w:lang w:val="es-ES" w:eastAsia="es-ES"/>
        </w:rPr>
        <w:t>SUBSANABILIDAD DE LAS OFERTAS – Alcance de la regla – Ley 1882 de 2018– Ámbito temporal – Criterio material</w:t>
      </w:r>
    </w:p>
    <w:p w:rsidRPr="0086590B" w:rsidR="00A525EF" w:rsidP="00A525EF" w:rsidRDefault="00A525EF" w14:paraId="46E475D8" w14:textId="77777777">
      <w:pPr>
        <w:spacing w:after="0" w:line="240" w:lineRule="auto"/>
        <w:jc w:val="both"/>
        <w:rPr>
          <w:rFonts w:ascii="Verdana" w:hAnsi="Verdana" w:cs="Arial"/>
          <w:b/>
          <w:bCs/>
          <w:color w:val="000000" w:themeColor="text1"/>
          <w:lang w:val="es-ES"/>
        </w:rPr>
      </w:pPr>
    </w:p>
    <w:p w:rsidRPr="0086590B" w:rsidR="00957E2A" w:rsidP="00957E2A" w:rsidRDefault="00957E2A" w14:paraId="50F90BFC" w14:textId="77777777">
      <w:pPr>
        <w:spacing w:after="0" w:line="240" w:lineRule="auto"/>
        <w:contextualSpacing/>
        <w:jc w:val="both"/>
        <w:rPr>
          <w:rFonts w:ascii="Verdana" w:hAnsi="Verdana" w:cs="Arial"/>
          <w:sz w:val="20"/>
          <w:szCs w:val="20"/>
          <w:lang w:val="es-ES"/>
          <w14:ligatures w14:val="standardContextual"/>
        </w:rPr>
      </w:pPr>
      <w:r w:rsidRPr="0086590B">
        <w:rPr>
          <w:rFonts w:ascii="Verdana" w:hAnsi="Verdana" w:eastAsia="Calibri" w:cs="Arial"/>
          <w:sz w:val="20"/>
          <w:szCs w:val="20"/>
          <w:lang w:val="es-ES"/>
        </w:rPr>
        <w:t xml:space="preserve">“[…] </w:t>
      </w:r>
      <w:r w:rsidRPr="0086590B">
        <w:rPr>
          <w:rFonts w:ascii="Verdana" w:hAnsi="Verdana" w:cs="Arial"/>
          <w:sz w:val="20"/>
          <w:szCs w:val="20"/>
          <w:lang w:val="es-ES"/>
          <w14:ligatures w14:val="standardContextual"/>
        </w:rPr>
        <w:t xml:space="preserve">Como puede observarse, la Ley 1882 de 2018: i) mantiene el criterio de la Ley 80 de 1993, relativo a que todo lo que no sea necesario para la comparación de propuestas no es título suficiente para su rechazo; </w:t>
      </w:r>
      <w:proofErr w:type="spellStart"/>
      <w:r w:rsidRPr="0086590B">
        <w:rPr>
          <w:rFonts w:ascii="Verdana" w:hAnsi="Verdana" w:cs="Arial"/>
          <w:sz w:val="20"/>
          <w:szCs w:val="20"/>
          <w:lang w:val="es-ES"/>
          <w14:ligatures w14:val="standardContextual"/>
        </w:rPr>
        <w:t>ii</w:t>
      </w:r>
      <w:proofErr w:type="spellEnd"/>
      <w:r w:rsidRPr="0086590B">
        <w:rPr>
          <w:rFonts w:ascii="Verdana" w:hAnsi="Verdana" w:cs="Arial"/>
          <w:sz w:val="20"/>
          <w:szCs w:val="20"/>
          <w:lang w:val="es-ES"/>
          <w14:ligatures w14:val="standardContextual"/>
        </w:rPr>
        <w:t xml:space="preserve">) mantiene el criterio aclaratorio de la Ley 1150 de 2007, según el cual todo lo que no afecte la asignación de puntaje puede subsanarse y, </w:t>
      </w:r>
      <w:proofErr w:type="spellStart"/>
      <w:r w:rsidRPr="0086590B">
        <w:rPr>
          <w:rFonts w:ascii="Verdana" w:hAnsi="Verdana" w:cs="Arial"/>
          <w:sz w:val="20"/>
          <w:szCs w:val="20"/>
          <w:lang w:val="es-ES"/>
          <w14:ligatures w14:val="standardContextual"/>
        </w:rPr>
        <w:t>iii</w:t>
      </w:r>
      <w:proofErr w:type="spellEnd"/>
      <w:r w:rsidRPr="0086590B">
        <w:rPr>
          <w:rFonts w:ascii="Verdana" w:hAnsi="Verdana" w:cs="Arial"/>
          <w:sz w:val="20"/>
          <w:szCs w:val="20"/>
          <w:lang w:val="es-ES"/>
          <w14:ligatures w14:val="standardContextual"/>
        </w:rPr>
        <w:t xml:space="preserve">) introduce modificaciones en relación con algunos aspectos que se analizarán a continuación. </w:t>
      </w:r>
    </w:p>
    <w:p w:rsidRPr="0086590B" w:rsidR="00957E2A" w:rsidP="00957E2A" w:rsidRDefault="00957E2A" w14:paraId="7D4DA214" w14:textId="77777777">
      <w:pPr>
        <w:spacing w:after="0" w:line="240" w:lineRule="auto"/>
        <w:contextualSpacing/>
        <w:jc w:val="both"/>
        <w:rPr>
          <w:rFonts w:ascii="Verdana" w:hAnsi="Verdana" w:cs="Arial"/>
          <w:sz w:val="20"/>
          <w:szCs w:val="20"/>
          <w:lang w:val="es-ES_tradnl"/>
        </w:rPr>
      </w:pPr>
    </w:p>
    <w:p w:rsidRPr="0086590B" w:rsidR="00957E2A" w:rsidP="00957E2A" w:rsidRDefault="00957E2A" w14:paraId="264FC9CF" w14:textId="163F1C64">
      <w:pPr>
        <w:spacing w:after="0" w:line="240" w:lineRule="auto"/>
        <w:contextualSpacing/>
        <w:jc w:val="both"/>
        <w:rPr>
          <w:rFonts w:ascii="Verdana" w:hAnsi="Verdana" w:eastAsia="Calibri" w:cs="Arial"/>
          <w:sz w:val="20"/>
          <w:szCs w:val="20"/>
          <w:lang w:val="es-ES_tradnl"/>
        </w:rPr>
      </w:pPr>
      <w:r w:rsidRPr="0086590B">
        <w:rPr>
          <w:rFonts w:ascii="Verdana" w:hAnsi="Verdana" w:cs="Arial"/>
          <w:i/>
          <w:iCs/>
          <w:sz w:val="20"/>
          <w:szCs w:val="20"/>
          <w:lang w:val="es-ES_tradnl"/>
          <w14:ligatures w14:val="standardContextual"/>
        </w:rPr>
        <w:t>El primero</w:t>
      </w:r>
      <w:r w:rsidRPr="0086590B">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86590B">
        <w:rPr>
          <w:rFonts w:ascii="Verdana" w:hAnsi="Verdana" w:eastAsia="Calibri" w:cs="Arial"/>
          <w:sz w:val="20"/>
          <w:szCs w:val="20"/>
          <w:lang w:val="es-ES_tradnl"/>
          <w14:ligatures w14:val="standardContextual"/>
        </w:rPr>
        <w:t>de selección a través del sistema de subasta</w:t>
      </w:r>
      <w:r w:rsidRPr="0086590B" w:rsidR="00F01065">
        <w:rPr>
          <w:rFonts w:ascii="Verdana" w:hAnsi="Verdana" w:eastAsia="Calibri" w:cs="Arial"/>
          <w:sz w:val="20"/>
          <w:szCs w:val="20"/>
          <w:lang w:val="es-ES_tradnl"/>
          <w14:ligatures w14:val="standardContextual"/>
        </w:rPr>
        <w:t xml:space="preserve">. </w:t>
      </w:r>
      <w:r w:rsidRPr="0086590B">
        <w:rPr>
          <w:rFonts w:ascii="Verdana" w:hAnsi="Verdana" w:eastAsia="Calibri" w:cs="Arial"/>
          <w:sz w:val="20"/>
          <w:szCs w:val="20"/>
          <w:lang w:val="es-ES_tradnl"/>
        </w:rPr>
        <w:t>[…]</w:t>
      </w:r>
    </w:p>
    <w:p w:rsidRPr="0086590B" w:rsidR="00957E2A" w:rsidP="00957E2A" w:rsidRDefault="00957E2A" w14:paraId="5DFDDD71" w14:textId="77777777">
      <w:pPr>
        <w:spacing w:after="0" w:line="240" w:lineRule="auto"/>
        <w:contextualSpacing/>
        <w:jc w:val="both"/>
        <w:rPr>
          <w:rFonts w:ascii="Verdana" w:hAnsi="Verdana" w:eastAsia="Calibri" w:cs="Arial"/>
          <w:sz w:val="20"/>
          <w:szCs w:val="20"/>
          <w:lang w:val="es-ES_tradnl"/>
        </w:rPr>
      </w:pPr>
    </w:p>
    <w:p w:rsidRPr="0086590B" w:rsidR="00957E2A" w:rsidP="726AA71D" w:rsidRDefault="00957E2A" w14:paraId="6F2530AF" w14:textId="77777777">
      <w:pPr>
        <w:spacing w:line="240" w:lineRule="auto"/>
        <w:contextualSpacing/>
        <w:jc w:val="both"/>
        <w:rPr>
          <w:rFonts w:ascii="Verdana" w:hAnsi="Verdana" w:cs="Arial"/>
          <w:sz w:val="20"/>
          <w:szCs w:val="20"/>
          <w:lang w:val="es-ES"/>
        </w:rPr>
      </w:pPr>
      <w:r w:rsidRPr="0086590B">
        <w:rPr>
          <w:rFonts w:ascii="Verdana" w:hAnsi="Verdana" w:eastAsia="Calibri" w:cs="Arial"/>
          <w:sz w:val="20"/>
          <w:szCs w:val="20"/>
          <w:lang w:val="es-ES"/>
          <w14:ligatures w14:val="standardContextual"/>
        </w:rPr>
        <w:t xml:space="preserve">De otro lado, </w:t>
      </w:r>
      <w:r w:rsidRPr="0086590B">
        <w:rPr>
          <w:rFonts w:ascii="Verdana" w:hAnsi="Verdana" w:eastAsia="Calibri" w:cs="Arial"/>
          <w:i/>
          <w:iCs/>
          <w:sz w:val="20"/>
          <w:szCs w:val="20"/>
          <w:lang w:val="es-ES"/>
          <w14:ligatures w14:val="standardContextual"/>
        </w:rPr>
        <w:t>el segundo</w:t>
      </w:r>
      <w:r w:rsidRPr="0086590B">
        <w:rPr>
          <w:rFonts w:ascii="Verdana" w:hAnsi="Verdana" w:eastAsia="Calibri" w:cs="Arial"/>
          <w:sz w:val="20"/>
          <w:szCs w:val="20"/>
          <w:lang w:val="es-ES"/>
          <w14:ligatures w14:val="standardContextual"/>
        </w:rPr>
        <w:t xml:space="preserve"> cambio importante de la Ley 1882 de 2018 fue la introducción de un criterio material, directamente relacionado con los aspectos subsanables: “</w:t>
      </w:r>
      <w:r w:rsidRPr="0086590B">
        <w:rPr>
          <w:rFonts w:ascii="Verdana" w:hAnsi="Verdana" w:cs="Arial"/>
          <w:sz w:val="20"/>
          <w:szCs w:val="20"/>
          <w:lang w:val="es-ES"/>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rsidRPr="0086590B" w:rsidR="00957E2A" w:rsidP="00957E2A" w:rsidRDefault="00957E2A" w14:paraId="00C9945A" w14:textId="77777777">
      <w:pPr>
        <w:spacing w:after="0" w:line="240" w:lineRule="auto"/>
        <w:contextualSpacing/>
        <w:jc w:val="both"/>
        <w:rPr>
          <w:rFonts w:ascii="Verdana" w:hAnsi="Verdana" w:cs="Arial"/>
          <w:sz w:val="20"/>
          <w:szCs w:val="20"/>
          <w:lang w:val="es-ES_tradnl"/>
          <w14:ligatures w14:val="standardContextual"/>
        </w:rPr>
      </w:pPr>
    </w:p>
    <w:p w:rsidRPr="0086590B" w:rsidR="00957E2A" w:rsidP="00957E2A" w:rsidRDefault="00957E2A" w14:paraId="504CEE07" w14:textId="77777777">
      <w:pPr>
        <w:spacing w:after="0" w:line="240" w:lineRule="auto"/>
        <w:contextualSpacing/>
        <w:jc w:val="both"/>
        <w:rPr>
          <w:rFonts w:ascii="Verdana" w:hAnsi="Verdana" w:cs="Arial"/>
          <w:sz w:val="20"/>
          <w:szCs w:val="20"/>
          <w:lang w:val="es-ES_tradnl"/>
        </w:rPr>
      </w:pPr>
      <w:r w:rsidRPr="0086590B">
        <w:rPr>
          <w:rFonts w:ascii="Verdana" w:hAnsi="Verdana" w:cs="Arial"/>
          <w:sz w:val="20"/>
          <w:szCs w:val="20"/>
          <w:lang w:val="es-ES_tradnl"/>
        </w:rPr>
        <w:t xml:space="preserve">[…] </w:t>
      </w:r>
    </w:p>
    <w:p w:rsidRPr="0086590B" w:rsidR="00957E2A" w:rsidP="00957E2A" w:rsidRDefault="00957E2A" w14:paraId="32545843" w14:textId="77777777">
      <w:pPr>
        <w:spacing w:after="0" w:line="240" w:lineRule="auto"/>
        <w:contextualSpacing/>
        <w:jc w:val="both"/>
        <w:rPr>
          <w:rFonts w:ascii="Verdana" w:hAnsi="Verdana" w:cs="Arial"/>
          <w:sz w:val="20"/>
          <w:szCs w:val="20"/>
          <w:lang w:val="es-ES_tradnl"/>
        </w:rPr>
      </w:pPr>
    </w:p>
    <w:p w:rsidRPr="0086590B" w:rsidR="00957E2A" w:rsidP="00957E2A" w:rsidRDefault="00957E2A" w14:paraId="68CADFD9" w14:textId="77777777">
      <w:pPr>
        <w:spacing w:after="0" w:line="240" w:lineRule="auto"/>
        <w:contextualSpacing/>
        <w:jc w:val="both"/>
        <w:rPr>
          <w:rFonts w:ascii="Verdana" w:hAnsi="Verdana" w:eastAsia="Calibri" w:cs="Arial"/>
          <w:sz w:val="20"/>
          <w:szCs w:val="20"/>
          <w:lang w:val="es-ES_tradnl"/>
          <w14:ligatures w14:val="standardContextual"/>
        </w:rPr>
      </w:pPr>
      <w:r w:rsidRPr="0086590B">
        <w:rPr>
          <w:rFonts w:ascii="Verdana" w:hAnsi="Verdana" w:eastAsia="Calibri" w:cs="Arial"/>
          <w:sz w:val="20"/>
          <w:szCs w:val="20"/>
          <w:lang w:val="es-ES_tradnl"/>
          <w14:ligatures w14:val="standardContextua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r w:rsidRPr="0086590B">
        <w:rPr>
          <w:rFonts w:ascii="Verdana" w:hAnsi="Verdana" w:eastAsia="Calibri" w:cs="Arial"/>
          <w:sz w:val="20"/>
          <w:szCs w:val="20"/>
          <w:lang w:val="es-ES_tradnl"/>
        </w:rPr>
        <w:t>[…]”</w:t>
      </w:r>
    </w:p>
    <w:p w:rsidRPr="0086590B" w:rsidR="00A525EF" w:rsidP="00A525EF" w:rsidRDefault="00A525EF" w14:paraId="305975E2" w14:textId="77777777">
      <w:pPr>
        <w:pBdr>
          <w:top w:val="nil"/>
          <w:left w:val="nil"/>
          <w:bottom w:val="nil"/>
          <w:right w:val="nil"/>
          <w:between w:val="nil"/>
        </w:pBdr>
        <w:tabs>
          <w:tab w:val="left" w:pos="284"/>
        </w:tabs>
        <w:spacing w:after="0" w:line="240" w:lineRule="auto"/>
        <w:jc w:val="both"/>
        <w:rPr>
          <w:rFonts w:ascii="Verdana" w:hAnsi="Verdana" w:eastAsia="Arial" w:cs="Arial"/>
          <w:color w:val="000000"/>
          <w:sz w:val="20"/>
          <w:szCs w:val="20"/>
        </w:rPr>
      </w:pPr>
    </w:p>
    <w:p w:rsidRPr="0086590B" w:rsidR="00A525EF" w:rsidP="00A525EF" w:rsidRDefault="00A525EF" w14:paraId="730C3EDB" w14:textId="77777777">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r w:rsidRPr="0086590B">
        <w:rPr>
          <w:rFonts w:ascii="Verdana" w:hAnsi="Verdana" w:cs="Arial"/>
          <w:b/>
          <w:bCs/>
          <w:color w:val="000000" w:themeColor="text1"/>
        </w:rPr>
        <w:lastRenderedPageBreak/>
        <w:t xml:space="preserve">CAUSALES DE RECHAZO DE LAS OFERTAS – Origen – Límites en su configuración </w:t>
      </w:r>
    </w:p>
    <w:p w:rsidRPr="0086590B" w:rsidR="00A525EF" w:rsidP="00A525EF" w:rsidRDefault="00A525EF" w14:paraId="37D45D02" w14:textId="77777777">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p>
    <w:p w:rsidRPr="0086590B" w:rsidR="00A525EF" w:rsidP="00A525EF" w:rsidRDefault="00A525EF" w14:paraId="6900DC88" w14:textId="77777777">
      <w:pPr>
        <w:pBdr>
          <w:top w:val="nil"/>
          <w:left w:val="nil"/>
          <w:bottom w:val="nil"/>
          <w:right w:val="nil"/>
          <w:between w:val="nil"/>
        </w:pBdr>
        <w:tabs>
          <w:tab w:val="left" w:pos="284"/>
        </w:tabs>
        <w:spacing w:after="0" w:line="240" w:lineRule="auto"/>
        <w:jc w:val="both"/>
        <w:rPr>
          <w:rFonts w:ascii="Verdana" w:hAnsi="Verdana" w:eastAsia="Arial" w:cs="Arial"/>
          <w:color w:val="000000"/>
          <w:sz w:val="20"/>
          <w:szCs w:val="20"/>
        </w:rPr>
      </w:pPr>
      <w:r w:rsidRPr="0086590B">
        <w:rPr>
          <w:rFonts w:ascii="Verdana" w:hAnsi="Verdana" w:eastAsia="Arial"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rsidRPr="0086590B" w:rsidR="00A525EF" w:rsidP="00A525EF" w:rsidRDefault="00A525EF" w14:paraId="61194032" w14:textId="77777777">
      <w:pPr>
        <w:spacing w:after="0" w:line="240" w:lineRule="auto"/>
        <w:jc w:val="both"/>
        <w:rPr>
          <w:rFonts w:ascii="Verdana" w:hAnsi="Verdana" w:eastAsia="Arial" w:cs="Arial"/>
          <w:sz w:val="20"/>
          <w:szCs w:val="20"/>
        </w:rPr>
      </w:pPr>
    </w:p>
    <w:p w:rsidRPr="0086590B" w:rsidR="00957E2A" w:rsidP="00A525EF" w:rsidRDefault="00A525EF" w14:paraId="79AC8895" w14:textId="77777777">
      <w:pPr>
        <w:spacing w:after="0" w:line="240" w:lineRule="auto"/>
        <w:jc w:val="both"/>
        <w:rPr>
          <w:rFonts w:ascii="Verdana" w:hAnsi="Verdana" w:eastAsia="Arial" w:cs="Arial"/>
          <w:sz w:val="20"/>
          <w:szCs w:val="20"/>
        </w:rPr>
      </w:pPr>
      <w:r w:rsidRPr="0086590B">
        <w:rPr>
          <w:rFonts w:ascii="Verdana" w:hAnsi="Verdana" w:eastAsia="Arial" w:cs="Arial"/>
          <w:sz w:val="20"/>
          <w:szCs w:val="20"/>
        </w:rPr>
        <w:t xml:space="preserve">En ese entendido, uno de los límites a la facultad para establecer causales de rechazo, se encuentra en la regla de </w:t>
      </w:r>
      <w:proofErr w:type="spellStart"/>
      <w:r w:rsidRPr="0086590B">
        <w:rPr>
          <w:rFonts w:ascii="Verdana" w:hAnsi="Verdana" w:eastAsia="Arial" w:cs="Arial"/>
          <w:sz w:val="20"/>
          <w:szCs w:val="20"/>
        </w:rPr>
        <w:t>subsanabilidad</w:t>
      </w:r>
      <w:proofErr w:type="spellEnd"/>
      <w:r w:rsidRPr="0086590B">
        <w:rPr>
          <w:rFonts w:ascii="Verdana" w:hAnsi="Verdana" w:eastAsia="Arial"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rsidRPr="0086590B" w:rsidR="00957E2A" w:rsidP="00A525EF" w:rsidRDefault="00957E2A" w14:paraId="155D052E" w14:textId="77777777">
      <w:pPr>
        <w:spacing w:after="0" w:line="240" w:lineRule="auto"/>
        <w:jc w:val="both"/>
        <w:rPr>
          <w:rFonts w:ascii="Verdana" w:hAnsi="Verdana" w:eastAsia="Arial" w:cs="Arial"/>
          <w:sz w:val="20"/>
          <w:szCs w:val="20"/>
        </w:rPr>
      </w:pPr>
    </w:p>
    <w:p w:rsidRPr="0086590B" w:rsidR="00A525EF" w:rsidP="00A525EF" w:rsidRDefault="00A525EF" w14:paraId="48E400D5" w14:textId="6B00B642">
      <w:pPr>
        <w:spacing w:after="0" w:line="240" w:lineRule="auto"/>
        <w:jc w:val="both"/>
        <w:rPr>
          <w:rFonts w:ascii="Verdana" w:hAnsi="Verdana" w:eastAsia="Arial" w:cs="Arial"/>
          <w:sz w:val="20"/>
          <w:szCs w:val="20"/>
        </w:rPr>
      </w:pPr>
      <w:r w:rsidRPr="0086590B">
        <w:rPr>
          <w:rFonts w:ascii="Verdana" w:hAnsi="Verdana" w:cs="Arial"/>
          <w:b/>
          <w:bCs/>
          <w:color w:val="000000" w:themeColor="text1"/>
        </w:rPr>
        <w:t>CAUSALES DE RECHAZO – Procedencia</w:t>
      </w:r>
    </w:p>
    <w:p w:rsidRPr="0086590B" w:rsidR="00A525EF" w:rsidP="00A525EF" w:rsidRDefault="00A525EF" w14:paraId="6E00C5F7" w14:textId="77777777">
      <w:pPr>
        <w:spacing w:after="0" w:line="240" w:lineRule="auto"/>
        <w:jc w:val="both"/>
        <w:rPr>
          <w:rFonts w:ascii="Verdana" w:hAnsi="Verdana" w:eastAsia="Arial" w:cs="Arial"/>
        </w:rPr>
      </w:pPr>
    </w:p>
    <w:p w:rsidRPr="0086590B" w:rsidR="00A525EF" w:rsidP="00A525EF" w:rsidRDefault="00A525EF" w14:paraId="2EB785B9" w14:textId="77777777">
      <w:pPr>
        <w:spacing w:after="0" w:line="240" w:lineRule="auto"/>
        <w:jc w:val="both"/>
        <w:rPr>
          <w:rFonts w:ascii="Verdana" w:hAnsi="Verdana" w:eastAsia="Arial" w:cs="Arial"/>
          <w:color w:val="000000"/>
          <w:sz w:val="20"/>
          <w:szCs w:val="20"/>
        </w:rPr>
      </w:pPr>
      <w:r w:rsidRPr="0086590B">
        <w:rPr>
          <w:rFonts w:ascii="Verdana" w:hAnsi="Verdana" w:eastAsia="Arial" w:cs="Arial"/>
          <w:sz w:val="20"/>
          <w:szCs w:val="20"/>
        </w:rPr>
        <w:t xml:space="preserve">De acuerdo con la jurisprudencia citada, existen dos eventos en los cuales procede el rechazo de la oferta: i) cuando se configure alguna de las causales de rechazo originadas en la ley o el reglamento y </w:t>
      </w:r>
      <w:proofErr w:type="spellStart"/>
      <w:r w:rsidRPr="0086590B">
        <w:rPr>
          <w:rFonts w:ascii="Verdana" w:hAnsi="Verdana" w:eastAsia="Arial" w:cs="Arial"/>
          <w:sz w:val="20"/>
          <w:szCs w:val="20"/>
        </w:rPr>
        <w:t>ii</w:t>
      </w:r>
      <w:proofErr w:type="spellEnd"/>
      <w:r w:rsidRPr="0086590B">
        <w:rPr>
          <w:rFonts w:ascii="Verdana" w:hAnsi="Verdana" w:eastAsia="Arial"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rsidRPr="0086590B" w:rsidR="00540118" w:rsidP="00C15139" w:rsidRDefault="00540118" w14:paraId="360CB619" w14:textId="77777777">
      <w:pPr>
        <w:spacing w:after="0"/>
        <w:rPr>
          <w:rFonts w:ascii="Verdana" w:hAnsi="Verdana"/>
        </w:rPr>
      </w:pPr>
    </w:p>
    <w:p w:rsidRPr="0086590B" w:rsidR="00540118" w:rsidP="00C15139" w:rsidRDefault="00540118" w14:paraId="037C4946" w14:textId="77777777">
      <w:pPr>
        <w:spacing w:after="0"/>
        <w:rPr>
          <w:rFonts w:ascii="Verdana" w:hAnsi="Verdana"/>
        </w:rPr>
      </w:pPr>
    </w:p>
    <w:p w:rsidRPr="0086590B" w:rsidR="00540118" w:rsidP="00C15139" w:rsidRDefault="00540118" w14:paraId="56A134B2" w14:textId="77777777">
      <w:pPr>
        <w:spacing w:after="0"/>
        <w:rPr>
          <w:rFonts w:ascii="Verdana" w:hAnsi="Verdana"/>
        </w:rPr>
      </w:pPr>
    </w:p>
    <w:p w:rsidRPr="0086590B" w:rsidR="007C6EA8" w:rsidP="00C15139" w:rsidRDefault="007C6EA8" w14:paraId="44645E45" w14:textId="77777777">
      <w:pPr>
        <w:spacing w:after="0"/>
        <w:rPr>
          <w:rFonts w:ascii="Verdana" w:hAnsi="Verdana"/>
        </w:rPr>
      </w:pPr>
    </w:p>
    <w:p w:rsidRPr="0086590B" w:rsidR="007C6EA8" w:rsidP="00C15139" w:rsidRDefault="007C6EA8" w14:paraId="4FD92C02" w14:textId="77777777">
      <w:pPr>
        <w:spacing w:after="0"/>
        <w:rPr>
          <w:rFonts w:ascii="Verdana" w:hAnsi="Verdana"/>
        </w:rPr>
      </w:pPr>
    </w:p>
    <w:p w:rsidRPr="0086590B" w:rsidR="007C6EA8" w:rsidP="00C15139" w:rsidRDefault="007C6EA8" w14:paraId="3D5EE86B" w14:textId="77777777">
      <w:pPr>
        <w:spacing w:after="0"/>
        <w:rPr>
          <w:rFonts w:ascii="Verdana" w:hAnsi="Verdana"/>
        </w:rPr>
      </w:pPr>
    </w:p>
    <w:p w:rsidRPr="0086590B" w:rsidR="007C6EA8" w:rsidP="00C15139" w:rsidRDefault="007C6EA8" w14:paraId="154F2D31" w14:textId="77777777">
      <w:pPr>
        <w:spacing w:after="0"/>
        <w:rPr>
          <w:rFonts w:ascii="Verdana" w:hAnsi="Verdana"/>
        </w:rPr>
      </w:pPr>
    </w:p>
    <w:p w:rsidRPr="0086590B" w:rsidR="007C6EA8" w:rsidP="00C15139" w:rsidRDefault="007C6EA8" w14:paraId="2DFA42BE" w14:textId="77777777">
      <w:pPr>
        <w:spacing w:after="0"/>
        <w:rPr>
          <w:rFonts w:ascii="Verdana" w:hAnsi="Verdana"/>
        </w:rPr>
      </w:pPr>
    </w:p>
    <w:p w:rsidRPr="0086590B" w:rsidR="007C6EA8" w:rsidP="00C15139" w:rsidRDefault="007C6EA8" w14:paraId="3224F388" w14:textId="77777777">
      <w:pPr>
        <w:spacing w:after="0"/>
        <w:rPr>
          <w:rFonts w:ascii="Verdana" w:hAnsi="Verdana"/>
        </w:rPr>
      </w:pPr>
    </w:p>
    <w:p w:rsidRPr="0086590B" w:rsidR="007C6EA8" w:rsidP="00C15139" w:rsidRDefault="007C6EA8" w14:paraId="578585DE" w14:textId="77777777">
      <w:pPr>
        <w:spacing w:after="0"/>
        <w:rPr>
          <w:rFonts w:ascii="Verdana" w:hAnsi="Verdana"/>
        </w:rPr>
      </w:pPr>
    </w:p>
    <w:p w:rsidRPr="0086590B" w:rsidR="007C6EA8" w:rsidP="00C15139" w:rsidRDefault="007C6EA8" w14:paraId="5D82703B" w14:textId="77777777">
      <w:pPr>
        <w:spacing w:after="0"/>
        <w:rPr>
          <w:rFonts w:ascii="Verdana" w:hAnsi="Verdana"/>
        </w:rPr>
      </w:pPr>
    </w:p>
    <w:p w:rsidRPr="0086590B" w:rsidR="007C6EA8" w:rsidP="00C15139" w:rsidRDefault="007C6EA8" w14:paraId="73BCFC10" w14:textId="77777777">
      <w:pPr>
        <w:spacing w:after="0"/>
        <w:rPr>
          <w:rFonts w:ascii="Verdana" w:hAnsi="Verdana"/>
        </w:rPr>
      </w:pPr>
    </w:p>
    <w:p w:rsidRPr="0086590B" w:rsidR="007C6EA8" w:rsidP="00C15139" w:rsidRDefault="007C6EA8" w14:paraId="20546AEE" w14:textId="77777777">
      <w:pPr>
        <w:spacing w:after="0"/>
        <w:rPr>
          <w:rFonts w:ascii="Verdana" w:hAnsi="Verdana"/>
        </w:rPr>
      </w:pPr>
    </w:p>
    <w:p w:rsidRPr="0086590B" w:rsidR="007C6EA8" w:rsidP="00C15139" w:rsidRDefault="007C6EA8" w14:paraId="7558DD80" w14:textId="77777777">
      <w:pPr>
        <w:spacing w:after="0"/>
        <w:rPr>
          <w:rFonts w:ascii="Verdana" w:hAnsi="Verdana"/>
        </w:rPr>
      </w:pPr>
    </w:p>
    <w:p w:rsidRPr="0086590B" w:rsidR="0083346A" w:rsidP="003F00B1" w:rsidRDefault="00C15139" w14:paraId="2F3254FD" w14:textId="20664E3C">
      <w:pPr>
        <w:spacing w:after="0" w:line="240" w:lineRule="auto"/>
        <w:rPr>
          <w:rFonts w:ascii="Verdana" w:hAnsi="Verdana"/>
        </w:rPr>
      </w:pPr>
      <w:r w:rsidRPr="0086590B">
        <w:rPr>
          <w:rFonts w:ascii="Verdana" w:hAnsi="Verdana"/>
        </w:rPr>
        <w:lastRenderedPageBreak/>
        <w:t xml:space="preserve">Bogotá D.C., </w:t>
      </w:r>
      <w:r w:rsidRPr="0086590B" w:rsidR="00EC4648">
        <w:rPr>
          <w:rFonts w:ascii="Verdana" w:hAnsi="Verdana"/>
        </w:rPr>
        <w:t>24 de febrero del 2026</w:t>
      </w:r>
    </w:p>
    <w:p w:rsidRPr="0086590B" w:rsidR="00EC4648" w:rsidP="003F00B1" w:rsidRDefault="00EC4648" w14:paraId="57977287" w14:textId="77777777">
      <w:pPr>
        <w:spacing w:after="0" w:line="240" w:lineRule="auto"/>
        <w:rPr>
          <w:rFonts w:ascii="Verdana" w:hAnsi="Verdana"/>
        </w:rPr>
      </w:pPr>
    </w:p>
    <w:p w:rsidRPr="0086590B" w:rsidR="00EC4648" w:rsidP="00EC4648" w:rsidRDefault="00EC4648" w14:paraId="02E9EE05" w14:textId="4DED031D">
      <w:pPr>
        <w:spacing w:after="0" w:line="240" w:lineRule="auto"/>
        <w:jc w:val="right"/>
        <w:rPr>
          <w:rFonts w:ascii="Verdana" w:hAnsi="Verdana"/>
        </w:rPr>
      </w:pPr>
      <w:r w:rsidRPr="0086590B">
        <w:rPr>
          <w:rFonts w:ascii="Verdana" w:hAnsi="Verdana"/>
        </w:rPr>
        <w:drawing>
          <wp:inline distT="0" distB="0" distL="0" distR="0" wp14:anchorId="189D5092" wp14:editId="2E3D396C">
            <wp:extent cx="2683510" cy="876300"/>
            <wp:effectExtent l="0" t="0" r="2540" b="0"/>
            <wp:docPr id="11858078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07874" name="Imagen 1" descr="Texto&#10;&#10;El contenido generado por IA puede ser incorrecto."/>
                    <pic:cNvPicPr/>
                  </pic:nvPicPr>
                  <pic:blipFill>
                    <a:blip r:embed="rId10"/>
                    <a:stretch>
                      <a:fillRect/>
                    </a:stretch>
                  </pic:blipFill>
                  <pic:spPr>
                    <a:xfrm>
                      <a:off x="0" y="0"/>
                      <a:ext cx="2696932" cy="880683"/>
                    </a:xfrm>
                    <a:prstGeom prst="rect">
                      <a:avLst/>
                    </a:prstGeom>
                  </pic:spPr>
                </pic:pic>
              </a:graphicData>
            </a:graphic>
          </wp:inline>
        </w:drawing>
      </w:r>
    </w:p>
    <w:p w:rsidRPr="0086590B" w:rsidR="000D33F5" w:rsidP="003F00B1" w:rsidRDefault="000D33F5" w14:paraId="477BE140" w14:textId="4339B928">
      <w:pPr>
        <w:spacing w:after="0" w:line="240" w:lineRule="auto"/>
        <w:rPr>
          <w:rFonts w:ascii="Verdana" w:hAnsi="Verdana"/>
        </w:rPr>
      </w:pPr>
      <w:r w:rsidRPr="0086590B">
        <w:rPr>
          <w:rFonts w:ascii="Verdana" w:hAnsi="Verdana" w:eastAsia="Calibri" w:cs="Arial"/>
          <w:color w:val="000000" w:themeColor="text1"/>
          <w:lang w:val="es-ES" w:eastAsia="es-ES"/>
        </w:rPr>
        <w:t>Señor:</w:t>
      </w:r>
    </w:p>
    <w:p w:rsidRPr="0086590B" w:rsidR="000D33F5" w:rsidP="001B54FE" w:rsidRDefault="00B56FD0" w14:paraId="767D2C70" w14:textId="0B649D7C">
      <w:pPr>
        <w:spacing w:after="0" w:line="240" w:lineRule="auto"/>
        <w:jc w:val="both"/>
        <w:rPr>
          <w:rFonts w:ascii="Verdana" w:hAnsi="Verdana" w:eastAsia="Calibri" w:cs="Arial"/>
          <w:b/>
          <w:bCs/>
          <w:color w:val="000000" w:themeColor="text1"/>
          <w:lang w:eastAsia="es-ES"/>
        </w:rPr>
      </w:pPr>
      <w:r w:rsidRPr="0086590B">
        <w:rPr>
          <w:rFonts w:ascii="Verdana" w:hAnsi="Verdana" w:eastAsia="Calibri" w:cs="Arial"/>
          <w:b/>
          <w:bCs/>
          <w:color w:val="000000" w:themeColor="text1"/>
          <w:lang w:eastAsia="es-ES"/>
        </w:rPr>
        <w:t>Anónimo</w:t>
      </w:r>
    </w:p>
    <w:p w:rsidRPr="0086590B" w:rsidR="00620E5D" w:rsidP="001B54FE" w:rsidRDefault="00620E5D" w14:paraId="6D258F29" w14:textId="058D6BDE">
      <w:pPr>
        <w:spacing w:after="0" w:line="240" w:lineRule="auto"/>
        <w:rPr>
          <w:rFonts w:ascii="Verdana" w:hAnsi="Verdana"/>
        </w:rPr>
      </w:pPr>
      <w:hyperlink w:history="1" r:id="rId11">
        <w:r w:rsidRPr="0086590B">
          <w:rPr>
            <w:rStyle w:val="Hipervnculo"/>
            <w:rFonts w:ascii="Verdana" w:hAnsi="Verdana"/>
          </w:rPr>
          <w:t>santilau85@gmail.com</w:t>
        </w:r>
      </w:hyperlink>
    </w:p>
    <w:p w:rsidRPr="0086590B" w:rsidR="000D33F5" w:rsidP="001B54FE" w:rsidRDefault="00B56FD0" w14:paraId="25409E57" w14:textId="2A3C7A1E">
      <w:pPr>
        <w:spacing w:after="0" w:line="240" w:lineRule="auto"/>
        <w:rPr>
          <w:rFonts w:ascii="Verdana" w:hAnsi="Verdana" w:eastAsia="Calibri" w:cs="Arial"/>
          <w:b/>
          <w:bCs/>
          <w:color w:val="000000" w:themeColor="text1"/>
          <w:lang w:val="es-ES_tradnl" w:eastAsia="es-ES"/>
        </w:rPr>
      </w:pPr>
      <w:r w:rsidRPr="0086590B">
        <w:rPr>
          <w:rFonts w:ascii="Verdana" w:hAnsi="Verdana" w:eastAsia="Calibri" w:cs="Arial"/>
          <w:color w:val="000000" w:themeColor="text1"/>
          <w:lang w:val="es-ES_tradnl" w:eastAsia="es-ES"/>
        </w:rPr>
        <w:t>Ciudad</w:t>
      </w:r>
    </w:p>
    <w:p w:rsidRPr="0086590B" w:rsidR="000D33F5" w:rsidP="001B54FE" w:rsidRDefault="000D33F5" w14:paraId="3B073597" w14:textId="77777777">
      <w:pPr>
        <w:spacing w:after="0" w:line="240" w:lineRule="auto"/>
        <w:rPr>
          <w:rFonts w:ascii="Verdana" w:hAnsi="Verdana" w:eastAsia="Calibri" w:cs="Arial"/>
          <w:b/>
          <w:bCs/>
          <w:color w:val="000000" w:themeColor="text1"/>
          <w:highlight w:val="cyan"/>
          <w:lang w:val="es-ES_tradnl" w:eastAsia="es-ES_tradnl"/>
        </w:rPr>
      </w:pPr>
    </w:p>
    <w:p w:rsidRPr="0086590B" w:rsidR="000D33F5" w:rsidP="001B54FE" w:rsidRDefault="000D33F5" w14:paraId="1E9FAE5C" w14:textId="77777777">
      <w:pPr>
        <w:spacing w:after="0" w:line="240" w:lineRule="auto"/>
        <w:rPr>
          <w:rFonts w:ascii="Verdana" w:hAnsi="Verdana" w:eastAsia="Calibri" w:cs="Arial"/>
          <w:b/>
          <w:bCs/>
          <w:color w:val="000000" w:themeColor="text1"/>
          <w:highlight w:val="cyan"/>
          <w:lang w:val="es-ES_tradnl" w:eastAsia="es-ES_tradnl"/>
        </w:rPr>
      </w:pPr>
    </w:p>
    <w:p w:rsidRPr="0086590B" w:rsidR="000D33F5" w:rsidP="001B54FE" w:rsidRDefault="000D33F5" w14:paraId="6EF0C45A" w14:textId="56FAC935">
      <w:pPr>
        <w:spacing w:after="0" w:line="240" w:lineRule="auto"/>
        <w:rPr>
          <w:rFonts w:ascii="Verdana" w:hAnsi="Verdana" w:eastAsia="Calibri" w:cs="Arial"/>
          <w:b/>
          <w:bCs/>
          <w:color w:val="000000" w:themeColor="text1"/>
          <w:lang w:val="es-ES_tradnl" w:eastAsia="es-ES_tradnl"/>
        </w:rPr>
      </w:pPr>
      <w:r w:rsidRPr="0086590B">
        <w:rPr>
          <w:rFonts w:ascii="Verdana" w:hAnsi="Verdana" w:eastAsia="Calibri" w:cs="Arial"/>
          <w:b/>
          <w:bCs/>
          <w:color w:val="000000" w:themeColor="text1"/>
          <w:lang w:val="es-ES_tradnl" w:eastAsia="es-ES_tradnl"/>
        </w:rPr>
        <w:t xml:space="preserve">                                   Concepto </w:t>
      </w:r>
      <w:r w:rsidRPr="0086590B" w:rsidR="00B56FD0">
        <w:rPr>
          <w:rFonts w:ascii="Verdana" w:hAnsi="Verdana" w:eastAsia="Calibri" w:cs="Arial"/>
          <w:b/>
          <w:bCs/>
          <w:color w:val="000000" w:themeColor="text1"/>
          <w:lang w:val="es-ES_tradnl" w:eastAsia="es-ES_tradnl"/>
        </w:rPr>
        <w:t>C-057</w:t>
      </w:r>
      <w:r w:rsidRPr="0086590B">
        <w:rPr>
          <w:rFonts w:ascii="Verdana" w:hAnsi="Verdana" w:eastAsia="Calibri" w:cs="Arial"/>
          <w:b/>
          <w:bCs/>
          <w:color w:val="000000" w:themeColor="text1"/>
          <w:lang w:val="es-ES_tradnl" w:eastAsia="es-ES_tradnl"/>
        </w:rPr>
        <w:t xml:space="preserve"> del 2026</w:t>
      </w: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86590B" w:rsidR="000D33F5" w:rsidTr="009837FE" w14:paraId="48AE4935" w14:textId="77777777">
        <w:trPr>
          <w:gridAfter w:val="1"/>
          <w:wAfter w:w="6100" w:type="dxa"/>
          <w:trHeight w:val="133"/>
        </w:trPr>
        <w:tc>
          <w:tcPr>
            <w:tcW w:w="2689" w:type="dxa"/>
          </w:tcPr>
          <w:p w:rsidRPr="0086590B" w:rsidR="000D33F5" w:rsidP="001B54FE" w:rsidRDefault="000D33F5" w14:paraId="25A9B518" w14:textId="77777777">
            <w:pPr>
              <w:jc w:val="both"/>
              <w:rPr>
                <w:rFonts w:ascii="Verdana" w:hAnsi="Verdana" w:eastAsia="Calibri" w:cs="Arial"/>
                <w:b/>
                <w:bCs/>
                <w:color w:val="000000" w:themeColor="text1"/>
                <w:highlight w:val="cyan"/>
                <w:lang w:val="es-ES_tradnl" w:eastAsia="es-ES_tradnl"/>
              </w:rPr>
            </w:pPr>
          </w:p>
          <w:p w:rsidRPr="0086590B" w:rsidR="000D33F5" w:rsidP="001B54FE" w:rsidRDefault="000D33F5" w14:paraId="7A95320E" w14:textId="77777777">
            <w:pPr>
              <w:jc w:val="both"/>
              <w:rPr>
                <w:rFonts w:ascii="Verdana" w:hAnsi="Verdana" w:eastAsia="Calibri" w:cs="Arial"/>
                <w:b/>
                <w:bCs/>
                <w:color w:val="000000" w:themeColor="text1"/>
                <w:highlight w:val="cyan"/>
                <w:lang w:val="es-ES_tradnl" w:eastAsia="es-ES_tradnl"/>
              </w:rPr>
            </w:pPr>
          </w:p>
        </w:tc>
      </w:tr>
      <w:tr w:rsidRPr="0086590B" w:rsidR="000D33F5" w:rsidTr="009837FE" w14:paraId="24271AAC" w14:textId="77777777">
        <w:trPr>
          <w:trHeight w:val="884"/>
        </w:trPr>
        <w:tc>
          <w:tcPr>
            <w:tcW w:w="2689" w:type="dxa"/>
          </w:tcPr>
          <w:p w:rsidRPr="0086590B" w:rsidR="000D33F5" w:rsidP="001B54FE" w:rsidRDefault="000D33F5" w14:paraId="613B557C" w14:textId="77777777">
            <w:pPr>
              <w:jc w:val="both"/>
              <w:rPr>
                <w:rFonts w:ascii="Verdana" w:hAnsi="Verdana" w:eastAsia="Calibri" w:cs="Arial"/>
                <w:color w:val="000000" w:themeColor="text1"/>
                <w:lang w:val="es-ES_tradnl" w:eastAsia="es-ES_tradnl"/>
              </w:rPr>
            </w:pPr>
            <w:r w:rsidRPr="0086590B">
              <w:rPr>
                <w:rFonts w:ascii="Verdana" w:hAnsi="Verdana" w:eastAsia="Calibri" w:cs="Arial"/>
                <w:b/>
                <w:color w:val="000000" w:themeColor="text1"/>
                <w:lang w:val="es-ES_tradnl" w:eastAsia="es-ES_tradnl"/>
              </w:rPr>
              <w:t>Temas:</w:t>
            </w:r>
            <w:r w:rsidRPr="0086590B">
              <w:rPr>
                <w:rFonts w:ascii="Verdana" w:hAnsi="Verdana" w:eastAsia="Calibri" w:cs="Arial"/>
                <w:color w:val="000000" w:themeColor="text1"/>
                <w:lang w:val="es-ES_tradnl" w:eastAsia="es-ES_tradnl"/>
              </w:rPr>
              <w:t xml:space="preserve">                   </w:t>
            </w:r>
          </w:p>
        </w:tc>
        <w:tc>
          <w:tcPr>
            <w:tcW w:w="6100" w:type="dxa"/>
          </w:tcPr>
          <w:p w:rsidRPr="0086590B" w:rsidR="000D33F5" w:rsidP="003F00B1" w:rsidRDefault="00CA593F" w14:paraId="0C52955A" w14:textId="5017542E">
            <w:pPr>
              <w:jc w:val="both"/>
              <w:rPr>
                <w:rFonts w:ascii="Verdana" w:hAnsi="Verdana" w:eastAsia="Calibri" w:cs="Arial"/>
                <w:lang w:eastAsia="es-ES"/>
              </w:rPr>
            </w:pPr>
            <w:r w:rsidRPr="0086590B">
              <w:rPr>
                <w:rFonts w:ascii="Verdana" w:hAnsi="Verdana" w:eastAsia="Calibri" w:cs="Arial"/>
                <w:lang w:val="es-ES" w:eastAsia="es-ES"/>
              </w:rPr>
              <w:t>SUBSANABILIDAD – Aplicación – Regla general – Excepciones / SUBSANABILIDAD DE LAS OFERTAS – Alcance de la regla – Ley 1882 de 2018– Ámbito temporal – Criterio material / CAUSALES DE RECHAZO DE LAS OFERTAS – Origen – Límites en su configuración</w:t>
            </w:r>
            <w:r w:rsidRPr="0086590B" w:rsidR="009B136F">
              <w:rPr>
                <w:rFonts w:ascii="Verdana" w:hAnsi="Verdana" w:eastAsia="Calibri" w:cs="Arial"/>
                <w:lang w:val="es-ES" w:eastAsia="es-ES"/>
              </w:rPr>
              <w:t xml:space="preserve"> / CAUSALES DE RECHAZO – Procedencia</w:t>
            </w:r>
          </w:p>
          <w:p w:rsidRPr="0086590B" w:rsidR="00CA593F" w:rsidP="003F00B1" w:rsidRDefault="00CA593F" w14:paraId="353DEFD9" w14:textId="16AA6017">
            <w:pPr>
              <w:jc w:val="both"/>
              <w:rPr>
                <w:rFonts w:ascii="Verdana" w:hAnsi="Verdana" w:cs="Arial"/>
                <w:bCs/>
                <w:color w:val="000000" w:themeColor="text1"/>
                <w:lang w:val="es-ES"/>
              </w:rPr>
            </w:pPr>
          </w:p>
        </w:tc>
      </w:tr>
      <w:tr w:rsidRPr="0086590B" w:rsidR="000D33F5" w:rsidTr="009837FE" w14:paraId="3A6504F6" w14:textId="77777777">
        <w:tc>
          <w:tcPr>
            <w:tcW w:w="2689" w:type="dxa"/>
          </w:tcPr>
          <w:p w:rsidRPr="0086590B" w:rsidR="000D33F5" w:rsidP="001B54FE" w:rsidRDefault="000D33F5" w14:paraId="0B36ECDD" w14:textId="77777777">
            <w:pPr>
              <w:jc w:val="both"/>
              <w:rPr>
                <w:rFonts w:ascii="Verdana" w:hAnsi="Verdana" w:eastAsia="Calibri" w:cs="Arial"/>
                <w:b/>
                <w:color w:val="000000" w:themeColor="text1"/>
                <w:lang w:val="es-ES_tradnl" w:eastAsia="es-ES_tradnl"/>
              </w:rPr>
            </w:pPr>
            <w:r w:rsidRPr="0086590B">
              <w:rPr>
                <w:rFonts w:ascii="Verdana" w:hAnsi="Verdana" w:eastAsia="Calibri" w:cs="Arial"/>
                <w:b/>
                <w:color w:val="000000" w:themeColor="text1"/>
                <w:lang w:val="es-ES_tradnl" w:eastAsia="es-ES_tradnl"/>
              </w:rPr>
              <w:t>Radicación:</w:t>
            </w:r>
            <w:r w:rsidRPr="0086590B">
              <w:rPr>
                <w:rFonts w:ascii="Verdana" w:hAnsi="Verdana" w:eastAsia="Calibri" w:cs="Arial"/>
                <w:color w:val="000000" w:themeColor="text1"/>
                <w:lang w:val="es-ES_tradnl" w:eastAsia="es-ES_tradnl"/>
              </w:rPr>
              <w:t xml:space="preserve">               </w:t>
            </w:r>
          </w:p>
        </w:tc>
        <w:tc>
          <w:tcPr>
            <w:tcW w:w="6100" w:type="dxa"/>
          </w:tcPr>
          <w:p w:rsidRPr="0086590B" w:rsidR="000D33F5" w:rsidP="001B54FE" w:rsidRDefault="000D33F5" w14:paraId="55298C7C" w14:textId="208A6A92">
            <w:pPr>
              <w:jc w:val="both"/>
              <w:rPr>
                <w:rFonts w:ascii="Verdana" w:hAnsi="Verdana" w:eastAsia="Calibri" w:cs="Arial"/>
                <w:color w:val="000000" w:themeColor="text1"/>
                <w:lang w:eastAsia="es-ES_tradnl"/>
              </w:rPr>
            </w:pPr>
            <w:r w:rsidRPr="0086590B">
              <w:rPr>
                <w:rFonts w:ascii="Verdana" w:hAnsi="Verdana" w:eastAsia="Calibri" w:cs="Arial"/>
                <w:color w:val="000000" w:themeColor="text1"/>
                <w:lang w:val="es-ES_tradnl" w:eastAsia="es-ES_tradnl"/>
              </w:rPr>
              <w:t>Respuesta a consulta con radicado No.</w:t>
            </w:r>
            <w:r w:rsidRPr="0086590B">
              <w:rPr>
                <w:rFonts w:ascii="Verdana" w:hAnsi="Verdana"/>
              </w:rPr>
              <w:t xml:space="preserve"> </w:t>
            </w:r>
            <w:r w:rsidRPr="0086590B" w:rsidR="00B56FD0">
              <w:rPr>
                <w:rFonts w:ascii="Verdana" w:hAnsi="Verdana" w:eastAsia="Calibri" w:cs="Arial"/>
                <w:color w:val="000000" w:themeColor="text1"/>
                <w:lang w:eastAsia="es-ES_tradnl"/>
              </w:rPr>
              <w:t>1_2026_01_16_000439</w:t>
            </w:r>
          </w:p>
          <w:p w:rsidRPr="0086590B" w:rsidR="000D33F5" w:rsidP="001B54FE" w:rsidRDefault="000D33F5" w14:paraId="35FF65B6" w14:textId="77777777">
            <w:pPr>
              <w:jc w:val="both"/>
              <w:rPr>
                <w:rFonts w:ascii="Verdana" w:hAnsi="Verdana" w:cs="Arial"/>
              </w:rPr>
            </w:pPr>
          </w:p>
          <w:p w:rsidRPr="0086590B" w:rsidR="000D33F5" w:rsidP="001B54FE" w:rsidRDefault="000D33F5" w14:paraId="21EDC9D7" w14:textId="77777777">
            <w:pPr>
              <w:jc w:val="both"/>
              <w:rPr>
                <w:rFonts w:ascii="Verdana" w:hAnsi="Verdana"/>
                <w:color w:val="000000"/>
              </w:rPr>
            </w:pPr>
          </w:p>
        </w:tc>
      </w:tr>
    </w:tbl>
    <w:p w:rsidRPr="0086590B" w:rsidR="000D33F5" w:rsidP="001B54FE" w:rsidRDefault="000D33F5" w14:paraId="507C32A0" w14:textId="1A446D60">
      <w:pPr>
        <w:spacing w:after="0" w:line="276" w:lineRule="auto"/>
        <w:jc w:val="both"/>
        <w:rPr>
          <w:rFonts w:ascii="Verdana" w:hAnsi="Verdana" w:eastAsia="Calibri" w:cs="Arial"/>
          <w:color w:val="000000" w:themeColor="text1"/>
          <w:lang w:val="es-ES" w:eastAsia="es-ES"/>
        </w:rPr>
      </w:pPr>
      <w:r w:rsidRPr="0086590B">
        <w:rPr>
          <w:rFonts w:ascii="Verdana" w:hAnsi="Verdana" w:eastAsia="Calibri" w:cs="Arial"/>
          <w:color w:val="000000" w:themeColor="text1"/>
          <w:lang w:val="es-ES" w:eastAsia="es-ES"/>
        </w:rPr>
        <w:t xml:space="preserve">Estimado </w:t>
      </w:r>
      <w:r w:rsidRPr="0086590B" w:rsidR="00B56FD0">
        <w:rPr>
          <w:rFonts w:ascii="Verdana" w:hAnsi="Verdana" w:eastAsia="Calibri" w:cs="Arial"/>
          <w:color w:val="000000" w:themeColor="text1"/>
          <w:lang w:val="es-ES" w:eastAsia="es-ES"/>
        </w:rPr>
        <w:t>Anónimo</w:t>
      </w:r>
      <w:r w:rsidRPr="0086590B">
        <w:rPr>
          <w:rFonts w:ascii="Verdana" w:hAnsi="Verdana" w:eastAsia="Calibri" w:cs="Arial"/>
          <w:color w:val="000000" w:themeColor="text1"/>
          <w:lang w:val="es-ES" w:eastAsia="es-ES"/>
        </w:rPr>
        <w:t xml:space="preserve">: </w:t>
      </w:r>
    </w:p>
    <w:p w:rsidRPr="0086590B" w:rsidR="000D33F5" w:rsidP="003F00B1" w:rsidRDefault="000D33F5" w14:paraId="47AEF51F" w14:textId="77777777">
      <w:pPr>
        <w:spacing w:after="0" w:line="276" w:lineRule="auto"/>
        <w:rPr>
          <w:rFonts w:ascii="Verdana" w:hAnsi="Verdana" w:eastAsia="Times New Roman" w:cs="Segoe UI"/>
          <w:highlight w:val="cyan"/>
          <w:lang w:eastAsia="es-CO"/>
        </w:rPr>
      </w:pPr>
    </w:p>
    <w:p w:rsidRPr="0086590B" w:rsidR="000D33F5" w:rsidP="001B54FE" w:rsidRDefault="000D33F5" w14:paraId="1DFE8DAA" w14:textId="3880092C">
      <w:pPr>
        <w:spacing w:after="0" w:line="276" w:lineRule="auto"/>
        <w:jc w:val="both"/>
        <w:rPr>
          <w:rFonts w:ascii="Verdana" w:hAnsi="Verdana" w:eastAsia="Calibri" w:cs="Arial"/>
          <w:lang w:val="es-ES" w:eastAsia="es-ES"/>
        </w:rPr>
      </w:pPr>
      <w:r w:rsidRPr="0086590B">
        <w:rPr>
          <w:rFonts w:ascii="Verdana" w:hAnsi="Verdana" w:eastAsia="Calibri" w:cs="Arial"/>
          <w:lang w:val="es-ES" w:eastAsia="es-ES"/>
        </w:rPr>
        <w:t>En ejercicio de la competencia otorgada por los artículos 3, numeral 5º, y 11, numeral 8º, del Decreto Ley 4170 de 2011,</w:t>
      </w:r>
      <w:r w:rsidRPr="0086590B">
        <w:rPr>
          <w:rFonts w:ascii="Verdana" w:hAnsi="Verdana" w:eastAsia="Arial MT" w:cs="Arial"/>
          <w:lang w:val="es-ES" w:eastAsia="es-ES"/>
        </w:rPr>
        <w:t xml:space="preserve"> </w:t>
      </w:r>
      <w:r w:rsidRPr="0086590B">
        <w:rPr>
          <w:rFonts w:ascii="Verdana" w:hAnsi="Verdana" w:cs="Arial"/>
        </w:rPr>
        <w:t xml:space="preserve">así como lo establecido en el artículo 4 de la Resolución 1707 de 2018 expedida por esta Entidad, </w:t>
      </w:r>
      <w:r w:rsidRPr="0086590B">
        <w:rPr>
          <w:rFonts w:ascii="Verdana" w:hAnsi="Verdana" w:eastAsia="Calibri" w:cs="Arial"/>
          <w:lang w:val="es-ES" w:eastAsia="es-ES"/>
        </w:rPr>
        <w:t xml:space="preserve">la Agencia Nacional de Contratación Pública – Colombia Compra Eficiente– responde su solicitud del </w:t>
      </w:r>
      <w:r w:rsidRPr="0086590B" w:rsidR="00BB7969">
        <w:rPr>
          <w:rFonts w:ascii="Verdana" w:hAnsi="Verdana" w:eastAsia="Calibri" w:cs="Arial"/>
          <w:lang w:val="es-ES" w:eastAsia="es-ES"/>
        </w:rPr>
        <w:t>16 de enero del 2026</w:t>
      </w:r>
      <w:r w:rsidRPr="0086590B">
        <w:rPr>
          <w:rFonts w:ascii="Verdana" w:hAnsi="Verdana" w:eastAsia="Calibri" w:cs="Arial"/>
          <w:lang w:val="es-ES" w:eastAsia="es-ES"/>
        </w:rPr>
        <w:t xml:space="preserve">, en la cual manifiesta lo siguiente: </w:t>
      </w:r>
    </w:p>
    <w:p w:rsidRPr="0086590B" w:rsidR="000D33F5" w:rsidP="001B54FE" w:rsidRDefault="000D33F5" w14:paraId="498D7FB5" w14:textId="77777777">
      <w:pPr>
        <w:spacing w:after="0" w:line="276" w:lineRule="auto"/>
        <w:jc w:val="both"/>
        <w:rPr>
          <w:rFonts w:ascii="Verdana" w:hAnsi="Verdana" w:eastAsia="Calibri" w:cs="Arial"/>
          <w:highlight w:val="cyan"/>
          <w:lang w:val="es-ES" w:eastAsia="es-ES"/>
        </w:rPr>
      </w:pPr>
    </w:p>
    <w:p w:rsidRPr="0086590B" w:rsidR="00487AA7" w:rsidP="00FC07A9" w:rsidRDefault="000D33F5" w14:paraId="686FD210" w14:textId="77777777">
      <w:pPr>
        <w:spacing w:after="0" w:line="240" w:lineRule="auto"/>
        <w:ind w:left="709" w:right="709"/>
        <w:jc w:val="both"/>
        <w:rPr>
          <w:rFonts w:ascii="Verdana" w:hAnsi="Verdana" w:eastAsia="Century Gothic" w:cs="Arial"/>
          <w:sz w:val="20"/>
          <w:szCs w:val="20"/>
        </w:rPr>
      </w:pPr>
      <w:r w:rsidRPr="0086590B">
        <w:rPr>
          <w:rFonts w:ascii="Verdana" w:hAnsi="Verdana" w:eastAsia="Century Gothic" w:cs="Arial"/>
          <w:sz w:val="20"/>
          <w:szCs w:val="20"/>
          <w:lang w:val="es-ES"/>
        </w:rPr>
        <w:t xml:space="preserve">“[…] </w:t>
      </w:r>
      <w:r w:rsidRPr="0086590B" w:rsidR="00BB7969">
        <w:rPr>
          <w:rFonts w:ascii="Verdana" w:hAnsi="Verdana" w:eastAsia="Century Gothic" w:cs="Arial"/>
          <w:sz w:val="20"/>
          <w:szCs w:val="20"/>
        </w:rPr>
        <w:t>En el marco de los procesos de selección adelantados bajo las Leyes 80 de 1993 y 1150 de 2007, y atendiendo los principios de selección objetiva, transparencia y economía:</w:t>
      </w:r>
    </w:p>
    <w:p w:rsidRPr="0086590B" w:rsidR="00487AA7" w:rsidP="00BB7969" w:rsidRDefault="00487AA7" w14:paraId="7BB93543" w14:textId="77777777">
      <w:pPr>
        <w:spacing w:after="0" w:line="240" w:lineRule="auto"/>
        <w:ind w:left="709" w:right="709"/>
        <w:jc w:val="both"/>
        <w:rPr>
          <w:rFonts w:ascii="Verdana" w:hAnsi="Verdana" w:eastAsia="Century Gothic" w:cs="Arial"/>
          <w:sz w:val="20"/>
          <w:szCs w:val="20"/>
        </w:rPr>
      </w:pPr>
    </w:p>
    <w:p w:rsidRPr="0086590B" w:rsidR="00487AA7" w:rsidP="00BB7969" w:rsidRDefault="00BB7969" w14:paraId="710B0B7B" w14:textId="77777777">
      <w:pPr>
        <w:spacing w:after="0" w:line="240" w:lineRule="auto"/>
        <w:ind w:left="709" w:right="709"/>
        <w:jc w:val="both"/>
        <w:rPr>
          <w:rFonts w:ascii="Verdana" w:hAnsi="Verdana" w:eastAsia="Century Gothic" w:cs="Arial"/>
          <w:sz w:val="20"/>
          <w:szCs w:val="20"/>
        </w:rPr>
      </w:pPr>
      <w:r w:rsidRPr="0086590B">
        <w:rPr>
          <w:rFonts w:ascii="Verdana" w:hAnsi="Verdana" w:eastAsia="Century Gothic" w:cs="Arial"/>
          <w:sz w:val="20"/>
          <w:szCs w:val="20"/>
        </w:rPr>
        <w:t xml:space="preserve">¿Debe una entidad estatal rechazar una propuesta cuando, durante la etapa de evaluación de ofertas en un proceso de licitación pública, se </w:t>
      </w:r>
      <w:r w:rsidRPr="0086590B">
        <w:rPr>
          <w:rFonts w:ascii="Verdana" w:hAnsi="Verdana" w:eastAsia="Century Gothic" w:cs="Arial"/>
          <w:sz w:val="20"/>
          <w:szCs w:val="20"/>
        </w:rPr>
        <w:lastRenderedPageBreak/>
        <w:t xml:space="preserve">advierte la existencia de un error mecanográfico en la propuesta presentada por un oferente? En particular, se solicita orientación general sobre: </w:t>
      </w:r>
    </w:p>
    <w:p w:rsidRPr="0086590B" w:rsidR="00487AA7" w:rsidP="00487AA7" w:rsidRDefault="00487AA7" w14:paraId="610C6527" w14:textId="77777777">
      <w:pPr>
        <w:spacing w:after="0" w:line="240" w:lineRule="auto"/>
        <w:ind w:left="709" w:right="709"/>
        <w:jc w:val="both"/>
        <w:rPr>
          <w:rFonts w:ascii="Verdana" w:hAnsi="Verdana" w:eastAsia="Century Gothic" w:cs="Arial"/>
          <w:sz w:val="20"/>
          <w:szCs w:val="20"/>
        </w:rPr>
      </w:pPr>
    </w:p>
    <w:p w:rsidRPr="0086590B" w:rsidR="00487AA7" w:rsidP="00487AA7" w:rsidRDefault="00BB7969" w14:paraId="5EF1394B" w14:textId="77777777">
      <w:pPr>
        <w:pStyle w:val="Prrafodelista"/>
        <w:numPr>
          <w:ilvl w:val="0"/>
          <w:numId w:val="17"/>
        </w:numPr>
        <w:spacing w:after="0" w:line="240" w:lineRule="auto"/>
        <w:ind w:right="709"/>
        <w:jc w:val="both"/>
        <w:rPr>
          <w:rFonts w:ascii="Verdana" w:hAnsi="Verdana" w:eastAsia="Century Gothic" w:cs="Arial"/>
          <w:sz w:val="20"/>
          <w:szCs w:val="20"/>
        </w:rPr>
      </w:pPr>
      <w:r w:rsidRPr="0086590B">
        <w:rPr>
          <w:rFonts w:ascii="Verdana" w:hAnsi="Verdana" w:eastAsia="Century Gothic" w:cs="Arial"/>
          <w:sz w:val="20"/>
          <w:szCs w:val="20"/>
        </w:rPr>
        <w:t xml:space="preserve">Si los errores mecanográficos constituyen, por sí mismos, causal de rechazo de la oferta. </w:t>
      </w:r>
    </w:p>
    <w:p w:rsidRPr="0086590B" w:rsidR="00487AA7" w:rsidP="00487AA7" w:rsidRDefault="00BB7969" w14:paraId="2459CC60" w14:textId="77777777">
      <w:pPr>
        <w:pStyle w:val="Prrafodelista"/>
        <w:numPr>
          <w:ilvl w:val="0"/>
          <w:numId w:val="17"/>
        </w:numPr>
        <w:spacing w:after="0" w:line="240" w:lineRule="auto"/>
        <w:ind w:right="709"/>
        <w:jc w:val="both"/>
        <w:rPr>
          <w:rFonts w:ascii="Verdana" w:hAnsi="Verdana" w:eastAsia="Century Gothic" w:cs="Arial"/>
          <w:sz w:val="20"/>
          <w:szCs w:val="20"/>
        </w:rPr>
      </w:pPr>
      <w:r w:rsidRPr="0086590B">
        <w:rPr>
          <w:rFonts w:ascii="Verdana" w:hAnsi="Verdana" w:eastAsia="Century Gothic" w:cs="Arial"/>
          <w:sz w:val="20"/>
          <w:szCs w:val="20"/>
        </w:rPr>
        <w:t>Cuáles criterios generales permiten diferenciar un error meramente formal o mecanográfico de un error sustancial que afecte la comparabilidad de las propuestas o implique modificación de la oferta.</w:t>
      </w:r>
    </w:p>
    <w:p w:rsidRPr="0086590B" w:rsidR="000D33F5" w:rsidP="00487AA7" w:rsidRDefault="00BB7969" w14:paraId="2CF086BE" w14:textId="5F7B9D98">
      <w:pPr>
        <w:pStyle w:val="Prrafodelista"/>
        <w:numPr>
          <w:ilvl w:val="0"/>
          <w:numId w:val="17"/>
        </w:numPr>
        <w:spacing w:after="0" w:line="240" w:lineRule="auto"/>
        <w:ind w:right="709"/>
        <w:jc w:val="both"/>
        <w:rPr>
          <w:rFonts w:ascii="Verdana" w:hAnsi="Verdana" w:eastAsia="Century Gothic" w:cs="Arial"/>
          <w:sz w:val="20"/>
          <w:szCs w:val="20"/>
        </w:rPr>
      </w:pPr>
      <w:r w:rsidRPr="0086590B">
        <w:rPr>
          <w:rFonts w:ascii="Verdana" w:hAnsi="Verdana" w:eastAsia="Century Gothic" w:cs="Arial"/>
          <w:sz w:val="20"/>
          <w:szCs w:val="20"/>
        </w:rPr>
        <w:t xml:space="preserve">El alcance de la facultad de aclaración o subsanación de ofertas frente a este tipo de errores, conforme al régimen general de la contratación estatal </w:t>
      </w:r>
      <w:r w:rsidRPr="0086590B" w:rsidR="000D33F5">
        <w:rPr>
          <w:rFonts w:ascii="Verdana" w:hAnsi="Verdana" w:eastAsia="Century Gothic" w:cs="Arial"/>
          <w:sz w:val="20"/>
          <w:szCs w:val="20"/>
        </w:rPr>
        <w:t>[…]”</w:t>
      </w:r>
    </w:p>
    <w:p w:rsidRPr="0086590B" w:rsidR="000D33F5" w:rsidP="000D33F5" w:rsidRDefault="000D33F5" w14:paraId="226DF89F" w14:textId="77777777">
      <w:pPr>
        <w:spacing w:after="0"/>
        <w:jc w:val="both"/>
        <w:rPr>
          <w:rFonts w:ascii="Verdana" w:hAnsi="Verdana" w:cs="Arial"/>
          <w:highlight w:val="cyan"/>
          <w:lang w:val="es-ES"/>
        </w:rPr>
      </w:pPr>
    </w:p>
    <w:p w:rsidRPr="0086590B" w:rsidR="000D33F5" w:rsidP="000D33F5" w:rsidRDefault="000D33F5" w14:paraId="6FE7BE2E" w14:textId="77777777">
      <w:pPr>
        <w:spacing w:after="120" w:line="276" w:lineRule="auto"/>
        <w:ind w:firstLine="709"/>
        <w:jc w:val="both"/>
        <w:rPr>
          <w:rFonts w:ascii="Verdana" w:hAnsi="Verdana" w:eastAsia="Calibri" w:cs="Arial"/>
          <w:color w:val="000000"/>
          <w:lang w:val="es-ES_tradnl" w:eastAsia="es-ES_tradnl"/>
        </w:rPr>
      </w:pPr>
      <w:r w:rsidRPr="0086590B">
        <w:rPr>
          <w:rFonts w:ascii="Verdana" w:hAnsi="Verdana" w:eastAsia="Calibri"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rsidRPr="0086590B" w:rsidR="000D33F5" w:rsidP="000D33F5" w:rsidRDefault="000D33F5" w14:paraId="2877E36C" w14:textId="77777777">
      <w:pPr>
        <w:spacing w:after="0" w:line="276" w:lineRule="auto"/>
        <w:ind w:firstLine="709"/>
        <w:jc w:val="both"/>
        <w:rPr>
          <w:rFonts w:ascii="Verdana" w:hAnsi="Verdana" w:eastAsia="Calibri" w:cs="Arial"/>
          <w:color w:val="000000"/>
          <w:lang w:val="es-ES" w:eastAsia="es-ES"/>
        </w:rPr>
      </w:pPr>
      <w:r w:rsidRPr="0086590B">
        <w:rPr>
          <w:rFonts w:ascii="Verdana" w:hAnsi="Verdana" w:eastAsia="Calibri"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rsidRPr="0086590B" w:rsidR="000D33F5" w:rsidP="003F00B1" w:rsidRDefault="000D33F5" w14:paraId="1A5C71B1" w14:textId="77777777">
      <w:pPr>
        <w:spacing w:after="0" w:line="276" w:lineRule="auto"/>
        <w:jc w:val="both"/>
        <w:rPr>
          <w:rStyle w:val="Hipervnculo"/>
          <w:rFonts w:ascii="Verdana" w:hAnsi="Verdana"/>
          <w:lang w:val="es-ES"/>
        </w:rPr>
      </w:pPr>
    </w:p>
    <w:p w:rsidRPr="0086590B" w:rsidR="000D33F5" w:rsidP="003F00B1" w:rsidRDefault="000D33F5" w14:paraId="67824367"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Arial"/>
          <w:b/>
          <w:bCs/>
        </w:rPr>
      </w:pPr>
      <w:r w:rsidRPr="0086590B">
        <w:rPr>
          <w:rFonts w:ascii="Verdana" w:hAnsi="Verdana" w:eastAsia="Century Gothic" w:cs="Arial"/>
          <w:b/>
          <w:bCs/>
        </w:rPr>
        <w:t>Problema planteado:</w:t>
      </w:r>
    </w:p>
    <w:p w:rsidRPr="0086590B" w:rsidR="000D33F5" w:rsidP="003F00B1" w:rsidRDefault="000D33F5" w14:paraId="0B60B7CA" w14:textId="77777777">
      <w:pPr>
        <w:spacing w:after="0" w:line="276" w:lineRule="auto"/>
        <w:jc w:val="both"/>
        <w:rPr>
          <w:rStyle w:val="Hipervnculo"/>
          <w:rFonts w:ascii="Verdana" w:hAnsi="Verdana" w:cs="Arial"/>
        </w:rPr>
      </w:pPr>
    </w:p>
    <w:p w:rsidRPr="0086590B" w:rsidR="000D33F5" w:rsidP="00630289" w:rsidRDefault="000D33F5" w14:paraId="18776D0B" w14:textId="521EC5BF">
      <w:pPr>
        <w:spacing w:after="0" w:line="276" w:lineRule="auto"/>
        <w:jc w:val="both"/>
        <w:rPr>
          <w:rFonts w:ascii="Verdana" w:hAnsi="Verdana" w:eastAsia="Century Gothic" w:cs="Century Gothic"/>
          <w:color w:val="000000" w:themeColor="text1"/>
        </w:rPr>
      </w:pPr>
      <w:r w:rsidRPr="0086590B">
        <w:rPr>
          <w:rFonts w:ascii="Verdana" w:hAnsi="Verdana" w:eastAsia="Century Gothic" w:cs="Arial"/>
        </w:rPr>
        <w:t xml:space="preserve">De acuerdo con el contenido de su solicitud, esta Agencia resolverá </w:t>
      </w:r>
      <w:r w:rsidRPr="0086590B" w:rsidR="00262C3F">
        <w:rPr>
          <w:rFonts w:ascii="Verdana" w:hAnsi="Verdana" w:eastAsia="Century Gothic" w:cs="Arial"/>
        </w:rPr>
        <w:t>los</w:t>
      </w:r>
      <w:r w:rsidRPr="0086590B">
        <w:rPr>
          <w:rFonts w:ascii="Verdana" w:hAnsi="Verdana" w:eastAsia="Century Gothic" w:cs="Arial"/>
        </w:rPr>
        <w:t xml:space="preserve"> siguiente</w:t>
      </w:r>
      <w:r w:rsidRPr="0086590B" w:rsidR="00262C3F">
        <w:rPr>
          <w:rFonts w:ascii="Verdana" w:hAnsi="Verdana" w:eastAsia="Century Gothic" w:cs="Arial"/>
        </w:rPr>
        <w:t>s</w:t>
      </w:r>
      <w:r w:rsidRPr="0086590B">
        <w:rPr>
          <w:rFonts w:ascii="Verdana" w:hAnsi="Verdana" w:eastAsia="Century Gothic" w:cs="Arial"/>
        </w:rPr>
        <w:t xml:space="preserve"> problema</w:t>
      </w:r>
      <w:r w:rsidRPr="0086590B" w:rsidR="00262C3F">
        <w:rPr>
          <w:rFonts w:ascii="Verdana" w:hAnsi="Verdana" w:eastAsia="Century Gothic" w:cs="Arial"/>
        </w:rPr>
        <w:t>s</w:t>
      </w:r>
      <w:r w:rsidRPr="0086590B">
        <w:rPr>
          <w:rFonts w:ascii="Verdana" w:hAnsi="Verdana" w:eastAsia="Century Gothic" w:cs="Arial"/>
        </w:rPr>
        <w:t xml:space="preserve"> jurídico</w:t>
      </w:r>
      <w:r w:rsidRPr="0086590B" w:rsidR="00262C3F">
        <w:rPr>
          <w:rFonts w:ascii="Verdana" w:hAnsi="Verdana" w:eastAsia="Century Gothic" w:cs="Arial"/>
        </w:rPr>
        <w:t>s</w:t>
      </w:r>
      <w:r w:rsidRPr="0086590B">
        <w:rPr>
          <w:rFonts w:ascii="Verdana" w:hAnsi="Verdana" w:eastAsia="Century Gothic" w:cs="Arial"/>
        </w:rPr>
        <w:t>:</w:t>
      </w:r>
      <w:r w:rsidRPr="0086590B" w:rsidR="00262C3F">
        <w:rPr>
          <w:rFonts w:ascii="Verdana" w:hAnsi="Verdana" w:eastAsia="Century Gothic" w:cs="Arial"/>
        </w:rPr>
        <w:t xml:space="preserve"> i)</w:t>
      </w:r>
      <w:r w:rsidRPr="0086590B">
        <w:rPr>
          <w:rFonts w:ascii="Verdana" w:hAnsi="Verdana" w:eastAsia="Century Gothic" w:cs="Arial"/>
        </w:rPr>
        <w:t xml:space="preserve"> </w:t>
      </w:r>
      <w:r w:rsidRPr="0086590B" w:rsidR="001E004F">
        <w:rPr>
          <w:rFonts w:ascii="Verdana" w:hAnsi="Verdana" w:eastAsia="Century Gothic" w:cs="Arial"/>
        </w:rPr>
        <w:t xml:space="preserve">¿Constituye un error mecanográfico en la propuesta presentada por un oferente dentro de un proceso de licitación pública, adelantado bajo las Leyes 80 de 1993 y 1150 de 2007, causal suficiente para el </w:t>
      </w:r>
      <w:r w:rsidRPr="0086590B" w:rsidR="001E004F">
        <w:rPr>
          <w:rFonts w:ascii="Verdana" w:hAnsi="Verdana" w:eastAsia="Century Gothic" w:cs="Arial"/>
        </w:rPr>
        <w:lastRenderedPageBreak/>
        <w:t>rechazo de la oferta, o puede ser objeto de aclaración o subsanación?</w:t>
      </w:r>
      <w:r w:rsidRPr="0086590B" w:rsidR="00262C3F">
        <w:rPr>
          <w:rFonts w:ascii="Verdana" w:hAnsi="Verdana" w:eastAsia="Century Gothic" w:cs="Arial"/>
        </w:rPr>
        <w:t xml:space="preserve">; </w:t>
      </w:r>
      <w:proofErr w:type="spellStart"/>
      <w:r w:rsidRPr="0086590B" w:rsidR="00262C3F">
        <w:rPr>
          <w:rFonts w:ascii="Verdana" w:hAnsi="Verdana" w:eastAsia="Century Gothic" w:cs="Arial"/>
        </w:rPr>
        <w:t>ii</w:t>
      </w:r>
      <w:proofErr w:type="spellEnd"/>
      <w:r w:rsidRPr="0086590B" w:rsidR="00262C3F">
        <w:rPr>
          <w:rFonts w:ascii="Verdana" w:hAnsi="Verdana" w:eastAsia="Century Gothic" w:cs="Arial"/>
        </w:rPr>
        <w:t xml:space="preserve">) </w:t>
      </w:r>
      <w:r w:rsidRPr="0086590B" w:rsidR="00BE4FE6">
        <w:rPr>
          <w:rFonts w:ascii="Verdana" w:hAnsi="Verdana" w:eastAsia="Century Gothic" w:cs="Arial"/>
        </w:rPr>
        <w:t>¿Cuál es el alcance de la facultad de las entidades estatales para solicitar la aclaración o permitir la subsanación de ofertas frente a errores mecanográficos?</w:t>
      </w:r>
    </w:p>
    <w:p w:rsidRPr="0086590B" w:rsidR="000D33F5" w:rsidP="00630289" w:rsidRDefault="000D33F5" w14:paraId="389EFC5D" w14:textId="77777777">
      <w:pPr>
        <w:spacing w:after="0" w:line="276" w:lineRule="auto"/>
        <w:jc w:val="both"/>
        <w:rPr>
          <w:rStyle w:val="Hipervnculo"/>
          <w:rFonts w:ascii="Verdana" w:hAnsi="Verdana" w:cs="Arial"/>
          <w:highlight w:val="cyan"/>
          <w:lang w:val="es-ES"/>
        </w:rPr>
      </w:pPr>
    </w:p>
    <w:p w:rsidRPr="0086590B" w:rsidR="000D33F5" w:rsidP="003F00B1" w:rsidRDefault="000D33F5" w14:paraId="46444C8F" w14:textId="77777777">
      <w:pPr>
        <w:pStyle w:val="Prrafodelista"/>
        <w:widowControl w:val="0"/>
        <w:numPr>
          <w:ilvl w:val="0"/>
          <w:numId w:val="16"/>
        </w:numPr>
        <w:autoSpaceDE w:val="0"/>
        <w:autoSpaceDN w:val="0"/>
        <w:spacing w:after="0" w:line="276" w:lineRule="auto"/>
        <w:ind w:left="360"/>
        <w:contextualSpacing w:val="0"/>
        <w:jc w:val="both"/>
        <w:outlineLvl w:val="0"/>
        <w:rPr>
          <w:rFonts w:ascii="Verdana" w:hAnsi="Verdana" w:eastAsia="Arial" w:cs="Arial"/>
          <w:b/>
          <w:bCs/>
        </w:rPr>
      </w:pPr>
      <w:r w:rsidRPr="0086590B">
        <w:rPr>
          <w:rFonts w:ascii="Verdana" w:hAnsi="Verdana" w:eastAsia="Arial" w:cs="Arial"/>
          <w:b/>
          <w:bCs/>
        </w:rPr>
        <w:t>Respuesta:</w:t>
      </w:r>
    </w:p>
    <w:p w:rsidRPr="0086590B" w:rsidR="000D33F5" w:rsidP="003F00B1" w:rsidRDefault="000D33F5" w14:paraId="4539DC72" w14:textId="77777777">
      <w:pPr>
        <w:spacing w:after="0" w:line="276" w:lineRule="auto"/>
        <w:rPr>
          <w:rFonts w:ascii="Verdana" w:hAnsi="Verdana" w:eastAsia="Aptos" w:cs="Arial"/>
          <w:highlight w:val="cyan"/>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86590B" w:rsidR="000D33F5" w:rsidTr="009837FE" w14:paraId="00267C75" w14:textId="77777777">
        <w:tc>
          <w:tcPr>
            <w:tcW w:w="8828" w:type="dxa"/>
          </w:tcPr>
          <w:p w:rsidRPr="0086590B" w:rsidR="000D33F5" w:rsidP="009837FE" w:rsidRDefault="000D33F5" w14:paraId="57CADABA" w14:textId="395A48FB">
            <w:pPr>
              <w:spacing w:after="120" w:line="276" w:lineRule="auto"/>
              <w:jc w:val="both"/>
              <w:rPr>
                <w:rFonts w:ascii="Verdana" w:hAnsi="Verdana" w:cs="Arial"/>
                <w:color w:val="000000" w:themeColor="text1"/>
              </w:rPr>
            </w:pPr>
            <w:bookmarkStart w:name="_Hlk171067516" w:id="2"/>
            <w:r w:rsidRPr="0086590B">
              <w:rPr>
                <w:rFonts w:ascii="Verdana" w:hAnsi="Verdana" w:cs="Arial"/>
                <w:color w:val="000000" w:themeColor="text1"/>
              </w:rPr>
              <w:t xml:space="preserve">En respuesta </w:t>
            </w:r>
            <w:r w:rsidRPr="0086590B" w:rsidR="00CA593F">
              <w:rPr>
                <w:rFonts w:ascii="Verdana" w:hAnsi="Verdana" w:cs="Arial"/>
                <w:color w:val="000000" w:themeColor="text1"/>
              </w:rPr>
              <w:t>a</w:t>
            </w:r>
            <w:r w:rsidRPr="0086590B" w:rsidR="00DF0FD1">
              <w:rPr>
                <w:rFonts w:ascii="Verdana" w:hAnsi="Verdana" w:cs="Arial"/>
                <w:color w:val="000000" w:themeColor="text1"/>
              </w:rPr>
              <w:t xml:space="preserve"> </w:t>
            </w:r>
            <w:r w:rsidRPr="0086590B" w:rsidR="00CA593F">
              <w:rPr>
                <w:rFonts w:ascii="Verdana" w:hAnsi="Verdana" w:cs="Arial"/>
                <w:color w:val="000000" w:themeColor="text1"/>
              </w:rPr>
              <w:t>l</w:t>
            </w:r>
            <w:r w:rsidRPr="0086590B" w:rsidR="00DF0FD1">
              <w:rPr>
                <w:rFonts w:ascii="Verdana" w:hAnsi="Verdana" w:cs="Arial"/>
                <w:color w:val="000000" w:themeColor="text1"/>
              </w:rPr>
              <w:t>os</w:t>
            </w:r>
            <w:r w:rsidRPr="0086590B">
              <w:rPr>
                <w:rFonts w:ascii="Verdana" w:hAnsi="Verdana" w:cs="Arial"/>
                <w:color w:val="000000" w:themeColor="text1"/>
              </w:rPr>
              <w:t xml:space="preserve"> problema</w:t>
            </w:r>
            <w:r w:rsidRPr="0086590B" w:rsidR="00DF0FD1">
              <w:rPr>
                <w:rFonts w:ascii="Verdana" w:hAnsi="Verdana" w:cs="Arial"/>
                <w:color w:val="000000" w:themeColor="text1"/>
              </w:rPr>
              <w:t>s</w:t>
            </w:r>
            <w:r w:rsidRPr="0086590B">
              <w:rPr>
                <w:rFonts w:ascii="Verdana" w:hAnsi="Verdana" w:cs="Arial"/>
                <w:color w:val="000000" w:themeColor="text1"/>
              </w:rPr>
              <w:t xml:space="preserve"> ante</w:t>
            </w:r>
            <w:r w:rsidRPr="0086590B" w:rsidR="00DF0FD1">
              <w:rPr>
                <w:rFonts w:ascii="Verdana" w:hAnsi="Verdana" w:cs="Arial"/>
                <w:color w:val="000000" w:themeColor="text1"/>
              </w:rPr>
              <w:t>s</w:t>
            </w:r>
            <w:r w:rsidRPr="0086590B">
              <w:rPr>
                <w:rFonts w:ascii="Verdana" w:hAnsi="Verdana" w:cs="Arial"/>
                <w:color w:val="000000" w:themeColor="text1"/>
              </w:rPr>
              <w:t xml:space="preserve"> planteado</w:t>
            </w:r>
            <w:r w:rsidRPr="0086590B" w:rsidR="00DF0FD1">
              <w:rPr>
                <w:rFonts w:ascii="Verdana" w:hAnsi="Verdana" w:cs="Arial"/>
                <w:color w:val="000000" w:themeColor="text1"/>
              </w:rPr>
              <w:t>s</w:t>
            </w:r>
            <w:r w:rsidRPr="0086590B" w:rsidR="00FC07A9">
              <w:rPr>
                <w:rFonts w:ascii="Verdana" w:hAnsi="Verdana" w:cs="Arial"/>
                <w:color w:val="000000" w:themeColor="text1"/>
              </w:rPr>
              <w:t>,</w:t>
            </w:r>
            <w:r w:rsidRPr="0086590B">
              <w:rPr>
                <w:rFonts w:ascii="Verdana" w:hAnsi="Verdana" w:cs="Arial"/>
                <w:color w:val="000000" w:themeColor="text1"/>
              </w:rPr>
              <w:t xml:space="preserve"> esta Subdirección manifiesta lo siguiente:</w:t>
            </w:r>
          </w:p>
          <w:p w:rsidRPr="0086590B" w:rsidR="00441F9B" w:rsidP="00441F9B" w:rsidRDefault="000D33F5" w14:paraId="482D2AF9" w14:textId="138D0CE6">
            <w:pPr>
              <w:spacing w:before="120" w:after="120" w:line="276" w:lineRule="auto"/>
              <w:ind w:firstLine="709"/>
              <w:jc w:val="both"/>
              <w:rPr>
                <w:rFonts w:ascii="Verdana" w:hAnsi="Verdana" w:cs="Arial"/>
              </w:rPr>
            </w:pPr>
            <w:r w:rsidRPr="0086590B">
              <w:rPr>
                <w:rFonts w:ascii="Verdana" w:hAnsi="Verdana" w:eastAsia="Calibri" w:cs="Arial"/>
                <w:i/>
                <w:color w:val="000000" w:themeColor="text1"/>
              </w:rPr>
              <w:t>En primer lugar</w:t>
            </w:r>
            <w:r w:rsidRPr="0086590B">
              <w:rPr>
                <w:rFonts w:ascii="Verdana" w:hAnsi="Verdana" w:cs="Arial"/>
              </w:rPr>
              <w:t xml:space="preserve">, </w:t>
            </w:r>
            <w:r w:rsidRPr="0086590B">
              <w:rPr>
                <w:rFonts w:ascii="Verdana" w:hAnsi="Verdana" w:cs="Arial"/>
                <w:lang w:val="es-ES"/>
              </w:rPr>
              <w:t xml:space="preserve">debe indicarse que </w:t>
            </w:r>
            <w:r w:rsidRPr="0086590B" w:rsidR="00441F9B">
              <w:rPr>
                <w:rFonts w:ascii="Verdana" w:hAnsi="Verdana" w:cs="Arial"/>
                <w:lang w:val="es-ES"/>
              </w:rPr>
              <w:t xml:space="preserve">la regla de la </w:t>
            </w:r>
            <w:proofErr w:type="spellStart"/>
            <w:r w:rsidRPr="0086590B" w:rsidR="00441F9B">
              <w:rPr>
                <w:rFonts w:ascii="Verdana" w:hAnsi="Verdana" w:cs="Arial"/>
                <w:lang w:val="es-ES"/>
              </w:rPr>
              <w:t>subsanabilidad</w:t>
            </w:r>
            <w:proofErr w:type="spellEnd"/>
            <w:r w:rsidRPr="0086590B" w:rsidR="00441F9B">
              <w:rPr>
                <w:rFonts w:ascii="Verdana" w:hAnsi="Verdana" w:cs="Arial"/>
                <w:lang w:val="es-ES"/>
              </w:rPr>
              <w:t xml:space="preserve"> de las ofertas en los procedimientos de selección establece que, por principio general, la falta de entrega o los defectos en la acreditación de los requisitos habilitantes son subsanables, salvo en tres eventos expresamente exceptuados por la ley: i) cuando se trate de requisitos que otorgan puntaje; </w:t>
            </w:r>
            <w:proofErr w:type="spellStart"/>
            <w:r w:rsidRPr="0086590B" w:rsidR="00441F9B">
              <w:rPr>
                <w:rFonts w:ascii="Verdana" w:hAnsi="Verdana" w:cs="Arial"/>
                <w:lang w:val="es-ES"/>
              </w:rPr>
              <w:t>ii</w:t>
            </w:r>
            <w:proofErr w:type="spellEnd"/>
            <w:r w:rsidRPr="0086590B" w:rsidR="00441F9B">
              <w:rPr>
                <w:rFonts w:ascii="Verdana" w:hAnsi="Verdana" w:cs="Arial"/>
                <w:lang w:val="es-ES"/>
              </w:rPr>
              <w:t xml:space="preserve">) cuando se pretenda acreditar circunstancias ocurridas con posterioridad al cierre del proceso; y </w:t>
            </w:r>
            <w:proofErr w:type="spellStart"/>
            <w:r w:rsidRPr="0086590B" w:rsidR="00441F9B">
              <w:rPr>
                <w:rFonts w:ascii="Verdana" w:hAnsi="Verdana" w:cs="Arial"/>
                <w:lang w:val="es-ES"/>
              </w:rPr>
              <w:t>iii</w:t>
            </w:r>
            <w:proofErr w:type="spellEnd"/>
            <w:r w:rsidRPr="0086590B" w:rsidR="00441F9B">
              <w:rPr>
                <w:rFonts w:ascii="Verdana" w:hAnsi="Verdana" w:cs="Arial"/>
                <w:lang w:val="es-ES"/>
              </w:rPr>
              <w:t>) cuando no se haya aportado la garantía de seriedad de la oferta con la propuesta.</w:t>
            </w:r>
          </w:p>
          <w:p w:rsidRPr="0086590B" w:rsidR="00181FD4" w:rsidP="00181FD4" w:rsidRDefault="00441F9B" w14:paraId="4A1AD7A0" w14:textId="67C9DEA7">
            <w:pPr>
              <w:spacing w:before="120" w:after="120" w:line="276" w:lineRule="auto"/>
              <w:ind w:firstLine="709"/>
              <w:jc w:val="both"/>
              <w:rPr>
                <w:rFonts w:ascii="Verdana" w:hAnsi="Verdana" w:cs="Arial"/>
                <w:lang w:val="es-ES"/>
              </w:rPr>
            </w:pPr>
            <w:r w:rsidRPr="0086590B">
              <w:rPr>
                <w:rFonts w:ascii="Verdana" w:hAnsi="Verdana" w:cs="Arial"/>
                <w:lang w:val="es-ES"/>
              </w:rPr>
              <w:t>De lo expuesto, es preciso señalar que</w:t>
            </w:r>
            <w:r w:rsidRPr="0086590B" w:rsidR="00FC07A9">
              <w:rPr>
                <w:rFonts w:ascii="Verdana" w:hAnsi="Verdana" w:cs="Arial"/>
                <w:lang w:val="es-ES"/>
              </w:rPr>
              <w:t>,</w:t>
            </w:r>
            <w:r w:rsidRPr="0086590B">
              <w:rPr>
                <w:rFonts w:ascii="Verdana" w:hAnsi="Verdana" w:cs="Arial"/>
                <w:lang w:val="es-ES"/>
              </w:rPr>
              <w:t xml:space="preserve"> en el marco de los procesos de selección</w:t>
            </w:r>
            <w:r w:rsidRPr="0086590B" w:rsidR="00751A94">
              <w:rPr>
                <w:rFonts w:ascii="Verdana" w:hAnsi="Verdana" w:cs="Arial"/>
                <w:lang w:val="es-ES"/>
              </w:rPr>
              <w:t>, entre ellos el de licitación pública,</w:t>
            </w:r>
            <w:r w:rsidRPr="0086590B">
              <w:rPr>
                <w:rFonts w:ascii="Verdana" w:hAnsi="Verdana" w:cs="Arial"/>
                <w:lang w:val="es-ES"/>
              </w:rPr>
              <w:t xml:space="preserve"> sometidos al estatuto General de Contratación de la Administración Pública, los errores mecanográficos entendidos como equivocación de digitación, transcripción o redacción que no modifican el contenido de la oferta, no constituyen por sí mism</w:t>
            </w:r>
            <w:r w:rsidRPr="0086590B" w:rsidR="00FC07A9">
              <w:rPr>
                <w:rFonts w:ascii="Verdana" w:hAnsi="Verdana" w:cs="Arial"/>
                <w:lang w:val="es-ES"/>
              </w:rPr>
              <w:t>a</w:t>
            </w:r>
            <w:r w:rsidRPr="0086590B">
              <w:rPr>
                <w:rFonts w:ascii="Verdana" w:hAnsi="Verdana" w:cs="Arial"/>
                <w:lang w:val="es-ES"/>
              </w:rPr>
              <w:t xml:space="preserve"> causal de rechazo. En este sentido, el Consejo de Estado ha señalado que solo aquellos errores que afectan la comparabilidad de las propuestas o que implican una modificación sustancial de las condiciones ofrecidas pueden justificar el rechazo de la oferta. En ese orden, si el error es solamente formal, debe prevalecer el principio de economía y la finalidad del proceso de selección, ahora, si el error es sustancial, procede el rechazo de la oferta, esto en aras de salvaguardar la transparencia y selección objetiva. </w:t>
            </w:r>
          </w:p>
          <w:p w:rsidRPr="0086590B" w:rsidR="000D33F5" w:rsidP="00181FD4" w:rsidRDefault="00181FD4" w14:paraId="5E8BCAAC" w14:textId="3469637F">
            <w:pPr>
              <w:spacing w:before="120" w:after="120" w:line="276" w:lineRule="auto"/>
              <w:ind w:firstLine="709"/>
              <w:jc w:val="both"/>
              <w:rPr>
                <w:rFonts w:ascii="Verdana" w:hAnsi="Verdana" w:cs="Arial"/>
                <w:lang w:val="es-ES"/>
              </w:rPr>
            </w:pPr>
            <w:r w:rsidRPr="0086590B">
              <w:rPr>
                <w:rFonts w:ascii="Verdana" w:hAnsi="Verdana" w:cs="Arial"/>
                <w:lang w:val="es-ES"/>
              </w:rPr>
              <w:t xml:space="preserve">En </w:t>
            </w:r>
            <w:r w:rsidRPr="0086590B">
              <w:rPr>
                <w:rFonts w:ascii="Verdana" w:hAnsi="Verdana" w:cs="Arial"/>
                <w:i/>
                <w:iCs/>
                <w:lang w:val="es-ES"/>
              </w:rPr>
              <w:t>segundo lugar</w:t>
            </w:r>
            <w:r w:rsidRPr="0086590B">
              <w:rPr>
                <w:rFonts w:ascii="Verdana" w:hAnsi="Verdana" w:cs="Arial"/>
                <w:lang w:val="es-ES"/>
              </w:rPr>
              <w:t xml:space="preserve">, tratándose de entidades exceptuadas, debe resaltarse que, aunque estas cuentan con regímenes especiales de contratación, no están desligadas de los principios constitucionales de la función administrativa consagrados en el artículo 209 de la Constitución Política, ni de los principios de la contratación estatal —transparencia, economía, responsabilidad y selección objetiva—, en tanto poseen carácter transversal. En consecuencia, si bien el tratamiento de los errores </w:t>
            </w:r>
            <w:r w:rsidRPr="0086590B">
              <w:rPr>
                <w:rFonts w:ascii="Verdana" w:hAnsi="Verdana" w:cs="Arial"/>
                <w:lang w:val="es-ES"/>
              </w:rPr>
              <w:lastRenderedPageBreak/>
              <w:t>mecanográficos se rige por las disposiciones propias de cada régimen especial, ello no las exonera de aplicar dichos principios, lo que implica que este tipo de errores, siempre que no sean sustanciales, no pueden erigirse como causal automática de rechazo de la oferta.</w:t>
            </w:r>
          </w:p>
          <w:p w:rsidRPr="0086590B" w:rsidR="000D33F5" w:rsidP="009837FE" w:rsidRDefault="000D33F5" w14:paraId="58E26416" w14:textId="77777777">
            <w:pPr>
              <w:spacing w:after="120" w:line="276" w:lineRule="auto"/>
              <w:ind w:firstLine="708"/>
              <w:jc w:val="both"/>
              <w:rPr>
                <w:rFonts w:ascii="Verdana" w:hAnsi="Verdana" w:eastAsia="Calibri" w:cs="Arial"/>
              </w:rPr>
            </w:pPr>
            <w:r w:rsidRPr="0086590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2"/>
    </w:tbl>
    <w:p w:rsidRPr="0086590B" w:rsidR="000D33F5" w:rsidP="003F00B1" w:rsidRDefault="000D33F5" w14:paraId="5F814D86" w14:textId="77777777">
      <w:pPr>
        <w:widowControl w:val="0"/>
        <w:autoSpaceDE w:val="0"/>
        <w:autoSpaceDN w:val="0"/>
        <w:spacing w:before="1" w:after="0" w:line="276" w:lineRule="auto"/>
        <w:ind w:left="360" w:hanging="360"/>
        <w:outlineLvl w:val="0"/>
        <w:rPr>
          <w:rFonts w:ascii="Verdana" w:hAnsi="Verdana" w:eastAsia="Arial" w:cs="Arial"/>
          <w:b/>
          <w:bCs/>
          <w:highlight w:val="cyan"/>
          <w:lang w:val="es-ES"/>
        </w:rPr>
      </w:pPr>
    </w:p>
    <w:p w:rsidRPr="0086590B" w:rsidR="000D33F5" w:rsidP="003F00B1" w:rsidRDefault="000D33F5" w14:paraId="7E87F049" w14:textId="77777777">
      <w:pPr>
        <w:widowControl w:val="0"/>
        <w:autoSpaceDE w:val="0"/>
        <w:autoSpaceDN w:val="0"/>
        <w:spacing w:before="1" w:after="0" w:line="276" w:lineRule="auto"/>
        <w:ind w:left="360" w:hanging="360"/>
        <w:outlineLvl w:val="0"/>
        <w:rPr>
          <w:rFonts w:ascii="Verdana" w:hAnsi="Verdana" w:eastAsia="Arial" w:cs="Arial"/>
          <w:b/>
          <w:bCs/>
          <w:lang w:val="es-ES"/>
        </w:rPr>
      </w:pPr>
      <w:r w:rsidRPr="0086590B">
        <w:rPr>
          <w:rFonts w:ascii="Verdana" w:hAnsi="Verdana" w:eastAsia="Arial" w:cs="Arial"/>
          <w:b/>
          <w:bCs/>
          <w:lang w:val="es-ES"/>
        </w:rPr>
        <w:t>3. Razones de la respuesta:</w:t>
      </w:r>
    </w:p>
    <w:p w:rsidRPr="0086590B" w:rsidR="000D33F5" w:rsidP="00630289" w:rsidRDefault="000D33F5" w14:paraId="401A0A3E" w14:textId="77777777">
      <w:pPr>
        <w:spacing w:after="0" w:line="276" w:lineRule="auto"/>
        <w:jc w:val="both"/>
        <w:rPr>
          <w:rFonts w:ascii="Verdana" w:hAnsi="Verdana" w:eastAsia="Calibri" w:cs="Arial"/>
          <w:lang w:val="es-ES"/>
        </w:rPr>
      </w:pPr>
    </w:p>
    <w:p w:rsidRPr="0086590B" w:rsidR="000D33F5" w:rsidP="00630289" w:rsidRDefault="000D33F5" w14:paraId="4207D1C0" w14:textId="77777777">
      <w:pPr>
        <w:spacing w:after="0" w:line="276" w:lineRule="auto"/>
        <w:jc w:val="both"/>
        <w:rPr>
          <w:rFonts w:ascii="Verdana" w:hAnsi="Verdana" w:eastAsia="Calibri" w:cs="Arial"/>
          <w:lang w:val="es-ES"/>
        </w:rPr>
      </w:pPr>
      <w:r w:rsidRPr="0086590B">
        <w:rPr>
          <w:rFonts w:ascii="Verdana" w:hAnsi="Verdana" w:eastAsia="Calibri" w:cs="Arial"/>
          <w:lang w:val="es-ES"/>
        </w:rPr>
        <w:t xml:space="preserve">La respuesta anterior se sustenta en las siguientes consideraciones: </w:t>
      </w:r>
    </w:p>
    <w:p w:rsidRPr="0086590B" w:rsidR="00C15139" w:rsidP="003F00B1" w:rsidRDefault="00C15139" w14:paraId="12443EE0" w14:textId="77777777">
      <w:pPr>
        <w:spacing w:after="0" w:line="276" w:lineRule="auto"/>
        <w:rPr>
          <w:rFonts w:ascii="Verdana" w:hAnsi="Verdana"/>
          <w:lang w:val="es-ES"/>
        </w:rPr>
      </w:pPr>
    </w:p>
    <w:p w:rsidRPr="0086590B" w:rsidR="005E4749" w:rsidDel="004D5F83" w:rsidP="00B0648D" w:rsidRDefault="00435B6B" w14:paraId="510A55DC" w14:textId="493547D7">
      <w:pPr>
        <w:spacing w:after="120" w:line="276" w:lineRule="auto"/>
        <w:jc w:val="both"/>
        <w:rPr>
          <w:rFonts w:ascii="Verdana" w:hAnsi="Verdana" w:eastAsia="Times New Roman" w:cs="Arial"/>
          <w:lang w:val="es-ES" w:eastAsia="es-ES"/>
        </w:rPr>
      </w:pPr>
      <w:r w:rsidRPr="0086590B">
        <w:rPr>
          <w:rFonts w:ascii="Verdana" w:hAnsi="Verdana" w:cs="Arial"/>
          <w:noProof/>
          <w:lang w:val="es-ES"/>
        </w:rPr>
        <w:t xml:space="preserve">i) </w:t>
      </w:r>
      <w:r w:rsidRPr="0086590B" w:rsidR="005E4749">
        <w:rPr>
          <w:rFonts w:ascii="Verdana" w:hAnsi="Verdana" w:cs="Arial"/>
          <w:noProof/>
          <w:lang w:val="es-ES"/>
        </w:rPr>
        <w:t>L</w:t>
      </w:r>
      <w:r w:rsidRPr="0086590B" w:rsidR="005E4749">
        <w:rPr>
          <w:rFonts w:ascii="Verdana" w:hAnsi="Verdana" w:eastAsia="Times New Roman" w:cs="Arial"/>
        </w:rPr>
        <w:t xml:space="preserve">a regla de la </w:t>
      </w:r>
      <w:proofErr w:type="spellStart"/>
      <w:r w:rsidRPr="0086590B" w:rsidR="005E4749">
        <w:rPr>
          <w:rFonts w:ascii="Verdana" w:hAnsi="Verdana" w:eastAsia="Times New Roman" w:cs="Arial"/>
        </w:rPr>
        <w:t>subsanabilidad</w:t>
      </w:r>
      <w:proofErr w:type="spellEnd"/>
      <w:r w:rsidRPr="0086590B" w:rsidR="005E4749">
        <w:rPr>
          <w:rFonts w:ascii="Verdana" w:hAnsi="Verdana" w:eastAsia="Times New Roman" w:cs="Arial"/>
        </w:rPr>
        <w:t xml:space="preserve"> de las ofertas en los procedimientos de selección</w:t>
      </w:r>
      <w:r w:rsidRPr="0086590B" w:rsidR="005E4749">
        <w:rPr>
          <w:rFonts w:ascii="Verdana" w:hAnsi="Verdana" w:eastAsia="Times New Roman" w:cs="Arial"/>
          <w:b/>
          <w:bCs/>
        </w:rPr>
        <w:t xml:space="preserve"> </w:t>
      </w:r>
      <w:r w:rsidRPr="0086590B" w:rsidR="005E4749">
        <w:rPr>
          <w:rFonts w:ascii="Verdana" w:hAnsi="Verdana" w:eastAsia="Times New Roman" w:cs="Arial"/>
          <w:lang w:val="es-ES" w:eastAsia="es-ES"/>
        </w:rPr>
        <w:t xml:space="preserve">indica que, por regla general, la falta de entrega y los defectos en la acreditación de los requisitos habilitantes son aspectos subsanables. La excepción corresponde </w:t>
      </w:r>
      <w:r w:rsidRPr="0086590B" w:rsidR="00630289">
        <w:rPr>
          <w:rFonts w:ascii="Verdana" w:hAnsi="Verdana" w:eastAsia="Times New Roman" w:cs="Arial"/>
          <w:lang w:val="es-ES" w:eastAsia="es-ES"/>
        </w:rPr>
        <w:t>a</w:t>
      </w:r>
      <w:r w:rsidRPr="0086590B" w:rsidR="005E4749">
        <w:rPr>
          <w:rFonts w:ascii="Verdana" w:hAnsi="Verdana" w:eastAsia="Times New Roman" w:cs="Arial"/>
          <w:lang w:val="es-ES" w:eastAsia="es-ES"/>
        </w:rPr>
        <w:t xml:space="preserve">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rsidRPr="0086590B" w:rsidR="005E4749" w:rsidP="00B0648D" w:rsidRDefault="005E4749" w14:paraId="148CB4F0" w14:textId="77777777">
      <w:pPr>
        <w:tabs>
          <w:tab w:val="left" w:pos="3828"/>
        </w:tabs>
        <w:spacing w:after="120" w:line="276" w:lineRule="auto"/>
        <w:ind w:firstLine="709"/>
        <w:jc w:val="both"/>
        <w:rPr>
          <w:rFonts w:ascii="Verdana" w:hAnsi="Verdana" w:eastAsia="Times New Roman" w:cs="Arial"/>
          <w:lang w:val="es-ES" w:eastAsia="es-ES"/>
        </w:rPr>
      </w:pPr>
      <w:r w:rsidRPr="0086590B">
        <w:rPr>
          <w:rFonts w:ascii="Verdana" w:hAnsi="Verdana" w:eastAsia="Times New Roman" w:cs="Arial"/>
          <w:lang w:val="es-ES" w:eastAsia="es-ES"/>
        </w:rPr>
        <w:t xml:space="preserve">La posibilidad de enmendar, corregir o subsanar los errores en los que se incurre en los documentos contentivos de la oferta, es un asunto que ha tenido diferentes momentos o etapas en el ordenamiento jurídico colombiano. </w:t>
      </w:r>
    </w:p>
    <w:p w:rsidRPr="0086590B" w:rsidR="005E4749" w:rsidP="00B0648D" w:rsidRDefault="005E4749" w14:paraId="750610C2" w14:textId="77777777">
      <w:pPr>
        <w:spacing w:after="120" w:line="276" w:lineRule="auto"/>
        <w:ind w:firstLine="709"/>
        <w:jc w:val="both"/>
        <w:rPr>
          <w:rFonts w:ascii="Verdana" w:hAnsi="Verdana" w:eastAsia="Arial" w:cs="Arial"/>
          <w:color w:val="000000" w:themeColor="text1"/>
        </w:rPr>
      </w:pPr>
      <w:r w:rsidRPr="0086590B">
        <w:rPr>
          <w:rFonts w:ascii="Verdana" w:hAnsi="Verdana" w:eastAsia="Arial" w:cs="Arial"/>
          <w:color w:val="000000" w:themeColor="text1"/>
        </w:rPr>
        <w:t xml:space="preserve">En un </w:t>
      </w:r>
      <w:r w:rsidRPr="0086590B">
        <w:rPr>
          <w:rFonts w:ascii="Verdana" w:hAnsi="Verdana" w:eastAsia="Arial" w:cs="Arial"/>
          <w:i/>
          <w:color w:val="000000" w:themeColor="text1"/>
        </w:rPr>
        <w:t>primer momento</w:t>
      </w:r>
      <w:r w:rsidRPr="0086590B">
        <w:rPr>
          <w:rFonts w:ascii="Verdana" w:hAnsi="Verdana" w:eastAsia="Arial" w:cs="Arial"/>
          <w:color w:val="000000" w:themeColor="text1"/>
        </w:rPr>
        <w:t xml:space="preserve">, antes de expedirse la Constitución Política de 1991, el régimen jurídico de la </w:t>
      </w:r>
      <w:proofErr w:type="spellStart"/>
      <w:r w:rsidRPr="0086590B">
        <w:rPr>
          <w:rFonts w:ascii="Verdana" w:hAnsi="Verdana" w:eastAsia="Arial" w:cs="Arial"/>
          <w:color w:val="000000" w:themeColor="text1"/>
        </w:rPr>
        <w:t>subsanabilidad</w:t>
      </w:r>
      <w:proofErr w:type="spellEnd"/>
      <w:r w:rsidRPr="0086590B">
        <w:rPr>
          <w:rFonts w:ascii="Verdana" w:hAnsi="Verdana" w:eastAsia="Arial"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rsidRPr="0086590B" w:rsidR="005E4749" w:rsidP="00630289" w:rsidRDefault="005E4749" w14:paraId="04BDDDD0" w14:textId="77777777">
      <w:pPr>
        <w:spacing w:before="120" w:after="0" w:line="276" w:lineRule="auto"/>
        <w:ind w:firstLine="709"/>
        <w:jc w:val="both"/>
        <w:rPr>
          <w:rFonts w:ascii="Verdana" w:hAnsi="Verdana" w:eastAsia="Arial" w:cs="Arial"/>
          <w:color w:val="000000" w:themeColor="text1"/>
        </w:rPr>
      </w:pPr>
      <w:r w:rsidRPr="0086590B">
        <w:rPr>
          <w:rFonts w:ascii="Verdana" w:hAnsi="Verdana" w:eastAsia="Arial" w:cs="Arial"/>
          <w:color w:val="000000"/>
        </w:rPr>
        <w:lastRenderedPageBreak/>
        <w:t xml:space="preserve">En un </w:t>
      </w:r>
      <w:r w:rsidRPr="0086590B">
        <w:rPr>
          <w:rFonts w:ascii="Verdana" w:hAnsi="Verdana" w:eastAsia="Arial" w:cs="Arial"/>
          <w:i/>
          <w:color w:val="000000"/>
        </w:rPr>
        <w:t>segundo momento</w:t>
      </w:r>
      <w:r w:rsidRPr="0086590B">
        <w:rPr>
          <w:rFonts w:ascii="Verdana" w:hAnsi="Verdana" w:eastAsia="Arial"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rsidRPr="0086590B" w:rsidR="005E4749" w:rsidP="00B0648D" w:rsidRDefault="005E4749" w14:paraId="02F32771" w14:textId="77777777">
      <w:pPr>
        <w:spacing w:after="0" w:line="276" w:lineRule="auto"/>
        <w:jc w:val="both"/>
        <w:rPr>
          <w:rFonts w:ascii="Verdana" w:hAnsi="Verdana" w:eastAsia="Arial" w:cs="Arial"/>
          <w:color w:val="000000"/>
        </w:rPr>
      </w:pPr>
    </w:p>
    <w:p w:rsidRPr="0086590B" w:rsidR="005E4749" w:rsidP="005E4749" w:rsidRDefault="005E4749" w14:paraId="453CDA57" w14:textId="77777777">
      <w:pPr>
        <w:spacing w:after="0" w:line="240" w:lineRule="auto"/>
        <w:ind w:left="709" w:right="709"/>
        <w:jc w:val="both"/>
        <w:rPr>
          <w:rFonts w:ascii="Verdana" w:hAnsi="Verdana" w:eastAsia="Arial" w:cs="Arial"/>
          <w:color w:val="000000"/>
          <w:sz w:val="20"/>
          <w:szCs w:val="20"/>
        </w:rPr>
      </w:pPr>
      <w:r w:rsidRPr="0086590B">
        <w:rPr>
          <w:rFonts w:ascii="Verdana" w:hAnsi="Verdana" w:eastAsia="Arial"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rsidRPr="0086590B" w:rsidR="005E4749" w:rsidP="005E4749" w:rsidRDefault="005E4749" w14:paraId="4A910F9A" w14:textId="77777777">
      <w:pPr>
        <w:spacing w:after="0" w:line="240" w:lineRule="auto"/>
        <w:ind w:left="709" w:right="709"/>
        <w:jc w:val="both"/>
        <w:rPr>
          <w:rFonts w:ascii="Verdana" w:hAnsi="Verdana" w:eastAsia="Arial" w:cs="Arial"/>
          <w:color w:val="000000" w:themeColor="text1"/>
          <w:sz w:val="20"/>
          <w:szCs w:val="20"/>
        </w:rPr>
      </w:pPr>
    </w:p>
    <w:p w:rsidRPr="0086590B" w:rsidR="005E4749" w:rsidP="005E4749" w:rsidRDefault="005E4749" w14:paraId="3A10692D" w14:textId="77777777">
      <w:pPr>
        <w:spacing w:after="0" w:line="240" w:lineRule="auto"/>
        <w:ind w:left="709" w:right="709"/>
        <w:jc w:val="both"/>
        <w:rPr>
          <w:rFonts w:ascii="Verdana" w:hAnsi="Verdana" w:eastAsia="Arial" w:cs="Arial"/>
          <w:color w:val="000000"/>
          <w:sz w:val="20"/>
          <w:szCs w:val="20"/>
        </w:rPr>
      </w:pPr>
      <w:r w:rsidRPr="0086590B">
        <w:rPr>
          <w:rFonts w:ascii="Verdana" w:hAnsi="Verdana" w:eastAsia="Arial"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rsidRPr="0086590B" w:rsidR="005E4749" w:rsidP="003F00B1" w:rsidRDefault="005E4749" w14:paraId="229FC236" w14:textId="77777777">
      <w:pPr>
        <w:spacing w:after="0" w:line="276" w:lineRule="auto"/>
        <w:ind w:left="709" w:right="709"/>
        <w:jc w:val="both"/>
        <w:rPr>
          <w:rFonts w:ascii="Verdana" w:hAnsi="Verdana" w:eastAsia="Arial" w:cs="Arial"/>
          <w:color w:val="000000"/>
        </w:rPr>
      </w:pPr>
    </w:p>
    <w:p w:rsidRPr="0086590B" w:rsidR="005E4749" w:rsidP="005E4749" w:rsidRDefault="005E4749" w14:paraId="65EA4371" w14:textId="77777777">
      <w:pPr>
        <w:spacing w:after="0" w:line="276" w:lineRule="auto"/>
        <w:ind w:firstLine="709"/>
        <w:jc w:val="both"/>
        <w:rPr>
          <w:rFonts w:ascii="Verdana" w:hAnsi="Verdana" w:eastAsia="Arial" w:cs="Arial"/>
          <w:color w:val="000000"/>
        </w:rPr>
      </w:pPr>
      <w:r w:rsidRPr="0086590B">
        <w:rPr>
          <w:rFonts w:ascii="Verdana" w:hAnsi="Verdana" w:eastAsia="Arial" w:cs="Arial"/>
          <w:color w:val="000000" w:themeColor="text1"/>
        </w:rPr>
        <w:t xml:space="preserve">Bajo el amparo de esta norma, el régimen jurídico de </w:t>
      </w:r>
      <w:proofErr w:type="spellStart"/>
      <w:r w:rsidRPr="0086590B">
        <w:rPr>
          <w:rFonts w:ascii="Verdana" w:hAnsi="Verdana" w:eastAsia="Arial" w:cs="Arial"/>
          <w:color w:val="000000" w:themeColor="text1"/>
        </w:rPr>
        <w:t>subsanabilidad</w:t>
      </w:r>
      <w:proofErr w:type="spellEnd"/>
      <w:r w:rsidRPr="0086590B">
        <w:rPr>
          <w:rFonts w:ascii="Verdana" w:hAnsi="Verdana" w:eastAsia="Arial" w:cs="Arial"/>
          <w:color w:val="000000" w:themeColor="text1"/>
        </w:rPr>
        <w:t xml:space="preserve"> de las ofertas sufre un cambio fundamental, pues ya no era posible rechazar las ofertas por falta de requisitos o documentos que no fueran “</w:t>
      </w:r>
      <w:r w:rsidRPr="0086590B">
        <w:rPr>
          <w:rFonts w:ascii="Verdana" w:hAnsi="Verdana" w:eastAsia="Arial" w:cs="Arial"/>
          <w:i/>
          <w:color w:val="000000" w:themeColor="text1"/>
        </w:rPr>
        <w:t>necesarios para la comparación de propuestas</w:t>
      </w:r>
      <w:r w:rsidRPr="0086590B">
        <w:rPr>
          <w:rFonts w:ascii="Verdana" w:hAnsi="Verdana" w:eastAsia="Arial"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rsidRPr="0086590B" w:rsidR="005E4749" w:rsidP="005E4749" w:rsidRDefault="005E4749" w14:paraId="672A3E3C"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El artículo 25 numeral 15 de la Ley 80 de 1993 debía leerse en conjunto con otras del EGCAP, particularmente con el artículo 30 numeral 7</w:t>
      </w:r>
      <w:r w:rsidRPr="0086590B">
        <w:rPr>
          <w:rFonts w:ascii="Verdana" w:hAnsi="Verdana" w:eastAsia="Arial" w:cs="Arial"/>
          <w:color w:val="000000"/>
          <w:vertAlign w:val="superscript"/>
        </w:rPr>
        <w:footnoteReference w:id="1"/>
      </w:r>
      <w:r w:rsidRPr="0086590B">
        <w:rPr>
          <w:rFonts w:ascii="Verdana" w:hAnsi="Verdana" w:eastAsia="Arial" w:cs="Arial"/>
          <w:color w:val="000000"/>
        </w:rPr>
        <w:t xml:space="preserve">, que ordena a la entidad señalar un plazo razonable para evaluar las propuestas y pedir a los proponentes, de ser necesario, que aclaren o expliquen aspectos que ofrezcan dudas y resulten indispensables para hacer la evaluación. Con el artículo 30 </w:t>
      </w:r>
      <w:r w:rsidRPr="0086590B">
        <w:rPr>
          <w:rFonts w:ascii="Verdana" w:hAnsi="Verdana" w:eastAsia="Arial" w:cs="Arial"/>
          <w:color w:val="000000"/>
        </w:rPr>
        <w:lastRenderedPageBreak/>
        <w:t>numeral 8</w:t>
      </w:r>
      <w:r w:rsidRPr="0086590B">
        <w:rPr>
          <w:rFonts w:ascii="Verdana" w:hAnsi="Verdana" w:eastAsia="Arial" w:cs="Arial"/>
          <w:color w:val="000000"/>
          <w:vertAlign w:val="superscript"/>
        </w:rPr>
        <w:footnoteReference w:id="2"/>
      </w:r>
      <w:r w:rsidRPr="0086590B">
        <w:rPr>
          <w:rFonts w:ascii="Verdana" w:hAnsi="Verdana" w:eastAsia="Arial" w:cs="Arial"/>
          <w:color w:val="000000"/>
        </w:rPr>
        <w:t xml:space="preserve">, que consagró el término de 5 días hábiles para que los oferentes presenten observaciones al informe de evaluación de las propuestas, sin que sea posible completar, adicionar, modificar o mejorar la oferta. A partir de la lectura integrada de estas tres normas, debía concluirse que con la Ley 80 de 1993 era posible subsanar las propuestas, y la omisión o el error en algún aspecto de </w:t>
      </w:r>
      <w:proofErr w:type="gramStart"/>
      <w:r w:rsidRPr="0086590B">
        <w:rPr>
          <w:rFonts w:ascii="Verdana" w:hAnsi="Verdana" w:eastAsia="Arial" w:cs="Arial"/>
          <w:color w:val="000000"/>
        </w:rPr>
        <w:t>la misma</w:t>
      </w:r>
      <w:proofErr w:type="gramEnd"/>
      <w:r w:rsidRPr="0086590B">
        <w:rPr>
          <w:rFonts w:ascii="Verdana" w:hAnsi="Verdana" w:eastAsia="Arial" w:cs="Arial"/>
          <w:color w:val="000000"/>
        </w:rPr>
        <w:t xml:space="preserve"> no podía llevar a su rechazo, sin antes verificar que lo omitido fuera un aspecto necesario para la comparación. </w:t>
      </w:r>
    </w:p>
    <w:p w:rsidRPr="0086590B" w:rsidR="005E4749" w:rsidP="005E4749" w:rsidRDefault="005E4749" w14:paraId="5AA26B1F" w14:textId="795F540D">
      <w:pPr>
        <w:spacing w:before="120" w:after="0" w:line="276" w:lineRule="auto"/>
        <w:ind w:firstLine="709"/>
        <w:jc w:val="both"/>
        <w:rPr>
          <w:rFonts w:ascii="Verdana" w:hAnsi="Verdana" w:eastAsia="Arial" w:cs="Arial"/>
          <w:color w:val="000000"/>
        </w:rPr>
      </w:pPr>
      <w:r w:rsidRPr="1CDADDD9" w:rsidR="005E4749">
        <w:rPr>
          <w:rFonts w:ascii="Verdana" w:hAnsi="Verdana" w:eastAsia="Arial" w:cs="Arial"/>
          <w:color w:val="000000" w:themeColor="text1" w:themeTint="FF" w:themeShade="FF"/>
        </w:rPr>
        <w:t xml:space="preserve">En un </w:t>
      </w:r>
      <w:r w:rsidRPr="1CDADDD9" w:rsidR="005E4749">
        <w:rPr>
          <w:rFonts w:ascii="Verdana" w:hAnsi="Verdana" w:eastAsia="Arial" w:cs="Arial"/>
          <w:i w:val="1"/>
          <w:iCs w:val="1"/>
          <w:color w:val="000000" w:themeColor="text1" w:themeTint="FF" w:themeShade="FF"/>
        </w:rPr>
        <w:t>tercer momento</w:t>
      </w:r>
      <w:r w:rsidRPr="1CDADDD9" w:rsidR="005E4749">
        <w:rPr>
          <w:rFonts w:ascii="Verdana" w:hAnsi="Verdana" w:eastAsia="Arial" w:cs="Arial"/>
          <w:color w:val="000000" w:themeColor="text1" w:themeTint="FF" w:themeShade="FF"/>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1CDADDD9" w:rsidR="005E4749">
        <w:rPr>
          <w:rFonts w:ascii="Verdana" w:hAnsi="Verdana" w:eastAsia="Arial" w:cs="Arial"/>
          <w:b w:val="1"/>
          <w:bCs w:val="1"/>
          <w:color w:val="000000" w:themeColor="text1" w:themeTint="FF" w:themeShade="FF"/>
        </w:rPr>
        <w:t xml:space="preserve">, </w:t>
      </w:r>
      <w:r w:rsidRPr="1CDADDD9" w:rsidR="005E4749">
        <w:rPr>
          <w:rFonts w:ascii="Verdana" w:hAnsi="Verdana" w:eastAsia="Arial" w:cs="Arial"/>
          <w:color w:val="000000" w:themeColor="text1" w:themeTint="FF" w:themeShade="FF"/>
        </w:rPr>
        <w:t xml:space="preserve">todos aquellos requisitos de la propuesta que no afecten la asignación de </w:t>
      </w:r>
      <w:r w:rsidRPr="1CDADDD9" w:rsidR="00896DAB">
        <w:rPr>
          <w:rFonts w:ascii="Verdana" w:hAnsi="Verdana" w:eastAsia="Arial" w:cs="Arial"/>
          <w:color w:val="000000" w:themeColor="text1" w:themeTint="FF" w:themeShade="FF"/>
        </w:rPr>
        <w:t>puntaje</w:t>
      </w:r>
      <w:r w:rsidRPr="1CDADDD9" w:rsidR="005E4749">
        <w:rPr>
          <w:rFonts w:ascii="Verdana" w:hAnsi="Verdana" w:eastAsia="Arial" w:cs="Arial"/>
          <w:color w:val="000000" w:themeColor="text1" w:themeTint="FF" w:themeShade="FF"/>
        </w:rPr>
        <w:t xml:space="preserve"> podrán ser solicitados por las entidades en cualquier momento, hasta la adjudicación. No </w:t>
      </w:r>
      <w:r w:rsidRPr="1CDADDD9" w:rsidR="74F23851">
        <w:rPr>
          <w:rFonts w:ascii="Verdana" w:hAnsi="Verdana" w:eastAsia="Arial" w:cs="Arial"/>
          <w:color w:val="000000" w:themeColor="text1" w:themeTint="FF" w:themeShade="FF"/>
        </w:rPr>
        <w:t>obstante,</w:t>
      </w:r>
      <w:r w:rsidRPr="1CDADDD9" w:rsidR="005E4749">
        <w:rPr>
          <w:rFonts w:ascii="Verdana" w:hAnsi="Verdana" w:eastAsia="Arial" w:cs="Arial"/>
          <w:color w:val="000000" w:themeColor="text1" w:themeTint="FF" w:themeShade="FF"/>
        </w:rPr>
        <w:t xml:space="preserve"> lo anterior, en aquellos procesos de selección en los que se utilice el mecanismo de subasta, deberán ser solicitados hasta el momento previo a su realización”. </w:t>
      </w:r>
    </w:p>
    <w:p w:rsidRPr="0086590B" w:rsidR="005E4749" w:rsidP="005E4749" w:rsidRDefault="005E4749" w14:paraId="23F4709C"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rsidRPr="0086590B" w:rsidR="005E4749" w:rsidP="005E4749" w:rsidRDefault="005E4749" w14:paraId="7390DD2C"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El artículo 5 de la Ley 1150 de 2007, además de consagrar un criterio más claro, y, de paso, reducir la discrecionalidad de la Administración, fijó un ámbito </w:t>
      </w:r>
      <w:r w:rsidRPr="0086590B">
        <w:rPr>
          <w:rFonts w:ascii="Verdana" w:hAnsi="Verdana" w:eastAsia="Arial" w:cs="Arial"/>
          <w:color w:val="000000"/>
        </w:rPr>
        <w:lastRenderedPageBreak/>
        <w:t>temporal para la subsanación de las ofertas: “</w:t>
      </w:r>
      <w:r w:rsidRPr="0086590B">
        <w:rPr>
          <w:rFonts w:ascii="Verdana" w:hAnsi="Verdana" w:eastAsia="Arial" w:cs="Arial"/>
          <w:i/>
          <w:color w:val="000000"/>
        </w:rPr>
        <w:t>en cualquier momento, hasta la adjudicación</w:t>
      </w:r>
      <w:r w:rsidRPr="0086590B">
        <w:rPr>
          <w:rFonts w:ascii="Verdana" w:hAnsi="Verdana" w:eastAsia="Arial"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rsidRPr="0086590B" w:rsidR="005E4749" w:rsidP="005E4749" w:rsidRDefault="005E4749" w14:paraId="1781CC49" w14:textId="77777777">
      <w:pPr>
        <w:spacing w:after="0" w:line="240" w:lineRule="auto"/>
        <w:jc w:val="both"/>
        <w:rPr>
          <w:rFonts w:ascii="Verdana" w:hAnsi="Verdana" w:eastAsia="Arial" w:cs="Arial"/>
          <w:color w:val="000000"/>
        </w:rPr>
      </w:pPr>
    </w:p>
    <w:p w:rsidRPr="0086590B" w:rsidR="005E4749" w:rsidP="005E4749" w:rsidRDefault="005E4749" w14:paraId="6986C430" w14:textId="77777777">
      <w:pPr>
        <w:spacing w:after="0" w:line="240" w:lineRule="auto"/>
        <w:ind w:left="709" w:right="709"/>
        <w:jc w:val="both"/>
        <w:rPr>
          <w:rFonts w:ascii="Verdana" w:hAnsi="Verdana" w:eastAsia="Arial" w:cs="Arial"/>
          <w:color w:val="000000"/>
          <w:sz w:val="20"/>
          <w:szCs w:val="20"/>
        </w:rPr>
      </w:pPr>
      <w:r w:rsidRPr="0086590B">
        <w:rPr>
          <w:rFonts w:ascii="Verdana" w:hAnsi="Verdana" w:eastAsia="Arial" w:cs="Arial"/>
          <w:color w:val="000000"/>
          <w:sz w:val="20"/>
          <w:szCs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86590B">
        <w:rPr>
          <w:rFonts w:ascii="Verdana" w:hAnsi="Verdana" w:eastAsia="Arial" w:cs="Arial"/>
          <w:color w:val="000000"/>
          <w:sz w:val="20"/>
          <w:szCs w:val="20"/>
          <w:vertAlign w:val="superscript"/>
        </w:rPr>
        <w:footnoteReference w:id="3"/>
      </w:r>
      <w:r w:rsidRPr="0086590B">
        <w:rPr>
          <w:rFonts w:ascii="Verdana" w:hAnsi="Verdana" w:eastAsia="Arial" w:cs="Arial"/>
          <w:color w:val="000000"/>
          <w:sz w:val="20"/>
          <w:szCs w:val="20"/>
        </w:rPr>
        <w:t>.</w:t>
      </w:r>
    </w:p>
    <w:p w:rsidRPr="0086590B" w:rsidR="005E4749" w:rsidP="005E4749" w:rsidRDefault="005E4749" w14:paraId="72216410" w14:textId="77777777">
      <w:pPr>
        <w:spacing w:after="0" w:line="240" w:lineRule="auto"/>
        <w:ind w:left="709" w:right="709"/>
        <w:jc w:val="both"/>
        <w:rPr>
          <w:rFonts w:ascii="Verdana" w:hAnsi="Verdana" w:eastAsia="Arial" w:cs="Arial"/>
          <w:color w:val="000000"/>
          <w:sz w:val="20"/>
          <w:szCs w:val="20"/>
        </w:rPr>
      </w:pPr>
    </w:p>
    <w:p w:rsidRPr="0086590B" w:rsidR="005E4749" w:rsidP="005E4749" w:rsidRDefault="005E4749" w14:paraId="0608B8F8" w14:textId="77777777">
      <w:pPr>
        <w:pBdr>
          <w:top w:val="nil"/>
          <w:left w:val="nil"/>
          <w:bottom w:val="nil"/>
          <w:right w:val="nil"/>
          <w:between w:val="nil"/>
        </w:pBdr>
        <w:tabs>
          <w:tab w:val="left" w:pos="284"/>
        </w:tabs>
        <w:spacing w:after="0" w:line="276" w:lineRule="auto"/>
        <w:ind w:firstLine="709"/>
        <w:jc w:val="both"/>
        <w:rPr>
          <w:rFonts w:ascii="Verdana" w:hAnsi="Verdana" w:eastAsia="Arial" w:cs="Arial"/>
          <w:color w:val="000000"/>
        </w:rPr>
      </w:pPr>
      <w:r w:rsidRPr="0086590B">
        <w:rPr>
          <w:rFonts w:ascii="Verdana" w:hAnsi="Verdana" w:eastAsia="Arial" w:cs="Arial"/>
          <w:color w:val="000000"/>
        </w:rPr>
        <w:t>Esa interpretación fue compartida por la Agencia Nacional de Contratación Pública – Colombia Compra Eficiente, pues en la Circular Externa Única</w:t>
      </w:r>
      <w:r w:rsidRPr="0086590B">
        <w:rPr>
          <w:rStyle w:val="Refdenotaalpie"/>
          <w:rFonts w:ascii="Verdana" w:hAnsi="Verdana" w:eastAsia="Arial" w:cs="Arial"/>
          <w:color w:val="000000"/>
        </w:rPr>
        <w:footnoteReference w:id="4"/>
      </w:r>
      <w:r w:rsidRPr="0086590B">
        <w:rPr>
          <w:rFonts w:ascii="Verdana" w:hAnsi="Verdana" w:eastAsia="Arial" w:cs="Arial"/>
          <w:color w:val="000000"/>
        </w:rPr>
        <w:t xml:space="preserve"> se había precisado que, si durante un proceso de contratación hay proponentes que no acreditaron en sus ofertas requisitos que no afectan la asignación de puntaje o la comparación de </w:t>
      </w:r>
      <w:proofErr w:type="gramStart"/>
      <w:r w:rsidRPr="0086590B">
        <w:rPr>
          <w:rFonts w:ascii="Verdana" w:hAnsi="Verdana" w:eastAsia="Arial" w:cs="Arial"/>
          <w:color w:val="000000"/>
        </w:rPr>
        <w:t>las mismas</w:t>
      </w:r>
      <w:proofErr w:type="gramEnd"/>
      <w:r w:rsidRPr="0086590B">
        <w:rPr>
          <w:rFonts w:ascii="Verdana" w:hAnsi="Verdana" w:eastAsia="Arial" w:cs="Arial"/>
          <w:color w:val="000000"/>
        </w:rPr>
        <w:t>, la entidad estatal deberá indicarlo en el informe de evaluación y advertir que la correspondiente oferta no será evaluada hasta que se subsane.</w:t>
      </w:r>
    </w:p>
    <w:p w:rsidRPr="0086590B" w:rsidR="005E4749" w:rsidP="005E4749" w:rsidRDefault="005E4749" w14:paraId="17ACBF03"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En un </w:t>
      </w:r>
      <w:r w:rsidRPr="0086590B">
        <w:rPr>
          <w:rFonts w:ascii="Verdana" w:hAnsi="Verdana" w:eastAsia="Arial" w:cs="Arial"/>
          <w:i/>
          <w:color w:val="000000"/>
        </w:rPr>
        <w:t>cuarto momento</w:t>
      </w:r>
      <w:r w:rsidRPr="0086590B">
        <w:rPr>
          <w:rFonts w:ascii="Verdana" w:hAnsi="Verdana" w:eastAsia="Arial"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w:t>
      </w:r>
      <w:r w:rsidRPr="0086590B">
        <w:rPr>
          <w:rFonts w:ascii="Verdana" w:hAnsi="Verdana" w:eastAsia="Arial" w:cs="Arial"/>
          <w:color w:val="000000"/>
        </w:rPr>
        <w:lastRenderedPageBreak/>
        <w:t xml:space="preserve">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rsidRPr="0086590B" w:rsidR="005E4749" w:rsidP="005E4749" w:rsidRDefault="005E4749" w14:paraId="5928A36A"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86590B">
        <w:rPr>
          <w:rFonts w:ascii="Verdana" w:hAnsi="Verdana" w:eastAsia="Arial" w:cs="Arial"/>
          <w:color w:val="000000"/>
        </w:rPr>
        <w:t>ii</w:t>
      </w:r>
      <w:proofErr w:type="spellEnd"/>
      <w:r w:rsidRPr="0086590B">
        <w:rPr>
          <w:rFonts w:ascii="Verdana" w:hAnsi="Verdana" w:eastAsia="Arial" w:cs="Arial"/>
          <w:color w:val="000000"/>
        </w:rPr>
        <w:t xml:space="preserve">) mantiene el criterio aclaratorio de la Ley 1150 de 2007, según el cual todo lo que no afecte la asignación de puntaje puede subsanarse e </w:t>
      </w:r>
      <w:proofErr w:type="spellStart"/>
      <w:r w:rsidRPr="0086590B">
        <w:rPr>
          <w:rFonts w:ascii="Verdana" w:hAnsi="Verdana" w:eastAsia="Arial" w:cs="Arial"/>
          <w:color w:val="000000"/>
        </w:rPr>
        <w:t>iii</w:t>
      </w:r>
      <w:proofErr w:type="spellEnd"/>
      <w:r w:rsidRPr="0086590B">
        <w:rPr>
          <w:rFonts w:ascii="Verdana" w:hAnsi="Verdana" w:eastAsia="Arial" w:cs="Arial"/>
          <w:color w:val="000000"/>
        </w:rPr>
        <w:t xml:space="preserve">) introduce modificaciones en relación con algunos aspectos que se analizarán a continuación. </w:t>
      </w:r>
    </w:p>
    <w:p w:rsidRPr="0086590B" w:rsidR="005E4749" w:rsidP="005E4749" w:rsidRDefault="005E4749" w14:paraId="071204BC"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86590B">
        <w:rPr>
          <w:rFonts w:ascii="Verdana" w:hAnsi="Verdana" w:eastAsia="Arial" w:cs="Arial"/>
          <w:color w:val="000000"/>
          <w:vertAlign w:val="superscript"/>
        </w:rPr>
        <w:footnoteReference w:id="5"/>
      </w:r>
      <w:r w:rsidRPr="0086590B">
        <w:rPr>
          <w:rFonts w:ascii="Verdana" w:hAnsi="Verdana" w:eastAsia="Arial" w:cs="Arial"/>
          <w:color w:val="000000"/>
        </w:rPr>
        <w:t>; en el último, los documentos o requisitos subsanables pueden y deben solicitarse hasta el momento previo a su realización.</w:t>
      </w:r>
    </w:p>
    <w:p w:rsidRPr="0086590B" w:rsidR="005E4749" w:rsidP="005E4749" w:rsidRDefault="005E4749" w14:paraId="594C5100"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w:t>
      </w:r>
      <w:r w:rsidRPr="0086590B">
        <w:rPr>
          <w:rFonts w:ascii="Verdana" w:hAnsi="Verdana" w:eastAsia="Arial" w:cs="Arial"/>
          <w:color w:val="000000"/>
        </w:rPr>
        <w:lastRenderedPageBreak/>
        <w:t xml:space="preserve">traslado del informe de evaluación que corresponda a cada modalidad de selección”. </w:t>
      </w:r>
    </w:p>
    <w:p w:rsidRPr="0086590B" w:rsidR="005E4749" w:rsidP="005E4749" w:rsidRDefault="005E4749" w14:paraId="5FCC4963"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86590B">
        <w:rPr>
          <w:rFonts w:ascii="Verdana" w:hAnsi="Verdana" w:eastAsia="Arial" w:cs="Arial"/>
          <w:color w:val="000000"/>
        </w:rPr>
        <w:t>subsanabilidad</w:t>
      </w:r>
      <w:proofErr w:type="spellEnd"/>
      <w:r w:rsidRPr="0086590B">
        <w:rPr>
          <w:rFonts w:ascii="Verdana" w:hAnsi="Verdana" w:eastAsia="Arial" w:cs="Arial"/>
          <w:color w:val="000000"/>
        </w:rPr>
        <w:t xml:space="preserve"> de las ofertas. </w:t>
      </w:r>
      <w:r w:rsidRPr="0086590B">
        <w:rPr>
          <w:rFonts w:ascii="Verdana" w:hAnsi="Verdana" w:eastAsia="Arial" w:cs="Arial"/>
          <w:i/>
          <w:color w:val="000000"/>
        </w:rPr>
        <w:t>Primera</w:t>
      </w:r>
      <w:r w:rsidRPr="0086590B">
        <w:rPr>
          <w:rFonts w:ascii="Verdana" w:hAnsi="Verdana" w:eastAsia="Arial"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86590B">
        <w:rPr>
          <w:rFonts w:ascii="Verdana" w:hAnsi="Verdana" w:eastAsia="Arial" w:cs="Arial"/>
          <w:i/>
          <w:color w:val="000000"/>
        </w:rPr>
        <w:t>segunda</w:t>
      </w:r>
      <w:r w:rsidRPr="0086590B">
        <w:rPr>
          <w:rFonts w:ascii="Verdana" w:hAnsi="Verdana" w:eastAsia="Arial" w:cs="Arial"/>
          <w:color w:val="000000"/>
        </w:rPr>
        <w:t xml:space="preserve">, que el término del traslado del informe de evaluación es el límite para la subsanación de ofertas, pero no el único momento para hacerlo. </w:t>
      </w:r>
    </w:p>
    <w:p w:rsidRPr="0086590B" w:rsidR="005E4749" w:rsidP="005E4749" w:rsidRDefault="005E4749" w14:paraId="3B283361"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rsidRPr="0086590B" w:rsidR="005E4749" w:rsidP="005E4749" w:rsidRDefault="005E4749" w14:paraId="1047F6F8"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rsidRPr="0086590B" w:rsidR="005E4749" w:rsidP="005E4749" w:rsidRDefault="005E4749" w14:paraId="33DA3CB2"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w:t>
      </w:r>
      <w:r w:rsidRPr="0086590B">
        <w:rPr>
          <w:rFonts w:ascii="Verdana" w:hAnsi="Verdana" w:eastAsia="Arial" w:cs="Arial"/>
          <w:color w:val="000000"/>
        </w:rPr>
        <w:lastRenderedPageBreak/>
        <w:t xml:space="preserve">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rsidRPr="0086590B" w:rsidR="005E4749" w:rsidP="005E4749" w:rsidRDefault="005E4749" w14:paraId="56573FC5"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86590B">
        <w:rPr>
          <w:rFonts w:ascii="Verdana" w:hAnsi="Verdana" w:eastAsia="Arial" w:cs="Arial"/>
          <w:b/>
          <w:i/>
          <w:color w:val="000000"/>
        </w:rPr>
        <w:t>.</w:t>
      </w:r>
      <w:r w:rsidRPr="0086590B">
        <w:rPr>
          <w:rFonts w:ascii="Verdana" w:hAnsi="Verdana" w:eastAsia="Arial" w:cs="Arial"/>
          <w:b/>
          <w:color w:val="000000"/>
        </w:rPr>
        <w:t xml:space="preserve"> </w:t>
      </w:r>
      <w:r w:rsidRPr="0086590B">
        <w:rPr>
          <w:rFonts w:ascii="Verdana" w:hAnsi="Verdana" w:eastAsia="Arial" w:cs="Arial"/>
          <w:color w:val="000000"/>
        </w:rPr>
        <w:t xml:space="preserve">Lo anterior ofrece dos aspectos que merecen clarificación: </w:t>
      </w:r>
      <w:r w:rsidRPr="0086590B">
        <w:rPr>
          <w:rFonts w:ascii="Verdana" w:hAnsi="Verdana" w:eastAsia="Arial" w:cs="Arial"/>
          <w:i/>
          <w:color w:val="000000"/>
        </w:rPr>
        <w:t>primero</w:t>
      </w:r>
      <w:r w:rsidRPr="0086590B">
        <w:rPr>
          <w:rFonts w:ascii="Verdana" w:hAnsi="Verdana" w:eastAsia="Arial" w:cs="Arial"/>
          <w:color w:val="000000"/>
        </w:rPr>
        <w:t xml:space="preserve">, qué debe entenderse por circunstancias ocurridas con posterioridad; y </w:t>
      </w:r>
      <w:r w:rsidRPr="0086590B">
        <w:rPr>
          <w:rFonts w:ascii="Verdana" w:hAnsi="Verdana" w:eastAsia="Arial" w:cs="Arial"/>
          <w:i/>
          <w:color w:val="000000"/>
        </w:rPr>
        <w:t>segundo</w:t>
      </w:r>
      <w:r w:rsidRPr="0086590B">
        <w:rPr>
          <w:rFonts w:ascii="Verdana" w:hAnsi="Verdana" w:eastAsia="Arial" w:cs="Arial"/>
          <w:color w:val="000000"/>
        </w:rPr>
        <w:t>, qué es el cierre del proceso.</w:t>
      </w:r>
    </w:p>
    <w:p w:rsidRPr="0086590B" w:rsidR="005E4749" w:rsidP="005E4749" w:rsidRDefault="005E4749" w14:paraId="6C3650DD" w14:textId="77777777">
      <w:pPr>
        <w:pBdr>
          <w:top w:val="nil"/>
          <w:left w:val="nil"/>
          <w:bottom w:val="nil"/>
          <w:right w:val="nil"/>
          <w:between w:val="nil"/>
        </w:pBdr>
        <w:tabs>
          <w:tab w:val="left" w:pos="284"/>
        </w:tabs>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La Sala de Consulta y Servicio Civil del Consejo de Estado ya había tenido la oportunidad de precisar estas expresiones, a propósito de un concepto en el que se refirió al artículo 10 del derogado Decreto 2474 de 2008</w:t>
      </w:r>
      <w:r w:rsidRPr="0086590B">
        <w:rPr>
          <w:rFonts w:ascii="Verdana" w:hAnsi="Verdana" w:eastAsia="Arial" w:cs="Arial"/>
          <w:color w:val="000000"/>
          <w:vertAlign w:val="superscript"/>
        </w:rPr>
        <w:footnoteReference w:id="6"/>
      </w:r>
      <w:r w:rsidRPr="0086590B">
        <w:rPr>
          <w:rFonts w:ascii="Verdana" w:hAnsi="Verdana" w:eastAsia="Arial"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rsidRPr="0086590B" w:rsidR="005E4749" w:rsidP="005E4749" w:rsidRDefault="005E4749" w14:paraId="7AC9287D" w14:textId="77777777">
      <w:pPr>
        <w:spacing w:after="0" w:line="240" w:lineRule="auto"/>
        <w:ind w:left="709" w:right="709"/>
        <w:jc w:val="both"/>
        <w:rPr>
          <w:rFonts w:ascii="Verdana" w:hAnsi="Verdana" w:eastAsia="Arial" w:cs="Arial"/>
          <w:color w:val="000000"/>
        </w:rPr>
      </w:pPr>
    </w:p>
    <w:p w:rsidRPr="0086590B" w:rsidR="005E4749" w:rsidP="005E4749" w:rsidRDefault="005E4749" w14:paraId="12234D82" w14:textId="77777777">
      <w:pPr>
        <w:spacing w:after="120" w:line="240" w:lineRule="auto"/>
        <w:ind w:left="709" w:right="709"/>
        <w:jc w:val="both"/>
        <w:rPr>
          <w:rFonts w:ascii="Verdana" w:hAnsi="Verdana" w:eastAsia="Arial" w:cs="Arial"/>
          <w:color w:val="000000"/>
          <w:sz w:val="20"/>
          <w:szCs w:val="20"/>
        </w:rPr>
      </w:pPr>
      <w:r w:rsidRPr="0086590B">
        <w:rPr>
          <w:rFonts w:ascii="Verdana" w:hAnsi="Verdana" w:eastAsia="Arial" w:cs="Arial"/>
          <w:color w:val="000000"/>
          <w:sz w:val="20"/>
          <w:szCs w:val="20"/>
        </w:rPr>
        <w:lastRenderedPageBreak/>
        <w:t xml:space="preserve">“Sin embargo, debe tenerse en cuenta que la última norma en cita -Decreto 2474 de 2008, aparte subrayado-, establece un límite a la </w:t>
      </w:r>
      <w:proofErr w:type="spellStart"/>
      <w:r w:rsidRPr="0086590B">
        <w:rPr>
          <w:rFonts w:ascii="Verdana" w:hAnsi="Verdana" w:eastAsia="Arial" w:cs="Arial"/>
          <w:color w:val="000000"/>
          <w:sz w:val="20"/>
          <w:szCs w:val="20"/>
        </w:rPr>
        <w:t>subsanabilidad</w:t>
      </w:r>
      <w:proofErr w:type="spellEnd"/>
      <w:r w:rsidRPr="0086590B">
        <w:rPr>
          <w:rFonts w:ascii="Verdana" w:hAnsi="Verdana" w:eastAsia="Arial" w:cs="Arial"/>
          <w:color w:val="000000"/>
          <w:sz w:val="20"/>
          <w:szCs w:val="20"/>
        </w:rPr>
        <w:t>, puesto que en cualquier caso debe referirse o recaer sobre circunstancias ocurridas antes del cierre del respectivo proceso, esto es, del vencimiento del plazo para presentar ofertas.</w:t>
      </w:r>
    </w:p>
    <w:p w:rsidRPr="0086590B" w:rsidR="005E4749" w:rsidP="005E4749" w:rsidRDefault="005E4749" w14:paraId="6F611EB5" w14:textId="77777777">
      <w:pPr>
        <w:spacing w:after="0" w:line="240" w:lineRule="auto"/>
        <w:ind w:left="709" w:right="709"/>
        <w:jc w:val="both"/>
        <w:rPr>
          <w:rFonts w:ascii="Verdana" w:hAnsi="Verdana" w:eastAsia="Arial" w:cs="Arial"/>
          <w:color w:val="000000"/>
          <w:sz w:val="20"/>
          <w:szCs w:val="20"/>
        </w:rPr>
      </w:pPr>
      <w:r w:rsidRPr="0086590B">
        <w:rPr>
          <w:rFonts w:ascii="Verdana" w:hAnsi="Verdana" w:eastAsia="Arial"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086590B">
        <w:rPr>
          <w:rFonts w:ascii="Verdana" w:hAnsi="Verdana" w:eastAsia="Arial" w:cs="Arial"/>
          <w:color w:val="000000"/>
          <w:sz w:val="20"/>
          <w:szCs w:val="20"/>
        </w:rPr>
        <w:t>la misma</w:t>
      </w:r>
      <w:proofErr w:type="gramEnd"/>
      <w:r w:rsidRPr="0086590B">
        <w:rPr>
          <w:rFonts w:ascii="Verdana" w:hAnsi="Verdana" w:eastAsia="Arial" w:cs="Arial"/>
          <w:color w:val="000000"/>
          <w:sz w:val="20"/>
          <w:szCs w:val="20"/>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086590B">
        <w:rPr>
          <w:rFonts w:ascii="Verdana" w:hAnsi="Verdana" w:eastAsia="Arial" w:cs="Arial"/>
          <w:color w:val="000000"/>
          <w:sz w:val="20"/>
          <w:szCs w:val="20"/>
        </w:rPr>
        <w:t>del mismo</w:t>
      </w:r>
      <w:proofErr w:type="gramEnd"/>
      <w:r w:rsidRPr="0086590B">
        <w:rPr>
          <w:rFonts w:ascii="Verdana" w:hAnsi="Verdana" w:eastAsia="Arial" w:cs="Arial"/>
          <w:color w:val="000000"/>
          <w:sz w:val="20"/>
          <w:szCs w:val="20"/>
        </w:rPr>
        <w:t xml:space="preserve"> o lo actualice, pero no para que se constituya la sociedad con posterioridad al cierre del proceso, pues si ello no se había hecho, significa simplemente que el oferente no tenía la condición para participar”</w:t>
      </w:r>
      <w:r w:rsidRPr="0086590B">
        <w:rPr>
          <w:rFonts w:ascii="Verdana" w:hAnsi="Verdana" w:eastAsia="Arial" w:cs="Arial"/>
          <w:color w:val="000000"/>
          <w:sz w:val="20"/>
          <w:szCs w:val="20"/>
          <w:vertAlign w:val="superscript"/>
        </w:rPr>
        <w:footnoteReference w:id="7"/>
      </w:r>
      <w:r w:rsidRPr="0086590B">
        <w:rPr>
          <w:rFonts w:ascii="Verdana" w:hAnsi="Verdana" w:eastAsia="Arial" w:cs="Arial"/>
          <w:color w:val="000000"/>
          <w:sz w:val="20"/>
          <w:szCs w:val="20"/>
        </w:rPr>
        <w:t>.</w:t>
      </w:r>
    </w:p>
    <w:p w:rsidRPr="0086590B" w:rsidR="005E4749" w:rsidP="005E4749" w:rsidRDefault="005E4749" w14:paraId="7BE40594" w14:textId="77777777">
      <w:pPr>
        <w:spacing w:after="0" w:line="240" w:lineRule="auto"/>
        <w:ind w:left="709" w:right="709"/>
        <w:jc w:val="both"/>
        <w:rPr>
          <w:rFonts w:ascii="Verdana" w:hAnsi="Verdana" w:eastAsia="Arial" w:cs="Arial"/>
          <w:color w:val="000000"/>
        </w:rPr>
      </w:pPr>
    </w:p>
    <w:p w:rsidRPr="0086590B" w:rsidR="005E4749" w:rsidP="005E4749" w:rsidRDefault="005E4749" w14:paraId="75B6FA78" w14:textId="77777777">
      <w:pPr>
        <w:spacing w:after="0" w:line="276" w:lineRule="auto"/>
        <w:ind w:firstLine="709"/>
        <w:jc w:val="both"/>
        <w:rPr>
          <w:rFonts w:ascii="Verdana" w:hAnsi="Verdana" w:eastAsia="Arial" w:cs="Arial"/>
          <w:color w:val="000000"/>
        </w:rPr>
      </w:pPr>
      <w:r w:rsidRPr="0086590B">
        <w:rPr>
          <w:rFonts w:ascii="Verdana" w:hAnsi="Verdana" w:eastAsia="Arial"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rsidRPr="0086590B" w:rsidR="005E4749" w:rsidP="005E4749" w:rsidRDefault="005E4749" w14:paraId="07B3C99B"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86590B">
        <w:rPr>
          <w:rFonts w:ascii="Verdana" w:hAnsi="Verdana" w:eastAsia="Arial" w:cs="Arial"/>
          <w:color w:val="000000"/>
        </w:rPr>
        <w:t>subsanabilidad</w:t>
      </w:r>
      <w:proofErr w:type="spellEnd"/>
      <w:r w:rsidRPr="0086590B">
        <w:rPr>
          <w:rFonts w:ascii="Verdana" w:hAnsi="Verdana" w:eastAsia="Arial" w:cs="Arial"/>
          <w:color w:val="000000"/>
        </w:rPr>
        <w:t xml:space="preserve"> de las ofertas, una cosa es el requisito habilitante o el elemento de la propuesta y otra su prueba. Lo que prohíbe la norma es que se subsanen requisitos que no estaban cumplidos al momento de presentar la oferta, o en </w:t>
      </w:r>
      <w:r w:rsidRPr="0086590B">
        <w:rPr>
          <w:rFonts w:ascii="Verdana" w:hAnsi="Verdana" w:eastAsia="Arial" w:cs="Arial"/>
          <w:color w:val="000000"/>
        </w:rPr>
        <w:lastRenderedPageBreak/>
        <w:t xml:space="preserve">palabras de la ley, que se acrediten hechos que ocurrieron después del cierre del proceso. </w:t>
      </w:r>
    </w:p>
    <w:p w:rsidRPr="0086590B" w:rsidR="005E4749" w:rsidP="005E4749" w:rsidRDefault="005E4749" w14:paraId="1749E41A"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86590B">
        <w:rPr>
          <w:rFonts w:ascii="Verdana" w:hAnsi="Verdana" w:eastAsia="Arial" w:cs="Arial"/>
          <w:color w:val="000000"/>
        </w:rPr>
        <w:t>ii</w:t>
      </w:r>
      <w:proofErr w:type="spellEnd"/>
      <w:r w:rsidRPr="0086590B">
        <w:rPr>
          <w:rFonts w:ascii="Verdana" w:hAnsi="Verdana" w:eastAsia="Arial"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86590B">
        <w:rPr>
          <w:rFonts w:ascii="Verdana" w:hAnsi="Verdana" w:eastAsia="Arial" w:cs="Arial"/>
          <w:color w:val="000000"/>
          <w:vertAlign w:val="superscript"/>
        </w:rPr>
        <w:footnoteReference w:id="8"/>
      </w:r>
      <w:r w:rsidRPr="0086590B">
        <w:rPr>
          <w:rFonts w:ascii="Verdana" w:hAnsi="Verdana" w:eastAsia="Arial" w:cs="Arial"/>
          <w:color w:val="000000"/>
        </w:rPr>
        <w:t xml:space="preserve">; </w:t>
      </w:r>
      <w:proofErr w:type="spellStart"/>
      <w:r w:rsidRPr="0086590B">
        <w:rPr>
          <w:rFonts w:ascii="Verdana" w:hAnsi="Verdana" w:eastAsia="Arial" w:cs="Arial"/>
          <w:color w:val="000000"/>
        </w:rPr>
        <w:t>iii</w:t>
      </w:r>
      <w:proofErr w:type="spellEnd"/>
      <w:r w:rsidRPr="0086590B">
        <w:rPr>
          <w:rFonts w:ascii="Verdana" w:hAnsi="Verdana" w:eastAsia="Arial" w:cs="Arial"/>
          <w:color w:val="000000"/>
        </w:rPr>
        <w:t>) si un oferente no anexó el certificado de existencia y representación legal, el documento aportado con posterioridad debe dar cuenta de que la sociedad existe desde antes del cierre del proceso</w:t>
      </w:r>
      <w:r w:rsidRPr="0086590B">
        <w:rPr>
          <w:rFonts w:ascii="Verdana" w:hAnsi="Verdana" w:eastAsia="Arial" w:cs="Arial"/>
          <w:color w:val="000000"/>
          <w:vertAlign w:val="superscript"/>
        </w:rPr>
        <w:footnoteReference w:id="9"/>
      </w:r>
      <w:r w:rsidRPr="0086590B">
        <w:rPr>
          <w:rFonts w:ascii="Verdana" w:hAnsi="Verdana" w:eastAsia="Arial" w:cs="Arial"/>
          <w:color w:val="000000"/>
        </w:rPr>
        <w:t xml:space="preserve">; </w:t>
      </w:r>
      <w:proofErr w:type="spellStart"/>
      <w:r w:rsidRPr="0086590B">
        <w:rPr>
          <w:rFonts w:ascii="Verdana" w:hAnsi="Verdana" w:eastAsia="Arial" w:cs="Arial"/>
          <w:color w:val="000000"/>
        </w:rPr>
        <w:t>iv</w:t>
      </w:r>
      <w:proofErr w:type="spellEnd"/>
      <w:r w:rsidRPr="0086590B">
        <w:rPr>
          <w:rFonts w:ascii="Verdana" w:hAnsi="Verdana" w:eastAsia="Arial" w:cs="Arial"/>
          <w:color w:val="000000"/>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o vi) si el oferente olvidó firmar la propuesta o presentar una copia de ella, puede subsanar sin que se entienda que acreditó una circunstancia ocurrida con posterioridad al cierre del proceso. </w:t>
      </w:r>
    </w:p>
    <w:p w:rsidRPr="0086590B" w:rsidR="005E4749" w:rsidP="005E4749" w:rsidRDefault="005E4749" w14:paraId="08C0740B"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86590B">
        <w:rPr>
          <w:rFonts w:ascii="Verdana" w:hAnsi="Verdana" w:eastAsia="Arial" w:cs="Arial"/>
          <w:color w:val="000000"/>
        </w:rPr>
        <w:t>que</w:t>
      </w:r>
      <w:proofErr w:type="gramEnd"/>
      <w:r w:rsidRPr="0086590B">
        <w:rPr>
          <w:rFonts w:ascii="Verdana" w:hAnsi="Verdana" w:eastAsia="Arial" w:cs="Arial"/>
          <w:color w:val="000000"/>
        </w:rPr>
        <w:t xml:space="preserve"> el Consejo de Estado sostiene que “lo que se subsana es la prueba y no la condición habilitante o un elemento de la propuesta (...) lo </w:t>
      </w:r>
      <w:r w:rsidRPr="0086590B">
        <w:rPr>
          <w:rFonts w:ascii="Verdana" w:hAnsi="Verdana" w:eastAsia="Arial" w:cs="Arial"/>
          <w:color w:val="000000"/>
        </w:rPr>
        <w:lastRenderedPageBreak/>
        <w:t>que se puede remediar es la prueba y no el requisito: La posibilidad debe recaer exclusivamente sobre circunstancias acaecidas antes del cierre del respectivo proceso, esto es, del vencimiento del plazo para presentar ofertas”</w:t>
      </w:r>
      <w:r w:rsidRPr="0086590B">
        <w:rPr>
          <w:rFonts w:ascii="Verdana" w:hAnsi="Verdana" w:eastAsia="Arial" w:cs="Arial"/>
          <w:color w:val="000000"/>
          <w:vertAlign w:val="superscript"/>
        </w:rPr>
        <w:footnoteReference w:id="10"/>
      </w:r>
      <w:r w:rsidRPr="0086590B">
        <w:rPr>
          <w:rFonts w:ascii="Verdana" w:hAnsi="Verdana" w:eastAsia="Arial" w:cs="Arial"/>
          <w:color w:val="000000"/>
        </w:rPr>
        <w:t xml:space="preserve">. </w:t>
      </w:r>
    </w:p>
    <w:p w:rsidRPr="0086590B" w:rsidR="00972A15" w:rsidP="00972A15" w:rsidRDefault="005E4749" w14:paraId="3FA338E9"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rsidRPr="0086590B" w:rsidR="005E4749" w:rsidP="00B3559E" w:rsidRDefault="005E4749" w14:paraId="19D8EF9B" w14:textId="67EEF3E3">
      <w:pPr>
        <w:spacing w:before="120" w:after="0" w:line="276" w:lineRule="auto"/>
        <w:ind w:firstLine="709"/>
        <w:jc w:val="both"/>
        <w:rPr>
          <w:rFonts w:ascii="Verdana" w:hAnsi="Verdana" w:eastAsia="Calibri" w:cs="Arial"/>
        </w:rPr>
      </w:pPr>
      <w:r w:rsidRPr="0086590B">
        <w:rPr>
          <w:rFonts w:ascii="Verdana" w:hAnsi="Verdana" w:eastAsia="Calibri" w:cs="Arial"/>
        </w:rPr>
        <w:t>Por otro lado, el Manual para determinar y verificar los requisitos habilitantes en los Procesos de Contratación, elaborado por Colombia Compra Eficiente</w:t>
      </w:r>
      <w:r w:rsidRPr="0086590B">
        <w:rPr>
          <w:rStyle w:val="Refdenotaalpie"/>
          <w:rFonts w:ascii="Verdana" w:hAnsi="Verdana" w:eastAsia="Calibri" w:cs="Arial"/>
        </w:rPr>
        <w:footnoteReference w:id="11"/>
      </w:r>
      <w:r w:rsidRPr="0086590B">
        <w:rPr>
          <w:rFonts w:ascii="Verdana" w:hAnsi="Verdana" w:eastAsia="Calibri"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w:t>
      </w:r>
    </w:p>
    <w:p w:rsidRPr="0086590B" w:rsidR="00B3559E" w:rsidP="003F00B1" w:rsidRDefault="00B3559E" w14:paraId="550F3FE7" w14:textId="77777777">
      <w:pPr>
        <w:spacing w:after="0" w:line="276" w:lineRule="auto"/>
        <w:ind w:firstLine="709"/>
        <w:jc w:val="both"/>
        <w:rPr>
          <w:rFonts w:ascii="Verdana" w:hAnsi="Verdana" w:eastAsia="Arial" w:cs="Arial"/>
          <w:color w:val="000000"/>
        </w:rPr>
      </w:pPr>
    </w:p>
    <w:p w:rsidRPr="0086590B" w:rsidR="005E4749" w:rsidP="005E4749" w:rsidRDefault="005E4749" w14:paraId="326CB9F8" w14:textId="77777777">
      <w:pPr>
        <w:spacing w:after="0" w:line="276" w:lineRule="auto"/>
        <w:jc w:val="both"/>
        <w:rPr>
          <w:rFonts w:ascii="Verdana" w:hAnsi="Verdana" w:eastAsia="Arial" w:cs="Arial"/>
          <w:color w:val="000000"/>
        </w:rPr>
      </w:pPr>
      <w:proofErr w:type="spellStart"/>
      <w:r w:rsidRPr="0086590B">
        <w:rPr>
          <w:rFonts w:ascii="Verdana" w:hAnsi="Verdana" w:eastAsia="Arial" w:cs="Arial"/>
          <w:color w:val="000000"/>
        </w:rPr>
        <w:t>ii</w:t>
      </w:r>
      <w:proofErr w:type="spellEnd"/>
      <w:r w:rsidRPr="0086590B">
        <w:rPr>
          <w:rFonts w:ascii="Verdana" w:hAnsi="Verdana" w:eastAsia="Arial" w:cs="Arial"/>
          <w:color w:val="000000"/>
        </w:rPr>
        <w:t xml:space="preserve">) </w:t>
      </w:r>
      <w:r w:rsidRPr="0086590B">
        <w:rPr>
          <w:rFonts w:ascii="Verdana" w:hAnsi="Verdana" w:eastAsia="Arial" w:cs="Arial"/>
        </w:rPr>
        <w:t>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86590B">
        <w:rPr>
          <w:rFonts w:ascii="Verdana" w:hAnsi="Verdana" w:eastAsia="Arial" w:cs="Arial"/>
          <w:vertAlign w:val="superscript"/>
        </w:rPr>
        <w:footnoteReference w:id="12"/>
      </w:r>
      <w:r w:rsidRPr="0086590B">
        <w:rPr>
          <w:rFonts w:ascii="Verdana" w:hAnsi="Verdana" w:eastAsia="Arial" w:cs="Arial"/>
        </w:rPr>
        <w:t xml:space="preserve">. En ese sentido, si bien las entidades estatales, en ejercicio de la discrecionalidad que les corresponde en la configuración de los pliegos de condiciones, tienen competencia para determinar los requisitos que deben cumplir los proponentes </w:t>
      </w:r>
      <w:r w:rsidRPr="0086590B">
        <w:rPr>
          <w:rFonts w:ascii="Verdana" w:hAnsi="Verdana" w:eastAsia="Arial" w:cs="Arial"/>
        </w:rPr>
        <w:lastRenderedPageBreak/>
        <w:t>para la presentación de ofertas</w:t>
      </w:r>
      <w:r w:rsidRPr="0086590B">
        <w:rPr>
          <w:rFonts w:ascii="Verdana" w:hAnsi="Verdana" w:eastAsia="Arial" w:cs="Arial"/>
          <w:vertAlign w:val="superscript"/>
        </w:rPr>
        <w:footnoteReference w:id="13"/>
      </w:r>
      <w:r w:rsidRPr="0086590B">
        <w:rPr>
          <w:rFonts w:ascii="Verdana" w:hAnsi="Verdana" w:eastAsia="Arial" w:cs="Arial"/>
        </w:rPr>
        <w:t xml:space="preserve"> y regular los eventos en los que procede su rechazo</w:t>
      </w:r>
      <w:r w:rsidRPr="0086590B">
        <w:rPr>
          <w:rFonts w:ascii="Verdana" w:hAnsi="Verdana" w:eastAsia="Arial" w:cs="Arial"/>
          <w:vertAlign w:val="superscript"/>
        </w:rPr>
        <w:footnoteReference w:id="14"/>
      </w:r>
      <w:r w:rsidRPr="0086590B">
        <w:rPr>
          <w:rFonts w:ascii="Verdana" w:hAnsi="Verdana" w:eastAsia="Arial" w:cs="Arial"/>
        </w:rPr>
        <w:t xml:space="preserve">, el ejercicio de tales facultades encuentra ciertos límites en la ley y el reglamento, así como en los principios de razonabilidad y proporcionalidad.  </w:t>
      </w:r>
    </w:p>
    <w:p w:rsidRPr="0086590B" w:rsidR="005E4749" w:rsidP="005E4749" w:rsidRDefault="005E4749" w14:paraId="10271C77" w14:textId="77777777">
      <w:pPr>
        <w:spacing w:before="120" w:after="0" w:line="276" w:lineRule="auto"/>
        <w:ind w:firstLine="709"/>
        <w:jc w:val="both"/>
        <w:rPr>
          <w:rFonts w:ascii="Verdana" w:hAnsi="Verdana" w:eastAsia="Arial" w:cs="Arial"/>
          <w:color w:val="000000"/>
        </w:rPr>
      </w:pPr>
      <w:r w:rsidRPr="0086590B">
        <w:rPr>
          <w:rFonts w:ascii="Verdana" w:hAnsi="Verdana" w:eastAsia="Arial" w:cs="Arial"/>
        </w:rPr>
        <w:t xml:space="preserve">En ese entendido, uno de los límites a la facultad para establecer causales de rechazo, se encuentra en la regla de </w:t>
      </w:r>
      <w:proofErr w:type="spellStart"/>
      <w:r w:rsidRPr="0086590B">
        <w:rPr>
          <w:rFonts w:ascii="Verdana" w:hAnsi="Verdana" w:eastAsia="Arial" w:cs="Arial"/>
        </w:rPr>
        <w:t>subsanabilidad</w:t>
      </w:r>
      <w:proofErr w:type="spellEnd"/>
      <w:r w:rsidRPr="0086590B">
        <w:rPr>
          <w:rFonts w:ascii="Verdana" w:hAnsi="Verdana" w:eastAsia="Arial" w:cs="Arial"/>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rsidRPr="0086590B" w:rsidR="005E4749" w:rsidP="005E4749" w:rsidRDefault="005E4749" w14:paraId="477BABA4" w14:textId="77777777">
      <w:pPr>
        <w:spacing w:before="120" w:after="0" w:line="276" w:lineRule="auto"/>
        <w:ind w:firstLine="709"/>
        <w:jc w:val="both"/>
        <w:rPr>
          <w:rFonts w:ascii="Verdana" w:hAnsi="Verdana" w:eastAsia="Arial" w:cs="Arial"/>
        </w:rPr>
      </w:pPr>
      <w:r w:rsidRPr="0086590B">
        <w:rPr>
          <w:rFonts w:ascii="Verdana" w:hAnsi="Verdana" w:eastAsia="Arial"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rsidRPr="0086590B" w:rsidR="00483834" w:rsidP="003F00B1" w:rsidRDefault="00483834" w14:paraId="27A8D155" w14:textId="77777777">
      <w:pPr>
        <w:spacing w:after="0" w:line="276" w:lineRule="auto"/>
        <w:ind w:firstLine="709"/>
        <w:jc w:val="both"/>
        <w:rPr>
          <w:rFonts w:ascii="Verdana" w:hAnsi="Verdana" w:eastAsia="Arial" w:cs="Arial"/>
          <w:color w:val="000000"/>
        </w:rPr>
      </w:pPr>
    </w:p>
    <w:p w:rsidRPr="0086590B" w:rsidR="005E4749" w:rsidP="005E4749" w:rsidRDefault="005E4749" w14:paraId="6E748512" w14:textId="77777777">
      <w:pPr>
        <w:widowControl w:val="0"/>
        <w:spacing w:after="0" w:line="240" w:lineRule="auto"/>
        <w:ind w:left="709" w:right="709"/>
        <w:jc w:val="both"/>
        <w:rPr>
          <w:rFonts w:ascii="Verdana" w:hAnsi="Verdana" w:eastAsia="Arial" w:cs="Arial"/>
          <w:sz w:val="20"/>
          <w:szCs w:val="20"/>
        </w:rPr>
      </w:pPr>
      <w:r w:rsidRPr="0086590B">
        <w:rPr>
          <w:rFonts w:ascii="Verdana" w:hAnsi="Verdana" w:eastAsia="Arial" w:cs="Arial"/>
          <w:sz w:val="21"/>
          <w:szCs w:val="21"/>
        </w:rPr>
        <w:t>“</w:t>
      </w:r>
      <w:r w:rsidRPr="0086590B">
        <w:rPr>
          <w:rFonts w:ascii="Verdana" w:hAnsi="Verdana" w:eastAsia="Arial"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rsidRPr="0086590B" w:rsidR="00483834" w:rsidP="005E4749" w:rsidRDefault="00483834" w14:paraId="745D3DD7" w14:textId="77777777">
      <w:pPr>
        <w:widowControl w:val="0"/>
        <w:spacing w:after="0" w:line="240" w:lineRule="auto"/>
        <w:ind w:left="709" w:right="709"/>
        <w:jc w:val="both"/>
        <w:rPr>
          <w:rFonts w:ascii="Verdana" w:hAnsi="Verdana" w:eastAsia="Arial" w:cs="Arial"/>
          <w:sz w:val="20"/>
          <w:szCs w:val="20"/>
        </w:rPr>
      </w:pPr>
    </w:p>
    <w:p w:rsidRPr="0086590B" w:rsidR="005E4749" w:rsidP="005E4749" w:rsidRDefault="005E4749" w14:paraId="07220338" w14:textId="77777777">
      <w:pPr>
        <w:widowControl w:val="0"/>
        <w:spacing w:after="0" w:line="240" w:lineRule="auto"/>
        <w:ind w:left="709" w:right="709"/>
        <w:jc w:val="both"/>
        <w:rPr>
          <w:rFonts w:ascii="Verdana" w:hAnsi="Verdana" w:eastAsia="Arial" w:cs="Arial"/>
          <w:sz w:val="20"/>
          <w:szCs w:val="20"/>
        </w:rPr>
      </w:pPr>
      <w:r w:rsidRPr="0086590B">
        <w:rPr>
          <w:rFonts w:ascii="Verdana" w:hAnsi="Verdana" w:eastAsia="Arial" w:cs="Arial"/>
          <w:sz w:val="20"/>
          <w:szCs w:val="20"/>
        </w:rPr>
        <w:t xml:space="preserve">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w:t>
      </w:r>
      <w:r w:rsidRPr="0086590B">
        <w:rPr>
          <w:rFonts w:ascii="Verdana" w:hAnsi="Verdana" w:eastAsia="Arial" w:cs="Arial"/>
          <w:sz w:val="20"/>
          <w:szCs w:val="20"/>
        </w:rPr>
        <w:lastRenderedPageBreak/>
        <w:t>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rsidRPr="0086590B" w:rsidR="005E4749" w:rsidP="005E4749" w:rsidRDefault="005E4749" w14:paraId="3EE2429A" w14:textId="77777777">
      <w:pPr>
        <w:widowControl w:val="0"/>
        <w:spacing w:after="0" w:line="240" w:lineRule="auto"/>
        <w:ind w:left="709" w:right="709"/>
        <w:jc w:val="both"/>
        <w:rPr>
          <w:rFonts w:ascii="Verdana" w:hAnsi="Verdana" w:eastAsia="Arial" w:cs="Arial"/>
          <w:sz w:val="20"/>
          <w:szCs w:val="20"/>
        </w:rPr>
      </w:pPr>
      <w:r w:rsidRPr="0086590B">
        <w:rPr>
          <w:rFonts w:ascii="Verdana" w:hAnsi="Verdana" w:eastAsia="Arial" w:cs="Arial"/>
          <w:sz w:val="20"/>
          <w:szCs w:val="20"/>
        </w:rPr>
        <w:t>[…]</w:t>
      </w:r>
    </w:p>
    <w:p w:rsidRPr="0086590B" w:rsidR="005E4749" w:rsidP="005E4749" w:rsidRDefault="005E4749" w14:paraId="0921DDD3" w14:textId="77777777">
      <w:pPr>
        <w:widowControl w:val="0"/>
        <w:spacing w:after="0" w:line="240" w:lineRule="auto"/>
        <w:ind w:left="709" w:right="709"/>
        <w:jc w:val="both"/>
        <w:rPr>
          <w:rFonts w:ascii="Verdana" w:hAnsi="Verdana" w:eastAsia="Arial" w:cs="Arial"/>
          <w:sz w:val="20"/>
          <w:szCs w:val="20"/>
        </w:rPr>
      </w:pPr>
      <w:r w:rsidRPr="0086590B">
        <w:rPr>
          <w:rFonts w:ascii="Verdana" w:hAnsi="Verdana" w:eastAsia="Arial" w:cs="Arial"/>
          <w:sz w:val="20"/>
          <w:szCs w:val="20"/>
        </w:rPr>
        <w:t xml:space="preserve">Quiere con esto destacar la Sala que las causales de rechazo de las propuestas pueden ser legales y por lo mismo generan el efecto del descarte o exclusión de la oferta </w:t>
      </w:r>
      <w:proofErr w:type="spellStart"/>
      <w:r w:rsidRPr="0086590B">
        <w:rPr>
          <w:rFonts w:ascii="Verdana" w:hAnsi="Verdana" w:eastAsia="Arial" w:cs="Arial"/>
          <w:i/>
          <w:iCs/>
          <w:sz w:val="20"/>
          <w:szCs w:val="20"/>
        </w:rPr>
        <w:t>ope</w:t>
      </w:r>
      <w:proofErr w:type="spellEnd"/>
      <w:r w:rsidRPr="0086590B">
        <w:rPr>
          <w:rFonts w:ascii="Verdana" w:hAnsi="Verdana" w:eastAsia="Arial" w:cs="Arial"/>
          <w:i/>
          <w:iCs/>
          <w:sz w:val="20"/>
          <w:szCs w:val="20"/>
        </w:rPr>
        <w:t xml:space="preserve"> </w:t>
      </w:r>
      <w:proofErr w:type="spellStart"/>
      <w:r w:rsidRPr="0086590B">
        <w:rPr>
          <w:rFonts w:ascii="Verdana" w:hAnsi="Verdana" w:eastAsia="Arial" w:cs="Arial"/>
          <w:i/>
          <w:iCs/>
          <w:sz w:val="20"/>
          <w:szCs w:val="20"/>
        </w:rPr>
        <w:t>legis</w:t>
      </w:r>
      <w:proofErr w:type="spellEnd"/>
      <w:r w:rsidRPr="0086590B">
        <w:rPr>
          <w:rFonts w:ascii="Verdana" w:hAnsi="Verdana" w:eastAsia="Arial"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86590B">
        <w:rPr>
          <w:rFonts w:ascii="Verdana" w:hAnsi="Verdana" w:eastAsia="Arial" w:cs="Arial"/>
          <w:sz w:val="20"/>
          <w:szCs w:val="20"/>
          <w:vertAlign w:val="superscript"/>
        </w:rPr>
        <w:footnoteReference w:id="15"/>
      </w:r>
      <w:r w:rsidRPr="0086590B">
        <w:rPr>
          <w:rFonts w:ascii="Verdana" w:hAnsi="Verdana" w:eastAsia="Arial" w:cs="Arial"/>
          <w:sz w:val="20"/>
          <w:szCs w:val="20"/>
        </w:rPr>
        <w:t>”.</w:t>
      </w:r>
    </w:p>
    <w:p w:rsidRPr="0086590B" w:rsidR="005E4749" w:rsidP="005E4749" w:rsidRDefault="005E4749" w14:paraId="73478CE4" w14:textId="77777777">
      <w:pPr>
        <w:widowControl w:val="0"/>
        <w:spacing w:after="0" w:line="240" w:lineRule="auto"/>
        <w:ind w:left="709" w:right="709"/>
        <w:jc w:val="both"/>
        <w:rPr>
          <w:rFonts w:ascii="Verdana" w:hAnsi="Verdana" w:eastAsia="Arial" w:cs="Arial"/>
          <w:sz w:val="20"/>
          <w:szCs w:val="20"/>
        </w:rPr>
      </w:pPr>
    </w:p>
    <w:p w:rsidRPr="0086590B" w:rsidR="005E4749" w:rsidP="005E4749" w:rsidRDefault="005E4749" w14:paraId="1AF4EB3C" w14:textId="77777777">
      <w:pPr>
        <w:widowControl w:val="0"/>
        <w:spacing w:after="0" w:line="276" w:lineRule="auto"/>
        <w:ind w:firstLine="709"/>
        <w:jc w:val="both"/>
        <w:rPr>
          <w:rFonts w:ascii="Verdana" w:hAnsi="Verdana" w:eastAsia="Arial" w:cs="Arial"/>
        </w:rPr>
      </w:pPr>
      <w:r w:rsidRPr="0086590B">
        <w:rPr>
          <w:rFonts w:ascii="Verdana" w:hAnsi="Verdana" w:eastAsia="Arial" w:cs="Arial"/>
        </w:rPr>
        <w:t xml:space="preserve">De acuerdo con la jurisprudencia citada, existen dos eventos en los cuales procede el rechazo de la oferta: i) cuando se configure alguna de las causales de rechazo originadas en la ley o el reglamento y </w:t>
      </w:r>
      <w:proofErr w:type="spellStart"/>
      <w:r w:rsidRPr="0086590B">
        <w:rPr>
          <w:rFonts w:ascii="Verdana" w:hAnsi="Verdana" w:eastAsia="Arial" w:cs="Arial"/>
        </w:rPr>
        <w:t>ii</w:t>
      </w:r>
      <w:proofErr w:type="spellEnd"/>
      <w:r w:rsidRPr="0086590B">
        <w:rPr>
          <w:rFonts w:ascii="Verdana" w:hAnsi="Verdana" w:eastAsia="Arial" w:cs="Arial"/>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rsidRPr="0086590B" w:rsidR="005E4749" w:rsidP="005E4749" w:rsidRDefault="005E4749" w14:paraId="40F11F8F" w14:textId="7011F027">
      <w:pPr>
        <w:widowControl w:val="0"/>
        <w:spacing w:before="120" w:after="0" w:line="276" w:lineRule="auto"/>
        <w:ind w:firstLine="709"/>
        <w:jc w:val="both"/>
        <w:rPr>
          <w:rFonts w:ascii="Verdana" w:hAnsi="Verdana" w:eastAsia="Arial" w:cs="Arial"/>
        </w:rPr>
      </w:pPr>
      <w:r w:rsidRPr="0086590B">
        <w:rPr>
          <w:rFonts w:ascii="Verdana" w:hAnsi="Verdana" w:eastAsia="Arial" w:cs="Arial"/>
        </w:rPr>
        <w:t xml:space="preserve">En tales términos, la facultad de las </w:t>
      </w:r>
      <w:r w:rsidRPr="0086590B" w:rsidR="003A41BA">
        <w:rPr>
          <w:rFonts w:ascii="Verdana" w:hAnsi="Verdana" w:eastAsia="Arial" w:cs="Arial"/>
        </w:rPr>
        <w:t>E</w:t>
      </w:r>
      <w:r w:rsidRPr="0086590B">
        <w:rPr>
          <w:rFonts w:ascii="Verdana" w:hAnsi="Verdana" w:eastAsia="Arial" w:cs="Arial"/>
        </w:rPr>
        <w:t xml:space="preserve">ntidades </w:t>
      </w:r>
      <w:r w:rsidRPr="0086590B" w:rsidR="003A41BA">
        <w:rPr>
          <w:rFonts w:ascii="Verdana" w:hAnsi="Verdana" w:eastAsia="Arial" w:cs="Arial"/>
        </w:rPr>
        <w:t>E</w:t>
      </w:r>
      <w:r w:rsidRPr="0086590B">
        <w:rPr>
          <w:rFonts w:ascii="Verdana" w:hAnsi="Verdana" w:eastAsia="Arial" w:cs="Arial"/>
        </w:rPr>
        <w:t xml:space="preserv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w:t>
      </w:r>
      <w:r w:rsidRPr="0086590B">
        <w:rPr>
          <w:rFonts w:ascii="Verdana" w:hAnsi="Verdana" w:eastAsia="Arial" w:cs="Arial"/>
        </w:rPr>
        <w:lastRenderedPageBreak/>
        <w:t xml:space="preserve">perfeccionamiento del contrato. </w:t>
      </w:r>
    </w:p>
    <w:p w:rsidRPr="0086590B" w:rsidR="005E4749" w:rsidP="005E4749" w:rsidRDefault="005E4749" w14:paraId="7D5484B7" w14:textId="77777777">
      <w:pPr>
        <w:widowControl w:val="0"/>
        <w:spacing w:before="120" w:after="0" w:line="276" w:lineRule="auto"/>
        <w:ind w:firstLine="709"/>
        <w:jc w:val="both"/>
        <w:rPr>
          <w:rFonts w:ascii="Verdana" w:hAnsi="Verdana" w:eastAsia="Arial" w:cs="Arial"/>
        </w:rPr>
      </w:pPr>
      <w:r w:rsidRPr="0086590B">
        <w:rPr>
          <w:rFonts w:ascii="Verdana" w:hAnsi="Verdana" w:eastAsia="Arial"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6590B">
        <w:rPr>
          <w:rFonts w:ascii="Verdana" w:hAnsi="Verdana" w:eastAsia="Arial" w:cs="Arial"/>
          <w:vertAlign w:val="superscript"/>
          <w:lang w:val="es-ES"/>
        </w:rPr>
        <w:footnoteReference w:id="16"/>
      </w:r>
      <w:r w:rsidRPr="0086590B">
        <w:rPr>
          <w:rFonts w:ascii="Verdana" w:hAnsi="Verdana" w:eastAsia="Arial" w:cs="Arial"/>
          <w:lang w:val="es-ES"/>
        </w:rPr>
        <w:t xml:space="preserve"> sostuvo: </w:t>
      </w:r>
    </w:p>
    <w:p w:rsidRPr="0086590B" w:rsidR="005E4749" w:rsidP="005E4749" w:rsidRDefault="005E4749" w14:paraId="2E746388" w14:textId="77777777">
      <w:pPr>
        <w:spacing w:after="0" w:line="240" w:lineRule="auto"/>
        <w:ind w:firstLine="709"/>
        <w:jc w:val="both"/>
        <w:rPr>
          <w:rFonts w:ascii="Verdana" w:hAnsi="Verdana" w:eastAsia="Arial" w:cs="Arial"/>
        </w:rPr>
      </w:pPr>
    </w:p>
    <w:p w:rsidRPr="0086590B" w:rsidR="005E4749" w:rsidP="005E4749" w:rsidRDefault="005E4749" w14:paraId="421B2668" w14:textId="77777777">
      <w:pPr>
        <w:spacing w:after="0"/>
        <w:ind w:left="708" w:right="709"/>
        <w:jc w:val="both"/>
        <w:rPr>
          <w:rFonts w:ascii="Verdana" w:hAnsi="Verdana" w:eastAsia="Arial" w:cs="Arial"/>
          <w:sz w:val="20"/>
          <w:szCs w:val="20"/>
          <w:lang w:val="es-ES"/>
        </w:rPr>
      </w:pPr>
      <w:r w:rsidRPr="0086590B">
        <w:rPr>
          <w:rFonts w:ascii="Verdana" w:hAnsi="Verdana" w:eastAsia="Arial"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rsidRPr="0086590B" w:rsidR="00483834" w:rsidP="005E4749" w:rsidRDefault="00483834" w14:paraId="66A0EA9E" w14:textId="77777777">
      <w:pPr>
        <w:spacing w:after="0"/>
        <w:ind w:left="708" w:right="709"/>
        <w:jc w:val="both"/>
        <w:rPr>
          <w:rFonts w:ascii="Verdana" w:hAnsi="Verdana" w:eastAsia="Arial" w:cs="Arial"/>
          <w:sz w:val="20"/>
          <w:szCs w:val="20"/>
          <w:lang w:val="es-ES"/>
        </w:rPr>
      </w:pPr>
    </w:p>
    <w:p w:rsidRPr="0086590B" w:rsidR="005E4749" w:rsidP="005E4749" w:rsidRDefault="005E4749" w14:paraId="269D40FE" w14:textId="77777777">
      <w:pPr>
        <w:spacing w:after="120" w:line="276" w:lineRule="auto"/>
        <w:ind w:firstLine="709"/>
        <w:jc w:val="both"/>
        <w:rPr>
          <w:rFonts w:ascii="Verdana" w:hAnsi="Verdana" w:eastAsia="Arial" w:cs="Arial"/>
          <w:lang w:val="es-ES"/>
        </w:rPr>
      </w:pPr>
      <w:r w:rsidRPr="0086590B">
        <w:rPr>
          <w:rFonts w:ascii="Verdana" w:hAnsi="Verdana" w:eastAsia="Arial"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rsidRPr="0086590B" w:rsidR="005E4749" w:rsidP="005E4749" w:rsidRDefault="005E4749" w14:paraId="79D3289C" w14:textId="77777777">
      <w:pPr>
        <w:spacing w:after="120" w:line="276" w:lineRule="auto"/>
        <w:ind w:firstLine="709"/>
        <w:jc w:val="both"/>
        <w:rPr>
          <w:rFonts w:ascii="Verdana" w:hAnsi="Verdana" w:eastAsia="Arial" w:cs="Arial"/>
        </w:rPr>
      </w:pPr>
      <w:r w:rsidRPr="0086590B">
        <w:rPr>
          <w:rFonts w:ascii="Verdana" w:hAnsi="Verdana" w:eastAsia="Arial" w:cs="Arial"/>
        </w:rPr>
        <w:t xml:space="preserve">De conformidad con lo anterior, para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rsidRPr="0086590B" w:rsidR="005E4749" w:rsidP="005E4749" w:rsidRDefault="005E4749" w14:paraId="34C9EECB" w14:textId="2CE7C5DC">
      <w:pPr>
        <w:spacing w:after="120" w:line="276" w:lineRule="auto"/>
        <w:ind w:firstLine="709"/>
        <w:jc w:val="both"/>
        <w:rPr>
          <w:rFonts w:ascii="Verdana" w:hAnsi="Verdana" w:eastAsia="Arial" w:cs="Arial"/>
        </w:rPr>
      </w:pPr>
      <w:r w:rsidRPr="0086590B">
        <w:rPr>
          <w:rFonts w:ascii="Verdana" w:hAnsi="Verdana" w:eastAsia="Arial" w:cs="Arial"/>
        </w:rPr>
        <w:lastRenderedPageBreak/>
        <w:t>La decisión de rechazar, por regla general –salvo en los casos específicos previstos en la ley, como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rsidRPr="0086590B" w:rsidR="002E0217" w:rsidP="002E0217" w:rsidRDefault="005E4749" w14:paraId="669B03EF" w14:textId="255EF842">
      <w:pPr>
        <w:spacing w:before="120" w:after="120" w:line="276" w:lineRule="auto"/>
        <w:ind w:firstLine="709"/>
        <w:jc w:val="both"/>
        <w:rPr>
          <w:rFonts w:ascii="Verdana" w:hAnsi="Verdana" w:cs="Arial"/>
          <w:lang w:val="es-ES"/>
        </w:rPr>
      </w:pPr>
      <w:r w:rsidRPr="0086590B">
        <w:rPr>
          <w:rFonts w:ascii="Verdana" w:hAnsi="Verdana" w:eastAsia="Arial" w:cs="Arial"/>
        </w:rPr>
        <w:t xml:space="preserve">Con base en lo anterior, </w:t>
      </w:r>
      <w:r w:rsidRPr="0086590B" w:rsidR="002E0217">
        <w:rPr>
          <w:rFonts w:ascii="Verdana" w:hAnsi="Verdana" w:cs="Arial"/>
          <w:lang w:val="es-ES"/>
        </w:rPr>
        <w:t xml:space="preserve">es preciso señalar que en el marco de los procesos de selección, entre ellos el de licitación pública, sometidos al estatuto General de Contratación de la Administración Pública, los errores mecanográficos entendidos como equivocación de digitación, transcripción o redacción que no modifican el contenido de la oferta, no constituyen por sí mismo causal de rechazo. En este sentido, el Consejo de Estado ha señalado que solo aquellos errores que afectan la comparabilidad de las propuestas o que implican una modificación sustancial de las condiciones ofrecidas pueden justificar el rechazo de la oferta. En ese orden, si el error es solamente formal, debe prevalecer el principio de economía y la finalidad del proceso de selección, ahora, si el error es sustancial, procede el rechazo de la oferta, esto en aras de salvaguardar la transparencia y selección objetiva. </w:t>
      </w:r>
    </w:p>
    <w:p w:rsidRPr="0086590B" w:rsidR="002E0217" w:rsidP="002E0217" w:rsidRDefault="002E0217" w14:paraId="439735D9" w14:textId="77777777">
      <w:pPr>
        <w:spacing w:before="120" w:after="120" w:line="276" w:lineRule="auto"/>
        <w:ind w:firstLine="709"/>
        <w:jc w:val="both"/>
        <w:rPr>
          <w:rFonts w:ascii="Verdana" w:hAnsi="Verdana" w:cs="Arial"/>
          <w:lang w:val="es-ES"/>
        </w:rPr>
      </w:pPr>
      <w:r w:rsidRPr="0086590B">
        <w:rPr>
          <w:rFonts w:ascii="Verdana" w:hAnsi="Verdana" w:cs="Arial"/>
          <w:lang w:val="es-ES"/>
        </w:rPr>
        <w:t xml:space="preserve">En </w:t>
      </w:r>
      <w:r w:rsidRPr="0086590B">
        <w:rPr>
          <w:rFonts w:ascii="Verdana" w:hAnsi="Verdana" w:cs="Arial"/>
          <w:i/>
          <w:iCs/>
          <w:lang w:val="es-ES"/>
        </w:rPr>
        <w:t>segundo lugar</w:t>
      </w:r>
      <w:r w:rsidRPr="0086590B">
        <w:rPr>
          <w:rFonts w:ascii="Verdana" w:hAnsi="Verdana" w:cs="Arial"/>
          <w:lang w:val="es-ES"/>
        </w:rPr>
        <w:t>, tratándose de entidades exceptuadas, debe resaltarse que, aunque estas cuentan con regímenes especiales de contratación, no están desligadas de los principios constitucionales de la función administrativa consagrados en el artículo 209 de la Constitución Política, ni de los principios de la contratación estatal —transparencia, economía, responsabilidad y selección objetiva—, en tanto poseen carácter transversal. En consecuencia, si bien el tratamiento de los errores mecanográficos se rige por las disposiciones propias de cada régimen especial, ello no las exonera de aplicar dichos principios, lo que implica que este tipo de errores, siempre que no sean sustanciales, no pueden erigirse como causal automática de rechazo de la oferta.</w:t>
      </w:r>
    </w:p>
    <w:p w:rsidRPr="0086590B" w:rsidR="005E4749" w:rsidP="002E0217" w:rsidRDefault="005E4749" w14:paraId="002A31DB" w14:textId="3A46A791">
      <w:pPr>
        <w:spacing w:before="120" w:after="120" w:line="276" w:lineRule="auto"/>
        <w:ind w:firstLine="709"/>
        <w:jc w:val="both"/>
        <w:rPr>
          <w:rFonts w:ascii="Verdana" w:hAnsi="Verdana" w:cs="Arial"/>
          <w:lang w:val="es-ES"/>
        </w:rPr>
      </w:pPr>
      <w:r w:rsidRPr="0086590B">
        <w:rPr>
          <w:rFonts w:ascii="Verdana" w:hAnsi="Verdana" w:eastAsia="Arial" w:cs="Arial"/>
          <w:lang w:val="es-ES"/>
        </w:rPr>
        <w:t xml:space="preserve">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w:t>
      </w:r>
      <w:r w:rsidRPr="0086590B">
        <w:rPr>
          <w:rFonts w:ascii="Verdana" w:hAnsi="Verdana" w:eastAsia="Arial" w:cs="Arial"/>
          <w:lang w:val="es-ES"/>
        </w:rPr>
        <w:lastRenderedPageBreak/>
        <w:t>a los interesados de adoptar la decisión y, en caso de conflicto, a las autoridades judiciales, fiscales y disciplinarias.</w:t>
      </w:r>
    </w:p>
    <w:p w:rsidRPr="0086590B" w:rsidR="005E4749" w:rsidP="005E4749" w:rsidRDefault="005E4749" w14:paraId="6DC75BC6" w14:textId="77777777">
      <w:pPr>
        <w:spacing w:before="120" w:after="0" w:line="276" w:lineRule="auto"/>
        <w:ind w:firstLine="709"/>
        <w:jc w:val="both"/>
        <w:rPr>
          <w:rFonts w:ascii="Verdana" w:hAnsi="Verdana" w:eastAsia="Arial" w:cs="Arial"/>
          <w:lang w:val="es-ES"/>
        </w:rPr>
      </w:pPr>
      <w:r w:rsidRPr="0086590B">
        <w:rPr>
          <w:rFonts w:ascii="Verdana" w:hAnsi="Verdana" w:eastAsia="Arial"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rsidRPr="0086590B" w:rsidR="00302B2C" w:rsidP="008937F5" w:rsidRDefault="00302B2C" w14:paraId="3AF6B758" w14:textId="77777777">
      <w:pPr>
        <w:pBdr>
          <w:top w:val="nil"/>
          <w:left w:val="nil"/>
          <w:bottom w:val="nil"/>
          <w:right w:val="nil"/>
          <w:between w:val="nil"/>
        </w:pBdr>
        <w:spacing w:after="0" w:line="276" w:lineRule="auto"/>
        <w:jc w:val="both"/>
        <w:rPr>
          <w:rFonts w:ascii="Verdana" w:hAnsi="Verdana" w:eastAsia="Calibri" w:cs="Arial"/>
          <w:bCs/>
          <w:color w:val="000000" w:themeColor="text1"/>
          <w:lang w:val="es-ES_tradnl"/>
        </w:rPr>
      </w:pPr>
    </w:p>
    <w:p w:rsidRPr="0086590B" w:rsidR="00302B2C" w:rsidP="003F00B1" w:rsidRDefault="00302B2C" w14:paraId="25E46FF1" w14:textId="77777777">
      <w:pPr>
        <w:pStyle w:val="Prrafodelista"/>
        <w:numPr>
          <w:ilvl w:val="0"/>
          <w:numId w:val="19"/>
        </w:numPr>
        <w:tabs>
          <w:tab w:val="left" w:pos="142"/>
          <w:tab w:val="left" w:pos="284"/>
        </w:tabs>
        <w:spacing w:after="0" w:line="276" w:lineRule="auto"/>
        <w:contextualSpacing w:val="0"/>
        <w:jc w:val="both"/>
        <w:rPr>
          <w:rFonts w:ascii="Verdana" w:hAnsi="Verdana" w:eastAsia="Century Gothic" w:cs="Century Gothic"/>
          <w:b/>
          <w:bCs/>
        </w:rPr>
      </w:pPr>
      <w:r w:rsidRPr="0086590B">
        <w:rPr>
          <w:rFonts w:ascii="Verdana" w:hAnsi="Verdana" w:eastAsia="Century Gothic" w:cs="Century Gothic"/>
          <w:b/>
          <w:bCs/>
        </w:rPr>
        <w:t>Referencias normativas, jurisprudenciales y otras fuentes:</w:t>
      </w:r>
    </w:p>
    <w:p w:rsidRPr="0086590B" w:rsidR="00302B2C" w:rsidP="008937F5" w:rsidRDefault="00302B2C" w14:paraId="47A73EED"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86590B" w:rsidR="00302B2C" w:rsidTr="009837FE" w14:paraId="2C8D148A" w14:textId="77777777">
        <w:trPr>
          <w:trHeight w:val="870"/>
        </w:trPr>
        <w:tc>
          <w:tcPr>
            <w:tcW w:w="8647" w:type="dxa"/>
          </w:tcPr>
          <w:p w:rsidRPr="0086590B" w:rsidR="00436744" w:rsidP="003F00B1" w:rsidRDefault="00436744" w14:paraId="3815B281" w14:textId="48AB3034">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rPr>
              <w:t>Ley 80 de 1993.</w:t>
            </w:r>
          </w:p>
          <w:p w:rsidRPr="0086590B" w:rsidR="00436744" w:rsidP="003F00B1" w:rsidRDefault="00436744" w14:paraId="336DC226" w14:textId="4B331461">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rPr>
              <w:t>Ley 1150 de 2007.</w:t>
            </w:r>
          </w:p>
          <w:p w:rsidRPr="0086590B" w:rsidR="00436744" w:rsidP="003F00B1" w:rsidRDefault="00436744" w14:paraId="14BE09FE" w14:textId="18B964D0">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rPr>
              <w:t>Ley 1882 de 2018.</w:t>
            </w:r>
          </w:p>
          <w:p w:rsidRPr="0086590B" w:rsidR="00185C9A" w:rsidP="003F00B1" w:rsidRDefault="00185C9A" w14:paraId="2F4A93FF" w14:textId="77777777">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themeColor="text1"/>
              </w:rPr>
              <w:t xml:space="preserve">Decreto-ley 150 de 1976 </w:t>
            </w:r>
          </w:p>
          <w:p w:rsidRPr="0086590B" w:rsidR="00B944CD" w:rsidP="003F00B1" w:rsidRDefault="00346CDD" w14:paraId="774593AB" w14:textId="77777777">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themeColor="text1"/>
              </w:rPr>
              <w:t>Decreto-ley 222 de 1983</w:t>
            </w:r>
          </w:p>
          <w:p w:rsidRPr="0086590B" w:rsidR="00840A92" w:rsidP="003F00B1" w:rsidRDefault="00840A92" w14:paraId="227A40A2" w14:textId="4D6F7DDB">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w:cs="Arial"/>
                <w:color w:val="000000"/>
              </w:rPr>
              <w:t>Decreto 2474 de 2008</w:t>
            </w:r>
          </w:p>
          <w:p w:rsidRPr="0086590B" w:rsidR="003B1B17" w:rsidP="003F00B1" w:rsidRDefault="002B18AF" w14:paraId="1F2AA0AD" w14:textId="72D58B96">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Consejo de Estado. Sala de lo Contencioso Administrativo Sección Tercera, Subsección C. Sentencia del 26 de febrero de 2014. Radicado: 1999-00113-01 (25.804). C.P. Enrique Gil Botero.</w:t>
            </w:r>
          </w:p>
          <w:p w:rsidRPr="0086590B" w:rsidR="002C6EA0" w:rsidP="003F00B1" w:rsidRDefault="002C6EA0" w14:paraId="1BA14A56" w14:textId="77EDCAC7">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Consejo de Estado. Sala de Consulta y Servicio Civil, concepto del 6 de noviembre de 2008. Rad. 2008-00079-00 (1927). C.P. William Zambrano Cetina.</w:t>
            </w:r>
          </w:p>
          <w:p w:rsidRPr="0086590B" w:rsidR="003F1C07" w:rsidP="003F00B1" w:rsidRDefault="003F1C07" w14:paraId="159C69EE" w14:textId="445C2ED4">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 xml:space="preserve">Consejo de Estado. Sala de lo Contencioso Administrativo. Sección Tercera, Subsección C. Sentencia del 26 de febrero de 2011. Radicado: 11001-03-26-000-2009-00018-00 (36.408). C.P. Jaime Orlando Santofimio.   </w:t>
            </w:r>
          </w:p>
          <w:p w:rsidRPr="0086590B" w:rsidR="00BE243A" w:rsidP="003F00B1" w:rsidRDefault="00BE243A" w14:paraId="661535A6" w14:textId="576EF371">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 xml:space="preserve">Consejo de Estado, Sección Tercera, Subsección C. Sentencia del 26 de febrero de 2014. C.P. Enrique Gil Botero. Radicado: 13001-23-31-000-1999-00113-01 (25.804). M.P: Enrique Gil Botero.   </w:t>
            </w:r>
          </w:p>
          <w:p w:rsidRPr="0086590B" w:rsidR="00BC4EA3" w:rsidP="003F00B1" w:rsidRDefault="00BC4EA3" w14:paraId="701959F6" w14:textId="5FBC440D">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Consejo de Estado. Sala de Consulta y Servicio Civil. Concepto del 20 de mayo de 2010. Rad. 2010-00034-00 (1992). C.P. Enrique José Arboleda Perdomo.</w:t>
            </w:r>
          </w:p>
          <w:p w:rsidRPr="0086590B" w:rsidR="00705B66" w:rsidP="003F00B1" w:rsidRDefault="00705B66" w14:paraId="03FB8BB4" w14:textId="3CF06B14">
            <w:pPr>
              <w:widowControl w:val="0"/>
              <w:numPr>
                <w:ilvl w:val="0"/>
                <w:numId w:val="18"/>
              </w:numPr>
              <w:autoSpaceDE w:val="0"/>
              <w:autoSpaceDN w:val="0"/>
              <w:spacing w:line="276" w:lineRule="auto"/>
              <w:jc w:val="both"/>
              <w:rPr>
                <w:rFonts w:ascii="Verdana" w:hAnsi="Verdana" w:eastAsia="Arial MT" w:cs="Arial"/>
                <w:lang w:val="es-ES" w:eastAsia="es-ES" w:bidi="es-ES"/>
              </w:rPr>
            </w:pPr>
            <w:r w:rsidRPr="0086590B">
              <w:rPr>
                <w:rFonts w:ascii="Verdana" w:hAnsi="Verdana" w:eastAsia="Arial MT" w:cs="Arial"/>
                <w:lang w:val="es-ES" w:eastAsia="es-ES" w:bidi="es-ES"/>
              </w:rPr>
              <w:t xml:space="preserve">Consejo de Estado. Sala de lo Contencioso Administrativo. Sección </w:t>
            </w:r>
            <w:r w:rsidRPr="0086590B">
              <w:rPr>
                <w:rFonts w:ascii="Verdana" w:hAnsi="Verdana" w:eastAsia="Arial MT" w:cs="Arial"/>
                <w:lang w:val="es-ES" w:eastAsia="es-ES" w:bidi="es-ES"/>
              </w:rPr>
              <w:lastRenderedPageBreak/>
              <w:t>Tercera Subsección B. Sentencia del 27 de abril de 2011. Radicado: 25000-23-26-000-1997-03924-01 (18.293). C.P. Ponente: Ruth Stella Correa Palacio.</w:t>
            </w:r>
          </w:p>
          <w:p w:rsidRPr="0086590B" w:rsidR="00302B2C" w:rsidP="003F00B1" w:rsidRDefault="00213F0D" w14:paraId="54E33C4C" w14:textId="6D37AED9">
            <w:pPr>
              <w:widowControl w:val="0"/>
              <w:numPr>
                <w:ilvl w:val="0"/>
                <w:numId w:val="18"/>
              </w:numPr>
              <w:autoSpaceDE w:val="0"/>
              <w:autoSpaceDN w:val="0"/>
              <w:spacing w:line="276" w:lineRule="auto"/>
              <w:jc w:val="both"/>
              <w:rPr>
                <w:rFonts w:ascii="Verdana" w:hAnsi="Verdana" w:cs="Arial"/>
              </w:rPr>
            </w:pPr>
            <w:r w:rsidRPr="0086590B">
              <w:rPr>
                <w:rFonts w:ascii="Verdana" w:hAnsi="Verdana" w:eastAsia="Arial MT" w:cs="Arial"/>
                <w:lang w:val="es-ES" w:eastAsia="es-ES" w:bidi="es-ES"/>
              </w:rPr>
              <w:t>Consejo de Estado. Sección Tercera. Sentencia del 21 de noviembre de 2013. Radicado 25000-23-26-000-1999-01850-01 (25.397). C.P. Carlos Alberto Zambrano Barrera</w:t>
            </w:r>
            <w:r w:rsidRPr="0086590B" w:rsidR="00436744">
              <w:rPr>
                <w:rFonts w:ascii="Verdana" w:hAnsi="Verdana" w:eastAsia="Arial MT" w:cs="Arial"/>
                <w:lang w:val="es-ES" w:eastAsia="es-ES" w:bidi="es-ES"/>
              </w:rPr>
              <w:t>.</w:t>
            </w:r>
          </w:p>
        </w:tc>
      </w:tr>
    </w:tbl>
    <w:p w:rsidRPr="0086590B" w:rsidR="00302B2C" w:rsidP="008937F5" w:rsidRDefault="00302B2C" w14:paraId="3B59BF4F" w14:textId="77777777">
      <w:pPr>
        <w:widowControl w:val="0"/>
        <w:autoSpaceDE w:val="0"/>
        <w:autoSpaceDN w:val="0"/>
        <w:spacing w:after="0" w:line="276" w:lineRule="auto"/>
        <w:jc w:val="both"/>
        <w:rPr>
          <w:rFonts w:ascii="Verdana" w:hAnsi="Verdana" w:cs="Arial"/>
        </w:rPr>
      </w:pPr>
    </w:p>
    <w:p w:rsidRPr="0086590B" w:rsidR="00302B2C" w:rsidP="008937F5" w:rsidRDefault="00302B2C" w14:paraId="7D0D16FB" w14:textId="77777777">
      <w:pPr>
        <w:pStyle w:val="Prrafodelista"/>
        <w:numPr>
          <w:ilvl w:val="0"/>
          <w:numId w:val="19"/>
        </w:numPr>
        <w:tabs>
          <w:tab w:val="left" w:pos="142"/>
          <w:tab w:val="left" w:pos="284"/>
        </w:tabs>
        <w:spacing w:after="0" w:line="276" w:lineRule="auto"/>
        <w:ind w:left="0" w:firstLine="0"/>
        <w:contextualSpacing w:val="0"/>
        <w:jc w:val="both"/>
        <w:rPr>
          <w:rFonts w:ascii="Verdana" w:hAnsi="Verdana" w:eastAsia="Century Gothic" w:cs="Arial"/>
          <w:b/>
          <w:bCs/>
        </w:rPr>
      </w:pPr>
      <w:r w:rsidRPr="0086590B">
        <w:rPr>
          <w:rFonts w:ascii="Verdana" w:hAnsi="Verdana" w:eastAsia="Century Gothic" w:cs="Arial"/>
          <w:b/>
          <w:bCs/>
        </w:rPr>
        <w:t>Doctrina de la Agencia Nacional de Contratación Pública:</w:t>
      </w:r>
    </w:p>
    <w:p w:rsidRPr="0086590B" w:rsidR="00302B2C" w:rsidP="008937F5" w:rsidRDefault="00302B2C" w14:paraId="7A37A0DA" w14:textId="77777777">
      <w:pPr>
        <w:widowControl w:val="0"/>
        <w:autoSpaceDE w:val="0"/>
        <w:autoSpaceDN w:val="0"/>
        <w:spacing w:after="0" w:line="276" w:lineRule="auto"/>
        <w:jc w:val="both"/>
        <w:rPr>
          <w:rFonts w:ascii="Verdana" w:hAnsi="Verdana" w:cs="Arial"/>
        </w:rPr>
      </w:pPr>
    </w:p>
    <w:p w:rsidRPr="0086590B" w:rsidR="00990F4B" w:rsidP="008937F5" w:rsidRDefault="007D68F6" w14:paraId="776C1509" w14:textId="3F69A270">
      <w:pPr>
        <w:widowControl w:val="0"/>
        <w:autoSpaceDE w:val="0"/>
        <w:autoSpaceDN w:val="0"/>
        <w:spacing w:after="0" w:line="276" w:lineRule="auto"/>
        <w:jc w:val="both"/>
        <w:rPr>
          <w:rFonts w:ascii="Verdana" w:hAnsi="Verdana" w:cs="Arial"/>
          <w:shd w:val="clear" w:color="auto" w:fill="FFFFFF"/>
        </w:rPr>
      </w:pPr>
      <w:r w:rsidRPr="0086590B">
        <w:rPr>
          <w:rFonts w:ascii="Verdana" w:hAnsi="Verdana" w:cs="Arial"/>
          <w:shd w:val="clear" w:color="auto" w:fill="FFFFFF"/>
        </w:rPr>
        <w:t xml:space="preserve">Sobre la regla de </w:t>
      </w:r>
      <w:proofErr w:type="spellStart"/>
      <w:r w:rsidRPr="0086590B">
        <w:rPr>
          <w:rFonts w:ascii="Verdana" w:hAnsi="Verdana" w:cs="Arial"/>
          <w:shd w:val="clear" w:color="auto" w:fill="FFFFFF"/>
        </w:rPr>
        <w:t>subsanabilidad</w:t>
      </w:r>
      <w:proofErr w:type="spellEnd"/>
      <w:r w:rsidRPr="0086590B">
        <w:rPr>
          <w:rFonts w:ascii="Verdana" w:hAnsi="Verdana" w:cs="Arial"/>
          <w:shd w:val="clear" w:color="auto" w:fill="FFFFFF"/>
        </w:rPr>
        <w:t xml:space="preserve"> en los procesos de selección, se pronunció esta Subdirección en los conceptos CU-060 del 20 de febrero de 2020, C-282 del 22 de junio de 2021, C-285 del 20 de mayo de 2022, C-882 del 21 de diciembre de 2022, C-965 de 2023, C-447 del 19 de septiembre de 2024 y C-1009 de 2024, </w:t>
      </w:r>
      <w:r w:rsidRPr="0086590B" w:rsidR="00A8239E">
        <w:rPr>
          <w:rStyle w:val="normaltextrun"/>
          <w:rFonts w:ascii="Verdana" w:hAnsi="Verdana" w:cs="Arial"/>
          <w:shd w:val="clear" w:color="auto" w:fill="FFFFFF"/>
          <w:lang w:val="es-ES"/>
        </w:rPr>
        <w:t xml:space="preserve">C-051 del 21 de febrero de 2025, </w:t>
      </w:r>
      <w:r w:rsidRPr="0086590B" w:rsidR="00A8239E">
        <w:rPr>
          <w:rFonts w:ascii="Verdana" w:hAnsi="Verdana" w:cs="Arial"/>
          <w:shd w:val="clear" w:color="auto" w:fill="FFFFFF"/>
        </w:rPr>
        <w:t xml:space="preserve">C-289 del 14 de abril de 2025, </w:t>
      </w:r>
      <w:r w:rsidRPr="0086590B" w:rsidR="00A8239E">
        <w:rPr>
          <w:rStyle w:val="normaltextrun"/>
          <w:rFonts w:ascii="Verdana" w:hAnsi="Verdana" w:cs="Arial"/>
          <w:shd w:val="clear" w:color="auto" w:fill="FFFFFF"/>
          <w:lang w:val="es-ES"/>
        </w:rPr>
        <w:t xml:space="preserve">C-293 del 16 de abril de 2025, C-295 del 16 de abril de 2025, C-678 del 9 de julio de 2025, </w:t>
      </w:r>
      <w:r w:rsidRPr="0086590B" w:rsidR="00A8239E">
        <w:rPr>
          <w:rFonts w:ascii="Verdana" w:hAnsi="Verdana" w:cs="Arial"/>
          <w:shd w:val="clear" w:color="auto" w:fill="FFFFFF"/>
        </w:rPr>
        <w:t>C-846 del 6 de agosto de 2025</w:t>
      </w:r>
      <w:r w:rsidRPr="0086590B">
        <w:rPr>
          <w:rFonts w:ascii="Verdana" w:hAnsi="Verdana" w:cs="Arial"/>
          <w:shd w:val="clear" w:color="auto" w:fill="FFFFFF"/>
        </w:rPr>
        <w:t xml:space="preserve">, C-1347 del 15 de octubre de 2025, </w:t>
      </w:r>
      <w:r w:rsidRPr="0086590B" w:rsidR="007F3421">
        <w:rPr>
          <w:rStyle w:val="normaltextrun"/>
          <w:rFonts w:ascii="Verdana" w:hAnsi="Verdana" w:cs="Arial"/>
          <w:shd w:val="clear" w:color="auto" w:fill="FFFFFF"/>
          <w:lang w:val="es-ES"/>
        </w:rPr>
        <w:t xml:space="preserve">C- 1363 del 30 de octubre de 2025, </w:t>
      </w:r>
      <w:r w:rsidRPr="0086590B" w:rsidR="001E7A06">
        <w:rPr>
          <w:rStyle w:val="normaltextrun"/>
          <w:rFonts w:ascii="Verdana" w:hAnsi="Verdana" w:cs="Arial"/>
          <w:shd w:val="clear" w:color="auto" w:fill="FFFFFF"/>
          <w:lang w:val="es-ES"/>
        </w:rPr>
        <w:t xml:space="preserve">C-1376 del 31 de octubre de 2025, </w:t>
      </w:r>
      <w:r w:rsidRPr="0086590B" w:rsidR="006A1948">
        <w:rPr>
          <w:rFonts w:ascii="Verdana" w:hAnsi="Verdana" w:cs="Arial"/>
          <w:shd w:val="clear" w:color="auto" w:fill="FFFFFF"/>
        </w:rPr>
        <w:t>C-1625 del 15 de diciembre del 2025</w:t>
      </w:r>
      <w:r w:rsidRPr="0086590B" w:rsidR="00E053C6">
        <w:rPr>
          <w:rFonts w:ascii="Verdana" w:hAnsi="Verdana" w:cs="Arial"/>
          <w:shd w:val="clear" w:color="auto" w:fill="FFFFFF"/>
        </w:rPr>
        <w:t xml:space="preserve"> y</w:t>
      </w:r>
      <w:r w:rsidRPr="0086590B" w:rsidR="006A1948">
        <w:rPr>
          <w:rFonts w:ascii="Verdana" w:hAnsi="Verdana" w:cs="Arial"/>
          <w:shd w:val="clear" w:color="auto" w:fill="FFFFFF"/>
        </w:rPr>
        <w:t xml:space="preserve"> </w:t>
      </w:r>
      <w:r w:rsidRPr="0086590B" w:rsidR="008B6ABD">
        <w:rPr>
          <w:rFonts w:ascii="Verdana" w:hAnsi="Verdana" w:cs="Arial"/>
          <w:shd w:val="clear" w:color="auto" w:fill="FFFFFF"/>
        </w:rPr>
        <w:t>C- 1771 del 28 de diciembre del 2025.</w:t>
      </w:r>
    </w:p>
    <w:p w:rsidRPr="0086590B" w:rsidR="008937F5" w:rsidP="003F00B1" w:rsidRDefault="008937F5" w14:paraId="52898092" w14:textId="77777777">
      <w:pPr>
        <w:widowControl w:val="0"/>
        <w:autoSpaceDE w:val="0"/>
        <w:autoSpaceDN w:val="0"/>
        <w:spacing w:after="0" w:line="276" w:lineRule="auto"/>
        <w:jc w:val="both"/>
        <w:rPr>
          <w:rFonts w:ascii="Verdana" w:hAnsi="Verdana" w:cs="Arial"/>
          <w:shd w:val="clear" w:color="auto" w:fill="FFFFFF"/>
        </w:rPr>
      </w:pPr>
    </w:p>
    <w:p w:rsidRPr="0086590B" w:rsidR="00990F4B" w:rsidP="003F00B1" w:rsidRDefault="006E446C" w14:paraId="37AB932D" w14:textId="77777777">
      <w:pPr>
        <w:widowControl w:val="0"/>
        <w:autoSpaceDE w:val="0"/>
        <w:autoSpaceDN w:val="0"/>
        <w:spacing w:after="0" w:line="276" w:lineRule="auto"/>
        <w:jc w:val="both"/>
        <w:rPr>
          <w:rFonts w:ascii="Verdana" w:hAnsi="Verdana" w:cs="Arial"/>
          <w:shd w:val="clear" w:color="auto" w:fill="FFFFFF"/>
        </w:rPr>
      </w:pPr>
      <w:r w:rsidRPr="0086590B">
        <w:rPr>
          <w:rStyle w:val="normaltextrun"/>
          <w:rFonts w:ascii="Verdana" w:hAnsi="Verdana" w:cs="Arial"/>
          <w:shd w:val="clear" w:color="auto" w:fill="FFFFFF"/>
          <w:lang w:val="es-ES"/>
        </w:rPr>
        <w:t xml:space="preserve">Sobre las causales de rechazo contempladas en el pliego de condiciones, esta Subdirección se ha pronunciado en los conceptos </w:t>
      </w:r>
      <w:r w:rsidRPr="0086590B">
        <w:rPr>
          <w:rFonts w:ascii="Verdana" w:hAnsi="Verdana" w:eastAsia="Calibri" w:cs="Arial"/>
          <w:shd w:val="clear" w:color="auto" w:fill="FFFFFF"/>
          <w:lang w:val="es-ES"/>
        </w:rPr>
        <w:t>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C-244 del 13 de agosto de 2024, C- 848 del 4 de agosto de 2025, entre otros.</w:t>
      </w:r>
      <w:r w:rsidRPr="0086590B">
        <w:rPr>
          <w:rStyle w:val="normaltextrun"/>
          <w:rFonts w:ascii="Verdana" w:hAnsi="Verdana" w:cs="Arial"/>
          <w:shd w:val="clear" w:color="auto" w:fill="FFFFFF"/>
          <w:lang w:val="es-ES"/>
        </w:rPr>
        <w:t xml:space="preserve"> </w:t>
      </w:r>
      <w:r w:rsidRPr="0086590B">
        <w:rPr>
          <w:rFonts w:ascii="Verdana" w:hAnsi="Verdana" w:cs="Arial"/>
        </w:rPr>
        <w:t>Estos y otros conceptos se encuentran disponibles para consulta en el Sistema de relatoría de la Agencia, al cual se puede acceder a través del siguiente enlace:</w:t>
      </w:r>
      <w:r w:rsidRPr="0086590B">
        <w:rPr>
          <w:rFonts w:ascii="Verdana" w:hAnsi="Verdana" w:cs="Arial"/>
          <w:shd w:val="clear" w:color="auto" w:fill="FFFFFF"/>
        </w:rPr>
        <w:t xml:space="preserve"> </w:t>
      </w:r>
      <w:hyperlink w:history="1" r:id="rId12">
        <w:r w:rsidRPr="0086590B">
          <w:rPr>
            <w:rStyle w:val="Hipervnculo"/>
            <w:rFonts w:ascii="Verdana" w:hAnsi="Verdana" w:cs="Arial"/>
            <w:shd w:val="clear" w:color="auto" w:fill="FFFFFF"/>
          </w:rPr>
          <w:t>https://relatoria.colombiacompra.gov.co/busqueda/conceptos</w:t>
        </w:r>
      </w:hyperlink>
      <w:r w:rsidRPr="0086590B">
        <w:rPr>
          <w:rFonts w:ascii="Verdana" w:hAnsi="Verdana" w:cs="Arial"/>
          <w:shd w:val="clear" w:color="auto" w:fill="FFFFFF"/>
        </w:rPr>
        <w:t>.</w:t>
      </w:r>
      <w:r w:rsidRPr="0086590B">
        <w:rPr>
          <w:rFonts w:ascii="Verdana" w:hAnsi="Verdana" w:cs="Arial"/>
          <w:color w:val="FF0000"/>
          <w:shd w:val="clear" w:color="auto" w:fill="FFFFFF"/>
        </w:rPr>
        <w:t xml:space="preserve"> </w:t>
      </w:r>
      <w:r w:rsidRPr="0086590B">
        <w:rPr>
          <w:rFonts w:ascii="Verdana" w:hAnsi="Verdana" w:cs="Arial"/>
          <w:color w:val="000000" w:themeColor="text1"/>
          <w:shd w:val="clear" w:color="auto" w:fill="FFFFFF"/>
        </w:rPr>
        <w:t>  </w:t>
      </w:r>
    </w:p>
    <w:p w:rsidRPr="0086590B" w:rsidR="008937F5" w:rsidP="008937F5" w:rsidRDefault="008937F5" w14:paraId="3FB6B92D" w14:textId="77777777">
      <w:pPr>
        <w:spacing w:after="0" w:line="276" w:lineRule="auto"/>
        <w:jc w:val="both"/>
        <w:rPr>
          <w:rFonts w:ascii="Verdana" w:hAnsi="Verdana" w:cs="Arial"/>
        </w:rPr>
      </w:pPr>
    </w:p>
    <w:p w:rsidRPr="0086590B" w:rsidR="008937F5" w:rsidP="003F00B1" w:rsidRDefault="008937F5" w14:paraId="075D4D67" w14:textId="1B950A3E">
      <w:pPr>
        <w:spacing w:after="0" w:line="276" w:lineRule="auto"/>
        <w:jc w:val="both"/>
        <w:rPr>
          <w:rFonts w:ascii="Verdana" w:hAnsi="Verdana" w:cs="Arial"/>
        </w:rPr>
      </w:pPr>
      <w:r w:rsidRPr="0086590B">
        <w:rPr>
          <w:rFonts w:ascii="Verdana" w:hAnsi="Verdana" w:cs="Arial"/>
        </w:rPr>
        <w:t xml:space="preserve">La sostenibilidad no es una opción, es una obligación. Por ello, la Agencia Nacional de Contratación Pública –Colombia Compra Eficiente– te invita a realizar el </w:t>
      </w:r>
      <w:r w:rsidRPr="0086590B">
        <w:rPr>
          <w:rFonts w:ascii="Verdana" w:hAnsi="Verdana" w:cs="Arial"/>
          <w:b/>
          <w:bCs/>
        </w:rPr>
        <w:t>Curso de Contratación Pública Sostenible y Socialmente Responsable</w:t>
      </w:r>
      <w:r w:rsidRPr="0086590B">
        <w:rPr>
          <w:rFonts w:ascii="Verdana" w:hAnsi="Verdana" w:cs="Arial"/>
        </w:rPr>
        <w:t xml:space="preserve">, una herramienta clave para fortalecer las capacidades de todos los compradores públicos, proveedores, servidores públicos v para generar </w:t>
      </w:r>
      <w:r w:rsidRPr="0086590B">
        <w:rPr>
          <w:rFonts w:ascii="Verdana" w:hAnsi="Verdana" w:cs="Arial"/>
        </w:rPr>
        <w:lastRenderedPageBreak/>
        <w:t>mayor valor público. Accede al curso y aprende como implementar criterios sociales y ambientales en las diferentes etapas del proceso de contratación:</w:t>
      </w:r>
      <w:r w:rsidRPr="0086590B">
        <w:rPr>
          <w:rFonts w:ascii="Verdana" w:hAnsi="Verdana" w:cs="Arial"/>
        </w:rPr>
        <w:br/>
      </w:r>
      <w:hyperlink w:tgtFrame="_new" w:history="1" r:id="rId13">
        <w:r w:rsidRPr="0086590B">
          <w:rPr>
            <w:rStyle w:val="Hipervnculo"/>
            <w:rFonts w:ascii="Verdana" w:hAnsi="Verdana" w:cs="Arial"/>
          </w:rPr>
          <w:t>https://formacionvirtual.colombiacompra.gov.co/mod/page/view.php?id=3718</w:t>
        </w:r>
      </w:hyperlink>
    </w:p>
    <w:p w:rsidRPr="0086590B" w:rsidR="008937F5" w:rsidP="008937F5" w:rsidRDefault="008937F5" w14:paraId="42D87BE1" w14:textId="77777777">
      <w:pPr>
        <w:spacing w:after="0" w:line="276" w:lineRule="auto"/>
        <w:jc w:val="both"/>
        <w:rPr>
          <w:rFonts w:ascii="Verdana" w:hAnsi="Verdana" w:cs="Arial"/>
        </w:rPr>
      </w:pPr>
    </w:p>
    <w:p w:rsidRPr="0086590B" w:rsidR="008937F5" w:rsidP="003F00B1" w:rsidRDefault="008937F5" w14:paraId="216F0A4A" w14:textId="719A2DB5">
      <w:pPr>
        <w:spacing w:after="0" w:line="276" w:lineRule="auto"/>
        <w:jc w:val="both"/>
        <w:rPr>
          <w:rFonts w:ascii="Verdana" w:hAnsi="Verdana" w:cs="Arial"/>
        </w:rPr>
      </w:pPr>
      <w:r w:rsidRPr="0086590B">
        <w:rPr>
          <w:rFonts w:ascii="Verdana" w:hAnsi="Verdana" w:cs="Arial"/>
        </w:rPr>
        <w:t xml:space="preserve">De otro lado, te contamos que esta Agencia ha da un paso decisivo en la estandarización y modernización del </w:t>
      </w:r>
      <w:r w:rsidRPr="0086590B">
        <w:rPr>
          <w:rFonts w:ascii="Verdana" w:hAnsi="Verdana" w:cs="Arial"/>
          <w:b/>
          <w:bCs/>
        </w:rPr>
        <w:t>sector  social</w:t>
      </w:r>
      <w:r w:rsidRPr="0086590B">
        <w:rPr>
          <w:rFonts w:ascii="Verdana" w:hAnsi="Verdana" w:cs="Arial"/>
        </w:rPr>
        <w:t xml:space="preserve"> con la expedición de las </w:t>
      </w:r>
      <w:r w:rsidRPr="0086590B">
        <w:rPr>
          <w:rFonts w:ascii="Verdana" w:hAnsi="Verdana" w:cs="Arial"/>
          <w:b/>
          <w:bCs/>
        </w:rPr>
        <w:t>Resoluciones 539, 540, 541, 952 y 953 de 2025</w:t>
      </w:r>
      <w:r w:rsidRPr="0086590B">
        <w:rPr>
          <w:rFonts w:ascii="Verdana" w:hAnsi="Verdana" w:cs="Arial"/>
        </w:rPr>
        <w:t xml:space="preserve">, </w:t>
      </w:r>
      <w:r w:rsidRPr="0086590B">
        <w:rPr>
          <w:rFonts w:ascii="Verdana" w:hAnsi="Verdana" w:cs="Arial"/>
          <w:b/>
          <w:bCs/>
        </w:rPr>
        <w:t>mediante las cuales adoptó Documentos Tipo</w:t>
      </w:r>
      <w:r w:rsidRPr="0086590B">
        <w:rPr>
          <w:rFonts w:ascii="Verdana" w:hAnsi="Verdana" w:cs="Arial"/>
        </w:rPr>
        <w:t xml:space="preserve"> para las modalidades de selección de</w:t>
      </w:r>
      <w:r w:rsidRPr="0086590B">
        <w:rPr>
          <w:rFonts w:ascii="Verdana" w:hAnsi="Verdana" w:cs="Arial"/>
          <w:b/>
          <w:bCs/>
        </w:rPr>
        <w:t xml:space="preserve"> licitación pública (versión 2), selección abreviada de menor cuantía, mínima cuantía, consultoría e interventoría</w:t>
      </w:r>
      <w:r w:rsidRPr="0086590B">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4">
        <w:r w:rsidRPr="0086590B">
          <w:rPr>
            <w:rStyle w:val="Hipervnculo"/>
            <w:rFonts w:ascii="Verdana" w:hAnsi="Verdana" w:cs="Arial"/>
          </w:rPr>
          <w:t>https://www.colombiacompra.gov.co/normativa-y-relatoria/documentos-tipo</w:t>
        </w:r>
      </w:hyperlink>
    </w:p>
    <w:p w:rsidRPr="0086590B" w:rsidR="008937F5" w:rsidP="008937F5" w:rsidRDefault="008937F5" w14:paraId="5D6FF7A4" w14:textId="77777777">
      <w:pPr>
        <w:spacing w:after="0" w:line="276" w:lineRule="auto"/>
        <w:jc w:val="both"/>
        <w:rPr>
          <w:rFonts w:ascii="Verdana" w:hAnsi="Verdana" w:cs="Arial"/>
        </w:rPr>
      </w:pPr>
    </w:p>
    <w:p w:rsidRPr="0086590B" w:rsidR="00302B2C" w:rsidP="003F00B1" w:rsidRDefault="008937F5" w14:paraId="52075B35" w14:textId="486D0B9B">
      <w:pPr>
        <w:spacing w:after="0" w:line="276" w:lineRule="auto"/>
        <w:jc w:val="both"/>
        <w:rPr>
          <w:rFonts w:ascii="Verdana" w:hAnsi="Verdana" w:cs="Arial"/>
        </w:rPr>
      </w:pPr>
      <w:r w:rsidRPr="0086590B">
        <w:rPr>
          <w:rFonts w:ascii="Verdana" w:hAnsi="Verdana" w:cs="Arial"/>
        </w:rPr>
        <w:t xml:space="preserve">Si quieres conocer más sobre la aplicación de Documentos Tipo puedes consultar la última versión de la </w:t>
      </w:r>
      <w:r w:rsidRPr="0086590B">
        <w:rPr>
          <w:rFonts w:ascii="Verdana" w:hAnsi="Verdana" w:cs="Arial"/>
          <w:b/>
          <w:bCs/>
        </w:rPr>
        <w:t>Guía para la comprensión e implementación de los Documentos Tipo de obra pública de infraestructura de transporte</w:t>
      </w:r>
      <w:r w:rsidRPr="0086590B">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590B">
        <w:rPr>
          <w:rFonts w:ascii="Verdana" w:hAnsi="Verdana" w:cs="Arial"/>
        </w:rPr>
        <w:br/>
      </w:r>
      <w:hyperlink w:tgtFrame="_new" w:history="1" r:id="rId15">
        <w:r w:rsidRPr="0086590B">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rsidRPr="0086590B" w:rsidR="008937F5" w:rsidP="008937F5" w:rsidRDefault="008937F5" w14:paraId="581A23B7" w14:textId="77777777">
      <w:pPr>
        <w:spacing w:after="0" w:line="276" w:lineRule="auto"/>
        <w:jc w:val="both"/>
        <w:rPr>
          <w:rFonts w:ascii="Verdana" w:hAnsi="Verdana" w:cs="Arial"/>
        </w:rPr>
      </w:pPr>
    </w:p>
    <w:p w:rsidRPr="0086590B" w:rsidR="00302B2C" w:rsidP="008937F5" w:rsidRDefault="00302B2C" w14:paraId="7F42D359" w14:textId="0EAB2E41">
      <w:pPr>
        <w:spacing w:after="0" w:line="276" w:lineRule="auto"/>
        <w:jc w:val="both"/>
        <w:rPr>
          <w:rFonts w:ascii="Verdana" w:hAnsi="Verdana" w:cs="Arial"/>
        </w:rPr>
      </w:pPr>
      <w:r w:rsidRPr="0086590B">
        <w:rPr>
          <w:rFonts w:ascii="Verdana" w:hAnsi="Verdana" w:cs="Arial"/>
        </w:rPr>
        <w:t xml:space="preserve">Por último, lo invitamos a seguirnos en las redes sociales en las cuales se difunde información institucional: </w:t>
      </w:r>
    </w:p>
    <w:p w:rsidRPr="0086590B" w:rsidR="00302B2C" w:rsidP="008937F5" w:rsidRDefault="00302B2C" w14:paraId="41B2E808" w14:textId="77777777">
      <w:pPr>
        <w:spacing w:after="0" w:line="276" w:lineRule="auto"/>
        <w:jc w:val="both"/>
        <w:rPr>
          <w:rFonts w:ascii="Verdana" w:hAnsi="Verdana" w:cs="Arial"/>
        </w:rPr>
      </w:pPr>
    </w:p>
    <w:p w:rsidRPr="0086590B" w:rsidR="00302B2C" w:rsidP="008937F5" w:rsidRDefault="00302B2C" w14:paraId="077C4790" w14:textId="77777777">
      <w:pPr>
        <w:spacing w:after="0" w:line="276" w:lineRule="auto"/>
        <w:jc w:val="both"/>
        <w:rPr>
          <w:rFonts w:ascii="Verdana" w:hAnsi="Verdana" w:cs="Arial"/>
        </w:rPr>
      </w:pPr>
      <w:r w:rsidRPr="0086590B">
        <w:rPr>
          <w:rFonts w:ascii="Verdana" w:hAnsi="Verdana" w:cs="Arial"/>
        </w:rPr>
        <w:t xml:space="preserve">Twitter: </w:t>
      </w:r>
      <w:r w:rsidRPr="0086590B">
        <w:rPr>
          <w:rStyle w:val="Hipervnculo"/>
          <w:rFonts w:ascii="Verdana" w:hAnsi="Verdana" w:cs="Arial"/>
          <w:color w:val="4472C4" w:themeColor="accent1"/>
        </w:rPr>
        <w:t>@colombiacompra</w:t>
      </w:r>
      <w:r w:rsidRPr="0086590B">
        <w:rPr>
          <w:rFonts w:ascii="Verdana" w:hAnsi="Verdana" w:cs="Arial"/>
          <w:color w:val="4472C4" w:themeColor="accent1"/>
        </w:rPr>
        <w:t xml:space="preserve"> </w:t>
      </w:r>
    </w:p>
    <w:p w:rsidRPr="0086590B" w:rsidR="00302B2C" w:rsidP="008937F5" w:rsidRDefault="00302B2C" w14:paraId="45D20BD2" w14:textId="77777777">
      <w:pPr>
        <w:spacing w:after="0" w:line="276" w:lineRule="auto"/>
        <w:jc w:val="both"/>
        <w:rPr>
          <w:rFonts w:ascii="Verdana" w:hAnsi="Verdana" w:cs="Arial"/>
        </w:rPr>
      </w:pPr>
      <w:r w:rsidRPr="0086590B">
        <w:rPr>
          <w:rFonts w:ascii="Verdana" w:hAnsi="Verdana" w:cs="Arial"/>
        </w:rPr>
        <w:t xml:space="preserve">Facebook: </w:t>
      </w:r>
      <w:proofErr w:type="spellStart"/>
      <w:r w:rsidRPr="0086590B">
        <w:rPr>
          <w:rStyle w:val="Hipervnculo"/>
          <w:rFonts w:ascii="Verdana" w:hAnsi="Verdana" w:cs="Arial"/>
          <w:color w:val="4472C4" w:themeColor="accent1"/>
        </w:rPr>
        <w:t>ColombiaCompraEficiente</w:t>
      </w:r>
      <w:proofErr w:type="spellEnd"/>
    </w:p>
    <w:p w:rsidRPr="0086590B" w:rsidR="00302B2C" w:rsidP="008937F5" w:rsidRDefault="00302B2C" w14:paraId="261C4D15" w14:textId="77777777">
      <w:pPr>
        <w:spacing w:after="0" w:line="276" w:lineRule="auto"/>
        <w:jc w:val="both"/>
        <w:rPr>
          <w:rStyle w:val="Hipervnculo"/>
          <w:rFonts w:ascii="Verdana" w:hAnsi="Verdana" w:cs="Arial"/>
          <w:color w:val="4472C4" w:themeColor="accent1"/>
        </w:rPr>
      </w:pPr>
      <w:r w:rsidRPr="0086590B">
        <w:rPr>
          <w:rFonts w:ascii="Verdana" w:hAnsi="Verdana" w:cs="Arial"/>
        </w:rPr>
        <w:t xml:space="preserve">LinkedIn: </w:t>
      </w:r>
      <w:r w:rsidRPr="0086590B">
        <w:rPr>
          <w:rStyle w:val="Hipervnculo"/>
          <w:rFonts w:ascii="Verdana" w:hAnsi="Verdana" w:cs="Arial"/>
          <w:color w:val="4472C4" w:themeColor="accent1"/>
        </w:rPr>
        <w:t>Agencia Nacional de Contratación Pública - Colombia Compra Eficiente</w:t>
      </w:r>
      <w:r w:rsidRPr="0086590B">
        <w:rPr>
          <w:rFonts w:ascii="Verdana" w:hAnsi="Verdana" w:cs="Arial"/>
          <w:color w:val="4472C4" w:themeColor="accent1"/>
        </w:rPr>
        <w:t xml:space="preserve"> </w:t>
      </w:r>
      <w:r w:rsidRPr="0086590B">
        <w:rPr>
          <w:rFonts w:ascii="Verdana" w:hAnsi="Verdana" w:cs="Arial"/>
        </w:rPr>
        <w:t xml:space="preserve">Instagram: </w:t>
      </w:r>
      <w:r w:rsidRPr="0086590B">
        <w:rPr>
          <w:rStyle w:val="Hipervnculo"/>
          <w:rFonts w:ascii="Verdana" w:hAnsi="Verdana" w:cs="Arial"/>
          <w:color w:val="4472C4" w:themeColor="accent1"/>
        </w:rPr>
        <w:t>@colombiacompraeficiente_cce</w:t>
      </w:r>
    </w:p>
    <w:p w:rsidRPr="0086590B" w:rsidR="00302B2C" w:rsidP="008937F5" w:rsidRDefault="00302B2C" w14:paraId="26C5F7A5" w14:textId="77777777">
      <w:pPr>
        <w:spacing w:after="0" w:line="276" w:lineRule="auto"/>
        <w:jc w:val="both"/>
        <w:rPr>
          <w:rStyle w:val="Hipervnculo"/>
          <w:rFonts w:ascii="Verdana" w:hAnsi="Verdana" w:cs="Arial"/>
          <w:color w:val="4472C4" w:themeColor="accent1"/>
        </w:rPr>
      </w:pPr>
    </w:p>
    <w:p w:rsidRPr="0086590B" w:rsidR="00302B2C" w:rsidP="008937F5" w:rsidRDefault="00302B2C" w14:paraId="13BA46B1" w14:textId="77777777">
      <w:pPr>
        <w:widowControl w:val="0"/>
        <w:autoSpaceDE w:val="0"/>
        <w:autoSpaceDN w:val="0"/>
        <w:spacing w:after="0" w:line="276" w:lineRule="auto"/>
        <w:jc w:val="both"/>
        <w:rPr>
          <w:rFonts w:ascii="Verdana" w:hAnsi="Verdana" w:cs="Arial"/>
          <w:lang w:val="es-ES_tradnl"/>
        </w:rPr>
      </w:pPr>
      <w:r w:rsidRPr="0086590B">
        <w:rPr>
          <w:rFonts w:ascii="Verdana" w:hAnsi="Verdana" w:cs="Arial"/>
        </w:rPr>
        <w:t xml:space="preserve">Este concepto tiene el alcance previsto en el artículo 28 del Código de Procedimiento Administrativo y de lo Contencioso Administrativo </w:t>
      </w:r>
      <w:r w:rsidRPr="0086590B">
        <w:rPr>
          <w:rFonts w:ascii="Verdana" w:hAnsi="Verdana" w:cs="Arial"/>
          <w:lang w:val="es-ES_tradnl"/>
        </w:rPr>
        <w:t>y las expresiones aquí utilizadas con mayúscula inicial deben ser entendidas con el significado que les otorga el artículo 2.2.1.1.1.3.1. del Decreto 1082 de 2015.</w:t>
      </w:r>
    </w:p>
    <w:p w:rsidRPr="0086590B" w:rsidR="00302B2C" w:rsidP="008937F5" w:rsidRDefault="00302B2C" w14:paraId="6C36AE4B" w14:textId="77777777">
      <w:pPr>
        <w:widowControl w:val="0"/>
        <w:autoSpaceDE w:val="0"/>
        <w:autoSpaceDN w:val="0"/>
        <w:spacing w:after="0" w:line="276" w:lineRule="auto"/>
        <w:jc w:val="both"/>
        <w:rPr>
          <w:rFonts w:ascii="Verdana" w:hAnsi="Verdana" w:cs="Arial"/>
        </w:rPr>
      </w:pPr>
    </w:p>
    <w:p w:rsidRPr="0086590B" w:rsidR="00302B2C" w:rsidP="003F00B1" w:rsidRDefault="00302B2C" w14:paraId="08C963B8" w14:textId="77777777">
      <w:pPr>
        <w:spacing w:after="0" w:line="276" w:lineRule="auto"/>
        <w:jc w:val="both"/>
        <w:rPr>
          <w:rFonts w:ascii="Verdana" w:hAnsi="Verdana" w:cs="Arial"/>
          <w:lang w:eastAsia="es-CO"/>
        </w:rPr>
      </w:pPr>
      <w:r w:rsidRPr="0086590B">
        <w:rPr>
          <w:rFonts w:ascii="Verdana" w:hAnsi="Verdana" w:eastAsia="Times New Roman" w:cs="Arial"/>
          <w:lang w:eastAsia="es-CO"/>
        </w:rPr>
        <w:t>Atentamente,</w:t>
      </w:r>
      <w:r w:rsidRPr="0086590B">
        <w:rPr>
          <w:rFonts w:ascii="Verdana" w:hAnsi="Verdana" w:cs="Arial"/>
          <w:lang w:eastAsia="es-CO"/>
        </w:rPr>
        <w:t xml:space="preserve"> </w:t>
      </w:r>
    </w:p>
    <w:p w:rsidRPr="0086590B" w:rsidR="00302B2C" w:rsidP="00302B2C" w:rsidRDefault="000B0CD6" w14:paraId="31032FAF" w14:textId="1D2A2778">
      <w:pPr>
        <w:spacing w:line="276" w:lineRule="auto"/>
        <w:jc w:val="center"/>
        <w:rPr>
          <w:rFonts w:ascii="Verdana" w:hAnsi="Verdana" w:cs="Arial"/>
          <w:color w:val="000000"/>
          <w:sz w:val="16"/>
          <w:szCs w:val="16"/>
          <w:lang w:val="es-ES_tradnl" w:eastAsia="es-CO"/>
        </w:rPr>
      </w:pPr>
      <w:r w:rsidRPr="0086590B">
        <w:rPr>
          <w:rFonts w:ascii="Verdana" w:hAnsi="Verdana"/>
          <w:noProof/>
        </w:rPr>
        <w:drawing>
          <wp:inline distT="0" distB="0" distL="0" distR="0" wp14:anchorId="7538E0E3" wp14:editId="22184A7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86590B" w:rsidR="00302B2C" w:rsidTr="009837FE" w14:paraId="3E8C3F7D" w14:textId="77777777">
        <w:trPr>
          <w:trHeight w:val="315"/>
        </w:trPr>
        <w:tc>
          <w:tcPr>
            <w:tcW w:w="893" w:type="dxa"/>
            <w:vAlign w:val="center"/>
            <w:hideMark/>
          </w:tcPr>
          <w:p w:rsidRPr="0086590B" w:rsidR="00302B2C" w:rsidP="009837FE" w:rsidRDefault="00302B2C" w14:paraId="62491BFF" w14:textId="77777777">
            <w:pPr>
              <w:contextualSpacing/>
              <w:rPr>
                <w:rFonts w:ascii="Verdana" w:hAnsi="Verdana" w:cs="Arial"/>
                <w:sz w:val="16"/>
                <w:szCs w:val="16"/>
                <w:lang w:val="es-ES" w:eastAsia="es-ES"/>
              </w:rPr>
            </w:pPr>
            <w:r w:rsidRPr="0086590B">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86590B" w:rsidR="00302B2C" w:rsidP="009837FE" w:rsidRDefault="00302B2C" w14:paraId="29C3F428" w14:textId="77777777">
            <w:pPr>
              <w:contextualSpacing/>
              <w:rPr>
                <w:rFonts w:ascii="Verdana" w:hAnsi="Verdana" w:eastAsia="Arial" w:cs="Arial"/>
                <w:sz w:val="16"/>
                <w:szCs w:val="16"/>
              </w:rPr>
            </w:pPr>
            <w:r w:rsidRPr="0086590B">
              <w:rPr>
                <w:rFonts w:ascii="Verdana" w:hAnsi="Verdana" w:eastAsia="Arial" w:cs="Arial"/>
                <w:sz w:val="16"/>
                <w:szCs w:val="16"/>
              </w:rPr>
              <w:t>Ana María Ortiz Ballesteros</w:t>
            </w:r>
          </w:p>
          <w:p w:rsidRPr="0086590B" w:rsidR="00302B2C" w:rsidP="009837FE" w:rsidRDefault="00302B2C" w14:paraId="5D7A794C" w14:textId="77777777">
            <w:pPr>
              <w:contextualSpacing/>
              <w:rPr>
                <w:rFonts w:ascii="Verdana" w:hAnsi="Verdana" w:eastAsia="Arial" w:cs="Arial"/>
                <w:sz w:val="16"/>
                <w:szCs w:val="16"/>
              </w:rPr>
            </w:pPr>
            <w:r w:rsidRPr="0086590B">
              <w:rPr>
                <w:rStyle w:val="normaltextrun"/>
                <w:rFonts w:ascii="Verdana" w:hAnsi="Verdana" w:eastAsia="Arial" w:cs="Arial"/>
                <w:sz w:val="16"/>
                <w:szCs w:val="16"/>
              </w:rPr>
              <w:t>C</w:t>
            </w:r>
            <w:r w:rsidRPr="0086590B">
              <w:rPr>
                <w:rStyle w:val="normaltextrun"/>
                <w:rFonts w:ascii="Verdana" w:hAnsi="Verdana"/>
                <w:sz w:val="16"/>
                <w:szCs w:val="16"/>
              </w:rPr>
              <w:t>ontratista</w:t>
            </w:r>
            <w:r w:rsidRPr="0086590B">
              <w:rPr>
                <w:rStyle w:val="normaltextrun"/>
                <w:rFonts w:ascii="Verdana" w:hAnsi="Verdana" w:eastAsia="Arial" w:cs="Arial"/>
                <w:sz w:val="16"/>
                <w:szCs w:val="16"/>
              </w:rPr>
              <w:t xml:space="preserve"> de la Subdirección de Gestión Contractual</w:t>
            </w:r>
          </w:p>
        </w:tc>
      </w:tr>
      <w:tr w:rsidRPr="0086590B" w:rsidR="00302B2C" w:rsidTr="009837FE" w14:paraId="6A4825CA" w14:textId="77777777">
        <w:trPr>
          <w:trHeight w:val="330"/>
        </w:trPr>
        <w:tc>
          <w:tcPr>
            <w:tcW w:w="893" w:type="dxa"/>
            <w:vAlign w:val="center"/>
            <w:hideMark/>
          </w:tcPr>
          <w:p w:rsidRPr="0086590B" w:rsidR="00302B2C" w:rsidP="009837FE" w:rsidRDefault="00302B2C" w14:paraId="256C60F3" w14:textId="77777777">
            <w:pPr>
              <w:contextualSpacing/>
              <w:rPr>
                <w:rFonts w:ascii="Verdana" w:hAnsi="Verdana" w:cs="Arial"/>
                <w:sz w:val="16"/>
                <w:szCs w:val="16"/>
                <w:lang w:val="es-ES" w:eastAsia="es-ES"/>
              </w:rPr>
            </w:pPr>
            <w:r w:rsidRPr="0086590B">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86590B" w:rsidR="00302B2C" w:rsidP="009837FE" w:rsidRDefault="00552515" w14:paraId="49D00924" w14:textId="69368A43">
            <w:pPr>
              <w:pStyle w:val="paragraph"/>
              <w:spacing w:before="0" w:beforeAutospacing="0" w:after="0" w:afterAutospacing="0"/>
              <w:contextualSpacing/>
              <w:textAlignment w:val="baseline"/>
              <w:rPr>
                <w:rFonts w:ascii="Verdana" w:hAnsi="Verdana" w:cs="Arial"/>
                <w:sz w:val="16"/>
                <w:szCs w:val="16"/>
              </w:rPr>
            </w:pPr>
            <w:r w:rsidRPr="0086590B">
              <w:rPr>
                <w:rFonts w:ascii="Verdana" w:hAnsi="Verdana" w:cs="Arial"/>
                <w:sz w:val="16"/>
                <w:szCs w:val="16"/>
              </w:rPr>
              <w:t>Diana Lucia Saavedra Castañeda</w:t>
            </w:r>
          </w:p>
          <w:p w:rsidRPr="0086590B" w:rsidR="00302B2C" w:rsidP="009837FE" w:rsidRDefault="00552515" w14:paraId="4CFB9321" w14:textId="50B94E30">
            <w:pPr>
              <w:pStyle w:val="paragraph"/>
              <w:spacing w:before="0" w:beforeAutospacing="0" w:after="0" w:afterAutospacing="0"/>
              <w:contextualSpacing/>
              <w:textAlignment w:val="baseline"/>
              <w:rPr>
                <w:rFonts w:ascii="Verdana" w:hAnsi="Verdana" w:cs="Arial"/>
                <w:sz w:val="16"/>
                <w:szCs w:val="16"/>
              </w:rPr>
            </w:pPr>
            <w:r w:rsidRPr="0086590B">
              <w:rPr>
                <w:rStyle w:val="normaltextrun"/>
                <w:rFonts w:ascii="Verdana" w:hAnsi="Verdana" w:eastAsia="Arial" w:cs="Arial"/>
                <w:sz w:val="16"/>
                <w:szCs w:val="16"/>
              </w:rPr>
              <w:t>C</w:t>
            </w:r>
            <w:r w:rsidRPr="0086590B">
              <w:rPr>
                <w:rStyle w:val="normaltextrun"/>
                <w:rFonts w:ascii="Verdana" w:hAnsi="Verdana"/>
                <w:sz w:val="16"/>
                <w:szCs w:val="16"/>
              </w:rPr>
              <w:t>ontratista</w:t>
            </w:r>
            <w:r w:rsidRPr="0086590B">
              <w:rPr>
                <w:rStyle w:val="normaltextrun"/>
                <w:rFonts w:ascii="Verdana" w:hAnsi="Verdana" w:eastAsia="Arial" w:cs="Arial"/>
                <w:sz w:val="16"/>
                <w:szCs w:val="16"/>
              </w:rPr>
              <w:t xml:space="preserve"> de la Subdirección de Gestión Contractual</w:t>
            </w:r>
          </w:p>
        </w:tc>
      </w:tr>
      <w:tr w:rsidRPr="0086590B" w:rsidR="00302B2C" w:rsidTr="009837FE" w14:paraId="14E99772" w14:textId="77777777">
        <w:trPr>
          <w:trHeight w:val="300"/>
        </w:trPr>
        <w:tc>
          <w:tcPr>
            <w:tcW w:w="893" w:type="dxa"/>
            <w:vAlign w:val="center"/>
          </w:tcPr>
          <w:p w:rsidRPr="0086590B" w:rsidR="00302B2C" w:rsidP="009837FE" w:rsidRDefault="00302B2C" w14:paraId="6CDE9730" w14:textId="77777777">
            <w:pPr>
              <w:contextualSpacing/>
              <w:rPr>
                <w:rFonts w:ascii="Verdana" w:hAnsi="Verdana" w:cs="Arial"/>
                <w:sz w:val="16"/>
                <w:szCs w:val="16"/>
                <w:lang w:val="es-ES" w:eastAsia="es-ES"/>
              </w:rPr>
            </w:pPr>
            <w:r w:rsidRPr="0086590B">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86590B" w:rsidR="00302B2C" w:rsidP="009837FE" w:rsidRDefault="00302B2C" w14:paraId="325B005A" w14:textId="77777777">
            <w:pPr>
              <w:contextualSpacing/>
              <w:rPr>
                <w:rFonts w:ascii="Verdana" w:hAnsi="Verdana" w:eastAsia="Calibri" w:cs="Arial"/>
                <w:sz w:val="16"/>
                <w:szCs w:val="16"/>
                <w:lang w:val="pt-BR" w:eastAsia="es-ES"/>
              </w:rPr>
            </w:pPr>
            <w:r w:rsidRPr="0086590B">
              <w:rPr>
                <w:rFonts w:ascii="Verdana" w:hAnsi="Verdana" w:eastAsia="Calibri" w:cs="Arial"/>
                <w:sz w:val="16"/>
                <w:szCs w:val="16"/>
                <w:lang w:val="pt-BR" w:eastAsia="es-ES"/>
              </w:rPr>
              <w:t xml:space="preserve">Carolina Quintero </w:t>
            </w:r>
            <w:proofErr w:type="spellStart"/>
            <w:r w:rsidRPr="0086590B">
              <w:rPr>
                <w:rFonts w:ascii="Verdana" w:hAnsi="Verdana" w:eastAsia="Calibri" w:cs="Arial"/>
                <w:sz w:val="16"/>
                <w:szCs w:val="16"/>
                <w:lang w:val="pt-BR" w:eastAsia="es-ES"/>
              </w:rPr>
              <w:t>Gacharná</w:t>
            </w:r>
            <w:proofErr w:type="spellEnd"/>
          </w:p>
          <w:p w:rsidRPr="0086590B" w:rsidR="00302B2C" w:rsidP="009837FE" w:rsidRDefault="00302B2C" w14:paraId="68295688" w14:textId="77777777">
            <w:pPr>
              <w:contextualSpacing/>
              <w:rPr>
                <w:rFonts w:ascii="Verdana" w:hAnsi="Verdana" w:eastAsia="Calibri" w:cs="Arial"/>
                <w:sz w:val="16"/>
                <w:szCs w:val="16"/>
                <w:lang w:val="pt-BR" w:eastAsia="es-ES"/>
              </w:rPr>
            </w:pPr>
            <w:r w:rsidRPr="0086590B">
              <w:rPr>
                <w:rFonts w:ascii="Verdana" w:hAnsi="Verdana" w:eastAsia="Calibri" w:cs="Arial"/>
                <w:sz w:val="16"/>
                <w:szCs w:val="16"/>
                <w:lang w:eastAsia="es-ES"/>
              </w:rPr>
              <w:t>Subdirectora</w:t>
            </w:r>
            <w:r w:rsidRPr="0086590B">
              <w:rPr>
                <w:rFonts w:ascii="Verdana" w:hAnsi="Verdana" w:eastAsia="Calibri" w:cs="Arial"/>
                <w:sz w:val="16"/>
                <w:szCs w:val="16"/>
                <w:lang w:val="pt-BR" w:eastAsia="es-ES"/>
              </w:rPr>
              <w:t xml:space="preserve"> de Gestión Contractual ANCP – CCE</w:t>
            </w:r>
          </w:p>
        </w:tc>
      </w:tr>
    </w:tbl>
    <w:p w:rsidRPr="0086590B" w:rsidR="00302B2C" w:rsidP="00302B2C" w:rsidRDefault="00302B2C" w14:paraId="6063A370" w14:textId="77777777">
      <w:pPr>
        <w:spacing w:after="0" w:line="240" w:lineRule="auto"/>
        <w:ind w:right="709"/>
        <w:jc w:val="both"/>
        <w:rPr>
          <w:rFonts w:ascii="Verdana" w:hAnsi="Verdana" w:eastAsia="Century Gothic" w:cs="Century Gothic"/>
          <w:sz w:val="16"/>
          <w:szCs w:val="16"/>
          <w:lang w:val="es-ES"/>
        </w:rPr>
      </w:pPr>
    </w:p>
    <w:p w:rsidRPr="0086590B" w:rsidR="00302B2C" w:rsidP="00302B2C" w:rsidRDefault="00302B2C" w14:paraId="6981F446" w14:textId="77777777">
      <w:pPr>
        <w:spacing w:after="0"/>
        <w:jc w:val="both"/>
        <w:rPr>
          <w:rStyle w:val="Hipervnculo"/>
          <w:rFonts w:ascii="Verdana" w:hAnsi="Verdana"/>
          <w:sz w:val="16"/>
          <w:szCs w:val="16"/>
          <w:lang w:val="es-ES"/>
        </w:rPr>
      </w:pPr>
    </w:p>
    <w:p w:rsidRPr="0086590B" w:rsidR="00302B2C" w:rsidP="00302B2C" w:rsidRDefault="00302B2C" w14:paraId="3985138C" w14:textId="77777777">
      <w:pPr>
        <w:spacing w:after="0"/>
        <w:rPr>
          <w:rFonts w:ascii="Verdana" w:hAnsi="Verdana" w:eastAsia="Times New Roman" w:cs="Segoe UI"/>
          <w:sz w:val="16"/>
          <w:szCs w:val="16"/>
          <w:lang w:val="es-ES" w:eastAsia="es-CO"/>
        </w:rPr>
      </w:pPr>
    </w:p>
    <w:p w:rsidRPr="0086590B" w:rsidR="00302B2C" w:rsidP="00302B2C" w:rsidRDefault="00302B2C" w14:paraId="414BADD6" w14:textId="77777777">
      <w:pPr>
        <w:spacing w:after="0"/>
        <w:rPr>
          <w:rFonts w:ascii="Verdana" w:hAnsi="Verdana" w:eastAsia="Times New Roman" w:cs="Segoe UI"/>
          <w:lang w:val="es-ES" w:eastAsia="es-CO"/>
        </w:rPr>
      </w:pPr>
    </w:p>
    <w:p w:rsidRPr="0086590B" w:rsidR="00302B2C" w:rsidP="00302B2C" w:rsidRDefault="00302B2C" w14:paraId="0F58CBA1" w14:textId="77777777">
      <w:pPr>
        <w:spacing w:after="0"/>
        <w:rPr>
          <w:rFonts w:ascii="Verdana" w:hAnsi="Verdana" w:eastAsia="Times New Roman" w:cs="Segoe UI"/>
          <w:lang w:val="es-ES" w:eastAsia="es-CO"/>
        </w:rPr>
      </w:pPr>
    </w:p>
    <w:bookmarkEnd w:id="1"/>
    <w:p w:rsidRPr="0086590B" w:rsidR="005E4749" w:rsidP="00C15139" w:rsidRDefault="005E4749" w14:paraId="20776B15" w14:textId="77777777">
      <w:pPr>
        <w:spacing w:after="0"/>
        <w:rPr>
          <w:rFonts w:ascii="Verdana" w:hAnsi="Verdana"/>
          <w:lang w:val="es-ES"/>
        </w:rPr>
      </w:pPr>
    </w:p>
    <w:sectPr w:rsidRPr="0086590B" w:rsidR="005E4749" w:rsidSect="007C0C0F">
      <w:headerReference w:type="default" r:id="rId17"/>
      <w:footerReference w:type="default" r:id="rId18"/>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D205B" w:rsidP="004A1847" w:rsidRDefault="00CD205B" w14:paraId="235C9745" w14:textId="77777777">
      <w:pPr>
        <w:spacing w:after="0" w:line="240" w:lineRule="auto"/>
      </w:pPr>
      <w:r>
        <w:separator/>
      </w:r>
    </w:p>
  </w:endnote>
  <w:endnote w:type="continuationSeparator" w:id="0">
    <w:p w:rsidR="00CD205B" w:rsidP="004A1847" w:rsidRDefault="00CD205B" w14:paraId="2A20898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pPr>
    <w:r w:rsidRPr="356CEDFD">
      <w:rPr>
        <w:rFonts w:ascii="Century Gothic" w:hAnsi="Century Gothic" w:eastAsia="Geo" w:cs="Geo"/>
        <w:b/>
        <w:bCs/>
        <w:color w:val="000000" w:themeColor="text1"/>
        <w:sz w:val="16"/>
        <w:szCs w:val="16"/>
        <w:lang w:eastAsia="es-CO"/>
      </w:rPr>
      <w:t xml:space="preserve">Código: </w:t>
    </w:r>
    <w:r w:rsidRPr="356CEDFD">
      <w:rPr>
        <w:rFonts w:ascii="Century Gothic" w:hAnsi="Century Gothic" w:eastAsia="Geo" w:cs="Geo"/>
        <w:color w:val="000000" w:themeColor="text1"/>
        <w:sz w:val="16"/>
        <w:szCs w:val="16"/>
        <w:lang w:eastAsia="es-CO"/>
      </w:rPr>
      <w:t xml:space="preserve">CCE-REC-FM-17 </w:t>
    </w:r>
    <w:r w:rsidRPr="356CEDFD">
      <w:rPr>
        <w:rFonts w:ascii="Century Gothic" w:hAnsi="Century Gothic" w:eastAsia="Geo" w:cs="Geo"/>
        <w:b/>
        <w:bCs/>
        <w:color w:val="000000" w:themeColor="text1"/>
        <w:sz w:val="16"/>
        <w:szCs w:val="16"/>
        <w:lang w:eastAsia="es-CO"/>
      </w:rPr>
      <w:t>V</w:t>
    </w:r>
    <w:r w:rsidRPr="356CEDFD">
      <w:rPr>
        <w:rFonts w:ascii="Century Gothic" w:hAnsi="Century Gothic" w:eastAsia="Arial Nova" w:cs="Arial Nova"/>
        <w:b/>
        <w:bCs/>
        <w:color w:val="000000" w:themeColor="text1"/>
        <w:sz w:val="16"/>
        <w:szCs w:val="16"/>
        <w:lang w:eastAsia="es-CO"/>
      </w:rPr>
      <w:t xml:space="preserve">: </w:t>
    </w:r>
    <w:r w:rsidRPr="356CEDFD">
      <w:rPr>
        <w:rFonts w:ascii="Century Gothic" w:hAnsi="Century Gothic" w:eastAsia="Geo"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D205B" w:rsidP="004A1847" w:rsidRDefault="00CD205B" w14:paraId="0042838A" w14:textId="77777777">
      <w:pPr>
        <w:spacing w:after="0" w:line="240" w:lineRule="auto"/>
      </w:pPr>
      <w:r>
        <w:separator/>
      </w:r>
    </w:p>
  </w:footnote>
  <w:footnote w:type="continuationSeparator" w:id="0">
    <w:p w:rsidR="00CD205B" w:rsidP="004A1847" w:rsidRDefault="00CD205B" w14:paraId="75CB53A7" w14:textId="77777777">
      <w:pPr>
        <w:spacing w:after="0" w:line="240" w:lineRule="auto"/>
      </w:pPr>
      <w:r>
        <w:continuationSeparator/>
      </w:r>
    </w:p>
  </w:footnote>
  <w:footnote w:id="1">
    <w:p w:rsidRPr="004749B1" w:rsidR="005E4749" w:rsidP="004749B1" w:rsidRDefault="005E4749" w14:paraId="6B7C7F4D" w14:textId="4E2B88CA">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2">
    <w:p w:rsidRPr="004749B1" w:rsidR="005E4749" w:rsidP="005E4749" w:rsidRDefault="005E4749" w14:paraId="222CB006" w14:textId="77777777">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3">
    <w:p w:rsidRPr="004749B1" w:rsidR="005E4749" w:rsidP="004749B1" w:rsidRDefault="005E4749" w14:paraId="1ACC55ED" w14:textId="1994EE4B">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Consejo de Estado. Sala de lo Contencioso Administrativo Sección Tercera, Subsección C. Sentencia del 26 de febrero de 2014. Radicado: 1999-00113-01 (25.804). C.P. Enrique Gil Botero. </w:t>
      </w:r>
    </w:p>
  </w:footnote>
  <w:footnote w:id="4">
    <w:p w:rsidRPr="004749B1" w:rsidR="005E4749" w:rsidP="005E4749" w:rsidRDefault="005E4749" w14:paraId="2C091714" w14:textId="77777777">
      <w:pPr>
        <w:pStyle w:val="Textonotapie"/>
        <w:ind w:firstLine="709"/>
        <w:jc w:val="both"/>
        <w:rPr>
          <w:rFonts w:ascii="Verdana" w:hAnsi="Verdana"/>
          <w:sz w:val="18"/>
          <w:szCs w:val="18"/>
        </w:rPr>
      </w:pPr>
      <w:r w:rsidRPr="004749B1">
        <w:rPr>
          <w:rStyle w:val="Refdenotaalpie"/>
          <w:rFonts w:ascii="Verdana" w:hAnsi="Verdana"/>
          <w:sz w:val="18"/>
          <w:szCs w:val="18"/>
        </w:rPr>
        <w:footnoteRef/>
      </w:r>
      <w:r w:rsidRPr="004749B1">
        <w:rPr>
          <w:rFonts w:ascii="Verdana" w:hAnsi="Verdana"/>
          <w:sz w:val="18"/>
          <w:szCs w:val="18"/>
        </w:rPr>
        <w:t xml:space="preserve"> En </w:t>
      </w:r>
      <w:hyperlink w:history="1" r:id="rId1">
        <w:r w:rsidRPr="004749B1">
          <w:rPr>
            <w:rStyle w:val="Hipervnculo"/>
            <w:rFonts w:ascii="Verdana" w:hAnsi="Verdana"/>
            <w:sz w:val="18"/>
            <w:szCs w:val="18"/>
            <w:lang w:val="es-CO"/>
          </w:rPr>
          <w:t>circular_externa_unica_version_3_vf49.pdf</w:t>
        </w:r>
      </w:hyperlink>
    </w:p>
  </w:footnote>
  <w:footnote w:id="5">
    <w:p w:rsidRPr="004749B1" w:rsidR="005E4749" w:rsidP="005E4749" w:rsidRDefault="005E4749" w14:paraId="73C713A8" w14:textId="77777777">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vertAlign w:val="superscript"/>
        </w:rPr>
        <w:t xml:space="preserve"> </w:t>
      </w:r>
      <w:r w:rsidRPr="004749B1">
        <w:rPr>
          <w:rFonts w:ascii="Verdana" w:hAnsi="Verdana" w:eastAsia="Arial"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6">
    <w:p w:rsidRPr="004749B1" w:rsidR="005E4749" w:rsidP="005E4749" w:rsidRDefault="005E4749" w14:paraId="374A197B" w14:textId="77777777">
      <w:pP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4749B1">
          <w:rPr>
            <w:rFonts w:ascii="Verdana" w:hAnsi="Verdana" w:eastAsia="Arial" w:cs="Arial"/>
            <w:color w:val="000000"/>
            <w:sz w:val="18"/>
            <w:szCs w:val="18"/>
          </w:rPr>
          <w:t>Ley 1150 de 2007</w:t>
        </w:r>
      </w:hyperlink>
      <w:r w:rsidRPr="004749B1">
        <w:rPr>
          <w:rFonts w:ascii="Verdana" w:hAnsi="Verdana" w:eastAsia="Arial" w:cs="Arial"/>
          <w:color w:val="000000"/>
          <w:sz w:val="18"/>
          <w:szCs w:val="18"/>
        </w:rPr>
        <w:t> y en el presente decreto.</w:t>
      </w:r>
    </w:p>
    <w:p w:rsidRPr="004749B1" w:rsidR="005E4749" w:rsidP="005E4749" w:rsidRDefault="005E4749" w14:paraId="30C04A7E" w14:textId="77777777">
      <w:pPr>
        <w:spacing w:after="0" w:line="240" w:lineRule="auto"/>
        <w:ind w:firstLine="709"/>
        <w:jc w:val="both"/>
        <w:rPr>
          <w:rFonts w:ascii="Verdana" w:hAnsi="Verdana" w:eastAsia="Arial" w:cs="Arial"/>
          <w:color w:val="000000"/>
          <w:sz w:val="18"/>
          <w:szCs w:val="18"/>
        </w:rPr>
      </w:pPr>
      <w:r w:rsidRPr="004749B1">
        <w:rPr>
          <w:rFonts w:ascii="Verdana" w:hAnsi="Verdana" w:eastAsia="Arial" w:cs="Arial"/>
          <w:color w:val="000000"/>
          <w:sz w:val="18"/>
          <w:szCs w:val="18"/>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rsidRPr="004749B1" w:rsidR="005E4749" w:rsidP="005E4749" w:rsidRDefault="005E4749" w14:paraId="5BF69033" w14:textId="77777777">
      <w:pPr>
        <w:spacing w:after="0" w:line="240" w:lineRule="auto"/>
        <w:ind w:firstLine="709"/>
        <w:jc w:val="both"/>
        <w:rPr>
          <w:rFonts w:ascii="Verdana" w:hAnsi="Verdana" w:eastAsia="Arial" w:cs="Arial"/>
          <w:color w:val="000000"/>
          <w:sz w:val="18"/>
          <w:szCs w:val="18"/>
        </w:rPr>
      </w:pPr>
      <w:r w:rsidRPr="004749B1">
        <w:rPr>
          <w:rFonts w:ascii="Verdana" w:hAnsi="Verdana" w:eastAsia="Arial" w:cs="Arial"/>
          <w:color w:val="000000"/>
          <w:sz w:val="18"/>
          <w:szCs w:val="18"/>
        </w:rPr>
        <w:t>Será rechazada la oferta del proponente que dentro del término previsto en el pliego o en la solicitud, no responda al requerimiento que le haga la entidad para subsanarla.</w:t>
      </w:r>
    </w:p>
    <w:p w:rsidRPr="004749B1" w:rsidR="005E4749" w:rsidP="005E4749" w:rsidRDefault="005E4749" w14:paraId="1D06D8DC" w14:textId="77777777">
      <w:pPr>
        <w:spacing w:after="0" w:line="240" w:lineRule="auto"/>
        <w:ind w:firstLine="709"/>
        <w:jc w:val="both"/>
        <w:rPr>
          <w:rFonts w:ascii="Verdana" w:hAnsi="Verdana" w:eastAsia="Arial" w:cs="Arial"/>
          <w:color w:val="000000"/>
          <w:sz w:val="18"/>
          <w:szCs w:val="18"/>
        </w:rPr>
      </w:pPr>
      <w:r w:rsidRPr="004749B1">
        <w:rPr>
          <w:rFonts w:ascii="Verdana" w:hAnsi="Verdana" w:eastAsia="Arial" w:cs="Arial"/>
          <w:color w:val="000000"/>
          <w:sz w:val="18"/>
          <w:szCs w:val="18"/>
        </w:rPr>
        <w:t>Cuando se utilice el mecanismo de subasta esta posibilidad deberá ejercerse hasta el momento previo a su realización, de conformidad con el artículo 22 del presente decreto.</w:t>
      </w:r>
    </w:p>
    <w:p w:rsidRPr="004749B1" w:rsidR="005E4749" w:rsidP="004749B1" w:rsidRDefault="005E4749" w14:paraId="432BE35F" w14:textId="0357E63D">
      <w:pPr>
        <w:spacing w:after="0" w:line="240" w:lineRule="auto"/>
        <w:ind w:firstLine="709"/>
        <w:jc w:val="both"/>
        <w:rPr>
          <w:rFonts w:ascii="Verdana" w:hAnsi="Verdana" w:eastAsia="Arial" w:cs="Arial"/>
          <w:color w:val="000000"/>
          <w:sz w:val="18"/>
          <w:szCs w:val="18"/>
        </w:rPr>
      </w:pPr>
      <w:r w:rsidRPr="004749B1">
        <w:rPr>
          <w:rFonts w:ascii="Verdana" w:hAnsi="Verdana" w:eastAsia="Arial" w:cs="Arial"/>
          <w:color w:val="000000"/>
          <w:sz w:val="18"/>
          <w:szCs w:val="18"/>
        </w:rPr>
        <w:t xml:space="preserve">En ningún caso la entidad podrá señalar taxativamente los requisitos o documentos subsanables o no subsanables en el pliego de condiciones, </w:t>
      </w:r>
      <w:r w:rsidRPr="004749B1">
        <w:rPr>
          <w:rFonts w:ascii="Verdana" w:hAnsi="Verdana" w:eastAsia="Arial" w:cs="Arial"/>
          <w:i/>
          <w:color w:val="000000"/>
          <w:sz w:val="18"/>
          <w:szCs w:val="18"/>
        </w:rPr>
        <w:t>ni permitir que se subsane la falta de capacidad para presentar la oferta, ni que se acrediten circunstancias ocurridas con posterioridad al cierre del proceso</w:t>
      </w:r>
      <w:r w:rsidRPr="004749B1">
        <w:rPr>
          <w:rFonts w:ascii="Verdana" w:hAnsi="Verdana" w:eastAsia="Arial" w:cs="Arial"/>
          <w:color w:val="000000"/>
          <w:sz w:val="18"/>
          <w:szCs w:val="18"/>
        </w:rPr>
        <w:t xml:space="preserve">”. (Cursivas fuera de texto). </w:t>
      </w:r>
    </w:p>
  </w:footnote>
  <w:footnote w:id="7">
    <w:p w:rsidRPr="004749B1" w:rsidR="005E4749" w:rsidP="005E4749" w:rsidRDefault="005E4749" w14:paraId="05BE8FD4" w14:textId="77777777">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Consejo de Estado. Sala de Consulta y Servicio Civil, concepto del 6 de noviembre de 2008. Rad. 2008-00079-00 (1927). C.P. William Zambrano Cetina.</w:t>
      </w:r>
    </w:p>
  </w:footnote>
  <w:footnote w:id="8">
    <w:p w:rsidRPr="004749B1" w:rsidR="005E4749" w:rsidP="004749B1" w:rsidRDefault="005E4749" w14:paraId="7606A0ED" w14:textId="02386B8A">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Ver Consejo de Estado. Sala de lo Contencioso Administrativo. Sección Tercera, Subsección C. Sentencia del 26 de febrero de 2011. Radicado: 11001-03-26-000-2009-00018-00 (36.408). C.P. Jaime Orlando Santofimio.   </w:t>
      </w:r>
    </w:p>
  </w:footnote>
  <w:footnote w:id="9">
    <w:p w:rsidRPr="004749B1" w:rsidR="005E4749" w:rsidP="004749B1" w:rsidRDefault="005E4749" w14:paraId="1EC66E2B" w14:textId="7EC45C86">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Ver Consejo de Estado, Sección Tercera, Subsección C. Sentencia del 26 de febrero de 2014. C.P. Enrique Gil Botero. Radicado: 13001-23-31-000-1999-00113-01 (25.804). M.P: Enrique Gil Botero.   </w:t>
      </w:r>
    </w:p>
  </w:footnote>
  <w:footnote w:id="10">
    <w:p w:rsidRPr="004749B1" w:rsidR="005E4749" w:rsidP="004749B1" w:rsidRDefault="005E4749" w14:paraId="0898A54D" w14:textId="5FA32AF4">
      <w:pPr>
        <w:pBdr>
          <w:top w:val="nil"/>
          <w:left w:val="nil"/>
          <w:bottom w:val="nil"/>
          <w:right w:val="nil"/>
          <w:between w:val="nil"/>
        </w:pBdr>
        <w:spacing w:after="0" w:line="240" w:lineRule="auto"/>
        <w:ind w:firstLine="709"/>
        <w:jc w:val="both"/>
        <w:rPr>
          <w:rFonts w:ascii="Verdana" w:hAnsi="Verdana" w:eastAsia="Arial" w:cs="Arial"/>
          <w:color w:val="000000"/>
          <w:sz w:val="18"/>
          <w:szCs w:val="18"/>
        </w:rPr>
      </w:pPr>
      <w:r w:rsidRPr="004749B1">
        <w:rPr>
          <w:rFonts w:ascii="Verdana" w:hAnsi="Verdana" w:cs="Arial"/>
          <w:sz w:val="18"/>
          <w:szCs w:val="18"/>
          <w:vertAlign w:val="superscript"/>
        </w:rPr>
        <w:footnoteRef/>
      </w:r>
      <w:r w:rsidRPr="004749B1">
        <w:rPr>
          <w:rFonts w:ascii="Verdana" w:hAnsi="Verdana" w:eastAsia="Arial" w:cs="Arial"/>
          <w:color w:val="000000"/>
          <w:sz w:val="18"/>
          <w:szCs w:val="18"/>
        </w:rPr>
        <w:t xml:space="preserve"> Consejo de Estado. Sala de Consulta y Servicio Civil. Concepto del 20 de mayo de 2010. Rad. 2010-00034-00 (1992). C.P. Enrique José Arboleda Perdomo.</w:t>
      </w:r>
    </w:p>
  </w:footnote>
  <w:footnote w:id="11">
    <w:p w:rsidRPr="004749B1" w:rsidR="005E4749" w:rsidP="004749B1" w:rsidRDefault="005E4749" w14:paraId="1B22E6BE" w14:textId="2C29899B">
      <w:pPr>
        <w:pStyle w:val="Textonotapie"/>
        <w:ind w:firstLine="709"/>
        <w:rPr>
          <w:rFonts w:ascii="Verdana" w:hAnsi="Verdana"/>
          <w:sz w:val="18"/>
          <w:szCs w:val="18"/>
          <w:lang w:val="es-CO"/>
        </w:rPr>
      </w:pPr>
      <w:r w:rsidRPr="004749B1">
        <w:rPr>
          <w:rStyle w:val="Refdenotaalpie"/>
          <w:rFonts w:ascii="Verdana" w:hAnsi="Verdana"/>
          <w:sz w:val="18"/>
          <w:szCs w:val="18"/>
        </w:rPr>
        <w:footnoteRef/>
      </w:r>
      <w:r w:rsidRPr="004749B1">
        <w:rPr>
          <w:rFonts w:ascii="Verdana" w:hAnsi="Verdana"/>
          <w:sz w:val="18"/>
          <w:szCs w:val="18"/>
          <w:lang w:val="es-CO"/>
        </w:rPr>
        <w:t xml:space="preserve"> Disponible en </w:t>
      </w:r>
      <w:hyperlink w:history="1" r:id="rId3">
        <w:r w:rsidRPr="004749B1">
          <w:rPr>
            <w:rStyle w:val="Hipervnculo"/>
            <w:rFonts w:ascii="Verdana" w:hAnsi="Verdana"/>
            <w:sz w:val="18"/>
            <w:szCs w:val="18"/>
            <w:lang w:val="es-CO"/>
          </w:rPr>
          <w:t>cce-eicp-ma-04._manual_requisitos_habilitantes_v3_29-09-2023.pdf</w:t>
        </w:r>
      </w:hyperlink>
    </w:p>
  </w:footnote>
  <w:footnote w:id="12">
    <w:p w:rsidRPr="004749B1" w:rsidR="005E4749" w:rsidP="004749B1" w:rsidRDefault="005E4749" w14:paraId="42A088DC" w14:textId="0459C272">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cs="Arial"/>
          <w:color w:val="000000" w:themeColor="text1"/>
          <w:sz w:val="18"/>
          <w:szCs w:val="18"/>
          <w:vertAlign w:val="superscript"/>
        </w:rPr>
        <w:footnoteRef/>
      </w:r>
      <w:r w:rsidRPr="004749B1">
        <w:rPr>
          <w:rFonts w:ascii="Verdana" w:hAnsi="Verdana" w:eastAsia="Arial" w:cs="Arial"/>
          <w:color w:val="000000" w:themeColor="text1"/>
          <w:sz w:val="18"/>
          <w:szCs w:val="18"/>
        </w:rPr>
        <w:t xml:space="preserve">  RODRÍGUEZ TAMAYO, Mauricio Fernando. Evaluación y rechazo de ofertas en la Ley 80 de 1993. Medellín: Librería Jurídica Sánchez, 2016. p. 190. </w:t>
      </w:r>
    </w:p>
  </w:footnote>
  <w:footnote w:id="13">
    <w:p w:rsidRPr="004749B1" w:rsidR="005E4749" w:rsidP="005E4749" w:rsidRDefault="005E4749" w14:paraId="23AF4381"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cs="Arial"/>
          <w:color w:val="000000" w:themeColor="text1"/>
          <w:sz w:val="18"/>
          <w:szCs w:val="18"/>
          <w:vertAlign w:val="superscript"/>
        </w:rPr>
        <w:footnoteRef/>
      </w:r>
      <w:r w:rsidRPr="004749B1">
        <w:rPr>
          <w:rFonts w:ascii="Verdana" w:hAnsi="Verdana" w:eastAsia="Arial" w:cs="Arial"/>
          <w:color w:val="000000" w:themeColor="text1"/>
          <w:sz w:val="18"/>
          <w:szCs w:val="18"/>
        </w:rPr>
        <w:t xml:space="preserve">  Ley 80 de 1993 “</w:t>
      </w:r>
      <w:r w:rsidRPr="004749B1">
        <w:rPr>
          <w:rFonts w:ascii="Verdana" w:hAnsi="Verdana" w:eastAsia="Arial" w:cs="Arial"/>
          <w:bCs/>
          <w:color w:val="000000" w:themeColor="text1"/>
          <w:sz w:val="18"/>
          <w:szCs w:val="18"/>
        </w:rPr>
        <w:t>Articulo 24. Del principio de transparencia. </w:t>
      </w:r>
      <w:r w:rsidRPr="004749B1">
        <w:rPr>
          <w:rFonts w:ascii="Verdana" w:hAnsi="Verdana" w:eastAsia="Arial" w:cs="Arial"/>
          <w:color w:val="000000" w:themeColor="text1"/>
          <w:sz w:val="18"/>
          <w:szCs w:val="18"/>
        </w:rPr>
        <w:t xml:space="preserve">En virtud de este principio: </w:t>
      </w:r>
    </w:p>
    <w:p w:rsidRPr="004749B1" w:rsidR="005E4749" w:rsidP="005E4749" w:rsidRDefault="005E4749" w14:paraId="15BD6EB4"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w:t>
      </w:r>
    </w:p>
    <w:p w:rsidRPr="004749B1" w:rsidR="005E4749" w:rsidP="005E4749" w:rsidRDefault="005E4749" w14:paraId="1F4CA3C5" w14:textId="77777777">
      <w:pP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5o. En los pliegos de condiciones:</w:t>
      </w:r>
    </w:p>
    <w:p w:rsidRPr="004749B1" w:rsidR="005E4749" w:rsidP="005E4749" w:rsidRDefault="005E4749" w14:paraId="5A336EC4" w14:textId="77777777">
      <w:pP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w:t>
      </w:r>
    </w:p>
    <w:p w:rsidRPr="004749B1" w:rsidR="005E4749" w:rsidP="004749B1" w:rsidRDefault="005E4749" w14:paraId="1E779C5F" w14:textId="45F2D0AE">
      <w:pP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b) Se definirán reglas objetivas, justas, claras y completas que permitan la confección de ofrecimientos de la misma índole, aseguren una escogencia objetiva y eviten la declaratoria de desierta de la licitación […]”.</w:t>
      </w:r>
    </w:p>
  </w:footnote>
  <w:footnote w:id="14">
    <w:p w:rsidRPr="004749B1" w:rsidR="005E4749" w:rsidP="005E4749" w:rsidRDefault="005E4749" w14:paraId="6DB6B05E"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cs="Arial"/>
          <w:color w:val="000000" w:themeColor="text1"/>
          <w:sz w:val="18"/>
          <w:szCs w:val="18"/>
          <w:vertAlign w:val="superscript"/>
        </w:rPr>
        <w:footnoteRef/>
      </w:r>
      <w:r w:rsidRPr="004749B1">
        <w:rPr>
          <w:rFonts w:ascii="Verdana" w:hAnsi="Verdana" w:eastAsia="Arial" w:cs="Arial"/>
          <w:color w:val="000000" w:themeColor="text1"/>
          <w:sz w:val="18"/>
          <w:szCs w:val="18"/>
        </w:rPr>
        <w:t xml:space="preserve"> Decreto 1082 de 2015 “Artículo 2.2.1.1.2.1.3. Pliegos de condiciones. Los pliegos de condiciones deben contener por lo menos la siguiente información</w:t>
      </w:r>
    </w:p>
    <w:p w:rsidRPr="004749B1" w:rsidR="005E4749" w:rsidP="005E4749" w:rsidRDefault="005E4749" w14:paraId="1498FE69"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w:t>
      </w:r>
    </w:p>
    <w:p w:rsidRPr="004749B1" w:rsidR="005E4749" w:rsidP="005E4749" w:rsidRDefault="005E4749" w14:paraId="4C64CA26"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eastAsia="Arial" w:cs="Arial"/>
          <w:color w:val="000000" w:themeColor="text1"/>
          <w:sz w:val="18"/>
          <w:szCs w:val="18"/>
        </w:rPr>
        <w:t>6. Las causas que dan lugar a rechazar una oferta […]”.</w:t>
      </w:r>
    </w:p>
  </w:footnote>
  <w:footnote w:id="15">
    <w:p w:rsidRPr="004749B1" w:rsidR="005E4749" w:rsidP="004749B1" w:rsidRDefault="005E4749" w14:paraId="4EFBDFC1" w14:textId="40B956C5">
      <w:pPr>
        <w:pBdr>
          <w:top w:val="nil"/>
          <w:left w:val="nil"/>
          <w:bottom w:val="nil"/>
          <w:right w:val="nil"/>
          <w:between w:val="nil"/>
        </w:pBdr>
        <w:spacing w:after="0" w:line="240" w:lineRule="auto"/>
        <w:ind w:firstLine="709"/>
        <w:jc w:val="both"/>
        <w:rPr>
          <w:rFonts w:ascii="Verdana" w:hAnsi="Verdana" w:eastAsia="Arial" w:cs="Arial"/>
          <w:color w:val="000000" w:themeColor="text1"/>
          <w:sz w:val="18"/>
          <w:szCs w:val="18"/>
        </w:rPr>
      </w:pPr>
      <w:r w:rsidRPr="004749B1">
        <w:rPr>
          <w:rFonts w:ascii="Verdana" w:hAnsi="Verdana" w:cs="Arial"/>
          <w:color w:val="000000" w:themeColor="text1"/>
          <w:sz w:val="18"/>
          <w:szCs w:val="18"/>
          <w:vertAlign w:val="superscript"/>
        </w:rPr>
        <w:footnoteRef/>
      </w:r>
      <w:r w:rsidRPr="004749B1">
        <w:rPr>
          <w:rFonts w:ascii="Verdana" w:hAnsi="Verdana" w:eastAsia="Arial" w:cs="Arial"/>
          <w:color w:val="000000" w:themeColor="text1"/>
          <w:sz w:val="18"/>
          <w:szCs w:val="18"/>
        </w:rPr>
        <w:t xml:space="preserve"> Consejo de Estado. Sala de lo Contencioso Administrativo. Sección Tercera Subsección B. Sentencia del 27 de abril de 2011. Radicado: 25000-23-26-000-1997-03924-01 (18.293). C.P. Ponente: Ruth Stella Correa Palacio. </w:t>
      </w:r>
    </w:p>
  </w:footnote>
  <w:footnote w:id="16">
    <w:p w:rsidRPr="00AF56B9" w:rsidR="005E4749" w:rsidP="005E4749" w:rsidRDefault="005E4749" w14:paraId="2FC3D744" w14:textId="77777777">
      <w:pPr>
        <w:pStyle w:val="Textonotapie"/>
        <w:ind w:firstLine="709"/>
        <w:jc w:val="both"/>
        <w:rPr>
          <w:rFonts w:ascii="Verdana" w:hAnsi="Verdana" w:eastAsia="Times New Roman" w:cs="Arial"/>
          <w:sz w:val="16"/>
          <w:szCs w:val="16"/>
          <w:lang w:val="es-CO" w:eastAsia="es-CO"/>
        </w:rPr>
      </w:pPr>
      <w:r w:rsidRPr="004749B1">
        <w:rPr>
          <w:rStyle w:val="Refdenotaalpie"/>
          <w:rFonts w:ascii="Verdana" w:hAnsi="Verdana" w:cs="Arial"/>
          <w:sz w:val="18"/>
          <w:szCs w:val="18"/>
        </w:rPr>
        <w:footnoteRef/>
      </w:r>
      <w:r w:rsidRPr="004749B1">
        <w:rPr>
          <w:rFonts w:ascii="Verdana" w:hAnsi="Verdana" w:cs="Arial"/>
          <w:sz w:val="18"/>
          <w:szCs w:val="18"/>
        </w:rPr>
        <w:t xml:space="preserve"> </w:t>
      </w:r>
      <w:r w:rsidRPr="004749B1">
        <w:rPr>
          <w:rFonts w:ascii="Verdana" w:hAnsi="Verdana" w:eastAsia="Times New Roman" w:cs="Arial"/>
          <w:sz w:val="18"/>
          <w:szCs w:val="18"/>
          <w:lang w:val="es-CO" w:eastAsia="es-CO"/>
        </w:rPr>
        <w:t>Consejo de Estado. Sección Tercera. Sentencia del 21 de noviembre de 2013. Radicado 25000-23-26-000-1999-01850-01 (25.397).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43E26ED5"/>
    <w:multiLevelType w:val="hybridMultilevel"/>
    <w:tmpl w:val="34D8BCCC"/>
    <w:lvl w:ilvl="0" w:tplc="1CDEDC7C">
      <w:start w:val="12"/>
      <w:numFmt w:val="bullet"/>
      <w:lvlText w:val="-"/>
      <w:lvlJc w:val="left"/>
      <w:pPr>
        <w:ind w:left="1069" w:hanging="360"/>
      </w:pPr>
      <w:rPr>
        <w:rFonts w:hint="default" w:ascii="Verdana" w:hAnsi="Verdana" w:eastAsia="Century Gothic" w:cs="Arial"/>
      </w:rPr>
    </w:lvl>
    <w:lvl w:ilvl="1" w:tplc="240A0003" w:tentative="1">
      <w:start w:val="1"/>
      <w:numFmt w:val="bullet"/>
      <w:lvlText w:val="o"/>
      <w:lvlJc w:val="left"/>
      <w:pPr>
        <w:ind w:left="1789" w:hanging="360"/>
      </w:pPr>
      <w:rPr>
        <w:rFonts w:hint="default" w:ascii="Courier New" w:hAnsi="Courier New" w:cs="Courier New"/>
      </w:rPr>
    </w:lvl>
    <w:lvl w:ilvl="2" w:tplc="240A0005" w:tentative="1">
      <w:start w:val="1"/>
      <w:numFmt w:val="bullet"/>
      <w:lvlText w:val=""/>
      <w:lvlJc w:val="left"/>
      <w:pPr>
        <w:ind w:left="2509" w:hanging="360"/>
      </w:pPr>
      <w:rPr>
        <w:rFonts w:hint="default" w:ascii="Wingdings" w:hAnsi="Wingdings"/>
      </w:rPr>
    </w:lvl>
    <w:lvl w:ilvl="3" w:tplc="240A0001" w:tentative="1">
      <w:start w:val="1"/>
      <w:numFmt w:val="bullet"/>
      <w:lvlText w:val=""/>
      <w:lvlJc w:val="left"/>
      <w:pPr>
        <w:ind w:left="3229" w:hanging="360"/>
      </w:pPr>
      <w:rPr>
        <w:rFonts w:hint="default" w:ascii="Symbol" w:hAnsi="Symbol"/>
      </w:rPr>
    </w:lvl>
    <w:lvl w:ilvl="4" w:tplc="240A0003" w:tentative="1">
      <w:start w:val="1"/>
      <w:numFmt w:val="bullet"/>
      <w:lvlText w:val="o"/>
      <w:lvlJc w:val="left"/>
      <w:pPr>
        <w:ind w:left="3949" w:hanging="360"/>
      </w:pPr>
      <w:rPr>
        <w:rFonts w:hint="default" w:ascii="Courier New" w:hAnsi="Courier New" w:cs="Courier New"/>
      </w:rPr>
    </w:lvl>
    <w:lvl w:ilvl="5" w:tplc="240A0005" w:tentative="1">
      <w:start w:val="1"/>
      <w:numFmt w:val="bullet"/>
      <w:lvlText w:val=""/>
      <w:lvlJc w:val="left"/>
      <w:pPr>
        <w:ind w:left="4669" w:hanging="360"/>
      </w:pPr>
      <w:rPr>
        <w:rFonts w:hint="default" w:ascii="Wingdings" w:hAnsi="Wingdings"/>
      </w:rPr>
    </w:lvl>
    <w:lvl w:ilvl="6" w:tplc="240A0001" w:tentative="1">
      <w:start w:val="1"/>
      <w:numFmt w:val="bullet"/>
      <w:lvlText w:val=""/>
      <w:lvlJc w:val="left"/>
      <w:pPr>
        <w:ind w:left="5389" w:hanging="360"/>
      </w:pPr>
      <w:rPr>
        <w:rFonts w:hint="default" w:ascii="Symbol" w:hAnsi="Symbol"/>
      </w:rPr>
    </w:lvl>
    <w:lvl w:ilvl="7" w:tplc="240A0003" w:tentative="1">
      <w:start w:val="1"/>
      <w:numFmt w:val="bullet"/>
      <w:lvlText w:val="o"/>
      <w:lvlJc w:val="left"/>
      <w:pPr>
        <w:ind w:left="6109" w:hanging="360"/>
      </w:pPr>
      <w:rPr>
        <w:rFonts w:hint="default" w:ascii="Courier New" w:hAnsi="Courier New" w:cs="Courier New"/>
      </w:rPr>
    </w:lvl>
    <w:lvl w:ilvl="8" w:tplc="240A0005" w:tentative="1">
      <w:start w:val="1"/>
      <w:numFmt w:val="bullet"/>
      <w:lvlText w:val=""/>
      <w:lvlJc w:val="left"/>
      <w:pPr>
        <w:ind w:left="6829" w:hanging="360"/>
      </w:pPr>
      <w:rPr>
        <w:rFonts w:hint="default" w:ascii="Wingdings" w:hAnsi="Wingdings"/>
      </w:r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2798770">
    <w:abstractNumId w:val="6"/>
  </w:num>
  <w:num w:numId="2" w16cid:durableId="1677225732">
    <w:abstractNumId w:val="2"/>
  </w:num>
  <w:num w:numId="3" w16cid:durableId="1671719044">
    <w:abstractNumId w:val="4"/>
  </w:num>
  <w:num w:numId="4" w16cid:durableId="5510381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743116">
    <w:abstractNumId w:val="2"/>
  </w:num>
  <w:num w:numId="6" w16cid:durableId="1151407756">
    <w:abstractNumId w:val="15"/>
  </w:num>
  <w:num w:numId="7" w16cid:durableId="143083417">
    <w:abstractNumId w:val="5"/>
  </w:num>
  <w:num w:numId="8" w16cid:durableId="958801373">
    <w:abstractNumId w:val="14"/>
  </w:num>
  <w:num w:numId="9" w16cid:durableId="1954552819">
    <w:abstractNumId w:val="7"/>
  </w:num>
  <w:num w:numId="10" w16cid:durableId="479540149">
    <w:abstractNumId w:val="13"/>
  </w:num>
  <w:num w:numId="11" w16cid:durableId="152992887">
    <w:abstractNumId w:val="8"/>
  </w:num>
  <w:num w:numId="12" w16cid:durableId="1535000389">
    <w:abstractNumId w:val="1"/>
  </w:num>
  <w:num w:numId="13" w16cid:durableId="339700866">
    <w:abstractNumId w:val="3"/>
  </w:num>
  <w:num w:numId="14" w16cid:durableId="1389760933">
    <w:abstractNumId w:val="16"/>
  </w:num>
  <w:num w:numId="15" w16cid:durableId="615139005">
    <w:abstractNumId w:val="12"/>
  </w:num>
  <w:num w:numId="16" w16cid:durableId="1489201040">
    <w:abstractNumId w:val="0"/>
  </w:num>
  <w:num w:numId="17" w16cid:durableId="222445883">
    <w:abstractNumId w:val="10"/>
  </w:num>
  <w:num w:numId="18" w16cid:durableId="1542086715">
    <w:abstractNumId w:val="9"/>
  </w:num>
  <w:num w:numId="19" w16cid:durableId="17234823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8E8"/>
    <w:rsid w:val="00016F78"/>
    <w:rsid w:val="00046798"/>
    <w:rsid w:val="00046945"/>
    <w:rsid w:val="00061B2A"/>
    <w:rsid w:val="00082362"/>
    <w:rsid w:val="000A683E"/>
    <w:rsid w:val="000B0CD6"/>
    <w:rsid w:val="000B19B9"/>
    <w:rsid w:val="000D0334"/>
    <w:rsid w:val="000D33F5"/>
    <w:rsid w:val="000D5DA7"/>
    <w:rsid w:val="000F6486"/>
    <w:rsid w:val="00116940"/>
    <w:rsid w:val="00125105"/>
    <w:rsid w:val="00127233"/>
    <w:rsid w:val="001279E7"/>
    <w:rsid w:val="00134144"/>
    <w:rsid w:val="001552B1"/>
    <w:rsid w:val="0015699B"/>
    <w:rsid w:val="00181FD4"/>
    <w:rsid w:val="00185C9A"/>
    <w:rsid w:val="001A33BF"/>
    <w:rsid w:val="001B54FE"/>
    <w:rsid w:val="001E004F"/>
    <w:rsid w:val="001E4177"/>
    <w:rsid w:val="001E7A06"/>
    <w:rsid w:val="001F0B24"/>
    <w:rsid w:val="001F148C"/>
    <w:rsid w:val="001F52C7"/>
    <w:rsid w:val="001F7DC6"/>
    <w:rsid w:val="00213F0D"/>
    <w:rsid w:val="0022400B"/>
    <w:rsid w:val="002421BB"/>
    <w:rsid w:val="0025796E"/>
    <w:rsid w:val="00262C3F"/>
    <w:rsid w:val="002707A2"/>
    <w:rsid w:val="00282C4C"/>
    <w:rsid w:val="002951A0"/>
    <w:rsid w:val="002962BC"/>
    <w:rsid w:val="002A093D"/>
    <w:rsid w:val="002A0DD0"/>
    <w:rsid w:val="002A49AC"/>
    <w:rsid w:val="002A64FD"/>
    <w:rsid w:val="002B18AF"/>
    <w:rsid w:val="002C6EA0"/>
    <w:rsid w:val="002C7A84"/>
    <w:rsid w:val="002E0217"/>
    <w:rsid w:val="002E2BF8"/>
    <w:rsid w:val="002E4FD9"/>
    <w:rsid w:val="00301C82"/>
    <w:rsid w:val="00302B2C"/>
    <w:rsid w:val="00305C9B"/>
    <w:rsid w:val="0030657A"/>
    <w:rsid w:val="00322A85"/>
    <w:rsid w:val="00324168"/>
    <w:rsid w:val="00330834"/>
    <w:rsid w:val="00331960"/>
    <w:rsid w:val="003448F4"/>
    <w:rsid w:val="00346CDD"/>
    <w:rsid w:val="00353937"/>
    <w:rsid w:val="00374F5E"/>
    <w:rsid w:val="00377E3E"/>
    <w:rsid w:val="003A41BA"/>
    <w:rsid w:val="003A779E"/>
    <w:rsid w:val="003B0555"/>
    <w:rsid w:val="003B1B17"/>
    <w:rsid w:val="003D0F4D"/>
    <w:rsid w:val="003D1262"/>
    <w:rsid w:val="003D5B0D"/>
    <w:rsid w:val="003E0499"/>
    <w:rsid w:val="003E4F80"/>
    <w:rsid w:val="003E6439"/>
    <w:rsid w:val="003F00B1"/>
    <w:rsid w:val="003F1C07"/>
    <w:rsid w:val="003F3941"/>
    <w:rsid w:val="00406575"/>
    <w:rsid w:val="0041098E"/>
    <w:rsid w:val="00410A64"/>
    <w:rsid w:val="00414C74"/>
    <w:rsid w:val="0042722E"/>
    <w:rsid w:val="00435011"/>
    <w:rsid w:val="00435B6B"/>
    <w:rsid w:val="00436744"/>
    <w:rsid w:val="00441F9B"/>
    <w:rsid w:val="0044528D"/>
    <w:rsid w:val="00466E39"/>
    <w:rsid w:val="004749B1"/>
    <w:rsid w:val="00483834"/>
    <w:rsid w:val="00487AA7"/>
    <w:rsid w:val="004A1847"/>
    <w:rsid w:val="004A305D"/>
    <w:rsid w:val="004C245E"/>
    <w:rsid w:val="004E4038"/>
    <w:rsid w:val="004F21C4"/>
    <w:rsid w:val="004F685F"/>
    <w:rsid w:val="005225A3"/>
    <w:rsid w:val="00540118"/>
    <w:rsid w:val="00552515"/>
    <w:rsid w:val="005566E8"/>
    <w:rsid w:val="005657C5"/>
    <w:rsid w:val="00574867"/>
    <w:rsid w:val="00590E4D"/>
    <w:rsid w:val="00591460"/>
    <w:rsid w:val="00595483"/>
    <w:rsid w:val="005A65E0"/>
    <w:rsid w:val="005C3777"/>
    <w:rsid w:val="005C5CDC"/>
    <w:rsid w:val="005D476C"/>
    <w:rsid w:val="005E4749"/>
    <w:rsid w:val="00601962"/>
    <w:rsid w:val="00611B74"/>
    <w:rsid w:val="006200BF"/>
    <w:rsid w:val="00620E5D"/>
    <w:rsid w:val="006219F8"/>
    <w:rsid w:val="00630289"/>
    <w:rsid w:val="006302F7"/>
    <w:rsid w:val="00630B79"/>
    <w:rsid w:val="00633E1B"/>
    <w:rsid w:val="00646B9F"/>
    <w:rsid w:val="00665D70"/>
    <w:rsid w:val="006900D9"/>
    <w:rsid w:val="006A1948"/>
    <w:rsid w:val="006D25FA"/>
    <w:rsid w:val="006E446C"/>
    <w:rsid w:val="00705B66"/>
    <w:rsid w:val="00706C16"/>
    <w:rsid w:val="00714522"/>
    <w:rsid w:val="007340C3"/>
    <w:rsid w:val="00741148"/>
    <w:rsid w:val="00751A94"/>
    <w:rsid w:val="0075235A"/>
    <w:rsid w:val="00756841"/>
    <w:rsid w:val="007649AB"/>
    <w:rsid w:val="00771D0C"/>
    <w:rsid w:val="007800B6"/>
    <w:rsid w:val="007833AC"/>
    <w:rsid w:val="00797EAE"/>
    <w:rsid w:val="007B268C"/>
    <w:rsid w:val="007B7171"/>
    <w:rsid w:val="007C0C0F"/>
    <w:rsid w:val="007C3DC2"/>
    <w:rsid w:val="007C6EA8"/>
    <w:rsid w:val="007D68F6"/>
    <w:rsid w:val="007E5497"/>
    <w:rsid w:val="007F3421"/>
    <w:rsid w:val="00806F5F"/>
    <w:rsid w:val="00820278"/>
    <w:rsid w:val="008258C9"/>
    <w:rsid w:val="0083346A"/>
    <w:rsid w:val="00834DC3"/>
    <w:rsid w:val="00840A92"/>
    <w:rsid w:val="00844AE9"/>
    <w:rsid w:val="0086590B"/>
    <w:rsid w:val="00867F95"/>
    <w:rsid w:val="008843B6"/>
    <w:rsid w:val="00891928"/>
    <w:rsid w:val="008935E6"/>
    <w:rsid w:val="008937F5"/>
    <w:rsid w:val="00896DAB"/>
    <w:rsid w:val="008A446D"/>
    <w:rsid w:val="008B25F1"/>
    <w:rsid w:val="008B6ABD"/>
    <w:rsid w:val="008D180B"/>
    <w:rsid w:val="008F0EA7"/>
    <w:rsid w:val="00923EEF"/>
    <w:rsid w:val="009419F9"/>
    <w:rsid w:val="00951A08"/>
    <w:rsid w:val="0095685E"/>
    <w:rsid w:val="00957E2A"/>
    <w:rsid w:val="00961B09"/>
    <w:rsid w:val="00965334"/>
    <w:rsid w:val="0097093E"/>
    <w:rsid w:val="00972A15"/>
    <w:rsid w:val="00990F4B"/>
    <w:rsid w:val="009918DD"/>
    <w:rsid w:val="009A0DFA"/>
    <w:rsid w:val="009A1C6F"/>
    <w:rsid w:val="009B136F"/>
    <w:rsid w:val="009B2D26"/>
    <w:rsid w:val="009C71FA"/>
    <w:rsid w:val="009C72E7"/>
    <w:rsid w:val="009C7F7E"/>
    <w:rsid w:val="009D3058"/>
    <w:rsid w:val="009F3A13"/>
    <w:rsid w:val="00A122D3"/>
    <w:rsid w:val="00A14468"/>
    <w:rsid w:val="00A17F13"/>
    <w:rsid w:val="00A20739"/>
    <w:rsid w:val="00A23AF9"/>
    <w:rsid w:val="00A33C78"/>
    <w:rsid w:val="00A3509E"/>
    <w:rsid w:val="00A503C5"/>
    <w:rsid w:val="00A525EF"/>
    <w:rsid w:val="00A70479"/>
    <w:rsid w:val="00A8239E"/>
    <w:rsid w:val="00AB0ADB"/>
    <w:rsid w:val="00B00C0E"/>
    <w:rsid w:val="00B01B1A"/>
    <w:rsid w:val="00B0381D"/>
    <w:rsid w:val="00B0648D"/>
    <w:rsid w:val="00B23E07"/>
    <w:rsid w:val="00B3559E"/>
    <w:rsid w:val="00B41D15"/>
    <w:rsid w:val="00B44A47"/>
    <w:rsid w:val="00B51797"/>
    <w:rsid w:val="00B55002"/>
    <w:rsid w:val="00B56FD0"/>
    <w:rsid w:val="00B72CD3"/>
    <w:rsid w:val="00B72FFF"/>
    <w:rsid w:val="00B944CD"/>
    <w:rsid w:val="00BB6CE5"/>
    <w:rsid w:val="00BB7969"/>
    <w:rsid w:val="00BC3D36"/>
    <w:rsid w:val="00BC4EA3"/>
    <w:rsid w:val="00BD54A6"/>
    <w:rsid w:val="00BD7F72"/>
    <w:rsid w:val="00BE243A"/>
    <w:rsid w:val="00BE4FE6"/>
    <w:rsid w:val="00BF7425"/>
    <w:rsid w:val="00C04FB3"/>
    <w:rsid w:val="00C05071"/>
    <w:rsid w:val="00C11D8B"/>
    <w:rsid w:val="00C15139"/>
    <w:rsid w:val="00C330EB"/>
    <w:rsid w:val="00C50D69"/>
    <w:rsid w:val="00C5365C"/>
    <w:rsid w:val="00C754BE"/>
    <w:rsid w:val="00C76B1C"/>
    <w:rsid w:val="00C925AC"/>
    <w:rsid w:val="00CA1AAD"/>
    <w:rsid w:val="00CA593F"/>
    <w:rsid w:val="00CB6357"/>
    <w:rsid w:val="00CC1B26"/>
    <w:rsid w:val="00CD205B"/>
    <w:rsid w:val="00CE4791"/>
    <w:rsid w:val="00D009A5"/>
    <w:rsid w:val="00D361FD"/>
    <w:rsid w:val="00D423A2"/>
    <w:rsid w:val="00D44E26"/>
    <w:rsid w:val="00D5115F"/>
    <w:rsid w:val="00D520D8"/>
    <w:rsid w:val="00D52A73"/>
    <w:rsid w:val="00D53815"/>
    <w:rsid w:val="00D63AC2"/>
    <w:rsid w:val="00D7383B"/>
    <w:rsid w:val="00D7788A"/>
    <w:rsid w:val="00DA231B"/>
    <w:rsid w:val="00DC39FC"/>
    <w:rsid w:val="00DD422C"/>
    <w:rsid w:val="00DF0FD1"/>
    <w:rsid w:val="00DF5254"/>
    <w:rsid w:val="00E02524"/>
    <w:rsid w:val="00E053C6"/>
    <w:rsid w:val="00E142DC"/>
    <w:rsid w:val="00E16408"/>
    <w:rsid w:val="00E20894"/>
    <w:rsid w:val="00E245AB"/>
    <w:rsid w:val="00E2764C"/>
    <w:rsid w:val="00E27F2E"/>
    <w:rsid w:val="00E50AFE"/>
    <w:rsid w:val="00E75C92"/>
    <w:rsid w:val="00E771DC"/>
    <w:rsid w:val="00E8772A"/>
    <w:rsid w:val="00E90F6B"/>
    <w:rsid w:val="00E92C27"/>
    <w:rsid w:val="00EA0E3D"/>
    <w:rsid w:val="00EC38A7"/>
    <w:rsid w:val="00EC4648"/>
    <w:rsid w:val="00EC7309"/>
    <w:rsid w:val="00EE1AA8"/>
    <w:rsid w:val="00F01065"/>
    <w:rsid w:val="00F22580"/>
    <w:rsid w:val="00F23FEA"/>
    <w:rsid w:val="00F31EDC"/>
    <w:rsid w:val="00F462B3"/>
    <w:rsid w:val="00F5664F"/>
    <w:rsid w:val="00F666C4"/>
    <w:rsid w:val="00F71C1E"/>
    <w:rsid w:val="00F73348"/>
    <w:rsid w:val="00F76AFC"/>
    <w:rsid w:val="00FA47C0"/>
    <w:rsid w:val="00FB2F1C"/>
    <w:rsid w:val="00FB5DD1"/>
    <w:rsid w:val="00FC009D"/>
    <w:rsid w:val="00FC07A9"/>
    <w:rsid w:val="00FC2B5D"/>
    <w:rsid w:val="00FF1449"/>
    <w:rsid w:val="00FF7963"/>
    <w:rsid w:val="071B8F93"/>
    <w:rsid w:val="09908A09"/>
    <w:rsid w:val="0FF4CCA8"/>
    <w:rsid w:val="13CFC91B"/>
    <w:rsid w:val="19A2EC2C"/>
    <w:rsid w:val="1CDADDD9"/>
    <w:rsid w:val="2859CA1B"/>
    <w:rsid w:val="32A4F9CF"/>
    <w:rsid w:val="356CEDFD"/>
    <w:rsid w:val="69614A15"/>
    <w:rsid w:val="726AA71D"/>
    <w:rsid w:val="74F23851"/>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33F5"/>
    <w:rPr>
      <w:rFonts w:ascii="Geomanist Light" w:hAnsi="Geomanist Light"/>
      <w:lang w:val="es-ES"/>
    </w:rPr>
  </w:style>
  <w:style w:type="character" w:styleId="s15" w:customStyle="1">
    <w:name w:val="s15"/>
    <w:basedOn w:val="Fuentedeprrafopredeter"/>
    <w:rsid w:val="000D33F5"/>
  </w:style>
  <w:style w:type="paragraph" w:styleId="Appelnotedebasde" w:customStyle="1">
    <w:name w:val="Appel note de bas de..."/>
    <w:basedOn w:val="Normal"/>
    <w:link w:val="Refdenotaalpie"/>
    <w:uiPriority w:val="99"/>
    <w:rsid w:val="005E474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santilau85@gmail.com"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2.png"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4B253BA-11DF-4D3D-BD4A-9B8BC20FFCF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Ana Maria Ortiz Ballesteros</lastModifiedBy>
  <revision>26</revision>
  <lastPrinted>2023-01-10T21:18:00.0000000Z</lastPrinted>
  <dcterms:created xsi:type="dcterms:W3CDTF">2026-02-24T12:13:00.0000000Z</dcterms:created>
  <dcterms:modified xsi:type="dcterms:W3CDTF">2026-02-24T21:19:45.9878886Z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