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188A4" w14:textId="74FC7205" w:rsidR="009452C7" w:rsidRPr="00EA0FDE" w:rsidRDefault="009452C7" w:rsidP="00CD56CE">
      <w:pPr>
        <w:spacing w:after="0" w:line="240" w:lineRule="auto"/>
        <w:contextualSpacing/>
        <w:jc w:val="both"/>
        <w:rPr>
          <w:rFonts w:ascii="Verdana" w:eastAsia="Calibri" w:hAnsi="Verdana" w:cs="Arial"/>
          <w:b/>
          <w:bCs/>
          <w:lang w:val="es-ES" w:eastAsia="es-ES"/>
        </w:rPr>
      </w:pPr>
      <w:bookmarkStart w:id="0" w:name="_Hlk143780582"/>
      <w:r w:rsidRPr="009452C7">
        <w:rPr>
          <w:rFonts w:ascii="Verdana" w:eastAsia="Calibri" w:hAnsi="Verdana" w:cs="Arial"/>
          <w:b/>
          <w:bCs/>
          <w:lang w:val="es-ES" w:eastAsia="es-ES"/>
        </w:rPr>
        <w:t xml:space="preserve">PRECIOS UNITARIOS – </w:t>
      </w:r>
      <w:r w:rsidR="00EA0FDE">
        <w:rPr>
          <w:rFonts w:ascii="Verdana" w:eastAsia="Calibri" w:hAnsi="Verdana" w:cs="Arial"/>
          <w:b/>
          <w:bCs/>
          <w:lang w:val="es-ES" w:eastAsia="es-ES"/>
        </w:rPr>
        <w:t>E</w:t>
      </w:r>
      <w:r w:rsidR="00EA0FDE" w:rsidRPr="00EA0FDE">
        <w:rPr>
          <w:rFonts w:ascii="Verdana" w:eastAsia="Calibri" w:hAnsi="Verdana" w:cs="Arial"/>
          <w:b/>
          <w:bCs/>
          <w:lang w:val="es-ES" w:eastAsia="es-ES"/>
        </w:rPr>
        <w:t>structuración del precio – Cantidades</w:t>
      </w:r>
      <w:r w:rsidR="00EA0FDE">
        <w:rPr>
          <w:rFonts w:ascii="Verdana" w:eastAsia="Calibri" w:hAnsi="Verdana" w:cs="Arial"/>
          <w:b/>
          <w:bCs/>
          <w:lang w:val="es-ES" w:eastAsia="es-ES"/>
        </w:rPr>
        <w:t xml:space="preserve"> de obra</w:t>
      </w:r>
    </w:p>
    <w:p w14:paraId="7E4197BD" w14:textId="77777777" w:rsidR="000433DA" w:rsidRDefault="000433DA" w:rsidP="00CD56CE">
      <w:pPr>
        <w:spacing w:after="0" w:line="240" w:lineRule="auto"/>
        <w:contextualSpacing/>
        <w:jc w:val="both"/>
        <w:rPr>
          <w:rFonts w:ascii="Verdana" w:hAnsi="Verdana"/>
          <w:sz w:val="20"/>
          <w:szCs w:val="20"/>
          <w:lang w:val="es-ES"/>
        </w:rPr>
      </w:pPr>
    </w:p>
    <w:p w14:paraId="061EBD52" w14:textId="77777777" w:rsidR="002B5160" w:rsidRDefault="002B5160" w:rsidP="002B5160">
      <w:pPr>
        <w:spacing w:after="0" w:line="240" w:lineRule="auto"/>
        <w:contextualSpacing/>
        <w:jc w:val="both"/>
        <w:rPr>
          <w:rFonts w:ascii="Verdana" w:eastAsia="Calibri" w:hAnsi="Verdana" w:cs="Arial"/>
          <w:sz w:val="20"/>
          <w:szCs w:val="20"/>
          <w:lang w:val="es-ES" w:eastAsia="es-ES"/>
        </w:rPr>
      </w:pPr>
      <w:r w:rsidRPr="002B5160">
        <w:rPr>
          <w:rFonts w:ascii="Verdana" w:eastAsia="Calibri" w:hAnsi="Verdana" w:cs="Arial"/>
          <w:sz w:val="20"/>
          <w:szCs w:val="20"/>
          <w:lang w:val="es-ES" w:eastAsia="es-ES"/>
        </w:rPr>
        <w:t xml:space="preserve">Dentro los esquemas para determinar el precio se encuentran, entre otros: i) los precios unitarios –calculados de acuerdo con las unidades que componen el objeto del contrato–, </w:t>
      </w:r>
      <w:proofErr w:type="spellStart"/>
      <w:r w:rsidRPr="002B5160">
        <w:rPr>
          <w:rFonts w:ascii="Verdana" w:eastAsia="Calibri" w:hAnsi="Verdana" w:cs="Arial"/>
          <w:sz w:val="20"/>
          <w:szCs w:val="20"/>
          <w:lang w:val="es-ES" w:eastAsia="es-ES"/>
        </w:rPr>
        <w:t>ii</w:t>
      </w:r>
      <w:proofErr w:type="spellEnd"/>
      <w:r w:rsidRPr="002B5160">
        <w:rPr>
          <w:rFonts w:ascii="Verdana" w:eastAsia="Calibri" w:hAnsi="Verdana" w:cs="Arial"/>
          <w:sz w:val="20"/>
          <w:szCs w:val="20"/>
          <w:lang w:val="es-ES" w:eastAsia="es-ES"/>
        </w:rPr>
        <w:t xml:space="preserve">) el precio global –que equivale al monto total, sin discriminar unidades–, y </w:t>
      </w:r>
      <w:proofErr w:type="spellStart"/>
      <w:r w:rsidRPr="002B5160">
        <w:rPr>
          <w:rFonts w:ascii="Verdana" w:eastAsia="Calibri" w:hAnsi="Verdana" w:cs="Arial"/>
          <w:sz w:val="20"/>
          <w:szCs w:val="20"/>
          <w:lang w:val="es-ES" w:eastAsia="es-ES"/>
        </w:rPr>
        <w:t>iii</w:t>
      </w:r>
      <w:proofErr w:type="spellEnd"/>
      <w:r w:rsidRPr="002B5160">
        <w:rPr>
          <w:rFonts w:ascii="Verdana" w:eastAsia="Calibri" w:hAnsi="Verdana" w:cs="Arial"/>
          <w:sz w:val="20"/>
          <w:szCs w:val="20"/>
          <w:lang w:val="es-ES" w:eastAsia="es-ES"/>
        </w:rPr>
        <w:t>) la administración delegada de recursos –en la que se distinguen los costos de inversión de los honorarios del administrador–.</w:t>
      </w:r>
    </w:p>
    <w:p w14:paraId="57F5A47A" w14:textId="77777777" w:rsidR="00EA0FDE" w:rsidRPr="002B5160" w:rsidRDefault="00EA0FDE" w:rsidP="002B5160">
      <w:pPr>
        <w:spacing w:after="0" w:line="240" w:lineRule="auto"/>
        <w:contextualSpacing/>
        <w:jc w:val="both"/>
        <w:rPr>
          <w:rFonts w:ascii="Verdana" w:eastAsia="Calibri" w:hAnsi="Verdana" w:cs="Arial"/>
          <w:sz w:val="20"/>
          <w:szCs w:val="20"/>
          <w:lang w:val="es-ES" w:eastAsia="es-ES"/>
        </w:rPr>
      </w:pPr>
    </w:p>
    <w:p w14:paraId="4CE3CBF0" w14:textId="6451B64C" w:rsidR="000433DA" w:rsidRDefault="002B5160" w:rsidP="002B5160">
      <w:pPr>
        <w:spacing w:after="0" w:line="240" w:lineRule="auto"/>
        <w:contextualSpacing/>
        <w:jc w:val="both"/>
        <w:rPr>
          <w:rFonts w:ascii="Verdana" w:eastAsia="Calibri" w:hAnsi="Verdana" w:cs="Arial"/>
          <w:sz w:val="20"/>
          <w:szCs w:val="20"/>
          <w:lang w:val="es-ES" w:eastAsia="es-ES"/>
        </w:rPr>
      </w:pPr>
      <w:r w:rsidRPr="002B5160">
        <w:rPr>
          <w:rFonts w:ascii="Verdana" w:eastAsia="Calibri" w:hAnsi="Verdana" w:cs="Arial"/>
          <w:sz w:val="20"/>
          <w:szCs w:val="20"/>
          <w:lang w:val="es-ES" w:eastAsia="es-ES"/>
        </w:rPr>
        <w:t>El contrato cuyo precio es pactado a precios unitarios implica individualizar el valor de cada uno de los ítems requeridos para llevar a cabo la obra o el proyecto. Así mismo, el precio se deriva de apreciar todos los componentes necesarios para la ejecución de la unidad de medida del ítem correspondiente (metro lineal, metro cúbico, metro cuadrado, entre otros). Por lo mismo, el precio será el resultado de multiplicar la cantidad finalmente ejecutada por el valor unitario respectivo.</w:t>
      </w:r>
    </w:p>
    <w:p w14:paraId="0EC76EBE" w14:textId="77777777" w:rsidR="0053723E" w:rsidRDefault="0053723E" w:rsidP="002B5160">
      <w:pPr>
        <w:spacing w:after="0" w:line="240" w:lineRule="auto"/>
        <w:contextualSpacing/>
        <w:jc w:val="both"/>
        <w:rPr>
          <w:rFonts w:ascii="Verdana" w:eastAsia="Calibri" w:hAnsi="Verdana" w:cs="Arial"/>
          <w:sz w:val="20"/>
          <w:szCs w:val="20"/>
          <w:lang w:val="es-ES" w:eastAsia="es-ES"/>
        </w:rPr>
      </w:pPr>
    </w:p>
    <w:p w14:paraId="13F02C3E" w14:textId="77777777" w:rsidR="0053723E" w:rsidRDefault="0053723E" w:rsidP="0053723E">
      <w:pPr>
        <w:spacing w:after="0" w:line="240" w:lineRule="auto"/>
        <w:contextualSpacing/>
        <w:jc w:val="both"/>
        <w:rPr>
          <w:rFonts w:ascii="Verdana" w:hAnsi="Verdana" w:cs="Arial"/>
          <w:sz w:val="20"/>
          <w:szCs w:val="20"/>
          <w:lang w:val="es-ES" w:eastAsia="es-ES"/>
        </w:rPr>
      </w:pPr>
      <w:r w:rsidRPr="000433DA">
        <w:rPr>
          <w:rFonts w:ascii="Verdana" w:hAnsi="Verdana" w:cs="Arial"/>
          <w:bCs/>
          <w:sz w:val="20"/>
          <w:szCs w:val="21"/>
          <w:lang w:val="es-ES" w:eastAsia="es-ES_tradnl"/>
        </w:rPr>
        <w:t xml:space="preserve">[…] </w:t>
      </w:r>
    </w:p>
    <w:p w14:paraId="7AFBA6F4" w14:textId="77777777" w:rsidR="00EA0FDE" w:rsidRDefault="00EA0FDE" w:rsidP="002B5160">
      <w:pPr>
        <w:spacing w:after="0" w:line="240" w:lineRule="auto"/>
        <w:contextualSpacing/>
        <w:jc w:val="both"/>
        <w:rPr>
          <w:rFonts w:ascii="Verdana" w:eastAsia="Calibri" w:hAnsi="Verdana" w:cs="Arial"/>
          <w:sz w:val="20"/>
          <w:szCs w:val="20"/>
          <w:lang w:val="es-ES" w:eastAsia="es-ES"/>
        </w:rPr>
      </w:pPr>
    </w:p>
    <w:p w14:paraId="08F44A31" w14:textId="0AD71867" w:rsidR="00EA0FDE" w:rsidRPr="002B5160" w:rsidRDefault="00EA0FDE" w:rsidP="002B5160">
      <w:pPr>
        <w:spacing w:after="0" w:line="240" w:lineRule="auto"/>
        <w:contextualSpacing/>
        <w:jc w:val="both"/>
        <w:rPr>
          <w:rFonts w:ascii="Verdana" w:eastAsia="Calibri" w:hAnsi="Verdana" w:cs="Arial"/>
          <w:sz w:val="20"/>
          <w:szCs w:val="20"/>
          <w:lang w:val="es-ES" w:eastAsia="es-ES"/>
        </w:rPr>
      </w:pPr>
      <w:r w:rsidRPr="00EA0FDE">
        <w:rPr>
          <w:rFonts w:ascii="Verdana" w:eastAsia="Calibri" w:hAnsi="Verdana" w:cs="Arial"/>
          <w:sz w:val="20"/>
          <w:szCs w:val="20"/>
          <w:lang w:val="es-ES" w:eastAsia="es-ES"/>
        </w:rPr>
        <w:t>En esta modalidad de establecimiento del precio, y por la misma naturaleza del contrato que impide definir con certeza su valor real, se establecen unas estimaciones de cantidades de obra, según los estudios y diseños, los estudios previos y unos precios unitarios de los respectivos ítems de obra. Al respecto, la jurisprudencia de la Sección Tercera del Consejo de Estado ha explicado que, en los contratos pactados mediante precios unitarios, ante la imposibilidad de establecer con exactitud los montos totales que resultarán de realizar la obra contratada, previo a la ejecución del negocio jurídico, la entidad, tanto en los pliegos de condiciones o documento equivalente, como en el contrato, aproxima un cálculo estimado de la cantidad o unidades de obra que se requerirá ejecutar. Esto, con el propósito de que el proponente establezca en su propuesta unos valores unitarios respecto de cada unidad de obra prevista por el ente contratante.</w:t>
      </w:r>
    </w:p>
    <w:p w14:paraId="12A4FB03" w14:textId="77777777" w:rsidR="002B5160" w:rsidRPr="000433DA" w:rsidRDefault="002B5160" w:rsidP="002B5160">
      <w:pPr>
        <w:spacing w:after="0" w:line="240" w:lineRule="auto"/>
        <w:contextualSpacing/>
        <w:jc w:val="both"/>
        <w:rPr>
          <w:rFonts w:ascii="Verdana" w:eastAsia="Calibri" w:hAnsi="Verdana" w:cs="Arial"/>
          <w:b/>
          <w:bCs/>
          <w:sz w:val="20"/>
          <w:szCs w:val="20"/>
          <w:lang w:val="es-ES" w:eastAsia="es-ES"/>
        </w:rPr>
      </w:pPr>
    </w:p>
    <w:p w14:paraId="3C6AF287" w14:textId="77777777" w:rsidR="009452C7" w:rsidRDefault="009452C7" w:rsidP="00CD56CE">
      <w:pPr>
        <w:spacing w:after="0" w:line="240" w:lineRule="auto"/>
        <w:contextualSpacing/>
        <w:jc w:val="both"/>
        <w:rPr>
          <w:rFonts w:ascii="Verdana" w:eastAsia="Calibri" w:hAnsi="Verdana" w:cs="Arial"/>
          <w:b/>
          <w:bCs/>
          <w:lang w:val="es-ES" w:eastAsia="es-ES"/>
        </w:rPr>
      </w:pPr>
      <w:r w:rsidRPr="009452C7">
        <w:rPr>
          <w:rFonts w:ascii="Verdana" w:eastAsia="Calibri" w:hAnsi="Verdana" w:cs="Arial"/>
          <w:b/>
          <w:bCs/>
          <w:lang w:val="es-ES" w:eastAsia="es-ES"/>
        </w:rPr>
        <w:t>AIU – Costos indirectos – Finalidad – Ejecución del contrato</w:t>
      </w:r>
    </w:p>
    <w:p w14:paraId="3815B1A4" w14:textId="77777777" w:rsidR="000433DA" w:rsidRDefault="000433DA" w:rsidP="00CD56CE">
      <w:pPr>
        <w:spacing w:after="0" w:line="240" w:lineRule="auto"/>
        <w:contextualSpacing/>
        <w:jc w:val="both"/>
        <w:rPr>
          <w:rFonts w:ascii="Verdana" w:eastAsia="Calibri" w:hAnsi="Verdana" w:cs="Arial"/>
          <w:b/>
          <w:bCs/>
          <w:lang w:val="es-ES" w:eastAsia="es-ES"/>
        </w:rPr>
      </w:pPr>
    </w:p>
    <w:p w14:paraId="408D482D" w14:textId="49E11A39" w:rsidR="000433DA" w:rsidRDefault="000433DA" w:rsidP="00CD56CE">
      <w:pPr>
        <w:spacing w:after="0" w:line="240" w:lineRule="auto"/>
        <w:contextualSpacing/>
        <w:jc w:val="both"/>
        <w:rPr>
          <w:rFonts w:ascii="Verdana" w:hAnsi="Verdana" w:cs="Arial"/>
          <w:bCs/>
          <w:sz w:val="20"/>
          <w:szCs w:val="20"/>
          <w:lang w:val="es-ES" w:eastAsia="es-ES_tradnl"/>
        </w:rPr>
      </w:pPr>
      <w:r w:rsidRPr="000433DA">
        <w:rPr>
          <w:rFonts w:ascii="Verdana" w:hAnsi="Verdana" w:cs="Arial"/>
          <w:bCs/>
          <w:sz w:val="20"/>
          <w:szCs w:val="20"/>
          <w:lang w:val="es-ES" w:eastAsia="es-ES_tradnl"/>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0433DA">
        <w:rPr>
          <w:rFonts w:ascii="Verdana" w:hAnsi="Verdana" w:cs="Arial"/>
          <w:bCs/>
          <w:i/>
          <w:iCs/>
          <w:sz w:val="20"/>
          <w:szCs w:val="20"/>
          <w:lang w:val="es-ES" w:eastAsia="es-ES_tradnl"/>
        </w:rPr>
        <w:t xml:space="preserve">indirectos </w:t>
      </w:r>
      <w:r w:rsidRPr="000433DA">
        <w:rPr>
          <w:rFonts w:ascii="Verdana" w:hAnsi="Verdana" w:cs="Arial"/>
          <w:bCs/>
          <w:sz w:val="20"/>
          <w:szCs w:val="20"/>
          <w:lang w:val="es-ES" w:eastAsia="es-ES_tradnl"/>
        </w:rPr>
        <w:t xml:space="preserve">en que incurren los contratistas, entre ellos, los de la </w:t>
      </w:r>
      <w:r w:rsidRPr="000433DA">
        <w:rPr>
          <w:rFonts w:ascii="Verdana" w:hAnsi="Verdana" w:cs="Arial"/>
          <w:bCs/>
          <w:i/>
          <w:iCs/>
          <w:sz w:val="20"/>
          <w:szCs w:val="20"/>
          <w:lang w:val="es-ES" w:eastAsia="es-ES_tradnl"/>
        </w:rPr>
        <w:t>Administración</w:t>
      </w:r>
      <w:r w:rsidRPr="000433DA">
        <w:rPr>
          <w:rFonts w:ascii="Verdana" w:hAnsi="Verdana" w:cs="Arial"/>
          <w:bCs/>
          <w:sz w:val="20"/>
          <w:szCs w:val="20"/>
          <w:lang w:val="es-ES" w:eastAsia="es-ES_tradnl"/>
        </w:rPr>
        <w:t xml:space="preserve">, para efectos de definir el porcentaje con el que calculan el presupuesto, pese a que el monto de estos componentes varía ostensiblemente de un proponente a otro, pues su valor real depende de circunstancias particulares de los oferentes. </w:t>
      </w:r>
    </w:p>
    <w:p w14:paraId="0B4CDF03" w14:textId="77777777" w:rsidR="00EA0FDE" w:rsidRPr="000433DA" w:rsidRDefault="00EA0FDE" w:rsidP="00CD56CE">
      <w:pPr>
        <w:spacing w:after="0" w:line="240" w:lineRule="auto"/>
        <w:contextualSpacing/>
        <w:jc w:val="both"/>
        <w:rPr>
          <w:rFonts w:ascii="Verdana" w:hAnsi="Verdana" w:cs="Arial"/>
          <w:bCs/>
          <w:sz w:val="20"/>
          <w:szCs w:val="20"/>
          <w:lang w:val="es-ES" w:eastAsia="es-ES_tradnl"/>
        </w:rPr>
      </w:pPr>
    </w:p>
    <w:p w14:paraId="1FEC1FD1" w14:textId="70802D00" w:rsidR="000433DA" w:rsidRPr="000433DA" w:rsidRDefault="000433DA" w:rsidP="00CD56CE">
      <w:pPr>
        <w:spacing w:after="0" w:line="240" w:lineRule="auto"/>
        <w:contextualSpacing/>
        <w:jc w:val="both"/>
        <w:rPr>
          <w:rFonts w:ascii="Verdana" w:eastAsia="Calibri" w:hAnsi="Verdana" w:cs="Arial"/>
          <w:b/>
          <w:bCs/>
          <w:sz w:val="20"/>
          <w:szCs w:val="20"/>
          <w:lang w:val="es-ES" w:eastAsia="es-ES"/>
        </w:rPr>
      </w:pPr>
      <w:r w:rsidRPr="000433DA">
        <w:rPr>
          <w:rFonts w:ascii="Verdana" w:hAnsi="Verdana" w:cs="Arial"/>
          <w:sz w:val="20"/>
          <w:szCs w:val="20"/>
          <w:lang w:val="es-ES" w:eastAsia="es-ES"/>
        </w:rPr>
        <w:t xml:space="preserve">De manera que las entidades calculan un valor estimado que, a su vez, sirve de guía para que los proponentes formulen sus ofertas, pero bajo la premisa de que pagarán un </w:t>
      </w:r>
      <w:r w:rsidRPr="000433DA">
        <w:rPr>
          <w:rFonts w:ascii="Verdana" w:hAnsi="Verdana" w:cs="Arial"/>
          <w:i/>
          <w:iCs/>
          <w:sz w:val="20"/>
          <w:szCs w:val="20"/>
          <w:lang w:val="es-ES" w:eastAsia="es-ES"/>
        </w:rPr>
        <w:t>porcentaje fijo</w:t>
      </w:r>
      <w:r w:rsidRPr="000433DA">
        <w:rPr>
          <w:rFonts w:ascii="Verdana" w:hAnsi="Verdana" w:cs="Arial"/>
          <w:sz w:val="20"/>
          <w:szCs w:val="20"/>
          <w:lang w:val="es-ES" w:eastAsia="es-ES"/>
        </w:rPr>
        <w:t xml:space="preserve">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w:t>
      </w:r>
      <w:r w:rsidRPr="000433DA">
        <w:rPr>
          <w:rFonts w:ascii="Verdana" w:hAnsi="Verdana" w:cs="Arial"/>
          <w:sz w:val="20"/>
          <w:szCs w:val="20"/>
          <w:lang w:val="es-ES" w:eastAsia="es-ES"/>
        </w:rPr>
        <w:lastRenderedPageBreak/>
        <w:t xml:space="preserve">la fijación de un porcentaje fijo y estable también puede resultar favorable a la entidad estatal, pues su contraparte no le podrá exigir un monto superior, bajo el argumento de que incurrió en costos o gastos adicionales asociados al componente </w:t>
      </w:r>
      <w:r w:rsidRPr="000433DA">
        <w:rPr>
          <w:rFonts w:ascii="Verdana" w:hAnsi="Verdana" w:cs="Arial"/>
          <w:i/>
          <w:iCs/>
          <w:sz w:val="20"/>
          <w:szCs w:val="20"/>
          <w:lang w:val="es-ES" w:eastAsia="es-ES"/>
        </w:rPr>
        <w:t>Administración.</w:t>
      </w:r>
    </w:p>
    <w:p w14:paraId="319B3B6F" w14:textId="77777777" w:rsidR="009452C7" w:rsidRPr="000433DA" w:rsidRDefault="009452C7" w:rsidP="000433DA">
      <w:pPr>
        <w:spacing w:after="0" w:line="240" w:lineRule="auto"/>
        <w:contextualSpacing/>
        <w:jc w:val="both"/>
        <w:rPr>
          <w:rFonts w:ascii="Verdana" w:eastAsia="Calibri" w:hAnsi="Verdana" w:cs="Arial"/>
          <w:b/>
          <w:bCs/>
          <w:sz w:val="20"/>
          <w:szCs w:val="20"/>
          <w:lang w:val="es-ES" w:eastAsia="es-ES"/>
        </w:rPr>
      </w:pPr>
    </w:p>
    <w:p w14:paraId="665AB8A8" w14:textId="6A4FB13B" w:rsidR="009452C7" w:rsidRDefault="009452C7" w:rsidP="009452C7">
      <w:pPr>
        <w:spacing w:after="120"/>
        <w:contextualSpacing/>
        <w:jc w:val="both"/>
        <w:rPr>
          <w:rFonts w:ascii="Verdana" w:eastAsia="Calibri" w:hAnsi="Verdana" w:cs="Arial"/>
          <w:b/>
          <w:bCs/>
          <w:lang w:val="es-ES" w:eastAsia="es-ES"/>
        </w:rPr>
      </w:pPr>
      <w:r w:rsidRPr="009452C7">
        <w:rPr>
          <w:rFonts w:ascii="Verdana" w:eastAsia="Calibri" w:hAnsi="Verdana" w:cs="Arial"/>
          <w:b/>
          <w:bCs/>
          <w:lang w:val="es-ES" w:eastAsia="es-ES"/>
        </w:rPr>
        <w:t>AIU –</w:t>
      </w:r>
      <w:r w:rsidR="000433DA">
        <w:rPr>
          <w:rFonts w:ascii="Verdana" w:eastAsia="Calibri" w:hAnsi="Verdana" w:cs="Arial"/>
          <w:b/>
          <w:bCs/>
          <w:lang w:val="es-ES" w:eastAsia="es-ES"/>
        </w:rPr>
        <w:t xml:space="preserve"> </w:t>
      </w:r>
      <w:r w:rsidRPr="009452C7">
        <w:rPr>
          <w:rFonts w:ascii="Verdana" w:eastAsia="Calibri" w:hAnsi="Verdana" w:cs="Arial"/>
          <w:b/>
          <w:bCs/>
          <w:lang w:val="es-ES" w:eastAsia="es-ES"/>
        </w:rPr>
        <w:t>Discrecionalidad</w:t>
      </w:r>
    </w:p>
    <w:p w14:paraId="1F43526F" w14:textId="77777777" w:rsidR="00077773" w:rsidRPr="000433DA" w:rsidRDefault="00077773" w:rsidP="000433DA">
      <w:pPr>
        <w:spacing w:after="0" w:line="240" w:lineRule="auto"/>
        <w:contextualSpacing/>
        <w:jc w:val="both"/>
        <w:rPr>
          <w:rFonts w:ascii="Verdana" w:hAnsi="Verdana" w:cs="Arial"/>
          <w:sz w:val="20"/>
          <w:szCs w:val="20"/>
          <w:lang w:val="es-ES" w:eastAsia="es-ES"/>
        </w:rPr>
      </w:pPr>
    </w:p>
    <w:p w14:paraId="7B9760DE" w14:textId="7610A1E2" w:rsidR="000433DA" w:rsidRPr="000433DA" w:rsidRDefault="000433DA" w:rsidP="000433DA">
      <w:pPr>
        <w:spacing w:after="0" w:line="240" w:lineRule="auto"/>
        <w:contextualSpacing/>
        <w:jc w:val="both"/>
        <w:rPr>
          <w:rFonts w:ascii="Verdana" w:hAnsi="Verdana" w:cs="Arial"/>
          <w:sz w:val="20"/>
          <w:szCs w:val="20"/>
          <w:lang w:val="es-ES" w:eastAsia="es-ES"/>
        </w:rPr>
      </w:pPr>
      <w:r w:rsidRPr="000433DA">
        <w:rPr>
          <w:rFonts w:ascii="Verdana" w:hAnsi="Verdana" w:cs="Arial"/>
          <w:sz w:val="20"/>
          <w:szCs w:val="20"/>
          <w:lang w:val="es-ES" w:eastAsia="es-ES"/>
        </w:rPr>
        <w:t xml:space="preserve">En consecuencia, las entidades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 </w:t>
      </w:r>
    </w:p>
    <w:p w14:paraId="63B08952" w14:textId="77777777" w:rsidR="009452C7" w:rsidRDefault="009452C7" w:rsidP="009452C7">
      <w:pPr>
        <w:spacing w:after="120"/>
        <w:contextualSpacing/>
        <w:jc w:val="both"/>
        <w:rPr>
          <w:rFonts w:ascii="Verdana" w:eastAsia="Calibri" w:hAnsi="Verdana" w:cs="Arial"/>
          <w:b/>
          <w:bCs/>
          <w:lang w:val="es-ES" w:eastAsia="es-ES"/>
        </w:rPr>
      </w:pPr>
    </w:p>
    <w:p w14:paraId="3A67A326" w14:textId="77777777" w:rsidR="00C84BEC" w:rsidRDefault="00C84BEC" w:rsidP="00C84BEC">
      <w:pPr>
        <w:spacing w:after="0" w:line="240" w:lineRule="auto"/>
        <w:jc w:val="both"/>
        <w:rPr>
          <w:rFonts w:ascii="Verdana" w:hAnsi="Verdana"/>
          <w:b/>
        </w:rPr>
      </w:pPr>
      <w:r>
        <w:rPr>
          <w:rFonts w:ascii="Verdana" w:hAnsi="Verdana"/>
          <w:b/>
        </w:rPr>
        <w:t>EQUILIBRIO ECONÓMICO – Contrato estatal – Concepto</w:t>
      </w:r>
    </w:p>
    <w:p w14:paraId="34EAAA4B" w14:textId="77777777" w:rsidR="00C84BEC" w:rsidRDefault="00C84BEC" w:rsidP="00C84BEC">
      <w:pPr>
        <w:spacing w:after="0" w:line="240" w:lineRule="auto"/>
        <w:jc w:val="both"/>
        <w:rPr>
          <w:rFonts w:ascii="Verdana" w:hAnsi="Verdana"/>
          <w:bCs/>
          <w:sz w:val="20"/>
          <w:szCs w:val="20"/>
        </w:rPr>
      </w:pPr>
    </w:p>
    <w:p w14:paraId="2993CFA5" w14:textId="77777777" w:rsidR="00C84BEC" w:rsidRDefault="00C84BEC" w:rsidP="00C84BEC">
      <w:pPr>
        <w:spacing w:after="0" w:line="240" w:lineRule="auto"/>
        <w:jc w:val="both"/>
        <w:rPr>
          <w:rFonts w:ascii="Verdana" w:hAnsi="Verdana"/>
          <w:b/>
          <w:bCs/>
          <w:sz w:val="20"/>
          <w:szCs w:val="20"/>
        </w:rPr>
      </w:pPr>
      <w:r>
        <w:rPr>
          <w:rFonts w:ascii="Verdana" w:eastAsia="Arial MT" w:hAnsi="Verdana" w:cs="Arial"/>
          <w:sz w:val="20"/>
          <w:szCs w:val="20"/>
          <w:lang w:eastAsia="es-ES" w:bidi="es-ES"/>
        </w:rPr>
        <w:t>Sobre el principio del equilibrio financiero del contrato, el Consejo de Estado ha señalado que consiste «en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 En concordancia, la doctrina ha indicado que con este principio, también denominado «el de la honesta equivalencia de prestaciones», se privilegia el carácter conmutativo o sinalagmático que, por regla general, tiene el contrato estatal, «lo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p>
    <w:p w14:paraId="2691C2F6" w14:textId="77777777" w:rsidR="00C84BEC" w:rsidRDefault="00C84BEC" w:rsidP="00C84BEC">
      <w:pPr>
        <w:spacing w:after="0" w:line="240" w:lineRule="auto"/>
        <w:jc w:val="both"/>
        <w:rPr>
          <w:rFonts w:ascii="Verdana" w:hAnsi="Verdana"/>
          <w:b/>
          <w:bCs/>
          <w:sz w:val="20"/>
          <w:szCs w:val="20"/>
        </w:rPr>
      </w:pPr>
    </w:p>
    <w:p w14:paraId="40F11EED" w14:textId="77777777" w:rsidR="00C84BEC" w:rsidRDefault="00C84BEC" w:rsidP="00C84BEC">
      <w:pPr>
        <w:spacing w:after="0" w:line="240" w:lineRule="auto"/>
        <w:jc w:val="both"/>
        <w:rPr>
          <w:rFonts w:ascii="Verdana" w:hAnsi="Verdana"/>
          <w:b/>
          <w:bCs/>
        </w:rPr>
      </w:pPr>
      <w:r>
        <w:rPr>
          <w:rFonts w:ascii="Verdana" w:hAnsi="Verdana"/>
          <w:b/>
          <w:bCs/>
        </w:rPr>
        <w:t>EQUILIBRIO ECONÓMICO – Contrato estatal – Restablecimiento – Procedencia – Requisitos</w:t>
      </w:r>
    </w:p>
    <w:p w14:paraId="7D3C2F7A" w14:textId="77777777" w:rsidR="00C84BEC" w:rsidRDefault="00C84BEC" w:rsidP="00C84BEC">
      <w:pPr>
        <w:spacing w:after="0" w:line="240" w:lineRule="auto"/>
        <w:jc w:val="both"/>
        <w:rPr>
          <w:rFonts w:ascii="Verdana" w:hAnsi="Verdana"/>
          <w:b/>
          <w:bCs/>
          <w:sz w:val="20"/>
          <w:szCs w:val="20"/>
        </w:rPr>
      </w:pPr>
    </w:p>
    <w:p w14:paraId="08F6632B" w14:textId="77777777" w:rsidR="00C84BEC" w:rsidRDefault="00C84BEC" w:rsidP="00C84BEC">
      <w:pPr>
        <w:spacing w:after="0" w:line="240" w:lineRule="auto"/>
        <w:jc w:val="both"/>
        <w:rPr>
          <w:rFonts w:ascii="Verdana" w:hAnsi="Verdana"/>
          <w:sz w:val="20"/>
          <w:szCs w:val="20"/>
        </w:rPr>
      </w:pPr>
      <w:r>
        <w:rPr>
          <w:rFonts w:ascii="Verdana" w:hAnsi="Verdana"/>
          <w:sz w:val="20"/>
          <w:szCs w:val="20"/>
          <w:lang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 Además, es necesario que las reclamaciones para el restablecimiento se realicen en la oportunidad debida, de manera que </w:t>
      </w:r>
      <w:r>
        <w:rPr>
          <w:rFonts w:ascii="Verdana" w:hAnsi="Verdana"/>
          <w:sz w:val="20"/>
          <w:szCs w:val="20"/>
        </w:rPr>
        <w:t xml:space="preserve">si las solicitudes, </w:t>
      </w:r>
      <w:r>
        <w:rPr>
          <w:rFonts w:ascii="Verdana" w:hAnsi="Verdana"/>
          <w:sz w:val="20"/>
          <w:szCs w:val="20"/>
        </w:rPr>
        <w:lastRenderedPageBreak/>
        <w:t xml:space="preserve">o salvedades </w:t>
      </w:r>
      <w:r>
        <w:rPr>
          <w:rFonts w:ascii="Verdana" w:hAnsi="Verdana"/>
          <w:sz w:val="20"/>
          <w:szCs w:val="20"/>
          <w:lang w:val="es-MX"/>
        </w:rPr>
        <w:t>«</w:t>
      </w:r>
      <w:r>
        <w:rPr>
          <w:rFonts w:ascii="Verdana" w:hAnsi="Verdana"/>
          <w:sz w:val="20"/>
          <w:szCs w:val="20"/>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hAnsi="Verdana"/>
          <w:sz w:val="20"/>
          <w:szCs w:val="20"/>
          <w:lang w:val="es-MX"/>
        </w:rPr>
        <w:t xml:space="preserve">». </w:t>
      </w:r>
    </w:p>
    <w:p w14:paraId="6F47283C" w14:textId="77777777" w:rsidR="00C84BEC" w:rsidRDefault="00C84BEC" w:rsidP="00C84BEC">
      <w:pPr>
        <w:spacing w:after="0" w:line="240" w:lineRule="auto"/>
        <w:jc w:val="both"/>
        <w:rPr>
          <w:rFonts w:ascii="Verdana" w:hAnsi="Verdana"/>
          <w:sz w:val="20"/>
          <w:szCs w:val="20"/>
          <w:lang w:bidi="es-ES"/>
        </w:rPr>
      </w:pPr>
    </w:p>
    <w:p w14:paraId="17DF67CE" w14:textId="77777777" w:rsidR="00C84BEC" w:rsidRDefault="00C84BEC" w:rsidP="00C84BEC">
      <w:pPr>
        <w:spacing w:after="0" w:line="240" w:lineRule="auto"/>
        <w:jc w:val="both"/>
        <w:rPr>
          <w:rFonts w:ascii="Verdana" w:hAnsi="Verdana"/>
          <w:sz w:val="20"/>
          <w:szCs w:val="20"/>
          <w:lang w:bidi="es-ES"/>
        </w:rPr>
      </w:pPr>
      <w:r>
        <w:rPr>
          <w:rFonts w:ascii="Verdana" w:hAnsi="Verdana"/>
          <w:sz w:val="20"/>
          <w:szCs w:val="20"/>
          <w:lang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709E13CA" w14:textId="77777777" w:rsidR="00C84BEC" w:rsidRDefault="00C84BEC" w:rsidP="00C84BEC">
      <w:pPr>
        <w:spacing w:after="0" w:line="240" w:lineRule="auto"/>
        <w:jc w:val="both"/>
        <w:rPr>
          <w:rFonts w:ascii="Verdana" w:hAnsi="Verdana"/>
          <w:sz w:val="20"/>
          <w:szCs w:val="20"/>
        </w:rPr>
      </w:pPr>
    </w:p>
    <w:p w14:paraId="7A240EC6" w14:textId="77777777" w:rsidR="00CD56CE" w:rsidRDefault="00CD56CE" w:rsidP="000B5ECB">
      <w:pPr>
        <w:spacing w:after="0" w:line="240" w:lineRule="auto"/>
        <w:rPr>
          <w:rFonts w:ascii="Verdana" w:hAnsi="Verdana"/>
          <w:lang w:val="es-ES"/>
        </w:rPr>
      </w:pPr>
    </w:p>
    <w:p w14:paraId="42586B36" w14:textId="77777777" w:rsidR="00CD56CE" w:rsidRDefault="00CD56CE" w:rsidP="000B5ECB">
      <w:pPr>
        <w:spacing w:after="0" w:line="240" w:lineRule="auto"/>
        <w:rPr>
          <w:rFonts w:ascii="Verdana" w:hAnsi="Verdana"/>
          <w:lang w:val="es-ES"/>
        </w:rPr>
      </w:pPr>
    </w:p>
    <w:p w14:paraId="3E41A8D4" w14:textId="77777777" w:rsidR="00CD56CE" w:rsidRDefault="00CD56CE" w:rsidP="000B5ECB">
      <w:pPr>
        <w:spacing w:after="0" w:line="240" w:lineRule="auto"/>
        <w:rPr>
          <w:rFonts w:ascii="Verdana" w:hAnsi="Verdana"/>
          <w:lang w:val="es-ES"/>
        </w:rPr>
      </w:pPr>
    </w:p>
    <w:p w14:paraId="493E75D4" w14:textId="77777777" w:rsidR="00CD56CE" w:rsidRDefault="00CD56CE" w:rsidP="000B5ECB">
      <w:pPr>
        <w:spacing w:after="0" w:line="240" w:lineRule="auto"/>
        <w:rPr>
          <w:rFonts w:ascii="Verdana" w:hAnsi="Verdana"/>
          <w:lang w:val="es-ES"/>
        </w:rPr>
      </w:pPr>
    </w:p>
    <w:p w14:paraId="0580CC5F" w14:textId="77777777" w:rsidR="00CD56CE" w:rsidRDefault="00CD56CE" w:rsidP="000B5ECB">
      <w:pPr>
        <w:spacing w:after="0" w:line="240" w:lineRule="auto"/>
        <w:rPr>
          <w:rFonts w:ascii="Verdana" w:hAnsi="Verdana"/>
          <w:lang w:val="es-ES"/>
        </w:rPr>
      </w:pPr>
    </w:p>
    <w:p w14:paraId="0D5D5B2D" w14:textId="77777777" w:rsidR="00CD56CE" w:rsidRDefault="00CD56CE" w:rsidP="000B5ECB">
      <w:pPr>
        <w:spacing w:after="0" w:line="240" w:lineRule="auto"/>
        <w:rPr>
          <w:rFonts w:ascii="Verdana" w:hAnsi="Verdana"/>
          <w:lang w:val="es-ES"/>
        </w:rPr>
      </w:pPr>
    </w:p>
    <w:p w14:paraId="23D42C72" w14:textId="77777777" w:rsidR="00CD56CE" w:rsidRDefault="00CD56CE" w:rsidP="000B5ECB">
      <w:pPr>
        <w:spacing w:after="0" w:line="240" w:lineRule="auto"/>
        <w:rPr>
          <w:rFonts w:ascii="Verdana" w:hAnsi="Verdana"/>
          <w:lang w:val="es-ES"/>
        </w:rPr>
      </w:pPr>
    </w:p>
    <w:p w14:paraId="7F29FDCD" w14:textId="77777777" w:rsidR="00CD56CE" w:rsidRDefault="00CD56CE" w:rsidP="000B5ECB">
      <w:pPr>
        <w:spacing w:after="0" w:line="240" w:lineRule="auto"/>
        <w:rPr>
          <w:rFonts w:ascii="Verdana" w:hAnsi="Verdana"/>
          <w:lang w:val="es-ES"/>
        </w:rPr>
      </w:pPr>
    </w:p>
    <w:p w14:paraId="1167039E" w14:textId="77777777" w:rsidR="00CD56CE" w:rsidRDefault="00CD56CE" w:rsidP="000B5ECB">
      <w:pPr>
        <w:spacing w:after="0" w:line="240" w:lineRule="auto"/>
        <w:rPr>
          <w:rFonts w:ascii="Verdana" w:hAnsi="Verdana"/>
          <w:lang w:val="es-ES"/>
        </w:rPr>
      </w:pPr>
    </w:p>
    <w:p w14:paraId="50C3894C" w14:textId="77777777" w:rsidR="00CD56CE" w:rsidRDefault="00CD56CE" w:rsidP="000B5ECB">
      <w:pPr>
        <w:spacing w:after="0" w:line="240" w:lineRule="auto"/>
        <w:rPr>
          <w:rFonts w:ascii="Verdana" w:hAnsi="Verdana"/>
          <w:lang w:val="es-ES"/>
        </w:rPr>
      </w:pPr>
    </w:p>
    <w:p w14:paraId="0A915157" w14:textId="77777777" w:rsidR="00CD56CE" w:rsidRDefault="00CD56CE" w:rsidP="000B5ECB">
      <w:pPr>
        <w:spacing w:after="0" w:line="240" w:lineRule="auto"/>
        <w:rPr>
          <w:rFonts w:ascii="Verdana" w:hAnsi="Verdana"/>
          <w:lang w:val="es-ES"/>
        </w:rPr>
      </w:pPr>
    </w:p>
    <w:p w14:paraId="472F9264" w14:textId="77777777" w:rsidR="00CD56CE" w:rsidRDefault="00CD56CE" w:rsidP="000B5ECB">
      <w:pPr>
        <w:spacing w:after="0" w:line="240" w:lineRule="auto"/>
        <w:rPr>
          <w:rFonts w:ascii="Verdana" w:hAnsi="Verdana"/>
          <w:lang w:val="es-ES"/>
        </w:rPr>
      </w:pPr>
    </w:p>
    <w:p w14:paraId="061AAEAD" w14:textId="77777777" w:rsidR="00CD56CE" w:rsidRDefault="00CD56CE" w:rsidP="000B5ECB">
      <w:pPr>
        <w:spacing w:after="0" w:line="240" w:lineRule="auto"/>
        <w:rPr>
          <w:rFonts w:ascii="Verdana" w:hAnsi="Verdana"/>
          <w:lang w:val="es-ES"/>
        </w:rPr>
      </w:pPr>
    </w:p>
    <w:p w14:paraId="05D3A29A" w14:textId="77777777" w:rsidR="00CD56CE" w:rsidRDefault="00CD56CE" w:rsidP="000B5ECB">
      <w:pPr>
        <w:spacing w:after="0" w:line="240" w:lineRule="auto"/>
        <w:rPr>
          <w:rFonts w:ascii="Verdana" w:hAnsi="Verdana"/>
          <w:lang w:val="es-ES"/>
        </w:rPr>
      </w:pPr>
    </w:p>
    <w:p w14:paraId="74C1110B" w14:textId="77777777" w:rsidR="00CD56CE" w:rsidRDefault="00CD56CE" w:rsidP="000B5ECB">
      <w:pPr>
        <w:spacing w:after="0" w:line="240" w:lineRule="auto"/>
        <w:rPr>
          <w:rFonts w:ascii="Verdana" w:hAnsi="Verdana"/>
          <w:lang w:val="es-ES"/>
        </w:rPr>
      </w:pPr>
    </w:p>
    <w:p w14:paraId="7F8764C5" w14:textId="77777777" w:rsidR="00CD56CE" w:rsidRDefault="00CD56CE" w:rsidP="000B5ECB">
      <w:pPr>
        <w:spacing w:after="0" w:line="240" w:lineRule="auto"/>
        <w:rPr>
          <w:rFonts w:ascii="Verdana" w:hAnsi="Verdana"/>
          <w:lang w:val="es-ES"/>
        </w:rPr>
      </w:pPr>
    </w:p>
    <w:p w14:paraId="7DC971B9" w14:textId="77777777" w:rsidR="00CD56CE" w:rsidRDefault="00CD56CE" w:rsidP="000B5ECB">
      <w:pPr>
        <w:spacing w:after="0" w:line="240" w:lineRule="auto"/>
        <w:rPr>
          <w:rFonts w:ascii="Verdana" w:hAnsi="Verdana"/>
          <w:lang w:val="es-ES"/>
        </w:rPr>
      </w:pPr>
    </w:p>
    <w:p w14:paraId="4EC39E2A" w14:textId="77777777" w:rsidR="00CD56CE" w:rsidRDefault="00CD56CE" w:rsidP="000B5ECB">
      <w:pPr>
        <w:spacing w:after="0" w:line="240" w:lineRule="auto"/>
        <w:rPr>
          <w:rFonts w:ascii="Verdana" w:hAnsi="Verdana"/>
          <w:lang w:val="es-ES"/>
        </w:rPr>
      </w:pPr>
    </w:p>
    <w:p w14:paraId="6EC5A3FC" w14:textId="77777777" w:rsidR="00CD56CE" w:rsidRDefault="00CD56CE" w:rsidP="000B5ECB">
      <w:pPr>
        <w:spacing w:after="0" w:line="240" w:lineRule="auto"/>
        <w:rPr>
          <w:rFonts w:ascii="Verdana" w:hAnsi="Verdana"/>
          <w:lang w:val="es-ES"/>
        </w:rPr>
      </w:pPr>
    </w:p>
    <w:p w14:paraId="0089FD8B" w14:textId="77777777" w:rsidR="00CD56CE" w:rsidRDefault="00CD56CE" w:rsidP="000B5ECB">
      <w:pPr>
        <w:spacing w:after="0" w:line="240" w:lineRule="auto"/>
        <w:rPr>
          <w:rFonts w:ascii="Verdana" w:hAnsi="Verdana"/>
          <w:lang w:val="es-ES"/>
        </w:rPr>
      </w:pPr>
    </w:p>
    <w:p w14:paraId="0125DFA4" w14:textId="77777777" w:rsidR="00CD56CE" w:rsidRDefault="00CD56CE" w:rsidP="000B5ECB">
      <w:pPr>
        <w:spacing w:after="0" w:line="240" w:lineRule="auto"/>
        <w:rPr>
          <w:rFonts w:ascii="Verdana" w:hAnsi="Verdana"/>
          <w:lang w:val="es-ES"/>
        </w:rPr>
      </w:pPr>
    </w:p>
    <w:p w14:paraId="3D1591AD" w14:textId="77777777" w:rsidR="00CD56CE" w:rsidRDefault="00CD56CE" w:rsidP="000B5ECB">
      <w:pPr>
        <w:spacing w:after="0" w:line="240" w:lineRule="auto"/>
        <w:rPr>
          <w:rFonts w:ascii="Verdana" w:hAnsi="Verdana"/>
          <w:lang w:val="es-ES"/>
        </w:rPr>
      </w:pPr>
    </w:p>
    <w:p w14:paraId="6F75FEE4" w14:textId="77777777" w:rsidR="00700998" w:rsidRDefault="00700998" w:rsidP="000B5ECB">
      <w:pPr>
        <w:spacing w:after="0" w:line="240" w:lineRule="auto"/>
        <w:rPr>
          <w:rFonts w:ascii="Verdana" w:hAnsi="Verdana"/>
          <w:lang w:val="es-ES"/>
        </w:rPr>
      </w:pPr>
    </w:p>
    <w:p w14:paraId="1B478DE7" w14:textId="77777777" w:rsidR="00700998" w:rsidRDefault="00700998" w:rsidP="000B5ECB">
      <w:pPr>
        <w:spacing w:after="0" w:line="240" w:lineRule="auto"/>
        <w:rPr>
          <w:rFonts w:ascii="Verdana" w:hAnsi="Verdana"/>
          <w:lang w:val="es-ES"/>
        </w:rPr>
      </w:pPr>
    </w:p>
    <w:p w14:paraId="46FDF25B" w14:textId="77777777" w:rsidR="00CD56CE" w:rsidRDefault="00CD56CE" w:rsidP="000B5ECB">
      <w:pPr>
        <w:spacing w:after="0" w:line="240" w:lineRule="auto"/>
        <w:rPr>
          <w:rFonts w:ascii="Verdana" w:hAnsi="Verdana"/>
          <w:lang w:val="es-ES"/>
        </w:rPr>
      </w:pPr>
    </w:p>
    <w:p w14:paraId="27B0E955" w14:textId="77777777" w:rsidR="00CD56CE" w:rsidRDefault="00CD56CE" w:rsidP="000B5ECB">
      <w:pPr>
        <w:spacing w:after="0" w:line="240" w:lineRule="auto"/>
        <w:rPr>
          <w:rFonts w:ascii="Verdana" w:hAnsi="Verdana"/>
          <w:lang w:val="es-ES"/>
        </w:rPr>
      </w:pPr>
    </w:p>
    <w:p w14:paraId="5CCC11B4" w14:textId="77777777" w:rsidR="00CD56CE" w:rsidRDefault="00CD56CE" w:rsidP="000B5ECB">
      <w:pPr>
        <w:spacing w:after="0" w:line="240" w:lineRule="auto"/>
        <w:rPr>
          <w:rFonts w:ascii="Verdana" w:hAnsi="Verdana"/>
          <w:lang w:val="es-ES"/>
        </w:rPr>
      </w:pPr>
    </w:p>
    <w:p w14:paraId="186E8909" w14:textId="77777777" w:rsidR="00CD56CE" w:rsidRDefault="00CD56CE" w:rsidP="000B5ECB">
      <w:pPr>
        <w:spacing w:after="0" w:line="240" w:lineRule="auto"/>
        <w:rPr>
          <w:rFonts w:ascii="Verdana" w:hAnsi="Verdana"/>
          <w:lang w:val="es-ES"/>
        </w:rPr>
      </w:pPr>
    </w:p>
    <w:p w14:paraId="07FA070B" w14:textId="77777777" w:rsidR="00CD56CE" w:rsidRDefault="00CD56CE" w:rsidP="000B5ECB">
      <w:pPr>
        <w:spacing w:after="0" w:line="240" w:lineRule="auto"/>
        <w:rPr>
          <w:rFonts w:ascii="Verdana" w:hAnsi="Verdana"/>
          <w:lang w:val="es-ES"/>
        </w:rPr>
      </w:pPr>
    </w:p>
    <w:p w14:paraId="2342506D" w14:textId="77777777" w:rsidR="00CD56CE" w:rsidRDefault="00CD56CE" w:rsidP="000B5ECB">
      <w:pPr>
        <w:spacing w:after="0" w:line="240" w:lineRule="auto"/>
        <w:rPr>
          <w:rFonts w:ascii="Verdana" w:hAnsi="Verdana"/>
          <w:lang w:val="es-ES"/>
        </w:rPr>
      </w:pPr>
    </w:p>
    <w:p w14:paraId="19C1EC2E" w14:textId="77777777" w:rsidR="00CD56CE" w:rsidRDefault="00CD56CE" w:rsidP="000B5ECB">
      <w:pPr>
        <w:spacing w:after="0" w:line="240" w:lineRule="auto"/>
        <w:rPr>
          <w:rFonts w:ascii="Verdana" w:hAnsi="Verdana"/>
          <w:lang w:val="es-ES"/>
        </w:rPr>
      </w:pPr>
    </w:p>
    <w:p w14:paraId="16365390" w14:textId="77777777" w:rsidR="00CD56CE" w:rsidRDefault="00CD56CE" w:rsidP="000B5ECB">
      <w:pPr>
        <w:spacing w:after="0" w:line="240" w:lineRule="auto"/>
        <w:rPr>
          <w:rFonts w:ascii="Verdana" w:hAnsi="Verdana"/>
          <w:lang w:val="es-ES"/>
        </w:rPr>
      </w:pPr>
    </w:p>
    <w:p w14:paraId="6D08DE22" w14:textId="5A58FBD5" w:rsidR="000B74FD" w:rsidRDefault="000B74FD" w:rsidP="000B74FD">
      <w:pPr>
        <w:spacing w:after="0" w:line="240" w:lineRule="auto"/>
        <w:rPr>
          <w:rFonts w:ascii="Verdana" w:eastAsia="Geomanist Light" w:hAnsi="Verdana" w:cs="Arial"/>
          <w:color w:val="201F1E"/>
          <w:lang w:val="es-MX"/>
        </w:rPr>
      </w:pPr>
      <w:r>
        <w:rPr>
          <w:rFonts w:ascii="Verdana" w:hAnsi="Verdana"/>
          <w:lang w:val="es-ES"/>
        </w:rPr>
        <w:lastRenderedPageBreak/>
        <w:t xml:space="preserve">Bogotá D.C., </w:t>
      </w:r>
      <w:r w:rsidR="00D60920">
        <w:rPr>
          <w:rFonts w:ascii="Verdana" w:eastAsia="Geomanist Light" w:hAnsi="Verdana" w:cs="Arial"/>
          <w:color w:val="201F1E"/>
          <w:lang w:val="es-MX"/>
        </w:rPr>
        <w:t>30 de enero de 2026</w:t>
      </w:r>
    </w:p>
    <w:p w14:paraId="59E8072A" w14:textId="77777777" w:rsidR="00D60920" w:rsidRDefault="00D60920" w:rsidP="000B74FD">
      <w:pPr>
        <w:spacing w:after="0" w:line="240" w:lineRule="auto"/>
        <w:rPr>
          <w:rFonts w:ascii="Verdana" w:eastAsia="Geomanist Light" w:hAnsi="Verdana" w:cs="Arial"/>
          <w:color w:val="201F1E"/>
          <w:lang w:val="es-MX"/>
        </w:rPr>
      </w:pPr>
    </w:p>
    <w:p w14:paraId="6AA83954" w14:textId="0E3BD8EC" w:rsidR="000B74FD" w:rsidRDefault="00D60920" w:rsidP="00464765">
      <w:pPr>
        <w:spacing w:after="0" w:line="240" w:lineRule="auto"/>
        <w:jc w:val="right"/>
        <w:rPr>
          <w:rFonts w:ascii="Verdana" w:hAnsi="Verdana"/>
          <w:lang w:val="es-ES"/>
        </w:rPr>
      </w:pPr>
      <w:r w:rsidRPr="00D60920">
        <w:rPr>
          <w:rFonts w:ascii="Verdana" w:hAnsi="Verdana"/>
          <w:noProof/>
          <w:lang w:val="es-ES"/>
        </w:rPr>
        <w:drawing>
          <wp:inline distT="0" distB="0" distL="0" distR="0" wp14:anchorId="267E6B26" wp14:editId="044BA726">
            <wp:extent cx="2362200" cy="975360"/>
            <wp:effectExtent l="0" t="0" r="0" b="0"/>
            <wp:docPr id="15922869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62200" cy="975360"/>
                    </a:xfrm>
                    <a:prstGeom prst="rect">
                      <a:avLst/>
                    </a:prstGeom>
                    <a:noFill/>
                    <a:ln>
                      <a:noFill/>
                    </a:ln>
                  </pic:spPr>
                </pic:pic>
              </a:graphicData>
            </a:graphic>
          </wp:inline>
        </w:drawing>
      </w:r>
    </w:p>
    <w:p w14:paraId="52AC30F8" w14:textId="77777777" w:rsidR="000B74FD" w:rsidRDefault="000B74FD" w:rsidP="000B74FD">
      <w:pPr>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Señor (a)</w:t>
      </w:r>
    </w:p>
    <w:p w14:paraId="32DF71B0" w14:textId="77777777" w:rsidR="000B74FD" w:rsidRDefault="000B74FD" w:rsidP="000B74FD">
      <w:pPr>
        <w:spacing w:after="0" w:line="240" w:lineRule="auto"/>
        <w:rPr>
          <w:rFonts w:ascii="Verdana" w:eastAsia="Calibri" w:hAnsi="Verdana" w:cs="Arial"/>
          <w:b/>
          <w:bCs/>
          <w:color w:val="000000" w:themeColor="text1"/>
          <w:lang w:val="es-ES" w:eastAsia="es-ES_tradnl"/>
        </w:rPr>
      </w:pPr>
      <w:r>
        <w:rPr>
          <w:rFonts w:ascii="Verdana" w:eastAsia="Calibri" w:hAnsi="Verdana" w:cs="Arial"/>
          <w:b/>
          <w:bCs/>
          <w:color w:val="000000" w:themeColor="text1"/>
          <w:lang w:val="es-ES" w:eastAsia="es-ES_tradnl"/>
        </w:rPr>
        <w:t>Anónimo</w:t>
      </w:r>
    </w:p>
    <w:p w14:paraId="41192D60" w14:textId="77777777" w:rsidR="000B74FD" w:rsidRDefault="000B74FD" w:rsidP="000B74FD">
      <w:pPr>
        <w:spacing w:after="0" w:line="240" w:lineRule="auto"/>
        <w:rPr>
          <w:rFonts w:ascii="Verdana" w:eastAsia="Calibri" w:hAnsi="Verdana" w:cs="Arial"/>
          <w:color w:val="000000" w:themeColor="text1"/>
          <w:lang w:val="es-ES" w:eastAsia="es-ES_tradnl"/>
        </w:rPr>
      </w:pPr>
      <w:hyperlink r:id="rId12" w:history="1">
        <w:r>
          <w:rPr>
            <w:rStyle w:val="Hipervnculo"/>
            <w:rFonts w:ascii="Verdana" w:hAnsi="Verdana" w:cs="Arial"/>
          </w:rPr>
          <w:t>santilau85@gmail.com</w:t>
        </w:r>
      </w:hyperlink>
      <w:r>
        <w:rPr>
          <w:rFonts w:ascii="Verdana" w:hAnsi="Verdana" w:cs="Arial"/>
        </w:rPr>
        <w:t xml:space="preserve"> </w:t>
      </w:r>
    </w:p>
    <w:p w14:paraId="7DEE9DCE" w14:textId="77777777" w:rsidR="000B74FD" w:rsidRDefault="000B74FD" w:rsidP="000B74FD">
      <w:pPr>
        <w:spacing w:after="0" w:line="240" w:lineRule="auto"/>
        <w:rPr>
          <w:rFonts w:ascii="Verdana" w:eastAsia="Calibri" w:hAnsi="Verdana" w:cs="Arial"/>
          <w:color w:val="000000" w:themeColor="text1"/>
          <w:lang w:val="es-ES" w:eastAsia="es-ES_tradnl"/>
        </w:rPr>
      </w:pPr>
      <w:r>
        <w:rPr>
          <w:rFonts w:ascii="Verdana" w:eastAsia="Calibri" w:hAnsi="Verdana" w:cs="Arial"/>
          <w:color w:val="000000" w:themeColor="text1"/>
          <w:lang w:val="es-ES" w:eastAsia="es-ES_tradnl"/>
        </w:rPr>
        <w:t xml:space="preserve">Ciudad </w:t>
      </w:r>
    </w:p>
    <w:p w14:paraId="4628D12F" w14:textId="77777777" w:rsidR="000B74FD" w:rsidRDefault="000B74FD" w:rsidP="000B74FD">
      <w:pPr>
        <w:spacing w:after="0" w:line="240" w:lineRule="auto"/>
        <w:rPr>
          <w:rFonts w:ascii="Verdana" w:eastAsia="Calibri" w:hAnsi="Verdana" w:cs="Arial"/>
          <w:color w:val="000000" w:themeColor="text1"/>
          <w:lang w:val="es-ES" w:eastAsia="es-ES_tradnl"/>
        </w:rPr>
      </w:pPr>
    </w:p>
    <w:p w14:paraId="26EDE0E7" w14:textId="77777777" w:rsidR="000B74FD" w:rsidRDefault="000B74FD" w:rsidP="000B74FD">
      <w:pPr>
        <w:spacing w:after="0" w:line="240" w:lineRule="auto"/>
        <w:rPr>
          <w:rFonts w:ascii="Verdana" w:eastAsia="Calibri" w:hAnsi="Verdana" w:cs="Arial"/>
          <w:color w:val="000000" w:themeColor="text1"/>
          <w:lang w:val="es-ES" w:eastAsia="es-ES_tradnl"/>
        </w:rPr>
      </w:pPr>
    </w:p>
    <w:p w14:paraId="744DCDB9" w14:textId="510A22CD" w:rsidR="000B74FD" w:rsidRPr="00700998" w:rsidRDefault="000B74FD" w:rsidP="00700998">
      <w:pPr>
        <w:spacing w:after="0" w:line="240" w:lineRule="auto"/>
        <w:ind w:left="2694"/>
        <w:rPr>
          <w:rFonts w:ascii="Verdana" w:eastAsia="Calibri" w:hAnsi="Verdana" w:cs="Arial"/>
          <w:b/>
          <w:bCs/>
          <w:lang w:val="es-ES" w:eastAsia="es-ES"/>
        </w:rPr>
      </w:pPr>
      <w:r>
        <w:rPr>
          <w:rFonts w:ascii="Verdana" w:eastAsia="Calibri" w:hAnsi="Verdana" w:cs="Arial"/>
          <w:b/>
          <w:bCs/>
          <w:lang w:val="es-ES" w:eastAsia="es-ES"/>
        </w:rPr>
        <w:t>Concepto C-058 de 2026</w:t>
      </w:r>
    </w:p>
    <w:p w14:paraId="1FEDEBDC" w14:textId="77777777" w:rsidR="00700998" w:rsidRPr="00D906B7" w:rsidRDefault="00700998" w:rsidP="00700998">
      <w:pPr>
        <w:spacing w:after="0" w:line="240" w:lineRule="auto"/>
        <w:ind w:left="2694"/>
        <w:rPr>
          <w:rFonts w:ascii="Verdana" w:eastAsia="Calibri" w:hAnsi="Verdana" w:cs="Arial"/>
          <w:b/>
          <w:bCs/>
          <w:lang w:val="es-ES" w:eastAsia="es-ES"/>
        </w:rPr>
      </w:pPr>
    </w:p>
    <w:p w14:paraId="057E260D" w14:textId="77777777" w:rsidR="00700998" w:rsidRPr="00D906B7" w:rsidRDefault="00700998" w:rsidP="00700998">
      <w:pPr>
        <w:spacing w:after="0" w:line="240" w:lineRule="auto"/>
        <w:rPr>
          <w:rFonts w:ascii="Verdana" w:eastAsia="Calibri" w:hAnsi="Verdana" w:cs="Arial"/>
          <w:b/>
          <w:bCs/>
          <w:color w:val="000000" w:themeColor="text1"/>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00998" w:rsidRPr="00D906B7" w14:paraId="70004521" w14:textId="77777777" w:rsidTr="00BB449E">
        <w:trPr>
          <w:trHeight w:val="884"/>
        </w:trPr>
        <w:tc>
          <w:tcPr>
            <w:tcW w:w="2689" w:type="dxa"/>
          </w:tcPr>
          <w:p w14:paraId="53866D01" w14:textId="77777777" w:rsidR="00700998" w:rsidRPr="00D906B7" w:rsidRDefault="00700998" w:rsidP="00BB449E">
            <w:pPr>
              <w:jc w:val="both"/>
              <w:rPr>
                <w:rFonts w:ascii="Verdana" w:eastAsia="Calibri" w:hAnsi="Verdana" w:cs="Arial"/>
                <w:color w:val="000000" w:themeColor="text1"/>
                <w:lang w:val="es-ES" w:eastAsia="es-ES_tradnl"/>
              </w:rPr>
            </w:pPr>
            <w:r w:rsidRPr="00D906B7">
              <w:rPr>
                <w:rFonts w:ascii="Verdana" w:eastAsia="Calibri" w:hAnsi="Verdana" w:cs="Arial"/>
                <w:b/>
                <w:color w:val="000000" w:themeColor="text1"/>
                <w:lang w:val="es-ES" w:eastAsia="es-ES_tradnl"/>
              </w:rPr>
              <w:t>Temas:</w:t>
            </w:r>
            <w:r w:rsidRPr="00D906B7">
              <w:rPr>
                <w:rFonts w:ascii="Verdana" w:eastAsia="Calibri" w:hAnsi="Verdana" w:cs="Arial"/>
                <w:color w:val="000000" w:themeColor="text1"/>
                <w:lang w:val="es-ES" w:eastAsia="es-ES_tradnl"/>
              </w:rPr>
              <w:t xml:space="preserve">                   </w:t>
            </w:r>
          </w:p>
        </w:tc>
        <w:tc>
          <w:tcPr>
            <w:tcW w:w="6100" w:type="dxa"/>
          </w:tcPr>
          <w:p w14:paraId="6710A69D" w14:textId="77777777" w:rsidR="00700998" w:rsidRPr="00D906B7" w:rsidRDefault="00700998" w:rsidP="00BB449E">
            <w:pPr>
              <w:spacing w:line="276" w:lineRule="auto"/>
              <w:jc w:val="both"/>
              <w:rPr>
                <w:rFonts w:ascii="Verdana" w:eastAsia="Calibri" w:hAnsi="Verdana" w:cs="Arial"/>
                <w:lang w:val="es-ES" w:eastAsia="es-ES"/>
              </w:rPr>
            </w:pPr>
            <w:r w:rsidRPr="0037636C">
              <w:rPr>
                <w:rFonts w:ascii="Verdana" w:eastAsia="Calibri" w:hAnsi="Verdana" w:cs="Arial"/>
                <w:lang w:val="es-ES" w:eastAsia="es-ES"/>
              </w:rPr>
              <w:t>PRECIOS UNITARIOS –</w:t>
            </w:r>
            <w:r>
              <w:rPr>
                <w:rFonts w:ascii="Verdana" w:eastAsia="Calibri" w:hAnsi="Verdana" w:cs="Arial"/>
                <w:lang w:val="es-ES" w:eastAsia="es-ES"/>
              </w:rPr>
              <w:t xml:space="preserve"> Estructuración del precio </w:t>
            </w:r>
            <w:r w:rsidRPr="0037636C">
              <w:rPr>
                <w:rFonts w:ascii="Verdana" w:eastAsia="Calibri" w:hAnsi="Verdana" w:cs="Arial"/>
                <w:lang w:val="es-ES" w:eastAsia="es-ES"/>
              </w:rPr>
              <w:t>– C</w:t>
            </w:r>
            <w:r>
              <w:rPr>
                <w:rFonts w:ascii="Verdana" w:eastAsia="Calibri" w:hAnsi="Verdana" w:cs="Arial"/>
                <w:lang w:val="es-ES" w:eastAsia="es-ES"/>
              </w:rPr>
              <w:t xml:space="preserve">antidades de obra </w:t>
            </w:r>
            <w:r w:rsidRPr="0037636C">
              <w:rPr>
                <w:rFonts w:ascii="Verdana" w:eastAsia="Calibri" w:hAnsi="Verdana" w:cs="Arial"/>
                <w:lang w:val="es-ES" w:eastAsia="es-ES"/>
              </w:rPr>
              <w:t xml:space="preserve">/ AIU – Costos indirectos – Finalidad – Ejecución del contrato / AIU – Discrecionalidad </w:t>
            </w:r>
            <w:r w:rsidRPr="00617EAA">
              <w:rPr>
                <w:rFonts w:ascii="Verdana" w:eastAsia="Calibri" w:hAnsi="Verdana" w:cs="Arial"/>
                <w:lang w:val="es-ES" w:eastAsia="es-ES"/>
              </w:rPr>
              <w:t>/ EQUILIBRIO ECONÓMICO – Contrato estatal – Concepto / EQUILIBRIO ECONÓMICO – Contrato estatal – Restablecimiento – Procedencia – Requisitos</w:t>
            </w:r>
          </w:p>
          <w:p w14:paraId="04D4BA6B" w14:textId="77777777" w:rsidR="00700998" w:rsidRPr="00D906B7" w:rsidRDefault="00700998" w:rsidP="00BB449E">
            <w:pPr>
              <w:jc w:val="both"/>
              <w:rPr>
                <w:rFonts w:ascii="Verdana" w:eastAsia="Calibri" w:hAnsi="Verdana" w:cs="Arial"/>
                <w:color w:val="000000" w:themeColor="text1"/>
                <w:lang w:val="es-ES" w:eastAsia="es-ES"/>
              </w:rPr>
            </w:pPr>
          </w:p>
        </w:tc>
      </w:tr>
      <w:tr w:rsidR="00700998" w:rsidRPr="00D906B7" w14:paraId="6D17A244" w14:textId="77777777" w:rsidTr="00BB449E">
        <w:tc>
          <w:tcPr>
            <w:tcW w:w="2689" w:type="dxa"/>
          </w:tcPr>
          <w:p w14:paraId="5568EDE9" w14:textId="77777777" w:rsidR="00700998" w:rsidRPr="00D906B7" w:rsidRDefault="00700998" w:rsidP="00BB449E">
            <w:pPr>
              <w:jc w:val="both"/>
              <w:rPr>
                <w:rFonts w:ascii="Verdana" w:eastAsia="Calibri" w:hAnsi="Verdana" w:cs="Arial"/>
                <w:b/>
                <w:color w:val="000000" w:themeColor="text1"/>
                <w:lang w:val="es-ES" w:eastAsia="es-ES_tradnl"/>
              </w:rPr>
            </w:pPr>
            <w:r w:rsidRPr="00D906B7">
              <w:rPr>
                <w:rFonts w:ascii="Verdana" w:eastAsia="Calibri" w:hAnsi="Verdana" w:cs="Arial"/>
                <w:b/>
                <w:color w:val="000000" w:themeColor="text1"/>
                <w:lang w:val="es-ES" w:eastAsia="es-ES_tradnl"/>
              </w:rPr>
              <w:t>Radicación:</w:t>
            </w:r>
            <w:r w:rsidRPr="00D906B7">
              <w:rPr>
                <w:rFonts w:ascii="Verdana" w:eastAsia="Calibri" w:hAnsi="Verdana" w:cs="Arial"/>
                <w:color w:val="000000" w:themeColor="text1"/>
                <w:lang w:val="es-ES" w:eastAsia="es-ES_tradnl"/>
              </w:rPr>
              <w:t xml:space="preserve">               </w:t>
            </w:r>
          </w:p>
        </w:tc>
        <w:tc>
          <w:tcPr>
            <w:tcW w:w="6100" w:type="dxa"/>
          </w:tcPr>
          <w:p w14:paraId="357BE547" w14:textId="77777777" w:rsidR="00700998" w:rsidRPr="00D906B7" w:rsidRDefault="00700998" w:rsidP="00BB449E">
            <w:pPr>
              <w:jc w:val="both"/>
              <w:rPr>
                <w:rFonts w:ascii="Verdana" w:eastAsia="Calibri" w:hAnsi="Verdana" w:cs="Arial"/>
                <w:color w:val="000000" w:themeColor="text1"/>
                <w:lang w:val="es-ES" w:eastAsia="es-ES_tradnl"/>
              </w:rPr>
            </w:pPr>
            <w:r w:rsidRPr="00D906B7">
              <w:rPr>
                <w:rFonts w:ascii="Verdana" w:eastAsia="Calibri" w:hAnsi="Verdana" w:cs="Arial"/>
                <w:color w:val="000000" w:themeColor="text1"/>
                <w:lang w:val="es-ES" w:eastAsia="es-ES_tradnl"/>
              </w:rPr>
              <w:t xml:space="preserve">Respuesta a consulta con radicado No. </w:t>
            </w:r>
            <w:r w:rsidRPr="006E75C7">
              <w:rPr>
                <w:rFonts w:ascii="Verdana" w:eastAsia="Calibri" w:hAnsi="Verdana" w:cs="Arial"/>
                <w:color w:val="000000" w:themeColor="text1"/>
                <w:lang w:val="es-ES" w:eastAsia="es-ES_tradnl"/>
              </w:rPr>
              <w:t>1_2026_01_16_000441</w:t>
            </w:r>
          </w:p>
        </w:tc>
      </w:tr>
    </w:tbl>
    <w:p w14:paraId="22350FBA" w14:textId="77777777" w:rsidR="000B74FD" w:rsidRDefault="000B74FD" w:rsidP="000B74FD">
      <w:pPr>
        <w:spacing w:after="0" w:line="240" w:lineRule="auto"/>
        <w:jc w:val="both"/>
        <w:rPr>
          <w:rFonts w:ascii="Verdana" w:eastAsia="Calibri" w:hAnsi="Verdana" w:cs="Arial"/>
          <w:color w:val="000000" w:themeColor="text1"/>
          <w:lang w:val="es-ES" w:eastAsia="es-ES_tradnl"/>
        </w:rPr>
      </w:pPr>
    </w:p>
    <w:p w14:paraId="68A91A59" w14:textId="77777777" w:rsidR="000B74FD" w:rsidRDefault="000B74FD" w:rsidP="000B74FD">
      <w:pPr>
        <w:spacing w:after="0" w:line="240" w:lineRule="auto"/>
        <w:jc w:val="both"/>
        <w:rPr>
          <w:rFonts w:ascii="Verdana" w:eastAsia="Calibri" w:hAnsi="Verdana" w:cs="Arial"/>
          <w:color w:val="000000" w:themeColor="text1"/>
          <w:lang w:val="es-ES" w:eastAsia="es-ES_tradnl"/>
        </w:rPr>
      </w:pPr>
    </w:p>
    <w:p w14:paraId="3A64C8FC" w14:textId="77777777" w:rsidR="000B74FD" w:rsidRDefault="000B74FD" w:rsidP="000B74FD">
      <w:pPr>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Estimado señor (a): </w:t>
      </w:r>
    </w:p>
    <w:p w14:paraId="477F40AA" w14:textId="77777777" w:rsidR="000B74FD" w:rsidRDefault="000B74FD" w:rsidP="000B74F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7E0A0C8" w14:textId="77777777" w:rsidR="000B74FD" w:rsidRDefault="000B74FD" w:rsidP="000B74FD">
      <w:pPr>
        <w:spacing w:after="0" w:line="276" w:lineRule="auto"/>
        <w:jc w:val="both"/>
        <w:rPr>
          <w:rFonts w:ascii="Verdana" w:hAnsi="Verdana" w:cs="Arial"/>
          <w:color w:val="000000" w:themeColor="text1"/>
          <w:lang w:val="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color w:val="000000" w:themeColor="text1"/>
          <w:lang w:val="es-ES" w:eastAsia="es-ES"/>
        </w:rPr>
        <w:t xml:space="preserve"> </w:t>
      </w:r>
      <w:r>
        <w:rPr>
          <w:rFonts w:ascii="Verdana" w:hAnsi="Verdana" w:cs="Arial"/>
          <w:color w:val="000000" w:themeColor="text1"/>
        </w:rPr>
        <w:t>así como lo establecido</w:t>
      </w:r>
      <w:r>
        <w:rPr>
          <w:rFonts w:ascii="Verdana" w:hAnsi="Verdana" w:cs="Arial"/>
        </w:rPr>
        <w:t xml:space="preserve"> por la </w:t>
      </w:r>
      <w:r>
        <w:rPr>
          <w:rFonts w:ascii="Verdana" w:eastAsia="Calibri" w:hAnsi="Verdana" w:cs="Times New Roman"/>
          <w:bCs/>
        </w:rPr>
        <w:t xml:space="preserve">Resolución 469 de 2025 </w:t>
      </w:r>
      <w:r>
        <w:rPr>
          <w:rFonts w:ascii="Verdana" w:hAnsi="Verdana" w:cs="Arial"/>
          <w:color w:val="000000" w:themeColor="text1"/>
        </w:rPr>
        <w:t>expedida por esta Entidad</w:t>
      </w:r>
      <w:r>
        <w:rPr>
          <w:rFonts w:ascii="Verdana" w:hAnsi="Verdana" w:cs="Arial"/>
          <w:color w:val="000000" w:themeColor="text1"/>
          <w:lang w:val="es-ES"/>
        </w:rPr>
        <w:t>, la Agencia Nacional de Contratación Pública – Colombia Compra Eficiente– responde su solicitud de consulta de fecha 16 de enero de 2025, en la cual manifiesta lo siguiente:</w:t>
      </w:r>
      <w:r>
        <w:rPr>
          <w:rFonts w:ascii="Verdana" w:eastAsia="Calibri" w:hAnsi="Verdana" w:cs="Arial"/>
          <w:color w:val="000000" w:themeColor="text1"/>
          <w:lang w:val="es-ES" w:eastAsia="es-ES"/>
        </w:rPr>
        <w:t xml:space="preserve"> </w:t>
      </w:r>
    </w:p>
    <w:p w14:paraId="7F850F7D" w14:textId="77777777" w:rsidR="000B74FD" w:rsidRDefault="000B74FD" w:rsidP="000B74FD">
      <w:pPr>
        <w:spacing w:after="0" w:line="276" w:lineRule="auto"/>
        <w:jc w:val="both"/>
        <w:rPr>
          <w:rFonts w:ascii="Verdana" w:eastAsia="Calibri" w:hAnsi="Verdana" w:cs="Arial"/>
          <w:color w:val="000000" w:themeColor="text1"/>
          <w:lang w:val="es-ES" w:eastAsia="es-ES"/>
        </w:rPr>
      </w:pPr>
    </w:p>
    <w:p w14:paraId="2EB031E9" w14:textId="77777777" w:rsidR="000B74FD" w:rsidRDefault="000B74FD" w:rsidP="000B74FD">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r>
        <w:rPr>
          <w:rFonts w:ascii="Verdana" w:eastAsia="Century Gothic" w:hAnsi="Verdana" w:cs="Century Gothic"/>
          <w:color w:val="000000" w:themeColor="text1"/>
          <w:sz w:val="20"/>
          <w:szCs w:val="20"/>
          <w:lang w:val="es-ES"/>
        </w:rPr>
        <w:t>“</w:t>
      </w:r>
      <w:bookmarkEnd w:id="1"/>
      <w:r>
        <w:rPr>
          <w:rFonts w:ascii="Verdana" w:eastAsia="Century Gothic" w:hAnsi="Verdana" w:cs="Century Gothic"/>
          <w:color w:val="000000" w:themeColor="text1"/>
          <w:sz w:val="20"/>
          <w:szCs w:val="20"/>
          <w:lang w:val="es-ES"/>
        </w:rPr>
        <w:t xml:space="preserve">[…] </w:t>
      </w:r>
      <w:r>
        <w:rPr>
          <w:rFonts w:ascii="Verdana" w:eastAsia="Century Gothic" w:hAnsi="Verdana" w:cs="Century Gothic"/>
          <w:color w:val="000000" w:themeColor="text1"/>
          <w:sz w:val="20"/>
          <w:szCs w:val="20"/>
        </w:rPr>
        <w:t xml:space="preserve">Bajo el régimen de contratación estatal Ley 80 de 1993, solicito orientación general sobre los siguientes temas: 1. Los criterios aplicables a la determinación de cantidades en contratos pactados a precios unitarios, y el alcance de la responsabilidad de la entidad estatal frente a la imposibilidad del contratista de definir dichas cantidades. 2. La distinción general entre el concepto de viáticos en el derecho laboral y el </w:t>
      </w:r>
      <w:r>
        <w:rPr>
          <w:rFonts w:ascii="Verdana" w:eastAsia="Century Gothic" w:hAnsi="Verdana" w:cs="Century Gothic"/>
          <w:color w:val="000000" w:themeColor="text1"/>
          <w:sz w:val="20"/>
          <w:szCs w:val="20"/>
        </w:rPr>
        <w:lastRenderedPageBreak/>
        <w:t>de gastos reembolsables en contratos estatales, y su incidencia en la ejecución contractual. 3. Los criterios generales para la configuración de la mayor onerosidad sobrevenida en contratos bajo la ley 80 con precios unitarios y su eventual reconocimiento económico. Se solicita que la respuesta incluya criterios jurisprudenciales relevantes y recientes sobre estos temas.”</w:t>
      </w:r>
    </w:p>
    <w:p w14:paraId="38778918" w14:textId="77777777" w:rsidR="000B74FD" w:rsidRDefault="000B74FD" w:rsidP="000B74FD">
      <w:pPr>
        <w:spacing w:after="0" w:line="240" w:lineRule="auto"/>
        <w:ind w:left="709" w:right="709"/>
        <w:jc w:val="both"/>
        <w:rPr>
          <w:rFonts w:ascii="Verdana" w:eastAsia="Century Gothic" w:hAnsi="Verdana" w:cs="Century Gothic"/>
          <w:color w:val="000000" w:themeColor="text1"/>
          <w:sz w:val="20"/>
          <w:szCs w:val="20"/>
          <w:lang w:val="es-ES"/>
        </w:rPr>
      </w:pPr>
    </w:p>
    <w:p w14:paraId="5CD32234" w14:textId="77777777" w:rsidR="000B74FD" w:rsidRDefault="000B74FD" w:rsidP="000B74FD">
      <w:pPr>
        <w:spacing w:after="120" w:line="276" w:lineRule="auto"/>
        <w:ind w:firstLine="709"/>
        <w:jc w:val="both"/>
        <w:rPr>
          <w:rFonts w:ascii="Verdana" w:eastAsia="Calibri" w:hAnsi="Verdana" w:cs="Arial"/>
          <w:color w:val="000000" w:themeColor="text1"/>
          <w:szCs w:val="24"/>
          <w:lang w:val="es-ES" w:eastAsia="es-ES_tradnl"/>
        </w:rPr>
      </w:pPr>
      <w:r>
        <w:rPr>
          <w:rFonts w:ascii="Verdana" w:eastAsia="Calibri" w:hAnsi="Verdana" w:cs="Arial"/>
          <w:color w:val="000000" w:themeColor="text1"/>
          <w:lang w:val="es-ES" w:eastAsia="es-ES"/>
        </w:rPr>
        <w:t xml:space="preserve">De manera preliminar, es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themeColor="text1"/>
          <w:szCs w:val="24"/>
          <w:lang w:val="es-ES" w:eastAsia="es-ES_tradnl"/>
        </w:rPr>
        <w:tab/>
      </w:r>
    </w:p>
    <w:p w14:paraId="2AD3FF7B" w14:textId="77777777" w:rsidR="000B74FD" w:rsidRDefault="000B74FD" w:rsidP="000B74FD">
      <w:pPr>
        <w:spacing w:after="0" w:line="276" w:lineRule="auto"/>
        <w:ind w:firstLine="709"/>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1FCDC50" w14:textId="77777777" w:rsidR="000B74FD" w:rsidRDefault="000B74FD" w:rsidP="000B74FD">
      <w:pPr>
        <w:spacing w:after="0" w:line="276" w:lineRule="auto"/>
        <w:jc w:val="both"/>
        <w:rPr>
          <w:rFonts w:ascii="Verdana" w:eastAsia="Calibri" w:hAnsi="Verdana" w:cs="Arial"/>
          <w:color w:val="000000" w:themeColor="text1"/>
          <w:lang w:val="es-ES" w:eastAsia="es-ES"/>
        </w:rPr>
      </w:pPr>
    </w:p>
    <w:p w14:paraId="7C9CBF9A" w14:textId="77777777" w:rsidR="000B74FD" w:rsidRDefault="000B74FD" w:rsidP="000B74FD">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Problema planteado:</w:t>
      </w:r>
    </w:p>
    <w:p w14:paraId="246F6F48" w14:textId="77777777" w:rsidR="000B74FD" w:rsidRDefault="000B74FD" w:rsidP="000B74FD">
      <w:pPr>
        <w:tabs>
          <w:tab w:val="left" w:pos="426"/>
        </w:tabs>
        <w:spacing w:after="0" w:line="276" w:lineRule="auto"/>
        <w:jc w:val="both"/>
        <w:rPr>
          <w:rFonts w:ascii="Verdana" w:eastAsia="Century Gothic" w:hAnsi="Verdana" w:cs="Century Gothic"/>
          <w:color w:val="000000" w:themeColor="text1"/>
          <w:lang w:val="es-ES"/>
        </w:rPr>
      </w:pPr>
    </w:p>
    <w:p w14:paraId="620CEC34" w14:textId="77777777" w:rsidR="000B74FD" w:rsidRDefault="000B74FD" w:rsidP="000B74FD">
      <w:pPr>
        <w:spacing w:after="0" w:line="276" w:lineRule="auto"/>
        <w:jc w:val="both"/>
        <w:rPr>
          <w:rFonts w:ascii="Verdana" w:eastAsia="Century Gothic" w:hAnsi="Verdana" w:cs="Century Gothic"/>
          <w:color w:val="000000" w:themeColor="text1"/>
          <w:lang w:val="es-ES"/>
        </w:rPr>
      </w:pPr>
      <w:r>
        <w:rPr>
          <w:rFonts w:ascii="Verdana" w:eastAsia="Century Gothic" w:hAnsi="Verdana" w:cs="Century Gothic"/>
          <w:color w:val="000000" w:themeColor="text1"/>
          <w:lang w:val="es-ES"/>
        </w:rPr>
        <w:t xml:space="preserve">De acuerdo con el contenido de su solicitud, esta Agencia resolverá el siguiente problema jurídico: i) ¿cómo se establece el valor del contrato y las cantidades de obra cuando se pacta el contrato por el sistema de precios unitarios?, </w:t>
      </w:r>
      <w:proofErr w:type="spellStart"/>
      <w:r>
        <w:rPr>
          <w:rFonts w:ascii="Verdana" w:eastAsia="Century Gothic" w:hAnsi="Verdana" w:cs="Century Gothic"/>
          <w:color w:val="000000" w:themeColor="text1"/>
          <w:lang w:val="es-ES"/>
        </w:rPr>
        <w:t>ii</w:t>
      </w:r>
      <w:proofErr w:type="spellEnd"/>
      <w:r>
        <w:rPr>
          <w:rFonts w:ascii="Verdana" w:eastAsia="Century Gothic" w:hAnsi="Verdana" w:cs="Century Gothic"/>
          <w:color w:val="000000" w:themeColor="text1"/>
          <w:lang w:val="es-ES"/>
        </w:rPr>
        <w:t xml:space="preserve">) ¿puede pactarse “viáticos” y gastos reembolsables en los contratos estatales? y </w:t>
      </w:r>
      <w:proofErr w:type="spellStart"/>
      <w:r>
        <w:rPr>
          <w:rFonts w:ascii="Verdana" w:eastAsia="Century Gothic" w:hAnsi="Verdana" w:cs="Century Gothic"/>
          <w:color w:val="000000" w:themeColor="text1"/>
          <w:lang w:val="es-ES"/>
        </w:rPr>
        <w:t>iii</w:t>
      </w:r>
      <w:proofErr w:type="spellEnd"/>
      <w:r>
        <w:rPr>
          <w:rFonts w:ascii="Verdana" w:eastAsia="Century Gothic" w:hAnsi="Verdana" w:cs="Century Gothic"/>
          <w:color w:val="000000" w:themeColor="text1"/>
          <w:lang w:val="es-ES"/>
        </w:rPr>
        <w:t>) ¿cuáles</w:t>
      </w:r>
      <w:r>
        <w:rPr>
          <w:rFonts w:ascii="Verdana" w:eastAsia="Arial" w:hAnsi="Verdana" w:cs="Arial"/>
          <w:color w:val="000000" w:themeColor="text1"/>
          <w:lang w:val="es-ES" w:eastAsia="es-ES" w:bidi="es-ES"/>
        </w:rPr>
        <w:t xml:space="preserve"> son las causas por las cuales puede verse afectado el equilibrio económico del contrato?</w:t>
      </w:r>
    </w:p>
    <w:p w14:paraId="24CE78EF" w14:textId="77777777" w:rsidR="000B74FD" w:rsidRDefault="000B74FD" w:rsidP="000B74FD">
      <w:pPr>
        <w:spacing w:after="0" w:line="276" w:lineRule="auto"/>
        <w:jc w:val="both"/>
        <w:rPr>
          <w:rFonts w:ascii="Verdana" w:eastAsia="Calibri" w:hAnsi="Verdana" w:cs="Arial"/>
          <w:color w:val="000000" w:themeColor="text1"/>
          <w:lang w:val="es-ES"/>
        </w:rPr>
      </w:pPr>
    </w:p>
    <w:p w14:paraId="20022DD6" w14:textId="77777777" w:rsidR="000B74FD" w:rsidRDefault="000B74FD" w:rsidP="000B74FD">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Respuesta:</w:t>
      </w:r>
    </w:p>
    <w:p w14:paraId="0EA52963" w14:textId="77777777" w:rsidR="000B74FD" w:rsidRDefault="000B74FD" w:rsidP="000B74F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B74FD" w14:paraId="71C6E399" w14:textId="77777777">
        <w:tc>
          <w:tcPr>
            <w:tcW w:w="8828" w:type="dxa"/>
            <w:tcBorders>
              <w:top w:val="dotted" w:sz="4" w:space="0" w:color="auto"/>
              <w:left w:val="dotted" w:sz="4" w:space="0" w:color="auto"/>
              <w:bottom w:val="dotted" w:sz="4" w:space="0" w:color="auto"/>
              <w:right w:val="dotted" w:sz="4" w:space="0" w:color="auto"/>
            </w:tcBorders>
          </w:tcPr>
          <w:p w14:paraId="713168BE" w14:textId="77777777" w:rsidR="000B74FD" w:rsidRDefault="000B74FD">
            <w:pPr>
              <w:spacing w:after="120" w:line="276" w:lineRule="auto"/>
              <w:jc w:val="both"/>
              <w:rPr>
                <w:rFonts w:ascii="Verdana" w:hAnsi="Verdana" w:cs="Arial"/>
                <w:lang w:val="es-ES" w:eastAsia="es-ES"/>
              </w:rPr>
            </w:pPr>
            <w:r>
              <w:rPr>
                <w:rFonts w:ascii="Verdana" w:eastAsia="Times New Roman" w:hAnsi="Verdana" w:cs="Arial"/>
                <w:color w:val="000000" w:themeColor="text1"/>
                <w:lang w:val="es-ES" w:eastAsia="es-ES"/>
              </w:rPr>
              <w:lastRenderedPageBreak/>
              <w:t xml:space="preserve">i. </w:t>
            </w:r>
            <w:r>
              <w:rPr>
                <w:rFonts w:ascii="Verdana" w:hAnsi="Verdana" w:cs="Arial"/>
                <w:lang w:val="es-ES" w:eastAsia="es-ES"/>
              </w:rPr>
              <w:t xml:space="preserve">Dentro los esquemas para determinar el precio se encuentran, entre otros: i) los precios unitarios –calculados de acuerdo con las unidades que componen el objeto del contrato–, </w:t>
            </w:r>
            <w:proofErr w:type="spellStart"/>
            <w:r>
              <w:rPr>
                <w:rFonts w:ascii="Verdana" w:hAnsi="Verdana" w:cs="Arial"/>
                <w:lang w:val="es-ES" w:eastAsia="es-ES"/>
              </w:rPr>
              <w:t>ii</w:t>
            </w:r>
            <w:proofErr w:type="spellEnd"/>
            <w:r>
              <w:rPr>
                <w:rFonts w:ascii="Verdana" w:hAnsi="Verdana" w:cs="Arial"/>
                <w:lang w:val="es-ES" w:eastAsia="es-ES"/>
              </w:rPr>
              <w:t xml:space="preserve">) el precio global –que equivale al monto total, sin discriminar unidades–, y </w:t>
            </w:r>
            <w:proofErr w:type="spellStart"/>
            <w:r>
              <w:rPr>
                <w:rFonts w:ascii="Verdana" w:hAnsi="Verdana" w:cs="Arial"/>
                <w:lang w:val="es-ES" w:eastAsia="es-ES"/>
              </w:rPr>
              <w:t>iii</w:t>
            </w:r>
            <w:proofErr w:type="spellEnd"/>
            <w:r>
              <w:rPr>
                <w:rFonts w:ascii="Verdana" w:hAnsi="Verdana" w:cs="Arial"/>
                <w:lang w:val="es-ES" w:eastAsia="es-ES"/>
              </w:rPr>
              <w:t>) la administración delegada de recursos –en la que se distinguen los costos de inversión de los honorarios del administrador–.</w:t>
            </w:r>
          </w:p>
          <w:p w14:paraId="0F8C408E" w14:textId="77777777" w:rsidR="000B74FD" w:rsidRDefault="000B74FD">
            <w:pPr>
              <w:spacing w:after="120" w:line="276" w:lineRule="auto"/>
              <w:ind w:firstLine="601"/>
              <w:jc w:val="both"/>
              <w:rPr>
                <w:rFonts w:ascii="Verdana" w:eastAsia="Times New Roman" w:hAnsi="Verdana" w:cs="Arial"/>
                <w:color w:val="000000" w:themeColor="text1"/>
                <w:lang w:val="es-ES" w:eastAsia="es-ES"/>
              </w:rPr>
            </w:pPr>
            <w:r>
              <w:rPr>
                <w:rFonts w:ascii="Verdana" w:hAnsi="Verdana"/>
                <w:lang w:val="es-ES"/>
              </w:rPr>
              <w:t xml:space="preserve">El contrato cuyo precio es pactado a precios unitarios implica individualizar el valor de cada uno de los ítems requeridos para llevar a cabo la obra o el proyecto. Así mismo, el precio se deriva de apreciar todos los componentes necesarios para la ejecución de la unidad de medida del ítem correspondiente (metro lineal, metro cúbico, metro cuadrado, entre otros). Por lo mismo, el precio será el resultado de multiplicar la cantidad finalmente ejecutada por el valor unitario respectivo. </w:t>
            </w:r>
          </w:p>
          <w:p w14:paraId="1295410F" w14:textId="77777777" w:rsidR="000B74FD" w:rsidRDefault="000B74FD">
            <w:pPr>
              <w:spacing w:after="120" w:line="276" w:lineRule="auto"/>
              <w:ind w:firstLine="743"/>
              <w:jc w:val="both"/>
              <w:rPr>
                <w:rFonts w:ascii="Verdana" w:eastAsia="Times New Roman" w:hAnsi="Verdana" w:cs="Arial"/>
                <w:color w:val="000000" w:themeColor="text1"/>
                <w:lang w:val="es-ES" w:eastAsia="es-ES"/>
              </w:rPr>
            </w:pPr>
            <w:r>
              <w:rPr>
                <w:rFonts w:ascii="Verdana" w:hAnsi="Verdana" w:cs="Arial"/>
                <w:bCs/>
                <w:szCs w:val="24"/>
                <w:lang w:val="es-ES" w:eastAsia="es-ES_tradnl"/>
              </w:rPr>
              <w:t xml:space="preserve">En esta modalidad de establecimiento del precio, y por la misma naturaleza del contrato que impide definir con certeza su valor real, se establecen unas estimaciones de cantidades de obra, según los estudios y diseños, los estudios previos y unos precios unitarios de los respectivos ítems de obra. </w:t>
            </w:r>
            <w:r>
              <w:rPr>
                <w:rFonts w:ascii="Verdana" w:hAnsi="Verdana"/>
                <w:lang w:val="es-ES"/>
              </w:rPr>
              <w:t xml:space="preserve">Al respecto, la jurisprudencia de la Sección Tercera del Consejo de Estado ha explicado que, en los contratos pactados mediante precios unitarios, ante la imposibilidad de establecer con exactitud los montos totales que resultarán de realizar la obra contratada, previo a la ejecución del negocio jurídico, la entidad, tanto en los pliegos de condiciones o documento equivalente, como en el contrato, aproxima un cálculo estimado de la cantidad o unidades de obra que se requerirá ejecutar. Esto, con el propósito de que el proponente establezca en su propuesta unos valores unitarios respecto de cada unidad de obra prevista por el ente contratante. </w:t>
            </w:r>
          </w:p>
          <w:p w14:paraId="02ED9C24" w14:textId="77777777" w:rsidR="000B74FD" w:rsidRDefault="000B74FD">
            <w:pPr>
              <w:spacing w:after="120" w:line="276" w:lineRule="auto"/>
              <w:ind w:firstLine="743"/>
              <w:jc w:val="both"/>
              <w:rPr>
                <w:rFonts w:ascii="Verdana" w:eastAsia="Times New Roman" w:hAnsi="Verdana" w:cs="Arial"/>
                <w:color w:val="000000" w:themeColor="text1"/>
                <w:lang w:val="es-ES" w:eastAsia="es-ES"/>
              </w:rPr>
            </w:pPr>
            <w:r>
              <w:rPr>
                <w:rFonts w:ascii="Verdana" w:eastAsia="Times New Roman" w:hAnsi="Verdana" w:cs="Arial"/>
                <w:color w:val="000000" w:themeColor="text1"/>
                <w:lang w:val="es-ES" w:eastAsia="es-ES"/>
              </w:rPr>
              <w:t xml:space="preserve">Así las cosas, durante la etapa de planeación las entidades públicas son responsable de estimar y determinar las prestaciones que demanda la satisfacción del interés colectivo, conforme al análisis plasmado en los estudios y diseños y en los respectivos estudios previos. No obstante, teniendo en cuenta que en la modalidad de precios unitarios las cantidades son estimativas, es factible </w:t>
            </w:r>
            <w:proofErr w:type="gramStart"/>
            <w:r>
              <w:rPr>
                <w:rFonts w:ascii="Verdana" w:eastAsia="Times New Roman" w:hAnsi="Verdana" w:cs="Arial"/>
                <w:color w:val="000000" w:themeColor="text1"/>
                <w:lang w:val="es-ES" w:eastAsia="es-ES"/>
              </w:rPr>
              <w:t>que</w:t>
            </w:r>
            <w:proofErr w:type="gramEnd"/>
            <w:r>
              <w:rPr>
                <w:rFonts w:ascii="Verdana" w:eastAsia="Times New Roman" w:hAnsi="Verdana" w:cs="Arial"/>
                <w:color w:val="000000" w:themeColor="text1"/>
                <w:lang w:val="es-ES" w:eastAsia="es-ES"/>
              </w:rPr>
              <w:t xml:space="preserve"> durante la ejecución del contrato, </w:t>
            </w:r>
            <w:r>
              <w:rPr>
                <w:rFonts w:ascii="Verdana" w:eastAsia="Times New Roman" w:hAnsi="Verdana" w:cs="Arial"/>
                <w:i/>
                <w:iCs/>
                <w:color w:val="000000" w:themeColor="text1"/>
                <w:lang w:val="es-ES" w:eastAsia="es-ES"/>
              </w:rPr>
              <w:t>las partes</w:t>
            </w:r>
            <w:r>
              <w:rPr>
                <w:rFonts w:ascii="Verdana" w:eastAsia="Times New Roman" w:hAnsi="Verdana" w:cs="Arial"/>
                <w:color w:val="000000" w:themeColor="text1"/>
                <w:lang w:val="es-ES" w:eastAsia="es-ES"/>
              </w:rPr>
              <w:t xml:space="preserve"> puedan identificar situaciones en las que se genera la necesidad de mayores cantidades de bienes o actividades inicialmente previstos, a lo que se le conoce como mayores cantidades de obra, o adición de ítems contractuales. De esta forma, </w:t>
            </w:r>
            <w:r>
              <w:rPr>
                <w:rFonts w:ascii="Verdana" w:eastAsia="Times New Roman" w:hAnsi="Verdana" w:cs="Arial"/>
                <w:color w:val="000000" w:themeColor="text1"/>
                <w:lang w:eastAsia="es-ES"/>
              </w:rPr>
              <w:t xml:space="preserve">si bien la responsabilidad inicial en la definición de las cantidades recae en la entidad estatal en la fase de planeación, durante la ejecución del contrato </w:t>
            </w:r>
            <w:r>
              <w:rPr>
                <w:rFonts w:ascii="Verdana" w:eastAsia="Times New Roman" w:hAnsi="Verdana" w:cs="Arial"/>
                <w:color w:val="000000" w:themeColor="text1"/>
                <w:lang w:eastAsia="es-ES"/>
              </w:rPr>
              <w:lastRenderedPageBreak/>
              <w:t xml:space="preserve">tanto la entidad contratante como el contratista están obligados a identificar, advertir y gestionar oportunamente las situaciones que puedan afectar la adecuada ejecución del contrato. </w:t>
            </w:r>
          </w:p>
          <w:p w14:paraId="708BD3B0" w14:textId="77777777" w:rsidR="000B74FD" w:rsidRDefault="000B74FD">
            <w:pPr>
              <w:spacing w:after="120" w:line="276" w:lineRule="auto"/>
              <w:jc w:val="both"/>
              <w:rPr>
                <w:rFonts w:ascii="Verdana" w:hAnsi="Verdana" w:cs="Arial"/>
                <w:bCs/>
                <w:szCs w:val="24"/>
                <w:lang w:val="es-ES" w:eastAsia="es-ES_tradnl"/>
              </w:rPr>
            </w:pPr>
            <w:proofErr w:type="spellStart"/>
            <w:r>
              <w:rPr>
                <w:rFonts w:ascii="Verdana" w:eastAsia="Arial" w:hAnsi="Verdana" w:cs="Arial"/>
                <w:bCs/>
                <w:lang w:val="es-ES"/>
              </w:rPr>
              <w:t>ii</w:t>
            </w:r>
            <w:proofErr w:type="spellEnd"/>
            <w:r>
              <w:rPr>
                <w:rFonts w:ascii="Verdana" w:eastAsia="Arial" w:hAnsi="Verdana" w:cs="Arial"/>
                <w:bCs/>
                <w:lang w:val="es-ES"/>
              </w:rPr>
              <w:t>. E</w:t>
            </w:r>
            <w:r>
              <w:rPr>
                <w:rFonts w:ascii="Verdana" w:hAnsi="Verdana" w:cs="Arial"/>
                <w:bCs/>
                <w:szCs w:val="24"/>
                <w:lang w:val="es-ES" w:eastAsia="es-ES_tradnl"/>
              </w:rPr>
              <w:t>n ejercicio de la autonomía de la voluntad, las partes pueden decidir pactar o no el AIU en los contratos estatales. Los costos indirectos se suelen abreviar en las variables que integran el acrónimo AIU –Administración, Imprevistos y Utilidad–, que se calcula como un porcentaje aplicado a los costos indirectos</w:t>
            </w:r>
            <w:r>
              <w:rPr>
                <w:rFonts w:ascii="Verdana" w:hAnsi="Verdana" w:cs="Arial"/>
                <w:szCs w:val="24"/>
                <w:lang w:val="es-ES" w:eastAsia="es-ES_tradnl"/>
              </w:rPr>
              <w:t xml:space="preserve">. </w:t>
            </w:r>
            <w:r>
              <w:rPr>
                <w:rFonts w:ascii="Verdana" w:hAnsi="Verdana" w:cs="Arial"/>
                <w:bCs/>
                <w:szCs w:val="24"/>
                <w:lang w:val="es-ES" w:eastAsia="es-ES_tradnl"/>
              </w:rPr>
              <w:t xml:space="preserve">En los casos en que opten por requerirlo, las entidades pueden solicitar, por ejemplo, que los proponentes establezcan de forma independiente al valor total de los costos directos, un porcentaje fijo que, según con sus conocimientos, experiencia, y la naturaleza del negocio jurídico, represente el valor por concepto de administración, imprevistos y utilidad.  Bajo este modelo, el valor total de los costos directos, obtenido como resultado de la sumatoria de todos los ítems multiplicados por su valor unitario, se multiplica por el porcentaje de AIU fijado por el contratista en su oferta, el cual representa los </w:t>
            </w:r>
            <w:r>
              <w:rPr>
                <w:rFonts w:ascii="Verdana" w:hAnsi="Verdana" w:cs="Arial"/>
                <w:bCs/>
                <w:i/>
                <w:iCs/>
                <w:szCs w:val="24"/>
                <w:lang w:val="es-ES" w:eastAsia="es-ES_tradnl"/>
              </w:rPr>
              <w:t>costos indirectos</w:t>
            </w:r>
            <w:r>
              <w:rPr>
                <w:rFonts w:ascii="Verdana" w:hAnsi="Verdana" w:cs="Arial"/>
                <w:bCs/>
                <w:szCs w:val="24"/>
                <w:lang w:val="es-ES" w:eastAsia="es-ES_tradnl"/>
              </w:rPr>
              <w:t xml:space="preserve"> en los que incurrirá durante la ejecución del contrato. De cualquier modo, las partes pueden fijar la metodología y las exigencias relacionadas con el cálculo del AIU en otra forma que convengan, “entendiendo que los elementos que lo componen se encuentran incorporados en los precios y en el valor del contrato”.</w:t>
            </w:r>
          </w:p>
          <w:p w14:paraId="3F44F323" w14:textId="77777777" w:rsidR="000B74FD" w:rsidRDefault="000B74FD">
            <w:pPr>
              <w:spacing w:after="120" w:line="276" w:lineRule="auto"/>
              <w:ind w:firstLine="709"/>
              <w:jc w:val="both"/>
              <w:rPr>
                <w:rFonts w:ascii="Verdana" w:hAnsi="Verdana" w:cs="Arial"/>
                <w:lang w:val="es-ES" w:eastAsia="es-ES"/>
              </w:rPr>
            </w:pPr>
            <w:r>
              <w:rPr>
                <w:rFonts w:ascii="Verdana" w:hAnsi="Verdana" w:cs="Arial"/>
                <w:lang w:val="es-ES" w:eastAsia="es-ES"/>
              </w:rPr>
              <w:t>Frente a los costos que suelen incluirse en la Administración –A–, la jurisprudencia, a partir de la práctica de las entidades estatales, ha señalado que: “Los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 En términos similares, pero más precisos, la doctrina, recogiendo la casuística de los contratos estatales, señala de forma más pormenorizada los gastos que se asocian a la –A–, donde se incluyen importantes costos indirectos en que se incurre en la ejecución dentro de los cuales se mencionan entre otros, “los gastos transporte terrestre, tiquetes aéreos y arrendamiento de vehículos –distintos de la maquinaria que se emplea en la obra–“.</w:t>
            </w:r>
          </w:p>
          <w:p w14:paraId="53305B5B" w14:textId="77777777" w:rsidR="000B74FD" w:rsidRDefault="000B74FD">
            <w:pPr>
              <w:spacing w:after="120" w:line="276" w:lineRule="auto"/>
              <w:ind w:firstLine="709"/>
              <w:jc w:val="both"/>
              <w:rPr>
                <w:rFonts w:ascii="Verdana" w:hAnsi="Verdana" w:cs="Arial"/>
                <w:lang w:val="es-ES" w:eastAsia="es-ES"/>
              </w:rPr>
            </w:pPr>
            <w:r>
              <w:rPr>
                <w:rFonts w:ascii="Verdana" w:hAnsi="Verdana" w:cs="Arial"/>
                <w:lang w:val="es-ES" w:eastAsia="es-ES"/>
              </w:rPr>
              <w:t xml:space="preserve">Conforme con lo expuesto, elementos como el transporte terrestre, tiquetes aéreos y en general gastos de desplazamiento en los que incurre el </w:t>
            </w:r>
            <w:r>
              <w:rPr>
                <w:rFonts w:ascii="Verdana" w:hAnsi="Verdana" w:cs="Arial"/>
                <w:lang w:val="es-ES" w:eastAsia="es-ES"/>
              </w:rPr>
              <w:lastRenderedPageBreak/>
              <w:t>contratista, que pueden entenderse asociados en el objeto de “viáticos”, se pueden incluir en la -A-</w:t>
            </w:r>
            <w:r>
              <w:rPr>
                <w:rFonts w:ascii="Verdana" w:hAnsi="Verdana" w:cs="Arial"/>
                <w:i/>
                <w:iCs/>
                <w:lang w:val="es-ES" w:eastAsia="es-ES"/>
              </w:rPr>
              <w:t>Administración</w:t>
            </w:r>
            <w:r>
              <w:rPr>
                <w:rFonts w:ascii="Verdana" w:hAnsi="Verdana" w:cs="Arial"/>
                <w:lang w:val="es-ES" w:eastAsia="es-ES"/>
              </w:rPr>
              <w:t xml:space="preserve">, cuando se pacta el AIU como parte de la estructura de precios del contrato. </w:t>
            </w:r>
            <w:r>
              <w:rPr>
                <w:rFonts w:ascii="Verdana" w:hAnsi="Verdana" w:cs="Arial"/>
                <w:lang w:val="es-ES"/>
              </w:rPr>
              <w:t xml:space="preserve">Lo anterior, sin perjuicio de que las partes en el contrato establezcan las cláusulas que a bien tengan, pues se trata de un aspecto en que la autonomía de la voluntad de que gozan las entidades estatales –y sus contratistas– despliega importantes efectos, por tratarse de un aspecto que no regula de forma específica el EGCAP. </w:t>
            </w:r>
          </w:p>
          <w:p w14:paraId="012DA381" w14:textId="77777777" w:rsidR="000B74FD" w:rsidRDefault="000B74FD">
            <w:pPr>
              <w:spacing w:after="120" w:line="276" w:lineRule="auto"/>
              <w:ind w:firstLine="709"/>
              <w:jc w:val="both"/>
              <w:rPr>
                <w:rFonts w:ascii="Verdana" w:eastAsia="Calibri" w:hAnsi="Verdana" w:cs="Arial"/>
                <w:color w:val="000000"/>
              </w:rPr>
            </w:pPr>
            <w:r>
              <w:rPr>
                <w:rFonts w:ascii="Verdana" w:hAnsi="Verdana" w:cs="Arial"/>
                <w:lang w:val="es-ES" w:eastAsia="es-ES"/>
              </w:rPr>
              <w:t xml:space="preserve">En todo caso, de cara a la consulta planteada, vale aclarar cuando no se pacta AIU, </w:t>
            </w:r>
            <w:r>
              <w:rPr>
                <w:rFonts w:ascii="Verdana" w:eastAsia="Calibri" w:hAnsi="Verdana" w:cs="Arial"/>
                <w:color w:val="000000"/>
              </w:rPr>
              <w:t xml:space="preserve">para que un contratista pueda recibir el reconocimiento de viáticos u otros gastos asociados al cumplimiento del contrato, es indispensable que estos se encuentren expresamente pactados en el clausulado contractual. Esto permite a la entidad garantizar la disponibilidad presupuestal correspondiente. </w:t>
            </w:r>
          </w:p>
          <w:p w14:paraId="4EE63F7D" w14:textId="77777777" w:rsidR="000B74FD" w:rsidRDefault="000B74FD">
            <w:pPr>
              <w:spacing w:after="120" w:line="276" w:lineRule="auto"/>
              <w:ind w:firstLine="709"/>
              <w:jc w:val="both"/>
              <w:rPr>
                <w:rFonts w:ascii="Verdana" w:eastAsia="Arial" w:hAnsi="Verdana" w:cs="Arial"/>
                <w:lang w:val="es-ES"/>
              </w:rPr>
            </w:pPr>
            <w:r>
              <w:rPr>
                <w:rFonts w:ascii="Verdana" w:eastAsia="Arial" w:hAnsi="Verdana" w:cs="Arial"/>
                <w:lang w:val="es-ES"/>
              </w:rPr>
              <w:t xml:space="preserve">De esta forma y teniendo en cuenta el principio de la autonomía de la voluntad, la diferencia entre los “viáticos” </w:t>
            </w:r>
            <w:r>
              <w:rPr>
                <w:rFonts w:ascii="Verdana" w:hAnsi="Verdana" w:cs="Arial"/>
                <w:lang w:val="es-ES" w:eastAsia="es-ES"/>
              </w:rPr>
              <w:t xml:space="preserve">y </w:t>
            </w:r>
            <w:r>
              <w:rPr>
                <w:rFonts w:ascii="Verdana" w:eastAsia="Arial" w:hAnsi="Verdana" w:cs="Arial"/>
                <w:lang w:val="es-ES"/>
              </w:rPr>
              <w:t xml:space="preserve">los “gastos reembolsables” dependerá de lo que dispongan los documentos del proceso en general y la minuta del contrato en particular. Tratándose en ambos casos de cláusulas accidentales en los términos del artículo 1501 del Código Civil, corresponde a las partes determinar su alcance y los rubros que componen cada una de estas partidas. Lo anterior, en ausencia de una norma imperativa o dispositiva que definan o suplan dichos aspectos.  </w:t>
            </w:r>
          </w:p>
          <w:p w14:paraId="721E7E04" w14:textId="77777777" w:rsidR="000B74FD" w:rsidRDefault="000B74FD">
            <w:pPr>
              <w:widowControl w:val="0"/>
              <w:autoSpaceDE w:val="0"/>
              <w:autoSpaceDN w:val="0"/>
              <w:spacing w:after="120" w:line="276" w:lineRule="auto"/>
              <w:jc w:val="both"/>
              <w:rPr>
                <w:rFonts w:ascii="Verdana" w:eastAsia="Arial" w:hAnsi="Verdana" w:cs="Arial"/>
                <w:color w:val="000000" w:themeColor="text1"/>
                <w:lang w:val="es-ES" w:eastAsia="es-ES" w:bidi="es-ES"/>
              </w:rPr>
            </w:pPr>
            <w:proofErr w:type="spellStart"/>
            <w:r>
              <w:rPr>
                <w:rFonts w:ascii="Verdana" w:hAnsi="Verdana" w:cs="Arial"/>
                <w:szCs w:val="24"/>
                <w:lang w:val="es-ES" w:eastAsia="es-ES_tradnl"/>
              </w:rPr>
              <w:t>iii</w:t>
            </w:r>
            <w:proofErr w:type="spellEnd"/>
            <w:r>
              <w:rPr>
                <w:rFonts w:ascii="Verdana" w:hAnsi="Verdana" w:cs="Arial"/>
                <w:szCs w:val="24"/>
                <w:lang w:val="es-ES" w:eastAsia="es-ES_tradnl"/>
              </w:rPr>
              <w:t>. E</w:t>
            </w:r>
            <w:r>
              <w:rPr>
                <w:rFonts w:ascii="Verdana" w:eastAsia="Arial" w:hAnsi="Verdana" w:cs="Arial"/>
                <w:color w:val="000000" w:themeColor="text1"/>
                <w:lang w:val="es-ES" w:eastAsia="es-ES" w:bidi="es-ES"/>
              </w:rPr>
              <w:t>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equilibrio económico del contrato y evitar una mayor onerosidad.</w:t>
            </w:r>
          </w:p>
          <w:p w14:paraId="16D5626E" w14:textId="77777777" w:rsidR="000B74FD" w:rsidRDefault="000B74FD">
            <w:pPr>
              <w:widowControl w:val="0"/>
              <w:autoSpaceDE w:val="0"/>
              <w:autoSpaceDN w:val="0"/>
              <w:spacing w:line="276" w:lineRule="auto"/>
              <w:ind w:firstLine="708"/>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132DDCEC" w14:textId="77777777" w:rsidR="000B74FD" w:rsidRDefault="000B74FD">
            <w:pPr>
              <w:widowControl w:val="0"/>
              <w:autoSpaceDE w:val="0"/>
              <w:autoSpaceDN w:val="0"/>
              <w:spacing w:line="276" w:lineRule="auto"/>
              <w:ind w:left="709" w:right="709"/>
              <w:jc w:val="both"/>
              <w:rPr>
                <w:rFonts w:ascii="Verdana" w:eastAsia="Arial" w:hAnsi="Verdana" w:cs="Arial"/>
                <w:color w:val="000000" w:themeColor="text1"/>
                <w:lang w:val="es-ES" w:eastAsia="es-ES" w:bidi="es-ES"/>
              </w:rPr>
            </w:pPr>
          </w:p>
          <w:p w14:paraId="6180FDBC" w14:textId="77777777" w:rsidR="000B74FD" w:rsidRDefault="000B74FD">
            <w:pPr>
              <w:widowControl w:val="0"/>
              <w:autoSpaceDE w:val="0"/>
              <w:autoSpaceDN w:val="0"/>
              <w:spacing w:after="120"/>
              <w:ind w:left="709" w:right="709"/>
              <w:jc w:val="both"/>
              <w:rPr>
                <w:rFonts w:ascii="Verdana" w:eastAsia="Arial" w:hAnsi="Verdana" w:cs="Arial"/>
                <w:color w:val="000000" w:themeColor="text1"/>
                <w:sz w:val="20"/>
                <w:szCs w:val="20"/>
                <w:lang w:val="es-ES" w:eastAsia="es-ES" w:bidi="es-ES"/>
              </w:rPr>
            </w:pPr>
            <w:r>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2C92F163" w14:textId="77777777" w:rsidR="000B74FD" w:rsidRDefault="000B74FD">
            <w:pPr>
              <w:widowControl w:val="0"/>
              <w:autoSpaceDE w:val="0"/>
              <w:autoSpaceDN w:val="0"/>
              <w:spacing w:after="120"/>
              <w:ind w:left="709" w:right="709"/>
              <w:jc w:val="both"/>
              <w:rPr>
                <w:rFonts w:ascii="Verdana" w:eastAsia="Arial" w:hAnsi="Verdana" w:cs="Arial"/>
                <w:color w:val="000000" w:themeColor="text1"/>
                <w:sz w:val="20"/>
                <w:szCs w:val="20"/>
                <w:lang w:val="es-ES" w:eastAsia="es-ES" w:bidi="es-ES"/>
              </w:rPr>
            </w:pPr>
            <w:r>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1C431F82" w14:textId="77777777" w:rsidR="000B74FD" w:rsidRDefault="000B74FD">
            <w:pPr>
              <w:widowControl w:val="0"/>
              <w:autoSpaceDE w:val="0"/>
              <w:autoSpaceDN w:val="0"/>
              <w:spacing w:after="120"/>
              <w:ind w:left="709" w:right="709"/>
              <w:jc w:val="both"/>
              <w:rPr>
                <w:rFonts w:ascii="Verdana" w:eastAsia="Arial" w:hAnsi="Verdana" w:cs="Arial"/>
                <w:color w:val="000000" w:themeColor="text1"/>
                <w:sz w:val="20"/>
                <w:szCs w:val="20"/>
                <w:lang w:val="es-ES" w:eastAsia="es-ES" w:bidi="es-ES"/>
              </w:rPr>
            </w:pPr>
            <w:r>
              <w:rPr>
                <w:rFonts w:ascii="Verdana" w:eastAsia="Arial" w:hAnsi="Verdana" w:cs="Arial"/>
                <w:color w:val="000000" w:themeColor="text1"/>
                <w:sz w:val="20"/>
                <w:szCs w:val="20"/>
                <w:lang w:val="es-ES" w:eastAsia="es-ES" w:bidi="es-ES"/>
              </w:rPr>
              <w:t xml:space="preserve">c) Factores exógenos a las partes del negocio, o ‘teoría de la imprevisión’, o ‘sujeciones materiales imprevistas’, que involucran circunstancias no imputables al Estado y externas al </w:t>
            </w:r>
            <w:proofErr w:type="gramStart"/>
            <w:r>
              <w:rPr>
                <w:rFonts w:ascii="Verdana" w:eastAsia="Arial" w:hAnsi="Verdana" w:cs="Arial"/>
                <w:color w:val="000000" w:themeColor="text1"/>
                <w:sz w:val="20"/>
                <w:szCs w:val="20"/>
                <w:lang w:val="es-ES" w:eastAsia="es-ES" w:bidi="es-ES"/>
              </w:rPr>
              <w:t>contrato</w:t>
            </w:r>
            <w:proofErr w:type="gramEnd"/>
            <w:r>
              <w:rPr>
                <w:rFonts w:ascii="Verdana" w:eastAsia="Arial" w:hAnsi="Verdana" w:cs="Arial"/>
                <w:color w:val="000000" w:themeColor="text1"/>
                <w:sz w:val="20"/>
                <w:szCs w:val="20"/>
                <w:lang w:val="es-ES" w:eastAsia="es-ES" w:bidi="es-ES"/>
              </w:rPr>
              <w:t xml:space="preserve"> pero con incidencia en él.</w:t>
            </w:r>
          </w:p>
          <w:p w14:paraId="561C8F13" w14:textId="77777777" w:rsidR="000B74FD" w:rsidRDefault="000B74FD">
            <w:pPr>
              <w:widowControl w:val="0"/>
              <w:autoSpaceDE w:val="0"/>
              <w:autoSpaceDN w:val="0"/>
              <w:ind w:left="709" w:right="709"/>
              <w:jc w:val="both"/>
              <w:rPr>
                <w:rFonts w:ascii="Verdana" w:eastAsia="Arial" w:hAnsi="Verdana" w:cs="Arial"/>
                <w:color w:val="000000" w:themeColor="text1"/>
                <w:sz w:val="20"/>
                <w:szCs w:val="20"/>
                <w:lang w:val="es-ES" w:eastAsia="es-ES" w:bidi="es-ES"/>
              </w:rPr>
            </w:pPr>
            <w:r>
              <w:rPr>
                <w:rFonts w:ascii="Verdana" w:eastAsia="Arial" w:hAnsi="Verdana" w:cs="Arial"/>
                <w:color w:val="000000" w:themeColor="text1"/>
                <w:sz w:val="20"/>
                <w:szCs w:val="20"/>
                <w:lang w:val="es-ES" w:eastAsia="es-ES" w:bidi="es-ES"/>
              </w:rPr>
              <w:t>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señalados para cada figura”.</w:t>
            </w:r>
          </w:p>
          <w:p w14:paraId="20A9A55E" w14:textId="77777777" w:rsidR="000B74FD" w:rsidRDefault="000B74FD">
            <w:pPr>
              <w:widowControl w:val="0"/>
              <w:autoSpaceDE w:val="0"/>
              <w:autoSpaceDN w:val="0"/>
              <w:spacing w:line="276" w:lineRule="auto"/>
              <w:ind w:left="709" w:right="709"/>
              <w:jc w:val="both"/>
              <w:rPr>
                <w:rFonts w:ascii="Verdana" w:eastAsia="Arial" w:hAnsi="Verdana" w:cs="Arial"/>
                <w:color w:val="000000" w:themeColor="text1"/>
                <w:lang w:val="es-ES" w:eastAsia="es-ES" w:bidi="es-ES"/>
              </w:rPr>
            </w:pPr>
          </w:p>
          <w:p w14:paraId="2739DC58" w14:textId="77777777" w:rsidR="000B74FD" w:rsidRDefault="000B74FD">
            <w:pPr>
              <w:spacing w:after="120" w:line="276" w:lineRule="auto"/>
              <w:ind w:firstLine="743"/>
              <w:jc w:val="both"/>
              <w:rPr>
                <w:rFonts w:ascii="Verdana" w:hAnsi="Verdana" w:cs="Arial"/>
                <w:szCs w:val="24"/>
                <w:lang w:val="es-ES" w:eastAsia="es-ES_tradnl"/>
              </w:rPr>
            </w:pPr>
            <w:r>
              <w:rPr>
                <w:rFonts w:ascii="Verdana" w:eastAsia="Arial" w:hAnsi="Verdana" w:cs="Arial"/>
                <w:color w:val="000000" w:themeColor="text1"/>
                <w:lang w:val="es-ES" w:eastAsia="es-ES"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 </w:t>
            </w:r>
          </w:p>
        </w:tc>
      </w:tr>
    </w:tbl>
    <w:p w14:paraId="7616574B" w14:textId="77777777" w:rsidR="000B74FD" w:rsidRDefault="000B74FD" w:rsidP="000B74FD">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21FDC0B" w14:textId="77777777" w:rsidR="000B74FD" w:rsidRDefault="000B74FD" w:rsidP="000B74FD">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Razones de la respuesta:</w:t>
      </w:r>
    </w:p>
    <w:p w14:paraId="2B497F51" w14:textId="77777777" w:rsidR="000B74FD" w:rsidRDefault="000B74FD" w:rsidP="000B74FD">
      <w:pPr>
        <w:spacing w:after="0" w:line="276" w:lineRule="auto"/>
        <w:jc w:val="both"/>
        <w:rPr>
          <w:rFonts w:ascii="Verdana" w:eastAsia="Calibri" w:hAnsi="Verdana" w:cs="Arial"/>
          <w:color w:val="000000" w:themeColor="text1"/>
          <w:lang w:val="es-ES"/>
        </w:rPr>
      </w:pPr>
    </w:p>
    <w:p w14:paraId="3DA620CA" w14:textId="77777777" w:rsidR="000B74FD" w:rsidRDefault="000B74FD" w:rsidP="000B74FD">
      <w:pPr>
        <w:spacing w:after="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Lo anterior se sustenta en las siguientes consideraciones: </w:t>
      </w:r>
    </w:p>
    <w:p w14:paraId="2944C179" w14:textId="77777777" w:rsidR="000B74FD" w:rsidRDefault="000B74FD" w:rsidP="000B74FD">
      <w:pPr>
        <w:spacing w:after="0" w:line="276" w:lineRule="auto"/>
        <w:jc w:val="both"/>
        <w:rPr>
          <w:rFonts w:ascii="Verdana" w:eastAsia="Calibri" w:hAnsi="Verdana" w:cs="Arial"/>
          <w:color w:val="000000" w:themeColor="text1"/>
          <w:lang w:val="es-ES"/>
        </w:rPr>
      </w:pPr>
    </w:p>
    <w:p w14:paraId="4DBEFB80" w14:textId="77777777" w:rsidR="000B74FD" w:rsidRDefault="000B74FD" w:rsidP="000B74FD">
      <w:pPr>
        <w:spacing w:after="120" w:line="276" w:lineRule="auto"/>
        <w:jc w:val="both"/>
        <w:rPr>
          <w:rFonts w:ascii="Verdana" w:hAnsi="Verdana" w:cs="Arial"/>
          <w:lang w:val="es-ES" w:eastAsia="es-ES"/>
        </w:rPr>
      </w:pPr>
      <w:r>
        <w:rPr>
          <w:rFonts w:ascii="Verdana" w:hAnsi="Verdana" w:cs="Arial"/>
          <w:lang w:val="es-ES" w:eastAsia="es-ES"/>
        </w:rPr>
        <w:t xml:space="preserve">i) </w:t>
      </w:r>
      <w:r>
        <w:rPr>
          <w:rFonts w:ascii="Verdana" w:hAnsi="Verdana" w:cs="Arial"/>
          <w:lang w:eastAsia="es-ES"/>
        </w:rPr>
        <w:t>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r>
        <w:rPr>
          <w:rFonts w:ascii="Verdana" w:hAnsi="Verdana" w:cs="Arial"/>
          <w:lang w:val="es-ES" w:eastAsia="es-ES"/>
        </w:rPr>
        <w:t xml:space="preserve"> Las entidades estatales deben calcular el presupuesto oficial mediante el análisis del sector –que incluye el estudio del mercado– y definir la metodología con la cual estructurarán el precio </w:t>
      </w:r>
      <w:r>
        <w:rPr>
          <w:rFonts w:ascii="Verdana" w:hAnsi="Verdana" w:cs="Arial"/>
          <w:lang w:val="es-ES" w:eastAsia="es-ES"/>
        </w:rPr>
        <w:lastRenderedPageBreak/>
        <w:t xml:space="preserve">del contrato durante la etapa de planeación. De este modo, los estudios previos deberán incluir el esquema que la Administración usará para estipular el precio o el valor del contrato. </w:t>
      </w:r>
    </w:p>
    <w:p w14:paraId="32C32E59" w14:textId="77777777" w:rsidR="000B74FD" w:rsidRDefault="000B74FD" w:rsidP="000B74FD">
      <w:pPr>
        <w:spacing w:after="120" w:line="276" w:lineRule="auto"/>
        <w:ind w:firstLine="708"/>
        <w:jc w:val="both"/>
        <w:rPr>
          <w:rFonts w:ascii="Verdana" w:hAnsi="Verdana" w:cs="Arial"/>
          <w:lang w:val="es-ES" w:eastAsia="es-ES"/>
        </w:rPr>
      </w:pPr>
      <w:r>
        <w:rPr>
          <w:rFonts w:ascii="Verdana" w:hAnsi="Verdana" w:cs="Arial"/>
          <w:lang w:val="es-ES" w:eastAsia="es-ES"/>
        </w:rPr>
        <w:t>La metodología generalmente dependerá del tipo de contrato, por lo que puede variar dependiendo si se trata de un contrato de obra pública, prestación de servicios o de concesión, por mencionar algunos ejemplos</w:t>
      </w:r>
      <w:r>
        <w:rPr>
          <w:vertAlign w:val="superscript"/>
        </w:rPr>
        <w:footnoteReference w:id="2"/>
      </w:r>
      <w:r>
        <w:rPr>
          <w:rFonts w:ascii="Verdana" w:hAnsi="Verdana" w:cs="Arial"/>
          <w:lang w:val="es-ES" w:eastAsia="es-ES"/>
        </w:rPr>
        <w:t xml:space="preserve">. En efecto, no existe una sola metodología para pactar el precio y la manera de hacerlo puede ser resultado de la costumbre mercantil y la influencia de disciplinas técnicas, como la ingeniería o la administración de empresas en la contratación estatal. Dentro los esquemas para determinar el precio se encuentran, entre otros: i) los precios unitarios –calculados de acuerdo con las unidades que componen el objeto del contrato–, </w:t>
      </w:r>
      <w:proofErr w:type="spellStart"/>
      <w:r>
        <w:rPr>
          <w:rFonts w:ascii="Verdana" w:hAnsi="Verdana" w:cs="Arial"/>
          <w:lang w:val="es-ES" w:eastAsia="es-ES"/>
        </w:rPr>
        <w:t>ii</w:t>
      </w:r>
      <w:proofErr w:type="spellEnd"/>
      <w:r>
        <w:rPr>
          <w:rFonts w:ascii="Verdana" w:hAnsi="Verdana" w:cs="Arial"/>
          <w:lang w:val="es-ES" w:eastAsia="es-ES"/>
        </w:rPr>
        <w:t xml:space="preserve">) el precio global –que equivale al monto total, sin discriminar unidades–, y </w:t>
      </w:r>
      <w:proofErr w:type="spellStart"/>
      <w:r>
        <w:rPr>
          <w:rFonts w:ascii="Verdana" w:hAnsi="Verdana" w:cs="Arial"/>
          <w:lang w:val="es-ES" w:eastAsia="es-ES"/>
        </w:rPr>
        <w:t>iii</w:t>
      </w:r>
      <w:proofErr w:type="spellEnd"/>
      <w:r>
        <w:rPr>
          <w:rFonts w:ascii="Verdana" w:hAnsi="Verdana" w:cs="Arial"/>
          <w:lang w:val="es-ES" w:eastAsia="es-ES"/>
        </w:rPr>
        <w:t>) la administración delegada de recursos –en la que se distinguen los costos de inversión de los honorarios del administrador–.</w:t>
      </w:r>
    </w:p>
    <w:p w14:paraId="04D5E5CD" w14:textId="77777777" w:rsidR="000B74FD" w:rsidRDefault="000B74FD" w:rsidP="000B74FD">
      <w:pPr>
        <w:spacing w:after="120" w:line="276" w:lineRule="auto"/>
        <w:ind w:firstLine="709"/>
        <w:jc w:val="both"/>
        <w:rPr>
          <w:rFonts w:ascii="Verdana" w:hAnsi="Verdana"/>
          <w:lang w:val="es-ES"/>
        </w:rPr>
      </w:pPr>
      <w:r>
        <w:rPr>
          <w:rFonts w:ascii="Verdana" w:hAnsi="Verdana"/>
          <w:lang w:val="es-ES"/>
        </w:rPr>
        <w:t xml:space="preserve">El contrato cuyo precio es pactado a precios unitarios, que es el que llama la atención en el presente concepto, dado el objeto de la consulta, implica individualizar el valor de cada uno de los ítems requeridos para llevar a cabo la obra o el proyecto. Así mismo, el precio se deriva de apreciar todos los componentes necesarios para la ejecución de la unidad de medida del ítem correspondiente (metro lineal, metro cúbico, metro cuadrado, entre otros). Por </w:t>
      </w:r>
      <w:r>
        <w:rPr>
          <w:rFonts w:ascii="Verdana" w:hAnsi="Verdana"/>
          <w:lang w:val="es-ES"/>
        </w:rPr>
        <w:lastRenderedPageBreak/>
        <w:t>lo mismo, el precio será el resultado de multiplicar la cantidad finalmente ejecutada por el valor unitario respectivo</w:t>
      </w:r>
      <w:r>
        <w:rPr>
          <w:rStyle w:val="Refdenotaalpie"/>
          <w:rFonts w:ascii="Verdana" w:hAnsi="Verdana"/>
          <w:lang w:val="es-ES"/>
        </w:rPr>
        <w:footnoteReference w:id="3"/>
      </w:r>
      <w:r>
        <w:rPr>
          <w:rFonts w:ascii="Verdana" w:hAnsi="Verdana"/>
          <w:lang w:val="es-ES"/>
        </w:rPr>
        <w:t>.</w:t>
      </w:r>
    </w:p>
    <w:p w14:paraId="1CDD984E" w14:textId="77777777" w:rsidR="000B74FD" w:rsidRDefault="000B74FD" w:rsidP="000B74FD">
      <w:pPr>
        <w:spacing w:after="120" w:line="276" w:lineRule="auto"/>
        <w:ind w:firstLine="709"/>
        <w:jc w:val="both"/>
        <w:rPr>
          <w:rFonts w:ascii="Verdana" w:hAnsi="Verdana"/>
          <w:lang w:val="es-ES"/>
        </w:rPr>
      </w:pPr>
      <w:r>
        <w:rPr>
          <w:rFonts w:ascii="Verdana" w:hAnsi="Verdana" w:cs="Arial"/>
          <w:bCs/>
          <w:szCs w:val="24"/>
          <w:lang w:val="es-ES" w:eastAsia="es-ES_tradnl"/>
        </w:rPr>
        <w:t>En esta modalidad de establecimiento del precio, y por la misma naturaleza del contrato que impide definir con certeza su valor real, se establecen unas estimaciones de cantidades de obra, según los estudios y diseños, los estudios previos y unos precios unitarios de los respectivos ítems de obra</w:t>
      </w:r>
      <w:r>
        <w:rPr>
          <w:rStyle w:val="Refdenotaalpie"/>
          <w:rFonts w:ascii="Verdana" w:hAnsi="Verdana" w:cs="Arial"/>
          <w:bCs/>
          <w:szCs w:val="24"/>
          <w:lang w:val="es-ES" w:eastAsia="es-ES_tradnl"/>
        </w:rPr>
        <w:footnoteReference w:id="4"/>
      </w:r>
      <w:r>
        <w:rPr>
          <w:rFonts w:ascii="Verdana" w:hAnsi="Verdana" w:cs="Arial"/>
          <w:bCs/>
          <w:szCs w:val="24"/>
          <w:lang w:val="es-ES" w:eastAsia="es-ES_tradnl"/>
        </w:rPr>
        <w:t xml:space="preserve">. </w:t>
      </w:r>
      <w:r>
        <w:rPr>
          <w:rFonts w:ascii="Verdana" w:hAnsi="Verdana"/>
          <w:lang w:val="es-ES"/>
        </w:rPr>
        <w:t>Al respecto, la jurisprudencia de la Sección Tercera del Consejo de Estado ha explicado que, en los contratos pactados mediante precios unitarios, ante la imposibilidad de establecer con exactitud los montos totales que resultarán de realizar la obra contratada, previo a la ejecución del negocio jurídico, la entidad, tanto en los pliegos de condiciones o documento equivalente, como en el contrato, aproxima un cálculo estimado de la cantidad o unidades de obra que se requerirá ejecutar. Esto, con el propósito de que el proponente establezca en su propuesta unos valores unitarios respecto de cada unidad de obra prevista por el ente contratante</w:t>
      </w:r>
      <w:r>
        <w:rPr>
          <w:rStyle w:val="Refdenotaalpie"/>
          <w:rFonts w:ascii="Verdana" w:hAnsi="Verdana"/>
          <w:lang w:val="es-ES"/>
        </w:rPr>
        <w:footnoteReference w:id="5"/>
      </w:r>
      <w:r>
        <w:rPr>
          <w:rFonts w:ascii="Verdana" w:hAnsi="Verdana"/>
          <w:lang w:val="es-ES"/>
        </w:rPr>
        <w:t>.</w:t>
      </w:r>
    </w:p>
    <w:p w14:paraId="7C28AFF7" w14:textId="77777777" w:rsidR="000B74FD" w:rsidRDefault="000B74FD" w:rsidP="000B74FD">
      <w:pPr>
        <w:spacing w:after="120" w:line="276" w:lineRule="auto"/>
        <w:ind w:firstLine="709"/>
        <w:jc w:val="both"/>
        <w:rPr>
          <w:rFonts w:ascii="Verdana" w:hAnsi="Verdana" w:cs="Arial"/>
          <w:bCs/>
          <w:szCs w:val="24"/>
          <w:lang w:val="es-ES" w:eastAsia="es-ES_tradnl"/>
        </w:rPr>
      </w:pPr>
      <w:r>
        <w:rPr>
          <w:rFonts w:ascii="Verdana" w:hAnsi="Verdana" w:cs="Arial"/>
          <w:szCs w:val="24"/>
          <w:lang w:val="es-ES" w:eastAsia="es-ES_tradnl"/>
        </w:rPr>
        <w:t>De esta forma, uno es el valor estimado del contrato y otro el valor real, según las mayores o menores cantidades de obra que efectivamente ejecute el contratista para cumplir el objeto pactado.</w:t>
      </w:r>
      <w:r>
        <w:rPr>
          <w:rFonts w:ascii="Verdana" w:hAnsi="Verdana"/>
          <w:i/>
          <w:lang w:val="es-ES"/>
        </w:rPr>
        <w:t xml:space="preserve"> </w:t>
      </w:r>
      <w:r>
        <w:rPr>
          <w:rFonts w:ascii="Verdana" w:hAnsi="Verdana"/>
          <w:lang w:val="es-ES"/>
        </w:rPr>
        <w:t xml:space="preserve">De esta manera, </w:t>
      </w:r>
      <w:r>
        <w:rPr>
          <w:rFonts w:ascii="Verdana" w:hAnsi="Verdana" w:cs="Arial"/>
          <w:bCs/>
          <w:szCs w:val="24"/>
          <w:lang w:val="es-ES" w:eastAsia="es-ES_tradnl"/>
        </w:rPr>
        <w:t>en los contratos de obra pública con pago pactado a precios unitarios, el valor del contrato es el que resulta de multiplicar las cantidades de obra efectivamente ejecutadas por sus precios unitarios. No obstante, para la celebración de este tipo de contratos, el precio se expresa en un valor estimado, que corresponde a un valor inicial, y que está dado por las cantidades de obra y los precios unitarios por los cuales se hizo la respectiva adjudicación.</w:t>
      </w:r>
    </w:p>
    <w:p w14:paraId="3FF38972" w14:textId="77777777" w:rsidR="000B74FD" w:rsidRDefault="000B74FD" w:rsidP="000B74FD">
      <w:pPr>
        <w:spacing w:after="120" w:line="276" w:lineRule="auto"/>
        <w:ind w:firstLine="743"/>
        <w:jc w:val="both"/>
        <w:rPr>
          <w:rFonts w:ascii="Verdana" w:eastAsia="Times New Roman" w:hAnsi="Verdana" w:cs="Arial"/>
          <w:color w:val="000000" w:themeColor="text1"/>
          <w:lang w:val="es-ES" w:eastAsia="es-ES"/>
        </w:rPr>
      </w:pPr>
      <w:r>
        <w:rPr>
          <w:rFonts w:ascii="Verdana" w:eastAsia="Times New Roman" w:hAnsi="Verdana" w:cs="Arial"/>
          <w:color w:val="000000" w:themeColor="text1"/>
          <w:lang w:val="es-ES" w:eastAsia="es-ES"/>
        </w:rPr>
        <w:t xml:space="preserve">Así las cosas, durante la etapa de planeación las entidades públicas son responsable de estimar y determinar las prestaciones que demanda la satisfacción del interés colectivo, conforme al análisis plasmado en los estudios y diseños y en los respectivos estudios previos. No obstante, teniendo en cuenta que en la modalidad de precios unitarios las cantidades son estimativas, es </w:t>
      </w:r>
      <w:r>
        <w:rPr>
          <w:rFonts w:ascii="Verdana" w:eastAsia="Times New Roman" w:hAnsi="Verdana" w:cs="Arial"/>
          <w:color w:val="000000" w:themeColor="text1"/>
          <w:lang w:val="es-ES" w:eastAsia="es-ES"/>
        </w:rPr>
        <w:lastRenderedPageBreak/>
        <w:t xml:space="preserve">factible </w:t>
      </w:r>
      <w:proofErr w:type="gramStart"/>
      <w:r>
        <w:rPr>
          <w:rFonts w:ascii="Verdana" w:eastAsia="Times New Roman" w:hAnsi="Verdana" w:cs="Arial"/>
          <w:color w:val="000000" w:themeColor="text1"/>
          <w:lang w:val="es-ES" w:eastAsia="es-ES"/>
        </w:rPr>
        <w:t>que</w:t>
      </w:r>
      <w:proofErr w:type="gramEnd"/>
      <w:r>
        <w:rPr>
          <w:rFonts w:ascii="Verdana" w:eastAsia="Times New Roman" w:hAnsi="Verdana" w:cs="Arial"/>
          <w:color w:val="000000" w:themeColor="text1"/>
          <w:lang w:val="es-ES" w:eastAsia="es-ES"/>
        </w:rPr>
        <w:t xml:space="preserve"> durante la ejecución del contrato, </w:t>
      </w:r>
      <w:r>
        <w:rPr>
          <w:rFonts w:ascii="Verdana" w:eastAsia="Times New Roman" w:hAnsi="Verdana" w:cs="Arial"/>
          <w:i/>
          <w:iCs/>
          <w:color w:val="000000" w:themeColor="text1"/>
          <w:lang w:val="es-ES" w:eastAsia="es-ES"/>
        </w:rPr>
        <w:t>las partes</w:t>
      </w:r>
      <w:r>
        <w:rPr>
          <w:rFonts w:ascii="Verdana" w:eastAsia="Times New Roman" w:hAnsi="Verdana" w:cs="Arial"/>
          <w:color w:val="000000" w:themeColor="text1"/>
          <w:lang w:val="es-ES" w:eastAsia="es-ES"/>
        </w:rPr>
        <w:t xml:space="preserve"> puedan identificar situaciones en las que se genera la necesidad de mayores cantidades de bienes o actividades inicialmente previstos, a lo que se le conoce como mayores cantidades de obra, o adición de ítems contractuales. De esta forma, </w:t>
      </w:r>
      <w:r>
        <w:rPr>
          <w:rFonts w:ascii="Verdana" w:eastAsia="Times New Roman" w:hAnsi="Verdana" w:cs="Arial"/>
          <w:color w:val="000000" w:themeColor="text1"/>
          <w:lang w:eastAsia="es-ES"/>
        </w:rPr>
        <w:t xml:space="preserve">si bien la responsabilidad inicial en la definición de las cantidades recae en la entidad estatal en la fase de planeación, durante la ejecución del contrato tanto la entidad contratante como el contratista están obligados a identificar, advertir y gestionar oportunamente las situaciones que puedan afectar la adecuada ejecución del contrato. </w:t>
      </w:r>
    </w:p>
    <w:p w14:paraId="7CECB7D9" w14:textId="77777777" w:rsidR="000B74FD" w:rsidRDefault="000B74FD" w:rsidP="000B74FD">
      <w:pPr>
        <w:spacing w:after="120" w:line="276" w:lineRule="auto"/>
        <w:jc w:val="both"/>
        <w:rPr>
          <w:rFonts w:ascii="Verdana" w:hAnsi="Verdana" w:cs="Arial"/>
          <w:szCs w:val="24"/>
          <w:lang w:val="es-ES" w:eastAsia="es-ES_tradnl"/>
        </w:rPr>
      </w:pPr>
      <w:proofErr w:type="spellStart"/>
      <w:r>
        <w:rPr>
          <w:rFonts w:ascii="Verdana" w:hAnsi="Verdana" w:cs="Arial"/>
          <w:bCs/>
          <w:szCs w:val="24"/>
          <w:lang w:val="es-ES" w:eastAsia="es-ES_tradnl"/>
        </w:rPr>
        <w:t>ii</w:t>
      </w:r>
      <w:proofErr w:type="spellEnd"/>
      <w:r>
        <w:rPr>
          <w:rFonts w:ascii="Verdana" w:hAnsi="Verdana" w:cs="Arial"/>
          <w:bCs/>
          <w:szCs w:val="24"/>
          <w:lang w:val="es-ES" w:eastAsia="es-ES_tradnl"/>
        </w:rPr>
        <w:t xml:space="preserve">. Otro aspecto importante a tener en cuenta respecto de los contratos cuyo precio se estructura a partir del sistema de precios unitarios es que, ha hecho parte de la práctica de los negocios que el contratante le solicite </w:t>
      </w:r>
      <w:r>
        <w:rPr>
          <w:rFonts w:ascii="Verdana" w:hAnsi="Verdana" w:cs="Arial"/>
          <w:lang w:val="es-ES" w:eastAsia="es-ES"/>
        </w:rPr>
        <w:t xml:space="preserve">al potencial contratista que separe en su propuesta los </w:t>
      </w:r>
      <w:r>
        <w:rPr>
          <w:rFonts w:ascii="Verdana" w:hAnsi="Verdana" w:cs="Arial"/>
          <w:i/>
          <w:iCs/>
          <w:lang w:val="es-ES" w:eastAsia="es-ES"/>
        </w:rPr>
        <w:t>costos directos</w:t>
      </w:r>
      <w:r>
        <w:rPr>
          <w:rFonts w:ascii="Verdana" w:hAnsi="Verdana" w:cs="Arial"/>
          <w:lang w:val="es-ES" w:eastAsia="es-ES"/>
        </w:rPr>
        <w:t xml:space="preserve"> –es decir, los que están directamente implicados en la ejecución del objeto–, de los </w:t>
      </w:r>
      <w:r>
        <w:rPr>
          <w:rFonts w:ascii="Verdana" w:hAnsi="Verdana" w:cs="Arial"/>
          <w:i/>
          <w:iCs/>
          <w:lang w:val="es-ES" w:eastAsia="es-ES"/>
        </w:rPr>
        <w:t>costos indirectos</w:t>
      </w:r>
      <w:r>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tal podría llegar a ser el caso de los gastos en los que se incurra por concepto de representación la estructura plural. </w:t>
      </w:r>
      <w:r>
        <w:rPr>
          <w:rFonts w:ascii="Verdana" w:hAnsi="Verdana" w:cs="Arial"/>
          <w:bCs/>
          <w:szCs w:val="24"/>
          <w:lang w:val="es-ES" w:eastAsia="es-ES_tradnl"/>
        </w:rPr>
        <w:t xml:space="preserve">En tal sentido, mientras que los costos directos se evidencian en el análisis de precios unitarios –APU–, como la sumatoria de los valores de los </w:t>
      </w:r>
      <w:r>
        <w:rPr>
          <w:rFonts w:ascii="Verdana" w:hAnsi="Verdana" w:cs="Arial"/>
          <w:bCs/>
          <w:i/>
          <w:iCs/>
          <w:szCs w:val="24"/>
          <w:lang w:val="es-ES" w:eastAsia="es-ES_tradnl"/>
        </w:rPr>
        <w:t>ítems</w:t>
      </w:r>
      <w:r>
        <w:rPr>
          <w:rFonts w:ascii="Verdana" w:hAnsi="Verdana" w:cs="Arial"/>
          <w:bCs/>
          <w:szCs w:val="24"/>
          <w:lang w:val="es-ES" w:eastAsia="es-ES_tradnl"/>
        </w:rPr>
        <w:t xml:space="preserve"> según su unidad de medida, los costos indirectos se suelen abreviar en las variables que integran el acrónimo AIU –Administración, Imprevistos y Utilidad–, que se calcula como un porcentaje aplicado a los costos indirectos</w:t>
      </w:r>
      <w:r>
        <w:rPr>
          <w:rFonts w:ascii="Verdana" w:hAnsi="Verdana" w:cs="Arial"/>
          <w:szCs w:val="24"/>
          <w:vertAlign w:val="superscript"/>
          <w:lang w:val="es-ES" w:eastAsia="es-ES_tradnl"/>
        </w:rPr>
        <w:footnoteReference w:id="6"/>
      </w:r>
      <w:r>
        <w:rPr>
          <w:rFonts w:ascii="Verdana" w:hAnsi="Verdana" w:cs="Arial"/>
          <w:szCs w:val="24"/>
          <w:lang w:val="es-ES" w:eastAsia="es-ES_tradnl"/>
        </w:rPr>
        <w:t>.</w:t>
      </w:r>
    </w:p>
    <w:p w14:paraId="2055ED14" w14:textId="77777777" w:rsidR="000B74FD" w:rsidRDefault="000B74FD" w:rsidP="000B74FD">
      <w:pPr>
        <w:spacing w:after="120" w:line="276" w:lineRule="auto"/>
        <w:ind w:firstLine="709"/>
        <w:jc w:val="both"/>
        <w:rPr>
          <w:rFonts w:ascii="Verdana" w:hAnsi="Verdana" w:cs="Arial"/>
          <w:bCs/>
          <w:szCs w:val="24"/>
          <w:lang w:val="es-ES" w:eastAsia="es-ES_tradnl"/>
        </w:rPr>
      </w:pPr>
      <w:r>
        <w:rPr>
          <w:rFonts w:ascii="Verdana" w:hAnsi="Verdana" w:cs="Arial"/>
          <w:bCs/>
          <w:szCs w:val="24"/>
          <w:lang w:val="es-ES" w:eastAsia="es-ES_tradnl"/>
        </w:rPr>
        <w:t xml:space="preserve">La jurisprudencia ha señalado que “[…] 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w:t>
      </w:r>
      <w:proofErr w:type="gramStart"/>
      <w:r>
        <w:rPr>
          <w:rFonts w:ascii="Verdana" w:hAnsi="Verdana" w:cs="Arial"/>
          <w:bCs/>
          <w:szCs w:val="24"/>
          <w:lang w:val="es-ES" w:eastAsia="es-ES_tradnl"/>
        </w:rPr>
        <w:t>los mismos</w:t>
      </w:r>
      <w:proofErr w:type="gramEnd"/>
      <w:r>
        <w:rPr>
          <w:rFonts w:ascii="Verdana" w:hAnsi="Verdana" w:cs="Arial"/>
          <w:bCs/>
          <w:szCs w:val="24"/>
          <w:lang w:val="es-ES" w:eastAsia="es-ES_tradnl"/>
        </w:rPr>
        <w:t xml:space="preserve"> para determinar los costos que los conforman: la maquinaria que se utilizará, calculando el valor por el tiempo que se requiera; la mano de obra, teniendo en cuenta el costo hora-</w:t>
      </w:r>
      <w:r>
        <w:rPr>
          <w:rFonts w:ascii="Verdana" w:hAnsi="Verdana" w:cs="Arial"/>
          <w:bCs/>
          <w:szCs w:val="24"/>
          <w:lang w:val="es-ES" w:eastAsia="es-ES_tradnl"/>
        </w:rPr>
        <w:lastRenderedPageBreak/>
        <w:t>hombre, y cuántas personas se requieren para la ejecución de esa unidad de medida; la cantidad de los materiales necesarios, etc.”</w:t>
      </w:r>
      <w:r>
        <w:rPr>
          <w:rStyle w:val="Refdenotaalpie"/>
          <w:rFonts w:ascii="Verdana" w:hAnsi="Verdana" w:cs="Arial"/>
          <w:bCs/>
          <w:szCs w:val="24"/>
          <w:lang w:val="es-ES" w:eastAsia="es-ES_tradnl"/>
        </w:rPr>
        <w:footnoteReference w:id="7"/>
      </w:r>
      <w:r>
        <w:rPr>
          <w:rFonts w:ascii="Verdana" w:hAnsi="Verdana" w:cs="Arial"/>
          <w:bCs/>
          <w:szCs w:val="24"/>
          <w:lang w:val="es-ES" w:eastAsia="es-ES_tradnl"/>
        </w:rPr>
        <w:t xml:space="preserve">. </w:t>
      </w:r>
    </w:p>
    <w:p w14:paraId="1B74EBD0" w14:textId="77777777" w:rsidR="000B74FD" w:rsidRDefault="000B74FD" w:rsidP="000B74FD">
      <w:pPr>
        <w:spacing w:after="120" w:line="276" w:lineRule="auto"/>
        <w:ind w:firstLine="709"/>
        <w:jc w:val="both"/>
        <w:rPr>
          <w:rFonts w:ascii="Verdana" w:hAnsi="Verdana" w:cs="Arial"/>
          <w:bCs/>
          <w:szCs w:val="24"/>
          <w:lang w:val="es-ES" w:eastAsia="es-ES_tradnl"/>
        </w:rPr>
      </w:pPr>
      <w:r>
        <w:rPr>
          <w:rFonts w:ascii="Verdana" w:hAnsi="Verdana" w:cs="Arial"/>
          <w:bCs/>
          <w:szCs w:val="24"/>
          <w:lang w:val="es-ES" w:eastAsia="es-ES_tradnl"/>
        </w:rPr>
        <w:t>En efecto, la Sección Tercera del Consejo ha precisado en varias oportunidades que los contratos en los cuales el pago es pactado mediante precios unitarios se caracterizan porque las partes acuerdan el valor de las distintas unidades o cantidades de obra, de modo que el “costo directo total del contrato, será el resultado de multiplicar los precios unitarios por las cantidades de obra ejecutadas y de sumar todos los ítems necesarios para dicha ejecución"</w:t>
      </w:r>
      <w:r>
        <w:rPr>
          <w:rStyle w:val="Refdenotaalpie"/>
          <w:rFonts w:ascii="Verdana" w:hAnsi="Verdana" w:cs="Arial"/>
          <w:bCs/>
          <w:szCs w:val="24"/>
          <w:lang w:val="es-ES" w:eastAsia="es-ES_tradnl"/>
        </w:rPr>
        <w:footnoteReference w:id="8"/>
      </w:r>
      <w:r>
        <w:rPr>
          <w:rFonts w:ascii="Verdana" w:hAnsi="Verdana" w:cs="Arial"/>
          <w:bCs/>
          <w:szCs w:val="24"/>
          <w:lang w:val="es-ES" w:eastAsia="es-ES_tradnl"/>
        </w:rPr>
        <w:t>. En el análisis de los precios unitarios, se tienen en cuenta todos los gastos que se requieren para realizar cada unidad o ítem pactado, para lo cual el proponente descompone los mismos y determina los costos que los conforman</w:t>
      </w:r>
      <w:r>
        <w:rPr>
          <w:rStyle w:val="Refdenotaalpie"/>
          <w:rFonts w:ascii="Verdana" w:hAnsi="Verdana" w:cs="Arial"/>
          <w:bCs/>
          <w:szCs w:val="24"/>
          <w:lang w:val="es-ES" w:eastAsia="es-ES_tradnl"/>
        </w:rPr>
        <w:footnoteReference w:id="9"/>
      </w:r>
      <w:r>
        <w:rPr>
          <w:rFonts w:ascii="Verdana" w:hAnsi="Verdana" w:cs="Arial"/>
          <w:bCs/>
          <w:szCs w:val="24"/>
          <w:lang w:val="es-ES" w:eastAsia="es-ES_tradnl"/>
        </w:rPr>
        <w:t xml:space="preserve">. Con este fin, se elabora un listado de cada unidad técnica (ítems) de los elementos, la mano de obra, la maquinaria, equipos y actividades requeridas, especificando, por ejemplo, el número de elementos, metros cúbicos, metros cuadrados, metros lineales, hora-hombre u hora de equipo, para determinar cuánto cuesta cada una de las unidades, cuya sumatoria constituirá el valor total del </w:t>
      </w:r>
      <w:r>
        <w:rPr>
          <w:rFonts w:ascii="Verdana" w:hAnsi="Verdana" w:cs="Arial"/>
          <w:bCs/>
          <w:i/>
          <w:iCs/>
          <w:szCs w:val="24"/>
          <w:lang w:val="es-ES" w:eastAsia="es-ES_tradnl"/>
        </w:rPr>
        <w:t>costo directo</w:t>
      </w:r>
      <w:r>
        <w:rPr>
          <w:rFonts w:ascii="Verdana" w:hAnsi="Verdana" w:cs="Arial"/>
          <w:bCs/>
          <w:szCs w:val="24"/>
          <w:lang w:val="es-ES" w:eastAsia="es-ES_tradnl"/>
        </w:rPr>
        <w:t xml:space="preserve"> de la obra</w:t>
      </w:r>
      <w:r>
        <w:rPr>
          <w:rStyle w:val="Refdenotaalpie"/>
          <w:rFonts w:ascii="Verdana" w:hAnsi="Verdana" w:cs="Arial"/>
          <w:bCs/>
          <w:szCs w:val="24"/>
          <w:lang w:val="es-ES" w:eastAsia="es-ES_tradnl"/>
        </w:rPr>
        <w:footnoteReference w:id="10"/>
      </w:r>
      <w:r>
        <w:rPr>
          <w:rFonts w:ascii="Verdana" w:hAnsi="Verdana" w:cs="Arial"/>
          <w:bCs/>
          <w:szCs w:val="24"/>
          <w:lang w:val="es-ES" w:eastAsia="es-ES_tradnl"/>
        </w:rPr>
        <w:t xml:space="preserve">. </w:t>
      </w:r>
    </w:p>
    <w:p w14:paraId="6F875257" w14:textId="77777777" w:rsidR="000B74FD" w:rsidRDefault="000B74FD" w:rsidP="000B74FD">
      <w:pPr>
        <w:spacing w:after="120" w:line="276" w:lineRule="auto"/>
        <w:ind w:firstLine="709"/>
        <w:jc w:val="both"/>
        <w:rPr>
          <w:rFonts w:ascii="Verdana" w:hAnsi="Verdana" w:cs="Arial"/>
          <w:bCs/>
          <w:szCs w:val="24"/>
          <w:lang w:val="es-ES" w:eastAsia="es-ES_tradnl"/>
        </w:rPr>
      </w:pPr>
      <w:r>
        <w:rPr>
          <w:rFonts w:ascii="Verdana" w:hAnsi="Verdana" w:cs="Arial"/>
          <w:bCs/>
          <w:szCs w:val="24"/>
          <w:lang w:val="es-ES" w:eastAsia="es-ES_tradnl"/>
        </w:rPr>
        <w:t xml:space="preserve">Ahora bien, en ejercicio de la autonomía de la voluntad, las partes pueden decidir pactar o no el AIU. En los casos en que opten por requerirlo, las entidades pueden solicitar, por ejemplo, que los proponentes establezcan de forma independiente al valor total de los costos directos, un porcentaje fijo que, según con sus conocimientos, experiencia, y la naturaleza del negocio jurídico, represente el valor por concepto de administración, imprevistos y utilidad.  Bajo este modelo, el valor total de los costos directos, obtenido como resultado de la sumatoria de todos los ítems multiplicados por su valor unitario, se multiplica por el porcentaje de AIU fijado por el contratista en su oferta, el cual representa los </w:t>
      </w:r>
      <w:r>
        <w:rPr>
          <w:rFonts w:ascii="Verdana" w:hAnsi="Verdana" w:cs="Arial"/>
          <w:bCs/>
          <w:i/>
          <w:iCs/>
          <w:szCs w:val="24"/>
          <w:lang w:val="es-ES" w:eastAsia="es-ES_tradnl"/>
        </w:rPr>
        <w:t>costos indirectos</w:t>
      </w:r>
      <w:r>
        <w:rPr>
          <w:rFonts w:ascii="Verdana" w:hAnsi="Verdana" w:cs="Arial"/>
          <w:bCs/>
          <w:szCs w:val="24"/>
          <w:lang w:val="es-ES" w:eastAsia="es-ES_tradnl"/>
        </w:rPr>
        <w:t xml:space="preserve"> en los que incurrirá durante la ejecución del contrato. De cualquier modo, las partes pueden fijar la metodología y las exigencias relacionadas con el cálculo del AIU en otra forma que convengan, “entendiendo que los elementos que lo componen se encuentran incorporados en los precios y en el valor del contrato”</w:t>
      </w:r>
      <w:r>
        <w:rPr>
          <w:rStyle w:val="Refdenotaalpie"/>
          <w:rFonts w:ascii="Verdana" w:hAnsi="Verdana" w:cs="Arial"/>
          <w:bCs/>
          <w:szCs w:val="24"/>
          <w:lang w:val="es-ES" w:eastAsia="es-ES_tradnl"/>
        </w:rPr>
        <w:footnoteReference w:id="11"/>
      </w:r>
      <w:r>
        <w:rPr>
          <w:rFonts w:ascii="Verdana" w:hAnsi="Verdana" w:cs="Arial"/>
          <w:bCs/>
          <w:szCs w:val="24"/>
          <w:lang w:val="es-ES" w:eastAsia="es-ES_tradnl"/>
        </w:rPr>
        <w:t>.</w:t>
      </w:r>
    </w:p>
    <w:p w14:paraId="356ED442" w14:textId="77777777" w:rsidR="000B74FD" w:rsidRDefault="000B74FD" w:rsidP="000B74FD">
      <w:pPr>
        <w:spacing w:before="120" w:after="0" w:line="276" w:lineRule="auto"/>
        <w:ind w:firstLine="709"/>
        <w:jc w:val="both"/>
        <w:rPr>
          <w:rFonts w:ascii="Verdana" w:hAnsi="Verdana" w:cs="Arial"/>
          <w:bCs/>
          <w:szCs w:val="24"/>
          <w:lang w:val="es-ES" w:eastAsia="es-ES_tradnl"/>
        </w:rPr>
      </w:pPr>
      <w:r>
        <w:rPr>
          <w:rFonts w:ascii="Verdana" w:hAnsi="Verdana" w:cs="Arial"/>
          <w:bCs/>
          <w:szCs w:val="24"/>
          <w:lang w:val="es-ES" w:eastAsia="es-ES_tradnl"/>
        </w:rPr>
        <w:lastRenderedPageBreak/>
        <w:t>En concordancia, la doctrina explica que en la estructuración de los precios unitarios se tendrán en cuenta todos los costos directos necesarios para la ejecución del objeto contractual que, a su vez, se afectará por el valor del AIU:</w:t>
      </w:r>
    </w:p>
    <w:p w14:paraId="77D1BD2B" w14:textId="77777777" w:rsidR="000B74FD" w:rsidRDefault="000B74FD" w:rsidP="000B74FD">
      <w:pPr>
        <w:spacing w:after="0" w:line="276" w:lineRule="auto"/>
        <w:ind w:firstLine="709"/>
        <w:jc w:val="both"/>
        <w:rPr>
          <w:rFonts w:ascii="Verdana" w:hAnsi="Verdana" w:cs="Arial"/>
          <w:bCs/>
          <w:szCs w:val="24"/>
          <w:lang w:val="es-ES" w:eastAsia="es-ES_tradnl"/>
        </w:rPr>
      </w:pPr>
    </w:p>
    <w:p w14:paraId="4453089E"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
        </w:rPr>
      </w:pPr>
      <w:r>
        <w:rPr>
          <w:rFonts w:ascii="Verdana" w:hAnsi="Verdana" w:cs="Arial"/>
          <w:sz w:val="20"/>
          <w:szCs w:val="20"/>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407E61C0"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
        </w:rPr>
      </w:pPr>
    </w:p>
    <w:p w14:paraId="4B78E01C"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_tradnl"/>
        </w:rPr>
      </w:pPr>
      <w:r>
        <w:rPr>
          <w:rFonts w:ascii="Verdana" w:hAnsi="Verdana" w:cs="Arial"/>
          <w:sz w:val="20"/>
          <w:szCs w:val="20"/>
          <w:lang w:val="es-ES" w:eastAsia="es-ES_tradnl"/>
        </w:rPr>
        <w:t xml:space="preserve">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w:t>
      </w:r>
      <w:r>
        <w:rPr>
          <w:rFonts w:ascii="Verdana" w:hAnsi="Verdana" w:cs="Arial"/>
          <w:i/>
          <w:sz w:val="20"/>
          <w:szCs w:val="20"/>
          <w:lang w:val="es-ES" w:eastAsia="es-ES_tradnl"/>
        </w:rPr>
        <w:t>están incorporados la totalidad de los gastos en los que incurre el contratista y la utilidad que espera recibir</w:t>
      </w:r>
      <w:r>
        <w:rPr>
          <w:rFonts w:ascii="Verdana" w:hAnsi="Verdana" w:cs="Arial"/>
          <w:sz w:val="20"/>
          <w:szCs w:val="20"/>
          <w:lang w:val="es-ES" w:eastAsia="es-ES_tradnl"/>
        </w:rPr>
        <w:t>”</w:t>
      </w:r>
      <w:r>
        <w:rPr>
          <w:rStyle w:val="Refdenotaalpie"/>
          <w:rFonts w:ascii="Verdana" w:hAnsi="Verdana" w:cs="Arial"/>
          <w:sz w:val="20"/>
          <w:szCs w:val="20"/>
          <w:lang w:val="es-ES" w:eastAsia="es-ES_tradnl"/>
        </w:rPr>
        <w:footnoteReference w:id="12"/>
      </w:r>
      <w:r>
        <w:rPr>
          <w:rFonts w:ascii="Verdana" w:hAnsi="Verdana" w:cs="Arial"/>
          <w:sz w:val="20"/>
          <w:szCs w:val="20"/>
          <w:lang w:val="es-ES" w:eastAsia="es-ES_tradnl"/>
        </w:rPr>
        <w:t>. [Énfasis fuera de texto]</w:t>
      </w:r>
    </w:p>
    <w:p w14:paraId="773A7872" w14:textId="77777777" w:rsidR="000B74FD" w:rsidRDefault="000B74FD" w:rsidP="000B74FD">
      <w:pPr>
        <w:tabs>
          <w:tab w:val="left" w:pos="709"/>
        </w:tabs>
        <w:spacing w:after="0" w:line="276" w:lineRule="auto"/>
        <w:ind w:left="709" w:right="760"/>
        <w:jc w:val="both"/>
        <w:rPr>
          <w:rFonts w:ascii="Verdana" w:hAnsi="Verdana" w:cs="Arial"/>
          <w:szCs w:val="24"/>
          <w:lang w:val="es-ES" w:eastAsia="es-ES_tradnl"/>
        </w:rPr>
      </w:pPr>
    </w:p>
    <w:p w14:paraId="192BAB4C" w14:textId="77777777" w:rsidR="000B74FD" w:rsidRDefault="000B74FD" w:rsidP="000B74FD">
      <w:pPr>
        <w:spacing w:after="0" w:line="276" w:lineRule="auto"/>
        <w:ind w:firstLine="709"/>
        <w:jc w:val="both"/>
        <w:rPr>
          <w:rFonts w:ascii="Verdana" w:hAnsi="Verdana" w:cs="Arial"/>
          <w:szCs w:val="24"/>
          <w:lang w:val="es-ES" w:eastAsia="es-ES_tradnl"/>
        </w:rPr>
      </w:pPr>
      <w:r>
        <w:rPr>
          <w:rFonts w:ascii="Verdana" w:hAnsi="Verdana" w:cs="Arial"/>
          <w:szCs w:val="24"/>
          <w:lang w:val="es-ES" w:eastAsia="es-ES_tradnl"/>
        </w:rPr>
        <w:t xml:space="preserve">Por su parte, de acuerdo con la Sección Tercera del Consejo de Estado, el AIU, concepto de común utilización en los contratos de tracto sucesivo –entre ellos, los contratos de obra al que se refiere en su consulta– no cuenta con una definición normativa, pero hay elementos que permiten precisar su alcance, así: </w:t>
      </w:r>
    </w:p>
    <w:p w14:paraId="3B573C14" w14:textId="77777777" w:rsidR="000B74FD" w:rsidRDefault="000B74FD" w:rsidP="000B74FD">
      <w:pPr>
        <w:spacing w:after="0" w:line="276" w:lineRule="auto"/>
        <w:ind w:firstLine="709"/>
        <w:jc w:val="both"/>
        <w:rPr>
          <w:rFonts w:ascii="Verdana" w:hAnsi="Verdana" w:cs="Arial"/>
          <w:szCs w:val="24"/>
          <w:lang w:val="es-ES" w:eastAsia="es-ES_tradnl"/>
        </w:rPr>
      </w:pPr>
    </w:p>
    <w:p w14:paraId="1CA8B152"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_tradnl"/>
        </w:rPr>
      </w:pPr>
      <w:r>
        <w:rPr>
          <w:rFonts w:ascii="Verdana" w:hAnsi="Verdana" w:cs="Arial"/>
          <w:sz w:val="20"/>
          <w:szCs w:val="20"/>
          <w:lang w:val="es-ES" w:eastAsia="es-ES_tradnl"/>
        </w:rPr>
        <w:t xml:space="preserve">“[…] el AIU propuesto para el contrato, corresponde a: </w:t>
      </w:r>
    </w:p>
    <w:p w14:paraId="0EA75967"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_tradnl"/>
        </w:rPr>
      </w:pPr>
      <w:r>
        <w:rPr>
          <w:rFonts w:ascii="Verdana" w:hAnsi="Verdana" w:cs="Arial"/>
          <w:sz w:val="20"/>
          <w:szCs w:val="20"/>
          <w:lang w:val="es-ES" w:eastAsia="es-ES_tradnl"/>
        </w:rPr>
        <w:t xml:space="preserve">i) los costos de administración o costos indirectos para la operación del contrato, tales como los gastos de disponibilidad de la organización del contratista, esto es: A; </w:t>
      </w:r>
    </w:p>
    <w:p w14:paraId="451D8A40"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_tradnl"/>
        </w:rPr>
      </w:pPr>
    </w:p>
    <w:p w14:paraId="194D9E2E"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
        </w:rPr>
      </w:pPr>
      <w:proofErr w:type="spellStart"/>
      <w:r>
        <w:rPr>
          <w:rFonts w:ascii="Verdana" w:hAnsi="Verdana" w:cs="Arial"/>
          <w:sz w:val="20"/>
          <w:szCs w:val="20"/>
          <w:lang w:val="es-ES" w:eastAsia="es-ES"/>
        </w:rPr>
        <w:t>ii</w:t>
      </w:r>
      <w:proofErr w:type="spellEnd"/>
      <w:r>
        <w:rPr>
          <w:rFonts w:ascii="Verdana" w:hAnsi="Verdana" w:cs="Arial"/>
          <w:sz w:val="20"/>
          <w:szCs w:val="20"/>
          <w:lang w:val="es-ES" w:eastAsia="es-ES"/>
        </w:rPr>
        <w:t xml:space="preserve">) los imprevistos, que es el porcentaje destinado a cubrir los gastos con los que no se contaba y que se presenten durante la ejecución del contrato, esto es, el </w:t>
      </w:r>
      <w:proofErr w:type="spellStart"/>
      <w:r>
        <w:rPr>
          <w:rFonts w:ascii="Verdana" w:hAnsi="Verdana" w:cs="Arial"/>
          <w:sz w:val="20"/>
          <w:szCs w:val="20"/>
          <w:lang w:val="es-ES" w:eastAsia="es-ES"/>
        </w:rPr>
        <w:t>álea</w:t>
      </w:r>
      <w:proofErr w:type="spellEnd"/>
      <w:r>
        <w:rPr>
          <w:rFonts w:ascii="Verdana" w:hAnsi="Verdana" w:cs="Arial"/>
          <w:sz w:val="20"/>
          <w:szCs w:val="20"/>
          <w:lang w:val="es-ES" w:eastAsia="es-ES"/>
        </w:rPr>
        <w:t xml:space="preserve"> normal del contrato: I; </w:t>
      </w:r>
    </w:p>
    <w:p w14:paraId="51BA17E3"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
        </w:rPr>
      </w:pPr>
    </w:p>
    <w:p w14:paraId="6B333CC0"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
        </w:rPr>
      </w:pPr>
      <w:proofErr w:type="spellStart"/>
      <w:r>
        <w:rPr>
          <w:rFonts w:ascii="Verdana" w:hAnsi="Verdana" w:cs="Arial"/>
          <w:sz w:val="20"/>
          <w:szCs w:val="20"/>
          <w:lang w:val="es-ES" w:eastAsia="es-ES"/>
        </w:rPr>
        <w:t>iii</w:t>
      </w:r>
      <w:proofErr w:type="spellEnd"/>
      <w:r>
        <w:rPr>
          <w:rFonts w:ascii="Verdana" w:hAnsi="Verdana" w:cs="Arial"/>
          <w:sz w:val="20"/>
          <w:szCs w:val="20"/>
          <w:lang w:val="es-ES" w:eastAsia="es-ES"/>
        </w:rPr>
        <w:t xml:space="preserve">) la utilidad o el beneficio económico que pretende percibir el contratista por la ejecución del contrato, esto es: U. </w:t>
      </w:r>
    </w:p>
    <w:p w14:paraId="27AE7110"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_tradnl"/>
        </w:rPr>
      </w:pPr>
    </w:p>
    <w:p w14:paraId="6A342816" w14:textId="77777777" w:rsidR="000B74FD" w:rsidRDefault="000B74FD" w:rsidP="000B74FD">
      <w:pPr>
        <w:tabs>
          <w:tab w:val="left" w:pos="709"/>
        </w:tabs>
        <w:spacing w:after="0" w:line="240" w:lineRule="auto"/>
        <w:ind w:left="709" w:right="709"/>
        <w:jc w:val="both"/>
        <w:rPr>
          <w:rFonts w:ascii="Verdana" w:hAnsi="Verdana" w:cs="Arial"/>
          <w:sz w:val="20"/>
          <w:szCs w:val="20"/>
          <w:lang w:val="es-ES" w:eastAsia="es-ES_tradnl"/>
        </w:rPr>
      </w:pPr>
      <w:r>
        <w:rPr>
          <w:rFonts w:ascii="Verdana" w:hAnsi="Verdana" w:cs="Arial"/>
          <w:sz w:val="20"/>
          <w:szCs w:val="20"/>
          <w:lang w:val="es-ES" w:eastAsia="es-ES_tradnl"/>
        </w:rPr>
        <w:t xml:space="preserve">Ahora, teniendo en cuenta que no existe ninguna reglamentación que establezca porcentajes mínimos o máximos para determinar el A.I.U., </w:t>
      </w:r>
      <w:r>
        <w:rPr>
          <w:rFonts w:ascii="Verdana" w:hAnsi="Verdana" w:cs="Arial"/>
          <w:sz w:val="20"/>
          <w:szCs w:val="20"/>
          <w:lang w:val="es-ES" w:eastAsia="es-ES_tradnl"/>
        </w:rPr>
        <w:lastRenderedPageBreak/>
        <w:t>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Pr>
          <w:vertAlign w:val="superscript"/>
        </w:rPr>
        <w:footnoteReference w:id="13"/>
      </w:r>
      <w:r>
        <w:rPr>
          <w:rFonts w:ascii="Verdana" w:hAnsi="Verdana" w:cs="Arial"/>
          <w:sz w:val="20"/>
          <w:szCs w:val="20"/>
          <w:lang w:val="es-ES" w:eastAsia="es-ES_tradnl"/>
        </w:rPr>
        <w:t>.</w:t>
      </w:r>
    </w:p>
    <w:p w14:paraId="6DF2B373" w14:textId="77777777" w:rsidR="000B74FD" w:rsidRDefault="000B74FD" w:rsidP="000B74FD">
      <w:pPr>
        <w:tabs>
          <w:tab w:val="left" w:pos="709"/>
        </w:tabs>
        <w:spacing w:after="0" w:line="276" w:lineRule="auto"/>
        <w:ind w:left="709" w:right="760"/>
        <w:jc w:val="both"/>
        <w:rPr>
          <w:rFonts w:ascii="Verdana" w:hAnsi="Verdana" w:cs="Arial"/>
          <w:szCs w:val="24"/>
          <w:lang w:val="es-ES" w:eastAsia="es-ES_tradnl"/>
        </w:rPr>
      </w:pPr>
    </w:p>
    <w:p w14:paraId="12DB2C5B" w14:textId="77777777" w:rsidR="000B74FD" w:rsidRDefault="000B74FD" w:rsidP="000B74FD">
      <w:pPr>
        <w:spacing w:after="120" w:line="276" w:lineRule="auto"/>
        <w:ind w:firstLine="709"/>
        <w:jc w:val="both"/>
        <w:rPr>
          <w:rFonts w:ascii="Verdana" w:hAnsi="Verdana" w:cs="Arial"/>
          <w:lang w:val="es-ES" w:eastAsia="es-ES"/>
        </w:rPr>
      </w:pPr>
      <w:r>
        <w:rPr>
          <w:rFonts w:ascii="Verdana" w:hAnsi="Verdana" w:cs="Arial"/>
          <w:lang w:val="es-ES" w:eastAsia="es-ES"/>
        </w:rPr>
        <w:t>A su turno, la Sala de Consulta y Servicio Civil del Consejo de Estado sostuvo en concepto del 5 de septiembre de 2018</w:t>
      </w:r>
      <w:r>
        <w:rPr>
          <w:vertAlign w:val="superscript"/>
        </w:rPr>
        <w:footnoteReference w:id="14"/>
      </w:r>
      <w:r>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Pr>
          <w:rFonts w:ascii="Verdana" w:hAnsi="Verdana" w:cs="Arial"/>
          <w:lang w:val="es-ES" w:eastAsia="es-ES"/>
        </w:rPr>
        <w:t>la misma</w:t>
      </w:r>
      <w:proofErr w:type="gramEnd"/>
      <w:r>
        <w:rPr>
          <w:vertAlign w:val="superscript"/>
        </w:rPr>
        <w:footnoteReference w:id="15"/>
      </w:r>
      <w:r>
        <w:rPr>
          <w:rFonts w:ascii="Verdana" w:hAnsi="Verdana" w:cs="Arial"/>
          <w:lang w:val="es-ES" w:eastAsia="es-ES"/>
        </w:rPr>
        <w:t>, sin perjuicio que en otros contratos este valor no aparezca discriminado y se incorpore en el valor de los precios unitarios”</w:t>
      </w:r>
      <w:r>
        <w:rPr>
          <w:vertAlign w:val="superscript"/>
        </w:rPr>
        <w:footnoteReference w:id="16"/>
      </w:r>
      <w:r>
        <w:rPr>
          <w:rFonts w:ascii="Verdana" w:hAnsi="Verdana" w:cs="Arial"/>
          <w:lang w:val="es-ES" w:eastAsia="es-ES"/>
        </w:rPr>
        <w:t xml:space="preserve">. </w:t>
      </w:r>
    </w:p>
    <w:p w14:paraId="7D414FFC" w14:textId="77777777" w:rsidR="000B74FD" w:rsidRDefault="000B74FD" w:rsidP="000B74FD">
      <w:pPr>
        <w:spacing w:after="120" w:line="276" w:lineRule="auto"/>
        <w:ind w:firstLine="709"/>
        <w:jc w:val="both"/>
        <w:rPr>
          <w:rFonts w:ascii="Verdana" w:hAnsi="Verdana" w:cs="Arial"/>
          <w:bCs/>
          <w:szCs w:val="24"/>
          <w:lang w:val="es-ES" w:eastAsia="es-ES_tradnl"/>
        </w:rPr>
      </w:pPr>
      <w:r>
        <w:rPr>
          <w:rFonts w:ascii="Verdana" w:hAnsi="Verdana" w:cs="Arial"/>
          <w:bCs/>
          <w:szCs w:val="24"/>
          <w:lang w:val="es-ES" w:eastAsia="es-ES_tradnl"/>
        </w:rPr>
        <w:t>Así pues, ni el sistema de precios unitarios –como metodología de estipulación del valor contractual–, ni el concepto de AIU, ni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Pr>
          <w:vertAlign w:val="superscript"/>
        </w:rPr>
        <w:footnoteReference w:id="17"/>
      </w:r>
      <w:r>
        <w:rPr>
          <w:rFonts w:ascii="Verdana" w:hAnsi="Verdana" w:cs="Arial"/>
          <w:bCs/>
          <w:szCs w:val="24"/>
          <w:lang w:val="es-ES" w:eastAsia="es-ES_tradnl"/>
        </w:rPr>
        <w:t>. De otro lado, quien define el valor de cada componente del</w:t>
      </w:r>
      <w:r>
        <w:rPr>
          <w:rFonts w:ascii="Verdana" w:hAnsi="Verdana" w:cs="Arial"/>
          <w:bCs/>
          <w:i/>
          <w:iCs/>
          <w:szCs w:val="24"/>
          <w:lang w:val="es-ES" w:eastAsia="es-ES_tradnl"/>
        </w:rPr>
        <w:t xml:space="preserve"> </w:t>
      </w:r>
      <w:r>
        <w:rPr>
          <w:rFonts w:ascii="Verdana" w:hAnsi="Verdana" w:cs="Arial"/>
          <w:bCs/>
          <w:szCs w:val="24"/>
          <w:lang w:val="es-ES" w:eastAsia="es-ES_tradnl"/>
        </w:rPr>
        <w:t>AIU es el proponente, pues goza de libertad empresarial para hacerlo en la elaboración de su oferta</w:t>
      </w:r>
      <w:r>
        <w:rPr>
          <w:vertAlign w:val="superscript"/>
        </w:rPr>
        <w:footnoteReference w:id="18"/>
      </w:r>
      <w:r>
        <w:rPr>
          <w:rFonts w:ascii="Verdana" w:hAnsi="Verdana" w:cs="Arial"/>
          <w:bCs/>
          <w:szCs w:val="24"/>
          <w:lang w:val="es-ES" w:eastAsia="es-ES_tradnl"/>
        </w:rPr>
        <w:t>.</w:t>
      </w:r>
    </w:p>
    <w:p w14:paraId="4DA667D7" w14:textId="77777777" w:rsidR="000B74FD" w:rsidRDefault="000B74FD" w:rsidP="000B74FD">
      <w:pPr>
        <w:spacing w:after="120" w:line="276" w:lineRule="auto"/>
        <w:ind w:firstLine="709"/>
        <w:jc w:val="both"/>
        <w:rPr>
          <w:rFonts w:ascii="Verdana" w:hAnsi="Verdana" w:cs="Arial"/>
          <w:lang w:val="es-ES" w:eastAsia="es-ES"/>
        </w:rPr>
      </w:pPr>
      <w:r>
        <w:rPr>
          <w:rFonts w:ascii="Verdana" w:hAnsi="Verdana" w:cs="Arial"/>
          <w:lang w:val="es-ES" w:eastAsia="es-ES"/>
        </w:rPr>
        <w:lastRenderedPageBreak/>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la cual se refieren los artículos 13, 32 y 40 del EGCAP. </w:t>
      </w:r>
    </w:p>
    <w:p w14:paraId="03EA6F29" w14:textId="77777777" w:rsidR="000B74FD" w:rsidRDefault="000B74FD" w:rsidP="000B74FD">
      <w:pPr>
        <w:spacing w:after="120" w:line="276" w:lineRule="auto"/>
        <w:ind w:firstLine="709"/>
        <w:jc w:val="both"/>
        <w:rPr>
          <w:rFonts w:ascii="Verdana" w:hAnsi="Verdana" w:cs="Arial"/>
          <w:lang w:val="es-ES" w:eastAsia="es-ES"/>
        </w:rPr>
      </w:pPr>
      <w:r>
        <w:rPr>
          <w:rFonts w:ascii="Verdana" w:hAnsi="Verdana" w:cs="Arial"/>
          <w:bCs/>
          <w:szCs w:val="24"/>
          <w:lang w:val="es-ES" w:eastAsia="es-ES_tradnl"/>
        </w:rPr>
        <w:t xml:space="preserve">Ahora bien, nada obstaría para que las partes le dieran otros efectos particulares a la forma en que pagan el precio estructurado con AIU. Por ejemplo, podrían incluir cláusulas o reglas bajo las cuales se estableciera que el valor de alguno o de todos los componentes de la </w:t>
      </w:r>
      <w:r>
        <w:rPr>
          <w:rFonts w:ascii="Verdana" w:hAnsi="Verdana" w:cs="Arial"/>
          <w:bCs/>
          <w:i/>
          <w:iCs/>
          <w:szCs w:val="24"/>
          <w:lang w:val="es-ES" w:eastAsia="es-ES_tradnl"/>
        </w:rPr>
        <w:t>Administración</w:t>
      </w:r>
      <w:r>
        <w:rPr>
          <w:rFonts w:ascii="Verdana" w:hAnsi="Verdana" w:cs="Arial"/>
          <w:bCs/>
          <w:szCs w:val="24"/>
          <w:lang w:val="es-ES" w:eastAsia="es-ES_tradnl"/>
        </w:rPr>
        <w:t xml:space="preserve"> o los </w:t>
      </w:r>
      <w:r>
        <w:rPr>
          <w:rFonts w:ascii="Verdana" w:hAnsi="Verdana" w:cs="Arial"/>
          <w:bCs/>
          <w:i/>
          <w:iCs/>
          <w:szCs w:val="24"/>
          <w:lang w:val="es-ES" w:eastAsia="es-ES_tradnl"/>
        </w:rPr>
        <w:t>Imprevistos</w:t>
      </w:r>
      <w:r>
        <w:rPr>
          <w:rFonts w:ascii="Verdana" w:hAnsi="Verdana" w:cs="Arial"/>
          <w:bCs/>
          <w:szCs w:val="24"/>
          <w:lang w:val="es-ES" w:eastAsia="es-ES_tradnl"/>
        </w:rPr>
        <w:t xml:space="preserve"> sólo se pagan si el contratista demuestra que incurrió en algunas situaciones específicas y bajo el monto que este logre demostrar. </w:t>
      </w:r>
      <w:r>
        <w:rPr>
          <w:rFonts w:ascii="Verdana" w:hAnsi="Verdana" w:cs="Arial"/>
          <w:lang w:val="es-ES" w:eastAsia="es-ES"/>
        </w:rPr>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w:t>
      </w:r>
      <w:r>
        <w:rPr>
          <w:rFonts w:ascii="Verdana" w:hAnsi="Verdana" w:cs="Arial"/>
          <w:i/>
          <w:iCs/>
          <w:lang w:val="es-ES" w:eastAsia="es-ES"/>
        </w:rPr>
        <w:t>en principio, invariable</w:t>
      </w:r>
      <w:r>
        <w:rPr>
          <w:rFonts w:ascii="Verdana" w:hAnsi="Verdana" w:cs="Arial"/>
          <w:lang w:val="es-ES" w:eastAsia="es-ES"/>
        </w:rPr>
        <w:t xml:space="preserve"> del AIU, de manera que al valor de los costos directos se le sume el AIU. </w:t>
      </w:r>
    </w:p>
    <w:p w14:paraId="53B73962" w14:textId="77777777" w:rsidR="000B74FD" w:rsidRDefault="000B74FD" w:rsidP="000B74FD">
      <w:pPr>
        <w:spacing w:after="120" w:line="276" w:lineRule="auto"/>
        <w:ind w:firstLine="708"/>
        <w:jc w:val="both"/>
        <w:rPr>
          <w:rFonts w:ascii="Verdana" w:hAnsi="Verdana" w:cs="Arial"/>
          <w:lang w:val="es-ES" w:eastAsia="es-ES"/>
        </w:rPr>
      </w:pPr>
      <w:r>
        <w:rPr>
          <w:rFonts w:ascii="Verdana" w:hAnsi="Verdana" w:cs="Arial"/>
          <w:lang w:val="es-ES" w:eastAsia="es-ES"/>
        </w:rPr>
        <w:t xml:space="preserve">Así las cosas, las partes asumen los riesgos inherentes a esta forma de pactar el precio, entendiendo aceptados los aleas normales que se presenten en la ejecución del contrato, de manera que, aunque el contratista incurra en mayores costos de los ítems incluidos en la </w:t>
      </w:r>
      <w:r>
        <w:rPr>
          <w:rFonts w:ascii="Verdana" w:hAnsi="Verdana" w:cs="Arial"/>
          <w:i/>
          <w:iCs/>
          <w:lang w:val="es-ES" w:eastAsia="es-ES"/>
        </w:rPr>
        <w:t>Administración</w:t>
      </w:r>
      <w:r>
        <w:rPr>
          <w:rFonts w:ascii="Verdana" w:hAnsi="Verdana" w:cs="Arial"/>
          <w:lang w:val="es-ES" w:eastAsia="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Pr>
          <w:rFonts w:ascii="Verdana" w:hAnsi="Verdana" w:cs="Arial"/>
          <w:i/>
          <w:iCs/>
          <w:lang w:val="es-ES" w:eastAsia="es-ES"/>
        </w:rPr>
        <w:t>Administración</w:t>
      </w:r>
      <w:r>
        <w:rPr>
          <w:rFonts w:ascii="Verdana" w:hAnsi="Verdana" w:cs="Arial"/>
          <w:lang w:val="es-ES" w:eastAsia="es-ES"/>
        </w:rPr>
        <w:t>, lo que generaría más gastos tanto para la entidad como para el contratista.</w:t>
      </w:r>
    </w:p>
    <w:p w14:paraId="37213500" w14:textId="77777777" w:rsidR="000B74FD" w:rsidRDefault="000B74FD" w:rsidP="000B74FD">
      <w:pPr>
        <w:spacing w:after="120" w:line="276" w:lineRule="auto"/>
        <w:jc w:val="both"/>
        <w:rPr>
          <w:rFonts w:ascii="Verdana" w:hAnsi="Verdana" w:cs="Arial"/>
          <w:bCs/>
          <w:szCs w:val="24"/>
          <w:lang w:val="es-ES" w:eastAsia="es-ES_tradnl"/>
        </w:rPr>
      </w:pPr>
      <w:r>
        <w:rPr>
          <w:rFonts w:ascii="Verdana" w:hAnsi="Verdana" w:cs="Arial"/>
          <w:bCs/>
          <w:szCs w:val="24"/>
          <w:lang w:val="es-ES" w:eastAsia="es-ES_tradnl"/>
        </w:rPr>
        <w:tab/>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Pr>
          <w:rFonts w:ascii="Verdana" w:hAnsi="Verdana" w:cs="Arial"/>
          <w:bCs/>
          <w:i/>
          <w:iCs/>
          <w:szCs w:val="24"/>
          <w:lang w:val="es-ES" w:eastAsia="es-ES_tradnl"/>
        </w:rPr>
        <w:t xml:space="preserve">indirectos </w:t>
      </w:r>
      <w:r>
        <w:rPr>
          <w:rFonts w:ascii="Verdana" w:hAnsi="Verdana" w:cs="Arial"/>
          <w:bCs/>
          <w:szCs w:val="24"/>
          <w:lang w:val="es-ES" w:eastAsia="es-ES_tradnl"/>
        </w:rPr>
        <w:t xml:space="preserve">en que incurren los contratistas, entre ellos, los de la </w:t>
      </w:r>
      <w:r>
        <w:rPr>
          <w:rFonts w:ascii="Verdana" w:hAnsi="Verdana" w:cs="Arial"/>
          <w:bCs/>
          <w:i/>
          <w:iCs/>
          <w:szCs w:val="24"/>
          <w:lang w:val="es-ES" w:eastAsia="es-ES_tradnl"/>
        </w:rPr>
        <w:t>Administración</w:t>
      </w:r>
      <w:r>
        <w:rPr>
          <w:rFonts w:ascii="Verdana" w:hAnsi="Verdana" w:cs="Arial"/>
          <w:bCs/>
          <w:szCs w:val="24"/>
          <w:lang w:val="es-ES" w:eastAsia="es-ES_tradnl"/>
        </w:rPr>
        <w:t xml:space="preserve">, para efectos de definir el porcentaje con el que calculan el presupuesto, pese a que el monto </w:t>
      </w:r>
      <w:r>
        <w:rPr>
          <w:rFonts w:ascii="Verdana" w:hAnsi="Verdana" w:cs="Arial"/>
          <w:bCs/>
          <w:szCs w:val="24"/>
          <w:lang w:val="es-ES" w:eastAsia="es-ES_tradnl"/>
        </w:rPr>
        <w:lastRenderedPageBreak/>
        <w:t>de estos componentes varía ostensiblemente de un proponente a otro, pues su valor real depende de circunstancias particulares de los oferentes</w:t>
      </w:r>
      <w:r>
        <w:rPr>
          <w:vertAlign w:val="superscript"/>
        </w:rPr>
        <w:footnoteReference w:id="19"/>
      </w:r>
      <w:r>
        <w:rPr>
          <w:rFonts w:ascii="Verdana" w:hAnsi="Verdana" w:cs="Arial"/>
          <w:bCs/>
          <w:szCs w:val="24"/>
          <w:lang w:val="es-ES" w:eastAsia="es-ES_tradnl"/>
        </w:rPr>
        <w:t xml:space="preserve">. </w:t>
      </w:r>
    </w:p>
    <w:p w14:paraId="0FFB1705" w14:textId="77777777" w:rsidR="000B74FD" w:rsidRDefault="000B74FD" w:rsidP="000B74FD">
      <w:pPr>
        <w:spacing w:after="120" w:line="276" w:lineRule="auto"/>
        <w:ind w:firstLine="709"/>
        <w:jc w:val="both"/>
        <w:rPr>
          <w:rFonts w:ascii="Verdana" w:hAnsi="Verdana" w:cs="Arial"/>
          <w:lang w:val="es-ES" w:eastAsia="es-ES"/>
        </w:rPr>
      </w:pPr>
      <w:r>
        <w:rPr>
          <w:rFonts w:ascii="Verdana" w:hAnsi="Verdana" w:cs="Arial"/>
          <w:lang w:val="es-ES" w:eastAsia="es-ES"/>
        </w:rPr>
        <w:t xml:space="preserve">De manera que las entidades calculan un valor estimado que, a su vez, sirve de guía para que los proponentes formulen sus ofertas, pero bajo la premisa de que pagarán un </w:t>
      </w:r>
      <w:r>
        <w:rPr>
          <w:rFonts w:ascii="Verdana" w:hAnsi="Verdana" w:cs="Arial"/>
          <w:i/>
          <w:iCs/>
          <w:lang w:val="es-ES" w:eastAsia="es-ES"/>
        </w:rPr>
        <w:t>porcentaje fijo</w:t>
      </w:r>
      <w:r>
        <w:rPr>
          <w:rFonts w:ascii="Verdana" w:hAnsi="Verdana" w:cs="Arial"/>
          <w:lang w:val="es-ES" w:eastAsia="es-ES"/>
        </w:rPr>
        <w:t xml:space="preserve">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Pr>
          <w:rFonts w:ascii="Verdana" w:hAnsi="Verdana" w:cs="Arial"/>
          <w:i/>
          <w:iCs/>
          <w:lang w:val="es-ES" w:eastAsia="es-ES"/>
        </w:rPr>
        <w:t>Administración</w:t>
      </w:r>
      <w:r>
        <w:rPr>
          <w:vertAlign w:val="superscript"/>
        </w:rPr>
        <w:footnoteReference w:id="20"/>
      </w:r>
      <w:r>
        <w:rPr>
          <w:rFonts w:ascii="Verdana" w:hAnsi="Verdana" w:cs="Arial"/>
          <w:lang w:val="es-ES" w:eastAsia="es-ES"/>
        </w:rPr>
        <w:t>.</w:t>
      </w:r>
    </w:p>
    <w:p w14:paraId="2EAEE260" w14:textId="77777777" w:rsidR="000B74FD" w:rsidRDefault="000B74FD" w:rsidP="000B74FD">
      <w:pPr>
        <w:spacing w:before="120" w:after="0" w:line="276" w:lineRule="auto"/>
        <w:ind w:firstLine="709"/>
        <w:jc w:val="both"/>
        <w:rPr>
          <w:rFonts w:ascii="Verdana" w:hAnsi="Verdana" w:cs="Arial"/>
          <w:lang w:val="es-ES" w:eastAsia="es-ES"/>
        </w:rPr>
      </w:pPr>
      <w:r>
        <w:rPr>
          <w:rFonts w:ascii="Verdana" w:hAnsi="Verdana" w:cs="Arial"/>
          <w:lang w:val="es-ES" w:eastAsia="es-ES"/>
        </w:rPr>
        <w:t>Frente a los costos que suelen incluirse en la Administración –A–, la jurisprudencia, a partir de la práctica de las entidades estatales, ha señalado que: “Los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r>
        <w:rPr>
          <w:vertAlign w:val="superscript"/>
        </w:rPr>
        <w:footnoteReference w:id="21"/>
      </w:r>
      <w:r>
        <w:rPr>
          <w:rFonts w:ascii="Verdana" w:hAnsi="Verdana" w:cs="Arial"/>
          <w:lang w:val="es-ES" w:eastAsia="es-ES"/>
        </w:rPr>
        <w:t xml:space="preserve">”. En términos similares, pero más precisos, la doctrina, recogiendo la casuística de los contratos estatales, señala de forma más pormenorizada los gastos que se asocian a la –A–, donde se incluyen importantes costos indirectos en que se incurre en la ejecución: </w:t>
      </w:r>
    </w:p>
    <w:p w14:paraId="062F4243" w14:textId="77777777" w:rsidR="000B74FD" w:rsidRDefault="000B74FD" w:rsidP="000B74FD">
      <w:pPr>
        <w:spacing w:after="0" w:line="276" w:lineRule="auto"/>
        <w:jc w:val="both"/>
        <w:rPr>
          <w:rFonts w:ascii="Verdana" w:hAnsi="Verdana" w:cs="Arial"/>
          <w:bCs/>
          <w:szCs w:val="24"/>
          <w:lang w:val="es-ES_tradnl" w:eastAsia="es-ES_tradnl"/>
        </w:rPr>
      </w:pPr>
    </w:p>
    <w:p w14:paraId="5E0DBF75" w14:textId="77777777" w:rsidR="000B74FD" w:rsidRDefault="000B74FD" w:rsidP="000B74FD">
      <w:pPr>
        <w:spacing w:after="0" w:line="240" w:lineRule="auto"/>
        <w:ind w:left="709" w:right="709"/>
        <w:jc w:val="both"/>
        <w:rPr>
          <w:rFonts w:ascii="Verdana" w:hAnsi="Verdana" w:cs="Arial"/>
          <w:sz w:val="20"/>
          <w:szCs w:val="20"/>
          <w:lang w:val="es-ES" w:eastAsia="es-ES"/>
        </w:rPr>
      </w:pPr>
      <w:r>
        <w:rPr>
          <w:rFonts w:ascii="Verdana" w:hAnsi="Verdana" w:cs="Arial"/>
          <w:sz w:val="20"/>
          <w:szCs w:val="20"/>
          <w:lang w:val="es-ES" w:eastAsia="es-ES"/>
        </w:rPr>
        <w:t xml:space="preserve">Para entender mejor el tema conviene especificar que si los gastos que hacen parte de la A se encuentran: i) el pago de salarios y prestaciones </w:t>
      </w:r>
      <w:r>
        <w:rPr>
          <w:rFonts w:ascii="Verdana" w:hAnsi="Verdana" w:cs="Arial"/>
          <w:sz w:val="20"/>
          <w:szCs w:val="20"/>
          <w:lang w:val="es-ES" w:eastAsia="es-ES"/>
        </w:rPr>
        <w:lastRenderedPageBreak/>
        <w:t xml:space="preserve">sociales del personal profesional y especializado necesario para ejecutar la obra –es el caso del Director de obra, los arquitectos, ingenieros y contadores, eventualmente abogados u otros; pero no se incluyen los obreros–, </w:t>
      </w:r>
      <w:proofErr w:type="spellStart"/>
      <w:r>
        <w:rPr>
          <w:rFonts w:ascii="Verdana" w:hAnsi="Verdana" w:cs="Arial"/>
          <w:sz w:val="20"/>
          <w:szCs w:val="20"/>
          <w:lang w:val="es-ES" w:eastAsia="es-ES"/>
        </w:rPr>
        <w:t>ii</w:t>
      </w:r>
      <w:proofErr w:type="spellEnd"/>
      <w:r>
        <w:rPr>
          <w:rFonts w:ascii="Verdana" w:hAnsi="Verdana" w:cs="Arial"/>
          <w:sz w:val="20"/>
          <w:szCs w:val="20"/>
          <w:lang w:val="es-ES" w:eastAsia="es-ES"/>
        </w:rPr>
        <w:t xml:space="preserve">) pago de salarios y prestaciones sociales del personal logístico y de apoyo no dedicado directamente con la ejecución del contrato –por ejemplo: las secretarias de la empresa, el servicio de cafetería en mensajero, la vigilancia, los seguros, etc.– sin los que la empresa no puede funcionar; </w:t>
      </w:r>
      <w:proofErr w:type="spellStart"/>
      <w:r>
        <w:rPr>
          <w:rFonts w:ascii="Verdana" w:hAnsi="Verdana" w:cs="Arial"/>
          <w:sz w:val="20"/>
          <w:szCs w:val="20"/>
          <w:lang w:val="es-ES" w:eastAsia="es-ES"/>
        </w:rPr>
        <w:t>iii</w:t>
      </w:r>
      <w:proofErr w:type="spellEnd"/>
      <w:r>
        <w:rPr>
          <w:rFonts w:ascii="Verdana" w:hAnsi="Verdana" w:cs="Arial"/>
          <w:sz w:val="20"/>
          <w:szCs w:val="20"/>
          <w:lang w:val="es-ES" w:eastAsia="es-ES"/>
        </w:rPr>
        <w:t xml:space="preserve">) pago de arrendamiento de las instalaciones necesarias para el funcionamiento de la empresa –oficinas </w:t>
      </w:r>
      <w:r>
        <w:rPr>
          <w:rFonts w:ascii="Verdana" w:hAnsi="Verdana" w:cs="Arial"/>
          <w:i/>
          <w:sz w:val="20"/>
          <w:szCs w:val="20"/>
          <w:lang w:val="es-ES" w:eastAsia="es-ES"/>
        </w:rPr>
        <w:t xml:space="preserve">y campamento de la obra–; </w:t>
      </w:r>
      <w:proofErr w:type="spellStart"/>
      <w:r>
        <w:rPr>
          <w:rFonts w:ascii="Verdana" w:hAnsi="Verdana" w:cs="Arial"/>
          <w:sz w:val="20"/>
          <w:szCs w:val="20"/>
          <w:lang w:val="es-ES" w:eastAsia="es-ES"/>
        </w:rPr>
        <w:t>iv</w:t>
      </w:r>
      <w:proofErr w:type="spellEnd"/>
      <w:r>
        <w:rPr>
          <w:rFonts w:ascii="Verdana" w:hAnsi="Verdana" w:cs="Arial"/>
          <w:sz w:val="20"/>
          <w:szCs w:val="20"/>
          <w:lang w:val="es-ES" w:eastAsia="es-ES"/>
        </w:rPr>
        <w:t xml:space="preserve">) </w:t>
      </w:r>
      <w:r>
        <w:rPr>
          <w:rFonts w:ascii="Verdana" w:hAnsi="Verdana" w:cs="Arial"/>
          <w:i/>
          <w:sz w:val="20"/>
          <w:szCs w:val="20"/>
          <w:lang w:val="es-ES" w:eastAsia="es-ES"/>
        </w:rPr>
        <w:t>pago de impuestos y gravámenes en general que afectan la actividad o el contrato</w:t>
      </w:r>
      <w:r>
        <w:rPr>
          <w:rFonts w:ascii="Verdana" w:hAnsi="Verdana" w:cs="Arial"/>
          <w:sz w:val="20"/>
          <w:szCs w:val="20"/>
          <w:lang w:val="es-ES" w:eastAsia="es-ES"/>
        </w:rPr>
        <w:t xml:space="preserve">; v) valor de las fotocopias, papelería en general y equipos de oficina, vi) transporte terrestre, tiquetes aéreos y arrendamiento de vehículos –distintos de la maquinaria que se emplea en la obra–, </w:t>
      </w:r>
      <w:proofErr w:type="spellStart"/>
      <w:r>
        <w:rPr>
          <w:rFonts w:ascii="Verdana" w:hAnsi="Verdana" w:cs="Arial"/>
          <w:sz w:val="20"/>
          <w:szCs w:val="20"/>
          <w:lang w:val="es-ES" w:eastAsia="es-ES"/>
        </w:rPr>
        <w:t>vii</w:t>
      </w:r>
      <w:proofErr w:type="spellEnd"/>
      <w:r>
        <w:rPr>
          <w:rFonts w:ascii="Verdana" w:hAnsi="Verdana" w:cs="Arial"/>
          <w:sz w:val="20"/>
          <w:szCs w:val="20"/>
          <w:lang w:val="es-ES" w:eastAsia="es-ES"/>
        </w:rPr>
        <w:t xml:space="preserve">) pólizas del contrato, </w:t>
      </w:r>
      <w:proofErr w:type="spellStart"/>
      <w:r>
        <w:rPr>
          <w:rFonts w:ascii="Verdana" w:hAnsi="Verdana" w:cs="Arial"/>
          <w:sz w:val="20"/>
          <w:szCs w:val="20"/>
          <w:lang w:val="es-ES" w:eastAsia="es-ES"/>
        </w:rPr>
        <w:t>viii</w:t>
      </w:r>
      <w:proofErr w:type="spellEnd"/>
      <w:r>
        <w:rPr>
          <w:rFonts w:ascii="Verdana" w:hAnsi="Verdana" w:cs="Arial"/>
          <w:sz w:val="20"/>
          <w:szCs w:val="20"/>
          <w:lang w:val="es-ES" w:eastAsia="es-ES"/>
        </w:rPr>
        <w:t xml:space="preserve">) pago de servicios públicos y otras comunicaciones –como el servicio celular– y </w:t>
      </w:r>
      <w:proofErr w:type="spellStart"/>
      <w:r>
        <w:rPr>
          <w:rFonts w:ascii="Verdana" w:hAnsi="Verdana" w:cs="Arial"/>
          <w:sz w:val="20"/>
          <w:szCs w:val="20"/>
          <w:lang w:val="es-ES" w:eastAsia="es-ES"/>
        </w:rPr>
        <w:t>ix</w:t>
      </w:r>
      <w:proofErr w:type="spellEnd"/>
      <w:r>
        <w:rPr>
          <w:rFonts w:ascii="Verdana" w:hAnsi="Verdana" w:cs="Arial"/>
          <w:sz w:val="20"/>
          <w:szCs w:val="20"/>
          <w:lang w:val="es-ES" w:eastAsia="es-ES"/>
        </w:rPr>
        <w:t>) gastos en que se incurra  para realizar ensayos de laboratorio</w:t>
      </w:r>
      <w:r>
        <w:rPr>
          <w:vertAlign w:val="superscript"/>
        </w:rPr>
        <w:footnoteReference w:id="22"/>
      </w:r>
      <w:r>
        <w:rPr>
          <w:rFonts w:ascii="Verdana" w:hAnsi="Verdana" w:cs="Arial"/>
          <w:sz w:val="20"/>
          <w:szCs w:val="20"/>
          <w:lang w:val="es-ES" w:eastAsia="es-ES"/>
        </w:rPr>
        <w:t xml:space="preserve"> (Énfasis por fuera de texto)</w:t>
      </w:r>
    </w:p>
    <w:p w14:paraId="5076D168" w14:textId="77777777" w:rsidR="000B74FD" w:rsidRDefault="000B74FD" w:rsidP="000B74FD">
      <w:pPr>
        <w:spacing w:after="0" w:line="276" w:lineRule="auto"/>
        <w:ind w:firstLine="709"/>
        <w:jc w:val="both"/>
        <w:rPr>
          <w:rFonts w:ascii="Verdana" w:hAnsi="Verdana" w:cs="Arial"/>
          <w:lang w:val="es-ES" w:eastAsia="es-ES"/>
        </w:rPr>
      </w:pPr>
    </w:p>
    <w:p w14:paraId="794C5DD1" w14:textId="77777777" w:rsidR="000B74FD" w:rsidRDefault="000B74FD" w:rsidP="000B74FD">
      <w:pPr>
        <w:spacing w:after="120" w:line="276" w:lineRule="auto"/>
        <w:ind w:firstLine="709"/>
        <w:jc w:val="both"/>
        <w:rPr>
          <w:rFonts w:ascii="Verdana" w:hAnsi="Verdana" w:cs="Arial"/>
          <w:lang w:val="es-ES" w:eastAsia="es-ES"/>
        </w:rPr>
      </w:pPr>
      <w:r>
        <w:rPr>
          <w:rFonts w:ascii="Verdana" w:hAnsi="Verdana" w:cs="Arial"/>
          <w:lang w:val="es-ES" w:eastAsia="es-ES"/>
        </w:rPr>
        <w:t>Conforme con lo expuesto, elementos como el transporte terrestre, tiquetes aéreos y en general gastos de desplazamiento en los que incurre el contratista, que pueden entenderse asociados en al objeto de los “viáticos</w:t>
      </w:r>
      <w:r>
        <w:rPr>
          <w:rStyle w:val="Refdenotaalpie"/>
          <w:rFonts w:ascii="Verdana" w:hAnsi="Verdana" w:cs="Arial"/>
          <w:lang w:val="es-ES" w:eastAsia="es-ES"/>
        </w:rPr>
        <w:footnoteReference w:id="23"/>
      </w:r>
      <w:r>
        <w:rPr>
          <w:rFonts w:ascii="Verdana" w:hAnsi="Verdana" w:cs="Arial"/>
          <w:lang w:val="es-ES" w:eastAsia="es-ES"/>
        </w:rPr>
        <w:t>”, se pueden incluir en la -A-</w:t>
      </w:r>
      <w:r>
        <w:rPr>
          <w:rFonts w:ascii="Verdana" w:hAnsi="Verdana" w:cs="Arial"/>
          <w:i/>
          <w:iCs/>
          <w:lang w:val="es-ES" w:eastAsia="es-ES"/>
        </w:rPr>
        <w:t>Administración</w:t>
      </w:r>
      <w:r>
        <w:rPr>
          <w:rFonts w:ascii="Verdana" w:hAnsi="Verdana" w:cs="Arial"/>
          <w:lang w:val="es-ES" w:eastAsia="es-ES"/>
        </w:rPr>
        <w:t xml:space="preserve">, cuando se pacta el AIU como parte de la estructura de precios del contrato. </w:t>
      </w:r>
      <w:r>
        <w:rPr>
          <w:rFonts w:ascii="Verdana" w:hAnsi="Verdana" w:cs="Arial"/>
          <w:lang w:val="es-ES"/>
        </w:rPr>
        <w:t xml:space="preserve">Lo anterior, sin perjuicio de que las partes en el contrato establezcan las cláusulas que a bien tengan, pues se trata de un aspecto en que la autonomía de la voluntad de que gozan las entidades estatales –y sus contratistas– despliega importantes efectos, por tratarse de un aspecto que no regula de forma específica el EGCAP. </w:t>
      </w:r>
    </w:p>
    <w:p w14:paraId="01B80F5E" w14:textId="77777777" w:rsidR="000B74FD" w:rsidRDefault="000B74FD" w:rsidP="000B74FD">
      <w:pPr>
        <w:spacing w:after="120" w:line="276" w:lineRule="auto"/>
        <w:ind w:firstLine="709"/>
        <w:jc w:val="both"/>
        <w:rPr>
          <w:rFonts w:ascii="Verdana" w:hAnsi="Verdana" w:cs="Arial"/>
          <w:lang w:val="es-ES" w:eastAsia="es-ES"/>
        </w:rPr>
      </w:pPr>
      <w:r>
        <w:rPr>
          <w:rFonts w:ascii="Verdana" w:hAnsi="Verdana" w:cs="Arial"/>
          <w:lang w:val="es-ES" w:eastAsia="es-ES"/>
        </w:rPr>
        <w:t xml:space="preserve">Del recuento anterior se concluye que las entidades cuentan con discrecionalidad para establecer en el pliego de condiciones o en su documento equivalente, así como en el contrato, el sistema de precios unitarios y la figura del AIU. De este modo, teniendo en cuenta que ni el concepto de AIU, ni la forma de calcularlo, son aspectos que cuenten con una regulación normativa en materia contractual del Estado, la determinación de los componentes del AIU dependerá del análisis particular que realice la entidad en relación con el </w:t>
      </w:r>
      <w:r>
        <w:rPr>
          <w:rFonts w:ascii="Verdana" w:hAnsi="Verdana" w:cs="Arial"/>
          <w:lang w:val="es-ES" w:eastAsia="es-ES"/>
        </w:rPr>
        <w:lastRenderedPageBreak/>
        <w:t>presupuesto estimado del valor de la ejecución del contrato que, a su vez, sirve de guía para que los proponentes formulen sus ofertas.</w:t>
      </w:r>
    </w:p>
    <w:p w14:paraId="0D32471E" w14:textId="77777777" w:rsidR="000B74FD" w:rsidRDefault="000B74FD" w:rsidP="000B74FD">
      <w:pPr>
        <w:spacing w:after="120" w:line="276" w:lineRule="auto"/>
        <w:ind w:firstLine="709"/>
        <w:jc w:val="both"/>
        <w:rPr>
          <w:rFonts w:ascii="Verdana" w:hAnsi="Verdana" w:cs="Arial"/>
          <w:lang w:val="es-ES" w:eastAsia="es-ES"/>
        </w:rPr>
      </w:pPr>
      <w:r>
        <w:rPr>
          <w:rFonts w:ascii="Verdana" w:hAnsi="Verdana" w:cs="Arial"/>
          <w:lang w:val="es-ES" w:eastAsia="es-ES"/>
        </w:rPr>
        <w:t xml:space="preserve">En consecuencia, las entidades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 </w:t>
      </w:r>
    </w:p>
    <w:p w14:paraId="5CDF05B1" w14:textId="77777777" w:rsidR="000B74FD" w:rsidRDefault="000B74FD" w:rsidP="000B74FD">
      <w:pPr>
        <w:spacing w:after="120" w:line="276" w:lineRule="auto"/>
        <w:ind w:firstLine="709"/>
        <w:jc w:val="both"/>
        <w:rPr>
          <w:rFonts w:ascii="Verdana" w:eastAsia="Calibri" w:hAnsi="Verdana" w:cs="Arial"/>
          <w:color w:val="000000"/>
        </w:rPr>
      </w:pPr>
      <w:r>
        <w:rPr>
          <w:rFonts w:ascii="Verdana" w:hAnsi="Verdana" w:cs="Arial"/>
          <w:lang w:val="es-ES" w:eastAsia="es-ES"/>
        </w:rPr>
        <w:t xml:space="preserve">En todo caso, de cara a la consulta planteada, vale aclarar cuando no se pacta AIU, </w:t>
      </w:r>
      <w:r>
        <w:rPr>
          <w:rFonts w:ascii="Verdana" w:eastAsia="Calibri" w:hAnsi="Verdana" w:cs="Arial"/>
          <w:color w:val="000000"/>
        </w:rPr>
        <w:t xml:space="preserve">para que un contratista pueda recibir el reconocimiento de viáticos u otros gastos asociados al cumplimiento del contrato, es indispensable que estos se encuentren expresamente pactados en el clausulado contractual. Esto permite a la entidad garantizar la disponibilidad presupuestal correspondiente. Si bien las entidades tienen autonomía para definir el precio y la forma de pago de dichos gastos, deben respetar los límites legales establecidos, especialmente los señalados en el artículo 40 de la Ley 80 de 1993, el cual en su inciso tercero señala que: </w:t>
      </w:r>
      <w:r>
        <w:rPr>
          <w:rFonts w:ascii="Verdana" w:eastAsia="Calibri" w:hAnsi="Verdana" w:cs="Arial"/>
          <w:i/>
          <w:iCs/>
          <w:color w:val="000000"/>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Pr>
          <w:rFonts w:ascii="Verdana" w:eastAsia="Calibri" w:hAnsi="Verdana" w:cs="Arial"/>
          <w:color w:val="000000"/>
        </w:rPr>
        <w:t xml:space="preserve">”. </w:t>
      </w:r>
    </w:p>
    <w:p w14:paraId="72EA462F" w14:textId="77777777" w:rsidR="000B74FD" w:rsidRDefault="000B74FD" w:rsidP="000B74FD">
      <w:pPr>
        <w:spacing w:after="120" w:line="276" w:lineRule="auto"/>
        <w:ind w:firstLine="709"/>
        <w:jc w:val="both"/>
        <w:rPr>
          <w:rFonts w:ascii="Verdana" w:eastAsia="Arial" w:hAnsi="Verdana" w:cs="Arial"/>
          <w:lang w:val="es-ES"/>
        </w:rPr>
      </w:pPr>
      <w:r>
        <w:rPr>
          <w:rFonts w:ascii="Verdana" w:eastAsia="Arial" w:hAnsi="Verdana" w:cs="Arial"/>
          <w:lang w:val="es-ES"/>
        </w:rPr>
        <w:t xml:space="preserve">De esta forma y teniendo en cuenta el principio de la autonomía de la voluntad, la diferencia entre los “viáticos” </w:t>
      </w:r>
      <w:r>
        <w:rPr>
          <w:rFonts w:ascii="Verdana" w:hAnsi="Verdana" w:cs="Arial"/>
          <w:lang w:val="es-ES" w:eastAsia="es-ES"/>
        </w:rPr>
        <w:t xml:space="preserve">y </w:t>
      </w:r>
      <w:r>
        <w:rPr>
          <w:rFonts w:ascii="Verdana" w:eastAsia="Arial" w:hAnsi="Verdana" w:cs="Arial"/>
          <w:lang w:val="es-ES"/>
        </w:rPr>
        <w:t xml:space="preserve">los “gastos reembolsables” dependerá de lo que dispongan los documentos del proceso en general y la minuta del contrato en particular. Tratándose en ambos casos de cláusulas accidentales en los términos del artículo 1501 del Código Civil, corresponde a las partes determinar su alcance y los rubros que componen cada una de estas </w:t>
      </w:r>
      <w:r>
        <w:rPr>
          <w:rFonts w:ascii="Verdana" w:eastAsia="Arial" w:hAnsi="Verdana" w:cs="Arial"/>
          <w:lang w:val="es-ES"/>
        </w:rPr>
        <w:lastRenderedPageBreak/>
        <w:t>partidas</w:t>
      </w:r>
      <w:r>
        <w:rPr>
          <w:rStyle w:val="Refdenotaalpie"/>
          <w:rFonts w:ascii="Verdana" w:eastAsia="Arial" w:hAnsi="Verdana" w:cs="Arial"/>
          <w:lang w:val="es-ES"/>
        </w:rPr>
        <w:footnoteReference w:id="24"/>
      </w:r>
      <w:r>
        <w:rPr>
          <w:rFonts w:ascii="Verdana" w:eastAsia="Arial" w:hAnsi="Verdana" w:cs="Arial"/>
          <w:lang w:val="es-ES"/>
        </w:rPr>
        <w:t xml:space="preserve">. Lo anterior, en ausencia de una norma imperativa o dispositiva que definan o suplan dichos aspectos.  </w:t>
      </w:r>
    </w:p>
    <w:p w14:paraId="20936366" w14:textId="77777777" w:rsidR="000B74FD" w:rsidRDefault="000B74FD" w:rsidP="000B74FD">
      <w:pPr>
        <w:spacing w:after="120" w:line="276" w:lineRule="auto"/>
        <w:ind w:firstLine="709"/>
        <w:jc w:val="both"/>
        <w:rPr>
          <w:rFonts w:ascii="Verdana" w:eastAsia="Calibri" w:hAnsi="Verdana" w:cs="Arial"/>
          <w:color w:val="000000"/>
        </w:rPr>
      </w:pPr>
      <w:r>
        <w:rPr>
          <w:rFonts w:ascii="Verdana" w:eastAsia="Calibri" w:hAnsi="Verdana" w:cs="Arial"/>
          <w:color w:val="000000"/>
        </w:rPr>
        <w:t xml:space="preserve">En este sentido, las Entidades Estatales son autónomas y responsables de la estructuración de sus Procesos de Contratación, y que las partes están en libertad de convenir las cláusulas o estipulaciones del contrato según sus necesidades y conveniencia, en el entendido que </w:t>
      </w:r>
      <w:r>
        <w:rPr>
          <w:rFonts w:ascii="Verdana" w:eastAsia="Calibri" w:hAnsi="Verdana" w:cs="Arial"/>
          <w:iCs/>
          <w:color w:val="000000"/>
        </w:rPr>
        <w:t>si para la ejecución el contratista requiere que la entidad le reconozca gastos reembolsable o de transporte o gastos de viaje es necesario que dicha situación se haya previsto en el contrato en forma clara y que la entidad disponga de los recursos necesario</w:t>
      </w:r>
      <w:r>
        <w:rPr>
          <w:rFonts w:ascii="Verdana" w:eastAsia="Calibri" w:hAnsi="Verdana" w:cs="Arial"/>
          <w:i/>
          <w:color w:val="000000"/>
        </w:rPr>
        <w:t>s.</w:t>
      </w:r>
      <w:r>
        <w:rPr>
          <w:rFonts w:ascii="Verdana" w:eastAsia="Calibri" w:hAnsi="Verdana" w:cs="Arial"/>
          <w:color w:val="000000"/>
        </w:rPr>
        <w:t xml:space="preserve"> En caso de no haberse previsto en el contrato, las partes podrán acordar el procedimiento al respecto.</w:t>
      </w:r>
    </w:p>
    <w:p w14:paraId="5159104D" w14:textId="77777777" w:rsidR="000B74FD" w:rsidRDefault="000B74FD" w:rsidP="000B74FD">
      <w:pPr>
        <w:widowControl w:val="0"/>
        <w:autoSpaceDE w:val="0"/>
        <w:autoSpaceDN w:val="0"/>
        <w:spacing w:after="0" w:line="276" w:lineRule="auto"/>
        <w:jc w:val="both"/>
        <w:rPr>
          <w:rFonts w:ascii="Verdana" w:eastAsia="Arial" w:hAnsi="Verdana" w:cs="Arial"/>
          <w:color w:val="000000" w:themeColor="text1"/>
          <w:lang w:eastAsia="es-ES" w:bidi="es-ES"/>
        </w:rPr>
      </w:pPr>
      <w:proofErr w:type="spellStart"/>
      <w:r>
        <w:rPr>
          <w:rFonts w:ascii="Verdana" w:hAnsi="Verdana" w:cs="Arial"/>
          <w:lang w:val="es-ES" w:eastAsia="es-ES"/>
        </w:rPr>
        <w:t>ii</w:t>
      </w:r>
      <w:proofErr w:type="spellEnd"/>
      <w:r>
        <w:rPr>
          <w:rFonts w:ascii="Verdana" w:hAnsi="Verdana" w:cs="Arial"/>
          <w:lang w:val="es-ES" w:eastAsia="es-ES"/>
        </w:rPr>
        <w:t xml:space="preserve">) Ahora bien, respecto del tercer problema jurídico resulta de especial importancia hacer referencia al principio del equilibrio financiero del contrato, el cual se encuentra </w:t>
      </w:r>
      <w:r>
        <w:rPr>
          <w:rFonts w:ascii="Verdana" w:eastAsia="Arial" w:hAnsi="Verdana" w:cs="Arial"/>
          <w:color w:val="000000" w:themeColor="text1"/>
          <w:lang w:eastAsia="es-ES" w:bidi="es-ES"/>
        </w:rPr>
        <w:t xml:space="preserve">previsto en el artículo 27 de la Ley 80 de 1993 que prescribe lo siguiente: </w:t>
      </w:r>
    </w:p>
    <w:p w14:paraId="60D3486A" w14:textId="77777777" w:rsidR="000B74FD" w:rsidRDefault="000B74FD" w:rsidP="000B74FD">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248E00AC" w14:textId="77777777" w:rsidR="000B74FD" w:rsidRDefault="000B74FD" w:rsidP="000B74FD">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Pr>
          <w:rFonts w:ascii="Verdana" w:eastAsia="Arial" w:hAnsi="Verdana" w:cs="Arial"/>
          <w:color w:val="000000" w:themeColor="text1"/>
          <w:sz w:val="21"/>
          <w:szCs w:val="21"/>
          <w:lang w:val="es-ES" w:eastAsia="es-ES" w:bidi="es-ES"/>
        </w:rPr>
        <w:t>“</w:t>
      </w:r>
      <w:r>
        <w:rPr>
          <w:rFonts w:ascii="Verdana" w:eastAsia="Arial" w:hAnsi="Verdana" w:cs="Arial"/>
          <w:color w:val="000000" w:themeColor="text1"/>
          <w:sz w:val="20"/>
          <w:szCs w:val="20"/>
          <w:lang w:val="es-ES" w:eastAsia="es-ES" w:bidi="es-ES"/>
        </w:rPr>
        <w:t>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w:t>
      </w:r>
      <w:hyperlink r:id="rId13" w:anchor="25" w:history="1">
        <w:r>
          <w:rPr>
            <w:rStyle w:val="Hipervnculo"/>
            <w:rFonts w:ascii="Verdana" w:hAnsi="Verdana" w:cs="Arial"/>
            <w:color w:val="000000" w:themeColor="text1"/>
            <w:sz w:val="20"/>
            <w:szCs w:val="20"/>
            <w:u w:val="none"/>
            <w:lang w:val="es-ES" w:eastAsia="es-ES" w:bidi="es-ES"/>
          </w:rPr>
          <w:t>25</w:t>
        </w:r>
      </w:hyperlink>
      <w:r>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76BC8B1E" w14:textId="77777777" w:rsidR="000B74FD" w:rsidRDefault="000B74FD" w:rsidP="000B74FD">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3A31E66D" w14:textId="77777777" w:rsidR="000B74FD" w:rsidRDefault="000B74FD" w:rsidP="000B74FD">
      <w:pPr>
        <w:autoSpaceDE w:val="0"/>
        <w:autoSpaceDN w:val="0"/>
        <w:adjustRightInd w:val="0"/>
        <w:spacing w:after="0" w:line="276" w:lineRule="auto"/>
        <w:ind w:firstLine="709"/>
        <w:jc w:val="both"/>
        <w:rPr>
          <w:rFonts w:ascii="Verdana" w:hAnsi="Verdana" w:cs="Arial"/>
        </w:rPr>
      </w:pPr>
      <w:r>
        <w:rPr>
          <w:rFonts w:ascii="Verdana" w:eastAsia="Arial" w:hAnsi="Verdana" w:cs="Arial"/>
          <w:color w:val="000000" w:themeColor="text1"/>
          <w:lang w:val="es-ES" w:eastAsia="es-ES" w:bidi="es-ES"/>
        </w:rPr>
        <w:t xml:space="preserve">Sobre el particular, el Consejo de Estado ha señalado que </w:t>
      </w:r>
      <w:r>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Pr>
          <w:rFonts w:ascii="Verdana" w:eastAsia="Arial" w:hAnsi="Verdana" w:cs="Arial"/>
          <w:color w:val="000000" w:themeColor="text1"/>
          <w:lang w:eastAsia="es-ES" w:bidi="es-ES"/>
        </w:rPr>
        <w:t xml:space="preserve">en garantizar el mantenimiento de la igualdad o equivalencia entre derechos y obligaciones surgidos al momento de proponer o de contratar, según el caso, de manera que si se rompe por causas sobrevinientes, imprevisibles y no </w:t>
      </w:r>
      <w:r>
        <w:rPr>
          <w:rFonts w:ascii="Verdana" w:eastAsia="Arial" w:hAnsi="Verdana" w:cs="Arial"/>
          <w:color w:val="000000" w:themeColor="text1"/>
          <w:lang w:eastAsia="es-ES" w:bidi="es-ES"/>
        </w:rPr>
        <w:lastRenderedPageBreak/>
        <w:t>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Pr>
          <w:rStyle w:val="Refdenotaalpie"/>
          <w:rFonts w:ascii="Verdana" w:eastAsia="Arial" w:hAnsi="Verdana" w:cs="Arial"/>
          <w:color w:val="000000" w:themeColor="text1"/>
          <w:lang w:val="es-MX" w:eastAsia="es-ES" w:bidi="es-ES"/>
        </w:rPr>
        <w:footnoteReference w:id="25"/>
      </w:r>
      <w:r>
        <w:rPr>
          <w:rFonts w:ascii="Verdana" w:eastAsia="Arial" w:hAnsi="Verdana" w:cs="Arial"/>
          <w:color w:val="000000" w:themeColor="text1"/>
          <w:lang w:val="es-MX" w:eastAsia="es-ES" w:bidi="es-ES"/>
        </w:rPr>
        <w:t>. En concordancia, la doctrina ha indicado que con este</w:t>
      </w:r>
      <w:r>
        <w:rPr>
          <w:rFonts w:ascii="Verdana" w:hAnsi="Verdana" w:cs="Arial"/>
        </w:rPr>
        <w:t xml:space="preserve"> principio, también denominado </w:t>
      </w:r>
      <w:r>
        <w:rPr>
          <w:rFonts w:ascii="Verdana" w:eastAsia="Arial" w:hAnsi="Verdana" w:cs="Arial"/>
          <w:color w:val="000000" w:themeColor="text1"/>
          <w:lang w:val="es-MX" w:eastAsia="es-ES" w:bidi="es-ES"/>
        </w:rPr>
        <w:t>“</w:t>
      </w:r>
      <w:r>
        <w:rPr>
          <w:rFonts w:ascii="Verdana" w:hAnsi="Verdana" w:cs="Arial"/>
        </w:rPr>
        <w:t>el de la honesta equivalencia de prestaciones</w:t>
      </w:r>
      <w:r>
        <w:rPr>
          <w:rFonts w:ascii="Verdana" w:eastAsia="Arial" w:hAnsi="Verdana" w:cs="Arial"/>
          <w:color w:val="000000" w:themeColor="text1"/>
          <w:lang w:val="es-MX" w:eastAsia="es-ES" w:bidi="es-ES"/>
        </w:rPr>
        <w:t>”</w:t>
      </w:r>
      <w:r>
        <w:rPr>
          <w:rFonts w:ascii="Verdana" w:hAnsi="Verdana" w:cs="Arial"/>
        </w:rPr>
        <w:t xml:space="preserve">, se privilegia el carácter conmutativo o sinalagmático que, por regla general, tiene el contrato estatal, </w:t>
      </w:r>
      <w:r>
        <w:rPr>
          <w:rFonts w:ascii="Verdana" w:eastAsia="Arial" w:hAnsi="Verdana" w:cs="Arial"/>
          <w:color w:val="000000" w:themeColor="text1"/>
          <w:lang w:val="es-MX" w:eastAsia="es-ES" w:bidi="es-ES"/>
        </w:rPr>
        <w:t>“</w:t>
      </w:r>
      <w:r>
        <w:rPr>
          <w:rFonts w:ascii="Verdana" w:hAnsi="Verdana" w:cs="Arial"/>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Pr>
          <w:rStyle w:val="Refdenotaalpie"/>
          <w:rFonts w:ascii="Verdana" w:eastAsia="Arial" w:hAnsi="Verdana" w:cs="Arial"/>
          <w:color w:val="000000" w:themeColor="text1"/>
          <w:lang w:val="es-MX" w:eastAsia="es-ES" w:bidi="es-ES"/>
        </w:rPr>
        <w:footnoteReference w:id="26"/>
      </w:r>
      <w:r>
        <w:rPr>
          <w:rFonts w:ascii="Verdana" w:hAnsi="Verdana" w:cs="Arial"/>
        </w:rPr>
        <w:t xml:space="preserve">.  </w:t>
      </w:r>
    </w:p>
    <w:p w14:paraId="2761A610" w14:textId="77777777" w:rsidR="000B74FD" w:rsidRDefault="000B74FD" w:rsidP="000B74FD">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Pr>
          <w:rFonts w:ascii="Verdana" w:eastAsia="Arial" w:hAnsi="Verdana" w:cs="Arial"/>
          <w:color w:val="000000" w:themeColor="text1"/>
          <w:lang w:eastAsia="es-ES" w:bidi="es-ES"/>
        </w:rPr>
        <w:t xml:space="preserve">busca, precisamente, mantener las mismas condiciones </w:t>
      </w:r>
      <w:r>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682C6BB5" w14:textId="77777777" w:rsidR="000B74FD" w:rsidRDefault="000B74FD" w:rsidP="000B74FD">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Pr>
          <w:rFonts w:ascii="Verdana" w:eastAsia="Arial" w:hAnsi="Verdana" w:cs="Arial"/>
          <w:i/>
          <w:iCs/>
          <w:color w:val="000000" w:themeColor="text1"/>
          <w:lang w:val="es-ES" w:eastAsia="es-ES" w:bidi="es-ES"/>
        </w:rPr>
        <w:t>ibidem</w:t>
      </w:r>
      <w:r>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Pr>
          <w:rFonts w:ascii="Verdana" w:eastAsia="Arial" w:hAnsi="Verdana" w:cs="Arial"/>
          <w:i/>
          <w:iCs/>
          <w:color w:val="000000" w:themeColor="text1"/>
          <w:lang w:val="es-ES" w:eastAsia="es-ES" w:bidi="es-ES"/>
        </w:rPr>
        <w:t>el equilibrio económico o financiero</w:t>
      </w:r>
      <w:r>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 </w:t>
      </w:r>
    </w:p>
    <w:p w14:paraId="0B2CEBEE" w14:textId="77777777" w:rsidR="000B74FD" w:rsidRDefault="000B74FD" w:rsidP="000B74FD">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lastRenderedPageBreak/>
        <w:t xml:space="preserve">Por su parte, el numeral 1 del artículo 5 de la Ley 80 de 1993 indica que el contratista tiene derecho a recibir oportunamente la remuneración pactada y a que el valor intrínseco de la misma no se altere o modifique durante la vigencia del contrato. En consecuencia, tendrán derecho, previa solicitud, a que la administración les restablezca </w:t>
      </w:r>
      <w:r>
        <w:rPr>
          <w:rFonts w:ascii="Verdana" w:eastAsia="Arial" w:hAnsi="Verdana" w:cs="Arial"/>
          <w:i/>
          <w:iCs/>
          <w:color w:val="000000" w:themeColor="text1"/>
          <w:lang w:val="es-ES" w:eastAsia="es-ES" w:bidi="es-ES"/>
        </w:rPr>
        <w:t>el equilibrio de la ecuación económica</w:t>
      </w:r>
      <w:r>
        <w:rPr>
          <w:rFonts w:ascii="Verdana" w:eastAsia="Arial" w:hAnsi="Verdana" w:cs="Arial"/>
          <w:color w:val="000000" w:themeColor="text1"/>
          <w:lang w:val="es-ES" w:eastAsia="es-ES" w:bidi="es-ES"/>
        </w:rPr>
        <w:t xml:space="preserve"> del contrato por la ocurrencia de situaciones imprevistas que no sean imputables a los contratistas. Si dicho equilibrio se rompe por incumplimiento de la entidad estatal contratante, tendrá que restablecerse la ecuación surgida al momento del nacimiento del contrato.</w:t>
      </w:r>
    </w:p>
    <w:p w14:paraId="5563AF86" w14:textId="77777777" w:rsidR="000B74FD" w:rsidRDefault="000B74FD" w:rsidP="000B74FD">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w:t>
      </w:r>
      <w:r>
        <w:rPr>
          <w:rFonts w:ascii="Verdana" w:eastAsia="Arial" w:hAnsi="Verdana" w:cs="Arial"/>
          <w:i/>
          <w:iCs/>
          <w:color w:val="000000" w:themeColor="text1"/>
          <w:lang w:val="es-ES" w:eastAsia="es-ES" w:bidi="es-ES"/>
        </w:rPr>
        <w:t>la ecuación o equilibrio inicial.</w:t>
      </w:r>
    </w:p>
    <w:p w14:paraId="6C518C02" w14:textId="77777777" w:rsidR="000B74FD" w:rsidRDefault="000B74FD" w:rsidP="000B74FD">
      <w:pPr>
        <w:widowControl w:val="0"/>
        <w:autoSpaceDE w:val="0"/>
        <w:autoSpaceDN w:val="0"/>
        <w:spacing w:after="12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equilibrio económico del contrato y evitar una mayor onerosidad.</w:t>
      </w:r>
    </w:p>
    <w:p w14:paraId="0F750AE3" w14:textId="77777777" w:rsidR="000B74FD" w:rsidRDefault="000B74FD" w:rsidP="000B74FD">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182F5825" w14:textId="77777777" w:rsidR="000B74FD" w:rsidRDefault="000B74FD" w:rsidP="000B74FD">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6B554753" w14:textId="77777777" w:rsidR="000B74FD" w:rsidRDefault="000B74FD" w:rsidP="000B74FD">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419E2AB9" w14:textId="77777777" w:rsidR="000B74FD" w:rsidRDefault="000B74FD" w:rsidP="000B74FD">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6BD9C083" w14:textId="77777777" w:rsidR="000B74FD" w:rsidRDefault="000B74FD" w:rsidP="000B74FD">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Pr>
          <w:rFonts w:ascii="Verdana" w:eastAsia="Arial" w:hAnsi="Verdana" w:cs="Arial"/>
          <w:color w:val="000000" w:themeColor="text1"/>
          <w:sz w:val="20"/>
          <w:szCs w:val="20"/>
          <w:lang w:val="es-ES" w:eastAsia="es-ES" w:bidi="es-ES"/>
        </w:rPr>
        <w:lastRenderedPageBreak/>
        <w:t xml:space="preserve">c) Factores exógenos a las partes del negocio, o ‘teoría de la imprevisión’, o ‘sujeciones materiales imprevistas’, que involucran circunstancias no imputables al Estado y externas al </w:t>
      </w:r>
      <w:proofErr w:type="gramStart"/>
      <w:r>
        <w:rPr>
          <w:rFonts w:ascii="Verdana" w:eastAsia="Arial" w:hAnsi="Verdana" w:cs="Arial"/>
          <w:color w:val="000000" w:themeColor="text1"/>
          <w:sz w:val="20"/>
          <w:szCs w:val="20"/>
          <w:lang w:val="es-ES" w:eastAsia="es-ES" w:bidi="es-ES"/>
        </w:rPr>
        <w:t>contrato</w:t>
      </w:r>
      <w:proofErr w:type="gramEnd"/>
      <w:r>
        <w:rPr>
          <w:rFonts w:ascii="Verdana" w:eastAsia="Arial" w:hAnsi="Verdana" w:cs="Arial"/>
          <w:color w:val="000000" w:themeColor="text1"/>
          <w:sz w:val="20"/>
          <w:szCs w:val="20"/>
          <w:lang w:val="es-ES" w:eastAsia="es-ES" w:bidi="es-ES"/>
        </w:rPr>
        <w:t xml:space="preserve"> pero con incidencia en él.</w:t>
      </w:r>
    </w:p>
    <w:p w14:paraId="1BBB6278" w14:textId="77777777" w:rsidR="000B74FD" w:rsidRDefault="000B74FD" w:rsidP="000B74FD">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Pr>
          <w:rFonts w:ascii="Verdana" w:eastAsia="Arial" w:hAnsi="Verdana" w:cs="Arial"/>
          <w:color w:val="000000" w:themeColor="text1"/>
          <w:sz w:val="20"/>
          <w:szCs w:val="20"/>
          <w:lang w:val="es-ES" w:eastAsia="es-ES" w:bidi="es-ES"/>
        </w:rPr>
        <w:t>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señalados para cada figura”</w:t>
      </w:r>
      <w:r>
        <w:rPr>
          <w:rStyle w:val="Refdenotaalpie"/>
          <w:rFonts w:ascii="Verdana" w:eastAsia="Arial" w:hAnsi="Verdana" w:cs="Arial"/>
          <w:color w:val="000000" w:themeColor="text1"/>
          <w:sz w:val="20"/>
          <w:szCs w:val="20"/>
          <w:lang w:val="es-ES" w:eastAsia="es-ES" w:bidi="es-ES"/>
        </w:rPr>
        <w:footnoteReference w:id="27"/>
      </w:r>
      <w:r>
        <w:rPr>
          <w:rFonts w:ascii="Verdana" w:eastAsia="Arial" w:hAnsi="Verdana" w:cs="Arial"/>
          <w:color w:val="000000" w:themeColor="text1"/>
          <w:sz w:val="20"/>
          <w:szCs w:val="20"/>
          <w:lang w:val="es-ES" w:eastAsia="es-ES" w:bidi="es-ES"/>
        </w:rPr>
        <w:t>.</w:t>
      </w:r>
    </w:p>
    <w:p w14:paraId="7EBD5940" w14:textId="77777777" w:rsidR="000B74FD" w:rsidRDefault="000B74FD" w:rsidP="000B74FD">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4115ED47" w14:textId="77777777" w:rsidR="000B74FD" w:rsidRDefault="000B74FD" w:rsidP="000B74FD">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val="es-ES" w:eastAsia="es-ES" w:bidi="es-ES"/>
        </w:rPr>
        <w:t>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w:t>
      </w:r>
      <w:r>
        <w:rPr>
          <w:rStyle w:val="Refdenotaalpie"/>
          <w:rFonts w:ascii="Verdana" w:eastAsia="Arial" w:hAnsi="Verdana" w:cs="Arial"/>
          <w:color w:val="000000" w:themeColor="text1"/>
          <w:lang w:val="es-ES" w:eastAsia="es-ES" w:bidi="es-ES"/>
        </w:rPr>
        <w:footnoteReference w:id="28"/>
      </w:r>
      <w:r>
        <w:rPr>
          <w:rFonts w:ascii="Verdana" w:eastAsia="Arial" w:hAnsi="Verdana" w:cs="Arial"/>
          <w:color w:val="000000" w:themeColor="text1"/>
          <w:lang w:val="es-ES" w:eastAsia="es-ES" w:bidi="es-ES"/>
        </w:rPr>
        <w:t xml:space="preserve">. Además, es necesario que las reclamaciones para el restablecimiento se realicen en la oportunidad debida, de manera que </w:t>
      </w:r>
      <w:r>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Pr>
          <w:rFonts w:ascii="Verdana" w:eastAsia="Arial" w:hAnsi="Verdana" w:cs="Arial"/>
          <w:color w:val="000000" w:themeColor="text1"/>
          <w:lang w:eastAsia="es-ES" w:bidi="es-ES"/>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eastAsia="Arial" w:hAnsi="Verdana" w:cs="Arial"/>
          <w:color w:val="000000" w:themeColor="text1"/>
          <w:lang w:val="es-MX" w:eastAsia="es-ES" w:bidi="es-ES"/>
        </w:rPr>
        <w:t>”</w:t>
      </w:r>
      <w:r>
        <w:rPr>
          <w:rStyle w:val="Refdenotaalpie"/>
          <w:rFonts w:ascii="Verdana" w:eastAsia="Arial" w:hAnsi="Verdana" w:cs="Arial"/>
          <w:color w:val="000000" w:themeColor="text1"/>
          <w:lang w:val="es-MX" w:eastAsia="es-ES" w:bidi="es-ES"/>
        </w:rPr>
        <w:footnoteReference w:id="29"/>
      </w:r>
      <w:r>
        <w:rPr>
          <w:rFonts w:ascii="Verdana" w:eastAsia="Arial" w:hAnsi="Verdana" w:cs="Arial"/>
          <w:color w:val="000000" w:themeColor="text1"/>
          <w:lang w:val="es-MX" w:eastAsia="es-ES" w:bidi="es-ES"/>
        </w:rPr>
        <w:t xml:space="preserve">. </w:t>
      </w:r>
    </w:p>
    <w:p w14:paraId="013C8E8B" w14:textId="77777777" w:rsidR="000B74FD" w:rsidRDefault="000B74FD" w:rsidP="000B74FD">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val="es-ES" w:eastAsia="es-ES"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0B35247F" w14:textId="77777777" w:rsidR="000B74FD" w:rsidRDefault="000B74FD" w:rsidP="000B74FD">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Pr>
          <w:rFonts w:ascii="Verdana" w:eastAsia="Arial" w:hAnsi="Verdana" w:cs="Arial"/>
          <w:color w:val="000000" w:themeColor="text1"/>
          <w:lang w:eastAsia="es-ES" w:bidi="es-ES"/>
        </w:rPr>
        <w:t xml:space="preserve"> cada caso el </w:t>
      </w:r>
      <w:r>
        <w:rPr>
          <w:rFonts w:ascii="Verdana" w:eastAsia="Arial" w:hAnsi="Verdana" w:cs="Arial"/>
          <w:color w:val="000000" w:themeColor="text1"/>
          <w:lang w:eastAsia="es-ES" w:bidi="es-ES"/>
        </w:rPr>
        <w:lastRenderedPageBreak/>
        <w:t>contenido del respectivo acuerdo y de sus antecedentes, para determinar el alcance de los otrosíes o de las actas de suspensión correspondientes</w:t>
      </w:r>
      <w:r>
        <w:rPr>
          <w:rStyle w:val="Refdenotaalpie"/>
          <w:rFonts w:ascii="Verdana" w:eastAsia="Arial" w:hAnsi="Verdana" w:cs="Arial"/>
          <w:color w:val="000000" w:themeColor="text1"/>
          <w:lang w:eastAsia="es-ES" w:bidi="es-ES"/>
        </w:rPr>
        <w:footnoteReference w:id="30"/>
      </w:r>
      <w:r>
        <w:rPr>
          <w:rFonts w:ascii="Verdana" w:eastAsia="Arial" w:hAnsi="Verdana" w:cs="Arial"/>
          <w:color w:val="000000" w:themeColor="text1"/>
          <w:lang w:eastAsia="es-ES" w:bidi="es-ES"/>
        </w:rPr>
        <w:t xml:space="preserve">.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Pr>
          <w:rFonts w:ascii="Verdana" w:eastAsia="Arial" w:hAnsi="Verdana" w:cs="Arial"/>
          <w:color w:val="000000" w:themeColor="text1"/>
          <w:lang w:eastAsia="es-ES" w:bidi="es-ES"/>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w:t>
      </w:r>
      <w:r>
        <w:rPr>
          <w:rFonts w:ascii="Verdana" w:hAnsi="Verdana" w:cs="Arial"/>
        </w:rPr>
        <w:t xml:space="preserve"> </w:t>
      </w:r>
      <w:r>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Pr>
          <w:rFonts w:ascii="Verdana" w:eastAsia="Arial" w:hAnsi="Verdana" w:cs="Arial"/>
          <w:color w:val="000000" w:themeColor="text1"/>
          <w:lang w:eastAsia="es-ES" w:bidi="es-ES"/>
        </w:rPr>
        <w:t>.</w:t>
      </w:r>
    </w:p>
    <w:p w14:paraId="10C5BFE2" w14:textId="77777777" w:rsidR="000B74FD" w:rsidRDefault="000B74FD" w:rsidP="000B74FD">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val="es-ES" w:eastAsia="es-ES" w:bidi="es-ES"/>
        </w:rPr>
        <w:t xml:space="preserve">Bajo estas consideraciones y más allá de las distintas posturas que se han generado al interior del Consejo de Estado en torno a la oportunidad de la reclamación del restablecimiento del equilibrio económico del contrato, lo relevante de lo expuesto, para efectos de la consulta, es que este restablecimiento podrá realizarlo directamente la Administración durante la ejecución del contrato adoptando las medidas necesarias que aseguren la efectividad de los pagos y reconocimientos al contratista que haya lugar. 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 </w:t>
      </w:r>
    </w:p>
    <w:p w14:paraId="0D5EF25F" w14:textId="77777777" w:rsidR="000B74FD" w:rsidRDefault="000B74FD" w:rsidP="000B74FD">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val="es-ES" w:eastAsia="es-ES" w:bidi="es-ES"/>
        </w:rPr>
        <w:t xml:space="preserve">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w:t>
      </w:r>
      <w:r>
        <w:rPr>
          <w:rFonts w:ascii="Verdana" w:eastAsia="Arial" w:hAnsi="Verdana" w:cs="Arial"/>
          <w:color w:val="000000" w:themeColor="text1"/>
          <w:lang w:val="es-ES" w:eastAsia="es-ES" w:bidi="es-ES"/>
        </w:rPr>
        <w:lastRenderedPageBreak/>
        <w:t>y jurídicas que fundamente dicho restablecimiento y las limitaciones legales sobre el particular, de manera que mediante los acuerdos que se celebren se autorregulen los intereses de las partes.</w:t>
      </w:r>
    </w:p>
    <w:p w14:paraId="0E84D742" w14:textId="77777777" w:rsidR="000B74FD" w:rsidRDefault="000B74FD" w:rsidP="000B74FD">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val="es-ES" w:eastAsia="es-ES" w:bidi="es-ES"/>
        </w:rPr>
        <w:t>Aunado a lo expuesto, la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Pr>
          <w:rStyle w:val="Refdenotaalpie"/>
          <w:rFonts w:ascii="Verdana" w:eastAsia="Arial" w:hAnsi="Verdana" w:cs="Arial"/>
          <w:color w:val="000000" w:themeColor="text1"/>
          <w:lang w:val="es-MX" w:eastAsia="es-ES" w:bidi="es-ES"/>
        </w:rPr>
        <w:footnoteReference w:id="31"/>
      </w:r>
      <w:r>
        <w:rPr>
          <w:rFonts w:ascii="Verdana" w:eastAsia="Arial" w:hAnsi="Verdana" w:cs="Arial"/>
          <w:lang w:val="es-ES" w:eastAsia="es-ES" w:bidi="es-ES"/>
        </w:rPr>
        <w:t>.</w:t>
      </w:r>
      <w:r>
        <w:rPr>
          <w:rFonts w:ascii="Verdana" w:eastAsia="Arial" w:hAnsi="Verdana" w:cs="Arial"/>
          <w:sz w:val="21"/>
          <w:szCs w:val="21"/>
          <w:lang w:val="es-ES" w:eastAsia="es-ES" w:bidi="es-ES"/>
        </w:rPr>
        <w:t xml:space="preserve"> </w:t>
      </w:r>
    </w:p>
    <w:p w14:paraId="1942A54E" w14:textId="77777777" w:rsidR="000B74FD" w:rsidRDefault="000B74FD" w:rsidP="000B74FD">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val="es-ES" w:eastAsia="es-ES" w:bidi="es-ES"/>
        </w:rPr>
        <w:t xml:space="preserve">En armonía con lo anterior, la doctrina ha señalado que </w:t>
      </w:r>
      <w:r>
        <w:rPr>
          <w:rFonts w:ascii="Verdana" w:eastAsia="Arial" w:hAnsi="Verdana" w:cs="Arial"/>
          <w:color w:val="000000" w:themeColor="text1"/>
          <w:lang w:val="es-MX" w:eastAsia="es-ES" w:bidi="es-ES"/>
        </w:rPr>
        <w:t>“</w:t>
      </w:r>
      <w:r>
        <w:rPr>
          <w:rFonts w:ascii="Verdana" w:eastAsia="Arial" w:hAnsi="Verdana" w:cs="Arial"/>
          <w:color w:val="000000" w:themeColor="text1"/>
          <w:lang w:val="es-ES" w:eastAsia="es-ES" w:bidi="es-ES"/>
        </w:rPr>
        <w:t xml:space="preserve">durante la vigencia del contrato, esto es, el periodo que comprende el interregno que va desde el perfeccionamiento del contrato (acuerdo sobre el objeto y la contraprestación elevado a escrito al tenor del art. 41 </w:t>
      </w:r>
      <w:proofErr w:type="spellStart"/>
      <w:r>
        <w:rPr>
          <w:rFonts w:ascii="Verdana" w:eastAsia="Arial" w:hAnsi="Verdana" w:cs="Arial"/>
          <w:color w:val="000000" w:themeColor="text1"/>
          <w:lang w:val="es-ES" w:eastAsia="es-ES" w:bidi="es-ES"/>
        </w:rPr>
        <w:t>inc</w:t>
      </w:r>
      <w:proofErr w:type="spellEnd"/>
      <w:r>
        <w:rPr>
          <w:rFonts w:ascii="Verdana" w:eastAsia="Arial" w:hAnsi="Verdana" w:cs="Arial"/>
          <w:color w:val="000000" w:themeColor="text1"/>
          <w:lang w:val="es-ES" w:eastAsia="es-ES" w:bidi="es-ES"/>
        </w:rPr>
        <w:t xml:space="preserve"> 1° de la Ley 80 de 1993) hasta su liquidación, los contratantes tienen la potestad de pactar lo que consideren necesario a efectos de reequilibrar la ecuación contractual, por ejemplo, pueden ajustar la cuantía, las condiciones de ejecución, las formas de pago, los costos financieros y los interés, en el evento en que los haya</w:t>
      </w:r>
      <w:r>
        <w:rPr>
          <w:rFonts w:ascii="Verdana" w:eastAsia="Arial" w:hAnsi="Verdana" w:cs="Arial"/>
          <w:color w:val="000000" w:themeColor="text1"/>
          <w:lang w:val="es-MX" w:eastAsia="es-ES" w:bidi="es-ES"/>
        </w:rPr>
        <w:t>”</w:t>
      </w:r>
      <w:r>
        <w:rPr>
          <w:rStyle w:val="Refdenotaalpie"/>
          <w:rFonts w:ascii="Verdana" w:eastAsia="Arial" w:hAnsi="Verdana" w:cs="Arial"/>
          <w:color w:val="000000" w:themeColor="text1"/>
          <w:lang w:val="es-ES" w:eastAsia="es-ES" w:bidi="es-ES"/>
        </w:rPr>
        <w:footnoteReference w:id="32"/>
      </w:r>
      <w:r>
        <w:rPr>
          <w:rFonts w:ascii="Verdana" w:eastAsia="Arial" w:hAnsi="Verdana" w:cs="Arial"/>
          <w:color w:val="000000" w:themeColor="text1"/>
          <w:lang w:val="es-ES" w:eastAsia="es-ES" w:bidi="es-ES"/>
        </w:rPr>
        <w:t xml:space="preserve">. </w:t>
      </w:r>
    </w:p>
    <w:p w14:paraId="2CCC6483" w14:textId="77777777" w:rsidR="000B74FD" w:rsidRDefault="000B74FD" w:rsidP="000B74FD">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Así la cosas, con fundamento en el EGCAP, en la jurisprudencia y en la doctrina se puede concluir que 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w:t>
      </w:r>
    </w:p>
    <w:p w14:paraId="3838B624" w14:textId="77777777" w:rsidR="000B74FD" w:rsidRDefault="000B74FD" w:rsidP="000B74FD">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72B05C47" w14:textId="77777777" w:rsidR="000B74FD" w:rsidRDefault="000B74FD" w:rsidP="000B74FD">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Referencias normativas, jurisprudenciales y otras fuentes:</w:t>
      </w:r>
    </w:p>
    <w:p w14:paraId="72D1062D" w14:textId="77777777" w:rsidR="000B74FD" w:rsidRDefault="000B74FD" w:rsidP="000B74FD">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B74FD" w14:paraId="3813215E" w14:textId="77777777">
        <w:trPr>
          <w:trHeight w:val="349"/>
        </w:trPr>
        <w:tc>
          <w:tcPr>
            <w:tcW w:w="8647" w:type="dxa"/>
            <w:tcBorders>
              <w:top w:val="dotted" w:sz="4" w:space="0" w:color="auto"/>
              <w:left w:val="dotted" w:sz="4" w:space="0" w:color="auto"/>
              <w:bottom w:val="dotted" w:sz="4" w:space="0" w:color="auto"/>
              <w:right w:val="dotted" w:sz="4" w:space="0" w:color="auto"/>
            </w:tcBorders>
            <w:hideMark/>
          </w:tcPr>
          <w:p w14:paraId="57E6EC40" w14:textId="77777777" w:rsidR="000B74FD" w:rsidRDefault="000B74FD" w:rsidP="000B74FD">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hAnsi="Verdana" w:cs="Arial"/>
              </w:rPr>
              <w:t xml:space="preserve">Ley 80 de 1993, artículos 13, 32 y 40.  </w:t>
            </w:r>
          </w:p>
          <w:p w14:paraId="51022F7C" w14:textId="77777777" w:rsidR="000B74FD" w:rsidRDefault="000B74FD" w:rsidP="000B74FD">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hAnsi="Verdana"/>
                <w:lang w:val="es-CO"/>
              </w:rPr>
              <w:t>Consejo de Estado. Sección Tercera. Sentencia del 29 de enero de 2004. Rad. 10779. C.P. ALIER Eduardo Hernández Enríquez</w:t>
            </w:r>
          </w:p>
          <w:p w14:paraId="5BE498E3" w14:textId="77777777" w:rsidR="000B74FD" w:rsidRDefault="000B74FD" w:rsidP="000B74FD">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hAnsi="Verdana"/>
              </w:rPr>
              <w:lastRenderedPageBreak/>
              <w:t xml:space="preserve">Consejo de Estado. </w:t>
            </w:r>
            <w:r>
              <w:rPr>
                <w:rFonts w:ascii="Verdana" w:eastAsia="Calibri" w:hAnsi="Verdana" w:cs="Arial"/>
                <w:lang w:val="es-ES_tradnl" w:eastAsia="es-ES_tradnl"/>
              </w:rPr>
              <w:t xml:space="preserve">Sección Tercera. Subsección B. Sentencia del 14 de octubre de 2011. </w:t>
            </w:r>
            <w:proofErr w:type="spellStart"/>
            <w:r>
              <w:rPr>
                <w:rFonts w:ascii="Verdana" w:eastAsia="Calibri" w:hAnsi="Verdana" w:cs="Arial"/>
                <w:lang w:val="es-ES_tradnl" w:eastAsia="es-ES_tradnl"/>
              </w:rPr>
              <w:t>Exp</w:t>
            </w:r>
            <w:proofErr w:type="spellEnd"/>
            <w:r>
              <w:rPr>
                <w:rFonts w:ascii="Verdana" w:eastAsia="Calibri" w:hAnsi="Verdana" w:cs="Arial"/>
                <w:lang w:val="es-ES_tradnl" w:eastAsia="es-ES_tradnl"/>
              </w:rPr>
              <w:t>. 20811, C.P. Ruth Stella Correa Palacio.</w:t>
            </w:r>
          </w:p>
          <w:p w14:paraId="6BCA2B6E" w14:textId="77777777" w:rsidR="000B74FD" w:rsidRDefault="000B74FD" w:rsidP="000B74FD">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hAnsi="Verdana"/>
              </w:rPr>
              <w:t xml:space="preserve">Consejo de Estado. </w:t>
            </w:r>
            <w:r>
              <w:rPr>
                <w:rFonts w:ascii="Verdana" w:eastAsia="Calibri" w:hAnsi="Verdana" w:cs="Arial"/>
                <w:lang w:val="es-ES_tradnl" w:eastAsia="es-ES_tradnl"/>
              </w:rPr>
              <w:t xml:space="preserve">Sección Tercera. Subsección B. Sentencia del 29 de febrero de 2012. </w:t>
            </w:r>
            <w:proofErr w:type="spellStart"/>
            <w:r>
              <w:rPr>
                <w:rFonts w:ascii="Verdana" w:eastAsia="Calibri" w:hAnsi="Verdana" w:cs="Arial"/>
                <w:lang w:val="es-ES_tradnl" w:eastAsia="es-ES_tradnl"/>
              </w:rPr>
              <w:t>Exp</w:t>
            </w:r>
            <w:proofErr w:type="spellEnd"/>
            <w:r>
              <w:rPr>
                <w:rFonts w:ascii="Verdana" w:eastAsia="Calibri" w:hAnsi="Verdana" w:cs="Arial"/>
                <w:lang w:val="es-ES_tradnl" w:eastAsia="es-ES_tradnl"/>
              </w:rPr>
              <w:t>. 16371, C.P. Danilo Rojas Betancourth.</w:t>
            </w:r>
          </w:p>
          <w:p w14:paraId="45F11B8A" w14:textId="77777777" w:rsidR="000B74FD" w:rsidRDefault="000B74FD" w:rsidP="000B74FD">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hAnsi="Verdana"/>
              </w:rPr>
              <w:t xml:space="preserve">Consejo de Estado. </w:t>
            </w:r>
            <w:r>
              <w:rPr>
                <w:rFonts w:ascii="Verdana" w:eastAsia="Calibri" w:hAnsi="Verdana" w:cs="Arial"/>
                <w:lang w:val="es-ES_tradnl" w:eastAsia="es-ES_tradnl"/>
              </w:rPr>
              <w:t>Sala de Consulta y Servicio Civil. Concepto del 5 de septiembre de 2018, radicado No. 11001-03-06-000-2018-00124-00 C.P. Édgar González López.</w:t>
            </w:r>
          </w:p>
          <w:p w14:paraId="4DBA4B48" w14:textId="77777777" w:rsidR="000B74FD" w:rsidRDefault="000B74FD" w:rsidP="000B74FD">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hAnsi="Verdana"/>
              </w:rPr>
              <w:t>Consejo de Estado. Sección Tercera. Sentencia del veintiocho (28) de febrero de dos mil veintidós (2022). C.P. Nicolás Yepes Corrales. Rad. 65483.</w:t>
            </w:r>
          </w:p>
          <w:p w14:paraId="7EE6F44D" w14:textId="77777777" w:rsidR="000B74FD" w:rsidRDefault="000B74FD" w:rsidP="000B74FD">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hAnsi="Verdana"/>
              </w:rPr>
              <w:t>Consejo de Estado. Sala de lo Contencioso Administrativo. Sección Tercera Subsección A. C.P.: María Adriana Marín. Sentencia del 22 de agosto de 2023. Rad: 85001-23-33-000-2015-00211-01 (58.634).</w:t>
            </w:r>
          </w:p>
          <w:p w14:paraId="7D37246E" w14:textId="77777777" w:rsidR="000B74FD" w:rsidRDefault="000B74FD" w:rsidP="000B74FD">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 xml:space="preserve">Consejo de Estado. Sección Tercera. Subsección A. Sentencia del 6 de julio de 2022. </w:t>
            </w:r>
            <w:proofErr w:type="spellStart"/>
            <w:r>
              <w:rPr>
                <w:rFonts w:ascii="Verdana" w:hAnsi="Verdana" w:cs="Arial"/>
                <w:color w:val="000000" w:themeColor="text1"/>
              </w:rPr>
              <w:t>Exp</w:t>
            </w:r>
            <w:proofErr w:type="spellEnd"/>
            <w:r>
              <w:rPr>
                <w:rFonts w:ascii="Verdana" w:hAnsi="Verdana" w:cs="Arial"/>
                <w:color w:val="000000" w:themeColor="text1"/>
              </w:rPr>
              <w:t xml:space="preserve">. 54.319 CP.: María Adriana Marín. Ver también: Consejo de Estado. Sección Tercera. Subsección A. Sentencia del 3 de junio de 2022. </w:t>
            </w:r>
            <w:proofErr w:type="spellStart"/>
            <w:r>
              <w:rPr>
                <w:rFonts w:ascii="Verdana" w:hAnsi="Verdana" w:cs="Arial"/>
                <w:color w:val="000000" w:themeColor="text1"/>
              </w:rPr>
              <w:t>Exp</w:t>
            </w:r>
            <w:proofErr w:type="spellEnd"/>
            <w:r>
              <w:rPr>
                <w:rFonts w:ascii="Verdana" w:hAnsi="Verdana" w:cs="Arial"/>
                <w:color w:val="000000" w:themeColor="text1"/>
              </w:rPr>
              <w:t>. 53299. C.P.: José Roberto Sáchica Méndez</w:t>
            </w:r>
          </w:p>
          <w:p w14:paraId="477D96E8" w14:textId="77777777" w:rsidR="000B74FD" w:rsidRDefault="000B74FD" w:rsidP="000B74FD">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 xml:space="preserve">Corte Constitucional. Sentencia C-416 de 2012. M.P. </w:t>
            </w:r>
            <w:r>
              <w:rPr>
                <w:rFonts w:ascii="Verdana" w:hAnsi="Verdana" w:cs="Arial"/>
                <w:color w:val="000000" w:themeColor="text1"/>
                <w:lang w:val="es-CO"/>
              </w:rPr>
              <w:t>Adriana María Guillén Arango.</w:t>
            </w:r>
          </w:p>
        </w:tc>
      </w:tr>
    </w:tbl>
    <w:p w14:paraId="50F3D9E1" w14:textId="77777777" w:rsidR="000B74FD" w:rsidRDefault="000B74FD" w:rsidP="000B74FD">
      <w:pPr>
        <w:widowControl w:val="0"/>
        <w:autoSpaceDE w:val="0"/>
        <w:autoSpaceDN w:val="0"/>
        <w:spacing w:after="0" w:line="276" w:lineRule="auto"/>
        <w:jc w:val="both"/>
        <w:rPr>
          <w:rFonts w:ascii="Verdana" w:hAnsi="Verdana" w:cs="Arial"/>
          <w:color w:val="000000" w:themeColor="text1"/>
          <w:lang w:val="es-ES"/>
        </w:rPr>
      </w:pPr>
    </w:p>
    <w:p w14:paraId="35FA7890" w14:textId="77777777" w:rsidR="000B74FD" w:rsidRDefault="000B74FD" w:rsidP="000B74FD">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Doctrina de la Agencia Nacional de Contratación Pública:</w:t>
      </w:r>
    </w:p>
    <w:p w14:paraId="64EFEE66" w14:textId="77777777" w:rsidR="000B74FD" w:rsidRDefault="000B74FD" w:rsidP="000B74FD">
      <w:pPr>
        <w:widowControl w:val="0"/>
        <w:autoSpaceDE w:val="0"/>
        <w:autoSpaceDN w:val="0"/>
        <w:spacing w:after="0" w:line="276" w:lineRule="auto"/>
        <w:jc w:val="both"/>
        <w:rPr>
          <w:rFonts w:ascii="Verdana" w:hAnsi="Verdana" w:cs="Arial"/>
          <w:color w:val="000000" w:themeColor="text1"/>
          <w:lang w:val="es-ES"/>
        </w:rPr>
      </w:pPr>
    </w:p>
    <w:p w14:paraId="6399A0D6" w14:textId="77777777" w:rsidR="000B74FD" w:rsidRDefault="000B74FD" w:rsidP="000B74FD">
      <w:pPr>
        <w:widowControl w:val="0"/>
        <w:autoSpaceDE w:val="0"/>
        <w:autoSpaceDN w:val="0"/>
        <w:spacing w:after="0" w:line="276" w:lineRule="auto"/>
        <w:jc w:val="both"/>
        <w:rPr>
          <w:rFonts w:ascii="Verdana" w:hAnsi="Verdana" w:cs="Arial"/>
          <w:shd w:val="clear" w:color="auto" w:fill="FFFFFF"/>
          <w:lang w:val="es-ES"/>
        </w:rPr>
      </w:pPr>
      <w:r>
        <w:rPr>
          <w:rFonts w:ascii="Verdana" w:eastAsia="Calibri" w:hAnsi="Verdana" w:cs="Arial"/>
          <w:lang w:val="es-ES" w:eastAsia="es-ES"/>
        </w:rPr>
        <w:t xml:space="preserve">La Agencia Nacional de Contratación Pública – Colombia Compra Eficiente </w:t>
      </w:r>
      <w:r>
        <w:rPr>
          <w:rFonts w:ascii="Verdana" w:hAnsi="Verdana" w:cs="Arial"/>
          <w:shd w:val="clear" w:color="auto" w:fill="FFFFFF"/>
          <w:lang w:val="es-ES"/>
        </w:rPr>
        <w:t xml:space="preserve">se ha pronunciado </w:t>
      </w:r>
      <w:r>
        <w:rPr>
          <w:rStyle w:val="normaltextrun"/>
          <w:rFonts w:ascii="Verdana" w:hAnsi="Verdana" w:cs="Arial"/>
          <w:shd w:val="clear" w:color="auto" w:fill="FFFFFF"/>
          <w:lang w:val="es-ES"/>
        </w:rPr>
        <w:t xml:space="preserve">sobre el AIU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C-455 del 18 de </w:t>
      </w:r>
      <w:r>
        <w:rPr>
          <w:rStyle w:val="normaltextrun"/>
          <w:rFonts w:ascii="Verdana" w:hAnsi="Verdana" w:cs="Arial"/>
          <w:shd w:val="clear" w:color="auto" w:fill="FFFFFF"/>
          <w:lang w:val="es-ES"/>
        </w:rPr>
        <w:lastRenderedPageBreak/>
        <w:t xml:space="preserve">septiembre de 2024 y C-248 de 2025, </w:t>
      </w:r>
      <w:r>
        <w:rPr>
          <w:rFonts w:ascii="Verdana" w:eastAsia="Calibri" w:hAnsi="Verdana" w:cs="Arial"/>
          <w:lang w:val="es-ES" w:eastAsia="es-ES"/>
        </w:rPr>
        <w:t xml:space="preserve">entre otros. </w:t>
      </w:r>
      <w:r>
        <w:rPr>
          <w:rFonts w:ascii="Verdana" w:eastAsia="Calibri" w:hAnsi="Verdana" w:cs="Arial"/>
          <w:shd w:val="clear" w:color="auto" w:fill="FFFFFF"/>
        </w:rPr>
        <w:t xml:space="preserve">Sobre el equilibrio económico del contrato estatal se pronunció en los conceptos C-663 del 13 de octubre de 2025, C-938 del 27 de diciembre de 2022, C-774 del 20 de noviembre de 2024, C-565 del 10 de junio de 2025, C-1029 del 31 de julio de 2025 y C-1074 del 19 de agosto de 2025. </w:t>
      </w:r>
      <w:r>
        <w:rPr>
          <w:rFonts w:ascii="Verdana" w:hAnsi="Verdana" w:cs="Arial"/>
          <w:shd w:val="clear" w:color="auto" w:fill="FFFFFF"/>
          <w:lang w:val="es-ES"/>
        </w:rPr>
        <w:t xml:space="preserve">Estos y otros se encuentran disponibles para consulta en el Sistema de relatoría de la Agencia, al cual puede accederse a través del siguiente enlace: </w:t>
      </w:r>
      <w:hyperlink r:id="rId14" w:history="1">
        <w:r>
          <w:rPr>
            <w:rStyle w:val="Hipervnculo"/>
            <w:rFonts w:ascii="Verdana" w:hAnsi="Verdana" w:cs="Arial"/>
            <w:shd w:val="clear" w:color="auto" w:fill="FFFFFF"/>
            <w:lang w:val="es-ES"/>
          </w:rPr>
          <w:t>https://relatoria.colombiacompra.gov.co/busqueda/conceptos</w:t>
        </w:r>
      </w:hyperlink>
      <w:r>
        <w:rPr>
          <w:rFonts w:ascii="Verdana" w:hAnsi="Verdana" w:cs="Arial"/>
          <w:shd w:val="clear" w:color="auto" w:fill="FFFFFF"/>
          <w:lang w:val="es-ES"/>
        </w:rPr>
        <w:t xml:space="preserve">. </w:t>
      </w:r>
      <w:r>
        <w:rPr>
          <w:rFonts w:ascii="Verdana" w:hAnsi="Verdana" w:cs="Arial"/>
          <w:color w:val="FF0000"/>
          <w:shd w:val="clear" w:color="auto" w:fill="FFFFFF"/>
          <w:lang w:val="es-ES"/>
        </w:rPr>
        <w:t xml:space="preserve"> </w:t>
      </w:r>
    </w:p>
    <w:p w14:paraId="17BC0D28" w14:textId="77777777" w:rsidR="000B74FD" w:rsidRDefault="000B74FD" w:rsidP="000B74FD">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24518216" w14:textId="77777777" w:rsidR="000B74FD" w:rsidRDefault="000B74FD" w:rsidP="000B74FD">
      <w:pPr>
        <w:widowControl w:val="0"/>
        <w:autoSpaceDE w:val="0"/>
        <w:autoSpaceDN w:val="0"/>
        <w:spacing w:after="0" w:line="276" w:lineRule="auto"/>
        <w:jc w:val="both"/>
        <w:rPr>
          <w:rFonts w:ascii="Verdana" w:hAnsi="Verdana" w:cs="Arial"/>
          <w:color w:val="000000" w:themeColor="text1"/>
          <w:shd w:val="clear" w:color="auto" w:fill="FFFFFF"/>
          <w:lang w:val="es-ES"/>
        </w:rPr>
      </w:pPr>
      <w:r>
        <w:rPr>
          <w:rFonts w:ascii="Verdana" w:hAnsi="Verdana" w:cs="Arial"/>
          <w:color w:val="000000" w:themeColor="text1"/>
          <w:shd w:val="clear" w:color="auto" w:fill="FFFFFF"/>
          <w:lang w:val="es-ES"/>
        </w:rPr>
        <w:t>También le contamos que ya se encuentra disponible la </w:t>
      </w:r>
      <w:r>
        <w:rPr>
          <w:rFonts w:ascii="Verdana" w:hAnsi="Verdana" w:cs="Arial"/>
          <w:b/>
          <w:bCs/>
          <w:color w:val="000000" w:themeColor="text1"/>
          <w:shd w:val="clear" w:color="auto" w:fill="FFFFFF"/>
          <w:lang w:val="es-ES"/>
        </w:rPr>
        <w:t>Guía de lineamientos de transparencia y selección objetiva para el departamento de La Guajira – Objetivo sexto constitucional de la Sentencia T-302 del 2017. </w:t>
      </w:r>
      <w:r>
        <w:rPr>
          <w:rFonts w:ascii="Verdana" w:hAnsi="Verdana" w:cs="Arial"/>
          <w:color w:val="000000" w:themeColor="text1"/>
          <w:shd w:val="clear" w:color="auto" w:fill="FFFFFF"/>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s="Arial"/>
          <w:color w:val="000000" w:themeColor="text1"/>
          <w:shd w:val="clear" w:color="auto" w:fill="FFFFFF"/>
          <w:lang w:val="es-ES"/>
        </w:rPr>
        <w:t>Wayúu</w:t>
      </w:r>
      <w:proofErr w:type="spellEnd"/>
      <w:r>
        <w:rPr>
          <w:rFonts w:ascii="Verdana" w:hAnsi="Verdana" w:cs="Arial"/>
          <w:color w:val="000000" w:themeColor="text1"/>
          <w:shd w:val="clear" w:color="auto" w:fill="FFFFFF"/>
          <w:lang w:val="es-ES"/>
        </w:rPr>
        <w:t>. Puede consultar la guía en el siguiente enlace: </w:t>
      </w:r>
      <w:hyperlink r:id="rId15" w:tgtFrame="_blank" w:tooltip="Original URL: https://www.colombiacompra.gov.co/wp-content/uploads/2025/05/GUIA-DE-LINEAMIENTOS-DE-TRANSPARENCIA-Y-SELECCION-OBJETIVA-1.0.pdf. Click or tap if you trust this link." w:history="1">
        <w:r>
          <w:rPr>
            <w:rStyle w:val="Hipervnculo"/>
            <w:rFonts w:ascii="Verdana" w:hAnsi="Verdana" w:cs="Arial"/>
            <w:shd w:val="clear" w:color="auto" w:fill="FFFFFF"/>
            <w:lang w:val="es-ES"/>
          </w:rPr>
          <w:t>Guía de lineamientos de transparencia y selección objetiva para el departamento de La Guajira – Objetivo sexto constitucional de la Sentencia T-302 del 2017</w:t>
        </w:r>
      </w:hyperlink>
      <w:r>
        <w:rPr>
          <w:rFonts w:ascii="Verdana" w:hAnsi="Verdana" w:cs="Arial"/>
          <w:color w:val="000000" w:themeColor="text1"/>
          <w:u w:val="single"/>
          <w:shd w:val="clear" w:color="auto" w:fill="FFFFFF"/>
          <w:lang w:val="es-ES"/>
        </w:rPr>
        <w:t>"</w:t>
      </w:r>
    </w:p>
    <w:p w14:paraId="65F85590" w14:textId="77777777" w:rsidR="000B74FD" w:rsidRDefault="000B74FD" w:rsidP="000B74FD">
      <w:pPr>
        <w:widowControl w:val="0"/>
        <w:autoSpaceDE w:val="0"/>
        <w:autoSpaceDN w:val="0"/>
        <w:spacing w:after="0" w:line="276" w:lineRule="auto"/>
        <w:jc w:val="both"/>
        <w:rPr>
          <w:rStyle w:val="normaltextrun"/>
          <w:lang w:val="es-ES"/>
        </w:rPr>
      </w:pPr>
    </w:p>
    <w:p w14:paraId="02F771C6" w14:textId="77777777" w:rsidR="000B74FD" w:rsidRDefault="000B74FD" w:rsidP="000B74FD">
      <w:pPr>
        <w:spacing w:after="0" w:line="276" w:lineRule="auto"/>
        <w:jc w:val="both"/>
        <w:rPr>
          <w:lang w:val="es-ES"/>
        </w:rPr>
      </w:pPr>
      <w:r>
        <w:rPr>
          <w:rFonts w:ascii="Verdana" w:hAnsi="Verdana"/>
          <w:lang w:val="es-ES"/>
        </w:rPr>
        <w:t xml:space="preserve">Por último, lo invitamos a seguirnos en las redes sociales en las cuales se difunde información institucional: </w:t>
      </w:r>
    </w:p>
    <w:p w14:paraId="69D46117" w14:textId="77777777" w:rsidR="000B74FD" w:rsidRDefault="000B74FD" w:rsidP="000B74FD">
      <w:pPr>
        <w:spacing w:after="0" w:line="276" w:lineRule="auto"/>
        <w:jc w:val="both"/>
        <w:rPr>
          <w:rFonts w:ascii="Verdana" w:hAnsi="Verdana"/>
          <w:lang w:val="es-ES"/>
        </w:rPr>
      </w:pPr>
    </w:p>
    <w:p w14:paraId="139D96FD" w14:textId="77777777" w:rsidR="000B74FD" w:rsidRDefault="000B74FD" w:rsidP="000B74FD">
      <w:pPr>
        <w:spacing w:after="0" w:line="276" w:lineRule="auto"/>
        <w:jc w:val="both"/>
        <w:rPr>
          <w:rFonts w:ascii="Verdana" w:hAnsi="Verdana"/>
          <w:lang w:val="es-ES"/>
        </w:rPr>
      </w:pPr>
      <w:r>
        <w:rPr>
          <w:rFonts w:ascii="Verdana" w:hAnsi="Verdana"/>
          <w:lang w:val="es-ES"/>
        </w:rPr>
        <w:t xml:space="preserve">Twitter: </w:t>
      </w:r>
      <w:r>
        <w:rPr>
          <w:rStyle w:val="Hipervnculo"/>
          <w:rFonts w:ascii="Verdana" w:hAnsi="Verdana" w:cs="Arial"/>
          <w:shd w:val="clear" w:color="auto" w:fill="FFFFFF"/>
          <w:lang w:val="es-ES"/>
        </w:rPr>
        <w:t>@colombiacompra</w:t>
      </w:r>
      <w:r>
        <w:rPr>
          <w:rFonts w:ascii="Verdana" w:hAnsi="Verdana"/>
          <w:color w:val="4472C4" w:themeColor="accent1"/>
          <w:lang w:val="es-ES"/>
        </w:rPr>
        <w:t xml:space="preserve"> </w:t>
      </w:r>
    </w:p>
    <w:p w14:paraId="1FB6140C" w14:textId="77777777" w:rsidR="000B74FD" w:rsidRDefault="000B74FD" w:rsidP="000B74FD">
      <w:pPr>
        <w:spacing w:after="0" w:line="276" w:lineRule="auto"/>
        <w:jc w:val="both"/>
        <w:rPr>
          <w:rFonts w:ascii="Verdana" w:hAnsi="Verdana"/>
          <w:lang w:val="es-ES"/>
        </w:rPr>
      </w:pPr>
      <w:r>
        <w:rPr>
          <w:rFonts w:ascii="Verdana" w:hAnsi="Verdana"/>
          <w:lang w:val="es-ES"/>
        </w:rPr>
        <w:t xml:space="preserve">Facebook: </w:t>
      </w:r>
      <w:proofErr w:type="spellStart"/>
      <w:r>
        <w:rPr>
          <w:rStyle w:val="Hipervnculo"/>
          <w:rFonts w:ascii="Verdana" w:hAnsi="Verdana" w:cs="Arial"/>
          <w:shd w:val="clear" w:color="auto" w:fill="FFFFFF"/>
          <w:lang w:val="es-ES"/>
        </w:rPr>
        <w:t>ColombiaCompraEficiente</w:t>
      </w:r>
      <w:proofErr w:type="spellEnd"/>
    </w:p>
    <w:p w14:paraId="272BC350" w14:textId="77777777" w:rsidR="000B74FD" w:rsidRDefault="000B74FD" w:rsidP="000B74FD">
      <w:pPr>
        <w:spacing w:after="0" w:line="276" w:lineRule="auto"/>
        <w:jc w:val="both"/>
        <w:rPr>
          <w:rFonts w:ascii="Verdana" w:hAnsi="Verdana"/>
          <w:lang w:val="es-ES"/>
        </w:rPr>
      </w:pPr>
      <w:r>
        <w:rPr>
          <w:rFonts w:ascii="Verdana" w:hAnsi="Verdana"/>
          <w:lang w:val="es-ES"/>
        </w:rPr>
        <w:t xml:space="preserve">LinkedIn: </w:t>
      </w:r>
      <w:r>
        <w:rPr>
          <w:rStyle w:val="Hipervnculo"/>
          <w:rFonts w:ascii="Verdana" w:hAnsi="Verdana" w:cs="Arial"/>
          <w:shd w:val="clear" w:color="auto" w:fill="FFFFFF"/>
          <w:lang w:val="es-ES"/>
        </w:rPr>
        <w:t xml:space="preserve">Agencia Nacional de Contratación Pública - Colombia Compra Eficiente </w:t>
      </w:r>
      <w:r>
        <w:rPr>
          <w:rFonts w:ascii="Verdana" w:hAnsi="Verdana"/>
          <w:lang w:val="es-ES"/>
        </w:rPr>
        <w:t xml:space="preserve">Instagram: </w:t>
      </w:r>
      <w:r>
        <w:rPr>
          <w:rStyle w:val="Hipervnculo"/>
          <w:rFonts w:ascii="Verdana" w:hAnsi="Verdana" w:cs="Arial"/>
          <w:shd w:val="clear" w:color="auto" w:fill="FFFFFF"/>
          <w:lang w:val="es-ES"/>
        </w:rPr>
        <w:t>@colombiacompraeficiente_cce</w:t>
      </w:r>
    </w:p>
    <w:p w14:paraId="54F09B51" w14:textId="77777777" w:rsidR="000B74FD" w:rsidRDefault="000B74FD" w:rsidP="000B74FD">
      <w:pPr>
        <w:widowControl w:val="0"/>
        <w:autoSpaceDE w:val="0"/>
        <w:autoSpaceDN w:val="0"/>
        <w:spacing w:after="0" w:line="276" w:lineRule="auto"/>
        <w:jc w:val="both"/>
        <w:rPr>
          <w:rFonts w:ascii="Verdana" w:hAnsi="Verdana" w:cs="Arial"/>
          <w:color w:val="000000" w:themeColor="text1"/>
          <w:lang w:val="es-ES"/>
        </w:rPr>
      </w:pPr>
    </w:p>
    <w:p w14:paraId="2D8368AA" w14:textId="77777777" w:rsidR="000B74FD" w:rsidRDefault="000B74FD" w:rsidP="000B74FD">
      <w:pPr>
        <w:widowControl w:val="0"/>
        <w:autoSpaceDE w:val="0"/>
        <w:autoSpaceDN w:val="0"/>
        <w:spacing w:after="0" w:line="276" w:lineRule="auto"/>
        <w:jc w:val="both"/>
        <w:rPr>
          <w:rFonts w:ascii="Verdana" w:hAnsi="Verdana" w:cs="Arial"/>
          <w:color w:val="000000" w:themeColor="text1"/>
          <w:lang w:val="es-ES"/>
        </w:rPr>
      </w:pPr>
      <w:r>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5530D5D" w14:textId="77777777" w:rsidR="000B74FD" w:rsidRDefault="000B74FD" w:rsidP="000B74FD">
      <w:pPr>
        <w:widowControl w:val="0"/>
        <w:autoSpaceDE w:val="0"/>
        <w:autoSpaceDN w:val="0"/>
        <w:spacing w:after="0" w:line="276" w:lineRule="auto"/>
        <w:jc w:val="both"/>
        <w:rPr>
          <w:rFonts w:ascii="Verdana" w:hAnsi="Verdana" w:cs="Arial"/>
          <w:color w:val="000000" w:themeColor="text1"/>
          <w:lang w:val="es-ES"/>
        </w:rPr>
      </w:pPr>
    </w:p>
    <w:p w14:paraId="7E3466D3" w14:textId="77777777" w:rsidR="000B74FD" w:rsidRDefault="000B74FD" w:rsidP="000B74FD">
      <w:pPr>
        <w:spacing w:after="0" w:line="276" w:lineRule="auto"/>
        <w:rPr>
          <w:rFonts w:ascii="Verdana" w:hAnsi="Verdana" w:cs="Arial"/>
          <w:color w:val="000000" w:themeColor="text1"/>
          <w:lang w:val="es-ES" w:eastAsia="es-CO"/>
        </w:rPr>
      </w:pPr>
      <w:r>
        <w:rPr>
          <w:rFonts w:ascii="Verdana" w:eastAsia="Times New Roman" w:hAnsi="Verdana" w:cs="Arial"/>
          <w:color w:val="000000" w:themeColor="text1"/>
          <w:lang w:val="es-ES" w:eastAsia="es-CO"/>
        </w:rPr>
        <w:t>Atentamente,</w:t>
      </w:r>
      <w:r>
        <w:rPr>
          <w:rFonts w:ascii="Verdana" w:hAnsi="Verdana" w:cs="Arial"/>
          <w:color w:val="000000" w:themeColor="text1"/>
          <w:lang w:val="es-ES" w:eastAsia="es-CO"/>
        </w:rPr>
        <w:t xml:space="preserve"> </w:t>
      </w:r>
    </w:p>
    <w:p w14:paraId="3B5995C7" w14:textId="60BD7DC9" w:rsidR="000B74FD" w:rsidRDefault="00737035" w:rsidP="000B74FD">
      <w:pPr>
        <w:spacing w:line="276" w:lineRule="auto"/>
        <w:jc w:val="center"/>
        <w:rPr>
          <w:rFonts w:ascii="Verdana" w:hAnsi="Verdana" w:cs="Arial"/>
          <w:color w:val="000000" w:themeColor="text1"/>
          <w:lang w:val="es-ES" w:eastAsia="es-CO"/>
        </w:rPr>
      </w:pPr>
      <w:r>
        <w:rPr>
          <w:noProof/>
        </w:rPr>
        <w:lastRenderedPageBreak/>
        <w:drawing>
          <wp:inline distT="0" distB="0" distL="0" distR="0" wp14:anchorId="608F7111" wp14:editId="79F18C56">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360420" cy="1135380"/>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0B74FD" w14:paraId="43C57CC9" w14:textId="77777777">
        <w:trPr>
          <w:trHeight w:val="315"/>
        </w:trPr>
        <w:tc>
          <w:tcPr>
            <w:tcW w:w="893" w:type="dxa"/>
            <w:vAlign w:val="center"/>
            <w:hideMark/>
          </w:tcPr>
          <w:p w14:paraId="76D3C722" w14:textId="77777777" w:rsidR="000B74FD" w:rsidRDefault="000B74FD">
            <w:pPr>
              <w:spacing w:after="255" w:line="254" w:lineRule="auto"/>
              <w:contextualSpacing/>
              <w:rPr>
                <w:rFonts w:ascii="Verdana" w:eastAsia="Calibri" w:hAnsi="Verdana" w:cs="Arial"/>
                <w:sz w:val="16"/>
                <w:szCs w:val="16"/>
                <w:lang w:val="es-ES" w:eastAsia="es-ES"/>
              </w:rPr>
            </w:pPr>
            <w:r>
              <w:rPr>
                <w:rFonts w:ascii="Verdana" w:eastAsia="Calibri"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58B6D5F" w14:textId="77777777" w:rsidR="000B74FD" w:rsidRDefault="000B74FD">
            <w:pPr>
              <w:spacing w:after="255" w:line="254" w:lineRule="auto"/>
              <w:contextualSpacing/>
              <w:rPr>
                <w:rFonts w:ascii="Verdana" w:eastAsia="Calibri" w:hAnsi="Verdana" w:cs="Times New Roman"/>
                <w:sz w:val="16"/>
                <w:szCs w:val="16"/>
              </w:rPr>
            </w:pPr>
            <w:r>
              <w:rPr>
                <w:rFonts w:ascii="Verdana" w:eastAsia="Calibri" w:hAnsi="Verdana" w:cs="Times New Roman"/>
                <w:sz w:val="16"/>
                <w:szCs w:val="16"/>
              </w:rPr>
              <w:t>Tatiana Baquero Iguarán</w:t>
            </w:r>
          </w:p>
          <w:p w14:paraId="40EF9F77" w14:textId="77777777" w:rsidR="000B74FD" w:rsidRDefault="000B74FD">
            <w:pPr>
              <w:spacing w:after="255" w:line="254" w:lineRule="auto"/>
              <w:contextualSpacing/>
              <w:rPr>
                <w:rFonts w:ascii="Verdana" w:eastAsia="Arial" w:hAnsi="Verdana" w:cs="Arial"/>
                <w:sz w:val="16"/>
                <w:szCs w:val="16"/>
              </w:rPr>
            </w:pPr>
            <w:r>
              <w:rPr>
                <w:rFonts w:ascii="Verdana" w:eastAsia="Calibri" w:hAnsi="Verdana" w:cs="Times New Roman"/>
                <w:sz w:val="16"/>
                <w:szCs w:val="16"/>
              </w:rPr>
              <w:t>Contratista de la Subdirección de Gestión Contractual</w:t>
            </w:r>
          </w:p>
        </w:tc>
      </w:tr>
      <w:tr w:rsidR="000B74FD" w14:paraId="1483FB2A" w14:textId="77777777">
        <w:trPr>
          <w:trHeight w:val="330"/>
        </w:trPr>
        <w:tc>
          <w:tcPr>
            <w:tcW w:w="893" w:type="dxa"/>
            <w:vAlign w:val="center"/>
            <w:hideMark/>
          </w:tcPr>
          <w:p w14:paraId="0A50FBB9" w14:textId="77777777" w:rsidR="000B74FD" w:rsidRDefault="000B74FD">
            <w:pPr>
              <w:spacing w:after="255" w:line="254" w:lineRule="auto"/>
              <w:contextualSpacing/>
              <w:rPr>
                <w:rFonts w:ascii="Verdana" w:eastAsia="Calibri" w:hAnsi="Verdana" w:cs="Arial"/>
                <w:sz w:val="16"/>
                <w:szCs w:val="16"/>
                <w:lang w:val="es-ES" w:eastAsia="es-ES"/>
              </w:rPr>
            </w:pPr>
            <w:r>
              <w:rPr>
                <w:rFonts w:ascii="Verdana" w:eastAsia="Calibri"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D58D5F" w14:textId="77777777" w:rsidR="000B74FD" w:rsidRDefault="000B74FD">
            <w:pPr>
              <w:spacing w:before="100" w:beforeAutospacing="1" w:after="100" w:afterAutospacing="1" w:line="254"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Alejandro Sarmiento Cantillo</w:t>
            </w:r>
          </w:p>
          <w:p w14:paraId="1E9D52F3" w14:textId="77777777" w:rsidR="000B74FD" w:rsidRDefault="000B74FD">
            <w:pPr>
              <w:spacing w:after="255" w:line="254" w:lineRule="auto"/>
              <w:contextualSpacing/>
              <w:textAlignment w:val="baseline"/>
              <w:rPr>
                <w:rFonts w:ascii="Verdana" w:eastAsia="Times New Roman" w:hAnsi="Verdana" w:cs="Segoe UI"/>
                <w:sz w:val="16"/>
                <w:szCs w:val="16"/>
                <w:lang w:eastAsia="es-ES_tradnl"/>
              </w:rPr>
            </w:pPr>
            <w:r>
              <w:rPr>
                <w:rFonts w:ascii="Verdana" w:eastAsia="Times New Roman" w:hAnsi="Verdana" w:cs="Arial"/>
                <w:sz w:val="16"/>
                <w:szCs w:val="16"/>
                <w:lang w:val="es-ES" w:eastAsia="es-ES_tradnl"/>
              </w:rPr>
              <w:t>Gestor T1 ‒ 15 de la Subdirección de Gestión Contractual</w:t>
            </w:r>
            <w:r>
              <w:rPr>
                <w:rFonts w:ascii="Verdana" w:eastAsia="Times New Roman" w:hAnsi="Verdana" w:cs="Arial"/>
                <w:sz w:val="16"/>
                <w:szCs w:val="16"/>
                <w:lang w:eastAsia="es-ES_tradnl"/>
              </w:rPr>
              <w:t> </w:t>
            </w:r>
          </w:p>
        </w:tc>
      </w:tr>
      <w:tr w:rsidR="000B74FD" w14:paraId="179D0ED6" w14:textId="77777777">
        <w:trPr>
          <w:trHeight w:val="300"/>
        </w:trPr>
        <w:tc>
          <w:tcPr>
            <w:tcW w:w="893" w:type="dxa"/>
            <w:vAlign w:val="center"/>
            <w:hideMark/>
          </w:tcPr>
          <w:p w14:paraId="2647274B" w14:textId="77777777" w:rsidR="000B74FD" w:rsidRDefault="000B74FD">
            <w:pPr>
              <w:spacing w:after="255" w:line="254" w:lineRule="auto"/>
              <w:contextualSpacing/>
              <w:rPr>
                <w:rFonts w:ascii="Verdana" w:eastAsia="Calibri" w:hAnsi="Verdana" w:cs="Arial"/>
                <w:sz w:val="16"/>
                <w:szCs w:val="16"/>
                <w:lang w:val="es-ES" w:eastAsia="es-ES"/>
              </w:rPr>
            </w:pPr>
            <w:r>
              <w:rPr>
                <w:rFonts w:ascii="Verdana" w:eastAsia="Calibri"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2BB2218" w14:textId="77777777" w:rsidR="000B74FD" w:rsidRDefault="000B74FD">
            <w:pPr>
              <w:spacing w:after="255" w:line="254" w:lineRule="auto"/>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3017AEE3" w14:textId="77777777" w:rsidR="000B74FD" w:rsidRDefault="000B74FD">
            <w:pPr>
              <w:spacing w:after="255" w:line="254" w:lineRule="auto"/>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Contratual ANCP – CCE</w:t>
            </w:r>
          </w:p>
        </w:tc>
      </w:tr>
    </w:tbl>
    <w:p w14:paraId="7F4EEF72" w14:textId="77777777" w:rsidR="000B74FD" w:rsidRDefault="000B74FD" w:rsidP="000B74FD"/>
    <w:p w14:paraId="1244E21A" w14:textId="77777777" w:rsidR="000B74FD" w:rsidRDefault="000B74FD" w:rsidP="000B74FD"/>
    <w:bookmarkEnd w:id="0"/>
    <w:p w14:paraId="7D2F285F" w14:textId="77777777" w:rsidR="00E54B56" w:rsidRDefault="00E54B56" w:rsidP="000B5ECB">
      <w:pPr>
        <w:spacing w:after="0" w:line="240" w:lineRule="auto"/>
        <w:rPr>
          <w:rFonts w:ascii="Verdana" w:hAnsi="Verdana"/>
          <w:lang w:val="es-ES"/>
        </w:rPr>
      </w:pPr>
    </w:p>
    <w:sectPr w:rsidR="00E54B56"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B94977" w14:textId="77777777" w:rsidR="00E451AB" w:rsidRDefault="00E451AB" w:rsidP="004A1847">
      <w:pPr>
        <w:spacing w:after="0" w:line="240" w:lineRule="auto"/>
      </w:pPr>
      <w:r>
        <w:separator/>
      </w:r>
    </w:p>
  </w:endnote>
  <w:endnote w:type="continuationSeparator" w:id="0">
    <w:p w14:paraId="7113A752" w14:textId="77777777" w:rsidR="00E451AB" w:rsidRDefault="00E451AB" w:rsidP="004A1847">
      <w:pPr>
        <w:spacing w:after="0" w:line="240" w:lineRule="auto"/>
      </w:pPr>
      <w:r>
        <w:continuationSeparator/>
      </w:r>
    </w:p>
  </w:endnote>
  <w:endnote w:type="continuationNotice" w:id="1">
    <w:p w14:paraId="14932CD2" w14:textId="77777777" w:rsidR="00E451AB" w:rsidRDefault="00E451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9CD7A" w14:textId="77777777" w:rsidR="00E451AB" w:rsidRDefault="00E451AB" w:rsidP="004A1847">
      <w:pPr>
        <w:spacing w:after="0" w:line="240" w:lineRule="auto"/>
      </w:pPr>
      <w:r>
        <w:separator/>
      </w:r>
    </w:p>
  </w:footnote>
  <w:footnote w:type="continuationSeparator" w:id="0">
    <w:p w14:paraId="5C45E32A" w14:textId="77777777" w:rsidR="00E451AB" w:rsidRDefault="00E451AB" w:rsidP="004A1847">
      <w:pPr>
        <w:spacing w:after="0" w:line="240" w:lineRule="auto"/>
      </w:pPr>
      <w:r>
        <w:continuationSeparator/>
      </w:r>
    </w:p>
  </w:footnote>
  <w:footnote w:type="continuationNotice" w:id="1">
    <w:p w14:paraId="335AA156" w14:textId="77777777" w:rsidR="00E451AB" w:rsidRDefault="00E451AB">
      <w:pPr>
        <w:spacing w:after="0" w:line="240" w:lineRule="auto"/>
      </w:pPr>
    </w:p>
  </w:footnote>
  <w:footnote w:id="2">
    <w:p w14:paraId="77A2B252" w14:textId="77777777" w:rsidR="000B74FD" w:rsidRDefault="000B74FD" w:rsidP="000B74FD">
      <w:pPr>
        <w:pStyle w:val="Textonotapie"/>
        <w:ind w:firstLine="709"/>
        <w:jc w:val="both"/>
        <w:rPr>
          <w:rFonts w:ascii="Verdana" w:eastAsia="Calibri" w:hAnsi="Verdana" w:cs="Arial"/>
          <w:sz w:val="16"/>
          <w:szCs w:val="16"/>
          <w:lang w:val="es-ES_tradnl" w:eastAsia="es-ES_tradnl"/>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379FDA71" w14:textId="77777777" w:rsidR="000B74FD" w:rsidRDefault="000B74FD" w:rsidP="000B74FD">
      <w:pPr>
        <w:pStyle w:val="Textonotapie"/>
        <w:ind w:firstLine="709"/>
        <w:jc w:val="both"/>
        <w:rPr>
          <w:rFonts w:ascii="Verdana" w:hAnsi="Verdana" w:cs="Arial"/>
          <w:sz w:val="16"/>
          <w:szCs w:val="16"/>
          <w:lang w:val="es-ES"/>
        </w:rPr>
      </w:pPr>
      <w:r>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0A8BF533" w14:textId="77777777" w:rsidR="000B74FD" w:rsidRDefault="000B74FD" w:rsidP="000B74FD">
      <w:pPr>
        <w:spacing w:line="240" w:lineRule="auto"/>
        <w:ind w:firstLine="708"/>
        <w:contextualSpacing/>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CONSEJO DE ESTADO. Sala de lo Contencioso Administrativo. Sección Tercera Subsección A. C.P.: María Adriana Marín. Sentencia del 22 de agosto de 2023. Radicación número: 85001-23-33-000-2015-00211-01 (58.634). </w:t>
      </w:r>
    </w:p>
  </w:footnote>
  <w:footnote w:id="4">
    <w:p w14:paraId="364A5854" w14:textId="77777777" w:rsidR="000B74FD" w:rsidRDefault="000B74FD" w:rsidP="000B74FD">
      <w:pPr>
        <w:pStyle w:val="Textonotapie"/>
        <w:ind w:firstLine="708"/>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CO"/>
        </w:rPr>
        <w:t xml:space="preserve">CONSEJO DE ESTADO. Sala de Consulta y Servicio Civil. C..P: Édgar González López. Sentencia del 5 de septiembre de 2018. Expediente: 2386. </w:t>
      </w:r>
    </w:p>
  </w:footnote>
  <w:footnote w:id="5">
    <w:p w14:paraId="5D2B6E33" w14:textId="77777777" w:rsidR="000B74FD" w:rsidRDefault="000B74FD" w:rsidP="000B74FD">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CONSEJO DE ESTADO. Sala de lo Contencioso Administrativo. Sección Tercera. Subsección A. C.P.: Hernán Andrade Rincón (E). Sentencia del 29 de julio de 2015. Radicación número: 68001-23-31-000-2002-02796-01 (41.008).</w:t>
      </w:r>
    </w:p>
    <w:p w14:paraId="662F72A4" w14:textId="77777777" w:rsidR="000B74FD" w:rsidRDefault="000B74FD" w:rsidP="000B74FD">
      <w:pPr>
        <w:pStyle w:val="Textonotapie"/>
        <w:jc w:val="both"/>
        <w:rPr>
          <w:rFonts w:ascii="Verdana" w:hAnsi="Verdana"/>
          <w:sz w:val="16"/>
          <w:szCs w:val="16"/>
        </w:rPr>
      </w:pPr>
    </w:p>
  </w:footnote>
  <w:footnote w:id="6">
    <w:p w14:paraId="454DEECB" w14:textId="77777777" w:rsidR="000B74FD" w:rsidRDefault="000B74FD" w:rsidP="000B74FD">
      <w:pPr>
        <w:pStyle w:val="Textonotapie"/>
        <w:ind w:firstLine="709"/>
        <w:jc w:val="both"/>
        <w:rPr>
          <w:rFonts w:ascii="Verdana" w:hAnsi="Verdana" w:cs="Arial"/>
          <w:color w:val="000000" w:themeColor="text1"/>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color w:val="000000" w:themeColor="text1"/>
          <w:sz w:val="16"/>
          <w:szCs w:val="16"/>
        </w:rPr>
        <w:t xml:space="preserve">CONSEJO DE ESTADO. </w:t>
      </w:r>
      <w:r>
        <w:rPr>
          <w:rFonts w:ascii="Verdana" w:hAnsi="Verdana"/>
          <w:sz w:val="16"/>
          <w:szCs w:val="16"/>
        </w:rPr>
        <w:t xml:space="preserve">Sala de lo Contencioso Administrativo. </w:t>
      </w:r>
      <w:r>
        <w:rPr>
          <w:rFonts w:ascii="Verdana" w:hAnsi="Verdana" w:cs="Arial"/>
          <w:color w:val="000000" w:themeColor="text1"/>
          <w:sz w:val="16"/>
          <w:szCs w:val="16"/>
        </w:rPr>
        <w:t xml:space="preserve">Sección Tercera. Subsección B. </w:t>
      </w:r>
      <w:r>
        <w:rPr>
          <w:rFonts w:ascii="Verdana" w:hAnsi="Verdana"/>
          <w:sz w:val="16"/>
          <w:szCs w:val="16"/>
          <w:lang w:val="es-CO"/>
        </w:rPr>
        <w:t xml:space="preserve">C.P: </w:t>
      </w:r>
      <w:r>
        <w:rPr>
          <w:rFonts w:ascii="Verdana" w:hAnsi="Verdana" w:cs="Arial"/>
          <w:color w:val="000000" w:themeColor="text1"/>
          <w:sz w:val="16"/>
          <w:szCs w:val="16"/>
        </w:rPr>
        <w:t>Ruth Stella Correa Palacio. Sentencia del 14 de octubre de 2011. Expediente: 20811.</w:t>
      </w:r>
    </w:p>
  </w:footnote>
  <w:footnote w:id="7">
    <w:p w14:paraId="59CECD31" w14:textId="77777777" w:rsidR="000B74FD" w:rsidRDefault="000B74FD" w:rsidP="000B74FD">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CONSEJO DE ESTADO. Sección Tercera. Subsección B. Sentencia del 29 de febrero de 2012. Exp. 16371, C.P. Danilo Rojas Betancourth.</w:t>
      </w:r>
    </w:p>
  </w:footnote>
  <w:footnote w:id="8">
    <w:p w14:paraId="6DA2BCC5" w14:textId="77777777" w:rsidR="000B74FD" w:rsidRDefault="000B74FD" w:rsidP="000B74FD">
      <w:pPr>
        <w:pStyle w:val="Textonotapie"/>
        <w:ind w:firstLine="708"/>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CO"/>
        </w:rPr>
        <w:t>Consejo de Estado. Sección Tercera. Sentencia del 29 de febrero de 2012. Rad:16371</w:t>
      </w:r>
    </w:p>
  </w:footnote>
  <w:footnote w:id="9">
    <w:p w14:paraId="1730C7F5" w14:textId="77777777" w:rsidR="000B74FD" w:rsidRDefault="000B74FD" w:rsidP="000B74FD">
      <w:pPr>
        <w:pStyle w:val="Textonotapie"/>
        <w:ind w:firstLine="708"/>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ES"/>
        </w:rPr>
        <w:t>Ídem.</w:t>
      </w:r>
    </w:p>
  </w:footnote>
  <w:footnote w:id="10">
    <w:p w14:paraId="4573B52E" w14:textId="77777777" w:rsidR="000B74FD" w:rsidRDefault="000B74FD" w:rsidP="000B74FD">
      <w:pPr>
        <w:pStyle w:val="Textonotapie"/>
        <w:ind w:firstLine="708"/>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CO"/>
        </w:rPr>
        <w:t>Consejo de Estado. Sección Tercera. Sentencia del 14 de marzo de 2013. Rad:20.524.</w:t>
      </w:r>
    </w:p>
  </w:footnote>
  <w:footnote w:id="11">
    <w:p w14:paraId="02FA81E0" w14:textId="77777777" w:rsidR="000B74FD" w:rsidRDefault="000B74FD" w:rsidP="000B74FD">
      <w:pPr>
        <w:pStyle w:val="Textonotapie"/>
        <w:ind w:firstLine="708"/>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Consejo de Estado. Sección Tercera. Sentencia del veintiocho (28) de febrero de dos mil veintidós (2022). C.P. Nicolás Yepes Corrales. Rad. 65483.</w:t>
      </w:r>
    </w:p>
  </w:footnote>
  <w:footnote w:id="12">
    <w:p w14:paraId="5F5531E2" w14:textId="77777777" w:rsidR="000B74FD" w:rsidRDefault="000B74FD" w:rsidP="000B74FD">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13">
    <w:p w14:paraId="62679E31" w14:textId="77777777" w:rsidR="000B74FD" w:rsidRDefault="000B74FD" w:rsidP="000B74FD">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CONSEJO DE ESTADO. Sección Tercera. Subsección B. Sentencia del 14 de octubre de 2011. Exp. 20811, C.P. Ruth Stella Correa Palacio.</w:t>
      </w:r>
    </w:p>
  </w:footnote>
  <w:footnote w:id="14">
    <w:p w14:paraId="3C2CAEA5" w14:textId="77777777" w:rsidR="000B74FD" w:rsidRDefault="000B74FD" w:rsidP="000B74FD">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15">
    <w:p w14:paraId="1934B88D" w14:textId="77777777" w:rsidR="000B74FD" w:rsidRDefault="000B74FD" w:rsidP="000B74FD">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16">
    <w:p w14:paraId="1698AD13" w14:textId="77777777" w:rsidR="000B74FD" w:rsidRDefault="000B74FD" w:rsidP="000B74FD">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Pr>
          <w:rFonts w:ascii="Verdana" w:hAnsi="Verdana" w:cs="Arial"/>
          <w:sz w:val="16"/>
          <w:szCs w:val="16"/>
          <w:lang w:val="es-ES_tradnl"/>
        </w:rPr>
        <w:t xml:space="preserve"> </w:t>
      </w:r>
    </w:p>
  </w:footnote>
  <w:footnote w:id="17">
    <w:p w14:paraId="7A34800D" w14:textId="77777777" w:rsidR="000B74FD" w:rsidRDefault="000B74FD" w:rsidP="000B74FD">
      <w:pPr>
        <w:pStyle w:val="Textonotapie"/>
        <w:ind w:firstLine="709"/>
        <w:jc w:val="both"/>
        <w:rPr>
          <w:rFonts w:ascii="Verdana" w:eastAsia="Calibri" w:hAnsi="Verdana" w:cs="Arial"/>
          <w:sz w:val="16"/>
          <w:szCs w:val="16"/>
          <w:lang w:val="es-ES_tradnl" w:eastAsia="es-ES_tradnl"/>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MARÍN, Op. Cit., pp. 64-65.</w:t>
      </w:r>
    </w:p>
  </w:footnote>
  <w:footnote w:id="18">
    <w:p w14:paraId="4B215DDF" w14:textId="77777777" w:rsidR="000B74FD" w:rsidRDefault="000B74FD" w:rsidP="000B74FD">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Ibíd., p. 66.</w:t>
      </w:r>
    </w:p>
  </w:footnote>
  <w:footnote w:id="19">
    <w:p w14:paraId="5A1B0442" w14:textId="77777777" w:rsidR="000B74FD" w:rsidRDefault="000B74FD" w:rsidP="000B74FD">
      <w:pPr>
        <w:pStyle w:val="Textonotapie"/>
        <w:ind w:firstLine="708"/>
        <w:jc w:val="both"/>
        <w:rPr>
          <w:rFonts w:ascii="Verdana" w:hAnsi="Verdana" w:cs="Arial"/>
          <w:bCs/>
          <w:sz w:val="16"/>
          <w:szCs w:val="16"/>
          <w:lang w:val="es-ES_tradnl"/>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20">
    <w:p w14:paraId="597F466B" w14:textId="77777777" w:rsidR="000B74FD" w:rsidRDefault="000B74FD" w:rsidP="000B74FD">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21">
    <w:p w14:paraId="02BD6D09" w14:textId="77777777" w:rsidR="000B74FD" w:rsidRDefault="000B74FD" w:rsidP="000B74FD">
      <w:pPr>
        <w:pStyle w:val="Textonotapie"/>
        <w:ind w:firstLine="709"/>
        <w:jc w:val="both"/>
        <w:rPr>
          <w:lang w:val="es-CO"/>
        </w:rPr>
      </w:pPr>
      <w:r>
        <w:rPr>
          <w:rStyle w:val="Refdenotaalpie"/>
        </w:rPr>
        <w:footnoteRef/>
      </w:r>
      <w:r>
        <w:t xml:space="preserve"> </w:t>
      </w:r>
      <w:r>
        <w:rPr>
          <w:rFonts w:ascii="Verdana" w:hAnsi="Verdana" w:cs="Arial"/>
          <w:sz w:val="16"/>
          <w:szCs w:val="16"/>
          <w:lang w:val="es-ES_tradnl"/>
        </w:rPr>
        <w:t>Consejo de Estado. Sala de Consulta y Servicio Civil. Concepto del 5 de septiembre de 2018, radicado No. 11001-03-06-000-2018-00124-00, C.P. Édgar González López</w:t>
      </w:r>
    </w:p>
  </w:footnote>
  <w:footnote w:id="22">
    <w:p w14:paraId="380CB6E8" w14:textId="77777777" w:rsidR="000B74FD" w:rsidRDefault="000B74FD" w:rsidP="000B74FD">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Ibíd, p. 77.</w:t>
      </w:r>
      <w:r>
        <w:rPr>
          <w:rFonts w:ascii="Verdana" w:hAnsi="Verdana" w:cs="Arial"/>
          <w:sz w:val="16"/>
          <w:szCs w:val="16"/>
          <w:lang w:val="es-ES_tradnl"/>
        </w:rPr>
        <w:t xml:space="preserve"> </w:t>
      </w:r>
    </w:p>
    <w:p w14:paraId="5AD1A472" w14:textId="77777777" w:rsidR="000B74FD" w:rsidRDefault="000B74FD" w:rsidP="000B74FD">
      <w:pPr>
        <w:pStyle w:val="Textonotapie"/>
        <w:ind w:firstLine="708"/>
        <w:jc w:val="both"/>
        <w:rPr>
          <w:rFonts w:ascii="Verdana" w:hAnsi="Verdana" w:cs="Arial"/>
          <w:sz w:val="16"/>
          <w:szCs w:val="16"/>
          <w:lang w:val="es-CO"/>
        </w:rPr>
      </w:pPr>
    </w:p>
  </w:footnote>
  <w:footnote w:id="23">
    <w:p w14:paraId="379E82CE" w14:textId="77777777" w:rsidR="000B74FD" w:rsidRDefault="000B74FD" w:rsidP="000B74FD">
      <w:pPr>
        <w:pStyle w:val="Textonotapie"/>
        <w:ind w:firstLine="709"/>
        <w:jc w:val="both"/>
        <w:rPr>
          <w:lang w:val="es-CO"/>
        </w:rPr>
      </w:pPr>
      <w:r>
        <w:rPr>
          <w:rStyle w:val="Refdenotaalpie"/>
        </w:rPr>
        <w:footnoteRef/>
      </w:r>
      <w:r>
        <w:t xml:space="preserve"> “El objeto de los viáticos es compensar al empleado o trabajador los gastos generados por el desplazamiento temporal del lugar donde trabaja para ir a otro sitio a cumplir una función laboral, donde tiene que soportar costos adicionales de alojamiento y alimentación básicamente”. Consejo</w:t>
      </w:r>
      <w:r>
        <w:rPr>
          <w:lang w:val="es-CO"/>
        </w:rPr>
        <w:t xml:space="preserve"> de Estado Sala de lo Contencioso Administrativo, Sección Segunda. Sentencia del cuatro (04) de junio de dos mil nueve (2009). Radicación número: 2091-07 CP: Gustavo Eduardo Gómez Aranguren.</w:t>
      </w:r>
    </w:p>
  </w:footnote>
  <w:footnote w:id="24">
    <w:p w14:paraId="570CE70F" w14:textId="77777777" w:rsidR="000B74FD" w:rsidRDefault="000B74FD" w:rsidP="000B74FD">
      <w:pPr>
        <w:pStyle w:val="Textonotapie"/>
        <w:ind w:firstLine="708"/>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El artículo 1501 del Código Civil dispone que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footnote>
  <w:footnote w:id="25">
    <w:p w14:paraId="25091C91" w14:textId="77777777" w:rsidR="000B74FD" w:rsidRDefault="000B74FD" w:rsidP="000B74FD">
      <w:pPr>
        <w:pStyle w:val="Textonotapie"/>
        <w:ind w:firstLine="709"/>
        <w:jc w:val="both"/>
        <w:rPr>
          <w:rFonts w:ascii="Verdana" w:hAnsi="Verdana" w:cs="Arial"/>
          <w:color w:val="000000" w:themeColor="text1"/>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color w:val="000000" w:themeColor="text1"/>
          <w:sz w:val="16"/>
          <w:szCs w:val="16"/>
        </w:rPr>
        <w:t xml:space="preserve">Consejo de Estado. Sentencia del 28 de junio de 2012. Rad. Nro. 21990. C.P: Ruth Stella Correa Palacio. </w:t>
      </w:r>
    </w:p>
  </w:footnote>
  <w:footnote w:id="26">
    <w:p w14:paraId="6999B2A7" w14:textId="77777777" w:rsidR="000B74FD" w:rsidRDefault="000B74FD" w:rsidP="000B74FD">
      <w:pPr>
        <w:pStyle w:val="Textonotapie"/>
        <w:ind w:firstLine="709"/>
        <w:jc w:val="both"/>
        <w:rPr>
          <w:rFonts w:ascii="Verdana" w:hAnsi="Verdana" w:cs="Arial"/>
          <w:iCs/>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Cs/>
          <w:sz w:val="16"/>
          <w:szCs w:val="16"/>
          <w:lang w:val="es-CO"/>
        </w:rPr>
        <w:t xml:space="preserve">IBAÑEZ NAJAR, Jorge Enrique. </w:t>
      </w:r>
      <w:r>
        <w:rPr>
          <w:rFonts w:ascii="Verdana" w:hAnsi="Verdana" w:cs="Arial"/>
          <w:iCs/>
          <w:sz w:val="16"/>
          <w:szCs w:val="16"/>
        </w:rPr>
        <w:t xml:space="preserve">La conmutatividad del contrato estatal y su equilibrio económico y financiero. La obligación de conservarlo, su ruptura y la obligación de restablecerlo según la ley </w:t>
      </w:r>
      <w:r>
        <w:rPr>
          <w:rFonts w:ascii="Verdana" w:hAnsi="Verdana" w:cs="Arial"/>
          <w:iCs/>
          <w:sz w:val="16"/>
          <w:szCs w:val="16"/>
          <w:lang w:val="es-CO"/>
        </w:rPr>
        <w:t>y la jurisprudencia. En: PALACIO JARAMILLO, María Teresa (editora académica). Contratos Estatales. Tomo II. 2022. Bogotá: Universidad del Rosario. P. 630</w:t>
      </w:r>
    </w:p>
  </w:footnote>
  <w:footnote w:id="27">
    <w:p w14:paraId="4867918D" w14:textId="77777777" w:rsidR="000B74FD" w:rsidRDefault="000B74FD" w:rsidP="000B74FD">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rPr>
        <w:t xml:space="preserve">  CONSEJO DE ESTADO. Sección Tercera. Sentencia del 31 de agosto de 2011. Exp. 18.080. CP.: Ruth Stella Correa Palacio. Reiterada en </w:t>
      </w:r>
      <w:r>
        <w:rPr>
          <w:rFonts w:ascii="Verdana" w:hAnsi="Verdana" w:cs="Arial"/>
          <w:sz w:val="16"/>
          <w:szCs w:val="16"/>
          <w:lang w:val="es-CO"/>
        </w:rPr>
        <w:t xml:space="preserve">Sentencia del 8 de febrero de 2012. Exp. 20344. </w:t>
      </w:r>
      <w:r>
        <w:rPr>
          <w:rFonts w:ascii="Verdana" w:hAnsi="Verdana" w:cs="Arial"/>
          <w:sz w:val="16"/>
          <w:szCs w:val="16"/>
        </w:rPr>
        <w:t>También ver: Consejo de Estado, Sección Tercera, sentencia de 9 de mayo de 1996, exp. 10.151, reiterada en sentencias de 29 de abril y 21 de julio de 1999, exp. 14.885 y exp. 14.943, C.P. Daniel Suárez Hernández.</w:t>
      </w:r>
    </w:p>
  </w:footnote>
  <w:footnote w:id="28">
    <w:p w14:paraId="4847A2BE" w14:textId="77777777" w:rsidR="000B74FD" w:rsidRDefault="000B74FD" w:rsidP="000B74FD">
      <w:pPr>
        <w:pStyle w:val="Textonotapie"/>
        <w:ind w:firstLine="708"/>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rPr>
        <w:t xml:space="preserve"> CONSEJO DE ESTADO. Sección Tercera. Sentencia del 29 de enero de 2018. </w:t>
      </w:r>
      <w:r>
        <w:rPr>
          <w:rFonts w:ascii="Verdana" w:hAnsi="Verdana" w:cs="Arial"/>
          <w:sz w:val="16"/>
          <w:szCs w:val="16"/>
          <w:lang w:val="pt-BR"/>
        </w:rPr>
        <w:t>Exp. 52.666 CP.: Jaime Orlando Santofimio Gamboa.</w:t>
      </w:r>
    </w:p>
  </w:footnote>
  <w:footnote w:id="29">
    <w:p w14:paraId="7F3B28AA" w14:textId="77777777" w:rsidR="000B74FD" w:rsidRDefault="000B74FD" w:rsidP="000B74FD">
      <w:pPr>
        <w:pStyle w:val="Textonotapie"/>
        <w:ind w:firstLine="708"/>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Ibidem </w:t>
      </w:r>
    </w:p>
  </w:footnote>
  <w:footnote w:id="30">
    <w:p w14:paraId="1B93F334" w14:textId="77777777" w:rsidR="000B74FD" w:rsidRDefault="000B74FD" w:rsidP="000B74FD">
      <w:pPr>
        <w:pStyle w:val="Textonotapie"/>
        <w:ind w:firstLine="708"/>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CONSEJO DE ESTADO. </w:t>
      </w:r>
      <w:r>
        <w:rPr>
          <w:rFonts w:ascii="Verdana" w:hAnsi="Verdana" w:cs="Arial"/>
          <w:sz w:val="16"/>
          <w:szCs w:val="16"/>
        </w:rPr>
        <w:t>Sección Tercera.</w:t>
      </w:r>
      <w:r>
        <w:rPr>
          <w:rFonts w:ascii="Verdana" w:hAnsi="Verdana" w:cs="Arial"/>
          <w:sz w:val="16"/>
          <w:szCs w:val="16"/>
          <w:lang w:val="es-CO"/>
        </w:rPr>
        <w:t xml:space="preserve"> Subsección A.</w:t>
      </w:r>
      <w:r>
        <w:rPr>
          <w:rFonts w:ascii="Verdana" w:hAnsi="Verdana" w:cs="Arial"/>
          <w:sz w:val="16"/>
          <w:szCs w:val="16"/>
        </w:rPr>
        <w:t xml:space="preserve"> Sentencia del 6 de julio de 2022. Exp. 54.319 CP.: María Adriana Marín. Ver también: </w:t>
      </w:r>
      <w:r>
        <w:rPr>
          <w:rFonts w:ascii="Verdana" w:hAnsi="Verdana" w:cs="Arial"/>
          <w:sz w:val="16"/>
          <w:szCs w:val="16"/>
          <w:lang w:val="es-CO"/>
        </w:rPr>
        <w:t xml:space="preserve">Consejo de Estado. Sección Tercera. Subsección A. Sentencia del 3 de junio de 2022. Exp. 53299. </w:t>
      </w:r>
      <w:r>
        <w:rPr>
          <w:rFonts w:ascii="Verdana" w:hAnsi="Verdana" w:cs="Arial"/>
          <w:sz w:val="16"/>
          <w:szCs w:val="16"/>
          <w:lang w:val="pt-BR"/>
        </w:rPr>
        <w:t>C.P.: José Roberto Sáchica Méndez</w:t>
      </w:r>
    </w:p>
  </w:footnote>
  <w:footnote w:id="31">
    <w:p w14:paraId="15E5C5AB" w14:textId="77777777" w:rsidR="000B74FD" w:rsidRDefault="000B74FD" w:rsidP="000B74FD">
      <w:pPr>
        <w:pStyle w:val="Textonotapie"/>
        <w:ind w:firstLine="709"/>
        <w:jc w:val="both"/>
        <w:rPr>
          <w:rFonts w:ascii="Verdana" w:hAnsi="Verdana" w:cs="Arial"/>
          <w:sz w:val="16"/>
          <w:szCs w:val="16"/>
          <w:lang w:val="pt-BR" w:bidi="es-ES"/>
        </w:rPr>
      </w:pPr>
      <w:r>
        <w:rPr>
          <w:rStyle w:val="Refdenotaalpie"/>
          <w:rFonts w:ascii="Verdana" w:hAnsi="Verdana" w:cs="Arial"/>
          <w:sz w:val="16"/>
          <w:szCs w:val="16"/>
        </w:rPr>
        <w:footnoteRef/>
      </w:r>
      <w:r>
        <w:rPr>
          <w:rFonts w:ascii="Verdana" w:hAnsi="Verdana" w:cs="Arial"/>
          <w:sz w:val="16"/>
          <w:szCs w:val="16"/>
          <w:lang w:val="pt-BR"/>
        </w:rPr>
        <w:t xml:space="preserve"> </w:t>
      </w:r>
      <w:r>
        <w:rPr>
          <w:rFonts w:ascii="Verdana" w:hAnsi="Verdana" w:cs="Arial"/>
          <w:sz w:val="16"/>
          <w:szCs w:val="16"/>
          <w:lang w:val="pt-BR" w:bidi="es-ES"/>
        </w:rPr>
        <w:t>CORTE CONSTITUCIONAL. Sentencia C-416 de 2012. M.P. Adriana María Guillén Arango.</w:t>
      </w:r>
    </w:p>
  </w:footnote>
  <w:footnote w:id="32">
    <w:p w14:paraId="2ADCF84E" w14:textId="77777777" w:rsidR="000B74FD" w:rsidRDefault="000B74FD" w:rsidP="000B74FD">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rPr>
        <w:t xml:space="preserve"> EXPÓSITO VÉLEZ, Juan Carlos. </w:t>
      </w:r>
      <w:r>
        <w:rPr>
          <w:rFonts w:ascii="Verdana" w:hAnsi="Verdana" w:cs="Arial"/>
          <w:sz w:val="16"/>
          <w:szCs w:val="16"/>
          <w:lang w:val="es-CO"/>
        </w:rPr>
        <w:t xml:space="preserve">Formas, formalidades y contenido del contrato estatal. Serie de derecho administrativo Nro. 34. Universidad Externado de Colombia. 2020.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212245217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186949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EC0"/>
    <w:rsid w:val="000153D2"/>
    <w:rsid w:val="00016F78"/>
    <w:rsid w:val="00040023"/>
    <w:rsid w:val="000433DA"/>
    <w:rsid w:val="00046945"/>
    <w:rsid w:val="00055714"/>
    <w:rsid w:val="00061B2A"/>
    <w:rsid w:val="00075D03"/>
    <w:rsid w:val="00076258"/>
    <w:rsid w:val="00077773"/>
    <w:rsid w:val="00082362"/>
    <w:rsid w:val="000911D3"/>
    <w:rsid w:val="000964BF"/>
    <w:rsid w:val="000A57FB"/>
    <w:rsid w:val="000A683E"/>
    <w:rsid w:val="000B19B9"/>
    <w:rsid w:val="000B5ECB"/>
    <w:rsid w:val="000B61B4"/>
    <w:rsid w:val="000B74FD"/>
    <w:rsid w:val="000C41BF"/>
    <w:rsid w:val="000C5AA3"/>
    <w:rsid w:val="000D0334"/>
    <w:rsid w:val="000D25D9"/>
    <w:rsid w:val="000F6486"/>
    <w:rsid w:val="00102EDC"/>
    <w:rsid w:val="00105E19"/>
    <w:rsid w:val="00113B49"/>
    <w:rsid w:val="00122A0C"/>
    <w:rsid w:val="00125105"/>
    <w:rsid w:val="00127233"/>
    <w:rsid w:val="00145522"/>
    <w:rsid w:val="001511A0"/>
    <w:rsid w:val="00175AE3"/>
    <w:rsid w:val="001A5E06"/>
    <w:rsid w:val="001C641E"/>
    <w:rsid w:val="001E0A53"/>
    <w:rsid w:val="001E4177"/>
    <w:rsid w:val="001F7B62"/>
    <w:rsid w:val="001F7DC6"/>
    <w:rsid w:val="00207CEB"/>
    <w:rsid w:val="00224A55"/>
    <w:rsid w:val="002421BB"/>
    <w:rsid w:val="00243EFF"/>
    <w:rsid w:val="0024658C"/>
    <w:rsid w:val="00254EDC"/>
    <w:rsid w:val="0025796E"/>
    <w:rsid w:val="00257A84"/>
    <w:rsid w:val="00261A77"/>
    <w:rsid w:val="002707A2"/>
    <w:rsid w:val="00284408"/>
    <w:rsid w:val="002869EF"/>
    <w:rsid w:val="002903A9"/>
    <w:rsid w:val="0029232D"/>
    <w:rsid w:val="00292684"/>
    <w:rsid w:val="002951A0"/>
    <w:rsid w:val="002962BC"/>
    <w:rsid w:val="002A093D"/>
    <w:rsid w:val="002A0DD0"/>
    <w:rsid w:val="002A49AC"/>
    <w:rsid w:val="002A64FD"/>
    <w:rsid w:val="002B36F1"/>
    <w:rsid w:val="002B5160"/>
    <w:rsid w:val="002C0A94"/>
    <w:rsid w:val="002C21E0"/>
    <w:rsid w:val="002C7A84"/>
    <w:rsid w:val="002D7C4D"/>
    <w:rsid w:val="002E4FD9"/>
    <w:rsid w:val="002E5A92"/>
    <w:rsid w:val="002F4719"/>
    <w:rsid w:val="00300BCB"/>
    <w:rsid w:val="00301966"/>
    <w:rsid w:val="00302E6A"/>
    <w:rsid w:val="00303F6F"/>
    <w:rsid w:val="00320AD9"/>
    <w:rsid w:val="00322A85"/>
    <w:rsid w:val="00322B17"/>
    <w:rsid w:val="00324168"/>
    <w:rsid w:val="003258A5"/>
    <w:rsid w:val="003356A6"/>
    <w:rsid w:val="00341688"/>
    <w:rsid w:val="00344570"/>
    <w:rsid w:val="003448F4"/>
    <w:rsid w:val="00351213"/>
    <w:rsid w:val="003636D6"/>
    <w:rsid w:val="00365055"/>
    <w:rsid w:val="0036782A"/>
    <w:rsid w:val="0037057A"/>
    <w:rsid w:val="0037411D"/>
    <w:rsid w:val="00374F5E"/>
    <w:rsid w:val="00377E3E"/>
    <w:rsid w:val="003879C9"/>
    <w:rsid w:val="003933F7"/>
    <w:rsid w:val="00394FCA"/>
    <w:rsid w:val="003A779E"/>
    <w:rsid w:val="003B0782"/>
    <w:rsid w:val="003D016B"/>
    <w:rsid w:val="003D0F4D"/>
    <w:rsid w:val="003D1F87"/>
    <w:rsid w:val="003D5B0D"/>
    <w:rsid w:val="003E0499"/>
    <w:rsid w:val="003F3941"/>
    <w:rsid w:val="00406575"/>
    <w:rsid w:val="00406E9D"/>
    <w:rsid w:val="00414C74"/>
    <w:rsid w:val="0042722E"/>
    <w:rsid w:val="0044528D"/>
    <w:rsid w:val="00464765"/>
    <w:rsid w:val="0047180C"/>
    <w:rsid w:val="00476127"/>
    <w:rsid w:val="00484E92"/>
    <w:rsid w:val="004871D2"/>
    <w:rsid w:val="00496A71"/>
    <w:rsid w:val="004971B2"/>
    <w:rsid w:val="004A02D9"/>
    <w:rsid w:val="004A1847"/>
    <w:rsid w:val="004A305D"/>
    <w:rsid w:val="004A7D99"/>
    <w:rsid w:val="004B1C9A"/>
    <w:rsid w:val="004C3D09"/>
    <w:rsid w:val="004D0D8D"/>
    <w:rsid w:val="004D5544"/>
    <w:rsid w:val="004E3088"/>
    <w:rsid w:val="004E39C1"/>
    <w:rsid w:val="004F21C4"/>
    <w:rsid w:val="004F5756"/>
    <w:rsid w:val="004F685F"/>
    <w:rsid w:val="00514C12"/>
    <w:rsid w:val="0053343F"/>
    <w:rsid w:val="00534096"/>
    <w:rsid w:val="0053723E"/>
    <w:rsid w:val="00537458"/>
    <w:rsid w:val="0054641F"/>
    <w:rsid w:val="005566E8"/>
    <w:rsid w:val="005662A5"/>
    <w:rsid w:val="0057425E"/>
    <w:rsid w:val="00574867"/>
    <w:rsid w:val="005809BB"/>
    <w:rsid w:val="00582459"/>
    <w:rsid w:val="00583F92"/>
    <w:rsid w:val="00586484"/>
    <w:rsid w:val="00587700"/>
    <w:rsid w:val="00591460"/>
    <w:rsid w:val="00597AC3"/>
    <w:rsid w:val="005A7BE8"/>
    <w:rsid w:val="005B10E3"/>
    <w:rsid w:val="005B3816"/>
    <w:rsid w:val="005C3777"/>
    <w:rsid w:val="005C398B"/>
    <w:rsid w:val="005C5CDC"/>
    <w:rsid w:val="005C640E"/>
    <w:rsid w:val="005C75E5"/>
    <w:rsid w:val="005D2A34"/>
    <w:rsid w:val="005D4523"/>
    <w:rsid w:val="005D476C"/>
    <w:rsid w:val="005D6ED9"/>
    <w:rsid w:val="005E6816"/>
    <w:rsid w:val="00615AF7"/>
    <w:rsid w:val="00617EAA"/>
    <w:rsid w:val="006219F8"/>
    <w:rsid w:val="00635973"/>
    <w:rsid w:val="0064119D"/>
    <w:rsid w:val="00644D9C"/>
    <w:rsid w:val="00645C7F"/>
    <w:rsid w:val="006512F3"/>
    <w:rsid w:val="006611AF"/>
    <w:rsid w:val="00665D70"/>
    <w:rsid w:val="0068276A"/>
    <w:rsid w:val="006900D9"/>
    <w:rsid w:val="006A06C6"/>
    <w:rsid w:val="006B6430"/>
    <w:rsid w:val="006B65BE"/>
    <w:rsid w:val="006D3D76"/>
    <w:rsid w:val="006D5BF3"/>
    <w:rsid w:val="006E0EE1"/>
    <w:rsid w:val="006E75C7"/>
    <w:rsid w:val="006F3D86"/>
    <w:rsid w:val="006F466D"/>
    <w:rsid w:val="00700998"/>
    <w:rsid w:val="00702729"/>
    <w:rsid w:val="00706C16"/>
    <w:rsid w:val="00727ECE"/>
    <w:rsid w:val="00735115"/>
    <w:rsid w:val="00737035"/>
    <w:rsid w:val="00756841"/>
    <w:rsid w:val="007649AB"/>
    <w:rsid w:val="00770860"/>
    <w:rsid w:val="00771D0C"/>
    <w:rsid w:val="007833AC"/>
    <w:rsid w:val="007917C7"/>
    <w:rsid w:val="0079460E"/>
    <w:rsid w:val="00794B95"/>
    <w:rsid w:val="007A0E30"/>
    <w:rsid w:val="007B268C"/>
    <w:rsid w:val="007B7171"/>
    <w:rsid w:val="007B749E"/>
    <w:rsid w:val="007C0C0F"/>
    <w:rsid w:val="007C1604"/>
    <w:rsid w:val="007C3DC2"/>
    <w:rsid w:val="007E5497"/>
    <w:rsid w:val="007E6D18"/>
    <w:rsid w:val="007F2161"/>
    <w:rsid w:val="008015D7"/>
    <w:rsid w:val="00806F5F"/>
    <w:rsid w:val="00820278"/>
    <w:rsid w:val="00824F48"/>
    <w:rsid w:val="00835A30"/>
    <w:rsid w:val="00855059"/>
    <w:rsid w:val="00857448"/>
    <w:rsid w:val="00857A59"/>
    <w:rsid w:val="00860D0D"/>
    <w:rsid w:val="00867F95"/>
    <w:rsid w:val="008843B6"/>
    <w:rsid w:val="00891928"/>
    <w:rsid w:val="008A446D"/>
    <w:rsid w:val="008D08C9"/>
    <w:rsid w:val="008D180B"/>
    <w:rsid w:val="008D4142"/>
    <w:rsid w:val="008E6D58"/>
    <w:rsid w:val="008F0EA7"/>
    <w:rsid w:val="008F6972"/>
    <w:rsid w:val="00917378"/>
    <w:rsid w:val="00920C1C"/>
    <w:rsid w:val="00922B10"/>
    <w:rsid w:val="00923EEF"/>
    <w:rsid w:val="009419F9"/>
    <w:rsid w:val="00942CAA"/>
    <w:rsid w:val="009452C7"/>
    <w:rsid w:val="00955D4C"/>
    <w:rsid w:val="00956452"/>
    <w:rsid w:val="0095685E"/>
    <w:rsid w:val="009615C3"/>
    <w:rsid w:val="00961B09"/>
    <w:rsid w:val="0096248F"/>
    <w:rsid w:val="00965334"/>
    <w:rsid w:val="0097093E"/>
    <w:rsid w:val="009718E4"/>
    <w:rsid w:val="00986AC5"/>
    <w:rsid w:val="00996794"/>
    <w:rsid w:val="009A0DFA"/>
    <w:rsid w:val="009B2D26"/>
    <w:rsid w:val="009B4851"/>
    <w:rsid w:val="009B63A6"/>
    <w:rsid w:val="009C71FA"/>
    <w:rsid w:val="009C72E7"/>
    <w:rsid w:val="009D3058"/>
    <w:rsid w:val="009E0C42"/>
    <w:rsid w:val="009E22DB"/>
    <w:rsid w:val="009E2D4E"/>
    <w:rsid w:val="009E559D"/>
    <w:rsid w:val="009F3A13"/>
    <w:rsid w:val="009F564E"/>
    <w:rsid w:val="009F5DC3"/>
    <w:rsid w:val="009F6352"/>
    <w:rsid w:val="00A122D3"/>
    <w:rsid w:val="00A17F13"/>
    <w:rsid w:val="00A20739"/>
    <w:rsid w:val="00A33C78"/>
    <w:rsid w:val="00A36AAB"/>
    <w:rsid w:val="00A41FA6"/>
    <w:rsid w:val="00A61AED"/>
    <w:rsid w:val="00A8279F"/>
    <w:rsid w:val="00A85656"/>
    <w:rsid w:val="00A92536"/>
    <w:rsid w:val="00A9553E"/>
    <w:rsid w:val="00AB0ADB"/>
    <w:rsid w:val="00AC31D2"/>
    <w:rsid w:val="00AC7BB6"/>
    <w:rsid w:val="00AE64A3"/>
    <w:rsid w:val="00AF417A"/>
    <w:rsid w:val="00B01B1A"/>
    <w:rsid w:val="00B04FFB"/>
    <w:rsid w:val="00B07031"/>
    <w:rsid w:val="00B138FA"/>
    <w:rsid w:val="00B2278C"/>
    <w:rsid w:val="00B2602A"/>
    <w:rsid w:val="00B26FBC"/>
    <w:rsid w:val="00B35C2E"/>
    <w:rsid w:val="00B474AB"/>
    <w:rsid w:val="00B57C6C"/>
    <w:rsid w:val="00B6321B"/>
    <w:rsid w:val="00B66319"/>
    <w:rsid w:val="00B72CD3"/>
    <w:rsid w:val="00B72FFF"/>
    <w:rsid w:val="00B738F8"/>
    <w:rsid w:val="00B84520"/>
    <w:rsid w:val="00B91920"/>
    <w:rsid w:val="00B95ACC"/>
    <w:rsid w:val="00BA0C10"/>
    <w:rsid w:val="00BB266D"/>
    <w:rsid w:val="00BB371B"/>
    <w:rsid w:val="00BC1DE6"/>
    <w:rsid w:val="00BC3D36"/>
    <w:rsid w:val="00BD32D4"/>
    <w:rsid w:val="00BD38C2"/>
    <w:rsid w:val="00BD7CE8"/>
    <w:rsid w:val="00BD7F72"/>
    <w:rsid w:val="00BE246D"/>
    <w:rsid w:val="00BF1068"/>
    <w:rsid w:val="00BF1D2F"/>
    <w:rsid w:val="00C04FB3"/>
    <w:rsid w:val="00C07E89"/>
    <w:rsid w:val="00C130A2"/>
    <w:rsid w:val="00C1479D"/>
    <w:rsid w:val="00C237A8"/>
    <w:rsid w:val="00C2758A"/>
    <w:rsid w:val="00C330EB"/>
    <w:rsid w:val="00C41061"/>
    <w:rsid w:val="00C501C1"/>
    <w:rsid w:val="00C564F0"/>
    <w:rsid w:val="00C754BE"/>
    <w:rsid w:val="00C765AD"/>
    <w:rsid w:val="00C76B1C"/>
    <w:rsid w:val="00C81C57"/>
    <w:rsid w:val="00C82E49"/>
    <w:rsid w:val="00C848C5"/>
    <w:rsid w:val="00C84A24"/>
    <w:rsid w:val="00C84BEC"/>
    <w:rsid w:val="00C9051E"/>
    <w:rsid w:val="00CB2833"/>
    <w:rsid w:val="00CB6357"/>
    <w:rsid w:val="00CC1B26"/>
    <w:rsid w:val="00CD141A"/>
    <w:rsid w:val="00CD56CE"/>
    <w:rsid w:val="00CD5965"/>
    <w:rsid w:val="00CE7205"/>
    <w:rsid w:val="00CE72E3"/>
    <w:rsid w:val="00CF3C9F"/>
    <w:rsid w:val="00D053F1"/>
    <w:rsid w:val="00D11828"/>
    <w:rsid w:val="00D16191"/>
    <w:rsid w:val="00D25721"/>
    <w:rsid w:val="00D305C5"/>
    <w:rsid w:val="00D423A2"/>
    <w:rsid w:val="00D520D8"/>
    <w:rsid w:val="00D60920"/>
    <w:rsid w:val="00D60D15"/>
    <w:rsid w:val="00D614E9"/>
    <w:rsid w:val="00D63AC2"/>
    <w:rsid w:val="00D7383B"/>
    <w:rsid w:val="00D74BCE"/>
    <w:rsid w:val="00D8657E"/>
    <w:rsid w:val="00DA231B"/>
    <w:rsid w:val="00DB47E0"/>
    <w:rsid w:val="00DC39FC"/>
    <w:rsid w:val="00DD351C"/>
    <w:rsid w:val="00DE2555"/>
    <w:rsid w:val="00DF5254"/>
    <w:rsid w:val="00DF6648"/>
    <w:rsid w:val="00E00D4E"/>
    <w:rsid w:val="00E06E79"/>
    <w:rsid w:val="00E16408"/>
    <w:rsid w:val="00E20894"/>
    <w:rsid w:val="00E22398"/>
    <w:rsid w:val="00E245AB"/>
    <w:rsid w:val="00E2764C"/>
    <w:rsid w:val="00E27F2E"/>
    <w:rsid w:val="00E30C74"/>
    <w:rsid w:val="00E32ACC"/>
    <w:rsid w:val="00E41975"/>
    <w:rsid w:val="00E43579"/>
    <w:rsid w:val="00E44331"/>
    <w:rsid w:val="00E451AB"/>
    <w:rsid w:val="00E50AFE"/>
    <w:rsid w:val="00E51F6E"/>
    <w:rsid w:val="00E54B56"/>
    <w:rsid w:val="00E660BE"/>
    <w:rsid w:val="00E70817"/>
    <w:rsid w:val="00E75C92"/>
    <w:rsid w:val="00E771DC"/>
    <w:rsid w:val="00E8772A"/>
    <w:rsid w:val="00E90F6B"/>
    <w:rsid w:val="00E92C27"/>
    <w:rsid w:val="00EA0E3D"/>
    <w:rsid w:val="00EA0FDE"/>
    <w:rsid w:val="00EB7075"/>
    <w:rsid w:val="00EC2D3B"/>
    <w:rsid w:val="00EC38A7"/>
    <w:rsid w:val="00ED4DF5"/>
    <w:rsid w:val="00ED67AC"/>
    <w:rsid w:val="00ED7384"/>
    <w:rsid w:val="00EE1AA8"/>
    <w:rsid w:val="00EE29A5"/>
    <w:rsid w:val="00EE75B5"/>
    <w:rsid w:val="00EF058D"/>
    <w:rsid w:val="00F039D3"/>
    <w:rsid w:val="00F17343"/>
    <w:rsid w:val="00F21DE0"/>
    <w:rsid w:val="00F26315"/>
    <w:rsid w:val="00F30533"/>
    <w:rsid w:val="00F31C0D"/>
    <w:rsid w:val="00F31EDC"/>
    <w:rsid w:val="00F33241"/>
    <w:rsid w:val="00F41A2C"/>
    <w:rsid w:val="00F41EEE"/>
    <w:rsid w:val="00F42329"/>
    <w:rsid w:val="00F462B3"/>
    <w:rsid w:val="00F51714"/>
    <w:rsid w:val="00F5271B"/>
    <w:rsid w:val="00F5664F"/>
    <w:rsid w:val="00F61222"/>
    <w:rsid w:val="00F61B98"/>
    <w:rsid w:val="00F666C4"/>
    <w:rsid w:val="00F704D8"/>
    <w:rsid w:val="00F759B4"/>
    <w:rsid w:val="00F7604E"/>
    <w:rsid w:val="00F76AFC"/>
    <w:rsid w:val="00F808F3"/>
    <w:rsid w:val="00F867A4"/>
    <w:rsid w:val="00F91CA6"/>
    <w:rsid w:val="00FA42D5"/>
    <w:rsid w:val="00FA47C0"/>
    <w:rsid w:val="00FA64B1"/>
    <w:rsid w:val="00FB5DD1"/>
    <w:rsid w:val="00FB6B05"/>
    <w:rsid w:val="00FC2B5D"/>
    <w:rsid w:val="00FE60BE"/>
    <w:rsid w:val="00FE61D8"/>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03F6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03F6F"/>
    <w:rPr>
      <w:rFonts w:ascii="Geomanist Light" w:hAnsi="Geomanist Light"/>
      <w:lang w:val="es-ES"/>
    </w:rPr>
  </w:style>
  <w:style w:type="table" w:customStyle="1" w:styleId="Tablaconcuadrcula11">
    <w:name w:val="Tabla con cuadrícula11"/>
    <w:basedOn w:val="Tablanormal"/>
    <w:next w:val="Tablaconcuadrcula"/>
    <w:uiPriority w:val="39"/>
    <w:qFormat/>
    <w:rsid w:val="00942CAA"/>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222593">
      <w:bodyDiv w:val="1"/>
      <w:marLeft w:val="0"/>
      <w:marRight w:val="0"/>
      <w:marTop w:val="0"/>
      <w:marBottom w:val="0"/>
      <w:divBdr>
        <w:top w:val="none" w:sz="0" w:space="0" w:color="auto"/>
        <w:left w:val="none" w:sz="0" w:space="0" w:color="auto"/>
        <w:bottom w:val="none" w:sz="0" w:space="0" w:color="auto"/>
        <w:right w:val="none" w:sz="0" w:space="0" w:color="auto"/>
      </w:divBdr>
    </w:div>
    <w:div w:id="32159191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69603107">
      <w:bodyDiv w:val="1"/>
      <w:marLeft w:val="0"/>
      <w:marRight w:val="0"/>
      <w:marTop w:val="0"/>
      <w:marBottom w:val="0"/>
      <w:divBdr>
        <w:top w:val="none" w:sz="0" w:space="0" w:color="auto"/>
        <w:left w:val="none" w:sz="0" w:space="0" w:color="auto"/>
        <w:bottom w:val="none" w:sz="0" w:space="0" w:color="auto"/>
        <w:right w:val="none" w:sz="0" w:space="0" w:color="auto"/>
      </w:divBdr>
    </w:div>
    <w:div w:id="1723599224">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080_1993.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antilau85@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6D2428D-AFC9-46C7-BB41-B85319ED09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FC917CA5-3E48-AA48-B2A7-E5DD72035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28</Pages>
  <Words>9745</Words>
  <Characters>51946</Characters>
  <Application>Microsoft Office Word</Application>
  <DocSecurity>0</DocSecurity>
  <Lines>980</Lines>
  <Paragraphs>161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2026-02-03T14:09:00Z</dcterms:created>
  <dcterms:modified xsi:type="dcterms:W3CDTF">2026-02-03T18:18:00Z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