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A189B3" w14:textId="77777777" w:rsidR="00B44E5F" w:rsidRPr="00AF1555" w:rsidRDefault="00B44E5F" w:rsidP="00B44E5F">
      <w:pPr>
        <w:tabs>
          <w:tab w:val="left" w:pos="709"/>
        </w:tabs>
        <w:spacing w:after="0" w:line="240" w:lineRule="auto"/>
        <w:jc w:val="both"/>
        <w:rPr>
          <w:rFonts w:ascii="Verdana" w:eastAsia="Calibri" w:hAnsi="Verdana" w:cs="Arial"/>
          <w:bCs/>
          <w:sz w:val="20"/>
          <w:szCs w:val="20"/>
          <w:lang w:val="es-ES_tradnl" w:eastAsia="es-ES_tradnl"/>
        </w:rPr>
      </w:pPr>
    </w:p>
    <w:p w14:paraId="412C4E33" w14:textId="77777777" w:rsidR="00B44E5F" w:rsidRPr="00CD3E53" w:rsidRDefault="00B44E5F" w:rsidP="00B44E5F">
      <w:pPr>
        <w:jc w:val="both"/>
        <w:rPr>
          <w:rFonts w:ascii="Verdana" w:hAnsi="Verdana" w:cs="Arial"/>
          <w:b/>
          <w:color w:val="000000" w:themeColor="text1"/>
          <w:lang w:val="es-ES_tradnl"/>
        </w:rPr>
      </w:pPr>
      <w:r w:rsidRPr="00CD3E53">
        <w:rPr>
          <w:rFonts w:ascii="Verdana" w:hAnsi="Verdana" w:cs="Arial"/>
          <w:b/>
          <w:color w:val="000000" w:themeColor="text1"/>
          <w:lang w:val="es-ES_tradnl"/>
        </w:rPr>
        <w:t xml:space="preserve">LEY DE GARANTÍAS ELECTORALES ‒ Finalidad </w:t>
      </w:r>
    </w:p>
    <w:p w14:paraId="5BC0E0E1" w14:textId="77777777" w:rsidR="00B44E5F" w:rsidRPr="00BF0E07" w:rsidRDefault="00B44E5F" w:rsidP="00B44E5F">
      <w:pPr>
        <w:tabs>
          <w:tab w:val="left" w:pos="426"/>
        </w:tabs>
        <w:spacing w:after="120" w:line="276" w:lineRule="auto"/>
        <w:jc w:val="both"/>
        <w:rPr>
          <w:rFonts w:ascii="Verdana" w:eastAsia="Calibri" w:hAnsi="Verdana" w:cs="Arial"/>
          <w:sz w:val="20"/>
          <w:szCs w:val="20"/>
          <w:lang w:val="es-ES_tradnl"/>
        </w:rPr>
      </w:pPr>
      <w:r w:rsidRPr="00BF0E07">
        <w:rPr>
          <w:rFonts w:ascii="Verdana" w:eastAsia="Times New Roman" w:hAnsi="Verdana" w:cs="Arial"/>
          <w:sz w:val="20"/>
          <w:szCs w:val="20"/>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BF0E07">
        <w:rPr>
          <w:rFonts w:ascii="Verdana" w:eastAsia="Calibri" w:hAnsi="Verdana" w:cs="Arial"/>
          <w:sz w:val="20"/>
          <w:szCs w:val="20"/>
          <w:lang w:val="es-ES_tradnl"/>
        </w:rPr>
        <w:t xml:space="preserve"> </w:t>
      </w:r>
    </w:p>
    <w:p w14:paraId="117FF63A" w14:textId="77777777" w:rsidR="00B44E5F" w:rsidRPr="00CD3E53" w:rsidRDefault="00B44E5F" w:rsidP="00B44E5F">
      <w:pPr>
        <w:jc w:val="both"/>
        <w:rPr>
          <w:rFonts w:ascii="Verdana" w:hAnsi="Verdana" w:cs="Arial"/>
          <w:b/>
          <w:color w:val="000000" w:themeColor="text1"/>
          <w:lang w:val="es-ES_tradnl"/>
        </w:rPr>
      </w:pPr>
      <w:r w:rsidRPr="00CD3E53">
        <w:rPr>
          <w:rFonts w:ascii="Verdana" w:hAnsi="Verdana" w:cs="Arial"/>
          <w:b/>
          <w:color w:val="000000" w:themeColor="text1"/>
          <w:lang w:val="es-ES_tradnl"/>
        </w:rPr>
        <w:t xml:space="preserve">LEY DE GARANTÍAS ELECTORALES ‒ Tipos de restricciones </w:t>
      </w:r>
    </w:p>
    <w:p w14:paraId="7515C46B" w14:textId="77777777" w:rsidR="00B44E5F" w:rsidRPr="00BF0E07" w:rsidRDefault="00B44E5F" w:rsidP="00B44E5F">
      <w:pPr>
        <w:jc w:val="both"/>
        <w:rPr>
          <w:rFonts w:ascii="Verdana" w:eastAsia="Arial" w:hAnsi="Verdana" w:cs="Arial"/>
          <w:sz w:val="20"/>
          <w:szCs w:val="20"/>
          <w:lang w:val="es-ES" w:eastAsia="es-ES"/>
        </w:rPr>
      </w:pPr>
      <w:r w:rsidRPr="00BF0E07">
        <w:rPr>
          <w:rFonts w:ascii="Verdana" w:eastAsia="Times New Roman" w:hAnsi="Verdana" w:cs="Open Sans"/>
          <w:sz w:val="20"/>
          <w:szCs w:val="20"/>
          <w:lang w:eastAsia="es-CO"/>
        </w:rPr>
        <w:t>Como se puede observar, el artículo 33 de la Ley 996 de 2005 prohíbe la contratación directa por parte de todos los entes estatales durante los cuatro (4)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5F1D234C" w14:textId="77777777" w:rsidR="00B44E5F" w:rsidRPr="00CD3E53" w:rsidRDefault="00B44E5F" w:rsidP="00B44E5F">
      <w:pPr>
        <w:jc w:val="both"/>
        <w:rPr>
          <w:rFonts w:ascii="Verdana" w:hAnsi="Verdana" w:cs="Arial"/>
          <w:b/>
          <w:bCs/>
          <w:color w:val="000000" w:themeColor="text1"/>
          <w:lang w:val="es-ES_tradnl"/>
        </w:rPr>
      </w:pPr>
      <w:r w:rsidRPr="00CD3E53">
        <w:rPr>
          <w:rFonts w:ascii="Verdana" w:eastAsia="Arial" w:hAnsi="Verdana" w:cs="Arial"/>
          <w:b/>
          <w:bCs/>
        </w:rPr>
        <w:t xml:space="preserve">UNIVERSIDADES PÚBLICAS – Naturaleza jurídica </w:t>
      </w:r>
    </w:p>
    <w:p w14:paraId="7BE00022" w14:textId="77777777" w:rsidR="00B44E5F" w:rsidRPr="00BF0E07" w:rsidRDefault="00B44E5F" w:rsidP="00B44E5F">
      <w:pPr>
        <w:spacing w:after="0" w:line="240" w:lineRule="auto"/>
        <w:jc w:val="both"/>
        <w:rPr>
          <w:rFonts w:ascii="Verdana" w:hAnsi="Verdana"/>
          <w:sz w:val="20"/>
          <w:szCs w:val="20"/>
        </w:rPr>
      </w:pPr>
      <w:r w:rsidRPr="00BF0E07">
        <w:rPr>
          <w:rFonts w:ascii="Verdana" w:hAnsi="Verdana" w:cs="Arial"/>
          <w:sz w:val="20"/>
          <w:szCs w:val="20"/>
          <w:lang w:val="es-MX"/>
        </w:rPr>
        <w:t>Para empezar, en la Ley 30 de 1992 se regularon aspectos como la naturaleza jurídica de las universidades estatales y oficiales, la forma de organizarse y el régimen de contratación aplicable. Así mismo, en el artículo 57 se consignó que e</w:t>
      </w:r>
      <w:r w:rsidRPr="00BF0E07">
        <w:rPr>
          <w:rFonts w:ascii="Verdana" w:hAnsi="Verdana" w:cs="Arial"/>
          <w:sz w:val="20"/>
          <w:szCs w:val="20"/>
        </w:rPr>
        <w:t xml:space="preserve">l carácter especial del régimen de las universidades estatales u oficiales comprende, entre otros aspectos, el régimen de contratación. En concordancia con esto, el artículo 93 estableció que los contratos que </w:t>
      </w:r>
      <w:r w:rsidRPr="00BF0E07">
        <w:rPr>
          <w:rFonts w:ascii="Verdana" w:hAnsi="Verdana" w:cs="Arial"/>
          <w:sz w:val="20"/>
          <w:szCs w:val="20"/>
          <w:lang w:val="es-MX"/>
        </w:rPr>
        <w:t>celebren las universidades estatales u oficiales se regirán por las normas del derecho privado.</w:t>
      </w:r>
    </w:p>
    <w:p w14:paraId="17233F49" w14:textId="77777777" w:rsidR="00B44E5F" w:rsidRDefault="00B44E5F" w:rsidP="00BE6A2A">
      <w:pPr>
        <w:spacing w:after="0" w:line="240" w:lineRule="auto"/>
        <w:rPr>
          <w:rFonts w:ascii="Verdana" w:eastAsia="Geomanist Light" w:hAnsi="Verdana" w:cs="Arial"/>
        </w:rPr>
      </w:pPr>
    </w:p>
    <w:p w14:paraId="26E58DE7" w14:textId="77777777" w:rsidR="00B44E5F" w:rsidRDefault="00B44E5F" w:rsidP="00BE6A2A">
      <w:pPr>
        <w:spacing w:after="0" w:line="240" w:lineRule="auto"/>
        <w:rPr>
          <w:rFonts w:ascii="Verdana" w:eastAsia="Geomanist Light" w:hAnsi="Verdana" w:cs="Arial"/>
        </w:rPr>
      </w:pPr>
    </w:p>
    <w:p w14:paraId="3D6F73C3" w14:textId="77777777" w:rsidR="00B44E5F" w:rsidRDefault="00B44E5F" w:rsidP="00BE6A2A">
      <w:pPr>
        <w:spacing w:after="0" w:line="240" w:lineRule="auto"/>
        <w:rPr>
          <w:rFonts w:ascii="Verdana" w:eastAsia="Geomanist Light" w:hAnsi="Verdana" w:cs="Arial"/>
        </w:rPr>
      </w:pPr>
    </w:p>
    <w:p w14:paraId="07983000" w14:textId="77777777" w:rsidR="00B44E5F" w:rsidRDefault="00B44E5F" w:rsidP="00BE6A2A">
      <w:pPr>
        <w:spacing w:after="0" w:line="240" w:lineRule="auto"/>
        <w:rPr>
          <w:rFonts w:ascii="Verdana" w:eastAsia="Geomanist Light" w:hAnsi="Verdana" w:cs="Arial"/>
        </w:rPr>
      </w:pPr>
    </w:p>
    <w:p w14:paraId="754CB931" w14:textId="77777777" w:rsidR="00B44E5F" w:rsidRDefault="00B44E5F" w:rsidP="00BE6A2A">
      <w:pPr>
        <w:spacing w:after="0" w:line="240" w:lineRule="auto"/>
        <w:rPr>
          <w:rFonts w:ascii="Verdana" w:eastAsia="Geomanist Light" w:hAnsi="Verdana" w:cs="Arial"/>
        </w:rPr>
      </w:pPr>
    </w:p>
    <w:p w14:paraId="3CA0A21C" w14:textId="77777777" w:rsidR="00B44E5F" w:rsidRDefault="00B44E5F" w:rsidP="00BE6A2A">
      <w:pPr>
        <w:spacing w:after="0" w:line="240" w:lineRule="auto"/>
        <w:rPr>
          <w:rFonts w:ascii="Verdana" w:eastAsia="Geomanist Light" w:hAnsi="Verdana" w:cs="Arial"/>
        </w:rPr>
      </w:pPr>
    </w:p>
    <w:p w14:paraId="42E8FB94" w14:textId="77777777" w:rsidR="00BF0E07" w:rsidRDefault="00BF0E07" w:rsidP="4CDEFEAC">
      <w:pPr>
        <w:spacing w:after="0" w:line="240" w:lineRule="auto"/>
        <w:rPr>
          <w:rFonts w:ascii="Verdana" w:eastAsia="Geomanist Light" w:hAnsi="Verdana" w:cs="Arial"/>
        </w:rPr>
      </w:pPr>
    </w:p>
    <w:p w14:paraId="77C219E2" w14:textId="77777777" w:rsidR="00BF0E07" w:rsidRDefault="00BF0E07" w:rsidP="4CDEFEAC">
      <w:pPr>
        <w:spacing w:after="0" w:line="240" w:lineRule="auto"/>
        <w:rPr>
          <w:rFonts w:ascii="Verdana" w:eastAsia="Geomanist Light" w:hAnsi="Verdana" w:cs="Arial"/>
        </w:rPr>
      </w:pPr>
    </w:p>
    <w:p w14:paraId="6C18BBA1" w14:textId="77777777" w:rsidR="00BF0E07" w:rsidRDefault="00BF0E07" w:rsidP="4CDEFEAC">
      <w:pPr>
        <w:spacing w:after="0" w:line="240" w:lineRule="auto"/>
        <w:rPr>
          <w:rFonts w:ascii="Verdana" w:eastAsia="Geomanist Light" w:hAnsi="Verdana" w:cs="Arial"/>
        </w:rPr>
      </w:pPr>
    </w:p>
    <w:p w14:paraId="20DDCB0D" w14:textId="77777777" w:rsidR="00BF0E07" w:rsidRDefault="00BF0E07" w:rsidP="4CDEFEAC">
      <w:pPr>
        <w:spacing w:after="0" w:line="240" w:lineRule="auto"/>
        <w:rPr>
          <w:rFonts w:ascii="Verdana" w:eastAsia="Geomanist Light" w:hAnsi="Verdana" w:cs="Arial"/>
        </w:rPr>
      </w:pPr>
    </w:p>
    <w:p w14:paraId="1F083BF3" w14:textId="77777777" w:rsidR="00BF0E07" w:rsidRDefault="00BF0E07" w:rsidP="4CDEFEAC">
      <w:pPr>
        <w:spacing w:after="0" w:line="240" w:lineRule="auto"/>
        <w:rPr>
          <w:rFonts w:ascii="Verdana" w:eastAsia="Geomanist Light" w:hAnsi="Verdana" w:cs="Arial"/>
        </w:rPr>
      </w:pPr>
    </w:p>
    <w:p w14:paraId="530FE1BD" w14:textId="77C36BB7" w:rsidR="00BE6A2A" w:rsidRPr="00960F72" w:rsidRDefault="0EC5322E" w:rsidP="4CDEFEAC">
      <w:pPr>
        <w:spacing w:after="0" w:line="240" w:lineRule="auto"/>
        <w:rPr>
          <w:rFonts w:ascii="Verdana" w:eastAsia="Geomanist Light" w:hAnsi="Verdana" w:cs="Arial"/>
        </w:rPr>
      </w:pPr>
      <w:r w:rsidRPr="4CDEFEAC">
        <w:rPr>
          <w:rFonts w:ascii="Verdana" w:eastAsia="Geomanist Light" w:hAnsi="Verdana" w:cs="Arial"/>
        </w:rPr>
        <w:lastRenderedPageBreak/>
        <w:t xml:space="preserve">Bogotá D.C., 23 de </w:t>
      </w:r>
      <w:proofErr w:type="gramStart"/>
      <w:r w:rsidRPr="4CDEFEAC">
        <w:rPr>
          <w:rFonts w:ascii="Verdana" w:eastAsia="Geomanist Light" w:hAnsi="Verdana" w:cs="Arial"/>
        </w:rPr>
        <w:t>Febrero</w:t>
      </w:r>
      <w:proofErr w:type="gramEnd"/>
      <w:r w:rsidRPr="4CDEFEAC">
        <w:rPr>
          <w:rFonts w:ascii="Verdana" w:eastAsia="Geomanist Light" w:hAnsi="Verdana" w:cs="Arial"/>
        </w:rPr>
        <w:t xml:space="preserve"> de 2026</w:t>
      </w:r>
    </w:p>
    <w:p w14:paraId="2353F1F8" w14:textId="07F06ADB" w:rsidR="00BE6A2A" w:rsidRDefault="00170618" w:rsidP="00BE6A2A">
      <w:pPr>
        <w:spacing w:after="0" w:line="240" w:lineRule="auto"/>
        <w:rPr>
          <w:rFonts w:ascii="Verdana" w:eastAsia="Calibri" w:hAnsi="Verdana" w:cs="Arial"/>
          <w:b/>
          <w:bCs/>
          <w:lang w:eastAsia="es-ES_tradnl"/>
        </w:rPr>
      </w:pPr>
      <w:r w:rsidRPr="00170618">
        <w:rPr>
          <w:rStyle w:val="Hipervnculo"/>
          <w:rFonts w:ascii="Verdana" w:eastAsia="Calibri" w:hAnsi="Verdana" w:cs="Arial"/>
          <w:noProof/>
          <w:lang w:eastAsia="es-ES_tradnl"/>
        </w:rPr>
        <w:drawing>
          <wp:anchor distT="0" distB="0" distL="114300" distR="114300" simplePos="0" relativeHeight="251658240" behindDoc="1" locked="0" layoutInCell="1" allowOverlap="1" wp14:anchorId="2FAA54F3" wp14:editId="611244CF">
            <wp:simplePos x="0" y="0"/>
            <wp:positionH relativeFrom="column">
              <wp:posOffset>3270885</wp:posOffset>
            </wp:positionH>
            <wp:positionV relativeFrom="paragraph">
              <wp:posOffset>58420</wp:posOffset>
            </wp:positionV>
            <wp:extent cx="3195955" cy="1021080"/>
            <wp:effectExtent l="0" t="0" r="4445" b="7620"/>
            <wp:wrapSquare wrapText="bothSides"/>
            <wp:docPr id="57322067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220678" name="Imagen 1" descr="Texto&#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95955" cy="1021080"/>
                    </a:xfrm>
                    <a:prstGeom prst="rect">
                      <a:avLst/>
                    </a:prstGeom>
                  </pic:spPr>
                </pic:pic>
              </a:graphicData>
            </a:graphic>
            <wp14:sizeRelH relativeFrom="page">
              <wp14:pctWidth>0</wp14:pctWidth>
            </wp14:sizeRelH>
            <wp14:sizeRelV relativeFrom="page">
              <wp14:pctHeight>0</wp14:pctHeight>
            </wp14:sizeRelV>
          </wp:anchor>
        </w:drawing>
      </w:r>
    </w:p>
    <w:p w14:paraId="6676768E" w14:textId="1DD0AF58" w:rsidR="00BE6A2A" w:rsidRDefault="00BE6A2A" w:rsidP="00BE6A2A">
      <w:pPr>
        <w:spacing w:after="0" w:line="240" w:lineRule="auto"/>
        <w:rPr>
          <w:rFonts w:ascii="Verdana" w:eastAsia="Calibri" w:hAnsi="Verdana" w:cs="Arial"/>
          <w:lang w:eastAsia="es-ES_tradnl"/>
        </w:rPr>
      </w:pPr>
      <w:r>
        <w:rPr>
          <w:rFonts w:ascii="Verdana" w:eastAsia="Calibri" w:hAnsi="Verdana" w:cs="Arial"/>
          <w:lang w:eastAsia="es-ES_tradnl"/>
        </w:rPr>
        <w:t>Señor</w:t>
      </w:r>
    </w:p>
    <w:p w14:paraId="69AF2004" w14:textId="6D42A6AA" w:rsidR="00BE6A2A" w:rsidRPr="00765616" w:rsidRDefault="00BE6A2A" w:rsidP="00BE6A2A">
      <w:pPr>
        <w:spacing w:after="0" w:line="240" w:lineRule="auto"/>
        <w:rPr>
          <w:rFonts w:ascii="Verdana" w:eastAsia="Calibri" w:hAnsi="Verdana" w:cs="Arial"/>
          <w:b/>
          <w:bCs/>
          <w:lang w:eastAsia="es-ES_tradnl"/>
        </w:rPr>
      </w:pPr>
      <w:r>
        <w:rPr>
          <w:rFonts w:ascii="Verdana" w:eastAsia="Calibri" w:hAnsi="Verdana" w:cs="Arial"/>
          <w:b/>
          <w:bCs/>
          <w:lang w:eastAsia="es-ES_tradnl"/>
        </w:rPr>
        <w:t>Javier Mauricio Mendoza Paredes</w:t>
      </w:r>
    </w:p>
    <w:p w14:paraId="7E6C3202" w14:textId="0DA2779E" w:rsidR="00BE6A2A" w:rsidRPr="00765616" w:rsidRDefault="00BE6A2A" w:rsidP="00BE6A2A">
      <w:pPr>
        <w:spacing w:after="0" w:line="240" w:lineRule="auto"/>
        <w:rPr>
          <w:rFonts w:ascii="Verdana" w:eastAsia="Calibri" w:hAnsi="Verdana" w:cs="Arial"/>
          <w:lang w:eastAsia="es-ES_tradnl"/>
        </w:rPr>
      </w:pPr>
      <w:r>
        <w:rPr>
          <w:rFonts w:ascii="Verdana" w:eastAsia="Calibri" w:hAnsi="Verdana" w:cs="Arial"/>
          <w:lang w:eastAsia="es-ES_tradnl"/>
        </w:rPr>
        <w:t>Director Administrativo</w:t>
      </w:r>
    </w:p>
    <w:p w14:paraId="17C780E6" w14:textId="62A4632F" w:rsidR="00BE6A2A" w:rsidRDefault="00BE6A2A" w:rsidP="00BE6A2A">
      <w:pPr>
        <w:spacing w:after="0" w:line="240" w:lineRule="auto"/>
        <w:rPr>
          <w:rFonts w:ascii="Verdana" w:eastAsia="Calibri" w:hAnsi="Verdana" w:cs="Arial"/>
          <w:lang w:eastAsia="es-ES_tradnl"/>
        </w:rPr>
      </w:pPr>
      <w:r w:rsidRPr="00765616">
        <w:rPr>
          <w:rFonts w:ascii="Verdana" w:eastAsia="Calibri" w:hAnsi="Verdana" w:cs="Arial"/>
          <w:lang w:eastAsia="es-ES_tradnl"/>
        </w:rPr>
        <w:t>Unidades Tecnológicas de Santander</w:t>
      </w:r>
    </w:p>
    <w:p w14:paraId="5BA8A8EE" w14:textId="0586301D" w:rsidR="00BE6A2A" w:rsidRPr="00765616" w:rsidRDefault="00BE6A2A" w:rsidP="00BE6A2A">
      <w:pPr>
        <w:spacing w:after="0" w:line="240" w:lineRule="auto"/>
        <w:rPr>
          <w:rFonts w:ascii="Verdana" w:eastAsia="Calibri" w:hAnsi="Verdana" w:cs="Arial"/>
          <w:lang w:eastAsia="es-ES_tradnl"/>
        </w:rPr>
      </w:pPr>
      <w:hyperlink r:id="rId11" w:history="1">
        <w:r w:rsidRPr="00523FA8">
          <w:rPr>
            <w:rStyle w:val="Hipervnculo"/>
            <w:rFonts w:ascii="Verdana" w:eastAsia="Calibri" w:hAnsi="Verdana" w:cs="Arial"/>
            <w:lang w:eastAsia="es-ES_tradnl"/>
          </w:rPr>
          <w:t>die@correo.uts.edu.co</w:t>
        </w:r>
      </w:hyperlink>
      <w:r w:rsidR="00170618" w:rsidRPr="00170618">
        <w:rPr>
          <w:noProof/>
          <w14:ligatures w14:val="standardContextual"/>
        </w:rPr>
        <w:t xml:space="preserve"> </w:t>
      </w:r>
    </w:p>
    <w:p w14:paraId="7065A732" w14:textId="77777777" w:rsidR="00BE6A2A" w:rsidRPr="007211E4" w:rsidRDefault="00BE6A2A" w:rsidP="00BE6A2A">
      <w:pPr>
        <w:spacing w:after="0" w:line="240" w:lineRule="auto"/>
        <w:rPr>
          <w:rFonts w:ascii="Verdana" w:eastAsia="Calibri" w:hAnsi="Verdana" w:cs="Arial"/>
          <w:lang w:eastAsia="es-ES_tradnl"/>
        </w:rPr>
      </w:pPr>
      <w:r>
        <w:rPr>
          <w:rFonts w:ascii="Verdana" w:eastAsia="Calibri" w:hAnsi="Verdana" w:cs="Arial"/>
          <w:lang w:eastAsia="es-ES_tradnl"/>
        </w:rPr>
        <w:t>Bogotá, Cundinamarca</w:t>
      </w:r>
    </w:p>
    <w:p w14:paraId="06CC2938" w14:textId="77777777" w:rsidR="00BE6A2A" w:rsidRPr="00514983" w:rsidRDefault="00BE6A2A" w:rsidP="00BE6A2A">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E6A2A" w:rsidRPr="00960F72" w14:paraId="727187E7" w14:textId="77777777">
        <w:trPr>
          <w:trHeight w:val="190"/>
        </w:trPr>
        <w:tc>
          <w:tcPr>
            <w:tcW w:w="2689" w:type="dxa"/>
          </w:tcPr>
          <w:p w14:paraId="61560D27" w14:textId="77777777" w:rsidR="00BE6A2A" w:rsidRPr="00960F72" w:rsidRDefault="00BE6A2A">
            <w:pPr>
              <w:jc w:val="both"/>
              <w:rPr>
                <w:rFonts w:ascii="Verdana" w:eastAsia="Calibri" w:hAnsi="Verdana" w:cs="Arial"/>
                <w:b/>
                <w:bCs/>
                <w:lang w:eastAsia="es-ES_tradnl"/>
              </w:rPr>
            </w:pPr>
          </w:p>
        </w:tc>
        <w:tc>
          <w:tcPr>
            <w:tcW w:w="6100" w:type="dxa"/>
          </w:tcPr>
          <w:p w14:paraId="3D4379C5" w14:textId="7D24C914" w:rsidR="00BE6A2A" w:rsidRPr="00960F72" w:rsidRDefault="00BE6A2A">
            <w:pPr>
              <w:jc w:val="both"/>
              <w:rPr>
                <w:rFonts w:ascii="Verdana" w:eastAsia="Calibri" w:hAnsi="Verdana" w:cs="Arial"/>
                <w:b/>
                <w:bCs/>
                <w:lang w:eastAsia="es-ES"/>
              </w:rPr>
            </w:pPr>
            <w:r w:rsidRPr="00960F72">
              <w:rPr>
                <w:rFonts w:ascii="Verdana" w:eastAsia="Calibri" w:hAnsi="Verdana" w:cs="Arial"/>
                <w:b/>
                <w:bCs/>
                <w:lang w:eastAsia="es-ES"/>
              </w:rPr>
              <w:t>Concepto C-</w:t>
            </w:r>
            <w:r>
              <w:rPr>
                <w:rFonts w:ascii="Verdana" w:eastAsia="Calibri" w:hAnsi="Verdana" w:cs="Arial"/>
                <w:b/>
                <w:bCs/>
                <w:lang w:eastAsia="es-ES"/>
              </w:rPr>
              <w:t>063</w:t>
            </w:r>
            <w:r w:rsidRPr="00960F72">
              <w:rPr>
                <w:rFonts w:ascii="Verdana" w:eastAsia="Calibri" w:hAnsi="Verdana" w:cs="Arial"/>
                <w:b/>
                <w:bCs/>
                <w:lang w:eastAsia="es-ES"/>
              </w:rPr>
              <w:t xml:space="preserve"> de 202</w:t>
            </w:r>
            <w:r>
              <w:rPr>
                <w:rFonts w:ascii="Verdana" w:eastAsia="Calibri" w:hAnsi="Verdana" w:cs="Arial"/>
                <w:b/>
                <w:bCs/>
                <w:lang w:eastAsia="es-ES"/>
              </w:rPr>
              <w:t>6</w:t>
            </w:r>
          </w:p>
          <w:p w14:paraId="60A343EB" w14:textId="77777777" w:rsidR="00BE6A2A" w:rsidRPr="00960F72" w:rsidRDefault="00BE6A2A">
            <w:pPr>
              <w:jc w:val="both"/>
              <w:rPr>
                <w:rFonts w:ascii="Verdana" w:eastAsia="Calibri" w:hAnsi="Verdana" w:cs="Arial"/>
                <w:b/>
                <w:bCs/>
                <w:lang w:eastAsia="es-ES"/>
              </w:rPr>
            </w:pPr>
          </w:p>
        </w:tc>
      </w:tr>
      <w:tr w:rsidR="00BE6A2A" w:rsidRPr="00960F72" w14:paraId="47D9F4A0" w14:textId="77777777">
        <w:trPr>
          <w:trHeight w:val="884"/>
        </w:trPr>
        <w:tc>
          <w:tcPr>
            <w:tcW w:w="2689" w:type="dxa"/>
          </w:tcPr>
          <w:p w14:paraId="08779A97" w14:textId="77777777" w:rsidR="00BE6A2A" w:rsidRPr="00960F72" w:rsidRDefault="00BE6A2A">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4DDA7995" w14:textId="77777777" w:rsidR="00170618" w:rsidRDefault="00BE6A2A" w:rsidP="00170618">
            <w:pPr>
              <w:jc w:val="both"/>
              <w:rPr>
                <w:rFonts w:ascii="Verdana" w:eastAsia="Arial" w:hAnsi="Verdana" w:cs="Arial"/>
              </w:rPr>
            </w:pPr>
            <w:r w:rsidRPr="00597293">
              <w:rPr>
                <w:rFonts w:ascii="Verdana" w:hAnsi="Verdana" w:cs="Arial"/>
                <w:bCs/>
                <w:color w:val="000000" w:themeColor="text1"/>
                <w:lang w:val="es-ES_tradnl"/>
              </w:rPr>
              <w:t xml:space="preserve">LEY DE GARANTÍAS ELECTORALES ‒ Finalidad / LEY DE GARANTÍAS ELECTORALES ‒ Tipos de restricciones </w:t>
            </w:r>
            <w:r w:rsidRPr="00597293">
              <w:rPr>
                <w:rFonts w:ascii="Verdana" w:eastAsia="Arial" w:hAnsi="Verdana" w:cs="Arial"/>
                <w:lang w:val="es-ES" w:eastAsia="es-ES"/>
              </w:rPr>
              <w:t xml:space="preserve">/ </w:t>
            </w:r>
            <w:r w:rsidRPr="00597293">
              <w:rPr>
                <w:rFonts w:ascii="Verdana" w:eastAsia="Arial" w:hAnsi="Verdana" w:cs="Arial"/>
              </w:rPr>
              <w:t>UNIVERSIDADES PÚBLICAS – Naturaleza juríd</w:t>
            </w:r>
            <w:r w:rsidR="00170618">
              <w:rPr>
                <w:rFonts w:ascii="Verdana" w:eastAsia="Arial" w:hAnsi="Verdana" w:cs="Arial"/>
              </w:rPr>
              <w:t>ica</w:t>
            </w:r>
          </w:p>
          <w:p w14:paraId="43A263C2" w14:textId="38025DEF" w:rsidR="00BE6A2A" w:rsidRPr="00170618" w:rsidRDefault="00BE6A2A" w:rsidP="00170618">
            <w:pPr>
              <w:jc w:val="both"/>
              <w:rPr>
                <w:rFonts w:ascii="Verdana" w:hAnsi="Verdana" w:cs="Arial"/>
                <w:bCs/>
                <w:color w:val="000000" w:themeColor="text1"/>
                <w:lang w:val="es-ES_tradnl"/>
              </w:rPr>
            </w:pP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p>
        </w:tc>
      </w:tr>
      <w:tr w:rsidR="00BE6A2A" w:rsidRPr="00960F72" w14:paraId="18A55306" w14:textId="77777777">
        <w:tc>
          <w:tcPr>
            <w:tcW w:w="2689" w:type="dxa"/>
          </w:tcPr>
          <w:p w14:paraId="0F8A6E3A" w14:textId="77777777" w:rsidR="00BE6A2A" w:rsidRPr="00960F72" w:rsidRDefault="00BE6A2A">
            <w:pPr>
              <w:jc w:val="both"/>
              <w:rPr>
                <w:rFonts w:ascii="Verdana" w:eastAsia="Calibri" w:hAnsi="Verdana" w:cs="Arial"/>
                <w:b/>
                <w:lang w:eastAsia="es-ES_tradnl"/>
              </w:rPr>
            </w:pPr>
            <w:r w:rsidRPr="00960F72">
              <w:rPr>
                <w:rFonts w:ascii="Verdana" w:eastAsia="Calibri" w:hAnsi="Verdana" w:cs="Arial"/>
                <w:b/>
                <w:lang w:eastAsia="es-ES_tradnl"/>
              </w:rPr>
              <w:t>Radicación:</w:t>
            </w:r>
            <w:r w:rsidRPr="00960F72">
              <w:rPr>
                <w:rFonts w:ascii="Verdana" w:eastAsia="Calibri" w:hAnsi="Verdana" w:cs="Arial"/>
                <w:lang w:eastAsia="es-ES_tradnl"/>
              </w:rPr>
              <w:t xml:space="preserve">               </w:t>
            </w:r>
          </w:p>
        </w:tc>
        <w:tc>
          <w:tcPr>
            <w:tcW w:w="6100" w:type="dxa"/>
          </w:tcPr>
          <w:p w14:paraId="4CB36137" w14:textId="77777777" w:rsidR="00BE6A2A" w:rsidRPr="00960F72" w:rsidRDefault="00BE6A2A">
            <w:pPr>
              <w:jc w:val="both"/>
              <w:rPr>
                <w:rFonts w:ascii="Verdana" w:eastAsia="Calibri" w:hAnsi="Verdana" w:cs="Arial"/>
                <w:lang w:eastAsia="es-ES_tradnl"/>
              </w:rPr>
            </w:pPr>
            <w:r w:rsidRPr="00960F72">
              <w:rPr>
                <w:rFonts w:ascii="Verdana" w:eastAsia="Calibri" w:hAnsi="Verdana" w:cs="Arial"/>
                <w:lang w:eastAsia="es-ES_tradnl"/>
              </w:rPr>
              <w:t>Respuesta a consulta con radicado No.</w:t>
            </w:r>
            <w:r w:rsidRPr="003C2C84">
              <w:rPr>
                <w:rFonts w:ascii="Segoe UI" w:hAnsi="Segoe UI" w:cs="Segoe UI"/>
                <w:color w:val="2B2B2B"/>
                <w:sz w:val="27"/>
                <w:szCs w:val="27"/>
                <w:shd w:val="clear" w:color="auto" w:fill="FFFFFF"/>
              </w:rPr>
              <w:t xml:space="preserve"> </w:t>
            </w:r>
            <w:r w:rsidRPr="00FE553C">
              <w:rPr>
                <w:rFonts w:ascii="Verdana" w:hAnsi="Verdana" w:cs="Segoe UI"/>
                <w:color w:val="2B2B2B"/>
                <w:shd w:val="clear" w:color="auto" w:fill="FFFFFF"/>
              </w:rPr>
              <w:t>1_2026_01_19_000524</w:t>
            </w:r>
          </w:p>
        </w:tc>
      </w:tr>
    </w:tbl>
    <w:p w14:paraId="196ED111" w14:textId="77777777" w:rsidR="00BE6A2A" w:rsidRPr="00960F72" w:rsidRDefault="00BE6A2A" w:rsidP="00BE6A2A">
      <w:pPr>
        <w:spacing w:after="0" w:line="240" w:lineRule="auto"/>
        <w:jc w:val="both"/>
        <w:rPr>
          <w:rFonts w:ascii="Verdana" w:eastAsia="Calibri" w:hAnsi="Verdana" w:cs="Arial"/>
          <w:lang w:eastAsia="es-ES_tradnl"/>
        </w:rPr>
      </w:pPr>
    </w:p>
    <w:p w14:paraId="4B574261" w14:textId="77777777" w:rsidR="00BE6A2A" w:rsidRPr="00960F72" w:rsidRDefault="00BE6A2A" w:rsidP="00BE6A2A">
      <w:pPr>
        <w:spacing w:after="0" w:line="276" w:lineRule="auto"/>
        <w:jc w:val="both"/>
        <w:rPr>
          <w:rFonts w:ascii="Verdana" w:eastAsia="Calibri" w:hAnsi="Verdana" w:cs="Arial"/>
          <w:lang w:eastAsia="es-ES"/>
        </w:rPr>
      </w:pPr>
      <w:r>
        <w:rPr>
          <w:rFonts w:ascii="Verdana" w:eastAsia="Calibri" w:hAnsi="Verdana" w:cs="Arial"/>
          <w:lang w:eastAsia="es-ES"/>
        </w:rPr>
        <w:t>Estimado señor Mendoza:</w:t>
      </w:r>
    </w:p>
    <w:p w14:paraId="6D9A6ED5" w14:textId="77777777" w:rsidR="00BE6A2A" w:rsidRPr="00960F72" w:rsidRDefault="00BE6A2A" w:rsidP="00BE6A2A">
      <w:pPr>
        <w:tabs>
          <w:tab w:val="left" w:pos="3768"/>
        </w:tabs>
        <w:spacing w:after="0" w:line="276" w:lineRule="auto"/>
        <w:jc w:val="both"/>
        <w:rPr>
          <w:rFonts w:ascii="Verdana" w:eastAsia="Calibri" w:hAnsi="Verdana" w:cs="Arial"/>
          <w:lang w:eastAsia="es-ES"/>
        </w:rPr>
      </w:pPr>
    </w:p>
    <w:p w14:paraId="589ADB49" w14:textId="77777777" w:rsidR="00BE6A2A" w:rsidRPr="00960F72" w:rsidRDefault="00BE6A2A" w:rsidP="00BE6A2A">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 xml:space="preserve">19 </w:t>
      </w:r>
      <w:r w:rsidRPr="00960F72">
        <w:rPr>
          <w:rFonts w:ascii="Verdana" w:eastAsia="Calibri" w:hAnsi="Verdana" w:cs="Arial"/>
          <w:lang w:eastAsia="es-ES"/>
        </w:rPr>
        <w:t xml:space="preserve">de </w:t>
      </w:r>
      <w:r>
        <w:rPr>
          <w:rFonts w:ascii="Verdana" w:eastAsia="Calibri" w:hAnsi="Verdana" w:cs="Arial"/>
          <w:lang w:eastAsia="es-ES"/>
        </w:rPr>
        <w:t>enero</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xml:space="preserve">, en la cual manifiesta lo siguiente: </w:t>
      </w:r>
    </w:p>
    <w:p w14:paraId="47DB6DBD" w14:textId="77777777" w:rsidR="00BE6A2A" w:rsidRPr="00960F72" w:rsidRDefault="00BE6A2A" w:rsidP="00BE6A2A">
      <w:pPr>
        <w:spacing w:after="0" w:line="276" w:lineRule="auto"/>
        <w:jc w:val="both"/>
        <w:rPr>
          <w:rFonts w:ascii="Verdana" w:eastAsia="Calibri" w:hAnsi="Verdana" w:cs="Arial"/>
          <w:lang w:eastAsia="es-ES"/>
        </w:rPr>
      </w:pPr>
    </w:p>
    <w:p w14:paraId="480DCCEB" w14:textId="77777777" w:rsidR="00BE6A2A" w:rsidRPr="00765616" w:rsidRDefault="00BE6A2A" w:rsidP="00BE6A2A">
      <w:pPr>
        <w:spacing w:after="0" w:line="276"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 xml:space="preserve">“… 1. </w:t>
      </w:r>
      <w:r w:rsidRPr="00765616">
        <w:rPr>
          <w:rFonts w:ascii="Verdana" w:eastAsia="Calibri" w:hAnsi="Verdana" w:cs="Arial"/>
          <w:sz w:val="20"/>
          <w:szCs w:val="20"/>
          <w:lang w:eastAsia="es-ES"/>
        </w:rPr>
        <w:t>¿Es jurídicamente procedente realizar, durante la Ley de Garantías, pagos misionales</w:t>
      </w:r>
      <w:r>
        <w:rPr>
          <w:rFonts w:ascii="Verdana" w:eastAsia="Calibri" w:hAnsi="Verdana" w:cs="Arial"/>
          <w:sz w:val="20"/>
          <w:szCs w:val="20"/>
          <w:lang w:eastAsia="es-ES"/>
        </w:rPr>
        <w:t xml:space="preserve"> </w:t>
      </w:r>
      <w:r w:rsidRPr="00765616">
        <w:rPr>
          <w:rFonts w:ascii="Verdana" w:eastAsia="Calibri" w:hAnsi="Verdana" w:cs="Arial"/>
          <w:sz w:val="20"/>
          <w:szCs w:val="20"/>
          <w:lang w:eastAsia="es-ES"/>
        </w:rPr>
        <w:t>asociados a investigación y extensión, tales como inscripciones a congresos, pagos por</w:t>
      </w:r>
      <w:r>
        <w:rPr>
          <w:rFonts w:ascii="Verdana" w:eastAsia="Calibri" w:hAnsi="Verdana" w:cs="Arial"/>
          <w:sz w:val="20"/>
          <w:szCs w:val="20"/>
          <w:lang w:eastAsia="es-ES"/>
        </w:rPr>
        <w:t xml:space="preserve"> </w:t>
      </w:r>
      <w:r w:rsidRPr="00765616">
        <w:rPr>
          <w:rFonts w:ascii="Verdana" w:eastAsia="Calibri" w:hAnsi="Verdana" w:cs="Arial"/>
          <w:sz w:val="20"/>
          <w:szCs w:val="20"/>
          <w:lang w:eastAsia="es-ES"/>
        </w:rPr>
        <w:t>producción científica y tasas ante la SIC, cuando estos se efectúan contra factura o documento</w:t>
      </w:r>
      <w:r>
        <w:rPr>
          <w:rFonts w:ascii="Verdana" w:eastAsia="Calibri" w:hAnsi="Verdana" w:cs="Arial"/>
          <w:sz w:val="20"/>
          <w:szCs w:val="20"/>
          <w:lang w:eastAsia="es-ES"/>
        </w:rPr>
        <w:t xml:space="preserve"> </w:t>
      </w:r>
      <w:r w:rsidRPr="00765616">
        <w:rPr>
          <w:rFonts w:ascii="Verdana" w:eastAsia="Calibri" w:hAnsi="Verdana" w:cs="Arial"/>
          <w:sz w:val="20"/>
          <w:szCs w:val="20"/>
          <w:lang w:eastAsia="es-ES"/>
        </w:rPr>
        <w:t>equivalente y no mediante contrato estatal?</w:t>
      </w:r>
    </w:p>
    <w:p w14:paraId="547B245E" w14:textId="77777777" w:rsidR="00BE6A2A" w:rsidRPr="00765616" w:rsidRDefault="00BE6A2A" w:rsidP="00BE6A2A">
      <w:pPr>
        <w:spacing w:after="0" w:line="276"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 xml:space="preserve">3. </w:t>
      </w:r>
      <w:r w:rsidRPr="00765616">
        <w:rPr>
          <w:rFonts w:ascii="Verdana" w:eastAsia="Calibri" w:hAnsi="Verdana" w:cs="Arial"/>
          <w:sz w:val="20"/>
          <w:szCs w:val="20"/>
          <w:lang w:eastAsia="es-ES"/>
        </w:rPr>
        <w:t>¿Puede considerarse que este tipo de pagos no constituyen contratación estatal en los</w:t>
      </w:r>
      <w:r>
        <w:rPr>
          <w:rFonts w:ascii="Verdana" w:eastAsia="Calibri" w:hAnsi="Verdana" w:cs="Arial"/>
          <w:sz w:val="20"/>
          <w:szCs w:val="20"/>
          <w:lang w:eastAsia="es-ES"/>
        </w:rPr>
        <w:t xml:space="preserve"> </w:t>
      </w:r>
      <w:r w:rsidRPr="00765616">
        <w:rPr>
          <w:rFonts w:ascii="Verdana" w:eastAsia="Calibri" w:hAnsi="Verdana" w:cs="Arial"/>
          <w:sz w:val="20"/>
          <w:szCs w:val="20"/>
          <w:lang w:eastAsia="es-ES"/>
        </w:rPr>
        <w:t>términos de la Ley 80 de 1993, sino ejecución normal del gasto misional previamente</w:t>
      </w:r>
      <w:r>
        <w:rPr>
          <w:rFonts w:ascii="Verdana" w:eastAsia="Calibri" w:hAnsi="Verdana" w:cs="Arial"/>
          <w:sz w:val="20"/>
          <w:szCs w:val="20"/>
          <w:lang w:eastAsia="es-ES"/>
        </w:rPr>
        <w:t xml:space="preserve"> </w:t>
      </w:r>
      <w:r w:rsidRPr="00765616">
        <w:rPr>
          <w:rFonts w:ascii="Verdana" w:eastAsia="Calibri" w:hAnsi="Verdana" w:cs="Arial"/>
          <w:sz w:val="20"/>
          <w:szCs w:val="20"/>
          <w:lang w:eastAsia="es-ES"/>
        </w:rPr>
        <w:t>aprobado en el presupuesto institucional?</w:t>
      </w:r>
      <w:r>
        <w:rPr>
          <w:rFonts w:ascii="Verdana" w:eastAsia="Calibri" w:hAnsi="Verdana" w:cs="Arial"/>
          <w:sz w:val="20"/>
          <w:szCs w:val="20"/>
          <w:lang w:eastAsia="es-ES"/>
        </w:rPr>
        <w:t xml:space="preserve"> </w:t>
      </w:r>
      <w:proofErr w:type="gramStart"/>
      <w:r w:rsidRPr="00765616">
        <w:rPr>
          <w:rFonts w:ascii="Verdana" w:eastAsia="Calibri" w:hAnsi="Verdana" w:cs="Arial"/>
          <w:sz w:val="20"/>
          <w:szCs w:val="20"/>
          <w:lang w:eastAsia="es-ES"/>
        </w:rPr>
        <w:t>Qué mecanismos jurídicos o administrativos recomienda CCE para garantizar la continuidad</w:t>
      </w:r>
      <w:r>
        <w:rPr>
          <w:rFonts w:ascii="Verdana" w:eastAsia="Calibri" w:hAnsi="Verdana" w:cs="Arial"/>
          <w:sz w:val="20"/>
          <w:szCs w:val="20"/>
          <w:lang w:eastAsia="es-ES"/>
        </w:rPr>
        <w:t xml:space="preserve"> </w:t>
      </w:r>
      <w:r w:rsidRPr="00765616">
        <w:rPr>
          <w:rFonts w:ascii="Verdana" w:eastAsia="Calibri" w:hAnsi="Verdana" w:cs="Arial"/>
          <w:sz w:val="20"/>
          <w:szCs w:val="20"/>
          <w:lang w:eastAsia="es-ES"/>
        </w:rPr>
        <w:t>de la función investigativa y de extensión de las IES públicas durante la Ley de Garantías, sin</w:t>
      </w:r>
      <w:r>
        <w:rPr>
          <w:rFonts w:ascii="Verdana" w:eastAsia="Calibri" w:hAnsi="Verdana" w:cs="Arial"/>
          <w:sz w:val="20"/>
          <w:szCs w:val="20"/>
          <w:lang w:eastAsia="es-ES"/>
        </w:rPr>
        <w:t xml:space="preserve"> </w:t>
      </w:r>
      <w:r w:rsidRPr="00765616">
        <w:rPr>
          <w:rFonts w:ascii="Verdana" w:eastAsia="Calibri" w:hAnsi="Verdana" w:cs="Arial"/>
          <w:sz w:val="20"/>
          <w:szCs w:val="20"/>
          <w:lang w:eastAsia="es-ES"/>
        </w:rPr>
        <w:t>vulnerar sus restricciones?</w:t>
      </w:r>
      <w:proofErr w:type="gramEnd"/>
      <w:r w:rsidRPr="00765616">
        <w:rPr>
          <w:rFonts w:ascii="Verdana" w:eastAsia="Calibri" w:hAnsi="Verdana" w:cs="Arial"/>
          <w:sz w:val="20"/>
          <w:szCs w:val="20"/>
          <w:lang w:eastAsia="es-ES"/>
        </w:rPr>
        <w:t xml:space="preserve"> </w:t>
      </w:r>
    </w:p>
    <w:p w14:paraId="132F118D" w14:textId="77777777" w:rsidR="00BE6A2A" w:rsidRPr="003C2C84" w:rsidRDefault="00BE6A2A" w:rsidP="00BE6A2A">
      <w:pPr>
        <w:spacing w:after="0" w:line="276" w:lineRule="auto"/>
        <w:ind w:left="709" w:right="709"/>
        <w:jc w:val="both"/>
        <w:rPr>
          <w:rFonts w:ascii="Verdana" w:eastAsia="Calibri" w:hAnsi="Verdana" w:cs="Arial"/>
          <w:sz w:val="20"/>
          <w:szCs w:val="20"/>
          <w:lang w:eastAsia="es-ES"/>
        </w:rPr>
      </w:pPr>
      <w:r w:rsidRPr="00765616">
        <w:rPr>
          <w:rFonts w:ascii="Verdana" w:eastAsia="Calibri" w:hAnsi="Verdana" w:cs="Arial"/>
          <w:sz w:val="20"/>
          <w:szCs w:val="20"/>
          <w:lang w:eastAsia="es-ES"/>
        </w:rPr>
        <w:t>4. ¿Existe alguna distinción relevante entre universidades e instituciones tecnológicas para</w:t>
      </w:r>
      <w:r>
        <w:rPr>
          <w:rFonts w:ascii="Verdana" w:eastAsia="Calibri" w:hAnsi="Verdana" w:cs="Arial"/>
          <w:sz w:val="20"/>
          <w:szCs w:val="20"/>
          <w:lang w:eastAsia="es-ES"/>
        </w:rPr>
        <w:t xml:space="preserve"> </w:t>
      </w:r>
      <w:r w:rsidRPr="00765616">
        <w:rPr>
          <w:rFonts w:ascii="Verdana" w:eastAsia="Calibri" w:hAnsi="Verdana" w:cs="Arial"/>
          <w:sz w:val="20"/>
          <w:szCs w:val="20"/>
          <w:lang w:eastAsia="es-ES"/>
        </w:rPr>
        <w:t xml:space="preserve">efectos de la aplicación de estas restricciones, o debe </w:t>
      </w:r>
      <w:r w:rsidRPr="00765616">
        <w:rPr>
          <w:rFonts w:ascii="Verdana" w:eastAsia="Calibri" w:hAnsi="Verdana" w:cs="Arial"/>
          <w:sz w:val="20"/>
          <w:szCs w:val="20"/>
          <w:lang w:eastAsia="es-ES"/>
        </w:rPr>
        <w:lastRenderedPageBreak/>
        <w:t>primar la función misional y el principio</w:t>
      </w:r>
      <w:r>
        <w:rPr>
          <w:rFonts w:ascii="Verdana" w:eastAsia="Calibri" w:hAnsi="Verdana" w:cs="Arial"/>
          <w:sz w:val="20"/>
          <w:szCs w:val="20"/>
          <w:lang w:eastAsia="es-ES"/>
        </w:rPr>
        <w:t xml:space="preserve"> </w:t>
      </w:r>
      <w:r w:rsidRPr="00765616">
        <w:rPr>
          <w:rFonts w:ascii="Verdana" w:eastAsia="Calibri" w:hAnsi="Verdana" w:cs="Arial"/>
          <w:sz w:val="20"/>
          <w:szCs w:val="20"/>
          <w:lang w:eastAsia="es-ES"/>
        </w:rPr>
        <w:t>de continuidad del servicio público educativo?</w:t>
      </w:r>
      <w:r>
        <w:rPr>
          <w:rFonts w:ascii="Verdana" w:eastAsia="Calibri" w:hAnsi="Verdana" w:cs="Arial"/>
          <w:sz w:val="20"/>
          <w:szCs w:val="20"/>
          <w:lang w:eastAsia="es-ES"/>
        </w:rPr>
        <w:t>”</w:t>
      </w:r>
    </w:p>
    <w:p w14:paraId="0FC11B2D" w14:textId="77777777" w:rsidR="00BE6A2A" w:rsidRPr="00755387" w:rsidRDefault="00BE6A2A" w:rsidP="00BE6A2A">
      <w:pPr>
        <w:spacing w:after="0" w:line="276" w:lineRule="auto"/>
        <w:ind w:right="709"/>
        <w:jc w:val="both"/>
        <w:rPr>
          <w:rFonts w:ascii="Verdana" w:eastAsia="Calibri" w:hAnsi="Verdana" w:cs="Arial"/>
          <w:lang w:eastAsia="es-ES"/>
        </w:rPr>
      </w:pPr>
    </w:p>
    <w:p w14:paraId="7E3C55BA" w14:textId="77777777" w:rsidR="00BE6A2A" w:rsidRPr="00960F72" w:rsidRDefault="00BE6A2A" w:rsidP="00BE6A2A">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6BB1AC3D" w14:textId="77777777" w:rsidR="00BE6A2A" w:rsidRPr="00960F72" w:rsidRDefault="00BE6A2A" w:rsidP="00BE6A2A">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1A29A11D" w14:textId="77777777" w:rsidR="00BE6A2A" w:rsidRDefault="00BE6A2A" w:rsidP="00BE6A2A">
      <w:pPr>
        <w:spacing w:after="0" w:line="276" w:lineRule="auto"/>
        <w:ind w:firstLine="709"/>
        <w:jc w:val="both"/>
        <w:rPr>
          <w:rFonts w:ascii="Verdana" w:eastAsia="Calibri" w:hAnsi="Verdana" w:cs="Arial"/>
          <w:lang w:eastAsia="es-ES"/>
        </w:rPr>
      </w:pPr>
    </w:p>
    <w:p w14:paraId="4A16A03D" w14:textId="77777777" w:rsidR="00BE6A2A" w:rsidRPr="00960F72" w:rsidRDefault="00BE6A2A" w:rsidP="00BE6A2A">
      <w:pPr>
        <w:spacing w:after="0" w:line="276" w:lineRule="auto"/>
        <w:jc w:val="both"/>
        <w:rPr>
          <w:rFonts w:ascii="Verdana" w:eastAsia="Calibri" w:hAnsi="Verdana" w:cs="Arial"/>
          <w:lang w:eastAsia="es-ES"/>
        </w:rPr>
      </w:pPr>
    </w:p>
    <w:p w14:paraId="610E21AB" w14:textId="77777777" w:rsidR="00BE6A2A" w:rsidRPr="00960F72" w:rsidRDefault="00BE6A2A" w:rsidP="00BE6A2A">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60F72">
        <w:rPr>
          <w:rFonts w:ascii="Verdana" w:eastAsia="Century Gothic" w:hAnsi="Verdana" w:cs="Century Gothic"/>
          <w:b/>
          <w:bCs/>
        </w:rPr>
        <w:t>Problema planteado:</w:t>
      </w:r>
    </w:p>
    <w:p w14:paraId="762E9155" w14:textId="77777777" w:rsidR="00BE6A2A" w:rsidRPr="00960F72" w:rsidRDefault="00BE6A2A" w:rsidP="00BE6A2A">
      <w:pPr>
        <w:tabs>
          <w:tab w:val="left" w:pos="426"/>
        </w:tabs>
        <w:spacing w:after="0" w:line="276" w:lineRule="auto"/>
        <w:jc w:val="both"/>
        <w:rPr>
          <w:rFonts w:ascii="Verdana" w:eastAsia="Century Gothic" w:hAnsi="Verdana" w:cs="Century Gothic"/>
        </w:rPr>
      </w:pPr>
    </w:p>
    <w:p w14:paraId="738A5F83" w14:textId="77777777" w:rsidR="00BE6A2A" w:rsidRDefault="00BE6A2A" w:rsidP="00BE6A2A">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557EE6">
        <w:rPr>
          <w:rFonts w:ascii="Verdana" w:eastAsia="Century Gothic" w:hAnsi="Verdana" w:cs="Century Gothic"/>
        </w:rPr>
        <w:t>¿Es procedente, durante la Ley de Garantías, que las instituciones de educación superior públicas efectúen pagos misionales de investigación y extensión, como ejecución del gasto previamente presupuestado, y qué mecanismos permiten asegurar la continuidad de estas funciones sin vulnerar dichas restricciones?</w:t>
      </w:r>
    </w:p>
    <w:p w14:paraId="1E7F2BB0" w14:textId="77777777" w:rsidR="00BE6A2A" w:rsidRPr="00960F72" w:rsidRDefault="00BE6A2A" w:rsidP="00BE6A2A">
      <w:pPr>
        <w:spacing w:after="0" w:line="276" w:lineRule="auto"/>
        <w:jc w:val="both"/>
        <w:rPr>
          <w:rFonts w:ascii="Verdana" w:eastAsia="Century Gothic" w:hAnsi="Verdana" w:cs="Century Gothic"/>
        </w:rPr>
      </w:pPr>
    </w:p>
    <w:p w14:paraId="0FBBC599" w14:textId="77777777" w:rsidR="00BE6A2A" w:rsidRDefault="00BE6A2A" w:rsidP="00BE6A2A">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60F72">
        <w:rPr>
          <w:rFonts w:ascii="Verdana" w:eastAsia="Century Gothic" w:hAnsi="Verdana" w:cs="Century Gothic"/>
          <w:b/>
          <w:bCs/>
        </w:rPr>
        <w:t>Respuesta:</w:t>
      </w:r>
    </w:p>
    <w:p w14:paraId="31983D13" w14:textId="77777777" w:rsidR="00BE6A2A" w:rsidRPr="00027E7B" w:rsidRDefault="00BE6A2A" w:rsidP="00BE6A2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E6A2A" w:rsidRPr="00960F72" w14:paraId="1FFDEBA3" w14:textId="77777777">
        <w:tc>
          <w:tcPr>
            <w:tcW w:w="8828" w:type="dxa"/>
          </w:tcPr>
          <w:p w14:paraId="386BC81C" w14:textId="77777777" w:rsidR="00BE6A2A" w:rsidRDefault="00BE6A2A">
            <w:pPr>
              <w:spacing w:after="120" w:line="276" w:lineRule="auto"/>
              <w:jc w:val="both"/>
              <w:rPr>
                <w:rFonts w:ascii="Verdana" w:eastAsia="Times New Roman" w:hAnsi="Verdana" w:cs="Open Sans"/>
                <w:lang w:eastAsia="es-CO"/>
              </w:rPr>
            </w:pPr>
            <w:r>
              <w:rPr>
                <w:rFonts w:ascii="Verdana" w:eastAsia="Times New Roman" w:hAnsi="Verdana" w:cs="Open Sans"/>
                <w:lang w:eastAsia="es-CO"/>
              </w:rPr>
              <w:t xml:space="preserve">En atención al problema jurídico planteado debe señalarse que la Ley de Garantías Electorales, en materia de contratación estatal dispone dos tipos de </w:t>
            </w:r>
            <w:r>
              <w:rPr>
                <w:rFonts w:ascii="Verdana" w:eastAsia="Times New Roman" w:hAnsi="Verdana" w:cs="Open Sans"/>
                <w:lang w:eastAsia="es-CO"/>
              </w:rPr>
              <w:lastRenderedPageBreak/>
              <w:t xml:space="preserve">restricciones. </w:t>
            </w:r>
            <w:r w:rsidRPr="00DE5508">
              <w:rPr>
                <w:rFonts w:ascii="Verdana" w:eastAsia="Times New Roman" w:hAnsi="Verdana" w:cs="Open Sans"/>
                <w:lang w:eastAsia="es-CO"/>
              </w:rPr>
              <w:t xml:space="preserve">El artículo 33 de la Ley 996 de 2205 prohíbe la contratación directa por parte de todos los entes estatales durante los cuatro </w:t>
            </w:r>
            <w:r>
              <w:rPr>
                <w:rFonts w:ascii="Verdana" w:eastAsia="Times New Roman" w:hAnsi="Verdana" w:cs="Open Sans"/>
                <w:lang w:eastAsia="es-CO"/>
              </w:rPr>
              <w:t>(4)</w:t>
            </w:r>
            <w:r w:rsidRPr="00DE5508">
              <w:rPr>
                <w:rFonts w:ascii="Verdana" w:eastAsia="Times New Roman" w:hAnsi="Verdana" w:cs="Open Sans"/>
                <w:lang w:eastAsia="es-CO"/>
              </w:rPr>
              <w:t xml:space="preserve">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w:t>
            </w:r>
            <w:r w:rsidRPr="485EFC16">
              <w:rPr>
                <w:rFonts w:ascii="Verdana" w:eastAsia="Times New Roman" w:hAnsi="Verdana" w:cs="Open Sans"/>
                <w:lang w:eastAsia="es-CO"/>
              </w:rPr>
              <w:t>se refiere a</w:t>
            </w:r>
            <w:r w:rsidRPr="00DE5508">
              <w:rPr>
                <w:rFonts w:ascii="Verdana" w:eastAsia="Times New Roman" w:hAnsi="Verdana" w:cs="Open Sans"/>
                <w:lang w:eastAsia="es-CO"/>
              </w:rPr>
              <w:t xml:space="preserve"> cualquier sistema de selección o procedimiento de contratación utilizado por las entidades estatales que no incluya la convocatoria pública en alguna de sus etapas, ni permita la participación de una pluralidad de oferentes. </w:t>
            </w:r>
          </w:p>
          <w:p w14:paraId="19E8BB95" w14:textId="77777777" w:rsidR="00BE6A2A" w:rsidRDefault="00BE6A2A">
            <w:pPr>
              <w:spacing w:after="120" w:line="276" w:lineRule="auto"/>
              <w:ind w:firstLine="708"/>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1070FBB4" w14:textId="77777777" w:rsidR="00BE6A2A" w:rsidRDefault="00BE6A2A">
            <w:pPr>
              <w:pStyle w:val="Prrafodelista"/>
              <w:spacing w:after="120" w:line="276" w:lineRule="auto"/>
              <w:ind w:left="0" w:firstLine="709"/>
              <w:jc w:val="both"/>
              <w:rPr>
                <w:rFonts w:ascii="Verdana" w:eastAsia="Times New Roman" w:hAnsi="Verdana" w:cs="Open Sans"/>
                <w:lang w:eastAsia="es-CO"/>
              </w:rPr>
            </w:pPr>
            <w:r w:rsidRPr="00072C23">
              <w:rPr>
                <w:rFonts w:ascii="Verdana" w:eastAsia="Arial" w:hAnsi="Verdana" w:cs="Arial"/>
                <w:color w:val="000000" w:themeColor="text1"/>
                <w:lang w:eastAsia="es-MX"/>
              </w:rPr>
              <w:t xml:space="preserve">En este contexto, </w:t>
            </w:r>
            <w:r>
              <w:rPr>
                <w:rFonts w:ascii="Verdana" w:eastAsia="Arial" w:hAnsi="Verdana" w:cs="Arial"/>
                <w:lang w:eastAsia="es-MX"/>
              </w:rPr>
              <w:t xml:space="preserve">dado que las universidades públicas son entidades públicas de carácter autónomo con régimen especial, les aplica la restricción establecida en el artículo 33 de la Ley 996 de 2005, que </w:t>
            </w:r>
            <w:r w:rsidRPr="00B3605D">
              <w:rPr>
                <w:rFonts w:ascii="Verdana" w:eastAsia="Times New Roman" w:hAnsi="Verdana" w:cs="Open Sans"/>
                <w:lang w:eastAsia="es-CO"/>
              </w:rPr>
              <w:t xml:space="preserve">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w:t>
            </w:r>
            <w:r>
              <w:rPr>
                <w:rFonts w:ascii="Verdana" w:eastAsia="Times New Roman" w:hAnsi="Verdana" w:cs="Open Sans"/>
                <w:lang w:eastAsia="es-CO"/>
              </w:rPr>
              <w:t xml:space="preserve"> </w:t>
            </w:r>
          </w:p>
          <w:p w14:paraId="5974E12F" w14:textId="77777777" w:rsidR="00BE6A2A" w:rsidRDefault="00BE6A2A">
            <w:pPr>
              <w:spacing w:after="120" w:line="276" w:lineRule="auto"/>
              <w:ind w:firstLine="709"/>
              <w:jc w:val="both"/>
              <w:rPr>
                <w:rFonts w:ascii="Verdana" w:eastAsia="Times New Roman" w:hAnsi="Verdana" w:cs="Open Sans"/>
                <w:lang w:eastAsia="es-CO"/>
              </w:rPr>
            </w:pPr>
            <w:r>
              <w:rPr>
                <w:rFonts w:ascii="Verdana" w:eastAsia="Times New Roman" w:hAnsi="Verdana" w:cs="Arial"/>
                <w:lang w:val="es-MX" w:eastAsia="es-CO"/>
              </w:rPr>
              <w:t>E</w:t>
            </w:r>
            <w:r w:rsidRPr="00E2397D">
              <w:rPr>
                <w:rFonts w:ascii="Verdana" w:eastAsia="Times New Roman" w:hAnsi="Verdana" w:cs="Arial"/>
                <w:lang w:val="es-MX" w:eastAsia="es-CO"/>
              </w:rPr>
              <w:t xml:space="preserve">l parágrafo del artículo 38 de la Ley 996 de 2005 prohíbe a los </w:t>
            </w:r>
            <w:proofErr w:type="gramStart"/>
            <w:r w:rsidRPr="00E2397D">
              <w:rPr>
                <w:rFonts w:ascii="Verdana" w:eastAsia="Times New Roman" w:hAnsi="Verdana" w:cs="Arial"/>
                <w:lang w:val="es-MX" w:eastAsia="es-CO"/>
              </w:rPr>
              <w:t>Alcaldes</w:t>
            </w:r>
            <w:proofErr w:type="gramEnd"/>
            <w:r w:rsidRPr="00E2397D">
              <w:rPr>
                <w:rFonts w:ascii="Verdana" w:eastAsia="Times New Roman" w:hAnsi="Verdana" w:cs="Arial"/>
                <w:lang w:val="es-MX" w:eastAsia="es-CO"/>
              </w:rPr>
              <w:t xml:space="preserve">, Gobernadores, </w:t>
            </w:r>
            <w:proofErr w:type="gramStart"/>
            <w:r w:rsidRPr="00E2397D">
              <w:rPr>
                <w:rFonts w:ascii="Verdana" w:eastAsia="Times New Roman" w:hAnsi="Verdana" w:cs="Arial"/>
                <w:lang w:val="es-MX" w:eastAsia="es-CO"/>
              </w:rPr>
              <w:t>Secretarios</w:t>
            </w:r>
            <w:proofErr w:type="gramEnd"/>
            <w:r w:rsidRPr="00E2397D">
              <w:rPr>
                <w:rFonts w:ascii="Verdana" w:eastAsia="Times New Roman" w:hAnsi="Verdana" w:cs="Arial"/>
                <w:lang w:val="es-MX" w:eastAsia="es-CO"/>
              </w:rPr>
              <w:t xml:space="preserve">, Gerentes y </w:t>
            </w:r>
            <w:proofErr w:type="gramStart"/>
            <w:r w:rsidRPr="00E2397D">
              <w:rPr>
                <w:rFonts w:ascii="Verdana" w:eastAsia="Times New Roman" w:hAnsi="Verdana" w:cs="Arial"/>
                <w:lang w:val="es-MX" w:eastAsia="es-CO"/>
              </w:rPr>
              <w:t>Directores</w:t>
            </w:r>
            <w:proofErr w:type="gramEnd"/>
            <w:r w:rsidRPr="00E2397D">
              <w:rPr>
                <w:rFonts w:ascii="Verdana" w:eastAsia="Times New Roman" w:hAnsi="Verdana" w:cs="Arial"/>
                <w:lang w:val="es-MX" w:eastAsia="es-CO"/>
              </w:rPr>
              <w:t xml:space="preserve">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r>
              <w:rPr>
                <w:rFonts w:ascii="Verdana" w:eastAsia="Times New Roman" w:hAnsi="Verdana" w:cs="Arial"/>
                <w:lang w:val="es-MX" w:eastAsia="es-CO"/>
              </w:rPr>
              <w:t xml:space="preserve">Así las cosas, </w:t>
            </w:r>
            <w:r>
              <w:rPr>
                <w:rFonts w:ascii="Verdana" w:eastAsia="Times New Roman" w:hAnsi="Verdana" w:cs="Open Sans"/>
                <w:lang w:eastAsia="es-CO"/>
              </w:rPr>
              <w:t xml:space="preserve">por el </w:t>
            </w:r>
            <w:r>
              <w:rPr>
                <w:rFonts w:ascii="Verdana" w:eastAsia="Times New Roman" w:hAnsi="Verdana" w:cs="Open Sans"/>
                <w:lang w:eastAsia="es-CO"/>
              </w:rPr>
              <w:lastRenderedPageBreak/>
              <w:t xml:space="preserve">contrario, a estas entidades no les aplica la restricción contenida en el parágrafo del artículo 38 de la Ley 996 de 2005, dado que esta solo es aplicable a </w:t>
            </w:r>
            <w:proofErr w:type="gramStart"/>
            <w:r w:rsidRPr="00E2397D">
              <w:rPr>
                <w:rFonts w:ascii="Verdana" w:eastAsia="Times New Roman" w:hAnsi="Verdana" w:cs="Arial"/>
                <w:lang w:val="es-MX" w:eastAsia="es-CO"/>
              </w:rPr>
              <w:t>Alcaldes</w:t>
            </w:r>
            <w:proofErr w:type="gramEnd"/>
            <w:r w:rsidRPr="00E2397D">
              <w:rPr>
                <w:rFonts w:ascii="Verdana" w:eastAsia="Times New Roman" w:hAnsi="Verdana" w:cs="Arial"/>
                <w:lang w:val="es-MX" w:eastAsia="es-CO"/>
              </w:rPr>
              <w:t xml:space="preserve">, Gobernadores, </w:t>
            </w:r>
            <w:proofErr w:type="gramStart"/>
            <w:r w:rsidRPr="00E2397D">
              <w:rPr>
                <w:rFonts w:ascii="Verdana" w:eastAsia="Times New Roman" w:hAnsi="Verdana" w:cs="Arial"/>
                <w:lang w:val="es-MX" w:eastAsia="es-CO"/>
              </w:rPr>
              <w:t>Secretarios</w:t>
            </w:r>
            <w:proofErr w:type="gramEnd"/>
            <w:r w:rsidRPr="00E2397D">
              <w:rPr>
                <w:rFonts w:ascii="Verdana" w:eastAsia="Times New Roman" w:hAnsi="Verdana" w:cs="Arial"/>
                <w:lang w:val="es-MX" w:eastAsia="es-CO"/>
              </w:rPr>
              <w:t xml:space="preserve">, Gerentes y </w:t>
            </w:r>
            <w:proofErr w:type="gramStart"/>
            <w:r w:rsidRPr="00E2397D">
              <w:rPr>
                <w:rFonts w:ascii="Verdana" w:eastAsia="Times New Roman" w:hAnsi="Verdana" w:cs="Arial"/>
                <w:lang w:val="es-MX" w:eastAsia="es-CO"/>
              </w:rPr>
              <w:t>Directores</w:t>
            </w:r>
            <w:proofErr w:type="gramEnd"/>
            <w:r w:rsidRPr="00E2397D">
              <w:rPr>
                <w:rFonts w:ascii="Verdana" w:eastAsia="Times New Roman" w:hAnsi="Verdana" w:cs="Arial"/>
                <w:lang w:val="es-MX" w:eastAsia="es-CO"/>
              </w:rPr>
              <w:t xml:space="preserve">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del orden municipal, departamental o distrital</w:t>
            </w:r>
            <w:r>
              <w:rPr>
                <w:rFonts w:ascii="Verdana" w:eastAsia="Times New Roman" w:hAnsi="Verdana" w:cs="Open Sans"/>
                <w:lang w:eastAsia="es-CO"/>
              </w:rPr>
              <w:t>.</w:t>
            </w:r>
          </w:p>
          <w:p w14:paraId="73EFBC23" w14:textId="77777777" w:rsidR="00BE6A2A" w:rsidRPr="00CF3131" w:rsidRDefault="00BE6A2A">
            <w:pPr>
              <w:pStyle w:val="Prrafodelista"/>
              <w:spacing w:after="120" w:line="276" w:lineRule="auto"/>
              <w:ind w:left="0" w:firstLine="709"/>
              <w:jc w:val="both"/>
              <w:rPr>
                <w:rFonts w:ascii="Verdana" w:hAnsi="Verdana" w:cs="BCDHEE+Verdana"/>
                <w:color w:val="000000"/>
              </w:rPr>
            </w:pPr>
            <w:r w:rsidRPr="00DE5508">
              <w:rPr>
                <w:rFonts w:ascii="Verdana" w:hAnsi="Verdana" w:cs="BCDHEE+Verdana"/>
                <w:color w:val="000000"/>
              </w:rPr>
              <w:t xml:space="preserve">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w:t>
            </w:r>
            <w:r>
              <w:rPr>
                <w:rFonts w:ascii="Verdana" w:hAnsi="Verdana" w:cs="BCDHEE+Verdana"/>
                <w:color w:val="000000"/>
              </w:rPr>
              <w:t>cuatro</w:t>
            </w:r>
            <w:r w:rsidRPr="00DE5508">
              <w:rPr>
                <w:rFonts w:ascii="Verdana" w:hAnsi="Verdana" w:cs="BCDHEE+Verdana"/>
                <w:color w:val="000000"/>
              </w:rPr>
              <w:t xml:space="preserve"> </w:t>
            </w:r>
            <w:r>
              <w:rPr>
                <w:rFonts w:ascii="Verdana" w:hAnsi="Verdana" w:cs="BCDHEE+Verdana"/>
                <w:color w:val="000000"/>
              </w:rPr>
              <w:t>(</w:t>
            </w:r>
            <w:r w:rsidRPr="00DE5508">
              <w:rPr>
                <w:rFonts w:ascii="Verdana" w:hAnsi="Verdana" w:cs="BCDHEE+Verdana"/>
                <w:color w:val="000000"/>
              </w:rPr>
              <w:t>4</w:t>
            </w:r>
            <w:r>
              <w:rPr>
                <w:rFonts w:ascii="Verdana" w:hAnsi="Verdana" w:cs="BCDHEE+Verdana"/>
                <w:color w:val="000000"/>
              </w:rPr>
              <w:t>)</w:t>
            </w:r>
            <w:r w:rsidRPr="00DE5508">
              <w:rPr>
                <w:rFonts w:ascii="Verdana" w:hAnsi="Verdana" w:cs="BCDHEE+Verdana"/>
                <w:color w:val="000000"/>
              </w:rPr>
              <w:t xml:space="preserve"> meses anteriores a la elección presidencial, es decir desde el 31 de enero de 2026 y hasta el momento de la celebración de la segunda vuelta, si fuere el caso, queda prohibida la contratación directa por parte de todos los entes del Estado</w:t>
            </w:r>
            <w:r>
              <w:rPr>
                <w:rFonts w:ascii="Verdana" w:hAnsi="Verdana" w:cs="BCDHEE+Verdana"/>
                <w:color w:val="000000"/>
              </w:rPr>
              <w:t>.</w:t>
            </w:r>
          </w:p>
          <w:p w14:paraId="4F11726A" w14:textId="77777777" w:rsidR="00BE6A2A" w:rsidRPr="0065275E" w:rsidRDefault="00BE6A2A">
            <w:pPr>
              <w:spacing w:after="120" w:line="276" w:lineRule="auto"/>
              <w:ind w:firstLine="709"/>
              <w:jc w:val="both"/>
              <w:rPr>
                <w:rFonts w:ascii="Verdana" w:hAnsi="Verdana" w:cs="BCDHEE+Verdana"/>
                <w:color w:val="000000"/>
              </w:rPr>
            </w:pPr>
            <w:r w:rsidRPr="00C03F24">
              <w:rPr>
                <w:rFonts w:ascii="Verdana" w:hAnsi="Verdana" w:cs="BCDHEE+Verdana"/>
                <w:color w:val="000000"/>
              </w:rPr>
              <w:t xml:space="preserve">       Ahora bien, los pagos asociados a inscripciones en congresos, producción científica y tasas ante autoridades administrativas, en la medida en que se encuentren vinculados al desarrollo de actividades misionales en el ámbito de la ciencia, la tecnología y la innovación (CT&amp;I), podrían entenderse comprendidos dentro del régimen jurídico aplicable a este tipo de actividades. En efecto, la normativa vigente —en particular la Ley 1150 de 2007 y la Ley 1286 de 2009— dispone que los contratos cuyo objeto consista en el desarrollo de actividades científicas y tecnológicas se adelanten, por regla general, bajo la modalidad de contratación directa. Desde esta perspectiva, la eventual celebración de nuevos contratos o negocios jurídicos orientados al desarrollo de dichas actividades durante la vigencia de la Ley de Garantías quedaría sometida a las restricciones previstas en el artículo 33 de dicha ley, lo que conduce a considerar que su celebración durante el periodo de restricción electoral se encuentra limitada Teniendo en cuenta la explicación precedente, se señala que los convenios especiales de cooperación para el desarrollo de actividades de ciencia, tecnología e innovación que están prohibidos contratar durante los cuatro (4) meses previos a las elecciones de presidente son aquellos que se celebren de manera directa, es decir, a través de una modalidad de contratación que no implique pluralidad de oferentes. </w:t>
            </w:r>
          </w:p>
          <w:p w14:paraId="6B5F3555" w14:textId="77777777" w:rsidR="00BE6A2A" w:rsidRPr="0090052A" w:rsidRDefault="00BE6A2A">
            <w:pPr>
              <w:spacing w:after="120" w:line="276" w:lineRule="auto"/>
              <w:jc w:val="both"/>
              <w:rPr>
                <w:rFonts w:ascii="Verdana" w:hAnsi="Verdana" w:cs="BCDHEE+Verdana"/>
                <w:color w:val="000000"/>
                <w:lang w:val="es-MX"/>
              </w:rPr>
            </w:pPr>
            <w:r>
              <w:rPr>
                <w:rFonts w:ascii="Verdana" w:eastAsia="Times New Roman" w:hAnsi="Verdana" w:cs="Arial"/>
                <w:lang w:val="es-MX" w:eastAsia="es-CO"/>
              </w:rPr>
              <w:t xml:space="preserve">      </w:t>
            </w:r>
            <w:r w:rsidRPr="0090052A">
              <w:rPr>
                <w:rFonts w:ascii="Verdana" w:eastAsia="Times New Roman" w:hAnsi="Verdana" w:cs="Arial"/>
                <w:lang w:val="es-MX" w:eastAsia="es-CO"/>
              </w:rPr>
              <w:t>Finalmente,</w:t>
            </w:r>
            <w:r>
              <w:rPr>
                <w:rFonts w:ascii="Verdana" w:eastAsia="Times New Roman" w:hAnsi="Verdana" w:cs="Arial"/>
                <w:lang w:val="es-MX" w:eastAsia="es-CO"/>
              </w:rPr>
              <w:t xml:space="preserve"> l</w:t>
            </w:r>
            <w:r w:rsidRPr="0090052A">
              <w:rPr>
                <w:rFonts w:ascii="Verdana" w:eastAsia="Times New Roman" w:hAnsi="Verdana" w:cs="Arial"/>
                <w:lang w:val="es-MX" w:eastAsia="es-CO"/>
              </w:rPr>
              <w:t xml:space="preserve">a prohibición de la Ley de Garantías recae sobre la celebración de nuevos contratos, no sobre la ejecución de pagos de obligaciones adquiridas con anterioridad al inicio del periodo restrictivo. El </w:t>
            </w:r>
            <w:r w:rsidRPr="0090052A">
              <w:rPr>
                <w:rFonts w:ascii="Verdana" w:eastAsia="Times New Roman" w:hAnsi="Verdana" w:cs="Arial"/>
                <w:lang w:val="es-MX" w:eastAsia="es-CO"/>
              </w:rPr>
              <w:lastRenderedPageBreak/>
              <w:t>concepto de "celebrar" se refiere al perfeccionamiento del contrato, que ocurre cuando hay acuerdo sobre el objeto y la contraprestación, y este se eleva a escrito. No se refiere a los actos de ejecución, como los pago</w:t>
            </w:r>
            <w:r>
              <w:rPr>
                <w:rFonts w:ascii="Verdana" w:eastAsia="Times New Roman" w:hAnsi="Verdana" w:cs="Arial"/>
                <w:lang w:val="es-MX" w:eastAsia="es-CO"/>
              </w:rPr>
              <w:t>s</w:t>
            </w:r>
            <w:r w:rsidRPr="0090052A">
              <w:rPr>
                <w:rFonts w:ascii="Verdana" w:eastAsia="Times New Roman" w:hAnsi="Verdana" w:cs="Arial"/>
                <w:lang w:val="es-MX" w:eastAsia="es-CO"/>
              </w:rPr>
              <w:t>, por ello</w:t>
            </w:r>
            <w:r>
              <w:rPr>
                <w:rFonts w:ascii="Verdana" w:eastAsia="Times New Roman" w:hAnsi="Verdana" w:cs="Arial"/>
                <w:lang w:val="es-MX" w:eastAsia="es-CO"/>
              </w:rPr>
              <w:t>,</w:t>
            </w:r>
            <w:r w:rsidRPr="0090052A">
              <w:rPr>
                <w:rFonts w:ascii="Verdana" w:eastAsia="Times New Roman" w:hAnsi="Verdana" w:cs="Arial"/>
                <w:lang w:val="es-MX" w:eastAsia="es-CO"/>
              </w:rPr>
              <w:t xml:space="preserve"> </w:t>
            </w:r>
            <w:r>
              <w:rPr>
                <w:rFonts w:ascii="Verdana" w:eastAsia="Times New Roman" w:hAnsi="Verdana" w:cs="Arial"/>
                <w:lang w:val="es-MX" w:eastAsia="es-CO"/>
              </w:rPr>
              <w:t>s</w:t>
            </w:r>
            <w:r w:rsidRPr="0090052A">
              <w:rPr>
                <w:rFonts w:ascii="Verdana" w:eastAsia="Times New Roman" w:hAnsi="Verdana" w:cs="Arial"/>
                <w:lang w:eastAsia="es-CO"/>
              </w:rPr>
              <w:t>i la obligación de pago (inscripción, publicación, tasa) se generó antes del inicio de la Ley de Garantías, el pago durante dicho periodo es procedente y legal, pues corresponde a la ejecución de un compromiso ya adquirido, si la decisión de contratar el servicio</w:t>
            </w:r>
            <w:r>
              <w:rPr>
                <w:rFonts w:ascii="Verdana" w:eastAsia="Times New Roman" w:hAnsi="Verdana" w:cs="Arial"/>
                <w:lang w:eastAsia="es-CO"/>
              </w:rPr>
              <w:t xml:space="preserve"> </w:t>
            </w:r>
            <w:r w:rsidRPr="0090052A">
              <w:rPr>
                <w:rFonts w:ascii="Verdana" w:eastAsia="Times New Roman" w:hAnsi="Verdana" w:cs="Arial"/>
                <w:lang w:eastAsia="es-CO"/>
              </w:rPr>
              <w:t xml:space="preserve">se toma durante la vigencia de la Ley de Garantías, se estaría celebrando un nuevo contrato directo, lo cual está prohibido. </w:t>
            </w:r>
          </w:p>
          <w:p w14:paraId="3E8DDC24" w14:textId="77777777" w:rsidR="00BE6A2A" w:rsidRPr="00DE5508" w:rsidRDefault="00BE6A2A">
            <w:pPr>
              <w:pStyle w:val="Prrafodelista"/>
              <w:spacing w:after="120" w:line="276" w:lineRule="auto"/>
              <w:ind w:left="0" w:firstLine="709"/>
              <w:jc w:val="both"/>
              <w:rPr>
                <w:rFonts w:ascii="Verdana" w:eastAsia="Times New Roman" w:hAnsi="Verdana" w:cs="Arial"/>
                <w:lang w:val="es-MX" w:eastAsia="es-CO"/>
              </w:rPr>
            </w:pPr>
            <w:r w:rsidRPr="00DE5508">
              <w:rPr>
                <w:rFonts w:ascii="Verdana" w:hAnsi="Verdana"/>
              </w:rPr>
              <w:t>Dentro de este marco, corresponde a cada entidad pública, en ejercicio de su competencia y previa valoración de los elementos fácticos y jurídicos, así como de las disposiciones legales mencionadas, determinar su gestión contractual durante la aplicación de las restricciones de la Ley de Garantías Electorales.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3431809" w14:textId="77777777" w:rsidR="00BE6A2A" w:rsidRPr="00EB66F0" w:rsidRDefault="00BE6A2A">
            <w:pPr>
              <w:spacing w:line="276" w:lineRule="auto"/>
              <w:jc w:val="both"/>
              <w:rPr>
                <w:rFonts w:ascii="Verdana" w:hAnsi="Verdana" w:cs="Arial"/>
                <w:lang w:eastAsia="es-ES"/>
              </w:rPr>
            </w:pPr>
          </w:p>
        </w:tc>
      </w:tr>
    </w:tbl>
    <w:p w14:paraId="6B4581F0" w14:textId="77777777" w:rsidR="00BE6A2A" w:rsidRPr="00960F72" w:rsidRDefault="00BE6A2A" w:rsidP="00BE6A2A">
      <w:pPr>
        <w:tabs>
          <w:tab w:val="left" w:pos="142"/>
          <w:tab w:val="left" w:pos="284"/>
        </w:tabs>
        <w:spacing w:after="0" w:line="276" w:lineRule="auto"/>
        <w:jc w:val="both"/>
        <w:rPr>
          <w:rFonts w:ascii="Verdana" w:eastAsia="Century Gothic" w:hAnsi="Verdana" w:cs="Century Gothic"/>
          <w:b/>
          <w:bCs/>
        </w:rPr>
      </w:pPr>
    </w:p>
    <w:p w14:paraId="6496B717" w14:textId="77777777" w:rsidR="00BE6A2A" w:rsidRDefault="00BE6A2A" w:rsidP="00BE6A2A">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60F72">
        <w:rPr>
          <w:rFonts w:ascii="Verdana" w:eastAsia="Century Gothic" w:hAnsi="Verdana" w:cs="Century Gothic"/>
          <w:b/>
          <w:bCs/>
        </w:rPr>
        <w:t>Razones de la respuesta:</w:t>
      </w:r>
    </w:p>
    <w:p w14:paraId="04FAE492" w14:textId="77777777" w:rsidR="00BE6A2A" w:rsidRDefault="00BE6A2A" w:rsidP="00BE6A2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81F6824" w14:textId="77777777" w:rsidR="00BE6A2A" w:rsidRDefault="00BE6A2A" w:rsidP="00BE6A2A">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57EB0245" w14:textId="77777777" w:rsidR="00BE6A2A" w:rsidRPr="000C6D8F" w:rsidRDefault="00BE6A2A" w:rsidP="00BE6A2A">
      <w:pPr>
        <w:spacing w:after="0" w:line="276" w:lineRule="auto"/>
        <w:jc w:val="both"/>
        <w:rPr>
          <w:rFonts w:ascii="Verdana" w:eastAsia="Calibri" w:hAnsi="Verdana" w:cs="Arial"/>
          <w:lang w:val="es-ES"/>
        </w:rPr>
      </w:pPr>
    </w:p>
    <w:p w14:paraId="6DC2FF0F" w14:textId="77777777" w:rsidR="00BE6A2A" w:rsidRDefault="00BE6A2A" w:rsidP="00BE6A2A">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1"/>
      </w:r>
      <w:r w:rsidRPr="00E2397D">
        <w:rPr>
          <w:rFonts w:ascii="Verdana" w:eastAsia="Times New Roman" w:hAnsi="Verdana" w:cs="Arial"/>
          <w:lang w:val="es-MX" w:eastAsia="es-CO"/>
        </w:rPr>
        <w:t xml:space="preserve">. En esta medida, introduce limitaciones para realizar nombramientos, postulaciones, contrataciones o </w:t>
      </w:r>
      <w:r w:rsidRPr="00E2397D">
        <w:rPr>
          <w:rFonts w:ascii="Verdana" w:eastAsia="Times New Roman" w:hAnsi="Verdana" w:cs="Arial"/>
          <w:lang w:val="es-MX" w:eastAsia="es-CO"/>
        </w:rPr>
        <w:lastRenderedPageBreak/>
        <w:t>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6CBFD529" w14:textId="77777777" w:rsidR="00BE6A2A" w:rsidRPr="006B14B5" w:rsidRDefault="00BE6A2A" w:rsidP="00BE6A2A">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166189B2" w14:textId="77777777" w:rsidR="00BE6A2A" w:rsidRPr="00E2397D" w:rsidRDefault="00BE6A2A" w:rsidP="00BE6A2A">
      <w:pPr>
        <w:spacing w:after="0" w:line="276" w:lineRule="auto"/>
        <w:ind w:right="709"/>
        <w:contextualSpacing/>
        <w:jc w:val="both"/>
        <w:rPr>
          <w:rFonts w:ascii="Verdana" w:eastAsia="Times New Roman" w:hAnsi="Verdana" w:cs="Arial"/>
          <w:lang w:val="es-ES" w:eastAsia="es-CO"/>
        </w:rPr>
      </w:pPr>
    </w:p>
    <w:p w14:paraId="36EC389F" w14:textId="77777777" w:rsidR="00BE6A2A" w:rsidRPr="00E2397D" w:rsidRDefault="00BE6A2A" w:rsidP="00BE6A2A">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1F450621" w14:textId="77777777" w:rsidR="00BE6A2A" w:rsidRPr="00E2397D" w:rsidRDefault="00BE6A2A" w:rsidP="00BE6A2A">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3608D5B6" w14:textId="77777777" w:rsidR="00BE6A2A" w:rsidRPr="00E2397D" w:rsidRDefault="00BE6A2A" w:rsidP="00BE6A2A">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2"/>
      </w:r>
    </w:p>
    <w:p w14:paraId="0BFB8A07" w14:textId="77777777" w:rsidR="00BE6A2A" w:rsidRPr="00E2397D" w:rsidRDefault="00BE6A2A" w:rsidP="00BE6A2A">
      <w:pPr>
        <w:spacing w:after="0" w:line="276" w:lineRule="auto"/>
        <w:ind w:firstLine="709"/>
        <w:jc w:val="both"/>
        <w:rPr>
          <w:rFonts w:ascii="Verdana" w:eastAsia="Times New Roman" w:hAnsi="Verdana" w:cs="Arial"/>
          <w:lang w:val="es-MX" w:eastAsia="es-CO"/>
        </w:rPr>
      </w:pPr>
    </w:p>
    <w:p w14:paraId="4BEAD907" w14:textId="77777777" w:rsidR="00BE6A2A" w:rsidRPr="00E2397D" w:rsidRDefault="00BE6A2A" w:rsidP="00BE6A2A">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0B94BB03" w14:textId="77777777" w:rsidR="00BE6A2A" w:rsidRPr="00886C02" w:rsidRDefault="00BE6A2A" w:rsidP="00BE6A2A">
      <w:pPr>
        <w:spacing w:after="0" w:line="276" w:lineRule="auto"/>
        <w:ind w:firstLine="709"/>
        <w:jc w:val="both"/>
        <w:rPr>
          <w:rFonts w:ascii="Verdana" w:eastAsia="Times New Roman" w:hAnsi="Verdana" w:cs="Arial"/>
          <w:lang w:val="es-MX" w:eastAsia="es-CO"/>
        </w:rPr>
      </w:pPr>
    </w:p>
    <w:p w14:paraId="63D710EB" w14:textId="77777777" w:rsidR="00BE6A2A" w:rsidRPr="00E2397D" w:rsidRDefault="00BE6A2A" w:rsidP="00BE6A2A">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w:t>
      </w:r>
      <w:r w:rsidRPr="00E2397D">
        <w:rPr>
          <w:rFonts w:ascii="Verdana" w:eastAsia="Times New Roman" w:hAnsi="Verdana" w:cs="Arial"/>
          <w:sz w:val="20"/>
          <w:szCs w:val="20"/>
          <w:lang w:val="es-MX" w:eastAsia="es-CO"/>
        </w:rPr>
        <w:lastRenderedPageBreak/>
        <w:t>disponibles ni pueden ser derogadas, modificadas, ampliadas o adicionadas por acuerdo o convenio o acto unilateral.</w:t>
      </w:r>
    </w:p>
    <w:p w14:paraId="4CB0F55E" w14:textId="77777777" w:rsidR="00BE6A2A" w:rsidRPr="00E2397D" w:rsidRDefault="00BE6A2A" w:rsidP="00BE6A2A">
      <w:pPr>
        <w:spacing w:after="0" w:line="240" w:lineRule="auto"/>
        <w:ind w:right="709"/>
        <w:contextualSpacing/>
        <w:jc w:val="both"/>
        <w:rPr>
          <w:rFonts w:ascii="Verdana" w:eastAsia="Times New Roman" w:hAnsi="Verdana" w:cs="Arial"/>
          <w:lang w:val="es-MX" w:eastAsia="es-CO"/>
        </w:rPr>
      </w:pPr>
    </w:p>
    <w:p w14:paraId="3BC1E380" w14:textId="77777777" w:rsidR="00BE6A2A" w:rsidRPr="00E2397D" w:rsidRDefault="00BE6A2A" w:rsidP="00BE6A2A">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3"/>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w:t>
      </w:r>
    </w:p>
    <w:p w14:paraId="184182DD" w14:textId="77777777" w:rsidR="00BE6A2A" w:rsidRPr="00E2397D" w:rsidRDefault="00BE6A2A" w:rsidP="00BE6A2A">
      <w:pPr>
        <w:spacing w:after="0" w:line="276" w:lineRule="auto"/>
        <w:jc w:val="both"/>
        <w:rPr>
          <w:rFonts w:ascii="Verdana" w:eastAsia="Calibri" w:hAnsi="Verdana" w:cs="Arial"/>
          <w:bCs/>
          <w:lang w:val="es-ES_tradnl"/>
        </w:rPr>
      </w:pPr>
    </w:p>
    <w:p w14:paraId="24461833" w14:textId="77777777" w:rsidR="00BE6A2A" w:rsidRPr="00B3605D" w:rsidRDefault="00BE6A2A" w:rsidP="00BE6A2A">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01B340B" w14:textId="77777777" w:rsidR="00BE6A2A" w:rsidRDefault="00BE6A2A" w:rsidP="00BE6A2A">
      <w:pPr>
        <w:spacing w:after="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1EA869D5" w14:textId="77777777" w:rsidR="00BE6A2A" w:rsidRDefault="00BE6A2A" w:rsidP="00BE6A2A">
      <w:pPr>
        <w:spacing w:after="0" w:line="276" w:lineRule="auto"/>
        <w:ind w:firstLine="709"/>
        <w:jc w:val="both"/>
        <w:rPr>
          <w:rFonts w:ascii="Verdana" w:eastAsia="Arial" w:hAnsi="Verdana" w:cs="Arial"/>
          <w:lang w:val="es-ES" w:eastAsia="es-ES" w:bidi="es-ES"/>
        </w:rPr>
      </w:pPr>
    </w:p>
    <w:p w14:paraId="3DF0D012" w14:textId="77777777" w:rsidR="00BE6A2A" w:rsidRPr="00A545DE" w:rsidRDefault="00BE6A2A" w:rsidP="00BE6A2A">
      <w:pPr>
        <w:pStyle w:val="Prrafodelista"/>
        <w:numPr>
          <w:ilvl w:val="0"/>
          <w:numId w:val="4"/>
        </w:numPr>
        <w:spacing w:after="0" w:line="276" w:lineRule="auto"/>
        <w:jc w:val="both"/>
        <w:rPr>
          <w:rFonts w:ascii="Verdana" w:eastAsia="Arial" w:hAnsi="Verdana" w:cs="Arial"/>
          <w:lang w:eastAsia="es-ES" w:bidi="es-ES"/>
        </w:rPr>
      </w:pPr>
      <w:r>
        <w:rPr>
          <w:rFonts w:ascii="Verdana" w:eastAsia="Arial" w:hAnsi="Verdana" w:cs="Arial"/>
          <w:lang w:eastAsia="es-ES" w:bidi="es-ES"/>
        </w:rPr>
        <w:t xml:space="preserve">Restricciones elecciones presidenciales </w:t>
      </w:r>
    </w:p>
    <w:p w14:paraId="5A6B0526" w14:textId="77777777" w:rsidR="00BE6A2A" w:rsidRPr="00A545DE" w:rsidRDefault="00BE6A2A" w:rsidP="00BE6A2A">
      <w:pPr>
        <w:pStyle w:val="Prrafodelista"/>
        <w:spacing w:after="0" w:line="276" w:lineRule="auto"/>
        <w:ind w:left="1080"/>
        <w:jc w:val="both"/>
        <w:rPr>
          <w:rFonts w:ascii="Verdana" w:eastAsia="Arial" w:hAnsi="Verdana" w:cs="Arial"/>
          <w:lang w:eastAsia="es-ES" w:bidi="es-ES"/>
        </w:rPr>
      </w:pPr>
    </w:p>
    <w:p w14:paraId="56B16F00" w14:textId="77777777" w:rsidR="00BE6A2A" w:rsidRPr="00FC54ED" w:rsidRDefault="00BE6A2A" w:rsidP="00BE6A2A">
      <w:pPr>
        <w:spacing w:after="0" w:line="240" w:lineRule="auto"/>
        <w:ind w:left="709" w:right="703"/>
        <w:jc w:val="both"/>
        <w:rPr>
          <w:rFonts w:ascii="Verdana" w:eastAsia="Times New Roman" w:hAnsi="Verdana" w:cs="Open Sans"/>
          <w:sz w:val="20"/>
          <w:szCs w:val="20"/>
          <w:lang w:eastAsia="es-CO"/>
        </w:rPr>
      </w:pPr>
      <w:bookmarkStart w:id="0" w:name="33"/>
      <w:r>
        <w:rPr>
          <w:rFonts w:ascii="Verdana" w:eastAsia="Times New Roman" w:hAnsi="Verdana" w:cs="Open Sans"/>
          <w:b/>
          <w:bCs/>
          <w:sz w:val="20"/>
          <w:szCs w:val="20"/>
          <w:lang w:eastAsia="es-CO"/>
        </w:rPr>
        <w:t>“</w:t>
      </w:r>
      <w:r w:rsidRPr="00FC54ED">
        <w:rPr>
          <w:rFonts w:ascii="Verdana" w:eastAsia="Times New Roman" w:hAnsi="Verdana" w:cs="Open Sans"/>
          <w:b/>
          <w:bCs/>
          <w:sz w:val="20"/>
          <w:szCs w:val="20"/>
          <w:lang w:eastAsia="es-CO"/>
        </w:rPr>
        <w:t>ARTÍCULO 33. RESTRICCIONES A LA CONTRATACIÓN PÚBLICA.</w:t>
      </w:r>
      <w:bookmarkEnd w:id="0"/>
      <w:r w:rsidRPr="00FC54ED">
        <w:rPr>
          <w:rFonts w:ascii="Verdana" w:eastAsia="Times New Roman" w:hAnsi="Verdana" w:cs="Open Sans"/>
          <w:sz w:val="20"/>
          <w:szCs w:val="20"/>
          <w:lang w:eastAsia="es-CO"/>
        </w:rPr>
        <w:t xml:space="preserve">  Durante los cuatro (4) meses anteriores a la elección </w:t>
      </w:r>
      <w:r w:rsidRPr="00FC54ED">
        <w:rPr>
          <w:rFonts w:ascii="Verdana" w:eastAsia="Times New Roman" w:hAnsi="Verdana" w:cs="Open Sans"/>
          <w:sz w:val="20"/>
          <w:szCs w:val="20"/>
          <w:lang w:eastAsia="es-CO"/>
        </w:rPr>
        <w:lastRenderedPageBreak/>
        <w:t>presidencial y hasta la realización de la elección en la segunda vuelta, si fuere el caso, queda prohibida la contratación directa por parte de todos los entes del Estado.</w:t>
      </w:r>
    </w:p>
    <w:p w14:paraId="6FFC37ED" w14:textId="77777777" w:rsidR="00BE6A2A" w:rsidRPr="00FC54ED" w:rsidRDefault="00BE6A2A" w:rsidP="00BE6A2A">
      <w:pPr>
        <w:spacing w:after="0" w:line="240" w:lineRule="auto"/>
        <w:ind w:left="708" w:right="703"/>
        <w:jc w:val="both"/>
        <w:rPr>
          <w:rFonts w:ascii="Verdana" w:eastAsia="Times New Roman" w:hAnsi="Verdana" w:cs="Open Sans"/>
          <w:sz w:val="20"/>
          <w:szCs w:val="20"/>
          <w:lang w:eastAsia="es-CO"/>
        </w:rPr>
      </w:pPr>
    </w:p>
    <w:p w14:paraId="39FA72A3" w14:textId="77777777" w:rsidR="00BE6A2A" w:rsidRPr="00B3605D" w:rsidRDefault="00BE6A2A" w:rsidP="00BE6A2A">
      <w:pPr>
        <w:spacing w:after="0" w:line="240" w:lineRule="auto"/>
        <w:ind w:left="708" w:right="703"/>
        <w:jc w:val="both"/>
        <w:rPr>
          <w:rFonts w:ascii="Verdana" w:eastAsia="Times New Roman" w:hAnsi="Verdana" w:cs="Open Sans"/>
          <w:sz w:val="20"/>
          <w:szCs w:val="20"/>
          <w:lang w:eastAsia="es-CO"/>
        </w:rPr>
      </w:pPr>
      <w:r w:rsidRPr="00FC54ED">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Times New Roman" w:hAnsi="Verdana" w:cs="Open Sans"/>
          <w:sz w:val="20"/>
          <w:szCs w:val="20"/>
          <w:lang w:eastAsia="es-CO"/>
        </w:rPr>
        <w:t>”</w:t>
      </w:r>
      <w:r w:rsidRPr="00FC54ED">
        <w:rPr>
          <w:rFonts w:ascii="Verdana" w:eastAsia="Times New Roman" w:hAnsi="Verdana" w:cs="Open Sans"/>
          <w:sz w:val="20"/>
          <w:szCs w:val="20"/>
          <w:lang w:eastAsia="es-CO"/>
        </w:rPr>
        <w:t>.</w:t>
      </w:r>
    </w:p>
    <w:p w14:paraId="580CB4A6" w14:textId="77777777" w:rsidR="00BE6A2A" w:rsidRDefault="00BE6A2A" w:rsidP="00BE6A2A">
      <w:pPr>
        <w:spacing w:after="0" w:line="276" w:lineRule="auto"/>
        <w:ind w:right="618" w:firstLine="708"/>
        <w:jc w:val="both"/>
        <w:rPr>
          <w:rFonts w:ascii="Verdana" w:eastAsia="Times New Roman" w:hAnsi="Verdana" w:cs="Open Sans"/>
          <w:lang w:eastAsia="es-CO"/>
        </w:rPr>
      </w:pPr>
    </w:p>
    <w:p w14:paraId="7A7B318C" w14:textId="77777777" w:rsidR="00BE6A2A" w:rsidRDefault="00BE6A2A" w:rsidP="00BE6A2A">
      <w:pPr>
        <w:spacing w:after="120" w:line="276" w:lineRule="auto"/>
        <w:ind w:firstLine="709"/>
        <w:jc w:val="both"/>
        <w:rPr>
          <w:rFonts w:ascii="Verdana" w:eastAsia="Times New Roman" w:hAnsi="Verdana" w:cs="Open Sans"/>
          <w:lang w:eastAsia="es-CO"/>
        </w:rPr>
      </w:pPr>
      <w:r w:rsidRPr="00B3605D">
        <w:rPr>
          <w:rFonts w:ascii="Verdana" w:eastAsia="Times New Roman" w:hAnsi="Verdana" w:cs="Open Sans"/>
          <w:lang w:eastAsia="es-CO"/>
        </w:rPr>
        <w:t>Como se puede observar, el artículo 33 de la Ley 996 de 2</w:t>
      </w:r>
      <w:r>
        <w:rPr>
          <w:rFonts w:ascii="Verdana" w:eastAsia="Times New Roman" w:hAnsi="Verdana" w:cs="Open Sans"/>
          <w:lang w:eastAsia="es-CO"/>
        </w:rPr>
        <w:t>0</w:t>
      </w:r>
      <w:r w:rsidRPr="00B3605D">
        <w:rPr>
          <w:rFonts w:ascii="Verdana" w:eastAsia="Times New Roman" w:hAnsi="Verdana" w:cs="Open Sans"/>
          <w:lang w:eastAsia="es-CO"/>
        </w:rPr>
        <w:t xml:space="preserve">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6"/>
      </w:r>
      <w:r>
        <w:rPr>
          <w:rFonts w:ascii="Verdana" w:eastAsia="Times New Roman" w:hAnsi="Verdana" w:cs="Open Sans"/>
          <w:lang w:eastAsia="es-CO"/>
        </w:rPr>
        <w:t>.</w:t>
      </w:r>
    </w:p>
    <w:p w14:paraId="6328C19E" w14:textId="77777777" w:rsidR="00BE6A2A" w:rsidRDefault="00BE6A2A" w:rsidP="00BE6A2A">
      <w:pPr>
        <w:spacing w:after="120" w:line="276" w:lineRule="auto"/>
        <w:ind w:firstLine="709"/>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2D98AAAF" w14:textId="77777777" w:rsidR="00BE6A2A" w:rsidRDefault="00BE6A2A" w:rsidP="00BE6A2A">
      <w:pPr>
        <w:spacing w:after="120" w:line="276" w:lineRule="auto"/>
        <w:ind w:firstLine="709"/>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 xml:space="preserve">sin que exista un proceso abierto y competitivo. Por tanto, </w:t>
      </w:r>
      <w:r w:rsidRPr="006A640E">
        <w:rPr>
          <w:rFonts w:ascii="Verdana" w:eastAsia="Times New Roman" w:hAnsi="Verdana" w:cs="Open Sans"/>
          <w:lang w:eastAsia="es-CO"/>
        </w:rPr>
        <w:lastRenderedPageBreak/>
        <w:t>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54D8BEB6" w14:textId="77777777" w:rsidR="00BE6A2A" w:rsidRDefault="00BE6A2A" w:rsidP="00BE6A2A">
      <w:pPr>
        <w:spacing w:after="0" w:line="276" w:lineRule="auto"/>
        <w:ind w:firstLine="708"/>
        <w:jc w:val="both"/>
        <w:rPr>
          <w:rFonts w:ascii="Verdana" w:hAnsi="Verdana"/>
        </w:rPr>
      </w:pPr>
      <w:r w:rsidRPr="006A640E">
        <w:rPr>
          <w:rFonts w:ascii="Verdana" w:hAnsi="Verdana"/>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A191C5E" w14:textId="77777777" w:rsidR="00BE6A2A" w:rsidRDefault="00BE6A2A" w:rsidP="00BE6A2A">
      <w:pPr>
        <w:spacing w:after="0" w:line="276" w:lineRule="auto"/>
        <w:ind w:firstLine="708"/>
        <w:jc w:val="both"/>
        <w:rPr>
          <w:rFonts w:ascii="Verdana" w:hAnsi="Verdana"/>
        </w:rPr>
      </w:pPr>
    </w:p>
    <w:p w14:paraId="50620A3B" w14:textId="77777777" w:rsidR="00BE6A2A" w:rsidRPr="00A545DE" w:rsidRDefault="00BE6A2A" w:rsidP="00BE6A2A">
      <w:pPr>
        <w:pStyle w:val="Prrafodelista"/>
        <w:numPr>
          <w:ilvl w:val="0"/>
          <w:numId w:val="4"/>
        </w:numPr>
        <w:spacing w:after="0" w:line="276" w:lineRule="auto"/>
        <w:contextualSpacing w:val="0"/>
        <w:jc w:val="both"/>
        <w:rPr>
          <w:rFonts w:ascii="Verdana" w:eastAsia="Times New Roman" w:hAnsi="Verdana" w:cs="Open Sans"/>
          <w:lang w:eastAsia="es-CO"/>
        </w:rPr>
      </w:pPr>
      <w:r>
        <w:rPr>
          <w:rFonts w:ascii="Verdana" w:eastAsia="Times New Roman" w:hAnsi="Verdana" w:cs="Open Sans"/>
          <w:lang w:eastAsia="es-CO"/>
        </w:rPr>
        <w:t xml:space="preserve">Restricciones demás elecciones </w:t>
      </w:r>
    </w:p>
    <w:p w14:paraId="5C2F493B" w14:textId="77777777" w:rsidR="00BE6A2A" w:rsidRDefault="00BE6A2A" w:rsidP="00BE6A2A">
      <w:pPr>
        <w:spacing w:after="0" w:line="270" w:lineRule="atLeast"/>
        <w:jc w:val="both"/>
        <w:rPr>
          <w:rFonts w:ascii="Verdana" w:eastAsia="Times New Roman" w:hAnsi="Verdana" w:cs="Open Sans"/>
          <w:lang w:eastAsia="es-CO"/>
        </w:rPr>
      </w:pPr>
    </w:p>
    <w:p w14:paraId="1D19476F" w14:textId="77777777" w:rsidR="00BE6A2A" w:rsidRPr="00D61E29" w:rsidRDefault="00BE6A2A" w:rsidP="00BE6A2A">
      <w:pPr>
        <w:spacing w:after="0" w:line="270" w:lineRule="atLeast"/>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6DD62F7C" w14:textId="77777777" w:rsidR="00BE6A2A" w:rsidRDefault="00BE6A2A" w:rsidP="00BE6A2A">
      <w:pPr>
        <w:pStyle w:val="NormalWeb"/>
        <w:spacing w:before="0" w:beforeAutospacing="0" w:after="0" w:afterAutospacing="0" w:line="270" w:lineRule="atLeast"/>
        <w:ind w:left="709" w:right="616"/>
        <w:jc w:val="both"/>
        <w:rPr>
          <w:rStyle w:val="baj"/>
          <w:rFonts w:ascii="Verdana" w:hAnsi="Verdana" w:cs="Open Sans"/>
          <w:b/>
          <w:bCs/>
          <w:sz w:val="20"/>
          <w:szCs w:val="20"/>
        </w:rPr>
      </w:pPr>
    </w:p>
    <w:p w14:paraId="4CE890CC" w14:textId="77777777" w:rsidR="00BE6A2A" w:rsidRPr="00D61E29" w:rsidRDefault="00BE6A2A" w:rsidP="00BE6A2A">
      <w:pPr>
        <w:pStyle w:val="NormalWeb"/>
        <w:spacing w:before="0" w:beforeAutospacing="0" w:after="0" w:afterAutospacing="0"/>
        <w:ind w:left="709" w:right="709"/>
        <w:jc w:val="both"/>
        <w:rPr>
          <w:rFonts w:ascii="Verdana" w:hAnsi="Verdana" w:cs="Open Sans"/>
          <w:sz w:val="20"/>
          <w:szCs w:val="20"/>
        </w:rPr>
      </w:pPr>
      <w:r>
        <w:rPr>
          <w:rStyle w:val="baj"/>
          <w:rFonts w:ascii="Verdana" w:hAnsi="Verdana" w:cs="Open Sans"/>
          <w:b/>
          <w:bCs/>
          <w:sz w:val="20"/>
          <w:szCs w:val="20"/>
        </w:rPr>
        <w:t>“</w:t>
      </w:r>
      <w:r w:rsidRPr="00D61E29">
        <w:rPr>
          <w:rStyle w:val="baj"/>
          <w:rFonts w:ascii="Verdana" w:hAnsi="Verdana" w:cs="Open Sans"/>
          <w:b/>
          <w:bCs/>
          <w:sz w:val="20"/>
          <w:szCs w:val="20"/>
        </w:rPr>
        <w:t>PARÁGRAFO.</w:t>
      </w:r>
      <w:r w:rsidRPr="00D61E29">
        <w:rPr>
          <w:rFonts w:ascii="Verdana" w:hAnsi="Verdana" w:cs="Open Sans"/>
          <w:sz w:val="20"/>
          <w:szCs w:val="20"/>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1107B98E" w14:textId="77777777" w:rsidR="00BE6A2A" w:rsidRPr="00D61E29" w:rsidRDefault="00BE6A2A" w:rsidP="00BE6A2A">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 xml:space="preserve">Tampoco podrán inaugurar obras públicas o </w:t>
      </w:r>
      <w:proofErr w:type="gramStart"/>
      <w:r w:rsidRPr="00D61E29">
        <w:rPr>
          <w:rFonts w:ascii="Verdana" w:hAnsi="Verdana" w:cs="Open Sans"/>
          <w:sz w:val="20"/>
          <w:szCs w:val="20"/>
        </w:rPr>
        <w:t>dar inicio a</w:t>
      </w:r>
      <w:proofErr w:type="gramEnd"/>
      <w:r w:rsidRPr="00D61E29">
        <w:rPr>
          <w:rFonts w:ascii="Verdana" w:hAnsi="Verdana" w:cs="Open Sans"/>
          <w:sz w:val="20"/>
          <w:szCs w:val="20"/>
        </w:rPr>
        <w:t xml:space="preserve"> programas de carácter social en reuniones o eventos en los que participen candidatos a la Presidencia y Vicepresidencia de la República, el Congreso de la República, gobernaciones departamentales, asambleas departamentales, </w:t>
      </w:r>
      <w:r w:rsidRPr="00D61E29">
        <w:rPr>
          <w:rFonts w:ascii="Verdana" w:hAnsi="Verdana" w:cs="Open Sans"/>
          <w:sz w:val="20"/>
          <w:szCs w:val="20"/>
        </w:rPr>
        <w:lastRenderedPageBreak/>
        <w:t>alcaldías y concejos municipales o distritales. Tampoco podrán hacerlo cuando participen voceros de los candidatos.</w:t>
      </w:r>
    </w:p>
    <w:p w14:paraId="70662F16" w14:textId="77777777" w:rsidR="00BE6A2A" w:rsidRPr="00D61E29" w:rsidRDefault="00BE6A2A" w:rsidP="00BE6A2A">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1B29492B" w14:textId="77777777" w:rsidR="00BE6A2A" w:rsidRPr="00D61E29" w:rsidRDefault="00BE6A2A" w:rsidP="00BE6A2A">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p>
    <w:p w14:paraId="19E8B8EF" w14:textId="77777777" w:rsidR="00BE6A2A" w:rsidRDefault="00BE6A2A" w:rsidP="00BE6A2A">
      <w:pPr>
        <w:widowControl w:val="0"/>
        <w:autoSpaceDE w:val="0"/>
        <w:autoSpaceDN w:val="0"/>
        <w:spacing w:after="0" w:line="276" w:lineRule="auto"/>
        <w:ind w:right="113"/>
        <w:contextualSpacing/>
        <w:jc w:val="both"/>
      </w:pPr>
    </w:p>
    <w:p w14:paraId="100B7927" w14:textId="77777777" w:rsidR="00BE6A2A" w:rsidRDefault="00BE6A2A" w:rsidP="00BE6A2A">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r w:rsidRPr="00E2397D">
        <w:rPr>
          <w:rFonts w:ascii="Verdana" w:eastAsia="Times New Roman" w:hAnsi="Verdana" w:cs="Arial"/>
          <w:lang w:eastAsia="es-CO"/>
        </w:rPr>
        <w:t xml:space="preserve">e observa entonces </w:t>
      </w:r>
      <w:bookmarkStart w:id="1"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w:t>
      </w:r>
      <w:proofErr w:type="gramStart"/>
      <w:r w:rsidRPr="00E2397D">
        <w:rPr>
          <w:rFonts w:ascii="Verdana" w:eastAsia="Times New Roman" w:hAnsi="Verdana" w:cs="Arial"/>
          <w:lang w:val="es-MX" w:eastAsia="es-CO"/>
        </w:rPr>
        <w:t>Alcaldes</w:t>
      </w:r>
      <w:proofErr w:type="gramEnd"/>
      <w:r w:rsidRPr="00E2397D">
        <w:rPr>
          <w:rFonts w:ascii="Verdana" w:eastAsia="Times New Roman" w:hAnsi="Verdana" w:cs="Arial"/>
          <w:lang w:val="es-MX" w:eastAsia="es-CO"/>
        </w:rPr>
        <w:t xml:space="preserve">, Gobernadores, </w:t>
      </w:r>
      <w:proofErr w:type="gramStart"/>
      <w:r w:rsidRPr="00E2397D">
        <w:rPr>
          <w:rFonts w:ascii="Verdana" w:eastAsia="Times New Roman" w:hAnsi="Verdana" w:cs="Arial"/>
          <w:lang w:val="es-MX" w:eastAsia="es-CO"/>
        </w:rPr>
        <w:t>Secretarios</w:t>
      </w:r>
      <w:proofErr w:type="gramEnd"/>
      <w:r w:rsidRPr="00E2397D">
        <w:rPr>
          <w:rFonts w:ascii="Verdana" w:eastAsia="Times New Roman" w:hAnsi="Verdana" w:cs="Arial"/>
          <w:lang w:val="es-MX" w:eastAsia="es-CO"/>
        </w:rPr>
        <w:t xml:space="preserve">, Gerentes y </w:t>
      </w:r>
      <w:proofErr w:type="gramStart"/>
      <w:r w:rsidRPr="00E2397D">
        <w:rPr>
          <w:rFonts w:ascii="Verdana" w:eastAsia="Times New Roman" w:hAnsi="Verdana" w:cs="Arial"/>
          <w:lang w:val="es-MX" w:eastAsia="es-CO"/>
        </w:rPr>
        <w:t>Directores</w:t>
      </w:r>
      <w:proofErr w:type="gramEnd"/>
      <w:r w:rsidRPr="00E2397D">
        <w:rPr>
          <w:rFonts w:ascii="Verdana" w:eastAsia="Times New Roman" w:hAnsi="Verdana" w:cs="Arial"/>
          <w:lang w:val="es-MX" w:eastAsia="es-CO"/>
        </w:rPr>
        <w:t xml:space="preserve">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1"/>
    </w:p>
    <w:p w14:paraId="233375DB" w14:textId="77777777" w:rsidR="00BE6A2A" w:rsidRPr="00D61E29" w:rsidRDefault="00BE6A2A" w:rsidP="00BE6A2A">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D61E2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083D1E3D" w14:textId="77777777" w:rsidR="00BE6A2A" w:rsidRPr="00D61E29" w:rsidRDefault="00BE6A2A" w:rsidP="00BE6A2A">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2BBDCF2C" w14:textId="77777777" w:rsidR="00BE6A2A" w:rsidRPr="00D61E29" w:rsidRDefault="00BE6A2A" w:rsidP="00BE6A2A">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D61E29">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w:t>
      </w:r>
      <w:r w:rsidRPr="00D61E29">
        <w:rPr>
          <w:rFonts w:ascii="Verdana" w:eastAsia="Arial" w:hAnsi="Verdana" w:cs="Arial"/>
          <w:sz w:val="20"/>
          <w:szCs w:val="20"/>
          <w:lang w:eastAsia="es-ES" w:bidi="es-ES"/>
        </w:rPr>
        <w:lastRenderedPageBreak/>
        <w:t xml:space="preserve">excluyendo las correspondientes a </w:t>
      </w:r>
      <w:proofErr w:type="gramStart"/>
      <w:r w:rsidRPr="00D61E29">
        <w:rPr>
          <w:rFonts w:ascii="Verdana" w:eastAsia="Arial" w:hAnsi="Verdana" w:cs="Arial"/>
          <w:sz w:val="20"/>
          <w:szCs w:val="20"/>
          <w:lang w:eastAsia="es-ES" w:bidi="es-ES"/>
        </w:rPr>
        <w:t>Presidente</w:t>
      </w:r>
      <w:proofErr w:type="gramEnd"/>
      <w:r w:rsidRPr="00D61E29">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D61E29">
        <w:rPr>
          <w:rFonts w:ascii="Verdana" w:eastAsia="Arial" w:hAnsi="Verdana" w:cs="Arial"/>
          <w:sz w:val="20"/>
          <w:szCs w:val="20"/>
          <w:vertAlign w:val="superscript"/>
          <w:lang w:eastAsia="es-ES" w:bidi="es-ES"/>
        </w:rPr>
        <w:footnoteReference w:id="7"/>
      </w:r>
    </w:p>
    <w:p w14:paraId="2BC189A0" w14:textId="77777777" w:rsidR="00BE6A2A" w:rsidRPr="00D61E29" w:rsidRDefault="00BE6A2A" w:rsidP="00BE6A2A">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3AC99345" w14:textId="77777777" w:rsidR="00BE6A2A" w:rsidRPr="00B3605D" w:rsidRDefault="00BE6A2A" w:rsidP="00BE6A2A">
      <w:pPr>
        <w:tabs>
          <w:tab w:val="left" w:pos="8080"/>
        </w:tabs>
        <w:spacing w:after="0" w:line="276" w:lineRule="auto"/>
        <w:ind w:firstLine="709"/>
        <w:jc w:val="both"/>
        <w:rPr>
          <w:rFonts w:ascii="Verdana" w:hAnsi="Verdana"/>
        </w:rPr>
      </w:pPr>
      <w:r>
        <w:rPr>
          <w:rFonts w:ascii="Verdana" w:eastAsia="Times New Roman" w:hAnsi="Verdana" w:cs="Arial"/>
          <w:lang w:val="es-ES" w:eastAsia="es-ES_tradnl"/>
        </w:rPr>
        <w:t xml:space="preserve">Adicionalmente, en relación con las modificaciones contractuales </w:t>
      </w:r>
      <w:r w:rsidRPr="00B3605D">
        <w:rPr>
          <w:rFonts w:ascii="Verdana" w:eastAsia="Times New Roman" w:hAnsi="Verdana" w:cs="Open Sans"/>
          <w:lang w:eastAsia="es-CO"/>
        </w:rPr>
        <w:t>se resalta el numeral 16.5 de la Circular Externa Única</w:t>
      </w:r>
      <w:r w:rsidRPr="00B3605D">
        <w:rPr>
          <w:rStyle w:val="Refdenotaalpie"/>
          <w:rFonts w:ascii="Verdana" w:eastAsia="Times New Roman" w:hAnsi="Verdana" w:cs="Open Sans"/>
          <w:lang w:eastAsia="es-CO"/>
        </w:rPr>
        <w:footnoteReference w:id="8"/>
      </w:r>
      <w:r w:rsidRPr="00B3605D">
        <w:rPr>
          <w:rFonts w:ascii="Verdana" w:eastAsia="Times New Roman" w:hAnsi="Verdana" w:cs="Open Sans"/>
          <w:lang w:eastAsia="es-CO"/>
        </w:rPr>
        <w:t xml:space="preserve"> de la </w:t>
      </w:r>
      <w:r w:rsidRPr="00B3605D">
        <w:rPr>
          <w:rFonts w:ascii="Verdana" w:hAnsi="Verdana"/>
        </w:rPr>
        <w:t>Agencia Nacional de Contratación Pública -Colombia Compra Eficiente, como sigue:</w:t>
      </w:r>
    </w:p>
    <w:p w14:paraId="6223973B" w14:textId="77777777" w:rsidR="00BE6A2A" w:rsidRPr="00C05384" w:rsidRDefault="00BE6A2A" w:rsidP="00BE6A2A">
      <w:pPr>
        <w:spacing w:after="0" w:line="276" w:lineRule="auto"/>
        <w:ind w:left="708" w:right="616"/>
        <w:jc w:val="both"/>
        <w:rPr>
          <w:rFonts w:ascii="Verdana" w:hAnsi="Verdana"/>
        </w:rPr>
      </w:pPr>
    </w:p>
    <w:p w14:paraId="0A6D921F" w14:textId="77777777" w:rsidR="00BE6A2A" w:rsidRPr="00B3605D" w:rsidRDefault="00BE6A2A" w:rsidP="00BE6A2A">
      <w:pPr>
        <w:spacing w:after="0" w:line="240" w:lineRule="auto"/>
        <w:ind w:left="709" w:right="709"/>
        <w:jc w:val="both"/>
        <w:rPr>
          <w:rFonts w:ascii="Verdana" w:hAnsi="Verdana"/>
          <w:sz w:val="20"/>
          <w:szCs w:val="20"/>
        </w:rPr>
      </w:pPr>
      <w:r w:rsidRPr="00B3605D">
        <w:rPr>
          <w:rFonts w:ascii="Verdana" w:hAnsi="Verdana"/>
          <w:sz w:val="20"/>
          <w:szCs w:val="20"/>
        </w:rPr>
        <w:t xml:space="preserve">La Ley de Garantías no establece restricciones para las prórrogas, modificaciones o adiciones, y la cesión de los contratos suscritos antes del periodo electoral, siempre que tales prórrogas, modificaciones, adiciones y cesiones cumplan los principios de planeación, transparencia y responsabilidad. </w:t>
      </w:r>
    </w:p>
    <w:p w14:paraId="288B6104" w14:textId="77777777" w:rsidR="00BE6A2A" w:rsidRPr="00B3605D" w:rsidRDefault="00BE6A2A" w:rsidP="00BE6A2A">
      <w:pPr>
        <w:spacing w:after="0" w:line="240" w:lineRule="auto"/>
        <w:ind w:left="709" w:right="709"/>
        <w:jc w:val="both"/>
        <w:rPr>
          <w:rFonts w:ascii="Verdana" w:hAnsi="Verdana"/>
          <w:sz w:val="20"/>
          <w:szCs w:val="20"/>
        </w:rPr>
      </w:pPr>
    </w:p>
    <w:p w14:paraId="0615A14F" w14:textId="77777777" w:rsidR="00BE6A2A" w:rsidRDefault="00BE6A2A" w:rsidP="00BE6A2A">
      <w:pPr>
        <w:spacing w:after="0" w:line="240" w:lineRule="auto"/>
        <w:ind w:left="709" w:right="709"/>
        <w:jc w:val="both"/>
        <w:rPr>
          <w:rFonts w:ascii="Verdana" w:hAnsi="Verdana"/>
          <w:sz w:val="20"/>
          <w:szCs w:val="20"/>
        </w:rPr>
      </w:pPr>
      <w:r w:rsidRPr="00B3605D">
        <w:rPr>
          <w:rFonts w:ascii="Verdana" w:hAnsi="Verdana"/>
          <w:sz w:val="20"/>
          <w:szCs w:val="20"/>
        </w:rPr>
        <w:t>En este sentido,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p w14:paraId="06DA18C9" w14:textId="77777777" w:rsidR="00BE6A2A" w:rsidRPr="00FC54ED" w:rsidRDefault="00BE6A2A" w:rsidP="00BE6A2A">
      <w:pPr>
        <w:spacing w:after="0" w:line="240" w:lineRule="auto"/>
        <w:ind w:left="709" w:right="709"/>
        <w:jc w:val="both"/>
        <w:rPr>
          <w:rFonts w:ascii="Verdana" w:eastAsia="Times New Roman" w:hAnsi="Verdana" w:cs="Open Sans"/>
          <w:sz w:val="20"/>
          <w:szCs w:val="20"/>
          <w:lang w:eastAsia="es-CO"/>
        </w:rPr>
      </w:pPr>
    </w:p>
    <w:p w14:paraId="77F59CA0" w14:textId="77777777" w:rsidR="00BE6A2A" w:rsidRDefault="00BE6A2A" w:rsidP="00BE6A2A">
      <w:pPr>
        <w:spacing w:after="120" w:line="276" w:lineRule="auto"/>
        <w:ind w:firstLine="709"/>
        <w:jc w:val="both"/>
        <w:rPr>
          <w:rFonts w:ascii="Verdana" w:eastAsia="Times New Roman" w:hAnsi="Verdana" w:cs="Arial"/>
          <w:bCs/>
          <w:lang w:val="es-MX" w:eastAsia="es-CO"/>
        </w:rPr>
      </w:pPr>
      <w:r w:rsidRPr="00B3605D">
        <w:rPr>
          <w:rFonts w:ascii="Verdana" w:eastAsia="Arial" w:hAnsi="Verdana" w:cs="Arial"/>
          <w:lang w:val="es-ES" w:eastAsia="es-ES" w:bidi="es-ES"/>
        </w:rPr>
        <w:t xml:space="preserve">En conclusión, </w:t>
      </w:r>
      <w:r w:rsidRPr="00B3605D">
        <w:rPr>
          <w:rFonts w:ascii="Verdana" w:eastAsia="Times New Roman" w:hAnsi="Verdana" w:cs="Arial"/>
          <w:bCs/>
          <w:lang w:val="es-MX" w:eastAsia="es-CO"/>
        </w:rPr>
        <w:t xml:space="preserve">como en otras oportunidades </w:t>
      </w:r>
      <w:r w:rsidRPr="00894384">
        <w:rPr>
          <w:rFonts w:ascii="Verdana" w:eastAsia="Times New Roman" w:hAnsi="Verdana" w:cs="Arial"/>
          <w:bCs/>
          <w:lang w:val="es-MX" w:eastAsia="es-CO"/>
        </w:rPr>
        <w:t>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w:t>
      </w:r>
      <w:r>
        <w:rPr>
          <w:rFonts w:ascii="Verdana" w:eastAsia="Times New Roman" w:hAnsi="Verdana" w:cs="Arial"/>
          <w:bCs/>
          <w:lang w:val="es-MX" w:eastAsia="es-CO"/>
        </w:rPr>
        <w:t xml:space="preserve"> las disposiciones que rigen dichas actuaciones así como</w:t>
      </w:r>
      <w:r w:rsidRPr="00894384">
        <w:rPr>
          <w:rFonts w:ascii="Verdana" w:eastAsia="Times New Roman" w:hAnsi="Verdana" w:cs="Arial"/>
          <w:bCs/>
          <w:lang w:val="es-MX" w:eastAsia="es-CO"/>
        </w:rPr>
        <w:t xml:space="preserve"> los principios de planeación, transparencia y responsabilidad. </w:t>
      </w:r>
    </w:p>
    <w:p w14:paraId="24869C84" w14:textId="77777777" w:rsidR="00BE6A2A" w:rsidRPr="00FC0D32" w:rsidRDefault="00BE6A2A" w:rsidP="00BE6A2A">
      <w:pPr>
        <w:spacing w:after="120" w:line="276" w:lineRule="auto"/>
        <w:ind w:firstLine="709"/>
        <w:jc w:val="both"/>
        <w:rPr>
          <w:rFonts w:ascii="Verdana" w:hAnsi="Verdana" w:cs="Arial"/>
          <w:lang w:val="es-MX"/>
        </w:rPr>
      </w:pPr>
      <w:r w:rsidRPr="00072C23">
        <w:rPr>
          <w:rFonts w:ascii="Verdana" w:eastAsia="Calibri" w:hAnsi="Verdana" w:cs="Arial"/>
        </w:rPr>
        <w:t xml:space="preserve">Precisado lo anterior, en relación con el problema jurídico planteado, </w:t>
      </w:r>
      <w:bookmarkStart w:id="2" w:name="_Hlk100224224"/>
      <w:r>
        <w:rPr>
          <w:rFonts w:ascii="Verdana" w:eastAsia="Calibri" w:hAnsi="Verdana" w:cs="Arial"/>
        </w:rPr>
        <w:t xml:space="preserve">a continuación, se analiza la naturaleza jurídica de las universidades públicas para determinar la aplicación de las restricciones antes mencionadas. </w:t>
      </w:r>
      <w:r w:rsidRPr="00B47B8B">
        <w:rPr>
          <w:rFonts w:ascii="Verdana" w:hAnsi="Verdana" w:cs="Arial"/>
          <w:lang w:val="es-MX"/>
        </w:rPr>
        <w:t xml:space="preserve">Para empezar, en la Ley 30 de 1992 se </w:t>
      </w:r>
      <w:r w:rsidRPr="00FC0D32">
        <w:rPr>
          <w:rFonts w:ascii="Verdana" w:hAnsi="Verdana" w:cs="Arial"/>
          <w:lang w:val="es-MX"/>
        </w:rPr>
        <w:t>regularon aspectos como la naturaleza jurídica de las universidades estatales y oficiales, la forma de organizarse y el régimen de contratación aplicable. Así mismo, en el artículo 57 se consignó que e</w:t>
      </w:r>
      <w:r w:rsidRPr="00FC0D32">
        <w:rPr>
          <w:rFonts w:ascii="Verdana" w:hAnsi="Verdana" w:cs="Arial"/>
        </w:rPr>
        <w:t xml:space="preserve">l carácter especial del régimen de las universidades estatales u oficiales comprende, entre </w:t>
      </w:r>
      <w:r w:rsidRPr="00FC0D32">
        <w:rPr>
          <w:rFonts w:ascii="Verdana" w:hAnsi="Verdana" w:cs="Arial"/>
        </w:rPr>
        <w:lastRenderedPageBreak/>
        <w:t>otros aspectos, el régimen de contratación</w:t>
      </w:r>
      <w:r w:rsidRPr="00FC0D32">
        <w:rPr>
          <w:rStyle w:val="Refdenotaalpie"/>
          <w:rFonts w:ascii="Verdana" w:hAnsi="Verdana" w:cs="Arial"/>
        </w:rPr>
        <w:footnoteReference w:id="9"/>
      </w:r>
      <w:r w:rsidRPr="00FC0D32">
        <w:rPr>
          <w:rFonts w:ascii="Verdana" w:hAnsi="Verdana" w:cs="Arial"/>
        </w:rPr>
        <w:t xml:space="preserve">. En concordancia con esto, el artículo 93 estableció que los contratos que </w:t>
      </w:r>
      <w:r w:rsidRPr="00FC0D32">
        <w:rPr>
          <w:rFonts w:ascii="Verdana" w:hAnsi="Verdana" w:cs="Arial"/>
          <w:lang w:val="es-MX"/>
        </w:rPr>
        <w:t>celebren las universidades estatales u oficiales se regirán por las normas del derecho privado</w:t>
      </w:r>
      <w:r w:rsidRPr="00FC0D32">
        <w:rPr>
          <w:rStyle w:val="Refdenotaalpie"/>
          <w:rFonts w:ascii="Verdana" w:hAnsi="Verdana" w:cs="Arial"/>
          <w:lang w:val="es-MX"/>
        </w:rPr>
        <w:footnoteReference w:id="10"/>
      </w:r>
      <w:r w:rsidRPr="00FC0D32">
        <w:rPr>
          <w:rFonts w:ascii="Verdana" w:hAnsi="Verdana" w:cs="Arial"/>
          <w:lang w:val="es-MX"/>
        </w:rPr>
        <w:t xml:space="preserve">. </w:t>
      </w:r>
    </w:p>
    <w:p w14:paraId="5B2F2721" w14:textId="77777777" w:rsidR="00BE6A2A" w:rsidRPr="00FC0D32" w:rsidRDefault="00BE6A2A" w:rsidP="00BE6A2A">
      <w:pPr>
        <w:widowControl w:val="0"/>
        <w:autoSpaceDE w:val="0"/>
        <w:autoSpaceDN w:val="0"/>
        <w:spacing w:before="120" w:after="0" w:line="276" w:lineRule="auto"/>
        <w:ind w:right="102" w:firstLine="708"/>
        <w:jc w:val="both"/>
        <w:rPr>
          <w:rFonts w:ascii="Verdana" w:eastAsia="Arial" w:hAnsi="Verdana" w:cs="Arial"/>
          <w:lang w:val="es-ES"/>
        </w:rPr>
      </w:pPr>
      <w:r w:rsidRPr="00FC0D32">
        <w:rPr>
          <w:rFonts w:ascii="Verdana" w:eastAsia="Arial" w:hAnsi="Verdana" w:cs="Arial"/>
          <w:lang w:val="es-ES"/>
        </w:rPr>
        <w:t>De otro lado, la Ley 489 de 1998, al desarrollar la estructura y organización de la Administración Pública, establece que los entes universitarios hacen parte integral de esta, catalogándolos como entidades públicas de carácter autónomo a las que aplica un régimen especial</w:t>
      </w:r>
      <w:r w:rsidRPr="00FC0D32">
        <w:rPr>
          <w:rStyle w:val="Refdenotaalpie"/>
          <w:rFonts w:ascii="Verdana" w:eastAsia="Arial" w:hAnsi="Verdana" w:cs="Arial"/>
          <w:lang w:val="es-ES"/>
        </w:rPr>
        <w:footnoteReference w:id="11"/>
      </w:r>
      <w:r w:rsidRPr="00FC0D32">
        <w:rPr>
          <w:rFonts w:ascii="Verdana" w:eastAsia="Arial" w:hAnsi="Verdana" w:cs="Arial"/>
          <w:lang w:val="es-ES"/>
        </w:rPr>
        <w:t>.  Al respecto, en la sentencia C-1019 de 2012, la Corte Constitucional señaló:</w:t>
      </w:r>
    </w:p>
    <w:p w14:paraId="3AFCF927" w14:textId="77777777" w:rsidR="00BE6A2A" w:rsidRPr="00FC0D32" w:rsidRDefault="00BE6A2A" w:rsidP="00BE6A2A">
      <w:pPr>
        <w:widowControl w:val="0"/>
        <w:autoSpaceDE w:val="0"/>
        <w:autoSpaceDN w:val="0"/>
        <w:spacing w:after="0" w:line="276" w:lineRule="auto"/>
        <w:ind w:right="102" w:firstLine="708"/>
        <w:jc w:val="both"/>
        <w:rPr>
          <w:rFonts w:ascii="Verdana" w:eastAsia="Arial" w:hAnsi="Verdana" w:cs="Arial"/>
          <w:lang w:val="es-ES"/>
        </w:rPr>
      </w:pPr>
    </w:p>
    <w:p w14:paraId="15EF10AE" w14:textId="77777777" w:rsidR="00BE6A2A" w:rsidRPr="00FC0D32" w:rsidRDefault="00BE6A2A" w:rsidP="00BE6A2A">
      <w:pPr>
        <w:widowControl w:val="0"/>
        <w:autoSpaceDE w:val="0"/>
        <w:autoSpaceDN w:val="0"/>
        <w:spacing w:after="0" w:line="240" w:lineRule="auto"/>
        <w:ind w:left="709" w:right="709"/>
        <w:jc w:val="both"/>
        <w:rPr>
          <w:rFonts w:ascii="Verdana" w:eastAsia="Arial" w:hAnsi="Verdana" w:cs="Arial"/>
          <w:sz w:val="20"/>
          <w:szCs w:val="20"/>
          <w:lang w:val="es-ES"/>
        </w:rPr>
      </w:pPr>
      <w:r>
        <w:rPr>
          <w:rFonts w:ascii="Verdana" w:eastAsia="Arial" w:hAnsi="Verdana" w:cs="Arial"/>
          <w:sz w:val="20"/>
          <w:szCs w:val="20"/>
          <w:lang w:val="es-ES"/>
        </w:rPr>
        <w:t>“</w:t>
      </w:r>
      <w:r w:rsidRPr="00FC0D32">
        <w:rPr>
          <w:rFonts w:ascii="Verdana" w:eastAsia="Arial" w:hAnsi="Verdana" w:cs="Arial"/>
          <w:sz w:val="20"/>
          <w:szCs w:val="20"/>
          <w:lang w:val="es-ES"/>
        </w:rPr>
        <w:t>El régimen especial de las universidades públicas y oficiales se justifica en el hecho de que estas instituciones manejan recursos públicos y a que a través suyo se promueve directamente el servicio público de la educación, por lo cual es fundamental establecer canales de articulación con el Estado y la sociedad en aras de que esta misión se cumpla adecuadamente. Además, como entes públicos, a las universidades se les</w:t>
      </w:r>
      <w:r w:rsidRPr="00FC0D32">
        <w:rPr>
          <w:rFonts w:ascii="Verdana" w:eastAsia="Arial" w:hAnsi="Verdana" w:cs="Arial"/>
          <w:spacing w:val="49"/>
          <w:sz w:val="20"/>
          <w:szCs w:val="20"/>
          <w:lang w:val="es-ES"/>
        </w:rPr>
        <w:t xml:space="preserve"> </w:t>
      </w:r>
      <w:r w:rsidRPr="00FC0D32">
        <w:rPr>
          <w:rFonts w:ascii="Verdana" w:eastAsia="Arial" w:hAnsi="Verdana" w:cs="Arial"/>
          <w:sz w:val="20"/>
          <w:szCs w:val="20"/>
          <w:lang w:val="es-ES"/>
        </w:rPr>
        <w:t>exige el cumplimiento de la obligación de colaboración armónica consagrado en el artículo 113 de la C.P. para el cumplimiento de las funciones del Estado.</w:t>
      </w:r>
    </w:p>
    <w:p w14:paraId="0F5FAFF1" w14:textId="77777777" w:rsidR="00BE6A2A" w:rsidRPr="00FC0D32" w:rsidRDefault="00BE6A2A" w:rsidP="00BE6A2A">
      <w:pPr>
        <w:widowControl w:val="0"/>
        <w:autoSpaceDE w:val="0"/>
        <w:autoSpaceDN w:val="0"/>
        <w:spacing w:after="0" w:line="240" w:lineRule="auto"/>
        <w:ind w:left="709" w:right="709"/>
        <w:jc w:val="both"/>
        <w:rPr>
          <w:rFonts w:ascii="Verdana" w:eastAsia="Arial" w:hAnsi="Verdana" w:cs="Arial"/>
          <w:sz w:val="20"/>
          <w:szCs w:val="20"/>
          <w:lang w:val="es-ES"/>
        </w:rPr>
      </w:pPr>
      <w:r w:rsidRPr="00FC0D32">
        <w:rPr>
          <w:rFonts w:ascii="Verdana" w:eastAsia="Arial" w:hAnsi="Verdana" w:cs="Arial"/>
          <w:sz w:val="20"/>
          <w:szCs w:val="20"/>
          <w:lang w:val="es-ES"/>
        </w:rPr>
        <w:t xml:space="preserve">Aunque se establezca la participación de representantes del Estado en sus órganos de gobierno, la normatividad y la jurisprudencia han reconocido que lo anterior no significa que dichas instituciones hagan parte de la administración central o descentralizada, o se conviertan por ello en órganos dependientes y bajo el control de tutela del Estado, “pues las universidades estatales por su carácter de entes autónomos no conforman </w:t>
      </w:r>
      <w:r w:rsidRPr="00FC0D32">
        <w:rPr>
          <w:rFonts w:ascii="Verdana" w:eastAsia="Arial" w:hAnsi="Verdana" w:cs="Arial"/>
          <w:sz w:val="20"/>
          <w:szCs w:val="20"/>
          <w:lang w:val="es-ES"/>
        </w:rPr>
        <w:lastRenderedPageBreak/>
        <w:t>ninguna de las ramas del poder ni pueden formar parte de la administración nacional” De esta manera se pretende preservar a las universidades públicas y oficiales, de las injerencias e interferencias arbitrarias e indebidas del poder</w:t>
      </w:r>
      <w:r w:rsidRPr="00FC0D32">
        <w:rPr>
          <w:rFonts w:ascii="Verdana" w:eastAsia="Arial" w:hAnsi="Verdana" w:cs="Arial"/>
          <w:spacing w:val="-6"/>
          <w:sz w:val="20"/>
          <w:szCs w:val="20"/>
          <w:lang w:val="es-ES"/>
        </w:rPr>
        <w:t xml:space="preserve"> </w:t>
      </w:r>
      <w:r w:rsidRPr="00FC0D32">
        <w:rPr>
          <w:rFonts w:ascii="Verdana" w:eastAsia="Arial" w:hAnsi="Verdana" w:cs="Arial"/>
          <w:sz w:val="20"/>
          <w:szCs w:val="20"/>
          <w:lang w:val="es-ES"/>
        </w:rPr>
        <w:t>político</w:t>
      </w:r>
      <w:r>
        <w:rPr>
          <w:rFonts w:ascii="Verdana" w:eastAsia="Arial" w:hAnsi="Verdana" w:cs="Arial"/>
          <w:sz w:val="20"/>
          <w:szCs w:val="20"/>
          <w:lang w:val="es-ES"/>
        </w:rPr>
        <w:t>”</w:t>
      </w:r>
      <w:r w:rsidRPr="00FC0D32">
        <w:rPr>
          <w:rFonts w:ascii="Verdana" w:eastAsia="Arial" w:hAnsi="Verdana" w:cs="Arial"/>
          <w:sz w:val="20"/>
          <w:szCs w:val="20"/>
          <w:lang w:val="es-ES"/>
        </w:rPr>
        <w:t>.</w:t>
      </w:r>
    </w:p>
    <w:p w14:paraId="64ED6406" w14:textId="77777777" w:rsidR="00BE6A2A" w:rsidRDefault="00BE6A2A" w:rsidP="00BE6A2A">
      <w:pPr>
        <w:widowControl w:val="0"/>
        <w:autoSpaceDE w:val="0"/>
        <w:autoSpaceDN w:val="0"/>
        <w:spacing w:line="276" w:lineRule="auto"/>
        <w:ind w:left="181" w:right="108" w:firstLine="527"/>
        <w:jc w:val="both"/>
        <w:rPr>
          <w:rFonts w:ascii="Verdana" w:eastAsia="Arial" w:hAnsi="Verdana" w:cs="Arial"/>
          <w:lang w:val="es-ES"/>
        </w:rPr>
      </w:pPr>
    </w:p>
    <w:p w14:paraId="02233238" w14:textId="77777777" w:rsidR="00BE6A2A" w:rsidRPr="00FC0D32" w:rsidRDefault="00BE6A2A" w:rsidP="00BE6A2A">
      <w:pPr>
        <w:widowControl w:val="0"/>
        <w:autoSpaceDE w:val="0"/>
        <w:autoSpaceDN w:val="0"/>
        <w:spacing w:line="276" w:lineRule="auto"/>
        <w:ind w:left="181" w:right="108" w:firstLine="527"/>
        <w:jc w:val="both"/>
        <w:rPr>
          <w:rFonts w:ascii="Verdana" w:eastAsia="Arial" w:hAnsi="Verdana" w:cs="Arial"/>
          <w:lang w:val="es-ES"/>
        </w:rPr>
      </w:pPr>
      <w:r w:rsidRPr="00FC0D32">
        <w:rPr>
          <w:rFonts w:ascii="Verdana" w:eastAsia="Arial" w:hAnsi="Verdana" w:cs="Arial"/>
          <w:lang w:val="es-ES"/>
        </w:rPr>
        <w:t>En armonía con lo anterior, se ha considerado que los entes universitarios no son entidades que hagan parte de la rama ejecutiva, ni pueden, por tanto, considerarse entidades descentralizadas, sino que gozan de un régimen especial. Lo anterior fue señalado por el Consejo de Estado de la siguiente manera</w:t>
      </w:r>
      <w:r w:rsidRPr="00FC0D32">
        <w:rPr>
          <w:rStyle w:val="Refdenotaalpie"/>
          <w:rFonts w:ascii="Verdana" w:eastAsia="Arial" w:hAnsi="Verdana" w:cs="Arial"/>
          <w:lang w:val="es-ES"/>
        </w:rPr>
        <w:footnoteReference w:id="12"/>
      </w:r>
      <w:r w:rsidRPr="00FC0D32">
        <w:rPr>
          <w:rFonts w:ascii="Verdana" w:eastAsia="Arial" w:hAnsi="Verdana" w:cs="Arial"/>
          <w:lang w:val="es-ES"/>
        </w:rPr>
        <w:t>:</w:t>
      </w:r>
    </w:p>
    <w:p w14:paraId="1B4A415F" w14:textId="77777777" w:rsidR="00BE6A2A" w:rsidRPr="00FC0D32" w:rsidRDefault="00BE6A2A" w:rsidP="00BE6A2A">
      <w:pPr>
        <w:widowControl w:val="0"/>
        <w:autoSpaceDE w:val="0"/>
        <w:autoSpaceDN w:val="0"/>
        <w:spacing w:after="0" w:line="240" w:lineRule="auto"/>
        <w:ind w:left="709" w:right="709"/>
        <w:jc w:val="both"/>
        <w:rPr>
          <w:rFonts w:ascii="Verdana" w:eastAsia="Arial" w:hAnsi="Verdana" w:cs="Arial"/>
          <w:sz w:val="20"/>
          <w:szCs w:val="20"/>
          <w:lang w:val="es-ES"/>
        </w:rPr>
      </w:pPr>
      <w:r>
        <w:rPr>
          <w:rFonts w:ascii="Verdana" w:eastAsia="Arial" w:hAnsi="Verdana" w:cs="Arial"/>
          <w:sz w:val="20"/>
          <w:szCs w:val="20"/>
          <w:lang w:val="es-ES"/>
        </w:rPr>
        <w:t>“</w:t>
      </w:r>
      <w:r w:rsidRPr="00FC0D32">
        <w:rPr>
          <w:rFonts w:ascii="Verdana" w:eastAsia="Arial" w:hAnsi="Verdana" w:cs="Arial"/>
          <w:sz w:val="20"/>
          <w:szCs w:val="20"/>
          <w:lang w:val="es-ES"/>
        </w:rPr>
        <w:t>Ahora bien, en la disposición legal [art. 57 de la Ley 30/92] se menciona que las universidades estatales u oficiales están vinculadas al Ministerio de Educación Nacional en lo que se refiere a las políticas y planeación del sector educativo, en donde la jurisprudencia constitucional ha dejado en claro que es únicamente para efectos de coordinar y planear el desarrollo de directrices educativas, y no como organismos supeditados al poder ejecutivo, de manera que deben actuar con independencia del mismo, sin estar sujetas a un control de tutela como el concebido para los establecimientos públicos, concepto que por sí mismo niega la autonomía.</w:t>
      </w:r>
    </w:p>
    <w:p w14:paraId="0ABAA7BE" w14:textId="77777777" w:rsidR="00BE6A2A" w:rsidRPr="00FC0D32" w:rsidRDefault="00BE6A2A" w:rsidP="00BE6A2A">
      <w:pPr>
        <w:widowControl w:val="0"/>
        <w:autoSpaceDE w:val="0"/>
        <w:autoSpaceDN w:val="0"/>
        <w:spacing w:after="0" w:line="240" w:lineRule="auto"/>
        <w:ind w:left="709" w:right="709"/>
        <w:rPr>
          <w:rFonts w:ascii="Verdana" w:eastAsia="Arial" w:hAnsi="Verdana" w:cs="Arial"/>
          <w:sz w:val="20"/>
          <w:szCs w:val="20"/>
          <w:lang w:val="es-ES"/>
        </w:rPr>
      </w:pPr>
      <w:r w:rsidRPr="00FC0D32">
        <w:rPr>
          <w:rFonts w:ascii="Verdana" w:eastAsia="Arial" w:hAnsi="Verdana" w:cs="Arial"/>
          <w:sz w:val="20"/>
          <w:szCs w:val="20"/>
          <w:lang w:val="es-ES"/>
        </w:rPr>
        <w:t>[…]</w:t>
      </w:r>
    </w:p>
    <w:p w14:paraId="35C1E06B" w14:textId="77777777" w:rsidR="00BE6A2A" w:rsidRPr="00FC0D32" w:rsidRDefault="00BE6A2A" w:rsidP="00BE6A2A">
      <w:pPr>
        <w:widowControl w:val="0"/>
        <w:autoSpaceDE w:val="0"/>
        <w:autoSpaceDN w:val="0"/>
        <w:spacing w:after="0" w:line="240" w:lineRule="auto"/>
        <w:ind w:left="709" w:right="709"/>
        <w:jc w:val="both"/>
        <w:rPr>
          <w:rFonts w:ascii="Verdana" w:eastAsia="Arial" w:hAnsi="Verdana" w:cs="Arial"/>
          <w:sz w:val="20"/>
          <w:szCs w:val="20"/>
          <w:lang w:val="es-ES"/>
        </w:rPr>
      </w:pPr>
      <w:r w:rsidRPr="00FC0D32">
        <w:rPr>
          <w:rFonts w:ascii="Verdana" w:eastAsia="Arial" w:hAnsi="Verdana" w:cs="Arial"/>
          <w:sz w:val="20"/>
          <w:szCs w:val="20"/>
          <w:lang w:val="es-ES"/>
        </w:rPr>
        <w:t>La situación se modificó con el actual marco constitucional en donde se estableció [art. 69] la garantía a la autonomía universitaria, para que pudieran darse sus directivas y regirse por sus propios estatutos, de acuerdo con el régimen especial que previera la Ley para las universidades del Estado, por lo cual se despojaban del control de tutela que ejercía el ejecutivo sobre ellas, con el fin de garantizar la independencia académica en la educación superior, sin ningún tipo de injerencia del poder público.</w:t>
      </w:r>
    </w:p>
    <w:p w14:paraId="69CB2BC8" w14:textId="77777777" w:rsidR="00BE6A2A" w:rsidRPr="00FC0D32" w:rsidRDefault="00BE6A2A" w:rsidP="00BE6A2A">
      <w:pPr>
        <w:widowControl w:val="0"/>
        <w:autoSpaceDE w:val="0"/>
        <w:autoSpaceDN w:val="0"/>
        <w:spacing w:after="0" w:line="240" w:lineRule="auto"/>
        <w:ind w:left="709" w:right="709"/>
        <w:jc w:val="both"/>
        <w:rPr>
          <w:rFonts w:ascii="Verdana" w:eastAsia="Arial" w:hAnsi="Verdana" w:cs="Arial"/>
          <w:sz w:val="20"/>
          <w:szCs w:val="20"/>
          <w:lang w:val="es-ES"/>
        </w:rPr>
      </w:pPr>
      <w:r w:rsidRPr="00FC0D32">
        <w:rPr>
          <w:rFonts w:ascii="Verdana" w:eastAsia="Arial" w:hAnsi="Verdana" w:cs="Arial"/>
          <w:sz w:val="20"/>
          <w:szCs w:val="20"/>
          <w:lang w:val="es-ES"/>
        </w:rPr>
        <w:t>Lo anterior hizo que dejaran de pertenecer a la rama ejecutiva y por supuesto no hicieran parte de las demás [legislativa y judicial], al convertirse en organismos autónomos que cumplen funciones estatales de trascendental importancia para la nación, sin perder la calidad de entidades públicas […]</w:t>
      </w:r>
      <w:r>
        <w:rPr>
          <w:rFonts w:ascii="Verdana" w:eastAsia="Arial" w:hAnsi="Verdana" w:cs="Arial"/>
          <w:sz w:val="20"/>
          <w:szCs w:val="20"/>
          <w:lang w:val="es-ES"/>
        </w:rPr>
        <w:t>”</w:t>
      </w:r>
    </w:p>
    <w:p w14:paraId="325B795D" w14:textId="77777777" w:rsidR="00BE6A2A" w:rsidRPr="00FC0D32" w:rsidRDefault="00BE6A2A" w:rsidP="00BE6A2A">
      <w:pPr>
        <w:spacing w:after="0" w:line="276" w:lineRule="auto"/>
        <w:jc w:val="both"/>
        <w:rPr>
          <w:rFonts w:ascii="Verdana" w:eastAsia="Arial" w:hAnsi="Verdana" w:cs="Arial"/>
          <w:lang w:eastAsia="es-MX"/>
        </w:rPr>
      </w:pPr>
      <w:r w:rsidRPr="00FC0D32">
        <w:rPr>
          <w:rFonts w:ascii="Verdana" w:eastAsia="Arial" w:hAnsi="Verdana" w:cs="Arial"/>
          <w:lang w:eastAsia="es-MX"/>
        </w:rPr>
        <w:tab/>
      </w:r>
    </w:p>
    <w:p w14:paraId="7A4BB93A" w14:textId="77777777" w:rsidR="00BE6A2A" w:rsidRPr="00FC0D32" w:rsidRDefault="00BE6A2A" w:rsidP="00BE6A2A">
      <w:pPr>
        <w:spacing w:before="120" w:after="120" w:line="276" w:lineRule="auto"/>
        <w:jc w:val="both"/>
        <w:rPr>
          <w:rFonts w:ascii="Verdana" w:eastAsia="Arial" w:hAnsi="Verdana" w:cs="Arial"/>
          <w:lang w:eastAsia="es-MX"/>
        </w:rPr>
      </w:pPr>
      <w:r w:rsidRPr="00FC0D32">
        <w:rPr>
          <w:rFonts w:ascii="Verdana" w:eastAsia="Arial" w:hAnsi="Verdana" w:cs="Arial"/>
          <w:lang w:eastAsia="es-MX"/>
        </w:rPr>
        <w:tab/>
        <w:t xml:space="preserve">Teniendo en cuenta lo anterior, dado que las universidades públicas son entidades públicas de carácter autónomo con régimen especial, les aplica la restricción establecida en el artículo 33 de la Ley 996 de 2005, que </w:t>
      </w:r>
      <w:r w:rsidRPr="00FC0D32">
        <w:rPr>
          <w:rFonts w:ascii="Verdana" w:eastAsia="Times New Roman" w:hAnsi="Verdana" w:cs="Open Sans"/>
          <w:lang w:eastAsia="es-CO"/>
        </w:rPr>
        <w:t xml:space="preserve">prohíbe la contratación directa por parte de todos los entes estatales durante los cuatro (4) </w:t>
      </w:r>
      <w:r w:rsidRPr="00FC0D32">
        <w:rPr>
          <w:rFonts w:ascii="Verdana" w:eastAsia="Times New Roman" w:hAnsi="Verdana" w:cs="Open Sans"/>
          <w:lang w:eastAsia="es-CO"/>
        </w:rPr>
        <w:lastRenderedPageBreak/>
        <w:t xml:space="preserve">meses anteriores a las elecciones presidenciales y dispone las excepciones a dicha prohibición. Por el contrario, a estas entidades no les aplica la restricción contenida en el parágrafo del artículo 38 de la Ley 996 de 2005, dado que esta solo es aplicable a </w:t>
      </w:r>
      <w:proofErr w:type="gramStart"/>
      <w:r w:rsidRPr="00FC0D32">
        <w:rPr>
          <w:rFonts w:ascii="Verdana" w:eastAsia="Times New Roman" w:hAnsi="Verdana" w:cs="Arial"/>
          <w:lang w:val="es-MX" w:eastAsia="es-CO"/>
        </w:rPr>
        <w:t>Alcaldes</w:t>
      </w:r>
      <w:proofErr w:type="gramEnd"/>
      <w:r w:rsidRPr="00FC0D32">
        <w:rPr>
          <w:rFonts w:ascii="Verdana" w:eastAsia="Times New Roman" w:hAnsi="Verdana" w:cs="Arial"/>
          <w:lang w:val="es-MX" w:eastAsia="es-CO"/>
        </w:rPr>
        <w:t xml:space="preserve">, Gobernadores, </w:t>
      </w:r>
      <w:proofErr w:type="gramStart"/>
      <w:r w:rsidRPr="00FC0D32">
        <w:rPr>
          <w:rFonts w:ascii="Verdana" w:eastAsia="Times New Roman" w:hAnsi="Verdana" w:cs="Arial"/>
          <w:lang w:val="es-MX" w:eastAsia="es-CO"/>
        </w:rPr>
        <w:t>Secretarios</w:t>
      </w:r>
      <w:proofErr w:type="gramEnd"/>
      <w:r w:rsidRPr="00FC0D32">
        <w:rPr>
          <w:rFonts w:ascii="Verdana" w:eastAsia="Times New Roman" w:hAnsi="Verdana" w:cs="Arial"/>
          <w:lang w:val="es-MX" w:eastAsia="es-CO"/>
        </w:rPr>
        <w:t xml:space="preserve">, Gerentes y </w:t>
      </w:r>
      <w:proofErr w:type="gramStart"/>
      <w:r w:rsidRPr="00FC0D32">
        <w:rPr>
          <w:rFonts w:ascii="Verdana" w:eastAsia="Times New Roman" w:hAnsi="Verdana" w:cs="Arial"/>
          <w:lang w:val="es-MX" w:eastAsia="es-CO"/>
        </w:rPr>
        <w:t>Directores</w:t>
      </w:r>
      <w:proofErr w:type="gramEnd"/>
      <w:r w:rsidRPr="00FC0D32">
        <w:rPr>
          <w:rFonts w:ascii="Verdana" w:eastAsia="Times New Roman" w:hAnsi="Verdana" w:cs="Arial"/>
          <w:lang w:val="es-MX" w:eastAsia="es-CO"/>
        </w:rPr>
        <w:t xml:space="preserve"> de las entidades descentralizadas del orden municipal, departamental o distrital</w:t>
      </w:r>
      <w:r w:rsidRPr="00FC0D32">
        <w:rPr>
          <w:rFonts w:ascii="Verdana" w:eastAsia="Times New Roman" w:hAnsi="Verdana" w:cs="Open Sans"/>
          <w:lang w:eastAsia="es-CO"/>
        </w:rPr>
        <w:t>.</w:t>
      </w:r>
    </w:p>
    <w:p w14:paraId="460DDB1C" w14:textId="77777777" w:rsidR="00BE6A2A" w:rsidRDefault="00BE6A2A" w:rsidP="00BE6A2A">
      <w:pPr>
        <w:spacing w:before="120" w:after="120" w:line="276" w:lineRule="auto"/>
        <w:jc w:val="both"/>
        <w:rPr>
          <w:rFonts w:ascii="BCDHEE+Verdana" w:hAnsi="BCDHEE+Verdana" w:cs="BCDHEE+Verdana"/>
          <w:color w:val="000000"/>
        </w:rPr>
      </w:pPr>
      <w:r w:rsidRPr="00FC0D32">
        <w:rPr>
          <w:rFonts w:ascii="Verdana" w:eastAsia="Arial" w:hAnsi="Verdana" w:cs="Arial"/>
          <w:lang w:eastAsia="es-MX"/>
        </w:rPr>
        <w:tab/>
        <w:t>Finalmente,</w:t>
      </w:r>
      <w:bookmarkEnd w:id="2"/>
      <w:r w:rsidRPr="00FC0D32">
        <w:rPr>
          <w:rFonts w:ascii="Verdana" w:eastAsia="Arial" w:hAnsi="Verdana" w:cs="Arial"/>
          <w:lang w:eastAsia="es-MX"/>
        </w:rPr>
        <w:t xml:space="preserve"> p</w:t>
      </w:r>
      <w:r w:rsidRPr="00FC0D32">
        <w:rPr>
          <w:rFonts w:ascii="Verdana" w:hAnsi="Verdana" w:cs="BCDHEE+Verdana"/>
          <w:color w:val="000000"/>
        </w:rPr>
        <w:t xml:space="preserve">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w:t>
      </w:r>
      <w:r>
        <w:rPr>
          <w:rFonts w:ascii="Verdana" w:hAnsi="Verdana" w:cs="BCDHEE+Verdana"/>
          <w:color w:val="000000"/>
        </w:rPr>
        <w:t>cuatro (</w:t>
      </w:r>
      <w:r w:rsidRPr="00FC0D32">
        <w:rPr>
          <w:rFonts w:ascii="Verdana" w:hAnsi="Verdana" w:cs="BCDHEE+Verdana"/>
          <w:color w:val="000000"/>
        </w:rPr>
        <w:t>4</w:t>
      </w:r>
      <w:r>
        <w:rPr>
          <w:rFonts w:ascii="Verdana" w:hAnsi="Verdana" w:cs="BCDHEE+Verdana"/>
          <w:color w:val="000000"/>
        </w:rPr>
        <w:t>)</w:t>
      </w:r>
      <w:r w:rsidRPr="00FC0D32">
        <w:rPr>
          <w:rFonts w:ascii="Verdana" w:hAnsi="Verdana" w:cs="BCDHEE+Verdana"/>
          <w:color w:val="000000"/>
        </w:rPr>
        <w:t xml:space="preserve"> meses anteriores</w:t>
      </w:r>
      <w:r w:rsidRPr="00DE5508">
        <w:rPr>
          <w:rFonts w:ascii="Verdana" w:hAnsi="Verdana" w:cs="BCDHEE+Verdana"/>
          <w:color w:val="000000"/>
        </w:rPr>
        <w:t xml:space="preserve"> a la elección presidencial, es decir desde el 31 de enero de 2026 y hasta el momento de la celebración de la segunda vuelta, si fuere el caso, queda prohibida la contratación directa por parte de todos los entes del Estado</w:t>
      </w:r>
      <w:r>
        <w:rPr>
          <w:rFonts w:ascii="BCDHEE+Verdana" w:hAnsi="BCDHEE+Verdana" w:cs="BCDHEE+Verdana"/>
          <w:color w:val="000000"/>
        </w:rPr>
        <w:t>.</w:t>
      </w:r>
    </w:p>
    <w:p w14:paraId="1C9B9086" w14:textId="77777777" w:rsidR="00BE6A2A" w:rsidRDefault="00BE6A2A" w:rsidP="00BE6A2A">
      <w:pPr>
        <w:spacing w:after="120" w:line="276" w:lineRule="auto"/>
        <w:ind w:firstLine="708"/>
        <w:jc w:val="both"/>
        <w:rPr>
          <w:rFonts w:ascii="Verdana" w:hAnsi="Verdana" w:cs="BCDHEE+Verdana"/>
          <w:color w:val="000000"/>
          <w:lang w:val="es-MX"/>
        </w:rPr>
      </w:pPr>
      <w:r w:rsidRPr="00CF3131">
        <w:rPr>
          <w:rFonts w:ascii="Verdana" w:hAnsi="Verdana" w:cs="BCDHEE+Verdana"/>
          <w:color w:val="000000"/>
          <w:lang w:val="es-MX"/>
        </w:rPr>
        <w:t>Ahora bien, los pagos asociados a inscripciones a congresos, producción científica y tasas ante autoridades administrativas, en cuanto se relacionan con el desarrollo de actividades misionales en el ámbito de la ciencia, la tecnología y la innovación (CT&amp;I), podrían entenderse comprendidos dentro del régimen jurídico aplicable a este tipo de actividades. En efecto, la normativa vigente, en particular la Ley 1150 de 2007 y la Ley 1286 de 2009, prevé que los contratos cuyo objeto es el desarrollo de actividades científicas y tecnológicas se adelanten, por regla general, bajo la modalidad de contratación directa. Bajo esta lectura, la eventual celebración de nuevos contratos o negocios jurídicos para el desarrollo de dichas actividades durante la vigencia de la Ley de Garantías quedaría sometida a las restricciones previstas en el artículo 33 de dicha ley, lo que llevaría a considerar que su celebración durante el periodo de restricción electoral se encuentra limitada.</w:t>
      </w:r>
    </w:p>
    <w:p w14:paraId="170425DF" w14:textId="77777777" w:rsidR="00BE6A2A" w:rsidRPr="00BF7DC1" w:rsidRDefault="00BE6A2A" w:rsidP="00BE6A2A">
      <w:pPr>
        <w:spacing w:after="120" w:line="276" w:lineRule="auto"/>
        <w:jc w:val="both"/>
        <w:rPr>
          <w:rFonts w:ascii="Verdana" w:hAnsi="Verdana" w:cs="BCDHEE+Verdana"/>
          <w:color w:val="000000"/>
          <w:lang w:val="es-MX"/>
        </w:rPr>
      </w:pPr>
      <w:r>
        <w:rPr>
          <w:rFonts w:ascii="Verdana" w:eastAsia="Times New Roman" w:hAnsi="Verdana" w:cs="Arial"/>
          <w:lang w:val="es-MX" w:eastAsia="es-CO"/>
        </w:rPr>
        <w:t xml:space="preserve">      </w:t>
      </w:r>
      <w:r w:rsidRPr="0090052A">
        <w:rPr>
          <w:rFonts w:ascii="Verdana" w:eastAsia="Times New Roman" w:hAnsi="Verdana" w:cs="Arial"/>
          <w:lang w:val="es-MX" w:eastAsia="es-CO"/>
        </w:rPr>
        <w:t>Finalmente,</w:t>
      </w:r>
      <w:r>
        <w:rPr>
          <w:rFonts w:ascii="Verdana" w:eastAsia="Times New Roman" w:hAnsi="Verdana" w:cs="Arial"/>
          <w:lang w:val="es-MX" w:eastAsia="es-CO"/>
        </w:rPr>
        <w:t xml:space="preserve"> l</w:t>
      </w:r>
      <w:r w:rsidRPr="0090052A">
        <w:rPr>
          <w:rFonts w:ascii="Verdana" w:eastAsia="Times New Roman" w:hAnsi="Verdana" w:cs="Arial"/>
          <w:lang w:val="es-MX" w:eastAsia="es-CO"/>
        </w:rPr>
        <w:t>a prohibición de la Ley de Garantías recae sobre la celebración de nuevos contratos, no sobre la ejecución de pagos de obligaciones adquiridas con anterioridad al inicio del periodo restrictivo. El concepto de "celebrar" se refiere al perfeccionamiento del contrato, que ocurre cuando hay acuerdo sobre el objeto y la contraprestación, y este se eleva a escrito. No se refiere a los actos de ejecución, como los pago</w:t>
      </w:r>
      <w:r>
        <w:rPr>
          <w:rFonts w:ascii="Verdana" w:eastAsia="Times New Roman" w:hAnsi="Verdana" w:cs="Arial"/>
          <w:lang w:val="es-MX" w:eastAsia="es-CO"/>
        </w:rPr>
        <w:t>s</w:t>
      </w:r>
      <w:r w:rsidRPr="0090052A">
        <w:rPr>
          <w:rFonts w:ascii="Verdana" w:eastAsia="Times New Roman" w:hAnsi="Verdana" w:cs="Arial"/>
          <w:lang w:val="es-MX" w:eastAsia="es-CO"/>
        </w:rPr>
        <w:t>, por ello</w:t>
      </w:r>
      <w:r>
        <w:rPr>
          <w:rFonts w:ascii="Verdana" w:eastAsia="Times New Roman" w:hAnsi="Verdana" w:cs="Arial"/>
          <w:lang w:val="es-MX" w:eastAsia="es-CO"/>
        </w:rPr>
        <w:t>,</w:t>
      </w:r>
      <w:r w:rsidRPr="0090052A">
        <w:rPr>
          <w:rFonts w:ascii="Verdana" w:eastAsia="Times New Roman" w:hAnsi="Verdana" w:cs="Arial"/>
          <w:lang w:val="es-MX" w:eastAsia="es-CO"/>
        </w:rPr>
        <w:t xml:space="preserve"> </w:t>
      </w:r>
      <w:r>
        <w:rPr>
          <w:rFonts w:ascii="Verdana" w:eastAsia="Times New Roman" w:hAnsi="Verdana" w:cs="Arial"/>
          <w:lang w:val="es-MX" w:eastAsia="es-CO"/>
        </w:rPr>
        <w:t>s</w:t>
      </w:r>
      <w:r w:rsidRPr="0090052A">
        <w:rPr>
          <w:rFonts w:ascii="Verdana" w:eastAsia="Times New Roman" w:hAnsi="Verdana" w:cs="Arial"/>
          <w:lang w:eastAsia="es-CO"/>
        </w:rPr>
        <w:t xml:space="preserve">i la obligación de pago (inscripción, publicación, tasa) se generó antes del inicio de la Ley de Garantías, el pago durante dicho periodo es procedente y legal, pues corresponde a la ejecución de </w:t>
      </w:r>
      <w:r w:rsidRPr="0090052A">
        <w:rPr>
          <w:rFonts w:ascii="Verdana" w:eastAsia="Times New Roman" w:hAnsi="Verdana" w:cs="Arial"/>
          <w:lang w:eastAsia="es-CO"/>
        </w:rPr>
        <w:lastRenderedPageBreak/>
        <w:t xml:space="preserve">un compromiso ya </w:t>
      </w:r>
      <w:proofErr w:type="gramStart"/>
      <w:r w:rsidRPr="0090052A">
        <w:rPr>
          <w:rFonts w:ascii="Verdana" w:eastAsia="Times New Roman" w:hAnsi="Verdana" w:cs="Arial"/>
          <w:lang w:eastAsia="es-CO"/>
        </w:rPr>
        <w:t>adquirido,  si</w:t>
      </w:r>
      <w:proofErr w:type="gramEnd"/>
      <w:r w:rsidRPr="0090052A">
        <w:rPr>
          <w:rFonts w:ascii="Verdana" w:eastAsia="Times New Roman" w:hAnsi="Verdana" w:cs="Arial"/>
          <w:lang w:eastAsia="es-CO"/>
        </w:rPr>
        <w:t xml:space="preserve"> la decisión de contratar el </w:t>
      </w:r>
      <w:proofErr w:type="gramStart"/>
      <w:r w:rsidRPr="0090052A">
        <w:rPr>
          <w:rFonts w:ascii="Verdana" w:eastAsia="Times New Roman" w:hAnsi="Verdana" w:cs="Arial"/>
          <w:lang w:eastAsia="es-CO"/>
        </w:rPr>
        <w:t>servicio</w:t>
      </w:r>
      <w:r>
        <w:rPr>
          <w:rFonts w:ascii="Verdana" w:eastAsia="Times New Roman" w:hAnsi="Verdana" w:cs="Arial"/>
          <w:lang w:eastAsia="es-CO"/>
        </w:rPr>
        <w:t>,</w:t>
      </w:r>
      <w:proofErr w:type="gramEnd"/>
      <w:r>
        <w:rPr>
          <w:rFonts w:ascii="Verdana" w:eastAsia="Times New Roman" w:hAnsi="Verdana" w:cs="Arial"/>
          <w:lang w:eastAsia="es-CO"/>
        </w:rPr>
        <w:t xml:space="preserve"> </w:t>
      </w:r>
      <w:r w:rsidRPr="0090052A">
        <w:rPr>
          <w:rFonts w:ascii="Verdana" w:eastAsia="Times New Roman" w:hAnsi="Verdana" w:cs="Arial"/>
          <w:lang w:eastAsia="es-CO"/>
        </w:rPr>
        <w:t xml:space="preserve">se toma durante la vigencia de la Ley de Garantías, se estaría celebrando un nuevo contrato directo, lo cual está prohibido. </w:t>
      </w:r>
    </w:p>
    <w:p w14:paraId="152D908A" w14:textId="77777777" w:rsidR="00BE6A2A" w:rsidRPr="00C34AAF" w:rsidRDefault="00BE6A2A" w:rsidP="00BE6A2A">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durante la aplicación de las restricciones de la Ley de Garantías Electorales.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Pr>
          <w:rFonts w:ascii="Verdana" w:hAnsi="Verdana"/>
          <w:sz w:val="20"/>
          <w:szCs w:val="20"/>
        </w:rPr>
        <w:tab/>
      </w:r>
    </w:p>
    <w:p w14:paraId="100EBE46" w14:textId="77777777" w:rsidR="00BE6A2A" w:rsidRDefault="00BE6A2A" w:rsidP="00BE6A2A">
      <w:pPr>
        <w:widowControl w:val="0"/>
        <w:autoSpaceDE w:val="0"/>
        <w:autoSpaceDN w:val="0"/>
        <w:spacing w:after="0" w:line="276" w:lineRule="auto"/>
        <w:jc w:val="both"/>
        <w:rPr>
          <w:rFonts w:ascii="Verdana" w:hAnsi="Verdana" w:cs="Arial"/>
        </w:rPr>
      </w:pPr>
    </w:p>
    <w:p w14:paraId="20A6497D" w14:textId="77777777" w:rsidR="00BE6A2A" w:rsidRDefault="00BE6A2A" w:rsidP="00BE6A2A">
      <w:pPr>
        <w:pStyle w:val="Prrafodelista"/>
        <w:numPr>
          <w:ilvl w:val="0"/>
          <w:numId w:val="3"/>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265E13E2" w14:textId="77777777" w:rsidR="00BE6A2A" w:rsidRDefault="00BE6A2A" w:rsidP="00BE6A2A">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BE6A2A" w14:paraId="7211D870" w14:textId="77777777">
        <w:trPr>
          <w:trHeight w:val="870"/>
        </w:trPr>
        <w:tc>
          <w:tcPr>
            <w:tcW w:w="8647" w:type="dxa"/>
            <w:tcBorders>
              <w:top w:val="dotted" w:sz="4" w:space="0" w:color="auto"/>
              <w:left w:val="dotted" w:sz="4" w:space="0" w:color="auto"/>
              <w:bottom w:val="dotted" w:sz="4" w:space="0" w:color="auto"/>
              <w:right w:val="dotted" w:sz="4" w:space="0" w:color="auto"/>
            </w:tcBorders>
            <w:hideMark/>
          </w:tcPr>
          <w:p w14:paraId="022D85EB" w14:textId="77777777" w:rsidR="00BE6A2A" w:rsidRDefault="00BE6A2A" w:rsidP="00BE6A2A">
            <w:pPr>
              <w:widowControl w:val="0"/>
              <w:numPr>
                <w:ilvl w:val="0"/>
                <w:numId w:val="2"/>
              </w:numPr>
              <w:autoSpaceDE w:val="0"/>
              <w:autoSpaceDN w:val="0"/>
              <w:spacing w:after="120" w:line="276" w:lineRule="auto"/>
              <w:ind w:left="360"/>
              <w:jc w:val="both"/>
              <w:rPr>
                <w:rFonts w:ascii="Verdana" w:eastAsia="Arial MT" w:hAnsi="Verdana" w:cs="Arial"/>
                <w:lang w:val="es-ES" w:eastAsia="es-ES" w:bidi="es-ES"/>
              </w:rPr>
            </w:pPr>
            <w:r>
              <w:rPr>
                <w:rFonts w:ascii="Verdana" w:eastAsia="Arial MT" w:hAnsi="Verdana" w:cs="Arial"/>
                <w:lang w:val="es-ES" w:eastAsia="es-ES" w:bidi="es-ES"/>
              </w:rPr>
              <w:t>Ley 30 de 1992. Artículos 57 y 93</w:t>
            </w:r>
          </w:p>
          <w:p w14:paraId="2777406B" w14:textId="77777777" w:rsidR="00BE6A2A" w:rsidRPr="00FC0D32" w:rsidRDefault="00BE6A2A" w:rsidP="00BE6A2A">
            <w:pPr>
              <w:widowControl w:val="0"/>
              <w:numPr>
                <w:ilvl w:val="0"/>
                <w:numId w:val="2"/>
              </w:numPr>
              <w:autoSpaceDE w:val="0"/>
              <w:autoSpaceDN w:val="0"/>
              <w:spacing w:after="120" w:line="276" w:lineRule="auto"/>
              <w:ind w:left="360"/>
              <w:jc w:val="both"/>
              <w:rPr>
                <w:rFonts w:ascii="Verdana" w:eastAsia="Arial MT" w:hAnsi="Verdana" w:cs="Arial"/>
                <w:lang w:val="es-ES" w:eastAsia="es-ES" w:bidi="es-ES"/>
              </w:rPr>
            </w:pPr>
            <w:r>
              <w:rPr>
                <w:rFonts w:ascii="Verdana" w:eastAsia="Arial MT" w:hAnsi="Verdana" w:cs="Arial"/>
                <w:lang w:val="es-ES" w:eastAsia="es-ES" w:bidi="es-ES"/>
              </w:rPr>
              <w:t>Ley 489 de 1998. Artículo 40</w:t>
            </w:r>
          </w:p>
          <w:p w14:paraId="24EF1D9F" w14:textId="77777777" w:rsidR="00BE6A2A" w:rsidRPr="004B54E8" w:rsidRDefault="00BE6A2A" w:rsidP="00BE6A2A">
            <w:pPr>
              <w:widowControl w:val="0"/>
              <w:numPr>
                <w:ilvl w:val="0"/>
                <w:numId w:val="2"/>
              </w:numPr>
              <w:autoSpaceDE w:val="0"/>
              <w:autoSpaceDN w:val="0"/>
              <w:spacing w:after="120" w:line="276" w:lineRule="auto"/>
              <w:ind w:left="360"/>
              <w:jc w:val="both"/>
              <w:rPr>
                <w:rFonts w:ascii="Verdana" w:eastAsia="Arial MT" w:hAnsi="Verdana" w:cs="Arial"/>
                <w:lang w:val="es-ES" w:eastAsia="es-ES" w:bidi="es-ES"/>
              </w:rPr>
            </w:pPr>
            <w:r w:rsidRPr="00DF1048">
              <w:rPr>
                <w:rFonts w:ascii="Verdana" w:eastAsia="Arial MT" w:hAnsi="Verdana" w:cs="Arial"/>
                <w:bCs/>
                <w:lang w:val="es-ES" w:eastAsia="es-ES" w:bidi="es-ES"/>
              </w:rPr>
              <w:t>Ley 996 de 2005</w:t>
            </w:r>
            <w:r>
              <w:rPr>
                <w:rFonts w:ascii="Verdana" w:eastAsia="Arial MT" w:hAnsi="Verdana" w:cs="Arial"/>
                <w:bCs/>
                <w:lang w:val="es-ES" w:eastAsia="es-ES" w:bidi="es-ES"/>
              </w:rPr>
              <w:t>.</w:t>
            </w:r>
            <w:r w:rsidRPr="00DF1048">
              <w:rPr>
                <w:rFonts w:ascii="Verdana" w:eastAsia="Arial MT" w:hAnsi="Verdana" w:cs="Arial"/>
                <w:bCs/>
                <w:lang w:val="es-ES" w:eastAsia="es-ES" w:bidi="es-ES"/>
              </w:rPr>
              <w:t xml:space="preserve"> </w:t>
            </w:r>
            <w:r>
              <w:rPr>
                <w:rFonts w:ascii="Verdana" w:eastAsia="Arial MT" w:hAnsi="Verdana" w:cs="Arial"/>
                <w:bCs/>
                <w:lang w:val="es-ES" w:eastAsia="es-ES" w:bidi="es-ES"/>
              </w:rPr>
              <w:t>A</w:t>
            </w:r>
            <w:r w:rsidRPr="00DF1048">
              <w:rPr>
                <w:rFonts w:ascii="Verdana" w:eastAsia="Arial MT" w:hAnsi="Verdana" w:cs="Arial"/>
                <w:bCs/>
                <w:lang w:val="es-ES" w:eastAsia="es-ES" w:bidi="es-ES"/>
              </w:rPr>
              <w:t>rtículos 33 y 38 parágrafo.</w:t>
            </w:r>
          </w:p>
          <w:p w14:paraId="04501197" w14:textId="77777777" w:rsidR="00BE6A2A" w:rsidRPr="00274DBA" w:rsidRDefault="00BE6A2A" w:rsidP="00BE6A2A">
            <w:pPr>
              <w:widowControl w:val="0"/>
              <w:numPr>
                <w:ilvl w:val="0"/>
                <w:numId w:val="2"/>
              </w:numPr>
              <w:autoSpaceDE w:val="0"/>
              <w:autoSpaceDN w:val="0"/>
              <w:spacing w:after="120" w:line="276" w:lineRule="auto"/>
              <w:ind w:left="360"/>
              <w:jc w:val="both"/>
              <w:rPr>
                <w:rFonts w:ascii="Verdana" w:eastAsia="Calibri" w:hAnsi="Verdana" w:cs="Arial"/>
                <w:lang w:val="es-ES"/>
              </w:rPr>
            </w:pPr>
            <w:r w:rsidRPr="00274DBA">
              <w:rPr>
                <w:rFonts w:ascii="Verdana" w:eastAsia="Calibri" w:hAnsi="Verdana" w:cs="Arial"/>
                <w:lang w:val="pt-BR"/>
              </w:rPr>
              <w:t xml:space="preserve">Corte Constitucional. Sentencia C -1153 de 2005. </w:t>
            </w:r>
            <w:r w:rsidRPr="00274DBA">
              <w:rPr>
                <w:rFonts w:ascii="Verdana" w:eastAsia="Calibri" w:hAnsi="Verdana" w:cs="Arial"/>
                <w:lang w:val="es-ES"/>
              </w:rPr>
              <w:t xml:space="preserve">M.P. Marco Gerardo Monroy Cabra. </w:t>
            </w:r>
          </w:p>
          <w:p w14:paraId="0EBF8382" w14:textId="77777777" w:rsidR="00BE6A2A" w:rsidRDefault="00BE6A2A" w:rsidP="00BE6A2A">
            <w:pPr>
              <w:widowControl w:val="0"/>
              <w:numPr>
                <w:ilvl w:val="0"/>
                <w:numId w:val="2"/>
              </w:numPr>
              <w:autoSpaceDE w:val="0"/>
              <w:autoSpaceDN w:val="0"/>
              <w:spacing w:after="120" w:line="276" w:lineRule="auto"/>
              <w:ind w:left="360"/>
              <w:jc w:val="both"/>
              <w:rPr>
                <w:rFonts w:ascii="Verdana" w:eastAsia="Arial MT" w:hAnsi="Verdana" w:cs="Arial"/>
                <w:lang w:val="es-ES" w:eastAsia="es-ES" w:bidi="es-ES"/>
              </w:rPr>
            </w:pPr>
            <w:r w:rsidRPr="00B3605D">
              <w:rPr>
                <w:rFonts w:ascii="Verdana" w:eastAsia="Arial MT" w:hAnsi="Verdana" w:cs="Arial"/>
                <w:lang w:val="es-ES" w:eastAsia="es-ES" w:bidi="es-ES"/>
              </w:rPr>
              <w:t xml:space="preserve">Consejo de Estado, Sala de Consulta y Servicio Civil de fecha 24 de julio de 2013, Rad. 2166, C. P. Álvaro Namén Vargas.  </w:t>
            </w:r>
          </w:p>
          <w:p w14:paraId="6424C7CC" w14:textId="77777777" w:rsidR="00BE6A2A" w:rsidRPr="006A640E" w:rsidRDefault="00BE6A2A" w:rsidP="00BE6A2A">
            <w:pPr>
              <w:widowControl w:val="0"/>
              <w:numPr>
                <w:ilvl w:val="0"/>
                <w:numId w:val="2"/>
              </w:numPr>
              <w:autoSpaceDE w:val="0"/>
              <w:autoSpaceDN w:val="0"/>
              <w:spacing w:after="120" w:line="276" w:lineRule="auto"/>
              <w:ind w:left="360"/>
              <w:jc w:val="both"/>
              <w:rPr>
                <w:rFonts w:ascii="Verdana" w:eastAsia="Arial MT" w:hAnsi="Verdana" w:cs="Arial"/>
                <w:lang w:val="es-ES" w:eastAsia="es-ES" w:bidi="es-ES"/>
              </w:rPr>
            </w:pPr>
            <w:r w:rsidRPr="00AB6AC3">
              <w:rPr>
                <w:rFonts w:ascii="Verdana" w:eastAsia="Calibri" w:hAnsi="Verdana" w:cs="Arial"/>
              </w:rPr>
              <w:t xml:space="preserve">Agencia Nacional de Contratación Pública – </w:t>
            </w:r>
            <w:r w:rsidRPr="00E12AA8">
              <w:rPr>
                <w:rFonts w:ascii="Verdana" w:hAnsi="Verdana"/>
              </w:rPr>
              <w:t>Colombia Compra Eficiente. Circular Externa Única. Numeral 16.5.</w:t>
            </w:r>
          </w:p>
        </w:tc>
      </w:tr>
    </w:tbl>
    <w:p w14:paraId="31A94024" w14:textId="77777777" w:rsidR="00BE6A2A" w:rsidRDefault="00BE6A2A" w:rsidP="00BE6A2A">
      <w:pPr>
        <w:widowControl w:val="0"/>
        <w:autoSpaceDE w:val="0"/>
        <w:autoSpaceDN w:val="0"/>
        <w:spacing w:after="0" w:line="276" w:lineRule="auto"/>
        <w:jc w:val="both"/>
        <w:rPr>
          <w:rFonts w:ascii="Verdana" w:hAnsi="Verdana" w:cs="Arial"/>
        </w:rPr>
      </w:pPr>
    </w:p>
    <w:p w14:paraId="450E7DDE" w14:textId="77777777" w:rsidR="00BE6A2A" w:rsidRDefault="00BE6A2A" w:rsidP="00BE6A2A">
      <w:pPr>
        <w:pStyle w:val="Prrafodelista"/>
        <w:numPr>
          <w:ilvl w:val="0"/>
          <w:numId w:val="3"/>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57FF90DA" w14:textId="77777777" w:rsidR="00BE6A2A" w:rsidRDefault="00BE6A2A" w:rsidP="00BE6A2A">
      <w:pPr>
        <w:widowControl w:val="0"/>
        <w:autoSpaceDE w:val="0"/>
        <w:autoSpaceDN w:val="0"/>
        <w:spacing w:after="0" w:line="276" w:lineRule="auto"/>
        <w:jc w:val="both"/>
        <w:rPr>
          <w:rFonts w:ascii="Verdana" w:hAnsi="Verdana" w:cs="Arial"/>
        </w:rPr>
      </w:pPr>
    </w:p>
    <w:p w14:paraId="0264E7EC" w14:textId="77777777" w:rsidR="00BE6A2A" w:rsidRPr="00FE3C84" w:rsidRDefault="00BE6A2A" w:rsidP="00BE6A2A">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C-636 del 16 de noviembre de 2021, 681 del 7 de diciembre de 2021, C-686 del 21 de diciembre de 2021,</w:t>
      </w:r>
      <w:r>
        <w:rPr>
          <w:rFonts w:ascii="Verdana" w:hAnsi="Verdana" w:cs="Arial"/>
          <w:shd w:val="clear" w:color="auto" w:fill="FFFFFF"/>
          <w:lang w:val="es-ES"/>
        </w:rPr>
        <w:t xml:space="preserve"> C-134 de 2022</w:t>
      </w:r>
      <w:r w:rsidRPr="00CF7C16">
        <w:rPr>
          <w:rFonts w:ascii="Verdana" w:hAnsi="Verdana" w:cs="Arial"/>
          <w:shd w:val="clear" w:color="auto" w:fill="FFFFFF"/>
          <w:lang w:val="es-ES"/>
        </w:rPr>
        <w:t xml:space="preserve"> C-697 del 3 de enero de 2022, </w:t>
      </w:r>
      <w:r>
        <w:rPr>
          <w:rStyle w:val="normaltextrun"/>
          <w:rFonts w:ascii="Verdana" w:hAnsi="Verdana" w:cs="Arial"/>
          <w:shd w:val="clear" w:color="auto" w:fill="FFFFFF"/>
          <w:lang w:val="es-ES"/>
        </w:rPr>
        <w:t xml:space="preserve">C-329 del 24 de mayo de 2022, C-255 del 4 de julio de </w:t>
      </w:r>
      <w:r>
        <w:rPr>
          <w:rStyle w:val="normaltextrun"/>
          <w:rFonts w:ascii="Verdana" w:hAnsi="Verdana" w:cs="Arial"/>
          <w:shd w:val="clear" w:color="auto" w:fill="FFFFFF"/>
          <w:lang w:val="es-ES"/>
        </w:rPr>
        <w:lastRenderedPageBreak/>
        <w:t xml:space="preserve">2023, </w:t>
      </w:r>
      <w:r w:rsidRPr="00CF7C16">
        <w:rPr>
          <w:rFonts w:ascii="Verdana" w:hAnsi="Verdana" w:cs="Arial"/>
          <w:shd w:val="clear" w:color="auto" w:fill="FFFFFF"/>
          <w:lang w:val="es-ES"/>
        </w:rPr>
        <w:t>C-180 del 21 de marzo de 2025, C-317 del 25 de abril de 2025, C-510 del 4 de junio de 2025,</w:t>
      </w:r>
      <w:r>
        <w:rPr>
          <w:rFonts w:ascii="Verdana" w:hAnsi="Verdana" w:cs="Arial"/>
          <w:shd w:val="clear" w:color="auto" w:fill="FFFFFF"/>
          <w:lang w:val="es-ES"/>
        </w:rPr>
        <w:t xml:space="preserve"> C-856 del 11 de agosto de 2025,</w:t>
      </w:r>
      <w:r w:rsidRPr="00CF7C16">
        <w:rPr>
          <w:rFonts w:ascii="Verdana" w:hAnsi="Verdana" w:cs="Arial"/>
          <w:shd w:val="clear" w:color="auto" w:fill="FFFFFF"/>
          <w:lang w:val="es-ES"/>
        </w:rPr>
        <w:t xml:space="preserve"> entre otros.</w:t>
      </w:r>
      <w:r>
        <w:rPr>
          <w:rStyle w:val="normaltextrun"/>
          <w:rFonts w:ascii="Verdana" w:hAnsi="Verdana" w:cs="Arial"/>
          <w:shd w:val="clear" w:color="auto" w:fill="FFFFFF"/>
          <w:lang w:val="es-ES"/>
        </w:rPr>
        <w:t xml:space="preserve">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7421EB59" w14:textId="77777777" w:rsidR="00BE6A2A" w:rsidRDefault="00BE6A2A" w:rsidP="00BE6A2A">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44EB264" w14:textId="77777777" w:rsidR="00BE6A2A" w:rsidRDefault="00BE6A2A" w:rsidP="00BE6A2A">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6A1E76E0" w14:textId="77777777" w:rsidR="00BE6A2A" w:rsidRDefault="00BE6A2A" w:rsidP="00BE6A2A">
      <w:pPr>
        <w:spacing w:after="0" w:line="276" w:lineRule="auto"/>
        <w:jc w:val="both"/>
        <w:rPr>
          <w:rFonts w:ascii="Verdana" w:hAnsi="Verdana"/>
        </w:rPr>
      </w:pPr>
    </w:p>
    <w:p w14:paraId="2DC35355" w14:textId="77777777" w:rsidR="00BE6A2A" w:rsidRDefault="00BE6A2A" w:rsidP="00BE6A2A">
      <w:pPr>
        <w:spacing w:after="0" w:line="276" w:lineRule="auto"/>
        <w:jc w:val="both"/>
        <w:rPr>
          <w:rFonts w:ascii="Verdana" w:hAnsi="Verdana"/>
        </w:rPr>
      </w:pPr>
      <w:r>
        <w:rPr>
          <w:rFonts w:ascii="Verdana" w:hAnsi="Verdana"/>
        </w:rPr>
        <w:t xml:space="preserve">Twitter: </w:t>
      </w:r>
      <w:r>
        <w:rPr>
          <w:rStyle w:val="Hipervnculo"/>
          <w:rFonts w:ascii="Verdana" w:hAnsi="Verdana"/>
          <w:color w:val="156082" w:themeColor="accent1"/>
        </w:rPr>
        <w:t>@colombiacompra</w:t>
      </w:r>
      <w:r>
        <w:rPr>
          <w:rFonts w:ascii="Verdana" w:hAnsi="Verdana"/>
          <w:color w:val="156082" w:themeColor="accent1"/>
        </w:rPr>
        <w:t xml:space="preserve"> </w:t>
      </w:r>
    </w:p>
    <w:p w14:paraId="3960A332" w14:textId="77777777" w:rsidR="00BE6A2A" w:rsidRDefault="00BE6A2A" w:rsidP="00BE6A2A">
      <w:pPr>
        <w:spacing w:after="0" w:line="276" w:lineRule="auto"/>
        <w:jc w:val="both"/>
        <w:rPr>
          <w:rFonts w:ascii="Verdana" w:hAnsi="Verdana"/>
        </w:rPr>
      </w:pPr>
      <w:r>
        <w:rPr>
          <w:rFonts w:ascii="Verdana" w:hAnsi="Verdana"/>
        </w:rPr>
        <w:t xml:space="preserve">Facebook: </w:t>
      </w:r>
      <w:r>
        <w:rPr>
          <w:rStyle w:val="Hipervnculo"/>
          <w:rFonts w:ascii="Verdana" w:hAnsi="Verdana"/>
          <w:color w:val="156082" w:themeColor="accent1"/>
        </w:rPr>
        <w:t>ColombiaCompraEficiente</w:t>
      </w:r>
    </w:p>
    <w:p w14:paraId="4B617B4C" w14:textId="77777777" w:rsidR="00BE6A2A" w:rsidRDefault="00BE6A2A" w:rsidP="00BE6A2A">
      <w:pPr>
        <w:spacing w:after="0" w:line="276" w:lineRule="auto"/>
        <w:jc w:val="both"/>
        <w:rPr>
          <w:rFonts w:ascii="Verdana" w:hAnsi="Verdana"/>
        </w:rPr>
      </w:pPr>
      <w:r>
        <w:rPr>
          <w:rFonts w:ascii="Verdana" w:hAnsi="Verdana"/>
        </w:rPr>
        <w:t xml:space="preserve">LinkedIn: </w:t>
      </w:r>
      <w:r>
        <w:rPr>
          <w:rStyle w:val="Hipervnculo"/>
          <w:rFonts w:ascii="Verdana" w:hAnsi="Verdana"/>
          <w:color w:val="156082" w:themeColor="accent1"/>
        </w:rPr>
        <w:t>Agencia Nacional de Contratación Pública - Colombia Compra Eficiente</w:t>
      </w:r>
      <w:r>
        <w:rPr>
          <w:rFonts w:ascii="Verdana" w:hAnsi="Verdana"/>
          <w:color w:val="156082" w:themeColor="accent1"/>
        </w:rPr>
        <w:t xml:space="preserve"> </w:t>
      </w:r>
      <w:r>
        <w:rPr>
          <w:rFonts w:ascii="Verdana" w:hAnsi="Verdana"/>
        </w:rPr>
        <w:t xml:space="preserve">Instagram: </w:t>
      </w:r>
      <w:r>
        <w:rPr>
          <w:rStyle w:val="Hipervnculo"/>
          <w:rFonts w:ascii="Verdana" w:hAnsi="Verdana"/>
          <w:color w:val="156082" w:themeColor="accent1"/>
        </w:rPr>
        <w:t>@colombiacompraeficiente_cce</w:t>
      </w:r>
    </w:p>
    <w:p w14:paraId="75C3ED0B" w14:textId="77777777" w:rsidR="00BE6A2A" w:rsidRDefault="00BE6A2A" w:rsidP="00BE6A2A">
      <w:pPr>
        <w:widowControl w:val="0"/>
        <w:autoSpaceDE w:val="0"/>
        <w:autoSpaceDN w:val="0"/>
        <w:spacing w:after="0" w:line="276" w:lineRule="auto"/>
        <w:jc w:val="both"/>
        <w:rPr>
          <w:rFonts w:ascii="Verdana" w:hAnsi="Verdana" w:cs="Arial"/>
        </w:rPr>
      </w:pPr>
    </w:p>
    <w:p w14:paraId="7869C869" w14:textId="77777777" w:rsidR="00BE6A2A" w:rsidRDefault="00BE6A2A" w:rsidP="00BE6A2A">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0D3A6972" w14:textId="77777777" w:rsidR="00BE6A2A" w:rsidRDefault="00BE6A2A" w:rsidP="00BE6A2A">
      <w:pPr>
        <w:widowControl w:val="0"/>
        <w:autoSpaceDE w:val="0"/>
        <w:autoSpaceDN w:val="0"/>
        <w:spacing w:after="0" w:line="276" w:lineRule="auto"/>
        <w:jc w:val="both"/>
        <w:rPr>
          <w:rFonts w:ascii="Verdana" w:hAnsi="Verdana" w:cs="Arial"/>
        </w:rPr>
      </w:pPr>
    </w:p>
    <w:p w14:paraId="14EBF34A" w14:textId="77777777" w:rsidR="00BE6A2A" w:rsidRPr="00593A5F" w:rsidRDefault="00BE6A2A" w:rsidP="00BE6A2A">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AE10C30" w14:textId="7A3FA9A1" w:rsidR="00BE6A2A" w:rsidRDefault="00CB1E0E" w:rsidP="00BE6A2A">
      <w:pPr>
        <w:spacing w:after="0" w:line="276" w:lineRule="auto"/>
        <w:jc w:val="center"/>
        <w:rPr>
          <w:rFonts w:ascii="Verdana" w:hAnsi="Verdana"/>
          <w:lang w:val="es-ES_tradnl"/>
        </w:rPr>
      </w:pPr>
      <w:r>
        <w:rPr>
          <w:rFonts w:ascii="Verdana" w:hAnsi="Verdana"/>
          <w:noProof/>
          <w:lang w:val="es-ES_tradnl"/>
          <w14:ligatures w14:val="standardContextual"/>
        </w:rPr>
        <w:drawing>
          <wp:inline distT="0" distB="0" distL="0" distR="0" wp14:anchorId="775B6F22" wp14:editId="242186AE">
            <wp:extent cx="3639058" cy="1343212"/>
            <wp:effectExtent l="0" t="0" r="0" b="0"/>
            <wp:docPr id="4992154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215440"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E6A2A" w:rsidRPr="00D53651" w14:paraId="70357258" w14:textId="77777777">
        <w:trPr>
          <w:trHeight w:val="315"/>
        </w:trPr>
        <w:tc>
          <w:tcPr>
            <w:tcW w:w="893" w:type="dxa"/>
            <w:vAlign w:val="center"/>
            <w:hideMark/>
          </w:tcPr>
          <w:p w14:paraId="669D7104" w14:textId="77777777" w:rsidR="00BE6A2A" w:rsidRPr="00D53651" w:rsidRDefault="00BE6A2A">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41058FA7" w14:textId="77777777" w:rsidR="00BE6A2A" w:rsidRPr="00D53651" w:rsidRDefault="00BE6A2A">
            <w:pPr>
              <w:spacing w:line="276" w:lineRule="auto"/>
              <w:jc w:val="both"/>
              <w:rPr>
                <w:rFonts w:ascii="Verdana" w:hAnsi="Verdana"/>
                <w:sz w:val="16"/>
                <w:szCs w:val="16"/>
              </w:rPr>
            </w:pPr>
            <w:r>
              <w:rPr>
                <w:rFonts w:ascii="Verdana" w:hAnsi="Verdana"/>
                <w:sz w:val="16"/>
                <w:szCs w:val="16"/>
              </w:rPr>
              <w:t>Gloria Elizabeth Arango Builes</w:t>
            </w:r>
          </w:p>
          <w:p w14:paraId="0D64D469" w14:textId="77777777" w:rsidR="00BE6A2A" w:rsidRPr="00D53651" w:rsidRDefault="00BE6A2A">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BE6A2A" w:rsidRPr="00D53651" w14:paraId="6674C91F" w14:textId="77777777">
        <w:trPr>
          <w:trHeight w:val="330"/>
        </w:trPr>
        <w:tc>
          <w:tcPr>
            <w:tcW w:w="893" w:type="dxa"/>
            <w:vAlign w:val="center"/>
            <w:hideMark/>
          </w:tcPr>
          <w:p w14:paraId="4D708EA2" w14:textId="77777777" w:rsidR="00BE6A2A" w:rsidRPr="00D53651" w:rsidRDefault="00BE6A2A">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721CAFA5" w14:textId="77777777" w:rsidR="00BE6A2A" w:rsidRPr="00BF7DC1" w:rsidRDefault="00BE6A2A">
            <w:pPr>
              <w:pStyle w:val="paragraph"/>
              <w:spacing w:before="0" w:beforeAutospacing="0" w:after="0" w:afterAutospacing="0"/>
              <w:contextualSpacing/>
              <w:textAlignment w:val="baseline"/>
              <w:rPr>
                <w:rFonts w:ascii="Verdana" w:hAnsi="Verdana" w:cs="Segoe UI"/>
                <w:sz w:val="16"/>
                <w:szCs w:val="16"/>
              </w:rPr>
            </w:pPr>
            <w:r>
              <w:rPr>
                <w:rFonts w:ascii="Verdana" w:hAnsi="Verdana" w:cs="Segoe UI"/>
                <w:sz w:val="16"/>
                <w:szCs w:val="16"/>
              </w:rPr>
              <w:t>Adriana Katerine López Rodríguez</w:t>
            </w:r>
          </w:p>
          <w:p w14:paraId="518B4221" w14:textId="77777777" w:rsidR="00BE6A2A" w:rsidRPr="00D53651" w:rsidRDefault="00BE6A2A">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BE6A2A" w:rsidRPr="00D53651" w14:paraId="69672102" w14:textId="77777777">
        <w:trPr>
          <w:trHeight w:val="300"/>
        </w:trPr>
        <w:tc>
          <w:tcPr>
            <w:tcW w:w="893" w:type="dxa"/>
            <w:vAlign w:val="center"/>
            <w:hideMark/>
          </w:tcPr>
          <w:p w14:paraId="2954A200" w14:textId="77777777" w:rsidR="00BE6A2A" w:rsidRPr="00D53651" w:rsidRDefault="00BE6A2A">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2ED79784" w14:textId="77777777" w:rsidR="00BE6A2A" w:rsidRPr="00D53651" w:rsidRDefault="00BE6A2A">
            <w:pPr>
              <w:spacing w:line="276" w:lineRule="auto"/>
              <w:jc w:val="both"/>
              <w:rPr>
                <w:rFonts w:ascii="Verdana" w:hAnsi="Verdana"/>
                <w:sz w:val="16"/>
                <w:szCs w:val="16"/>
                <w:lang w:val="pt-BR"/>
              </w:rPr>
            </w:pPr>
            <w:r w:rsidRPr="00D53651">
              <w:rPr>
                <w:rFonts w:ascii="Verdana" w:hAnsi="Verdana"/>
                <w:sz w:val="16"/>
                <w:szCs w:val="16"/>
                <w:lang w:val="pt-BR"/>
              </w:rPr>
              <w:t>Carolina Quintero Gacharná</w:t>
            </w:r>
          </w:p>
          <w:p w14:paraId="1FDC81AA" w14:textId="77777777" w:rsidR="00BE6A2A" w:rsidRPr="00D53651" w:rsidRDefault="00BE6A2A">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346A4A28" w14:textId="77777777" w:rsidR="00BE6A2A" w:rsidRDefault="00BE6A2A" w:rsidP="00BE6A2A">
      <w:pPr>
        <w:rPr>
          <w:noProof/>
        </w:rPr>
      </w:pPr>
    </w:p>
    <w:p w14:paraId="6CABA0BE" w14:textId="115F5539" w:rsidR="00BE6A2A" w:rsidRDefault="00BE6A2A" w:rsidP="00BE6A2A"/>
    <w:p w14:paraId="0F428C6B" w14:textId="77777777" w:rsidR="00BE6A2A" w:rsidRPr="000931E9" w:rsidRDefault="00BE6A2A" w:rsidP="00BE6A2A"/>
    <w:p w14:paraId="07118DDC" w14:textId="77777777" w:rsidR="00BE6A2A" w:rsidRPr="0044528D" w:rsidRDefault="00BE6A2A" w:rsidP="00BE6A2A">
      <w:pPr>
        <w:spacing w:after="0"/>
        <w:rPr>
          <w:rFonts w:ascii="Verdana" w:hAnsi="Verdana"/>
        </w:rPr>
      </w:pPr>
    </w:p>
    <w:sectPr w:rsidR="00BE6A2A" w:rsidRPr="0044528D" w:rsidSect="00BE6A2A">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C14D96" w14:textId="77777777" w:rsidR="0088008B" w:rsidRDefault="0088008B" w:rsidP="00BE6A2A">
      <w:pPr>
        <w:spacing w:after="0" w:line="240" w:lineRule="auto"/>
      </w:pPr>
      <w:r>
        <w:separator/>
      </w:r>
    </w:p>
  </w:endnote>
  <w:endnote w:type="continuationSeparator" w:id="0">
    <w:p w14:paraId="5C3359F8" w14:textId="77777777" w:rsidR="0088008B" w:rsidRDefault="0088008B" w:rsidP="00BE6A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Arial MT">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CDHEE+Verdana">
    <w:altName w:val="Verdana"/>
    <w:charset w:val="00"/>
    <w:family w:val="swiss"/>
    <w:pitch w:val="default"/>
    <w:sig w:usb0="0000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D7B3C2" w14:textId="77777777" w:rsidR="001B45D1" w:rsidRDefault="001B45D1">
    <w:pPr>
      <w:pStyle w:val="Piedepgina"/>
    </w:pPr>
  </w:p>
  <w:p w14:paraId="2417E3BC" w14:textId="77777777" w:rsidR="001B45D1" w:rsidRPr="00174B77" w:rsidRDefault="00000000">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38856FF" w14:textId="77777777" w:rsidR="001B45D1" w:rsidRDefault="00000000">
    <w:pPr>
      <w:spacing w:after="0"/>
      <w:jc w:val="both"/>
      <w:rPr>
        <w:rFonts w:ascii="Verdana" w:hAnsi="Verdana"/>
        <w:sz w:val="18"/>
        <w:szCs w:val="18"/>
      </w:rPr>
    </w:pPr>
    <w:r w:rsidRPr="00E41027">
      <w:rPr>
        <w:rFonts w:ascii="Verdana" w:hAnsi="Verdana"/>
        <w:sz w:val="18"/>
        <w:szCs w:val="18"/>
      </w:rPr>
      <w:t>Dirección: Carrera 7 # 26 – 20 - Bogotá, Colombia</w:t>
    </w:r>
  </w:p>
  <w:p w14:paraId="607E5B36" w14:textId="77777777" w:rsidR="001B45D1" w:rsidRPr="00E41027" w:rsidRDefault="00000000">
    <w:pPr>
      <w:spacing w:after="0"/>
      <w:jc w:val="both"/>
      <w:rPr>
        <w:rFonts w:ascii="Verdana" w:hAnsi="Verdana"/>
        <w:sz w:val="18"/>
        <w:szCs w:val="18"/>
      </w:rPr>
    </w:pPr>
    <w:r w:rsidRPr="00E41027">
      <w:rPr>
        <w:rFonts w:ascii="Verdana" w:hAnsi="Verdana"/>
        <w:sz w:val="18"/>
        <w:szCs w:val="18"/>
      </w:rPr>
      <w:t>Mesa de servicio: (+57) 601 7456788</w:t>
    </w:r>
  </w:p>
  <w:p w14:paraId="6A7E1A01" w14:textId="77777777" w:rsidR="001B45D1" w:rsidRDefault="00000000">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AC08FF" w14:textId="77777777" w:rsidR="0088008B" w:rsidRDefault="0088008B" w:rsidP="00BE6A2A">
      <w:pPr>
        <w:spacing w:after="0" w:line="240" w:lineRule="auto"/>
      </w:pPr>
      <w:r>
        <w:separator/>
      </w:r>
    </w:p>
  </w:footnote>
  <w:footnote w:type="continuationSeparator" w:id="0">
    <w:p w14:paraId="32268A1C" w14:textId="77777777" w:rsidR="0088008B" w:rsidRDefault="0088008B" w:rsidP="00BE6A2A">
      <w:pPr>
        <w:spacing w:after="0" w:line="240" w:lineRule="auto"/>
      </w:pPr>
      <w:r>
        <w:continuationSeparator/>
      </w:r>
    </w:p>
  </w:footnote>
  <w:footnote w:id="1">
    <w:p w14:paraId="604FD71B" w14:textId="77777777" w:rsidR="00BE6A2A" w:rsidRPr="00C05384" w:rsidRDefault="00BE6A2A" w:rsidP="00BE6A2A">
      <w:pPr>
        <w:pStyle w:val="Textonotapie"/>
        <w:ind w:firstLine="709"/>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Gaceta del Congreso de la República No. 71 del 2005.</w:t>
      </w:r>
    </w:p>
    <w:p w14:paraId="71FC0537" w14:textId="77777777" w:rsidR="00BE6A2A" w:rsidRPr="00C05384" w:rsidRDefault="00BE6A2A" w:rsidP="00BE6A2A">
      <w:pPr>
        <w:pStyle w:val="Textonotapie"/>
        <w:ind w:firstLine="709"/>
        <w:jc w:val="both"/>
        <w:rPr>
          <w:rFonts w:ascii="Verdana" w:hAnsi="Verdana" w:cs="Arial"/>
          <w:sz w:val="16"/>
          <w:szCs w:val="16"/>
        </w:rPr>
      </w:pPr>
    </w:p>
  </w:footnote>
  <w:footnote w:id="2">
    <w:p w14:paraId="6C610A16" w14:textId="77777777" w:rsidR="00BE6A2A" w:rsidRDefault="00BE6A2A" w:rsidP="00BE6A2A">
      <w:pPr>
        <w:pStyle w:val="Textonotapie"/>
        <w:ind w:firstLine="709"/>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 C- 1153 de 2005, M.P. Marco Gerardo Monroy Cabra.</w:t>
      </w:r>
    </w:p>
    <w:p w14:paraId="61CCD89D" w14:textId="77777777" w:rsidR="00BE6A2A" w:rsidRPr="00C05384" w:rsidRDefault="00BE6A2A" w:rsidP="00BE6A2A">
      <w:pPr>
        <w:pStyle w:val="Textonotapie"/>
        <w:ind w:firstLine="709"/>
        <w:jc w:val="both"/>
        <w:rPr>
          <w:rFonts w:ascii="Verdana" w:hAnsi="Verdana" w:cs="Arial"/>
          <w:sz w:val="16"/>
          <w:szCs w:val="16"/>
          <w:lang w:val="pt-BR"/>
        </w:rPr>
      </w:pPr>
    </w:p>
  </w:footnote>
  <w:footnote w:id="3">
    <w:p w14:paraId="0A9EEB29" w14:textId="77777777" w:rsidR="00BE6A2A" w:rsidRDefault="00BE6A2A" w:rsidP="00BE6A2A">
      <w:pPr>
        <w:pStyle w:val="Textonotapie"/>
        <w:ind w:firstLine="709"/>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0DB03B7F" w14:textId="77777777" w:rsidR="00BE6A2A" w:rsidRPr="00C05384" w:rsidRDefault="00BE6A2A" w:rsidP="00BE6A2A">
      <w:pPr>
        <w:pStyle w:val="Textonotapie"/>
        <w:ind w:firstLine="709"/>
        <w:jc w:val="both"/>
        <w:rPr>
          <w:rFonts w:ascii="Verdana" w:hAnsi="Verdana" w:cs="Arial"/>
          <w:sz w:val="16"/>
          <w:szCs w:val="16"/>
          <w:lang w:val="pt-BR"/>
        </w:rPr>
      </w:pPr>
    </w:p>
  </w:footnote>
  <w:footnote w:id="4">
    <w:p w14:paraId="3CE72212" w14:textId="77777777" w:rsidR="00BE6A2A" w:rsidRDefault="00BE6A2A" w:rsidP="00BE6A2A">
      <w:pPr>
        <w:pStyle w:val="Textonotapie"/>
        <w:ind w:firstLine="709"/>
        <w:jc w:val="both"/>
        <w:rPr>
          <w:rFonts w:ascii="Verdana" w:hAnsi="Verdana" w:cs="Arial"/>
          <w:sz w:val="16"/>
          <w:szCs w:val="16"/>
          <w:lang w:val="es-CO"/>
        </w:rPr>
      </w:pPr>
      <w:r w:rsidRPr="00C05384">
        <w:rPr>
          <w:rStyle w:val="Refdenotaalpie"/>
          <w:rFonts w:ascii="Verdana" w:hAnsi="Verdana" w:cs="Arial"/>
          <w:sz w:val="16"/>
          <w:szCs w:val="16"/>
        </w:rPr>
        <w:footnoteRef/>
      </w:r>
      <w:r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0A12E974" w14:textId="77777777" w:rsidR="00BE6A2A" w:rsidRPr="00C05384" w:rsidRDefault="00BE6A2A" w:rsidP="00BE6A2A">
      <w:pPr>
        <w:pStyle w:val="Textonotapie"/>
        <w:ind w:firstLine="709"/>
        <w:jc w:val="both"/>
        <w:rPr>
          <w:rFonts w:ascii="Verdana" w:hAnsi="Verdana" w:cs="Arial"/>
          <w:sz w:val="16"/>
          <w:szCs w:val="16"/>
          <w:lang w:val="es-CO"/>
        </w:rPr>
      </w:pPr>
    </w:p>
  </w:footnote>
  <w:footnote w:id="5">
    <w:p w14:paraId="1292C39C" w14:textId="77777777" w:rsidR="00BE6A2A" w:rsidRDefault="00BE6A2A" w:rsidP="00BE6A2A">
      <w:pPr>
        <w:pStyle w:val="Textonotapie"/>
        <w:ind w:firstLine="709"/>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de fecha 24 de julio de 2013, Rad. 2166, C. P. Álvaro Namén Vargas.  </w:t>
      </w:r>
    </w:p>
    <w:p w14:paraId="2367018E" w14:textId="77777777" w:rsidR="00BE6A2A" w:rsidRPr="00C05384" w:rsidRDefault="00BE6A2A" w:rsidP="00BE6A2A">
      <w:pPr>
        <w:pStyle w:val="Textonotapie"/>
        <w:ind w:firstLine="709"/>
        <w:jc w:val="both"/>
        <w:rPr>
          <w:rFonts w:ascii="Verdana" w:hAnsi="Verdana" w:cs="Arial"/>
          <w:sz w:val="16"/>
          <w:szCs w:val="16"/>
        </w:rPr>
      </w:pPr>
    </w:p>
  </w:footnote>
  <w:footnote w:id="6">
    <w:p w14:paraId="41B35BCF" w14:textId="77777777" w:rsidR="00BE6A2A" w:rsidRDefault="00BE6A2A" w:rsidP="00BE6A2A">
      <w:pPr>
        <w:pStyle w:val="Textonotapie"/>
        <w:ind w:firstLine="709"/>
        <w:jc w:val="both"/>
        <w:rPr>
          <w:rFonts w:ascii="Verdana" w:hAnsi="Verdana"/>
          <w:sz w:val="16"/>
          <w:szCs w:val="16"/>
        </w:rPr>
      </w:pPr>
      <w:r w:rsidRPr="00C05384">
        <w:rPr>
          <w:rStyle w:val="Refdenotaalpie"/>
          <w:rFonts w:ascii="Verdana" w:hAnsi="Verdana"/>
          <w:sz w:val="16"/>
          <w:szCs w:val="16"/>
        </w:rPr>
        <w:footnoteRef/>
      </w:r>
      <w:r w:rsidRPr="00C05384">
        <w:rPr>
          <w:rFonts w:ascii="Verdana" w:hAnsi="Verdana"/>
          <w:sz w:val="16"/>
          <w:szCs w:val="16"/>
        </w:rPr>
        <w:t xml:space="preserve"> Consejo de Estado. Sala de Consulta y Servicio Civil. Concepto del 08 de mayo de 2018. Exp. 2.382. C.P. Álvaro Namén Vargas.</w:t>
      </w:r>
    </w:p>
    <w:p w14:paraId="18D5E905" w14:textId="77777777" w:rsidR="00BE6A2A" w:rsidRPr="00062DE6" w:rsidRDefault="00BE6A2A" w:rsidP="00BE6A2A">
      <w:pPr>
        <w:pStyle w:val="Textonotapie"/>
        <w:ind w:firstLine="709"/>
        <w:jc w:val="both"/>
        <w:rPr>
          <w:rFonts w:ascii="Verdana" w:hAnsi="Verdana"/>
          <w:sz w:val="16"/>
          <w:szCs w:val="16"/>
          <w:lang w:val="es-ES"/>
        </w:rPr>
      </w:pPr>
    </w:p>
  </w:footnote>
  <w:footnote w:id="7">
    <w:p w14:paraId="61592FF8" w14:textId="77777777" w:rsidR="00BE6A2A" w:rsidRDefault="00BE6A2A" w:rsidP="00BE6A2A">
      <w:pPr>
        <w:spacing w:after="0" w:line="240" w:lineRule="auto"/>
        <w:ind w:left="100" w:right="244" w:firstLine="709"/>
        <w:jc w:val="both"/>
        <w:rPr>
          <w:rFonts w:ascii="Verdana" w:hAnsi="Verdana" w:cs="Arial"/>
          <w:sz w:val="16"/>
          <w:szCs w:val="16"/>
        </w:rPr>
      </w:pPr>
      <w:r w:rsidRPr="009B67C2">
        <w:rPr>
          <w:rStyle w:val="Refdenotaalpie"/>
          <w:rFonts w:ascii="Verdana" w:hAnsi="Verdana" w:cs="Arial"/>
          <w:sz w:val="16"/>
          <w:szCs w:val="16"/>
        </w:rPr>
        <w:footnoteRef/>
      </w:r>
      <w:r w:rsidRPr="009B67C2">
        <w:rPr>
          <w:rFonts w:ascii="Verdana" w:hAnsi="Verdana" w:cs="Arial"/>
          <w:sz w:val="16"/>
          <w:szCs w:val="16"/>
        </w:rPr>
        <w:t xml:space="preserve"> Consejo de Estado. Sala de Consulta y Servicio Civil. Concepto del 17 de febrero de 2015. C.P. William Zambrano Cetina. Radicación No. 11001-03-06-000-2015-00164-00(2269).</w:t>
      </w:r>
    </w:p>
    <w:p w14:paraId="35921E0D" w14:textId="77777777" w:rsidR="00BE6A2A" w:rsidRPr="00062DE6" w:rsidRDefault="00BE6A2A" w:rsidP="00BE6A2A">
      <w:pPr>
        <w:spacing w:after="0" w:line="240" w:lineRule="auto"/>
        <w:ind w:left="100" w:right="244" w:firstLine="709"/>
        <w:jc w:val="both"/>
        <w:rPr>
          <w:rFonts w:ascii="Verdana" w:hAnsi="Verdana" w:cs="Arial"/>
          <w:sz w:val="16"/>
          <w:szCs w:val="16"/>
          <w:lang w:val="es-ES"/>
        </w:rPr>
      </w:pPr>
    </w:p>
  </w:footnote>
  <w:footnote w:id="8">
    <w:p w14:paraId="4197B436" w14:textId="77777777" w:rsidR="00BE6A2A" w:rsidRDefault="00BE6A2A" w:rsidP="00BE6A2A">
      <w:pPr>
        <w:pStyle w:val="Textonotapie"/>
        <w:ind w:firstLine="709"/>
        <w:jc w:val="both"/>
        <w:rPr>
          <w:rFonts w:ascii="Verdana" w:hAnsi="Verdana"/>
          <w:sz w:val="16"/>
          <w:szCs w:val="16"/>
        </w:rPr>
      </w:pPr>
      <w:r w:rsidRPr="009B67C2">
        <w:rPr>
          <w:rStyle w:val="Refdenotaalpie"/>
          <w:rFonts w:ascii="Verdana" w:hAnsi="Verdana"/>
          <w:sz w:val="16"/>
          <w:szCs w:val="16"/>
        </w:rPr>
        <w:footnoteRef/>
      </w:r>
      <w:r w:rsidRPr="009B67C2">
        <w:rPr>
          <w:rFonts w:ascii="Verdana" w:hAnsi="Verdana"/>
          <w:sz w:val="16"/>
          <w:szCs w:val="16"/>
        </w:rPr>
        <w:t xml:space="preserve"> </w:t>
      </w:r>
      <w:hyperlink r:id="rId1" w:history="1">
        <w:r w:rsidRPr="009B67C2">
          <w:rPr>
            <w:rStyle w:val="Hipervnculo"/>
            <w:rFonts w:ascii="Verdana" w:hAnsi="Verdana"/>
            <w:sz w:val="16"/>
            <w:szCs w:val="16"/>
          </w:rPr>
          <w:t>https://www.colombiacompra.gov.co/wp-content/uploads/2024/08/circular_externa_unica_version_3_vf49-1.pdf</w:t>
        </w:r>
      </w:hyperlink>
      <w:r w:rsidRPr="009B67C2">
        <w:rPr>
          <w:rFonts w:ascii="Verdana" w:hAnsi="Verdana"/>
          <w:sz w:val="16"/>
          <w:szCs w:val="16"/>
        </w:rPr>
        <w:t xml:space="preserve"> </w:t>
      </w:r>
    </w:p>
    <w:p w14:paraId="73E94D23" w14:textId="77777777" w:rsidR="00BE6A2A" w:rsidRPr="00062DE6" w:rsidRDefault="00BE6A2A" w:rsidP="00BE6A2A">
      <w:pPr>
        <w:pStyle w:val="Textonotapie"/>
        <w:ind w:firstLine="709"/>
        <w:jc w:val="both"/>
        <w:rPr>
          <w:rFonts w:ascii="Verdana" w:hAnsi="Verdana"/>
          <w:sz w:val="16"/>
          <w:szCs w:val="16"/>
          <w:lang w:val="es-ES"/>
        </w:rPr>
      </w:pPr>
    </w:p>
  </w:footnote>
  <w:footnote w:id="9">
    <w:p w14:paraId="58412988" w14:textId="77777777" w:rsidR="00BE6A2A" w:rsidRPr="00790F02" w:rsidRDefault="00BE6A2A" w:rsidP="00BE6A2A">
      <w:pPr>
        <w:pStyle w:val="NormalWeb"/>
        <w:spacing w:before="0" w:beforeAutospacing="0" w:after="0" w:afterAutospacing="0"/>
        <w:ind w:firstLine="708"/>
        <w:jc w:val="both"/>
        <w:rPr>
          <w:rFonts w:ascii="Verdana" w:hAnsi="Verdana" w:cs="Open Sans"/>
          <w:sz w:val="16"/>
          <w:szCs w:val="16"/>
        </w:rPr>
      </w:pPr>
      <w:r w:rsidRPr="00790F02">
        <w:rPr>
          <w:rStyle w:val="Refdenotaalpie"/>
          <w:rFonts w:ascii="Verdana" w:eastAsiaTheme="majorEastAsia" w:hAnsi="Verdana"/>
          <w:sz w:val="16"/>
          <w:szCs w:val="16"/>
        </w:rPr>
        <w:footnoteRef/>
      </w:r>
      <w:r w:rsidRPr="00790F02">
        <w:rPr>
          <w:rFonts w:ascii="Verdana" w:hAnsi="Verdana"/>
          <w:sz w:val="16"/>
          <w:szCs w:val="16"/>
        </w:rPr>
        <w:t xml:space="preserve"> </w:t>
      </w:r>
      <w:bookmarkStart w:id="3" w:name="57"/>
      <w:r w:rsidRPr="00790F02">
        <w:rPr>
          <w:rFonts w:ascii="Verdana" w:hAnsi="Verdana"/>
          <w:sz w:val="16"/>
          <w:szCs w:val="16"/>
        </w:rPr>
        <w:t xml:space="preserve">Artículo 57. </w:t>
      </w:r>
      <w:r w:rsidRPr="00790F02">
        <w:rPr>
          <w:rFonts w:ascii="Verdana" w:hAnsi="Verdana" w:cs="Open Sans"/>
          <w:b/>
          <w:bCs/>
          <w:sz w:val="16"/>
          <w:szCs w:val="16"/>
        </w:rPr>
        <w:t> </w:t>
      </w:r>
      <w:bookmarkEnd w:id="3"/>
      <w:r w:rsidRPr="00790F02">
        <w:rPr>
          <w:rFonts w:ascii="Verdana" w:hAnsi="Verdana" w:cs="Open Sans"/>
          <w:sz w:val="16"/>
          <w:szCs w:val="16"/>
        </w:rPr>
        <w:t>Las universidades estatales u oficiales deben organizarse como entes universitarios autónomos, con régimen especial y vinculados al Ministerio de Educación Nacional en lo que se refiere a las políticas y la planeación del sector educativo.</w:t>
      </w:r>
    </w:p>
    <w:p w14:paraId="56E31CF3" w14:textId="77777777" w:rsidR="00BE6A2A" w:rsidRPr="00790F02" w:rsidRDefault="00BE6A2A" w:rsidP="00BE6A2A">
      <w:pPr>
        <w:pStyle w:val="NormalWeb"/>
        <w:spacing w:before="0" w:beforeAutospacing="0" w:after="0" w:afterAutospacing="0"/>
        <w:jc w:val="both"/>
        <w:rPr>
          <w:rFonts w:ascii="Verdana" w:hAnsi="Verdana" w:cs="Open Sans"/>
          <w:sz w:val="16"/>
          <w:szCs w:val="16"/>
        </w:rPr>
      </w:pPr>
      <w:r w:rsidRPr="00790F02">
        <w:rPr>
          <w:rFonts w:ascii="Verdana" w:hAnsi="Verdana" w:cs="Open Sans"/>
          <w:sz w:val="16"/>
          <w:szCs w:val="16"/>
        </w:rPr>
        <w:t>Los entes universitarios autónomos tendrán las siguientes características: Personería jurídica, autonomía académica, administrativa y financiera, patrimonio independiente y podrán elaborar y manejar su presupuesto de acuerdo con las funciones que le corresponden.</w:t>
      </w:r>
    </w:p>
    <w:p w14:paraId="61DA683F" w14:textId="77777777" w:rsidR="00BE6A2A" w:rsidRPr="00790F02" w:rsidRDefault="00BE6A2A" w:rsidP="00BE6A2A">
      <w:pPr>
        <w:pStyle w:val="NormalWeb"/>
        <w:spacing w:before="0" w:beforeAutospacing="0" w:after="0" w:afterAutospacing="0"/>
        <w:jc w:val="both"/>
        <w:rPr>
          <w:rFonts w:ascii="Verdana" w:hAnsi="Verdana" w:cs="Open Sans"/>
          <w:sz w:val="16"/>
          <w:szCs w:val="16"/>
        </w:rPr>
      </w:pPr>
      <w:r w:rsidRPr="00790F02">
        <w:rPr>
          <w:rFonts w:ascii="Verdana" w:hAnsi="Verdana" w:cs="Open Sans"/>
          <w:sz w:val="16"/>
          <w:szCs w:val="16"/>
        </w:rPr>
        <w:t>&lt;Inciso modificado por el artículo  </w:t>
      </w:r>
      <w:hyperlink r:id="rId2" w:anchor="1" w:history="1">
        <w:r w:rsidRPr="00790F02">
          <w:rPr>
            <w:rStyle w:val="Hipervnculo"/>
            <w:rFonts w:ascii="Verdana" w:hAnsi="Verdana" w:cs="Open Sans"/>
            <w:sz w:val="16"/>
            <w:szCs w:val="16"/>
          </w:rPr>
          <w:t>1</w:t>
        </w:r>
      </w:hyperlink>
      <w:r w:rsidRPr="00790F02">
        <w:rPr>
          <w:rFonts w:ascii="Verdana" w:hAnsi="Verdana" w:cs="Open Sans"/>
          <w:sz w:val="16"/>
          <w:szCs w:val="16"/>
        </w:rPr>
        <w:t xml:space="preserve"> de la ley 647 de 2001. El nuevo texto es el siguiente:&gt; El carácter especial del régimen de las universidades estatales u oficiales, comprenderá la organización y elección de directivas, del personal docente y administrativo, el sistema de las universidades estatales u oficiales, el régimen financiero, el régimen de contratación y control fiscal y su propia seguridad social en salud, de acuerdo con la presente </w:t>
      </w:r>
      <w:proofErr w:type="gramStart"/>
      <w:r w:rsidRPr="00790F02">
        <w:rPr>
          <w:rFonts w:ascii="Verdana" w:hAnsi="Verdana" w:cs="Open Sans"/>
          <w:sz w:val="16"/>
          <w:szCs w:val="16"/>
        </w:rPr>
        <w:t>ley .</w:t>
      </w:r>
      <w:proofErr w:type="gramEnd"/>
      <w:r w:rsidRPr="00790F02">
        <w:rPr>
          <w:rFonts w:ascii="Verdana" w:hAnsi="Verdana" w:cs="Open Sans"/>
          <w:sz w:val="16"/>
          <w:szCs w:val="16"/>
        </w:rPr>
        <w:t xml:space="preserve"> […]</w:t>
      </w:r>
    </w:p>
    <w:p w14:paraId="12DE2E27" w14:textId="77777777" w:rsidR="00BE6A2A" w:rsidRPr="00790F02" w:rsidRDefault="00BE6A2A" w:rsidP="00BE6A2A">
      <w:pPr>
        <w:pStyle w:val="Textonotapie"/>
        <w:rPr>
          <w:rFonts w:ascii="Verdana" w:hAnsi="Verdana"/>
          <w:sz w:val="16"/>
          <w:szCs w:val="16"/>
          <w:lang w:val="es-ES"/>
        </w:rPr>
      </w:pPr>
    </w:p>
  </w:footnote>
  <w:footnote w:id="10">
    <w:p w14:paraId="709D4BE8" w14:textId="77777777" w:rsidR="00BE6A2A" w:rsidRPr="00442540" w:rsidRDefault="00BE6A2A" w:rsidP="00BE6A2A">
      <w:pPr>
        <w:pStyle w:val="Textonotapie"/>
        <w:ind w:firstLine="708"/>
        <w:jc w:val="both"/>
        <w:rPr>
          <w:rFonts w:ascii="Verdana" w:hAnsi="Verdana"/>
          <w:sz w:val="16"/>
          <w:szCs w:val="16"/>
          <w:lang w:val="es-ES"/>
        </w:rPr>
      </w:pPr>
      <w:r w:rsidRPr="00790F02">
        <w:rPr>
          <w:rStyle w:val="Refdenotaalpie"/>
          <w:rFonts w:ascii="Verdana" w:hAnsi="Verdana"/>
          <w:sz w:val="16"/>
          <w:szCs w:val="16"/>
        </w:rPr>
        <w:footnoteRef/>
      </w:r>
      <w:r w:rsidRPr="00790F02">
        <w:rPr>
          <w:rFonts w:ascii="Verdana" w:hAnsi="Verdana"/>
          <w:sz w:val="16"/>
          <w:szCs w:val="16"/>
        </w:rPr>
        <w:t xml:space="preserve"> </w:t>
      </w:r>
      <w:r w:rsidRPr="00790F02">
        <w:rPr>
          <w:rFonts w:ascii="Verdana" w:hAnsi="Verdana"/>
          <w:sz w:val="16"/>
          <w:szCs w:val="16"/>
          <w:lang w:val="es-ES"/>
        </w:rPr>
        <w:t xml:space="preserve">Artículo 93. </w:t>
      </w:r>
      <w:r w:rsidRPr="00442540">
        <w:rPr>
          <w:rFonts w:ascii="Verdana" w:hAnsi="Verdana" w:cs="Open Sans"/>
          <w:sz w:val="16"/>
          <w:szCs w:val="16"/>
        </w:rPr>
        <w:t>Salvo las excepciones consagradas en la presente ley, los contratos que para el cumplimiento de sus funciones celebren las universidades estatales u oficiales, se regirán por las normas del derecho privado y sus efectos estarán sujetos a las normas civiles y comerciales, según la naturaleza de los contratos. […]</w:t>
      </w:r>
    </w:p>
  </w:footnote>
  <w:footnote w:id="11">
    <w:p w14:paraId="5D75F6E5" w14:textId="77777777" w:rsidR="00BE6A2A" w:rsidRDefault="00BE6A2A" w:rsidP="00BE6A2A">
      <w:pPr>
        <w:pStyle w:val="Textonotapie"/>
        <w:jc w:val="both"/>
        <w:rPr>
          <w:rFonts w:ascii="Verdana" w:hAnsi="Verdana"/>
          <w:sz w:val="16"/>
          <w:szCs w:val="16"/>
        </w:rPr>
      </w:pPr>
    </w:p>
    <w:p w14:paraId="118D9386" w14:textId="77777777" w:rsidR="00BE6A2A" w:rsidRDefault="00BE6A2A" w:rsidP="00BE6A2A">
      <w:pPr>
        <w:pStyle w:val="Textonotapie"/>
        <w:ind w:firstLine="708"/>
        <w:jc w:val="both"/>
        <w:rPr>
          <w:rFonts w:ascii="Verdana" w:hAnsi="Verdana"/>
          <w:sz w:val="16"/>
          <w:szCs w:val="16"/>
        </w:rPr>
      </w:pPr>
      <w:r w:rsidRPr="00442540">
        <w:rPr>
          <w:rStyle w:val="Refdenotaalpie"/>
          <w:rFonts w:ascii="Verdana" w:hAnsi="Verdana"/>
          <w:sz w:val="16"/>
          <w:szCs w:val="16"/>
        </w:rPr>
        <w:footnoteRef/>
      </w:r>
      <w:r w:rsidRPr="00442540">
        <w:rPr>
          <w:rFonts w:ascii="Verdana" w:hAnsi="Verdana"/>
          <w:sz w:val="16"/>
          <w:szCs w:val="16"/>
        </w:rPr>
        <w:t xml:space="preserve"> ARTICULO 40. ENTIDADES Y ORGANISMOS ESTATALES SUJETOS A REGIMEN ESPECIAL. </w:t>
      </w:r>
      <w:r w:rsidRPr="00442540">
        <w:rPr>
          <w:rFonts w:ascii="Verdana" w:hAnsi="Verdana"/>
          <w:sz w:val="16"/>
          <w:szCs w:val="16"/>
        </w:rPr>
        <w:t>El Banco de la República, los entes universitarios autónomos, las corporaciones autónomas regionales, la Comisión Nacional de Televisión y los demás organismos y entidades con régimen especial otorgado por la Constitución Política se sujetan a las disposiciones que para ellos establezcan las respectivas leyes.</w:t>
      </w:r>
    </w:p>
    <w:p w14:paraId="7F613778" w14:textId="77777777" w:rsidR="00BE6A2A" w:rsidRPr="00B47B8B" w:rsidRDefault="00BE6A2A" w:rsidP="00BE6A2A">
      <w:pPr>
        <w:pStyle w:val="Textonotapie"/>
        <w:ind w:firstLine="708"/>
        <w:jc w:val="both"/>
        <w:rPr>
          <w:rFonts w:ascii="Verdana" w:hAnsi="Verdana"/>
          <w:sz w:val="16"/>
          <w:szCs w:val="16"/>
          <w:lang w:val="es-ES"/>
        </w:rPr>
      </w:pPr>
    </w:p>
  </w:footnote>
  <w:footnote w:id="12">
    <w:p w14:paraId="4F99F4D9" w14:textId="77777777" w:rsidR="00BE6A2A" w:rsidRDefault="00BE6A2A" w:rsidP="00BE6A2A">
      <w:pPr>
        <w:pStyle w:val="Textonotapie"/>
        <w:ind w:firstLine="708"/>
        <w:rPr>
          <w:rFonts w:ascii="Verdana" w:hAnsi="Verdana"/>
          <w:sz w:val="16"/>
          <w:szCs w:val="16"/>
        </w:rPr>
      </w:pPr>
      <w:r w:rsidRPr="00B47B8B">
        <w:rPr>
          <w:rStyle w:val="Refdenotaalpie"/>
          <w:rFonts w:ascii="Verdana" w:hAnsi="Verdana"/>
          <w:sz w:val="16"/>
          <w:szCs w:val="16"/>
        </w:rPr>
        <w:footnoteRef/>
      </w:r>
      <w:r w:rsidRPr="00B47B8B">
        <w:rPr>
          <w:rFonts w:ascii="Verdana" w:hAnsi="Verdana"/>
          <w:sz w:val="16"/>
          <w:szCs w:val="16"/>
        </w:rPr>
        <w:t xml:space="preserve"> CONSEJO DE ESTADO. Sección Cuarta. Sentencia del 16 de diciembre de 2008. Exp. 16.297. C.P. Martha Teresa Briceño de Valencia</w:t>
      </w:r>
      <w:r>
        <w:rPr>
          <w:rFonts w:ascii="Verdana" w:hAnsi="Verdana"/>
          <w:sz w:val="16"/>
          <w:szCs w:val="16"/>
        </w:rPr>
        <w:t xml:space="preserve">. </w:t>
      </w:r>
    </w:p>
    <w:p w14:paraId="60530538" w14:textId="77777777" w:rsidR="00BE6A2A" w:rsidRPr="00B47B8B" w:rsidRDefault="00BE6A2A" w:rsidP="00BE6A2A">
      <w:pPr>
        <w:pStyle w:val="Textonotapie"/>
        <w:ind w:firstLine="708"/>
        <w:rPr>
          <w:rFonts w:ascii="Verdana" w:hAnsi="Verdana"/>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195B0A" w14:textId="77777777" w:rsidR="001B45D1" w:rsidRDefault="00000000">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1C147B09" wp14:editId="58C0B90C">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7487E4B6" wp14:editId="1C5E14C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7CC641E1" w14:textId="77777777" w:rsidR="001B45D1" w:rsidRDefault="001B45D1">
    <w:pPr>
      <w:pStyle w:val="Encabezado"/>
    </w:pPr>
  </w:p>
  <w:p w14:paraId="5CDA5E3B" w14:textId="77777777" w:rsidR="001B45D1" w:rsidRPr="004A305D" w:rsidRDefault="001B45D1">
    <w:pPr>
      <w:spacing w:after="0" w:line="120" w:lineRule="auto"/>
      <w:rPr>
        <w:rFonts w:ascii="Century Gothic" w:eastAsia="Geo" w:hAnsi="Century Gothic" w:cs="Geo"/>
        <w:sz w:val="16"/>
        <w:szCs w:val="16"/>
        <w:lang w:eastAsia="es-CO"/>
      </w:rPr>
    </w:pPr>
  </w:p>
  <w:p w14:paraId="405DE343" w14:textId="77777777" w:rsidR="001B45D1" w:rsidRDefault="001B45D1">
    <w:pPr>
      <w:spacing w:after="0" w:line="240" w:lineRule="auto"/>
      <w:rPr>
        <w:rFonts w:ascii="Verdana" w:hAnsi="Verdana"/>
        <w:sz w:val="24"/>
        <w:szCs w:val="24"/>
      </w:rPr>
    </w:pPr>
  </w:p>
  <w:p w14:paraId="6CE45568" w14:textId="77777777" w:rsidR="001B45D1" w:rsidRPr="00C925AC" w:rsidRDefault="001B45D1">
    <w:pPr>
      <w:spacing w:after="0" w:line="240" w:lineRule="auto"/>
      <w:rPr>
        <w:rFonts w:ascii="Verdana" w:hAnsi="Verdana"/>
        <w:sz w:val="24"/>
        <w:szCs w:val="24"/>
      </w:rPr>
    </w:pPr>
  </w:p>
  <w:p w14:paraId="0EAD6F58" w14:textId="77777777" w:rsidR="001B45D1" w:rsidRPr="00C925AC" w:rsidRDefault="00000000">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670257115">
    <w:abstractNumId w:val="0"/>
  </w:num>
  <w:num w:numId="2" w16cid:durableId="1197237069">
    <w:abstractNumId w:val="1"/>
  </w:num>
  <w:num w:numId="3" w16cid:durableId="1978995962">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10924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A2A"/>
    <w:rsid w:val="00170618"/>
    <w:rsid w:val="001B45D1"/>
    <w:rsid w:val="001F6D90"/>
    <w:rsid w:val="00220967"/>
    <w:rsid w:val="002A3536"/>
    <w:rsid w:val="002D5C5A"/>
    <w:rsid w:val="005467EF"/>
    <w:rsid w:val="005E6966"/>
    <w:rsid w:val="006A311C"/>
    <w:rsid w:val="00742490"/>
    <w:rsid w:val="007C1C25"/>
    <w:rsid w:val="00841409"/>
    <w:rsid w:val="0088008B"/>
    <w:rsid w:val="00B44E5F"/>
    <w:rsid w:val="00BE6A2A"/>
    <w:rsid w:val="00BF0E07"/>
    <w:rsid w:val="00C25593"/>
    <w:rsid w:val="00CB1E0E"/>
    <w:rsid w:val="00E42525"/>
    <w:rsid w:val="00ED0724"/>
    <w:rsid w:val="0EC5322E"/>
    <w:rsid w:val="4CDEFEAC"/>
    <w:rsid w:val="52D3434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00C4D"/>
  <w15:chartTrackingRefBased/>
  <w15:docId w15:val="{0E3CACF6-4204-4F47-AF34-906FAC279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6A2A"/>
    <w:pPr>
      <w:spacing w:line="259" w:lineRule="auto"/>
    </w:pPr>
    <w:rPr>
      <w:kern w:val="0"/>
      <w:sz w:val="22"/>
      <w:szCs w:val="22"/>
      <w14:ligatures w14:val="none"/>
    </w:rPr>
  </w:style>
  <w:style w:type="paragraph" w:styleId="Ttulo1">
    <w:name w:val="heading 1"/>
    <w:basedOn w:val="Normal"/>
    <w:next w:val="Normal"/>
    <w:link w:val="Ttulo1Car"/>
    <w:uiPriority w:val="9"/>
    <w:qFormat/>
    <w:rsid w:val="00BE6A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BE6A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BE6A2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E6A2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BE6A2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BE6A2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E6A2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E6A2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E6A2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E6A2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BE6A2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BE6A2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BE6A2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BE6A2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BE6A2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E6A2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E6A2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E6A2A"/>
    <w:rPr>
      <w:rFonts w:eastAsiaTheme="majorEastAsia" w:cstheme="majorBidi"/>
      <w:color w:val="272727" w:themeColor="text1" w:themeTint="D8"/>
    </w:rPr>
  </w:style>
  <w:style w:type="paragraph" w:styleId="Ttulo">
    <w:name w:val="Title"/>
    <w:basedOn w:val="Normal"/>
    <w:next w:val="Normal"/>
    <w:link w:val="TtuloCar"/>
    <w:uiPriority w:val="10"/>
    <w:qFormat/>
    <w:rsid w:val="00BE6A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E6A2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E6A2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E6A2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E6A2A"/>
    <w:pPr>
      <w:spacing w:before="160"/>
      <w:jc w:val="center"/>
    </w:pPr>
    <w:rPr>
      <w:i/>
      <w:iCs/>
      <w:color w:val="404040" w:themeColor="text1" w:themeTint="BF"/>
    </w:rPr>
  </w:style>
  <w:style w:type="character" w:customStyle="1" w:styleId="CitaCar">
    <w:name w:val="Cita Car"/>
    <w:basedOn w:val="Fuentedeprrafopredeter"/>
    <w:link w:val="Cita"/>
    <w:uiPriority w:val="29"/>
    <w:rsid w:val="00BE6A2A"/>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BE6A2A"/>
    <w:pPr>
      <w:ind w:left="720"/>
      <w:contextualSpacing/>
    </w:pPr>
  </w:style>
  <w:style w:type="character" w:styleId="nfasisintenso">
    <w:name w:val="Intense Emphasis"/>
    <w:basedOn w:val="Fuentedeprrafopredeter"/>
    <w:uiPriority w:val="21"/>
    <w:qFormat/>
    <w:rsid w:val="00BE6A2A"/>
    <w:rPr>
      <w:i/>
      <w:iCs/>
      <w:color w:val="0F4761" w:themeColor="accent1" w:themeShade="BF"/>
    </w:rPr>
  </w:style>
  <w:style w:type="paragraph" w:styleId="Citadestacada">
    <w:name w:val="Intense Quote"/>
    <w:basedOn w:val="Normal"/>
    <w:next w:val="Normal"/>
    <w:link w:val="CitadestacadaCar"/>
    <w:uiPriority w:val="30"/>
    <w:qFormat/>
    <w:rsid w:val="00BE6A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E6A2A"/>
    <w:rPr>
      <w:i/>
      <w:iCs/>
      <w:color w:val="0F4761" w:themeColor="accent1" w:themeShade="BF"/>
    </w:rPr>
  </w:style>
  <w:style w:type="character" w:styleId="Referenciaintensa">
    <w:name w:val="Intense Reference"/>
    <w:basedOn w:val="Fuentedeprrafopredeter"/>
    <w:uiPriority w:val="32"/>
    <w:qFormat/>
    <w:rsid w:val="00BE6A2A"/>
    <w:rPr>
      <w:b/>
      <w:bCs/>
      <w:smallCaps/>
      <w:color w:val="0F4761" w:themeColor="accent1" w:themeShade="BF"/>
      <w:spacing w:val="5"/>
    </w:rPr>
  </w:style>
  <w:style w:type="paragraph" w:styleId="Encabezado">
    <w:name w:val="header"/>
    <w:basedOn w:val="Normal"/>
    <w:link w:val="EncabezadoCar"/>
    <w:uiPriority w:val="99"/>
    <w:unhideWhenUsed/>
    <w:rsid w:val="00BE6A2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E6A2A"/>
    <w:rPr>
      <w:kern w:val="0"/>
      <w:sz w:val="22"/>
      <w:szCs w:val="22"/>
      <w14:ligatures w14:val="none"/>
    </w:rPr>
  </w:style>
  <w:style w:type="paragraph" w:styleId="Piedepgina">
    <w:name w:val="footer"/>
    <w:basedOn w:val="Normal"/>
    <w:link w:val="PiedepginaCar"/>
    <w:uiPriority w:val="99"/>
    <w:unhideWhenUsed/>
    <w:rsid w:val="00BE6A2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E6A2A"/>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E6A2A"/>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E6A2A"/>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BE6A2A"/>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E6A2A"/>
    <w:rPr>
      <w:vertAlign w:val="superscript"/>
    </w:rPr>
  </w:style>
  <w:style w:type="character" w:customStyle="1" w:styleId="normaltextrun">
    <w:name w:val="normaltextrun"/>
    <w:basedOn w:val="Fuentedeprrafopredeter"/>
    <w:rsid w:val="00BE6A2A"/>
  </w:style>
  <w:style w:type="table" w:styleId="Tablaconcuadrcula">
    <w:name w:val="Table Grid"/>
    <w:basedOn w:val="Tablanormal"/>
    <w:uiPriority w:val="39"/>
    <w:qFormat/>
    <w:rsid w:val="00BE6A2A"/>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BE6A2A"/>
    <w:rPr>
      <w:color w:val="0000FF"/>
      <w:u w:val="single"/>
    </w:rPr>
  </w:style>
  <w:style w:type="paragraph" w:customStyle="1" w:styleId="paragraph">
    <w:name w:val="paragraph"/>
    <w:basedOn w:val="Normal"/>
    <w:rsid w:val="00BE6A2A"/>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NormalWeb">
    <w:name w:val="Normal (Web)"/>
    <w:basedOn w:val="Normal"/>
    <w:link w:val="NormalWebCar"/>
    <w:uiPriority w:val="99"/>
    <w:unhideWhenUsed/>
    <w:rsid w:val="00BE6A2A"/>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BE6A2A"/>
    <w:pPr>
      <w:spacing w:line="240" w:lineRule="exact"/>
    </w:pPr>
    <w:rPr>
      <w:kern w:val="2"/>
      <w:sz w:val="24"/>
      <w:szCs w:val="24"/>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E6A2A"/>
  </w:style>
  <w:style w:type="character" w:customStyle="1" w:styleId="NormalWebCar">
    <w:name w:val="Normal (Web) Car"/>
    <w:link w:val="NormalWeb"/>
    <w:uiPriority w:val="99"/>
    <w:locked/>
    <w:rsid w:val="00BE6A2A"/>
    <w:rPr>
      <w:rFonts w:ascii="Times New Roman" w:eastAsia="Times New Roman" w:hAnsi="Times New Roman" w:cs="Times New Roman"/>
      <w:kern w:val="0"/>
      <w:lang w:eastAsia="es-CO"/>
      <w14:ligatures w14:val="none"/>
    </w:rPr>
  </w:style>
  <w:style w:type="character" w:customStyle="1" w:styleId="baj">
    <w:name w:val="b_aj"/>
    <w:basedOn w:val="Fuentedeprrafopredeter"/>
    <w:rsid w:val="00BE6A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ie@correo.uts.edu.c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www.secretariasenado.gov.co/senado/basedoc/ley_0647_2001.html" TargetMode="External"/><Relationship Id="rId1" Type="http://schemas.openxmlformats.org/officeDocument/2006/relationships/hyperlink" Target="https://www.colombiacompra.gov.co/wp-content/uploads/2024/08/circular_externa_unica_version_3_vf49-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1539E89-C3F2-4209-BC7B-F511292D21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008BAC8-E18D-44AB-84EC-9CEE55234530}">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821869EC-D23C-4EBB-A32E-43304E5C56C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17</Pages>
  <Words>5670</Words>
  <Characters>31190</Characters>
  <Application>Microsoft Office Word</Application>
  <DocSecurity>0</DocSecurity>
  <Lines>259</Lines>
  <Paragraphs>73</Paragraphs>
  <ScaleCrop>false</ScaleCrop>
  <Company/>
  <LinksUpToDate>false</LinksUpToDate>
  <CharactersWithSpaces>36787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Gloria Elizabeth Arango Builes</dc:creator>
  <cp:keywords/>
  <dc:description/>
  <cp:lastModifiedBy>Sergio Andrés Rivera Cano</cp:lastModifiedBy>
  <cp:revision>8</cp:revision>
  <dcterms:created xsi:type="dcterms:W3CDTF">2026-02-24T02:05:00Z</dcterms:created>
  <dcterms:modified xsi:type="dcterms:W3CDTF">2026-03-07T14:40:00Z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