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9E4C5C" w:rsidR="00A961B6" w:rsidP="00A961B6" w:rsidRDefault="00A961B6" w14:paraId="0A36AD06" w14:textId="77777777">
      <w:pPr>
        <w:spacing w:after="0" w:line="240" w:lineRule="auto"/>
        <w:contextualSpacing/>
        <w:jc w:val="both"/>
        <w:rPr>
          <w:rFonts w:ascii="Verdana" w:hAnsi="Verdana" w:eastAsia="Century Gothic" w:cs="Century Gothic"/>
          <w:b/>
          <w:bCs/>
          <w:color w:val="000000" w:themeColor="text1"/>
        </w:rPr>
      </w:pPr>
      <w:r w:rsidRPr="009E4C5C">
        <w:rPr>
          <w:rFonts w:ascii="Verdana" w:hAnsi="Verdana" w:eastAsia="Century Gothic" w:cs="Century Gothic"/>
          <w:b/>
          <w:bCs/>
          <w:color w:val="000000" w:themeColor="text1"/>
        </w:rPr>
        <w:t xml:space="preserve">REQUISITOS HABILITANTES – Concepto </w:t>
      </w:r>
    </w:p>
    <w:p w:rsidRPr="009E4C5C" w:rsidR="00A961B6" w:rsidP="00A961B6" w:rsidRDefault="00A961B6" w14:paraId="6E9867CA" w14:textId="77777777">
      <w:pPr>
        <w:spacing w:after="0" w:line="240" w:lineRule="auto"/>
        <w:contextualSpacing/>
        <w:jc w:val="both"/>
        <w:rPr>
          <w:rFonts w:ascii="Verdana" w:hAnsi="Verdana" w:eastAsia="Century Gothic" w:cs="Century Gothic"/>
          <w:color w:val="000000" w:themeColor="text1"/>
        </w:rPr>
      </w:pPr>
    </w:p>
    <w:p w:rsidRPr="009E4C5C" w:rsidR="00A961B6" w:rsidP="00A961B6" w:rsidRDefault="00A961B6" w14:paraId="67D29B74" w14:textId="77777777">
      <w:pPr>
        <w:spacing w:after="0" w:line="240" w:lineRule="auto"/>
        <w:contextualSpacing/>
        <w:jc w:val="both"/>
        <w:rPr>
          <w:rFonts w:ascii="Verdana" w:hAnsi="Verdana" w:eastAsia="Century Gothic" w:cs="Century Gothic"/>
          <w:color w:val="000000" w:themeColor="text1"/>
        </w:rPr>
      </w:pPr>
      <w:r w:rsidRPr="009E4C5C">
        <w:rPr>
          <w:rFonts w:ascii="Verdana" w:hAnsi="Verdana" w:eastAsia="Century Gothic" w:cs="Century Gothic"/>
          <w:color w:val="000000" w:themeColor="text1"/>
        </w:rPr>
        <w:t xml:space="preserve">Los requisitos habilitantes se definen como aquellas exigencias de participación en los procedimientos de selección, establecidas en disposiciones normativas, de carácter legal o reglamentario, o contenidas en el acto administrativo que regula las reglas de la convocatoria – es decir, en el Pliego de Condiciones o el documento equivalente a este –. Se diferencian de los criterios de evaluación – también conocidos como criterios de calificación – en que estos son los factores definidos por la Entidad Estatal para la asignación de puntaje en el momento de la comparación de las ofertas y que, a partir de su ponderación, permiten establecer el orden de elegibilidad y, por ende, la propuesta ganadora. </w:t>
      </w:r>
    </w:p>
    <w:p w:rsidRPr="009E4C5C" w:rsidR="00A961B6" w:rsidP="00A961B6" w:rsidRDefault="00A961B6" w14:paraId="15A2A0B6" w14:textId="77777777">
      <w:pPr>
        <w:spacing w:after="0" w:line="240" w:lineRule="auto"/>
        <w:contextualSpacing/>
        <w:jc w:val="both"/>
        <w:rPr>
          <w:rFonts w:ascii="Verdana" w:hAnsi="Verdana" w:eastAsia="Century Gothic" w:cs="Century Gothic"/>
          <w:color w:val="000000" w:themeColor="text1"/>
        </w:rPr>
      </w:pPr>
    </w:p>
    <w:p w:rsidRPr="009E4C5C" w:rsidR="00A961B6" w:rsidP="00A961B6" w:rsidRDefault="00A961B6" w14:paraId="1AFC2B5B" w14:textId="77777777">
      <w:pPr>
        <w:spacing w:after="0" w:line="240" w:lineRule="auto"/>
        <w:contextualSpacing/>
        <w:jc w:val="both"/>
        <w:rPr>
          <w:rFonts w:ascii="Verdana" w:hAnsi="Verdana" w:eastAsia="Century Gothic" w:cs="Century Gothic"/>
          <w:color w:val="000000" w:themeColor="text1"/>
        </w:rPr>
      </w:pPr>
      <w:r w:rsidRPr="009E4C5C">
        <w:rPr>
          <w:rFonts w:ascii="Verdana" w:hAnsi="Verdana" w:eastAsia="Century Gothic" w:cs="Century Gothic"/>
          <w:color w:val="000000" w:themeColor="text1"/>
        </w:rPr>
        <w:t xml:space="preserve">[…] Específicamente, el numeral 1º del artículo referido establece que en los procesos de selección de contratistas serán objeto de verificación, como requisitos habilitantes, entre otros, los siguientes: i) la capacidad jurídica; </w:t>
      </w:r>
      <w:proofErr w:type="spellStart"/>
      <w:r w:rsidRPr="009E4C5C">
        <w:rPr>
          <w:rFonts w:ascii="Verdana" w:hAnsi="Verdana" w:eastAsia="Century Gothic" w:cs="Century Gothic"/>
          <w:color w:val="000000" w:themeColor="text1"/>
        </w:rPr>
        <w:t>ii</w:t>
      </w:r>
      <w:proofErr w:type="spellEnd"/>
      <w:r w:rsidRPr="009E4C5C">
        <w:rPr>
          <w:rFonts w:ascii="Verdana" w:hAnsi="Verdana" w:eastAsia="Century Gothic" w:cs="Century Gothic"/>
          <w:color w:val="000000" w:themeColor="text1"/>
        </w:rPr>
        <w:t xml:space="preserve">) la experiencia; </w:t>
      </w:r>
      <w:proofErr w:type="spellStart"/>
      <w:r w:rsidRPr="009E4C5C">
        <w:rPr>
          <w:rFonts w:ascii="Verdana" w:hAnsi="Verdana" w:eastAsia="Century Gothic" w:cs="Century Gothic"/>
          <w:color w:val="000000" w:themeColor="text1"/>
        </w:rPr>
        <w:t>iii</w:t>
      </w:r>
      <w:proofErr w:type="spellEnd"/>
      <w:r w:rsidRPr="009E4C5C">
        <w:rPr>
          <w:rFonts w:ascii="Verdana" w:hAnsi="Verdana" w:eastAsia="Century Gothic" w:cs="Century Gothic"/>
          <w:color w:val="000000" w:themeColor="text1"/>
        </w:rPr>
        <w:t xml:space="preserve">) la capacidad financiera y </w:t>
      </w:r>
      <w:proofErr w:type="spellStart"/>
      <w:r w:rsidRPr="009E4C5C">
        <w:rPr>
          <w:rFonts w:ascii="Verdana" w:hAnsi="Verdana" w:eastAsia="Century Gothic" w:cs="Century Gothic"/>
          <w:color w:val="000000" w:themeColor="text1"/>
        </w:rPr>
        <w:t>iv</w:t>
      </w:r>
      <w:proofErr w:type="spellEnd"/>
      <w:r w:rsidRPr="009E4C5C">
        <w:rPr>
          <w:rFonts w:ascii="Verdana" w:hAnsi="Verdana" w:eastAsia="Century Gothic" w:cs="Century Gothic"/>
          <w:color w:val="000000" w:themeColor="text1"/>
        </w:rPr>
        <w:t>) la capacidad de organización.</w:t>
      </w:r>
    </w:p>
    <w:p w:rsidRPr="009E4C5C" w:rsidR="00A961B6" w:rsidP="00A961B6" w:rsidRDefault="00A961B6" w14:paraId="5717EF3D" w14:textId="77777777">
      <w:pPr>
        <w:spacing w:after="0" w:line="240" w:lineRule="auto"/>
        <w:contextualSpacing/>
        <w:jc w:val="both"/>
        <w:rPr>
          <w:rFonts w:ascii="Verdana" w:hAnsi="Verdana" w:eastAsia="Century Gothic" w:cs="Century Gothic"/>
          <w:color w:val="000000" w:themeColor="text1"/>
        </w:rPr>
      </w:pPr>
    </w:p>
    <w:p w:rsidRPr="009E4C5C" w:rsidR="00A961B6" w:rsidP="00A961B6" w:rsidRDefault="00A961B6" w14:paraId="4C41E54E" w14:textId="77777777">
      <w:pPr>
        <w:spacing w:after="0" w:line="240" w:lineRule="auto"/>
        <w:contextualSpacing/>
        <w:jc w:val="both"/>
        <w:rPr>
          <w:rFonts w:ascii="Verdana" w:hAnsi="Verdana" w:eastAsia="Century Gothic" w:cs="Century Gothic"/>
          <w:b/>
          <w:bCs/>
          <w:color w:val="000000" w:themeColor="text1"/>
        </w:rPr>
      </w:pPr>
      <w:r w:rsidRPr="009E4C5C">
        <w:rPr>
          <w:rFonts w:ascii="Verdana" w:hAnsi="Verdana" w:eastAsia="Century Gothic" w:cs="Century Gothic"/>
          <w:b/>
          <w:bCs/>
          <w:color w:val="000000" w:themeColor="text1"/>
        </w:rPr>
        <w:t>REQUISITOS HABILITANTES – Carácter enunciativo – Artículo 5 de la Ley 1150 de 2007</w:t>
      </w:r>
    </w:p>
    <w:p w:rsidRPr="009E4C5C" w:rsidR="00A961B6" w:rsidP="00A961B6" w:rsidRDefault="00A961B6" w14:paraId="1706BBA1" w14:textId="77777777">
      <w:pPr>
        <w:spacing w:after="0" w:line="240" w:lineRule="auto"/>
        <w:contextualSpacing/>
        <w:jc w:val="both"/>
        <w:rPr>
          <w:rFonts w:ascii="Verdana" w:hAnsi="Verdana" w:eastAsia="Century Gothic" w:cs="Century Gothic"/>
          <w:color w:val="000000" w:themeColor="text1"/>
        </w:rPr>
      </w:pPr>
    </w:p>
    <w:p w:rsidRPr="009E4C5C" w:rsidR="00A961B6" w:rsidP="00A961B6" w:rsidRDefault="00A961B6" w14:paraId="7858BE3E" w14:textId="77777777">
      <w:pPr>
        <w:spacing w:after="0" w:line="240" w:lineRule="auto"/>
        <w:contextualSpacing/>
        <w:jc w:val="both"/>
        <w:rPr>
          <w:rFonts w:ascii="Verdana" w:hAnsi="Verdana" w:eastAsia="Century Gothic" w:cs="Century Gothic"/>
          <w:color w:val="000000" w:themeColor="text1"/>
        </w:rPr>
      </w:pPr>
      <w:r w:rsidRPr="009E4C5C">
        <w:rPr>
          <w:rFonts w:ascii="Verdana" w:hAnsi="Verdana" w:eastAsia="Century Gothic" w:cs="Century Gothic"/>
          <w:color w:val="000000" w:themeColor="text1"/>
        </w:rPr>
        <w:t>La Agencia Nacional de Contratación Pública – Colombia Compra Eficiente ha defendido el carácter enunciativo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w:t>
      </w:r>
    </w:p>
    <w:p w:rsidRPr="009E4C5C" w:rsidR="00A961B6" w:rsidP="00A961B6" w:rsidRDefault="00A961B6" w14:paraId="7F87378C" w14:textId="77777777">
      <w:pPr>
        <w:spacing w:after="0" w:line="240" w:lineRule="auto"/>
        <w:contextualSpacing/>
        <w:jc w:val="both"/>
        <w:rPr>
          <w:rFonts w:ascii="Verdana" w:hAnsi="Verdana" w:eastAsia="Century Gothic" w:cs="Century Gothic"/>
          <w:color w:val="000000" w:themeColor="text1"/>
        </w:rPr>
      </w:pPr>
    </w:p>
    <w:p w:rsidRPr="009E4C5C" w:rsidR="00A961B6" w:rsidP="00A961B6" w:rsidRDefault="00A961B6" w14:paraId="016AECC6" w14:textId="77777777">
      <w:pPr>
        <w:spacing w:after="0" w:line="240" w:lineRule="auto"/>
        <w:contextualSpacing/>
        <w:jc w:val="both"/>
        <w:rPr>
          <w:rFonts w:ascii="Verdana" w:hAnsi="Verdana" w:eastAsia="Century Gothic" w:cs="Century Gothic"/>
          <w:color w:val="000000" w:themeColor="text1"/>
        </w:rPr>
      </w:pPr>
      <w:r w:rsidRPr="009E4C5C">
        <w:rPr>
          <w:rFonts w:ascii="Verdana" w:hAnsi="Verdana" w:eastAsia="Century Gothic" w:cs="Century Gothic"/>
          <w:color w:val="000000" w:themeColor="text1"/>
        </w:rPr>
        <w:t xml:space="preserve">[…]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rsidRPr="009E4C5C" w:rsidR="00A961B6" w:rsidP="00A961B6" w:rsidRDefault="00A961B6" w14:paraId="7E0A2598" w14:textId="77777777">
      <w:pPr>
        <w:spacing w:after="0" w:line="240" w:lineRule="auto"/>
        <w:contextualSpacing/>
        <w:jc w:val="both"/>
        <w:rPr>
          <w:rFonts w:ascii="Verdana" w:hAnsi="Verdana" w:eastAsia="Century Gothic" w:cs="Century Gothic"/>
          <w:color w:val="000000" w:themeColor="text1"/>
        </w:rPr>
      </w:pPr>
    </w:p>
    <w:p w:rsidRPr="009E4C5C" w:rsidR="00A961B6" w:rsidP="00A961B6" w:rsidRDefault="00A961B6" w14:paraId="665124DD" w14:textId="77777777">
      <w:pPr>
        <w:tabs>
          <w:tab w:val="left" w:pos="426"/>
        </w:tabs>
        <w:spacing w:after="0" w:line="240" w:lineRule="auto"/>
        <w:contextualSpacing/>
        <w:jc w:val="both"/>
        <w:rPr>
          <w:rFonts w:ascii="Verdana" w:hAnsi="Verdana" w:eastAsia="Century Gothic" w:cs="Century Gothic"/>
          <w:color w:val="000000" w:themeColor="text1"/>
        </w:rPr>
      </w:pPr>
      <w:r w:rsidRPr="009E4C5C">
        <w:rPr>
          <w:rFonts w:ascii="Verdana" w:hAnsi="Verdana" w:eastAsia="Century Gothic" w:cs="Century Gothic"/>
          <w:color w:val="000000" w:themeColor="text1"/>
        </w:rPr>
        <w:t xml:space="preserve">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w:t>
      </w:r>
      <w:r w:rsidRPr="009E4C5C">
        <w:rPr>
          <w:rFonts w:ascii="Verdana" w:hAnsi="Verdana" w:eastAsia="Century Gothic" w:cs="Century Gothic"/>
          <w:color w:val="000000" w:themeColor="text1"/>
        </w:rPr>
        <w:lastRenderedPageBreak/>
        <w:t xml:space="preserve">manera adecuada y proporcional a las características del objeto ofertado, procurando además ceñirse a la normativa que resulte aplicable. </w:t>
      </w:r>
    </w:p>
    <w:p w:rsidRPr="009E4C5C" w:rsidR="00A961B6" w:rsidP="00A961B6" w:rsidRDefault="00A961B6" w14:paraId="52002633" w14:textId="77777777">
      <w:pPr>
        <w:spacing w:after="0" w:line="240" w:lineRule="auto"/>
        <w:contextualSpacing/>
        <w:jc w:val="both"/>
        <w:rPr>
          <w:rFonts w:ascii="Verdana" w:hAnsi="Verdana" w:eastAsia="Century Gothic" w:cs="Century Gothic"/>
          <w:color w:val="000000" w:themeColor="text1"/>
        </w:rPr>
      </w:pPr>
    </w:p>
    <w:p w:rsidRPr="009E4C5C" w:rsidR="00A961B6" w:rsidP="00A961B6" w:rsidRDefault="00A961B6" w14:paraId="6AC64C4A" w14:textId="77777777">
      <w:pPr>
        <w:spacing w:after="0" w:line="240" w:lineRule="auto"/>
        <w:contextualSpacing/>
        <w:jc w:val="both"/>
        <w:rPr>
          <w:rFonts w:ascii="Verdana" w:hAnsi="Verdana" w:eastAsia="Century Gothic" w:cs="Century Gothic"/>
          <w:b/>
          <w:bCs/>
          <w:color w:val="000000" w:themeColor="text1"/>
        </w:rPr>
      </w:pPr>
      <w:r w:rsidRPr="009E4C5C">
        <w:rPr>
          <w:rFonts w:ascii="Verdana" w:hAnsi="Verdana" w:eastAsia="Century Gothic" w:cs="Century Gothic"/>
          <w:b/>
          <w:bCs/>
          <w:color w:val="000000" w:themeColor="text1"/>
        </w:rPr>
        <w:t xml:space="preserve">REQUISITOS HABILITANTES – Acreditación – RUT </w:t>
      </w:r>
    </w:p>
    <w:p w:rsidRPr="009E4C5C" w:rsidR="00A961B6" w:rsidP="00A961B6" w:rsidRDefault="00A961B6" w14:paraId="5469A3F3" w14:textId="77777777">
      <w:pPr>
        <w:spacing w:after="0" w:line="240" w:lineRule="auto"/>
        <w:contextualSpacing/>
        <w:jc w:val="both"/>
        <w:rPr>
          <w:rFonts w:ascii="Verdana" w:hAnsi="Verdana" w:eastAsia="Century Gothic" w:cs="Century Gothic"/>
          <w:color w:val="000000" w:themeColor="text1"/>
        </w:rPr>
      </w:pPr>
    </w:p>
    <w:p w:rsidRPr="009E4C5C" w:rsidR="00A961B6" w:rsidP="00A961B6" w:rsidRDefault="00A961B6" w14:paraId="73C37EDC" w14:textId="77777777">
      <w:pPr>
        <w:spacing w:after="0" w:line="240" w:lineRule="auto"/>
        <w:contextualSpacing/>
        <w:jc w:val="both"/>
        <w:rPr>
          <w:rFonts w:ascii="Verdana" w:hAnsi="Verdana" w:eastAsia="Century Gothic" w:cs="Century Gothic"/>
          <w:color w:val="000000" w:themeColor="text1"/>
        </w:rPr>
      </w:pPr>
      <w:r w:rsidRPr="009E4C5C">
        <w:rPr>
          <w:rFonts w:ascii="Verdana" w:hAnsi="Verdana" w:eastAsia="Century Gothic" w:cs="Century Gothic"/>
          <w:color w:val="000000" w:themeColor="text1"/>
        </w:rPr>
        <w:t xml:space="preserve">En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p w:rsidRPr="009E4C5C" w:rsidR="00A961B6" w:rsidP="00A961B6" w:rsidRDefault="00A961B6" w14:paraId="2DE6B91B" w14:textId="77777777">
      <w:pPr>
        <w:spacing w:after="0" w:line="240" w:lineRule="auto"/>
        <w:contextualSpacing/>
        <w:jc w:val="both"/>
        <w:rPr>
          <w:rFonts w:ascii="Verdana" w:hAnsi="Verdana" w:eastAsia="Century Gothic" w:cs="Century Gothic"/>
          <w:color w:val="000000" w:themeColor="text1"/>
        </w:rPr>
      </w:pPr>
    </w:p>
    <w:p w:rsidRPr="009E4C5C" w:rsidR="00A961B6" w:rsidP="00A961B6" w:rsidRDefault="00A961B6" w14:paraId="07580BF7" w14:textId="77777777">
      <w:pPr>
        <w:spacing w:after="0" w:line="240" w:lineRule="auto"/>
        <w:jc w:val="both"/>
        <w:rPr>
          <w:rFonts w:ascii="Verdana" w:hAnsi="Verdana" w:eastAsia="Century Gothic" w:cs="Century Gothic"/>
          <w:color w:val="000000" w:themeColor="text1"/>
        </w:rPr>
      </w:pPr>
      <w:r w:rsidRPr="009E4C5C">
        <w:rPr>
          <w:rFonts w:ascii="Verdana" w:hAnsi="Verdana" w:eastAsia="Century Gothic" w:cs="Century Gothic"/>
          <w:color w:val="000000" w:themeColor="text1"/>
        </w:rPr>
        <w:t>La ley no establece de manera taxativa las condiciones de tiempo, modo o características formales de los documentos mediante los cuales debe acreditarse dicha capacidad, entre los que se encuentran el Registro Único Tributario (RUT). En consecuencia, las entidades estatales, en ejercicio de su autonomía, pueden definir en los documentos precontractuales los requisitos y soportes necesarios para verificar la idoneidad, experiencia o situación jurídica del contratista, siempre que estos sean adecuados, verificables y compatibles con el principio de selección objetiva.</w:t>
      </w:r>
    </w:p>
    <w:p w:rsidRPr="009E4C5C" w:rsidR="00A961B6" w:rsidP="00A961B6" w:rsidRDefault="00A961B6" w14:paraId="57CFBD53" w14:textId="77777777">
      <w:pPr>
        <w:spacing w:after="0" w:line="240" w:lineRule="auto"/>
        <w:jc w:val="both"/>
        <w:rPr>
          <w:rFonts w:ascii="Verdana" w:hAnsi="Verdana" w:eastAsia="Century Gothic" w:cs="Century Gothic"/>
          <w:color w:val="000000" w:themeColor="text1"/>
        </w:rPr>
      </w:pPr>
    </w:p>
    <w:p w:rsidRPr="009E4C5C" w:rsidR="00A961B6" w:rsidP="00A961B6" w:rsidRDefault="00A961B6" w14:paraId="579EF4A4" w14:textId="77777777">
      <w:pPr>
        <w:spacing w:after="0" w:line="240" w:lineRule="auto"/>
        <w:jc w:val="both"/>
        <w:rPr>
          <w:rFonts w:ascii="Verdana" w:hAnsi="Verdana" w:eastAsia="Century Gothic" w:cs="Century Gothic"/>
          <w:color w:val="000000" w:themeColor="text1"/>
        </w:rPr>
      </w:pPr>
      <w:r w:rsidRPr="009E4C5C">
        <w:rPr>
          <w:rFonts w:ascii="Verdana" w:hAnsi="Verdana" w:eastAsia="Century Gothic" w:cs="Century Gothic"/>
          <w:color w:val="000000" w:themeColor="text1"/>
        </w:rPr>
        <w:t xml:space="preserve">En ese contexto, mediante comunicado </w:t>
      </w:r>
      <w:proofErr w:type="spellStart"/>
      <w:r w:rsidRPr="009E4C5C">
        <w:rPr>
          <w:rFonts w:ascii="Verdana" w:hAnsi="Verdana" w:eastAsia="Century Gothic" w:cs="Century Gothic"/>
          <w:color w:val="000000" w:themeColor="text1"/>
        </w:rPr>
        <w:t>Nº</w:t>
      </w:r>
      <w:proofErr w:type="spellEnd"/>
      <w:r w:rsidRPr="009E4C5C">
        <w:rPr>
          <w:rFonts w:ascii="Verdana" w:hAnsi="Verdana" w:eastAsia="Century Gothic" w:cs="Century Gothic"/>
          <w:color w:val="000000" w:themeColor="text1"/>
        </w:rPr>
        <w:t xml:space="preserve"> 001 del 07 de enero de 2005 la Dirección de Impuestos y Aduanas Nacionales (DIAN) estableció: “La DIAN reitera a la ciudadanía que el RUT tiene vigencia indefinida y sólo debe ser actualizado cuando haya cambios en el lugar de residencia número telefónico correo electrónico actividad económica responsabilidades o algún otro atributo o característica que se encuentre dentro el registro del contribuyente, esto ,de acuerdo con lo establecido en los artículos 555-1 Y 658-3 numeral 3 del Estatuto Tributario y el artículo 1.6.1.2.7 del Decreto 1625 de 2016”.</w:t>
      </w:r>
    </w:p>
    <w:p w:rsidR="00A961B6" w:rsidP="00A961B6" w:rsidRDefault="00A961B6" w14:paraId="081C091B" w14:textId="77777777">
      <w:pPr>
        <w:spacing w:after="0" w:line="240" w:lineRule="auto"/>
        <w:rPr>
          <w:lang w:val="es-ES"/>
        </w:rPr>
      </w:pPr>
    </w:p>
    <w:p w:rsidR="00A961B6" w:rsidP="00A961B6" w:rsidRDefault="00A961B6" w14:paraId="3695F5E6" w14:textId="77777777">
      <w:pPr>
        <w:spacing w:after="0" w:line="240" w:lineRule="auto"/>
        <w:rPr>
          <w:lang w:val="es-ES"/>
        </w:rPr>
      </w:pPr>
    </w:p>
    <w:p w:rsidR="00A961B6" w:rsidP="00A961B6" w:rsidRDefault="00A961B6" w14:paraId="32074F06" w14:textId="77777777">
      <w:pPr>
        <w:spacing w:after="0" w:line="240" w:lineRule="auto"/>
        <w:rPr>
          <w:lang w:val="es-ES"/>
        </w:rPr>
      </w:pPr>
    </w:p>
    <w:p w:rsidR="00A961B6" w:rsidP="00A961B6" w:rsidRDefault="00A961B6" w14:paraId="5D6F642E" w14:textId="77777777">
      <w:pPr>
        <w:spacing w:after="0" w:line="240" w:lineRule="auto"/>
        <w:rPr>
          <w:lang w:val="es-ES"/>
        </w:rPr>
      </w:pPr>
    </w:p>
    <w:p w:rsidR="00A961B6" w:rsidP="00A961B6" w:rsidRDefault="00A961B6" w14:paraId="15633219" w14:textId="77777777">
      <w:pPr>
        <w:spacing w:after="0" w:line="240" w:lineRule="auto"/>
        <w:rPr>
          <w:lang w:val="es-ES"/>
        </w:rPr>
      </w:pPr>
    </w:p>
    <w:p w:rsidR="00A961B6" w:rsidP="00A961B6" w:rsidRDefault="00A961B6" w14:paraId="1985A673" w14:textId="77777777">
      <w:pPr>
        <w:spacing w:after="0" w:line="240" w:lineRule="auto"/>
        <w:rPr>
          <w:lang w:val="es-ES"/>
        </w:rPr>
      </w:pPr>
    </w:p>
    <w:p w:rsidR="00A961B6" w:rsidP="00A961B6" w:rsidRDefault="00A961B6" w14:paraId="374F5A8D" w14:textId="77777777">
      <w:pPr>
        <w:spacing w:after="0" w:line="240" w:lineRule="auto"/>
        <w:rPr>
          <w:lang w:val="es-ES"/>
        </w:rPr>
      </w:pPr>
    </w:p>
    <w:p w:rsidR="00A961B6" w:rsidP="00A961B6" w:rsidRDefault="00A961B6" w14:paraId="7A51A5B7" w14:textId="77777777">
      <w:pPr>
        <w:spacing w:after="0" w:line="240" w:lineRule="auto"/>
        <w:rPr>
          <w:lang w:val="es-ES"/>
        </w:rPr>
      </w:pPr>
    </w:p>
    <w:p w:rsidR="00A961B6" w:rsidP="00A961B6" w:rsidRDefault="00A961B6" w14:paraId="294F5D29" w14:textId="77777777">
      <w:pPr>
        <w:spacing w:after="0" w:line="240" w:lineRule="auto"/>
        <w:rPr>
          <w:lang w:val="es-ES"/>
        </w:rPr>
      </w:pPr>
    </w:p>
    <w:p w:rsidRPr="00E31648" w:rsidR="00A961B6" w:rsidP="00A961B6" w:rsidRDefault="00A961B6" w14:paraId="64B5B526" w14:textId="2F6A2BA4">
      <w:pPr>
        <w:spacing w:after="0" w:line="240" w:lineRule="auto"/>
      </w:pPr>
      <w:r w:rsidRPr="00C562D4">
        <w:rPr>
          <w:rFonts w:ascii="Verdana" w:hAnsi="Verdana" w:eastAsia="Calibri" w:cs="Arial"/>
          <w:color w:val="000000" w:themeColor="text1"/>
        </w:rPr>
        <w:t xml:space="preserve">Bogotá D.C., </w:t>
      </w:r>
      <w:r>
        <w:rPr>
          <w:rFonts w:ascii="Verdana" w:hAnsi="Verdana" w:eastAsia="Calibri" w:cs="Arial"/>
          <w:color w:val="000000" w:themeColor="text1"/>
        </w:rPr>
        <w:t>0</w:t>
      </w:r>
      <w:r w:rsidR="003C58B5">
        <w:rPr>
          <w:rFonts w:ascii="Verdana" w:hAnsi="Verdana" w:eastAsia="Calibri" w:cs="Arial"/>
          <w:color w:val="000000" w:themeColor="text1"/>
        </w:rPr>
        <w:t>6</w:t>
      </w:r>
      <w:r w:rsidRPr="00C562D4">
        <w:rPr>
          <w:rFonts w:ascii="Verdana" w:hAnsi="Verdana" w:eastAsia="Calibri" w:cs="Arial"/>
          <w:color w:val="000000" w:themeColor="text1"/>
        </w:rPr>
        <w:t xml:space="preserve"> de </w:t>
      </w:r>
      <w:r>
        <w:rPr>
          <w:rFonts w:ascii="Verdana" w:hAnsi="Verdana" w:eastAsia="Calibri" w:cs="Arial"/>
          <w:color w:val="000000" w:themeColor="text1"/>
        </w:rPr>
        <w:t>febrero</w:t>
      </w:r>
      <w:r w:rsidRPr="00C562D4">
        <w:rPr>
          <w:rFonts w:ascii="Verdana" w:hAnsi="Verdana" w:eastAsia="Calibri" w:cs="Arial"/>
          <w:color w:val="000000" w:themeColor="text1"/>
        </w:rPr>
        <w:t xml:space="preserve"> de 20</w:t>
      </w:r>
      <w:r>
        <w:rPr>
          <w:rFonts w:ascii="Verdana" w:hAnsi="Verdana" w:eastAsia="Calibri" w:cs="Arial"/>
          <w:color w:val="000000" w:themeColor="text1"/>
        </w:rPr>
        <w:t>26</w:t>
      </w:r>
    </w:p>
    <w:p w:rsidR="00A961B6" w:rsidP="00A961B6" w:rsidRDefault="00A961B6" w14:paraId="29F3690B" w14:textId="77777777">
      <w:pPr>
        <w:spacing w:after="0" w:line="240" w:lineRule="auto"/>
        <w:jc w:val="both"/>
        <w:rPr>
          <w:rFonts w:ascii="Verdana" w:hAnsi="Verdana" w:eastAsia="Calibri" w:cs="Arial"/>
          <w:color w:val="000000" w:themeColor="text1"/>
          <w:lang w:val="es-ES"/>
        </w:rPr>
      </w:pPr>
    </w:p>
    <w:p w:rsidR="00A961B6" w:rsidP="6D1E85D3" w:rsidRDefault="004C13C7" w14:paraId="7A119698" w14:textId="0E7906EA">
      <w:pPr>
        <w:pStyle w:val="Normal"/>
        <w:spacing w:after="0" w:line="240" w:lineRule="auto"/>
        <w:jc w:val="right"/>
      </w:pPr>
      <w:r w:rsidR="75406C1A">
        <w:drawing>
          <wp:inline wp14:editId="2ACFBA42" wp14:anchorId="1725F895">
            <wp:extent cx="2688569" cy="810838"/>
            <wp:effectExtent l="0" t="0" r="0" b="0"/>
            <wp:docPr id="100191449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001914496" name="Picture 1001914496"/>
                    <pic:cNvPicPr/>
                  </pic:nvPicPr>
                  <pic:blipFill>
                    <a:blip xmlns:r="http://schemas.openxmlformats.org/officeDocument/2006/relationships" r:embed="rId1518170360">
                      <a:extLst>
                        <a:ext uri="{28A0092B-C50C-407E-A947-70E740481C1C}">
                          <a14:useLocalDpi xmlns:a14="http://schemas.microsoft.com/office/drawing/2010/main"/>
                        </a:ext>
                      </a:extLst>
                    </a:blip>
                    <a:stretch>
                      <a:fillRect/>
                    </a:stretch>
                  </pic:blipFill>
                  <pic:spPr>
                    <a:xfrm>
                      <a:off x="0" y="0"/>
                      <a:ext cx="2688569" cy="810838"/>
                    </a:xfrm>
                    <a:prstGeom prst="rect">
                      <a:avLst/>
                    </a:prstGeom>
                  </pic:spPr>
                </pic:pic>
              </a:graphicData>
            </a:graphic>
          </wp:inline>
        </w:drawing>
      </w:r>
    </w:p>
    <w:p w:rsidRPr="00115E3D" w:rsidR="004C13C7" w:rsidP="00A961B6" w:rsidRDefault="004C13C7" w14:paraId="596341CE" w14:textId="77777777">
      <w:pPr>
        <w:spacing w:after="0" w:line="240" w:lineRule="auto"/>
        <w:jc w:val="both"/>
        <w:rPr>
          <w:rFonts w:ascii="Verdana" w:hAnsi="Verdana" w:eastAsia="Calibri" w:cs="Arial"/>
          <w:color w:val="000000" w:themeColor="text1"/>
          <w:lang w:val="es-ES"/>
        </w:rPr>
      </w:pPr>
    </w:p>
    <w:p w:rsidRPr="00115E3D" w:rsidR="00A961B6" w:rsidP="00A961B6" w:rsidRDefault="00A961B6" w14:paraId="0FCB4FFD" w14:textId="77777777">
      <w:pPr>
        <w:spacing w:after="0" w:line="240"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Señor</w:t>
      </w:r>
    </w:p>
    <w:p w:rsidR="00A961B6" w:rsidP="00A961B6" w:rsidRDefault="00A961B6" w14:paraId="05C85FAD" w14:textId="77777777">
      <w:pPr>
        <w:spacing w:after="0" w:line="240" w:lineRule="auto"/>
        <w:rPr>
          <w:rFonts w:ascii="Verdana" w:hAnsi="Verdana" w:eastAsia="Calibri" w:cs="Arial"/>
          <w:b/>
          <w:bCs/>
          <w:color w:val="000000" w:themeColor="text1"/>
          <w:lang w:eastAsia="es-ES"/>
        </w:rPr>
      </w:pPr>
      <w:r>
        <w:rPr>
          <w:rFonts w:ascii="Verdana" w:hAnsi="Verdana" w:eastAsia="Calibri" w:cs="Arial"/>
          <w:b/>
          <w:bCs/>
          <w:color w:val="000000" w:themeColor="text1"/>
          <w:lang w:eastAsia="es-ES"/>
        </w:rPr>
        <w:t>GLORIA AMPARO PALACIOS FLOREZ</w:t>
      </w:r>
    </w:p>
    <w:p w:rsidR="00A961B6" w:rsidP="00A961B6" w:rsidRDefault="00A961B6" w14:paraId="730B1D40" w14:textId="77777777">
      <w:pPr>
        <w:spacing w:after="0" w:line="240" w:lineRule="auto"/>
        <w:rPr>
          <w:rFonts w:ascii="Verdana" w:hAnsi="Verdana" w:eastAsia="Calibri" w:cs="Arial"/>
          <w:b/>
          <w:bCs/>
          <w:color w:val="000000" w:themeColor="text1"/>
          <w:lang w:eastAsia="es-ES"/>
        </w:rPr>
      </w:pPr>
      <w:hyperlink w:history="1" r:id="rId11">
        <w:r w:rsidRPr="003C2CCB">
          <w:rPr>
            <w:rStyle w:val="Hipervnculo"/>
            <w:rFonts w:ascii="Verdana" w:hAnsi="Verdana" w:eastAsia="Calibri" w:cs="Arial"/>
            <w:lang w:eastAsia="es-ES"/>
          </w:rPr>
          <w:t>gloriaamparopalaciosflorez@gmail.com</w:t>
        </w:r>
      </w:hyperlink>
      <w:r>
        <w:rPr>
          <w:rFonts w:ascii="Verdana" w:hAnsi="Verdana" w:eastAsia="Calibri" w:cs="Arial"/>
          <w:color w:val="000000" w:themeColor="text1"/>
          <w:lang w:eastAsia="es-ES"/>
        </w:rPr>
        <w:t xml:space="preserve"> </w:t>
      </w:r>
    </w:p>
    <w:p w:rsidR="00A961B6" w:rsidP="00A961B6" w:rsidRDefault="00A961B6" w14:paraId="0C6E234E" w14:textId="77777777">
      <w:pPr>
        <w:spacing w:after="0" w:line="240" w:lineRule="auto"/>
        <w:rPr>
          <w:rFonts w:ascii="Verdana" w:hAnsi="Verdana"/>
        </w:rPr>
      </w:pPr>
      <w:r>
        <w:rPr>
          <w:rFonts w:ascii="Verdana" w:hAnsi="Verdana"/>
        </w:rPr>
        <w:t>Madrid (Cundinamarca)</w:t>
      </w:r>
    </w:p>
    <w:p w:rsidRPr="00CB7ABE" w:rsidR="00A961B6" w:rsidP="00A961B6" w:rsidRDefault="00A961B6" w14:paraId="784D0EF8" w14:textId="77777777">
      <w:pPr>
        <w:spacing w:after="0" w:line="240" w:lineRule="auto"/>
        <w:rPr>
          <w:rFonts w:ascii="Verdana" w:hAnsi="Verdana" w:eastAsia="Calibri" w:cs="Arial"/>
          <w:b/>
          <w:bCs/>
          <w:color w:val="000000" w:themeColor="text1"/>
          <w:lang w:eastAsia="es-ES_tradnl"/>
        </w:rPr>
      </w:pPr>
    </w:p>
    <w:tbl>
      <w:tblPr>
        <w:tblStyle w:val="Tablaconcuadrcula"/>
        <w:tblW w:w="88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270"/>
        <w:gridCol w:w="6547"/>
      </w:tblGrid>
      <w:tr w:rsidRPr="00115E3D" w:rsidR="00A961B6" w:rsidTr="000463BB" w14:paraId="3CF7C1A0" w14:textId="77777777">
        <w:trPr>
          <w:trHeight w:val="615"/>
        </w:trPr>
        <w:tc>
          <w:tcPr>
            <w:tcW w:w="2270" w:type="dxa"/>
          </w:tcPr>
          <w:p w:rsidRPr="00CB7ABE" w:rsidR="00A961B6" w:rsidP="000463BB" w:rsidRDefault="00A961B6" w14:paraId="3F4443AB" w14:textId="77777777">
            <w:pPr>
              <w:jc w:val="both"/>
              <w:rPr>
                <w:rFonts w:ascii="Verdana" w:hAnsi="Verdana" w:eastAsia="Calibri" w:cs="Arial"/>
                <w:b/>
                <w:bCs/>
                <w:color w:val="000000" w:themeColor="text1"/>
                <w:lang w:eastAsia="es-ES_tradnl"/>
              </w:rPr>
            </w:pPr>
          </w:p>
        </w:tc>
        <w:tc>
          <w:tcPr>
            <w:tcW w:w="6547" w:type="dxa"/>
          </w:tcPr>
          <w:p w:rsidRPr="00115E3D" w:rsidR="00A961B6" w:rsidP="000463BB" w:rsidRDefault="00A961B6" w14:paraId="38E4CF76" w14:textId="77777777">
            <w:pPr>
              <w:jc w:val="both"/>
              <w:rPr>
                <w:rFonts w:ascii="Verdana" w:hAnsi="Verdana" w:eastAsia="Calibri" w:cs="Arial"/>
                <w:b/>
                <w:bCs/>
                <w:color w:val="000000" w:themeColor="text1"/>
                <w:lang w:val="es-ES" w:eastAsia="es-ES"/>
              </w:rPr>
            </w:pPr>
            <w:r w:rsidRPr="00115E3D">
              <w:rPr>
                <w:rFonts w:ascii="Verdana" w:hAnsi="Verdana" w:eastAsia="Calibri" w:cs="Arial"/>
                <w:b/>
                <w:bCs/>
                <w:color w:val="000000" w:themeColor="text1"/>
                <w:lang w:val="es-ES" w:eastAsia="es-ES"/>
              </w:rPr>
              <w:t xml:space="preserve">Concepto C- </w:t>
            </w:r>
            <w:r>
              <w:rPr>
                <w:rFonts w:ascii="Verdana" w:hAnsi="Verdana" w:eastAsia="Calibri" w:cs="Arial"/>
                <w:b/>
                <w:bCs/>
                <w:color w:val="000000" w:themeColor="text1"/>
                <w:lang w:val="es-ES" w:eastAsia="es-ES"/>
              </w:rPr>
              <w:t xml:space="preserve">071 </w:t>
            </w:r>
            <w:r w:rsidRPr="00115E3D">
              <w:rPr>
                <w:rFonts w:ascii="Verdana" w:hAnsi="Verdana" w:eastAsia="Calibri" w:cs="Arial"/>
                <w:b/>
                <w:bCs/>
                <w:color w:val="000000" w:themeColor="text1"/>
                <w:lang w:val="es-ES" w:eastAsia="es-ES"/>
              </w:rPr>
              <w:t>de 202</w:t>
            </w:r>
            <w:r>
              <w:rPr>
                <w:rFonts w:ascii="Verdana" w:hAnsi="Verdana" w:eastAsia="Calibri" w:cs="Arial"/>
                <w:b/>
                <w:bCs/>
                <w:color w:val="000000" w:themeColor="text1"/>
                <w:lang w:val="es-ES" w:eastAsia="es-ES"/>
              </w:rPr>
              <w:t>6</w:t>
            </w:r>
          </w:p>
        </w:tc>
      </w:tr>
      <w:tr w:rsidRPr="007E403E" w:rsidR="00A961B6" w:rsidTr="000463BB" w14:paraId="67DCD69E" w14:textId="77777777">
        <w:trPr>
          <w:trHeight w:val="1071"/>
        </w:trPr>
        <w:tc>
          <w:tcPr>
            <w:tcW w:w="2270" w:type="dxa"/>
          </w:tcPr>
          <w:p w:rsidRPr="00115E3D" w:rsidR="00A961B6" w:rsidP="000463BB" w:rsidRDefault="00A961B6" w14:paraId="07CBF636" w14:textId="77777777">
            <w:pPr>
              <w:jc w:val="both"/>
              <w:rPr>
                <w:rFonts w:ascii="Verdana" w:hAnsi="Verdana" w:eastAsia="Calibri" w:cs="Arial"/>
                <w:color w:val="000000" w:themeColor="text1"/>
                <w:lang w:val="es-ES_tradnl" w:eastAsia="es-ES_tradnl"/>
              </w:rPr>
            </w:pPr>
            <w:r w:rsidRPr="00115E3D">
              <w:rPr>
                <w:rFonts w:ascii="Verdana" w:hAnsi="Verdana" w:eastAsia="Calibri" w:cs="Arial"/>
                <w:b/>
                <w:color w:val="000000" w:themeColor="text1"/>
                <w:lang w:val="es-ES_tradnl" w:eastAsia="es-ES_tradnl"/>
              </w:rPr>
              <w:t>Temas:</w:t>
            </w:r>
            <w:r w:rsidRPr="00115E3D">
              <w:rPr>
                <w:rFonts w:ascii="Verdana" w:hAnsi="Verdana" w:eastAsia="Calibri" w:cs="Arial"/>
                <w:color w:val="000000" w:themeColor="text1"/>
                <w:lang w:val="es-ES_tradnl" w:eastAsia="es-ES_tradnl"/>
              </w:rPr>
              <w:t xml:space="preserve">                   </w:t>
            </w:r>
          </w:p>
        </w:tc>
        <w:tc>
          <w:tcPr>
            <w:tcW w:w="6547" w:type="dxa"/>
          </w:tcPr>
          <w:p w:rsidR="00A961B6" w:rsidP="000463BB" w:rsidRDefault="00A961B6" w14:paraId="36B13C5A" w14:textId="77777777">
            <w:pPr>
              <w:spacing w:line="276" w:lineRule="auto"/>
              <w:jc w:val="both"/>
              <w:rPr>
                <w:rFonts w:ascii="Verdana" w:hAnsi="Verdana" w:cs="Arial"/>
                <w:bCs/>
              </w:rPr>
            </w:pPr>
            <w:r w:rsidRPr="00B63548">
              <w:rPr>
                <w:rFonts w:ascii="Verdana" w:hAnsi="Verdana" w:cs="Arial"/>
                <w:bCs/>
              </w:rPr>
              <w:t>REQUISITOS HABILITANTES – Concepto / REQUISITOS HABILITANTES – Carácter enunciativo – Artículo 5 de la Ley 1150 de 2007 / Requisitos Habilitantes – Acreditación – RU</w:t>
            </w:r>
            <w:r>
              <w:rPr>
                <w:rFonts w:ascii="Verdana" w:hAnsi="Verdana" w:cs="Arial"/>
                <w:bCs/>
              </w:rPr>
              <w:t>T</w:t>
            </w:r>
            <w:r w:rsidRPr="00B63548">
              <w:rPr>
                <w:rFonts w:ascii="Verdana" w:hAnsi="Verdana" w:cs="Arial"/>
                <w:bCs/>
              </w:rPr>
              <w:t xml:space="preserve"> –</w:t>
            </w:r>
            <w:r>
              <w:rPr>
                <w:rFonts w:ascii="Verdana" w:hAnsi="Verdana" w:cs="Arial"/>
                <w:bCs/>
              </w:rPr>
              <w:t>Comunicado DIAN</w:t>
            </w:r>
          </w:p>
          <w:p w:rsidRPr="007E403E" w:rsidR="00A961B6" w:rsidP="000463BB" w:rsidRDefault="00A961B6" w14:paraId="48650E27" w14:textId="77777777">
            <w:pPr>
              <w:spacing w:line="276" w:lineRule="auto"/>
              <w:jc w:val="both"/>
              <w:rPr>
                <w:rFonts w:ascii="Verdana" w:hAnsi="Verdana" w:eastAsia="Calibri" w:cs="Arial"/>
                <w:color w:val="000000" w:themeColor="text1"/>
                <w:highlight w:val="yellow"/>
                <w:lang w:val="es-ES" w:eastAsia="es-ES"/>
              </w:rPr>
            </w:pPr>
          </w:p>
        </w:tc>
      </w:tr>
      <w:tr w:rsidRPr="00115E3D" w:rsidR="00A961B6" w:rsidTr="000463BB" w14:paraId="4E85CB2E" w14:textId="77777777">
        <w:trPr>
          <w:trHeight w:val="653"/>
        </w:trPr>
        <w:tc>
          <w:tcPr>
            <w:tcW w:w="2270" w:type="dxa"/>
          </w:tcPr>
          <w:p w:rsidRPr="00CB7ABE" w:rsidR="00A961B6" w:rsidP="000463BB" w:rsidRDefault="00A961B6" w14:paraId="1E224D2F" w14:textId="77777777">
            <w:pPr>
              <w:jc w:val="both"/>
              <w:rPr>
                <w:rFonts w:ascii="Verdana" w:hAnsi="Verdana" w:eastAsia="Calibri" w:cs="Arial"/>
                <w:b/>
                <w:color w:val="000000" w:themeColor="text1"/>
                <w:lang w:val="es-ES_tradnl" w:eastAsia="es-ES_tradnl"/>
              </w:rPr>
            </w:pPr>
            <w:r w:rsidRPr="00CB7ABE">
              <w:rPr>
                <w:rFonts w:ascii="Verdana" w:hAnsi="Verdana" w:eastAsia="Calibri" w:cs="Arial"/>
                <w:b/>
                <w:color w:val="000000" w:themeColor="text1"/>
                <w:lang w:val="es-ES_tradnl" w:eastAsia="es-ES_tradnl"/>
              </w:rPr>
              <w:t>Radicación:</w:t>
            </w:r>
            <w:r w:rsidRPr="00CB7ABE">
              <w:rPr>
                <w:rFonts w:ascii="Verdana" w:hAnsi="Verdana" w:eastAsia="Calibri" w:cs="Arial"/>
                <w:color w:val="000000" w:themeColor="text1"/>
                <w:lang w:val="es-ES_tradnl" w:eastAsia="es-ES_tradnl"/>
              </w:rPr>
              <w:t xml:space="preserve">           </w:t>
            </w:r>
          </w:p>
        </w:tc>
        <w:tc>
          <w:tcPr>
            <w:tcW w:w="6547" w:type="dxa"/>
          </w:tcPr>
          <w:p w:rsidRPr="00CB7ABE" w:rsidR="00A961B6" w:rsidP="000463BB" w:rsidRDefault="00A961B6" w14:paraId="24F7B920" w14:textId="77777777">
            <w:pPr>
              <w:ind w:right="1"/>
              <w:jc w:val="both"/>
              <w:rPr>
                <w:rFonts w:ascii="Verdana" w:hAnsi="Verdana"/>
                <w:color w:val="000000"/>
              </w:rPr>
            </w:pPr>
            <w:r w:rsidRPr="00CB7ABE">
              <w:rPr>
                <w:rFonts w:ascii="Verdana" w:hAnsi="Verdana" w:eastAsia="Calibri" w:cs="Arial"/>
                <w:color w:val="000000" w:themeColor="text1"/>
                <w:lang w:val="es-ES_tradnl" w:eastAsia="es-ES_tradnl"/>
              </w:rPr>
              <w:t>Respuesta a consulta con radicado</w:t>
            </w:r>
            <w:r>
              <w:rPr>
                <w:rFonts w:ascii="Verdana" w:hAnsi="Verdana" w:eastAsia="Calibri" w:cs="Arial"/>
                <w:color w:val="000000" w:themeColor="text1"/>
                <w:lang w:val="es-ES_tradnl" w:eastAsia="es-ES_tradnl"/>
              </w:rPr>
              <w:t xml:space="preserve"> </w:t>
            </w:r>
            <w:proofErr w:type="spellStart"/>
            <w:r>
              <w:rPr>
                <w:rFonts w:ascii="Verdana" w:hAnsi="Verdana" w:eastAsia="Calibri" w:cs="Arial"/>
                <w:color w:val="000000" w:themeColor="text1"/>
                <w:lang w:val="es-ES_tradnl" w:eastAsia="es-ES_tradnl"/>
              </w:rPr>
              <w:t>Nº</w:t>
            </w:r>
            <w:proofErr w:type="spellEnd"/>
            <w:r>
              <w:rPr>
                <w:rFonts w:ascii="Verdana" w:hAnsi="Verdana" w:eastAsia="Calibri" w:cs="Arial"/>
                <w:color w:val="000000" w:themeColor="text1"/>
                <w:lang w:val="es-ES_tradnl" w:eastAsia="es-ES_tradnl"/>
              </w:rPr>
              <w:t xml:space="preserve"> </w:t>
            </w:r>
            <w:r w:rsidRPr="00074755">
              <w:rPr>
                <w:rFonts w:ascii="Verdana" w:hAnsi="Verdana"/>
                <w:color w:val="000000"/>
              </w:rPr>
              <w:t>1_2026_01_20_000575</w:t>
            </w:r>
          </w:p>
        </w:tc>
      </w:tr>
    </w:tbl>
    <w:p w:rsidRPr="00115E3D" w:rsidR="00A961B6" w:rsidP="00A961B6" w:rsidRDefault="00A961B6" w14:paraId="7DD07348" w14:textId="77777777">
      <w:pPr>
        <w:spacing w:after="0" w:line="240" w:lineRule="auto"/>
        <w:jc w:val="both"/>
        <w:rPr>
          <w:rFonts w:ascii="Verdana" w:hAnsi="Verdana" w:eastAsia="Calibri" w:cs="Arial"/>
          <w:color w:val="000000" w:themeColor="text1"/>
          <w:lang w:val="es-ES_tradnl" w:eastAsia="es-ES_tradnl"/>
        </w:rPr>
      </w:pPr>
    </w:p>
    <w:p w:rsidRPr="00115E3D" w:rsidR="00A961B6" w:rsidP="00A961B6" w:rsidRDefault="00A961B6" w14:paraId="40E38D9D" w14:textId="77777777">
      <w:pPr>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Estimad</w:t>
      </w:r>
      <w:r>
        <w:rPr>
          <w:rFonts w:ascii="Verdana" w:hAnsi="Verdana" w:eastAsia="Calibri" w:cs="Arial"/>
          <w:color w:val="000000" w:themeColor="text1"/>
          <w:lang w:val="es-ES" w:eastAsia="es-ES"/>
        </w:rPr>
        <w:t>a</w:t>
      </w:r>
      <w:r w:rsidRPr="00115E3D">
        <w:rPr>
          <w:rFonts w:ascii="Verdana" w:hAnsi="Verdana" w:eastAsia="Calibri" w:cs="Arial"/>
          <w:color w:val="000000" w:themeColor="text1"/>
          <w:lang w:val="es-ES" w:eastAsia="es-ES"/>
        </w:rPr>
        <w:t xml:space="preserve"> señor</w:t>
      </w:r>
      <w:r>
        <w:rPr>
          <w:rFonts w:ascii="Verdana" w:hAnsi="Verdana" w:eastAsia="Calibri" w:cs="Arial"/>
          <w:color w:val="000000" w:themeColor="text1"/>
          <w:lang w:val="es-ES" w:eastAsia="es-ES"/>
        </w:rPr>
        <w:t xml:space="preserve">a </w:t>
      </w:r>
      <w:r w:rsidRPr="00074755">
        <w:rPr>
          <w:rFonts w:ascii="Verdana" w:hAnsi="Verdana" w:eastAsia="Calibri" w:cs="Arial"/>
          <w:color w:val="000000" w:themeColor="text1"/>
          <w:lang w:eastAsia="es-ES"/>
        </w:rPr>
        <w:t>Palacios</w:t>
      </w:r>
      <w:r>
        <w:rPr>
          <w:rFonts w:ascii="Verdana" w:hAnsi="Verdana" w:eastAsia="Calibri" w:cs="Arial"/>
          <w:color w:val="000000" w:themeColor="text1"/>
          <w:lang w:val="es-ES" w:eastAsia="es-ES"/>
        </w:rPr>
        <w:t>;</w:t>
      </w:r>
    </w:p>
    <w:p w:rsidRPr="00115E3D" w:rsidR="00A961B6" w:rsidP="00A961B6" w:rsidRDefault="00A961B6" w14:paraId="74BC8EA2" w14:textId="77777777">
      <w:pPr>
        <w:tabs>
          <w:tab w:val="left" w:pos="3768"/>
        </w:tabs>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ab/>
      </w:r>
    </w:p>
    <w:p w:rsidRPr="00115E3D" w:rsidR="00A961B6" w:rsidP="00A961B6" w:rsidRDefault="00A961B6" w14:paraId="00B8CB73" w14:textId="77777777">
      <w:pPr>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En ejercicio de la competencia otorgada por los artículos 3, numeral 5º, y 11, numeral 8º, del Decreto Ley 4170 de 2011,</w:t>
      </w:r>
      <w:r w:rsidRPr="00115E3D">
        <w:rPr>
          <w:rFonts w:ascii="Verdana" w:hAnsi="Verdana" w:eastAsia="Arial MT"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hAnsi="Verdana" w:eastAsia="Calibri" w:cs="Arial"/>
          <w:color w:val="000000" w:themeColor="text1"/>
          <w:lang w:val="es-ES" w:eastAsia="es-ES"/>
        </w:rPr>
        <w:t>la Agencia Nacional de Contratación Pública – Colombia Compra Eficiente– responde su solicitud</w:t>
      </w:r>
      <w:r>
        <w:rPr>
          <w:rFonts w:ascii="Verdana" w:hAnsi="Verdana" w:eastAsia="Calibri" w:cs="Arial"/>
          <w:color w:val="000000" w:themeColor="text1"/>
          <w:lang w:val="es-ES" w:eastAsia="es-ES"/>
        </w:rPr>
        <w:t xml:space="preserve"> trasladada por el Departamento Administrativo de la Función Pública y radicada en esta entidad el 20 de enero</w:t>
      </w:r>
      <w:r w:rsidRPr="00115E3D">
        <w:rPr>
          <w:rFonts w:ascii="Verdana" w:hAnsi="Verdana" w:eastAsia="Calibri" w:cs="Arial"/>
          <w:color w:val="000000" w:themeColor="text1"/>
          <w:lang w:val="es-ES" w:eastAsia="es-ES"/>
        </w:rPr>
        <w:t xml:space="preserve"> de 20</w:t>
      </w:r>
      <w:r>
        <w:rPr>
          <w:rFonts w:ascii="Verdana" w:hAnsi="Verdana" w:eastAsia="Calibri" w:cs="Arial"/>
          <w:color w:val="000000" w:themeColor="text1"/>
          <w:lang w:val="es-ES" w:eastAsia="es-ES"/>
        </w:rPr>
        <w:t>26</w:t>
      </w:r>
      <w:r w:rsidRPr="00115E3D">
        <w:rPr>
          <w:rFonts w:ascii="Verdana" w:hAnsi="Verdana" w:eastAsia="Calibri" w:cs="Arial"/>
          <w:color w:val="000000" w:themeColor="text1"/>
          <w:lang w:val="es-ES" w:eastAsia="es-ES"/>
        </w:rPr>
        <w:t xml:space="preserve">, en la cual manifiesta lo siguiente: </w:t>
      </w:r>
    </w:p>
    <w:p w:rsidR="00A961B6" w:rsidP="00A961B6" w:rsidRDefault="00A961B6" w14:paraId="4C61B226" w14:textId="77777777">
      <w:pPr>
        <w:spacing w:after="0" w:line="240" w:lineRule="auto"/>
        <w:ind w:left="709" w:right="709"/>
        <w:jc w:val="both"/>
        <w:rPr>
          <w:rFonts w:ascii="Verdana" w:hAnsi="Verdana" w:eastAsia="Century Gothic" w:cs="Century Gothic"/>
          <w:i/>
          <w:iCs/>
          <w:color w:val="000000" w:themeColor="text1"/>
          <w:sz w:val="20"/>
          <w:szCs w:val="20"/>
          <w:lang w:val="es-ES"/>
        </w:rPr>
      </w:pPr>
      <w:bookmarkStart w:name="_Hlk95313578" w:id="0"/>
    </w:p>
    <w:bookmarkEnd w:id="0"/>
    <w:p w:rsidRPr="00DF13B0" w:rsidR="00A961B6" w:rsidP="00A961B6" w:rsidRDefault="00A961B6" w14:paraId="5AFC3E8F" w14:textId="77777777">
      <w:pPr>
        <w:spacing w:after="0" w:line="240" w:lineRule="auto"/>
        <w:ind w:left="709" w:right="709"/>
        <w:jc w:val="both"/>
        <w:rPr>
          <w:rFonts w:ascii="Verdana" w:hAnsi="Verdana" w:eastAsia="Century Gothic" w:cs="Century Gothic"/>
          <w:i/>
          <w:iCs/>
          <w:color w:val="000000" w:themeColor="text1"/>
          <w:sz w:val="20"/>
          <w:szCs w:val="20"/>
          <w:lang w:val="es-ES"/>
        </w:rPr>
      </w:pPr>
      <w:r w:rsidRPr="00DF13B0">
        <w:rPr>
          <w:rFonts w:ascii="Verdana" w:hAnsi="Verdana" w:eastAsia="Century Gothic" w:cs="Century Gothic"/>
          <w:i/>
          <w:iCs/>
          <w:color w:val="000000" w:themeColor="text1"/>
          <w:sz w:val="20"/>
          <w:szCs w:val="20"/>
          <w:lang w:val="es-ES"/>
        </w:rPr>
        <w:t>“</w:t>
      </w:r>
      <w:r w:rsidRPr="00C8101E">
        <w:rPr>
          <w:rFonts w:ascii="Verdana" w:hAnsi="Verdana" w:eastAsia="Century Gothic" w:cs="Century Gothic"/>
          <w:i/>
          <w:iCs/>
          <w:color w:val="000000" w:themeColor="text1"/>
          <w:sz w:val="20"/>
          <w:szCs w:val="20"/>
          <w:lang w:val="es-MX"/>
        </w:rPr>
        <w:t>Hola por favor me indican</w:t>
      </w:r>
      <w:r>
        <w:rPr>
          <w:rFonts w:ascii="Verdana" w:hAnsi="Verdana" w:eastAsia="Century Gothic" w:cs="Century Gothic"/>
          <w:i/>
          <w:iCs/>
          <w:color w:val="000000" w:themeColor="text1"/>
          <w:sz w:val="20"/>
          <w:szCs w:val="20"/>
          <w:lang w:val="es-MX"/>
        </w:rPr>
        <w:t xml:space="preserve"> </w:t>
      </w:r>
      <w:r w:rsidRPr="00C8101E">
        <w:rPr>
          <w:rFonts w:ascii="Verdana" w:hAnsi="Verdana" w:eastAsia="Century Gothic" w:cs="Century Gothic"/>
          <w:i/>
          <w:iCs/>
          <w:color w:val="000000" w:themeColor="text1"/>
          <w:sz w:val="20"/>
          <w:szCs w:val="20"/>
          <w:lang w:val="es-MX"/>
        </w:rPr>
        <w:t>si una persona que va a ser contratada por una entidad de orden territorial para la vigencia del 2026</w:t>
      </w:r>
      <w:r>
        <w:rPr>
          <w:rFonts w:ascii="Verdana" w:hAnsi="Verdana" w:eastAsia="Century Gothic" w:cs="Century Gothic"/>
          <w:i/>
          <w:iCs/>
          <w:color w:val="000000" w:themeColor="text1"/>
          <w:sz w:val="20"/>
          <w:szCs w:val="20"/>
          <w:lang w:val="es-MX"/>
        </w:rPr>
        <w:t xml:space="preserve"> </w:t>
      </w:r>
      <w:r w:rsidRPr="00C8101E">
        <w:rPr>
          <w:rFonts w:ascii="Verdana" w:hAnsi="Verdana" w:eastAsia="Century Gothic" w:cs="Century Gothic"/>
          <w:i/>
          <w:iCs/>
          <w:color w:val="000000" w:themeColor="text1"/>
          <w:sz w:val="20"/>
          <w:szCs w:val="20"/>
          <w:lang w:val="es-MX"/>
        </w:rPr>
        <w:t xml:space="preserve">hoy puede exigir un </w:t>
      </w:r>
      <w:r>
        <w:rPr>
          <w:rFonts w:ascii="Verdana" w:hAnsi="Verdana" w:eastAsia="Century Gothic" w:cs="Century Gothic"/>
          <w:i/>
          <w:iCs/>
          <w:color w:val="000000" w:themeColor="text1"/>
          <w:sz w:val="20"/>
          <w:szCs w:val="20"/>
          <w:lang w:val="es-MX"/>
        </w:rPr>
        <w:t>RUT</w:t>
      </w:r>
      <w:r w:rsidRPr="00C8101E">
        <w:rPr>
          <w:rFonts w:ascii="Verdana" w:hAnsi="Verdana" w:eastAsia="Century Gothic" w:cs="Century Gothic"/>
          <w:i/>
          <w:iCs/>
          <w:color w:val="000000" w:themeColor="text1"/>
          <w:sz w:val="20"/>
          <w:szCs w:val="20"/>
          <w:lang w:val="es-MX"/>
        </w:rPr>
        <w:t xml:space="preserve"> con fecha de impresión</w:t>
      </w:r>
      <w:r>
        <w:rPr>
          <w:rFonts w:ascii="Verdana" w:hAnsi="Verdana" w:eastAsia="Century Gothic" w:cs="Century Gothic"/>
          <w:i/>
          <w:iCs/>
          <w:color w:val="000000" w:themeColor="text1"/>
          <w:sz w:val="20"/>
          <w:szCs w:val="20"/>
          <w:lang w:val="es-MX"/>
        </w:rPr>
        <w:t xml:space="preserve"> de</w:t>
      </w:r>
      <w:r w:rsidRPr="00C8101E">
        <w:rPr>
          <w:rFonts w:ascii="Verdana" w:hAnsi="Verdana" w:eastAsia="Century Gothic" w:cs="Century Gothic"/>
          <w:i/>
          <w:iCs/>
          <w:color w:val="000000" w:themeColor="text1"/>
          <w:sz w:val="20"/>
          <w:szCs w:val="20"/>
          <w:lang w:val="es-MX"/>
        </w:rPr>
        <w:t xml:space="preserve"> ese mismo año</w:t>
      </w:r>
      <w:r>
        <w:rPr>
          <w:rFonts w:ascii="Verdana" w:hAnsi="Verdana" w:eastAsia="Century Gothic" w:cs="Century Gothic"/>
          <w:i/>
          <w:iCs/>
          <w:color w:val="000000" w:themeColor="text1"/>
          <w:sz w:val="20"/>
          <w:szCs w:val="20"/>
          <w:lang w:val="es-MX"/>
        </w:rPr>
        <w:t xml:space="preserve"> o le </w:t>
      </w:r>
      <w:r w:rsidRPr="00C8101E">
        <w:rPr>
          <w:rFonts w:ascii="Verdana" w:hAnsi="Verdana" w:eastAsia="Century Gothic" w:cs="Century Gothic"/>
          <w:i/>
          <w:iCs/>
          <w:color w:val="000000" w:themeColor="text1"/>
          <w:sz w:val="20"/>
          <w:szCs w:val="20"/>
          <w:lang w:val="es-MX"/>
        </w:rPr>
        <w:t>sirve la del 2025 tengo presente que</w:t>
      </w:r>
      <w:r>
        <w:rPr>
          <w:rFonts w:ascii="Verdana" w:hAnsi="Verdana" w:eastAsia="Century Gothic" w:cs="Century Gothic"/>
          <w:i/>
          <w:iCs/>
          <w:color w:val="000000" w:themeColor="text1"/>
          <w:sz w:val="20"/>
          <w:szCs w:val="20"/>
          <w:lang w:val="es-MX"/>
        </w:rPr>
        <w:t>,</w:t>
      </w:r>
      <w:r w:rsidRPr="00C8101E">
        <w:rPr>
          <w:rFonts w:ascii="Verdana" w:hAnsi="Verdana" w:eastAsia="Century Gothic" w:cs="Century Gothic"/>
          <w:i/>
          <w:iCs/>
          <w:color w:val="000000" w:themeColor="text1"/>
          <w:sz w:val="20"/>
          <w:szCs w:val="20"/>
          <w:lang w:val="es-MX"/>
        </w:rPr>
        <w:t xml:space="preserve"> según código tributario a menos que el tercero cambie algún dato de </w:t>
      </w:r>
      <w:r>
        <w:rPr>
          <w:rFonts w:ascii="Verdana" w:hAnsi="Verdana" w:eastAsia="Century Gothic" w:cs="Century Gothic"/>
          <w:i/>
          <w:iCs/>
          <w:color w:val="000000" w:themeColor="text1"/>
          <w:sz w:val="20"/>
          <w:szCs w:val="20"/>
          <w:lang w:val="es-MX"/>
        </w:rPr>
        <w:t xml:space="preserve">actualizarlo. De ser así, que implica que se </w:t>
      </w:r>
      <w:r w:rsidRPr="00C8101E">
        <w:rPr>
          <w:rFonts w:ascii="Verdana" w:hAnsi="Verdana" w:eastAsia="Century Gothic" w:cs="Century Gothic"/>
          <w:i/>
          <w:iCs/>
          <w:color w:val="000000" w:themeColor="text1"/>
          <w:sz w:val="20"/>
          <w:szCs w:val="20"/>
          <w:lang w:val="es-MX"/>
        </w:rPr>
        <w:t>le requiera la persona sí o sí que como requisito que sea impreso año 2026 teniendo en cuenta que este no se ha tenido cambio o actualizaciones</w:t>
      </w:r>
    </w:p>
    <w:p w:rsidR="00A961B6" w:rsidP="00A961B6" w:rsidRDefault="00A961B6" w14:paraId="19F8E8B1" w14:textId="77777777">
      <w:pPr>
        <w:spacing w:after="0" w:line="240" w:lineRule="auto"/>
        <w:ind w:left="709" w:right="709"/>
        <w:jc w:val="both"/>
        <w:rPr>
          <w:rFonts w:ascii="Verdana" w:hAnsi="Verdana" w:eastAsia="Century Gothic" w:cs="Century Gothic"/>
          <w:i/>
          <w:iCs/>
          <w:color w:val="000000" w:themeColor="text1"/>
          <w:sz w:val="20"/>
          <w:szCs w:val="20"/>
          <w:lang w:val="es-MX"/>
        </w:rPr>
      </w:pPr>
    </w:p>
    <w:p w:rsidR="00A961B6" w:rsidP="00A961B6" w:rsidRDefault="00A961B6" w14:paraId="7D0381A0" w14:textId="77777777">
      <w:pPr>
        <w:spacing w:after="0" w:line="240" w:lineRule="auto"/>
        <w:ind w:left="709" w:right="709"/>
        <w:jc w:val="both"/>
        <w:rPr>
          <w:rFonts w:ascii="Verdana" w:hAnsi="Verdana" w:eastAsia="Century Gothic" w:cs="Century Gothic"/>
          <w:i/>
          <w:iCs/>
          <w:color w:val="000000" w:themeColor="text1"/>
          <w:sz w:val="20"/>
          <w:szCs w:val="20"/>
        </w:rPr>
      </w:pPr>
      <w:r>
        <w:rPr>
          <w:rFonts w:ascii="Verdana" w:hAnsi="Verdana" w:eastAsia="Century Gothic" w:cs="Century Gothic"/>
          <w:i/>
          <w:iCs/>
          <w:color w:val="000000" w:themeColor="text1"/>
          <w:sz w:val="20"/>
          <w:szCs w:val="20"/>
          <w:lang w:val="es-MX"/>
        </w:rPr>
        <w:lastRenderedPageBreak/>
        <w:t>C</w:t>
      </w:r>
      <w:r w:rsidRPr="00C8101E">
        <w:rPr>
          <w:rFonts w:ascii="Verdana" w:hAnsi="Verdana" w:eastAsia="Century Gothic" w:cs="Century Gothic"/>
          <w:i/>
          <w:iCs/>
          <w:color w:val="000000" w:themeColor="text1"/>
          <w:sz w:val="20"/>
          <w:szCs w:val="20"/>
          <w:lang w:val="es-MX"/>
        </w:rPr>
        <w:t>on lo anterior</w:t>
      </w:r>
      <w:r>
        <w:rPr>
          <w:rFonts w:ascii="Verdana" w:hAnsi="Verdana" w:eastAsia="Century Gothic" w:cs="Century Gothic"/>
          <w:i/>
          <w:iCs/>
          <w:color w:val="000000" w:themeColor="text1"/>
          <w:sz w:val="20"/>
          <w:szCs w:val="20"/>
          <w:lang w:val="es-MX"/>
        </w:rPr>
        <w:t>,</w:t>
      </w:r>
      <w:r w:rsidRPr="00C8101E">
        <w:rPr>
          <w:rFonts w:ascii="Verdana" w:hAnsi="Verdana" w:eastAsia="Century Gothic" w:cs="Century Gothic"/>
          <w:i/>
          <w:iCs/>
          <w:color w:val="000000" w:themeColor="text1"/>
          <w:sz w:val="20"/>
          <w:szCs w:val="20"/>
          <w:lang w:val="es-MX"/>
        </w:rPr>
        <w:t xml:space="preserve"> hola es correcto que la entidad territorial exige impresión del</w:t>
      </w:r>
      <w:r>
        <w:rPr>
          <w:rFonts w:ascii="Verdana" w:hAnsi="Verdana" w:eastAsia="Century Gothic" w:cs="Century Gothic"/>
          <w:i/>
          <w:iCs/>
          <w:color w:val="000000" w:themeColor="text1"/>
          <w:sz w:val="20"/>
          <w:szCs w:val="20"/>
          <w:lang w:val="es-MX"/>
        </w:rPr>
        <w:t xml:space="preserve"> RUT</w:t>
      </w:r>
      <w:r w:rsidRPr="00C8101E">
        <w:rPr>
          <w:rFonts w:ascii="Verdana" w:hAnsi="Verdana" w:eastAsia="Century Gothic" w:cs="Century Gothic"/>
          <w:i/>
          <w:iCs/>
          <w:color w:val="000000" w:themeColor="text1"/>
          <w:sz w:val="20"/>
          <w:szCs w:val="20"/>
          <w:lang w:val="es-MX"/>
        </w:rPr>
        <w:t xml:space="preserve"> de año 2026 para contratar a una persona natural por prestación de servicios</w:t>
      </w:r>
      <w:r>
        <w:rPr>
          <w:rFonts w:ascii="Verdana" w:hAnsi="Verdana" w:eastAsia="Century Gothic" w:cs="Century Gothic"/>
          <w:i/>
          <w:iCs/>
          <w:color w:val="000000" w:themeColor="text1"/>
          <w:sz w:val="20"/>
          <w:szCs w:val="20"/>
          <w:lang w:val="es-MX"/>
        </w:rPr>
        <w:t>”</w:t>
      </w:r>
    </w:p>
    <w:p w:rsidR="00A961B6" w:rsidP="00A961B6" w:rsidRDefault="00A961B6" w14:paraId="0A90C13A" w14:textId="77777777">
      <w:pPr>
        <w:spacing w:after="0" w:line="240" w:lineRule="auto"/>
        <w:ind w:left="709" w:right="709"/>
        <w:jc w:val="both"/>
        <w:rPr>
          <w:rFonts w:ascii="Verdana" w:hAnsi="Verdana" w:eastAsia="Century Gothic" w:cs="Century Gothic"/>
          <w:i/>
          <w:iCs/>
          <w:color w:val="000000" w:themeColor="text1"/>
          <w:sz w:val="20"/>
          <w:szCs w:val="20"/>
        </w:rPr>
      </w:pPr>
    </w:p>
    <w:p w:rsidR="00A961B6" w:rsidP="00A961B6" w:rsidRDefault="00A961B6" w14:paraId="6E518956" w14:textId="77777777">
      <w:pPr>
        <w:spacing w:after="0" w:line="240" w:lineRule="auto"/>
        <w:ind w:left="709" w:right="709"/>
        <w:jc w:val="both"/>
        <w:rPr>
          <w:rFonts w:ascii="Verdana" w:hAnsi="Verdana" w:eastAsia="Century Gothic" w:cs="Century Gothic"/>
          <w:i/>
          <w:iCs/>
          <w:color w:val="000000" w:themeColor="text1"/>
          <w:sz w:val="20"/>
          <w:szCs w:val="20"/>
        </w:rPr>
      </w:pPr>
    </w:p>
    <w:p w:rsidR="00A961B6" w:rsidP="00A961B6" w:rsidRDefault="00A961B6" w14:paraId="490E9C15" w14:textId="77777777">
      <w:pPr>
        <w:spacing w:after="0" w:line="276" w:lineRule="auto"/>
        <w:ind w:right="51" w:firstLine="709"/>
        <w:jc w:val="both"/>
        <w:rPr>
          <w:rFonts w:ascii="Verdana" w:hAnsi="Verdana" w:eastAsia="Calibri" w:cs="Arial"/>
          <w:color w:val="000000" w:themeColor="text1"/>
          <w:szCs w:val="24"/>
          <w:lang w:val="es-ES_tradnl" w:eastAsia="es-ES_tradnl"/>
        </w:rPr>
      </w:pPr>
      <w:r w:rsidRPr="00115E3D">
        <w:rPr>
          <w:rFonts w:ascii="Verdana" w:hAnsi="Verdana" w:eastAsia="Calibri" w:cs="Arial"/>
          <w:color w:val="000000" w:themeColor="text1"/>
          <w:lang w:val="es-ES" w:eastAsia="es-ES"/>
        </w:rPr>
        <w:t>De manera preliminar, resulta necesario acotar que esta entidad solo tiene competencia para responder consultas sobre la aplicación de normas de carác</w:t>
      </w:r>
      <w:r>
        <w:rPr>
          <w:rFonts w:ascii="Verdana" w:hAnsi="Verdana" w:eastAsia="Calibri" w:cs="Arial"/>
          <w:color w:val="000000" w:themeColor="text1"/>
          <w:lang w:val="es-ES" w:eastAsia="es-ES"/>
        </w:rPr>
        <w:t>t</w:t>
      </w:r>
      <w:r w:rsidRPr="00115E3D">
        <w:rPr>
          <w:rFonts w:ascii="Verdana" w:hAnsi="Verdana" w:eastAsia="Calibri"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hAnsi="Verdana" w:eastAsia="Calibri" w:cs="Arial"/>
          <w:color w:val="000000" w:themeColor="text1"/>
          <w:szCs w:val="24"/>
          <w:lang w:val="es-ES_tradnl" w:eastAsia="es-ES_tradnl"/>
        </w:rPr>
        <w:tab/>
      </w:r>
    </w:p>
    <w:p w:rsidRPr="00115E3D" w:rsidR="00A961B6" w:rsidP="00A961B6" w:rsidRDefault="00A961B6" w14:paraId="5086A493" w14:textId="77777777">
      <w:pPr>
        <w:spacing w:after="0" w:line="240" w:lineRule="auto"/>
        <w:ind w:right="49"/>
        <w:jc w:val="both"/>
        <w:rPr>
          <w:rFonts w:ascii="Verdana" w:hAnsi="Verdana" w:eastAsia="Calibri" w:cs="Arial"/>
          <w:color w:val="000000" w:themeColor="text1"/>
          <w:szCs w:val="24"/>
          <w:lang w:val="es-ES_tradnl" w:eastAsia="es-ES_tradnl"/>
        </w:rPr>
      </w:pPr>
    </w:p>
    <w:p w:rsidRPr="00115E3D" w:rsidR="00A961B6" w:rsidP="00A961B6" w:rsidRDefault="00A961B6" w14:paraId="5864782A" w14:textId="77777777">
      <w:pPr>
        <w:spacing w:after="0" w:line="276" w:lineRule="auto"/>
        <w:ind w:firstLine="709"/>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hAnsi="Verdana" w:eastAsia="Calibri" w:cs="Arial"/>
          <w:color w:val="000000" w:themeColor="text1"/>
          <w:lang w:val="es-ES" w:eastAsia="es-ES"/>
        </w:rPr>
        <w:t xml:space="preserve"> </w:t>
      </w:r>
      <w:r w:rsidRPr="00115E3D">
        <w:rPr>
          <w:rFonts w:ascii="Verdana" w:hAnsi="Verdana" w:eastAsia="Calibri" w:cs="Arial"/>
          <w:color w:val="000000" w:themeColor="text1"/>
          <w:lang w:val="es-ES" w:eastAsia="es-ES"/>
        </w:rPr>
        <w:t xml:space="preserve">jurídico de su consulta. </w:t>
      </w:r>
    </w:p>
    <w:p w:rsidRPr="00115E3D" w:rsidR="00A961B6" w:rsidP="00A961B6" w:rsidRDefault="00A961B6" w14:paraId="2162B827" w14:textId="77777777">
      <w:pPr>
        <w:spacing w:after="0" w:line="276" w:lineRule="auto"/>
        <w:ind w:firstLine="709"/>
        <w:jc w:val="both"/>
        <w:rPr>
          <w:rFonts w:ascii="Verdana" w:hAnsi="Verdana" w:eastAsia="Calibri" w:cs="Arial"/>
          <w:color w:val="000000" w:themeColor="text1"/>
          <w:lang w:val="es-ES" w:eastAsia="es-ES"/>
        </w:rPr>
      </w:pPr>
    </w:p>
    <w:p w:rsidRPr="00115E3D" w:rsidR="00A961B6" w:rsidP="00A961B6" w:rsidRDefault="00A961B6" w14:paraId="633F824A"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Problema planteado:</w:t>
      </w:r>
    </w:p>
    <w:p w:rsidRPr="00115E3D" w:rsidR="00A961B6" w:rsidP="00A961B6" w:rsidRDefault="00A961B6" w14:paraId="16762DB9" w14:textId="77777777">
      <w:pPr>
        <w:tabs>
          <w:tab w:val="left" w:pos="426"/>
        </w:tabs>
        <w:spacing w:after="0" w:line="276" w:lineRule="auto"/>
        <w:jc w:val="both"/>
        <w:rPr>
          <w:rFonts w:ascii="Verdana" w:hAnsi="Verdana" w:eastAsia="Century Gothic" w:cs="Century Gothic"/>
          <w:color w:val="000000" w:themeColor="text1"/>
          <w:lang w:val="es-ES"/>
        </w:rPr>
      </w:pPr>
    </w:p>
    <w:p w:rsidR="00A961B6" w:rsidP="00A961B6" w:rsidRDefault="00A961B6" w14:paraId="4EC4C7B5" w14:textId="77777777">
      <w:pPr>
        <w:spacing w:after="0" w:line="276" w:lineRule="auto"/>
        <w:jc w:val="both"/>
        <w:rPr>
          <w:rFonts w:ascii="Verdana" w:hAnsi="Verdana" w:eastAsia="Century Gothic" w:cs="Century Gothic"/>
          <w:i/>
          <w:iCs/>
        </w:rPr>
      </w:pPr>
      <w:r w:rsidRPr="00115E3D">
        <w:rPr>
          <w:rFonts w:ascii="Verdana" w:hAnsi="Verdana" w:eastAsia="Century Gothic" w:cs="Century Gothic"/>
          <w:color w:val="000000" w:themeColor="text1"/>
        </w:rPr>
        <w:t>De acuerdo con el contenido de su solicitud, esta Agencia resolverá el siguiente problema jurídico:</w:t>
      </w:r>
      <w:r w:rsidRPr="00946693">
        <w:t xml:space="preserve"> </w:t>
      </w:r>
      <w:r w:rsidRPr="00946693">
        <w:rPr>
          <w:rFonts w:ascii="Verdana" w:hAnsi="Verdana" w:eastAsia="Century Gothic" w:cs="Century Gothic"/>
          <w:color w:val="000000" w:themeColor="text1"/>
        </w:rPr>
        <w:t>¿</w:t>
      </w:r>
      <w:r w:rsidRPr="00171455">
        <w:rPr>
          <w:rFonts w:ascii="Verdana" w:hAnsi="Verdana" w:eastAsia="Century Gothic" w:cs="Century Gothic"/>
          <w:color w:val="000000" w:themeColor="text1"/>
        </w:rPr>
        <w:t>Puede una entidad estatal exigir</w:t>
      </w:r>
      <w:r>
        <w:rPr>
          <w:rFonts w:ascii="Verdana" w:hAnsi="Verdana" w:eastAsia="Century Gothic" w:cs="Century Gothic"/>
          <w:color w:val="000000" w:themeColor="text1"/>
        </w:rPr>
        <w:t xml:space="preserve"> </w:t>
      </w:r>
      <w:r w:rsidRPr="00171455">
        <w:rPr>
          <w:rFonts w:ascii="Verdana" w:hAnsi="Verdana" w:eastAsia="Century Gothic" w:cs="Century Gothic"/>
          <w:color w:val="000000" w:themeColor="text1"/>
        </w:rPr>
        <w:t xml:space="preserve">para la celebración de contratos de prestación de servicios con personas naturales, que el Registro Único Tributario (RUT) tenga una fecha de impresión correspondiente a la vigencia </w:t>
      </w:r>
      <w:r>
        <w:rPr>
          <w:rFonts w:ascii="Verdana" w:hAnsi="Verdana" w:eastAsia="Century Gothic" w:cs="Century Gothic"/>
          <w:color w:val="000000" w:themeColor="text1"/>
        </w:rPr>
        <w:t>en que la se pretende suscribir el contrato</w:t>
      </w:r>
      <w:r w:rsidRPr="00946693">
        <w:rPr>
          <w:rFonts w:ascii="Verdana" w:hAnsi="Verdana" w:eastAsia="Century Gothic" w:cs="Century Gothic"/>
          <w:color w:val="000000" w:themeColor="text1"/>
        </w:rPr>
        <w:t>?</w:t>
      </w:r>
    </w:p>
    <w:p w:rsidR="00A961B6" w:rsidP="00A961B6" w:rsidRDefault="00A961B6" w14:paraId="6E2E38C0" w14:textId="77777777">
      <w:pPr>
        <w:spacing w:after="0" w:line="276" w:lineRule="auto"/>
        <w:jc w:val="both"/>
        <w:rPr>
          <w:rFonts w:ascii="Verdana" w:hAnsi="Verdana" w:eastAsia="Century Gothic" w:cs="Century Gothic"/>
          <w:color w:val="000000" w:themeColor="text1"/>
        </w:rPr>
      </w:pPr>
    </w:p>
    <w:p w:rsidRPr="00115E3D" w:rsidR="00A961B6" w:rsidP="00A961B6" w:rsidRDefault="00A961B6" w14:paraId="7E442152"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Respuesta:</w:t>
      </w:r>
    </w:p>
    <w:p w:rsidRPr="00115E3D" w:rsidR="00A961B6" w:rsidP="00A961B6" w:rsidRDefault="00A961B6" w14:paraId="16BF457F"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115E3D" w:rsidR="00A961B6" w:rsidTr="000463BB" w14:paraId="5148D066" w14:textId="77777777">
        <w:trPr>
          <w:trHeight w:val="774"/>
        </w:trPr>
        <w:tc>
          <w:tcPr>
            <w:tcW w:w="8828" w:type="dxa"/>
          </w:tcPr>
          <w:p w:rsidRPr="008F1280" w:rsidR="00A961B6" w:rsidP="000463BB" w:rsidRDefault="00A961B6" w14:paraId="42D9D29B" w14:textId="77777777">
            <w:pPr>
              <w:spacing w:line="276" w:lineRule="auto"/>
              <w:jc w:val="both"/>
              <w:rPr>
                <w:rFonts w:ascii="Verdana" w:hAnsi="Verdana" w:eastAsia="Calibri" w:cs="Arial"/>
              </w:rPr>
            </w:pPr>
            <w:r>
              <w:rPr>
                <w:rFonts w:ascii="Verdana" w:hAnsi="Verdana" w:eastAsia="Calibri" w:cs="Arial"/>
              </w:rPr>
              <w:t xml:space="preserve">          </w:t>
            </w:r>
            <w:r w:rsidRPr="008F1280">
              <w:rPr>
                <w:rFonts w:ascii="Verdana" w:hAnsi="Verdana" w:eastAsia="Calibri" w:cs="Arial"/>
              </w:rPr>
              <w:t xml:space="preserve">De manera preliminar es pertinente indicar que los requisitos habilitantes son aquellas exigencias de participación en los procedimientos de </w:t>
            </w:r>
            <w:r w:rsidRPr="008F1280">
              <w:rPr>
                <w:rFonts w:ascii="Verdana" w:hAnsi="Verdana" w:eastAsia="Calibri" w:cs="Arial"/>
              </w:rPr>
              <w:lastRenderedPageBreak/>
              <w:t xml:space="preserve">selección establecidas en normas legales o reglamentarias, o en los documentos que rigen </w:t>
            </w:r>
            <w:r>
              <w:rPr>
                <w:rFonts w:ascii="Verdana" w:hAnsi="Verdana" w:eastAsia="Calibri" w:cs="Arial"/>
              </w:rPr>
              <w:t xml:space="preserve">los procesos de </w:t>
            </w:r>
            <w:r w:rsidRPr="008F1280">
              <w:rPr>
                <w:rFonts w:ascii="Verdana" w:hAnsi="Verdana" w:eastAsia="Calibri" w:cs="Arial"/>
              </w:rPr>
              <w:t>contratación</w:t>
            </w:r>
            <w:r>
              <w:rPr>
                <w:rFonts w:ascii="Verdana" w:hAnsi="Verdana" w:eastAsia="Calibri" w:cs="Arial"/>
              </w:rPr>
              <w:t xml:space="preserve"> en sus diferentes modalidades.</w:t>
            </w:r>
            <w:r w:rsidRPr="008F1280">
              <w:rPr>
                <w:rFonts w:ascii="Verdana" w:hAnsi="Verdana" w:eastAsia="Calibri" w:cs="Arial"/>
              </w:rPr>
              <w:t xml:space="preserve"> </w:t>
            </w:r>
          </w:p>
          <w:p w:rsidRPr="008F1280" w:rsidR="00A961B6" w:rsidP="000463BB" w:rsidRDefault="00A961B6" w14:paraId="39716A5D" w14:textId="77777777">
            <w:pPr>
              <w:spacing w:line="276" w:lineRule="auto"/>
              <w:jc w:val="both"/>
              <w:rPr>
                <w:rFonts w:ascii="Verdana" w:hAnsi="Verdana" w:eastAsia="Calibri" w:cs="Arial"/>
              </w:rPr>
            </w:pPr>
          </w:p>
          <w:p w:rsidR="00A961B6" w:rsidP="000463BB" w:rsidRDefault="00A961B6" w14:paraId="4F0A3465" w14:textId="77777777">
            <w:pPr>
              <w:spacing w:line="276" w:lineRule="auto"/>
              <w:jc w:val="both"/>
              <w:rPr>
                <w:rFonts w:ascii="Verdana" w:hAnsi="Verdana" w:eastAsia="Calibri" w:cs="Arial"/>
              </w:rPr>
            </w:pPr>
            <w:r>
              <w:rPr>
                <w:rFonts w:ascii="Verdana" w:hAnsi="Verdana" w:eastAsia="Calibri" w:cs="Arial"/>
              </w:rPr>
              <w:t xml:space="preserve">           </w:t>
            </w:r>
            <w:r w:rsidRPr="008F1280">
              <w:rPr>
                <w:rFonts w:ascii="Verdana" w:hAnsi="Verdana" w:eastAsia="Calibri" w:cs="Arial"/>
              </w:rPr>
              <w:t>De acuerdo con la normativa contractual, dentro de los requisitos habilitantes se verifica, entre otros aspectos, la capacidad jurídica, entendida como la aptitud de una persona natural o jurídica para celebrar contratos con el Estado, esto es: (i) la capacidad para obligarse válidamente al cumplimiento del objeto contractual y (</w:t>
            </w:r>
            <w:proofErr w:type="spellStart"/>
            <w:r w:rsidRPr="008F1280">
              <w:rPr>
                <w:rFonts w:ascii="Verdana" w:hAnsi="Verdana" w:eastAsia="Calibri" w:cs="Arial"/>
              </w:rPr>
              <w:t>ii</w:t>
            </w:r>
            <w:proofErr w:type="spellEnd"/>
            <w:r w:rsidRPr="008F1280">
              <w:rPr>
                <w:rFonts w:ascii="Verdana" w:hAnsi="Verdana" w:eastAsia="Calibri" w:cs="Arial"/>
              </w:rPr>
              <w:t>) la ausencia de inhabilidades o incompatibilidades que impidan contratar.</w:t>
            </w:r>
          </w:p>
          <w:p w:rsidR="00A961B6" w:rsidP="000463BB" w:rsidRDefault="00A961B6" w14:paraId="5588F2E3" w14:textId="77777777">
            <w:pPr>
              <w:spacing w:line="276" w:lineRule="auto"/>
              <w:jc w:val="both"/>
              <w:rPr>
                <w:rFonts w:ascii="Verdana" w:hAnsi="Verdana" w:eastAsia="Calibri" w:cs="Arial"/>
              </w:rPr>
            </w:pPr>
          </w:p>
          <w:p w:rsidR="00A961B6" w:rsidP="000463BB" w:rsidRDefault="00A961B6" w14:paraId="01DAD366" w14:textId="77777777">
            <w:pPr>
              <w:spacing w:line="276" w:lineRule="auto"/>
              <w:jc w:val="both"/>
              <w:rPr>
                <w:rFonts w:ascii="Verdana" w:hAnsi="Verdana" w:eastAsia="Calibri" w:cs="Arial"/>
              </w:rPr>
            </w:pPr>
            <w:r>
              <w:rPr>
                <w:rFonts w:ascii="Verdana" w:hAnsi="Verdana" w:eastAsia="Calibri" w:cs="Arial"/>
              </w:rPr>
              <w:t xml:space="preserve">            </w:t>
            </w:r>
            <w:r w:rsidRPr="00A3355E">
              <w:rPr>
                <w:rFonts w:ascii="Verdana" w:hAnsi="Verdana" w:eastAsia="Calibri" w:cs="Arial"/>
              </w:rPr>
              <w:t xml:space="preserve">Para los contratos de prestación de servicios en Colombia, los requisitos habilitantes constituyen las condiciones mínimas obligatorias que debe cumplir el contratista para asegurar que es apto para el </w:t>
            </w:r>
            <w:r>
              <w:rPr>
                <w:rFonts w:ascii="Verdana" w:hAnsi="Verdana" w:eastAsia="Calibri" w:cs="Arial"/>
              </w:rPr>
              <w:t>cumplimiento del objeto contractual</w:t>
            </w:r>
            <w:r w:rsidRPr="00A3355E">
              <w:rPr>
                <w:rFonts w:ascii="Verdana" w:hAnsi="Verdana" w:eastAsia="Calibri" w:cs="Arial"/>
              </w:rPr>
              <w:t>. Estos se centran en la capacidad jurídica (ausencia de inhabilidades e incompatibilidades legales), la experiencia (trayectoria comprobable en actividades similares) y, fundamentalmente, la idoneidad (formación académica y conocimientos técnicos que justifican la contratación según el Art. 2.2.1.2.1.4.9 del Decreto 1082 de 2015).</w:t>
            </w:r>
          </w:p>
          <w:p w:rsidRPr="008F1280" w:rsidR="00A961B6" w:rsidP="000463BB" w:rsidRDefault="00A961B6" w14:paraId="42EC96DE" w14:textId="77777777">
            <w:pPr>
              <w:spacing w:line="276" w:lineRule="auto"/>
              <w:jc w:val="both"/>
              <w:rPr>
                <w:rFonts w:ascii="Verdana" w:hAnsi="Verdana" w:eastAsia="Calibri" w:cs="Arial"/>
              </w:rPr>
            </w:pPr>
          </w:p>
          <w:p w:rsidRPr="008F1280" w:rsidR="00A961B6" w:rsidP="000463BB" w:rsidRDefault="00A961B6" w14:paraId="09649FF1" w14:textId="77777777">
            <w:pPr>
              <w:spacing w:line="276" w:lineRule="auto"/>
              <w:jc w:val="both"/>
              <w:rPr>
                <w:rFonts w:ascii="Verdana" w:hAnsi="Verdana" w:eastAsia="Calibri" w:cs="Arial"/>
              </w:rPr>
            </w:pPr>
            <w:r>
              <w:rPr>
                <w:rFonts w:ascii="Verdana" w:hAnsi="Verdana" w:eastAsia="Calibri" w:cs="Arial"/>
              </w:rPr>
              <w:t xml:space="preserve">        </w:t>
            </w:r>
            <w:r w:rsidRPr="008F1280">
              <w:rPr>
                <w:rFonts w:ascii="Verdana" w:hAnsi="Verdana" w:eastAsia="Calibri" w:cs="Arial"/>
              </w:rPr>
              <w:t>Ahora bien, la ley no establece de manera taxativa las condiciones de tiempo, modo o características formales de los documentos mediante los cuales debe acreditarse dicha capacidad</w:t>
            </w:r>
            <w:r>
              <w:rPr>
                <w:rFonts w:ascii="Verdana" w:hAnsi="Verdana" w:eastAsia="Calibri" w:cs="Arial"/>
              </w:rPr>
              <w:t>, entre los que se encuentran el Registro Único Tributario (RUT)</w:t>
            </w:r>
            <w:r w:rsidRPr="008F1280">
              <w:rPr>
                <w:rFonts w:ascii="Verdana" w:hAnsi="Verdana" w:eastAsia="Calibri" w:cs="Arial"/>
              </w:rPr>
              <w:t xml:space="preserve">. </w:t>
            </w:r>
          </w:p>
          <w:p w:rsidRPr="008F1280" w:rsidR="00A961B6" w:rsidP="000463BB" w:rsidRDefault="00A961B6" w14:paraId="74588A22" w14:textId="77777777">
            <w:pPr>
              <w:spacing w:line="276" w:lineRule="auto"/>
              <w:jc w:val="both"/>
              <w:rPr>
                <w:rFonts w:ascii="Verdana" w:hAnsi="Verdana" w:eastAsia="Calibri" w:cs="Arial"/>
              </w:rPr>
            </w:pPr>
          </w:p>
          <w:p w:rsidR="00A961B6" w:rsidP="000463BB" w:rsidRDefault="00A961B6" w14:paraId="03B8334A" w14:textId="77777777">
            <w:pPr>
              <w:spacing w:line="276" w:lineRule="auto"/>
              <w:jc w:val="both"/>
              <w:rPr>
                <w:rFonts w:ascii="Verdana" w:hAnsi="Verdana" w:eastAsia="Calibri" w:cs="Arial"/>
              </w:rPr>
            </w:pPr>
            <w:r>
              <w:rPr>
                <w:rFonts w:ascii="Verdana" w:hAnsi="Verdana" w:eastAsia="Calibri" w:cs="Arial"/>
              </w:rPr>
              <w:t xml:space="preserve">         </w:t>
            </w:r>
            <w:r w:rsidRPr="0003198F">
              <w:rPr>
                <w:rFonts w:ascii="Verdana" w:hAnsi="Verdana" w:eastAsia="Calibri" w:cs="Arial"/>
              </w:rPr>
              <w:t xml:space="preserve">En ese contexto, </w:t>
            </w:r>
            <w:r>
              <w:rPr>
                <w:rFonts w:ascii="Verdana" w:hAnsi="Verdana" w:eastAsia="Calibri" w:cs="Arial"/>
              </w:rPr>
              <w:t xml:space="preserve">mediante comunicado </w:t>
            </w:r>
            <w:proofErr w:type="spellStart"/>
            <w:r>
              <w:rPr>
                <w:rFonts w:ascii="Verdana" w:hAnsi="Verdana" w:eastAsia="Calibri" w:cs="Arial"/>
              </w:rPr>
              <w:t>Nº</w:t>
            </w:r>
            <w:proofErr w:type="spellEnd"/>
            <w:r>
              <w:rPr>
                <w:rFonts w:ascii="Verdana" w:hAnsi="Verdana" w:eastAsia="Calibri" w:cs="Arial"/>
              </w:rPr>
              <w:t xml:space="preserve"> 001 del 07 de enero de 2025 la Dirección de Impuestos y Aduanas Nacionales (DIAN) estableció: </w:t>
            </w:r>
            <w:r w:rsidRPr="00B7412A">
              <w:rPr>
                <w:rFonts w:ascii="Verdana" w:hAnsi="Verdana" w:eastAsia="Calibri" w:cs="Arial"/>
                <w:i/>
                <w:iCs/>
              </w:rPr>
              <w:t>“</w:t>
            </w:r>
            <w:r w:rsidRPr="00B7412A">
              <w:rPr>
                <w:rFonts w:ascii="Verdana" w:hAnsi="Verdana" w:eastAsia="Calibri" w:cs="Arial"/>
                <w:i/>
                <w:iCs/>
                <w:lang w:val="es-MX"/>
              </w:rPr>
              <w:t>La DIAN reitera a la ciudadanía que el RUT tiene vigencia indefinida y sólo debe ser actualizado cuando haya cambios en el lugar de residencia número telefónico correo electrónico actividad económica responsabilidades o algún otro atributo o característica que se encuentre dentro el registro del contribuyente, esto ,de acuerdo con lo establecido en los artículos 555-1 Y 658-3 numeral 3 del Estatuto Tributario y el artículo 1.6.1.2.7 del Decreto 1625 de 2016”.</w:t>
            </w:r>
            <w:r>
              <w:rPr>
                <w:rFonts w:ascii="Verdana" w:hAnsi="Verdana" w:eastAsia="Calibri" w:cs="Arial"/>
              </w:rPr>
              <w:t xml:space="preserve"> </w:t>
            </w:r>
          </w:p>
          <w:p w:rsidR="00A961B6" w:rsidP="000463BB" w:rsidRDefault="00A961B6" w14:paraId="4C9457F4" w14:textId="77777777">
            <w:pPr>
              <w:spacing w:line="276" w:lineRule="auto"/>
              <w:jc w:val="both"/>
              <w:rPr>
                <w:rFonts w:ascii="Verdana" w:hAnsi="Verdana" w:eastAsia="Calibri" w:cs="Arial"/>
              </w:rPr>
            </w:pPr>
          </w:p>
          <w:p w:rsidRPr="00D340CB" w:rsidR="00A961B6" w:rsidP="000463BB" w:rsidRDefault="00A961B6" w14:paraId="71FEFCB6" w14:textId="77777777">
            <w:pPr>
              <w:spacing w:line="276" w:lineRule="auto"/>
              <w:jc w:val="both"/>
              <w:rPr>
                <w:rFonts w:ascii="Verdana" w:hAnsi="Verdana" w:eastAsia="Calibri" w:cs="Arial"/>
              </w:rPr>
            </w:pPr>
            <w:r>
              <w:rPr>
                <w:rFonts w:ascii="Verdana" w:hAnsi="Verdana" w:eastAsia="Calibri" w:cs="Arial"/>
              </w:rPr>
              <w:t xml:space="preserve">         </w:t>
            </w:r>
            <w:r w:rsidRPr="00D340CB">
              <w:rPr>
                <w:rFonts w:ascii="Verdana" w:hAnsi="Verdana" w:eastAsia="Calibri" w:cs="Arial"/>
              </w:rPr>
              <w:t xml:space="preserve">En consecuencia, las entidades estatales, en ejercicio de su autonomía, pueden definir en los documentos precontractuales los requisitos y soportes </w:t>
            </w:r>
            <w:r w:rsidRPr="00D340CB">
              <w:rPr>
                <w:rFonts w:ascii="Verdana" w:hAnsi="Verdana" w:eastAsia="Calibri" w:cs="Arial"/>
              </w:rPr>
              <w:lastRenderedPageBreak/>
              <w:t xml:space="preserve">necesarios para verificar la idoneidad, experiencia o situación jurídica del contratista, </w:t>
            </w:r>
            <w:r>
              <w:rPr>
                <w:rFonts w:ascii="Verdana" w:hAnsi="Verdana" w:eastAsia="Calibri" w:cs="Arial"/>
              </w:rPr>
              <w:t xml:space="preserve">teniendo en cuenta la normatividad y las directrices anteriormente descritas, </w:t>
            </w:r>
            <w:r w:rsidRPr="00D340CB">
              <w:rPr>
                <w:rFonts w:ascii="Verdana" w:hAnsi="Verdana" w:eastAsia="Calibri" w:cs="Arial"/>
              </w:rPr>
              <w:t>siempre que estos sean adecuados, verificables y compatibles con el principio de selección objetiva.</w:t>
            </w:r>
          </w:p>
          <w:p w:rsidR="00A961B6" w:rsidP="000463BB" w:rsidRDefault="00A961B6" w14:paraId="35B24451" w14:textId="3AC4E61F">
            <w:pPr>
              <w:spacing w:line="276" w:lineRule="auto"/>
              <w:jc w:val="both"/>
              <w:rPr>
                <w:rFonts w:ascii="Verdana" w:hAnsi="Verdana" w:eastAsia="Calibri" w:cs="Arial"/>
              </w:rPr>
            </w:pPr>
            <w:r>
              <w:rPr>
                <w:rFonts w:ascii="Verdana" w:hAnsi="Verdana" w:eastAsia="Calibri" w:cs="Arial"/>
              </w:rPr>
              <w:t xml:space="preserve"> </w:t>
            </w:r>
          </w:p>
          <w:p w:rsidR="00A961B6" w:rsidP="000463BB" w:rsidRDefault="00A961B6" w14:paraId="12F3A727" w14:textId="77777777">
            <w:pPr>
              <w:spacing w:line="276" w:lineRule="auto"/>
              <w:contextualSpacing/>
              <w:jc w:val="both"/>
            </w:pPr>
            <w:r>
              <w:rPr>
                <w:rFonts w:ascii="Verdana" w:hAnsi="Verdana" w:eastAsia="Calibri" w:cs="Arial"/>
                <w:bCs/>
                <w:color w:val="000000" w:themeColor="text1"/>
              </w:rPr>
              <w:t xml:space="preserve">          Finalmente</w:t>
            </w:r>
            <w:r>
              <w:rPr>
                <w:rFonts w:ascii="Verdana" w:hAnsi="Verdana" w:eastAsia="Calibri" w:cs="Times New Roman"/>
                <w:lang w:val="es-ES"/>
              </w:rPr>
              <w:t>,</w:t>
            </w:r>
            <w:r w:rsidRPr="00DB4737">
              <w:rPr>
                <w:rFonts w:ascii="Verdana" w:hAnsi="Verdana" w:eastAsia="Calibri" w:cs="Times New Roman"/>
                <w:lang w:val="es-ES"/>
              </w:rPr>
              <w:t xml:space="preserve"> debe advertirse que el análisis en torno </w:t>
            </w:r>
            <w:r>
              <w:rPr>
                <w:rFonts w:ascii="Verdana" w:hAnsi="Verdana" w:eastAsia="Calibri" w:cs="Times New Roman"/>
                <w:lang w:val="es-ES"/>
              </w:rPr>
              <w:t>a un proceso de contratación especifico debe</w:t>
            </w:r>
            <w:r w:rsidRPr="0012388D">
              <w:rPr>
                <w:rFonts w:ascii="Verdana" w:hAnsi="Verdana" w:eastAsia="Calibri" w:cs="Times New Roman"/>
                <w:lang w:val="es-ES"/>
              </w:rPr>
              <w:t xml:space="preserve"> ser realizado por quienes tengan interés en ello.</w:t>
            </w:r>
            <w:r w:rsidRPr="00DB4737">
              <w:rPr>
                <w:rFonts w:ascii="Verdana" w:hAnsi="Verdana" w:eastAsia="Calibri"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rsidR="00A961B6" w:rsidP="000463BB" w:rsidRDefault="00A961B6" w14:paraId="286040D6" w14:textId="77777777">
            <w:pPr>
              <w:spacing w:line="276" w:lineRule="auto"/>
              <w:contextualSpacing/>
              <w:jc w:val="both"/>
              <w:rPr>
                <w:rFonts w:ascii="Verdana" w:hAnsi="Verdana" w:eastAsia="Calibri" w:cs="Times New Roman"/>
                <w:lang w:val="es-ES"/>
              </w:rPr>
            </w:pPr>
          </w:p>
          <w:p w:rsidR="00A961B6" w:rsidP="000463BB" w:rsidRDefault="00A961B6" w14:paraId="0FA41807" w14:textId="24DD796E">
            <w:pPr>
              <w:spacing w:line="276" w:lineRule="auto"/>
              <w:contextualSpacing/>
              <w:jc w:val="both"/>
              <w:rPr>
                <w:rFonts w:ascii="Verdana" w:hAnsi="Verdana" w:eastAsia="Calibri" w:cs="Times New Roman"/>
                <w:lang w:val="es-ES"/>
              </w:rPr>
            </w:pPr>
            <w:r>
              <w:rPr>
                <w:rFonts w:ascii="Verdana" w:hAnsi="Verdana" w:eastAsia="Calibri" w:cs="Times New Roman"/>
                <w:lang w:val="es-ES"/>
              </w:rPr>
              <w:t xml:space="preserve">            </w:t>
            </w:r>
            <w:r w:rsidR="007253AC">
              <w:rPr>
                <w:rFonts w:ascii="Verdana" w:hAnsi="Verdana" w:eastAsia="Calibri" w:cs="Times New Roman"/>
                <w:lang w:val="es-ES"/>
              </w:rPr>
              <w:t>Así</w:t>
            </w:r>
            <w:r>
              <w:rPr>
                <w:rFonts w:ascii="Verdana" w:hAnsi="Verdana" w:eastAsia="Calibri" w:cs="Times New Roman"/>
                <w:lang w:val="es-ES"/>
              </w:rPr>
              <w:t xml:space="preserve"> las cosas</w:t>
            </w:r>
            <w:r w:rsidRPr="00DB4737">
              <w:rPr>
                <w:rFonts w:ascii="Verdana" w:hAnsi="Verdana" w:eastAsia="Calibri"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hAnsi="Verdana" w:eastAsia="Calibri" w:cs="Times New Roman"/>
                <w:lang w:val="es-ES"/>
              </w:rPr>
              <w:t>s</w:t>
            </w:r>
            <w:r w:rsidRPr="00DB4737">
              <w:rPr>
                <w:rFonts w:ascii="Verdana" w:hAnsi="Verdana" w:eastAsia="Calibri" w:cs="Times New Roman"/>
                <w:lang w:val="es-ES"/>
              </w:rPr>
              <w:t>.</w:t>
            </w:r>
          </w:p>
          <w:p w:rsidRPr="0029110A" w:rsidR="00A961B6" w:rsidP="000463BB" w:rsidRDefault="00A961B6" w14:paraId="253A868F" w14:textId="77777777">
            <w:pPr>
              <w:spacing w:line="276" w:lineRule="auto"/>
              <w:contextualSpacing/>
              <w:jc w:val="both"/>
              <w:rPr>
                <w:rFonts w:ascii="Verdana" w:hAnsi="Verdana" w:eastAsia="Calibri" w:cs="Times New Roman"/>
                <w:lang w:val="es-ES"/>
              </w:rPr>
            </w:pPr>
          </w:p>
        </w:tc>
      </w:tr>
      <w:tr w:rsidRPr="00115E3D" w:rsidR="00A961B6" w:rsidTr="000463BB" w14:paraId="66094308" w14:textId="77777777">
        <w:trPr>
          <w:trHeight w:val="162"/>
        </w:trPr>
        <w:tc>
          <w:tcPr>
            <w:tcW w:w="8828" w:type="dxa"/>
          </w:tcPr>
          <w:p w:rsidR="00A961B6" w:rsidP="000463BB" w:rsidRDefault="00A961B6" w14:paraId="716FB896" w14:textId="77777777">
            <w:pPr>
              <w:spacing w:line="276" w:lineRule="auto"/>
              <w:jc w:val="both"/>
              <w:rPr>
                <w:rFonts w:ascii="Verdana" w:hAnsi="Verdana" w:eastAsia="Calibri" w:cs="Arial"/>
              </w:rPr>
            </w:pPr>
          </w:p>
        </w:tc>
      </w:tr>
    </w:tbl>
    <w:p w:rsidRPr="00115E3D" w:rsidR="00A961B6" w:rsidP="00A961B6" w:rsidRDefault="00A961B6" w14:paraId="0C5D8385"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p>
    <w:p w:rsidRPr="00115E3D" w:rsidR="00A961B6" w:rsidP="00A961B6" w:rsidRDefault="00A961B6" w14:paraId="7A8B3139"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Razones de la respuesta:</w:t>
      </w:r>
    </w:p>
    <w:p w:rsidR="00A961B6" w:rsidP="00A961B6" w:rsidRDefault="00A961B6" w14:paraId="48EC427B" w14:textId="77777777">
      <w:pPr>
        <w:spacing w:after="0" w:line="276" w:lineRule="auto"/>
        <w:jc w:val="both"/>
        <w:rPr>
          <w:rFonts w:ascii="Verdana" w:hAnsi="Verdana" w:eastAsia="Calibri" w:cs="Arial"/>
          <w:lang w:val="es-ES"/>
        </w:rPr>
      </w:pPr>
    </w:p>
    <w:p w:rsidR="00A961B6" w:rsidP="00A961B6" w:rsidRDefault="00A961B6" w14:paraId="2ABF3C61" w14:textId="77777777">
      <w:pPr>
        <w:spacing w:after="0" w:line="276" w:lineRule="auto"/>
        <w:jc w:val="both"/>
        <w:rPr>
          <w:rFonts w:ascii="Verdana" w:hAnsi="Verdana" w:eastAsia="Calibri" w:cs="Arial"/>
          <w:lang w:val="es-ES" w:eastAsia="es-MX"/>
        </w:rPr>
      </w:pPr>
      <w:r>
        <w:rPr>
          <w:rFonts w:ascii="Verdana" w:hAnsi="Verdana" w:cs="Arial"/>
          <w:bCs/>
          <w:lang w:eastAsia="es-CO"/>
        </w:rPr>
        <w:tab/>
      </w:r>
      <w:bookmarkStart w:name="_Hlk99546562" w:id="1"/>
      <w:r>
        <w:rPr>
          <w:rFonts w:ascii="Verdana" w:hAnsi="Verdana" w:cs="Arial"/>
          <w:bCs/>
          <w:lang w:eastAsia="es-CO"/>
        </w:rPr>
        <w:t>L</w:t>
      </w:r>
      <w:r w:rsidRPr="7D9C0904">
        <w:rPr>
          <w:rFonts w:ascii="Verdana" w:hAnsi="Verdana" w:eastAsia="Calibri" w:cs="Arial"/>
          <w:lang w:val="es-ES" w:eastAsia="es-MX"/>
        </w:rPr>
        <w:t xml:space="preserve">os </w:t>
      </w:r>
      <w:r w:rsidRPr="7D9C0904">
        <w:rPr>
          <w:rFonts w:ascii="Verdana" w:hAnsi="Verdana" w:eastAsia="Calibri" w:cs="Arial"/>
          <w:i/>
          <w:iCs/>
          <w:lang w:val="es-ES" w:eastAsia="es-MX"/>
        </w:rPr>
        <w:t>requisitos habilitantes</w:t>
      </w:r>
      <w:r w:rsidRPr="7D9C0904">
        <w:rPr>
          <w:rFonts w:ascii="Verdana" w:hAnsi="Verdana" w:eastAsia="Calibri" w:cs="Arial"/>
          <w:lang w:val="es-ES"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 – es decir, en el Pliego de Condiciones o el documento equivalente a este –. </w:t>
      </w:r>
    </w:p>
    <w:p w:rsidRPr="003D0085" w:rsidR="00A961B6" w:rsidP="00A961B6" w:rsidRDefault="00A961B6" w14:paraId="057C2AF6" w14:textId="77777777">
      <w:pPr>
        <w:spacing w:after="0" w:line="276" w:lineRule="auto"/>
        <w:jc w:val="both"/>
        <w:rPr>
          <w:rFonts w:ascii="Verdana" w:hAnsi="Verdana" w:eastAsia="Calibri" w:cs="Arial"/>
          <w:lang w:val="es-ES" w:eastAsia="es-MX"/>
        </w:rPr>
      </w:pPr>
    </w:p>
    <w:bookmarkEnd w:id="1"/>
    <w:p w:rsidR="00A961B6" w:rsidP="00A961B6" w:rsidRDefault="00A961B6" w14:paraId="0788CB0E" w14:textId="77777777">
      <w:pPr>
        <w:spacing w:after="120" w:line="276" w:lineRule="auto"/>
        <w:ind w:firstLine="708"/>
        <w:jc w:val="both"/>
        <w:rPr>
          <w:rFonts w:ascii="Verdana" w:hAnsi="Verdana" w:eastAsia="Calibri" w:cs="Arial"/>
          <w:lang w:val="es-ES" w:eastAsia="es-MX"/>
        </w:rPr>
      </w:pPr>
      <w:r w:rsidRPr="7D9C0904">
        <w:rPr>
          <w:rFonts w:ascii="Verdana" w:hAnsi="Verdana" w:eastAsia="Calibri" w:cs="Arial"/>
          <w:lang w:val="es-ES" w:eastAsia="es-MX"/>
        </w:rPr>
        <w:t xml:space="preserve">Los requisitos habilitantes constituyen los requerimientos mínimos con los que deben cumplir los proponentes para poder participar en el procedimiento de selección, razón por la que los mismos no se valoran con un puntaje tendiente </w:t>
      </w:r>
      <w:r w:rsidRPr="7D9C0904">
        <w:rPr>
          <w:rFonts w:ascii="Verdana" w:hAnsi="Verdana" w:eastAsia="Calibri" w:cs="Arial"/>
          <w:lang w:val="es-ES" w:eastAsia="es-MX"/>
        </w:rPr>
        <w:lastRenderedPageBreak/>
        <w:t>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rsidRPr="003D0085" w:rsidR="00A961B6" w:rsidP="00A961B6" w:rsidRDefault="00A961B6" w14:paraId="25E28798" w14:textId="77777777">
      <w:pPr>
        <w:spacing w:after="120" w:line="276" w:lineRule="auto"/>
        <w:ind w:firstLine="708"/>
        <w:jc w:val="both"/>
        <w:rPr>
          <w:rFonts w:ascii="Verdana" w:hAnsi="Verdana" w:eastAsia="Calibri" w:cs="Arial"/>
          <w:lang w:val="es-ES" w:eastAsia="es-MX"/>
        </w:rPr>
      </w:pPr>
    </w:p>
    <w:p w:rsidR="00A961B6" w:rsidP="00A961B6" w:rsidRDefault="00A961B6" w14:paraId="7E788BD6" w14:textId="77777777">
      <w:pPr>
        <w:spacing w:after="120" w:line="276" w:lineRule="auto"/>
        <w:ind w:firstLine="708"/>
        <w:jc w:val="both"/>
        <w:rPr>
          <w:rFonts w:ascii="Verdana" w:hAnsi="Verdana" w:eastAsia="Calibri" w:cs="Arial"/>
          <w:lang w:val="es-ES" w:eastAsia="es-MX"/>
        </w:rPr>
      </w:pPr>
      <w:r w:rsidRPr="45365DD3">
        <w:rPr>
          <w:rFonts w:ascii="Verdana" w:hAnsi="Verdana" w:eastAsia="Calibri" w:cs="Arial"/>
          <w:lang w:val="es-ES" w:eastAsia="es-MX"/>
        </w:rPr>
        <w:t xml:space="preserve">El mencionado artículo dispone que se considera: “[…]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rsidRPr="003D0085" w:rsidR="00A961B6" w:rsidP="00A961B6" w:rsidRDefault="00A961B6" w14:paraId="719984BA" w14:textId="77777777">
      <w:pPr>
        <w:spacing w:after="120" w:line="276" w:lineRule="auto"/>
        <w:ind w:firstLine="708"/>
        <w:jc w:val="both"/>
        <w:rPr>
          <w:rFonts w:ascii="Verdana" w:hAnsi="Verdana" w:eastAsia="Calibri" w:cs="Arial"/>
          <w:lang w:val="es-ES_tradnl" w:eastAsia="es-MX"/>
        </w:rPr>
      </w:pPr>
    </w:p>
    <w:p w:rsidRPr="003D0085" w:rsidR="00A961B6" w:rsidP="00A961B6" w:rsidRDefault="00A961B6" w14:paraId="2985DAAB" w14:textId="77777777">
      <w:pPr>
        <w:spacing w:after="0" w:line="276" w:lineRule="auto"/>
        <w:ind w:firstLine="709"/>
        <w:contextualSpacing/>
        <w:jc w:val="both"/>
        <w:rPr>
          <w:rFonts w:ascii="Verdana" w:hAnsi="Verdana" w:eastAsia="Calibri" w:cs="Arial"/>
          <w:lang w:val="es-ES" w:eastAsia="es-MX"/>
        </w:rPr>
      </w:pPr>
      <w:r w:rsidRPr="7D9C0904">
        <w:rPr>
          <w:rFonts w:ascii="Verdana" w:hAnsi="Verdana" w:eastAsia="Calibri" w:cs="Arial"/>
          <w:lang w:val="es-ES" w:eastAsia="es-MX"/>
        </w:rPr>
        <w:t xml:space="preserve">Específicamente, el numeral 1º del artículo referido establece que en los procesos de selección de contratistas serán objeto de verificación, como requisitos habilitantes, entre otros, los siguientes: i) la capacidad jurídica; </w:t>
      </w:r>
      <w:proofErr w:type="spellStart"/>
      <w:r w:rsidRPr="7D9C0904">
        <w:rPr>
          <w:rFonts w:ascii="Verdana" w:hAnsi="Verdana" w:eastAsia="Calibri" w:cs="Arial"/>
          <w:lang w:val="es-ES" w:eastAsia="es-MX"/>
        </w:rPr>
        <w:t>ii</w:t>
      </w:r>
      <w:proofErr w:type="spellEnd"/>
      <w:r w:rsidRPr="7D9C0904">
        <w:rPr>
          <w:rFonts w:ascii="Verdana" w:hAnsi="Verdana" w:eastAsia="Calibri" w:cs="Arial"/>
          <w:lang w:val="es-ES" w:eastAsia="es-MX"/>
        </w:rPr>
        <w:t xml:space="preserve">) la experiencia; </w:t>
      </w:r>
      <w:proofErr w:type="spellStart"/>
      <w:r w:rsidRPr="7D9C0904">
        <w:rPr>
          <w:rFonts w:ascii="Verdana" w:hAnsi="Verdana" w:eastAsia="Calibri" w:cs="Arial"/>
          <w:lang w:val="es-ES" w:eastAsia="es-MX"/>
        </w:rPr>
        <w:t>iii</w:t>
      </w:r>
      <w:proofErr w:type="spellEnd"/>
      <w:r w:rsidRPr="7D9C0904">
        <w:rPr>
          <w:rFonts w:ascii="Verdana" w:hAnsi="Verdana" w:eastAsia="Calibri" w:cs="Arial"/>
          <w:lang w:val="es-ES" w:eastAsia="es-MX"/>
        </w:rPr>
        <w:t xml:space="preserve">) la capacidad financiera y </w:t>
      </w:r>
      <w:proofErr w:type="spellStart"/>
      <w:r w:rsidRPr="7D9C0904">
        <w:rPr>
          <w:rFonts w:ascii="Verdana" w:hAnsi="Verdana" w:eastAsia="Calibri" w:cs="Arial"/>
          <w:lang w:val="es-ES" w:eastAsia="es-MX"/>
        </w:rPr>
        <w:t>iv</w:t>
      </w:r>
      <w:proofErr w:type="spellEnd"/>
      <w:r w:rsidRPr="7D9C0904">
        <w:rPr>
          <w:rFonts w:ascii="Verdana" w:hAnsi="Verdana" w:eastAsia="Calibri" w:cs="Arial"/>
          <w:lang w:val="es-ES" w:eastAsia="es-MX"/>
        </w:rPr>
        <w:t xml:space="preserve">) la capacidad de organización. En efecto, la normativa citada dispone: </w:t>
      </w:r>
    </w:p>
    <w:p w:rsidRPr="003D0085" w:rsidR="00A961B6" w:rsidP="00A961B6" w:rsidRDefault="00A961B6" w14:paraId="0F2298C8" w14:textId="77777777">
      <w:pPr>
        <w:spacing w:after="0" w:line="276" w:lineRule="auto"/>
        <w:ind w:firstLine="709"/>
        <w:jc w:val="both"/>
        <w:rPr>
          <w:rFonts w:ascii="Verdana" w:hAnsi="Verdana" w:eastAsia="Calibri" w:cs="Arial"/>
          <w:lang w:val="es-ES_tradnl" w:eastAsia="es-MX"/>
        </w:rPr>
      </w:pPr>
    </w:p>
    <w:p w:rsidRPr="003D0085" w:rsidR="00A961B6" w:rsidP="00A961B6" w:rsidRDefault="00A961B6" w14:paraId="3D4BEF26" w14:textId="77777777">
      <w:pPr>
        <w:spacing w:after="0" w:line="240" w:lineRule="auto"/>
        <w:ind w:left="709" w:right="709"/>
        <w:contextualSpacing/>
        <w:jc w:val="both"/>
        <w:rPr>
          <w:rFonts w:ascii="Verdana" w:hAnsi="Verdana" w:eastAsia="Calibri" w:cs="Arial"/>
          <w:lang w:val="es-ES_tradnl" w:eastAsia="es-MX"/>
        </w:rPr>
      </w:pPr>
      <w:r w:rsidRPr="003D0085">
        <w:rPr>
          <w:rFonts w:ascii="Verdana" w:hAnsi="Verdana" w:eastAsia="Calibri" w:cs="Arial"/>
          <w:lang w:val="es-ES_tradnl" w:eastAsia="es-MX"/>
        </w:rPr>
        <w:t xml:space="preserve">“Artículo 5. De la Selección Objetiva. </w:t>
      </w:r>
    </w:p>
    <w:p w:rsidRPr="003D0085" w:rsidR="00A961B6" w:rsidP="00A961B6" w:rsidRDefault="00A961B6" w14:paraId="25224B04" w14:textId="77777777">
      <w:pPr>
        <w:spacing w:after="0" w:line="240" w:lineRule="auto"/>
        <w:ind w:left="709" w:right="709"/>
        <w:contextualSpacing/>
        <w:jc w:val="both"/>
        <w:rPr>
          <w:rFonts w:ascii="Verdana" w:hAnsi="Verdana" w:eastAsia="Calibri" w:cs="Arial"/>
          <w:lang w:val="es-ES_tradnl" w:eastAsia="es-MX"/>
        </w:rPr>
      </w:pPr>
    </w:p>
    <w:p w:rsidRPr="003D0085" w:rsidR="00A961B6" w:rsidP="00A961B6" w:rsidRDefault="00A961B6" w14:paraId="2FA4937F" w14:textId="77777777">
      <w:pPr>
        <w:spacing w:after="0" w:line="240" w:lineRule="auto"/>
        <w:ind w:left="709" w:right="709"/>
        <w:contextualSpacing/>
        <w:jc w:val="both"/>
        <w:rPr>
          <w:rFonts w:ascii="Verdana" w:hAnsi="Verdana" w:eastAsia="Calibri" w:cs="Arial"/>
          <w:lang w:val="es-ES_tradnl" w:eastAsia="es-MX"/>
        </w:rPr>
      </w:pPr>
      <w:r w:rsidRPr="003D0085">
        <w:rPr>
          <w:rFonts w:ascii="Verdana" w:hAnsi="Verdana" w:eastAsia="Calibri" w:cs="Arial"/>
          <w:lang w:val="es-ES_tradnl" w:eastAsia="es-MX"/>
        </w:rPr>
        <w:t>[…]</w:t>
      </w:r>
    </w:p>
    <w:p w:rsidRPr="003D0085" w:rsidR="00A961B6" w:rsidP="00A961B6" w:rsidRDefault="00A961B6" w14:paraId="57BB4E12" w14:textId="77777777">
      <w:pPr>
        <w:spacing w:after="0" w:line="240" w:lineRule="auto"/>
        <w:ind w:left="709" w:right="709"/>
        <w:contextualSpacing/>
        <w:jc w:val="both"/>
        <w:rPr>
          <w:rFonts w:ascii="Verdana" w:hAnsi="Verdana" w:eastAsia="Calibri" w:cs="Arial"/>
          <w:lang w:val="es-ES_tradnl"/>
        </w:rPr>
      </w:pPr>
    </w:p>
    <w:p w:rsidRPr="00375D58" w:rsidR="00A961B6" w:rsidP="00A961B6" w:rsidRDefault="00A961B6" w14:paraId="47AEE7B3" w14:textId="77777777">
      <w:pPr>
        <w:spacing w:after="0" w:line="240" w:lineRule="auto"/>
        <w:ind w:left="709" w:right="709"/>
        <w:contextualSpacing/>
        <w:jc w:val="both"/>
        <w:rPr>
          <w:rFonts w:ascii="Verdana" w:hAnsi="Verdana" w:eastAsia="Calibri" w:cs="Arial"/>
          <w:sz w:val="21"/>
          <w:szCs w:val="21"/>
          <w:lang w:val="es-ES"/>
        </w:rPr>
      </w:pPr>
      <w:r w:rsidRPr="00375D58">
        <w:rPr>
          <w:rFonts w:ascii="Verdana" w:hAnsi="Verdana" w:eastAsia="Calibri" w:cs="Arial"/>
          <w:sz w:val="21"/>
          <w:szCs w:val="21"/>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rsidRPr="003D0085" w:rsidR="00A961B6" w:rsidP="00A961B6" w:rsidRDefault="00A961B6" w14:paraId="1BFB8BBB" w14:textId="77777777">
      <w:pPr>
        <w:spacing w:after="0" w:line="276" w:lineRule="auto"/>
        <w:ind w:left="709" w:right="709"/>
        <w:contextualSpacing/>
        <w:jc w:val="both"/>
        <w:rPr>
          <w:rFonts w:ascii="Verdana" w:hAnsi="Verdana" w:eastAsia="Calibri" w:cs="Arial"/>
          <w:lang w:val="es-ES_tradnl"/>
        </w:rPr>
      </w:pPr>
    </w:p>
    <w:p w:rsidRPr="003D0085" w:rsidR="00A961B6" w:rsidP="00A961B6" w:rsidRDefault="00A961B6" w14:paraId="1C2C4646" w14:textId="77777777">
      <w:pPr>
        <w:spacing w:after="120" w:line="276" w:lineRule="auto"/>
        <w:ind w:firstLine="708"/>
        <w:jc w:val="both"/>
        <w:rPr>
          <w:rFonts w:ascii="Verdana" w:hAnsi="Verdana" w:eastAsia="Times New Roman" w:cs="Arial"/>
          <w:highlight w:val="cyan"/>
          <w:lang w:val="es-ES_tradnl" w:eastAsia="es-MX"/>
        </w:rPr>
      </w:pPr>
      <w:bookmarkStart w:name="_Hlk99547809" w:id="2"/>
      <w:bookmarkStart w:name="_Hlk99546625" w:id="3"/>
      <w:r w:rsidRPr="003D0085">
        <w:rPr>
          <w:rFonts w:ascii="Verdana" w:hAnsi="Verdana" w:eastAsia="Times New Roman" w:cs="Arial"/>
          <w:lang w:val="es-ES_tradnl" w:eastAsia="es-MX"/>
        </w:rPr>
        <w:lastRenderedPageBreak/>
        <w:t xml:space="preserve">La Agencia Nacional de Contratación Pública – Colombia Compra Eficiente ha defendido el carácter </w:t>
      </w:r>
      <w:bookmarkStart w:name="_Hlk99547799" w:id="4"/>
      <w:r w:rsidRPr="003D0085">
        <w:rPr>
          <w:rFonts w:ascii="Verdana" w:hAnsi="Verdana" w:eastAsia="Times New Roman" w:cs="Arial"/>
          <w:i/>
          <w:iCs/>
          <w:lang w:val="es-ES_tradnl" w:eastAsia="es-MX"/>
        </w:rPr>
        <w:t>enunciativo</w:t>
      </w:r>
      <w:r w:rsidRPr="003D0085">
        <w:rPr>
          <w:rFonts w:ascii="Verdana" w:hAnsi="Verdana" w:eastAsia="Times New Roman" w:cs="Arial"/>
          <w:lang w:val="es-ES_tradnl" w:eastAsia="es-MX"/>
        </w:rPr>
        <w:t xml:space="preserve">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 </w:t>
      </w:r>
      <w:bookmarkEnd w:id="2"/>
      <w:bookmarkEnd w:id="4"/>
      <w:r w:rsidRPr="003D0085">
        <w:rPr>
          <w:rFonts w:ascii="Verdana" w:hAnsi="Verdana" w:eastAsia="Times New Roman"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como sucede, por ejemplo, con la capacidad residual a la que se refiere el artículo 6º, parágrafo 1, de la Ley 1150 de 2007</w:t>
      </w:r>
      <w:bookmarkEnd w:id="3"/>
      <w:r w:rsidRPr="003D0085">
        <w:rPr>
          <w:rFonts w:ascii="Verdana" w:hAnsi="Verdana" w:eastAsia="Times New Roman" w:cs="Arial"/>
          <w:vertAlign w:val="superscript"/>
          <w:lang w:val="es-ES_tradnl" w:eastAsia="es-MX"/>
        </w:rPr>
        <w:footnoteReference w:id="2"/>
      </w:r>
      <w:r w:rsidRPr="003D0085">
        <w:rPr>
          <w:rFonts w:ascii="Verdana" w:hAnsi="Verdana" w:eastAsia="Times New Roman" w:cs="Arial"/>
          <w:lang w:val="es-ES_tradnl" w:eastAsia="es-MX"/>
        </w:rPr>
        <w:t xml:space="preserve">. </w:t>
      </w:r>
    </w:p>
    <w:p w:rsidRPr="003D0085" w:rsidR="00A961B6" w:rsidP="00A961B6" w:rsidRDefault="00A961B6" w14:paraId="6990ADE4" w14:textId="77777777">
      <w:pPr>
        <w:spacing w:after="120" w:line="276" w:lineRule="auto"/>
        <w:ind w:firstLine="709"/>
        <w:jc w:val="both"/>
        <w:rPr>
          <w:rFonts w:ascii="Verdana" w:hAnsi="Verdana" w:eastAsia="Times New Roman" w:cs="Arial"/>
          <w:lang w:val="es-ES_tradnl" w:eastAsia="es-MX"/>
        </w:rPr>
      </w:pPr>
      <w:r w:rsidRPr="003D0085">
        <w:rPr>
          <w:rFonts w:ascii="Verdana" w:hAnsi="Verdana" w:eastAsia="Times New Roman" w:cs="Arial"/>
          <w:lang w:val="es-ES_tradnl" w:eastAsia="es-MX"/>
        </w:rPr>
        <w:t>Por otro lado, en el “Manual para determinar y verificar los requisitos habilitantes en los Procesos de Contratación”</w:t>
      </w:r>
      <w:r w:rsidRPr="003D0085">
        <w:rPr>
          <w:rFonts w:ascii="Verdana" w:hAnsi="Verdana" w:eastAsia="Calibri" w:cs="Arial"/>
          <w:lang w:val="es-ES_tradnl" w:eastAsia="es-MX"/>
        </w:rPr>
        <w:t>,</w:t>
      </w:r>
      <w:r w:rsidRPr="003D0085">
        <w:rPr>
          <w:rFonts w:ascii="Verdana" w:hAnsi="Verdana" w:eastAsia="Times New Roman" w:cs="Arial"/>
          <w:lang w:val="es-ES_tradnl" w:eastAsia="es-MX"/>
        </w:rPr>
        <w:t xml:space="preserve"> expedido por la </w:t>
      </w:r>
      <w:r w:rsidRPr="003D0085">
        <w:rPr>
          <w:rFonts w:ascii="Verdana" w:hAnsi="Verdana" w:eastAsia="Calibri" w:cs="Arial"/>
          <w:lang w:val="es-ES_tradnl" w:eastAsia="es-MX"/>
        </w:rPr>
        <w:t>Agencia Nacional de Contratación Pública – Colombia Compra Eficiente</w:t>
      </w:r>
      <w:r w:rsidRPr="003D0085">
        <w:rPr>
          <w:rFonts w:ascii="Verdana" w:hAnsi="Verdana" w:eastAsia="Times New Roman" w:cs="Arial"/>
          <w:lang w:val="es-ES_tradnl" w:eastAsia="es-MX"/>
        </w:rPr>
        <w:t xml:space="preserve"> se determinaron los parámetros para establecer, acreditar y subsanar los requisitos habilitantes. Allí también se precisó que estos tienen como fin primordial medir “la aptitud del proponente para participar en un proceso de contratación como oferente y están referidos a su capacidad jurídica, financiera, organizacional y su experiencia”. De acuerdo con el Manual, su propósito consiste en “establecer unas condiciones mínimas para los proponentes de tal manera que la Entidad Estatal sólo evalúe las ofertas de aquellos que están en condiciones de cumplir con el objeto del Proceso de Contratación”. 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rsidRPr="003D0085" w:rsidR="00A961B6" w:rsidP="00A961B6" w:rsidRDefault="00A961B6" w14:paraId="6E6BE216" w14:textId="77777777">
      <w:pPr>
        <w:spacing w:after="120" w:line="276" w:lineRule="auto"/>
        <w:ind w:firstLine="709"/>
        <w:jc w:val="both"/>
        <w:rPr>
          <w:rFonts w:ascii="Verdana" w:hAnsi="Verdana" w:eastAsia="Times New Roman" w:cs="Arial"/>
          <w:lang w:val="es-ES_tradnl" w:eastAsia="es-MX"/>
        </w:rPr>
      </w:pPr>
      <w:r w:rsidRPr="003D0085">
        <w:rPr>
          <w:rFonts w:ascii="Verdana" w:hAnsi="Verdana" w:eastAsia="Times New Roman" w:cs="Arial"/>
          <w:lang w:val="es-ES_tradnl" w:eastAsia="es-MX"/>
        </w:rPr>
        <w:t xml:space="preserve">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w:t>
      </w:r>
      <w:r w:rsidRPr="003D0085">
        <w:rPr>
          <w:rFonts w:ascii="Verdana" w:hAnsi="Verdana" w:eastAsia="Times New Roman" w:cs="Arial"/>
          <w:lang w:val="es-ES_tradnl" w:eastAsia="es-MX"/>
        </w:rPr>
        <w:lastRenderedPageBreak/>
        <w:t>capacidad jurídica y financiera para que la realización del objeto contractual resulte eficiente y eficaz frente a la necesidad identificada”.</w:t>
      </w:r>
    </w:p>
    <w:p w:rsidRPr="003D0085" w:rsidR="00A961B6" w:rsidP="00A961B6" w:rsidRDefault="00A961B6" w14:paraId="3BCD532A" w14:textId="77777777">
      <w:pPr>
        <w:tabs>
          <w:tab w:val="left" w:pos="426"/>
        </w:tabs>
        <w:spacing w:after="120" w:line="276" w:lineRule="auto"/>
        <w:ind w:firstLine="709"/>
        <w:jc w:val="both"/>
        <w:rPr>
          <w:rFonts w:ascii="Verdana" w:hAnsi="Verdana" w:eastAsia="Times New Roman" w:cs="Arial"/>
          <w:lang w:val="es-ES_tradnl" w:eastAsia="es-MX"/>
        </w:rPr>
      </w:pPr>
      <w:bookmarkStart w:name="_Hlk99548027" w:id="5"/>
      <w:r w:rsidRPr="003D0085">
        <w:rPr>
          <w:rFonts w:ascii="Verdana" w:hAnsi="Verdana" w:eastAsia="Times New Roman" w:cs="Arial"/>
          <w:lang w:val="es-ES_tradnl" w:eastAsia="es-MX"/>
        </w:rPr>
        <w:t xml:space="preserve">En ese sentido, si bien </w:t>
      </w:r>
      <w:r w:rsidRPr="003D0085">
        <w:rPr>
          <w:rFonts w:ascii="Verdana" w:hAnsi="Verdana" w:eastAsia="Calibri"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bookmarkStart w:name="_Hlk34917473" w:id="6"/>
      <w:r w:rsidRPr="003D0085">
        <w:rPr>
          <w:rFonts w:ascii="Verdana" w:hAnsi="Verdana" w:eastAsia="Times New Roman" w:cs="Arial"/>
          <w:lang w:val="es-ES_tradnl" w:eastAsia="es-MX"/>
        </w:rPr>
        <w:t xml:space="preserve">En consecuencia, corresponde a las Entidades Estatales, durante la etapa de planeación del contrato estatal, estudiar y </w:t>
      </w:r>
      <w:r w:rsidRPr="003D0085">
        <w:rPr>
          <w:rFonts w:ascii="Verdana" w:hAnsi="Verdana" w:eastAsia="Times New Roman" w:cs="Arial"/>
          <w:bCs/>
          <w:iCs/>
          <w:lang w:val="es-ES_tradnl" w:eastAsia="es-MX"/>
        </w:rPr>
        <w:t>determinar</w:t>
      </w:r>
      <w:r w:rsidRPr="003D0085">
        <w:rPr>
          <w:rFonts w:ascii="Verdana" w:hAnsi="Verdana" w:eastAsia="Times New Roman" w:cs="Arial"/>
          <w:lang w:val="es-ES_tradnl" w:eastAsia="es-MX"/>
        </w:rPr>
        <w:t xml:space="preserve"> los requisitos habilitantes que establecerán en los Pliegos de Condiciones, los cuales deben fijarse de forma adecuada y proporcional. </w:t>
      </w:r>
    </w:p>
    <w:bookmarkEnd w:id="5"/>
    <w:p w:rsidRPr="003D0085" w:rsidR="00A961B6" w:rsidP="00A961B6" w:rsidRDefault="00A961B6" w14:paraId="4EFC3EC2" w14:textId="77777777">
      <w:pPr>
        <w:tabs>
          <w:tab w:val="left" w:pos="426"/>
        </w:tabs>
        <w:spacing w:after="120" w:line="276" w:lineRule="auto"/>
        <w:ind w:firstLine="709"/>
        <w:jc w:val="both"/>
        <w:rPr>
          <w:rFonts w:ascii="Verdana" w:hAnsi="Verdana" w:eastAsia="Times New Roman" w:cs="Arial"/>
          <w:lang w:val="es-ES_tradnl" w:eastAsia="es-MX"/>
        </w:rPr>
      </w:pPr>
      <w:r w:rsidRPr="003D0085">
        <w:rPr>
          <w:rFonts w:ascii="Verdana" w:hAnsi="Verdana" w:eastAsia="Times New Roman" w:cs="Arial"/>
          <w:lang w:val="es-ES_tradnl" w:eastAsia="es-MX"/>
        </w:rPr>
        <w:t>El Decreto 1082 de 2015 en su artículo 2.2.1.1.1.6.2 reglamenta los requisitos habilitantes, estableciendo que estos deben ser señalados en los Pliegos de Condiciones o en la invitación</w:t>
      </w:r>
      <w:r w:rsidRPr="003D0085">
        <w:rPr>
          <w:rFonts w:ascii="Verdana" w:hAnsi="Verdana" w:eastAsia="Times New Roman" w:cs="Arial"/>
          <w:vertAlign w:val="superscript"/>
          <w:lang w:val="es-ES_tradnl" w:eastAsia="es-MX"/>
        </w:rPr>
        <w:footnoteReference w:id="3"/>
      </w:r>
      <w:r w:rsidRPr="003D0085">
        <w:rPr>
          <w:rFonts w:ascii="Verdana" w:hAnsi="Verdana" w:eastAsia="Times New Roman" w:cs="Arial"/>
          <w:lang w:val="es-ES_tradnl" w:eastAsia="es-MX"/>
        </w:rPr>
        <w:t>, lo cual es concordante con el numeral 5 del artículo 2.2.1.1.2.1.3, en el que se establece como uno de los componentes mínimos de los Pliegos de Condiciones</w:t>
      </w:r>
      <w:r w:rsidRPr="003D0085">
        <w:rPr>
          <w:rFonts w:ascii="Verdana" w:hAnsi="Verdana" w:cs="Arial"/>
          <w:color w:val="000000"/>
        </w:rPr>
        <w:t xml:space="preserve"> a las reglas aplicables a la presentación y evaluación de las ofertas, entre las que se inscriben las relativas a la acreditación de las condiciones habilitantes. </w:t>
      </w:r>
      <w:r w:rsidRPr="003D0085">
        <w:rPr>
          <w:rFonts w:ascii="Verdana" w:hAnsi="Verdana" w:eastAsia="Times New Roman" w:cs="Arial"/>
          <w:lang w:val="es-ES_tradnl" w:eastAsia="es-MX"/>
        </w:rPr>
        <w:t xml:space="preserve">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rsidRPr="003D0085" w:rsidR="00A961B6" w:rsidP="00A961B6" w:rsidRDefault="00A961B6" w14:paraId="3E0083C6" w14:textId="77777777">
      <w:pPr>
        <w:tabs>
          <w:tab w:val="left" w:pos="426"/>
        </w:tabs>
        <w:spacing w:after="120" w:line="276" w:lineRule="auto"/>
        <w:ind w:firstLine="709"/>
        <w:jc w:val="both"/>
        <w:rPr>
          <w:rFonts w:ascii="Verdana" w:hAnsi="Verdana" w:eastAsia="Times New Roman" w:cs="Arial"/>
          <w:lang w:val="es-ES" w:eastAsia="es-MX"/>
        </w:rPr>
      </w:pPr>
      <w:r w:rsidRPr="7D9C0904">
        <w:rPr>
          <w:rFonts w:ascii="Verdana" w:hAnsi="Verdana" w:eastAsia="Times New Roman" w:cs="Arial"/>
          <w:lang w:val="es-ES" w:eastAsia="es-MX"/>
        </w:rPr>
        <w:t xml:space="preserve">Los mencionados criterios deben ser aplicados de manera tal que de la ponderación de los mismos resulten requisitos que permitan medir la aptitud de los oferentes para cumplir con el contrato y que, además de ser proporcionales </w:t>
      </w:r>
      <w:r w:rsidRPr="7D9C0904">
        <w:rPr>
          <w:rFonts w:ascii="Verdana" w:hAnsi="Verdana" w:eastAsia="Times New Roman" w:cs="Arial"/>
          <w:lang w:val="es-ES" w:eastAsia="es-MX"/>
        </w:rPr>
        <w:lastRenderedPageBreak/>
        <w:t xml:space="preserve">y adecuados al objeto del contrato, no limiten la participación en el Proceso de Selección.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bookmarkEnd w:id="6"/>
    <w:p w:rsidR="00A961B6" w:rsidP="00A961B6" w:rsidRDefault="00A961B6" w14:paraId="34CC20F7" w14:textId="77777777">
      <w:pPr>
        <w:spacing w:line="276" w:lineRule="auto"/>
        <w:jc w:val="both"/>
        <w:rPr>
          <w:rFonts w:ascii="Verdana" w:hAnsi="Verdana" w:eastAsia="Calibri" w:cs="Arial"/>
        </w:rPr>
      </w:pPr>
      <w:r>
        <w:rPr>
          <w:rFonts w:ascii="Verdana" w:hAnsi="Verdana" w:eastAsia="Calibri" w:cs="Arial"/>
        </w:rPr>
        <w:t xml:space="preserve">            Por su parte, p</w:t>
      </w:r>
      <w:r w:rsidRPr="00A3355E">
        <w:rPr>
          <w:rFonts w:ascii="Verdana" w:hAnsi="Verdana" w:eastAsia="Calibri" w:cs="Arial"/>
        </w:rPr>
        <w:t>ara los contratos de prestación de servicios en Colombia, los requisitos habilitantes constituyen las condiciones mínimas obligatorias que debe cumplir el contratista para asegurar que es apto para el</w:t>
      </w:r>
      <w:r>
        <w:rPr>
          <w:rFonts w:ascii="Verdana" w:hAnsi="Verdana" w:eastAsia="Calibri" w:cs="Arial"/>
        </w:rPr>
        <w:t xml:space="preserve"> cumplimie4nto del objeto contractual</w:t>
      </w:r>
      <w:r w:rsidRPr="00A3355E">
        <w:rPr>
          <w:rFonts w:ascii="Verdana" w:hAnsi="Verdana" w:eastAsia="Calibri" w:cs="Arial"/>
        </w:rPr>
        <w:t>. Estos se centran en la capacidad jurídica (ausencia de inhabilidades e incompatibilidades legales), la experiencia (trayectoria comprobable en actividades similares) y, fundamentalmente, la idoneidad (formación académica y conocimientos técnicos que justifican la contratación según el Art. 2.2.1.2.1.4.9 del Decreto 1082 de 2015).</w:t>
      </w:r>
    </w:p>
    <w:p w:rsidR="00A961B6" w:rsidP="00A961B6" w:rsidRDefault="00A961B6" w14:paraId="16197C00" w14:textId="77777777">
      <w:pPr>
        <w:spacing w:line="276" w:lineRule="auto"/>
        <w:jc w:val="both"/>
        <w:rPr>
          <w:rFonts w:ascii="Verdana" w:hAnsi="Verdana" w:eastAsia="Calibri" w:cs="Arial"/>
        </w:rPr>
      </w:pPr>
      <w:r>
        <w:rPr>
          <w:rFonts w:ascii="Verdana" w:hAnsi="Verdana" w:eastAsia="Calibri" w:cs="Arial"/>
        </w:rPr>
        <w:t xml:space="preserve">        </w:t>
      </w:r>
      <w:r w:rsidRPr="008F1280">
        <w:rPr>
          <w:rFonts w:ascii="Verdana" w:hAnsi="Verdana" w:eastAsia="Calibri" w:cs="Arial"/>
        </w:rPr>
        <w:t>Ahora bien, la ley no establece de manera taxativa las condiciones de tiempo, modo o características formales de los documentos mediante los cuales debe acreditarse dicha capacidad</w:t>
      </w:r>
      <w:r>
        <w:rPr>
          <w:rFonts w:ascii="Verdana" w:hAnsi="Verdana" w:eastAsia="Calibri" w:cs="Arial"/>
        </w:rPr>
        <w:t>, entre los que se encuentran el Registro Único Tributario (RUT)</w:t>
      </w:r>
      <w:r w:rsidRPr="008F1280">
        <w:rPr>
          <w:rFonts w:ascii="Verdana" w:hAnsi="Verdana" w:eastAsia="Calibri" w:cs="Arial"/>
        </w:rPr>
        <w:t xml:space="preserve">. </w:t>
      </w:r>
    </w:p>
    <w:p w:rsidR="00A961B6" w:rsidP="00A961B6" w:rsidRDefault="00A961B6" w14:paraId="6AB6BE6D" w14:textId="77777777">
      <w:pPr>
        <w:spacing w:line="276" w:lineRule="auto"/>
        <w:jc w:val="both"/>
        <w:rPr>
          <w:rFonts w:ascii="Verdana" w:hAnsi="Verdana" w:eastAsia="Calibri" w:cs="Arial"/>
        </w:rPr>
      </w:pPr>
      <w:r>
        <w:rPr>
          <w:rFonts w:ascii="Verdana" w:hAnsi="Verdana" w:eastAsia="Calibri" w:cs="Arial"/>
        </w:rPr>
        <w:t xml:space="preserve">        </w:t>
      </w:r>
      <w:r w:rsidRPr="0003198F">
        <w:rPr>
          <w:rFonts w:ascii="Verdana" w:hAnsi="Verdana" w:eastAsia="Calibri" w:cs="Arial"/>
        </w:rPr>
        <w:t xml:space="preserve">En ese contexto, </w:t>
      </w:r>
      <w:r>
        <w:rPr>
          <w:rFonts w:ascii="Verdana" w:hAnsi="Verdana" w:eastAsia="Calibri" w:cs="Arial"/>
        </w:rPr>
        <w:t xml:space="preserve">mediante comunicado </w:t>
      </w:r>
      <w:proofErr w:type="spellStart"/>
      <w:r>
        <w:rPr>
          <w:rFonts w:ascii="Verdana" w:hAnsi="Verdana" w:eastAsia="Calibri" w:cs="Arial"/>
        </w:rPr>
        <w:t>Nº</w:t>
      </w:r>
      <w:proofErr w:type="spellEnd"/>
      <w:r>
        <w:rPr>
          <w:rFonts w:ascii="Verdana" w:hAnsi="Verdana" w:eastAsia="Calibri" w:cs="Arial"/>
        </w:rPr>
        <w:t xml:space="preserve"> 001 del 07 de enero de 2005 la Dirección de Impuestos y Aduanas Nacionales (DIAN) estableció: </w:t>
      </w:r>
      <w:r w:rsidRPr="00B7412A">
        <w:rPr>
          <w:rFonts w:ascii="Verdana" w:hAnsi="Verdana" w:eastAsia="Calibri" w:cs="Arial"/>
          <w:i/>
          <w:iCs/>
        </w:rPr>
        <w:t>“</w:t>
      </w:r>
      <w:r w:rsidRPr="00B7412A">
        <w:rPr>
          <w:rFonts w:ascii="Verdana" w:hAnsi="Verdana" w:eastAsia="Calibri" w:cs="Arial"/>
          <w:i/>
          <w:iCs/>
          <w:lang w:val="es-MX"/>
        </w:rPr>
        <w:t>La DIAN reitera a la ciudadanía que el RUT tiene vigencia indefinida y sólo debe ser actualizado cuando haya cambios en el lugar de residencia número telefónico correo electrónico actividad económica responsabilidades o algún otro atributo o característica que se encuentre dentro el registro del contribuyente, esto ,de acuerdo con lo establecido en los artículos 555-1 Y 658-3 numeral 3 del Estatuto Tributario y el artículo 1.6.1.2.7 del Decreto 1625 de 2016”.</w:t>
      </w:r>
      <w:r>
        <w:rPr>
          <w:rFonts w:ascii="Verdana" w:hAnsi="Verdana" w:eastAsia="Calibri" w:cs="Arial"/>
        </w:rPr>
        <w:t xml:space="preserve"> </w:t>
      </w:r>
    </w:p>
    <w:p w:rsidRPr="00D340CB" w:rsidR="00A961B6" w:rsidP="00A961B6" w:rsidRDefault="00A961B6" w14:paraId="7FB43ECD" w14:textId="77777777">
      <w:pPr>
        <w:spacing w:after="0" w:line="276" w:lineRule="auto"/>
        <w:jc w:val="both"/>
        <w:rPr>
          <w:rFonts w:ascii="Verdana" w:hAnsi="Verdana" w:eastAsia="Calibri" w:cs="Arial"/>
        </w:rPr>
      </w:pPr>
      <w:r>
        <w:rPr>
          <w:rFonts w:ascii="Verdana" w:hAnsi="Verdana" w:eastAsia="Calibri" w:cs="Arial"/>
        </w:rPr>
        <w:t xml:space="preserve">         </w:t>
      </w:r>
      <w:r w:rsidRPr="00D340CB">
        <w:rPr>
          <w:rFonts w:ascii="Verdana" w:hAnsi="Verdana" w:eastAsia="Calibri" w:cs="Arial"/>
        </w:rPr>
        <w:t xml:space="preserve">En consecuencia, las entidades estatales, en ejercicio de su autonomía, pueden definir en los documentos precontractuales los requisitos y soportes necesarios para verificar la idoneidad, experiencia o situación jurídica del contratista, </w:t>
      </w:r>
      <w:r>
        <w:rPr>
          <w:rFonts w:ascii="Verdana" w:hAnsi="Verdana" w:eastAsia="Calibri" w:cs="Arial"/>
        </w:rPr>
        <w:t xml:space="preserve">teniendo en cuenta la normatividad y las directrices anteriormente </w:t>
      </w:r>
      <w:r>
        <w:rPr>
          <w:rFonts w:ascii="Verdana" w:hAnsi="Verdana" w:eastAsia="Calibri" w:cs="Arial"/>
        </w:rPr>
        <w:lastRenderedPageBreak/>
        <w:t xml:space="preserve">descritas, </w:t>
      </w:r>
      <w:r w:rsidRPr="00D340CB">
        <w:rPr>
          <w:rFonts w:ascii="Verdana" w:hAnsi="Verdana" w:eastAsia="Calibri" w:cs="Arial"/>
        </w:rPr>
        <w:t>siempre que estos sean adecuados, verificables y compatibles con el principio de selección objetiva.</w:t>
      </w:r>
    </w:p>
    <w:p w:rsidR="00A961B6" w:rsidP="00A961B6" w:rsidRDefault="00A961B6" w14:paraId="40DA2B32" w14:textId="77777777">
      <w:pPr>
        <w:spacing w:line="276" w:lineRule="auto"/>
        <w:contextualSpacing/>
        <w:jc w:val="both"/>
        <w:rPr>
          <w:rFonts w:ascii="Verdana" w:hAnsi="Verdana" w:eastAsia="Calibri" w:cs="Arial"/>
          <w:bCs/>
          <w:color w:val="000000" w:themeColor="text1"/>
        </w:rPr>
      </w:pPr>
    </w:p>
    <w:p w:rsidR="00A961B6" w:rsidP="00A961B6" w:rsidRDefault="00A961B6" w14:paraId="0CB7E639" w14:textId="77777777">
      <w:pPr>
        <w:spacing w:line="276" w:lineRule="auto"/>
        <w:contextualSpacing/>
        <w:jc w:val="both"/>
      </w:pPr>
      <w:r>
        <w:rPr>
          <w:rFonts w:ascii="Verdana" w:hAnsi="Verdana" w:eastAsia="Calibri" w:cs="Arial"/>
          <w:bCs/>
          <w:color w:val="000000" w:themeColor="text1"/>
        </w:rPr>
        <w:t xml:space="preserve">          Finalmente</w:t>
      </w:r>
      <w:r>
        <w:rPr>
          <w:rFonts w:ascii="Verdana" w:hAnsi="Verdana" w:eastAsia="Calibri" w:cs="Times New Roman"/>
          <w:lang w:val="es-ES"/>
        </w:rPr>
        <w:t>,</w:t>
      </w:r>
      <w:r w:rsidRPr="00DB4737">
        <w:rPr>
          <w:rFonts w:ascii="Verdana" w:hAnsi="Verdana" w:eastAsia="Calibri" w:cs="Times New Roman"/>
          <w:lang w:val="es-ES"/>
        </w:rPr>
        <w:t xml:space="preserve"> debe advertirse que el análisis en torno </w:t>
      </w:r>
      <w:r>
        <w:rPr>
          <w:rFonts w:ascii="Verdana" w:hAnsi="Verdana" w:eastAsia="Calibri" w:cs="Times New Roman"/>
          <w:lang w:val="es-ES"/>
        </w:rPr>
        <w:t>a un proceso de contratación especifico debe</w:t>
      </w:r>
      <w:r w:rsidRPr="0012388D">
        <w:rPr>
          <w:rFonts w:ascii="Verdana" w:hAnsi="Verdana" w:eastAsia="Calibri" w:cs="Times New Roman"/>
          <w:lang w:val="es-ES"/>
        </w:rPr>
        <w:t xml:space="preserve"> ser realizado por quienes tengan interés en ello.</w:t>
      </w:r>
      <w:r w:rsidRPr="00DB4737">
        <w:rPr>
          <w:rFonts w:ascii="Verdana" w:hAnsi="Verdana" w:eastAsia="Calibri"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rsidR="00A961B6" w:rsidP="00A961B6" w:rsidRDefault="00A961B6" w14:paraId="0607D002" w14:textId="77777777">
      <w:pPr>
        <w:spacing w:line="276" w:lineRule="auto"/>
        <w:contextualSpacing/>
        <w:jc w:val="both"/>
        <w:rPr>
          <w:rFonts w:ascii="Verdana" w:hAnsi="Verdana" w:eastAsia="Calibri" w:cs="Times New Roman"/>
          <w:lang w:val="es-ES"/>
        </w:rPr>
      </w:pPr>
    </w:p>
    <w:p w:rsidR="00A961B6" w:rsidP="00A961B6" w:rsidRDefault="00A961B6" w14:paraId="74C39226" w14:textId="77777777">
      <w:pPr>
        <w:spacing w:after="0" w:line="276" w:lineRule="auto"/>
        <w:jc w:val="both"/>
        <w:rPr>
          <w:rFonts w:ascii="Verdana" w:hAnsi="Verdana" w:eastAsia="Calibri" w:cs="Arial"/>
          <w:shd w:val="clear" w:color="auto" w:fill="FFFFFF"/>
        </w:rPr>
      </w:pPr>
      <w:r>
        <w:rPr>
          <w:rFonts w:ascii="Verdana" w:hAnsi="Verdana" w:eastAsia="Calibri" w:cs="Times New Roman"/>
          <w:lang w:val="es-ES"/>
        </w:rPr>
        <w:t xml:space="preserve">            Asi las cosas</w:t>
      </w:r>
      <w:r w:rsidRPr="00DB4737">
        <w:rPr>
          <w:rFonts w:ascii="Verdana" w:hAnsi="Verdana" w:eastAsia="Calibri"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hAnsi="Verdana" w:eastAsia="Calibri" w:cs="Times New Roman"/>
          <w:lang w:val="es-ES"/>
        </w:rPr>
        <w:t>s</w:t>
      </w:r>
      <w:r w:rsidRPr="00DB4737">
        <w:rPr>
          <w:rFonts w:ascii="Verdana" w:hAnsi="Verdana" w:eastAsia="Calibri" w:cs="Times New Roman"/>
          <w:lang w:val="es-ES"/>
        </w:rPr>
        <w:t>.</w:t>
      </w:r>
    </w:p>
    <w:p w:rsidR="00A961B6" w:rsidP="00A961B6" w:rsidRDefault="00A961B6" w14:paraId="0DCAA934" w14:textId="77777777">
      <w:pPr>
        <w:spacing w:after="0" w:line="276" w:lineRule="auto"/>
        <w:jc w:val="both"/>
        <w:rPr>
          <w:rFonts w:ascii="Verdana" w:hAnsi="Verdana" w:eastAsia="Calibri" w:cs="Arial"/>
          <w:shd w:val="clear" w:color="auto" w:fill="FFFFFF"/>
        </w:rPr>
      </w:pPr>
    </w:p>
    <w:p w:rsidRPr="00115E3D" w:rsidR="00A961B6" w:rsidP="00A961B6" w:rsidRDefault="00A961B6" w14:paraId="32C9EADC"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Referencias normativas, jurisprudenciales y otras fuentes:</w:t>
      </w:r>
    </w:p>
    <w:p w:rsidRPr="00115E3D" w:rsidR="00A961B6" w:rsidP="00A961B6" w:rsidRDefault="00A961B6" w14:paraId="0743D1E4" w14:textId="77777777">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115E3D" w:rsidR="00A961B6" w:rsidTr="000463BB" w14:paraId="56228B01" w14:textId="77777777">
        <w:trPr>
          <w:trHeight w:val="335"/>
        </w:trPr>
        <w:tc>
          <w:tcPr>
            <w:tcW w:w="8647" w:type="dxa"/>
          </w:tcPr>
          <w:p w:rsidRPr="004A7B56" w:rsidR="00A961B6" w:rsidP="00A961B6" w:rsidRDefault="00A961B6" w14:paraId="4FD7D4BF" w14:textId="77777777">
            <w:pPr>
              <w:pStyle w:val="Prrafodelista"/>
              <w:numPr>
                <w:ilvl w:val="0"/>
                <w:numId w:val="17"/>
              </w:numPr>
              <w:spacing w:line="276" w:lineRule="auto"/>
              <w:ind w:right="709"/>
              <w:jc w:val="both"/>
              <w:rPr>
                <w:rFonts w:ascii="Verdana" w:hAnsi="Verdana" w:cs="Arial"/>
                <w:color w:val="000000" w:themeColor="text1"/>
                <w:lang w:val="es-ES_tradnl"/>
              </w:rPr>
            </w:pPr>
            <w:r w:rsidRPr="00973610">
              <w:rPr>
                <w:rFonts w:ascii="Verdana" w:hAnsi="Verdana" w:eastAsia="Times New Roman" w:cs="Arial"/>
                <w:color w:val="000000"/>
                <w:lang w:val="es-ES_tradnl" w:eastAsia="es-ES_tradnl"/>
              </w:rPr>
              <w:t>Ley 80 de 1993</w:t>
            </w:r>
            <w:r w:rsidRPr="00973610">
              <w:rPr>
                <w:rFonts w:ascii="Verdana" w:hAnsi="Verdana" w:cs="Arial"/>
                <w:noProof/>
                <w:lang w:val="es-ES_tradnl"/>
              </w:rPr>
              <w:t xml:space="preserve">. </w:t>
            </w:r>
          </w:p>
          <w:p w:rsidRPr="00973610" w:rsidR="00A961B6" w:rsidP="00A961B6" w:rsidRDefault="00A961B6" w14:paraId="260970B7" w14:textId="77777777">
            <w:pPr>
              <w:pStyle w:val="Prrafodelista"/>
              <w:numPr>
                <w:ilvl w:val="0"/>
                <w:numId w:val="17"/>
              </w:numPr>
              <w:spacing w:line="276" w:lineRule="auto"/>
              <w:ind w:right="709"/>
              <w:jc w:val="both"/>
              <w:rPr>
                <w:rFonts w:ascii="Verdana" w:hAnsi="Verdana" w:cs="Arial"/>
                <w:color w:val="000000" w:themeColor="text1"/>
                <w:lang w:val="es-ES_tradnl"/>
              </w:rPr>
            </w:pPr>
            <w:r w:rsidRPr="004A7B56">
              <w:rPr>
                <w:rFonts w:ascii="Verdana" w:hAnsi="Verdana" w:cs="Arial"/>
                <w:color w:val="000000" w:themeColor="text1"/>
                <w:lang w:val="es-ES_tradnl"/>
              </w:rPr>
              <w:t>Decreto 1082 de 2015</w:t>
            </w:r>
          </w:p>
          <w:p w:rsidR="00A961B6" w:rsidP="00A961B6" w:rsidRDefault="00A961B6" w14:paraId="5335E157" w14:textId="77777777">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A</w:t>
            </w:r>
            <w:r w:rsidRPr="00973610">
              <w:rPr>
                <w:rFonts w:ascii="Verdana" w:hAnsi="Verdana" w:cs="Arial"/>
                <w:color w:val="000000" w:themeColor="text1"/>
                <w:lang w:val="es-ES_tradnl"/>
              </w:rPr>
              <w:t>rtículos 3, numeral 5° y 11, numeral 8° del Decreto Ley 4170 de 2011</w:t>
            </w:r>
          </w:p>
          <w:p w:rsidRPr="004A7B56" w:rsidR="00A961B6" w:rsidP="00A961B6" w:rsidRDefault="00A961B6" w14:paraId="55129DAC" w14:textId="77777777">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rPr>
              <w:t>A</w:t>
            </w:r>
            <w:r w:rsidRPr="004A7B56">
              <w:rPr>
                <w:rFonts w:ascii="Verdana" w:hAnsi="Verdana"/>
              </w:rPr>
              <w:t xml:space="preserve">rtículo 5 de la Ley 1150 de 2007 </w:t>
            </w:r>
          </w:p>
          <w:p w:rsidR="00A961B6" w:rsidP="00A961B6" w:rsidRDefault="00A961B6" w14:paraId="4637ABDF" w14:textId="77777777">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L</w:t>
            </w:r>
            <w:r w:rsidRPr="004A7B56">
              <w:rPr>
                <w:rFonts w:ascii="Verdana" w:hAnsi="Verdana" w:cs="Arial"/>
                <w:color w:val="000000" w:themeColor="text1"/>
                <w:lang w:val="es-ES_tradnl"/>
              </w:rPr>
              <w:t>a Ley 590 de 2000</w:t>
            </w:r>
          </w:p>
          <w:p w:rsidRPr="004A7B56" w:rsidR="00A961B6" w:rsidP="00A961B6" w:rsidRDefault="00A961B6" w14:paraId="60C9626D" w14:textId="77777777">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A</w:t>
            </w:r>
            <w:r w:rsidRPr="004A7B56">
              <w:rPr>
                <w:rFonts w:ascii="Verdana" w:hAnsi="Verdana" w:cs="Arial"/>
                <w:color w:val="000000" w:themeColor="text1"/>
                <w:lang w:val="es-ES_tradnl"/>
              </w:rPr>
              <w:t>rtículo 166 del Decreto 019 de 2012</w:t>
            </w:r>
          </w:p>
          <w:p w:rsidRPr="004A7B56" w:rsidR="00A961B6" w:rsidP="00A961B6" w:rsidRDefault="00A961B6" w14:paraId="28D1D653" w14:textId="77777777">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rPr>
              <w:t>A</w:t>
            </w:r>
            <w:r w:rsidRPr="004A7B56">
              <w:rPr>
                <w:rFonts w:ascii="Verdana" w:hAnsi="Verdana"/>
              </w:rPr>
              <w:t>rtículo 555-2 del Estatuto Tributario</w:t>
            </w:r>
          </w:p>
          <w:p w:rsidRPr="00D81159" w:rsidR="00A961B6" w:rsidP="000463BB" w:rsidRDefault="00A961B6" w14:paraId="1518091E" w14:textId="77777777">
            <w:pPr>
              <w:pStyle w:val="Prrafodelista"/>
              <w:widowControl w:val="0"/>
              <w:autoSpaceDE w:val="0"/>
              <w:autoSpaceDN w:val="0"/>
              <w:contextualSpacing w:val="0"/>
              <w:jc w:val="both"/>
              <w:rPr>
                <w:rFonts w:ascii="Verdana" w:hAnsi="Verdana" w:cs="Arial"/>
              </w:rPr>
            </w:pPr>
          </w:p>
        </w:tc>
      </w:tr>
    </w:tbl>
    <w:p w:rsidRPr="00115E3D" w:rsidR="00A961B6" w:rsidP="00A961B6" w:rsidRDefault="00A961B6" w14:paraId="063B8DAB" w14:textId="77777777">
      <w:pPr>
        <w:widowControl w:val="0"/>
        <w:autoSpaceDE w:val="0"/>
        <w:autoSpaceDN w:val="0"/>
        <w:spacing w:after="0" w:line="276" w:lineRule="auto"/>
        <w:jc w:val="both"/>
        <w:rPr>
          <w:rFonts w:ascii="Verdana" w:hAnsi="Verdana" w:cs="Arial"/>
          <w:color w:val="000000" w:themeColor="text1"/>
        </w:rPr>
      </w:pPr>
    </w:p>
    <w:p w:rsidRPr="00115E3D" w:rsidR="00A961B6" w:rsidP="00A961B6" w:rsidRDefault="00A961B6" w14:paraId="35B6869B"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Doctrina de la Agencia Nacional de Contratación Pública:</w:t>
      </w:r>
    </w:p>
    <w:p w:rsidRPr="00115E3D" w:rsidR="00A961B6" w:rsidP="00A961B6" w:rsidRDefault="00A961B6" w14:paraId="3656A59A" w14:textId="77777777">
      <w:pPr>
        <w:widowControl w:val="0"/>
        <w:autoSpaceDE w:val="0"/>
        <w:autoSpaceDN w:val="0"/>
        <w:spacing w:after="0" w:line="276" w:lineRule="auto"/>
        <w:jc w:val="both"/>
        <w:rPr>
          <w:rFonts w:ascii="Verdana" w:hAnsi="Verdana" w:cs="Arial"/>
          <w:color w:val="000000" w:themeColor="text1"/>
        </w:rPr>
      </w:pPr>
    </w:p>
    <w:p w:rsidRPr="00AB5151" w:rsidR="00A961B6" w:rsidP="00A961B6" w:rsidRDefault="00A961B6" w14:paraId="351BCEC0" w14:textId="77777777">
      <w:pPr>
        <w:widowControl w:val="0"/>
        <w:autoSpaceDE w:val="0"/>
        <w:autoSpaceDN w:val="0"/>
        <w:spacing w:after="0" w:line="276" w:lineRule="auto"/>
        <w:jc w:val="both"/>
        <w:rPr>
          <w:rStyle w:val="normaltextrun"/>
          <w:rFonts w:ascii="Verdana" w:hAnsi="Verdana" w:cs="Arial"/>
          <w:shd w:val="clear" w:color="auto" w:fill="FFFFFF"/>
          <w:lang w:val="es-ES"/>
        </w:rPr>
      </w:pPr>
      <w:r w:rsidRPr="000335E7">
        <w:rPr>
          <w:rFonts w:ascii="Verdana" w:hAnsi="Verdana" w:eastAsia="Calibri" w:cs="Arial"/>
          <w:lang w:val="es-ES_tradnl" w:eastAsia="es-ES_tradnl"/>
        </w:rPr>
        <w:t xml:space="preserve">Sobre </w:t>
      </w:r>
      <w:r w:rsidRPr="002C385B">
        <w:rPr>
          <w:rFonts w:ascii="Verdana" w:hAnsi="Verdana" w:eastAsia="Calibri" w:cs="Arial"/>
          <w:lang w:val="es-ES_tradnl" w:eastAsia="es-ES_tradnl"/>
        </w:rPr>
        <w:t xml:space="preserve">la naturaleza de los requisitos habilitantes y  el carácter enunciativo de </w:t>
      </w:r>
      <w:r w:rsidRPr="002C385B">
        <w:rPr>
          <w:rFonts w:ascii="Verdana" w:hAnsi="Verdana" w:eastAsia="Calibri" w:cs="Arial"/>
          <w:lang w:val="es-ES_tradnl" w:eastAsia="es-ES_tradnl"/>
        </w:rPr>
        <w:lastRenderedPageBreak/>
        <w:t>los mencionados en el artículo 5-1 de la Ley 1150 de 2007</w:t>
      </w:r>
      <w:r w:rsidRPr="000335E7">
        <w:rPr>
          <w:rFonts w:ascii="Verdana" w:hAnsi="Verdana" w:eastAsia="Calibri" w:cs="Arial"/>
          <w:lang w:val="es-ES_tradnl" w:eastAsia="es-ES_tradnl"/>
        </w:rPr>
        <w:t xml:space="preserve"> </w:t>
      </w:r>
      <w:r w:rsidRPr="002C385B">
        <w:rPr>
          <w:rFonts w:ascii="Verdana" w:hAnsi="Verdana" w:eastAsia="Calibri" w:cs="Arial"/>
        </w:rPr>
        <w:t xml:space="preserve">en los conceptos del 15 de noviembre, del 28 de noviembre, 16 de diciembre de 2019 –radicados No. 2201913000008520, 4201912000007329 y 2201913000009295–, así como en los conceptos C-120 del 3 de marzo de 2020, C-204 del 31 de marzo de 2020, C-099 del 6 de abril de 2020, C-195 del 13 de abril de 2020, C-013 del 17 de abril de 2020, </w:t>
      </w:r>
      <w:r>
        <w:rPr>
          <w:rFonts w:ascii="Verdana" w:hAnsi="Verdana" w:eastAsia="Calibri" w:cs="Arial"/>
        </w:rPr>
        <w:t xml:space="preserve">C-107 del 24 de febrero de 2020, </w:t>
      </w:r>
      <w:r w:rsidRPr="002C385B">
        <w:rPr>
          <w:rFonts w:ascii="Verdana" w:hAnsi="Verdana" w:eastAsia="Calibri" w:cs="Arial"/>
        </w:rPr>
        <w:t>C-330 del 27 de mayo de 2020, C-396 de 16 de julio de 2020, C-142 del 30 de marzo de 2022</w:t>
      </w:r>
      <w:r>
        <w:rPr>
          <w:rFonts w:ascii="Verdana" w:hAnsi="Verdana" w:eastAsia="Calibri" w:cs="Arial"/>
        </w:rPr>
        <w:t>, C-337 del 18 de agosto de 2023, C-662 del 29 d enero de 2025</w:t>
      </w:r>
      <w:r>
        <w:rPr>
          <w:rFonts w:ascii="Verdana" w:hAnsi="Verdana" w:eastAsia="Calibri" w:cs="Arial"/>
          <w:shd w:val="clear" w:color="auto" w:fill="FFFFFF"/>
          <w:lang w:val="es-ES"/>
        </w:rPr>
        <w:t xml:space="preserve">. </w:t>
      </w:r>
      <w:r w:rsidRPr="00AB5151">
        <w:rPr>
          <w:rStyle w:val="normaltextrun"/>
          <w:rFonts w:ascii="Verdana" w:hAnsi="Verdana" w:cs="Arial"/>
          <w:shd w:val="clear" w:color="auto" w:fill="FFFFFF"/>
          <w:lang w:val="es-ES"/>
        </w:rPr>
        <w:t>Es</w:t>
      </w:r>
      <w:r w:rsidRPr="00AB5151">
        <w:rPr>
          <w:rFonts w:ascii="Verdana" w:hAnsi="Verdana"/>
        </w:rPr>
        <w:t>tos y otros conceptos se encuentran disponibles para consulta en el Sistema de relatoría de la Agencia, al cual se puede acceder a través del siguiente enlace:</w:t>
      </w:r>
      <w:r w:rsidRPr="00AB5151">
        <w:rPr>
          <w:rStyle w:val="normaltextrun"/>
          <w:rFonts w:ascii="Verdana" w:hAnsi="Verdana" w:cs="Arial"/>
          <w:shd w:val="clear" w:color="auto" w:fill="FFFFFF"/>
          <w:lang w:val="es-ES"/>
        </w:rPr>
        <w:t xml:space="preserve"> </w:t>
      </w:r>
      <w:hyperlink w:history="1" r:id="rId12">
        <w:r w:rsidRPr="00AB5151">
          <w:rPr>
            <w:rStyle w:val="Hipervnculo"/>
            <w:rFonts w:ascii="Verdana" w:hAnsi="Verdana" w:cs="Arial"/>
            <w:shd w:val="clear" w:color="auto" w:fill="FFFFFF"/>
            <w:lang w:val="es-ES"/>
          </w:rPr>
          <w:t>https://relatoria.colombiacompra.gov.co/busqueda/conceptos</w:t>
        </w:r>
      </w:hyperlink>
      <w:r w:rsidRPr="00AB5151">
        <w:rPr>
          <w:rStyle w:val="normaltextrun"/>
          <w:rFonts w:ascii="Verdana" w:hAnsi="Verdana" w:cs="Arial"/>
          <w:shd w:val="clear" w:color="auto" w:fill="FFFFFF"/>
          <w:lang w:val="es-ES"/>
        </w:rPr>
        <w:t xml:space="preserve">. </w:t>
      </w:r>
    </w:p>
    <w:p w:rsidRPr="00115E3D" w:rsidR="00A961B6" w:rsidP="00A961B6" w:rsidRDefault="00A961B6" w14:paraId="06D7725F" w14:textId="7777777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rsidRPr="00115E3D" w:rsidR="00A961B6" w:rsidP="00A961B6" w:rsidRDefault="00A961B6" w14:paraId="124B5917" w14:textId="77777777">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rsidRPr="00115E3D" w:rsidR="00A961B6" w:rsidP="00A961B6" w:rsidRDefault="00A961B6" w14:paraId="6FA59222" w14:textId="77777777">
      <w:pPr>
        <w:spacing w:after="0" w:line="240" w:lineRule="auto"/>
        <w:jc w:val="both"/>
        <w:rPr>
          <w:rFonts w:ascii="Verdana" w:hAnsi="Verdana"/>
          <w:color w:val="000000" w:themeColor="text1"/>
        </w:rPr>
      </w:pPr>
    </w:p>
    <w:p w:rsidRPr="00115E3D" w:rsidR="00A961B6" w:rsidP="00A961B6" w:rsidRDefault="00A961B6" w14:paraId="3DE406D5"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rsidRPr="00115E3D" w:rsidR="00A961B6" w:rsidP="00A961B6" w:rsidRDefault="00A961B6" w14:paraId="6FE6E32E"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rsidRPr="00115E3D" w:rsidR="00A961B6" w:rsidP="00A961B6" w:rsidRDefault="00A961B6" w14:paraId="07A658B2"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rsidRPr="00115E3D" w:rsidR="00A961B6" w:rsidP="00A961B6" w:rsidRDefault="00A961B6" w14:paraId="13A5573E" w14:textId="77777777">
      <w:pPr>
        <w:widowControl w:val="0"/>
        <w:autoSpaceDE w:val="0"/>
        <w:autoSpaceDN w:val="0"/>
        <w:spacing w:after="0" w:line="276" w:lineRule="auto"/>
        <w:jc w:val="both"/>
        <w:rPr>
          <w:rFonts w:ascii="Verdana" w:hAnsi="Verdana" w:cs="Arial"/>
          <w:color w:val="000000" w:themeColor="text1"/>
        </w:rPr>
      </w:pPr>
    </w:p>
    <w:p w:rsidRPr="00115E3D" w:rsidR="00A961B6" w:rsidP="00A961B6" w:rsidRDefault="00A961B6" w14:paraId="4910B04D" w14:textId="77777777">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rsidRPr="00115E3D" w:rsidR="00A961B6" w:rsidP="00A961B6" w:rsidRDefault="00A961B6" w14:paraId="20485E74" w14:textId="77777777">
      <w:pPr>
        <w:widowControl w:val="0"/>
        <w:autoSpaceDE w:val="0"/>
        <w:autoSpaceDN w:val="0"/>
        <w:spacing w:after="0" w:line="276" w:lineRule="auto"/>
        <w:jc w:val="both"/>
        <w:rPr>
          <w:rFonts w:ascii="Verdana" w:hAnsi="Verdana" w:cs="Arial"/>
          <w:color w:val="000000" w:themeColor="text1"/>
        </w:rPr>
      </w:pPr>
    </w:p>
    <w:p w:rsidRPr="00115E3D" w:rsidR="00A961B6" w:rsidP="00A961B6" w:rsidRDefault="00A961B6" w14:paraId="135C51E0" w14:textId="77777777">
      <w:pPr>
        <w:spacing w:after="0" w:line="240" w:lineRule="auto"/>
        <w:rPr>
          <w:rFonts w:ascii="Verdana" w:hAnsi="Verdana" w:cs="Arial"/>
          <w:color w:val="000000" w:themeColor="text1"/>
          <w:lang w:eastAsia="es-CO"/>
        </w:rPr>
      </w:pPr>
      <w:r w:rsidRPr="00115E3D">
        <w:rPr>
          <w:rFonts w:ascii="Verdana" w:hAnsi="Verdana" w:eastAsia="Times New Roman" w:cs="Arial"/>
          <w:color w:val="000000" w:themeColor="text1"/>
          <w:lang w:eastAsia="es-CO"/>
        </w:rPr>
        <w:t>Atentamente,</w:t>
      </w:r>
      <w:r w:rsidRPr="00115E3D">
        <w:rPr>
          <w:rFonts w:ascii="Verdana" w:hAnsi="Verdana" w:cs="Arial"/>
          <w:color w:val="000000" w:themeColor="text1"/>
          <w:lang w:eastAsia="es-CO"/>
        </w:rPr>
        <w:t xml:space="preserve"> </w:t>
      </w:r>
    </w:p>
    <w:p w:rsidR="00A961B6" w:rsidP="00A961B6" w:rsidRDefault="00A961B6" w14:paraId="21D5DB75" w14:textId="6F413717">
      <w:pPr>
        <w:spacing w:line="276" w:lineRule="auto"/>
        <w:jc w:val="center"/>
        <w:rPr>
          <w:noProof/>
          <w:color w:val="000000" w:themeColor="text1"/>
          <w:lang w:val="es-ES_tradnl" w:eastAsia="es-CO"/>
        </w:rPr>
      </w:pPr>
      <w:r>
        <w:rPr>
          <w:noProof/>
        </w:rPr>
        <w:drawing>
          <wp:inline distT="0" distB="0" distL="0" distR="0" wp14:anchorId="6801616B" wp14:editId="18033A03">
            <wp:extent cx="2691765" cy="940617"/>
            <wp:effectExtent l="0" t="0" r="0" b="0"/>
            <wp:docPr id="100141682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16823" name="Imagen 1" descr="Texto&#10;&#10;El contenido generado por IA puede ser incorrec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00398" cy="943634"/>
                    </a:xfrm>
                    <a:prstGeom prst="rect">
                      <a:avLst/>
                    </a:prstGeom>
                    <a:noFill/>
                    <a:ln>
                      <a:noFill/>
                    </a:ln>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115E3D" w:rsidR="00A961B6" w:rsidTr="000463BB" w14:paraId="2C6E288D" w14:textId="77777777">
        <w:trPr>
          <w:trHeight w:val="315"/>
        </w:trPr>
        <w:tc>
          <w:tcPr>
            <w:tcW w:w="893" w:type="dxa"/>
            <w:vAlign w:val="center"/>
            <w:hideMark/>
          </w:tcPr>
          <w:p w:rsidRPr="00115E3D" w:rsidR="00A961B6" w:rsidP="000463BB" w:rsidRDefault="00A961B6" w14:paraId="2450E1E9"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115E3D" w:rsidR="00A961B6" w:rsidP="000463BB" w:rsidRDefault="00A961B6" w14:paraId="4DF76948" w14:textId="77777777">
            <w:pPr>
              <w:contextualSpacing/>
              <w:rPr>
                <w:rFonts w:ascii="Verdana" w:hAnsi="Verdana" w:eastAsia="Arial" w:cs="Arial"/>
                <w:color w:val="000000" w:themeColor="text1"/>
                <w:sz w:val="16"/>
                <w:szCs w:val="16"/>
              </w:rPr>
            </w:pPr>
            <w:r>
              <w:rPr>
                <w:rFonts w:ascii="Verdana" w:hAnsi="Verdana" w:eastAsia="Arial" w:cs="Arial"/>
                <w:color w:val="000000" w:themeColor="text1"/>
                <w:sz w:val="16"/>
                <w:szCs w:val="16"/>
              </w:rPr>
              <w:t>Daniel Eduardo Rojas Poveda</w:t>
            </w:r>
          </w:p>
          <w:p w:rsidRPr="00115E3D" w:rsidR="00A961B6" w:rsidP="000463BB" w:rsidRDefault="00A961B6" w14:paraId="278ECD7E" w14:textId="77777777">
            <w:pPr>
              <w:contextualSpacing/>
              <w:rPr>
                <w:rFonts w:ascii="Verdana" w:hAnsi="Verdana" w:eastAsia="Arial" w:cs="Arial"/>
                <w:color w:val="000000" w:themeColor="text1"/>
                <w:sz w:val="16"/>
                <w:szCs w:val="16"/>
              </w:rPr>
            </w:pPr>
            <w:r w:rsidRPr="00AB5151">
              <w:rPr>
                <w:rStyle w:val="normaltextrun"/>
                <w:rFonts w:ascii="Verdana" w:hAnsi="Verdana" w:eastAsia="Arial" w:cs="Times New Roman"/>
                <w:color w:val="000000" w:themeColor="text1"/>
                <w:sz w:val="16"/>
                <w:szCs w:val="16"/>
              </w:rPr>
              <w:t>C</w:t>
            </w:r>
            <w:r w:rsidRPr="00AB5151">
              <w:rPr>
                <w:rStyle w:val="normaltextrun"/>
                <w:rFonts w:ascii="Verdana" w:hAnsi="Verdana" w:eastAsia="Arial" w:cs="Times New Roman"/>
                <w:sz w:val="16"/>
                <w:szCs w:val="16"/>
              </w:rPr>
              <w:t xml:space="preserve">ontratista </w:t>
            </w:r>
            <w:r w:rsidRPr="00115E3D">
              <w:rPr>
                <w:rStyle w:val="normaltextrun"/>
                <w:rFonts w:ascii="Verdana" w:hAnsi="Verdana" w:eastAsia="Arial" w:cs="Arial"/>
                <w:color w:val="000000" w:themeColor="text1"/>
                <w:sz w:val="16"/>
                <w:szCs w:val="16"/>
              </w:rPr>
              <w:t>de la Subdirección de Gestión Contractual</w:t>
            </w:r>
          </w:p>
        </w:tc>
      </w:tr>
      <w:tr w:rsidRPr="00115E3D" w:rsidR="00A961B6" w:rsidTr="000463BB" w14:paraId="2C70FB78" w14:textId="77777777">
        <w:trPr>
          <w:trHeight w:val="330"/>
        </w:trPr>
        <w:tc>
          <w:tcPr>
            <w:tcW w:w="893" w:type="dxa"/>
            <w:vAlign w:val="center"/>
            <w:hideMark/>
          </w:tcPr>
          <w:p w:rsidRPr="00115E3D" w:rsidR="00A961B6" w:rsidP="000463BB" w:rsidRDefault="00A961B6" w14:paraId="19167188"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B37171" w:rsidR="00A961B6" w:rsidP="000463BB" w:rsidRDefault="00A961B6" w14:paraId="0D0E2CC0" w14:textId="77777777">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w:t>
            </w:r>
          </w:p>
          <w:p w:rsidRPr="00115E3D" w:rsidR="00A961B6" w:rsidP="000463BB" w:rsidRDefault="00A961B6" w14:paraId="73D77A05" w14:textId="77777777">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Pr="00115E3D" w:rsidR="00A961B6" w:rsidTr="000463BB" w14:paraId="5D7F6E1E" w14:textId="77777777">
        <w:trPr>
          <w:trHeight w:val="300"/>
        </w:trPr>
        <w:tc>
          <w:tcPr>
            <w:tcW w:w="893" w:type="dxa"/>
            <w:vAlign w:val="center"/>
          </w:tcPr>
          <w:p w:rsidRPr="00115E3D" w:rsidR="00A961B6" w:rsidP="000463BB" w:rsidRDefault="00A961B6" w14:paraId="056BE292"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115E3D" w:rsidR="00A961B6" w:rsidP="000463BB" w:rsidRDefault="00A961B6" w14:paraId="16DFA274"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val="pt-BR" w:eastAsia="es-ES"/>
              </w:rPr>
              <w:t xml:space="preserve">Carolina Quintero </w:t>
            </w:r>
            <w:proofErr w:type="spellStart"/>
            <w:r w:rsidRPr="00115E3D">
              <w:rPr>
                <w:rFonts w:ascii="Verdana" w:hAnsi="Verdana" w:eastAsia="Calibri" w:cs="Arial"/>
                <w:color w:val="000000" w:themeColor="text1"/>
                <w:sz w:val="16"/>
                <w:szCs w:val="16"/>
                <w:lang w:val="pt-BR" w:eastAsia="es-ES"/>
              </w:rPr>
              <w:t>Gacharná</w:t>
            </w:r>
            <w:proofErr w:type="spellEnd"/>
          </w:p>
          <w:p w:rsidRPr="00115E3D" w:rsidR="00A961B6" w:rsidP="000463BB" w:rsidRDefault="00A961B6" w14:paraId="1C680473"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eastAsia="es-ES"/>
              </w:rPr>
              <w:t>Subdirectora</w:t>
            </w:r>
            <w:r w:rsidRPr="00115E3D">
              <w:rPr>
                <w:rFonts w:ascii="Verdana" w:hAnsi="Verdana" w:eastAsia="Calibri" w:cs="Arial"/>
                <w:color w:val="000000" w:themeColor="text1"/>
                <w:sz w:val="16"/>
                <w:szCs w:val="16"/>
                <w:lang w:val="pt-BR" w:eastAsia="es-ES"/>
              </w:rPr>
              <w:t xml:space="preserve"> de Gestión </w:t>
            </w:r>
            <w:proofErr w:type="spellStart"/>
            <w:r w:rsidRPr="00115E3D">
              <w:rPr>
                <w:rFonts w:ascii="Verdana" w:hAnsi="Verdana" w:eastAsia="Calibri" w:cs="Arial"/>
                <w:color w:val="000000" w:themeColor="text1"/>
                <w:sz w:val="16"/>
                <w:szCs w:val="16"/>
                <w:lang w:val="pt-BR" w:eastAsia="es-ES"/>
              </w:rPr>
              <w:t>Contractual</w:t>
            </w:r>
            <w:proofErr w:type="spellEnd"/>
            <w:r w:rsidRPr="00115E3D">
              <w:rPr>
                <w:rFonts w:ascii="Verdana" w:hAnsi="Verdana" w:eastAsia="Calibri" w:cs="Arial"/>
                <w:color w:val="000000" w:themeColor="text1"/>
                <w:sz w:val="16"/>
                <w:szCs w:val="16"/>
                <w:lang w:val="pt-BR" w:eastAsia="es-ES"/>
              </w:rPr>
              <w:t xml:space="preserve"> ANCP – CCE</w:t>
            </w:r>
          </w:p>
        </w:tc>
      </w:tr>
    </w:tbl>
    <w:p w:rsidR="00A961B6" w:rsidP="00A961B6" w:rsidRDefault="00A961B6" w14:paraId="7CB05388" w14:textId="77777777"/>
    <w:p w:rsidRPr="00A961B6" w:rsidR="00127233" w:rsidP="00CF2FB0" w:rsidRDefault="00A961B6" w14:paraId="0F293BF4" w14:textId="75648574">
      <w:pPr>
        <w:rPr>
          <w:sz w:val="20"/>
          <w:szCs w:val="20"/>
        </w:rPr>
      </w:pPr>
      <w:r>
        <w:rPr>
          <w:sz w:val="20"/>
          <w:szCs w:val="20"/>
        </w:rPr>
        <w:t xml:space="preserve">   </w:t>
      </w:r>
      <w:r w:rsidRPr="00AD41EA">
        <w:rPr>
          <w:sz w:val="20"/>
          <w:szCs w:val="20"/>
        </w:rPr>
        <w:t xml:space="preserve">Anexo: </w:t>
      </w:r>
      <w:r>
        <w:rPr>
          <w:sz w:val="20"/>
          <w:szCs w:val="20"/>
        </w:rPr>
        <w:t xml:space="preserve">Comunicado </w:t>
      </w:r>
      <w:proofErr w:type="spellStart"/>
      <w:r>
        <w:rPr>
          <w:sz w:val="20"/>
          <w:szCs w:val="20"/>
        </w:rPr>
        <w:t>Nº</w:t>
      </w:r>
      <w:proofErr w:type="spellEnd"/>
      <w:r>
        <w:rPr>
          <w:sz w:val="20"/>
          <w:szCs w:val="20"/>
        </w:rPr>
        <w:t xml:space="preserve"> 001-2025 - DIAN</w:t>
      </w:r>
    </w:p>
    <w:sectPr w:rsidRPr="00A961B6" w:rsidR="00127233" w:rsidSect="007C0C0F">
      <w:headerReference w:type="default" r:id="rId14"/>
      <w:footerReference w:type="default" r:id="rId15"/>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85CC0" w:rsidP="004A1847" w:rsidRDefault="00385CC0" w14:paraId="1B4E7369" w14:textId="77777777">
      <w:pPr>
        <w:spacing w:after="0" w:line="240" w:lineRule="auto"/>
      </w:pPr>
      <w:r>
        <w:separator/>
      </w:r>
    </w:p>
  </w:endnote>
  <w:endnote w:type="continuationSeparator" w:id="0">
    <w:p w:rsidR="00385CC0" w:rsidP="004A1847" w:rsidRDefault="00385CC0" w14:paraId="5632DAC5" w14:textId="77777777">
      <w:pPr>
        <w:spacing w:after="0" w:line="240" w:lineRule="auto"/>
      </w:pPr>
      <w:r>
        <w:continuationSeparator/>
      </w:r>
    </w:p>
  </w:endnote>
  <w:endnote w:type="continuationNotice" w:id="1">
    <w:p w:rsidR="00385CC0" w:rsidRDefault="00385CC0" w14:paraId="2146824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356CEDFD" w:rsidRDefault="356CEDFD" w14:paraId="744661F5" w14:textId="22B9E88F">
    <w:pPr>
      <w:pBdr>
        <w:top w:val="nil"/>
        <w:left w:val="nil"/>
        <w:bottom w:val="nil"/>
        <w:right w:val="nil"/>
        <w:between w:val="nil"/>
      </w:pBdr>
      <w:tabs>
        <w:tab w:val="center" w:pos="4419"/>
        <w:tab w:val="right" w:pos="8838"/>
        <w:tab w:val="center" w:pos="5400"/>
      </w:tabs>
      <w:spacing w:after="0"/>
      <w:jc w:val="right"/>
    </w:pPr>
    <w:r w:rsidRPr="356CEDFD">
      <w:rPr>
        <w:rFonts w:ascii="Century Gothic" w:hAnsi="Century Gothic" w:eastAsia="Geo" w:cs="Geo"/>
        <w:b/>
        <w:bCs/>
        <w:color w:val="000000" w:themeColor="text1"/>
        <w:sz w:val="16"/>
        <w:szCs w:val="16"/>
        <w:lang w:eastAsia="es-CO"/>
      </w:rPr>
      <w:t xml:space="preserve">Código: </w:t>
    </w:r>
    <w:r w:rsidRPr="356CEDFD">
      <w:rPr>
        <w:rFonts w:ascii="Century Gothic" w:hAnsi="Century Gothic" w:eastAsia="Geo" w:cs="Geo"/>
        <w:color w:val="000000" w:themeColor="text1"/>
        <w:sz w:val="16"/>
        <w:szCs w:val="16"/>
        <w:lang w:eastAsia="es-CO"/>
      </w:rPr>
      <w:t xml:space="preserve">CCE-REC-FM-17 </w:t>
    </w:r>
    <w:r w:rsidRPr="356CEDFD">
      <w:rPr>
        <w:rFonts w:ascii="Century Gothic" w:hAnsi="Century Gothic" w:eastAsia="Geo" w:cs="Geo"/>
        <w:b/>
        <w:bCs/>
        <w:color w:val="000000" w:themeColor="text1"/>
        <w:sz w:val="16"/>
        <w:szCs w:val="16"/>
        <w:lang w:eastAsia="es-CO"/>
      </w:rPr>
      <w:t>V</w:t>
    </w:r>
    <w:r w:rsidRPr="356CEDFD">
      <w:rPr>
        <w:rFonts w:ascii="Century Gothic" w:hAnsi="Century Gothic" w:eastAsia="Arial Nova" w:cs="Arial Nova"/>
        <w:b/>
        <w:bCs/>
        <w:color w:val="000000" w:themeColor="text1"/>
        <w:sz w:val="16"/>
        <w:szCs w:val="16"/>
        <w:lang w:eastAsia="es-CO"/>
      </w:rPr>
      <w:t xml:space="preserve">: </w:t>
    </w:r>
    <w:r w:rsidRPr="356CEDFD">
      <w:rPr>
        <w:rFonts w:ascii="Century Gothic" w:hAnsi="Century Gothic" w:eastAsia="Geo"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85CC0" w:rsidP="004A1847" w:rsidRDefault="00385CC0" w14:paraId="090AE258" w14:textId="77777777">
      <w:pPr>
        <w:spacing w:after="0" w:line="240" w:lineRule="auto"/>
      </w:pPr>
      <w:r>
        <w:separator/>
      </w:r>
    </w:p>
  </w:footnote>
  <w:footnote w:type="continuationSeparator" w:id="0">
    <w:p w:rsidR="00385CC0" w:rsidP="004A1847" w:rsidRDefault="00385CC0" w14:paraId="0C7FE5DF" w14:textId="77777777">
      <w:pPr>
        <w:spacing w:after="0" w:line="240" w:lineRule="auto"/>
      </w:pPr>
      <w:r>
        <w:continuationSeparator/>
      </w:r>
    </w:p>
  </w:footnote>
  <w:footnote w:type="continuationNotice" w:id="1">
    <w:p w:rsidR="00385CC0" w:rsidRDefault="00385CC0" w14:paraId="6DB30A58" w14:textId="77777777">
      <w:pPr>
        <w:spacing w:after="0" w:line="240" w:lineRule="auto"/>
      </w:pPr>
    </w:p>
  </w:footnote>
  <w:footnote w:id="2">
    <w:p w:rsidR="00A961B6" w:rsidP="00A961B6" w:rsidRDefault="00A961B6" w14:paraId="4ED54D65" w14:textId="77777777">
      <w:pPr>
        <w:pStyle w:val="NormalWeb"/>
        <w:spacing w:after="0"/>
        <w:ind w:firstLine="708"/>
        <w:contextualSpacing/>
        <w:jc w:val="both"/>
        <w:rPr>
          <w:rFonts w:ascii="Verdana" w:hAnsi="Verdana" w:cs="Arial"/>
          <w:sz w:val="14"/>
          <w:szCs w:val="14"/>
        </w:rPr>
      </w:pPr>
      <w:r w:rsidRPr="008A2385">
        <w:rPr>
          <w:rStyle w:val="Refdenotaalpie"/>
          <w:rFonts w:ascii="Verdana" w:hAnsi="Verdana" w:cs="Arial"/>
          <w:sz w:val="14"/>
          <w:szCs w:val="14"/>
        </w:rPr>
        <w:footnoteRef/>
      </w:r>
      <w:r w:rsidRPr="008A2385">
        <w:rPr>
          <w:rFonts w:ascii="Verdana" w:hAnsi="Verdana" w:cs="Arial"/>
          <w:sz w:val="14"/>
          <w:szCs w:val="14"/>
        </w:rPr>
        <w:t xml:space="preserve"> </w:t>
      </w:r>
      <w:r w:rsidRPr="008A2385">
        <w:rPr>
          <w:rFonts w:ascii="Verdana" w:hAnsi="Verdana" w:cs="Arial"/>
          <w:sz w:val="14"/>
          <w:szCs w:val="14"/>
          <w:lang w:val="es-ES"/>
        </w:rPr>
        <w:t>“</w:t>
      </w:r>
      <w:r w:rsidRPr="008A2385">
        <w:rPr>
          <w:rFonts w:ascii="Verdana" w:hAnsi="Verdana" w:cs="Arial"/>
          <w:sz w:val="14"/>
          <w:szCs w:val="14"/>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rsidRPr="008A2385" w:rsidR="00A961B6" w:rsidP="00A961B6" w:rsidRDefault="00A961B6" w14:paraId="68070065" w14:textId="77777777">
      <w:pPr>
        <w:pStyle w:val="NormalWeb"/>
        <w:spacing w:after="0"/>
        <w:contextualSpacing/>
        <w:jc w:val="both"/>
        <w:rPr>
          <w:rFonts w:ascii="Verdana" w:hAnsi="Verdana" w:cs="Arial"/>
          <w:sz w:val="14"/>
          <w:szCs w:val="14"/>
        </w:rPr>
      </w:pPr>
      <w:r w:rsidRPr="008A2385">
        <w:rPr>
          <w:rFonts w:ascii="Verdana" w:hAnsi="Verdana" w:cs="Arial"/>
          <w:sz w:val="14"/>
          <w:szCs w:val="14"/>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rsidRPr="00B208E1" w:rsidR="00A961B6" w:rsidP="00A961B6" w:rsidRDefault="00A961B6" w14:paraId="6FA70153" w14:textId="77777777">
      <w:pPr>
        <w:spacing w:after="0" w:line="240" w:lineRule="auto"/>
        <w:ind w:firstLine="709"/>
        <w:contextualSpacing/>
        <w:jc w:val="both"/>
        <w:rPr>
          <w:rFonts w:ascii="Arial" w:hAnsi="Arial" w:cs="Arial"/>
          <w:sz w:val="14"/>
          <w:szCs w:val="14"/>
        </w:rPr>
      </w:pPr>
    </w:p>
  </w:footnote>
  <w:footnote w:id="3">
    <w:p w:rsidRPr="00375D58" w:rsidR="00A961B6" w:rsidP="00A961B6" w:rsidRDefault="00A961B6" w14:paraId="74EAB6CC" w14:textId="77777777">
      <w:pPr>
        <w:pStyle w:val="NormalWeb"/>
        <w:spacing w:before="0" w:beforeAutospacing="0" w:after="0"/>
        <w:ind w:firstLine="709"/>
        <w:contextualSpacing/>
        <w:jc w:val="both"/>
        <w:rPr>
          <w:rFonts w:ascii="Arial" w:hAnsi="Arial" w:cs="Arial"/>
          <w:sz w:val="16"/>
          <w:szCs w:val="16"/>
          <w:lang w:val="es-ES"/>
        </w:rPr>
      </w:pPr>
      <w:r w:rsidRPr="00375D58">
        <w:rPr>
          <w:rStyle w:val="Refdenotaalpie"/>
          <w:rFonts w:ascii="Arial" w:hAnsi="Arial" w:cs="Arial"/>
          <w:sz w:val="16"/>
          <w:szCs w:val="16"/>
        </w:rPr>
        <w:footnoteRef/>
      </w:r>
      <w:r w:rsidRPr="00375D58">
        <w:rPr>
          <w:rStyle w:val="Refdenotaalpie"/>
          <w:rFonts w:ascii="Arial" w:hAnsi="Arial" w:cs="Arial"/>
          <w:sz w:val="16"/>
          <w:szCs w:val="16"/>
        </w:rPr>
        <w:t xml:space="preserve"> “</w:t>
      </w:r>
      <w:r w:rsidRPr="00375D58">
        <w:rPr>
          <w:rFonts w:ascii="Arial" w:hAnsi="Arial"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rsidRPr="00375D58" w:rsidR="00A961B6" w:rsidP="00A961B6" w:rsidRDefault="00A961B6" w14:paraId="6B73B4CE" w14:textId="77777777">
      <w:pPr>
        <w:pStyle w:val="NormalWeb"/>
        <w:spacing w:after="0"/>
        <w:ind w:firstLine="709"/>
        <w:contextualSpacing/>
        <w:jc w:val="both"/>
        <w:rPr>
          <w:rFonts w:ascii="Arial" w:hAnsi="Arial" w:cs="Arial"/>
          <w:sz w:val="16"/>
          <w:szCs w:val="16"/>
          <w:lang w:val="es-ES"/>
        </w:rPr>
      </w:pPr>
      <w:r w:rsidRPr="00375D58">
        <w:rPr>
          <w:rFonts w:ascii="Arial" w:hAnsi="Arial" w:cs="Arial"/>
          <w:sz w:val="16"/>
          <w:szCs w:val="16"/>
          <w:lang w:val="es-ES"/>
        </w:rPr>
        <w:t>Parágrafo Transitorio. </w:t>
      </w:r>
      <w:hyperlink w:tgtFrame="_blank" w:history="1" r:id="rId1">
        <w:r w:rsidRPr="00375D58">
          <w:rPr>
            <w:sz w:val="16"/>
            <w:szCs w:val="16"/>
          </w:rPr>
          <w:t>https://colaboracion.dnp.gov.co/CDT/Normatividad/DECRETO 579 DEL 31 DE MAYO DE 2021.pdf</w:t>
        </w:r>
      </w:hyperlink>
      <w:r w:rsidRPr="00375D58">
        <w:rPr>
          <w:rFonts w:ascii="Arial" w:hAnsi="Arial" w:cs="Arial"/>
          <w:sz w:val="16"/>
          <w:szCs w:val="16"/>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rsidRPr="00375D58" w:rsidR="00A961B6" w:rsidP="00A961B6" w:rsidRDefault="00A961B6" w14:paraId="50EC370D" w14:textId="77777777">
      <w:pPr>
        <w:pStyle w:val="NormalWeb"/>
        <w:spacing w:after="0"/>
        <w:ind w:firstLine="709"/>
        <w:contextualSpacing/>
        <w:jc w:val="both"/>
        <w:rPr>
          <w:rFonts w:ascii="Arial" w:hAnsi="Arial" w:cs="Arial"/>
          <w:sz w:val="16"/>
          <w:szCs w:val="16"/>
          <w:lang w:val="es-ES"/>
        </w:rPr>
      </w:pPr>
      <w:r w:rsidRPr="00375D58">
        <w:rPr>
          <w:rFonts w:ascii="Arial" w:hAnsi="Arial"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índicadores, teniendo en cuenta el mejor año fiscal que se refleje en el regístro de cada proponente​.</w:t>
      </w:r>
    </w:p>
    <w:p w:rsidRPr="00B208E1" w:rsidR="00A961B6" w:rsidP="00A961B6" w:rsidRDefault="00A961B6" w14:paraId="1108BD13" w14:textId="77777777">
      <w:pPr>
        <w:pStyle w:val="NormalWeb"/>
        <w:spacing w:after="0"/>
        <w:ind w:firstLine="709"/>
        <w:contextualSpacing/>
        <w:jc w:val="both"/>
        <w:rPr>
          <w:rFonts w:ascii="Arial" w:hAnsi="Arial" w:cs="Arial"/>
          <w:sz w:val="14"/>
          <w:szCs w:val="14"/>
          <w:lang w:val="es-ES"/>
        </w:rPr>
      </w:pPr>
    </w:p>
    <w:p w:rsidRPr="00B208E1" w:rsidR="00A961B6" w:rsidP="00A961B6" w:rsidRDefault="00A961B6" w14:paraId="174A4318" w14:textId="77777777">
      <w:pPr>
        <w:pStyle w:val="NormalWeb"/>
        <w:spacing w:after="0"/>
        <w:ind w:firstLine="709"/>
        <w:contextualSpacing/>
        <w:jc w:val="both"/>
        <w:rPr>
          <w:rStyle w:val="Refdenotaalpie"/>
          <w:rFonts w:ascii="Arial" w:hAnsi="Arial"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5pt;height:1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117A1800"/>
    <w:multiLevelType w:val="hybridMultilevel"/>
    <w:tmpl w:val="9706291C"/>
    <w:lvl w:ilvl="0" w:tplc="75469966">
      <w:start w:val="1"/>
      <w:numFmt w:val="bullet"/>
      <w:lvlText w:val=""/>
      <w:lvlJc w:val="left"/>
      <w:pPr>
        <w:ind w:left="720" w:hanging="360"/>
      </w:pPr>
      <w:rPr>
        <w:rFonts w:hint="default" w:ascii="Symbol" w:hAnsi="Symbol"/>
        <w:color w:val="auto"/>
      </w:rPr>
    </w:lvl>
    <w:lvl w:ilvl="1" w:tplc="080A0003">
      <w:start w:val="1"/>
      <w:numFmt w:val="bullet"/>
      <w:lvlText w:val="o"/>
      <w:lvlJc w:val="left"/>
      <w:pPr>
        <w:ind w:left="1440" w:hanging="360"/>
      </w:pPr>
      <w:rPr>
        <w:rFonts w:hint="default" w:ascii="Courier New" w:hAnsi="Courier New" w:cs="Courier New"/>
      </w:rPr>
    </w:lvl>
    <w:lvl w:ilvl="2" w:tplc="080A0005">
      <w:start w:val="1"/>
      <w:numFmt w:val="bullet"/>
      <w:lvlText w:val=""/>
      <w:lvlJc w:val="left"/>
      <w:pPr>
        <w:ind w:left="2160" w:hanging="360"/>
      </w:pPr>
      <w:rPr>
        <w:rFonts w:hint="default" w:ascii="Wingdings" w:hAnsi="Wingdings"/>
      </w:rPr>
    </w:lvl>
    <w:lvl w:ilvl="3" w:tplc="080A0001">
      <w:start w:val="1"/>
      <w:numFmt w:val="bullet"/>
      <w:lvlText w:val=""/>
      <w:lvlJc w:val="left"/>
      <w:pPr>
        <w:ind w:left="2880" w:hanging="360"/>
      </w:pPr>
      <w:rPr>
        <w:rFonts w:hint="default" w:ascii="Symbol" w:hAnsi="Symbol"/>
      </w:rPr>
    </w:lvl>
    <w:lvl w:ilvl="4" w:tplc="080A0003">
      <w:start w:val="1"/>
      <w:numFmt w:val="bullet"/>
      <w:lvlText w:val="o"/>
      <w:lvlJc w:val="left"/>
      <w:pPr>
        <w:ind w:left="3600" w:hanging="360"/>
      </w:pPr>
      <w:rPr>
        <w:rFonts w:hint="default" w:ascii="Courier New" w:hAnsi="Courier New" w:cs="Courier New"/>
      </w:rPr>
    </w:lvl>
    <w:lvl w:ilvl="5" w:tplc="080A0005">
      <w:start w:val="1"/>
      <w:numFmt w:val="bullet"/>
      <w:lvlText w:val=""/>
      <w:lvlJc w:val="left"/>
      <w:pPr>
        <w:ind w:left="4320" w:hanging="360"/>
      </w:pPr>
      <w:rPr>
        <w:rFonts w:hint="default" w:ascii="Wingdings" w:hAnsi="Wingdings"/>
      </w:rPr>
    </w:lvl>
    <w:lvl w:ilvl="6" w:tplc="080A0001">
      <w:start w:val="1"/>
      <w:numFmt w:val="bullet"/>
      <w:lvlText w:val=""/>
      <w:lvlJc w:val="left"/>
      <w:pPr>
        <w:ind w:left="5040" w:hanging="360"/>
      </w:pPr>
      <w:rPr>
        <w:rFonts w:hint="default" w:ascii="Symbol" w:hAnsi="Symbol"/>
      </w:rPr>
    </w:lvl>
    <w:lvl w:ilvl="7" w:tplc="080A0003">
      <w:start w:val="1"/>
      <w:numFmt w:val="bullet"/>
      <w:lvlText w:val="o"/>
      <w:lvlJc w:val="left"/>
      <w:pPr>
        <w:ind w:left="5760" w:hanging="360"/>
      </w:pPr>
      <w:rPr>
        <w:rFonts w:hint="default" w:ascii="Courier New" w:hAnsi="Courier New" w:cs="Courier New"/>
      </w:rPr>
    </w:lvl>
    <w:lvl w:ilvl="8" w:tplc="080A0005">
      <w:start w:val="1"/>
      <w:numFmt w:val="bullet"/>
      <w:lvlText w:val=""/>
      <w:lvlJc w:val="left"/>
      <w:pPr>
        <w:ind w:left="6480" w:hanging="360"/>
      </w:pPr>
      <w:rPr>
        <w:rFonts w:hint="default" w:ascii="Wingdings" w:hAnsi="Wingdings"/>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2069496407">
    <w:abstractNumId w:val="0"/>
  </w:num>
  <w:num w:numId="17" w16cid:durableId="19541675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782"/>
    <w:rsid w:val="00082362"/>
    <w:rsid w:val="000A683E"/>
    <w:rsid w:val="000B19B9"/>
    <w:rsid w:val="000D0334"/>
    <w:rsid w:val="000D5DA7"/>
    <w:rsid w:val="000F6486"/>
    <w:rsid w:val="00116940"/>
    <w:rsid w:val="00125105"/>
    <w:rsid w:val="00127233"/>
    <w:rsid w:val="0015699B"/>
    <w:rsid w:val="001A33BF"/>
    <w:rsid w:val="001C3541"/>
    <w:rsid w:val="001E4177"/>
    <w:rsid w:val="001F0B24"/>
    <w:rsid w:val="001F7DC6"/>
    <w:rsid w:val="0022400B"/>
    <w:rsid w:val="00230A6A"/>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0800"/>
    <w:rsid w:val="00351711"/>
    <w:rsid w:val="00374F5E"/>
    <w:rsid w:val="00377E3E"/>
    <w:rsid w:val="00385CC0"/>
    <w:rsid w:val="003A779E"/>
    <w:rsid w:val="003C58B5"/>
    <w:rsid w:val="003D0F4D"/>
    <w:rsid w:val="003D5B0D"/>
    <w:rsid w:val="003E0499"/>
    <w:rsid w:val="003E4F80"/>
    <w:rsid w:val="003E6439"/>
    <w:rsid w:val="003F3941"/>
    <w:rsid w:val="00406575"/>
    <w:rsid w:val="00414C74"/>
    <w:rsid w:val="0042722E"/>
    <w:rsid w:val="0044528D"/>
    <w:rsid w:val="00466E39"/>
    <w:rsid w:val="004A1847"/>
    <w:rsid w:val="004A305D"/>
    <w:rsid w:val="004C13C7"/>
    <w:rsid w:val="004F21C4"/>
    <w:rsid w:val="004F685F"/>
    <w:rsid w:val="00544C43"/>
    <w:rsid w:val="005566E8"/>
    <w:rsid w:val="00574867"/>
    <w:rsid w:val="00591460"/>
    <w:rsid w:val="005A65E0"/>
    <w:rsid w:val="005C3777"/>
    <w:rsid w:val="005C5CDC"/>
    <w:rsid w:val="005D476C"/>
    <w:rsid w:val="0061538B"/>
    <w:rsid w:val="006200BF"/>
    <w:rsid w:val="006219F8"/>
    <w:rsid w:val="006302F7"/>
    <w:rsid w:val="00646B9F"/>
    <w:rsid w:val="00665D70"/>
    <w:rsid w:val="006900D9"/>
    <w:rsid w:val="00693EE2"/>
    <w:rsid w:val="00706C16"/>
    <w:rsid w:val="007253AC"/>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17C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61B6"/>
    <w:rsid w:val="00AB0ADB"/>
    <w:rsid w:val="00B00C0E"/>
    <w:rsid w:val="00B01B1A"/>
    <w:rsid w:val="00B0381D"/>
    <w:rsid w:val="00B44A47"/>
    <w:rsid w:val="00B72CD3"/>
    <w:rsid w:val="00B72FFF"/>
    <w:rsid w:val="00B80BEE"/>
    <w:rsid w:val="00BC3D36"/>
    <w:rsid w:val="00BD54A6"/>
    <w:rsid w:val="00BD7F72"/>
    <w:rsid w:val="00BE6963"/>
    <w:rsid w:val="00BF7425"/>
    <w:rsid w:val="00C04FB3"/>
    <w:rsid w:val="00C11D8B"/>
    <w:rsid w:val="00C15139"/>
    <w:rsid w:val="00C330EB"/>
    <w:rsid w:val="00C50D69"/>
    <w:rsid w:val="00C5365C"/>
    <w:rsid w:val="00C754BE"/>
    <w:rsid w:val="00C76B1C"/>
    <w:rsid w:val="00C925AC"/>
    <w:rsid w:val="00CB6357"/>
    <w:rsid w:val="00CC1B26"/>
    <w:rsid w:val="00CF2FB0"/>
    <w:rsid w:val="00D10240"/>
    <w:rsid w:val="00D17192"/>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9356B"/>
    <w:rsid w:val="00FA47C0"/>
    <w:rsid w:val="00FB5DD1"/>
    <w:rsid w:val="00FC2B5D"/>
    <w:rsid w:val="00FF1449"/>
    <w:rsid w:val="00FF7963"/>
    <w:rsid w:val="071B8F93"/>
    <w:rsid w:val="09908A09"/>
    <w:rsid w:val="0FF4CCA8"/>
    <w:rsid w:val="13CFC91B"/>
    <w:rsid w:val="19A2EC2C"/>
    <w:rsid w:val="2859CA1B"/>
    <w:rsid w:val="32A4F9CF"/>
    <w:rsid w:val="356CEDFD"/>
    <w:rsid w:val="45365DD3"/>
    <w:rsid w:val="69614A15"/>
    <w:rsid w:val="6D1E85D3"/>
    <w:rsid w:val="75406C1A"/>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A961B6"/>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961B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3.png"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gloriaamparopalaciosflorez@gmail.com"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1.xml" Id="rId14" /><Relationship Type="http://schemas.openxmlformats.org/officeDocument/2006/relationships/image" Target="/media/image5.png" Id="rId1518170360" /></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Normatividad/DECRETO%20579%20DEL%2031%20DE%20MAYO%20DE%20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B804596-C152-49CC-A035-893576E6560B}"/>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Daniel Eduardo Rojas Poveda</lastModifiedBy>
  <revision>4</revision>
  <lastPrinted>2023-01-10T21:18:00.0000000Z</lastPrinted>
  <dcterms:created xsi:type="dcterms:W3CDTF">2026-02-09T17:50:00.0000000Z</dcterms:created>
  <dcterms:modified xsi:type="dcterms:W3CDTF">2026-02-19T14:09:45.9366482Z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