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ECE47" w14:textId="36C3B293" w:rsidR="00794EB2" w:rsidRDefault="00794EB2" w:rsidP="00E43329">
      <w:pPr>
        <w:snapToGrid w:val="0"/>
        <w:spacing w:after="0" w:line="240" w:lineRule="auto"/>
        <w:contextualSpacing/>
        <w:jc w:val="both"/>
        <w:rPr>
          <w:rFonts w:ascii="Verdana" w:eastAsia="Arial" w:hAnsi="Verdana" w:cs="Arial"/>
          <w:b/>
          <w:bCs/>
          <w:color w:val="000000" w:themeColor="text1"/>
          <w:lang w:val="es-ES" w:eastAsia="es-ES_tradnl"/>
        </w:rPr>
      </w:pPr>
      <w:r w:rsidRPr="00794EB2">
        <w:rPr>
          <w:rFonts w:ascii="Verdana" w:eastAsia="Arial" w:hAnsi="Verdana" w:cs="Arial"/>
          <w:b/>
          <w:bCs/>
          <w:color w:val="000000"/>
          <w:lang w:val="es-ES" w:eastAsia="es-ES_tradnl"/>
        </w:rPr>
        <w:t>MODALIDADES DE SELECCIÓN – Clases</w:t>
      </w:r>
      <w:r w:rsidRPr="00794EB2">
        <w:rPr>
          <w:rFonts w:ascii="Verdana" w:eastAsia="Arial" w:hAnsi="Verdana" w:cs="Arial"/>
          <w:b/>
          <w:bCs/>
          <w:color w:val="000000" w:themeColor="text1"/>
          <w:lang w:val="es-ES" w:eastAsia="es-ES_tradnl"/>
        </w:rPr>
        <w:t xml:space="preserve"> </w:t>
      </w:r>
    </w:p>
    <w:p w14:paraId="7F132DCE" w14:textId="77777777" w:rsidR="00E43329" w:rsidRDefault="00E43329" w:rsidP="00E43329">
      <w:pPr>
        <w:snapToGrid w:val="0"/>
        <w:spacing w:after="0" w:line="240" w:lineRule="auto"/>
        <w:ind w:right="177"/>
        <w:contextualSpacing/>
        <w:jc w:val="both"/>
        <w:rPr>
          <w:rFonts w:ascii="Verdana" w:eastAsiaTheme="minorEastAsia" w:hAnsi="Verdana" w:cs="Arial"/>
          <w:lang w:val="es-ES" w:eastAsia="es-CO"/>
        </w:rPr>
      </w:pPr>
    </w:p>
    <w:p w14:paraId="2EBD80DC" w14:textId="32E46569" w:rsidR="00794EB2" w:rsidRPr="00E43329" w:rsidRDefault="00794EB2" w:rsidP="00E43329">
      <w:pPr>
        <w:snapToGrid w:val="0"/>
        <w:spacing w:after="0" w:line="240" w:lineRule="auto"/>
        <w:ind w:right="177"/>
        <w:contextualSpacing/>
        <w:jc w:val="both"/>
        <w:rPr>
          <w:rFonts w:ascii="Verdana" w:eastAsiaTheme="minorEastAsia" w:hAnsi="Verdana" w:cs="Arial"/>
          <w:sz w:val="20"/>
          <w:szCs w:val="20"/>
          <w:lang w:val="es-ES" w:eastAsia="es-CO"/>
        </w:rPr>
      </w:pPr>
      <w:r w:rsidRPr="00E43329">
        <w:rPr>
          <w:rFonts w:ascii="Verdana" w:eastAsiaTheme="minorEastAsia" w:hAnsi="Verdana" w:cs="Arial"/>
          <w:sz w:val="20"/>
          <w:szCs w:val="20"/>
          <w:lang w:val="es-ES" w:eastAsia="es-CO"/>
        </w:rPr>
        <w:t>Según lo dispuesto en el artículo 2 de la Ley 1150 de 2007, con la reforma introducida por la Ley 1474</w:t>
      </w:r>
      <w:r w:rsidRPr="00E43329">
        <w:rPr>
          <w:rFonts w:ascii="Verdana" w:eastAsiaTheme="minorEastAsia" w:hAnsi="Verdana" w:cs="Arial"/>
          <w:spacing w:val="1"/>
          <w:sz w:val="20"/>
          <w:szCs w:val="20"/>
          <w:lang w:val="es-ES" w:eastAsia="es-CO"/>
        </w:rPr>
        <w:t xml:space="preserve"> </w:t>
      </w:r>
      <w:r w:rsidRPr="00E43329">
        <w:rPr>
          <w:rFonts w:ascii="Verdana" w:eastAsiaTheme="minorEastAsia" w:hAnsi="Verdana" w:cs="Arial"/>
          <w:sz w:val="20"/>
          <w:szCs w:val="20"/>
          <w:lang w:val="es-ES" w:eastAsia="es-CO"/>
        </w:rPr>
        <w:t>de 2011, las modalidades de selección a las que actualmente pueden recurrir las Entidades Estatales para adelantar sus procesos de contratación estatal son: 1) la licitación pública, 2)</w:t>
      </w:r>
      <w:r w:rsidRPr="00E43329">
        <w:rPr>
          <w:rFonts w:ascii="Verdana" w:eastAsiaTheme="minorEastAsia" w:hAnsi="Verdana" w:cs="Arial"/>
          <w:spacing w:val="1"/>
          <w:sz w:val="20"/>
          <w:szCs w:val="20"/>
          <w:lang w:val="es-ES" w:eastAsia="es-CO"/>
        </w:rPr>
        <w:t xml:space="preserve"> la </w:t>
      </w:r>
      <w:r w:rsidRPr="00E43329">
        <w:rPr>
          <w:rFonts w:ascii="Verdana" w:eastAsiaTheme="minorEastAsia" w:hAnsi="Verdana" w:cs="Arial"/>
          <w:sz w:val="20"/>
          <w:szCs w:val="20"/>
          <w:lang w:val="es-ES" w:eastAsia="es-CO"/>
        </w:rPr>
        <w:t xml:space="preserve">selección abreviada, 3) el concurso de méritos, 4) la mínima cuantía y 5) la contratación directa. </w:t>
      </w:r>
    </w:p>
    <w:p w14:paraId="3688B8A8" w14:textId="77777777" w:rsidR="00E43329" w:rsidRPr="00E43329" w:rsidRDefault="00E43329" w:rsidP="00E43329">
      <w:pPr>
        <w:snapToGrid w:val="0"/>
        <w:contextualSpacing/>
        <w:jc w:val="both"/>
        <w:rPr>
          <w:rFonts w:ascii="Verdana" w:eastAsia="Calibri" w:hAnsi="Verdana" w:cs="Arial"/>
          <w:sz w:val="20"/>
          <w:szCs w:val="20"/>
          <w:lang w:val="es-ES" w:eastAsia="es-MX"/>
        </w:rPr>
      </w:pPr>
    </w:p>
    <w:p w14:paraId="37053750" w14:textId="31417094" w:rsidR="00794EB2" w:rsidRPr="00E43329" w:rsidRDefault="00794EB2" w:rsidP="00E43329">
      <w:pPr>
        <w:snapToGrid w:val="0"/>
        <w:spacing w:after="0" w:line="240" w:lineRule="auto"/>
        <w:contextualSpacing/>
        <w:jc w:val="both"/>
        <w:rPr>
          <w:rFonts w:ascii="Verdana" w:eastAsia="Arial" w:hAnsi="Verdana" w:cs="Arial"/>
          <w:sz w:val="20"/>
          <w:szCs w:val="20"/>
          <w:lang w:val="es-ES"/>
        </w:rPr>
      </w:pPr>
      <w:r w:rsidRPr="00E43329">
        <w:rPr>
          <w:rFonts w:ascii="Verdana" w:eastAsia="Calibri" w:hAnsi="Verdana" w:cs="Arial"/>
          <w:sz w:val="20"/>
          <w:szCs w:val="20"/>
          <w:lang w:val="es-ES" w:eastAsia="es-MX"/>
        </w:rPr>
        <w:t xml:space="preserve">En términos generales, </w:t>
      </w:r>
      <w:r w:rsidRPr="00E43329">
        <w:rPr>
          <w:rFonts w:ascii="Verdana" w:eastAsia="Arial" w:hAnsi="Verdana" w:cs="Arial"/>
          <w:sz w:val="20"/>
          <w:szCs w:val="20"/>
          <w:lang w:val="es-ES"/>
        </w:rPr>
        <w:t xml:space="preserve">la licitación pública, la selección abreviada, el concurso de méritos y la mínima cuantía son modalidades de selección competitivas o abiertas a competencia, ya que en ellas tiene lugar la participación de varios proponentes en una fase pública de presentación de ofertas. Esto permite que todas las personas interesadas concurran al proceso en igualdad de condiciones y compitan en el mismo. En contraste, la modalidad de selección de contratación directa no es competitiva, es decir, que no es abierta a los proponentes para que los interesados presenten sus ofertas. En esta, es la entidad la que determina, de forma directa, la persona que puede participar y que será seleccionada. En relación con esta última, es importante señalar que </w:t>
      </w:r>
      <w:r w:rsidRPr="00E43329">
        <w:rPr>
          <w:rFonts w:ascii="Verdana" w:eastAsia="Calibri" w:hAnsi="Verdana" w:cs="Arial"/>
          <w:sz w:val="20"/>
          <w:szCs w:val="20"/>
          <w:lang w:val="es-ES" w:eastAsia="es-MX"/>
        </w:rPr>
        <w:t xml:space="preserve">es una excepción al principio de libre concurrencia y competencia por lo que </w:t>
      </w:r>
      <w:r w:rsidRPr="00E43329">
        <w:rPr>
          <w:rFonts w:ascii="Verdana" w:eastAsia="Arial" w:hAnsi="Verdana" w:cs="Arial"/>
          <w:sz w:val="20"/>
          <w:szCs w:val="20"/>
          <w:lang w:val="es-ES"/>
        </w:rPr>
        <w:t>es de aplicación restrictiva, es decir, solo procede por las causales señaladas expresamente en la ley.</w:t>
      </w:r>
    </w:p>
    <w:p w14:paraId="21D85B92" w14:textId="77777777" w:rsidR="00E43329" w:rsidRDefault="00E43329" w:rsidP="00E43329">
      <w:pPr>
        <w:snapToGrid w:val="0"/>
        <w:ind w:right="177"/>
        <w:contextualSpacing/>
        <w:jc w:val="both"/>
        <w:rPr>
          <w:rFonts w:ascii="Verdana" w:eastAsia="Arial" w:hAnsi="Verdana" w:cs="Arial"/>
          <w:sz w:val="20"/>
          <w:szCs w:val="20"/>
          <w:lang w:val="es-ES"/>
        </w:rPr>
      </w:pPr>
    </w:p>
    <w:p w14:paraId="5E27C52A" w14:textId="49D23F6F" w:rsidR="00794EB2" w:rsidRPr="00E43329" w:rsidRDefault="00794EB2" w:rsidP="00E43329">
      <w:pPr>
        <w:snapToGrid w:val="0"/>
        <w:spacing w:after="0" w:line="240" w:lineRule="auto"/>
        <w:ind w:right="177"/>
        <w:contextualSpacing/>
        <w:jc w:val="both"/>
        <w:rPr>
          <w:rFonts w:ascii="Verdana" w:eastAsiaTheme="minorEastAsia" w:hAnsi="Verdana" w:cs="Arial"/>
          <w:sz w:val="20"/>
          <w:szCs w:val="20"/>
          <w:lang w:val="es-ES" w:eastAsia="es-CO"/>
        </w:rPr>
      </w:pPr>
      <w:r w:rsidRPr="00E43329">
        <w:rPr>
          <w:rFonts w:ascii="Verdana" w:eastAsia="Arial" w:hAnsi="Verdana" w:cs="Arial"/>
          <w:sz w:val="20"/>
          <w:szCs w:val="20"/>
          <w:lang w:val="es-ES"/>
        </w:rPr>
        <w:t>El Estatuto General de Contratación de la Administración Pública (compuesto principalmente por la Ley 80 de 1993, Ley 1150 de 2007 y el Decreto 1082 de 2015) señala las etapas y requisitos que deben cumplir las entidades para adelantar cada uno de estos procedimientos, incluyendo las circunstancias que los hacen procedentes para la adquisición de obras, bienes y servicios. Con</w:t>
      </w:r>
      <w:r w:rsidRPr="00E43329">
        <w:rPr>
          <w:rFonts w:ascii="Verdana" w:eastAsiaTheme="minorEastAsia" w:hAnsi="Verdana" w:cs="Arial"/>
          <w:sz w:val="20"/>
          <w:szCs w:val="20"/>
          <w:lang w:val="es-ES" w:eastAsia="es-CO"/>
        </w:rPr>
        <w:t xml:space="preserve"> base en este marco jurídico, cada entidad es responsable de determinar la modalidad de selección adecuada para satisfacer su necesidad y estructurar sus procedimientos contractuales en cumplimiento de los principios de la función administrativa, los presupuestales y los de contratación pública. En efecto, los Procesos de Contratación que deben adelantar las Entidades Estatales para adquirir los bienes, obras o servicios que requieren, se rigen por procedimientos reglados establecidos por la ley y el reglamento.</w:t>
      </w:r>
    </w:p>
    <w:p w14:paraId="3117D118" w14:textId="77777777" w:rsidR="00794EB2" w:rsidRPr="00794EB2" w:rsidRDefault="00794EB2" w:rsidP="00E43329">
      <w:pPr>
        <w:snapToGrid w:val="0"/>
        <w:spacing w:after="0" w:line="240" w:lineRule="auto"/>
        <w:contextualSpacing/>
        <w:jc w:val="both"/>
        <w:rPr>
          <w:rFonts w:ascii="Verdana" w:eastAsia="Arial" w:hAnsi="Verdana" w:cs="Arial"/>
          <w:b/>
          <w:bCs/>
          <w:color w:val="000000" w:themeColor="text1"/>
          <w:lang w:val="es-ES" w:eastAsia="es-ES_tradnl"/>
        </w:rPr>
      </w:pPr>
    </w:p>
    <w:p w14:paraId="3A6B3602" w14:textId="77777777" w:rsidR="00251201" w:rsidRDefault="00025436" w:rsidP="00025436">
      <w:pPr>
        <w:contextualSpacing/>
        <w:jc w:val="both"/>
        <w:rPr>
          <w:rFonts w:ascii="Verdana" w:eastAsia="Arial" w:hAnsi="Verdana" w:cs="Arial"/>
          <w:b/>
          <w:bCs/>
          <w:color w:val="000000" w:themeColor="text1"/>
          <w:lang w:val="es-ES" w:eastAsia="es-ES_tradnl"/>
        </w:rPr>
      </w:pPr>
      <w:r w:rsidRPr="00251201">
        <w:rPr>
          <w:rFonts w:ascii="Verdana" w:eastAsia="Arial" w:hAnsi="Verdana" w:cs="Arial"/>
          <w:b/>
          <w:bCs/>
          <w:color w:val="000000" w:themeColor="text1"/>
          <w:lang w:val="es-ES" w:eastAsia="es-ES_tradnl"/>
        </w:rPr>
        <w:t xml:space="preserve">SELECCIÓN ABREVIADA – Procedencia </w:t>
      </w:r>
    </w:p>
    <w:p w14:paraId="2F59DA37" w14:textId="77777777" w:rsidR="00251201" w:rsidRDefault="00251201" w:rsidP="00025436">
      <w:pPr>
        <w:contextualSpacing/>
        <w:jc w:val="both"/>
        <w:rPr>
          <w:rFonts w:ascii="Verdana" w:eastAsia="Arial" w:hAnsi="Verdana" w:cs="Arial"/>
          <w:b/>
          <w:bCs/>
          <w:color w:val="000000" w:themeColor="text1"/>
          <w:lang w:val="es-ES" w:eastAsia="es-ES_tradnl"/>
        </w:rPr>
      </w:pPr>
    </w:p>
    <w:p w14:paraId="755FCA49" w14:textId="77777777" w:rsidR="00251201" w:rsidRDefault="00251201" w:rsidP="00251201">
      <w:pPr>
        <w:contextualSpacing/>
        <w:jc w:val="both"/>
        <w:rPr>
          <w:rFonts w:ascii="Verdana" w:eastAsia="Arial" w:hAnsi="Verdana" w:cs="Arial"/>
          <w:color w:val="000000" w:themeColor="text1"/>
          <w:sz w:val="20"/>
          <w:szCs w:val="20"/>
          <w:lang w:val="es-ES" w:eastAsia="es-ES_tradnl"/>
        </w:rPr>
      </w:pPr>
      <w:r w:rsidRPr="00251201">
        <w:rPr>
          <w:rFonts w:ascii="Verdana" w:eastAsia="Arial" w:hAnsi="Verdana" w:cs="Arial"/>
          <w:color w:val="000000" w:themeColor="text1"/>
          <w:sz w:val="20"/>
          <w:szCs w:val="20"/>
          <w:lang w:val="es-ES" w:eastAsia="es-ES_tradnl"/>
        </w:rPr>
        <w:t xml:space="preserve">En segundo lugar, el numeral 2 del artículo 2 de la Ley 1150 de 2007 se refiere a la modalidad de selección abreviada, a la que alude en su consulta. Según la norma, esta modalidad es procedente para aquellos casos en que, por las características del objeto a contratar, las circunstancias de la contratación o la cuantía o destinación del bien, obra o </w:t>
      </w:r>
      <w:proofErr w:type="gramStart"/>
      <w:r w:rsidRPr="00251201">
        <w:rPr>
          <w:rFonts w:ascii="Verdana" w:eastAsia="Arial" w:hAnsi="Verdana" w:cs="Arial"/>
          <w:color w:val="000000" w:themeColor="text1"/>
          <w:sz w:val="20"/>
          <w:szCs w:val="20"/>
          <w:lang w:val="es-ES" w:eastAsia="es-ES_tradnl"/>
        </w:rPr>
        <w:t>servicio,</w:t>
      </w:r>
      <w:proofErr w:type="gramEnd"/>
      <w:r w:rsidRPr="00251201">
        <w:rPr>
          <w:rFonts w:ascii="Verdana" w:eastAsia="Arial" w:hAnsi="Verdana" w:cs="Arial"/>
          <w:color w:val="000000" w:themeColor="text1"/>
          <w:sz w:val="20"/>
          <w:szCs w:val="20"/>
          <w:lang w:val="es-ES" w:eastAsia="es-ES_tradnl"/>
        </w:rPr>
        <w:t xml:space="preserve"> puedan adelantarse procesos simplificados para garantizar la eficiencia de la gestión contractual. Tanto la referida ley como el Decreto 1082 de 2015, en sus artículos 2.2.1.2.1.2.1. al 2.2.1.2.1.2.26., especifican las causales o supuestos para que sea procedente la modalidad de selección abreviada, así como los requisitos que deberá cumplir la entidad en cada uno. </w:t>
      </w:r>
    </w:p>
    <w:p w14:paraId="5853E33D" w14:textId="77777777" w:rsidR="00251201" w:rsidRPr="00251201" w:rsidRDefault="00251201" w:rsidP="00251201">
      <w:pPr>
        <w:spacing w:after="0" w:line="240" w:lineRule="auto"/>
        <w:contextualSpacing/>
        <w:jc w:val="both"/>
        <w:rPr>
          <w:rFonts w:ascii="Verdana" w:eastAsia="Arial" w:hAnsi="Verdana" w:cs="Arial"/>
          <w:color w:val="000000" w:themeColor="text1"/>
          <w:sz w:val="20"/>
          <w:szCs w:val="20"/>
          <w:lang w:val="es-ES" w:eastAsia="es-ES_tradnl"/>
        </w:rPr>
      </w:pPr>
    </w:p>
    <w:p w14:paraId="1CC1E407" w14:textId="76E05318" w:rsidR="00251201" w:rsidRPr="00151F9C" w:rsidRDefault="00251201" w:rsidP="00251201">
      <w:pPr>
        <w:spacing w:after="0" w:line="240" w:lineRule="auto"/>
        <w:contextualSpacing/>
        <w:jc w:val="both"/>
        <w:rPr>
          <w:rFonts w:ascii="Verdana" w:eastAsia="Arial" w:hAnsi="Verdana" w:cs="Arial"/>
          <w:color w:val="000000" w:themeColor="text1"/>
          <w:sz w:val="20"/>
          <w:szCs w:val="20"/>
          <w:lang w:val="es-ES" w:eastAsia="es-ES_tradnl"/>
        </w:rPr>
      </w:pPr>
      <w:r w:rsidRPr="00251201">
        <w:rPr>
          <w:rFonts w:ascii="Verdana" w:eastAsia="Arial" w:hAnsi="Verdana" w:cs="Arial"/>
          <w:color w:val="000000" w:themeColor="text1"/>
          <w:sz w:val="20"/>
          <w:szCs w:val="20"/>
          <w:lang w:val="es-ES" w:eastAsia="es-ES_tradnl"/>
        </w:rPr>
        <w:lastRenderedPageBreak/>
        <w:t>Se trata de un procedimiento que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w:t>
      </w:r>
      <w:r w:rsidRPr="00251201">
        <w:rPr>
          <w:rFonts w:ascii="Verdana" w:eastAsia="Arial" w:hAnsi="Verdana" w:cs="Arial"/>
          <w:b/>
          <w:bCs/>
          <w:color w:val="000000" w:themeColor="text1"/>
          <w:lang w:val="es-ES" w:eastAsia="es-ES_tradnl"/>
        </w:rPr>
        <w:t xml:space="preserve"> </w:t>
      </w:r>
      <w:r w:rsidRPr="00151F9C">
        <w:rPr>
          <w:rFonts w:ascii="Verdana" w:eastAsia="Arial" w:hAnsi="Verdana" w:cs="Arial"/>
          <w:color w:val="000000" w:themeColor="text1"/>
          <w:sz w:val="20"/>
          <w:szCs w:val="20"/>
          <w:lang w:val="es-ES" w:eastAsia="es-ES_tradnl"/>
        </w:rPr>
        <w:t>de eficacia y eficiencia en el proceso de selección.</w:t>
      </w:r>
    </w:p>
    <w:p w14:paraId="7919340C" w14:textId="77777777" w:rsidR="00251201" w:rsidRDefault="00251201" w:rsidP="00025436">
      <w:pPr>
        <w:contextualSpacing/>
        <w:jc w:val="both"/>
        <w:rPr>
          <w:rFonts w:ascii="Verdana" w:eastAsia="Arial" w:hAnsi="Verdana" w:cs="Arial"/>
          <w:b/>
          <w:bCs/>
          <w:color w:val="000000" w:themeColor="text1"/>
          <w:lang w:val="es-ES" w:eastAsia="es-ES_tradnl"/>
        </w:rPr>
      </w:pPr>
    </w:p>
    <w:p w14:paraId="39B5B1E1" w14:textId="12A7A142" w:rsidR="00251201" w:rsidRPr="00251201" w:rsidRDefault="00025436" w:rsidP="00025436">
      <w:pPr>
        <w:contextualSpacing/>
        <w:jc w:val="both"/>
        <w:rPr>
          <w:rFonts w:ascii="Verdana" w:eastAsia="Arial" w:hAnsi="Verdana" w:cs="Arial"/>
          <w:b/>
          <w:bCs/>
          <w:color w:val="000000" w:themeColor="text1"/>
          <w:lang w:val="es-ES" w:eastAsia="es-ES_tradnl"/>
        </w:rPr>
      </w:pPr>
      <w:r w:rsidRPr="00251201">
        <w:rPr>
          <w:rFonts w:ascii="Verdana" w:eastAsia="Arial" w:hAnsi="Verdana" w:cs="Arial"/>
          <w:b/>
          <w:bCs/>
          <w:color w:val="000000" w:themeColor="text1"/>
          <w:lang w:val="es-ES" w:eastAsia="es-ES_tradnl"/>
        </w:rPr>
        <w:t xml:space="preserve">CONCURSO DE MÉRITOS – Objeto  </w:t>
      </w:r>
    </w:p>
    <w:p w14:paraId="1F34DB6A" w14:textId="77777777" w:rsidR="00E43329" w:rsidRDefault="00E43329" w:rsidP="00E43329">
      <w:pPr>
        <w:snapToGrid w:val="0"/>
        <w:spacing w:after="0" w:line="240" w:lineRule="auto"/>
        <w:contextualSpacing/>
        <w:jc w:val="both"/>
        <w:rPr>
          <w:rFonts w:ascii="Verdana" w:eastAsia="Times New Roman" w:hAnsi="Verdana" w:cs="Arial"/>
          <w:sz w:val="20"/>
          <w:szCs w:val="20"/>
          <w:lang w:val="es-ES" w:eastAsia="es-MX"/>
        </w:rPr>
      </w:pPr>
    </w:p>
    <w:p w14:paraId="53145CCE" w14:textId="6616A850" w:rsidR="00DD22F5" w:rsidRPr="00DD22F5" w:rsidRDefault="00DD22F5" w:rsidP="00DD22F5">
      <w:pPr>
        <w:snapToGrid w:val="0"/>
        <w:spacing w:after="0" w:line="240" w:lineRule="auto"/>
        <w:contextualSpacing/>
        <w:jc w:val="both"/>
        <w:rPr>
          <w:rFonts w:ascii="Verdana" w:eastAsia="Times New Roman" w:hAnsi="Verdana" w:cs="Arial"/>
          <w:sz w:val="20"/>
          <w:szCs w:val="20"/>
          <w:lang w:val="es-ES" w:eastAsia="es-MX"/>
        </w:rPr>
      </w:pPr>
      <w:r w:rsidRPr="00DD22F5">
        <w:rPr>
          <w:rFonts w:ascii="Verdana" w:eastAsia="Times New Roman" w:hAnsi="Verdana" w:cs="Arial"/>
          <w:sz w:val="20"/>
          <w:szCs w:val="20"/>
          <w:lang w:val="es-ES" w:eastAsia="es-MX"/>
        </w:rPr>
        <w:t xml:space="preserve">En tercer lugar, las Entidades Estatales podrán acudir a la modalidad denominada </w:t>
      </w:r>
      <w:r w:rsidRPr="00DD22F5">
        <w:rPr>
          <w:rFonts w:ascii="Verdana" w:eastAsia="Times New Roman" w:hAnsi="Verdana" w:cs="Arial"/>
          <w:i/>
          <w:iCs/>
          <w:sz w:val="20"/>
          <w:szCs w:val="20"/>
          <w:lang w:val="es-ES" w:eastAsia="es-MX"/>
        </w:rPr>
        <w:t>concurso de méritos</w:t>
      </w:r>
      <w:r w:rsidRPr="00DD22F5">
        <w:rPr>
          <w:rFonts w:ascii="Verdana" w:eastAsia="Times New Roman" w:hAnsi="Verdana" w:cs="Arial"/>
          <w:sz w:val="20"/>
          <w:szCs w:val="20"/>
          <w:lang w:val="es-ES" w:eastAsia="es-MX"/>
        </w:rPr>
        <w:t xml:space="preserve"> para la selección de consultores o proyectos. En otras palabras, el concurso de méritos es un procedimiento de selección que deben realizar las Entidades Estatales para celebrar contratos de consultoría, entendidos como aquellos “[…]referidos a los estudios necesarios para la ejecución de proyectos de inversión, estudios de diagnóstico, prefactibilidad o factibilidad para programas o proyectos específicos, así como a las asesorías técnicas de coordinación, control y supervisión”, según lo dispuesto en el artículo 32, numeral 2, de la Ley 80 de 1993.</w:t>
      </w:r>
      <w:r w:rsidRPr="00DD22F5">
        <w:rPr>
          <w:rFonts w:ascii="Verdana" w:eastAsia="Times New Roman" w:hAnsi="Verdana" w:cs="Arial"/>
          <w:bCs/>
          <w:sz w:val="20"/>
          <w:szCs w:val="20"/>
          <w:lang w:val="es-ES" w:eastAsia="es-MX"/>
        </w:rPr>
        <w:t xml:space="preserve"> Así mismo, son contratos de consultoría los que tienen por objeto la interventoría, asesoría, gerencia de obra o de proyectos, dirección, programación y la ejecución de diseños, planos, anteproyectos y proyectos.</w:t>
      </w:r>
    </w:p>
    <w:p w14:paraId="765BF1E3" w14:textId="77777777" w:rsidR="00DD22F5" w:rsidRDefault="00DD22F5" w:rsidP="00E43329">
      <w:pPr>
        <w:snapToGrid w:val="0"/>
        <w:spacing w:after="0" w:line="240" w:lineRule="auto"/>
        <w:contextualSpacing/>
        <w:jc w:val="both"/>
        <w:rPr>
          <w:rFonts w:ascii="Verdana" w:eastAsia="Times New Roman" w:hAnsi="Verdana" w:cs="Arial"/>
          <w:sz w:val="20"/>
          <w:szCs w:val="20"/>
          <w:lang w:val="es-ES" w:eastAsia="es-MX"/>
        </w:rPr>
      </w:pPr>
    </w:p>
    <w:p w14:paraId="70C530B0" w14:textId="026F69FB" w:rsidR="00666C5F" w:rsidRPr="00F56A30" w:rsidRDefault="00F56A30" w:rsidP="00E43329">
      <w:pPr>
        <w:snapToGrid w:val="0"/>
        <w:spacing w:after="0" w:line="240" w:lineRule="auto"/>
        <w:contextualSpacing/>
        <w:jc w:val="both"/>
        <w:rPr>
          <w:rFonts w:ascii="Verdana" w:eastAsia="Times New Roman" w:hAnsi="Verdana" w:cs="Arial"/>
          <w:b/>
          <w:bCs/>
          <w:sz w:val="20"/>
          <w:szCs w:val="20"/>
          <w:lang w:val="es-ES" w:eastAsia="es-MX"/>
        </w:rPr>
      </w:pPr>
      <w:r w:rsidRPr="00F56A30">
        <w:rPr>
          <w:rFonts w:ascii="Verdana" w:eastAsia="Arial" w:hAnsi="Verdana" w:cs="Arial"/>
          <w:b/>
          <w:bCs/>
          <w:color w:val="000000" w:themeColor="text1"/>
          <w:lang w:val="es-ES" w:eastAsia="es-ES_tradnl"/>
        </w:rPr>
        <w:t>CONTRATACIÓN DIRECTA – Contrato de prestación de servicios</w:t>
      </w:r>
    </w:p>
    <w:p w14:paraId="001F6B05" w14:textId="77777777" w:rsidR="00666C5F" w:rsidRDefault="00666C5F" w:rsidP="00E43329">
      <w:pPr>
        <w:snapToGrid w:val="0"/>
        <w:spacing w:after="0" w:line="240" w:lineRule="auto"/>
        <w:contextualSpacing/>
        <w:jc w:val="both"/>
        <w:rPr>
          <w:rFonts w:ascii="Verdana" w:eastAsia="Times New Roman" w:hAnsi="Verdana" w:cs="Arial"/>
          <w:sz w:val="20"/>
          <w:szCs w:val="20"/>
          <w:lang w:val="es-ES" w:eastAsia="es-MX"/>
        </w:rPr>
      </w:pPr>
    </w:p>
    <w:p w14:paraId="23213CC0" w14:textId="77777777" w:rsidR="00F56A30" w:rsidRDefault="00F56A30" w:rsidP="00F56A30">
      <w:pPr>
        <w:snapToGrid w:val="0"/>
        <w:spacing w:after="0" w:line="240" w:lineRule="auto"/>
        <w:contextualSpacing/>
        <w:jc w:val="both"/>
        <w:rPr>
          <w:rFonts w:ascii="Verdana" w:eastAsia="Times New Roman" w:hAnsi="Verdana" w:cs="Arial"/>
          <w:sz w:val="20"/>
          <w:szCs w:val="20"/>
          <w:lang w:val="es-ES" w:eastAsia="es-MX"/>
        </w:rPr>
      </w:pPr>
      <w:r w:rsidRPr="00F56A30">
        <w:rPr>
          <w:rFonts w:ascii="Verdana" w:eastAsia="Times New Roman" w:hAnsi="Verdana" w:cs="Arial"/>
          <w:sz w:val="20"/>
          <w:szCs w:val="20"/>
          <w:lang w:val="es-ES" w:eastAsia="es-MX"/>
        </w:rPr>
        <w:t xml:space="preserve">Específicamente respecto de la contratación de los servicios de representación judicial en procesos de cobro coactivo a los que se refiere su consulta, la modalidad de selección aplicable deberá definirse a partir del análisis del objeto contractual y de las actividades requeridas para su ejecución, razón por la cual no es viable determinar una modalidad de contratación única y concreta para este caso. </w:t>
      </w:r>
    </w:p>
    <w:p w14:paraId="55C1126C" w14:textId="77777777" w:rsidR="00F56A30" w:rsidRPr="00F56A30" w:rsidRDefault="00F56A30" w:rsidP="00F56A30">
      <w:pPr>
        <w:snapToGrid w:val="0"/>
        <w:spacing w:after="0" w:line="240" w:lineRule="auto"/>
        <w:contextualSpacing/>
        <w:jc w:val="both"/>
        <w:rPr>
          <w:rFonts w:ascii="Verdana" w:eastAsia="Times New Roman" w:hAnsi="Verdana" w:cs="Arial"/>
          <w:sz w:val="20"/>
          <w:szCs w:val="20"/>
          <w:lang w:val="es-ES" w:eastAsia="es-MX"/>
        </w:rPr>
      </w:pPr>
    </w:p>
    <w:p w14:paraId="4D246585" w14:textId="77777777" w:rsidR="00F56A30" w:rsidRPr="00F56A30" w:rsidRDefault="00F56A30" w:rsidP="00F56A30">
      <w:pPr>
        <w:snapToGrid w:val="0"/>
        <w:spacing w:after="0" w:line="240" w:lineRule="auto"/>
        <w:contextualSpacing/>
        <w:jc w:val="both"/>
        <w:rPr>
          <w:rFonts w:ascii="Verdana" w:eastAsia="Times New Roman" w:hAnsi="Verdana" w:cs="Arial"/>
          <w:sz w:val="20"/>
          <w:szCs w:val="20"/>
          <w:lang w:val="es-ES" w:eastAsia="es-MX"/>
        </w:rPr>
      </w:pPr>
      <w:r w:rsidRPr="00F56A30">
        <w:rPr>
          <w:rFonts w:ascii="Verdana" w:eastAsia="Times New Roman" w:hAnsi="Verdana" w:cs="Arial"/>
          <w:sz w:val="20"/>
          <w:szCs w:val="20"/>
          <w:lang w:val="es-ES" w:eastAsia="es-MX"/>
        </w:rPr>
        <w:t>En este sentido, es posible que para la contratación de dicho servicio pueda emplearse la modalidad de contratación directa aplicando la causal referente a los contratos de prestación de servicios profesionales, siempre que el alcance del servicio se enmarque en las actividades propias de este tipo de contratos. En efecto, de conformidad con el artículo 32, numeral 3º, de la Ley 80 de 1993, estos contratos se celebran para desarrollar “actividades relacionadas con la administración o funcionamiento de la entidad”, es decir, que hagan parte de su giro ordinario o quehacer cotidiano y podrán celebrarse con personas naturales y jurídicas cuando dichas actividades no puedan realizarse con personal de planta o requieran conocimientos especializados</w:t>
      </w:r>
    </w:p>
    <w:p w14:paraId="0D693C6A" w14:textId="77777777" w:rsidR="00666C5F" w:rsidRDefault="00666C5F" w:rsidP="00E43329">
      <w:pPr>
        <w:snapToGrid w:val="0"/>
        <w:spacing w:after="0" w:line="240" w:lineRule="auto"/>
        <w:contextualSpacing/>
        <w:jc w:val="both"/>
        <w:rPr>
          <w:rFonts w:ascii="Verdana" w:eastAsia="Times New Roman" w:hAnsi="Verdana" w:cs="Arial"/>
          <w:sz w:val="20"/>
          <w:szCs w:val="20"/>
          <w:lang w:val="es-ES" w:eastAsia="es-MX"/>
        </w:rPr>
      </w:pPr>
    </w:p>
    <w:p w14:paraId="3122E0C3" w14:textId="77777777" w:rsidR="00666C5F" w:rsidRDefault="00666C5F" w:rsidP="00E43329">
      <w:pPr>
        <w:snapToGrid w:val="0"/>
        <w:spacing w:after="0" w:line="240" w:lineRule="auto"/>
        <w:contextualSpacing/>
        <w:jc w:val="both"/>
        <w:rPr>
          <w:rFonts w:ascii="Verdana" w:eastAsia="Times New Roman" w:hAnsi="Verdana" w:cs="Arial"/>
          <w:sz w:val="20"/>
          <w:szCs w:val="20"/>
          <w:lang w:val="es-ES" w:eastAsia="es-MX"/>
        </w:rPr>
      </w:pPr>
    </w:p>
    <w:p w14:paraId="28E950E6" w14:textId="77777777" w:rsidR="00666C5F" w:rsidRDefault="00666C5F" w:rsidP="00E43329">
      <w:pPr>
        <w:snapToGrid w:val="0"/>
        <w:spacing w:after="0" w:line="240" w:lineRule="auto"/>
        <w:contextualSpacing/>
        <w:jc w:val="both"/>
        <w:rPr>
          <w:rFonts w:ascii="Verdana" w:eastAsia="Times New Roman" w:hAnsi="Verdana" w:cs="Arial"/>
          <w:sz w:val="20"/>
          <w:szCs w:val="20"/>
          <w:lang w:val="es-ES" w:eastAsia="es-MX"/>
        </w:rPr>
      </w:pPr>
    </w:p>
    <w:p w14:paraId="0C3403AD" w14:textId="77777777" w:rsidR="00666C5F" w:rsidRDefault="00666C5F" w:rsidP="00E43329">
      <w:pPr>
        <w:snapToGrid w:val="0"/>
        <w:spacing w:after="0" w:line="240" w:lineRule="auto"/>
        <w:contextualSpacing/>
        <w:jc w:val="both"/>
        <w:rPr>
          <w:rFonts w:ascii="Verdana" w:eastAsia="Times New Roman" w:hAnsi="Verdana" w:cs="Arial"/>
          <w:sz w:val="20"/>
          <w:szCs w:val="20"/>
          <w:lang w:val="es-ES" w:eastAsia="es-MX"/>
        </w:rPr>
      </w:pPr>
    </w:p>
    <w:p w14:paraId="6AA42BB2" w14:textId="77777777" w:rsidR="00666C5F" w:rsidRDefault="00666C5F" w:rsidP="00E43329">
      <w:pPr>
        <w:snapToGrid w:val="0"/>
        <w:spacing w:after="0" w:line="240" w:lineRule="auto"/>
        <w:contextualSpacing/>
        <w:jc w:val="both"/>
        <w:rPr>
          <w:rFonts w:ascii="Verdana" w:eastAsia="Times New Roman" w:hAnsi="Verdana" w:cs="Arial"/>
          <w:sz w:val="20"/>
          <w:szCs w:val="20"/>
          <w:lang w:val="es-ES" w:eastAsia="es-MX"/>
        </w:rPr>
      </w:pPr>
    </w:p>
    <w:p w14:paraId="5BFBA0E7" w14:textId="77777777" w:rsidR="00666C5F" w:rsidRDefault="00666C5F" w:rsidP="00E43329">
      <w:pPr>
        <w:snapToGrid w:val="0"/>
        <w:spacing w:after="0" w:line="240" w:lineRule="auto"/>
        <w:contextualSpacing/>
        <w:jc w:val="both"/>
        <w:rPr>
          <w:rFonts w:ascii="Verdana" w:eastAsia="Times New Roman" w:hAnsi="Verdana" w:cs="Arial"/>
          <w:sz w:val="20"/>
          <w:szCs w:val="20"/>
          <w:lang w:val="es-ES" w:eastAsia="es-MX"/>
        </w:rPr>
      </w:pPr>
    </w:p>
    <w:p w14:paraId="65D9929A" w14:textId="77777777" w:rsidR="00666C5F" w:rsidRDefault="00666C5F" w:rsidP="00E43329">
      <w:pPr>
        <w:snapToGrid w:val="0"/>
        <w:spacing w:after="0" w:line="240" w:lineRule="auto"/>
        <w:contextualSpacing/>
        <w:jc w:val="both"/>
        <w:rPr>
          <w:rFonts w:ascii="Verdana" w:eastAsia="Times New Roman" w:hAnsi="Verdana" w:cs="Arial"/>
          <w:sz w:val="20"/>
          <w:szCs w:val="20"/>
          <w:lang w:val="es-ES" w:eastAsia="es-MX"/>
        </w:rPr>
      </w:pPr>
    </w:p>
    <w:p w14:paraId="5648260E" w14:textId="77777777" w:rsidR="00666C5F" w:rsidRDefault="00666C5F" w:rsidP="00E43329">
      <w:pPr>
        <w:snapToGrid w:val="0"/>
        <w:spacing w:after="0" w:line="240" w:lineRule="auto"/>
        <w:contextualSpacing/>
        <w:jc w:val="both"/>
        <w:rPr>
          <w:rFonts w:ascii="Verdana" w:eastAsia="Times New Roman" w:hAnsi="Verdana" w:cs="Arial"/>
          <w:sz w:val="20"/>
          <w:szCs w:val="20"/>
          <w:lang w:val="es-ES" w:eastAsia="es-MX"/>
        </w:rPr>
      </w:pPr>
    </w:p>
    <w:p w14:paraId="17536F21" w14:textId="77777777" w:rsidR="00666C5F" w:rsidRDefault="00666C5F" w:rsidP="00E43329">
      <w:pPr>
        <w:snapToGrid w:val="0"/>
        <w:spacing w:after="0" w:line="240" w:lineRule="auto"/>
        <w:contextualSpacing/>
        <w:jc w:val="both"/>
        <w:rPr>
          <w:rFonts w:ascii="Verdana" w:eastAsia="Times New Roman" w:hAnsi="Verdana" w:cs="Arial"/>
          <w:sz w:val="20"/>
          <w:szCs w:val="20"/>
          <w:lang w:val="es-ES" w:eastAsia="es-MX"/>
        </w:rPr>
      </w:pPr>
    </w:p>
    <w:p w14:paraId="141B3D02" w14:textId="77777777" w:rsidR="00DD22F5" w:rsidRDefault="00DD22F5" w:rsidP="00E43329">
      <w:pPr>
        <w:snapToGrid w:val="0"/>
        <w:spacing w:after="0" w:line="240" w:lineRule="auto"/>
        <w:contextualSpacing/>
        <w:jc w:val="both"/>
        <w:rPr>
          <w:rFonts w:ascii="Verdana" w:eastAsia="Arial" w:hAnsi="Verdana" w:cs="Arial"/>
          <w:color w:val="000000"/>
          <w:sz w:val="20"/>
          <w:szCs w:val="20"/>
          <w:lang w:val="es-ES"/>
        </w:rPr>
      </w:pPr>
    </w:p>
    <w:p w14:paraId="14704EDF" w14:textId="0CAD66E0" w:rsidR="0047433B" w:rsidRPr="0076788D" w:rsidRDefault="0047433B" w:rsidP="0047433B">
      <w:pPr>
        <w:spacing w:after="0"/>
        <w:rPr>
          <w:rFonts w:ascii="Verdana" w:hAnsi="Verdana"/>
        </w:rPr>
      </w:pPr>
      <w:r w:rsidRPr="002167F7">
        <w:rPr>
          <w:rFonts w:ascii="Verdana" w:eastAsia="Calibri" w:hAnsi="Verdana" w:cs="Arial"/>
          <w:lang w:val="es-ES" w:eastAsia="es-ES"/>
        </w:rPr>
        <w:lastRenderedPageBreak/>
        <w:t>Bogotá D.C., </w:t>
      </w:r>
      <w:r w:rsidR="001E02B0">
        <w:rPr>
          <w:rFonts w:ascii="Verdana" w:eastAsia="Geomanist Light" w:hAnsi="Verdana" w:cs="Arial"/>
          <w:color w:val="201F1E"/>
          <w:lang w:val="es-MX"/>
        </w:rPr>
        <w:t>5 de febrero de 2026</w:t>
      </w:r>
    </w:p>
    <w:p w14:paraId="338E8D11" w14:textId="24B2589A" w:rsidR="0047433B" w:rsidRPr="002167F7" w:rsidRDefault="0047433B" w:rsidP="001E02B0">
      <w:pPr>
        <w:spacing w:after="0" w:line="276" w:lineRule="auto"/>
        <w:jc w:val="right"/>
        <w:rPr>
          <w:rFonts w:ascii="Verdana" w:eastAsia="Calibri" w:hAnsi="Verdana" w:cs="Arial"/>
          <w:lang w:val="es-ES" w:eastAsia="es-ES"/>
        </w:rPr>
      </w:pPr>
    </w:p>
    <w:p w14:paraId="7EC686A9" w14:textId="73504B21" w:rsidR="0047433B" w:rsidRPr="002167F7" w:rsidRDefault="003A3BDF" w:rsidP="0047433B">
      <w:pPr>
        <w:spacing w:after="0" w:line="276" w:lineRule="auto"/>
        <w:jc w:val="both"/>
        <w:rPr>
          <w:rFonts w:ascii="Verdana" w:eastAsia="Calibri" w:hAnsi="Verdana" w:cs="Arial"/>
          <w:lang w:val="es-ES" w:eastAsia="es-ES"/>
        </w:rPr>
      </w:pPr>
      <w:r w:rsidRPr="001E02B0">
        <w:rPr>
          <w:rFonts w:ascii="Verdana" w:eastAsia="Calibri" w:hAnsi="Verdana" w:cs="Arial"/>
          <w:noProof/>
          <w:lang w:val="es-ES" w:eastAsia="es-ES"/>
        </w:rPr>
        <w:drawing>
          <wp:anchor distT="0" distB="0" distL="114300" distR="114300" simplePos="0" relativeHeight="251658240" behindDoc="0" locked="0" layoutInCell="1" allowOverlap="1" wp14:anchorId="396AA51F" wp14:editId="01369F18">
            <wp:simplePos x="0" y="0"/>
            <wp:positionH relativeFrom="margin">
              <wp:align>right</wp:align>
            </wp:positionH>
            <wp:positionV relativeFrom="paragraph">
              <wp:posOffset>9525</wp:posOffset>
            </wp:positionV>
            <wp:extent cx="3004820" cy="821690"/>
            <wp:effectExtent l="0" t="0" r="5080" b="0"/>
            <wp:wrapSquare wrapText="bothSides"/>
            <wp:docPr id="5971943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4820" cy="821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7433B" w:rsidRPr="002167F7">
        <w:rPr>
          <w:rFonts w:ascii="Verdana" w:eastAsia="Calibri" w:hAnsi="Verdana" w:cs="Arial"/>
          <w:lang w:val="es-ES" w:eastAsia="es-ES"/>
        </w:rPr>
        <w:t>Señora</w:t>
      </w:r>
    </w:p>
    <w:p w14:paraId="2128F828" w14:textId="77777777" w:rsidR="0047433B" w:rsidRDefault="0047433B" w:rsidP="0047433B">
      <w:pPr>
        <w:spacing w:after="0" w:line="276" w:lineRule="auto"/>
        <w:jc w:val="both"/>
        <w:rPr>
          <w:rFonts w:ascii="Verdana" w:eastAsia="Calibri" w:hAnsi="Verdana" w:cs="Arial"/>
          <w:b/>
          <w:bCs/>
          <w:lang w:val="es-ES" w:eastAsia="es-ES"/>
        </w:rPr>
      </w:pPr>
      <w:r w:rsidRPr="009A5FE5">
        <w:rPr>
          <w:rFonts w:ascii="Verdana" w:eastAsia="Calibri" w:hAnsi="Verdana" w:cs="Arial"/>
          <w:b/>
          <w:bCs/>
          <w:lang w:eastAsia="es-ES"/>
        </w:rPr>
        <w:t>Diana Rocio Cubillos Riveros</w:t>
      </w:r>
    </w:p>
    <w:p w14:paraId="3BC4ECA0" w14:textId="77777777" w:rsidR="0047433B" w:rsidRPr="002B470D" w:rsidRDefault="0047433B" w:rsidP="0047433B">
      <w:pPr>
        <w:spacing w:after="0" w:line="276" w:lineRule="auto"/>
        <w:jc w:val="both"/>
        <w:rPr>
          <w:rFonts w:ascii="Verdana" w:eastAsia="Calibri" w:hAnsi="Verdana" w:cs="Arial"/>
          <w:lang w:val="es-ES" w:eastAsia="es-ES"/>
        </w:rPr>
      </w:pPr>
      <w:hyperlink r:id="rId12" w:history="1">
        <w:r w:rsidRPr="002B470D">
          <w:rPr>
            <w:rStyle w:val="Hipervnculo"/>
            <w:rFonts w:ascii="Verdana" w:hAnsi="Verdana"/>
          </w:rPr>
          <w:t>rociocubillos92@hotmail.com</w:t>
        </w:r>
      </w:hyperlink>
      <w:r w:rsidRPr="002B470D">
        <w:rPr>
          <w:rFonts w:ascii="Verdana" w:hAnsi="Verdana"/>
        </w:rPr>
        <w:t xml:space="preserve"> </w:t>
      </w:r>
    </w:p>
    <w:p w14:paraId="0CB684A7" w14:textId="77777777" w:rsidR="0047433B" w:rsidRPr="002167F7" w:rsidRDefault="0047433B" w:rsidP="0047433B">
      <w:pPr>
        <w:spacing w:after="0" w:line="276" w:lineRule="auto"/>
        <w:jc w:val="both"/>
        <w:rPr>
          <w:rFonts w:ascii="Verdana" w:eastAsia="Calibri" w:hAnsi="Verdana" w:cs="Arial"/>
          <w:lang w:val="es-ES" w:eastAsia="es-ES"/>
        </w:rPr>
      </w:pPr>
      <w:r>
        <w:rPr>
          <w:rFonts w:ascii="Verdana" w:eastAsia="Calibri" w:hAnsi="Verdana" w:cs="Arial"/>
          <w:lang w:val="es-ES" w:eastAsia="es-ES"/>
        </w:rPr>
        <w:t>Bogotá</w:t>
      </w:r>
      <w:r w:rsidRPr="002167F7">
        <w:rPr>
          <w:rFonts w:ascii="Verdana" w:eastAsia="Calibri" w:hAnsi="Verdana" w:cs="Arial"/>
          <w:lang w:val="es-ES" w:eastAsia="es-ES"/>
        </w:rPr>
        <w:t xml:space="preserve"> </w:t>
      </w:r>
    </w:p>
    <w:p w14:paraId="510BBBEE" w14:textId="77777777" w:rsidR="0047433B" w:rsidRPr="002167F7" w:rsidRDefault="0047433B" w:rsidP="0047433B">
      <w:pPr>
        <w:spacing w:after="0" w:line="276" w:lineRule="auto"/>
        <w:rPr>
          <w:rFonts w:ascii="Verdana" w:eastAsia="Calibri" w:hAnsi="Verdana" w:cs="Arial"/>
          <w:b/>
          <w:bCs/>
          <w:color w:val="00000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7433B" w:rsidRPr="002167F7" w14:paraId="10A929CE" w14:textId="77777777" w:rsidTr="0067658D">
        <w:trPr>
          <w:trHeight w:val="480"/>
        </w:trPr>
        <w:tc>
          <w:tcPr>
            <w:tcW w:w="2689" w:type="dxa"/>
          </w:tcPr>
          <w:p w14:paraId="4A357B51" w14:textId="77777777" w:rsidR="0047433B" w:rsidRPr="002167F7" w:rsidRDefault="0047433B" w:rsidP="0067658D">
            <w:pPr>
              <w:spacing w:line="276" w:lineRule="auto"/>
              <w:jc w:val="both"/>
              <w:rPr>
                <w:rFonts w:ascii="Verdana" w:eastAsia="Calibri" w:hAnsi="Verdana" w:cs="Arial"/>
                <w:b/>
                <w:bCs/>
                <w:color w:val="7030A0"/>
                <w:lang w:val="es-ES" w:eastAsia="es-ES_tradnl"/>
              </w:rPr>
            </w:pPr>
          </w:p>
        </w:tc>
        <w:tc>
          <w:tcPr>
            <w:tcW w:w="6100" w:type="dxa"/>
          </w:tcPr>
          <w:p w14:paraId="00C8B4D0" w14:textId="77777777" w:rsidR="0047433B" w:rsidRDefault="0047433B" w:rsidP="0067658D">
            <w:pPr>
              <w:spacing w:line="276" w:lineRule="auto"/>
              <w:jc w:val="both"/>
              <w:rPr>
                <w:rFonts w:ascii="Verdana" w:eastAsia="Calibri" w:hAnsi="Verdana" w:cs="Arial"/>
                <w:b/>
                <w:bCs/>
                <w:lang w:val="es-ES" w:eastAsia="es-ES"/>
              </w:rPr>
            </w:pPr>
            <w:r w:rsidRPr="002167F7">
              <w:rPr>
                <w:rFonts w:ascii="Verdana" w:eastAsia="Calibri" w:hAnsi="Verdana" w:cs="Arial"/>
                <w:b/>
                <w:bCs/>
                <w:lang w:val="es-ES" w:eastAsia="es-ES"/>
              </w:rPr>
              <w:t>Concepto C-</w:t>
            </w:r>
            <w:r>
              <w:rPr>
                <w:rFonts w:ascii="Verdana" w:eastAsia="Calibri" w:hAnsi="Verdana" w:cs="Arial"/>
                <w:b/>
                <w:bCs/>
                <w:lang w:val="es-ES" w:eastAsia="es-ES"/>
              </w:rPr>
              <w:t>079</w:t>
            </w:r>
            <w:r w:rsidRPr="002167F7">
              <w:rPr>
                <w:rFonts w:ascii="Verdana" w:eastAsia="Calibri" w:hAnsi="Verdana" w:cs="Arial"/>
                <w:b/>
                <w:bCs/>
                <w:color w:val="7030A0"/>
                <w:lang w:val="es-ES" w:eastAsia="es-ES"/>
              </w:rPr>
              <w:t xml:space="preserve"> </w:t>
            </w:r>
            <w:r w:rsidRPr="002167F7">
              <w:rPr>
                <w:rFonts w:ascii="Verdana" w:eastAsia="Calibri" w:hAnsi="Verdana" w:cs="Arial"/>
                <w:b/>
                <w:bCs/>
                <w:lang w:val="es-ES" w:eastAsia="es-ES"/>
              </w:rPr>
              <w:t>de 202</w:t>
            </w:r>
            <w:r>
              <w:rPr>
                <w:rFonts w:ascii="Verdana" w:eastAsia="Calibri" w:hAnsi="Verdana" w:cs="Arial"/>
                <w:b/>
                <w:bCs/>
                <w:lang w:val="es-ES" w:eastAsia="es-ES"/>
              </w:rPr>
              <w:t>6</w:t>
            </w:r>
          </w:p>
          <w:p w14:paraId="2ECD2FA2" w14:textId="77777777" w:rsidR="0047433B" w:rsidRPr="002167F7" w:rsidRDefault="0047433B" w:rsidP="0067658D">
            <w:pPr>
              <w:spacing w:line="276" w:lineRule="auto"/>
              <w:jc w:val="both"/>
              <w:rPr>
                <w:rFonts w:ascii="Verdana" w:eastAsia="Calibri" w:hAnsi="Verdana" w:cs="Arial"/>
                <w:b/>
                <w:bCs/>
                <w:color w:val="7030A0"/>
                <w:lang w:val="es-ES" w:eastAsia="es-ES"/>
              </w:rPr>
            </w:pPr>
          </w:p>
        </w:tc>
      </w:tr>
      <w:tr w:rsidR="0047433B" w:rsidRPr="002167F7" w14:paraId="0438338F" w14:textId="77777777" w:rsidTr="0067658D">
        <w:trPr>
          <w:trHeight w:val="884"/>
        </w:trPr>
        <w:tc>
          <w:tcPr>
            <w:tcW w:w="2689" w:type="dxa"/>
          </w:tcPr>
          <w:p w14:paraId="44B57B8C" w14:textId="77777777" w:rsidR="0047433B" w:rsidRPr="00366D65" w:rsidRDefault="0047433B" w:rsidP="0067658D">
            <w:pPr>
              <w:spacing w:line="276" w:lineRule="auto"/>
              <w:jc w:val="both"/>
              <w:rPr>
                <w:rFonts w:ascii="Verdana" w:eastAsia="Calibri" w:hAnsi="Verdana" w:cs="Arial"/>
                <w:color w:val="000000"/>
                <w:lang w:val="es-ES" w:eastAsia="es-ES_tradnl"/>
              </w:rPr>
            </w:pPr>
            <w:r w:rsidRPr="00366D65">
              <w:rPr>
                <w:rFonts w:ascii="Verdana" w:eastAsia="Calibri" w:hAnsi="Verdana" w:cs="Arial"/>
                <w:b/>
                <w:color w:val="000000"/>
                <w:lang w:val="es-ES" w:eastAsia="es-ES_tradnl"/>
              </w:rPr>
              <w:t>Temas:</w:t>
            </w:r>
            <w:r w:rsidRPr="00366D65">
              <w:rPr>
                <w:rFonts w:ascii="Verdana" w:eastAsia="Calibri" w:hAnsi="Verdana" w:cs="Arial"/>
                <w:color w:val="000000"/>
                <w:lang w:val="es-ES" w:eastAsia="es-ES_tradnl"/>
              </w:rPr>
              <w:t xml:space="preserve">                   </w:t>
            </w:r>
          </w:p>
        </w:tc>
        <w:tc>
          <w:tcPr>
            <w:tcW w:w="6100" w:type="dxa"/>
          </w:tcPr>
          <w:p w14:paraId="0151726E" w14:textId="77777777" w:rsidR="0047433B" w:rsidRPr="00366D65" w:rsidRDefault="0047433B" w:rsidP="0067658D">
            <w:pPr>
              <w:spacing w:line="276" w:lineRule="auto"/>
              <w:contextualSpacing/>
              <w:jc w:val="both"/>
              <w:rPr>
                <w:rFonts w:ascii="Verdana" w:eastAsia="Arial" w:hAnsi="Verdana"/>
                <w:lang w:val="es-ES" w:eastAsia="es-ES_tradnl"/>
              </w:rPr>
            </w:pPr>
            <w:r w:rsidRPr="00A90F24">
              <w:rPr>
                <w:rFonts w:ascii="Verdana" w:eastAsia="Arial" w:hAnsi="Verdana" w:cs="Arial"/>
                <w:color w:val="000000"/>
                <w:lang w:val="es-ES" w:eastAsia="es-ES_tradnl"/>
              </w:rPr>
              <w:t>MODALIDADES DE SELECCIÓN – Clase</w:t>
            </w:r>
            <w:r>
              <w:rPr>
                <w:rFonts w:ascii="Verdana" w:eastAsia="Arial" w:hAnsi="Verdana" w:cs="Arial"/>
                <w:color w:val="000000"/>
                <w:lang w:val="es-ES" w:eastAsia="es-ES_tradnl"/>
              </w:rPr>
              <w:t>s</w:t>
            </w:r>
            <w:r w:rsidRPr="00A90F24">
              <w:rPr>
                <w:rFonts w:ascii="Verdana" w:eastAsia="Arial" w:hAnsi="Verdana" w:cs="Arial"/>
                <w:color w:val="000000" w:themeColor="text1"/>
                <w:lang w:val="es-ES" w:eastAsia="es-ES_tradnl"/>
              </w:rPr>
              <w:t xml:space="preserve"> / </w:t>
            </w:r>
            <w:r>
              <w:rPr>
                <w:rFonts w:ascii="Verdana" w:eastAsia="Arial" w:hAnsi="Verdana" w:cs="Arial"/>
                <w:color w:val="000000" w:themeColor="text1"/>
                <w:lang w:val="es-ES" w:eastAsia="es-ES_tradnl"/>
              </w:rPr>
              <w:t>SELECCIÓN ABREVIADA – Procedencia / CONCURSO DE MÉRITOS</w:t>
            </w:r>
            <w:r w:rsidRPr="00A90F24">
              <w:rPr>
                <w:rFonts w:ascii="Verdana" w:eastAsia="Arial" w:hAnsi="Verdana" w:cs="Arial"/>
                <w:color w:val="000000" w:themeColor="text1"/>
                <w:lang w:val="es-ES" w:eastAsia="es-ES_tradnl"/>
              </w:rPr>
              <w:t xml:space="preserve"> – </w:t>
            </w:r>
            <w:r>
              <w:rPr>
                <w:rFonts w:ascii="Verdana" w:eastAsia="Arial" w:hAnsi="Verdana" w:cs="Arial"/>
                <w:color w:val="000000" w:themeColor="text1"/>
                <w:lang w:val="es-ES" w:eastAsia="es-ES_tradnl"/>
              </w:rPr>
              <w:t>Objeto / CONTRATACIÓN DIRECTA</w:t>
            </w:r>
            <w:r w:rsidRPr="00A90F24">
              <w:rPr>
                <w:rFonts w:ascii="Verdana" w:eastAsia="Arial" w:hAnsi="Verdana" w:cs="Arial"/>
                <w:color w:val="000000" w:themeColor="text1"/>
                <w:lang w:val="es-ES" w:eastAsia="es-ES_tradnl"/>
              </w:rPr>
              <w:t xml:space="preserve"> – </w:t>
            </w:r>
            <w:r>
              <w:rPr>
                <w:rFonts w:ascii="Verdana" w:eastAsia="Arial" w:hAnsi="Verdana" w:cs="Arial"/>
                <w:color w:val="000000" w:themeColor="text1"/>
                <w:lang w:val="es-ES" w:eastAsia="es-ES_tradnl"/>
              </w:rPr>
              <w:t xml:space="preserve">Contrato de prestación de servicios </w:t>
            </w:r>
          </w:p>
          <w:p w14:paraId="2C9FA98C" w14:textId="77777777" w:rsidR="0047433B" w:rsidRPr="00366D65" w:rsidRDefault="0047433B" w:rsidP="0067658D">
            <w:pPr>
              <w:spacing w:line="276" w:lineRule="auto"/>
              <w:jc w:val="both"/>
              <w:rPr>
                <w:rFonts w:ascii="Verdana" w:eastAsia="Calibri" w:hAnsi="Verdana" w:cs="Arial"/>
                <w:lang w:val="es-ES" w:eastAsia="es-ES"/>
              </w:rPr>
            </w:pPr>
          </w:p>
        </w:tc>
      </w:tr>
      <w:tr w:rsidR="0047433B" w:rsidRPr="002167F7" w14:paraId="5BAA01CC" w14:textId="77777777" w:rsidTr="0067658D">
        <w:tc>
          <w:tcPr>
            <w:tcW w:w="2689" w:type="dxa"/>
          </w:tcPr>
          <w:p w14:paraId="7B1EAFCD" w14:textId="77777777" w:rsidR="0047433B" w:rsidRPr="00366D65" w:rsidRDefault="0047433B" w:rsidP="0067658D">
            <w:pPr>
              <w:spacing w:line="276" w:lineRule="auto"/>
              <w:jc w:val="both"/>
              <w:rPr>
                <w:rFonts w:ascii="Verdana" w:eastAsia="Calibri" w:hAnsi="Verdana" w:cs="Arial"/>
                <w:b/>
                <w:color w:val="000000" w:themeColor="text1"/>
                <w:lang w:val="es-ES" w:eastAsia="es-ES_tradnl"/>
              </w:rPr>
            </w:pPr>
            <w:r w:rsidRPr="00366D65">
              <w:rPr>
                <w:rFonts w:ascii="Verdana" w:eastAsia="Calibri" w:hAnsi="Verdana" w:cs="Arial"/>
                <w:b/>
                <w:color w:val="000000" w:themeColor="text1"/>
                <w:lang w:val="es-ES" w:eastAsia="es-ES_tradnl"/>
              </w:rPr>
              <w:t>Radicación:</w:t>
            </w:r>
            <w:r w:rsidRPr="00366D65">
              <w:rPr>
                <w:rFonts w:ascii="Verdana" w:eastAsia="Calibri" w:hAnsi="Verdana" w:cs="Arial"/>
                <w:color w:val="000000" w:themeColor="text1"/>
                <w:lang w:val="es-ES" w:eastAsia="es-ES_tradnl"/>
              </w:rPr>
              <w:t xml:space="preserve">               </w:t>
            </w:r>
          </w:p>
        </w:tc>
        <w:tc>
          <w:tcPr>
            <w:tcW w:w="6100" w:type="dxa"/>
          </w:tcPr>
          <w:p w14:paraId="634B5287" w14:textId="77777777" w:rsidR="0047433B" w:rsidRPr="00366D65" w:rsidRDefault="0047433B" w:rsidP="0067658D">
            <w:pPr>
              <w:spacing w:line="276" w:lineRule="auto"/>
              <w:jc w:val="both"/>
              <w:rPr>
                <w:rFonts w:ascii="Verdana" w:eastAsia="Calibri" w:hAnsi="Verdana" w:cs="Arial"/>
                <w:color w:val="000000" w:themeColor="text1"/>
                <w:lang w:val="es-ES" w:eastAsia="es-ES_tradnl"/>
              </w:rPr>
            </w:pPr>
            <w:r w:rsidRPr="00366D65">
              <w:rPr>
                <w:rFonts w:ascii="Verdana" w:eastAsia="Calibri" w:hAnsi="Verdana" w:cs="Arial"/>
                <w:color w:val="000000" w:themeColor="text1"/>
                <w:lang w:val="es-ES" w:eastAsia="es-ES_tradnl"/>
              </w:rPr>
              <w:t>Respuesta a consulta con radicado No.</w:t>
            </w:r>
            <w:r>
              <w:rPr>
                <w:rFonts w:ascii="Verdana" w:eastAsia="Calibri" w:hAnsi="Verdana" w:cs="Arial"/>
                <w:color w:val="000000" w:themeColor="text1"/>
                <w:lang w:val="es-ES" w:eastAsia="es-ES_tradnl"/>
              </w:rPr>
              <w:t xml:space="preserve"> </w:t>
            </w:r>
            <w:r w:rsidRPr="00E41EDC">
              <w:rPr>
                <w:rFonts w:ascii="Verdana" w:eastAsia="Calibri" w:hAnsi="Verdana" w:cs="Arial"/>
                <w:color w:val="000000" w:themeColor="text1"/>
                <w:lang w:val="es-ES" w:eastAsia="es-ES_tradnl"/>
              </w:rPr>
              <w:t>1_2026_01_21_000644</w:t>
            </w:r>
          </w:p>
        </w:tc>
      </w:tr>
    </w:tbl>
    <w:p w14:paraId="2413D982" w14:textId="77777777" w:rsidR="0047433B" w:rsidRPr="002167F7" w:rsidRDefault="0047433B" w:rsidP="0047433B">
      <w:pPr>
        <w:spacing w:after="0" w:line="276" w:lineRule="auto"/>
        <w:jc w:val="both"/>
        <w:rPr>
          <w:rFonts w:ascii="Verdana" w:eastAsia="Calibri" w:hAnsi="Verdana" w:cs="Arial"/>
          <w:color w:val="000000"/>
          <w:lang w:val="es-ES" w:eastAsia="es-ES_tradnl"/>
        </w:rPr>
      </w:pPr>
    </w:p>
    <w:p w14:paraId="288C275F" w14:textId="77777777" w:rsidR="0047433B" w:rsidRPr="002167F7" w:rsidRDefault="0047433B" w:rsidP="0047433B">
      <w:pPr>
        <w:spacing w:after="0" w:line="276" w:lineRule="auto"/>
        <w:jc w:val="both"/>
        <w:rPr>
          <w:rFonts w:ascii="Verdana" w:eastAsia="Calibri" w:hAnsi="Verdana" w:cs="Arial"/>
          <w:color w:val="000000"/>
          <w:lang w:val="es-ES" w:eastAsia="es-ES_tradnl"/>
        </w:rPr>
      </w:pPr>
    </w:p>
    <w:p w14:paraId="23CF2481" w14:textId="77777777" w:rsidR="0047433B" w:rsidRPr="002167F7" w:rsidRDefault="0047433B" w:rsidP="0047433B">
      <w:pPr>
        <w:spacing w:after="0" w:line="276" w:lineRule="auto"/>
        <w:jc w:val="both"/>
        <w:rPr>
          <w:rFonts w:ascii="Verdana" w:eastAsia="Calibri" w:hAnsi="Verdana" w:cs="Arial"/>
          <w:color w:val="000000" w:themeColor="text1"/>
          <w:lang w:val="es-ES" w:eastAsia="es-ES"/>
        </w:rPr>
      </w:pPr>
      <w:r w:rsidRPr="002167F7">
        <w:rPr>
          <w:rFonts w:ascii="Verdana" w:eastAsia="Calibri" w:hAnsi="Verdana" w:cs="Arial"/>
          <w:color w:val="000000" w:themeColor="text1"/>
          <w:lang w:val="es-ES" w:eastAsia="es-ES"/>
        </w:rPr>
        <w:t xml:space="preserve">Estimada </w:t>
      </w:r>
      <w:r w:rsidRPr="002167F7">
        <w:rPr>
          <w:rFonts w:ascii="Verdana" w:eastAsia="Calibri" w:hAnsi="Verdana" w:cs="Arial"/>
          <w:color w:val="000000"/>
          <w:lang w:val="es-ES" w:eastAsia="es-ES_tradnl"/>
        </w:rPr>
        <w:t xml:space="preserve">señora </w:t>
      </w:r>
      <w:r>
        <w:rPr>
          <w:rFonts w:ascii="Verdana" w:eastAsia="Calibri" w:hAnsi="Verdana" w:cs="Arial"/>
          <w:color w:val="000000"/>
          <w:lang w:val="es-ES" w:eastAsia="es-ES_tradnl"/>
        </w:rPr>
        <w:t>Cubillos</w:t>
      </w:r>
      <w:r w:rsidRPr="002167F7">
        <w:rPr>
          <w:rFonts w:ascii="Verdana" w:eastAsia="Calibri" w:hAnsi="Verdana" w:cs="Arial"/>
          <w:color w:val="000000"/>
          <w:lang w:val="es-ES" w:eastAsia="es-ES_tradnl"/>
        </w:rPr>
        <w:t>:</w:t>
      </w:r>
      <w:r w:rsidRPr="002167F7">
        <w:rPr>
          <w:rFonts w:ascii="Verdana" w:eastAsia="Calibri" w:hAnsi="Verdana" w:cs="Arial"/>
          <w:color w:val="000000" w:themeColor="text1"/>
          <w:lang w:val="es-ES" w:eastAsia="es-ES"/>
        </w:rPr>
        <w:t xml:space="preserve"> </w:t>
      </w:r>
    </w:p>
    <w:p w14:paraId="5CB83D28" w14:textId="77777777" w:rsidR="0047433B" w:rsidRPr="002167F7" w:rsidRDefault="0047433B" w:rsidP="0047433B">
      <w:pPr>
        <w:tabs>
          <w:tab w:val="left" w:pos="3768"/>
        </w:tabs>
        <w:spacing w:after="0" w:line="276" w:lineRule="auto"/>
        <w:jc w:val="both"/>
        <w:rPr>
          <w:rFonts w:ascii="Verdana" w:eastAsia="Calibri" w:hAnsi="Verdana" w:cs="Arial"/>
          <w:color w:val="000000" w:themeColor="text1"/>
          <w:lang w:val="es-ES" w:eastAsia="es-ES"/>
        </w:rPr>
      </w:pPr>
      <w:r w:rsidRPr="002167F7">
        <w:rPr>
          <w:rFonts w:ascii="Verdana" w:eastAsia="Calibri" w:hAnsi="Verdana" w:cs="Arial"/>
          <w:color w:val="000000" w:themeColor="text1"/>
          <w:lang w:val="es-ES" w:eastAsia="es-ES"/>
        </w:rPr>
        <w:tab/>
      </w:r>
    </w:p>
    <w:p w14:paraId="230F0EA2" w14:textId="77777777" w:rsidR="0047433B" w:rsidRPr="00C57CDC" w:rsidRDefault="0047433B" w:rsidP="0047433B">
      <w:pPr>
        <w:spacing w:after="0" w:line="276" w:lineRule="auto"/>
        <w:jc w:val="both"/>
        <w:rPr>
          <w:rFonts w:ascii="Verdana" w:hAnsi="Verdana" w:cs="Arial"/>
          <w:lang w:val="es-ES"/>
        </w:rPr>
      </w:pPr>
      <w:r w:rsidRPr="002167F7">
        <w:rPr>
          <w:rFonts w:ascii="Verdana" w:eastAsia="Calibri" w:hAnsi="Verdana" w:cs="Arial"/>
          <w:color w:val="000000" w:themeColor="text1"/>
          <w:lang w:val="es-ES" w:eastAsia="es-ES"/>
        </w:rPr>
        <w:t>En ejercicio de la competencia otorgada por los artículos 3, numeral 5º, y 11, numeral 8º, del Decreto Ley 4170 de 2011,</w:t>
      </w:r>
      <w:r w:rsidRPr="002167F7">
        <w:rPr>
          <w:rFonts w:ascii="Verdana" w:eastAsia="Arial MT" w:hAnsi="Verdana" w:cs="Arial MT"/>
          <w:lang w:val="es-ES" w:eastAsia="es-ES"/>
        </w:rPr>
        <w:t xml:space="preserve"> </w:t>
      </w:r>
      <w:r w:rsidRPr="006C555A">
        <w:rPr>
          <w:rFonts w:ascii="Verdana" w:hAnsi="Verdana" w:cs="Arial"/>
          <w:lang w:val="es-ES_tradnl"/>
        </w:rPr>
        <w:t>así como lo establecido en</w:t>
      </w:r>
      <w:r w:rsidRPr="006C555A">
        <w:rPr>
          <w:rFonts w:ascii="Verdana" w:hAnsi="Verdana" w:cs="Arial"/>
        </w:rPr>
        <w:t xml:space="preserve"> la Resolución 469 de 2025 expedida por esta Entidad</w:t>
      </w:r>
      <w:r w:rsidRPr="002167F7">
        <w:rPr>
          <w:rFonts w:ascii="Verdana" w:hAnsi="Verdana" w:cs="Arial"/>
          <w:lang w:val="es-ES"/>
        </w:rPr>
        <w:t xml:space="preserve">, </w:t>
      </w:r>
      <w:r w:rsidRPr="002167F7">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21</w:t>
      </w:r>
      <w:r w:rsidRPr="002167F7">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enero</w:t>
      </w:r>
      <w:r w:rsidRPr="002167F7">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2167F7">
        <w:rPr>
          <w:rFonts w:ascii="Verdana" w:eastAsia="Calibri" w:hAnsi="Verdana" w:cs="Arial"/>
          <w:color w:val="000000" w:themeColor="text1"/>
          <w:lang w:val="es-ES" w:eastAsia="es-ES"/>
        </w:rPr>
        <w:t xml:space="preserve">, en la cual manifiesta lo siguiente: </w:t>
      </w:r>
    </w:p>
    <w:p w14:paraId="13B1344C" w14:textId="77777777" w:rsidR="0047433B" w:rsidRPr="002167F7" w:rsidRDefault="0047433B" w:rsidP="0047433B">
      <w:pPr>
        <w:spacing w:after="0" w:line="276" w:lineRule="auto"/>
        <w:jc w:val="both"/>
        <w:rPr>
          <w:rFonts w:ascii="Verdana" w:eastAsia="Calibri" w:hAnsi="Verdana" w:cs="Arial"/>
          <w:color w:val="000000" w:themeColor="text1"/>
          <w:lang w:val="es-ES" w:eastAsia="es-ES"/>
        </w:rPr>
      </w:pPr>
    </w:p>
    <w:p w14:paraId="102FFA1D" w14:textId="77777777" w:rsidR="0047433B" w:rsidRPr="002167F7" w:rsidRDefault="0047433B" w:rsidP="0047433B">
      <w:pPr>
        <w:spacing w:after="0" w:line="240" w:lineRule="auto"/>
        <w:ind w:left="709" w:right="709"/>
        <w:jc w:val="both"/>
        <w:rPr>
          <w:rFonts w:ascii="Verdana" w:eastAsia="Century Gothic" w:hAnsi="Verdana" w:cs="Century Gothic"/>
          <w:i/>
          <w:iCs/>
          <w:color w:val="000000" w:themeColor="text1"/>
          <w:sz w:val="20"/>
          <w:szCs w:val="20"/>
          <w:lang w:val="es-ES"/>
        </w:rPr>
      </w:pPr>
      <w:r w:rsidRPr="002167F7">
        <w:rPr>
          <w:rFonts w:ascii="Verdana" w:eastAsia="Century Gothic" w:hAnsi="Verdana" w:cs="Century Gothic"/>
          <w:color w:val="000000" w:themeColor="text1"/>
          <w:sz w:val="20"/>
          <w:szCs w:val="20"/>
          <w:lang w:val="es-ES"/>
        </w:rPr>
        <w:t>“</w:t>
      </w:r>
      <w:r w:rsidRPr="003704E1">
        <w:rPr>
          <w:rFonts w:ascii="Verdana" w:eastAsia="Century Gothic" w:hAnsi="Verdana" w:cs="Century Gothic"/>
          <w:color w:val="000000" w:themeColor="text1"/>
          <w:sz w:val="20"/>
          <w:szCs w:val="20"/>
        </w:rPr>
        <w:t xml:space="preserve">Elevo consulta a ustedes porque requiero contratar a una firma de abogados para que lleve los procesos jurídicos de cobro de cartera de la ENTIDAD, el concepto que se le dio a la Gerente es que se haga un proceso de SELECCIÓN ABREVIADA, sin embargo, la gerente quiere que sea a través de un CONCURSO DE MERITOS. La consulta es: </w:t>
      </w:r>
      <w:proofErr w:type="gramStart"/>
      <w:r w:rsidRPr="003704E1">
        <w:rPr>
          <w:rFonts w:ascii="Verdana" w:eastAsia="Century Gothic" w:hAnsi="Verdana" w:cs="Century Gothic"/>
          <w:color w:val="000000" w:themeColor="text1"/>
          <w:sz w:val="20"/>
          <w:szCs w:val="20"/>
        </w:rPr>
        <w:t>Es posible realizar un concurso de méritos para este caso?</w:t>
      </w:r>
      <w:proofErr w:type="gramEnd"/>
      <w:r w:rsidRPr="003704E1">
        <w:rPr>
          <w:rFonts w:ascii="Verdana" w:eastAsia="Century Gothic" w:hAnsi="Verdana" w:cs="Century Gothic"/>
          <w:color w:val="000000" w:themeColor="text1"/>
          <w:sz w:val="20"/>
          <w:szCs w:val="20"/>
        </w:rPr>
        <w:t xml:space="preserve"> ¿Cuál sería la mejor modalidad para este caso?</w:t>
      </w:r>
      <w:r>
        <w:rPr>
          <w:rFonts w:ascii="Verdana" w:eastAsia="Century Gothic" w:hAnsi="Verdana" w:cs="Century Gothic"/>
          <w:color w:val="000000" w:themeColor="text1"/>
          <w:sz w:val="20"/>
          <w:szCs w:val="20"/>
        </w:rPr>
        <w:t xml:space="preserve">” </w:t>
      </w:r>
    </w:p>
    <w:p w14:paraId="1B9AEE59" w14:textId="77777777" w:rsidR="0047433B" w:rsidRDefault="0047433B" w:rsidP="0047433B">
      <w:pPr>
        <w:spacing w:after="0" w:line="276" w:lineRule="auto"/>
        <w:ind w:firstLine="709"/>
        <w:jc w:val="both"/>
        <w:rPr>
          <w:rFonts w:ascii="Verdana" w:eastAsia="Century Gothic" w:hAnsi="Verdana" w:cs="Century Gothic"/>
          <w:i/>
          <w:iCs/>
          <w:color w:val="000000" w:themeColor="text1"/>
          <w:sz w:val="20"/>
          <w:szCs w:val="20"/>
          <w:lang w:val="es-ES"/>
        </w:rPr>
      </w:pPr>
    </w:p>
    <w:p w14:paraId="21B68E92" w14:textId="77777777" w:rsidR="0047433B" w:rsidRPr="002167F7" w:rsidRDefault="0047433B" w:rsidP="0047433B">
      <w:pPr>
        <w:spacing w:before="120" w:after="120" w:line="276" w:lineRule="auto"/>
        <w:ind w:firstLine="709"/>
        <w:jc w:val="both"/>
        <w:rPr>
          <w:rFonts w:ascii="Verdana" w:eastAsia="Calibri" w:hAnsi="Verdana" w:cs="Arial"/>
          <w:color w:val="000000"/>
          <w:szCs w:val="24"/>
          <w:lang w:val="es-ES" w:eastAsia="es-ES_tradnl"/>
        </w:rPr>
      </w:pPr>
      <w:r w:rsidRPr="002167F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2167F7">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167F7">
        <w:rPr>
          <w:rFonts w:ascii="Verdana" w:eastAsia="Calibri" w:hAnsi="Verdana" w:cs="Arial"/>
          <w:color w:val="000000"/>
          <w:szCs w:val="24"/>
          <w:lang w:val="es-ES" w:eastAsia="es-ES_tradnl"/>
        </w:rPr>
        <w:tab/>
      </w:r>
    </w:p>
    <w:p w14:paraId="73884064" w14:textId="77777777" w:rsidR="0047433B" w:rsidRPr="002167F7" w:rsidRDefault="0047433B" w:rsidP="0047433B">
      <w:pPr>
        <w:spacing w:after="0" w:line="276" w:lineRule="auto"/>
        <w:ind w:firstLine="709"/>
        <w:jc w:val="both"/>
        <w:rPr>
          <w:rFonts w:ascii="Verdana" w:eastAsia="Calibri" w:hAnsi="Verdana" w:cs="Arial"/>
          <w:color w:val="000000"/>
          <w:lang w:val="es-ES" w:eastAsia="es-ES"/>
        </w:rPr>
      </w:pPr>
      <w:r w:rsidRPr="002167F7">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2167F7">
        <w:rPr>
          <w:rFonts w:ascii="Verdana" w:eastAsia="Calibri" w:hAnsi="Verdana" w:cs="Arial"/>
          <w:color w:val="7030A0"/>
          <w:lang w:val="es-ES" w:eastAsia="es-ES"/>
        </w:rPr>
        <w:t xml:space="preserve"> </w:t>
      </w:r>
      <w:r w:rsidRPr="002167F7">
        <w:rPr>
          <w:rFonts w:ascii="Verdana" w:eastAsia="Calibri" w:hAnsi="Verdana" w:cs="Arial"/>
          <w:color w:val="000000"/>
          <w:lang w:val="es-ES" w:eastAsia="es-ES"/>
        </w:rPr>
        <w:t>jurídico</w:t>
      </w:r>
      <w:r w:rsidRPr="002167F7">
        <w:rPr>
          <w:rFonts w:ascii="Verdana" w:eastAsia="Calibri" w:hAnsi="Verdana" w:cs="Arial"/>
          <w:color w:val="7030A0"/>
          <w:lang w:val="es-ES" w:eastAsia="es-ES"/>
        </w:rPr>
        <w:t xml:space="preserve"> </w:t>
      </w:r>
      <w:r w:rsidRPr="002167F7">
        <w:rPr>
          <w:rFonts w:ascii="Verdana" w:eastAsia="Calibri" w:hAnsi="Verdana" w:cs="Arial"/>
          <w:color w:val="000000"/>
          <w:lang w:val="es-ES" w:eastAsia="es-ES"/>
        </w:rPr>
        <w:t xml:space="preserve">de su consulta. </w:t>
      </w:r>
    </w:p>
    <w:p w14:paraId="4D1B35DD" w14:textId="77777777" w:rsidR="0047433B" w:rsidRPr="002167F7" w:rsidRDefault="0047433B" w:rsidP="0047433B">
      <w:pPr>
        <w:spacing w:after="0" w:line="276" w:lineRule="auto"/>
        <w:ind w:firstLine="709"/>
        <w:jc w:val="both"/>
        <w:rPr>
          <w:rFonts w:ascii="Verdana" w:eastAsia="Calibri" w:hAnsi="Verdana" w:cs="Arial"/>
          <w:color w:val="000000"/>
          <w:lang w:val="es-ES" w:eastAsia="es-ES"/>
        </w:rPr>
      </w:pPr>
    </w:p>
    <w:p w14:paraId="27EE2ABD" w14:textId="77777777" w:rsidR="0047433B" w:rsidRPr="002167F7" w:rsidRDefault="0047433B" w:rsidP="0047433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167F7">
        <w:rPr>
          <w:rFonts w:ascii="Verdana" w:eastAsia="Century Gothic" w:hAnsi="Verdana" w:cs="Century Gothic"/>
          <w:b/>
          <w:bCs/>
        </w:rPr>
        <w:t>Problema planteado:</w:t>
      </w:r>
    </w:p>
    <w:p w14:paraId="76EA6B20" w14:textId="77777777" w:rsidR="0047433B" w:rsidRPr="002167F7" w:rsidRDefault="0047433B" w:rsidP="0047433B">
      <w:pPr>
        <w:tabs>
          <w:tab w:val="left" w:pos="426"/>
        </w:tabs>
        <w:spacing w:after="0" w:line="276" w:lineRule="auto"/>
        <w:jc w:val="both"/>
        <w:rPr>
          <w:rFonts w:ascii="Verdana" w:eastAsia="Century Gothic" w:hAnsi="Verdana" w:cs="Century Gothic"/>
          <w:lang w:val="es-ES"/>
        </w:rPr>
      </w:pPr>
    </w:p>
    <w:p w14:paraId="1A1C9BFF" w14:textId="77777777" w:rsidR="0047433B" w:rsidRDefault="0047433B" w:rsidP="0047433B">
      <w:pPr>
        <w:spacing w:after="0" w:line="276" w:lineRule="auto"/>
        <w:jc w:val="both"/>
        <w:rPr>
          <w:rFonts w:ascii="Verdana" w:eastAsia="Century Gothic" w:hAnsi="Verdana" w:cs="Century Gothic"/>
          <w:lang w:val="es-ES"/>
        </w:rPr>
      </w:pPr>
      <w:r w:rsidRPr="002167F7">
        <w:rPr>
          <w:rFonts w:ascii="Verdana" w:eastAsia="Century Gothic" w:hAnsi="Verdana" w:cs="Century Gothic"/>
          <w:lang w:val="es-ES"/>
        </w:rPr>
        <w:t xml:space="preserve">De acuerdo con el contenido de su solicitud, esta Agencia resolverá el siguiente problema jurídico: ¿Cuál </w:t>
      </w:r>
      <w:r>
        <w:rPr>
          <w:rFonts w:ascii="Verdana" w:eastAsia="Century Gothic" w:hAnsi="Verdana" w:cs="Century Gothic"/>
          <w:lang w:val="es-ES"/>
        </w:rPr>
        <w:t xml:space="preserve">es la </w:t>
      </w:r>
      <w:r w:rsidRPr="002167F7">
        <w:rPr>
          <w:rFonts w:ascii="Verdana" w:eastAsia="Century Gothic" w:hAnsi="Verdana" w:cs="Century Gothic"/>
          <w:lang w:val="es-ES"/>
        </w:rPr>
        <w:t>modalidad</w:t>
      </w:r>
      <w:r>
        <w:rPr>
          <w:rFonts w:ascii="Verdana" w:eastAsia="Century Gothic" w:hAnsi="Verdana" w:cs="Century Gothic"/>
          <w:lang w:val="es-ES"/>
        </w:rPr>
        <w:t xml:space="preserve"> de selección</w:t>
      </w:r>
      <w:r w:rsidRPr="002167F7">
        <w:rPr>
          <w:rFonts w:ascii="Verdana" w:eastAsia="Century Gothic" w:hAnsi="Verdana" w:cs="Century Gothic"/>
          <w:lang w:val="es-ES"/>
        </w:rPr>
        <w:t xml:space="preserve"> </w:t>
      </w:r>
      <w:r>
        <w:rPr>
          <w:rFonts w:ascii="Verdana" w:eastAsia="Century Gothic" w:hAnsi="Verdana" w:cs="Century Gothic"/>
          <w:lang w:val="es-ES"/>
        </w:rPr>
        <w:t xml:space="preserve">más adecuada para la contratación de servicios de representación judicial en procesos para el cobro de cartera? </w:t>
      </w:r>
    </w:p>
    <w:p w14:paraId="5699325E" w14:textId="77777777" w:rsidR="0047433B" w:rsidRDefault="0047433B" w:rsidP="0047433B">
      <w:pPr>
        <w:spacing w:after="0" w:line="276" w:lineRule="auto"/>
        <w:jc w:val="both"/>
        <w:rPr>
          <w:rFonts w:ascii="Verdana" w:eastAsia="Century Gothic" w:hAnsi="Verdana" w:cs="Century Gothic"/>
          <w:lang w:val="es-ES"/>
        </w:rPr>
      </w:pPr>
    </w:p>
    <w:p w14:paraId="4E2E2AD9" w14:textId="77777777" w:rsidR="0047433B" w:rsidRPr="002167F7" w:rsidRDefault="0047433B" w:rsidP="0047433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167F7">
        <w:rPr>
          <w:rFonts w:ascii="Verdana" w:eastAsia="Century Gothic" w:hAnsi="Verdana" w:cs="Century Gothic"/>
          <w:b/>
          <w:bCs/>
        </w:rPr>
        <w:t>Respuesta:</w:t>
      </w:r>
    </w:p>
    <w:p w14:paraId="5C2E937B" w14:textId="77777777" w:rsidR="0047433B" w:rsidRPr="002167F7" w:rsidRDefault="0047433B" w:rsidP="0047433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7433B" w:rsidRPr="002167F7" w14:paraId="6EFBB3B8" w14:textId="77777777" w:rsidTr="0067658D">
        <w:tc>
          <w:tcPr>
            <w:tcW w:w="8828" w:type="dxa"/>
          </w:tcPr>
          <w:p w14:paraId="01DCCEEC" w14:textId="77777777" w:rsidR="0047433B" w:rsidRDefault="0047433B" w:rsidP="0067658D">
            <w:pPr>
              <w:spacing w:after="120" w:line="276" w:lineRule="auto"/>
              <w:ind w:right="177"/>
              <w:jc w:val="both"/>
              <w:rPr>
                <w:rFonts w:ascii="Verdana" w:eastAsiaTheme="minorEastAsia" w:hAnsi="Verdana" w:cs="Arial"/>
                <w:lang w:val="es-ES" w:eastAsia="es-CO"/>
              </w:rPr>
            </w:pPr>
            <w:r>
              <w:rPr>
                <w:rFonts w:ascii="Verdana" w:eastAsiaTheme="minorEastAsia" w:hAnsi="Verdana" w:cs="Arial"/>
                <w:lang w:val="es-ES" w:eastAsia="es-CO"/>
              </w:rPr>
              <w:t xml:space="preserve">Según lo dispuesto en </w:t>
            </w:r>
            <w:r w:rsidRPr="002167F7">
              <w:rPr>
                <w:rFonts w:ascii="Verdana" w:eastAsiaTheme="minorEastAsia" w:hAnsi="Verdana" w:cs="Arial"/>
                <w:lang w:val="es-ES" w:eastAsia="es-CO"/>
              </w:rPr>
              <w:t xml:space="preserve">el artículo 2 de la Ley 1150 </w:t>
            </w:r>
            <w:r>
              <w:rPr>
                <w:rFonts w:ascii="Verdana" w:eastAsiaTheme="minorEastAsia" w:hAnsi="Verdana" w:cs="Arial"/>
                <w:lang w:val="es-ES" w:eastAsia="es-CO"/>
              </w:rPr>
              <w:t>de 2007</w:t>
            </w:r>
            <w:r w:rsidRPr="002167F7">
              <w:rPr>
                <w:rFonts w:ascii="Verdana" w:eastAsiaTheme="minorEastAsia" w:hAnsi="Verdana" w:cs="Arial"/>
                <w:lang w:val="es-ES" w:eastAsia="es-CO"/>
              </w:rPr>
              <w:t>, las modalidades de selección a las que actualmente pueden recurrir las Entidades Estatales para adelantar sus procesos de contratación estatal son: 1) la licitación pública, 2)</w:t>
            </w:r>
            <w:r w:rsidRPr="002167F7">
              <w:rPr>
                <w:rFonts w:ascii="Verdana" w:eastAsiaTheme="minorEastAsia" w:hAnsi="Verdana" w:cs="Arial"/>
                <w:spacing w:val="1"/>
                <w:lang w:val="es-ES" w:eastAsia="es-CO"/>
              </w:rPr>
              <w:t xml:space="preserve"> la </w:t>
            </w:r>
            <w:r w:rsidRPr="002167F7">
              <w:rPr>
                <w:rFonts w:ascii="Verdana" w:eastAsiaTheme="minorEastAsia" w:hAnsi="Verdana" w:cs="Arial"/>
                <w:lang w:val="es-ES" w:eastAsia="es-CO"/>
              </w:rPr>
              <w:t xml:space="preserve">selección abreviada, 3) el concurso de méritos, 4) la mínima cuantía y 5) la contratación directa. </w:t>
            </w:r>
          </w:p>
          <w:p w14:paraId="0EFAE32B" w14:textId="77777777" w:rsidR="0047433B" w:rsidRDefault="0047433B" w:rsidP="0067658D">
            <w:pPr>
              <w:spacing w:after="120" w:line="276" w:lineRule="auto"/>
              <w:ind w:firstLine="709"/>
              <w:jc w:val="both"/>
              <w:rPr>
                <w:rFonts w:ascii="Verdana" w:eastAsia="Arial" w:hAnsi="Verdana" w:cs="Arial"/>
                <w:lang w:val="es-ES"/>
              </w:rPr>
            </w:pPr>
            <w:r>
              <w:rPr>
                <w:rFonts w:ascii="Verdana" w:eastAsia="Calibri" w:hAnsi="Verdana" w:cs="Arial"/>
                <w:lang w:val="es-ES" w:eastAsia="es-MX"/>
              </w:rPr>
              <w:t xml:space="preserve">En términos generales, </w:t>
            </w:r>
            <w:r w:rsidRPr="002167F7">
              <w:rPr>
                <w:rFonts w:ascii="Verdana" w:eastAsia="Arial" w:hAnsi="Verdana" w:cs="Arial"/>
                <w:lang w:val="es-ES"/>
              </w:rPr>
              <w:t xml:space="preserve">la licitación pública, la selección abreviada, el concurso de méritos y la mínima cuantía son modalidades de selección competitivas o abiertas a competencia, ya que en ellas tiene lugar la participación de varios proponentes en una fase pública de presentación de ofertas. Esto permite que todas las personas interesadas concurran al proceso en igualdad de condiciones y compitan en el mismo. En contraste, la modalidad de selección de contratación directa no es competitiva, es decir, que no es abierta a los proponentes para que los interesados presenten sus ofertas. En </w:t>
            </w:r>
            <w:r w:rsidRPr="002167F7">
              <w:rPr>
                <w:rFonts w:ascii="Verdana" w:eastAsia="Arial" w:hAnsi="Verdana" w:cs="Arial"/>
                <w:lang w:val="es-ES"/>
              </w:rPr>
              <w:lastRenderedPageBreak/>
              <w:t>esta, es la entidad la que determina, de forma directa, la persona que puede participar y que será seleccionada.</w:t>
            </w:r>
            <w:r>
              <w:rPr>
                <w:rFonts w:ascii="Verdana" w:eastAsia="Arial" w:hAnsi="Verdana" w:cs="Arial"/>
                <w:lang w:val="es-ES"/>
              </w:rPr>
              <w:t xml:space="preserve"> </w:t>
            </w:r>
            <w:r w:rsidRPr="002167F7">
              <w:rPr>
                <w:rFonts w:ascii="Verdana" w:eastAsia="Arial" w:hAnsi="Verdana" w:cs="Arial"/>
                <w:lang w:val="es-ES"/>
              </w:rPr>
              <w:t>En relación con</w:t>
            </w:r>
            <w:r>
              <w:rPr>
                <w:rFonts w:ascii="Verdana" w:eastAsia="Arial" w:hAnsi="Verdana" w:cs="Arial"/>
                <w:lang w:val="es-ES"/>
              </w:rPr>
              <w:t xml:space="preserve"> esta última</w:t>
            </w:r>
            <w:r w:rsidRPr="002167F7">
              <w:rPr>
                <w:rFonts w:ascii="Verdana" w:eastAsia="Arial" w:hAnsi="Verdana" w:cs="Arial"/>
                <w:lang w:val="es-ES"/>
              </w:rPr>
              <w:t xml:space="preserve">, es importante señalar que </w:t>
            </w:r>
            <w:r w:rsidRPr="002167F7">
              <w:rPr>
                <w:rFonts w:ascii="Verdana" w:eastAsia="Calibri" w:hAnsi="Verdana" w:cs="Arial"/>
                <w:lang w:val="es-ES" w:eastAsia="es-MX"/>
              </w:rPr>
              <w:t>es una excepción al principio de libre concurrencia y competencia</w:t>
            </w:r>
            <w:r>
              <w:rPr>
                <w:rFonts w:ascii="Verdana" w:eastAsia="Calibri" w:hAnsi="Verdana" w:cs="Arial"/>
                <w:lang w:val="es-ES" w:eastAsia="es-MX"/>
              </w:rPr>
              <w:t xml:space="preserve"> por lo que </w:t>
            </w:r>
            <w:r w:rsidRPr="002167F7">
              <w:rPr>
                <w:rFonts w:ascii="Verdana" w:eastAsia="Arial" w:hAnsi="Verdana" w:cs="Arial"/>
                <w:lang w:val="es-ES"/>
              </w:rPr>
              <w:t>es de aplicación restrictiva, es decir, solo procede por las causales señaladas e</w:t>
            </w:r>
            <w:r>
              <w:rPr>
                <w:rFonts w:ascii="Verdana" w:eastAsia="Arial" w:hAnsi="Verdana" w:cs="Arial"/>
                <w:lang w:val="es-ES"/>
              </w:rPr>
              <w:t>x</w:t>
            </w:r>
            <w:r w:rsidRPr="002167F7">
              <w:rPr>
                <w:rFonts w:ascii="Verdana" w:eastAsia="Arial" w:hAnsi="Verdana" w:cs="Arial"/>
                <w:lang w:val="es-ES"/>
              </w:rPr>
              <w:t>presamente en la ley.</w:t>
            </w:r>
          </w:p>
          <w:p w14:paraId="49E99B46" w14:textId="77777777" w:rsidR="0047433B" w:rsidRDefault="0047433B" w:rsidP="0067658D">
            <w:pPr>
              <w:spacing w:after="120" w:line="276" w:lineRule="auto"/>
              <w:ind w:firstLine="709"/>
              <w:jc w:val="both"/>
              <w:rPr>
                <w:rFonts w:ascii="Verdana" w:eastAsia="Arial" w:hAnsi="Verdana" w:cs="Arial"/>
                <w:lang w:val="es-ES"/>
              </w:rPr>
            </w:pPr>
            <w:r>
              <w:rPr>
                <w:rFonts w:ascii="Verdana" w:eastAsia="Arial" w:hAnsi="Verdana" w:cs="Arial"/>
                <w:lang w:val="es-ES"/>
              </w:rPr>
              <w:t xml:space="preserve">Específicamente </w:t>
            </w:r>
            <w:r w:rsidRPr="00A17659">
              <w:rPr>
                <w:rFonts w:ascii="Verdana" w:eastAsia="Arial" w:hAnsi="Verdana" w:cs="Arial"/>
                <w:lang w:val="es-ES"/>
              </w:rPr>
              <w:t xml:space="preserve">respecto de la contratación de los servicios de representación judicial en procesos de cobro coactivo a los que se refiere su consulta, la modalidad de selección aplicable deberá definirse a partir del análisis del objeto contractual y de las actividades requeridas para su ejecución, razón por la cual no es </w:t>
            </w:r>
            <w:r>
              <w:rPr>
                <w:rFonts w:ascii="Verdana" w:eastAsia="Arial" w:hAnsi="Verdana" w:cs="Arial"/>
                <w:lang w:val="es-ES"/>
              </w:rPr>
              <w:t xml:space="preserve">viable </w:t>
            </w:r>
            <w:r w:rsidRPr="00A17659">
              <w:rPr>
                <w:rFonts w:ascii="Verdana" w:eastAsia="Arial" w:hAnsi="Verdana" w:cs="Arial"/>
                <w:lang w:val="es-ES"/>
              </w:rPr>
              <w:t xml:space="preserve">determinar una modalidad de contratación única y </w:t>
            </w:r>
            <w:r>
              <w:rPr>
                <w:rFonts w:ascii="Verdana" w:eastAsia="Arial" w:hAnsi="Verdana" w:cs="Arial"/>
                <w:lang w:val="es-ES"/>
              </w:rPr>
              <w:t>concreta</w:t>
            </w:r>
            <w:r w:rsidRPr="00A17659">
              <w:rPr>
                <w:rFonts w:ascii="Verdana" w:eastAsia="Arial" w:hAnsi="Verdana" w:cs="Arial"/>
                <w:lang w:val="es-ES"/>
              </w:rPr>
              <w:t xml:space="preserve"> para este </w:t>
            </w:r>
            <w:r>
              <w:rPr>
                <w:rFonts w:ascii="Verdana" w:eastAsia="Arial" w:hAnsi="Verdana" w:cs="Arial"/>
                <w:lang w:val="es-ES"/>
              </w:rPr>
              <w:t xml:space="preserve">caso. </w:t>
            </w:r>
          </w:p>
          <w:p w14:paraId="21F6B52E" w14:textId="27452821" w:rsidR="0047433B" w:rsidRDefault="0047433B" w:rsidP="0067658D">
            <w:pPr>
              <w:spacing w:after="120" w:line="276" w:lineRule="auto"/>
              <w:ind w:firstLine="709"/>
              <w:jc w:val="both"/>
              <w:rPr>
                <w:rFonts w:ascii="Verdana" w:eastAsia="Arial" w:hAnsi="Verdana" w:cs="Arial"/>
                <w:lang w:val="es-ES"/>
              </w:rPr>
            </w:pPr>
            <w:r>
              <w:rPr>
                <w:rFonts w:ascii="Verdana" w:eastAsia="Arial" w:hAnsi="Verdana" w:cs="Arial"/>
                <w:lang w:val="es-ES"/>
              </w:rPr>
              <w:t xml:space="preserve">En este sentido, es posible que para la contratación de dicho servicio pueda emplearse la modalidad de contratación directa aplicando la causal referente a los contratos de prestación de servicios profesionales, siempre que el alcance del servicio se enmarque en las actividades propias de este tipo de contratos. En efecto, de conformidad con </w:t>
            </w:r>
            <w:r w:rsidRPr="006C555A">
              <w:rPr>
                <w:rFonts w:ascii="Verdana" w:eastAsia="Calibri" w:hAnsi="Verdana" w:cs="Arial"/>
                <w:color w:val="000000"/>
              </w:rPr>
              <w:t xml:space="preserve">el artículo 32, numeral 3º, de la Ley 80 de 1993, </w:t>
            </w:r>
            <w:r>
              <w:rPr>
                <w:rFonts w:ascii="Verdana" w:eastAsia="Calibri" w:hAnsi="Verdana" w:cs="Arial"/>
                <w:color w:val="000000"/>
              </w:rPr>
              <w:t xml:space="preserve">estos contratos se celebran </w:t>
            </w:r>
            <w:r w:rsidRPr="00506B20">
              <w:rPr>
                <w:rFonts w:ascii="Verdana" w:eastAsia="Calibri" w:hAnsi="Verdana" w:cs="Arial"/>
                <w:color w:val="000000"/>
              </w:rPr>
              <w:t>para desarrollar</w:t>
            </w:r>
            <w:r w:rsidRPr="006C555A">
              <w:rPr>
                <w:rFonts w:ascii="Verdana" w:eastAsia="Calibri" w:hAnsi="Verdana" w:cs="Arial"/>
                <w:color w:val="000000"/>
                <w:sz w:val="20"/>
                <w:szCs w:val="20"/>
              </w:rPr>
              <w:t xml:space="preserve"> </w:t>
            </w:r>
            <w:r w:rsidRPr="006C555A">
              <w:rPr>
                <w:rFonts w:ascii="Verdana" w:eastAsia="Calibri" w:hAnsi="Verdana" w:cs="Arial"/>
                <w:color w:val="000000"/>
              </w:rPr>
              <w:t>“actividades relacionadas con la administración o funcionamiento de la entidad”, es decir, que hagan parte de su giro ordinario o quehacer cotidiano</w:t>
            </w:r>
            <w:r>
              <w:rPr>
                <w:rFonts w:ascii="Verdana" w:eastAsia="Calibri" w:hAnsi="Verdana" w:cs="Arial"/>
                <w:color w:val="000000"/>
              </w:rPr>
              <w:t xml:space="preserve"> y podrán </w:t>
            </w:r>
            <w:r w:rsidRPr="00506B20">
              <w:rPr>
                <w:rFonts w:ascii="Verdana" w:eastAsia="Calibri" w:hAnsi="Verdana" w:cs="Arial"/>
                <w:color w:val="000000"/>
              </w:rPr>
              <w:t xml:space="preserve">celebrarse con personas naturales </w:t>
            </w:r>
            <w:r>
              <w:rPr>
                <w:rFonts w:ascii="Verdana" w:eastAsia="Calibri" w:hAnsi="Verdana" w:cs="Arial"/>
                <w:color w:val="000000"/>
              </w:rPr>
              <w:t xml:space="preserve">y jurídicas </w:t>
            </w:r>
            <w:r w:rsidRPr="00506B20">
              <w:rPr>
                <w:rFonts w:ascii="Verdana" w:eastAsia="Calibri" w:hAnsi="Verdana" w:cs="Arial"/>
                <w:color w:val="000000"/>
              </w:rPr>
              <w:t>cuando dichas actividades no puedan realizarse con personal de planta o requieran conocimientos especializados</w:t>
            </w:r>
            <w:r w:rsidR="00F56A30">
              <w:rPr>
                <w:rFonts w:ascii="Verdana" w:eastAsia="Calibri" w:hAnsi="Verdana" w:cs="Arial"/>
                <w:color w:val="000000"/>
              </w:rPr>
              <w:t>.</w:t>
            </w:r>
          </w:p>
          <w:p w14:paraId="10917D01" w14:textId="77777777" w:rsidR="0047433B" w:rsidRDefault="0047433B" w:rsidP="0067658D">
            <w:pPr>
              <w:spacing w:before="120" w:after="120" w:line="276" w:lineRule="auto"/>
              <w:ind w:firstLine="709"/>
              <w:jc w:val="both"/>
              <w:rPr>
                <w:rFonts w:ascii="Verdana" w:hAnsi="Verdana"/>
              </w:rPr>
            </w:pPr>
            <w:r>
              <w:rPr>
                <w:rFonts w:ascii="Verdana" w:hAnsi="Verdana"/>
              </w:rPr>
              <w:t xml:space="preserve">En este </w:t>
            </w:r>
            <w:r w:rsidRPr="006C555A">
              <w:rPr>
                <w:rFonts w:ascii="Verdana" w:hAnsi="Verdana"/>
              </w:rPr>
              <w:t xml:space="preserve">contexto, </w:t>
            </w:r>
            <w:r>
              <w:rPr>
                <w:rFonts w:ascii="Verdana" w:hAnsi="Verdana"/>
              </w:rPr>
              <w:t>cuando los</w:t>
            </w:r>
            <w:r w:rsidRPr="007D72FE">
              <w:rPr>
                <w:rFonts w:ascii="Verdana" w:eastAsia="Arial" w:hAnsi="Verdana" w:cs="Arial"/>
                <w:lang w:val="es-ES"/>
              </w:rPr>
              <w:t xml:space="preserve"> </w:t>
            </w:r>
            <w:r>
              <w:rPr>
                <w:rFonts w:ascii="Verdana" w:eastAsia="Arial" w:hAnsi="Verdana" w:cs="Arial"/>
                <w:lang w:val="es-ES"/>
              </w:rPr>
              <w:t xml:space="preserve">servicios de representación judicial para procesos de cobro coactivo implican </w:t>
            </w:r>
            <w:r>
              <w:rPr>
                <w:rFonts w:ascii="Verdana" w:eastAsia="Arial" w:hAnsi="Verdana" w:cs="Arial"/>
              </w:rPr>
              <w:t>el desarrollo de actividades propias de la administración y funcionamiento de la entidad de manera temporal, que no puede ser ejecutadas por el personal de planta y se limitan a la</w:t>
            </w:r>
            <w:r w:rsidRPr="00182C00">
              <w:rPr>
                <w:rFonts w:ascii="Verdana" w:eastAsia="Arial" w:hAnsi="Verdana" w:cs="Arial"/>
              </w:rPr>
              <w:t xml:space="preserve"> representación </w:t>
            </w:r>
            <w:r>
              <w:rPr>
                <w:rFonts w:ascii="Verdana" w:eastAsia="Arial" w:hAnsi="Verdana" w:cs="Arial"/>
              </w:rPr>
              <w:t xml:space="preserve">judicial </w:t>
            </w:r>
            <w:r w:rsidRPr="00182C00">
              <w:rPr>
                <w:rFonts w:ascii="Verdana" w:eastAsia="Arial" w:hAnsi="Verdana" w:cs="Arial"/>
              </w:rPr>
              <w:t>pura y simple en procesos ejecutivos</w:t>
            </w:r>
            <w:r>
              <w:rPr>
                <w:rFonts w:ascii="Verdana" w:eastAsia="Arial" w:hAnsi="Verdana" w:cs="Arial"/>
              </w:rPr>
              <w:t>,</w:t>
            </w:r>
            <w:r w:rsidRPr="00182C00">
              <w:rPr>
                <w:rFonts w:ascii="Verdana" w:eastAsia="Arial" w:hAnsi="Verdana" w:cs="Arial"/>
              </w:rPr>
              <w:t xml:space="preserve"> podría ser</w:t>
            </w:r>
            <w:r>
              <w:rPr>
                <w:rFonts w:ascii="Verdana" w:eastAsia="Arial" w:hAnsi="Verdana" w:cs="Arial"/>
              </w:rPr>
              <w:t xml:space="preserve"> procedente la celebración</w:t>
            </w:r>
            <w:r w:rsidRPr="00182C00">
              <w:rPr>
                <w:rFonts w:ascii="Verdana" w:eastAsia="Arial" w:hAnsi="Verdana" w:cs="Arial"/>
              </w:rPr>
              <w:t xml:space="preserve"> </w:t>
            </w:r>
            <w:r>
              <w:rPr>
                <w:rFonts w:ascii="Verdana" w:eastAsia="Arial" w:hAnsi="Verdana" w:cs="Arial"/>
              </w:rPr>
              <w:t>de un c</w:t>
            </w:r>
            <w:r w:rsidRPr="00182C00">
              <w:rPr>
                <w:rFonts w:ascii="Verdana" w:eastAsia="Arial" w:hAnsi="Verdana" w:cs="Arial"/>
              </w:rPr>
              <w:t>ontrato de prestación de servicios</w:t>
            </w:r>
            <w:r>
              <w:rPr>
                <w:rFonts w:ascii="Verdana" w:eastAsia="Arial" w:hAnsi="Verdana" w:cs="Arial"/>
              </w:rPr>
              <w:t xml:space="preserve"> profesionales</w:t>
            </w:r>
            <w:r w:rsidRPr="00182C00">
              <w:rPr>
                <w:rFonts w:ascii="Verdana" w:eastAsia="Arial" w:hAnsi="Verdana" w:cs="Arial"/>
              </w:rPr>
              <w:t>, y en, consecuencia la</w:t>
            </w:r>
            <w:r>
              <w:rPr>
                <w:rFonts w:ascii="Verdana" w:eastAsia="Arial" w:hAnsi="Verdana" w:cs="Arial"/>
              </w:rPr>
              <w:t xml:space="preserve"> modalidad de</w:t>
            </w:r>
            <w:r w:rsidRPr="00182C00">
              <w:rPr>
                <w:rFonts w:ascii="Verdana" w:eastAsia="Arial" w:hAnsi="Verdana" w:cs="Arial"/>
              </w:rPr>
              <w:t xml:space="preserve"> contratación directa</w:t>
            </w:r>
            <w:r>
              <w:rPr>
                <w:rFonts w:ascii="Verdana" w:eastAsia="Arial" w:hAnsi="Verdana" w:cs="Arial"/>
              </w:rPr>
              <w:t xml:space="preserve">. </w:t>
            </w:r>
          </w:p>
          <w:p w14:paraId="38755A4B" w14:textId="77777777" w:rsidR="0047433B" w:rsidRDefault="0047433B" w:rsidP="0067658D">
            <w:pPr>
              <w:spacing w:before="120" w:after="120" w:line="276" w:lineRule="auto"/>
              <w:ind w:firstLine="709"/>
              <w:jc w:val="both"/>
              <w:rPr>
                <w:rFonts w:ascii="Verdana" w:hAnsi="Verdana"/>
              </w:rPr>
            </w:pPr>
            <w:r>
              <w:rPr>
                <w:rFonts w:ascii="Verdana" w:hAnsi="Verdana"/>
              </w:rPr>
              <w:t xml:space="preserve">Por su parte, </w:t>
            </w:r>
            <w:r w:rsidRPr="00F17EAF">
              <w:rPr>
                <w:rFonts w:ascii="Verdana" w:hAnsi="Verdana"/>
              </w:rPr>
              <w:t xml:space="preserve">cuando el </w:t>
            </w:r>
            <w:r>
              <w:rPr>
                <w:rFonts w:ascii="Verdana" w:hAnsi="Verdana"/>
              </w:rPr>
              <w:t xml:space="preserve">objeto del </w:t>
            </w:r>
            <w:r w:rsidRPr="00F17EAF">
              <w:rPr>
                <w:rFonts w:ascii="Verdana" w:hAnsi="Verdana"/>
              </w:rPr>
              <w:t xml:space="preserve">contrato incluye un componente especializado que implique el ejercicio de conocimientos técnicos </w:t>
            </w:r>
            <w:r>
              <w:rPr>
                <w:rFonts w:ascii="Verdana" w:hAnsi="Verdana"/>
              </w:rPr>
              <w:t xml:space="preserve">que </w:t>
            </w:r>
            <w:r w:rsidRPr="00F17EAF">
              <w:rPr>
                <w:rFonts w:ascii="Verdana" w:hAnsi="Verdana"/>
              </w:rPr>
              <w:t>pued</w:t>
            </w:r>
            <w:r>
              <w:rPr>
                <w:rFonts w:ascii="Verdana" w:hAnsi="Verdana"/>
              </w:rPr>
              <w:t>a</w:t>
            </w:r>
            <w:r w:rsidRPr="00F17EAF">
              <w:rPr>
                <w:rFonts w:ascii="Verdana" w:hAnsi="Verdana"/>
              </w:rPr>
              <w:t xml:space="preserve"> encuadrarse dentro de</w:t>
            </w:r>
            <w:r>
              <w:rPr>
                <w:rFonts w:ascii="Verdana" w:hAnsi="Verdana"/>
              </w:rPr>
              <w:t xml:space="preserve"> la definición </w:t>
            </w:r>
            <w:r w:rsidRPr="00F17EAF">
              <w:rPr>
                <w:rFonts w:ascii="Verdana" w:hAnsi="Verdana"/>
              </w:rPr>
              <w:t>previst</w:t>
            </w:r>
            <w:r>
              <w:rPr>
                <w:rFonts w:ascii="Verdana" w:hAnsi="Verdana"/>
              </w:rPr>
              <w:t>a</w:t>
            </w:r>
            <w:r w:rsidRPr="00F17EAF">
              <w:rPr>
                <w:rFonts w:ascii="Verdana" w:hAnsi="Verdana"/>
              </w:rPr>
              <w:t xml:space="preserve"> en </w:t>
            </w:r>
            <w:r>
              <w:rPr>
                <w:rFonts w:ascii="Verdana" w:hAnsi="Verdana"/>
              </w:rPr>
              <w:t xml:space="preserve">el </w:t>
            </w:r>
            <w:r w:rsidRPr="00F17EAF">
              <w:rPr>
                <w:rFonts w:ascii="Verdana" w:hAnsi="Verdana"/>
              </w:rPr>
              <w:t xml:space="preserve">numeral 2 </w:t>
            </w:r>
            <w:r>
              <w:rPr>
                <w:rFonts w:ascii="Verdana" w:hAnsi="Verdana"/>
              </w:rPr>
              <w:t>d</w:t>
            </w:r>
            <w:r w:rsidRPr="00F17EAF">
              <w:rPr>
                <w:rFonts w:ascii="Verdana" w:hAnsi="Verdana"/>
              </w:rPr>
              <w:t>el artículo 32</w:t>
            </w:r>
            <w:r>
              <w:rPr>
                <w:rFonts w:ascii="Verdana" w:hAnsi="Verdana"/>
              </w:rPr>
              <w:t xml:space="preserve"> </w:t>
            </w:r>
            <w:r w:rsidRPr="00F17EAF">
              <w:rPr>
                <w:rFonts w:ascii="Verdana" w:hAnsi="Verdana"/>
              </w:rPr>
              <w:t>de la Ley 80 de 1993</w:t>
            </w:r>
            <w:r>
              <w:rPr>
                <w:rFonts w:ascii="Verdana" w:hAnsi="Verdana"/>
              </w:rPr>
              <w:t xml:space="preserve">, podría celebrarse un contrato de consultoría </w:t>
            </w:r>
            <w:proofErr w:type="gramStart"/>
            <w:r>
              <w:rPr>
                <w:rFonts w:ascii="Verdana" w:hAnsi="Verdana"/>
              </w:rPr>
              <w:t>y</w:t>
            </w:r>
            <w:proofErr w:type="gramEnd"/>
            <w:r>
              <w:rPr>
                <w:rFonts w:ascii="Verdana" w:hAnsi="Verdana"/>
              </w:rPr>
              <w:t xml:space="preserve"> por tanto, acudir a la modalidad de contratación de concurso de méritos</w:t>
            </w:r>
            <w:r w:rsidRPr="00F17EAF">
              <w:rPr>
                <w:rFonts w:ascii="Verdana" w:hAnsi="Verdana"/>
              </w:rPr>
              <w:t xml:space="preserve">. </w:t>
            </w:r>
            <w:r>
              <w:rPr>
                <w:rFonts w:ascii="Verdana" w:hAnsi="Verdana"/>
              </w:rPr>
              <w:t xml:space="preserve">Lo anterior, salvo que </w:t>
            </w:r>
            <w:r w:rsidRPr="00B219A2">
              <w:rPr>
                <w:rFonts w:ascii="Verdana" w:hAnsi="Verdana"/>
              </w:rPr>
              <w:t xml:space="preserve">la cuantía del contrato sea inferior al diez por ciento (10 %) de la </w:t>
            </w:r>
            <w:r w:rsidRPr="00B219A2">
              <w:rPr>
                <w:rFonts w:ascii="Verdana" w:hAnsi="Verdana"/>
              </w:rPr>
              <w:lastRenderedPageBreak/>
              <w:t>menor cuantía</w:t>
            </w:r>
            <w:r>
              <w:rPr>
                <w:rFonts w:ascii="Verdana" w:hAnsi="Verdana"/>
              </w:rPr>
              <w:t xml:space="preserve"> de la entidad</w:t>
            </w:r>
            <w:r w:rsidRPr="00B219A2">
              <w:rPr>
                <w:rFonts w:ascii="Verdana" w:hAnsi="Verdana"/>
              </w:rPr>
              <w:t>, evento en el cual será aplicable la modalidad de mínima cuantía</w:t>
            </w:r>
            <w:r>
              <w:rPr>
                <w:rFonts w:ascii="Verdana" w:hAnsi="Verdana"/>
              </w:rPr>
              <w:t xml:space="preserve">. </w:t>
            </w:r>
          </w:p>
          <w:p w14:paraId="0915BB4D" w14:textId="77777777" w:rsidR="0047433B" w:rsidRPr="004F2114" w:rsidRDefault="0047433B" w:rsidP="0067658D">
            <w:pPr>
              <w:spacing w:after="120" w:line="276" w:lineRule="auto"/>
              <w:ind w:firstLine="709"/>
              <w:jc w:val="both"/>
              <w:rPr>
                <w:rFonts w:ascii="Verdana" w:hAnsi="Verdana" w:cs="Arial"/>
                <w:lang w:val="es-ES"/>
              </w:rPr>
            </w:pPr>
            <w:r>
              <w:rPr>
                <w:rFonts w:ascii="Verdana" w:hAnsi="Verdana" w:cs="Arial"/>
                <w:lang w:val="es-ES"/>
              </w:rPr>
              <w:t xml:space="preserve">En este sentido, </w:t>
            </w:r>
            <w:r>
              <w:rPr>
                <w:rFonts w:ascii="Verdana" w:eastAsia="Calibri" w:hAnsi="Verdana" w:cs="Arial"/>
                <w:bCs/>
                <w:lang w:val="es-ES"/>
              </w:rPr>
              <w:t xml:space="preserve">vale reiterar que solo se podrá acudir a esta modalidad de selección cuando el objeto a ejecutar se trate de actividades de </w:t>
            </w:r>
            <w:r w:rsidRPr="002167F7">
              <w:rPr>
                <w:rFonts w:ascii="Verdana" w:eastAsia="Calibri" w:hAnsi="Verdana" w:cs="Arial"/>
                <w:bCs/>
                <w:lang w:val="es-ES"/>
              </w:rPr>
              <w:t xml:space="preserve">consultoría </w:t>
            </w:r>
            <w:r>
              <w:rPr>
                <w:rFonts w:ascii="Verdana" w:eastAsia="Calibri" w:hAnsi="Verdana" w:cs="Arial"/>
                <w:bCs/>
                <w:lang w:val="es-ES"/>
              </w:rPr>
              <w:t xml:space="preserve">que </w:t>
            </w:r>
            <w:r w:rsidRPr="002167F7">
              <w:rPr>
                <w:rFonts w:ascii="Verdana" w:eastAsia="Calibri" w:hAnsi="Verdana" w:cs="Arial"/>
                <w:bCs/>
                <w:lang w:val="es-ES"/>
              </w:rPr>
              <w:t>tienen por objeto la interventoría, asesoría, gerencia de obra o de proyectos, dirección, programación y la ejecución de diseños, planos, anteproyectos y proyectos</w:t>
            </w:r>
            <w:r>
              <w:rPr>
                <w:rFonts w:ascii="Verdana" w:eastAsia="Calibri" w:hAnsi="Verdana" w:cs="Arial"/>
                <w:bCs/>
                <w:lang w:val="es-ES"/>
              </w:rPr>
              <w:t xml:space="preserve">, así como para </w:t>
            </w:r>
            <w:r w:rsidRPr="002167F7">
              <w:rPr>
                <w:rFonts w:ascii="Verdana" w:hAnsi="Verdana" w:cs="Arial"/>
                <w:lang w:val="es-ES"/>
              </w:rPr>
              <w:t>selección de consultores de diseño, planos, anteproyectos y proyectos arquitectónicos</w:t>
            </w:r>
            <w:r>
              <w:rPr>
                <w:rFonts w:ascii="Verdana" w:hAnsi="Verdana" w:cs="Arial"/>
                <w:lang w:val="es-ES"/>
              </w:rPr>
              <w:t>.</w:t>
            </w:r>
          </w:p>
          <w:p w14:paraId="21BF3A76" w14:textId="77777777" w:rsidR="0047433B" w:rsidRPr="006C555A" w:rsidRDefault="0047433B" w:rsidP="0067658D">
            <w:pPr>
              <w:spacing w:before="120" w:after="120" w:line="276" w:lineRule="auto"/>
              <w:ind w:firstLine="709"/>
              <w:jc w:val="both"/>
              <w:rPr>
                <w:rFonts w:ascii="Verdana" w:hAnsi="Verdana"/>
              </w:rPr>
            </w:pPr>
            <w:r w:rsidRPr="00F17EAF">
              <w:rPr>
                <w:rFonts w:ascii="Verdana" w:hAnsi="Verdana"/>
              </w:rPr>
              <w:t xml:space="preserve">Por el contrario, si del análisis del objeto contractual se concluye que este no </w:t>
            </w:r>
            <w:r>
              <w:rPr>
                <w:rFonts w:ascii="Verdana" w:hAnsi="Verdana"/>
              </w:rPr>
              <w:t xml:space="preserve">se subsume </w:t>
            </w:r>
            <w:r w:rsidRPr="00F17EAF">
              <w:rPr>
                <w:rFonts w:ascii="Verdana" w:hAnsi="Verdana"/>
              </w:rPr>
              <w:t>en las tipologías contractuales previstas en los numerales 2 y 3 del artículo 32 de la Ley 80</w:t>
            </w:r>
            <w:r>
              <w:rPr>
                <w:rFonts w:ascii="Verdana" w:hAnsi="Verdana"/>
              </w:rPr>
              <w:t xml:space="preserve"> de 1993</w:t>
            </w:r>
            <w:r w:rsidRPr="00F17EAF">
              <w:rPr>
                <w:rFonts w:ascii="Verdana" w:hAnsi="Verdana"/>
              </w:rPr>
              <w:t xml:space="preserve">, la entidad deberá acudir a las modalidades de selección </w:t>
            </w:r>
            <w:r>
              <w:rPr>
                <w:rFonts w:ascii="Verdana" w:hAnsi="Verdana"/>
              </w:rPr>
              <w:t>como</w:t>
            </w:r>
            <w:r w:rsidRPr="00F17EAF">
              <w:rPr>
                <w:rFonts w:ascii="Verdana" w:hAnsi="Verdana"/>
              </w:rPr>
              <w:t xml:space="preserve"> la licitación pública o la selección abreviada de menor cuantía, según el monto del contrato. Ello garantiza el respeto de los principios de transparencia, selección objetiva y libre concurrencia, evitando una indebida utilización de modalidades excepcionales</w:t>
            </w:r>
            <w:r>
              <w:rPr>
                <w:rFonts w:ascii="Verdana" w:hAnsi="Verdana"/>
              </w:rPr>
              <w:t xml:space="preserve">. </w:t>
            </w:r>
          </w:p>
          <w:p w14:paraId="40329144" w14:textId="77777777" w:rsidR="0047433B" w:rsidRPr="00AB35A6" w:rsidRDefault="0047433B" w:rsidP="0067658D">
            <w:pPr>
              <w:spacing w:after="120" w:line="276" w:lineRule="auto"/>
              <w:ind w:firstLine="709"/>
              <w:jc w:val="both"/>
              <w:rPr>
                <w:rFonts w:ascii="Verdana" w:eastAsia="Arial" w:hAnsi="Verdana" w:cs="Arial"/>
                <w:lang w:val="es-ES"/>
              </w:rPr>
            </w:pPr>
            <w:r w:rsidRPr="006C555A">
              <w:rPr>
                <w:rFonts w:ascii="Verdana" w:eastAsia="Calibri" w:hAnsi="Verdana"/>
                <w:color w:val="000000" w:themeColor="text1"/>
                <w:lang w:val="es-ES_tradnl"/>
              </w:rPr>
              <w:t xml:space="preserve">En todo caso, debe precisarse que, es la entidad estatal, después de analizar detalladamente el objeto, y previa justificación de su régimen jurídico, quien debe definir en que tipo contractual se encuadra la actividad a contratar, para lo cual resultan relevantes las consideraciones aquí esbozadas. En ese sentido, determinar </w:t>
            </w:r>
            <w:r>
              <w:rPr>
                <w:rFonts w:ascii="Verdana" w:eastAsia="Calibri" w:hAnsi="Verdana"/>
                <w:color w:val="000000" w:themeColor="text1"/>
                <w:lang w:val="es-ES_tradnl"/>
              </w:rPr>
              <w:t xml:space="preserve">la modalidad de contratación en el caso concreto objeto de consulta </w:t>
            </w:r>
            <w:r w:rsidRPr="006C555A">
              <w:rPr>
                <w:rFonts w:ascii="Verdana" w:eastAsia="Calibri" w:hAnsi="Verdana"/>
                <w:color w:val="000000" w:themeColor="text1"/>
                <w:lang w:val="es-ES_tradnl"/>
              </w:rPr>
              <w:t xml:space="preserve">es un asunto que compete a la correspondiente entidad, labor que además tampoco resulta posible en una valoración </w:t>
            </w:r>
            <w:r w:rsidRPr="006C555A">
              <w:rPr>
                <w:rFonts w:ascii="Verdana" w:eastAsia="Calibri" w:hAnsi="Verdana"/>
                <w:i/>
                <w:iCs/>
                <w:color w:val="000000" w:themeColor="text1"/>
                <w:lang w:val="es-ES_tradnl"/>
              </w:rPr>
              <w:t xml:space="preserve">ex ante </w:t>
            </w:r>
            <w:r w:rsidRPr="006C555A">
              <w:rPr>
                <w:rFonts w:ascii="Verdana" w:eastAsia="Calibri" w:hAnsi="Verdana"/>
                <w:color w:val="000000" w:themeColor="text1"/>
                <w:lang w:val="es-ES_tradnl"/>
              </w:rPr>
              <w:t>realizada en el marco del ejercicio de la función consultiva, sin conocer las particularidades técnicas del objeto contractual. Esto sin perjuicio del análisis jurídico aquí realizado en torno a las categorías contractuales que pudieran ser relevantes para dicho propósito.</w:t>
            </w:r>
          </w:p>
        </w:tc>
      </w:tr>
    </w:tbl>
    <w:p w14:paraId="492A87C3" w14:textId="77777777" w:rsidR="0047433B" w:rsidRPr="002167F7" w:rsidRDefault="0047433B" w:rsidP="0047433B">
      <w:pPr>
        <w:tabs>
          <w:tab w:val="left" w:pos="142"/>
          <w:tab w:val="left" w:pos="284"/>
        </w:tabs>
        <w:spacing w:after="0" w:line="276" w:lineRule="auto"/>
        <w:jc w:val="both"/>
        <w:rPr>
          <w:rFonts w:ascii="Verdana" w:eastAsia="Century Gothic" w:hAnsi="Verdana" w:cs="Century Gothic"/>
          <w:b/>
          <w:bCs/>
          <w:lang w:val="es-ES"/>
        </w:rPr>
      </w:pPr>
    </w:p>
    <w:p w14:paraId="7FA72FA8" w14:textId="77777777" w:rsidR="0047433B" w:rsidRPr="002167F7" w:rsidRDefault="0047433B" w:rsidP="0047433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167F7">
        <w:rPr>
          <w:rFonts w:ascii="Verdana" w:eastAsia="Century Gothic" w:hAnsi="Verdana" w:cs="Century Gothic"/>
          <w:b/>
          <w:bCs/>
        </w:rPr>
        <w:t>Razones de la respuesta:</w:t>
      </w:r>
    </w:p>
    <w:p w14:paraId="4BDC4ED8" w14:textId="77777777" w:rsidR="0047433B" w:rsidRPr="002167F7" w:rsidRDefault="0047433B" w:rsidP="0047433B">
      <w:pPr>
        <w:spacing w:after="0" w:line="276" w:lineRule="auto"/>
        <w:jc w:val="both"/>
        <w:rPr>
          <w:rFonts w:ascii="Verdana" w:eastAsia="Calibri" w:hAnsi="Verdana" w:cs="Arial"/>
          <w:color w:val="7030A0"/>
          <w:lang w:val="es-ES"/>
        </w:rPr>
      </w:pPr>
    </w:p>
    <w:p w14:paraId="5DC99666" w14:textId="77777777" w:rsidR="0047433B" w:rsidRPr="002167F7" w:rsidRDefault="0047433B" w:rsidP="0047433B">
      <w:pPr>
        <w:spacing w:after="0" w:line="276" w:lineRule="auto"/>
        <w:jc w:val="both"/>
        <w:rPr>
          <w:rFonts w:ascii="Verdana" w:eastAsia="Calibri" w:hAnsi="Verdana" w:cs="Arial"/>
          <w:lang w:val="es-ES"/>
        </w:rPr>
      </w:pPr>
      <w:r w:rsidRPr="002167F7">
        <w:rPr>
          <w:rFonts w:ascii="Verdana" w:eastAsia="Calibri" w:hAnsi="Verdana" w:cs="Arial"/>
          <w:lang w:val="es-ES"/>
        </w:rPr>
        <w:t xml:space="preserve">Lo anterior se sustenta en las siguientes consideraciones: </w:t>
      </w:r>
    </w:p>
    <w:p w14:paraId="199BB068" w14:textId="77777777" w:rsidR="0047433B" w:rsidRPr="002167F7" w:rsidRDefault="0047433B" w:rsidP="0047433B">
      <w:pPr>
        <w:spacing w:after="0" w:line="276" w:lineRule="auto"/>
        <w:jc w:val="both"/>
        <w:rPr>
          <w:rFonts w:ascii="Verdana" w:eastAsia="Calibri" w:hAnsi="Verdana" w:cs="Arial"/>
          <w:lang w:val="es-ES"/>
        </w:rPr>
      </w:pPr>
    </w:p>
    <w:p w14:paraId="04CB4819" w14:textId="77777777" w:rsidR="0047433B" w:rsidRPr="002167F7" w:rsidRDefault="0047433B" w:rsidP="0047433B">
      <w:pPr>
        <w:spacing w:after="120" w:line="276" w:lineRule="auto"/>
        <w:ind w:right="176"/>
        <w:jc w:val="both"/>
        <w:rPr>
          <w:rFonts w:ascii="Verdana" w:eastAsia="Calibri" w:hAnsi="Verdana" w:cs="Arial"/>
          <w:lang w:val="es-ES"/>
        </w:rPr>
      </w:pPr>
      <w:r w:rsidRPr="002167F7">
        <w:rPr>
          <w:rFonts w:ascii="Verdana" w:eastAsia="Calibri" w:hAnsi="Verdana" w:cs="Arial"/>
          <w:lang w:val="es-ES"/>
        </w:rPr>
        <w:t>i</w:t>
      </w:r>
      <w:r>
        <w:rPr>
          <w:rFonts w:ascii="Verdana" w:eastAsia="Calibri" w:hAnsi="Verdana" w:cs="Arial"/>
          <w:lang w:val="es-ES"/>
        </w:rPr>
        <w:t>.</w:t>
      </w:r>
      <w:r w:rsidRPr="002167F7">
        <w:rPr>
          <w:rFonts w:ascii="Verdana" w:eastAsia="Calibri" w:hAnsi="Verdana" w:cs="Arial"/>
          <w:lang w:val="es-ES"/>
        </w:rPr>
        <w:t xml:space="preserve"> La contratación pública comprende, entre otros aspectos, la toma de decisiones del gasto que las entidades realizan para la ejecución de los recursos públicos asignados mediante la adquisición de bienes, obras o servicios que satisfacen sus necesidades. Para las adquisiciones, las entidades estructuran procedimientos de contratación mediante las modalidades de selección </w:t>
      </w:r>
      <w:r w:rsidRPr="002167F7">
        <w:rPr>
          <w:rFonts w:ascii="Verdana" w:eastAsia="Calibri" w:hAnsi="Verdana" w:cs="Arial"/>
          <w:lang w:val="es-ES"/>
        </w:rPr>
        <w:lastRenderedPageBreak/>
        <w:t xml:space="preserve">previamente definidas en el Estatuto General de Contratación de la Administración Pública </w:t>
      </w:r>
      <w:r w:rsidRPr="002167F7">
        <w:rPr>
          <w:rFonts w:ascii="Verdana" w:eastAsiaTheme="minorEastAsia" w:hAnsi="Verdana" w:cs="Arial"/>
          <w:lang w:val="es-ES" w:eastAsia="es-CO"/>
        </w:rPr>
        <w:t>–en adelante EGCAP–</w:t>
      </w:r>
      <w:r w:rsidRPr="002167F7">
        <w:rPr>
          <w:rFonts w:ascii="Verdana" w:eastAsia="Calibri" w:hAnsi="Verdana" w:cs="Arial"/>
          <w:lang w:val="es-ES"/>
        </w:rPr>
        <w:t>. En esta medida, conforme el artículo 29 de la Constitución Política, los procesos de selección son una manifestación de la legalidad de las formas de cada proceso en sede administrativa</w:t>
      </w:r>
      <w:r w:rsidRPr="002167F7">
        <w:rPr>
          <w:rFonts w:ascii="Verdana" w:eastAsia="Calibri" w:hAnsi="Verdana" w:cs="Arial"/>
          <w:vertAlign w:val="superscript"/>
          <w:lang w:val="es-ES"/>
        </w:rPr>
        <w:footnoteReference w:id="2"/>
      </w:r>
      <w:r w:rsidRPr="002167F7">
        <w:rPr>
          <w:rFonts w:ascii="Verdana" w:eastAsia="Calibri" w:hAnsi="Verdana" w:cs="Arial"/>
          <w:lang w:val="es-ES"/>
        </w:rPr>
        <w:t>.</w:t>
      </w:r>
    </w:p>
    <w:p w14:paraId="0599910C" w14:textId="77777777" w:rsidR="0047433B" w:rsidRPr="002167F7" w:rsidRDefault="0047433B" w:rsidP="0047433B">
      <w:pPr>
        <w:spacing w:before="120" w:after="120" w:line="276" w:lineRule="auto"/>
        <w:ind w:right="176" w:firstLine="708"/>
        <w:jc w:val="both"/>
        <w:rPr>
          <w:rFonts w:ascii="Verdana" w:eastAsiaTheme="minorEastAsia" w:hAnsi="Verdana" w:cs="Arial"/>
          <w:lang w:val="es-ES" w:eastAsia="es-CO"/>
        </w:rPr>
      </w:pPr>
      <w:r w:rsidRPr="002167F7">
        <w:rPr>
          <w:rFonts w:ascii="Verdana" w:eastAsiaTheme="minorEastAsia" w:hAnsi="Verdana" w:cs="Arial"/>
          <w:spacing w:val="-1"/>
          <w:lang w:val="es-ES" w:eastAsia="es-CO"/>
        </w:rPr>
        <w:t>Inicialmente,</w:t>
      </w:r>
      <w:r w:rsidRPr="002167F7">
        <w:rPr>
          <w:rFonts w:ascii="Verdana" w:eastAsiaTheme="minorEastAsia" w:hAnsi="Verdana" w:cs="Arial"/>
          <w:spacing w:val="-14"/>
          <w:lang w:val="es-ES" w:eastAsia="es-CO"/>
        </w:rPr>
        <w:t xml:space="preserve"> </w:t>
      </w:r>
      <w:r w:rsidRPr="002167F7">
        <w:rPr>
          <w:rFonts w:ascii="Verdana" w:eastAsiaTheme="minorEastAsia" w:hAnsi="Verdana" w:cs="Arial"/>
          <w:lang w:val="es-ES" w:eastAsia="es-CO"/>
        </w:rPr>
        <w:t>la</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Ley</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80</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de</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1993</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estableció</w:t>
      </w:r>
      <w:r w:rsidRPr="002167F7">
        <w:rPr>
          <w:rFonts w:ascii="Verdana" w:eastAsiaTheme="minorEastAsia" w:hAnsi="Verdana" w:cs="Arial"/>
          <w:spacing w:val="-14"/>
          <w:lang w:val="es-ES" w:eastAsia="es-CO"/>
        </w:rPr>
        <w:t xml:space="preserve"> </w:t>
      </w:r>
      <w:r w:rsidRPr="002167F7">
        <w:rPr>
          <w:rFonts w:ascii="Verdana" w:eastAsiaTheme="minorEastAsia" w:hAnsi="Verdana" w:cs="Arial"/>
          <w:lang w:val="es-ES" w:eastAsia="es-CO"/>
        </w:rPr>
        <w:t>tres</w:t>
      </w:r>
      <w:r w:rsidRPr="002167F7">
        <w:rPr>
          <w:rFonts w:ascii="Verdana" w:eastAsiaTheme="minorEastAsia" w:hAnsi="Verdana" w:cs="Arial"/>
          <w:spacing w:val="-14"/>
          <w:lang w:val="es-ES" w:eastAsia="es-CO"/>
        </w:rPr>
        <w:t xml:space="preserve"> </w:t>
      </w:r>
      <w:r w:rsidRPr="002167F7">
        <w:rPr>
          <w:rFonts w:ascii="Verdana" w:eastAsiaTheme="minorEastAsia" w:hAnsi="Verdana" w:cs="Arial"/>
          <w:lang w:val="es-ES" w:eastAsia="es-CO"/>
        </w:rPr>
        <w:t>(3)</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procedimientos</w:t>
      </w:r>
      <w:r w:rsidRPr="002167F7">
        <w:rPr>
          <w:rFonts w:ascii="Verdana" w:eastAsiaTheme="minorEastAsia" w:hAnsi="Verdana" w:cs="Arial"/>
          <w:spacing w:val="-14"/>
          <w:lang w:val="es-ES" w:eastAsia="es-CO"/>
        </w:rPr>
        <w:t xml:space="preserve"> </w:t>
      </w:r>
      <w:r w:rsidRPr="002167F7">
        <w:rPr>
          <w:rFonts w:ascii="Verdana" w:eastAsiaTheme="minorEastAsia" w:hAnsi="Verdana" w:cs="Arial"/>
          <w:lang w:val="es-ES" w:eastAsia="es-CO"/>
        </w:rPr>
        <w:t>de</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selección:</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i)</w:t>
      </w:r>
      <w:r w:rsidRPr="002167F7">
        <w:rPr>
          <w:rFonts w:ascii="Verdana" w:eastAsiaTheme="minorEastAsia" w:hAnsi="Verdana" w:cs="Arial"/>
          <w:spacing w:val="-16"/>
          <w:lang w:val="es-ES" w:eastAsia="es-CO"/>
        </w:rPr>
        <w:t xml:space="preserve"> </w:t>
      </w:r>
      <w:r w:rsidRPr="002167F7">
        <w:rPr>
          <w:rFonts w:ascii="Verdana" w:eastAsiaTheme="minorEastAsia" w:hAnsi="Verdana" w:cs="Arial"/>
          <w:lang w:val="es-ES" w:eastAsia="es-CO"/>
        </w:rPr>
        <w:t xml:space="preserve">licitación o concurso público, </w:t>
      </w:r>
      <w:proofErr w:type="spellStart"/>
      <w:r w:rsidRPr="002167F7">
        <w:rPr>
          <w:rFonts w:ascii="Verdana" w:eastAsiaTheme="minorEastAsia" w:hAnsi="Verdana" w:cs="Arial"/>
          <w:lang w:val="es-ES" w:eastAsia="es-CO"/>
        </w:rPr>
        <w:t>ii</w:t>
      </w:r>
      <w:proofErr w:type="spellEnd"/>
      <w:r w:rsidRPr="002167F7">
        <w:rPr>
          <w:rFonts w:ascii="Verdana" w:eastAsiaTheme="minorEastAsia" w:hAnsi="Verdana" w:cs="Arial"/>
          <w:lang w:val="es-ES" w:eastAsia="es-CO"/>
        </w:rPr>
        <w:t xml:space="preserve">) contratación sin formalidades plenas y </w:t>
      </w:r>
      <w:proofErr w:type="spellStart"/>
      <w:r w:rsidRPr="002167F7">
        <w:rPr>
          <w:rFonts w:ascii="Verdana" w:eastAsiaTheme="minorEastAsia" w:hAnsi="Verdana" w:cs="Arial"/>
          <w:lang w:val="es-ES" w:eastAsia="es-CO"/>
        </w:rPr>
        <w:t>iii</w:t>
      </w:r>
      <w:proofErr w:type="spellEnd"/>
      <w:r w:rsidRPr="002167F7">
        <w:rPr>
          <w:rFonts w:ascii="Verdana" w:eastAsiaTheme="minorEastAsia" w:hAnsi="Verdana" w:cs="Arial"/>
          <w:lang w:val="es-ES" w:eastAsia="es-CO"/>
        </w:rPr>
        <w:t>) contratación directa. Dentro de</w:t>
      </w:r>
      <w:r w:rsidRPr="002167F7">
        <w:rPr>
          <w:rFonts w:ascii="Verdana" w:eastAsiaTheme="minorEastAsia" w:hAnsi="Verdana" w:cs="Arial"/>
          <w:spacing w:val="1"/>
          <w:lang w:val="es-ES" w:eastAsia="es-CO"/>
        </w:rPr>
        <w:t xml:space="preserve"> </w:t>
      </w:r>
      <w:r w:rsidRPr="002167F7">
        <w:rPr>
          <w:rFonts w:ascii="Verdana" w:eastAsiaTheme="minorEastAsia" w:hAnsi="Verdana" w:cs="Arial"/>
          <w:lang w:val="es-ES" w:eastAsia="es-CO"/>
        </w:rPr>
        <w:t>este</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esquema,</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el</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primero</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era</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la</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regla</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general,</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pues</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sólo</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era</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posible</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acudir</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a</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los</w:t>
      </w:r>
      <w:r w:rsidRPr="002167F7">
        <w:rPr>
          <w:rFonts w:ascii="Verdana" w:eastAsiaTheme="minorEastAsia" w:hAnsi="Verdana" w:cs="Arial"/>
          <w:spacing w:val="-59"/>
          <w:lang w:val="es-ES" w:eastAsia="es-CO"/>
        </w:rPr>
        <w:t xml:space="preserve"> </w:t>
      </w:r>
      <w:r w:rsidRPr="002167F7">
        <w:rPr>
          <w:rFonts w:ascii="Verdana" w:eastAsiaTheme="minorEastAsia" w:hAnsi="Verdana" w:cs="Arial"/>
          <w:lang w:val="es-ES" w:eastAsia="es-CO"/>
        </w:rPr>
        <w:t>demás ante la configuración de causales previamente establecidas por el ordenamiento. En efecto, la</w:t>
      </w:r>
      <w:r w:rsidRPr="002167F7">
        <w:rPr>
          <w:rFonts w:ascii="Verdana" w:eastAsiaTheme="minorEastAsia" w:hAnsi="Verdana" w:cs="Arial"/>
          <w:spacing w:val="-4"/>
          <w:lang w:val="es-ES" w:eastAsia="es-CO"/>
        </w:rPr>
        <w:t xml:space="preserve"> </w:t>
      </w:r>
      <w:r w:rsidRPr="002167F7">
        <w:rPr>
          <w:rFonts w:ascii="Verdana" w:eastAsiaTheme="minorEastAsia" w:hAnsi="Verdana" w:cs="Arial"/>
          <w:lang w:val="es-ES" w:eastAsia="es-CO"/>
        </w:rPr>
        <w:t>Administración</w:t>
      </w:r>
      <w:r w:rsidRPr="002167F7">
        <w:rPr>
          <w:rFonts w:ascii="Verdana" w:eastAsiaTheme="minorEastAsia" w:hAnsi="Verdana" w:cs="Arial"/>
          <w:spacing w:val="-4"/>
          <w:lang w:val="es-ES" w:eastAsia="es-CO"/>
        </w:rPr>
        <w:t xml:space="preserve"> </w:t>
      </w:r>
      <w:r w:rsidRPr="002167F7">
        <w:rPr>
          <w:rFonts w:ascii="Verdana" w:eastAsiaTheme="minorEastAsia" w:hAnsi="Verdana" w:cs="Arial"/>
          <w:lang w:val="es-ES" w:eastAsia="es-CO"/>
        </w:rPr>
        <w:t>carecía</w:t>
      </w:r>
      <w:r w:rsidRPr="002167F7">
        <w:rPr>
          <w:rFonts w:ascii="Verdana" w:eastAsiaTheme="minorEastAsia" w:hAnsi="Verdana" w:cs="Arial"/>
          <w:spacing w:val="-4"/>
          <w:lang w:val="es-ES" w:eastAsia="es-CO"/>
        </w:rPr>
        <w:t xml:space="preserve"> </w:t>
      </w:r>
      <w:r w:rsidRPr="002167F7">
        <w:rPr>
          <w:rFonts w:ascii="Verdana" w:eastAsiaTheme="minorEastAsia" w:hAnsi="Verdana" w:cs="Arial"/>
          <w:lang w:val="es-ES" w:eastAsia="es-CO"/>
        </w:rPr>
        <w:t>de</w:t>
      </w:r>
      <w:r w:rsidRPr="002167F7">
        <w:rPr>
          <w:rFonts w:ascii="Verdana" w:eastAsiaTheme="minorEastAsia" w:hAnsi="Verdana" w:cs="Arial"/>
          <w:spacing w:val="-4"/>
          <w:lang w:val="es-ES" w:eastAsia="es-CO"/>
        </w:rPr>
        <w:t xml:space="preserve"> </w:t>
      </w:r>
      <w:r w:rsidRPr="002167F7">
        <w:rPr>
          <w:rFonts w:ascii="Verdana" w:eastAsiaTheme="minorEastAsia" w:hAnsi="Verdana" w:cs="Arial"/>
          <w:lang w:val="es-ES" w:eastAsia="es-CO"/>
        </w:rPr>
        <w:t>discrecionalidad</w:t>
      </w:r>
      <w:r w:rsidRPr="002167F7">
        <w:rPr>
          <w:rFonts w:ascii="Verdana" w:eastAsiaTheme="minorEastAsia" w:hAnsi="Verdana" w:cs="Arial"/>
          <w:spacing w:val="-4"/>
          <w:lang w:val="es-ES" w:eastAsia="es-CO"/>
        </w:rPr>
        <w:t xml:space="preserve"> </w:t>
      </w:r>
      <w:r w:rsidRPr="002167F7">
        <w:rPr>
          <w:rFonts w:ascii="Verdana" w:eastAsiaTheme="minorEastAsia" w:hAnsi="Verdana" w:cs="Arial"/>
          <w:lang w:val="es-ES" w:eastAsia="es-CO"/>
        </w:rPr>
        <w:t>para</w:t>
      </w:r>
      <w:r w:rsidRPr="002167F7">
        <w:rPr>
          <w:rFonts w:ascii="Verdana" w:eastAsiaTheme="minorEastAsia" w:hAnsi="Verdana" w:cs="Arial"/>
          <w:spacing w:val="-3"/>
          <w:lang w:val="es-ES" w:eastAsia="es-CO"/>
        </w:rPr>
        <w:t xml:space="preserve"> </w:t>
      </w:r>
      <w:r w:rsidRPr="002167F7">
        <w:rPr>
          <w:rFonts w:ascii="Verdana" w:eastAsiaTheme="minorEastAsia" w:hAnsi="Verdana" w:cs="Arial"/>
          <w:lang w:val="es-ES" w:eastAsia="es-CO"/>
        </w:rPr>
        <w:t>establecer</w:t>
      </w:r>
      <w:r w:rsidRPr="002167F7">
        <w:rPr>
          <w:rFonts w:ascii="Verdana" w:eastAsiaTheme="minorEastAsia" w:hAnsi="Verdana" w:cs="Arial"/>
          <w:spacing w:val="-4"/>
          <w:lang w:val="es-ES" w:eastAsia="es-CO"/>
        </w:rPr>
        <w:t xml:space="preserve"> estos </w:t>
      </w:r>
      <w:r w:rsidRPr="002167F7">
        <w:rPr>
          <w:rFonts w:ascii="Verdana" w:eastAsiaTheme="minorEastAsia" w:hAnsi="Verdana" w:cs="Arial"/>
          <w:lang w:val="es-ES" w:eastAsia="es-CO"/>
        </w:rPr>
        <w:t>procedimientos</w:t>
      </w:r>
      <w:r w:rsidRPr="002167F7">
        <w:rPr>
          <w:rFonts w:ascii="Verdana" w:eastAsiaTheme="minorEastAsia" w:hAnsi="Verdana" w:cs="Arial"/>
          <w:vertAlign w:val="superscript"/>
          <w:lang w:val="es-ES" w:eastAsia="es-CO"/>
        </w:rPr>
        <w:footnoteReference w:id="3"/>
      </w:r>
      <w:r w:rsidRPr="002167F7">
        <w:rPr>
          <w:rFonts w:ascii="Verdana" w:eastAsiaTheme="minorEastAsia" w:hAnsi="Verdana" w:cs="Arial"/>
          <w:lang w:val="es-ES" w:eastAsia="es-CO"/>
        </w:rPr>
        <w:t>.</w:t>
      </w:r>
    </w:p>
    <w:p w14:paraId="6F5E220B" w14:textId="77777777" w:rsidR="0047433B" w:rsidRPr="002167F7" w:rsidRDefault="0047433B" w:rsidP="0047433B">
      <w:pPr>
        <w:spacing w:before="120" w:after="120" w:line="276" w:lineRule="auto"/>
        <w:ind w:right="177" w:firstLine="708"/>
        <w:jc w:val="both"/>
        <w:rPr>
          <w:rFonts w:ascii="Verdana" w:eastAsiaTheme="minorEastAsia" w:hAnsi="Verdana" w:cs="Arial"/>
          <w:lang w:val="es-ES" w:eastAsia="es-CO"/>
        </w:rPr>
      </w:pPr>
      <w:r w:rsidRPr="002167F7">
        <w:rPr>
          <w:rFonts w:ascii="Verdana" w:eastAsiaTheme="minorEastAsia" w:hAnsi="Verdana" w:cs="Arial"/>
          <w:lang w:val="es-ES" w:eastAsia="es-CO"/>
        </w:rPr>
        <w:t>Después del 2007, el ordenamiento reguló nuevos procesos de selección. Con el artículo 2 de la Ley 1150 la licitación pública se convirtió en un</w:t>
      </w:r>
      <w:r>
        <w:rPr>
          <w:rFonts w:ascii="Verdana" w:eastAsiaTheme="minorEastAsia" w:hAnsi="Verdana" w:cs="Arial"/>
          <w:lang w:val="es-ES" w:eastAsia="es-CO"/>
        </w:rPr>
        <w:t xml:space="preserve"> </w:t>
      </w:r>
      <w:r w:rsidRPr="002167F7">
        <w:rPr>
          <w:rFonts w:ascii="Verdana" w:eastAsiaTheme="minorEastAsia" w:hAnsi="Verdana" w:cs="Arial"/>
          <w:lang w:val="es-ES" w:eastAsia="es-CO"/>
        </w:rPr>
        <w:t>procedimiento</w:t>
      </w:r>
      <w:r w:rsidRPr="002167F7">
        <w:rPr>
          <w:rFonts w:ascii="Verdana" w:eastAsiaTheme="minorEastAsia" w:hAnsi="Verdana" w:cs="Arial"/>
          <w:spacing w:val="1"/>
          <w:lang w:val="es-ES" w:eastAsia="es-CO"/>
        </w:rPr>
        <w:t xml:space="preserve"> </w:t>
      </w:r>
      <w:r w:rsidRPr="002167F7">
        <w:rPr>
          <w:rFonts w:ascii="Verdana" w:eastAsiaTheme="minorEastAsia" w:hAnsi="Verdana" w:cs="Arial"/>
          <w:lang w:val="es-ES" w:eastAsia="es-CO"/>
        </w:rPr>
        <w:t>independiente del concurso de méritos, y se creó el procedimiento de selección</w:t>
      </w:r>
      <w:r w:rsidRPr="002167F7">
        <w:rPr>
          <w:rFonts w:ascii="Verdana" w:eastAsiaTheme="minorEastAsia" w:hAnsi="Verdana" w:cs="Arial"/>
          <w:spacing w:val="1"/>
          <w:lang w:val="es-ES" w:eastAsia="es-CO"/>
        </w:rPr>
        <w:t xml:space="preserve"> </w:t>
      </w:r>
      <w:r w:rsidRPr="002167F7">
        <w:rPr>
          <w:rFonts w:ascii="Verdana" w:eastAsiaTheme="minorEastAsia" w:hAnsi="Verdana" w:cs="Arial"/>
          <w:lang w:val="es-ES" w:eastAsia="es-CO"/>
        </w:rPr>
        <w:t>abreviada. Finalmente, con la reforma introducida por la Ley 1474</w:t>
      </w:r>
      <w:r w:rsidRPr="002167F7">
        <w:rPr>
          <w:rFonts w:ascii="Verdana" w:eastAsiaTheme="minorEastAsia" w:hAnsi="Verdana" w:cs="Arial"/>
          <w:spacing w:val="1"/>
          <w:lang w:val="es-ES" w:eastAsia="es-CO"/>
        </w:rPr>
        <w:t xml:space="preserve"> </w:t>
      </w:r>
      <w:r w:rsidRPr="002167F7">
        <w:rPr>
          <w:rFonts w:ascii="Verdana" w:eastAsiaTheme="minorEastAsia" w:hAnsi="Verdana" w:cs="Arial"/>
          <w:lang w:val="es-ES" w:eastAsia="es-CO"/>
        </w:rPr>
        <w:t>de 2011, las modalidades de selección a las que actualmente pueden recurrir las Entidades Estatales para adelantar sus procesos de contratación estatal son: 1) la licitación pública, 2)</w:t>
      </w:r>
      <w:r w:rsidRPr="002167F7">
        <w:rPr>
          <w:rFonts w:ascii="Verdana" w:eastAsiaTheme="minorEastAsia" w:hAnsi="Verdana" w:cs="Arial"/>
          <w:spacing w:val="1"/>
          <w:lang w:val="es-ES" w:eastAsia="es-CO"/>
        </w:rPr>
        <w:t xml:space="preserve"> la </w:t>
      </w:r>
      <w:r w:rsidRPr="002167F7">
        <w:rPr>
          <w:rFonts w:ascii="Verdana" w:eastAsiaTheme="minorEastAsia" w:hAnsi="Verdana" w:cs="Arial"/>
          <w:lang w:val="es-ES" w:eastAsia="es-CO"/>
        </w:rPr>
        <w:t xml:space="preserve">selección abreviada, 3) el concurso de méritos, 4) la mínima cuantía y 5) la contratación directa. </w:t>
      </w:r>
    </w:p>
    <w:p w14:paraId="094CF20A" w14:textId="77777777" w:rsidR="0047433B" w:rsidRDefault="0047433B" w:rsidP="0047433B">
      <w:pPr>
        <w:spacing w:before="120" w:after="120" w:line="276" w:lineRule="auto"/>
        <w:ind w:right="177" w:firstLine="708"/>
        <w:jc w:val="both"/>
        <w:rPr>
          <w:rFonts w:ascii="Verdana" w:eastAsia="Calibri" w:hAnsi="Verdana" w:cs="Arial"/>
          <w:color w:val="000000" w:themeColor="text1"/>
          <w:lang w:val="es-ES"/>
        </w:rPr>
      </w:pPr>
      <w:r w:rsidRPr="002167F7">
        <w:rPr>
          <w:rFonts w:ascii="Verdana" w:eastAsiaTheme="minorEastAsia" w:hAnsi="Verdana" w:cs="Arial"/>
          <w:lang w:val="es-ES" w:eastAsia="es-CO"/>
        </w:rPr>
        <w:t>El Estatuto General de Contratación de la Administración Pública (compuesto principalmente por la Ley 80 de 1993, Ley 1150 de 2007 y el Decreto 1082 de 2015) señala las etapas y requisitos que deben cumplir las entidades para adelantar cada uno de estos procedimientos, incluyendo las circunstancias que los hacen procedentes</w:t>
      </w:r>
      <w:r w:rsidRPr="002167F7">
        <w:rPr>
          <w:rFonts w:ascii="Verdana" w:eastAsiaTheme="minorEastAsia" w:hAnsi="Verdana" w:cs="Arial"/>
          <w:spacing w:val="-6"/>
          <w:lang w:val="es-ES" w:eastAsia="es-CO"/>
        </w:rPr>
        <w:t xml:space="preserve"> </w:t>
      </w:r>
      <w:r w:rsidRPr="002167F7">
        <w:rPr>
          <w:rFonts w:ascii="Verdana" w:eastAsiaTheme="minorEastAsia" w:hAnsi="Verdana" w:cs="Arial"/>
          <w:lang w:val="es-ES" w:eastAsia="es-CO"/>
        </w:rPr>
        <w:t>para</w:t>
      </w:r>
      <w:r w:rsidRPr="002167F7">
        <w:rPr>
          <w:rFonts w:ascii="Verdana" w:eastAsiaTheme="minorEastAsia" w:hAnsi="Verdana" w:cs="Arial"/>
          <w:spacing w:val="-5"/>
          <w:lang w:val="es-ES" w:eastAsia="es-CO"/>
        </w:rPr>
        <w:t xml:space="preserve"> </w:t>
      </w:r>
      <w:r w:rsidRPr="002167F7">
        <w:rPr>
          <w:rFonts w:ascii="Verdana" w:eastAsiaTheme="minorEastAsia" w:hAnsi="Verdana" w:cs="Arial"/>
          <w:lang w:val="es-ES" w:eastAsia="es-CO"/>
        </w:rPr>
        <w:t>la</w:t>
      </w:r>
      <w:r w:rsidRPr="002167F7">
        <w:rPr>
          <w:rFonts w:ascii="Verdana" w:eastAsiaTheme="minorEastAsia" w:hAnsi="Verdana" w:cs="Arial"/>
          <w:spacing w:val="-6"/>
          <w:lang w:val="es-ES" w:eastAsia="es-CO"/>
        </w:rPr>
        <w:t xml:space="preserve"> </w:t>
      </w:r>
      <w:r w:rsidRPr="002167F7">
        <w:rPr>
          <w:rFonts w:ascii="Verdana" w:eastAsiaTheme="minorEastAsia" w:hAnsi="Verdana" w:cs="Arial"/>
          <w:lang w:val="es-ES" w:eastAsia="es-CO"/>
        </w:rPr>
        <w:t>adquisición</w:t>
      </w:r>
      <w:r w:rsidRPr="002167F7">
        <w:rPr>
          <w:rFonts w:ascii="Verdana" w:eastAsiaTheme="minorEastAsia" w:hAnsi="Verdana" w:cs="Arial"/>
          <w:spacing w:val="-5"/>
          <w:lang w:val="es-ES" w:eastAsia="es-CO"/>
        </w:rPr>
        <w:t xml:space="preserve"> </w:t>
      </w:r>
      <w:r w:rsidRPr="002167F7">
        <w:rPr>
          <w:rFonts w:ascii="Verdana" w:eastAsiaTheme="minorEastAsia" w:hAnsi="Verdana" w:cs="Arial"/>
          <w:lang w:val="es-ES" w:eastAsia="es-CO"/>
        </w:rPr>
        <w:t>de</w:t>
      </w:r>
      <w:r w:rsidRPr="002167F7">
        <w:rPr>
          <w:rFonts w:ascii="Verdana" w:eastAsiaTheme="minorEastAsia" w:hAnsi="Verdana" w:cs="Arial"/>
          <w:spacing w:val="-6"/>
          <w:lang w:val="es-ES" w:eastAsia="es-CO"/>
        </w:rPr>
        <w:t xml:space="preserve"> </w:t>
      </w:r>
      <w:r w:rsidRPr="002167F7">
        <w:rPr>
          <w:rFonts w:ascii="Verdana" w:eastAsiaTheme="minorEastAsia" w:hAnsi="Verdana" w:cs="Arial"/>
          <w:lang w:val="es-ES" w:eastAsia="es-CO"/>
        </w:rPr>
        <w:t>obras,</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bienes</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y</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servicios. Con base en este marco jurídico,</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cada</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entidad</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es</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responsable</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de</w:t>
      </w:r>
      <w:r w:rsidRPr="005C6655">
        <w:rPr>
          <w:rFonts w:ascii="Verdana" w:eastAsiaTheme="minorEastAsia" w:hAnsi="Verdana" w:cs="Arial"/>
          <w:lang w:val="es-ES" w:eastAsia="es-CO"/>
        </w:rPr>
        <w:t xml:space="preserve"> </w:t>
      </w:r>
      <w:r w:rsidRPr="005C6655">
        <w:rPr>
          <w:rFonts w:ascii="Verdana" w:eastAsiaTheme="minorEastAsia" w:hAnsi="Verdana" w:cs="Arial"/>
          <w:lang w:val="es-ES" w:eastAsia="es-CO"/>
        </w:rPr>
        <w:lastRenderedPageBreak/>
        <w:t xml:space="preserve">determinar la modalidad de selección adecuada para satisfacer su necesidad y </w:t>
      </w:r>
      <w:r w:rsidRPr="002167F7">
        <w:rPr>
          <w:rFonts w:ascii="Verdana" w:eastAsiaTheme="minorEastAsia" w:hAnsi="Verdana" w:cs="Arial"/>
          <w:lang w:val="es-ES" w:eastAsia="es-CO"/>
        </w:rPr>
        <w:t>estructurar</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sus</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procedimientos contractuales en cumplimiento de los principios de la función administrativa, los presupuestales y los de contratación pública.</w:t>
      </w:r>
      <w:r>
        <w:rPr>
          <w:rFonts w:ascii="Verdana" w:eastAsiaTheme="minorEastAsia" w:hAnsi="Verdana" w:cs="Arial"/>
          <w:lang w:val="es-ES" w:eastAsia="es-CO"/>
        </w:rPr>
        <w:t xml:space="preserve"> </w:t>
      </w:r>
      <w:r w:rsidRPr="002167F7">
        <w:rPr>
          <w:rFonts w:ascii="Verdana" w:hAnsi="Verdana"/>
          <w:lang w:val="es-ES"/>
        </w:rPr>
        <w:t>En efecto, los Procesos de Contratación que deben adelantar las Entidades Estatales para</w:t>
      </w:r>
      <w:r w:rsidRPr="002167F7">
        <w:rPr>
          <w:rFonts w:ascii="Verdana" w:eastAsia="Calibri" w:hAnsi="Verdana" w:cs="Arial"/>
          <w:color w:val="000000" w:themeColor="text1"/>
          <w:lang w:val="es-ES"/>
        </w:rPr>
        <w:t xml:space="preserve"> adquirir los bienes, obras o servicios que se requieren, se rigen por procedimientos reglados establecidos por la ley y el reglamento. </w:t>
      </w:r>
    </w:p>
    <w:p w14:paraId="67EE2ECA" w14:textId="77777777" w:rsidR="0047433B" w:rsidRPr="005C6655" w:rsidRDefault="0047433B" w:rsidP="0047433B">
      <w:pPr>
        <w:spacing w:before="120" w:after="120" w:line="276" w:lineRule="auto"/>
        <w:ind w:right="177" w:firstLine="708"/>
        <w:jc w:val="both"/>
        <w:rPr>
          <w:rFonts w:ascii="Verdana" w:eastAsiaTheme="minorEastAsia" w:hAnsi="Verdana" w:cs="Arial"/>
          <w:lang w:val="es-ES" w:eastAsia="es-CO"/>
        </w:rPr>
      </w:pPr>
      <w:r w:rsidRPr="002167F7">
        <w:rPr>
          <w:rFonts w:ascii="Verdana" w:eastAsia="Calibri" w:hAnsi="Verdana" w:cs="Arial"/>
          <w:color w:val="000000" w:themeColor="text1"/>
          <w:lang w:val="es-ES"/>
        </w:rPr>
        <w:t>Si bien el Estatuto prevé distintas modalidades de selección, competitivas y no competitivas, sujetas a procedimientos distintos, todas deben agotar una etapa precontractual en la que se realiza la planeación del contrato, lo cual se refleja en el análisis del sector económico y en los estudios previos. Durante la etapa de planeación, las entidades deben, entre otras cosas, determinar la modalidad de selección adecuada para adelantar el proceso de contratación.</w:t>
      </w:r>
      <w:bookmarkStart w:id="0" w:name="_Hlk54011258"/>
    </w:p>
    <w:p w14:paraId="3785EE53" w14:textId="77777777" w:rsidR="0047433B" w:rsidRPr="002167F7" w:rsidRDefault="0047433B" w:rsidP="0047433B">
      <w:pPr>
        <w:spacing w:before="120" w:after="120" w:line="276" w:lineRule="auto"/>
        <w:ind w:right="177" w:firstLine="708"/>
        <w:jc w:val="both"/>
        <w:rPr>
          <w:rFonts w:ascii="Verdana" w:eastAsia="Calibri" w:hAnsi="Verdana" w:cs="Arial"/>
          <w:bCs/>
          <w:lang w:val="es-ES" w:eastAsia="es-MX"/>
        </w:rPr>
      </w:pPr>
      <w:r w:rsidRPr="002167F7">
        <w:rPr>
          <w:rFonts w:ascii="Verdana" w:eastAsia="Calibri" w:hAnsi="Verdana" w:cs="Arial"/>
          <w:bCs/>
          <w:lang w:val="es-ES"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0"/>
      <w:r w:rsidRPr="002167F7">
        <w:rPr>
          <w:rFonts w:ascii="Verdana" w:eastAsia="Calibri" w:hAnsi="Verdana" w:cs="Arial"/>
          <w:bCs/>
          <w:lang w:val="es-ES" w:eastAsia="es-MX"/>
        </w:rPr>
        <w:t>.</w:t>
      </w:r>
    </w:p>
    <w:p w14:paraId="2814B20E" w14:textId="77777777" w:rsidR="0047433B" w:rsidRPr="002167F7" w:rsidRDefault="0047433B" w:rsidP="0047433B">
      <w:pPr>
        <w:spacing w:before="120" w:after="120" w:line="276" w:lineRule="auto"/>
        <w:ind w:right="177" w:firstLine="708"/>
        <w:jc w:val="both"/>
        <w:rPr>
          <w:rFonts w:ascii="Verdana" w:eastAsia="Calibri" w:hAnsi="Verdana" w:cs="Arial"/>
          <w:color w:val="000000" w:themeColor="text1"/>
          <w:lang w:val="es-ES"/>
        </w:rPr>
      </w:pPr>
      <w:r w:rsidRPr="002167F7">
        <w:rPr>
          <w:rFonts w:ascii="Verdana" w:eastAsia="Calibri" w:hAnsi="Verdana" w:cs="Arial"/>
          <w:bCs/>
          <w:lang w:val="es-ES" w:eastAsia="es-ES_tradnl"/>
        </w:rPr>
        <w:t xml:space="preserve">El Estatuto General de Contratación de la Administración Pública contiene disposiciones que exigen a las Entidades Estatales el deber de realizar una planeación adecuada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concordancia, </w:t>
      </w:r>
      <w:r w:rsidRPr="002167F7">
        <w:rPr>
          <w:rFonts w:ascii="Verdana" w:eastAsia="Times New Roman" w:hAnsi="Verdana" w:cs="Arial"/>
          <w:lang w:val="es-ES" w:eastAsia="es-MX"/>
        </w:rPr>
        <w:t>el artículo 2.2.1.1.2.1.1 del Decreto 1082 de 2015 señala el contenido mínimo de los estudios y documentos previos, entre el cual se incluye necesariamente la identificación de la modalidad de selección del contratista y su justificación, incluyendo los fundamentos jurídicos.</w:t>
      </w:r>
    </w:p>
    <w:p w14:paraId="3CFF9D00" w14:textId="77777777" w:rsidR="0047433B" w:rsidRPr="002167F7" w:rsidRDefault="0047433B" w:rsidP="0047433B">
      <w:pPr>
        <w:spacing w:before="120" w:after="120" w:line="276" w:lineRule="auto"/>
        <w:ind w:right="177" w:firstLine="708"/>
        <w:jc w:val="both"/>
        <w:rPr>
          <w:rFonts w:ascii="Verdana" w:eastAsia="Calibri" w:hAnsi="Verdana" w:cs="Arial"/>
          <w:color w:val="000000" w:themeColor="text1"/>
          <w:lang w:val="es-ES"/>
        </w:rPr>
      </w:pPr>
      <w:r w:rsidRPr="002167F7">
        <w:rPr>
          <w:rFonts w:ascii="Verdana" w:eastAsia="Times New Roman" w:hAnsi="Verdana" w:cs="Arial"/>
          <w:lang w:val="es-ES" w:eastAsia="es-MX"/>
        </w:rPr>
        <w:t xml:space="preserve">Al respecto, el artículo 2 de la Ley 1150 de 2007 establece las modalidades de selección aplicables a las entidades sometidas al EGCAP, indicando que la escogencia del contratista se efectuará por regla general bajo </w:t>
      </w:r>
      <w:r w:rsidRPr="002167F7">
        <w:rPr>
          <w:rFonts w:ascii="Verdana" w:eastAsia="Times New Roman" w:hAnsi="Verdana" w:cs="Arial"/>
          <w:lang w:val="es-ES" w:eastAsia="es-MX"/>
        </w:rPr>
        <w:lastRenderedPageBreak/>
        <w:t>la modalidad de licitación pública, con las excepciones que señalan los numerales 2, 3 y 4 de dicho artículo. En efecto, las Entidades Estatales deben adelantar su</w:t>
      </w:r>
      <w:r>
        <w:rPr>
          <w:rFonts w:ascii="Verdana" w:eastAsia="Times New Roman" w:hAnsi="Verdana" w:cs="Arial"/>
          <w:lang w:val="es-ES" w:eastAsia="es-MX"/>
        </w:rPr>
        <w:t>s</w:t>
      </w:r>
      <w:r w:rsidRPr="002167F7">
        <w:rPr>
          <w:rFonts w:ascii="Verdana" w:eastAsia="Times New Roman" w:hAnsi="Verdana" w:cs="Arial"/>
          <w:lang w:val="es-ES" w:eastAsia="es-MX"/>
        </w:rPr>
        <w:t xml:space="preserve"> procesos de contratación, por regla general, mediante la modalidad de licitación pública. De esta forma, salvo que se configure alguno de los supuestos que la norma establece para que sea procedente un procedimiento distinto, la entidad deberá adelantar su contratación mediante dicha modalidad de selección. </w:t>
      </w:r>
    </w:p>
    <w:p w14:paraId="3536E1A4" w14:textId="77777777" w:rsidR="0047433B" w:rsidRPr="002167F7" w:rsidRDefault="0047433B" w:rsidP="0047433B">
      <w:pPr>
        <w:tabs>
          <w:tab w:val="left" w:pos="851"/>
          <w:tab w:val="left" w:pos="1134"/>
        </w:tabs>
        <w:spacing w:after="120" w:line="276" w:lineRule="auto"/>
        <w:jc w:val="both"/>
        <w:rPr>
          <w:rFonts w:ascii="Verdana" w:hAnsi="Verdana" w:cs="Arial"/>
          <w:color w:val="000000" w:themeColor="text1"/>
          <w:lang w:val="es-ES"/>
        </w:rPr>
      </w:pPr>
      <w:r w:rsidRPr="002167F7">
        <w:rPr>
          <w:rFonts w:ascii="Verdana" w:hAnsi="Verdana" w:cs="Arial"/>
          <w:color w:val="000000" w:themeColor="text1"/>
          <w:lang w:val="es-ES"/>
        </w:rPr>
        <w:tab/>
        <w:t xml:space="preserve">En relación con la </w:t>
      </w:r>
      <w:r w:rsidRPr="002167F7">
        <w:rPr>
          <w:rFonts w:ascii="Verdana" w:hAnsi="Verdana" w:cs="Arial"/>
          <w:i/>
          <w:iCs/>
          <w:color w:val="000000" w:themeColor="text1"/>
          <w:lang w:val="es-ES"/>
        </w:rPr>
        <w:t>licitación pública</w:t>
      </w:r>
      <w:r w:rsidRPr="002167F7">
        <w:rPr>
          <w:rFonts w:ascii="Verdana" w:hAnsi="Verdana" w:cs="Arial"/>
          <w:color w:val="000000" w:themeColor="text1"/>
          <w:lang w:val="es-ES"/>
        </w:rPr>
        <w:t xml:space="preserve">, el artículo 30 de la Ley 80 de 1993 definió la estructura del proceso y estableció sus fases. Según la norma, se puede distinguir entre la fase de planificación o preparatoria y la licitación propiamente dicha. El inciso primero del artículo mencionado establece dos momentos en el procedimiento de licitación: por un lado, el relacionado con la planificación, ya que la entidad, antes de iniciar el proceso de selección, debe desarrollar los estudios previos que fundamenten técnica y jurídicamente la contratación, de acuerdo con el inciso 12 del artículo 25 de esa ley y el artículo 2.2.1.1.2.1.1 del Decreto 1082 de 2015; por otro lado, se encuentra la etapa de inicio del proceso de selección, que se inicia con el acto administrativo de apertura del proceso. Además, el inciso 2 del artículo 30 de la Ley 80 de 1993 impone la obligación de preparar un pliego de condiciones, conforme a lo estipulado en el inciso 5 del artículo 24 de la misma ley y en el artículo 2.2.1.1.2.1.3 del Decreto 1082 de 2015. </w:t>
      </w:r>
    </w:p>
    <w:p w14:paraId="157B25D9" w14:textId="77777777" w:rsidR="0047433B" w:rsidRPr="002167F7" w:rsidRDefault="0047433B" w:rsidP="0047433B">
      <w:pPr>
        <w:tabs>
          <w:tab w:val="left" w:pos="851"/>
          <w:tab w:val="left" w:pos="1134"/>
        </w:tabs>
        <w:spacing w:after="120" w:line="276" w:lineRule="auto"/>
        <w:ind w:firstLine="709"/>
        <w:jc w:val="both"/>
        <w:rPr>
          <w:rFonts w:ascii="Verdana" w:hAnsi="Verdana" w:cs="Arial"/>
          <w:color w:val="000000" w:themeColor="text1"/>
          <w:lang w:val="es-ES"/>
        </w:rPr>
      </w:pPr>
      <w:r w:rsidRPr="002167F7">
        <w:rPr>
          <w:rFonts w:ascii="Verdana" w:hAnsi="Verdana" w:cs="Arial"/>
          <w:color w:val="000000" w:themeColor="text1"/>
          <w:lang w:val="es-ES"/>
        </w:rPr>
        <w:t xml:space="preserve">Por su parte, el numeral 3 señala que dentro de los 10 o 20 días calendario antes de la apertura de la licitación, la entidad debe publicar hasta 3 avisos para invitar a participar en el proceso de licitación. Los avisos deberán publicarse con intervalos de 2 a 5 días calendario entre cada uno, en la página web de la entidad y en el SECOP; en los pequeños poblados, esta publicación debe realizarse por bando o en los principales lugares públicos, por un término de 7 días calendario, uno de los cuales será en el “día de mercado” de la respectiva población. Además, se debe publicar otro aviso que contendrá la información señalada en el artículo 2.2.1.1.2.1.2. del Decreto 1082 de 2015.  </w:t>
      </w:r>
    </w:p>
    <w:p w14:paraId="3067C46F" w14:textId="77777777" w:rsidR="0047433B" w:rsidRPr="002167F7" w:rsidRDefault="0047433B" w:rsidP="0047433B">
      <w:pPr>
        <w:tabs>
          <w:tab w:val="left" w:pos="851"/>
          <w:tab w:val="left" w:pos="1134"/>
        </w:tabs>
        <w:spacing w:after="120" w:line="276" w:lineRule="auto"/>
        <w:ind w:firstLine="709"/>
        <w:jc w:val="both"/>
        <w:rPr>
          <w:rFonts w:ascii="Verdana" w:hAnsi="Verdana" w:cs="Arial"/>
          <w:color w:val="000000" w:themeColor="text1"/>
          <w:lang w:val="es-ES"/>
        </w:rPr>
      </w:pPr>
      <w:r w:rsidRPr="002167F7">
        <w:rPr>
          <w:rFonts w:ascii="Verdana" w:hAnsi="Verdana" w:cs="Arial"/>
          <w:color w:val="000000" w:themeColor="text1"/>
          <w:lang w:val="es-ES"/>
        </w:rPr>
        <w:t xml:space="preserve">De igual manera, debe elaborarse el proyecto de pliego de condiciones con base en el contenido de los documentos y estudios previos que, con anterioridad, estructuró la entidad para justificar la necesidad de la contratación. Los requisitos del pliego se encuentran en el artículo 2.2.1.1.2.1.3. del Decreto 1082 de 2015. Este documento debe publicarse en el SECOP </w:t>
      </w:r>
      <w:proofErr w:type="gramStart"/>
      <w:r w:rsidRPr="002167F7">
        <w:rPr>
          <w:rFonts w:ascii="Verdana" w:hAnsi="Verdana" w:cs="Arial"/>
          <w:color w:val="000000" w:themeColor="text1"/>
          <w:lang w:val="es-ES"/>
        </w:rPr>
        <w:t>conjuntamente con</w:t>
      </w:r>
      <w:proofErr w:type="gramEnd"/>
      <w:r w:rsidRPr="002167F7">
        <w:rPr>
          <w:rFonts w:ascii="Verdana" w:hAnsi="Verdana" w:cs="Arial"/>
          <w:color w:val="000000" w:themeColor="text1"/>
          <w:lang w:val="es-ES"/>
        </w:rPr>
        <w:t xml:space="preserve"> los estudios y documentos previos, por no menos de 10 días hábiles anteriores </w:t>
      </w:r>
      <w:r w:rsidRPr="002167F7">
        <w:rPr>
          <w:rFonts w:ascii="Verdana" w:hAnsi="Verdana" w:cs="Arial"/>
          <w:color w:val="000000" w:themeColor="text1"/>
          <w:lang w:val="es-ES"/>
        </w:rPr>
        <w:lastRenderedPageBreak/>
        <w:t>a la apertura del proceso de licitación, –</w:t>
      </w:r>
      <w:bookmarkStart w:id="1" w:name="_Hlk177288477"/>
      <w:r w:rsidRPr="002167F7">
        <w:rPr>
          <w:rFonts w:ascii="Verdana" w:hAnsi="Verdana" w:cs="Arial"/>
          <w:color w:val="000000" w:themeColor="text1"/>
          <w:lang w:val="es-ES"/>
        </w:rPr>
        <w:t>artículos 8</w:t>
      </w:r>
      <w:bookmarkEnd w:id="1"/>
      <w:r w:rsidRPr="002167F7">
        <w:rPr>
          <w:rFonts w:ascii="Verdana" w:hAnsi="Verdana" w:cs="Arial"/>
          <w:color w:val="000000" w:themeColor="text1"/>
          <w:lang w:val="es-ES"/>
        </w:rPr>
        <w:t xml:space="preserve"> de la Ley 1150 de 2007 y 2.2.1.1.2.1.4. del Decreto 1082 de 2015–.  </w:t>
      </w:r>
    </w:p>
    <w:p w14:paraId="17E79E8F" w14:textId="77777777" w:rsidR="0047433B" w:rsidRPr="002167F7" w:rsidRDefault="0047433B" w:rsidP="0047433B">
      <w:pPr>
        <w:spacing w:after="120" w:line="276" w:lineRule="auto"/>
        <w:ind w:firstLine="709"/>
        <w:jc w:val="both"/>
        <w:rPr>
          <w:rFonts w:ascii="Verdana" w:hAnsi="Verdana" w:cs="Arial"/>
          <w:color w:val="000000"/>
          <w:shd w:val="clear" w:color="auto" w:fill="FFFFFF"/>
          <w:lang w:val="es-ES"/>
        </w:rPr>
      </w:pPr>
      <w:r w:rsidRPr="002167F7">
        <w:rPr>
          <w:rFonts w:ascii="Verdana" w:hAnsi="Verdana" w:cs="Arial"/>
          <w:color w:val="000000"/>
          <w:shd w:val="clear" w:color="auto" w:fill="FFFFFF"/>
          <w:lang w:val="es-ES"/>
        </w:rPr>
        <w:t>En esta modalidad de selección, las entidades deberán establecer requisitos habilitantes y de calificación para elegir la oferta más favorable, según lo dispuesto en el artículo 5 de la Ley 1150 de 2007. Par esto, tendrán en cuenta factores técnicos y económicos, y la oferta más ventajosa será la que resulte de aplicar alguna de las siguientes alternativas:</w:t>
      </w:r>
      <w:r>
        <w:rPr>
          <w:rFonts w:ascii="Verdana" w:hAnsi="Verdana" w:cs="Arial"/>
          <w:color w:val="000000"/>
          <w:shd w:val="clear" w:color="auto" w:fill="FFFFFF"/>
          <w:lang w:val="es-ES"/>
        </w:rPr>
        <w:t xml:space="preserve"> </w:t>
      </w:r>
      <w:r w:rsidRPr="002167F7">
        <w:rPr>
          <w:rFonts w:ascii="Verdana" w:hAnsi="Verdana" w:cs="Arial"/>
          <w:color w:val="000000"/>
          <w:shd w:val="clear" w:color="auto" w:fill="FFFFFF"/>
          <w:lang w:val="es-ES"/>
        </w:rPr>
        <w:t>a) La ponderación de los elementos de calidad y precio soportados en puntajes o fórmulas señaladas en el pliego de condiciones; o b) La ponderación de los elementos de calidad y precio que representen la mejor relación de costo-beneficio para la entidad.</w:t>
      </w:r>
    </w:p>
    <w:p w14:paraId="2BBA8B53" w14:textId="77777777" w:rsidR="0047433B" w:rsidRPr="002167F7" w:rsidRDefault="0047433B" w:rsidP="0047433B">
      <w:pPr>
        <w:spacing w:after="120" w:line="276" w:lineRule="auto"/>
        <w:ind w:firstLine="708"/>
        <w:jc w:val="both"/>
        <w:rPr>
          <w:rFonts w:ascii="Verdana" w:eastAsia="Times New Roman" w:hAnsi="Verdana" w:cs="Arial"/>
          <w:lang w:val="es-ES" w:eastAsia="es-MX"/>
        </w:rPr>
      </w:pPr>
      <w:r w:rsidRPr="002167F7">
        <w:rPr>
          <w:rFonts w:ascii="Verdana" w:eastAsia="Times New Roman" w:hAnsi="Verdana" w:cs="Arial"/>
          <w:lang w:val="es-ES" w:eastAsia="es-MX"/>
        </w:rPr>
        <w:t xml:space="preserve"> En segundo lugar, el </w:t>
      </w:r>
      <w:r>
        <w:rPr>
          <w:rFonts w:ascii="Verdana" w:eastAsia="Times New Roman" w:hAnsi="Verdana" w:cs="Arial"/>
          <w:lang w:val="es-ES" w:eastAsia="es-MX"/>
        </w:rPr>
        <w:t xml:space="preserve">numeral 2 del </w:t>
      </w:r>
      <w:r w:rsidRPr="002167F7">
        <w:rPr>
          <w:rFonts w:ascii="Verdana" w:eastAsia="Times New Roman" w:hAnsi="Verdana" w:cs="Arial"/>
          <w:lang w:val="es-ES" w:eastAsia="es-MX"/>
        </w:rPr>
        <w:t xml:space="preserve">artículo 2 de la Ley 1150 de 2007 se refiere a la modalidad de </w:t>
      </w:r>
      <w:r w:rsidRPr="002167F7">
        <w:rPr>
          <w:rFonts w:ascii="Verdana" w:eastAsia="Times New Roman" w:hAnsi="Verdana" w:cs="Arial"/>
          <w:i/>
          <w:iCs/>
          <w:lang w:val="es-ES" w:eastAsia="es-MX"/>
        </w:rPr>
        <w:t>selección abreviada</w:t>
      </w:r>
      <w:r>
        <w:rPr>
          <w:rFonts w:ascii="Verdana" w:eastAsia="Times New Roman" w:hAnsi="Verdana" w:cs="Arial"/>
          <w:i/>
          <w:iCs/>
          <w:lang w:val="es-ES" w:eastAsia="es-MX"/>
        </w:rPr>
        <w:t xml:space="preserve">, </w:t>
      </w:r>
      <w:r w:rsidRPr="00283126">
        <w:rPr>
          <w:rFonts w:ascii="Verdana" w:eastAsia="Times New Roman" w:hAnsi="Verdana" w:cs="Arial"/>
          <w:lang w:val="es-ES" w:eastAsia="es-MX"/>
        </w:rPr>
        <w:t xml:space="preserve">a la que </w:t>
      </w:r>
      <w:r>
        <w:rPr>
          <w:rFonts w:ascii="Verdana" w:eastAsia="Times New Roman" w:hAnsi="Verdana" w:cs="Arial"/>
          <w:lang w:val="es-ES" w:eastAsia="es-MX"/>
        </w:rPr>
        <w:t>alude</w:t>
      </w:r>
      <w:r w:rsidRPr="00283126">
        <w:rPr>
          <w:rFonts w:ascii="Verdana" w:eastAsia="Times New Roman" w:hAnsi="Verdana" w:cs="Arial"/>
          <w:lang w:val="es-ES" w:eastAsia="es-MX"/>
        </w:rPr>
        <w:t xml:space="preserve"> en su consulta.</w:t>
      </w:r>
      <w:r w:rsidRPr="002167F7">
        <w:rPr>
          <w:rFonts w:ascii="Verdana" w:eastAsia="Times New Roman" w:hAnsi="Verdana" w:cs="Arial"/>
          <w:lang w:val="es-ES" w:eastAsia="es-MX"/>
        </w:rPr>
        <w:t xml:space="preserve"> Según la norma, esta modalidad es procedente para aquellos casos en que, por las características del objeto a contratar, las circunstancias de la contratación o la cuantía o destinación del bien, obra o </w:t>
      </w:r>
      <w:proofErr w:type="gramStart"/>
      <w:r w:rsidRPr="002167F7">
        <w:rPr>
          <w:rFonts w:ascii="Verdana" w:eastAsia="Times New Roman" w:hAnsi="Verdana" w:cs="Arial"/>
          <w:lang w:val="es-ES" w:eastAsia="es-MX"/>
        </w:rPr>
        <w:t>servicio,</w:t>
      </w:r>
      <w:proofErr w:type="gramEnd"/>
      <w:r w:rsidRPr="002167F7">
        <w:rPr>
          <w:rFonts w:ascii="Verdana" w:eastAsia="Times New Roman" w:hAnsi="Verdana" w:cs="Arial"/>
          <w:lang w:val="es-ES" w:eastAsia="es-MX"/>
        </w:rPr>
        <w:t xml:space="preserve"> puedan adelantarse procesos simplificados para garantizar la eficiencia de la gestión contractual. Tanto la referida ley como el Decreto 1082 de 2015, en sus artículos </w:t>
      </w:r>
      <w:bookmarkStart w:id="2" w:name="2.2.1.2.1.2.1"/>
      <w:bookmarkEnd w:id="2"/>
      <w:r w:rsidRPr="002167F7">
        <w:rPr>
          <w:rFonts w:ascii="Verdana" w:eastAsia="Times New Roman" w:hAnsi="Verdana" w:cs="Arial"/>
          <w:lang w:val="es-ES" w:eastAsia="es-MX"/>
        </w:rPr>
        <w:t>2.2.1.2.1.2.1. al </w:t>
      </w:r>
      <w:bookmarkStart w:id="3" w:name="2.2.1.2.1.2.26"/>
      <w:bookmarkEnd w:id="3"/>
      <w:r w:rsidRPr="002167F7">
        <w:rPr>
          <w:rFonts w:ascii="Verdana" w:eastAsia="Times New Roman" w:hAnsi="Verdana" w:cs="Arial"/>
          <w:lang w:val="es-ES" w:eastAsia="es-MX"/>
        </w:rPr>
        <w:t xml:space="preserve">2.2.1.2.1.2.26., especifican las causales o supuestos para que sea procedente la modalidad de selección abreviada, así como los requisitos que deberá cumplir la entidad en cada uno. </w:t>
      </w:r>
    </w:p>
    <w:p w14:paraId="2E7FAB8C" w14:textId="77777777" w:rsidR="0047433B" w:rsidRPr="002167F7" w:rsidRDefault="0047433B" w:rsidP="0047433B">
      <w:pPr>
        <w:spacing w:line="276" w:lineRule="auto"/>
        <w:ind w:firstLine="708"/>
        <w:jc w:val="both"/>
        <w:rPr>
          <w:rFonts w:ascii="Verdana" w:eastAsia="Calibri" w:hAnsi="Verdana" w:cs="Arial"/>
          <w:lang w:val="es-ES"/>
        </w:rPr>
      </w:pPr>
      <w:bookmarkStart w:id="4" w:name="_Hlk39174727"/>
      <w:r w:rsidRPr="002167F7">
        <w:rPr>
          <w:rFonts w:ascii="Verdana" w:eastAsia="Calibri" w:hAnsi="Verdana" w:cs="Arial"/>
          <w:lang w:val="es-ES"/>
        </w:rPr>
        <w:t>Se trata de un procedimiento que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4"/>
      <w:r w:rsidRPr="002167F7">
        <w:rPr>
          <w:rFonts w:ascii="Verdana" w:eastAsia="Calibri" w:hAnsi="Verdana" w:cs="Arial"/>
          <w:lang w:val="es-ES"/>
        </w:rPr>
        <w:t>. En la exposición de motivos se explica lo siguiente:</w:t>
      </w:r>
    </w:p>
    <w:p w14:paraId="72E4DCC4" w14:textId="77777777" w:rsidR="0047433B" w:rsidRPr="002167F7" w:rsidRDefault="0047433B" w:rsidP="0047433B">
      <w:pPr>
        <w:spacing w:after="120" w:line="240" w:lineRule="auto"/>
        <w:ind w:left="709" w:right="709"/>
        <w:jc w:val="both"/>
        <w:rPr>
          <w:rFonts w:ascii="Verdana" w:eastAsia="Calibri" w:hAnsi="Verdana" w:cs="Arial"/>
          <w:sz w:val="20"/>
          <w:szCs w:val="20"/>
          <w:lang w:val="es-ES"/>
        </w:rPr>
      </w:pPr>
      <w:r w:rsidRPr="002167F7">
        <w:rPr>
          <w:rFonts w:ascii="Verdana" w:eastAsia="Calibri" w:hAnsi="Verdana" w:cs="Arial"/>
          <w:sz w:val="20"/>
          <w:szCs w:val="20"/>
          <w:lang w:val="es-ES"/>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50F65346" w14:textId="77777777" w:rsidR="0047433B" w:rsidRPr="002167F7" w:rsidRDefault="0047433B" w:rsidP="0047433B">
      <w:pPr>
        <w:spacing w:after="120" w:line="240" w:lineRule="auto"/>
        <w:ind w:left="709" w:right="709"/>
        <w:jc w:val="both"/>
        <w:rPr>
          <w:rFonts w:ascii="Verdana" w:eastAsia="Calibri" w:hAnsi="Verdana" w:cs="Arial"/>
          <w:sz w:val="20"/>
          <w:szCs w:val="20"/>
          <w:lang w:val="es-ES"/>
        </w:rPr>
      </w:pPr>
      <w:r w:rsidRPr="002167F7">
        <w:rPr>
          <w:rFonts w:ascii="Verdana" w:eastAsia="Calibri" w:hAnsi="Verdana" w:cs="Arial"/>
          <w:sz w:val="20"/>
          <w:szCs w:val="20"/>
          <w:lang w:val="es-ES"/>
        </w:rPr>
        <w:t>– Se crea la llamada “selección abreviada”,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 “características técnicas uniformes y de común utilización” […].</w:t>
      </w:r>
    </w:p>
    <w:p w14:paraId="14E578E0" w14:textId="77777777" w:rsidR="0047433B" w:rsidRPr="002167F7" w:rsidRDefault="0047433B" w:rsidP="0047433B">
      <w:pPr>
        <w:spacing w:line="240" w:lineRule="auto"/>
        <w:ind w:left="709" w:right="709"/>
        <w:jc w:val="both"/>
        <w:rPr>
          <w:rFonts w:ascii="Verdana" w:eastAsia="Calibri" w:hAnsi="Verdana" w:cs="Arial"/>
          <w:sz w:val="20"/>
          <w:szCs w:val="20"/>
          <w:lang w:val="es-ES"/>
        </w:rPr>
      </w:pPr>
      <w:r w:rsidRPr="002167F7">
        <w:rPr>
          <w:rFonts w:ascii="Verdana" w:eastAsia="Calibri" w:hAnsi="Verdana" w:cs="Arial"/>
          <w:sz w:val="20"/>
          <w:szCs w:val="20"/>
          <w:lang w:val="es-ES"/>
        </w:rPr>
        <w:lastRenderedPageBreak/>
        <w:t>– Adicionalmente en esta categoría se recoge la llamada “menor cuantía” (sólo aplicable en lo sucesivo a bienes o servicios diferentes de los anteriores), así como otros procesos que por su naturaleza o circunstancias deben ser objeto de tratamiento expedido, tales como la defensa y seguridad nacional, entre otras”</w:t>
      </w:r>
      <w:r w:rsidRPr="002167F7">
        <w:rPr>
          <w:rStyle w:val="Refdenotaalpie"/>
          <w:rFonts w:ascii="Verdana" w:eastAsia="Calibri" w:hAnsi="Verdana" w:cs="Arial"/>
          <w:sz w:val="20"/>
          <w:szCs w:val="20"/>
          <w:lang w:val="es-ES"/>
        </w:rPr>
        <w:footnoteReference w:id="4"/>
      </w:r>
      <w:r w:rsidRPr="002167F7">
        <w:rPr>
          <w:rFonts w:ascii="Verdana" w:eastAsia="Calibri" w:hAnsi="Verdana" w:cs="Arial"/>
          <w:sz w:val="20"/>
          <w:szCs w:val="20"/>
          <w:lang w:val="es-ES"/>
        </w:rPr>
        <w:t>.</w:t>
      </w:r>
    </w:p>
    <w:p w14:paraId="425AF80D" w14:textId="77777777" w:rsidR="0047433B" w:rsidRPr="002167F7" w:rsidRDefault="0047433B" w:rsidP="0047433B">
      <w:pPr>
        <w:spacing w:before="120" w:line="276" w:lineRule="auto"/>
        <w:ind w:firstLine="708"/>
        <w:jc w:val="both"/>
        <w:rPr>
          <w:rFonts w:ascii="Verdana" w:eastAsia="Calibri" w:hAnsi="Verdana" w:cs="Arial"/>
          <w:lang w:val="es-ES"/>
        </w:rPr>
      </w:pPr>
      <w:r w:rsidRPr="002167F7">
        <w:rPr>
          <w:rFonts w:ascii="Verdana" w:eastAsia="Calibri" w:hAnsi="Verdana" w:cs="Arial"/>
          <w:lang w:val="es-ES"/>
        </w:rPr>
        <w:t>De esta manera, la selección abreviada se caracteriza por tener etapas sencillas y términos relativamente más cortos que los de la licitación pública, lo cual se justifica por las circunstancias, la naturaleza y los objetos que se contratan, los cuales requieren de procedimientos más agiles, sencillos y eficientes. El Decreto 1082 de 2015 desarrolla las causales, regulando el pliego de condiciones, el procedimiento, las etapas, entre otros.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2167F7">
        <w:rPr>
          <w:rStyle w:val="Refdenotaalpie"/>
          <w:rFonts w:ascii="Verdana" w:eastAsia="Calibri" w:hAnsi="Verdana" w:cs="Arial"/>
          <w:lang w:val="es-ES"/>
        </w:rPr>
        <w:footnoteReference w:id="5"/>
      </w:r>
      <w:r w:rsidRPr="002167F7">
        <w:rPr>
          <w:rFonts w:ascii="Verdana" w:eastAsia="Calibri" w:hAnsi="Verdana" w:cs="Arial"/>
          <w:lang w:val="es-ES"/>
        </w:rPr>
        <w:t xml:space="preserve">. </w:t>
      </w:r>
    </w:p>
    <w:p w14:paraId="36EAD9EC" w14:textId="77777777" w:rsidR="0047433B" w:rsidRPr="002167F7" w:rsidRDefault="0047433B" w:rsidP="0047433B">
      <w:pPr>
        <w:spacing w:before="120" w:after="120" w:line="276" w:lineRule="auto"/>
        <w:ind w:firstLine="708"/>
        <w:jc w:val="both"/>
        <w:rPr>
          <w:rFonts w:ascii="Verdana" w:eastAsia="Times New Roman" w:hAnsi="Verdana" w:cs="Arial"/>
          <w:lang w:val="es-ES" w:eastAsia="es-MX"/>
        </w:rPr>
      </w:pPr>
      <w:r w:rsidRPr="002167F7">
        <w:rPr>
          <w:rFonts w:ascii="Verdana" w:eastAsia="Times New Roman" w:hAnsi="Verdana" w:cs="Arial"/>
          <w:lang w:val="es-ES" w:eastAsia="es-MX"/>
        </w:rPr>
        <w:t>En este sentido</w:t>
      </w:r>
      <w:r>
        <w:rPr>
          <w:rFonts w:ascii="Verdana" w:eastAsia="Times New Roman" w:hAnsi="Verdana" w:cs="Arial"/>
          <w:lang w:val="es-ES" w:eastAsia="es-MX"/>
        </w:rPr>
        <w:t>,</w:t>
      </w:r>
      <w:r w:rsidRPr="002167F7">
        <w:rPr>
          <w:rFonts w:ascii="Verdana" w:eastAsia="Times New Roman" w:hAnsi="Verdana" w:cs="Arial"/>
          <w:lang w:val="es-ES" w:eastAsia="es-MX"/>
        </w:rPr>
        <w:t xml:space="preserve"> cuando se configure alguna de las siguientes circunstancias la Entidad podrá contratar mediante la modalidad de selección abreviada:</w:t>
      </w:r>
    </w:p>
    <w:p w14:paraId="6AB70C59" w14:textId="77777777" w:rsidR="0047433B" w:rsidRPr="002167F7" w:rsidRDefault="0047433B" w:rsidP="0047433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 adquisición o suministro de bienes y servicios de características técnicas uniformes y de común utilización por parte de las entidades. Estos bienes corresponden a aquellos que tienen las mismas especificaciones técnicas, con independencia de su diseño o de sus características descriptivas, y comparten patrones de desempeño y calidad objetivamente definidos.</w:t>
      </w:r>
    </w:p>
    <w:p w14:paraId="0B619577" w14:textId="77777777" w:rsidR="0047433B" w:rsidRPr="002167F7" w:rsidRDefault="0047433B" w:rsidP="0047433B">
      <w:pPr>
        <w:spacing w:after="120" w:line="276" w:lineRule="auto"/>
        <w:ind w:left="709"/>
        <w:jc w:val="both"/>
        <w:rPr>
          <w:rFonts w:ascii="Verdana" w:eastAsia="Times New Roman" w:hAnsi="Verdana" w:cs="Arial"/>
          <w:lang w:val="es-ES" w:eastAsia="es-MX"/>
        </w:rPr>
      </w:pPr>
      <w:r w:rsidRPr="002167F7">
        <w:rPr>
          <w:rFonts w:ascii="Verdana" w:eastAsia="Times New Roman" w:hAnsi="Verdana" w:cs="Arial"/>
          <w:lang w:val="es-ES" w:eastAsia="es-MX"/>
        </w:rPr>
        <w:t>Cuando las entidades contraten estos bienes podrán adelantar procesos de selección abreviada por subasta inversa (regulada en los artículos 2.2.1.2.1.2.2. a </w:t>
      </w:r>
      <w:bookmarkStart w:id="5" w:name="2.2.1.2.1.2.6"/>
      <w:bookmarkEnd w:id="5"/>
      <w:r w:rsidRPr="002167F7">
        <w:rPr>
          <w:rFonts w:ascii="Verdana" w:eastAsia="Times New Roman" w:hAnsi="Verdana" w:cs="Arial"/>
          <w:lang w:val="es-ES" w:eastAsia="es-MX"/>
        </w:rPr>
        <w:t>2.2.1.2.1.2.6), mediante compra por catálogo derivado de la celebración de Acuerdos Marco de Precios e Instrumentos de Agregación de Demanda (regulados en los artículos 2.2.1.2.1.2.7. a 2.2.1.2.1.2.10.), o mediante bolsas de productos (</w:t>
      </w:r>
      <w:bookmarkStart w:id="6" w:name="2.2.1.2.1.2.11"/>
      <w:bookmarkEnd w:id="6"/>
      <w:r w:rsidRPr="002167F7">
        <w:rPr>
          <w:rFonts w:ascii="Verdana" w:eastAsia="Times New Roman" w:hAnsi="Verdana" w:cs="Arial"/>
          <w:lang w:val="es-ES" w:eastAsia="es-MX"/>
        </w:rPr>
        <w:t xml:space="preserve">artículos 2.2.1.2.1.2.11. a </w:t>
      </w:r>
      <w:bookmarkStart w:id="7" w:name="2.2.1.2.1.2.19"/>
      <w:bookmarkEnd w:id="7"/>
      <w:r w:rsidRPr="002167F7">
        <w:rPr>
          <w:rFonts w:ascii="Verdana" w:eastAsia="Times New Roman" w:hAnsi="Verdana" w:cs="Arial"/>
          <w:lang w:val="es-ES" w:eastAsia="es-MX"/>
        </w:rPr>
        <w:t>2.2.1.2.1.2.19.)</w:t>
      </w:r>
    </w:p>
    <w:p w14:paraId="39AFB59F" w14:textId="77777777" w:rsidR="0047433B" w:rsidRPr="002167F7" w:rsidRDefault="0047433B" w:rsidP="0047433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lastRenderedPageBreak/>
        <w:t xml:space="preserve">Selección Abreviada de Menor cuantía: </w:t>
      </w:r>
      <w:r w:rsidRPr="002167F7">
        <w:rPr>
          <w:rFonts w:ascii="Verdana" w:eastAsia="Calibri" w:hAnsi="Verdana" w:cs="Arial"/>
          <w:color w:val="000000" w:themeColor="text1"/>
        </w:rPr>
        <w:t>se refiere a los procesos contractuales cuyo valor es inferior a los topes que la norma señala respecto del presupuesto anual de la entidad. En relación con las etapas, el artículo 2.2.1.2.1.2.20 del Decreto 1082 de 2015 señala que se rige por las normas generales del título en que se encuentra ubicado dicha norma y por las especiales contenidas en ese artículo</w:t>
      </w:r>
      <w:r w:rsidRPr="002167F7">
        <w:rPr>
          <w:vertAlign w:val="superscript"/>
        </w:rPr>
        <w:footnoteReference w:id="6"/>
      </w:r>
      <w:r w:rsidRPr="002167F7">
        <w:rPr>
          <w:rFonts w:ascii="Verdana" w:eastAsia="Calibri" w:hAnsi="Verdana" w:cs="Arial"/>
          <w:color w:val="000000" w:themeColor="text1"/>
        </w:rPr>
        <w:t xml:space="preserve">. </w:t>
      </w:r>
    </w:p>
    <w:p w14:paraId="24D761DD" w14:textId="77777777" w:rsidR="0047433B" w:rsidRPr="002167F7" w:rsidRDefault="0047433B" w:rsidP="0047433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 celebración de contratos para la prestación de servicios de salud.</w:t>
      </w:r>
    </w:p>
    <w:p w14:paraId="75D23199" w14:textId="77777777" w:rsidR="0047433B" w:rsidRPr="002167F7" w:rsidRDefault="0047433B" w:rsidP="0047433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 xml:space="preserve">La contratación cuyo proceso de licitación pública haya sido declarado desierto, en cuyo caso la entidad deberá iniciar la selección abreviada dentro de los cuatro meses siguientes a la declaración de desierta del proceso inicial. La Entidad Estatal podrá adelantar el Proceso de Contratación correspondiente aplicando las normas del proceso de selección abreviada de menor cuantía, para lo cual deberá prescindir de recibir manifestaciones de interés, y de realizar el sorteo de oferentes. </w:t>
      </w:r>
    </w:p>
    <w:p w14:paraId="1BC5C461" w14:textId="77777777" w:rsidR="0047433B" w:rsidRPr="002167F7" w:rsidRDefault="0047433B" w:rsidP="0047433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 enajenación de bienes del Estado, con excepción de aquellos a que se refiere la Ley </w:t>
      </w:r>
      <w:hyperlink r:id="rId13" w:anchor="1" w:history="1">
        <w:r w:rsidRPr="002167F7">
          <w:rPr>
            <w:rFonts w:ascii="Verdana" w:hAnsi="Verdana"/>
            <w:lang w:eastAsia="es-MX"/>
          </w:rPr>
          <w:t>226</w:t>
        </w:r>
      </w:hyperlink>
      <w:r w:rsidRPr="002167F7">
        <w:rPr>
          <w:rFonts w:ascii="Verdana" w:eastAsia="Times New Roman" w:hAnsi="Verdana" w:cs="Arial"/>
          <w:lang w:eastAsia="es-MX"/>
        </w:rPr>
        <w:t> de 1995.</w:t>
      </w:r>
    </w:p>
    <w:p w14:paraId="0D0B7237" w14:textId="77777777" w:rsidR="0047433B" w:rsidRPr="002167F7" w:rsidRDefault="0047433B" w:rsidP="0047433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 adquisición de productos de origen o destinación agropecuarios que se ofrezcan en las bolsas de productos legalmente constituidas.</w:t>
      </w:r>
    </w:p>
    <w:p w14:paraId="0B296B92" w14:textId="77777777" w:rsidR="0047433B" w:rsidRPr="002167F7" w:rsidRDefault="0047433B" w:rsidP="0047433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p w14:paraId="4F106D5F" w14:textId="77777777" w:rsidR="0047433B" w:rsidRPr="002167F7" w:rsidRDefault="0047433B" w:rsidP="0047433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lastRenderedPageBreak/>
        <w:t>La contratación de Entidades Estatales dedicadas a la protección de derechos humanos y población con alto grado de vulnerabilidad. Incluye los contratos de entidades a cargo de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 Lo anterior, según lo dispuesto el en literal h) del numeral 2 del artículo 2 de la Ley 1150 de 2007 y el artículo </w:t>
      </w:r>
      <w:bookmarkStart w:id="8" w:name="2.2.1.2.1.2.25"/>
      <w:bookmarkEnd w:id="8"/>
      <w:r w:rsidRPr="002167F7">
        <w:rPr>
          <w:rFonts w:ascii="Verdana" w:eastAsia="Times New Roman" w:hAnsi="Verdana" w:cs="Arial"/>
          <w:lang w:eastAsia="es-MX"/>
        </w:rPr>
        <w:t>2.2.1.2.1.2.25 del Decreto 1082 de 2015.</w:t>
      </w:r>
    </w:p>
    <w:p w14:paraId="4440AB3B" w14:textId="77777777" w:rsidR="0047433B" w:rsidRPr="002167F7" w:rsidRDefault="0047433B" w:rsidP="0047433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 adquisición de bienes y servicios que se requieran para la defensa y seguridad nacional se realiza a través del procedimiento para la selección abreviada de menor cuantía.</w:t>
      </w:r>
    </w:p>
    <w:p w14:paraId="7FF5C87A" w14:textId="77777777" w:rsidR="0047433B" w:rsidRDefault="0047433B" w:rsidP="0047433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 xml:space="preserve">Los bienes y servicios no uniformes de común utilización por parte de las entidades públicas, para lo cual esta Agencia puede celebrar acuerdos marco de precios y demás instrumentos de agregación de demanda. </w:t>
      </w:r>
    </w:p>
    <w:p w14:paraId="1318EC8E" w14:textId="77777777" w:rsidR="0047433B" w:rsidRDefault="0047433B" w:rsidP="0047433B">
      <w:pPr>
        <w:spacing w:after="120" w:line="276" w:lineRule="auto"/>
        <w:ind w:firstLine="708"/>
        <w:jc w:val="both"/>
        <w:rPr>
          <w:rFonts w:ascii="Verdana" w:eastAsia="Calibri" w:hAnsi="Verdana" w:cs="Arial"/>
          <w:lang w:val="es-ES"/>
        </w:rPr>
      </w:pPr>
      <w:r w:rsidRPr="00B50EB0">
        <w:rPr>
          <w:rFonts w:ascii="Verdana" w:eastAsia="Calibri" w:hAnsi="Verdana" w:cs="Arial"/>
          <w:lang w:val="es-ES"/>
        </w:rPr>
        <w:t>En este contexto, la determinación de la causal de selección abreviada aplicable dependerá de que el objeto a contratar se encuentre comprendido dentro de alguna de estas circunstancias. Para ello, la entidad deberá realizar, en la etapa de planeación del proceso de contratación, un análisis detallado de las actividades a desarrollar, los bienes o servicios a adquirir, sus especificaciones técnicas, la naturaleza de la entidad y los demás aspectos relevantes que permitan establecer la procedencia de alguna de dichas causales</w:t>
      </w:r>
      <w:r>
        <w:rPr>
          <w:rFonts w:ascii="Verdana" w:eastAsia="Calibri" w:hAnsi="Verdana" w:cs="Arial"/>
          <w:lang w:val="es-ES"/>
        </w:rPr>
        <w:t>.</w:t>
      </w:r>
    </w:p>
    <w:p w14:paraId="3E37BD5B" w14:textId="77777777" w:rsidR="0047433B" w:rsidRPr="0072491D" w:rsidRDefault="0047433B" w:rsidP="0047433B">
      <w:pPr>
        <w:spacing w:after="120" w:line="276" w:lineRule="auto"/>
        <w:ind w:firstLine="709"/>
        <w:jc w:val="both"/>
        <w:rPr>
          <w:rFonts w:ascii="Verdana" w:eastAsia="Calibri" w:hAnsi="Verdana" w:cs="Arial"/>
          <w:lang w:val="es-ES"/>
        </w:rPr>
      </w:pPr>
      <w:r w:rsidRPr="002167F7">
        <w:rPr>
          <w:rFonts w:ascii="Verdana" w:eastAsia="Times New Roman" w:hAnsi="Verdana" w:cs="Arial"/>
          <w:lang w:val="es-ES" w:eastAsia="es-MX"/>
        </w:rPr>
        <w:t xml:space="preserve">En tercer lugar, las Entidades Estatales podrán acudir a la modalidad denominada </w:t>
      </w:r>
      <w:r w:rsidRPr="002167F7">
        <w:rPr>
          <w:rFonts w:ascii="Verdana" w:eastAsia="Times New Roman" w:hAnsi="Verdana" w:cs="Arial"/>
          <w:i/>
          <w:iCs/>
          <w:lang w:val="es-ES" w:eastAsia="es-MX"/>
        </w:rPr>
        <w:t>concurso de méritos</w:t>
      </w:r>
      <w:r w:rsidRPr="002167F7">
        <w:rPr>
          <w:rFonts w:ascii="Verdana" w:eastAsia="Times New Roman" w:hAnsi="Verdana" w:cs="Arial"/>
          <w:lang w:val="es-ES" w:eastAsia="es-MX"/>
        </w:rPr>
        <w:t xml:space="preserve"> para la selección de consultores o proyectos</w:t>
      </w:r>
      <w:r w:rsidRPr="002167F7">
        <w:rPr>
          <w:rFonts w:ascii="Verdana" w:hAnsi="Verdana"/>
          <w:vertAlign w:val="superscript"/>
          <w:lang w:val="es-ES" w:eastAsia="es-ES_tradnl"/>
        </w:rPr>
        <w:footnoteReference w:id="7"/>
      </w:r>
      <w:r w:rsidRPr="002167F7">
        <w:rPr>
          <w:rFonts w:ascii="Verdana" w:eastAsia="Times New Roman" w:hAnsi="Verdana" w:cs="Arial"/>
          <w:lang w:val="es-ES" w:eastAsia="es-MX"/>
        </w:rPr>
        <w:t>.</w:t>
      </w:r>
      <w:r w:rsidRPr="002167F7">
        <w:rPr>
          <w:rFonts w:ascii="Verdana" w:hAnsi="Verdana" w:cs="Arial"/>
          <w:color w:val="000000" w:themeColor="text1"/>
          <w:lang w:val="es-ES"/>
        </w:rPr>
        <w:t xml:space="preserve"> </w:t>
      </w:r>
      <w:r w:rsidRPr="002167F7">
        <w:rPr>
          <w:rFonts w:ascii="Verdana" w:hAnsi="Verdana" w:cs="Arial"/>
          <w:color w:val="000000" w:themeColor="text1"/>
          <w:lang w:val="es-ES"/>
        </w:rPr>
        <w:lastRenderedPageBreak/>
        <w:t>En otras palabras, el concurso de méritos es un procedimiento de selección que deben realizar las Entidades Estatales para celebrar contratos de consultoría, entendidos como aquellos “[…]referidos a los estudios necesarios para la ejecución de proyectos de inversión, estudios de diagnóstico, prefactibilidad o factibilidad para programas o proyectos específicos, así como a las asesorías técnicas de coordinación, control y supervisión”, según lo dispuesto en el artículo 32, numeral 2, de la Ley 80 de 1993.</w:t>
      </w:r>
      <w:r w:rsidRPr="002167F7">
        <w:rPr>
          <w:rFonts w:ascii="Verdana" w:eastAsia="Calibri" w:hAnsi="Verdana" w:cs="Arial"/>
          <w:bCs/>
          <w:lang w:val="es-ES"/>
        </w:rPr>
        <w:t xml:space="preserve"> Así mismo, son contratos de consultoría los que tienen por objeto la interventoría, asesoría, gerencia de obra o de proyectos, dirección, programación y la ejecución de diseños, planos, anteproyectos y proyectos</w:t>
      </w:r>
      <w:r w:rsidRPr="002167F7">
        <w:rPr>
          <w:rStyle w:val="Refdenotaalpie"/>
          <w:rFonts w:ascii="Verdana" w:eastAsia="Calibri" w:hAnsi="Verdana" w:cs="Arial"/>
          <w:lang w:val="es-ES"/>
        </w:rPr>
        <w:footnoteReference w:id="8"/>
      </w:r>
      <w:r w:rsidRPr="002167F7">
        <w:rPr>
          <w:rFonts w:ascii="Verdana" w:eastAsia="Calibri" w:hAnsi="Verdana" w:cs="Arial"/>
          <w:bCs/>
          <w:lang w:val="es-ES"/>
        </w:rPr>
        <w:t>.</w:t>
      </w:r>
    </w:p>
    <w:p w14:paraId="7B68279E" w14:textId="77777777" w:rsidR="0047433B" w:rsidRPr="002167F7" w:rsidRDefault="0047433B" w:rsidP="0047433B">
      <w:pPr>
        <w:spacing w:line="276" w:lineRule="auto"/>
        <w:ind w:firstLine="709"/>
        <w:jc w:val="both"/>
        <w:rPr>
          <w:rFonts w:ascii="Verdana" w:eastAsia="Calibri" w:hAnsi="Verdana" w:cs="Arial"/>
          <w:lang w:val="es-ES"/>
        </w:rPr>
      </w:pPr>
      <w:r w:rsidRPr="002167F7">
        <w:rPr>
          <w:rFonts w:ascii="Verdana" w:eastAsia="Calibri" w:hAnsi="Verdana" w:cs="Arial"/>
          <w:bCs/>
          <w:lang w:val="es-ES"/>
        </w:rPr>
        <w:t>Bajo este entendimiento, la característica fundamental para identificar los contratos estatales de consultoría es el carácter ampliamente técnico de su contenido, que se diferencia de otros tipos contractuales, como el de prestación de servicios –apoyo a la gestión, servicios profesionales o de ejecución de trabajos artísticos–.</w:t>
      </w:r>
      <w:r w:rsidRPr="002167F7">
        <w:rPr>
          <w:rFonts w:ascii="Verdana" w:hAnsi="Verdana" w:cs="Arial"/>
          <w:lang w:val="es-ES"/>
        </w:rPr>
        <w:t xml:space="preserve"> En este sentido, son contratos de consultoría aquellos que incluyen dentro de su objeto la realización de actividades que se relacionan o se vinculan con las actividades descritas en el artículo </w:t>
      </w:r>
      <w:r w:rsidRPr="002167F7">
        <w:rPr>
          <w:rFonts w:ascii="Verdana" w:eastAsia="Calibri" w:hAnsi="Verdana" w:cs="Arial"/>
          <w:lang w:val="es-ES"/>
        </w:rPr>
        <w:t>32, numeral 2, de la Ley 80 de 1993, es decir, con funciones técnicas y especializadas.</w:t>
      </w:r>
    </w:p>
    <w:p w14:paraId="65C4D740" w14:textId="77777777" w:rsidR="0047433B" w:rsidRDefault="0047433B" w:rsidP="0047433B">
      <w:pPr>
        <w:spacing w:after="120" w:line="276" w:lineRule="auto"/>
        <w:ind w:firstLine="709"/>
        <w:jc w:val="both"/>
        <w:rPr>
          <w:rFonts w:ascii="Verdana" w:hAnsi="Verdana" w:cs="Arial"/>
          <w:lang w:val="es-ES"/>
        </w:rPr>
      </w:pPr>
      <w:r w:rsidRPr="002167F7">
        <w:rPr>
          <w:rFonts w:ascii="Verdana" w:hAnsi="Verdana" w:cs="Arial"/>
          <w:lang w:val="es-ES"/>
        </w:rPr>
        <w:t>Adicionalmente, según lo expuesto en el artículo 2.2.1.2.1.3.1.  del Decreto 1082</w:t>
      </w:r>
      <w:r>
        <w:rPr>
          <w:rFonts w:ascii="Verdana" w:hAnsi="Verdana" w:cs="Arial"/>
          <w:lang w:val="es-ES"/>
        </w:rPr>
        <w:t xml:space="preserve"> de 2015</w:t>
      </w:r>
      <w:r w:rsidRPr="002167F7">
        <w:rPr>
          <w:rFonts w:ascii="Verdana" w:hAnsi="Verdana" w:cs="Arial"/>
          <w:lang w:val="es-ES"/>
        </w:rPr>
        <w:t>, las Entidades Estatales deben seleccionar sus contratistas a través del concurso de méritos no solo para la prestación de servicios de consultoría a los que se refiere la ley 80 de 199</w:t>
      </w:r>
      <w:r>
        <w:rPr>
          <w:rFonts w:ascii="Verdana" w:hAnsi="Verdana" w:cs="Arial"/>
          <w:lang w:val="es-ES"/>
        </w:rPr>
        <w:t>3,</w:t>
      </w:r>
      <w:r w:rsidRPr="002167F7">
        <w:rPr>
          <w:rFonts w:ascii="Verdana" w:hAnsi="Verdana" w:cs="Arial"/>
          <w:lang w:val="es-ES"/>
        </w:rPr>
        <w:t xml:space="preserve"> sino también para selección de consultores de diseño, planos, anteproyectos y proyectos arquitectónicos.</w:t>
      </w:r>
      <w:r>
        <w:rPr>
          <w:rFonts w:ascii="Verdana" w:hAnsi="Verdana" w:cs="Arial"/>
          <w:lang w:val="es-ES"/>
        </w:rPr>
        <w:t xml:space="preserve"> </w:t>
      </w:r>
      <w:r w:rsidRPr="002167F7">
        <w:rPr>
          <w:rFonts w:ascii="Verdana" w:hAnsi="Verdana" w:cs="Arial"/>
          <w:lang w:val="es-ES"/>
        </w:rPr>
        <w:t xml:space="preserve">El procedimiento para la selección de proyectos de arquitectura es el establecido en los artículos 2.2.1.2.1.3.8 al 2.2.1.2.1.3.25 de dicho </w:t>
      </w:r>
      <w:r w:rsidRPr="002167F7">
        <w:rPr>
          <w:rFonts w:ascii="Verdana" w:hAnsi="Verdana" w:cs="Arial"/>
          <w:lang w:val="es-ES"/>
        </w:rPr>
        <w:lastRenderedPageBreak/>
        <w:t xml:space="preserve">decreto, </w:t>
      </w:r>
      <w:r>
        <w:rPr>
          <w:rFonts w:ascii="Verdana" w:hAnsi="Verdana" w:cs="Arial"/>
          <w:lang w:val="es-ES"/>
        </w:rPr>
        <w:t xml:space="preserve">y </w:t>
      </w:r>
      <w:r w:rsidRPr="002167F7">
        <w:rPr>
          <w:rFonts w:ascii="Verdana" w:hAnsi="Verdana" w:cs="Arial"/>
          <w:lang w:val="es-ES"/>
        </w:rPr>
        <w:t>el procedimiento para consultoría será el establecido en los artículos </w:t>
      </w:r>
      <w:bookmarkStart w:id="9" w:name="2.2.1.2.1.3.2"/>
      <w:bookmarkEnd w:id="9"/>
      <w:r w:rsidRPr="002167F7">
        <w:rPr>
          <w:rFonts w:ascii="Verdana" w:hAnsi="Verdana" w:cs="Arial"/>
          <w:lang w:val="es-ES"/>
        </w:rPr>
        <w:t>2.2.1.2.1.3.2. a 2.2.1.2.1.3.7.</w:t>
      </w:r>
    </w:p>
    <w:p w14:paraId="4B82A005" w14:textId="77777777" w:rsidR="0047433B" w:rsidRPr="002167F7" w:rsidRDefault="0047433B" w:rsidP="0047433B">
      <w:pPr>
        <w:spacing w:after="120" w:line="276" w:lineRule="auto"/>
        <w:jc w:val="both"/>
        <w:rPr>
          <w:rFonts w:ascii="Verdana" w:hAnsi="Verdana" w:cs="Arial"/>
          <w:lang w:val="es-ES"/>
        </w:rPr>
      </w:pPr>
      <w:r w:rsidRPr="002167F7">
        <w:rPr>
          <w:rFonts w:ascii="Verdana" w:hAnsi="Verdana" w:cs="Arial"/>
          <w:lang w:val="es-ES"/>
        </w:rPr>
        <w:tab/>
        <w:t xml:space="preserve">En cuarto lugar, la modalidad </w:t>
      </w:r>
      <w:r w:rsidRPr="002167F7">
        <w:rPr>
          <w:rFonts w:ascii="Verdana" w:hAnsi="Verdana" w:cs="Arial"/>
          <w:i/>
          <w:iCs/>
          <w:lang w:val="es-ES"/>
        </w:rPr>
        <w:t>de mínima cuantía</w:t>
      </w:r>
      <w:r w:rsidRPr="002167F7">
        <w:rPr>
          <w:rFonts w:ascii="Verdana" w:hAnsi="Verdana" w:cs="Arial"/>
          <w:lang w:val="es-ES"/>
        </w:rPr>
        <w:t xml:space="preserve"> será aplicable siempre que el valor de la adquisición de los bienes, obras y/o servicios, no exceda el diez por ciento (10%) de la menor cuantía de la Entidad Estatal. Es decir, que </w:t>
      </w:r>
      <w:r>
        <w:rPr>
          <w:rFonts w:ascii="Verdana" w:hAnsi="Verdana" w:cs="Arial"/>
          <w:lang w:val="es-ES"/>
        </w:rPr>
        <w:t xml:space="preserve">será procedente </w:t>
      </w:r>
      <w:r w:rsidRPr="002167F7">
        <w:rPr>
          <w:rFonts w:ascii="Verdana" w:hAnsi="Verdana" w:cs="Arial"/>
          <w:lang w:val="es-ES"/>
        </w:rPr>
        <w:t xml:space="preserve">cuando se cumpla este requisito, independientemente del objeto a contratar. </w:t>
      </w:r>
      <w:r>
        <w:rPr>
          <w:rFonts w:ascii="Verdana" w:hAnsi="Verdana" w:cs="Arial"/>
          <w:lang w:val="es-ES"/>
        </w:rPr>
        <w:t>E</w:t>
      </w:r>
      <w:r w:rsidRPr="002167F7">
        <w:rPr>
          <w:rFonts w:ascii="Verdana" w:hAnsi="Verdana" w:cs="Arial"/>
          <w:lang w:val="es-ES"/>
        </w:rPr>
        <w:t xml:space="preserve">sta modalidad establece un procedimiento expedito y competitivo </w:t>
      </w:r>
      <w:r>
        <w:rPr>
          <w:rFonts w:ascii="Verdana" w:hAnsi="Verdana" w:cs="Arial"/>
          <w:lang w:val="es-ES"/>
        </w:rPr>
        <w:t xml:space="preserve">que se rige por lo dispuesto </w:t>
      </w:r>
      <w:r w:rsidRPr="002167F7">
        <w:rPr>
          <w:rFonts w:ascii="Verdana" w:hAnsi="Verdana" w:cs="Arial"/>
          <w:lang w:val="es-ES"/>
        </w:rPr>
        <w:t xml:space="preserve">en los artículos 2.2.1.2.1.5.1. a 2.2.1.2.1.5.6.  del Decreto 1082 de 2015. En términos generales, se caracteriza porque la entidad podrá exigir una capacidad financiera mínima, la publicación de la invitación se realiza por término no inferior a un (1) día hábil para la formulación de observaciones o comentarios, y porque el único criterio de evaluación para determinar la oferta más favorable es el menor precio. </w:t>
      </w:r>
    </w:p>
    <w:p w14:paraId="6D41BDA0" w14:textId="77777777" w:rsidR="0047433B" w:rsidRPr="002167F7" w:rsidRDefault="0047433B" w:rsidP="0047433B">
      <w:pPr>
        <w:spacing w:after="120" w:line="276" w:lineRule="auto"/>
        <w:ind w:firstLine="708"/>
        <w:jc w:val="both"/>
        <w:rPr>
          <w:rFonts w:ascii="Verdana" w:eastAsia="Arial MT" w:hAnsi="Verdana" w:cs="Arial"/>
          <w:lang w:val="es-ES" w:eastAsia="es-ES" w:bidi="es-ES"/>
        </w:rPr>
      </w:pPr>
      <w:r w:rsidRPr="002167F7">
        <w:rPr>
          <w:rFonts w:ascii="Verdana" w:eastAsia="Times New Roman" w:hAnsi="Verdana" w:cs="Arial"/>
          <w:lang w:val="es-ES" w:eastAsia="es-MX"/>
        </w:rPr>
        <w:t xml:space="preserve">Finalmente, las entidades podrán contratar mediante la modalidad de </w:t>
      </w:r>
      <w:r w:rsidRPr="002167F7">
        <w:rPr>
          <w:rFonts w:ascii="Verdana" w:eastAsia="Times New Roman" w:hAnsi="Verdana" w:cs="Arial"/>
          <w:i/>
          <w:iCs/>
          <w:lang w:val="es-ES" w:eastAsia="es-MX"/>
        </w:rPr>
        <w:t>contratación directa</w:t>
      </w:r>
      <w:r w:rsidRPr="002167F7">
        <w:rPr>
          <w:rFonts w:ascii="Verdana" w:eastAsia="Times New Roman" w:hAnsi="Verdana" w:cs="Arial"/>
          <w:lang w:val="es-ES" w:eastAsia="es-MX"/>
        </w:rPr>
        <w:t xml:space="preserve"> únicamente cuando se configure alguna de las causales expresamente establecidas en </w:t>
      </w:r>
      <w:r>
        <w:rPr>
          <w:rFonts w:ascii="Verdana" w:eastAsia="Times New Roman" w:hAnsi="Verdana" w:cs="Arial"/>
          <w:lang w:val="es-ES" w:eastAsia="es-MX"/>
        </w:rPr>
        <w:t>el</w:t>
      </w:r>
      <w:r w:rsidRPr="002167F7">
        <w:rPr>
          <w:rFonts w:ascii="Verdana" w:eastAsia="Times New Roman" w:hAnsi="Verdana" w:cs="Arial"/>
          <w:lang w:val="es-ES" w:eastAsia="es-MX"/>
        </w:rPr>
        <w:t xml:space="preserve"> artículo 2.4 de la </w:t>
      </w:r>
      <w:r>
        <w:rPr>
          <w:rFonts w:ascii="Verdana" w:eastAsia="Times New Roman" w:hAnsi="Verdana" w:cs="Arial"/>
          <w:lang w:val="es-ES" w:eastAsia="es-MX"/>
        </w:rPr>
        <w:t>L</w:t>
      </w:r>
      <w:r w:rsidRPr="002167F7">
        <w:rPr>
          <w:rFonts w:ascii="Verdana" w:eastAsia="Times New Roman" w:hAnsi="Verdana" w:cs="Arial"/>
          <w:lang w:val="es-ES" w:eastAsia="es-MX"/>
        </w:rPr>
        <w:t xml:space="preserve">ey 1150 de 2007 y </w:t>
      </w:r>
      <w:r>
        <w:rPr>
          <w:rFonts w:ascii="Verdana" w:eastAsia="Times New Roman" w:hAnsi="Verdana" w:cs="Arial"/>
          <w:lang w:val="es-ES" w:eastAsia="es-MX"/>
        </w:rPr>
        <w:t xml:space="preserve">los artículos </w:t>
      </w:r>
      <w:r w:rsidRPr="002167F7">
        <w:rPr>
          <w:rFonts w:ascii="Verdana" w:eastAsia="Times New Roman" w:hAnsi="Verdana" w:cs="Arial"/>
          <w:lang w:val="es-ES" w:eastAsia="es-MX"/>
        </w:rPr>
        <w:t>2.2.1.2.1.4.1. al 2.2.1.2.1.4.11. del Decreto 1082 de 2015.</w:t>
      </w:r>
      <w:r w:rsidRPr="002167F7">
        <w:rPr>
          <w:rFonts w:ascii="Verdana" w:eastAsia="Arial MT" w:hAnsi="Verdana" w:cs="Arial"/>
          <w:lang w:val="es-ES" w:eastAsia="es-ES" w:bidi="es-ES"/>
        </w:rPr>
        <w:t xml:space="preserve"> Si bien la licitación pública es la modalidad de selección que constituye la regla general para las entidades regidas por el EGCAP, estas normas consagran algunas excepciones que atienden a la necesidad de proteger principios como la eficiencia, la eficacia, la economía, la celeridad o la integridad de las personas. Por esta razón, en los procesos que se adelanten directamente, las entidades deberán emitir un acto administrativo en el cual justifiquen la elección de esta modalidad.</w:t>
      </w:r>
    </w:p>
    <w:p w14:paraId="0E148CDA" w14:textId="77777777" w:rsidR="0047433B" w:rsidRPr="002167F7" w:rsidRDefault="0047433B" w:rsidP="0047433B">
      <w:pPr>
        <w:spacing w:after="120" w:line="276" w:lineRule="auto"/>
        <w:ind w:firstLine="708"/>
        <w:jc w:val="both"/>
        <w:rPr>
          <w:rFonts w:ascii="Verdana" w:hAnsi="Verdana" w:cs="Arial"/>
          <w:lang w:val="es-ES"/>
        </w:rPr>
      </w:pPr>
      <w:r w:rsidRPr="002167F7">
        <w:rPr>
          <w:rFonts w:ascii="Verdana" w:eastAsia="Arial MT" w:hAnsi="Verdana" w:cs="Arial"/>
          <w:lang w:val="es-ES" w:eastAsia="es-ES" w:bidi="es-ES"/>
        </w:rPr>
        <w:t xml:space="preserve"> </w:t>
      </w:r>
      <w:r w:rsidRPr="002167F7">
        <w:rPr>
          <w:rFonts w:ascii="Verdana" w:hAnsi="Verdana" w:cs="Arial"/>
          <w:lang w:val="es-ES"/>
        </w:rPr>
        <w:t>La contratación directa únicamente será procedente en los siguientes casos:</w:t>
      </w:r>
    </w:p>
    <w:p w14:paraId="456C460F"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Cuando se configuren</w:t>
      </w:r>
      <w:r>
        <w:rPr>
          <w:rFonts w:ascii="Verdana" w:eastAsia="Times New Roman" w:hAnsi="Verdana" w:cs="Arial"/>
          <w:lang w:eastAsia="es-MX"/>
        </w:rPr>
        <w:t xml:space="preserve"> los supuestos de la</w:t>
      </w:r>
      <w:r w:rsidRPr="002167F7">
        <w:rPr>
          <w:rFonts w:ascii="Verdana" w:eastAsia="Times New Roman" w:hAnsi="Verdana" w:cs="Arial"/>
          <w:lang w:eastAsia="es-MX"/>
        </w:rPr>
        <w:t xml:space="preserve"> urgencia manifiesta.</w:t>
      </w:r>
    </w:p>
    <w:p w14:paraId="65C8967F"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Pr>
          <w:rFonts w:ascii="Verdana" w:eastAsia="Times New Roman" w:hAnsi="Verdana" w:cs="Arial"/>
          <w:lang w:eastAsia="es-MX"/>
        </w:rPr>
        <w:t>Para la c</w:t>
      </w:r>
      <w:r w:rsidRPr="002167F7">
        <w:rPr>
          <w:rFonts w:ascii="Verdana" w:eastAsia="Times New Roman" w:hAnsi="Verdana" w:cs="Arial"/>
          <w:lang w:eastAsia="es-MX"/>
        </w:rPr>
        <w:t>ontratación de empréstitos.</w:t>
      </w:r>
    </w:p>
    <w:p w14:paraId="5B42794D"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 xml:space="preserve">La celebración de contratos interadministrativos, siempre que las obligaciones derivadas del mismo tengan relación directa con el objeto de la entidad ejecutora señalado en la ley o en sus reglamentos, salvo en los casos señalados en el literal c) del artículo 2.4 de la Ley 1150 de 2007. Éstos obedecen a un criterio orgánico, de modo que se configuran cuando se celebren entre </w:t>
      </w:r>
      <w:r>
        <w:rPr>
          <w:rFonts w:ascii="Verdana" w:eastAsia="Times New Roman" w:hAnsi="Verdana" w:cs="Arial"/>
          <w:lang w:eastAsia="es-MX"/>
        </w:rPr>
        <w:t>E</w:t>
      </w:r>
      <w:r w:rsidRPr="002167F7">
        <w:rPr>
          <w:rFonts w:ascii="Verdana" w:eastAsia="Times New Roman" w:hAnsi="Verdana" w:cs="Arial"/>
          <w:lang w:eastAsia="es-MX"/>
        </w:rPr>
        <w:t xml:space="preserve">ntidades </w:t>
      </w:r>
      <w:r>
        <w:rPr>
          <w:rFonts w:ascii="Verdana" w:eastAsia="Times New Roman" w:hAnsi="Verdana" w:cs="Arial"/>
          <w:lang w:eastAsia="es-MX"/>
        </w:rPr>
        <w:t>E</w:t>
      </w:r>
      <w:r w:rsidRPr="002167F7">
        <w:rPr>
          <w:rFonts w:ascii="Verdana" w:eastAsia="Times New Roman" w:hAnsi="Verdana" w:cs="Arial"/>
          <w:lang w:eastAsia="es-MX"/>
        </w:rPr>
        <w:t xml:space="preserve">statales. </w:t>
      </w:r>
    </w:p>
    <w:p w14:paraId="20345FC8"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 xml:space="preserve">La contratación de bienes y servicios en el sector Defensa y en el Departamento Administrativo de Seguridad, DAS (hoy Departamento </w:t>
      </w:r>
      <w:r w:rsidRPr="002167F7">
        <w:rPr>
          <w:rFonts w:ascii="Verdana" w:eastAsia="Times New Roman" w:hAnsi="Verdana" w:cs="Arial"/>
          <w:lang w:eastAsia="es-MX"/>
        </w:rPr>
        <w:lastRenderedPageBreak/>
        <w:t>Administrativo Dirección Nacional de Inteligencia), que necesiten reserva para su adquisición.</w:t>
      </w:r>
    </w:p>
    <w:p w14:paraId="144B4936"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Los contratos para el desarrollo de actividades científicas y tecnológicas, según lo dispuesto en el Decreto-Ley 591 y 393 de 1991.</w:t>
      </w:r>
    </w:p>
    <w:p w14:paraId="27445005"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Los contratos de encargo fiduciario que celebren las entidades territoriales cuando inician el Acuerdo de Reestructuración de Pasivos a que se refieren las Leyes 550 de 1999, 617 de 2000 y las normas que las modifiquen o adicionen, siempre y cuando los celebren con entidades financieras del sector público</w:t>
      </w:r>
      <w:r>
        <w:rPr>
          <w:rFonts w:ascii="Verdana" w:eastAsia="Times New Roman" w:hAnsi="Verdana" w:cs="Arial"/>
          <w:lang w:eastAsia="es-MX"/>
        </w:rPr>
        <w:t>.</w:t>
      </w:r>
    </w:p>
    <w:p w14:paraId="02BE9A86"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Cuando no exista pluralidad de oferentes en el mercado, es decir, cuando existe solamente una persona que puede proveer el bien o el servicio por ser titular de los derechos de propiedad industrial o de los derechos de autor, o por ser proveedor exclusivo en el territorio nacional</w:t>
      </w:r>
      <w:r w:rsidRPr="002167F7">
        <w:rPr>
          <w:rFonts w:ascii="Verdana" w:eastAsia="Arial" w:hAnsi="Verdana" w:cs="Arial"/>
          <w:vertAlign w:val="superscript"/>
        </w:rPr>
        <w:footnoteReference w:id="9"/>
      </w:r>
      <w:r w:rsidRPr="002167F7">
        <w:rPr>
          <w:rFonts w:ascii="Verdana" w:eastAsia="Times New Roman" w:hAnsi="Verdana" w:cs="Arial"/>
          <w:lang w:eastAsia="es-MX"/>
        </w:rPr>
        <w:t>. </w:t>
      </w:r>
    </w:p>
    <w:p w14:paraId="653ABDD3"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Para la prestación de servicios profesionales y de apoyo a la gestión, o para la ejecución de trabajos artísticos que sólo puedan encomendarse a determinadas personas naturales</w:t>
      </w:r>
      <w:r w:rsidRPr="002167F7">
        <w:rPr>
          <w:rFonts w:ascii="Verdana" w:eastAsia="Arial" w:hAnsi="Verdana" w:cs="Arial"/>
          <w:vertAlign w:val="superscript"/>
        </w:rPr>
        <w:footnoteReference w:id="10"/>
      </w:r>
      <w:r w:rsidRPr="002167F7">
        <w:rPr>
          <w:rFonts w:ascii="Verdana" w:eastAsia="Times New Roman" w:hAnsi="Verdana" w:cs="Arial"/>
          <w:lang w:eastAsia="es-MX"/>
        </w:rPr>
        <w:t>. 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9913BDF"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El arrendamiento o adquisición de inmuebles, según las reglas establecidas en los artículos 2.2.1.2.1.4.10 y 2.2.1.2.1.4.11</w:t>
      </w:r>
      <w:r>
        <w:rPr>
          <w:rFonts w:ascii="Verdana" w:eastAsia="Times New Roman" w:hAnsi="Verdana" w:cs="Arial"/>
          <w:lang w:eastAsia="es-MX"/>
        </w:rPr>
        <w:t xml:space="preserve"> de Decreto 1082 de 2015</w:t>
      </w:r>
      <w:r w:rsidRPr="002167F7">
        <w:rPr>
          <w:rFonts w:ascii="Verdana" w:eastAsia="Times New Roman" w:hAnsi="Verdana" w:cs="Arial"/>
          <w:lang w:eastAsia="es-MX"/>
        </w:rPr>
        <w:t>. </w:t>
      </w:r>
    </w:p>
    <w:p w14:paraId="73B299EC"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 contratación de bienes y servicios de la Dirección Nacional de Inteligencia y la Unidad Nacional de Protección que requieran reserva para su adquisición.</w:t>
      </w:r>
    </w:p>
    <w:p w14:paraId="25C7F09E"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 selección de peritos expertos o asesores técnicos para presentar o contradecir el dictamen pericial en procesos judiciales.</w:t>
      </w:r>
    </w:p>
    <w:p w14:paraId="026696DF"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Los contratos o convenios que suscriban</w:t>
      </w:r>
      <w:r>
        <w:rPr>
          <w:rFonts w:ascii="Verdana" w:eastAsia="Times New Roman" w:hAnsi="Verdana" w:cs="Arial"/>
          <w:lang w:eastAsia="es-MX"/>
        </w:rPr>
        <w:t xml:space="preserve"> las entidades</w:t>
      </w:r>
      <w:r w:rsidRPr="002167F7">
        <w:rPr>
          <w:rFonts w:ascii="Verdana" w:eastAsia="Times New Roman" w:hAnsi="Verdana" w:cs="Arial"/>
          <w:lang w:eastAsia="es-MX"/>
        </w:rPr>
        <w:t xml:space="preserve"> con los Cabildos Indígenas, las asociaciones de Cabildos Indígenas y/o Autoridades Tradicionales Indígenas, Consejos Indígenas y Organizaciones Indígenas </w:t>
      </w:r>
      <w:r w:rsidRPr="002167F7">
        <w:rPr>
          <w:rFonts w:ascii="Verdana" w:eastAsia="Times New Roman" w:hAnsi="Verdana" w:cs="Arial"/>
          <w:lang w:eastAsia="es-MX"/>
        </w:rPr>
        <w:lastRenderedPageBreak/>
        <w:t xml:space="preserve">con capacidad para contratar cuyo objeto esté relacionado con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w:t>
      </w:r>
    </w:p>
    <w:p w14:paraId="34B6A8B4"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Los contratos que suscriban con</w:t>
      </w:r>
      <w:r>
        <w:rPr>
          <w:rFonts w:ascii="Verdana" w:eastAsia="Times New Roman" w:hAnsi="Verdana" w:cs="Arial"/>
          <w:lang w:eastAsia="es-MX"/>
        </w:rPr>
        <w:t xml:space="preserve"> las entidades con</w:t>
      </w:r>
      <w:r w:rsidRPr="002167F7">
        <w:rPr>
          <w:rFonts w:ascii="Verdana" w:eastAsia="Times New Roman" w:hAnsi="Verdana" w:cs="Arial"/>
          <w:lang w:eastAsia="es-MX"/>
        </w:rPr>
        <w:t xml:space="preserve"> los consejos comunitarios de las comunidades negras regulados por la Ley </w:t>
      </w:r>
      <w:hyperlink r:id="rId14" w:anchor="INICIO" w:history="1">
        <w:r w:rsidRPr="002167F7">
          <w:rPr>
            <w:rFonts w:ascii="Verdana" w:eastAsia="Times New Roman" w:hAnsi="Verdana" w:cs="Arial"/>
            <w:lang w:eastAsia="es-MX"/>
          </w:rPr>
          <w:t>70</w:t>
        </w:r>
      </w:hyperlink>
      <w:r w:rsidRPr="002167F7">
        <w:rPr>
          <w:rFonts w:ascii="Verdana" w:eastAsia="Times New Roman" w:hAnsi="Verdana" w:cs="Arial"/>
          <w:lang w:eastAsia="es-MX"/>
        </w:rPr>
        <w:t> de 1993, que se encuentren incorporados por el Ministerio del Interior en el correspondiente Registro Público Único Nacional y que hayan cumplido con el deber de actualización de información en el mismo registro, cuyo objeto esté relacionado con el fortalecimiento del gobierno propio, la identidad étnica y cultural, el ejercicio de la autonomía, y/o la garantía de los derechos de los pueblos de las mismas comunidades.</w:t>
      </w:r>
    </w:p>
    <w:p w14:paraId="5E72C401"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 xml:space="preserve">Los contratos que suscriban </w:t>
      </w:r>
      <w:r>
        <w:rPr>
          <w:rFonts w:ascii="Verdana" w:eastAsia="Times New Roman" w:hAnsi="Verdana" w:cs="Arial"/>
          <w:lang w:eastAsia="es-MX"/>
        </w:rPr>
        <w:t xml:space="preserve">las entidades </w:t>
      </w:r>
      <w:r w:rsidRPr="002167F7">
        <w:rPr>
          <w:rFonts w:ascii="Verdana" w:eastAsia="Times New Roman" w:hAnsi="Verdana" w:cs="Arial"/>
          <w:lang w:eastAsia="es-MX"/>
        </w:rPr>
        <w:t>con las organizaciones de base de personas pertenecientes a poblaciones afrocolombianas, raizales y palenqueras o con las demás formas y expresiones organizativas, que cuenten con diez (10) años o más de haber sido incorporados por el Ministerio del Interior en el correspondiente Registro Público Único Nacional y que hayan cumplido con el deber de actualización de información en el mismo registro, cuyo objeto esté relacionado con el fortalecimiento de sus organizaciones, la identidad étnica y cultural, y/o la garantía de los derechos de las poblaciones de las mismas organizaciones</w:t>
      </w:r>
      <w:r w:rsidRPr="002167F7">
        <w:rPr>
          <w:rFonts w:ascii="Verdana" w:eastAsia="Arial" w:hAnsi="Verdana" w:cs="Arial"/>
          <w:vertAlign w:val="superscript"/>
        </w:rPr>
        <w:footnoteReference w:id="11"/>
      </w:r>
      <w:r w:rsidRPr="002167F7">
        <w:rPr>
          <w:rFonts w:ascii="Verdana" w:eastAsia="Times New Roman" w:hAnsi="Verdana" w:cs="Arial"/>
          <w:lang w:eastAsia="es-MX"/>
        </w:rPr>
        <w:t>.</w:t>
      </w:r>
    </w:p>
    <w:p w14:paraId="73D63732" w14:textId="77777777" w:rsidR="0047433B" w:rsidRPr="002167F7" w:rsidRDefault="0047433B" w:rsidP="0047433B">
      <w:pPr>
        <w:pStyle w:val="Prrafodelista"/>
        <w:numPr>
          <w:ilvl w:val="0"/>
          <w:numId w:val="19"/>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 xml:space="preserve">La compra de manera preferencial y directa de productos agropecuarios a los pueblos y comunidades indígenas y a las comunidades negras, afrocolombianas, raizales y palenqueras, organizaciones y asociaciones campesinas, en situaciones de emergencia y desastres y dentro de sus territorios, </w:t>
      </w:r>
      <w:r>
        <w:rPr>
          <w:rFonts w:ascii="Verdana" w:eastAsia="Times New Roman" w:hAnsi="Verdana" w:cs="Arial"/>
          <w:lang w:eastAsia="es-MX"/>
        </w:rPr>
        <w:t>los</w:t>
      </w:r>
      <w:r w:rsidRPr="002167F7">
        <w:rPr>
          <w:rFonts w:ascii="Verdana" w:eastAsia="Times New Roman" w:hAnsi="Verdana" w:cs="Arial"/>
          <w:lang w:eastAsia="es-MX"/>
        </w:rPr>
        <w:t xml:space="preserve"> cuales podrán ser donados al Fondo Nacional de Gestión del Riesgo de Desastres.</w:t>
      </w:r>
    </w:p>
    <w:p w14:paraId="7C107B63" w14:textId="77777777" w:rsidR="0047433B" w:rsidRPr="002167F7" w:rsidRDefault="0047433B" w:rsidP="0047433B">
      <w:pPr>
        <w:spacing w:after="120" w:line="276" w:lineRule="auto"/>
        <w:ind w:firstLine="709"/>
        <w:jc w:val="both"/>
        <w:rPr>
          <w:rFonts w:ascii="Verdana" w:eastAsia="Calibri" w:hAnsi="Verdana" w:cs="Arial"/>
          <w:lang w:val="es-ES" w:eastAsia="es-MX"/>
        </w:rPr>
      </w:pPr>
      <w:bookmarkStart w:id="10" w:name="_Hlk102550058"/>
      <w:r w:rsidRPr="002167F7">
        <w:rPr>
          <w:rFonts w:ascii="Verdana" w:eastAsia="Arial" w:hAnsi="Verdana" w:cs="Arial"/>
          <w:lang w:val="es-ES"/>
        </w:rPr>
        <w:t xml:space="preserve">En relación con la contratación directa, es importante señalar que </w:t>
      </w:r>
      <w:r w:rsidRPr="002167F7">
        <w:rPr>
          <w:rFonts w:ascii="Verdana" w:eastAsia="Calibri" w:hAnsi="Verdana" w:cs="Arial"/>
          <w:lang w:val="es-ES" w:eastAsia="es-MX"/>
        </w:rPr>
        <w:t xml:space="preserve">es una excepción al principio de libre concurrencia y competencia, </w:t>
      </w:r>
      <w:r>
        <w:rPr>
          <w:rFonts w:ascii="Verdana" w:eastAsia="Calibri" w:hAnsi="Verdana" w:cs="Arial"/>
          <w:lang w:val="es-ES" w:eastAsia="es-MX"/>
        </w:rPr>
        <w:t xml:space="preserve">según los cuales </w:t>
      </w:r>
      <w:r w:rsidRPr="002167F7">
        <w:rPr>
          <w:rFonts w:ascii="Verdana" w:eastAsia="Calibri" w:hAnsi="Verdana" w:cs="Arial"/>
          <w:lang w:val="es-ES" w:eastAsia="es-MX"/>
        </w:rPr>
        <w:t>cualquier persona interesada en satisfacer la necesidad de una entidad pued</w:t>
      </w:r>
      <w:r>
        <w:rPr>
          <w:rFonts w:ascii="Verdana" w:eastAsia="Calibri" w:hAnsi="Verdana" w:cs="Arial"/>
          <w:lang w:val="es-ES" w:eastAsia="es-MX"/>
        </w:rPr>
        <w:t>e</w:t>
      </w:r>
      <w:r w:rsidRPr="002167F7">
        <w:rPr>
          <w:rFonts w:ascii="Verdana" w:eastAsia="Calibri" w:hAnsi="Verdana" w:cs="Arial"/>
          <w:lang w:val="es-ES" w:eastAsia="es-MX"/>
        </w:rPr>
        <w:t xml:space="preserve"> presentar una oferta. </w:t>
      </w:r>
      <w:bookmarkStart w:id="11" w:name="_Hlk101520178"/>
      <w:bookmarkStart w:id="12" w:name="_Hlk101520187"/>
      <w:r w:rsidRPr="002167F7">
        <w:rPr>
          <w:rFonts w:ascii="Verdana" w:eastAsia="Calibri" w:hAnsi="Verdana" w:cs="Arial"/>
          <w:lang w:val="es-ES" w:eastAsia="es-MX"/>
        </w:rPr>
        <w:t>Siendo una excepción a los mencionados principios que rigen la contratación estatal, e</w:t>
      </w:r>
      <w:r w:rsidRPr="002167F7">
        <w:rPr>
          <w:rFonts w:ascii="Verdana" w:eastAsia="Arial" w:hAnsi="Verdana" w:cs="Arial"/>
          <w:lang w:val="es-ES"/>
        </w:rPr>
        <w:t xml:space="preserve">sta modalidad de contratación es de aplicación </w:t>
      </w:r>
      <w:r w:rsidRPr="002167F7">
        <w:rPr>
          <w:rFonts w:ascii="Verdana" w:eastAsia="Arial" w:hAnsi="Verdana" w:cs="Arial"/>
          <w:lang w:val="es-ES"/>
        </w:rPr>
        <w:lastRenderedPageBreak/>
        <w:t>restrictiva, es decir, solo procede por las causales señaladas expresamente en la ley. Aunque las causales de contratación directa se encuentran contenidas en el numeral 4 del artículo 2 de la Ley 1150 de 2007, también se pueden encontrar en otras leyes eventos en los que se autorice la contratación bajo esta modalidad.</w:t>
      </w:r>
      <w:bookmarkEnd w:id="11"/>
      <w:r>
        <w:rPr>
          <w:rFonts w:ascii="Verdana" w:eastAsia="Calibri" w:hAnsi="Verdana" w:cs="Arial"/>
          <w:lang w:val="es-ES" w:eastAsia="es-MX"/>
        </w:rPr>
        <w:t xml:space="preserve"> De cualquier forma</w:t>
      </w:r>
      <w:r w:rsidRPr="002167F7">
        <w:rPr>
          <w:rFonts w:ascii="Verdana" w:eastAsia="Calibri" w:hAnsi="Verdana" w:cs="Arial"/>
          <w:lang w:val="es-ES" w:eastAsia="es-MX"/>
        </w:rPr>
        <w:t>, su aplicación no puede efectuarse por fuera del contenido normativo, ni operar más allá de lo que la misma norma dispone, dentro del contexto del ordenamiento jurídico de la contratación estatal.</w:t>
      </w:r>
      <w:bookmarkStart w:id="13" w:name="_Hlk101520248"/>
      <w:bookmarkEnd w:id="10"/>
      <w:bookmarkEnd w:id="12"/>
      <w:r w:rsidRPr="002167F7">
        <w:rPr>
          <w:rFonts w:ascii="Verdana" w:eastAsia="Calibri" w:hAnsi="Verdana" w:cs="Arial"/>
          <w:lang w:val="es-ES" w:eastAsia="es-MX"/>
        </w:rPr>
        <w:t xml:space="preserve"> </w:t>
      </w:r>
      <w:bookmarkEnd w:id="13"/>
    </w:p>
    <w:p w14:paraId="1F5A797B" w14:textId="77777777" w:rsidR="0047433B" w:rsidRDefault="0047433B" w:rsidP="0047433B">
      <w:pPr>
        <w:spacing w:after="120" w:line="276" w:lineRule="auto"/>
        <w:ind w:firstLine="709"/>
        <w:jc w:val="both"/>
        <w:rPr>
          <w:rFonts w:ascii="Verdana" w:eastAsia="Arial" w:hAnsi="Verdana" w:cs="Arial"/>
          <w:lang w:val="es-ES"/>
        </w:rPr>
      </w:pPr>
      <w:r w:rsidRPr="002167F7">
        <w:rPr>
          <w:rFonts w:ascii="Verdana" w:eastAsia="Calibri" w:hAnsi="Verdana" w:cs="Arial"/>
          <w:lang w:val="es-ES" w:eastAsia="es-MX"/>
        </w:rPr>
        <w:t>De lo expuesto</w:t>
      </w:r>
      <w:r>
        <w:rPr>
          <w:rFonts w:ascii="Verdana" w:eastAsia="Calibri" w:hAnsi="Verdana" w:cs="Arial"/>
          <w:lang w:val="es-ES" w:eastAsia="es-MX"/>
        </w:rPr>
        <w:t>,</w:t>
      </w:r>
      <w:r w:rsidRPr="002167F7">
        <w:rPr>
          <w:rFonts w:ascii="Verdana" w:eastAsia="Calibri" w:hAnsi="Verdana" w:cs="Arial"/>
          <w:lang w:val="es-ES" w:eastAsia="es-MX"/>
        </w:rPr>
        <w:t xml:space="preserve"> se observa que </w:t>
      </w:r>
      <w:r w:rsidRPr="002167F7">
        <w:rPr>
          <w:rFonts w:ascii="Verdana" w:eastAsia="Arial" w:hAnsi="Verdana" w:cs="Arial"/>
          <w:lang w:val="es-ES"/>
        </w:rPr>
        <w:t>la licitación pública, la selección abreviada, el concurso de méritos y la mínima cuantía son modalidades de selección competitivas o abiertas a competencia, ya que en ellas tiene lugar la participación de varios proponentes en una fase pública de presentación de ofertas. Esto permite que todas las personas interesadas concurran al proceso en igualdad de condiciones y compitan en el mismo. En contraste, la modalidad de selección de contratación directa no es competitiva, es decir, que no es abierta a los proponentes para que los interesados presenten sus ofertas. En esta, es la entidad la que determina, de forma directa, la persona que puede participar y que será seleccionada.</w:t>
      </w:r>
    </w:p>
    <w:p w14:paraId="6CF3288A" w14:textId="77777777" w:rsidR="0047433B" w:rsidRDefault="0047433B" w:rsidP="0047433B">
      <w:pPr>
        <w:spacing w:after="120" w:line="276" w:lineRule="auto"/>
        <w:jc w:val="both"/>
        <w:rPr>
          <w:rFonts w:ascii="Verdana" w:eastAsia="Arial" w:hAnsi="Verdana" w:cs="Arial"/>
          <w:lang w:val="es-ES"/>
        </w:rPr>
      </w:pPr>
      <w:proofErr w:type="spellStart"/>
      <w:r>
        <w:rPr>
          <w:rFonts w:ascii="Verdana" w:eastAsia="Arial" w:hAnsi="Verdana" w:cs="Arial"/>
          <w:lang w:val="es-ES"/>
        </w:rPr>
        <w:t>ii</w:t>
      </w:r>
      <w:proofErr w:type="spellEnd"/>
      <w:r>
        <w:rPr>
          <w:rFonts w:ascii="Verdana" w:eastAsia="Arial" w:hAnsi="Verdana" w:cs="Arial"/>
          <w:lang w:val="es-ES"/>
        </w:rPr>
        <w:t xml:space="preserve">. Ahora bien, específicamente </w:t>
      </w:r>
      <w:r w:rsidRPr="00A17659">
        <w:rPr>
          <w:rFonts w:ascii="Verdana" w:eastAsia="Arial" w:hAnsi="Verdana" w:cs="Arial"/>
          <w:lang w:val="es-ES"/>
        </w:rPr>
        <w:t xml:space="preserve">respecto de la contratación de los servicios de representación judicial en procesos de cobro coactivo a los que se refiere su consulta, la modalidad de selección aplicable deberá definirse a partir del análisis del objeto contractual y de las actividades requeridas para su ejecución, razón por la cual no es </w:t>
      </w:r>
      <w:r>
        <w:rPr>
          <w:rFonts w:ascii="Verdana" w:eastAsia="Arial" w:hAnsi="Verdana" w:cs="Arial"/>
          <w:lang w:val="es-ES"/>
        </w:rPr>
        <w:t xml:space="preserve">viable </w:t>
      </w:r>
      <w:r w:rsidRPr="00A17659">
        <w:rPr>
          <w:rFonts w:ascii="Verdana" w:eastAsia="Arial" w:hAnsi="Verdana" w:cs="Arial"/>
          <w:lang w:val="es-ES"/>
        </w:rPr>
        <w:t xml:space="preserve">determinar una modalidad de contratación única y </w:t>
      </w:r>
      <w:r>
        <w:rPr>
          <w:rFonts w:ascii="Verdana" w:eastAsia="Arial" w:hAnsi="Verdana" w:cs="Arial"/>
          <w:lang w:val="es-ES"/>
        </w:rPr>
        <w:t>concreta</w:t>
      </w:r>
      <w:r w:rsidRPr="00A17659">
        <w:rPr>
          <w:rFonts w:ascii="Verdana" w:eastAsia="Arial" w:hAnsi="Verdana" w:cs="Arial"/>
          <w:lang w:val="es-ES"/>
        </w:rPr>
        <w:t xml:space="preserve"> para este </w:t>
      </w:r>
      <w:r>
        <w:rPr>
          <w:rFonts w:ascii="Verdana" w:eastAsia="Arial" w:hAnsi="Verdana" w:cs="Arial"/>
          <w:lang w:val="es-ES"/>
        </w:rPr>
        <w:t xml:space="preserve">caso. </w:t>
      </w:r>
    </w:p>
    <w:p w14:paraId="47673390" w14:textId="77777777" w:rsidR="0047433B" w:rsidRDefault="0047433B" w:rsidP="0047433B">
      <w:pPr>
        <w:spacing w:after="120" w:line="276" w:lineRule="auto"/>
        <w:ind w:firstLine="709"/>
        <w:jc w:val="both"/>
        <w:rPr>
          <w:rFonts w:ascii="Verdana" w:eastAsia="Arial" w:hAnsi="Verdana" w:cs="Arial"/>
          <w:lang w:val="es-ES"/>
        </w:rPr>
      </w:pPr>
      <w:r>
        <w:rPr>
          <w:rFonts w:ascii="Verdana" w:eastAsia="Arial" w:hAnsi="Verdana" w:cs="Arial"/>
          <w:lang w:val="es-ES"/>
        </w:rPr>
        <w:t xml:space="preserve">En este sentido, es posible que para la contratación de dicho servicio pueda emplearse la modalidad de contratación directa aplicando la causal referente a los contratos de prestación de servicios profesionales, siempre que el alcance del servicio se enmarque en las actividades propias de este tipo de contratos. En efecto, de conformidad con </w:t>
      </w:r>
      <w:r w:rsidRPr="006C555A">
        <w:rPr>
          <w:rFonts w:ascii="Verdana" w:eastAsia="Calibri" w:hAnsi="Verdana" w:cs="Arial"/>
          <w:color w:val="000000"/>
        </w:rPr>
        <w:t xml:space="preserve">el artículo 32, numeral 3º, de la Ley 80 de 1993, </w:t>
      </w:r>
      <w:r>
        <w:rPr>
          <w:rFonts w:ascii="Verdana" w:eastAsia="Calibri" w:hAnsi="Verdana" w:cs="Arial"/>
          <w:color w:val="000000"/>
        </w:rPr>
        <w:t xml:space="preserve">estos contratos se celebran </w:t>
      </w:r>
      <w:r w:rsidRPr="00506B20">
        <w:rPr>
          <w:rFonts w:ascii="Verdana" w:eastAsia="Calibri" w:hAnsi="Verdana" w:cs="Arial"/>
          <w:color w:val="000000"/>
        </w:rPr>
        <w:t>para desarrollar</w:t>
      </w:r>
      <w:r w:rsidRPr="006C555A">
        <w:rPr>
          <w:rFonts w:ascii="Verdana" w:eastAsia="Calibri" w:hAnsi="Verdana" w:cs="Arial"/>
          <w:color w:val="000000"/>
          <w:sz w:val="20"/>
          <w:szCs w:val="20"/>
        </w:rPr>
        <w:t xml:space="preserve"> </w:t>
      </w:r>
      <w:r w:rsidRPr="006C555A">
        <w:rPr>
          <w:rFonts w:ascii="Verdana" w:eastAsia="Calibri" w:hAnsi="Verdana" w:cs="Arial"/>
          <w:color w:val="000000"/>
        </w:rPr>
        <w:t>“actividades relacionadas con la administración o funcionamiento de la entidad”, es decir, que hagan parte de su giro ordinario o quehacer cotidiano</w:t>
      </w:r>
      <w:r>
        <w:rPr>
          <w:rFonts w:ascii="Verdana" w:eastAsia="Calibri" w:hAnsi="Verdana" w:cs="Arial"/>
          <w:color w:val="000000"/>
        </w:rPr>
        <w:t xml:space="preserve"> y podrán </w:t>
      </w:r>
      <w:r w:rsidRPr="00506B20">
        <w:rPr>
          <w:rFonts w:ascii="Verdana" w:eastAsia="Calibri" w:hAnsi="Verdana" w:cs="Arial"/>
          <w:color w:val="000000"/>
        </w:rPr>
        <w:t xml:space="preserve">celebrarse con personas naturales </w:t>
      </w:r>
      <w:r>
        <w:rPr>
          <w:rFonts w:ascii="Verdana" w:eastAsia="Calibri" w:hAnsi="Verdana" w:cs="Arial"/>
          <w:color w:val="000000"/>
        </w:rPr>
        <w:t xml:space="preserve">y jurídicas </w:t>
      </w:r>
      <w:r w:rsidRPr="00506B20">
        <w:rPr>
          <w:rFonts w:ascii="Verdana" w:eastAsia="Calibri" w:hAnsi="Verdana" w:cs="Arial"/>
          <w:color w:val="000000"/>
        </w:rPr>
        <w:t>cuando dichas actividades no puedan realizarse con personal de planta o requieran conocimientos especializados.</w:t>
      </w:r>
    </w:p>
    <w:p w14:paraId="5D31F7D9" w14:textId="77777777" w:rsidR="0047433B" w:rsidRPr="00F445F9" w:rsidRDefault="0047433B" w:rsidP="0047433B">
      <w:pPr>
        <w:spacing w:after="120" w:line="276" w:lineRule="auto"/>
        <w:ind w:firstLine="709"/>
        <w:jc w:val="both"/>
        <w:rPr>
          <w:rFonts w:ascii="Verdana" w:eastAsia="Arial" w:hAnsi="Verdana" w:cs="Arial"/>
          <w:lang w:val="es-ES"/>
        </w:rPr>
      </w:pPr>
      <w:r w:rsidRPr="00F8459C">
        <w:rPr>
          <w:rFonts w:ascii="Verdana" w:eastAsia="Times New Roman" w:hAnsi="Verdana" w:cs="Arial"/>
          <w:color w:val="000000" w:themeColor="text1"/>
          <w:lang w:eastAsia="es-CO"/>
        </w:rPr>
        <w:t xml:space="preserve">Aunque la Ley no determina cuales actividades pueden ser ejecutadas por medio de este contrato, la jurisprudencia se ha encargado de analizar el ámbito de aplicación del contrato de prestación de servicios precisando el marco dentro </w:t>
      </w:r>
      <w:r w:rsidRPr="00F8459C">
        <w:rPr>
          <w:rFonts w:ascii="Verdana" w:eastAsia="Times New Roman" w:hAnsi="Verdana" w:cs="Arial"/>
          <w:color w:val="000000" w:themeColor="text1"/>
          <w:lang w:eastAsia="es-CO"/>
        </w:rPr>
        <w:lastRenderedPageBreak/>
        <w:t xml:space="preserve">del cual se deben concretar las actividades de “administración y funcionamiento” de la entidad. </w:t>
      </w:r>
      <w:r>
        <w:rPr>
          <w:rFonts w:ascii="Verdana" w:eastAsia="Times New Roman" w:hAnsi="Verdana" w:cs="Arial"/>
          <w:color w:val="000000" w:themeColor="text1"/>
          <w:lang w:eastAsia="es-CO"/>
        </w:rPr>
        <w:t>L</w:t>
      </w:r>
      <w:r w:rsidRPr="00F8459C">
        <w:rPr>
          <w:rFonts w:ascii="Verdana" w:eastAsia="Times New Roman" w:hAnsi="Verdana" w:cs="Arial"/>
          <w:color w:val="000000" w:themeColor="text1"/>
          <w:lang w:eastAsia="es-CO"/>
        </w:rPr>
        <w:t>a Corte Constitucional ha señalado que el objeto del contrato de prestación de servicios lo conforman “la realización temporal de actividades inherentes al funcionamiento de la entidad respectiva, es decir, relacionadas con el objeto y finalidad para la cual fue creada y organizada”</w:t>
      </w:r>
      <w:r w:rsidRPr="00F8459C">
        <w:rPr>
          <w:rFonts w:ascii="Verdana" w:eastAsia="Times New Roman" w:hAnsi="Verdana" w:cs="Arial"/>
          <w:color w:val="000000" w:themeColor="text1"/>
          <w:vertAlign w:val="superscript"/>
          <w:lang w:eastAsia="es-CO"/>
        </w:rPr>
        <w:footnoteReference w:id="12"/>
      </w:r>
      <w:r w:rsidRPr="00F8459C">
        <w:rPr>
          <w:rFonts w:ascii="Verdana" w:eastAsia="Times New Roman" w:hAnsi="Verdana" w:cs="Arial"/>
          <w:color w:val="000000" w:themeColor="text1"/>
          <w:lang w:eastAsia="es-CO"/>
        </w:rPr>
        <w:t>. Asimismo, ha indicado que el contrato de prestación de servicios “fue creado por el Legislador, como una valiosa herramienta que permite a la administración ejecutar aquellas tareas específicas diferentes de las funciones permanentes que le son atribuidas, o en aquellos eventos en que las tareas no pueden ser suministradas por las personas vinculadas laboralmente a la entidad contratante, o cuando se requieren conocimientos especializados”</w:t>
      </w:r>
      <w:r w:rsidRPr="00F8459C">
        <w:rPr>
          <w:rFonts w:ascii="Verdana" w:eastAsia="Times New Roman" w:hAnsi="Verdana" w:cs="Arial"/>
          <w:color w:val="000000" w:themeColor="text1"/>
          <w:vertAlign w:val="superscript"/>
          <w:lang w:eastAsia="es-CO"/>
        </w:rPr>
        <w:footnoteReference w:id="13"/>
      </w:r>
      <w:r w:rsidRPr="00F8459C">
        <w:rPr>
          <w:rFonts w:ascii="Verdana" w:eastAsia="Times New Roman" w:hAnsi="Verdana" w:cs="Arial"/>
          <w:color w:val="000000" w:themeColor="text1"/>
          <w:lang w:eastAsia="es-CO"/>
        </w:rPr>
        <w:t>.</w:t>
      </w:r>
    </w:p>
    <w:p w14:paraId="60FE262F" w14:textId="77777777" w:rsidR="0047433B" w:rsidRPr="00450D23" w:rsidRDefault="0047433B" w:rsidP="0047433B">
      <w:pPr>
        <w:spacing w:after="120" w:line="276" w:lineRule="auto"/>
        <w:ind w:right="103"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De esta manera, l</w:t>
      </w:r>
      <w:r w:rsidRPr="00F8459C">
        <w:rPr>
          <w:rFonts w:ascii="Verdana" w:eastAsia="Times New Roman" w:hAnsi="Verdana" w:cs="Arial"/>
          <w:color w:val="000000" w:themeColor="text1"/>
          <w:lang w:eastAsia="es-CO"/>
        </w:rPr>
        <w:t xml:space="preserve">as actividades de administración y funcionamiento que pueden ser realizadas por vía del contrato de prestación de servicios deben guardar relación con el funcionamiento de la entidad y ejecutarse por el tiempo estrictamente indispensable, teniendo en cuenta las necesidades que la administración pública pretenda satisfacer. En otras palabras, su propósito es desarrollar actividades relacionadas con el cumplimiento de las funciones y objeto misional a cargo de la entidad contratante, siempre que tales actividades o funciones sean temporales, excepcionales u ocasionales y no puedan realizarse con el personal de planta, bien por ser insuficiente o bien porque se requieran conocimientos especializados. </w:t>
      </w:r>
      <w:bookmarkStart w:id="14" w:name="_Hlk91600568"/>
      <w:r w:rsidRPr="00F8459C">
        <w:rPr>
          <w:rFonts w:ascii="Verdana" w:eastAsia="Times New Roman" w:hAnsi="Verdana" w:cs="Arial"/>
          <w:color w:val="000000" w:themeColor="text1"/>
          <w:lang w:eastAsia="es-CO"/>
        </w:rPr>
        <w:t>Por consiguiente, en estos contratos no pueden suplirse, de forma definitiva, las funciones permanentes de la entidad.</w:t>
      </w:r>
      <w:bookmarkEnd w:id="14"/>
    </w:p>
    <w:p w14:paraId="110BB790" w14:textId="77777777" w:rsidR="0047433B" w:rsidRDefault="0047433B" w:rsidP="0047433B">
      <w:pPr>
        <w:spacing w:before="120" w:after="120" w:line="276" w:lineRule="auto"/>
        <w:ind w:firstLine="709"/>
        <w:jc w:val="both"/>
        <w:rPr>
          <w:rFonts w:ascii="Verdana" w:hAnsi="Verdana"/>
        </w:rPr>
      </w:pPr>
      <w:r>
        <w:rPr>
          <w:rFonts w:ascii="Verdana" w:hAnsi="Verdana"/>
        </w:rPr>
        <w:t xml:space="preserve">En este </w:t>
      </w:r>
      <w:r w:rsidRPr="006C555A">
        <w:rPr>
          <w:rFonts w:ascii="Verdana" w:hAnsi="Verdana"/>
        </w:rPr>
        <w:t xml:space="preserve">contexto, </w:t>
      </w:r>
      <w:r>
        <w:rPr>
          <w:rFonts w:ascii="Verdana" w:hAnsi="Verdana"/>
        </w:rPr>
        <w:t>cuando los</w:t>
      </w:r>
      <w:r w:rsidRPr="007D72FE">
        <w:rPr>
          <w:rFonts w:ascii="Verdana" w:eastAsia="Arial" w:hAnsi="Verdana" w:cs="Arial"/>
          <w:lang w:val="es-ES"/>
        </w:rPr>
        <w:t xml:space="preserve"> </w:t>
      </w:r>
      <w:r>
        <w:rPr>
          <w:rFonts w:ascii="Verdana" w:eastAsia="Arial" w:hAnsi="Verdana" w:cs="Arial"/>
          <w:lang w:val="es-ES"/>
        </w:rPr>
        <w:t xml:space="preserve">servicios de representación judicial para procesos de cobro coactivo implican </w:t>
      </w:r>
      <w:r>
        <w:rPr>
          <w:rFonts w:ascii="Verdana" w:eastAsia="Arial" w:hAnsi="Verdana" w:cs="Arial"/>
        </w:rPr>
        <w:t>el desarrollo de actividades propias de la administración y funcionamiento de la entidad de manera temporal, que no puede ser ejecutadas por el personal de planta y se limitan a la</w:t>
      </w:r>
      <w:r w:rsidRPr="00182C00">
        <w:rPr>
          <w:rFonts w:ascii="Verdana" w:eastAsia="Arial" w:hAnsi="Verdana" w:cs="Arial"/>
        </w:rPr>
        <w:t xml:space="preserve"> representación </w:t>
      </w:r>
      <w:r>
        <w:rPr>
          <w:rFonts w:ascii="Verdana" w:eastAsia="Arial" w:hAnsi="Verdana" w:cs="Arial"/>
        </w:rPr>
        <w:t xml:space="preserve">judicial </w:t>
      </w:r>
      <w:r w:rsidRPr="00182C00">
        <w:rPr>
          <w:rFonts w:ascii="Verdana" w:eastAsia="Arial" w:hAnsi="Verdana" w:cs="Arial"/>
        </w:rPr>
        <w:t>pura y simple en procesos ejecutivos</w:t>
      </w:r>
      <w:r>
        <w:rPr>
          <w:rFonts w:ascii="Verdana" w:eastAsia="Arial" w:hAnsi="Verdana" w:cs="Arial"/>
        </w:rPr>
        <w:t>,</w:t>
      </w:r>
      <w:r w:rsidRPr="00182C00">
        <w:rPr>
          <w:rFonts w:ascii="Verdana" w:eastAsia="Arial" w:hAnsi="Verdana" w:cs="Arial"/>
        </w:rPr>
        <w:t xml:space="preserve"> podría ser</w:t>
      </w:r>
      <w:r>
        <w:rPr>
          <w:rFonts w:ascii="Verdana" w:eastAsia="Arial" w:hAnsi="Verdana" w:cs="Arial"/>
        </w:rPr>
        <w:t xml:space="preserve"> procedente la celebración</w:t>
      </w:r>
      <w:r w:rsidRPr="00182C00">
        <w:rPr>
          <w:rFonts w:ascii="Verdana" w:eastAsia="Arial" w:hAnsi="Verdana" w:cs="Arial"/>
        </w:rPr>
        <w:t xml:space="preserve"> </w:t>
      </w:r>
      <w:r>
        <w:rPr>
          <w:rFonts w:ascii="Verdana" w:eastAsia="Arial" w:hAnsi="Verdana" w:cs="Arial"/>
        </w:rPr>
        <w:t>de un c</w:t>
      </w:r>
      <w:r w:rsidRPr="00182C00">
        <w:rPr>
          <w:rFonts w:ascii="Verdana" w:eastAsia="Arial" w:hAnsi="Verdana" w:cs="Arial"/>
        </w:rPr>
        <w:t>ontrato de prestación de servicios</w:t>
      </w:r>
      <w:r>
        <w:rPr>
          <w:rFonts w:ascii="Verdana" w:eastAsia="Arial" w:hAnsi="Verdana" w:cs="Arial"/>
        </w:rPr>
        <w:t xml:space="preserve"> profesionales</w:t>
      </w:r>
      <w:r w:rsidRPr="00182C00">
        <w:rPr>
          <w:rFonts w:ascii="Verdana" w:eastAsia="Arial" w:hAnsi="Verdana" w:cs="Arial"/>
        </w:rPr>
        <w:t>, y en, consecuencia la</w:t>
      </w:r>
      <w:r>
        <w:rPr>
          <w:rFonts w:ascii="Verdana" w:eastAsia="Arial" w:hAnsi="Verdana" w:cs="Arial"/>
        </w:rPr>
        <w:t xml:space="preserve"> modalidad de</w:t>
      </w:r>
      <w:r w:rsidRPr="00182C00">
        <w:rPr>
          <w:rFonts w:ascii="Verdana" w:eastAsia="Arial" w:hAnsi="Verdana" w:cs="Arial"/>
        </w:rPr>
        <w:t xml:space="preserve"> contratación directa</w:t>
      </w:r>
      <w:r>
        <w:rPr>
          <w:rFonts w:ascii="Verdana" w:eastAsia="Arial" w:hAnsi="Verdana" w:cs="Arial"/>
        </w:rPr>
        <w:t xml:space="preserve">. </w:t>
      </w:r>
    </w:p>
    <w:p w14:paraId="098DC4AA" w14:textId="77777777" w:rsidR="0047433B" w:rsidRDefault="0047433B" w:rsidP="0047433B">
      <w:pPr>
        <w:spacing w:before="120" w:after="120" w:line="276" w:lineRule="auto"/>
        <w:ind w:firstLine="709"/>
        <w:jc w:val="both"/>
        <w:rPr>
          <w:rFonts w:ascii="Verdana" w:hAnsi="Verdana"/>
        </w:rPr>
      </w:pPr>
      <w:r>
        <w:rPr>
          <w:rFonts w:ascii="Verdana" w:hAnsi="Verdana"/>
        </w:rPr>
        <w:t xml:space="preserve">Por su parte, </w:t>
      </w:r>
      <w:r w:rsidRPr="00F17EAF">
        <w:rPr>
          <w:rFonts w:ascii="Verdana" w:hAnsi="Verdana"/>
        </w:rPr>
        <w:t xml:space="preserve">cuando el </w:t>
      </w:r>
      <w:r>
        <w:rPr>
          <w:rFonts w:ascii="Verdana" w:hAnsi="Verdana"/>
        </w:rPr>
        <w:t xml:space="preserve">objeto del </w:t>
      </w:r>
      <w:r w:rsidRPr="00F17EAF">
        <w:rPr>
          <w:rFonts w:ascii="Verdana" w:hAnsi="Verdana"/>
        </w:rPr>
        <w:t xml:space="preserve">contrato incluye un componente especializado que implique el ejercicio de conocimientos técnicos </w:t>
      </w:r>
      <w:r>
        <w:rPr>
          <w:rFonts w:ascii="Verdana" w:hAnsi="Verdana"/>
        </w:rPr>
        <w:t xml:space="preserve">que </w:t>
      </w:r>
      <w:r w:rsidRPr="00F17EAF">
        <w:rPr>
          <w:rFonts w:ascii="Verdana" w:hAnsi="Verdana"/>
        </w:rPr>
        <w:t>pued</w:t>
      </w:r>
      <w:r>
        <w:rPr>
          <w:rFonts w:ascii="Verdana" w:hAnsi="Verdana"/>
        </w:rPr>
        <w:t>a</w:t>
      </w:r>
      <w:r w:rsidRPr="00F17EAF">
        <w:rPr>
          <w:rFonts w:ascii="Verdana" w:hAnsi="Verdana"/>
        </w:rPr>
        <w:t xml:space="preserve"> </w:t>
      </w:r>
      <w:r w:rsidRPr="00F17EAF">
        <w:rPr>
          <w:rFonts w:ascii="Verdana" w:hAnsi="Verdana"/>
        </w:rPr>
        <w:lastRenderedPageBreak/>
        <w:t>encuadrarse dentro de</w:t>
      </w:r>
      <w:r>
        <w:rPr>
          <w:rFonts w:ascii="Verdana" w:hAnsi="Verdana"/>
        </w:rPr>
        <w:t xml:space="preserve"> la definición </w:t>
      </w:r>
      <w:r w:rsidRPr="00F17EAF">
        <w:rPr>
          <w:rFonts w:ascii="Verdana" w:hAnsi="Verdana"/>
        </w:rPr>
        <w:t>previst</w:t>
      </w:r>
      <w:r>
        <w:rPr>
          <w:rFonts w:ascii="Verdana" w:hAnsi="Verdana"/>
        </w:rPr>
        <w:t>a</w:t>
      </w:r>
      <w:r w:rsidRPr="00F17EAF">
        <w:rPr>
          <w:rFonts w:ascii="Verdana" w:hAnsi="Verdana"/>
        </w:rPr>
        <w:t xml:space="preserve"> en </w:t>
      </w:r>
      <w:r>
        <w:rPr>
          <w:rFonts w:ascii="Verdana" w:hAnsi="Verdana"/>
        </w:rPr>
        <w:t xml:space="preserve">el </w:t>
      </w:r>
      <w:r w:rsidRPr="00F17EAF">
        <w:rPr>
          <w:rFonts w:ascii="Verdana" w:hAnsi="Verdana"/>
        </w:rPr>
        <w:t xml:space="preserve">numeral 2 </w:t>
      </w:r>
      <w:r>
        <w:rPr>
          <w:rFonts w:ascii="Verdana" w:hAnsi="Verdana"/>
        </w:rPr>
        <w:t>d</w:t>
      </w:r>
      <w:r w:rsidRPr="00F17EAF">
        <w:rPr>
          <w:rFonts w:ascii="Verdana" w:hAnsi="Verdana"/>
        </w:rPr>
        <w:t>el artículo 32</w:t>
      </w:r>
      <w:r>
        <w:rPr>
          <w:rFonts w:ascii="Verdana" w:hAnsi="Verdana"/>
        </w:rPr>
        <w:t xml:space="preserve"> </w:t>
      </w:r>
      <w:r w:rsidRPr="00F17EAF">
        <w:rPr>
          <w:rFonts w:ascii="Verdana" w:hAnsi="Verdana"/>
        </w:rPr>
        <w:t>de la Ley 80 de 1993</w:t>
      </w:r>
      <w:r>
        <w:rPr>
          <w:rFonts w:ascii="Verdana" w:hAnsi="Verdana"/>
        </w:rPr>
        <w:t xml:space="preserve">, podría celebrarse un contrato de consultoría </w:t>
      </w:r>
      <w:proofErr w:type="gramStart"/>
      <w:r>
        <w:rPr>
          <w:rFonts w:ascii="Verdana" w:hAnsi="Verdana"/>
        </w:rPr>
        <w:t>y</w:t>
      </w:r>
      <w:proofErr w:type="gramEnd"/>
      <w:r>
        <w:rPr>
          <w:rFonts w:ascii="Verdana" w:hAnsi="Verdana"/>
        </w:rPr>
        <w:t xml:space="preserve"> por tanto, acudir a la modalidad de contratación de concurso de méritos</w:t>
      </w:r>
      <w:r w:rsidRPr="00F17EAF">
        <w:rPr>
          <w:rFonts w:ascii="Verdana" w:hAnsi="Verdana"/>
        </w:rPr>
        <w:t xml:space="preserve">. </w:t>
      </w:r>
      <w:r>
        <w:rPr>
          <w:rFonts w:ascii="Verdana" w:hAnsi="Verdana"/>
        </w:rPr>
        <w:t xml:space="preserve">Lo anterior, salvo que </w:t>
      </w:r>
      <w:r w:rsidRPr="00B219A2">
        <w:rPr>
          <w:rFonts w:ascii="Verdana" w:hAnsi="Verdana"/>
        </w:rPr>
        <w:t>la cuantía del contrato sea inferior al diez por ciento (10 %) de la menor cuantía</w:t>
      </w:r>
      <w:r>
        <w:rPr>
          <w:rFonts w:ascii="Verdana" w:hAnsi="Verdana"/>
        </w:rPr>
        <w:t xml:space="preserve"> de la entidad</w:t>
      </w:r>
      <w:r w:rsidRPr="00B219A2">
        <w:rPr>
          <w:rFonts w:ascii="Verdana" w:hAnsi="Verdana"/>
        </w:rPr>
        <w:t>, evento en el cual será aplicable la modalidad de mínima cuantía</w:t>
      </w:r>
      <w:r>
        <w:rPr>
          <w:rFonts w:ascii="Verdana" w:hAnsi="Verdana"/>
        </w:rPr>
        <w:t xml:space="preserve">. </w:t>
      </w:r>
    </w:p>
    <w:p w14:paraId="1EBE6DD3" w14:textId="77777777" w:rsidR="0047433B" w:rsidRPr="004F2114" w:rsidRDefault="0047433B" w:rsidP="0047433B">
      <w:pPr>
        <w:spacing w:after="120" w:line="276" w:lineRule="auto"/>
        <w:ind w:firstLine="709"/>
        <w:jc w:val="both"/>
        <w:rPr>
          <w:rFonts w:ascii="Verdana" w:hAnsi="Verdana" w:cs="Arial"/>
          <w:lang w:val="es-ES"/>
        </w:rPr>
      </w:pPr>
      <w:r>
        <w:rPr>
          <w:rFonts w:ascii="Verdana" w:hAnsi="Verdana" w:cs="Arial"/>
          <w:lang w:val="es-ES"/>
        </w:rPr>
        <w:t xml:space="preserve">En este sentido, </w:t>
      </w:r>
      <w:r>
        <w:rPr>
          <w:rFonts w:ascii="Verdana" w:eastAsia="Calibri" w:hAnsi="Verdana" w:cs="Arial"/>
          <w:bCs/>
          <w:lang w:val="es-ES"/>
        </w:rPr>
        <w:t xml:space="preserve">vale reiterar que solo se podrá acudir a esta modalidad de selección cuando el objeto a ejecutar se trate de actividades de </w:t>
      </w:r>
      <w:r w:rsidRPr="002167F7">
        <w:rPr>
          <w:rFonts w:ascii="Verdana" w:eastAsia="Calibri" w:hAnsi="Verdana" w:cs="Arial"/>
          <w:bCs/>
          <w:lang w:val="es-ES"/>
        </w:rPr>
        <w:t xml:space="preserve">consultoría </w:t>
      </w:r>
      <w:r>
        <w:rPr>
          <w:rFonts w:ascii="Verdana" w:eastAsia="Calibri" w:hAnsi="Verdana" w:cs="Arial"/>
          <w:bCs/>
          <w:lang w:val="es-ES"/>
        </w:rPr>
        <w:t xml:space="preserve">que </w:t>
      </w:r>
      <w:r w:rsidRPr="002167F7">
        <w:rPr>
          <w:rFonts w:ascii="Verdana" w:eastAsia="Calibri" w:hAnsi="Verdana" w:cs="Arial"/>
          <w:bCs/>
          <w:lang w:val="es-ES"/>
        </w:rPr>
        <w:t>tienen por objeto la interventoría, asesoría, gerencia de obra o de proyectos, dirección, programación y la ejecución de diseños, planos, anteproyectos y proyectos</w:t>
      </w:r>
      <w:r>
        <w:rPr>
          <w:rFonts w:ascii="Verdana" w:eastAsia="Calibri" w:hAnsi="Verdana" w:cs="Arial"/>
          <w:bCs/>
          <w:lang w:val="es-ES"/>
        </w:rPr>
        <w:t xml:space="preserve">, así como para </w:t>
      </w:r>
      <w:r w:rsidRPr="002167F7">
        <w:rPr>
          <w:rFonts w:ascii="Verdana" w:hAnsi="Verdana" w:cs="Arial"/>
          <w:lang w:val="es-ES"/>
        </w:rPr>
        <w:t>selección de consultores de diseño, planos, anteproyectos y proyectos arquitectónicos</w:t>
      </w:r>
      <w:r>
        <w:rPr>
          <w:rFonts w:ascii="Verdana" w:hAnsi="Verdana" w:cs="Arial"/>
          <w:lang w:val="es-ES"/>
        </w:rPr>
        <w:t xml:space="preserve">. </w:t>
      </w:r>
    </w:p>
    <w:p w14:paraId="0A87F6BF" w14:textId="77777777" w:rsidR="0047433B" w:rsidRPr="006C555A" w:rsidRDefault="0047433B" w:rsidP="0047433B">
      <w:pPr>
        <w:spacing w:before="120" w:after="120" w:line="276" w:lineRule="auto"/>
        <w:ind w:firstLine="709"/>
        <w:jc w:val="both"/>
        <w:rPr>
          <w:rFonts w:ascii="Verdana" w:hAnsi="Verdana"/>
        </w:rPr>
      </w:pPr>
      <w:r w:rsidRPr="00F17EAF">
        <w:rPr>
          <w:rFonts w:ascii="Verdana" w:hAnsi="Verdana"/>
        </w:rPr>
        <w:t xml:space="preserve">Por el contrario, si del análisis del objeto contractual se concluye que este no </w:t>
      </w:r>
      <w:r>
        <w:rPr>
          <w:rFonts w:ascii="Verdana" w:hAnsi="Verdana"/>
        </w:rPr>
        <w:t xml:space="preserve">se subsume </w:t>
      </w:r>
      <w:r w:rsidRPr="00F17EAF">
        <w:rPr>
          <w:rFonts w:ascii="Verdana" w:hAnsi="Verdana"/>
        </w:rPr>
        <w:t>en las tipologías contractuales previstas en los numerales 2 y 3 del artículo 32 de la Ley 80</w:t>
      </w:r>
      <w:r>
        <w:rPr>
          <w:rFonts w:ascii="Verdana" w:hAnsi="Verdana"/>
        </w:rPr>
        <w:t xml:space="preserve"> de 1993</w:t>
      </w:r>
      <w:r w:rsidRPr="00F17EAF">
        <w:rPr>
          <w:rFonts w:ascii="Verdana" w:hAnsi="Verdana"/>
        </w:rPr>
        <w:t xml:space="preserve">, la entidad deberá acudir a las modalidades de selección </w:t>
      </w:r>
      <w:r>
        <w:rPr>
          <w:rFonts w:ascii="Verdana" w:hAnsi="Verdana"/>
        </w:rPr>
        <w:t>como</w:t>
      </w:r>
      <w:r w:rsidRPr="00F17EAF">
        <w:rPr>
          <w:rFonts w:ascii="Verdana" w:hAnsi="Verdana"/>
        </w:rPr>
        <w:t xml:space="preserve"> la licitación pública o la selección abreviada de menor cuantía, según el monto del contrato. Ello garantiza el respeto de los principios de transparencia, selección objetiva y libre concurrencia, evitando una indebida utilización de modalidades excepcionales</w:t>
      </w:r>
      <w:r>
        <w:rPr>
          <w:rFonts w:ascii="Verdana" w:hAnsi="Verdana"/>
        </w:rPr>
        <w:t xml:space="preserve">. </w:t>
      </w:r>
    </w:p>
    <w:p w14:paraId="1D11AE9E" w14:textId="77777777" w:rsidR="0047433B" w:rsidRDefault="0047433B" w:rsidP="0047433B">
      <w:pPr>
        <w:spacing w:after="120" w:line="276" w:lineRule="auto"/>
        <w:ind w:firstLine="709"/>
        <w:jc w:val="both"/>
        <w:rPr>
          <w:rFonts w:ascii="Verdana" w:eastAsia="Arial" w:hAnsi="Verdana" w:cs="Arial"/>
          <w:lang w:val="es-ES"/>
        </w:rPr>
      </w:pPr>
      <w:r w:rsidRPr="006C555A">
        <w:rPr>
          <w:rFonts w:ascii="Verdana" w:eastAsia="Calibri" w:hAnsi="Verdana"/>
          <w:color w:val="000000" w:themeColor="text1"/>
          <w:lang w:val="es-ES_tradnl"/>
        </w:rPr>
        <w:t xml:space="preserve">En todo caso, debe precisarse que, es la entidad estatal, después de analizar detalladamente el objeto, y previa justificación de su régimen jurídico, quien debe definir en que tipo contractual se encuadra la actividad a contratar, para lo cual resultan relevantes las consideraciones aquí esbozadas. En ese sentido, determinar </w:t>
      </w:r>
      <w:r>
        <w:rPr>
          <w:rFonts w:ascii="Verdana" w:eastAsia="Calibri" w:hAnsi="Verdana"/>
          <w:color w:val="000000" w:themeColor="text1"/>
          <w:lang w:val="es-ES_tradnl"/>
        </w:rPr>
        <w:t xml:space="preserve">la modalidad de contratación en el caso concreto objeto de consulta </w:t>
      </w:r>
      <w:r w:rsidRPr="006C555A">
        <w:rPr>
          <w:rFonts w:ascii="Verdana" w:eastAsia="Calibri" w:hAnsi="Verdana"/>
          <w:color w:val="000000" w:themeColor="text1"/>
          <w:lang w:val="es-ES_tradnl"/>
        </w:rPr>
        <w:t xml:space="preserve">es un asunto que compete a la correspondiente entidad, labor que además tampoco resulta posible en una valoración </w:t>
      </w:r>
      <w:r w:rsidRPr="006C555A">
        <w:rPr>
          <w:rFonts w:ascii="Verdana" w:eastAsia="Calibri" w:hAnsi="Verdana"/>
          <w:i/>
          <w:iCs/>
          <w:color w:val="000000" w:themeColor="text1"/>
          <w:lang w:val="es-ES_tradnl"/>
        </w:rPr>
        <w:t xml:space="preserve">ex ante </w:t>
      </w:r>
      <w:r w:rsidRPr="006C555A">
        <w:rPr>
          <w:rFonts w:ascii="Verdana" w:eastAsia="Calibri" w:hAnsi="Verdana"/>
          <w:color w:val="000000" w:themeColor="text1"/>
          <w:lang w:val="es-ES_tradnl"/>
        </w:rPr>
        <w:t>realizada en el marco del ejercicio de la función consultiva, sin conocer las particularidades técnicas del objeto contractual. Esto sin perjuicio del análisis jurídico aquí realizado en torno a las categorías contractuales que pudieran ser relevantes para dicho propósito.</w:t>
      </w:r>
    </w:p>
    <w:p w14:paraId="4A64A3D6" w14:textId="77777777" w:rsidR="0047433B" w:rsidRPr="008A0EA6" w:rsidRDefault="0047433B" w:rsidP="0047433B">
      <w:pPr>
        <w:spacing w:after="0" w:line="276" w:lineRule="auto"/>
        <w:ind w:firstLine="709"/>
        <w:jc w:val="both"/>
        <w:rPr>
          <w:rFonts w:ascii="Verdana" w:eastAsia="Arial" w:hAnsi="Verdana" w:cs="Arial"/>
          <w:lang w:val="es-ES"/>
        </w:rPr>
      </w:pPr>
    </w:p>
    <w:p w14:paraId="11EE2AAD" w14:textId="77777777" w:rsidR="0047433B" w:rsidRPr="002167F7" w:rsidRDefault="0047433B" w:rsidP="0047433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167F7">
        <w:rPr>
          <w:rFonts w:ascii="Verdana" w:eastAsia="Century Gothic" w:hAnsi="Verdana" w:cs="Century Gothic"/>
          <w:b/>
          <w:bCs/>
        </w:rPr>
        <w:t>Referencias normativas</w:t>
      </w:r>
      <w:r>
        <w:rPr>
          <w:rFonts w:ascii="Verdana" w:eastAsia="Century Gothic" w:hAnsi="Verdana" w:cs="Century Gothic"/>
          <w:b/>
          <w:bCs/>
        </w:rPr>
        <w:t xml:space="preserve"> y</w:t>
      </w:r>
      <w:r w:rsidRPr="002167F7">
        <w:rPr>
          <w:rFonts w:ascii="Verdana" w:eastAsia="Century Gothic" w:hAnsi="Verdana" w:cs="Century Gothic"/>
          <w:b/>
          <w:bCs/>
        </w:rPr>
        <w:t xml:space="preserve"> jurisprudenciales</w:t>
      </w:r>
      <w:r>
        <w:rPr>
          <w:rFonts w:ascii="Verdana" w:eastAsia="Century Gothic" w:hAnsi="Verdana" w:cs="Century Gothic"/>
          <w:b/>
          <w:bCs/>
        </w:rPr>
        <w:t xml:space="preserve">: </w:t>
      </w:r>
    </w:p>
    <w:p w14:paraId="78E7F1D5" w14:textId="77777777" w:rsidR="0047433B" w:rsidRPr="002167F7" w:rsidRDefault="0047433B" w:rsidP="0047433B">
      <w:pPr>
        <w:widowControl w:val="0"/>
        <w:autoSpaceDE w:val="0"/>
        <w:autoSpaceDN w:val="0"/>
        <w:spacing w:after="0" w:line="276" w:lineRule="auto"/>
        <w:jc w:val="both"/>
        <w:rPr>
          <w:rFonts w:ascii="Verdana" w:hAnsi="Verdana" w:cs="Arial"/>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7433B" w:rsidRPr="0081195A" w14:paraId="2B2F19E6" w14:textId="77777777" w:rsidTr="0067658D">
        <w:trPr>
          <w:trHeight w:val="366"/>
        </w:trPr>
        <w:tc>
          <w:tcPr>
            <w:tcW w:w="8647" w:type="dxa"/>
          </w:tcPr>
          <w:p w14:paraId="7535610D" w14:textId="77777777" w:rsidR="0047433B" w:rsidRPr="0081195A" w:rsidRDefault="0047433B" w:rsidP="0067658D">
            <w:pPr>
              <w:pStyle w:val="Prrafodelista"/>
              <w:widowControl w:val="0"/>
              <w:numPr>
                <w:ilvl w:val="0"/>
                <w:numId w:val="17"/>
              </w:numPr>
              <w:tabs>
                <w:tab w:val="left" w:pos="8419"/>
              </w:tabs>
              <w:autoSpaceDE w:val="0"/>
              <w:autoSpaceDN w:val="0"/>
              <w:spacing w:before="120" w:after="120" w:line="276" w:lineRule="auto"/>
              <w:ind w:left="714" w:hanging="357"/>
              <w:contextualSpacing w:val="0"/>
              <w:jc w:val="both"/>
              <w:rPr>
                <w:rFonts w:ascii="Verdana" w:eastAsia="Calibri" w:hAnsi="Verdana" w:cs="Arial"/>
                <w:color w:val="000000"/>
              </w:rPr>
            </w:pPr>
            <w:r w:rsidRPr="0081195A">
              <w:rPr>
                <w:rFonts w:ascii="Verdana" w:eastAsia="Calibri" w:hAnsi="Verdana" w:cs="Arial"/>
                <w:color w:val="000000"/>
              </w:rPr>
              <w:t xml:space="preserve">Constitución Política, artículo 29. </w:t>
            </w:r>
          </w:p>
          <w:p w14:paraId="1BD9267D" w14:textId="77777777" w:rsidR="0047433B" w:rsidRPr="0081195A" w:rsidRDefault="0047433B" w:rsidP="0067658D">
            <w:pPr>
              <w:pStyle w:val="Prrafodelista"/>
              <w:widowControl w:val="0"/>
              <w:numPr>
                <w:ilvl w:val="0"/>
                <w:numId w:val="17"/>
              </w:numPr>
              <w:tabs>
                <w:tab w:val="left" w:pos="8419"/>
              </w:tabs>
              <w:autoSpaceDE w:val="0"/>
              <w:autoSpaceDN w:val="0"/>
              <w:spacing w:before="120" w:after="120" w:line="276" w:lineRule="auto"/>
              <w:ind w:left="714" w:hanging="357"/>
              <w:contextualSpacing w:val="0"/>
              <w:jc w:val="both"/>
              <w:rPr>
                <w:rFonts w:ascii="Verdana" w:eastAsia="Calibri" w:hAnsi="Verdana" w:cs="Arial"/>
                <w:color w:val="000000"/>
              </w:rPr>
            </w:pPr>
            <w:r w:rsidRPr="0081195A">
              <w:rPr>
                <w:rFonts w:ascii="Verdana" w:eastAsia="Calibri" w:hAnsi="Verdana" w:cs="Arial"/>
                <w:color w:val="000000"/>
              </w:rPr>
              <w:lastRenderedPageBreak/>
              <w:t xml:space="preserve">Ley 1150 de 2007, artículo 2 y 5. </w:t>
            </w:r>
          </w:p>
          <w:p w14:paraId="74A63923" w14:textId="77777777" w:rsidR="0047433B" w:rsidRPr="0081195A" w:rsidRDefault="0047433B" w:rsidP="0067658D">
            <w:pPr>
              <w:pStyle w:val="Prrafodelista"/>
              <w:widowControl w:val="0"/>
              <w:numPr>
                <w:ilvl w:val="0"/>
                <w:numId w:val="17"/>
              </w:numPr>
              <w:tabs>
                <w:tab w:val="left" w:pos="8419"/>
              </w:tabs>
              <w:autoSpaceDE w:val="0"/>
              <w:autoSpaceDN w:val="0"/>
              <w:spacing w:before="120" w:after="120" w:line="276" w:lineRule="auto"/>
              <w:ind w:left="714" w:hanging="357"/>
              <w:contextualSpacing w:val="0"/>
              <w:jc w:val="both"/>
              <w:rPr>
                <w:rFonts w:ascii="Verdana" w:eastAsia="Calibri" w:hAnsi="Verdana" w:cs="Arial"/>
                <w:color w:val="000000"/>
              </w:rPr>
            </w:pPr>
            <w:r w:rsidRPr="0081195A">
              <w:rPr>
                <w:rFonts w:ascii="Verdana" w:eastAsia="Calibri" w:hAnsi="Verdana" w:cs="Arial"/>
                <w:color w:val="000000"/>
              </w:rPr>
              <w:t>Decreto 1082 de 2015, Parte 2, Título 1, Capítulo 2, Sección 1.</w:t>
            </w:r>
          </w:p>
          <w:p w14:paraId="27EAE89B" w14:textId="77777777" w:rsidR="0047433B" w:rsidRPr="0081195A" w:rsidRDefault="0047433B" w:rsidP="0067658D">
            <w:pPr>
              <w:pStyle w:val="Prrafodelista"/>
              <w:widowControl w:val="0"/>
              <w:numPr>
                <w:ilvl w:val="0"/>
                <w:numId w:val="17"/>
              </w:numPr>
              <w:tabs>
                <w:tab w:val="left" w:pos="8419"/>
              </w:tabs>
              <w:autoSpaceDE w:val="0"/>
              <w:autoSpaceDN w:val="0"/>
              <w:spacing w:before="120" w:after="120" w:line="276" w:lineRule="auto"/>
              <w:ind w:left="714" w:hanging="357"/>
              <w:contextualSpacing w:val="0"/>
              <w:jc w:val="both"/>
              <w:rPr>
                <w:rFonts w:ascii="Verdana" w:eastAsia="Calibri" w:hAnsi="Verdana" w:cs="Arial"/>
                <w:color w:val="000000"/>
              </w:rPr>
            </w:pPr>
            <w:r w:rsidRPr="0081195A">
              <w:rPr>
                <w:rFonts w:ascii="Verdana" w:eastAsia="Calibri" w:hAnsi="Verdana" w:cs="Arial"/>
                <w:color w:val="000000"/>
              </w:rPr>
              <w:t xml:space="preserve">CONSEJO DE ESTADO. Sección Tercera. Subsección A. Sentencia del 23 de julio de 2015. </w:t>
            </w:r>
            <w:proofErr w:type="spellStart"/>
            <w:r w:rsidRPr="0081195A">
              <w:rPr>
                <w:rFonts w:ascii="Verdana" w:eastAsia="Calibri" w:hAnsi="Verdana" w:cs="Arial"/>
                <w:color w:val="000000"/>
              </w:rPr>
              <w:t>Exp</w:t>
            </w:r>
            <w:proofErr w:type="spellEnd"/>
            <w:r w:rsidRPr="0081195A">
              <w:rPr>
                <w:rFonts w:ascii="Verdana" w:eastAsia="Calibri" w:hAnsi="Verdana" w:cs="Arial"/>
                <w:color w:val="000000"/>
              </w:rPr>
              <w:t>. 36.805. C. P. Hernán Andrade Rincón.</w:t>
            </w:r>
          </w:p>
          <w:p w14:paraId="79EA4391" w14:textId="77777777" w:rsidR="0047433B" w:rsidRPr="002B2496" w:rsidRDefault="0047433B" w:rsidP="0067658D">
            <w:pPr>
              <w:pStyle w:val="Prrafodelista"/>
              <w:widowControl w:val="0"/>
              <w:numPr>
                <w:ilvl w:val="0"/>
                <w:numId w:val="17"/>
              </w:numPr>
              <w:tabs>
                <w:tab w:val="left" w:pos="8419"/>
              </w:tabs>
              <w:autoSpaceDE w:val="0"/>
              <w:autoSpaceDN w:val="0"/>
              <w:spacing w:before="120" w:after="120" w:line="276" w:lineRule="auto"/>
              <w:ind w:left="714" w:hanging="357"/>
              <w:contextualSpacing w:val="0"/>
              <w:jc w:val="both"/>
              <w:rPr>
                <w:rFonts w:ascii="Verdana" w:eastAsia="Calibri" w:hAnsi="Verdana" w:cs="Arial"/>
                <w:color w:val="000000"/>
              </w:rPr>
            </w:pPr>
            <w:r w:rsidRPr="0081195A">
              <w:rPr>
                <w:rFonts w:ascii="Verdana" w:eastAsia="Calibri" w:hAnsi="Verdana" w:cs="Arial"/>
                <w:color w:val="000000"/>
              </w:rPr>
              <w:t>CONSEJO DE ESTADO. Sección Tercera. Sentencia del 23 de junio de 2010. Rad. 16.367. C.P. Enrique Gil Botero</w:t>
            </w:r>
          </w:p>
        </w:tc>
      </w:tr>
    </w:tbl>
    <w:p w14:paraId="490148B9" w14:textId="77777777" w:rsidR="0047433B" w:rsidRPr="002167F7" w:rsidRDefault="0047433B" w:rsidP="0047433B">
      <w:pPr>
        <w:widowControl w:val="0"/>
        <w:autoSpaceDE w:val="0"/>
        <w:autoSpaceDN w:val="0"/>
        <w:spacing w:after="0" w:line="276" w:lineRule="auto"/>
        <w:jc w:val="both"/>
        <w:rPr>
          <w:rFonts w:ascii="Verdana" w:hAnsi="Verdana" w:cs="Arial"/>
          <w:lang w:val="es-ES"/>
        </w:rPr>
      </w:pPr>
    </w:p>
    <w:p w14:paraId="514FB593" w14:textId="77777777" w:rsidR="0047433B" w:rsidRPr="002167F7" w:rsidRDefault="0047433B" w:rsidP="0047433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167F7">
        <w:rPr>
          <w:rFonts w:ascii="Verdana" w:eastAsia="Century Gothic" w:hAnsi="Verdana" w:cs="Century Gothic"/>
          <w:b/>
          <w:bCs/>
        </w:rPr>
        <w:t>Doctrina de la Agencia Nacional de Contratación Pública:</w:t>
      </w:r>
    </w:p>
    <w:p w14:paraId="79F5B678" w14:textId="77777777" w:rsidR="0047433B" w:rsidRPr="002167F7" w:rsidRDefault="0047433B" w:rsidP="0047433B">
      <w:pPr>
        <w:widowControl w:val="0"/>
        <w:autoSpaceDE w:val="0"/>
        <w:autoSpaceDN w:val="0"/>
        <w:spacing w:after="0" w:line="276" w:lineRule="auto"/>
        <w:jc w:val="both"/>
        <w:rPr>
          <w:rFonts w:ascii="Verdana" w:hAnsi="Verdana" w:cs="Arial"/>
          <w:lang w:val="es-ES"/>
        </w:rPr>
      </w:pPr>
    </w:p>
    <w:p w14:paraId="62661347" w14:textId="77777777" w:rsidR="0047433B" w:rsidRPr="002167F7" w:rsidRDefault="0047433B" w:rsidP="0047433B">
      <w:pPr>
        <w:spacing w:after="0" w:line="276" w:lineRule="auto"/>
        <w:contextualSpacing/>
        <w:jc w:val="both"/>
        <w:rPr>
          <w:rFonts w:ascii="Verdana" w:eastAsia="Calibri" w:hAnsi="Verdana" w:cs="Arial"/>
          <w:b/>
          <w:bCs/>
          <w:lang w:val="es-ES" w:eastAsia="es-ES"/>
        </w:rPr>
      </w:pPr>
      <w:r w:rsidRPr="002167F7">
        <w:rPr>
          <w:rStyle w:val="normaltextrun"/>
          <w:rFonts w:ascii="Verdana" w:hAnsi="Verdana" w:cs="Arial"/>
          <w:color w:val="000000" w:themeColor="text1"/>
          <w:shd w:val="clear" w:color="auto" w:fill="FFFFFF"/>
          <w:lang w:val="es-ES"/>
        </w:rPr>
        <w:t>La Agencia Nacional de Contratación Pública – Colombia Compra Eficiente se ha referido</w:t>
      </w:r>
      <w:r>
        <w:rPr>
          <w:rStyle w:val="normaltextrun"/>
          <w:rFonts w:ascii="Verdana" w:hAnsi="Verdana" w:cs="Arial"/>
          <w:color w:val="000000" w:themeColor="text1"/>
          <w:shd w:val="clear" w:color="auto" w:fill="FFFFFF"/>
          <w:lang w:val="es-ES"/>
        </w:rPr>
        <w:t xml:space="preserve"> </w:t>
      </w:r>
      <w:r>
        <w:rPr>
          <w:rFonts w:ascii="Verdana" w:eastAsia="Calibri" w:hAnsi="Verdana" w:cs="Arial"/>
          <w:lang w:val="es-ES" w:eastAsia="es-ES_tradnl"/>
        </w:rPr>
        <w:t xml:space="preserve">al principio de selección objetiva y a las distintas modalidades de selección en conceptos </w:t>
      </w:r>
      <w:r w:rsidRPr="0098292D">
        <w:rPr>
          <w:rFonts w:ascii="Verdana" w:eastAsia="Calibri" w:hAnsi="Verdana" w:cs="Arial"/>
          <w:color w:val="000000" w:themeColor="text1"/>
          <w:lang w:val="es-ES_tradnl"/>
        </w:rPr>
        <w:t>C-633 del 2 de octubre de 2020, C-634 del 21 de octubre de 2020, C-675 del 25 de noviembre de 2020, C-802 del 1° de febrero de 2021, C-010 del 16 de febrero de 2021, C-083 del 18 de marzo de 2021, C-090 del 23 de marzo de 2021,</w:t>
      </w:r>
      <w:r>
        <w:rPr>
          <w:rFonts w:ascii="Verdana" w:eastAsia="Calibri" w:hAnsi="Verdana" w:cs="Arial"/>
          <w:color w:val="000000" w:themeColor="text1"/>
          <w:lang w:val="es-ES_tradnl"/>
        </w:rPr>
        <w:t xml:space="preserve"> </w:t>
      </w:r>
      <w:r w:rsidRPr="0098292D">
        <w:rPr>
          <w:rFonts w:ascii="Verdana" w:eastAsia="Calibri" w:hAnsi="Verdana" w:cs="Arial"/>
          <w:color w:val="000000" w:themeColor="text1"/>
          <w:lang w:val="es-ES_tradnl"/>
        </w:rPr>
        <w:t>C-250 del 2 de junio de 2021, C-409 del 13 de agosto de 2021, C-691 del 28 de diciembre de 2021, C-716 del 23 de enero de 2022, C-728 del 26 de enero de 2022, C-114 del 22 de marzo de 2022, C-140 del 28 de marzo de 2022, C-285 del 20 de mayo de 2022, C-343 del 31 de mayo de 2022, C-381 del 15 de julio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 y C-304 del 4 de julio de 2023</w:t>
      </w:r>
      <w:r>
        <w:rPr>
          <w:rFonts w:ascii="Verdana" w:eastAsia="Calibri" w:hAnsi="Verdana" w:cs="Arial"/>
          <w:color w:val="000000" w:themeColor="text1"/>
          <w:lang w:val="es-ES_tradnl"/>
        </w:rPr>
        <w:t xml:space="preserve">, </w:t>
      </w:r>
      <w:r w:rsidRPr="00173FB2">
        <w:rPr>
          <w:rFonts w:ascii="Verdana" w:eastAsia="Calibri" w:hAnsi="Verdana" w:cs="Arial"/>
          <w:color w:val="000000" w:themeColor="text1"/>
          <w:lang w:val="es-ES_tradnl"/>
        </w:rPr>
        <w:t>C-249 del 26 de agosto de 2024, C</w:t>
      </w:r>
      <w:r>
        <w:rPr>
          <w:rFonts w:ascii="Verdana" w:eastAsia="Calibri" w:hAnsi="Verdana" w:cs="Arial"/>
          <w:color w:val="000000" w:themeColor="text1"/>
          <w:lang w:val="es-ES_tradnl"/>
        </w:rPr>
        <w:t>-</w:t>
      </w:r>
      <w:r w:rsidRPr="00173FB2">
        <w:rPr>
          <w:rFonts w:ascii="Verdana" w:eastAsia="Calibri" w:hAnsi="Verdana" w:cs="Arial"/>
          <w:color w:val="000000" w:themeColor="text1"/>
          <w:lang w:val="es-ES_tradnl"/>
        </w:rPr>
        <w:t>452 del 19 de septiembre de 2024, C- 625 del 29 de octubre de 2024, C</w:t>
      </w:r>
      <w:r>
        <w:rPr>
          <w:rFonts w:ascii="Verdana" w:eastAsia="Calibri" w:hAnsi="Verdana" w:cs="Arial"/>
          <w:color w:val="000000" w:themeColor="text1"/>
          <w:lang w:val="es-ES_tradnl"/>
        </w:rPr>
        <w:t>-</w:t>
      </w:r>
      <w:r w:rsidRPr="00173FB2">
        <w:rPr>
          <w:rFonts w:ascii="Verdana" w:eastAsia="Calibri" w:hAnsi="Verdana" w:cs="Arial"/>
          <w:color w:val="000000" w:themeColor="text1"/>
          <w:lang w:val="es-ES_tradnl"/>
        </w:rPr>
        <w:t>215 del 25 de marzo de 2025 C-556 del 17 de junio de 2025, C-668 del 8 de julio de 2025, C-848 del 04 de agosto de 2025, C–852 del 19 de agosto de 2025</w:t>
      </w:r>
      <w:r>
        <w:rPr>
          <w:rFonts w:ascii="Verdana" w:eastAsia="Calibri" w:hAnsi="Verdana" w:cs="Arial"/>
          <w:lang w:val="es-ES" w:eastAsia="es-ES_tradnl"/>
        </w:rPr>
        <w:t xml:space="preserve">, </w:t>
      </w:r>
      <w:r w:rsidRPr="00957AAF">
        <w:rPr>
          <w:rFonts w:ascii="Verdana" w:eastAsia="Calibri" w:hAnsi="Verdana" w:cs="Arial"/>
          <w:lang w:val="es-ES" w:eastAsia="es-ES_tradnl"/>
        </w:rPr>
        <w:t>C-992 de 2025</w:t>
      </w:r>
      <w:r>
        <w:rPr>
          <w:rFonts w:ascii="Verdana" w:eastAsia="Calibri" w:hAnsi="Verdana" w:cs="Arial"/>
          <w:lang w:val="es-ES" w:eastAsia="es-ES_tradnl"/>
        </w:rPr>
        <w:t>, entre otros</w:t>
      </w:r>
      <w:r w:rsidRPr="002167F7">
        <w:rPr>
          <w:rFonts w:ascii="Verdana" w:eastAsia="Calibri" w:hAnsi="Verdana" w:cs="Arial"/>
          <w:lang w:val="es-ES" w:eastAsia="es-ES"/>
        </w:rPr>
        <w:t xml:space="preserve">. </w:t>
      </w:r>
      <w:r w:rsidRPr="002167F7">
        <w:rPr>
          <w:rFonts w:ascii="Verdana" w:hAnsi="Verdana" w:cs="Arial"/>
          <w:color w:val="000000" w:themeColor="text1"/>
          <w:shd w:val="clear" w:color="auto" w:fill="FFFFFF"/>
          <w:lang w:val="es-ES"/>
        </w:rPr>
        <w:t xml:space="preserve">Estos </w:t>
      </w:r>
      <w:r w:rsidRPr="002167F7">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5" w:history="1">
        <w:r w:rsidRPr="002167F7">
          <w:rPr>
            <w:rStyle w:val="Hipervnculo"/>
            <w:rFonts w:ascii="Verdana" w:hAnsi="Verdana" w:cs="Arial"/>
            <w:shd w:val="clear" w:color="auto" w:fill="FFFFFF"/>
            <w:lang w:val="es-ES"/>
          </w:rPr>
          <w:t>https://relatoria.colombiacompra.gov.co/busqueda/conceptos</w:t>
        </w:r>
      </w:hyperlink>
      <w:r w:rsidRPr="002167F7">
        <w:rPr>
          <w:rStyle w:val="Hipervnculo"/>
          <w:rFonts w:ascii="Verdana" w:hAnsi="Verdana"/>
          <w:lang w:val="es-ES"/>
        </w:rPr>
        <w:t>.</w:t>
      </w:r>
      <w:r w:rsidRPr="002167F7">
        <w:rPr>
          <w:rStyle w:val="normaltextrun"/>
          <w:rFonts w:ascii="Verdana" w:hAnsi="Verdana" w:cs="Arial"/>
          <w:color w:val="000000" w:themeColor="text1"/>
          <w:shd w:val="clear" w:color="auto" w:fill="FFFFFF"/>
          <w:lang w:val="es-ES"/>
        </w:rPr>
        <w:t xml:space="preserve">  </w:t>
      </w:r>
    </w:p>
    <w:p w14:paraId="00FE6409" w14:textId="77777777" w:rsidR="0047433B" w:rsidRPr="002167F7" w:rsidRDefault="0047433B" w:rsidP="0047433B">
      <w:pPr>
        <w:spacing w:after="0" w:line="276" w:lineRule="auto"/>
        <w:contextualSpacing/>
        <w:jc w:val="both"/>
        <w:rPr>
          <w:rFonts w:ascii="Verdana" w:hAnsi="Verdana"/>
          <w:lang w:val="es-ES"/>
        </w:rPr>
      </w:pPr>
    </w:p>
    <w:p w14:paraId="3A506D8F" w14:textId="77777777" w:rsidR="0047433B" w:rsidRPr="002167F7" w:rsidRDefault="0047433B" w:rsidP="0047433B">
      <w:pPr>
        <w:spacing w:after="0" w:line="276" w:lineRule="auto"/>
        <w:contextualSpacing/>
        <w:jc w:val="both"/>
        <w:rPr>
          <w:rFonts w:ascii="Verdana" w:hAnsi="Verdana"/>
          <w:lang w:val="es-ES"/>
        </w:rPr>
      </w:pPr>
      <w:r w:rsidRPr="002167F7">
        <w:rPr>
          <w:rFonts w:ascii="Verdana" w:hAnsi="Verdana"/>
          <w:lang w:val="es-ES"/>
        </w:rPr>
        <w:t>También le contamos que ya se encuentra disponible la </w:t>
      </w:r>
      <w:r w:rsidRPr="002167F7">
        <w:rPr>
          <w:rFonts w:ascii="Verdana" w:hAnsi="Verdana"/>
          <w:b/>
          <w:bCs/>
          <w:lang w:val="es-ES"/>
        </w:rPr>
        <w:t>Guía de lineamientos de transparencia y selección objetiva para el departamento de La Guajira – Objetivo sexto constitucional de la Sentencia T-302 del 2017. </w:t>
      </w:r>
      <w:r w:rsidRPr="002167F7">
        <w:rPr>
          <w:rFonts w:ascii="Verdana" w:hAnsi="Verdana"/>
          <w:lang w:val="es-ES"/>
        </w:rPr>
        <w:t xml:space="preserve">Esta Guía se expedide en el marco del cumplimiento de la orden proferida por la Honorable Corte Constitucional en la Sentencia T-302 del 2017. Con su </w:t>
      </w:r>
      <w:r w:rsidRPr="002167F7">
        <w:rPr>
          <w:rFonts w:ascii="Verdana" w:hAnsi="Verdana"/>
          <w:lang w:val="es-ES"/>
        </w:rPr>
        <w:lastRenderedPageBreak/>
        <w:t xml:space="preserve">implementación se busca contribuir a la superación del Estado de Cosas Inconstitucional declarado por la situación de vulneración masiva y recurrente de los derechos fundamentales de los niños y de las niñas del Pueblo </w:t>
      </w:r>
      <w:proofErr w:type="spellStart"/>
      <w:r w:rsidRPr="002167F7">
        <w:rPr>
          <w:rFonts w:ascii="Verdana" w:hAnsi="Verdana"/>
          <w:lang w:val="es-ES"/>
        </w:rPr>
        <w:t>Wayúu</w:t>
      </w:r>
      <w:proofErr w:type="spellEnd"/>
      <w:r w:rsidRPr="002167F7">
        <w:rPr>
          <w:rFonts w:ascii="Verdana" w:hAnsi="Verdana"/>
          <w:lang w:val="es-ES"/>
        </w:rPr>
        <w:t>. Puede consultar la guía en el siguiente enlace: </w:t>
      </w:r>
      <w:hyperlink r:id="rId16" w:tgtFrame="_blank" w:tooltip="Original URL: https://www.colombiacompra.gov.co/wp-content/uploads/2025/05/GUIA-DE-LINEAMIENTOS-DE-TRANSPARENCIA-Y-SELECCION-OBJETIVA-1.0.pdf. Click or tap if you trust this link." w:history="1">
        <w:r w:rsidRPr="002167F7">
          <w:rPr>
            <w:rStyle w:val="Hipervnculo"/>
            <w:rFonts w:ascii="Verdana" w:hAnsi="Verdana"/>
            <w:lang w:val="es-ES"/>
          </w:rPr>
          <w:t>Guía de lineamientos de transparencia y selección objetiva para el departamento de La Guajira – Objetivo sexto constitucional de la Sentencia T-302 del 2017</w:t>
        </w:r>
      </w:hyperlink>
      <w:r w:rsidRPr="002167F7">
        <w:rPr>
          <w:rFonts w:ascii="Verdana" w:hAnsi="Verdana"/>
          <w:u w:val="single"/>
          <w:lang w:val="es-ES"/>
        </w:rPr>
        <w:t>"</w:t>
      </w:r>
    </w:p>
    <w:p w14:paraId="3A87DAF2" w14:textId="77777777" w:rsidR="0047433B" w:rsidRPr="002167F7" w:rsidRDefault="0047433B" w:rsidP="0047433B">
      <w:pPr>
        <w:spacing w:after="0" w:line="276" w:lineRule="auto"/>
        <w:contextualSpacing/>
        <w:jc w:val="both"/>
        <w:rPr>
          <w:rFonts w:ascii="Verdana" w:hAnsi="Verdana"/>
          <w:lang w:val="es-ES"/>
        </w:rPr>
      </w:pPr>
    </w:p>
    <w:p w14:paraId="08E74C9C" w14:textId="77777777" w:rsidR="0047433B" w:rsidRPr="002167F7" w:rsidRDefault="0047433B" w:rsidP="0047433B">
      <w:pPr>
        <w:spacing w:after="0" w:line="276" w:lineRule="auto"/>
        <w:contextualSpacing/>
        <w:jc w:val="both"/>
        <w:rPr>
          <w:rFonts w:ascii="Verdana" w:hAnsi="Verdana"/>
          <w:lang w:val="es-ES"/>
        </w:rPr>
      </w:pPr>
      <w:r w:rsidRPr="002167F7">
        <w:rPr>
          <w:rFonts w:ascii="Verdana" w:hAnsi="Verdana"/>
          <w:lang w:val="es-ES"/>
        </w:rPr>
        <w:t xml:space="preserve">Por último, lo invitamos a seguirnos en las redes sociales en las cuales se difunde información institucional: </w:t>
      </w:r>
    </w:p>
    <w:p w14:paraId="2C72B638" w14:textId="77777777" w:rsidR="0047433B" w:rsidRPr="002167F7" w:rsidRDefault="0047433B" w:rsidP="0047433B">
      <w:pPr>
        <w:spacing w:after="0" w:line="276" w:lineRule="auto"/>
        <w:contextualSpacing/>
        <w:jc w:val="both"/>
        <w:rPr>
          <w:rFonts w:ascii="Verdana" w:hAnsi="Verdana"/>
          <w:lang w:val="es-ES"/>
        </w:rPr>
      </w:pPr>
    </w:p>
    <w:p w14:paraId="47C54900" w14:textId="77777777" w:rsidR="0047433B" w:rsidRPr="002167F7" w:rsidRDefault="0047433B" w:rsidP="0047433B">
      <w:pPr>
        <w:spacing w:after="0" w:line="276" w:lineRule="auto"/>
        <w:contextualSpacing/>
        <w:jc w:val="both"/>
        <w:rPr>
          <w:rFonts w:ascii="Verdana" w:hAnsi="Verdana"/>
          <w:lang w:val="es-ES"/>
        </w:rPr>
      </w:pPr>
      <w:r w:rsidRPr="002167F7">
        <w:rPr>
          <w:rFonts w:ascii="Verdana" w:hAnsi="Verdana"/>
          <w:lang w:val="es-ES"/>
        </w:rPr>
        <w:t xml:space="preserve">Twitter: </w:t>
      </w:r>
      <w:r w:rsidRPr="002167F7">
        <w:rPr>
          <w:rStyle w:val="Hipervnculo"/>
          <w:rFonts w:ascii="Verdana" w:hAnsi="Verdana" w:cs="Arial"/>
          <w:shd w:val="clear" w:color="auto" w:fill="FFFFFF"/>
          <w:lang w:val="es-ES"/>
        </w:rPr>
        <w:t>@colombiacompra</w:t>
      </w:r>
      <w:r w:rsidRPr="002167F7">
        <w:rPr>
          <w:rFonts w:ascii="Verdana" w:hAnsi="Verdana"/>
          <w:color w:val="4472C4" w:themeColor="accent1"/>
          <w:lang w:val="es-ES"/>
        </w:rPr>
        <w:t xml:space="preserve"> </w:t>
      </w:r>
    </w:p>
    <w:p w14:paraId="768E69DA" w14:textId="77777777" w:rsidR="0047433B" w:rsidRPr="002167F7" w:rsidRDefault="0047433B" w:rsidP="0047433B">
      <w:pPr>
        <w:spacing w:after="0" w:line="276" w:lineRule="auto"/>
        <w:contextualSpacing/>
        <w:jc w:val="both"/>
        <w:rPr>
          <w:rFonts w:ascii="Verdana" w:hAnsi="Verdana"/>
          <w:lang w:val="es-ES"/>
        </w:rPr>
      </w:pPr>
      <w:r w:rsidRPr="002167F7">
        <w:rPr>
          <w:rFonts w:ascii="Verdana" w:hAnsi="Verdana"/>
          <w:lang w:val="es-ES"/>
        </w:rPr>
        <w:t xml:space="preserve">Facebook: </w:t>
      </w:r>
      <w:proofErr w:type="spellStart"/>
      <w:r w:rsidRPr="002167F7">
        <w:rPr>
          <w:rStyle w:val="Hipervnculo"/>
          <w:rFonts w:ascii="Verdana" w:hAnsi="Verdana" w:cs="Arial"/>
          <w:shd w:val="clear" w:color="auto" w:fill="FFFFFF"/>
          <w:lang w:val="es-ES"/>
        </w:rPr>
        <w:t>ColombiaCompraEficiente</w:t>
      </w:r>
      <w:proofErr w:type="spellEnd"/>
    </w:p>
    <w:p w14:paraId="507FBCC4" w14:textId="77777777" w:rsidR="0047433B" w:rsidRPr="002167F7" w:rsidRDefault="0047433B" w:rsidP="0047433B">
      <w:pPr>
        <w:spacing w:after="0" w:line="276" w:lineRule="auto"/>
        <w:contextualSpacing/>
        <w:jc w:val="both"/>
        <w:rPr>
          <w:rFonts w:ascii="Verdana" w:hAnsi="Verdana"/>
          <w:lang w:val="es-ES"/>
        </w:rPr>
      </w:pPr>
      <w:r w:rsidRPr="002167F7">
        <w:rPr>
          <w:rFonts w:ascii="Verdana" w:hAnsi="Verdana"/>
          <w:lang w:val="es-ES"/>
        </w:rPr>
        <w:t xml:space="preserve">LinkedIn: </w:t>
      </w:r>
      <w:r w:rsidRPr="002167F7">
        <w:rPr>
          <w:rStyle w:val="Hipervnculo"/>
          <w:rFonts w:ascii="Verdana" w:hAnsi="Verdana" w:cs="Arial"/>
          <w:shd w:val="clear" w:color="auto" w:fill="FFFFFF"/>
          <w:lang w:val="es-ES"/>
        </w:rPr>
        <w:t xml:space="preserve">Agencia Nacional de Contratación Pública - Colombia Compra Eficiente </w:t>
      </w:r>
      <w:r w:rsidRPr="002167F7">
        <w:rPr>
          <w:rFonts w:ascii="Verdana" w:hAnsi="Verdana"/>
          <w:lang w:val="es-ES"/>
        </w:rPr>
        <w:t xml:space="preserve">Instagram: </w:t>
      </w:r>
      <w:r w:rsidRPr="002167F7">
        <w:rPr>
          <w:rStyle w:val="Hipervnculo"/>
          <w:rFonts w:ascii="Verdana" w:hAnsi="Verdana" w:cs="Arial"/>
          <w:shd w:val="clear" w:color="auto" w:fill="FFFFFF"/>
          <w:lang w:val="es-ES"/>
        </w:rPr>
        <w:t>@colombiacompraeficiente_cce</w:t>
      </w:r>
    </w:p>
    <w:p w14:paraId="4F798CAF" w14:textId="77777777" w:rsidR="0047433B" w:rsidRPr="002167F7" w:rsidRDefault="0047433B" w:rsidP="0047433B">
      <w:pPr>
        <w:widowControl w:val="0"/>
        <w:autoSpaceDE w:val="0"/>
        <w:autoSpaceDN w:val="0"/>
        <w:spacing w:after="0" w:line="276" w:lineRule="auto"/>
        <w:contextualSpacing/>
        <w:jc w:val="both"/>
        <w:rPr>
          <w:rFonts w:ascii="Verdana" w:hAnsi="Verdana" w:cs="Arial"/>
          <w:color w:val="000000" w:themeColor="text1"/>
          <w:lang w:val="es-ES"/>
        </w:rPr>
      </w:pPr>
    </w:p>
    <w:p w14:paraId="0516FB7B" w14:textId="77777777" w:rsidR="0047433B" w:rsidRPr="002167F7" w:rsidRDefault="0047433B" w:rsidP="0047433B">
      <w:pPr>
        <w:widowControl w:val="0"/>
        <w:autoSpaceDE w:val="0"/>
        <w:autoSpaceDN w:val="0"/>
        <w:spacing w:after="0" w:line="276" w:lineRule="auto"/>
        <w:contextualSpacing/>
        <w:jc w:val="both"/>
        <w:rPr>
          <w:rFonts w:ascii="Verdana" w:hAnsi="Verdana" w:cs="Arial"/>
          <w:color w:val="000000" w:themeColor="text1"/>
          <w:lang w:val="es-ES"/>
        </w:rPr>
      </w:pPr>
      <w:r w:rsidRPr="002167F7">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DBA525B" w14:textId="77777777" w:rsidR="0047433B" w:rsidRPr="002167F7" w:rsidRDefault="0047433B" w:rsidP="0047433B">
      <w:pPr>
        <w:spacing w:before="240" w:after="0" w:line="276" w:lineRule="auto"/>
        <w:rPr>
          <w:rFonts w:ascii="Verdana" w:hAnsi="Verdana" w:cs="Arial"/>
          <w:color w:val="000000" w:themeColor="text1"/>
          <w:lang w:val="es-ES" w:eastAsia="es-CO"/>
        </w:rPr>
      </w:pPr>
      <w:r w:rsidRPr="002167F7">
        <w:rPr>
          <w:rFonts w:ascii="Verdana" w:eastAsia="Times New Roman" w:hAnsi="Verdana" w:cs="Arial"/>
          <w:color w:val="000000" w:themeColor="text1"/>
          <w:lang w:val="es-ES" w:eastAsia="es-CO"/>
        </w:rPr>
        <w:t>Atentamente,</w:t>
      </w:r>
      <w:r w:rsidRPr="002167F7">
        <w:rPr>
          <w:rFonts w:ascii="Verdana" w:hAnsi="Verdana" w:cs="Arial"/>
          <w:color w:val="000000" w:themeColor="text1"/>
          <w:lang w:val="es-ES" w:eastAsia="es-CO"/>
        </w:rPr>
        <w:t xml:space="preserve"> </w:t>
      </w:r>
    </w:p>
    <w:p w14:paraId="4FF6617F" w14:textId="0CCCCD0D" w:rsidR="0047433B" w:rsidRPr="00FF019D" w:rsidRDefault="00F56A30" w:rsidP="0047433B">
      <w:pPr>
        <w:spacing w:line="276" w:lineRule="auto"/>
        <w:jc w:val="center"/>
        <w:rPr>
          <w:rFonts w:ascii="Verdana" w:hAnsi="Verdana" w:cs="Arial"/>
          <w:color w:val="000000" w:themeColor="text1"/>
          <w:lang w:val="es-ES" w:eastAsia="es-CO"/>
        </w:rPr>
      </w:pPr>
      <w:r>
        <w:rPr>
          <w:noProof/>
        </w:rPr>
        <w:drawing>
          <wp:inline distT="0" distB="0" distL="0" distR="0" wp14:anchorId="27E32113" wp14:editId="4F7895F7">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360420" cy="113538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7433B" w:rsidRPr="00AD4F6A" w14:paraId="0FB56278" w14:textId="77777777" w:rsidTr="0067658D">
        <w:trPr>
          <w:trHeight w:val="315"/>
        </w:trPr>
        <w:tc>
          <w:tcPr>
            <w:tcW w:w="893" w:type="dxa"/>
            <w:vAlign w:val="center"/>
            <w:hideMark/>
          </w:tcPr>
          <w:p w14:paraId="3A072951" w14:textId="77777777" w:rsidR="0047433B" w:rsidRPr="00AD4F6A" w:rsidRDefault="0047433B" w:rsidP="0067658D">
            <w:pPr>
              <w:contextualSpacing/>
              <w:rPr>
                <w:rFonts w:ascii="Verdana" w:hAnsi="Verdana" w:cs="Arial"/>
                <w:sz w:val="16"/>
                <w:szCs w:val="16"/>
                <w:lang w:eastAsia="es-ES"/>
              </w:rPr>
            </w:pPr>
            <w:r w:rsidRPr="00AD4F6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FC8DCA5" w14:textId="77777777" w:rsidR="0047433B" w:rsidRPr="00AD4F6A" w:rsidRDefault="0047433B" w:rsidP="0067658D">
            <w:pPr>
              <w:contextualSpacing/>
              <w:rPr>
                <w:rFonts w:ascii="Verdana" w:hAnsi="Verdana"/>
                <w:sz w:val="16"/>
                <w:szCs w:val="16"/>
              </w:rPr>
            </w:pPr>
            <w:r w:rsidRPr="00AD4F6A">
              <w:rPr>
                <w:rFonts w:ascii="Verdana" w:hAnsi="Verdana"/>
                <w:sz w:val="16"/>
                <w:szCs w:val="16"/>
              </w:rPr>
              <w:t>Tatiana Baquero Iguarán</w:t>
            </w:r>
          </w:p>
          <w:p w14:paraId="17C58614" w14:textId="77777777" w:rsidR="0047433B" w:rsidRPr="00AD4F6A" w:rsidRDefault="0047433B" w:rsidP="0067658D">
            <w:pPr>
              <w:contextualSpacing/>
              <w:rPr>
                <w:rFonts w:ascii="Verdana" w:eastAsia="Arial" w:hAnsi="Verdana" w:cs="Arial"/>
                <w:sz w:val="16"/>
                <w:szCs w:val="16"/>
              </w:rPr>
            </w:pPr>
            <w:r w:rsidRPr="00AD4F6A">
              <w:rPr>
                <w:rFonts w:ascii="Verdana" w:hAnsi="Verdana"/>
                <w:sz w:val="16"/>
                <w:szCs w:val="16"/>
              </w:rPr>
              <w:t>Contratista de la Subdirección de Gestión Contractual</w:t>
            </w:r>
          </w:p>
        </w:tc>
      </w:tr>
      <w:tr w:rsidR="0047433B" w:rsidRPr="00AD4F6A" w14:paraId="4C88154D" w14:textId="77777777" w:rsidTr="0067658D">
        <w:trPr>
          <w:trHeight w:val="330"/>
        </w:trPr>
        <w:tc>
          <w:tcPr>
            <w:tcW w:w="893" w:type="dxa"/>
            <w:vAlign w:val="center"/>
            <w:hideMark/>
          </w:tcPr>
          <w:p w14:paraId="3C8F47B9" w14:textId="77777777" w:rsidR="0047433B" w:rsidRPr="00AD4F6A" w:rsidRDefault="0047433B" w:rsidP="0067658D">
            <w:pPr>
              <w:contextualSpacing/>
              <w:rPr>
                <w:rFonts w:ascii="Verdana" w:hAnsi="Verdana" w:cs="Arial"/>
                <w:sz w:val="16"/>
                <w:szCs w:val="16"/>
                <w:lang w:eastAsia="es-ES"/>
              </w:rPr>
            </w:pPr>
            <w:r w:rsidRPr="00AD4F6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BF4B8A" w14:textId="77777777" w:rsidR="0047433B" w:rsidRPr="00AD4F6A" w:rsidRDefault="0047433B" w:rsidP="0067658D">
            <w:pPr>
              <w:textAlignment w:val="baseline"/>
              <w:rPr>
                <w:rFonts w:ascii="Verdana" w:eastAsia="Times New Roman" w:hAnsi="Verdana" w:cs="Arial"/>
                <w:sz w:val="16"/>
                <w:szCs w:val="16"/>
                <w:lang w:val="es-MX" w:eastAsia="es-CO"/>
              </w:rPr>
            </w:pPr>
            <w:r w:rsidRPr="00AD4F6A">
              <w:rPr>
                <w:rFonts w:ascii="Verdana" w:eastAsia="Times New Roman" w:hAnsi="Verdana" w:cs="Arial"/>
                <w:sz w:val="16"/>
                <w:szCs w:val="16"/>
                <w:lang w:val="es-MX" w:eastAsia="es-CO"/>
              </w:rPr>
              <w:t>Alejandro Raúl Sarmiento Cantillo</w:t>
            </w:r>
          </w:p>
          <w:p w14:paraId="48C1C3F9" w14:textId="77777777" w:rsidR="0047433B" w:rsidRPr="00AD4F6A" w:rsidRDefault="0047433B" w:rsidP="0067658D">
            <w:pPr>
              <w:spacing w:before="100" w:beforeAutospacing="1" w:after="100" w:afterAutospacing="1"/>
              <w:contextualSpacing/>
              <w:textAlignment w:val="baseline"/>
              <w:rPr>
                <w:rFonts w:ascii="Verdana" w:eastAsia="Times New Roman" w:hAnsi="Verdana" w:cs="Segoe UI"/>
                <w:sz w:val="16"/>
                <w:szCs w:val="16"/>
                <w:lang w:eastAsia="es-ES_tradnl"/>
              </w:rPr>
            </w:pPr>
            <w:r w:rsidRPr="00AD4F6A">
              <w:rPr>
                <w:rFonts w:ascii="Verdana" w:eastAsia="Times New Roman" w:hAnsi="Verdana" w:cs="Arial"/>
                <w:sz w:val="16"/>
                <w:szCs w:val="16"/>
                <w:lang w:val="es-MX" w:eastAsia="es-CO"/>
              </w:rPr>
              <w:t>Gestor T1-15 de la Subdirección de Gestión Contractual</w:t>
            </w:r>
          </w:p>
        </w:tc>
      </w:tr>
      <w:tr w:rsidR="0047433B" w:rsidRPr="00AD4F6A" w14:paraId="2D239145" w14:textId="77777777" w:rsidTr="0067658D">
        <w:trPr>
          <w:trHeight w:val="300"/>
        </w:trPr>
        <w:tc>
          <w:tcPr>
            <w:tcW w:w="893" w:type="dxa"/>
            <w:vAlign w:val="center"/>
          </w:tcPr>
          <w:p w14:paraId="1BA60FC1" w14:textId="77777777" w:rsidR="0047433B" w:rsidRPr="00AD4F6A" w:rsidRDefault="0047433B" w:rsidP="0067658D">
            <w:pPr>
              <w:contextualSpacing/>
              <w:rPr>
                <w:rFonts w:ascii="Verdana" w:hAnsi="Verdana" w:cs="Arial"/>
                <w:sz w:val="16"/>
                <w:szCs w:val="16"/>
                <w:lang w:eastAsia="es-ES"/>
              </w:rPr>
            </w:pPr>
            <w:r w:rsidRPr="00AD4F6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CB71E5A" w14:textId="77777777" w:rsidR="0047433B" w:rsidRPr="00AD4F6A" w:rsidRDefault="0047433B" w:rsidP="0067658D">
            <w:pPr>
              <w:contextualSpacing/>
              <w:rPr>
                <w:rFonts w:ascii="Verdana" w:eastAsia="Calibri" w:hAnsi="Verdana" w:cs="Arial"/>
                <w:sz w:val="16"/>
                <w:szCs w:val="16"/>
                <w:lang w:eastAsia="es-ES"/>
              </w:rPr>
            </w:pPr>
            <w:r w:rsidRPr="00AD4F6A">
              <w:rPr>
                <w:rFonts w:ascii="Verdana" w:eastAsia="Calibri" w:hAnsi="Verdana" w:cs="Arial"/>
                <w:sz w:val="16"/>
                <w:szCs w:val="16"/>
                <w:lang w:eastAsia="es-ES"/>
              </w:rPr>
              <w:t>Carolina Quintero Gacharná</w:t>
            </w:r>
          </w:p>
          <w:p w14:paraId="2814483A" w14:textId="77777777" w:rsidR="0047433B" w:rsidRPr="00AD4F6A" w:rsidRDefault="0047433B" w:rsidP="0067658D">
            <w:pPr>
              <w:contextualSpacing/>
              <w:rPr>
                <w:rFonts w:ascii="Verdana" w:eastAsia="Calibri" w:hAnsi="Verdana" w:cs="Arial"/>
                <w:sz w:val="16"/>
                <w:szCs w:val="16"/>
                <w:lang w:eastAsia="es-ES"/>
              </w:rPr>
            </w:pPr>
            <w:r w:rsidRPr="00AD4F6A">
              <w:rPr>
                <w:rFonts w:ascii="Verdana" w:eastAsia="Calibri" w:hAnsi="Verdana" w:cs="Arial"/>
                <w:sz w:val="16"/>
                <w:szCs w:val="16"/>
                <w:lang w:eastAsia="es-ES"/>
              </w:rPr>
              <w:t>Subdirectora de Gestión Contractual ANCP – CCE</w:t>
            </w:r>
          </w:p>
        </w:tc>
      </w:tr>
    </w:tbl>
    <w:p w14:paraId="4888C062" w14:textId="77777777" w:rsidR="0047433B" w:rsidRPr="00AD4F6A" w:rsidRDefault="0047433B" w:rsidP="0047433B"/>
    <w:p w14:paraId="414951E8" w14:textId="77777777" w:rsidR="0047433B" w:rsidRDefault="0047433B" w:rsidP="0047433B">
      <w:pPr>
        <w:spacing w:after="0" w:line="240" w:lineRule="auto"/>
        <w:rPr>
          <w:rFonts w:ascii="Verdana" w:eastAsia="Aptos" w:hAnsi="Verdana" w:cs="Times New Roman"/>
          <w:sz w:val="20"/>
          <w:szCs w:val="20"/>
        </w:rPr>
      </w:pPr>
    </w:p>
    <w:p w14:paraId="34D8171C" w14:textId="77777777" w:rsidR="0047433B" w:rsidRPr="00E27BE5" w:rsidRDefault="0047433B" w:rsidP="0047433B"/>
    <w:p w14:paraId="1C35A23B" w14:textId="77777777" w:rsidR="00E43329" w:rsidRDefault="00E43329" w:rsidP="00787715">
      <w:pPr>
        <w:spacing w:after="0" w:line="276" w:lineRule="auto"/>
        <w:jc w:val="both"/>
        <w:rPr>
          <w:rFonts w:ascii="Verdana" w:eastAsia="Arial" w:hAnsi="Verdana" w:cs="Arial"/>
          <w:color w:val="000000"/>
          <w:sz w:val="20"/>
          <w:szCs w:val="20"/>
          <w:lang w:val="es-ES"/>
        </w:rPr>
      </w:pPr>
    </w:p>
    <w:sectPr w:rsidR="00E43329"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31F4A2" w14:textId="77777777" w:rsidR="0051261C" w:rsidRDefault="0051261C" w:rsidP="004A1847">
      <w:pPr>
        <w:spacing w:after="0" w:line="240" w:lineRule="auto"/>
      </w:pPr>
      <w:r>
        <w:separator/>
      </w:r>
    </w:p>
  </w:endnote>
  <w:endnote w:type="continuationSeparator" w:id="0">
    <w:p w14:paraId="18B817E0" w14:textId="77777777" w:rsidR="0051261C" w:rsidRDefault="0051261C" w:rsidP="004A1847">
      <w:pPr>
        <w:spacing w:after="0" w:line="240" w:lineRule="auto"/>
      </w:pPr>
      <w:r>
        <w:continuationSeparator/>
      </w:r>
    </w:p>
  </w:endnote>
  <w:endnote w:type="continuationNotice" w:id="1">
    <w:p w14:paraId="52DB8867" w14:textId="77777777" w:rsidR="0051261C" w:rsidRDefault="005126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C601B" w14:textId="77777777" w:rsidR="0051261C" w:rsidRDefault="0051261C" w:rsidP="004A1847">
      <w:pPr>
        <w:spacing w:after="0" w:line="240" w:lineRule="auto"/>
      </w:pPr>
      <w:r>
        <w:separator/>
      </w:r>
    </w:p>
  </w:footnote>
  <w:footnote w:type="continuationSeparator" w:id="0">
    <w:p w14:paraId="09697BFF" w14:textId="77777777" w:rsidR="0051261C" w:rsidRDefault="0051261C" w:rsidP="004A1847">
      <w:pPr>
        <w:spacing w:after="0" w:line="240" w:lineRule="auto"/>
      </w:pPr>
      <w:r>
        <w:continuationSeparator/>
      </w:r>
    </w:p>
  </w:footnote>
  <w:footnote w:type="continuationNotice" w:id="1">
    <w:p w14:paraId="1500B2CB" w14:textId="77777777" w:rsidR="0051261C" w:rsidRDefault="0051261C">
      <w:pPr>
        <w:spacing w:after="0" w:line="240" w:lineRule="auto"/>
      </w:pPr>
    </w:p>
  </w:footnote>
  <w:footnote w:id="2">
    <w:p w14:paraId="460866FC" w14:textId="77777777" w:rsidR="0047433B" w:rsidRPr="006C6F13" w:rsidRDefault="0047433B" w:rsidP="0047433B">
      <w:pPr>
        <w:snapToGrid w:val="0"/>
        <w:spacing w:after="0" w:line="240" w:lineRule="auto"/>
        <w:ind w:right="176" w:firstLine="708"/>
        <w:contextualSpacing/>
        <w:jc w:val="both"/>
        <w:rPr>
          <w:rFonts w:ascii="Verdana" w:hAnsi="Verdana" w:cs="Arial"/>
          <w:sz w:val="16"/>
          <w:szCs w:val="16"/>
        </w:rPr>
      </w:pPr>
      <w:r w:rsidRPr="006C6F13">
        <w:rPr>
          <w:rStyle w:val="Refdenotaalpie"/>
          <w:rFonts w:ascii="Verdana" w:hAnsi="Verdana" w:cs="Arial"/>
          <w:sz w:val="16"/>
          <w:szCs w:val="16"/>
        </w:rPr>
        <w:footnoteRef/>
      </w:r>
      <w:r w:rsidRPr="006C6F13">
        <w:rPr>
          <w:rFonts w:ascii="Verdana" w:hAnsi="Verdana" w:cs="Arial"/>
          <w:sz w:val="16"/>
          <w:szCs w:val="16"/>
        </w:rPr>
        <w:t xml:space="preserve"> Al</w:t>
      </w:r>
      <w:r w:rsidRPr="006C6F13">
        <w:rPr>
          <w:rFonts w:ascii="Verdana" w:hAnsi="Verdana" w:cs="Arial"/>
          <w:spacing w:val="-8"/>
          <w:sz w:val="16"/>
          <w:szCs w:val="16"/>
        </w:rPr>
        <w:t xml:space="preserve"> </w:t>
      </w:r>
      <w:r w:rsidRPr="006C6F13">
        <w:rPr>
          <w:rFonts w:ascii="Verdana" w:hAnsi="Verdana" w:cs="Arial"/>
          <w:sz w:val="16"/>
          <w:szCs w:val="16"/>
        </w:rPr>
        <w:t>respecto,</w:t>
      </w:r>
      <w:r w:rsidRPr="006C6F13">
        <w:rPr>
          <w:rFonts w:ascii="Verdana" w:hAnsi="Verdana" w:cs="Arial"/>
          <w:spacing w:val="-8"/>
          <w:sz w:val="16"/>
          <w:szCs w:val="16"/>
        </w:rPr>
        <w:t xml:space="preserve"> </w:t>
      </w:r>
      <w:r w:rsidRPr="006C6F13">
        <w:rPr>
          <w:rFonts w:ascii="Verdana" w:hAnsi="Verdana" w:cs="Arial"/>
          <w:sz w:val="16"/>
          <w:szCs w:val="16"/>
        </w:rPr>
        <w:t>la</w:t>
      </w:r>
      <w:r w:rsidRPr="006C6F13">
        <w:rPr>
          <w:rFonts w:ascii="Verdana" w:hAnsi="Verdana" w:cs="Arial"/>
          <w:spacing w:val="-8"/>
          <w:sz w:val="16"/>
          <w:szCs w:val="16"/>
        </w:rPr>
        <w:t xml:space="preserve"> </w:t>
      </w:r>
      <w:r w:rsidRPr="006C6F13">
        <w:rPr>
          <w:rFonts w:ascii="Verdana" w:hAnsi="Verdana" w:cs="Arial"/>
          <w:sz w:val="16"/>
          <w:szCs w:val="16"/>
        </w:rPr>
        <w:t>jurisprudencia</w:t>
      </w:r>
      <w:r w:rsidRPr="006C6F13">
        <w:rPr>
          <w:rFonts w:ascii="Verdana" w:hAnsi="Verdana" w:cs="Arial"/>
          <w:spacing w:val="-8"/>
          <w:sz w:val="16"/>
          <w:szCs w:val="16"/>
        </w:rPr>
        <w:t xml:space="preserve"> </w:t>
      </w:r>
      <w:r w:rsidRPr="006C6F13">
        <w:rPr>
          <w:rFonts w:ascii="Verdana" w:hAnsi="Verdana" w:cs="Arial"/>
          <w:sz w:val="16"/>
          <w:szCs w:val="16"/>
        </w:rPr>
        <w:t>explica</w:t>
      </w:r>
      <w:r w:rsidRPr="006C6F13">
        <w:rPr>
          <w:rFonts w:ascii="Verdana" w:hAnsi="Verdana" w:cs="Arial"/>
          <w:spacing w:val="-8"/>
          <w:sz w:val="16"/>
          <w:szCs w:val="16"/>
        </w:rPr>
        <w:t xml:space="preserve"> </w:t>
      </w:r>
      <w:r w:rsidRPr="006C6F13">
        <w:rPr>
          <w:rFonts w:ascii="Verdana" w:hAnsi="Verdana" w:cs="Arial"/>
          <w:sz w:val="16"/>
          <w:szCs w:val="16"/>
        </w:rPr>
        <w:t>que</w:t>
      </w:r>
      <w:r w:rsidRPr="006C6F13">
        <w:rPr>
          <w:rFonts w:ascii="Verdana" w:hAnsi="Verdana" w:cs="Arial"/>
          <w:spacing w:val="-8"/>
          <w:sz w:val="16"/>
          <w:szCs w:val="16"/>
        </w:rPr>
        <w:t xml:space="preserve"> </w:t>
      </w:r>
      <w:r w:rsidRPr="006C6F13">
        <w:rPr>
          <w:rFonts w:ascii="Verdana" w:hAnsi="Verdana" w:cs="Arial"/>
          <w:sz w:val="16"/>
          <w:szCs w:val="16"/>
        </w:rPr>
        <w:t>la</w:t>
      </w:r>
      <w:r w:rsidRPr="006C6F13">
        <w:rPr>
          <w:rFonts w:ascii="Verdana" w:hAnsi="Verdana" w:cs="Arial"/>
          <w:spacing w:val="-9"/>
          <w:sz w:val="16"/>
          <w:szCs w:val="16"/>
        </w:rPr>
        <w:t xml:space="preserve"> </w:t>
      </w:r>
      <w:r w:rsidRPr="006C6F13">
        <w:rPr>
          <w:rFonts w:ascii="Verdana" w:hAnsi="Verdana" w:cs="Arial"/>
          <w:sz w:val="16"/>
          <w:szCs w:val="16"/>
        </w:rPr>
        <w:t>garantía</w:t>
      </w:r>
      <w:r w:rsidRPr="006C6F13">
        <w:rPr>
          <w:rFonts w:ascii="Verdana" w:hAnsi="Verdana" w:cs="Arial"/>
          <w:spacing w:val="-8"/>
          <w:sz w:val="16"/>
          <w:szCs w:val="16"/>
        </w:rPr>
        <w:t xml:space="preserve"> </w:t>
      </w:r>
      <w:r w:rsidRPr="006C6F13">
        <w:rPr>
          <w:rFonts w:ascii="Verdana" w:hAnsi="Verdana" w:cs="Arial"/>
          <w:sz w:val="16"/>
          <w:szCs w:val="16"/>
        </w:rPr>
        <w:t>del</w:t>
      </w:r>
      <w:r w:rsidRPr="006C6F13">
        <w:rPr>
          <w:rFonts w:ascii="Verdana" w:hAnsi="Verdana" w:cs="Arial"/>
          <w:spacing w:val="-8"/>
          <w:sz w:val="16"/>
          <w:szCs w:val="16"/>
        </w:rPr>
        <w:t xml:space="preserve"> </w:t>
      </w:r>
      <w:r w:rsidRPr="006C6F13">
        <w:rPr>
          <w:rFonts w:ascii="Verdana" w:hAnsi="Verdana" w:cs="Arial"/>
          <w:sz w:val="16"/>
          <w:szCs w:val="16"/>
        </w:rPr>
        <w:t>debido</w:t>
      </w:r>
      <w:r w:rsidRPr="006C6F13">
        <w:rPr>
          <w:rFonts w:ascii="Verdana" w:hAnsi="Verdana" w:cs="Arial"/>
          <w:spacing w:val="-8"/>
          <w:sz w:val="16"/>
          <w:szCs w:val="16"/>
        </w:rPr>
        <w:t xml:space="preserve"> </w:t>
      </w:r>
      <w:r w:rsidRPr="006C6F13">
        <w:rPr>
          <w:rFonts w:ascii="Verdana" w:hAnsi="Verdana" w:cs="Arial"/>
          <w:sz w:val="16"/>
          <w:szCs w:val="16"/>
        </w:rPr>
        <w:t>proceso</w:t>
      </w:r>
      <w:r w:rsidRPr="006C6F13">
        <w:rPr>
          <w:rFonts w:ascii="Verdana" w:hAnsi="Verdana" w:cs="Arial"/>
          <w:spacing w:val="-8"/>
          <w:sz w:val="16"/>
          <w:szCs w:val="16"/>
        </w:rPr>
        <w:t xml:space="preserve"> </w:t>
      </w:r>
      <w:r w:rsidRPr="006C6F13">
        <w:rPr>
          <w:rFonts w:ascii="Verdana" w:hAnsi="Verdana" w:cs="Arial"/>
          <w:sz w:val="16"/>
          <w:szCs w:val="16"/>
        </w:rPr>
        <w:t>“[…]</w:t>
      </w:r>
      <w:r w:rsidRPr="006C6F13">
        <w:rPr>
          <w:rFonts w:ascii="Verdana" w:hAnsi="Verdana" w:cs="Arial"/>
          <w:spacing w:val="-8"/>
          <w:sz w:val="16"/>
          <w:szCs w:val="16"/>
        </w:rPr>
        <w:t xml:space="preserve"> </w:t>
      </w:r>
      <w:r w:rsidRPr="006C6F13">
        <w:rPr>
          <w:rFonts w:ascii="Verdana" w:hAnsi="Verdana" w:cs="Arial"/>
          <w:sz w:val="16"/>
          <w:szCs w:val="16"/>
        </w:rPr>
        <w:t>tampoco</w:t>
      </w:r>
      <w:r w:rsidRPr="006C6F13">
        <w:rPr>
          <w:rFonts w:ascii="Verdana" w:hAnsi="Verdana" w:cs="Arial"/>
          <w:spacing w:val="-8"/>
          <w:sz w:val="16"/>
          <w:szCs w:val="16"/>
        </w:rPr>
        <w:t xml:space="preserve"> </w:t>
      </w:r>
      <w:r w:rsidRPr="006C6F13">
        <w:rPr>
          <w:rFonts w:ascii="Verdana" w:hAnsi="Verdana" w:cs="Arial"/>
          <w:sz w:val="16"/>
          <w:szCs w:val="16"/>
        </w:rPr>
        <w:t>es</w:t>
      </w:r>
      <w:r w:rsidRPr="006C6F13">
        <w:rPr>
          <w:rFonts w:ascii="Verdana" w:hAnsi="Verdana" w:cs="Arial"/>
          <w:spacing w:val="-8"/>
          <w:sz w:val="16"/>
          <w:szCs w:val="16"/>
        </w:rPr>
        <w:t xml:space="preserve"> </w:t>
      </w:r>
      <w:r w:rsidRPr="006C6F13">
        <w:rPr>
          <w:rFonts w:ascii="Verdana" w:hAnsi="Verdana" w:cs="Arial"/>
          <w:sz w:val="16"/>
          <w:szCs w:val="16"/>
        </w:rPr>
        <w:t>exclusiva</w:t>
      </w:r>
      <w:r w:rsidRPr="006C6F13">
        <w:rPr>
          <w:rFonts w:ascii="Verdana" w:hAnsi="Verdana" w:cs="Arial"/>
          <w:spacing w:val="-8"/>
          <w:sz w:val="16"/>
          <w:szCs w:val="16"/>
        </w:rPr>
        <w:t xml:space="preserve"> </w:t>
      </w:r>
      <w:r w:rsidRPr="006C6F13">
        <w:rPr>
          <w:rFonts w:ascii="Verdana" w:hAnsi="Verdana" w:cs="Arial"/>
          <w:sz w:val="16"/>
          <w:szCs w:val="16"/>
        </w:rPr>
        <w:t>de</w:t>
      </w:r>
      <w:r w:rsidRPr="006C6F13">
        <w:rPr>
          <w:rFonts w:ascii="Verdana" w:hAnsi="Verdana" w:cs="Arial"/>
          <w:spacing w:val="1"/>
          <w:sz w:val="16"/>
          <w:szCs w:val="16"/>
        </w:rPr>
        <w:t xml:space="preserve"> </w:t>
      </w:r>
      <w:r w:rsidRPr="006C6F13">
        <w:rPr>
          <w:rFonts w:ascii="Verdana" w:hAnsi="Verdana" w:cs="Arial"/>
          <w:sz w:val="16"/>
          <w:szCs w:val="16"/>
        </w:rPr>
        <w:t>los procedimientos sancionatorios contractuales, sino de los demás trámites administrativos que se surten al</w:t>
      </w:r>
      <w:r w:rsidRPr="006C6F13">
        <w:rPr>
          <w:rFonts w:ascii="Verdana" w:hAnsi="Verdana" w:cs="Arial"/>
          <w:spacing w:val="1"/>
          <w:sz w:val="16"/>
          <w:szCs w:val="16"/>
        </w:rPr>
        <w:t xml:space="preserve"> </w:t>
      </w:r>
      <w:r w:rsidRPr="006C6F13">
        <w:rPr>
          <w:rFonts w:ascii="Verdana" w:hAnsi="Verdana" w:cs="Arial"/>
          <w:sz w:val="16"/>
          <w:szCs w:val="16"/>
        </w:rPr>
        <w:t>interior de la actividad contractual, que también deben garantizar un procedimiento previo que racionalice las</w:t>
      </w:r>
      <w:r w:rsidRPr="006C6F13">
        <w:rPr>
          <w:rFonts w:ascii="Verdana" w:hAnsi="Verdana" w:cs="Arial"/>
          <w:spacing w:val="1"/>
          <w:sz w:val="16"/>
          <w:szCs w:val="16"/>
        </w:rPr>
        <w:t xml:space="preserve"> </w:t>
      </w:r>
      <w:r w:rsidRPr="006C6F13">
        <w:rPr>
          <w:rFonts w:ascii="Verdana" w:hAnsi="Verdana" w:cs="Arial"/>
          <w:sz w:val="16"/>
          <w:szCs w:val="16"/>
        </w:rPr>
        <w:t>decisiones</w:t>
      </w:r>
      <w:r w:rsidRPr="006C6F13">
        <w:rPr>
          <w:rFonts w:ascii="Verdana" w:hAnsi="Verdana" w:cs="Arial"/>
          <w:spacing w:val="-12"/>
          <w:sz w:val="16"/>
          <w:szCs w:val="16"/>
        </w:rPr>
        <w:t xml:space="preserve"> </w:t>
      </w:r>
      <w:r w:rsidRPr="006C6F13">
        <w:rPr>
          <w:rFonts w:ascii="Verdana" w:hAnsi="Verdana" w:cs="Arial"/>
          <w:sz w:val="16"/>
          <w:szCs w:val="16"/>
        </w:rPr>
        <w:t>que</w:t>
      </w:r>
      <w:r w:rsidRPr="006C6F13">
        <w:rPr>
          <w:rFonts w:ascii="Verdana" w:hAnsi="Verdana" w:cs="Arial"/>
          <w:spacing w:val="-11"/>
          <w:sz w:val="16"/>
          <w:szCs w:val="16"/>
        </w:rPr>
        <w:t xml:space="preserve"> </w:t>
      </w:r>
      <w:r w:rsidRPr="006C6F13">
        <w:rPr>
          <w:rFonts w:ascii="Verdana" w:hAnsi="Verdana" w:cs="Arial"/>
          <w:sz w:val="16"/>
          <w:szCs w:val="16"/>
        </w:rPr>
        <w:t>se</w:t>
      </w:r>
      <w:r w:rsidRPr="006C6F13">
        <w:rPr>
          <w:rFonts w:ascii="Verdana" w:hAnsi="Verdana" w:cs="Arial"/>
          <w:spacing w:val="-11"/>
          <w:sz w:val="16"/>
          <w:szCs w:val="16"/>
        </w:rPr>
        <w:t xml:space="preserve"> </w:t>
      </w:r>
      <w:r w:rsidRPr="006C6F13">
        <w:rPr>
          <w:rFonts w:ascii="Verdana" w:hAnsi="Verdana" w:cs="Arial"/>
          <w:sz w:val="16"/>
          <w:szCs w:val="16"/>
        </w:rPr>
        <w:t>adoptan</w:t>
      </w:r>
      <w:r w:rsidRPr="006C6F13">
        <w:rPr>
          <w:rFonts w:ascii="Verdana" w:hAnsi="Verdana" w:cs="Arial"/>
          <w:spacing w:val="-11"/>
          <w:sz w:val="16"/>
          <w:szCs w:val="16"/>
        </w:rPr>
        <w:t xml:space="preserve"> </w:t>
      </w:r>
      <w:r w:rsidRPr="006C6F13">
        <w:rPr>
          <w:rFonts w:ascii="Verdana" w:hAnsi="Verdana" w:cs="Arial"/>
          <w:sz w:val="16"/>
          <w:szCs w:val="16"/>
        </w:rPr>
        <w:t>a</w:t>
      </w:r>
      <w:r w:rsidRPr="006C6F13">
        <w:rPr>
          <w:rFonts w:ascii="Verdana" w:hAnsi="Verdana" w:cs="Arial"/>
          <w:spacing w:val="-11"/>
          <w:sz w:val="16"/>
          <w:szCs w:val="16"/>
        </w:rPr>
        <w:t xml:space="preserve"> </w:t>
      </w:r>
      <w:r w:rsidRPr="006C6F13">
        <w:rPr>
          <w:rFonts w:ascii="Verdana" w:hAnsi="Verdana" w:cs="Arial"/>
          <w:sz w:val="16"/>
          <w:szCs w:val="16"/>
        </w:rPr>
        <w:t>través</w:t>
      </w:r>
      <w:r w:rsidRPr="006C6F13">
        <w:rPr>
          <w:rFonts w:ascii="Verdana" w:hAnsi="Verdana" w:cs="Arial"/>
          <w:spacing w:val="-11"/>
          <w:sz w:val="16"/>
          <w:szCs w:val="16"/>
        </w:rPr>
        <w:t xml:space="preserve"> </w:t>
      </w:r>
      <w:r w:rsidRPr="006C6F13">
        <w:rPr>
          <w:rFonts w:ascii="Verdana" w:hAnsi="Verdana" w:cs="Arial"/>
          <w:sz w:val="16"/>
          <w:szCs w:val="16"/>
        </w:rPr>
        <w:t>suyo.</w:t>
      </w:r>
      <w:r w:rsidRPr="006C6F13">
        <w:rPr>
          <w:rFonts w:ascii="Verdana" w:hAnsi="Verdana" w:cs="Arial"/>
          <w:spacing w:val="-11"/>
          <w:sz w:val="16"/>
          <w:szCs w:val="16"/>
        </w:rPr>
        <w:t xml:space="preserve"> </w:t>
      </w:r>
      <w:r w:rsidRPr="006C6F13">
        <w:rPr>
          <w:rFonts w:ascii="Verdana" w:hAnsi="Verdana" w:cs="Arial"/>
          <w:sz w:val="16"/>
          <w:szCs w:val="16"/>
        </w:rPr>
        <w:t>Los</w:t>
      </w:r>
      <w:r w:rsidRPr="006C6F13">
        <w:rPr>
          <w:rFonts w:ascii="Verdana" w:hAnsi="Verdana" w:cs="Arial"/>
          <w:spacing w:val="-11"/>
          <w:sz w:val="16"/>
          <w:szCs w:val="16"/>
        </w:rPr>
        <w:t xml:space="preserve"> </w:t>
      </w:r>
      <w:r w:rsidRPr="006C6F13">
        <w:rPr>
          <w:rFonts w:ascii="Verdana" w:hAnsi="Verdana" w:cs="Arial"/>
          <w:sz w:val="16"/>
          <w:szCs w:val="16"/>
        </w:rPr>
        <w:t>más</w:t>
      </w:r>
      <w:r w:rsidRPr="006C6F13">
        <w:rPr>
          <w:rFonts w:ascii="Verdana" w:hAnsi="Verdana" w:cs="Arial"/>
          <w:spacing w:val="-11"/>
          <w:sz w:val="16"/>
          <w:szCs w:val="16"/>
        </w:rPr>
        <w:t xml:space="preserve"> </w:t>
      </w:r>
      <w:r w:rsidRPr="006C6F13">
        <w:rPr>
          <w:rFonts w:ascii="Verdana" w:hAnsi="Verdana" w:cs="Arial"/>
          <w:sz w:val="16"/>
          <w:szCs w:val="16"/>
        </w:rPr>
        <w:t>representativos</w:t>
      </w:r>
      <w:r w:rsidRPr="006C6F13">
        <w:rPr>
          <w:rFonts w:ascii="Verdana" w:hAnsi="Verdana" w:cs="Arial"/>
          <w:spacing w:val="-11"/>
          <w:sz w:val="16"/>
          <w:szCs w:val="16"/>
        </w:rPr>
        <w:t xml:space="preserve"> </w:t>
      </w:r>
      <w:r w:rsidRPr="006C6F13">
        <w:rPr>
          <w:rFonts w:ascii="Verdana" w:hAnsi="Verdana" w:cs="Arial"/>
          <w:sz w:val="16"/>
          <w:szCs w:val="16"/>
        </w:rPr>
        <w:t>son</w:t>
      </w:r>
      <w:r w:rsidRPr="006C6F13">
        <w:rPr>
          <w:rFonts w:ascii="Verdana" w:hAnsi="Verdana" w:cs="Arial"/>
          <w:spacing w:val="-11"/>
          <w:sz w:val="16"/>
          <w:szCs w:val="16"/>
        </w:rPr>
        <w:t xml:space="preserve"> </w:t>
      </w:r>
      <w:r w:rsidRPr="006C6F13">
        <w:rPr>
          <w:rFonts w:ascii="Verdana" w:hAnsi="Verdana" w:cs="Arial"/>
          <w:sz w:val="16"/>
          <w:szCs w:val="16"/>
        </w:rPr>
        <w:t>los</w:t>
      </w:r>
      <w:r w:rsidRPr="006C6F13">
        <w:rPr>
          <w:rFonts w:ascii="Verdana" w:hAnsi="Verdana" w:cs="Arial"/>
          <w:spacing w:val="-11"/>
          <w:sz w:val="16"/>
          <w:szCs w:val="16"/>
        </w:rPr>
        <w:t xml:space="preserve"> </w:t>
      </w:r>
      <w:r w:rsidRPr="006C6F13">
        <w:rPr>
          <w:rFonts w:ascii="Verdana" w:hAnsi="Verdana" w:cs="Arial"/>
          <w:sz w:val="16"/>
          <w:szCs w:val="16"/>
        </w:rPr>
        <w:t>procesos</w:t>
      </w:r>
      <w:r w:rsidRPr="006C6F13">
        <w:rPr>
          <w:rFonts w:ascii="Verdana" w:hAnsi="Verdana" w:cs="Arial"/>
          <w:spacing w:val="-11"/>
          <w:sz w:val="16"/>
          <w:szCs w:val="16"/>
        </w:rPr>
        <w:t xml:space="preserve"> </w:t>
      </w:r>
      <w:r w:rsidRPr="006C6F13">
        <w:rPr>
          <w:rFonts w:ascii="Verdana" w:hAnsi="Verdana" w:cs="Arial"/>
          <w:sz w:val="16"/>
          <w:szCs w:val="16"/>
        </w:rPr>
        <w:t>de</w:t>
      </w:r>
      <w:r w:rsidRPr="006C6F13">
        <w:rPr>
          <w:rFonts w:ascii="Verdana" w:hAnsi="Verdana" w:cs="Arial"/>
          <w:spacing w:val="-12"/>
          <w:sz w:val="16"/>
          <w:szCs w:val="16"/>
        </w:rPr>
        <w:t xml:space="preserve"> </w:t>
      </w:r>
      <w:r w:rsidRPr="006C6F13">
        <w:rPr>
          <w:rFonts w:ascii="Verdana" w:hAnsi="Verdana" w:cs="Arial"/>
          <w:sz w:val="16"/>
          <w:szCs w:val="16"/>
        </w:rPr>
        <w:t>selección</w:t>
      </w:r>
      <w:r w:rsidRPr="006C6F13">
        <w:rPr>
          <w:rFonts w:ascii="Verdana" w:hAnsi="Verdana" w:cs="Arial"/>
          <w:spacing w:val="-11"/>
          <w:sz w:val="16"/>
          <w:szCs w:val="16"/>
        </w:rPr>
        <w:t xml:space="preserve"> </w:t>
      </w:r>
      <w:r w:rsidRPr="006C6F13">
        <w:rPr>
          <w:rFonts w:ascii="Verdana" w:hAnsi="Verdana" w:cs="Arial"/>
          <w:sz w:val="16"/>
          <w:szCs w:val="16"/>
        </w:rPr>
        <w:t>de</w:t>
      </w:r>
      <w:r w:rsidRPr="006C6F13">
        <w:rPr>
          <w:rFonts w:ascii="Verdana" w:hAnsi="Verdana" w:cs="Arial"/>
          <w:spacing w:val="-11"/>
          <w:sz w:val="16"/>
          <w:szCs w:val="16"/>
        </w:rPr>
        <w:t xml:space="preserve"> </w:t>
      </w:r>
      <w:r w:rsidRPr="006C6F13">
        <w:rPr>
          <w:rFonts w:ascii="Verdana" w:hAnsi="Verdana" w:cs="Arial"/>
          <w:sz w:val="16"/>
          <w:szCs w:val="16"/>
        </w:rPr>
        <w:t>contratistas,</w:t>
      </w:r>
      <w:r w:rsidRPr="006C6F13">
        <w:rPr>
          <w:rFonts w:ascii="Verdana" w:hAnsi="Verdana" w:cs="Arial"/>
          <w:spacing w:val="-50"/>
          <w:sz w:val="16"/>
          <w:szCs w:val="16"/>
        </w:rPr>
        <w:t xml:space="preserve"> </w:t>
      </w:r>
      <w:r w:rsidRPr="006C6F13">
        <w:rPr>
          <w:rFonts w:ascii="Verdana" w:hAnsi="Verdana" w:cs="Arial"/>
          <w:sz w:val="16"/>
          <w:szCs w:val="16"/>
        </w:rPr>
        <w:t>cuyas etapas y requisitos son de estricta observancia, tanto para la administración como para los participantes,</w:t>
      </w:r>
      <w:r w:rsidRPr="006C6F13">
        <w:rPr>
          <w:rFonts w:ascii="Verdana" w:hAnsi="Verdana" w:cs="Arial"/>
          <w:spacing w:val="-50"/>
          <w:sz w:val="16"/>
          <w:szCs w:val="16"/>
        </w:rPr>
        <w:t xml:space="preserve"> </w:t>
      </w:r>
      <w:r w:rsidRPr="006C6F13">
        <w:rPr>
          <w:rFonts w:ascii="Verdana" w:hAnsi="Verdana" w:cs="Arial"/>
          <w:sz w:val="16"/>
          <w:szCs w:val="16"/>
        </w:rPr>
        <w:t>en señal de respeto al principio de legalidad como a este derecho que integra el debido proceso” (CONSEJO</w:t>
      </w:r>
      <w:r w:rsidRPr="006C6F13">
        <w:rPr>
          <w:rFonts w:ascii="Verdana" w:hAnsi="Verdana" w:cs="Arial"/>
          <w:spacing w:val="1"/>
          <w:sz w:val="16"/>
          <w:szCs w:val="16"/>
        </w:rPr>
        <w:t xml:space="preserve"> </w:t>
      </w:r>
      <w:r w:rsidRPr="006C6F13">
        <w:rPr>
          <w:rFonts w:ascii="Verdana" w:hAnsi="Verdana" w:cs="Arial"/>
          <w:sz w:val="16"/>
          <w:szCs w:val="16"/>
        </w:rPr>
        <w:t>DE</w:t>
      </w:r>
      <w:r w:rsidRPr="006C6F13">
        <w:rPr>
          <w:rFonts w:ascii="Verdana" w:hAnsi="Verdana" w:cs="Arial"/>
          <w:spacing w:val="-4"/>
          <w:sz w:val="16"/>
          <w:szCs w:val="16"/>
        </w:rPr>
        <w:t xml:space="preserve"> </w:t>
      </w:r>
      <w:r w:rsidRPr="006C6F13">
        <w:rPr>
          <w:rFonts w:ascii="Verdana" w:hAnsi="Verdana" w:cs="Arial"/>
          <w:sz w:val="16"/>
          <w:szCs w:val="16"/>
        </w:rPr>
        <w:t>ESTADO.</w:t>
      </w:r>
      <w:r w:rsidRPr="006C6F13">
        <w:rPr>
          <w:rFonts w:ascii="Verdana" w:hAnsi="Verdana" w:cs="Arial"/>
          <w:spacing w:val="-4"/>
          <w:sz w:val="16"/>
          <w:szCs w:val="16"/>
        </w:rPr>
        <w:t xml:space="preserve"> </w:t>
      </w:r>
      <w:r w:rsidRPr="006C6F13">
        <w:rPr>
          <w:rFonts w:ascii="Verdana" w:hAnsi="Verdana" w:cs="Arial"/>
          <w:sz w:val="16"/>
          <w:szCs w:val="16"/>
        </w:rPr>
        <w:t>Sección</w:t>
      </w:r>
      <w:r w:rsidRPr="006C6F13">
        <w:rPr>
          <w:rFonts w:ascii="Verdana" w:hAnsi="Verdana" w:cs="Arial"/>
          <w:spacing w:val="-3"/>
          <w:sz w:val="16"/>
          <w:szCs w:val="16"/>
        </w:rPr>
        <w:t xml:space="preserve"> </w:t>
      </w:r>
      <w:r w:rsidRPr="006C6F13">
        <w:rPr>
          <w:rFonts w:ascii="Verdana" w:hAnsi="Verdana" w:cs="Arial"/>
          <w:sz w:val="16"/>
          <w:szCs w:val="16"/>
        </w:rPr>
        <w:t>Tercera.</w:t>
      </w:r>
      <w:r w:rsidRPr="006C6F13">
        <w:rPr>
          <w:rFonts w:ascii="Verdana" w:hAnsi="Verdana" w:cs="Arial"/>
          <w:spacing w:val="-4"/>
          <w:sz w:val="16"/>
          <w:szCs w:val="16"/>
        </w:rPr>
        <w:t xml:space="preserve"> </w:t>
      </w:r>
      <w:r w:rsidRPr="006C6F13">
        <w:rPr>
          <w:rFonts w:ascii="Verdana" w:hAnsi="Verdana" w:cs="Arial"/>
          <w:sz w:val="16"/>
          <w:szCs w:val="16"/>
        </w:rPr>
        <w:t>Sentencia</w:t>
      </w:r>
      <w:r w:rsidRPr="006C6F13">
        <w:rPr>
          <w:rFonts w:ascii="Verdana" w:hAnsi="Verdana" w:cs="Arial"/>
          <w:spacing w:val="-3"/>
          <w:sz w:val="16"/>
          <w:szCs w:val="16"/>
        </w:rPr>
        <w:t xml:space="preserve"> </w:t>
      </w:r>
      <w:r w:rsidRPr="006C6F13">
        <w:rPr>
          <w:rFonts w:ascii="Verdana" w:hAnsi="Verdana" w:cs="Arial"/>
          <w:sz w:val="16"/>
          <w:szCs w:val="16"/>
        </w:rPr>
        <w:t>del</w:t>
      </w:r>
      <w:r w:rsidRPr="006C6F13">
        <w:rPr>
          <w:rFonts w:ascii="Verdana" w:hAnsi="Verdana" w:cs="Arial"/>
          <w:spacing w:val="-4"/>
          <w:sz w:val="16"/>
          <w:szCs w:val="16"/>
        </w:rPr>
        <w:t xml:space="preserve"> </w:t>
      </w:r>
      <w:r w:rsidRPr="006C6F13">
        <w:rPr>
          <w:rFonts w:ascii="Verdana" w:hAnsi="Verdana" w:cs="Arial"/>
          <w:sz w:val="16"/>
          <w:szCs w:val="16"/>
        </w:rPr>
        <w:t>23</w:t>
      </w:r>
      <w:r w:rsidRPr="006C6F13">
        <w:rPr>
          <w:rFonts w:ascii="Verdana" w:hAnsi="Verdana" w:cs="Arial"/>
          <w:spacing w:val="-3"/>
          <w:sz w:val="16"/>
          <w:szCs w:val="16"/>
        </w:rPr>
        <w:t xml:space="preserve"> </w:t>
      </w:r>
      <w:r w:rsidRPr="006C6F13">
        <w:rPr>
          <w:rFonts w:ascii="Verdana" w:hAnsi="Verdana" w:cs="Arial"/>
          <w:sz w:val="16"/>
          <w:szCs w:val="16"/>
        </w:rPr>
        <w:t>de</w:t>
      </w:r>
      <w:r w:rsidRPr="006C6F13">
        <w:rPr>
          <w:rFonts w:ascii="Verdana" w:hAnsi="Verdana" w:cs="Arial"/>
          <w:spacing w:val="-4"/>
          <w:sz w:val="16"/>
          <w:szCs w:val="16"/>
        </w:rPr>
        <w:t xml:space="preserve"> </w:t>
      </w:r>
      <w:r w:rsidRPr="006C6F13">
        <w:rPr>
          <w:rFonts w:ascii="Verdana" w:hAnsi="Verdana" w:cs="Arial"/>
          <w:sz w:val="16"/>
          <w:szCs w:val="16"/>
        </w:rPr>
        <w:t>junio</w:t>
      </w:r>
      <w:r w:rsidRPr="006C6F13">
        <w:rPr>
          <w:rFonts w:ascii="Verdana" w:hAnsi="Verdana" w:cs="Arial"/>
          <w:spacing w:val="-3"/>
          <w:sz w:val="16"/>
          <w:szCs w:val="16"/>
        </w:rPr>
        <w:t xml:space="preserve"> </w:t>
      </w:r>
      <w:r w:rsidRPr="006C6F13">
        <w:rPr>
          <w:rFonts w:ascii="Verdana" w:hAnsi="Verdana" w:cs="Arial"/>
          <w:sz w:val="16"/>
          <w:szCs w:val="16"/>
        </w:rPr>
        <w:t>de</w:t>
      </w:r>
      <w:r w:rsidRPr="006C6F13">
        <w:rPr>
          <w:rFonts w:ascii="Verdana" w:hAnsi="Verdana" w:cs="Arial"/>
          <w:spacing w:val="-4"/>
          <w:sz w:val="16"/>
          <w:szCs w:val="16"/>
        </w:rPr>
        <w:t xml:space="preserve"> </w:t>
      </w:r>
      <w:r w:rsidRPr="006C6F13">
        <w:rPr>
          <w:rFonts w:ascii="Verdana" w:hAnsi="Verdana" w:cs="Arial"/>
          <w:sz w:val="16"/>
          <w:szCs w:val="16"/>
        </w:rPr>
        <w:t>2010.</w:t>
      </w:r>
      <w:r w:rsidRPr="006C6F13">
        <w:rPr>
          <w:rFonts w:ascii="Verdana" w:hAnsi="Verdana" w:cs="Arial"/>
          <w:spacing w:val="-3"/>
          <w:sz w:val="16"/>
          <w:szCs w:val="16"/>
        </w:rPr>
        <w:t xml:space="preserve"> </w:t>
      </w:r>
      <w:r w:rsidRPr="006C6F13">
        <w:rPr>
          <w:rFonts w:ascii="Verdana" w:hAnsi="Verdana" w:cs="Arial"/>
          <w:sz w:val="16"/>
          <w:szCs w:val="16"/>
        </w:rPr>
        <w:t>Rad.</w:t>
      </w:r>
      <w:r w:rsidRPr="006C6F13">
        <w:rPr>
          <w:rFonts w:ascii="Verdana" w:hAnsi="Verdana" w:cs="Arial"/>
          <w:spacing w:val="-4"/>
          <w:sz w:val="16"/>
          <w:szCs w:val="16"/>
        </w:rPr>
        <w:t xml:space="preserve"> </w:t>
      </w:r>
      <w:r w:rsidRPr="006C6F13">
        <w:rPr>
          <w:rFonts w:ascii="Verdana" w:hAnsi="Verdana" w:cs="Arial"/>
          <w:sz w:val="16"/>
          <w:szCs w:val="16"/>
        </w:rPr>
        <w:t>16.367.</w:t>
      </w:r>
      <w:r w:rsidRPr="006C6F13">
        <w:rPr>
          <w:rFonts w:ascii="Verdana" w:hAnsi="Verdana" w:cs="Arial"/>
          <w:spacing w:val="-3"/>
          <w:sz w:val="16"/>
          <w:szCs w:val="16"/>
        </w:rPr>
        <w:t xml:space="preserve"> </w:t>
      </w:r>
      <w:r w:rsidRPr="006C6F13">
        <w:rPr>
          <w:rFonts w:ascii="Verdana" w:hAnsi="Verdana" w:cs="Arial"/>
          <w:sz w:val="16"/>
          <w:szCs w:val="16"/>
        </w:rPr>
        <w:t>C.P.</w:t>
      </w:r>
      <w:r w:rsidRPr="006C6F13">
        <w:rPr>
          <w:rFonts w:ascii="Verdana" w:hAnsi="Verdana" w:cs="Arial"/>
          <w:spacing w:val="-4"/>
          <w:sz w:val="16"/>
          <w:szCs w:val="16"/>
        </w:rPr>
        <w:t xml:space="preserve"> </w:t>
      </w:r>
      <w:r w:rsidRPr="006C6F13">
        <w:rPr>
          <w:rFonts w:ascii="Verdana" w:hAnsi="Verdana" w:cs="Arial"/>
          <w:sz w:val="16"/>
          <w:szCs w:val="16"/>
        </w:rPr>
        <w:t>Enrique</w:t>
      </w:r>
      <w:r w:rsidRPr="006C6F13">
        <w:rPr>
          <w:rFonts w:ascii="Verdana" w:hAnsi="Verdana" w:cs="Arial"/>
          <w:spacing w:val="-3"/>
          <w:sz w:val="16"/>
          <w:szCs w:val="16"/>
        </w:rPr>
        <w:t xml:space="preserve"> </w:t>
      </w:r>
      <w:r w:rsidRPr="006C6F13">
        <w:rPr>
          <w:rFonts w:ascii="Verdana" w:hAnsi="Verdana" w:cs="Arial"/>
          <w:sz w:val="16"/>
          <w:szCs w:val="16"/>
        </w:rPr>
        <w:t>Gil</w:t>
      </w:r>
      <w:r w:rsidRPr="006C6F13">
        <w:rPr>
          <w:rFonts w:ascii="Verdana" w:hAnsi="Verdana" w:cs="Arial"/>
          <w:spacing w:val="-4"/>
          <w:sz w:val="16"/>
          <w:szCs w:val="16"/>
        </w:rPr>
        <w:t xml:space="preserve"> </w:t>
      </w:r>
      <w:r w:rsidRPr="006C6F13">
        <w:rPr>
          <w:rFonts w:ascii="Verdana" w:hAnsi="Verdana" w:cs="Arial"/>
          <w:sz w:val="16"/>
          <w:szCs w:val="16"/>
        </w:rPr>
        <w:t>Botero).</w:t>
      </w:r>
    </w:p>
  </w:footnote>
  <w:footnote w:id="3">
    <w:p w14:paraId="4B63BBA5" w14:textId="77777777" w:rsidR="0047433B" w:rsidRPr="006C6F13" w:rsidRDefault="0047433B" w:rsidP="0047433B">
      <w:pPr>
        <w:pStyle w:val="Textonotapie"/>
        <w:snapToGrid w:val="0"/>
        <w:ind w:firstLine="708"/>
        <w:contextualSpacing/>
        <w:jc w:val="both"/>
        <w:rPr>
          <w:rFonts w:ascii="Verdana" w:hAnsi="Verdana" w:cs="Arial"/>
          <w:sz w:val="16"/>
          <w:szCs w:val="16"/>
        </w:rPr>
      </w:pPr>
      <w:r w:rsidRPr="006C6F13">
        <w:rPr>
          <w:rStyle w:val="Refdenotaalpie"/>
          <w:rFonts w:ascii="Verdana" w:hAnsi="Verdana" w:cs="Arial"/>
          <w:sz w:val="16"/>
          <w:szCs w:val="16"/>
        </w:rPr>
        <w:footnoteRef/>
      </w:r>
      <w:r w:rsidRPr="006C6F13">
        <w:rPr>
          <w:rFonts w:ascii="Verdana" w:hAnsi="Verdana" w:cs="Arial"/>
          <w:sz w:val="16"/>
          <w:szCs w:val="16"/>
        </w:rPr>
        <w:t xml:space="preserve"> De hecho, en la exposición de motivos se explicó lo siguiente: “El proyecto mantiene como regla</w:t>
      </w:r>
      <w:r w:rsidRPr="006C6F13">
        <w:rPr>
          <w:rFonts w:ascii="Verdana" w:hAnsi="Verdana" w:cs="Arial"/>
          <w:spacing w:val="1"/>
          <w:sz w:val="16"/>
          <w:szCs w:val="16"/>
        </w:rPr>
        <w:t xml:space="preserve"> </w:t>
      </w:r>
      <w:r w:rsidRPr="006C6F13">
        <w:rPr>
          <w:rFonts w:ascii="Verdana" w:hAnsi="Verdana" w:cs="Arial"/>
          <w:sz w:val="16"/>
          <w:szCs w:val="16"/>
        </w:rPr>
        <w:t>general la utilización de procedimientos reglados de selección objetiva del contratista [...], lo que afirma la</w:t>
      </w:r>
      <w:r w:rsidRPr="006C6F13">
        <w:rPr>
          <w:rFonts w:ascii="Verdana" w:hAnsi="Verdana" w:cs="Arial"/>
          <w:spacing w:val="1"/>
          <w:sz w:val="16"/>
          <w:szCs w:val="16"/>
        </w:rPr>
        <w:t xml:space="preserve"> </w:t>
      </w:r>
      <w:r w:rsidRPr="006C6F13">
        <w:rPr>
          <w:rFonts w:ascii="Verdana" w:hAnsi="Verdana" w:cs="Arial"/>
          <w:sz w:val="16"/>
          <w:szCs w:val="16"/>
        </w:rPr>
        <w:t>ordenación que sobre la materia ha mantenido nuestra legislación desde el Código Fiscal de 1873 en cuanto</w:t>
      </w:r>
      <w:r w:rsidRPr="006C6F13">
        <w:rPr>
          <w:rFonts w:ascii="Verdana" w:hAnsi="Verdana" w:cs="Arial"/>
          <w:spacing w:val="1"/>
          <w:sz w:val="16"/>
          <w:szCs w:val="16"/>
        </w:rPr>
        <w:t xml:space="preserve"> </w:t>
      </w:r>
      <w:r w:rsidRPr="006C6F13">
        <w:rPr>
          <w:rFonts w:ascii="Verdana" w:hAnsi="Verdana" w:cs="Arial"/>
          <w:sz w:val="16"/>
          <w:szCs w:val="16"/>
        </w:rPr>
        <w:t>que</w:t>
      </w:r>
      <w:r w:rsidRPr="006C6F13">
        <w:rPr>
          <w:rFonts w:ascii="Verdana" w:hAnsi="Verdana" w:cs="Arial"/>
          <w:spacing w:val="1"/>
          <w:sz w:val="16"/>
          <w:szCs w:val="16"/>
        </w:rPr>
        <w:t xml:space="preserve"> </w:t>
      </w:r>
      <w:r w:rsidRPr="006C6F13">
        <w:rPr>
          <w:rFonts w:ascii="Verdana" w:hAnsi="Verdana" w:cs="Arial"/>
          <w:sz w:val="16"/>
          <w:szCs w:val="16"/>
        </w:rPr>
        <w:t>su</w:t>
      </w:r>
      <w:r w:rsidRPr="006C6F13">
        <w:rPr>
          <w:rFonts w:ascii="Verdana" w:hAnsi="Verdana" w:cs="Arial"/>
          <w:spacing w:val="1"/>
          <w:sz w:val="16"/>
          <w:szCs w:val="16"/>
        </w:rPr>
        <w:t xml:space="preserve"> </w:t>
      </w:r>
      <w:r w:rsidRPr="006C6F13">
        <w:rPr>
          <w:rFonts w:ascii="Verdana" w:hAnsi="Verdana" w:cs="Arial"/>
          <w:sz w:val="16"/>
          <w:szCs w:val="16"/>
        </w:rPr>
        <w:t>justificación</w:t>
      </w:r>
      <w:r w:rsidRPr="006C6F13">
        <w:rPr>
          <w:rFonts w:ascii="Verdana" w:hAnsi="Verdana" w:cs="Arial"/>
          <w:spacing w:val="1"/>
          <w:sz w:val="16"/>
          <w:szCs w:val="16"/>
        </w:rPr>
        <w:t xml:space="preserve"> </w:t>
      </w:r>
      <w:r w:rsidRPr="006C6F13">
        <w:rPr>
          <w:rFonts w:ascii="Verdana" w:hAnsi="Verdana" w:cs="Arial"/>
          <w:sz w:val="16"/>
          <w:szCs w:val="16"/>
        </w:rPr>
        <w:t>estriba,</w:t>
      </w:r>
      <w:r w:rsidRPr="006C6F13">
        <w:rPr>
          <w:rFonts w:ascii="Verdana" w:hAnsi="Verdana" w:cs="Arial"/>
          <w:spacing w:val="1"/>
          <w:sz w:val="16"/>
          <w:szCs w:val="16"/>
        </w:rPr>
        <w:t xml:space="preserve"> </w:t>
      </w:r>
      <w:r w:rsidRPr="006C6F13">
        <w:rPr>
          <w:rFonts w:ascii="Verdana" w:hAnsi="Verdana" w:cs="Arial"/>
          <w:sz w:val="16"/>
          <w:szCs w:val="16"/>
        </w:rPr>
        <w:t>esencialmente,</w:t>
      </w:r>
      <w:r w:rsidRPr="006C6F13">
        <w:rPr>
          <w:rFonts w:ascii="Verdana" w:hAnsi="Verdana" w:cs="Arial"/>
          <w:spacing w:val="1"/>
          <w:sz w:val="16"/>
          <w:szCs w:val="16"/>
        </w:rPr>
        <w:t xml:space="preserve"> </w:t>
      </w:r>
      <w:r w:rsidRPr="006C6F13">
        <w:rPr>
          <w:rFonts w:ascii="Verdana" w:hAnsi="Verdana" w:cs="Arial"/>
          <w:sz w:val="16"/>
          <w:szCs w:val="16"/>
        </w:rPr>
        <w:t>en</w:t>
      </w:r>
      <w:r w:rsidRPr="006C6F13">
        <w:rPr>
          <w:rFonts w:ascii="Verdana" w:hAnsi="Verdana" w:cs="Arial"/>
          <w:spacing w:val="1"/>
          <w:sz w:val="16"/>
          <w:szCs w:val="16"/>
        </w:rPr>
        <w:t xml:space="preserve"> </w:t>
      </w:r>
      <w:r w:rsidRPr="006C6F13">
        <w:rPr>
          <w:rFonts w:ascii="Verdana" w:hAnsi="Verdana" w:cs="Arial"/>
          <w:sz w:val="16"/>
          <w:szCs w:val="16"/>
        </w:rPr>
        <w:t>los</w:t>
      </w:r>
      <w:r w:rsidRPr="006C6F13">
        <w:rPr>
          <w:rFonts w:ascii="Verdana" w:hAnsi="Verdana" w:cs="Arial"/>
          <w:spacing w:val="1"/>
          <w:sz w:val="16"/>
          <w:szCs w:val="16"/>
        </w:rPr>
        <w:t xml:space="preserve"> </w:t>
      </w:r>
      <w:r w:rsidRPr="006C6F13">
        <w:rPr>
          <w:rFonts w:ascii="Verdana" w:hAnsi="Verdana" w:cs="Arial"/>
          <w:sz w:val="16"/>
          <w:szCs w:val="16"/>
        </w:rPr>
        <w:t>conceptos</w:t>
      </w:r>
      <w:r w:rsidRPr="006C6F13">
        <w:rPr>
          <w:rFonts w:ascii="Verdana" w:hAnsi="Verdana" w:cs="Arial"/>
          <w:spacing w:val="1"/>
          <w:sz w:val="16"/>
          <w:szCs w:val="16"/>
        </w:rPr>
        <w:t xml:space="preserve"> </w:t>
      </w:r>
      <w:r w:rsidRPr="006C6F13">
        <w:rPr>
          <w:rFonts w:ascii="Verdana" w:hAnsi="Verdana" w:cs="Arial"/>
          <w:sz w:val="16"/>
          <w:szCs w:val="16"/>
        </w:rPr>
        <w:t>de</w:t>
      </w:r>
      <w:r w:rsidRPr="006C6F13">
        <w:rPr>
          <w:rFonts w:ascii="Verdana" w:hAnsi="Verdana" w:cs="Arial"/>
          <w:spacing w:val="1"/>
          <w:sz w:val="16"/>
          <w:szCs w:val="16"/>
        </w:rPr>
        <w:t xml:space="preserve"> </w:t>
      </w:r>
      <w:r w:rsidRPr="006C6F13">
        <w:rPr>
          <w:rFonts w:ascii="Verdana" w:hAnsi="Verdana" w:cs="Arial"/>
          <w:sz w:val="16"/>
          <w:szCs w:val="16"/>
        </w:rPr>
        <w:t>seguridad,</w:t>
      </w:r>
      <w:r w:rsidRPr="006C6F13">
        <w:rPr>
          <w:rFonts w:ascii="Verdana" w:hAnsi="Verdana" w:cs="Arial"/>
          <w:spacing w:val="1"/>
          <w:sz w:val="16"/>
          <w:szCs w:val="16"/>
        </w:rPr>
        <w:t xml:space="preserve"> </w:t>
      </w:r>
      <w:r w:rsidRPr="006C6F13">
        <w:rPr>
          <w:rFonts w:ascii="Verdana" w:hAnsi="Verdana" w:cs="Arial"/>
          <w:sz w:val="16"/>
          <w:szCs w:val="16"/>
        </w:rPr>
        <w:t>corrección</w:t>
      </w:r>
      <w:r w:rsidRPr="006C6F13">
        <w:rPr>
          <w:rFonts w:ascii="Verdana" w:hAnsi="Verdana" w:cs="Arial"/>
          <w:spacing w:val="1"/>
          <w:sz w:val="16"/>
          <w:szCs w:val="16"/>
        </w:rPr>
        <w:t xml:space="preserve"> </w:t>
      </w:r>
      <w:r w:rsidRPr="006C6F13">
        <w:rPr>
          <w:rFonts w:ascii="Verdana" w:hAnsi="Verdana" w:cs="Arial"/>
          <w:sz w:val="16"/>
          <w:szCs w:val="16"/>
        </w:rPr>
        <w:t>y</w:t>
      </w:r>
      <w:r w:rsidRPr="006C6F13">
        <w:rPr>
          <w:rFonts w:ascii="Verdana" w:hAnsi="Verdana" w:cs="Arial"/>
          <w:spacing w:val="1"/>
          <w:sz w:val="16"/>
          <w:szCs w:val="16"/>
        </w:rPr>
        <w:t xml:space="preserve"> </w:t>
      </w:r>
      <w:r w:rsidRPr="006C6F13">
        <w:rPr>
          <w:rFonts w:ascii="Verdana" w:hAnsi="Verdana" w:cs="Arial"/>
          <w:sz w:val="16"/>
          <w:szCs w:val="16"/>
        </w:rPr>
        <w:t>moralidad</w:t>
      </w:r>
      <w:r w:rsidRPr="006C6F13">
        <w:rPr>
          <w:rFonts w:ascii="Verdana" w:hAnsi="Verdana" w:cs="Arial"/>
          <w:spacing w:val="1"/>
          <w:sz w:val="16"/>
          <w:szCs w:val="16"/>
        </w:rPr>
        <w:t xml:space="preserve"> </w:t>
      </w:r>
      <w:r w:rsidRPr="006C6F13">
        <w:rPr>
          <w:rFonts w:ascii="Verdana" w:hAnsi="Verdana" w:cs="Arial"/>
          <w:sz w:val="16"/>
          <w:szCs w:val="16"/>
        </w:rPr>
        <w:t>administrativas, así como en el principio de igualdad de oportunidades para que cualquier persona que esté en</w:t>
      </w:r>
      <w:r w:rsidRPr="006C6F13">
        <w:rPr>
          <w:rFonts w:ascii="Verdana" w:hAnsi="Verdana" w:cs="Arial"/>
          <w:spacing w:val="1"/>
          <w:sz w:val="16"/>
          <w:szCs w:val="16"/>
        </w:rPr>
        <w:t xml:space="preserve"> </w:t>
      </w:r>
      <w:r w:rsidRPr="006C6F13">
        <w:rPr>
          <w:rFonts w:ascii="Verdana" w:hAnsi="Verdana" w:cs="Arial"/>
          <w:spacing w:val="-1"/>
          <w:sz w:val="16"/>
          <w:szCs w:val="16"/>
        </w:rPr>
        <w:t>posibilidad</w:t>
      </w:r>
      <w:r w:rsidRPr="006C6F13">
        <w:rPr>
          <w:rFonts w:ascii="Verdana" w:hAnsi="Verdana" w:cs="Arial"/>
          <w:spacing w:val="-13"/>
          <w:sz w:val="16"/>
          <w:szCs w:val="16"/>
        </w:rPr>
        <w:t xml:space="preserve"> </w:t>
      </w:r>
      <w:r w:rsidRPr="006C6F13">
        <w:rPr>
          <w:rFonts w:ascii="Verdana" w:hAnsi="Verdana" w:cs="Arial"/>
          <w:spacing w:val="-1"/>
          <w:sz w:val="16"/>
          <w:szCs w:val="16"/>
        </w:rPr>
        <w:t>de</w:t>
      </w:r>
      <w:r w:rsidRPr="006C6F13">
        <w:rPr>
          <w:rFonts w:ascii="Verdana" w:hAnsi="Verdana" w:cs="Arial"/>
          <w:spacing w:val="-13"/>
          <w:sz w:val="16"/>
          <w:szCs w:val="16"/>
        </w:rPr>
        <w:t xml:space="preserve"> </w:t>
      </w:r>
      <w:r w:rsidRPr="006C6F13">
        <w:rPr>
          <w:rFonts w:ascii="Verdana" w:hAnsi="Verdana" w:cs="Arial"/>
          <w:spacing w:val="-1"/>
          <w:sz w:val="16"/>
          <w:szCs w:val="16"/>
        </w:rPr>
        <w:t>contratar</w:t>
      </w:r>
      <w:r w:rsidRPr="006C6F13">
        <w:rPr>
          <w:rFonts w:ascii="Verdana" w:hAnsi="Verdana" w:cs="Arial"/>
          <w:spacing w:val="-13"/>
          <w:sz w:val="16"/>
          <w:szCs w:val="16"/>
        </w:rPr>
        <w:t xml:space="preserve"> </w:t>
      </w:r>
      <w:r w:rsidRPr="006C6F13">
        <w:rPr>
          <w:rFonts w:ascii="Verdana" w:hAnsi="Verdana" w:cs="Arial"/>
          <w:spacing w:val="-1"/>
          <w:sz w:val="16"/>
          <w:szCs w:val="16"/>
        </w:rPr>
        <w:t>con</w:t>
      </w:r>
      <w:r w:rsidRPr="006C6F13">
        <w:rPr>
          <w:rFonts w:ascii="Verdana" w:hAnsi="Verdana" w:cs="Arial"/>
          <w:spacing w:val="-13"/>
          <w:sz w:val="16"/>
          <w:szCs w:val="16"/>
        </w:rPr>
        <w:t xml:space="preserve"> </w:t>
      </w:r>
      <w:r w:rsidRPr="006C6F13">
        <w:rPr>
          <w:rFonts w:ascii="Verdana" w:hAnsi="Verdana" w:cs="Arial"/>
          <w:spacing w:val="-1"/>
          <w:sz w:val="16"/>
          <w:szCs w:val="16"/>
        </w:rPr>
        <w:t>la</w:t>
      </w:r>
      <w:r w:rsidRPr="006C6F13">
        <w:rPr>
          <w:rFonts w:ascii="Verdana" w:hAnsi="Verdana" w:cs="Arial"/>
          <w:spacing w:val="-13"/>
          <w:sz w:val="16"/>
          <w:szCs w:val="16"/>
        </w:rPr>
        <w:t xml:space="preserve"> </w:t>
      </w:r>
      <w:r w:rsidRPr="006C6F13">
        <w:rPr>
          <w:rFonts w:ascii="Verdana" w:hAnsi="Verdana" w:cs="Arial"/>
          <w:spacing w:val="-1"/>
          <w:sz w:val="16"/>
          <w:szCs w:val="16"/>
        </w:rPr>
        <w:t>administración</w:t>
      </w:r>
      <w:r w:rsidRPr="006C6F13">
        <w:rPr>
          <w:rFonts w:ascii="Verdana" w:hAnsi="Verdana" w:cs="Arial"/>
          <w:spacing w:val="-13"/>
          <w:sz w:val="16"/>
          <w:szCs w:val="16"/>
        </w:rPr>
        <w:t xml:space="preserve"> </w:t>
      </w:r>
      <w:r w:rsidRPr="006C6F13">
        <w:rPr>
          <w:rFonts w:ascii="Verdana" w:hAnsi="Verdana" w:cs="Arial"/>
          <w:spacing w:val="-1"/>
          <w:sz w:val="16"/>
          <w:szCs w:val="16"/>
        </w:rPr>
        <w:t>tenga</w:t>
      </w:r>
      <w:r w:rsidRPr="006C6F13">
        <w:rPr>
          <w:rFonts w:ascii="Verdana" w:hAnsi="Verdana" w:cs="Arial"/>
          <w:spacing w:val="-12"/>
          <w:sz w:val="16"/>
          <w:szCs w:val="16"/>
        </w:rPr>
        <w:t xml:space="preserve"> </w:t>
      </w:r>
      <w:r w:rsidRPr="006C6F13">
        <w:rPr>
          <w:rFonts w:ascii="Verdana" w:hAnsi="Verdana" w:cs="Arial"/>
          <w:spacing w:val="-1"/>
          <w:sz w:val="16"/>
          <w:szCs w:val="16"/>
        </w:rPr>
        <w:t>acceso</w:t>
      </w:r>
      <w:r w:rsidRPr="006C6F13">
        <w:rPr>
          <w:rFonts w:ascii="Verdana" w:hAnsi="Verdana" w:cs="Arial"/>
          <w:spacing w:val="-13"/>
          <w:sz w:val="16"/>
          <w:szCs w:val="16"/>
        </w:rPr>
        <w:t xml:space="preserve"> </w:t>
      </w:r>
      <w:r w:rsidRPr="006C6F13">
        <w:rPr>
          <w:rFonts w:ascii="Verdana" w:hAnsi="Verdana" w:cs="Arial"/>
          <w:spacing w:val="-1"/>
          <w:sz w:val="16"/>
          <w:szCs w:val="16"/>
        </w:rPr>
        <w:t>a</w:t>
      </w:r>
      <w:r w:rsidRPr="006C6F13">
        <w:rPr>
          <w:rFonts w:ascii="Verdana" w:hAnsi="Verdana" w:cs="Arial"/>
          <w:spacing w:val="-13"/>
          <w:sz w:val="16"/>
          <w:szCs w:val="16"/>
        </w:rPr>
        <w:t xml:space="preserve"> </w:t>
      </w:r>
      <w:r w:rsidRPr="006C6F13">
        <w:rPr>
          <w:rFonts w:ascii="Verdana" w:hAnsi="Verdana" w:cs="Arial"/>
          <w:spacing w:val="-1"/>
          <w:sz w:val="16"/>
          <w:szCs w:val="16"/>
        </w:rPr>
        <w:t>ella”</w:t>
      </w:r>
      <w:r w:rsidRPr="006C6F13">
        <w:rPr>
          <w:rFonts w:ascii="Verdana" w:hAnsi="Verdana" w:cs="Arial"/>
          <w:spacing w:val="-13"/>
          <w:sz w:val="16"/>
          <w:szCs w:val="16"/>
        </w:rPr>
        <w:t xml:space="preserve"> </w:t>
      </w:r>
      <w:r w:rsidRPr="006C6F13">
        <w:rPr>
          <w:rFonts w:ascii="Verdana" w:hAnsi="Verdana" w:cs="Arial"/>
          <w:spacing w:val="-1"/>
          <w:sz w:val="16"/>
          <w:szCs w:val="16"/>
        </w:rPr>
        <w:t>(CONGRESO</w:t>
      </w:r>
      <w:r w:rsidRPr="006C6F13">
        <w:rPr>
          <w:rFonts w:ascii="Verdana" w:hAnsi="Verdana" w:cs="Arial"/>
          <w:spacing w:val="-13"/>
          <w:sz w:val="16"/>
          <w:szCs w:val="16"/>
        </w:rPr>
        <w:t xml:space="preserve"> </w:t>
      </w:r>
      <w:r w:rsidRPr="006C6F13">
        <w:rPr>
          <w:rFonts w:ascii="Verdana" w:hAnsi="Verdana" w:cs="Arial"/>
          <w:sz w:val="16"/>
          <w:szCs w:val="16"/>
        </w:rPr>
        <w:t>DE</w:t>
      </w:r>
      <w:r w:rsidRPr="006C6F13">
        <w:rPr>
          <w:rFonts w:ascii="Verdana" w:hAnsi="Verdana" w:cs="Arial"/>
          <w:spacing w:val="-13"/>
          <w:sz w:val="16"/>
          <w:szCs w:val="16"/>
        </w:rPr>
        <w:t xml:space="preserve"> </w:t>
      </w:r>
      <w:r w:rsidRPr="006C6F13">
        <w:rPr>
          <w:rFonts w:ascii="Verdana" w:hAnsi="Verdana" w:cs="Arial"/>
          <w:sz w:val="16"/>
          <w:szCs w:val="16"/>
        </w:rPr>
        <w:t>LA</w:t>
      </w:r>
      <w:r w:rsidRPr="006C6F13">
        <w:rPr>
          <w:rFonts w:ascii="Verdana" w:hAnsi="Verdana" w:cs="Arial"/>
          <w:spacing w:val="-13"/>
          <w:sz w:val="16"/>
          <w:szCs w:val="16"/>
        </w:rPr>
        <w:t xml:space="preserve"> </w:t>
      </w:r>
      <w:r w:rsidRPr="006C6F13">
        <w:rPr>
          <w:rFonts w:ascii="Verdana" w:hAnsi="Verdana" w:cs="Arial"/>
          <w:sz w:val="16"/>
          <w:szCs w:val="16"/>
        </w:rPr>
        <w:t>REPÚBLICA.</w:t>
      </w:r>
      <w:r w:rsidRPr="006C6F13">
        <w:rPr>
          <w:rFonts w:ascii="Verdana" w:hAnsi="Verdana" w:cs="Arial"/>
          <w:spacing w:val="-13"/>
          <w:sz w:val="16"/>
          <w:szCs w:val="16"/>
        </w:rPr>
        <w:t xml:space="preserve"> </w:t>
      </w:r>
      <w:r w:rsidRPr="006C6F13">
        <w:rPr>
          <w:rFonts w:ascii="Verdana" w:hAnsi="Verdana" w:cs="Arial"/>
          <w:sz w:val="16"/>
          <w:szCs w:val="16"/>
        </w:rPr>
        <w:t>Exposición</w:t>
      </w:r>
      <w:r w:rsidRPr="006C6F13">
        <w:rPr>
          <w:rFonts w:ascii="Verdana" w:hAnsi="Verdana" w:cs="Arial"/>
          <w:spacing w:val="1"/>
          <w:sz w:val="16"/>
          <w:szCs w:val="16"/>
        </w:rPr>
        <w:t xml:space="preserve"> </w:t>
      </w:r>
      <w:r w:rsidRPr="006C6F13">
        <w:rPr>
          <w:rFonts w:ascii="Verdana" w:hAnsi="Verdana" w:cs="Arial"/>
          <w:sz w:val="16"/>
          <w:szCs w:val="16"/>
        </w:rPr>
        <w:t>de</w:t>
      </w:r>
      <w:r w:rsidRPr="006C6F13">
        <w:rPr>
          <w:rFonts w:ascii="Verdana" w:hAnsi="Verdana" w:cs="Arial"/>
          <w:spacing w:val="-2"/>
          <w:sz w:val="16"/>
          <w:szCs w:val="16"/>
        </w:rPr>
        <w:t xml:space="preserve"> </w:t>
      </w:r>
      <w:r w:rsidRPr="006C6F13">
        <w:rPr>
          <w:rFonts w:ascii="Verdana" w:hAnsi="Verdana" w:cs="Arial"/>
          <w:sz w:val="16"/>
          <w:szCs w:val="16"/>
        </w:rPr>
        <w:t>motivos</w:t>
      </w:r>
      <w:r w:rsidRPr="006C6F13">
        <w:rPr>
          <w:rFonts w:ascii="Verdana" w:hAnsi="Verdana" w:cs="Arial"/>
          <w:spacing w:val="-2"/>
          <w:sz w:val="16"/>
          <w:szCs w:val="16"/>
        </w:rPr>
        <w:t xml:space="preserve"> </w:t>
      </w:r>
      <w:r w:rsidRPr="006C6F13">
        <w:rPr>
          <w:rFonts w:ascii="Verdana" w:hAnsi="Verdana" w:cs="Arial"/>
          <w:sz w:val="16"/>
          <w:szCs w:val="16"/>
        </w:rPr>
        <w:t>de</w:t>
      </w:r>
      <w:r w:rsidRPr="006C6F13">
        <w:rPr>
          <w:rFonts w:ascii="Verdana" w:hAnsi="Verdana" w:cs="Arial"/>
          <w:spacing w:val="-1"/>
          <w:sz w:val="16"/>
          <w:szCs w:val="16"/>
        </w:rPr>
        <w:t xml:space="preserve"> </w:t>
      </w:r>
      <w:r w:rsidRPr="006C6F13">
        <w:rPr>
          <w:rFonts w:ascii="Verdana" w:hAnsi="Verdana" w:cs="Arial"/>
          <w:sz w:val="16"/>
          <w:szCs w:val="16"/>
        </w:rPr>
        <w:t>la</w:t>
      </w:r>
      <w:r w:rsidRPr="006C6F13">
        <w:rPr>
          <w:rFonts w:ascii="Verdana" w:hAnsi="Verdana" w:cs="Arial"/>
          <w:spacing w:val="-2"/>
          <w:sz w:val="16"/>
          <w:szCs w:val="16"/>
        </w:rPr>
        <w:t xml:space="preserve"> </w:t>
      </w:r>
      <w:r w:rsidRPr="006C6F13">
        <w:rPr>
          <w:rFonts w:ascii="Verdana" w:hAnsi="Verdana" w:cs="Arial"/>
          <w:sz w:val="16"/>
          <w:szCs w:val="16"/>
        </w:rPr>
        <w:t>Ley</w:t>
      </w:r>
      <w:r w:rsidRPr="006C6F13">
        <w:rPr>
          <w:rFonts w:ascii="Verdana" w:hAnsi="Verdana" w:cs="Arial"/>
          <w:spacing w:val="-2"/>
          <w:sz w:val="16"/>
          <w:szCs w:val="16"/>
        </w:rPr>
        <w:t xml:space="preserve"> </w:t>
      </w:r>
      <w:r w:rsidRPr="006C6F13">
        <w:rPr>
          <w:rFonts w:ascii="Verdana" w:hAnsi="Verdana" w:cs="Arial"/>
          <w:sz w:val="16"/>
          <w:szCs w:val="16"/>
        </w:rPr>
        <w:t>80</w:t>
      </w:r>
      <w:r w:rsidRPr="006C6F13">
        <w:rPr>
          <w:rFonts w:ascii="Verdana" w:hAnsi="Verdana" w:cs="Arial"/>
          <w:spacing w:val="-1"/>
          <w:sz w:val="16"/>
          <w:szCs w:val="16"/>
        </w:rPr>
        <w:t xml:space="preserve"> </w:t>
      </w:r>
      <w:r w:rsidRPr="006C6F13">
        <w:rPr>
          <w:rFonts w:ascii="Verdana" w:hAnsi="Verdana" w:cs="Arial"/>
          <w:sz w:val="16"/>
          <w:szCs w:val="16"/>
        </w:rPr>
        <w:t>de</w:t>
      </w:r>
      <w:r w:rsidRPr="006C6F13">
        <w:rPr>
          <w:rFonts w:ascii="Verdana" w:hAnsi="Verdana" w:cs="Arial"/>
          <w:spacing w:val="-2"/>
          <w:sz w:val="16"/>
          <w:szCs w:val="16"/>
        </w:rPr>
        <w:t xml:space="preserve"> </w:t>
      </w:r>
      <w:r w:rsidRPr="006C6F13">
        <w:rPr>
          <w:rFonts w:ascii="Verdana" w:hAnsi="Verdana" w:cs="Arial"/>
          <w:sz w:val="16"/>
          <w:szCs w:val="16"/>
        </w:rPr>
        <w:t>1993.</w:t>
      </w:r>
      <w:r w:rsidRPr="006C6F13">
        <w:rPr>
          <w:rFonts w:ascii="Verdana" w:hAnsi="Verdana" w:cs="Arial"/>
          <w:spacing w:val="-1"/>
          <w:sz w:val="16"/>
          <w:szCs w:val="16"/>
        </w:rPr>
        <w:t xml:space="preserve"> </w:t>
      </w:r>
      <w:r w:rsidRPr="006C6F13">
        <w:rPr>
          <w:rFonts w:ascii="Verdana" w:hAnsi="Verdana" w:cs="Arial"/>
          <w:sz w:val="16"/>
          <w:szCs w:val="16"/>
        </w:rPr>
        <w:t>Gaceta</w:t>
      </w:r>
      <w:r w:rsidRPr="006C6F13">
        <w:rPr>
          <w:rFonts w:ascii="Verdana" w:hAnsi="Verdana" w:cs="Arial"/>
          <w:spacing w:val="-2"/>
          <w:sz w:val="16"/>
          <w:szCs w:val="16"/>
        </w:rPr>
        <w:t xml:space="preserve"> </w:t>
      </w:r>
      <w:r w:rsidRPr="006C6F13">
        <w:rPr>
          <w:rFonts w:ascii="Verdana" w:hAnsi="Verdana" w:cs="Arial"/>
          <w:sz w:val="16"/>
          <w:szCs w:val="16"/>
        </w:rPr>
        <w:t>del</w:t>
      </w:r>
      <w:r w:rsidRPr="006C6F13">
        <w:rPr>
          <w:rFonts w:ascii="Verdana" w:hAnsi="Verdana" w:cs="Arial"/>
          <w:spacing w:val="-2"/>
          <w:sz w:val="16"/>
          <w:szCs w:val="16"/>
        </w:rPr>
        <w:t xml:space="preserve"> </w:t>
      </w:r>
      <w:r w:rsidRPr="006C6F13">
        <w:rPr>
          <w:rFonts w:ascii="Verdana" w:hAnsi="Verdana" w:cs="Arial"/>
          <w:sz w:val="16"/>
          <w:szCs w:val="16"/>
        </w:rPr>
        <w:t>Congreso</w:t>
      </w:r>
      <w:r w:rsidRPr="006C6F13">
        <w:rPr>
          <w:rFonts w:ascii="Verdana" w:hAnsi="Verdana" w:cs="Arial"/>
          <w:spacing w:val="-1"/>
          <w:sz w:val="16"/>
          <w:szCs w:val="16"/>
        </w:rPr>
        <w:t xml:space="preserve"> </w:t>
      </w:r>
      <w:r w:rsidRPr="006C6F13">
        <w:rPr>
          <w:rFonts w:ascii="Verdana" w:hAnsi="Verdana" w:cs="Arial"/>
          <w:sz w:val="16"/>
          <w:szCs w:val="16"/>
        </w:rPr>
        <w:t>No.</w:t>
      </w:r>
      <w:r w:rsidRPr="006C6F13">
        <w:rPr>
          <w:rFonts w:ascii="Verdana" w:hAnsi="Verdana" w:cs="Arial"/>
          <w:spacing w:val="-2"/>
          <w:sz w:val="16"/>
          <w:szCs w:val="16"/>
        </w:rPr>
        <w:t xml:space="preserve"> </w:t>
      </w:r>
      <w:r w:rsidRPr="006C6F13">
        <w:rPr>
          <w:rFonts w:ascii="Verdana" w:hAnsi="Verdana" w:cs="Arial"/>
          <w:sz w:val="16"/>
          <w:szCs w:val="16"/>
        </w:rPr>
        <w:t>75</w:t>
      </w:r>
      <w:r w:rsidRPr="006C6F13">
        <w:rPr>
          <w:rFonts w:ascii="Verdana" w:hAnsi="Verdana" w:cs="Arial"/>
          <w:spacing w:val="-1"/>
          <w:sz w:val="16"/>
          <w:szCs w:val="16"/>
        </w:rPr>
        <w:t xml:space="preserve"> </w:t>
      </w:r>
      <w:r w:rsidRPr="006C6F13">
        <w:rPr>
          <w:rFonts w:ascii="Verdana" w:hAnsi="Verdana" w:cs="Arial"/>
          <w:sz w:val="16"/>
          <w:szCs w:val="16"/>
        </w:rPr>
        <w:t>del</w:t>
      </w:r>
      <w:r w:rsidRPr="006C6F13">
        <w:rPr>
          <w:rFonts w:ascii="Verdana" w:hAnsi="Verdana" w:cs="Arial"/>
          <w:spacing w:val="-2"/>
          <w:sz w:val="16"/>
          <w:szCs w:val="16"/>
        </w:rPr>
        <w:t xml:space="preserve"> </w:t>
      </w:r>
      <w:r w:rsidRPr="006C6F13">
        <w:rPr>
          <w:rFonts w:ascii="Verdana" w:hAnsi="Verdana" w:cs="Arial"/>
          <w:sz w:val="16"/>
          <w:szCs w:val="16"/>
        </w:rPr>
        <w:t>23</w:t>
      </w:r>
      <w:r w:rsidRPr="006C6F13">
        <w:rPr>
          <w:rFonts w:ascii="Verdana" w:hAnsi="Verdana" w:cs="Arial"/>
          <w:spacing w:val="-2"/>
          <w:sz w:val="16"/>
          <w:szCs w:val="16"/>
        </w:rPr>
        <w:t xml:space="preserve"> </w:t>
      </w:r>
      <w:r w:rsidRPr="006C6F13">
        <w:rPr>
          <w:rFonts w:ascii="Verdana" w:hAnsi="Verdana" w:cs="Arial"/>
          <w:sz w:val="16"/>
          <w:szCs w:val="16"/>
        </w:rPr>
        <w:t>de</w:t>
      </w:r>
      <w:r w:rsidRPr="006C6F13">
        <w:rPr>
          <w:rFonts w:ascii="Verdana" w:hAnsi="Verdana" w:cs="Arial"/>
          <w:spacing w:val="-1"/>
          <w:sz w:val="16"/>
          <w:szCs w:val="16"/>
        </w:rPr>
        <w:t xml:space="preserve"> </w:t>
      </w:r>
      <w:r w:rsidRPr="006C6F13">
        <w:rPr>
          <w:rFonts w:ascii="Verdana" w:hAnsi="Verdana" w:cs="Arial"/>
          <w:sz w:val="16"/>
          <w:szCs w:val="16"/>
        </w:rPr>
        <w:t>septiembre</w:t>
      </w:r>
      <w:r w:rsidRPr="006C6F13">
        <w:rPr>
          <w:rFonts w:ascii="Verdana" w:hAnsi="Verdana" w:cs="Arial"/>
          <w:spacing w:val="-2"/>
          <w:sz w:val="16"/>
          <w:szCs w:val="16"/>
        </w:rPr>
        <w:t xml:space="preserve"> </w:t>
      </w:r>
      <w:r w:rsidRPr="006C6F13">
        <w:rPr>
          <w:rFonts w:ascii="Verdana" w:hAnsi="Verdana" w:cs="Arial"/>
          <w:sz w:val="16"/>
          <w:szCs w:val="16"/>
        </w:rPr>
        <w:t>de</w:t>
      </w:r>
      <w:r w:rsidRPr="006C6F13">
        <w:rPr>
          <w:rFonts w:ascii="Verdana" w:hAnsi="Verdana" w:cs="Arial"/>
          <w:spacing w:val="-2"/>
          <w:sz w:val="16"/>
          <w:szCs w:val="16"/>
        </w:rPr>
        <w:t xml:space="preserve"> </w:t>
      </w:r>
      <w:r w:rsidRPr="006C6F13">
        <w:rPr>
          <w:rFonts w:ascii="Verdana" w:hAnsi="Verdana" w:cs="Arial"/>
          <w:sz w:val="16"/>
          <w:szCs w:val="16"/>
        </w:rPr>
        <w:t>1992).</w:t>
      </w:r>
    </w:p>
  </w:footnote>
  <w:footnote w:id="4">
    <w:p w14:paraId="4C228A93" w14:textId="77777777" w:rsidR="0047433B" w:rsidRPr="006C6F13" w:rsidRDefault="0047433B" w:rsidP="0047433B">
      <w:pPr>
        <w:pStyle w:val="Textonotapie"/>
        <w:snapToGrid w:val="0"/>
        <w:ind w:firstLine="708"/>
        <w:contextualSpacing/>
        <w:jc w:val="both"/>
        <w:rPr>
          <w:rFonts w:ascii="Verdana" w:hAnsi="Verdana" w:cs="Arial"/>
          <w:sz w:val="16"/>
          <w:szCs w:val="16"/>
        </w:rPr>
      </w:pPr>
      <w:r w:rsidRPr="006C6F13">
        <w:rPr>
          <w:rStyle w:val="Refdenotaalpie"/>
          <w:rFonts w:ascii="Verdana" w:hAnsi="Verdana" w:cs="Arial"/>
          <w:sz w:val="16"/>
          <w:szCs w:val="16"/>
        </w:rPr>
        <w:footnoteRef/>
      </w:r>
      <w:r w:rsidRPr="006C6F13">
        <w:rPr>
          <w:rFonts w:ascii="Verdana" w:hAnsi="Verdana" w:cs="Arial"/>
          <w:sz w:val="16"/>
          <w:szCs w:val="16"/>
        </w:rPr>
        <w:t xml:space="preserve"> CONGRESO DE LA REPÚBLICA. Exposición de motivos de la Ley 1150 de 2007. Gaceta del Congreso No. 458 del 1º de agosto de 2005. p. 8. </w:t>
      </w:r>
    </w:p>
  </w:footnote>
  <w:footnote w:id="5">
    <w:p w14:paraId="642AF6E0" w14:textId="77777777" w:rsidR="0047433B" w:rsidRPr="006C6F13" w:rsidRDefault="0047433B" w:rsidP="0047433B">
      <w:pPr>
        <w:pStyle w:val="Textonotapie"/>
        <w:snapToGrid w:val="0"/>
        <w:ind w:firstLine="708"/>
        <w:contextualSpacing/>
        <w:jc w:val="both"/>
        <w:rPr>
          <w:rFonts w:ascii="Verdana" w:hAnsi="Verdana" w:cs="Arial"/>
          <w:sz w:val="16"/>
          <w:szCs w:val="16"/>
        </w:rPr>
      </w:pPr>
      <w:r w:rsidRPr="006C6F13">
        <w:rPr>
          <w:rStyle w:val="Refdenotaalpie"/>
          <w:rFonts w:ascii="Verdana" w:hAnsi="Verdana" w:cs="Arial"/>
          <w:sz w:val="16"/>
          <w:szCs w:val="16"/>
        </w:rPr>
        <w:footnoteRef/>
      </w:r>
      <w:r w:rsidRPr="006C6F13">
        <w:rPr>
          <w:rFonts w:ascii="Verdana" w:hAnsi="Verdana" w:cs="Arial"/>
          <w:sz w:val="16"/>
          <w:szCs w:val="16"/>
        </w:rPr>
        <w:t xml:space="preserve"> CONSEJO DE ESTADO. Sección Tercera. Subsección A. Sentencia del 23 de julio de 2015. </w:t>
      </w:r>
      <w:r w:rsidRPr="006C6F13">
        <w:rPr>
          <w:rFonts w:ascii="Verdana" w:hAnsi="Verdana" w:cs="Arial"/>
          <w:sz w:val="16"/>
          <w:szCs w:val="16"/>
        </w:rPr>
        <w:t xml:space="preserve">Exp. 36.805. C. P. Hernán Andrade Rincón. </w:t>
      </w:r>
    </w:p>
  </w:footnote>
  <w:footnote w:id="6">
    <w:p w14:paraId="5F4DE888" w14:textId="77777777" w:rsidR="0047433B" w:rsidRPr="006C6F13" w:rsidRDefault="0047433B" w:rsidP="0047433B">
      <w:pPr>
        <w:pStyle w:val="Textonotapie"/>
        <w:snapToGrid w:val="0"/>
        <w:ind w:firstLine="709"/>
        <w:contextualSpacing/>
        <w:jc w:val="both"/>
        <w:rPr>
          <w:rFonts w:ascii="Verdana" w:hAnsi="Verdana" w:cs="Arial"/>
          <w:color w:val="000000" w:themeColor="text1"/>
          <w:sz w:val="16"/>
          <w:szCs w:val="16"/>
        </w:rPr>
      </w:pPr>
      <w:r w:rsidRPr="006C6F13">
        <w:rPr>
          <w:rStyle w:val="Refdenotaalpie"/>
          <w:rFonts w:ascii="Verdana" w:hAnsi="Verdana" w:cs="Arial"/>
          <w:color w:val="000000" w:themeColor="text1"/>
          <w:sz w:val="16"/>
          <w:szCs w:val="16"/>
        </w:rPr>
        <w:footnoteRef/>
      </w:r>
      <w:r w:rsidRPr="006C6F13">
        <w:rPr>
          <w:rFonts w:ascii="Verdana" w:hAnsi="Verdana" w:cs="Arial"/>
          <w:color w:val="000000" w:themeColor="text1"/>
          <w:sz w:val="16"/>
          <w:szCs w:val="16"/>
        </w:rPr>
        <w:t xml:space="preserve"> Decreto 1082 de 2015.  Artículo 2.2.1.2.1.2.20. Procedimiento para la selección abreviada de menor cuantía. Además de las normas generales establecidas en el presente título, las siguientes reglas son aplicables a la selección abreviada de menor cuantía:</w:t>
      </w:r>
    </w:p>
    <w:p w14:paraId="4ADE9E98" w14:textId="77777777" w:rsidR="0047433B" w:rsidRPr="006C6F13" w:rsidRDefault="0047433B" w:rsidP="0047433B">
      <w:pPr>
        <w:pStyle w:val="Textonotapie"/>
        <w:snapToGrid w:val="0"/>
        <w:ind w:firstLine="708"/>
        <w:contextualSpacing/>
        <w:jc w:val="both"/>
        <w:rPr>
          <w:rFonts w:ascii="Verdana" w:hAnsi="Verdana" w:cs="Arial"/>
          <w:color w:val="000000" w:themeColor="text1"/>
          <w:sz w:val="16"/>
          <w:szCs w:val="16"/>
        </w:rPr>
      </w:pPr>
      <w:r w:rsidRPr="006C6F13">
        <w:rPr>
          <w:rFonts w:ascii="Verdana" w:hAnsi="Verdana" w:cs="Arial"/>
          <w:color w:val="000000" w:themeColor="text1"/>
          <w:sz w:val="16"/>
          <w:szCs w:val="16"/>
        </w:rPr>
        <w:t>1. En un término no mayor a tres (3) días hábiles contados a partir de la fecha de apertura del Proceso de Contratación los interesados deben manifestar su intención de participar, a través del mecanismo establecido para el efecto en los pliegos de condiciones.</w:t>
      </w:r>
    </w:p>
    <w:p w14:paraId="59770A5A" w14:textId="77777777" w:rsidR="0047433B" w:rsidRPr="006C6F13" w:rsidRDefault="0047433B" w:rsidP="0047433B">
      <w:pPr>
        <w:pStyle w:val="Textonotapie"/>
        <w:snapToGrid w:val="0"/>
        <w:ind w:firstLine="709"/>
        <w:contextualSpacing/>
        <w:jc w:val="both"/>
        <w:rPr>
          <w:rFonts w:ascii="Verdana" w:hAnsi="Verdana" w:cs="Arial"/>
          <w:color w:val="000000" w:themeColor="text1"/>
          <w:sz w:val="16"/>
          <w:szCs w:val="16"/>
        </w:rPr>
      </w:pPr>
      <w:r w:rsidRPr="006C6F13">
        <w:rPr>
          <w:rFonts w:ascii="Verdana" w:hAnsi="Verdana" w:cs="Arial"/>
          <w:color w:val="000000" w:themeColor="text1"/>
          <w:sz w:val="16"/>
          <w:szCs w:val="16"/>
        </w:rPr>
        <w:t>2. Si la Entidad Estatal recibe más de diez (10) manifestaciones de interés puede continuar el proceso o hacer un sorteo para seleccionar máximo diez (10) interesados con quienes continuará el Proceso de Contratación. La Entidad Estatal debe establecer en los pliegos de condiciones si hay lugar a sorteo y la forma en la cual lo hará.</w:t>
      </w:r>
    </w:p>
    <w:p w14:paraId="46D5166E" w14:textId="77777777" w:rsidR="0047433B" w:rsidRPr="006C6F13" w:rsidRDefault="0047433B" w:rsidP="0047433B">
      <w:pPr>
        <w:pStyle w:val="Textonotapie"/>
        <w:snapToGrid w:val="0"/>
        <w:ind w:firstLine="709"/>
        <w:contextualSpacing/>
        <w:jc w:val="both"/>
        <w:rPr>
          <w:rFonts w:ascii="Verdana" w:hAnsi="Verdana" w:cs="Arial"/>
          <w:color w:val="000000" w:themeColor="text1"/>
          <w:sz w:val="16"/>
          <w:szCs w:val="16"/>
        </w:rPr>
      </w:pPr>
      <w:r w:rsidRPr="006C6F13">
        <w:rPr>
          <w:rFonts w:ascii="Verdana" w:hAnsi="Verdana" w:cs="Arial"/>
          <w:color w:val="000000" w:themeColor="text1"/>
          <w:sz w:val="16"/>
          <w:szCs w:val="16"/>
        </w:rPr>
        <w:t>3. Si hay lugar a sorteo, el plazo para la presentación de las ofertas empezará a correr el día hábil siguiente a la fecha en la cual la Entidad Estatal informe a los interesados el resultado del sorteo.</w:t>
      </w:r>
    </w:p>
    <w:p w14:paraId="77CA5DD6" w14:textId="77777777" w:rsidR="0047433B" w:rsidRPr="006C6F13" w:rsidRDefault="0047433B" w:rsidP="0047433B">
      <w:pPr>
        <w:pStyle w:val="Textonotapie"/>
        <w:snapToGrid w:val="0"/>
        <w:ind w:firstLine="709"/>
        <w:contextualSpacing/>
        <w:jc w:val="both"/>
        <w:rPr>
          <w:rFonts w:ascii="Verdana" w:hAnsi="Verdana" w:cs="Arial"/>
          <w:color w:val="000000" w:themeColor="text1"/>
          <w:sz w:val="16"/>
          <w:szCs w:val="16"/>
        </w:rPr>
      </w:pPr>
      <w:r w:rsidRPr="006C6F13">
        <w:rPr>
          <w:rFonts w:ascii="Verdana" w:hAnsi="Verdana" w:cs="Arial"/>
          <w:color w:val="000000" w:themeColor="text1"/>
          <w:sz w:val="16"/>
          <w:szCs w:val="16"/>
        </w:rPr>
        <w:t xml:space="preserve">4. La Entidad Estatal debe publicar el informe de evaluación de ofertas durante tres (3) días hábiles”. </w:t>
      </w:r>
    </w:p>
  </w:footnote>
  <w:footnote w:id="7">
    <w:p w14:paraId="297EDFD1" w14:textId="77777777" w:rsidR="0047433B" w:rsidRPr="006C6F13" w:rsidRDefault="0047433B" w:rsidP="0047433B">
      <w:pPr>
        <w:pStyle w:val="NormalWeb"/>
        <w:snapToGrid w:val="0"/>
        <w:spacing w:before="0" w:beforeAutospacing="0" w:after="0" w:afterAutospacing="0"/>
        <w:ind w:firstLine="709"/>
        <w:contextualSpacing/>
        <w:jc w:val="both"/>
        <w:rPr>
          <w:rFonts w:ascii="Verdana" w:hAnsi="Verdana" w:cs="Arial"/>
          <w:color w:val="000000"/>
          <w:sz w:val="16"/>
          <w:szCs w:val="16"/>
          <w:lang w:eastAsia="es-ES_tradnl"/>
        </w:rPr>
      </w:pPr>
      <w:r w:rsidRPr="006C6F13">
        <w:rPr>
          <w:rStyle w:val="Refdenotaalpie"/>
          <w:rFonts w:ascii="Verdana" w:eastAsiaTheme="majorEastAsia" w:hAnsi="Verdana" w:cs="Arial"/>
          <w:sz w:val="16"/>
          <w:szCs w:val="16"/>
        </w:rPr>
        <w:footnoteRef/>
      </w:r>
      <w:r w:rsidRPr="006C6F13">
        <w:rPr>
          <w:rFonts w:ascii="Verdana" w:hAnsi="Verdana" w:cs="Arial"/>
          <w:sz w:val="16"/>
          <w:szCs w:val="16"/>
        </w:rPr>
        <w:t xml:space="preserve">  Ley 1150 de 2007, artículo 2, numeral 3: “[…]</w:t>
      </w:r>
      <w:r w:rsidRPr="006C6F13">
        <w:rPr>
          <w:rStyle w:val="PiedepginaCar"/>
          <w:rFonts w:ascii="Verdana" w:hAnsi="Verdana" w:cs="Arial"/>
          <w:color w:val="000000"/>
          <w:sz w:val="16"/>
          <w:szCs w:val="16"/>
        </w:rPr>
        <w:t xml:space="preserve"> </w:t>
      </w:r>
      <w:r w:rsidRPr="006C6F13">
        <w:rPr>
          <w:rFonts w:ascii="Verdana" w:hAnsi="Verdana" w:cs="Arial"/>
          <w:color w:val="000000"/>
          <w:sz w:val="16"/>
          <w:szCs w:val="16"/>
          <w:lang w:eastAsia="es-ES_tradnl"/>
        </w:rPr>
        <w:t>3. Concurso de méritos. Corresponde a la modalidad prevista para la selección de consultores o proyectos, en la que se podrán utilizar sistemas de concurso abierto o de precalificación. En este último caso, la conformación de la lista de precalificados se hará mediante convocatoria pública, permitiéndose establecer listas limitadas de oferentes mediante resolución motivada, que se entenderá notificada en estrados a los interesados, en la audiencia pública de conformación de la lista, utilizando para el efecto, entre otros, criterios de experiencia, capacidad intelectual y de organización de los proponentes, según sea el caso.</w:t>
      </w:r>
    </w:p>
    <w:p w14:paraId="035D1F2F" w14:textId="77777777" w:rsidR="0047433B" w:rsidRPr="006C6F13" w:rsidRDefault="0047433B" w:rsidP="0047433B">
      <w:pPr>
        <w:snapToGrid w:val="0"/>
        <w:spacing w:after="0" w:line="240" w:lineRule="auto"/>
        <w:ind w:firstLine="709"/>
        <w:contextualSpacing/>
        <w:jc w:val="both"/>
        <w:rPr>
          <w:rFonts w:ascii="Verdana" w:hAnsi="Verdana" w:cs="Arial"/>
          <w:color w:val="000000"/>
          <w:sz w:val="16"/>
          <w:szCs w:val="16"/>
        </w:rPr>
      </w:pPr>
      <w:r w:rsidRPr="006C6F13">
        <w:rPr>
          <w:rFonts w:ascii="Verdana" w:hAnsi="Verdana" w:cs="Arial"/>
          <w:color w:val="000000"/>
          <w:sz w:val="16"/>
          <w:szCs w:val="16"/>
        </w:rPr>
        <w:t>De conformidad con las condiciones que señale el reglamento, en desarrollo de estos procesos de selección, las propuestas técnicas o de proyectos podrán ser presentadas en forma anónima ante un jurado plural, impar deliberante y calificado</w:t>
      </w:r>
      <w:r w:rsidRPr="006C6F13">
        <w:rPr>
          <w:rFonts w:ascii="Verdana" w:hAnsi="Verdana" w:cs="Arial"/>
          <w:sz w:val="16"/>
          <w:szCs w:val="16"/>
        </w:rPr>
        <w:t>”.</w:t>
      </w:r>
    </w:p>
  </w:footnote>
  <w:footnote w:id="8">
    <w:p w14:paraId="268201C7" w14:textId="77777777" w:rsidR="0047433B" w:rsidRPr="006C6F13" w:rsidRDefault="0047433B" w:rsidP="0047433B">
      <w:pPr>
        <w:pStyle w:val="Textonotapie"/>
        <w:snapToGrid w:val="0"/>
        <w:ind w:firstLine="709"/>
        <w:contextualSpacing/>
        <w:jc w:val="both"/>
        <w:rPr>
          <w:rFonts w:ascii="Verdana" w:hAnsi="Verdana" w:cs="Arial"/>
          <w:color w:val="000000" w:themeColor="text1"/>
          <w:sz w:val="16"/>
          <w:szCs w:val="16"/>
          <w:lang w:val="es-ES"/>
        </w:rPr>
      </w:pPr>
      <w:r w:rsidRPr="006C6F13">
        <w:rPr>
          <w:rStyle w:val="Refdenotaalpie"/>
          <w:rFonts w:ascii="Verdana" w:hAnsi="Verdana" w:cs="Arial"/>
          <w:sz w:val="16"/>
          <w:szCs w:val="16"/>
        </w:rPr>
        <w:footnoteRef/>
      </w:r>
      <w:r w:rsidRPr="006C6F13">
        <w:rPr>
          <w:rFonts w:ascii="Verdana" w:hAnsi="Verdana" w:cs="Arial"/>
          <w:color w:val="000000" w:themeColor="text1"/>
          <w:sz w:val="16"/>
          <w:szCs w:val="16"/>
        </w:rPr>
        <w:t xml:space="preserve"> Según este artículo: </w:t>
      </w:r>
      <w:r>
        <w:rPr>
          <w:rFonts w:ascii="Verdana" w:hAnsi="Verdana" w:cs="Arial"/>
          <w:color w:val="000000" w:themeColor="text1"/>
          <w:sz w:val="16"/>
          <w:szCs w:val="16"/>
          <w:lang w:val="es-ES"/>
        </w:rPr>
        <w:t>“</w:t>
      </w:r>
      <w:r w:rsidRPr="006C6F13">
        <w:rPr>
          <w:rFonts w:ascii="Verdana" w:hAnsi="Verdana" w:cs="Arial"/>
          <w:color w:val="000000" w:themeColor="text1"/>
          <w:sz w:val="16"/>
          <w:szCs w:val="16"/>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648AEF81" w14:textId="77777777" w:rsidR="0047433B" w:rsidRPr="006C6F13" w:rsidRDefault="0047433B" w:rsidP="0047433B">
      <w:pPr>
        <w:pStyle w:val="Textonotapie"/>
        <w:snapToGrid w:val="0"/>
        <w:ind w:firstLine="709"/>
        <w:contextualSpacing/>
        <w:jc w:val="both"/>
        <w:rPr>
          <w:rFonts w:ascii="Verdana" w:hAnsi="Verdana" w:cs="Arial"/>
          <w:color w:val="000000" w:themeColor="text1"/>
          <w:sz w:val="16"/>
          <w:szCs w:val="16"/>
          <w:lang w:val="es-ES"/>
        </w:rPr>
      </w:pPr>
      <w:r w:rsidRPr="006C6F13">
        <w:rPr>
          <w:rFonts w:ascii="Verdana" w:hAnsi="Verdana" w:cs="Arial"/>
          <w:color w:val="000000" w:themeColor="text1"/>
          <w:sz w:val="16"/>
          <w:szCs w:val="16"/>
          <w:lang w:val="es-ES"/>
        </w:rPr>
        <w:t>Son también contratos de consultoría los que tienen por objeto la interventoría, asesoría, gerencia de obra o de proyectos, dirección, programación y la ejecución de diseños, planos, anteproyectos y proyectos.</w:t>
      </w:r>
    </w:p>
    <w:p w14:paraId="41131B41" w14:textId="77777777" w:rsidR="0047433B" w:rsidRPr="006C6F13" w:rsidRDefault="0047433B" w:rsidP="0047433B">
      <w:pPr>
        <w:pStyle w:val="Textonotapie"/>
        <w:snapToGrid w:val="0"/>
        <w:ind w:firstLine="709"/>
        <w:contextualSpacing/>
        <w:jc w:val="both"/>
        <w:rPr>
          <w:rFonts w:ascii="Verdana" w:hAnsi="Verdana" w:cs="Arial"/>
          <w:color w:val="000000" w:themeColor="text1"/>
          <w:sz w:val="16"/>
          <w:szCs w:val="16"/>
          <w:lang w:val="es-ES"/>
        </w:rPr>
      </w:pPr>
      <w:r w:rsidRPr="006C6F13">
        <w:rPr>
          <w:rFonts w:ascii="Verdana" w:hAnsi="Verdana" w:cs="Arial"/>
          <w:color w:val="000000" w:themeColor="text1"/>
          <w:sz w:val="16"/>
          <w:szCs w:val="16"/>
          <w:lang w:val="es-ES"/>
        </w:rPr>
        <w:t>Ninguna orden del interventor de una obra podrá darse verbalmente. Es obligatorio para el interventor entregar por escrito sus órdenes o sugerencias y ellas deben enmarcarse dentro de los términos del respectivo contrato</w:t>
      </w:r>
      <w:r>
        <w:rPr>
          <w:rFonts w:ascii="Verdana" w:hAnsi="Verdana" w:cs="Arial"/>
          <w:color w:val="000000" w:themeColor="text1"/>
          <w:sz w:val="16"/>
          <w:szCs w:val="16"/>
          <w:lang w:val="es-ES"/>
        </w:rPr>
        <w:t>”</w:t>
      </w:r>
      <w:r w:rsidRPr="006C6F13">
        <w:rPr>
          <w:rFonts w:ascii="Verdana" w:hAnsi="Verdana" w:cs="Arial"/>
          <w:color w:val="000000" w:themeColor="text1"/>
          <w:sz w:val="16"/>
          <w:szCs w:val="16"/>
          <w:lang w:val="es-ES"/>
        </w:rPr>
        <w:t>.</w:t>
      </w:r>
    </w:p>
    <w:p w14:paraId="15095BF7" w14:textId="77777777" w:rsidR="0047433B" w:rsidRPr="006C6F13" w:rsidRDefault="0047433B" w:rsidP="0047433B">
      <w:pPr>
        <w:pStyle w:val="Textonotapie"/>
        <w:snapToGrid w:val="0"/>
        <w:ind w:firstLine="709"/>
        <w:contextualSpacing/>
        <w:jc w:val="both"/>
        <w:rPr>
          <w:rFonts w:ascii="Verdana" w:hAnsi="Verdana" w:cs="Arial"/>
          <w:color w:val="000000" w:themeColor="text1"/>
          <w:sz w:val="16"/>
          <w:szCs w:val="16"/>
          <w:lang w:val="es-ES"/>
        </w:rPr>
      </w:pPr>
    </w:p>
  </w:footnote>
  <w:footnote w:id="9">
    <w:p w14:paraId="2319D3EC" w14:textId="77777777" w:rsidR="0047433B" w:rsidRPr="006C6F13" w:rsidRDefault="0047433B" w:rsidP="0047433B">
      <w:pPr>
        <w:snapToGrid w:val="0"/>
        <w:spacing w:after="0" w:line="240" w:lineRule="auto"/>
        <w:ind w:firstLine="707"/>
        <w:contextualSpacing/>
        <w:jc w:val="both"/>
        <w:rPr>
          <w:rFonts w:ascii="Verdana" w:hAnsi="Verdana" w:cs="Arial"/>
          <w:sz w:val="16"/>
          <w:szCs w:val="16"/>
        </w:rPr>
      </w:pPr>
      <w:r w:rsidRPr="006C6F13">
        <w:rPr>
          <w:rFonts w:ascii="Verdana" w:hAnsi="Verdana" w:cs="Arial"/>
          <w:sz w:val="16"/>
          <w:szCs w:val="16"/>
          <w:vertAlign w:val="superscript"/>
        </w:rPr>
        <w:footnoteRef/>
      </w:r>
      <w:r w:rsidRPr="006C6F13">
        <w:rPr>
          <w:rFonts w:ascii="Verdana" w:eastAsia="Arial" w:hAnsi="Verdana" w:cs="Arial"/>
          <w:color w:val="000000"/>
          <w:sz w:val="16"/>
          <w:szCs w:val="16"/>
        </w:rPr>
        <w:t xml:space="preserve"> No existe pluralidad de oferentes cuando sólo hay una persona que pueda proveer el bien o servicio, bien sea por ser el titular de los derechos de propiedad industrial o de los derechos de autor, bien sea por ser el proveedor exclusivo en el territorio nacional, de conformidad con el artículo 2.2.1.2.1.4.8 del Decreto 1082 de 2015.</w:t>
      </w:r>
    </w:p>
  </w:footnote>
  <w:footnote w:id="10">
    <w:p w14:paraId="30E3B943" w14:textId="77777777" w:rsidR="0047433B" w:rsidRPr="006C6F13" w:rsidRDefault="0047433B" w:rsidP="0047433B">
      <w:pPr>
        <w:snapToGrid w:val="0"/>
        <w:spacing w:after="0" w:line="240" w:lineRule="auto"/>
        <w:ind w:firstLine="707"/>
        <w:contextualSpacing/>
        <w:jc w:val="both"/>
        <w:rPr>
          <w:rFonts w:ascii="Verdana" w:hAnsi="Verdana" w:cs="Arial"/>
          <w:sz w:val="16"/>
          <w:szCs w:val="16"/>
        </w:rPr>
      </w:pPr>
      <w:r w:rsidRPr="006C6F13">
        <w:rPr>
          <w:rFonts w:ascii="Verdana" w:hAnsi="Verdana" w:cs="Arial"/>
          <w:sz w:val="16"/>
          <w:szCs w:val="16"/>
          <w:vertAlign w:val="superscript"/>
        </w:rPr>
        <w:footnoteRef/>
      </w:r>
      <w:r w:rsidRPr="006C6F13">
        <w:rPr>
          <w:rFonts w:ascii="Verdana" w:eastAsia="Arial" w:hAnsi="Verdana" w:cs="Arial"/>
          <w:color w:val="000000"/>
          <w:sz w:val="16"/>
          <w:szCs w:val="16"/>
        </w:rPr>
        <w:t xml:space="preserve"> Los contratos de prestación de servicios profesionales y de apoyo a la gestión son aquellos de naturaleza intelectual que se derivan del cumplimiento de funciones de la Administración, como los relacionados con actividades operativas, logísticas o asistenciales, de conformidad con el artículo 2.2.1.2.1.4.9 del Decreto 1082 de 2015.</w:t>
      </w:r>
    </w:p>
  </w:footnote>
  <w:footnote w:id="11">
    <w:p w14:paraId="2B46FF7B" w14:textId="77777777" w:rsidR="0047433B" w:rsidRPr="006C6F13" w:rsidRDefault="0047433B" w:rsidP="0047433B">
      <w:pPr>
        <w:pBdr>
          <w:top w:val="nil"/>
          <w:left w:val="nil"/>
          <w:bottom w:val="nil"/>
          <w:right w:val="nil"/>
          <w:between w:val="nil"/>
        </w:pBdr>
        <w:snapToGrid w:val="0"/>
        <w:spacing w:after="0" w:line="240" w:lineRule="auto"/>
        <w:ind w:firstLine="707"/>
        <w:contextualSpacing/>
        <w:jc w:val="both"/>
        <w:rPr>
          <w:rFonts w:ascii="Verdana" w:hAnsi="Verdana" w:cs="Arial"/>
          <w:color w:val="000000"/>
          <w:sz w:val="16"/>
          <w:szCs w:val="16"/>
        </w:rPr>
      </w:pPr>
      <w:r w:rsidRPr="006C6F13">
        <w:rPr>
          <w:rFonts w:ascii="Verdana" w:hAnsi="Verdana" w:cs="Arial"/>
          <w:sz w:val="16"/>
          <w:szCs w:val="16"/>
          <w:vertAlign w:val="superscript"/>
        </w:rPr>
        <w:footnoteRef/>
      </w:r>
      <w:r w:rsidRPr="006C6F13">
        <w:rPr>
          <w:rFonts w:ascii="Verdana" w:hAnsi="Verdana" w:cs="Arial"/>
          <w:color w:val="000000"/>
          <w:sz w:val="16"/>
          <w:szCs w:val="16"/>
        </w:rPr>
        <w:t xml:space="preserve"> Las </w:t>
      </w:r>
      <w:r>
        <w:rPr>
          <w:rFonts w:ascii="Verdana" w:hAnsi="Verdana" w:cs="Arial"/>
          <w:color w:val="000000"/>
          <w:sz w:val="16"/>
          <w:szCs w:val="16"/>
        </w:rPr>
        <w:t>tres</w:t>
      </w:r>
      <w:r w:rsidRPr="006C6F13">
        <w:rPr>
          <w:rFonts w:ascii="Verdana" w:hAnsi="Verdana" w:cs="Arial"/>
          <w:color w:val="000000"/>
          <w:sz w:val="16"/>
          <w:szCs w:val="16"/>
        </w:rPr>
        <w:t xml:space="preserve"> últimas causales fueron creadas por la Ley 2160 del 25 de noviembre de 2021.</w:t>
      </w:r>
    </w:p>
  </w:footnote>
  <w:footnote w:id="12">
    <w:p w14:paraId="5DC3D7BD" w14:textId="77777777" w:rsidR="0047433B" w:rsidRPr="00AB2FC6" w:rsidRDefault="0047433B" w:rsidP="0047433B">
      <w:pPr>
        <w:pStyle w:val="Textonotapie"/>
        <w:ind w:firstLine="709"/>
        <w:jc w:val="both"/>
        <w:rPr>
          <w:rFonts w:ascii="Verdana" w:hAnsi="Verdana" w:cs="Arial"/>
          <w:sz w:val="16"/>
          <w:szCs w:val="16"/>
          <w:lang w:val="es-ES"/>
        </w:rPr>
      </w:pPr>
      <w:r w:rsidRPr="00AB2FC6">
        <w:rPr>
          <w:rStyle w:val="Refdenotaalpie"/>
          <w:rFonts w:ascii="Verdana" w:hAnsi="Verdana"/>
          <w:sz w:val="16"/>
          <w:szCs w:val="16"/>
        </w:rPr>
        <w:footnoteRef/>
      </w:r>
      <w:r w:rsidRPr="00AB2FC6">
        <w:rPr>
          <w:rFonts w:ascii="Verdana" w:hAnsi="Verdana"/>
          <w:sz w:val="16"/>
          <w:szCs w:val="16"/>
        </w:rPr>
        <w:t xml:space="preserve"> </w:t>
      </w:r>
      <w:r w:rsidRPr="00AB2FC6">
        <w:rPr>
          <w:rFonts w:ascii="Verdana" w:hAnsi="Verdana" w:cs="Arial"/>
          <w:sz w:val="16"/>
          <w:szCs w:val="16"/>
          <w:lang w:val="pt-BR"/>
        </w:rPr>
        <w:t xml:space="preserve">Corte Constitucional. Sentencia C-154 de 1997. </w:t>
      </w:r>
      <w:r w:rsidRPr="00AB2FC6">
        <w:rPr>
          <w:rFonts w:ascii="Verdana" w:hAnsi="Verdana" w:cs="Arial"/>
          <w:sz w:val="16"/>
          <w:szCs w:val="16"/>
          <w:lang w:val="es-ES"/>
        </w:rPr>
        <w:t>MP: Hernando Herrera Vergara.</w:t>
      </w:r>
    </w:p>
    <w:p w14:paraId="3D38677E" w14:textId="77777777" w:rsidR="0047433B" w:rsidRPr="00AB2FC6" w:rsidRDefault="0047433B" w:rsidP="0047433B">
      <w:pPr>
        <w:pStyle w:val="Textonotapie"/>
        <w:ind w:firstLine="709"/>
        <w:jc w:val="both"/>
        <w:rPr>
          <w:rFonts w:ascii="Verdana" w:hAnsi="Verdana" w:cs="Arial"/>
          <w:sz w:val="16"/>
          <w:szCs w:val="16"/>
          <w:lang w:val="es-ES"/>
        </w:rPr>
      </w:pPr>
    </w:p>
  </w:footnote>
  <w:footnote w:id="13">
    <w:p w14:paraId="37E733F3" w14:textId="77777777" w:rsidR="0047433B" w:rsidRPr="00AB2FC6" w:rsidRDefault="0047433B" w:rsidP="0047433B">
      <w:pPr>
        <w:pStyle w:val="Textonotapie"/>
        <w:ind w:firstLine="709"/>
        <w:jc w:val="both"/>
        <w:rPr>
          <w:rFonts w:ascii="Verdana" w:hAnsi="Verdana" w:cs="Arial"/>
          <w:color w:val="000000" w:themeColor="text1"/>
          <w:sz w:val="16"/>
          <w:szCs w:val="16"/>
          <w:lang w:val="es-CO"/>
        </w:rPr>
      </w:pPr>
      <w:r w:rsidRPr="00AB2FC6">
        <w:rPr>
          <w:rStyle w:val="Refdenotaalpie"/>
          <w:rFonts w:ascii="Verdana" w:hAnsi="Verdana"/>
          <w:sz w:val="16"/>
          <w:szCs w:val="16"/>
        </w:rPr>
        <w:footnoteRef/>
      </w:r>
      <w:r w:rsidRPr="00AB2FC6">
        <w:rPr>
          <w:rFonts w:ascii="Verdana" w:hAnsi="Verdana"/>
          <w:sz w:val="16"/>
          <w:szCs w:val="16"/>
        </w:rPr>
        <w:t xml:space="preserve"> </w:t>
      </w:r>
      <w:r w:rsidRPr="00AB2FC6">
        <w:rPr>
          <w:rFonts w:ascii="Verdana" w:hAnsi="Verdana" w:cs="Arial"/>
          <w:sz w:val="16"/>
          <w:szCs w:val="16"/>
        </w:rPr>
        <w:t xml:space="preserve">Corte Constitucional. </w:t>
      </w:r>
      <w:r w:rsidRPr="00AB2FC6">
        <w:rPr>
          <w:rFonts w:ascii="Verdana" w:hAnsi="Verdana" w:cs="Arial"/>
          <w:color w:val="000000" w:themeColor="text1"/>
          <w:sz w:val="16"/>
          <w:szCs w:val="16"/>
        </w:rPr>
        <w:t xml:space="preserve">Sentencia T-279 del 31 de mayo de 2016. </w:t>
      </w:r>
      <w:r w:rsidRPr="00AB2FC6">
        <w:rPr>
          <w:rFonts w:ascii="Verdana" w:hAnsi="Verdana" w:cs="Arial"/>
          <w:color w:val="000000" w:themeColor="text1"/>
          <w:sz w:val="16"/>
          <w:szCs w:val="16"/>
          <w:lang w:val="es-ES_tradnl"/>
        </w:rPr>
        <w:t>Expediente T-5407069. M.P: María Victoria Calle Correa.</w:t>
      </w:r>
    </w:p>
    <w:p w14:paraId="3BC0CFB0" w14:textId="77777777" w:rsidR="0047433B" w:rsidRPr="00AB2FC6" w:rsidRDefault="0047433B" w:rsidP="0047433B">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15.0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3D42B6C"/>
    <w:multiLevelType w:val="hybridMultilevel"/>
    <w:tmpl w:val="D292DB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9D66113"/>
    <w:multiLevelType w:val="hybridMultilevel"/>
    <w:tmpl w:val="D292DBE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2025326045">
    <w:abstractNumId w:val="3"/>
  </w:num>
  <w:num w:numId="19" w16cid:durableId="16120854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6E2"/>
    <w:rsid w:val="00016AA0"/>
    <w:rsid w:val="00016F78"/>
    <w:rsid w:val="00025436"/>
    <w:rsid w:val="00027A95"/>
    <w:rsid w:val="00036A0F"/>
    <w:rsid w:val="00044408"/>
    <w:rsid w:val="00046945"/>
    <w:rsid w:val="0005086E"/>
    <w:rsid w:val="00060A4B"/>
    <w:rsid w:val="00061B2A"/>
    <w:rsid w:val="00065E01"/>
    <w:rsid w:val="00082362"/>
    <w:rsid w:val="000935CD"/>
    <w:rsid w:val="000A4D8B"/>
    <w:rsid w:val="000A683E"/>
    <w:rsid w:val="000B19B9"/>
    <w:rsid w:val="000B7BB2"/>
    <w:rsid w:val="000B7E94"/>
    <w:rsid w:val="000C11E4"/>
    <w:rsid w:val="000C71CF"/>
    <w:rsid w:val="000D0334"/>
    <w:rsid w:val="000D5818"/>
    <w:rsid w:val="000F36A8"/>
    <w:rsid w:val="000F6486"/>
    <w:rsid w:val="00106DD9"/>
    <w:rsid w:val="00107078"/>
    <w:rsid w:val="00107BC1"/>
    <w:rsid w:val="00125105"/>
    <w:rsid w:val="00127233"/>
    <w:rsid w:val="001511A0"/>
    <w:rsid w:val="00151F9C"/>
    <w:rsid w:val="0015786E"/>
    <w:rsid w:val="001640BB"/>
    <w:rsid w:val="00164FDA"/>
    <w:rsid w:val="00170D29"/>
    <w:rsid w:val="00172231"/>
    <w:rsid w:val="00175AE3"/>
    <w:rsid w:val="00182C00"/>
    <w:rsid w:val="001831E4"/>
    <w:rsid w:val="00190A29"/>
    <w:rsid w:val="00194A27"/>
    <w:rsid w:val="001B22CB"/>
    <w:rsid w:val="001B6370"/>
    <w:rsid w:val="001C1B6A"/>
    <w:rsid w:val="001C42F4"/>
    <w:rsid w:val="001E02B0"/>
    <w:rsid w:val="001E4177"/>
    <w:rsid w:val="001F7DC6"/>
    <w:rsid w:val="002421BB"/>
    <w:rsid w:val="002463FD"/>
    <w:rsid w:val="00251201"/>
    <w:rsid w:val="0025796E"/>
    <w:rsid w:val="002707A2"/>
    <w:rsid w:val="002757C8"/>
    <w:rsid w:val="00282155"/>
    <w:rsid w:val="00283126"/>
    <w:rsid w:val="002927CE"/>
    <w:rsid w:val="002951A0"/>
    <w:rsid w:val="002962BC"/>
    <w:rsid w:val="002A093D"/>
    <w:rsid w:val="002A0DD0"/>
    <w:rsid w:val="002A49AC"/>
    <w:rsid w:val="002A64FD"/>
    <w:rsid w:val="002B2496"/>
    <w:rsid w:val="002B470D"/>
    <w:rsid w:val="002C1FDD"/>
    <w:rsid w:val="002C41DD"/>
    <w:rsid w:val="002C797A"/>
    <w:rsid w:val="002C7A84"/>
    <w:rsid w:val="002D232F"/>
    <w:rsid w:val="002E4FD9"/>
    <w:rsid w:val="00303B07"/>
    <w:rsid w:val="00322A85"/>
    <w:rsid w:val="00324168"/>
    <w:rsid w:val="00334A43"/>
    <w:rsid w:val="00343411"/>
    <w:rsid w:val="003448F4"/>
    <w:rsid w:val="00361D27"/>
    <w:rsid w:val="00363B85"/>
    <w:rsid w:val="00366D65"/>
    <w:rsid w:val="003704E1"/>
    <w:rsid w:val="00373872"/>
    <w:rsid w:val="00374F5E"/>
    <w:rsid w:val="00377E3E"/>
    <w:rsid w:val="00384862"/>
    <w:rsid w:val="003A114B"/>
    <w:rsid w:val="003A3BDF"/>
    <w:rsid w:val="003A779E"/>
    <w:rsid w:val="003A7C89"/>
    <w:rsid w:val="003B6761"/>
    <w:rsid w:val="003C04FB"/>
    <w:rsid w:val="003D0F4D"/>
    <w:rsid w:val="003D5B0D"/>
    <w:rsid w:val="003E0499"/>
    <w:rsid w:val="003F1409"/>
    <w:rsid w:val="003F3941"/>
    <w:rsid w:val="003F46B4"/>
    <w:rsid w:val="00400077"/>
    <w:rsid w:val="00404A25"/>
    <w:rsid w:val="00406575"/>
    <w:rsid w:val="00410ED1"/>
    <w:rsid w:val="0041468A"/>
    <w:rsid w:val="00414C74"/>
    <w:rsid w:val="0042722E"/>
    <w:rsid w:val="0044528D"/>
    <w:rsid w:val="00450D23"/>
    <w:rsid w:val="00451EAB"/>
    <w:rsid w:val="00464E89"/>
    <w:rsid w:val="0047433B"/>
    <w:rsid w:val="00480BF1"/>
    <w:rsid w:val="004A1847"/>
    <w:rsid w:val="004A305D"/>
    <w:rsid w:val="004C0644"/>
    <w:rsid w:val="004D10D5"/>
    <w:rsid w:val="004E301A"/>
    <w:rsid w:val="004F1A97"/>
    <w:rsid w:val="004F2114"/>
    <w:rsid w:val="004F21C4"/>
    <w:rsid w:val="004F685F"/>
    <w:rsid w:val="00502693"/>
    <w:rsid w:val="00506B20"/>
    <w:rsid w:val="0051261C"/>
    <w:rsid w:val="005452EB"/>
    <w:rsid w:val="005566E8"/>
    <w:rsid w:val="00570AFE"/>
    <w:rsid w:val="00574867"/>
    <w:rsid w:val="00591460"/>
    <w:rsid w:val="005A4749"/>
    <w:rsid w:val="005A5974"/>
    <w:rsid w:val="005A5F76"/>
    <w:rsid w:val="005B3816"/>
    <w:rsid w:val="005B4C33"/>
    <w:rsid w:val="005C1E12"/>
    <w:rsid w:val="005C3777"/>
    <w:rsid w:val="005C5CDC"/>
    <w:rsid w:val="005D476C"/>
    <w:rsid w:val="005F219A"/>
    <w:rsid w:val="005F4E9F"/>
    <w:rsid w:val="005F4FF8"/>
    <w:rsid w:val="00607C32"/>
    <w:rsid w:val="00610CCB"/>
    <w:rsid w:val="006219F8"/>
    <w:rsid w:val="006317F8"/>
    <w:rsid w:val="006336F5"/>
    <w:rsid w:val="00635EF4"/>
    <w:rsid w:val="006636AA"/>
    <w:rsid w:val="00665D70"/>
    <w:rsid w:val="00666C5F"/>
    <w:rsid w:val="006702FD"/>
    <w:rsid w:val="00683891"/>
    <w:rsid w:val="0068555E"/>
    <w:rsid w:val="006900D9"/>
    <w:rsid w:val="00696A1E"/>
    <w:rsid w:val="006A0DDD"/>
    <w:rsid w:val="006A5883"/>
    <w:rsid w:val="006B4CBC"/>
    <w:rsid w:val="006C34AB"/>
    <w:rsid w:val="006E4151"/>
    <w:rsid w:val="006F7448"/>
    <w:rsid w:val="00706C16"/>
    <w:rsid w:val="0072491D"/>
    <w:rsid w:val="00736B9B"/>
    <w:rsid w:val="00753E81"/>
    <w:rsid w:val="00756841"/>
    <w:rsid w:val="007649AB"/>
    <w:rsid w:val="0076788D"/>
    <w:rsid w:val="00771D0C"/>
    <w:rsid w:val="007833AC"/>
    <w:rsid w:val="00787715"/>
    <w:rsid w:val="00794EB2"/>
    <w:rsid w:val="007B268C"/>
    <w:rsid w:val="007B7171"/>
    <w:rsid w:val="007C0C0F"/>
    <w:rsid w:val="007C1378"/>
    <w:rsid w:val="007C362A"/>
    <w:rsid w:val="007C3DC2"/>
    <w:rsid w:val="007D72FE"/>
    <w:rsid w:val="007E5497"/>
    <w:rsid w:val="00806F5F"/>
    <w:rsid w:val="008160F0"/>
    <w:rsid w:val="00820278"/>
    <w:rsid w:val="008276FE"/>
    <w:rsid w:val="0086091B"/>
    <w:rsid w:val="008652B5"/>
    <w:rsid w:val="00867512"/>
    <w:rsid w:val="00867F95"/>
    <w:rsid w:val="008843B6"/>
    <w:rsid w:val="00891928"/>
    <w:rsid w:val="008920AA"/>
    <w:rsid w:val="00893A2E"/>
    <w:rsid w:val="008951A8"/>
    <w:rsid w:val="00896FC2"/>
    <w:rsid w:val="008A0EA6"/>
    <w:rsid w:val="008A446D"/>
    <w:rsid w:val="008B4702"/>
    <w:rsid w:val="008C58F0"/>
    <w:rsid w:val="008D180B"/>
    <w:rsid w:val="008F0EA7"/>
    <w:rsid w:val="00910616"/>
    <w:rsid w:val="00923EEF"/>
    <w:rsid w:val="00934871"/>
    <w:rsid w:val="009419F9"/>
    <w:rsid w:val="00942922"/>
    <w:rsid w:val="00947382"/>
    <w:rsid w:val="0095685E"/>
    <w:rsid w:val="00956E3F"/>
    <w:rsid w:val="00957AAF"/>
    <w:rsid w:val="00961B09"/>
    <w:rsid w:val="00965334"/>
    <w:rsid w:val="0097093E"/>
    <w:rsid w:val="00986AC5"/>
    <w:rsid w:val="009A0DFA"/>
    <w:rsid w:val="009A5FE5"/>
    <w:rsid w:val="009B150D"/>
    <w:rsid w:val="009B2D26"/>
    <w:rsid w:val="009B5F42"/>
    <w:rsid w:val="009C71FA"/>
    <w:rsid w:val="009C72E7"/>
    <w:rsid w:val="009D3058"/>
    <w:rsid w:val="009D308D"/>
    <w:rsid w:val="009F3A13"/>
    <w:rsid w:val="00A122D3"/>
    <w:rsid w:val="00A17659"/>
    <w:rsid w:val="00A17F13"/>
    <w:rsid w:val="00A20739"/>
    <w:rsid w:val="00A33C78"/>
    <w:rsid w:val="00A61309"/>
    <w:rsid w:val="00A62DBB"/>
    <w:rsid w:val="00A90F24"/>
    <w:rsid w:val="00AA06D0"/>
    <w:rsid w:val="00AA4EC4"/>
    <w:rsid w:val="00AB0ADB"/>
    <w:rsid w:val="00AB35A6"/>
    <w:rsid w:val="00AC35CC"/>
    <w:rsid w:val="00AC524F"/>
    <w:rsid w:val="00AC7079"/>
    <w:rsid w:val="00AD0753"/>
    <w:rsid w:val="00AE5746"/>
    <w:rsid w:val="00B01B1A"/>
    <w:rsid w:val="00B126CF"/>
    <w:rsid w:val="00B219A2"/>
    <w:rsid w:val="00B348E4"/>
    <w:rsid w:val="00B50EB0"/>
    <w:rsid w:val="00B66319"/>
    <w:rsid w:val="00B71411"/>
    <w:rsid w:val="00B72CD3"/>
    <w:rsid w:val="00B72FFF"/>
    <w:rsid w:val="00B73D8E"/>
    <w:rsid w:val="00BC3D36"/>
    <w:rsid w:val="00BD7433"/>
    <w:rsid w:val="00BD7B3D"/>
    <w:rsid w:val="00BD7F72"/>
    <w:rsid w:val="00BE37F3"/>
    <w:rsid w:val="00BF53F6"/>
    <w:rsid w:val="00C04746"/>
    <w:rsid w:val="00C04FB3"/>
    <w:rsid w:val="00C330EB"/>
    <w:rsid w:val="00C41061"/>
    <w:rsid w:val="00C57CDC"/>
    <w:rsid w:val="00C60A20"/>
    <w:rsid w:val="00C70C2B"/>
    <w:rsid w:val="00C7188B"/>
    <w:rsid w:val="00C754BE"/>
    <w:rsid w:val="00C76B1C"/>
    <w:rsid w:val="00C81BE0"/>
    <w:rsid w:val="00CB23AF"/>
    <w:rsid w:val="00CB5E6C"/>
    <w:rsid w:val="00CB6357"/>
    <w:rsid w:val="00CC1B26"/>
    <w:rsid w:val="00CC3436"/>
    <w:rsid w:val="00CD61F3"/>
    <w:rsid w:val="00CF738B"/>
    <w:rsid w:val="00D20204"/>
    <w:rsid w:val="00D423A2"/>
    <w:rsid w:val="00D44572"/>
    <w:rsid w:val="00D520D8"/>
    <w:rsid w:val="00D63AC2"/>
    <w:rsid w:val="00D67131"/>
    <w:rsid w:val="00D7383B"/>
    <w:rsid w:val="00D75F94"/>
    <w:rsid w:val="00DA231B"/>
    <w:rsid w:val="00DC1FE7"/>
    <w:rsid w:val="00DC39FC"/>
    <w:rsid w:val="00DD15F6"/>
    <w:rsid w:val="00DD22F5"/>
    <w:rsid w:val="00DE2565"/>
    <w:rsid w:val="00DF5254"/>
    <w:rsid w:val="00E16408"/>
    <w:rsid w:val="00E20894"/>
    <w:rsid w:val="00E245AB"/>
    <w:rsid w:val="00E2764C"/>
    <w:rsid w:val="00E27BE5"/>
    <w:rsid w:val="00E27F2E"/>
    <w:rsid w:val="00E41EDC"/>
    <w:rsid w:val="00E421AF"/>
    <w:rsid w:val="00E43329"/>
    <w:rsid w:val="00E50AFE"/>
    <w:rsid w:val="00E7001D"/>
    <w:rsid w:val="00E75C92"/>
    <w:rsid w:val="00E771DC"/>
    <w:rsid w:val="00E841DF"/>
    <w:rsid w:val="00E8772A"/>
    <w:rsid w:val="00E90F6B"/>
    <w:rsid w:val="00E91791"/>
    <w:rsid w:val="00E92C27"/>
    <w:rsid w:val="00EA0E3D"/>
    <w:rsid w:val="00EA331B"/>
    <w:rsid w:val="00EB1A5E"/>
    <w:rsid w:val="00EB5761"/>
    <w:rsid w:val="00EC38A7"/>
    <w:rsid w:val="00EC6324"/>
    <w:rsid w:val="00ED5C81"/>
    <w:rsid w:val="00ED7384"/>
    <w:rsid w:val="00EE1AA8"/>
    <w:rsid w:val="00F0190F"/>
    <w:rsid w:val="00F146BC"/>
    <w:rsid w:val="00F17EAF"/>
    <w:rsid w:val="00F20E9D"/>
    <w:rsid w:val="00F31EDC"/>
    <w:rsid w:val="00F33E03"/>
    <w:rsid w:val="00F445F9"/>
    <w:rsid w:val="00F462B3"/>
    <w:rsid w:val="00F518B4"/>
    <w:rsid w:val="00F52236"/>
    <w:rsid w:val="00F5664F"/>
    <w:rsid w:val="00F56A30"/>
    <w:rsid w:val="00F666C4"/>
    <w:rsid w:val="00F702A9"/>
    <w:rsid w:val="00F76AFC"/>
    <w:rsid w:val="00F80985"/>
    <w:rsid w:val="00FA082A"/>
    <w:rsid w:val="00FA47C0"/>
    <w:rsid w:val="00FA4C2A"/>
    <w:rsid w:val="00FA67F4"/>
    <w:rsid w:val="00FB2606"/>
    <w:rsid w:val="00FB5DD1"/>
    <w:rsid w:val="00FC2B5D"/>
    <w:rsid w:val="00FD4744"/>
    <w:rsid w:val="00FF019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8771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87715"/>
    <w:rPr>
      <w:rFonts w:ascii="Geomanist Light" w:hAnsi="Geomanist Light"/>
      <w:lang w:val="es-ES"/>
    </w:rPr>
  </w:style>
  <w:style w:type="character" w:customStyle="1" w:styleId="NormalWebCar">
    <w:name w:val="Normal (Web) Car"/>
    <w:link w:val="NormalWeb"/>
    <w:uiPriority w:val="99"/>
    <w:rsid w:val="00787715"/>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366D65"/>
    <w:rPr>
      <w:sz w:val="16"/>
      <w:szCs w:val="16"/>
    </w:rPr>
  </w:style>
  <w:style w:type="paragraph" w:styleId="Textocomentario">
    <w:name w:val="annotation text"/>
    <w:basedOn w:val="Normal"/>
    <w:link w:val="TextocomentarioCar"/>
    <w:uiPriority w:val="99"/>
    <w:unhideWhenUsed/>
    <w:rsid w:val="00366D65"/>
    <w:pPr>
      <w:spacing w:line="240" w:lineRule="auto"/>
    </w:pPr>
    <w:rPr>
      <w:sz w:val="20"/>
      <w:szCs w:val="20"/>
    </w:rPr>
  </w:style>
  <w:style w:type="character" w:customStyle="1" w:styleId="TextocomentarioCar">
    <w:name w:val="Texto comentario Car"/>
    <w:basedOn w:val="Fuentedeprrafopredeter"/>
    <w:link w:val="Textocomentario"/>
    <w:uiPriority w:val="99"/>
    <w:rsid w:val="00366D65"/>
    <w:rPr>
      <w:sz w:val="20"/>
      <w:szCs w:val="20"/>
    </w:rPr>
  </w:style>
  <w:style w:type="paragraph" w:styleId="Asuntodelcomentario">
    <w:name w:val="annotation subject"/>
    <w:basedOn w:val="Textocomentario"/>
    <w:next w:val="Textocomentario"/>
    <w:link w:val="AsuntodelcomentarioCar"/>
    <w:uiPriority w:val="99"/>
    <w:semiHidden/>
    <w:unhideWhenUsed/>
    <w:rsid w:val="00366D65"/>
    <w:rPr>
      <w:b/>
      <w:bCs/>
    </w:rPr>
  </w:style>
  <w:style w:type="character" w:customStyle="1" w:styleId="AsuntodelcomentarioCar">
    <w:name w:val="Asunto del comentario Car"/>
    <w:basedOn w:val="TextocomentarioCar"/>
    <w:link w:val="Asuntodelcomentario"/>
    <w:uiPriority w:val="99"/>
    <w:semiHidden/>
    <w:rsid w:val="00366D6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226_1995.htm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rociocubillos92@hot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ecretariasenado.gov.co/senado/basedoc/ley_007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CCBE8E-8DA4-0043-B830-CFCAEC85B795}">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AFF6C4A-CE95-483F-8289-20618B56BC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22</Pages>
  <Words>7818</Words>
  <Characters>42530</Characters>
  <Application>Microsoft Office Word</Application>
  <DocSecurity>0</DocSecurity>
  <Lines>787</Lines>
  <Paragraphs>154</Paragraphs>
  <ScaleCrop>false</ScaleCrop>
  <Company/>
  <LinksUpToDate>false</LinksUpToDate>
  <CharactersWithSpaces>50194</CharactersWithSpaces>
  <SharedDoc>false</SharedDoc>
  <HLinks>
    <vt:vector size="30" baseType="variant">
      <vt:variant>
        <vt:i4>8126526</vt:i4>
      </vt:variant>
      <vt:variant>
        <vt:i4>12</vt:i4>
      </vt:variant>
      <vt:variant>
        <vt:i4>0</vt:i4>
      </vt:variant>
      <vt:variant>
        <vt:i4>5</vt:i4>
      </vt:variant>
      <vt:variant>
        <vt:lpwstr>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5963840</vt:i4>
      </vt:variant>
      <vt:variant>
        <vt:i4>6</vt:i4>
      </vt:variant>
      <vt:variant>
        <vt:i4>0</vt:i4>
      </vt:variant>
      <vt:variant>
        <vt:i4>5</vt:i4>
      </vt:variant>
      <vt:variant>
        <vt:lpwstr>http://www.secretariasenado.gov.co/senado/basedoc/ley_0070_1993.html</vt:lpwstr>
      </vt:variant>
      <vt:variant>
        <vt:lpwstr>INICIO</vt:lpwstr>
      </vt:variant>
      <vt:variant>
        <vt:i4>3997723</vt:i4>
      </vt:variant>
      <vt:variant>
        <vt:i4>3</vt:i4>
      </vt:variant>
      <vt:variant>
        <vt:i4>0</vt:i4>
      </vt:variant>
      <vt:variant>
        <vt:i4>5</vt:i4>
      </vt:variant>
      <vt:variant>
        <vt:lpwstr>http://www.secretariasenado.gov.co/senado/basedoc/ley_0226_1995.html</vt:lpwstr>
      </vt:variant>
      <vt:variant>
        <vt:lpwstr>1</vt:lpwstr>
      </vt:variant>
      <vt:variant>
        <vt:i4>8323147</vt:i4>
      </vt:variant>
      <vt:variant>
        <vt:i4>0</vt:i4>
      </vt:variant>
      <vt:variant>
        <vt:i4>0</vt:i4>
      </vt:variant>
      <vt:variant>
        <vt:i4>5</vt:i4>
      </vt:variant>
      <vt:variant>
        <vt:lpwstr>mailto:erikaucrispin@gmail.com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2026-02-09T14:04:00Z</dcterms:created>
  <dcterms:modified xsi:type="dcterms:W3CDTF">2026-02-10T17:24:00Z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