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06D7A" w14:textId="77777777" w:rsidR="001D7CFC" w:rsidRPr="00AF1555" w:rsidRDefault="001D7CFC" w:rsidP="001D7CFC">
      <w:pPr>
        <w:tabs>
          <w:tab w:val="left" w:pos="709"/>
        </w:tabs>
        <w:spacing w:after="0" w:line="240" w:lineRule="auto"/>
        <w:jc w:val="both"/>
        <w:rPr>
          <w:rFonts w:ascii="Verdana" w:eastAsia="Calibri" w:hAnsi="Verdana" w:cs="Arial"/>
          <w:bCs/>
          <w:sz w:val="20"/>
          <w:szCs w:val="20"/>
          <w:lang w:val="es-ES_tradnl" w:eastAsia="es-ES_tradnl"/>
        </w:rPr>
      </w:pPr>
    </w:p>
    <w:p w14:paraId="7C84D754" w14:textId="77777777" w:rsidR="001D7CFC" w:rsidRPr="00AF1555" w:rsidRDefault="001D7CFC" w:rsidP="001D7CFC">
      <w:pPr>
        <w:spacing w:after="0" w:line="240" w:lineRule="auto"/>
        <w:jc w:val="both"/>
        <w:rPr>
          <w:rFonts w:ascii="Verdana" w:eastAsia="Calibri" w:hAnsi="Verdana" w:cs="Arial"/>
          <w:b/>
          <w:color w:val="000000" w:themeColor="text1"/>
          <w:lang w:val="es-ES"/>
        </w:rPr>
      </w:pPr>
      <w:r w:rsidRPr="00144294">
        <w:rPr>
          <w:rFonts w:ascii="Verdana" w:eastAsia="Calibri" w:hAnsi="Verdana" w:cs="Arial"/>
          <w:b/>
          <w:color w:val="000000" w:themeColor="text1"/>
          <w:lang w:val="es-ES"/>
        </w:rPr>
        <w:t xml:space="preserve">DÍAS HÁBILES – </w:t>
      </w:r>
      <w:r>
        <w:rPr>
          <w:rFonts w:ascii="Verdana" w:eastAsia="Calibri" w:hAnsi="Verdana" w:cs="Arial"/>
          <w:b/>
          <w:color w:val="000000" w:themeColor="text1"/>
          <w:lang w:val="es-ES"/>
        </w:rPr>
        <w:t>Jornada de atención al público – Concepto</w:t>
      </w:r>
      <w:r w:rsidRPr="00AF1555">
        <w:rPr>
          <w:rFonts w:ascii="Verdana" w:eastAsia="Calibri" w:hAnsi="Verdana" w:cs="Arial"/>
          <w:b/>
          <w:color w:val="000000" w:themeColor="text1"/>
          <w:lang w:val="es-ES"/>
        </w:rPr>
        <w:t xml:space="preserve"> </w:t>
      </w:r>
    </w:p>
    <w:p w14:paraId="0F45B4F1" w14:textId="77777777" w:rsidR="001D7CFC" w:rsidRPr="00AF1555" w:rsidRDefault="001D7CFC" w:rsidP="001D7CFC">
      <w:pPr>
        <w:spacing w:after="0" w:line="240" w:lineRule="auto"/>
        <w:jc w:val="both"/>
        <w:rPr>
          <w:rFonts w:ascii="Verdana" w:eastAsia="Calibri" w:hAnsi="Verdana" w:cs="Arial"/>
          <w:bCs/>
          <w:color w:val="000000" w:themeColor="text1"/>
          <w:sz w:val="20"/>
          <w:szCs w:val="20"/>
          <w:lang w:val="es-ES"/>
        </w:rPr>
      </w:pPr>
    </w:p>
    <w:p w14:paraId="003B4BF5" w14:textId="77777777" w:rsidR="001D7CFC" w:rsidRDefault="001D7CFC" w:rsidP="001D7CFC">
      <w:pPr>
        <w:spacing w:after="0" w:line="240" w:lineRule="auto"/>
        <w:jc w:val="both"/>
        <w:rPr>
          <w:rFonts w:ascii="Verdana" w:eastAsia="Calibri" w:hAnsi="Verdana" w:cs="Arial"/>
          <w:color w:val="000000" w:themeColor="text1"/>
          <w:sz w:val="20"/>
          <w:szCs w:val="20"/>
          <w:lang w:val="es-ES_tradnl" w:eastAsia="es-ES_tradnl"/>
        </w:rPr>
      </w:pPr>
      <w:r w:rsidRPr="00144294">
        <w:rPr>
          <w:rFonts w:ascii="Verdana" w:eastAsia="Calibri" w:hAnsi="Verdana" w:cs="Arial"/>
          <w:color w:val="000000" w:themeColor="text1"/>
          <w:sz w:val="20"/>
          <w:szCs w:val="20"/>
          <w:lang w:val="es-ES_tradnl" w:eastAsia="es-ES_tradnl"/>
        </w:rPr>
        <w:t>los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En todo caso, algunas entidades pueden definir en sus reglamentos internos jornadas laborales distintas, que incluyan el sábado o el domingo. Por ello, respecto al cómputo de los términos en días hábiles propios de los procesos de selección, esto implica que deberán transcurrir dentro de los días definidos por cada entidad estatal como laborables en su correspondiente reglamento o manual de funciones.</w:t>
      </w:r>
    </w:p>
    <w:p w14:paraId="7DDDB7A3" w14:textId="77777777" w:rsidR="001D7CFC" w:rsidRPr="00144294" w:rsidRDefault="001D7CFC" w:rsidP="001D7CFC">
      <w:pPr>
        <w:spacing w:after="0" w:line="240" w:lineRule="auto"/>
        <w:jc w:val="both"/>
        <w:rPr>
          <w:rFonts w:ascii="Verdana" w:eastAsia="Calibri" w:hAnsi="Verdana" w:cs="Arial"/>
          <w:color w:val="000000" w:themeColor="text1"/>
          <w:sz w:val="20"/>
          <w:szCs w:val="20"/>
          <w:lang w:val="es-ES_tradnl" w:eastAsia="es-ES_tradnl"/>
        </w:rPr>
      </w:pPr>
    </w:p>
    <w:p w14:paraId="3DDAECEA" w14:textId="77777777" w:rsidR="001D7CFC" w:rsidRPr="00AF1555" w:rsidRDefault="001D7CFC" w:rsidP="001D7CFC">
      <w:pPr>
        <w:spacing w:after="0" w:line="240" w:lineRule="auto"/>
        <w:jc w:val="both"/>
        <w:rPr>
          <w:rFonts w:ascii="Verdana" w:eastAsia="Calibri" w:hAnsi="Verdana" w:cs="Arial"/>
          <w:color w:val="000000" w:themeColor="text1"/>
          <w:sz w:val="20"/>
          <w:szCs w:val="20"/>
          <w:lang w:val="es-ES_tradnl"/>
        </w:rPr>
      </w:pPr>
      <w:r w:rsidRPr="00144294">
        <w:rPr>
          <w:rFonts w:ascii="Verdana" w:eastAsia="Calibri" w:hAnsi="Verdana" w:cs="Arial"/>
          <w:color w:val="000000" w:themeColor="text1"/>
          <w:sz w:val="20"/>
          <w:szCs w:val="20"/>
          <w:lang w:val="es-ES_tradnl" w:eastAsia="es-ES_tradnl"/>
        </w:rPr>
        <w:t>En los días que cada entidad estime hábiles, el artículo 2 del Decreto Ley 1876 de 1970 obliga a entidades como los Ministerios, Departamentos Administrativos, Superintendencias y Establecimientos Públicos a establecer “[…] el horario de atención al público, los sistemas de registro de las horas de entradas y de salida, las sanciones por ausencias o retardos, los procedimientos para el otorgamiento de permisos y las demás disposiciones a que hubiere lugar sobre la materia, todo de conformidad con las normas legales vigentes sobre el particular […]”. Asimismo, conforme al artículo 3 ibidem, también “[…] se establecerán las normas que han de regir para efectos de contar los términos que corren contra los particulares o contra organismos administrativos en los asuntos que tramita o de que conoce la respectiva entidad […]”. Por lo demás, en los términos del artículo 7.3 de la Ley 1437 de 2011 todas autoridades deben “Garantizar atención personal al público, como mínimo durante cuarenta (40) horas a la semana, las cuales se distribuirán en horarios que satisfagan las necesidades del servicio”</w:t>
      </w:r>
      <w:r w:rsidRPr="00817818">
        <w:rPr>
          <w:rFonts w:ascii="Verdana" w:eastAsia="Calibri" w:hAnsi="Verdana" w:cs="Arial"/>
          <w:color w:val="000000" w:themeColor="text1"/>
          <w:sz w:val="20"/>
          <w:szCs w:val="20"/>
          <w:lang w:val="es-ES_tradnl" w:eastAsia="es-ES_tradnl"/>
        </w:rPr>
        <w:t>.</w:t>
      </w:r>
    </w:p>
    <w:p w14:paraId="12BFA919" w14:textId="77777777" w:rsidR="001D7CFC" w:rsidRPr="00AF1555" w:rsidRDefault="001D7CFC" w:rsidP="001D7CFC">
      <w:pPr>
        <w:spacing w:after="0" w:line="240" w:lineRule="auto"/>
        <w:rPr>
          <w:rFonts w:ascii="Verdana" w:eastAsia="Geomanist Light" w:hAnsi="Verdana" w:cs="Arial"/>
          <w:color w:val="000000" w:themeColor="text1"/>
          <w:sz w:val="20"/>
          <w:szCs w:val="20"/>
          <w:lang w:val="es-ES_tradnl"/>
        </w:rPr>
      </w:pPr>
    </w:p>
    <w:p w14:paraId="5DC6E09F" w14:textId="77777777" w:rsidR="001D7CFC" w:rsidRPr="00AF1555" w:rsidRDefault="001D7CFC" w:rsidP="001D7CFC">
      <w:pPr>
        <w:spacing w:after="0" w:line="240" w:lineRule="auto"/>
        <w:jc w:val="both"/>
        <w:rPr>
          <w:rFonts w:ascii="Verdana" w:eastAsia="Calibri" w:hAnsi="Verdana" w:cs="Arial"/>
          <w:b/>
          <w:sz w:val="20"/>
          <w:szCs w:val="20"/>
          <w:lang w:val="es-ES"/>
        </w:rPr>
      </w:pPr>
      <w:r>
        <w:rPr>
          <w:rFonts w:ascii="Verdana" w:eastAsia="Calibri" w:hAnsi="Verdana" w:cs="Arial"/>
          <w:b/>
          <w:lang w:val="es-ES"/>
        </w:rPr>
        <w:t>GESTIÓN CONTRACTUAL</w:t>
      </w:r>
      <w:r w:rsidRPr="00817818">
        <w:rPr>
          <w:rFonts w:ascii="Verdana" w:eastAsia="Calibri" w:hAnsi="Verdana" w:cs="Arial"/>
          <w:b/>
          <w:lang w:val="es-ES"/>
        </w:rPr>
        <w:t xml:space="preserve"> – </w:t>
      </w:r>
      <w:r>
        <w:rPr>
          <w:rFonts w:ascii="Verdana" w:eastAsia="Calibri" w:hAnsi="Verdana" w:cs="Arial"/>
          <w:b/>
          <w:lang w:val="es-ES"/>
        </w:rPr>
        <w:t>Fuera de días y horas de atención al público</w:t>
      </w:r>
      <w:r w:rsidRPr="00817818">
        <w:rPr>
          <w:rFonts w:ascii="Verdana" w:eastAsia="Calibri" w:hAnsi="Verdana" w:cs="Arial"/>
          <w:b/>
          <w:lang w:val="es-ES"/>
        </w:rPr>
        <w:t xml:space="preserve"> – </w:t>
      </w:r>
      <w:r>
        <w:rPr>
          <w:rFonts w:ascii="Verdana" w:eastAsia="Calibri" w:hAnsi="Verdana" w:cs="Arial"/>
          <w:b/>
          <w:lang w:val="es-ES"/>
        </w:rPr>
        <w:t>Posibilidad – Principios de celeridad y economía</w:t>
      </w:r>
    </w:p>
    <w:p w14:paraId="31A42AF9" w14:textId="77777777" w:rsidR="001D7CFC" w:rsidRDefault="001D7CFC" w:rsidP="001D7CFC">
      <w:pPr>
        <w:spacing w:after="0" w:line="240" w:lineRule="auto"/>
        <w:jc w:val="both"/>
        <w:rPr>
          <w:rFonts w:ascii="Verdana" w:eastAsia="Calibri" w:hAnsi="Verdana" w:cs="Arial"/>
          <w:bCs/>
          <w:sz w:val="20"/>
          <w:szCs w:val="20"/>
          <w:lang w:val="es-ES"/>
        </w:rPr>
      </w:pPr>
    </w:p>
    <w:p w14:paraId="02116BED" w14:textId="77777777" w:rsidR="001D7CFC" w:rsidRPr="00381D6C" w:rsidRDefault="001D7CFC" w:rsidP="001D7CFC">
      <w:pPr>
        <w:spacing w:after="0" w:line="240" w:lineRule="auto"/>
        <w:jc w:val="both"/>
        <w:rPr>
          <w:rFonts w:ascii="Verdana" w:hAnsi="Verdana"/>
          <w:sz w:val="20"/>
          <w:szCs w:val="20"/>
          <w:lang w:val="es-ES"/>
        </w:rPr>
      </w:pPr>
      <w:r>
        <w:rPr>
          <w:rFonts w:ascii="Verdana" w:eastAsia="Calibri" w:hAnsi="Verdana" w:cs="Arial"/>
          <w:bCs/>
          <w:sz w:val="20"/>
          <w:szCs w:val="20"/>
          <w:lang w:val="es-ES"/>
        </w:rPr>
        <w:t>E</w:t>
      </w:r>
      <w:r w:rsidRPr="00B04206">
        <w:rPr>
          <w:rFonts w:ascii="Verdana" w:eastAsia="Calibri" w:hAnsi="Verdana" w:cs="Arial"/>
          <w:bCs/>
          <w:sz w:val="20"/>
          <w:szCs w:val="20"/>
          <w:lang w:val="es-ES"/>
        </w:rPr>
        <w:t xml:space="preserve">n ausencia de norma expresa, la Agencia estima que la competencia no se suspende en los días inhábiles ni en horas ajenas a la jornada de atención al público. Ello no es más que el desarrollo del principio de celeridad en las actuaciones administrativas, pues “[…] las autoridades impulsarán oficiosamente los procedimientos, e incentivarán el uso de las tecnologías de la información y las comunicaciones, a efectos de que los procedimientos se adelanten con diligencia, dentro de los términos legales y sin dilaciones injustificadas” –artículo 3.13 de la Ley 1437 de 2011–. Además, el artículo 25.4 de la Ley 80 de 1993 establece como parte el principio de economía la idea de que “Los trámites se adelantarán con austeridad de tiempo, medios y gastos y se impedirán las dilaciones y los retardos en la ejecución del contrato”. Por ello, dentro del cronograma del proceso de selección y siempre que no se vulneren derechos de los interesados, es posible que las entidades adelanten gestiones de ordenación del gasto como la expedición de </w:t>
      </w:r>
      <w:proofErr w:type="spellStart"/>
      <w:r w:rsidRPr="00B04206">
        <w:rPr>
          <w:rFonts w:ascii="Verdana" w:eastAsia="Calibri" w:hAnsi="Verdana" w:cs="Arial"/>
          <w:bCs/>
          <w:sz w:val="20"/>
          <w:szCs w:val="20"/>
          <w:lang w:val="es-ES"/>
        </w:rPr>
        <w:t>CDPs</w:t>
      </w:r>
      <w:proofErr w:type="spellEnd"/>
      <w:r w:rsidRPr="00B04206">
        <w:rPr>
          <w:rFonts w:ascii="Verdana" w:eastAsia="Calibri" w:hAnsi="Verdana" w:cs="Arial"/>
          <w:bCs/>
          <w:sz w:val="20"/>
          <w:szCs w:val="20"/>
          <w:lang w:val="es-ES"/>
        </w:rPr>
        <w:t xml:space="preserve"> o la aprobación pólizas, contratos y pagos en el SECOP fuera de los días y horas mencionados </w:t>
      </w:r>
      <w:r w:rsidRPr="00B04206">
        <w:rPr>
          <w:rFonts w:ascii="Verdana" w:eastAsia="Calibri" w:hAnsi="Verdana" w:cs="Arial"/>
          <w:bCs/>
          <w:i/>
          <w:iCs/>
          <w:sz w:val="20"/>
          <w:szCs w:val="20"/>
          <w:lang w:val="es-ES"/>
        </w:rPr>
        <w:t>ut supra</w:t>
      </w:r>
      <w:r w:rsidRPr="00B04206">
        <w:rPr>
          <w:rFonts w:ascii="Verdana" w:eastAsia="Calibri" w:hAnsi="Verdana" w:cs="Arial"/>
          <w:bCs/>
          <w:sz w:val="20"/>
          <w:szCs w:val="20"/>
          <w:lang w:val="es-ES"/>
        </w:rPr>
        <w:t>.</w:t>
      </w:r>
    </w:p>
    <w:p w14:paraId="0BB0C704" w14:textId="77777777" w:rsidR="001D7CFC" w:rsidRDefault="001D7CFC" w:rsidP="001D7CFC">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2BDE21D5" w14:textId="081E4103" w:rsidR="00C764DE" w:rsidRPr="001D7CFC" w:rsidRDefault="00C764DE" w:rsidP="001D7CFC">
      <w:pPr>
        <w:spacing w:after="0" w:line="240" w:lineRule="auto"/>
        <w:jc w:val="both"/>
        <w:rPr>
          <w:rFonts w:ascii="Verdana" w:eastAsia="Times New Roman" w:hAnsi="Verdana" w:cs="Arial"/>
          <w:color w:val="000000"/>
          <w:sz w:val="20"/>
          <w:szCs w:val="20"/>
          <w:lang w:eastAsia="es-MX"/>
        </w:rPr>
      </w:pPr>
      <w:r w:rsidRPr="00593A5F">
        <w:rPr>
          <w:rFonts w:ascii="Verdana" w:eastAsia="Geomanist Light" w:hAnsi="Verdana" w:cs="Arial"/>
          <w:color w:val="000000" w:themeColor="text1"/>
          <w:lang w:val="es-MX"/>
        </w:rPr>
        <w:lastRenderedPageBreak/>
        <w:t>Bogotá D.C., </w:t>
      </w:r>
      <w:r w:rsidR="003027E8" w:rsidRPr="003027E8">
        <w:rPr>
          <w:rFonts w:ascii="Verdana" w:eastAsia="Geomanist Light" w:hAnsi="Verdana" w:cs="Arial"/>
          <w:color w:val="000000" w:themeColor="text1"/>
          <w:lang w:val="es-MX"/>
        </w:rPr>
        <w:t>04 de Febrero de 2026</w:t>
      </w:r>
    </w:p>
    <w:p w14:paraId="5BA3B1E8" w14:textId="77777777" w:rsidR="00A41A53" w:rsidRDefault="00A41A53" w:rsidP="00C764DE">
      <w:pPr>
        <w:spacing w:after="0" w:line="240" w:lineRule="auto"/>
        <w:jc w:val="both"/>
        <w:rPr>
          <w:rFonts w:ascii="Verdana" w:eastAsia="Calibri" w:hAnsi="Verdana" w:cs="Arial"/>
          <w:color w:val="000000"/>
          <w:lang w:val="es-ES"/>
        </w:rPr>
      </w:pPr>
    </w:p>
    <w:p w14:paraId="2BB54E8A" w14:textId="5B5FFEB2" w:rsidR="00C764DE" w:rsidRDefault="003027E8" w:rsidP="003027E8">
      <w:pPr>
        <w:spacing w:after="0" w:line="240" w:lineRule="auto"/>
        <w:jc w:val="right"/>
        <w:rPr>
          <w:rFonts w:ascii="Verdana" w:eastAsia="Calibri" w:hAnsi="Verdana" w:cs="Arial"/>
          <w:color w:val="000000"/>
          <w:lang w:val="es-ES"/>
        </w:rPr>
      </w:pPr>
      <w:r w:rsidRPr="003027E8">
        <w:rPr>
          <w:rFonts w:ascii="Verdana" w:eastAsia="Calibri" w:hAnsi="Verdana" w:cs="Arial"/>
          <w:color w:val="000000"/>
          <w:lang w:val="es-ES"/>
        </w:rPr>
        <w:drawing>
          <wp:inline distT="0" distB="0" distL="0" distR="0" wp14:anchorId="0CBAD99E" wp14:editId="773B4BE6">
            <wp:extent cx="3238500" cy="901700"/>
            <wp:effectExtent l="0" t="0" r="0" b="0"/>
            <wp:docPr id="8563265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326510" name=""/>
                    <pic:cNvPicPr/>
                  </pic:nvPicPr>
                  <pic:blipFill>
                    <a:blip r:embed="rId10"/>
                    <a:stretch>
                      <a:fillRect/>
                    </a:stretch>
                  </pic:blipFill>
                  <pic:spPr>
                    <a:xfrm>
                      <a:off x="0" y="0"/>
                      <a:ext cx="3238500" cy="901700"/>
                    </a:xfrm>
                    <a:prstGeom prst="rect">
                      <a:avLst/>
                    </a:prstGeom>
                  </pic:spPr>
                </pic:pic>
              </a:graphicData>
            </a:graphic>
          </wp:inline>
        </w:drawing>
      </w:r>
    </w:p>
    <w:p w14:paraId="629BABC2" w14:textId="77777777" w:rsidR="003027E8" w:rsidRPr="00593A5F" w:rsidRDefault="003027E8" w:rsidP="00C764DE">
      <w:pPr>
        <w:spacing w:after="0" w:line="240" w:lineRule="auto"/>
        <w:jc w:val="both"/>
        <w:rPr>
          <w:rFonts w:ascii="Verdana" w:eastAsia="Calibri" w:hAnsi="Verdana" w:cs="Arial"/>
          <w:color w:val="000000"/>
          <w:lang w:val="es-ES"/>
        </w:rPr>
      </w:pPr>
    </w:p>
    <w:p w14:paraId="6592C4A5" w14:textId="77777777" w:rsidR="00C764DE" w:rsidRPr="00B96799" w:rsidRDefault="00C764DE" w:rsidP="00C764DE">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4A8ED6D7" w14:textId="77777777" w:rsidR="00C764DE" w:rsidRPr="0085423D" w:rsidRDefault="00C764DE" w:rsidP="00C764DE">
      <w:pPr>
        <w:spacing w:after="0" w:line="240" w:lineRule="auto"/>
        <w:rPr>
          <w:rFonts w:ascii="Verdana" w:eastAsia="Calibri" w:hAnsi="Verdana" w:cs="Arial"/>
          <w:b/>
          <w:lang w:val="es-ES_tradnl" w:eastAsia="es-ES_tradnl"/>
        </w:rPr>
      </w:pPr>
      <w:bookmarkStart w:id="0" w:name="OLE_LINK1"/>
      <w:r w:rsidRPr="000623DD">
        <w:rPr>
          <w:rFonts w:ascii="Verdana" w:eastAsia="Calibri" w:hAnsi="Verdana" w:cs="Arial"/>
          <w:b/>
          <w:lang w:val="es-ES_tradnl" w:eastAsia="es-ES_tradnl"/>
        </w:rPr>
        <w:t>Lucy Audrey Beltrán Zambrano</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64D4DB55" w14:textId="77777777" w:rsidR="00C764DE" w:rsidRPr="00A804BA" w:rsidRDefault="00C764DE" w:rsidP="00C764DE">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0623DD">
        <w:rPr>
          <w:rFonts w:ascii="Verdana" w:hAnsi="Verdana"/>
        </w:rPr>
        <w:instrText>lucybeltran1010@gmail.com</w:instrText>
      </w:r>
      <w:r>
        <w:rPr>
          <w:rFonts w:ascii="Verdana" w:hAnsi="Verdana"/>
        </w:rPr>
        <w:instrText>"</w:instrText>
      </w:r>
      <w:r>
        <w:rPr>
          <w:rFonts w:ascii="Verdana" w:hAnsi="Verdana"/>
        </w:rPr>
      </w:r>
      <w:r>
        <w:rPr>
          <w:rFonts w:ascii="Verdana" w:hAnsi="Verdana"/>
        </w:rPr>
        <w:fldChar w:fldCharType="separate"/>
      </w:r>
      <w:r w:rsidRPr="00C93FF3">
        <w:rPr>
          <w:rStyle w:val="Hipervnculo"/>
          <w:rFonts w:ascii="Verdana" w:hAnsi="Verdana"/>
        </w:rPr>
        <w:t>lucybeltran1010@gmail.com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54EF34ED" w14:textId="77777777" w:rsidR="00C764DE" w:rsidRDefault="00C764DE" w:rsidP="00C764DE">
      <w:pPr>
        <w:spacing w:after="0" w:line="240" w:lineRule="auto"/>
        <w:rPr>
          <w:rFonts w:ascii="Verdana" w:eastAsia="Calibri" w:hAnsi="Verdana" w:cs="Arial"/>
          <w:lang w:val="es-ES" w:eastAsia="es-ES"/>
        </w:rPr>
      </w:pPr>
      <w:r>
        <w:rPr>
          <w:rFonts w:ascii="Verdana" w:eastAsia="Calibri" w:hAnsi="Verdana" w:cs="Arial"/>
          <w:lang w:val="es-ES" w:eastAsia="es-ES"/>
        </w:rPr>
        <w:t xml:space="preserve">Medellín, Antioquia </w:t>
      </w:r>
    </w:p>
    <w:p w14:paraId="77CE5B42" w14:textId="77777777" w:rsidR="00C764DE" w:rsidRPr="00593A5F" w:rsidRDefault="00C764DE" w:rsidP="00C764DE">
      <w:pPr>
        <w:spacing w:after="0" w:line="240" w:lineRule="auto"/>
        <w:rPr>
          <w:rFonts w:ascii="Verdana" w:eastAsia="Calibri" w:hAnsi="Verdana" w:cs="Arial"/>
          <w:b/>
          <w:bCs/>
          <w:color w:val="000000"/>
          <w:lang w:val="es-ES_tradnl" w:eastAsia="es-ES_tradnl"/>
        </w:rPr>
      </w:pPr>
    </w:p>
    <w:p w14:paraId="428FFA26" w14:textId="77777777" w:rsidR="00C764DE" w:rsidRPr="00593A5F" w:rsidRDefault="00C764DE" w:rsidP="00C764D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764DE" w:rsidRPr="00593A5F" w14:paraId="629C0E5B" w14:textId="77777777" w:rsidTr="000A1B1B">
        <w:trPr>
          <w:trHeight w:val="166"/>
        </w:trPr>
        <w:tc>
          <w:tcPr>
            <w:tcW w:w="2689" w:type="dxa"/>
          </w:tcPr>
          <w:p w14:paraId="287C515B" w14:textId="77777777" w:rsidR="00C764DE" w:rsidRPr="00C00976" w:rsidRDefault="00C764DE" w:rsidP="00FB11F2">
            <w:pPr>
              <w:jc w:val="both"/>
              <w:rPr>
                <w:rFonts w:ascii="Verdana" w:eastAsia="Calibri" w:hAnsi="Verdana" w:cs="Arial"/>
                <w:b/>
                <w:bCs/>
                <w:color w:val="7030A0"/>
                <w:lang w:val="es-ES_tradnl" w:eastAsia="es-ES_tradnl"/>
              </w:rPr>
            </w:pPr>
          </w:p>
        </w:tc>
        <w:tc>
          <w:tcPr>
            <w:tcW w:w="6100" w:type="dxa"/>
          </w:tcPr>
          <w:p w14:paraId="382B3107" w14:textId="46A3AF14" w:rsidR="00C764DE" w:rsidRDefault="00C764DE" w:rsidP="00FB11F2">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082 </w:t>
            </w:r>
            <w:r w:rsidRPr="008E6AD9">
              <w:rPr>
                <w:rFonts w:ascii="Verdana" w:eastAsia="Calibri" w:hAnsi="Verdana" w:cs="Arial"/>
                <w:b/>
                <w:bCs/>
                <w:lang w:val="es-ES" w:eastAsia="es-ES"/>
              </w:rPr>
              <w:t>de 202</w:t>
            </w:r>
            <w:r w:rsidR="00D746A5">
              <w:rPr>
                <w:rFonts w:ascii="Verdana" w:eastAsia="Calibri" w:hAnsi="Verdana" w:cs="Arial"/>
                <w:b/>
                <w:bCs/>
                <w:lang w:val="es-ES" w:eastAsia="es-ES"/>
              </w:rPr>
              <w:t>6</w:t>
            </w:r>
          </w:p>
          <w:p w14:paraId="4449E9D3" w14:textId="77777777" w:rsidR="00C764DE" w:rsidRPr="00C00976" w:rsidRDefault="00C764DE" w:rsidP="00FB11F2">
            <w:pPr>
              <w:jc w:val="both"/>
              <w:rPr>
                <w:rFonts w:ascii="Verdana" w:eastAsia="Calibri" w:hAnsi="Verdana" w:cs="Arial"/>
                <w:b/>
                <w:bCs/>
                <w:color w:val="7030A0"/>
                <w:lang w:val="es-ES" w:eastAsia="es-ES"/>
              </w:rPr>
            </w:pPr>
          </w:p>
        </w:tc>
      </w:tr>
      <w:tr w:rsidR="00C764DE" w:rsidRPr="00593A5F" w14:paraId="757C2406" w14:textId="77777777" w:rsidTr="00FB11F2">
        <w:trPr>
          <w:trHeight w:val="884"/>
        </w:trPr>
        <w:tc>
          <w:tcPr>
            <w:tcW w:w="2689" w:type="dxa"/>
          </w:tcPr>
          <w:p w14:paraId="17DF9692" w14:textId="77777777" w:rsidR="00C764DE" w:rsidRPr="00593A5F" w:rsidRDefault="00C764DE" w:rsidP="00FB11F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7A02CE3" w14:textId="77777777" w:rsidR="00C764DE" w:rsidRDefault="00C764DE" w:rsidP="00FB11F2">
            <w:pPr>
              <w:spacing w:line="276" w:lineRule="auto"/>
              <w:jc w:val="both"/>
              <w:rPr>
                <w:rFonts w:ascii="Verdana" w:eastAsia="Calibri" w:hAnsi="Verdana" w:cs="Arial"/>
                <w:lang w:val="es-ES" w:eastAsia="es-ES"/>
              </w:rPr>
            </w:pPr>
            <w:r w:rsidRPr="00B04206">
              <w:rPr>
                <w:rFonts w:ascii="Verdana" w:eastAsia="Calibri" w:hAnsi="Verdana" w:cs="Arial"/>
                <w:lang w:val="es-ES" w:eastAsia="es-ES"/>
              </w:rPr>
              <w:t>DÍAS HÁBILES – Jornada de atención al público – Concepto</w:t>
            </w:r>
            <w:r>
              <w:rPr>
                <w:rFonts w:ascii="Verdana" w:eastAsia="Calibri" w:hAnsi="Verdana" w:cs="Arial"/>
                <w:lang w:val="es-ES" w:eastAsia="es-ES"/>
              </w:rPr>
              <w:t xml:space="preserve"> / </w:t>
            </w:r>
            <w:r w:rsidRPr="00B04206">
              <w:rPr>
                <w:rFonts w:ascii="Verdana" w:eastAsia="Calibri" w:hAnsi="Verdana" w:cs="Arial"/>
                <w:lang w:val="es-ES" w:eastAsia="es-ES"/>
              </w:rPr>
              <w:t>GESTIÓN CONTRACTUAL – Fuera de días y horas de atención al público – Posibilidad – Principios de celeridad y economía</w:t>
            </w:r>
          </w:p>
          <w:p w14:paraId="56E6F61A" w14:textId="77777777" w:rsidR="00C764DE" w:rsidRPr="00593A5F" w:rsidRDefault="00C764DE" w:rsidP="00FB11F2">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764DE" w:rsidRPr="008E6AD9" w14:paraId="507A0846" w14:textId="77777777" w:rsidTr="00FB11F2">
        <w:tc>
          <w:tcPr>
            <w:tcW w:w="2689" w:type="dxa"/>
          </w:tcPr>
          <w:p w14:paraId="367EFF8E" w14:textId="77777777" w:rsidR="00C764DE" w:rsidRPr="008E6AD9" w:rsidRDefault="00C764DE" w:rsidP="00FB11F2">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11EAA5A" w14:textId="77777777" w:rsidR="00C764DE" w:rsidRPr="00B92340" w:rsidRDefault="00C764DE" w:rsidP="00FB11F2">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273E7C">
              <w:rPr>
                <w:rFonts w:ascii="Verdana" w:eastAsia="Calibri" w:hAnsi="Verdana" w:cs="Arial"/>
                <w:lang w:val="es-ES_tradnl" w:eastAsia="es-ES_tradnl"/>
              </w:rPr>
              <w:t>1_2026_01_21_000649</w:t>
            </w:r>
            <w:r>
              <w:rPr>
                <w:rFonts w:ascii="Verdana" w:eastAsia="Calibri" w:hAnsi="Verdana" w:cs="Arial"/>
                <w:lang w:val="es-ES_tradnl" w:eastAsia="es-ES_tradnl"/>
              </w:rPr>
              <w:t xml:space="preserve">                                   </w:t>
            </w:r>
          </w:p>
        </w:tc>
      </w:tr>
    </w:tbl>
    <w:p w14:paraId="749C4D81" w14:textId="77777777" w:rsidR="00C764DE" w:rsidRPr="00593A5F" w:rsidRDefault="00C764DE" w:rsidP="00C764DE">
      <w:pPr>
        <w:spacing w:after="0" w:line="240" w:lineRule="auto"/>
        <w:jc w:val="both"/>
        <w:rPr>
          <w:rFonts w:ascii="Verdana" w:eastAsia="Calibri" w:hAnsi="Verdana" w:cs="Arial"/>
          <w:color w:val="000000"/>
          <w:lang w:val="es-ES_tradnl" w:eastAsia="es-ES_tradnl"/>
        </w:rPr>
      </w:pPr>
    </w:p>
    <w:p w14:paraId="2B56332B" w14:textId="77777777" w:rsidR="00C764DE" w:rsidRPr="00593A5F" w:rsidRDefault="00C764DE" w:rsidP="00C764DE">
      <w:pPr>
        <w:spacing w:after="0" w:line="240" w:lineRule="auto"/>
        <w:jc w:val="both"/>
        <w:rPr>
          <w:rFonts w:ascii="Verdana" w:eastAsia="Calibri" w:hAnsi="Verdana" w:cs="Arial"/>
          <w:color w:val="000000"/>
          <w:lang w:val="es-ES_tradnl" w:eastAsia="es-ES_tradnl"/>
        </w:rPr>
      </w:pPr>
    </w:p>
    <w:p w14:paraId="24F5C247" w14:textId="77777777" w:rsidR="00C764DE" w:rsidRPr="008E6AD9" w:rsidRDefault="00C764DE" w:rsidP="00C764D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0623DD">
        <w:rPr>
          <w:rFonts w:ascii="Verdana" w:eastAsia="Calibri" w:hAnsi="Verdana" w:cs="Arial"/>
          <w:lang w:val="es-ES" w:eastAsia="es-ES"/>
        </w:rPr>
        <w:t>Beltrán Zambrano</w:t>
      </w:r>
      <w:r w:rsidRPr="008E6AD9">
        <w:rPr>
          <w:rFonts w:ascii="Verdana" w:eastAsia="Calibri" w:hAnsi="Verdana" w:cs="Arial"/>
          <w:lang w:val="es-ES" w:eastAsia="es-ES"/>
        </w:rPr>
        <w:t xml:space="preserve">: </w:t>
      </w:r>
    </w:p>
    <w:p w14:paraId="032AE67A" w14:textId="77777777" w:rsidR="00C764DE" w:rsidRDefault="00C764DE" w:rsidP="00C764D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FD89124" w14:textId="1080697C" w:rsidR="00C764DE" w:rsidRPr="00593A5F" w:rsidRDefault="00C764DE" w:rsidP="00C764D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w:t>
      </w:r>
      <w:r w:rsidR="008E57F5">
        <w:rPr>
          <w:rFonts w:ascii="Verdana" w:hAnsi="Verdana" w:cs="Arial"/>
        </w:rPr>
        <w:t>469 de 2025</w:t>
      </w:r>
      <w:r w:rsidRPr="00593A5F">
        <w:rPr>
          <w:rFonts w:ascii="Verdana" w:hAnsi="Verdana" w:cs="Arial"/>
        </w:rPr>
        <w:t xml:space="preserve"> expedida por esta Entidad,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21 de enero de 2026</w:t>
      </w:r>
      <w:r>
        <w:rPr>
          <w:rFonts w:ascii="Verdana" w:eastAsia="Calibri" w:hAnsi="Verdana" w:cs="Arial"/>
          <w:lang w:val="es-ES" w:eastAsia="es-ES"/>
        </w:rPr>
        <w:t>, donde solicita lo siguiente</w:t>
      </w:r>
      <w:r w:rsidRPr="008E6AD9">
        <w:rPr>
          <w:rFonts w:ascii="Verdana" w:eastAsia="Calibri" w:hAnsi="Verdana" w:cs="Arial"/>
          <w:lang w:val="es-ES" w:eastAsia="es-ES"/>
        </w:rPr>
        <w:t xml:space="preserve">: </w:t>
      </w:r>
    </w:p>
    <w:p w14:paraId="5244DC1C" w14:textId="77777777" w:rsidR="00C764DE" w:rsidRPr="00272A7B" w:rsidRDefault="00C764DE" w:rsidP="00C764DE">
      <w:pPr>
        <w:pStyle w:val="Prrafodelista"/>
        <w:tabs>
          <w:tab w:val="left" w:pos="142"/>
          <w:tab w:val="left" w:pos="284"/>
        </w:tabs>
        <w:spacing w:after="0" w:line="276" w:lineRule="auto"/>
        <w:ind w:left="0"/>
        <w:jc w:val="both"/>
        <w:rPr>
          <w:rFonts w:ascii="Verdana" w:eastAsia="Century Gothic" w:hAnsi="Verdana" w:cs="Century Gothic"/>
          <w:b/>
          <w:bCs/>
        </w:rPr>
      </w:pPr>
    </w:p>
    <w:p w14:paraId="36BCFA56" w14:textId="77777777" w:rsidR="00C764DE" w:rsidRPr="00AA6517" w:rsidRDefault="00C764DE" w:rsidP="00C764DE">
      <w:pPr>
        <w:spacing w:after="0" w:line="240" w:lineRule="auto"/>
        <w:ind w:left="709" w:right="709"/>
        <w:jc w:val="both"/>
        <w:rPr>
          <w:rFonts w:ascii="Verdana" w:eastAsia="Century Gothic" w:hAnsi="Verdana" w:cs="Century Gothic"/>
          <w:sz w:val="20"/>
          <w:szCs w:val="20"/>
          <w:lang w:val="es-ES"/>
        </w:rPr>
      </w:pPr>
      <w:bookmarkStart w:id="1" w:name="_Hlk95313578"/>
      <w:r w:rsidRPr="00AA6517">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r w:rsidRPr="009A421C">
        <w:rPr>
          <w:rFonts w:ascii="Verdana" w:eastAsia="Century Gothic" w:hAnsi="Verdana" w:cs="Century Gothic"/>
          <w:sz w:val="20"/>
          <w:szCs w:val="20"/>
          <w:lang w:val="es-ES"/>
        </w:rPr>
        <w:t xml:space="preserve">Agradezco se me informe, con indicación de la normativa que sustenta la respuesta, si las actividades de ordenación del gasto (como expedición y aprobación CDP, firmas o aprobación de contratos en SECOP, expedición de actos administrativos, pagos, etc.) en una entidad pública, de la naturaleza de establecimiento público del nivel territorial, pueden ejecutarse durante los </w:t>
      </w:r>
      <w:proofErr w:type="gramStart"/>
      <w:r w:rsidRPr="009A421C">
        <w:rPr>
          <w:rFonts w:ascii="Verdana" w:eastAsia="Century Gothic" w:hAnsi="Verdana" w:cs="Century Gothic"/>
          <w:sz w:val="20"/>
          <w:szCs w:val="20"/>
          <w:lang w:val="es-ES"/>
        </w:rPr>
        <w:t>días</w:t>
      </w:r>
      <w:r>
        <w:rPr>
          <w:rFonts w:ascii="Verdana" w:eastAsia="Century Gothic" w:hAnsi="Verdana" w:cs="Century Gothic"/>
          <w:sz w:val="20"/>
          <w:szCs w:val="20"/>
          <w:lang w:val="es-ES"/>
        </w:rPr>
        <w:t xml:space="preserve"> </w:t>
      </w:r>
      <w:r w:rsidRPr="009A421C">
        <w:rPr>
          <w:rFonts w:ascii="Verdana" w:eastAsia="Century Gothic" w:hAnsi="Verdana" w:cs="Century Gothic"/>
          <w:sz w:val="20"/>
          <w:szCs w:val="20"/>
          <w:lang w:val="es-ES"/>
        </w:rPr>
        <w:t>sábados</w:t>
      </w:r>
      <w:proofErr w:type="gramEnd"/>
      <w:r w:rsidRPr="009A421C">
        <w:rPr>
          <w:rFonts w:ascii="Verdana" w:eastAsia="Century Gothic" w:hAnsi="Verdana" w:cs="Century Gothic"/>
          <w:sz w:val="20"/>
          <w:szCs w:val="20"/>
          <w:lang w:val="es-ES"/>
        </w:rPr>
        <w:t xml:space="preserve">, domingos y/o festivos, así como en horario no laborable (antes o después de la jornada laboral diaria). O de </w:t>
      </w:r>
      <w:r w:rsidRPr="009A421C">
        <w:rPr>
          <w:rFonts w:ascii="Verdana" w:eastAsia="Century Gothic" w:hAnsi="Verdana" w:cs="Century Gothic"/>
          <w:sz w:val="20"/>
          <w:szCs w:val="20"/>
          <w:lang w:val="es-ES"/>
        </w:rPr>
        <w:lastRenderedPageBreak/>
        <w:t>ser parcialmente posible, favor indicar cuáles actividades de ordenación (y especialmente, en materia de contratación) se pueden ejecutar en horario o día no hábil, y cuáles sí</w:t>
      </w:r>
      <w:r>
        <w:rPr>
          <w:rFonts w:ascii="Verdana" w:eastAsia="Century Gothic" w:hAnsi="Verdana" w:cs="Century Gothic"/>
          <w:sz w:val="20"/>
          <w:szCs w:val="20"/>
          <w:lang w:val="es-ES"/>
        </w:rPr>
        <w:t xml:space="preserve"> […]</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0ADC78C2" w14:textId="77777777" w:rsidR="00C764DE" w:rsidRPr="008E6AD9" w:rsidRDefault="00C764DE" w:rsidP="00C764DE">
      <w:pPr>
        <w:pStyle w:val="Prrafodelista"/>
        <w:tabs>
          <w:tab w:val="left" w:pos="142"/>
          <w:tab w:val="left" w:pos="284"/>
        </w:tabs>
        <w:spacing w:after="0" w:line="276" w:lineRule="auto"/>
        <w:ind w:left="0"/>
        <w:jc w:val="both"/>
        <w:rPr>
          <w:rFonts w:ascii="Verdana" w:eastAsia="Century Gothic" w:hAnsi="Verdana" w:cs="Century Gothic"/>
          <w:b/>
          <w:bCs/>
        </w:rPr>
      </w:pPr>
    </w:p>
    <w:p w14:paraId="471150D7" w14:textId="77777777" w:rsidR="00C764DE" w:rsidRPr="00A652FF" w:rsidRDefault="00C764DE" w:rsidP="00C764D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E5721F1" w14:textId="77777777" w:rsidR="00C764DE" w:rsidRDefault="00C764DE" w:rsidP="00C764D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FBE1295" w14:textId="77777777" w:rsidR="00C764DE" w:rsidRPr="00593A5F" w:rsidRDefault="00C764DE" w:rsidP="00C764DE">
      <w:pPr>
        <w:spacing w:after="0" w:line="276" w:lineRule="auto"/>
        <w:ind w:firstLine="709"/>
        <w:jc w:val="both"/>
        <w:rPr>
          <w:rFonts w:ascii="Verdana" w:eastAsia="Calibri" w:hAnsi="Verdana" w:cs="Arial"/>
          <w:color w:val="000000"/>
          <w:lang w:val="es-ES" w:eastAsia="es-ES"/>
        </w:rPr>
      </w:pPr>
    </w:p>
    <w:p w14:paraId="69DBDDE1" w14:textId="77777777" w:rsidR="00C764DE" w:rsidRPr="00593A5F" w:rsidRDefault="00C764DE" w:rsidP="00C764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32DBF567" w14:textId="77777777" w:rsidR="00C764DE" w:rsidRPr="00593A5F" w:rsidRDefault="00C764DE" w:rsidP="00C764DE">
      <w:pPr>
        <w:tabs>
          <w:tab w:val="left" w:pos="426"/>
        </w:tabs>
        <w:spacing w:after="0" w:line="276" w:lineRule="auto"/>
        <w:jc w:val="both"/>
        <w:rPr>
          <w:rFonts w:ascii="Verdana" w:eastAsia="Century Gothic" w:hAnsi="Verdana" w:cs="Century Gothic"/>
          <w:lang w:val="es-ES"/>
        </w:rPr>
      </w:pPr>
    </w:p>
    <w:p w14:paraId="3B624324" w14:textId="1E1973BA" w:rsidR="00C764DE" w:rsidRPr="00593A5F" w:rsidRDefault="00C764DE" w:rsidP="00C764D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0249A7">
        <w:rPr>
          <w:rFonts w:ascii="Verdana" w:eastAsia="Century Gothic" w:hAnsi="Verdana" w:cs="Century Gothic"/>
        </w:rPr>
        <w:t>¿</w:t>
      </w:r>
      <w:r>
        <w:rPr>
          <w:rFonts w:ascii="Verdana" w:eastAsia="Century Gothic" w:hAnsi="Verdana" w:cs="Century Gothic"/>
        </w:rPr>
        <w:t xml:space="preserve">Es posible la realización de trámites contractuales fuera de los días hábiles </w:t>
      </w:r>
      <w:r w:rsidR="003F3073">
        <w:rPr>
          <w:rFonts w:ascii="Verdana" w:eastAsia="Century Gothic" w:hAnsi="Verdana" w:cs="Century Gothic"/>
        </w:rPr>
        <w:t>establecidos en la entidad</w:t>
      </w:r>
      <w:r>
        <w:rPr>
          <w:rFonts w:ascii="Verdana" w:eastAsia="Century Gothic" w:hAnsi="Verdana" w:cs="Century Gothic"/>
        </w:rPr>
        <w:t xml:space="preserve"> o de la jornada de atención al público</w:t>
      </w:r>
      <w:r w:rsidRPr="000249A7">
        <w:rPr>
          <w:rFonts w:ascii="Verdana" w:eastAsia="Times New Roman" w:hAnsi="Verdana" w:cs="Arial"/>
          <w:kern w:val="2"/>
          <w:shd w:val="clear" w:color="auto" w:fill="FFFFFF"/>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43B683EF" w14:textId="77777777" w:rsidR="00C764DE" w:rsidRPr="004B140F" w:rsidRDefault="00C764DE" w:rsidP="00C764DE">
      <w:pPr>
        <w:spacing w:after="0" w:line="276" w:lineRule="auto"/>
        <w:jc w:val="both"/>
        <w:rPr>
          <w:rFonts w:ascii="Verdana" w:eastAsia="Calibri" w:hAnsi="Verdana" w:cs="Arial"/>
          <w:color w:val="7030A0"/>
        </w:rPr>
      </w:pPr>
    </w:p>
    <w:p w14:paraId="4BF04915" w14:textId="77777777" w:rsidR="00C764DE" w:rsidRPr="00593A5F" w:rsidRDefault="00C764DE" w:rsidP="00C764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C307BA0" w14:textId="77777777" w:rsidR="00C764DE" w:rsidRPr="00593A5F" w:rsidRDefault="00C764DE" w:rsidP="00C764D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64DE" w:rsidRPr="00593A5F" w14:paraId="79FBE123" w14:textId="77777777" w:rsidTr="00FB11F2">
        <w:trPr>
          <w:jc w:val="center"/>
        </w:trPr>
        <w:tc>
          <w:tcPr>
            <w:tcW w:w="8828" w:type="dxa"/>
          </w:tcPr>
          <w:p w14:paraId="4B039087" w14:textId="2F93CEF0" w:rsidR="00C764DE" w:rsidRDefault="00C764DE" w:rsidP="00FB11F2">
            <w:pPr>
              <w:tabs>
                <w:tab w:val="left" w:pos="0"/>
              </w:tabs>
              <w:spacing w:after="120" w:line="276" w:lineRule="auto"/>
              <w:jc w:val="both"/>
              <w:rPr>
                <w:rFonts w:ascii="Verdana" w:eastAsia="Calibri" w:hAnsi="Verdana" w:cs="Arial"/>
                <w:bCs/>
                <w:lang w:val="es-ES"/>
              </w:rPr>
            </w:pPr>
            <w:bookmarkStart w:id="2" w:name="_Hlk171694685"/>
            <w:r>
              <w:rPr>
                <w:rFonts w:ascii="Verdana" w:eastAsia="Calibri" w:hAnsi="Verdana" w:cs="Arial"/>
                <w:bCs/>
                <w:color w:val="000000" w:themeColor="text1"/>
              </w:rPr>
              <w:t xml:space="preserve">Conforme a la interpretación general de las normas del sistema de compras públicas, </w:t>
            </w:r>
            <w:r w:rsidR="004839FE">
              <w:rPr>
                <w:rFonts w:ascii="Verdana" w:eastAsia="Calibri" w:hAnsi="Verdana" w:cs="Arial"/>
                <w:bCs/>
                <w:color w:val="000000" w:themeColor="text1"/>
              </w:rPr>
              <w:t xml:space="preserve">se entiende por </w:t>
            </w:r>
            <w:r w:rsidRPr="008305C9">
              <w:rPr>
                <w:rFonts w:ascii="Verdana" w:eastAsia="Calibri" w:hAnsi="Verdana" w:cs="Arial"/>
                <w:bCs/>
                <w:lang w:val="es-ES"/>
              </w:rPr>
              <w:t>días hábiles aquellos de la semana durante los cuales las entidades públicas ejercen sus funciones y prestan servicio al público</w:t>
            </w:r>
            <w:r w:rsidR="00FF5C04">
              <w:rPr>
                <w:rFonts w:ascii="Verdana" w:eastAsia="Calibri" w:hAnsi="Verdana" w:cs="Arial"/>
                <w:bCs/>
                <w:lang w:val="es-ES"/>
              </w:rPr>
              <w:t>.</w:t>
            </w:r>
            <w:r w:rsidRPr="008305C9">
              <w:rPr>
                <w:rFonts w:ascii="Verdana" w:eastAsia="Calibri" w:hAnsi="Verdana" w:cs="Arial"/>
                <w:bCs/>
                <w:lang w:val="es-ES"/>
              </w:rPr>
              <w:t xml:space="preserve"> </w:t>
            </w:r>
            <w:r w:rsidR="00C877FC">
              <w:rPr>
                <w:rFonts w:ascii="Verdana" w:eastAsia="Calibri" w:hAnsi="Verdana" w:cs="Arial"/>
                <w:bCs/>
                <w:lang w:val="es-ES"/>
              </w:rPr>
              <w:t>P</w:t>
            </w:r>
            <w:r w:rsidRPr="008305C9">
              <w:rPr>
                <w:rFonts w:ascii="Verdana" w:eastAsia="Calibri" w:hAnsi="Verdana" w:cs="Arial"/>
                <w:bCs/>
                <w:lang w:val="es-ES"/>
              </w:rPr>
              <w:t xml:space="preserve">or regla general, </w:t>
            </w:r>
            <w:r w:rsidR="00B92018">
              <w:rPr>
                <w:rFonts w:ascii="Verdana" w:eastAsia="Calibri" w:hAnsi="Verdana" w:cs="Arial"/>
                <w:bCs/>
                <w:lang w:val="es-ES"/>
              </w:rPr>
              <w:t xml:space="preserve">estos </w:t>
            </w:r>
            <w:r w:rsidR="00FF5C04">
              <w:rPr>
                <w:rFonts w:ascii="Verdana" w:eastAsia="Calibri" w:hAnsi="Verdana" w:cs="Arial"/>
                <w:bCs/>
                <w:lang w:val="es-ES"/>
              </w:rPr>
              <w:t>suelen ser</w:t>
            </w:r>
            <w:r w:rsidRPr="008305C9">
              <w:rPr>
                <w:rFonts w:ascii="Verdana" w:eastAsia="Calibri" w:hAnsi="Verdana" w:cs="Arial"/>
                <w:bCs/>
                <w:lang w:val="es-ES"/>
              </w:rPr>
              <w:t xml:space="preserve"> todos los días de la semana, con excepción de los sábados, domingos y feriados previstos en la generalidad de entidades como días de descanso. </w:t>
            </w:r>
            <w:r w:rsidR="00091F78">
              <w:rPr>
                <w:rFonts w:ascii="Verdana" w:eastAsia="Calibri" w:hAnsi="Verdana" w:cs="Arial"/>
                <w:bCs/>
                <w:lang w:val="es-ES"/>
              </w:rPr>
              <w:t>No obstante</w:t>
            </w:r>
            <w:r w:rsidRPr="008305C9">
              <w:rPr>
                <w:rFonts w:ascii="Verdana" w:eastAsia="Calibri" w:hAnsi="Verdana" w:cs="Arial"/>
                <w:bCs/>
                <w:lang w:val="es-ES"/>
              </w:rPr>
              <w:t xml:space="preserve">, algunas entidades pueden definir en sus </w:t>
            </w:r>
            <w:r w:rsidRPr="008305C9">
              <w:rPr>
                <w:rFonts w:ascii="Verdana" w:eastAsia="Calibri" w:hAnsi="Verdana" w:cs="Arial"/>
                <w:bCs/>
                <w:lang w:val="es-ES"/>
              </w:rPr>
              <w:lastRenderedPageBreak/>
              <w:t>reglamentos internos jornadas laborales distintas, que incluyan el sábado o el domingo</w:t>
            </w:r>
            <w:r>
              <w:rPr>
                <w:rFonts w:ascii="Verdana" w:eastAsia="Calibri" w:hAnsi="Verdana" w:cs="Arial"/>
                <w:bCs/>
                <w:lang w:val="es-ES"/>
              </w:rPr>
              <w:t>. Por ello</w:t>
            </w:r>
            <w:r w:rsidRPr="008305C9">
              <w:rPr>
                <w:rFonts w:ascii="Verdana" w:eastAsia="Calibri" w:hAnsi="Verdana" w:cs="Arial"/>
                <w:bCs/>
                <w:lang w:val="es-ES"/>
              </w:rPr>
              <w:t xml:space="preserve">, respecto al cómputo de los términos en días hábiles </w:t>
            </w:r>
            <w:r w:rsidR="004A799D">
              <w:rPr>
                <w:rFonts w:ascii="Verdana" w:eastAsia="Calibri" w:hAnsi="Verdana" w:cs="Arial"/>
                <w:bCs/>
                <w:lang w:val="es-ES"/>
              </w:rPr>
              <w:t>dentro</w:t>
            </w:r>
            <w:r w:rsidR="007B0200">
              <w:rPr>
                <w:rFonts w:ascii="Verdana" w:eastAsia="Calibri" w:hAnsi="Verdana" w:cs="Arial"/>
                <w:bCs/>
                <w:lang w:val="es-ES"/>
              </w:rPr>
              <w:t xml:space="preserve"> </w:t>
            </w:r>
            <w:r w:rsidRPr="008305C9">
              <w:rPr>
                <w:rFonts w:ascii="Verdana" w:eastAsia="Calibri" w:hAnsi="Verdana" w:cs="Arial"/>
                <w:bCs/>
                <w:lang w:val="es-ES"/>
              </w:rPr>
              <w:t>de los procesos de selección, debe</w:t>
            </w:r>
            <w:r w:rsidR="000A65D3">
              <w:rPr>
                <w:rFonts w:ascii="Verdana" w:eastAsia="Calibri" w:hAnsi="Verdana" w:cs="Arial"/>
                <w:bCs/>
                <w:lang w:val="es-ES"/>
              </w:rPr>
              <w:t xml:space="preserve"> </w:t>
            </w:r>
            <w:r w:rsidR="00FB58C6">
              <w:rPr>
                <w:rFonts w:ascii="Verdana" w:eastAsia="Calibri" w:hAnsi="Verdana" w:cs="Arial"/>
                <w:bCs/>
                <w:lang w:val="es-ES"/>
              </w:rPr>
              <w:t>ceñirse a</w:t>
            </w:r>
            <w:r w:rsidR="00B3675D">
              <w:rPr>
                <w:rFonts w:ascii="Verdana" w:eastAsia="Calibri" w:hAnsi="Verdana" w:cs="Arial"/>
                <w:bCs/>
                <w:lang w:val="es-ES"/>
              </w:rPr>
              <w:t xml:space="preserve"> </w:t>
            </w:r>
            <w:r w:rsidRPr="008305C9">
              <w:rPr>
                <w:rFonts w:ascii="Verdana" w:eastAsia="Calibri" w:hAnsi="Verdana" w:cs="Arial"/>
                <w:bCs/>
                <w:lang w:val="es-ES"/>
              </w:rPr>
              <w:t>los días definidos por cada entidad estatal como laborables en su correspondiente reglamento o manual de funciones.</w:t>
            </w:r>
          </w:p>
          <w:p w14:paraId="62CC57FE" w14:textId="5BB58414" w:rsidR="00C764DE" w:rsidRDefault="00C764DE" w:rsidP="00FB11F2">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t xml:space="preserve">En los días que cada entidad estime </w:t>
            </w:r>
            <w:r w:rsidR="0086439E">
              <w:rPr>
                <w:rFonts w:ascii="Verdana" w:eastAsia="Calibri" w:hAnsi="Verdana" w:cs="Arial"/>
                <w:bCs/>
                <w:lang w:val="es-ES"/>
              </w:rPr>
              <w:t>como</w:t>
            </w:r>
            <w:r>
              <w:rPr>
                <w:rFonts w:ascii="Verdana" w:eastAsia="Calibri" w:hAnsi="Verdana" w:cs="Arial"/>
                <w:bCs/>
                <w:lang w:val="es-ES"/>
              </w:rPr>
              <w:t xml:space="preserve"> hábiles, el artículo 2 del Decreto Ley 1876 de 1970 obliga a entidades como los </w:t>
            </w:r>
            <w:r w:rsidRPr="00562BA7">
              <w:rPr>
                <w:rFonts w:ascii="Verdana" w:eastAsia="Calibri" w:hAnsi="Verdana" w:cs="Arial"/>
                <w:bCs/>
                <w:lang w:val="es-ES"/>
              </w:rPr>
              <w:t>Ministerios, Departamentos Administrativos, Superintendencias y Establecimientos Públicos</w:t>
            </w:r>
            <w:r>
              <w:rPr>
                <w:rFonts w:ascii="Verdana" w:eastAsia="Calibri" w:hAnsi="Verdana" w:cs="Arial"/>
                <w:bCs/>
                <w:lang w:val="es-ES"/>
              </w:rPr>
              <w:t xml:space="preserve"> a establecer “[…] </w:t>
            </w:r>
            <w:r w:rsidRPr="006D08D7">
              <w:rPr>
                <w:rFonts w:ascii="Verdana" w:eastAsia="Calibri" w:hAnsi="Verdana" w:cs="Arial"/>
                <w:bCs/>
                <w:lang w:val="es-ES"/>
              </w:rPr>
              <w:t>el horario de atención al público, los sistemas de registro de las horas de entradas y de salida, las sanciones por ausencias o retardos, los procedimientos para el otorgamiento de permisos y las demás disposiciones a que hubiere lugar sobre la materia, todo de conformidad con las normas legales vigentes sobre el particular</w:t>
            </w:r>
            <w:r>
              <w:rPr>
                <w:rFonts w:ascii="Verdana" w:eastAsia="Calibri" w:hAnsi="Verdana" w:cs="Arial"/>
                <w:bCs/>
                <w:lang w:val="es-ES"/>
              </w:rPr>
              <w:t xml:space="preserve"> […]”. Asimismo, conforme al artículo 3 </w:t>
            </w:r>
            <w:r w:rsidRPr="005442E8">
              <w:rPr>
                <w:rFonts w:ascii="Verdana" w:eastAsia="Calibri" w:hAnsi="Verdana" w:cs="Arial"/>
                <w:bCs/>
                <w:i/>
                <w:iCs/>
                <w:lang w:val="es-ES"/>
              </w:rPr>
              <w:t>ibidem</w:t>
            </w:r>
            <w:r>
              <w:rPr>
                <w:rFonts w:ascii="Verdana" w:eastAsia="Calibri" w:hAnsi="Verdana" w:cs="Arial"/>
                <w:bCs/>
                <w:lang w:val="es-ES"/>
              </w:rPr>
              <w:t xml:space="preserve">, también “[…] </w:t>
            </w:r>
            <w:r w:rsidRPr="005161F0">
              <w:rPr>
                <w:rFonts w:ascii="Verdana" w:eastAsia="Calibri" w:hAnsi="Verdana" w:cs="Arial"/>
                <w:bCs/>
                <w:lang w:val="es-ES"/>
              </w:rPr>
              <w:t>se establecerán las normas que han de regir para efectos de contar los términos que corren contra los particulares o contra organismos administrativos en los asuntos que tramita o de que conoce la respectiva entidad</w:t>
            </w:r>
            <w:r>
              <w:rPr>
                <w:rFonts w:ascii="Verdana" w:eastAsia="Calibri" w:hAnsi="Verdana" w:cs="Arial"/>
                <w:bCs/>
                <w:lang w:val="es-ES"/>
              </w:rPr>
              <w:t xml:space="preserve"> […]”. Por lo demás, en los términos del artículo 7.3 de la Ley 1437 de 2011 todas autoridades deben “</w:t>
            </w:r>
            <w:r w:rsidRPr="005B0D5F">
              <w:rPr>
                <w:rFonts w:ascii="Verdana" w:eastAsia="Calibri" w:hAnsi="Verdana" w:cs="Arial"/>
                <w:bCs/>
                <w:lang w:val="es-ES"/>
              </w:rPr>
              <w:t>Garantizar atención personal al público, como mínimo durante cuarenta (40) horas a la semana, las cuales se distribuirán en horarios que satisfagan las necesidades del servicio</w:t>
            </w:r>
            <w:r>
              <w:rPr>
                <w:rFonts w:ascii="Verdana" w:eastAsia="Calibri" w:hAnsi="Verdana" w:cs="Arial"/>
                <w:bCs/>
                <w:lang w:val="es-ES"/>
              </w:rPr>
              <w:t>”.</w:t>
            </w:r>
          </w:p>
          <w:p w14:paraId="36D88465" w14:textId="63F02BDF" w:rsidR="00C85210" w:rsidRDefault="00C764DE" w:rsidP="00FB11F2">
            <w:pPr>
              <w:spacing w:after="120" w:line="276" w:lineRule="auto"/>
              <w:jc w:val="both"/>
              <w:rPr>
                <w:rFonts w:ascii="Verdana" w:eastAsia="Calibri" w:hAnsi="Verdana" w:cs="Arial"/>
                <w:bCs/>
                <w:lang w:val="es-ES"/>
              </w:rPr>
            </w:pPr>
            <w:r>
              <w:rPr>
                <w:rFonts w:ascii="Verdana" w:eastAsia="Calibri" w:hAnsi="Verdana" w:cs="Arial"/>
                <w:bCs/>
                <w:lang w:val="es-ES"/>
              </w:rPr>
              <w:tab/>
              <w:t>Lo anterior no obsta para que, por necesidades del servicio, la</w:t>
            </w:r>
            <w:r w:rsidR="00B13719">
              <w:rPr>
                <w:rFonts w:ascii="Verdana" w:eastAsia="Calibri" w:hAnsi="Verdana" w:cs="Arial"/>
                <w:bCs/>
                <w:lang w:val="es-ES"/>
              </w:rPr>
              <w:t>s</w:t>
            </w:r>
            <w:r>
              <w:rPr>
                <w:rFonts w:ascii="Verdana" w:eastAsia="Calibri" w:hAnsi="Verdana" w:cs="Arial"/>
                <w:bCs/>
                <w:lang w:val="es-ES"/>
              </w:rPr>
              <w:t xml:space="preserve"> entidad</w:t>
            </w:r>
            <w:r w:rsidR="00B13719">
              <w:rPr>
                <w:rFonts w:ascii="Verdana" w:eastAsia="Calibri" w:hAnsi="Verdana" w:cs="Arial"/>
                <w:bCs/>
                <w:lang w:val="es-ES"/>
              </w:rPr>
              <w:t>es</w:t>
            </w:r>
            <w:r>
              <w:rPr>
                <w:rFonts w:ascii="Verdana" w:eastAsia="Calibri" w:hAnsi="Verdana" w:cs="Arial"/>
                <w:bCs/>
                <w:lang w:val="es-ES"/>
              </w:rPr>
              <w:t xml:space="preserve"> adelante</w:t>
            </w:r>
            <w:r w:rsidR="00B13719">
              <w:rPr>
                <w:rFonts w:ascii="Verdana" w:eastAsia="Calibri" w:hAnsi="Verdana" w:cs="Arial"/>
                <w:bCs/>
                <w:lang w:val="es-ES"/>
              </w:rPr>
              <w:t>n</w:t>
            </w:r>
            <w:r>
              <w:rPr>
                <w:rFonts w:ascii="Verdana" w:eastAsia="Calibri" w:hAnsi="Verdana" w:cs="Arial"/>
                <w:bCs/>
                <w:lang w:val="es-ES"/>
              </w:rPr>
              <w:t xml:space="preserve"> trámites contractuales </w:t>
            </w:r>
            <w:r w:rsidR="00CA79EB">
              <w:rPr>
                <w:rFonts w:ascii="Verdana" w:eastAsia="Calibri" w:hAnsi="Verdana" w:cs="Arial"/>
                <w:bCs/>
                <w:lang w:val="es-ES"/>
              </w:rPr>
              <w:t xml:space="preserve">por </w:t>
            </w:r>
            <w:r>
              <w:rPr>
                <w:rFonts w:ascii="Verdana" w:eastAsia="Calibri" w:hAnsi="Verdana" w:cs="Arial"/>
                <w:bCs/>
                <w:lang w:val="es-ES"/>
              </w:rPr>
              <w:t xml:space="preserve">fuera de los días y horarios descritos en los párrafos precedentes. Para estos efectos, en ausencia de norma expresa, la Agencia estima que la competencia no se suspende </w:t>
            </w:r>
            <w:r w:rsidR="00CA79EB">
              <w:rPr>
                <w:rFonts w:ascii="Verdana" w:eastAsia="Calibri" w:hAnsi="Verdana" w:cs="Arial"/>
                <w:bCs/>
                <w:lang w:val="es-ES"/>
              </w:rPr>
              <w:t xml:space="preserve">durante </w:t>
            </w:r>
            <w:r>
              <w:rPr>
                <w:rFonts w:ascii="Verdana" w:eastAsia="Calibri" w:hAnsi="Verdana" w:cs="Arial"/>
                <w:bCs/>
                <w:lang w:val="es-ES"/>
              </w:rPr>
              <w:t xml:space="preserve">los días inhábiles ni en horas ajenas a la jornada de atención al público. Ello no es más que el desarrollo del principio de celeridad en las actuaciones administrativas, pues “[…] </w:t>
            </w:r>
            <w:r w:rsidRPr="005B0D5F">
              <w:rPr>
                <w:rFonts w:ascii="Verdana" w:eastAsia="Calibri" w:hAnsi="Verdana" w:cs="Arial"/>
                <w:bCs/>
                <w:lang w:val="es-ES"/>
              </w:rPr>
              <w:t>las autoridades impulsarán oficiosamente los procedimientos, e incentivarán el uso de las tecnologías de la información y las comunicaciones, a efectos de que los procedimientos se adelanten con diligencia, dentro de los términos legales y sin dilaciones injustificadas</w:t>
            </w:r>
            <w:r>
              <w:rPr>
                <w:rFonts w:ascii="Verdana" w:eastAsia="Calibri" w:hAnsi="Verdana" w:cs="Arial"/>
                <w:bCs/>
                <w:lang w:val="es-ES"/>
              </w:rPr>
              <w:t>” –artículo 3.13 de la Ley 1437 de 2011–</w:t>
            </w:r>
            <w:r w:rsidRPr="005B0D5F">
              <w:rPr>
                <w:rFonts w:ascii="Verdana" w:eastAsia="Calibri" w:hAnsi="Verdana" w:cs="Arial"/>
                <w:bCs/>
                <w:lang w:val="es-ES"/>
              </w:rPr>
              <w:t>.</w:t>
            </w:r>
            <w:r>
              <w:rPr>
                <w:rFonts w:ascii="Verdana" w:eastAsia="Calibri" w:hAnsi="Verdana" w:cs="Arial"/>
                <w:bCs/>
                <w:lang w:val="es-ES"/>
              </w:rPr>
              <w:t xml:space="preserve"> </w:t>
            </w:r>
          </w:p>
          <w:p w14:paraId="54589A04" w14:textId="6B264957" w:rsidR="00C764DE" w:rsidRPr="00324083" w:rsidRDefault="00C764DE" w:rsidP="000A1B1B">
            <w:pPr>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Pr>
                <w:rFonts w:ascii="Verdana" w:eastAsia="Calibri" w:hAnsi="Verdana" w:cs="Arial"/>
                <w:bCs/>
                <w:lang w:val="es-ES"/>
              </w:rPr>
              <w:t>Además, el artículo 25.4 de la Ley 80 de 1993 establece como parte el principio de economía la idea de que “</w:t>
            </w:r>
            <w:r w:rsidRPr="00312258">
              <w:rPr>
                <w:rFonts w:ascii="Verdana" w:eastAsia="Calibri" w:hAnsi="Verdana" w:cs="Arial"/>
                <w:bCs/>
                <w:lang w:val="es-ES"/>
              </w:rPr>
              <w:t>Los trámites se adelantarán con austeridad de tiempo, medios y gastos y se impedirán las dilaciones y los retardos en la ejecución del contrato</w:t>
            </w:r>
            <w:r>
              <w:rPr>
                <w:rFonts w:ascii="Verdana" w:eastAsia="Calibri" w:hAnsi="Verdana" w:cs="Arial"/>
                <w:bCs/>
                <w:lang w:val="es-ES"/>
              </w:rPr>
              <w:t>”</w:t>
            </w:r>
            <w:r w:rsidRPr="00312258">
              <w:rPr>
                <w:rFonts w:ascii="Verdana" w:eastAsia="Calibri" w:hAnsi="Verdana" w:cs="Arial"/>
                <w:bCs/>
                <w:lang w:val="es-ES"/>
              </w:rPr>
              <w:t xml:space="preserve">. </w:t>
            </w:r>
            <w:r>
              <w:rPr>
                <w:rFonts w:ascii="Verdana" w:eastAsia="Calibri" w:hAnsi="Verdana" w:cs="Arial"/>
                <w:bCs/>
                <w:lang w:val="es-ES"/>
              </w:rPr>
              <w:t xml:space="preserve">Por ello, dentro del cronograma del </w:t>
            </w:r>
            <w:r>
              <w:rPr>
                <w:rFonts w:ascii="Verdana" w:eastAsia="Calibri" w:hAnsi="Verdana" w:cs="Arial"/>
                <w:bCs/>
                <w:lang w:val="es-ES"/>
              </w:rPr>
              <w:lastRenderedPageBreak/>
              <w:t xml:space="preserve">proceso de selección y siempre que no se vulneren derechos de los interesados, es posible que las entidades adelanten gestiones de ordenación del gasto como la expedición de </w:t>
            </w:r>
            <w:proofErr w:type="spellStart"/>
            <w:r>
              <w:rPr>
                <w:rFonts w:ascii="Verdana" w:eastAsia="Calibri" w:hAnsi="Verdana" w:cs="Arial"/>
                <w:bCs/>
                <w:lang w:val="es-ES"/>
              </w:rPr>
              <w:t>CDPs</w:t>
            </w:r>
            <w:proofErr w:type="spellEnd"/>
            <w:r>
              <w:rPr>
                <w:rFonts w:ascii="Verdana" w:eastAsia="Calibri" w:hAnsi="Verdana" w:cs="Arial"/>
                <w:bCs/>
                <w:lang w:val="es-ES"/>
              </w:rPr>
              <w:t xml:space="preserve"> o la aprobación pólizas, contratos y pagos en el SECOP fuera de los días y horas mencionados </w:t>
            </w:r>
            <w:r w:rsidRPr="008453D9">
              <w:rPr>
                <w:rFonts w:ascii="Verdana" w:eastAsia="Calibri" w:hAnsi="Verdana" w:cs="Arial"/>
                <w:bCs/>
                <w:i/>
                <w:iCs/>
                <w:lang w:val="es-ES"/>
              </w:rPr>
              <w:t>ut supra</w:t>
            </w:r>
            <w:r>
              <w:rPr>
                <w:rFonts w:ascii="Verdana" w:eastAsia="Calibri" w:hAnsi="Verdana" w:cs="Arial"/>
                <w:bCs/>
                <w:lang w:val="es-ES"/>
              </w:rPr>
              <w:t>.</w:t>
            </w:r>
          </w:p>
          <w:p w14:paraId="66197720" w14:textId="77777777" w:rsidR="00C764DE" w:rsidRPr="001941FD" w:rsidRDefault="00C764DE" w:rsidP="00FB11F2">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4EF8E5BD" w14:textId="77777777" w:rsidR="00C764DE" w:rsidRPr="00593A5F" w:rsidRDefault="00C764DE" w:rsidP="00C764DE">
      <w:pPr>
        <w:tabs>
          <w:tab w:val="left" w:pos="142"/>
          <w:tab w:val="left" w:pos="284"/>
        </w:tabs>
        <w:spacing w:after="0" w:line="276" w:lineRule="auto"/>
        <w:jc w:val="both"/>
        <w:rPr>
          <w:rFonts w:ascii="Verdana" w:eastAsia="Century Gothic" w:hAnsi="Verdana" w:cs="Century Gothic"/>
          <w:b/>
          <w:bCs/>
          <w:lang w:val="es-ES"/>
        </w:rPr>
      </w:pPr>
    </w:p>
    <w:bookmarkEnd w:id="2"/>
    <w:p w14:paraId="3D925E66" w14:textId="77777777" w:rsidR="00C764DE" w:rsidRPr="00593A5F" w:rsidRDefault="00C764DE" w:rsidP="00C764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33C479F" w14:textId="77777777" w:rsidR="00C764DE" w:rsidRPr="00593A5F" w:rsidRDefault="00C764DE" w:rsidP="00C764DE">
      <w:pPr>
        <w:spacing w:after="0" w:line="276" w:lineRule="auto"/>
        <w:jc w:val="both"/>
        <w:rPr>
          <w:rFonts w:ascii="Verdana" w:eastAsia="Calibri" w:hAnsi="Verdana" w:cs="Arial"/>
          <w:color w:val="7030A0"/>
          <w:lang w:val="es-ES"/>
        </w:rPr>
      </w:pPr>
    </w:p>
    <w:p w14:paraId="2A946D10" w14:textId="77777777" w:rsidR="00C764DE" w:rsidRDefault="00C764DE" w:rsidP="00C764D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B28D189" w14:textId="77777777" w:rsidR="00C764DE" w:rsidRPr="008305C9" w:rsidRDefault="00C764DE" w:rsidP="00C764DE">
      <w:pPr>
        <w:spacing w:after="0" w:line="276" w:lineRule="auto"/>
        <w:jc w:val="both"/>
        <w:rPr>
          <w:rFonts w:ascii="Verdana" w:eastAsia="Calibri" w:hAnsi="Verdana" w:cs="Arial"/>
          <w:lang w:val="es-ES"/>
        </w:rPr>
      </w:pPr>
    </w:p>
    <w:p w14:paraId="07FB3CA1" w14:textId="77777777" w:rsidR="00C764DE" w:rsidRPr="008305C9" w:rsidRDefault="00C764DE" w:rsidP="00C764DE">
      <w:pPr>
        <w:spacing w:after="120" w:line="276" w:lineRule="auto"/>
        <w:jc w:val="both"/>
        <w:rPr>
          <w:rFonts w:ascii="Verdana" w:eastAsia="Calibri" w:hAnsi="Verdana" w:cs="Arial"/>
          <w:color w:val="000000"/>
          <w:szCs w:val="24"/>
          <w:lang w:val="es-ES_tradnl" w:eastAsia="es-ES_tradnl"/>
        </w:rPr>
      </w:pPr>
      <w:r w:rsidRPr="008305C9">
        <w:rPr>
          <w:rFonts w:ascii="Verdana" w:eastAsia="Calibri" w:hAnsi="Verdana" w:cs="Arial"/>
          <w:color w:val="000000" w:themeColor="text1"/>
          <w:lang w:val="es-ES_tradnl"/>
        </w:rPr>
        <w:t>E</w:t>
      </w:r>
      <w:r w:rsidRPr="008305C9">
        <w:rPr>
          <w:rFonts w:ascii="Verdana" w:eastAsia="Calibri" w:hAnsi="Verdana" w:cs="Arial"/>
          <w:color w:val="000000"/>
          <w:szCs w:val="24"/>
          <w:lang w:val="es-ES_tradnl" w:eastAsia="es-ES_tradnl"/>
        </w:rPr>
        <w:t>l ordenamiento jurídico</w:t>
      </w:r>
      <w:r>
        <w:rPr>
          <w:rFonts w:ascii="Verdana" w:eastAsia="Calibri" w:hAnsi="Verdana" w:cs="Arial"/>
          <w:color w:val="000000"/>
          <w:szCs w:val="24"/>
          <w:lang w:val="es-ES_tradnl" w:eastAsia="es-ES_tradnl"/>
        </w:rPr>
        <w:t xml:space="preserve"> colombiano</w:t>
      </w:r>
      <w:r w:rsidRPr="008305C9">
        <w:rPr>
          <w:rFonts w:ascii="Verdana" w:eastAsia="Calibri" w:hAnsi="Verdana" w:cs="Arial"/>
          <w:color w:val="000000"/>
          <w:szCs w:val="24"/>
          <w:lang w:val="es-ES_tradnl" w:eastAsia="es-ES_tradnl"/>
        </w:rPr>
        <w:t xml:space="preserve"> no consagra una acepción unívoca de día hábil, pues no existe certidumbre de cuáles son los días de la semana que pueden entenderse como tales. En principio, ello posibilita que las entidades regulen de manera disímil los términos de las diferentes modalidades de selección previstas en el artículo 2 de la Ley 1150 de 2007.  </w:t>
      </w:r>
    </w:p>
    <w:p w14:paraId="4C51A762" w14:textId="3E35D8CC" w:rsidR="00C764DE" w:rsidRPr="008305C9" w:rsidRDefault="00C764DE" w:rsidP="00C764DE">
      <w:pPr>
        <w:spacing w:after="120" w:line="276" w:lineRule="auto"/>
        <w:jc w:val="both"/>
        <w:rPr>
          <w:rFonts w:ascii="Verdana" w:eastAsia="Calibri" w:hAnsi="Verdana" w:cs="Arial"/>
          <w:bCs/>
          <w:lang w:val="es-ES"/>
        </w:rPr>
      </w:pPr>
      <w:r w:rsidRPr="008305C9">
        <w:rPr>
          <w:rFonts w:ascii="Verdana" w:eastAsia="Calibri" w:hAnsi="Verdana" w:cs="Arial"/>
          <w:color w:val="000000"/>
          <w:szCs w:val="24"/>
          <w:lang w:val="es-ES_tradnl" w:eastAsia="es-ES_tradnl"/>
        </w:rPr>
        <w:tab/>
      </w:r>
      <w:r w:rsidRPr="008305C9">
        <w:rPr>
          <w:rFonts w:ascii="Verdana" w:eastAsia="Calibri" w:hAnsi="Verdana" w:cs="Arial"/>
          <w:bCs/>
          <w:lang w:val="es-ES"/>
        </w:rPr>
        <w:t xml:space="preserve">La ausencia de definición legal de día hábil autoriza </w:t>
      </w:r>
      <w:r w:rsidR="004F79E0">
        <w:rPr>
          <w:rFonts w:ascii="Verdana" w:eastAsia="Calibri" w:hAnsi="Verdana" w:cs="Arial"/>
          <w:bCs/>
          <w:lang w:val="es-ES"/>
        </w:rPr>
        <w:t>a</w:t>
      </w:r>
      <w:r w:rsidRPr="008305C9">
        <w:rPr>
          <w:rFonts w:ascii="Verdana" w:eastAsia="Calibri" w:hAnsi="Verdana" w:cs="Arial"/>
          <w:bCs/>
          <w:lang w:val="es-ES"/>
        </w:rPr>
        <w:t xml:space="preserve"> acudir al sentido natural y obvio de la palabra </w:t>
      </w:r>
      <w:r w:rsidRPr="008305C9">
        <w:rPr>
          <w:rFonts w:ascii="Verdana" w:eastAsia="Calibri" w:hAnsi="Verdana" w:cs="Arial"/>
          <w:bCs/>
          <w:i/>
          <w:iCs/>
          <w:lang w:val="es-ES"/>
        </w:rPr>
        <w:t>hábil</w:t>
      </w:r>
      <w:r w:rsidRPr="008305C9">
        <w:rPr>
          <w:rFonts w:ascii="Verdana" w:eastAsia="Calibri" w:hAnsi="Verdana" w:cs="Arial"/>
          <w:bCs/>
          <w:lang w:val="es-ES"/>
        </w:rPr>
        <w:t>,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8305C9">
        <w:rPr>
          <w:rFonts w:ascii="Verdana" w:eastAsia="Calibri" w:hAnsi="Verdana" w:cs="Arial"/>
          <w:bCs/>
          <w:vertAlign w:val="superscript"/>
          <w:lang w:val="es-ES"/>
        </w:rPr>
        <w:footnoteReference w:id="1"/>
      </w:r>
      <w:r w:rsidRPr="008305C9">
        <w:rPr>
          <w:rFonts w:ascii="Verdana" w:eastAsia="Calibri" w:hAnsi="Verdana" w:cs="Arial"/>
          <w:bCs/>
          <w:lang w:val="es-ES"/>
        </w:rPr>
        <w:t>. La última acepción se ajusta al entendimiento normativo. Sin embargo, no es suficiente para absolver lo que se indaga, en la medida en que corresponde al ordenamiento jurídico establecer cuáles son los días válidos para realizar las actuaciones.</w:t>
      </w:r>
    </w:p>
    <w:p w14:paraId="738F2B99" w14:textId="12C7338F" w:rsidR="00C764DE" w:rsidRPr="008305C9" w:rsidRDefault="00C764DE" w:rsidP="00C764DE">
      <w:pPr>
        <w:tabs>
          <w:tab w:val="left" w:pos="0"/>
        </w:tabs>
        <w:spacing w:before="120" w:after="0" w:line="276" w:lineRule="auto"/>
        <w:jc w:val="both"/>
        <w:rPr>
          <w:rFonts w:ascii="Verdana" w:eastAsia="Calibri" w:hAnsi="Verdana" w:cs="Arial"/>
          <w:bCs/>
          <w:lang w:val="es-ES"/>
        </w:rPr>
      </w:pPr>
      <w:r w:rsidRPr="008305C9">
        <w:rPr>
          <w:rFonts w:ascii="Verdana" w:eastAsia="Calibri" w:hAnsi="Verdana" w:cs="Arial"/>
          <w:bCs/>
          <w:lang w:val="es-ES"/>
        </w:rPr>
        <w:lastRenderedPageBreak/>
        <w:tab/>
        <w:t xml:space="preserve">A pesar de no existir una definición legal, existen normas supletivas que tienen como función servir de pautas para el cómputo de </w:t>
      </w:r>
      <w:r w:rsidR="00932FB1">
        <w:rPr>
          <w:rFonts w:ascii="Verdana" w:eastAsia="Calibri" w:hAnsi="Verdana" w:cs="Arial"/>
          <w:bCs/>
          <w:lang w:val="es-ES"/>
        </w:rPr>
        <w:t xml:space="preserve">los </w:t>
      </w:r>
      <w:r w:rsidRPr="008305C9">
        <w:rPr>
          <w:rFonts w:ascii="Verdana" w:eastAsia="Calibri" w:hAnsi="Verdana" w:cs="Arial"/>
          <w:bCs/>
          <w:lang w:val="es-ES"/>
        </w:rPr>
        <w:t>términos previstos en la ley, cuando no ha sido regulado de forma específica por las disposiciones que consagran dichos plazos. Al respecto, los artículos 59 y 62 de la Ley 4 de 1913 disponen que:</w:t>
      </w:r>
    </w:p>
    <w:p w14:paraId="568873FB" w14:textId="77777777" w:rsidR="00C764DE" w:rsidRPr="008305C9" w:rsidRDefault="00C764DE" w:rsidP="00C764DE">
      <w:pPr>
        <w:tabs>
          <w:tab w:val="left" w:pos="0"/>
        </w:tabs>
        <w:spacing w:after="0" w:line="276" w:lineRule="auto"/>
        <w:jc w:val="both"/>
        <w:rPr>
          <w:rFonts w:ascii="Verdana" w:eastAsia="Calibri" w:hAnsi="Verdana" w:cs="Arial"/>
          <w:bCs/>
          <w:lang w:val="es-ES"/>
        </w:rPr>
      </w:pPr>
    </w:p>
    <w:p w14:paraId="4BD6577F" w14:textId="77777777" w:rsidR="00C764DE" w:rsidRPr="008305C9" w:rsidRDefault="00C764DE" w:rsidP="00C764DE">
      <w:pPr>
        <w:tabs>
          <w:tab w:val="left" w:pos="0"/>
        </w:tabs>
        <w:spacing w:after="0" w:line="240" w:lineRule="auto"/>
        <w:ind w:left="709" w:right="709"/>
        <w:jc w:val="both"/>
        <w:rPr>
          <w:rFonts w:ascii="Verdana" w:eastAsia="Batang" w:hAnsi="Verdana" w:cs="Arial"/>
          <w:sz w:val="20"/>
          <w:szCs w:val="20"/>
        </w:rPr>
      </w:pPr>
      <w:r w:rsidRPr="008305C9">
        <w:rPr>
          <w:rFonts w:ascii="Verdana" w:eastAsia="Batang" w:hAnsi="Verdana" w:cs="Arial"/>
          <w:sz w:val="20"/>
          <w:szCs w:val="20"/>
        </w:rPr>
        <w:t>“Artículo 59.</w:t>
      </w:r>
      <w:r w:rsidRPr="008305C9">
        <w:rPr>
          <w:rFonts w:ascii="Verdana" w:eastAsia="Batang" w:hAnsi="Verdana" w:cs="Arial"/>
          <w:b/>
          <w:sz w:val="20"/>
          <w:szCs w:val="20"/>
        </w:rPr>
        <w:t> </w:t>
      </w:r>
      <w:r w:rsidRPr="008305C9">
        <w:rPr>
          <w:rFonts w:ascii="Verdana" w:eastAsia="Batang" w:hAnsi="Verdana" w:cs="Arial"/>
          <w:sz w:val="20"/>
          <w:szCs w:val="20"/>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78E791E1" w14:textId="77777777" w:rsidR="00C764DE" w:rsidRPr="008305C9" w:rsidRDefault="00C764DE" w:rsidP="000A1B1B">
      <w:pPr>
        <w:tabs>
          <w:tab w:val="left" w:pos="0"/>
        </w:tabs>
        <w:spacing w:after="0" w:line="240" w:lineRule="auto"/>
        <w:ind w:left="709" w:right="709"/>
        <w:jc w:val="both"/>
        <w:rPr>
          <w:rFonts w:ascii="Verdana" w:eastAsia="Batang" w:hAnsi="Verdana" w:cs="Arial"/>
          <w:sz w:val="20"/>
          <w:szCs w:val="20"/>
        </w:rPr>
      </w:pPr>
      <w:r w:rsidRPr="008305C9">
        <w:rPr>
          <w:rFonts w:ascii="Verdana" w:eastAsia="Batang" w:hAnsi="Verdana" w:cs="Arial"/>
          <w:sz w:val="20"/>
          <w:szCs w:val="20"/>
        </w:rPr>
        <w:t>[…]</w:t>
      </w:r>
    </w:p>
    <w:p w14:paraId="66D45068" w14:textId="77777777" w:rsidR="00C764DE" w:rsidRPr="008305C9" w:rsidRDefault="00C764DE" w:rsidP="00C764DE">
      <w:pPr>
        <w:tabs>
          <w:tab w:val="left" w:pos="0"/>
        </w:tabs>
        <w:spacing w:after="0" w:line="240" w:lineRule="auto"/>
        <w:ind w:left="709" w:right="709"/>
        <w:jc w:val="both"/>
        <w:rPr>
          <w:rFonts w:ascii="Verdana" w:eastAsia="Batang" w:hAnsi="Verdana" w:cs="Arial"/>
          <w:sz w:val="21"/>
          <w:szCs w:val="21"/>
        </w:rPr>
      </w:pPr>
      <w:r w:rsidRPr="008305C9">
        <w:rPr>
          <w:rFonts w:ascii="Verdana" w:eastAsia="Batang" w:hAnsi="Verdana" w:cs="Arial"/>
          <w:bCs/>
          <w:sz w:val="20"/>
          <w:szCs w:val="20"/>
        </w:rPr>
        <w:t>Artículo 62.</w:t>
      </w:r>
      <w:r w:rsidRPr="008305C9">
        <w:rPr>
          <w:rFonts w:ascii="Verdana" w:eastAsia="Batang" w:hAnsi="Verdana" w:cs="Arial"/>
          <w:sz w:val="20"/>
          <w:szCs w:val="20"/>
        </w:rPr>
        <w:t>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w:t>
      </w:r>
      <w:r w:rsidRPr="008305C9">
        <w:rPr>
          <w:rFonts w:ascii="Verdana" w:eastAsia="Batang" w:hAnsi="Verdana" w:cs="Arial"/>
          <w:sz w:val="21"/>
          <w:szCs w:val="21"/>
        </w:rPr>
        <w:t> </w:t>
      </w:r>
    </w:p>
    <w:p w14:paraId="7A1DA6BB" w14:textId="77777777" w:rsidR="00C764DE" w:rsidRPr="008305C9" w:rsidRDefault="00C764DE" w:rsidP="00C764DE">
      <w:pPr>
        <w:tabs>
          <w:tab w:val="left" w:pos="0"/>
        </w:tabs>
        <w:spacing w:after="0" w:line="276" w:lineRule="auto"/>
        <w:jc w:val="both"/>
        <w:rPr>
          <w:rFonts w:ascii="Verdana" w:eastAsia="Calibri" w:hAnsi="Verdana" w:cs="Arial"/>
          <w:bCs/>
          <w:lang w:val="es-ES"/>
        </w:rPr>
      </w:pPr>
    </w:p>
    <w:p w14:paraId="5E9244ED" w14:textId="1DBF1271" w:rsidR="00C764DE" w:rsidRPr="008305C9" w:rsidRDefault="00C764DE" w:rsidP="00C764DE">
      <w:pPr>
        <w:tabs>
          <w:tab w:val="left" w:pos="0"/>
        </w:tabs>
        <w:spacing w:after="120" w:line="276" w:lineRule="auto"/>
        <w:jc w:val="both"/>
        <w:rPr>
          <w:rFonts w:ascii="Verdana" w:eastAsia="Calibri" w:hAnsi="Verdana" w:cs="Arial"/>
          <w:bCs/>
          <w:lang w:val="es-ES"/>
        </w:rPr>
      </w:pPr>
      <w:r w:rsidRPr="008305C9">
        <w:rPr>
          <w:rFonts w:ascii="Verdana" w:eastAsia="Calibri" w:hAnsi="Verdana" w:cs="Arial"/>
          <w:bCs/>
          <w:lang w:val="es-ES"/>
        </w:rPr>
        <w:tab/>
        <w:t xml:space="preserve">El artículo 59 </w:t>
      </w:r>
      <w:r w:rsidR="00A46A0F" w:rsidRPr="000A1B1B">
        <w:rPr>
          <w:rFonts w:ascii="Verdana" w:eastAsia="Calibri" w:hAnsi="Verdana" w:cs="Arial"/>
          <w:bCs/>
          <w:i/>
          <w:iCs/>
          <w:lang w:val="es-ES"/>
        </w:rPr>
        <w:t>ibidem</w:t>
      </w:r>
      <w:r w:rsidRPr="008305C9">
        <w:rPr>
          <w:rFonts w:ascii="Verdana" w:eastAsia="Calibri" w:hAnsi="Verdana" w:cs="Arial"/>
          <w:bCs/>
          <w:lang w:val="es-ES"/>
        </w:rPr>
        <w:t xml:space="preserve"> establece que los plazos a los que se haga mención en la ley terminan a la medianoche, y que por </w:t>
      </w:r>
      <w:r w:rsidRPr="008305C9">
        <w:rPr>
          <w:rFonts w:ascii="Verdana" w:eastAsia="Calibri" w:hAnsi="Verdana" w:cs="Arial"/>
          <w:bCs/>
          <w:i/>
          <w:iCs/>
          <w:lang w:val="es-ES"/>
        </w:rPr>
        <w:t xml:space="preserve">día </w:t>
      </w:r>
      <w:r w:rsidRPr="008305C9">
        <w:rPr>
          <w:rFonts w:ascii="Verdana" w:eastAsia="Calibri" w:hAnsi="Verdana" w:cs="Arial"/>
          <w:bCs/>
          <w:lang w:val="es-ES"/>
        </w:rPr>
        <w:t xml:space="preserve">se entiende el espacio de veinticuatro horas. Por su parte, el artículo 62 establece que de los plazos de días señalados en la ley se entienden suprimidos los feriados, y que cuando se aluda a </w:t>
      </w:r>
      <w:r w:rsidRPr="000A1B1B">
        <w:rPr>
          <w:rFonts w:ascii="Verdana" w:eastAsia="Calibri" w:hAnsi="Verdana" w:cs="Arial"/>
          <w:i/>
          <w:lang w:val="es-ES"/>
        </w:rPr>
        <w:t>meses</w:t>
      </w:r>
      <w:r w:rsidRPr="008305C9">
        <w:rPr>
          <w:rFonts w:ascii="Verdana" w:eastAsia="Calibri" w:hAnsi="Verdana" w:cs="Arial"/>
          <w:bCs/>
          <w:lang w:val="es-ES"/>
        </w:rPr>
        <w:t xml:space="preserve"> se computarán conforme al calendario, extendiéndose hasta el día hábil siguiente si el mes termina en un día feriado o vacante. Si bien las normas citadas no definen los días hábiles, sí denotan cierta antonimia con los vacantes y feriados, lo cual, en línea con la definición de uso común a la que antes se hacía referencia, indica que por hábiles se entiende los días laborables</w:t>
      </w:r>
      <w:r w:rsidRPr="008305C9">
        <w:rPr>
          <w:rFonts w:ascii="Verdana" w:eastAsia="Calibri" w:hAnsi="Verdana" w:cs="Arial"/>
          <w:bCs/>
          <w:vertAlign w:val="superscript"/>
          <w:lang w:val="es-ES"/>
        </w:rPr>
        <w:footnoteReference w:id="2"/>
      </w:r>
      <w:r w:rsidRPr="008305C9">
        <w:rPr>
          <w:rFonts w:ascii="Verdana" w:eastAsia="Calibri" w:hAnsi="Verdana" w:cs="Arial"/>
          <w:bCs/>
          <w:lang w:val="es-ES"/>
        </w:rPr>
        <w:t>.</w:t>
      </w:r>
    </w:p>
    <w:p w14:paraId="2C6B0EA4" w14:textId="77777777" w:rsidR="00C764DE" w:rsidRPr="008305C9" w:rsidRDefault="00C764DE" w:rsidP="00C764DE">
      <w:pPr>
        <w:tabs>
          <w:tab w:val="left" w:pos="0"/>
        </w:tabs>
        <w:spacing w:after="0" w:line="276" w:lineRule="auto"/>
        <w:jc w:val="both"/>
        <w:rPr>
          <w:rFonts w:ascii="Verdana" w:eastAsia="Calibri" w:hAnsi="Verdana" w:cs="Arial"/>
          <w:bCs/>
          <w:lang w:val="es-ES"/>
        </w:rPr>
      </w:pPr>
      <w:r w:rsidRPr="008305C9">
        <w:rPr>
          <w:rFonts w:ascii="Verdana" w:eastAsia="Calibri" w:hAnsi="Verdana" w:cs="Arial"/>
          <w:bCs/>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Por ejemplo, en la Sentencia del 12 de abril de 1978 explicó lo siguiente:</w:t>
      </w:r>
    </w:p>
    <w:p w14:paraId="221D7B8D" w14:textId="77777777" w:rsidR="00C764DE" w:rsidRPr="008305C9" w:rsidRDefault="00C764DE" w:rsidP="00C764DE">
      <w:pPr>
        <w:tabs>
          <w:tab w:val="left" w:pos="0"/>
        </w:tabs>
        <w:spacing w:after="0" w:line="276" w:lineRule="auto"/>
        <w:ind w:left="709" w:right="709"/>
        <w:jc w:val="both"/>
        <w:rPr>
          <w:rFonts w:ascii="Verdana" w:eastAsia="Batang" w:hAnsi="Verdana" w:cs="Arial"/>
          <w:sz w:val="21"/>
          <w:szCs w:val="21"/>
          <w:lang w:val="es-ES"/>
        </w:rPr>
      </w:pPr>
    </w:p>
    <w:p w14:paraId="60199F1F" w14:textId="77777777" w:rsidR="00C764DE" w:rsidRPr="008305C9" w:rsidRDefault="00C764DE" w:rsidP="00C764DE">
      <w:pPr>
        <w:tabs>
          <w:tab w:val="left" w:pos="0"/>
        </w:tabs>
        <w:spacing w:after="0" w:line="240" w:lineRule="auto"/>
        <w:ind w:left="709" w:right="709"/>
        <w:jc w:val="both"/>
        <w:rPr>
          <w:rFonts w:ascii="Verdana" w:eastAsia="Calibri" w:hAnsi="Verdana" w:cs="Arial"/>
          <w:bCs/>
          <w:sz w:val="20"/>
          <w:szCs w:val="20"/>
          <w:lang w:val="es-ES"/>
        </w:rPr>
      </w:pPr>
      <w:r w:rsidRPr="008305C9">
        <w:rPr>
          <w:rFonts w:ascii="Verdana" w:eastAsia="Batang" w:hAnsi="Verdana" w:cs="Arial"/>
          <w:sz w:val="20"/>
          <w:szCs w:val="20"/>
        </w:rPr>
        <w:lastRenderedPageBreak/>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8305C9">
        <w:rPr>
          <w:rFonts w:ascii="Verdana" w:eastAsia="Batang" w:hAnsi="Verdana" w:cs="Arial"/>
          <w:sz w:val="20"/>
          <w:szCs w:val="20"/>
          <w:vertAlign w:val="superscript"/>
        </w:rPr>
        <w:footnoteReference w:id="3"/>
      </w:r>
      <w:r w:rsidRPr="008305C9">
        <w:rPr>
          <w:rFonts w:ascii="Verdana" w:eastAsia="Batang" w:hAnsi="Verdana" w:cs="Arial"/>
          <w:sz w:val="20"/>
          <w:szCs w:val="20"/>
        </w:rPr>
        <w:t>.</w:t>
      </w:r>
    </w:p>
    <w:p w14:paraId="51FA4C5D" w14:textId="77777777" w:rsidR="00C764DE" w:rsidRPr="008305C9" w:rsidRDefault="00C764DE" w:rsidP="00C764DE">
      <w:pPr>
        <w:tabs>
          <w:tab w:val="left" w:pos="0"/>
        </w:tabs>
        <w:spacing w:after="0" w:line="276" w:lineRule="auto"/>
        <w:jc w:val="both"/>
        <w:rPr>
          <w:rFonts w:ascii="Verdana" w:eastAsia="Calibri" w:hAnsi="Verdana" w:cs="Arial"/>
          <w:bCs/>
          <w:lang w:val="es-ES"/>
        </w:rPr>
      </w:pPr>
    </w:p>
    <w:p w14:paraId="0A507F67" w14:textId="77777777" w:rsidR="00C764DE" w:rsidRPr="008305C9" w:rsidRDefault="00C764DE" w:rsidP="00C764DE">
      <w:pPr>
        <w:tabs>
          <w:tab w:val="left" w:pos="0"/>
        </w:tabs>
        <w:spacing w:after="0" w:line="276" w:lineRule="auto"/>
        <w:jc w:val="both"/>
        <w:rPr>
          <w:rFonts w:ascii="Verdana" w:eastAsia="Calibri" w:hAnsi="Verdana" w:cs="Arial"/>
          <w:bCs/>
          <w:lang w:val="es-ES"/>
        </w:rPr>
      </w:pPr>
      <w:r w:rsidRPr="008305C9">
        <w:rPr>
          <w:rFonts w:ascii="Verdana" w:eastAsia="Calibri" w:hAnsi="Verdana" w:cs="Arial"/>
          <w:bCs/>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4D34504F" w14:textId="77777777" w:rsidR="00C764DE" w:rsidRPr="008305C9" w:rsidRDefault="00C764DE" w:rsidP="00C764DE">
      <w:pPr>
        <w:spacing w:after="0" w:line="276" w:lineRule="auto"/>
        <w:jc w:val="both"/>
        <w:rPr>
          <w:rFonts w:ascii="Verdana" w:eastAsia="Times New Roman" w:hAnsi="Verdana" w:cs="Arial"/>
          <w:sz w:val="21"/>
          <w:szCs w:val="21"/>
          <w:lang w:val="es-ES" w:eastAsia="es-CO"/>
        </w:rPr>
      </w:pPr>
    </w:p>
    <w:p w14:paraId="6AF9C1E2" w14:textId="77777777" w:rsidR="00C764DE" w:rsidRPr="00140E53" w:rsidRDefault="00C764DE" w:rsidP="00F74514">
      <w:pPr>
        <w:spacing w:after="0" w:line="240" w:lineRule="auto"/>
        <w:ind w:left="709" w:right="709"/>
        <w:jc w:val="both"/>
        <w:rPr>
          <w:rFonts w:ascii="Verdana" w:eastAsia="Times New Roman" w:hAnsi="Verdana" w:cs="Arial"/>
          <w:sz w:val="20"/>
          <w:szCs w:val="20"/>
          <w:lang w:eastAsia="es-CO"/>
        </w:rPr>
      </w:pPr>
      <w:r w:rsidRPr="00140E53">
        <w:rPr>
          <w:rFonts w:ascii="Verdana" w:eastAsia="Times New Roman" w:hAnsi="Verdana" w:cs="Arial"/>
          <w:sz w:val="20"/>
          <w:szCs w:val="20"/>
          <w:lang w:eastAsia="es-CO"/>
        </w:rPr>
        <w:t>“[E]l cómputo de días hábiles de que trata el artículo 62 de la Ley 4.ª de 1913 debe realizarse con base en los días laborables forzosos, teniendo por tales todos los del año, excluidos los señalados por la ley como de descanso remunerado.</w:t>
      </w:r>
    </w:p>
    <w:p w14:paraId="226B30E8" w14:textId="77777777" w:rsidR="00F74514" w:rsidRPr="00140E53" w:rsidRDefault="00F74514" w:rsidP="000A1B1B">
      <w:pPr>
        <w:spacing w:after="0" w:line="240" w:lineRule="auto"/>
        <w:ind w:left="709" w:right="709"/>
        <w:jc w:val="both"/>
        <w:rPr>
          <w:rFonts w:ascii="Verdana" w:eastAsia="Times New Roman" w:hAnsi="Verdana" w:cs="Arial"/>
          <w:sz w:val="20"/>
          <w:szCs w:val="20"/>
          <w:lang w:eastAsia="es-CO"/>
        </w:rPr>
      </w:pPr>
    </w:p>
    <w:p w14:paraId="0A8FFD7B" w14:textId="77777777" w:rsidR="00C764DE" w:rsidRPr="008305C9" w:rsidRDefault="00C764DE" w:rsidP="00C764DE">
      <w:pPr>
        <w:spacing w:after="0" w:line="240" w:lineRule="auto"/>
        <w:ind w:left="709" w:right="709"/>
        <w:jc w:val="both"/>
        <w:rPr>
          <w:rFonts w:ascii="Verdana" w:eastAsia="Times New Roman" w:hAnsi="Verdana" w:cs="Arial"/>
          <w:sz w:val="21"/>
          <w:szCs w:val="21"/>
          <w:lang w:eastAsia="es-CO"/>
        </w:rPr>
      </w:pPr>
      <w:r w:rsidRPr="00140E53">
        <w:rPr>
          <w:rFonts w:ascii="Verdana" w:eastAsia="Times New Roman" w:hAnsi="Verdana" w:cs="Arial"/>
          <w:sz w:val="20"/>
          <w:szCs w:val="20"/>
          <w:lang w:eastAsia="es-CO"/>
        </w:rPr>
        <w:t xml:space="preserve">Así, el criterio que determina el carácter de hábil de los días, para el cómputo de los términos legales, es el de su </w:t>
      </w:r>
      <w:proofErr w:type="spellStart"/>
      <w:r w:rsidRPr="00140E53">
        <w:rPr>
          <w:rFonts w:ascii="Verdana" w:eastAsia="Times New Roman" w:hAnsi="Verdana" w:cs="Arial"/>
          <w:sz w:val="20"/>
          <w:szCs w:val="20"/>
          <w:lang w:eastAsia="es-CO"/>
        </w:rPr>
        <w:t>laborabilidad</w:t>
      </w:r>
      <w:proofErr w:type="spellEnd"/>
      <w:r w:rsidRPr="00140E53">
        <w:rPr>
          <w:rFonts w:ascii="Verdana" w:eastAsia="Times New Roman" w:hAnsi="Verdana" w:cs="Arial"/>
          <w:sz w:val="20"/>
          <w:szCs w:val="20"/>
          <w:lang w:eastAsia="es-CO"/>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1.°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140E53">
        <w:rPr>
          <w:rFonts w:ascii="Verdana" w:eastAsia="Times New Roman" w:hAnsi="Verdana" w:cs="Arial"/>
          <w:sz w:val="20"/>
          <w:szCs w:val="20"/>
          <w:vertAlign w:val="superscript"/>
          <w:lang w:eastAsia="es-CO"/>
        </w:rPr>
        <w:footnoteReference w:id="4"/>
      </w:r>
      <w:r w:rsidRPr="00140E53">
        <w:rPr>
          <w:rFonts w:ascii="Verdana" w:eastAsia="Times New Roman" w:hAnsi="Verdana" w:cs="Arial"/>
          <w:sz w:val="20"/>
          <w:szCs w:val="20"/>
          <w:lang w:eastAsia="es-CO"/>
        </w:rPr>
        <w:t>.</w:t>
      </w:r>
    </w:p>
    <w:p w14:paraId="50FC0D42" w14:textId="77777777" w:rsidR="00C764DE" w:rsidRPr="008305C9" w:rsidRDefault="00C764DE" w:rsidP="00C764DE">
      <w:pPr>
        <w:tabs>
          <w:tab w:val="left" w:pos="0"/>
        </w:tabs>
        <w:spacing w:after="0" w:line="276" w:lineRule="auto"/>
        <w:jc w:val="both"/>
        <w:rPr>
          <w:rFonts w:ascii="Verdana" w:eastAsia="Calibri" w:hAnsi="Verdana" w:cs="Arial"/>
          <w:bCs/>
          <w:lang w:val="es-ES"/>
        </w:rPr>
      </w:pPr>
      <w:r w:rsidRPr="008305C9">
        <w:rPr>
          <w:rFonts w:ascii="Verdana" w:eastAsia="Calibri" w:hAnsi="Verdana" w:cs="Arial"/>
          <w:bCs/>
          <w:lang w:val="es-ES"/>
        </w:rPr>
        <w:t xml:space="preserve"> </w:t>
      </w:r>
    </w:p>
    <w:p w14:paraId="709571F1" w14:textId="5AE4BB6E" w:rsidR="00C764DE" w:rsidRPr="008305C9" w:rsidRDefault="00C764DE" w:rsidP="00C764DE">
      <w:pPr>
        <w:tabs>
          <w:tab w:val="left" w:pos="0"/>
        </w:tabs>
        <w:spacing w:after="120" w:line="276" w:lineRule="auto"/>
        <w:jc w:val="both"/>
        <w:rPr>
          <w:rFonts w:ascii="Verdana" w:eastAsia="Calibri" w:hAnsi="Verdana" w:cs="Arial"/>
          <w:bCs/>
          <w:lang w:val="es-ES"/>
        </w:rPr>
      </w:pPr>
      <w:r w:rsidRPr="008305C9">
        <w:rPr>
          <w:rFonts w:ascii="Verdana" w:eastAsia="Calibri" w:hAnsi="Verdana" w:cs="Arial"/>
          <w:bCs/>
          <w:lang w:val="es-ES"/>
        </w:rPr>
        <w:tab/>
        <w:t>De esta manera, los días hábiles se determinan según l</w:t>
      </w:r>
      <w:r w:rsidR="00991DA9">
        <w:rPr>
          <w:rFonts w:ascii="Verdana" w:eastAsia="Calibri" w:hAnsi="Verdana" w:cs="Arial"/>
          <w:bCs/>
          <w:lang w:val="es-ES"/>
        </w:rPr>
        <w:t>o disponga cada</w:t>
      </w:r>
      <w:r w:rsidRPr="008305C9">
        <w:rPr>
          <w:rFonts w:ascii="Verdana" w:eastAsia="Calibri" w:hAnsi="Verdana" w:cs="Arial"/>
          <w:bCs/>
          <w:lang w:val="es-ES"/>
        </w:rPr>
        <w:t xml:space="preserve"> entidad, ya que cada una “[…] establece la jornada laboral, a través de su reglamento interno, dando certeza sobre los días que atienden al público, e </w:t>
      </w:r>
      <w:r w:rsidRPr="008305C9">
        <w:rPr>
          <w:rFonts w:ascii="Verdana" w:eastAsia="Calibri" w:hAnsi="Verdana" w:cs="Arial"/>
          <w:bCs/>
          <w:lang w:val="es-ES"/>
        </w:rPr>
        <w:lastRenderedPageBreak/>
        <w:t>indirectamente definiendo qué día es hábil en determinada institución”</w:t>
      </w:r>
      <w:r w:rsidRPr="008305C9">
        <w:rPr>
          <w:rFonts w:ascii="Verdana" w:eastAsia="Calibri" w:hAnsi="Verdana" w:cs="Arial"/>
          <w:bCs/>
          <w:vertAlign w:val="superscript"/>
          <w:lang w:val="es-ES"/>
        </w:rPr>
        <w:footnoteReference w:id="5"/>
      </w:r>
      <w:r w:rsidR="0066073D">
        <w:rPr>
          <w:rFonts w:ascii="Verdana" w:eastAsia="Calibri" w:hAnsi="Verdana" w:cs="Arial"/>
          <w:bCs/>
          <w:lang w:val="es-ES"/>
        </w:rPr>
        <w:t>. En consecuencia,</w:t>
      </w:r>
      <w:r w:rsidRPr="008305C9">
        <w:rPr>
          <w:rFonts w:ascii="Verdana" w:eastAsia="Calibri" w:hAnsi="Verdana" w:cs="Arial"/>
          <w:bCs/>
          <w:lang w:val="es-ES"/>
        </w:rPr>
        <w:t xml:space="preserve"> lo</w:t>
      </w:r>
      <w:r w:rsidR="0066073D">
        <w:rPr>
          <w:rFonts w:ascii="Verdana" w:eastAsia="Calibri" w:hAnsi="Verdana" w:cs="Arial"/>
          <w:bCs/>
          <w:lang w:val="es-ES"/>
        </w:rPr>
        <w:t>s</w:t>
      </w:r>
      <w:r w:rsidRPr="008305C9">
        <w:rPr>
          <w:rFonts w:ascii="Verdana" w:eastAsia="Calibri" w:hAnsi="Verdana" w:cs="Arial"/>
          <w:bCs/>
          <w:lang w:val="es-ES"/>
        </w:rPr>
        <w:t xml:space="preserv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w:t>
      </w:r>
    </w:p>
    <w:p w14:paraId="30412A01" w14:textId="3CF480E3" w:rsidR="00C764DE" w:rsidRDefault="00C764DE" w:rsidP="00C764DE">
      <w:pPr>
        <w:tabs>
          <w:tab w:val="left" w:pos="0"/>
        </w:tabs>
        <w:spacing w:after="120" w:line="276" w:lineRule="auto"/>
        <w:jc w:val="both"/>
        <w:rPr>
          <w:rFonts w:ascii="Verdana" w:eastAsia="Calibri" w:hAnsi="Verdana" w:cs="Arial"/>
          <w:bCs/>
          <w:lang w:val="es-ES"/>
        </w:rPr>
      </w:pPr>
      <w:r w:rsidRPr="008305C9">
        <w:rPr>
          <w:rFonts w:ascii="Verdana" w:eastAsia="Calibri" w:hAnsi="Verdana" w:cs="Arial"/>
          <w:bCs/>
          <w:lang w:val="es-ES"/>
        </w:rPr>
        <w:tab/>
        <w:t>En todo caso, algunas entidades pueden definir en sus reglamentos internos jornadas laborales distintas, que incluyan el sábado o el domingo</w:t>
      </w:r>
      <w:r w:rsidR="00AF1934">
        <w:rPr>
          <w:rFonts w:ascii="Verdana" w:eastAsia="Calibri" w:hAnsi="Verdana" w:cs="Arial"/>
          <w:bCs/>
          <w:lang w:val="es-ES"/>
        </w:rPr>
        <w:t xml:space="preserve">. Tal es el caso de </w:t>
      </w:r>
      <w:r w:rsidRPr="008305C9">
        <w:rPr>
          <w:rFonts w:ascii="Verdana" w:eastAsia="Calibri" w:hAnsi="Verdana" w:cs="Arial"/>
          <w:bCs/>
          <w:lang w:val="es-ES"/>
        </w:rPr>
        <w:t xml:space="preserve">“los numerosos municipios del país donde la Administración labora los fines de semana ―sábados y domingos― normalmente para brindarle un buen servicio a la población campesina, que </w:t>
      </w:r>
      <w:proofErr w:type="gramStart"/>
      <w:r w:rsidRPr="008305C9">
        <w:rPr>
          <w:rFonts w:ascii="Verdana" w:eastAsia="Calibri" w:hAnsi="Verdana" w:cs="Arial"/>
          <w:bCs/>
          <w:lang w:val="es-ES"/>
        </w:rPr>
        <w:t>acostumbra</w:t>
      </w:r>
      <w:proofErr w:type="gramEnd"/>
      <w:r w:rsidRPr="008305C9">
        <w:rPr>
          <w:rFonts w:ascii="Verdana" w:eastAsia="Calibri" w:hAnsi="Verdana" w:cs="Arial"/>
          <w:bCs/>
          <w:lang w:val="es-ES"/>
        </w:rPr>
        <w:t xml:space="preserve"> ir al casco urbano en estos dos días y descansan un día de la semana ―usualmente el miércoles―”</w:t>
      </w:r>
      <w:r w:rsidRPr="008305C9">
        <w:rPr>
          <w:rFonts w:ascii="Verdana" w:eastAsia="Calibri" w:hAnsi="Verdana" w:cs="Arial"/>
          <w:bCs/>
          <w:vertAlign w:val="superscript"/>
          <w:lang w:val="es-ES"/>
        </w:rPr>
        <w:footnoteReference w:id="6"/>
      </w:r>
      <w:r w:rsidRPr="008305C9">
        <w:rPr>
          <w:rFonts w:ascii="Verdana" w:eastAsia="Calibri" w:hAnsi="Verdana" w:cs="Arial"/>
          <w:bCs/>
          <w:lang w:val="es-ES"/>
        </w:rPr>
        <w:t xml:space="preserve">, ejemplo donde los días laborables o hábiles son todos los de la semana, con excepción del miércoles. En conclusión, respecto </w:t>
      </w:r>
      <w:r w:rsidR="00C7312B">
        <w:rPr>
          <w:rFonts w:ascii="Verdana" w:eastAsia="Calibri" w:hAnsi="Verdana" w:cs="Arial"/>
          <w:bCs/>
          <w:lang w:val="es-ES"/>
        </w:rPr>
        <w:t>de</w:t>
      </w:r>
      <w:r w:rsidRPr="008305C9">
        <w:rPr>
          <w:rFonts w:ascii="Verdana" w:eastAsia="Calibri" w:hAnsi="Verdana" w:cs="Arial"/>
          <w:bCs/>
          <w:lang w:val="es-ES"/>
        </w:rPr>
        <w:t xml:space="preserve">l cómputo de los términos </w:t>
      </w:r>
      <w:r w:rsidR="00C7312B">
        <w:rPr>
          <w:rFonts w:ascii="Verdana" w:eastAsia="Calibri" w:hAnsi="Verdana" w:cs="Arial"/>
          <w:bCs/>
          <w:lang w:val="es-ES"/>
        </w:rPr>
        <w:t xml:space="preserve">señalados </w:t>
      </w:r>
      <w:r w:rsidRPr="008305C9">
        <w:rPr>
          <w:rFonts w:ascii="Verdana" w:eastAsia="Calibri" w:hAnsi="Verdana" w:cs="Arial"/>
          <w:bCs/>
          <w:lang w:val="es-ES"/>
        </w:rPr>
        <w:t>en días hábiles propios de los procesos de selección, esto implica que deberán transcurrir dentro de los días definidos por cada entidad estatal como laborables en su correspondiente reglamento o manual de funciones.</w:t>
      </w:r>
    </w:p>
    <w:p w14:paraId="4EF54127" w14:textId="77777777" w:rsidR="00C764DE" w:rsidRDefault="00C764DE" w:rsidP="00C764DE">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t xml:space="preserve">En los días que cada entidad estime hábiles, el artículo 2 del Decreto Ley 1876 de 1970 obliga a entidades como los </w:t>
      </w:r>
      <w:r w:rsidRPr="00562BA7">
        <w:rPr>
          <w:rFonts w:ascii="Verdana" w:eastAsia="Calibri" w:hAnsi="Verdana" w:cs="Arial"/>
          <w:bCs/>
          <w:lang w:val="es-ES"/>
        </w:rPr>
        <w:t>Ministerios, Departamentos Administrativos, Superintendencias y Establecimientos Públicos</w:t>
      </w:r>
      <w:r>
        <w:rPr>
          <w:rFonts w:ascii="Verdana" w:eastAsia="Calibri" w:hAnsi="Verdana" w:cs="Arial"/>
          <w:bCs/>
          <w:lang w:val="es-ES"/>
        </w:rPr>
        <w:t xml:space="preserve"> a establecer “[…] </w:t>
      </w:r>
      <w:r w:rsidRPr="006D08D7">
        <w:rPr>
          <w:rFonts w:ascii="Verdana" w:eastAsia="Calibri" w:hAnsi="Verdana" w:cs="Arial"/>
          <w:bCs/>
          <w:lang w:val="es-ES"/>
        </w:rPr>
        <w:t>el horario de atención al público, los sistemas de registro de las horas de entradas y de salida, las sanciones por ausencias o retardos, los procedimientos para el otorgamiento de permisos y las demás disposiciones a que hubiere lugar sobre la materia, todo de conformidad con las normas legales vigentes sobre el particular</w:t>
      </w:r>
      <w:r>
        <w:rPr>
          <w:rFonts w:ascii="Verdana" w:eastAsia="Calibri" w:hAnsi="Verdana" w:cs="Arial"/>
          <w:bCs/>
          <w:lang w:val="es-ES"/>
        </w:rPr>
        <w:t xml:space="preserve"> […]”. Asimismo, conforme al artículo 3 </w:t>
      </w:r>
      <w:r w:rsidRPr="005442E8">
        <w:rPr>
          <w:rFonts w:ascii="Verdana" w:eastAsia="Calibri" w:hAnsi="Verdana" w:cs="Arial"/>
          <w:bCs/>
          <w:i/>
          <w:iCs/>
          <w:lang w:val="es-ES"/>
        </w:rPr>
        <w:t>ibidem</w:t>
      </w:r>
      <w:r>
        <w:rPr>
          <w:rFonts w:ascii="Verdana" w:eastAsia="Calibri" w:hAnsi="Verdana" w:cs="Arial"/>
          <w:bCs/>
          <w:lang w:val="es-ES"/>
        </w:rPr>
        <w:t xml:space="preserve">, también “[…] </w:t>
      </w:r>
      <w:r w:rsidRPr="005161F0">
        <w:rPr>
          <w:rFonts w:ascii="Verdana" w:eastAsia="Calibri" w:hAnsi="Verdana" w:cs="Arial"/>
          <w:bCs/>
          <w:lang w:val="es-ES"/>
        </w:rPr>
        <w:t>se establecerán las normas que han de regir para efectos de contar los términos que corren contra los particulares o contra organismos administrativos en los asuntos que tramita o de que conoce la respectiva entidad</w:t>
      </w:r>
      <w:r>
        <w:rPr>
          <w:rFonts w:ascii="Verdana" w:eastAsia="Calibri" w:hAnsi="Verdana" w:cs="Arial"/>
          <w:bCs/>
          <w:lang w:val="es-ES"/>
        </w:rPr>
        <w:t xml:space="preserve"> […]”. Por lo demás, en los términos del artículo 7.3 de la Ley 1437 de 2011 todas autoridades deben “</w:t>
      </w:r>
      <w:r w:rsidRPr="005B0D5F">
        <w:rPr>
          <w:rFonts w:ascii="Verdana" w:eastAsia="Calibri" w:hAnsi="Verdana" w:cs="Arial"/>
          <w:bCs/>
          <w:lang w:val="es-ES"/>
        </w:rPr>
        <w:t>Garantizar atención personal al público, como mínimo durante cuarenta (40) horas a la semana, las cuales se distribuirán en horarios que satisfagan las necesidades del servicio</w:t>
      </w:r>
      <w:r>
        <w:rPr>
          <w:rFonts w:ascii="Verdana" w:eastAsia="Calibri" w:hAnsi="Verdana" w:cs="Arial"/>
          <w:bCs/>
          <w:lang w:val="es-ES"/>
        </w:rPr>
        <w:t>”.</w:t>
      </w:r>
    </w:p>
    <w:p w14:paraId="68F1B621" w14:textId="77777777" w:rsidR="00D750A1" w:rsidRDefault="00C764DE" w:rsidP="00F74514">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lastRenderedPageBreak/>
        <w:tab/>
        <w:t xml:space="preserve">Lo anterior no obsta para que, por necesidades del servicio, la entidad realice adelante trámites contractuales fuera de los días y horarios descritos en los párrafos precedentes. Para estos efectos, en ausencia de norma expresa, la Agencia estima que la competencia no se suspende en los días inhábiles ni en horas ajenas a la jornada de atención al público. Ello no es más que el desarrollo del principio de celeridad en las actuaciones administrativas, pues “[…] </w:t>
      </w:r>
      <w:r w:rsidRPr="005B0D5F">
        <w:rPr>
          <w:rFonts w:ascii="Verdana" w:eastAsia="Calibri" w:hAnsi="Verdana" w:cs="Arial"/>
          <w:bCs/>
          <w:lang w:val="es-ES"/>
        </w:rPr>
        <w:t>las autoridades impulsarán oficiosamente los procedimientos, e incentivarán el uso de las tecnologías de la información y las comunicaciones, a efectos de que los procedimientos se adelanten con diligencia, dentro de los términos legales y sin dilaciones injustificadas</w:t>
      </w:r>
      <w:r>
        <w:rPr>
          <w:rFonts w:ascii="Verdana" w:eastAsia="Calibri" w:hAnsi="Verdana" w:cs="Arial"/>
          <w:bCs/>
          <w:lang w:val="es-ES"/>
        </w:rPr>
        <w:t>” –artículo 3.13 de la Ley 1437 de 2011–</w:t>
      </w:r>
      <w:r w:rsidRPr="005B0D5F">
        <w:rPr>
          <w:rFonts w:ascii="Verdana" w:eastAsia="Calibri" w:hAnsi="Verdana" w:cs="Arial"/>
          <w:bCs/>
          <w:lang w:val="es-ES"/>
        </w:rPr>
        <w:t>.</w:t>
      </w:r>
      <w:r>
        <w:rPr>
          <w:rFonts w:ascii="Verdana" w:eastAsia="Calibri" w:hAnsi="Verdana" w:cs="Arial"/>
          <w:bCs/>
          <w:lang w:val="es-ES"/>
        </w:rPr>
        <w:t xml:space="preserve"> </w:t>
      </w:r>
    </w:p>
    <w:p w14:paraId="31D15860" w14:textId="6DC36AF9" w:rsidR="00C764DE" w:rsidRPr="00E4549A" w:rsidRDefault="00D750A1" w:rsidP="00C764DE">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r>
      <w:r w:rsidR="00C764DE">
        <w:rPr>
          <w:rFonts w:ascii="Verdana" w:eastAsia="Calibri" w:hAnsi="Verdana" w:cs="Arial"/>
          <w:bCs/>
          <w:lang w:val="es-ES"/>
        </w:rPr>
        <w:t>Además, el artículo 25.4 de la Ley 80 de 1993 establece como parte el principio de economía la idea de que “</w:t>
      </w:r>
      <w:r w:rsidR="00C764DE" w:rsidRPr="00312258">
        <w:rPr>
          <w:rFonts w:ascii="Verdana" w:eastAsia="Calibri" w:hAnsi="Verdana" w:cs="Arial"/>
          <w:bCs/>
          <w:lang w:val="es-ES"/>
        </w:rPr>
        <w:t>Los trámites se adelantarán con austeridad de tiempo, medios y gastos y se impedirán las dilaciones y los retardos en la ejecución del contrato</w:t>
      </w:r>
      <w:r w:rsidR="00C764DE">
        <w:rPr>
          <w:rFonts w:ascii="Verdana" w:eastAsia="Calibri" w:hAnsi="Verdana" w:cs="Arial"/>
          <w:bCs/>
          <w:lang w:val="es-ES"/>
        </w:rPr>
        <w:t>”</w:t>
      </w:r>
      <w:r w:rsidR="00C764DE" w:rsidRPr="00312258">
        <w:rPr>
          <w:rFonts w:ascii="Verdana" w:eastAsia="Calibri" w:hAnsi="Verdana" w:cs="Arial"/>
          <w:bCs/>
          <w:lang w:val="es-ES"/>
        </w:rPr>
        <w:t xml:space="preserve">. </w:t>
      </w:r>
      <w:r w:rsidR="00C764DE">
        <w:rPr>
          <w:rFonts w:ascii="Verdana" w:eastAsia="Calibri" w:hAnsi="Verdana" w:cs="Arial"/>
          <w:bCs/>
          <w:lang w:val="es-ES"/>
        </w:rPr>
        <w:t xml:space="preserve">Por ello, dentro del cronograma del proceso de selección y siempre que no se vulneren derechos de los interesados, es posible que las entidades adelanten gestiones de ordenación del gasto como la expedición de </w:t>
      </w:r>
      <w:proofErr w:type="spellStart"/>
      <w:r w:rsidR="00C764DE">
        <w:rPr>
          <w:rFonts w:ascii="Verdana" w:eastAsia="Calibri" w:hAnsi="Verdana" w:cs="Arial"/>
          <w:bCs/>
          <w:lang w:val="es-ES"/>
        </w:rPr>
        <w:t>CDPs</w:t>
      </w:r>
      <w:proofErr w:type="spellEnd"/>
      <w:r w:rsidR="00C764DE">
        <w:rPr>
          <w:rFonts w:ascii="Verdana" w:eastAsia="Calibri" w:hAnsi="Verdana" w:cs="Arial"/>
          <w:bCs/>
          <w:lang w:val="es-ES"/>
        </w:rPr>
        <w:t xml:space="preserve"> o la aprobación pólizas, contratos y pagos en el SECOP fuera de los días y horas mencionados </w:t>
      </w:r>
      <w:r w:rsidR="00C764DE" w:rsidRPr="008453D9">
        <w:rPr>
          <w:rFonts w:ascii="Verdana" w:eastAsia="Calibri" w:hAnsi="Verdana" w:cs="Arial"/>
          <w:bCs/>
          <w:i/>
          <w:iCs/>
          <w:lang w:val="es-ES"/>
        </w:rPr>
        <w:t>ut supra</w:t>
      </w:r>
      <w:r w:rsidR="00C764DE">
        <w:rPr>
          <w:rFonts w:ascii="Verdana" w:eastAsia="Calibri" w:hAnsi="Verdana" w:cs="Arial"/>
          <w:bCs/>
          <w:lang w:val="es-ES"/>
        </w:rPr>
        <w:t xml:space="preserve">.   </w:t>
      </w:r>
    </w:p>
    <w:p w14:paraId="4738213C" w14:textId="77777777" w:rsidR="00C764DE" w:rsidRDefault="00C764DE" w:rsidP="00C764DE">
      <w:pPr>
        <w:widowControl w:val="0"/>
        <w:autoSpaceDE w:val="0"/>
        <w:autoSpaceDN w:val="0"/>
        <w:spacing w:after="120" w:line="276" w:lineRule="auto"/>
        <w:ind w:firstLine="708"/>
        <w:jc w:val="both"/>
        <w:rPr>
          <w:rFonts w:ascii="Verdana" w:hAnsi="Verdana" w:cs="Arial"/>
          <w:lang w:eastAsia="es-ES"/>
        </w:rPr>
      </w:pP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F5FC3C7" w14:textId="77777777" w:rsidR="00C764DE" w:rsidRPr="00301910" w:rsidRDefault="00C764DE" w:rsidP="00C764DE">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6539F8">
        <w:rPr>
          <w:rFonts w:ascii="Verdana" w:hAnsi="Verdana" w:cs="Arial"/>
          <w:lang w:eastAsia="es-ES"/>
        </w:rPr>
        <w:lastRenderedPageBreak/>
        <w:t>gestión contractual, sin que sea atribución de Colombia Compra Eficiente validar sus actuaciones</w:t>
      </w:r>
      <w:r w:rsidRPr="00301910">
        <w:rPr>
          <w:rFonts w:ascii="Verdana" w:hAnsi="Verdana" w:cs="Arial"/>
          <w:lang w:eastAsia="es-ES"/>
        </w:rPr>
        <w:t>.</w:t>
      </w:r>
    </w:p>
    <w:p w14:paraId="27E67FFD" w14:textId="77777777" w:rsidR="00C764DE" w:rsidRPr="00182C89" w:rsidRDefault="00C764DE" w:rsidP="00C764DE">
      <w:pPr>
        <w:tabs>
          <w:tab w:val="left" w:pos="709"/>
        </w:tabs>
        <w:spacing w:after="0" w:line="276" w:lineRule="auto"/>
        <w:jc w:val="both"/>
        <w:rPr>
          <w:rFonts w:ascii="Verdana" w:eastAsia="Calibri" w:hAnsi="Verdana" w:cs="Arial"/>
          <w:color w:val="000000" w:themeColor="text1"/>
        </w:rPr>
      </w:pPr>
    </w:p>
    <w:p w14:paraId="50C8C674" w14:textId="77777777" w:rsidR="00C764DE" w:rsidRPr="00AE65D5" w:rsidRDefault="00C764DE" w:rsidP="00C764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1723D29" w14:textId="77777777" w:rsidR="00C764DE" w:rsidRPr="00593A5F" w:rsidRDefault="00C764DE" w:rsidP="00C764D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64DE" w:rsidRPr="002407CE" w14:paraId="3BF40583" w14:textId="77777777" w:rsidTr="00FB11F2">
        <w:trPr>
          <w:trHeight w:val="870"/>
          <w:jc w:val="center"/>
        </w:trPr>
        <w:tc>
          <w:tcPr>
            <w:tcW w:w="8647" w:type="dxa"/>
          </w:tcPr>
          <w:p w14:paraId="56A132BF" w14:textId="77777777" w:rsidR="00C764DE" w:rsidRDefault="00C764DE" w:rsidP="00083C5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 de 1913, artículos 59 y 62.</w:t>
            </w:r>
          </w:p>
          <w:p w14:paraId="2D8560B4" w14:textId="77777777" w:rsidR="00D750A1" w:rsidRPr="00F74514" w:rsidRDefault="00D750A1" w:rsidP="000A1B1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74514">
              <w:rPr>
                <w:rFonts w:ascii="Verdana" w:hAnsi="Verdana" w:cs="Arial"/>
              </w:rPr>
              <w:t>Ley 80 de 1993, artículo 25.</w:t>
            </w:r>
          </w:p>
          <w:p w14:paraId="0124B5F6" w14:textId="77777777" w:rsidR="00C764DE" w:rsidRDefault="00C764DE" w:rsidP="00083C5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1150 de 2007, artículo 2. </w:t>
            </w:r>
          </w:p>
          <w:p w14:paraId="6323F014" w14:textId="77777777" w:rsidR="00C764DE" w:rsidRDefault="00C764DE" w:rsidP="00083C5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3 y 7.</w:t>
            </w:r>
          </w:p>
          <w:p w14:paraId="74BE19E3" w14:textId="77777777" w:rsidR="00C764DE" w:rsidRPr="00144294" w:rsidRDefault="00C764DE" w:rsidP="00FB11F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Decreto Ley 1876 de 1970, artículos 2 y 3.</w:t>
            </w:r>
          </w:p>
        </w:tc>
      </w:tr>
    </w:tbl>
    <w:p w14:paraId="1B844996" w14:textId="77777777" w:rsidR="00C764DE" w:rsidRPr="002407CE" w:rsidRDefault="00C764DE" w:rsidP="00C764DE">
      <w:pPr>
        <w:widowControl w:val="0"/>
        <w:autoSpaceDE w:val="0"/>
        <w:autoSpaceDN w:val="0"/>
        <w:spacing w:after="0" w:line="276" w:lineRule="auto"/>
        <w:jc w:val="both"/>
        <w:rPr>
          <w:rFonts w:ascii="Verdana" w:hAnsi="Verdana" w:cs="Arial"/>
        </w:rPr>
      </w:pPr>
    </w:p>
    <w:p w14:paraId="3D07AE8C" w14:textId="77777777" w:rsidR="00C764DE" w:rsidRPr="00593A5F" w:rsidRDefault="00C764DE" w:rsidP="00C764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AC00D65" w14:textId="77777777" w:rsidR="00C764DE" w:rsidRPr="00593A5F" w:rsidRDefault="00C764DE" w:rsidP="00C764DE">
      <w:pPr>
        <w:widowControl w:val="0"/>
        <w:autoSpaceDE w:val="0"/>
        <w:autoSpaceDN w:val="0"/>
        <w:spacing w:after="0" w:line="276" w:lineRule="auto"/>
        <w:jc w:val="both"/>
        <w:rPr>
          <w:rFonts w:ascii="Verdana" w:hAnsi="Verdana" w:cs="Arial"/>
        </w:rPr>
      </w:pPr>
    </w:p>
    <w:p w14:paraId="521AC2E2" w14:textId="77777777" w:rsidR="00933CDE" w:rsidRDefault="00C764DE" w:rsidP="00C764DE">
      <w:pPr>
        <w:widowControl w:val="0"/>
        <w:autoSpaceDE w:val="0"/>
        <w:autoSpaceDN w:val="0"/>
        <w:spacing w:after="0" w:line="276" w:lineRule="auto"/>
        <w:jc w:val="both"/>
        <w:rPr>
          <w:rStyle w:val="normaltextrun"/>
          <w:rFonts w:ascii="Verdana" w:hAnsi="Verdana" w:cs="Arial"/>
          <w:shd w:val="clear" w:color="auto" w:fill="FFFFFF"/>
        </w:rPr>
      </w:pPr>
      <w:r w:rsidRPr="005344DB">
        <w:rPr>
          <w:rStyle w:val="normaltextrun"/>
          <w:rFonts w:ascii="Verdana" w:hAnsi="Verdana" w:cs="Arial"/>
          <w:shd w:val="clear" w:color="auto" w:fill="FFFFFF"/>
        </w:rPr>
        <w:t xml:space="preserve">Esta Subdirección se ha pronunciado sobre </w:t>
      </w:r>
      <w:r w:rsidRPr="001439BA">
        <w:rPr>
          <w:rStyle w:val="normaltextrun"/>
          <w:rFonts w:ascii="Verdana" w:hAnsi="Verdana" w:cs="Arial"/>
          <w:shd w:val="clear" w:color="auto" w:fill="FFFFFF"/>
        </w:rPr>
        <w:t>sobre el cómputo de días hábiles en el marco de procesos de selección, en los conceptos C-135 del 28 de marzo de 2022, C-271 del 4 de mayo de 2022, C-604 de 26 de junio de 2025, C-1179 del 01 de octubre de 2025</w:t>
      </w:r>
      <w:r>
        <w:rPr>
          <w:rStyle w:val="normaltextrun"/>
          <w:rFonts w:ascii="Verdana" w:hAnsi="Verdana" w:cs="Arial"/>
          <w:shd w:val="clear" w:color="auto" w:fill="FFFFFF"/>
        </w:rPr>
        <w:t xml:space="preserve"> y C-1850 del 9 de enero de 2026</w:t>
      </w:r>
      <w:r>
        <w:rPr>
          <w:rFonts w:ascii="Verdana" w:eastAsia="Calibri"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p>
    <w:p w14:paraId="562948B4" w14:textId="77777777" w:rsidR="00933CDE" w:rsidRDefault="00933CDE" w:rsidP="00C764DE">
      <w:pPr>
        <w:widowControl w:val="0"/>
        <w:autoSpaceDE w:val="0"/>
        <w:autoSpaceDN w:val="0"/>
        <w:spacing w:after="0" w:line="276" w:lineRule="auto"/>
        <w:jc w:val="both"/>
        <w:rPr>
          <w:rStyle w:val="normaltextrun"/>
          <w:rFonts w:ascii="Verdana" w:hAnsi="Verdana" w:cs="Arial"/>
          <w:shd w:val="clear" w:color="auto" w:fill="FFFFFF"/>
        </w:rPr>
      </w:pPr>
    </w:p>
    <w:p w14:paraId="5C8DE0E2" w14:textId="77777777" w:rsidR="00933CDE" w:rsidRDefault="00933CDE" w:rsidP="00933CDE">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49F9340A" w14:textId="77777777" w:rsidR="00933CDE" w:rsidRDefault="00933CDE" w:rsidP="00933CDE">
      <w:pPr>
        <w:shd w:val="clear" w:color="auto" w:fill="FFFFFF"/>
        <w:spacing w:after="0" w:line="276" w:lineRule="auto"/>
        <w:jc w:val="both"/>
        <w:rPr>
          <w:rFonts w:ascii="Verdana" w:hAnsi="Verdana"/>
          <w:color w:val="000000"/>
          <w:u w:val="single"/>
        </w:rPr>
      </w:pPr>
    </w:p>
    <w:p w14:paraId="784E39B9" w14:textId="77777777" w:rsidR="00933CDE" w:rsidRPr="0038088D" w:rsidRDefault="00933CDE" w:rsidP="00933CD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w:t>
      </w:r>
      <w:r w:rsidRPr="00116940">
        <w:rPr>
          <w:rFonts w:ascii="Verdana" w:hAnsi="Verdana"/>
        </w:rPr>
        <w:lastRenderedPageBreak/>
        <w:t xml:space="preserve">peticiones o solicitudes, así como para brindar el apoyo que se requiera en el marco de nuestras funciones a través de nuestros diferentes canales de </w:t>
      </w:r>
      <w:r w:rsidRPr="0038088D">
        <w:rPr>
          <w:rFonts w:ascii="Verdana" w:hAnsi="Verdana"/>
        </w:rPr>
        <w:t xml:space="preserve">atención: </w:t>
      </w:r>
    </w:p>
    <w:p w14:paraId="6C096318" w14:textId="77777777" w:rsidR="00933CDE" w:rsidRPr="0038088D" w:rsidRDefault="00933CDE" w:rsidP="00933CDE">
      <w:pPr>
        <w:spacing w:after="0"/>
        <w:jc w:val="both"/>
        <w:rPr>
          <w:rFonts w:ascii="Verdana" w:hAnsi="Verdana"/>
        </w:rPr>
      </w:pPr>
    </w:p>
    <w:p w14:paraId="3F2B7758" w14:textId="77777777" w:rsidR="00933CDE" w:rsidRPr="0038088D" w:rsidRDefault="00933CDE" w:rsidP="00933CDE">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018E4CE7" w14:textId="77777777" w:rsidR="00933CDE" w:rsidRPr="0038088D" w:rsidRDefault="00933CDE" w:rsidP="00933CDE">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4B28FCE7" w14:textId="77777777" w:rsidR="00933CDE" w:rsidRPr="0038088D" w:rsidRDefault="00933CDE" w:rsidP="00933CD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7E7B1297" w14:textId="77777777" w:rsidR="00933CDE" w:rsidRPr="0038088D" w:rsidRDefault="00933CDE" w:rsidP="00933CD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52852D01" w14:textId="77777777" w:rsidR="00933CDE" w:rsidRPr="0038088D" w:rsidRDefault="00933CDE" w:rsidP="00933CDE">
      <w:pPr>
        <w:spacing w:after="0" w:line="240" w:lineRule="auto"/>
        <w:ind w:left="720"/>
        <w:jc w:val="both"/>
        <w:rPr>
          <w:rFonts w:ascii="Verdana" w:hAnsi="Verdana"/>
        </w:rPr>
      </w:pPr>
    </w:p>
    <w:p w14:paraId="5A1C6CD5" w14:textId="77777777" w:rsidR="00933CDE" w:rsidRPr="0038088D" w:rsidRDefault="00933CDE" w:rsidP="00933CDE">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F880FAF" w14:textId="77777777" w:rsidR="00933CDE" w:rsidRPr="0038088D" w:rsidRDefault="00933CDE" w:rsidP="00933CDE">
      <w:pPr>
        <w:spacing w:after="0" w:line="240" w:lineRule="auto"/>
        <w:rPr>
          <w:rFonts w:ascii="Verdana" w:hAnsi="Verdana"/>
        </w:rPr>
      </w:pPr>
    </w:p>
    <w:p w14:paraId="71CE5A0E" w14:textId="77777777" w:rsidR="00933CDE" w:rsidRPr="0038088D" w:rsidRDefault="00933CDE" w:rsidP="00933CDE">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1461AEBE" w14:textId="77777777" w:rsidR="00933CDE" w:rsidRPr="00116940" w:rsidRDefault="00933CDE" w:rsidP="00933CDE">
      <w:pPr>
        <w:spacing w:after="0" w:line="240" w:lineRule="auto"/>
        <w:jc w:val="both"/>
        <w:rPr>
          <w:rFonts w:ascii="Verdana" w:hAnsi="Verdana"/>
        </w:rPr>
      </w:pPr>
    </w:p>
    <w:p w14:paraId="027978D5" w14:textId="77777777" w:rsidR="00933CDE" w:rsidRPr="00116940" w:rsidRDefault="00933CDE" w:rsidP="00933CD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91D33A3" w14:textId="77777777" w:rsidR="00933CDE" w:rsidRPr="00116940" w:rsidRDefault="00933CDE" w:rsidP="00933CD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4CEC20B" w14:textId="3A7F474B" w:rsidR="00C764DE" w:rsidRPr="00933CDE" w:rsidRDefault="00933CDE" w:rsidP="000A1B1B">
      <w:pPr>
        <w:spacing w:after="0" w:line="240" w:lineRule="auto"/>
        <w:jc w:val="both"/>
        <w:rPr>
          <w:rStyle w:val="normaltextrun"/>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r w:rsidRPr="004A73EC">
        <w:rPr>
          <w:rStyle w:val="normaltextrun"/>
          <w:rFonts w:ascii="Verdana" w:hAnsi="Verdana" w:cs="Arial"/>
          <w:color w:val="FF0000"/>
          <w:shd w:val="clear" w:color="auto" w:fill="FFFFFF"/>
          <w:lang w:val="es-ES_tradnl"/>
        </w:rPr>
        <w:t xml:space="preserve">     </w:t>
      </w:r>
      <w:r w:rsidR="00C764DE" w:rsidRPr="008D0AB0">
        <w:rPr>
          <w:rStyle w:val="normaltextrun"/>
          <w:rFonts w:ascii="Verdana" w:hAnsi="Verdana" w:cs="Arial"/>
          <w:shd w:val="clear" w:color="auto" w:fill="FFFFFF"/>
        </w:rPr>
        <w:t xml:space="preserve"> </w:t>
      </w:r>
      <w:r w:rsidR="00C764DE">
        <w:rPr>
          <w:rStyle w:val="normaltextrun"/>
          <w:rFonts w:ascii="Verdana" w:hAnsi="Verdana" w:cs="Arial"/>
          <w:color w:val="FF0000"/>
          <w:shd w:val="clear" w:color="auto" w:fill="FFFFFF"/>
          <w:lang w:val="es-ES"/>
        </w:rPr>
        <w:t xml:space="preserve"> </w:t>
      </w:r>
    </w:p>
    <w:p w14:paraId="71E9591E" w14:textId="484EB8E7" w:rsidR="00C764DE" w:rsidRPr="009C4035" w:rsidRDefault="00C764DE" w:rsidP="00C764DE">
      <w:pPr>
        <w:widowControl w:val="0"/>
        <w:autoSpaceDE w:val="0"/>
        <w:autoSpaceDN w:val="0"/>
        <w:spacing w:after="0" w:line="276" w:lineRule="auto"/>
        <w:jc w:val="both"/>
        <w:rPr>
          <w:rFonts w:ascii="Verdana" w:hAnsi="Verdana" w:cs="Arial"/>
          <w:color w:val="FF0000"/>
          <w:shd w:val="clear" w:color="auto" w:fill="FFFFFF"/>
          <w:lang w:val="es-ES_tradnl"/>
        </w:rPr>
      </w:pPr>
    </w:p>
    <w:p w14:paraId="200CB95B" w14:textId="77777777" w:rsidR="00C764DE" w:rsidRPr="00593A5F" w:rsidRDefault="00C764DE" w:rsidP="00C764D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32F894A" w14:textId="77777777" w:rsidR="00C764DE" w:rsidRPr="00593A5F" w:rsidRDefault="00C764DE" w:rsidP="00C764DE">
      <w:pPr>
        <w:widowControl w:val="0"/>
        <w:autoSpaceDE w:val="0"/>
        <w:autoSpaceDN w:val="0"/>
        <w:spacing w:after="0" w:line="276" w:lineRule="auto"/>
        <w:jc w:val="both"/>
        <w:rPr>
          <w:rFonts w:ascii="Verdana" w:hAnsi="Verdana" w:cs="Arial"/>
        </w:rPr>
      </w:pPr>
    </w:p>
    <w:p w14:paraId="71B29C52" w14:textId="77777777" w:rsidR="00C764DE" w:rsidRPr="00593A5F" w:rsidRDefault="00C764DE" w:rsidP="000A1B1B">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C23D7B8" w14:textId="0CEC99DD" w:rsidR="00C764DE" w:rsidRPr="00593A5F" w:rsidRDefault="008C6AB2" w:rsidP="00C764DE">
      <w:pPr>
        <w:spacing w:line="276" w:lineRule="auto"/>
        <w:jc w:val="center"/>
        <w:rPr>
          <w:rFonts w:ascii="Verdana" w:hAnsi="Verdana" w:cs="Arial"/>
          <w:color w:val="000000"/>
          <w:lang w:val="es-ES_tradnl" w:eastAsia="es-CO"/>
        </w:rPr>
      </w:pPr>
      <w:r>
        <w:rPr>
          <w:noProof/>
        </w:rPr>
        <w:drawing>
          <wp:inline distT="0" distB="0" distL="0" distR="0" wp14:anchorId="6BD76616" wp14:editId="417439A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64DE" w:rsidRPr="00593A5F" w14:paraId="6C282E15" w14:textId="77777777" w:rsidTr="00FB11F2">
        <w:trPr>
          <w:trHeight w:val="315"/>
        </w:trPr>
        <w:tc>
          <w:tcPr>
            <w:tcW w:w="893" w:type="dxa"/>
            <w:vAlign w:val="center"/>
            <w:hideMark/>
          </w:tcPr>
          <w:p w14:paraId="36179745" w14:textId="77777777" w:rsidR="00C764DE" w:rsidRPr="003751C7" w:rsidRDefault="00C764DE" w:rsidP="00FB11F2">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4212FB6C" w14:textId="77777777" w:rsidR="00C764DE" w:rsidRPr="00254A7A" w:rsidRDefault="00C764DE" w:rsidP="00FB11F2">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D443167" w14:textId="77777777" w:rsidR="00C764DE" w:rsidRPr="00254A7A" w:rsidRDefault="00C764DE" w:rsidP="00FB11F2">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764DE" w:rsidRPr="00593A5F" w14:paraId="54A14A04" w14:textId="77777777" w:rsidTr="00FB11F2">
        <w:trPr>
          <w:trHeight w:val="330"/>
        </w:trPr>
        <w:tc>
          <w:tcPr>
            <w:tcW w:w="893" w:type="dxa"/>
            <w:vAlign w:val="center"/>
            <w:hideMark/>
          </w:tcPr>
          <w:p w14:paraId="5C7CCA99" w14:textId="77777777" w:rsidR="00C764DE" w:rsidRPr="003751C7" w:rsidRDefault="00C764DE" w:rsidP="00FB11F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A7529DF" w14:textId="77777777" w:rsidR="00C764DE" w:rsidRPr="003E7BB2" w:rsidRDefault="00C764DE" w:rsidP="00FB11F2">
            <w:pPr>
              <w:pStyle w:val="paragraph"/>
              <w:spacing w:after="0"/>
              <w:contextualSpacing/>
              <w:textAlignment w:val="baseline"/>
              <w:rPr>
                <w:rStyle w:val="normaltextrun"/>
                <w:rFonts w:ascii="Verdana" w:hAnsi="Verdana" w:cs="Arial"/>
                <w:sz w:val="16"/>
                <w:szCs w:val="16"/>
                <w:lang w:val="es-ES_tradnl"/>
              </w:rPr>
            </w:pPr>
            <w:r w:rsidRPr="003E7BB2">
              <w:rPr>
                <w:rStyle w:val="normaltextrun"/>
                <w:rFonts w:ascii="Verdana" w:hAnsi="Verdana" w:cs="Arial"/>
                <w:sz w:val="16"/>
                <w:szCs w:val="16"/>
                <w:lang w:val="es-ES_tradnl"/>
              </w:rPr>
              <w:t>Diana Lucia Saavedra Castañeda</w:t>
            </w:r>
          </w:p>
          <w:p w14:paraId="3BD42521" w14:textId="77777777" w:rsidR="00C764DE" w:rsidRPr="00254A7A" w:rsidRDefault="00C764DE" w:rsidP="00FB11F2">
            <w:pPr>
              <w:pStyle w:val="paragraph"/>
              <w:spacing w:before="0" w:beforeAutospacing="0" w:after="0" w:afterAutospacing="0"/>
              <w:contextualSpacing/>
              <w:textAlignment w:val="baseline"/>
              <w:rPr>
                <w:rFonts w:ascii="Verdana" w:hAnsi="Verdana" w:cs="Segoe UI"/>
                <w:sz w:val="16"/>
                <w:szCs w:val="16"/>
              </w:rPr>
            </w:pPr>
            <w:r w:rsidRPr="003E7BB2">
              <w:rPr>
                <w:rStyle w:val="normaltextrun"/>
                <w:rFonts w:ascii="Verdana" w:hAnsi="Verdana" w:cs="Arial"/>
                <w:sz w:val="16"/>
                <w:szCs w:val="16"/>
                <w:lang w:val="es-ES_tradnl"/>
              </w:rPr>
              <w:t>Contratista de la Subdirección de Gestión Contractual</w:t>
            </w:r>
          </w:p>
        </w:tc>
      </w:tr>
      <w:tr w:rsidR="00C764DE" w:rsidRPr="00593A5F" w14:paraId="0A8454B9" w14:textId="77777777" w:rsidTr="00FB11F2">
        <w:trPr>
          <w:trHeight w:val="300"/>
        </w:trPr>
        <w:tc>
          <w:tcPr>
            <w:tcW w:w="893" w:type="dxa"/>
            <w:vAlign w:val="center"/>
          </w:tcPr>
          <w:p w14:paraId="4AA14BED" w14:textId="77777777" w:rsidR="00C764DE" w:rsidRPr="003751C7" w:rsidRDefault="00C764DE" w:rsidP="00FB11F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EAA016" w14:textId="77777777" w:rsidR="00C764DE" w:rsidRPr="001133D2" w:rsidRDefault="00C764DE" w:rsidP="00FB11F2">
            <w:pPr>
              <w:contextualSpacing/>
              <w:rPr>
                <w:rFonts w:ascii="Verdana" w:eastAsia="Calibri" w:hAnsi="Verdana" w:cs="Arial"/>
                <w:sz w:val="16"/>
                <w:szCs w:val="16"/>
                <w:lang w:val="es-ES" w:eastAsia="es-ES"/>
              </w:rPr>
            </w:pPr>
            <w:r w:rsidRPr="41FB5716">
              <w:rPr>
                <w:rFonts w:ascii="Verdana" w:eastAsia="Calibri" w:hAnsi="Verdana" w:cs="Arial"/>
                <w:sz w:val="16"/>
                <w:szCs w:val="16"/>
                <w:lang w:val="es-ES" w:eastAsia="es-ES"/>
              </w:rPr>
              <w:t xml:space="preserve">Carolina Quintero </w:t>
            </w:r>
            <w:proofErr w:type="spellStart"/>
            <w:r w:rsidRPr="41FB5716">
              <w:rPr>
                <w:rFonts w:ascii="Verdana" w:eastAsia="Calibri" w:hAnsi="Verdana" w:cs="Arial"/>
                <w:sz w:val="16"/>
                <w:szCs w:val="16"/>
                <w:lang w:val="es-ES" w:eastAsia="es-ES"/>
              </w:rPr>
              <w:t>Gacharná</w:t>
            </w:r>
            <w:proofErr w:type="spellEnd"/>
          </w:p>
          <w:p w14:paraId="4C0C2F6D" w14:textId="77777777" w:rsidR="00C764DE" w:rsidRPr="003751C7" w:rsidRDefault="00C764DE" w:rsidP="00FB11F2">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0F293BF4" w14:textId="21A5BBB7" w:rsidR="00127233" w:rsidRPr="00D04035" w:rsidRDefault="00127233" w:rsidP="00D04035"/>
    <w:sectPr w:rsidR="00127233" w:rsidRPr="00D0403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B80DB" w14:textId="77777777" w:rsidR="006D488F" w:rsidRDefault="006D488F" w:rsidP="004A1847">
      <w:pPr>
        <w:spacing w:after="0" w:line="240" w:lineRule="auto"/>
      </w:pPr>
      <w:r>
        <w:separator/>
      </w:r>
    </w:p>
  </w:endnote>
  <w:endnote w:type="continuationSeparator" w:id="0">
    <w:p w14:paraId="2873EA5B" w14:textId="77777777" w:rsidR="006D488F" w:rsidRDefault="006D488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684DE" w14:textId="77777777" w:rsidR="006D488F" w:rsidRDefault="006D488F" w:rsidP="004A1847">
      <w:pPr>
        <w:spacing w:after="0" w:line="240" w:lineRule="auto"/>
      </w:pPr>
      <w:r>
        <w:separator/>
      </w:r>
    </w:p>
  </w:footnote>
  <w:footnote w:type="continuationSeparator" w:id="0">
    <w:p w14:paraId="2A819691" w14:textId="77777777" w:rsidR="006D488F" w:rsidRDefault="006D488F" w:rsidP="004A1847">
      <w:pPr>
        <w:spacing w:after="0" w:line="240" w:lineRule="auto"/>
      </w:pPr>
      <w:r>
        <w:continuationSeparator/>
      </w:r>
    </w:p>
  </w:footnote>
  <w:footnote w:id="1">
    <w:p w14:paraId="542F7BDD" w14:textId="77777777" w:rsidR="00C764DE" w:rsidRPr="00C63189" w:rsidRDefault="00C764DE" w:rsidP="00C764DE">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w:t>
      </w:r>
      <w:r w:rsidRPr="00C63189">
        <w:rPr>
          <w:rFonts w:ascii="Verdana" w:hAnsi="Verdana" w:cs="Arial"/>
          <w:color w:val="000000"/>
          <w:sz w:val="16"/>
          <w:szCs w:val="16"/>
          <w:lang w:val="es-CO"/>
        </w:rPr>
        <w:t xml:space="preserve">Real Academia Española de la Lengua. Diccionario de la Lengua Española. Edición Tricentenario. Disponible en: </w:t>
      </w:r>
      <w:hyperlink r:id="rId1" w:history="1">
        <w:r w:rsidRPr="00C63189">
          <w:rPr>
            <w:rStyle w:val="Hipervnculo"/>
            <w:rFonts w:ascii="Verdana" w:hAnsi="Verdana" w:cs="Arial"/>
            <w:color w:val="000000"/>
            <w:sz w:val="16"/>
            <w:szCs w:val="16"/>
          </w:rPr>
          <w:t>https://dle.rae.es/h%C3%A1bil</w:t>
        </w:r>
      </w:hyperlink>
      <w:r w:rsidRPr="00C63189">
        <w:rPr>
          <w:rStyle w:val="Hipervnculo"/>
          <w:rFonts w:ascii="Verdana" w:hAnsi="Verdana" w:cs="Arial"/>
          <w:color w:val="000000"/>
          <w:sz w:val="16"/>
          <w:szCs w:val="16"/>
        </w:rPr>
        <w:t xml:space="preserve">. </w:t>
      </w:r>
      <w:r w:rsidRPr="00C63189">
        <w:rPr>
          <w:rFonts w:ascii="Verdana" w:hAnsi="Verdana" w:cs="Arial"/>
          <w:color w:val="000000"/>
          <w:sz w:val="16"/>
          <w:szCs w:val="16"/>
          <w:lang w:val="es-CO"/>
        </w:rPr>
        <w:t xml:space="preserve"> </w:t>
      </w:r>
    </w:p>
  </w:footnote>
  <w:footnote w:id="2">
    <w:p w14:paraId="3CAFAADF" w14:textId="77777777" w:rsidR="00C764DE" w:rsidRPr="00C63189" w:rsidRDefault="00C764DE" w:rsidP="00C764DE">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MARÍN CORTÉS, Fabián G. Derecho de petición y procedimiento administrativo. 1</w:t>
      </w:r>
      <w:r w:rsidRPr="00C63189">
        <w:rPr>
          <w:rFonts w:ascii="Verdana" w:hAnsi="Verdana" w:cs="Arial"/>
          <w:color w:val="000000"/>
          <w:sz w:val="16"/>
          <w:szCs w:val="16"/>
          <w:u w:val="single"/>
          <w:vertAlign w:val="superscript"/>
        </w:rPr>
        <w:t>a</w:t>
      </w:r>
      <w:r w:rsidRPr="00C63189">
        <w:rPr>
          <w:rFonts w:ascii="Verdana" w:hAnsi="Verdana" w:cs="Arial"/>
          <w:color w:val="000000"/>
          <w:sz w:val="16"/>
          <w:szCs w:val="16"/>
        </w:rPr>
        <w:t xml:space="preserve"> ed. Medellín: Librería Jurídica Sánchez R Ltda y Centro de Estudios de Derecho Administrativo, 2017. p. 417. </w:t>
      </w:r>
    </w:p>
  </w:footnote>
  <w:footnote w:id="3">
    <w:p w14:paraId="3A3B01D5" w14:textId="77777777" w:rsidR="00C764DE" w:rsidRPr="00C63189" w:rsidRDefault="00C764DE" w:rsidP="00C764DE">
      <w:pPr>
        <w:pStyle w:val="Textonotapie"/>
        <w:ind w:firstLine="708"/>
        <w:jc w:val="both"/>
        <w:rPr>
          <w:rFonts w:ascii="Verdana" w:hAnsi="Verdana" w:cs="Arial"/>
          <w:color w:val="000000"/>
          <w:sz w:val="16"/>
          <w:szCs w:val="16"/>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w:t>
      </w:r>
      <w:r w:rsidRPr="00C63189">
        <w:rPr>
          <w:rFonts w:ascii="Verdana" w:hAnsi="Verdana" w:cs="Arial"/>
          <w:color w:val="000000"/>
          <w:sz w:val="16"/>
          <w:szCs w:val="16"/>
          <w:lang w:val="es-CO"/>
        </w:rPr>
        <w:t xml:space="preserve">Consejo de Estado. </w:t>
      </w:r>
      <w:r w:rsidRPr="00C63189">
        <w:rPr>
          <w:rFonts w:ascii="Verdana" w:hAnsi="Verdana" w:cs="Arial"/>
          <w:color w:val="000000"/>
          <w:sz w:val="16"/>
          <w:szCs w:val="16"/>
        </w:rPr>
        <w:t>Sala Plena de lo Contencioso Administrativo. Sentencia del 12 de abril de 1978. C.P. Carlos Portocarrero Mutis. Exp. 355.</w:t>
      </w:r>
    </w:p>
  </w:footnote>
  <w:footnote w:id="4">
    <w:p w14:paraId="04C21389" w14:textId="77777777" w:rsidR="00C764DE" w:rsidRPr="00C63189" w:rsidRDefault="00C764DE" w:rsidP="00C764DE">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Consejo de Estado. Sección Cuarta. Auto del 26 de febrero de 1983.</w:t>
      </w:r>
    </w:p>
  </w:footnote>
  <w:footnote w:id="5">
    <w:p w14:paraId="2474295E" w14:textId="77777777" w:rsidR="00C764DE" w:rsidRPr="00C63189" w:rsidRDefault="00C764DE" w:rsidP="00C764DE">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MARÍN CORTÉS, Fabián G. Derecho de petición y procedimiento administrativo. 1</w:t>
      </w:r>
      <w:r w:rsidRPr="00C63189">
        <w:rPr>
          <w:rFonts w:ascii="Verdana" w:hAnsi="Verdana" w:cs="Arial"/>
          <w:color w:val="000000"/>
          <w:sz w:val="16"/>
          <w:szCs w:val="16"/>
          <w:u w:val="single"/>
          <w:vertAlign w:val="superscript"/>
        </w:rPr>
        <w:t>a</w:t>
      </w:r>
      <w:r w:rsidRPr="00C63189">
        <w:rPr>
          <w:rFonts w:ascii="Verdana" w:hAnsi="Verdana" w:cs="Arial"/>
          <w:color w:val="000000"/>
          <w:sz w:val="16"/>
          <w:szCs w:val="16"/>
        </w:rPr>
        <w:t xml:space="preserve"> ed. Medellín: Librería Jurídica Sánchez R Ltda y Centro de Estudios de Derecho Administrativo, 2017. p. 417.  </w:t>
      </w:r>
    </w:p>
  </w:footnote>
  <w:footnote w:id="6">
    <w:p w14:paraId="1763B047" w14:textId="77777777" w:rsidR="00C764DE" w:rsidRPr="00C63189" w:rsidRDefault="00C764DE" w:rsidP="00C764DE">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w:t>
      </w:r>
      <w:r w:rsidRPr="00C63189">
        <w:rPr>
          <w:rFonts w:ascii="Verdana" w:hAnsi="Verdana" w:cs="Arial"/>
          <w:i/>
          <w:iCs/>
          <w:color w:val="000000"/>
          <w:sz w:val="16"/>
          <w:szCs w:val="16"/>
        </w:rPr>
        <w:t>Ibídem.</w:t>
      </w:r>
      <w:r w:rsidRPr="00C63189">
        <w:rPr>
          <w:rFonts w:ascii="Verdana" w:hAnsi="Verdana" w:cs="Arial"/>
          <w:color w:val="000000"/>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8A5"/>
    <w:rsid w:val="00046945"/>
    <w:rsid w:val="00061B2A"/>
    <w:rsid w:val="00082362"/>
    <w:rsid w:val="00083C58"/>
    <w:rsid w:val="00091F78"/>
    <w:rsid w:val="000A1B1B"/>
    <w:rsid w:val="000A65D3"/>
    <w:rsid w:val="000A683E"/>
    <w:rsid w:val="000B19B9"/>
    <w:rsid w:val="000D0334"/>
    <w:rsid w:val="000D5DA7"/>
    <w:rsid w:val="000F6486"/>
    <w:rsid w:val="00116940"/>
    <w:rsid w:val="00121E4F"/>
    <w:rsid w:val="00125105"/>
    <w:rsid w:val="00127233"/>
    <w:rsid w:val="0015699B"/>
    <w:rsid w:val="001A33BF"/>
    <w:rsid w:val="001D7CFC"/>
    <w:rsid w:val="001E0270"/>
    <w:rsid w:val="001E4177"/>
    <w:rsid w:val="001F0B24"/>
    <w:rsid w:val="001F7DC6"/>
    <w:rsid w:val="00205B4E"/>
    <w:rsid w:val="0022400B"/>
    <w:rsid w:val="002421BB"/>
    <w:rsid w:val="0025796E"/>
    <w:rsid w:val="002707A2"/>
    <w:rsid w:val="00273560"/>
    <w:rsid w:val="002862D2"/>
    <w:rsid w:val="002951A0"/>
    <w:rsid w:val="002962BC"/>
    <w:rsid w:val="002A093D"/>
    <w:rsid w:val="002A0DD0"/>
    <w:rsid w:val="002A49AC"/>
    <w:rsid w:val="002A64FD"/>
    <w:rsid w:val="002A6C5A"/>
    <w:rsid w:val="002B15D0"/>
    <w:rsid w:val="002C1467"/>
    <w:rsid w:val="002C7A84"/>
    <w:rsid w:val="002E2BF8"/>
    <w:rsid w:val="002E4FD9"/>
    <w:rsid w:val="003027E8"/>
    <w:rsid w:val="0030657A"/>
    <w:rsid w:val="00322A85"/>
    <w:rsid w:val="00324168"/>
    <w:rsid w:val="00330834"/>
    <w:rsid w:val="003448F4"/>
    <w:rsid w:val="00350FDE"/>
    <w:rsid w:val="00356C72"/>
    <w:rsid w:val="00374F5E"/>
    <w:rsid w:val="00377E3E"/>
    <w:rsid w:val="003A779E"/>
    <w:rsid w:val="003D0F4D"/>
    <w:rsid w:val="003D5B0D"/>
    <w:rsid w:val="003E0499"/>
    <w:rsid w:val="003E216C"/>
    <w:rsid w:val="003E4F80"/>
    <w:rsid w:val="003E6439"/>
    <w:rsid w:val="003F3073"/>
    <w:rsid w:val="003F3941"/>
    <w:rsid w:val="00406575"/>
    <w:rsid w:val="00414C74"/>
    <w:rsid w:val="0042722E"/>
    <w:rsid w:val="0044528D"/>
    <w:rsid w:val="00466E39"/>
    <w:rsid w:val="004839FE"/>
    <w:rsid w:val="004A1847"/>
    <w:rsid w:val="004A305D"/>
    <w:rsid w:val="004A799D"/>
    <w:rsid w:val="004D763D"/>
    <w:rsid w:val="004E0F58"/>
    <w:rsid w:val="004F21C4"/>
    <w:rsid w:val="004F685F"/>
    <w:rsid w:val="004F79E0"/>
    <w:rsid w:val="005566E8"/>
    <w:rsid w:val="00573DD0"/>
    <w:rsid w:val="00574867"/>
    <w:rsid w:val="00591460"/>
    <w:rsid w:val="005A65E0"/>
    <w:rsid w:val="005C3777"/>
    <w:rsid w:val="005C5CDC"/>
    <w:rsid w:val="005D476C"/>
    <w:rsid w:val="006200BF"/>
    <w:rsid w:val="006219F8"/>
    <w:rsid w:val="006302F7"/>
    <w:rsid w:val="00646B9F"/>
    <w:rsid w:val="0066073D"/>
    <w:rsid w:val="00665D70"/>
    <w:rsid w:val="006900D9"/>
    <w:rsid w:val="006D488F"/>
    <w:rsid w:val="00706C16"/>
    <w:rsid w:val="007340C3"/>
    <w:rsid w:val="0075235A"/>
    <w:rsid w:val="00756841"/>
    <w:rsid w:val="007576F8"/>
    <w:rsid w:val="007649AB"/>
    <w:rsid w:val="00771D0C"/>
    <w:rsid w:val="007833AC"/>
    <w:rsid w:val="007B0200"/>
    <w:rsid w:val="007B0956"/>
    <w:rsid w:val="007B268C"/>
    <w:rsid w:val="007B7171"/>
    <w:rsid w:val="007C0C0F"/>
    <w:rsid w:val="007C3DC2"/>
    <w:rsid w:val="007E5497"/>
    <w:rsid w:val="00806F5F"/>
    <w:rsid w:val="00817E65"/>
    <w:rsid w:val="00820278"/>
    <w:rsid w:val="00823450"/>
    <w:rsid w:val="008258C9"/>
    <w:rsid w:val="00844AE9"/>
    <w:rsid w:val="0086439E"/>
    <w:rsid w:val="00867F95"/>
    <w:rsid w:val="008843B6"/>
    <w:rsid w:val="00891928"/>
    <w:rsid w:val="008A446D"/>
    <w:rsid w:val="008B25F1"/>
    <w:rsid w:val="008C6AB2"/>
    <w:rsid w:val="008D180B"/>
    <w:rsid w:val="008E57F5"/>
    <w:rsid w:val="008F0EA7"/>
    <w:rsid w:val="00923EEF"/>
    <w:rsid w:val="00932FB1"/>
    <w:rsid w:val="00933CDE"/>
    <w:rsid w:val="009419F9"/>
    <w:rsid w:val="0095685E"/>
    <w:rsid w:val="00961B09"/>
    <w:rsid w:val="00965334"/>
    <w:rsid w:val="0097093E"/>
    <w:rsid w:val="00991DA9"/>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1A53"/>
    <w:rsid w:val="00A46A0F"/>
    <w:rsid w:val="00AB0ADB"/>
    <w:rsid w:val="00AF1934"/>
    <w:rsid w:val="00B00C0E"/>
    <w:rsid w:val="00B01B1A"/>
    <w:rsid w:val="00B0381D"/>
    <w:rsid w:val="00B13719"/>
    <w:rsid w:val="00B3675D"/>
    <w:rsid w:val="00B44A47"/>
    <w:rsid w:val="00B72CD3"/>
    <w:rsid w:val="00B72FFF"/>
    <w:rsid w:val="00B92018"/>
    <w:rsid w:val="00BC3CC4"/>
    <w:rsid w:val="00BC3D36"/>
    <w:rsid w:val="00BD54A6"/>
    <w:rsid w:val="00BD7F72"/>
    <w:rsid w:val="00BF7425"/>
    <w:rsid w:val="00C04FB3"/>
    <w:rsid w:val="00C11D8B"/>
    <w:rsid w:val="00C15139"/>
    <w:rsid w:val="00C330EB"/>
    <w:rsid w:val="00C50D69"/>
    <w:rsid w:val="00C5365C"/>
    <w:rsid w:val="00C65818"/>
    <w:rsid w:val="00C7312B"/>
    <w:rsid w:val="00C754BE"/>
    <w:rsid w:val="00C764DE"/>
    <w:rsid w:val="00C76B1C"/>
    <w:rsid w:val="00C85210"/>
    <w:rsid w:val="00C877FC"/>
    <w:rsid w:val="00C925AC"/>
    <w:rsid w:val="00CA79EB"/>
    <w:rsid w:val="00CB6357"/>
    <w:rsid w:val="00CC1B26"/>
    <w:rsid w:val="00CF6AFF"/>
    <w:rsid w:val="00D04035"/>
    <w:rsid w:val="00D361FD"/>
    <w:rsid w:val="00D423A2"/>
    <w:rsid w:val="00D44E26"/>
    <w:rsid w:val="00D520D8"/>
    <w:rsid w:val="00D63AC2"/>
    <w:rsid w:val="00D7383B"/>
    <w:rsid w:val="00D746A5"/>
    <w:rsid w:val="00D750A1"/>
    <w:rsid w:val="00D7788A"/>
    <w:rsid w:val="00DA231B"/>
    <w:rsid w:val="00DC39FC"/>
    <w:rsid w:val="00DF5254"/>
    <w:rsid w:val="00E02524"/>
    <w:rsid w:val="00E16408"/>
    <w:rsid w:val="00E20894"/>
    <w:rsid w:val="00E245AB"/>
    <w:rsid w:val="00E2764C"/>
    <w:rsid w:val="00E27F2E"/>
    <w:rsid w:val="00E32D0B"/>
    <w:rsid w:val="00E50AFE"/>
    <w:rsid w:val="00E657E5"/>
    <w:rsid w:val="00E75C92"/>
    <w:rsid w:val="00E771DC"/>
    <w:rsid w:val="00E80391"/>
    <w:rsid w:val="00E8772A"/>
    <w:rsid w:val="00E90F6B"/>
    <w:rsid w:val="00E92C27"/>
    <w:rsid w:val="00EA0E3D"/>
    <w:rsid w:val="00EC38A7"/>
    <w:rsid w:val="00EC51DC"/>
    <w:rsid w:val="00EE1AA8"/>
    <w:rsid w:val="00F23FEA"/>
    <w:rsid w:val="00F31EDC"/>
    <w:rsid w:val="00F462B3"/>
    <w:rsid w:val="00F548C8"/>
    <w:rsid w:val="00F5664F"/>
    <w:rsid w:val="00F666C4"/>
    <w:rsid w:val="00F74514"/>
    <w:rsid w:val="00F76AFC"/>
    <w:rsid w:val="00FA47C0"/>
    <w:rsid w:val="00FB58C6"/>
    <w:rsid w:val="00FB5DD1"/>
    <w:rsid w:val="00FC2B5D"/>
    <w:rsid w:val="00FC322C"/>
    <w:rsid w:val="00FF1449"/>
    <w:rsid w:val="00FF5C04"/>
    <w:rsid w:val="00FF7963"/>
    <w:rsid w:val="071B8F93"/>
    <w:rsid w:val="09908A09"/>
    <w:rsid w:val="0FF4CCA8"/>
    <w:rsid w:val="13CFC91B"/>
    <w:rsid w:val="19A2EC2C"/>
    <w:rsid w:val="2859CA1B"/>
    <w:rsid w:val="32A4F9CF"/>
    <w:rsid w:val="356CEDFD"/>
    <w:rsid w:val="41FB5716"/>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64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64DE"/>
    <w:rPr>
      <w:rFonts w:ascii="Geomanist Light" w:hAnsi="Geomanist Light"/>
      <w:lang w:val="es-ES"/>
    </w:rPr>
  </w:style>
  <w:style w:type="character" w:customStyle="1" w:styleId="s15">
    <w:name w:val="s15"/>
    <w:basedOn w:val="Fuentedeprrafopredeter"/>
    <w:rsid w:val="00C764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7CF1344A-43B7-472E-A8C9-85587267D18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12</Pages>
  <Words>3971</Words>
  <Characters>21841</Characters>
  <Application>Microsoft Office Word</Application>
  <DocSecurity>0</DocSecurity>
  <Lines>182</Lines>
  <Paragraphs>51</Paragraphs>
  <ScaleCrop>false</ScaleCrop>
  <Company/>
  <LinksUpToDate>false</LinksUpToDate>
  <CharactersWithSpaces>25761</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1769523</vt:i4>
      </vt:variant>
      <vt:variant>
        <vt:i4>0</vt:i4>
      </vt:variant>
      <vt:variant>
        <vt:i4>0</vt:i4>
      </vt:variant>
      <vt:variant>
        <vt:i4>5</vt:i4>
      </vt:variant>
      <vt:variant>
        <vt:lpwstr>mailto:lucybeltran1010@gmail.com</vt:lpwstr>
      </vt:variant>
      <vt:variant>
        <vt:lpwstr/>
      </vt:variant>
      <vt:variant>
        <vt:i4>1638409</vt:i4>
      </vt:variant>
      <vt:variant>
        <vt:i4>0</vt:i4>
      </vt:variant>
      <vt:variant>
        <vt:i4>0</vt:i4>
      </vt:variant>
      <vt:variant>
        <vt:i4>5</vt:i4>
      </vt:variant>
      <vt:variant>
        <vt:lpwstr>https://dle.rae.es/h%C3%A1bil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2026-02-04T19:26:00Z</dcterms:created>
  <dcterms:modified xsi:type="dcterms:W3CDTF">2026-02-04T23:30:00Z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