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7C83A" w14:textId="77777777" w:rsidR="002B1874" w:rsidRPr="008E52EB" w:rsidRDefault="002B1874" w:rsidP="003B4B4D">
      <w:pPr>
        <w:contextualSpacing/>
        <w:jc w:val="both"/>
        <w:rPr>
          <w:rFonts w:ascii="Verdana" w:eastAsia="Calibri" w:hAnsi="Verdana" w:cs="Arial"/>
          <w:b/>
          <w:bCs/>
          <w:lang w:val="es-ES" w:eastAsia="es-ES"/>
        </w:rPr>
      </w:pPr>
      <w:r w:rsidRPr="008E52EB">
        <w:rPr>
          <w:rFonts w:ascii="Verdana" w:eastAsia="Calibri" w:hAnsi="Verdana" w:cs="Arial"/>
          <w:b/>
          <w:bCs/>
          <w:lang w:val="es-ES" w:eastAsia="es-ES"/>
        </w:rPr>
        <w:t>LEY DE GARANTÍAS ELECTORALES – Finalidad</w:t>
      </w:r>
    </w:p>
    <w:p w14:paraId="2569152A" w14:textId="77777777" w:rsidR="003B4B4D" w:rsidRPr="003B4B4D" w:rsidRDefault="003B4B4D" w:rsidP="003B4B4D">
      <w:pPr>
        <w:spacing w:after="0" w:line="240" w:lineRule="auto"/>
        <w:contextualSpacing/>
        <w:jc w:val="both"/>
        <w:rPr>
          <w:rFonts w:ascii="Verdana" w:eastAsia="Calibri" w:hAnsi="Verdana" w:cs="Arial"/>
          <w:b/>
          <w:bCs/>
          <w:sz w:val="20"/>
          <w:szCs w:val="20"/>
          <w:lang w:val="es-ES" w:eastAsia="es-ES"/>
        </w:rPr>
      </w:pPr>
    </w:p>
    <w:p w14:paraId="770AFCF7" w14:textId="0121AD9B" w:rsidR="002B1874" w:rsidRDefault="002B1874" w:rsidP="003B4B4D">
      <w:pPr>
        <w:tabs>
          <w:tab w:val="left" w:pos="426"/>
        </w:tabs>
        <w:spacing w:after="0" w:line="240" w:lineRule="auto"/>
        <w:contextualSpacing/>
        <w:jc w:val="both"/>
        <w:rPr>
          <w:rFonts w:ascii="Verdana" w:eastAsia="Calibri" w:hAnsi="Verdana" w:cs="Arial"/>
          <w:sz w:val="20"/>
          <w:szCs w:val="20"/>
          <w:lang w:val="es-ES"/>
        </w:rPr>
      </w:pPr>
      <w:r w:rsidRPr="003B4B4D">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3B4B4D">
        <w:rPr>
          <w:rFonts w:ascii="Verdana" w:eastAsia="Calibri" w:hAnsi="Verdana" w:cs="Arial"/>
          <w:sz w:val="20"/>
          <w:szCs w:val="20"/>
          <w:lang w:val="es-ES"/>
        </w:rPr>
        <w:t xml:space="preserve"> </w:t>
      </w:r>
    </w:p>
    <w:p w14:paraId="30FFA00C" w14:textId="77777777" w:rsidR="003B4B4D" w:rsidRPr="003B4B4D" w:rsidRDefault="003B4B4D" w:rsidP="003B4B4D">
      <w:pPr>
        <w:tabs>
          <w:tab w:val="left" w:pos="426"/>
        </w:tabs>
        <w:spacing w:after="0" w:line="240" w:lineRule="auto"/>
        <w:contextualSpacing/>
        <w:jc w:val="both"/>
        <w:rPr>
          <w:rFonts w:ascii="Verdana" w:eastAsia="Calibri" w:hAnsi="Verdana" w:cs="Arial"/>
          <w:sz w:val="20"/>
          <w:szCs w:val="20"/>
          <w:lang w:val="es-ES"/>
        </w:rPr>
      </w:pPr>
    </w:p>
    <w:p w14:paraId="66B2DE67" w14:textId="7ED28646" w:rsidR="002B1874" w:rsidRDefault="002B1874" w:rsidP="003B4B4D">
      <w:pPr>
        <w:contextualSpacing/>
        <w:jc w:val="both"/>
        <w:rPr>
          <w:rFonts w:ascii="Verdana" w:eastAsia="Times New Roman" w:hAnsi="Verdana" w:cs="Arial"/>
          <w:sz w:val="20"/>
          <w:szCs w:val="20"/>
          <w:lang w:val="es-ES" w:eastAsia="es-CO"/>
        </w:rPr>
      </w:pPr>
      <w:r w:rsidRPr="003B4B4D">
        <w:rPr>
          <w:rFonts w:ascii="Verdana" w:eastAsia="Calibri" w:hAnsi="Verdana" w:cs="Arial"/>
          <w:sz w:val="20"/>
          <w:szCs w:val="20"/>
          <w:lang w:val="es-ES" w:eastAsia="es-ES"/>
        </w:rPr>
        <w:t xml:space="preserve">[…] </w:t>
      </w:r>
      <w:r w:rsidRPr="003B4B4D">
        <w:rPr>
          <w:rFonts w:ascii="Verdana" w:eastAsia="Times New Roman" w:hAnsi="Verdana" w:cs="Arial"/>
          <w:sz w:val="20"/>
          <w:szCs w:val="20"/>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w:t>
      </w:r>
    </w:p>
    <w:p w14:paraId="6D6E0B62" w14:textId="77777777" w:rsidR="003B4B4D" w:rsidRPr="003B4B4D" w:rsidRDefault="003B4B4D" w:rsidP="003B4B4D">
      <w:pPr>
        <w:spacing w:after="0" w:line="240" w:lineRule="auto"/>
        <w:contextualSpacing/>
        <w:jc w:val="both"/>
        <w:rPr>
          <w:rFonts w:ascii="Verdana" w:eastAsia="Calibri" w:hAnsi="Verdana" w:cs="Arial"/>
          <w:b/>
          <w:bCs/>
          <w:sz w:val="20"/>
          <w:szCs w:val="20"/>
          <w:lang w:val="es-ES" w:eastAsia="es-ES"/>
        </w:rPr>
      </w:pPr>
    </w:p>
    <w:p w14:paraId="7C2AEBBE" w14:textId="77777777" w:rsidR="002B1874" w:rsidRPr="008E52EB" w:rsidRDefault="002B1874" w:rsidP="003B4B4D">
      <w:pPr>
        <w:spacing w:after="0" w:line="240" w:lineRule="auto"/>
        <w:contextualSpacing/>
        <w:jc w:val="both"/>
        <w:rPr>
          <w:rFonts w:ascii="Verdana" w:eastAsia="Calibri" w:hAnsi="Verdana" w:cs="Arial"/>
          <w:b/>
          <w:bCs/>
          <w:lang w:val="es-ES" w:eastAsia="es-ES"/>
        </w:rPr>
      </w:pPr>
      <w:r w:rsidRPr="008E52EB">
        <w:rPr>
          <w:rFonts w:ascii="Verdana" w:eastAsia="Calibri" w:hAnsi="Verdana" w:cs="Arial"/>
          <w:b/>
          <w:bCs/>
          <w:lang w:val="es-ES" w:eastAsia="es-ES"/>
        </w:rPr>
        <w:t>LEY DE GARANTÍAS ELECTORALES ‒ Restricciones ‒ Contratación ‒ Tipos de elección</w:t>
      </w:r>
    </w:p>
    <w:p w14:paraId="1B2F6E65" w14:textId="77777777" w:rsidR="003B4B4D" w:rsidRDefault="003B4B4D" w:rsidP="003B4B4D">
      <w:pPr>
        <w:spacing w:after="0" w:line="240" w:lineRule="auto"/>
        <w:contextualSpacing/>
        <w:jc w:val="both"/>
        <w:rPr>
          <w:rFonts w:ascii="Verdana" w:eastAsia="Calibri" w:hAnsi="Verdana" w:cs="Arial"/>
          <w:sz w:val="20"/>
          <w:szCs w:val="20"/>
          <w:lang w:val="es-ES"/>
        </w:rPr>
      </w:pPr>
    </w:p>
    <w:p w14:paraId="64D41066" w14:textId="557B9576" w:rsidR="002B1874" w:rsidRPr="003B4B4D" w:rsidRDefault="002B1874" w:rsidP="003B4B4D">
      <w:pPr>
        <w:spacing w:after="0" w:line="240" w:lineRule="auto"/>
        <w:contextualSpacing/>
        <w:jc w:val="both"/>
        <w:rPr>
          <w:rFonts w:ascii="Verdana" w:eastAsia="Calibri" w:hAnsi="Verdana" w:cs="Arial"/>
          <w:sz w:val="20"/>
          <w:szCs w:val="20"/>
          <w:lang w:val="es-ES"/>
        </w:rPr>
      </w:pPr>
      <w:r w:rsidRPr="003B4B4D">
        <w:rPr>
          <w:rFonts w:ascii="Verdana" w:eastAsia="Calibri" w:hAnsi="Verdana" w:cs="Arial"/>
          <w:sz w:val="20"/>
          <w:szCs w:val="20"/>
          <w:lang w:val="es-ES"/>
        </w:rPr>
        <w:t xml:space="preserve">Por un lado, el </w:t>
      </w:r>
      <w:r w:rsidRPr="003B4B4D">
        <w:rPr>
          <w:rFonts w:ascii="Verdana" w:eastAsia="Calibri" w:hAnsi="Verdana" w:cs="Arial"/>
          <w:i/>
          <w:iCs/>
          <w:sz w:val="20"/>
          <w:szCs w:val="20"/>
          <w:lang w:val="es-ES"/>
        </w:rPr>
        <w:t xml:space="preserve">artículo 33 </w:t>
      </w:r>
      <w:r w:rsidRPr="003B4B4D">
        <w:rPr>
          <w:rFonts w:ascii="Verdana" w:eastAsia="Calibri" w:hAnsi="Verdana" w:cs="Arial"/>
          <w:sz w:val="20"/>
          <w:szCs w:val="20"/>
          <w:lang w:val="es-ES"/>
        </w:rPr>
        <w:t xml:space="preserve">de la Ley 996 de 2005 prohíbe “[…] la contratación directa por parte de </w:t>
      </w:r>
      <w:r w:rsidRPr="003B4B4D">
        <w:rPr>
          <w:rFonts w:ascii="Verdana" w:eastAsia="Calibri" w:hAnsi="Verdana" w:cs="Arial"/>
          <w:i/>
          <w:iCs/>
          <w:sz w:val="20"/>
          <w:szCs w:val="20"/>
          <w:lang w:val="es-ES"/>
        </w:rPr>
        <w:t>todos los entes del Estado</w:t>
      </w:r>
      <w:r w:rsidRPr="003B4B4D">
        <w:rPr>
          <w:rFonts w:ascii="Verdana" w:eastAsia="Calibri" w:hAnsi="Verdana" w:cs="Arial"/>
          <w:sz w:val="20"/>
          <w:szCs w:val="20"/>
          <w:lang w:val="es-ES"/>
        </w:rPr>
        <w:t xml:space="preserve">” durante los cuatro (4) meses anteriores a las </w:t>
      </w:r>
      <w:r w:rsidRPr="003B4B4D">
        <w:rPr>
          <w:rFonts w:ascii="Verdana" w:eastAsia="Calibri" w:hAnsi="Verdana" w:cs="Arial"/>
          <w:i/>
          <w:iCs/>
          <w:sz w:val="20"/>
          <w:szCs w:val="20"/>
          <w:lang w:val="es-ES"/>
        </w:rPr>
        <w:t>elecciones presidenciales</w:t>
      </w:r>
      <w:r w:rsidRPr="003B4B4D">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3FA3B37" w14:textId="77777777" w:rsidR="003B4B4D" w:rsidRDefault="003B4B4D" w:rsidP="003B4B4D">
      <w:pPr>
        <w:widowControl w:val="0"/>
        <w:autoSpaceDE w:val="0"/>
        <w:autoSpaceDN w:val="0"/>
        <w:spacing w:after="0" w:line="240" w:lineRule="auto"/>
        <w:ind w:right="113"/>
        <w:contextualSpacing/>
        <w:jc w:val="both"/>
        <w:rPr>
          <w:rFonts w:ascii="Verdana" w:eastAsia="Calibri" w:hAnsi="Verdana" w:cs="Arial"/>
          <w:sz w:val="20"/>
          <w:szCs w:val="20"/>
          <w:lang w:val="es-ES"/>
        </w:rPr>
      </w:pPr>
    </w:p>
    <w:p w14:paraId="36861476" w14:textId="040DCFB4" w:rsidR="002B1874" w:rsidRPr="003B4B4D" w:rsidRDefault="002B1874" w:rsidP="003B4B4D">
      <w:pPr>
        <w:widowControl w:val="0"/>
        <w:autoSpaceDE w:val="0"/>
        <w:autoSpaceDN w:val="0"/>
        <w:spacing w:after="0" w:line="240" w:lineRule="auto"/>
        <w:ind w:right="113"/>
        <w:contextualSpacing/>
        <w:jc w:val="both"/>
        <w:rPr>
          <w:rFonts w:ascii="Verdana" w:eastAsia="Arial" w:hAnsi="Verdana" w:cs="Arial"/>
          <w:sz w:val="20"/>
          <w:szCs w:val="20"/>
          <w:lang w:val="es-ES" w:eastAsia="es-ES" w:bidi="es-ES"/>
        </w:rPr>
      </w:pPr>
      <w:r w:rsidRPr="003B4B4D">
        <w:rPr>
          <w:rFonts w:ascii="Verdana" w:eastAsia="Calibri" w:hAnsi="Verdana" w:cs="Arial"/>
          <w:sz w:val="20"/>
          <w:szCs w:val="20"/>
          <w:lang w:val="es-ES"/>
        </w:rPr>
        <w:t xml:space="preserve">Por otro lado, </w:t>
      </w:r>
      <w:r w:rsidRPr="003B4B4D">
        <w:rPr>
          <w:rFonts w:ascii="Verdana" w:eastAsia="Calibri" w:hAnsi="Verdana" w:cs="Arial"/>
          <w:i/>
          <w:iCs/>
          <w:sz w:val="20"/>
          <w:szCs w:val="20"/>
          <w:lang w:val="es-ES"/>
        </w:rPr>
        <w:t xml:space="preserve">el parágrafo del artículo 38 </w:t>
      </w:r>
      <w:r w:rsidRPr="003B4B4D">
        <w:rPr>
          <w:rFonts w:ascii="Verdana" w:eastAsia="Calibri" w:hAnsi="Verdana" w:cs="Arial"/>
          <w:sz w:val="20"/>
          <w:szCs w:val="20"/>
          <w:lang w:val="es-ES"/>
        </w:rPr>
        <w:t xml:space="preserve">de la Ley 996 de 2005 prevé una restricción, aplicable respecto de </w:t>
      </w:r>
      <w:r w:rsidRPr="003B4B4D">
        <w:rPr>
          <w:rFonts w:ascii="Verdana" w:eastAsia="Calibri" w:hAnsi="Verdana" w:cs="Arial"/>
          <w:i/>
          <w:iCs/>
          <w:sz w:val="20"/>
          <w:szCs w:val="20"/>
          <w:lang w:val="es-ES"/>
        </w:rPr>
        <w:t>cualquier tipo de contienda electoral</w:t>
      </w:r>
      <w:r w:rsidRPr="003B4B4D">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B4B4D">
        <w:rPr>
          <w:rFonts w:ascii="Verdana" w:eastAsia="Arial" w:hAnsi="Verdana" w:cs="Arial"/>
          <w:sz w:val="20"/>
          <w:szCs w:val="20"/>
          <w:lang w:val="es-ES" w:eastAsia="es-ES" w:bidi="es-ES"/>
        </w:rPr>
        <w:t xml:space="preserve"> </w:t>
      </w:r>
    </w:p>
    <w:p w14:paraId="68B0E1D1" w14:textId="77777777" w:rsidR="002B1874" w:rsidRPr="003B4B4D" w:rsidRDefault="002B1874" w:rsidP="003B4B4D">
      <w:pPr>
        <w:spacing w:after="0" w:line="240" w:lineRule="auto"/>
        <w:contextualSpacing/>
        <w:jc w:val="both"/>
        <w:rPr>
          <w:rFonts w:ascii="Verdana" w:eastAsia="Calibri" w:hAnsi="Verdana" w:cs="Arial"/>
          <w:b/>
          <w:bCs/>
          <w:sz w:val="20"/>
          <w:szCs w:val="20"/>
          <w:lang w:val="es-ES" w:eastAsia="es-ES"/>
        </w:rPr>
      </w:pPr>
    </w:p>
    <w:p w14:paraId="67B41321" w14:textId="77777777" w:rsidR="002B1874" w:rsidRPr="008E52EB" w:rsidRDefault="002B1874" w:rsidP="003B4B4D">
      <w:pPr>
        <w:spacing w:after="0" w:line="240" w:lineRule="auto"/>
        <w:contextualSpacing/>
        <w:jc w:val="both"/>
        <w:rPr>
          <w:rFonts w:ascii="Verdana" w:eastAsia="Calibri" w:hAnsi="Verdana" w:cs="Arial"/>
          <w:b/>
          <w:bCs/>
          <w:lang w:val="es-ES" w:eastAsia="es-ES"/>
        </w:rPr>
      </w:pPr>
      <w:r w:rsidRPr="008E52EB">
        <w:rPr>
          <w:rFonts w:ascii="Verdana" w:eastAsia="Calibri" w:hAnsi="Verdana" w:cs="Arial"/>
          <w:b/>
          <w:bCs/>
          <w:lang w:val="es-ES" w:eastAsia="es-ES"/>
        </w:rPr>
        <w:t>LEY DE GARANTÍAS ELECTORALES ‒ Artículo 33 ‒ Ámbito material</w:t>
      </w:r>
    </w:p>
    <w:p w14:paraId="301A4A2D" w14:textId="77777777" w:rsidR="003B4B4D" w:rsidRDefault="003B4B4D" w:rsidP="003B4B4D">
      <w:pPr>
        <w:spacing w:after="0" w:line="240" w:lineRule="auto"/>
        <w:contextualSpacing/>
        <w:jc w:val="both"/>
        <w:rPr>
          <w:rFonts w:ascii="Verdana" w:eastAsia="Times New Roman" w:hAnsi="Verdana" w:cs="Arial"/>
          <w:sz w:val="20"/>
          <w:szCs w:val="20"/>
          <w:lang w:val="es-ES"/>
        </w:rPr>
      </w:pPr>
    </w:p>
    <w:p w14:paraId="0C68E3E0" w14:textId="20E5EF4E" w:rsidR="002B1874" w:rsidRPr="003B4B4D" w:rsidRDefault="002B1874" w:rsidP="003B4B4D">
      <w:pPr>
        <w:spacing w:after="0" w:line="240" w:lineRule="auto"/>
        <w:contextualSpacing/>
        <w:jc w:val="both"/>
        <w:rPr>
          <w:rFonts w:ascii="Verdana" w:eastAsia="Times New Roman" w:hAnsi="Verdana" w:cs="Arial"/>
          <w:sz w:val="20"/>
          <w:szCs w:val="20"/>
          <w:lang w:val="es-ES"/>
        </w:rPr>
      </w:pPr>
      <w:r w:rsidRPr="003B4B4D">
        <w:rPr>
          <w:rFonts w:ascii="Verdana" w:eastAsia="Times New Roman" w:hAnsi="Verdana" w:cs="Arial"/>
          <w:sz w:val="20"/>
          <w:szCs w:val="20"/>
          <w:lang w:val="es-ES"/>
        </w:rPr>
        <w:t xml:space="preserve">[…] la restricción aplica, sin perjuicio de las excepciones establecidas en la misma ley, para celebrar </w:t>
      </w:r>
      <w:r w:rsidRPr="003B4B4D">
        <w:rPr>
          <w:rFonts w:ascii="Verdana" w:eastAsia="Times New Roman" w:hAnsi="Verdana" w:cs="Arial"/>
          <w:i/>
          <w:iCs/>
          <w:sz w:val="20"/>
          <w:szCs w:val="20"/>
          <w:lang w:val="es-ES"/>
        </w:rPr>
        <w:t>cualquier contrato de forma directa</w:t>
      </w:r>
      <w:r w:rsidRPr="003B4B4D">
        <w:rPr>
          <w:rFonts w:ascii="Verdana" w:eastAsia="Times New Roman" w:hAnsi="Verdana" w:cs="Arial"/>
          <w:sz w:val="20"/>
          <w:szCs w:val="20"/>
          <w:lang w:val="es-ES"/>
        </w:rPr>
        <w:t xml:space="preserve">,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w:t>
      </w:r>
      <w:r w:rsidRPr="003B4B4D">
        <w:rPr>
          <w:rFonts w:ascii="Verdana" w:eastAsia="Times New Roman" w:hAnsi="Verdana" w:cs="Arial"/>
          <w:sz w:val="20"/>
          <w:szCs w:val="20"/>
          <w:lang w:val="es-ES"/>
        </w:rPr>
        <w:lastRenderedPageBreak/>
        <w:t>preelectoral de que trata la disposición las entidades públicas pueden seguir contratando bajo estos sistemas.</w:t>
      </w:r>
    </w:p>
    <w:p w14:paraId="23D062BE" w14:textId="77777777" w:rsidR="002B1874" w:rsidRPr="003B4B4D" w:rsidRDefault="002B1874" w:rsidP="003B4B4D">
      <w:pPr>
        <w:spacing w:after="0" w:line="240" w:lineRule="auto"/>
        <w:contextualSpacing/>
        <w:jc w:val="both"/>
        <w:rPr>
          <w:rFonts w:ascii="Verdana" w:eastAsia="Calibri" w:hAnsi="Verdana" w:cs="Arial"/>
          <w:b/>
          <w:bCs/>
          <w:sz w:val="20"/>
          <w:szCs w:val="20"/>
          <w:lang w:val="es-ES" w:eastAsia="es-ES"/>
        </w:rPr>
      </w:pPr>
    </w:p>
    <w:p w14:paraId="4E3B7A8F" w14:textId="57F18625" w:rsidR="002B1874" w:rsidRPr="008E52EB" w:rsidRDefault="002B1874" w:rsidP="003B4B4D">
      <w:pPr>
        <w:spacing w:after="0" w:line="240" w:lineRule="auto"/>
        <w:contextualSpacing/>
        <w:jc w:val="both"/>
        <w:rPr>
          <w:rFonts w:ascii="Verdana" w:eastAsia="Calibri" w:hAnsi="Verdana" w:cs="Arial"/>
          <w:b/>
          <w:bCs/>
          <w:lang w:val="es-ES" w:eastAsia="es-ES"/>
        </w:rPr>
      </w:pPr>
      <w:r w:rsidRPr="008E52EB">
        <w:rPr>
          <w:rFonts w:ascii="Verdana" w:eastAsia="Calibri" w:hAnsi="Verdana" w:cs="Arial"/>
          <w:b/>
          <w:bCs/>
          <w:lang w:val="es-ES" w:eastAsia="es-ES"/>
        </w:rPr>
        <w:t xml:space="preserve">LEY DE GARANTÍAS ELECTORALES – Artículo 33 – Excepciones – </w:t>
      </w:r>
      <w:r w:rsidRPr="008E52EB">
        <w:rPr>
          <w:rFonts w:ascii="Verdana" w:eastAsia="Calibri" w:hAnsi="Verdana" w:cs="Arial"/>
          <w:b/>
          <w:bCs/>
          <w:lang w:eastAsia="es-ES"/>
        </w:rPr>
        <w:t>Establecimientos de Sanidad Militar</w:t>
      </w:r>
      <w:r w:rsidRPr="008E52EB">
        <w:rPr>
          <w:rFonts w:ascii="Verdana" w:eastAsia="Calibri" w:hAnsi="Verdana" w:cs="Arial"/>
          <w:b/>
          <w:bCs/>
          <w:lang w:val="es-ES" w:eastAsia="es-ES"/>
        </w:rPr>
        <w:t xml:space="preserve"> </w:t>
      </w:r>
    </w:p>
    <w:p w14:paraId="15431FBE" w14:textId="32466676" w:rsidR="003B4B4D" w:rsidRDefault="003B4B4D" w:rsidP="003B4B4D">
      <w:pPr>
        <w:contextualSpacing/>
        <w:jc w:val="both"/>
        <w:rPr>
          <w:rFonts w:ascii="Verdana" w:eastAsia="Calibri" w:hAnsi="Verdana" w:cs="Arial"/>
          <w:color w:val="000000" w:themeColor="text1"/>
          <w:sz w:val="20"/>
          <w:szCs w:val="20"/>
        </w:rPr>
      </w:pPr>
    </w:p>
    <w:p w14:paraId="1DFB008A" w14:textId="1601321B" w:rsidR="002B1874" w:rsidRPr="00FA6B13" w:rsidRDefault="003B4B4D" w:rsidP="003B4B4D">
      <w:pPr>
        <w:spacing w:after="0" w:line="240" w:lineRule="auto"/>
        <w:contextualSpacing/>
        <w:jc w:val="both"/>
        <w:rPr>
          <w:rFonts w:ascii="Verdana" w:eastAsia="Arial" w:hAnsi="Verdana" w:cs="Arial"/>
          <w:bCs/>
          <w:color w:val="000000" w:themeColor="text1"/>
          <w:sz w:val="20"/>
          <w:szCs w:val="20"/>
          <w:lang w:val="es-ES"/>
        </w:rPr>
      </w:pPr>
      <w:r>
        <w:rPr>
          <w:rFonts w:ascii="Verdana" w:eastAsia="Calibri" w:hAnsi="Verdana" w:cs="Arial"/>
          <w:color w:val="000000" w:themeColor="text1"/>
          <w:sz w:val="20"/>
          <w:szCs w:val="20"/>
        </w:rPr>
        <w:t>[…]</w:t>
      </w:r>
      <w:r w:rsidR="00FA6B13">
        <w:rPr>
          <w:rFonts w:ascii="Verdana" w:eastAsia="Arial" w:hAnsi="Verdana" w:cs="Arial"/>
          <w:bCs/>
          <w:color w:val="000000" w:themeColor="text1"/>
          <w:sz w:val="20"/>
          <w:szCs w:val="20"/>
          <w:lang w:val="es-ES"/>
        </w:rPr>
        <w:t xml:space="preserve"> </w:t>
      </w:r>
      <w:r w:rsidR="002B1874" w:rsidRPr="003B4B4D">
        <w:rPr>
          <w:rFonts w:ascii="Verdana" w:eastAsia="Arial" w:hAnsi="Verdana" w:cs="Arial"/>
          <w:bCs/>
          <w:color w:val="000000" w:themeColor="text1"/>
          <w:sz w:val="20"/>
          <w:szCs w:val="20"/>
          <w:lang w:val="es-ES"/>
        </w:rPr>
        <w:t xml:space="preserve">el artículo 2.8.8.1.1.3 del Decreto 780 de 2016, por medio del cual se expide el Decreto Único Reglamentario del Sector Salud y Protección Social,  definió a las </w:t>
      </w:r>
      <w:r w:rsidR="002B1874" w:rsidRPr="003B4B4D">
        <w:rPr>
          <w:rFonts w:ascii="Verdana" w:eastAsia="Arial" w:hAnsi="Verdana" w:cs="Arial"/>
          <w:bCs/>
          <w:i/>
          <w:iCs/>
          <w:color w:val="000000" w:themeColor="text1"/>
          <w:sz w:val="20"/>
          <w:szCs w:val="20"/>
          <w:lang w:val="es-ES"/>
        </w:rPr>
        <w:t>entidades sanitarias</w:t>
      </w:r>
      <w:r w:rsidR="002B1874" w:rsidRPr="003B4B4D">
        <w:rPr>
          <w:rFonts w:ascii="Verdana" w:eastAsia="Arial" w:hAnsi="Verdana" w:cs="Arial"/>
          <w:bCs/>
          <w:color w:val="000000" w:themeColor="text1"/>
          <w:sz w:val="20"/>
          <w:szCs w:val="20"/>
          <w:lang w:val="es-ES"/>
        </w:rPr>
        <w:t xml:space="preserve"> como “Entidades del Estado que prestan servicios sanitarios o de sanidad con el propósito de preservar la salud humana y la salud pública”. El artículo citado también define las </w:t>
      </w:r>
      <w:r w:rsidR="002B1874" w:rsidRPr="003B4B4D">
        <w:rPr>
          <w:rFonts w:ascii="Verdana" w:eastAsia="Arial" w:hAnsi="Verdana" w:cs="Arial"/>
          <w:bCs/>
          <w:i/>
          <w:iCs/>
          <w:color w:val="000000" w:themeColor="text1"/>
          <w:sz w:val="20"/>
          <w:szCs w:val="20"/>
          <w:lang w:val="es-ES"/>
        </w:rPr>
        <w:t>autoridades sanitarias</w:t>
      </w:r>
      <w:r w:rsidR="002B1874" w:rsidRPr="003B4B4D">
        <w:rPr>
          <w:rFonts w:ascii="Verdana" w:eastAsia="Arial" w:hAnsi="Verdana" w:cs="Arial"/>
          <w:bCs/>
          <w:color w:val="000000" w:themeColor="text1"/>
          <w:sz w:val="20"/>
          <w:szCs w:val="20"/>
          <w:lang w:val="es-ES"/>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Estas definiciones se encuentran contenidas en el capítulo 1 del título 8 del citado decreto, el cual se refiere al sistema de vigilancia en salud pública, y cuyo ámbito de aplicación se extiende a los regímenes de excepción establecidos en el artículo 279 de la Ley 100 de 1993, tal como lo dispone textualmente el </w:t>
      </w:r>
      <w:r w:rsidR="002B1874" w:rsidRPr="003B4B4D">
        <w:rPr>
          <w:rFonts w:ascii="Verdana" w:eastAsia="Arial" w:hAnsi="Verdana" w:cs="Arial"/>
          <w:color w:val="000000" w:themeColor="text1"/>
          <w:sz w:val="20"/>
          <w:szCs w:val="20"/>
        </w:rPr>
        <w:t>artículo 2.8.8.1.1.2.</w:t>
      </w:r>
    </w:p>
    <w:p w14:paraId="3B20F3BA" w14:textId="77777777" w:rsidR="003B4B4D" w:rsidRDefault="003B4B4D" w:rsidP="003B4B4D">
      <w:pPr>
        <w:contextualSpacing/>
        <w:jc w:val="both"/>
        <w:rPr>
          <w:rFonts w:ascii="Verdana" w:eastAsia="Times New Roman" w:hAnsi="Verdana" w:cs="Arial"/>
          <w:color w:val="000000" w:themeColor="text1"/>
          <w:sz w:val="20"/>
          <w:szCs w:val="20"/>
          <w:lang w:eastAsia="es-ES"/>
        </w:rPr>
      </w:pPr>
    </w:p>
    <w:p w14:paraId="41507B3C" w14:textId="5CF842A1" w:rsidR="002B1874" w:rsidRPr="003B4B4D" w:rsidRDefault="002B1874" w:rsidP="003B4B4D">
      <w:pPr>
        <w:spacing w:after="0" w:line="240" w:lineRule="auto"/>
        <w:contextualSpacing/>
        <w:jc w:val="both"/>
        <w:rPr>
          <w:rFonts w:ascii="Verdana" w:eastAsia="Times New Roman" w:hAnsi="Verdana" w:cs="Arial"/>
          <w:color w:val="000000" w:themeColor="text1"/>
          <w:sz w:val="20"/>
          <w:szCs w:val="20"/>
          <w:lang w:eastAsia="es-ES"/>
        </w:rPr>
      </w:pPr>
      <w:r w:rsidRPr="003B4B4D">
        <w:rPr>
          <w:rFonts w:ascii="Verdana" w:eastAsia="Times New Roman" w:hAnsi="Verdana" w:cs="Arial"/>
          <w:color w:val="000000" w:themeColor="text1"/>
          <w:sz w:val="20"/>
          <w:szCs w:val="20"/>
          <w:lang w:eastAsia="es-ES"/>
        </w:rPr>
        <w:t xml:space="preserve">En consecuencia, aquellos organismos o entes que compongan el Sistema de Salud de las Fuerzas Militares y de la Policía Nacional que presten servicios sanitarios o de sanidad con el propósito de preservar la salud humana y la salud pública, se entenderán como “entidades sanitarias” para efectos de determinar la aplicabilidad de la excepción establecida en el artículo 33 de la Ley de Garantías sobre la contratación de este tipo de entidades. No estarán incluidas en la excepción aquellos órganos y autoridades sanitarias del sistema que ejerzan funciones de rectoría, regulación, inspección, vigilancia y control. De esta forma, corresponde a la entidad contratante determinar si, conforme a las funciones que atribuye la Ley 352 de 1997, determinados órganos o autoridades pueden ser considerados como entidades sanitarias de acuerdo con la definición del artículo 2.8.8.1.1.3 del Decreto 780 de 2016. Cuando este sea el caso, podrán contratar directamente durante el periodo de la prohibición establecida en el artículo 33. </w:t>
      </w:r>
    </w:p>
    <w:p w14:paraId="263CC41B" w14:textId="77777777" w:rsidR="002B1874" w:rsidRDefault="002B1874" w:rsidP="002B1874">
      <w:pPr>
        <w:spacing w:line="276" w:lineRule="auto"/>
        <w:jc w:val="both"/>
        <w:rPr>
          <w:rFonts w:ascii="Verdana" w:eastAsia="Calibri" w:hAnsi="Verdana" w:cs="Arial"/>
          <w:b/>
          <w:bCs/>
          <w:lang w:eastAsia="es-ES"/>
        </w:rPr>
      </w:pPr>
    </w:p>
    <w:p w14:paraId="744A0BC1" w14:textId="77777777" w:rsidR="003B4B4D" w:rsidRDefault="003B4B4D" w:rsidP="002B1874">
      <w:pPr>
        <w:spacing w:line="276" w:lineRule="auto"/>
        <w:jc w:val="both"/>
        <w:rPr>
          <w:rFonts w:ascii="Verdana" w:eastAsia="Calibri" w:hAnsi="Verdana" w:cs="Arial"/>
          <w:b/>
          <w:bCs/>
          <w:lang w:eastAsia="es-ES"/>
        </w:rPr>
      </w:pPr>
    </w:p>
    <w:p w14:paraId="5CE8936A" w14:textId="77777777" w:rsidR="003B4B4D" w:rsidRDefault="003B4B4D" w:rsidP="002B1874">
      <w:pPr>
        <w:spacing w:line="276" w:lineRule="auto"/>
        <w:jc w:val="both"/>
        <w:rPr>
          <w:rFonts w:ascii="Verdana" w:eastAsia="Calibri" w:hAnsi="Verdana" w:cs="Arial"/>
          <w:b/>
          <w:bCs/>
          <w:lang w:eastAsia="es-ES"/>
        </w:rPr>
      </w:pPr>
    </w:p>
    <w:p w14:paraId="6424DE65" w14:textId="77777777" w:rsidR="00FA6B13" w:rsidRDefault="00FA6B13" w:rsidP="002B1874">
      <w:pPr>
        <w:spacing w:line="276" w:lineRule="auto"/>
        <w:jc w:val="both"/>
        <w:rPr>
          <w:rFonts w:ascii="Verdana" w:eastAsia="Calibri" w:hAnsi="Verdana" w:cs="Arial"/>
          <w:b/>
          <w:bCs/>
          <w:lang w:eastAsia="es-ES"/>
        </w:rPr>
      </w:pPr>
    </w:p>
    <w:p w14:paraId="1A7A1FD1" w14:textId="77777777" w:rsidR="00FA6B13" w:rsidRDefault="00FA6B13" w:rsidP="002B1874">
      <w:pPr>
        <w:spacing w:line="276" w:lineRule="auto"/>
        <w:jc w:val="both"/>
        <w:rPr>
          <w:rFonts w:ascii="Verdana" w:eastAsia="Calibri" w:hAnsi="Verdana" w:cs="Arial"/>
          <w:b/>
          <w:bCs/>
          <w:lang w:eastAsia="es-ES"/>
        </w:rPr>
      </w:pPr>
    </w:p>
    <w:p w14:paraId="18DC4F3A" w14:textId="77777777" w:rsidR="00FA6B13" w:rsidRDefault="00FA6B13" w:rsidP="002B1874">
      <w:pPr>
        <w:spacing w:line="276" w:lineRule="auto"/>
        <w:jc w:val="both"/>
        <w:rPr>
          <w:rFonts w:ascii="Verdana" w:eastAsia="Calibri" w:hAnsi="Verdana" w:cs="Arial"/>
          <w:b/>
          <w:bCs/>
          <w:lang w:eastAsia="es-ES"/>
        </w:rPr>
      </w:pPr>
    </w:p>
    <w:p w14:paraId="3DF1C62A" w14:textId="77777777" w:rsidR="00FA6B13" w:rsidRDefault="00FA6B13" w:rsidP="002B1874">
      <w:pPr>
        <w:spacing w:line="276" w:lineRule="auto"/>
        <w:jc w:val="both"/>
        <w:rPr>
          <w:rFonts w:ascii="Verdana" w:eastAsia="Calibri" w:hAnsi="Verdana" w:cs="Arial"/>
          <w:b/>
          <w:bCs/>
          <w:lang w:eastAsia="es-ES"/>
        </w:rPr>
      </w:pPr>
    </w:p>
    <w:p w14:paraId="63F5D085" w14:textId="77777777" w:rsidR="005A3144" w:rsidRDefault="005A3144" w:rsidP="006052AE">
      <w:pPr>
        <w:spacing w:after="0" w:line="240" w:lineRule="auto"/>
        <w:rPr>
          <w:rFonts w:ascii="Verdana" w:hAnsi="Verdana"/>
        </w:rPr>
      </w:pPr>
    </w:p>
    <w:p w14:paraId="7CEDA929" w14:textId="77777777" w:rsidR="005A3144" w:rsidRDefault="005A3144" w:rsidP="006052AE">
      <w:pPr>
        <w:spacing w:after="0" w:line="240" w:lineRule="auto"/>
        <w:rPr>
          <w:rFonts w:ascii="Verdana" w:hAnsi="Verdana"/>
        </w:rPr>
      </w:pPr>
    </w:p>
    <w:p w14:paraId="6D12651E" w14:textId="77777777" w:rsidR="005A3144" w:rsidRDefault="005A3144" w:rsidP="006052AE">
      <w:pPr>
        <w:spacing w:after="0" w:line="240" w:lineRule="auto"/>
        <w:rPr>
          <w:rFonts w:ascii="Verdana" w:hAnsi="Verdana"/>
        </w:rPr>
      </w:pPr>
    </w:p>
    <w:p w14:paraId="3046257C" w14:textId="04F3856E" w:rsidR="006052AE" w:rsidRDefault="006052AE" w:rsidP="006052AE">
      <w:pPr>
        <w:spacing w:after="0" w:line="240" w:lineRule="auto"/>
        <w:rPr>
          <w:rFonts w:ascii="Verdana" w:eastAsia="Geomanist Light" w:hAnsi="Verdana" w:cs="Arial"/>
          <w:color w:val="201F1E"/>
          <w:lang w:val="es-MX"/>
        </w:rPr>
      </w:pPr>
      <w:r w:rsidRPr="006B2ABC">
        <w:rPr>
          <w:rFonts w:ascii="Verdana" w:hAnsi="Verdana"/>
        </w:rPr>
        <w:t>Bogotá́ D.C.,</w:t>
      </w:r>
      <w:r w:rsidRPr="00FC6F34">
        <w:rPr>
          <w:rFonts w:ascii="Verdana" w:hAnsi="Verdana"/>
          <w:lang w:val="es-ES"/>
        </w:rPr>
        <w:tab/>
      </w:r>
      <w:r w:rsidR="0063608A">
        <w:rPr>
          <w:rFonts w:ascii="Verdana" w:eastAsia="Geomanist Light" w:hAnsi="Verdana" w:cs="Arial"/>
          <w:color w:val="201F1E"/>
          <w:lang w:val="es-MX"/>
        </w:rPr>
        <w:t xml:space="preserve"> 12 de febrero de 2026</w:t>
      </w:r>
    </w:p>
    <w:p w14:paraId="0E18CD4F" w14:textId="77777777" w:rsidR="006052AE" w:rsidRPr="00B54427" w:rsidRDefault="006052AE" w:rsidP="006052AE">
      <w:pPr>
        <w:spacing w:after="0" w:line="240" w:lineRule="auto"/>
        <w:rPr>
          <w:rFonts w:ascii="Verdana" w:eastAsia="Geomanist Light" w:hAnsi="Verdana" w:cs="Arial"/>
          <w:color w:val="201F1E"/>
          <w:lang w:val="es-MX"/>
        </w:rPr>
      </w:pPr>
    </w:p>
    <w:p w14:paraId="6888F935" w14:textId="11E2CED9" w:rsidR="006052AE" w:rsidRPr="00FC6F34" w:rsidRDefault="0063608A" w:rsidP="0063608A">
      <w:pPr>
        <w:spacing w:after="0"/>
        <w:jc w:val="right"/>
        <w:rPr>
          <w:rFonts w:ascii="Verdana" w:hAnsi="Verdana"/>
          <w:lang w:val="es-ES"/>
        </w:rPr>
      </w:pPr>
      <w:r w:rsidRPr="0063608A">
        <w:rPr>
          <w:rFonts w:ascii="Verdana" w:hAnsi="Verdana"/>
          <w:noProof/>
          <w:lang w:val="es-ES"/>
        </w:rPr>
        <w:drawing>
          <wp:inline distT="0" distB="0" distL="0" distR="0" wp14:anchorId="45260A69" wp14:editId="0AE99997">
            <wp:extent cx="3086531" cy="819264"/>
            <wp:effectExtent l="0" t="0" r="0" b="0"/>
            <wp:docPr id="127148448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484488" name="Imagen 1" descr="Texto&#10;&#10;El contenido generado por IA puede ser incorrecto."/>
                    <pic:cNvPicPr/>
                  </pic:nvPicPr>
                  <pic:blipFill>
                    <a:blip r:embed="rId11"/>
                    <a:stretch>
                      <a:fillRect/>
                    </a:stretch>
                  </pic:blipFill>
                  <pic:spPr>
                    <a:xfrm>
                      <a:off x="0" y="0"/>
                      <a:ext cx="3086531" cy="819264"/>
                    </a:xfrm>
                    <a:prstGeom prst="rect">
                      <a:avLst/>
                    </a:prstGeom>
                  </pic:spPr>
                </pic:pic>
              </a:graphicData>
            </a:graphic>
          </wp:inline>
        </w:drawing>
      </w:r>
    </w:p>
    <w:p w14:paraId="69CD5838" w14:textId="77777777" w:rsidR="006052AE" w:rsidRPr="00FC6F34" w:rsidRDefault="006052AE" w:rsidP="006052AE">
      <w:pPr>
        <w:spacing w:after="0" w:line="240" w:lineRule="auto"/>
        <w:rPr>
          <w:rFonts w:ascii="Verdana" w:hAnsi="Verdana"/>
          <w:lang w:val="es-ES"/>
        </w:rPr>
      </w:pPr>
      <w:bookmarkStart w:id="0" w:name="_Hlk143780582"/>
      <w:r>
        <w:rPr>
          <w:rFonts w:ascii="Verdana" w:eastAsia="Calibri" w:hAnsi="Verdana" w:cs="Arial"/>
          <w:color w:val="000000" w:themeColor="text1"/>
          <w:lang w:val="es-ES" w:eastAsia="es-ES"/>
        </w:rPr>
        <w:t>Mayor</w:t>
      </w:r>
    </w:p>
    <w:p w14:paraId="05BE40C0" w14:textId="77777777" w:rsidR="006052AE" w:rsidRDefault="006052AE" w:rsidP="006052AE">
      <w:pPr>
        <w:spacing w:after="0" w:line="240" w:lineRule="auto"/>
        <w:rPr>
          <w:rFonts w:ascii="Verdana" w:eastAsia="Calibri" w:hAnsi="Verdana" w:cs="Arial"/>
          <w:b/>
          <w:color w:val="000000" w:themeColor="text1"/>
          <w:lang w:eastAsia="es-ES"/>
        </w:rPr>
      </w:pPr>
      <w:proofErr w:type="spellStart"/>
      <w:r>
        <w:rPr>
          <w:rFonts w:ascii="Verdana" w:eastAsia="Calibri" w:hAnsi="Verdana" w:cs="Arial"/>
          <w:b/>
          <w:color w:val="000000" w:themeColor="text1"/>
          <w:lang w:eastAsia="es-ES"/>
        </w:rPr>
        <w:t>Emmanuhela</w:t>
      </w:r>
      <w:proofErr w:type="spellEnd"/>
      <w:r>
        <w:rPr>
          <w:rFonts w:ascii="Verdana" w:eastAsia="Calibri" w:hAnsi="Verdana" w:cs="Arial"/>
          <w:b/>
          <w:color w:val="000000" w:themeColor="text1"/>
          <w:lang w:eastAsia="es-ES"/>
        </w:rPr>
        <w:t xml:space="preserve"> Restrepo Celis</w:t>
      </w:r>
    </w:p>
    <w:p w14:paraId="6EC6C882" w14:textId="77777777" w:rsidR="006052AE" w:rsidRDefault="006052AE" w:rsidP="006052AE">
      <w:pPr>
        <w:spacing w:after="0" w:line="240" w:lineRule="auto"/>
        <w:rPr>
          <w:rFonts w:ascii="Verdana" w:eastAsia="Calibri" w:hAnsi="Verdana" w:cs="Arial"/>
          <w:b/>
          <w:color w:val="000000" w:themeColor="text1"/>
          <w:lang w:eastAsia="es-ES"/>
        </w:rPr>
      </w:pPr>
      <w:r>
        <w:rPr>
          <w:rFonts w:ascii="Verdana" w:eastAsia="Calibri" w:hAnsi="Verdana" w:cs="Arial"/>
          <w:b/>
          <w:color w:val="000000" w:themeColor="text1"/>
          <w:lang w:eastAsia="es-ES"/>
        </w:rPr>
        <w:t>Oficial Administrativa - Financiera y Ordenador del Gasto</w:t>
      </w:r>
    </w:p>
    <w:p w14:paraId="5B071D5C" w14:textId="77777777" w:rsidR="006052AE" w:rsidRDefault="006052AE" w:rsidP="006052AE">
      <w:pPr>
        <w:spacing w:after="0" w:line="240" w:lineRule="auto"/>
        <w:rPr>
          <w:rFonts w:ascii="Verdana" w:eastAsia="Calibri" w:hAnsi="Verdana" w:cs="Arial"/>
          <w:b/>
          <w:color w:val="000000" w:themeColor="text1"/>
          <w:lang w:eastAsia="es-ES"/>
        </w:rPr>
      </w:pPr>
      <w:r>
        <w:rPr>
          <w:rFonts w:ascii="Verdana" w:eastAsia="Calibri" w:hAnsi="Verdana" w:cs="Arial"/>
          <w:b/>
          <w:color w:val="000000" w:themeColor="text1"/>
          <w:lang w:eastAsia="es-ES"/>
        </w:rPr>
        <w:t>Dispensario Médico Suroccidente “Héroes de Sumapaz”</w:t>
      </w:r>
    </w:p>
    <w:p w14:paraId="3AFE2F42" w14:textId="77777777" w:rsidR="006052AE" w:rsidRDefault="006052AE" w:rsidP="006052AE">
      <w:pPr>
        <w:spacing w:after="0" w:line="240" w:lineRule="auto"/>
        <w:rPr>
          <w:rFonts w:ascii="Verdana" w:eastAsia="Calibri" w:hAnsi="Verdana" w:cs="Arial"/>
          <w:color w:val="000000" w:themeColor="text1"/>
          <w:lang w:eastAsia="es-ES"/>
        </w:rPr>
      </w:pPr>
      <w:hyperlink r:id="rId12" w:history="1">
        <w:r w:rsidRPr="006955F4">
          <w:rPr>
            <w:rStyle w:val="Hipervnculo"/>
            <w:rFonts w:ascii="Verdana" w:eastAsia="Calibri" w:hAnsi="Verdana" w:cs="Arial"/>
            <w:lang w:eastAsia="es-ES"/>
          </w:rPr>
          <w:t>maria.vargasar@ejercito.mil.co</w:t>
        </w:r>
      </w:hyperlink>
      <w:r>
        <w:rPr>
          <w:rFonts w:ascii="Verdana" w:eastAsia="Calibri" w:hAnsi="Verdana" w:cs="Arial"/>
          <w:color w:val="000000" w:themeColor="text1"/>
          <w:lang w:eastAsia="es-ES"/>
        </w:rPr>
        <w:t xml:space="preserve"> </w:t>
      </w:r>
    </w:p>
    <w:p w14:paraId="4467D2D7" w14:textId="77777777" w:rsidR="006052AE" w:rsidRPr="006F16A2" w:rsidRDefault="006052AE" w:rsidP="006052AE">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5E10501B" w14:textId="77777777" w:rsidR="006052AE" w:rsidRPr="006F16A2" w:rsidRDefault="006052AE" w:rsidP="006052AE">
      <w:pPr>
        <w:spacing w:after="0" w:line="240" w:lineRule="auto"/>
        <w:rPr>
          <w:rFonts w:ascii="Verdana" w:eastAsia="Calibri" w:hAnsi="Verdana" w:cs="Arial"/>
          <w:bCs/>
          <w:color w:val="000000" w:themeColor="text1"/>
          <w:lang w:eastAsia="es-ES"/>
        </w:rPr>
      </w:pPr>
    </w:p>
    <w:p w14:paraId="32DDF905" w14:textId="77777777" w:rsidR="006052AE" w:rsidRPr="00FC6F34" w:rsidRDefault="006052AE" w:rsidP="006052AE">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6052AE" w:rsidRPr="00FC6F34" w14:paraId="376580D4" w14:textId="77777777" w:rsidTr="001B6F25">
        <w:trPr>
          <w:trHeight w:val="300"/>
        </w:trPr>
        <w:tc>
          <w:tcPr>
            <w:tcW w:w="2410" w:type="dxa"/>
          </w:tcPr>
          <w:p w14:paraId="08A70D29" w14:textId="77777777" w:rsidR="006052AE" w:rsidRPr="00FC6F34" w:rsidRDefault="006052AE" w:rsidP="001B6F25">
            <w:pPr>
              <w:ind w:left="-142"/>
              <w:jc w:val="both"/>
              <w:rPr>
                <w:rFonts w:ascii="Verdana" w:eastAsia="Calibri" w:hAnsi="Verdana" w:cs="Arial"/>
                <w:b/>
                <w:bCs/>
                <w:color w:val="000000" w:themeColor="text1"/>
                <w:lang w:val="es-ES" w:eastAsia="es-ES_tradnl"/>
              </w:rPr>
            </w:pPr>
          </w:p>
        </w:tc>
        <w:tc>
          <w:tcPr>
            <w:tcW w:w="6100" w:type="dxa"/>
          </w:tcPr>
          <w:p w14:paraId="0BB0974B" w14:textId="77777777" w:rsidR="006052AE" w:rsidRPr="00FC6F34" w:rsidRDefault="006052AE" w:rsidP="001B6F25">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099</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10A8D0F8" w14:textId="77777777" w:rsidR="006052AE" w:rsidRPr="00FC6F34" w:rsidRDefault="006052AE" w:rsidP="001B6F25">
            <w:pPr>
              <w:ind w:left="3"/>
              <w:jc w:val="both"/>
              <w:rPr>
                <w:rFonts w:ascii="Verdana" w:eastAsia="Calibri" w:hAnsi="Verdana" w:cs="Arial"/>
                <w:b/>
                <w:bCs/>
                <w:color w:val="000000" w:themeColor="text1"/>
                <w:lang w:val="es-ES" w:eastAsia="es-ES"/>
              </w:rPr>
            </w:pPr>
          </w:p>
        </w:tc>
      </w:tr>
      <w:tr w:rsidR="006052AE" w:rsidRPr="00FC6F34" w14:paraId="7BF0B6B9" w14:textId="77777777" w:rsidTr="001B6F25">
        <w:trPr>
          <w:trHeight w:val="300"/>
        </w:trPr>
        <w:tc>
          <w:tcPr>
            <w:tcW w:w="2410" w:type="dxa"/>
          </w:tcPr>
          <w:p w14:paraId="4C0C0A79" w14:textId="77777777" w:rsidR="006052AE" w:rsidRPr="00FC6F34" w:rsidRDefault="006052AE" w:rsidP="001B6F25">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04FAAC69" w14:textId="77777777" w:rsidR="006052AE" w:rsidRPr="006F16A2" w:rsidRDefault="006052AE" w:rsidP="001B6F25">
            <w:pPr>
              <w:spacing w:line="276" w:lineRule="auto"/>
              <w:jc w:val="both"/>
              <w:rPr>
                <w:rFonts w:ascii="Verdana" w:eastAsia="Calibri" w:hAnsi="Verdana" w:cs="Arial"/>
                <w:lang w:eastAsia="es-ES"/>
              </w:rPr>
            </w:pPr>
            <w:r w:rsidRPr="00686D6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w:t>
            </w:r>
            <w:r w:rsidRPr="00686D64">
              <w:rPr>
                <w:rFonts w:ascii="Verdana" w:eastAsia="Calibri" w:hAnsi="Verdana" w:cs="Arial"/>
                <w:lang w:val="es-ES" w:eastAsia="es-ES"/>
              </w:rPr>
              <w:t xml:space="preserve">/ LEY DE GARANTÍAS ELECTORALES – Artículo 33 – </w:t>
            </w:r>
            <w:r>
              <w:rPr>
                <w:rFonts w:ascii="Verdana" w:eastAsia="Calibri" w:hAnsi="Verdana" w:cs="Arial"/>
                <w:lang w:val="es-ES" w:eastAsia="es-ES"/>
              </w:rPr>
              <w:t xml:space="preserve">Excepciones </w:t>
            </w:r>
            <w:r w:rsidRPr="00686D64">
              <w:rPr>
                <w:rFonts w:ascii="Verdana" w:eastAsia="Calibri" w:hAnsi="Verdana" w:cs="Arial"/>
                <w:lang w:val="es-ES" w:eastAsia="es-ES"/>
              </w:rPr>
              <w:t>–</w:t>
            </w:r>
            <w:r>
              <w:rPr>
                <w:rFonts w:ascii="Verdana" w:eastAsia="Calibri" w:hAnsi="Verdana" w:cs="Arial"/>
                <w:lang w:val="es-ES" w:eastAsia="es-ES"/>
              </w:rPr>
              <w:t xml:space="preserve"> </w:t>
            </w:r>
            <w:r w:rsidRPr="006F16A2">
              <w:rPr>
                <w:rFonts w:ascii="Verdana" w:eastAsia="Calibri" w:hAnsi="Verdana" w:cs="Arial"/>
                <w:lang w:eastAsia="es-ES"/>
              </w:rPr>
              <w:t>Establecimientos de Sanidad Militar</w:t>
            </w:r>
            <w:r>
              <w:rPr>
                <w:rFonts w:ascii="Verdana" w:eastAsia="Calibri" w:hAnsi="Verdana" w:cs="Arial"/>
                <w:lang w:val="es-ES" w:eastAsia="es-ES"/>
              </w:rPr>
              <w:t xml:space="preserve"> </w:t>
            </w:r>
          </w:p>
          <w:p w14:paraId="1FB4F391" w14:textId="77777777" w:rsidR="006052AE" w:rsidRPr="00686D64" w:rsidRDefault="006052AE" w:rsidP="001B6F25">
            <w:pPr>
              <w:spacing w:line="276" w:lineRule="auto"/>
              <w:jc w:val="both"/>
              <w:rPr>
                <w:rFonts w:ascii="Verdana" w:eastAsia="Calibri" w:hAnsi="Verdana" w:cs="Arial"/>
                <w:color w:val="000000" w:themeColor="text1"/>
                <w:lang w:val="es-ES" w:eastAsia="es-ES"/>
              </w:rPr>
            </w:pPr>
          </w:p>
        </w:tc>
      </w:tr>
      <w:tr w:rsidR="006052AE" w:rsidRPr="00FC6F34" w14:paraId="37D1B17E" w14:textId="77777777" w:rsidTr="001B6F25">
        <w:tc>
          <w:tcPr>
            <w:tcW w:w="2410" w:type="dxa"/>
          </w:tcPr>
          <w:p w14:paraId="5C9EC81F" w14:textId="77777777" w:rsidR="006052AE" w:rsidRPr="00FC6F34" w:rsidRDefault="006052AE" w:rsidP="001B6F25">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52704346" w14:textId="77777777" w:rsidR="006052AE" w:rsidRPr="00FC6F34" w:rsidRDefault="006052AE" w:rsidP="001B6F25">
            <w:pPr>
              <w:ind w:left="3"/>
              <w:jc w:val="both"/>
              <w:rPr>
                <w:rFonts w:ascii="Verdana" w:hAnsi="Verdana"/>
                <w:color w:val="000000"/>
                <w:lang w:val="es-ES"/>
              </w:rPr>
            </w:pPr>
            <w:r w:rsidRPr="00FC6F34">
              <w:rPr>
                <w:rFonts w:ascii="Verdana" w:eastAsia="Calibri" w:hAnsi="Verdana" w:cs="Arial"/>
                <w:color w:val="000000" w:themeColor="text1"/>
                <w:lang w:val="es-ES" w:eastAsia="es-ES"/>
              </w:rPr>
              <w:t>Respuesta a consulta con radicado No.</w:t>
            </w:r>
            <w:r>
              <w:t xml:space="preserve"> </w:t>
            </w:r>
            <w:r w:rsidRPr="00015575">
              <w:rPr>
                <w:rFonts w:ascii="Verdana" w:hAnsi="Verdana"/>
              </w:rPr>
              <w:t>1_2026_01_26_000809</w:t>
            </w:r>
          </w:p>
        </w:tc>
      </w:tr>
    </w:tbl>
    <w:p w14:paraId="0292F92E" w14:textId="77777777" w:rsidR="006052AE" w:rsidRPr="00FC6F34" w:rsidRDefault="006052AE" w:rsidP="006052AE">
      <w:pPr>
        <w:spacing w:after="0" w:line="276" w:lineRule="auto"/>
        <w:jc w:val="both"/>
        <w:rPr>
          <w:rFonts w:ascii="Verdana" w:eastAsia="Calibri" w:hAnsi="Verdana" w:cs="Arial"/>
          <w:color w:val="000000" w:themeColor="text1"/>
          <w:lang w:val="es-ES" w:eastAsia="es-ES"/>
        </w:rPr>
      </w:pPr>
    </w:p>
    <w:p w14:paraId="5B6E1B59" w14:textId="77777777" w:rsidR="006052AE" w:rsidRPr="00FC6F34" w:rsidRDefault="006052AE" w:rsidP="006052AE">
      <w:pPr>
        <w:spacing w:after="0" w:line="276" w:lineRule="auto"/>
        <w:jc w:val="both"/>
        <w:rPr>
          <w:rFonts w:ascii="Verdana" w:eastAsia="Calibri" w:hAnsi="Verdana" w:cs="Arial"/>
          <w:color w:val="000000" w:themeColor="text1"/>
          <w:lang w:val="es-ES" w:eastAsia="es-ES"/>
        </w:rPr>
      </w:pPr>
    </w:p>
    <w:p w14:paraId="2A1C03AC" w14:textId="77777777" w:rsidR="006052AE" w:rsidRPr="00FC6F34" w:rsidRDefault="006052AE" w:rsidP="006052A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 Mayor Restrepo</w:t>
      </w:r>
      <w:r w:rsidRPr="00FC6F34">
        <w:rPr>
          <w:rFonts w:ascii="Verdana" w:eastAsia="Calibri" w:hAnsi="Verdana" w:cs="Arial"/>
          <w:color w:val="000000" w:themeColor="text1"/>
          <w:lang w:val="es-ES" w:eastAsia="es-ES"/>
        </w:rPr>
        <w:t xml:space="preserve">: </w:t>
      </w:r>
    </w:p>
    <w:p w14:paraId="0FC59BE7" w14:textId="77777777" w:rsidR="006052AE" w:rsidRPr="00FC6F34" w:rsidRDefault="006052AE" w:rsidP="006052AE">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2AFAAC29" w14:textId="77777777" w:rsidR="006052AE" w:rsidRPr="00FC6F34" w:rsidRDefault="006052AE" w:rsidP="006052AE">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A27102">
        <w:rPr>
          <w:rFonts w:ascii="Verdana" w:hAnsi="Verdana" w:cs="Arial"/>
        </w:rPr>
        <w:t>así como lo establecido en la Resolución 469 de 2025 expedida por esta Entidad</w:t>
      </w:r>
      <w:r w:rsidRPr="00FC6F34">
        <w:rPr>
          <w:rFonts w:ascii="Verdana" w:hAnsi="Verdana" w:cs="Arial"/>
          <w:color w:val="000000" w:themeColor="text1"/>
          <w:lang w:val="es-ES"/>
        </w:rPr>
        <w:t xml:space="preserve">,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26</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xml:space="preserve">, en la cual manifiesta lo siguiente: </w:t>
      </w:r>
    </w:p>
    <w:p w14:paraId="6DAB600E" w14:textId="77777777" w:rsidR="006052AE" w:rsidRPr="00FC6F34" w:rsidRDefault="006052AE" w:rsidP="006052AE">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6290FE02"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r w:rsidRPr="00D725B8">
        <w:rPr>
          <w:rFonts w:ascii="Verdana" w:eastAsia="Century Gothic" w:hAnsi="Verdana" w:cs="Century Gothic"/>
          <w:color w:val="000000" w:themeColor="text1"/>
          <w:sz w:val="20"/>
          <w:szCs w:val="20"/>
          <w:lang w:val="es-ES"/>
        </w:rPr>
        <w:t>“</w:t>
      </w:r>
      <w:r w:rsidRPr="00D725B8">
        <w:rPr>
          <w:rFonts w:ascii="Verdana" w:eastAsia="Century Gothic" w:hAnsi="Verdana" w:cs="Century Gothic"/>
          <w:color w:val="000000" w:themeColor="text1"/>
          <w:sz w:val="20"/>
          <w:szCs w:val="20"/>
        </w:rPr>
        <w:t xml:space="preserve">[…] </w:t>
      </w:r>
      <w:r w:rsidRPr="00286F2E">
        <w:rPr>
          <w:rFonts w:ascii="Verdana" w:eastAsia="Century Gothic" w:hAnsi="Verdana" w:cs="Century Gothic"/>
          <w:color w:val="000000" w:themeColor="text1"/>
          <w:sz w:val="20"/>
          <w:szCs w:val="20"/>
        </w:rPr>
        <w:t xml:space="preserve">me permito solicitar concepto jurídico urgente respecto de la procedencia y autorización para adelantar procesos de contratación directa de prestadores de servicios de salud y otros servicios operativos </w:t>
      </w:r>
      <w:r w:rsidRPr="00286F2E">
        <w:rPr>
          <w:rFonts w:ascii="Verdana" w:eastAsia="Century Gothic" w:hAnsi="Verdana" w:cs="Century Gothic"/>
          <w:color w:val="000000" w:themeColor="text1"/>
          <w:sz w:val="20"/>
          <w:szCs w:val="20"/>
        </w:rPr>
        <w:lastRenderedPageBreak/>
        <w:t>indispensables para la Regional No. 09 – Dispensario Médico de Suroccidente “HÉROES DEL SUMAPAZ”, identificado con NIT 901.540.992-6</w:t>
      </w:r>
    </w:p>
    <w:p w14:paraId="6F6D758E"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p>
    <w:p w14:paraId="5543B8D4"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r w:rsidRPr="00286F2E">
        <w:rPr>
          <w:rFonts w:ascii="Verdana" w:eastAsia="Century Gothic" w:hAnsi="Verdana" w:cs="Century Gothic"/>
          <w:color w:val="000000" w:themeColor="text1"/>
          <w:sz w:val="20"/>
          <w:szCs w:val="20"/>
        </w:rPr>
        <w:t>[…]</w:t>
      </w:r>
    </w:p>
    <w:p w14:paraId="22167AC1" w14:textId="77777777" w:rsidR="006052AE" w:rsidRPr="00286F2E" w:rsidRDefault="006052AE" w:rsidP="006052AE">
      <w:pPr>
        <w:spacing w:before="120" w:after="120"/>
        <w:ind w:left="709" w:right="709"/>
        <w:contextualSpacing/>
        <w:jc w:val="both"/>
        <w:rPr>
          <w:rFonts w:ascii="Verdana" w:hAnsi="Verdana"/>
          <w:sz w:val="20"/>
          <w:szCs w:val="20"/>
        </w:rPr>
      </w:pPr>
      <w:r w:rsidRPr="00286F2E">
        <w:rPr>
          <w:rFonts w:ascii="Verdana" w:hAnsi="Verdana"/>
          <w:sz w:val="20"/>
          <w:szCs w:val="20"/>
        </w:rPr>
        <w:t xml:space="preserve">1. Sustento en el derecho fundamental a la salud </w:t>
      </w:r>
    </w:p>
    <w:p w14:paraId="536FFA81" w14:textId="77777777" w:rsidR="006052AE" w:rsidRPr="00286F2E" w:rsidRDefault="006052AE" w:rsidP="006052AE">
      <w:pPr>
        <w:spacing w:before="120" w:after="120"/>
        <w:ind w:left="709" w:right="709"/>
        <w:contextualSpacing/>
        <w:jc w:val="both"/>
        <w:rPr>
          <w:rFonts w:ascii="Verdana" w:hAnsi="Verdana"/>
          <w:sz w:val="20"/>
          <w:szCs w:val="20"/>
        </w:rPr>
      </w:pPr>
    </w:p>
    <w:p w14:paraId="09EA1024"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r w:rsidRPr="00286F2E">
        <w:rPr>
          <w:rFonts w:ascii="Verdana" w:eastAsia="Century Gothic" w:hAnsi="Verdana" w:cs="Century Gothic"/>
          <w:color w:val="000000" w:themeColor="text1"/>
          <w:sz w:val="20"/>
          <w:szCs w:val="20"/>
        </w:rPr>
        <w:t>Los servicios anteriormente descritos constituyen actividades permanentes, esenciales e irremplazables, cuya interrupción afecta de manera directa el núcleo esencial del derecho fundamental a la salud, reconocido como autónomo, irrenunciable y de obligatorio cumplimiento por parte del Estado, conforme a la Ley Estatutaria 1751 de 2015, así como a la jurisprudencia constitucional reiterada sobre la continuidad del servicio.</w:t>
      </w:r>
    </w:p>
    <w:p w14:paraId="7379F06B"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p>
    <w:p w14:paraId="280933AE" w14:textId="77777777" w:rsidR="006052AE" w:rsidRPr="00286F2E" w:rsidRDefault="006052AE" w:rsidP="006052AE">
      <w:pPr>
        <w:spacing w:before="120" w:after="120"/>
        <w:ind w:left="709" w:right="709"/>
        <w:contextualSpacing/>
        <w:jc w:val="both"/>
        <w:rPr>
          <w:rFonts w:ascii="Verdana" w:hAnsi="Verdana"/>
          <w:sz w:val="20"/>
          <w:szCs w:val="20"/>
        </w:rPr>
      </w:pPr>
      <w:r w:rsidRPr="00286F2E">
        <w:rPr>
          <w:rFonts w:ascii="Verdana" w:hAnsi="Verdana"/>
          <w:sz w:val="20"/>
          <w:szCs w:val="20"/>
        </w:rPr>
        <w:t xml:space="preserve">2. Ley de Garantías y contratación directa en servicios esenciales </w:t>
      </w:r>
    </w:p>
    <w:p w14:paraId="041068F7" w14:textId="77777777" w:rsidR="006052AE" w:rsidRPr="00286F2E" w:rsidRDefault="006052AE" w:rsidP="006052AE">
      <w:pPr>
        <w:spacing w:before="120" w:after="120"/>
        <w:ind w:left="709" w:right="709"/>
        <w:contextualSpacing/>
        <w:jc w:val="both"/>
        <w:rPr>
          <w:rFonts w:ascii="Verdana" w:hAnsi="Verdana"/>
          <w:sz w:val="20"/>
          <w:szCs w:val="20"/>
        </w:rPr>
      </w:pPr>
    </w:p>
    <w:p w14:paraId="04977B8A" w14:textId="77777777" w:rsidR="006052AE" w:rsidRPr="00286F2E" w:rsidRDefault="006052AE" w:rsidP="006052AE">
      <w:pPr>
        <w:spacing w:before="120" w:after="120"/>
        <w:ind w:left="709" w:right="709"/>
        <w:contextualSpacing/>
        <w:jc w:val="both"/>
        <w:rPr>
          <w:rFonts w:ascii="Verdana" w:hAnsi="Verdana"/>
          <w:sz w:val="20"/>
          <w:szCs w:val="20"/>
        </w:rPr>
      </w:pPr>
      <w:r w:rsidRPr="00286F2E">
        <w:rPr>
          <w:rFonts w:ascii="Verdana" w:hAnsi="Verdana"/>
          <w:sz w:val="20"/>
          <w:szCs w:val="20"/>
        </w:rPr>
        <w:t xml:space="preserve">La solicitud se eleva en atención a que actualmente se configura un escenario de restricción contractual derivado de la Ley de Garantías Electorales, razón por la cual se requiere concepto jurídico expreso sobre la viabilidad de la contratación directa como medida excepcional, cuando esta resulta necesaria, proporcional y estrictamente indispensable para evitar la interrupción de un servicio público esencial como lo es la atención en salud del personal militar y sus beneficiarios. </w:t>
      </w:r>
    </w:p>
    <w:p w14:paraId="426B0C43" w14:textId="77777777" w:rsidR="006052AE" w:rsidRPr="00286F2E" w:rsidRDefault="006052AE" w:rsidP="006052AE">
      <w:pPr>
        <w:spacing w:before="120" w:after="120"/>
        <w:ind w:left="709" w:right="709"/>
        <w:contextualSpacing/>
        <w:jc w:val="both"/>
        <w:rPr>
          <w:rFonts w:ascii="Verdana" w:hAnsi="Verdana"/>
          <w:sz w:val="20"/>
          <w:szCs w:val="20"/>
        </w:rPr>
      </w:pPr>
    </w:p>
    <w:p w14:paraId="1FC249D9" w14:textId="77777777" w:rsidR="006052AE" w:rsidRPr="00286F2E" w:rsidRDefault="006052AE" w:rsidP="006052AE">
      <w:pPr>
        <w:spacing w:before="120" w:after="120"/>
        <w:ind w:left="709" w:right="709"/>
        <w:contextualSpacing/>
        <w:jc w:val="both"/>
        <w:rPr>
          <w:rFonts w:ascii="Verdana" w:hAnsi="Verdana"/>
          <w:sz w:val="20"/>
          <w:szCs w:val="20"/>
        </w:rPr>
      </w:pPr>
      <w:r w:rsidRPr="00286F2E">
        <w:rPr>
          <w:rFonts w:ascii="Verdana" w:hAnsi="Verdana"/>
          <w:sz w:val="20"/>
          <w:szCs w:val="20"/>
        </w:rPr>
        <w:t xml:space="preserve">3. Contratación posterior al 1 de febrero de 2026 – Hoja de Ruta ASEGURADOR DIRECCION DE SANIDAD MILITAR DIGSA </w:t>
      </w:r>
    </w:p>
    <w:p w14:paraId="7B97C5B2" w14:textId="77777777" w:rsidR="006052AE" w:rsidRPr="00286F2E" w:rsidRDefault="006052AE" w:rsidP="006052AE">
      <w:pPr>
        <w:spacing w:before="120" w:after="120"/>
        <w:ind w:left="709" w:right="709"/>
        <w:contextualSpacing/>
        <w:jc w:val="both"/>
        <w:rPr>
          <w:rFonts w:ascii="Verdana" w:hAnsi="Verdana"/>
          <w:sz w:val="20"/>
          <w:szCs w:val="20"/>
        </w:rPr>
      </w:pPr>
    </w:p>
    <w:p w14:paraId="088842E4" w14:textId="77777777" w:rsidR="006052AE" w:rsidRPr="00286F2E" w:rsidRDefault="006052AE" w:rsidP="006052AE">
      <w:pPr>
        <w:spacing w:before="120" w:after="120"/>
        <w:ind w:left="709" w:right="709"/>
        <w:contextualSpacing/>
        <w:jc w:val="both"/>
        <w:rPr>
          <w:rFonts w:ascii="Verdana" w:hAnsi="Verdana"/>
          <w:sz w:val="20"/>
          <w:szCs w:val="20"/>
        </w:rPr>
      </w:pPr>
      <w:r w:rsidRPr="00286F2E">
        <w:rPr>
          <w:rFonts w:ascii="Verdana" w:hAnsi="Verdana"/>
          <w:sz w:val="20"/>
          <w:szCs w:val="20"/>
        </w:rPr>
        <w:t xml:space="preserve">Adicionalmente, se solicita concepto jurídico específico respecto de la procedencia de adelantar procesos contractuales con posterioridad al 1 de febrero de 2026, teniendo en cuenta que no ha sido materialmente posible culminar la conformación y validación de las carpetas maestras contractuales, debido a: </w:t>
      </w:r>
    </w:p>
    <w:p w14:paraId="6E7AD6CE" w14:textId="77777777" w:rsidR="006052AE" w:rsidRPr="00286F2E" w:rsidRDefault="006052AE" w:rsidP="006052AE">
      <w:pPr>
        <w:spacing w:before="120" w:after="120"/>
        <w:ind w:left="709" w:right="709"/>
        <w:contextualSpacing/>
        <w:jc w:val="both"/>
        <w:rPr>
          <w:rFonts w:ascii="Verdana" w:hAnsi="Verdana"/>
          <w:sz w:val="20"/>
          <w:szCs w:val="20"/>
        </w:rPr>
      </w:pPr>
    </w:p>
    <w:p w14:paraId="798F7C97" w14:textId="77777777" w:rsidR="006052AE" w:rsidRPr="00286F2E" w:rsidRDefault="006052AE" w:rsidP="006052AE">
      <w:pPr>
        <w:spacing w:before="120" w:after="120"/>
        <w:ind w:left="709" w:right="709"/>
        <w:contextualSpacing/>
        <w:jc w:val="both"/>
        <w:rPr>
          <w:rFonts w:ascii="Verdana" w:hAnsi="Verdana"/>
          <w:sz w:val="20"/>
          <w:szCs w:val="20"/>
        </w:rPr>
      </w:pPr>
      <w:r w:rsidRPr="00286F2E">
        <w:rPr>
          <w:rFonts w:ascii="Verdana" w:hAnsi="Verdana"/>
          <w:sz w:val="20"/>
          <w:szCs w:val="20"/>
        </w:rPr>
        <w:t xml:space="preserve">El alto volumen de prestadores de servicios de salud requeridos para la operación de los Dispensarios Médicos que conforman la Regional No. 09 desplegada en los departamentos como Boyacá, Cundinamarca, Amazonas, Vichada y Guainía. </w:t>
      </w:r>
    </w:p>
    <w:p w14:paraId="10ABB275" w14:textId="77777777" w:rsidR="006052AE" w:rsidRPr="00286F2E" w:rsidRDefault="006052AE" w:rsidP="006052AE">
      <w:pPr>
        <w:spacing w:before="120" w:after="120"/>
        <w:ind w:left="709" w:right="709"/>
        <w:contextualSpacing/>
        <w:jc w:val="both"/>
        <w:rPr>
          <w:rFonts w:ascii="Verdana" w:hAnsi="Verdana"/>
          <w:sz w:val="20"/>
          <w:szCs w:val="20"/>
        </w:rPr>
      </w:pPr>
    </w:p>
    <w:p w14:paraId="25E9E0E3"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r w:rsidRPr="00286F2E">
        <w:rPr>
          <w:rFonts w:ascii="Verdana" w:hAnsi="Verdana"/>
          <w:sz w:val="20"/>
          <w:szCs w:val="20"/>
        </w:rPr>
        <w:t>La existencia de pendientes documentales heredados y en proceso de subsanación, bajo responsabilidad directa de los supervisores contractuales.</w:t>
      </w:r>
    </w:p>
    <w:p w14:paraId="186528A7" w14:textId="77777777" w:rsidR="006052A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p>
    <w:p w14:paraId="7BD54D61" w14:textId="77777777" w:rsidR="006052AE" w:rsidRPr="00286F2E" w:rsidRDefault="006052AE" w:rsidP="006052AE">
      <w:pPr>
        <w:spacing w:before="120" w:after="120"/>
        <w:ind w:left="709" w:right="709"/>
        <w:contextualSpacing/>
        <w:jc w:val="both"/>
        <w:rPr>
          <w:rFonts w:ascii="Verdana" w:eastAsia="Century Gothic" w:hAnsi="Verdana" w:cs="Century Gothic"/>
          <w:color w:val="000000" w:themeColor="text1"/>
          <w:sz w:val="20"/>
          <w:szCs w:val="20"/>
        </w:rPr>
      </w:pPr>
      <w:r w:rsidRPr="00286F2E">
        <w:rPr>
          <w:rFonts w:ascii="Verdana" w:eastAsia="Century Gothic" w:hAnsi="Verdana" w:cs="Century Gothic"/>
          <w:color w:val="000000" w:themeColor="text1"/>
          <w:sz w:val="20"/>
          <w:szCs w:val="20"/>
        </w:rPr>
        <w:t>[…]”</w:t>
      </w:r>
    </w:p>
    <w:p w14:paraId="410683B7" w14:textId="77777777" w:rsidR="006052AE" w:rsidRPr="00FC6F34" w:rsidRDefault="006052AE" w:rsidP="006052AE">
      <w:pPr>
        <w:spacing w:after="0" w:line="276" w:lineRule="auto"/>
        <w:ind w:right="709"/>
        <w:jc w:val="both"/>
        <w:rPr>
          <w:rFonts w:ascii="Verdana" w:eastAsia="Calibri" w:hAnsi="Verdana" w:cs="Arial"/>
          <w:lang w:val="es-ES"/>
        </w:rPr>
      </w:pPr>
    </w:p>
    <w:p w14:paraId="31F7D886" w14:textId="77777777" w:rsidR="006052AE" w:rsidRPr="00FC6F34" w:rsidRDefault="006052AE" w:rsidP="006052AE">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0C3A6CBE" w14:textId="77777777" w:rsidR="006052AE" w:rsidRPr="00FC6F34" w:rsidRDefault="006052AE" w:rsidP="006052AE">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86A6341" w14:textId="77777777" w:rsidR="006052AE" w:rsidRPr="00FC6F34" w:rsidRDefault="006052AE" w:rsidP="006052AE">
      <w:pPr>
        <w:spacing w:after="0" w:line="276" w:lineRule="auto"/>
        <w:ind w:firstLine="709"/>
        <w:jc w:val="both"/>
        <w:rPr>
          <w:rFonts w:ascii="Verdana" w:eastAsia="Calibri" w:hAnsi="Verdana" w:cs="Arial"/>
          <w:color w:val="000000" w:themeColor="text1"/>
          <w:lang w:val="es-ES" w:eastAsia="es-ES"/>
        </w:rPr>
      </w:pPr>
    </w:p>
    <w:p w14:paraId="646E9139" w14:textId="77777777" w:rsidR="006052AE" w:rsidRPr="00FC6F34" w:rsidRDefault="006052AE" w:rsidP="006052AE">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1.Problema planteado:</w:t>
      </w:r>
    </w:p>
    <w:p w14:paraId="00C62508" w14:textId="77777777" w:rsidR="006052AE" w:rsidRPr="00FC6F34" w:rsidRDefault="006052AE" w:rsidP="006052AE">
      <w:pPr>
        <w:tabs>
          <w:tab w:val="left" w:pos="426"/>
        </w:tabs>
        <w:spacing w:after="0" w:line="276" w:lineRule="auto"/>
        <w:jc w:val="both"/>
        <w:rPr>
          <w:rFonts w:ascii="Verdana" w:eastAsia="Century Gothic" w:hAnsi="Verdana" w:cs="Century Gothic"/>
          <w:color w:val="000000" w:themeColor="text1"/>
          <w:lang w:val="es-ES"/>
        </w:rPr>
      </w:pPr>
    </w:p>
    <w:p w14:paraId="4C8757E8" w14:textId="77777777" w:rsidR="006052AE" w:rsidRPr="00FC6F34" w:rsidRDefault="006052AE" w:rsidP="006052AE">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sidRPr="00982071">
        <w:rPr>
          <w:rFonts w:ascii="Verdana" w:eastAsia="Century Gothic" w:hAnsi="Verdana" w:cs="Century Gothic"/>
          <w:color w:val="000000" w:themeColor="text1"/>
          <w:lang w:val="es-ES"/>
        </w:rPr>
        <w:t xml:space="preserve">Cuál es el marco jurídico para la </w:t>
      </w:r>
      <w:r>
        <w:rPr>
          <w:rFonts w:ascii="Verdana" w:eastAsia="Century Gothic" w:hAnsi="Verdana" w:cs="Century Gothic"/>
          <w:color w:val="000000" w:themeColor="text1"/>
          <w:lang w:val="es-ES"/>
        </w:rPr>
        <w:t xml:space="preserve">contratación que realicen las entidades del Sistema de Salud de las Fuerzas Militares y de la Policía Nacional </w:t>
      </w:r>
      <w:r w:rsidRPr="0076257C">
        <w:rPr>
          <w:rFonts w:ascii="Verdana" w:eastAsia="Century Gothic" w:hAnsi="Verdana" w:cs="Century Gothic"/>
          <w:color w:val="000000" w:themeColor="text1"/>
          <w:lang w:val="es-ES"/>
        </w:rPr>
        <w:t>en vigencia de la</w:t>
      </w:r>
      <w:r>
        <w:rPr>
          <w:rFonts w:ascii="Verdana" w:eastAsia="Century Gothic" w:hAnsi="Verdana" w:cs="Century Gothic"/>
          <w:color w:val="000000" w:themeColor="text1"/>
          <w:lang w:val="es-ES"/>
        </w:rPr>
        <w:t xml:space="preserve"> prohibición establecida en el artículo 33 de la</w:t>
      </w:r>
      <w:r w:rsidRPr="0076257C">
        <w:rPr>
          <w:rFonts w:ascii="Verdana" w:eastAsia="Century Gothic" w:hAnsi="Verdana" w:cs="Century Gothic"/>
          <w:color w:val="000000" w:themeColor="text1"/>
          <w:lang w:val="es-ES"/>
        </w:rPr>
        <w:t xml:space="preserve"> Ley de Garantías</w:t>
      </w:r>
      <w:r>
        <w:rPr>
          <w:rFonts w:ascii="Verdana" w:eastAsia="Century Gothic" w:hAnsi="Verdana" w:cs="Century Gothic"/>
          <w:color w:val="000000" w:themeColor="text1"/>
          <w:lang w:val="es-ES"/>
        </w:rPr>
        <w:t xml:space="preserve"> Electorales</w:t>
      </w:r>
      <w:r w:rsidRPr="00982071">
        <w:rPr>
          <w:rFonts w:ascii="Verdana" w:eastAsia="Century Gothic" w:hAnsi="Verdana" w:cs="Century Gothic"/>
          <w:color w:val="000000" w:themeColor="text1"/>
          <w:lang w:val="es-ES"/>
        </w:rPr>
        <w:t>?</w:t>
      </w:r>
    </w:p>
    <w:p w14:paraId="7F443B5E" w14:textId="77777777" w:rsidR="006052AE" w:rsidRPr="00FC6F34" w:rsidRDefault="006052AE" w:rsidP="006052AE">
      <w:pPr>
        <w:spacing w:after="0" w:line="276" w:lineRule="auto"/>
        <w:jc w:val="both"/>
        <w:rPr>
          <w:rFonts w:ascii="Verdana" w:eastAsia="Calibri" w:hAnsi="Verdana" w:cs="Arial"/>
          <w:color w:val="000000" w:themeColor="text1"/>
          <w:lang w:val="es-ES"/>
        </w:rPr>
      </w:pPr>
    </w:p>
    <w:p w14:paraId="77A67384" w14:textId="77777777" w:rsidR="006052AE" w:rsidRPr="00FC6F34" w:rsidRDefault="006052AE" w:rsidP="006052A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2.Respuesta:</w:t>
      </w:r>
    </w:p>
    <w:p w14:paraId="47AA7E39" w14:textId="77777777" w:rsidR="006052AE" w:rsidRPr="004C6BA4" w:rsidRDefault="006052AE" w:rsidP="006052AE">
      <w:pPr>
        <w:tabs>
          <w:tab w:val="left" w:pos="142"/>
          <w:tab w:val="left" w:pos="284"/>
        </w:tabs>
        <w:spacing w:after="0" w:line="276" w:lineRule="auto"/>
        <w:jc w:val="both"/>
        <w:rPr>
          <w:rFonts w:ascii="Verdana" w:eastAsia="Century Gothic" w:hAnsi="Verdana" w:cs="Century Gothic"/>
          <w:b/>
          <w:bCs/>
          <w:color w:val="000000" w:themeColor="text1"/>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052AE" w:rsidRPr="004C6BA4" w14:paraId="4E705D90" w14:textId="77777777" w:rsidTr="001B6F25">
        <w:tc>
          <w:tcPr>
            <w:tcW w:w="8828" w:type="dxa"/>
          </w:tcPr>
          <w:p w14:paraId="72B92081" w14:textId="77777777" w:rsidR="006052AE" w:rsidRPr="004C6BA4" w:rsidRDefault="006052AE" w:rsidP="001B6F25">
            <w:pPr>
              <w:spacing w:before="120" w:after="120" w:line="276" w:lineRule="auto"/>
              <w:jc w:val="both"/>
              <w:rPr>
                <w:rFonts w:ascii="Verdana" w:eastAsia="Calibri" w:hAnsi="Verdana" w:cs="Arial"/>
                <w:color w:val="000000" w:themeColor="text1"/>
              </w:rPr>
            </w:pPr>
            <w:r w:rsidRPr="004C6BA4">
              <w:rPr>
                <w:rFonts w:ascii="Verdana" w:eastAsia="Calibri" w:hAnsi="Verdana" w:cs="Arial"/>
                <w:color w:val="000000" w:themeColor="text1"/>
              </w:rPr>
              <w:t xml:space="preserve">El </w:t>
            </w:r>
            <w:r w:rsidRPr="004C6BA4">
              <w:rPr>
                <w:rFonts w:ascii="Verdana" w:eastAsia="Calibri" w:hAnsi="Verdana" w:cs="Arial"/>
                <w:i/>
                <w:iCs/>
                <w:color w:val="000000" w:themeColor="text1"/>
              </w:rPr>
              <w:t xml:space="preserve">artículo 33 </w:t>
            </w:r>
            <w:r w:rsidRPr="004C6BA4">
              <w:rPr>
                <w:rFonts w:ascii="Verdana" w:eastAsia="Calibri" w:hAnsi="Verdana" w:cs="Arial"/>
                <w:color w:val="000000" w:themeColor="text1"/>
              </w:rPr>
              <w:t xml:space="preserve">de la Ley 996 de 2005 prohíbe “[...] la contratación directa por parte de todos los entes del Estado” durante los cuatro (4) meses anteriores a las elecciones presidenciales, salvo “[...] lo referente a la defensa y seguridad del Estado, los contratos de crédito </w:t>
            </w:r>
            <w:proofErr w:type="spellStart"/>
            <w:r w:rsidRPr="004C6BA4">
              <w:rPr>
                <w:rFonts w:ascii="Verdana" w:eastAsia="Calibri" w:hAnsi="Verdana" w:cs="Arial"/>
                <w:color w:val="000000" w:themeColor="text1"/>
              </w:rPr>
              <w:t>público</w:t>
            </w:r>
            <w:proofErr w:type="spellEnd"/>
            <w:r w:rsidRPr="004C6BA4">
              <w:rPr>
                <w:rFonts w:ascii="Verdana" w:eastAsia="Calibri" w:hAnsi="Verdana" w:cs="Arial"/>
                <w:color w:val="000000" w:themeColor="text1"/>
              </w:rPr>
              <w:t xml:space="preserve">, los requeridos para cubrir las emergencias educativas, sanitarias y desastres, así́ como también los utilizados para la reconstrucción de vías, puentes, carreteras, infraestructura energética y de comunicaciones, en caso de que hayan sido </w:t>
            </w:r>
            <w:r w:rsidRPr="004C6BA4">
              <w:rPr>
                <w:rFonts w:ascii="Verdana" w:eastAsia="Calibri" w:hAnsi="Verdana" w:cs="Arial"/>
                <w:color w:val="000000" w:themeColor="text1"/>
              </w:rPr>
              <w:lastRenderedPageBreak/>
              <w:t xml:space="preserve">objeto de atentados, acciones terroristas, desastres naturales o casos de fuerza mayor, y los que deban realizar las entidades sanitarias y hospitalarias. </w:t>
            </w:r>
          </w:p>
          <w:p w14:paraId="4320DFDC" w14:textId="77777777" w:rsidR="006052AE" w:rsidRPr="004C6BA4" w:rsidRDefault="006052AE" w:rsidP="001B6F25">
            <w:pPr>
              <w:spacing w:before="120" w:after="120" w:line="276" w:lineRule="auto"/>
              <w:ind w:firstLine="742"/>
              <w:jc w:val="both"/>
              <w:rPr>
                <w:rFonts w:ascii="Verdana" w:eastAsia="Calibri" w:hAnsi="Verdana" w:cs="Arial"/>
                <w:color w:val="000000" w:themeColor="text1"/>
              </w:rPr>
            </w:pPr>
            <w:r w:rsidRPr="004C6BA4">
              <w:rPr>
                <w:rFonts w:ascii="Verdana" w:eastAsia="Calibri" w:hAnsi="Verdana" w:cs="Arial"/>
                <w:color w:val="000000" w:themeColor="text1"/>
              </w:rPr>
              <w:t xml:space="preserve">En principio, todos los entes del Estado están cobijados por la prohibición para contratar directamente según en el artículo 33 de la Ley de Garantías Electorales. Sin embargo, es importante reiterar que el segundo inciso de la misma disposición consagró las excepciones aplicables a la prohibición de contratación directa establecida en el mismo artículo, entre las cuales se incluyen “los contratos requeridos para cubrir las emergencias educativas, sanitarias y desastres” y “la contratación que deban realizar las entidades sanitarias y hospitalarias”. </w:t>
            </w:r>
          </w:p>
          <w:p w14:paraId="5F38E372" w14:textId="77777777" w:rsidR="006052AE" w:rsidRPr="004C6BA4" w:rsidRDefault="006052AE" w:rsidP="001B6F25">
            <w:pPr>
              <w:spacing w:before="120" w:after="120" w:line="276" w:lineRule="auto"/>
              <w:ind w:firstLine="742"/>
              <w:jc w:val="both"/>
              <w:rPr>
                <w:rFonts w:ascii="Verdana" w:eastAsia="Calibri" w:hAnsi="Verdana" w:cs="Arial"/>
                <w:color w:val="000000" w:themeColor="text1"/>
              </w:rPr>
            </w:pPr>
            <w:r w:rsidRPr="004C6BA4">
              <w:rPr>
                <w:rFonts w:ascii="Verdana" w:eastAsia="Calibri" w:hAnsi="Verdana" w:cs="Arial"/>
                <w:color w:val="000000" w:themeColor="text1"/>
              </w:rPr>
              <w:t xml:space="preserve">De lo anterior se desprende que, bajo la Ley 100 de 1993, dentro de la estructura de la administración pública, las Empresas Sociales del Estado son las entidades encargadas de prestar el servicio de salud de manera directa. Sin embargo, es importante señalar que el artículo 279 de la Ley 100 de 1993 señaló́ expresamente que “El Sistema Integral de Seguridad Social contenido en la presente Ley no se aplica a los miembros de las Fuerzas Militares y de la Policía Nacional”. En línea con esta excepción, la Ley 352 de 1997 estableció́ el marco jurídico que rige el Sistema de Salud de las Fuerzas Militares y de la Policía Nacional –SSMP–. </w:t>
            </w:r>
          </w:p>
          <w:p w14:paraId="247A752A" w14:textId="77777777" w:rsidR="006052AE" w:rsidRPr="004C6BA4" w:rsidRDefault="006052AE" w:rsidP="001B6F25">
            <w:pPr>
              <w:spacing w:before="120" w:after="120" w:line="276" w:lineRule="auto"/>
              <w:ind w:firstLine="742"/>
              <w:jc w:val="both"/>
              <w:rPr>
                <w:rFonts w:ascii="Verdana" w:eastAsia="Arial" w:hAnsi="Verdana" w:cs="Arial"/>
                <w:color w:val="000000" w:themeColor="text1"/>
              </w:rPr>
            </w:pPr>
            <w:r w:rsidRPr="004C6BA4">
              <w:rPr>
                <w:rFonts w:ascii="Verdana" w:eastAsia="Arial" w:hAnsi="Verdana" w:cs="Arial"/>
                <w:bCs/>
                <w:color w:val="000000" w:themeColor="text1"/>
              </w:rPr>
              <w:t xml:space="preserve">De otro lado, el artículo 2.8.8.1.1.3 del Decreto 780 de 2016, por medio del cual se expide el Decreto Único Reglamentario del Sector Salud y Protección Social, definió a las </w:t>
            </w:r>
            <w:r w:rsidRPr="004C6BA4">
              <w:rPr>
                <w:rFonts w:ascii="Verdana" w:eastAsia="Arial" w:hAnsi="Verdana" w:cs="Arial"/>
                <w:bCs/>
                <w:i/>
                <w:iCs/>
                <w:color w:val="000000" w:themeColor="text1"/>
              </w:rPr>
              <w:t>entidades sanitarias</w:t>
            </w:r>
            <w:r w:rsidRPr="004C6BA4">
              <w:rPr>
                <w:rFonts w:ascii="Verdana" w:eastAsia="Arial" w:hAnsi="Verdana" w:cs="Arial"/>
                <w:bCs/>
                <w:color w:val="000000" w:themeColor="text1"/>
              </w:rPr>
              <w:t xml:space="preserve"> como “Entidades del Estado que prestan servicios sanitarios o de sanidad con el propósito de preservar la salud humana y la salud pública”. El artículo citado también define las </w:t>
            </w:r>
            <w:r w:rsidRPr="004C6BA4">
              <w:rPr>
                <w:rFonts w:ascii="Verdana" w:eastAsia="Arial" w:hAnsi="Verdana" w:cs="Arial"/>
                <w:bCs/>
                <w:i/>
                <w:iCs/>
                <w:color w:val="000000" w:themeColor="text1"/>
              </w:rPr>
              <w:t>autoridades sanitarias</w:t>
            </w:r>
            <w:r w:rsidRPr="004C6BA4">
              <w:rPr>
                <w:rFonts w:ascii="Verdana" w:eastAsia="Arial" w:hAnsi="Verdana" w:cs="Arial"/>
                <w:bCs/>
                <w:color w:val="000000" w:themeColor="text1"/>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Estas definiciones se encuentran contenidas en el capítulo 1 del título 8 del citado decreto, el cual se refiere al sistema de vigilancia en salud pública, y cuyo ámbito de aplicación se extiende a los regímenes de excepción establecidos en el artículo 279 de la Ley 100 de 1993, tal como lo dispone textualmente el </w:t>
            </w:r>
            <w:r w:rsidRPr="004C6BA4">
              <w:rPr>
                <w:rFonts w:ascii="Verdana" w:eastAsia="Arial" w:hAnsi="Verdana" w:cs="Arial"/>
                <w:color w:val="000000" w:themeColor="text1"/>
              </w:rPr>
              <w:t>artículo 2.8.8.1.1.2.</w:t>
            </w:r>
          </w:p>
          <w:p w14:paraId="08EDA38E" w14:textId="77777777" w:rsidR="006052AE" w:rsidRPr="004C6BA4" w:rsidRDefault="006052AE" w:rsidP="001B6F25">
            <w:pPr>
              <w:spacing w:before="120" w:after="120" w:line="276" w:lineRule="auto"/>
              <w:ind w:firstLine="709"/>
              <w:jc w:val="both"/>
              <w:rPr>
                <w:rFonts w:ascii="Verdana" w:eastAsia="Times New Roman" w:hAnsi="Verdana" w:cs="Arial"/>
                <w:color w:val="000000" w:themeColor="text1"/>
                <w:lang w:eastAsia="es-ES"/>
              </w:rPr>
            </w:pPr>
            <w:r w:rsidRPr="004C6BA4">
              <w:rPr>
                <w:rFonts w:ascii="Verdana" w:eastAsia="Times New Roman" w:hAnsi="Verdana" w:cs="Arial"/>
                <w:color w:val="000000" w:themeColor="text1"/>
                <w:lang w:eastAsia="es-ES"/>
              </w:rPr>
              <w:t xml:space="preserve">En consecuencia, aquellos organismos o entes que compongan el Sistema de Salud de las Fuerzas Militares y de la Policía Nacional que presten </w:t>
            </w:r>
            <w:r w:rsidRPr="004C6BA4">
              <w:rPr>
                <w:rFonts w:ascii="Verdana" w:eastAsia="Times New Roman" w:hAnsi="Verdana" w:cs="Arial"/>
                <w:color w:val="000000" w:themeColor="text1"/>
                <w:lang w:eastAsia="es-ES"/>
              </w:rPr>
              <w:lastRenderedPageBreak/>
              <w:t xml:space="preserve">servicios sanitarios o de sanidad con el propósito de preservar la salud humana y la salud pública, se entenderán como “entidades sanitarias” para efectos de determinar la aplicabilidad de la excepción establecida en el artículo 33 de la Ley de Garantías sobre la contratación de este tipo de entidades. No estarán incluidas en la excepción aquellos órganos y autoridades sanitarias del sistema que ejerzan funciones de rectoría, regulación, inspección, vigilancia y control. De esta forma, corresponde a la entidad contratante determinar si, conforme a las funciones que atribuye la Ley 352 de 1997, determinados órganos o autoridades pueden ser considerados como entidades sanitarias de acuerdo con la definición del artículo 2.8.8.1.1.3 del Decreto 780 de 2016. Cuando este sea el caso, podrán contratar directamente durante el periodo de la prohibición establecida en el artículo 33. </w:t>
            </w:r>
          </w:p>
          <w:p w14:paraId="1FA82327" w14:textId="77777777" w:rsidR="006052AE" w:rsidRPr="004C6BA4" w:rsidRDefault="006052AE" w:rsidP="001B6F25">
            <w:pPr>
              <w:spacing w:before="120" w:after="120" w:line="276" w:lineRule="auto"/>
              <w:ind w:firstLine="709"/>
              <w:jc w:val="both"/>
              <w:rPr>
                <w:rFonts w:ascii="Verdana" w:eastAsia="Times New Roman" w:hAnsi="Verdana" w:cs="Arial"/>
                <w:color w:val="000000" w:themeColor="text1"/>
                <w:lang w:eastAsia="es-ES"/>
              </w:rPr>
            </w:pPr>
            <w:r w:rsidRPr="004C6BA4">
              <w:rPr>
                <w:rFonts w:ascii="Verdana" w:eastAsia="Times New Roman" w:hAnsi="Verdana" w:cs="Arial"/>
                <w:color w:val="000000" w:themeColor="text1"/>
                <w:lang w:eastAsia="es-ES"/>
              </w:rPr>
              <w:t xml:space="preserve">Conforme con lo expuesto, las entidades que requieran adelantar procesos de contratación directa durante el periodo de garantías electorales deberán analizar, primero, si se configuran los supuestos establecidos en el artículo 33 de la Ley 996 de 2005, es decir, si se trata de una entidad pública que pretenda adelantar un proceso no competitivo. Adicionalmente, será pertinente analizar si se configura alguna de las excepciones previstas en la norma. En este caso, será relevante determinar si la contratación que realice la entidad del Sistema de Salud de las Fuerzas Militares y de la Policía Nacional obedece a una “emergencia sanitaria” o si es llevada a cabo por una “entidad sanitaria u hospitalaria”. De ser así, la entidad podrá llevar a cabo la contratación directa, a pesar de que haya iniciado el periodo de garantías electorales correspondiente al artículo 33 de la Ley 996 de 2005. </w:t>
            </w:r>
          </w:p>
          <w:p w14:paraId="10595B39" w14:textId="77777777" w:rsidR="006052AE" w:rsidRPr="004C6BA4" w:rsidRDefault="006052AE" w:rsidP="001B6F25">
            <w:pPr>
              <w:spacing w:before="120" w:after="120" w:line="276" w:lineRule="auto"/>
              <w:ind w:firstLine="709"/>
              <w:jc w:val="both"/>
              <w:rPr>
                <w:rFonts w:ascii="Verdana" w:eastAsia="Times New Roman" w:hAnsi="Verdana" w:cs="Arial"/>
                <w:color w:val="000000" w:themeColor="text1"/>
                <w:lang w:eastAsia="es-ES"/>
              </w:rPr>
            </w:pPr>
            <w:r w:rsidRPr="004C6BA4">
              <w:rPr>
                <w:rFonts w:ascii="Verdana" w:eastAsia="Times New Roman" w:hAnsi="Verdana" w:cs="Arial"/>
                <w:color w:val="000000" w:themeColor="text1"/>
                <w:lang w:eastAsia="es-ES"/>
              </w:rPr>
              <w:t xml:space="preserve">En suma, corresponderá a cada entidad, incluyendo a aquellas que hacen parte del Sistema de Salud de las Fuerzas Militares y de la Policía Nacional, determinar la procedencia de celebrar un contrato estatal específico, para lo cual deberán tener en cuenta las prohibiciones establecidas en materia contractual en la Ley de Garantías Electorales. En particular, cada entidad debe realizar el análisis para determinar si aplica o no una determinada excepción a la prohibición del artículo 33 de la Ley de Garantías Electorales, según la situación fáctica y jurídica particular del caso concreto, para lo cual las consideraciones expuestas en el presente concepto constituyen un instrumento orientador. De ser es procedente la excepción, la entidad podrá contratar directamente justificando las razones que lo avalan. Por el contrario, si determina que no aplica excepción alguna, estará vedada la celebración de </w:t>
            </w:r>
            <w:r w:rsidRPr="004C6BA4">
              <w:rPr>
                <w:rFonts w:ascii="Verdana" w:eastAsia="Times New Roman" w:hAnsi="Verdana" w:cs="Arial"/>
                <w:color w:val="000000" w:themeColor="text1"/>
                <w:lang w:eastAsia="es-ES"/>
              </w:rPr>
              <w:lastRenderedPageBreak/>
              <w:t xml:space="preserve">contratos de manera directa. Lo anterior, sin perjuicio de la prohibición establecida en el parágrafo del artículo 38 de la Ley de Garantías Electorales. En cualquier caso, las entidades podrán considerar la posibilidad de adelantar su contratación mediante modalidades que no se encuentren restringidas por el artículo 33 o el parágrafo del artículo 38 de la Ley 996 de 2005. </w:t>
            </w:r>
          </w:p>
          <w:p w14:paraId="4F0D5B32" w14:textId="77777777" w:rsidR="006052AE" w:rsidRPr="004C6BA4" w:rsidRDefault="006052AE" w:rsidP="001B6F25">
            <w:pPr>
              <w:spacing w:before="120" w:after="120" w:line="276" w:lineRule="auto"/>
              <w:ind w:firstLine="709"/>
              <w:jc w:val="both"/>
              <w:rPr>
                <w:rFonts w:ascii="Verdana" w:hAnsi="Verdana" w:cs="Arial"/>
                <w:color w:val="000000" w:themeColor="text1"/>
                <w:lang w:eastAsia="es-ES"/>
              </w:rPr>
            </w:pPr>
            <w:r w:rsidRPr="004C6BA4">
              <w:rPr>
                <w:rFonts w:ascii="Verdana" w:eastAsia="Times New Roman" w:hAnsi="Verdana" w:cs="Arial"/>
                <w:color w:val="000000" w:themeColor="text1"/>
                <w:lang w:eastAsia="es-ES"/>
              </w:rPr>
              <w:t xml:space="preserve">Finalmente, es importante advertir que cada Entidad Estatal que considera celebrar un contrato específico debe definir si este se enmarca en alguna de estas prohibiciones. Dentro de este marco, la entidad contratante definirá en cada caso concreto lo relacionado con el tema objeto de consulta. Al tratarse de un análisis que debe realizarse a un asunto particular y concreto, esta Agencia no puede definir un criterio universal y absoluto por vía consultiva, sino que brinda elementos de carácter general para que los partícipes del Sistema de Compras y Contratación Pública adopten la decisión que corresponda, lo cual es acorde con el principio de juridicidad. Así, cada </w:t>
            </w:r>
            <w:r w:rsidRPr="004C6BA4">
              <w:rPr>
                <w:rFonts w:ascii="Verdana" w:hAnsi="Verdana" w:cs="Arial"/>
                <w:color w:val="000000" w:themeColor="text1"/>
                <w:lang w:eastAsia="es-ES"/>
              </w:rPr>
              <w:t xml:space="preserve">Entidad establecerá la forma de adelantar su gestión contractual, sin que sea atribución de la Agencia Nacional de Contratación Pública - Colombia Compra Eficiente validarla. </w:t>
            </w:r>
          </w:p>
        </w:tc>
      </w:tr>
    </w:tbl>
    <w:p w14:paraId="47C23354" w14:textId="77777777" w:rsidR="006052AE" w:rsidRPr="00FC6F34" w:rsidRDefault="006052AE" w:rsidP="006052A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0380B71" w14:textId="77777777" w:rsidR="006052AE" w:rsidRPr="00FC6F34" w:rsidRDefault="006052AE" w:rsidP="006052A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3.Razones de la respuesta:</w:t>
      </w:r>
    </w:p>
    <w:p w14:paraId="011B8D13" w14:textId="77777777" w:rsidR="006052AE" w:rsidRPr="00FC6F34" w:rsidRDefault="006052AE" w:rsidP="006052AE">
      <w:pPr>
        <w:spacing w:after="0" w:line="276" w:lineRule="auto"/>
        <w:jc w:val="both"/>
        <w:rPr>
          <w:rFonts w:ascii="Verdana" w:eastAsia="Calibri" w:hAnsi="Verdana" w:cs="Arial"/>
          <w:color w:val="000000" w:themeColor="text1"/>
          <w:lang w:val="es-ES"/>
        </w:rPr>
      </w:pPr>
    </w:p>
    <w:p w14:paraId="18FFCD06" w14:textId="77777777" w:rsidR="006052AE" w:rsidRPr="00FC6F34" w:rsidRDefault="006052AE" w:rsidP="006052AE">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Pr>
          <w:rFonts w:ascii="Verdana" w:eastAsia="Calibri" w:hAnsi="Verdana" w:cs="Arial"/>
          <w:color w:val="000000" w:themeColor="text1"/>
          <w:lang w:val="es-ES"/>
        </w:rPr>
        <w:t>.</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1"/>
      </w:r>
      <w:r w:rsidRPr="00FC6F34">
        <w:rPr>
          <w:rFonts w:ascii="Verdana" w:eastAsia="Calibri" w:hAnsi="Verdana" w:cs="Arial"/>
          <w:lang w:val="es-ES"/>
        </w:rPr>
        <w:t xml:space="preserve">. </w:t>
      </w:r>
    </w:p>
    <w:p w14:paraId="28692D18" w14:textId="77777777" w:rsidR="006052AE" w:rsidRPr="00FC6F34" w:rsidRDefault="006052AE" w:rsidP="006052AE">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 xml:space="preserve">En el mismo sentido, la Ley 996 de 2005, conocida como “Ley de Garantías Electorales”, se suma al andamiaje constitucional y legal que busca evitar la injerencia inadecuada de intereses particulares en el ejercicio de la función </w:t>
      </w:r>
      <w:r w:rsidRPr="00FC6F34">
        <w:rPr>
          <w:rFonts w:ascii="Verdana" w:eastAsia="Times New Roman" w:hAnsi="Verdana" w:cs="Arial"/>
          <w:lang w:val="es-ES" w:eastAsia="es-CO"/>
        </w:rPr>
        <w:lastRenderedPageBreak/>
        <w:t>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65F3BC92" w14:textId="77777777" w:rsidR="006052AE" w:rsidRPr="00FC6F34" w:rsidRDefault="006052AE" w:rsidP="006052AE">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5296187C" w14:textId="77777777" w:rsidR="006052AE" w:rsidRPr="00FC6F34" w:rsidRDefault="006052AE" w:rsidP="006052AE">
      <w:pPr>
        <w:spacing w:after="0" w:line="276" w:lineRule="auto"/>
        <w:ind w:right="709"/>
        <w:jc w:val="both"/>
        <w:rPr>
          <w:rFonts w:ascii="Verdana" w:eastAsia="Times New Roman" w:hAnsi="Verdana" w:cs="Arial"/>
          <w:lang w:val="es-ES" w:eastAsia="es-CO"/>
        </w:rPr>
      </w:pPr>
    </w:p>
    <w:p w14:paraId="63363904" w14:textId="77777777" w:rsidR="006052AE" w:rsidRPr="00FC6F34" w:rsidRDefault="006052AE" w:rsidP="006052A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23644D7" w14:textId="77777777" w:rsidR="006052AE" w:rsidRPr="00FC6F34" w:rsidRDefault="006052AE" w:rsidP="006052A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66FBC5A5" w14:textId="77777777" w:rsidR="006052AE" w:rsidRPr="00FC6F34" w:rsidRDefault="006052AE" w:rsidP="006052AE">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63DA271A" w14:textId="77777777" w:rsidR="006052AE" w:rsidRPr="00FC6F34" w:rsidRDefault="006052AE" w:rsidP="006052AE">
      <w:pPr>
        <w:spacing w:after="0" w:line="276" w:lineRule="auto"/>
        <w:ind w:firstLine="709"/>
        <w:jc w:val="both"/>
        <w:rPr>
          <w:rFonts w:ascii="Verdana" w:eastAsia="Times New Roman" w:hAnsi="Verdana" w:cs="Arial"/>
          <w:lang w:val="es-ES" w:eastAsia="es-CO"/>
        </w:rPr>
      </w:pPr>
    </w:p>
    <w:p w14:paraId="431AFA52" w14:textId="77777777" w:rsidR="006052AE" w:rsidRPr="00FC6F34" w:rsidRDefault="006052AE" w:rsidP="006052AE">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D01E883" w14:textId="77777777" w:rsidR="006052AE" w:rsidRPr="00FC6F34" w:rsidRDefault="006052AE" w:rsidP="006052AE">
      <w:pPr>
        <w:spacing w:after="0" w:line="276" w:lineRule="auto"/>
        <w:ind w:firstLine="709"/>
        <w:jc w:val="both"/>
        <w:rPr>
          <w:rFonts w:ascii="Verdana" w:eastAsia="Times New Roman" w:hAnsi="Verdana" w:cs="Arial"/>
          <w:lang w:val="es-ES" w:eastAsia="es-CO"/>
        </w:rPr>
      </w:pPr>
    </w:p>
    <w:p w14:paraId="4D41E9CB" w14:textId="77777777" w:rsidR="006052AE" w:rsidRPr="00FC6F34" w:rsidRDefault="006052AE" w:rsidP="006052AE">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lastRenderedPageBreak/>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4B2E27D" w14:textId="77777777" w:rsidR="006052AE" w:rsidRPr="00FC6F34" w:rsidRDefault="006052AE" w:rsidP="006052AE">
      <w:pPr>
        <w:spacing w:after="0" w:line="240" w:lineRule="auto"/>
        <w:ind w:right="709"/>
        <w:jc w:val="both"/>
        <w:rPr>
          <w:rFonts w:ascii="Verdana" w:eastAsia="Times New Roman" w:hAnsi="Verdana" w:cs="Arial"/>
          <w:lang w:val="es-ES" w:eastAsia="es-CO"/>
        </w:rPr>
      </w:pPr>
    </w:p>
    <w:p w14:paraId="0DA7DC22" w14:textId="77777777" w:rsidR="006052AE" w:rsidRPr="00FC6F34" w:rsidRDefault="006052AE" w:rsidP="006052AE">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7BB4CE9A" w14:textId="77777777" w:rsidR="006052AE" w:rsidRPr="00FC6F34" w:rsidRDefault="006052AE" w:rsidP="006052AE">
      <w:pPr>
        <w:spacing w:after="0" w:line="276" w:lineRule="auto"/>
        <w:jc w:val="both"/>
        <w:rPr>
          <w:rFonts w:ascii="Verdana" w:eastAsia="Calibri" w:hAnsi="Verdana" w:cs="Arial"/>
          <w:bCs/>
          <w:lang w:val="es-ES"/>
        </w:rPr>
      </w:pPr>
    </w:p>
    <w:p w14:paraId="6266EA5F" w14:textId="77777777" w:rsidR="006052AE" w:rsidRPr="00FC6F34" w:rsidRDefault="006052AE" w:rsidP="006052AE">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213A253E" w14:textId="77777777" w:rsidR="006052AE" w:rsidRPr="00FC6F34" w:rsidRDefault="006052AE" w:rsidP="006052AE">
      <w:pPr>
        <w:spacing w:after="0" w:line="276" w:lineRule="auto"/>
        <w:ind w:firstLine="709"/>
        <w:jc w:val="both"/>
        <w:rPr>
          <w:rFonts w:ascii="Verdana" w:eastAsia="Arial" w:hAnsi="Verdana" w:cs="Arial"/>
          <w:lang w:val="es-ES" w:eastAsia="es-ES" w:bidi="es-ES"/>
        </w:rPr>
      </w:pPr>
    </w:p>
    <w:p w14:paraId="4EB3701F" w14:textId="77777777" w:rsidR="006052AE" w:rsidRPr="00FC6F34" w:rsidRDefault="006052AE" w:rsidP="006052AE">
      <w:pPr>
        <w:spacing w:after="120" w:line="276" w:lineRule="auto"/>
        <w:jc w:val="both"/>
        <w:rPr>
          <w:rFonts w:ascii="Verdana" w:eastAsia="Arial" w:hAnsi="Verdana" w:cs="Arial"/>
          <w:lang w:val="es-ES" w:eastAsia="es-ES" w:bidi="es-ES"/>
        </w:rPr>
      </w:pPr>
      <w:proofErr w:type="spellStart"/>
      <w:r w:rsidRPr="00FC6F34">
        <w:rPr>
          <w:rFonts w:ascii="Verdana" w:eastAsia="Arial" w:hAnsi="Verdana" w:cs="Arial"/>
          <w:lang w:val="es-ES" w:eastAsia="es-ES" w:bidi="es-ES"/>
        </w:rPr>
        <w:t>ii</w:t>
      </w:r>
      <w:proofErr w:type="spellEnd"/>
      <w:r>
        <w:rPr>
          <w:rFonts w:ascii="Verdana" w:eastAsia="Arial" w:hAnsi="Verdana" w:cs="Arial"/>
          <w:lang w:val="es-ES" w:eastAsia="es-ES" w:bidi="es-ES"/>
        </w:rPr>
        <w:t>.</w:t>
      </w:r>
      <w:r w:rsidRPr="00FC6F34">
        <w:rPr>
          <w:rFonts w:ascii="Verdana" w:eastAsia="Arial" w:hAnsi="Verdana" w:cs="Arial"/>
          <w:lang w:val="es-ES" w:eastAsia="es-ES" w:bidi="es-ES"/>
        </w:rPr>
        <w:t xml:space="preserve"> Las restricciones consagradas en la Ley de Garantías se dirigen a dos (2) tipos de campañas electorales diferenciadas: las presidenciales y las que se adelanten para la elección de los demás cargos de elección popular, tanto a nivel nacional como territorial.</w:t>
      </w:r>
    </w:p>
    <w:p w14:paraId="54E142BB" w14:textId="77777777" w:rsidR="006052AE" w:rsidRPr="00FC6F34" w:rsidRDefault="006052AE" w:rsidP="006052AE">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xml:space="preserve">, salvo “[…] lo referente a la defensa y seguridad del Estado, los contratos de crédito público, los requeridos </w:t>
      </w:r>
      <w:r w:rsidRPr="00FC6F34">
        <w:rPr>
          <w:rFonts w:ascii="Verdana" w:eastAsia="Calibri" w:hAnsi="Verdana" w:cs="Arial"/>
          <w:lang w:val="es-ES"/>
        </w:rPr>
        <w:lastRenderedPageBreak/>
        <w:t>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60C9E83B" w14:textId="77777777" w:rsidR="006052AE" w:rsidRPr="00FC6F34" w:rsidRDefault="006052AE" w:rsidP="006052AE">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3CDF19A4" w14:textId="77777777" w:rsidR="006052AE" w:rsidRPr="00FC6F34" w:rsidRDefault="006052AE" w:rsidP="006052A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55E78C3B" w14:textId="77777777" w:rsidR="006052AE" w:rsidRPr="00FC6F34" w:rsidRDefault="006052AE" w:rsidP="006052AE">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EFBA39A" w14:textId="77777777" w:rsidR="006052AE" w:rsidRPr="00FC6F34" w:rsidRDefault="006052AE" w:rsidP="006052A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w:t>
      </w:r>
      <w:r w:rsidRPr="00FC6F34">
        <w:rPr>
          <w:rFonts w:ascii="Verdana" w:eastAsia="Arial" w:hAnsi="Verdana" w:cs="Arial"/>
          <w:sz w:val="20"/>
          <w:szCs w:val="20"/>
          <w:lang w:val="es-ES" w:eastAsia="es-ES" w:bidi="es-ES"/>
        </w:rPr>
        <w:lastRenderedPageBreak/>
        <w:t xml:space="preserve">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06C02191" w14:textId="77777777" w:rsidR="006052AE" w:rsidRPr="00FC6F34" w:rsidRDefault="006052AE" w:rsidP="006052AE">
      <w:pPr>
        <w:widowControl w:val="0"/>
        <w:autoSpaceDE w:val="0"/>
        <w:autoSpaceDN w:val="0"/>
        <w:spacing w:after="0" w:line="276" w:lineRule="auto"/>
        <w:contextualSpacing/>
        <w:rPr>
          <w:rFonts w:ascii="Verdana" w:eastAsia="Arial" w:hAnsi="Verdana" w:cs="Arial"/>
          <w:lang w:val="es-ES" w:eastAsia="es-ES" w:bidi="es-ES"/>
        </w:rPr>
      </w:pPr>
    </w:p>
    <w:p w14:paraId="13D46A41" w14:textId="77777777" w:rsidR="006052AE" w:rsidRPr="00FC6F34" w:rsidRDefault="006052AE" w:rsidP="006052A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6FD0A64" w14:textId="77777777" w:rsidR="006052AE" w:rsidRPr="00FC6F34" w:rsidRDefault="006052AE" w:rsidP="006052A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448482CF" w14:textId="77777777" w:rsidR="006052AE" w:rsidRPr="00FC6F34" w:rsidRDefault="006052AE" w:rsidP="006052AE">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w:t>
      </w:r>
      <w:r w:rsidRPr="00FC6F34">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2A9B08EE" w14:textId="77777777" w:rsidR="006052AE" w:rsidRPr="00FC6F34" w:rsidRDefault="006052AE" w:rsidP="006052AE">
      <w:pPr>
        <w:spacing w:after="0" w:line="276" w:lineRule="auto"/>
        <w:ind w:firstLine="709"/>
        <w:jc w:val="both"/>
        <w:rPr>
          <w:rFonts w:ascii="Verdana" w:eastAsia="Arial" w:hAnsi="Verdana" w:cs="Arial"/>
          <w:lang w:val="es-ES" w:eastAsia="es-ES" w:bidi="es-ES"/>
        </w:rPr>
      </w:pPr>
    </w:p>
    <w:p w14:paraId="18B2621D" w14:textId="77777777" w:rsidR="006052AE" w:rsidRPr="00FC6F34" w:rsidRDefault="006052AE" w:rsidP="006052AE">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iii</w:t>
      </w:r>
      <w:proofErr w:type="spellEnd"/>
      <w:r>
        <w:rPr>
          <w:rFonts w:ascii="Verdana" w:eastAsia="Calibri" w:hAnsi="Verdana" w:cs="Arial"/>
          <w:lang w:val="es-ES"/>
        </w:rPr>
        <w:t>.</w:t>
      </w:r>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0E6AA93C" w14:textId="77777777" w:rsidR="006052AE" w:rsidRPr="00FC6F34" w:rsidRDefault="006052AE" w:rsidP="006052AE">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2CEB2D34" w14:textId="77777777" w:rsidR="006052AE" w:rsidRPr="00FC6F34" w:rsidRDefault="006052AE" w:rsidP="006052AE">
      <w:pPr>
        <w:shd w:val="clear" w:color="auto" w:fill="FFFFFF" w:themeFill="background1"/>
        <w:spacing w:after="0" w:line="276" w:lineRule="auto"/>
        <w:ind w:firstLine="709"/>
        <w:jc w:val="both"/>
        <w:rPr>
          <w:rFonts w:ascii="Verdana" w:eastAsia="Times New Roman" w:hAnsi="Verdana" w:cs="Arial"/>
          <w:lang w:val="es-ES" w:eastAsia="x-none"/>
        </w:rPr>
      </w:pPr>
    </w:p>
    <w:p w14:paraId="5531E587" w14:textId="77777777" w:rsidR="006052AE" w:rsidRPr="00FC6F34" w:rsidRDefault="006052AE" w:rsidP="006052AE">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 xml:space="preserve">Esta posición es congruente con la expedición de la Ley 1150 de 2007 que, entre otras reformas, </w:t>
      </w:r>
      <w:r w:rsidRPr="00FC6F34">
        <w:rPr>
          <w:rFonts w:ascii="Verdana" w:eastAsia="Times New Roman" w:hAnsi="Verdana" w:cs="Arial"/>
          <w:lang w:val="es-ES" w:eastAsia="x-none"/>
        </w:rPr>
        <w:lastRenderedPageBreak/>
        <w:t>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63F4A60" w14:textId="77777777" w:rsidR="006052AE" w:rsidRPr="00FC6F34" w:rsidRDefault="006052AE" w:rsidP="006052AE">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75153903" w14:textId="77777777" w:rsidR="006052AE" w:rsidRPr="00FC6F34" w:rsidRDefault="006052AE" w:rsidP="006052AE">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A3916E9" w14:textId="77777777" w:rsidR="006052AE" w:rsidRPr="00FC6F34" w:rsidRDefault="006052AE" w:rsidP="006052AE">
      <w:pPr>
        <w:spacing w:after="0" w:line="276" w:lineRule="auto"/>
        <w:ind w:firstLine="708"/>
        <w:jc w:val="both"/>
        <w:rPr>
          <w:rFonts w:ascii="Verdana" w:eastAsia="Times New Roman" w:hAnsi="Verdana" w:cs="Arial"/>
          <w:lang w:val="es-ES"/>
        </w:rPr>
      </w:pPr>
    </w:p>
    <w:p w14:paraId="0B30B500" w14:textId="77777777" w:rsidR="006052AE" w:rsidRPr="00FC6F34" w:rsidRDefault="006052AE" w:rsidP="006052AE">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iv</w:t>
      </w:r>
      <w:proofErr w:type="spellEnd"/>
      <w:r>
        <w:rPr>
          <w:rFonts w:ascii="Verdana" w:eastAsia="Times New Roman" w:hAnsi="Verdana" w:cs="Arial"/>
          <w:bCs/>
          <w:lang w:val="es-ES" w:eastAsia="es-CO"/>
        </w:rPr>
        <w:t>.</w:t>
      </w:r>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669C77FF" w14:textId="77777777" w:rsidR="006052AE" w:rsidRPr="00FC6F34" w:rsidRDefault="006052AE" w:rsidP="006052AE">
      <w:pPr>
        <w:spacing w:after="0" w:line="276" w:lineRule="auto"/>
        <w:ind w:firstLine="708"/>
        <w:jc w:val="both"/>
        <w:rPr>
          <w:rFonts w:ascii="Verdana" w:eastAsia="Times New Roman" w:hAnsi="Verdana" w:cs="Arial"/>
          <w:lang w:val="es-ES"/>
        </w:rPr>
      </w:pPr>
    </w:p>
    <w:p w14:paraId="1BB457EB" w14:textId="77777777" w:rsidR="006052AE" w:rsidRPr="00FC6F34" w:rsidRDefault="006052AE" w:rsidP="006052AE">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 xml:space="preserve">“El vocablo "todos" que utilizó el legislador, comprende, en consecuencia, sin distinción del "régimen jurídico, forma de organización o naturaleza, </w:t>
      </w:r>
      <w:r w:rsidRPr="00FC6F34">
        <w:rPr>
          <w:rFonts w:ascii="Verdana" w:eastAsia="Times New Roman" w:hAnsi="Verdana" w:cs="Arial"/>
          <w:bCs/>
          <w:sz w:val="20"/>
          <w:szCs w:val="20"/>
          <w:lang w:val="es-ES" w:eastAsia="es-CO"/>
        </w:rPr>
        <w:lastRenderedPageBreak/>
        <w:t>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5"/>
      </w:r>
      <w:r w:rsidRPr="00FC6F34">
        <w:rPr>
          <w:rFonts w:ascii="Verdana" w:eastAsia="Times New Roman" w:hAnsi="Verdana" w:cs="Arial"/>
          <w:bCs/>
          <w:sz w:val="20"/>
          <w:szCs w:val="20"/>
          <w:lang w:val="es-ES" w:eastAsia="es-CO"/>
        </w:rPr>
        <w:t>.</w:t>
      </w:r>
    </w:p>
    <w:p w14:paraId="709D8385" w14:textId="77777777" w:rsidR="006052AE" w:rsidRPr="00FC6F34" w:rsidRDefault="006052AE" w:rsidP="006052AE">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6"/>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65CB8B83" w14:textId="77777777" w:rsidR="006052AE" w:rsidRPr="00FC6F34" w:rsidRDefault="006052AE" w:rsidP="006052AE">
      <w:pPr>
        <w:spacing w:line="276" w:lineRule="auto"/>
        <w:ind w:firstLine="709"/>
        <w:jc w:val="both"/>
        <w:rPr>
          <w:rFonts w:ascii="Verdana" w:eastAsia="Arial" w:hAnsi="Verdana" w:cs="Arial"/>
          <w:bCs/>
          <w:color w:val="000000" w:themeColor="text1"/>
          <w:lang w:val="es-ES"/>
        </w:rPr>
      </w:pPr>
      <w:r w:rsidRPr="00FC6F34">
        <w:rPr>
          <w:rFonts w:ascii="Verdana" w:eastAsia="Arial" w:hAnsi="Verdana" w:cs="Arial"/>
          <w:color w:val="000000" w:themeColor="text1"/>
          <w:lang w:val="es-ES"/>
        </w:rPr>
        <w:t>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4CB406B7" w14:textId="77777777" w:rsidR="006052AE" w:rsidRPr="00FC6F34" w:rsidRDefault="006052AE" w:rsidP="006052AE">
      <w:pPr>
        <w:spacing w:before="120" w:line="276" w:lineRule="auto"/>
        <w:ind w:firstLine="709"/>
        <w:jc w:val="both"/>
        <w:rPr>
          <w:rFonts w:ascii="Verdana" w:hAnsi="Verdana" w:cs="Arial"/>
          <w:bCs/>
          <w:color w:val="000000" w:themeColor="text1"/>
          <w:lang w:val="es-ES"/>
        </w:rPr>
      </w:pPr>
      <w:r w:rsidRPr="00FC6F34">
        <w:rPr>
          <w:rFonts w:ascii="Verdana" w:eastAsia="Arial" w:hAnsi="Verdana" w:cs="Arial"/>
          <w:bCs/>
          <w:color w:val="000000" w:themeColor="text1"/>
          <w:lang w:val="es-ES"/>
        </w:rPr>
        <w:t xml:space="preserve">En este punto, </w:t>
      </w:r>
      <w:r>
        <w:rPr>
          <w:rFonts w:ascii="Verdana" w:eastAsia="Arial" w:hAnsi="Verdana" w:cs="Arial"/>
          <w:bCs/>
          <w:color w:val="000000" w:themeColor="text1"/>
          <w:lang w:val="es-ES"/>
        </w:rPr>
        <w:t xml:space="preserve">es importante tener en </w:t>
      </w:r>
      <w:r w:rsidRPr="00FC6F34">
        <w:rPr>
          <w:rFonts w:ascii="Verdana" w:eastAsia="Arial" w:hAnsi="Verdana" w:cs="Arial"/>
          <w:bCs/>
          <w:color w:val="000000" w:themeColor="text1"/>
          <w:lang w:val="es-ES"/>
        </w:rPr>
        <w:t xml:space="preserve">cuenta que, en principio, todos los entes del Estado están cobijados por la prohibición para contratar directamente establecida en el artículo 33 de la Ley de Garantías Electorales. Sin embargo, </w:t>
      </w:r>
      <w:r w:rsidRPr="00FC6F34">
        <w:rPr>
          <w:rFonts w:ascii="Verdana" w:hAnsi="Verdana" w:cs="Arial"/>
          <w:bCs/>
          <w:color w:val="000000" w:themeColor="text1"/>
          <w:lang w:val="es-ES"/>
        </w:rPr>
        <w:t xml:space="preserve">el segundo inciso de la misma disposición consagró las excepciones aplicables a la </w:t>
      </w:r>
      <w:r w:rsidRPr="00FC6F34">
        <w:rPr>
          <w:rFonts w:ascii="Verdana" w:hAnsi="Verdana" w:cs="Arial"/>
          <w:bCs/>
          <w:color w:val="000000" w:themeColor="text1"/>
          <w:lang w:val="es-ES"/>
        </w:rPr>
        <w:lastRenderedPageBreak/>
        <w:t>prohibición de contratación directa establecida en el artículo</w:t>
      </w:r>
      <w:r>
        <w:rPr>
          <w:rFonts w:ascii="Verdana" w:hAnsi="Verdana" w:cs="Arial"/>
          <w:bCs/>
          <w:color w:val="000000" w:themeColor="text1"/>
          <w:lang w:val="es-ES"/>
        </w:rPr>
        <w:t xml:space="preserve"> 33</w:t>
      </w:r>
      <w:r w:rsidRPr="00FC6F34">
        <w:rPr>
          <w:rFonts w:ascii="Verdana" w:hAnsi="Verdana" w:cs="Arial"/>
          <w:bCs/>
          <w:color w:val="000000" w:themeColor="text1"/>
          <w:lang w:val="es-ES"/>
        </w:rPr>
        <w:t xml:space="preserve">. Como se indicó, las excepciones a la prohibición de </w:t>
      </w:r>
      <w:r>
        <w:rPr>
          <w:rFonts w:ascii="Verdana" w:hAnsi="Verdana" w:cs="Arial"/>
          <w:bCs/>
          <w:color w:val="000000" w:themeColor="text1"/>
          <w:lang w:val="es-ES"/>
        </w:rPr>
        <w:t xml:space="preserve">esta norma </w:t>
      </w:r>
      <w:r w:rsidRPr="00FC6F34">
        <w:rPr>
          <w:rFonts w:ascii="Verdana" w:hAnsi="Verdana" w:cs="Arial"/>
          <w:bCs/>
          <w:color w:val="000000" w:themeColor="text1"/>
          <w:lang w:val="es-ES"/>
        </w:rPr>
        <w:t>son las siguientes:</w:t>
      </w:r>
    </w:p>
    <w:p w14:paraId="31728A6D" w14:textId="77777777" w:rsidR="006052AE" w:rsidRPr="00FC6F34" w:rsidRDefault="006052AE" w:rsidP="006052A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i) La contratación referente a la defensa y seguridad del Estado;</w:t>
      </w:r>
    </w:p>
    <w:p w14:paraId="12353950" w14:textId="77777777" w:rsidR="006052AE" w:rsidRPr="00FC6F34" w:rsidRDefault="006052AE" w:rsidP="006052A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w:t>
      </w:r>
      <w:proofErr w:type="spellEnd"/>
      <w:r w:rsidRPr="00FC6F34">
        <w:rPr>
          <w:rFonts w:ascii="Verdana" w:hAnsi="Verdana" w:cs="Arial"/>
          <w:bCs/>
          <w:color w:val="000000" w:themeColor="text1"/>
          <w:lang w:val="es-ES"/>
        </w:rPr>
        <w:t>) Los contratos de crédito público;</w:t>
      </w:r>
    </w:p>
    <w:p w14:paraId="1EE47101" w14:textId="77777777" w:rsidR="006052AE" w:rsidRPr="00FC6F34" w:rsidRDefault="006052AE" w:rsidP="006052A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iii</w:t>
      </w:r>
      <w:proofErr w:type="spellEnd"/>
      <w:r w:rsidRPr="00FC6F34">
        <w:rPr>
          <w:rFonts w:ascii="Verdana" w:hAnsi="Verdana" w:cs="Arial"/>
          <w:bCs/>
          <w:color w:val="000000" w:themeColor="text1"/>
          <w:lang w:val="es-ES"/>
        </w:rPr>
        <w:t xml:space="preserve">) Los contratos requeridos para cubrir las </w:t>
      </w:r>
      <w:r w:rsidRPr="008274CC">
        <w:rPr>
          <w:rFonts w:ascii="Verdana" w:hAnsi="Verdana" w:cs="Arial"/>
          <w:bCs/>
          <w:i/>
          <w:iCs/>
          <w:color w:val="000000" w:themeColor="text1"/>
          <w:lang w:val="es-ES"/>
        </w:rPr>
        <w:t>emergencias educativas, sanitarias</w:t>
      </w:r>
      <w:r w:rsidRPr="00FC6F34">
        <w:rPr>
          <w:rFonts w:ascii="Verdana" w:hAnsi="Verdana" w:cs="Arial"/>
          <w:bCs/>
          <w:color w:val="000000" w:themeColor="text1"/>
          <w:lang w:val="es-ES"/>
        </w:rPr>
        <w:t xml:space="preserve"> </w:t>
      </w:r>
      <w:r w:rsidRPr="008274CC">
        <w:rPr>
          <w:rFonts w:ascii="Verdana" w:hAnsi="Verdana" w:cs="Arial"/>
          <w:bCs/>
          <w:i/>
          <w:iCs/>
          <w:color w:val="000000" w:themeColor="text1"/>
          <w:lang w:val="es-ES"/>
        </w:rPr>
        <w:t>y desastres</w:t>
      </w:r>
      <w:r w:rsidRPr="00FC6F34">
        <w:rPr>
          <w:rFonts w:ascii="Verdana" w:hAnsi="Verdana" w:cs="Arial"/>
          <w:bCs/>
          <w:color w:val="000000" w:themeColor="text1"/>
          <w:lang w:val="es-ES"/>
        </w:rPr>
        <w:t xml:space="preserve">; </w:t>
      </w:r>
    </w:p>
    <w:p w14:paraId="3CCFFD05" w14:textId="77777777" w:rsidR="006052AE" w:rsidRPr="00FC6F34" w:rsidRDefault="006052AE" w:rsidP="006052A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proofErr w:type="spellStart"/>
      <w:r w:rsidRPr="00FC6F34">
        <w:rPr>
          <w:rFonts w:ascii="Verdana" w:hAnsi="Verdana" w:cs="Arial"/>
          <w:bCs/>
          <w:color w:val="000000" w:themeColor="text1"/>
          <w:lang w:val="es-ES"/>
        </w:rPr>
        <w:t>iv</w:t>
      </w:r>
      <w:proofErr w:type="spellEnd"/>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122A7180" w14:textId="77777777" w:rsidR="006052AE" w:rsidRDefault="006052AE" w:rsidP="006052AE">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t xml:space="preserve">v) </w:t>
      </w:r>
      <w:r w:rsidRPr="008274CC">
        <w:rPr>
          <w:rFonts w:ascii="Verdana" w:hAnsi="Verdana" w:cs="Arial"/>
          <w:bCs/>
          <w:i/>
          <w:iCs/>
          <w:color w:val="000000" w:themeColor="text1"/>
          <w:lang w:val="es-ES"/>
        </w:rPr>
        <w:t>La contratación que deban realizar las entidades sanitarias y hospitalarias.</w:t>
      </w:r>
      <w:r w:rsidRPr="00FC6F34">
        <w:rPr>
          <w:rFonts w:ascii="Verdana" w:hAnsi="Verdana" w:cs="Arial"/>
          <w:bCs/>
          <w:color w:val="000000" w:themeColor="text1"/>
          <w:lang w:val="es-ES"/>
        </w:rPr>
        <w:t xml:space="preserve"> </w:t>
      </w:r>
    </w:p>
    <w:p w14:paraId="0150F653" w14:textId="77777777" w:rsidR="006052AE" w:rsidRPr="00FC6F34" w:rsidRDefault="006052AE" w:rsidP="006052AE">
      <w:pPr>
        <w:tabs>
          <w:tab w:val="left" w:pos="709"/>
        </w:tabs>
        <w:spacing w:before="120" w:after="120" w:line="276" w:lineRule="auto"/>
        <w:jc w:val="both"/>
        <w:rPr>
          <w:rFonts w:ascii="Verdana" w:hAnsi="Verdana" w:cs="Arial"/>
          <w:bCs/>
          <w:color w:val="000000" w:themeColor="text1"/>
          <w:lang w:val="es-ES"/>
        </w:rPr>
      </w:pPr>
      <w:r>
        <w:rPr>
          <w:rFonts w:ascii="Verdana" w:hAnsi="Verdana" w:cs="Arial"/>
          <w:bCs/>
          <w:color w:val="000000" w:themeColor="text1"/>
          <w:lang w:val="es-ES"/>
        </w:rPr>
        <w:tab/>
        <w:t xml:space="preserve">Es importante resaltar que la redacción inicial del artículo 33 incluyó una excepción adicional que excluía de la prohibición a </w:t>
      </w:r>
      <w:r w:rsidRPr="00E558B0">
        <w:rPr>
          <w:rFonts w:ascii="Verdana" w:hAnsi="Verdana" w:cs="Arial"/>
          <w:bCs/>
          <w:color w:val="000000" w:themeColor="text1"/>
          <w:lang w:val="es-ES"/>
        </w:rPr>
        <w:t>“</w:t>
      </w:r>
      <w:r w:rsidRPr="00E558B0">
        <w:rPr>
          <w:rFonts w:ascii="Verdana" w:hAnsi="Verdana" w:cs="Arial"/>
          <w:bCs/>
          <w:color w:val="000000" w:themeColor="text1"/>
        </w:rPr>
        <w:t>aquellos gastos inaplazables e imprescindibles que afecten el normal funcionamiento de la administración”</w:t>
      </w:r>
      <w:r>
        <w:rPr>
          <w:rFonts w:ascii="Verdana" w:hAnsi="Verdana" w:cs="Arial"/>
          <w:bCs/>
          <w:color w:val="000000" w:themeColor="text1"/>
        </w:rPr>
        <w:t>, a la cual usted hace referencia en su consulta</w:t>
      </w:r>
      <w:r w:rsidRPr="00E558B0">
        <w:rPr>
          <w:rFonts w:ascii="Verdana" w:hAnsi="Verdana" w:cs="Arial"/>
          <w:bCs/>
          <w:color w:val="000000" w:themeColor="text1"/>
        </w:rPr>
        <w:t>.</w:t>
      </w:r>
      <w:r>
        <w:rPr>
          <w:rFonts w:ascii="Verdana" w:hAnsi="Verdana" w:cs="Arial"/>
          <w:bCs/>
          <w:color w:val="000000" w:themeColor="text1"/>
        </w:rPr>
        <w:t xml:space="preserve"> Sin embargo, esta expresión fue declarada inexequible por la Corte Constitucional en la sentencia C-1153 de 2005</w:t>
      </w:r>
      <w:r>
        <w:rPr>
          <w:rStyle w:val="Refdenotaalpie"/>
          <w:rFonts w:ascii="Verdana" w:hAnsi="Verdana" w:cs="Arial"/>
          <w:bCs/>
          <w:color w:val="000000" w:themeColor="text1"/>
        </w:rPr>
        <w:footnoteReference w:id="17"/>
      </w:r>
      <w:r>
        <w:rPr>
          <w:rFonts w:ascii="Verdana" w:hAnsi="Verdana" w:cs="Arial"/>
          <w:bCs/>
          <w:color w:val="000000" w:themeColor="text1"/>
        </w:rPr>
        <w:t xml:space="preserve">. En esta providencia, la Corte señaló que la expresión era </w:t>
      </w:r>
      <w:r w:rsidRPr="00CA6738">
        <w:rPr>
          <w:rFonts w:ascii="Verdana" w:hAnsi="Verdana" w:cs="Arial"/>
          <w:bCs/>
          <w:color w:val="000000" w:themeColor="text1"/>
        </w:rPr>
        <w:t>demasiado amplia y</w:t>
      </w:r>
      <w:r>
        <w:rPr>
          <w:rFonts w:ascii="Verdana" w:hAnsi="Verdana" w:cs="Arial"/>
          <w:bCs/>
          <w:color w:val="000000" w:themeColor="text1"/>
        </w:rPr>
        <w:t xml:space="preserve"> adolecía de una considerable</w:t>
      </w:r>
      <w:r w:rsidRPr="00CA6738">
        <w:rPr>
          <w:rFonts w:ascii="Verdana" w:hAnsi="Verdana" w:cs="Arial"/>
          <w:bCs/>
          <w:color w:val="000000" w:themeColor="text1"/>
        </w:rPr>
        <w:t xml:space="preserve"> indeterminación semántica</w:t>
      </w:r>
      <w:r>
        <w:rPr>
          <w:rFonts w:ascii="Verdana" w:hAnsi="Verdana" w:cs="Arial"/>
          <w:bCs/>
          <w:color w:val="000000" w:themeColor="text1"/>
        </w:rPr>
        <w:t xml:space="preserve"> que terminaría permitiendo </w:t>
      </w:r>
      <w:r w:rsidRPr="00CA6738">
        <w:rPr>
          <w:rFonts w:ascii="Verdana" w:hAnsi="Verdana" w:cs="Arial"/>
          <w:bCs/>
          <w:color w:val="000000" w:themeColor="text1"/>
        </w:rPr>
        <w:t xml:space="preserve">incluir numerosas excepciones que desdibujarían la prohibición original. </w:t>
      </w:r>
      <w:r>
        <w:rPr>
          <w:rFonts w:ascii="Verdana" w:hAnsi="Verdana" w:cs="Arial"/>
          <w:bCs/>
          <w:color w:val="000000" w:themeColor="text1"/>
        </w:rPr>
        <w:t>En consecuencia, actualmente solo serán aplicables los cinco supuestos antes señalados.</w:t>
      </w:r>
    </w:p>
    <w:p w14:paraId="1A0671D2" w14:textId="77777777" w:rsidR="006052AE" w:rsidRPr="00FC6F34" w:rsidRDefault="006052AE" w:rsidP="006052AE">
      <w:pPr>
        <w:spacing w:before="120" w:line="276" w:lineRule="auto"/>
        <w:ind w:firstLine="709"/>
        <w:jc w:val="both"/>
        <w:rPr>
          <w:rFonts w:ascii="Verdana" w:hAnsi="Verdana" w:cs="Arial"/>
          <w:lang w:val="es-ES" w:eastAsia="x-none"/>
        </w:rPr>
      </w:pPr>
      <w:r>
        <w:rPr>
          <w:rFonts w:ascii="Verdana" w:hAnsi="Verdana" w:cs="Arial"/>
          <w:lang w:val="es-ES" w:eastAsia="x-none"/>
        </w:rPr>
        <w:t>Por otra parte, l</w:t>
      </w:r>
      <w:r w:rsidRPr="00FC6F34">
        <w:rPr>
          <w:rFonts w:ascii="Verdana" w:hAnsi="Verdana" w:cs="Arial"/>
          <w:lang w:val="es-ES" w:eastAsia="x-none"/>
        </w:rPr>
        <w:t>a Corte Constitucional</w:t>
      </w:r>
      <w:r>
        <w:rPr>
          <w:rFonts w:ascii="Verdana" w:hAnsi="Verdana" w:cs="Arial"/>
          <w:lang w:val="es-ES" w:eastAsia="x-none"/>
        </w:rPr>
        <w:t xml:space="preserve"> resaltó sobre estas excepciones que</w:t>
      </w:r>
      <w:r w:rsidRPr="00FC6F34">
        <w:rPr>
          <w:rFonts w:ascii="Verdana" w:hAnsi="Verdana" w:cs="Arial"/>
          <w:lang w:val="es-ES" w:eastAsia="x-none"/>
        </w:rPr>
        <w:t>,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footnoteReference w:id="18"/>
      </w:r>
      <w:r w:rsidRPr="00FC6F34">
        <w:rPr>
          <w:rFonts w:ascii="Verdana" w:hAnsi="Verdana" w:cs="Arial"/>
          <w:lang w:val="es-ES" w:eastAsia="x-none"/>
        </w:rPr>
        <w:t xml:space="preserve">. De ahí que la Corte haya hecho particular énfasis en que las excepciones a la restricción protegen diversos tipos de urgencias de defensa, </w:t>
      </w:r>
      <w:r w:rsidRPr="001F2948">
        <w:rPr>
          <w:rFonts w:ascii="Verdana" w:hAnsi="Verdana" w:cs="Arial"/>
          <w:i/>
          <w:iCs/>
          <w:lang w:val="es-ES" w:eastAsia="x-none"/>
        </w:rPr>
        <w:t>salud</w:t>
      </w:r>
      <w:r w:rsidRPr="00FC6F34">
        <w:rPr>
          <w:rFonts w:ascii="Verdana" w:hAnsi="Verdana" w:cs="Arial"/>
          <w:lang w:val="es-ES" w:eastAsia="x-none"/>
        </w:rPr>
        <w:t xml:space="preserve">, educación, infraestructura vial y de servicios públicos y ecológicas, que tienden a no limitar </w:t>
      </w:r>
      <w:r w:rsidRPr="00FC6F34">
        <w:rPr>
          <w:rFonts w:ascii="Verdana" w:hAnsi="Verdana" w:cs="Arial"/>
          <w:lang w:val="es-ES" w:eastAsia="x-none"/>
        </w:rPr>
        <w:lastRenderedPageBreak/>
        <w:t>desproporcionadamente la acción del Estado en el cumplimiento de sus fines, en procura de la igualdad entre los candidatos como garantía electoral.</w:t>
      </w:r>
    </w:p>
    <w:p w14:paraId="04494A74" w14:textId="77777777" w:rsidR="006052AE" w:rsidRPr="00FC6F34" w:rsidRDefault="006052AE" w:rsidP="006052AE">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0AB9F5DC" w14:textId="77777777" w:rsidR="006052AE" w:rsidRPr="00FC6F34" w:rsidRDefault="006052AE" w:rsidP="006052AE">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9"/>
      </w:r>
      <w:r w:rsidRPr="00FC6F34">
        <w:rPr>
          <w:rFonts w:ascii="Verdana" w:hAnsi="Verdana" w:cs="Arial"/>
          <w:color w:val="000000" w:themeColor="text1"/>
          <w:sz w:val="20"/>
          <w:szCs w:val="20"/>
          <w:lang w:val="es-ES" w:eastAsia="es-CO"/>
        </w:rPr>
        <w:t xml:space="preserve">”. </w:t>
      </w:r>
    </w:p>
    <w:p w14:paraId="1B19AD1D" w14:textId="77777777" w:rsidR="006052AE" w:rsidRPr="00FC6F34" w:rsidRDefault="006052AE" w:rsidP="006052AE">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FC6F34">
        <w:rPr>
          <w:rFonts w:ascii="Verdana" w:hAnsi="Verdana" w:cs="Arial"/>
          <w:bCs/>
          <w:color w:val="000000" w:themeColor="text1"/>
          <w:lang w:val="es-ES"/>
        </w:rPr>
        <w:t xml:space="preserve">ey de </w:t>
      </w:r>
      <w:r>
        <w:rPr>
          <w:rFonts w:ascii="Verdana" w:hAnsi="Verdana" w:cs="Arial"/>
          <w:bCs/>
          <w:color w:val="000000" w:themeColor="text1"/>
          <w:lang w:val="es-ES"/>
        </w:rPr>
        <w:t>G</w:t>
      </w:r>
      <w:r w:rsidRPr="00FC6F34">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FC6F34">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4312E580" w14:textId="77777777" w:rsidR="006052AE" w:rsidRPr="00FC6F34" w:rsidRDefault="006052AE" w:rsidP="006052AE">
      <w:pPr>
        <w:tabs>
          <w:tab w:val="left" w:pos="426"/>
        </w:tabs>
        <w:spacing w:after="0" w:line="276" w:lineRule="auto"/>
        <w:ind w:firstLine="709"/>
        <w:jc w:val="both"/>
        <w:rPr>
          <w:rFonts w:ascii="Verdana" w:hAnsi="Verdana" w:cs="Arial"/>
          <w:color w:val="000000" w:themeColor="text1"/>
          <w:lang w:val="es-ES"/>
        </w:rPr>
      </w:pPr>
    </w:p>
    <w:p w14:paraId="46FB24EC" w14:textId="77777777" w:rsidR="006052AE" w:rsidRPr="00FC6F34" w:rsidRDefault="006052AE" w:rsidP="006052AE">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2BC4438F" w14:textId="77777777" w:rsidR="006052AE" w:rsidRPr="00FC6F34" w:rsidRDefault="006052AE" w:rsidP="006052AE">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 dentro de las que se encuentran:</w:t>
      </w:r>
    </w:p>
    <w:p w14:paraId="236085EA" w14:textId="77777777" w:rsidR="006052AE" w:rsidRPr="00FC6F34" w:rsidRDefault="006052AE" w:rsidP="006052AE">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 xml:space="preserve">[…] </w:t>
      </w:r>
    </w:p>
    <w:p w14:paraId="48FE27FE" w14:textId="77777777" w:rsidR="006052AE" w:rsidRPr="00FC6F34" w:rsidRDefault="006052AE" w:rsidP="006052AE">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5. Los que deban realizar las entidades sanitarias y hospitalarias […]</w:t>
      </w:r>
      <w:r w:rsidRPr="00FC6F34">
        <w:rPr>
          <w:rFonts w:ascii="Verdana" w:hAnsi="Verdana" w:cs="Arial"/>
          <w:color w:val="000000" w:themeColor="text1"/>
          <w:sz w:val="20"/>
          <w:szCs w:val="20"/>
          <w:shd w:val="clear" w:color="auto" w:fill="FFFFFF"/>
          <w:vertAlign w:val="superscript"/>
          <w:lang w:val="es-ES"/>
        </w:rPr>
        <w:footnoteReference w:id="20"/>
      </w:r>
      <w:r w:rsidRPr="00FC6F34">
        <w:rPr>
          <w:rFonts w:ascii="Verdana" w:hAnsi="Verdana" w:cs="Arial"/>
          <w:color w:val="000000" w:themeColor="text1"/>
          <w:sz w:val="20"/>
          <w:szCs w:val="20"/>
          <w:shd w:val="clear" w:color="auto" w:fill="FFFFFF"/>
          <w:lang w:val="es-ES"/>
        </w:rPr>
        <w:t>.</w:t>
      </w:r>
    </w:p>
    <w:p w14:paraId="595107C6" w14:textId="77777777" w:rsidR="006052AE" w:rsidRPr="00FC6F34" w:rsidRDefault="006052AE" w:rsidP="006052AE">
      <w:pPr>
        <w:spacing w:after="0"/>
        <w:ind w:left="709" w:right="709"/>
        <w:jc w:val="both"/>
        <w:rPr>
          <w:rFonts w:ascii="Verdana" w:hAnsi="Verdana" w:cs="Arial"/>
          <w:color w:val="000000" w:themeColor="text1"/>
          <w:sz w:val="20"/>
          <w:szCs w:val="20"/>
          <w:shd w:val="clear" w:color="auto" w:fill="FFFFFF"/>
          <w:lang w:val="es-ES"/>
        </w:rPr>
      </w:pPr>
    </w:p>
    <w:p w14:paraId="14A4223B" w14:textId="77777777" w:rsidR="006052AE" w:rsidRPr="00FC6F34" w:rsidRDefault="006052AE" w:rsidP="006052AE">
      <w:pPr>
        <w:tabs>
          <w:tab w:val="left" w:pos="426"/>
        </w:tabs>
        <w:spacing w:after="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77C1E91A" w14:textId="77777777" w:rsidR="006052AE" w:rsidRPr="00FC6F34" w:rsidRDefault="006052AE" w:rsidP="006052AE">
      <w:pPr>
        <w:tabs>
          <w:tab w:val="left" w:pos="426"/>
        </w:tabs>
        <w:spacing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lastRenderedPageBreak/>
        <w:t xml:space="preserve">Teniendo en cuenta el tema de su consulta, es pertinente analizar el quinto evento exceptuado de la prohibición,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65188912" w14:textId="77777777" w:rsidR="006052AE" w:rsidRDefault="006052AE" w:rsidP="006052AE">
      <w:pPr>
        <w:tabs>
          <w:tab w:val="left" w:pos="426"/>
        </w:tabs>
        <w:spacing w:before="120" w:line="276" w:lineRule="auto"/>
        <w:ind w:firstLine="709"/>
        <w:jc w:val="both"/>
        <w:rPr>
          <w:rFonts w:ascii="Verdana" w:hAnsi="Verdana" w:cs="Arial"/>
          <w:color w:val="000000" w:themeColor="text1"/>
          <w:lang w:val="es-ES"/>
        </w:rPr>
      </w:pPr>
      <w:r w:rsidRPr="00FC6F34">
        <w:rPr>
          <w:rFonts w:ascii="Verdana" w:hAnsi="Verdana" w:cs="Arial"/>
          <w:color w:val="000000" w:themeColor="text1"/>
          <w:lang w:val="es-ES"/>
        </w:rPr>
        <w:t>De lo anterior se desprende que, bajo la Ley 100 de 1993, dentro de la estructura de la administración pública las Empresas Sociales del Estado son las entidades encargadas de prestar el servicio de salud de manera directa. Además, el mismo artículo 197</w:t>
      </w:r>
      <w:r w:rsidRPr="00FC6F34">
        <w:rPr>
          <w:rFonts w:ascii="Arial" w:hAnsi="Arial" w:cs="Arial"/>
          <w:color w:val="000000" w:themeColor="text1"/>
          <w:vertAlign w:val="superscript"/>
          <w:lang w:val="es-ES"/>
        </w:rPr>
        <w:footnoteReference w:id="21"/>
      </w:r>
      <w:r w:rsidRPr="00FC6F34">
        <w:rPr>
          <w:rFonts w:ascii="Verdana" w:hAnsi="Verdana" w:cs="Arial"/>
          <w:color w:val="000000" w:themeColor="text1"/>
          <w:lang w:val="es-ES"/>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794F76D7" w14:textId="77777777" w:rsidR="006052AE" w:rsidRDefault="006052AE" w:rsidP="006052AE">
      <w:pPr>
        <w:tabs>
          <w:tab w:val="left" w:pos="426"/>
        </w:tabs>
        <w:spacing w:before="120" w:after="120" w:line="276" w:lineRule="auto"/>
        <w:ind w:firstLine="709"/>
        <w:jc w:val="both"/>
        <w:rPr>
          <w:rFonts w:ascii="Verdana" w:hAnsi="Verdana" w:cs="Arial"/>
          <w:color w:val="000000" w:themeColor="text1"/>
        </w:rPr>
      </w:pPr>
      <w:r>
        <w:rPr>
          <w:rFonts w:ascii="Verdana" w:hAnsi="Verdana" w:cs="Arial"/>
          <w:color w:val="000000" w:themeColor="text1"/>
          <w:lang w:val="es-ES"/>
        </w:rPr>
        <w:t>Sin embargo, es importante señalar que el artículo 279 de la Ley 100 de 1993 señaló expresamente que</w:t>
      </w:r>
      <w:r w:rsidRPr="00FD02C5">
        <w:rPr>
          <w:rFonts w:ascii="Verdana" w:hAnsi="Verdana" w:cs="Arial"/>
          <w:color w:val="000000" w:themeColor="text1"/>
        </w:rPr>
        <w:t> </w:t>
      </w:r>
      <w:r w:rsidRPr="00415A65">
        <w:rPr>
          <w:rFonts w:ascii="Verdana" w:hAnsi="Verdana" w:cs="Arial"/>
          <w:color w:val="000000" w:themeColor="text1"/>
        </w:rPr>
        <w:t>“El Sistema Integral de Seguridad Social contenido en la presente Ley no se aplica a los miembros de las Fuerzas Militares y de la Policía Nacional”.</w:t>
      </w:r>
      <w:r>
        <w:rPr>
          <w:rFonts w:ascii="Verdana" w:hAnsi="Verdana" w:cs="Arial"/>
          <w:color w:val="000000" w:themeColor="text1"/>
        </w:rPr>
        <w:t xml:space="preserve"> En línea con esta excepción, la Ley 352 de 1997 estableció el marco jurídico que rige e</w:t>
      </w:r>
      <w:r w:rsidRPr="00FD02C5">
        <w:rPr>
          <w:rFonts w:ascii="Verdana" w:hAnsi="Verdana" w:cs="Arial"/>
          <w:color w:val="000000" w:themeColor="text1"/>
        </w:rPr>
        <w:t>l Sistema de Salud de las Fuerzas Militares y de la Policía Nacional</w:t>
      </w:r>
      <w:r>
        <w:rPr>
          <w:rFonts w:ascii="Verdana" w:hAnsi="Verdana" w:cs="Arial"/>
          <w:color w:val="000000" w:themeColor="text1"/>
        </w:rPr>
        <w:t xml:space="preserve"> –</w:t>
      </w:r>
      <w:r w:rsidRPr="00FD02C5">
        <w:rPr>
          <w:rFonts w:ascii="Verdana" w:hAnsi="Verdana" w:cs="Arial"/>
          <w:color w:val="000000" w:themeColor="text1"/>
        </w:rPr>
        <w:t>SSMP</w:t>
      </w:r>
      <w:r>
        <w:rPr>
          <w:rFonts w:ascii="Verdana" w:hAnsi="Verdana" w:cs="Arial"/>
          <w:color w:val="000000" w:themeColor="text1"/>
        </w:rPr>
        <w:t>–. Según el artículo segundo e</w:t>
      </w:r>
      <w:r w:rsidRPr="00103F07">
        <w:rPr>
          <w:rFonts w:ascii="Verdana" w:hAnsi="Verdana" w:cs="Arial"/>
          <w:color w:val="000000" w:themeColor="text1"/>
        </w:rPr>
        <w:t>l objeto del SSMP es prestar el servicio integral de salud en las áreas de promoción, prevención, protección, recuperación y rehabilitación del personal afiliado y sus beneficiarios y el servicio de sanidad inherentes a las operaciones militares y policiales.</w:t>
      </w:r>
      <w:r>
        <w:rPr>
          <w:rFonts w:ascii="Verdana" w:hAnsi="Verdana" w:cs="Arial"/>
          <w:color w:val="000000" w:themeColor="text1"/>
        </w:rPr>
        <w:t xml:space="preserve"> Adicionalmente, el artículo tercero define la sanidad como “</w:t>
      </w:r>
      <w:r w:rsidRPr="00103F07">
        <w:rPr>
          <w:rFonts w:ascii="Verdana" w:hAnsi="Verdana" w:cs="Arial"/>
          <w:color w:val="000000" w:themeColor="text1"/>
        </w:rPr>
        <w:t xml:space="preserve">un servicio público esencial de la logística militar y policial, inherente a su organización y </w:t>
      </w:r>
      <w:r w:rsidRPr="00103F07">
        <w:rPr>
          <w:rFonts w:ascii="Verdana" w:hAnsi="Verdana" w:cs="Arial"/>
          <w:color w:val="000000" w:themeColor="text1"/>
        </w:rPr>
        <w:lastRenderedPageBreak/>
        <w:t>funcionamiento, orientada al servicio del personal activo, retirado, pensionado y beneficiarios</w:t>
      </w:r>
      <w:r>
        <w:rPr>
          <w:rFonts w:ascii="Verdana" w:hAnsi="Verdana" w:cs="Arial"/>
          <w:color w:val="000000" w:themeColor="text1"/>
        </w:rPr>
        <w:t>”.</w:t>
      </w:r>
    </w:p>
    <w:p w14:paraId="788F073E" w14:textId="77777777" w:rsidR="006052AE" w:rsidRDefault="006052AE" w:rsidP="006052AE">
      <w:pPr>
        <w:spacing w:before="120"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 xml:space="preserve">De otro lado, </w:t>
      </w:r>
      <w:r>
        <w:rPr>
          <w:rFonts w:ascii="Verdana" w:eastAsia="Arial" w:hAnsi="Verdana" w:cs="Arial"/>
          <w:bCs/>
          <w:color w:val="000000" w:themeColor="text1"/>
          <w:lang w:val="es-ES"/>
        </w:rPr>
        <w:t xml:space="preserve">el </w:t>
      </w:r>
      <w:r w:rsidRPr="00FC6F34">
        <w:rPr>
          <w:rFonts w:ascii="Verdana" w:eastAsia="Arial" w:hAnsi="Verdana" w:cs="Arial"/>
          <w:bCs/>
          <w:color w:val="000000" w:themeColor="text1"/>
          <w:lang w:val="es-ES"/>
        </w:rPr>
        <w:t>artículo 2.8.8.1.1.3</w:t>
      </w:r>
      <w:r w:rsidRPr="007B5200">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del Decreto 780 de 2016, Por medio del cual se expide el Decreto Único Reglamentario del Sector Salud y Protección Social,</w:t>
      </w:r>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definió a las </w:t>
      </w:r>
      <w:r w:rsidRPr="00FC6F34">
        <w:rPr>
          <w:rFonts w:ascii="Verdana" w:eastAsia="Arial" w:hAnsi="Verdana" w:cs="Arial"/>
          <w:bCs/>
          <w:i/>
          <w:iCs/>
          <w:color w:val="000000" w:themeColor="text1"/>
          <w:lang w:val="es-ES"/>
        </w:rPr>
        <w:t>entidades sanitarias</w:t>
      </w:r>
      <w:r w:rsidRPr="00FC6F34">
        <w:rPr>
          <w:rFonts w:ascii="Verdana" w:eastAsia="Arial" w:hAnsi="Verdana" w:cs="Arial"/>
          <w:bCs/>
          <w:color w:val="000000" w:themeColor="text1"/>
          <w:lang w:val="es-ES"/>
        </w:rPr>
        <w:t xml:space="preserve"> como “Entidades del Estado que prestan servicios sanitarios o de sanidad con el propósito de preservar la salud humana y la salud pública”. El artículo citado también define las </w:t>
      </w:r>
      <w:r w:rsidRPr="00FC6F34">
        <w:rPr>
          <w:rFonts w:ascii="Verdana" w:eastAsia="Arial" w:hAnsi="Verdana" w:cs="Arial"/>
          <w:bCs/>
          <w:i/>
          <w:iCs/>
          <w:color w:val="000000" w:themeColor="text1"/>
          <w:lang w:val="es-ES"/>
        </w:rPr>
        <w:t>autoridades sanitarias</w:t>
      </w:r>
      <w:r w:rsidRPr="00FC6F34">
        <w:rPr>
          <w:rFonts w:ascii="Verdana" w:eastAsia="Arial" w:hAnsi="Verdana" w:cs="Arial"/>
          <w:bCs/>
          <w:color w:val="000000" w:themeColor="text1"/>
          <w:lang w:val="es-ES"/>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C6F34">
        <w:rPr>
          <w:rFonts w:ascii="Verdana" w:eastAsia="Arial" w:hAnsi="Verdana" w:cs="Arial"/>
          <w:bCs/>
          <w:color w:val="000000" w:themeColor="text1"/>
          <w:vertAlign w:val="superscript"/>
          <w:lang w:val="es-ES"/>
        </w:rPr>
        <w:footnoteReference w:id="22"/>
      </w:r>
      <w:r w:rsidRPr="00FC6F34">
        <w:rPr>
          <w:rFonts w:ascii="Verdana" w:eastAsia="Arial" w:hAnsi="Verdana" w:cs="Arial"/>
          <w:bCs/>
          <w:color w:val="000000" w:themeColor="text1"/>
          <w:lang w:val="es-ES"/>
        </w:rPr>
        <w:t>.</w:t>
      </w:r>
      <w:r>
        <w:rPr>
          <w:rFonts w:ascii="Verdana" w:eastAsia="Arial" w:hAnsi="Verdana" w:cs="Arial"/>
          <w:bCs/>
          <w:color w:val="000000" w:themeColor="text1"/>
          <w:lang w:val="es-ES"/>
        </w:rPr>
        <w:t xml:space="preserve"> Estas definiciones se encuentran contenidas en el capítulo 1 del título 8 del referido decreto,</w:t>
      </w:r>
      <w:r w:rsidRPr="007B5200">
        <w:rPr>
          <w:rFonts w:ascii="Verdana" w:eastAsia="Arial" w:hAnsi="Verdana" w:cs="Arial"/>
          <w:bCs/>
          <w:color w:val="000000" w:themeColor="text1"/>
          <w:lang w:val="es-ES"/>
        </w:rPr>
        <w:t xml:space="preserve"> </w:t>
      </w:r>
      <w:r>
        <w:rPr>
          <w:rFonts w:ascii="Verdana" w:eastAsia="Arial" w:hAnsi="Verdana" w:cs="Arial"/>
          <w:bCs/>
          <w:color w:val="000000" w:themeColor="text1"/>
          <w:lang w:val="es-ES"/>
        </w:rPr>
        <w:t xml:space="preserve">el cual se refiere al sistema de vigilancia en salud pública, y cuyo ámbito de aplicación se extiende a los regímenes de excepción establecidos en el artículo 279 de la Ley 100 de 1993. Así lo dispone textualmente el </w:t>
      </w:r>
      <w:r>
        <w:rPr>
          <w:rFonts w:ascii="Verdana" w:eastAsia="Arial" w:hAnsi="Verdana" w:cs="Arial"/>
          <w:color w:val="000000" w:themeColor="text1"/>
        </w:rPr>
        <w:t>a</w:t>
      </w:r>
      <w:r w:rsidRPr="007B5200">
        <w:rPr>
          <w:rFonts w:ascii="Verdana" w:eastAsia="Arial" w:hAnsi="Verdana" w:cs="Arial"/>
          <w:color w:val="000000" w:themeColor="text1"/>
        </w:rPr>
        <w:t>rtículo 2.8.8.1.1.2</w:t>
      </w:r>
      <w:r>
        <w:rPr>
          <w:rFonts w:ascii="Verdana" w:eastAsia="Arial" w:hAnsi="Verdana" w:cs="Arial"/>
          <w:bCs/>
          <w:color w:val="000000" w:themeColor="text1"/>
          <w:lang w:val="es-ES"/>
        </w:rPr>
        <w:t xml:space="preserve"> el cual señala lo siguiente:</w:t>
      </w:r>
    </w:p>
    <w:p w14:paraId="2215E084" w14:textId="77777777" w:rsidR="006052AE" w:rsidRDefault="006052AE" w:rsidP="006052AE">
      <w:pPr>
        <w:spacing w:after="0" w:line="240" w:lineRule="auto"/>
        <w:ind w:firstLine="709"/>
        <w:jc w:val="both"/>
        <w:rPr>
          <w:rFonts w:ascii="Verdana" w:eastAsia="Arial" w:hAnsi="Verdana" w:cs="Arial"/>
          <w:bCs/>
          <w:color w:val="000000" w:themeColor="text1"/>
          <w:lang w:val="es-ES"/>
        </w:rPr>
      </w:pPr>
    </w:p>
    <w:p w14:paraId="3C52FFB2" w14:textId="77777777" w:rsidR="006052AE" w:rsidRDefault="006052AE" w:rsidP="006052AE">
      <w:pPr>
        <w:spacing w:before="120" w:after="120" w:line="240" w:lineRule="auto"/>
        <w:ind w:left="709" w:right="709"/>
        <w:jc w:val="both"/>
        <w:rPr>
          <w:rFonts w:ascii="Verdana" w:eastAsia="Arial" w:hAnsi="Verdana" w:cs="Arial"/>
          <w:bCs/>
          <w:color w:val="000000" w:themeColor="text1"/>
          <w:sz w:val="20"/>
          <w:szCs w:val="20"/>
        </w:rPr>
      </w:pPr>
      <w:r w:rsidRPr="007B5200">
        <w:rPr>
          <w:rFonts w:ascii="Verdana" w:eastAsia="Arial" w:hAnsi="Verdana" w:cs="Arial"/>
          <w:bCs/>
          <w:color w:val="000000" w:themeColor="text1"/>
          <w:sz w:val="20"/>
          <w:szCs w:val="20"/>
          <w:lang w:val="es-ES"/>
        </w:rPr>
        <w:t xml:space="preserve"> “</w:t>
      </w:r>
      <w:r w:rsidRPr="007B5200">
        <w:rPr>
          <w:rFonts w:ascii="Verdana" w:eastAsia="Arial" w:hAnsi="Verdana" w:cs="Arial"/>
          <w:bCs/>
          <w:color w:val="000000" w:themeColor="text1"/>
          <w:sz w:val="20"/>
          <w:szCs w:val="20"/>
        </w:rPr>
        <w:t xml:space="preserve">Las disposiciones del presente Capítulo, rigen en todo el territorio nacional y son de obligatorio cumplimiento y aplicación por parte de las instituciones e integrantes del Sistema General de Seguridad Social en Salud </w:t>
      </w:r>
      <w:r w:rsidRPr="007B5200">
        <w:rPr>
          <w:rFonts w:ascii="Verdana" w:eastAsia="Arial" w:hAnsi="Verdana" w:cs="Arial"/>
          <w:bCs/>
          <w:color w:val="000000" w:themeColor="text1"/>
          <w:sz w:val="20"/>
          <w:szCs w:val="20"/>
          <w:u w:val="single"/>
        </w:rPr>
        <w:t>y las entidades responsables de los regímenes de excepción de que tratan el artículo 279 de la Ley 100 de 1993</w:t>
      </w:r>
      <w:r w:rsidRPr="007B5200">
        <w:rPr>
          <w:rFonts w:ascii="Verdana" w:eastAsia="Arial" w:hAnsi="Verdana" w:cs="Arial"/>
          <w:bCs/>
          <w:color w:val="000000" w:themeColor="text1"/>
          <w:sz w:val="20"/>
          <w:szCs w:val="20"/>
        </w:rPr>
        <w:t xml:space="preserve"> y la Ley 647 de 2001, personas, organizaciones comunitarias y comunidad en general, así como otras organizaciones o instituciones de interés fuera del sector, siempre que sus actividades influyan directamente en la salud de la población y que de las mismas, se pueda generar información útil y necesaria para el cumplimiento del objeto y fines del Sistema de Vigilancia en Salud Pública (</w:t>
      </w:r>
      <w:proofErr w:type="spellStart"/>
      <w:r w:rsidRPr="007B5200">
        <w:rPr>
          <w:rFonts w:ascii="Verdana" w:eastAsia="Arial" w:hAnsi="Verdana" w:cs="Arial"/>
          <w:bCs/>
          <w:color w:val="000000" w:themeColor="text1"/>
          <w:sz w:val="20"/>
          <w:szCs w:val="20"/>
        </w:rPr>
        <w:t>Sivigila</w:t>
      </w:r>
      <w:proofErr w:type="spellEnd"/>
      <w:r w:rsidRPr="007B5200">
        <w:rPr>
          <w:rFonts w:ascii="Verdana" w:eastAsia="Arial" w:hAnsi="Verdana" w:cs="Arial"/>
          <w:bCs/>
          <w:color w:val="000000" w:themeColor="text1"/>
          <w:sz w:val="20"/>
          <w:szCs w:val="20"/>
        </w:rPr>
        <w:t>)”. </w:t>
      </w:r>
      <w:r>
        <w:rPr>
          <w:rFonts w:ascii="Verdana" w:eastAsia="Arial" w:hAnsi="Verdana" w:cs="Arial"/>
          <w:bCs/>
          <w:color w:val="000000" w:themeColor="text1"/>
          <w:sz w:val="20"/>
          <w:szCs w:val="20"/>
        </w:rPr>
        <w:t>[Énfasis Propio]</w:t>
      </w:r>
    </w:p>
    <w:p w14:paraId="57281E0A" w14:textId="77777777" w:rsidR="006052AE" w:rsidRDefault="006052AE" w:rsidP="006052AE">
      <w:pPr>
        <w:spacing w:after="0" w:line="240" w:lineRule="auto"/>
        <w:ind w:left="709" w:right="709"/>
        <w:jc w:val="both"/>
        <w:rPr>
          <w:rFonts w:ascii="Verdana" w:eastAsia="Arial" w:hAnsi="Verdana" w:cs="Arial"/>
          <w:bCs/>
          <w:color w:val="000000" w:themeColor="text1"/>
          <w:sz w:val="20"/>
          <w:szCs w:val="20"/>
        </w:rPr>
      </w:pPr>
    </w:p>
    <w:p w14:paraId="39153F53" w14:textId="77777777" w:rsidR="006052AE" w:rsidRDefault="006052AE" w:rsidP="006052AE">
      <w:pPr>
        <w:spacing w:before="120" w:after="12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 xml:space="preserve">De esta forma, la excepción del artículo 33 de la Ley de Garantías solo aplica a </w:t>
      </w:r>
      <w:r>
        <w:rPr>
          <w:rFonts w:ascii="Verdana" w:eastAsia="Arial" w:hAnsi="Verdana" w:cs="Arial"/>
          <w:bCs/>
          <w:color w:val="000000" w:themeColor="text1"/>
          <w:lang w:val="es-ES"/>
        </w:rPr>
        <w:t xml:space="preserve">la contratación que adelanten los organismos </w:t>
      </w:r>
      <w:r>
        <w:rPr>
          <w:rFonts w:ascii="Verdana" w:eastAsia="Arial" w:hAnsi="Verdana" w:cs="Arial"/>
          <w:bCs/>
          <w:i/>
          <w:iCs/>
          <w:color w:val="000000" w:themeColor="text1"/>
          <w:lang w:val="es-ES"/>
        </w:rPr>
        <w:t>que cumplan con la definición de</w:t>
      </w:r>
      <w:r w:rsidRPr="00FC6F34">
        <w:rPr>
          <w:rFonts w:ascii="Verdana" w:eastAsia="Arial" w:hAnsi="Verdana" w:cs="Arial"/>
          <w:bCs/>
          <w:i/>
          <w:iCs/>
          <w:color w:val="000000" w:themeColor="text1"/>
          <w:lang w:val="es-ES"/>
        </w:rPr>
        <w:t xml:space="preserve"> </w:t>
      </w:r>
      <w:r>
        <w:rPr>
          <w:rFonts w:ascii="Verdana" w:eastAsia="Arial" w:hAnsi="Verdana" w:cs="Arial"/>
          <w:bCs/>
          <w:i/>
          <w:iCs/>
          <w:color w:val="000000" w:themeColor="text1"/>
          <w:lang w:val="es-ES"/>
        </w:rPr>
        <w:t xml:space="preserve">“entidades </w:t>
      </w:r>
      <w:r w:rsidRPr="00FC6F34">
        <w:rPr>
          <w:rFonts w:ascii="Verdana" w:eastAsia="Arial" w:hAnsi="Verdana" w:cs="Arial"/>
          <w:bCs/>
          <w:i/>
          <w:iCs/>
          <w:color w:val="000000" w:themeColor="text1"/>
          <w:lang w:val="es-ES"/>
        </w:rPr>
        <w:t>sanitarias</w:t>
      </w:r>
      <w:r>
        <w:rPr>
          <w:rFonts w:ascii="Verdana" w:eastAsia="Arial" w:hAnsi="Verdana" w:cs="Arial"/>
          <w:bCs/>
          <w:i/>
          <w:iCs/>
          <w:color w:val="000000" w:themeColor="text1"/>
          <w:lang w:val="es-ES"/>
        </w:rPr>
        <w:t xml:space="preserve">” </w:t>
      </w:r>
      <w:r w:rsidRPr="007B5200">
        <w:rPr>
          <w:rFonts w:ascii="Verdana" w:eastAsia="Arial" w:hAnsi="Verdana" w:cs="Arial"/>
          <w:bCs/>
          <w:color w:val="000000" w:themeColor="text1"/>
          <w:lang w:val="es-ES"/>
        </w:rPr>
        <w:t>establecida en el</w:t>
      </w:r>
      <w:r>
        <w:rPr>
          <w:rFonts w:ascii="Verdana" w:eastAsia="Arial" w:hAnsi="Verdana" w:cs="Arial"/>
          <w:bCs/>
          <w:i/>
          <w:iCs/>
          <w:color w:val="000000" w:themeColor="text1"/>
          <w:lang w:val="es-ES"/>
        </w:rPr>
        <w:t xml:space="preserve"> </w:t>
      </w:r>
      <w:r w:rsidRPr="00FC6F34">
        <w:rPr>
          <w:rFonts w:ascii="Verdana" w:eastAsia="Arial" w:hAnsi="Verdana" w:cs="Arial"/>
          <w:bCs/>
          <w:color w:val="000000" w:themeColor="text1"/>
          <w:lang w:val="es-ES"/>
        </w:rPr>
        <w:t>artículo 2.8.8.1.1.3</w:t>
      </w:r>
      <w:r w:rsidRPr="007B5200">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del </w:t>
      </w:r>
      <w:r w:rsidRPr="00FC6F34">
        <w:rPr>
          <w:rFonts w:ascii="Verdana" w:eastAsia="Arial" w:hAnsi="Verdana" w:cs="Arial"/>
          <w:bCs/>
          <w:color w:val="000000" w:themeColor="text1"/>
          <w:lang w:val="es-ES"/>
        </w:rPr>
        <w:lastRenderedPageBreak/>
        <w:t>Decreto 780 de 201</w:t>
      </w:r>
      <w:r>
        <w:rPr>
          <w:rFonts w:ascii="Verdana" w:eastAsia="Arial" w:hAnsi="Verdana" w:cs="Arial"/>
          <w:bCs/>
          <w:color w:val="000000" w:themeColor="text1"/>
          <w:lang w:val="es-ES"/>
        </w:rPr>
        <w:t>6. En contraste, la excepción no será aplicable a aquellos que tengan el carácter de</w:t>
      </w:r>
      <w:r w:rsidRPr="00FC6F34">
        <w:rPr>
          <w:rFonts w:ascii="Verdana" w:eastAsia="Arial" w:hAnsi="Verdana" w:cs="Arial"/>
          <w:bCs/>
          <w:color w:val="000000" w:themeColor="text1"/>
          <w:lang w:val="es-ES"/>
        </w:rPr>
        <w:t xml:space="preserve"> </w:t>
      </w:r>
      <w:r w:rsidRPr="00FC6F34">
        <w:rPr>
          <w:rFonts w:ascii="Verdana" w:eastAsia="Arial" w:hAnsi="Verdana" w:cs="Arial"/>
          <w:bCs/>
          <w:i/>
          <w:iCs/>
          <w:color w:val="000000" w:themeColor="text1"/>
          <w:lang w:val="es-ES"/>
        </w:rPr>
        <w:t>autoridades sanitarias</w:t>
      </w:r>
      <w:r>
        <w:rPr>
          <w:rFonts w:ascii="Verdana" w:eastAsia="Arial" w:hAnsi="Verdana" w:cs="Arial"/>
          <w:bCs/>
          <w:i/>
          <w:iCs/>
          <w:color w:val="000000" w:themeColor="text1"/>
          <w:lang w:val="es-ES"/>
        </w:rPr>
        <w:t xml:space="preserve"> </w:t>
      </w:r>
      <w:r w:rsidRPr="007B5200">
        <w:rPr>
          <w:rFonts w:ascii="Verdana" w:eastAsia="Arial" w:hAnsi="Verdana" w:cs="Arial"/>
          <w:bCs/>
          <w:color w:val="000000" w:themeColor="text1"/>
          <w:lang w:val="es-ES"/>
        </w:rPr>
        <w:t>según dicha norma</w:t>
      </w:r>
      <w:r w:rsidRPr="00FC6F34">
        <w:rPr>
          <w:rFonts w:ascii="Verdana" w:eastAsia="Arial" w:hAnsi="Verdana" w:cs="Arial"/>
          <w:bCs/>
          <w:color w:val="000000" w:themeColor="text1"/>
          <w:lang w:val="es-ES"/>
        </w:rPr>
        <w:t xml:space="preserve">. Para efectos de la excepción, es indiferente que la entidad estatal tenga funciones de </w:t>
      </w:r>
      <w:r w:rsidRPr="00FC6F34">
        <w:rPr>
          <w:rFonts w:ascii="Verdana" w:eastAsia="Arial" w:hAnsi="Verdana" w:cs="Arial"/>
          <w:bCs/>
          <w:i/>
          <w:iCs/>
          <w:color w:val="000000" w:themeColor="text1"/>
          <w:lang w:val="es-ES"/>
        </w:rPr>
        <w:t>autoridad sanitaria</w:t>
      </w:r>
      <w:r w:rsidRPr="00FC6F34">
        <w:rPr>
          <w:rFonts w:ascii="Verdana" w:eastAsia="Arial" w:hAnsi="Verdana" w:cs="Arial"/>
          <w:bCs/>
          <w:color w:val="000000" w:themeColor="text1"/>
          <w:lang w:val="es-ES"/>
        </w:rPr>
        <w:t xml:space="preserve">, pues lo relevante para determinar si la contratación está exceptuada de la prohibición general no es el carácter de autoridad sanitaria, sino que se trate de una </w:t>
      </w:r>
      <w:r w:rsidRPr="00FC6F34">
        <w:rPr>
          <w:rFonts w:ascii="Verdana" w:eastAsia="Arial" w:hAnsi="Verdana" w:cs="Arial"/>
          <w:bCs/>
          <w:i/>
          <w:iCs/>
          <w:color w:val="000000" w:themeColor="text1"/>
          <w:lang w:val="es-ES"/>
        </w:rPr>
        <w:t>entidad sanitaria</w:t>
      </w:r>
      <w:r w:rsidRPr="00FC6F34">
        <w:rPr>
          <w:rFonts w:ascii="Verdana" w:eastAsia="Arial" w:hAnsi="Verdana" w:cs="Arial"/>
          <w:bCs/>
          <w:color w:val="000000" w:themeColor="text1"/>
          <w:lang w:val="es-ES"/>
        </w:rPr>
        <w:t xml:space="preserve">. </w:t>
      </w:r>
    </w:p>
    <w:p w14:paraId="7F2B16E2" w14:textId="77777777" w:rsidR="006052AE" w:rsidRPr="008B18A1" w:rsidRDefault="006052AE" w:rsidP="006052AE">
      <w:pPr>
        <w:spacing w:before="120" w:after="120" w:line="276" w:lineRule="auto"/>
        <w:ind w:firstLine="709"/>
        <w:jc w:val="both"/>
        <w:rPr>
          <w:rFonts w:ascii="Verdana" w:hAnsi="Verdana" w:cs="Arial"/>
          <w:bCs/>
          <w:i/>
          <w:iCs/>
          <w:color w:val="000000" w:themeColor="text1"/>
          <w:lang w:val="es-ES"/>
        </w:rPr>
      </w:pPr>
      <w:r>
        <w:rPr>
          <w:rFonts w:ascii="Verdana" w:eastAsia="Arial" w:hAnsi="Verdana" w:cs="Arial"/>
          <w:bCs/>
          <w:color w:val="000000" w:themeColor="text1"/>
          <w:lang w:val="es-ES"/>
        </w:rPr>
        <w:t xml:space="preserve">Adicionalmente, esta definición también es aplicable frente a </w:t>
      </w:r>
      <w:r w:rsidRPr="007B5200">
        <w:rPr>
          <w:rFonts w:ascii="Verdana" w:eastAsia="Arial" w:hAnsi="Verdana" w:cs="Arial"/>
          <w:bCs/>
          <w:color w:val="000000" w:themeColor="text1"/>
          <w:lang w:val="es-ES"/>
        </w:rPr>
        <w:t>las entidades responsables de los regímenes de excepción de que tratan el artículo 279 de la Ley 100</w:t>
      </w:r>
      <w:r>
        <w:rPr>
          <w:rFonts w:ascii="Verdana" w:eastAsia="Arial" w:hAnsi="Verdana" w:cs="Arial"/>
          <w:bCs/>
          <w:color w:val="000000" w:themeColor="text1"/>
          <w:lang w:val="es-ES"/>
        </w:rPr>
        <w:t xml:space="preserve"> de 1993</w:t>
      </w:r>
      <w:r w:rsidRPr="007B5200">
        <w:rPr>
          <w:rFonts w:ascii="Verdana" w:eastAsia="Arial" w:hAnsi="Verdana" w:cs="Arial"/>
          <w:bCs/>
          <w:color w:val="000000" w:themeColor="text1"/>
          <w:lang w:val="es-ES"/>
        </w:rPr>
        <w:t xml:space="preserve">, de modo que </w:t>
      </w:r>
      <w:r>
        <w:rPr>
          <w:rFonts w:ascii="Verdana" w:eastAsia="Arial" w:hAnsi="Verdana" w:cs="Arial"/>
          <w:bCs/>
          <w:color w:val="000000" w:themeColor="text1"/>
          <w:lang w:val="es-ES"/>
        </w:rPr>
        <w:t xml:space="preserve">la contratación que deban realizar </w:t>
      </w:r>
      <w:r w:rsidRPr="007B5200">
        <w:rPr>
          <w:rFonts w:ascii="Verdana" w:eastAsia="Arial" w:hAnsi="Verdana" w:cs="Arial"/>
          <w:bCs/>
          <w:color w:val="000000" w:themeColor="text1"/>
          <w:lang w:val="es-ES"/>
        </w:rPr>
        <w:t xml:space="preserve">los organismos que compongan el Sistema de Salud de las Fuerzas Militares y de la Policía Nacional que cumplan con ser “entidades sanitarias” en los términos del </w:t>
      </w:r>
      <w:r w:rsidRPr="00FC6F34">
        <w:rPr>
          <w:rFonts w:ascii="Verdana" w:eastAsia="Arial" w:hAnsi="Verdana" w:cs="Arial"/>
          <w:bCs/>
          <w:color w:val="000000" w:themeColor="text1"/>
          <w:lang w:val="es-ES"/>
        </w:rPr>
        <w:t>artículo 2.8.8.1.1.3</w:t>
      </w:r>
      <w:r w:rsidRPr="007B5200">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del Decreto 780 de 201</w:t>
      </w:r>
      <w:r>
        <w:rPr>
          <w:rFonts w:ascii="Verdana" w:eastAsia="Arial" w:hAnsi="Verdana" w:cs="Arial"/>
          <w:bCs/>
          <w:color w:val="000000" w:themeColor="text1"/>
          <w:lang w:val="es-ES"/>
        </w:rPr>
        <w:t>6, configura el supuesto de la excepción del artículo 33 de la Ley de Garantías Electorales que es objeto de análisis.</w:t>
      </w:r>
    </w:p>
    <w:p w14:paraId="3319E419" w14:textId="77777777" w:rsidR="006052AE" w:rsidRDefault="006052AE" w:rsidP="006052AE">
      <w:pPr>
        <w:spacing w:before="120" w:after="0" w:line="276" w:lineRule="auto"/>
        <w:ind w:firstLine="709"/>
        <w:jc w:val="both"/>
        <w:rPr>
          <w:rFonts w:ascii="Verdana" w:eastAsia="Arial" w:hAnsi="Verdana" w:cs="Arial"/>
          <w:bCs/>
          <w:color w:val="000000" w:themeColor="text1"/>
          <w:lang w:val="es-ES"/>
        </w:rPr>
      </w:pPr>
      <w:r w:rsidRPr="00FC6F34">
        <w:rPr>
          <w:rFonts w:ascii="Verdana" w:eastAsia="Arial" w:hAnsi="Verdana" w:cs="Arial"/>
          <w:bCs/>
          <w:color w:val="000000" w:themeColor="text1"/>
          <w:lang w:val="es-ES"/>
        </w:rPr>
        <w:t>Sobre lo anterior</w:t>
      </w:r>
      <w:r>
        <w:rPr>
          <w:rFonts w:ascii="Verdana" w:eastAsia="Arial" w:hAnsi="Verdana" w:cs="Arial"/>
          <w:bCs/>
          <w:color w:val="000000" w:themeColor="text1"/>
          <w:lang w:val="es-ES"/>
        </w:rPr>
        <w:t>,</w:t>
      </w:r>
      <w:r w:rsidRPr="00FC6F34">
        <w:rPr>
          <w:rFonts w:ascii="Verdana" w:eastAsia="Arial" w:hAnsi="Verdana" w:cs="Arial"/>
          <w:bCs/>
          <w:color w:val="000000" w:themeColor="text1"/>
          <w:lang w:val="es-ES"/>
        </w:rPr>
        <w:t xml:space="preserve"> el Consejo de Estado ha señalado que “las entidades que presten servicios tendientes a preservar la salud </w:t>
      </w:r>
      <w:proofErr w:type="spellStart"/>
      <w:r w:rsidRPr="00FC6F34">
        <w:rPr>
          <w:rFonts w:ascii="Verdana" w:eastAsia="Arial" w:hAnsi="Verdana" w:cs="Arial"/>
          <w:bCs/>
          <w:color w:val="000000" w:themeColor="text1"/>
          <w:lang w:val="es-ES"/>
        </w:rPr>
        <w:t>pública</w:t>
      </w:r>
      <w:proofErr w:type="spellEnd"/>
      <w:r w:rsidRPr="00FC6F34">
        <w:rPr>
          <w:rFonts w:ascii="Verdana" w:eastAsia="Arial" w:hAnsi="Verdana" w:cs="Arial"/>
          <w:bCs/>
          <w:color w:val="000000" w:themeColor="text1"/>
          <w:lang w:val="es-ES"/>
        </w:rPr>
        <w:t xml:space="preserve"> o humana deben ser consideradas como entidades sanitarias y en principio estarían exceptuadas de la prohibición de </w:t>
      </w:r>
      <w:proofErr w:type="spellStart"/>
      <w:r w:rsidRPr="00FC6F34">
        <w:rPr>
          <w:rFonts w:ascii="Verdana" w:eastAsia="Arial" w:hAnsi="Verdana" w:cs="Arial"/>
          <w:bCs/>
          <w:color w:val="000000" w:themeColor="text1"/>
          <w:lang w:val="es-ES"/>
        </w:rPr>
        <w:t>contratación</w:t>
      </w:r>
      <w:proofErr w:type="spellEnd"/>
      <w:r w:rsidRPr="00FC6F34">
        <w:rPr>
          <w:rFonts w:ascii="Verdana" w:eastAsia="Arial" w:hAnsi="Verdana" w:cs="Arial"/>
          <w:bCs/>
          <w:color w:val="000000" w:themeColor="text1"/>
          <w:lang w:val="es-ES"/>
        </w:rPr>
        <w:t xml:space="preserve"> directa”</w:t>
      </w:r>
      <w:r w:rsidRPr="00FC6F34">
        <w:rPr>
          <w:rStyle w:val="Refdenotaalpie"/>
          <w:rFonts w:ascii="Verdana" w:eastAsia="Arial" w:hAnsi="Verdana" w:cs="Arial"/>
          <w:bCs/>
          <w:color w:val="000000" w:themeColor="text1"/>
          <w:lang w:val="es-ES"/>
        </w:rPr>
        <w:footnoteReference w:id="23"/>
      </w:r>
      <w:r w:rsidRPr="00FC6F34">
        <w:rPr>
          <w:rFonts w:ascii="Verdana" w:eastAsia="Arial" w:hAnsi="Verdana" w:cs="Arial"/>
          <w:bCs/>
          <w:color w:val="000000" w:themeColor="text1"/>
          <w:lang w:val="es-ES"/>
        </w:rPr>
        <w:t xml:space="preserve">. Sobre la excepción dirigida a las entidades hospitalarias de carácter público resaltó que “debe ser entendida solo en aquellos eventos en que ocurran emergencias sanitarias o de salubridad que requieran la </w:t>
      </w:r>
      <w:proofErr w:type="spellStart"/>
      <w:r w:rsidRPr="00FC6F34">
        <w:rPr>
          <w:rFonts w:ascii="Verdana" w:eastAsia="Arial" w:hAnsi="Verdana" w:cs="Arial"/>
          <w:bCs/>
          <w:color w:val="000000" w:themeColor="text1"/>
          <w:lang w:val="es-ES"/>
        </w:rPr>
        <w:t>atención</w:t>
      </w:r>
      <w:proofErr w:type="spellEnd"/>
      <w:r w:rsidRPr="00FC6F34">
        <w:rPr>
          <w:rFonts w:ascii="Verdana" w:eastAsia="Arial" w:hAnsi="Verdana" w:cs="Arial"/>
          <w:bCs/>
          <w:color w:val="000000" w:themeColor="text1"/>
          <w:lang w:val="es-ES"/>
        </w:rPr>
        <w:t xml:space="preserve">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w:t>
      </w:r>
      <w:proofErr w:type="spellStart"/>
      <w:r w:rsidRPr="00FC6F34">
        <w:rPr>
          <w:rFonts w:ascii="Verdana" w:eastAsia="Arial" w:hAnsi="Verdana" w:cs="Arial"/>
          <w:bCs/>
          <w:color w:val="000000" w:themeColor="text1"/>
          <w:lang w:val="es-ES"/>
        </w:rPr>
        <w:t>contratación</w:t>
      </w:r>
      <w:proofErr w:type="spellEnd"/>
      <w:r w:rsidRPr="00FC6F34">
        <w:rPr>
          <w:rFonts w:ascii="Verdana" w:eastAsia="Arial" w:hAnsi="Verdana" w:cs="Arial"/>
          <w:bCs/>
          <w:color w:val="000000" w:themeColor="text1"/>
          <w:lang w:val="es-ES"/>
        </w:rPr>
        <w:t xml:space="preserve"> que establece la ley de </w:t>
      </w:r>
      <w:proofErr w:type="spellStart"/>
      <w:r w:rsidRPr="00FC6F34">
        <w:rPr>
          <w:rFonts w:ascii="Verdana" w:eastAsia="Arial" w:hAnsi="Verdana" w:cs="Arial"/>
          <w:bCs/>
          <w:color w:val="000000" w:themeColor="text1"/>
          <w:lang w:val="es-ES"/>
        </w:rPr>
        <w:t>garantías</w:t>
      </w:r>
      <w:proofErr w:type="spellEnd"/>
      <w:r w:rsidRPr="00FC6F34">
        <w:rPr>
          <w:rFonts w:ascii="Verdana" w:eastAsia="Arial" w:hAnsi="Verdana" w:cs="Arial"/>
          <w:bCs/>
          <w:color w:val="000000" w:themeColor="text1"/>
          <w:lang w:val="es-ES"/>
        </w:rPr>
        <w:t>”</w:t>
      </w:r>
      <w:r w:rsidRPr="00FC6F34">
        <w:rPr>
          <w:rStyle w:val="Refdenotaalpie"/>
          <w:rFonts w:ascii="Verdana" w:eastAsia="Arial" w:hAnsi="Verdana" w:cs="Arial"/>
          <w:bCs/>
          <w:color w:val="000000" w:themeColor="text1"/>
          <w:lang w:val="es-ES"/>
        </w:rPr>
        <w:footnoteReference w:id="24"/>
      </w:r>
      <w:r w:rsidRPr="00FC6F34">
        <w:rPr>
          <w:rFonts w:ascii="Verdana" w:eastAsia="Arial" w:hAnsi="Verdana" w:cs="Arial"/>
          <w:bCs/>
          <w:color w:val="000000" w:themeColor="text1"/>
          <w:lang w:val="es-ES"/>
        </w:rPr>
        <w:t xml:space="preserve">. </w:t>
      </w:r>
    </w:p>
    <w:p w14:paraId="035060A3" w14:textId="77777777" w:rsidR="006052AE" w:rsidRDefault="006052AE" w:rsidP="006052AE">
      <w:pPr>
        <w:spacing w:before="120" w:after="0" w:line="276" w:lineRule="auto"/>
        <w:ind w:firstLine="709"/>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En consecuencia, aquellos organismos o entes que compongan </w:t>
      </w:r>
      <w:r>
        <w:rPr>
          <w:rFonts w:ascii="Verdana" w:eastAsia="Arial" w:hAnsi="Verdana" w:cs="Arial"/>
          <w:bCs/>
          <w:color w:val="000000" w:themeColor="text1"/>
        </w:rPr>
        <w:t>e</w:t>
      </w:r>
      <w:r w:rsidRPr="004A7EFE">
        <w:rPr>
          <w:rFonts w:ascii="Verdana" w:eastAsia="Arial" w:hAnsi="Verdana" w:cs="Arial"/>
          <w:bCs/>
          <w:color w:val="000000" w:themeColor="text1"/>
        </w:rPr>
        <w:t>l Sistema de Salud de las Fuerzas Militares y de la Policía Nacional</w:t>
      </w:r>
      <w:r>
        <w:rPr>
          <w:rFonts w:ascii="Verdana" w:eastAsia="Arial" w:hAnsi="Verdana" w:cs="Arial"/>
          <w:bCs/>
          <w:color w:val="000000" w:themeColor="text1"/>
        </w:rPr>
        <w:t xml:space="preserve"> que </w:t>
      </w:r>
      <w:r w:rsidRPr="00FC6F34">
        <w:rPr>
          <w:rFonts w:ascii="Verdana" w:eastAsia="Arial" w:hAnsi="Verdana" w:cs="Arial"/>
          <w:bCs/>
          <w:color w:val="000000" w:themeColor="text1"/>
          <w:lang w:val="es-ES"/>
        </w:rPr>
        <w:t>prest</w:t>
      </w:r>
      <w:r>
        <w:rPr>
          <w:rFonts w:ascii="Verdana" w:eastAsia="Arial" w:hAnsi="Verdana" w:cs="Arial"/>
          <w:bCs/>
          <w:color w:val="000000" w:themeColor="text1"/>
          <w:lang w:val="es-ES"/>
        </w:rPr>
        <w:t>e</w:t>
      </w:r>
      <w:r w:rsidRPr="00FC6F34">
        <w:rPr>
          <w:rFonts w:ascii="Verdana" w:eastAsia="Arial" w:hAnsi="Verdana" w:cs="Arial"/>
          <w:bCs/>
          <w:color w:val="000000" w:themeColor="text1"/>
          <w:lang w:val="es-ES"/>
        </w:rPr>
        <w:t>n servicios sanitarios o de sanidad con el propósito de preservar la salud humana y la salud pública</w:t>
      </w:r>
      <w:r>
        <w:rPr>
          <w:rFonts w:ascii="Verdana" w:eastAsia="Arial" w:hAnsi="Verdana" w:cs="Arial"/>
          <w:bCs/>
          <w:color w:val="000000" w:themeColor="text1"/>
          <w:lang w:val="es-ES"/>
        </w:rPr>
        <w:t xml:space="preserve">, se entenderán como entidades sanitarias para efectos de determinar la </w:t>
      </w:r>
      <w:r>
        <w:rPr>
          <w:rFonts w:ascii="Verdana" w:eastAsia="Arial" w:hAnsi="Verdana" w:cs="Arial"/>
          <w:bCs/>
          <w:color w:val="000000" w:themeColor="text1"/>
          <w:lang w:val="es-ES"/>
        </w:rPr>
        <w:lastRenderedPageBreak/>
        <w:t>aplicabilidad de la excepción establecida en el artículo 33 de la Ley de Garantías Electorales</w:t>
      </w:r>
      <w:r w:rsidRPr="008B18A1">
        <w:rPr>
          <w:rFonts w:ascii="Verdana" w:hAnsi="Verdana" w:cs="Arial"/>
          <w:bCs/>
          <w:color w:val="000000" w:themeColor="text1"/>
          <w:lang w:val="es-ES"/>
        </w:rPr>
        <w:t>.</w:t>
      </w:r>
      <w:r>
        <w:rPr>
          <w:rFonts w:ascii="Verdana" w:eastAsia="Arial" w:hAnsi="Verdana" w:cs="Arial"/>
          <w:bCs/>
          <w:color w:val="000000" w:themeColor="text1"/>
          <w:lang w:val="es-ES"/>
        </w:rPr>
        <w:t xml:space="preserve"> No estarán incluidas en la excepción aquellos órganos y autoridades del sistema que ejerzan </w:t>
      </w:r>
      <w:r w:rsidRPr="00FC6F34">
        <w:rPr>
          <w:rFonts w:ascii="Verdana" w:eastAsia="Arial" w:hAnsi="Verdana" w:cs="Arial"/>
          <w:bCs/>
          <w:color w:val="000000" w:themeColor="text1"/>
          <w:lang w:val="es-ES"/>
        </w:rPr>
        <w:t>funciones de rectoría, regulación, inspección, vigilancia y control</w:t>
      </w:r>
      <w:r>
        <w:rPr>
          <w:rFonts w:ascii="Verdana" w:eastAsia="Arial" w:hAnsi="Verdana" w:cs="Arial"/>
          <w:bCs/>
          <w:color w:val="000000" w:themeColor="text1"/>
          <w:lang w:val="es-ES"/>
        </w:rPr>
        <w:t xml:space="preserve">. De esta forma, corresponde a la entidad contratante determinar si, conforme a las funciones que atribuye la </w:t>
      </w:r>
      <w:r w:rsidRPr="00785330">
        <w:rPr>
          <w:rFonts w:ascii="Verdana" w:eastAsia="Arial" w:hAnsi="Verdana" w:cs="Arial"/>
          <w:bCs/>
          <w:color w:val="000000" w:themeColor="text1"/>
          <w:lang w:val="es-ES"/>
        </w:rPr>
        <w:t>Ley 352 de 1997</w:t>
      </w:r>
      <w:r>
        <w:rPr>
          <w:rFonts w:ascii="Verdana" w:eastAsia="Arial" w:hAnsi="Verdana" w:cs="Arial"/>
          <w:bCs/>
          <w:color w:val="000000" w:themeColor="text1"/>
          <w:lang w:val="es-ES"/>
        </w:rPr>
        <w:t>,</w:t>
      </w:r>
      <w:r w:rsidRPr="00785330">
        <w:rPr>
          <w:rFonts w:ascii="Verdana" w:eastAsia="Arial" w:hAnsi="Verdana" w:cs="Arial"/>
          <w:bCs/>
          <w:color w:val="000000" w:themeColor="text1"/>
          <w:lang w:val="es-ES"/>
        </w:rPr>
        <w:t xml:space="preserve"> determinados órganos o autoridades pueden ser considerados como entidades sanitarias. </w:t>
      </w:r>
      <w:r>
        <w:rPr>
          <w:rFonts w:ascii="Verdana" w:eastAsia="Arial" w:hAnsi="Verdana" w:cs="Arial"/>
          <w:bCs/>
          <w:color w:val="000000" w:themeColor="text1"/>
          <w:lang w:val="es-ES"/>
        </w:rPr>
        <w:t xml:space="preserve">Cuando este sea el caso, podrán contratar directamente durante el periodo de la prohibición establecida en el artículo 33. </w:t>
      </w:r>
    </w:p>
    <w:p w14:paraId="3D98009E" w14:textId="77777777" w:rsidR="006052AE" w:rsidRPr="00FB337F" w:rsidRDefault="006052AE" w:rsidP="006052AE">
      <w:pPr>
        <w:spacing w:after="0" w:line="276" w:lineRule="auto"/>
        <w:jc w:val="both"/>
        <w:rPr>
          <w:rFonts w:ascii="Verdana" w:eastAsia="Calibri" w:hAnsi="Verdana" w:cs="Arial"/>
          <w:bCs/>
          <w:lang w:val="es-ES"/>
        </w:rPr>
      </w:pPr>
    </w:p>
    <w:p w14:paraId="0B5C781C" w14:textId="77777777" w:rsidR="006052AE" w:rsidRPr="00FC6F34" w:rsidRDefault="006052AE" w:rsidP="006052AE">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vi.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que realice la entidad del </w:t>
      </w:r>
      <w:r w:rsidRPr="00DD0283">
        <w:rPr>
          <w:rFonts w:ascii="Verdana" w:eastAsia="Arial" w:hAnsi="Verdana" w:cs="Arial"/>
          <w:bCs/>
          <w:color w:val="000000" w:themeColor="text1"/>
        </w:rPr>
        <w:t>Sistema de Salud de las Fuerzas Militares y de la Policía Nacional</w:t>
      </w:r>
      <w:r w:rsidRPr="00DD0283">
        <w:rPr>
          <w:rFonts w:ascii="Verdana" w:eastAsia="Arial" w:hAnsi="Verdana" w:cs="Arial"/>
          <w:bCs/>
          <w:color w:val="000000" w:themeColor="text1"/>
          <w:lang w:val="es-ES"/>
        </w:rPr>
        <w:t xml:space="preserve"> </w:t>
      </w:r>
      <w:r>
        <w:rPr>
          <w:rFonts w:ascii="Verdana" w:eastAsia="Arial" w:hAnsi="Verdana" w:cs="Arial"/>
          <w:bCs/>
          <w:color w:val="000000" w:themeColor="text1"/>
          <w:lang w:val="es-ES"/>
        </w:rPr>
        <w:t xml:space="preserve">obedece a una “emergencia sanitaria” o si es llevada a cabo por una “entidad sanitaria u hospitalaria”. De ser así, la entidad podrá llevar a cabo la contratación directa, a pesar de que haya iniciado el periodo de garantías electorales correspondiente al artículo 33 de la Ley 996 de 2005. </w:t>
      </w:r>
    </w:p>
    <w:p w14:paraId="757871F5" w14:textId="77777777" w:rsidR="006052AE" w:rsidRDefault="006052AE" w:rsidP="006052AE">
      <w:pPr>
        <w:spacing w:before="120" w:after="120" w:line="276" w:lineRule="auto"/>
        <w:ind w:firstLine="709"/>
        <w:jc w:val="both"/>
        <w:rPr>
          <w:rFonts w:ascii="Verdana" w:eastAsia="Times New Roman" w:hAnsi="Verdana" w:cs="Arial"/>
          <w:bCs/>
          <w:lang w:val="es-ES" w:eastAsia="es-CO"/>
        </w:rPr>
      </w:pPr>
      <w:r>
        <w:rPr>
          <w:rFonts w:ascii="Verdana" w:eastAsia="Arial" w:hAnsi="Verdana" w:cs="Arial"/>
          <w:bCs/>
          <w:color w:val="000000" w:themeColor="text1"/>
          <w:lang w:val="es-ES"/>
        </w:rPr>
        <w:t xml:space="preserve">Adicionalmente, se aclara que </w:t>
      </w:r>
      <w:r w:rsidRPr="00FC6F34">
        <w:rPr>
          <w:rFonts w:ascii="Verdana" w:eastAsia="Times New Roman" w:hAnsi="Verdana" w:cs="Arial"/>
          <w:bCs/>
          <w:lang w:val="es-ES" w:eastAsia="es-CO"/>
        </w:rPr>
        <w:t xml:space="preserve">las prórrogas, modificaciones o adiciones de los contratos suscritos antes de la </w:t>
      </w:r>
      <w:proofErr w:type="gramStart"/>
      <w:r w:rsidRPr="00FC6F34">
        <w:rPr>
          <w:rFonts w:ascii="Verdana" w:eastAsia="Times New Roman" w:hAnsi="Verdana" w:cs="Arial"/>
          <w:bCs/>
          <w:lang w:val="es-ES" w:eastAsia="es-CO"/>
        </w:rPr>
        <w:t>entrada en vigencia</w:t>
      </w:r>
      <w:proofErr w:type="gramEnd"/>
      <w:r w:rsidRPr="00FC6F34">
        <w:rPr>
          <w:rFonts w:ascii="Verdana" w:eastAsia="Times New Roman" w:hAnsi="Verdana" w:cs="Arial"/>
          <w:bCs/>
          <w:lang w:val="es-ES" w:eastAsia="es-CO"/>
        </w:rPr>
        <w:t xml:space="preserve"> de las prohibiciones</w:t>
      </w:r>
      <w:r>
        <w:rPr>
          <w:rFonts w:ascii="Verdana" w:eastAsia="Times New Roman" w:hAnsi="Verdana" w:cs="Arial"/>
          <w:bCs/>
          <w:lang w:val="es-ES" w:eastAsia="es-CO"/>
        </w:rPr>
        <w:t xml:space="preserve"> del artículo 33 y el parágrafo del artículo 38</w:t>
      </w:r>
      <w:r w:rsidRPr="00FC6F34">
        <w:rPr>
          <w:rFonts w:ascii="Verdana" w:eastAsia="Times New Roman" w:hAnsi="Verdana" w:cs="Arial"/>
          <w:bCs/>
          <w:lang w:val="es-ES" w:eastAsia="es-CO"/>
        </w:rPr>
        <w:t xml:space="preserve">, así como la cesión de </w:t>
      </w:r>
      <w:proofErr w:type="gramStart"/>
      <w:r w:rsidRPr="00FC6F34">
        <w:rPr>
          <w:rFonts w:ascii="Verdana" w:eastAsia="Times New Roman" w:hAnsi="Verdana" w:cs="Arial"/>
          <w:bCs/>
          <w:lang w:val="es-ES" w:eastAsia="es-CO"/>
        </w:rPr>
        <w:t>los mismos</w:t>
      </w:r>
      <w:proofErr w:type="gramEnd"/>
      <w:r w:rsidRPr="00FC6F34">
        <w:rPr>
          <w:rFonts w:ascii="Verdana" w:eastAsia="Times New Roman" w:hAnsi="Verdana" w:cs="Arial"/>
          <w:bCs/>
          <w:lang w:val="es-ES" w:eastAsia="es-CO"/>
        </w:rPr>
        <w:t>, pueden tener lugar en el período de aplicación de la Ley de Garantías Electorales, sin que ello haga nugatoria la restricción de la contratación directa y siempre que cumplan los principios de planeación, transparencia y responsabilidad</w:t>
      </w:r>
      <w:r w:rsidRPr="00FC6F34">
        <w:rPr>
          <w:rFonts w:ascii="Verdana" w:eastAsia="Times New Roman" w:hAnsi="Verdana" w:cs="Arial"/>
          <w:bCs/>
          <w:vertAlign w:val="superscript"/>
          <w:lang w:val="es-ES" w:eastAsia="es-CO"/>
        </w:rPr>
        <w:footnoteReference w:id="25"/>
      </w:r>
      <w:r w:rsidRPr="00FC6F34">
        <w:rPr>
          <w:rFonts w:ascii="Verdana" w:eastAsia="Times New Roman" w:hAnsi="Verdana" w:cs="Arial"/>
          <w:bCs/>
          <w:lang w:val="es-ES" w:eastAsia="es-CO"/>
        </w:rPr>
        <w:t>. Además, también es posible que contratos celebrados previamente se continúen ejecutando con normalidad y, en consecuencia, se realicen los pagos en las condiciones pactadas.</w:t>
      </w:r>
      <w:r>
        <w:rPr>
          <w:rFonts w:ascii="Verdana" w:eastAsia="Times New Roman" w:hAnsi="Verdana" w:cs="Arial"/>
          <w:bCs/>
          <w:lang w:val="es-ES" w:eastAsia="es-CO"/>
        </w:rPr>
        <w:t xml:space="preserve"> </w:t>
      </w:r>
    </w:p>
    <w:p w14:paraId="28B8AF27" w14:textId="77777777" w:rsidR="006052AE" w:rsidRPr="00051A29" w:rsidRDefault="006052AE" w:rsidP="006052AE">
      <w:pPr>
        <w:spacing w:before="120" w:after="120" w:line="276" w:lineRule="auto"/>
        <w:ind w:firstLine="709"/>
        <w:jc w:val="both"/>
        <w:rPr>
          <w:rFonts w:ascii="Verdana" w:eastAsia="Times New Roman" w:hAnsi="Verdana" w:cs="Arial"/>
          <w:bCs/>
          <w:lang w:val="es-ES" w:eastAsia="es-CO"/>
        </w:rPr>
      </w:pPr>
      <w:r>
        <w:rPr>
          <w:rFonts w:ascii="Verdana" w:eastAsia="Calibri" w:hAnsi="Verdana" w:cs="Arial"/>
          <w:lang w:val="es-ES"/>
        </w:rPr>
        <w:t xml:space="preserve">En suma, </w:t>
      </w:r>
      <w:r w:rsidRPr="00584759">
        <w:rPr>
          <w:rFonts w:ascii="Verdana" w:eastAsia="Calibri" w:hAnsi="Verdana" w:cs="Arial"/>
          <w:lang w:val="es-ES"/>
        </w:rPr>
        <w:t>corresponderá a cada entidad, incluyendo a aquellas</w:t>
      </w:r>
      <w:r>
        <w:rPr>
          <w:rFonts w:ascii="Verdana" w:eastAsia="Calibri" w:hAnsi="Verdana" w:cs="Arial"/>
          <w:lang w:val="es-ES"/>
        </w:rPr>
        <w:t xml:space="preserve"> que hacen parte del</w:t>
      </w:r>
      <w:r w:rsidRPr="00DD0283">
        <w:rPr>
          <w:rFonts w:ascii="Verdana" w:eastAsia="Arial" w:hAnsi="Verdana" w:cs="Arial"/>
          <w:bCs/>
          <w:color w:val="000000" w:themeColor="text1"/>
        </w:rPr>
        <w:t xml:space="preserve"> Sistema de Salud de las Fuerzas Militares y de la Policía Nacional</w:t>
      </w:r>
      <w:r>
        <w:rPr>
          <w:rFonts w:ascii="Verdana" w:eastAsia="Calibri" w:hAnsi="Verdana" w:cs="Arial"/>
          <w:lang w:val="es-ES"/>
        </w:rPr>
        <w:t xml:space="preserve">, </w:t>
      </w:r>
      <w:r w:rsidRPr="00584759">
        <w:rPr>
          <w:rFonts w:ascii="Verdana" w:eastAsia="Calibri" w:hAnsi="Verdana" w:cs="Arial"/>
          <w:lang w:val="es-ES"/>
        </w:rPr>
        <w:lastRenderedPageBreak/>
        <w:t>determinar la procedencia de celebrar un contrato estatal específico, para lo cual deberán tener en cuenta las prohibiciones establecidas en materia contractual en la Ley de Garantías Electorales.</w:t>
      </w:r>
      <w:r>
        <w:rPr>
          <w:rFonts w:ascii="Verdana" w:eastAsia="Times New Roman" w:hAnsi="Verdana" w:cs="Arial"/>
          <w:bCs/>
          <w:lang w:val="es-ES" w:eastAsia="es-CO"/>
        </w:rPr>
        <w:t xml:space="preserve"> </w:t>
      </w:r>
      <w:r>
        <w:rPr>
          <w:rFonts w:ascii="Verdana" w:eastAsia="Calibri" w:hAnsi="Verdana" w:cs="Arial"/>
          <w:lang w:val="es-ES"/>
        </w:rPr>
        <w:t>En particular</w:t>
      </w:r>
      <w:r w:rsidRPr="00584759">
        <w:rPr>
          <w:rFonts w:ascii="Verdana" w:eastAsia="Calibri" w:hAnsi="Verdana" w:cs="Arial"/>
          <w:lang w:val="es-ES"/>
        </w:rPr>
        <w:t xml:space="preserve">, cada </w:t>
      </w:r>
      <w:r>
        <w:rPr>
          <w:rFonts w:ascii="Verdana" w:eastAsia="Calibri" w:hAnsi="Verdana" w:cs="Arial"/>
          <w:lang w:val="es-ES"/>
        </w:rPr>
        <w:t xml:space="preserve">entidad debe </w:t>
      </w:r>
      <w:r w:rsidRPr="00584759">
        <w:rPr>
          <w:rFonts w:ascii="Verdana" w:eastAsia="Calibri" w:hAnsi="Verdana" w:cs="Arial"/>
          <w:lang w:val="es-ES"/>
        </w:rPr>
        <w:t>realizar el análisis para determinar si aplica o no una determinada excepción</w:t>
      </w:r>
      <w:r>
        <w:rPr>
          <w:rFonts w:ascii="Verdana" w:eastAsia="Calibri" w:hAnsi="Verdana" w:cs="Arial"/>
          <w:lang w:val="es-ES"/>
        </w:rPr>
        <w:t xml:space="preserve"> a la prohibición del artículo 33 de la Ley de Garantías</w:t>
      </w:r>
      <w:r w:rsidRPr="00584759">
        <w:rPr>
          <w:rFonts w:ascii="Verdana" w:eastAsia="Calibri" w:hAnsi="Verdana" w:cs="Arial"/>
          <w:lang w:val="es-ES"/>
        </w:rPr>
        <w:t xml:space="preserve"> </w:t>
      </w:r>
      <w:r>
        <w:rPr>
          <w:rFonts w:ascii="Verdana" w:eastAsia="Calibri" w:hAnsi="Verdana" w:cs="Arial"/>
          <w:lang w:val="es-ES"/>
        </w:rPr>
        <w:t xml:space="preserve">Electorales, según </w:t>
      </w:r>
      <w:r w:rsidRPr="00584759">
        <w:rPr>
          <w:rFonts w:ascii="Verdana" w:eastAsia="Calibri" w:hAnsi="Verdana" w:cs="Arial"/>
          <w:lang w:val="es-ES"/>
        </w:rPr>
        <w:t xml:space="preserve">la situación fáctica y jurídica particular del caso concreto, para lo cual las consideraciones expuestas en el presente concepto constituyen un instrumento orientador. De ser procedente la excepción, la entidad </w:t>
      </w:r>
      <w:r>
        <w:rPr>
          <w:rFonts w:ascii="Verdana" w:eastAsia="Calibri" w:hAnsi="Verdana" w:cs="Arial"/>
          <w:lang w:val="es-ES"/>
        </w:rPr>
        <w:t xml:space="preserve">podrá contratar directamente </w:t>
      </w:r>
      <w:r w:rsidRPr="00584759">
        <w:rPr>
          <w:rFonts w:ascii="Verdana" w:eastAsia="Calibri" w:hAnsi="Verdana" w:cs="Arial"/>
          <w:lang w:val="es-ES"/>
        </w:rPr>
        <w:t xml:space="preserve">justificando las razones que </w:t>
      </w:r>
      <w:r>
        <w:rPr>
          <w:rFonts w:ascii="Verdana" w:eastAsia="Calibri" w:hAnsi="Verdana" w:cs="Arial"/>
          <w:lang w:val="es-ES"/>
        </w:rPr>
        <w:t xml:space="preserve">lo </w:t>
      </w:r>
      <w:r w:rsidRPr="00584759">
        <w:rPr>
          <w:rFonts w:ascii="Verdana" w:eastAsia="Calibri" w:hAnsi="Verdana" w:cs="Arial"/>
          <w:lang w:val="es-ES"/>
        </w:rPr>
        <w:t>avalan</w:t>
      </w:r>
      <w:r w:rsidRPr="00FC6F34">
        <w:rPr>
          <w:rFonts w:ascii="Verdana" w:hAnsi="Verdana" w:cs="Arial"/>
          <w:lang w:val="es-ES" w:eastAsia="es-CO"/>
        </w:rPr>
        <w:t>. Por el contrario, si determina que no aplica excepción alguna estará vedada la celebración de contratos de manera directa</w:t>
      </w:r>
      <w:r>
        <w:rPr>
          <w:rFonts w:ascii="Verdana" w:hAnsi="Verdana" w:cs="Arial"/>
          <w:lang w:val="es-ES" w:eastAsia="es-CO"/>
        </w:rPr>
        <w:t xml:space="preserve">. </w:t>
      </w:r>
      <w:r w:rsidRPr="00FC6F34">
        <w:rPr>
          <w:rFonts w:ascii="Verdana" w:hAnsi="Verdana" w:cs="Arial"/>
          <w:lang w:val="es-ES" w:eastAsia="es-CO"/>
        </w:rPr>
        <w:t>Lo anterior, sin perjuicio de la prohibición establecida en el parágrafo del artículo 38 de la Ley de Garantías Electorales</w:t>
      </w:r>
      <w:r>
        <w:rPr>
          <w:rFonts w:ascii="Verdana" w:hAnsi="Verdana" w:cs="Arial"/>
          <w:lang w:val="es-ES" w:eastAsia="es-CO"/>
        </w:rPr>
        <w:t>. 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 xml:space="preserve">de adelantar su contratación mediante modalidades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50243B6A" w14:textId="77777777" w:rsidR="006052AE" w:rsidRPr="00584759" w:rsidRDefault="006052AE" w:rsidP="006052AE">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 xml:space="preserve">statal que considera celebrar un contrato específico </w:t>
      </w:r>
      <w:r>
        <w:rPr>
          <w:rFonts w:ascii="Verdana" w:eastAsia="Times New Roman" w:hAnsi="Verdana" w:cs="Arial"/>
          <w:lang w:val="es-ES"/>
        </w:rPr>
        <w:t xml:space="preserve">debe </w:t>
      </w:r>
      <w:r w:rsidRPr="00FC6F34">
        <w:rPr>
          <w:rFonts w:ascii="Verdana" w:eastAsia="Times New Roman" w:hAnsi="Verdana" w:cs="Arial"/>
          <w:lang w:val="es-ES"/>
        </w:rPr>
        <w:t>definir si este se enmarca</w:t>
      </w:r>
      <w:r>
        <w:rPr>
          <w:rFonts w:ascii="Verdana" w:eastAsia="Times New Roman" w:hAnsi="Verdana" w:cs="Arial"/>
          <w:lang w:val="es-ES"/>
        </w:rPr>
        <w:t xml:space="preserve"> en alguna de estas prohibiciones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19083FF4" w14:textId="77777777" w:rsidR="006052AE" w:rsidRPr="00FC6F34" w:rsidRDefault="006052AE" w:rsidP="006052AE">
      <w:pPr>
        <w:spacing w:after="0" w:line="276" w:lineRule="auto"/>
        <w:ind w:firstLine="708"/>
        <w:jc w:val="both"/>
        <w:rPr>
          <w:rFonts w:ascii="Verdana" w:eastAsia="Calibri" w:hAnsi="Verdana" w:cs="Arial"/>
          <w:lang w:val="es-ES"/>
        </w:rPr>
      </w:pPr>
    </w:p>
    <w:bookmarkEnd w:id="1"/>
    <w:bookmarkEnd w:id="2"/>
    <w:p w14:paraId="6C8A4370" w14:textId="77777777" w:rsidR="006052AE" w:rsidRPr="00FC6F34" w:rsidRDefault="006052AE" w:rsidP="006052A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0F4A0AB0" w14:textId="77777777" w:rsidR="006052AE" w:rsidRPr="00FC6F34" w:rsidRDefault="006052AE" w:rsidP="006052AE">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052AE" w:rsidRPr="00FC6F34" w14:paraId="63697829" w14:textId="77777777" w:rsidTr="001B6F25">
        <w:trPr>
          <w:trHeight w:val="870"/>
        </w:trPr>
        <w:tc>
          <w:tcPr>
            <w:tcW w:w="8647" w:type="dxa"/>
          </w:tcPr>
          <w:p w14:paraId="2688C41A" w14:textId="77777777" w:rsidR="006052AE" w:rsidRPr="00FC6F34"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67D7DBD4" w14:textId="77777777" w:rsidR="006052AE" w:rsidRDefault="006052AE" w:rsidP="001B6F25">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FC6F34">
              <w:rPr>
                <w:rFonts w:ascii="Verdana" w:hAnsi="Verdana" w:cs="Arial"/>
              </w:rPr>
              <w:t>Ley 80 de 1993, artículos 30 y 32.</w:t>
            </w:r>
          </w:p>
          <w:p w14:paraId="5F1951AB" w14:textId="77777777" w:rsidR="006052AE" w:rsidRPr="00FC6F34" w:rsidRDefault="006052AE" w:rsidP="001B6F25">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FC6F34">
              <w:rPr>
                <w:rFonts w:ascii="Verdana" w:hAnsi="Verdana" w:cs="Arial"/>
                <w:color w:val="000000" w:themeColor="text1"/>
              </w:rPr>
              <w:t>Ley 100 de 1993</w:t>
            </w:r>
            <w:r>
              <w:rPr>
                <w:rFonts w:ascii="Verdana" w:hAnsi="Verdana" w:cs="Arial"/>
                <w:color w:val="000000" w:themeColor="text1"/>
              </w:rPr>
              <w:t>: artículo 94 y 197</w:t>
            </w:r>
          </w:p>
          <w:p w14:paraId="695EFE69" w14:textId="77777777" w:rsidR="006052AE" w:rsidRDefault="006052AE" w:rsidP="001B6F2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FC6F34">
              <w:rPr>
                <w:rFonts w:ascii="Verdana" w:hAnsi="Verdana" w:cs="Arial"/>
              </w:rPr>
              <w:t>Ley 813 de 2003: artículos 8, 10, 11 y 12.</w:t>
            </w:r>
          </w:p>
          <w:p w14:paraId="7C52F48F" w14:textId="77777777" w:rsidR="006052AE" w:rsidRPr="00EB7F54"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157CF9CE" w14:textId="77777777" w:rsidR="006052AE" w:rsidRPr="00FC6F34" w:rsidRDefault="006052AE" w:rsidP="001B6F2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FC6F34">
              <w:rPr>
                <w:rFonts w:ascii="Verdana" w:hAnsi="Verdana" w:cs="Arial"/>
              </w:rPr>
              <w:lastRenderedPageBreak/>
              <w:t>Ley 1483 de 2011.</w:t>
            </w:r>
          </w:p>
          <w:p w14:paraId="7687FE04" w14:textId="77777777" w:rsidR="006052AE" w:rsidRPr="00FC6F34" w:rsidRDefault="006052AE" w:rsidP="001B6F2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FC6F34">
              <w:rPr>
                <w:rFonts w:ascii="Verdana" w:hAnsi="Verdana" w:cs="Arial"/>
              </w:rPr>
              <w:t>Decreto 111 de 1996.</w:t>
            </w:r>
          </w:p>
          <w:p w14:paraId="5A28E9C5" w14:textId="77777777" w:rsidR="006052AE" w:rsidRDefault="006052AE" w:rsidP="001B6F2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FC6F34">
              <w:rPr>
                <w:rFonts w:ascii="Verdana" w:hAnsi="Verdana" w:cs="Arial"/>
              </w:rPr>
              <w:t xml:space="preserve">Decreto 1068 de 2015: artículo 2.8.3.4. </w:t>
            </w:r>
          </w:p>
          <w:p w14:paraId="6E9D1064" w14:textId="77777777" w:rsidR="006052AE" w:rsidRPr="00FC6F34" w:rsidRDefault="006052AE" w:rsidP="001B6F2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FC6F34">
              <w:rPr>
                <w:rFonts w:ascii="Verdana" w:eastAsia="Arial" w:hAnsi="Verdana" w:cs="Arial"/>
                <w:bCs/>
                <w:color w:val="000000" w:themeColor="text1"/>
              </w:rPr>
              <w:t>Decreto 780 de 2016</w:t>
            </w:r>
            <w:r>
              <w:rPr>
                <w:rFonts w:ascii="Verdana" w:eastAsia="Arial" w:hAnsi="Verdana" w:cs="Arial"/>
                <w:bCs/>
                <w:color w:val="000000" w:themeColor="text1"/>
              </w:rPr>
              <w:t xml:space="preserve">: </w:t>
            </w:r>
            <w:r w:rsidRPr="00FC6F34">
              <w:rPr>
                <w:rFonts w:ascii="Verdana" w:eastAsia="Arial" w:hAnsi="Verdana" w:cs="Arial"/>
                <w:bCs/>
                <w:color w:val="000000" w:themeColor="text1"/>
              </w:rPr>
              <w:t>artículo 2.8.8.1.1.3</w:t>
            </w:r>
          </w:p>
          <w:p w14:paraId="1A8AC6C3" w14:textId="77777777" w:rsidR="006052AE" w:rsidRPr="00FC6F34"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FC6F34">
              <w:rPr>
                <w:rFonts w:ascii="Verdana" w:eastAsia="Calibri" w:hAnsi="Verdana" w:cs="Arial"/>
                <w:lang w:val="es-ES"/>
              </w:rPr>
              <w:t>Decreto 2770 de 2006.</w:t>
            </w:r>
          </w:p>
          <w:p w14:paraId="58F7F92F" w14:textId="77777777" w:rsidR="006052AE"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 xml:space="preserve">rtículo 2, numeral 4. </w:t>
            </w:r>
          </w:p>
          <w:p w14:paraId="3C1F71D1" w14:textId="77777777" w:rsidR="006052AE" w:rsidRPr="00D93D5B"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4841EA">
              <w:rPr>
                <w:rFonts w:ascii="Verdana" w:eastAsia="Arial MT" w:hAnsi="Verdana" w:cs="Arial"/>
                <w:lang w:val="es-ES" w:eastAsia="es-ES" w:bidi="es-ES"/>
              </w:rPr>
              <w:t>Estatuto Orgánico del Presupuesto</w:t>
            </w:r>
            <w:r>
              <w:rPr>
                <w:rFonts w:ascii="Verdana" w:eastAsia="Arial MT" w:hAnsi="Verdana" w:cs="Arial"/>
                <w:lang w:val="es-ES" w:eastAsia="es-ES" w:bidi="es-ES"/>
              </w:rPr>
              <w:t>:</w:t>
            </w:r>
            <w:r w:rsidRPr="004841EA">
              <w:rPr>
                <w:rFonts w:ascii="Verdana" w:eastAsia="Arial MT" w:hAnsi="Verdana" w:cs="Arial"/>
                <w:lang w:val="es-ES" w:eastAsia="es-ES" w:bidi="es-ES"/>
              </w:rPr>
              <w:t xml:space="preserve"> </w:t>
            </w:r>
            <w:r>
              <w:rPr>
                <w:rFonts w:ascii="Verdana" w:eastAsia="Arial MT" w:hAnsi="Verdana" w:cs="Arial"/>
                <w:lang w:val="es-ES" w:eastAsia="es-ES" w:bidi="es-ES"/>
              </w:rPr>
              <w:t>a</w:t>
            </w:r>
            <w:r w:rsidRPr="004841EA">
              <w:rPr>
                <w:rFonts w:ascii="Verdana" w:eastAsia="Arial MT" w:hAnsi="Verdana" w:cs="Arial"/>
                <w:lang w:val="es-ES" w:eastAsia="es-ES" w:bidi="es-ES"/>
              </w:rPr>
              <w:t>rtículo 89.</w:t>
            </w:r>
          </w:p>
          <w:p w14:paraId="1D5E2E6D" w14:textId="77777777" w:rsidR="006052AE" w:rsidRPr="00E06D2F"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4841EA">
              <w:rPr>
                <w:rFonts w:ascii="Verdana" w:eastAsia="Arial MT" w:hAnsi="Verdana" w:cs="Arial"/>
                <w:lang w:val="es-ES" w:eastAsia="es-ES" w:bidi="es-ES"/>
              </w:rPr>
              <w:t>Decreto 1082 de 2015</w:t>
            </w:r>
            <w:r>
              <w:rPr>
                <w:rFonts w:ascii="Verdana" w:eastAsia="Arial MT" w:hAnsi="Verdana" w:cs="Arial"/>
                <w:lang w:val="es-ES" w:eastAsia="es-ES" w:bidi="es-ES"/>
              </w:rPr>
              <w:t>:</w:t>
            </w:r>
            <w:r w:rsidRPr="004841EA">
              <w:rPr>
                <w:rFonts w:ascii="Verdana" w:eastAsia="Arial MT" w:hAnsi="Verdana" w:cs="Arial"/>
                <w:lang w:val="es-ES" w:eastAsia="es-ES" w:bidi="es-ES"/>
              </w:rPr>
              <w:t xml:space="preserve"> </w:t>
            </w:r>
            <w:r>
              <w:rPr>
                <w:rFonts w:ascii="Verdana" w:eastAsia="Arial MT" w:hAnsi="Verdana" w:cs="Arial"/>
                <w:lang w:val="es-ES" w:eastAsia="es-ES" w:bidi="es-ES"/>
              </w:rPr>
              <w:t>a</w:t>
            </w:r>
            <w:r w:rsidRPr="004841EA">
              <w:rPr>
                <w:rFonts w:ascii="Verdana" w:eastAsia="Arial MT" w:hAnsi="Verdana" w:cs="Arial"/>
                <w:lang w:val="es-ES" w:eastAsia="es-ES" w:bidi="es-ES"/>
              </w:rPr>
              <w:t>rtículo 2.2.1.2.1.4.4</w:t>
            </w:r>
          </w:p>
          <w:p w14:paraId="4127DAB9" w14:textId="77777777" w:rsidR="006052AE" w:rsidRPr="00FC6F34"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27089D">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30FEBDDB" w14:textId="77777777" w:rsidR="006052AE" w:rsidRPr="0027089D"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Sección Primera. Sentencia de 3 de marzo de 2005, </w:t>
            </w:r>
            <w:proofErr w:type="spellStart"/>
            <w:r w:rsidRPr="0027089D">
              <w:rPr>
                <w:rFonts w:ascii="Verdana" w:eastAsia="Arial MT" w:hAnsi="Verdana" w:cs="Arial"/>
                <w:lang w:val="es-ES" w:eastAsia="es-ES" w:bidi="es-ES"/>
              </w:rPr>
              <w:t>Exp</w:t>
            </w:r>
            <w:proofErr w:type="spellEnd"/>
            <w:r w:rsidRPr="0027089D">
              <w:rPr>
                <w:rFonts w:ascii="Verdana" w:eastAsia="Arial MT" w:hAnsi="Verdana" w:cs="Arial"/>
                <w:lang w:val="es-ES" w:eastAsia="es-ES" w:bidi="es-ES"/>
              </w:rPr>
              <w:t xml:space="preserve">. 2004-00823-01(PI). </w:t>
            </w:r>
          </w:p>
          <w:p w14:paraId="37C63B73" w14:textId="77777777" w:rsidR="006052AE" w:rsidRPr="0027089D"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27089D">
              <w:rPr>
                <w:rFonts w:ascii="Verdana" w:eastAsia="Arial MT" w:hAnsi="Verdana" w:cs="Arial"/>
                <w:lang w:val="es-ES" w:eastAsia="es-ES" w:bidi="es-ES"/>
              </w:rPr>
              <w:t>Consejo de Estado, Sala de Consulta y Servicio Civil, Concepto de fecha 8 de mayo de 2018, No. 2382. C. P. Álvaro Namén Vargas.</w:t>
            </w:r>
          </w:p>
          <w:p w14:paraId="4AE369CB" w14:textId="77777777" w:rsidR="006052AE" w:rsidRPr="0027089D"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27089D">
              <w:rPr>
                <w:rFonts w:ascii="Verdana" w:eastAsia="Arial MT" w:hAnsi="Verdana" w:cs="Arial"/>
                <w:lang w:val="es-ES" w:eastAsia="es-ES" w:bidi="es-ES"/>
              </w:rPr>
              <w:t>Consejo de Estado. Sala de Consulta y Servicio Civil. Concepto del 02 de septiembre de 2013. Rad. 11001-03-06-000-2013-00412-00 (2168). C.P. Álvaro Namén Vargas.</w:t>
            </w:r>
          </w:p>
          <w:p w14:paraId="115E615F" w14:textId="77777777" w:rsidR="006052AE" w:rsidRPr="0027089D" w:rsidRDefault="006052AE" w:rsidP="001B6F25">
            <w:pPr>
              <w:widowControl w:val="0"/>
              <w:numPr>
                <w:ilvl w:val="0"/>
                <w:numId w:val="16"/>
              </w:numPr>
              <w:autoSpaceDE w:val="0"/>
              <w:autoSpaceDN w:val="0"/>
              <w:snapToGrid w:val="0"/>
              <w:spacing w:before="120" w:after="120" w:line="276" w:lineRule="auto"/>
              <w:ind w:left="714" w:hanging="357"/>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Sala de Consulta y Servicio Civil, Concepto de fecha 24 de julio de 2013, Rad. 2166, C. P. Álvaro Namén Vargas. </w:t>
            </w:r>
          </w:p>
          <w:p w14:paraId="6CCA3E12" w14:textId="77777777" w:rsidR="006052AE" w:rsidRPr="0027089D" w:rsidRDefault="006052AE" w:rsidP="001B6F25">
            <w:pPr>
              <w:pStyle w:val="Prrafodelista"/>
              <w:numPr>
                <w:ilvl w:val="0"/>
                <w:numId w:val="16"/>
              </w:numPr>
              <w:snapToGrid w:val="0"/>
              <w:spacing w:before="120" w:after="120" w:line="276" w:lineRule="auto"/>
              <w:ind w:left="714" w:hanging="357"/>
              <w:contextualSpacing w:val="0"/>
              <w:jc w:val="both"/>
              <w:rPr>
                <w:rFonts w:ascii="Verdana" w:eastAsia="Arial MT" w:hAnsi="Verdana" w:cs="Arial"/>
                <w:lang w:eastAsia="es-ES" w:bidi="es-ES"/>
              </w:rPr>
            </w:pPr>
            <w:r w:rsidRPr="0027089D">
              <w:rPr>
                <w:rFonts w:ascii="Verdana" w:eastAsia="Arial MT" w:hAnsi="Verdana" w:cs="Arial"/>
                <w:lang w:eastAsia="es-ES" w:bidi="es-ES"/>
              </w:rPr>
              <w:t>Consejo de Estado. Sala de Consulta y Servicio Civil. Concepto del 17 de febrero de 2015. C.P. William Zambrano Cetina. Radicación No. 11001-03-06-000-2015-00164-00(2269).</w:t>
            </w:r>
          </w:p>
          <w:p w14:paraId="25BC1A19" w14:textId="77777777" w:rsidR="006052AE" w:rsidRPr="0027089D" w:rsidRDefault="006052AE" w:rsidP="001B6F25">
            <w:pPr>
              <w:pStyle w:val="Prrafodelista"/>
              <w:numPr>
                <w:ilvl w:val="0"/>
                <w:numId w:val="16"/>
              </w:numPr>
              <w:snapToGrid w:val="0"/>
              <w:spacing w:before="120" w:after="120" w:line="276" w:lineRule="auto"/>
              <w:ind w:left="714" w:hanging="357"/>
              <w:contextualSpacing w:val="0"/>
              <w:jc w:val="both"/>
              <w:rPr>
                <w:rFonts w:ascii="Verdana" w:eastAsia="Arial MT" w:hAnsi="Verdana" w:cs="Arial"/>
                <w:lang w:eastAsia="es-ES" w:bidi="es-ES"/>
              </w:rPr>
            </w:pPr>
            <w:r w:rsidRPr="0027089D">
              <w:rPr>
                <w:rFonts w:ascii="Verdana" w:eastAsia="Arial MT" w:hAnsi="Verdana" w:cs="Arial"/>
                <w:lang w:eastAsia="es-ES" w:bidi="es-ES"/>
              </w:rPr>
              <w:t>Consejo de Estado, Sala de Consulta y Servicio Civil, Concepto de fecha 8 de mayo de 2018, No. 2382. C. P. Álvaro Namén Vargas.</w:t>
            </w:r>
          </w:p>
          <w:p w14:paraId="3C41F7BD" w14:textId="77777777" w:rsidR="006052AE" w:rsidRPr="0027089D" w:rsidRDefault="006052AE" w:rsidP="001B6F25">
            <w:pPr>
              <w:pStyle w:val="Prrafodelista"/>
              <w:numPr>
                <w:ilvl w:val="0"/>
                <w:numId w:val="16"/>
              </w:numPr>
              <w:snapToGrid w:val="0"/>
              <w:spacing w:before="120" w:after="120" w:line="276" w:lineRule="auto"/>
              <w:ind w:left="714" w:hanging="357"/>
              <w:contextualSpacing w:val="0"/>
              <w:jc w:val="both"/>
              <w:rPr>
                <w:rFonts w:ascii="Verdana" w:eastAsia="Arial MT" w:hAnsi="Verdana" w:cs="Arial"/>
                <w:lang w:eastAsia="es-ES" w:bidi="es-ES"/>
              </w:rPr>
            </w:pPr>
            <w:r w:rsidRPr="0027089D">
              <w:rPr>
                <w:rFonts w:ascii="Verdana" w:eastAsia="Arial MT" w:hAnsi="Verdana" w:cs="Arial"/>
                <w:lang w:eastAsia="es-ES" w:bidi="es-ES"/>
              </w:rPr>
              <w:t>Corte Constitucional. Sentencia C-1153 de 2005 M.P. Marco Gerardo Monroy Cabra.</w:t>
            </w:r>
          </w:p>
          <w:p w14:paraId="49C9F283" w14:textId="77777777" w:rsidR="006052AE" w:rsidRPr="00FC6F34" w:rsidRDefault="006052AE" w:rsidP="001B6F25">
            <w:pPr>
              <w:pStyle w:val="Prrafodelista"/>
              <w:numPr>
                <w:ilvl w:val="0"/>
                <w:numId w:val="16"/>
              </w:numPr>
              <w:snapToGrid w:val="0"/>
              <w:spacing w:before="120" w:after="120" w:line="276" w:lineRule="auto"/>
              <w:ind w:left="714" w:hanging="357"/>
              <w:contextualSpacing w:val="0"/>
              <w:jc w:val="both"/>
              <w:rPr>
                <w:rFonts w:ascii="Verdana" w:hAnsi="Verdana" w:cs="Arial"/>
              </w:rPr>
            </w:pPr>
            <w:r w:rsidRPr="0027089D">
              <w:rPr>
                <w:rFonts w:ascii="Verdana" w:eastAsia="Arial MT" w:hAnsi="Verdana" w:cs="Arial"/>
                <w:lang w:eastAsia="es-ES" w:bidi="es-ES"/>
              </w:rPr>
              <w:t xml:space="preserve">Ministerio de Salud y Protección Social, Resolución 04 del 12 de </w:t>
            </w:r>
            <w:proofErr w:type="gramStart"/>
            <w:r w:rsidRPr="0027089D">
              <w:rPr>
                <w:rFonts w:ascii="Verdana" w:eastAsia="Arial MT" w:hAnsi="Verdana" w:cs="Arial"/>
                <w:lang w:eastAsia="es-ES" w:bidi="es-ES"/>
              </w:rPr>
              <w:t>Enero</w:t>
            </w:r>
            <w:proofErr w:type="gramEnd"/>
            <w:r w:rsidRPr="0027089D">
              <w:rPr>
                <w:rFonts w:ascii="Verdana" w:eastAsia="Arial MT" w:hAnsi="Verdana" w:cs="Arial"/>
                <w:lang w:eastAsia="es-ES" w:bidi="es-ES"/>
              </w:rPr>
              <w:t xml:space="preserve"> de 2018.</w:t>
            </w:r>
          </w:p>
        </w:tc>
      </w:tr>
    </w:tbl>
    <w:p w14:paraId="60339E4D" w14:textId="77777777" w:rsidR="006052AE" w:rsidRPr="00FC6F34" w:rsidRDefault="006052AE" w:rsidP="006052AE">
      <w:pPr>
        <w:widowControl w:val="0"/>
        <w:autoSpaceDE w:val="0"/>
        <w:autoSpaceDN w:val="0"/>
        <w:spacing w:after="0" w:line="276" w:lineRule="auto"/>
        <w:jc w:val="both"/>
        <w:rPr>
          <w:rFonts w:ascii="Verdana" w:hAnsi="Verdana" w:cs="Arial"/>
          <w:color w:val="000000" w:themeColor="text1"/>
          <w:lang w:val="es-ES"/>
        </w:rPr>
      </w:pPr>
    </w:p>
    <w:p w14:paraId="374CCEE8" w14:textId="77777777" w:rsidR="006052AE" w:rsidRPr="00FC6F34" w:rsidRDefault="006052AE" w:rsidP="006052AE">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lastRenderedPageBreak/>
        <w:t>5.Doctrina de la Agencia Nacional de Contratación Pública:</w:t>
      </w:r>
    </w:p>
    <w:p w14:paraId="18AA7971" w14:textId="77777777" w:rsidR="006052AE" w:rsidRPr="00FC6F34" w:rsidRDefault="006052AE" w:rsidP="006052AE">
      <w:pPr>
        <w:widowControl w:val="0"/>
        <w:autoSpaceDE w:val="0"/>
        <w:autoSpaceDN w:val="0"/>
        <w:spacing w:after="0" w:line="276" w:lineRule="auto"/>
        <w:jc w:val="both"/>
        <w:rPr>
          <w:rFonts w:ascii="Verdana" w:hAnsi="Verdana" w:cs="Arial"/>
          <w:color w:val="000000" w:themeColor="text1"/>
          <w:lang w:val="es-ES"/>
        </w:rPr>
      </w:pPr>
    </w:p>
    <w:p w14:paraId="5F01B1C0" w14:textId="77777777" w:rsidR="006052AE" w:rsidRPr="00982071" w:rsidRDefault="006052AE" w:rsidP="006052AE">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w:t>
      </w:r>
      <w:r>
        <w:rPr>
          <w:rFonts w:ascii="Verdana" w:hAnsi="Verdana" w:cs="Arial"/>
          <w:shd w:val="clear" w:color="auto" w:fill="FFFFFF"/>
          <w:lang w:val="es-ES"/>
        </w:rPr>
        <w:t xml:space="preserve">, </w:t>
      </w:r>
      <w:r w:rsidRPr="00FC6F34">
        <w:rPr>
          <w:rFonts w:ascii="Verdana" w:hAnsi="Verdana" w:cs="Arial"/>
          <w:shd w:val="clear" w:color="auto" w:fill="FFFFFF"/>
          <w:lang w:val="es-ES"/>
        </w:rPr>
        <w:t>C-273-A de 2025</w:t>
      </w:r>
      <w:r>
        <w:rPr>
          <w:rFonts w:ascii="Verdana" w:hAnsi="Verdana" w:cs="Arial"/>
          <w:shd w:val="clear" w:color="auto" w:fill="FFFFFF"/>
          <w:lang w:val="es-ES"/>
        </w:rPr>
        <w:t>, C-1057 del 5 de septiembre de 2025, entre otros</w:t>
      </w:r>
      <w:r w:rsidRPr="00FC6F34">
        <w:rPr>
          <w:rFonts w:ascii="Verdana" w:hAnsi="Verdana" w:cs="Arial"/>
          <w:shd w:val="clear" w:color="auto" w:fill="FFFFFF"/>
          <w:lang w:val="es-ES"/>
        </w:rPr>
        <w:t>. Estos</w:t>
      </w:r>
      <w:r w:rsidRPr="00FC6F34">
        <w:rPr>
          <w:rFonts w:ascii="Verdana" w:hAnsi="Verdana"/>
          <w:lang w:val="es-ES"/>
        </w:rPr>
        <w:t xml:space="preserve"> y otros</w:t>
      </w:r>
      <w:r>
        <w:rPr>
          <w:rFonts w:ascii="Verdana" w:hAnsi="Verdana"/>
          <w:lang w:val="es-ES"/>
        </w:rPr>
        <w:t xml:space="preserve"> conceptos</w:t>
      </w:r>
      <w:r w:rsidRPr="00FC6F34">
        <w:rPr>
          <w:rFonts w:ascii="Verdana" w:hAnsi="Verdana"/>
          <w:lang w:val="es-ES"/>
        </w:rPr>
        <w:t xml:space="preserve">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5F0CFA73" w14:textId="77777777" w:rsidR="006052AE" w:rsidRDefault="006052AE" w:rsidP="006052AE">
      <w:pPr>
        <w:spacing w:after="120" w:line="276" w:lineRule="auto"/>
        <w:jc w:val="both"/>
        <w:rPr>
          <w:rFonts w:ascii="Verdana" w:eastAsia="Calibri" w:hAnsi="Verdana" w:cs="Times New Roman"/>
        </w:rPr>
      </w:pPr>
      <w:r>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FF0F69B" w14:textId="77777777" w:rsidR="006052AE" w:rsidRDefault="006052AE" w:rsidP="006052AE">
      <w:pPr>
        <w:pStyle w:val="Prrafodelista"/>
        <w:numPr>
          <w:ilvl w:val="0"/>
          <w:numId w:val="20"/>
        </w:numPr>
        <w:spacing w:after="0" w:line="276" w:lineRule="auto"/>
        <w:jc w:val="both"/>
        <w:rPr>
          <w:rFonts w:ascii="Verdana" w:hAnsi="Verdana"/>
          <w:lang w:val="es-CO"/>
        </w:rPr>
      </w:pPr>
      <w:r>
        <w:rPr>
          <w:rFonts w:ascii="Verdana" w:hAnsi="Verdana"/>
          <w:lang w:val="es-CO"/>
        </w:rPr>
        <w:t>Línea nacional gratuita o servicio a la ciudadanía: 01800 0520808</w:t>
      </w:r>
    </w:p>
    <w:p w14:paraId="2A315035" w14:textId="77777777" w:rsidR="006052AE" w:rsidRDefault="006052AE" w:rsidP="006052AE">
      <w:pPr>
        <w:pStyle w:val="Prrafodelista"/>
        <w:numPr>
          <w:ilvl w:val="0"/>
          <w:numId w:val="20"/>
        </w:numPr>
        <w:spacing w:after="0" w:line="276" w:lineRule="auto"/>
        <w:jc w:val="both"/>
        <w:rPr>
          <w:rFonts w:ascii="Verdana" w:hAnsi="Verdana"/>
          <w:lang w:val="es-CO"/>
        </w:rPr>
      </w:pPr>
      <w:r>
        <w:rPr>
          <w:rFonts w:ascii="Verdana" w:hAnsi="Verdana"/>
          <w:lang w:val="es-CO"/>
        </w:rPr>
        <w:t>Línea en Bogotá (Mesa de servicio): +57 601 7456788</w:t>
      </w:r>
    </w:p>
    <w:p w14:paraId="40DEC810" w14:textId="77777777" w:rsidR="006052AE" w:rsidRDefault="006052AE" w:rsidP="006052AE">
      <w:pPr>
        <w:pStyle w:val="Prrafodelista"/>
        <w:numPr>
          <w:ilvl w:val="0"/>
          <w:numId w:val="20"/>
        </w:numPr>
        <w:spacing w:after="0" w:line="276" w:lineRule="auto"/>
        <w:jc w:val="both"/>
        <w:rPr>
          <w:rFonts w:ascii="Verdana" w:hAnsi="Verdana"/>
          <w:lang w:val="es-CO"/>
        </w:rPr>
      </w:pPr>
      <w:r>
        <w:rPr>
          <w:rFonts w:ascii="Verdana" w:hAnsi="Verdana"/>
          <w:lang w:val="es-CO"/>
        </w:rPr>
        <w:t>Línea de servicio y atención al ciudadano: +57 601 7956600</w:t>
      </w:r>
    </w:p>
    <w:p w14:paraId="3DADDA3D" w14:textId="77777777" w:rsidR="006052AE" w:rsidRDefault="006052AE" w:rsidP="006052AE">
      <w:pPr>
        <w:pStyle w:val="Prrafodelista"/>
        <w:numPr>
          <w:ilvl w:val="0"/>
          <w:numId w:val="20"/>
        </w:numPr>
        <w:spacing w:after="0" w:line="276" w:lineRule="auto"/>
        <w:jc w:val="both"/>
        <w:rPr>
          <w:rFonts w:ascii="Verdana" w:hAnsi="Verdana"/>
          <w:lang w:val="es-CO"/>
        </w:rPr>
      </w:pPr>
      <w:r>
        <w:rPr>
          <w:rFonts w:ascii="Verdana" w:hAnsi="Verdana"/>
          <w:lang w:val="es-CO"/>
        </w:rPr>
        <w:t xml:space="preserve">Página web: </w:t>
      </w:r>
      <w:hyperlink r:id="rId14" w:history="1">
        <w:r>
          <w:rPr>
            <w:rStyle w:val="Hipervnculo"/>
            <w:rFonts w:ascii="Verdana" w:hAnsi="Verdana"/>
            <w:lang w:val="es-CO"/>
          </w:rPr>
          <w:t>www.colombiacompra.gov.co</w:t>
        </w:r>
      </w:hyperlink>
    </w:p>
    <w:p w14:paraId="519A3A7D" w14:textId="77777777" w:rsidR="006052AE" w:rsidRDefault="006052AE" w:rsidP="006052AE">
      <w:pPr>
        <w:spacing w:before="120"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4C2AF91" w14:textId="77777777" w:rsidR="006052AE" w:rsidRDefault="006052AE" w:rsidP="006052AE">
      <w:pPr>
        <w:spacing w:after="0" w:line="276" w:lineRule="auto"/>
        <w:jc w:val="both"/>
        <w:rPr>
          <w:rFonts w:ascii="Verdana" w:hAnsi="Verdana"/>
        </w:rPr>
      </w:pPr>
    </w:p>
    <w:p w14:paraId="5BD62591" w14:textId="77777777" w:rsidR="006052AE" w:rsidRDefault="006052AE" w:rsidP="006052AE">
      <w:pPr>
        <w:spacing w:after="0" w:line="276" w:lineRule="auto"/>
        <w:jc w:val="both"/>
        <w:rPr>
          <w:rFonts w:ascii="Verdana" w:hAnsi="Verdana"/>
        </w:rPr>
      </w:pPr>
      <w:r>
        <w:rPr>
          <w:rFonts w:ascii="Verdana" w:hAnsi="Verdana"/>
        </w:rPr>
        <w:t xml:space="preserve">Twitter: </w:t>
      </w:r>
      <w:r>
        <w:rPr>
          <w:rStyle w:val="Hipervnculo"/>
          <w:rFonts w:ascii="Verdana" w:hAnsi="Verdana"/>
        </w:rPr>
        <w:t>@colombiacompra</w:t>
      </w:r>
      <w:r>
        <w:rPr>
          <w:rFonts w:ascii="Verdana" w:hAnsi="Verdana"/>
        </w:rPr>
        <w:t xml:space="preserve"> </w:t>
      </w:r>
    </w:p>
    <w:p w14:paraId="416C07FD" w14:textId="77777777" w:rsidR="006052AE" w:rsidRDefault="006052AE" w:rsidP="006052AE">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rPr>
        <w:t>ColombiaCompraEficiente</w:t>
      </w:r>
      <w:proofErr w:type="spellEnd"/>
    </w:p>
    <w:p w14:paraId="687B465B" w14:textId="77777777" w:rsidR="006052AE" w:rsidRDefault="006052AE" w:rsidP="006052AE">
      <w:pPr>
        <w:spacing w:after="0" w:line="276" w:lineRule="auto"/>
        <w:jc w:val="both"/>
        <w:rPr>
          <w:rFonts w:ascii="Verdana" w:hAnsi="Verdana"/>
        </w:rPr>
      </w:pPr>
      <w:r>
        <w:rPr>
          <w:rFonts w:ascii="Verdana" w:hAnsi="Verdana"/>
        </w:rPr>
        <w:t xml:space="preserve">LinkedIn: </w:t>
      </w:r>
      <w:r>
        <w:rPr>
          <w:rStyle w:val="Hipervnculo"/>
          <w:rFonts w:ascii="Verdana" w:hAnsi="Verdana"/>
        </w:rPr>
        <w:t>Agencia Nacional de Contratación Pública - Colombia Compra Eficiente</w:t>
      </w:r>
      <w:r>
        <w:rPr>
          <w:rFonts w:ascii="Verdana" w:hAnsi="Verdana"/>
        </w:rPr>
        <w:t xml:space="preserve"> Instagram: </w:t>
      </w:r>
      <w:r>
        <w:rPr>
          <w:rStyle w:val="Hipervnculo"/>
          <w:rFonts w:ascii="Verdana" w:hAnsi="Verdana"/>
        </w:rPr>
        <w:t>@colombiacompraeficiente_cce</w:t>
      </w:r>
    </w:p>
    <w:p w14:paraId="5C46FBE8" w14:textId="77777777" w:rsidR="006052AE" w:rsidRDefault="006052AE" w:rsidP="006052AE">
      <w:pPr>
        <w:widowControl w:val="0"/>
        <w:autoSpaceDE w:val="0"/>
        <w:autoSpaceDN w:val="0"/>
        <w:spacing w:after="0" w:line="276" w:lineRule="auto"/>
        <w:jc w:val="both"/>
        <w:rPr>
          <w:rFonts w:ascii="Verdana" w:hAnsi="Verdana" w:cs="Arial"/>
          <w:lang w:val="es-ES"/>
        </w:rPr>
      </w:pPr>
    </w:p>
    <w:p w14:paraId="2A3ACDDF" w14:textId="77777777" w:rsidR="006052AE" w:rsidRPr="00FC6F34" w:rsidRDefault="006052AE" w:rsidP="006052AE">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 xml:space="preserve">Este concepto tiene el alcance previsto en el artículo 28 del Código de </w:t>
      </w:r>
      <w:r w:rsidRPr="00FC6F34">
        <w:rPr>
          <w:rFonts w:ascii="Verdana" w:hAnsi="Verdana" w:cs="Arial"/>
          <w:lang w:val="es-ES"/>
        </w:rPr>
        <w:lastRenderedPageBreak/>
        <w:t>Procedimiento Administrativo y de lo Contencioso Administrativo y las expresiones aquí utilizadas con mayúscula inicial deben ser entendidas con el significado que les otorga el artículo 2.2.1.1.1.3.1. del Decreto 1082 de 2015.</w:t>
      </w:r>
    </w:p>
    <w:p w14:paraId="2CF8AEA4" w14:textId="77777777" w:rsidR="006052AE" w:rsidRPr="00FC6F34" w:rsidRDefault="006052AE" w:rsidP="006052AE">
      <w:pPr>
        <w:widowControl w:val="0"/>
        <w:autoSpaceDE w:val="0"/>
        <w:autoSpaceDN w:val="0"/>
        <w:spacing w:after="0" w:line="276" w:lineRule="auto"/>
        <w:jc w:val="both"/>
        <w:rPr>
          <w:rFonts w:ascii="Verdana" w:hAnsi="Verdana" w:cs="Arial"/>
          <w:lang w:val="es-ES"/>
        </w:rPr>
      </w:pPr>
    </w:p>
    <w:p w14:paraId="5B50A01E" w14:textId="77777777" w:rsidR="006052AE" w:rsidRPr="00FC6F34" w:rsidRDefault="006052AE" w:rsidP="006052AE">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bookmarkEnd w:id="0"/>
    <w:p w14:paraId="3F1B973C" w14:textId="3D9B4B9E" w:rsidR="006052AE" w:rsidRPr="00A27102" w:rsidRDefault="00591668" w:rsidP="006052AE">
      <w:pPr>
        <w:spacing w:line="276" w:lineRule="auto"/>
        <w:jc w:val="center"/>
        <w:rPr>
          <w:rFonts w:ascii="Verdana" w:hAnsi="Verdana" w:cs="Arial"/>
          <w:color w:val="000000"/>
          <w:lang w:val="es-ES_tradnl" w:eastAsia="es-CO"/>
        </w:rPr>
      </w:pPr>
      <w:r>
        <w:rPr>
          <w:noProof/>
        </w:rPr>
        <w:drawing>
          <wp:inline distT="0" distB="0" distL="0" distR="0" wp14:anchorId="09B0C38B" wp14:editId="5D4A687C">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360420" cy="113538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052AE" w:rsidRPr="00A27102" w14:paraId="6B2C532D" w14:textId="77777777" w:rsidTr="001B6F25">
        <w:trPr>
          <w:trHeight w:val="315"/>
        </w:trPr>
        <w:tc>
          <w:tcPr>
            <w:tcW w:w="893" w:type="dxa"/>
            <w:vAlign w:val="center"/>
            <w:hideMark/>
          </w:tcPr>
          <w:p w14:paraId="2085A7B3" w14:textId="77777777" w:rsidR="006052AE" w:rsidRPr="00A27102" w:rsidRDefault="006052AE" w:rsidP="001B6F2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7F3BC5" w14:textId="77777777" w:rsidR="006052AE" w:rsidRPr="00A27102" w:rsidRDefault="006052AE" w:rsidP="001B6F25">
            <w:pPr>
              <w:contextualSpacing/>
              <w:rPr>
                <w:rFonts w:ascii="Verdana" w:hAnsi="Verdana"/>
                <w:sz w:val="16"/>
                <w:szCs w:val="16"/>
              </w:rPr>
            </w:pPr>
            <w:r w:rsidRPr="00A27102">
              <w:rPr>
                <w:rFonts w:ascii="Verdana" w:hAnsi="Verdana"/>
                <w:sz w:val="16"/>
                <w:szCs w:val="16"/>
              </w:rPr>
              <w:t>Tatiana Baquero Iguarán</w:t>
            </w:r>
          </w:p>
          <w:p w14:paraId="2624C1D2" w14:textId="77777777" w:rsidR="006052AE" w:rsidRPr="00A27102" w:rsidRDefault="006052AE" w:rsidP="001B6F2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6052AE" w:rsidRPr="00A27102" w14:paraId="52DDECE5" w14:textId="77777777" w:rsidTr="001B6F25">
        <w:trPr>
          <w:trHeight w:val="330"/>
        </w:trPr>
        <w:tc>
          <w:tcPr>
            <w:tcW w:w="893" w:type="dxa"/>
            <w:vAlign w:val="center"/>
            <w:hideMark/>
          </w:tcPr>
          <w:p w14:paraId="1E7FE6E7" w14:textId="77777777" w:rsidR="006052AE" w:rsidRPr="00A27102" w:rsidRDefault="006052AE" w:rsidP="001B6F2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C9E1A5" w14:textId="77777777" w:rsidR="006052AE" w:rsidRPr="00A27102" w:rsidRDefault="006052AE" w:rsidP="001B6F2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7AE2337B" w14:textId="77777777" w:rsidR="006052AE" w:rsidRPr="00A27102" w:rsidRDefault="006052AE" w:rsidP="001B6F2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6052AE" w:rsidRPr="00A27102" w14:paraId="733FBE04" w14:textId="77777777" w:rsidTr="001B6F25">
        <w:trPr>
          <w:trHeight w:val="300"/>
        </w:trPr>
        <w:tc>
          <w:tcPr>
            <w:tcW w:w="893" w:type="dxa"/>
            <w:vAlign w:val="center"/>
          </w:tcPr>
          <w:p w14:paraId="26D5E6BC" w14:textId="77777777" w:rsidR="006052AE" w:rsidRPr="00A27102" w:rsidRDefault="006052AE" w:rsidP="001B6F2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7017018" w14:textId="77777777" w:rsidR="006052AE" w:rsidRPr="00A27102" w:rsidRDefault="006052AE" w:rsidP="001B6F2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0D363299" w14:textId="77777777" w:rsidR="006052AE" w:rsidRPr="00A27102" w:rsidRDefault="006052AE" w:rsidP="001B6F2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6F69A69F" w14:textId="77777777" w:rsidR="006052AE" w:rsidRPr="00A27102" w:rsidRDefault="006052AE" w:rsidP="006052AE"/>
    <w:p w14:paraId="432A15AD" w14:textId="77777777" w:rsidR="006052AE" w:rsidRPr="00981746" w:rsidRDefault="006052AE" w:rsidP="006052AE"/>
    <w:p w14:paraId="408E67B0" w14:textId="77777777" w:rsidR="006052AE" w:rsidRPr="008F4C8A" w:rsidRDefault="006052AE" w:rsidP="006052AE"/>
    <w:p w14:paraId="2617E5A6" w14:textId="77777777" w:rsidR="00FA6B13" w:rsidRPr="002B1874" w:rsidRDefault="00FA6B13" w:rsidP="002B1874">
      <w:pPr>
        <w:spacing w:line="276" w:lineRule="auto"/>
        <w:jc w:val="both"/>
        <w:rPr>
          <w:rFonts w:ascii="Verdana" w:eastAsia="Calibri" w:hAnsi="Verdana" w:cs="Arial"/>
          <w:b/>
          <w:bCs/>
          <w:lang w:eastAsia="es-ES"/>
        </w:rPr>
      </w:pPr>
    </w:p>
    <w:sectPr w:rsidR="00FA6B13" w:rsidRPr="002B187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659A4" w14:textId="77777777" w:rsidR="007D43A6" w:rsidRDefault="007D43A6" w:rsidP="004A1847">
      <w:pPr>
        <w:spacing w:after="0" w:line="240" w:lineRule="auto"/>
      </w:pPr>
      <w:r>
        <w:separator/>
      </w:r>
    </w:p>
  </w:endnote>
  <w:endnote w:type="continuationSeparator" w:id="0">
    <w:p w14:paraId="34114F50" w14:textId="77777777" w:rsidR="007D43A6" w:rsidRDefault="007D43A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234A3" w14:textId="77777777" w:rsidR="007D43A6" w:rsidRDefault="007D43A6" w:rsidP="004A1847">
      <w:pPr>
        <w:spacing w:after="0" w:line="240" w:lineRule="auto"/>
      </w:pPr>
      <w:r>
        <w:separator/>
      </w:r>
    </w:p>
  </w:footnote>
  <w:footnote w:type="continuationSeparator" w:id="0">
    <w:p w14:paraId="59CDBC9F" w14:textId="77777777" w:rsidR="007D43A6" w:rsidRDefault="007D43A6" w:rsidP="004A1847">
      <w:pPr>
        <w:spacing w:after="0" w:line="240" w:lineRule="auto"/>
      </w:pPr>
      <w:r>
        <w:continuationSeparator/>
      </w:r>
    </w:p>
  </w:footnote>
  <w:footnote w:id="1">
    <w:p w14:paraId="1006C20A" w14:textId="77777777" w:rsidR="006052AE" w:rsidRPr="0016660C" w:rsidRDefault="006052AE" w:rsidP="006052AE">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E4EC562" w14:textId="77777777" w:rsidR="006052AE" w:rsidRPr="0016660C" w:rsidRDefault="006052AE" w:rsidP="006052AE">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5EF732F1" w14:textId="77777777" w:rsidR="006052AE" w:rsidRPr="0016660C" w:rsidRDefault="006052AE" w:rsidP="006052AE">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4C6A2895" w14:textId="77777777" w:rsidR="006052AE" w:rsidRPr="0016660C" w:rsidRDefault="006052AE" w:rsidP="006052AE">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4">
    <w:p w14:paraId="1FA3BE96" w14:textId="77777777" w:rsidR="006052AE" w:rsidRPr="0016660C" w:rsidRDefault="006052AE" w:rsidP="006052AE">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7D34DE4" w14:textId="77777777" w:rsidR="006052AE" w:rsidRPr="0016660C" w:rsidRDefault="006052AE" w:rsidP="006052AE">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0601605" w14:textId="77777777" w:rsidR="006052AE" w:rsidRPr="0016660C" w:rsidRDefault="006052AE" w:rsidP="006052AE">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713990C2" w14:textId="77777777" w:rsidR="006052AE" w:rsidRPr="0016660C" w:rsidRDefault="006052AE" w:rsidP="006052AE">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4873659A" w14:textId="77777777" w:rsidR="006052AE" w:rsidRPr="0016660C" w:rsidRDefault="006052AE" w:rsidP="006052AE">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0E0D99FE" w14:textId="77777777" w:rsidR="006052AE" w:rsidRPr="0016660C" w:rsidRDefault="006052AE" w:rsidP="006052AE">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3AD95EF8" w14:textId="77777777" w:rsidR="006052AE" w:rsidRPr="0016660C" w:rsidRDefault="006052AE" w:rsidP="006052AE">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401D24B0" w14:textId="77777777" w:rsidR="006052AE" w:rsidRPr="0016660C" w:rsidRDefault="006052AE" w:rsidP="006052AE">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3915508D" w14:textId="77777777" w:rsidR="006052AE" w:rsidRPr="0016660C" w:rsidRDefault="006052AE" w:rsidP="006052AE">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1">
    <w:p w14:paraId="01BFF82F" w14:textId="77777777" w:rsidR="006052AE" w:rsidRPr="0016660C" w:rsidRDefault="006052AE" w:rsidP="006052AE">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2">
    <w:p w14:paraId="3CA0D713" w14:textId="77777777" w:rsidR="006052AE" w:rsidRPr="0016660C" w:rsidRDefault="006052AE" w:rsidP="006052AE">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0167CFFF" w14:textId="77777777" w:rsidR="006052AE" w:rsidRPr="0016660C" w:rsidRDefault="006052AE" w:rsidP="006052AE">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06A316D3" w14:textId="77777777" w:rsidR="006052AE" w:rsidRPr="0016660C" w:rsidRDefault="006052AE" w:rsidP="006052AE">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5">
    <w:p w14:paraId="39AF3E12" w14:textId="77777777" w:rsidR="006052AE" w:rsidRPr="0016660C" w:rsidRDefault="006052AE" w:rsidP="006052AE">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6">
    <w:p w14:paraId="12ED1E54" w14:textId="77777777" w:rsidR="006052AE" w:rsidRPr="0016660C" w:rsidRDefault="006052AE" w:rsidP="006052AE">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7">
    <w:p w14:paraId="2DB13251" w14:textId="77777777" w:rsidR="006052AE" w:rsidRPr="00CA6738" w:rsidRDefault="006052AE" w:rsidP="006052AE">
      <w:pPr>
        <w:pStyle w:val="Textonotapie"/>
        <w:ind w:firstLine="708"/>
        <w:rPr>
          <w:lang w:val="es-ES"/>
        </w:rPr>
      </w:pPr>
      <w:r>
        <w:rPr>
          <w:rStyle w:val="Refdenotaalpie"/>
        </w:rPr>
        <w:footnoteRef/>
      </w:r>
      <w:r>
        <w:t xml:space="preserve"> </w:t>
      </w:r>
      <w:r w:rsidRPr="0016660C">
        <w:rPr>
          <w:rFonts w:ascii="Verdana" w:hAnsi="Verdana" w:cs="Arial"/>
          <w:color w:val="000000" w:themeColor="text1"/>
          <w:sz w:val="16"/>
          <w:szCs w:val="16"/>
        </w:rPr>
        <w:t>Corte Constitucional. Sentencia C-1153 de 2005 M.P. Marco Gerardo Monroy Cabra.</w:t>
      </w:r>
    </w:p>
  </w:footnote>
  <w:footnote w:id="18">
    <w:p w14:paraId="01E410F1" w14:textId="77777777" w:rsidR="006052AE" w:rsidRPr="0016660C" w:rsidRDefault="006052AE" w:rsidP="006052A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19">
    <w:p w14:paraId="256A93EB" w14:textId="77777777" w:rsidR="006052AE" w:rsidRPr="0016660C" w:rsidRDefault="006052AE" w:rsidP="006052A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04B951DA" w14:textId="77777777" w:rsidR="006052AE" w:rsidRPr="0016660C" w:rsidRDefault="006052AE" w:rsidP="006052A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5485DA82" w14:textId="77777777" w:rsidR="006052AE" w:rsidRPr="0016660C" w:rsidRDefault="006052AE" w:rsidP="006052AE">
      <w:pPr>
        <w:pStyle w:val="Textonotapie"/>
        <w:ind w:firstLine="708"/>
        <w:contextualSpacing/>
        <w:jc w:val="both"/>
        <w:rPr>
          <w:rFonts w:ascii="Verdana" w:hAnsi="Verdana" w:cs="Arial"/>
          <w:color w:val="000000" w:themeColor="text1"/>
          <w:sz w:val="16"/>
          <w:szCs w:val="16"/>
          <w:lang w:val="es-ES"/>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w:t>
      </w:r>
      <w:r w:rsidRPr="0016660C">
        <w:rPr>
          <w:rFonts w:ascii="Verdana" w:hAnsi="Verdana" w:cs="Arial"/>
          <w:color w:val="000000" w:themeColor="text1"/>
          <w:sz w:val="16"/>
          <w:szCs w:val="16"/>
          <w:lang w:val="es-CO"/>
        </w:rPr>
        <w:t>“</w:t>
      </w:r>
      <w:r w:rsidRPr="0016660C">
        <w:rPr>
          <w:rFonts w:ascii="Verdana" w:hAnsi="Verdana" w:cs="Arial"/>
          <w:color w:val="000000" w:themeColor="text1"/>
          <w:sz w:val="16"/>
          <w:szCs w:val="16"/>
        </w:rPr>
        <w:t>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22">
    <w:p w14:paraId="2E1C7D8D" w14:textId="77777777" w:rsidR="006052AE" w:rsidRPr="0016660C" w:rsidRDefault="006052AE" w:rsidP="006052AE">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16660C">
        <w:rPr>
          <w:rFonts w:ascii="Verdana" w:hAnsi="Verdana" w:cs="Arial"/>
          <w:i/>
          <w:iCs/>
          <w:color w:val="000000" w:themeColor="text1"/>
          <w:sz w:val="16"/>
          <w:szCs w:val="16"/>
        </w:rPr>
        <w:t>y todas aquellas entidades que de acuerdo con la ley ejerzan funciones de vigilancia y control sanitario</w:t>
      </w:r>
      <w:r w:rsidRPr="0016660C">
        <w:rPr>
          <w:rFonts w:ascii="Verdana" w:hAnsi="Verdana" w:cs="Arial"/>
          <w:color w:val="000000" w:themeColor="text1"/>
          <w:sz w:val="16"/>
          <w:szCs w:val="16"/>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23">
    <w:p w14:paraId="16095946" w14:textId="77777777" w:rsidR="006052AE" w:rsidRPr="00CF077A" w:rsidRDefault="006052AE" w:rsidP="006052AE">
      <w:pPr>
        <w:pStyle w:val="Textonotapie"/>
        <w:ind w:firstLine="708"/>
        <w:contextualSpacing/>
        <w:jc w:val="both"/>
        <w:rPr>
          <w:rFonts w:ascii="Verdana" w:hAnsi="Verdana"/>
          <w:sz w:val="16"/>
          <w:szCs w:val="16"/>
        </w:rPr>
      </w:pPr>
      <w:r w:rsidRPr="0016660C">
        <w:rPr>
          <w:rStyle w:val="Refdenotaalpie"/>
          <w:rFonts w:ascii="Verdana" w:hAnsi="Verdana"/>
          <w:sz w:val="16"/>
          <w:szCs w:val="16"/>
        </w:rPr>
        <w:footnoteRef/>
      </w:r>
      <w:r w:rsidRPr="0016660C">
        <w:rPr>
          <w:rFonts w:ascii="Verdana" w:hAnsi="Verdana"/>
          <w:sz w:val="16"/>
          <w:szCs w:val="16"/>
        </w:rPr>
        <w:t xml:space="preserve"> CONSEJO DE ESTADO. Sala de Consulta y Servicio Civil.</w:t>
      </w:r>
      <w:r>
        <w:rPr>
          <w:rFonts w:ascii="Verdana" w:hAnsi="Verdana"/>
          <w:sz w:val="16"/>
          <w:szCs w:val="16"/>
        </w:rPr>
        <w:t xml:space="preserve"> </w:t>
      </w:r>
      <w:r w:rsidRPr="0016660C">
        <w:rPr>
          <w:rFonts w:ascii="Verdana" w:hAnsi="Verdana"/>
          <w:sz w:val="16"/>
          <w:szCs w:val="16"/>
        </w:rPr>
        <w:t xml:space="preserve">Concepto del doce (12) de junio de dos mil dieciocho (2018).R adicación Interna: 11001-03-06-000-2018-0043-00. Número Único: 2371. Consejero Ponente: Oscar Darío Amaya Navas </w:t>
      </w:r>
    </w:p>
  </w:footnote>
  <w:footnote w:id="24">
    <w:p w14:paraId="7FB29E1B" w14:textId="77777777" w:rsidR="006052AE" w:rsidRPr="0016660C" w:rsidRDefault="006052AE" w:rsidP="006052AE">
      <w:pPr>
        <w:pStyle w:val="Textonotapie"/>
        <w:ind w:firstLine="708"/>
        <w:contextualSpacing/>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hAnsi="Verdana"/>
          <w:sz w:val="16"/>
          <w:szCs w:val="16"/>
          <w:lang w:val="es-ES"/>
        </w:rPr>
        <w:t>Ibidem</w:t>
      </w:r>
    </w:p>
  </w:footnote>
  <w:footnote w:id="25">
    <w:p w14:paraId="02685D2F" w14:textId="77777777" w:rsidR="006052AE" w:rsidRPr="0016660C" w:rsidRDefault="006052AE" w:rsidP="006052AE">
      <w:pPr>
        <w:pStyle w:val="Textonotapie"/>
        <w:ind w:firstLine="708"/>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9A14AD"/>
    <w:multiLevelType w:val="multilevel"/>
    <w:tmpl w:val="BEA2CC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53255849">
    <w:abstractNumId w:val="11"/>
  </w:num>
  <w:num w:numId="17" w16cid:durableId="319966317">
    <w:abstractNumId w:val="3"/>
  </w:num>
  <w:num w:numId="18" w16cid:durableId="679089576">
    <w:abstractNumId w:val="10"/>
  </w:num>
  <w:num w:numId="19" w16cid:durableId="1496143728">
    <w:abstractNumId w:val="0"/>
  </w:num>
  <w:num w:numId="20" w16cid:durableId="698876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E57"/>
    <w:rsid w:val="00015575"/>
    <w:rsid w:val="000158D2"/>
    <w:rsid w:val="0001598C"/>
    <w:rsid w:val="00016B85"/>
    <w:rsid w:val="00016F78"/>
    <w:rsid w:val="000272C1"/>
    <w:rsid w:val="000316A8"/>
    <w:rsid w:val="00046945"/>
    <w:rsid w:val="00051A29"/>
    <w:rsid w:val="00051C96"/>
    <w:rsid w:val="00061B2A"/>
    <w:rsid w:val="00082362"/>
    <w:rsid w:val="00093FC9"/>
    <w:rsid w:val="000A683E"/>
    <w:rsid w:val="000B19B9"/>
    <w:rsid w:val="000D0334"/>
    <w:rsid w:val="000F6486"/>
    <w:rsid w:val="00103F07"/>
    <w:rsid w:val="00125105"/>
    <w:rsid w:val="00127233"/>
    <w:rsid w:val="001511A0"/>
    <w:rsid w:val="00152963"/>
    <w:rsid w:val="00176F0C"/>
    <w:rsid w:val="00184B60"/>
    <w:rsid w:val="001A5026"/>
    <w:rsid w:val="001C3412"/>
    <w:rsid w:val="001E4177"/>
    <w:rsid w:val="001F2948"/>
    <w:rsid w:val="001F7DC6"/>
    <w:rsid w:val="00203F4C"/>
    <w:rsid w:val="00221B56"/>
    <w:rsid w:val="00225862"/>
    <w:rsid w:val="002421BB"/>
    <w:rsid w:val="0025796E"/>
    <w:rsid w:val="002707A2"/>
    <w:rsid w:val="0027089D"/>
    <w:rsid w:val="00281E8D"/>
    <w:rsid w:val="00286F2E"/>
    <w:rsid w:val="002951A0"/>
    <w:rsid w:val="002962BC"/>
    <w:rsid w:val="002A093D"/>
    <w:rsid w:val="002A0DD0"/>
    <w:rsid w:val="002A49AC"/>
    <w:rsid w:val="002A64FD"/>
    <w:rsid w:val="002B1874"/>
    <w:rsid w:val="002C7A84"/>
    <w:rsid w:val="002E4FD9"/>
    <w:rsid w:val="003000B0"/>
    <w:rsid w:val="00322A85"/>
    <w:rsid w:val="00322C02"/>
    <w:rsid w:val="00324168"/>
    <w:rsid w:val="0033035A"/>
    <w:rsid w:val="003448F4"/>
    <w:rsid w:val="0036218B"/>
    <w:rsid w:val="00374F5E"/>
    <w:rsid w:val="00375581"/>
    <w:rsid w:val="00377E3E"/>
    <w:rsid w:val="00387F6A"/>
    <w:rsid w:val="003A779E"/>
    <w:rsid w:val="003B06A5"/>
    <w:rsid w:val="003B4B4D"/>
    <w:rsid w:val="003C2F73"/>
    <w:rsid w:val="003D0F4D"/>
    <w:rsid w:val="003D5B0D"/>
    <w:rsid w:val="003E0499"/>
    <w:rsid w:val="003E2CE6"/>
    <w:rsid w:val="003F3941"/>
    <w:rsid w:val="00406575"/>
    <w:rsid w:val="00414C74"/>
    <w:rsid w:val="00415A65"/>
    <w:rsid w:val="00420468"/>
    <w:rsid w:val="0042718F"/>
    <w:rsid w:val="0042722E"/>
    <w:rsid w:val="0044528D"/>
    <w:rsid w:val="004841EA"/>
    <w:rsid w:val="0048632F"/>
    <w:rsid w:val="00493D18"/>
    <w:rsid w:val="004A1847"/>
    <w:rsid w:val="004A305D"/>
    <w:rsid w:val="004A7EFE"/>
    <w:rsid w:val="004B6767"/>
    <w:rsid w:val="004F21C4"/>
    <w:rsid w:val="004F685F"/>
    <w:rsid w:val="00515C3E"/>
    <w:rsid w:val="005364B6"/>
    <w:rsid w:val="0054092C"/>
    <w:rsid w:val="005566E8"/>
    <w:rsid w:val="00574867"/>
    <w:rsid w:val="00591460"/>
    <w:rsid w:val="00591668"/>
    <w:rsid w:val="005A3144"/>
    <w:rsid w:val="005B3816"/>
    <w:rsid w:val="005C3777"/>
    <w:rsid w:val="005C5CDC"/>
    <w:rsid w:val="005D476C"/>
    <w:rsid w:val="006052AE"/>
    <w:rsid w:val="00613473"/>
    <w:rsid w:val="006219F8"/>
    <w:rsid w:val="0063608A"/>
    <w:rsid w:val="0064473F"/>
    <w:rsid w:val="00665D70"/>
    <w:rsid w:val="00686D64"/>
    <w:rsid w:val="006900D9"/>
    <w:rsid w:val="006B2ABC"/>
    <w:rsid w:val="006C1A43"/>
    <w:rsid w:val="006D50FD"/>
    <w:rsid w:val="006E49E0"/>
    <w:rsid w:val="006E5FF1"/>
    <w:rsid w:val="006F16A2"/>
    <w:rsid w:val="00706C16"/>
    <w:rsid w:val="007173F3"/>
    <w:rsid w:val="00720E74"/>
    <w:rsid w:val="00753E81"/>
    <w:rsid w:val="00756841"/>
    <w:rsid w:val="007649AB"/>
    <w:rsid w:val="00771D0C"/>
    <w:rsid w:val="007833AC"/>
    <w:rsid w:val="00785330"/>
    <w:rsid w:val="007A7B69"/>
    <w:rsid w:val="007B268C"/>
    <w:rsid w:val="007B5200"/>
    <w:rsid w:val="007B7171"/>
    <w:rsid w:val="007C0C0F"/>
    <w:rsid w:val="007C3DC2"/>
    <w:rsid w:val="007D43A6"/>
    <w:rsid w:val="007E5497"/>
    <w:rsid w:val="007F453C"/>
    <w:rsid w:val="00801A63"/>
    <w:rsid w:val="00806F5F"/>
    <w:rsid w:val="00820278"/>
    <w:rsid w:val="008274CC"/>
    <w:rsid w:val="00842959"/>
    <w:rsid w:val="00867F95"/>
    <w:rsid w:val="00880EA8"/>
    <w:rsid w:val="008843B6"/>
    <w:rsid w:val="00891928"/>
    <w:rsid w:val="008A446D"/>
    <w:rsid w:val="008B18A1"/>
    <w:rsid w:val="008B480E"/>
    <w:rsid w:val="008D180B"/>
    <w:rsid w:val="008D48EA"/>
    <w:rsid w:val="008E42A6"/>
    <w:rsid w:val="008E52EB"/>
    <w:rsid w:val="008F0EA7"/>
    <w:rsid w:val="00911906"/>
    <w:rsid w:val="00923EEF"/>
    <w:rsid w:val="009419F9"/>
    <w:rsid w:val="0095685E"/>
    <w:rsid w:val="00961B09"/>
    <w:rsid w:val="00965334"/>
    <w:rsid w:val="0097093E"/>
    <w:rsid w:val="00981746"/>
    <w:rsid w:val="009828E9"/>
    <w:rsid w:val="00986AC5"/>
    <w:rsid w:val="009A0DFA"/>
    <w:rsid w:val="009A6C5F"/>
    <w:rsid w:val="009B2D26"/>
    <w:rsid w:val="009C0061"/>
    <w:rsid w:val="009C71FA"/>
    <w:rsid w:val="009C72E7"/>
    <w:rsid w:val="009D3058"/>
    <w:rsid w:val="009E2F55"/>
    <w:rsid w:val="009F3A13"/>
    <w:rsid w:val="009F61BB"/>
    <w:rsid w:val="00A122D3"/>
    <w:rsid w:val="00A17F13"/>
    <w:rsid w:val="00A20739"/>
    <w:rsid w:val="00A33C78"/>
    <w:rsid w:val="00A47169"/>
    <w:rsid w:val="00A53172"/>
    <w:rsid w:val="00A6329A"/>
    <w:rsid w:val="00AA04BD"/>
    <w:rsid w:val="00AA07F3"/>
    <w:rsid w:val="00AA5E3B"/>
    <w:rsid w:val="00AB0ADB"/>
    <w:rsid w:val="00AC22CD"/>
    <w:rsid w:val="00B01B1A"/>
    <w:rsid w:val="00B1655F"/>
    <w:rsid w:val="00B44F4B"/>
    <w:rsid w:val="00B4772F"/>
    <w:rsid w:val="00B520E3"/>
    <w:rsid w:val="00B52892"/>
    <w:rsid w:val="00B54427"/>
    <w:rsid w:val="00B66319"/>
    <w:rsid w:val="00B72CD3"/>
    <w:rsid w:val="00B72FFF"/>
    <w:rsid w:val="00B842AE"/>
    <w:rsid w:val="00BB29F0"/>
    <w:rsid w:val="00BC3D36"/>
    <w:rsid w:val="00BD7F72"/>
    <w:rsid w:val="00BF23B0"/>
    <w:rsid w:val="00C04A57"/>
    <w:rsid w:val="00C04F85"/>
    <w:rsid w:val="00C04FB3"/>
    <w:rsid w:val="00C06F84"/>
    <w:rsid w:val="00C17720"/>
    <w:rsid w:val="00C26B53"/>
    <w:rsid w:val="00C330EB"/>
    <w:rsid w:val="00C41061"/>
    <w:rsid w:val="00C754BE"/>
    <w:rsid w:val="00C76B1C"/>
    <w:rsid w:val="00C82F9F"/>
    <w:rsid w:val="00CA6738"/>
    <w:rsid w:val="00CB0C6D"/>
    <w:rsid w:val="00CB6357"/>
    <w:rsid w:val="00CC1B26"/>
    <w:rsid w:val="00CF077A"/>
    <w:rsid w:val="00CF6132"/>
    <w:rsid w:val="00D37433"/>
    <w:rsid w:val="00D423A2"/>
    <w:rsid w:val="00D47F70"/>
    <w:rsid w:val="00D520D8"/>
    <w:rsid w:val="00D560CB"/>
    <w:rsid w:val="00D566A8"/>
    <w:rsid w:val="00D63AC2"/>
    <w:rsid w:val="00D725B8"/>
    <w:rsid w:val="00D7383B"/>
    <w:rsid w:val="00D917B9"/>
    <w:rsid w:val="00D93D5B"/>
    <w:rsid w:val="00DA231B"/>
    <w:rsid w:val="00DB757B"/>
    <w:rsid w:val="00DC39FC"/>
    <w:rsid w:val="00DC73C9"/>
    <w:rsid w:val="00DD0283"/>
    <w:rsid w:val="00DD0742"/>
    <w:rsid w:val="00DE07A7"/>
    <w:rsid w:val="00DE6815"/>
    <w:rsid w:val="00DF5254"/>
    <w:rsid w:val="00E06D2F"/>
    <w:rsid w:val="00E10804"/>
    <w:rsid w:val="00E146FE"/>
    <w:rsid w:val="00E16408"/>
    <w:rsid w:val="00E20894"/>
    <w:rsid w:val="00E245AB"/>
    <w:rsid w:val="00E2764C"/>
    <w:rsid w:val="00E27F2E"/>
    <w:rsid w:val="00E50AFE"/>
    <w:rsid w:val="00E558B0"/>
    <w:rsid w:val="00E614F5"/>
    <w:rsid w:val="00E65D3E"/>
    <w:rsid w:val="00E75C92"/>
    <w:rsid w:val="00E771DC"/>
    <w:rsid w:val="00E84695"/>
    <w:rsid w:val="00E85B71"/>
    <w:rsid w:val="00E8772A"/>
    <w:rsid w:val="00E90F6B"/>
    <w:rsid w:val="00E92C27"/>
    <w:rsid w:val="00E95AC9"/>
    <w:rsid w:val="00EA0E3D"/>
    <w:rsid w:val="00EB7F54"/>
    <w:rsid w:val="00EC1E63"/>
    <w:rsid w:val="00EC1F6A"/>
    <w:rsid w:val="00EC38A7"/>
    <w:rsid w:val="00ED7384"/>
    <w:rsid w:val="00EE1AA8"/>
    <w:rsid w:val="00EE5FBA"/>
    <w:rsid w:val="00EE7157"/>
    <w:rsid w:val="00F142EF"/>
    <w:rsid w:val="00F26B94"/>
    <w:rsid w:val="00F31EDC"/>
    <w:rsid w:val="00F32878"/>
    <w:rsid w:val="00F32CF8"/>
    <w:rsid w:val="00F462B3"/>
    <w:rsid w:val="00F5664F"/>
    <w:rsid w:val="00F647C5"/>
    <w:rsid w:val="00F666C4"/>
    <w:rsid w:val="00F76AFC"/>
    <w:rsid w:val="00F95567"/>
    <w:rsid w:val="00FA47C0"/>
    <w:rsid w:val="00FA6B13"/>
    <w:rsid w:val="00FB0663"/>
    <w:rsid w:val="00FB5DD1"/>
    <w:rsid w:val="00FC2B5D"/>
    <w:rsid w:val="00FD02C5"/>
    <w:rsid w:val="00FD531E"/>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2AB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B6767"/>
    <w:pPr>
      <w:spacing w:line="240" w:lineRule="exact"/>
    </w:pPr>
    <w:rPr>
      <w:vertAlign w:val="superscript"/>
    </w:rPr>
  </w:style>
  <w:style w:type="character" w:customStyle="1" w:styleId="baj">
    <w:name w:val="b_aj"/>
    <w:basedOn w:val="Fuentedeprrafopredeter"/>
    <w:rsid w:val="004B6767"/>
  </w:style>
  <w:style w:type="character" w:customStyle="1" w:styleId="NormalWebCar">
    <w:name w:val="Normal (Web) Car"/>
    <w:link w:val="NormalWeb"/>
    <w:uiPriority w:val="99"/>
    <w:locked/>
    <w:rsid w:val="004B6767"/>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6767"/>
    <w:rPr>
      <w:rFonts w:ascii="Geomanist Light" w:hAnsi="Geomanist Light"/>
      <w:lang w:val="es-ES"/>
    </w:rPr>
  </w:style>
  <w:style w:type="paragraph" w:styleId="Textoindependiente">
    <w:name w:val="Body Text"/>
    <w:basedOn w:val="Normal"/>
    <w:link w:val="TextoindependienteCar"/>
    <w:uiPriority w:val="1"/>
    <w:unhideWhenUsed/>
    <w:qFormat/>
    <w:rsid w:val="004B6767"/>
    <w:pPr>
      <w:spacing w:after="120"/>
    </w:pPr>
  </w:style>
  <w:style w:type="character" w:customStyle="1" w:styleId="TextoindependienteCar">
    <w:name w:val="Texto independiente Car"/>
    <w:basedOn w:val="Fuentedeprrafopredeter"/>
    <w:link w:val="Textoindependiente"/>
    <w:uiPriority w:val="1"/>
    <w:rsid w:val="004B6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13962">
      <w:bodyDiv w:val="1"/>
      <w:marLeft w:val="0"/>
      <w:marRight w:val="0"/>
      <w:marTop w:val="0"/>
      <w:marBottom w:val="0"/>
      <w:divBdr>
        <w:top w:val="none" w:sz="0" w:space="0" w:color="auto"/>
        <w:left w:val="none" w:sz="0" w:space="0" w:color="auto"/>
        <w:bottom w:val="none" w:sz="0" w:space="0" w:color="auto"/>
        <w:right w:val="none" w:sz="0" w:space="0" w:color="auto"/>
      </w:divBdr>
      <w:divsChild>
        <w:div w:id="1547450819">
          <w:marLeft w:val="0"/>
          <w:marRight w:val="0"/>
          <w:marTop w:val="0"/>
          <w:marBottom w:val="0"/>
          <w:divBdr>
            <w:top w:val="none" w:sz="0" w:space="0" w:color="auto"/>
            <w:left w:val="none" w:sz="0" w:space="0" w:color="auto"/>
            <w:bottom w:val="none" w:sz="0" w:space="0" w:color="auto"/>
            <w:right w:val="none" w:sz="0" w:space="0" w:color="auto"/>
          </w:divBdr>
          <w:divsChild>
            <w:div w:id="1059330322">
              <w:marLeft w:val="0"/>
              <w:marRight w:val="0"/>
              <w:marTop w:val="0"/>
              <w:marBottom w:val="0"/>
              <w:divBdr>
                <w:top w:val="none" w:sz="0" w:space="0" w:color="auto"/>
                <w:left w:val="none" w:sz="0" w:space="0" w:color="auto"/>
                <w:bottom w:val="none" w:sz="0" w:space="0" w:color="auto"/>
                <w:right w:val="none" w:sz="0" w:space="0" w:color="auto"/>
              </w:divBdr>
              <w:divsChild>
                <w:div w:id="306400219">
                  <w:marLeft w:val="0"/>
                  <w:marRight w:val="0"/>
                  <w:marTop w:val="0"/>
                  <w:marBottom w:val="0"/>
                  <w:divBdr>
                    <w:top w:val="none" w:sz="0" w:space="0" w:color="auto"/>
                    <w:left w:val="none" w:sz="0" w:space="0" w:color="auto"/>
                    <w:bottom w:val="none" w:sz="0" w:space="0" w:color="auto"/>
                    <w:right w:val="none" w:sz="0" w:space="0" w:color="auto"/>
                  </w:divBdr>
                  <w:divsChild>
                    <w:div w:id="116192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90054">
      <w:bodyDiv w:val="1"/>
      <w:marLeft w:val="0"/>
      <w:marRight w:val="0"/>
      <w:marTop w:val="0"/>
      <w:marBottom w:val="0"/>
      <w:divBdr>
        <w:top w:val="none" w:sz="0" w:space="0" w:color="auto"/>
        <w:left w:val="none" w:sz="0" w:space="0" w:color="auto"/>
        <w:bottom w:val="none" w:sz="0" w:space="0" w:color="auto"/>
        <w:right w:val="none" w:sz="0" w:space="0" w:color="auto"/>
      </w:divBdr>
      <w:divsChild>
        <w:div w:id="290210370">
          <w:marLeft w:val="0"/>
          <w:marRight w:val="0"/>
          <w:marTop w:val="0"/>
          <w:marBottom w:val="0"/>
          <w:divBdr>
            <w:top w:val="none" w:sz="0" w:space="0" w:color="auto"/>
            <w:left w:val="none" w:sz="0" w:space="0" w:color="auto"/>
            <w:bottom w:val="none" w:sz="0" w:space="0" w:color="auto"/>
            <w:right w:val="none" w:sz="0" w:space="0" w:color="auto"/>
          </w:divBdr>
          <w:divsChild>
            <w:div w:id="1281571454">
              <w:marLeft w:val="0"/>
              <w:marRight w:val="0"/>
              <w:marTop w:val="0"/>
              <w:marBottom w:val="0"/>
              <w:divBdr>
                <w:top w:val="none" w:sz="0" w:space="0" w:color="auto"/>
                <w:left w:val="none" w:sz="0" w:space="0" w:color="auto"/>
                <w:bottom w:val="none" w:sz="0" w:space="0" w:color="auto"/>
                <w:right w:val="none" w:sz="0" w:space="0" w:color="auto"/>
              </w:divBdr>
              <w:divsChild>
                <w:div w:id="153577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2877314">
      <w:bodyDiv w:val="1"/>
      <w:marLeft w:val="0"/>
      <w:marRight w:val="0"/>
      <w:marTop w:val="0"/>
      <w:marBottom w:val="0"/>
      <w:divBdr>
        <w:top w:val="none" w:sz="0" w:space="0" w:color="auto"/>
        <w:left w:val="none" w:sz="0" w:space="0" w:color="auto"/>
        <w:bottom w:val="none" w:sz="0" w:space="0" w:color="auto"/>
        <w:right w:val="none" w:sz="0" w:space="0" w:color="auto"/>
      </w:divBdr>
      <w:divsChild>
        <w:div w:id="440227339">
          <w:marLeft w:val="0"/>
          <w:marRight w:val="0"/>
          <w:marTop w:val="0"/>
          <w:marBottom w:val="0"/>
          <w:divBdr>
            <w:top w:val="none" w:sz="0" w:space="0" w:color="auto"/>
            <w:left w:val="none" w:sz="0" w:space="0" w:color="auto"/>
            <w:bottom w:val="none" w:sz="0" w:space="0" w:color="auto"/>
            <w:right w:val="none" w:sz="0" w:space="0" w:color="auto"/>
          </w:divBdr>
          <w:divsChild>
            <w:div w:id="1301300359">
              <w:marLeft w:val="0"/>
              <w:marRight w:val="0"/>
              <w:marTop w:val="0"/>
              <w:marBottom w:val="0"/>
              <w:divBdr>
                <w:top w:val="none" w:sz="0" w:space="0" w:color="auto"/>
                <w:left w:val="none" w:sz="0" w:space="0" w:color="auto"/>
                <w:bottom w:val="none" w:sz="0" w:space="0" w:color="auto"/>
                <w:right w:val="none" w:sz="0" w:space="0" w:color="auto"/>
              </w:divBdr>
              <w:divsChild>
                <w:div w:id="178738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320081">
      <w:bodyDiv w:val="1"/>
      <w:marLeft w:val="0"/>
      <w:marRight w:val="0"/>
      <w:marTop w:val="0"/>
      <w:marBottom w:val="0"/>
      <w:divBdr>
        <w:top w:val="none" w:sz="0" w:space="0" w:color="auto"/>
        <w:left w:val="none" w:sz="0" w:space="0" w:color="auto"/>
        <w:bottom w:val="none" w:sz="0" w:space="0" w:color="auto"/>
        <w:right w:val="none" w:sz="0" w:space="0" w:color="auto"/>
      </w:divBdr>
      <w:divsChild>
        <w:div w:id="2018532702">
          <w:marLeft w:val="0"/>
          <w:marRight w:val="0"/>
          <w:marTop w:val="0"/>
          <w:marBottom w:val="0"/>
          <w:divBdr>
            <w:top w:val="none" w:sz="0" w:space="0" w:color="auto"/>
            <w:left w:val="none" w:sz="0" w:space="0" w:color="auto"/>
            <w:bottom w:val="none" w:sz="0" w:space="0" w:color="auto"/>
            <w:right w:val="none" w:sz="0" w:space="0" w:color="auto"/>
          </w:divBdr>
          <w:divsChild>
            <w:div w:id="1125275103">
              <w:marLeft w:val="0"/>
              <w:marRight w:val="0"/>
              <w:marTop w:val="0"/>
              <w:marBottom w:val="0"/>
              <w:divBdr>
                <w:top w:val="none" w:sz="0" w:space="0" w:color="auto"/>
                <w:left w:val="none" w:sz="0" w:space="0" w:color="auto"/>
                <w:bottom w:val="none" w:sz="0" w:space="0" w:color="auto"/>
                <w:right w:val="none" w:sz="0" w:space="0" w:color="auto"/>
              </w:divBdr>
              <w:divsChild>
                <w:div w:id="23147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774715">
      <w:bodyDiv w:val="1"/>
      <w:marLeft w:val="0"/>
      <w:marRight w:val="0"/>
      <w:marTop w:val="0"/>
      <w:marBottom w:val="0"/>
      <w:divBdr>
        <w:top w:val="none" w:sz="0" w:space="0" w:color="auto"/>
        <w:left w:val="none" w:sz="0" w:space="0" w:color="auto"/>
        <w:bottom w:val="none" w:sz="0" w:space="0" w:color="auto"/>
        <w:right w:val="none" w:sz="0" w:space="0" w:color="auto"/>
      </w:divBdr>
      <w:divsChild>
        <w:div w:id="515731428">
          <w:marLeft w:val="0"/>
          <w:marRight w:val="0"/>
          <w:marTop w:val="0"/>
          <w:marBottom w:val="0"/>
          <w:divBdr>
            <w:top w:val="none" w:sz="0" w:space="0" w:color="auto"/>
            <w:left w:val="none" w:sz="0" w:space="0" w:color="auto"/>
            <w:bottom w:val="none" w:sz="0" w:space="0" w:color="auto"/>
            <w:right w:val="none" w:sz="0" w:space="0" w:color="auto"/>
          </w:divBdr>
          <w:divsChild>
            <w:div w:id="1944338994">
              <w:marLeft w:val="0"/>
              <w:marRight w:val="0"/>
              <w:marTop w:val="0"/>
              <w:marBottom w:val="0"/>
              <w:divBdr>
                <w:top w:val="none" w:sz="0" w:space="0" w:color="auto"/>
                <w:left w:val="none" w:sz="0" w:space="0" w:color="auto"/>
                <w:bottom w:val="none" w:sz="0" w:space="0" w:color="auto"/>
                <w:right w:val="none" w:sz="0" w:space="0" w:color="auto"/>
              </w:divBdr>
              <w:divsChild>
                <w:div w:id="117442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789702">
      <w:bodyDiv w:val="1"/>
      <w:marLeft w:val="0"/>
      <w:marRight w:val="0"/>
      <w:marTop w:val="0"/>
      <w:marBottom w:val="0"/>
      <w:divBdr>
        <w:top w:val="none" w:sz="0" w:space="0" w:color="auto"/>
        <w:left w:val="none" w:sz="0" w:space="0" w:color="auto"/>
        <w:bottom w:val="none" w:sz="0" w:space="0" w:color="auto"/>
        <w:right w:val="none" w:sz="0" w:space="0" w:color="auto"/>
      </w:divBdr>
      <w:divsChild>
        <w:div w:id="919101154">
          <w:marLeft w:val="0"/>
          <w:marRight w:val="0"/>
          <w:marTop w:val="0"/>
          <w:marBottom w:val="0"/>
          <w:divBdr>
            <w:top w:val="none" w:sz="0" w:space="0" w:color="auto"/>
            <w:left w:val="none" w:sz="0" w:space="0" w:color="auto"/>
            <w:bottom w:val="none" w:sz="0" w:space="0" w:color="auto"/>
            <w:right w:val="none" w:sz="0" w:space="0" w:color="auto"/>
          </w:divBdr>
          <w:divsChild>
            <w:div w:id="1791583123">
              <w:marLeft w:val="0"/>
              <w:marRight w:val="0"/>
              <w:marTop w:val="0"/>
              <w:marBottom w:val="0"/>
              <w:divBdr>
                <w:top w:val="none" w:sz="0" w:space="0" w:color="auto"/>
                <w:left w:val="none" w:sz="0" w:space="0" w:color="auto"/>
                <w:bottom w:val="none" w:sz="0" w:space="0" w:color="auto"/>
                <w:right w:val="none" w:sz="0" w:space="0" w:color="auto"/>
              </w:divBdr>
              <w:divsChild>
                <w:div w:id="140930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101443">
      <w:bodyDiv w:val="1"/>
      <w:marLeft w:val="0"/>
      <w:marRight w:val="0"/>
      <w:marTop w:val="0"/>
      <w:marBottom w:val="0"/>
      <w:divBdr>
        <w:top w:val="none" w:sz="0" w:space="0" w:color="auto"/>
        <w:left w:val="none" w:sz="0" w:space="0" w:color="auto"/>
        <w:bottom w:val="none" w:sz="0" w:space="0" w:color="auto"/>
        <w:right w:val="none" w:sz="0" w:space="0" w:color="auto"/>
      </w:divBdr>
      <w:divsChild>
        <w:div w:id="1393775713">
          <w:marLeft w:val="0"/>
          <w:marRight w:val="0"/>
          <w:marTop w:val="0"/>
          <w:marBottom w:val="0"/>
          <w:divBdr>
            <w:top w:val="none" w:sz="0" w:space="0" w:color="auto"/>
            <w:left w:val="none" w:sz="0" w:space="0" w:color="auto"/>
            <w:bottom w:val="none" w:sz="0" w:space="0" w:color="auto"/>
            <w:right w:val="none" w:sz="0" w:space="0" w:color="auto"/>
          </w:divBdr>
          <w:divsChild>
            <w:div w:id="115219724">
              <w:marLeft w:val="0"/>
              <w:marRight w:val="0"/>
              <w:marTop w:val="0"/>
              <w:marBottom w:val="0"/>
              <w:divBdr>
                <w:top w:val="none" w:sz="0" w:space="0" w:color="auto"/>
                <w:left w:val="none" w:sz="0" w:space="0" w:color="auto"/>
                <w:bottom w:val="none" w:sz="0" w:space="0" w:color="auto"/>
                <w:right w:val="none" w:sz="0" w:space="0" w:color="auto"/>
              </w:divBdr>
              <w:divsChild>
                <w:div w:id="112704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66861165">
      <w:bodyDiv w:val="1"/>
      <w:marLeft w:val="0"/>
      <w:marRight w:val="0"/>
      <w:marTop w:val="0"/>
      <w:marBottom w:val="0"/>
      <w:divBdr>
        <w:top w:val="none" w:sz="0" w:space="0" w:color="auto"/>
        <w:left w:val="none" w:sz="0" w:space="0" w:color="auto"/>
        <w:bottom w:val="none" w:sz="0" w:space="0" w:color="auto"/>
        <w:right w:val="none" w:sz="0" w:space="0" w:color="auto"/>
      </w:divBdr>
      <w:divsChild>
        <w:div w:id="995114383">
          <w:marLeft w:val="0"/>
          <w:marRight w:val="0"/>
          <w:marTop w:val="0"/>
          <w:marBottom w:val="0"/>
          <w:divBdr>
            <w:top w:val="none" w:sz="0" w:space="0" w:color="auto"/>
            <w:left w:val="none" w:sz="0" w:space="0" w:color="auto"/>
            <w:bottom w:val="none" w:sz="0" w:space="0" w:color="auto"/>
            <w:right w:val="none" w:sz="0" w:space="0" w:color="auto"/>
          </w:divBdr>
          <w:divsChild>
            <w:div w:id="1044910813">
              <w:marLeft w:val="0"/>
              <w:marRight w:val="0"/>
              <w:marTop w:val="0"/>
              <w:marBottom w:val="0"/>
              <w:divBdr>
                <w:top w:val="none" w:sz="0" w:space="0" w:color="auto"/>
                <w:left w:val="none" w:sz="0" w:space="0" w:color="auto"/>
                <w:bottom w:val="none" w:sz="0" w:space="0" w:color="auto"/>
                <w:right w:val="none" w:sz="0" w:space="0" w:color="auto"/>
              </w:divBdr>
              <w:divsChild>
                <w:div w:id="972517919">
                  <w:marLeft w:val="0"/>
                  <w:marRight w:val="0"/>
                  <w:marTop w:val="0"/>
                  <w:marBottom w:val="0"/>
                  <w:divBdr>
                    <w:top w:val="none" w:sz="0" w:space="0" w:color="auto"/>
                    <w:left w:val="none" w:sz="0" w:space="0" w:color="auto"/>
                    <w:bottom w:val="none" w:sz="0" w:space="0" w:color="auto"/>
                    <w:right w:val="none" w:sz="0" w:space="0" w:color="auto"/>
                  </w:divBdr>
                  <w:divsChild>
                    <w:div w:id="206682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492135">
      <w:bodyDiv w:val="1"/>
      <w:marLeft w:val="0"/>
      <w:marRight w:val="0"/>
      <w:marTop w:val="0"/>
      <w:marBottom w:val="0"/>
      <w:divBdr>
        <w:top w:val="none" w:sz="0" w:space="0" w:color="auto"/>
        <w:left w:val="none" w:sz="0" w:space="0" w:color="auto"/>
        <w:bottom w:val="none" w:sz="0" w:space="0" w:color="auto"/>
        <w:right w:val="none" w:sz="0" w:space="0" w:color="auto"/>
      </w:divBdr>
      <w:divsChild>
        <w:div w:id="1128889614">
          <w:marLeft w:val="0"/>
          <w:marRight w:val="0"/>
          <w:marTop w:val="0"/>
          <w:marBottom w:val="0"/>
          <w:divBdr>
            <w:top w:val="none" w:sz="0" w:space="0" w:color="auto"/>
            <w:left w:val="none" w:sz="0" w:space="0" w:color="auto"/>
            <w:bottom w:val="none" w:sz="0" w:space="0" w:color="auto"/>
            <w:right w:val="none" w:sz="0" w:space="0" w:color="auto"/>
          </w:divBdr>
          <w:divsChild>
            <w:div w:id="1344437515">
              <w:marLeft w:val="0"/>
              <w:marRight w:val="0"/>
              <w:marTop w:val="0"/>
              <w:marBottom w:val="0"/>
              <w:divBdr>
                <w:top w:val="none" w:sz="0" w:space="0" w:color="auto"/>
                <w:left w:val="none" w:sz="0" w:space="0" w:color="auto"/>
                <w:bottom w:val="none" w:sz="0" w:space="0" w:color="auto"/>
                <w:right w:val="none" w:sz="0" w:space="0" w:color="auto"/>
              </w:divBdr>
              <w:divsChild>
                <w:div w:id="979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86003372">
      <w:bodyDiv w:val="1"/>
      <w:marLeft w:val="0"/>
      <w:marRight w:val="0"/>
      <w:marTop w:val="0"/>
      <w:marBottom w:val="0"/>
      <w:divBdr>
        <w:top w:val="none" w:sz="0" w:space="0" w:color="auto"/>
        <w:left w:val="none" w:sz="0" w:space="0" w:color="auto"/>
        <w:bottom w:val="none" w:sz="0" w:space="0" w:color="auto"/>
        <w:right w:val="none" w:sz="0" w:space="0" w:color="auto"/>
      </w:divBdr>
      <w:divsChild>
        <w:div w:id="1037974693">
          <w:marLeft w:val="0"/>
          <w:marRight w:val="0"/>
          <w:marTop w:val="0"/>
          <w:marBottom w:val="0"/>
          <w:divBdr>
            <w:top w:val="none" w:sz="0" w:space="0" w:color="auto"/>
            <w:left w:val="none" w:sz="0" w:space="0" w:color="auto"/>
            <w:bottom w:val="none" w:sz="0" w:space="0" w:color="auto"/>
            <w:right w:val="none" w:sz="0" w:space="0" w:color="auto"/>
          </w:divBdr>
          <w:divsChild>
            <w:div w:id="1307124533">
              <w:marLeft w:val="0"/>
              <w:marRight w:val="0"/>
              <w:marTop w:val="0"/>
              <w:marBottom w:val="0"/>
              <w:divBdr>
                <w:top w:val="none" w:sz="0" w:space="0" w:color="auto"/>
                <w:left w:val="none" w:sz="0" w:space="0" w:color="auto"/>
                <w:bottom w:val="none" w:sz="0" w:space="0" w:color="auto"/>
                <w:right w:val="none" w:sz="0" w:space="0" w:color="auto"/>
              </w:divBdr>
              <w:divsChild>
                <w:div w:id="184597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5905">
      <w:bodyDiv w:val="1"/>
      <w:marLeft w:val="0"/>
      <w:marRight w:val="0"/>
      <w:marTop w:val="0"/>
      <w:marBottom w:val="0"/>
      <w:divBdr>
        <w:top w:val="none" w:sz="0" w:space="0" w:color="auto"/>
        <w:left w:val="none" w:sz="0" w:space="0" w:color="auto"/>
        <w:bottom w:val="none" w:sz="0" w:space="0" w:color="auto"/>
        <w:right w:val="none" w:sz="0" w:space="0" w:color="auto"/>
      </w:divBdr>
      <w:divsChild>
        <w:div w:id="1786970860">
          <w:marLeft w:val="0"/>
          <w:marRight w:val="0"/>
          <w:marTop w:val="0"/>
          <w:marBottom w:val="0"/>
          <w:divBdr>
            <w:top w:val="none" w:sz="0" w:space="0" w:color="auto"/>
            <w:left w:val="none" w:sz="0" w:space="0" w:color="auto"/>
            <w:bottom w:val="none" w:sz="0" w:space="0" w:color="auto"/>
            <w:right w:val="none" w:sz="0" w:space="0" w:color="auto"/>
          </w:divBdr>
          <w:divsChild>
            <w:div w:id="817956447">
              <w:marLeft w:val="0"/>
              <w:marRight w:val="0"/>
              <w:marTop w:val="0"/>
              <w:marBottom w:val="0"/>
              <w:divBdr>
                <w:top w:val="none" w:sz="0" w:space="0" w:color="auto"/>
                <w:left w:val="none" w:sz="0" w:space="0" w:color="auto"/>
                <w:bottom w:val="none" w:sz="0" w:space="0" w:color="auto"/>
                <w:right w:val="none" w:sz="0" w:space="0" w:color="auto"/>
              </w:divBdr>
              <w:divsChild>
                <w:div w:id="153800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008606">
      <w:bodyDiv w:val="1"/>
      <w:marLeft w:val="0"/>
      <w:marRight w:val="0"/>
      <w:marTop w:val="0"/>
      <w:marBottom w:val="0"/>
      <w:divBdr>
        <w:top w:val="none" w:sz="0" w:space="0" w:color="auto"/>
        <w:left w:val="none" w:sz="0" w:space="0" w:color="auto"/>
        <w:bottom w:val="none" w:sz="0" w:space="0" w:color="auto"/>
        <w:right w:val="none" w:sz="0" w:space="0" w:color="auto"/>
      </w:divBdr>
      <w:divsChild>
        <w:div w:id="1944266436">
          <w:marLeft w:val="0"/>
          <w:marRight w:val="0"/>
          <w:marTop w:val="0"/>
          <w:marBottom w:val="0"/>
          <w:divBdr>
            <w:top w:val="none" w:sz="0" w:space="0" w:color="auto"/>
            <w:left w:val="none" w:sz="0" w:space="0" w:color="auto"/>
            <w:bottom w:val="none" w:sz="0" w:space="0" w:color="auto"/>
            <w:right w:val="none" w:sz="0" w:space="0" w:color="auto"/>
          </w:divBdr>
          <w:divsChild>
            <w:div w:id="1367369088">
              <w:marLeft w:val="0"/>
              <w:marRight w:val="0"/>
              <w:marTop w:val="0"/>
              <w:marBottom w:val="0"/>
              <w:divBdr>
                <w:top w:val="none" w:sz="0" w:space="0" w:color="auto"/>
                <w:left w:val="none" w:sz="0" w:space="0" w:color="auto"/>
                <w:bottom w:val="none" w:sz="0" w:space="0" w:color="auto"/>
                <w:right w:val="none" w:sz="0" w:space="0" w:color="auto"/>
              </w:divBdr>
              <w:divsChild>
                <w:div w:id="513231352">
                  <w:marLeft w:val="0"/>
                  <w:marRight w:val="0"/>
                  <w:marTop w:val="0"/>
                  <w:marBottom w:val="0"/>
                  <w:divBdr>
                    <w:top w:val="none" w:sz="0" w:space="0" w:color="auto"/>
                    <w:left w:val="none" w:sz="0" w:space="0" w:color="auto"/>
                    <w:bottom w:val="none" w:sz="0" w:space="0" w:color="auto"/>
                    <w:right w:val="none" w:sz="0" w:space="0" w:color="auto"/>
                  </w:divBdr>
                  <w:divsChild>
                    <w:div w:id="111845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219137">
      <w:bodyDiv w:val="1"/>
      <w:marLeft w:val="0"/>
      <w:marRight w:val="0"/>
      <w:marTop w:val="0"/>
      <w:marBottom w:val="0"/>
      <w:divBdr>
        <w:top w:val="none" w:sz="0" w:space="0" w:color="auto"/>
        <w:left w:val="none" w:sz="0" w:space="0" w:color="auto"/>
        <w:bottom w:val="none" w:sz="0" w:space="0" w:color="auto"/>
        <w:right w:val="none" w:sz="0" w:space="0" w:color="auto"/>
      </w:divBdr>
      <w:divsChild>
        <w:div w:id="857892739">
          <w:marLeft w:val="0"/>
          <w:marRight w:val="0"/>
          <w:marTop w:val="0"/>
          <w:marBottom w:val="0"/>
          <w:divBdr>
            <w:top w:val="none" w:sz="0" w:space="0" w:color="auto"/>
            <w:left w:val="none" w:sz="0" w:space="0" w:color="auto"/>
            <w:bottom w:val="none" w:sz="0" w:space="0" w:color="auto"/>
            <w:right w:val="none" w:sz="0" w:space="0" w:color="auto"/>
          </w:divBdr>
          <w:divsChild>
            <w:div w:id="462891576">
              <w:marLeft w:val="0"/>
              <w:marRight w:val="0"/>
              <w:marTop w:val="0"/>
              <w:marBottom w:val="0"/>
              <w:divBdr>
                <w:top w:val="none" w:sz="0" w:space="0" w:color="auto"/>
                <w:left w:val="none" w:sz="0" w:space="0" w:color="auto"/>
                <w:bottom w:val="none" w:sz="0" w:space="0" w:color="auto"/>
                <w:right w:val="none" w:sz="0" w:space="0" w:color="auto"/>
              </w:divBdr>
              <w:divsChild>
                <w:div w:id="1161970873">
                  <w:marLeft w:val="0"/>
                  <w:marRight w:val="0"/>
                  <w:marTop w:val="0"/>
                  <w:marBottom w:val="0"/>
                  <w:divBdr>
                    <w:top w:val="none" w:sz="0" w:space="0" w:color="auto"/>
                    <w:left w:val="none" w:sz="0" w:space="0" w:color="auto"/>
                    <w:bottom w:val="none" w:sz="0" w:space="0" w:color="auto"/>
                    <w:right w:val="none" w:sz="0" w:space="0" w:color="auto"/>
                  </w:divBdr>
                  <w:divsChild>
                    <w:div w:id="101319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502507">
      <w:bodyDiv w:val="1"/>
      <w:marLeft w:val="0"/>
      <w:marRight w:val="0"/>
      <w:marTop w:val="0"/>
      <w:marBottom w:val="0"/>
      <w:divBdr>
        <w:top w:val="none" w:sz="0" w:space="0" w:color="auto"/>
        <w:left w:val="none" w:sz="0" w:space="0" w:color="auto"/>
        <w:bottom w:val="none" w:sz="0" w:space="0" w:color="auto"/>
        <w:right w:val="none" w:sz="0" w:space="0" w:color="auto"/>
      </w:divBdr>
      <w:divsChild>
        <w:div w:id="1155682501">
          <w:marLeft w:val="0"/>
          <w:marRight w:val="0"/>
          <w:marTop w:val="0"/>
          <w:marBottom w:val="0"/>
          <w:divBdr>
            <w:top w:val="none" w:sz="0" w:space="0" w:color="auto"/>
            <w:left w:val="none" w:sz="0" w:space="0" w:color="auto"/>
            <w:bottom w:val="none" w:sz="0" w:space="0" w:color="auto"/>
            <w:right w:val="none" w:sz="0" w:space="0" w:color="auto"/>
          </w:divBdr>
          <w:divsChild>
            <w:div w:id="1606958606">
              <w:marLeft w:val="0"/>
              <w:marRight w:val="0"/>
              <w:marTop w:val="0"/>
              <w:marBottom w:val="0"/>
              <w:divBdr>
                <w:top w:val="none" w:sz="0" w:space="0" w:color="auto"/>
                <w:left w:val="none" w:sz="0" w:space="0" w:color="auto"/>
                <w:bottom w:val="none" w:sz="0" w:space="0" w:color="auto"/>
                <w:right w:val="none" w:sz="0" w:space="0" w:color="auto"/>
              </w:divBdr>
              <w:divsChild>
                <w:div w:id="795413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108441">
      <w:bodyDiv w:val="1"/>
      <w:marLeft w:val="0"/>
      <w:marRight w:val="0"/>
      <w:marTop w:val="0"/>
      <w:marBottom w:val="0"/>
      <w:divBdr>
        <w:top w:val="none" w:sz="0" w:space="0" w:color="auto"/>
        <w:left w:val="none" w:sz="0" w:space="0" w:color="auto"/>
        <w:bottom w:val="none" w:sz="0" w:space="0" w:color="auto"/>
        <w:right w:val="none" w:sz="0" w:space="0" w:color="auto"/>
      </w:divBdr>
      <w:divsChild>
        <w:div w:id="1672752610">
          <w:marLeft w:val="0"/>
          <w:marRight w:val="0"/>
          <w:marTop w:val="0"/>
          <w:marBottom w:val="0"/>
          <w:divBdr>
            <w:top w:val="none" w:sz="0" w:space="0" w:color="auto"/>
            <w:left w:val="none" w:sz="0" w:space="0" w:color="auto"/>
            <w:bottom w:val="none" w:sz="0" w:space="0" w:color="auto"/>
            <w:right w:val="none" w:sz="0" w:space="0" w:color="auto"/>
          </w:divBdr>
          <w:divsChild>
            <w:div w:id="85880225">
              <w:marLeft w:val="0"/>
              <w:marRight w:val="0"/>
              <w:marTop w:val="0"/>
              <w:marBottom w:val="0"/>
              <w:divBdr>
                <w:top w:val="none" w:sz="0" w:space="0" w:color="auto"/>
                <w:left w:val="none" w:sz="0" w:space="0" w:color="auto"/>
                <w:bottom w:val="none" w:sz="0" w:space="0" w:color="auto"/>
                <w:right w:val="none" w:sz="0" w:space="0" w:color="auto"/>
              </w:divBdr>
              <w:divsChild>
                <w:div w:id="24499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602309">
      <w:bodyDiv w:val="1"/>
      <w:marLeft w:val="0"/>
      <w:marRight w:val="0"/>
      <w:marTop w:val="0"/>
      <w:marBottom w:val="0"/>
      <w:divBdr>
        <w:top w:val="none" w:sz="0" w:space="0" w:color="auto"/>
        <w:left w:val="none" w:sz="0" w:space="0" w:color="auto"/>
        <w:bottom w:val="none" w:sz="0" w:space="0" w:color="auto"/>
        <w:right w:val="none" w:sz="0" w:space="0" w:color="auto"/>
      </w:divBdr>
      <w:divsChild>
        <w:div w:id="101074634">
          <w:marLeft w:val="0"/>
          <w:marRight w:val="0"/>
          <w:marTop w:val="0"/>
          <w:marBottom w:val="0"/>
          <w:divBdr>
            <w:top w:val="none" w:sz="0" w:space="0" w:color="auto"/>
            <w:left w:val="none" w:sz="0" w:space="0" w:color="auto"/>
            <w:bottom w:val="none" w:sz="0" w:space="0" w:color="auto"/>
            <w:right w:val="none" w:sz="0" w:space="0" w:color="auto"/>
          </w:divBdr>
          <w:divsChild>
            <w:div w:id="1969891694">
              <w:marLeft w:val="0"/>
              <w:marRight w:val="0"/>
              <w:marTop w:val="0"/>
              <w:marBottom w:val="0"/>
              <w:divBdr>
                <w:top w:val="none" w:sz="0" w:space="0" w:color="auto"/>
                <w:left w:val="none" w:sz="0" w:space="0" w:color="auto"/>
                <w:bottom w:val="none" w:sz="0" w:space="0" w:color="auto"/>
                <w:right w:val="none" w:sz="0" w:space="0" w:color="auto"/>
              </w:divBdr>
              <w:divsChild>
                <w:div w:id="24893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543865">
      <w:bodyDiv w:val="1"/>
      <w:marLeft w:val="0"/>
      <w:marRight w:val="0"/>
      <w:marTop w:val="0"/>
      <w:marBottom w:val="0"/>
      <w:divBdr>
        <w:top w:val="none" w:sz="0" w:space="0" w:color="auto"/>
        <w:left w:val="none" w:sz="0" w:space="0" w:color="auto"/>
        <w:bottom w:val="none" w:sz="0" w:space="0" w:color="auto"/>
        <w:right w:val="none" w:sz="0" w:space="0" w:color="auto"/>
      </w:divBdr>
      <w:divsChild>
        <w:div w:id="348527079">
          <w:marLeft w:val="0"/>
          <w:marRight w:val="0"/>
          <w:marTop w:val="0"/>
          <w:marBottom w:val="0"/>
          <w:divBdr>
            <w:top w:val="none" w:sz="0" w:space="0" w:color="auto"/>
            <w:left w:val="none" w:sz="0" w:space="0" w:color="auto"/>
            <w:bottom w:val="none" w:sz="0" w:space="0" w:color="auto"/>
            <w:right w:val="none" w:sz="0" w:space="0" w:color="auto"/>
          </w:divBdr>
          <w:divsChild>
            <w:div w:id="707417084">
              <w:marLeft w:val="0"/>
              <w:marRight w:val="0"/>
              <w:marTop w:val="0"/>
              <w:marBottom w:val="0"/>
              <w:divBdr>
                <w:top w:val="none" w:sz="0" w:space="0" w:color="auto"/>
                <w:left w:val="none" w:sz="0" w:space="0" w:color="auto"/>
                <w:bottom w:val="none" w:sz="0" w:space="0" w:color="auto"/>
                <w:right w:val="none" w:sz="0" w:space="0" w:color="auto"/>
              </w:divBdr>
              <w:divsChild>
                <w:div w:id="9839913">
                  <w:marLeft w:val="0"/>
                  <w:marRight w:val="0"/>
                  <w:marTop w:val="0"/>
                  <w:marBottom w:val="0"/>
                  <w:divBdr>
                    <w:top w:val="none" w:sz="0" w:space="0" w:color="auto"/>
                    <w:left w:val="none" w:sz="0" w:space="0" w:color="auto"/>
                    <w:bottom w:val="none" w:sz="0" w:space="0" w:color="auto"/>
                    <w:right w:val="none" w:sz="0" w:space="0" w:color="auto"/>
                  </w:divBdr>
                  <w:divsChild>
                    <w:div w:id="71778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785550">
      <w:bodyDiv w:val="1"/>
      <w:marLeft w:val="0"/>
      <w:marRight w:val="0"/>
      <w:marTop w:val="0"/>
      <w:marBottom w:val="0"/>
      <w:divBdr>
        <w:top w:val="none" w:sz="0" w:space="0" w:color="auto"/>
        <w:left w:val="none" w:sz="0" w:space="0" w:color="auto"/>
        <w:bottom w:val="none" w:sz="0" w:space="0" w:color="auto"/>
        <w:right w:val="none" w:sz="0" w:space="0" w:color="auto"/>
      </w:divBdr>
      <w:divsChild>
        <w:div w:id="1725519439">
          <w:marLeft w:val="0"/>
          <w:marRight w:val="0"/>
          <w:marTop w:val="0"/>
          <w:marBottom w:val="0"/>
          <w:divBdr>
            <w:top w:val="none" w:sz="0" w:space="0" w:color="auto"/>
            <w:left w:val="none" w:sz="0" w:space="0" w:color="auto"/>
            <w:bottom w:val="none" w:sz="0" w:space="0" w:color="auto"/>
            <w:right w:val="none" w:sz="0" w:space="0" w:color="auto"/>
          </w:divBdr>
          <w:divsChild>
            <w:div w:id="1736394930">
              <w:marLeft w:val="0"/>
              <w:marRight w:val="0"/>
              <w:marTop w:val="0"/>
              <w:marBottom w:val="0"/>
              <w:divBdr>
                <w:top w:val="none" w:sz="0" w:space="0" w:color="auto"/>
                <w:left w:val="none" w:sz="0" w:space="0" w:color="auto"/>
                <w:bottom w:val="none" w:sz="0" w:space="0" w:color="auto"/>
                <w:right w:val="none" w:sz="0" w:space="0" w:color="auto"/>
              </w:divBdr>
              <w:divsChild>
                <w:div w:id="1549878183">
                  <w:marLeft w:val="0"/>
                  <w:marRight w:val="0"/>
                  <w:marTop w:val="0"/>
                  <w:marBottom w:val="0"/>
                  <w:divBdr>
                    <w:top w:val="none" w:sz="0" w:space="0" w:color="auto"/>
                    <w:left w:val="none" w:sz="0" w:space="0" w:color="auto"/>
                    <w:bottom w:val="none" w:sz="0" w:space="0" w:color="auto"/>
                    <w:right w:val="none" w:sz="0" w:space="0" w:color="auto"/>
                  </w:divBdr>
                  <w:divsChild>
                    <w:div w:id="165236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369892">
      <w:bodyDiv w:val="1"/>
      <w:marLeft w:val="0"/>
      <w:marRight w:val="0"/>
      <w:marTop w:val="0"/>
      <w:marBottom w:val="0"/>
      <w:divBdr>
        <w:top w:val="none" w:sz="0" w:space="0" w:color="auto"/>
        <w:left w:val="none" w:sz="0" w:space="0" w:color="auto"/>
        <w:bottom w:val="none" w:sz="0" w:space="0" w:color="auto"/>
        <w:right w:val="none" w:sz="0" w:space="0" w:color="auto"/>
      </w:divBdr>
      <w:divsChild>
        <w:div w:id="135225326">
          <w:marLeft w:val="0"/>
          <w:marRight w:val="0"/>
          <w:marTop w:val="0"/>
          <w:marBottom w:val="0"/>
          <w:divBdr>
            <w:top w:val="none" w:sz="0" w:space="0" w:color="auto"/>
            <w:left w:val="none" w:sz="0" w:space="0" w:color="auto"/>
            <w:bottom w:val="none" w:sz="0" w:space="0" w:color="auto"/>
            <w:right w:val="none" w:sz="0" w:space="0" w:color="auto"/>
          </w:divBdr>
          <w:divsChild>
            <w:div w:id="1912079183">
              <w:marLeft w:val="0"/>
              <w:marRight w:val="0"/>
              <w:marTop w:val="0"/>
              <w:marBottom w:val="0"/>
              <w:divBdr>
                <w:top w:val="none" w:sz="0" w:space="0" w:color="auto"/>
                <w:left w:val="none" w:sz="0" w:space="0" w:color="auto"/>
                <w:bottom w:val="none" w:sz="0" w:space="0" w:color="auto"/>
                <w:right w:val="none" w:sz="0" w:space="0" w:color="auto"/>
              </w:divBdr>
              <w:divsChild>
                <w:div w:id="53585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83803">
      <w:bodyDiv w:val="1"/>
      <w:marLeft w:val="0"/>
      <w:marRight w:val="0"/>
      <w:marTop w:val="0"/>
      <w:marBottom w:val="0"/>
      <w:divBdr>
        <w:top w:val="none" w:sz="0" w:space="0" w:color="auto"/>
        <w:left w:val="none" w:sz="0" w:space="0" w:color="auto"/>
        <w:bottom w:val="none" w:sz="0" w:space="0" w:color="auto"/>
        <w:right w:val="none" w:sz="0" w:space="0" w:color="auto"/>
      </w:divBdr>
      <w:divsChild>
        <w:div w:id="1854146025">
          <w:marLeft w:val="0"/>
          <w:marRight w:val="0"/>
          <w:marTop w:val="0"/>
          <w:marBottom w:val="0"/>
          <w:divBdr>
            <w:top w:val="none" w:sz="0" w:space="0" w:color="auto"/>
            <w:left w:val="none" w:sz="0" w:space="0" w:color="auto"/>
            <w:bottom w:val="none" w:sz="0" w:space="0" w:color="auto"/>
            <w:right w:val="none" w:sz="0" w:space="0" w:color="auto"/>
          </w:divBdr>
          <w:divsChild>
            <w:div w:id="1323656349">
              <w:marLeft w:val="0"/>
              <w:marRight w:val="0"/>
              <w:marTop w:val="0"/>
              <w:marBottom w:val="0"/>
              <w:divBdr>
                <w:top w:val="none" w:sz="0" w:space="0" w:color="auto"/>
                <w:left w:val="none" w:sz="0" w:space="0" w:color="auto"/>
                <w:bottom w:val="none" w:sz="0" w:space="0" w:color="auto"/>
                <w:right w:val="none" w:sz="0" w:space="0" w:color="auto"/>
              </w:divBdr>
              <w:divsChild>
                <w:div w:id="1218664620">
                  <w:marLeft w:val="0"/>
                  <w:marRight w:val="0"/>
                  <w:marTop w:val="0"/>
                  <w:marBottom w:val="0"/>
                  <w:divBdr>
                    <w:top w:val="none" w:sz="0" w:space="0" w:color="auto"/>
                    <w:left w:val="none" w:sz="0" w:space="0" w:color="auto"/>
                    <w:bottom w:val="none" w:sz="0" w:space="0" w:color="auto"/>
                    <w:right w:val="none" w:sz="0" w:space="0" w:color="auto"/>
                  </w:divBdr>
                  <w:divsChild>
                    <w:div w:id="31565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252786">
      <w:bodyDiv w:val="1"/>
      <w:marLeft w:val="0"/>
      <w:marRight w:val="0"/>
      <w:marTop w:val="0"/>
      <w:marBottom w:val="0"/>
      <w:divBdr>
        <w:top w:val="none" w:sz="0" w:space="0" w:color="auto"/>
        <w:left w:val="none" w:sz="0" w:space="0" w:color="auto"/>
        <w:bottom w:val="none" w:sz="0" w:space="0" w:color="auto"/>
        <w:right w:val="none" w:sz="0" w:space="0" w:color="auto"/>
      </w:divBdr>
      <w:divsChild>
        <w:div w:id="904023774">
          <w:marLeft w:val="0"/>
          <w:marRight w:val="0"/>
          <w:marTop w:val="0"/>
          <w:marBottom w:val="0"/>
          <w:divBdr>
            <w:top w:val="none" w:sz="0" w:space="0" w:color="auto"/>
            <w:left w:val="none" w:sz="0" w:space="0" w:color="auto"/>
            <w:bottom w:val="none" w:sz="0" w:space="0" w:color="auto"/>
            <w:right w:val="none" w:sz="0" w:space="0" w:color="auto"/>
          </w:divBdr>
          <w:divsChild>
            <w:div w:id="1401833528">
              <w:marLeft w:val="0"/>
              <w:marRight w:val="0"/>
              <w:marTop w:val="0"/>
              <w:marBottom w:val="0"/>
              <w:divBdr>
                <w:top w:val="none" w:sz="0" w:space="0" w:color="auto"/>
                <w:left w:val="none" w:sz="0" w:space="0" w:color="auto"/>
                <w:bottom w:val="none" w:sz="0" w:space="0" w:color="auto"/>
                <w:right w:val="none" w:sz="0" w:space="0" w:color="auto"/>
              </w:divBdr>
              <w:divsChild>
                <w:div w:id="100536206">
                  <w:marLeft w:val="0"/>
                  <w:marRight w:val="0"/>
                  <w:marTop w:val="0"/>
                  <w:marBottom w:val="0"/>
                  <w:divBdr>
                    <w:top w:val="none" w:sz="0" w:space="0" w:color="auto"/>
                    <w:left w:val="none" w:sz="0" w:space="0" w:color="auto"/>
                    <w:bottom w:val="none" w:sz="0" w:space="0" w:color="auto"/>
                    <w:right w:val="none" w:sz="0" w:space="0" w:color="auto"/>
                  </w:divBdr>
                  <w:divsChild>
                    <w:div w:id="167182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9735957">
      <w:bodyDiv w:val="1"/>
      <w:marLeft w:val="0"/>
      <w:marRight w:val="0"/>
      <w:marTop w:val="0"/>
      <w:marBottom w:val="0"/>
      <w:divBdr>
        <w:top w:val="none" w:sz="0" w:space="0" w:color="auto"/>
        <w:left w:val="none" w:sz="0" w:space="0" w:color="auto"/>
        <w:bottom w:val="none" w:sz="0" w:space="0" w:color="auto"/>
        <w:right w:val="none" w:sz="0" w:space="0" w:color="auto"/>
      </w:divBdr>
      <w:divsChild>
        <w:div w:id="1060400811">
          <w:marLeft w:val="0"/>
          <w:marRight w:val="0"/>
          <w:marTop w:val="0"/>
          <w:marBottom w:val="0"/>
          <w:divBdr>
            <w:top w:val="none" w:sz="0" w:space="0" w:color="auto"/>
            <w:left w:val="none" w:sz="0" w:space="0" w:color="auto"/>
            <w:bottom w:val="none" w:sz="0" w:space="0" w:color="auto"/>
            <w:right w:val="none" w:sz="0" w:space="0" w:color="auto"/>
          </w:divBdr>
          <w:divsChild>
            <w:div w:id="2106613491">
              <w:marLeft w:val="0"/>
              <w:marRight w:val="0"/>
              <w:marTop w:val="0"/>
              <w:marBottom w:val="0"/>
              <w:divBdr>
                <w:top w:val="none" w:sz="0" w:space="0" w:color="auto"/>
                <w:left w:val="none" w:sz="0" w:space="0" w:color="auto"/>
                <w:bottom w:val="none" w:sz="0" w:space="0" w:color="auto"/>
                <w:right w:val="none" w:sz="0" w:space="0" w:color="auto"/>
              </w:divBdr>
              <w:divsChild>
                <w:div w:id="1331711725">
                  <w:marLeft w:val="0"/>
                  <w:marRight w:val="0"/>
                  <w:marTop w:val="0"/>
                  <w:marBottom w:val="0"/>
                  <w:divBdr>
                    <w:top w:val="none" w:sz="0" w:space="0" w:color="auto"/>
                    <w:left w:val="none" w:sz="0" w:space="0" w:color="auto"/>
                    <w:bottom w:val="none" w:sz="0" w:space="0" w:color="auto"/>
                    <w:right w:val="none" w:sz="0" w:space="0" w:color="auto"/>
                  </w:divBdr>
                  <w:divsChild>
                    <w:div w:id="90977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201837">
      <w:bodyDiv w:val="1"/>
      <w:marLeft w:val="0"/>
      <w:marRight w:val="0"/>
      <w:marTop w:val="0"/>
      <w:marBottom w:val="0"/>
      <w:divBdr>
        <w:top w:val="none" w:sz="0" w:space="0" w:color="auto"/>
        <w:left w:val="none" w:sz="0" w:space="0" w:color="auto"/>
        <w:bottom w:val="none" w:sz="0" w:space="0" w:color="auto"/>
        <w:right w:val="none" w:sz="0" w:space="0" w:color="auto"/>
      </w:divBdr>
      <w:divsChild>
        <w:div w:id="1552688566">
          <w:marLeft w:val="0"/>
          <w:marRight w:val="0"/>
          <w:marTop w:val="0"/>
          <w:marBottom w:val="0"/>
          <w:divBdr>
            <w:top w:val="none" w:sz="0" w:space="0" w:color="auto"/>
            <w:left w:val="none" w:sz="0" w:space="0" w:color="auto"/>
            <w:bottom w:val="none" w:sz="0" w:space="0" w:color="auto"/>
            <w:right w:val="none" w:sz="0" w:space="0" w:color="auto"/>
          </w:divBdr>
          <w:divsChild>
            <w:div w:id="1055280676">
              <w:marLeft w:val="0"/>
              <w:marRight w:val="0"/>
              <w:marTop w:val="0"/>
              <w:marBottom w:val="0"/>
              <w:divBdr>
                <w:top w:val="none" w:sz="0" w:space="0" w:color="auto"/>
                <w:left w:val="none" w:sz="0" w:space="0" w:color="auto"/>
                <w:bottom w:val="none" w:sz="0" w:space="0" w:color="auto"/>
                <w:right w:val="none" w:sz="0" w:space="0" w:color="auto"/>
              </w:divBdr>
              <w:divsChild>
                <w:div w:id="2164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3861">
      <w:bodyDiv w:val="1"/>
      <w:marLeft w:val="0"/>
      <w:marRight w:val="0"/>
      <w:marTop w:val="0"/>
      <w:marBottom w:val="0"/>
      <w:divBdr>
        <w:top w:val="none" w:sz="0" w:space="0" w:color="auto"/>
        <w:left w:val="none" w:sz="0" w:space="0" w:color="auto"/>
        <w:bottom w:val="none" w:sz="0" w:space="0" w:color="auto"/>
        <w:right w:val="none" w:sz="0" w:space="0" w:color="auto"/>
      </w:divBdr>
      <w:divsChild>
        <w:div w:id="350448733">
          <w:marLeft w:val="0"/>
          <w:marRight w:val="0"/>
          <w:marTop w:val="0"/>
          <w:marBottom w:val="0"/>
          <w:divBdr>
            <w:top w:val="none" w:sz="0" w:space="0" w:color="auto"/>
            <w:left w:val="none" w:sz="0" w:space="0" w:color="auto"/>
            <w:bottom w:val="none" w:sz="0" w:space="0" w:color="auto"/>
            <w:right w:val="none" w:sz="0" w:space="0" w:color="auto"/>
          </w:divBdr>
          <w:divsChild>
            <w:div w:id="41486904">
              <w:marLeft w:val="0"/>
              <w:marRight w:val="0"/>
              <w:marTop w:val="0"/>
              <w:marBottom w:val="0"/>
              <w:divBdr>
                <w:top w:val="none" w:sz="0" w:space="0" w:color="auto"/>
                <w:left w:val="none" w:sz="0" w:space="0" w:color="auto"/>
                <w:bottom w:val="none" w:sz="0" w:space="0" w:color="auto"/>
                <w:right w:val="none" w:sz="0" w:space="0" w:color="auto"/>
              </w:divBdr>
              <w:divsChild>
                <w:div w:id="559172456">
                  <w:marLeft w:val="0"/>
                  <w:marRight w:val="0"/>
                  <w:marTop w:val="0"/>
                  <w:marBottom w:val="0"/>
                  <w:divBdr>
                    <w:top w:val="none" w:sz="0" w:space="0" w:color="auto"/>
                    <w:left w:val="none" w:sz="0" w:space="0" w:color="auto"/>
                    <w:bottom w:val="none" w:sz="0" w:space="0" w:color="auto"/>
                    <w:right w:val="none" w:sz="0" w:space="0" w:color="auto"/>
                  </w:divBdr>
                  <w:divsChild>
                    <w:div w:id="207083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270426">
      <w:bodyDiv w:val="1"/>
      <w:marLeft w:val="0"/>
      <w:marRight w:val="0"/>
      <w:marTop w:val="0"/>
      <w:marBottom w:val="0"/>
      <w:divBdr>
        <w:top w:val="none" w:sz="0" w:space="0" w:color="auto"/>
        <w:left w:val="none" w:sz="0" w:space="0" w:color="auto"/>
        <w:bottom w:val="none" w:sz="0" w:space="0" w:color="auto"/>
        <w:right w:val="none" w:sz="0" w:space="0" w:color="auto"/>
      </w:divBdr>
      <w:divsChild>
        <w:div w:id="260841603">
          <w:marLeft w:val="0"/>
          <w:marRight w:val="0"/>
          <w:marTop w:val="0"/>
          <w:marBottom w:val="0"/>
          <w:divBdr>
            <w:top w:val="none" w:sz="0" w:space="0" w:color="auto"/>
            <w:left w:val="none" w:sz="0" w:space="0" w:color="auto"/>
            <w:bottom w:val="none" w:sz="0" w:space="0" w:color="auto"/>
            <w:right w:val="none" w:sz="0" w:space="0" w:color="auto"/>
          </w:divBdr>
          <w:divsChild>
            <w:div w:id="208496764">
              <w:marLeft w:val="0"/>
              <w:marRight w:val="0"/>
              <w:marTop w:val="0"/>
              <w:marBottom w:val="0"/>
              <w:divBdr>
                <w:top w:val="none" w:sz="0" w:space="0" w:color="auto"/>
                <w:left w:val="none" w:sz="0" w:space="0" w:color="auto"/>
                <w:bottom w:val="none" w:sz="0" w:space="0" w:color="auto"/>
                <w:right w:val="none" w:sz="0" w:space="0" w:color="auto"/>
              </w:divBdr>
              <w:divsChild>
                <w:div w:id="60931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936">
      <w:bodyDiv w:val="1"/>
      <w:marLeft w:val="0"/>
      <w:marRight w:val="0"/>
      <w:marTop w:val="0"/>
      <w:marBottom w:val="0"/>
      <w:divBdr>
        <w:top w:val="none" w:sz="0" w:space="0" w:color="auto"/>
        <w:left w:val="none" w:sz="0" w:space="0" w:color="auto"/>
        <w:bottom w:val="none" w:sz="0" w:space="0" w:color="auto"/>
        <w:right w:val="none" w:sz="0" w:space="0" w:color="auto"/>
      </w:divBdr>
      <w:divsChild>
        <w:div w:id="555437830">
          <w:marLeft w:val="0"/>
          <w:marRight w:val="0"/>
          <w:marTop w:val="0"/>
          <w:marBottom w:val="0"/>
          <w:divBdr>
            <w:top w:val="none" w:sz="0" w:space="0" w:color="auto"/>
            <w:left w:val="none" w:sz="0" w:space="0" w:color="auto"/>
            <w:bottom w:val="none" w:sz="0" w:space="0" w:color="auto"/>
            <w:right w:val="none" w:sz="0" w:space="0" w:color="auto"/>
          </w:divBdr>
          <w:divsChild>
            <w:div w:id="889414343">
              <w:marLeft w:val="0"/>
              <w:marRight w:val="0"/>
              <w:marTop w:val="0"/>
              <w:marBottom w:val="0"/>
              <w:divBdr>
                <w:top w:val="none" w:sz="0" w:space="0" w:color="auto"/>
                <w:left w:val="none" w:sz="0" w:space="0" w:color="auto"/>
                <w:bottom w:val="none" w:sz="0" w:space="0" w:color="auto"/>
                <w:right w:val="none" w:sz="0" w:space="0" w:color="auto"/>
              </w:divBdr>
              <w:divsChild>
                <w:div w:id="26241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292520214">
      <w:bodyDiv w:val="1"/>
      <w:marLeft w:val="0"/>
      <w:marRight w:val="0"/>
      <w:marTop w:val="0"/>
      <w:marBottom w:val="0"/>
      <w:divBdr>
        <w:top w:val="none" w:sz="0" w:space="0" w:color="auto"/>
        <w:left w:val="none" w:sz="0" w:space="0" w:color="auto"/>
        <w:bottom w:val="none" w:sz="0" w:space="0" w:color="auto"/>
        <w:right w:val="none" w:sz="0" w:space="0" w:color="auto"/>
      </w:divBdr>
      <w:divsChild>
        <w:div w:id="1705791622">
          <w:marLeft w:val="0"/>
          <w:marRight w:val="0"/>
          <w:marTop w:val="0"/>
          <w:marBottom w:val="0"/>
          <w:divBdr>
            <w:top w:val="none" w:sz="0" w:space="0" w:color="auto"/>
            <w:left w:val="none" w:sz="0" w:space="0" w:color="auto"/>
            <w:bottom w:val="none" w:sz="0" w:space="0" w:color="auto"/>
            <w:right w:val="none" w:sz="0" w:space="0" w:color="auto"/>
          </w:divBdr>
          <w:divsChild>
            <w:div w:id="1416320262">
              <w:marLeft w:val="0"/>
              <w:marRight w:val="0"/>
              <w:marTop w:val="0"/>
              <w:marBottom w:val="0"/>
              <w:divBdr>
                <w:top w:val="none" w:sz="0" w:space="0" w:color="auto"/>
                <w:left w:val="none" w:sz="0" w:space="0" w:color="auto"/>
                <w:bottom w:val="none" w:sz="0" w:space="0" w:color="auto"/>
                <w:right w:val="none" w:sz="0" w:space="0" w:color="auto"/>
              </w:divBdr>
              <w:divsChild>
                <w:div w:id="59960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977457">
      <w:bodyDiv w:val="1"/>
      <w:marLeft w:val="0"/>
      <w:marRight w:val="0"/>
      <w:marTop w:val="0"/>
      <w:marBottom w:val="0"/>
      <w:divBdr>
        <w:top w:val="none" w:sz="0" w:space="0" w:color="auto"/>
        <w:left w:val="none" w:sz="0" w:space="0" w:color="auto"/>
        <w:bottom w:val="none" w:sz="0" w:space="0" w:color="auto"/>
        <w:right w:val="none" w:sz="0" w:space="0" w:color="auto"/>
      </w:divBdr>
      <w:divsChild>
        <w:div w:id="883910872">
          <w:marLeft w:val="0"/>
          <w:marRight w:val="0"/>
          <w:marTop w:val="0"/>
          <w:marBottom w:val="0"/>
          <w:divBdr>
            <w:top w:val="none" w:sz="0" w:space="0" w:color="auto"/>
            <w:left w:val="none" w:sz="0" w:space="0" w:color="auto"/>
            <w:bottom w:val="none" w:sz="0" w:space="0" w:color="auto"/>
            <w:right w:val="none" w:sz="0" w:space="0" w:color="auto"/>
          </w:divBdr>
          <w:divsChild>
            <w:div w:id="952711543">
              <w:marLeft w:val="0"/>
              <w:marRight w:val="0"/>
              <w:marTop w:val="0"/>
              <w:marBottom w:val="0"/>
              <w:divBdr>
                <w:top w:val="none" w:sz="0" w:space="0" w:color="auto"/>
                <w:left w:val="none" w:sz="0" w:space="0" w:color="auto"/>
                <w:bottom w:val="none" w:sz="0" w:space="0" w:color="auto"/>
                <w:right w:val="none" w:sz="0" w:space="0" w:color="auto"/>
              </w:divBdr>
              <w:divsChild>
                <w:div w:id="634988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896600">
      <w:bodyDiv w:val="1"/>
      <w:marLeft w:val="0"/>
      <w:marRight w:val="0"/>
      <w:marTop w:val="0"/>
      <w:marBottom w:val="0"/>
      <w:divBdr>
        <w:top w:val="none" w:sz="0" w:space="0" w:color="auto"/>
        <w:left w:val="none" w:sz="0" w:space="0" w:color="auto"/>
        <w:bottom w:val="none" w:sz="0" w:space="0" w:color="auto"/>
        <w:right w:val="none" w:sz="0" w:space="0" w:color="auto"/>
      </w:divBdr>
      <w:divsChild>
        <w:div w:id="1103382265">
          <w:marLeft w:val="0"/>
          <w:marRight w:val="0"/>
          <w:marTop w:val="0"/>
          <w:marBottom w:val="0"/>
          <w:divBdr>
            <w:top w:val="none" w:sz="0" w:space="0" w:color="auto"/>
            <w:left w:val="none" w:sz="0" w:space="0" w:color="auto"/>
            <w:bottom w:val="none" w:sz="0" w:space="0" w:color="auto"/>
            <w:right w:val="none" w:sz="0" w:space="0" w:color="auto"/>
          </w:divBdr>
          <w:divsChild>
            <w:div w:id="748893499">
              <w:marLeft w:val="0"/>
              <w:marRight w:val="0"/>
              <w:marTop w:val="0"/>
              <w:marBottom w:val="0"/>
              <w:divBdr>
                <w:top w:val="none" w:sz="0" w:space="0" w:color="auto"/>
                <w:left w:val="none" w:sz="0" w:space="0" w:color="auto"/>
                <w:bottom w:val="none" w:sz="0" w:space="0" w:color="auto"/>
                <w:right w:val="none" w:sz="0" w:space="0" w:color="auto"/>
              </w:divBdr>
              <w:divsChild>
                <w:div w:id="198804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112403">
      <w:bodyDiv w:val="1"/>
      <w:marLeft w:val="0"/>
      <w:marRight w:val="0"/>
      <w:marTop w:val="0"/>
      <w:marBottom w:val="0"/>
      <w:divBdr>
        <w:top w:val="none" w:sz="0" w:space="0" w:color="auto"/>
        <w:left w:val="none" w:sz="0" w:space="0" w:color="auto"/>
        <w:bottom w:val="none" w:sz="0" w:space="0" w:color="auto"/>
        <w:right w:val="none" w:sz="0" w:space="0" w:color="auto"/>
      </w:divBdr>
      <w:divsChild>
        <w:div w:id="1160192251">
          <w:marLeft w:val="0"/>
          <w:marRight w:val="0"/>
          <w:marTop w:val="0"/>
          <w:marBottom w:val="0"/>
          <w:divBdr>
            <w:top w:val="none" w:sz="0" w:space="0" w:color="auto"/>
            <w:left w:val="none" w:sz="0" w:space="0" w:color="auto"/>
            <w:bottom w:val="none" w:sz="0" w:space="0" w:color="auto"/>
            <w:right w:val="none" w:sz="0" w:space="0" w:color="auto"/>
          </w:divBdr>
          <w:divsChild>
            <w:div w:id="1975481978">
              <w:marLeft w:val="0"/>
              <w:marRight w:val="0"/>
              <w:marTop w:val="0"/>
              <w:marBottom w:val="0"/>
              <w:divBdr>
                <w:top w:val="none" w:sz="0" w:space="0" w:color="auto"/>
                <w:left w:val="none" w:sz="0" w:space="0" w:color="auto"/>
                <w:bottom w:val="none" w:sz="0" w:space="0" w:color="auto"/>
                <w:right w:val="none" w:sz="0" w:space="0" w:color="auto"/>
              </w:divBdr>
              <w:divsChild>
                <w:div w:id="170197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631222">
      <w:bodyDiv w:val="1"/>
      <w:marLeft w:val="0"/>
      <w:marRight w:val="0"/>
      <w:marTop w:val="0"/>
      <w:marBottom w:val="0"/>
      <w:divBdr>
        <w:top w:val="none" w:sz="0" w:space="0" w:color="auto"/>
        <w:left w:val="none" w:sz="0" w:space="0" w:color="auto"/>
        <w:bottom w:val="none" w:sz="0" w:space="0" w:color="auto"/>
        <w:right w:val="none" w:sz="0" w:space="0" w:color="auto"/>
      </w:divBdr>
      <w:divsChild>
        <w:div w:id="813136621">
          <w:marLeft w:val="0"/>
          <w:marRight w:val="0"/>
          <w:marTop w:val="0"/>
          <w:marBottom w:val="0"/>
          <w:divBdr>
            <w:top w:val="none" w:sz="0" w:space="0" w:color="auto"/>
            <w:left w:val="none" w:sz="0" w:space="0" w:color="auto"/>
            <w:bottom w:val="none" w:sz="0" w:space="0" w:color="auto"/>
            <w:right w:val="none" w:sz="0" w:space="0" w:color="auto"/>
          </w:divBdr>
          <w:divsChild>
            <w:div w:id="702636787">
              <w:marLeft w:val="0"/>
              <w:marRight w:val="0"/>
              <w:marTop w:val="0"/>
              <w:marBottom w:val="0"/>
              <w:divBdr>
                <w:top w:val="none" w:sz="0" w:space="0" w:color="auto"/>
                <w:left w:val="none" w:sz="0" w:space="0" w:color="auto"/>
                <w:bottom w:val="none" w:sz="0" w:space="0" w:color="auto"/>
                <w:right w:val="none" w:sz="0" w:space="0" w:color="auto"/>
              </w:divBdr>
              <w:divsChild>
                <w:div w:id="1434016769">
                  <w:marLeft w:val="0"/>
                  <w:marRight w:val="0"/>
                  <w:marTop w:val="0"/>
                  <w:marBottom w:val="0"/>
                  <w:divBdr>
                    <w:top w:val="none" w:sz="0" w:space="0" w:color="auto"/>
                    <w:left w:val="none" w:sz="0" w:space="0" w:color="auto"/>
                    <w:bottom w:val="none" w:sz="0" w:space="0" w:color="auto"/>
                    <w:right w:val="none" w:sz="0" w:space="0" w:color="auto"/>
                  </w:divBdr>
                  <w:divsChild>
                    <w:div w:id="194395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473471">
      <w:bodyDiv w:val="1"/>
      <w:marLeft w:val="0"/>
      <w:marRight w:val="0"/>
      <w:marTop w:val="0"/>
      <w:marBottom w:val="0"/>
      <w:divBdr>
        <w:top w:val="none" w:sz="0" w:space="0" w:color="auto"/>
        <w:left w:val="none" w:sz="0" w:space="0" w:color="auto"/>
        <w:bottom w:val="none" w:sz="0" w:space="0" w:color="auto"/>
        <w:right w:val="none" w:sz="0" w:space="0" w:color="auto"/>
      </w:divBdr>
      <w:divsChild>
        <w:div w:id="169025905">
          <w:marLeft w:val="0"/>
          <w:marRight w:val="0"/>
          <w:marTop w:val="0"/>
          <w:marBottom w:val="0"/>
          <w:divBdr>
            <w:top w:val="none" w:sz="0" w:space="0" w:color="auto"/>
            <w:left w:val="none" w:sz="0" w:space="0" w:color="auto"/>
            <w:bottom w:val="none" w:sz="0" w:space="0" w:color="auto"/>
            <w:right w:val="none" w:sz="0" w:space="0" w:color="auto"/>
          </w:divBdr>
          <w:divsChild>
            <w:div w:id="690453503">
              <w:marLeft w:val="0"/>
              <w:marRight w:val="0"/>
              <w:marTop w:val="0"/>
              <w:marBottom w:val="0"/>
              <w:divBdr>
                <w:top w:val="none" w:sz="0" w:space="0" w:color="auto"/>
                <w:left w:val="none" w:sz="0" w:space="0" w:color="auto"/>
                <w:bottom w:val="none" w:sz="0" w:space="0" w:color="auto"/>
                <w:right w:val="none" w:sz="0" w:space="0" w:color="auto"/>
              </w:divBdr>
              <w:divsChild>
                <w:div w:id="1780720">
                  <w:marLeft w:val="0"/>
                  <w:marRight w:val="0"/>
                  <w:marTop w:val="0"/>
                  <w:marBottom w:val="0"/>
                  <w:divBdr>
                    <w:top w:val="none" w:sz="0" w:space="0" w:color="auto"/>
                    <w:left w:val="none" w:sz="0" w:space="0" w:color="auto"/>
                    <w:bottom w:val="none" w:sz="0" w:space="0" w:color="auto"/>
                    <w:right w:val="none" w:sz="0" w:space="0" w:color="auto"/>
                  </w:divBdr>
                  <w:divsChild>
                    <w:div w:id="159161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ia.vargasar@ejercito.mil.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5F1003-DF75-2741-97D7-AD5ADDD53601}">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1FE1482F-2A56-4576-BD46-A9CD314BF5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8324</Words>
  <Characters>45454</Characters>
  <Application>Microsoft Office Word</Application>
  <DocSecurity>0</DocSecurity>
  <Lines>857</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2026-02-17T06:52:00Z</dcterms:created>
  <dcterms:modified xsi:type="dcterms:W3CDTF">2026-02-17T16:59:00Z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