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258B5" w14:textId="4389425E" w:rsidR="00B122B9" w:rsidRPr="00024F03" w:rsidRDefault="00B122B9" w:rsidP="00791F40">
      <w:pPr>
        <w:snapToGrid w:val="0"/>
        <w:contextualSpacing/>
        <w:jc w:val="both"/>
        <w:rPr>
          <w:rFonts w:ascii="Verdana" w:eastAsia="Calibri" w:hAnsi="Verdana" w:cs="Arial"/>
          <w:b/>
          <w:bCs/>
          <w:color w:val="000000" w:themeColor="text1"/>
          <w:szCs w:val="24"/>
          <w:lang w:val="es-ES" w:eastAsia="es-ES_tradnl"/>
        </w:rPr>
      </w:pPr>
      <w:r w:rsidRPr="00024F03">
        <w:rPr>
          <w:rFonts w:ascii="Verdana" w:eastAsia="Calibri" w:hAnsi="Verdana" w:cs="Arial"/>
          <w:b/>
          <w:bCs/>
          <w:color w:val="000000" w:themeColor="text1"/>
          <w:szCs w:val="24"/>
          <w:lang w:val="es-ES" w:eastAsia="es-ES_tradnl"/>
        </w:rPr>
        <w:t>CONTRATOS DE PRESTACIÓN DE SERVICIOS –</w:t>
      </w:r>
      <w:r w:rsidR="002A1E35">
        <w:rPr>
          <w:rFonts w:ascii="Verdana" w:eastAsia="Calibri" w:hAnsi="Verdana" w:cs="Arial"/>
          <w:b/>
          <w:bCs/>
          <w:color w:val="000000" w:themeColor="text1"/>
          <w:szCs w:val="24"/>
          <w:lang w:val="es-ES" w:eastAsia="es-ES_tradnl"/>
        </w:rPr>
        <w:t xml:space="preserve"> </w:t>
      </w:r>
      <w:r w:rsidRPr="00024F03">
        <w:rPr>
          <w:rFonts w:ascii="Verdana" w:eastAsia="Calibri" w:hAnsi="Verdana" w:cs="Arial"/>
          <w:b/>
          <w:bCs/>
          <w:color w:val="000000" w:themeColor="text1"/>
          <w:szCs w:val="24"/>
          <w:lang w:val="es-ES" w:eastAsia="es-ES_tradnl"/>
        </w:rPr>
        <w:t>Generalidades</w:t>
      </w:r>
    </w:p>
    <w:p w14:paraId="3996256C" w14:textId="77777777" w:rsidR="00791F40" w:rsidRDefault="00791F40" w:rsidP="00791F40">
      <w:pPr>
        <w:snapToGrid w:val="0"/>
        <w:spacing w:after="0" w:line="240" w:lineRule="auto"/>
        <w:contextualSpacing/>
        <w:jc w:val="both"/>
        <w:rPr>
          <w:rFonts w:ascii="Verdana" w:eastAsia="Calibri" w:hAnsi="Verdana" w:cs="Arial"/>
          <w:color w:val="000000" w:themeColor="text1"/>
          <w:szCs w:val="24"/>
          <w:lang w:val="es-ES" w:eastAsia="es-ES_tradnl"/>
        </w:rPr>
      </w:pPr>
    </w:p>
    <w:p w14:paraId="38081FEE" w14:textId="4E3A5F25" w:rsidR="00791F40" w:rsidRPr="00024F03" w:rsidRDefault="00791F40" w:rsidP="00791F40">
      <w:pPr>
        <w:pStyle w:val="Prrafodelista"/>
        <w:tabs>
          <w:tab w:val="left" w:pos="142"/>
          <w:tab w:val="left" w:pos="284"/>
        </w:tabs>
        <w:snapToGrid w:val="0"/>
        <w:spacing w:after="0" w:line="240" w:lineRule="auto"/>
        <w:ind w:left="0"/>
        <w:jc w:val="both"/>
        <w:rPr>
          <w:rFonts w:ascii="Verdana" w:hAnsi="Verdana"/>
          <w:sz w:val="20"/>
          <w:szCs w:val="20"/>
        </w:rPr>
      </w:pPr>
      <w:r w:rsidRPr="00024F03">
        <w:rPr>
          <w:rFonts w:ascii="Verdana" w:hAnsi="Verdana"/>
          <w:sz w:val="20"/>
          <w:szCs w:val="20"/>
        </w:rPr>
        <w:t>El contrato de prestación de servicios es un contrato estatal típico, regulado en el numeral 3 del artículo 32 de la Ley 80 de 1993. Este se define como aquel que “celebren</w:t>
      </w:r>
      <w:r w:rsidRPr="00024F03">
        <w:rPr>
          <w:rFonts w:ascii="Verdana" w:hAnsi="Verdana"/>
          <w:spacing w:val="-20"/>
          <w:sz w:val="20"/>
          <w:szCs w:val="20"/>
        </w:rPr>
        <w:t xml:space="preserve"> </w:t>
      </w:r>
      <w:r w:rsidRPr="00024F03">
        <w:rPr>
          <w:rFonts w:ascii="Verdana" w:hAnsi="Verdana"/>
          <w:sz w:val="20"/>
          <w:szCs w:val="20"/>
        </w:rPr>
        <w:t>las</w:t>
      </w:r>
      <w:r w:rsidRPr="00024F03">
        <w:rPr>
          <w:rFonts w:ascii="Verdana" w:hAnsi="Verdana"/>
          <w:spacing w:val="-19"/>
          <w:sz w:val="20"/>
          <w:szCs w:val="20"/>
        </w:rPr>
        <w:t xml:space="preserve"> </w:t>
      </w:r>
      <w:r w:rsidRPr="00024F03">
        <w:rPr>
          <w:rFonts w:ascii="Verdana" w:hAnsi="Verdana"/>
          <w:sz w:val="20"/>
          <w:szCs w:val="20"/>
        </w:rPr>
        <w:t>entidades</w:t>
      </w:r>
      <w:r w:rsidRPr="00024F03">
        <w:rPr>
          <w:rFonts w:ascii="Verdana" w:hAnsi="Verdana"/>
          <w:spacing w:val="-19"/>
          <w:sz w:val="20"/>
          <w:szCs w:val="20"/>
        </w:rPr>
        <w:t xml:space="preserve"> </w:t>
      </w:r>
      <w:r w:rsidRPr="00024F03">
        <w:rPr>
          <w:rFonts w:ascii="Verdana" w:hAnsi="Verdana"/>
          <w:sz w:val="20"/>
          <w:szCs w:val="20"/>
        </w:rPr>
        <w:t>estatales</w:t>
      </w:r>
      <w:r w:rsidRPr="00024F03">
        <w:rPr>
          <w:rFonts w:ascii="Verdana" w:hAnsi="Verdana"/>
          <w:spacing w:val="-20"/>
          <w:sz w:val="20"/>
          <w:szCs w:val="20"/>
        </w:rPr>
        <w:t xml:space="preserve"> </w:t>
      </w:r>
      <w:r w:rsidRPr="00024F03">
        <w:rPr>
          <w:rFonts w:ascii="Verdana" w:hAnsi="Verdana"/>
          <w:sz w:val="20"/>
          <w:szCs w:val="20"/>
        </w:rPr>
        <w:t>para</w:t>
      </w:r>
      <w:r w:rsidRPr="00024F03">
        <w:rPr>
          <w:rFonts w:ascii="Verdana" w:hAnsi="Verdana"/>
          <w:spacing w:val="-19"/>
          <w:sz w:val="20"/>
          <w:szCs w:val="20"/>
        </w:rPr>
        <w:t xml:space="preserve"> </w:t>
      </w:r>
      <w:r w:rsidRPr="00024F03">
        <w:rPr>
          <w:rFonts w:ascii="Verdana" w:hAnsi="Verdana"/>
          <w:sz w:val="20"/>
          <w:szCs w:val="20"/>
        </w:rPr>
        <w:t>desarrollar</w:t>
      </w:r>
      <w:r w:rsidRPr="00024F03">
        <w:rPr>
          <w:rFonts w:ascii="Verdana" w:hAnsi="Verdana"/>
          <w:spacing w:val="-20"/>
          <w:sz w:val="20"/>
          <w:szCs w:val="20"/>
        </w:rPr>
        <w:t xml:space="preserve"> </w:t>
      </w:r>
      <w:r w:rsidRPr="00024F03">
        <w:rPr>
          <w:rFonts w:ascii="Verdana" w:hAnsi="Verdana"/>
          <w:sz w:val="20"/>
          <w:szCs w:val="20"/>
        </w:rPr>
        <w:t>actividades</w:t>
      </w:r>
      <w:r w:rsidRPr="00024F03">
        <w:rPr>
          <w:rFonts w:ascii="Verdana" w:hAnsi="Verdana"/>
          <w:spacing w:val="-19"/>
          <w:sz w:val="20"/>
          <w:szCs w:val="20"/>
        </w:rPr>
        <w:t xml:space="preserve"> </w:t>
      </w:r>
      <w:r w:rsidRPr="00024F03">
        <w:rPr>
          <w:rFonts w:ascii="Verdana" w:hAnsi="Verdana"/>
          <w:sz w:val="20"/>
          <w:szCs w:val="20"/>
        </w:rPr>
        <w:t>relacionadas</w:t>
      </w:r>
      <w:r w:rsidRPr="00024F03">
        <w:rPr>
          <w:rFonts w:ascii="Verdana" w:hAnsi="Verdana"/>
          <w:spacing w:val="-19"/>
          <w:sz w:val="20"/>
          <w:szCs w:val="20"/>
        </w:rPr>
        <w:t xml:space="preserve"> </w:t>
      </w:r>
      <w:r w:rsidRPr="00024F03">
        <w:rPr>
          <w:rFonts w:ascii="Verdana" w:hAnsi="Verdana"/>
          <w:sz w:val="20"/>
          <w:szCs w:val="20"/>
        </w:rPr>
        <w:t>con</w:t>
      </w:r>
      <w:r w:rsidRPr="00024F03">
        <w:rPr>
          <w:rFonts w:ascii="Verdana" w:hAnsi="Verdana"/>
          <w:spacing w:val="-20"/>
          <w:sz w:val="20"/>
          <w:szCs w:val="20"/>
        </w:rPr>
        <w:t xml:space="preserve"> </w:t>
      </w:r>
      <w:r w:rsidRPr="00024F03">
        <w:rPr>
          <w:rFonts w:ascii="Verdana" w:hAnsi="Verdana"/>
          <w:sz w:val="20"/>
          <w:szCs w:val="20"/>
        </w:rPr>
        <w:t>la administración o funcionamiento de la entidad. Estos contratos sólo se podrán celebrar</w:t>
      </w:r>
      <w:r w:rsidRPr="00024F03">
        <w:rPr>
          <w:rFonts w:ascii="Verdana" w:hAnsi="Verdana"/>
          <w:spacing w:val="-9"/>
          <w:sz w:val="20"/>
          <w:szCs w:val="20"/>
        </w:rPr>
        <w:t xml:space="preserve"> </w:t>
      </w:r>
      <w:r w:rsidRPr="00024F03">
        <w:rPr>
          <w:rFonts w:ascii="Verdana" w:hAnsi="Verdana"/>
          <w:sz w:val="20"/>
          <w:szCs w:val="20"/>
        </w:rPr>
        <w:t>con</w:t>
      </w:r>
      <w:r w:rsidRPr="00024F03">
        <w:rPr>
          <w:rFonts w:ascii="Verdana" w:hAnsi="Verdana"/>
          <w:spacing w:val="-11"/>
          <w:sz w:val="20"/>
          <w:szCs w:val="20"/>
        </w:rPr>
        <w:t xml:space="preserve"> </w:t>
      </w:r>
      <w:r w:rsidRPr="00024F03">
        <w:rPr>
          <w:rFonts w:ascii="Verdana" w:hAnsi="Verdana"/>
          <w:sz w:val="20"/>
          <w:szCs w:val="20"/>
        </w:rPr>
        <w:t>personas</w:t>
      </w:r>
      <w:r w:rsidRPr="00024F03">
        <w:rPr>
          <w:rFonts w:ascii="Verdana" w:hAnsi="Verdana"/>
          <w:spacing w:val="-9"/>
          <w:sz w:val="20"/>
          <w:szCs w:val="20"/>
        </w:rPr>
        <w:t xml:space="preserve"> </w:t>
      </w:r>
      <w:r w:rsidRPr="00024F03">
        <w:rPr>
          <w:rFonts w:ascii="Verdana" w:hAnsi="Verdana"/>
          <w:sz w:val="20"/>
          <w:szCs w:val="20"/>
        </w:rPr>
        <w:t>naturales</w:t>
      </w:r>
      <w:r w:rsidRPr="00024F03">
        <w:rPr>
          <w:rFonts w:ascii="Verdana" w:hAnsi="Verdana"/>
          <w:spacing w:val="-9"/>
          <w:sz w:val="20"/>
          <w:szCs w:val="20"/>
        </w:rPr>
        <w:t xml:space="preserve"> </w:t>
      </w:r>
      <w:r w:rsidRPr="00024F03">
        <w:rPr>
          <w:rFonts w:ascii="Verdana" w:hAnsi="Verdana"/>
          <w:sz w:val="20"/>
          <w:szCs w:val="20"/>
        </w:rPr>
        <w:t>cuando</w:t>
      </w:r>
      <w:r w:rsidRPr="00024F03">
        <w:rPr>
          <w:rFonts w:ascii="Verdana" w:hAnsi="Verdana"/>
          <w:spacing w:val="-10"/>
          <w:sz w:val="20"/>
          <w:szCs w:val="20"/>
        </w:rPr>
        <w:t xml:space="preserve"> </w:t>
      </w:r>
      <w:r w:rsidRPr="00024F03">
        <w:rPr>
          <w:rFonts w:ascii="Verdana" w:hAnsi="Verdana"/>
          <w:sz w:val="20"/>
          <w:szCs w:val="20"/>
        </w:rPr>
        <w:t>dichas</w:t>
      </w:r>
      <w:r w:rsidRPr="00024F03">
        <w:rPr>
          <w:rFonts w:ascii="Verdana" w:hAnsi="Verdana"/>
          <w:spacing w:val="-10"/>
          <w:sz w:val="20"/>
          <w:szCs w:val="20"/>
        </w:rPr>
        <w:t xml:space="preserve"> </w:t>
      </w:r>
      <w:r w:rsidRPr="00024F03">
        <w:rPr>
          <w:rFonts w:ascii="Verdana" w:hAnsi="Verdana"/>
          <w:sz w:val="20"/>
          <w:szCs w:val="20"/>
        </w:rPr>
        <w:t>actividades</w:t>
      </w:r>
      <w:r w:rsidRPr="00024F03">
        <w:rPr>
          <w:rFonts w:ascii="Verdana" w:hAnsi="Verdana"/>
          <w:spacing w:val="-9"/>
          <w:sz w:val="20"/>
          <w:szCs w:val="20"/>
        </w:rPr>
        <w:t xml:space="preserve"> </w:t>
      </w:r>
      <w:r w:rsidRPr="00024F03">
        <w:rPr>
          <w:rFonts w:ascii="Verdana" w:hAnsi="Verdana"/>
          <w:sz w:val="20"/>
          <w:szCs w:val="20"/>
        </w:rPr>
        <w:t>no</w:t>
      </w:r>
      <w:r w:rsidRPr="00024F03">
        <w:rPr>
          <w:rFonts w:ascii="Verdana" w:hAnsi="Verdana"/>
          <w:spacing w:val="-11"/>
          <w:sz w:val="20"/>
          <w:szCs w:val="20"/>
        </w:rPr>
        <w:t xml:space="preserve"> </w:t>
      </w:r>
      <w:r w:rsidRPr="00024F03">
        <w:rPr>
          <w:rFonts w:ascii="Verdana" w:hAnsi="Verdana"/>
          <w:sz w:val="20"/>
          <w:szCs w:val="20"/>
        </w:rPr>
        <w:t>puedan</w:t>
      </w:r>
      <w:r w:rsidRPr="00024F03">
        <w:rPr>
          <w:rFonts w:ascii="Verdana" w:hAnsi="Verdana"/>
          <w:spacing w:val="-10"/>
          <w:sz w:val="20"/>
          <w:szCs w:val="20"/>
        </w:rPr>
        <w:t xml:space="preserve"> </w:t>
      </w:r>
      <w:r w:rsidRPr="00024F03">
        <w:rPr>
          <w:rFonts w:ascii="Verdana" w:hAnsi="Verdana"/>
          <w:sz w:val="20"/>
          <w:szCs w:val="20"/>
        </w:rPr>
        <w:t>realizarse con</w:t>
      </w:r>
      <w:r w:rsidRPr="00024F03">
        <w:rPr>
          <w:rFonts w:ascii="Verdana" w:hAnsi="Verdana"/>
          <w:spacing w:val="-20"/>
          <w:sz w:val="20"/>
          <w:szCs w:val="20"/>
        </w:rPr>
        <w:t xml:space="preserve"> </w:t>
      </w:r>
      <w:r w:rsidRPr="00024F03">
        <w:rPr>
          <w:rFonts w:ascii="Verdana" w:hAnsi="Verdana"/>
          <w:sz w:val="20"/>
          <w:szCs w:val="20"/>
        </w:rPr>
        <w:t>personal</w:t>
      </w:r>
      <w:r w:rsidRPr="00024F03">
        <w:rPr>
          <w:rFonts w:ascii="Verdana" w:hAnsi="Verdana"/>
          <w:spacing w:val="-19"/>
          <w:sz w:val="20"/>
          <w:szCs w:val="20"/>
        </w:rPr>
        <w:t xml:space="preserve"> </w:t>
      </w:r>
      <w:r w:rsidRPr="00024F03">
        <w:rPr>
          <w:rFonts w:ascii="Verdana" w:hAnsi="Verdana"/>
          <w:sz w:val="20"/>
          <w:szCs w:val="20"/>
        </w:rPr>
        <w:t>de</w:t>
      </w:r>
      <w:r w:rsidRPr="00024F03">
        <w:rPr>
          <w:rFonts w:ascii="Verdana" w:hAnsi="Verdana"/>
          <w:spacing w:val="-19"/>
          <w:sz w:val="20"/>
          <w:szCs w:val="20"/>
        </w:rPr>
        <w:t xml:space="preserve"> </w:t>
      </w:r>
      <w:r w:rsidRPr="00024F03">
        <w:rPr>
          <w:rFonts w:ascii="Verdana" w:hAnsi="Verdana"/>
          <w:sz w:val="20"/>
          <w:szCs w:val="20"/>
        </w:rPr>
        <w:t>planta</w:t>
      </w:r>
      <w:r w:rsidRPr="00024F03">
        <w:rPr>
          <w:rFonts w:ascii="Verdana" w:hAnsi="Verdana"/>
          <w:spacing w:val="-20"/>
          <w:sz w:val="20"/>
          <w:szCs w:val="20"/>
        </w:rPr>
        <w:t xml:space="preserve"> </w:t>
      </w:r>
      <w:r w:rsidRPr="00024F03">
        <w:rPr>
          <w:rFonts w:ascii="Verdana" w:hAnsi="Verdana"/>
          <w:sz w:val="20"/>
          <w:szCs w:val="20"/>
        </w:rPr>
        <w:t>o</w:t>
      </w:r>
      <w:r w:rsidRPr="00024F03">
        <w:rPr>
          <w:rFonts w:ascii="Verdana" w:hAnsi="Verdana"/>
          <w:spacing w:val="-19"/>
          <w:sz w:val="20"/>
          <w:szCs w:val="20"/>
        </w:rPr>
        <w:t xml:space="preserve"> </w:t>
      </w:r>
      <w:r w:rsidRPr="00024F03">
        <w:rPr>
          <w:rFonts w:ascii="Verdana" w:hAnsi="Verdana"/>
          <w:sz w:val="20"/>
          <w:szCs w:val="20"/>
        </w:rPr>
        <w:t>requieran</w:t>
      </w:r>
      <w:r w:rsidRPr="00024F03">
        <w:rPr>
          <w:rFonts w:ascii="Verdana" w:hAnsi="Verdana"/>
          <w:spacing w:val="-20"/>
          <w:sz w:val="20"/>
          <w:szCs w:val="20"/>
        </w:rPr>
        <w:t xml:space="preserve"> </w:t>
      </w:r>
      <w:r w:rsidRPr="00024F03">
        <w:rPr>
          <w:rFonts w:ascii="Verdana" w:hAnsi="Verdana"/>
          <w:sz w:val="20"/>
          <w:szCs w:val="20"/>
        </w:rPr>
        <w:t>conocimientos</w:t>
      </w:r>
      <w:r w:rsidRPr="00024F03">
        <w:rPr>
          <w:rFonts w:ascii="Verdana" w:hAnsi="Verdana"/>
          <w:spacing w:val="-19"/>
          <w:sz w:val="20"/>
          <w:szCs w:val="20"/>
        </w:rPr>
        <w:t xml:space="preserve"> </w:t>
      </w:r>
      <w:r w:rsidRPr="00024F03">
        <w:rPr>
          <w:rFonts w:ascii="Verdana" w:hAnsi="Verdana"/>
          <w:sz w:val="20"/>
          <w:szCs w:val="20"/>
        </w:rPr>
        <w:t>especializados.</w:t>
      </w:r>
      <w:r w:rsidRPr="00024F03">
        <w:rPr>
          <w:rFonts w:ascii="Verdana" w:hAnsi="Verdana"/>
          <w:spacing w:val="-19"/>
          <w:sz w:val="20"/>
          <w:szCs w:val="20"/>
        </w:rPr>
        <w:t xml:space="preserve"> </w:t>
      </w:r>
      <w:r w:rsidRPr="00024F03">
        <w:rPr>
          <w:rFonts w:ascii="Verdana" w:hAnsi="Verdana"/>
          <w:sz w:val="20"/>
          <w:szCs w:val="20"/>
        </w:rPr>
        <w:t>En</w:t>
      </w:r>
      <w:r w:rsidRPr="00024F03">
        <w:rPr>
          <w:rFonts w:ascii="Verdana" w:hAnsi="Verdana"/>
          <w:spacing w:val="-20"/>
          <w:sz w:val="20"/>
          <w:szCs w:val="20"/>
        </w:rPr>
        <w:t xml:space="preserve"> </w:t>
      </w:r>
      <w:r w:rsidRPr="00024F03">
        <w:rPr>
          <w:rFonts w:ascii="Verdana" w:hAnsi="Verdana"/>
          <w:sz w:val="20"/>
          <w:szCs w:val="20"/>
        </w:rPr>
        <w:t>ningún</w:t>
      </w:r>
      <w:r w:rsidRPr="00024F03">
        <w:rPr>
          <w:rFonts w:ascii="Verdana" w:hAnsi="Verdana"/>
          <w:spacing w:val="-19"/>
          <w:sz w:val="20"/>
          <w:szCs w:val="20"/>
        </w:rPr>
        <w:t xml:space="preserve"> </w:t>
      </w:r>
      <w:r w:rsidRPr="00024F03">
        <w:rPr>
          <w:rFonts w:ascii="Verdana" w:hAnsi="Verdana"/>
          <w:sz w:val="20"/>
          <w:szCs w:val="20"/>
        </w:rPr>
        <w:t>caso estos</w:t>
      </w:r>
      <w:r w:rsidRPr="00024F03">
        <w:rPr>
          <w:rFonts w:ascii="Verdana" w:hAnsi="Verdana"/>
          <w:spacing w:val="-11"/>
          <w:sz w:val="20"/>
          <w:szCs w:val="20"/>
        </w:rPr>
        <w:t xml:space="preserve"> </w:t>
      </w:r>
      <w:r w:rsidRPr="00024F03">
        <w:rPr>
          <w:rFonts w:ascii="Verdana" w:hAnsi="Verdana"/>
          <w:sz w:val="20"/>
          <w:szCs w:val="20"/>
        </w:rPr>
        <w:t>contratos</w:t>
      </w:r>
      <w:r w:rsidRPr="00024F03">
        <w:rPr>
          <w:rFonts w:ascii="Verdana" w:hAnsi="Verdana"/>
          <w:spacing w:val="-10"/>
          <w:sz w:val="20"/>
          <w:szCs w:val="20"/>
        </w:rPr>
        <w:t xml:space="preserve"> </w:t>
      </w:r>
      <w:r w:rsidRPr="00024F03">
        <w:rPr>
          <w:rFonts w:ascii="Verdana" w:hAnsi="Verdana"/>
          <w:sz w:val="20"/>
          <w:szCs w:val="20"/>
        </w:rPr>
        <w:t>generan</w:t>
      </w:r>
      <w:r w:rsidRPr="00024F03">
        <w:rPr>
          <w:rFonts w:ascii="Verdana" w:hAnsi="Verdana"/>
          <w:spacing w:val="-10"/>
          <w:sz w:val="20"/>
          <w:szCs w:val="20"/>
        </w:rPr>
        <w:t xml:space="preserve"> </w:t>
      </w:r>
      <w:r w:rsidRPr="00024F03">
        <w:rPr>
          <w:rFonts w:ascii="Verdana" w:hAnsi="Verdana"/>
          <w:sz w:val="20"/>
          <w:szCs w:val="20"/>
        </w:rPr>
        <w:t>relación</w:t>
      </w:r>
      <w:r w:rsidRPr="00024F03">
        <w:rPr>
          <w:rFonts w:ascii="Verdana" w:hAnsi="Verdana"/>
          <w:spacing w:val="-10"/>
          <w:sz w:val="20"/>
          <w:szCs w:val="20"/>
        </w:rPr>
        <w:t xml:space="preserve"> </w:t>
      </w:r>
      <w:r w:rsidRPr="00024F03">
        <w:rPr>
          <w:rFonts w:ascii="Verdana" w:hAnsi="Verdana"/>
          <w:sz w:val="20"/>
          <w:szCs w:val="20"/>
        </w:rPr>
        <w:t>laboral</w:t>
      </w:r>
      <w:r w:rsidRPr="00024F03">
        <w:rPr>
          <w:rFonts w:ascii="Verdana" w:hAnsi="Verdana"/>
          <w:spacing w:val="-10"/>
          <w:sz w:val="20"/>
          <w:szCs w:val="20"/>
        </w:rPr>
        <w:t xml:space="preserve"> </w:t>
      </w:r>
      <w:r w:rsidRPr="00024F03">
        <w:rPr>
          <w:rFonts w:ascii="Verdana" w:hAnsi="Verdana"/>
          <w:sz w:val="20"/>
          <w:szCs w:val="20"/>
        </w:rPr>
        <w:t>ni</w:t>
      </w:r>
      <w:r w:rsidRPr="00024F03">
        <w:rPr>
          <w:rFonts w:ascii="Verdana" w:hAnsi="Verdana"/>
          <w:spacing w:val="-12"/>
          <w:sz w:val="20"/>
          <w:szCs w:val="20"/>
        </w:rPr>
        <w:t xml:space="preserve"> </w:t>
      </w:r>
      <w:r w:rsidRPr="00024F03">
        <w:rPr>
          <w:rFonts w:ascii="Verdana" w:hAnsi="Verdana"/>
          <w:sz w:val="20"/>
          <w:szCs w:val="20"/>
        </w:rPr>
        <w:t>prestaciones</w:t>
      </w:r>
      <w:r w:rsidRPr="00024F03">
        <w:rPr>
          <w:rFonts w:ascii="Verdana" w:hAnsi="Verdana"/>
          <w:spacing w:val="-9"/>
          <w:sz w:val="20"/>
          <w:szCs w:val="20"/>
        </w:rPr>
        <w:t xml:space="preserve"> </w:t>
      </w:r>
      <w:r w:rsidRPr="00024F03">
        <w:rPr>
          <w:rFonts w:ascii="Verdana" w:hAnsi="Verdana"/>
          <w:sz w:val="20"/>
          <w:szCs w:val="20"/>
        </w:rPr>
        <w:t>sociales</w:t>
      </w:r>
      <w:r w:rsidRPr="00024F03">
        <w:rPr>
          <w:rFonts w:ascii="Verdana" w:hAnsi="Verdana"/>
          <w:spacing w:val="-10"/>
          <w:sz w:val="20"/>
          <w:szCs w:val="20"/>
        </w:rPr>
        <w:t xml:space="preserve"> </w:t>
      </w:r>
      <w:r w:rsidRPr="00024F03">
        <w:rPr>
          <w:rFonts w:ascii="Verdana" w:hAnsi="Verdana"/>
          <w:sz w:val="20"/>
          <w:szCs w:val="20"/>
        </w:rPr>
        <w:t>y</w:t>
      </w:r>
      <w:r w:rsidRPr="00024F03">
        <w:rPr>
          <w:rFonts w:ascii="Verdana" w:hAnsi="Verdana"/>
          <w:spacing w:val="-12"/>
          <w:sz w:val="20"/>
          <w:szCs w:val="20"/>
        </w:rPr>
        <w:t xml:space="preserve"> </w:t>
      </w:r>
      <w:r w:rsidRPr="00024F03">
        <w:rPr>
          <w:rFonts w:ascii="Verdana" w:hAnsi="Verdana"/>
          <w:sz w:val="20"/>
          <w:szCs w:val="20"/>
        </w:rPr>
        <w:t>se</w:t>
      </w:r>
      <w:r w:rsidRPr="00024F03">
        <w:rPr>
          <w:rFonts w:ascii="Verdana" w:hAnsi="Verdana"/>
          <w:spacing w:val="-12"/>
          <w:sz w:val="20"/>
          <w:szCs w:val="20"/>
        </w:rPr>
        <w:t xml:space="preserve"> </w:t>
      </w:r>
      <w:r w:rsidRPr="00024F03">
        <w:rPr>
          <w:rFonts w:ascii="Verdana" w:hAnsi="Verdana"/>
          <w:sz w:val="20"/>
          <w:szCs w:val="20"/>
        </w:rPr>
        <w:t>celebrarán por el término estrictamente indispensable”.</w:t>
      </w:r>
    </w:p>
    <w:p w14:paraId="4F5DAA41" w14:textId="77777777" w:rsidR="00791F40" w:rsidRPr="00791F40" w:rsidRDefault="00791F40" w:rsidP="00791F40">
      <w:pPr>
        <w:pStyle w:val="Prrafodelista"/>
        <w:tabs>
          <w:tab w:val="left" w:pos="142"/>
          <w:tab w:val="left" w:pos="284"/>
        </w:tabs>
        <w:snapToGrid w:val="0"/>
        <w:spacing w:after="0" w:line="240" w:lineRule="auto"/>
        <w:ind w:left="0"/>
        <w:jc w:val="both"/>
        <w:rPr>
          <w:rFonts w:ascii="Verdana" w:eastAsia="Century Gothic" w:hAnsi="Verdana" w:cs="Century Gothic"/>
          <w:b/>
          <w:bCs/>
        </w:rPr>
      </w:pPr>
    </w:p>
    <w:p w14:paraId="331CE219" w14:textId="79C1B825" w:rsidR="00B122B9" w:rsidRPr="00791F40" w:rsidRDefault="00B122B9" w:rsidP="00791F40">
      <w:pPr>
        <w:snapToGrid w:val="0"/>
        <w:contextualSpacing/>
        <w:jc w:val="both"/>
        <w:rPr>
          <w:rFonts w:ascii="Verdana" w:eastAsia="Calibri" w:hAnsi="Verdana" w:cs="Arial"/>
          <w:b/>
          <w:bCs/>
          <w:color w:val="000000" w:themeColor="text1"/>
          <w:szCs w:val="24"/>
          <w:lang w:val="es-ES" w:eastAsia="es-ES_tradnl"/>
        </w:rPr>
      </w:pPr>
      <w:r w:rsidRPr="00791F40">
        <w:rPr>
          <w:rFonts w:ascii="Verdana" w:eastAsia="Calibri" w:hAnsi="Verdana" w:cs="Arial"/>
          <w:b/>
          <w:bCs/>
          <w:color w:val="000000" w:themeColor="text1"/>
          <w:szCs w:val="24"/>
          <w:lang w:val="es-ES" w:eastAsia="es-ES_tradnl"/>
        </w:rPr>
        <w:t>CONTRATOS DE PRESTACIÓN DE SERVICIOS – Diferencias con empleo público – Ascensos</w:t>
      </w:r>
    </w:p>
    <w:p w14:paraId="010F01F6" w14:textId="77777777" w:rsidR="00791F40" w:rsidRDefault="00791F40" w:rsidP="00791F40">
      <w:pPr>
        <w:snapToGrid w:val="0"/>
        <w:spacing w:after="0" w:line="240" w:lineRule="auto"/>
        <w:contextualSpacing/>
        <w:jc w:val="both"/>
        <w:rPr>
          <w:rFonts w:ascii="Verdana" w:eastAsia="Calibri" w:hAnsi="Verdana" w:cs="Arial"/>
          <w:color w:val="000000" w:themeColor="text1"/>
          <w:szCs w:val="24"/>
          <w:lang w:val="es-ES" w:eastAsia="es-ES_tradnl"/>
        </w:rPr>
      </w:pPr>
    </w:p>
    <w:p w14:paraId="0EFB9833" w14:textId="0AFA4C4F" w:rsidR="00791F40" w:rsidRPr="00024F03" w:rsidRDefault="00791F40" w:rsidP="00791F40">
      <w:pPr>
        <w:autoSpaceDE w:val="0"/>
        <w:autoSpaceDN w:val="0"/>
        <w:adjustRightInd w:val="0"/>
        <w:snapToGrid w:val="0"/>
        <w:contextualSpacing/>
        <w:jc w:val="both"/>
        <w:rPr>
          <w:rFonts w:ascii="Verdana" w:hAnsi="Verdana" w:cs="Arial"/>
          <w:sz w:val="20"/>
          <w:szCs w:val="20"/>
          <w:lang w:val="es-ES"/>
        </w:rPr>
      </w:pPr>
      <w:r w:rsidRPr="00024F03">
        <w:rPr>
          <w:rFonts w:ascii="Verdana" w:hAnsi="Verdana" w:cs="Arial"/>
          <w:sz w:val="20"/>
          <w:szCs w:val="20"/>
          <w:lang w:val="es-ES"/>
        </w:rPr>
        <w:t xml:space="preserve">[…] la Ley 1960 del 2019, que modificó el Artículo 29 de la Ley 909 de 2004 señala que la provisión definitiva de los empleos públicos de carrera administrativa debe realizarse mediante los procesos de selección abiertos y de ascenso que adelante la Comisión Nacional del Servicio Civil. En particular, define que la figura del </w:t>
      </w:r>
      <w:r w:rsidRPr="00024F03">
        <w:rPr>
          <w:rFonts w:ascii="Verdana" w:hAnsi="Verdana" w:cs="Arial"/>
          <w:i/>
          <w:iCs/>
          <w:sz w:val="20"/>
          <w:szCs w:val="20"/>
          <w:lang w:val="es-ES"/>
        </w:rPr>
        <w:t xml:space="preserve">ascenso </w:t>
      </w:r>
      <w:r w:rsidRPr="00024F03">
        <w:rPr>
          <w:rFonts w:ascii="Verdana" w:hAnsi="Verdana" w:cs="Arial"/>
          <w:sz w:val="20"/>
          <w:szCs w:val="20"/>
          <w:lang w:val="es-ES"/>
        </w:rPr>
        <w:t>se refiere a la movilidad a un cargo superior dentro de la planta de personal de la misma entidad, del mismo sector administrativo o dentro del cuadro funcional de empleos, para el cual es necesario adelantar un concurso que cumpla con los presupuestos específicamente señalados para ello por el legislador.</w:t>
      </w:r>
    </w:p>
    <w:p w14:paraId="7D1C3FC5" w14:textId="77777777" w:rsidR="00791F40" w:rsidRPr="00024F03" w:rsidRDefault="00791F40" w:rsidP="00791F40">
      <w:pPr>
        <w:autoSpaceDE w:val="0"/>
        <w:autoSpaceDN w:val="0"/>
        <w:adjustRightInd w:val="0"/>
        <w:snapToGrid w:val="0"/>
        <w:spacing w:after="0" w:line="240" w:lineRule="auto"/>
        <w:contextualSpacing/>
        <w:jc w:val="both"/>
        <w:rPr>
          <w:rFonts w:ascii="Verdana" w:hAnsi="Verdana" w:cs="Arial"/>
          <w:sz w:val="20"/>
          <w:szCs w:val="20"/>
          <w:lang w:val="es-ES"/>
        </w:rPr>
      </w:pPr>
    </w:p>
    <w:p w14:paraId="650A940C" w14:textId="77777777" w:rsidR="00791F40" w:rsidRPr="00024F03" w:rsidRDefault="00791F40" w:rsidP="00791F40">
      <w:pPr>
        <w:autoSpaceDE w:val="0"/>
        <w:autoSpaceDN w:val="0"/>
        <w:adjustRightInd w:val="0"/>
        <w:snapToGrid w:val="0"/>
        <w:spacing w:after="0" w:line="240" w:lineRule="auto"/>
        <w:contextualSpacing/>
        <w:jc w:val="both"/>
        <w:rPr>
          <w:rFonts w:ascii="Verdana" w:hAnsi="Verdana" w:cs="Arial"/>
          <w:sz w:val="20"/>
          <w:szCs w:val="20"/>
          <w:lang w:val="es-ES"/>
        </w:rPr>
      </w:pPr>
      <w:r w:rsidRPr="00024F03">
        <w:rPr>
          <w:rFonts w:ascii="Verdana" w:hAnsi="Verdana" w:cs="Arial"/>
          <w:sz w:val="20"/>
          <w:szCs w:val="20"/>
          <w:lang w:val="es-ES"/>
        </w:rPr>
        <w:t xml:space="preserve">Así, tanto el marco normativo como jurisprudencial establecen las reglas que constituyen criterios imperativos para el legislador en la regulación de esta materia, así como para las autoridades administrativas en relación con la vinculación, </w:t>
      </w:r>
      <w:r w:rsidRPr="00024F03">
        <w:rPr>
          <w:rFonts w:ascii="Verdana" w:hAnsi="Verdana" w:cs="Arial"/>
          <w:i/>
          <w:iCs/>
          <w:sz w:val="20"/>
          <w:szCs w:val="20"/>
          <w:lang w:val="es-ES"/>
        </w:rPr>
        <w:t>ascenso</w:t>
      </w:r>
      <w:r w:rsidRPr="00024F03">
        <w:rPr>
          <w:rFonts w:ascii="Verdana" w:hAnsi="Verdana" w:cs="Arial"/>
          <w:sz w:val="20"/>
          <w:szCs w:val="20"/>
          <w:lang w:val="es-ES"/>
        </w:rPr>
        <w:t xml:space="preserve">, permanencia y retiro del servicio público. Teniendo en cuenta lo anterior, así como las características propias de los contratos estatales de prestación de servicios, es claro que la figura del “ascenso” no es propia de las relaciones jurídica entre particulares y entidades que se rigen por el Estatuto General de Contratación de la Administración Pública, sino que corresponde a un aspecto determinado constitucional y legalmente para el funcionamiento del empleo público. En este sentido, no existen propiamente ascensos en el marco de los contratos de prestación de servicios. Por ejemplo, la celebración de un contrato de prestación de servicios con un particular previamente vinculado por este medio a la entidad, que requiera la acreditación de mayor experiencia o formación, y establezca nuevas obligaciones, no constituye propiamente un ascenso, sino la suscripción de un nuevo objeto contractual que responde a distintos honorarios y actividades, y cuya vocación es de carácter temporal. </w:t>
      </w:r>
    </w:p>
    <w:p w14:paraId="187004FD" w14:textId="77777777" w:rsidR="00024F03" w:rsidRDefault="00024F03" w:rsidP="00C640D3">
      <w:pPr>
        <w:spacing w:after="0"/>
        <w:rPr>
          <w:rFonts w:ascii="Verdana" w:hAnsi="Verdana"/>
          <w:lang w:val="es-ES"/>
        </w:rPr>
      </w:pPr>
    </w:p>
    <w:p w14:paraId="604C0DC6" w14:textId="77777777" w:rsidR="00024F03" w:rsidRDefault="00024F03" w:rsidP="00C640D3">
      <w:pPr>
        <w:spacing w:after="0"/>
        <w:rPr>
          <w:rFonts w:ascii="Verdana" w:hAnsi="Verdana"/>
          <w:lang w:val="es-ES"/>
        </w:rPr>
      </w:pPr>
    </w:p>
    <w:p w14:paraId="3E54E595" w14:textId="77777777" w:rsidR="00024F03" w:rsidRDefault="00024F03" w:rsidP="00C640D3">
      <w:pPr>
        <w:spacing w:after="0"/>
        <w:rPr>
          <w:rFonts w:ascii="Verdana" w:hAnsi="Verdana"/>
          <w:lang w:val="es-ES"/>
        </w:rPr>
      </w:pPr>
    </w:p>
    <w:p w14:paraId="26943676" w14:textId="77777777" w:rsidR="00024F03" w:rsidRDefault="00024F03" w:rsidP="00C640D3">
      <w:pPr>
        <w:spacing w:after="0"/>
        <w:rPr>
          <w:rFonts w:ascii="Verdana" w:hAnsi="Verdana"/>
          <w:lang w:val="es-ES"/>
        </w:rPr>
      </w:pPr>
    </w:p>
    <w:p w14:paraId="394A61BF" w14:textId="46967781" w:rsidR="00C640D3" w:rsidRDefault="00024F03" w:rsidP="00C640D3">
      <w:pPr>
        <w:spacing w:after="0"/>
        <w:rPr>
          <w:rFonts w:ascii="Verdana" w:hAnsi="Verdana"/>
          <w:lang w:val="es-ES"/>
        </w:rPr>
      </w:pPr>
      <w:r>
        <w:rPr>
          <w:rFonts w:ascii="Verdana" w:hAnsi="Verdana"/>
          <w:noProof/>
          <w:lang w:val="es-ES"/>
        </w:rPr>
        <w:lastRenderedPageBreak/>
        <w:drawing>
          <wp:anchor distT="0" distB="0" distL="114300" distR="114300" simplePos="0" relativeHeight="251658240" behindDoc="0" locked="0" layoutInCell="1" allowOverlap="1" wp14:anchorId="6D4A8BB2" wp14:editId="623C8776">
            <wp:simplePos x="0" y="0"/>
            <wp:positionH relativeFrom="column">
              <wp:posOffset>3515360</wp:posOffset>
            </wp:positionH>
            <wp:positionV relativeFrom="paragraph">
              <wp:posOffset>48895</wp:posOffset>
            </wp:positionV>
            <wp:extent cx="2278380" cy="834390"/>
            <wp:effectExtent l="0" t="0" r="7620" b="3810"/>
            <wp:wrapSquare wrapText="bothSides"/>
            <wp:docPr id="994157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157750" name="Picture 99415775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78380" cy="834390"/>
                    </a:xfrm>
                    <a:prstGeom prst="rect">
                      <a:avLst/>
                    </a:prstGeom>
                  </pic:spPr>
                </pic:pic>
              </a:graphicData>
            </a:graphic>
            <wp14:sizeRelH relativeFrom="page">
              <wp14:pctWidth>0</wp14:pctWidth>
            </wp14:sizeRelH>
            <wp14:sizeRelV relativeFrom="page">
              <wp14:pctHeight>0</wp14:pctHeight>
            </wp14:sizeRelV>
          </wp:anchor>
        </w:drawing>
      </w:r>
      <w:r w:rsidR="00C640D3" w:rsidRPr="00173792">
        <w:rPr>
          <w:rFonts w:ascii="Verdana" w:hAnsi="Verdana"/>
          <w:lang w:val="es-ES"/>
        </w:rPr>
        <w:t>Bogotá D.C.,</w:t>
      </w:r>
      <w:r w:rsidR="00CF3287">
        <w:rPr>
          <w:rFonts w:ascii="Verdana" w:hAnsi="Verdana"/>
          <w:lang w:val="es-ES"/>
        </w:rPr>
        <w:t xml:space="preserve"> 12 de </w:t>
      </w:r>
      <w:proofErr w:type="gramStart"/>
      <w:r w:rsidR="00CF3287">
        <w:rPr>
          <w:rFonts w:ascii="Verdana" w:hAnsi="Verdana"/>
          <w:lang w:val="es-ES"/>
        </w:rPr>
        <w:t>Febrero</w:t>
      </w:r>
      <w:proofErr w:type="gramEnd"/>
      <w:r w:rsidR="00CF3287">
        <w:rPr>
          <w:rFonts w:ascii="Verdana" w:hAnsi="Verdana"/>
          <w:lang w:val="es-ES"/>
        </w:rPr>
        <w:t xml:space="preserve"> de 2026</w:t>
      </w:r>
    </w:p>
    <w:p w14:paraId="7594B40D" w14:textId="7DEB4A83" w:rsidR="00C640D3" w:rsidRPr="00173792" w:rsidRDefault="00C640D3" w:rsidP="00C640D3">
      <w:pPr>
        <w:spacing w:after="0"/>
        <w:rPr>
          <w:rFonts w:ascii="Verdana" w:hAnsi="Verdana"/>
          <w:lang w:val="es-ES"/>
        </w:rPr>
      </w:pPr>
    </w:p>
    <w:p w14:paraId="64CC447E" w14:textId="09F2AEB7" w:rsidR="00C640D3" w:rsidRPr="00173792" w:rsidRDefault="00C640D3" w:rsidP="00C640D3">
      <w:pPr>
        <w:spacing w:after="0" w:line="276" w:lineRule="auto"/>
        <w:rPr>
          <w:rFonts w:ascii="Verdana" w:hAnsi="Verdana"/>
          <w:lang w:val="es-ES"/>
        </w:rPr>
      </w:pPr>
      <w:bookmarkStart w:id="0" w:name="_Hlk143780582"/>
      <w:r>
        <w:rPr>
          <w:rFonts w:ascii="Verdana" w:eastAsia="Calibri" w:hAnsi="Verdana" w:cs="Arial"/>
          <w:color w:val="000000" w:themeColor="text1"/>
          <w:lang w:val="es-ES" w:eastAsia="es-ES"/>
        </w:rPr>
        <w:t>Doctora</w:t>
      </w:r>
    </w:p>
    <w:p w14:paraId="0B6C73AA" w14:textId="1971B49B" w:rsidR="00C640D3" w:rsidRPr="00173792" w:rsidRDefault="00C640D3" w:rsidP="00C640D3">
      <w:pPr>
        <w:spacing w:after="0" w:line="276" w:lineRule="auto"/>
        <w:rPr>
          <w:rFonts w:ascii="Verdana" w:eastAsia="Calibri" w:hAnsi="Verdana" w:cs="Arial"/>
          <w:b/>
          <w:bCs/>
          <w:color w:val="000000" w:themeColor="text1"/>
          <w:lang w:val="es-ES" w:eastAsia="es-ES"/>
        </w:rPr>
      </w:pPr>
      <w:r w:rsidRPr="00173792">
        <w:rPr>
          <w:rFonts w:ascii="Verdana" w:eastAsia="Calibri" w:hAnsi="Verdana" w:cs="Arial"/>
          <w:b/>
          <w:bCs/>
          <w:color w:val="000000" w:themeColor="text1"/>
          <w:lang w:val="es-ES" w:eastAsia="es-ES"/>
        </w:rPr>
        <w:t>Andrea Stephania Dur</w:t>
      </w:r>
      <w:r>
        <w:rPr>
          <w:rFonts w:ascii="Verdana" w:eastAsia="Calibri" w:hAnsi="Verdana" w:cs="Arial"/>
          <w:b/>
          <w:bCs/>
          <w:color w:val="000000" w:themeColor="text1"/>
          <w:lang w:val="es-ES" w:eastAsia="es-ES"/>
        </w:rPr>
        <w:t>á</w:t>
      </w:r>
      <w:r w:rsidRPr="00173792">
        <w:rPr>
          <w:rFonts w:ascii="Verdana" w:eastAsia="Calibri" w:hAnsi="Verdana" w:cs="Arial"/>
          <w:b/>
          <w:bCs/>
          <w:color w:val="000000" w:themeColor="text1"/>
          <w:lang w:val="es-ES" w:eastAsia="es-ES"/>
        </w:rPr>
        <w:t xml:space="preserve">n Reinoso </w:t>
      </w:r>
    </w:p>
    <w:p w14:paraId="5A9DE4B9" w14:textId="77777777" w:rsidR="00C640D3" w:rsidRPr="00173792" w:rsidRDefault="00C640D3" w:rsidP="00C640D3">
      <w:pPr>
        <w:spacing w:after="0" w:line="276" w:lineRule="auto"/>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Jefe Oficina de Control Disciplinario Interno </w:t>
      </w:r>
    </w:p>
    <w:p w14:paraId="765C6E3C" w14:textId="7F0C07C0" w:rsidR="00C640D3" w:rsidRPr="00173792" w:rsidRDefault="00C640D3" w:rsidP="00C640D3">
      <w:pPr>
        <w:spacing w:after="0" w:line="276" w:lineRule="auto"/>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Subred Integrada de Servicios de Salud Sur Occidente E.S.E </w:t>
      </w:r>
    </w:p>
    <w:p w14:paraId="52FDFC9D" w14:textId="08333288" w:rsidR="00C640D3" w:rsidRPr="00173792" w:rsidRDefault="00C640D3" w:rsidP="00C640D3">
      <w:pPr>
        <w:spacing w:after="0" w:line="276" w:lineRule="auto"/>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Bogotá, D.C.</w:t>
      </w:r>
    </w:p>
    <w:p w14:paraId="74D106F2" w14:textId="77777777" w:rsidR="00C640D3" w:rsidRPr="00173792" w:rsidRDefault="00C640D3" w:rsidP="00C640D3">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640D3" w:rsidRPr="00173792" w14:paraId="4297543A" w14:textId="77777777" w:rsidTr="00A47326">
        <w:trPr>
          <w:trHeight w:val="300"/>
        </w:trPr>
        <w:tc>
          <w:tcPr>
            <w:tcW w:w="2410" w:type="dxa"/>
          </w:tcPr>
          <w:p w14:paraId="1204720B" w14:textId="77777777" w:rsidR="00C640D3" w:rsidRPr="00173792" w:rsidRDefault="00C640D3" w:rsidP="00A47326">
            <w:pPr>
              <w:ind w:left="-142"/>
              <w:jc w:val="both"/>
              <w:rPr>
                <w:rFonts w:ascii="Verdana" w:eastAsia="Calibri" w:hAnsi="Verdana" w:cs="Arial"/>
                <w:b/>
                <w:bCs/>
                <w:color w:val="000000" w:themeColor="text1"/>
                <w:lang w:val="es-ES" w:eastAsia="es-ES_tradnl"/>
              </w:rPr>
            </w:pPr>
          </w:p>
        </w:tc>
        <w:tc>
          <w:tcPr>
            <w:tcW w:w="6100" w:type="dxa"/>
          </w:tcPr>
          <w:p w14:paraId="4F97DAD9" w14:textId="33F26509" w:rsidR="00C640D3" w:rsidRPr="00173792" w:rsidRDefault="00C640D3" w:rsidP="00A47326">
            <w:pPr>
              <w:jc w:val="both"/>
              <w:rPr>
                <w:rFonts w:ascii="Verdana" w:eastAsia="Calibri" w:hAnsi="Verdana" w:cs="Arial"/>
                <w:b/>
                <w:bCs/>
                <w:color w:val="000000" w:themeColor="text1"/>
                <w:lang w:val="es-ES" w:eastAsia="es-ES"/>
              </w:rPr>
            </w:pPr>
          </w:p>
          <w:p w14:paraId="0FB3A248" w14:textId="77777777" w:rsidR="00C640D3" w:rsidRPr="00173792" w:rsidRDefault="00C640D3" w:rsidP="00A47326">
            <w:pPr>
              <w:ind w:left="3"/>
              <w:jc w:val="both"/>
              <w:rPr>
                <w:rFonts w:ascii="Verdana" w:eastAsia="Calibri" w:hAnsi="Verdana" w:cs="Arial"/>
                <w:b/>
                <w:bCs/>
                <w:color w:val="000000" w:themeColor="text1"/>
                <w:lang w:val="es-ES" w:eastAsia="es-ES"/>
              </w:rPr>
            </w:pPr>
            <w:r w:rsidRPr="00173792">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103</w:t>
            </w:r>
            <w:r w:rsidRPr="00173792">
              <w:rPr>
                <w:rFonts w:ascii="Verdana" w:eastAsia="Calibri" w:hAnsi="Verdana" w:cs="Arial"/>
                <w:b/>
                <w:bCs/>
                <w:color w:val="000000" w:themeColor="text1"/>
                <w:lang w:val="es-ES" w:eastAsia="es-ES"/>
              </w:rPr>
              <w:t xml:space="preserve"> de 2026</w:t>
            </w:r>
          </w:p>
          <w:p w14:paraId="796569C3" w14:textId="77777777" w:rsidR="00C640D3" w:rsidRPr="00173792" w:rsidRDefault="00C640D3" w:rsidP="00A47326">
            <w:pPr>
              <w:ind w:left="3"/>
              <w:jc w:val="both"/>
              <w:rPr>
                <w:rFonts w:ascii="Verdana" w:eastAsia="Calibri" w:hAnsi="Verdana" w:cs="Arial"/>
                <w:b/>
                <w:bCs/>
                <w:color w:val="000000" w:themeColor="text1"/>
                <w:lang w:val="es-ES" w:eastAsia="es-ES"/>
              </w:rPr>
            </w:pPr>
          </w:p>
        </w:tc>
      </w:tr>
      <w:tr w:rsidR="00C640D3" w:rsidRPr="00173792" w14:paraId="4F504D57" w14:textId="77777777" w:rsidTr="00A47326">
        <w:trPr>
          <w:trHeight w:val="300"/>
        </w:trPr>
        <w:tc>
          <w:tcPr>
            <w:tcW w:w="2410" w:type="dxa"/>
          </w:tcPr>
          <w:p w14:paraId="42870E9C" w14:textId="77777777" w:rsidR="00C640D3" w:rsidRPr="00173792" w:rsidRDefault="00C640D3" w:rsidP="00A47326">
            <w:pPr>
              <w:ind w:left="424" w:firstLine="142"/>
              <w:jc w:val="both"/>
              <w:rPr>
                <w:rFonts w:ascii="Verdana" w:eastAsia="Calibri" w:hAnsi="Verdana" w:cs="Arial"/>
                <w:color w:val="000000" w:themeColor="text1"/>
                <w:lang w:val="es-ES" w:eastAsia="es-ES_tradnl"/>
              </w:rPr>
            </w:pPr>
            <w:r w:rsidRPr="00173792">
              <w:rPr>
                <w:rFonts w:ascii="Verdana" w:eastAsia="Calibri" w:hAnsi="Verdana" w:cs="Arial"/>
                <w:b/>
                <w:color w:val="000000" w:themeColor="text1"/>
                <w:lang w:val="es-ES" w:eastAsia="es-ES_tradnl"/>
              </w:rPr>
              <w:t>Temas:</w:t>
            </w:r>
            <w:r w:rsidRPr="00173792">
              <w:rPr>
                <w:rFonts w:ascii="Verdana" w:eastAsia="Calibri" w:hAnsi="Verdana" w:cs="Arial"/>
                <w:color w:val="000000" w:themeColor="text1"/>
                <w:lang w:val="es-ES" w:eastAsia="es-ES_tradnl"/>
              </w:rPr>
              <w:t xml:space="preserve">                  </w:t>
            </w:r>
          </w:p>
        </w:tc>
        <w:tc>
          <w:tcPr>
            <w:tcW w:w="6100" w:type="dxa"/>
          </w:tcPr>
          <w:p w14:paraId="524852D5" w14:textId="77777777" w:rsidR="00C640D3" w:rsidRPr="00173792" w:rsidRDefault="00C640D3" w:rsidP="00A47326">
            <w:pPr>
              <w:spacing w:line="276" w:lineRule="auto"/>
              <w:jc w:val="both"/>
              <w:rPr>
                <w:rFonts w:ascii="Verdana" w:eastAsia="Arial" w:hAnsi="Verdana" w:cs="Arial"/>
                <w:bCs/>
                <w:color w:val="000000" w:themeColor="text1"/>
                <w:lang w:val="es-ES"/>
              </w:rPr>
            </w:pPr>
            <w:r w:rsidRPr="00173792">
              <w:rPr>
                <w:rFonts w:ascii="Verdana" w:eastAsia="Calibri" w:hAnsi="Verdana" w:cs="Arial"/>
                <w:color w:val="000000" w:themeColor="text1"/>
                <w:szCs w:val="24"/>
                <w:lang w:val="es-ES" w:eastAsia="es-ES_tradnl"/>
              </w:rPr>
              <w:t>CONTRATOS DE PRESTACIÓN DE SERVICIOS –Generalidades</w:t>
            </w:r>
            <w:r>
              <w:rPr>
                <w:rFonts w:ascii="Verdana" w:eastAsia="Calibri" w:hAnsi="Verdana" w:cs="Arial"/>
                <w:color w:val="000000" w:themeColor="text1"/>
                <w:szCs w:val="24"/>
                <w:lang w:val="es-ES" w:eastAsia="es-ES_tradnl"/>
              </w:rPr>
              <w:t xml:space="preserve"> / </w:t>
            </w:r>
            <w:r w:rsidRPr="00173792">
              <w:rPr>
                <w:rFonts w:ascii="Verdana" w:eastAsia="Calibri" w:hAnsi="Verdana" w:cs="Arial"/>
                <w:color w:val="000000" w:themeColor="text1"/>
                <w:szCs w:val="24"/>
                <w:lang w:val="es-ES" w:eastAsia="es-ES_tradnl"/>
              </w:rPr>
              <w:t>CONTRATOS DE PRESTACIÓN DE SERVICIOS</w:t>
            </w:r>
            <w:r>
              <w:rPr>
                <w:rFonts w:ascii="Verdana" w:eastAsia="Calibri" w:hAnsi="Verdana" w:cs="Arial"/>
                <w:color w:val="000000" w:themeColor="text1"/>
                <w:szCs w:val="24"/>
                <w:lang w:val="es-ES" w:eastAsia="es-ES_tradnl"/>
              </w:rPr>
              <w:t xml:space="preserve"> </w:t>
            </w:r>
            <w:r w:rsidRPr="00173792">
              <w:rPr>
                <w:rFonts w:ascii="Verdana" w:eastAsia="Calibri" w:hAnsi="Verdana" w:cs="Arial"/>
                <w:color w:val="000000" w:themeColor="text1"/>
                <w:szCs w:val="24"/>
                <w:lang w:val="es-ES" w:eastAsia="es-ES_tradnl"/>
              </w:rPr>
              <w:t>–</w:t>
            </w:r>
            <w:r>
              <w:rPr>
                <w:rFonts w:ascii="Verdana" w:eastAsia="Calibri" w:hAnsi="Verdana" w:cs="Arial"/>
                <w:color w:val="000000" w:themeColor="text1"/>
                <w:szCs w:val="24"/>
                <w:lang w:val="es-ES" w:eastAsia="es-ES_tradnl"/>
              </w:rPr>
              <w:t xml:space="preserve"> Diferencias con empleo público </w:t>
            </w:r>
            <w:r w:rsidRPr="00173792">
              <w:rPr>
                <w:rFonts w:ascii="Verdana" w:eastAsia="Calibri" w:hAnsi="Verdana" w:cs="Arial"/>
                <w:color w:val="000000" w:themeColor="text1"/>
                <w:szCs w:val="24"/>
                <w:lang w:val="es-ES" w:eastAsia="es-ES_tradnl"/>
              </w:rPr>
              <w:t>–</w:t>
            </w:r>
            <w:r>
              <w:rPr>
                <w:rFonts w:ascii="Verdana" w:eastAsia="Calibri" w:hAnsi="Verdana" w:cs="Arial"/>
                <w:color w:val="000000" w:themeColor="text1"/>
                <w:szCs w:val="24"/>
                <w:lang w:val="es-ES" w:eastAsia="es-ES_tradnl"/>
              </w:rPr>
              <w:t xml:space="preserve"> Ascensos</w:t>
            </w:r>
          </w:p>
          <w:p w14:paraId="3B9E9F41" w14:textId="77777777" w:rsidR="00C640D3" w:rsidRPr="00173792" w:rsidRDefault="00C640D3" w:rsidP="00A47326">
            <w:pPr>
              <w:spacing w:line="276" w:lineRule="auto"/>
              <w:jc w:val="both"/>
              <w:rPr>
                <w:rFonts w:ascii="Verdana" w:eastAsia="Calibri" w:hAnsi="Verdana" w:cs="Arial"/>
                <w:color w:val="000000" w:themeColor="text1"/>
                <w:lang w:val="es-ES" w:eastAsia="es-ES"/>
              </w:rPr>
            </w:pPr>
          </w:p>
        </w:tc>
      </w:tr>
      <w:tr w:rsidR="00C640D3" w:rsidRPr="00173792" w14:paraId="65DACC61" w14:textId="77777777" w:rsidTr="00A47326">
        <w:tc>
          <w:tcPr>
            <w:tcW w:w="2410" w:type="dxa"/>
          </w:tcPr>
          <w:p w14:paraId="56B3DC72" w14:textId="77777777" w:rsidR="00C640D3" w:rsidRPr="00173792" w:rsidRDefault="00C640D3" w:rsidP="00A47326">
            <w:pPr>
              <w:ind w:left="561"/>
              <w:jc w:val="both"/>
              <w:rPr>
                <w:rFonts w:ascii="Verdana" w:eastAsia="Calibri" w:hAnsi="Verdana" w:cs="Arial"/>
                <w:b/>
                <w:bCs/>
                <w:color w:val="000000" w:themeColor="text1"/>
                <w:lang w:val="es-ES" w:eastAsia="es-ES"/>
              </w:rPr>
            </w:pPr>
            <w:r w:rsidRPr="00173792">
              <w:rPr>
                <w:rFonts w:ascii="Verdana" w:eastAsia="Calibri" w:hAnsi="Verdana" w:cs="Arial"/>
                <w:b/>
                <w:bCs/>
                <w:color w:val="000000" w:themeColor="text1"/>
                <w:lang w:val="es-ES" w:eastAsia="es-ES"/>
              </w:rPr>
              <w:t xml:space="preserve">Radicación:              </w:t>
            </w:r>
          </w:p>
        </w:tc>
        <w:tc>
          <w:tcPr>
            <w:tcW w:w="6100" w:type="dxa"/>
          </w:tcPr>
          <w:p w14:paraId="4D1CD316" w14:textId="77777777" w:rsidR="00C640D3" w:rsidRPr="00173792" w:rsidRDefault="00C640D3" w:rsidP="00A47326">
            <w:pPr>
              <w:ind w:left="3"/>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Respuesta a consulta con radicado No. 1_2026_01_26_000834 </w:t>
            </w:r>
          </w:p>
        </w:tc>
      </w:tr>
    </w:tbl>
    <w:p w14:paraId="15DF99D4" w14:textId="77777777" w:rsidR="00C640D3" w:rsidRPr="00173792" w:rsidRDefault="00C640D3" w:rsidP="00C640D3">
      <w:pPr>
        <w:spacing w:after="0" w:line="276" w:lineRule="auto"/>
        <w:jc w:val="both"/>
        <w:rPr>
          <w:rFonts w:ascii="Verdana" w:eastAsia="Calibri" w:hAnsi="Verdana" w:cs="Arial"/>
          <w:color w:val="000000" w:themeColor="text1"/>
          <w:lang w:val="es-ES" w:eastAsia="es-ES"/>
        </w:rPr>
      </w:pPr>
    </w:p>
    <w:p w14:paraId="3E1D25C5" w14:textId="77777777" w:rsidR="00C640D3" w:rsidRPr="00173792" w:rsidRDefault="00C640D3" w:rsidP="00C640D3">
      <w:pPr>
        <w:spacing w:after="0" w:line="276" w:lineRule="auto"/>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Estimada </w:t>
      </w:r>
      <w:r>
        <w:rPr>
          <w:rFonts w:ascii="Verdana" w:eastAsia="Calibri" w:hAnsi="Verdana" w:cs="Arial"/>
          <w:color w:val="000000" w:themeColor="text1"/>
          <w:lang w:val="es-ES" w:eastAsia="es-ES"/>
        </w:rPr>
        <w:t>Doctora</w:t>
      </w:r>
      <w:r w:rsidRPr="00173792">
        <w:rPr>
          <w:rFonts w:ascii="Verdana" w:eastAsia="Calibri" w:hAnsi="Verdana" w:cs="Arial"/>
          <w:color w:val="000000" w:themeColor="text1"/>
          <w:lang w:val="es-ES" w:eastAsia="es-ES"/>
        </w:rPr>
        <w:t xml:space="preserve"> Durán: </w:t>
      </w:r>
    </w:p>
    <w:p w14:paraId="7F3EC28A" w14:textId="77777777" w:rsidR="00C640D3" w:rsidRPr="00173792" w:rsidRDefault="00C640D3" w:rsidP="00C640D3">
      <w:pPr>
        <w:tabs>
          <w:tab w:val="left" w:pos="3768"/>
        </w:tabs>
        <w:spacing w:after="0" w:line="276" w:lineRule="auto"/>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ab/>
      </w:r>
    </w:p>
    <w:p w14:paraId="25BA2F61" w14:textId="77777777" w:rsidR="00C640D3" w:rsidRPr="00173792" w:rsidRDefault="00C640D3" w:rsidP="00C640D3">
      <w:pPr>
        <w:spacing w:after="0" w:line="276" w:lineRule="auto"/>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En ejercicio de la competencia otorgada por los artículos 3, numeral 5º, y 11, numeral 8º, del Decreto Ley 4170 de 2011,</w:t>
      </w:r>
      <w:r w:rsidRPr="00173792">
        <w:rPr>
          <w:rFonts w:ascii="Verdana" w:eastAsia="Arial MT" w:hAnsi="Verdana" w:cs="Arial MT"/>
          <w:color w:val="000000" w:themeColor="text1"/>
          <w:lang w:val="es-ES" w:eastAsia="es-ES"/>
        </w:rPr>
        <w:t xml:space="preserve"> </w:t>
      </w:r>
      <w:r w:rsidRPr="00173792">
        <w:rPr>
          <w:rFonts w:ascii="Verdana" w:hAnsi="Verdana" w:cs="Arial"/>
          <w:color w:val="000000" w:themeColor="text1"/>
          <w:lang w:val="es-ES"/>
        </w:rPr>
        <w:t xml:space="preserve">así como lo establecido en el artículo 4 de la Resolución 1707 de 2018 expedida por esta Entidad, </w:t>
      </w:r>
      <w:r w:rsidRPr="00173792">
        <w:rPr>
          <w:rFonts w:ascii="Verdana" w:eastAsia="Calibri" w:hAnsi="Verdana" w:cs="Arial"/>
          <w:color w:val="000000" w:themeColor="text1"/>
          <w:lang w:val="es-ES" w:eastAsia="es-ES"/>
        </w:rPr>
        <w:t xml:space="preserve">la Agencia Nacional de Contratación Pública – Colombia Compra Eficiente– responde su solicitud de consulta de fecha 26 de enero de 2026, en la cual manifiesta lo siguiente: </w:t>
      </w:r>
    </w:p>
    <w:p w14:paraId="72B870D4" w14:textId="77777777" w:rsidR="00C640D3" w:rsidRPr="00173792" w:rsidRDefault="00C640D3" w:rsidP="00C640D3">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8CD77FE" w14:textId="77777777" w:rsidR="00C640D3" w:rsidRPr="00173792" w:rsidRDefault="00C640D3" w:rsidP="00C640D3">
      <w:pPr>
        <w:spacing w:after="0"/>
        <w:ind w:left="709" w:right="709"/>
        <w:jc w:val="both"/>
        <w:rPr>
          <w:rFonts w:ascii="Verdana" w:eastAsia="Century Gothic" w:hAnsi="Verdana" w:cs="Century Gothic"/>
          <w:i/>
          <w:color w:val="000000" w:themeColor="text1"/>
          <w:sz w:val="20"/>
          <w:szCs w:val="20"/>
          <w:lang w:val="es-ES"/>
        </w:rPr>
      </w:pPr>
      <w:r w:rsidRPr="00173792">
        <w:rPr>
          <w:rFonts w:ascii="Verdana" w:eastAsia="Century Gothic" w:hAnsi="Verdana" w:cs="Century Gothic"/>
          <w:i/>
          <w:color w:val="000000" w:themeColor="text1"/>
          <w:sz w:val="20"/>
          <w:szCs w:val="20"/>
          <w:lang w:val="es-ES"/>
        </w:rPr>
        <w:t xml:space="preserve">“[…] Emita concepto y/o aporte los pronunciamientos ya realizados: “sobre la legalidad de procesos de "ascenso" en contratos de </w:t>
      </w:r>
      <w:proofErr w:type="spellStart"/>
      <w:r w:rsidRPr="00173792">
        <w:rPr>
          <w:rFonts w:ascii="Verdana" w:eastAsia="Century Gothic" w:hAnsi="Verdana" w:cs="Century Gothic"/>
          <w:i/>
          <w:color w:val="000000" w:themeColor="text1"/>
          <w:sz w:val="20"/>
          <w:szCs w:val="20"/>
          <w:lang w:val="es-ES"/>
        </w:rPr>
        <w:t>prestación</w:t>
      </w:r>
      <w:proofErr w:type="spellEnd"/>
      <w:r w:rsidRPr="00173792">
        <w:rPr>
          <w:rFonts w:ascii="Verdana" w:eastAsia="Century Gothic" w:hAnsi="Verdana" w:cs="Century Gothic"/>
          <w:i/>
          <w:color w:val="000000" w:themeColor="text1"/>
          <w:sz w:val="20"/>
          <w:szCs w:val="20"/>
          <w:lang w:val="es-ES"/>
        </w:rPr>
        <w:t xml:space="preserve"> de servicios, considerando que el ascenso es una figura propia de la carrera administrativa y no de la contratación estatal”; en cuanto a los cargos, vacantes o empleos </w:t>
      </w:r>
      <w:proofErr w:type="spellStart"/>
      <w:r w:rsidRPr="00173792">
        <w:rPr>
          <w:rFonts w:ascii="Verdana" w:eastAsia="Century Gothic" w:hAnsi="Verdana" w:cs="Century Gothic"/>
          <w:i/>
          <w:color w:val="000000" w:themeColor="text1"/>
          <w:sz w:val="20"/>
          <w:szCs w:val="20"/>
          <w:lang w:val="es-ES"/>
        </w:rPr>
        <w:t>públicos</w:t>
      </w:r>
      <w:proofErr w:type="spellEnd"/>
      <w:r w:rsidRPr="00173792">
        <w:rPr>
          <w:rFonts w:ascii="Verdana" w:eastAsia="Century Gothic" w:hAnsi="Verdana" w:cs="Century Gothic"/>
          <w:i/>
          <w:color w:val="000000" w:themeColor="text1"/>
          <w:sz w:val="20"/>
          <w:szCs w:val="20"/>
          <w:lang w:val="es-ES"/>
        </w:rPr>
        <w:t xml:space="preserve"> en dicha modalidad de contratación, que puedan ser ofertados por la </w:t>
      </w:r>
      <w:proofErr w:type="spellStart"/>
      <w:r w:rsidRPr="00173792">
        <w:rPr>
          <w:rFonts w:ascii="Verdana" w:eastAsia="Century Gothic" w:hAnsi="Verdana" w:cs="Century Gothic"/>
          <w:i/>
          <w:color w:val="000000" w:themeColor="text1"/>
          <w:sz w:val="20"/>
          <w:szCs w:val="20"/>
          <w:lang w:val="es-ES"/>
        </w:rPr>
        <w:t>administración</w:t>
      </w:r>
      <w:proofErr w:type="spellEnd"/>
      <w:r w:rsidRPr="00173792">
        <w:rPr>
          <w:rFonts w:ascii="Verdana" w:hAnsi="Verdana"/>
          <w:sz w:val="20"/>
          <w:szCs w:val="20"/>
          <w:lang w:val="es-ES"/>
        </w:rPr>
        <w:t>”</w:t>
      </w:r>
    </w:p>
    <w:p w14:paraId="6D81123A" w14:textId="77777777" w:rsidR="00C640D3" w:rsidRPr="00173792" w:rsidRDefault="00C640D3" w:rsidP="00C640D3">
      <w:pPr>
        <w:spacing w:after="0" w:line="276" w:lineRule="auto"/>
        <w:ind w:right="709"/>
        <w:jc w:val="both"/>
        <w:rPr>
          <w:rFonts w:ascii="Verdana" w:eastAsia="Calibri" w:hAnsi="Verdana" w:cs="Arial"/>
          <w:lang w:val="es-ES"/>
        </w:rPr>
      </w:pPr>
    </w:p>
    <w:p w14:paraId="0BA53BCD" w14:textId="77777777" w:rsidR="00C640D3" w:rsidRPr="00173792" w:rsidRDefault="00C640D3" w:rsidP="00C640D3">
      <w:pPr>
        <w:spacing w:after="120" w:line="276" w:lineRule="auto"/>
        <w:ind w:firstLine="708"/>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173792">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3792">
        <w:rPr>
          <w:lang w:val="es-ES"/>
        </w:rPr>
        <w:tab/>
      </w:r>
    </w:p>
    <w:p w14:paraId="5CF3DD58" w14:textId="77777777" w:rsidR="00C640D3" w:rsidRPr="00173792" w:rsidRDefault="00C640D3" w:rsidP="00C640D3">
      <w:pPr>
        <w:spacing w:after="0" w:line="276" w:lineRule="auto"/>
        <w:ind w:firstLine="709"/>
        <w:jc w:val="both"/>
        <w:rPr>
          <w:rFonts w:ascii="Verdana" w:eastAsia="Calibri" w:hAnsi="Verdana" w:cs="Arial"/>
          <w:color w:val="000000" w:themeColor="text1"/>
          <w:lang w:val="es-ES" w:eastAsia="es-ES"/>
        </w:rPr>
      </w:pPr>
      <w:r w:rsidRPr="0017379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17379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173792">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173792">
        <w:rPr>
          <w:rFonts w:ascii="Verdana" w:eastAsia="Calibri" w:hAnsi="Verdana" w:cs="Arial"/>
          <w:color w:val="000000" w:themeColor="text1"/>
          <w:lang w:val="es-ES" w:eastAsia="es-ES"/>
        </w:rPr>
        <w:t xml:space="preserve"> de su consulta. </w:t>
      </w:r>
    </w:p>
    <w:p w14:paraId="127F69D0" w14:textId="77777777" w:rsidR="00C640D3" w:rsidRPr="00173792" w:rsidRDefault="00C640D3" w:rsidP="00C640D3">
      <w:pPr>
        <w:spacing w:after="0" w:line="276" w:lineRule="auto"/>
        <w:jc w:val="both"/>
        <w:rPr>
          <w:rFonts w:ascii="Verdana" w:eastAsia="Calibri" w:hAnsi="Verdana" w:cs="Arial"/>
          <w:color w:val="000000" w:themeColor="text1"/>
          <w:lang w:val="es-ES" w:eastAsia="es-ES"/>
        </w:rPr>
      </w:pPr>
    </w:p>
    <w:p w14:paraId="3D0B192B" w14:textId="77777777" w:rsidR="00C640D3" w:rsidRPr="00173792" w:rsidRDefault="00C640D3" w:rsidP="00C640D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173792">
        <w:rPr>
          <w:rFonts w:ascii="Verdana" w:eastAsia="Century Gothic" w:hAnsi="Verdana" w:cs="Century Gothic"/>
          <w:b/>
          <w:color w:val="000000" w:themeColor="text1"/>
        </w:rPr>
        <w:t>Problema planteado:</w:t>
      </w:r>
    </w:p>
    <w:p w14:paraId="6DD160D5" w14:textId="77777777" w:rsidR="00C640D3" w:rsidRPr="00173792" w:rsidRDefault="00C640D3" w:rsidP="00C640D3">
      <w:pPr>
        <w:tabs>
          <w:tab w:val="left" w:pos="426"/>
        </w:tabs>
        <w:spacing w:after="0" w:line="276" w:lineRule="auto"/>
        <w:jc w:val="both"/>
        <w:rPr>
          <w:rFonts w:ascii="Verdana" w:eastAsia="Century Gothic" w:hAnsi="Verdana" w:cs="Century Gothic"/>
          <w:color w:val="000000" w:themeColor="text1"/>
          <w:lang w:val="es-ES"/>
        </w:rPr>
      </w:pPr>
    </w:p>
    <w:p w14:paraId="147CBFE5" w14:textId="77777777" w:rsidR="00C640D3" w:rsidRPr="00173792" w:rsidRDefault="00C640D3" w:rsidP="00C640D3">
      <w:pPr>
        <w:spacing w:after="0" w:line="276" w:lineRule="auto"/>
        <w:jc w:val="both"/>
        <w:rPr>
          <w:rFonts w:ascii="Verdana" w:eastAsia="Century Gothic" w:hAnsi="Verdana" w:cs="Century Gothic"/>
          <w:color w:val="000000" w:themeColor="text1"/>
          <w:lang w:val="es-ES"/>
        </w:rPr>
      </w:pPr>
      <w:r w:rsidRPr="00173792">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173792">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173792">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173792">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173792">
        <w:rPr>
          <w:rFonts w:ascii="Verdana" w:eastAsia="Century Gothic" w:hAnsi="Verdana" w:cs="Century Gothic"/>
          <w:color w:val="000000" w:themeColor="text1"/>
          <w:lang w:val="es-ES"/>
        </w:rPr>
        <w:t>: ¿</w:t>
      </w:r>
      <w:r>
        <w:rPr>
          <w:rFonts w:ascii="Verdana" w:eastAsia="Century Gothic" w:hAnsi="Verdana" w:cs="Century Gothic"/>
          <w:color w:val="000000" w:themeColor="text1"/>
          <w:lang w:val="es-ES"/>
        </w:rPr>
        <w:t>c</w:t>
      </w:r>
      <w:r w:rsidRPr="00173792">
        <w:rPr>
          <w:rFonts w:ascii="Verdana" w:eastAsia="Century Gothic" w:hAnsi="Verdana" w:cs="Century Gothic"/>
          <w:color w:val="000000" w:themeColor="text1"/>
          <w:lang w:val="es-ES"/>
        </w:rPr>
        <w:t>uál es el marco jurídico los contratos de prestación de servicios?</w:t>
      </w:r>
      <w:r>
        <w:rPr>
          <w:rFonts w:ascii="Verdana" w:eastAsia="Century Gothic" w:hAnsi="Verdana" w:cs="Century Gothic"/>
          <w:color w:val="000000" w:themeColor="text1"/>
          <w:lang w:val="es-ES"/>
        </w:rPr>
        <w:t xml:space="preserve"> y ¿son procedentes los ascensos en estos contratos?</w:t>
      </w:r>
    </w:p>
    <w:p w14:paraId="10DA790E" w14:textId="77777777" w:rsidR="00C640D3" w:rsidRPr="00173792" w:rsidRDefault="00C640D3" w:rsidP="00C640D3">
      <w:pPr>
        <w:spacing w:after="0" w:line="276" w:lineRule="auto"/>
        <w:jc w:val="both"/>
        <w:rPr>
          <w:rFonts w:ascii="Verdana" w:eastAsia="Calibri" w:hAnsi="Verdana" w:cs="Arial"/>
          <w:color w:val="000000" w:themeColor="text1"/>
          <w:lang w:val="es-ES"/>
        </w:rPr>
      </w:pPr>
    </w:p>
    <w:p w14:paraId="2862BECB" w14:textId="77777777" w:rsidR="00C640D3" w:rsidRPr="00173792" w:rsidRDefault="00C640D3" w:rsidP="00C640D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173792">
        <w:rPr>
          <w:rFonts w:ascii="Verdana" w:eastAsia="Century Gothic" w:hAnsi="Verdana" w:cs="Century Gothic"/>
          <w:b/>
          <w:color w:val="000000" w:themeColor="text1"/>
        </w:rPr>
        <w:t>Respuesta:</w:t>
      </w:r>
    </w:p>
    <w:p w14:paraId="6F3E27C4" w14:textId="77777777" w:rsidR="00C640D3" w:rsidRPr="00173792" w:rsidRDefault="00C640D3" w:rsidP="00C640D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40D3" w:rsidRPr="00173792" w14:paraId="3AF52C60" w14:textId="77777777" w:rsidTr="00A47326">
        <w:tc>
          <w:tcPr>
            <w:tcW w:w="8828" w:type="dxa"/>
          </w:tcPr>
          <w:p w14:paraId="3E8888FB" w14:textId="77777777" w:rsidR="00C640D3" w:rsidRDefault="00C640D3" w:rsidP="00A47326">
            <w:pPr>
              <w:spacing w:before="120" w:after="120" w:line="276" w:lineRule="auto"/>
              <w:jc w:val="both"/>
              <w:rPr>
                <w:rFonts w:ascii="Verdana" w:hAnsi="Verdana" w:cs="Arial"/>
                <w:noProof/>
                <w:lang w:val="es-ES_tradnl"/>
              </w:rPr>
            </w:pPr>
            <w:r>
              <w:rPr>
                <w:rFonts w:ascii="Verdana" w:eastAsia="Times New Roman" w:hAnsi="Verdana" w:cs="Arial"/>
                <w:lang w:eastAsia="es-ES_tradnl"/>
              </w:rPr>
              <w:t>E</w:t>
            </w:r>
            <w:r w:rsidRPr="00580292">
              <w:rPr>
                <w:rFonts w:ascii="Verdana" w:eastAsia="Times New Roman" w:hAnsi="Verdana" w:cs="Arial"/>
                <w:lang w:eastAsia="es-ES_tradnl"/>
              </w:rPr>
              <w:t>l contrato de prestación de servicios es una tipología contractual regulada por el numeral 3 del artículo 32 de la Ley 80 de 1993</w:t>
            </w:r>
            <w:r>
              <w:rPr>
                <w:rFonts w:ascii="Verdana" w:hAnsi="Verdana" w:cs="Arial"/>
                <w:noProof/>
                <w:lang w:val="es-ES_tradnl"/>
              </w:rPr>
              <w:t>. S</w:t>
            </w:r>
            <w:r w:rsidRPr="008677DE">
              <w:rPr>
                <w:rFonts w:ascii="Verdana" w:hAnsi="Verdana" w:cs="Arial"/>
                <w:noProof/>
                <w:lang w:val="es-ES_tradnl"/>
              </w:rPr>
              <w:t xml:space="preserve">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CB59DF">
              <w:rPr>
                <w:rFonts w:ascii="Verdana" w:hAnsi="Verdana" w:cs="Arial"/>
                <w:iCs/>
                <w:noProof/>
                <w:lang w:val="es-ES_tradnl"/>
              </w:rPr>
              <w:t>subordinación ni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p>
          <w:p w14:paraId="16FBEBEA" w14:textId="77777777" w:rsidR="00C640D3" w:rsidRPr="00264193" w:rsidRDefault="00C640D3" w:rsidP="00A47326">
            <w:pPr>
              <w:spacing w:after="120" w:line="276" w:lineRule="auto"/>
              <w:ind w:firstLine="735"/>
              <w:jc w:val="both"/>
              <w:rPr>
                <w:rFonts w:ascii="Verdana" w:hAnsi="Verdana" w:cs="Arial"/>
                <w:noProof/>
                <w:lang w:val="es-ES_tradnl"/>
              </w:rPr>
            </w:pPr>
            <w:r w:rsidRPr="00173792">
              <w:rPr>
                <w:rFonts w:ascii="Verdana" w:hAnsi="Verdana" w:cs="Arial"/>
                <w:lang w:val="es-ES"/>
              </w:rPr>
              <w:t>Con respecto al alcance temporal y material de los contratos de prestación de servicios es importante resaltar que el inciso segundo del numeral 3 del artículo 32 de la Ley 80 de 1993 dispone que</w:t>
            </w:r>
            <w:r>
              <w:rPr>
                <w:rFonts w:ascii="Verdana" w:hAnsi="Verdana" w:cs="Arial"/>
                <w:lang w:val="es-ES"/>
              </w:rPr>
              <w:t xml:space="preserve"> e</w:t>
            </w:r>
            <w:r w:rsidRPr="00173792">
              <w:rPr>
                <w:rFonts w:ascii="Verdana" w:hAnsi="Verdana" w:cs="Arial"/>
                <w:lang w:val="es-ES"/>
              </w:rPr>
              <w:t xml:space="preserve">stos contratos </w:t>
            </w:r>
            <w:r w:rsidRPr="00173792">
              <w:rPr>
                <w:rFonts w:ascii="Verdana" w:hAnsi="Verdana" w:cs="Arial"/>
                <w:lang w:val="es-ES"/>
              </w:rPr>
              <w:lastRenderedPageBreak/>
              <w:t>sólo podrán celebrarse con personas naturales cuando dichas actividades no puedan realizarse con personal de planta o requieran conocimientos especializados.</w:t>
            </w:r>
            <w:r>
              <w:rPr>
                <w:rFonts w:ascii="Verdana" w:hAnsi="Verdana" w:cs="Arial"/>
                <w:lang w:val="es-ES"/>
              </w:rPr>
              <w:t xml:space="preserve"> Además, </w:t>
            </w:r>
            <w:r w:rsidRPr="00264193">
              <w:rPr>
                <w:rFonts w:ascii="Verdana" w:hAnsi="Verdana" w:cs="Arial"/>
                <w:lang w:val="es-ES"/>
              </w:rPr>
              <w:t>en</w:t>
            </w:r>
            <w:r w:rsidRPr="00173792">
              <w:rPr>
                <w:rFonts w:ascii="Verdana" w:hAnsi="Verdana" w:cs="Arial"/>
                <w:i/>
                <w:iCs/>
                <w:lang w:val="es-ES"/>
              </w:rPr>
              <w:t xml:space="preserve"> </w:t>
            </w:r>
            <w:r w:rsidRPr="002007BC">
              <w:rPr>
                <w:rFonts w:ascii="Verdana" w:hAnsi="Verdana" w:cs="Arial"/>
                <w:lang w:val="es-ES"/>
              </w:rPr>
              <w:t>ningún caso estos contratos generan relación laboral ni prestaciones sociales y se celebrarán por el término estrictamente indispensable</w:t>
            </w:r>
            <w:r>
              <w:rPr>
                <w:rFonts w:ascii="Verdana" w:hAnsi="Verdana" w:cs="Arial"/>
                <w:lang w:val="es-ES"/>
              </w:rPr>
              <w:t>.</w:t>
            </w:r>
          </w:p>
          <w:p w14:paraId="5996249B" w14:textId="77777777" w:rsidR="00C640D3" w:rsidRDefault="00C640D3" w:rsidP="00A47326">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la autonomía y voluntad de las partes.</w:t>
            </w:r>
            <w:r>
              <w:rPr>
                <w:rFonts w:ascii="Verdana" w:hAnsi="Verdana" w:cs="Arial"/>
                <w:lang w:val="es-ES"/>
              </w:rPr>
              <w:t xml:space="preserve"> </w:t>
            </w:r>
            <w:r w:rsidRPr="00173792">
              <w:rPr>
                <w:rFonts w:ascii="Verdana" w:hAnsi="Verdana" w:cs="Arial"/>
                <w:lang w:val="es-ES"/>
              </w:rPr>
              <w:t>De igual forma, el alcance y remuneración del contratista se ciñen a lo que al respecto establezca el contrato, pues deberá ejecutar las actividades que allí se señalen por el tiempo para ello pactado.</w:t>
            </w:r>
          </w:p>
          <w:p w14:paraId="70073BC7" w14:textId="77777777" w:rsidR="00C640D3" w:rsidRPr="00173792" w:rsidRDefault="00C640D3" w:rsidP="00A47326">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 xml:space="preserve"> En este sentido, la figura del “ascenso” </w:t>
            </w:r>
            <w:r>
              <w:rPr>
                <w:rFonts w:ascii="Verdana" w:hAnsi="Verdana" w:cs="Arial"/>
                <w:lang w:val="es-ES"/>
              </w:rPr>
              <w:t xml:space="preserve">que es </w:t>
            </w:r>
            <w:r w:rsidRPr="00173792">
              <w:rPr>
                <w:rFonts w:ascii="Verdana" w:hAnsi="Verdana" w:cs="Arial"/>
                <w:lang w:val="es-ES"/>
              </w:rPr>
              <w:t xml:space="preserve">aplicable en el marco jurídico que rige el empleo público y la carrera administrativa no es </w:t>
            </w:r>
            <w:r>
              <w:rPr>
                <w:rFonts w:ascii="Verdana" w:hAnsi="Verdana" w:cs="Arial"/>
                <w:lang w:val="es-ES"/>
              </w:rPr>
              <w:t>extensible al régimen del contrato de prestación de servicios</w:t>
            </w:r>
            <w:r w:rsidRPr="00173792">
              <w:rPr>
                <w:rFonts w:ascii="Verdana" w:hAnsi="Verdana" w:cs="Arial"/>
                <w:lang w:val="es-ES"/>
              </w:rPr>
              <w:t xml:space="preserve">. Esto se debe a que el ascenso es una institución que supone la progresión </w:t>
            </w:r>
            <w:r>
              <w:rPr>
                <w:rFonts w:ascii="Verdana" w:hAnsi="Verdana" w:cs="Arial"/>
                <w:lang w:val="es-ES"/>
              </w:rPr>
              <w:t xml:space="preserve">jerárquica </w:t>
            </w:r>
            <w:r w:rsidRPr="00173792">
              <w:rPr>
                <w:rFonts w:ascii="Verdana" w:hAnsi="Verdana" w:cs="Arial"/>
                <w:lang w:val="es-ES"/>
              </w:rPr>
              <w:t xml:space="preserve">como parte de </w:t>
            </w:r>
            <w:r>
              <w:rPr>
                <w:rFonts w:ascii="Verdana" w:hAnsi="Verdana" w:cs="Arial"/>
                <w:lang w:val="es-ES"/>
              </w:rPr>
              <w:t>l</w:t>
            </w:r>
            <w:r w:rsidRPr="00173792">
              <w:rPr>
                <w:rFonts w:ascii="Verdana" w:hAnsi="Verdana" w:cs="Arial"/>
                <w:lang w:val="es-ES"/>
              </w:rPr>
              <w:t>a planta de personal</w:t>
            </w:r>
            <w:r>
              <w:rPr>
                <w:rFonts w:ascii="Verdana" w:hAnsi="Verdana" w:cs="Arial"/>
                <w:lang w:val="es-ES"/>
              </w:rPr>
              <w:t xml:space="preserve"> de una entidad</w:t>
            </w:r>
            <w:r w:rsidRPr="00173792">
              <w:rPr>
                <w:rFonts w:ascii="Verdana" w:hAnsi="Verdana" w:cs="Arial"/>
                <w:lang w:val="es-ES"/>
              </w:rPr>
              <w:t xml:space="preserve">. Este supuesto no se encuentra presente en el marco de los contratos de prestación de servicios, pues el contratista no hace parte de </w:t>
            </w:r>
            <w:r>
              <w:rPr>
                <w:rFonts w:ascii="Verdana" w:hAnsi="Verdana" w:cs="Arial"/>
                <w:lang w:val="es-ES"/>
              </w:rPr>
              <w:t>l</w:t>
            </w:r>
            <w:r w:rsidRPr="00173792">
              <w:rPr>
                <w:rFonts w:ascii="Verdana" w:hAnsi="Verdana" w:cs="Arial"/>
                <w:lang w:val="es-ES"/>
              </w:rPr>
              <w:t xml:space="preserve">a planta personal de </w:t>
            </w:r>
            <w:r>
              <w:rPr>
                <w:rFonts w:ascii="Verdana" w:hAnsi="Verdana" w:cs="Arial"/>
                <w:lang w:val="es-ES"/>
              </w:rPr>
              <w:t>una</w:t>
            </w:r>
            <w:r w:rsidRPr="00173792">
              <w:rPr>
                <w:rFonts w:ascii="Verdana" w:hAnsi="Verdana" w:cs="Arial"/>
                <w:lang w:val="es-ES"/>
              </w:rPr>
              <w:t xml:space="preserve"> entidad en la cual pueda aumentar su rango jerárquico, funciones o remuneración de manera progresiva. A lo anterior se suma que son aspectos fundamentales de los contratos de prestación de servicios que no tengan por objeto el ejercicio de funciones propias y permanentes de la entidad, ni el ejercicio de funciones que puedan ser realizadas por el personal </w:t>
            </w:r>
            <w:r>
              <w:rPr>
                <w:rFonts w:ascii="Verdana" w:hAnsi="Verdana" w:cs="Arial"/>
                <w:lang w:val="es-ES"/>
              </w:rPr>
              <w:t>que conforma su</w:t>
            </w:r>
            <w:r w:rsidRPr="00173792">
              <w:rPr>
                <w:rFonts w:ascii="Verdana" w:hAnsi="Verdana" w:cs="Arial"/>
                <w:lang w:val="es-ES"/>
              </w:rPr>
              <w:t xml:space="preserve"> planta. </w:t>
            </w:r>
          </w:p>
          <w:p w14:paraId="608D2997" w14:textId="77777777" w:rsidR="00C640D3" w:rsidRDefault="00C640D3" w:rsidP="00A47326">
            <w:pPr>
              <w:autoSpaceDE w:val="0"/>
              <w:autoSpaceDN w:val="0"/>
              <w:adjustRightInd w:val="0"/>
              <w:spacing w:after="120" w:line="276" w:lineRule="auto"/>
              <w:ind w:firstLine="708"/>
              <w:jc w:val="both"/>
              <w:rPr>
                <w:rFonts w:ascii="Verdana" w:hAnsi="Verdana" w:cs="Arial"/>
                <w:lang w:val="es-ES"/>
              </w:rPr>
            </w:pPr>
            <w:r w:rsidRPr="00F4232D">
              <w:rPr>
                <w:rFonts w:ascii="Verdana" w:hAnsi="Verdana" w:cs="Arial"/>
                <w:lang w:val="es-ES"/>
              </w:rPr>
              <w:t>De acuerdo con los artículos 122</w:t>
            </w:r>
            <w:r w:rsidRPr="00173792">
              <w:rPr>
                <w:rStyle w:val="Refdenotaalpie"/>
                <w:rFonts w:ascii="Verdana" w:hAnsi="Verdana" w:cs="Arial"/>
                <w:lang w:val="es-ES"/>
              </w:rPr>
              <w:footnoteReference w:id="2"/>
            </w:r>
            <w:r w:rsidRPr="00F4232D">
              <w:rPr>
                <w:rFonts w:ascii="Verdana" w:hAnsi="Verdana" w:cs="Arial"/>
                <w:lang w:val="es-ES"/>
              </w:rPr>
              <w:t xml:space="preserve"> y 125</w:t>
            </w:r>
            <w:r w:rsidRPr="00173792">
              <w:rPr>
                <w:rStyle w:val="Refdenotaalpie"/>
                <w:rFonts w:ascii="Verdana" w:hAnsi="Verdana" w:cs="Arial"/>
                <w:lang w:val="es-ES"/>
              </w:rPr>
              <w:footnoteReference w:id="3"/>
            </w:r>
            <w:r w:rsidRPr="00F4232D">
              <w:rPr>
                <w:rFonts w:ascii="Verdana" w:hAnsi="Verdana" w:cs="Arial"/>
                <w:lang w:val="es-ES"/>
              </w:rPr>
              <w:t xml:space="preserve"> de la Constitución Política, </w:t>
            </w:r>
            <w:r w:rsidRPr="00173792">
              <w:rPr>
                <w:rFonts w:ascii="Verdana" w:hAnsi="Verdana" w:cs="Arial"/>
                <w:lang w:val="es-ES"/>
              </w:rPr>
              <w:t xml:space="preserve">el régimen </w:t>
            </w:r>
            <w:r w:rsidRPr="00F4232D">
              <w:rPr>
                <w:rFonts w:ascii="Verdana" w:hAnsi="Verdana" w:cs="Arial"/>
                <w:lang w:val="es-ES"/>
              </w:rPr>
              <w:t>jurídico</w:t>
            </w:r>
            <w:r w:rsidRPr="00173792">
              <w:rPr>
                <w:rFonts w:ascii="Verdana" w:hAnsi="Verdana" w:cs="Arial"/>
                <w:lang w:val="es-ES"/>
              </w:rPr>
              <w:t xml:space="preserve"> colombiano</w:t>
            </w:r>
            <w:r w:rsidRPr="00F4232D">
              <w:rPr>
                <w:rFonts w:ascii="Verdana" w:hAnsi="Verdana" w:cs="Arial"/>
                <w:lang w:val="es-ES"/>
              </w:rPr>
              <w:t xml:space="preserve"> </w:t>
            </w:r>
            <w:r w:rsidRPr="00173792">
              <w:rPr>
                <w:rFonts w:ascii="Verdana" w:hAnsi="Verdana" w:cs="Arial"/>
                <w:lang w:val="es-ES"/>
              </w:rPr>
              <w:t xml:space="preserve">prevé distintos tipos de vinculación entre personas y </w:t>
            </w:r>
            <w:r w:rsidRPr="00F4232D">
              <w:rPr>
                <w:rFonts w:ascii="Verdana" w:hAnsi="Verdana" w:cs="Arial"/>
                <w:lang w:val="es-ES"/>
              </w:rPr>
              <w:t xml:space="preserve">entidades del Estado </w:t>
            </w:r>
            <w:r w:rsidRPr="00173792">
              <w:rPr>
                <w:rFonts w:ascii="Verdana" w:hAnsi="Verdana" w:cs="Arial"/>
                <w:lang w:val="es-ES"/>
              </w:rPr>
              <w:t xml:space="preserve">que cuentan con elementos </w:t>
            </w:r>
            <w:r w:rsidRPr="00F4232D">
              <w:rPr>
                <w:rFonts w:ascii="Verdana" w:hAnsi="Verdana" w:cs="Arial"/>
                <w:lang w:val="es-ES"/>
              </w:rPr>
              <w:t>tipificadores</w:t>
            </w:r>
            <w:r w:rsidRPr="00173792">
              <w:rPr>
                <w:rFonts w:ascii="Verdana" w:hAnsi="Verdana" w:cs="Arial"/>
                <w:lang w:val="es-ES"/>
              </w:rPr>
              <w:t xml:space="preserve"> propios</w:t>
            </w:r>
            <w:r w:rsidRPr="00F4232D">
              <w:rPr>
                <w:rFonts w:ascii="Verdana" w:hAnsi="Verdana" w:cs="Arial"/>
                <w:lang w:val="es-ES"/>
              </w:rPr>
              <w:t>: a) los empleados públicos (</w:t>
            </w:r>
            <w:r w:rsidRPr="00173792">
              <w:rPr>
                <w:rFonts w:ascii="Verdana" w:hAnsi="Verdana" w:cs="Arial"/>
                <w:lang w:val="es-ES"/>
              </w:rPr>
              <w:t xml:space="preserve">cuya </w:t>
            </w:r>
            <w:r w:rsidRPr="00F4232D">
              <w:rPr>
                <w:rFonts w:ascii="Verdana" w:hAnsi="Verdana" w:cs="Arial"/>
                <w:lang w:val="es-ES"/>
              </w:rPr>
              <w:t>relación</w:t>
            </w:r>
            <w:r w:rsidRPr="00173792">
              <w:rPr>
                <w:rFonts w:ascii="Verdana" w:hAnsi="Verdana" w:cs="Arial"/>
                <w:lang w:val="es-ES"/>
              </w:rPr>
              <w:t xml:space="preserve"> es de carácter</w:t>
            </w:r>
            <w:r w:rsidRPr="00F4232D">
              <w:rPr>
                <w:rFonts w:ascii="Verdana" w:hAnsi="Verdana" w:cs="Arial"/>
                <w:lang w:val="es-ES"/>
              </w:rPr>
              <w:t xml:space="preserve"> legal y reglamentaria)</w:t>
            </w:r>
            <w:r w:rsidRPr="00173792">
              <w:rPr>
                <w:rFonts w:ascii="Verdana" w:hAnsi="Verdana" w:cs="Arial"/>
                <w:lang w:val="es-ES"/>
              </w:rPr>
              <w:t>,</w:t>
            </w:r>
            <w:r w:rsidRPr="00F4232D">
              <w:rPr>
                <w:rFonts w:ascii="Verdana" w:hAnsi="Verdana" w:cs="Arial"/>
                <w:lang w:val="es-ES"/>
              </w:rPr>
              <w:t xml:space="preserve"> b)</w:t>
            </w:r>
            <w:r w:rsidRPr="00173792">
              <w:rPr>
                <w:rFonts w:ascii="Verdana" w:hAnsi="Verdana" w:cs="Arial"/>
                <w:lang w:val="es-ES"/>
              </w:rPr>
              <w:t xml:space="preserve"> </w:t>
            </w:r>
            <w:r w:rsidRPr="00F4232D">
              <w:rPr>
                <w:rFonts w:ascii="Verdana" w:hAnsi="Verdana" w:cs="Arial"/>
                <w:lang w:val="es-ES"/>
              </w:rPr>
              <w:t>los trabajadores oficiales (</w:t>
            </w:r>
            <w:r w:rsidRPr="00173792">
              <w:rPr>
                <w:rFonts w:ascii="Verdana" w:hAnsi="Verdana" w:cs="Arial"/>
                <w:lang w:val="es-ES"/>
              </w:rPr>
              <w:t xml:space="preserve">que cuentan con una </w:t>
            </w:r>
            <w:r w:rsidRPr="00F4232D">
              <w:rPr>
                <w:rFonts w:ascii="Verdana" w:hAnsi="Verdana" w:cs="Arial"/>
                <w:lang w:val="es-ES"/>
              </w:rPr>
              <w:t>relación contractual laboral)</w:t>
            </w:r>
            <w:r w:rsidRPr="00173792">
              <w:rPr>
                <w:rFonts w:ascii="Verdana" w:hAnsi="Verdana" w:cs="Arial"/>
                <w:lang w:val="es-ES"/>
              </w:rPr>
              <w:t>,</w:t>
            </w:r>
            <w:r w:rsidRPr="00F4232D">
              <w:rPr>
                <w:rFonts w:ascii="Verdana" w:hAnsi="Verdana" w:cs="Arial"/>
                <w:lang w:val="es-ES"/>
              </w:rPr>
              <w:t xml:space="preserve"> y c) los contratistas de prestación de servicios (</w:t>
            </w:r>
            <w:r w:rsidRPr="00173792">
              <w:rPr>
                <w:rFonts w:ascii="Verdana" w:hAnsi="Verdana" w:cs="Arial"/>
                <w:lang w:val="es-ES"/>
              </w:rPr>
              <w:t xml:space="preserve">que se </w:t>
            </w:r>
            <w:r w:rsidRPr="00173792">
              <w:rPr>
                <w:rFonts w:ascii="Verdana" w:hAnsi="Verdana" w:cs="Arial"/>
                <w:lang w:val="es-ES"/>
              </w:rPr>
              <w:lastRenderedPageBreak/>
              <w:t xml:space="preserve">rigen por una </w:t>
            </w:r>
            <w:r w:rsidRPr="00F4232D">
              <w:rPr>
                <w:rFonts w:ascii="Verdana" w:hAnsi="Verdana" w:cs="Arial"/>
                <w:lang w:val="es-ES"/>
              </w:rPr>
              <w:t>relación contractual estatal</w:t>
            </w:r>
            <w:r>
              <w:rPr>
                <w:rFonts w:ascii="Verdana" w:hAnsi="Verdana" w:cs="Arial"/>
                <w:lang w:val="es-ES"/>
              </w:rPr>
              <w:t xml:space="preserve"> delimitada por el Estatuto General de Contratación de la Administración Pública</w:t>
            </w:r>
            <w:r w:rsidRPr="00F4232D">
              <w:rPr>
                <w:rFonts w:ascii="Verdana" w:hAnsi="Verdana" w:cs="Arial"/>
                <w:lang w:val="es-ES"/>
              </w:rPr>
              <w:t xml:space="preserve">). </w:t>
            </w:r>
            <w:r w:rsidRPr="00173792">
              <w:rPr>
                <w:rFonts w:ascii="Verdana" w:hAnsi="Verdana" w:cs="Arial"/>
                <w:lang w:val="es-ES"/>
              </w:rPr>
              <w:t>Este marco jurídico señala que el empleo público tendrá funciones detalladas en la le</w:t>
            </w:r>
            <w:r>
              <w:rPr>
                <w:rFonts w:ascii="Verdana" w:hAnsi="Verdana" w:cs="Arial"/>
                <w:lang w:val="es-ES"/>
              </w:rPr>
              <w:t>y</w:t>
            </w:r>
            <w:r w:rsidRPr="00173792">
              <w:rPr>
                <w:rFonts w:ascii="Verdana" w:hAnsi="Verdana" w:cs="Arial"/>
                <w:lang w:val="es-ES"/>
              </w:rPr>
              <w:t xml:space="preserve"> o reglamento para proveer aquellos que estén contemplados en la planta de las entidades, y enfatiza que los empleos públicos son de carrera, con excepciones precisas</w:t>
            </w:r>
            <w:r>
              <w:rPr>
                <w:rFonts w:ascii="Verdana" w:hAnsi="Verdana" w:cs="Arial"/>
                <w:lang w:val="es-ES"/>
              </w:rPr>
              <w:t>,</w:t>
            </w:r>
            <w:r w:rsidRPr="00173792">
              <w:rPr>
                <w:rFonts w:ascii="Verdana" w:hAnsi="Verdana" w:cs="Arial"/>
                <w:lang w:val="es-ES"/>
              </w:rPr>
              <w:t xml:space="preserve"> como los de elección popular, los de libre nombramiento y remoción, los trabajadores oficiales y los demás que señale el legislador. </w:t>
            </w:r>
          </w:p>
          <w:p w14:paraId="22818011" w14:textId="77777777" w:rsidR="00C640D3" w:rsidRPr="007414B9" w:rsidRDefault="00C640D3" w:rsidP="00A47326">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Adicionalmente, el Decreto 2400 de 1968, modificado por el Decreto 3074 del mismo año, dispone que</w:t>
            </w:r>
            <w:r>
              <w:rPr>
                <w:rFonts w:ascii="Verdana" w:hAnsi="Verdana" w:cs="Arial"/>
                <w:lang w:val="es-ES"/>
              </w:rPr>
              <w:t xml:space="preserve"> p</w:t>
            </w:r>
            <w:r w:rsidRPr="003C43F5">
              <w:rPr>
                <w:rFonts w:ascii="Verdana" w:hAnsi="Verdana" w:cs="Arial"/>
                <w:lang w:val="es-ES"/>
              </w:rPr>
              <w:t xml:space="preserve">ara </w:t>
            </w:r>
            <w:r w:rsidRPr="0065353C">
              <w:rPr>
                <w:rFonts w:ascii="Verdana" w:hAnsi="Verdana" w:cs="Arial"/>
                <w:lang w:val="es-ES"/>
              </w:rPr>
              <w:t>“</w:t>
            </w:r>
            <w:r w:rsidRPr="003C43F5">
              <w:rPr>
                <w:rFonts w:ascii="Verdana" w:hAnsi="Verdana" w:cs="Arial"/>
                <w:lang w:val="es-ES"/>
              </w:rPr>
              <w:t xml:space="preserve">el ejercicio de funciones de carácter permanente se crearán los empleos correspondientes, </w:t>
            </w:r>
            <w:r w:rsidRPr="003C43F5">
              <w:rPr>
                <w:rFonts w:ascii="Verdana" w:hAnsi="Verdana" w:cs="Arial"/>
                <w:i/>
                <w:iCs/>
                <w:lang w:val="es-ES"/>
              </w:rPr>
              <w:t>y, en ningún caso, podrán celebrarse contratos de prestación de servicios para el desempeño de tales funcione</w:t>
            </w:r>
            <w:r w:rsidRPr="0065353C">
              <w:rPr>
                <w:rFonts w:ascii="Verdana" w:hAnsi="Verdana" w:cs="Arial"/>
                <w:i/>
                <w:iCs/>
                <w:lang w:val="es-ES"/>
              </w:rPr>
              <w:t xml:space="preserve">s </w:t>
            </w:r>
            <w:r w:rsidRPr="0065353C">
              <w:rPr>
                <w:rFonts w:ascii="Verdana" w:hAnsi="Verdana" w:cs="Arial"/>
                <w:lang w:val="es-ES"/>
              </w:rPr>
              <w:t xml:space="preserve">[…]”. Sobre este aspecto, la Corte Constitucional ha señalado como un límite de la vinculación laboral con el estado que “el ingreso y </w:t>
            </w:r>
            <w:r w:rsidRPr="0065353C">
              <w:rPr>
                <w:rFonts w:ascii="Verdana" w:hAnsi="Verdana" w:cs="Arial"/>
                <w:i/>
                <w:iCs/>
                <w:lang w:val="es-ES"/>
              </w:rPr>
              <w:t>ascenso</w:t>
            </w:r>
            <w:r w:rsidRPr="0065353C">
              <w:rPr>
                <w:rFonts w:ascii="Verdana" w:hAnsi="Verdana" w:cs="Arial"/>
                <w:lang w:val="es-ES"/>
              </w:rPr>
              <w:t xml:space="preserve"> a los cargos públicos se logra, por regla general, por concurso público en el que se miden los méritos y calidades de los aspirantes (artículo 125 superior)”</w:t>
            </w:r>
          </w:p>
          <w:p w14:paraId="5D1AC977" w14:textId="77777777" w:rsidR="00C640D3" w:rsidRDefault="00C640D3" w:rsidP="00A47326">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 xml:space="preserve">En este marco, aunque </w:t>
            </w:r>
            <w:proofErr w:type="gramStart"/>
            <w:r w:rsidRPr="00173792">
              <w:rPr>
                <w:rFonts w:ascii="Verdana" w:hAnsi="Verdana" w:cs="Arial"/>
                <w:lang w:val="es-ES"/>
              </w:rPr>
              <w:t>la entidades</w:t>
            </w:r>
            <w:proofErr w:type="gramEnd"/>
            <w:r w:rsidRPr="00173792">
              <w:rPr>
                <w:rFonts w:ascii="Verdana" w:hAnsi="Verdana" w:cs="Arial"/>
                <w:lang w:val="es-ES"/>
              </w:rPr>
              <w:t xml:space="preserve"> pueden acudir a la contratación </w:t>
            </w:r>
            <w:r w:rsidRPr="003C43F5">
              <w:rPr>
                <w:rFonts w:ascii="Verdana" w:hAnsi="Verdana" w:cs="Arial"/>
                <w:lang w:val="es-ES"/>
              </w:rPr>
              <w:t>de prestación de servicios</w:t>
            </w:r>
            <w:r w:rsidRPr="00173792">
              <w:rPr>
                <w:rFonts w:ascii="Verdana" w:hAnsi="Verdana" w:cs="Arial"/>
                <w:lang w:val="es-ES"/>
              </w:rPr>
              <w:t xml:space="preserve">, esta debe limitarse a los casos y fines previstos en las normas sobre la materia. Adicionalmente, es necesario considerar los límites establecidos para este tipo de contratos, por ejemplo, </w:t>
            </w:r>
            <w:r w:rsidRPr="003C43F5">
              <w:rPr>
                <w:rFonts w:ascii="Verdana" w:hAnsi="Verdana" w:cs="Arial"/>
                <w:lang w:val="es-ES"/>
              </w:rPr>
              <w:t xml:space="preserve">el artículo 7 del Decreto 1950 de 1973, la Ley 790 de 2002 y la Ley 734 de 2002, que prohíben </w:t>
            </w:r>
            <w:r w:rsidRPr="00173792">
              <w:rPr>
                <w:rFonts w:ascii="Verdana" w:hAnsi="Verdana" w:cs="Arial"/>
                <w:lang w:val="es-ES"/>
              </w:rPr>
              <w:t>a las entidades celebrar</w:t>
            </w:r>
            <w:r>
              <w:rPr>
                <w:rFonts w:ascii="Verdana" w:hAnsi="Verdana" w:cs="Arial"/>
                <w:lang w:val="es-ES"/>
              </w:rPr>
              <w:t xml:space="preserve">los </w:t>
            </w:r>
            <w:r w:rsidRPr="00173792">
              <w:rPr>
                <w:rFonts w:ascii="Verdana" w:hAnsi="Verdana" w:cs="Arial"/>
                <w:lang w:val="es-ES"/>
              </w:rPr>
              <w:t xml:space="preserve">para el ejercicio </w:t>
            </w:r>
            <w:r w:rsidRPr="003C43F5">
              <w:rPr>
                <w:rFonts w:ascii="Verdana" w:hAnsi="Verdana" w:cs="Arial"/>
                <w:lang w:val="es-ES"/>
              </w:rPr>
              <w:t xml:space="preserve">de funciones de carácter permanente previstas en la ley o en los reglamentos para un empleo público. </w:t>
            </w:r>
            <w:r w:rsidRPr="00173792">
              <w:rPr>
                <w:rFonts w:ascii="Verdana" w:hAnsi="Verdana" w:cs="Arial"/>
                <w:lang w:val="es-ES"/>
              </w:rPr>
              <w:t>De esta manera, el personal de planta de la entidad es el llamado a ejercer las funciones permanentes que requiera</w:t>
            </w:r>
            <w:r w:rsidRPr="003C43F5">
              <w:rPr>
                <w:rFonts w:ascii="Verdana" w:hAnsi="Verdana" w:cs="Arial"/>
                <w:lang w:val="es-ES"/>
              </w:rPr>
              <w:t>,</w:t>
            </w:r>
            <w:r w:rsidRPr="00173792">
              <w:rPr>
                <w:rFonts w:ascii="Verdana" w:hAnsi="Verdana" w:cs="Arial"/>
                <w:lang w:val="es-ES"/>
              </w:rPr>
              <w:t xml:space="preserve"> personal que ingresa y asciende en </w:t>
            </w:r>
            <w:r w:rsidRPr="003C43F5">
              <w:rPr>
                <w:rFonts w:ascii="Verdana" w:hAnsi="Verdana" w:cs="Arial"/>
                <w:lang w:val="es-ES"/>
              </w:rPr>
              <w:t xml:space="preserve">la administración </w:t>
            </w:r>
            <w:r w:rsidRPr="00173792">
              <w:rPr>
                <w:rFonts w:ascii="Verdana" w:hAnsi="Verdana" w:cs="Arial"/>
                <w:lang w:val="es-ES"/>
              </w:rPr>
              <w:t xml:space="preserve">pública </w:t>
            </w:r>
            <w:r w:rsidRPr="003C43F5">
              <w:rPr>
                <w:rFonts w:ascii="Verdana" w:hAnsi="Verdana" w:cs="Arial"/>
                <w:lang w:val="es-ES"/>
              </w:rPr>
              <w:t xml:space="preserve">mediante el concurso de méritos y no a través de la contratación </w:t>
            </w:r>
            <w:r w:rsidRPr="00173792">
              <w:rPr>
                <w:rFonts w:ascii="Verdana" w:hAnsi="Verdana" w:cs="Arial"/>
                <w:lang w:val="es-ES"/>
              </w:rPr>
              <w:t>de prestación de servicios</w:t>
            </w:r>
            <w:r w:rsidRPr="00173792">
              <w:rPr>
                <w:rStyle w:val="Refdenotaalpie"/>
                <w:rFonts w:ascii="Verdana" w:hAnsi="Verdana" w:cs="Arial"/>
                <w:lang w:val="es-ES"/>
              </w:rPr>
              <w:footnoteReference w:id="4"/>
            </w:r>
            <w:r w:rsidRPr="00173792">
              <w:rPr>
                <w:rFonts w:ascii="Verdana" w:hAnsi="Verdana" w:cs="Arial"/>
                <w:lang w:val="es-ES"/>
              </w:rPr>
              <w:t xml:space="preserve">. </w:t>
            </w:r>
          </w:p>
          <w:p w14:paraId="67AFCA65" w14:textId="77777777" w:rsidR="00C640D3" w:rsidRPr="0065353C" w:rsidRDefault="00C640D3" w:rsidP="00A47326">
            <w:pPr>
              <w:autoSpaceDE w:val="0"/>
              <w:autoSpaceDN w:val="0"/>
              <w:adjustRightInd w:val="0"/>
              <w:snapToGrid w:val="0"/>
              <w:spacing w:after="120" w:line="276" w:lineRule="auto"/>
              <w:ind w:firstLine="709"/>
              <w:jc w:val="both"/>
              <w:rPr>
                <w:rFonts w:ascii="Verdana" w:hAnsi="Verdana" w:cs="Arial"/>
                <w:lang w:val="es-ES"/>
              </w:rPr>
            </w:pPr>
            <w:r>
              <w:rPr>
                <w:rFonts w:ascii="Verdana" w:hAnsi="Verdana" w:cs="Arial"/>
                <w:lang w:val="es-ES"/>
              </w:rPr>
              <w:t>En este sentido</w:t>
            </w:r>
            <w:r w:rsidRPr="0065353C">
              <w:rPr>
                <w:rFonts w:ascii="Verdana" w:hAnsi="Verdana" w:cs="Arial"/>
                <w:lang w:val="es-ES"/>
              </w:rPr>
              <w:t xml:space="preserve">, </w:t>
            </w:r>
            <w:r w:rsidRPr="00F33F25">
              <w:rPr>
                <w:rFonts w:ascii="Verdana" w:hAnsi="Verdana" w:cs="Arial"/>
                <w:lang w:val="es-ES"/>
              </w:rPr>
              <w:t>la Ley 1960 del 2019</w:t>
            </w:r>
            <w:r w:rsidRPr="0065353C">
              <w:rPr>
                <w:rFonts w:ascii="Verdana" w:hAnsi="Verdana" w:cs="Arial"/>
                <w:lang w:val="es-ES"/>
              </w:rPr>
              <w:t xml:space="preserve">, que modificó el </w:t>
            </w:r>
            <w:r w:rsidRPr="00F33F25">
              <w:rPr>
                <w:rFonts w:ascii="Verdana" w:hAnsi="Verdana" w:cs="Arial"/>
                <w:lang w:val="es-ES"/>
              </w:rPr>
              <w:t>Artículo 29 de la Ley 909 de 2004</w:t>
            </w:r>
            <w:r w:rsidRPr="0065353C">
              <w:rPr>
                <w:rFonts w:ascii="Verdana" w:hAnsi="Verdana" w:cs="Arial"/>
                <w:lang w:val="es-ES"/>
              </w:rPr>
              <w:t xml:space="preserve"> señala que l</w:t>
            </w:r>
            <w:r w:rsidRPr="00F33F25">
              <w:rPr>
                <w:rFonts w:ascii="Verdana" w:hAnsi="Verdana" w:cs="Arial"/>
                <w:lang w:val="es-ES"/>
              </w:rPr>
              <w:t xml:space="preserve">a provisión definitiva de los empleos públicos de carrera administrativa </w:t>
            </w:r>
            <w:r w:rsidRPr="0065353C">
              <w:rPr>
                <w:rFonts w:ascii="Verdana" w:hAnsi="Verdana" w:cs="Arial"/>
                <w:lang w:val="es-ES"/>
              </w:rPr>
              <w:t xml:space="preserve">debe realizarse </w:t>
            </w:r>
            <w:r w:rsidRPr="00F33F25">
              <w:rPr>
                <w:rFonts w:ascii="Verdana" w:hAnsi="Verdana" w:cs="Arial"/>
                <w:lang w:val="es-ES"/>
              </w:rPr>
              <w:t xml:space="preserve">mediante </w:t>
            </w:r>
            <w:r w:rsidRPr="0065353C">
              <w:rPr>
                <w:rFonts w:ascii="Verdana" w:hAnsi="Verdana" w:cs="Arial"/>
                <w:lang w:val="es-ES"/>
              </w:rPr>
              <w:t xml:space="preserve">los </w:t>
            </w:r>
            <w:r w:rsidRPr="00F33F25">
              <w:rPr>
                <w:rFonts w:ascii="Verdana" w:hAnsi="Verdana" w:cs="Arial"/>
                <w:lang w:val="es-ES"/>
              </w:rPr>
              <w:t xml:space="preserve">procesos de selección abiertos y de ascenso </w:t>
            </w:r>
            <w:r w:rsidRPr="0065353C">
              <w:rPr>
                <w:rFonts w:ascii="Verdana" w:hAnsi="Verdana" w:cs="Arial"/>
                <w:lang w:val="es-ES"/>
              </w:rPr>
              <w:t xml:space="preserve">que adelante </w:t>
            </w:r>
            <w:r w:rsidRPr="00F33F25">
              <w:rPr>
                <w:rFonts w:ascii="Verdana" w:hAnsi="Verdana" w:cs="Arial"/>
                <w:lang w:val="es-ES"/>
              </w:rPr>
              <w:t>la Comisión Nacional del Servicio Civil</w:t>
            </w:r>
            <w:r w:rsidRPr="0065353C">
              <w:rPr>
                <w:rFonts w:ascii="Verdana" w:hAnsi="Verdana" w:cs="Arial"/>
                <w:lang w:val="es-ES"/>
              </w:rPr>
              <w:t xml:space="preserve">. En particular, define que la figura del </w:t>
            </w:r>
            <w:r w:rsidRPr="0065353C">
              <w:rPr>
                <w:rFonts w:ascii="Verdana" w:hAnsi="Verdana" w:cs="Arial"/>
                <w:i/>
                <w:iCs/>
                <w:lang w:val="es-ES"/>
              </w:rPr>
              <w:t xml:space="preserve">ascenso </w:t>
            </w:r>
            <w:r w:rsidRPr="0065353C">
              <w:rPr>
                <w:rFonts w:ascii="Verdana" w:hAnsi="Verdana" w:cs="Arial"/>
                <w:lang w:val="es-ES"/>
              </w:rPr>
              <w:t xml:space="preserve">se refiere a </w:t>
            </w:r>
            <w:r w:rsidRPr="00F33F25">
              <w:rPr>
                <w:rFonts w:ascii="Verdana" w:hAnsi="Verdana" w:cs="Arial"/>
                <w:lang w:val="es-ES"/>
              </w:rPr>
              <w:t xml:space="preserve">la movilidad a un cargo </w:t>
            </w:r>
            <w:r w:rsidRPr="00F33F25">
              <w:rPr>
                <w:rFonts w:ascii="Verdana" w:hAnsi="Verdana" w:cs="Arial"/>
                <w:lang w:val="es-ES"/>
              </w:rPr>
              <w:lastRenderedPageBreak/>
              <w:t>superior dentro de la planta de personal de la misma entidad, del mismo sector administrativo o dentro del cuadro funcional de empleos</w:t>
            </w:r>
            <w:r w:rsidRPr="0065353C">
              <w:rPr>
                <w:rFonts w:ascii="Verdana" w:hAnsi="Verdana" w:cs="Arial"/>
                <w:lang w:val="es-ES"/>
              </w:rPr>
              <w:t>, para el cual es necesario adelantar un concurso que cumpla con los presupuestos específicamente señalados para ello por el legislador.</w:t>
            </w:r>
          </w:p>
          <w:p w14:paraId="5DF481AC" w14:textId="690F7743" w:rsidR="00C640D3" w:rsidRPr="00173792" w:rsidRDefault="00791F40" w:rsidP="00A47326">
            <w:pPr>
              <w:autoSpaceDE w:val="0"/>
              <w:autoSpaceDN w:val="0"/>
              <w:adjustRightInd w:val="0"/>
              <w:spacing w:after="120" w:line="276" w:lineRule="auto"/>
              <w:ind w:firstLine="708"/>
              <w:jc w:val="both"/>
              <w:rPr>
                <w:rFonts w:ascii="Verdana" w:hAnsi="Verdana" w:cs="Arial"/>
                <w:lang w:val="es-ES"/>
              </w:rPr>
            </w:pPr>
            <w:r>
              <w:rPr>
                <w:rFonts w:ascii="Verdana" w:hAnsi="Verdana" w:cs="Arial"/>
                <w:lang w:val="es-ES"/>
              </w:rPr>
              <w:t>Así</w:t>
            </w:r>
            <w:r w:rsidR="00C640D3" w:rsidRPr="00173792">
              <w:rPr>
                <w:rFonts w:ascii="Verdana" w:hAnsi="Verdana" w:cs="Arial"/>
                <w:lang w:val="es-ES"/>
              </w:rPr>
              <w:t xml:space="preserve">, tanto el marco </w:t>
            </w:r>
            <w:r w:rsidR="00C640D3">
              <w:rPr>
                <w:rFonts w:ascii="Verdana" w:hAnsi="Verdana" w:cs="Arial"/>
                <w:lang w:val="es-ES"/>
              </w:rPr>
              <w:t xml:space="preserve">normativo como jurisprudencial </w:t>
            </w:r>
            <w:r w:rsidR="00C640D3" w:rsidRPr="00173792">
              <w:rPr>
                <w:rFonts w:ascii="Verdana" w:hAnsi="Verdana" w:cs="Arial"/>
                <w:lang w:val="es-ES"/>
              </w:rPr>
              <w:t xml:space="preserve">establecen las reglas que constituyen </w:t>
            </w:r>
            <w:r w:rsidR="00C640D3" w:rsidRPr="00C81408">
              <w:rPr>
                <w:rFonts w:ascii="Verdana" w:hAnsi="Verdana" w:cs="Arial"/>
                <w:lang w:val="es-ES"/>
              </w:rPr>
              <w:t xml:space="preserve">criterios imperativos </w:t>
            </w:r>
            <w:r w:rsidR="00C640D3">
              <w:rPr>
                <w:rFonts w:ascii="Verdana" w:hAnsi="Verdana" w:cs="Arial"/>
                <w:lang w:val="es-ES"/>
              </w:rPr>
              <w:t xml:space="preserve">para el </w:t>
            </w:r>
            <w:r w:rsidR="00C640D3" w:rsidRPr="00173792">
              <w:rPr>
                <w:rFonts w:ascii="Verdana" w:hAnsi="Verdana" w:cs="Arial"/>
                <w:lang w:val="es-ES"/>
              </w:rPr>
              <w:t>l</w:t>
            </w:r>
            <w:r w:rsidR="00C640D3" w:rsidRPr="00C81408">
              <w:rPr>
                <w:rFonts w:ascii="Verdana" w:hAnsi="Verdana" w:cs="Arial"/>
                <w:lang w:val="es-ES"/>
              </w:rPr>
              <w:t xml:space="preserve">egislador en </w:t>
            </w:r>
            <w:r w:rsidR="00C640D3" w:rsidRPr="00173792">
              <w:rPr>
                <w:rFonts w:ascii="Verdana" w:hAnsi="Verdana" w:cs="Arial"/>
                <w:lang w:val="es-ES"/>
              </w:rPr>
              <w:t xml:space="preserve">la regulación de esta </w:t>
            </w:r>
            <w:r w:rsidR="00C640D3" w:rsidRPr="00C81408">
              <w:rPr>
                <w:rFonts w:ascii="Verdana" w:hAnsi="Verdana" w:cs="Arial"/>
                <w:lang w:val="es-ES"/>
              </w:rPr>
              <w:t xml:space="preserve">materia, </w:t>
            </w:r>
            <w:r w:rsidR="00C640D3" w:rsidRPr="00173792">
              <w:rPr>
                <w:rFonts w:ascii="Verdana" w:hAnsi="Verdana" w:cs="Arial"/>
                <w:lang w:val="es-ES"/>
              </w:rPr>
              <w:t xml:space="preserve">así como </w:t>
            </w:r>
            <w:r w:rsidR="00C640D3">
              <w:rPr>
                <w:rFonts w:ascii="Verdana" w:hAnsi="Verdana" w:cs="Arial"/>
                <w:lang w:val="es-ES"/>
              </w:rPr>
              <w:t>para</w:t>
            </w:r>
            <w:r w:rsidR="00C640D3" w:rsidRPr="00173792">
              <w:rPr>
                <w:rFonts w:ascii="Verdana" w:hAnsi="Verdana" w:cs="Arial"/>
                <w:lang w:val="es-ES"/>
              </w:rPr>
              <w:t xml:space="preserve"> </w:t>
            </w:r>
            <w:r w:rsidR="00C640D3" w:rsidRPr="00C81408">
              <w:rPr>
                <w:rFonts w:ascii="Verdana" w:hAnsi="Verdana" w:cs="Arial"/>
                <w:lang w:val="es-ES"/>
              </w:rPr>
              <w:t xml:space="preserve">las autoridades administrativas en relación con la vinculación, </w:t>
            </w:r>
            <w:r w:rsidR="00C640D3" w:rsidRPr="00173792">
              <w:rPr>
                <w:rFonts w:ascii="Verdana" w:hAnsi="Verdana" w:cs="Arial"/>
                <w:i/>
                <w:iCs/>
                <w:lang w:val="es-ES"/>
              </w:rPr>
              <w:t>ascenso</w:t>
            </w:r>
            <w:r w:rsidR="00C640D3" w:rsidRPr="00173792">
              <w:rPr>
                <w:rFonts w:ascii="Verdana" w:hAnsi="Verdana" w:cs="Arial"/>
                <w:lang w:val="es-ES"/>
              </w:rPr>
              <w:t xml:space="preserve">, </w:t>
            </w:r>
            <w:r w:rsidR="00C640D3" w:rsidRPr="00C81408">
              <w:rPr>
                <w:rFonts w:ascii="Verdana" w:hAnsi="Verdana" w:cs="Arial"/>
                <w:lang w:val="es-ES"/>
              </w:rPr>
              <w:t>permanencia y retiro del servicio público</w:t>
            </w:r>
            <w:r w:rsidR="00C640D3" w:rsidRPr="00173792">
              <w:rPr>
                <w:rFonts w:ascii="Verdana" w:hAnsi="Verdana" w:cs="Arial"/>
                <w:lang w:val="es-ES"/>
              </w:rPr>
              <w:t>. Teniendo en cuenta lo anterior, así como las características propias de los contratos estatales de prestación de servicios, es claro que la figura del “ascenso” no es propia de las relaciones jurídica entre particulares y entidades que se rigen por el Estatuto General de Contratación de la Administración Pública, sino que corresponde a un aspecto determinado constitucional y legalmente para el funcionamiento del empleo público. En este sentido, no existen propiamente ascensos en el marco de los contratos de prestación de servicios.</w:t>
            </w:r>
            <w:r w:rsidR="00C640D3">
              <w:rPr>
                <w:rFonts w:ascii="Verdana" w:hAnsi="Verdana" w:cs="Arial"/>
                <w:lang w:val="es-ES"/>
              </w:rPr>
              <w:t xml:space="preserve"> </w:t>
            </w:r>
            <w:r w:rsidR="00C640D3" w:rsidRPr="00173792">
              <w:rPr>
                <w:rFonts w:ascii="Verdana" w:hAnsi="Verdana" w:cs="Arial"/>
                <w:lang w:val="es-ES"/>
              </w:rPr>
              <w:t xml:space="preserve">Por ejemplo, la celebración de un contrato de prestación de servicios con un particular previamente vinculado por este medio a la entidad, que requiera la acreditación de mayor experiencia o formación, y establezca nuevas obligaciones, no constituye propiamente un ascenso, sino la suscripción de un nuevo objeto contractual que responde a distintos honorarios y actividades, y cuya vocación es de carácter temporal. </w:t>
            </w:r>
          </w:p>
          <w:p w14:paraId="081F7C6E" w14:textId="77777777" w:rsidR="00C640D3" w:rsidRPr="00FD225E" w:rsidRDefault="00C640D3" w:rsidP="00A47326">
            <w:pPr>
              <w:autoSpaceDE w:val="0"/>
              <w:autoSpaceDN w:val="0"/>
              <w:adjustRightInd w:val="0"/>
              <w:spacing w:before="120" w:line="276" w:lineRule="auto"/>
              <w:ind w:firstLine="708"/>
              <w:jc w:val="both"/>
              <w:rPr>
                <w:rFonts w:ascii="Verdana" w:hAnsi="Verdana" w:cs="Arial"/>
                <w:lang w:val="es-ES"/>
              </w:rPr>
            </w:pPr>
            <w:r w:rsidRPr="00173792">
              <w:rPr>
                <w:rFonts w:ascii="Verdana" w:eastAsia="Calibri" w:hAnsi="Verdana" w:cs="Arial"/>
                <w:bCs/>
                <w:color w:val="000000" w:themeColor="text1"/>
                <w:lang w:val="es-ES"/>
              </w:rPr>
              <w:t xml:space="preserve">Al margen de la explicación precedente debe advertirse que </w:t>
            </w:r>
            <w:r w:rsidRPr="00173792">
              <w:rPr>
                <w:rStyle w:val="s15"/>
                <w:rFonts w:ascii="Verdana" w:hAnsi="Verdana"/>
                <w:color w:val="000000" w:themeColor="text1"/>
                <w:lang w:val="es-ES"/>
              </w:rPr>
              <w:t>el análisis requerido para resolver problemas específicos en torno a la gestión contractual debe ser realizado por quienes tengan interés en ello, de acuerdo con lo explicado la aclaración preliminar del presente oficio</w:t>
            </w:r>
            <w:r w:rsidRPr="00173792">
              <w:rPr>
                <w:rFonts w:ascii="Verdana" w:eastAsia="Calibri" w:hAnsi="Verdana" w:cs="Arial"/>
                <w:bCs/>
                <w:color w:val="000000" w:themeColor="text1"/>
                <w:lang w:val="es-ES"/>
              </w:rPr>
              <w:t xml:space="preserve">. </w:t>
            </w:r>
          </w:p>
        </w:tc>
      </w:tr>
    </w:tbl>
    <w:p w14:paraId="6AB4435A" w14:textId="77777777" w:rsidR="00C640D3" w:rsidRPr="00173792" w:rsidRDefault="00C640D3" w:rsidP="00C640D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088C3CA" w14:textId="77777777" w:rsidR="00C640D3" w:rsidRPr="00173792" w:rsidRDefault="00C640D3" w:rsidP="00C640D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173792">
        <w:rPr>
          <w:rFonts w:ascii="Verdana" w:eastAsia="Century Gothic" w:hAnsi="Verdana" w:cs="Century Gothic"/>
          <w:b/>
          <w:color w:val="000000" w:themeColor="text1"/>
        </w:rPr>
        <w:t>Razones de la respuesta:</w:t>
      </w:r>
    </w:p>
    <w:p w14:paraId="39CBEC08" w14:textId="77777777" w:rsidR="00C640D3" w:rsidRPr="00173792" w:rsidRDefault="00C640D3" w:rsidP="00C640D3">
      <w:pPr>
        <w:spacing w:after="0" w:line="276" w:lineRule="auto"/>
        <w:jc w:val="both"/>
        <w:rPr>
          <w:rFonts w:ascii="Verdana" w:eastAsia="Calibri" w:hAnsi="Verdana" w:cs="Arial"/>
          <w:color w:val="000000" w:themeColor="text1"/>
          <w:lang w:val="es-ES"/>
        </w:rPr>
      </w:pPr>
    </w:p>
    <w:p w14:paraId="5F2ACBF7" w14:textId="77777777" w:rsidR="00C640D3" w:rsidRPr="00173792" w:rsidRDefault="00C640D3" w:rsidP="00C640D3">
      <w:pPr>
        <w:pStyle w:val="Prrafodelista"/>
        <w:tabs>
          <w:tab w:val="left" w:pos="142"/>
          <w:tab w:val="left" w:pos="284"/>
        </w:tabs>
        <w:snapToGrid w:val="0"/>
        <w:spacing w:after="120" w:line="276" w:lineRule="auto"/>
        <w:ind w:left="0"/>
        <w:contextualSpacing w:val="0"/>
        <w:jc w:val="both"/>
        <w:rPr>
          <w:rFonts w:ascii="Verdana" w:eastAsia="Century Gothic" w:hAnsi="Verdana" w:cs="Century Gothic"/>
          <w:b/>
          <w:bCs/>
        </w:rPr>
      </w:pPr>
      <w:bookmarkStart w:id="1" w:name="_Hlk102983874"/>
      <w:bookmarkStart w:id="2" w:name="_Hlk102388095"/>
      <w:r w:rsidRPr="00173792">
        <w:rPr>
          <w:rFonts w:ascii="Verdana" w:eastAsia="Calibri" w:hAnsi="Verdana" w:cs="Arial"/>
          <w:color w:val="000000" w:themeColor="text1"/>
        </w:rPr>
        <w:t>i)</w:t>
      </w:r>
      <w:r w:rsidRPr="00173792">
        <w:rPr>
          <w:rFonts w:ascii="Verdana" w:eastAsia="Verdana" w:hAnsi="Verdana" w:cs="Verdana"/>
        </w:rPr>
        <w:t xml:space="preserve"> </w:t>
      </w:r>
      <w:r w:rsidRPr="00173792">
        <w:rPr>
          <w:rFonts w:ascii="Verdana" w:hAnsi="Verdana"/>
        </w:rPr>
        <w:t>El contrato de prestación de servicios es un contrato estatal típico, regulado en el numeral 3 del artículo 32 de la Ley 80 de 1993. Este se define como aquel que “celebren</w:t>
      </w:r>
      <w:r w:rsidRPr="00173792">
        <w:rPr>
          <w:rFonts w:ascii="Verdana" w:hAnsi="Verdana"/>
          <w:spacing w:val="-20"/>
        </w:rPr>
        <w:t xml:space="preserve"> </w:t>
      </w:r>
      <w:r w:rsidRPr="00173792">
        <w:rPr>
          <w:rFonts w:ascii="Verdana" w:hAnsi="Verdana"/>
        </w:rPr>
        <w:t>las</w:t>
      </w:r>
      <w:r w:rsidRPr="00173792">
        <w:rPr>
          <w:rFonts w:ascii="Verdana" w:hAnsi="Verdana"/>
          <w:spacing w:val="-19"/>
        </w:rPr>
        <w:t xml:space="preserve"> </w:t>
      </w:r>
      <w:r w:rsidRPr="00173792">
        <w:rPr>
          <w:rFonts w:ascii="Verdana" w:hAnsi="Verdana"/>
        </w:rPr>
        <w:t>entidades</w:t>
      </w:r>
      <w:r w:rsidRPr="00173792">
        <w:rPr>
          <w:rFonts w:ascii="Verdana" w:hAnsi="Verdana"/>
          <w:spacing w:val="-19"/>
        </w:rPr>
        <w:t xml:space="preserve"> </w:t>
      </w:r>
      <w:r w:rsidRPr="00173792">
        <w:rPr>
          <w:rFonts w:ascii="Verdana" w:hAnsi="Verdana"/>
        </w:rPr>
        <w:t>estatales</w:t>
      </w:r>
      <w:r w:rsidRPr="00173792">
        <w:rPr>
          <w:rFonts w:ascii="Verdana" w:hAnsi="Verdana"/>
          <w:spacing w:val="-20"/>
        </w:rPr>
        <w:t xml:space="preserve"> </w:t>
      </w:r>
      <w:r w:rsidRPr="00173792">
        <w:rPr>
          <w:rFonts w:ascii="Verdana" w:hAnsi="Verdana"/>
        </w:rPr>
        <w:t>para</w:t>
      </w:r>
      <w:r w:rsidRPr="00173792">
        <w:rPr>
          <w:rFonts w:ascii="Verdana" w:hAnsi="Verdana"/>
          <w:spacing w:val="-19"/>
        </w:rPr>
        <w:t xml:space="preserve"> </w:t>
      </w:r>
      <w:r w:rsidRPr="00173792">
        <w:rPr>
          <w:rFonts w:ascii="Verdana" w:hAnsi="Verdana"/>
        </w:rPr>
        <w:t>desarrollar</w:t>
      </w:r>
      <w:r w:rsidRPr="00173792">
        <w:rPr>
          <w:rFonts w:ascii="Verdana" w:hAnsi="Verdana"/>
          <w:spacing w:val="-20"/>
        </w:rPr>
        <w:t xml:space="preserve"> </w:t>
      </w:r>
      <w:r w:rsidRPr="00173792">
        <w:rPr>
          <w:rFonts w:ascii="Verdana" w:hAnsi="Verdana"/>
        </w:rPr>
        <w:t>actividades</w:t>
      </w:r>
      <w:r w:rsidRPr="00173792">
        <w:rPr>
          <w:rFonts w:ascii="Verdana" w:hAnsi="Verdana"/>
          <w:spacing w:val="-19"/>
        </w:rPr>
        <w:t xml:space="preserve"> </w:t>
      </w:r>
      <w:r w:rsidRPr="00173792">
        <w:rPr>
          <w:rFonts w:ascii="Verdana" w:hAnsi="Verdana"/>
        </w:rPr>
        <w:t>relacionadas</w:t>
      </w:r>
      <w:r w:rsidRPr="00173792">
        <w:rPr>
          <w:rFonts w:ascii="Verdana" w:hAnsi="Verdana"/>
          <w:spacing w:val="-19"/>
        </w:rPr>
        <w:t xml:space="preserve"> </w:t>
      </w:r>
      <w:r w:rsidRPr="00173792">
        <w:rPr>
          <w:rFonts w:ascii="Verdana" w:hAnsi="Verdana"/>
        </w:rPr>
        <w:t>con</w:t>
      </w:r>
      <w:r w:rsidRPr="00173792">
        <w:rPr>
          <w:rFonts w:ascii="Verdana" w:hAnsi="Verdana"/>
          <w:spacing w:val="-20"/>
        </w:rPr>
        <w:t xml:space="preserve"> </w:t>
      </w:r>
      <w:r w:rsidRPr="00173792">
        <w:rPr>
          <w:rFonts w:ascii="Verdana" w:hAnsi="Verdana"/>
        </w:rPr>
        <w:t>la administración o funcionamiento de la entidad. Estos contratos sólo se podrán celebrar</w:t>
      </w:r>
      <w:r w:rsidRPr="00173792">
        <w:rPr>
          <w:rFonts w:ascii="Verdana" w:hAnsi="Verdana"/>
          <w:spacing w:val="-9"/>
        </w:rPr>
        <w:t xml:space="preserve"> </w:t>
      </w:r>
      <w:r w:rsidRPr="00173792">
        <w:rPr>
          <w:rFonts w:ascii="Verdana" w:hAnsi="Verdana"/>
        </w:rPr>
        <w:t>con</w:t>
      </w:r>
      <w:r w:rsidRPr="00173792">
        <w:rPr>
          <w:rFonts w:ascii="Verdana" w:hAnsi="Verdana"/>
          <w:spacing w:val="-11"/>
        </w:rPr>
        <w:t xml:space="preserve"> </w:t>
      </w:r>
      <w:r w:rsidRPr="00173792">
        <w:rPr>
          <w:rFonts w:ascii="Verdana" w:hAnsi="Verdana"/>
        </w:rPr>
        <w:t>personas</w:t>
      </w:r>
      <w:r w:rsidRPr="00173792">
        <w:rPr>
          <w:rFonts w:ascii="Verdana" w:hAnsi="Verdana"/>
          <w:spacing w:val="-9"/>
        </w:rPr>
        <w:t xml:space="preserve"> </w:t>
      </w:r>
      <w:r w:rsidRPr="00173792">
        <w:rPr>
          <w:rFonts w:ascii="Verdana" w:hAnsi="Verdana"/>
        </w:rPr>
        <w:t>naturales</w:t>
      </w:r>
      <w:r w:rsidRPr="00173792">
        <w:rPr>
          <w:rFonts w:ascii="Verdana" w:hAnsi="Verdana"/>
          <w:spacing w:val="-9"/>
        </w:rPr>
        <w:t xml:space="preserve"> </w:t>
      </w:r>
      <w:r w:rsidRPr="00173792">
        <w:rPr>
          <w:rFonts w:ascii="Verdana" w:hAnsi="Verdana"/>
        </w:rPr>
        <w:t>cuando</w:t>
      </w:r>
      <w:r w:rsidRPr="00173792">
        <w:rPr>
          <w:rFonts w:ascii="Verdana" w:hAnsi="Verdana"/>
          <w:spacing w:val="-10"/>
        </w:rPr>
        <w:t xml:space="preserve"> </w:t>
      </w:r>
      <w:r w:rsidRPr="00173792">
        <w:rPr>
          <w:rFonts w:ascii="Verdana" w:hAnsi="Verdana"/>
        </w:rPr>
        <w:t>dichas</w:t>
      </w:r>
      <w:r w:rsidRPr="00173792">
        <w:rPr>
          <w:rFonts w:ascii="Verdana" w:hAnsi="Verdana"/>
          <w:spacing w:val="-10"/>
        </w:rPr>
        <w:t xml:space="preserve"> </w:t>
      </w:r>
      <w:r w:rsidRPr="00173792">
        <w:rPr>
          <w:rFonts w:ascii="Verdana" w:hAnsi="Verdana"/>
        </w:rPr>
        <w:t>actividades</w:t>
      </w:r>
      <w:r w:rsidRPr="00173792">
        <w:rPr>
          <w:rFonts w:ascii="Verdana" w:hAnsi="Verdana"/>
          <w:spacing w:val="-9"/>
        </w:rPr>
        <w:t xml:space="preserve"> </w:t>
      </w:r>
      <w:r w:rsidRPr="00173792">
        <w:rPr>
          <w:rFonts w:ascii="Verdana" w:hAnsi="Verdana"/>
        </w:rPr>
        <w:t>no</w:t>
      </w:r>
      <w:r w:rsidRPr="00173792">
        <w:rPr>
          <w:rFonts w:ascii="Verdana" w:hAnsi="Verdana"/>
          <w:spacing w:val="-11"/>
        </w:rPr>
        <w:t xml:space="preserve"> </w:t>
      </w:r>
      <w:r w:rsidRPr="00173792">
        <w:rPr>
          <w:rFonts w:ascii="Verdana" w:hAnsi="Verdana"/>
        </w:rPr>
        <w:t>puedan</w:t>
      </w:r>
      <w:r w:rsidRPr="00173792">
        <w:rPr>
          <w:rFonts w:ascii="Verdana" w:hAnsi="Verdana"/>
          <w:spacing w:val="-10"/>
        </w:rPr>
        <w:t xml:space="preserve"> </w:t>
      </w:r>
      <w:r w:rsidRPr="00173792">
        <w:rPr>
          <w:rFonts w:ascii="Verdana" w:hAnsi="Verdana"/>
        </w:rPr>
        <w:t>realizarse con</w:t>
      </w:r>
      <w:r w:rsidRPr="00173792">
        <w:rPr>
          <w:rFonts w:ascii="Verdana" w:hAnsi="Verdana"/>
          <w:spacing w:val="-20"/>
        </w:rPr>
        <w:t xml:space="preserve"> </w:t>
      </w:r>
      <w:r w:rsidRPr="00173792">
        <w:rPr>
          <w:rFonts w:ascii="Verdana" w:hAnsi="Verdana"/>
        </w:rPr>
        <w:t>personal</w:t>
      </w:r>
      <w:r w:rsidRPr="00173792">
        <w:rPr>
          <w:rFonts w:ascii="Verdana" w:hAnsi="Verdana"/>
          <w:spacing w:val="-19"/>
        </w:rPr>
        <w:t xml:space="preserve"> </w:t>
      </w:r>
      <w:r w:rsidRPr="00173792">
        <w:rPr>
          <w:rFonts w:ascii="Verdana" w:hAnsi="Verdana"/>
        </w:rPr>
        <w:t>de</w:t>
      </w:r>
      <w:r w:rsidRPr="00173792">
        <w:rPr>
          <w:rFonts w:ascii="Verdana" w:hAnsi="Verdana"/>
          <w:spacing w:val="-19"/>
        </w:rPr>
        <w:t xml:space="preserve"> </w:t>
      </w:r>
      <w:r w:rsidRPr="00173792">
        <w:rPr>
          <w:rFonts w:ascii="Verdana" w:hAnsi="Verdana"/>
        </w:rPr>
        <w:t>planta</w:t>
      </w:r>
      <w:r w:rsidRPr="00173792">
        <w:rPr>
          <w:rFonts w:ascii="Verdana" w:hAnsi="Verdana"/>
          <w:spacing w:val="-20"/>
        </w:rPr>
        <w:t xml:space="preserve"> </w:t>
      </w:r>
      <w:r w:rsidRPr="00173792">
        <w:rPr>
          <w:rFonts w:ascii="Verdana" w:hAnsi="Verdana"/>
        </w:rPr>
        <w:t>o</w:t>
      </w:r>
      <w:r w:rsidRPr="00173792">
        <w:rPr>
          <w:rFonts w:ascii="Verdana" w:hAnsi="Verdana"/>
          <w:spacing w:val="-19"/>
        </w:rPr>
        <w:t xml:space="preserve"> </w:t>
      </w:r>
      <w:r w:rsidRPr="00173792">
        <w:rPr>
          <w:rFonts w:ascii="Verdana" w:hAnsi="Verdana"/>
        </w:rPr>
        <w:t>requieran</w:t>
      </w:r>
      <w:r w:rsidRPr="00173792">
        <w:rPr>
          <w:rFonts w:ascii="Verdana" w:hAnsi="Verdana"/>
          <w:spacing w:val="-20"/>
        </w:rPr>
        <w:t xml:space="preserve"> </w:t>
      </w:r>
      <w:r w:rsidRPr="00173792">
        <w:rPr>
          <w:rFonts w:ascii="Verdana" w:hAnsi="Verdana"/>
        </w:rPr>
        <w:t>conocimientos</w:t>
      </w:r>
      <w:r w:rsidRPr="00173792">
        <w:rPr>
          <w:rFonts w:ascii="Verdana" w:hAnsi="Verdana"/>
          <w:spacing w:val="-19"/>
        </w:rPr>
        <w:t xml:space="preserve"> </w:t>
      </w:r>
      <w:r w:rsidRPr="00173792">
        <w:rPr>
          <w:rFonts w:ascii="Verdana" w:hAnsi="Verdana"/>
        </w:rPr>
        <w:t>especializados.</w:t>
      </w:r>
      <w:r w:rsidRPr="00173792">
        <w:rPr>
          <w:rFonts w:ascii="Verdana" w:hAnsi="Verdana"/>
          <w:spacing w:val="-19"/>
        </w:rPr>
        <w:t xml:space="preserve"> </w:t>
      </w:r>
      <w:r w:rsidRPr="00173792">
        <w:rPr>
          <w:rFonts w:ascii="Verdana" w:hAnsi="Verdana"/>
        </w:rPr>
        <w:t>En</w:t>
      </w:r>
      <w:r w:rsidRPr="00173792">
        <w:rPr>
          <w:rFonts w:ascii="Verdana" w:hAnsi="Verdana"/>
          <w:spacing w:val="-20"/>
        </w:rPr>
        <w:t xml:space="preserve"> </w:t>
      </w:r>
      <w:r w:rsidRPr="00173792">
        <w:rPr>
          <w:rFonts w:ascii="Verdana" w:hAnsi="Verdana"/>
        </w:rPr>
        <w:lastRenderedPageBreak/>
        <w:t>ningún</w:t>
      </w:r>
      <w:r w:rsidRPr="00173792">
        <w:rPr>
          <w:rFonts w:ascii="Verdana" w:hAnsi="Verdana"/>
          <w:spacing w:val="-19"/>
        </w:rPr>
        <w:t xml:space="preserve"> </w:t>
      </w:r>
      <w:r w:rsidRPr="00173792">
        <w:rPr>
          <w:rFonts w:ascii="Verdana" w:hAnsi="Verdana"/>
        </w:rPr>
        <w:t>caso estos</w:t>
      </w:r>
      <w:r w:rsidRPr="00173792">
        <w:rPr>
          <w:rFonts w:ascii="Verdana" w:hAnsi="Verdana"/>
          <w:spacing w:val="-11"/>
        </w:rPr>
        <w:t xml:space="preserve"> </w:t>
      </w:r>
      <w:r w:rsidRPr="00173792">
        <w:rPr>
          <w:rFonts w:ascii="Verdana" w:hAnsi="Verdana"/>
        </w:rPr>
        <w:t>contratos</w:t>
      </w:r>
      <w:r w:rsidRPr="00173792">
        <w:rPr>
          <w:rFonts w:ascii="Verdana" w:hAnsi="Verdana"/>
          <w:spacing w:val="-10"/>
        </w:rPr>
        <w:t xml:space="preserve"> </w:t>
      </w:r>
      <w:r w:rsidRPr="00173792">
        <w:rPr>
          <w:rFonts w:ascii="Verdana" w:hAnsi="Verdana"/>
        </w:rPr>
        <w:t>generan</w:t>
      </w:r>
      <w:r w:rsidRPr="00173792">
        <w:rPr>
          <w:rFonts w:ascii="Verdana" w:hAnsi="Verdana"/>
          <w:spacing w:val="-10"/>
        </w:rPr>
        <w:t xml:space="preserve"> </w:t>
      </w:r>
      <w:r w:rsidRPr="00173792">
        <w:rPr>
          <w:rFonts w:ascii="Verdana" w:hAnsi="Verdana"/>
        </w:rPr>
        <w:t>relación</w:t>
      </w:r>
      <w:r w:rsidRPr="00173792">
        <w:rPr>
          <w:rFonts w:ascii="Verdana" w:hAnsi="Verdana"/>
          <w:spacing w:val="-10"/>
        </w:rPr>
        <w:t xml:space="preserve"> </w:t>
      </w:r>
      <w:r w:rsidRPr="00173792">
        <w:rPr>
          <w:rFonts w:ascii="Verdana" w:hAnsi="Verdana"/>
        </w:rPr>
        <w:t>laboral</w:t>
      </w:r>
      <w:r w:rsidRPr="00173792">
        <w:rPr>
          <w:rFonts w:ascii="Verdana" w:hAnsi="Verdana"/>
          <w:spacing w:val="-10"/>
        </w:rPr>
        <w:t xml:space="preserve"> </w:t>
      </w:r>
      <w:r w:rsidRPr="00173792">
        <w:rPr>
          <w:rFonts w:ascii="Verdana" w:hAnsi="Verdana"/>
        </w:rPr>
        <w:t>ni</w:t>
      </w:r>
      <w:r w:rsidRPr="00173792">
        <w:rPr>
          <w:rFonts w:ascii="Verdana" w:hAnsi="Verdana"/>
          <w:spacing w:val="-12"/>
        </w:rPr>
        <w:t xml:space="preserve"> </w:t>
      </w:r>
      <w:r w:rsidRPr="00173792">
        <w:rPr>
          <w:rFonts w:ascii="Verdana" w:hAnsi="Verdana"/>
        </w:rPr>
        <w:t>prestaciones</w:t>
      </w:r>
      <w:r w:rsidRPr="00173792">
        <w:rPr>
          <w:rFonts w:ascii="Verdana" w:hAnsi="Verdana"/>
          <w:spacing w:val="-9"/>
        </w:rPr>
        <w:t xml:space="preserve"> </w:t>
      </w:r>
      <w:r w:rsidRPr="00173792">
        <w:rPr>
          <w:rFonts w:ascii="Verdana" w:hAnsi="Verdana"/>
        </w:rPr>
        <w:t>sociales</w:t>
      </w:r>
      <w:r w:rsidRPr="00173792">
        <w:rPr>
          <w:rFonts w:ascii="Verdana" w:hAnsi="Verdana"/>
          <w:spacing w:val="-10"/>
        </w:rPr>
        <w:t xml:space="preserve"> </w:t>
      </w:r>
      <w:r w:rsidRPr="00173792">
        <w:rPr>
          <w:rFonts w:ascii="Verdana" w:hAnsi="Verdana"/>
        </w:rPr>
        <w:t>y</w:t>
      </w:r>
      <w:r w:rsidRPr="00173792">
        <w:rPr>
          <w:rFonts w:ascii="Verdana" w:hAnsi="Verdana"/>
          <w:spacing w:val="-12"/>
        </w:rPr>
        <w:t xml:space="preserve"> </w:t>
      </w:r>
      <w:r w:rsidRPr="00173792">
        <w:rPr>
          <w:rFonts w:ascii="Verdana" w:hAnsi="Verdana"/>
        </w:rPr>
        <w:t>se</w:t>
      </w:r>
      <w:r w:rsidRPr="00173792">
        <w:rPr>
          <w:rFonts w:ascii="Verdana" w:hAnsi="Verdana"/>
          <w:spacing w:val="-12"/>
        </w:rPr>
        <w:t xml:space="preserve"> </w:t>
      </w:r>
      <w:r w:rsidRPr="00173792">
        <w:rPr>
          <w:rFonts w:ascii="Verdana" w:hAnsi="Verdana"/>
        </w:rPr>
        <w:t>celebrarán por el término estrictamente indispensable”.</w:t>
      </w:r>
    </w:p>
    <w:p w14:paraId="07DFB380" w14:textId="77777777" w:rsidR="00C640D3" w:rsidRPr="00173792" w:rsidRDefault="00C640D3" w:rsidP="00C640D3">
      <w:pPr>
        <w:pStyle w:val="Textoindependiente"/>
        <w:spacing w:line="276" w:lineRule="auto"/>
        <w:ind w:firstLine="709"/>
        <w:jc w:val="both"/>
        <w:rPr>
          <w:rFonts w:ascii="Verdana" w:hAnsi="Verdana"/>
        </w:rPr>
      </w:pPr>
      <w:r w:rsidRPr="00173792">
        <w:rPr>
          <w:rFonts w:ascii="Verdana" w:hAnsi="Verdana"/>
        </w:rPr>
        <w:t>La</w:t>
      </w:r>
      <w:r w:rsidRPr="00173792">
        <w:rPr>
          <w:rFonts w:ascii="Verdana" w:hAnsi="Verdana"/>
          <w:spacing w:val="-15"/>
        </w:rPr>
        <w:t xml:space="preserve"> </w:t>
      </w:r>
      <w:r w:rsidRPr="00173792">
        <w:rPr>
          <w:rFonts w:ascii="Verdana" w:hAnsi="Verdana"/>
        </w:rPr>
        <w:t>celebración</w:t>
      </w:r>
      <w:r w:rsidRPr="00173792">
        <w:rPr>
          <w:rFonts w:ascii="Verdana" w:hAnsi="Verdana"/>
          <w:spacing w:val="-11"/>
        </w:rPr>
        <w:t xml:space="preserve"> </w:t>
      </w:r>
      <w:r w:rsidRPr="00173792">
        <w:rPr>
          <w:rFonts w:ascii="Verdana" w:hAnsi="Verdana"/>
        </w:rPr>
        <w:t>de</w:t>
      </w:r>
      <w:r w:rsidRPr="00173792">
        <w:rPr>
          <w:rFonts w:ascii="Verdana" w:hAnsi="Verdana"/>
          <w:spacing w:val="-15"/>
        </w:rPr>
        <w:t xml:space="preserve"> </w:t>
      </w:r>
      <w:r w:rsidRPr="00173792">
        <w:rPr>
          <w:rFonts w:ascii="Verdana" w:hAnsi="Verdana"/>
        </w:rPr>
        <w:t>dicho</w:t>
      </w:r>
      <w:r w:rsidRPr="00173792">
        <w:rPr>
          <w:rFonts w:ascii="Verdana" w:hAnsi="Verdana"/>
          <w:spacing w:val="-14"/>
        </w:rPr>
        <w:t xml:space="preserve"> </w:t>
      </w:r>
      <w:r w:rsidRPr="00173792">
        <w:rPr>
          <w:rFonts w:ascii="Verdana" w:hAnsi="Verdana"/>
        </w:rPr>
        <w:t>contrato</w:t>
      </w:r>
      <w:r w:rsidRPr="00173792">
        <w:rPr>
          <w:rFonts w:ascii="Verdana" w:hAnsi="Verdana"/>
          <w:spacing w:val="-13"/>
        </w:rPr>
        <w:t xml:space="preserve"> </w:t>
      </w:r>
      <w:r w:rsidRPr="00173792">
        <w:rPr>
          <w:rFonts w:ascii="Verdana" w:hAnsi="Verdana"/>
        </w:rPr>
        <w:t>debe</w:t>
      </w:r>
      <w:r w:rsidRPr="00173792">
        <w:rPr>
          <w:rFonts w:ascii="Verdana" w:hAnsi="Verdana"/>
          <w:spacing w:val="-14"/>
        </w:rPr>
        <w:t xml:space="preserve"> </w:t>
      </w:r>
      <w:r w:rsidRPr="00173792">
        <w:rPr>
          <w:rFonts w:ascii="Verdana" w:hAnsi="Verdana"/>
        </w:rPr>
        <w:t>efectuarse</w:t>
      </w:r>
      <w:r w:rsidRPr="00173792">
        <w:rPr>
          <w:rFonts w:ascii="Verdana" w:hAnsi="Verdana"/>
          <w:spacing w:val="-12"/>
        </w:rPr>
        <w:t xml:space="preserve"> </w:t>
      </w:r>
      <w:r w:rsidRPr="00173792">
        <w:rPr>
          <w:rFonts w:ascii="Verdana" w:hAnsi="Verdana"/>
        </w:rPr>
        <w:t>a</w:t>
      </w:r>
      <w:r w:rsidRPr="00173792">
        <w:rPr>
          <w:rFonts w:ascii="Verdana" w:hAnsi="Verdana"/>
          <w:spacing w:val="-15"/>
        </w:rPr>
        <w:t xml:space="preserve"> </w:t>
      </w:r>
      <w:r w:rsidRPr="00173792">
        <w:rPr>
          <w:rFonts w:ascii="Verdana" w:hAnsi="Verdana"/>
        </w:rPr>
        <w:t>través</w:t>
      </w:r>
      <w:r w:rsidRPr="00173792">
        <w:rPr>
          <w:rFonts w:ascii="Verdana" w:hAnsi="Verdana"/>
          <w:spacing w:val="-14"/>
        </w:rPr>
        <w:t xml:space="preserve"> </w:t>
      </w:r>
      <w:r w:rsidRPr="00173792">
        <w:rPr>
          <w:rFonts w:ascii="Verdana" w:hAnsi="Verdana"/>
        </w:rPr>
        <w:t>de</w:t>
      </w:r>
      <w:r w:rsidRPr="00173792">
        <w:rPr>
          <w:rFonts w:ascii="Verdana" w:hAnsi="Verdana"/>
          <w:spacing w:val="-15"/>
        </w:rPr>
        <w:t xml:space="preserve"> </w:t>
      </w:r>
      <w:r w:rsidRPr="00173792">
        <w:rPr>
          <w:rFonts w:ascii="Verdana" w:hAnsi="Verdana"/>
        </w:rPr>
        <w:t>la</w:t>
      </w:r>
      <w:r w:rsidRPr="00173792">
        <w:rPr>
          <w:rFonts w:ascii="Verdana" w:hAnsi="Verdana"/>
          <w:spacing w:val="-15"/>
        </w:rPr>
        <w:t xml:space="preserve"> </w:t>
      </w:r>
      <w:r w:rsidRPr="00173792">
        <w:rPr>
          <w:rFonts w:ascii="Verdana" w:hAnsi="Verdana"/>
        </w:rPr>
        <w:t>modalidad de contratación directa. Así lo dispone el artículo 2, numeral 4°, literal h) de la Ley</w:t>
      </w:r>
      <w:r w:rsidRPr="00173792">
        <w:rPr>
          <w:rFonts w:ascii="Verdana" w:hAnsi="Verdana"/>
          <w:spacing w:val="-7"/>
        </w:rPr>
        <w:t xml:space="preserve"> </w:t>
      </w:r>
      <w:r w:rsidRPr="00173792">
        <w:rPr>
          <w:rFonts w:ascii="Verdana" w:hAnsi="Verdana"/>
        </w:rPr>
        <w:t>1150</w:t>
      </w:r>
      <w:r w:rsidRPr="00173792">
        <w:rPr>
          <w:rFonts w:ascii="Verdana" w:hAnsi="Verdana"/>
          <w:spacing w:val="-6"/>
        </w:rPr>
        <w:t xml:space="preserve"> </w:t>
      </w:r>
      <w:r w:rsidRPr="00173792">
        <w:rPr>
          <w:rFonts w:ascii="Verdana" w:hAnsi="Verdana"/>
        </w:rPr>
        <w:t>de</w:t>
      </w:r>
      <w:r w:rsidRPr="00173792">
        <w:rPr>
          <w:rFonts w:ascii="Verdana" w:hAnsi="Verdana"/>
          <w:spacing w:val="-7"/>
        </w:rPr>
        <w:t xml:space="preserve"> </w:t>
      </w:r>
      <w:r w:rsidRPr="00173792">
        <w:rPr>
          <w:rFonts w:ascii="Verdana" w:hAnsi="Verdana"/>
        </w:rPr>
        <w:t xml:space="preserve">2007, el cual señala: </w:t>
      </w:r>
    </w:p>
    <w:p w14:paraId="2BF5F724" w14:textId="77777777" w:rsidR="00C640D3" w:rsidRPr="00173792" w:rsidRDefault="00C640D3" w:rsidP="00C640D3">
      <w:pPr>
        <w:pStyle w:val="Textoindependiente"/>
        <w:ind w:firstLine="709"/>
        <w:jc w:val="both"/>
        <w:rPr>
          <w:rFonts w:ascii="Verdana" w:hAnsi="Verdana"/>
        </w:rPr>
      </w:pPr>
    </w:p>
    <w:p w14:paraId="1616D80D"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“La</w:t>
      </w:r>
      <w:r w:rsidRPr="00173792">
        <w:rPr>
          <w:rFonts w:ascii="Verdana" w:hAnsi="Verdana"/>
          <w:spacing w:val="-4"/>
          <w:sz w:val="20"/>
          <w:szCs w:val="20"/>
          <w:lang w:val="es-ES"/>
        </w:rPr>
        <w:t xml:space="preserve"> </w:t>
      </w:r>
      <w:r w:rsidRPr="00173792">
        <w:rPr>
          <w:rFonts w:ascii="Verdana" w:hAnsi="Verdana"/>
          <w:sz w:val="20"/>
          <w:szCs w:val="20"/>
          <w:lang w:val="es-ES"/>
        </w:rPr>
        <w:t>escogencia</w:t>
      </w:r>
      <w:r w:rsidRPr="00173792">
        <w:rPr>
          <w:rFonts w:ascii="Verdana" w:hAnsi="Verdana"/>
          <w:spacing w:val="-4"/>
          <w:sz w:val="20"/>
          <w:szCs w:val="20"/>
          <w:lang w:val="es-ES"/>
        </w:rPr>
        <w:t xml:space="preserve"> </w:t>
      </w:r>
      <w:r w:rsidRPr="00173792">
        <w:rPr>
          <w:rFonts w:ascii="Verdana" w:hAnsi="Verdana"/>
          <w:sz w:val="20"/>
          <w:szCs w:val="20"/>
          <w:lang w:val="es-ES"/>
        </w:rPr>
        <w:t>del</w:t>
      </w:r>
      <w:r w:rsidRPr="00173792">
        <w:rPr>
          <w:rFonts w:ascii="Verdana" w:hAnsi="Verdana"/>
          <w:spacing w:val="-4"/>
          <w:sz w:val="20"/>
          <w:szCs w:val="20"/>
          <w:lang w:val="es-ES"/>
        </w:rPr>
        <w:t xml:space="preserve"> </w:t>
      </w:r>
      <w:r w:rsidRPr="00173792">
        <w:rPr>
          <w:rFonts w:ascii="Verdana" w:hAnsi="Verdana"/>
          <w:sz w:val="20"/>
          <w:szCs w:val="20"/>
          <w:lang w:val="es-ES"/>
        </w:rPr>
        <w:t>contratista</w:t>
      </w:r>
      <w:r w:rsidRPr="00173792">
        <w:rPr>
          <w:rFonts w:ascii="Verdana" w:hAnsi="Verdana"/>
          <w:spacing w:val="-4"/>
          <w:sz w:val="20"/>
          <w:szCs w:val="20"/>
          <w:lang w:val="es-ES"/>
        </w:rPr>
        <w:t xml:space="preserve"> </w:t>
      </w:r>
      <w:r w:rsidRPr="00173792">
        <w:rPr>
          <w:rFonts w:ascii="Verdana" w:hAnsi="Verdana"/>
          <w:sz w:val="20"/>
          <w:szCs w:val="20"/>
          <w:lang w:val="es-ES"/>
        </w:rPr>
        <w:t>se</w:t>
      </w:r>
      <w:r w:rsidRPr="00173792">
        <w:rPr>
          <w:rFonts w:ascii="Verdana" w:hAnsi="Verdana"/>
          <w:spacing w:val="-4"/>
          <w:sz w:val="20"/>
          <w:szCs w:val="20"/>
          <w:lang w:val="es-ES"/>
        </w:rPr>
        <w:t xml:space="preserve"> </w:t>
      </w:r>
      <w:r w:rsidRPr="00173792">
        <w:rPr>
          <w:rFonts w:ascii="Verdana" w:hAnsi="Verdana"/>
          <w:sz w:val="20"/>
          <w:szCs w:val="20"/>
          <w:lang w:val="es-ES"/>
        </w:rPr>
        <w:t>efectuará</w:t>
      </w:r>
      <w:r w:rsidRPr="00173792">
        <w:rPr>
          <w:rFonts w:ascii="Verdana" w:hAnsi="Verdana"/>
          <w:spacing w:val="-4"/>
          <w:sz w:val="20"/>
          <w:szCs w:val="20"/>
          <w:lang w:val="es-ES"/>
        </w:rPr>
        <w:t xml:space="preserve"> </w:t>
      </w:r>
      <w:r w:rsidRPr="00173792">
        <w:rPr>
          <w:rFonts w:ascii="Verdana" w:hAnsi="Verdana"/>
          <w:sz w:val="20"/>
          <w:szCs w:val="20"/>
          <w:lang w:val="es-ES"/>
        </w:rPr>
        <w:t>con</w:t>
      </w:r>
      <w:r w:rsidRPr="00173792">
        <w:rPr>
          <w:rFonts w:ascii="Verdana" w:hAnsi="Verdana"/>
          <w:spacing w:val="-4"/>
          <w:sz w:val="20"/>
          <w:szCs w:val="20"/>
          <w:lang w:val="es-ES"/>
        </w:rPr>
        <w:t xml:space="preserve"> </w:t>
      </w:r>
      <w:r w:rsidRPr="00173792">
        <w:rPr>
          <w:rFonts w:ascii="Verdana" w:hAnsi="Verdana"/>
          <w:sz w:val="20"/>
          <w:szCs w:val="20"/>
          <w:lang w:val="es-ES"/>
        </w:rPr>
        <w:t>arreglo</w:t>
      </w:r>
      <w:r w:rsidRPr="00173792">
        <w:rPr>
          <w:rFonts w:ascii="Verdana" w:hAnsi="Verdana"/>
          <w:spacing w:val="-4"/>
          <w:sz w:val="20"/>
          <w:szCs w:val="20"/>
          <w:lang w:val="es-ES"/>
        </w:rPr>
        <w:t xml:space="preserve"> </w:t>
      </w:r>
      <w:r w:rsidRPr="00173792">
        <w:rPr>
          <w:rFonts w:ascii="Verdana" w:hAnsi="Verdana"/>
          <w:sz w:val="20"/>
          <w:szCs w:val="20"/>
          <w:lang w:val="es-ES"/>
        </w:rPr>
        <w:t>a</w:t>
      </w:r>
      <w:r w:rsidRPr="00173792">
        <w:rPr>
          <w:rFonts w:ascii="Verdana" w:hAnsi="Verdana"/>
          <w:spacing w:val="-4"/>
          <w:sz w:val="20"/>
          <w:szCs w:val="20"/>
          <w:lang w:val="es-ES"/>
        </w:rPr>
        <w:t xml:space="preserve"> </w:t>
      </w:r>
      <w:r w:rsidRPr="00173792">
        <w:rPr>
          <w:rFonts w:ascii="Verdana" w:hAnsi="Verdana"/>
          <w:sz w:val="20"/>
          <w:szCs w:val="20"/>
          <w:lang w:val="es-ES"/>
        </w:rPr>
        <w:t>las</w:t>
      </w:r>
      <w:r w:rsidRPr="00173792">
        <w:rPr>
          <w:rFonts w:ascii="Verdana" w:hAnsi="Verdana"/>
          <w:spacing w:val="-4"/>
          <w:sz w:val="20"/>
          <w:szCs w:val="20"/>
          <w:lang w:val="es-ES"/>
        </w:rPr>
        <w:t xml:space="preserve"> </w:t>
      </w:r>
      <w:r w:rsidRPr="00173792">
        <w:rPr>
          <w:rFonts w:ascii="Verdana" w:hAnsi="Verdana"/>
          <w:sz w:val="20"/>
          <w:szCs w:val="20"/>
          <w:lang w:val="es-ES"/>
        </w:rPr>
        <w:t>modalidades</w:t>
      </w:r>
      <w:r w:rsidRPr="00173792">
        <w:rPr>
          <w:rFonts w:ascii="Verdana" w:hAnsi="Verdana"/>
          <w:spacing w:val="-4"/>
          <w:sz w:val="20"/>
          <w:szCs w:val="20"/>
          <w:lang w:val="es-ES"/>
        </w:rPr>
        <w:t xml:space="preserve"> </w:t>
      </w:r>
      <w:r w:rsidRPr="00173792">
        <w:rPr>
          <w:rFonts w:ascii="Verdana" w:hAnsi="Verdana"/>
          <w:sz w:val="20"/>
          <w:szCs w:val="20"/>
          <w:lang w:val="es-ES"/>
        </w:rPr>
        <w:t>de</w:t>
      </w:r>
      <w:r w:rsidRPr="00173792">
        <w:rPr>
          <w:rFonts w:ascii="Verdana" w:hAnsi="Verdana"/>
          <w:spacing w:val="-4"/>
          <w:sz w:val="20"/>
          <w:szCs w:val="20"/>
          <w:lang w:val="es-ES"/>
        </w:rPr>
        <w:t xml:space="preserve"> </w:t>
      </w:r>
      <w:r w:rsidRPr="00173792">
        <w:rPr>
          <w:rFonts w:ascii="Verdana" w:hAnsi="Verdana"/>
          <w:sz w:val="20"/>
          <w:szCs w:val="20"/>
          <w:lang w:val="es-ES"/>
        </w:rPr>
        <w:t>selección</w:t>
      </w:r>
      <w:r w:rsidRPr="00173792">
        <w:rPr>
          <w:rFonts w:ascii="Verdana" w:hAnsi="Verdana"/>
          <w:spacing w:val="-4"/>
          <w:sz w:val="20"/>
          <w:szCs w:val="20"/>
          <w:lang w:val="es-ES"/>
        </w:rPr>
        <w:t xml:space="preserve"> </w:t>
      </w:r>
      <w:r w:rsidRPr="00173792">
        <w:rPr>
          <w:rFonts w:ascii="Verdana" w:hAnsi="Verdana"/>
          <w:sz w:val="20"/>
          <w:szCs w:val="20"/>
          <w:lang w:val="es-ES"/>
        </w:rPr>
        <w:t>de</w:t>
      </w:r>
      <w:r w:rsidRPr="00173792">
        <w:rPr>
          <w:rFonts w:ascii="Verdana" w:hAnsi="Verdana"/>
          <w:spacing w:val="-4"/>
          <w:sz w:val="20"/>
          <w:szCs w:val="20"/>
          <w:lang w:val="es-ES"/>
        </w:rPr>
        <w:t xml:space="preserve"> </w:t>
      </w:r>
      <w:r w:rsidRPr="00173792">
        <w:rPr>
          <w:rFonts w:ascii="Verdana" w:hAnsi="Verdana"/>
          <w:sz w:val="20"/>
          <w:szCs w:val="20"/>
          <w:lang w:val="es-ES"/>
        </w:rPr>
        <w:t>licitación</w:t>
      </w:r>
      <w:r w:rsidRPr="00173792">
        <w:rPr>
          <w:rFonts w:ascii="Verdana" w:hAnsi="Verdana"/>
          <w:spacing w:val="-4"/>
          <w:sz w:val="20"/>
          <w:szCs w:val="20"/>
          <w:lang w:val="es-ES"/>
        </w:rPr>
        <w:t xml:space="preserve"> </w:t>
      </w:r>
      <w:r w:rsidRPr="00173792">
        <w:rPr>
          <w:rFonts w:ascii="Verdana" w:hAnsi="Verdana"/>
          <w:sz w:val="20"/>
          <w:szCs w:val="20"/>
          <w:lang w:val="es-ES"/>
        </w:rPr>
        <w:t>pública,</w:t>
      </w:r>
      <w:r w:rsidRPr="00173792">
        <w:rPr>
          <w:rFonts w:ascii="Verdana" w:hAnsi="Verdana"/>
          <w:spacing w:val="-4"/>
          <w:sz w:val="20"/>
          <w:szCs w:val="20"/>
          <w:lang w:val="es-ES"/>
        </w:rPr>
        <w:t xml:space="preserve"> </w:t>
      </w:r>
      <w:r w:rsidRPr="00173792">
        <w:rPr>
          <w:rFonts w:ascii="Verdana" w:hAnsi="Verdana"/>
          <w:sz w:val="20"/>
          <w:szCs w:val="20"/>
          <w:lang w:val="es-ES"/>
        </w:rPr>
        <w:t>selección</w:t>
      </w:r>
      <w:r w:rsidRPr="00173792">
        <w:rPr>
          <w:rFonts w:ascii="Verdana" w:hAnsi="Verdana"/>
          <w:spacing w:val="-4"/>
          <w:sz w:val="20"/>
          <w:szCs w:val="20"/>
          <w:lang w:val="es-ES"/>
        </w:rPr>
        <w:t xml:space="preserve"> </w:t>
      </w:r>
      <w:r w:rsidRPr="00173792">
        <w:rPr>
          <w:rFonts w:ascii="Verdana" w:hAnsi="Verdana"/>
          <w:sz w:val="20"/>
          <w:szCs w:val="20"/>
          <w:lang w:val="es-ES"/>
        </w:rPr>
        <w:t>abreviada,</w:t>
      </w:r>
      <w:r w:rsidRPr="00173792">
        <w:rPr>
          <w:rFonts w:ascii="Verdana" w:hAnsi="Verdana"/>
          <w:spacing w:val="-4"/>
          <w:sz w:val="20"/>
          <w:szCs w:val="20"/>
          <w:lang w:val="es-ES"/>
        </w:rPr>
        <w:t xml:space="preserve"> </w:t>
      </w:r>
      <w:r w:rsidRPr="00173792">
        <w:rPr>
          <w:rFonts w:ascii="Verdana" w:hAnsi="Verdana"/>
          <w:sz w:val="20"/>
          <w:szCs w:val="20"/>
          <w:lang w:val="es-ES"/>
        </w:rPr>
        <w:t>concurso</w:t>
      </w:r>
      <w:r w:rsidRPr="00173792">
        <w:rPr>
          <w:rFonts w:ascii="Verdana" w:hAnsi="Verdana"/>
          <w:spacing w:val="-4"/>
          <w:sz w:val="20"/>
          <w:szCs w:val="20"/>
          <w:lang w:val="es-ES"/>
        </w:rPr>
        <w:t xml:space="preserve"> </w:t>
      </w:r>
      <w:r w:rsidRPr="00173792">
        <w:rPr>
          <w:rFonts w:ascii="Verdana" w:hAnsi="Verdana"/>
          <w:sz w:val="20"/>
          <w:szCs w:val="20"/>
          <w:lang w:val="es-ES"/>
        </w:rPr>
        <w:t>de méritos y contratación directa, con base en las siguientes reglas:</w:t>
      </w:r>
    </w:p>
    <w:p w14:paraId="056B3881" w14:textId="77777777" w:rsidR="00C640D3" w:rsidRPr="00173792" w:rsidRDefault="00C640D3" w:rsidP="00C640D3">
      <w:pPr>
        <w:spacing w:after="0" w:line="240" w:lineRule="auto"/>
        <w:ind w:right="709"/>
        <w:jc w:val="both"/>
        <w:rPr>
          <w:rFonts w:ascii="Verdana" w:hAnsi="Verdana"/>
          <w:sz w:val="20"/>
          <w:szCs w:val="20"/>
          <w:lang w:val="es-ES"/>
        </w:rPr>
      </w:pPr>
      <w:r w:rsidRPr="00173792">
        <w:rPr>
          <w:rFonts w:ascii="Verdana" w:hAnsi="Verdana"/>
          <w:sz w:val="20"/>
          <w:szCs w:val="20"/>
          <w:lang w:val="es-ES"/>
        </w:rPr>
        <w:t xml:space="preserve">          </w:t>
      </w:r>
      <w:r w:rsidRPr="00173792">
        <w:rPr>
          <w:rFonts w:ascii="Verdana" w:hAnsi="Verdana"/>
          <w:spacing w:val="-5"/>
          <w:sz w:val="20"/>
          <w:szCs w:val="20"/>
          <w:lang w:val="es-ES"/>
        </w:rPr>
        <w:t>[…]</w:t>
      </w:r>
    </w:p>
    <w:p w14:paraId="7D634ECD"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“4. Contratación</w:t>
      </w:r>
      <w:r w:rsidRPr="00173792">
        <w:rPr>
          <w:rFonts w:ascii="Verdana" w:hAnsi="Verdana"/>
          <w:spacing w:val="-4"/>
          <w:sz w:val="20"/>
          <w:szCs w:val="20"/>
          <w:lang w:val="es-ES"/>
        </w:rPr>
        <w:t xml:space="preserve"> </w:t>
      </w:r>
      <w:r w:rsidRPr="00173792">
        <w:rPr>
          <w:rFonts w:ascii="Verdana" w:hAnsi="Verdana"/>
          <w:sz w:val="20"/>
          <w:szCs w:val="20"/>
          <w:lang w:val="es-ES"/>
        </w:rPr>
        <w:t>directa.</w:t>
      </w:r>
      <w:r w:rsidRPr="00173792">
        <w:rPr>
          <w:rFonts w:ascii="Verdana" w:hAnsi="Verdana"/>
          <w:spacing w:val="-4"/>
          <w:sz w:val="20"/>
          <w:szCs w:val="20"/>
          <w:lang w:val="es-ES"/>
        </w:rPr>
        <w:t xml:space="preserve"> </w:t>
      </w:r>
      <w:r w:rsidRPr="00173792">
        <w:rPr>
          <w:rFonts w:ascii="Verdana" w:hAnsi="Verdana"/>
          <w:sz w:val="20"/>
          <w:szCs w:val="20"/>
          <w:lang w:val="es-ES"/>
        </w:rPr>
        <w:t>La</w:t>
      </w:r>
      <w:r w:rsidRPr="00173792">
        <w:rPr>
          <w:rFonts w:ascii="Verdana" w:hAnsi="Verdana"/>
          <w:spacing w:val="-4"/>
          <w:sz w:val="20"/>
          <w:szCs w:val="20"/>
          <w:lang w:val="es-ES"/>
        </w:rPr>
        <w:t xml:space="preserve"> </w:t>
      </w:r>
      <w:r w:rsidRPr="00173792">
        <w:rPr>
          <w:rFonts w:ascii="Verdana" w:hAnsi="Verdana"/>
          <w:sz w:val="20"/>
          <w:szCs w:val="20"/>
          <w:lang w:val="es-ES"/>
        </w:rPr>
        <w:t>modalidad</w:t>
      </w:r>
      <w:r w:rsidRPr="00173792">
        <w:rPr>
          <w:rFonts w:ascii="Verdana" w:hAnsi="Verdana"/>
          <w:spacing w:val="-4"/>
          <w:sz w:val="20"/>
          <w:szCs w:val="20"/>
          <w:lang w:val="es-ES"/>
        </w:rPr>
        <w:t xml:space="preserve"> </w:t>
      </w:r>
      <w:r w:rsidRPr="00173792">
        <w:rPr>
          <w:rFonts w:ascii="Verdana" w:hAnsi="Verdana"/>
          <w:sz w:val="20"/>
          <w:szCs w:val="20"/>
          <w:lang w:val="es-ES"/>
        </w:rPr>
        <w:t>de</w:t>
      </w:r>
      <w:r w:rsidRPr="00173792">
        <w:rPr>
          <w:rFonts w:ascii="Verdana" w:hAnsi="Verdana"/>
          <w:spacing w:val="-4"/>
          <w:sz w:val="20"/>
          <w:szCs w:val="20"/>
          <w:lang w:val="es-ES"/>
        </w:rPr>
        <w:t xml:space="preserve"> </w:t>
      </w:r>
      <w:r w:rsidRPr="00173792">
        <w:rPr>
          <w:rFonts w:ascii="Verdana" w:hAnsi="Verdana"/>
          <w:sz w:val="20"/>
          <w:szCs w:val="20"/>
          <w:lang w:val="es-ES"/>
        </w:rPr>
        <w:t>selección</w:t>
      </w:r>
      <w:r w:rsidRPr="00173792">
        <w:rPr>
          <w:rFonts w:ascii="Verdana" w:hAnsi="Verdana"/>
          <w:spacing w:val="-4"/>
          <w:sz w:val="20"/>
          <w:szCs w:val="20"/>
          <w:lang w:val="es-ES"/>
        </w:rPr>
        <w:t xml:space="preserve"> </w:t>
      </w:r>
      <w:r w:rsidRPr="00173792">
        <w:rPr>
          <w:rFonts w:ascii="Verdana" w:hAnsi="Verdana"/>
          <w:sz w:val="20"/>
          <w:szCs w:val="20"/>
          <w:lang w:val="es-ES"/>
        </w:rPr>
        <w:t>de</w:t>
      </w:r>
      <w:r w:rsidRPr="00173792">
        <w:rPr>
          <w:rFonts w:ascii="Verdana" w:hAnsi="Verdana"/>
          <w:spacing w:val="-4"/>
          <w:sz w:val="20"/>
          <w:szCs w:val="20"/>
          <w:lang w:val="es-ES"/>
        </w:rPr>
        <w:t xml:space="preserve"> </w:t>
      </w:r>
      <w:r w:rsidRPr="00173792">
        <w:rPr>
          <w:rFonts w:ascii="Verdana" w:hAnsi="Verdana"/>
          <w:sz w:val="20"/>
          <w:szCs w:val="20"/>
          <w:lang w:val="es-ES"/>
        </w:rPr>
        <w:t xml:space="preserve">contratación </w:t>
      </w:r>
      <w:proofErr w:type="gramStart"/>
      <w:r w:rsidRPr="00173792">
        <w:rPr>
          <w:rFonts w:ascii="Verdana" w:hAnsi="Verdana"/>
          <w:sz w:val="20"/>
          <w:szCs w:val="20"/>
          <w:lang w:val="es-ES"/>
        </w:rPr>
        <w:t>directa,</w:t>
      </w:r>
      <w:proofErr w:type="gramEnd"/>
      <w:r w:rsidRPr="00173792">
        <w:rPr>
          <w:rFonts w:ascii="Verdana" w:hAnsi="Verdana"/>
          <w:spacing w:val="-3"/>
          <w:sz w:val="20"/>
          <w:szCs w:val="20"/>
          <w:lang w:val="es-ES"/>
        </w:rPr>
        <w:t xml:space="preserve"> </w:t>
      </w:r>
      <w:r w:rsidRPr="00173792">
        <w:rPr>
          <w:rFonts w:ascii="Verdana" w:hAnsi="Verdana"/>
          <w:sz w:val="20"/>
          <w:szCs w:val="20"/>
          <w:lang w:val="es-ES"/>
        </w:rPr>
        <w:t>solamente</w:t>
      </w:r>
      <w:r w:rsidRPr="00173792">
        <w:rPr>
          <w:rFonts w:ascii="Verdana" w:hAnsi="Verdana"/>
          <w:spacing w:val="-4"/>
          <w:sz w:val="20"/>
          <w:szCs w:val="20"/>
          <w:lang w:val="es-ES"/>
        </w:rPr>
        <w:t xml:space="preserve"> </w:t>
      </w:r>
      <w:r w:rsidRPr="00173792">
        <w:rPr>
          <w:rFonts w:ascii="Verdana" w:hAnsi="Verdana"/>
          <w:sz w:val="20"/>
          <w:szCs w:val="20"/>
          <w:lang w:val="es-ES"/>
        </w:rPr>
        <w:t>procederá</w:t>
      </w:r>
      <w:r w:rsidRPr="00173792">
        <w:rPr>
          <w:rFonts w:ascii="Verdana" w:hAnsi="Verdana"/>
          <w:spacing w:val="-4"/>
          <w:sz w:val="20"/>
          <w:szCs w:val="20"/>
          <w:lang w:val="es-ES"/>
        </w:rPr>
        <w:t xml:space="preserve"> </w:t>
      </w:r>
      <w:r w:rsidRPr="00173792">
        <w:rPr>
          <w:rFonts w:ascii="Verdana" w:hAnsi="Verdana"/>
          <w:sz w:val="20"/>
          <w:szCs w:val="20"/>
          <w:lang w:val="es-ES"/>
        </w:rPr>
        <w:t>en</w:t>
      </w:r>
      <w:r w:rsidRPr="00173792">
        <w:rPr>
          <w:rFonts w:ascii="Verdana" w:hAnsi="Verdana"/>
          <w:spacing w:val="-4"/>
          <w:sz w:val="20"/>
          <w:szCs w:val="20"/>
          <w:lang w:val="es-ES"/>
        </w:rPr>
        <w:t xml:space="preserve"> </w:t>
      </w:r>
      <w:r w:rsidRPr="00173792">
        <w:rPr>
          <w:rFonts w:ascii="Verdana" w:hAnsi="Verdana"/>
          <w:sz w:val="20"/>
          <w:szCs w:val="20"/>
          <w:lang w:val="es-ES"/>
        </w:rPr>
        <w:t>los</w:t>
      </w:r>
      <w:r w:rsidRPr="00173792">
        <w:rPr>
          <w:rFonts w:ascii="Verdana" w:hAnsi="Verdana"/>
          <w:spacing w:val="-4"/>
          <w:sz w:val="20"/>
          <w:szCs w:val="20"/>
          <w:lang w:val="es-ES"/>
        </w:rPr>
        <w:t xml:space="preserve"> </w:t>
      </w:r>
      <w:r w:rsidRPr="00173792">
        <w:rPr>
          <w:rFonts w:ascii="Verdana" w:hAnsi="Verdana"/>
          <w:sz w:val="20"/>
          <w:szCs w:val="20"/>
          <w:lang w:val="es-ES"/>
        </w:rPr>
        <w:t>siguientes</w:t>
      </w:r>
      <w:r w:rsidRPr="00173792">
        <w:rPr>
          <w:rFonts w:ascii="Verdana" w:hAnsi="Verdana"/>
          <w:spacing w:val="-4"/>
          <w:sz w:val="20"/>
          <w:szCs w:val="20"/>
          <w:lang w:val="es-ES"/>
        </w:rPr>
        <w:t xml:space="preserve"> </w:t>
      </w:r>
      <w:r w:rsidRPr="00173792">
        <w:rPr>
          <w:rFonts w:ascii="Verdana" w:hAnsi="Verdana"/>
          <w:sz w:val="20"/>
          <w:szCs w:val="20"/>
          <w:lang w:val="es-ES"/>
        </w:rPr>
        <w:t xml:space="preserve">casos: </w:t>
      </w:r>
      <w:r w:rsidRPr="00173792">
        <w:rPr>
          <w:rFonts w:ascii="Verdana" w:hAnsi="Verdana"/>
          <w:spacing w:val="-4"/>
          <w:sz w:val="20"/>
          <w:szCs w:val="20"/>
          <w:lang w:val="es-ES"/>
        </w:rPr>
        <w:t>[…]</w:t>
      </w:r>
    </w:p>
    <w:p w14:paraId="65D3198A" w14:textId="77777777" w:rsidR="00C640D3" w:rsidRPr="00173792" w:rsidRDefault="00C640D3" w:rsidP="00C640D3">
      <w:pPr>
        <w:spacing w:after="0" w:line="240" w:lineRule="auto"/>
        <w:ind w:left="709" w:right="709"/>
        <w:jc w:val="both"/>
        <w:rPr>
          <w:rFonts w:ascii="Verdana" w:hAnsi="Verdana"/>
          <w:sz w:val="20"/>
          <w:szCs w:val="20"/>
          <w:lang w:val="es-ES"/>
        </w:rPr>
      </w:pPr>
    </w:p>
    <w:p w14:paraId="6E87A1C4"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h) Para</w:t>
      </w:r>
      <w:r w:rsidRPr="00173792">
        <w:rPr>
          <w:rFonts w:ascii="Verdana" w:hAnsi="Verdana"/>
          <w:spacing w:val="-3"/>
          <w:sz w:val="20"/>
          <w:szCs w:val="20"/>
          <w:lang w:val="es-ES"/>
        </w:rPr>
        <w:t xml:space="preserve"> </w:t>
      </w:r>
      <w:r w:rsidRPr="00173792">
        <w:rPr>
          <w:rFonts w:ascii="Verdana" w:hAnsi="Verdana"/>
          <w:sz w:val="20"/>
          <w:szCs w:val="20"/>
          <w:lang w:val="es-ES"/>
        </w:rPr>
        <w:t>la</w:t>
      </w:r>
      <w:r w:rsidRPr="00173792">
        <w:rPr>
          <w:rFonts w:ascii="Verdana" w:hAnsi="Verdana"/>
          <w:spacing w:val="-3"/>
          <w:sz w:val="20"/>
          <w:szCs w:val="20"/>
          <w:lang w:val="es-ES"/>
        </w:rPr>
        <w:t xml:space="preserve"> </w:t>
      </w:r>
      <w:r w:rsidRPr="00173792">
        <w:rPr>
          <w:rFonts w:ascii="Verdana" w:hAnsi="Verdana"/>
          <w:sz w:val="20"/>
          <w:szCs w:val="20"/>
          <w:lang w:val="es-ES"/>
        </w:rPr>
        <w:t>prestación</w:t>
      </w:r>
      <w:r w:rsidRPr="00173792">
        <w:rPr>
          <w:rFonts w:ascii="Verdana" w:hAnsi="Verdana"/>
          <w:spacing w:val="-3"/>
          <w:sz w:val="20"/>
          <w:szCs w:val="20"/>
          <w:lang w:val="es-ES"/>
        </w:rPr>
        <w:t xml:space="preserve"> </w:t>
      </w:r>
      <w:r w:rsidRPr="00173792">
        <w:rPr>
          <w:rFonts w:ascii="Verdana" w:hAnsi="Verdana"/>
          <w:sz w:val="20"/>
          <w:szCs w:val="20"/>
          <w:lang w:val="es-ES"/>
        </w:rPr>
        <w:t>de</w:t>
      </w:r>
      <w:r w:rsidRPr="00173792">
        <w:rPr>
          <w:rFonts w:ascii="Verdana" w:hAnsi="Verdana"/>
          <w:spacing w:val="-3"/>
          <w:sz w:val="20"/>
          <w:szCs w:val="20"/>
          <w:lang w:val="es-ES"/>
        </w:rPr>
        <w:t xml:space="preserve"> </w:t>
      </w:r>
      <w:r w:rsidRPr="00173792">
        <w:rPr>
          <w:rFonts w:ascii="Verdana" w:hAnsi="Verdana"/>
          <w:sz w:val="20"/>
          <w:szCs w:val="20"/>
          <w:lang w:val="es-ES"/>
        </w:rPr>
        <w:t>servicios</w:t>
      </w:r>
      <w:r w:rsidRPr="00173792">
        <w:rPr>
          <w:rFonts w:ascii="Verdana" w:hAnsi="Verdana"/>
          <w:spacing w:val="-3"/>
          <w:sz w:val="20"/>
          <w:szCs w:val="20"/>
          <w:lang w:val="es-ES"/>
        </w:rPr>
        <w:t xml:space="preserve"> </w:t>
      </w:r>
      <w:r w:rsidRPr="00173792">
        <w:rPr>
          <w:rFonts w:ascii="Verdana" w:hAnsi="Verdana"/>
          <w:sz w:val="20"/>
          <w:szCs w:val="20"/>
          <w:lang w:val="es-ES"/>
        </w:rPr>
        <w:t>profesionales</w:t>
      </w:r>
      <w:r w:rsidRPr="00173792">
        <w:rPr>
          <w:rFonts w:ascii="Verdana" w:hAnsi="Verdana"/>
          <w:spacing w:val="-3"/>
          <w:sz w:val="20"/>
          <w:szCs w:val="20"/>
          <w:lang w:val="es-ES"/>
        </w:rPr>
        <w:t xml:space="preserve"> </w:t>
      </w:r>
      <w:r w:rsidRPr="00173792">
        <w:rPr>
          <w:rFonts w:ascii="Verdana" w:hAnsi="Verdana"/>
          <w:sz w:val="20"/>
          <w:szCs w:val="20"/>
          <w:lang w:val="es-ES"/>
        </w:rPr>
        <w:t>y</w:t>
      </w:r>
      <w:r w:rsidRPr="00173792">
        <w:rPr>
          <w:rFonts w:ascii="Verdana" w:hAnsi="Verdana"/>
          <w:spacing w:val="-3"/>
          <w:sz w:val="20"/>
          <w:szCs w:val="20"/>
          <w:lang w:val="es-ES"/>
        </w:rPr>
        <w:t xml:space="preserve"> </w:t>
      </w:r>
      <w:r w:rsidRPr="00173792">
        <w:rPr>
          <w:rFonts w:ascii="Verdana" w:hAnsi="Verdana"/>
          <w:sz w:val="20"/>
          <w:szCs w:val="20"/>
          <w:lang w:val="es-ES"/>
        </w:rPr>
        <w:t>de</w:t>
      </w:r>
      <w:r w:rsidRPr="00173792">
        <w:rPr>
          <w:rFonts w:ascii="Verdana" w:hAnsi="Verdana"/>
          <w:spacing w:val="-3"/>
          <w:sz w:val="20"/>
          <w:szCs w:val="20"/>
          <w:lang w:val="es-ES"/>
        </w:rPr>
        <w:t xml:space="preserve"> </w:t>
      </w:r>
      <w:r w:rsidRPr="00173792">
        <w:rPr>
          <w:rFonts w:ascii="Verdana" w:hAnsi="Verdana"/>
          <w:sz w:val="20"/>
          <w:szCs w:val="20"/>
          <w:lang w:val="es-ES"/>
        </w:rPr>
        <w:t>apoyo</w:t>
      </w:r>
      <w:r w:rsidRPr="00173792">
        <w:rPr>
          <w:rFonts w:ascii="Verdana" w:hAnsi="Verdana"/>
          <w:spacing w:val="-3"/>
          <w:sz w:val="20"/>
          <w:szCs w:val="20"/>
          <w:lang w:val="es-ES"/>
        </w:rPr>
        <w:t xml:space="preserve"> </w:t>
      </w:r>
      <w:r w:rsidRPr="00173792">
        <w:rPr>
          <w:rFonts w:ascii="Verdana" w:hAnsi="Verdana"/>
          <w:sz w:val="20"/>
          <w:szCs w:val="20"/>
          <w:lang w:val="es-ES"/>
        </w:rPr>
        <w:t>a</w:t>
      </w:r>
      <w:r w:rsidRPr="00173792">
        <w:rPr>
          <w:rFonts w:ascii="Verdana" w:hAnsi="Verdana"/>
          <w:spacing w:val="-3"/>
          <w:sz w:val="20"/>
          <w:szCs w:val="20"/>
          <w:lang w:val="es-ES"/>
        </w:rPr>
        <w:t xml:space="preserve"> </w:t>
      </w:r>
      <w:r w:rsidRPr="00173792">
        <w:rPr>
          <w:rFonts w:ascii="Verdana" w:hAnsi="Verdana"/>
          <w:sz w:val="20"/>
          <w:szCs w:val="20"/>
          <w:lang w:val="es-ES"/>
        </w:rPr>
        <w:t>la</w:t>
      </w:r>
      <w:r w:rsidRPr="00173792">
        <w:rPr>
          <w:rFonts w:ascii="Verdana" w:hAnsi="Verdana"/>
          <w:spacing w:val="-3"/>
          <w:sz w:val="20"/>
          <w:szCs w:val="20"/>
          <w:lang w:val="es-ES"/>
        </w:rPr>
        <w:t xml:space="preserve"> </w:t>
      </w:r>
      <w:r w:rsidRPr="00173792">
        <w:rPr>
          <w:rFonts w:ascii="Verdana" w:hAnsi="Verdana"/>
          <w:sz w:val="20"/>
          <w:szCs w:val="20"/>
          <w:lang w:val="es-ES"/>
        </w:rPr>
        <w:t>gestión,</w:t>
      </w:r>
      <w:r w:rsidRPr="00173792">
        <w:rPr>
          <w:rFonts w:ascii="Verdana" w:hAnsi="Verdana"/>
          <w:spacing w:val="-3"/>
          <w:sz w:val="20"/>
          <w:szCs w:val="20"/>
          <w:lang w:val="es-ES"/>
        </w:rPr>
        <w:t xml:space="preserve"> </w:t>
      </w:r>
      <w:r w:rsidRPr="00173792">
        <w:rPr>
          <w:rFonts w:ascii="Verdana" w:hAnsi="Verdana"/>
          <w:sz w:val="20"/>
          <w:szCs w:val="20"/>
          <w:lang w:val="es-ES"/>
        </w:rPr>
        <w:t>o</w:t>
      </w:r>
      <w:r w:rsidRPr="00173792">
        <w:rPr>
          <w:rFonts w:ascii="Verdana" w:hAnsi="Verdana"/>
          <w:spacing w:val="-3"/>
          <w:sz w:val="20"/>
          <w:szCs w:val="20"/>
          <w:lang w:val="es-ES"/>
        </w:rPr>
        <w:t xml:space="preserve"> </w:t>
      </w:r>
      <w:r w:rsidRPr="00173792">
        <w:rPr>
          <w:rFonts w:ascii="Verdana" w:hAnsi="Verdana"/>
          <w:sz w:val="20"/>
          <w:szCs w:val="20"/>
          <w:lang w:val="es-ES"/>
        </w:rPr>
        <w:t>para</w:t>
      </w:r>
      <w:r w:rsidRPr="00173792">
        <w:rPr>
          <w:rFonts w:ascii="Verdana" w:hAnsi="Verdana"/>
          <w:spacing w:val="-3"/>
          <w:sz w:val="20"/>
          <w:szCs w:val="20"/>
          <w:lang w:val="es-ES"/>
        </w:rPr>
        <w:t xml:space="preserve"> </w:t>
      </w:r>
      <w:r w:rsidRPr="00173792">
        <w:rPr>
          <w:rFonts w:ascii="Verdana" w:hAnsi="Verdana"/>
          <w:sz w:val="20"/>
          <w:szCs w:val="20"/>
          <w:lang w:val="es-ES"/>
        </w:rPr>
        <w:t>la</w:t>
      </w:r>
      <w:r w:rsidRPr="00173792">
        <w:rPr>
          <w:rFonts w:ascii="Verdana" w:hAnsi="Verdana"/>
          <w:spacing w:val="-3"/>
          <w:sz w:val="20"/>
          <w:szCs w:val="20"/>
          <w:lang w:val="es-ES"/>
        </w:rPr>
        <w:t xml:space="preserve"> </w:t>
      </w:r>
      <w:r w:rsidRPr="00173792">
        <w:rPr>
          <w:rFonts w:ascii="Verdana" w:hAnsi="Verdana"/>
          <w:sz w:val="20"/>
          <w:szCs w:val="20"/>
          <w:lang w:val="es-ES"/>
        </w:rPr>
        <w:t>ejecución</w:t>
      </w:r>
      <w:r w:rsidRPr="00173792">
        <w:rPr>
          <w:rFonts w:ascii="Verdana" w:hAnsi="Verdana"/>
          <w:spacing w:val="-3"/>
          <w:sz w:val="20"/>
          <w:szCs w:val="20"/>
          <w:lang w:val="es-ES"/>
        </w:rPr>
        <w:t xml:space="preserve"> </w:t>
      </w:r>
      <w:r w:rsidRPr="00173792">
        <w:rPr>
          <w:rFonts w:ascii="Verdana" w:hAnsi="Verdana"/>
          <w:sz w:val="20"/>
          <w:szCs w:val="20"/>
          <w:lang w:val="es-ES"/>
        </w:rPr>
        <w:t>de</w:t>
      </w:r>
      <w:r w:rsidRPr="00173792">
        <w:rPr>
          <w:rFonts w:ascii="Verdana" w:hAnsi="Verdana"/>
          <w:spacing w:val="-3"/>
          <w:sz w:val="20"/>
          <w:szCs w:val="20"/>
          <w:lang w:val="es-ES"/>
        </w:rPr>
        <w:t xml:space="preserve"> </w:t>
      </w:r>
      <w:r w:rsidRPr="00173792">
        <w:rPr>
          <w:rFonts w:ascii="Verdana" w:hAnsi="Verdana"/>
          <w:sz w:val="20"/>
          <w:szCs w:val="20"/>
          <w:lang w:val="es-ES"/>
        </w:rPr>
        <w:t>trabajos</w:t>
      </w:r>
      <w:r w:rsidRPr="00173792">
        <w:rPr>
          <w:rFonts w:ascii="Verdana" w:hAnsi="Verdana"/>
          <w:spacing w:val="-3"/>
          <w:sz w:val="20"/>
          <w:szCs w:val="20"/>
          <w:lang w:val="es-ES"/>
        </w:rPr>
        <w:t xml:space="preserve"> </w:t>
      </w:r>
      <w:r w:rsidRPr="00173792">
        <w:rPr>
          <w:rFonts w:ascii="Verdana" w:hAnsi="Verdana"/>
          <w:sz w:val="20"/>
          <w:szCs w:val="20"/>
          <w:lang w:val="es-ES"/>
        </w:rPr>
        <w:t>artísticos</w:t>
      </w:r>
      <w:r w:rsidRPr="00173792">
        <w:rPr>
          <w:rFonts w:ascii="Verdana" w:hAnsi="Verdana"/>
          <w:spacing w:val="-3"/>
          <w:sz w:val="20"/>
          <w:szCs w:val="20"/>
          <w:lang w:val="es-ES"/>
        </w:rPr>
        <w:t xml:space="preserve"> </w:t>
      </w:r>
      <w:r w:rsidRPr="00173792">
        <w:rPr>
          <w:rFonts w:ascii="Verdana" w:hAnsi="Verdana"/>
          <w:sz w:val="20"/>
          <w:szCs w:val="20"/>
          <w:lang w:val="es-ES"/>
        </w:rPr>
        <w:t>que</w:t>
      </w:r>
      <w:r w:rsidRPr="00173792">
        <w:rPr>
          <w:rFonts w:ascii="Verdana" w:hAnsi="Verdana"/>
          <w:spacing w:val="-3"/>
          <w:sz w:val="20"/>
          <w:szCs w:val="20"/>
          <w:lang w:val="es-ES"/>
        </w:rPr>
        <w:t xml:space="preserve"> </w:t>
      </w:r>
      <w:r w:rsidRPr="00173792">
        <w:rPr>
          <w:rFonts w:ascii="Verdana" w:hAnsi="Verdana"/>
          <w:sz w:val="20"/>
          <w:szCs w:val="20"/>
          <w:lang w:val="es-ES"/>
        </w:rPr>
        <w:t>sólo</w:t>
      </w:r>
      <w:r w:rsidRPr="00173792">
        <w:rPr>
          <w:rFonts w:ascii="Verdana" w:hAnsi="Verdana"/>
          <w:spacing w:val="-3"/>
          <w:sz w:val="20"/>
          <w:szCs w:val="20"/>
          <w:lang w:val="es-ES"/>
        </w:rPr>
        <w:t xml:space="preserve"> </w:t>
      </w:r>
      <w:r w:rsidRPr="00173792">
        <w:rPr>
          <w:rFonts w:ascii="Verdana" w:hAnsi="Verdana"/>
          <w:sz w:val="20"/>
          <w:szCs w:val="20"/>
          <w:lang w:val="es-ES"/>
        </w:rPr>
        <w:t>puedan</w:t>
      </w:r>
      <w:r w:rsidRPr="00173792">
        <w:rPr>
          <w:rFonts w:ascii="Verdana" w:hAnsi="Verdana"/>
          <w:spacing w:val="-3"/>
          <w:sz w:val="20"/>
          <w:szCs w:val="20"/>
          <w:lang w:val="es-ES"/>
        </w:rPr>
        <w:t xml:space="preserve"> </w:t>
      </w:r>
      <w:r w:rsidRPr="00173792">
        <w:rPr>
          <w:rFonts w:ascii="Verdana" w:hAnsi="Verdana"/>
          <w:sz w:val="20"/>
          <w:szCs w:val="20"/>
          <w:lang w:val="es-ES"/>
        </w:rPr>
        <w:t>encomendarse a determinadas personas naturales”.</w:t>
      </w:r>
    </w:p>
    <w:p w14:paraId="6455C5DA" w14:textId="77777777" w:rsidR="00C640D3" w:rsidRPr="00173792" w:rsidRDefault="00C640D3" w:rsidP="00C640D3">
      <w:pPr>
        <w:pStyle w:val="Textoindependiente"/>
        <w:spacing w:line="276" w:lineRule="auto"/>
        <w:ind w:firstLine="709"/>
        <w:jc w:val="both"/>
      </w:pPr>
    </w:p>
    <w:p w14:paraId="49941A88" w14:textId="77777777" w:rsidR="00C640D3" w:rsidRPr="00173792" w:rsidRDefault="00C640D3" w:rsidP="00C640D3">
      <w:pPr>
        <w:pStyle w:val="Textoindependiente"/>
        <w:spacing w:line="276" w:lineRule="auto"/>
        <w:ind w:firstLine="709"/>
        <w:jc w:val="both"/>
        <w:rPr>
          <w:rFonts w:ascii="Verdana" w:hAnsi="Verdana"/>
        </w:rPr>
      </w:pPr>
      <w:r w:rsidRPr="00173792">
        <w:rPr>
          <w:rFonts w:ascii="Verdana" w:hAnsi="Verdana"/>
          <w:spacing w:val="-7"/>
        </w:rPr>
        <w:t xml:space="preserve"> </w:t>
      </w:r>
      <w:r w:rsidRPr="00173792">
        <w:rPr>
          <w:rFonts w:ascii="Verdana" w:hAnsi="Verdana"/>
        </w:rPr>
        <w:t>En</w:t>
      </w:r>
      <w:r w:rsidRPr="00173792">
        <w:rPr>
          <w:rFonts w:ascii="Verdana" w:hAnsi="Verdana"/>
          <w:spacing w:val="-7"/>
        </w:rPr>
        <w:t xml:space="preserve"> </w:t>
      </w:r>
      <w:r w:rsidRPr="00173792">
        <w:rPr>
          <w:rFonts w:ascii="Verdana" w:hAnsi="Verdana"/>
        </w:rPr>
        <w:t>tal</w:t>
      </w:r>
      <w:r w:rsidRPr="00173792">
        <w:rPr>
          <w:rFonts w:ascii="Verdana" w:hAnsi="Verdana"/>
          <w:spacing w:val="-7"/>
        </w:rPr>
        <w:t xml:space="preserve"> </w:t>
      </w:r>
      <w:r w:rsidRPr="00173792">
        <w:rPr>
          <w:rFonts w:ascii="Verdana" w:hAnsi="Verdana"/>
        </w:rPr>
        <w:t>sentido,</w:t>
      </w:r>
      <w:r w:rsidRPr="00173792">
        <w:rPr>
          <w:rFonts w:ascii="Verdana" w:hAnsi="Verdana"/>
          <w:spacing w:val="-5"/>
        </w:rPr>
        <w:t xml:space="preserve"> </w:t>
      </w:r>
      <w:r w:rsidRPr="00173792">
        <w:rPr>
          <w:rFonts w:ascii="Verdana" w:hAnsi="Verdana"/>
        </w:rPr>
        <w:t>el</w:t>
      </w:r>
      <w:r w:rsidRPr="00173792">
        <w:rPr>
          <w:rFonts w:ascii="Verdana" w:hAnsi="Verdana"/>
          <w:spacing w:val="-7"/>
        </w:rPr>
        <w:t xml:space="preserve"> </w:t>
      </w:r>
      <w:r w:rsidRPr="00173792">
        <w:rPr>
          <w:rFonts w:ascii="Verdana" w:hAnsi="Verdana"/>
        </w:rPr>
        <w:t>artículo</w:t>
      </w:r>
      <w:r w:rsidRPr="00173792">
        <w:rPr>
          <w:rFonts w:ascii="Verdana" w:hAnsi="Verdana"/>
          <w:spacing w:val="-5"/>
        </w:rPr>
        <w:t xml:space="preserve"> </w:t>
      </w:r>
      <w:r w:rsidRPr="00173792">
        <w:rPr>
          <w:rFonts w:ascii="Verdana" w:hAnsi="Verdana"/>
        </w:rPr>
        <w:t>2.2.1.2.1.4.9</w:t>
      </w:r>
      <w:r w:rsidRPr="00173792">
        <w:rPr>
          <w:rFonts w:ascii="Verdana" w:hAnsi="Verdana"/>
          <w:spacing w:val="-3"/>
        </w:rPr>
        <w:t xml:space="preserve"> </w:t>
      </w:r>
      <w:r w:rsidRPr="00173792">
        <w:rPr>
          <w:rFonts w:ascii="Verdana" w:hAnsi="Verdana"/>
        </w:rPr>
        <w:t>del</w:t>
      </w:r>
      <w:r w:rsidRPr="00173792">
        <w:rPr>
          <w:rFonts w:ascii="Verdana" w:hAnsi="Verdana"/>
          <w:spacing w:val="-7"/>
        </w:rPr>
        <w:t xml:space="preserve"> </w:t>
      </w:r>
      <w:r w:rsidRPr="00173792">
        <w:rPr>
          <w:rFonts w:ascii="Verdana" w:hAnsi="Verdana"/>
        </w:rPr>
        <w:t>Decreto</w:t>
      </w:r>
      <w:r w:rsidRPr="00173792">
        <w:rPr>
          <w:rFonts w:ascii="Verdana" w:hAnsi="Verdana"/>
          <w:spacing w:val="-5"/>
        </w:rPr>
        <w:t xml:space="preserve"> </w:t>
      </w:r>
      <w:r w:rsidRPr="00173792">
        <w:rPr>
          <w:rFonts w:ascii="Verdana" w:hAnsi="Verdana"/>
        </w:rPr>
        <w:t>1082</w:t>
      </w:r>
      <w:r w:rsidRPr="00173792">
        <w:rPr>
          <w:rFonts w:ascii="Verdana" w:hAnsi="Verdana"/>
          <w:spacing w:val="-6"/>
        </w:rPr>
        <w:t xml:space="preserve"> </w:t>
      </w:r>
      <w:r w:rsidRPr="00173792">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51CAA12E" w14:textId="77777777" w:rsidR="00C640D3" w:rsidRPr="00173792" w:rsidRDefault="00C640D3" w:rsidP="00C640D3">
      <w:pPr>
        <w:pStyle w:val="Textoindependiente"/>
        <w:ind w:firstLine="709"/>
        <w:jc w:val="both"/>
        <w:rPr>
          <w:rFonts w:ascii="Verdana" w:hAnsi="Verdana"/>
        </w:rPr>
      </w:pPr>
    </w:p>
    <w:p w14:paraId="65965061"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“Las Entidades Estatales pueden contratar bajo la modalidad de contratación directa la</w:t>
      </w:r>
      <w:r w:rsidRPr="00173792">
        <w:rPr>
          <w:rFonts w:ascii="Verdana" w:hAnsi="Verdana"/>
          <w:spacing w:val="-1"/>
          <w:sz w:val="20"/>
          <w:szCs w:val="20"/>
          <w:lang w:val="es-ES"/>
        </w:rPr>
        <w:t xml:space="preserve"> </w:t>
      </w:r>
      <w:r w:rsidRPr="00173792">
        <w:rPr>
          <w:rFonts w:ascii="Verdana" w:hAnsi="Verdana"/>
          <w:sz w:val="20"/>
          <w:szCs w:val="20"/>
          <w:lang w:val="es-ES"/>
        </w:rPr>
        <w:t>prestación de</w:t>
      </w:r>
      <w:r w:rsidRPr="00173792">
        <w:rPr>
          <w:rFonts w:ascii="Verdana" w:hAnsi="Verdana"/>
          <w:spacing w:val="-1"/>
          <w:sz w:val="20"/>
          <w:szCs w:val="20"/>
          <w:lang w:val="es-ES"/>
        </w:rPr>
        <w:t xml:space="preserve"> </w:t>
      </w:r>
      <w:r w:rsidRPr="00173792">
        <w:rPr>
          <w:rFonts w:ascii="Verdana" w:hAnsi="Verdana"/>
          <w:sz w:val="20"/>
          <w:szCs w:val="20"/>
          <w:lang w:val="es-ES"/>
        </w:rPr>
        <w:t>servicios profesionales y</w:t>
      </w:r>
      <w:r w:rsidRPr="00173792">
        <w:rPr>
          <w:rFonts w:ascii="Verdana" w:hAnsi="Verdana"/>
          <w:spacing w:val="-1"/>
          <w:sz w:val="20"/>
          <w:szCs w:val="20"/>
          <w:lang w:val="es-ES"/>
        </w:rPr>
        <w:t xml:space="preserve"> </w:t>
      </w:r>
      <w:r w:rsidRPr="00173792">
        <w:rPr>
          <w:rFonts w:ascii="Verdana" w:hAnsi="Verdana"/>
          <w:sz w:val="20"/>
          <w:szCs w:val="20"/>
          <w:lang w:val="es-ES"/>
        </w:rPr>
        <w:t>de</w:t>
      </w:r>
      <w:r w:rsidRPr="00173792">
        <w:rPr>
          <w:rFonts w:ascii="Verdana" w:hAnsi="Verdana"/>
          <w:spacing w:val="-1"/>
          <w:sz w:val="20"/>
          <w:szCs w:val="20"/>
          <w:lang w:val="es-ES"/>
        </w:rPr>
        <w:t xml:space="preserve"> </w:t>
      </w:r>
      <w:r w:rsidRPr="00173792">
        <w:rPr>
          <w:rFonts w:ascii="Verdana" w:hAnsi="Verdana"/>
          <w:sz w:val="20"/>
          <w:szCs w:val="20"/>
          <w:lang w:val="es-ES"/>
        </w:rPr>
        <w:t>apoyo a la gestión con la persona natural o jurídica que esté en capacidad de ejecutar el objeto del contrato, siempre y cuando la Entidad Estatal verifique</w:t>
      </w:r>
      <w:r w:rsidRPr="00173792">
        <w:rPr>
          <w:rFonts w:ascii="Verdana" w:hAnsi="Verdana"/>
          <w:spacing w:val="-11"/>
          <w:sz w:val="20"/>
          <w:szCs w:val="20"/>
          <w:lang w:val="es-ES"/>
        </w:rPr>
        <w:t xml:space="preserve"> </w:t>
      </w:r>
      <w:r w:rsidRPr="00173792">
        <w:rPr>
          <w:rFonts w:ascii="Verdana" w:hAnsi="Verdana"/>
          <w:sz w:val="20"/>
          <w:szCs w:val="20"/>
          <w:lang w:val="es-ES"/>
        </w:rPr>
        <w:t>la</w:t>
      </w:r>
      <w:r w:rsidRPr="00173792">
        <w:rPr>
          <w:rFonts w:ascii="Verdana" w:hAnsi="Verdana"/>
          <w:spacing w:val="-13"/>
          <w:sz w:val="20"/>
          <w:szCs w:val="20"/>
          <w:lang w:val="es-ES"/>
        </w:rPr>
        <w:t xml:space="preserve"> </w:t>
      </w:r>
      <w:r w:rsidRPr="00173792">
        <w:rPr>
          <w:rFonts w:ascii="Verdana" w:hAnsi="Verdana"/>
          <w:sz w:val="20"/>
          <w:szCs w:val="20"/>
          <w:lang w:val="es-ES"/>
        </w:rPr>
        <w:t>idoneidad</w:t>
      </w:r>
      <w:r w:rsidRPr="00173792">
        <w:rPr>
          <w:rFonts w:ascii="Verdana" w:hAnsi="Verdana"/>
          <w:spacing w:val="-11"/>
          <w:sz w:val="20"/>
          <w:szCs w:val="20"/>
          <w:lang w:val="es-ES"/>
        </w:rPr>
        <w:t xml:space="preserve"> </w:t>
      </w:r>
      <w:r w:rsidRPr="00173792">
        <w:rPr>
          <w:rFonts w:ascii="Verdana" w:hAnsi="Verdana"/>
          <w:sz w:val="20"/>
          <w:szCs w:val="20"/>
          <w:lang w:val="es-ES"/>
        </w:rPr>
        <w:t>o</w:t>
      </w:r>
      <w:r w:rsidRPr="00173792">
        <w:rPr>
          <w:rFonts w:ascii="Verdana" w:hAnsi="Verdana"/>
          <w:spacing w:val="-13"/>
          <w:sz w:val="20"/>
          <w:szCs w:val="20"/>
          <w:lang w:val="es-ES"/>
        </w:rPr>
        <w:t xml:space="preserve"> </w:t>
      </w:r>
      <w:r w:rsidRPr="00173792">
        <w:rPr>
          <w:rFonts w:ascii="Verdana" w:hAnsi="Verdana"/>
          <w:sz w:val="20"/>
          <w:szCs w:val="20"/>
          <w:lang w:val="es-ES"/>
        </w:rPr>
        <w:t>experiencia</w:t>
      </w:r>
      <w:r w:rsidRPr="00173792">
        <w:rPr>
          <w:rFonts w:ascii="Verdana" w:hAnsi="Verdana"/>
          <w:spacing w:val="-10"/>
          <w:sz w:val="20"/>
          <w:szCs w:val="20"/>
          <w:lang w:val="es-ES"/>
        </w:rPr>
        <w:t xml:space="preserve"> </w:t>
      </w:r>
      <w:r w:rsidRPr="00173792">
        <w:rPr>
          <w:rFonts w:ascii="Verdana" w:hAnsi="Verdana"/>
          <w:sz w:val="20"/>
          <w:szCs w:val="20"/>
          <w:lang w:val="es-ES"/>
        </w:rPr>
        <w:t>requerida</w:t>
      </w:r>
      <w:r w:rsidRPr="00173792">
        <w:rPr>
          <w:rFonts w:ascii="Verdana" w:hAnsi="Verdana"/>
          <w:spacing w:val="-11"/>
          <w:sz w:val="20"/>
          <w:szCs w:val="20"/>
          <w:lang w:val="es-ES"/>
        </w:rPr>
        <w:t xml:space="preserve"> </w:t>
      </w:r>
      <w:r w:rsidRPr="00173792">
        <w:rPr>
          <w:rFonts w:ascii="Verdana" w:hAnsi="Verdana"/>
          <w:sz w:val="20"/>
          <w:szCs w:val="20"/>
          <w:lang w:val="es-ES"/>
        </w:rPr>
        <w:t>y</w:t>
      </w:r>
      <w:r w:rsidRPr="00173792">
        <w:rPr>
          <w:rFonts w:ascii="Verdana" w:hAnsi="Verdana"/>
          <w:spacing w:val="-13"/>
          <w:sz w:val="20"/>
          <w:szCs w:val="20"/>
          <w:lang w:val="es-ES"/>
        </w:rPr>
        <w:t xml:space="preserve"> </w:t>
      </w:r>
      <w:r w:rsidRPr="00173792">
        <w:rPr>
          <w:rFonts w:ascii="Verdana" w:hAnsi="Verdana"/>
          <w:sz w:val="20"/>
          <w:szCs w:val="20"/>
          <w:lang w:val="es-ES"/>
        </w:rPr>
        <w:t>relacionada</w:t>
      </w:r>
      <w:r w:rsidRPr="00173792">
        <w:rPr>
          <w:rFonts w:ascii="Verdana" w:hAnsi="Verdana"/>
          <w:spacing w:val="-10"/>
          <w:sz w:val="20"/>
          <w:szCs w:val="20"/>
          <w:lang w:val="es-ES"/>
        </w:rPr>
        <w:t xml:space="preserve"> </w:t>
      </w:r>
      <w:r w:rsidRPr="00173792">
        <w:rPr>
          <w:rFonts w:ascii="Verdana" w:hAnsi="Verdana"/>
          <w:sz w:val="20"/>
          <w:szCs w:val="20"/>
          <w:lang w:val="es-ES"/>
        </w:rPr>
        <w:t>con</w:t>
      </w:r>
      <w:r w:rsidRPr="00173792">
        <w:rPr>
          <w:rFonts w:ascii="Verdana" w:hAnsi="Verdana"/>
          <w:spacing w:val="-12"/>
          <w:sz w:val="20"/>
          <w:szCs w:val="20"/>
          <w:lang w:val="es-ES"/>
        </w:rPr>
        <w:t xml:space="preserve"> </w:t>
      </w:r>
      <w:r w:rsidRPr="00173792">
        <w:rPr>
          <w:rFonts w:ascii="Verdana" w:hAnsi="Verdana"/>
          <w:sz w:val="20"/>
          <w:szCs w:val="20"/>
          <w:lang w:val="es-ES"/>
        </w:rPr>
        <w:t>el</w:t>
      </w:r>
      <w:r w:rsidRPr="00173792">
        <w:rPr>
          <w:rFonts w:ascii="Verdana" w:hAnsi="Verdana"/>
          <w:spacing w:val="-13"/>
          <w:sz w:val="20"/>
          <w:szCs w:val="20"/>
          <w:lang w:val="es-ES"/>
        </w:rPr>
        <w:t xml:space="preserve"> </w:t>
      </w:r>
      <w:r w:rsidRPr="00173792">
        <w:rPr>
          <w:rFonts w:ascii="Verdana" w:hAnsi="Verdana"/>
          <w:sz w:val="20"/>
          <w:szCs w:val="20"/>
          <w:lang w:val="es-ES"/>
        </w:rPr>
        <w:t>área</w:t>
      </w:r>
      <w:r w:rsidRPr="00173792">
        <w:rPr>
          <w:rFonts w:ascii="Verdana" w:hAnsi="Verdana"/>
          <w:spacing w:val="-12"/>
          <w:sz w:val="20"/>
          <w:szCs w:val="20"/>
          <w:lang w:val="es-ES"/>
        </w:rPr>
        <w:t xml:space="preserve"> </w:t>
      </w:r>
      <w:r w:rsidRPr="00173792">
        <w:rPr>
          <w:rFonts w:ascii="Verdana" w:hAnsi="Verdana"/>
          <w:sz w:val="20"/>
          <w:szCs w:val="20"/>
          <w:lang w:val="es-ES"/>
        </w:rPr>
        <w:t>de que se trate. En este caso, no es necesario que la Entidad Estatal haya obtenido previamente varias ofertas, de lo cual el ordenador del gasto debe dejar constancia escrita.</w:t>
      </w:r>
    </w:p>
    <w:p w14:paraId="52967DF1" w14:textId="77777777" w:rsidR="00C640D3" w:rsidRPr="00173792" w:rsidRDefault="00C640D3" w:rsidP="00C640D3">
      <w:pPr>
        <w:spacing w:after="0" w:line="240" w:lineRule="auto"/>
        <w:ind w:left="709" w:right="709"/>
        <w:jc w:val="both"/>
        <w:rPr>
          <w:rFonts w:ascii="Verdana" w:hAnsi="Verdana"/>
          <w:sz w:val="20"/>
          <w:szCs w:val="20"/>
          <w:lang w:val="es-ES"/>
        </w:rPr>
      </w:pPr>
    </w:p>
    <w:p w14:paraId="726A652F"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Los</w:t>
      </w:r>
      <w:r w:rsidRPr="00173792">
        <w:rPr>
          <w:rFonts w:ascii="Verdana" w:hAnsi="Verdana"/>
          <w:spacing w:val="-18"/>
          <w:sz w:val="20"/>
          <w:szCs w:val="20"/>
          <w:lang w:val="es-ES"/>
        </w:rPr>
        <w:t xml:space="preserve"> </w:t>
      </w:r>
      <w:r w:rsidRPr="00173792">
        <w:rPr>
          <w:rFonts w:ascii="Verdana" w:hAnsi="Verdana"/>
          <w:sz w:val="20"/>
          <w:szCs w:val="20"/>
          <w:lang w:val="es-ES"/>
        </w:rPr>
        <w:t>servicios</w:t>
      </w:r>
      <w:r w:rsidRPr="00173792">
        <w:rPr>
          <w:rFonts w:ascii="Verdana" w:hAnsi="Verdana"/>
          <w:spacing w:val="-18"/>
          <w:sz w:val="20"/>
          <w:szCs w:val="20"/>
          <w:lang w:val="es-ES"/>
        </w:rPr>
        <w:t xml:space="preserve"> </w:t>
      </w:r>
      <w:r w:rsidRPr="00173792">
        <w:rPr>
          <w:rFonts w:ascii="Verdana" w:hAnsi="Verdana"/>
          <w:sz w:val="20"/>
          <w:szCs w:val="20"/>
          <w:lang w:val="es-ES"/>
        </w:rPr>
        <w:t>profesionales</w:t>
      </w:r>
      <w:r w:rsidRPr="00173792">
        <w:rPr>
          <w:rFonts w:ascii="Verdana" w:hAnsi="Verdana"/>
          <w:spacing w:val="-17"/>
          <w:sz w:val="20"/>
          <w:szCs w:val="20"/>
          <w:lang w:val="es-ES"/>
        </w:rPr>
        <w:t xml:space="preserve"> </w:t>
      </w:r>
      <w:r w:rsidRPr="00173792">
        <w:rPr>
          <w:rFonts w:ascii="Verdana" w:hAnsi="Verdana"/>
          <w:sz w:val="20"/>
          <w:szCs w:val="20"/>
          <w:lang w:val="es-ES"/>
        </w:rPr>
        <w:t>y</w:t>
      </w:r>
      <w:r w:rsidRPr="00173792">
        <w:rPr>
          <w:rFonts w:ascii="Verdana" w:hAnsi="Verdana"/>
          <w:spacing w:val="-18"/>
          <w:sz w:val="20"/>
          <w:szCs w:val="20"/>
          <w:lang w:val="es-ES"/>
        </w:rPr>
        <w:t xml:space="preserve"> </w:t>
      </w:r>
      <w:r w:rsidRPr="00173792">
        <w:rPr>
          <w:rFonts w:ascii="Verdana" w:hAnsi="Verdana"/>
          <w:sz w:val="20"/>
          <w:szCs w:val="20"/>
          <w:lang w:val="es-ES"/>
        </w:rPr>
        <w:t>de</w:t>
      </w:r>
      <w:r w:rsidRPr="00173792">
        <w:rPr>
          <w:rFonts w:ascii="Verdana" w:hAnsi="Verdana"/>
          <w:spacing w:val="-17"/>
          <w:sz w:val="20"/>
          <w:szCs w:val="20"/>
          <w:lang w:val="es-ES"/>
        </w:rPr>
        <w:t xml:space="preserve"> </w:t>
      </w:r>
      <w:r w:rsidRPr="00173792">
        <w:rPr>
          <w:rFonts w:ascii="Verdana" w:hAnsi="Verdana"/>
          <w:sz w:val="20"/>
          <w:szCs w:val="20"/>
          <w:lang w:val="es-ES"/>
        </w:rPr>
        <w:t>apoyo</w:t>
      </w:r>
      <w:r w:rsidRPr="00173792">
        <w:rPr>
          <w:rFonts w:ascii="Verdana" w:hAnsi="Verdana"/>
          <w:spacing w:val="-18"/>
          <w:sz w:val="20"/>
          <w:szCs w:val="20"/>
          <w:lang w:val="es-ES"/>
        </w:rPr>
        <w:t xml:space="preserve"> </w:t>
      </w:r>
      <w:r w:rsidRPr="00173792">
        <w:rPr>
          <w:rFonts w:ascii="Verdana" w:hAnsi="Verdana"/>
          <w:sz w:val="20"/>
          <w:szCs w:val="20"/>
          <w:lang w:val="es-ES"/>
        </w:rPr>
        <w:t>a</w:t>
      </w:r>
      <w:r w:rsidRPr="00173792">
        <w:rPr>
          <w:rFonts w:ascii="Verdana" w:hAnsi="Verdana"/>
          <w:spacing w:val="-18"/>
          <w:sz w:val="20"/>
          <w:szCs w:val="20"/>
          <w:lang w:val="es-ES"/>
        </w:rPr>
        <w:t xml:space="preserve"> </w:t>
      </w:r>
      <w:r w:rsidRPr="00173792">
        <w:rPr>
          <w:rFonts w:ascii="Verdana" w:hAnsi="Verdana"/>
          <w:sz w:val="20"/>
          <w:szCs w:val="20"/>
          <w:lang w:val="es-ES"/>
        </w:rPr>
        <w:t>la</w:t>
      </w:r>
      <w:r w:rsidRPr="00173792">
        <w:rPr>
          <w:rFonts w:ascii="Verdana" w:hAnsi="Verdana"/>
          <w:spacing w:val="-17"/>
          <w:sz w:val="20"/>
          <w:szCs w:val="20"/>
          <w:lang w:val="es-ES"/>
        </w:rPr>
        <w:t xml:space="preserve"> </w:t>
      </w:r>
      <w:r w:rsidRPr="00173792">
        <w:rPr>
          <w:rFonts w:ascii="Verdana" w:hAnsi="Verdana"/>
          <w:sz w:val="20"/>
          <w:szCs w:val="20"/>
          <w:lang w:val="es-ES"/>
        </w:rPr>
        <w:t>gestión</w:t>
      </w:r>
      <w:r w:rsidRPr="00173792">
        <w:rPr>
          <w:rFonts w:ascii="Verdana" w:hAnsi="Verdana"/>
          <w:spacing w:val="-18"/>
          <w:sz w:val="20"/>
          <w:szCs w:val="20"/>
          <w:lang w:val="es-ES"/>
        </w:rPr>
        <w:t xml:space="preserve"> </w:t>
      </w:r>
      <w:r w:rsidRPr="00173792">
        <w:rPr>
          <w:rFonts w:ascii="Verdana" w:hAnsi="Verdana"/>
          <w:sz w:val="20"/>
          <w:szCs w:val="20"/>
          <w:lang w:val="es-ES"/>
        </w:rPr>
        <w:t>corresponden</w:t>
      </w:r>
      <w:r w:rsidRPr="00173792">
        <w:rPr>
          <w:rFonts w:ascii="Verdana" w:hAnsi="Verdana"/>
          <w:spacing w:val="-17"/>
          <w:sz w:val="20"/>
          <w:szCs w:val="20"/>
          <w:lang w:val="es-ES"/>
        </w:rPr>
        <w:t xml:space="preserve"> </w:t>
      </w:r>
      <w:r w:rsidRPr="00173792">
        <w:rPr>
          <w:rFonts w:ascii="Verdana" w:hAnsi="Verdana"/>
          <w:sz w:val="20"/>
          <w:szCs w:val="20"/>
          <w:lang w:val="es-ES"/>
        </w:rPr>
        <w:t>a</w:t>
      </w:r>
      <w:r w:rsidRPr="00173792">
        <w:rPr>
          <w:rFonts w:ascii="Verdana" w:hAnsi="Verdana"/>
          <w:spacing w:val="-18"/>
          <w:sz w:val="20"/>
          <w:szCs w:val="20"/>
          <w:lang w:val="es-ES"/>
        </w:rPr>
        <w:t xml:space="preserve"> </w:t>
      </w:r>
      <w:r w:rsidRPr="00173792">
        <w:rPr>
          <w:rFonts w:ascii="Verdana" w:hAnsi="Verdana"/>
          <w:sz w:val="20"/>
          <w:szCs w:val="20"/>
          <w:lang w:val="es-ES"/>
        </w:rPr>
        <w:t>aquellos de naturaleza intelectual diferentes a los de consultoría que se derivan del cumplimiento de las funciones de la Entidad Estatal, así como los relacionados con actividades operativas, logísticas, o asistenciales.</w:t>
      </w:r>
    </w:p>
    <w:p w14:paraId="76B8A5B8" w14:textId="77777777" w:rsidR="00C640D3" w:rsidRPr="00173792" w:rsidRDefault="00C640D3" w:rsidP="00C640D3">
      <w:pPr>
        <w:spacing w:after="0" w:line="240" w:lineRule="auto"/>
        <w:ind w:left="709" w:right="709"/>
        <w:jc w:val="both"/>
        <w:rPr>
          <w:rFonts w:ascii="Verdana" w:hAnsi="Verdana"/>
          <w:sz w:val="20"/>
          <w:szCs w:val="20"/>
          <w:lang w:val="es-ES"/>
        </w:rPr>
      </w:pPr>
    </w:p>
    <w:p w14:paraId="24BA888B" w14:textId="77777777" w:rsidR="00C640D3" w:rsidRPr="00173792" w:rsidRDefault="00C640D3" w:rsidP="00C640D3">
      <w:pPr>
        <w:spacing w:after="0" w:line="240" w:lineRule="auto"/>
        <w:ind w:left="709" w:right="709"/>
        <w:jc w:val="both"/>
        <w:rPr>
          <w:rFonts w:ascii="Verdana" w:hAnsi="Verdana"/>
          <w:sz w:val="20"/>
          <w:szCs w:val="20"/>
          <w:lang w:val="es-ES"/>
        </w:rPr>
      </w:pPr>
      <w:r w:rsidRPr="00173792">
        <w:rPr>
          <w:rFonts w:ascii="Verdana" w:hAnsi="Verdana"/>
          <w:sz w:val="20"/>
          <w:szCs w:val="20"/>
          <w:lang w:val="es-ES"/>
        </w:rPr>
        <w:t>La Entidad Estatal, para la contratación de trabajos artísticos que solamente puedan encomendarse a determinadas personas naturales, debe justificar esta situación en los estudios y documentos previos”.</w:t>
      </w:r>
    </w:p>
    <w:p w14:paraId="23150A59" w14:textId="77777777" w:rsidR="00C640D3" w:rsidRPr="00173792" w:rsidRDefault="00C640D3" w:rsidP="00C640D3">
      <w:pPr>
        <w:spacing w:after="0" w:line="240" w:lineRule="auto"/>
        <w:ind w:left="709" w:right="709"/>
        <w:jc w:val="both"/>
        <w:rPr>
          <w:rFonts w:ascii="Verdana" w:hAnsi="Verdana"/>
          <w:sz w:val="20"/>
          <w:szCs w:val="20"/>
          <w:lang w:val="es-ES"/>
        </w:rPr>
      </w:pPr>
    </w:p>
    <w:p w14:paraId="793AC79A" w14:textId="77777777" w:rsidR="00C640D3" w:rsidRPr="00173792" w:rsidRDefault="00C640D3" w:rsidP="00C640D3">
      <w:pPr>
        <w:spacing w:after="0" w:line="276" w:lineRule="auto"/>
        <w:ind w:firstLine="709"/>
        <w:jc w:val="both"/>
        <w:rPr>
          <w:rFonts w:ascii="Verdana" w:eastAsia="Calibri" w:hAnsi="Verdana" w:cs="Arial"/>
          <w:color w:val="000000"/>
          <w:lang w:val="es-ES"/>
        </w:rPr>
      </w:pPr>
      <w:r w:rsidRPr="00173792">
        <w:rPr>
          <w:rFonts w:ascii="Verdana" w:eastAsia="Calibri" w:hAnsi="Verdana" w:cs="Arial"/>
          <w:color w:val="000000"/>
          <w:lang w:val="es-ES"/>
        </w:rPr>
        <w:lastRenderedPageBreak/>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5F0865E4" w14:textId="77777777" w:rsidR="00C640D3" w:rsidRPr="00173792" w:rsidRDefault="00C640D3" w:rsidP="00C640D3">
      <w:pPr>
        <w:spacing w:before="120" w:after="120" w:line="276" w:lineRule="auto"/>
        <w:ind w:firstLine="709"/>
        <w:jc w:val="both"/>
        <w:rPr>
          <w:rFonts w:ascii="Verdana" w:eastAsia="Calibri" w:hAnsi="Verdana" w:cs="Arial"/>
          <w:color w:val="000000"/>
          <w:lang w:val="es-ES"/>
        </w:rPr>
      </w:pPr>
      <w:r w:rsidRPr="00173792">
        <w:rPr>
          <w:rFonts w:ascii="Verdana" w:eastAsia="Calibri" w:hAnsi="Verdana" w:cs="Arial"/>
          <w:color w:val="000000"/>
          <w:lang w:val="es-ES"/>
        </w:rPr>
        <w:t>a) Solo puede celebrarse para realizar “actividades relacionadas con la administración o funcionamiento de la entidad”, es decir, que hagan parte de su giro ordinario o quehacer cotidiano.</w:t>
      </w:r>
    </w:p>
    <w:p w14:paraId="6039BAE9" w14:textId="77777777" w:rsidR="00C640D3" w:rsidRPr="00173792" w:rsidRDefault="00C640D3" w:rsidP="00C640D3">
      <w:pPr>
        <w:spacing w:before="120" w:after="120" w:line="276" w:lineRule="auto"/>
        <w:ind w:firstLine="709"/>
        <w:jc w:val="both"/>
        <w:rPr>
          <w:rFonts w:ascii="Verdana" w:eastAsia="Calibri" w:hAnsi="Verdana" w:cs="Arial"/>
          <w:color w:val="000000"/>
          <w:lang w:val="es-ES"/>
        </w:rPr>
      </w:pPr>
      <w:r w:rsidRPr="00173792">
        <w:rPr>
          <w:rFonts w:ascii="Verdana" w:eastAsia="Calibri" w:hAnsi="Verdana" w:cs="Arial"/>
          <w:color w:val="000000"/>
          <w:lang w:val="es-ES"/>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21C469BE" w14:textId="77777777" w:rsidR="00C640D3" w:rsidRPr="00173792" w:rsidRDefault="00C640D3" w:rsidP="00C640D3">
      <w:pPr>
        <w:spacing w:after="120" w:line="276" w:lineRule="auto"/>
        <w:ind w:firstLine="709"/>
        <w:jc w:val="both"/>
        <w:rPr>
          <w:rFonts w:ascii="Verdana" w:hAnsi="Verdana" w:cs="Arial"/>
          <w:lang w:val="es-ES"/>
        </w:rPr>
      </w:pPr>
      <w:r w:rsidRPr="00173792">
        <w:rPr>
          <w:rFonts w:ascii="Verdana" w:eastAsia="Calibri" w:hAnsi="Verdana" w:cs="Arial"/>
          <w:color w:val="000000"/>
          <w:lang w:val="es-ES"/>
        </w:rPr>
        <w:t xml:space="preserve">c) </w:t>
      </w:r>
      <w:r w:rsidRPr="00173792">
        <w:rPr>
          <w:rFonts w:ascii="Verdana" w:hAnsi="Verdana" w:cs="Arial"/>
          <w:lang w:val="es-ES"/>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173792">
        <w:rPr>
          <w:rFonts w:ascii="Verdana" w:hAnsi="Verdana" w:cs="Arial"/>
          <w:i/>
          <w:lang w:val="es-ES"/>
        </w:rPr>
        <w:t xml:space="preserve">subordinación </w:t>
      </w:r>
      <w:r w:rsidRPr="00173792">
        <w:rPr>
          <w:rFonts w:ascii="Verdana" w:hAnsi="Verdana" w:cs="Arial"/>
          <w:iCs/>
          <w:lang w:val="es-ES"/>
        </w:rPr>
        <w:t>ni</w:t>
      </w:r>
      <w:r w:rsidRPr="00173792">
        <w:rPr>
          <w:rFonts w:ascii="Verdana" w:hAnsi="Verdana" w:cs="Arial"/>
          <w:i/>
          <w:lang w:val="es-ES"/>
        </w:rPr>
        <w:t xml:space="preserve"> dependencia</w:t>
      </w:r>
      <w:r w:rsidRPr="00173792">
        <w:rPr>
          <w:rFonts w:ascii="Verdana" w:hAnsi="Verdana" w:cs="Arial"/>
          <w:iCs/>
          <w:lang w:val="es-ES"/>
        </w:rPr>
        <w:t>,</w:t>
      </w:r>
      <w:r w:rsidRPr="00173792">
        <w:rPr>
          <w:rFonts w:ascii="Verdana" w:hAnsi="Verdana" w:cs="Arial"/>
          <w:lang w:val="es-ES"/>
        </w:rPr>
        <w:t xml:space="preserve"> que es uno de los elementos constitutivos del vínculo laboral</w:t>
      </w:r>
      <w:r w:rsidRPr="00173792">
        <w:rPr>
          <w:rStyle w:val="Refdenotaalpie"/>
          <w:rFonts w:ascii="Verdana" w:hAnsi="Verdana" w:cs="Arial"/>
          <w:lang w:val="es-ES"/>
        </w:rPr>
        <w:footnoteReference w:id="5"/>
      </w:r>
      <w:r w:rsidRPr="00173792">
        <w:rPr>
          <w:rFonts w:ascii="Verdana" w:hAnsi="Verdana" w:cs="Arial"/>
          <w:lang w:val="es-ES"/>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173792">
        <w:rPr>
          <w:rFonts w:ascii="Verdana" w:hAnsi="Verdana" w:cs="Arial"/>
          <w:i/>
          <w:lang w:val="es-ES"/>
        </w:rPr>
        <w:t>no pueden</w:t>
      </w:r>
      <w:r w:rsidRPr="00173792">
        <w:rPr>
          <w:rFonts w:ascii="Verdana" w:hAnsi="Verdana" w:cs="Arial"/>
          <w:lang w:val="es-ES"/>
        </w:rPr>
        <w:t xml:space="preserve"> generar relación laboral, ni dar lugar a que las entidades </w:t>
      </w:r>
      <w:r w:rsidRPr="00173792">
        <w:rPr>
          <w:rFonts w:ascii="Verdana" w:hAnsi="Verdana" w:cs="Arial"/>
          <w:lang w:val="es-ES"/>
        </w:rPr>
        <w:lastRenderedPageBreak/>
        <w:t xml:space="preserve">estatales paguen por su cuenta los aportes al Sistema de Seguridad Social Integral del contratista. </w:t>
      </w:r>
    </w:p>
    <w:p w14:paraId="0719637C" w14:textId="77777777" w:rsidR="00C640D3" w:rsidRPr="00173792" w:rsidRDefault="00C640D3" w:rsidP="00C640D3">
      <w:pPr>
        <w:spacing w:after="120" w:line="276" w:lineRule="auto"/>
        <w:ind w:firstLine="709"/>
        <w:jc w:val="both"/>
        <w:rPr>
          <w:rFonts w:ascii="Verdana" w:hAnsi="Verdana" w:cs="Arial"/>
          <w:lang w:val="es-ES"/>
        </w:rPr>
      </w:pPr>
      <w:r w:rsidRPr="00173792">
        <w:rPr>
          <w:rFonts w:ascii="Verdana" w:hAnsi="Verdana" w:cs="Arial"/>
          <w:lang w:val="es-ES"/>
        </w:rPr>
        <w:t>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173792">
        <w:rPr>
          <w:rStyle w:val="Refdenotaalpie"/>
          <w:rFonts w:ascii="Verdana" w:hAnsi="Verdana" w:cs="Arial"/>
          <w:lang w:val="es-ES"/>
        </w:rPr>
        <w:footnoteReference w:id="6"/>
      </w:r>
      <w:r w:rsidRPr="00173792">
        <w:rPr>
          <w:rFonts w:ascii="Verdana" w:hAnsi="Verdana" w:cs="Arial"/>
          <w:lang w:val="es-ES"/>
        </w:rPr>
        <w:t xml:space="preserve">. A pesar de este mandato deontológico, es posible que en la práctica se configure una relación laboral, pues el contrato de trabajo es </w:t>
      </w:r>
      <w:r w:rsidRPr="00173792">
        <w:rPr>
          <w:rFonts w:ascii="Verdana" w:hAnsi="Verdana" w:cs="Arial"/>
          <w:i/>
          <w:iCs/>
          <w:lang w:val="es-ES"/>
        </w:rPr>
        <w:t xml:space="preserve">de </w:t>
      </w:r>
      <w:r w:rsidRPr="00173792">
        <w:rPr>
          <w:rFonts w:ascii="Verdana" w:hAnsi="Verdana" w:cs="Arial"/>
          <w:i/>
          <w:lang w:val="es-ES"/>
        </w:rPr>
        <w:t>realidad</w:t>
      </w:r>
      <w:r w:rsidRPr="00173792">
        <w:rPr>
          <w:rFonts w:ascii="Verdana" w:hAnsi="Verdana" w:cs="Arial"/>
          <w:lang w:val="es-ES"/>
        </w:rPr>
        <w:t xml:space="preserve">, y para perfeccionarlo rige el principio de prevalencia de la realidad sobre las formalidades. </w:t>
      </w:r>
    </w:p>
    <w:p w14:paraId="740A4E21" w14:textId="77777777" w:rsidR="00C640D3" w:rsidRPr="00173792" w:rsidRDefault="00C640D3" w:rsidP="00C640D3">
      <w:pPr>
        <w:spacing w:after="120" w:line="276" w:lineRule="auto"/>
        <w:ind w:firstLine="709"/>
        <w:jc w:val="both"/>
        <w:rPr>
          <w:rFonts w:ascii="Verdana" w:hAnsi="Verdana" w:cs="Arial"/>
          <w:lang w:val="es-ES"/>
        </w:rPr>
      </w:pPr>
      <w:r w:rsidRPr="00173792">
        <w:rPr>
          <w:rFonts w:ascii="Verdana" w:hAnsi="Verdana" w:cs="Arial"/>
          <w:lang w:val="es-ES"/>
        </w:rPr>
        <w:t>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73792">
        <w:rPr>
          <w:rStyle w:val="Refdenotaalpie"/>
          <w:rFonts w:ascii="Verdana" w:hAnsi="Verdana" w:cs="Arial"/>
          <w:lang w:val="es-ES"/>
        </w:rPr>
        <w:footnoteReference w:id="7"/>
      </w:r>
      <w:r w:rsidRPr="00173792">
        <w:rPr>
          <w:rFonts w:ascii="Verdana" w:hAnsi="Verdana" w:cs="Arial"/>
          <w:lang w:val="es-ES"/>
        </w:rPr>
        <w:t xml:space="preserve">. </w:t>
      </w:r>
    </w:p>
    <w:p w14:paraId="4A645022" w14:textId="77777777" w:rsidR="00C640D3" w:rsidRPr="00CB59DF" w:rsidRDefault="00C640D3" w:rsidP="00C640D3">
      <w:pPr>
        <w:spacing w:after="120" w:line="276" w:lineRule="auto"/>
        <w:ind w:firstLine="709"/>
        <w:jc w:val="both"/>
        <w:rPr>
          <w:rFonts w:ascii="Verdana" w:hAnsi="Verdana" w:cs="Arial"/>
          <w:lang w:val="es-ES"/>
        </w:rPr>
      </w:pPr>
      <w:r w:rsidRPr="00173792">
        <w:rPr>
          <w:rFonts w:ascii="Verdana" w:hAnsi="Verdana" w:cs="Arial"/>
          <w:lang w:val="es-ES"/>
        </w:rPr>
        <w:t xml:space="preserve">Por su parte, el Consejo de Estado, en sentencia de unificación jurisprudencial del 9 de septiembre de 2021, se pronunció respecto de los criterios para identificar la existencia de una relación laboral encubierta o subyacente por contratos de prestación de servicios y </w:t>
      </w:r>
      <w:proofErr w:type="spellStart"/>
      <w:r w:rsidRPr="00173792">
        <w:rPr>
          <w:rFonts w:ascii="Verdana" w:hAnsi="Verdana" w:cs="Arial"/>
          <w:lang w:val="es-ES"/>
        </w:rPr>
        <w:t>definó</w:t>
      </w:r>
      <w:proofErr w:type="spellEnd"/>
      <w:r w:rsidRPr="00173792">
        <w:rPr>
          <w:rFonts w:ascii="Verdana" w:hAnsi="Verdana" w:cs="Arial"/>
          <w:lang w:val="es-ES"/>
        </w:rPr>
        <w:t xml:space="preserve"> tres reglas para el </w:t>
      </w:r>
      <w:r w:rsidRPr="00173792">
        <w:rPr>
          <w:rFonts w:ascii="Verdana" w:hAnsi="Verdana" w:cs="Arial"/>
          <w:lang w:val="es-ES"/>
        </w:rPr>
        <w:lastRenderedPageBreak/>
        <w:t>efecto</w:t>
      </w:r>
      <w:r w:rsidRPr="00173792">
        <w:rPr>
          <w:rFonts w:ascii="Verdana" w:hAnsi="Verdana"/>
          <w:vertAlign w:val="superscript"/>
          <w:lang w:val="es-ES"/>
        </w:rPr>
        <w:footnoteReference w:id="8"/>
      </w:r>
      <w:r w:rsidRPr="00173792">
        <w:rPr>
          <w:rFonts w:ascii="Verdana" w:hAnsi="Verdana" w:cs="Arial"/>
          <w:lang w:val="es-ES"/>
        </w:rPr>
        <w:t>, aspectos que fueron aclarados posteriormente por Auto del 11 de noviembre de 2021</w:t>
      </w:r>
      <w:r w:rsidRPr="00173792">
        <w:rPr>
          <w:rStyle w:val="Refdenotaalpie"/>
          <w:rFonts w:ascii="Verdana" w:hAnsi="Verdana" w:cs="Arial"/>
          <w:lang w:val="es-ES"/>
        </w:rPr>
        <w:footnoteReference w:id="9"/>
      </w:r>
      <w:r w:rsidRPr="00173792">
        <w:rPr>
          <w:rFonts w:ascii="Verdana" w:hAnsi="Verdana" w:cs="Arial"/>
          <w:lang w:val="es-ES"/>
        </w:rPr>
        <w:t>.</w:t>
      </w:r>
    </w:p>
    <w:p w14:paraId="056303D8" w14:textId="77777777" w:rsidR="00C640D3" w:rsidRPr="00173792" w:rsidRDefault="00C640D3" w:rsidP="00C640D3">
      <w:pPr>
        <w:spacing w:after="120" w:line="276" w:lineRule="auto"/>
        <w:ind w:firstLine="709"/>
        <w:jc w:val="both"/>
        <w:rPr>
          <w:rFonts w:ascii="Verdana" w:hAnsi="Verdana" w:cs="Arial"/>
          <w:lang w:val="es-ES"/>
        </w:rPr>
      </w:pPr>
      <w:r w:rsidRPr="00173792">
        <w:rPr>
          <w:rFonts w:ascii="Verdana" w:eastAsia="Calibri" w:hAnsi="Verdana" w:cs="Arial"/>
          <w:color w:val="000000"/>
          <w:lang w:val="es-ES"/>
        </w:rPr>
        <w:t xml:space="preserve">d) </w:t>
      </w:r>
      <w:r w:rsidRPr="00173792">
        <w:rPr>
          <w:rFonts w:ascii="Verdana" w:hAnsi="Verdana" w:cs="Arial"/>
          <w:lang w:val="es-ES"/>
        </w:rPr>
        <w:t xml:space="preserve">Deben ser temporales. La sentencia de unificación jurisprudencial del Consejo de Estado mencionada,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w:t>
      </w:r>
    </w:p>
    <w:p w14:paraId="429720A1" w14:textId="77777777" w:rsidR="00C640D3" w:rsidRPr="00173792" w:rsidRDefault="00C640D3" w:rsidP="00C640D3">
      <w:pPr>
        <w:spacing w:before="120" w:after="0" w:line="276" w:lineRule="auto"/>
        <w:ind w:firstLine="709"/>
        <w:jc w:val="both"/>
        <w:rPr>
          <w:rFonts w:ascii="Verdana" w:hAnsi="Verdana" w:cs="Arial"/>
          <w:lang w:val="es-ES"/>
        </w:rPr>
      </w:pPr>
      <w:r w:rsidRPr="00173792">
        <w:rPr>
          <w:rFonts w:ascii="Verdana" w:hAnsi="Verdana" w:cs="Arial"/>
          <w:lang w:val="es-ES"/>
        </w:rPr>
        <w:t>De igual manera, señaló que “no cabe su empleo para la cobertura indefinida de necesidades permanentes o recurrentes”. En sentido similar se manifestó la Corte Constitucional en la Sentencia C-154 de 1997, expresando que:</w:t>
      </w:r>
    </w:p>
    <w:p w14:paraId="3ACB8BF1" w14:textId="77777777" w:rsidR="00C640D3" w:rsidRPr="00173792" w:rsidRDefault="00C640D3" w:rsidP="00C640D3">
      <w:pPr>
        <w:spacing w:after="0" w:line="276" w:lineRule="auto"/>
        <w:ind w:firstLine="709"/>
        <w:jc w:val="both"/>
        <w:rPr>
          <w:rFonts w:ascii="Verdana" w:hAnsi="Verdana" w:cs="Arial"/>
          <w:lang w:val="es-ES"/>
        </w:rPr>
      </w:pPr>
    </w:p>
    <w:p w14:paraId="2DC47305" w14:textId="77777777" w:rsidR="00C640D3" w:rsidRPr="00173792" w:rsidRDefault="00C640D3" w:rsidP="00C640D3">
      <w:pPr>
        <w:spacing w:after="0"/>
        <w:ind w:left="709" w:right="709"/>
        <w:jc w:val="both"/>
        <w:rPr>
          <w:rFonts w:ascii="Verdana" w:hAnsi="Verdana" w:cs="Arial"/>
          <w:sz w:val="20"/>
          <w:szCs w:val="20"/>
          <w:lang w:val="es-ES"/>
        </w:rPr>
      </w:pPr>
      <w:r w:rsidRPr="00173792">
        <w:rPr>
          <w:rFonts w:ascii="Verdana" w:hAnsi="Verdana" w:cs="Arial"/>
          <w:sz w:val="20"/>
          <w:szCs w:val="20"/>
          <w:lang w:val="es-ES"/>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w:t>
      </w:r>
      <w:r w:rsidRPr="00173792">
        <w:rPr>
          <w:rFonts w:ascii="Verdana" w:hAnsi="Verdana" w:cs="Arial"/>
          <w:sz w:val="20"/>
          <w:szCs w:val="20"/>
          <w:lang w:val="es-ES"/>
        </w:rPr>
        <w:lastRenderedPageBreak/>
        <w:t>fin de que se dé cabal cumplimiento a lo previsto en el artículo 122 de la Carta Política, según el cual se requiere que el empleo público quede contemplado en la respectiva planta y previstos sus emolumentos en el presupuesto correspondiente”</w:t>
      </w:r>
      <w:r w:rsidRPr="00173792">
        <w:rPr>
          <w:rStyle w:val="Refdenotaalpie"/>
          <w:rFonts w:ascii="Verdana" w:hAnsi="Verdana" w:cs="Arial"/>
          <w:sz w:val="20"/>
          <w:szCs w:val="20"/>
          <w:lang w:val="es-ES"/>
        </w:rPr>
        <w:footnoteReference w:id="10"/>
      </w:r>
      <w:r w:rsidRPr="00173792">
        <w:rPr>
          <w:rFonts w:ascii="Verdana" w:hAnsi="Verdana" w:cs="Arial"/>
          <w:sz w:val="20"/>
          <w:szCs w:val="20"/>
          <w:lang w:val="es-ES"/>
        </w:rPr>
        <w:t>.</w:t>
      </w:r>
    </w:p>
    <w:p w14:paraId="647D51D1" w14:textId="77777777" w:rsidR="00C640D3" w:rsidRPr="00173792" w:rsidRDefault="00C640D3" w:rsidP="00C640D3">
      <w:pPr>
        <w:spacing w:after="0" w:line="276" w:lineRule="auto"/>
        <w:jc w:val="both"/>
        <w:rPr>
          <w:rFonts w:ascii="Verdana" w:eastAsia="Calibri" w:hAnsi="Verdana" w:cs="Arial"/>
          <w:color w:val="000000"/>
          <w:lang w:val="es-ES"/>
        </w:rPr>
      </w:pPr>
    </w:p>
    <w:p w14:paraId="36B8B84F" w14:textId="77777777" w:rsidR="00C640D3" w:rsidRPr="00173792" w:rsidRDefault="00C640D3" w:rsidP="00C640D3">
      <w:pPr>
        <w:spacing w:after="120" w:line="276" w:lineRule="auto"/>
        <w:ind w:firstLine="709"/>
        <w:jc w:val="both"/>
        <w:rPr>
          <w:rFonts w:ascii="Verdana" w:hAnsi="Verdana" w:cs="Arial"/>
          <w:lang w:val="es-ES"/>
        </w:rPr>
      </w:pPr>
      <w:r w:rsidRPr="00173792">
        <w:rPr>
          <w:rFonts w:ascii="Verdana" w:eastAsia="Calibri" w:hAnsi="Verdana" w:cs="Arial"/>
          <w:color w:val="000000"/>
          <w:lang w:val="es-ES"/>
        </w:rPr>
        <w:t xml:space="preserve">e) </w:t>
      </w:r>
      <w:r w:rsidRPr="00173792">
        <w:rPr>
          <w:rFonts w:ascii="Verdana" w:hAnsi="Verdana" w:cs="Arial"/>
          <w:lang w:val="es-ES"/>
        </w:rPr>
        <w:t>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173792">
        <w:rPr>
          <w:rStyle w:val="Refdenotaalpie"/>
          <w:rFonts w:ascii="Verdana" w:hAnsi="Verdana" w:cs="Arial"/>
          <w:lang w:val="es-ES"/>
        </w:rPr>
        <w:footnoteReference w:id="11"/>
      </w:r>
      <w:r w:rsidRPr="00173792">
        <w:rPr>
          <w:rFonts w:ascii="Verdana" w:hAnsi="Verdana" w:cs="Arial"/>
          <w:lang w:val="es-ES"/>
        </w:rPr>
        <w:t>. Esto también se deriva d</w:t>
      </w:r>
      <w:r w:rsidRPr="00173792">
        <w:rPr>
          <w:rFonts w:ascii="Verdana" w:eastAsia="Calibri" w:hAnsi="Verdana" w:cs="Arial"/>
          <w:color w:val="000000" w:themeColor="text1"/>
          <w:lang w:val="es-ES"/>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173792">
        <w:rPr>
          <w:rFonts w:ascii="Verdana" w:hAnsi="Verdana" w:cs="Arial"/>
          <w:lang w:val="es-ES"/>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6783926D" w14:textId="77777777" w:rsidR="00C640D3" w:rsidRPr="00173792" w:rsidRDefault="00C640D3" w:rsidP="00C640D3">
      <w:pPr>
        <w:spacing w:before="120" w:after="120" w:line="276" w:lineRule="auto"/>
        <w:ind w:firstLine="709"/>
        <w:jc w:val="both"/>
        <w:rPr>
          <w:rFonts w:ascii="Verdana" w:eastAsia="Calibri" w:hAnsi="Verdana" w:cs="Arial"/>
          <w:color w:val="000000"/>
          <w:lang w:val="es-ES"/>
        </w:rPr>
      </w:pPr>
      <w:r w:rsidRPr="00173792">
        <w:rPr>
          <w:rFonts w:ascii="Verdana" w:eastAsia="Calibri" w:hAnsi="Verdana" w:cs="Arial"/>
          <w:color w:val="000000"/>
          <w:lang w:val="es-ES"/>
        </w:rPr>
        <w:t>f) Para su celebración no se requiere la expedición del acto administrativo de justificación de la contratación directa</w:t>
      </w:r>
      <w:r w:rsidRPr="00173792">
        <w:rPr>
          <w:rFonts w:ascii="Verdana" w:eastAsia="Calibri" w:hAnsi="Verdana" w:cs="Arial"/>
          <w:color w:val="000000"/>
          <w:vertAlign w:val="superscript"/>
          <w:lang w:val="es-ES"/>
        </w:rPr>
        <w:footnoteReference w:id="12"/>
      </w:r>
      <w:r w:rsidRPr="00173792">
        <w:rPr>
          <w:rFonts w:ascii="Verdana" w:eastAsia="Calibri" w:hAnsi="Verdana" w:cs="Arial"/>
          <w:color w:val="000000"/>
          <w:lang w:val="es-ES"/>
        </w:rPr>
        <w:t xml:space="preserve">. </w:t>
      </w:r>
    </w:p>
    <w:p w14:paraId="3D9556BC" w14:textId="77777777" w:rsidR="00C640D3" w:rsidRPr="00173792" w:rsidRDefault="00C640D3" w:rsidP="00C640D3">
      <w:pPr>
        <w:spacing w:before="120" w:line="276" w:lineRule="auto"/>
        <w:ind w:firstLine="709"/>
        <w:jc w:val="both"/>
        <w:rPr>
          <w:rFonts w:ascii="Verdana" w:hAnsi="Verdana" w:cs="Arial"/>
          <w:lang w:val="es-ES"/>
        </w:rPr>
      </w:pPr>
      <w:r w:rsidRPr="00173792">
        <w:rPr>
          <w:rFonts w:ascii="Verdana" w:eastAsia="Calibri" w:hAnsi="Verdana" w:cs="Arial"/>
          <w:color w:val="000000"/>
          <w:lang w:val="es-ES"/>
        </w:rPr>
        <w:t xml:space="preserve">g) </w:t>
      </w:r>
      <w:r w:rsidRPr="00173792">
        <w:rPr>
          <w:rFonts w:ascii="Verdana" w:hAnsi="Verdana" w:cs="Arial"/>
          <w:lang w:val="es-ES"/>
        </w:rPr>
        <w:t xml:space="preserve">El contrato admite la inclusión de cláusulas excepcionales. En los contratos de prestación de servicios se puede pactar la caducidad, la </w:t>
      </w:r>
      <w:r w:rsidRPr="00173792">
        <w:rPr>
          <w:rFonts w:ascii="Verdana" w:hAnsi="Verdana" w:cs="Arial"/>
          <w:lang w:val="es-ES"/>
        </w:rPr>
        <w:lastRenderedPageBreak/>
        <w:t>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173792">
        <w:rPr>
          <w:rStyle w:val="Refdenotaalpie"/>
          <w:rFonts w:ascii="Verdana" w:hAnsi="Verdana" w:cs="Arial"/>
          <w:lang w:val="es-ES"/>
        </w:rPr>
        <w:footnoteReference w:id="13"/>
      </w:r>
      <w:r w:rsidRPr="00173792">
        <w:rPr>
          <w:rFonts w:ascii="Verdana" w:hAnsi="Verdana" w:cs="Arial"/>
          <w:lang w:val="es-ES"/>
        </w:rPr>
        <w:t>.</w:t>
      </w:r>
    </w:p>
    <w:p w14:paraId="252D3CCB" w14:textId="77777777" w:rsidR="00C640D3" w:rsidRPr="00173792" w:rsidRDefault="00C640D3" w:rsidP="00C640D3">
      <w:pPr>
        <w:spacing w:before="120" w:after="120" w:line="276" w:lineRule="auto"/>
        <w:ind w:firstLine="709"/>
        <w:jc w:val="both"/>
        <w:rPr>
          <w:rFonts w:ascii="Verdana" w:eastAsia="Calibri" w:hAnsi="Verdana" w:cs="Arial"/>
          <w:color w:val="000000"/>
          <w:lang w:val="es-ES"/>
        </w:rPr>
      </w:pPr>
      <w:r w:rsidRPr="00173792">
        <w:rPr>
          <w:rFonts w:ascii="Verdana" w:eastAsia="Calibri" w:hAnsi="Verdana" w:cs="Arial"/>
          <w:color w:val="000000"/>
          <w:lang w:val="es-ES"/>
        </w:rPr>
        <w:t>h) En ellos no es obligatoria la liquidación, pues así lo estableció el artículo 217 del Decreto 019 de 2012, que modificó el artículo 60 de la Ley 80 de 1993</w:t>
      </w:r>
      <w:r w:rsidRPr="00173792">
        <w:rPr>
          <w:rFonts w:ascii="Verdana" w:eastAsia="Calibri" w:hAnsi="Verdana" w:cs="Arial"/>
          <w:color w:val="000000"/>
          <w:vertAlign w:val="superscript"/>
          <w:lang w:val="es-ES"/>
        </w:rPr>
        <w:footnoteReference w:id="14"/>
      </w:r>
      <w:r w:rsidRPr="00173792">
        <w:rPr>
          <w:rFonts w:ascii="Verdana" w:eastAsia="Calibri" w:hAnsi="Verdana" w:cs="Arial"/>
          <w:color w:val="000000"/>
          <w:lang w:val="es-ES"/>
        </w:rPr>
        <w:t xml:space="preserve">, </w:t>
      </w:r>
      <w:r w:rsidRPr="00173792">
        <w:rPr>
          <w:rFonts w:ascii="Verdana" w:eastAsia="Calibri" w:hAnsi="Verdana" w:cs="Arial"/>
          <w:color w:val="000000"/>
          <w:lang w:val="es-ES" w:eastAsia="es-ES"/>
        </w:rPr>
        <w:t>refiriéndose expresamente a los contratos de prestación de servicios profesionales y de apoyo a la gestión.</w:t>
      </w:r>
    </w:p>
    <w:p w14:paraId="5382110F" w14:textId="77777777" w:rsidR="00C640D3" w:rsidRPr="00173792" w:rsidRDefault="00C640D3" w:rsidP="00C640D3">
      <w:pPr>
        <w:spacing w:before="120" w:line="276" w:lineRule="auto"/>
        <w:ind w:firstLine="709"/>
        <w:jc w:val="both"/>
        <w:rPr>
          <w:rFonts w:ascii="Verdana" w:hAnsi="Verdana" w:cs="Arial"/>
          <w:lang w:val="es-ES"/>
        </w:rPr>
      </w:pPr>
      <w:r w:rsidRPr="00173792">
        <w:rPr>
          <w:rFonts w:ascii="Verdana" w:eastAsia="Calibri" w:hAnsi="Verdana" w:cs="Arial"/>
          <w:color w:val="000000"/>
          <w:lang w:val="es-ES"/>
        </w:rPr>
        <w:t xml:space="preserve">i) </w:t>
      </w:r>
      <w:r w:rsidRPr="00173792">
        <w:rPr>
          <w:rFonts w:ascii="Verdana" w:hAnsi="Verdana" w:cs="Arial"/>
          <w:lang w:val="es-ES"/>
        </w:rPr>
        <w:t>El contratista no requiere estar inscrito en el Registro Único de Proponentes –RUP– para su celebración, como lo señala el artículo 6 de la Ley 1150 de 2007</w:t>
      </w:r>
      <w:r w:rsidRPr="00173792">
        <w:rPr>
          <w:rStyle w:val="Refdenotaalpie"/>
          <w:rFonts w:ascii="Verdana" w:hAnsi="Verdana" w:cs="Arial"/>
          <w:lang w:val="es-ES"/>
        </w:rPr>
        <w:footnoteReference w:id="15"/>
      </w:r>
      <w:r w:rsidRPr="00173792">
        <w:rPr>
          <w:rFonts w:ascii="Verdana" w:hAnsi="Verdana" w:cs="Arial"/>
          <w:lang w:val="es-ES"/>
        </w:rPr>
        <w:t>.</w:t>
      </w:r>
    </w:p>
    <w:p w14:paraId="3FD55A12" w14:textId="77777777" w:rsidR="00C640D3" w:rsidRPr="00173792" w:rsidRDefault="00C640D3" w:rsidP="00C640D3">
      <w:pPr>
        <w:spacing w:before="120" w:line="276" w:lineRule="auto"/>
        <w:ind w:firstLine="708"/>
        <w:jc w:val="both"/>
        <w:rPr>
          <w:rFonts w:ascii="Verdana" w:hAnsi="Verdana" w:cs="Arial"/>
          <w:lang w:val="es-ES"/>
        </w:rPr>
      </w:pPr>
      <w:r w:rsidRPr="00173792">
        <w:rPr>
          <w:rFonts w:ascii="Verdana" w:eastAsia="Calibri" w:hAnsi="Verdana" w:cs="Arial"/>
          <w:color w:val="000000"/>
          <w:lang w:val="es-ES"/>
        </w:rPr>
        <w:t>j)</w:t>
      </w:r>
      <w:r w:rsidRPr="00173792">
        <w:rPr>
          <w:rFonts w:ascii="Verdana" w:hAnsi="Verdana" w:cs="Arial"/>
          <w:lang w:val="es-ES"/>
        </w:rPr>
        <w:t xml:space="preserve"> No es obligatoria la exigencia de garantías</w:t>
      </w:r>
      <w:r w:rsidRPr="00173792">
        <w:rPr>
          <w:rStyle w:val="Refdenotaalpie"/>
          <w:rFonts w:ascii="Verdana" w:hAnsi="Verdana" w:cs="Arial"/>
          <w:lang w:val="es-ES"/>
        </w:rPr>
        <w:footnoteReference w:id="16"/>
      </w:r>
      <w:r w:rsidRPr="00173792">
        <w:rPr>
          <w:rFonts w:ascii="Verdana" w:hAnsi="Verdana" w:cs="Arial"/>
          <w:lang w:val="es-ES"/>
        </w:rPr>
        <w:t>.</w:t>
      </w:r>
    </w:p>
    <w:p w14:paraId="76ED3469" w14:textId="77777777" w:rsidR="00C640D3" w:rsidRPr="00173792" w:rsidRDefault="00C640D3" w:rsidP="00C640D3">
      <w:pPr>
        <w:spacing w:before="120" w:line="276" w:lineRule="auto"/>
        <w:ind w:firstLine="708"/>
        <w:jc w:val="both"/>
        <w:rPr>
          <w:rFonts w:ascii="Verdana" w:hAnsi="Verdana" w:cs="Arial"/>
          <w:lang w:val="es-ES"/>
        </w:rPr>
      </w:pPr>
      <w:r w:rsidRPr="00173792">
        <w:rPr>
          <w:rFonts w:ascii="Verdana" w:hAnsi="Verdana" w:cs="Arial"/>
          <w:lang w:val="es-ES"/>
        </w:rPr>
        <w:t>k) Como los demás contratos estatales, se trata de un contrato solemne que debe constar por escrito y debe ser publicado en el SECOP.</w:t>
      </w:r>
    </w:p>
    <w:p w14:paraId="0500921D" w14:textId="77777777" w:rsidR="00C640D3" w:rsidRPr="00173792" w:rsidRDefault="00C640D3" w:rsidP="00C640D3">
      <w:pPr>
        <w:tabs>
          <w:tab w:val="left" w:pos="0"/>
        </w:tabs>
        <w:spacing w:before="120" w:after="0" w:line="276" w:lineRule="auto"/>
        <w:ind w:firstLine="709"/>
        <w:jc w:val="both"/>
        <w:rPr>
          <w:rFonts w:ascii="Verdana" w:hAnsi="Verdana" w:cs="Arial"/>
          <w:color w:val="000000" w:themeColor="text1"/>
          <w:lang w:val="es-ES"/>
        </w:rPr>
      </w:pPr>
      <w:r w:rsidRPr="00173792">
        <w:rPr>
          <w:rFonts w:ascii="Verdana" w:hAnsi="Verdana" w:cs="Arial"/>
          <w:color w:val="000000" w:themeColor="text1"/>
          <w:lang w:val="es-ES"/>
        </w:rPr>
        <w:t xml:space="preserve">l) Como especies del género </w:t>
      </w:r>
      <w:r w:rsidRPr="00173792">
        <w:rPr>
          <w:rFonts w:ascii="Verdana" w:hAnsi="Verdana" w:cs="Arial"/>
          <w:i/>
          <w:color w:val="000000" w:themeColor="text1"/>
          <w:lang w:val="es-ES"/>
        </w:rPr>
        <w:t>prestación de servicios,</w:t>
      </w:r>
      <w:r w:rsidRPr="00173792">
        <w:rPr>
          <w:rFonts w:ascii="Verdana" w:hAnsi="Verdana" w:cs="Arial"/>
          <w:color w:val="000000" w:themeColor="text1"/>
          <w:lang w:val="es-ES"/>
        </w:rPr>
        <w:t xml:space="preserve"> se incluyen los </w:t>
      </w:r>
      <w:r w:rsidRPr="00173792">
        <w:rPr>
          <w:rFonts w:ascii="Verdana" w:hAnsi="Verdana" w:cs="Arial"/>
          <w:i/>
          <w:iCs/>
          <w:color w:val="000000" w:themeColor="text1"/>
          <w:lang w:val="es-ES"/>
        </w:rPr>
        <w:t>contratos de prestación de servicios profesionales, los contratos de prestación de servicios de apoyo a la gestión</w:t>
      </w:r>
      <w:r w:rsidRPr="00173792">
        <w:rPr>
          <w:rFonts w:ascii="Verdana" w:hAnsi="Verdana" w:cs="Arial"/>
          <w:color w:val="000000" w:themeColor="text1"/>
          <w:lang w:val="es-ES"/>
        </w:rPr>
        <w:t xml:space="preserve"> y los </w:t>
      </w:r>
      <w:r w:rsidRPr="00173792">
        <w:rPr>
          <w:rFonts w:ascii="Verdana" w:hAnsi="Verdana" w:cs="Arial"/>
          <w:i/>
          <w:iCs/>
          <w:color w:val="000000" w:themeColor="text1"/>
          <w:lang w:val="es-ES"/>
        </w:rPr>
        <w:t xml:space="preserve">contratos de prestación de servicios </w:t>
      </w:r>
      <w:r w:rsidRPr="00173792">
        <w:rPr>
          <w:rFonts w:ascii="Verdana" w:hAnsi="Verdana" w:cs="Arial"/>
          <w:i/>
          <w:iCs/>
          <w:color w:val="000000" w:themeColor="text1"/>
          <w:lang w:val="es-ES"/>
        </w:rPr>
        <w:lastRenderedPageBreak/>
        <w:t>artísticos que solo pueden encomendarse a determinadas personas naturales</w:t>
      </w:r>
      <w:r w:rsidRPr="00173792">
        <w:rPr>
          <w:rFonts w:ascii="Verdana" w:hAnsi="Verdana" w:cs="Arial"/>
          <w:color w:val="000000" w:themeColor="text1"/>
          <w:vertAlign w:val="superscript"/>
          <w:lang w:val="es-ES"/>
        </w:rPr>
        <w:footnoteReference w:id="17"/>
      </w:r>
      <w:r w:rsidRPr="00173792">
        <w:rPr>
          <w:rFonts w:ascii="Verdana" w:hAnsi="Verdana" w:cs="Arial"/>
          <w:color w:val="000000" w:themeColor="text1"/>
          <w:lang w:val="es-ES"/>
        </w:rPr>
        <w:t xml:space="preserve">. La diferencia entre el contrato de prestación de servicios </w:t>
      </w:r>
      <w:r w:rsidRPr="00173792">
        <w:rPr>
          <w:rFonts w:ascii="Verdana" w:hAnsi="Verdana" w:cs="Arial"/>
          <w:i/>
          <w:color w:val="000000" w:themeColor="text1"/>
          <w:lang w:val="es-ES"/>
        </w:rPr>
        <w:t>profesionales</w:t>
      </w:r>
      <w:r w:rsidRPr="00173792">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01F220A8"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r w:rsidRPr="00173792">
        <w:rPr>
          <w:rFonts w:ascii="Verdana" w:hAnsi="Verdana" w:cs="Arial"/>
          <w:color w:val="000000" w:themeColor="text1"/>
          <w:sz w:val="20"/>
          <w:szCs w:val="20"/>
          <w:lang w:val="es-ES"/>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173792">
        <w:rPr>
          <w:rStyle w:val="Refdenotaalpie"/>
          <w:rFonts w:ascii="Verdana" w:hAnsi="Verdana" w:cs="Arial"/>
          <w:color w:val="000000" w:themeColor="text1"/>
          <w:sz w:val="20"/>
          <w:szCs w:val="20"/>
          <w:lang w:val="es-ES"/>
        </w:rPr>
        <w:footnoteReference w:id="18"/>
      </w:r>
      <w:r w:rsidRPr="00173792">
        <w:rPr>
          <w:rFonts w:ascii="Verdana" w:hAnsi="Verdana" w:cs="Arial"/>
          <w:color w:val="000000" w:themeColor="text1"/>
          <w:sz w:val="20"/>
          <w:szCs w:val="20"/>
          <w:lang w:val="es-ES"/>
        </w:rPr>
        <w:t>.</w:t>
      </w:r>
    </w:p>
    <w:p w14:paraId="40DB7066" w14:textId="77777777" w:rsidR="00C640D3" w:rsidRPr="00173792" w:rsidRDefault="00C640D3" w:rsidP="00C640D3">
      <w:pPr>
        <w:spacing w:after="0" w:line="276" w:lineRule="auto"/>
        <w:ind w:firstLine="709"/>
        <w:jc w:val="both"/>
        <w:rPr>
          <w:rFonts w:ascii="Verdana" w:hAnsi="Verdana" w:cs="Arial"/>
          <w:color w:val="000000" w:themeColor="text1"/>
          <w:lang w:val="es-ES"/>
        </w:rPr>
      </w:pPr>
    </w:p>
    <w:p w14:paraId="3D73C8B5" w14:textId="77777777" w:rsidR="00C640D3" w:rsidRPr="00173792" w:rsidRDefault="00C640D3" w:rsidP="00C640D3">
      <w:pPr>
        <w:spacing w:after="0" w:line="276" w:lineRule="auto"/>
        <w:ind w:firstLine="709"/>
        <w:jc w:val="both"/>
        <w:rPr>
          <w:rFonts w:ascii="Verdana" w:hAnsi="Verdana" w:cs="Arial"/>
          <w:color w:val="000000" w:themeColor="text1"/>
          <w:lang w:val="es-ES"/>
        </w:rPr>
      </w:pPr>
      <w:r w:rsidRPr="00173792">
        <w:rPr>
          <w:rFonts w:ascii="Verdana" w:hAnsi="Verdana" w:cs="Arial"/>
          <w:color w:val="000000" w:themeColor="text1"/>
          <w:lang w:val="es-ES"/>
        </w:rPr>
        <w:t xml:space="preserve">Lo expuesto, según la jurisprudencia citada, se diferencia del objeto del </w:t>
      </w:r>
      <w:r w:rsidRPr="00173792">
        <w:rPr>
          <w:rFonts w:ascii="Verdana" w:hAnsi="Verdana" w:cs="Arial"/>
          <w:i/>
          <w:iCs/>
          <w:color w:val="000000" w:themeColor="text1"/>
          <w:lang w:val="es-ES"/>
        </w:rPr>
        <w:t>contrato de prestación de servicios de apoyo a la gestión</w:t>
      </w:r>
      <w:r w:rsidRPr="00173792">
        <w:rPr>
          <w:rFonts w:ascii="Verdana" w:hAnsi="Verdana" w:cs="Arial"/>
          <w:color w:val="000000" w:themeColor="text1"/>
          <w:lang w:val="es-ES"/>
        </w:rPr>
        <w:t>, en los siguientes aspectos:</w:t>
      </w:r>
    </w:p>
    <w:p w14:paraId="1DE79575" w14:textId="77777777" w:rsidR="00C640D3" w:rsidRPr="00173792" w:rsidRDefault="00C640D3" w:rsidP="00C640D3">
      <w:pPr>
        <w:spacing w:after="0" w:line="276" w:lineRule="auto"/>
        <w:ind w:firstLine="709"/>
        <w:jc w:val="both"/>
        <w:rPr>
          <w:rFonts w:ascii="Verdana" w:hAnsi="Verdana" w:cs="Arial"/>
          <w:color w:val="000000" w:themeColor="text1"/>
          <w:lang w:val="es-ES"/>
        </w:rPr>
      </w:pPr>
    </w:p>
    <w:p w14:paraId="585D6AD7"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r w:rsidRPr="00173792">
        <w:rPr>
          <w:rFonts w:ascii="Verdana" w:hAnsi="Verdana" w:cs="Arial"/>
          <w:color w:val="000000" w:themeColor="text1"/>
          <w:sz w:val="20"/>
          <w:szCs w:val="20"/>
          <w:lang w:val="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2D8A2EF"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p>
    <w:p w14:paraId="1BEF62B9"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r w:rsidRPr="00173792">
        <w:rPr>
          <w:rFonts w:ascii="Verdana" w:hAnsi="Verdana" w:cs="Arial"/>
          <w:color w:val="000000" w:themeColor="text1"/>
          <w:sz w:val="20"/>
          <w:szCs w:val="20"/>
          <w:lang w:val="es-ES"/>
        </w:rPr>
        <w:t xml:space="preserve">Aunque también se caracteriza por el desempeño de actividad intelectiva, ésta </w:t>
      </w:r>
      <w:proofErr w:type="gramStart"/>
      <w:r w:rsidRPr="00173792">
        <w:rPr>
          <w:rFonts w:ascii="Verdana" w:hAnsi="Verdana" w:cs="Arial"/>
          <w:color w:val="000000" w:themeColor="text1"/>
          <w:sz w:val="20"/>
          <w:szCs w:val="20"/>
          <w:lang w:val="es-ES"/>
        </w:rPr>
        <w:t>se enmarca dentro de</w:t>
      </w:r>
      <w:proofErr w:type="gramEnd"/>
      <w:r w:rsidRPr="00173792">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49AB1A04"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p>
    <w:p w14:paraId="4411D7E1"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r w:rsidRPr="00173792">
        <w:rPr>
          <w:rFonts w:ascii="Verdana" w:hAnsi="Verdana" w:cs="Arial"/>
          <w:color w:val="000000" w:themeColor="text1"/>
          <w:sz w:val="20"/>
          <w:szCs w:val="20"/>
          <w:lang w:val="es-ES"/>
        </w:rPr>
        <w:lastRenderedPageBreak/>
        <w:t>Dentro de su objeto contractual pueden tener lugar actividades operativas, logísticas o asistenciales, siempre que satisfaga los requisitos antes mencionados y sea acorde con las necesidades de la Administración y el principio de planeación”</w:t>
      </w:r>
      <w:r w:rsidRPr="00173792">
        <w:rPr>
          <w:rStyle w:val="Refdenotaalpie"/>
          <w:rFonts w:ascii="Verdana" w:hAnsi="Verdana" w:cs="Arial"/>
          <w:color w:val="000000" w:themeColor="text1"/>
          <w:sz w:val="20"/>
          <w:szCs w:val="20"/>
          <w:lang w:val="es-ES"/>
        </w:rPr>
        <w:footnoteReference w:id="19"/>
      </w:r>
      <w:r w:rsidRPr="00173792">
        <w:rPr>
          <w:rFonts w:ascii="Verdana" w:hAnsi="Verdana" w:cs="Arial"/>
          <w:color w:val="000000" w:themeColor="text1"/>
          <w:sz w:val="20"/>
          <w:szCs w:val="20"/>
          <w:lang w:val="es-ES"/>
        </w:rPr>
        <w:t>.</w:t>
      </w:r>
    </w:p>
    <w:p w14:paraId="7B93B710" w14:textId="77777777" w:rsidR="00C640D3" w:rsidRPr="00173792" w:rsidRDefault="00C640D3" w:rsidP="00C640D3">
      <w:pPr>
        <w:spacing w:after="0" w:line="276" w:lineRule="auto"/>
        <w:ind w:firstLine="709"/>
        <w:jc w:val="both"/>
        <w:rPr>
          <w:rFonts w:ascii="Verdana" w:hAnsi="Verdana" w:cs="Arial"/>
          <w:color w:val="000000" w:themeColor="text1"/>
          <w:lang w:val="es-ES"/>
        </w:rPr>
      </w:pPr>
    </w:p>
    <w:p w14:paraId="6CE2E954" w14:textId="77777777" w:rsidR="00C640D3" w:rsidRPr="00173792" w:rsidRDefault="00C640D3" w:rsidP="00C640D3">
      <w:pPr>
        <w:spacing w:after="0" w:line="276" w:lineRule="auto"/>
        <w:ind w:firstLine="709"/>
        <w:jc w:val="both"/>
        <w:rPr>
          <w:rFonts w:ascii="Verdana" w:hAnsi="Verdana" w:cs="Arial"/>
          <w:color w:val="000000" w:themeColor="text1"/>
          <w:lang w:val="es-ES"/>
        </w:rPr>
      </w:pPr>
      <w:r w:rsidRPr="00173792">
        <w:rPr>
          <w:rFonts w:ascii="Verdana" w:hAnsi="Verdana" w:cs="Arial"/>
          <w:color w:val="000000" w:themeColor="text1"/>
          <w:lang w:val="es-ES"/>
        </w:rPr>
        <w:t xml:space="preserve">En relación con el </w:t>
      </w:r>
      <w:r w:rsidRPr="00173792">
        <w:rPr>
          <w:rFonts w:ascii="Verdana" w:hAnsi="Verdana" w:cs="Arial"/>
          <w:i/>
          <w:iCs/>
          <w:color w:val="000000" w:themeColor="text1"/>
          <w:lang w:val="es-ES"/>
        </w:rPr>
        <w:t>contrato de prestación de servicios artísticos que solo pueden encomendarse a determinadas personas naturales</w:t>
      </w:r>
      <w:r w:rsidRPr="00173792">
        <w:rPr>
          <w:rFonts w:ascii="Verdana" w:hAnsi="Verdana" w:cs="Arial"/>
          <w:color w:val="000000" w:themeColor="text1"/>
          <w:lang w:val="es-ES"/>
        </w:rPr>
        <w:t>, señala la mencionada decisión judicial lo siguiente:</w:t>
      </w:r>
    </w:p>
    <w:p w14:paraId="581E39EB" w14:textId="77777777" w:rsidR="00C640D3" w:rsidRPr="00173792" w:rsidRDefault="00C640D3" w:rsidP="00C640D3">
      <w:pPr>
        <w:spacing w:after="0" w:line="276" w:lineRule="auto"/>
        <w:ind w:firstLine="709"/>
        <w:jc w:val="both"/>
        <w:rPr>
          <w:rFonts w:ascii="Verdana" w:hAnsi="Verdana" w:cs="Arial"/>
          <w:color w:val="000000" w:themeColor="text1"/>
          <w:lang w:val="es-ES"/>
        </w:rPr>
      </w:pPr>
    </w:p>
    <w:p w14:paraId="1AA0D6B2" w14:textId="77777777" w:rsidR="00C640D3" w:rsidRPr="00173792" w:rsidRDefault="00C640D3" w:rsidP="00C640D3">
      <w:pPr>
        <w:spacing w:after="0" w:line="240" w:lineRule="auto"/>
        <w:ind w:left="709" w:right="709"/>
        <w:jc w:val="both"/>
        <w:rPr>
          <w:rFonts w:ascii="Verdana" w:hAnsi="Verdana" w:cs="Arial"/>
          <w:color w:val="000000" w:themeColor="text1"/>
          <w:sz w:val="20"/>
          <w:szCs w:val="20"/>
          <w:lang w:val="es-ES"/>
        </w:rPr>
      </w:pPr>
      <w:r w:rsidRPr="00173792">
        <w:rPr>
          <w:rFonts w:ascii="Verdana" w:hAnsi="Verdana" w:cs="Arial"/>
          <w:color w:val="000000" w:themeColor="text1"/>
          <w:sz w:val="20"/>
          <w:szCs w:val="20"/>
          <w:lang w:val="es-ES"/>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173792">
        <w:rPr>
          <w:rStyle w:val="Refdenotaalpie"/>
          <w:rFonts w:ascii="Verdana" w:hAnsi="Verdana" w:cs="Arial"/>
          <w:color w:val="000000" w:themeColor="text1"/>
          <w:sz w:val="20"/>
          <w:szCs w:val="20"/>
          <w:lang w:val="es-ES"/>
        </w:rPr>
        <w:footnoteReference w:id="20"/>
      </w:r>
      <w:r w:rsidRPr="00173792">
        <w:rPr>
          <w:rFonts w:ascii="Verdana" w:hAnsi="Verdana" w:cs="Arial"/>
          <w:color w:val="000000" w:themeColor="text1"/>
          <w:sz w:val="20"/>
          <w:szCs w:val="20"/>
          <w:lang w:val="es-ES"/>
        </w:rPr>
        <w:t>.</w:t>
      </w:r>
    </w:p>
    <w:p w14:paraId="27593AD7" w14:textId="77777777" w:rsidR="00C640D3" w:rsidRPr="00173792" w:rsidRDefault="00C640D3" w:rsidP="00C640D3">
      <w:pPr>
        <w:spacing w:after="0" w:line="276" w:lineRule="auto"/>
        <w:ind w:firstLine="709"/>
        <w:jc w:val="both"/>
        <w:rPr>
          <w:rFonts w:ascii="Verdana" w:hAnsi="Verdana" w:cs="Arial"/>
          <w:color w:val="000000" w:themeColor="text1"/>
          <w:lang w:val="es-ES"/>
        </w:rPr>
      </w:pPr>
    </w:p>
    <w:p w14:paraId="25330B38" w14:textId="77777777" w:rsidR="00C640D3" w:rsidRPr="00173792" w:rsidRDefault="00C640D3" w:rsidP="00C640D3">
      <w:pPr>
        <w:spacing w:after="120" w:line="276" w:lineRule="auto"/>
        <w:ind w:firstLine="709"/>
        <w:jc w:val="both"/>
        <w:rPr>
          <w:rFonts w:ascii="Verdana" w:hAnsi="Verdana" w:cs="Arial"/>
          <w:color w:val="000000" w:themeColor="text1"/>
          <w:lang w:val="es-ES"/>
        </w:rPr>
      </w:pPr>
      <w:r w:rsidRPr="00173792">
        <w:rPr>
          <w:rFonts w:ascii="Verdana" w:hAnsi="Verdana" w:cs="Arial"/>
          <w:color w:val="000000" w:themeColor="text1"/>
          <w:lang w:val="es-ES"/>
        </w:rPr>
        <w:t xml:space="preserve">En este sentido, el contrato de prestación de servicios </w:t>
      </w:r>
      <w:r w:rsidRPr="00173792">
        <w:rPr>
          <w:rFonts w:ascii="Verdana" w:hAnsi="Verdana" w:cs="Arial"/>
          <w:i/>
          <w:iCs/>
          <w:color w:val="000000" w:themeColor="text1"/>
          <w:lang w:val="es-ES"/>
        </w:rPr>
        <w:t>profesionales</w:t>
      </w:r>
      <w:r w:rsidRPr="00173792">
        <w:rPr>
          <w:rFonts w:ascii="Verdana" w:hAnsi="Verdana" w:cs="Arial"/>
          <w:color w:val="000000" w:themeColor="text1"/>
          <w:lang w:val="es-ES"/>
        </w:rPr>
        <w:t xml:space="preserve"> se caracteriza porque su objeto guarda relación con el desarrollo de actividades que demandan competencias y habilidades profesionales o especializadas de la persona natural o jurídica a contratar, de manera que se trata de un </w:t>
      </w:r>
      <w:r w:rsidRPr="00173792">
        <w:rPr>
          <w:rFonts w:ascii="Verdana" w:hAnsi="Verdana" w:cs="Arial"/>
          <w:i/>
          <w:iCs/>
          <w:color w:val="000000" w:themeColor="text1"/>
          <w:lang w:val="es-ES"/>
        </w:rPr>
        <w:t>saber intelectivo cualificado.</w:t>
      </w:r>
      <w:r w:rsidRPr="00173792">
        <w:rPr>
          <w:rFonts w:ascii="Verdana" w:hAnsi="Verdana" w:cs="Arial"/>
          <w:color w:val="000000" w:themeColor="text1"/>
          <w:lang w:val="es-ES"/>
        </w:rPr>
        <w:t xml:space="preserve"> En cambio, los contratos de prestación de servicios de </w:t>
      </w:r>
      <w:r w:rsidRPr="00173792">
        <w:rPr>
          <w:rFonts w:ascii="Verdana" w:hAnsi="Verdana" w:cs="Arial"/>
          <w:i/>
          <w:iCs/>
          <w:color w:val="000000" w:themeColor="text1"/>
          <w:lang w:val="es-ES"/>
        </w:rPr>
        <w:t>apoyo a la gestión</w:t>
      </w:r>
      <w:r w:rsidRPr="00173792">
        <w:rPr>
          <w:rFonts w:ascii="Verdana" w:hAnsi="Verdana" w:cs="Arial"/>
          <w:color w:val="000000" w:themeColor="text1"/>
          <w:lang w:val="es-ES"/>
        </w:rPr>
        <w:t xml:space="preserve"> y de </w:t>
      </w:r>
      <w:r w:rsidRPr="00173792">
        <w:rPr>
          <w:rFonts w:ascii="Verdana" w:hAnsi="Verdana" w:cs="Arial"/>
          <w:i/>
          <w:iCs/>
          <w:color w:val="000000" w:themeColor="text1"/>
          <w:lang w:val="es-ES"/>
        </w:rPr>
        <w:t>servicios artísticos</w:t>
      </w:r>
      <w:r w:rsidRPr="00173792">
        <w:rPr>
          <w:rFonts w:ascii="Verdana" w:hAnsi="Verdana" w:cs="Arial"/>
          <w:color w:val="000000" w:themeColor="text1"/>
          <w:lang w:val="es-ES"/>
        </w:rPr>
        <w:t xml:space="preserve"> no involucran ese conocimiento profesional o especializados para su ejecución. En los contratos de apoyo a la gestión el contratista desempeña un esfuerzo o actividad de apoyo, acompañamiento, o soporte, donde “lo predominante es el actuar como ejecutor, con el propósito y finalidad de satisfacer necesidades de las entidades estatales en lo relacionado con la gestión administrativa o funcionamiento de </w:t>
      </w:r>
      <w:proofErr w:type="gramStart"/>
      <w:r w:rsidRPr="00173792">
        <w:rPr>
          <w:rFonts w:ascii="Verdana" w:hAnsi="Verdana" w:cs="Arial"/>
          <w:color w:val="000000" w:themeColor="text1"/>
          <w:lang w:val="es-ES"/>
        </w:rPr>
        <w:t>la misma</w:t>
      </w:r>
      <w:proofErr w:type="gramEnd"/>
      <w:r w:rsidRPr="00173792">
        <w:rPr>
          <w:rFonts w:ascii="Verdana" w:hAnsi="Verdana" w:cs="Arial"/>
          <w:color w:val="000000" w:themeColor="text1"/>
          <w:lang w:val="es-ES"/>
        </w:rPr>
        <w:t>,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32423744" w14:textId="77777777" w:rsidR="00C640D3" w:rsidRPr="00173792" w:rsidRDefault="00C640D3" w:rsidP="00C640D3">
      <w:pPr>
        <w:spacing w:after="0" w:line="276" w:lineRule="auto"/>
        <w:ind w:firstLine="709"/>
        <w:jc w:val="both"/>
        <w:rPr>
          <w:rFonts w:ascii="Verdana" w:eastAsia="Calibri" w:hAnsi="Verdana" w:cs="Arial"/>
          <w:i/>
          <w:iCs/>
          <w:color w:val="000000"/>
          <w:lang w:val="es-ES"/>
        </w:rPr>
      </w:pPr>
      <w:r w:rsidRPr="00173792">
        <w:rPr>
          <w:rFonts w:ascii="Verdana" w:hAnsi="Verdana"/>
          <w:lang w:val="es-ES"/>
        </w:rPr>
        <w:lastRenderedPageBreak/>
        <w:t>Lo expuesto constituye</w:t>
      </w:r>
      <w:r w:rsidRPr="00173792">
        <w:rPr>
          <w:rFonts w:ascii="Verdana" w:eastAsia="Calibri" w:hAnsi="Verdana" w:cs="Arial"/>
          <w:color w:val="000000"/>
          <w:lang w:val="es-ES"/>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así como las entidades señaladas en el numeral b </w:t>
      </w:r>
      <w:r w:rsidRPr="00173792">
        <w:rPr>
          <w:rFonts w:ascii="Verdana" w:eastAsia="Calibri" w:hAnsi="Verdana" w:cs="Arial"/>
          <w:i/>
          <w:iCs/>
          <w:color w:val="000000"/>
          <w:lang w:val="es-ES"/>
        </w:rPr>
        <w:t>ibidem.</w:t>
      </w:r>
    </w:p>
    <w:p w14:paraId="314EEFF7" w14:textId="77777777" w:rsidR="00C640D3" w:rsidRPr="00173792" w:rsidRDefault="00C640D3" w:rsidP="00C640D3">
      <w:pPr>
        <w:spacing w:after="0" w:line="276" w:lineRule="auto"/>
        <w:ind w:firstLine="709"/>
        <w:jc w:val="both"/>
        <w:rPr>
          <w:rFonts w:ascii="Verdana" w:eastAsia="Calibri" w:hAnsi="Verdana" w:cs="Arial"/>
          <w:color w:val="000000"/>
          <w:lang w:val="es-ES" w:eastAsia="es-ES_tradnl"/>
        </w:rPr>
      </w:pPr>
    </w:p>
    <w:p w14:paraId="3C589C6A" w14:textId="77777777" w:rsidR="00C640D3" w:rsidRPr="00173792" w:rsidRDefault="00C640D3" w:rsidP="00C640D3">
      <w:pPr>
        <w:autoSpaceDE w:val="0"/>
        <w:autoSpaceDN w:val="0"/>
        <w:adjustRightInd w:val="0"/>
        <w:spacing w:after="120" w:line="276" w:lineRule="auto"/>
        <w:jc w:val="both"/>
        <w:rPr>
          <w:rFonts w:ascii="Verdana" w:hAnsi="Verdana" w:cs="Arial"/>
          <w:i/>
          <w:iCs/>
          <w:lang w:val="es-ES"/>
        </w:rPr>
      </w:pPr>
      <w:proofErr w:type="spellStart"/>
      <w:r w:rsidRPr="00173792">
        <w:rPr>
          <w:rFonts w:ascii="Verdana" w:hAnsi="Verdana" w:cs="Arial"/>
          <w:lang w:val="es-ES"/>
        </w:rPr>
        <w:t>ii</w:t>
      </w:r>
      <w:proofErr w:type="spellEnd"/>
      <w:r w:rsidRPr="00173792">
        <w:rPr>
          <w:rFonts w:ascii="Verdana" w:hAnsi="Verdana" w:cs="Arial"/>
          <w:lang w:val="es-ES"/>
        </w:rPr>
        <w:t xml:space="preserve">) Con respecto al alcance temporal y material de los contratos de prestación de servicios es importante resaltar que el inciso segundo del numeral 3 del artículo 32 de la Ley 80 de 1993 dispone que: “Estos contratos sólo podrán celebrarse con personas naturales cuando dichas actividades no puedan realizarse con personal de planta o requieran conocimientos especializados. </w:t>
      </w:r>
      <w:r w:rsidRPr="00173792">
        <w:rPr>
          <w:rFonts w:ascii="Verdana" w:hAnsi="Verdana" w:cs="Arial"/>
          <w:i/>
          <w:iCs/>
          <w:lang w:val="es-ES"/>
        </w:rPr>
        <w:t xml:space="preserve">En ningún caso estos contratos generan relación laboral ni prestaciones sociales y se celebrarán por el término estrictamente indispensable” </w:t>
      </w:r>
      <w:r w:rsidRPr="00173792">
        <w:rPr>
          <w:rFonts w:ascii="Verdana" w:hAnsi="Verdana" w:cs="Arial"/>
          <w:lang w:val="es-ES"/>
        </w:rPr>
        <w:t>[Énfasis fuera de texto]</w:t>
      </w:r>
      <w:r w:rsidRPr="00173792">
        <w:rPr>
          <w:rFonts w:ascii="Verdana" w:hAnsi="Verdana" w:cs="Arial"/>
          <w:i/>
          <w:iCs/>
          <w:lang w:val="es-ES"/>
        </w:rPr>
        <w:t>.</w:t>
      </w:r>
    </w:p>
    <w:p w14:paraId="2E756580" w14:textId="77777777" w:rsidR="00C640D3" w:rsidRPr="00173792" w:rsidRDefault="00C640D3" w:rsidP="00C640D3">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 xml:space="preserve">Según esta norma, la temporalidad es una de las características fundamentales de los contratos de prestación de servicios, comoquiera que el plazo de los mismos deberá sujetarse al </w:t>
      </w:r>
      <w:r w:rsidRPr="00173792">
        <w:rPr>
          <w:rFonts w:ascii="Verdana" w:hAnsi="Verdana" w:cs="Arial"/>
          <w:i/>
          <w:iCs/>
          <w:lang w:val="es-ES"/>
        </w:rPr>
        <w:t xml:space="preserve">“término estrictamente indispensable”, </w:t>
      </w:r>
      <w:r w:rsidRPr="00173792">
        <w:rPr>
          <w:rFonts w:ascii="Verdana" w:hAnsi="Verdana" w:cs="Arial"/>
          <w:lang w:val="es-ES"/>
        </w:rPr>
        <w:t>el cual según lo manifestado en la Sentencia de Unificación Jurisprudencial SUJ-025-CE-S2-2021 de la Sección Segunda del Consejo de Estado es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173792">
        <w:rPr>
          <w:rStyle w:val="Refdenotaalpie"/>
          <w:rFonts w:ascii="Verdana" w:hAnsi="Verdana" w:cs="Arial"/>
          <w:lang w:val="es-ES"/>
        </w:rPr>
        <w:footnoteReference w:id="21"/>
      </w:r>
      <w:r w:rsidRPr="00173792">
        <w:rPr>
          <w:rFonts w:ascii="Verdana" w:hAnsi="Verdana" w:cs="Arial"/>
          <w:lang w:val="es-ES"/>
        </w:rPr>
        <w:t xml:space="preserve">. En ese entendido, la temporalidad del contrato de prestación </w:t>
      </w:r>
      <w:r w:rsidRPr="00173792">
        <w:rPr>
          <w:rFonts w:ascii="Verdana" w:hAnsi="Verdana" w:cs="Arial"/>
          <w:lang w:val="es-ES"/>
        </w:rPr>
        <w:lastRenderedPageBreak/>
        <w:t>de servicios está determinada por el tiempo requerido para desarrollar el objeto para el que se celebra de acuerdo con lo establecido en los correspondientes estudios previos, en cumplimiento del principio de planeación, la autonomía y voluntad de las partes.</w:t>
      </w:r>
    </w:p>
    <w:p w14:paraId="68C3B4EB" w14:textId="77777777" w:rsidR="00C640D3" w:rsidRPr="00173792" w:rsidRDefault="00C640D3" w:rsidP="00C640D3">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De igual forma, el alcance y remuneración del contratista se ciñen a lo que al respecto establezca el contrato de prestación de servicios, pues deberá ejecutar las actividades que allí se señalen por el tiempo para ello pactado</w:t>
      </w:r>
      <w:r>
        <w:rPr>
          <w:rFonts w:ascii="Verdana" w:hAnsi="Verdana" w:cs="Arial"/>
          <w:lang w:val="es-ES"/>
        </w:rPr>
        <w:t>.</w:t>
      </w:r>
      <w:r w:rsidRPr="00264193">
        <w:rPr>
          <w:rFonts w:ascii="Verdana" w:hAnsi="Verdana" w:cs="Arial"/>
          <w:lang w:val="es-ES"/>
        </w:rPr>
        <w:t xml:space="preserve"> </w:t>
      </w:r>
      <w:r w:rsidRPr="00173792">
        <w:rPr>
          <w:rFonts w:ascii="Verdana" w:hAnsi="Verdana" w:cs="Arial"/>
          <w:lang w:val="es-ES"/>
        </w:rPr>
        <w:t xml:space="preserve">En este sentido, la figura del “ascenso” </w:t>
      </w:r>
      <w:r>
        <w:rPr>
          <w:rFonts w:ascii="Verdana" w:hAnsi="Verdana" w:cs="Arial"/>
          <w:lang w:val="es-ES"/>
        </w:rPr>
        <w:t xml:space="preserve">que es </w:t>
      </w:r>
      <w:r w:rsidRPr="00173792">
        <w:rPr>
          <w:rFonts w:ascii="Verdana" w:hAnsi="Verdana" w:cs="Arial"/>
          <w:lang w:val="es-ES"/>
        </w:rPr>
        <w:t xml:space="preserve">aplicable en el marco jurídico que rige el empleo público y la carrera administrativa no es </w:t>
      </w:r>
      <w:r>
        <w:rPr>
          <w:rFonts w:ascii="Verdana" w:hAnsi="Verdana" w:cs="Arial"/>
          <w:lang w:val="es-ES"/>
        </w:rPr>
        <w:t>extensible al régimen del contrato de prestación de servicios</w:t>
      </w:r>
      <w:r w:rsidRPr="00173792">
        <w:rPr>
          <w:rFonts w:ascii="Verdana" w:hAnsi="Verdana" w:cs="Arial"/>
          <w:lang w:val="es-ES"/>
        </w:rPr>
        <w:t xml:space="preserve">. Esto se debe a que el ascenso es una institución que supone la progresión </w:t>
      </w:r>
      <w:r>
        <w:rPr>
          <w:rFonts w:ascii="Verdana" w:hAnsi="Verdana" w:cs="Arial"/>
          <w:lang w:val="es-ES"/>
        </w:rPr>
        <w:t xml:space="preserve">jerárquica </w:t>
      </w:r>
      <w:r w:rsidRPr="00173792">
        <w:rPr>
          <w:rFonts w:ascii="Verdana" w:hAnsi="Verdana" w:cs="Arial"/>
          <w:lang w:val="es-ES"/>
        </w:rPr>
        <w:t xml:space="preserve">como parte de </w:t>
      </w:r>
      <w:r>
        <w:rPr>
          <w:rFonts w:ascii="Verdana" w:hAnsi="Verdana" w:cs="Arial"/>
          <w:lang w:val="es-ES"/>
        </w:rPr>
        <w:t>l</w:t>
      </w:r>
      <w:r w:rsidRPr="00173792">
        <w:rPr>
          <w:rFonts w:ascii="Verdana" w:hAnsi="Verdana" w:cs="Arial"/>
          <w:lang w:val="es-ES"/>
        </w:rPr>
        <w:t>a planta de personal</w:t>
      </w:r>
      <w:r>
        <w:rPr>
          <w:rFonts w:ascii="Verdana" w:hAnsi="Verdana" w:cs="Arial"/>
          <w:lang w:val="es-ES"/>
        </w:rPr>
        <w:t xml:space="preserve"> de una entidad</w:t>
      </w:r>
      <w:r w:rsidRPr="00173792">
        <w:rPr>
          <w:rFonts w:ascii="Verdana" w:hAnsi="Verdana" w:cs="Arial"/>
          <w:lang w:val="es-ES"/>
        </w:rPr>
        <w:t xml:space="preserve">. Este supuesto no se encuentra presente en el marco de los contratos de prestación de servicios, pues el contratista no hace parte de una planta personal de la entidad en la cual pueda aumentar su rango jerárquico, funciones o remuneración de manera progresiva. A lo anterior se suma que son aspectos fundamentales de los contratos de prestación de servicios que no tengan por objeto el ejercicio de funciones propias y permanentes de la entidad, ni el ejercicio de funciones que puedan ser realizadas por el personal </w:t>
      </w:r>
      <w:r>
        <w:rPr>
          <w:rFonts w:ascii="Verdana" w:hAnsi="Verdana" w:cs="Arial"/>
          <w:lang w:val="es-ES"/>
        </w:rPr>
        <w:t xml:space="preserve">que conforma su </w:t>
      </w:r>
      <w:r w:rsidRPr="00173792">
        <w:rPr>
          <w:rFonts w:ascii="Verdana" w:hAnsi="Verdana" w:cs="Arial"/>
          <w:lang w:val="es-ES"/>
        </w:rPr>
        <w:t xml:space="preserve">planta. </w:t>
      </w:r>
    </w:p>
    <w:p w14:paraId="370077E9" w14:textId="77777777" w:rsidR="00C640D3" w:rsidRPr="00173792" w:rsidRDefault="00C640D3" w:rsidP="00C640D3">
      <w:pPr>
        <w:autoSpaceDE w:val="0"/>
        <w:autoSpaceDN w:val="0"/>
        <w:adjustRightInd w:val="0"/>
        <w:spacing w:after="120" w:line="276" w:lineRule="auto"/>
        <w:ind w:firstLine="708"/>
        <w:jc w:val="both"/>
        <w:rPr>
          <w:rFonts w:ascii="Verdana" w:hAnsi="Verdana" w:cs="Arial"/>
          <w:lang w:val="es-ES"/>
        </w:rPr>
      </w:pPr>
      <w:r w:rsidRPr="00F4232D">
        <w:rPr>
          <w:rFonts w:ascii="Verdana" w:hAnsi="Verdana" w:cs="Arial"/>
          <w:lang w:val="es-ES"/>
        </w:rPr>
        <w:t>De acuerdo con los artículos 122</w:t>
      </w:r>
      <w:r w:rsidRPr="00173792">
        <w:rPr>
          <w:rStyle w:val="Refdenotaalpie"/>
          <w:rFonts w:ascii="Verdana" w:hAnsi="Verdana" w:cs="Arial"/>
          <w:lang w:val="es-ES"/>
        </w:rPr>
        <w:footnoteReference w:id="22"/>
      </w:r>
      <w:r w:rsidRPr="00F4232D">
        <w:rPr>
          <w:rFonts w:ascii="Verdana" w:hAnsi="Verdana" w:cs="Arial"/>
          <w:lang w:val="es-ES"/>
        </w:rPr>
        <w:t xml:space="preserve"> y 125</w:t>
      </w:r>
      <w:r w:rsidRPr="00173792">
        <w:rPr>
          <w:rStyle w:val="Refdenotaalpie"/>
          <w:rFonts w:ascii="Verdana" w:hAnsi="Verdana" w:cs="Arial"/>
          <w:lang w:val="es-ES"/>
        </w:rPr>
        <w:footnoteReference w:id="23"/>
      </w:r>
      <w:r w:rsidRPr="00F4232D">
        <w:rPr>
          <w:rFonts w:ascii="Verdana" w:hAnsi="Verdana" w:cs="Arial"/>
          <w:lang w:val="es-ES"/>
        </w:rPr>
        <w:t xml:space="preserve"> de la Constitución Política, </w:t>
      </w:r>
      <w:r w:rsidRPr="00173792">
        <w:rPr>
          <w:rFonts w:ascii="Verdana" w:hAnsi="Verdana" w:cs="Arial"/>
          <w:lang w:val="es-ES"/>
        </w:rPr>
        <w:t xml:space="preserve">el régimen </w:t>
      </w:r>
      <w:r w:rsidRPr="00F4232D">
        <w:rPr>
          <w:rFonts w:ascii="Verdana" w:hAnsi="Verdana" w:cs="Arial"/>
          <w:lang w:val="es-ES"/>
        </w:rPr>
        <w:t>jurídico</w:t>
      </w:r>
      <w:r w:rsidRPr="00173792">
        <w:rPr>
          <w:rFonts w:ascii="Verdana" w:hAnsi="Verdana" w:cs="Arial"/>
          <w:lang w:val="es-ES"/>
        </w:rPr>
        <w:t xml:space="preserve"> colombiano</w:t>
      </w:r>
      <w:r w:rsidRPr="00F4232D">
        <w:rPr>
          <w:rFonts w:ascii="Verdana" w:hAnsi="Verdana" w:cs="Arial"/>
          <w:lang w:val="es-ES"/>
        </w:rPr>
        <w:t xml:space="preserve"> </w:t>
      </w:r>
      <w:r w:rsidRPr="00173792">
        <w:rPr>
          <w:rFonts w:ascii="Verdana" w:hAnsi="Verdana" w:cs="Arial"/>
          <w:lang w:val="es-ES"/>
        </w:rPr>
        <w:t xml:space="preserve">prevé distintos tipos de vinculación entre personas y </w:t>
      </w:r>
      <w:r w:rsidRPr="00F4232D">
        <w:rPr>
          <w:rFonts w:ascii="Verdana" w:hAnsi="Verdana" w:cs="Arial"/>
          <w:lang w:val="es-ES"/>
        </w:rPr>
        <w:t xml:space="preserve">entidades del Estado </w:t>
      </w:r>
      <w:r w:rsidRPr="00173792">
        <w:rPr>
          <w:rFonts w:ascii="Verdana" w:hAnsi="Verdana" w:cs="Arial"/>
          <w:lang w:val="es-ES"/>
        </w:rPr>
        <w:t xml:space="preserve">que cuentan con elementos </w:t>
      </w:r>
      <w:r w:rsidRPr="00F4232D">
        <w:rPr>
          <w:rFonts w:ascii="Verdana" w:hAnsi="Verdana" w:cs="Arial"/>
          <w:lang w:val="es-ES"/>
        </w:rPr>
        <w:t>tipificadores</w:t>
      </w:r>
      <w:r w:rsidRPr="00173792">
        <w:rPr>
          <w:rFonts w:ascii="Verdana" w:hAnsi="Verdana" w:cs="Arial"/>
          <w:lang w:val="es-ES"/>
        </w:rPr>
        <w:t xml:space="preserve"> propios</w:t>
      </w:r>
      <w:r w:rsidRPr="00F4232D">
        <w:rPr>
          <w:rFonts w:ascii="Verdana" w:hAnsi="Verdana" w:cs="Arial"/>
          <w:lang w:val="es-ES"/>
        </w:rPr>
        <w:t>: a) los empleados públicos (</w:t>
      </w:r>
      <w:r w:rsidRPr="00173792">
        <w:rPr>
          <w:rFonts w:ascii="Verdana" w:hAnsi="Verdana" w:cs="Arial"/>
          <w:lang w:val="es-ES"/>
        </w:rPr>
        <w:t xml:space="preserve">cuya </w:t>
      </w:r>
      <w:r w:rsidRPr="00F4232D">
        <w:rPr>
          <w:rFonts w:ascii="Verdana" w:hAnsi="Verdana" w:cs="Arial"/>
          <w:lang w:val="es-ES"/>
        </w:rPr>
        <w:t>relación</w:t>
      </w:r>
      <w:r w:rsidRPr="00173792">
        <w:rPr>
          <w:rFonts w:ascii="Verdana" w:hAnsi="Verdana" w:cs="Arial"/>
          <w:lang w:val="es-ES"/>
        </w:rPr>
        <w:t xml:space="preserve"> es de carácter</w:t>
      </w:r>
      <w:r w:rsidRPr="00F4232D">
        <w:rPr>
          <w:rFonts w:ascii="Verdana" w:hAnsi="Verdana" w:cs="Arial"/>
          <w:lang w:val="es-ES"/>
        </w:rPr>
        <w:t xml:space="preserve"> legal y reglamentaria)</w:t>
      </w:r>
      <w:r w:rsidRPr="00173792">
        <w:rPr>
          <w:rFonts w:ascii="Verdana" w:hAnsi="Verdana" w:cs="Arial"/>
          <w:lang w:val="es-ES"/>
        </w:rPr>
        <w:t>,</w:t>
      </w:r>
      <w:r w:rsidRPr="00F4232D">
        <w:rPr>
          <w:rFonts w:ascii="Verdana" w:hAnsi="Verdana" w:cs="Arial"/>
          <w:lang w:val="es-ES"/>
        </w:rPr>
        <w:t xml:space="preserve"> b)</w:t>
      </w:r>
      <w:r w:rsidRPr="00173792">
        <w:rPr>
          <w:rFonts w:ascii="Verdana" w:hAnsi="Verdana" w:cs="Arial"/>
          <w:lang w:val="es-ES"/>
        </w:rPr>
        <w:t xml:space="preserve"> </w:t>
      </w:r>
      <w:r w:rsidRPr="00F4232D">
        <w:rPr>
          <w:rFonts w:ascii="Verdana" w:hAnsi="Verdana" w:cs="Arial"/>
          <w:lang w:val="es-ES"/>
        </w:rPr>
        <w:t>los trabajadores oficiales (</w:t>
      </w:r>
      <w:r w:rsidRPr="00173792">
        <w:rPr>
          <w:rFonts w:ascii="Verdana" w:hAnsi="Verdana" w:cs="Arial"/>
          <w:lang w:val="es-ES"/>
        </w:rPr>
        <w:t xml:space="preserve">que cuentan con una </w:t>
      </w:r>
      <w:r w:rsidRPr="00F4232D">
        <w:rPr>
          <w:rFonts w:ascii="Verdana" w:hAnsi="Verdana" w:cs="Arial"/>
          <w:lang w:val="es-ES"/>
        </w:rPr>
        <w:t>relación contractual laboral)</w:t>
      </w:r>
      <w:r w:rsidRPr="00173792">
        <w:rPr>
          <w:rFonts w:ascii="Verdana" w:hAnsi="Verdana" w:cs="Arial"/>
          <w:lang w:val="es-ES"/>
        </w:rPr>
        <w:t>,</w:t>
      </w:r>
      <w:r w:rsidRPr="00F4232D">
        <w:rPr>
          <w:rFonts w:ascii="Verdana" w:hAnsi="Verdana" w:cs="Arial"/>
          <w:lang w:val="es-ES"/>
        </w:rPr>
        <w:t xml:space="preserve"> y c) los contratistas de prestación de servicios (</w:t>
      </w:r>
      <w:r w:rsidRPr="00173792">
        <w:rPr>
          <w:rFonts w:ascii="Verdana" w:hAnsi="Verdana" w:cs="Arial"/>
          <w:lang w:val="es-ES"/>
        </w:rPr>
        <w:t xml:space="preserve">que se rigen por una </w:t>
      </w:r>
      <w:r w:rsidRPr="00F4232D">
        <w:rPr>
          <w:rFonts w:ascii="Verdana" w:hAnsi="Verdana" w:cs="Arial"/>
          <w:lang w:val="es-ES"/>
        </w:rPr>
        <w:t xml:space="preserve">relación contractual estatal). </w:t>
      </w:r>
      <w:r w:rsidRPr="00173792">
        <w:rPr>
          <w:rFonts w:ascii="Verdana" w:hAnsi="Verdana" w:cs="Arial"/>
          <w:lang w:val="es-ES"/>
        </w:rPr>
        <w:t>Este marco jurídico señala que el empleo público tendrá funciones detalladas en la le</w:t>
      </w:r>
      <w:r>
        <w:rPr>
          <w:rFonts w:ascii="Verdana" w:hAnsi="Verdana" w:cs="Arial"/>
          <w:lang w:val="es-ES"/>
        </w:rPr>
        <w:t>y</w:t>
      </w:r>
      <w:r w:rsidRPr="00173792">
        <w:rPr>
          <w:rFonts w:ascii="Verdana" w:hAnsi="Verdana" w:cs="Arial"/>
          <w:lang w:val="es-ES"/>
        </w:rPr>
        <w:t xml:space="preserve"> o reglamento para proveer aquellos que estén </w:t>
      </w:r>
      <w:r w:rsidRPr="00173792">
        <w:rPr>
          <w:rFonts w:ascii="Verdana" w:hAnsi="Verdana" w:cs="Arial"/>
          <w:lang w:val="es-ES"/>
        </w:rPr>
        <w:lastRenderedPageBreak/>
        <w:t xml:space="preserve">contemplados en la planta de las entidades, y enfatiza que los empleos públicos son de carrera, con excepciones precisas como los de elección popular, los de libre nombramiento y remoción, los trabajadores oficiales y los demás que señale el legislador. </w:t>
      </w:r>
    </w:p>
    <w:p w14:paraId="2804E5A3" w14:textId="77777777" w:rsidR="00C640D3" w:rsidRDefault="00C640D3" w:rsidP="00C640D3">
      <w:pPr>
        <w:autoSpaceDE w:val="0"/>
        <w:autoSpaceDN w:val="0"/>
        <w:adjustRightInd w:val="0"/>
        <w:spacing w:after="0" w:line="276" w:lineRule="auto"/>
        <w:ind w:firstLine="708"/>
        <w:jc w:val="both"/>
        <w:rPr>
          <w:rFonts w:ascii="Verdana" w:hAnsi="Verdana" w:cs="Arial"/>
          <w:lang w:val="es-ES"/>
        </w:rPr>
      </w:pPr>
      <w:r w:rsidRPr="00173792">
        <w:rPr>
          <w:rFonts w:ascii="Verdana" w:hAnsi="Verdana" w:cs="Arial"/>
          <w:lang w:val="es-ES"/>
        </w:rPr>
        <w:t xml:space="preserve">Adicionalmente, el Decreto 2400 de 1968, modificado por el Decreto 3074 del mismo año, dispone que: </w:t>
      </w:r>
    </w:p>
    <w:p w14:paraId="5EEA5656" w14:textId="77777777" w:rsidR="00C640D3" w:rsidRPr="00173792" w:rsidRDefault="00C640D3" w:rsidP="00C640D3">
      <w:pPr>
        <w:autoSpaceDE w:val="0"/>
        <w:autoSpaceDN w:val="0"/>
        <w:adjustRightInd w:val="0"/>
        <w:spacing w:after="0" w:line="276" w:lineRule="auto"/>
        <w:ind w:firstLine="708"/>
        <w:jc w:val="both"/>
        <w:rPr>
          <w:rFonts w:ascii="Verdana" w:hAnsi="Verdana" w:cs="Arial"/>
          <w:lang w:val="es-ES"/>
        </w:rPr>
      </w:pPr>
    </w:p>
    <w:p w14:paraId="5EFEFCF4" w14:textId="77777777" w:rsidR="00C640D3" w:rsidRPr="003C43F5" w:rsidRDefault="00C640D3" w:rsidP="00C640D3">
      <w:pPr>
        <w:autoSpaceDE w:val="0"/>
        <w:autoSpaceDN w:val="0"/>
        <w:adjustRightInd w:val="0"/>
        <w:spacing w:after="120" w:line="240" w:lineRule="auto"/>
        <w:ind w:left="708" w:right="709"/>
        <w:jc w:val="both"/>
        <w:rPr>
          <w:rFonts w:ascii="Verdana" w:hAnsi="Verdana" w:cs="Arial"/>
          <w:sz w:val="20"/>
          <w:szCs w:val="20"/>
          <w:lang w:val="es-ES"/>
        </w:rPr>
      </w:pPr>
      <w:bookmarkStart w:id="3" w:name="ver_30072140"/>
      <w:bookmarkEnd w:id="3"/>
      <w:r w:rsidRPr="003C43F5">
        <w:rPr>
          <w:rFonts w:ascii="Verdana" w:hAnsi="Verdana" w:cs="Arial"/>
          <w:sz w:val="20"/>
          <w:szCs w:val="20"/>
          <w:lang w:val="es-ES"/>
        </w:rPr>
        <w:t>A</w:t>
      </w:r>
      <w:r w:rsidRPr="00173792">
        <w:rPr>
          <w:rFonts w:ascii="Verdana" w:hAnsi="Verdana" w:cs="Arial"/>
          <w:sz w:val="20"/>
          <w:szCs w:val="20"/>
          <w:lang w:val="es-ES"/>
        </w:rPr>
        <w:t>rtículo</w:t>
      </w:r>
      <w:r w:rsidRPr="003C43F5">
        <w:rPr>
          <w:rFonts w:ascii="Verdana" w:hAnsi="Verdana" w:cs="Arial"/>
          <w:sz w:val="20"/>
          <w:szCs w:val="20"/>
          <w:lang w:val="es-ES"/>
        </w:rPr>
        <w:t xml:space="preserve"> 2</w:t>
      </w:r>
      <w:r>
        <w:rPr>
          <w:rFonts w:ascii="Verdana" w:hAnsi="Verdana" w:cs="Arial"/>
          <w:sz w:val="20"/>
          <w:szCs w:val="20"/>
          <w:lang w:val="es-ES"/>
        </w:rPr>
        <w:t>º.</w:t>
      </w:r>
      <w:r w:rsidRPr="003C43F5">
        <w:rPr>
          <w:rFonts w:ascii="Verdana" w:hAnsi="Verdana" w:cs="Arial"/>
          <w:sz w:val="20"/>
          <w:szCs w:val="20"/>
          <w:lang w:val="es-ES"/>
        </w:rPr>
        <w:t xml:space="preserve"> Se entiende por empleo el conjunto de funciones señaladas por la Constitución, la ley, el reglamento o asignadas por autoridad competente que deben ser atendidas por una persona natural. Empleado o funcionario es la persona nombrada para ejercer un empleo y que ha tomado posesión </w:t>
      </w:r>
      <w:proofErr w:type="gramStart"/>
      <w:r w:rsidRPr="003C43F5">
        <w:rPr>
          <w:rFonts w:ascii="Verdana" w:hAnsi="Verdana" w:cs="Arial"/>
          <w:sz w:val="20"/>
          <w:szCs w:val="20"/>
          <w:lang w:val="es-ES"/>
        </w:rPr>
        <w:t>del mismo</w:t>
      </w:r>
      <w:proofErr w:type="gramEnd"/>
      <w:r w:rsidRPr="003C43F5">
        <w:rPr>
          <w:rFonts w:ascii="Verdana" w:hAnsi="Verdana" w:cs="Arial"/>
          <w:sz w:val="20"/>
          <w:szCs w:val="20"/>
          <w:lang w:val="es-ES"/>
        </w:rPr>
        <w:t>. </w:t>
      </w:r>
    </w:p>
    <w:p w14:paraId="773B0311" w14:textId="77777777" w:rsidR="00C640D3" w:rsidRPr="003C43F5" w:rsidRDefault="00C640D3" w:rsidP="00C640D3">
      <w:pPr>
        <w:autoSpaceDE w:val="0"/>
        <w:autoSpaceDN w:val="0"/>
        <w:adjustRightInd w:val="0"/>
        <w:spacing w:after="120" w:line="240" w:lineRule="auto"/>
        <w:ind w:left="709" w:right="709"/>
        <w:jc w:val="both"/>
        <w:rPr>
          <w:rFonts w:ascii="Verdana" w:hAnsi="Verdana" w:cs="Arial"/>
          <w:sz w:val="20"/>
          <w:szCs w:val="20"/>
          <w:lang w:val="es-ES"/>
        </w:rPr>
      </w:pPr>
      <w:r w:rsidRPr="003C43F5">
        <w:rPr>
          <w:rFonts w:ascii="Verdana" w:hAnsi="Verdana" w:cs="Arial"/>
          <w:sz w:val="20"/>
          <w:szCs w:val="20"/>
          <w:lang w:val="es-ES"/>
        </w:rPr>
        <w:t>Los empleados civiles de la Rama Ejecutiva integran el Servicio Civil de la República. </w:t>
      </w:r>
    </w:p>
    <w:p w14:paraId="2DF188A1" w14:textId="77777777" w:rsidR="00C640D3" w:rsidRPr="003C43F5" w:rsidRDefault="00C640D3" w:rsidP="00C640D3">
      <w:pPr>
        <w:autoSpaceDE w:val="0"/>
        <w:autoSpaceDN w:val="0"/>
        <w:adjustRightInd w:val="0"/>
        <w:spacing w:after="120" w:line="240" w:lineRule="auto"/>
        <w:ind w:left="709" w:right="709"/>
        <w:jc w:val="both"/>
        <w:rPr>
          <w:rFonts w:ascii="Verdana" w:hAnsi="Verdana" w:cs="Arial"/>
          <w:sz w:val="20"/>
          <w:szCs w:val="20"/>
          <w:lang w:val="es-ES"/>
        </w:rPr>
      </w:pPr>
      <w:r w:rsidRPr="003C43F5">
        <w:rPr>
          <w:rFonts w:ascii="Verdana" w:hAnsi="Verdana" w:cs="Arial"/>
          <w:sz w:val="20"/>
          <w:szCs w:val="20"/>
          <w:lang w:val="es-ES"/>
        </w:rPr>
        <w:t>Quienes presten al Estado servicios ocasionales, como los peritos; obligatorios, como los jurados de conciencia o de votación; temporales como los técnicos y obreros contratados por el tiempo de ejecución de un trabajo o una obra son meros auxiliares de la administración pública y no se consideran comprendidos en el servicio civil, por no pertenecer a sus cuadros permanentes. </w:t>
      </w:r>
    </w:p>
    <w:p w14:paraId="2613603B" w14:textId="77777777" w:rsidR="00C640D3" w:rsidRPr="00173792" w:rsidRDefault="00C640D3" w:rsidP="00C640D3">
      <w:pPr>
        <w:autoSpaceDE w:val="0"/>
        <w:autoSpaceDN w:val="0"/>
        <w:adjustRightInd w:val="0"/>
        <w:spacing w:after="0" w:line="240" w:lineRule="auto"/>
        <w:ind w:left="709" w:right="709"/>
        <w:jc w:val="both"/>
        <w:rPr>
          <w:rFonts w:ascii="Verdana" w:hAnsi="Verdana" w:cs="Arial"/>
          <w:sz w:val="20"/>
          <w:szCs w:val="20"/>
          <w:lang w:val="es-ES"/>
        </w:rPr>
      </w:pPr>
      <w:r w:rsidRPr="003C43F5">
        <w:rPr>
          <w:rFonts w:ascii="Verdana" w:hAnsi="Verdana" w:cs="Arial"/>
          <w:sz w:val="20"/>
          <w:szCs w:val="20"/>
          <w:lang w:val="es-ES"/>
        </w:rPr>
        <w:t xml:space="preserve">Para el ejercicio de funciones de carácter permanente se crearán los empleos correspondientes, </w:t>
      </w:r>
      <w:r w:rsidRPr="003C43F5">
        <w:rPr>
          <w:rFonts w:ascii="Verdana" w:hAnsi="Verdana" w:cs="Arial"/>
          <w:i/>
          <w:iCs/>
          <w:sz w:val="20"/>
          <w:szCs w:val="20"/>
          <w:lang w:val="es-ES"/>
        </w:rPr>
        <w:t>y, en ningún caso, podrán celebrarse contratos de prestación de servicios para el desempeño de tales funcione</w:t>
      </w:r>
      <w:r w:rsidRPr="00173792">
        <w:rPr>
          <w:rFonts w:ascii="Verdana" w:hAnsi="Verdana" w:cs="Arial"/>
          <w:i/>
          <w:iCs/>
          <w:sz w:val="20"/>
          <w:szCs w:val="20"/>
          <w:lang w:val="es-ES"/>
        </w:rPr>
        <w:t xml:space="preserve">s </w:t>
      </w:r>
      <w:r w:rsidRPr="00173792">
        <w:rPr>
          <w:rFonts w:ascii="Verdana" w:hAnsi="Verdana" w:cs="Arial"/>
          <w:sz w:val="20"/>
          <w:szCs w:val="20"/>
          <w:lang w:val="es-ES"/>
        </w:rPr>
        <w:t>[…]. (Énfasis propio)</w:t>
      </w:r>
    </w:p>
    <w:p w14:paraId="505F85CF" w14:textId="77777777" w:rsidR="00C640D3" w:rsidRPr="003C43F5" w:rsidRDefault="00C640D3" w:rsidP="00C640D3">
      <w:pPr>
        <w:autoSpaceDE w:val="0"/>
        <w:autoSpaceDN w:val="0"/>
        <w:adjustRightInd w:val="0"/>
        <w:spacing w:after="0" w:line="240" w:lineRule="auto"/>
        <w:ind w:left="709" w:right="709"/>
        <w:jc w:val="both"/>
        <w:rPr>
          <w:rFonts w:ascii="Verdana" w:hAnsi="Verdana" w:cs="Arial"/>
          <w:sz w:val="20"/>
          <w:szCs w:val="20"/>
          <w:lang w:val="es-ES"/>
        </w:rPr>
      </w:pPr>
    </w:p>
    <w:p w14:paraId="7B9D2FE3" w14:textId="77777777" w:rsidR="00C640D3" w:rsidRPr="00173792" w:rsidRDefault="00C640D3" w:rsidP="00C640D3">
      <w:pPr>
        <w:autoSpaceDE w:val="0"/>
        <w:autoSpaceDN w:val="0"/>
        <w:adjustRightInd w:val="0"/>
        <w:spacing w:after="0" w:line="276" w:lineRule="auto"/>
        <w:ind w:firstLine="708"/>
        <w:jc w:val="both"/>
        <w:rPr>
          <w:rFonts w:ascii="Verdana" w:hAnsi="Verdana" w:cs="Arial"/>
          <w:lang w:val="es-ES"/>
        </w:rPr>
      </w:pPr>
      <w:r w:rsidRPr="00173792">
        <w:rPr>
          <w:rFonts w:ascii="Verdana" w:hAnsi="Verdana" w:cs="Arial"/>
          <w:lang w:val="es-ES"/>
        </w:rPr>
        <w:t xml:space="preserve">La Corte Constitucional se pronunció sobre la constitucionalidad de </w:t>
      </w:r>
      <w:proofErr w:type="gramStart"/>
      <w:r w:rsidRPr="00173792">
        <w:rPr>
          <w:rFonts w:ascii="Verdana" w:hAnsi="Verdana" w:cs="Arial"/>
          <w:lang w:val="es-ES"/>
        </w:rPr>
        <w:t>éste</w:t>
      </w:r>
      <w:proofErr w:type="gramEnd"/>
      <w:r w:rsidRPr="00173792">
        <w:rPr>
          <w:rFonts w:ascii="Verdana" w:hAnsi="Verdana" w:cs="Arial"/>
          <w:lang w:val="es-ES"/>
        </w:rPr>
        <w:t xml:space="preserve"> último inciso mediante la sentencia C-614 de 2009. En esta providencia, resaltó con respecto a la vinculación laboral con el Estado la existencia de un catálogo de disposiciones especiales, entre las cuales se resalta que:</w:t>
      </w:r>
    </w:p>
    <w:p w14:paraId="58430190" w14:textId="77777777" w:rsidR="00C640D3" w:rsidRPr="00173792" w:rsidRDefault="00C640D3" w:rsidP="00C640D3">
      <w:pPr>
        <w:autoSpaceDE w:val="0"/>
        <w:autoSpaceDN w:val="0"/>
        <w:adjustRightInd w:val="0"/>
        <w:spacing w:after="0" w:line="276" w:lineRule="auto"/>
        <w:ind w:firstLine="708"/>
        <w:jc w:val="both"/>
        <w:rPr>
          <w:rFonts w:ascii="Verdana" w:hAnsi="Verdana" w:cs="Arial"/>
          <w:lang w:val="es-ES"/>
        </w:rPr>
      </w:pPr>
    </w:p>
    <w:p w14:paraId="1D9FD2F2" w14:textId="77777777" w:rsidR="00C640D3" w:rsidRPr="00173792" w:rsidRDefault="00C640D3" w:rsidP="00C640D3">
      <w:pPr>
        <w:autoSpaceDE w:val="0"/>
        <w:autoSpaceDN w:val="0"/>
        <w:adjustRightInd w:val="0"/>
        <w:spacing w:after="0" w:line="240" w:lineRule="auto"/>
        <w:ind w:left="709" w:right="709"/>
        <w:jc w:val="both"/>
        <w:rPr>
          <w:rFonts w:ascii="Verdana" w:hAnsi="Verdana" w:cs="Arial"/>
          <w:sz w:val="20"/>
          <w:szCs w:val="20"/>
          <w:lang w:val="es-ES"/>
        </w:rPr>
      </w:pPr>
      <w:r w:rsidRPr="00173792">
        <w:rPr>
          <w:rFonts w:ascii="Verdana" w:hAnsi="Verdana" w:cs="Arial"/>
          <w:sz w:val="20"/>
          <w:szCs w:val="20"/>
          <w:lang w:val="es-ES"/>
        </w:rPr>
        <w:t xml:space="preserve">“i) el ingreso y </w:t>
      </w:r>
      <w:r w:rsidRPr="00173792">
        <w:rPr>
          <w:rFonts w:ascii="Verdana" w:hAnsi="Verdana" w:cs="Arial"/>
          <w:i/>
          <w:iCs/>
          <w:sz w:val="20"/>
          <w:szCs w:val="20"/>
          <w:lang w:val="es-ES"/>
        </w:rPr>
        <w:t>ascenso</w:t>
      </w:r>
      <w:r w:rsidRPr="00173792">
        <w:rPr>
          <w:rFonts w:ascii="Verdana" w:hAnsi="Verdana" w:cs="Arial"/>
          <w:sz w:val="20"/>
          <w:szCs w:val="20"/>
          <w:lang w:val="es-ES"/>
        </w:rPr>
        <w:t xml:space="preserve"> a los cargos públicos se logra, por regla general, por concurso público en el que se miden los méritos y calidades de los aspirantes (artículo 125 superior), </w:t>
      </w:r>
      <w:proofErr w:type="spellStart"/>
      <w:r w:rsidRPr="00173792">
        <w:rPr>
          <w:rFonts w:ascii="Verdana" w:hAnsi="Verdana" w:cs="Arial"/>
          <w:sz w:val="20"/>
          <w:szCs w:val="20"/>
          <w:lang w:val="es-ES"/>
        </w:rPr>
        <w:t>ii</w:t>
      </w:r>
      <w:proofErr w:type="spellEnd"/>
      <w:r w:rsidRPr="00173792">
        <w:rPr>
          <w:rFonts w:ascii="Verdana" w:hAnsi="Verdana" w:cs="Arial"/>
          <w:sz w:val="20"/>
          <w:szCs w:val="20"/>
          <w:lang w:val="es-ES"/>
        </w:rPr>
        <w:t xml:space="preserve">) la permanencia y el retiro de la función pública en los cargos de carrera está regida por el principio de estabilidad en el empleo porque su desvinculación podrá efectuarse por calificación no satisfactoria en el desempeño del mismo, por violación del régimen disciplinario y por las demás causales previstas en la Constitución y la ley (artículo 125 de la Constitución), </w:t>
      </w:r>
      <w:proofErr w:type="spellStart"/>
      <w:r w:rsidRPr="00173792">
        <w:rPr>
          <w:rFonts w:ascii="Verdana" w:hAnsi="Verdana" w:cs="Arial"/>
          <w:sz w:val="20"/>
          <w:szCs w:val="20"/>
          <w:lang w:val="es-ES"/>
        </w:rPr>
        <w:t>iii</w:t>
      </w:r>
      <w:proofErr w:type="spellEnd"/>
      <w:r w:rsidRPr="00173792">
        <w:rPr>
          <w:rFonts w:ascii="Verdana" w:hAnsi="Verdana" w:cs="Arial"/>
          <w:sz w:val="20"/>
          <w:szCs w:val="20"/>
          <w:lang w:val="es-ES"/>
        </w:rPr>
        <w:t>) el desempeño de funciones públicas se hará, por regla general, mediante el empleo público</w:t>
      </w:r>
      <w:r w:rsidRPr="00173792">
        <w:rPr>
          <w:rFonts w:ascii="Verdana" w:hAnsi="Verdana" w:cs="Arial"/>
          <w:sz w:val="20"/>
          <w:szCs w:val="20"/>
          <w:vertAlign w:val="superscript"/>
          <w:lang w:val="es-ES"/>
        </w:rPr>
        <w:t xml:space="preserve"> </w:t>
      </w:r>
      <w:r w:rsidRPr="00173792">
        <w:rPr>
          <w:rFonts w:ascii="Verdana" w:hAnsi="Verdana" w:cs="Arial"/>
          <w:sz w:val="20"/>
          <w:szCs w:val="20"/>
          <w:lang w:val="es-ES"/>
        </w:rPr>
        <w:t xml:space="preserve">que debe aparecer en las respectivas plantas de personal de las entidades públicas </w:t>
      </w:r>
      <w:r w:rsidRPr="00173792">
        <w:rPr>
          <w:rFonts w:ascii="Verdana" w:hAnsi="Verdana" w:cs="Arial"/>
          <w:sz w:val="20"/>
          <w:szCs w:val="20"/>
          <w:lang w:val="es-ES"/>
        </w:rPr>
        <w:lastRenderedPageBreak/>
        <w:t xml:space="preserve">(artículo 123 de la Carta), </w:t>
      </w:r>
      <w:proofErr w:type="spellStart"/>
      <w:r w:rsidRPr="00173792">
        <w:rPr>
          <w:rFonts w:ascii="Verdana" w:hAnsi="Verdana" w:cs="Arial"/>
          <w:sz w:val="20"/>
          <w:szCs w:val="20"/>
          <w:lang w:val="es-ES"/>
        </w:rPr>
        <w:t>iv</w:t>
      </w:r>
      <w:proofErr w:type="spellEnd"/>
      <w:r w:rsidRPr="00173792">
        <w:rPr>
          <w:rFonts w:ascii="Verdana" w:hAnsi="Verdana" w:cs="Arial"/>
          <w:sz w:val="20"/>
          <w:szCs w:val="20"/>
          <w:lang w:val="es-ES"/>
        </w:rPr>
        <w:t>) el cargo público remunerado debe tener tres requisitos: funciones detalladas en la ley y el reglamento, consagración en la planta de personal y partida presupuestal que prevea sus emolumentos (artículo 122 de la Constitución), v) por el ejercicio del cargo o de las funciones públicas, existe responsabilidad especial que será regulada por la ley (artículos 6º y 124 superiores) y, vi) para el ingreso y ejercicio de los cargos públicos existen requisitos, calidades y condiciones previstas en la ley que limitan el derecho de acceso al empleo público (artículos 122, 126, 127, 128 y 129 de la Constitución, entre otros)”</w:t>
      </w:r>
      <w:r>
        <w:rPr>
          <w:rStyle w:val="Refdenotaalpie"/>
          <w:rFonts w:ascii="Verdana" w:hAnsi="Verdana" w:cs="Arial"/>
          <w:sz w:val="20"/>
          <w:szCs w:val="20"/>
          <w:lang w:val="es-ES"/>
        </w:rPr>
        <w:footnoteReference w:id="24"/>
      </w:r>
      <w:r w:rsidRPr="00173792">
        <w:rPr>
          <w:rFonts w:ascii="Verdana" w:hAnsi="Verdana" w:cs="Arial"/>
          <w:sz w:val="20"/>
          <w:szCs w:val="20"/>
          <w:lang w:val="es-ES"/>
        </w:rPr>
        <w:t>.</w:t>
      </w:r>
    </w:p>
    <w:p w14:paraId="176C5B65" w14:textId="77777777" w:rsidR="00C640D3" w:rsidRPr="00173792" w:rsidRDefault="00C640D3" w:rsidP="00C640D3">
      <w:pPr>
        <w:autoSpaceDE w:val="0"/>
        <w:autoSpaceDN w:val="0"/>
        <w:adjustRightInd w:val="0"/>
        <w:spacing w:after="0" w:line="240" w:lineRule="auto"/>
        <w:ind w:left="709" w:right="709"/>
        <w:jc w:val="both"/>
        <w:rPr>
          <w:rFonts w:ascii="Verdana" w:hAnsi="Verdana" w:cs="Arial"/>
          <w:sz w:val="20"/>
          <w:szCs w:val="20"/>
          <w:lang w:val="es-ES"/>
        </w:rPr>
      </w:pPr>
    </w:p>
    <w:p w14:paraId="32FADE20" w14:textId="77777777" w:rsidR="00C640D3" w:rsidRPr="00173792" w:rsidRDefault="00C640D3" w:rsidP="00C640D3">
      <w:pPr>
        <w:autoSpaceDE w:val="0"/>
        <w:autoSpaceDN w:val="0"/>
        <w:adjustRightInd w:val="0"/>
        <w:spacing w:after="120" w:line="276" w:lineRule="auto"/>
        <w:ind w:firstLine="708"/>
        <w:jc w:val="both"/>
        <w:rPr>
          <w:rFonts w:ascii="Verdana" w:hAnsi="Verdana" w:cs="Arial"/>
          <w:lang w:val="es-ES"/>
        </w:rPr>
      </w:pPr>
      <w:r w:rsidRPr="00173792">
        <w:rPr>
          <w:rFonts w:ascii="Verdana" w:hAnsi="Verdana" w:cs="Arial"/>
          <w:lang w:val="es-ES"/>
        </w:rPr>
        <w:t xml:space="preserve">En este marco, aunque </w:t>
      </w:r>
      <w:proofErr w:type="gramStart"/>
      <w:r w:rsidRPr="00173792">
        <w:rPr>
          <w:rFonts w:ascii="Verdana" w:hAnsi="Verdana" w:cs="Arial"/>
          <w:lang w:val="es-ES"/>
        </w:rPr>
        <w:t>la entidades</w:t>
      </w:r>
      <w:proofErr w:type="gramEnd"/>
      <w:r w:rsidRPr="00173792">
        <w:rPr>
          <w:rFonts w:ascii="Verdana" w:hAnsi="Verdana" w:cs="Arial"/>
          <w:lang w:val="es-ES"/>
        </w:rPr>
        <w:t xml:space="preserve"> pueden acudir a la contratación </w:t>
      </w:r>
      <w:r w:rsidRPr="003C43F5">
        <w:rPr>
          <w:rFonts w:ascii="Verdana" w:hAnsi="Verdana" w:cs="Arial"/>
          <w:lang w:val="es-ES"/>
        </w:rPr>
        <w:t>de prestación de servicios</w:t>
      </w:r>
      <w:r w:rsidRPr="00173792">
        <w:rPr>
          <w:rFonts w:ascii="Verdana" w:hAnsi="Verdana" w:cs="Arial"/>
          <w:lang w:val="es-ES"/>
        </w:rPr>
        <w:t xml:space="preserve">, esta debe limitarse a los casos y fines previstos en las normas sobre la materia. Adicionalmente, es necesario considerar los límites establecidos para este tipo de contratos, por ejemplo, </w:t>
      </w:r>
      <w:r w:rsidRPr="003C43F5">
        <w:rPr>
          <w:rFonts w:ascii="Verdana" w:hAnsi="Verdana" w:cs="Arial"/>
          <w:lang w:val="es-ES"/>
        </w:rPr>
        <w:t xml:space="preserve">el artículo 7 del Decreto 1950 de 1973, la Ley 790 de 2002 y la Ley 734 de 2002, que prohíben </w:t>
      </w:r>
      <w:r w:rsidRPr="00173792">
        <w:rPr>
          <w:rFonts w:ascii="Verdana" w:hAnsi="Verdana" w:cs="Arial"/>
          <w:lang w:val="es-ES"/>
        </w:rPr>
        <w:t>a las entidades celebrar</w:t>
      </w:r>
      <w:r>
        <w:rPr>
          <w:rFonts w:ascii="Verdana" w:hAnsi="Verdana" w:cs="Arial"/>
          <w:lang w:val="es-ES"/>
        </w:rPr>
        <w:t xml:space="preserve">los </w:t>
      </w:r>
      <w:r w:rsidRPr="00173792">
        <w:rPr>
          <w:rFonts w:ascii="Verdana" w:hAnsi="Verdana" w:cs="Arial"/>
          <w:lang w:val="es-ES"/>
        </w:rPr>
        <w:t xml:space="preserve">para el ejercicio </w:t>
      </w:r>
      <w:r w:rsidRPr="003C43F5">
        <w:rPr>
          <w:rFonts w:ascii="Verdana" w:hAnsi="Verdana" w:cs="Arial"/>
          <w:lang w:val="es-ES"/>
        </w:rPr>
        <w:t xml:space="preserve">de funciones de carácter permanente previstas en la ley o en los reglamentos para un empleo público. </w:t>
      </w:r>
      <w:r w:rsidRPr="00173792">
        <w:rPr>
          <w:rFonts w:ascii="Verdana" w:hAnsi="Verdana" w:cs="Arial"/>
          <w:lang w:val="es-ES"/>
        </w:rPr>
        <w:t>De esta manera, el personal de planta de la entidad es el llamado a ejercer las funciones permanentes que requiera</w:t>
      </w:r>
      <w:r w:rsidRPr="003C43F5">
        <w:rPr>
          <w:rFonts w:ascii="Verdana" w:hAnsi="Verdana" w:cs="Arial"/>
          <w:lang w:val="es-ES"/>
        </w:rPr>
        <w:t>,</w:t>
      </w:r>
      <w:r w:rsidRPr="00173792">
        <w:rPr>
          <w:rFonts w:ascii="Verdana" w:hAnsi="Verdana" w:cs="Arial"/>
          <w:lang w:val="es-ES"/>
        </w:rPr>
        <w:t xml:space="preserve"> personal que ingresa y asciende en </w:t>
      </w:r>
      <w:r w:rsidRPr="003C43F5">
        <w:rPr>
          <w:rFonts w:ascii="Verdana" w:hAnsi="Verdana" w:cs="Arial"/>
          <w:lang w:val="es-ES"/>
        </w:rPr>
        <w:t xml:space="preserve">la administración </w:t>
      </w:r>
      <w:r w:rsidRPr="00173792">
        <w:rPr>
          <w:rFonts w:ascii="Verdana" w:hAnsi="Verdana" w:cs="Arial"/>
          <w:lang w:val="es-ES"/>
        </w:rPr>
        <w:t xml:space="preserve">pública </w:t>
      </w:r>
      <w:r w:rsidRPr="003C43F5">
        <w:rPr>
          <w:rFonts w:ascii="Verdana" w:hAnsi="Verdana" w:cs="Arial"/>
          <w:lang w:val="es-ES"/>
        </w:rPr>
        <w:t xml:space="preserve">mediante el concurso de méritos y no a través de la contratación </w:t>
      </w:r>
      <w:r w:rsidRPr="00173792">
        <w:rPr>
          <w:rFonts w:ascii="Verdana" w:hAnsi="Verdana" w:cs="Arial"/>
          <w:lang w:val="es-ES"/>
        </w:rPr>
        <w:t>de prestación de servicios</w:t>
      </w:r>
      <w:r w:rsidRPr="00173792">
        <w:rPr>
          <w:rStyle w:val="Refdenotaalpie"/>
          <w:rFonts w:ascii="Verdana" w:hAnsi="Verdana" w:cs="Arial"/>
          <w:lang w:val="es-ES"/>
        </w:rPr>
        <w:footnoteReference w:id="25"/>
      </w:r>
      <w:r w:rsidRPr="00173792">
        <w:rPr>
          <w:rFonts w:ascii="Verdana" w:hAnsi="Verdana" w:cs="Arial"/>
          <w:lang w:val="es-ES"/>
        </w:rPr>
        <w:t xml:space="preserve">. </w:t>
      </w:r>
    </w:p>
    <w:p w14:paraId="5D284073" w14:textId="77777777" w:rsidR="00C640D3" w:rsidRPr="00173792" w:rsidRDefault="00C640D3" w:rsidP="00C640D3">
      <w:pPr>
        <w:autoSpaceDE w:val="0"/>
        <w:autoSpaceDN w:val="0"/>
        <w:adjustRightInd w:val="0"/>
        <w:spacing w:after="0" w:line="276" w:lineRule="auto"/>
        <w:ind w:firstLine="708"/>
        <w:jc w:val="both"/>
        <w:rPr>
          <w:rFonts w:ascii="Verdana" w:hAnsi="Verdana" w:cs="Arial"/>
          <w:lang w:val="es-ES"/>
        </w:rPr>
      </w:pPr>
      <w:r w:rsidRPr="00F33F25">
        <w:rPr>
          <w:rFonts w:ascii="Verdana" w:hAnsi="Verdana" w:cs="Arial"/>
          <w:lang w:val="es-ES"/>
        </w:rPr>
        <w:t>De igual forma,</w:t>
      </w:r>
      <w:r>
        <w:rPr>
          <w:rFonts w:ascii="Verdana" w:hAnsi="Verdana" w:cs="Arial"/>
          <w:lang w:val="es-ES"/>
        </w:rPr>
        <w:t xml:space="preserve"> </w:t>
      </w:r>
      <w:r w:rsidRPr="00173792">
        <w:rPr>
          <w:rFonts w:ascii="Verdana" w:hAnsi="Verdana" w:cs="Arial"/>
          <w:lang w:val="es-ES"/>
        </w:rPr>
        <w:t xml:space="preserve">el ascenso en el empleo público </w:t>
      </w:r>
      <w:r w:rsidRPr="00F33F25">
        <w:rPr>
          <w:rFonts w:ascii="Verdana" w:hAnsi="Verdana" w:cs="Arial"/>
          <w:lang w:val="es-ES"/>
        </w:rPr>
        <w:t xml:space="preserve">la Ley 1960 del 2019 “por </w:t>
      </w:r>
      <w:r>
        <w:rPr>
          <w:rFonts w:ascii="Verdana" w:hAnsi="Verdana" w:cs="Arial"/>
          <w:lang w:val="es-ES"/>
        </w:rPr>
        <w:t>la</w:t>
      </w:r>
      <w:r w:rsidRPr="00F33F25">
        <w:rPr>
          <w:rFonts w:ascii="Verdana" w:hAnsi="Verdana" w:cs="Arial"/>
          <w:lang w:val="es-ES"/>
        </w:rPr>
        <w:t xml:space="preserve"> cual se modifican la Ley 909 de 2004, el Decreto Ley 1567 de 1998 y se dictan otras disposiciones</w:t>
      </w:r>
      <w:r w:rsidRPr="00173792">
        <w:rPr>
          <w:rFonts w:ascii="Verdana" w:hAnsi="Verdana" w:cs="Arial"/>
          <w:lang w:val="es-ES"/>
        </w:rPr>
        <w:t>”, señala lo siguiente:</w:t>
      </w:r>
    </w:p>
    <w:p w14:paraId="6C3D58E9" w14:textId="77777777" w:rsidR="00C640D3" w:rsidRPr="00F33F25" w:rsidRDefault="00C640D3" w:rsidP="00C640D3">
      <w:pPr>
        <w:autoSpaceDE w:val="0"/>
        <w:autoSpaceDN w:val="0"/>
        <w:adjustRightInd w:val="0"/>
        <w:spacing w:after="0" w:line="276" w:lineRule="auto"/>
        <w:ind w:firstLine="708"/>
        <w:jc w:val="both"/>
        <w:rPr>
          <w:rFonts w:ascii="Verdana" w:hAnsi="Verdana" w:cs="Arial"/>
          <w:lang w:val="es-ES"/>
        </w:rPr>
      </w:pPr>
    </w:p>
    <w:p w14:paraId="0888DA62" w14:textId="77777777" w:rsidR="00C640D3" w:rsidRPr="00F33F25" w:rsidRDefault="00C640D3" w:rsidP="00C640D3">
      <w:pPr>
        <w:autoSpaceDE w:val="0"/>
        <w:autoSpaceDN w:val="0"/>
        <w:adjustRightInd w:val="0"/>
        <w:snapToGrid w:val="0"/>
        <w:spacing w:after="0" w:line="240" w:lineRule="auto"/>
        <w:ind w:firstLine="708"/>
        <w:contextualSpacing/>
        <w:jc w:val="both"/>
        <w:rPr>
          <w:rFonts w:ascii="Verdana" w:hAnsi="Verdana" w:cs="Arial"/>
          <w:sz w:val="20"/>
          <w:szCs w:val="20"/>
          <w:lang w:val="es-ES"/>
        </w:rPr>
      </w:pPr>
      <w:r w:rsidRPr="00687DA9">
        <w:rPr>
          <w:rFonts w:ascii="Verdana" w:hAnsi="Verdana" w:cs="Arial"/>
          <w:lang w:val="es-ES"/>
        </w:rPr>
        <w:t>“</w:t>
      </w:r>
      <w:r w:rsidRPr="00687DA9">
        <w:rPr>
          <w:rFonts w:ascii="Verdana" w:hAnsi="Verdana" w:cs="Arial"/>
          <w:sz w:val="20"/>
          <w:szCs w:val="20"/>
          <w:lang w:val="es-ES"/>
        </w:rPr>
        <w:t>Artículo</w:t>
      </w:r>
      <w:r w:rsidRPr="00F33F25">
        <w:rPr>
          <w:rFonts w:ascii="Verdana" w:hAnsi="Verdana" w:cs="Arial"/>
          <w:sz w:val="20"/>
          <w:szCs w:val="20"/>
          <w:lang w:val="es-ES"/>
        </w:rPr>
        <w:t> 2.</w:t>
      </w:r>
      <w:r w:rsidRPr="00F33F25">
        <w:rPr>
          <w:rFonts w:ascii="Verdana" w:hAnsi="Verdana" w:cs="Arial"/>
          <w:b/>
          <w:bCs/>
          <w:sz w:val="20"/>
          <w:szCs w:val="20"/>
          <w:lang w:val="es-ES"/>
        </w:rPr>
        <w:t> </w:t>
      </w:r>
      <w:r w:rsidRPr="00F33F25">
        <w:rPr>
          <w:rFonts w:ascii="Verdana" w:hAnsi="Verdana" w:cs="Arial"/>
          <w:sz w:val="20"/>
          <w:szCs w:val="20"/>
          <w:lang w:val="es-ES"/>
        </w:rPr>
        <w:t>El Artículo 29 de la Ley 909 de 2004 quedará así:</w:t>
      </w:r>
    </w:p>
    <w:p w14:paraId="052E9F45"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687DA9">
        <w:rPr>
          <w:rFonts w:ascii="Verdana" w:hAnsi="Verdana" w:cs="Arial"/>
          <w:sz w:val="20"/>
          <w:szCs w:val="20"/>
          <w:lang w:val="es-ES"/>
        </w:rPr>
        <w:t>Artículo 29</w:t>
      </w:r>
      <w:r w:rsidRPr="00F33F25">
        <w:rPr>
          <w:rFonts w:ascii="Verdana" w:hAnsi="Verdana" w:cs="Arial"/>
          <w:sz w:val="20"/>
          <w:szCs w:val="20"/>
          <w:lang w:val="es-ES"/>
        </w:rPr>
        <w:t xml:space="preserve">. Concursos. La provisión definitiva de los empleos públicos de carrera administrativa se hará mediante procesos de selección abiertos </w:t>
      </w:r>
      <w:r w:rsidRPr="00F33F25">
        <w:rPr>
          <w:rFonts w:ascii="Verdana" w:hAnsi="Verdana" w:cs="Arial"/>
          <w:i/>
          <w:iCs/>
          <w:sz w:val="20"/>
          <w:szCs w:val="20"/>
          <w:lang w:val="es-ES"/>
        </w:rPr>
        <w:t>y de ascenso</w:t>
      </w:r>
      <w:r w:rsidRPr="00F33F25">
        <w:rPr>
          <w:rFonts w:ascii="Verdana" w:hAnsi="Verdana" w:cs="Arial"/>
          <w:sz w:val="20"/>
          <w:szCs w:val="20"/>
          <w:lang w:val="es-ES"/>
        </w:rPr>
        <w:t xml:space="preserve"> los cuales adelantará la Comisión Nacional del Servicio Civil o la entidad en la que esta delegue o desconcentre la función.</w:t>
      </w:r>
    </w:p>
    <w:p w14:paraId="68A0E059"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F33F25">
        <w:rPr>
          <w:rFonts w:ascii="Verdana" w:hAnsi="Verdana" w:cs="Arial"/>
          <w:sz w:val="20"/>
          <w:szCs w:val="20"/>
          <w:lang w:val="es-ES"/>
        </w:rPr>
        <w:t>En los procesos de selección o concursos abiertos para ingresar a la carrera podrán participar las personas que acrediten los requisitos y condiciones requeridos para el desempeño de los empleos.</w:t>
      </w:r>
    </w:p>
    <w:p w14:paraId="7ECB9EB4" w14:textId="77777777" w:rsidR="00C640D3" w:rsidRPr="00173792"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F33F25">
        <w:rPr>
          <w:rFonts w:ascii="Verdana" w:hAnsi="Verdana" w:cs="Arial"/>
          <w:sz w:val="20"/>
          <w:szCs w:val="20"/>
          <w:lang w:val="es-ES"/>
        </w:rPr>
        <w:lastRenderedPageBreak/>
        <w:t xml:space="preserve">El concurso de ascenso tiene como finalidad permitir la </w:t>
      </w:r>
      <w:r w:rsidRPr="00F33F25">
        <w:rPr>
          <w:rFonts w:ascii="Verdana" w:hAnsi="Verdana" w:cs="Arial"/>
          <w:i/>
          <w:iCs/>
          <w:sz w:val="20"/>
          <w:szCs w:val="20"/>
          <w:lang w:val="es-ES"/>
        </w:rPr>
        <w:t>movilidad a un cargo superior dentro de la planta de personal de la misma entidad, del mismo sector administrativo o dentro del cuadro funcional de empleos</w:t>
      </w:r>
      <w:r w:rsidRPr="00F33F25">
        <w:rPr>
          <w:rFonts w:ascii="Verdana" w:hAnsi="Verdana" w:cs="Arial"/>
          <w:sz w:val="20"/>
          <w:szCs w:val="20"/>
          <w:lang w:val="es-ES"/>
        </w:rPr>
        <w:t>.</w:t>
      </w:r>
    </w:p>
    <w:p w14:paraId="64946091"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F33F25">
        <w:rPr>
          <w:rFonts w:ascii="Verdana" w:hAnsi="Verdana" w:cs="Arial"/>
          <w:sz w:val="20"/>
          <w:szCs w:val="20"/>
          <w:lang w:val="es-ES"/>
        </w:rPr>
        <w:t>El concurso será de ascenso cuando:</w:t>
      </w:r>
    </w:p>
    <w:p w14:paraId="2B497A36" w14:textId="77777777" w:rsidR="00C640D3" w:rsidRPr="00173792"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173792">
        <w:rPr>
          <w:rFonts w:ascii="Verdana" w:hAnsi="Verdana" w:cs="Arial"/>
          <w:sz w:val="20"/>
          <w:szCs w:val="20"/>
          <w:lang w:val="es-ES"/>
        </w:rPr>
        <w:t xml:space="preserve">1. </w:t>
      </w:r>
      <w:r w:rsidRPr="00F33F25">
        <w:rPr>
          <w:rFonts w:ascii="Verdana" w:hAnsi="Verdana" w:cs="Arial"/>
          <w:sz w:val="20"/>
          <w:szCs w:val="20"/>
          <w:lang w:val="es-ES"/>
        </w:rPr>
        <w:t>La vacante o vacantes a proveer pertenecen a la misma planta de personal, las plantas de personal del sector administrativo, o cuadro funcional de empleos, en los niveles asesor, profesional, técnico o asistencial.</w:t>
      </w:r>
    </w:p>
    <w:p w14:paraId="3CE233CC"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173792">
        <w:rPr>
          <w:rFonts w:ascii="Verdana" w:hAnsi="Verdana" w:cs="Arial"/>
          <w:sz w:val="20"/>
          <w:szCs w:val="20"/>
          <w:lang w:val="es-ES"/>
        </w:rPr>
        <w:t xml:space="preserve">2. </w:t>
      </w:r>
      <w:r w:rsidRPr="00F33F25">
        <w:rPr>
          <w:rFonts w:ascii="Verdana" w:hAnsi="Verdana" w:cs="Arial"/>
          <w:sz w:val="20"/>
          <w:szCs w:val="20"/>
          <w:lang w:val="es-ES"/>
        </w:rPr>
        <w:t>Existen servidores públicos con derechos de carrera general o en los sistemas específicos o especiales de origen legal, que cumplan con los requisitos y condiciones para el desempeño de los empleos convocados a concurso.</w:t>
      </w:r>
    </w:p>
    <w:p w14:paraId="4CE9EC34"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173792">
        <w:rPr>
          <w:rFonts w:ascii="Verdana" w:hAnsi="Verdana" w:cs="Arial"/>
          <w:sz w:val="20"/>
          <w:szCs w:val="20"/>
          <w:lang w:val="es-ES"/>
        </w:rPr>
        <w:t xml:space="preserve">3. </w:t>
      </w:r>
      <w:r w:rsidRPr="00F33F25">
        <w:rPr>
          <w:rFonts w:ascii="Verdana" w:hAnsi="Verdana" w:cs="Arial"/>
          <w:sz w:val="20"/>
          <w:szCs w:val="20"/>
          <w:lang w:val="es-ES"/>
        </w:rPr>
        <w:t>El número de los servidores con derechos de carrera en la entidad o en el sector administrativo que cumplen con los requisitos y condiciones para el desempeño de los empleos convocados a concurso es igual o superior al número de empleos a proveer.</w:t>
      </w:r>
    </w:p>
    <w:p w14:paraId="45177197" w14:textId="77777777" w:rsidR="00C640D3" w:rsidRPr="00173792"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r w:rsidRPr="00F33F25">
        <w:rPr>
          <w:rFonts w:ascii="Verdana" w:hAnsi="Verdana" w:cs="Arial"/>
          <w:sz w:val="20"/>
          <w:szCs w:val="20"/>
          <w:lang w:val="es-ES"/>
        </w:rPr>
        <w:t>Si se cumple con los anteriores requisitos se convocará a concurso de ascenso el (30%) de las vacantes a proveer. El setenta (70%) de las vacantes restantes se proveerán a través de concurso abierto de ingreso</w:t>
      </w:r>
      <w:r w:rsidRPr="00173792">
        <w:rPr>
          <w:rFonts w:ascii="Verdana" w:hAnsi="Verdana" w:cs="Arial"/>
          <w:sz w:val="20"/>
          <w:szCs w:val="20"/>
          <w:lang w:val="es-ES"/>
        </w:rPr>
        <w:t>”.</w:t>
      </w:r>
      <w:r w:rsidRPr="00F33F25">
        <w:rPr>
          <w:rFonts w:ascii="Verdana" w:hAnsi="Verdana" w:cs="Arial"/>
          <w:sz w:val="20"/>
          <w:szCs w:val="20"/>
          <w:lang w:val="es-ES"/>
        </w:rPr>
        <w:t xml:space="preserve"> </w:t>
      </w:r>
      <w:r w:rsidRPr="00173792">
        <w:rPr>
          <w:rFonts w:ascii="Verdana" w:hAnsi="Verdana" w:cs="Arial"/>
          <w:sz w:val="20"/>
          <w:szCs w:val="20"/>
          <w:lang w:val="es-ES"/>
        </w:rPr>
        <w:t>[Énfasis Propio]</w:t>
      </w:r>
    </w:p>
    <w:p w14:paraId="2F6D7A82" w14:textId="77777777" w:rsidR="00C640D3" w:rsidRPr="00F33F25" w:rsidRDefault="00C640D3" w:rsidP="00C640D3">
      <w:pPr>
        <w:autoSpaceDE w:val="0"/>
        <w:autoSpaceDN w:val="0"/>
        <w:adjustRightInd w:val="0"/>
        <w:snapToGrid w:val="0"/>
        <w:spacing w:after="0" w:line="240" w:lineRule="auto"/>
        <w:ind w:left="709"/>
        <w:contextualSpacing/>
        <w:jc w:val="both"/>
        <w:rPr>
          <w:rFonts w:ascii="Verdana" w:hAnsi="Verdana" w:cs="Arial"/>
          <w:sz w:val="20"/>
          <w:szCs w:val="20"/>
          <w:lang w:val="es-ES"/>
        </w:rPr>
      </w:pPr>
    </w:p>
    <w:p w14:paraId="1601A01A" w14:textId="77777777" w:rsidR="00C640D3" w:rsidRPr="00173792" w:rsidRDefault="00C640D3" w:rsidP="00C640D3">
      <w:pPr>
        <w:autoSpaceDE w:val="0"/>
        <w:autoSpaceDN w:val="0"/>
        <w:adjustRightInd w:val="0"/>
        <w:snapToGrid w:val="0"/>
        <w:spacing w:after="120" w:line="276" w:lineRule="auto"/>
        <w:ind w:firstLine="709"/>
        <w:jc w:val="both"/>
        <w:rPr>
          <w:rFonts w:ascii="Verdana" w:hAnsi="Verdana" w:cs="Arial"/>
          <w:lang w:val="es-ES"/>
        </w:rPr>
      </w:pPr>
      <w:r w:rsidRPr="00173792">
        <w:rPr>
          <w:rFonts w:ascii="Verdana" w:hAnsi="Verdana" w:cs="Arial"/>
          <w:lang w:val="es-ES"/>
        </w:rPr>
        <w:t>Lo anterior evidencia que l</w:t>
      </w:r>
      <w:r w:rsidRPr="00F33F25">
        <w:rPr>
          <w:rFonts w:ascii="Verdana" w:hAnsi="Verdana" w:cs="Arial"/>
          <w:lang w:val="es-ES"/>
        </w:rPr>
        <w:t xml:space="preserve">a provisión definitiva de los empleos públicos de carrera administrativa </w:t>
      </w:r>
      <w:r w:rsidRPr="00173792">
        <w:rPr>
          <w:rFonts w:ascii="Verdana" w:hAnsi="Verdana" w:cs="Arial"/>
          <w:lang w:val="es-ES"/>
        </w:rPr>
        <w:t xml:space="preserve">debe realizarse </w:t>
      </w:r>
      <w:r w:rsidRPr="00F33F25">
        <w:rPr>
          <w:rFonts w:ascii="Verdana" w:hAnsi="Verdana" w:cs="Arial"/>
          <w:lang w:val="es-ES"/>
        </w:rPr>
        <w:t xml:space="preserve">mediante </w:t>
      </w:r>
      <w:r w:rsidRPr="00173792">
        <w:rPr>
          <w:rFonts w:ascii="Verdana" w:hAnsi="Verdana" w:cs="Arial"/>
          <w:lang w:val="es-ES"/>
        </w:rPr>
        <w:t xml:space="preserve">los </w:t>
      </w:r>
      <w:r w:rsidRPr="00F33F25">
        <w:rPr>
          <w:rFonts w:ascii="Verdana" w:hAnsi="Verdana" w:cs="Arial"/>
          <w:lang w:val="es-ES"/>
        </w:rPr>
        <w:t xml:space="preserve">procesos de selección abiertos y de ascenso </w:t>
      </w:r>
      <w:r w:rsidRPr="00173792">
        <w:rPr>
          <w:rFonts w:ascii="Verdana" w:hAnsi="Verdana" w:cs="Arial"/>
          <w:lang w:val="es-ES"/>
        </w:rPr>
        <w:t xml:space="preserve">que adelante </w:t>
      </w:r>
      <w:r w:rsidRPr="00F33F25">
        <w:rPr>
          <w:rFonts w:ascii="Verdana" w:hAnsi="Verdana" w:cs="Arial"/>
          <w:lang w:val="es-ES"/>
        </w:rPr>
        <w:t>la Comisión Nacional del Servicio Civil</w:t>
      </w:r>
      <w:r w:rsidRPr="00173792">
        <w:rPr>
          <w:rFonts w:ascii="Verdana" w:hAnsi="Verdana" w:cs="Arial"/>
          <w:lang w:val="es-ES"/>
        </w:rPr>
        <w:t>. En particular,</w:t>
      </w:r>
      <w:r>
        <w:rPr>
          <w:rFonts w:ascii="Verdana" w:hAnsi="Verdana" w:cs="Arial"/>
          <w:lang w:val="es-ES"/>
        </w:rPr>
        <w:t xml:space="preserve"> la norma define que</w:t>
      </w:r>
      <w:r w:rsidRPr="00173792">
        <w:rPr>
          <w:rFonts w:ascii="Verdana" w:hAnsi="Verdana" w:cs="Arial"/>
          <w:lang w:val="es-ES"/>
        </w:rPr>
        <w:t xml:space="preserve"> la figura del ascenso se refiere a </w:t>
      </w:r>
      <w:r w:rsidRPr="00F33F25">
        <w:rPr>
          <w:rFonts w:ascii="Verdana" w:hAnsi="Verdana" w:cs="Arial"/>
          <w:lang w:val="es-ES"/>
        </w:rPr>
        <w:t>la movilidad a un cargo superior dentro de la planta de personal de la misma entidad, del mismo sector administrativo o dentro del cuadro funcional de empleos</w:t>
      </w:r>
      <w:r w:rsidRPr="00173792">
        <w:rPr>
          <w:rFonts w:ascii="Verdana" w:hAnsi="Verdana" w:cs="Arial"/>
          <w:lang w:val="es-ES"/>
        </w:rPr>
        <w:t>, para el cual es necesario adelantar un concurso que cumpla con los presupuestos específicamente señalados para ello por el legislador.</w:t>
      </w:r>
    </w:p>
    <w:p w14:paraId="5767B4E0" w14:textId="77777777" w:rsidR="00C640D3" w:rsidRPr="00173792" w:rsidRDefault="00C640D3" w:rsidP="00C640D3">
      <w:pPr>
        <w:autoSpaceDE w:val="0"/>
        <w:autoSpaceDN w:val="0"/>
        <w:adjustRightInd w:val="0"/>
        <w:snapToGrid w:val="0"/>
        <w:spacing w:before="120" w:after="120" w:line="276" w:lineRule="auto"/>
        <w:ind w:firstLine="709"/>
        <w:jc w:val="both"/>
        <w:rPr>
          <w:rFonts w:ascii="Verdana" w:hAnsi="Verdana" w:cs="Arial"/>
          <w:lang w:val="es-ES"/>
        </w:rPr>
      </w:pPr>
      <w:r w:rsidRPr="00173792">
        <w:rPr>
          <w:rFonts w:ascii="Verdana" w:hAnsi="Verdana" w:cs="Arial"/>
          <w:lang w:val="es-ES"/>
        </w:rPr>
        <w:t xml:space="preserve">En este sentido, tanto el marco </w:t>
      </w:r>
      <w:r>
        <w:rPr>
          <w:rFonts w:ascii="Verdana" w:hAnsi="Verdana" w:cs="Arial"/>
          <w:lang w:val="es-ES"/>
        </w:rPr>
        <w:t xml:space="preserve">normativo como jurisprudencial </w:t>
      </w:r>
      <w:r w:rsidRPr="00173792">
        <w:rPr>
          <w:rFonts w:ascii="Verdana" w:hAnsi="Verdana" w:cs="Arial"/>
          <w:lang w:val="es-ES"/>
        </w:rPr>
        <w:t xml:space="preserve">establecen las reglas que constituyen </w:t>
      </w:r>
      <w:r w:rsidRPr="00C81408">
        <w:rPr>
          <w:rFonts w:ascii="Verdana" w:hAnsi="Verdana" w:cs="Arial"/>
          <w:lang w:val="es-ES"/>
        </w:rPr>
        <w:t xml:space="preserve">criterios imperativos que limitan al </w:t>
      </w:r>
      <w:r w:rsidRPr="00173792">
        <w:rPr>
          <w:rFonts w:ascii="Verdana" w:hAnsi="Verdana" w:cs="Arial"/>
          <w:lang w:val="es-ES"/>
        </w:rPr>
        <w:t>l</w:t>
      </w:r>
      <w:r w:rsidRPr="00C81408">
        <w:rPr>
          <w:rFonts w:ascii="Verdana" w:hAnsi="Verdana" w:cs="Arial"/>
          <w:lang w:val="es-ES"/>
        </w:rPr>
        <w:t xml:space="preserve">egislador en </w:t>
      </w:r>
      <w:r w:rsidRPr="00173792">
        <w:rPr>
          <w:rFonts w:ascii="Verdana" w:hAnsi="Verdana" w:cs="Arial"/>
          <w:lang w:val="es-ES"/>
        </w:rPr>
        <w:t xml:space="preserve">la regulación de esta </w:t>
      </w:r>
      <w:r w:rsidRPr="00C81408">
        <w:rPr>
          <w:rFonts w:ascii="Verdana" w:hAnsi="Verdana" w:cs="Arial"/>
          <w:lang w:val="es-ES"/>
        </w:rPr>
        <w:t xml:space="preserve">materia, </w:t>
      </w:r>
      <w:r w:rsidRPr="00173792">
        <w:rPr>
          <w:rFonts w:ascii="Verdana" w:hAnsi="Verdana" w:cs="Arial"/>
          <w:lang w:val="es-ES"/>
        </w:rPr>
        <w:t xml:space="preserve">así como a </w:t>
      </w:r>
      <w:r w:rsidRPr="00C81408">
        <w:rPr>
          <w:rFonts w:ascii="Verdana" w:hAnsi="Verdana" w:cs="Arial"/>
          <w:lang w:val="es-ES"/>
        </w:rPr>
        <w:t xml:space="preserve">las autoridades administrativas en relación con la vinculación, </w:t>
      </w:r>
      <w:r w:rsidRPr="00173792">
        <w:rPr>
          <w:rFonts w:ascii="Verdana" w:hAnsi="Verdana" w:cs="Arial"/>
          <w:i/>
          <w:iCs/>
          <w:lang w:val="es-ES"/>
        </w:rPr>
        <w:t>ascenso</w:t>
      </w:r>
      <w:r w:rsidRPr="00173792">
        <w:rPr>
          <w:rFonts w:ascii="Verdana" w:hAnsi="Verdana" w:cs="Arial"/>
          <w:lang w:val="es-ES"/>
        </w:rPr>
        <w:t xml:space="preserve">, </w:t>
      </w:r>
      <w:r w:rsidRPr="00C81408">
        <w:rPr>
          <w:rFonts w:ascii="Verdana" w:hAnsi="Verdana" w:cs="Arial"/>
          <w:lang w:val="es-ES"/>
        </w:rPr>
        <w:t>permanencia y retiro del servicio público</w:t>
      </w:r>
      <w:r w:rsidRPr="00173792">
        <w:rPr>
          <w:rFonts w:ascii="Verdana" w:hAnsi="Verdana" w:cs="Arial"/>
          <w:lang w:val="es-ES"/>
        </w:rPr>
        <w:t>. Teniendo en cuenta lo anterior, así como las características propias de los contratos estatales de prestación de servicios, es claro que la figura del “ascenso” no es propia de las relaciones jurídica</w:t>
      </w:r>
      <w:r>
        <w:rPr>
          <w:rFonts w:ascii="Verdana" w:hAnsi="Verdana" w:cs="Arial"/>
          <w:lang w:val="es-ES"/>
        </w:rPr>
        <w:t>s</w:t>
      </w:r>
      <w:r w:rsidRPr="00173792">
        <w:rPr>
          <w:rFonts w:ascii="Verdana" w:hAnsi="Verdana" w:cs="Arial"/>
          <w:lang w:val="es-ES"/>
        </w:rPr>
        <w:t xml:space="preserve"> entre particulares y entidades que se rigen por el Estatuto General de Contratación de la Administración Pública, sino que corresponde a un aspecto determinado constitucional y legalmente para el funcionamiento del empleo público. En este sentido, no existen propiamente ascensos en el marco de los contratos de prestación de servicios. Por ejemplo, la celebración de un contrato de prestación de servicios con un particular previamente vinculado por este medio a la entidad, </w:t>
      </w:r>
      <w:r w:rsidRPr="00173792">
        <w:rPr>
          <w:rFonts w:ascii="Verdana" w:hAnsi="Verdana" w:cs="Arial"/>
          <w:lang w:val="es-ES"/>
        </w:rPr>
        <w:lastRenderedPageBreak/>
        <w:t xml:space="preserve">que requiera la acreditación de mayor experiencia o formación, y establezca nuevas obligaciones, no constituye propiamente un ascenso, sino la suscripción de un nuevo objeto contractual que responde a distintos honorarios y actividades, y cuya vocación es de carácter temporal. </w:t>
      </w:r>
    </w:p>
    <w:p w14:paraId="4092CE64" w14:textId="77777777" w:rsidR="00C640D3" w:rsidRPr="00173792" w:rsidRDefault="00C640D3" w:rsidP="00C640D3">
      <w:pPr>
        <w:autoSpaceDE w:val="0"/>
        <w:autoSpaceDN w:val="0"/>
        <w:adjustRightInd w:val="0"/>
        <w:spacing w:before="120" w:after="0" w:line="276" w:lineRule="auto"/>
        <w:ind w:firstLine="708"/>
        <w:jc w:val="both"/>
        <w:rPr>
          <w:rFonts w:ascii="Verdana" w:hAnsi="Verdana" w:cs="Arial"/>
          <w:lang w:val="es-ES"/>
        </w:rPr>
      </w:pPr>
      <w:r w:rsidRPr="00173792">
        <w:rPr>
          <w:rFonts w:ascii="Verdana" w:eastAsia="Calibri" w:hAnsi="Verdana" w:cs="Arial"/>
          <w:bCs/>
          <w:color w:val="000000" w:themeColor="text1"/>
          <w:lang w:val="es-ES"/>
        </w:rPr>
        <w:t xml:space="preserve">Al margen de la explicación precedente debe advertirse que </w:t>
      </w:r>
      <w:r w:rsidRPr="00173792">
        <w:rPr>
          <w:rStyle w:val="s15"/>
          <w:rFonts w:ascii="Verdana" w:hAnsi="Verdana"/>
          <w:color w:val="000000" w:themeColor="text1"/>
          <w:lang w:val="es-ES"/>
        </w:rPr>
        <w:t>el análisis requerido para resolver problemas específicos en torno a la gestión contractual debe ser realizado por quienes tengan interés en ello, de acuerdo con lo explicado la aclaración preliminar del presente oficio</w:t>
      </w:r>
      <w:r w:rsidRPr="00173792">
        <w:rPr>
          <w:rFonts w:ascii="Verdana" w:eastAsia="Calibri" w:hAnsi="Verdana" w:cs="Arial"/>
          <w:bCs/>
          <w:color w:val="000000" w:themeColor="text1"/>
          <w:lang w:val="es-E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5B04A413" w14:textId="77777777" w:rsidR="00C640D3" w:rsidRPr="00173792" w:rsidRDefault="00C640D3" w:rsidP="00C640D3">
      <w:pPr>
        <w:spacing w:after="0" w:line="276" w:lineRule="auto"/>
        <w:ind w:firstLine="708"/>
        <w:jc w:val="both"/>
        <w:rPr>
          <w:rFonts w:ascii="Verdana" w:eastAsia="Calibri" w:hAnsi="Verdana" w:cs="Arial"/>
          <w:lang w:val="es-ES"/>
        </w:rPr>
      </w:pPr>
    </w:p>
    <w:bookmarkEnd w:id="1"/>
    <w:bookmarkEnd w:id="2"/>
    <w:p w14:paraId="5C174D42" w14:textId="77777777" w:rsidR="00C640D3" w:rsidRPr="00173792" w:rsidRDefault="00C640D3" w:rsidP="00C640D3">
      <w:pPr>
        <w:tabs>
          <w:tab w:val="left" w:pos="142"/>
          <w:tab w:val="left" w:pos="284"/>
        </w:tabs>
        <w:spacing w:after="0" w:line="276" w:lineRule="auto"/>
        <w:jc w:val="both"/>
        <w:rPr>
          <w:rFonts w:ascii="Verdana" w:eastAsia="Century Gothic" w:hAnsi="Verdana" w:cs="Century Gothic"/>
          <w:b/>
          <w:color w:val="000000" w:themeColor="text1"/>
          <w:lang w:val="es-ES"/>
        </w:rPr>
      </w:pPr>
      <w:r w:rsidRPr="00173792">
        <w:rPr>
          <w:rFonts w:ascii="Verdana" w:eastAsia="Century Gothic" w:hAnsi="Verdana" w:cs="Century Gothic"/>
          <w:b/>
          <w:color w:val="000000" w:themeColor="text1"/>
          <w:lang w:val="es-ES"/>
        </w:rPr>
        <w:t>4.Referencias normativas, jurisprudenciales y otras fuentes:</w:t>
      </w:r>
    </w:p>
    <w:p w14:paraId="04FBCD73" w14:textId="77777777" w:rsidR="00C640D3" w:rsidRPr="00173792" w:rsidRDefault="00C640D3" w:rsidP="00C640D3">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40D3" w:rsidRPr="00173792" w14:paraId="11257D04" w14:textId="77777777" w:rsidTr="00A47326">
        <w:trPr>
          <w:trHeight w:val="870"/>
        </w:trPr>
        <w:tc>
          <w:tcPr>
            <w:tcW w:w="8647" w:type="dxa"/>
          </w:tcPr>
          <w:p w14:paraId="4A1D4685" w14:textId="55621111" w:rsidR="001D4124" w:rsidRDefault="001D4124"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4232D">
              <w:rPr>
                <w:rFonts w:ascii="Verdana" w:hAnsi="Verdana" w:cs="Arial"/>
              </w:rPr>
              <w:t>Constitución Política</w:t>
            </w:r>
            <w:r>
              <w:rPr>
                <w:rFonts w:ascii="Verdana" w:hAnsi="Verdana" w:cs="Arial"/>
              </w:rPr>
              <w:t>. Artículos 122 y 125.</w:t>
            </w:r>
          </w:p>
          <w:p w14:paraId="4B055A8A" w14:textId="4633BE6D" w:rsidR="00C640D3"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Ley 80 de 1993. Artículo 32 y 40.</w:t>
            </w:r>
          </w:p>
          <w:p w14:paraId="7D7AB574" w14:textId="2AEA7E55" w:rsidR="00793869" w:rsidRPr="00173792" w:rsidRDefault="00793869"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Ley 909 de 2004. Artículo 29, modificado por el artículo 2 de la Ley 1960 de 2029.</w:t>
            </w:r>
          </w:p>
          <w:p w14:paraId="276F4EF4" w14:textId="77777777" w:rsidR="00C640D3" w:rsidRPr="00173792"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Ley 1150 de 2007. Artículo 2.</w:t>
            </w:r>
          </w:p>
          <w:p w14:paraId="7434B2EA" w14:textId="77777777" w:rsidR="00C640D3" w:rsidRPr="00173792"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Ley 1437 de 2011. Artículo 91.</w:t>
            </w:r>
          </w:p>
          <w:p w14:paraId="24C0B7C4" w14:textId="77777777" w:rsidR="00C640D3" w:rsidRPr="00173792"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Ley 1955 de 2015. Artículo 244.</w:t>
            </w:r>
          </w:p>
          <w:p w14:paraId="10569E51" w14:textId="77777777" w:rsidR="00C640D3"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Decreto 1082 de 2015. Artículo 2.2.1.2.1.4.1, 2.2.1.2.1.4.5, 2.2.1.2.1.4.9.</w:t>
            </w:r>
          </w:p>
          <w:p w14:paraId="5B668ED1" w14:textId="33A7ABEC" w:rsidR="001D4124" w:rsidRPr="00173792" w:rsidRDefault="001D4124"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Decreto 2400 de 1968. Artículo 2.</w:t>
            </w:r>
          </w:p>
          <w:p w14:paraId="6604412C" w14:textId="77777777" w:rsidR="00C640D3"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173792">
              <w:rPr>
                <w:rFonts w:ascii="Verdana" w:hAnsi="Verdana" w:cs="Arial"/>
              </w:rPr>
              <w:t xml:space="preserve">Consejo de Estado. Sala de lo Contencioso Administrativo. Sección Segunda. Sentencia del </w:t>
            </w:r>
            <w:r w:rsidRPr="004A0623">
              <w:rPr>
                <w:rFonts w:ascii="Verdana" w:hAnsi="Verdana" w:cs="Arial"/>
              </w:rPr>
              <w:t>cuatro (4) de febrero de dos mil dieciséis (2016). Rad: 81001-23-33-000-2012-00020-01</w:t>
            </w:r>
            <w:r>
              <w:rPr>
                <w:rFonts w:ascii="Verdana" w:hAnsi="Verdana" w:cs="Arial"/>
              </w:rPr>
              <w:t xml:space="preserve"> </w:t>
            </w:r>
            <w:r w:rsidRPr="004A0623">
              <w:rPr>
                <w:rFonts w:ascii="Verdana" w:hAnsi="Verdana" w:cs="Arial"/>
              </w:rPr>
              <w:t>(0316-14)</w:t>
            </w:r>
            <w:r w:rsidRPr="00173792">
              <w:rPr>
                <w:rFonts w:ascii="Verdana" w:hAnsi="Verdana" w:cs="Arial"/>
              </w:rPr>
              <w:t xml:space="preserve">. </w:t>
            </w:r>
            <w:r w:rsidRPr="004A0623">
              <w:rPr>
                <w:rFonts w:ascii="Verdana" w:hAnsi="Verdana" w:cs="Arial"/>
              </w:rPr>
              <w:t xml:space="preserve">Consejero </w:t>
            </w:r>
            <w:r w:rsidRPr="00173792">
              <w:rPr>
                <w:rFonts w:ascii="Verdana" w:hAnsi="Verdana" w:cs="Arial"/>
              </w:rPr>
              <w:t>P</w:t>
            </w:r>
            <w:r w:rsidRPr="004A0623">
              <w:rPr>
                <w:rFonts w:ascii="Verdana" w:hAnsi="Verdana" w:cs="Arial"/>
              </w:rPr>
              <w:t xml:space="preserve">onente: </w:t>
            </w:r>
            <w:r w:rsidRPr="00173792">
              <w:rPr>
                <w:rFonts w:ascii="Verdana" w:hAnsi="Verdana" w:cs="Arial"/>
              </w:rPr>
              <w:t>Gerardo Arenas Monsalve.</w:t>
            </w:r>
          </w:p>
          <w:p w14:paraId="4C451438" w14:textId="06627497" w:rsidR="00C640D3" w:rsidRPr="00173792" w:rsidRDefault="00C640D3" w:rsidP="00A47326">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800891">
              <w:rPr>
                <w:rFonts w:ascii="Verdana" w:hAnsi="Verdana" w:cs="Arial"/>
              </w:rPr>
              <w:lastRenderedPageBreak/>
              <w:t>Corte Constitucional.</w:t>
            </w:r>
            <w:r>
              <w:rPr>
                <w:rFonts w:ascii="Verdana" w:hAnsi="Verdana" w:cs="Arial"/>
              </w:rPr>
              <w:t xml:space="preserve"> </w:t>
            </w:r>
            <w:r w:rsidRPr="00800891">
              <w:rPr>
                <w:rFonts w:ascii="Verdana" w:hAnsi="Verdana" w:cs="Arial"/>
              </w:rPr>
              <w:t xml:space="preserve">Sentencia C-624 de septiembre de 2009. Magistrado Ponente: </w:t>
            </w:r>
            <w:r w:rsidRPr="00173792">
              <w:rPr>
                <w:rFonts w:ascii="Verdana" w:hAnsi="Verdana" w:cs="Arial"/>
              </w:rPr>
              <w:t xml:space="preserve">Dr. </w:t>
            </w:r>
            <w:r w:rsidRPr="00800891">
              <w:rPr>
                <w:rFonts w:ascii="Verdana" w:hAnsi="Verdana" w:cs="Arial"/>
              </w:rPr>
              <w:t>Jorge Ignacio Pretelt Chaljub.</w:t>
            </w:r>
          </w:p>
        </w:tc>
      </w:tr>
    </w:tbl>
    <w:p w14:paraId="6639BFAB" w14:textId="77777777" w:rsidR="00C640D3" w:rsidRPr="00173792" w:rsidRDefault="00C640D3" w:rsidP="00C640D3">
      <w:pPr>
        <w:widowControl w:val="0"/>
        <w:autoSpaceDE w:val="0"/>
        <w:autoSpaceDN w:val="0"/>
        <w:spacing w:after="0" w:line="276" w:lineRule="auto"/>
        <w:jc w:val="both"/>
        <w:rPr>
          <w:rFonts w:ascii="Verdana" w:hAnsi="Verdana" w:cs="Arial"/>
          <w:color w:val="000000" w:themeColor="text1"/>
          <w:lang w:val="es-ES"/>
        </w:rPr>
      </w:pPr>
    </w:p>
    <w:p w14:paraId="507AEC52" w14:textId="77777777" w:rsidR="00C640D3" w:rsidRPr="00173792" w:rsidRDefault="00C640D3" w:rsidP="00C640D3">
      <w:pPr>
        <w:tabs>
          <w:tab w:val="left" w:pos="142"/>
          <w:tab w:val="left" w:pos="284"/>
        </w:tabs>
        <w:spacing w:after="0" w:line="276" w:lineRule="auto"/>
        <w:jc w:val="both"/>
        <w:rPr>
          <w:rFonts w:ascii="Verdana" w:eastAsia="Century Gothic" w:hAnsi="Verdana" w:cs="Century Gothic"/>
          <w:b/>
          <w:color w:val="000000" w:themeColor="text1"/>
          <w:lang w:val="es-ES"/>
        </w:rPr>
      </w:pPr>
      <w:r w:rsidRPr="00173792">
        <w:rPr>
          <w:rFonts w:ascii="Verdana" w:eastAsia="Century Gothic" w:hAnsi="Verdana" w:cs="Century Gothic"/>
          <w:b/>
          <w:color w:val="000000" w:themeColor="text1"/>
          <w:lang w:val="es-ES"/>
        </w:rPr>
        <w:t>5.Doctrina de la Agencia Nacional de Contratación Pública:</w:t>
      </w:r>
    </w:p>
    <w:p w14:paraId="16C8E088" w14:textId="77777777" w:rsidR="00C640D3" w:rsidRPr="00173792" w:rsidRDefault="00C640D3" w:rsidP="00C640D3">
      <w:pPr>
        <w:widowControl w:val="0"/>
        <w:autoSpaceDE w:val="0"/>
        <w:autoSpaceDN w:val="0"/>
        <w:spacing w:after="0" w:line="276" w:lineRule="auto"/>
        <w:jc w:val="both"/>
        <w:rPr>
          <w:rFonts w:ascii="Verdana" w:hAnsi="Verdana" w:cs="Arial"/>
          <w:color w:val="000000" w:themeColor="text1"/>
          <w:lang w:val="es-ES"/>
        </w:rPr>
      </w:pPr>
    </w:p>
    <w:p w14:paraId="335A739C" w14:textId="77777777" w:rsidR="00C640D3" w:rsidRPr="00173792" w:rsidRDefault="00C640D3" w:rsidP="00C640D3">
      <w:pPr>
        <w:spacing w:after="0" w:line="276" w:lineRule="auto"/>
        <w:jc w:val="both"/>
        <w:rPr>
          <w:rFonts w:ascii="Verdana" w:hAnsi="Verdana" w:cs="Arial"/>
          <w:color w:val="000000" w:themeColor="text1"/>
          <w:shd w:val="clear" w:color="auto" w:fill="FFFFFF"/>
          <w:lang w:val="es-ES"/>
        </w:rPr>
      </w:pPr>
      <w:r w:rsidRPr="00173792">
        <w:rPr>
          <w:rFonts w:ascii="Verdana" w:eastAsia="Calibri" w:hAnsi="Verdana" w:cs="Arial"/>
          <w:lang w:val="es-ES"/>
        </w:rPr>
        <w:t xml:space="preserve">La Agencia Nacional de Contratación Pública – Colombia Compra Eficiente se ha referido </w:t>
      </w:r>
      <w:r w:rsidRPr="00173792">
        <w:rPr>
          <w:rFonts w:ascii="Verdana" w:hAnsi="Verdana" w:cs="Arial"/>
          <w:shd w:val="clear" w:color="auto" w:fill="FFFFFF"/>
          <w:lang w:val="es-ES"/>
        </w:rPr>
        <w:t xml:space="preserve">sobre 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y C-706 del 15 de julio de 2025, </w:t>
      </w:r>
      <w:r w:rsidRPr="00173792">
        <w:rPr>
          <w:rFonts w:ascii="Verdana" w:eastAsia="Calibri" w:hAnsi="Verdana" w:cs="Arial"/>
          <w:lang w:val="es-ES" w:eastAsia="es-ES"/>
        </w:rPr>
        <w:t>C-1838 del 23 de enero de 2026,</w:t>
      </w:r>
      <w:r w:rsidRPr="00173792">
        <w:rPr>
          <w:rFonts w:ascii="Verdana" w:hAnsi="Verdana" w:cs="Arial"/>
          <w:shd w:val="clear" w:color="auto" w:fill="FFFFFF"/>
          <w:lang w:val="es-ES"/>
        </w:rPr>
        <w:t xml:space="preserve"> entre otros</w:t>
      </w:r>
      <w:r w:rsidRPr="00173792">
        <w:rPr>
          <w:rFonts w:ascii="Verdana" w:eastAsia="Aptos" w:hAnsi="Verdana" w:cs="Segoe UI"/>
          <w:kern w:val="2"/>
          <w:lang w:val="es-ES"/>
          <w14:ligatures w14:val="standardContextual"/>
        </w:rPr>
        <w:t>.</w:t>
      </w:r>
      <w:r w:rsidRPr="00173792">
        <w:rPr>
          <w:rFonts w:ascii="Verdana" w:hAnsi="Verdana" w:cs="Arial"/>
          <w:shd w:val="clear" w:color="auto" w:fill="FFFFFF"/>
          <w:lang w:val="es-ES"/>
        </w:rPr>
        <w:t xml:space="preserve"> Estos</w:t>
      </w:r>
      <w:r w:rsidRPr="00173792">
        <w:rPr>
          <w:rFonts w:ascii="Verdana" w:hAnsi="Verdana"/>
          <w:lang w:val="es-ES"/>
        </w:rPr>
        <w:t xml:space="preserve"> y otros se encuentran disponibles para consulta en el Sistema de relatoría de la Agencia, al cual se puede acceder a través del siguiente enlace:</w:t>
      </w:r>
      <w:r w:rsidRPr="00173792">
        <w:rPr>
          <w:rFonts w:ascii="Verdana" w:hAnsi="Verdana" w:cs="Arial"/>
          <w:shd w:val="clear" w:color="auto" w:fill="FFFFFF"/>
          <w:lang w:val="es-ES"/>
        </w:rPr>
        <w:t xml:space="preserve"> </w:t>
      </w:r>
      <w:hyperlink r:id="rId11" w:history="1">
        <w:r w:rsidRPr="00173792">
          <w:rPr>
            <w:rFonts w:ascii="Verdana" w:hAnsi="Verdana" w:cs="Arial"/>
            <w:color w:val="0000FF"/>
            <w:u w:val="single"/>
            <w:shd w:val="clear" w:color="auto" w:fill="FFFFFF"/>
            <w:lang w:val="es-ES"/>
          </w:rPr>
          <w:t>https://relatoria.colombiacompra.gov.co/busqueda/concept os</w:t>
        </w:r>
      </w:hyperlink>
      <w:r w:rsidRPr="00173792">
        <w:rPr>
          <w:rFonts w:ascii="Verdana" w:hAnsi="Verdana" w:cs="Arial"/>
          <w:shd w:val="clear" w:color="auto" w:fill="FFFFFF"/>
          <w:lang w:val="es-ES"/>
        </w:rPr>
        <w:t>.</w:t>
      </w:r>
      <w:r w:rsidRPr="00173792">
        <w:rPr>
          <w:rFonts w:ascii="Verdana" w:hAnsi="Verdana" w:cs="Arial"/>
          <w:color w:val="FF0000"/>
          <w:shd w:val="clear" w:color="auto" w:fill="FFFFFF"/>
          <w:lang w:val="es-ES"/>
        </w:rPr>
        <w:t xml:space="preserve"> </w:t>
      </w:r>
      <w:r w:rsidRPr="00173792">
        <w:rPr>
          <w:rFonts w:ascii="Verdana" w:hAnsi="Verdana" w:cs="Arial"/>
          <w:color w:val="000000" w:themeColor="text1"/>
          <w:shd w:val="clear" w:color="auto" w:fill="FFFFFF"/>
          <w:lang w:val="es-ES"/>
        </w:rPr>
        <w:t>  </w:t>
      </w:r>
    </w:p>
    <w:p w14:paraId="3011F5F9" w14:textId="77777777" w:rsidR="00C640D3" w:rsidRPr="00173792" w:rsidRDefault="00C640D3" w:rsidP="00C640D3">
      <w:pPr>
        <w:spacing w:after="0" w:line="276" w:lineRule="auto"/>
        <w:jc w:val="both"/>
        <w:rPr>
          <w:rFonts w:ascii="Verdana" w:hAnsi="Verdana" w:cs="Arial"/>
          <w:color w:val="EE0000"/>
          <w:shd w:val="clear" w:color="auto" w:fill="FFFFFF"/>
          <w:lang w:val="es-ES"/>
        </w:rPr>
      </w:pPr>
    </w:p>
    <w:p w14:paraId="3C16242E" w14:textId="77777777" w:rsidR="00C640D3" w:rsidRPr="00173792" w:rsidRDefault="00C640D3" w:rsidP="00C640D3">
      <w:pPr>
        <w:spacing w:after="0" w:line="276" w:lineRule="auto"/>
        <w:jc w:val="both"/>
        <w:rPr>
          <w:rFonts w:ascii="Verdana" w:hAnsi="Verdana"/>
          <w:lang w:val="es-ES"/>
        </w:rPr>
      </w:pPr>
      <w:r w:rsidRPr="00173792">
        <w:rPr>
          <w:rFonts w:ascii="Verdana" w:hAnsi="Verdana"/>
          <w:lang w:val="es-ES"/>
        </w:rPr>
        <w:t xml:space="preserve">Por último, lo invitamos a seguirnos en las redes sociales en las cuales se difunde información institucional: </w:t>
      </w:r>
    </w:p>
    <w:p w14:paraId="3876C091" w14:textId="77777777" w:rsidR="00C640D3" w:rsidRPr="00173792" w:rsidRDefault="00C640D3" w:rsidP="00C640D3">
      <w:pPr>
        <w:spacing w:after="0" w:line="276" w:lineRule="auto"/>
        <w:jc w:val="both"/>
        <w:rPr>
          <w:rFonts w:ascii="Verdana" w:hAnsi="Verdana"/>
          <w:lang w:val="es-ES"/>
        </w:rPr>
      </w:pPr>
    </w:p>
    <w:p w14:paraId="3EC65BEF" w14:textId="77777777" w:rsidR="00C640D3" w:rsidRPr="00173792" w:rsidRDefault="00C640D3" w:rsidP="00C640D3">
      <w:pPr>
        <w:spacing w:after="0" w:line="276" w:lineRule="auto"/>
        <w:jc w:val="both"/>
        <w:rPr>
          <w:rFonts w:ascii="Verdana" w:hAnsi="Verdana"/>
          <w:lang w:val="es-ES"/>
        </w:rPr>
      </w:pPr>
      <w:r w:rsidRPr="00173792">
        <w:rPr>
          <w:rFonts w:ascii="Verdana" w:hAnsi="Verdana"/>
          <w:lang w:val="es-ES"/>
        </w:rPr>
        <w:t xml:space="preserve">Twitter: </w:t>
      </w:r>
      <w:r w:rsidRPr="00173792">
        <w:rPr>
          <w:rStyle w:val="Hipervnculo"/>
          <w:rFonts w:ascii="Verdana" w:hAnsi="Verdana" w:cs="Arial"/>
          <w:shd w:val="clear" w:color="auto" w:fill="FFFFFF"/>
          <w:lang w:val="es-ES"/>
        </w:rPr>
        <w:t>@colombiacompra</w:t>
      </w:r>
      <w:r w:rsidRPr="00173792">
        <w:rPr>
          <w:rFonts w:ascii="Verdana" w:hAnsi="Verdana"/>
          <w:color w:val="4472C4" w:themeColor="accent1"/>
          <w:lang w:val="es-ES"/>
        </w:rPr>
        <w:t xml:space="preserve"> </w:t>
      </w:r>
    </w:p>
    <w:p w14:paraId="5AC1B0D2" w14:textId="77777777" w:rsidR="00C640D3" w:rsidRPr="00173792" w:rsidRDefault="00C640D3" w:rsidP="00C640D3">
      <w:pPr>
        <w:spacing w:after="0" w:line="276" w:lineRule="auto"/>
        <w:jc w:val="both"/>
        <w:rPr>
          <w:rFonts w:ascii="Verdana" w:hAnsi="Verdana"/>
          <w:lang w:val="es-ES"/>
        </w:rPr>
      </w:pPr>
      <w:r w:rsidRPr="00173792">
        <w:rPr>
          <w:rFonts w:ascii="Verdana" w:hAnsi="Verdana"/>
          <w:lang w:val="es-ES"/>
        </w:rPr>
        <w:t xml:space="preserve">Facebook: </w:t>
      </w:r>
      <w:proofErr w:type="spellStart"/>
      <w:r w:rsidRPr="00173792">
        <w:rPr>
          <w:rStyle w:val="Hipervnculo"/>
          <w:rFonts w:ascii="Verdana" w:hAnsi="Verdana" w:cs="Arial"/>
          <w:shd w:val="clear" w:color="auto" w:fill="FFFFFF"/>
          <w:lang w:val="es-ES"/>
        </w:rPr>
        <w:t>ColombiaCompraEficiente</w:t>
      </w:r>
      <w:proofErr w:type="spellEnd"/>
    </w:p>
    <w:p w14:paraId="53A94FB0" w14:textId="77777777" w:rsidR="00C640D3" w:rsidRPr="00173792" w:rsidRDefault="00C640D3" w:rsidP="00C640D3">
      <w:pPr>
        <w:spacing w:after="0" w:line="276" w:lineRule="auto"/>
        <w:jc w:val="both"/>
        <w:rPr>
          <w:rFonts w:ascii="Verdana" w:hAnsi="Verdana"/>
          <w:lang w:val="es-ES"/>
        </w:rPr>
      </w:pPr>
      <w:r w:rsidRPr="00173792">
        <w:rPr>
          <w:rFonts w:ascii="Verdana" w:hAnsi="Verdana"/>
          <w:lang w:val="es-ES"/>
        </w:rPr>
        <w:t xml:space="preserve">LinkedIn: </w:t>
      </w:r>
      <w:r w:rsidRPr="00173792">
        <w:rPr>
          <w:rStyle w:val="Hipervnculo"/>
          <w:rFonts w:ascii="Verdana" w:hAnsi="Verdana" w:cs="Arial"/>
          <w:shd w:val="clear" w:color="auto" w:fill="FFFFFF"/>
          <w:lang w:val="es-ES"/>
        </w:rPr>
        <w:t xml:space="preserve">Agencia Nacional de Contratación Pública - Colombia Compra Eficiente </w:t>
      </w:r>
      <w:r w:rsidRPr="00173792">
        <w:rPr>
          <w:rFonts w:ascii="Verdana" w:hAnsi="Verdana"/>
          <w:lang w:val="es-ES"/>
        </w:rPr>
        <w:t xml:space="preserve">Instagram: </w:t>
      </w:r>
      <w:r w:rsidRPr="00173792">
        <w:rPr>
          <w:rStyle w:val="Hipervnculo"/>
          <w:rFonts w:ascii="Verdana" w:hAnsi="Verdana" w:cs="Arial"/>
          <w:shd w:val="clear" w:color="auto" w:fill="FFFFFF"/>
          <w:lang w:val="es-ES"/>
        </w:rPr>
        <w:t>@colombiacompraeficiente_cce</w:t>
      </w:r>
    </w:p>
    <w:p w14:paraId="21630641" w14:textId="77777777" w:rsidR="00C640D3" w:rsidRPr="00173792" w:rsidRDefault="00C640D3" w:rsidP="00C640D3">
      <w:pPr>
        <w:widowControl w:val="0"/>
        <w:autoSpaceDE w:val="0"/>
        <w:autoSpaceDN w:val="0"/>
        <w:spacing w:after="0" w:line="276" w:lineRule="auto"/>
        <w:jc w:val="both"/>
        <w:rPr>
          <w:rFonts w:ascii="Verdana" w:hAnsi="Verdana" w:cs="Arial"/>
          <w:lang w:val="es-ES"/>
        </w:rPr>
      </w:pPr>
    </w:p>
    <w:p w14:paraId="6EF3B3FE" w14:textId="77777777" w:rsidR="00C640D3" w:rsidRPr="00173792" w:rsidRDefault="00C640D3" w:rsidP="00C640D3">
      <w:pPr>
        <w:widowControl w:val="0"/>
        <w:autoSpaceDE w:val="0"/>
        <w:autoSpaceDN w:val="0"/>
        <w:spacing w:after="0" w:line="276" w:lineRule="auto"/>
        <w:jc w:val="both"/>
        <w:rPr>
          <w:rFonts w:ascii="Verdana" w:hAnsi="Verdana" w:cs="Arial"/>
          <w:lang w:val="es-ES"/>
        </w:rPr>
      </w:pPr>
      <w:r w:rsidRPr="00173792">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64D02F3" w14:textId="77777777" w:rsidR="00C640D3" w:rsidRPr="00173792" w:rsidRDefault="00C640D3" w:rsidP="00C640D3">
      <w:pPr>
        <w:widowControl w:val="0"/>
        <w:autoSpaceDE w:val="0"/>
        <w:autoSpaceDN w:val="0"/>
        <w:spacing w:after="0" w:line="276" w:lineRule="auto"/>
        <w:jc w:val="both"/>
        <w:rPr>
          <w:rFonts w:ascii="Verdana" w:hAnsi="Verdana" w:cs="Arial"/>
          <w:lang w:val="es-ES"/>
        </w:rPr>
      </w:pPr>
    </w:p>
    <w:p w14:paraId="2376D881" w14:textId="77777777" w:rsidR="00C640D3" w:rsidRPr="00173792" w:rsidRDefault="00C640D3" w:rsidP="00C640D3">
      <w:pPr>
        <w:spacing w:after="0" w:line="276" w:lineRule="auto"/>
        <w:rPr>
          <w:rFonts w:ascii="Verdana" w:hAnsi="Verdana" w:cs="Arial"/>
          <w:color w:val="000000" w:themeColor="text1"/>
          <w:lang w:val="es-ES" w:eastAsia="es-CO"/>
        </w:rPr>
      </w:pPr>
      <w:r w:rsidRPr="00173792">
        <w:rPr>
          <w:rFonts w:ascii="Verdana" w:eastAsia="Times New Roman" w:hAnsi="Verdana" w:cs="Arial"/>
          <w:color w:val="000000" w:themeColor="text1"/>
          <w:lang w:val="es-ES" w:eastAsia="es-CO"/>
        </w:rPr>
        <w:t>Atentamente,</w:t>
      </w:r>
      <w:r w:rsidRPr="00173792">
        <w:rPr>
          <w:rFonts w:ascii="Verdana" w:hAnsi="Verdana" w:cs="Arial"/>
          <w:color w:val="000000" w:themeColor="text1"/>
          <w:lang w:val="es-ES" w:eastAsia="es-CO"/>
        </w:rPr>
        <w:t xml:space="preserve"> </w:t>
      </w:r>
    </w:p>
    <w:p w14:paraId="215C977E" w14:textId="65D385B5" w:rsidR="00C640D3" w:rsidRPr="00173792" w:rsidRDefault="00C640D3" w:rsidP="00C640D3">
      <w:pPr>
        <w:spacing w:after="0" w:line="276" w:lineRule="auto"/>
        <w:rPr>
          <w:rFonts w:ascii="Verdana" w:hAnsi="Verdana" w:cs="Arial"/>
          <w:color w:val="000000" w:themeColor="text1"/>
          <w:lang w:val="es-ES" w:eastAsia="es-CO"/>
        </w:rPr>
      </w:pPr>
    </w:p>
    <w:p w14:paraId="782C9350" w14:textId="144F66CD" w:rsidR="00C640D3" w:rsidRPr="00173792" w:rsidRDefault="001055D0" w:rsidP="00C640D3">
      <w:pPr>
        <w:spacing w:line="276" w:lineRule="auto"/>
        <w:jc w:val="center"/>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60288" behindDoc="0" locked="0" layoutInCell="1" allowOverlap="1" wp14:anchorId="45278915" wp14:editId="5EAAFBC0">
            <wp:simplePos x="0" y="0"/>
            <wp:positionH relativeFrom="column">
              <wp:posOffset>1253285</wp:posOffset>
            </wp:positionH>
            <wp:positionV relativeFrom="page">
              <wp:posOffset>1368425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40D3" w:rsidRPr="00173792" w14:paraId="405C3F6B" w14:textId="77777777" w:rsidTr="00A47326">
        <w:trPr>
          <w:trHeight w:val="315"/>
        </w:trPr>
        <w:tc>
          <w:tcPr>
            <w:tcW w:w="893" w:type="dxa"/>
            <w:vAlign w:val="center"/>
            <w:hideMark/>
          </w:tcPr>
          <w:p w14:paraId="611C5C65" w14:textId="77777777" w:rsidR="00C640D3" w:rsidRPr="00173792" w:rsidRDefault="00C640D3" w:rsidP="00A47326">
            <w:pPr>
              <w:contextualSpacing/>
              <w:rPr>
                <w:rFonts w:ascii="Verdana" w:hAnsi="Verdana" w:cs="Arial"/>
                <w:sz w:val="16"/>
                <w:szCs w:val="16"/>
                <w:lang w:val="es-ES" w:eastAsia="es-ES"/>
              </w:rPr>
            </w:pPr>
            <w:r w:rsidRPr="0017379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11841B" w14:textId="77777777" w:rsidR="00C640D3" w:rsidRPr="00173792" w:rsidRDefault="00C640D3" w:rsidP="00A47326">
            <w:pPr>
              <w:contextualSpacing/>
              <w:rPr>
                <w:rFonts w:ascii="Verdana" w:eastAsia="Arial" w:hAnsi="Verdana" w:cs="Arial"/>
                <w:color w:val="000000" w:themeColor="text1"/>
                <w:sz w:val="16"/>
                <w:szCs w:val="16"/>
                <w:lang w:val="es-ES"/>
              </w:rPr>
            </w:pPr>
            <w:r w:rsidRPr="00173792">
              <w:rPr>
                <w:rFonts w:ascii="Verdana" w:eastAsia="Arial" w:hAnsi="Verdana" w:cs="Arial"/>
                <w:color w:val="000000" w:themeColor="text1"/>
                <w:sz w:val="16"/>
                <w:szCs w:val="16"/>
                <w:lang w:val="es-ES"/>
              </w:rPr>
              <w:t>Anamaría Bonilla Prieto</w:t>
            </w:r>
          </w:p>
          <w:p w14:paraId="7305CB7C" w14:textId="77777777" w:rsidR="00C640D3" w:rsidRPr="00173792" w:rsidRDefault="00C640D3" w:rsidP="00A47326">
            <w:pPr>
              <w:contextualSpacing/>
              <w:rPr>
                <w:rFonts w:ascii="Verdana" w:eastAsia="Arial" w:hAnsi="Verdana" w:cs="Arial"/>
                <w:sz w:val="16"/>
                <w:szCs w:val="16"/>
                <w:lang w:val="es-ES"/>
              </w:rPr>
            </w:pPr>
            <w:r w:rsidRPr="00173792">
              <w:rPr>
                <w:rStyle w:val="normaltextrun"/>
                <w:rFonts w:ascii="Verdana" w:eastAsia="Arial" w:hAnsi="Verdana" w:cs="Arial"/>
                <w:color w:val="000000" w:themeColor="text1"/>
                <w:sz w:val="16"/>
                <w:szCs w:val="16"/>
                <w:lang w:val="es-ES"/>
              </w:rPr>
              <w:t xml:space="preserve">Contratista de la Subdirección </w:t>
            </w:r>
            <w:r w:rsidRPr="00173792">
              <w:rPr>
                <w:rStyle w:val="normaltextrun"/>
                <w:rFonts w:ascii="Verdana" w:eastAsia="Arial" w:hAnsi="Verdana" w:cs="Arial"/>
                <w:sz w:val="16"/>
                <w:szCs w:val="16"/>
                <w:lang w:val="es-ES"/>
              </w:rPr>
              <w:t>de Gestión Contractual</w:t>
            </w:r>
          </w:p>
        </w:tc>
      </w:tr>
      <w:tr w:rsidR="00C640D3" w:rsidRPr="00173792" w14:paraId="03F43260" w14:textId="77777777" w:rsidTr="00A47326">
        <w:trPr>
          <w:trHeight w:val="330"/>
        </w:trPr>
        <w:tc>
          <w:tcPr>
            <w:tcW w:w="893" w:type="dxa"/>
            <w:vAlign w:val="center"/>
            <w:hideMark/>
          </w:tcPr>
          <w:p w14:paraId="2DF9D0F3" w14:textId="77777777" w:rsidR="00C640D3" w:rsidRPr="00173792" w:rsidRDefault="00C640D3" w:rsidP="00A47326">
            <w:pPr>
              <w:contextualSpacing/>
              <w:rPr>
                <w:rFonts w:ascii="Verdana" w:hAnsi="Verdana" w:cs="Arial"/>
                <w:sz w:val="16"/>
                <w:szCs w:val="16"/>
                <w:lang w:val="es-ES" w:eastAsia="es-ES"/>
              </w:rPr>
            </w:pPr>
            <w:r w:rsidRPr="0017379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39AE0D" w14:textId="77777777" w:rsidR="00AF4975" w:rsidRPr="00AB21E7" w:rsidRDefault="00AF4975" w:rsidP="00AF4975">
            <w:pPr>
              <w:spacing w:line="276" w:lineRule="auto"/>
              <w:contextualSpacing/>
              <w:textAlignment w:val="baseline"/>
              <w:rPr>
                <w:rStyle w:val="normaltextrun"/>
                <w:rFonts w:ascii="Verdana" w:eastAsia="Arial" w:hAnsi="Verdana"/>
                <w:color w:val="000000" w:themeColor="text1"/>
                <w:sz w:val="16"/>
                <w:szCs w:val="16"/>
              </w:rPr>
            </w:pPr>
            <w:r w:rsidRPr="00AB21E7">
              <w:rPr>
                <w:rStyle w:val="normaltextrun"/>
                <w:rFonts w:ascii="Verdana" w:eastAsia="Arial" w:hAnsi="Verdana"/>
                <w:color w:val="000000" w:themeColor="text1"/>
                <w:sz w:val="16"/>
                <w:szCs w:val="16"/>
              </w:rPr>
              <w:t>Alejandro Sarmiento Cantillo</w:t>
            </w:r>
          </w:p>
          <w:p w14:paraId="63D1D563" w14:textId="1BD6E38B" w:rsidR="00C640D3" w:rsidRPr="00173792" w:rsidRDefault="00AF4975" w:rsidP="00AF4975">
            <w:pPr>
              <w:pStyle w:val="paragraph"/>
              <w:spacing w:before="0" w:beforeAutospacing="0" w:after="0" w:afterAutospacing="0"/>
              <w:contextualSpacing/>
              <w:textAlignment w:val="baseline"/>
              <w:rPr>
                <w:rFonts w:ascii="Verdana" w:hAnsi="Verdana" w:cs="Segoe UI"/>
                <w:sz w:val="16"/>
                <w:szCs w:val="16"/>
                <w:lang w:val="es-ES"/>
              </w:rPr>
            </w:pPr>
            <w:r w:rsidRPr="00AB21E7">
              <w:rPr>
                <w:rStyle w:val="normaltextrun"/>
                <w:rFonts w:ascii="Verdana" w:eastAsia="Arial" w:hAnsi="Verdana"/>
                <w:color w:val="000000" w:themeColor="text1"/>
                <w:sz w:val="16"/>
                <w:szCs w:val="16"/>
                <w:lang w:eastAsia="en-US"/>
              </w:rPr>
              <w:t xml:space="preserve">Gestor T1 – 15 </w:t>
            </w:r>
            <w:r w:rsidRPr="00AB21E7">
              <w:rPr>
                <w:rStyle w:val="normaltextrun"/>
                <w:rFonts w:ascii="Verdana" w:eastAsia="Arial" w:hAnsi="Verdana" w:cs="Arial"/>
                <w:color w:val="000000" w:themeColor="text1"/>
                <w:sz w:val="16"/>
                <w:szCs w:val="16"/>
                <w:lang w:val="es-ES" w:eastAsia="en-US"/>
              </w:rPr>
              <w:t>de la Subdirección de Gestión Contractual</w:t>
            </w:r>
            <w:r w:rsidRPr="005474F1">
              <w:rPr>
                <w:rStyle w:val="eop"/>
                <w:rFonts w:ascii="Verdana" w:hAnsi="Verdana" w:cs="Arial"/>
                <w:sz w:val="15"/>
                <w:szCs w:val="15"/>
                <w:lang w:val="es-ES"/>
              </w:rPr>
              <w:t> </w:t>
            </w:r>
          </w:p>
        </w:tc>
      </w:tr>
      <w:tr w:rsidR="00C640D3" w:rsidRPr="00173792" w14:paraId="7791CE2F" w14:textId="77777777" w:rsidTr="00A47326">
        <w:trPr>
          <w:trHeight w:val="300"/>
        </w:trPr>
        <w:tc>
          <w:tcPr>
            <w:tcW w:w="893" w:type="dxa"/>
            <w:vAlign w:val="center"/>
          </w:tcPr>
          <w:p w14:paraId="4A3D4692" w14:textId="77777777" w:rsidR="00C640D3" w:rsidRPr="00173792" w:rsidRDefault="00C640D3" w:rsidP="00A47326">
            <w:pPr>
              <w:contextualSpacing/>
              <w:rPr>
                <w:rFonts w:ascii="Verdana" w:hAnsi="Verdana" w:cs="Arial"/>
                <w:sz w:val="16"/>
                <w:szCs w:val="16"/>
                <w:lang w:val="es-ES" w:eastAsia="es-ES"/>
              </w:rPr>
            </w:pPr>
            <w:r w:rsidRPr="0017379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C923A2" w14:textId="77777777" w:rsidR="00C640D3" w:rsidRPr="00173792" w:rsidRDefault="00C640D3" w:rsidP="00A47326">
            <w:pPr>
              <w:contextualSpacing/>
              <w:rPr>
                <w:rFonts w:ascii="Verdana" w:eastAsia="Calibri" w:hAnsi="Verdana" w:cs="Arial"/>
                <w:sz w:val="16"/>
                <w:szCs w:val="16"/>
                <w:lang w:val="es-ES" w:eastAsia="es-ES"/>
              </w:rPr>
            </w:pPr>
            <w:r w:rsidRPr="00173792">
              <w:rPr>
                <w:rFonts w:ascii="Verdana" w:eastAsia="Calibri" w:hAnsi="Verdana" w:cs="Arial"/>
                <w:sz w:val="16"/>
                <w:szCs w:val="16"/>
                <w:lang w:val="es-ES" w:eastAsia="es-ES"/>
              </w:rPr>
              <w:t>Carolina Quintero Gacharná</w:t>
            </w:r>
          </w:p>
          <w:p w14:paraId="5E68DA76" w14:textId="77777777" w:rsidR="00C640D3" w:rsidRPr="00173792" w:rsidRDefault="00C640D3" w:rsidP="00A47326">
            <w:pPr>
              <w:contextualSpacing/>
              <w:rPr>
                <w:rFonts w:ascii="Verdana" w:eastAsia="Calibri" w:hAnsi="Verdana" w:cs="Arial"/>
                <w:sz w:val="16"/>
                <w:szCs w:val="16"/>
                <w:lang w:val="es-ES" w:eastAsia="es-ES"/>
              </w:rPr>
            </w:pPr>
            <w:r w:rsidRPr="00173792">
              <w:rPr>
                <w:rFonts w:ascii="Verdana" w:eastAsia="Calibri" w:hAnsi="Verdana" w:cs="Arial"/>
                <w:sz w:val="16"/>
                <w:szCs w:val="16"/>
                <w:lang w:val="es-ES" w:eastAsia="es-ES"/>
              </w:rPr>
              <w:t>Subdirectora de Gestión Contractual ANCP – CCE</w:t>
            </w:r>
          </w:p>
        </w:tc>
      </w:tr>
    </w:tbl>
    <w:p w14:paraId="2F9FE1CD" w14:textId="77777777" w:rsidR="00C640D3" w:rsidRPr="00173792" w:rsidRDefault="00C640D3" w:rsidP="00C640D3">
      <w:pPr>
        <w:spacing w:after="0" w:line="276" w:lineRule="auto"/>
        <w:jc w:val="center"/>
        <w:rPr>
          <w:lang w:val="es-ES"/>
        </w:rPr>
      </w:pPr>
    </w:p>
    <w:bookmarkEnd w:id="0"/>
    <w:p w14:paraId="23A651B6" w14:textId="77777777" w:rsidR="00C640D3" w:rsidRPr="00173792" w:rsidRDefault="00C640D3" w:rsidP="00C640D3">
      <w:pPr>
        <w:spacing w:after="0" w:line="240" w:lineRule="auto"/>
        <w:textAlignment w:val="baseline"/>
        <w:rPr>
          <w:rFonts w:ascii="Verdana" w:eastAsia="Times New Roman" w:hAnsi="Verdana" w:cs="Segoe UI"/>
          <w:b/>
          <w:bCs/>
          <w:color w:val="46589C"/>
          <w:lang w:val="es-ES" w:eastAsia="es-CO"/>
        </w:rPr>
      </w:pPr>
    </w:p>
    <w:p w14:paraId="3E997D99" w14:textId="77777777" w:rsidR="00C640D3" w:rsidRPr="00173792" w:rsidRDefault="00C640D3" w:rsidP="00C640D3">
      <w:pPr>
        <w:rPr>
          <w:lang w:val="es-ES"/>
        </w:rPr>
      </w:pPr>
    </w:p>
    <w:p w14:paraId="21741F31" w14:textId="77777777" w:rsidR="00C640D3" w:rsidRPr="00173792" w:rsidRDefault="00C640D3" w:rsidP="00C640D3">
      <w:pPr>
        <w:rPr>
          <w:lang w:val="es-ES"/>
        </w:rPr>
      </w:pPr>
    </w:p>
    <w:p w14:paraId="0F293BF4" w14:textId="6A160124" w:rsidR="00127233" w:rsidRPr="009C18C3" w:rsidRDefault="00127233" w:rsidP="009C18C3"/>
    <w:sectPr w:rsidR="00127233" w:rsidRPr="009C18C3"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0C6DA" w14:textId="77777777" w:rsidR="00C4092C" w:rsidRDefault="00C4092C" w:rsidP="004A1847">
      <w:pPr>
        <w:spacing w:after="0" w:line="240" w:lineRule="auto"/>
      </w:pPr>
      <w:r>
        <w:separator/>
      </w:r>
    </w:p>
  </w:endnote>
  <w:endnote w:type="continuationSeparator" w:id="0">
    <w:p w14:paraId="11F4310E" w14:textId="77777777" w:rsidR="00C4092C" w:rsidRDefault="00C4092C" w:rsidP="004A1847">
      <w:pPr>
        <w:spacing w:after="0" w:line="240" w:lineRule="auto"/>
      </w:pPr>
      <w:r>
        <w:continuationSeparator/>
      </w:r>
    </w:p>
  </w:endnote>
  <w:endnote w:type="continuationNotice" w:id="1">
    <w:p w14:paraId="14135F92" w14:textId="77777777" w:rsidR="00C4092C" w:rsidRDefault="00C409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ED2DC76" w14:textId="77777777" w:rsidR="00A23FB9" w:rsidRDefault="00A23FB9">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AE6AC" w14:textId="77777777" w:rsidR="00C4092C" w:rsidRDefault="00C4092C" w:rsidP="004A1847">
      <w:pPr>
        <w:spacing w:after="0" w:line="240" w:lineRule="auto"/>
      </w:pPr>
      <w:r>
        <w:separator/>
      </w:r>
    </w:p>
  </w:footnote>
  <w:footnote w:type="continuationSeparator" w:id="0">
    <w:p w14:paraId="1032DFEB" w14:textId="77777777" w:rsidR="00C4092C" w:rsidRDefault="00C4092C" w:rsidP="004A1847">
      <w:pPr>
        <w:spacing w:after="0" w:line="240" w:lineRule="auto"/>
      </w:pPr>
      <w:r>
        <w:continuationSeparator/>
      </w:r>
    </w:p>
  </w:footnote>
  <w:footnote w:type="continuationNotice" w:id="1">
    <w:p w14:paraId="418EDC5D" w14:textId="77777777" w:rsidR="00C4092C" w:rsidRDefault="00C4092C">
      <w:pPr>
        <w:spacing w:after="0" w:line="240" w:lineRule="auto"/>
      </w:pPr>
    </w:p>
  </w:footnote>
  <w:footnote w:id="2">
    <w:p w14:paraId="45BA7F26"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o habrá empleo público que no tenga funciones detalladas en ley o reglamento y para proveer los de carácter remunerado se requiere que estén contemplados en la respectiva planta y previstos sus emolumentos en el presupuesto correspondiente. </w:t>
      </w:r>
    </w:p>
  </w:footnote>
  <w:footnote w:id="3">
    <w:p w14:paraId="1EACABE0"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“Art. 125 Los empleos en los órganos y entidades del Estado son de carrera. Se exceptúan los de elección popular, los de libre nombramiento y remoción, los de trabajadores oficiales y los demás que determine la ley (...)”. </w:t>
      </w:r>
    </w:p>
  </w:footnote>
  <w:footnote w:id="4">
    <w:p w14:paraId="614A6666"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Consejo de Estado. Sala de lo Contencioso Administrativo. Seccion Segunda. Sentencia del cuatro (4) de febrero de dos mil dieciséis (2016). Radicación número: 81001-23-33-000-2012-00020-01(0316-14). Consejero Ponente: Gerardo Arenas Monsalve. </w:t>
      </w:r>
    </w:p>
    <w:p w14:paraId="7E472F77" w14:textId="77777777" w:rsidR="00C640D3" w:rsidRPr="00A76915" w:rsidRDefault="00C640D3" w:rsidP="00A76915">
      <w:pPr>
        <w:pStyle w:val="Textonotapie"/>
        <w:snapToGrid w:val="0"/>
        <w:contextualSpacing/>
        <w:jc w:val="both"/>
        <w:rPr>
          <w:rFonts w:ascii="Verdana" w:hAnsi="Verdana"/>
          <w:sz w:val="14"/>
          <w:szCs w:val="14"/>
          <w:lang w:val="es-ES"/>
        </w:rPr>
      </w:pPr>
    </w:p>
  </w:footnote>
  <w:footnote w:id="5">
    <w:p w14:paraId="0BF4F553"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F7425D4"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p>
  </w:footnote>
  <w:footnote w:id="6">
    <w:p w14:paraId="35DC0418"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sz w:val="14"/>
          <w:szCs w:val="14"/>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5495CA89"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187BDFE"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El Gobierno nacional reglamentará el mecanismo para realizar la mensualización de que trata el presente artículo.</w:t>
      </w:r>
    </w:p>
    <w:p w14:paraId="1F90730C" w14:textId="77777777" w:rsidR="00C640D3" w:rsidRPr="00A76915" w:rsidRDefault="00C640D3" w:rsidP="00A76915">
      <w:pPr>
        <w:pStyle w:val="Textonotapie"/>
        <w:snapToGrid w:val="0"/>
        <w:ind w:firstLine="709"/>
        <w:contextualSpacing/>
        <w:jc w:val="both"/>
        <w:rPr>
          <w:rFonts w:ascii="Verdana" w:hAnsi="Verdana" w:cs="Arial"/>
          <w:sz w:val="14"/>
          <w:szCs w:val="14"/>
          <w:lang w:val="pt-BR"/>
        </w:rPr>
      </w:pPr>
      <w:r w:rsidRPr="00A76915">
        <w:rPr>
          <w:rFonts w:ascii="Verdana" w:hAnsi="Verdana" w:cs="Arial"/>
          <w:sz w:val="14"/>
          <w:szCs w:val="14"/>
          <w:lang w:val="pt-BR"/>
        </w:rPr>
        <w:t>[…]”.</w:t>
      </w:r>
    </w:p>
  </w:footnote>
  <w:footnote w:id="7">
    <w:p w14:paraId="039A4890"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lang w:val="pt-BR"/>
        </w:rPr>
        <w:t xml:space="preserve"> Corte Constitucional. Sentencia C-154 de 1997. </w:t>
      </w:r>
      <w:r w:rsidRPr="00A76915">
        <w:rPr>
          <w:rFonts w:ascii="Verdana" w:hAnsi="Verdana" w:cs="Arial"/>
          <w:sz w:val="14"/>
          <w:szCs w:val="14"/>
          <w:lang w:val="es-ES"/>
        </w:rPr>
        <w:t>MP: Hernando Herrera Vergara.</w:t>
      </w:r>
    </w:p>
  </w:footnote>
  <w:footnote w:id="8">
    <w:p w14:paraId="50DE6E70"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CO"/>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cs="Arial"/>
          <w:color w:val="000000" w:themeColor="text1"/>
          <w:sz w:val="14"/>
          <w:szCs w:val="14"/>
          <w:lang w:val="es-ES"/>
        </w:rPr>
        <w:t xml:space="preserve">Consejo de Estado. Sección Segunda. Sentencia de Unificación Jurisprudencial </w:t>
      </w:r>
      <w:r w:rsidRPr="00A76915">
        <w:rPr>
          <w:rFonts w:ascii="Verdana" w:hAnsi="Verdana" w:cs="Arial"/>
          <w:color w:val="000000" w:themeColor="text1"/>
          <w:sz w:val="14"/>
          <w:szCs w:val="14"/>
          <w:lang w:val="es-CO"/>
        </w:rPr>
        <w:t>SUJ-025-CE-S2-2021.</w:t>
      </w:r>
      <w:r w:rsidRPr="00A76915">
        <w:rPr>
          <w:rFonts w:ascii="Verdana" w:hAnsi="Verdana" w:cs="Arial"/>
          <w:color w:val="000000" w:themeColor="text1"/>
          <w:sz w:val="14"/>
          <w:szCs w:val="14"/>
          <w:lang w:val="es-ES"/>
        </w:rPr>
        <w:t xml:space="preserve"> Radicado (1317-2016). El numeral primero de la parte resolutiva de la sentencia señala lo siguiente:</w:t>
      </w:r>
      <w:r w:rsidRPr="00A76915">
        <w:rPr>
          <w:rFonts w:ascii="Verdana" w:eastAsia="Times New Roman" w:hAnsi="Verdana" w:cs="Times New Roman"/>
          <w:sz w:val="14"/>
          <w:szCs w:val="14"/>
          <w:lang w:val="es-CO" w:eastAsia="es-ES_tradnl"/>
        </w:rPr>
        <w:t xml:space="preserve"> </w:t>
      </w:r>
      <w:r w:rsidRPr="00A76915">
        <w:rPr>
          <w:rFonts w:ascii="Verdana" w:hAnsi="Verdana" w:cs="Arial"/>
          <w:noProof/>
          <w:sz w:val="14"/>
          <w:szCs w:val="14"/>
          <w:lang w:val="es-ES_tradnl"/>
        </w:rPr>
        <w:t>“</w:t>
      </w:r>
      <w:r w:rsidRPr="00A76915">
        <w:rPr>
          <w:rFonts w:ascii="Verdana" w:hAnsi="Verdana" w:cs="Arial"/>
          <w:color w:val="000000" w:themeColor="text1"/>
          <w:sz w:val="14"/>
          <w:szCs w:val="14"/>
          <w:lang w:val="es-CO"/>
        </w:rPr>
        <w:t xml:space="preserve">Unificar la jurisprudencia de la Sección Segunda del Consejo de Estado, en el sentido de precisar las siguientes reglas en las relaciones laborales encubiertas o subyacentes: </w:t>
      </w:r>
    </w:p>
    <w:p w14:paraId="003FAC63"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CO"/>
        </w:rPr>
      </w:pPr>
      <w:r w:rsidRPr="00A76915">
        <w:rPr>
          <w:rFonts w:ascii="Verdana" w:hAnsi="Verdana" w:cs="Arial"/>
          <w:color w:val="000000" w:themeColor="text1"/>
          <w:sz w:val="14"/>
          <w:szCs w:val="14"/>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25C50272"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CO"/>
        </w:rPr>
      </w:pPr>
      <w:r w:rsidRPr="00A76915">
        <w:rPr>
          <w:rFonts w:ascii="Verdana" w:hAnsi="Verdana" w:cs="Arial"/>
          <w:color w:val="000000" w:themeColor="text1"/>
          <w:sz w:val="14"/>
          <w:szCs w:val="14"/>
          <w:lang w:val="es-CO"/>
        </w:rPr>
        <w:t>(</w:t>
      </w:r>
      <w:r w:rsidRPr="00A76915">
        <w:rPr>
          <w:rFonts w:ascii="Verdana" w:hAnsi="Verdana" w:cs="Arial"/>
          <w:color w:val="000000" w:themeColor="text1"/>
          <w:sz w:val="14"/>
          <w:szCs w:val="14"/>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11FB96E6" w14:textId="77777777" w:rsidR="00C640D3" w:rsidRPr="00A76915" w:rsidRDefault="00C640D3" w:rsidP="00A76915">
      <w:pPr>
        <w:pStyle w:val="Textonotapie"/>
        <w:snapToGrid w:val="0"/>
        <w:ind w:firstLine="709"/>
        <w:contextualSpacing/>
        <w:jc w:val="both"/>
        <w:rPr>
          <w:rFonts w:ascii="Verdana" w:hAnsi="Verdana" w:cs="Arial"/>
          <w:sz w:val="14"/>
          <w:szCs w:val="14"/>
          <w:lang w:val="pt-BR"/>
        </w:rPr>
      </w:pPr>
      <w:r w:rsidRPr="00A76915">
        <w:rPr>
          <w:rFonts w:ascii="Verdana" w:hAnsi="Verdana" w:cs="Arial"/>
          <w:color w:val="000000" w:themeColor="text1"/>
          <w:sz w:val="14"/>
          <w:szCs w:val="14"/>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A76915">
        <w:rPr>
          <w:rFonts w:ascii="Verdana" w:hAnsi="Verdana" w:cs="Arial"/>
          <w:sz w:val="14"/>
          <w:szCs w:val="14"/>
          <w:lang w:val="pt-BR"/>
        </w:rPr>
        <w:t>”.</w:t>
      </w:r>
    </w:p>
  </w:footnote>
  <w:footnote w:id="9">
    <w:p w14:paraId="7BD8C25A" w14:textId="77777777" w:rsidR="00C640D3" w:rsidRPr="00A76915" w:rsidRDefault="00C640D3" w:rsidP="00A76915">
      <w:pPr>
        <w:pStyle w:val="Textonotapie"/>
        <w:snapToGrid w:val="0"/>
        <w:ind w:firstLine="709"/>
        <w:contextualSpacing/>
        <w:jc w:val="both"/>
        <w:rPr>
          <w:rFonts w:ascii="Verdana" w:hAnsi="Verdana" w:cs="Arial"/>
          <w:sz w:val="14"/>
          <w:szCs w:val="14"/>
        </w:rPr>
      </w:pPr>
      <w:r w:rsidRPr="00A76915">
        <w:rPr>
          <w:rStyle w:val="Refdenotaalpie"/>
          <w:rFonts w:ascii="Verdana" w:hAnsi="Verdana" w:cs="Arial"/>
          <w:sz w:val="14"/>
          <w:szCs w:val="14"/>
        </w:rPr>
        <w:footnoteRef/>
      </w:r>
      <w:r w:rsidRPr="00A76915">
        <w:rPr>
          <w:rFonts w:ascii="Verdana" w:hAnsi="Verdana" w:cs="Arial"/>
          <w:sz w:val="14"/>
          <w:szCs w:val="14"/>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A76915">
        <w:rPr>
          <w:rFonts w:ascii="Verdana" w:hAnsi="Verdana" w:cs="Arial"/>
          <w:b/>
          <w:bCs/>
          <w:sz w:val="14"/>
          <w:szCs w:val="14"/>
        </w:rPr>
        <w:t>solo para efectos de la prescripción de derechos laborales</w:t>
      </w:r>
      <w:r w:rsidRPr="00A76915">
        <w:rPr>
          <w:rFonts w:ascii="Verdana" w:hAnsi="Verdana" w:cs="Arial"/>
          <w:sz w:val="14"/>
          <w:szCs w:val="14"/>
        </w:rPr>
        <w:t>” (Énfasis dentro del texto).</w:t>
      </w:r>
    </w:p>
    <w:p w14:paraId="45A4FDDE" w14:textId="77777777" w:rsidR="00C640D3" w:rsidRPr="00A76915" w:rsidRDefault="00C640D3" w:rsidP="00A76915">
      <w:pPr>
        <w:pStyle w:val="Textonotapie"/>
        <w:snapToGrid w:val="0"/>
        <w:ind w:firstLine="709"/>
        <w:contextualSpacing/>
        <w:jc w:val="both"/>
        <w:rPr>
          <w:rFonts w:ascii="Verdana" w:hAnsi="Verdana"/>
          <w:sz w:val="14"/>
          <w:szCs w:val="14"/>
        </w:rPr>
      </w:pPr>
    </w:p>
  </w:footnote>
  <w:footnote w:id="10">
    <w:p w14:paraId="65ABFB32"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sz w:val="14"/>
          <w:szCs w:val="14"/>
          <w:lang w:val="es-ES"/>
        </w:rPr>
        <w:t>Ibíd.</w:t>
      </w:r>
    </w:p>
    <w:p w14:paraId="11D0AD4B"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p>
  </w:footnote>
  <w:footnote w:id="11">
    <w:p w14:paraId="0D94E0F4" w14:textId="77777777" w:rsidR="00C640D3" w:rsidRPr="00A76915" w:rsidRDefault="00C640D3" w:rsidP="00A76915">
      <w:pPr>
        <w:pStyle w:val="Textonotapie"/>
        <w:snapToGrid w:val="0"/>
        <w:ind w:firstLine="709"/>
        <w:contextualSpacing/>
        <w:jc w:val="both"/>
        <w:rPr>
          <w:rFonts w:ascii="Verdana" w:hAnsi="Verdana" w:cs="Arial"/>
          <w:sz w:val="14"/>
          <w:szCs w:val="14"/>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color w:val="000000" w:themeColor="text1"/>
          <w:sz w:val="14"/>
          <w:szCs w:val="14"/>
          <w:lang w:val="es-ES"/>
        </w:rPr>
        <w:t xml:space="preserve">CONSEJO DE ESTADO. Sección Tercera. Subsección C. Sentencia de Unificación del 2 de diciembre de 2013. </w:t>
      </w:r>
      <w:r w:rsidRPr="00A76915">
        <w:rPr>
          <w:rFonts w:ascii="Verdana" w:hAnsi="Verdana" w:cs="Arial"/>
          <w:color w:val="000000" w:themeColor="text1"/>
          <w:sz w:val="14"/>
          <w:szCs w:val="14"/>
          <w:lang w:val="es-ES"/>
        </w:rPr>
        <w:t>Exp. 41.719. C.P. Jaime Orlando Santofimio Gamboa.</w:t>
      </w:r>
      <w:r w:rsidRPr="00A76915">
        <w:rPr>
          <w:rFonts w:ascii="Verdana" w:hAnsi="Verdana" w:cs="Arial"/>
          <w:sz w:val="14"/>
          <w:szCs w:val="14"/>
        </w:rPr>
        <w:t xml:space="preserve"> </w:t>
      </w:r>
    </w:p>
    <w:p w14:paraId="2386A7CA"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FDFBE3B"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Son también contratos de consultoría los que tienen por objeto la interventoría, asesoría, gerencia de obra o de proyectos, dirección, programación y la ejecución de diseños, planos, anteproyectos y proyectos.</w:t>
      </w:r>
    </w:p>
    <w:p w14:paraId="4591D312"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Ninguna orden del interventor de una obra podrá darse verbalmente. Es obligatorio para el interventor entregar por escrito sus órdenes o sugerencias y ellas deben enmarcarse dentro de los términos del respectivo contrato”.</w:t>
      </w:r>
    </w:p>
  </w:footnote>
  <w:footnote w:id="12">
    <w:p w14:paraId="065B3A46"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74D75602"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Fonts w:ascii="Verdana" w:hAnsi="Verdana" w:cs="Arial"/>
          <w:color w:val="000000"/>
          <w:sz w:val="14"/>
          <w:szCs w:val="14"/>
          <w:lang w:val="es-ES"/>
        </w:rPr>
        <w:t>1. La causal que invoca para contratar directamente.</w:t>
      </w:r>
    </w:p>
    <w:p w14:paraId="040B8EFB"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Fonts w:ascii="Verdana" w:hAnsi="Verdana" w:cs="Arial"/>
          <w:color w:val="000000"/>
          <w:sz w:val="14"/>
          <w:szCs w:val="14"/>
          <w:lang w:val="es-ES"/>
        </w:rPr>
        <w:t>2. El objeto del contrato.</w:t>
      </w:r>
    </w:p>
    <w:p w14:paraId="4A78D739"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Fonts w:ascii="Verdana" w:hAnsi="Verdana" w:cs="Arial"/>
          <w:color w:val="000000"/>
          <w:sz w:val="14"/>
          <w:szCs w:val="14"/>
          <w:lang w:val="es-ES"/>
        </w:rPr>
        <w:t>3. El presupuesto para la contratación y las condiciones que exigirá al contratista.</w:t>
      </w:r>
    </w:p>
    <w:p w14:paraId="18E58DB6"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Fonts w:ascii="Verdana" w:hAnsi="Verdana" w:cs="Arial"/>
          <w:color w:val="000000"/>
          <w:sz w:val="14"/>
          <w:szCs w:val="14"/>
          <w:lang w:val="es-ES"/>
        </w:rPr>
        <w:t>4. El lugar en el cual los interesados pueden consultar los estudios y documentos previos.</w:t>
      </w:r>
    </w:p>
    <w:p w14:paraId="397A3717" w14:textId="77777777" w:rsidR="00C640D3" w:rsidRPr="00A76915" w:rsidRDefault="00C640D3" w:rsidP="00A76915">
      <w:pPr>
        <w:pStyle w:val="Textonotapie"/>
        <w:snapToGrid w:val="0"/>
        <w:ind w:firstLine="709"/>
        <w:contextualSpacing/>
        <w:jc w:val="both"/>
        <w:rPr>
          <w:rFonts w:ascii="Verdana" w:hAnsi="Verdana" w:cs="Arial"/>
          <w:color w:val="000000"/>
          <w:sz w:val="14"/>
          <w:szCs w:val="14"/>
          <w:lang w:val="es-ES"/>
        </w:rPr>
      </w:pPr>
      <w:r w:rsidRPr="00A76915">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20A03B22" w14:textId="77777777" w:rsidR="00C640D3" w:rsidRPr="00A76915" w:rsidRDefault="00C640D3" w:rsidP="00A76915">
      <w:pPr>
        <w:pStyle w:val="Textonotapie"/>
        <w:snapToGrid w:val="0"/>
        <w:contextualSpacing/>
        <w:jc w:val="both"/>
        <w:rPr>
          <w:rFonts w:ascii="Verdana" w:hAnsi="Verdana" w:cs="Arial"/>
          <w:sz w:val="14"/>
          <w:szCs w:val="14"/>
        </w:rPr>
      </w:pPr>
    </w:p>
    <w:p w14:paraId="3E094FA8"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sz w:val="14"/>
          <w:szCs w:val="14"/>
          <w:lang w:val="es-ES"/>
        </w:rPr>
        <w:t xml:space="preserve">La norma expresa: “Art. 14. </w:t>
      </w:r>
      <w:r w:rsidRPr="00A76915">
        <w:rPr>
          <w:rFonts w:ascii="Verdana" w:hAnsi="Verdana" w:cs="Arial"/>
          <w:sz w:val="14"/>
          <w:szCs w:val="14"/>
        </w:rPr>
        <w:t>P</w:t>
      </w:r>
      <w:r w:rsidRPr="00A76915">
        <w:rPr>
          <w:rFonts w:ascii="Verdana" w:hAnsi="Verdana" w:cs="Arial"/>
          <w:sz w:val="14"/>
          <w:szCs w:val="14"/>
          <w:lang w:val="es-ES"/>
        </w:rPr>
        <w:t>ara el cumplimiento de los fines de la contratación, las entidades estatales al celebrar un contrato:</w:t>
      </w:r>
    </w:p>
    <w:p w14:paraId="0641C4BD"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w:t>
      </w:r>
    </w:p>
    <w:p w14:paraId="24253EEF"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43EC1A1C"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Las entidades estatales podrán pactar estas cláusulas en los contratos de suministro y de prestación de servicios.</w:t>
      </w:r>
    </w:p>
    <w:p w14:paraId="53B2825B"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Fonts w:ascii="Verdana" w:hAnsi="Verdana" w:cs="Arial"/>
          <w:sz w:val="14"/>
          <w:szCs w:val="14"/>
          <w:lang w:val="es-ES"/>
        </w:rPr>
        <w:t>[…]”.</w:t>
      </w:r>
    </w:p>
  </w:footnote>
  <w:footnote w:id="14">
    <w:p w14:paraId="023FC344" w14:textId="77777777" w:rsidR="00C640D3" w:rsidRPr="00A76915" w:rsidRDefault="00C640D3" w:rsidP="00A76915">
      <w:pPr>
        <w:pStyle w:val="Textonotapie"/>
        <w:snapToGrid w:val="0"/>
        <w:ind w:firstLine="708"/>
        <w:contextualSpacing/>
        <w:jc w:val="both"/>
        <w:rPr>
          <w:rFonts w:ascii="Verdana" w:hAnsi="Verdana" w:cs="Arial"/>
          <w:color w:val="000000"/>
          <w:sz w:val="14"/>
          <w:szCs w:val="14"/>
          <w:lang w:val="es-ES"/>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footnote>
  <w:footnote w:id="15">
    <w:p w14:paraId="6332B1E3" w14:textId="77777777" w:rsidR="00C640D3" w:rsidRPr="00A76915" w:rsidRDefault="00C640D3" w:rsidP="00A76915">
      <w:pPr>
        <w:pStyle w:val="Textonotapie"/>
        <w:snapToGrid w:val="0"/>
        <w:ind w:firstLine="709"/>
        <w:contextualSpacing/>
        <w:jc w:val="both"/>
        <w:rPr>
          <w:rFonts w:ascii="Verdana" w:hAnsi="Verdana" w:cs="Arial"/>
          <w:sz w:val="14"/>
          <w:szCs w:val="14"/>
        </w:rPr>
      </w:pPr>
      <w:r w:rsidRPr="00A76915">
        <w:rPr>
          <w:rStyle w:val="Refdenotaalpie"/>
          <w:rFonts w:ascii="Verdana" w:hAnsi="Verdana" w:cs="Arial"/>
          <w:sz w:val="14"/>
          <w:szCs w:val="14"/>
        </w:rPr>
        <w:footnoteRef/>
      </w:r>
      <w:r w:rsidRPr="00A76915">
        <w:rPr>
          <w:rFonts w:ascii="Verdana" w:hAnsi="Verdana" w:cs="Arial"/>
          <w:sz w:val="14"/>
          <w:szCs w:val="14"/>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011468D" w14:textId="30B8EB4C" w:rsidR="00C640D3" w:rsidRPr="00A76915" w:rsidRDefault="00C640D3" w:rsidP="00A76915">
      <w:pPr>
        <w:pStyle w:val="Textonotapie"/>
        <w:snapToGrid w:val="0"/>
        <w:ind w:firstLine="709"/>
        <w:contextualSpacing/>
        <w:jc w:val="both"/>
        <w:rPr>
          <w:rFonts w:ascii="Verdana" w:hAnsi="Verdana" w:cs="Arial"/>
          <w:sz w:val="14"/>
          <w:szCs w:val="14"/>
        </w:rPr>
      </w:pPr>
      <w:r w:rsidRPr="00A76915">
        <w:rPr>
          <w:rFonts w:ascii="Verdana" w:hAnsi="Verdana" w:cs="Arial"/>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00A76915">
        <w:rPr>
          <w:rFonts w:ascii="Verdana" w:hAnsi="Verdana" w:cs="Arial"/>
          <w:sz w:val="14"/>
          <w:szCs w:val="14"/>
        </w:rPr>
        <w:t xml:space="preserve"> </w:t>
      </w:r>
      <w:r w:rsidRPr="00A76915">
        <w:rPr>
          <w:rFonts w:ascii="Verdana" w:hAnsi="Verdana" w:cs="Arial"/>
          <w:sz w:val="14"/>
          <w:szCs w:val="14"/>
        </w:rPr>
        <w:t>[…]”.</w:t>
      </w:r>
    </w:p>
  </w:footnote>
  <w:footnote w:id="16">
    <w:p w14:paraId="41CC72A7" w14:textId="77777777" w:rsidR="00C640D3" w:rsidRPr="00A76915" w:rsidRDefault="00C640D3" w:rsidP="00A76915">
      <w:pPr>
        <w:pStyle w:val="Textonotapie"/>
        <w:snapToGrid w:val="0"/>
        <w:ind w:firstLine="709"/>
        <w:contextualSpacing/>
        <w:jc w:val="both"/>
        <w:rPr>
          <w:rFonts w:ascii="Verdana" w:hAnsi="Verdana" w:cs="Arial"/>
          <w:sz w:val="14"/>
          <w:szCs w:val="14"/>
          <w:lang w:val="es-ES"/>
        </w:rPr>
      </w:pPr>
      <w:r w:rsidRPr="00A76915">
        <w:rPr>
          <w:rStyle w:val="Refdenotaalpie"/>
          <w:rFonts w:ascii="Verdana" w:hAnsi="Verdana" w:cs="Arial"/>
          <w:sz w:val="14"/>
          <w:szCs w:val="14"/>
        </w:rPr>
        <w:footnoteRef/>
      </w:r>
      <w:r w:rsidRPr="00A76915">
        <w:rPr>
          <w:rFonts w:ascii="Verdana" w:hAnsi="Verdana" w:cs="Arial"/>
          <w:sz w:val="14"/>
          <w:szCs w:val="14"/>
        </w:rPr>
        <w:t xml:space="preserve"> </w:t>
      </w:r>
      <w:r w:rsidRPr="00A76915">
        <w:rPr>
          <w:rFonts w:ascii="Verdana" w:hAnsi="Verdana" w:cs="Arial"/>
          <w:sz w:val="14"/>
          <w:szCs w:val="14"/>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footnote>
  <w:footnote w:id="17">
    <w:p w14:paraId="5B574BEE"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Style w:val="Refdenotaalpie"/>
          <w:rFonts w:ascii="Verdana" w:hAnsi="Verdana" w:cs="Arial"/>
          <w:color w:val="000000" w:themeColor="text1"/>
          <w:sz w:val="14"/>
          <w:szCs w:val="14"/>
        </w:rPr>
        <w:footnoteRef/>
      </w:r>
      <w:r w:rsidRPr="00A76915">
        <w:rPr>
          <w:rFonts w:ascii="Verdana" w:hAnsi="Verdana" w:cs="Arial"/>
          <w:color w:val="000000" w:themeColor="text1"/>
          <w:sz w:val="14"/>
          <w:szCs w:val="14"/>
        </w:rPr>
        <w:t xml:space="preserve"> </w:t>
      </w:r>
      <w:r w:rsidRPr="00A76915">
        <w:rPr>
          <w:rFonts w:ascii="Verdana" w:hAnsi="Verdana" w:cs="Arial"/>
          <w:color w:val="000000" w:themeColor="text1"/>
          <w:sz w:val="14"/>
          <w:szCs w:val="14"/>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F08CC71"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F97E2DE"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Fonts w:ascii="Verdana" w:hAnsi="Verdana" w:cs="Arial"/>
          <w:color w:val="000000" w:themeColor="text1"/>
          <w:sz w:val="14"/>
          <w:szCs w:val="14"/>
          <w:lang w:val="es-ES"/>
        </w:rPr>
        <w:t>La Entidad Estatal, para la contratación de trabajos artísticos que solamente puedan en</w:t>
      </w:r>
      <w:r w:rsidRPr="00A76915">
        <w:rPr>
          <w:rFonts w:ascii="Verdana" w:hAnsi="Verdana" w:cs="Arial"/>
          <w:color w:val="000000" w:themeColor="text1"/>
          <w:sz w:val="14"/>
          <w:szCs w:val="14"/>
          <w:lang w:val="es-ES"/>
        </w:rPr>
        <w:softHyphen/>
        <w:t>comendarse a determinadas personas naturales, debe justificar esta situación en los estudios y documentos previos”.</w:t>
      </w:r>
    </w:p>
  </w:footnote>
  <w:footnote w:id="18">
    <w:p w14:paraId="10C26CD8" w14:textId="58799E45"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Style w:val="Refdenotaalpie"/>
          <w:rFonts w:ascii="Verdana" w:hAnsi="Verdana" w:cs="Arial"/>
          <w:color w:val="000000" w:themeColor="text1"/>
          <w:sz w:val="14"/>
          <w:szCs w:val="14"/>
        </w:rPr>
        <w:footnoteRef/>
      </w:r>
      <w:r w:rsidRPr="00A76915">
        <w:rPr>
          <w:rFonts w:ascii="Verdana" w:hAnsi="Verdana" w:cs="Arial"/>
          <w:color w:val="000000" w:themeColor="text1"/>
          <w:sz w:val="14"/>
          <w:szCs w:val="14"/>
        </w:rPr>
        <w:t xml:space="preserve"> </w:t>
      </w:r>
      <w:r w:rsidRPr="00A76915">
        <w:rPr>
          <w:rFonts w:ascii="Verdana" w:hAnsi="Verdana" w:cs="Arial"/>
          <w:color w:val="000000" w:themeColor="text1"/>
          <w:sz w:val="14"/>
          <w:szCs w:val="14"/>
          <w:lang w:val="es-ES"/>
        </w:rPr>
        <w:t xml:space="preserve">CONSEJO DE ESTADO. Sección Tercera. Subsección C. Sentencia de Unificación del 2 de diciembre de 2013. </w:t>
      </w:r>
      <w:r w:rsidRPr="00A76915">
        <w:rPr>
          <w:rFonts w:ascii="Verdana" w:hAnsi="Verdana" w:cs="Arial"/>
          <w:color w:val="000000" w:themeColor="text1"/>
          <w:sz w:val="14"/>
          <w:szCs w:val="14"/>
          <w:lang w:val="es-ES"/>
        </w:rPr>
        <w:t>Exp. 41.719. C.P. Jaime Orlando Santofimio Gamboa.</w:t>
      </w:r>
    </w:p>
  </w:footnote>
  <w:footnote w:id="19">
    <w:p w14:paraId="0DD65E95"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Style w:val="Refdenotaalpie"/>
          <w:rFonts w:ascii="Verdana" w:hAnsi="Verdana" w:cs="Arial"/>
          <w:color w:val="000000" w:themeColor="text1"/>
          <w:sz w:val="14"/>
          <w:szCs w:val="14"/>
        </w:rPr>
        <w:footnoteRef/>
      </w:r>
      <w:r w:rsidRPr="00A76915">
        <w:rPr>
          <w:rFonts w:ascii="Verdana" w:hAnsi="Verdana" w:cs="Arial"/>
          <w:color w:val="000000" w:themeColor="text1"/>
          <w:sz w:val="14"/>
          <w:szCs w:val="14"/>
        </w:rPr>
        <w:t xml:space="preserve"> </w:t>
      </w:r>
      <w:r w:rsidRPr="00A76915">
        <w:rPr>
          <w:rFonts w:ascii="Verdana" w:hAnsi="Verdana" w:cs="Arial"/>
          <w:i/>
          <w:iCs/>
          <w:color w:val="000000" w:themeColor="text1"/>
          <w:sz w:val="14"/>
          <w:szCs w:val="14"/>
          <w:lang w:val="es-ES"/>
        </w:rPr>
        <w:t>Ibíd</w:t>
      </w:r>
      <w:r w:rsidRPr="00A76915">
        <w:rPr>
          <w:rFonts w:ascii="Verdana" w:hAnsi="Verdana" w:cs="Arial"/>
          <w:color w:val="000000" w:themeColor="text1"/>
          <w:sz w:val="14"/>
          <w:szCs w:val="14"/>
          <w:lang w:val="es-ES"/>
        </w:rPr>
        <w:t>.</w:t>
      </w:r>
    </w:p>
  </w:footnote>
  <w:footnote w:id="20">
    <w:p w14:paraId="73F731DF" w14:textId="77777777" w:rsidR="00C640D3" w:rsidRPr="00A76915" w:rsidRDefault="00C640D3" w:rsidP="00A76915">
      <w:pPr>
        <w:pStyle w:val="Textonotapie"/>
        <w:snapToGrid w:val="0"/>
        <w:ind w:firstLine="709"/>
        <w:contextualSpacing/>
        <w:jc w:val="both"/>
        <w:rPr>
          <w:rFonts w:ascii="Verdana" w:hAnsi="Verdana" w:cs="Arial"/>
          <w:color w:val="000000" w:themeColor="text1"/>
          <w:sz w:val="14"/>
          <w:szCs w:val="14"/>
          <w:lang w:val="es-ES"/>
        </w:rPr>
      </w:pPr>
      <w:r w:rsidRPr="00A76915">
        <w:rPr>
          <w:rStyle w:val="Refdenotaalpie"/>
          <w:rFonts w:ascii="Verdana" w:hAnsi="Verdana" w:cs="Arial"/>
          <w:color w:val="000000" w:themeColor="text1"/>
          <w:sz w:val="14"/>
          <w:szCs w:val="14"/>
        </w:rPr>
        <w:footnoteRef/>
      </w:r>
      <w:r w:rsidRPr="00A76915">
        <w:rPr>
          <w:rFonts w:ascii="Verdana" w:hAnsi="Verdana" w:cs="Arial"/>
          <w:color w:val="000000" w:themeColor="text1"/>
          <w:sz w:val="14"/>
          <w:szCs w:val="14"/>
        </w:rPr>
        <w:t xml:space="preserve"> </w:t>
      </w:r>
      <w:r w:rsidRPr="00A76915">
        <w:rPr>
          <w:rFonts w:ascii="Verdana" w:hAnsi="Verdana" w:cs="Arial"/>
          <w:i/>
          <w:iCs/>
          <w:color w:val="000000" w:themeColor="text1"/>
          <w:sz w:val="14"/>
          <w:szCs w:val="14"/>
          <w:lang w:val="es-ES"/>
        </w:rPr>
        <w:t>Ibíd</w:t>
      </w:r>
      <w:r w:rsidRPr="00A76915">
        <w:rPr>
          <w:rFonts w:ascii="Verdana" w:hAnsi="Verdana" w:cs="Arial"/>
          <w:color w:val="000000" w:themeColor="text1"/>
          <w:sz w:val="14"/>
          <w:szCs w:val="14"/>
          <w:lang w:val="es-ES"/>
        </w:rPr>
        <w:t>.</w:t>
      </w:r>
    </w:p>
  </w:footnote>
  <w:footnote w:id="21">
    <w:p w14:paraId="6D413D9B" w14:textId="77777777" w:rsidR="00C640D3" w:rsidRPr="00A76915" w:rsidRDefault="00C640D3" w:rsidP="00A76915">
      <w:pPr>
        <w:autoSpaceDE w:val="0"/>
        <w:autoSpaceDN w:val="0"/>
        <w:adjustRightInd w:val="0"/>
        <w:snapToGrid w:val="0"/>
        <w:spacing w:after="0" w:line="240" w:lineRule="auto"/>
        <w:ind w:firstLine="708"/>
        <w:contextualSpacing/>
        <w:jc w:val="both"/>
        <w:rPr>
          <w:rFonts w:ascii="Verdana" w:hAnsi="Verdana" w:cs="Arial"/>
          <w:sz w:val="14"/>
          <w:szCs w:val="14"/>
        </w:rPr>
      </w:pPr>
      <w:r w:rsidRPr="00A76915">
        <w:rPr>
          <w:rStyle w:val="Refdenotaalpie"/>
          <w:rFonts w:ascii="Verdana" w:hAnsi="Verdana" w:cs="Arial"/>
          <w:sz w:val="14"/>
          <w:szCs w:val="14"/>
        </w:rPr>
        <w:footnoteRef/>
      </w:r>
      <w:r w:rsidRPr="00A76915">
        <w:rPr>
          <w:rFonts w:ascii="Verdana" w:hAnsi="Verdana" w:cs="Arial"/>
          <w:sz w:val="14"/>
          <w:szCs w:val="14"/>
        </w:rPr>
        <w:t xml:space="preserve"> Consejo De Estado. Sección Segunda. Sentencia de Unificación Jurisprudencial SUJ-025-CE-S2-2021. Radicado (1317-2016). En el mismo sentido, la Corte Constitucional expresa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 (Cfr. Corte Constitucional. Sentencia C-154 de 1997. Magistrado Ponente: Hernando Herrera Vergara).</w:t>
      </w:r>
    </w:p>
  </w:footnote>
  <w:footnote w:id="22">
    <w:p w14:paraId="7AE55E6A"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o habrá empleo público que no tenga funciones detalladas en ley o reglamento y para proveer los de carácter remunerado se requiere que estén contemplados en la respectiva planta y previstos sus emolumentos en el presupuesto correspondiente. </w:t>
      </w:r>
    </w:p>
  </w:footnote>
  <w:footnote w:id="23">
    <w:p w14:paraId="4C63F321"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“Art. 125 Los empleos en los órganos y entidades del Estado son de carrera. Se exceptúan los de elección popular, los de libre nombramiento y remoción, los de trabajadores oficiales y los demás que determine la ley (...)”. </w:t>
      </w:r>
    </w:p>
  </w:footnote>
  <w:footnote w:id="24">
    <w:p w14:paraId="3173251C" w14:textId="77777777"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Corte Constitucional. </w:t>
      </w:r>
      <w:r w:rsidRPr="00A76915">
        <w:rPr>
          <w:rFonts w:ascii="Verdana" w:hAnsi="Verdana"/>
          <w:sz w:val="14"/>
          <w:szCs w:val="14"/>
          <w:lang w:val="es-CO"/>
        </w:rPr>
        <w:t xml:space="preserve">Sentencia C-624 de septiembre de 2009. </w:t>
      </w:r>
      <w:r w:rsidRPr="00A76915">
        <w:rPr>
          <w:rFonts w:ascii="Verdana" w:hAnsi="Verdana"/>
          <w:sz w:val="14"/>
          <w:szCs w:val="14"/>
          <w:lang/>
        </w:rPr>
        <w:t>Magistrado Ponente: Dr. Jorge Ignacio Pretelt Chaljub.</w:t>
      </w:r>
    </w:p>
  </w:footnote>
  <w:footnote w:id="25">
    <w:p w14:paraId="695DC6A6" w14:textId="2F8AADA4" w:rsidR="00C640D3" w:rsidRPr="00A76915" w:rsidRDefault="00C640D3" w:rsidP="00A76915">
      <w:pPr>
        <w:pStyle w:val="Textonotapie"/>
        <w:snapToGrid w:val="0"/>
        <w:ind w:firstLine="708"/>
        <w:contextualSpacing/>
        <w:jc w:val="both"/>
        <w:rPr>
          <w:rFonts w:ascii="Verdana" w:hAnsi="Verdana"/>
          <w:sz w:val="14"/>
          <w:szCs w:val="14"/>
          <w:lang/>
        </w:rPr>
      </w:pPr>
      <w:r w:rsidRPr="00A76915">
        <w:rPr>
          <w:rStyle w:val="Refdenotaalpie"/>
          <w:rFonts w:ascii="Verdana" w:hAnsi="Verdana"/>
          <w:sz w:val="14"/>
          <w:szCs w:val="14"/>
        </w:rPr>
        <w:footnoteRef/>
      </w:r>
      <w:r w:rsidRPr="00A76915">
        <w:rPr>
          <w:rFonts w:ascii="Verdana" w:hAnsi="Verdana"/>
          <w:sz w:val="14"/>
          <w:szCs w:val="14"/>
        </w:rPr>
        <w:t xml:space="preserve"> </w:t>
      </w:r>
      <w:r w:rsidRPr="00A76915">
        <w:rPr>
          <w:rFonts w:ascii="Verdana" w:hAnsi="Verdana"/>
          <w:sz w:val="14"/>
          <w:szCs w:val="14"/>
          <w:lang/>
        </w:rPr>
        <w:t xml:space="preserve">Consejo de Estado. Sala de lo Contencioso Administrativo. Seccion Segunda. Sentencia del cuatro (4) de febrero de dos mil dieciséis (2016). Radicación número: 81001-23-33-000-2012-00020-01(0316-14). Consejero Ponente: Gerardo Arenas Monsalve.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F03"/>
    <w:rsid w:val="00046945"/>
    <w:rsid w:val="00061B2A"/>
    <w:rsid w:val="00082362"/>
    <w:rsid w:val="000A683E"/>
    <w:rsid w:val="000B19B9"/>
    <w:rsid w:val="000C1D3F"/>
    <w:rsid w:val="000C4D8B"/>
    <w:rsid w:val="000D0334"/>
    <w:rsid w:val="000D5DA7"/>
    <w:rsid w:val="000E3E22"/>
    <w:rsid w:val="000F6486"/>
    <w:rsid w:val="001055D0"/>
    <w:rsid w:val="00116940"/>
    <w:rsid w:val="00125105"/>
    <w:rsid w:val="00127233"/>
    <w:rsid w:val="0015699B"/>
    <w:rsid w:val="001A33BF"/>
    <w:rsid w:val="001D4124"/>
    <w:rsid w:val="001E4177"/>
    <w:rsid w:val="001F0B24"/>
    <w:rsid w:val="001F7DC6"/>
    <w:rsid w:val="00204680"/>
    <w:rsid w:val="0022400B"/>
    <w:rsid w:val="002421BB"/>
    <w:rsid w:val="0025796E"/>
    <w:rsid w:val="002707A2"/>
    <w:rsid w:val="002951A0"/>
    <w:rsid w:val="002962BC"/>
    <w:rsid w:val="002A093D"/>
    <w:rsid w:val="002A0DD0"/>
    <w:rsid w:val="002A1585"/>
    <w:rsid w:val="002A1E35"/>
    <w:rsid w:val="002A49AC"/>
    <w:rsid w:val="002A64FD"/>
    <w:rsid w:val="002C7A84"/>
    <w:rsid w:val="002E2BF8"/>
    <w:rsid w:val="002E4FD9"/>
    <w:rsid w:val="0030657A"/>
    <w:rsid w:val="00322A85"/>
    <w:rsid w:val="00324168"/>
    <w:rsid w:val="00330834"/>
    <w:rsid w:val="003448F4"/>
    <w:rsid w:val="00374F5E"/>
    <w:rsid w:val="00377E3E"/>
    <w:rsid w:val="003A779E"/>
    <w:rsid w:val="003B2836"/>
    <w:rsid w:val="003C42E2"/>
    <w:rsid w:val="003D0F4D"/>
    <w:rsid w:val="003D5B0D"/>
    <w:rsid w:val="003E0499"/>
    <w:rsid w:val="003E4F80"/>
    <w:rsid w:val="003E6439"/>
    <w:rsid w:val="003F3941"/>
    <w:rsid w:val="00406575"/>
    <w:rsid w:val="00414C74"/>
    <w:rsid w:val="0042722E"/>
    <w:rsid w:val="0044528D"/>
    <w:rsid w:val="00451A6D"/>
    <w:rsid w:val="00466E39"/>
    <w:rsid w:val="004A1847"/>
    <w:rsid w:val="004A20B7"/>
    <w:rsid w:val="004A305D"/>
    <w:rsid w:val="004F21C4"/>
    <w:rsid w:val="004F685F"/>
    <w:rsid w:val="005106AD"/>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91F40"/>
    <w:rsid w:val="00793869"/>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18C3"/>
    <w:rsid w:val="009C71FA"/>
    <w:rsid w:val="009C72E7"/>
    <w:rsid w:val="009C7F7E"/>
    <w:rsid w:val="009D3058"/>
    <w:rsid w:val="009F3A13"/>
    <w:rsid w:val="00A122D3"/>
    <w:rsid w:val="00A14468"/>
    <w:rsid w:val="00A17F13"/>
    <w:rsid w:val="00A20739"/>
    <w:rsid w:val="00A23AF9"/>
    <w:rsid w:val="00A23FB9"/>
    <w:rsid w:val="00A33C78"/>
    <w:rsid w:val="00A759F5"/>
    <w:rsid w:val="00A76915"/>
    <w:rsid w:val="00AB0ADB"/>
    <w:rsid w:val="00AF4975"/>
    <w:rsid w:val="00B00C0E"/>
    <w:rsid w:val="00B01B1A"/>
    <w:rsid w:val="00B0381D"/>
    <w:rsid w:val="00B122B9"/>
    <w:rsid w:val="00B44A47"/>
    <w:rsid w:val="00B72CD3"/>
    <w:rsid w:val="00B72FFF"/>
    <w:rsid w:val="00B7589D"/>
    <w:rsid w:val="00BC3D36"/>
    <w:rsid w:val="00BD150F"/>
    <w:rsid w:val="00BD54A6"/>
    <w:rsid w:val="00BD7F72"/>
    <w:rsid w:val="00BF7425"/>
    <w:rsid w:val="00C04FB3"/>
    <w:rsid w:val="00C11D8B"/>
    <w:rsid w:val="00C15139"/>
    <w:rsid w:val="00C330EB"/>
    <w:rsid w:val="00C4092C"/>
    <w:rsid w:val="00C50D69"/>
    <w:rsid w:val="00C5365C"/>
    <w:rsid w:val="00C640D3"/>
    <w:rsid w:val="00C754BE"/>
    <w:rsid w:val="00C76B1C"/>
    <w:rsid w:val="00C925AC"/>
    <w:rsid w:val="00CB6357"/>
    <w:rsid w:val="00CC1B26"/>
    <w:rsid w:val="00CF3287"/>
    <w:rsid w:val="00D361FD"/>
    <w:rsid w:val="00D423A2"/>
    <w:rsid w:val="00D44E26"/>
    <w:rsid w:val="00D520D8"/>
    <w:rsid w:val="00D63AC2"/>
    <w:rsid w:val="00D7383B"/>
    <w:rsid w:val="00D7788A"/>
    <w:rsid w:val="00DA231B"/>
    <w:rsid w:val="00DC39FC"/>
    <w:rsid w:val="00DF518E"/>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29B0"/>
    <w:rsid w:val="00EE1AA8"/>
    <w:rsid w:val="00F23FEA"/>
    <w:rsid w:val="00F31EDC"/>
    <w:rsid w:val="00F462B3"/>
    <w:rsid w:val="00F5664F"/>
    <w:rsid w:val="00F666C4"/>
    <w:rsid w:val="00F76AFC"/>
    <w:rsid w:val="00FA47C0"/>
    <w:rsid w:val="00FB5DD1"/>
    <w:rsid w:val="00FC2B5D"/>
    <w:rsid w:val="00FD5806"/>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640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640D3"/>
    <w:rPr>
      <w:rFonts w:ascii="Geomanist Light" w:hAnsi="Geomanist Light"/>
      <w:lang w:val="es-ES"/>
    </w:rPr>
  </w:style>
  <w:style w:type="paragraph" w:styleId="Textoindependiente">
    <w:name w:val="Body Text"/>
    <w:basedOn w:val="Normal"/>
    <w:link w:val="TextoindependienteCar"/>
    <w:uiPriority w:val="1"/>
    <w:qFormat/>
    <w:rsid w:val="00C640D3"/>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640D3"/>
    <w:rPr>
      <w:rFonts w:ascii="Arial" w:eastAsia="Arial" w:hAnsi="Arial" w:cs="Arial"/>
      <w:lang w:val="es-ES"/>
    </w:rPr>
  </w:style>
  <w:style w:type="character" w:customStyle="1" w:styleId="s15">
    <w:name w:val="s15"/>
    <w:basedOn w:val="Fuentedeprrafopredeter"/>
    <w:rsid w:val="00C64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E1B8F43-A226-43E7-95AD-8A9BCEECA0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TotalTime>
  <Pages>22</Pages>
  <Words>6547</Words>
  <Characters>35687</Characters>
  <Application>Microsoft Office Word</Application>
  <DocSecurity>0</DocSecurity>
  <Lines>686</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2026-02-23T18:49:00Z</dcterms:created>
  <dcterms:modified xsi:type="dcterms:W3CDTF">2026-02-24T15:38:00Z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