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E8FB5" w14:textId="77777777" w:rsidR="003510AC" w:rsidRDefault="003510AC" w:rsidP="003510AC">
      <w:pPr>
        <w:spacing w:after="0" w:line="240" w:lineRule="auto"/>
        <w:jc w:val="both"/>
        <w:rPr>
          <w:rFonts w:ascii="Verdana" w:hAnsi="Verdana" w:cs="Arial"/>
          <w:b/>
          <w:bCs/>
          <w:color w:val="000000" w:themeColor="text1"/>
        </w:rPr>
      </w:pPr>
      <w:bookmarkStart w:id="0" w:name="_Hlk143780582"/>
      <w:bookmarkStart w:id="1" w:name="_Hlk214366482"/>
      <w:r w:rsidRPr="00D721C1">
        <w:rPr>
          <w:rFonts w:ascii="Verdana" w:hAnsi="Verdana" w:cs="Arial"/>
          <w:b/>
          <w:bCs/>
          <w:color w:val="000000" w:themeColor="text1"/>
        </w:rPr>
        <w:t xml:space="preserve">REQUISITOS DE PERFECCIONAMIENTO DEL CONTRATO – Alcance </w:t>
      </w:r>
    </w:p>
    <w:p w14:paraId="030BE554" w14:textId="77777777" w:rsidR="003510AC" w:rsidRDefault="003510AC" w:rsidP="003510AC">
      <w:pPr>
        <w:spacing w:after="0" w:line="240" w:lineRule="auto"/>
        <w:jc w:val="both"/>
        <w:rPr>
          <w:rFonts w:ascii="Verdana" w:hAnsi="Verdana" w:cs="Arial"/>
          <w:b/>
          <w:bCs/>
          <w:color w:val="000000" w:themeColor="text1"/>
        </w:rPr>
      </w:pPr>
    </w:p>
    <w:p w14:paraId="7A69816F" w14:textId="77777777" w:rsidR="003510AC" w:rsidRPr="00D32259"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Los </w:t>
      </w:r>
      <w:r w:rsidRPr="00D721C1">
        <w:rPr>
          <w:rFonts w:ascii="Verdana" w:eastAsia="Calibri" w:hAnsi="Verdana" w:cs="Arial"/>
          <w:i/>
          <w:iCs/>
          <w:color w:val="000000"/>
          <w:sz w:val="20"/>
          <w:szCs w:val="20"/>
          <w:lang w:val="es-ES" w:eastAsia="en-GB"/>
        </w:rPr>
        <w:t>requisitos de perfeccionamiento</w:t>
      </w:r>
      <w:r w:rsidRPr="00D721C1">
        <w:rPr>
          <w:rFonts w:ascii="Verdana" w:eastAsia="Calibri" w:hAnsi="Verdana" w:cs="Arial"/>
          <w:color w:val="000000"/>
          <w:sz w:val="20"/>
          <w:szCs w:val="20"/>
          <w:lang w:val="es-ES" w:eastAsia="en-GB"/>
        </w:rPr>
        <w:t xml:space="preserve"> del contrato estatal son mandatos normativos que determinan cuándo se entiende celebrado. Es decir, se trata de prescripciones que establecen en qué momento existe el contrato. </w:t>
      </w:r>
    </w:p>
    <w:p w14:paraId="3C9768D3" w14:textId="77777777" w:rsidR="003510AC" w:rsidRDefault="003510AC" w:rsidP="003510AC">
      <w:pPr>
        <w:spacing w:after="0" w:line="240" w:lineRule="auto"/>
        <w:jc w:val="both"/>
        <w:rPr>
          <w:rFonts w:ascii="Verdana" w:hAnsi="Verdana" w:cs="Arial"/>
          <w:b/>
          <w:bCs/>
          <w:color w:val="000000" w:themeColor="text1"/>
        </w:rPr>
      </w:pPr>
    </w:p>
    <w:p w14:paraId="179D4DFB"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ELEMENTOS DEL CONTRATO – Esencia - Naturaleza – Accidentales </w:t>
      </w:r>
    </w:p>
    <w:p w14:paraId="08C55C2C" w14:textId="77777777" w:rsidR="003510AC" w:rsidRDefault="003510AC" w:rsidP="003510AC">
      <w:pPr>
        <w:spacing w:after="0" w:line="240" w:lineRule="auto"/>
        <w:jc w:val="both"/>
        <w:rPr>
          <w:rFonts w:ascii="Verdana" w:hAnsi="Verdana" w:cs="Arial"/>
          <w:b/>
          <w:bCs/>
          <w:color w:val="000000" w:themeColor="text1"/>
        </w:rPr>
      </w:pPr>
    </w:p>
    <w:p w14:paraId="166DAA20" w14:textId="77777777" w:rsidR="003510AC" w:rsidRPr="00D32259"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 Los requisitos de perfeccionamiento del contrato estatal ingresan dentro de los elementos de la esencia.</w:t>
      </w:r>
    </w:p>
    <w:p w14:paraId="08245290" w14:textId="77777777" w:rsidR="003510AC" w:rsidRDefault="003510AC" w:rsidP="003510AC">
      <w:pPr>
        <w:spacing w:after="0" w:line="240" w:lineRule="auto"/>
        <w:jc w:val="both"/>
        <w:rPr>
          <w:rFonts w:ascii="Verdana" w:hAnsi="Verdana" w:cs="Arial"/>
          <w:b/>
          <w:bCs/>
          <w:color w:val="000000" w:themeColor="text1"/>
        </w:rPr>
      </w:pPr>
    </w:p>
    <w:p w14:paraId="748015FB"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NATURALEZA DEL CONTRATO- Consensual – Real – Solemne </w:t>
      </w:r>
    </w:p>
    <w:p w14:paraId="70D83CCF" w14:textId="77777777" w:rsidR="003510AC" w:rsidRDefault="003510AC" w:rsidP="003510AC">
      <w:pPr>
        <w:spacing w:after="0" w:line="240" w:lineRule="auto"/>
        <w:jc w:val="both"/>
        <w:rPr>
          <w:rFonts w:ascii="Verdana" w:hAnsi="Verdana" w:cs="Arial"/>
          <w:b/>
          <w:bCs/>
          <w:color w:val="000000" w:themeColor="text1"/>
        </w:rPr>
      </w:pPr>
    </w:p>
    <w:p w14:paraId="32A1D081" w14:textId="77777777" w:rsidR="003510AC" w:rsidRDefault="003510AC" w:rsidP="003510AC">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sz w:val="20"/>
          <w:szCs w:val="20"/>
          <w:lang w:val="es-ES" w:eastAsia="en-GB"/>
        </w:rPr>
        <w:t xml:space="preserve">[…] los contratos –en términos generales– pueden ser: consensuales, reales o solemnes. Son </w:t>
      </w:r>
      <w:r w:rsidRPr="00D721C1">
        <w:rPr>
          <w:rFonts w:ascii="Verdana" w:eastAsia="Calibri" w:hAnsi="Verdana" w:cs="Arial"/>
          <w:i/>
          <w:iCs/>
          <w:color w:val="000000"/>
          <w:sz w:val="20"/>
          <w:szCs w:val="20"/>
          <w:lang w:val="es-ES" w:eastAsia="en-GB"/>
        </w:rPr>
        <w:t>consensuales</w:t>
      </w:r>
      <w:r w:rsidRPr="00D721C1">
        <w:rPr>
          <w:rFonts w:ascii="Verdana" w:eastAsia="Calibri" w:hAnsi="Verdana" w:cs="Arial"/>
          <w:color w:val="000000"/>
          <w:sz w:val="20"/>
          <w:szCs w:val="20"/>
          <w:lang w:val="es-ES" w:eastAsia="en-GB"/>
        </w:rPr>
        <w:t xml:space="preserve"> los que se perfeccionan con el consentimiento informal, pues no requieren de formalidades especiales. Son </w:t>
      </w:r>
      <w:r w:rsidRPr="00D721C1">
        <w:rPr>
          <w:rFonts w:ascii="Verdana" w:eastAsia="Calibri" w:hAnsi="Verdana" w:cs="Arial"/>
          <w:i/>
          <w:iCs/>
          <w:color w:val="000000"/>
          <w:sz w:val="20"/>
          <w:szCs w:val="20"/>
          <w:lang w:val="es-ES" w:eastAsia="en-GB"/>
        </w:rPr>
        <w:t>reales</w:t>
      </w:r>
      <w:r w:rsidRPr="00D721C1">
        <w:rPr>
          <w:rFonts w:ascii="Verdana" w:eastAsia="Calibri" w:hAnsi="Verdana" w:cs="Arial"/>
          <w:color w:val="000000"/>
          <w:sz w:val="20"/>
          <w:szCs w:val="20"/>
          <w:lang w:val="es-ES" w:eastAsia="en-GB"/>
        </w:rPr>
        <w:t xml:space="preserve"> aquellos que existen solo con la tradición o entrega de una cosa. Por su parte, son </w:t>
      </w:r>
      <w:r w:rsidRPr="00D721C1">
        <w:rPr>
          <w:rFonts w:ascii="Verdana" w:eastAsia="Calibri" w:hAnsi="Verdana" w:cs="Arial"/>
          <w:i/>
          <w:iCs/>
          <w:color w:val="000000"/>
          <w:sz w:val="20"/>
          <w:szCs w:val="20"/>
          <w:lang w:val="es-ES" w:eastAsia="en-GB"/>
        </w:rPr>
        <w:t>solemnes</w:t>
      </w:r>
      <w:r w:rsidRPr="00D721C1">
        <w:rPr>
          <w:rFonts w:ascii="Verdana" w:eastAsia="Calibri" w:hAnsi="Verdana" w:cs="Arial"/>
          <w:color w:val="000000"/>
          <w:sz w:val="20"/>
          <w:szCs w:val="20"/>
          <w:lang w:val="es-ES" w:eastAsia="en-GB"/>
        </w:rPr>
        <w:t>, en cambio, aquellos contratos cuyo perfeccionamiento está revestido del cumplimiento de exigencias formales o ritualidades específicas. Pues bien, los contratos estatales regulados por el ECGAP, por regla general, son solemnes, ya que solo se entienden celebrados si se cumplen ciertas formalidades.</w:t>
      </w:r>
    </w:p>
    <w:p w14:paraId="04C8AFB8" w14:textId="77777777" w:rsidR="003510AC" w:rsidRDefault="003510AC" w:rsidP="003510AC">
      <w:pPr>
        <w:spacing w:after="0" w:line="240" w:lineRule="auto"/>
        <w:jc w:val="both"/>
        <w:rPr>
          <w:rFonts w:ascii="Verdana" w:eastAsia="Calibri" w:hAnsi="Verdana" w:cs="Arial"/>
          <w:color w:val="000000"/>
          <w:sz w:val="20"/>
          <w:szCs w:val="20"/>
          <w:lang w:val="es-ES" w:eastAsia="en-GB"/>
        </w:rPr>
      </w:pPr>
    </w:p>
    <w:p w14:paraId="2209EAEE"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CONTRATO ESTATAL – Requisitos de perfeccionamiento y de ejecución – Ley 80 de 1993 artículo 41</w:t>
      </w:r>
    </w:p>
    <w:p w14:paraId="71867211" w14:textId="77777777" w:rsidR="003510AC" w:rsidRDefault="003510AC" w:rsidP="003510AC">
      <w:pPr>
        <w:spacing w:after="0" w:line="240" w:lineRule="auto"/>
        <w:jc w:val="both"/>
        <w:rPr>
          <w:rFonts w:ascii="Verdana" w:hAnsi="Verdana" w:cs="Arial"/>
          <w:b/>
          <w:bCs/>
          <w:color w:val="000000" w:themeColor="text1"/>
        </w:rPr>
      </w:pPr>
    </w:p>
    <w:p w14:paraId="4DD2EC90"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 principalmente, </w:t>
      </w:r>
      <w:r w:rsidRPr="00D721C1">
        <w:rPr>
          <w:rFonts w:ascii="Verdana" w:eastAsia="Calibri" w:hAnsi="Verdana" w:cs="Arial"/>
          <w:i/>
          <w:iCs/>
          <w:color w:val="000000"/>
          <w:sz w:val="20"/>
          <w:szCs w:val="20"/>
          <w:lang w:val="es-ES" w:eastAsia="en-GB"/>
        </w:rPr>
        <w:t>solemne,</w:t>
      </w:r>
      <w:r w:rsidRPr="00D721C1">
        <w:rPr>
          <w:rFonts w:ascii="Verdana" w:eastAsia="Calibri" w:hAnsi="Verdana" w:cs="Arial"/>
          <w:color w:val="000000"/>
          <w:sz w:val="20"/>
          <w:szCs w:val="20"/>
          <w:lang w:val="es-ES" w:eastAsia="en-GB"/>
        </w:rPr>
        <w:t xml:space="preserve"> ya que la manifestación de voluntad, si no se expresa bajo la forma </w:t>
      </w:r>
      <w:r w:rsidRPr="00D721C1">
        <w:rPr>
          <w:rFonts w:ascii="Verdana" w:eastAsia="Calibri" w:hAnsi="Verdana" w:cs="Arial"/>
          <w:i/>
          <w:iCs/>
          <w:color w:val="000000"/>
          <w:sz w:val="20"/>
          <w:szCs w:val="20"/>
          <w:lang w:val="es-ES" w:eastAsia="en-GB"/>
        </w:rPr>
        <w:t>ad solemnitatem</w:t>
      </w:r>
      <w:r w:rsidRPr="00D721C1">
        <w:rPr>
          <w:rFonts w:ascii="Verdana" w:eastAsia="Calibri" w:hAnsi="Verdana" w:cs="Arial"/>
          <w:color w:val="000000"/>
          <w:sz w:val="20"/>
          <w:szCs w:val="20"/>
          <w:lang w:val="es-ES" w:eastAsia="en-GB"/>
        </w:rPr>
        <w:t xml:space="preserve"> o </w:t>
      </w:r>
      <w:r w:rsidRPr="00D721C1">
        <w:rPr>
          <w:rFonts w:ascii="Verdana" w:eastAsia="Calibri" w:hAnsi="Verdana" w:cs="Arial"/>
          <w:i/>
          <w:iCs/>
          <w:color w:val="000000"/>
          <w:sz w:val="20"/>
          <w:szCs w:val="20"/>
          <w:lang w:val="es-ES" w:eastAsia="en-GB"/>
        </w:rPr>
        <w:t>ad substantiam actus</w:t>
      </w:r>
      <w:r w:rsidRPr="00D721C1">
        <w:rPr>
          <w:rFonts w:ascii="Verdana" w:eastAsia="Calibri" w:hAnsi="Verdana" w:cs="Arial"/>
          <w:color w:val="000000"/>
          <w:sz w:val="20"/>
          <w:szCs w:val="20"/>
          <w:lang w:val="es-ES" w:eastAsia="en-GB"/>
        </w:rPr>
        <w:t xml:space="preserve"> exigida por la ley, es inexistente, es decir, se entiende que el contrato jamás ha sido creado para el mundo jurídico”. </w:t>
      </w:r>
    </w:p>
    <w:p w14:paraId="2FCA29DA" w14:textId="77777777" w:rsidR="003510AC" w:rsidRPr="00D32259" w:rsidRDefault="003510AC" w:rsidP="003510AC">
      <w:pPr>
        <w:spacing w:after="0" w:line="240" w:lineRule="auto"/>
        <w:jc w:val="both"/>
        <w:rPr>
          <w:rFonts w:ascii="Verdana" w:hAnsi="Verdana" w:cs="Arial"/>
          <w:b/>
          <w:bCs/>
          <w:color w:val="000000" w:themeColor="text1"/>
        </w:rPr>
      </w:pPr>
    </w:p>
    <w:p w14:paraId="79B46C5B" w14:textId="77777777" w:rsidR="003510AC" w:rsidRDefault="003510AC" w:rsidP="003510AC">
      <w:pPr>
        <w:spacing w:after="120" w:line="276" w:lineRule="auto"/>
        <w:jc w:val="both"/>
        <w:rPr>
          <w:rFonts w:ascii="Verdana" w:eastAsia="Calibri" w:hAnsi="Verdana" w:cs="Arial"/>
          <w:color w:val="000000" w:themeColor="text1"/>
          <w:sz w:val="20"/>
          <w:szCs w:val="20"/>
          <w:lang w:val="es-ES" w:eastAsia="en-GB"/>
        </w:rPr>
      </w:pPr>
      <w:r w:rsidRPr="00D721C1">
        <w:rPr>
          <w:rFonts w:ascii="Verdana" w:eastAsia="Calibri" w:hAnsi="Verdana" w:cs="Arial"/>
          <w:color w:val="000000" w:themeColor="text1"/>
          <w:sz w:val="20"/>
          <w:szCs w:val="20"/>
          <w:lang w:val="es-ES" w:eastAsia="en-GB"/>
        </w:rPr>
        <w:t>[…</w:t>
      </w:r>
      <w:r>
        <w:rPr>
          <w:rFonts w:ascii="Verdana" w:eastAsia="Calibri" w:hAnsi="Verdana" w:cs="Arial"/>
          <w:color w:val="000000" w:themeColor="text1"/>
          <w:sz w:val="20"/>
          <w:szCs w:val="20"/>
          <w:lang w:val="es-ES" w:eastAsia="en-GB"/>
        </w:rPr>
        <w:t>]</w:t>
      </w:r>
    </w:p>
    <w:p w14:paraId="19ADC8EF" w14:textId="77777777" w:rsidR="003510AC" w:rsidRPr="00D32259" w:rsidRDefault="003510AC" w:rsidP="003510AC">
      <w:pPr>
        <w:spacing w:after="0" w:line="240" w:lineRule="auto"/>
        <w:jc w:val="both"/>
        <w:rPr>
          <w:rFonts w:ascii="Verdana" w:eastAsia="Calibri" w:hAnsi="Verdana" w:cs="Arial"/>
          <w:color w:val="000000" w:themeColor="text1"/>
          <w:sz w:val="20"/>
          <w:szCs w:val="20"/>
          <w:lang w:val="es-ES" w:eastAsia="en-GB"/>
        </w:rPr>
      </w:pPr>
      <w:r w:rsidRPr="00D721C1">
        <w:rPr>
          <w:rFonts w:ascii="Verdana" w:eastAsia="Calibri" w:hAnsi="Verdana" w:cs="Arial"/>
          <w:color w:val="000000" w:themeColor="text1"/>
          <w:sz w:val="20"/>
          <w:szCs w:val="20"/>
          <w:lang w:val="es-ES" w:eastAsia="en-GB"/>
        </w:rPr>
        <w:lastRenderedPageBreak/>
        <w:t>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w:t>
      </w:r>
    </w:p>
    <w:p w14:paraId="3B0245A0" w14:textId="77777777" w:rsidR="003510AC" w:rsidRDefault="003510AC" w:rsidP="003510AC">
      <w:pPr>
        <w:spacing w:after="0" w:line="240" w:lineRule="auto"/>
        <w:jc w:val="both"/>
        <w:rPr>
          <w:rFonts w:ascii="Verdana" w:hAnsi="Verdana" w:cs="Arial"/>
          <w:b/>
          <w:bCs/>
          <w:color w:val="000000" w:themeColor="text1"/>
        </w:rPr>
      </w:pPr>
    </w:p>
    <w:p w14:paraId="6135EBEE"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REQUISITOS DE EJECUCIÓN DEL CONTRATO ESTATAL – Naturaleza </w:t>
      </w:r>
    </w:p>
    <w:p w14:paraId="6CA8FD5F" w14:textId="77777777" w:rsidR="003510AC" w:rsidRDefault="003510AC" w:rsidP="003510AC">
      <w:pPr>
        <w:spacing w:after="0" w:line="240" w:lineRule="auto"/>
        <w:jc w:val="both"/>
        <w:rPr>
          <w:rFonts w:ascii="Verdana" w:hAnsi="Verdana" w:cs="Arial"/>
          <w:b/>
          <w:bCs/>
          <w:color w:val="000000" w:themeColor="text1"/>
        </w:rPr>
      </w:pPr>
    </w:p>
    <w:p w14:paraId="2A0D25A4" w14:textId="77777777" w:rsidR="003510AC" w:rsidRPr="00D721C1" w:rsidRDefault="003510AC" w:rsidP="003510AC">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themeColor="text1"/>
          <w:sz w:val="20"/>
          <w:szCs w:val="20"/>
          <w:lang w:val="es-ES" w:eastAsia="en-GB"/>
        </w:rPr>
        <w:t xml:space="preserve">[…] los requisitos legales de ejecución son: i) la aprobación de las garantías exigidas en el contrato, ii) la existencia de la apropiación presupuestal correspondiente y iii) la acreditación del cumplimiento de las obligaciones con el Sistema de Seguridad Social Integral. </w:t>
      </w:r>
    </w:p>
    <w:p w14:paraId="5569CF6E" w14:textId="77777777" w:rsidR="003510AC" w:rsidRDefault="003510AC" w:rsidP="003510AC">
      <w:pPr>
        <w:spacing w:after="0" w:line="240" w:lineRule="auto"/>
        <w:jc w:val="both"/>
        <w:rPr>
          <w:rFonts w:ascii="Verdana" w:eastAsia="Calibri" w:hAnsi="Verdana" w:cs="Arial"/>
          <w:color w:val="000000" w:themeColor="text1"/>
          <w:sz w:val="20"/>
          <w:szCs w:val="20"/>
          <w:lang w:val="es-ES" w:eastAsia="en-GB"/>
        </w:rPr>
      </w:pPr>
    </w:p>
    <w:p w14:paraId="57479A68" w14:textId="77777777" w:rsidR="003510AC" w:rsidRPr="00D721C1" w:rsidRDefault="003510AC" w:rsidP="003510AC">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themeColor="text1"/>
          <w:sz w:val="20"/>
          <w:szCs w:val="20"/>
          <w:lang w:val="es-ES" w:eastAsia="en-GB"/>
        </w:rPr>
        <w:t>Lo que tienen en común tales requisitos es que deben cumplirse para que inicie el contrato, sin que por ello puedan considerarse elementos de la esencia –de perfeccionamiento– del negocio jurídico, ni de validez del mismo.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70FB73C0" w14:textId="77777777" w:rsidR="003510AC" w:rsidRDefault="003510AC" w:rsidP="003510AC">
      <w:pPr>
        <w:spacing w:after="0" w:line="240" w:lineRule="auto"/>
        <w:jc w:val="both"/>
        <w:rPr>
          <w:rFonts w:ascii="Verdana" w:hAnsi="Verdana" w:cs="Arial"/>
          <w:b/>
          <w:bCs/>
          <w:color w:val="000000" w:themeColor="text1"/>
        </w:rPr>
      </w:pPr>
    </w:p>
    <w:p w14:paraId="79948322"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ACTA DE INICIO – Requisito de ejecución convencional </w:t>
      </w:r>
    </w:p>
    <w:p w14:paraId="5177AF41" w14:textId="77777777" w:rsidR="003510AC" w:rsidRDefault="003510AC" w:rsidP="003510AC">
      <w:pPr>
        <w:spacing w:after="0" w:line="240" w:lineRule="auto"/>
        <w:jc w:val="both"/>
        <w:rPr>
          <w:rFonts w:ascii="Verdana" w:hAnsi="Verdana" w:cs="Arial"/>
          <w:b/>
          <w:bCs/>
          <w:color w:val="000000" w:themeColor="text1"/>
        </w:rPr>
      </w:pPr>
    </w:p>
    <w:p w14:paraId="778B2CD9" w14:textId="77777777" w:rsidR="003510AC" w:rsidRPr="00D32259"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sz w:val="20"/>
          <w:szCs w:val="20"/>
          <w:lang w:val="es-ES" w:eastAsia="es-ES"/>
        </w:rPr>
        <w:t>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314471AD" w14:textId="77777777" w:rsidR="003510AC" w:rsidRDefault="003510AC" w:rsidP="003510AC">
      <w:pPr>
        <w:spacing w:after="0" w:line="240" w:lineRule="auto"/>
        <w:jc w:val="both"/>
        <w:rPr>
          <w:rFonts w:ascii="Verdana" w:eastAsia="Calibri" w:hAnsi="Verdana" w:cs="Arial"/>
          <w:sz w:val="20"/>
          <w:szCs w:val="20"/>
          <w:lang w:val="es-ES" w:eastAsia="es-ES"/>
        </w:rPr>
      </w:pPr>
    </w:p>
    <w:p w14:paraId="29C9C29B" w14:textId="77777777" w:rsidR="003510AC" w:rsidRPr="00D721C1" w:rsidRDefault="003510AC" w:rsidP="003510AC">
      <w:pPr>
        <w:spacing w:after="0" w:line="240" w:lineRule="auto"/>
        <w:jc w:val="both"/>
        <w:rPr>
          <w:rFonts w:ascii="Verdana" w:eastAsia="Calibri" w:hAnsi="Verdana" w:cs="Arial"/>
          <w:sz w:val="20"/>
          <w:szCs w:val="20"/>
          <w:lang w:val="es-ES" w:eastAsia="es-ES"/>
        </w:rPr>
      </w:pPr>
      <w:r w:rsidRPr="00D721C1">
        <w:rPr>
          <w:rFonts w:ascii="Verdana" w:eastAsia="Calibri" w:hAnsi="Verdana" w:cs="Arial"/>
          <w:sz w:val="20"/>
          <w:szCs w:val="20"/>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3C3B7619" w14:textId="77777777" w:rsidR="003510AC" w:rsidRDefault="003510AC" w:rsidP="003510AC">
      <w:pPr>
        <w:spacing w:after="0" w:line="240" w:lineRule="auto"/>
        <w:jc w:val="both"/>
        <w:rPr>
          <w:rFonts w:ascii="Verdana" w:eastAsia="Calibri" w:hAnsi="Verdana" w:cs="Arial"/>
          <w:sz w:val="20"/>
          <w:szCs w:val="20"/>
          <w:lang w:val="es-ES" w:eastAsia="es-ES"/>
        </w:rPr>
      </w:pPr>
    </w:p>
    <w:p w14:paraId="502E62FD" w14:textId="77777777" w:rsidR="003510AC" w:rsidRPr="00D32259" w:rsidRDefault="003510AC" w:rsidP="003510AC">
      <w:pPr>
        <w:spacing w:after="0" w:line="240" w:lineRule="auto"/>
        <w:jc w:val="both"/>
        <w:rPr>
          <w:rFonts w:ascii="Verdana" w:eastAsia="Calibri" w:hAnsi="Verdana" w:cs="Arial"/>
          <w:sz w:val="20"/>
          <w:szCs w:val="20"/>
          <w:lang w:val="es-ES" w:eastAsia="es-ES"/>
        </w:rPr>
      </w:pPr>
      <w:r w:rsidRPr="00D721C1">
        <w:rPr>
          <w:rFonts w:ascii="Verdana" w:eastAsia="Calibri" w:hAnsi="Verdana" w:cs="Arial"/>
          <w:sz w:val="20"/>
          <w:szCs w:val="20"/>
          <w:lang w:val="es-ES" w:eastAsia="es-ES"/>
        </w:rPr>
        <w:t xml:space="preserve">Sin embargo, en el ejercicio de la autonomía de la voluntad las partes del contrato deben respetar las normas de orden público. En consecuencia, a pesar de que están facultadas para acordar cláusulas accidentales en el negocio jurídico, estas no pueden ir en contra </w:t>
      </w:r>
      <w:r w:rsidRPr="00D721C1">
        <w:rPr>
          <w:rFonts w:ascii="Verdana" w:eastAsia="Calibri" w:hAnsi="Verdana" w:cs="Arial"/>
          <w:sz w:val="20"/>
          <w:szCs w:val="20"/>
          <w:lang w:val="es-ES" w:eastAsia="es-ES"/>
        </w:rPr>
        <w:lastRenderedPageBreak/>
        <w:t>de los mandatos contenidos en el EGCAP.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w:t>
      </w:r>
      <w:r>
        <w:rPr>
          <w:rFonts w:ascii="Verdana" w:eastAsia="Calibri" w:hAnsi="Verdana" w:cs="Arial"/>
          <w:sz w:val="20"/>
          <w:szCs w:val="20"/>
          <w:lang w:val="es-ES" w:eastAsia="es-ES"/>
        </w:rPr>
        <w:t>.</w:t>
      </w:r>
    </w:p>
    <w:p w14:paraId="1E986FCF" w14:textId="77777777" w:rsidR="003510AC" w:rsidRDefault="003510AC" w:rsidP="003510AC">
      <w:pPr>
        <w:spacing w:after="0" w:line="240" w:lineRule="auto"/>
        <w:jc w:val="both"/>
        <w:rPr>
          <w:rFonts w:ascii="Verdana" w:eastAsia="Calibri" w:hAnsi="Verdana" w:cs="Arial"/>
          <w:b/>
          <w:lang w:val="es-MX" w:eastAsia="es-MX"/>
        </w:rPr>
      </w:pPr>
    </w:p>
    <w:p w14:paraId="59062141" w14:textId="77777777" w:rsidR="003510AC" w:rsidRDefault="003510AC" w:rsidP="003510AC">
      <w:pPr>
        <w:spacing w:after="0" w:line="240" w:lineRule="auto"/>
        <w:jc w:val="both"/>
        <w:rPr>
          <w:rFonts w:ascii="Verdana" w:eastAsia="Calibri" w:hAnsi="Verdana" w:cs="Arial"/>
          <w:b/>
          <w:lang w:val="es-MX" w:eastAsia="es-MX"/>
        </w:rPr>
      </w:pPr>
      <w:r w:rsidRPr="00D32259">
        <w:rPr>
          <w:rFonts w:ascii="Verdana" w:eastAsia="Calibri" w:hAnsi="Verdana" w:cs="Arial"/>
          <w:b/>
          <w:lang w:val="es-MX" w:eastAsia="es-MX"/>
        </w:rPr>
        <w:t xml:space="preserve">LEY DE GARANTÍAS ELECTORALES – Objetivo </w:t>
      </w:r>
    </w:p>
    <w:p w14:paraId="5B369846" w14:textId="77777777" w:rsidR="003510AC" w:rsidRDefault="003510AC" w:rsidP="003510AC">
      <w:pPr>
        <w:spacing w:after="0" w:line="240" w:lineRule="auto"/>
        <w:jc w:val="both"/>
        <w:rPr>
          <w:rFonts w:ascii="Verdana" w:eastAsia="Calibri" w:hAnsi="Verdana" w:cs="Arial"/>
          <w:b/>
          <w:lang w:val="es-MX" w:eastAsia="es-MX"/>
        </w:rPr>
      </w:pPr>
    </w:p>
    <w:p w14:paraId="587C9137" w14:textId="77777777" w:rsidR="003510AC" w:rsidRPr="00D32259" w:rsidRDefault="003510AC" w:rsidP="003510AC">
      <w:pPr>
        <w:spacing w:after="0" w:line="240" w:lineRule="auto"/>
        <w:jc w:val="both"/>
        <w:rPr>
          <w:rFonts w:ascii="Verdana" w:eastAsia="Calibri" w:hAnsi="Verdana" w:cs="Arial"/>
          <w:b/>
          <w:lang w:val="es-MX" w:eastAsia="es-MX"/>
        </w:rPr>
      </w:pPr>
      <w:r w:rsidRPr="00D32259">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D32259">
        <w:rPr>
          <w:rFonts w:ascii="Verdana" w:eastAsia="Calibri" w:hAnsi="Verdana" w:cs="Arial"/>
          <w:noProof/>
          <w:sz w:val="20"/>
          <w:szCs w:val="20"/>
          <w:lang w:val="es-ES_tradnl"/>
        </w:rPr>
        <w:t xml:space="preserve"> </w:t>
      </w:r>
    </w:p>
    <w:p w14:paraId="3DDBD860" w14:textId="77777777" w:rsidR="003510AC" w:rsidRDefault="003510AC" w:rsidP="003510AC">
      <w:pPr>
        <w:spacing w:after="0" w:line="240" w:lineRule="auto"/>
        <w:jc w:val="both"/>
        <w:rPr>
          <w:rFonts w:ascii="Verdana" w:eastAsia="Calibri" w:hAnsi="Verdana" w:cs="Arial"/>
          <w:b/>
          <w:lang w:val="es-MX" w:eastAsia="es-MX"/>
        </w:rPr>
      </w:pPr>
    </w:p>
    <w:p w14:paraId="3608BC35" w14:textId="77777777" w:rsidR="003510AC" w:rsidRDefault="003510AC" w:rsidP="003510AC">
      <w:pPr>
        <w:spacing w:after="0" w:line="240" w:lineRule="auto"/>
        <w:jc w:val="both"/>
        <w:rPr>
          <w:rFonts w:ascii="Verdana" w:eastAsia="Calibri" w:hAnsi="Verdana" w:cs="Arial"/>
          <w:b/>
          <w:lang w:val="es-MX" w:eastAsia="es-MX"/>
        </w:rPr>
      </w:pPr>
      <w:r w:rsidRPr="00D32259">
        <w:rPr>
          <w:rFonts w:ascii="Verdana" w:eastAsia="Calibri" w:hAnsi="Verdana" w:cs="Arial"/>
          <w:b/>
          <w:lang w:val="es-MX" w:eastAsia="es-MX"/>
        </w:rPr>
        <w:t xml:space="preserve">LEY DE GARANTÍAS ELECTORALES – Prohibiciones </w:t>
      </w:r>
    </w:p>
    <w:p w14:paraId="08291539" w14:textId="77777777" w:rsidR="003510AC" w:rsidRDefault="003510AC" w:rsidP="003510AC">
      <w:pPr>
        <w:spacing w:after="0" w:line="240" w:lineRule="auto"/>
        <w:jc w:val="both"/>
        <w:rPr>
          <w:rFonts w:ascii="Verdana" w:eastAsia="Calibri" w:hAnsi="Verdana" w:cs="Arial"/>
          <w:b/>
          <w:lang w:val="es-MX" w:eastAsia="es-MX"/>
        </w:rPr>
      </w:pPr>
    </w:p>
    <w:p w14:paraId="2B1FE8A0" w14:textId="77777777" w:rsidR="003510AC" w:rsidRPr="00D32259" w:rsidRDefault="003510AC" w:rsidP="003510AC">
      <w:pPr>
        <w:spacing w:after="0" w:line="240" w:lineRule="auto"/>
        <w:jc w:val="both"/>
        <w:rPr>
          <w:rFonts w:ascii="Verdana" w:eastAsia="Calibri" w:hAnsi="Verdana" w:cs="Arial"/>
          <w:b/>
          <w:sz w:val="20"/>
          <w:szCs w:val="20"/>
          <w:lang w:val="es-MX" w:eastAsia="es-MX"/>
        </w:rPr>
      </w:pPr>
      <w:r w:rsidRPr="00D32259">
        <w:rPr>
          <w:rFonts w:ascii="Verdana" w:eastAsia="Calibri" w:hAnsi="Verdana" w:cs="Arial"/>
          <w:bCs/>
          <w:sz w:val="20"/>
          <w:szCs w:val="20"/>
          <w:lang w:val="es-MX" w:eastAsia="es-MX"/>
        </w:rPr>
        <w:t>[…]</w:t>
      </w:r>
      <w:r w:rsidRPr="00D32259">
        <w:rPr>
          <w:rFonts w:ascii="Verdana" w:eastAsia="Calibri" w:hAnsi="Verdana" w:cs="Arial"/>
          <w:b/>
          <w:sz w:val="20"/>
          <w:szCs w:val="20"/>
          <w:lang w:val="es-MX" w:eastAsia="es-MX"/>
        </w:rPr>
        <w:t xml:space="preserve"> </w:t>
      </w:r>
      <w:r w:rsidRPr="00D32259">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22C0F75" w14:textId="77777777" w:rsidR="003510AC" w:rsidRPr="00D32259" w:rsidRDefault="003510AC" w:rsidP="003510AC">
      <w:pPr>
        <w:spacing w:after="0" w:line="240" w:lineRule="auto"/>
        <w:jc w:val="both"/>
        <w:rPr>
          <w:rFonts w:ascii="Verdana" w:eastAsia="Calibri" w:hAnsi="Verdana" w:cs="Arial"/>
          <w:b/>
          <w:lang w:val="es-ES" w:eastAsia="es-MX"/>
        </w:rPr>
      </w:pPr>
    </w:p>
    <w:p w14:paraId="6F5999FF" w14:textId="77777777" w:rsidR="003510AC" w:rsidRPr="00D32259" w:rsidRDefault="003510AC" w:rsidP="003510AC">
      <w:pPr>
        <w:spacing w:after="0" w:line="240" w:lineRule="auto"/>
        <w:jc w:val="both"/>
        <w:rPr>
          <w:rFonts w:ascii="Verdana" w:eastAsia="Calibri" w:hAnsi="Verdana" w:cs="Arial"/>
          <w:b/>
          <w:lang w:val="es-MX"/>
        </w:rPr>
      </w:pPr>
      <w:r w:rsidRPr="00D32259">
        <w:rPr>
          <w:rFonts w:ascii="Verdana" w:eastAsia="Calibri" w:hAnsi="Verdana" w:cs="Arial"/>
          <w:b/>
          <w:lang w:val="es-MX"/>
        </w:rPr>
        <w:t xml:space="preserve">LEY DE GARANTÍAS ELECTORALES ─ Prohibición artículo 33 ‒ Contratación directa ‒ Alcance </w:t>
      </w:r>
    </w:p>
    <w:p w14:paraId="5B75C911" w14:textId="77777777" w:rsidR="003510AC" w:rsidRPr="00B1490B" w:rsidRDefault="003510AC" w:rsidP="003510AC">
      <w:pPr>
        <w:spacing w:after="0" w:line="240" w:lineRule="auto"/>
        <w:jc w:val="both"/>
        <w:rPr>
          <w:rFonts w:ascii="Verdana" w:eastAsia="Calibri" w:hAnsi="Verdana" w:cs="Arial"/>
          <w:bCs/>
          <w:sz w:val="20"/>
          <w:szCs w:val="20"/>
          <w:lang w:val="es-MX"/>
        </w:rPr>
      </w:pPr>
    </w:p>
    <w:p w14:paraId="50AF84A4" w14:textId="77777777" w:rsidR="003510AC" w:rsidRDefault="003510AC" w:rsidP="003510AC">
      <w:pPr>
        <w:spacing w:after="0" w:line="240" w:lineRule="auto"/>
        <w:jc w:val="both"/>
        <w:rPr>
          <w:rFonts w:ascii="Verdana" w:hAnsi="Verdana" w:cs="Arial"/>
          <w:sz w:val="20"/>
          <w:szCs w:val="20"/>
          <w:lang w:eastAsia="x-none"/>
        </w:rPr>
      </w:pPr>
      <w:r w:rsidRPr="00B1490B">
        <w:rPr>
          <w:rFonts w:ascii="Verdana" w:hAnsi="Verdana" w:cs="Arial"/>
          <w:sz w:val="20"/>
          <w:szCs w:val="20"/>
          <w:lang w:eastAsia="x-none"/>
        </w:rPr>
        <w:t xml:space="preserve">[…] la prohibición del artículo 33 de la Ley de Garantías Electorales se refiere a </w:t>
      </w:r>
      <w:r w:rsidRPr="00B1490B">
        <w:rPr>
          <w:rFonts w:ascii="Verdana" w:hAnsi="Verdana" w:cs="Arial"/>
          <w:sz w:val="20"/>
          <w:szCs w:val="20"/>
          <w:lang w:eastAsia="en-GB"/>
        </w:rPr>
        <w:t>“</w:t>
      </w:r>
      <w:r w:rsidRPr="00B1490B">
        <w:rPr>
          <w:rFonts w:ascii="Verdana" w:hAnsi="Verdana" w:cs="Arial"/>
          <w:sz w:val="20"/>
          <w:szCs w:val="20"/>
          <w:lang w:eastAsia="x-none"/>
        </w:rPr>
        <w:t>cualquier sistema que no implique convocatoria pública y posibilidad de pluralidad de oferentes</w:t>
      </w:r>
      <w:r w:rsidRPr="00B1490B">
        <w:rPr>
          <w:rFonts w:ascii="Verdana" w:hAnsi="Verdana" w:cs="Arial"/>
          <w:sz w:val="20"/>
          <w:szCs w:val="20"/>
          <w:lang w:eastAsia="en-GB"/>
        </w:rPr>
        <w:t>”</w:t>
      </w:r>
      <w:r w:rsidRPr="00B1490B">
        <w:rPr>
          <w:rFonts w:ascii="Verdana"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B1490B">
        <w:rPr>
          <w:rFonts w:ascii="Verdana" w:hAnsi="Verdana" w:cs="Arial"/>
          <w:sz w:val="20"/>
          <w:szCs w:val="20"/>
          <w:lang w:val="es-ES_tradnl" w:eastAsia="x-none"/>
        </w:rPr>
        <w:t>y la mínima cuantía</w:t>
      </w:r>
      <w:r w:rsidRPr="00B1490B" w:rsidDel="00A85D9F">
        <w:rPr>
          <w:rFonts w:ascii="Verdana" w:hAnsi="Verdana" w:cs="Arial"/>
          <w:sz w:val="20"/>
          <w:szCs w:val="20"/>
          <w:lang w:eastAsia="x-none"/>
        </w:rPr>
        <w:t xml:space="preserve"> </w:t>
      </w:r>
      <w:r w:rsidRPr="00B1490B">
        <w:rPr>
          <w:rFonts w:ascii="Verdana" w:hAnsi="Verdana" w:cs="Arial"/>
          <w:sz w:val="20"/>
          <w:szCs w:val="20"/>
          <w:lang w:eastAsia="x-none"/>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78805DE4" w14:textId="77777777" w:rsidR="003510AC" w:rsidRDefault="003510AC" w:rsidP="003510AC">
      <w:pPr>
        <w:spacing w:after="0" w:line="240" w:lineRule="auto"/>
        <w:jc w:val="both"/>
        <w:rPr>
          <w:rFonts w:ascii="Verdana" w:hAnsi="Verdana" w:cs="Arial"/>
          <w:sz w:val="20"/>
          <w:szCs w:val="20"/>
          <w:lang w:eastAsia="x-none"/>
        </w:rPr>
      </w:pPr>
    </w:p>
    <w:p w14:paraId="6F9EFD9E" w14:textId="77777777" w:rsidR="003510AC" w:rsidRPr="00B1490B" w:rsidRDefault="003510AC" w:rsidP="003510AC">
      <w:pPr>
        <w:spacing w:after="0" w:line="240" w:lineRule="auto"/>
        <w:jc w:val="both"/>
        <w:rPr>
          <w:rFonts w:ascii="Verdana" w:hAnsi="Verdana" w:cs="Arial"/>
          <w:sz w:val="20"/>
          <w:szCs w:val="20"/>
          <w:lang w:eastAsia="x-none"/>
        </w:rPr>
      </w:pPr>
      <w:r w:rsidRPr="00B1490B">
        <w:rPr>
          <w:rFonts w:ascii="Verdana" w:hAnsi="Verdana" w:cs="Arial"/>
          <w:sz w:val="20"/>
          <w:szCs w:val="20"/>
          <w:lang w:eastAsia="x-none"/>
        </w:rPr>
        <w:t xml:space="preserve">De esta forma, con fundamento en la evolución de la normativa sobre la contratación pública, se ha depurado la noción de </w:t>
      </w:r>
      <w:r w:rsidRPr="00B1490B">
        <w:rPr>
          <w:rFonts w:ascii="Verdana" w:hAnsi="Verdana" w:cs="Arial"/>
          <w:i/>
          <w:sz w:val="20"/>
          <w:szCs w:val="20"/>
          <w:lang w:eastAsia="en-GB"/>
        </w:rPr>
        <w:t>“</w:t>
      </w:r>
      <w:r w:rsidRPr="00B1490B">
        <w:rPr>
          <w:rFonts w:ascii="Verdana" w:hAnsi="Verdana" w:cs="Arial"/>
          <w:i/>
          <w:iCs/>
          <w:sz w:val="20"/>
          <w:szCs w:val="20"/>
          <w:lang w:eastAsia="x-none"/>
        </w:rPr>
        <w:t>contratación directa</w:t>
      </w:r>
      <w:r w:rsidRPr="00B1490B">
        <w:rPr>
          <w:rFonts w:ascii="Verdana" w:hAnsi="Verdana" w:cs="Arial"/>
          <w:sz w:val="20"/>
          <w:szCs w:val="20"/>
          <w:lang w:eastAsia="en-GB"/>
        </w:rPr>
        <w:t>”</w:t>
      </w:r>
      <w:r w:rsidRPr="00B1490B">
        <w:rPr>
          <w:rFonts w:ascii="Verdana" w:hAnsi="Verdana" w:cs="Arial"/>
          <w:sz w:val="20"/>
          <w:szCs w:val="20"/>
          <w:lang w:eastAsia="x-none"/>
        </w:rPr>
        <w:t xml:space="preserve">,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w:t>
      </w:r>
      <w:r w:rsidRPr="00B1490B">
        <w:rPr>
          <w:rFonts w:ascii="Verdana" w:hAnsi="Verdana" w:cs="Arial"/>
          <w:sz w:val="20"/>
          <w:szCs w:val="20"/>
          <w:lang w:eastAsia="x-none"/>
        </w:rPr>
        <w:lastRenderedPageBreak/>
        <w:t>leyes especiales e, incluso, en el derecho privado, han establecido sistemas de contratación que implican convocatoria pública y participación de varios oferentes</w:t>
      </w:r>
      <w:r w:rsidRPr="00B1490B">
        <w:rPr>
          <w:rFonts w:ascii="Verdana" w:hAnsi="Verdana" w:cs="Arial"/>
          <w:sz w:val="20"/>
          <w:szCs w:val="20"/>
          <w:lang w:eastAsia="en-GB"/>
        </w:rPr>
        <w:t>”</w:t>
      </w:r>
      <w:r w:rsidRPr="00B1490B">
        <w:rPr>
          <w:rFonts w:ascii="Verdana" w:hAnsi="Verdana" w:cs="Arial"/>
          <w:sz w:val="20"/>
          <w:szCs w:val="20"/>
          <w:lang w:eastAsia="x-none"/>
        </w:rPr>
        <w:t>.</w:t>
      </w:r>
    </w:p>
    <w:p w14:paraId="41749819" w14:textId="77777777" w:rsidR="003510AC" w:rsidRPr="00B1490B" w:rsidRDefault="003510AC" w:rsidP="003510AC">
      <w:pPr>
        <w:spacing w:after="0" w:line="240" w:lineRule="auto"/>
        <w:jc w:val="both"/>
        <w:rPr>
          <w:rFonts w:ascii="Verdana" w:hAnsi="Verdana" w:cs="Arial"/>
          <w:bCs/>
          <w:sz w:val="20"/>
          <w:szCs w:val="20"/>
          <w:lang w:eastAsia="x-none"/>
        </w:rPr>
      </w:pPr>
    </w:p>
    <w:p w14:paraId="30FBE11B" w14:textId="77777777" w:rsidR="003510AC" w:rsidRPr="00B1490B" w:rsidRDefault="003510AC" w:rsidP="003510AC">
      <w:pPr>
        <w:spacing w:after="0" w:line="240" w:lineRule="auto"/>
        <w:jc w:val="both"/>
        <w:rPr>
          <w:rFonts w:ascii="Verdana" w:eastAsia="Calibri" w:hAnsi="Verdana" w:cs="Arial"/>
          <w:bCs/>
          <w:sz w:val="20"/>
          <w:szCs w:val="20"/>
        </w:rPr>
      </w:pPr>
      <w:r w:rsidRPr="00B1490B">
        <w:rPr>
          <w:rFonts w:ascii="Verdana" w:eastAsia="Calibri" w:hAnsi="Verdana" w:cs="Arial"/>
          <w:bCs/>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eastAsia="Calibri" w:hAnsi="Verdana" w:cs="Arial"/>
          <w:bCs/>
          <w:sz w:val="20"/>
          <w:szCs w:val="20"/>
        </w:rPr>
        <w:t>.</w:t>
      </w:r>
    </w:p>
    <w:p w14:paraId="49F7A379" w14:textId="77777777" w:rsidR="003510AC" w:rsidRDefault="003510AC" w:rsidP="003510AC">
      <w:pPr>
        <w:spacing w:after="0" w:line="240" w:lineRule="auto"/>
        <w:jc w:val="both"/>
        <w:rPr>
          <w:rFonts w:ascii="Verdana" w:eastAsia="Calibri" w:hAnsi="Verdana" w:cs="Arial"/>
          <w:bCs/>
          <w:lang w:val="es-MX"/>
        </w:rPr>
      </w:pPr>
    </w:p>
    <w:p w14:paraId="3C472A8E" w14:textId="77777777" w:rsidR="003510AC" w:rsidRPr="00B1490B" w:rsidRDefault="003510AC" w:rsidP="003510AC">
      <w:pPr>
        <w:spacing w:after="0" w:line="240" w:lineRule="auto"/>
        <w:jc w:val="both"/>
        <w:rPr>
          <w:rFonts w:ascii="Verdana" w:eastAsia="Times New Roman" w:hAnsi="Verdana" w:cs="Arial"/>
          <w:b/>
          <w:lang w:val="es-MX" w:eastAsia="es-CO"/>
        </w:rPr>
      </w:pPr>
      <w:r w:rsidRPr="00B1490B">
        <w:rPr>
          <w:rFonts w:ascii="Verdana" w:eastAsia="Calibri" w:hAnsi="Verdana" w:cs="Arial"/>
          <w:b/>
          <w:lang w:val="es-MX"/>
        </w:rPr>
        <w:t>LEY DE GARANTÍAS ELECTORALES ─ Prohibición artículo 33 ‒ Contratación directa ‒ Destinatarios</w:t>
      </w:r>
      <w:r w:rsidRPr="00B1490B">
        <w:rPr>
          <w:rFonts w:ascii="Verdana" w:eastAsia="Times New Roman" w:hAnsi="Verdana" w:cs="Arial"/>
          <w:b/>
          <w:lang w:val="es-MX" w:eastAsia="es-CO"/>
        </w:rPr>
        <w:t xml:space="preserve"> </w:t>
      </w:r>
    </w:p>
    <w:p w14:paraId="11385C03" w14:textId="77777777" w:rsidR="003510AC" w:rsidRDefault="003510AC" w:rsidP="003510AC">
      <w:pPr>
        <w:spacing w:after="0" w:line="240" w:lineRule="auto"/>
        <w:jc w:val="both"/>
        <w:rPr>
          <w:rFonts w:ascii="Verdana" w:eastAsia="Times New Roman" w:hAnsi="Verdana" w:cs="Arial"/>
          <w:bCs/>
          <w:lang w:val="es-MX" w:eastAsia="es-CO"/>
        </w:rPr>
      </w:pPr>
    </w:p>
    <w:p w14:paraId="3A2E8B13" w14:textId="77777777" w:rsidR="003510AC" w:rsidRPr="00B1490B" w:rsidRDefault="003510AC" w:rsidP="003510AC">
      <w:pPr>
        <w:spacing w:after="0" w:line="240" w:lineRule="auto"/>
        <w:jc w:val="both"/>
        <w:rPr>
          <w:rFonts w:ascii="Verdana" w:eastAsia="Times New Roman" w:hAnsi="Verdana" w:cs="Arial"/>
          <w:sz w:val="20"/>
          <w:szCs w:val="20"/>
          <w:lang w:val="es-MX" w:eastAsia="es-CO"/>
        </w:rPr>
      </w:pPr>
      <w:r w:rsidRPr="00B1490B">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B1490B">
        <w:rPr>
          <w:rFonts w:ascii="Verdana" w:hAnsi="Verdana" w:cs="Arial"/>
          <w:i/>
          <w:color w:val="000000" w:themeColor="text1"/>
          <w:sz w:val="20"/>
          <w:szCs w:val="20"/>
          <w:lang w:val="es-MX"/>
        </w:rPr>
        <w:t>todos los entes del Estado</w:t>
      </w:r>
      <w:r w:rsidRPr="00B1490B">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69A2348" w14:textId="77777777" w:rsidR="003510AC" w:rsidRDefault="003510AC" w:rsidP="003510AC">
      <w:pPr>
        <w:spacing w:after="0" w:line="240" w:lineRule="auto"/>
        <w:jc w:val="both"/>
        <w:rPr>
          <w:rFonts w:ascii="Verdana" w:eastAsia="Times New Roman" w:hAnsi="Verdana" w:cs="Arial"/>
          <w:bCs/>
          <w:lang w:val="es-MX" w:eastAsia="es-CO"/>
        </w:rPr>
      </w:pPr>
    </w:p>
    <w:p w14:paraId="024850A9" w14:textId="77777777" w:rsidR="003510AC" w:rsidRPr="008E3EC3" w:rsidRDefault="003510AC" w:rsidP="003510AC">
      <w:pPr>
        <w:spacing w:after="0" w:line="240" w:lineRule="auto"/>
        <w:jc w:val="both"/>
        <w:rPr>
          <w:rFonts w:ascii="Verdana" w:eastAsia="Times New Roman" w:hAnsi="Verdana" w:cs="Arial"/>
          <w:b/>
          <w:lang w:eastAsia="es-CO"/>
        </w:rPr>
      </w:pPr>
      <w:r w:rsidRPr="008E3EC3">
        <w:rPr>
          <w:rFonts w:ascii="Verdana" w:eastAsia="Times New Roman" w:hAnsi="Verdana" w:cs="Arial"/>
          <w:b/>
          <w:lang w:eastAsia="es-CO"/>
        </w:rPr>
        <w:t xml:space="preserve">LEY DE GARANTÍAS ELECTORALES ‒ Excepciones </w:t>
      </w:r>
    </w:p>
    <w:p w14:paraId="2B4B0C28" w14:textId="77777777" w:rsidR="003510AC" w:rsidRDefault="003510AC" w:rsidP="003510AC">
      <w:pPr>
        <w:spacing w:after="0" w:line="240" w:lineRule="auto"/>
        <w:jc w:val="both"/>
        <w:rPr>
          <w:rFonts w:ascii="Verdana" w:eastAsia="Times New Roman" w:hAnsi="Verdana" w:cs="Arial"/>
          <w:bCs/>
          <w:lang w:eastAsia="es-CO"/>
        </w:rPr>
      </w:pPr>
    </w:p>
    <w:p w14:paraId="791E2D2D" w14:textId="77777777" w:rsidR="003510AC" w:rsidRPr="008E3EC3" w:rsidRDefault="003510AC" w:rsidP="003510AC">
      <w:pPr>
        <w:spacing w:after="0" w:line="240" w:lineRule="auto"/>
        <w:jc w:val="both"/>
        <w:rPr>
          <w:rFonts w:ascii="Verdana" w:eastAsia="Times New Roman" w:hAnsi="Verdana" w:cs="Arial"/>
          <w:bCs/>
          <w:sz w:val="20"/>
          <w:szCs w:val="20"/>
          <w:lang w:eastAsia="es-CO"/>
        </w:rPr>
      </w:pPr>
      <w:r w:rsidRPr="008E3EC3">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8E3EC3">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15B8159B" w14:textId="77777777" w:rsidR="003510AC" w:rsidRPr="008E3EC3" w:rsidRDefault="003510AC" w:rsidP="003510AC">
      <w:pPr>
        <w:spacing w:after="0" w:line="240" w:lineRule="auto"/>
        <w:jc w:val="both"/>
        <w:rPr>
          <w:rFonts w:ascii="Verdana" w:eastAsia="Times New Roman" w:hAnsi="Verdana" w:cs="Arial"/>
          <w:bCs/>
          <w:sz w:val="20"/>
          <w:szCs w:val="20"/>
          <w:lang w:eastAsia="es-CO"/>
        </w:rPr>
      </w:pPr>
    </w:p>
    <w:p w14:paraId="52219155" w14:textId="77777777" w:rsidR="003510AC" w:rsidRDefault="003510AC" w:rsidP="003510AC">
      <w:pPr>
        <w:spacing w:after="0" w:line="240" w:lineRule="auto"/>
        <w:jc w:val="both"/>
        <w:rPr>
          <w:rFonts w:ascii="Verdana" w:eastAsia="Times New Roman" w:hAnsi="Verdana" w:cs="Arial"/>
          <w:b/>
          <w:lang w:eastAsia="es-CO"/>
        </w:rPr>
      </w:pPr>
      <w:r w:rsidRPr="008E3EC3">
        <w:rPr>
          <w:rFonts w:ascii="Verdana" w:eastAsia="Times New Roman" w:hAnsi="Verdana" w:cs="Arial"/>
          <w:b/>
          <w:lang w:eastAsia="es-CO"/>
        </w:rPr>
        <w:t>LEY DE GARANTÍAS ELECTORALES – Suscripción del acta de inicio</w:t>
      </w:r>
    </w:p>
    <w:p w14:paraId="6CD1424B" w14:textId="77777777" w:rsidR="003510AC" w:rsidRPr="008E3EC3" w:rsidRDefault="003510AC" w:rsidP="003510AC">
      <w:pPr>
        <w:spacing w:after="0" w:line="240" w:lineRule="auto"/>
        <w:jc w:val="both"/>
        <w:rPr>
          <w:rFonts w:ascii="Verdana" w:eastAsia="Times New Roman" w:hAnsi="Verdana" w:cs="Arial"/>
          <w:b/>
          <w:sz w:val="20"/>
          <w:szCs w:val="20"/>
          <w:lang w:eastAsia="es-CO"/>
        </w:rPr>
      </w:pPr>
      <w:r w:rsidRPr="008E3EC3">
        <w:rPr>
          <w:rFonts w:ascii="Verdana" w:eastAsia="Calibri" w:hAnsi="Verdana" w:cs="Arial"/>
          <w:sz w:val="20"/>
          <w:szCs w:val="20"/>
          <w:lang w:val="es-ES"/>
        </w:rPr>
        <w:lastRenderedPageBreak/>
        <w:t xml:space="preserve">sobre el momento en que debe suscribirse el acta de inicio, en concordancia con lo establecido en el artículo 33 de la Ley 996 de 2005, la prohibición consiste en la celebración (entendido como la suscripción) de un contrato, por lo tanto, el acta de inicio constituye un requisito de ejecución convencional, que se pacta en la minuta del contrato, en los documentos previos, o que el contratista acepta, adhiriéndose al clausulado del pliego de condiciones o documento equivalente.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8E3EC3">
        <w:rPr>
          <w:rFonts w:ascii="Verdana" w:eastAsia="Times New Roman" w:hAnsi="Verdana" w:cs="Arial"/>
          <w:sz w:val="20"/>
          <w:szCs w:val="20"/>
          <w:lang w:eastAsia="es-ES_tradnl"/>
        </w:rPr>
        <w:t>garantizando a su vez el cumplimiento de los principios de legalidad y buena fe que rigen la función administrativa.</w:t>
      </w:r>
    </w:p>
    <w:p w14:paraId="32E91DF9" w14:textId="77777777" w:rsidR="003510AC" w:rsidRPr="008E3EC3" w:rsidRDefault="003510AC" w:rsidP="003510AC">
      <w:pPr>
        <w:spacing w:after="0" w:line="240" w:lineRule="auto"/>
        <w:jc w:val="both"/>
        <w:rPr>
          <w:rFonts w:ascii="Verdana" w:eastAsia="Calibri" w:hAnsi="Verdana" w:cs="Arial"/>
          <w:b/>
          <w:lang w:eastAsia="es-ES"/>
        </w:rPr>
      </w:pPr>
    </w:p>
    <w:p w14:paraId="029DBF63" w14:textId="77777777" w:rsidR="003510AC" w:rsidRDefault="003510AC" w:rsidP="003E4080">
      <w:pPr>
        <w:spacing w:after="0" w:line="240" w:lineRule="auto"/>
        <w:jc w:val="both"/>
        <w:rPr>
          <w:rFonts w:ascii="Verdana" w:eastAsia="Calibri" w:hAnsi="Verdana" w:cs="Arial"/>
          <w:lang w:eastAsia="es-ES"/>
        </w:rPr>
      </w:pPr>
    </w:p>
    <w:p w14:paraId="1060B092" w14:textId="77777777" w:rsidR="003510AC" w:rsidRDefault="003510AC" w:rsidP="003E4080">
      <w:pPr>
        <w:spacing w:after="0" w:line="240" w:lineRule="auto"/>
        <w:jc w:val="both"/>
        <w:rPr>
          <w:rFonts w:ascii="Verdana" w:eastAsia="Calibri" w:hAnsi="Verdana" w:cs="Arial"/>
          <w:lang w:eastAsia="es-ES"/>
        </w:rPr>
      </w:pPr>
    </w:p>
    <w:p w14:paraId="2956ED09" w14:textId="77777777" w:rsidR="003510AC" w:rsidRDefault="003510AC" w:rsidP="003E4080">
      <w:pPr>
        <w:spacing w:after="0" w:line="240" w:lineRule="auto"/>
        <w:jc w:val="both"/>
        <w:rPr>
          <w:rFonts w:ascii="Verdana" w:eastAsia="Calibri" w:hAnsi="Verdana" w:cs="Arial"/>
          <w:lang w:eastAsia="es-ES"/>
        </w:rPr>
      </w:pPr>
    </w:p>
    <w:p w14:paraId="7F8BE546" w14:textId="77777777" w:rsidR="003510AC" w:rsidRDefault="003510AC" w:rsidP="003E4080">
      <w:pPr>
        <w:spacing w:after="0" w:line="240" w:lineRule="auto"/>
        <w:jc w:val="both"/>
        <w:rPr>
          <w:rFonts w:ascii="Verdana" w:eastAsia="Calibri" w:hAnsi="Verdana" w:cs="Arial"/>
          <w:lang w:eastAsia="es-ES"/>
        </w:rPr>
      </w:pPr>
    </w:p>
    <w:p w14:paraId="34436FB5" w14:textId="77777777" w:rsidR="003510AC" w:rsidRDefault="003510AC" w:rsidP="003E4080">
      <w:pPr>
        <w:spacing w:after="0" w:line="240" w:lineRule="auto"/>
        <w:jc w:val="both"/>
        <w:rPr>
          <w:rFonts w:ascii="Verdana" w:eastAsia="Calibri" w:hAnsi="Verdana" w:cs="Arial"/>
          <w:lang w:eastAsia="es-ES"/>
        </w:rPr>
      </w:pPr>
    </w:p>
    <w:p w14:paraId="089E6AC0" w14:textId="77777777" w:rsidR="003510AC" w:rsidRDefault="003510AC" w:rsidP="003E4080">
      <w:pPr>
        <w:spacing w:after="0" w:line="240" w:lineRule="auto"/>
        <w:jc w:val="both"/>
        <w:rPr>
          <w:rFonts w:ascii="Verdana" w:eastAsia="Calibri" w:hAnsi="Verdana" w:cs="Arial"/>
          <w:lang w:eastAsia="es-ES"/>
        </w:rPr>
      </w:pPr>
    </w:p>
    <w:p w14:paraId="7091884C" w14:textId="77777777" w:rsidR="003510AC" w:rsidRDefault="003510AC" w:rsidP="003E4080">
      <w:pPr>
        <w:spacing w:after="0" w:line="240" w:lineRule="auto"/>
        <w:jc w:val="both"/>
        <w:rPr>
          <w:rFonts w:ascii="Verdana" w:eastAsia="Calibri" w:hAnsi="Verdana" w:cs="Arial"/>
          <w:lang w:eastAsia="es-ES"/>
        </w:rPr>
      </w:pPr>
    </w:p>
    <w:p w14:paraId="5E3D52AF" w14:textId="77777777" w:rsidR="003510AC" w:rsidRDefault="003510AC" w:rsidP="003E4080">
      <w:pPr>
        <w:spacing w:after="0" w:line="240" w:lineRule="auto"/>
        <w:jc w:val="both"/>
        <w:rPr>
          <w:rFonts w:ascii="Verdana" w:eastAsia="Calibri" w:hAnsi="Verdana" w:cs="Arial"/>
          <w:lang w:eastAsia="es-ES"/>
        </w:rPr>
      </w:pPr>
    </w:p>
    <w:p w14:paraId="388209A7" w14:textId="77777777" w:rsidR="003510AC" w:rsidRDefault="003510AC" w:rsidP="003E4080">
      <w:pPr>
        <w:spacing w:after="0" w:line="240" w:lineRule="auto"/>
        <w:jc w:val="both"/>
        <w:rPr>
          <w:rFonts w:ascii="Verdana" w:eastAsia="Calibri" w:hAnsi="Verdana" w:cs="Arial"/>
          <w:lang w:eastAsia="es-ES"/>
        </w:rPr>
      </w:pPr>
    </w:p>
    <w:p w14:paraId="2B8D8D29" w14:textId="77777777" w:rsidR="003510AC" w:rsidRDefault="003510AC" w:rsidP="003E4080">
      <w:pPr>
        <w:spacing w:after="0" w:line="240" w:lineRule="auto"/>
        <w:jc w:val="both"/>
        <w:rPr>
          <w:rFonts w:ascii="Verdana" w:eastAsia="Calibri" w:hAnsi="Verdana" w:cs="Arial"/>
          <w:lang w:eastAsia="es-ES"/>
        </w:rPr>
      </w:pPr>
    </w:p>
    <w:p w14:paraId="27118F37" w14:textId="77777777" w:rsidR="003510AC" w:rsidRDefault="003510AC" w:rsidP="003E4080">
      <w:pPr>
        <w:spacing w:after="0" w:line="240" w:lineRule="auto"/>
        <w:jc w:val="both"/>
        <w:rPr>
          <w:rFonts w:ascii="Verdana" w:eastAsia="Calibri" w:hAnsi="Verdana" w:cs="Arial"/>
          <w:lang w:eastAsia="es-ES"/>
        </w:rPr>
      </w:pPr>
    </w:p>
    <w:p w14:paraId="648E0F23" w14:textId="77777777" w:rsidR="003510AC" w:rsidRDefault="003510AC" w:rsidP="003E4080">
      <w:pPr>
        <w:spacing w:after="0" w:line="240" w:lineRule="auto"/>
        <w:jc w:val="both"/>
        <w:rPr>
          <w:rFonts w:ascii="Verdana" w:eastAsia="Calibri" w:hAnsi="Verdana" w:cs="Arial"/>
          <w:lang w:eastAsia="es-ES"/>
        </w:rPr>
      </w:pPr>
    </w:p>
    <w:p w14:paraId="27124A8D" w14:textId="77777777" w:rsidR="003510AC" w:rsidRDefault="003510AC" w:rsidP="003E4080">
      <w:pPr>
        <w:spacing w:after="0" w:line="240" w:lineRule="auto"/>
        <w:jc w:val="both"/>
        <w:rPr>
          <w:rFonts w:ascii="Verdana" w:eastAsia="Calibri" w:hAnsi="Verdana" w:cs="Arial"/>
          <w:lang w:eastAsia="es-ES"/>
        </w:rPr>
      </w:pPr>
    </w:p>
    <w:p w14:paraId="635D1ADD" w14:textId="77777777" w:rsidR="003510AC" w:rsidRDefault="003510AC" w:rsidP="003E4080">
      <w:pPr>
        <w:spacing w:after="0" w:line="240" w:lineRule="auto"/>
        <w:jc w:val="both"/>
        <w:rPr>
          <w:rFonts w:ascii="Verdana" w:eastAsia="Calibri" w:hAnsi="Verdana" w:cs="Arial"/>
          <w:lang w:eastAsia="es-ES"/>
        </w:rPr>
      </w:pPr>
    </w:p>
    <w:p w14:paraId="7910238C" w14:textId="77777777" w:rsidR="003510AC" w:rsidRDefault="003510AC" w:rsidP="003E4080">
      <w:pPr>
        <w:spacing w:after="0" w:line="240" w:lineRule="auto"/>
        <w:jc w:val="both"/>
        <w:rPr>
          <w:rFonts w:ascii="Verdana" w:eastAsia="Calibri" w:hAnsi="Verdana" w:cs="Arial"/>
          <w:lang w:eastAsia="es-ES"/>
        </w:rPr>
      </w:pPr>
    </w:p>
    <w:p w14:paraId="127D0BFB" w14:textId="77777777" w:rsidR="003510AC" w:rsidRDefault="003510AC" w:rsidP="003E4080">
      <w:pPr>
        <w:spacing w:after="0" w:line="240" w:lineRule="auto"/>
        <w:jc w:val="both"/>
        <w:rPr>
          <w:rFonts w:ascii="Verdana" w:eastAsia="Calibri" w:hAnsi="Verdana" w:cs="Arial"/>
          <w:lang w:eastAsia="es-ES"/>
        </w:rPr>
      </w:pPr>
    </w:p>
    <w:p w14:paraId="00EFBD2C" w14:textId="77777777" w:rsidR="003510AC" w:rsidRDefault="003510AC" w:rsidP="003E4080">
      <w:pPr>
        <w:spacing w:after="0" w:line="240" w:lineRule="auto"/>
        <w:jc w:val="both"/>
        <w:rPr>
          <w:rFonts w:ascii="Verdana" w:eastAsia="Calibri" w:hAnsi="Verdana" w:cs="Arial"/>
          <w:lang w:eastAsia="es-ES"/>
        </w:rPr>
      </w:pPr>
    </w:p>
    <w:p w14:paraId="09FBFC15" w14:textId="77777777" w:rsidR="003510AC" w:rsidRDefault="003510AC" w:rsidP="003E4080">
      <w:pPr>
        <w:spacing w:after="0" w:line="240" w:lineRule="auto"/>
        <w:jc w:val="both"/>
        <w:rPr>
          <w:rFonts w:ascii="Verdana" w:eastAsia="Calibri" w:hAnsi="Verdana" w:cs="Arial"/>
          <w:lang w:eastAsia="es-ES"/>
        </w:rPr>
      </w:pPr>
    </w:p>
    <w:p w14:paraId="2D006927" w14:textId="77777777" w:rsidR="003510AC" w:rsidRDefault="003510AC" w:rsidP="003E4080">
      <w:pPr>
        <w:spacing w:after="0" w:line="240" w:lineRule="auto"/>
        <w:jc w:val="both"/>
        <w:rPr>
          <w:rFonts w:ascii="Verdana" w:eastAsia="Calibri" w:hAnsi="Verdana" w:cs="Arial"/>
          <w:lang w:eastAsia="es-ES"/>
        </w:rPr>
      </w:pPr>
    </w:p>
    <w:p w14:paraId="2D5F7467" w14:textId="77777777" w:rsidR="003510AC" w:rsidRDefault="003510AC" w:rsidP="003E4080">
      <w:pPr>
        <w:spacing w:after="0" w:line="240" w:lineRule="auto"/>
        <w:jc w:val="both"/>
        <w:rPr>
          <w:rFonts w:ascii="Verdana" w:eastAsia="Calibri" w:hAnsi="Verdana" w:cs="Arial"/>
          <w:lang w:eastAsia="es-ES"/>
        </w:rPr>
      </w:pPr>
    </w:p>
    <w:p w14:paraId="4738D338" w14:textId="77777777" w:rsidR="003510AC" w:rsidRDefault="003510AC" w:rsidP="003E4080">
      <w:pPr>
        <w:spacing w:after="0" w:line="240" w:lineRule="auto"/>
        <w:jc w:val="both"/>
        <w:rPr>
          <w:rFonts w:ascii="Verdana" w:eastAsia="Calibri" w:hAnsi="Verdana" w:cs="Arial"/>
          <w:lang w:eastAsia="es-ES"/>
        </w:rPr>
      </w:pPr>
    </w:p>
    <w:p w14:paraId="66472387" w14:textId="77777777" w:rsidR="003510AC" w:rsidRDefault="003510AC" w:rsidP="003E4080">
      <w:pPr>
        <w:spacing w:after="0" w:line="240" w:lineRule="auto"/>
        <w:jc w:val="both"/>
        <w:rPr>
          <w:rFonts w:ascii="Verdana" w:eastAsia="Calibri" w:hAnsi="Verdana" w:cs="Arial"/>
          <w:lang w:eastAsia="es-ES"/>
        </w:rPr>
      </w:pPr>
    </w:p>
    <w:p w14:paraId="51BF2D89" w14:textId="77777777" w:rsidR="003510AC" w:rsidRDefault="003510AC" w:rsidP="003E4080">
      <w:pPr>
        <w:spacing w:after="0" w:line="240" w:lineRule="auto"/>
        <w:jc w:val="both"/>
        <w:rPr>
          <w:rFonts w:ascii="Verdana" w:eastAsia="Calibri" w:hAnsi="Verdana" w:cs="Arial"/>
          <w:lang w:eastAsia="es-ES"/>
        </w:rPr>
      </w:pPr>
    </w:p>
    <w:p w14:paraId="532E4B20" w14:textId="77777777" w:rsidR="003510AC" w:rsidRDefault="003510AC" w:rsidP="003E4080">
      <w:pPr>
        <w:spacing w:after="0" w:line="240" w:lineRule="auto"/>
        <w:jc w:val="both"/>
        <w:rPr>
          <w:rFonts w:ascii="Verdana" w:eastAsia="Calibri" w:hAnsi="Verdana" w:cs="Arial"/>
          <w:lang w:eastAsia="es-ES"/>
        </w:rPr>
      </w:pPr>
    </w:p>
    <w:p w14:paraId="00F9D831" w14:textId="77777777" w:rsidR="003510AC" w:rsidRDefault="003510AC" w:rsidP="003E4080">
      <w:pPr>
        <w:spacing w:after="0" w:line="240" w:lineRule="auto"/>
        <w:jc w:val="both"/>
        <w:rPr>
          <w:rFonts w:ascii="Verdana" w:eastAsia="Calibri" w:hAnsi="Verdana" w:cs="Arial"/>
          <w:lang w:eastAsia="es-ES"/>
        </w:rPr>
      </w:pPr>
    </w:p>
    <w:p w14:paraId="4A1A3E2F" w14:textId="77777777" w:rsidR="003510AC" w:rsidRDefault="003510AC" w:rsidP="003E4080">
      <w:pPr>
        <w:spacing w:after="0" w:line="240" w:lineRule="auto"/>
        <w:jc w:val="both"/>
        <w:rPr>
          <w:rFonts w:ascii="Verdana" w:eastAsia="Calibri" w:hAnsi="Verdana" w:cs="Arial"/>
          <w:lang w:eastAsia="es-ES"/>
        </w:rPr>
      </w:pPr>
    </w:p>
    <w:p w14:paraId="35A99452" w14:textId="77777777" w:rsidR="003510AC" w:rsidRDefault="003510AC" w:rsidP="003E4080">
      <w:pPr>
        <w:spacing w:after="0" w:line="240" w:lineRule="auto"/>
        <w:jc w:val="both"/>
        <w:rPr>
          <w:rFonts w:ascii="Verdana" w:eastAsia="Calibri" w:hAnsi="Verdana" w:cs="Arial"/>
          <w:lang w:eastAsia="es-ES"/>
        </w:rPr>
      </w:pPr>
    </w:p>
    <w:p w14:paraId="6CC57579" w14:textId="77777777" w:rsidR="003510AC" w:rsidRDefault="003510AC" w:rsidP="003E4080">
      <w:pPr>
        <w:spacing w:after="0" w:line="240" w:lineRule="auto"/>
        <w:jc w:val="both"/>
        <w:rPr>
          <w:rFonts w:ascii="Verdana" w:eastAsia="Calibri" w:hAnsi="Verdana" w:cs="Arial"/>
          <w:lang w:eastAsia="es-ES"/>
        </w:rPr>
      </w:pPr>
    </w:p>
    <w:p w14:paraId="0926A3B4" w14:textId="77777777" w:rsidR="003510AC" w:rsidRDefault="003510AC" w:rsidP="003E4080">
      <w:pPr>
        <w:spacing w:after="0" w:line="240" w:lineRule="auto"/>
        <w:jc w:val="both"/>
        <w:rPr>
          <w:rFonts w:ascii="Verdana" w:eastAsia="Calibri" w:hAnsi="Verdana" w:cs="Arial"/>
          <w:lang w:eastAsia="es-ES"/>
        </w:rPr>
      </w:pPr>
    </w:p>
    <w:p w14:paraId="2F39C868" w14:textId="77777777" w:rsidR="003510AC" w:rsidRDefault="003510AC" w:rsidP="003E4080">
      <w:pPr>
        <w:spacing w:after="0" w:line="240" w:lineRule="auto"/>
        <w:jc w:val="both"/>
        <w:rPr>
          <w:rFonts w:ascii="Verdana" w:eastAsia="Calibri" w:hAnsi="Verdana" w:cs="Arial"/>
          <w:lang w:eastAsia="es-ES"/>
        </w:rPr>
      </w:pPr>
    </w:p>
    <w:p w14:paraId="216F06A5" w14:textId="77777777" w:rsidR="003510AC" w:rsidRDefault="003510AC" w:rsidP="003E4080">
      <w:pPr>
        <w:spacing w:after="0" w:line="240" w:lineRule="auto"/>
        <w:jc w:val="both"/>
        <w:rPr>
          <w:rFonts w:ascii="Verdana" w:eastAsia="Calibri" w:hAnsi="Verdana" w:cs="Arial"/>
          <w:lang w:eastAsia="es-ES"/>
        </w:rPr>
      </w:pPr>
    </w:p>
    <w:p w14:paraId="454847F7" w14:textId="54574586" w:rsidR="003E4080" w:rsidRDefault="003E4080" w:rsidP="003E4080">
      <w:pPr>
        <w:spacing w:after="0" w:line="240" w:lineRule="auto"/>
        <w:jc w:val="both"/>
        <w:rPr>
          <w:rFonts w:ascii="Verdana" w:eastAsia="Calibri" w:hAnsi="Verdana" w:cs="Arial"/>
          <w:lang w:eastAsia="es-ES"/>
        </w:rPr>
      </w:pPr>
      <w:r w:rsidRPr="007E27D9">
        <w:rPr>
          <w:rFonts w:ascii="Verdana" w:eastAsia="Calibri" w:hAnsi="Verdana" w:cs="Arial"/>
          <w:lang w:eastAsia="es-ES"/>
        </w:rPr>
        <w:lastRenderedPageBreak/>
        <w:t xml:space="preserve">Bogotá D.C., </w:t>
      </w:r>
      <w:r w:rsidR="007E22C8">
        <w:rPr>
          <w:rFonts w:ascii="Verdana" w:eastAsia="Calibri" w:hAnsi="Verdana" w:cs="Arial"/>
          <w:lang w:eastAsia="es-ES"/>
        </w:rPr>
        <w:t>23 de febrero de 2026</w:t>
      </w:r>
    </w:p>
    <w:p w14:paraId="3851DFF9" w14:textId="23068809" w:rsidR="003510AC" w:rsidRDefault="003510AC" w:rsidP="003510AC">
      <w:pPr>
        <w:spacing w:after="0" w:line="240" w:lineRule="auto"/>
        <w:jc w:val="right"/>
        <w:rPr>
          <w:rFonts w:ascii="Verdana" w:eastAsia="Calibri" w:hAnsi="Verdana" w:cs="Arial"/>
          <w:lang w:eastAsia="es-ES"/>
        </w:rPr>
      </w:pPr>
      <w:r w:rsidRPr="003510AC">
        <w:rPr>
          <w:rFonts w:ascii="Verdana" w:eastAsia="Calibri" w:hAnsi="Verdana" w:cs="Arial"/>
          <w:noProof/>
          <w:lang w:eastAsia="es-ES"/>
        </w:rPr>
        <w:drawing>
          <wp:inline distT="0" distB="0" distL="0" distR="0" wp14:anchorId="4C9D9257" wp14:editId="5ADCD396">
            <wp:extent cx="3079828" cy="963930"/>
            <wp:effectExtent l="0" t="0" r="6350" b="7620"/>
            <wp:docPr id="8524846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484638" name=""/>
                    <pic:cNvPicPr/>
                  </pic:nvPicPr>
                  <pic:blipFill>
                    <a:blip r:embed="rId10"/>
                    <a:stretch>
                      <a:fillRect/>
                    </a:stretch>
                  </pic:blipFill>
                  <pic:spPr>
                    <a:xfrm>
                      <a:off x="0" y="0"/>
                      <a:ext cx="3102186" cy="970928"/>
                    </a:xfrm>
                    <a:prstGeom prst="rect">
                      <a:avLst/>
                    </a:prstGeom>
                  </pic:spPr>
                </pic:pic>
              </a:graphicData>
            </a:graphic>
          </wp:inline>
        </w:drawing>
      </w:r>
    </w:p>
    <w:p w14:paraId="00FDB10A" w14:textId="77777777" w:rsidR="003E4080" w:rsidRPr="00B24331" w:rsidRDefault="003E4080" w:rsidP="003E4080">
      <w:pPr>
        <w:spacing w:after="0" w:line="240" w:lineRule="auto"/>
        <w:jc w:val="both"/>
        <w:rPr>
          <w:rFonts w:ascii="Verdana" w:eastAsia="Calibri" w:hAnsi="Verdana" w:cs="Arial"/>
          <w:lang w:eastAsia="es-ES"/>
        </w:rPr>
      </w:pPr>
      <w:r w:rsidRPr="00B24331">
        <w:rPr>
          <w:rFonts w:ascii="Verdana" w:eastAsia="Calibri" w:hAnsi="Verdana" w:cs="Arial"/>
          <w:lang w:eastAsia="es-ES"/>
        </w:rPr>
        <w:t>Señor</w:t>
      </w:r>
      <w:r>
        <w:rPr>
          <w:rFonts w:ascii="Verdana" w:eastAsia="Calibri" w:hAnsi="Verdana" w:cs="Arial"/>
          <w:lang w:eastAsia="es-ES"/>
        </w:rPr>
        <w:t>a</w:t>
      </w:r>
    </w:p>
    <w:p w14:paraId="1F7D8C19" w14:textId="77777777" w:rsidR="003E4080" w:rsidRDefault="003E4080" w:rsidP="003E4080">
      <w:pPr>
        <w:spacing w:after="0" w:line="240" w:lineRule="auto"/>
        <w:jc w:val="both"/>
        <w:rPr>
          <w:rFonts w:ascii="Verdana" w:eastAsia="Calibri" w:hAnsi="Verdana" w:cs="Arial"/>
          <w:b/>
          <w:bCs/>
          <w:lang w:eastAsia="es-ES"/>
        </w:rPr>
      </w:pPr>
      <w:r w:rsidRPr="003D4B30">
        <w:rPr>
          <w:rFonts w:ascii="Verdana" w:eastAsia="Calibri" w:hAnsi="Verdana" w:cs="Arial"/>
          <w:b/>
          <w:bCs/>
          <w:lang w:eastAsia="es-ES"/>
        </w:rPr>
        <w:t>Claret Velasco Rojas</w:t>
      </w:r>
    </w:p>
    <w:p w14:paraId="2E746F27" w14:textId="77777777" w:rsidR="003E4080" w:rsidRPr="003D4B30" w:rsidRDefault="003E4080" w:rsidP="003E4080">
      <w:pPr>
        <w:spacing w:after="0" w:line="240" w:lineRule="auto"/>
        <w:jc w:val="both"/>
        <w:rPr>
          <w:rFonts w:ascii="Verdana" w:hAnsi="Verdana"/>
          <w:b/>
          <w:bCs/>
        </w:rPr>
      </w:pPr>
      <w:r w:rsidRPr="003D4B30">
        <w:rPr>
          <w:rFonts w:ascii="Verdana" w:hAnsi="Verdana"/>
          <w:b/>
          <w:bCs/>
        </w:rPr>
        <w:t>Empresa de Servicios Públicos de Tame Caribabare</w:t>
      </w:r>
    </w:p>
    <w:p w14:paraId="43D908DE" w14:textId="77777777" w:rsidR="003E4080" w:rsidRPr="003D4B30" w:rsidRDefault="003E4080" w:rsidP="003E4080">
      <w:pPr>
        <w:spacing w:after="0" w:line="240" w:lineRule="auto"/>
        <w:jc w:val="both"/>
        <w:rPr>
          <w:rFonts w:ascii="Verdana" w:hAnsi="Verdana"/>
          <w:b/>
          <w:bCs/>
        </w:rPr>
      </w:pPr>
      <w:hyperlink r:id="rId11" w:history="1">
        <w:r w:rsidRPr="003D4B30">
          <w:rPr>
            <w:rStyle w:val="Hipervnculo"/>
            <w:rFonts w:ascii="Verdana" w:hAnsi="Verdana"/>
            <w:b/>
            <w:bCs/>
          </w:rPr>
          <w:t>secretaria@caribabare.gov.co</w:t>
        </w:r>
      </w:hyperlink>
    </w:p>
    <w:p w14:paraId="7835F8BC" w14:textId="77777777" w:rsidR="003E4080" w:rsidRPr="00863416" w:rsidRDefault="003E4080" w:rsidP="003E4080">
      <w:pPr>
        <w:spacing w:after="0" w:line="240" w:lineRule="auto"/>
        <w:jc w:val="both"/>
        <w:rPr>
          <w:rFonts w:ascii="Verdana" w:hAnsi="Verdana"/>
        </w:rPr>
      </w:pPr>
      <w:r w:rsidRPr="00863416">
        <w:rPr>
          <w:rFonts w:ascii="Verdana" w:hAnsi="Verdana"/>
        </w:rPr>
        <w:t xml:space="preserve">Tame – Arauca </w:t>
      </w:r>
    </w:p>
    <w:p w14:paraId="499442C7" w14:textId="77777777" w:rsidR="003E4080" w:rsidRPr="00863416" w:rsidRDefault="003E4080" w:rsidP="003E4080">
      <w:pPr>
        <w:spacing w:after="0" w:line="240" w:lineRule="auto"/>
        <w:jc w:val="both"/>
        <w:rPr>
          <w:rFonts w:ascii="Verdana" w:hAnsi="Verdana"/>
        </w:rPr>
      </w:pPr>
    </w:p>
    <w:p w14:paraId="57D29725" w14:textId="77777777" w:rsidR="003E4080" w:rsidRPr="00863416" w:rsidRDefault="003E4080" w:rsidP="003E4080">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3E4080" w:rsidRPr="005644FE" w14:paraId="6BBD5CA7" w14:textId="77777777" w:rsidTr="003929D7">
        <w:trPr>
          <w:trHeight w:val="162"/>
        </w:trPr>
        <w:tc>
          <w:tcPr>
            <w:tcW w:w="3119" w:type="dxa"/>
          </w:tcPr>
          <w:p w14:paraId="44FD51E3" w14:textId="77777777" w:rsidR="003E4080" w:rsidRPr="00863416" w:rsidRDefault="003E4080" w:rsidP="003929D7">
            <w:pPr>
              <w:jc w:val="both"/>
              <w:rPr>
                <w:rFonts w:ascii="Verdana" w:eastAsia="Calibri" w:hAnsi="Verdana" w:cs="Arial"/>
                <w:b/>
                <w:bCs/>
                <w:color w:val="7030A0"/>
                <w:lang w:eastAsia="es-ES_tradnl"/>
              </w:rPr>
            </w:pPr>
          </w:p>
        </w:tc>
        <w:tc>
          <w:tcPr>
            <w:tcW w:w="5670" w:type="dxa"/>
          </w:tcPr>
          <w:p w14:paraId="453B5D70" w14:textId="77777777" w:rsidR="003E4080" w:rsidRPr="005644FE" w:rsidRDefault="003E4080" w:rsidP="003929D7">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107 de 2026</w:t>
            </w:r>
          </w:p>
          <w:p w14:paraId="117C61B7" w14:textId="77777777" w:rsidR="003E4080" w:rsidRPr="005644FE" w:rsidRDefault="003E4080" w:rsidP="003929D7">
            <w:pPr>
              <w:jc w:val="both"/>
              <w:rPr>
                <w:rFonts w:ascii="Verdana" w:eastAsia="Calibri" w:hAnsi="Verdana" w:cs="Arial"/>
                <w:b/>
                <w:bCs/>
                <w:color w:val="7030A0"/>
                <w:lang w:eastAsia="es-ES"/>
              </w:rPr>
            </w:pPr>
          </w:p>
        </w:tc>
      </w:tr>
      <w:tr w:rsidR="003E4080" w:rsidRPr="005644FE" w14:paraId="6E42F350" w14:textId="77777777" w:rsidTr="003929D7">
        <w:trPr>
          <w:trHeight w:val="884"/>
        </w:trPr>
        <w:tc>
          <w:tcPr>
            <w:tcW w:w="3119" w:type="dxa"/>
          </w:tcPr>
          <w:p w14:paraId="5A987531" w14:textId="77777777" w:rsidR="003E4080" w:rsidRPr="005644FE" w:rsidRDefault="003E4080" w:rsidP="003929D7">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25D4C2D4" w14:textId="77777777" w:rsidR="003E4080" w:rsidRPr="00E65C5F" w:rsidRDefault="003E4080" w:rsidP="003929D7">
            <w:pPr>
              <w:spacing w:after="255"/>
              <w:contextualSpacing/>
              <w:jc w:val="both"/>
              <w:rPr>
                <w:rFonts w:ascii="Verdana" w:hAnsi="Verdana" w:cs="Arial"/>
                <w:color w:val="000000" w:themeColor="text1"/>
              </w:rPr>
            </w:pPr>
            <w:r>
              <w:rPr>
                <w:rFonts w:ascii="Verdana" w:hAnsi="Verdana" w:cs="Arial"/>
                <w:color w:val="000000" w:themeColor="text1"/>
              </w:rPr>
              <w:t xml:space="preserve">REQUISITOS DE PERFECCIONAMIENTO DEL CONTRATO – Alcance / ELEMENTOS DEL CONTRATO – Esencia - Naturaleza – Accidentales / NATURALEZA DEL CONTRATO- Consensual – Real – Solemne / CONTRATO ESTATAL – Requisitos de perfeccionamiento y de ejecución – Ley 80 de 1993 artículo 41/ REQUISITOS DE EJECUCIÓN DEL CONTRATO ESTATAL – Naturaleza / ACTA DE INICIO – Requisito de ejecución convencional / </w:t>
            </w:r>
            <w:r>
              <w:rPr>
                <w:rFonts w:ascii="Verdana" w:eastAsia="Calibri" w:hAnsi="Verdana" w:cs="Arial"/>
                <w:bCs/>
                <w:lang w:val="es-MX" w:eastAsia="es-MX"/>
              </w:rPr>
              <w:t xml:space="preserve">LEY DE GARANTÍAS ELECTORALES – Objetivo / LEY DE GARANTÍAS ELECTORALES – Prohibiciones / </w:t>
            </w:r>
            <w:r>
              <w:rPr>
                <w:rFonts w:ascii="Verdana" w:eastAsia="Calibri" w:hAnsi="Verdana" w:cs="Arial"/>
                <w:bCs/>
                <w:lang w:val="es-MX"/>
              </w:rPr>
              <w:t xml:space="preserve">LEY DE GARANTÍAS ELECTORALES ─ Prohibición artículo 33 ‒ Contratación directa ‒ Alcance </w:t>
            </w:r>
            <w:r>
              <w:rPr>
                <w:rFonts w:ascii="Verdana" w:eastAsia="Times New Roman" w:hAnsi="Verdana" w:cs="Arial"/>
                <w:bCs/>
                <w:lang w:eastAsia="es-CO"/>
              </w:rPr>
              <w:t xml:space="preserve">/ </w:t>
            </w:r>
            <w:r>
              <w:rPr>
                <w:rFonts w:ascii="Verdana" w:eastAsia="Calibri" w:hAnsi="Verdana" w:cs="Arial"/>
                <w:bCs/>
                <w:lang w:val="es-MX"/>
              </w:rPr>
              <w:t>LEY DE GARANTÍAS ELECTORALES ─ Prohibición artículo 33 ‒ Contratación directa ‒ Destinatarios</w:t>
            </w:r>
            <w:r>
              <w:rPr>
                <w:rFonts w:ascii="Verdana" w:eastAsia="Times New Roman" w:hAnsi="Verdana" w:cs="Arial"/>
                <w:bCs/>
                <w:lang w:val="es-MX" w:eastAsia="es-CO"/>
              </w:rPr>
              <w:t xml:space="preserve"> </w:t>
            </w:r>
            <w:r>
              <w:rPr>
                <w:rFonts w:ascii="Verdana" w:eastAsia="Times New Roman" w:hAnsi="Verdana" w:cs="Arial"/>
                <w:bCs/>
                <w:lang w:eastAsia="es-CO"/>
              </w:rPr>
              <w:t xml:space="preserve">/ LEY DE GARANTÍAS ELECTORALES ‒ Excepciones / </w:t>
            </w:r>
            <w:r>
              <w:rPr>
                <w:rFonts w:ascii="Verdana" w:eastAsia="Calibri" w:hAnsi="Verdana" w:cs="Arial"/>
                <w:color w:val="000000" w:themeColor="text1"/>
                <w:lang w:val="es-ES_tradnl" w:eastAsia="es-ES_tradnl"/>
              </w:rPr>
              <w:t xml:space="preserve"> </w:t>
            </w:r>
            <w:r>
              <w:rPr>
                <w:rFonts w:ascii="Verdana" w:eastAsia="Times New Roman" w:hAnsi="Verdana" w:cs="Arial"/>
                <w:bCs/>
                <w:lang w:eastAsia="es-CO"/>
              </w:rPr>
              <w:t xml:space="preserve">LEY DE GARANTÍAS ELECTORALES – Suscripción del acta de inicio </w:t>
            </w:r>
          </w:p>
        </w:tc>
      </w:tr>
      <w:tr w:rsidR="003E4080" w:rsidRPr="005644FE" w14:paraId="3512BA2A" w14:textId="77777777" w:rsidTr="003929D7">
        <w:tc>
          <w:tcPr>
            <w:tcW w:w="3119" w:type="dxa"/>
          </w:tcPr>
          <w:p w14:paraId="197D3C06" w14:textId="77777777" w:rsidR="003E4080" w:rsidRPr="005644FE" w:rsidRDefault="003E4080" w:rsidP="003929D7">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747484AC" w14:textId="77777777" w:rsidR="003E4080" w:rsidRPr="00F04657" w:rsidRDefault="003E4080" w:rsidP="003929D7">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3D4B30">
              <w:rPr>
                <w:rFonts w:ascii="Verdana" w:eastAsia="Calibri" w:hAnsi="Verdana" w:cs="Arial"/>
                <w:lang w:eastAsia="es-ES_tradnl"/>
              </w:rPr>
              <w:t>1_2026_01_27_000871</w:t>
            </w:r>
          </w:p>
        </w:tc>
      </w:tr>
    </w:tbl>
    <w:p w14:paraId="2A7CA484" w14:textId="77777777" w:rsidR="003E4080" w:rsidRPr="005644FE" w:rsidRDefault="003E4080" w:rsidP="003E4080">
      <w:pPr>
        <w:spacing w:after="0" w:line="276" w:lineRule="auto"/>
        <w:jc w:val="both"/>
        <w:rPr>
          <w:rFonts w:ascii="Verdana" w:eastAsia="Calibri" w:hAnsi="Verdana" w:cs="Arial"/>
          <w:lang w:eastAsia="es-ES_tradnl"/>
        </w:rPr>
      </w:pPr>
    </w:p>
    <w:p w14:paraId="0AC02BD5" w14:textId="3A3025A0" w:rsidR="003E4080" w:rsidRPr="005644FE" w:rsidRDefault="003E4080" w:rsidP="003E4080">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sidR="00FD7B2E">
        <w:rPr>
          <w:rFonts w:ascii="Verdana" w:eastAsia="Calibri" w:hAnsi="Verdana" w:cs="Arial"/>
          <w:lang w:eastAsia="es-ES"/>
        </w:rPr>
        <w:t>a</w:t>
      </w:r>
      <w:r>
        <w:rPr>
          <w:rFonts w:ascii="Verdana" w:eastAsia="Calibri" w:hAnsi="Verdana" w:cs="Arial"/>
          <w:lang w:eastAsia="es-ES"/>
        </w:rPr>
        <w:t xml:space="preserve"> señora Claret:</w:t>
      </w:r>
    </w:p>
    <w:p w14:paraId="095E2F9F" w14:textId="77777777" w:rsidR="003E4080" w:rsidRPr="00E02524" w:rsidRDefault="003E4080" w:rsidP="003E4080">
      <w:pPr>
        <w:spacing w:after="0"/>
        <w:jc w:val="both"/>
        <w:rPr>
          <w:rFonts w:ascii="Verdana" w:hAnsi="Verdana"/>
          <w:lang w:val="es-MX"/>
        </w:rPr>
      </w:pPr>
    </w:p>
    <w:p w14:paraId="7D55A4CD" w14:textId="77777777" w:rsidR="003E4080" w:rsidRDefault="003E4080" w:rsidP="003E4080">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 xml:space="preserve">por los artículos 3, numeral 5º, y 11, </w:t>
      </w:r>
      <w:r w:rsidRPr="005644FE">
        <w:rPr>
          <w:rFonts w:ascii="Verdana" w:eastAsia="Calibri" w:hAnsi="Verdana" w:cs="Arial"/>
          <w:lang w:eastAsia="es-ES"/>
        </w:rPr>
        <w:lastRenderedPageBreak/>
        <w:t>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r w:rsidRPr="00E02524">
        <w:rPr>
          <w:rFonts w:ascii="Verdana" w:eastAsia="Times New Roman" w:hAnsi="Verdana" w:cs="Segoe UI"/>
          <w:lang w:eastAsia="es-CO"/>
        </w:rPr>
        <w:t xml:space="preserve">N°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27 de enero de 2026,</w:t>
      </w:r>
      <w:r w:rsidRPr="005644FE">
        <w:rPr>
          <w:rFonts w:ascii="Verdana" w:eastAsia="Calibri" w:hAnsi="Verdana" w:cs="Arial"/>
          <w:lang w:eastAsia="es-ES"/>
        </w:rPr>
        <w:t xml:space="preserve"> en la cual manifiesta lo siguiente:</w:t>
      </w:r>
    </w:p>
    <w:p w14:paraId="59A03599" w14:textId="77777777" w:rsidR="003E4080" w:rsidRDefault="003E4080" w:rsidP="003E4080">
      <w:pPr>
        <w:spacing w:after="0"/>
        <w:jc w:val="both"/>
        <w:rPr>
          <w:rFonts w:ascii="Verdana" w:hAnsi="Verdana"/>
        </w:rPr>
      </w:pPr>
      <w:r w:rsidRPr="00E02524">
        <w:rPr>
          <w:rFonts w:ascii="Verdana" w:hAnsi="Verdana"/>
        </w:rPr>
        <w:t xml:space="preserve">PETICIÓN REALIZADA </w:t>
      </w:r>
    </w:p>
    <w:p w14:paraId="7235026D" w14:textId="77777777" w:rsidR="003E4080" w:rsidRPr="008E5B36" w:rsidRDefault="003E4080" w:rsidP="003E4080">
      <w:pPr>
        <w:spacing w:after="0" w:line="240" w:lineRule="auto"/>
        <w:jc w:val="both"/>
        <w:rPr>
          <w:rFonts w:ascii="Verdana" w:hAnsi="Verdana"/>
        </w:rPr>
      </w:pPr>
    </w:p>
    <w:p w14:paraId="76AAF340" w14:textId="77777777" w:rsidR="003E4080" w:rsidRPr="00594153" w:rsidRDefault="003E4080" w:rsidP="003E4080">
      <w:pPr>
        <w:spacing w:after="0" w:line="240" w:lineRule="auto"/>
        <w:ind w:left="567" w:right="758"/>
        <w:jc w:val="both"/>
        <w:rPr>
          <w:rFonts w:ascii="Verdana" w:hAnsi="Verdana"/>
          <w:sz w:val="20"/>
          <w:szCs w:val="20"/>
        </w:rPr>
      </w:pPr>
      <w:r w:rsidRPr="00FC1BE4">
        <w:rPr>
          <w:rFonts w:ascii="Verdana" w:hAnsi="Verdana"/>
          <w:sz w:val="20"/>
          <w:szCs w:val="20"/>
        </w:rPr>
        <w:t xml:space="preserve">“(…) </w:t>
      </w:r>
      <w:r w:rsidRPr="00863416">
        <w:rPr>
          <w:rFonts w:ascii="Verdana" w:hAnsi="Verdana"/>
          <w:sz w:val="20"/>
          <w:szCs w:val="20"/>
        </w:rPr>
        <w:t xml:space="preserve">Tengo una inquietud frente a la contratación directa. Según Ley de Garantías dice que este tipo de contratación se debe realizar máximo hasta el 31 de enero de 2026. La fecha de elaboración queda máximo el 31 de diciembre. Mi pregunta es: Legalmente se puede hacer acta de inicio del 02 de febrero, siendo este el primer día hábil de ese mes?... O el acta de inicio también se debe dejar máximo al 31 de enero de 2026? </w:t>
      </w:r>
      <w:r w:rsidRPr="00FC1BE4">
        <w:rPr>
          <w:rFonts w:ascii="Verdana" w:hAnsi="Verdana"/>
          <w:sz w:val="20"/>
          <w:szCs w:val="20"/>
        </w:rPr>
        <w:t>(…)”.</w:t>
      </w:r>
    </w:p>
    <w:p w14:paraId="1742CE92" w14:textId="77777777" w:rsidR="003E4080" w:rsidRPr="00763B14" w:rsidRDefault="003E4080" w:rsidP="003E4080">
      <w:pPr>
        <w:spacing w:after="0" w:line="240" w:lineRule="auto"/>
        <w:ind w:left="567" w:right="758"/>
        <w:jc w:val="both"/>
        <w:rPr>
          <w:rFonts w:ascii="Verdana" w:hAnsi="Verdana"/>
          <w:sz w:val="20"/>
          <w:szCs w:val="20"/>
        </w:rPr>
      </w:pPr>
    </w:p>
    <w:p w14:paraId="78FB754D" w14:textId="77777777" w:rsidR="003E4080" w:rsidRPr="00F64722" w:rsidRDefault="003E4080" w:rsidP="003E4080">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1D00900" w14:textId="77777777" w:rsidR="003E4080" w:rsidRPr="00F64722" w:rsidRDefault="003E4080" w:rsidP="003E4080">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w:t>
      </w:r>
      <w:r w:rsidRPr="00F64722">
        <w:rPr>
          <w:rFonts w:ascii="Verdana" w:eastAsia="Calibri" w:hAnsi="Verdana" w:cs="Arial"/>
          <w:color w:val="000000"/>
          <w:lang w:eastAsia="es-ES"/>
        </w:rPr>
        <w:t>l</w:t>
      </w:r>
      <w:r>
        <w:rPr>
          <w:rFonts w:ascii="Verdana" w:eastAsia="Calibri" w:hAnsi="Verdana" w:cs="Arial"/>
          <w:color w:val="000000"/>
          <w:lang w:eastAsia="es-ES"/>
        </w:rPr>
        <w:t>os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 xml:space="preserve"> de su consulta.</w:t>
      </w:r>
      <w:r w:rsidRPr="00F64722">
        <w:rPr>
          <w:rFonts w:ascii="Verdana" w:eastAsia="Calibri" w:hAnsi="Verdana" w:cs="Arial"/>
          <w:lang w:eastAsia="es-ES"/>
        </w:rPr>
        <w:t xml:space="preserve">  </w:t>
      </w:r>
    </w:p>
    <w:p w14:paraId="04F632EC" w14:textId="77777777" w:rsidR="003E4080" w:rsidRPr="00F64722" w:rsidRDefault="003E4080" w:rsidP="003E4080">
      <w:pPr>
        <w:spacing w:after="0" w:line="276" w:lineRule="auto"/>
        <w:ind w:firstLine="709"/>
        <w:jc w:val="both"/>
        <w:rPr>
          <w:rFonts w:ascii="Verdana" w:eastAsia="Calibri" w:hAnsi="Verdana" w:cs="Arial"/>
          <w:lang w:eastAsia="es-ES"/>
        </w:rPr>
      </w:pPr>
    </w:p>
    <w:p w14:paraId="740C4D1D" w14:textId="77777777" w:rsidR="003E4080" w:rsidRPr="00F64722" w:rsidRDefault="003E4080" w:rsidP="003E408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16F75962" w14:textId="77777777" w:rsidR="003E4080" w:rsidRPr="00F64722" w:rsidRDefault="003E4080" w:rsidP="003E4080">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2A2CC438" w14:textId="77777777" w:rsidR="003E4080" w:rsidRDefault="003E4080" w:rsidP="003E4080">
      <w:pPr>
        <w:spacing w:after="0" w:line="276" w:lineRule="auto"/>
        <w:jc w:val="both"/>
        <w:rPr>
          <w:rFonts w:ascii="Verdana" w:eastAsia="Calibri" w:hAnsi="Verdana" w:cs="Arial"/>
          <w:color w:val="000000"/>
          <w:lang w:eastAsia="es-ES"/>
        </w:rPr>
      </w:pPr>
      <w:r w:rsidRPr="00F64722">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los </w:t>
      </w:r>
      <w:r w:rsidRPr="00F64722">
        <w:rPr>
          <w:rFonts w:ascii="Verdana" w:eastAsia="Calibri" w:hAnsi="Verdana" w:cs="Arial"/>
          <w:color w:val="000000"/>
          <w:lang w:eastAsia="es-ES"/>
        </w:rPr>
        <w:t>siguiente</w:t>
      </w:r>
      <w:r>
        <w:rPr>
          <w:rFonts w:ascii="Verdana" w:eastAsia="Calibri" w:hAnsi="Verdana" w:cs="Arial"/>
          <w:color w:val="000000"/>
          <w:lang w:eastAsia="es-ES"/>
        </w:rPr>
        <w:t>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w:t>
      </w:r>
      <w:r>
        <w:rPr>
          <w:rFonts w:ascii="Verdana" w:eastAsia="Calibri" w:hAnsi="Verdana" w:cs="Arial"/>
          <w:color w:val="000000"/>
          <w:lang w:eastAsia="es-ES"/>
        </w:rPr>
        <w:t xml:space="preserve"> i) ¿Cuál es el alcance del acta de inicio en un contrato </w:t>
      </w:r>
      <w:r>
        <w:rPr>
          <w:rFonts w:ascii="Verdana" w:eastAsia="Calibri" w:hAnsi="Verdana" w:cs="Arial"/>
          <w:color w:val="000000"/>
          <w:lang w:eastAsia="es-ES"/>
        </w:rPr>
        <w:lastRenderedPageBreak/>
        <w:t>estatal? ii) En vigencia de la aplicación del artículo 33 de la Ley 996 de 2005 conocida como ley de garantías electorales ¿el acta de inicio de un contrato estatal debe suscribirse antes de la entrada en vigencia de dicha restricción?</w:t>
      </w:r>
    </w:p>
    <w:p w14:paraId="127053FD" w14:textId="77777777" w:rsidR="003E4080" w:rsidRDefault="003E4080" w:rsidP="003E4080">
      <w:pPr>
        <w:spacing w:after="0" w:line="276" w:lineRule="auto"/>
        <w:jc w:val="both"/>
        <w:rPr>
          <w:rFonts w:ascii="Verdana" w:eastAsia="Century Gothic" w:hAnsi="Verdana" w:cs="Century Gothic"/>
          <w:b/>
          <w:bCs/>
        </w:rPr>
      </w:pPr>
    </w:p>
    <w:p w14:paraId="7A52DADC" w14:textId="77777777" w:rsidR="003E4080" w:rsidRDefault="003E4080" w:rsidP="003E4080">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57A334D6" w14:textId="77777777" w:rsidR="003E4080" w:rsidRPr="005644FE" w:rsidRDefault="003E4080" w:rsidP="003E4080">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3E4080" w:rsidRPr="005644FE" w14:paraId="19ADF56C" w14:textId="77777777" w:rsidTr="003929D7">
        <w:tc>
          <w:tcPr>
            <w:tcW w:w="8828" w:type="dxa"/>
          </w:tcPr>
          <w:p w14:paraId="2B2EECF4" w14:textId="77777777" w:rsidR="003E4080" w:rsidRPr="002D6B92" w:rsidRDefault="003E4080" w:rsidP="003929D7">
            <w:pPr>
              <w:spacing w:after="120" w:line="276" w:lineRule="auto"/>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El Estatuto General de Contratación de la Administración Pública – en adelante EGCAP – prevé dos tipos de exigencias en relación con los contratos estatales: i) las relacionadas con el perfeccionamiento y ii) las que tienen que ver con la ejecución.</w:t>
            </w:r>
            <w:r>
              <w:rPr>
                <w:rFonts w:ascii="Verdana" w:eastAsia="Calibri" w:hAnsi="Verdana" w:cs="Arial"/>
                <w:color w:val="000000" w:themeColor="text1"/>
                <w:lang w:val="es-ES" w:eastAsia="en-GB"/>
              </w:rPr>
              <w:t xml:space="preserve"> </w:t>
            </w: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w:t>
            </w:r>
          </w:p>
          <w:p w14:paraId="4245261B" w14:textId="77777777" w:rsidR="003E4080" w:rsidRDefault="003E4080" w:rsidP="003929D7">
            <w:pPr>
              <w:spacing w:after="120" w:line="276" w:lineRule="auto"/>
              <w:ind w:firstLine="709"/>
              <w:jc w:val="both"/>
              <w:rPr>
                <w:rFonts w:ascii="Verdana" w:eastAsia="Calibri" w:hAnsi="Verdana" w:cs="Arial"/>
                <w:color w:val="000000" w:themeColor="text1"/>
                <w:lang w:val="es-ES" w:eastAsia="en-GB"/>
              </w:rPr>
            </w:pPr>
            <w:r w:rsidRPr="1916222D">
              <w:rPr>
                <w:rFonts w:ascii="Verdana" w:eastAsia="Calibri" w:hAnsi="Verdana" w:cs="Arial"/>
                <w:color w:val="000000" w:themeColor="text1"/>
                <w:lang w:val="es-ES" w:eastAsia="en-GB"/>
              </w:rPr>
              <w:t xml:space="preserve">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w:t>
            </w:r>
            <w:r>
              <w:rPr>
                <w:rFonts w:ascii="Verdana" w:eastAsia="Calibri" w:hAnsi="Verdana" w:cs="Arial"/>
                <w:color w:val="000000" w:themeColor="text1"/>
                <w:lang w:val="es-ES" w:eastAsia="en-GB"/>
              </w:rPr>
              <w:t xml:space="preserve">Respecto del contrato estatal, </w:t>
            </w:r>
            <w:r w:rsidRPr="1916222D">
              <w:rPr>
                <w:rFonts w:ascii="Verdana" w:eastAsia="Calibri" w:hAnsi="Verdana" w:cs="Arial"/>
                <w:color w:val="000000" w:themeColor="text1"/>
                <w:lang w:val="es-ES" w:eastAsia="en-GB"/>
              </w:rPr>
              <w:t>el artículo 41 de la Ley 80 de 1993</w:t>
            </w:r>
            <w:r w:rsidRPr="1916222D">
              <w:rPr>
                <w:rFonts w:ascii="Verdana" w:eastAsia="Calibri" w:hAnsi="Verdana" w:cs="Arial"/>
                <w:color w:val="000000" w:themeColor="text1"/>
                <w:lang w:eastAsia="en-GB"/>
              </w:rPr>
              <w:t>, modificado por el artículo 23 de la Ley 1150 de 2007</w:t>
            </w:r>
            <w:r>
              <w:rPr>
                <w:rFonts w:ascii="Verdana" w:eastAsia="Calibri" w:hAnsi="Verdana" w:cs="Arial"/>
                <w:color w:val="000000" w:themeColor="text1"/>
                <w:lang w:eastAsia="en-GB"/>
              </w:rPr>
              <w:t xml:space="preserve"> estableció como requisitos legales de ejecución: </w:t>
            </w:r>
            <w:r w:rsidRPr="1916222D">
              <w:rPr>
                <w:rFonts w:ascii="Verdana" w:eastAsia="Calibri" w:hAnsi="Verdana" w:cs="Arial"/>
                <w:color w:val="000000" w:themeColor="text1"/>
                <w:lang w:val="es-ES" w:eastAsia="en-GB"/>
              </w:rPr>
              <w:t>i) la aprobación de las garantías exigidas en el contrato, ii) la existencia de la apropiación presupuestal correspondiente y iii) la acreditación del cumplimiento de las obligaciones con el Sistema de Seguridad Social Integral.</w:t>
            </w:r>
          </w:p>
          <w:p w14:paraId="71D3AF00" w14:textId="77777777" w:rsidR="003E4080" w:rsidRDefault="003E4080" w:rsidP="003929D7">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 la suscripción del acta de inicio usualmente se pacta en la cláusula del plazo, estableciendo que la fecha de la firma de tal documento será el hito que determinará desde cuándo </w:t>
            </w:r>
            <w:r w:rsidRPr="00034F0A">
              <w:rPr>
                <w:rFonts w:ascii="Verdana" w:eastAsia="Calibri" w:hAnsi="Verdana" w:cs="Arial"/>
                <w:lang w:val="es-ES" w:eastAsia="es-ES"/>
              </w:rPr>
              <w:lastRenderedPageBreak/>
              <w:t>comenzarán a contabilizarse los días, meses o años que se hayan estipulado como período para el cumplimiento del objeto del contrato</w:t>
            </w:r>
            <w:r>
              <w:rPr>
                <w:rFonts w:ascii="Verdana" w:eastAsia="Calibri" w:hAnsi="Verdana" w:cs="Arial"/>
                <w:lang w:val="es-ES" w:eastAsia="es-ES"/>
              </w:rPr>
              <w:t>.</w:t>
            </w:r>
          </w:p>
          <w:p w14:paraId="60ED80FE" w14:textId="77777777" w:rsidR="003E4080" w:rsidRDefault="003E4080" w:rsidP="003929D7">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127A82FE" w14:textId="77777777" w:rsidR="003E4080" w:rsidRPr="00F10E52" w:rsidRDefault="003E4080" w:rsidP="003929D7">
            <w:pPr>
              <w:spacing w:after="120" w:line="276" w:lineRule="auto"/>
              <w:jc w:val="both"/>
              <w:rPr>
                <w:rFonts w:ascii="Verdana" w:eastAsia="Arial" w:hAnsi="Verdana" w:cs="Arial"/>
                <w:lang w:val="es-ES" w:eastAsia="es-ES" w:bidi="es-ES"/>
              </w:rPr>
            </w:pPr>
            <w:r>
              <w:rPr>
                <w:rFonts w:ascii="Verdana" w:eastAsia="Calibri" w:hAnsi="Verdana" w:cs="Arial"/>
                <w:lang w:val="es-ES" w:eastAsia="es-ES"/>
              </w:rPr>
              <w:t xml:space="preserve">ii) </w:t>
            </w:r>
            <w:r>
              <w:rPr>
                <w:rFonts w:ascii="Verdana" w:eastAsia="Arial" w:hAnsi="Verdana" w:cs="Arial"/>
                <w:lang w:val="es-ES" w:eastAsia="es-ES" w:bidi="es-ES"/>
              </w:rPr>
              <w:t>L</w:t>
            </w:r>
            <w:r w:rsidRPr="00F10E52">
              <w:rPr>
                <w:rFonts w:ascii="Verdana" w:eastAsia="Arial" w:hAnsi="Verdana" w:cs="Arial"/>
                <w:lang w:val="es-ES" w:eastAsia="es-ES" w:bidi="es-ES"/>
              </w:rPr>
              <w:t xml:space="preserve">as restricciones consagradas en la </w:t>
            </w:r>
            <w:r>
              <w:rPr>
                <w:rFonts w:ascii="Verdana" w:eastAsia="Arial" w:hAnsi="Verdana" w:cs="Arial"/>
                <w:lang w:val="es-ES" w:eastAsia="es-ES" w:bidi="es-ES"/>
              </w:rPr>
              <w:t>L</w:t>
            </w:r>
            <w:r w:rsidRPr="00F10E52">
              <w:rPr>
                <w:rFonts w:ascii="Verdana" w:eastAsia="Arial" w:hAnsi="Verdana" w:cs="Arial"/>
                <w:lang w:val="es-ES" w:eastAsia="es-ES" w:bidi="es-ES"/>
              </w:rPr>
              <w:t xml:space="preserve">ey </w:t>
            </w:r>
            <w:r>
              <w:rPr>
                <w:rFonts w:ascii="Verdana" w:eastAsia="Arial" w:hAnsi="Verdana" w:cs="Arial"/>
                <w:lang w:val="es-ES" w:eastAsia="es-ES" w:bidi="es-ES"/>
              </w:rPr>
              <w:t>996 de 2005, en materia de contratación estatal,</w:t>
            </w:r>
            <w:r w:rsidRPr="00F10E52">
              <w:rPr>
                <w:rFonts w:ascii="Verdana" w:eastAsia="Arial" w:hAnsi="Verdana" w:cs="Arial"/>
                <w:lang w:val="es-ES" w:eastAsia="es-ES" w:bidi="es-ES"/>
              </w:rPr>
              <w:t xml:space="preserve"> se dirigen a dos (2) tipos de campañas electorales claramente diferenciadas: las presidenciales y las demás que se adelanten para la elección de los demás cargos de elección popular, tanto a nivel nacional como a nivel territorial.</w:t>
            </w:r>
          </w:p>
          <w:p w14:paraId="01000146" w14:textId="77777777" w:rsidR="003E4080" w:rsidRPr="00F10E52" w:rsidRDefault="003E4080" w:rsidP="003929D7">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783D9A57" w14:textId="77777777" w:rsidR="003E4080" w:rsidRDefault="003E4080" w:rsidP="003929D7">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0C8C0A7D" w14:textId="4A92227F" w:rsidR="003929D7" w:rsidRDefault="003E4080" w:rsidP="003929D7">
            <w:pPr>
              <w:spacing w:after="120" w:line="276" w:lineRule="auto"/>
              <w:ind w:firstLine="709"/>
              <w:jc w:val="both"/>
              <w:rPr>
                <w:rFonts w:ascii="Verdana" w:eastAsia="Times New Roman" w:hAnsi="Verdana" w:cs="Arial"/>
                <w:lang w:val="es-MX" w:eastAsia="es-CO"/>
              </w:rPr>
            </w:pPr>
            <w:r>
              <w:rPr>
                <w:rFonts w:ascii="Verdana" w:eastAsia="Calibri" w:hAnsi="Verdana" w:cs="Arial"/>
                <w:lang w:val="es-ES"/>
              </w:rPr>
              <w:t xml:space="preserve">Frente a la consulta relativa sobre el momento en que debe suscribirse el acta de inicio, en concordancia con lo establecido en el artículo 33 de la Ley </w:t>
            </w:r>
            <w:r>
              <w:rPr>
                <w:rFonts w:ascii="Verdana" w:eastAsia="Calibri" w:hAnsi="Verdana" w:cs="Arial"/>
                <w:lang w:val="es-ES"/>
              </w:rPr>
              <w:lastRenderedPageBreak/>
              <w:t>996 de 2005, la prohibición consiste en la celebración (entendido como la suscripción) de un contrato, por lo tanto,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sidR="003929D7" w:rsidRPr="00553192">
              <w:rPr>
                <w:rFonts w:ascii="Verdana" w:hAnsi="Verdana"/>
              </w:rPr>
              <w:t xml:space="preserve"> </w:t>
            </w:r>
            <w:r w:rsidR="003929D7">
              <w:rPr>
                <w:rFonts w:ascii="Verdana" w:hAnsi="Verdana"/>
              </w:rPr>
              <w:t>L</w:t>
            </w:r>
            <w:r w:rsidR="003929D7" w:rsidRPr="00553192">
              <w:rPr>
                <w:rStyle w:val="citation-188"/>
                <w:rFonts w:ascii="Verdana" w:hAnsi="Verdana"/>
              </w:rPr>
              <w:t>a prohibición legal recae sobre la conducta de celebrar el negocio jurídico dentro del periodo</w:t>
            </w:r>
            <w:r w:rsidR="003929D7">
              <w:rPr>
                <w:rStyle w:val="citation-188"/>
                <w:rFonts w:ascii="Verdana" w:hAnsi="Verdana"/>
              </w:rPr>
              <w:t xml:space="preserve"> restringido</w:t>
            </w:r>
            <w:r w:rsidR="003929D7" w:rsidRPr="00553192">
              <w:rPr>
                <w:rStyle w:val="citation-188"/>
                <w:rFonts w:ascii="Verdana" w:hAnsi="Verdana"/>
              </w:rPr>
              <w:t>, de manera que si el acuerdo de voluntades se perfecciona en un momento en que la Entidad Estatal goza de plena competencia temporal —esto es, antes del 31 de enero de 2026 para contratación directa en general, el contrato nace a la vida jurídica con plena validez y eficacia</w:t>
            </w:r>
            <w:r w:rsidR="003929D7" w:rsidRPr="00553192">
              <w:rPr>
                <w:rFonts w:ascii="Verdana" w:hAnsi="Verdana"/>
              </w:rPr>
              <w:t>. Por consiguiente, diferir el acta de inicio o la ejecución material para una fecha posterior no vicia la legalidad del contrato, siempre que dicha programación obedezca a una juiciosa planeación contractual que garantice el cumplimiento de los fines estatales y no a una</w:t>
            </w:r>
            <w:r w:rsidR="003929D7">
              <w:rPr>
                <w:rFonts w:ascii="Verdana" w:hAnsi="Verdana"/>
              </w:rPr>
              <w:t xml:space="preserve"> forma </w:t>
            </w:r>
            <w:r w:rsidR="003929D7" w:rsidRPr="00553192">
              <w:rPr>
                <w:rFonts w:ascii="Verdana" w:hAnsi="Verdana"/>
              </w:rPr>
              <w:t>para eludir el control de las restricciones electorales.</w:t>
            </w:r>
          </w:p>
          <w:p w14:paraId="6E56F97C" w14:textId="737B0F03" w:rsidR="003E4080" w:rsidRPr="002D6B92" w:rsidRDefault="003E4080" w:rsidP="003929D7">
            <w:pPr>
              <w:spacing w:after="120" w:line="276" w:lineRule="auto"/>
              <w:ind w:firstLine="709"/>
              <w:jc w:val="both"/>
              <w:rPr>
                <w:rFonts w:ascii="Verdana" w:eastAsia="Calibri" w:hAnsi="Verdana" w:cs="Arial"/>
              </w:rPr>
            </w:pP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r>
              <w:rPr>
                <w:rFonts w:ascii="Verdana" w:eastAsia="Times New Roman" w:hAnsi="Verdana" w:cs="Arial"/>
                <w:lang w:eastAsia="es-ES_tradnl"/>
              </w:rPr>
              <w:t>.</w:t>
            </w:r>
          </w:p>
        </w:tc>
      </w:tr>
    </w:tbl>
    <w:p w14:paraId="41ACEEF3" w14:textId="77777777" w:rsidR="003E4080" w:rsidRDefault="003E4080" w:rsidP="003E4080">
      <w:pPr>
        <w:tabs>
          <w:tab w:val="left" w:pos="142"/>
          <w:tab w:val="left" w:pos="284"/>
        </w:tabs>
        <w:spacing w:after="0" w:line="276" w:lineRule="auto"/>
        <w:jc w:val="both"/>
        <w:rPr>
          <w:rFonts w:ascii="Verdana" w:eastAsia="Century Gothic" w:hAnsi="Verdana" w:cs="Century Gothic"/>
          <w:b/>
          <w:bCs/>
        </w:rPr>
      </w:pPr>
    </w:p>
    <w:p w14:paraId="2257BB64" w14:textId="77777777" w:rsidR="003E4080" w:rsidRPr="005644FE" w:rsidRDefault="003E4080" w:rsidP="003E4080">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1ABCC060" w14:textId="77777777" w:rsidR="003E4080" w:rsidRPr="005644FE" w:rsidRDefault="003E4080" w:rsidP="003E4080">
      <w:pPr>
        <w:pStyle w:val="Prrafodelista"/>
        <w:tabs>
          <w:tab w:val="left" w:pos="142"/>
          <w:tab w:val="left" w:pos="284"/>
        </w:tabs>
        <w:spacing w:after="0" w:line="240" w:lineRule="auto"/>
        <w:ind w:left="0"/>
        <w:contextualSpacing w:val="0"/>
        <w:jc w:val="both"/>
        <w:rPr>
          <w:rFonts w:ascii="Verdana" w:eastAsia="Calibri" w:hAnsi="Verdana" w:cs="Arial"/>
        </w:rPr>
      </w:pPr>
    </w:p>
    <w:p w14:paraId="562CDC92" w14:textId="77777777" w:rsidR="003E4080" w:rsidRDefault="003E4080" w:rsidP="003E4080">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1216A1A3" w14:textId="77777777" w:rsidR="003E4080" w:rsidRDefault="003E4080" w:rsidP="003E4080">
      <w:pPr>
        <w:tabs>
          <w:tab w:val="left" w:pos="142"/>
          <w:tab w:val="left" w:pos="284"/>
          <w:tab w:val="left" w:pos="6912"/>
        </w:tabs>
        <w:spacing w:after="0" w:line="240" w:lineRule="auto"/>
        <w:jc w:val="both"/>
        <w:rPr>
          <w:rFonts w:ascii="Verdana" w:eastAsia="Calibri" w:hAnsi="Verdana" w:cs="Arial"/>
        </w:rPr>
      </w:pPr>
    </w:p>
    <w:p w14:paraId="0943A077" w14:textId="77777777" w:rsidR="003E4080" w:rsidRPr="00BF13E7" w:rsidRDefault="003E4080" w:rsidP="003E4080">
      <w:pPr>
        <w:spacing w:after="120" w:line="276" w:lineRule="auto"/>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i) El Estatuto General de Contratación de la Administración Pública – en adelante EGCAP – prevé dos tipos de exigencias en relación con los contratos estatales: i) las relacionadas con el perfeccionamiento y ii) las que tienen que ver con la ejecución. Si bien ambas se complementan y marcan el origen de la fase contractual –o de ejecución–, es importante distinguirlas, ya que las consecuencias jurídicas que generan son diferentes. </w:t>
      </w:r>
    </w:p>
    <w:p w14:paraId="026FBC31"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Los </w:t>
      </w:r>
      <w:r w:rsidRPr="1916222D">
        <w:rPr>
          <w:rFonts w:ascii="Verdana" w:eastAsia="Calibri" w:hAnsi="Verdana" w:cs="Arial"/>
          <w:i/>
          <w:iCs/>
          <w:color w:val="000000"/>
          <w:lang w:val="es-ES" w:eastAsia="en-GB"/>
        </w:rPr>
        <w:t>requisitos de perfeccionamiento</w:t>
      </w:r>
      <w:r w:rsidRPr="1916222D">
        <w:rPr>
          <w:rFonts w:ascii="Verdana" w:eastAsia="Calibri" w:hAnsi="Verdana" w:cs="Arial"/>
          <w:color w:val="00000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w:t>
      </w:r>
      <w:r w:rsidRPr="1916222D">
        <w:rPr>
          <w:rFonts w:ascii="Verdana" w:eastAsia="Calibri" w:hAnsi="Verdana" w:cs="Arial"/>
          <w:color w:val="000000"/>
          <w:lang w:val="es-ES" w:eastAsia="en-GB"/>
        </w:rPr>
        <w:lastRenderedPageBreak/>
        <w:t>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w:t>
      </w:r>
      <w:r w:rsidRPr="00BF13E7">
        <w:rPr>
          <w:rStyle w:val="Refdenotaalpie"/>
          <w:rFonts w:ascii="Verdana" w:eastAsia="Calibri" w:hAnsi="Verdana" w:cs="Arial"/>
          <w:color w:val="000000"/>
          <w:lang w:val="es-ES_tradnl" w:eastAsia="en-GB"/>
        </w:rPr>
        <w:footnoteReference w:id="2"/>
      </w:r>
      <w:r w:rsidRPr="1916222D">
        <w:rPr>
          <w:rFonts w:ascii="Verdana" w:eastAsia="Calibri" w:hAnsi="Verdana" w:cs="Arial"/>
          <w:color w:val="000000"/>
          <w:lang w:val="es-ES" w:eastAsia="en-GB"/>
        </w:rPr>
        <w:t>. Los requisitos de perfeccionamiento del contrato estatal ingresan dentro de los elementos de la esencia.</w:t>
      </w:r>
    </w:p>
    <w:p w14:paraId="139357CE"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00545DB3">
        <w:rPr>
          <w:rFonts w:ascii="Verdana" w:eastAsia="Calibri" w:hAnsi="Verdana" w:cs="Arial"/>
          <w:color w:val="000000"/>
          <w:lang w:val="es-ES" w:eastAsia="en-GB"/>
        </w:rPr>
        <w:t xml:space="preserve">Por otra parte, los contratos –en términos generales– pueden ser: consensuales, reales o solemnes. Son </w:t>
      </w:r>
      <w:r w:rsidRPr="1916222D">
        <w:rPr>
          <w:rFonts w:ascii="Verdana" w:eastAsia="Calibri" w:hAnsi="Verdana" w:cs="Arial"/>
          <w:i/>
          <w:iCs/>
          <w:color w:val="000000"/>
          <w:lang w:val="es-ES" w:eastAsia="en-GB"/>
        </w:rPr>
        <w:t>consensuales</w:t>
      </w:r>
      <w:r w:rsidRPr="00545DB3">
        <w:rPr>
          <w:rFonts w:ascii="Verdana" w:eastAsia="Calibri" w:hAnsi="Verdana" w:cs="Arial"/>
          <w:color w:val="000000"/>
          <w:lang w:val="es-ES" w:eastAsia="en-GB"/>
        </w:rPr>
        <w:t xml:space="preserve"> los que se perfeccionan con el consentimiento informal, pues no requieren de formalidades especiales. Son </w:t>
      </w:r>
      <w:r w:rsidRPr="1916222D">
        <w:rPr>
          <w:rFonts w:ascii="Verdana" w:eastAsia="Calibri" w:hAnsi="Verdana" w:cs="Arial"/>
          <w:i/>
          <w:iCs/>
          <w:color w:val="000000"/>
          <w:lang w:val="es-ES" w:eastAsia="en-GB"/>
        </w:rPr>
        <w:t>reales</w:t>
      </w:r>
      <w:r w:rsidRPr="00545DB3">
        <w:rPr>
          <w:rFonts w:ascii="Verdana" w:eastAsia="Calibri" w:hAnsi="Verdana" w:cs="Arial"/>
          <w:color w:val="000000"/>
          <w:lang w:val="es-ES" w:eastAsia="en-GB"/>
        </w:rPr>
        <w:t xml:space="preserve"> aquellos que existen solo con la tradición o entrega de una cosa. Por su parte, son </w:t>
      </w:r>
      <w:r w:rsidRPr="1916222D">
        <w:rPr>
          <w:rFonts w:ascii="Verdana" w:eastAsia="Calibri" w:hAnsi="Verdana" w:cs="Arial"/>
          <w:i/>
          <w:iCs/>
          <w:color w:val="000000"/>
          <w:lang w:val="es-ES" w:eastAsia="en-GB"/>
        </w:rPr>
        <w:t>solemnes</w:t>
      </w:r>
      <w:r w:rsidRPr="00545DB3">
        <w:rPr>
          <w:rFonts w:ascii="Verdana" w:eastAsia="Calibri" w:hAnsi="Verdana" w:cs="Arial"/>
          <w:color w:val="000000"/>
          <w:lang w:val="es-ES" w:eastAsia="en-GB"/>
        </w:rPr>
        <w:t>, en cambio, aquellos contratos cuyo perfeccionamiento está revestido del cumplimiento de exigencias formales o ritualidades específicas</w:t>
      </w:r>
      <w:r w:rsidRPr="00BF13E7">
        <w:rPr>
          <w:rStyle w:val="Refdenotaalpie"/>
          <w:rFonts w:ascii="Verdana" w:eastAsia="Calibri" w:hAnsi="Verdana" w:cs="Arial"/>
          <w:color w:val="000000"/>
          <w:lang w:val="es-ES" w:eastAsia="en-GB"/>
        </w:rPr>
        <w:footnoteReference w:id="3"/>
      </w:r>
      <w:r w:rsidRPr="00545DB3">
        <w:rPr>
          <w:rFonts w:ascii="Verdana" w:eastAsia="Calibri" w:hAnsi="Verdana" w:cs="Arial"/>
          <w:color w:val="000000"/>
          <w:lang w:val="es-ES" w:eastAsia="en-GB"/>
        </w:rPr>
        <w:t>. Pues bien, los contratos estatales regulados por el ECGAP, por regla general, son solemnes, ya que solo se entienden celebrados si se cumplen ciertas formalidades. Esta regla general solo tiene una excepción, como se explicará.</w:t>
      </w:r>
    </w:p>
    <w:p w14:paraId="169C2F91"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w:t>
      </w:r>
      <w:r>
        <w:rPr>
          <w:rFonts w:ascii="Verdana" w:eastAsia="Calibri" w:hAnsi="Verdana" w:cs="Arial"/>
          <w:color w:val="000000"/>
          <w:lang w:val="es-ES" w:eastAsia="en-GB"/>
        </w:rPr>
        <w:t xml:space="preserve">(…) </w:t>
      </w:r>
      <w:r w:rsidRPr="1916222D">
        <w:rPr>
          <w:rFonts w:ascii="Verdana" w:eastAsia="Calibri" w:hAnsi="Verdana" w:cs="Arial"/>
          <w:color w:val="000000"/>
          <w:lang w:val="es-ES" w:eastAsia="en-GB"/>
        </w:rPr>
        <w:t xml:space="preserve">principalmente, </w:t>
      </w:r>
      <w:r w:rsidRPr="1916222D">
        <w:rPr>
          <w:rFonts w:ascii="Verdana" w:eastAsia="Calibri" w:hAnsi="Verdana" w:cs="Arial"/>
          <w:i/>
          <w:iCs/>
          <w:color w:val="000000"/>
          <w:lang w:val="es-ES" w:eastAsia="en-GB"/>
        </w:rPr>
        <w:t>solemne,</w:t>
      </w:r>
      <w:r w:rsidRPr="1916222D">
        <w:rPr>
          <w:rFonts w:ascii="Verdana" w:eastAsia="Calibri" w:hAnsi="Verdana" w:cs="Arial"/>
          <w:color w:val="000000"/>
          <w:lang w:val="es-ES" w:eastAsia="en-GB"/>
        </w:rPr>
        <w:t xml:space="preserve"> ya que la manifestación de voluntad, si no se expresa bajo la forma </w:t>
      </w:r>
      <w:r w:rsidRPr="1916222D">
        <w:rPr>
          <w:rFonts w:ascii="Verdana" w:eastAsia="Calibri" w:hAnsi="Verdana" w:cs="Arial"/>
          <w:i/>
          <w:iCs/>
          <w:color w:val="000000"/>
          <w:lang w:val="es-ES" w:eastAsia="en-GB"/>
        </w:rPr>
        <w:t>ad solemnitatem</w:t>
      </w:r>
      <w:r w:rsidRPr="1916222D">
        <w:rPr>
          <w:rFonts w:ascii="Verdana" w:eastAsia="Calibri" w:hAnsi="Verdana" w:cs="Arial"/>
          <w:color w:val="000000"/>
          <w:lang w:val="es-ES" w:eastAsia="en-GB"/>
        </w:rPr>
        <w:t xml:space="preserve"> o </w:t>
      </w:r>
      <w:r w:rsidRPr="1916222D">
        <w:rPr>
          <w:rFonts w:ascii="Verdana" w:eastAsia="Calibri" w:hAnsi="Verdana" w:cs="Arial"/>
          <w:i/>
          <w:iCs/>
          <w:color w:val="000000"/>
          <w:lang w:val="es-ES" w:eastAsia="en-GB"/>
        </w:rPr>
        <w:t xml:space="preserve">ad substantiam </w:t>
      </w:r>
      <w:r w:rsidRPr="1916222D">
        <w:rPr>
          <w:rFonts w:ascii="Verdana" w:eastAsia="Calibri" w:hAnsi="Verdana" w:cs="Arial"/>
          <w:i/>
          <w:iCs/>
          <w:color w:val="000000"/>
          <w:lang w:val="es-ES" w:eastAsia="en-GB"/>
        </w:rPr>
        <w:lastRenderedPageBreak/>
        <w:t>actus</w:t>
      </w:r>
      <w:r w:rsidRPr="1916222D">
        <w:rPr>
          <w:rFonts w:ascii="Verdana" w:eastAsia="Calibri" w:hAnsi="Verdana" w:cs="Arial"/>
          <w:color w:val="000000"/>
          <w:lang w:val="es-ES" w:eastAsia="en-GB"/>
        </w:rPr>
        <w:t xml:space="preserve"> exigida por la ley, es inexistente, es decir, se entiende que el contrato jamás ha sido creado para el mundo jurídico”</w:t>
      </w:r>
      <w:r w:rsidRPr="00BF13E7">
        <w:rPr>
          <w:rStyle w:val="Refdenotaalpie"/>
          <w:rFonts w:ascii="Verdana" w:eastAsia="Calibri" w:hAnsi="Verdana" w:cs="Arial"/>
          <w:color w:val="000000"/>
          <w:lang w:val="es-ES_tradnl" w:eastAsia="en-GB"/>
        </w:rPr>
        <w:footnoteReference w:id="4"/>
      </w:r>
      <w:r w:rsidRPr="1916222D">
        <w:rPr>
          <w:rFonts w:ascii="Verdana" w:eastAsia="Calibri" w:hAnsi="Verdana" w:cs="Arial"/>
          <w:color w:val="000000"/>
          <w:lang w:val="es-ES" w:eastAsia="en-GB"/>
        </w:rPr>
        <w:t xml:space="preserve">. </w:t>
      </w:r>
    </w:p>
    <w:p w14:paraId="00D97ADD"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La excepción a esta regla se encuentra en el cuarto inciso del mismo artículo, según el cual, “En caso de situaciones de urgencia manifiesta a que se refiere el artículo </w:t>
      </w:r>
      <w:hyperlink r:id="rId12" w:anchor="42" w:history="1">
        <w:r w:rsidRPr="1916222D">
          <w:rPr>
            <w:rFonts w:ascii="Verdana" w:hAnsi="Verdana" w:cs="Arial"/>
            <w:color w:val="000000"/>
            <w:lang w:val="es-ES" w:eastAsia="en-GB"/>
          </w:rPr>
          <w:t>42</w:t>
        </w:r>
      </w:hyperlink>
      <w:r w:rsidRPr="1916222D">
        <w:rPr>
          <w:rFonts w:ascii="Verdana" w:eastAsia="Calibri" w:hAnsi="Verdana" w:cs="Arial"/>
          <w:color w:val="000000"/>
          <w:lang w:val="es-ES" w:eastAsia="en-GB"/>
        </w:rPr>
        <w:t xml:space="preserve"> de esta ley que no permitan la suscripción de contrato escrito, se prescindirá de éste y aún del acuerdo acerca de la remuneración, no obstante, deberá dejarse constancia escrita de la autorización impartida por la entidad estatal contratante”. </w:t>
      </w:r>
      <w:r w:rsidRPr="1916222D">
        <w:rPr>
          <w:rFonts w:ascii="Verdana" w:eastAsia="Calibri" w:hAnsi="Verdana" w:cs="Arial"/>
          <w:color w:val="000000" w:themeColor="text1"/>
          <w:lang w:val="es-ES" w:eastAsia="en-GB"/>
        </w:rPr>
        <w:t>En otras palabras, por regla general, los contratos estatales deben constar por escrito, salvo que se presente una situación de urgencia manifiesta en la que no haya tiempo de cumplir con esta formalidad.</w:t>
      </w:r>
    </w:p>
    <w:p w14:paraId="324B11B4"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Analizados con anterioridad los requisitos para el perfeccionamiento del contrato estatal, es necesario diferenciarlos, por tanto, de los </w:t>
      </w:r>
      <w:r w:rsidRPr="1916222D">
        <w:rPr>
          <w:rFonts w:ascii="Verdana" w:eastAsia="Calibri" w:hAnsi="Verdana" w:cs="Arial"/>
          <w:i/>
          <w:iCs/>
          <w:color w:val="000000" w:themeColor="text1"/>
          <w:lang w:val="es-ES" w:eastAsia="en-GB"/>
        </w:rPr>
        <w:t>requisitos de ejecución</w:t>
      </w:r>
      <w:r w:rsidRPr="1916222D">
        <w:rPr>
          <w:rFonts w:ascii="Verdana" w:eastAsia="Calibri" w:hAnsi="Verdana" w:cs="Arial"/>
          <w:color w:val="000000" w:themeColor="text1"/>
          <w:lang w:val="es-ES" w:eastAsia="en-GB"/>
        </w:rPr>
        <w:t xml:space="preserve">, e indicar cuáles son las exigencias de esta segunda clase establecidas en el EGCAP. Si el cumplimiento de los requisitos de perfeccionamiento permite que el contrato exista, la observancia de los requisitos de ejecución posibilita el inicio de la fase de realización de las actividades pactadas en el contrato, es decir, el cumplimiento del objeto del negocio jurídico. A partir de esta distinción, es posible encontrar contratos estatales –perfeccionados–, que hayan cumplido con los requisitos de ejecución y contratos estatales respecto de los cuales aún falte satisfacer uno o varios requisitos de ejecución. </w:t>
      </w:r>
    </w:p>
    <w:p w14:paraId="04F300AF" w14:textId="77777777" w:rsidR="003E4080" w:rsidRPr="002D6B92"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w:t>
      </w:r>
      <w:r>
        <w:rPr>
          <w:rFonts w:ascii="Verdana" w:eastAsia="Calibri" w:hAnsi="Verdana" w:cs="Arial"/>
          <w:color w:val="000000" w:themeColor="text1"/>
          <w:lang w:val="es-ES" w:eastAsia="en-GB"/>
        </w:rPr>
        <w:t xml:space="preserve">Respecto del contrato estatal, </w:t>
      </w:r>
      <w:r w:rsidRPr="1916222D">
        <w:rPr>
          <w:rFonts w:ascii="Verdana" w:eastAsia="Calibri" w:hAnsi="Verdana" w:cs="Arial"/>
          <w:color w:val="000000" w:themeColor="text1"/>
          <w:lang w:val="es-ES" w:eastAsia="en-GB"/>
        </w:rPr>
        <w:t>el artículo 41 de la Ley 80 de 1993</w:t>
      </w:r>
      <w:r w:rsidRPr="1916222D">
        <w:rPr>
          <w:rFonts w:ascii="Verdana" w:eastAsia="Calibri" w:hAnsi="Verdana" w:cs="Arial"/>
          <w:color w:val="000000" w:themeColor="text1"/>
          <w:lang w:eastAsia="en-GB"/>
        </w:rPr>
        <w:t>, modificado por el artículo 23 de la Ley 1150 de 2007</w:t>
      </w:r>
      <w:r w:rsidRPr="1916222D">
        <w:rPr>
          <w:rFonts w:ascii="Verdana" w:eastAsia="Calibri" w:hAnsi="Verdana" w:cs="Arial"/>
          <w:color w:val="000000" w:themeColor="text1"/>
          <w:lang w:val="es-ES" w:eastAsia="en-GB"/>
        </w:rPr>
        <w:t xml:space="preserve"> establece</w:t>
      </w:r>
      <w:r>
        <w:rPr>
          <w:rFonts w:ascii="Verdana" w:eastAsia="Calibri" w:hAnsi="Verdana" w:cs="Arial"/>
          <w:color w:val="000000" w:themeColor="text1"/>
          <w:lang w:val="es-ES" w:eastAsia="en-GB"/>
        </w:rPr>
        <w:t xml:space="preserve"> lo siguiente</w:t>
      </w:r>
      <w:r w:rsidRPr="1916222D">
        <w:rPr>
          <w:rFonts w:ascii="Verdana" w:eastAsia="Calibri" w:hAnsi="Verdana" w:cs="Arial"/>
          <w:color w:val="000000" w:themeColor="text1"/>
          <w:lang w:val="es-ES" w:eastAsia="en-GB"/>
        </w:rPr>
        <w:t>:</w:t>
      </w:r>
    </w:p>
    <w:p w14:paraId="796DF3D4" w14:textId="77777777" w:rsidR="003E4080" w:rsidRPr="00BF13E7" w:rsidRDefault="003E4080" w:rsidP="003E4080">
      <w:pPr>
        <w:spacing w:after="0" w:line="240" w:lineRule="auto"/>
        <w:ind w:left="709" w:right="616"/>
        <w:jc w:val="both"/>
        <w:rPr>
          <w:rFonts w:ascii="Verdana" w:eastAsia="Calibri" w:hAnsi="Verdana" w:cs="Arial"/>
          <w:color w:val="000000"/>
          <w:sz w:val="20"/>
          <w:szCs w:val="20"/>
          <w:lang w:val="es-ES" w:eastAsia="en-GB"/>
        </w:rPr>
      </w:pPr>
      <w:r w:rsidRPr="1916222D">
        <w:rPr>
          <w:rFonts w:ascii="Verdana" w:eastAsia="Calibri" w:hAnsi="Verdana" w:cs="Arial"/>
          <w:color w:val="000000" w:themeColor="text1"/>
          <w:sz w:val="20"/>
          <w:szCs w:val="20"/>
          <w:lang w:eastAsia="en-GB"/>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w:t>
      </w:r>
      <w:r w:rsidRPr="1916222D">
        <w:rPr>
          <w:rFonts w:ascii="Verdana" w:eastAsia="Calibri" w:hAnsi="Verdana" w:cs="Arial"/>
          <w:color w:val="000000" w:themeColor="text1"/>
          <w:sz w:val="20"/>
          <w:szCs w:val="20"/>
          <w:lang w:eastAsia="en-GB"/>
        </w:rPr>
        <w:lastRenderedPageBreak/>
        <w:t>Integral, así como los propios del Sena, ICBF y Cajas de Compensación Familiar, cuando corresponda”.</w:t>
      </w:r>
    </w:p>
    <w:p w14:paraId="0A3001B2" w14:textId="77777777" w:rsidR="003E4080" w:rsidRPr="00BF13E7" w:rsidRDefault="003E4080" w:rsidP="003E4080">
      <w:pPr>
        <w:spacing w:after="0" w:line="276" w:lineRule="auto"/>
        <w:ind w:firstLine="709"/>
        <w:jc w:val="both"/>
        <w:rPr>
          <w:rFonts w:ascii="Verdana" w:eastAsia="Calibri" w:hAnsi="Verdana" w:cs="Arial"/>
          <w:color w:val="000000"/>
          <w:lang w:val="es-ES" w:eastAsia="en-GB"/>
        </w:rPr>
      </w:pPr>
    </w:p>
    <w:p w14:paraId="6EBDB44C"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Como puede observarse, los requisitos legales de ejecución son: i) la aprobación de las garantías exigidas en el contrato, ii) la existencia de la apropiación presupuestal correspondiente y iii) la acreditación del cumplimiento de las obligaciones con el Sistema de Seguridad Social Integral. </w:t>
      </w:r>
    </w:p>
    <w:p w14:paraId="7EBAAF02"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Lo que tienen en común tales requisitos es que deben cumplirse para que inicie el contrato, sin que por ello puedan considerarse elementos de la esencia –de perfeccionamiento– del negocio jurídico, ni de validez del mismo.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5AD8D30A" w14:textId="77777777" w:rsidR="003E4080"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A esta conclusión llegó la Sección Tercera del Consejo de Estado en la sentencia del 12 de agosto de 2014, luego de distinguir los requisitos de perfeccionamiento respecto de los requisitos de ejecución de los contratos estatales. En tal oportunidad el órgano judicial se preguntó, dentro de las consideraciones, si la ausencia de registro presupuestal tenía como efecto que un contrato de prestación de servicios profesionales se considerara inexistente o viciado de nulidad absoluta. </w:t>
      </w:r>
      <w:r>
        <w:rPr>
          <w:rFonts w:ascii="Verdana" w:eastAsia="Calibri" w:hAnsi="Verdana" w:cs="Arial"/>
          <w:color w:val="000000"/>
          <w:lang w:val="es-ES" w:eastAsia="en-GB"/>
        </w:rPr>
        <w:t>El</w:t>
      </w:r>
      <w:r w:rsidRPr="1916222D">
        <w:rPr>
          <w:rFonts w:ascii="Verdana" w:eastAsia="Calibri" w:hAnsi="Verdana" w:cs="Arial"/>
          <w:color w:val="000000"/>
          <w:lang w:val="es-ES" w:eastAsia="en-GB"/>
        </w:rPr>
        <w:t xml:space="preserve"> alto tribunal </w:t>
      </w:r>
      <w:r>
        <w:rPr>
          <w:rFonts w:ascii="Verdana" w:eastAsia="Calibri" w:hAnsi="Verdana" w:cs="Arial"/>
          <w:color w:val="000000"/>
          <w:lang w:val="es-ES" w:eastAsia="en-GB"/>
        </w:rPr>
        <w:t xml:space="preserve">indicó que </w:t>
      </w:r>
      <w:r w:rsidRPr="1916222D">
        <w:rPr>
          <w:rFonts w:ascii="Verdana" w:eastAsia="Calibri" w:hAnsi="Verdana" w:cs="Arial"/>
          <w:color w:val="000000"/>
          <w:lang w:val="es-ES" w:eastAsia="en-GB"/>
        </w:rPr>
        <w:t>no se genera inexistencia ni vicio de nulidad absoluta</w:t>
      </w:r>
      <w:r>
        <w:rPr>
          <w:rFonts w:ascii="Verdana" w:eastAsia="Calibri" w:hAnsi="Verdana" w:cs="Arial"/>
          <w:color w:val="000000"/>
          <w:lang w:val="es-ES" w:eastAsia="en-GB"/>
        </w:rPr>
        <w:t xml:space="preserve"> del contrato</w:t>
      </w:r>
      <w:r w:rsidRPr="1916222D">
        <w:rPr>
          <w:rFonts w:ascii="Verdana" w:eastAsia="Calibri" w:hAnsi="Verdana" w:cs="Arial"/>
          <w:color w:val="000000"/>
          <w:lang w:val="es-ES" w:eastAsia="en-GB"/>
        </w:rPr>
        <w:t>, sino una eventual responsabilidad en los servidores públicos que incumplieron tal requisito</w:t>
      </w:r>
      <w:r w:rsidRPr="00BF13E7">
        <w:rPr>
          <w:rStyle w:val="Refdenotaalpie"/>
          <w:rFonts w:ascii="Verdana" w:eastAsia="Calibri" w:hAnsi="Verdana" w:cs="Arial"/>
          <w:color w:val="000000"/>
          <w:lang w:val="es-ES_tradnl" w:eastAsia="en-GB"/>
        </w:rPr>
        <w:footnoteReference w:id="5"/>
      </w:r>
      <w:r w:rsidRPr="1916222D">
        <w:rPr>
          <w:rFonts w:ascii="Verdana" w:eastAsia="Calibri" w:hAnsi="Verdana" w:cs="Arial"/>
          <w:color w:val="000000"/>
          <w:lang w:val="es-ES" w:eastAsia="en-GB"/>
        </w:rPr>
        <w:t>.</w:t>
      </w:r>
    </w:p>
    <w:p w14:paraId="4B251574" w14:textId="77777777" w:rsidR="003E4080" w:rsidRPr="009747DE" w:rsidRDefault="003E4080" w:rsidP="003E4080">
      <w:pPr>
        <w:spacing w:after="120" w:line="276" w:lineRule="auto"/>
        <w:ind w:firstLine="709"/>
        <w:jc w:val="both"/>
        <w:rPr>
          <w:rFonts w:ascii="Verdana" w:eastAsia="Calibri" w:hAnsi="Verdana" w:cs="Arial"/>
          <w:color w:val="000000"/>
          <w:lang w:val="es-ES" w:eastAsia="en-GB"/>
        </w:rPr>
      </w:pPr>
      <w:r w:rsidRPr="009747DE">
        <w:rPr>
          <w:rFonts w:ascii="Verdana" w:eastAsia="Calibri" w:hAnsi="Verdana" w:cs="Arial"/>
          <w:color w:val="000000"/>
          <w:lang w:val="es-ES" w:eastAsia="en-GB"/>
        </w:rPr>
        <w:t xml:space="preserve">Ahora bien, en relación con los requisitos de ejecución debe señalarse que, estos posibilitan el inicio de la fase de realización de las actividades pactadas en el contrato, es decir, el cumplimiento del objeto del negocio jurídico. A partir de esta distinción, es posible encontrar contratos estatales – perfeccionados– respecto de los cuales aún falte satisfacer uno o varios requisitos de ejecución. Sobre el particular, el Consejo de Estado aclaró la </w:t>
      </w:r>
      <w:r w:rsidRPr="009747DE">
        <w:rPr>
          <w:rFonts w:ascii="Verdana" w:eastAsia="Calibri" w:hAnsi="Verdana" w:cs="Arial"/>
          <w:color w:val="000000"/>
          <w:lang w:val="es-ES" w:eastAsia="en-GB"/>
        </w:rPr>
        <w:lastRenderedPageBreak/>
        <w:t xml:space="preserve">diferencia entre el perfeccionamiento y la ejecución del contrato, de la siguiente manera: </w:t>
      </w:r>
    </w:p>
    <w:p w14:paraId="68B4CF6A" w14:textId="77777777" w:rsidR="003E4080" w:rsidRDefault="003E4080" w:rsidP="003E4080">
      <w:pPr>
        <w:spacing w:after="0" w:line="240" w:lineRule="auto"/>
        <w:ind w:left="709" w:right="618"/>
        <w:jc w:val="both"/>
        <w:rPr>
          <w:rFonts w:ascii="Verdana" w:eastAsia="Calibri" w:hAnsi="Verdana" w:cs="Arial"/>
          <w:vertAlign w:val="superscript"/>
          <w:lang w:val="es-ES" w:eastAsia="es-ES"/>
        </w:rPr>
      </w:pPr>
      <w:r w:rsidRPr="00E42890">
        <w:rPr>
          <w:rFonts w:ascii="Verdana" w:eastAsia="Calibri" w:hAnsi="Verdana" w:cs="Arial"/>
          <w:color w:val="000000"/>
          <w:sz w:val="20"/>
          <w:szCs w:val="20"/>
          <w:lang w:val="es-ES" w:eastAsia="en-GB"/>
        </w:rPr>
        <w:t>“La Sala concluyó y ahora se reitera que i) la existencia del contrato no difiere de la perfección, esto es cumplidos los elementos esenciales que dan lugar al contrato no queda sino aceptar la relación jurídico contractual; ii) por virtud de lo dispuesto en la Ley 80 de 1993 el contrato estatal existe, esto es, “se perfecciona” cuando “se logra acuerdo sobre el objeto y la contraprestación y éste se eleve a escrito”; iii)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iv) el requisito relativo al registro presupuestal no es una condición de existencia del contrato estatal, es un requisito de ejecución</w:t>
      </w:r>
      <w:r>
        <w:rPr>
          <w:rFonts w:ascii="Verdana" w:eastAsia="Calibri" w:hAnsi="Verdana" w:cs="Arial"/>
          <w:color w:val="000000"/>
          <w:sz w:val="20"/>
          <w:szCs w:val="20"/>
          <w:lang w:val="es-ES" w:eastAsia="en-GB"/>
        </w:rPr>
        <w:t>”</w:t>
      </w:r>
      <w:r w:rsidRPr="00E42890">
        <w:rPr>
          <w:rFonts w:ascii="Verdana" w:eastAsia="Calibri" w:hAnsi="Verdana" w:cs="Arial"/>
          <w:color w:val="000000"/>
          <w:sz w:val="20"/>
          <w:szCs w:val="20"/>
          <w:vertAlign w:val="superscript"/>
          <w:lang w:val="es-ES" w:eastAsia="en-GB"/>
        </w:rPr>
        <w:footnoteReference w:id="6"/>
      </w:r>
      <w:r w:rsidRPr="00E42890">
        <w:rPr>
          <w:rFonts w:ascii="Verdana" w:eastAsia="Calibri" w:hAnsi="Verdana" w:cs="Arial"/>
          <w:color w:val="000000"/>
          <w:sz w:val="20"/>
          <w:szCs w:val="20"/>
          <w:vertAlign w:val="superscript"/>
          <w:lang w:val="es-ES" w:eastAsia="en-GB"/>
        </w:rPr>
        <w:t>.</w:t>
      </w:r>
      <w:r w:rsidRPr="00E42890">
        <w:rPr>
          <w:rFonts w:ascii="Verdana" w:eastAsia="Calibri" w:hAnsi="Verdana" w:cs="Arial"/>
          <w:vertAlign w:val="superscript"/>
          <w:lang w:val="es-ES" w:eastAsia="es-ES"/>
        </w:rPr>
        <w:t xml:space="preserve"> </w:t>
      </w:r>
    </w:p>
    <w:p w14:paraId="7B861243" w14:textId="77777777" w:rsidR="003E4080" w:rsidRPr="00E42890" w:rsidRDefault="003E4080" w:rsidP="003E4080">
      <w:pPr>
        <w:spacing w:after="0" w:line="240" w:lineRule="auto"/>
        <w:ind w:left="709" w:right="618"/>
        <w:jc w:val="both"/>
        <w:rPr>
          <w:rFonts w:ascii="Verdana" w:eastAsia="Calibri" w:hAnsi="Verdana" w:cs="Arial"/>
          <w:lang w:val="es-ES" w:eastAsia="es-ES"/>
        </w:rPr>
      </w:pPr>
    </w:p>
    <w:p w14:paraId="61777EBC" w14:textId="77777777" w:rsidR="003E4080" w:rsidRDefault="003E4080" w:rsidP="003E4080">
      <w:pPr>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De acuerdo con lo anterior, resulta necesario establecer la naturaleza del </w:t>
      </w:r>
      <w:r w:rsidRPr="00034F0A">
        <w:rPr>
          <w:rFonts w:ascii="Verdana" w:eastAsia="Calibri" w:hAnsi="Verdana" w:cs="Arial"/>
          <w:lang w:val="es-ES" w:eastAsia="es-ES"/>
        </w:rPr>
        <w:t xml:space="preserve">acta de inicio, </w:t>
      </w:r>
      <w:r>
        <w:rPr>
          <w:rFonts w:ascii="Verdana" w:eastAsia="Calibri" w:hAnsi="Verdana" w:cs="Arial"/>
          <w:lang w:val="es-ES" w:eastAsia="es-ES"/>
        </w:rPr>
        <w:t xml:space="preserve">esto es, </w:t>
      </w:r>
      <w:r w:rsidRPr="00034F0A">
        <w:rPr>
          <w:rFonts w:ascii="Verdana" w:eastAsia="Calibri" w:hAnsi="Verdana" w:cs="Arial"/>
          <w:lang w:val="es-ES" w:eastAsia="es-ES"/>
        </w:rPr>
        <w:t>precisar si se trata de un requisito de ejecución legal o convencional.</w:t>
      </w:r>
      <w:r>
        <w:rPr>
          <w:rFonts w:ascii="Verdana" w:eastAsia="Calibri" w:hAnsi="Verdana" w:cs="Arial"/>
          <w:lang w:val="es-ES" w:eastAsia="es-ES"/>
        </w:rPr>
        <w:t xml:space="preserve"> Según lo dispuesto en el </w:t>
      </w:r>
      <w:r w:rsidRPr="00034F0A">
        <w:rPr>
          <w:rFonts w:ascii="Verdana" w:eastAsia="Calibri" w:hAnsi="Verdana" w:cs="Arial"/>
          <w:lang w:val="es-ES" w:eastAsia="es-ES"/>
        </w:rPr>
        <w:t>segundo inciso del artículo 41 de la Ley 80 de 1993, modificado por el artículo 23 de la Ley 1150 de 2007</w:t>
      </w:r>
      <w:r>
        <w:rPr>
          <w:rFonts w:ascii="Verdana" w:eastAsia="Calibri" w:hAnsi="Verdana" w:cs="Arial"/>
          <w:lang w:val="es-ES" w:eastAsia="es-ES"/>
        </w:rPr>
        <w:t xml:space="preserve"> ya transcrito, se puede concluir que los </w:t>
      </w:r>
      <w:r w:rsidRPr="00034F0A">
        <w:rPr>
          <w:rFonts w:ascii="Verdana" w:eastAsia="Calibri" w:hAnsi="Verdana" w:cs="Arial"/>
          <w:lang w:val="es-ES" w:eastAsia="es-ES"/>
        </w:rPr>
        <w:t xml:space="preserve">requisitos convencionales </w:t>
      </w:r>
      <w:r>
        <w:rPr>
          <w:rFonts w:ascii="Verdana" w:eastAsia="Calibri" w:hAnsi="Verdana" w:cs="Arial"/>
          <w:lang w:val="es-ES" w:eastAsia="es-ES"/>
        </w:rPr>
        <w:t xml:space="preserve">serán </w:t>
      </w:r>
      <w:r w:rsidRPr="00034F0A">
        <w:rPr>
          <w:rFonts w:ascii="Verdana" w:eastAsia="Calibri" w:hAnsi="Verdana" w:cs="Arial"/>
          <w:lang w:val="es-ES" w:eastAsia="es-ES"/>
        </w:rPr>
        <w:t>aquellos que no se encuentran consagrados en la ley, sino que se pactan en la minuta del contrato o que el contratista acepta al momento de adherirse al clausulado del pliego de condiciones o documento equivalente.</w:t>
      </w:r>
      <w:r>
        <w:rPr>
          <w:rFonts w:ascii="Verdana" w:eastAsia="Calibri" w:hAnsi="Verdana" w:cs="Arial"/>
          <w:lang w:val="es-ES" w:eastAsia="es-ES"/>
        </w:rPr>
        <w:t xml:space="preserve"> </w:t>
      </w:r>
    </w:p>
    <w:p w14:paraId="4045EFCD"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560D6ED4"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El fundamento legal que habilita a las partes para establecer la suscripción del acta de inicio como un requisito de ejecución convencional se encuentra en el segundo inciso del artículo 40 de la Ley 80 de 1993, el cual indica que “Las </w:t>
      </w:r>
      <w:r w:rsidRPr="00034F0A">
        <w:rPr>
          <w:rFonts w:ascii="Verdana" w:eastAsia="Calibri" w:hAnsi="Verdana" w:cs="Arial"/>
          <w:lang w:val="es-ES" w:eastAsia="es-ES"/>
        </w:rPr>
        <w:lastRenderedPageBreak/>
        <w:t>entidades podrán celebrar los contratos y acuerdos que permitan la autonomía de la voluntad y requieran el cumplimiento de los fines estatales”.</w:t>
      </w:r>
    </w:p>
    <w:p w14:paraId="5C618F4F"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Sin embargo, en el ejercicio de la autonomía de la voluntad las partes del contrato deben respetar las normas de orden público. En consecuencia, a pesar de que están facultadas para acordar cláusulas accidentales en el negocio jurídico, estas no pueden ir en contra de los mandatos contenidos en el EGCAP.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w:t>
      </w:r>
      <w:r>
        <w:rPr>
          <w:rFonts w:ascii="Verdana" w:eastAsia="Calibri" w:hAnsi="Verdana" w:cs="Arial"/>
          <w:lang w:val="es-ES" w:eastAsia="es-ES"/>
        </w:rPr>
        <w:t>.</w:t>
      </w:r>
    </w:p>
    <w:p w14:paraId="25C3B0CD"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Dicho de otra manera, el acta de inicio puede ser pactada como requisito para el comienzo del cómputo del plazo, pero la fecha que se defina en ella para iniciar la ejecución del contrato no puede ser anterior al cumplimiento de los requisitos de ejecución establecidos en la ley. Verbigracia, si las garantías no han sido aprobadas por la entidad estatal, aún no se puede suscribir el acta de inicio, pues de lo contrario las partes estarían contrariando normas de orden público, que, como bien se ha señalado, son indisponibles. O si la fecha de expedición del registro presupuestal es el día de hoy, no puede establecerse como fecha de inicio de ejecución del contrato el día de ayer, porque lo que eso estaría indicando es que el contrato estatal comenzó su ejecución sin la apropiación presupuestal suficiente.</w:t>
      </w:r>
    </w:p>
    <w:p w14:paraId="5F627FEA"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Además, el artículo 6 de la Constitución dispone que “Los particulares sólo son responsables ante las autoridades por infringir la Constitución y las leyes” y que “Los servidores públicos lo son por la misma causa y por omisión o extralimitación en el ejercicio de sus funciones”. Por tanto, no se puede suscribir el acta de inicio, estableciendo como fecha de inicio del contrato un día en el que aún no se hayan cumplido los requisitos de ejecución establecidos en el artículo 41 de la Ley 80 de 1993, porque ello implica una infracción de la ley. </w:t>
      </w:r>
    </w:p>
    <w:p w14:paraId="60D20CDF" w14:textId="77777777" w:rsidR="003E4080" w:rsidRPr="00034F0A"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Finalmente, a juicio del Consejo de Estado, una vez se pacte el acta de inicio como requisito de ejecución del contrato, su ausencia tiene como consecuencia la falta de autorización para desplegar cualquier actividad contractual. Por ende, concluye el alto tribunal en sentencia del 3 de abril de </w:t>
      </w:r>
      <w:r w:rsidRPr="00034F0A">
        <w:rPr>
          <w:rFonts w:ascii="Verdana" w:eastAsia="Calibri" w:hAnsi="Verdana" w:cs="Arial"/>
          <w:lang w:val="es-ES" w:eastAsia="es-ES"/>
        </w:rPr>
        <w:lastRenderedPageBreak/>
        <w:t>2020</w:t>
      </w:r>
      <w:r>
        <w:rPr>
          <w:rStyle w:val="Refdenotaalpie"/>
          <w:rFonts w:ascii="Verdana" w:eastAsia="Calibri" w:hAnsi="Verdana" w:cs="Arial"/>
          <w:lang w:val="es-ES" w:eastAsia="es-ES"/>
        </w:rPr>
        <w:footnoteReference w:id="7"/>
      </w:r>
      <w:r w:rsidRPr="00034F0A">
        <w:rPr>
          <w:rFonts w:ascii="Verdana" w:eastAsia="Calibri" w:hAnsi="Verdana" w:cs="Arial"/>
          <w:lang w:val="es-ES" w:eastAsia="es-ES"/>
        </w:rPr>
        <w:t>, la eventual ejecución del contrato en estos casos no merecería reconocimiento pecuniario:</w:t>
      </w:r>
    </w:p>
    <w:p w14:paraId="7544B12F" w14:textId="77777777" w:rsidR="003E4080" w:rsidRDefault="003E4080" w:rsidP="003E4080">
      <w:pPr>
        <w:spacing w:after="0" w:line="240" w:lineRule="auto"/>
        <w:ind w:left="709" w:right="618"/>
        <w:jc w:val="both"/>
        <w:rPr>
          <w:rFonts w:ascii="Verdana" w:eastAsia="Calibri" w:hAnsi="Verdana" w:cs="Arial"/>
          <w:i/>
          <w:iCs/>
          <w:sz w:val="20"/>
          <w:szCs w:val="20"/>
          <w:lang w:val="es-ES" w:eastAsia="es-ES"/>
        </w:rPr>
      </w:pPr>
      <w:r w:rsidRPr="00264327">
        <w:rPr>
          <w:rFonts w:ascii="Verdana" w:eastAsia="Calibri" w:hAnsi="Verdana" w:cs="Arial"/>
          <w:sz w:val="20"/>
          <w:szCs w:val="20"/>
          <w:lang w:val="es-ES" w:eastAsia="es-ES"/>
        </w:rPr>
        <w:t>“Pese a declararse en esta oportunidad la nulidad del acto de terminación unilateral del convenio, la Sala encuentra que no está llamada a prosperar la pretensión de incumplimiento ni el consecuencial reconocimiento de los perjuicios reclamados por la parte demandante […] [L]as partes no suscribieron el acta para dar inicio a la ejecución del convenio y la entidad demandada no impartió autorización que avalara las actividades de la fundación cooperante encaminadas a la ejecución prematura de sus obligaciones. En razón de lo anterior, pese a la declaratoria de nulidad del acta de terminación unilateral del convenio 497 de 2007, no es dable acceder a la pretensión de incumplimiento, en tanto no se suscribió el acta de inicio convenida por las partes como requisito para su ejecución, lo cual significa que al momento de la terminación unilateral, no contaba el demandante con autorización para ejecutar las obligaciones contraídas con ocasión del contrato. En este orden, ante la ausencia de autorización, cualquier actividad desplegada por el cooperante no resultaría merecedora de reconocimiento pecuniario</w:t>
      </w:r>
      <w:r w:rsidRPr="00264327">
        <w:rPr>
          <w:rFonts w:ascii="Verdana" w:eastAsia="Calibri" w:hAnsi="Verdana" w:cs="Arial"/>
          <w:i/>
          <w:iCs/>
          <w:sz w:val="20"/>
          <w:szCs w:val="20"/>
          <w:lang w:val="es-ES" w:eastAsia="es-ES"/>
        </w:rPr>
        <w:t>”.</w:t>
      </w:r>
    </w:p>
    <w:p w14:paraId="7FEF6CE2" w14:textId="77777777" w:rsidR="00FD7B2E" w:rsidRDefault="00FD7B2E" w:rsidP="003E4080">
      <w:pPr>
        <w:tabs>
          <w:tab w:val="left" w:pos="142"/>
          <w:tab w:val="left" w:pos="284"/>
          <w:tab w:val="left" w:pos="6912"/>
        </w:tabs>
        <w:spacing w:after="0" w:line="276" w:lineRule="auto"/>
        <w:jc w:val="both"/>
        <w:rPr>
          <w:rFonts w:ascii="Verdana" w:eastAsia="Calibri" w:hAnsi="Verdana" w:cs="Arial"/>
          <w:lang w:val="es-ES"/>
        </w:rPr>
      </w:pPr>
    </w:p>
    <w:p w14:paraId="674E40AC" w14:textId="6342421E" w:rsidR="003E4080" w:rsidRDefault="003E4080" w:rsidP="003E4080">
      <w:pPr>
        <w:tabs>
          <w:tab w:val="left" w:pos="142"/>
          <w:tab w:val="left" w:pos="284"/>
          <w:tab w:val="left" w:pos="6912"/>
        </w:tabs>
        <w:spacing w:after="0" w:line="276" w:lineRule="auto"/>
        <w:jc w:val="both"/>
        <w:rPr>
          <w:rFonts w:ascii="Verdana" w:eastAsia="Calibri" w:hAnsi="Verdana" w:cs="Arial"/>
          <w:lang w:val="es-ES"/>
        </w:rPr>
      </w:pPr>
      <w:r w:rsidRPr="00E42890">
        <w:rPr>
          <w:rFonts w:ascii="Verdana" w:eastAsia="Calibri" w:hAnsi="Verdana" w:cs="Arial"/>
          <w:lang w:val="es-ES"/>
        </w:rPr>
        <w:t xml:space="preserve">ii) Dilucidado aquello relativo al acta de inicio, </w:t>
      </w:r>
      <w:r w:rsidRPr="00E42890">
        <w:rPr>
          <w:rFonts w:ascii="Verdana" w:eastAsia="Calibri" w:hAnsi="Verdana" w:cs="Arial"/>
        </w:rPr>
        <w:t>resulta necesario dar un contexto sobre las restricciones contempladas en la Ley de Garantías Electorales – Ley 996 de 2005, es especial, lo dispuesto en el artículo 33.</w:t>
      </w:r>
      <w:r>
        <w:rPr>
          <w:rFonts w:ascii="Verdana" w:eastAsia="Calibri" w:hAnsi="Verdana" w:cs="Arial"/>
        </w:rPr>
        <w:t xml:space="preserve"> </w:t>
      </w:r>
    </w:p>
    <w:p w14:paraId="4013F634" w14:textId="77777777" w:rsidR="003E4080" w:rsidRDefault="003E4080" w:rsidP="003E4080">
      <w:pPr>
        <w:tabs>
          <w:tab w:val="left" w:pos="142"/>
          <w:tab w:val="left" w:pos="284"/>
          <w:tab w:val="left" w:pos="6912"/>
        </w:tabs>
        <w:spacing w:after="0" w:line="240" w:lineRule="auto"/>
        <w:jc w:val="both"/>
        <w:rPr>
          <w:rFonts w:ascii="Verdana" w:eastAsia="Calibri" w:hAnsi="Verdana" w:cs="Arial"/>
          <w:lang w:val="es-ES"/>
        </w:rPr>
      </w:pPr>
    </w:p>
    <w:p w14:paraId="58D8FC0F" w14:textId="77777777" w:rsidR="003E4080" w:rsidRPr="002D6B92" w:rsidRDefault="003E4080" w:rsidP="003E4080">
      <w:pPr>
        <w:tabs>
          <w:tab w:val="left" w:pos="142"/>
          <w:tab w:val="left" w:pos="284"/>
          <w:tab w:val="left" w:pos="6912"/>
        </w:tabs>
        <w:spacing w:after="120" w:line="276" w:lineRule="auto"/>
        <w:ind w:firstLine="142"/>
        <w:jc w:val="both"/>
        <w:rPr>
          <w:rFonts w:ascii="Verdana" w:eastAsia="Calibri" w:hAnsi="Verdana" w:cs="Arial"/>
          <w:lang w:val="es-ES"/>
        </w:rPr>
      </w:pPr>
      <w:r>
        <w:rPr>
          <w:rFonts w:ascii="Verdana" w:eastAsia="Times New Roman" w:hAnsi="Verdana" w:cs="Arial"/>
          <w:bCs/>
          <w:lang w:eastAsia="es-CO"/>
        </w:rPr>
        <w:tab/>
        <w:t xml:space="preserve">     </w:t>
      </w: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8"/>
      </w:r>
      <w:r w:rsidRPr="00F10E52">
        <w:rPr>
          <w:rFonts w:ascii="Verdana" w:eastAsia="Calibri" w:hAnsi="Verdana" w:cs="Arial"/>
          <w:bCs/>
        </w:rPr>
        <w:t xml:space="preserve">. </w:t>
      </w:r>
    </w:p>
    <w:p w14:paraId="174ABD1E" w14:textId="77777777" w:rsidR="003E4080" w:rsidRDefault="003E4080" w:rsidP="003E4080">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w:t>
      </w:r>
      <w:r w:rsidRPr="00F10E52">
        <w:rPr>
          <w:rFonts w:ascii="Verdana" w:eastAsia="Times New Roman" w:hAnsi="Verdana" w:cs="Arial"/>
          <w:bCs/>
          <w:lang w:eastAsia="es-CO"/>
        </w:rPr>
        <w:lastRenderedPageBreak/>
        <w:t>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9"/>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2945F06E" w14:textId="77777777" w:rsidR="003E4080" w:rsidRPr="00F10E52" w:rsidRDefault="003E4080" w:rsidP="003E4080">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B257F34" w14:textId="77777777" w:rsidR="003E4080" w:rsidRPr="007777F3" w:rsidRDefault="003E4080" w:rsidP="003E4080">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88DE686" w14:textId="77777777" w:rsidR="003E4080" w:rsidRPr="009E6EDF" w:rsidRDefault="003E4080" w:rsidP="003E4080">
      <w:pPr>
        <w:spacing w:after="0" w:line="240" w:lineRule="auto"/>
        <w:ind w:left="709" w:right="709"/>
        <w:jc w:val="both"/>
        <w:rPr>
          <w:rFonts w:ascii="Verdana" w:eastAsia="Times New Roman" w:hAnsi="Verdana" w:cs="Arial"/>
          <w:bCs/>
          <w:sz w:val="20"/>
          <w:szCs w:val="20"/>
          <w:lang w:eastAsia="es-CO"/>
        </w:rPr>
      </w:pPr>
    </w:p>
    <w:p w14:paraId="26D18D9B" w14:textId="77777777" w:rsidR="003E4080" w:rsidRPr="00724A60" w:rsidRDefault="003E4080" w:rsidP="003E4080">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10"/>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50322E80" w14:textId="77777777" w:rsidR="003E4080" w:rsidRDefault="003E4080" w:rsidP="003E4080">
      <w:pPr>
        <w:spacing w:after="0" w:line="276" w:lineRule="auto"/>
        <w:ind w:firstLine="709"/>
        <w:jc w:val="both"/>
        <w:rPr>
          <w:rFonts w:ascii="Verdana" w:eastAsia="Times New Roman" w:hAnsi="Verdana" w:cs="Arial"/>
          <w:bCs/>
          <w:lang w:eastAsia="es-CO"/>
        </w:rPr>
      </w:pPr>
    </w:p>
    <w:p w14:paraId="302ED15F" w14:textId="77777777" w:rsidR="003E4080" w:rsidRPr="002D6B92" w:rsidRDefault="003E4080" w:rsidP="003E4080">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4CD44A69" w14:textId="5B50B7ED" w:rsidR="003E4080" w:rsidRPr="009B20C5" w:rsidRDefault="003E4080" w:rsidP="00FD7B2E">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w:t>
      </w:r>
      <w:r w:rsidRPr="009B20C5">
        <w:rPr>
          <w:rFonts w:ascii="Verdana" w:eastAsia="Times New Roman" w:hAnsi="Verdana" w:cs="Arial"/>
          <w:bCs/>
          <w:sz w:val="20"/>
          <w:szCs w:val="20"/>
          <w:lang w:eastAsia="es-CO"/>
        </w:rPr>
        <w:lastRenderedPageBreak/>
        <w:t>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7377ECE" w14:textId="77777777" w:rsidR="003E4080" w:rsidRPr="009B20C5" w:rsidRDefault="003E4080" w:rsidP="003E4080">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11"/>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12"/>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13"/>
      </w:r>
      <w:r w:rsidRPr="009B20C5">
        <w:rPr>
          <w:rFonts w:ascii="Verdana" w:eastAsia="Times New Roman" w:hAnsi="Verdana" w:cs="Arial"/>
          <w:bCs/>
          <w:sz w:val="20"/>
          <w:szCs w:val="20"/>
          <w:lang w:eastAsia="es-CO"/>
        </w:rPr>
        <w:t>.</w:t>
      </w:r>
    </w:p>
    <w:p w14:paraId="77086472" w14:textId="77777777" w:rsidR="003E4080" w:rsidRDefault="003E4080" w:rsidP="003E4080">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180271C9" w14:textId="77777777" w:rsidR="003E4080"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0D3F5FA" w14:textId="77777777" w:rsidR="003E4080" w:rsidRPr="00F10E52"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4E903603" w14:textId="77777777" w:rsidR="003E4080" w:rsidRPr="00F10E52" w:rsidRDefault="003E4080" w:rsidP="003E4080">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w:t>
      </w:r>
      <w:r w:rsidRPr="00F10E52">
        <w:rPr>
          <w:rFonts w:ascii="Verdana" w:eastAsia="Calibri" w:hAnsi="Verdana" w:cs="Arial"/>
        </w:rPr>
        <w:lastRenderedPageBreak/>
        <w:t>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14"/>
      </w:r>
      <w:r w:rsidRPr="00F10E52">
        <w:rPr>
          <w:rFonts w:ascii="Verdana" w:eastAsia="Calibri" w:hAnsi="Verdana" w:cs="Arial"/>
        </w:rPr>
        <w:t>.</w:t>
      </w:r>
    </w:p>
    <w:p w14:paraId="0D74E1CB" w14:textId="77777777" w:rsidR="003E4080" w:rsidRDefault="003E4080" w:rsidP="003E408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15"/>
      </w:r>
      <w:r w:rsidRPr="00F10E52">
        <w:rPr>
          <w:rFonts w:ascii="Verdana" w:eastAsia="Calibri" w:hAnsi="Verdana" w:cs="Arial"/>
        </w:rPr>
        <w:t>.</w:t>
      </w:r>
      <w:r w:rsidRPr="00F10E52">
        <w:rPr>
          <w:rFonts w:ascii="Verdana" w:eastAsia="Arial" w:hAnsi="Verdana" w:cs="Arial"/>
          <w:lang w:val="es-ES" w:eastAsia="es-ES" w:bidi="es-ES"/>
        </w:rPr>
        <w:t xml:space="preserve"> </w:t>
      </w:r>
    </w:p>
    <w:p w14:paraId="5806CDE9" w14:textId="77777777" w:rsidR="003E4080" w:rsidRPr="006A51F6" w:rsidRDefault="003E4080" w:rsidP="003E408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8164115" w14:textId="77777777" w:rsidR="003E4080" w:rsidRPr="009B20C5" w:rsidRDefault="003E4080" w:rsidP="003E408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w:t>
      </w:r>
      <w:r w:rsidRPr="009B20C5">
        <w:rPr>
          <w:rFonts w:ascii="Verdana" w:eastAsia="Arial" w:hAnsi="Verdana" w:cs="Arial"/>
          <w:sz w:val="20"/>
          <w:szCs w:val="20"/>
          <w:lang w:val="es-ES" w:eastAsia="es-ES" w:bidi="es-ES"/>
        </w:rPr>
        <w:lastRenderedPageBreak/>
        <w:t xml:space="preserve">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6"/>
      </w:r>
      <w:r>
        <w:rPr>
          <w:rFonts w:ascii="Verdana" w:eastAsia="Arial" w:hAnsi="Verdana" w:cs="Arial"/>
          <w:sz w:val="20"/>
          <w:szCs w:val="20"/>
          <w:lang w:val="es-ES" w:eastAsia="es-ES" w:bidi="es-ES"/>
        </w:rPr>
        <w:t>.</w:t>
      </w:r>
    </w:p>
    <w:p w14:paraId="28CB8983" w14:textId="77777777" w:rsidR="003E4080" w:rsidRDefault="003E4080" w:rsidP="003E4080">
      <w:pPr>
        <w:spacing w:after="0" w:line="240" w:lineRule="auto"/>
        <w:ind w:firstLine="709"/>
        <w:jc w:val="both"/>
        <w:rPr>
          <w:rFonts w:ascii="Verdana" w:eastAsia="Arial" w:hAnsi="Verdana" w:cs="Arial"/>
          <w:lang w:val="es-ES" w:eastAsia="es-ES" w:bidi="es-ES"/>
        </w:rPr>
      </w:pPr>
    </w:p>
    <w:p w14:paraId="236739FD" w14:textId="77777777" w:rsidR="003E4080" w:rsidRPr="00F10E52"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4A2858C1" w14:textId="77777777" w:rsidR="003E4080" w:rsidRPr="00F10E52"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08E1C6A6" w14:textId="77777777" w:rsidR="003E4080" w:rsidRDefault="003E4080" w:rsidP="003E4080">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La Corte Constitucional, en la Sentencia C-1153 del 11 de noviembre de 2005, señaló que, para que la garantía sea plena, era necesario que la prohibición se aplicara para el Presidente o el Vicepresidente desde que éstos –</w:t>
      </w:r>
      <w:r w:rsidRPr="00F10E52">
        <w:rPr>
          <w:rFonts w:ascii="Verdana" w:eastAsia="Arial" w:hAnsi="Verdana" w:cs="Arial"/>
          <w:lang w:val="es-ES" w:eastAsia="es-ES" w:bidi="es-ES"/>
        </w:rPr>
        <w:lastRenderedPageBreak/>
        <w:t xml:space="preserve">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588E7C4F" w14:textId="77777777" w:rsidR="003E4080" w:rsidRDefault="003E4080" w:rsidP="003E4080">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6D43D0C4" w14:textId="77777777" w:rsidR="003E4080" w:rsidRPr="00435A6A" w:rsidRDefault="003E4080" w:rsidP="003E4080">
      <w:pPr>
        <w:spacing w:after="120" w:line="276" w:lineRule="auto"/>
        <w:ind w:firstLine="709"/>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5DACE8E3" w14:textId="77777777" w:rsidR="003E4080" w:rsidRDefault="003E4080" w:rsidP="003E4080">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7"/>
      </w:r>
      <w:r w:rsidRPr="005800D0">
        <w:rPr>
          <w:rFonts w:ascii="Verdana" w:hAnsi="Verdana" w:cs="Arial"/>
          <w:sz w:val="20"/>
          <w:szCs w:val="20"/>
        </w:rPr>
        <w:t>.</w:t>
      </w:r>
    </w:p>
    <w:p w14:paraId="4D6F25B4" w14:textId="77777777" w:rsidR="003E4080" w:rsidRPr="005800D0" w:rsidRDefault="003E4080" w:rsidP="003E4080">
      <w:pPr>
        <w:spacing w:after="0" w:line="240" w:lineRule="auto"/>
        <w:ind w:left="709" w:right="709"/>
        <w:jc w:val="both"/>
        <w:rPr>
          <w:rFonts w:ascii="Verdana" w:hAnsi="Verdana" w:cs="Arial"/>
          <w:sz w:val="20"/>
          <w:szCs w:val="20"/>
        </w:rPr>
      </w:pPr>
    </w:p>
    <w:p w14:paraId="3C06510B" w14:textId="77777777" w:rsidR="003E4080" w:rsidRDefault="003E4080" w:rsidP="003E4080">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8"/>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w:t>
      </w:r>
      <w:r w:rsidRPr="005800D0">
        <w:rPr>
          <w:rFonts w:ascii="Verdana" w:hAnsi="Verdana" w:cs="Arial"/>
          <w:sz w:val="20"/>
          <w:szCs w:val="20"/>
        </w:rPr>
        <w:lastRenderedPageBreak/>
        <w:t xml:space="preserve">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9"/>
      </w:r>
      <w:r w:rsidRPr="005800D0">
        <w:rPr>
          <w:rFonts w:ascii="Verdana" w:hAnsi="Verdana" w:cs="Arial"/>
          <w:sz w:val="20"/>
          <w:szCs w:val="20"/>
        </w:rPr>
        <w:t>.</w:t>
      </w:r>
    </w:p>
    <w:p w14:paraId="595FE6FD" w14:textId="77777777" w:rsidR="003E4080" w:rsidRPr="005800D0" w:rsidRDefault="003E4080" w:rsidP="003E4080">
      <w:pPr>
        <w:spacing w:after="0" w:line="240" w:lineRule="auto"/>
        <w:ind w:left="709" w:right="709"/>
        <w:jc w:val="both"/>
        <w:rPr>
          <w:rFonts w:ascii="Verdana" w:hAnsi="Verdana" w:cs="Arial"/>
        </w:rPr>
      </w:pPr>
    </w:p>
    <w:p w14:paraId="4F2D6980" w14:textId="77777777" w:rsidR="003E4080" w:rsidRPr="00195E24" w:rsidRDefault="003E4080" w:rsidP="003E4080">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20"/>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21"/>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1C353B6E" w14:textId="77777777" w:rsidR="003E4080" w:rsidRPr="00195E24" w:rsidRDefault="003E4080" w:rsidP="003E4080">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22"/>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41359BF7" w14:textId="77777777" w:rsidR="003E4080" w:rsidRPr="00195E24" w:rsidRDefault="003E4080" w:rsidP="003E4080">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w:t>
      </w:r>
      <w:r w:rsidRPr="00195E24">
        <w:rPr>
          <w:rFonts w:ascii="Verdana" w:hAnsi="Verdana" w:cs="Arial"/>
          <w:lang w:eastAsia="x-none"/>
        </w:rPr>
        <w:lastRenderedPageBreak/>
        <w:t xml:space="preserve">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23"/>
      </w:r>
      <w:r w:rsidRPr="00195E24">
        <w:rPr>
          <w:rFonts w:ascii="Verdana" w:hAnsi="Verdana" w:cs="Arial"/>
          <w:lang w:eastAsia="x-none"/>
        </w:rPr>
        <w:t xml:space="preserve">. </w:t>
      </w:r>
    </w:p>
    <w:p w14:paraId="40AD24A1" w14:textId="77777777" w:rsidR="003E4080" w:rsidRPr="00CE0712" w:rsidRDefault="003E4080" w:rsidP="003E4080">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4D62FC6B" w14:textId="77777777" w:rsidR="003E4080" w:rsidRPr="007E27D9" w:rsidRDefault="003E4080" w:rsidP="003E4080">
      <w:pPr>
        <w:spacing w:after="120" w:line="276" w:lineRule="auto"/>
        <w:ind w:firstLine="709"/>
        <w:jc w:val="both"/>
        <w:rPr>
          <w:rFonts w:ascii="Verdana" w:hAnsi="Verdana" w:cs="Arial"/>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24"/>
      </w:r>
      <w:r w:rsidRPr="007E27D9">
        <w:rPr>
          <w:rFonts w:ascii="Verdana" w:hAnsi="Verdana" w:cs="Arial"/>
          <w:lang w:eastAsia="x-none"/>
        </w:rPr>
        <w:t>.</w:t>
      </w:r>
      <w:r w:rsidRPr="007E27D9">
        <w:rPr>
          <w:rFonts w:ascii="Verdana" w:hAnsi="Verdana" w:cs="Arial"/>
          <w:vertAlign w:val="superscript"/>
          <w:lang w:eastAsia="x-none"/>
        </w:rPr>
        <w:t xml:space="preserve"> </w:t>
      </w:r>
    </w:p>
    <w:bookmarkEnd w:id="16"/>
    <w:p w14:paraId="697A7D18" w14:textId="77777777" w:rsidR="003E4080" w:rsidRPr="007E27D9" w:rsidRDefault="003E4080" w:rsidP="003E4080">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1B1DF4F6" w14:textId="77777777" w:rsidR="003E4080" w:rsidRPr="00CE0712" w:rsidRDefault="003E4080" w:rsidP="003E4080">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Ahora bien, en relación con los destinatarios de las restricciones, el artículo 33 de la Ley 996 de 2005 los señala expresamente, en el sentido de que </w:t>
      </w:r>
      <w:r w:rsidRPr="73D21086">
        <w:rPr>
          <w:rFonts w:ascii="Verdana" w:hAnsi="Verdana" w:cs="Arial"/>
          <w:color w:val="000000" w:themeColor="text1"/>
          <w:lang w:val="es-MX"/>
        </w:rPr>
        <w:lastRenderedPageBreak/>
        <w:t>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74B42C7" w14:textId="77777777" w:rsidR="003E4080" w:rsidRDefault="003E4080" w:rsidP="003E4080">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5"/>
      </w:r>
      <w:r w:rsidRPr="73D21086">
        <w:rPr>
          <w:rFonts w:ascii="Verdana" w:hAnsi="Verdana" w:cs="Arial"/>
          <w:color w:val="000000" w:themeColor="text1"/>
          <w:lang w:val="es-MX"/>
        </w:rPr>
        <w:t xml:space="preserve">. </w:t>
      </w:r>
    </w:p>
    <w:p w14:paraId="4D4DBC16" w14:textId="77777777" w:rsidR="003E4080" w:rsidRPr="002D6B92" w:rsidRDefault="003E4080" w:rsidP="003E4080">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6"/>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3A357222" w14:textId="77777777" w:rsidR="003E4080" w:rsidRPr="005800D0" w:rsidRDefault="003E4080" w:rsidP="003E4080">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lastRenderedPageBreak/>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F684989" w14:textId="77777777" w:rsidR="003E4080" w:rsidRDefault="003E4080" w:rsidP="003E4080">
      <w:pPr>
        <w:spacing w:after="0" w:line="240" w:lineRule="auto"/>
        <w:ind w:left="709" w:right="709"/>
        <w:jc w:val="both"/>
        <w:rPr>
          <w:rFonts w:ascii="Verdana" w:hAnsi="Verdana" w:cs="Arial"/>
          <w:color w:val="000000" w:themeColor="text1"/>
          <w:sz w:val="20"/>
          <w:szCs w:val="20"/>
          <w:lang w:val="es-MX"/>
        </w:rPr>
      </w:pPr>
    </w:p>
    <w:p w14:paraId="4ED9D5AD" w14:textId="77777777" w:rsidR="003E4080" w:rsidRDefault="003E4080" w:rsidP="003E4080">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7"/>
      </w:r>
      <w:r w:rsidRPr="005800D0">
        <w:rPr>
          <w:rFonts w:ascii="Verdana" w:hAnsi="Verdana" w:cs="Arial"/>
          <w:color w:val="000000" w:themeColor="text1"/>
          <w:sz w:val="20"/>
          <w:szCs w:val="20"/>
          <w:lang w:val="es-MX" w:eastAsia="x-none"/>
        </w:rPr>
        <w:t>.</w:t>
      </w:r>
    </w:p>
    <w:p w14:paraId="15E71D93" w14:textId="77777777" w:rsidR="003E4080" w:rsidRPr="00435A6A" w:rsidRDefault="003E4080" w:rsidP="003E4080">
      <w:pPr>
        <w:spacing w:after="0" w:line="240" w:lineRule="auto"/>
        <w:ind w:left="709" w:right="709"/>
        <w:jc w:val="both"/>
        <w:rPr>
          <w:rFonts w:ascii="Verdana" w:hAnsi="Verdana" w:cs="Arial"/>
          <w:color w:val="000000" w:themeColor="text1"/>
          <w:sz w:val="20"/>
          <w:szCs w:val="20"/>
          <w:lang w:val="es-MX"/>
        </w:rPr>
      </w:pPr>
    </w:p>
    <w:p w14:paraId="5E664E11" w14:textId="77777777" w:rsidR="003E4080" w:rsidRDefault="003E4080" w:rsidP="003E4080">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w:t>
      </w:r>
      <w:r w:rsidRPr="00195E24">
        <w:rPr>
          <w:rFonts w:ascii="Verdana" w:hAnsi="Verdana" w:cs="Arial"/>
          <w:color w:val="000000" w:themeColor="text1"/>
          <w:lang w:val="es-MX"/>
        </w:rPr>
        <w:lastRenderedPageBreak/>
        <w:t>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8"/>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15CDCED3" w14:textId="77777777" w:rsidR="003E4080" w:rsidRPr="00195E24" w:rsidRDefault="003E4080" w:rsidP="003E4080">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138436AB" w14:textId="77777777" w:rsidR="003E4080" w:rsidRPr="00CE0712" w:rsidRDefault="003E4080" w:rsidP="003E4080">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5231F292" w14:textId="77777777" w:rsidR="003E4080" w:rsidRDefault="003E4080" w:rsidP="003E4080">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6133AA92" w14:textId="77777777" w:rsidR="003E4080" w:rsidRDefault="003E4080" w:rsidP="003E4080">
      <w:pPr>
        <w:spacing w:after="120" w:line="276" w:lineRule="auto"/>
        <w:ind w:firstLine="709"/>
        <w:jc w:val="both"/>
        <w:rPr>
          <w:rFonts w:ascii="Verdana" w:eastAsia="Calibri" w:hAnsi="Verdana" w:cs="Arial"/>
          <w:lang w:val="es-ES"/>
        </w:rPr>
      </w:pPr>
      <w:r>
        <w:rPr>
          <w:rFonts w:ascii="Verdana" w:eastAsia="Arial" w:hAnsi="Verdana" w:cs="Arial"/>
          <w:bCs/>
          <w:color w:val="000000" w:themeColor="text1"/>
          <w:lang w:val="es-ES"/>
        </w:rPr>
        <w:t xml:space="preserve">De acuerdo con lo anterior y en concordancia con lo definido en el </w:t>
      </w:r>
      <w:r w:rsidRPr="00571D04">
        <w:rPr>
          <w:rFonts w:ascii="Verdana" w:eastAsia="Calibri" w:hAnsi="Verdana" w:cs="Arial"/>
          <w:lang w:val="es-ES"/>
        </w:rPr>
        <w:t xml:space="preserve">primer inciso del artículo 41 de la Ley 80 de 1993 </w:t>
      </w:r>
      <w:r>
        <w:rPr>
          <w:rFonts w:ascii="Verdana" w:eastAsia="Calibri" w:hAnsi="Verdana" w:cs="Arial"/>
          <w:lang w:val="es-ES"/>
        </w:rPr>
        <w:t xml:space="preserve">que </w:t>
      </w:r>
      <w:r w:rsidRPr="00571D04">
        <w:rPr>
          <w:rFonts w:ascii="Verdana" w:eastAsia="Calibri" w:hAnsi="Verdana" w:cs="Arial"/>
          <w:lang w:val="es-ES"/>
        </w:rPr>
        <w:t>establece</w:t>
      </w:r>
      <w:r>
        <w:rPr>
          <w:rFonts w:ascii="Verdana" w:eastAsia="Calibri" w:hAnsi="Verdana" w:cs="Arial"/>
          <w:lang w:val="es-ES"/>
        </w:rPr>
        <w:t>:</w:t>
      </w:r>
      <w:r w:rsidRPr="00571D04">
        <w:rPr>
          <w:rFonts w:ascii="Verdana" w:eastAsia="Calibri" w:hAnsi="Verdana" w:cs="Arial"/>
          <w:lang w:val="es-ES"/>
        </w:rPr>
        <w:t xml:space="preserve"> “Los contratos del Estado se perfeccionan cuando se logre acuerdo sobre el objeto y la </w:t>
      </w:r>
      <w:r w:rsidRPr="00571D04">
        <w:rPr>
          <w:rFonts w:ascii="Verdana" w:eastAsia="Calibri" w:hAnsi="Verdana" w:cs="Arial"/>
          <w:lang w:val="es-ES"/>
        </w:rPr>
        <w:lastRenderedPageBreak/>
        <w:t>contraprestación y éste se eleve a escrito”</w:t>
      </w:r>
      <w:r>
        <w:rPr>
          <w:rFonts w:ascii="Verdana" w:eastAsia="Calibri" w:hAnsi="Verdana" w:cs="Arial"/>
          <w:lang w:val="es-ES"/>
        </w:rPr>
        <w:t xml:space="preserve">, </w:t>
      </w:r>
      <w:r w:rsidRPr="00571D04">
        <w:rPr>
          <w:rFonts w:ascii="Verdana" w:eastAsia="Calibri" w:hAnsi="Verdana" w:cs="Arial"/>
          <w:lang w:val="es-ES"/>
        </w:rPr>
        <w:t xml:space="preserve">el legislador dispuso que para que el contrato estatal exista, no solo debe haber un acuerdo sobra la obligación principal del negocio –es decir, sobre el “objeto”– y sobre la contraprestación, sino que se debe plasmar por escrito. </w:t>
      </w:r>
      <w:r>
        <w:rPr>
          <w:rFonts w:ascii="Verdana" w:eastAsia="Calibri" w:hAnsi="Verdana" w:cs="Arial"/>
          <w:lang w:val="es-ES"/>
        </w:rPr>
        <w:t xml:space="preserve">Por otra parte, </w:t>
      </w:r>
      <w:r w:rsidRPr="00C172F1">
        <w:rPr>
          <w:rFonts w:ascii="Verdana" w:eastAsia="Calibri" w:hAnsi="Verdana" w:cs="Arial"/>
          <w:lang w:val="es-ES"/>
        </w:rPr>
        <w:t xml:space="preserve">los requisitos legales de ejecución son: i) la aprobación de las garantías exigidas en el contrato, ii) la existencia de la apropiación presupuestal correspondiente y iii) la acreditación del cumplimiento de las obligaciones con el Sistema de Seguridad </w:t>
      </w:r>
      <w:r w:rsidRPr="009F5794">
        <w:rPr>
          <w:rFonts w:ascii="Verdana" w:eastAsia="Arial" w:hAnsi="Verdana" w:cs="Arial"/>
          <w:bCs/>
          <w:color w:val="000000" w:themeColor="text1"/>
          <w:lang w:val="es-ES"/>
        </w:rPr>
        <w:t>Social</w:t>
      </w:r>
      <w:r w:rsidRPr="00C172F1">
        <w:rPr>
          <w:rFonts w:ascii="Verdana" w:eastAsia="Calibri" w:hAnsi="Verdana" w:cs="Arial"/>
          <w:lang w:val="es-ES"/>
        </w:rPr>
        <w:t xml:space="preserve"> Integral.</w:t>
      </w:r>
    </w:p>
    <w:p w14:paraId="16239396" w14:textId="77777777" w:rsidR="003E4080" w:rsidRPr="004A2776" w:rsidRDefault="003E4080" w:rsidP="003E4080">
      <w:pPr>
        <w:spacing w:after="120" w:line="276" w:lineRule="auto"/>
        <w:ind w:firstLine="709"/>
        <w:jc w:val="both"/>
        <w:rPr>
          <w:rFonts w:ascii="Verdana" w:eastAsia="Calibri" w:hAnsi="Verdana" w:cs="Arial"/>
        </w:rPr>
      </w:pPr>
      <w:r>
        <w:rPr>
          <w:rFonts w:ascii="Verdana" w:eastAsia="Calibri" w:hAnsi="Verdana" w:cs="Arial"/>
          <w:lang w:val="es-ES"/>
        </w:rPr>
        <w:t>Frente a su pregunta sobre el momento en que debe suscribirse el acta de inicio, en concordancia con lo establecido en el artículo 33 de la Ley 996 de 2005, la prohibición consiste en la celebración (entendido como la suscripción) de un contrato, por lo tanto,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p>
    <w:p w14:paraId="6DE18E39" w14:textId="77777777" w:rsidR="003E4080" w:rsidRPr="00667CD6" w:rsidRDefault="003E4080" w:rsidP="003E4080">
      <w:pPr>
        <w:spacing w:after="120" w:line="276" w:lineRule="auto"/>
        <w:ind w:firstLine="709"/>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11A0B69" w14:textId="77777777" w:rsidR="003E4080" w:rsidRPr="00A83E37" w:rsidRDefault="003E4080" w:rsidP="003E4080">
      <w:pPr>
        <w:spacing w:after="120" w:line="276" w:lineRule="auto"/>
        <w:ind w:firstLine="709"/>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667CD6">
        <w:rPr>
          <w:rFonts w:ascii="Verdana" w:hAnsi="Verdana" w:cs="Arial"/>
          <w:bCs/>
          <w:color w:val="000000" w:themeColor="text1"/>
        </w:rPr>
        <w:lastRenderedPageBreak/>
        <w:t xml:space="preserve">contratación pública adopten la decisión que corresponda, lo cual es acorde con el principio de juridicidad. Así, cada entidad definirá la forma de adelantar su gestión contractual, sin que sea atribución de Colombia Compra Eficiente validar sus actuaciones. </w:t>
      </w:r>
      <w:bookmarkStart w:id="18" w:name="_Hlk204854194"/>
    </w:p>
    <w:p w14:paraId="5F34616E" w14:textId="77777777" w:rsidR="003E4080" w:rsidRPr="00237877" w:rsidRDefault="003E4080" w:rsidP="003E4080">
      <w:pPr>
        <w:spacing w:after="0" w:line="276" w:lineRule="auto"/>
        <w:jc w:val="both"/>
        <w:rPr>
          <w:rFonts w:ascii="Verdana" w:hAnsi="Verdana" w:cs="Arial"/>
          <w:bCs/>
          <w:color w:val="000000" w:themeColor="text1"/>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8"/>
    </w:p>
    <w:p w14:paraId="778AB231" w14:textId="77777777" w:rsidR="003E4080" w:rsidRPr="005644FE" w:rsidRDefault="003E4080" w:rsidP="003E4080">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E4080" w:rsidRPr="002D2C18" w14:paraId="5C7C6072" w14:textId="77777777" w:rsidTr="003929D7">
        <w:trPr>
          <w:trHeight w:val="56"/>
          <w:jc w:val="center"/>
        </w:trPr>
        <w:tc>
          <w:tcPr>
            <w:tcW w:w="8647" w:type="dxa"/>
          </w:tcPr>
          <w:p w14:paraId="1EE3096C" w14:textId="77777777" w:rsidR="003E4080" w:rsidRPr="00A83E37" w:rsidRDefault="003E4080" w:rsidP="003929D7">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Constitución Política. Artículos 6, 127.</w:t>
            </w:r>
          </w:p>
          <w:p w14:paraId="06ED4563"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7E27D9">
              <w:rPr>
                <w:rFonts w:ascii="Verdana" w:eastAsia="Aptos" w:hAnsi="Verdana" w:cs="Arial"/>
              </w:rPr>
              <w:t>Código Civil. Artículo</w:t>
            </w:r>
            <w:r>
              <w:rPr>
                <w:rFonts w:ascii="Verdana" w:eastAsia="Aptos" w:hAnsi="Verdana" w:cs="Arial"/>
              </w:rPr>
              <w:t>s</w:t>
            </w:r>
            <w:r w:rsidRPr="007E27D9">
              <w:rPr>
                <w:rFonts w:ascii="Verdana" w:eastAsia="Aptos" w:hAnsi="Verdana" w:cs="Arial"/>
              </w:rPr>
              <w:t xml:space="preserve"> 27</w:t>
            </w:r>
            <w:r>
              <w:rPr>
                <w:rFonts w:ascii="Verdana" w:eastAsia="Aptos" w:hAnsi="Verdana" w:cs="Arial"/>
              </w:rPr>
              <w:t>, 1500, 1501</w:t>
            </w:r>
            <w:r w:rsidRPr="007E27D9">
              <w:rPr>
                <w:rFonts w:ascii="Verdana" w:eastAsia="Aptos" w:hAnsi="Verdana" w:cs="Arial"/>
              </w:rPr>
              <w:t>.</w:t>
            </w:r>
          </w:p>
          <w:p w14:paraId="578B8F93"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Ley 80 de 1993. Artículo 41. </w:t>
            </w:r>
          </w:p>
          <w:p w14:paraId="200FE57A"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Ley 996 de 2005. Artículos 33 y parágrafo del artículo 38.</w:t>
            </w:r>
          </w:p>
          <w:p w14:paraId="1CE34274"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Ley 1150 de 2007. Artículos 2, numeral 4 literal c), 23.</w:t>
            </w:r>
          </w:p>
          <w:p w14:paraId="55791A68"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C. Sentencia del 12 de agosto de 2014. Expediente: 28.565. C.P: Enrique Gil Botero.</w:t>
            </w:r>
          </w:p>
          <w:p w14:paraId="21F6DF73"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10 de mayo de 2018. Expediente. 41.186. C.P. Stella Conto Díaz del Castillo.</w:t>
            </w:r>
          </w:p>
          <w:p w14:paraId="16E70630"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3 de abril de 2020. Expediente: 46.963. C.P: Ramiro Pazos Guerrero.</w:t>
            </w:r>
          </w:p>
          <w:p w14:paraId="37E516E3"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Primera. Sentencia de 3 de marzo de 2005. Radicado: 25001-23-15-000-2004-00823-01 (PI). C.P: Camilo Arciniegas Andrade.</w:t>
            </w:r>
          </w:p>
          <w:p w14:paraId="6AABC5D3"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Consejo de Estado, Sala de Consulta y Servicio Civil. 24 de julio de 2013. Radicado: 11001-03-06-000-2013-00407-00 (2166). C.P. Álvaro Namén Vargas.  </w:t>
            </w:r>
          </w:p>
          <w:p w14:paraId="5AD114CE"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17 de febrero de 2015. Radicado: 11001-03-06-000-2015-00164-00 (2269). C.P. William Zambrano Cetina.</w:t>
            </w:r>
          </w:p>
          <w:p w14:paraId="221804EB"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2 de septiembre de 2013. Radicación número: 11001-03-06-000-2013-00412-00 (2168). C.P: Álvaro Namén Vargas.</w:t>
            </w:r>
          </w:p>
          <w:p w14:paraId="0E817C4C"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8 de mayo de 2018. Radicación Número: 11001-03-06-000-2018-00095-00 (2382). C.P: Álvaro Namén Vargas.</w:t>
            </w:r>
          </w:p>
          <w:p w14:paraId="188A29AE"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lastRenderedPageBreak/>
              <w:t>Consejo de Estado. Sala de Consulta y Servicio Civil. Concepto de 20 de febrero de 2006. Radicación Número: 11001-03-06-000-2006-00026-00 (1727). C.P: Enrique José Arboleda Perdomo.</w:t>
            </w:r>
          </w:p>
          <w:p w14:paraId="076DC94A"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6 de abril de 2006. Radicación Número: 11001-03-06-000-2006-00038-00 (1738). C.P: Enrique José Arboleda Perdomo.</w:t>
            </w:r>
          </w:p>
          <w:p w14:paraId="19CFBD87"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C- 1153 de 2005, M.P: Marco Gerardo Monroy Cabra.</w:t>
            </w:r>
            <w:r w:rsidRPr="009058EB">
              <w:rPr>
                <w:rFonts w:ascii="Verdana" w:eastAsia="Aptos" w:hAnsi="Verdana" w:cs="Arial"/>
              </w:rPr>
              <w:tab/>
            </w:r>
          </w:p>
          <w:p w14:paraId="51A6ACDF"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C-233 de 4 de abril de 2002. M.P: Álvaro Tafur Galvis.</w:t>
            </w:r>
          </w:p>
          <w:p w14:paraId="0242D622"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C-551 de 9 de julio de 2003. M.P: Eduardo Montealegre Lynnet.</w:t>
            </w:r>
          </w:p>
          <w:p w14:paraId="591D9823"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C-353 de 20 de mayo de 2009. M.P: Jorge Iván Palacio Palacio.</w:t>
            </w:r>
          </w:p>
          <w:p w14:paraId="5F6262FD"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4D1E98">
              <w:rPr>
                <w:rFonts w:ascii="Verdana" w:eastAsia="Aptos" w:hAnsi="Verdana" w:cs="Arial"/>
              </w:rPr>
              <w:t>EXPÓSITO VÉLEZ, Juan Carlos. Forma y contenido del contrato estatal. Bogotá: Universidad Externado de Colombia, 2013. pp. 28-29.</w:t>
            </w:r>
            <w:r w:rsidRPr="009058EB">
              <w:rPr>
                <w:rFonts w:ascii="Verdana" w:hAnsi="Verdana"/>
              </w:rPr>
              <w:t xml:space="preserve"> </w:t>
            </w:r>
          </w:p>
        </w:tc>
      </w:tr>
    </w:tbl>
    <w:p w14:paraId="78D7CCAF" w14:textId="77777777" w:rsidR="003E4080" w:rsidRDefault="003E4080" w:rsidP="003E4080">
      <w:pPr>
        <w:tabs>
          <w:tab w:val="left" w:pos="142"/>
          <w:tab w:val="left" w:pos="284"/>
          <w:tab w:val="left" w:pos="3828"/>
        </w:tabs>
        <w:spacing w:after="0" w:line="276" w:lineRule="auto"/>
        <w:jc w:val="both"/>
        <w:rPr>
          <w:rFonts w:ascii="Verdana" w:eastAsia="Century Gothic" w:hAnsi="Verdana" w:cs="Century Gothic"/>
          <w:b/>
          <w:bCs/>
        </w:rPr>
      </w:pPr>
    </w:p>
    <w:p w14:paraId="09D457A7" w14:textId="77777777" w:rsidR="003E4080" w:rsidRPr="005644FE" w:rsidRDefault="003E4080" w:rsidP="003E4080">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6CAA9B78" w14:textId="77777777" w:rsidR="00710EE0" w:rsidRDefault="00710EE0" w:rsidP="00710EE0">
      <w:pPr>
        <w:widowControl w:val="0"/>
        <w:autoSpaceDE w:val="0"/>
        <w:autoSpaceDN w:val="0"/>
        <w:spacing w:after="0" w:line="240" w:lineRule="auto"/>
        <w:jc w:val="both"/>
        <w:rPr>
          <w:rFonts w:ascii="Verdana" w:eastAsia="Calibri" w:hAnsi="Verdana" w:cs="Arial"/>
        </w:rPr>
      </w:pPr>
    </w:p>
    <w:p w14:paraId="78392862" w14:textId="0D00A445" w:rsidR="003E4080" w:rsidRDefault="003E4080" w:rsidP="003E4080">
      <w:pPr>
        <w:widowControl w:val="0"/>
        <w:autoSpaceDE w:val="0"/>
        <w:autoSpaceDN w:val="0"/>
        <w:spacing w:after="120" w:line="276" w:lineRule="auto"/>
        <w:jc w:val="both"/>
        <w:rPr>
          <w:rFonts w:ascii="Verdana" w:hAnsi="Verdana" w:cs="Arial"/>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w:t>
      </w:r>
      <w:r>
        <w:rPr>
          <w:rFonts w:ascii="Verdana" w:hAnsi="Verdana" w:cs="Arial"/>
          <w:shd w:val="clear" w:color="auto" w:fill="FFFFFF"/>
        </w:rPr>
        <w:t xml:space="preserve"> la naturaleza del acta de inicio, en los conceptos C-857 de 6 de agosto de 2025, </w:t>
      </w:r>
      <w:r w:rsidRPr="00034F0A">
        <w:rPr>
          <w:rFonts w:ascii="Verdana" w:hAnsi="Verdana" w:cs="Arial"/>
        </w:rPr>
        <w:t>C-835 del 4 de agosto de 2005</w:t>
      </w:r>
      <w:r>
        <w:rPr>
          <w:rFonts w:ascii="Verdana" w:hAnsi="Verdana" w:cs="Arial"/>
        </w:rPr>
        <w:t xml:space="preserve">, </w:t>
      </w:r>
      <w:r>
        <w:rPr>
          <w:rFonts w:ascii="Verdana" w:hAnsi="Verdana" w:cs="Arial"/>
          <w:shd w:val="clear" w:color="auto" w:fill="FFFFFF"/>
        </w:rPr>
        <w:t>C</w:t>
      </w:r>
      <w:r w:rsidRPr="00034F0A">
        <w:rPr>
          <w:rFonts w:ascii="Verdana" w:hAnsi="Verdana" w:cs="Arial"/>
        </w:rPr>
        <w:t>-821 de</w:t>
      </w:r>
      <w:r>
        <w:rPr>
          <w:rFonts w:ascii="Verdana" w:hAnsi="Verdana" w:cs="Arial"/>
        </w:rPr>
        <w:t xml:space="preserve"> </w:t>
      </w:r>
      <w:r w:rsidRPr="00034F0A">
        <w:rPr>
          <w:rFonts w:ascii="Verdana" w:hAnsi="Verdana" w:cs="Arial"/>
        </w:rPr>
        <w:t>1 de agosto de 2025</w:t>
      </w:r>
      <w:r>
        <w:rPr>
          <w:rFonts w:ascii="Verdana" w:hAnsi="Verdana" w:cs="Arial"/>
        </w:rPr>
        <w:t xml:space="preserve">, </w:t>
      </w:r>
      <w:r>
        <w:rPr>
          <w:rFonts w:ascii="Verdana" w:hAnsi="Verdana" w:cs="Arial"/>
          <w:shd w:val="clear" w:color="auto" w:fill="FFFFFF"/>
        </w:rPr>
        <w:t xml:space="preserve">C-539 del 10 de octubre de 2024, entre otros. </w:t>
      </w:r>
    </w:p>
    <w:p w14:paraId="43CF358E" w14:textId="77777777" w:rsidR="003E4080" w:rsidRDefault="003E4080" w:rsidP="003E4080">
      <w:pPr>
        <w:widowControl w:val="0"/>
        <w:autoSpaceDE w:val="0"/>
        <w:autoSpaceDN w:val="0"/>
        <w:spacing w:after="120" w:line="276" w:lineRule="auto"/>
        <w:jc w:val="both"/>
        <w:rPr>
          <w:rFonts w:ascii="Verdana" w:hAnsi="Verdana" w:cs="Arial"/>
          <w:shd w:val="clear" w:color="auto" w:fill="FFFFFF"/>
        </w:rPr>
      </w:pPr>
      <w:r>
        <w:rPr>
          <w:rFonts w:ascii="Verdana" w:hAnsi="Verdana" w:cs="Arial"/>
          <w:shd w:val="clear" w:color="auto" w:fill="FFFFFF"/>
        </w:rPr>
        <w:t>Por su parte, respecto de la</w:t>
      </w:r>
      <w:r w:rsidRPr="000F79CF">
        <w:rPr>
          <w:rFonts w:ascii="Verdana" w:hAnsi="Verdana" w:cs="Arial"/>
          <w:shd w:val="clear" w:color="auto" w:fill="FFFFFF"/>
        </w:rPr>
        <w:t xml:space="preserve"> Ley de Garantías Electorales</w:t>
      </w:r>
      <w:r>
        <w:rPr>
          <w:rFonts w:ascii="Verdana" w:hAnsi="Verdana" w:cs="Arial"/>
          <w:shd w:val="clear" w:color="auto" w:fill="FFFFFF"/>
        </w:rPr>
        <w:t>, la Subdirección se ha pronunciado en los conceptos</w:t>
      </w:r>
      <w:r w:rsidRPr="000F79CF">
        <w:rPr>
          <w:rFonts w:ascii="Verdana" w:hAnsi="Verdana" w:cs="Arial"/>
          <w:shd w:val="clear" w:color="auto" w:fill="FFFFFF"/>
        </w:rPr>
        <w:t xml:space="preserve">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 xml:space="preserve">21 de noviembre del 2025, C-1629 y C-1646 del 17 de diciembre de 2025, C-1704 de 19 de diciembre de 2025, C-1662 del 22 de diciembre de 2025, </w:t>
      </w:r>
      <w:r w:rsidRPr="00391BAD">
        <w:rPr>
          <w:rFonts w:ascii="Verdana" w:hAnsi="Verdana"/>
        </w:rPr>
        <w:t xml:space="preserve">entre otros. </w:t>
      </w:r>
      <w:r w:rsidRPr="00391BAD">
        <w:rPr>
          <w:rFonts w:ascii="Verdana" w:eastAsia="Aptos" w:hAnsi="Verdana" w:cs="Arial"/>
          <w:shd w:val="clear" w:color="auto" w:fill="FFFFFF"/>
          <w:lang w:val="es-ES"/>
        </w:rPr>
        <w:t>Estos y otros conceptos se encuentran disponibles para consulta</w:t>
      </w:r>
      <w:r w:rsidRPr="00391BAD">
        <w:rPr>
          <w:rFonts w:ascii="Verdana" w:eastAsia="Calibri" w:hAnsi="Verdana" w:cs="Arial"/>
        </w:rPr>
        <w:t xml:space="preserve"> </w:t>
      </w:r>
      <w:r w:rsidRPr="00391BAD">
        <w:rPr>
          <w:rFonts w:ascii="Verdana" w:hAnsi="Verdana"/>
        </w:rPr>
        <w:t>en el Sistema de relatoría de la Agencia, al cual se puede acceder a través del siguiente enlace:</w:t>
      </w:r>
      <w:r w:rsidRPr="00391BAD">
        <w:rPr>
          <w:rFonts w:ascii="Verdana" w:hAnsi="Verdana" w:cs="Arial"/>
          <w:shd w:val="clear" w:color="auto" w:fill="FFFFFF"/>
        </w:rPr>
        <w:t xml:space="preserve"> </w:t>
      </w:r>
      <w:hyperlink r:id="rId13" w:history="1">
        <w:r w:rsidRPr="00A83E37">
          <w:rPr>
            <w:rStyle w:val="Hipervnculo"/>
            <w:rFonts w:ascii="Verdana" w:hAnsi="Verdana" w:cs="Arial"/>
            <w:shd w:val="clear" w:color="auto" w:fill="FFFFFF"/>
          </w:rPr>
          <w:t>https://relatoria.colombiacompra.gov.co/busqueda/conceptos</w:t>
        </w:r>
      </w:hyperlink>
      <w:r w:rsidRPr="00A83E37">
        <w:rPr>
          <w:rFonts w:ascii="Verdana" w:hAnsi="Verdana" w:cs="Arial"/>
          <w:shd w:val="clear" w:color="auto" w:fill="FFFFFF"/>
        </w:rPr>
        <w:t>.</w:t>
      </w:r>
      <w:r w:rsidRPr="00A83E37">
        <w:rPr>
          <w:rFonts w:ascii="Verdana" w:hAnsi="Verdana" w:cs="Arial"/>
          <w:color w:val="FF0000"/>
          <w:shd w:val="clear" w:color="auto" w:fill="FFFFFF"/>
        </w:rPr>
        <w:t xml:space="preserve"> </w:t>
      </w:r>
      <w:r w:rsidRPr="00A83E37">
        <w:rPr>
          <w:rFonts w:ascii="Verdana" w:hAnsi="Verdana" w:cs="Arial"/>
          <w:color w:val="000000" w:themeColor="text1"/>
          <w:shd w:val="clear" w:color="auto" w:fill="FFFFFF"/>
        </w:rPr>
        <w:t>  </w:t>
      </w:r>
    </w:p>
    <w:p w14:paraId="7F466F75" w14:textId="77777777" w:rsidR="003E4080" w:rsidRPr="00435A6A" w:rsidRDefault="003E4080" w:rsidP="003E4080">
      <w:pPr>
        <w:widowControl w:val="0"/>
        <w:autoSpaceDE w:val="0"/>
        <w:autoSpaceDN w:val="0"/>
        <w:spacing w:after="120" w:line="276" w:lineRule="auto"/>
        <w:jc w:val="both"/>
        <w:rPr>
          <w:rFonts w:ascii="Verdana" w:hAnsi="Verdana" w:cs="Arial"/>
          <w:shd w:val="clear" w:color="auto" w:fill="FFFFFF"/>
        </w:rPr>
      </w:pPr>
      <w:r w:rsidRPr="00E02524">
        <w:rPr>
          <w:rFonts w:ascii="Verdana" w:hAnsi="Verdana"/>
        </w:rPr>
        <w:lastRenderedPageBreak/>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C2EEAC4" w14:textId="77777777" w:rsidR="003E4080" w:rsidRPr="00116940" w:rsidRDefault="003E4080" w:rsidP="003E4080">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EF1466E" w14:textId="77777777" w:rsidR="003E4080" w:rsidRPr="00116940" w:rsidRDefault="003E4080" w:rsidP="003E4080">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4927D303" w14:textId="77777777" w:rsidR="003E4080" w:rsidRPr="00116940" w:rsidRDefault="003E4080" w:rsidP="003E4080">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17D6E6E5" w14:textId="77777777" w:rsidR="003E4080" w:rsidRPr="00116940" w:rsidRDefault="003E4080" w:rsidP="003E4080">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724C4E6A" w14:textId="77777777" w:rsidR="00710EE0" w:rsidRDefault="00710EE0" w:rsidP="00710EE0">
      <w:pPr>
        <w:spacing w:after="0" w:line="240" w:lineRule="auto"/>
        <w:jc w:val="both"/>
        <w:rPr>
          <w:rFonts w:ascii="Verdana" w:hAnsi="Verdana"/>
        </w:rPr>
      </w:pPr>
    </w:p>
    <w:p w14:paraId="7066CFC3" w14:textId="0DC8FADB" w:rsidR="003E4080" w:rsidRDefault="003E4080" w:rsidP="003E4080">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6"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333D6BF8" w14:textId="77777777" w:rsidR="003E4080" w:rsidRPr="00116940" w:rsidRDefault="003E4080" w:rsidP="003E4080">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663D3F2" w14:textId="77777777" w:rsidR="003E4080" w:rsidRPr="00116940" w:rsidRDefault="003E4080" w:rsidP="003E4080">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EC6D65C" w14:textId="77777777" w:rsidR="003E4080" w:rsidRPr="00116940" w:rsidRDefault="003E4080" w:rsidP="003E4080">
      <w:pPr>
        <w:spacing w:after="0" w:line="276"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3AC9B9B7" w14:textId="1629B46D" w:rsidR="003E4080" w:rsidRPr="00935398" w:rsidRDefault="003E4080" w:rsidP="003E4080">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7E67B05" w14:textId="77777777" w:rsidR="003E4080" w:rsidRPr="00330029" w:rsidRDefault="003E4080" w:rsidP="003E4080">
      <w:pPr>
        <w:spacing w:after="0" w:line="276" w:lineRule="auto"/>
        <w:jc w:val="both"/>
        <w:rPr>
          <w:rFonts w:ascii="Verdana" w:hAnsi="Verdana"/>
          <w:lang w:val="es-MX"/>
        </w:rPr>
      </w:pPr>
      <w:r w:rsidRPr="00E02524">
        <w:rPr>
          <w:rFonts w:ascii="Verdana" w:hAnsi="Verdana"/>
          <w:lang w:val="es-MX"/>
        </w:rPr>
        <w:t>Cordialmente,</w:t>
      </w:r>
    </w:p>
    <w:p w14:paraId="100A4AFB" w14:textId="559B0684" w:rsidR="003E4080" w:rsidRDefault="003510AC" w:rsidP="003E4080">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3755D770" wp14:editId="27BA887A">
            <wp:extent cx="2679632" cy="1262520"/>
            <wp:effectExtent l="0" t="0" r="6985"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7"/>
                    <a:stretch>
                      <a:fillRect/>
                    </a:stretch>
                  </pic:blipFill>
                  <pic:spPr>
                    <a:xfrm>
                      <a:off x="0" y="0"/>
                      <a:ext cx="2738797" cy="1290396"/>
                    </a:xfrm>
                    <a:prstGeom prst="rect">
                      <a:avLst/>
                    </a:prstGeom>
                  </pic:spPr>
                </pic:pic>
              </a:graphicData>
            </a:graphic>
          </wp:inline>
        </w:drawing>
      </w:r>
    </w:p>
    <w:p w14:paraId="735F4B0D" w14:textId="15E59464" w:rsidR="00FD7B2E" w:rsidRDefault="00FD7B2E" w:rsidP="003E4080">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3E4080" w:rsidRPr="005644FE" w14:paraId="526F4C4B" w14:textId="77777777" w:rsidTr="003929D7">
        <w:trPr>
          <w:trHeight w:val="315"/>
        </w:trPr>
        <w:tc>
          <w:tcPr>
            <w:tcW w:w="893" w:type="dxa"/>
            <w:vAlign w:val="center"/>
            <w:hideMark/>
          </w:tcPr>
          <w:p w14:paraId="75EB42B1" w14:textId="77777777" w:rsidR="003E4080" w:rsidRPr="005644FE" w:rsidRDefault="003E4080" w:rsidP="003929D7">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5D6A7364" w14:textId="77777777" w:rsidR="003E4080" w:rsidRPr="005644FE" w:rsidRDefault="003E4080" w:rsidP="003929D7">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57D99D2B" w14:textId="77777777" w:rsidR="003E4080" w:rsidRPr="005644FE" w:rsidRDefault="003E4080" w:rsidP="003929D7">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3E4080" w:rsidRPr="005644FE" w14:paraId="3F7809D0" w14:textId="77777777" w:rsidTr="003929D7">
        <w:trPr>
          <w:trHeight w:val="330"/>
        </w:trPr>
        <w:tc>
          <w:tcPr>
            <w:tcW w:w="893" w:type="dxa"/>
            <w:vAlign w:val="center"/>
            <w:hideMark/>
          </w:tcPr>
          <w:p w14:paraId="12CEB2A3" w14:textId="77777777" w:rsidR="003E4080" w:rsidRPr="005644FE" w:rsidRDefault="003E4080" w:rsidP="003929D7">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1EA7E571" w14:textId="77777777" w:rsidR="003E4080" w:rsidRPr="00F47638" w:rsidRDefault="003E4080" w:rsidP="003929D7">
            <w:pPr>
              <w:pStyle w:val="paragraph"/>
              <w:spacing w:before="0" w:beforeAutospacing="0" w:after="0" w:afterAutospacing="0"/>
              <w:contextualSpacing/>
              <w:textAlignment w:val="baseline"/>
              <w:rPr>
                <w:rStyle w:val="normaltextrun"/>
                <w:rFonts w:ascii="Verdana" w:hAnsi="Verdana"/>
                <w:sz w:val="16"/>
                <w:szCs w:val="16"/>
              </w:rPr>
            </w:pPr>
            <w:r w:rsidRPr="00F47638">
              <w:rPr>
                <w:rStyle w:val="normaltextrun"/>
                <w:rFonts w:ascii="Verdana" w:hAnsi="Verdana"/>
                <w:sz w:val="16"/>
                <w:szCs w:val="16"/>
              </w:rPr>
              <w:t>Adriana López</w:t>
            </w:r>
          </w:p>
          <w:p w14:paraId="2A19EBCE" w14:textId="77777777" w:rsidR="003E4080" w:rsidRPr="005644FE" w:rsidRDefault="003E4080" w:rsidP="003929D7">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3E4080" w:rsidRPr="005644FE" w14:paraId="7CCA9AAB" w14:textId="77777777" w:rsidTr="003929D7">
        <w:trPr>
          <w:trHeight w:val="300"/>
        </w:trPr>
        <w:tc>
          <w:tcPr>
            <w:tcW w:w="893" w:type="dxa"/>
            <w:vAlign w:val="center"/>
          </w:tcPr>
          <w:p w14:paraId="7B1D5171" w14:textId="77777777" w:rsidR="003E4080" w:rsidRPr="005644FE" w:rsidRDefault="003E4080" w:rsidP="003929D7">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ECA56EF" w14:textId="77777777" w:rsidR="003E4080" w:rsidRPr="005644FE" w:rsidRDefault="003E4080" w:rsidP="003929D7">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2375E478" w14:textId="77777777" w:rsidR="003E4080" w:rsidRPr="005644FE" w:rsidRDefault="003E4080" w:rsidP="003929D7">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2782E98F" w:rsidR="00127233" w:rsidRPr="0015699B" w:rsidRDefault="00127233" w:rsidP="009E0C43">
      <w:pPr>
        <w:spacing w:after="0" w:line="240" w:lineRule="auto"/>
        <w:jc w:val="both"/>
        <w:textAlignment w:val="baseline"/>
        <w:rPr>
          <w:rFonts w:ascii="Verdana" w:eastAsia="Times New Roman" w:hAnsi="Verdana" w:cs="Segoe UI"/>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AE61E7" w14:textId="77777777" w:rsidR="00B61927" w:rsidRDefault="00B61927" w:rsidP="004A1847">
      <w:pPr>
        <w:spacing w:after="0" w:line="240" w:lineRule="auto"/>
      </w:pPr>
      <w:r>
        <w:separator/>
      </w:r>
    </w:p>
  </w:endnote>
  <w:endnote w:type="continuationSeparator" w:id="0">
    <w:p w14:paraId="3809631B" w14:textId="77777777" w:rsidR="00B61927" w:rsidRDefault="00B61927" w:rsidP="004A1847">
      <w:pPr>
        <w:spacing w:after="0" w:line="240" w:lineRule="auto"/>
      </w:pPr>
      <w:r>
        <w:continuationSeparator/>
      </w:r>
    </w:p>
  </w:endnote>
  <w:endnote w:type="continuationNotice" w:id="1">
    <w:p w14:paraId="3B948B4C" w14:textId="77777777" w:rsidR="00B61927" w:rsidRDefault="00B619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B38104" w14:textId="77777777" w:rsidR="00B61927" w:rsidRDefault="00B61927" w:rsidP="004A1847">
      <w:pPr>
        <w:spacing w:after="0" w:line="240" w:lineRule="auto"/>
      </w:pPr>
      <w:r>
        <w:separator/>
      </w:r>
    </w:p>
  </w:footnote>
  <w:footnote w:type="continuationSeparator" w:id="0">
    <w:p w14:paraId="168252B5" w14:textId="77777777" w:rsidR="00B61927" w:rsidRDefault="00B61927" w:rsidP="004A1847">
      <w:pPr>
        <w:spacing w:after="0" w:line="240" w:lineRule="auto"/>
      </w:pPr>
      <w:r>
        <w:continuationSeparator/>
      </w:r>
    </w:p>
  </w:footnote>
  <w:footnote w:type="continuationNotice" w:id="1">
    <w:p w14:paraId="752B760A" w14:textId="77777777" w:rsidR="00B61927" w:rsidRDefault="00B61927">
      <w:pPr>
        <w:spacing w:after="0" w:line="240" w:lineRule="auto"/>
      </w:pPr>
    </w:p>
  </w:footnote>
  <w:footnote w:id="2">
    <w:p w14:paraId="4F9E9CE5" w14:textId="77777777" w:rsidR="003E4080" w:rsidRPr="00435A6A" w:rsidRDefault="003E4080" w:rsidP="003E4080">
      <w:pPr>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12F5EF76" w14:textId="77777777" w:rsidR="003E4080" w:rsidRPr="00435A6A" w:rsidRDefault="003E4080" w:rsidP="003E4080">
      <w:pPr>
        <w:pStyle w:val="Textonotapie"/>
        <w:ind w:firstLine="709"/>
        <w:jc w:val="both"/>
        <w:rPr>
          <w:rFonts w:ascii="Verdana" w:hAnsi="Verdana" w:cs="Arial"/>
          <w:sz w:val="14"/>
          <w:szCs w:val="14"/>
          <w:lang w:val="es-CO"/>
        </w:rPr>
      </w:pPr>
    </w:p>
  </w:footnote>
  <w:footnote w:id="3">
    <w:p w14:paraId="7FF0356A" w14:textId="77777777" w:rsidR="003E4080" w:rsidRPr="00435A6A" w:rsidRDefault="003E4080" w:rsidP="003E4080">
      <w:pPr>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3D3E2283" w14:textId="77777777" w:rsidR="003E4080" w:rsidRPr="00435A6A" w:rsidRDefault="003E4080" w:rsidP="003E4080">
      <w:pPr>
        <w:pStyle w:val="Textonotapie"/>
        <w:ind w:firstLine="709"/>
        <w:jc w:val="both"/>
        <w:rPr>
          <w:rFonts w:ascii="Verdana" w:hAnsi="Verdana" w:cs="Arial"/>
          <w:sz w:val="14"/>
          <w:szCs w:val="14"/>
          <w:lang w:val="es-CO"/>
        </w:rPr>
      </w:pPr>
    </w:p>
  </w:footnote>
  <w:footnote w:id="4">
    <w:p w14:paraId="13BED0F0" w14:textId="77777777" w:rsidR="003E4080" w:rsidRPr="00435A6A" w:rsidRDefault="003E4080" w:rsidP="003E4080">
      <w:pPr>
        <w:pStyle w:val="Textonotapie"/>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EXPÓSITO VÉLEZ, Juan Carlos. Forma y contenido del contrato estatal. Bogotá: Universidad Externado de Colombia, 2013. pp. 28-29.</w:t>
      </w:r>
    </w:p>
    <w:p w14:paraId="1A623665" w14:textId="77777777" w:rsidR="003E4080" w:rsidRPr="00435A6A" w:rsidRDefault="003E4080" w:rsidP="003E4080">
      <w:pPr>
        <w:pStyle w:val="Textonotapie"/>
        <w:ind w:firstLine="709"/>
        <w:jc w:val="both"/>
        <w:rPr>
          <w:rFonts w:ascii="Verdana" w:hAnsi="Verdana" w:cs="Arial"/>
          <w:sz w:val="14"/>
          <w:szCs w:val="14"/>
          <w:lang w:val="es-ES"/>
        </w:rPr>
      </w:pPr>
    </w:p>
  </w:footnote>
  <w:footnote w:id="5">
    <w:p w14:paraId="44CD84CD" w14:textId="77777777" w:rsidR="003E4080" w:rsidRPr="00435A6A" w:rsidRDefault="003E4080" w:rsidP="003E4080">
      <w:pPr>
        <w:pStyle w:val="Textonotapie"/>
        <w:ind w:firstLine="709"/>
        <w:jc w:val="both"/>
        <w:rPr>
          <w:rFonts w:ascii="Verdana" w:hAnsi="Verdana" w:cs="Arial"/>
          <w:iCs/>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Consejo de Estado. Sala de lo Contencioso Administrativo. Sección Tercera. Subsección C. Sentencia del 12 de agosto de 2014. Expediente: </w:t>
      </w:r>
      <w:r w:rsidRPr="00435A6A">
        <w:rPr>
          <w:rFonts w:ascii="Verdana" w:hAnsi="Verdana" w:cs="Arial"/>
          <w:sz w:val="14"/>
          <w:szCs w:val="14"/>
        </w:rPr>
        <w:t>28.565.</w:t>
      </w:r>
      <w:r w:rsidRPr="00435A6A">
        <w:rPr>
          <w:rFonts w:ascii="Verdana" w:hAnsi="Verdana" w:cs="Arial"/>
          <w:sz w:val="14"/>
          <w:szCs w:val="14"/>
          <w:lang w:val="es-ES"/>
        </w:rPr>
        <w:t xml:space="preserve"> C.P: Enrique Gil Botero</w:t>
      </w:r>
      <w:r w:rsidRPr="00435A6A">
        <w:rPr>
          <w:rFonts w:ascii="Verdana" w:hAnsi="Verdana" w:cs="Arial"/>
          <w:sz w:val="14"/>
          <w:szCs w:val="14"/>
        </w:rPr>
        <w:t>.</w:t>
      </w:r>
    </w:p>
    <w:p w14:paraId="1B6C8A96" w14:textId="77777777" w:rsidR="003E4080" w:rsidRPr="00435A6A" w:rsidRDefault="003E4080" w:rsidP="003E4080">
      <w:pPr>
        <w:pStyle w:val="Textonotapie"/>
        <w:ind w:firstLine="709"/>
        <w:jc w:val="both"/>
        <w:rPr>
          <w:rFonts w:ascii="Verdana" w:hAnsi="Verdana" w:cs="Arial"/>
          <w:sz w:val="14"/>
          <w:szCs w:val="14"/>
          <w:lang w:val="es-ES"/>
        </w:rPr>
      </w:pPr>
    </w:p>
  </w:footnote>
  <w:footnote w:id="6">
    <w:p w14:paraId="2E0D555D" w14:textId="77777777" w:rsidR="003E4080" w:rsidRPr="00435A6A" w:rsidRDefault="003E4080" w:rsidP="003E4080">
      <w:pPr>
        <w:pStyle w:val="Textonotapie"/>
        <w:ind w:firstLine="709"/>
        <w:jc w:val="both"/>
        <w:rPr>
          <w:rFonts w:ascii="Verdana" w:hAnsi="Verdana"/>
          <w:sz w:val="14"/>
          <w:szCs w:val="14"/>
        </w:rPr>
      </w:pPr>
      <w:r w:rsidRPr="00435A6A">
        <w:rPr>
          <w:rFonts w:ascii="Verdana" w:hAnsi="Verdana"/>
          <w:sz w:val="14"/>
          <w:szCs w:val="14"/>
          <w:vertAlign w:val="superscript"/>
        </w:rPr>
        <w:footnoteRef/>
      </w:r>
      <w:r w:rsidRPr="00435A6A">
        <w:rPr>
          <w:rFonts w:ascii="Verdana" w:hAnsi="Verdana"/>
          <w:sz w:val="14"/>
          <w:szCs w:val="14"/>
        </w:rPr>
        <w:t xml:space="preserve"> Consejo de Estado. Sala de lo Contencioso Administrativo. Sección tercera. Subsección B. Sentencia del 10 de mayo de 2018. Exp. 41.186. C.P. Stella Conto Díaz del Castillo.</w:t>
      </w:r>
    </w:p>
  </w:footnote>
  <w:footnote w:id="7">
    <w:p w14:paraId="5090A574" w14:textId="77777777" w:rsidR="003E4080" w:rsidRPr="00435A6A" w:rsidRDefault="003E4080" w:rsidP="003E4080">
      <w:pPr>
        <w:pStyle w:val="Textonotapie"/>
        <w:ind w:firstLine="709"/>
        <w:jc w:val="both"/>
        <w:rPr>
          <w:rFonts w:ascii="Verdana" w:hAnsi="Verdana"/>
          <w:sz w:val="14"/>
          <w:szCs w:val="14"/>
        </w:rPr>
      </w:pPr>
      <w:r w:rsidRPr="00435A6A">
        <w:rPr>
          <w:rStyle w:val="Refdenotaalpie"/>
          <w:rFonts w:ascii="Verdana" w:hAnsi="Verdana"/>
          <w:sz w:val="14"/>
          <w:szCs w:val="14"/>
        </w:rPr>
        <w:footnoteRef/>
      </w:r>
      <w:r w:rsidRPr="00435A6A">
        <w:rPr>
          <w:rFonts w:ascii="Verdana" w:hAnsi="Verdana"/>
          <w:sz w:val="14"/>
          <w:szCs w:val="14"/>
        </w:rPr>
        <w:t xml:space="preserve"> Consejo de Estado. Sala de lo Contencioso Administrativo. Sección Tercera. Subsección B. Sentencia del 3 de abril de 2020. Expediente: 46.963. C.P: Ramiro Pazos Guerrero. </w:t>
      </w:r>
    </w:p>
  </w:footnote>
  <w:footnote w:id="8">
    <w:p w14:paraId="582836B8"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9C81A0C" w14:textId="77777777" w:rsidR="003E4080" w:rsidRPr="00435A6A" w:rsidRDefault="003E4080" w:rsidP="003E4080">
      <w:pPr>
        <w:pStyle w:val="Textonotapie"/>
        <w:ind w:firstLine="709"/>
        <w:jc w:val="both"/>
        <w:rPr>
          <w:rFonts w:ascii="Verdana" w:hAnsi="Verdana" w:cs="Arial"/>
          <w:sz w:val="14"/>
          <w:szCs w:val="14"/>
        </w:rPr>
      </w:pPr>
      <w:r w:rsidRPr="00435A6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C9BF2BC" w14:textId="77777777" w:rsidR="003E4080" w:rsidRPr="00435A6A" w:rsidRDefault="003E4080" w:rsidP="003E4080">
      <w:pPr>
        <w:pStyle w:val="Textonotapie"/>
        <w:ind w:firstLine="709"/>
        <w:jc w:val="both"/>
        <w:rPr>
          <w:rFonts w:ascii="Verdana" w:hAnsi="Verdana" w:cs="Arial"/>
          <w:sz w:val="14"/>
          <w:szCs w:val="14"/>
        </w:rPr>
      </w:pPr>
    </w:p>
  </w:footnote>
  <w:footnote w:id="9">
    <w:p w14:paraId="75BBEEDC"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Gaceta del Congreso de la República No. 71 del 2005.</w:t>
      </w:r>
    </w:p>
    <w:p w14:paraId="45C76296" w14:textId="77777777" w:rsidR="003E4080" w:rsidRPr="00435A6A" w:rsidRDefault="003E4080" w:rsidP="003E4080">
      <w:pPr>
        <w:pStyle w:val="Textonotapie"/>
        <w:ind w:firstLine="709"/>
        <w:jc w:val="both"/>
        <w:rPr>
          <w:rFonts w:ascii="Verdana" w:hAnsi="Verdana" w:cs="Arial"/>
          <w:sz w:val="14"/>
          <w:szCs w:val="14"/>
        </w:rPr>
      </w:pPr>
    </w:p>
  </w:footnote>
  <w:footnote w:id="10">
    <w:p w14:paraId="0D1DE74B" w14:textId="77777777" w:rsidR="003E4080" w:rsidRPr="00435A6A" w:rsidRDefault="003E4080" w:rsidP="003E4080">
      <w:pPr>
        <w:pStyle w:val="Textonotapie"/>
        <w:tabs>
          <w:tab w:val="left" w:pos="8145"/>
        </w:tabs>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Corte Constitucional. Sentencia C- 1153 de 2005, M.P: Marco Gerardo Monroy Cabra.</w:t>
      </w:r>
      <w:r w:rsidRPr="00435A6A">
        <w:rPr>
          <w:rFonts w:ascii="Verdana" w:hAnsi="Verdana" w:cs="Arial"/>
          <w:sz w:val="14"/>
          <w:szCs w:val="14"/>
          <w:lang w:val="pt-PT"/>
        </w:rPr>
        <w:tab/>
      </w:r>
    </w:p>
    <w:p w14:paraId="4F3ED0B5" w14:textId="77777777" w:rsidR="003E4080" w:rsidRPr="00435A6A" w:rsidRDefault="003E4080" w:rsidP="003E4080">
      <w:pPr>
        <w:pStyle w:val="Textonotapie"/>
        <w:tabs>
          <w:tab w:val="left" w:pos="8145"/>
        </w:tabs>
        <w:ind w:firstLine="709"/>
        <w:jc w:val="both"/>
        <w:rPr>
          <w:rFonts w:ascii="Verdana" w:hAnsi="Verdana" w:cs="Arial"/>
          <w:sz w:val="14"/>
          <w:szCs w:val="14"/>
          <w:lang w:val="pt-PT"/>
        </w:rPr>
      </w:pPr>
    </w:p>
  </w:footnote>
  <w:footnote w:id="11">
    <w:p w14:paraId="37D98CE4" w14:textId="77777777" w:rsidR="003E4080" w:rsidRPr="00435A6A" w:rsidRDefault="003E4080" w:rsidP="003E4080">
      <w:pPr>
        <w:pStyle w:val="Textonotapie"/>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w:t>
      </w:r>
      <w:r w:rsidRPr="00435A6A">
        <w:rPr>
          <w:rFonts w:ascii="Verdana" w:hAnsi="Verdana" w:cs="Arial"/>
          <w:sz w:val="14"/>
          <w:szCs w:val="14"/>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2FFED834" w14:textId="77777777" w:rsidR="003E4080" w:rsidRPr="00435A6A" w:rsidRDefault="003E4080" w:rsidP="003E4080">
      <w:pPr>
        <w:pStyle w:val="Textonotapie"/>
        <w:ind w:firstLine="709"/>
        <w:jc w:val="both"/>
        <w:rPr>
          <w:rFonts w:ascii="Verdana" w:hAnsi="Verdana" w:cs="Arial"/>
          <w:sz w:val="14"/>
          <w:szCs w:val="14"/>
          <w:lang w:val="pt-PT"/>
        </w:rPr>
      </w:pPr>
    </w:p>
  </w:footnote>
  <w:footnote w:id="12">
    <w:p w14:paraId="5EB90068" w14:textId="77777777" w:rsidR="003E4080" w:rsidRPr="00435A6A" w:rsidRDefault="003E4080" w:rsidP="003E4080">
      <w:pPr>
        <w:pStyle w:val="Textonotapie"/>
        <w:ind w:firstLine="709"/>
        <w:jc w:val="both"/>
        <w:rPr>
          <w:rFonts w:ascii="Verdana" w:hAnsi="Verdana" w:cs="Arial"/>
          <w:sz w:val="14"/>
          <w:szCs w:val="14"/>
          <w:lang w:val="es-CO"/>
        </w:rPr>
      </w:pPr>
      <w:r w:rsidRPr="00435A6A">
        <w:rPr>
          <w:rStyle w:val="Refdenotaalpie"/>
          <w:rFonts w:ascii="Verdana" w:hAnsi="Verdana" w:cs="Arial"/>
          <w:sz w:val="14"/>
          <w:szCs w:val="14"/>
        </w:rPr>
        <w:footnoteRef/>
      </w:r>
      <w:r w:rsidRPr="00435A6A">
        <w:rPr>
          <w:rFonts w:ascii="Verdana" w:hAnsi="Verdana" w:cs="Arial"/>
          <w:sz w:val="14"/>
          <w:szCs w:val="14"/>
          <w:lang w:val="es-CO"/>
        </w:rPr>
        <w:t xml:space="preserve"> Consejo de Estado. Sala de lo Contencioso Administrativo. Sección Primera. Sentencia de 3 de marzo de 2005. Radicado: </w:t>
      </w:r>
      <w:r w:rsidRPr="00435A6A">
        <w:rPr>
          <w:rFonts w:ascii="Verdana" w:hAnsi="Verdana" w:cs="Arial"/>
          <w:sz w:val="14"/>
          <w:szCs w:val="14"/>
          <w:lang w:val="es-ES"/>
        </w:rPr>
        <w:t xml:space="preserve">25001-23-15-000-2004-00823-01 (PI). </w:t>
      </w:r>
      <w:r w:rsidRPr="00435A6A">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7A51747D" w14:textId="77777777" w:rsidR="003E4080" w:rsidRPr="00435A6A" w:rsidRDefault="003E4080" w:rsidP="003E4080">
      <w:pPr>
        <w:pStyle w:val="Textonotapie"/>
        <w:ind w:firstLine="709"/>
        <w:jc w:val="both"/>
        <w:rPr>
          <w:rFonts w:ascii="Verdana" w:hAnsi="Verdana" w:cs="Arial"/>
          <w:sz w:val="14"/>
          <w:szCs w:val="14"/>
          <w:lang w:val="es-CO"/>
        </w:rPr>
      </w:pPr>
    </w:p>
  </w:footnote>
  <w:footnote w:id="13">
    <w:p w14:paraId="21EED008"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24 de julio de 2013. Radicado: </w:t>
      </w:r>
      <w:r w:rsidRPr="00435A6A">
        <w:rPr>
          <w:rFonts w:ascii="Verdana" w:hAnsi="Verdana" w:cs="Arial"/>
          <w:sz w:val="14"/>
          <w:szCs w:val="14"/>
          <w:lang w:val="es-CO"/>
        </w:rPr>
        <w:t xml:space="preserve">11001-03-06-000-2013-00407-00 </w:t>
      </w:r>
      <w:r w:rsidRPr="00435A6A">
        <w:rPr>
          <w:rFonts w:ascii="Verdana" w:hAnsi="Verdana" w:cs="Arial"/>
          <w:sz w:val="14"/>
          <w:szCs w:val="14"/>
        </w:rPr>
        <w:t xml:space="preserve">(2166). C.P. Álvaro Namén Vargas.  </w:t>
      </w:r>
    </w:p>
    <w:p w14:paraId="61AF76AE" w14:textId="77777777" w:rsidR="003E4080" w:rsidRPr="00435A6A" w:rsidRDefault="003E4080" w:rsidP="003E4080">
      <w:pPr>
        <w:pStyle w:val="Textonotapie"/>
        <w:ind w:firstLine="709"/>
        <w:jc w:val="both"/>
        <w:rPr>
          <w:rFonts w:ascii="Verdana" w:hAnsi="Verdana" w:cs="Arial"/>
          <w:sz w:val="14"/>
          <w:szCs w:val="14"/>
        </w:rPr>
      </w:pPr>
    </w:p>
  </w:footnote>
  <w:footnote w:id="14">
    <w:p w14:paraId="2368DEC2" w14:textId="77777777" w:rsidR="003E4080" w:rsidRPr="00435A6A" w:rsidRDefault="003E4080" w:rsidP="003E4080">
      <w:pPr>
        <w:spacing w:after="0" w:line="240" w:lineRule="auto"/>
        <w:ind w:firstLine="709"/>
        <w:jc w:val="both"/>
        <w:rPr>
          <w:rFonts w:ascii="Verdana" w:eastAsia="Times New Roman"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4" w:name="33"/>
      <w:r w:rsidRPr="00435A6A">
        <w:rPr>
          <w:rFonts w:ascii="Verdana" w:eastAsia="Calibri" w:hAnsi="Verdana" w:cs="Arial"/>
          <w:color w:val="000000"/>
          <w:sz w:val="14"/>
          <w:szCs w:val="14"/>
        </w:rPr>
        <w:t>“</w:t>
      </w:r>
      <w:r w:rsidRPr="00435A6A">
        <w:rPr>
          <w:rFonts w:ascii="Verdana" w:eastAsia="Times New Roman" w:hAnsi="Verdana" w:cs="Arial"/>
          <w:sz w:val="14"/>
          <w:szCs w:val="14"/>
        </w:rPr>
        <w:t>Artículo 33. Restricciones a la contratación pública.</w:t>
      </w:r>
      <w:bookmarkEnd w:id="4"/>
      <w:r w:rsidRPr="00435A6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09368163" w14:textId="77777777" w:rsidR="003E4080" w:rsidRPr="00435A6A" w:rsidRDefault="003E4080" w:rsidP="003E4080">
      <w:pPr>
        <w:spacing w:after="0" w:line="240" w:lineRule="auto"/>
        <w:ind w:firstLine="709"/>
        <w:jc w:val="both"/>
        <w:rPr>
          <w:rFonts w:ascii="Verdana" w:eastAsia="Times New Roman" w:hAnsi="Verdana" w:cs="Arial"/>
          <w:sz w:val="14"/>
          <w:szCs w:val="14"/>
        </w:rPr>
      </w:pPr>
      <w:r w:rsidRPr="00435A6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B0E5C54" w14:textId="77777777" w:rsidR="003E4080" w:rsidRPr="00435A6A" w:rsidRDefault="003E4080" w:rsidP="003E4080">
      <w:pPr>
        <w:spacing w:after="0" w:line="240" w:lineRule="auto"/>
        <w:ind w:firstLine="709"/>
        <w:jc w:val="both"/>
        <w:rPr>
          <w:rFonts w:ascii="Verdana" w:eastAsia="Times New Roman" w:hAnsi="Verdana" w:cs="Arial"/>
          <w:sz w:val="14"/>
          <w:szCs w:val="14"/>
        </w:rPr>
      </w:pPr>
    </w:p>
  </w:footnote>
  <w:footnote w:id="15">
    <w:p w14:paraId="40F8C02F" w14:textId="77777777" w:rsidR="003E4080" w:rsidRPr="00435A6A" w:rsidRDefault="003E4080" w:rsidP="003E4080">
      <w:pPr>
        <w:pStyle w:val="NormalWeb"/>
        <w:spacing w:before="0" w:beforeAutospacing="0" w:after="0" w:afterAutospacing="0"/>
        <w:ind w:firstLine="709"/>
        <w:jc w:val="both"/>
        <w:rPr>
          <w:rFonts w:ascii="Verdana" w:hAnsi="Verdana" w:cs="Arial"/>
          <w:sz w:val="14"/>
          <w:szCs w:val="14"/>
          <w:lang w:val="es-MX"/>
        </w:rPr>
      </w:pPr>
      <w:r w:rsidRPr="00435A6A">
        <w:rPr>
          <w:rStyle w:val="Refdenotaalpie"/>
          <w:rFonts w:ascii="Verdana" w:eastAsiaTheme="majorEastAsia" w:hAnsi="Verdana" w:cs="Arial"/>
          <w:sz w:val="14"/>
          <w:szCs w:val="14"/>
        </w:rPr>
        <w:footnoteRef/>
      </w:r>
      <w:r w:rsidRPr="00435A6A">
        <w:rPr>
          <w:rFonts w:ascii="Verdana" w:hAnsi="Verdana" w:cs="Arial"/>
          <w:sz w:val="14"/>
          <w:szCs w:val="14"/>
        </w:rPr>
        <w:t xml:space="preserve"> </w:t>
      </w:r>
      <w:bookmarkStart w:id="5" w:name="38"/>
      <w:r w:rsidRPr="00435A6A">
        <w:rPr>
          <w:rFonts w:ascii="Verdana" w:eastAsia="Calibri" w:hAnsi="Verdana" w:cs="Arial"/>
          <w:color w:val="000000"/>
          <w:sz w:val="14"/>
          <w:szCs w:val="14"/>
        </w:rPr>
        <w:t>“</w:t>
      </w:r>
      <w:r w:rsidRPr="00435A6A">
        <w:rPr>
          <w:rFonts w:ascii="Verdana" w:hAnsi="Verdana" w:cs="Arial"/>
          <w:sz w:val="14"/>
          <w:szCs w:val="14"/>
          <w:lang w:val="es-MX"/>
        </w:rPr>
        <w:t>Artículo 38. Prohibiciones para los servidores públicos. A los empleados del Estado les está prohibido:</w:t>
      </w:r>
      <w:bookmarkEnd w:id="5"/>
    </w:p>
    <w:p w14:paraId="21F1915C" w14:textId="77777777" w:rsidR="003E4080" w:rsidRPr="00435A6A" w:rsidRDefault="003E4080" w:rsidP="003E4080">
      <w:pPr>
        <w:pStyle w:val="NormalWeb"/>
        <w:spacing w:before="0" w:beforeAutospacing="0" w:after="0" w:afterAutospacing="0"/>
        <w:ind w:firstLine="709"/>
        <w:jc w:val="both"/>
        <w:rPr>
          <w:rFonts w:ascii="Verdana" w:hAnsi="Verdana" w:cs="Arial"/>
          <w:sz w:val="14"/>
          <w:szCs w:val="14"/>
          <w:lang w:val="es-MX"/>
        </w:rPr>
      </w:pPr>
      <w:r w:rsidRPr="00435A6A">
        <w:rPr>
          <w:rFonts w:ascii="Verdana" w:hAnsi="Verdana" w:cs="Arial"/>
          <w:sz w:val="14"/>
          <w:szCs w:val="14"/>
          <w:lang w:val="es-MX"/>
        </w:rPr>
        <w:t>(…)</w:t>
      </w:r>
    </w:p>
    <w:p w14:paraId="4B62386F" w14:textId="77777777" w:rsidR="003E4080" w:rsidRPr="00435A6A" w:rsidRDefault="003E4080" w:rsidP="003E4080">
      <w:pPr>
        <w:pStyle w:val="NormalWeb"/>
        <w:spacing w:before="0" w:beforeAutospacing="0" w:after="0" w:afterAutospacing="0"/>
        <w:ind w:firstLine="709"/>
        <w:jc w:val="both"/>
        <w:rPr>
          <w:rFonts w:ascii="Verdana" w:eastAsia="Calibri" w:hAnsi="Verdana" w:cs="Arial"/>
          <w:color w:val="000000"/>
          <w:sz w:val="14"/>
          <w:szCs w:val="14"/>
        </w:rPr>
      </w:pPr>
      <w:r w:rsidRPr="00435A6A">
        <w:rPr>
          <w:rStyle w:val="baj"/>
          <w:rFonts w:ascii="Verdana" w:hAnsi="Verdana" w:cs="Arial"/>
          <w:sz w:val="14"/>
          <w:szCs w:val="14"/>
          <w:lang w:val="es-MX"/>
        </w:rPr>
        <w:t>Parágrafo.</w:t>
      </w:r>
      <w:r w:rsidRPr="00435A6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5A6A">
        <w:rPr>
          <w:rFonts w:ascii="Verdana" w:eastAsia="Calibri" w:hAnsi="Verdana" w:cs="Arial"/>
          <w:color w:val="000000"/>
          <w:sz w:val="14"/>
          <w:szCs w:val="14"/>
        </w:rPr>
        <w:t>”.</w:t>
      </w:r>
    </w:p>
    <w:p w14:paraId="121BD524" w14:textId="77777777" w:rsidR="003E4080" w:rsidRPr="00435A6A" w:rsidRDefault="003E4080" w:rsidP="003E4080">
      <w:pPr>
        <w:pStyle w:val="NormalWeb"/>
        <w:spacing w:before="0" w:beforeAutospacing="0" w:after="0" w:afterAutospacing="0"/>
        <w:ind w:firstLine="709"/>
        <w:jc w:val="both"/>
        <w:rPr>
          <w:rFonts w:ascii="Verdana" w:hAnsi="Verdana" w:cs="Arial"/>
          <w:sz w:val="14"/>
          <w:szCs w:val="14"/>
          <w:lang w:val="es-MX"/>
        </w:rPr>
      </w:pPr>
    </w:p>
  </w:footnote>
  <w:footnote w:id="16">
    <w:p w14:paraId="50CC7F3F" w14:textId="77777777" w:rsidR="003E4080" w:rsidRPr="00435A6A" w:rsidRDefault="003E4080" w:rsidP="003E4080">
      <w:pPr>
        <w:spacing w:after="0" w:line="240" w:lineRule="auto"/>
        <w:ind w:left="100" w:right="244"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17 de febrero de 2015. Radicado: 11001-03-06-000-2015-00164-00 (2269). C.P. William Zambrano Cetina.</w:t>
      </w:r>
    </w:p>
    <w:p w14:paraId="503A846E" w14:textId="77777777" w:rsidR="003E4080" w:rsidRPr="00435A6A" w:rsidRDefault="003E4080" w:rsidP="003E4080">
      <w:pPr>
        <w:spacing w:after="0" w:line="240" w:lineRule="auto"/>
        <w:ind w:left="100" w:right="244" w:firstLine="709"/>
        <w:jc w:val="both"/>
        <w:rPr>
          <w:rFonts w:ascii="Verdana" w:hAnsi="Verdana" w:cs="Arial"/>
          <w:sz w:val="14"/>
          <w:szCs w:val="14"/>
          <w:lang w:val="es-ES"/>
        </w:rPr>
      </w:pPr>
    </w:p>
  </w:footnote>
  <w:footnote w:id="17">
    <w:p w14:paraId="6FF7430E"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[25] </w:t>
      </w:r>
      <w:r w:rsidRPr="00435A6A">
        <w:rPr>
          <w:rFonts w:ascii="Verdana" w:hAnsi="Verdana" w:cs="Arial"/>
          <w:sz w:val="14"/>
          <w:szCs w:val="14"/>
        </w:rPr>
        <w:t>Cfr. Consejo de Estado. Sección Tercera. Sentencia de 3 de diciembre de 2007. Radicados: 24.715, 25.206, 25.409, 24.524, 27.834, 25.410, 26.105, 28.244, 31.447 -acumulados-“.</w:t>
      </w:r>
    </w:p>
    <w:p w14:paraId="7BD45AC8" w14:textId="77777777" w:rsidR="003E4080" w:rsidRPr="00435A6A" w:rsidRDefault="003E4080" w:rsidP="003E4080">
      <w:pPr>
        <w:pStyle w:val="Textonotapie"/>
        <w:ind w:firstLine="709"/>
        <w:jc w:val="both"/>
        <w:rPr>
          <w:rFonts w:ascii="Verdana" w:hAnsi="Verdana" w:cs="Arial"/>
          <w:sz w:val="14"/>
          <w:szCs w:val="14"/>
        </w:rPr>
      </w:pPr>
    </w:p>
  </w:footnote>
  <w:footnote w:id="18">
    <w:p w14:paraId="1CAB9DAC"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13" w:name="_Hlk74294506"/>
      <w:r w:rsidRPr="00435A6A">
        <w:rPr>
          <w:rFonts w:ascii="Verdana" w:hAnsi="Verdana" w:cs="Arial"/>
          <w:sz w:val="14"/>
          <w:szCs w:val="14"/>
        </w:rPr>
        <w:t>“</w:t>
      </w:r>
      <w:r w:rsidRPr="00435A6A">
        <w:rPr>
          <w:rFonts w:ascii="Verdana" w:hAnsi="Verdana" w:cs="Arial"/>
          <w:sz w:val="14"/>
          <w:szCs w:val="14"/>
          <w:lang w:val="es-ES"/>
        </w:rPr>
        <w:t xml:space="preserve">[26] </w:t>
      </w:r>
      <w:bookmarkEnd w:id="13"/>
      <w:r w:rsidRPr="00435A6A">
        <w:rPr>
          <w:rFonts w:ascii="Verdana" w:hAnsi="Verdana" w:cs="Arial"/>
          <w:sz w:val="14"/>
          <w:szCs w:val="14"/>
        </w:rPr>
        <w:t>Al respecto ver el concepto 1712 de 2 de febrero de 2006. Consejo de Estado Sala de Consulta y Servicio Civil”.</w:t>
      </w:r>
    </w:p>
    <w:p w14:paraId="7ECCA26D" w14:textId="77777777" w:rsidR="003E4080" w:rsidRPr="00435A6A" w:rsidRDefault="003E4080" w:rsidP="003E4080">
      <w:pPr>
        <w:pStyle w:val="Textonotapie"/>
        <w:ind w:firstLine="709"/>
        <w:jc w:val="both"/>
        <w:rPr>
          <w:rFonts w:ascii="Verdana" w:hAnsi="Verdana" w:cs="Arial"/>
          <w:sz w:val="14"/>
          <w:szCs w:val="14"/>
        </w:rPr>
      </w:pPr>
    </w:p>
  </w:footnote>
  <w:footnote w:id="19">
    <w:p w14:paraId="0B8032BA"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5026B840" w14:textId="77777777" w:rsidR="003E4080" w:rsidRPr="00435A6A" w:rsidRDefault="003E4080" w:rsidP="003E4080">
      <w:pPr>
        <w:pStyle w:val="Textonotapie"/>
        <w:ind w:firstLine="709"/>
        <w:jc w:val="both"/>
        <w:rPr>
          <w:rFonts w:ascii="Verdana" w:hAnsi="Verdana" w:cs="Arial"/>
          <w:sz w:val="14"/>
          <w:szCs w:val="14"/>
        </w:rPr>
      </w:pPr>
    </w:p>
  </w:footnote>
  <w:footnote w:id="20">
    <w:p w14:paraId="78774F4E" w14:textId="77777777" w:rsidR="003E4080" w:rsidRPr="00435A6A" w:rsidRDefault="003E4080" w:rsidP="003E408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Artículo 2. </w:t>
      </w:r>
    </w:p>
    <w:p w14:paraId="142A5E4C" w14:textId="77777777" w:rsidR="003E4080" w:rsidRPr="00435A6A" w:rsidRDefault="003E4080" w:rsidP="003E4080">
      <w:pPr>
        <w:pStyle w:val="Textonotapie"/>
        <w:ind w:firstLine="709"/>
        <w:rPr>
          <w:rFonts w:ascii="Verdana" w:hAnsi="Verdana" w:cs="Arial"/>
          <w:sz w:val="14"/>
          <w:szCs w:val="14"/>
          <w:lang w:val="es-ES"/>
        </w:rPr>
      </w:pPr>
    </w:p>
  </w:footnote>
  <w:footnote w:id="21">
    <w:p w14:paraId="38703FEF" w14:textId="77777777" w:rsidR="003E4080" w:rsidRDefault="003E4080" w:rsidP="003E408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i/>
          <w:sz w:val="14"/>
          <w:szCs w:val="14"/>
          <w:lang w:val="es-ES"/>
        </w:rPr>
        <w:t>Ídem</w:t>
      </w:r>
      <w:r w:rsidRPr="00435A6A">
        <w:rPr>
          <w:rFonts w:ascii="Verdana" w:hAnsi="Verdana" w:cs="Arial"/>
          <w:sz w:val="14"/>
          <w:szCs w:val="14"/>
          <w:lang w:val="es-ES"/>
        </w:rPr>
        <w:t>.</w:t>
      </w:r>
    </w:p>
    <w:p w14:paraId="7ED9E086" w14:textId="77777777" w:rsidR="00FD7B2E" w:rsidRPr="00435A6A" w:rsidRDefault="00FD7B2E" w:rsidP="003E4080">
      <w:pPr>
        <w:pStyle w:val="Textonotapie"/>
        <w:ind w:firstLine="709"/>
        <w:rPr>
          <w:rFonts w:ascii="Verdana" w:hAnsi="Verdana" w:cs="Arial"/>
          <w:sz w:val="14"/>
          <w:szCs w:val="14"/>
          <w:lang w:val="es-ES"/>
        </w:rPr>
      </w:pPr>
    </w:p>
  </w:footnote>
  <w:footnote w:id="22">
    <w:p w14:paraId="455181C0" w14:textId="77777777" w:rsidR="003E4080" w:rsidRPr="00435A6A" w:rsidRDefault="003E4080" w:rsidP="003E408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 A este respecto, cabe recordar que el artículo 860 del Código de Comercio regula la licitación en el derecho privado. </w:t>
      </w:r>
    </w:p>
    <w:p w14:paraId="62EB78FE" w14:textId="77777777" w:rsidR="003E4080" w:rsidRPr="00435A6A" w:rsidRDefault="003E4080" w:rsidP="003E4080">
      <w:pPr>
        <w:pStyle w:val="Textonotapie"/>
        <w:ind w:firstLine="709"/>
        <w:rPr>
          <w:rFonts w:ascii="Verdana" w:hAnsi="Verdana" w:cs="Arial"/>
          <w:sz w:val="14"/>
          <w:szCs w:val="14"/>
          <w:lang w:val="es-ES"/>
        </w:rPr>
      </w:pPr>
    </w:p>
  </w:footnote>
  <w:footnote w:id="23">
    <w:p w14:paraId="7E8D84BB" w14:textId="77777777" w:rsidR="003E4080" w:rsidRPr="00435A6A" w:rsidRDefault="003E4080" w:rsidP="003E4080">
      <w:pPr>
        <w:shd w:val="clear" w:color="auto" w:fill="FFFFFF"/>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Consejo de Estado. Sala de Consulta y Servicio Civil, Concepto de 8 de mayo de 2018. Radicación Número: 11001-03-06-000-2018-00095-00 (2382). C.P: Álvaro Namén Vargas.</w:t>
      </w:r>
    </w:p>
    <w:p w14:paraId="1629FFAF" w14:textId="77777777" w:rsidR="003E4080" w:rsidRPr="00435A6A" w:rsidRDefault="003E4080" w:rsidP="003E4080">
      <w:pPr>
        <w:shd w:val="clear" w:color="auto" w:fill="FFFFFF"/>
        <w:spacing w:after="0" w:line="240" w:lineRule="auto"/>
        <w:ind w:firstLine="709"/>
        <w:jc w:val="both"/>
        <w:rPr>
          <w:rFonts w:ascii="Verdana" w:hAnsi="Verdana" w:cs="Arial"/>
          <w:sz w:val="14"/>
          <w:szCs w:val="14"/>
          <w:lang w:val="es-ES"/>
        </w:rPr>
      </w:pPr>
    </w:p>
  </w:footnote>
  <w:footnote w:id="24">
    <w:p w14:paraId="644298E4"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08 de mayo de 2018. Exp. 2.382. C.P. Álvaro Namén Vargas.</w:t>
      </w:r>
    </w:p>
    <w:p w14:paraId="69F04522" w14:textId="77777777" w:rsidR="003E4080" w:rsidRPr="00435A6A" w:rsidRDefault="003E4080" w:rsidP="003E4080">
      <w:pPr>
        <w:pStyle w:val="Textonotapie"/>
        <w:ind w:firstLine="709"/>
        <w:jc w:val="both"/>
        <w:rPr>
          <w:rFonts w:ascii="Verdana" w:hAnsi="Verdana" w:cs="Arial"/>
          <w:sz w:val="14"/>
          <w:szCs w:val="14"/>
        </w:rPr>
      </w:pPr>
    </w:p>
  </w:footnote>
  <w:footnote w:id="25">
    <w:p w14:paraId="41990F2E" w14:textId="77777777" w:rsidR="003E4080" w:rsidRPr="00435A6A" w:rsidRDefault="003E4080" w:rsidP="003E4080">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7E82BC8" w14:textId="77777777" w:rsidR="003E4080" w:rsidRPr="00435A6A" w:rsidRDefault="003E4080" w:rsidP="003E4080">
      <w:pPr>
        <w:spacing w:after="0" w:line="240" w:lineRule="auto"/>
        <w:ind w:firstLine="709"/>
        <w:jc w:val="both"/>
        <w:rPr>
          <w:rFonts w:ascii="Verdana" w:hAnsi="Verdana" w:cs="Arial"/>
          <w:color w:val="000000" w:themeColor="text1"/>
          <w:sz w:val="14"/>
          <w:szCs w:val="14"/>
        </w:rPr>
      </w:pPr>
    </w:p>
  </w:footnote>
  <w:footnote w:id="26">
    <w:p w14:paraId="10E469DB" w14:textId="77777777" w:rsidR="003E4080" w:rsidRPr="00435A6A" w:rsidRDefault="003E4080" w:rsidP="003E4080">
      <w:pPr>
        <w:pStyle w:val="Textonotapie"/>
        <w:ind w:firstLine="709"/>
        <w:jc w:val="both"/>
        <w:rPr>
          <w:rFonts w:ascii="Verdana" w:eastAsia="Times New Roman" w:hAnsi="Verdana" w:cs="Arial"/>
          <w:color w:val="000000" w:themeColor="text1"/>
          <w:sz w:val="14"/>
          <w:szCs w:val="14"/>
          <w:lang w:eastAsia="x-none"/>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435A6A">
        <w:rPr>
          <w:rFonts w:ascii="Verdana" w:eastAsia="Times New Roman" w:hAnsi="Verdana" w:cs="Arial"/>
          <w:color w:val="000000" w:themeColor="text1"/>
          <w:sz w:val="14"/>
          <w:szCs w:val="14"/>
          <w:lang w:eastAsia="x-none"/>
        </w:rPr>
        <w:t xml:space="preserve"> </w:t>
      </w:r>
      <w:bookmarkStart w:id="17" w:name="_Hlk97890572"/>
      <w:r w:rsidRPr="00435A6A">
        <w:rPr>
          <w:rFonts w:ascii="Verdana" w:eastAsia="Times New Roman" w:hAnsi="Verdana" w:cs="Arial"/>
          <w:color w:val="000000" w:themeColor="text1"/>
          <w:sz w:val="14"/>
          <w:szCs w:val="14"/>
          <w:lang w:eastAsia="x-none"/>
        </w:rPr>
        <w:t>“</w:t>
      </w:r>
      <w:r w:rsidRPr="00435A6A">
        <w:rPr>
          <w:rFonts w:ascii="Verdana" w:hAnsi="Verdana" w:cs="Arial"/>
          <w:color w:val="000000" w:themeColor="text1"/>
          <w:sz w:val="14"/>
          <w:szCs w:val="14"/>
        </w:rPr>
        <w:t xml:space="preserve">Si bien en el tema del concepto del que se extractaron </w:t>
      </w:r>
      <w:bookmarkEnd w:id="17"/>
      <w:r w:rsidRPr="00435A6A">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35A6A">
        <w:rPr>
          <w:rFonts w:ascii="Verdana" w:eastAsia="Times New Roman" w:hAnsi="Verdana" w:cs="Arial"/>
          <w:color w:val="000000" w:themeColor="text1"/>
          <w:sz w:val="14"/>
          <w:szCs w:val="14"/>
          <w:lang w:eastAsia="x-none"/>
        </w:rPr>
        <w:t>”.</w:t>
      </w:r>
    </w:p>
    <w:p w14:paraId="25BDB400" w14:textId="77777777" w:rsidR="003E4080" w:rsidRPr="00435A6A" w:rsidRDefault="003E4080" w:rsidP="003E4080">
      <w:pPr>
        <w:pStyle w:val="Textonotapie"/>
        <w:ind w:firstLine="709"/>
        <w:jc w:val="both"/>
        <w:rPr>
          <w:rFonts w:ascii="Verdana" w:hAnsi="Verdana" w:cs="Arial"/>
          <w:color w:val="000000" w:themeColor="text1"/>
          <w:sz w:val="14"/>
          <w:szCs w:val="14"/>
        </w:rPr>
      </w:pPr>
    </w:p>
  </w:footnote>
  <w:footnote w:id="27">
    <w:p w14:paraId="79AF3BBD" w14:textId="77777777" w:rsidR="003E4080" w:rsidRDefault="003E4080" w:rsidP="003E4080">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5293B666" w14:textId="77777777" w:rsidR="003E4080" w:rsidRPr="00435A6A" w:rsidRDefault="003E4080" w:rsidP="003E4080">
      <w:pPr>
        <w:spacing w:after="0" w:line="240" w:lineRule="auto"/>
        <w:ind w:firstLine="709"/>
        <w:jc w:val="both"/>
        <w:rPr>
          <w:rFonts w:ascii="Verdana" w:hAnsi="Verdana" w:cs="Arial"/>
          <w:color w:val="000000" w:themeColor="text1"/>
          <w:sz w:val="14"/>
          <w:szCs w:val="14"/>
        </w:rPr>
      </w:pPr>
    </w:p>
  </w:footnote>
  <w:footnote w:id="28">
    <w:p w14:paraId="07C940E6" w14:textId="77777777" w:rsidR="003E4080" w:rsidRPr="00435A6A" w:rsidRDefault="003E4080" w:rsidP="003E4080">
      <w:pPr>
        <w:pStyle w:val="Textonotapie"/>
        <w:ind w:firstLine="709"/>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ídem.</w:t>
      </w:r>
    </w:p>
    <w:p w14:paraId="4ECB62DD" w14:textId="77777777" w:rsidR="003E4080" w:rsidRPr="003A04BF" w:rsidRDefault="003E4080" w:rsidP="003E4080">
      <w:pPr>
        <w:pStyle w:val="Textonotapie"/>
        <w:ind w:firstLine="709"/>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C811DB"/>
    <w:multiLevelType w:val="hybridMultilevel"/>
    <w:tmpl w:val="D38E83A6"/>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1098734">
    <w:abstractNumId w:val="7"/>
  </w:num>
  <w:num w:numId="2" w16cid:durableId="988091070">
    <w:abstractNumId w:val="2"/>
  </w:num>
  <w:num w:numId="3" w16cid:durableId="870218050">
    <w:abstractNumId w:val="4"/>
  </w:num>
  <w:num w:numId="4" w16cid:durableId="73223587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55562261">
    <w:abstractNumId w:val="2"/>
  </w:num>
  <w:num w:numId="6" w16cid:durableId="1704014615">
    <w:abstractNumId w:val="13"/>
  </w:num>
  <w:num w:numId="7" w16cid:durableId="1042024269">
    <w:abstractNumId w:val="6"/>
  </w:num>
  <w:num w:numId="8" w16cid:durableId="1396901925">
    <w:abstractNumId w:val="12"/>
  </w:num>
  <w:num w:numId="9" w16cid:durableId="787356732">
    <w:abstractNumId w:val="8"/>
  </w:num>
  <w:num w:numId="10" w16cid:durableId="1380593545">
    <w:abstractNumId w:val="11"/>
  </w:num>
  <w:num w:numId="11" w16cid:durableId="1396054186">
    <w:abstractNumId w:val="9"/>
  </w:num>
  <w:num w:numId="12" w16cid:durableId="1780761102">
    <w:abstractNumId w:val="1"/>
  </w:num>
  <w:num w:numId="13" w16cid:durableId="1651060346">
    <w:abstractNumId w:val="3"/>
  </w:num>
  <w:num w:numId="14" w16cid:durableId="722631682">
    <w:abstractNumId w:val="14"/>
  </w:num>
  <w:num w:numId="15" w16cid:durableId="476654272">
    <w:abstractNumId w:val="10"/>
  </w:num>
  <w:num w:numId="16" w16cid:durableId="844441531">
    <w:abstractNumId w:val="0"/>
  </w:num>
  <w:num w:numId="17" w16cid:durableId="15834924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05F20"/>
    <w:rsid w:val="002168EC"/>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10AC"/>
    <w:rsid w:val="00374F5E"/>
    <w:rsid w:val="00377E3E"/>
    <w:rsid w:val="003929D7"/>
    <w:rsid w:val="003A779E"/>
    <w:rsid w:val="003D0F4D"/>
    <w:rsid w:val="003D5B0D"/>
    <w:rsid w:val="003E0499"/>
    <w:rsid w:val="003E4080"/>
    <w:rsid w:val="003E4F80"/>
    <w:rsid w:val="003E6439"/>
    <w:rsid w:val="003F3941"/>
    <w:rsid w:val="00406575"/>
    <w:rsid w:val="00414C74"/>
    <w:rsid w:val="0042722E"/>
    <w:rsid w:val="0044528D"/>
    <w:rsid w:val="004544E4"/>
    <w:rsid w:val="00466E39"/>
    <w:rsid w:val="004A1847"/>
    <w:rsid w:val="004A305D"/>
    <w:rsid w:val="004F21C4"/>
    <w:rsid w:val="004F685F"/>
    <w:rsid w:val="005052D9"/>
    <w:rsid w:val="005566E8"/>
    <w:rsid w:val="00574867"/>
    <w:rsid w:val="00576A6B"/>
    <w:rsid w:val="00591460"/>
    <w:rsid w:val="005A65E0"/>
    <w:rsid w:val="005C3777"/>
    <w:rsid w:val="005C5CDC"/>
    <w:rsid w:val="005D476C"/>
    <w:rsid w:val="005F2D78"/>
    <w:rsid w:val="00612231"/>
    <w:rsid w:val="006200BF"/>
    <w:rsid w:val="006219F8"/>
    <w:rsid w:val="006302F7"/>
    <w:rsid w:val="00646B9F"/>
    <w:rsid w:val="00665D70"/>
    <w:rsid w:val="006676C2"/>
    <w:rsid w:val="006768AE"/>
    <w:rsid w:val="0068497A"/>
    <w:rsid w:val="006900D9"/>
    <w:rsid w:val="006F08C8"/>
    <w:rsid w:val="00706C16"/>
    <w:rsid w:val="00710EE0"/>
    <w:rsid w:val="007340C3"/>
    <w:rsid w:val="0075235A"/>
    <w:rsid w:val="00756841"/>
    <w:rsid w:val="007649AB"/>
    <w:rsid w:val="00771D0C"/>
    <w:rsid w:val="007833AC"/>
    <w:rsid w:val="007B268C"/>
    <w:rsid w:val="007B7171"/>
    <w:rsid w:val="007C0C0F"/>
    <w:rsid w:val="007C3DC2"/>
    <w:rsid w:val="007E22C8"/>
    <w:rsid w:val="007E5497"/>
    <w:rsid w:val="00806F5F"/>
    <w:rsid w:val="00820278"/>
    <w:rsid w:val="008258C9"/>
    <w:rsid w:val="00844AE9"/>
    <w:rsid w:val="00867F95"/>
    <w:rsid w:val="008843B6"/>
    <w:rsid w:val="00891928"/>
    <w:rsid w:val="008A446D"/>
    <w:rsid w:val="008B25F1"/>
    <w:rsid w:val="008D180B"/>
    <w:rsid w:val="008D6D21"/>
    <w:rsid w:val="008F0EA7"/>
    <w:rsid w:val="00923EEF"/>
    <w:rsid w:val="00935398"/>
    <w:rsid w:val="009419F9"/>
    <w:rsid w:val="0095685E"/>
    <w:rsid w:val="00961B09"/>
    <w:rsid w:val="00965334"/>
    <w:rsid w:val="0097093E"/>
    <w:rsid w:val="0098488D"/>
    <w:rsid w:val="009A0DFA"/>
    <w:rsid w:val="009A1C6F"/>
    <w:rsid w:val="009B2D26"/>
    <w:rsid w:val="009C71FA"/>
    <w:rsid w:val="009C72E7"/>
    <w:rsid w:val="009C7F7E"/>
    <w:rsid w:val="009D3058"/>
    <w:rsid w:val="009E0C43"/>
    <w:rsid w:val="009F3A13"/>
    <w:rsid w:val="00A122D3"/>
    <w:rsid w:val="00A14468"/>
    <w:rsid w:val="00A17F13"/>
    <w:rsid w:val="00A20739"/>
    <w:rsid w:val="00A23AF9"/>
    <w:rsid w:val="00A33C78"/>
    <w:rsid w:val="00A74B7D"/>
    <w:rsid w:val="00AB0ADB"/>
    <w:rsid w:val="00B00C0E"/>
    <w:rsid w:val="00B01B1A"/>
    <w:rsid w:val="00B0381D"/>
    <w:rsid w:val="00B44A47"/>
    <w:rsid w:val="00B61927"/>
    <w:rsid w:val="00B72CD3"/>
    <w:rsid w:val="00B72FFF"/>
    <w:rsid w:val="00B84575"/>
    <w:rsid w:val="00BC1680"/>
    <w:rsid w:val="00BC3D36"/>
    <w:rsid w:val="00BD54A6"/>
    <w:rsid w:val="00BD7F72"/>
    <w:rsid w:val="00BE696F"/>
    <w:rsid w:val="00BF7425"/>
    <w:rsid w:val="00C04FB3"/>
    <w:rsid w:val="00C11D8B"/>
    <w:rsid w:val="00C15139"/>
    <w:rsid w:val="00C330EB"/>
    <w:rsid w:val="00C50D69"/>
    <w:rsid w:val="00C5365C"/>
    <w:rsid w:val="00C754BE"/>
    <w:rsid w:val="00C76B1C"/>
    <w:rsid w:val="00C925AC"/>
    <w:rsid w:val="00CA46C3"/>
    <w:rsid w:val="00CB6357"/>
    <w:rsid w:val="00CC1B26"/>
    <w:rsid w:val="00D33E59"/>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63C7"/>
    <w:rsid w:val="00E2764C"/>
    <w:rsid w:val="00E27F2E"/>
    <w:rsid w:val="00E50AFE"/>
    <w:rsid w:val="00E75C92"/>
    <w:rsid w:val="00E771DC"/>
    <w:rsid w:val="00E8772A"/>
    <w:rsid w:val="00E909D7"/>
    <w:rsid w:val="00E90F6B"/>
    <w:rsid w:val="00E92C27"/>
    <w:rsid w:val="00EA0E3D"/>
    <w:rsid w:val="00EC38A7"/>
    <w:rsid w:val="00ED7FE1"/>
    <w:rsid w:val="00EE1AA8"/>
    <w:rsid w:val="00F23FEA"/>
    <w:rsid w:val="00F31EDC"/>
    <w:rsid w:val="00F462B3"/>
    <w:rsid w:val="00F5664F"/>
    <w:rsid w:val="00F666C4"/>
    <w:rsid w:val="00F76AFC"/>
    <w:rsid w:val="00FA19B9"/>
    <w:rsid w:val="00FA47C0"/>
    <w:rsid w:val="00FB5DD1"/>
    <w:rsid w:val="00FC2B5D"/>
    <w:rsid w:val="00FD7B2E"/>
    <w:rsid w:val="00FE029C"/>
    <w:rsid w:val="00FE19AA"/>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2A905D3-C06E-4ED6-B47F-B1684B412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E4080"/>
    <w:rPr>
      <w:rFonts w:ascii="Geomanist Light" w:hAnsi="Geomanist Light"/>
      <w:lang w:val="es-ES"/>
    </w:rPr>
  </w:style>
  <w:style w:type="paragraph" w:customStyle="1" w:styleId="Appelnotedebasde">
    <w:name w:val="Appel note de bas de..."/>
    <w:basedOn w:val="Normal"/>
    <w:link w:val="Refdenotaalpie"/>
    <w:uiPriority w:val="99"/>
    <w:rsid w:val="003E4080"/>
    <w:pPr>
      <w:spacing w:line="240" w:lineRule="exact"/>
    </w:pPr>
    <w:rPr>
      <w:vertAlign w:val="superscript"/>
    </w:rPr>
  </w:style>
  <w:style w:type="character" w:customStyle="1" w:styleId="NormalWebCar">
    <w:name w:val="Normal (Web) Car"/>
    <w:link w:val="NormalWeb"/>
    <w:uiPriority w:val="99"/>
    <w:locked/>
    <w:rsid w:val="003E4080"/>
    <w:rPr>
      <w:rFonts w:ascii="Times New Roman" w:eastAsia="Times New Roman" w:hAnsi="Times New Roman" w:cs="Times New Roman"/>
      <w:sz w:val="24"/>
      <w:szCs w:val="24"/>
      <w:lang w:eastAsia="es-CO"/>
    </w:rPr>
  </w:style>
  <w:style w:type="character" w:customStyle="1" w:styleId="baj">
    <w:name w:val="b_aj"/>
    <w:basedOn w:val="Fuentedeprrafopredeter"/>
    <w:rsid w:val="003E4080"/>
  </w:style>
  <w:style w:type="character" w:customStyle="1" w:styleId="citation-188">
    <w:name w:val="citation-188"/>
    <w:basedOn w:val="Fuentedeprrafopredeter"/>
    <w:rsid w:val="00392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CRETARIA@CARIBABARE.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E9BF87-DD62-4EF5-AACA-47BC91C00A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31</Pages>
  <Words>10770</Words>
  <Characters>57621</Characters>
  <Application>Microsoft Office Word</Application>
  <DocSecurity>0</DocSecurity>
  <Lines>1067</Lines>
  <Paragraphs>201</Paragraphs>
  <ScaleCrop>false</ScaleCrop>
  <Company/>
  <LinksUpToDate>false</LinksUpToDate>
  <CharactersWithSpaces>68190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5</cp:revision>
  <cp:lastPrinted>2023-01-11T00:18:00Z</cp:lastPrinted>
  <dcterms:created xsi:type="dcterms:W3CDTF">2026-02-20T14:51:00Z</dcterms:created>
  <dcterms:modified xsi:type="dcterms:W3CDTF">2026-03-13T14:12:00Z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