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4ECAA5" w14:textId="77777777" w:rsidR="00AC506E" w:rsidRPr="009412B5" w:rsidRDefault="00AC506E" w:rsidP="00AC506E">
      <w:pPr>
        <w:snapToGrid w:val="0"/>
        <w:spacing w:after="0" w:line="240" w:lineRule="auto"/>
        <w:contextualSpacing/>
        <w:jc w:val="both"/>
        <w:rPr>
          <w:rFonts w:ascii="Verdana" w:eastAsia="Calibri" w:hAnsi="Verdana" w:cs="Arial"/>
          <w:b/>
          <w:bCs/>
          <w:lang w:val="es-ES" w:eastAsia="es-ES"/>
        </w:rPr>
      </w:pPr>
      <w:r w:rsidRPr="009412B5">
        <w:rPr>
          <w:rFonts w:ascii="Verdana" w:eastAsia="Calibri" w:hAnsi="Verdana" w:cs="Arial"/>
          <w:b/>
          <w:bCs/>
          <w:lang w:val="es-ES" w:eastAsia="es-ES"/>
        </w:rPr>
        <w:t>LEY DE GARANTÍAS ELECTORALES – Finalidad</w:t>
      </w:r>
    </w:p>
    <w:p w14:paraId="19C11494" w14:textId="77777777" w:rsidR="00AC506E" w:rsidRDefault="00AC506E" w:rsidP="00AC506E">
      <w:pPr>
        <w:tabs>
          <w:tab w:val="left" w:pos="426"/>
        </w:tabs>
        <w:snapToGrid w:val="0"/>
        <w:spacing w:after="0" w:line="240" w:lineRule="auto"/>
        <w:contextualSpacing/>
        <w:jc w:val="both"/>
        <w:rPr>
          <w:rFonts w:ascii="Verdana" w:eastAsia="Times New Roman" w:hAnsi="Verdana" w:cs="Arial"/>
          <w:sz w:val="20"/>
          <w:szCs w:val="20"/>
          <w:lang w:val="es-ES" w:eastAsia="es-CO"/>
        </w:rPr>
      </w:pPr>
    </w:p>
    <w:p w14:paraId="1F3F3654" w14:textId="77777777" w:rsidR="00AC506E" w:rsidRPr="009412B5" w:rsidRDefault="00AC506E" w:rsidP="00AC506E">
      <w:pPr>
        <w:tabs>
          <w:tab w:val="left" w:pos="426"/>
        </w:tabs>
        <w:snapToGrid w:val="0"/>
        <w:spacing w:after="0" w:line="240" w:lineRule="auto"/>
        <w:contextualSpacing/>
        <w:jc w:val="both"/>
        <w:rPr>
          <w:rFonts w:ascii="Verdana" w:eastAsia="Calibri" w:hAnsi="Verdana" w:cs="Arial"/>
          <w:sz w:val="20"/>
          <w:szCs w:val="20"/>
          <w:lang w:val="es-ES"/>
        </w:rPr>
      </w:pPr>
      <w:r w:rsidRPr="009412B5">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9412B5">
        <w:rPr>
          <w:rFonts w:ascii="Verdana" w:eastAsia="Calibri" w:hAnsi="Verdana" w:cs="Arial"/>
          <w:sz w:val="20"/>
          <w:szCs w:val="20"/>
          <w:lang w:val="es-ES"/>
        </w:rPr>
        <w:t xml:space="preserve"> </w:t>
      </w:r>
    </w:p>
    <w:p w14:paraId="5713EFB5" w14:textId="77777777" w:rsidR="00AC506E" w:rsidRPr="009412B5" w:rsidRDefault="00AC506E" w:rsidP="00AC506E">
      <w:pPr>
        <w:snapToGrid w:val="0"/>
        <w:spacing w:after="0" w:line="240" w:lineRule="auto"/>
        <w:contextualSpacing/>
        <w:jc w:val="both"/>
        <w:rPr>
          <w:rFonts w:ascii="Verdana" w:eastAsia="Calibri" w:hAnsi="Verdana" w:cs="Arial"/>
          <w:b/>
          <w:bCs/>
          <w:sz w:val="20"/>
          <w:szCs w:val="20"/>
          <w:lang w:val="es-ES" w:eastAsia="es-ES"/>
        </w:rPr>
      </w:pPr>
    </w:p>
    <w:p w14:paraId="32DFDFA0" w14:textId="77777777" w:rsidR="00AC506E" w:rsidRPr="009412B5" w:rsidRDefault="00AC506E" w:rsidP="00AC506E">
      <w:pPr>
        <w:snapToGrid w:val="0"/>
        <w:spacing w:after="0" w:line="240" w:lineRule="auto"/>
        <w:contextualSpacing/>
        <w:jc w:val="both"/>
        <w:rPr>
          <w:rFonts w:ascii="Verdana" w:eastAsia="Calibri" w:hAnsi="Verdana" w:cs="Arial"/>
          <w:b/>
          <w:bCs/>
          <w:lang w:val="es-ES" w:eastAsia="es-ES"/>
        </w:rPr>
      </w:pPr>
      <w:r w:rsidRPr="009412B5">
        <w:rPr>
          <w:rFonts w:ascii="Verdana" w:eastAsia="Calibri" w:hAnsi="Verdana" w:cs="Arial"/>
          <w:b/>
          <w:bCs/>
          <w:lang w:val="es-ES" w:eastAsia="es-ES"/>
        </w:rPr>
        <w:t>LEY DE GARANTÍAS ELECTORALES ‒ Restricciones ‒ Contratación ‒ Tipos de elección</w:t>
      </w:r>
    </w:p>
    <w:p w14:paraId="5192D40B" w14:textId="77777777" w:rsidR="00AC506E" w:rsidRDefault="00AC506E" w:rsidP="00AC506E">
      <w:pPr>
        <w:snapToGrid w:val="0"/>
        <w:spacing w:after="0" w:line="240" w:lineRule="auto"/>
        <w:contextualSpacing/>
        <w:jc w:val="both"/>
        <w:rPr>
          <w:rFonts w:ascii="Verdana" w:eastAsia="Arial" w:hAnsi="Verdana" w:cs="Arial"/>
          <w:sz w:val="20"/>
          <w:szCs w:val="20"/>
          <w:lang w:val="es-ES" w:eastAsia="es-ES" w:bidi="es-ES"/>
        </w:rPr>
      </w:pPr>
    </w:p>
    <w:p w14:paraId="08DD7873" w14:textId="77777777" w:rsidR="00AC506E" w:rsidRPr="009412B5" w:rsidRDefault="00AC506E" w:rsidP="00AC506E">
      <w:pPr>
        <w:snapToGrid w:val="0"/>
        <w:spacing w:after="0" w:line="240" w:lineRule="auto"/>
        <w:contextualSpacing/>
        <w:jc w:val="both"/>
        <w:rPr>
          <w:rFonts w:ascii="Verdana" w:eastAsia="Arial" w:hAnsi="Verdana" w:cs="Arial"/>
          <w:sz w:val="20"/>
          <w:szCs w:val="20"/>
          <w:lang w:val="es-ES" w:eastAsia="es-ES" w:bidi="es-ES"/>
        </w:rPr>
      </w:pPr>
      <w:r w:rsidRPr="009412B5">
        <w:rPr>
          <w:rFonts w:ascii="Verdana" w:eastAsia="Arial" w:hAnsi="Verdana" w:cs="Arial"/>
          <w:sz w:val="20"/>
          <w:szCs w:val="20"/>
          <w:lang w:val="es-ES" w:eastAsia="es-ES" w:bidi="es-ES"/>
        </w:rPr>
        <w:t xml:space="preserve">De conformidad con lo anterior, la Ley 996 de 2005 establece dos (2) tipos de restricciones en materia de contratación, las cuales coinciden parcialmente. </w:t>
      </w:r>
      <w:r w:rsidRPr="009412B5">
        <w:rPr>
          <w:rFonts w:ascii="Verdana" w:eastAsia="Arial" w:hAnsi="Verdana" w:cs="Arial"/>
          <w:i/>
          <w:sz w:val="20"/>
          <w:szCs w:val="20"/>
          <w:lang w:val="es-ES" w:eastAsia="es-ES" w:bidi="es-ES"/>
        </w:rPr>
        <w:t>En primer lugar</w:t>
      </w:r>
      <w:r w:rsidRPr="009412B5">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9412B5">
        <w:rPr>
          <w:rFonts w:ascii="Verdana" w:eastAsia="Arial" w:hAnsi="Verdana" w:cs="Arial"/>
          <w:i/>
          <w:sz w:val="20"/>
          <w:szCs w:val="20"/>
          <w:lang w:val="es-ES" w:eastAsia="es-ES" w:bidi="es-ES"/>
        </w:rPr>
        <w:t>En segundo lugar</w:t>
      </w:r>
      <w:r w:rsidRPr="009412B5">
        <w:rPr>
          <w:rFonts w:ascii="Verdana" w:eastAsia="Arial" w:hAnsi="Verdana"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33628E13" w14:textId="77777777" w:rsidR="00AC506E" w:rsidRDefault="00AC506E" w:rsidP="00AC506E">
      <w:pPr>
        <w:snapToGrid w:val="0"/>
        <w:spacing w:after="0" w:line="240" w:lineRule="auto"/>
        <w:contextualSpacing/>
        <w:jc w:val="both"/>
        <w:rPr>
          <w:rFonts w:ascii="Verdana" w:eastAsia="Arial" w:hAnsi="Verdana" w:cs="Arial"/>
          <w:sz w:val="20"/>
          <w:szCs w:val="20"/>
          <w:lang w:val="es-ES" w:eastAsia="es-ES" w:bidi="es-ES"/>
        </w:rPr>
      </w:pPr>
    </w:p>
    <w:p w14:paraId="66F12E84" w14:textId="77777777" w:rsidR="00AC506E" w:rsidRPr="009412B5" w:rsidRDefault="00AC506E" w:rsidP="00AC506E">
      <w:pPr>
        <w:snapToGrid w:val="0"/>
        <w:spacing w:after="0" w:line="240" w:lineRule="auto"/>
        <w:contextualSpacing/>
        <w:jc w:val="both"/>
        <w:rPr>
          <w:rFonts w:ascii="Verdana" w:eastAsia="Arial" w:hAnsi="Verdana" w:cs="Arial"/>
          <w:sz w:val="20"/>
          <w:szCs w:val="20"/>
          <w:lang w:val="es-ES" w:eastAsia="es-ES" w:bidi="es-ES"/>
        </w:rPr>
      </w:pPr>
      <w:r w:rsidRPr="009412B5">
        <w:rPr>
          <w:rFonts w:ascii="Verdana" w:eastAsia="Arial" w:hAnsi="Verdana" w:cs="Arial"/>
          <w:sz w:val="20"/>
          <w:szCs w:val="20"/>
          <w:lang w:val="es-ES" w:eastAsia="es-ES" w:bidi="es-ES"/>
        </w:rPr>
        <w:t xml:space="preserve">Ambas restricciones no son excluyentes, lo que permite concluir que, en el período preelectoral para elección de </w:t>
      </w:r>
      <w:proofErr w:type="gramStart"/>
      <w:r w:rsidRPr="009412B5">
        <w:rPr>
          <w:rFonts w:ascii="Verdana" w:eastAsia="Arial" w:hAnsi="Verdana" w:cs="Arial"/>
          <w:sz w:val="20"/>
          <w:szCs w:val="20"/>
          <w:lang w:val="es-ES" w:eastAsia="es-ES" w:bidi="es-ES"/>
        </w:rPr>
        <w:t>Presidente</w:t>
      </w:r>
      <w:proofErr w:type="gramEnd"/>
      <w:r w:rsidRPr="009412B5">
        <w:rPr>
          <w:rFonts w:ascii="Verdana" w:eastAsia="Arial" w:hAnsi="Verdana" w:cs="Arial"/>
          <w:sz w:val="20"/>
          <w:szCs w:val="20"/>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9412B5">
        <w:rPr>
          <w:rFonts w:ascii="Verdana" w:eastAsia="Arial" w:hAnsi="Verdana" w:cs="Arial"/>
          <w:sz w:val="20"/>
          <w:szCs w:val="20"/>
          <w:lang w:val="es-ES" w:eastAsia="es-ES" w:bidi="es-ES"/>
        </w:rPr>
        <w:t>Presidente</w:t>
      </w:r>
      <w:proofErr w:type="gramEnd"/>
      <w:r w:rsidRPr="009412B5">
        <w:rPr>
          <w:rFonts w:ascii="Verdana" w:eastAsia="Arial" w:hAnsi="Verdana" w:cs="Arial"/>
          <w:sz w:val="20"/>
          <w:szCs w:val="20"/>
          <w:lang w:val="es-ES" w:eastAsia="es-ES" w:bidi="es-ES"/>
        </w:rPr>
        <w:t xml:space="preserve"> de la República, las autoridades allí mencionadas sólo deben aplicar las restricciones contenidas en el parágrafo del artículo 38.</w:t>
      </w:r>
    </w:p>
    <w:p w14:paraId="4D925FF5" w14:textId="77777777" w:rsidR="00AC506E" w:rsidRPr="009412B5" w:rsidRDefault="00AC506E" w:rsidP="00AC506E">
      <w:pPr>
        <w:snapToGrid w:val="0"/>
        <w:spacing w:after="0" w:line="240" w:lineRule="auto"/>
        <w:contextualSpacing/>
        <w:jc w:val="both"/>
        <w:rPr>
          <w:rFonts w:ascii="Verdana" w:eastAsia="Calibri" w:hAnsi="Verdana" w:cs="Arial"/>
          <w:b/>
          <w:bCs/>
          <w:sz w:val="20"/>
          <w:szCs w:val="20"/>
          <w:lang w:val="es-ES" w:eastAsia="es-ES"/>
        </w:rPr>
      </w:pPr>
    </w:p>
    <w:p w14:paraId="03782A53" w14:textId="5F6E243E" w:rsidR="00AC506E" w:rsidRPr="009412B5" w:rsidRDefault="00AC506E" w:rsidP="00AC506E">
      <w:pPr>
        <w:snapToGrid w:val="0"/>
        <w:spacing w:after="0" w:line="240" w:lineRule="auto"/>
        <w:contextualSpacing/>
        <w:jc w:val="both"/>
        <w:rPr>
          <w:rFonts w:ascii="Verdana" w:eastAsia="Calibri" w:hAnsi="Verdana" w:cs="Arial"/>
          <w:b/>
          <w:bCs/>
          <w:lang w:val="es-ES" w:eastAsia="es-ES"/>
        </w:rPr>
      </w:pPr>
      <w:r w:rsidRPr="009412B5">
        <w:rPr>
          <w:rFonts w:ascii="Verdana" w:eastAsia="Calibri" w:hAnsi="Verdana" w:cs="Arial"/>
          <w:b/>
          <w:bCs/>
          <w:lang w:val="es-ES" w:eastAsia="es-ES"/>
        </w:rPr>
        <w:t xml:space="preserve">LEY DE GARANTÍAS ELECTORALES ‒ Artículo 33 ‒ </w:t>
      </w:r>
      <w:r>
        <w:rPr>
          <w:rFonts w:ascii="Verdana" w:eastAsia="Calibri" w:hAnsi="Verdana" w:cs="Arial"/>
          <w:b/>
          <w:bCs/>
          <w:lang w:val="es-ES" w:eastAsia="es-ES"/>
        </w:rPr>
        <w:t>Contratación directa</w:t>
      </w:r>
    </w:p>
    <w:p w14:paraId="33FC7058" w14:textId="77777777" w:rsidR="00AC506E" w:rsidRDefault="00AC506E" w:rsidP="00AC506E">
      <w:pPr>
        <w:snapToGrid w:val="0"/>
        <w:spacing w:after="0" w:line="240" w:lineRule="auto"/>
        <w:contextualSpacing/>
        <w:jc w:val="both"/>
        <w:rPr>
          <w:rFonts w:ascii="Verdana" w:eastAsia="Times New Roman" w:hAnsi="Verdana" w:cs="Arial"/>
          <w:sz w:val="20"/>
          <w:szCs w:val="20"/>
          <w:lang w:val="es-ES"/>
        </w:rPr>
      </w:pPr>
    </w:p>
    <w:p w14:paraId="766EB0AA" w14:textId="77777777" w:rsidR="00AC506E" w:rsidRDefault="00AC506E" w:rsidP="00AC506E">
      <w:pPr>
        <w:snapToGrid w:val="0"/>
        <w:spacing w:after="0" w:line="240" w:lineRule="auto"/>
        <w:contextualSpacing/>
        <w:jc w:val="both"/>
        <w:rPr>
          <w:rFonts w:ascii="Verdana" w:eastAsia="Times New Roman" w:hAnsi="Verdana" w:cs="Arial"/>
          <w:sz w:val="20"/>
          <w:szCs w:val="20"/>
          <w:lang w:val="es-ES"/>
        </w:rPr>
      </w:pPr>
      <w:r w:rsidRPr="009412B5">
        <w:rPr>
          <w:rFonts w:ascii="Verdana" w:eastAsia="Times New Roman" w:hAnsi="Verdana" w:cs="Arial"/>
          <w:sz w:val="20"/>
          <w:szCs w:val="20"/>
          <w:lang w:val="es-ES"/>
        </w:rPr>
        <w:t xml:space="preserve">De lo anterior se desprende que la restricción aplica, sin perjuicio de las excepciones establecidas en la misma ley, para celebrar </w:t>
      </w:r>
      <w:r w:rsidRPr="009412B5">
        <w:rPr>
          <w:rFonts w:ascii="Verdana" w:eastAsia="Times New Roman" w:hAnsi="Verdana" w:cs="Arial"/>
          <w:i/>
          <w:iCs/>
          <w:sz w:val="20"/>
          <w:szCs w:val="20"/>
          <w:lang w:val="es-ES"/>
        </w:rPr>
        <w:t>cualquier contrato o convenio de forma directa</w:t>
      </w:r>
      <w:r w:rsidRPr="009412B5">
        <w:rPr>
          <w:rFonts w:ascii="Verdana" w:eastAsia="Times New Roman" w:hAnsi="Verdana" w:cs="Arial"/>
          <w:sz w:val="20"/>
          <w:szCs w:val="20"/>
          <w:lang w:val="es-ES"/>
        </w:rPr>
        <w:t xml:space="preserve">, esto es, sin que exista un proceso abierto y competitivo. Por tanto, no son materia de la prohibición los procesos de contratación que se adelanten mediante las demás modalidades de selección previstas en la Ley 1150 de 2007, es decir, la licitación pública, el concurso de méritos, la selección abreviada y la mínima cuantía, razón por la </w:t>
      </w:r>
      <w:r w:rsidRPr="009412B5">
        <w:rPr>
          <w:rFonts w:ascii="Verdana" w:eastAsia="Times New Roman" w:hAnsi="Verdana" w:cs="Arial"/>
          <w:sz w:val="20"/>
          <w:szCs w:val="20"/>
          <w:lang w:val="es-ES"/>
        </w:rPr>
        <w:lastRenderedPageBreak/>
        <w:t>cual en ese período preelectoral de que trata la disposición las entidades públicas pueden seguir contratando bajo estos sistemas.</w:t>
      </w:r>
    </w:p>
    <w:p w14:paraId="5D1A13F9" w14:textId="77777777" w:rsidR="00AC506E" w:rsidRDefault="00AC506E" w:rsidP="00AC506E">
      <w:pPr>
        <w:snapToGrid w:val="0"/>
        <w:spacing w:after="0" w:line="240" w:lineRule="auto"/>
        <w:contextualSpacing/>
        <w:jc w:val="both"/>
        <w:rPr>
          <w:rFonts w:ascii="Verdana" w:eastAsia="Times New Roman" w:hAnsi="Verdana" w:cs="Arial"/>
          <w:sz w:val="20"/>
          <w:szCs w:val="20"/>
          <w:lang w:val="es-ES"/>
        </w:rPr>
      </w:pPr>
    </w:p>
    <w:p w14:paraId="44C131E4" w14:textId="141BB106" w:rsidR="00AC506E" w:rsidRPr="009412B5" w:rsidRDefault="00AC506E" w:rsidP="00AC506E">
      <w:pPr>
        <w:snapToGrid w:val="0"/>
        <w:spacing w:after="0" w:line="240" w:lineRule="auto"/>
        <w:contextualSpacing/>
        <w:jc w:val="both"/>
        <w:rPr>
          <w:rFonts w:ascii="Verdana" w:eastAsia="Calibri" w:hAnsi="Verdana" w:cs="Arial"/>
          <w:b/>
          <w:bCs/>
          <w:lang w:val="es-ES" w:eastAsia="es-ES"/>
        </w:rPr>
      </w:pPr>
      <w:r w:rsidRPr="009412B5">
        <w:rPr>
          <w:rFonts w:ascii="Verdana" w:eastAsia="Calibri" w:hAnsi="Verdana" w:cs="Arial"/>
          <w:b/>
          <w:bCs/>
          <w:lang w:val="es-ES" w:eastAsia="es-ES"/>
        </w:rPr>
        <w:t xml:space="preserve">LEY DE GARANTÍAS ELECTORALES ‒ Artículo 33 ‒ </w:t>
      </w:r>
      <w:r>
        <w:rPr>
          <w:rFonts w:ascii="Verdana" w:eastAsia="Calibri" w:hAnsi="Verdana" w:cs="Arial"/>
          <w:b/>
          <w:bCs/>
          <w:lang w:val="es-ES" w:eastAsia="es-ES"/>
        </w:rPr>
        <w:t>Ámbito subjetivo</w:t>
      </w:r>
    </w:p>
    <w:p w14:paraId="75D6993A" w14:textId="77777777" w:rsidR="00AC506E" w:rsidRPr="009412B5" w:rsidRDefault="00AC506E" w:rsidP="00AC506E">
      <w:pPr>
        <w:snapToGrid w:val="0"/>
        <w:spacing w:after="0" w:line="240" w:lineRule="auto"/>
        <w:contextualSpacing/>
        <w:jc w:val="both"/>
        <w:rPr>
          <w:rFonts w:ascii="Verdana" w:eastAsia="Times New Roman" w:hAnsi="Verdana" w:cs="Arial"/>
          <w:sz w:val="20"/>
          <w:szCs w:val="20"/>
          <w:lang w:val="es-ES"/>
        </w:rPr>
      </w:pPr>
    </w:p>
    <w:p w14:paraId="0F7C5BA7" w14:textId="013592CE" w:rsidR="00AC506E" w:rsidRPr="00B801CF" w:rsidRDefault="00AF0A9C" w:rsidP="00AC506E">
      <w:pPr>
        <w:snapToGrid w:val="0"/>
        <w:spacing w:after="0" w:line="240" w:lineRule="auto"/>
        <w:contextualSpacing/>
        <w:jc w:val="both"/>
        <w:rPr>
          <w:rFonts w:ascii="Verdana" w:hAnsi="Verdana" w:cs="Arial"/>
          <w:bCs/>
          <w:sz w:val="20"/>
          <w:szCs w:val="20"/>
          <w:lang w:val="es-ES" w:eastAsia="x-none"/>
        </w:rPr>
      </w:pPr>
      <w:r w:rsidRPr="00B801CF">
        <w:rPr>
          <w:rFonts w:ascii="Verdana" w:hAnsi="Verdana" w:cs="Arial"/>
          <w:bCs/>
          <w:sz w:val="20"/>
          <w:szCs w:val="20"/>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B801CF">
        <w:rPr>
          <w:rFonts w:ascii="Verdana" w:hAnsi="Verdana"/>
          <w:sz w:val="20"/>
          <w:szCs w:val="20"/>
          <w:lang w:val="es-ES"/>
        </w:rPr>
        <w:t xml:space="preserve"> </w:t>
      </w:r>
      <w:r w:rsidRPr="00B801CF">
        <w:rPr>
          <w:rFonts w:ascii="Verdana" w:hAnsi="Verdana" w:cs="Arial"/>
          <w:bCs/>
          <w:sz w:val="20"/>
          <w:szCs w:val="20"/>
          <w:lang w:val="es-ES" w:eastAsia="x-none"/>
        </w:rPr>
        <w:t>En efecto, tal como lo ha sostenido el Consejo de Estado, el vocablo “todos” utilizado por el legislador comprende</w:t>
      </w:r>
      <w:r w:rsidRPr="00B801CF">
        <w:rPr>
          <w:rFonts w:ascii="Verdana" w:hAnsi="Verdana"/>
          <w:sz w:val="20"/>
          <w:szCs w:val="20"/>
          <w:lang w:val="es-ES"/>
        </w:rPr>
        <w:t xml:space="preserve"> </w:t>
      </w:r>
      <w:r w:rsidRPr="00B801CF">
        <w:rPr>
          <w:rFonts w:ascii="Verdana" w:hAnsi="Verdana" w:cs="Arial"/>
          <w:bCs/>
          <w:sz w:val="20"/>
          <w:szCs w:val="20"/>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610208C2" w14:textId="77777777" w:rsidR="00AF0A9C" w:rsidRPr="009412B5" w:rsidRDefault="00AF0A9C" w:rsidP="00AC506E">
      <w:pPr>
        <w:snapToGrid w:val="0"/>
        <w:spacing w:after="0" w:line="240" w:lineRule="auto"/>
        <w:contextualSpacing/>
        <w:jc w:val="both"/>
        <w:rPr>
          <w:rFonts w:ascii="Verdana" w:eastAsia="Calibri" w:hAnsi="Verdana" w:cs="Arial"/>
          <w:b/>
          <w:bCs/>
          <w:sz w:val="20"/>
          <w:szCs w:val="20"/>
          <w:lang w:val="es-ES" w:eastAsia="es-ES"/>
        </w:rPr>
      </w:pPr>
    </w:p>
    <w:p w14:paraId="30D4CCBE" w14:textId="150E6567" w:rsidR="00AC506E" w:rsidRPr="00B801CF" w:rsidRDefault="00AC506E" w:rsidP="00AC506E">
      <w:pPr>
        <w:snapToGrid w:val="0"/>
        <w:spacing w:after="0" w:line="240" w:lineRule="auto"/>
        <w:contextualSpacing/>
        <w:jc w:val="both"/>
        <w:rPr>
          <w:rFonts w:ascii="Verdana" w:eastAsia="Arial" w:hAnsi="Verdana" w:cs="Arial"/>
          <w:b/>
          <w:bCs/>
          <w:i/>
          <w:iCs/>
          <w:color w:val="000000" w:themeColor="text1"/>
        </w:rPr>
      </w:pPr>
      <w:r w:rsidRPr="00B801CF">
        <w:rPr>
          <w:rFonts w:ascii="Verdana" w:eastAsia="Calibri" w:hAnsi="Verdana" w:cs="Arial"/>
          <w:b/>
          <w:bCs/>
          <w:lang w:val="es-ES" w:eastAsia="es-ES"/>
        </w:rPr>
        <w:t>LEY DE GARANTÍAS ELECTORALES ‒ Artículo 38 – Parágrafo – Ámbito de aplicación</w:t>
      </w:r>
    </w:p>
    <w:p w14:paraId="6EBF5BE7" w14:textId="77777777" w:rsidR="00AC506E" w:rsidRDefault="00AC506E" w:rsidP="00AC506E">
      <w:pPr>
        <w:snapToGrid w:val="0"/>
        <w:spacing w:after="0" w:line="240" w:lineRule="auto"/>
        <w:contextualSpacing/>
        <w:jc w:val="both"/>
        <w:rPr>
          <w:rFonts w:ascii="Verdana" w:eastAsia="Calibri" w:hAnsi="Verdana" w:cs="Arial"/>
          <w:bCs/>
          <w:sz w:val="20"/>
          <w:szCs w:val="20"/>
          <w:lang w:val="es-ES"/>
        </w:rPr>
      </w:pPr>
    </w:p>
    <w:p w14:paraId="3E35A6AD" w14:textId="77777777" w:rsidR="00AC506E" w:rsidRPr="009412B5" w:rsidRDefault="00AC506E" w:rsidP="00AC506E">
      <w:pPr>
        <w:snapToGrid w:val="0"/>
        <w:spacing w:after="0" w:line="240" w:lineRule="auto"/>
        <w:contextualSpacing/>
        <w:jc w:val="both"/>
        <w:rPr>
          <w:rFonts w:ascii="Verdana" w:hAnsi="Verdana" w:cs="Arial"/>
          <w:bCs/>
          <w:sz w:val="20"/>
          <w:szCs w:val="20"/>
          <w:lang w:val="es-ES" w:eastAsia="es-CO"/>
        </w:rPr>
      </w:pPr>
      <w:r w:rsidRPr="009412B5">
        <w:rPr>
          <w:rFonts w:ascii="Verdana" w:eastAsia="Calibri" w:hAnsi="Verdana" w:cs="Arial"/>
          <w:bCs/>
          <w:sz w:val="20"/>
          <w:szCs w:val="20"/>
          <w:lang w:val="es-ES"/>
        </w:rPr>
        <w:t xml:space="preserve">En consecuencia, </w:t>
      </w:r>
      <w:r w:rsidRPr="009412B5">
        <w:rPr>
          <w:rFonts w:ascii="Verdana" w:hAnsi="Verdana" w:cs="Arial"/>
          <w:bCs/>
          <w:sz w:val="20"/>
          <w:szCs w:val="20"/>
          <w:lang w:val="es-ES" w:eastAsia="es-CO"/>
        </w:rPr>
        <w:t xml:space="preserve">el parágrafo del artículo 38 de la Ley 996 de 2005 prohíbe a los alcaldes, gobernadores, secretarios, gerentes y directores de las entidades del orden municipal, departamental o distrital celebrar </w:t>
      </w:r>
      <w:r w:rsidRPr="009412B5">
        <w:rPr>
          <w:rFonts w:ascii="Verdana" w:hAnsi="Verdana" w:cs="Arial"/>
          <w:bCs/>
          <w:i/>
          <w:iCs/>
          <w:sz w:val="20"/>
          <w:szCs w:val="20"/>
          <w:lang w:val="es-ES" w:eastAsia="es-CO"/>
        </w:rPr>
        <w:t>convenios interadministrativos para la ejecución de recursos públicos</w:t>
      </w:r>
      <w:r w:rsidRPr="009412B5">
        <w:rPr>
          <w:rFonts w:ascii="Verdana" w:hAnsi="Verdana" w:cs="Arial"/>
          <w:bCs/>
          <w:sz w:val="20"/>
          <w:szCs w:val="20"/>
          <w:lang w:val="es-ES" w:eastAsia="es-CO"/>
        </w:rPr>
        <w:t xml:space="preserve">. En este sentido, si una o ambas partes de la relación contractual es una entidad de aquellas descritas en el parágrafo, no podrá celebrar tales convenios durante la aplicación de la Ley de Garantías, toda vez que la citada disposición hace referencia a dicha tipología contractual sin que el legislador hubiere contemplado excepción alguna frente a la modalidad de selección o naturaleza de su objeto. </w:t>
      </w:r>
    </w:p>
    <w:p w14:paraId="613CB092" w14:textId="77777777" w:rsidR="00AC506E" w:rsidRDefault="00AC506E" w:rsidP="007E6FD3">
      <w:pPr>
        <w:spacing w:after="0"/>
        <w:rPr>
          <w:rFonts w:ascii="Verdana" w:hAnsi="Verdana"/>
          <w:lang w:val="es-ES"/>
        </w:rPr>
      </w:pPr>
    </w:p>
    <w:p w14:paraId="381B07B7" w14:textId="77777777" w:rsidR="00B801CF" w:rsidRDefault="00B801CF" w:rsidP="007E6FD3">
      <w:pPr>
        <w:spacing w:after="0"/>
        <w:rPr>
          <w:rFonts w:ascii="Verdana" w:hAnsi="Verdana"/>
          <w:lang w:val="es-ES"/>
        </w:rPr>
      </w:pPr>
    </w:p>
    <w:p w14:paraId="2EE3988E" w14:textId="77777777" w:rsidR="00B801CF" w:rsidRDefault="00B801CF" w:rsidP="007E6FD3">
      <w:pPr>
        <w:spacing w:after="0"/>
        <w:rPr>
          <w:rFonts w:ascii="Verdana" w:hAnsi="Verdana"/>
          <w:lang w:val="es-ES"/>
        </w:rPr>
      </w:pPr>
    </w:p>
    <w:p w14:paraId="4608F8F7" w14:textId="77777777" w:rsidR="00B801CF" w:rsidRDefault="00B801CF" w:rsidP="007E6FD3">
      <w:pPr>
        <w:spacing w:after="0"/>
        <w:rPr>
          <w:rFonts w:ascii="Verdana" w:hAnsi="Verdana"/>
          <w:lang w:val="es-ES"/>
        </w:rPr>
      </w:pPr>
    </w:p>
    <w:p w14:paraId="093BDC2D" w14:textId="77777777" w:rsidR="00B801CF" w:rsidRDefault="00B801CF" w:rsidP="007E6FD3">
      <w:pPr>
        <w:spacing w:after="0"/>
        <w:rPr>
          <w:rFonts w:ascii="Verdana" w:hAnsi="Verdana"/>
          <w:lang w:val="es-ES"/>
        </w:rPr>
      </w:pPr>
    </w:p>
    <w:p w14:paraId="6BF21C5A" w14:textId="77777777" w:rsidR="00B801CF" w:rsidRDefault="00B801CF" w:rsidP="007E6FD3">
      <w:pPr>
        <w:spacing w:after="0"/>
        <w:rPr>
          <w:rFonts w:ascii="Verdana" w:hAnsi="Verdana"/>
          <w:lang w:val="es-ES"/>
        </w:rPr>
      </w:pPr>
    </w:p>
    <w:p w14:paraId="458D1637" w14:textId="77777777" w:rsidR="00B801CF" w:rsidRDefault="00B801CF" w:rsidP="007E6FD3">
      <w:pPr>
        <w:spacing w:after="0"/>
        <w:rPr>
          <w:rFonts w:ascii="Verdana" w:hAnsi="Verdana"/>
          <w:lang w:val="es-ES"/>
        </w:rPr>
      </w:pPr>
    </w:p>
    <w:p w14:paraId="43B6BA47" w14:textId="77777777" w:rsidR="00B801CF" w:rsidRDefault="00B801CF" w:rsidP="007E6FD3">
      <w:pPr>
        <w:spacing w:after="0"/>
        <w:rPr>
          <w:rFonts w:ascii="Verdana" w:hAnsi="Verdana"/>
          <w:lang w:val="es-ES"/>
        </w:rPr>
      </w:pPr>
    </w:p>
    <w:p w14:paraId="47C622DC" w14:textId="77777777" w:rsidR="00B801CF" w:rsidRDefault="00B801CF" w:rsidP="007E6FD3">
      <w:pPr>
        <w:spacing w:after="0"/>
        <w:rPr>
          <w:rFonts w:ascii="Verdana" w:hAnsi="Verdana"/>
          <w:lang w:val="es-ES"/>
        </w:rPr>
      </w:pPr>
    </w:p>
    <w:p w14:paraId="464C1759" w14:textId="77777777" w:rsidR="00B801CF" w:rsidRDefault="00B801CF" w:rsidP="007E6FD3">
      <w:pPr>
        <w:spacing w:after="0"/>
        <w:rPr>
          <w:rFonts w:ascii="Verdana" w:hAnsi="Verdana"/>
          <w:lang w:val="es-ES"/>
        </w:rPr>
      </w:pPr>
    </w:p>
    <w:p w14:paraId="6135E8B6" w14:textId="77777777" w:rsidR="00B801CF" w:rsidRDefault="00B801CF" w:rsidP="007E6FD3">
      <w:pPr>
        <w:spacing w:after="0"/>
        <w:rPr>
          <w:rFonts w:ascii="Verdana" w:hAnsi="Verdana"/>
          <w:lang w:val="es-ES"/>
        </w:rPr>
      </w:pPr>
    </w:p>
    <w:p w14:paraId="279A956A" w14:textId="77777777" w:rsidR="00B801CF" w:rsidRDefault="00B801CF" w:rsidP="007E6FD3">
      <w:pPr>
        <w:spacing w:after="0"/>
        <w:rPr>
          <w:rFonts w:ascii="Verdana" w:hAnsi="Verdana"/>
          <w:lang w:val="es-ES"/>
        </w:rPr>
      </w:pPr>
    </w:p>
    <w:p w14:paraId="1AF7FAD6" w14:textId="77777777" w:rsidR="00B801CF" w:rsidRDefault="00B801CF" w:rsidP="007E6FD3">
      <w:pPr>
        <w:spacing w:after="0"/>
        <w:rPr>
          <w:rFonts w:ascii="Verdana" w:hAnsi="Verdana"/>
          <w:lang w:val="es-ES"/>
        </w:rPr>
      </w:pPr>
    </w:p>
    <w:p w14:paraId="66C206AB" w14:textId="77777777" w:rsidR="00B801CF" w:rsidRDefault="00B801CF" w:rsidP="007E6FD3">
      <w:pPr>
        <w:spacing w:after="0"/>
        <w:rPr>
          <w:rFonts w:ascii="Verdana" w:hAnsi="Verdana"/>
          <w:lang w:val="es-ES"/>
        </w:rPr>
      </w:pPr>
    </w:p>
    <w:p w14:paraId="172AFFEB" w14:textId="77777777" w:rsidR="00B801CF" w:rsidRDefault="00B801CF" w:rsidP="007E6FD3">
      <w:pPr>
        <w:spacing w:after="0"/>
        <w:rPr>
          <w:rFonts w:ascii="Verdana" w:hAnsi="Verdana"/>
          <w:lang w:val="es-ES"/>
        </w:rPr>
      </w:pPr>
    </w:p>
    <w:p w14:paraId="49FFFC5D" w14:textId="77777777" w:rsidR="00B801CF" w:rsidRDefault="00B801CF" w:rsidP="007E6FD3">
      <w:pPr>
        <w:spacing w:after="0"/>
        <w:rPr>
          <w:rFonts w:ascii="Verdana" w:hAnsi="Verdana"/>
          <w:lang w:val="es-ES"/>
        </w:rPr>
      </w:pPr>
    </w:p>
    <w:p w14:paraId="0A126B33" w14:textId="67A898EF" w:rsidR="007E6FD3" w:rsidRPr="00FC6F34" w:rsidRDefault="007E6FD3" w:rsidP="007E6FD3">
      <w:pPr>
        <w:spacing w:after="0"/>
        <w:rPr>
          <w:rFonts w:ascii="Verdana" w:hAnsi="Verdana"/>
          <w:lang w:val="es-ES"/>
        </w:rPr>
      </w:pPr>
      <w:r w:rsidRPr="00FC6F34">
        <w:rPr>
          <w:rFonts w:ascii="Verdana" w:hAnsi="Verdana"/>
          <w:lang w:val="es-ES"/>
        </w:rPr>
        <w:lastRenderedPageBreak/>
        <w:t xml:space="preserve">Bogotá D.C., </w:t>
      </w:r>
      <w:r w:rsidR="00752C5A">
        <w:rPr>
          <w:rFonts w:ascii="Verdana" w:hAnsi="Verdana"/>
          <w:lang w:val="es-ES"/>
        </w:rPr>
        <w:t xml:space="preserve">09 de </w:t>
      </w:r>
      <w:proofErr w:type="gramStart"/>
      <w:r w:rsidR="00752C5A">
        <w:rPr>
          <w:rFonts w:ascii="Verdana" w:hAnsi="Verdana"/>
          <w:lang w:val="es-ES"/>
        </w:rPr>
        <w:t>Febrero</w:t>
      </w:r>
      <w:proofErr w:type="gramEnd"/>
      <w:r w:rsidR="00752C5A">
        <w:rPr>
          <w:rFonts w:ascii="Verdana" w:hAnsi="Verdana"/>
          <w:lang w:val="es-ES"/>
        </w:rPr>
        <w:t xml:space="preserve"> de 2026</w:t>
      </w:r>
    </w:p>
    <w:p w14:paraId="44B4524C" w14:textId="77777777" w:rsidR="00AC506E" w:rsidRDefault="00AC506E" w:rsidP="007E6FD3">
      <w:pPr>
        <w:spacing w:after="0" w:line="240" w:lineRule="auto"/>
        <w:rPr>
          <w:rFonts w:ascii="Verdana" w:eastAsia="Calibri" w:hAnsi="Verdana" w:cs="Arial"/>
          <w:color w:val="000000" w:themeColor="text1"/>
          <w:lang w:val="es-ES" w:eastAsia="es-ES"/>
        </w:rPr>
      </w:pPr>
      <w:bookmarkStart w:id="0" w:name="_Hlk143780582"/>
    </w:p>
    <w:p w14:paraId="4D017284" w14:textId="0E008328" w:rsidR="007E6FD3" w:rsidRPr="00FC6F34" w:rsidRDefault="007E6FD3" w:rsidP="007E6FD3">
      <w:pPr>
        <w:spacing w:after="0" w:line="240" w:lineRule="auto"/>
        <w:rPr>
          <w:rFonts w:ascii="Verdana" w:hAnsi="Verdana"/>
          <w:lang w:val="es-ES"/>
        </w:rPr>
      </w:pPr>
      <w:r w:rsidRPr="00FC6F34">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w:t>
      </w:r>
    </w:p>
    <w:p w14:paraId="4B93215F" w14:textId="5529B8A5" w:rsidR="007E6FD3" w:rsidRDefault="00752C5A" w:rsidP="007E6FD3">
      <w:pPr>
        <w:spacing w:after="0"/>
        <w:rPr>
          <w:rFonts w:ascii="Verdana" w:eastAsia="Calibri" w:hAnsi="Verdana" w:cs="Arial"/>
          <w:b/>
          <w:bCs/>
          <w:color w:val="000000" w:themeColor="text1"/>
          <w:lang w:eastAsia="es-ES"/>
        </w:rPr>
      </w:pPr>
      <w:r>
        <w:rPr>
          <w:rFonts w:ascii="Verdana" w:eastAsia="Calibri" w:hAnsi="Verdana" w:cs="Arial"/>
          <w:b/>
          <w:noProof/>
          <w:color w:val="000000" w:themeColor="text1"/>
          <w:lang w:eastAsia="es-ES"/>
        </w:rPr>
        <w:drawing>
          <wp:anchor distT="0" distB="0" distL="114300" distR="114300" simplePos="0" relativeHeight="251658240" behindDoc="0" locked="0" layoutInCell="1" allowOverlap="1" wp14:anchorId="0537EEF7" wp14:editId="764C34A5">
            <wp:simplePos x="0" y="0"/>
            <wp:positionH relativeFrom="column">
              <wp:posOffset>3483610</wp:posOffset>
            </wp:positionH>
            <wp:positionV relativeFrom="paragraph">
              <wp:posOffset>11430</wp:posOffset>
            </wp:positionV>
            <wp:extent cx="2219960" cy="786130"/>
            <wp:effectExtent l="0" t="0" r="8890" b="0"/>
            <wp:wrapSquare wrapText="bothSides"/>
            <wp:docPr id="11286302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630266" name="Picture 112863026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19960" cy="786130"/>
                    </a:xfrm>
                    <a:prstGeom prst="rect">
                      <a:avLst/>
                    </a:prstGeom>
                  </pic:spPr>
                </pic:pic>
              </a:graphicData>
            </a:graphic>
            <wp14:sizeRelH relativeFrom="page">
              <wp14:pctWidth>0</wp14:pctWidth>
            </wp14:sizeRelH>
            <wp14:sizeRelV relativeFrom="page">
              <wp14:pctHeight>0</wp14:pctHeight>
            </wp14:sizeRelV>
          </wp:anchor>
        </w:drawing>
      </w:r>
      <w:r w:rsidR="007E6FD3" w:rsidRPr="00452479">
        <w:rPr>
          <w:rFonts w:ascii="Verdana" w:eastAsia="Calibri" w:hAnsi="Verdana" w:cs="Arial"/>
          <w:b/>
          <w:bCs/>
          <w:color w:val="000000" w:themeColor="text1"/>
          <w:lang w:eastAsia="es-ES"/>
        </w:rPr>
        <w:t xml:space="preserve">Yulieth Porras Osorio </w:t>
      </w:r>
    </w:p>
    <w:p w14:paraId="6674172C" w14:textId="2EB0FAB3" w:rsidR="007E6FD3" w:rsidRPr="006356EF" w:rsidRDefault="007E6FD3" w:rsidP="007E6FD3">
      <w:pPr>
        <w:spacing w:after="0"/>
        <w:rPr>
          <w:rFonts w:ascii="Verdana" w:eastAsia="Calibri" w:hAnsi="Verdana" w:cs="Arial"/>
          <w:b/>
          <w:color w:val="000000" w:themeColor="text1"/>
          <w:lang w:eastAsia="es-ES"/>
        </w:rPr>
      </w:pPr>
      <w:r w:rsidRPr="00452479">
        <w:rPr>
          <w:rFonts w:ascii="Verdana" w:eastAsia="Calibri" w:hAnsi="Verdana" w:cs="Arial"/>
          <w:bCs/>
          <w:color w:val="000000" w:themeColor="text1"/>
          <w:lang w:eastAsia="es-ES"/>
        </w:rPr>
        <w:t>Representante Legal</w:t>
      </w:r>
      <w:r w:rsidRPr="00452479">
        <w:rPr>
          <w:rFonts w:ascii="Verdana" w:eastAsia="Calibri" w:hAnsi="Verdana" w:cs="Arial"/>
          <w:bCs/>
          <w:color w:val="000000" w:themeColor="text1"/>
          <w:lang w:eastAsia="es-ES"/>
        </w:rPr>
        <w:br/>
      </w:r>
      <w:r w:rsidRPr="006356EF">
        <w:rPr>
          <w:rFonts w:ascii="Verdana" w:eastAsia="Calibri" w:hAnsi="Verdana" w:cs="Arial"/>
          <w:b/>
          <w:color w:val="000000" w:themeColor="text1"/>
          <w:lang w:eastAsia="es-ES"/>
        </w:rPr>
        <w:t xml:space="preserve">Empresa de Energía de Pereira S.A. E.S.P. </w:t>
      </w:r>
    </w:p>
    <w:p w14:paraId="0EA9CEC6" w14:textId="5508FEF4" w:rsidR="007E6FD3" w:rsidRPr="00452479" w:rsidRDefault="007E6FD3" w:rsidP="007E6FD3">
      <w:pPr>
        <w:spacing w:after="0"/>
        <w:rPr>
          <w:rFonts w:ascii="Verdana" w:eastAsia="Calibri" w:hAnsi="Verdana" w:cs="Arial"/>
          <w:bCs/>
          <w:color w:val="000000" w:themeColor="text1"/>
          <w:lang w:eastAsia="es-ES"/>
        </w:rPr>
      </w:pPr>
      <w:hyperlink r:id="rId11" w:history="1">
        <w:r w:rsidRPr="00452479">
          <w:rPr>
            <w:rStyle w:val="Hipervnculo"/>
            <w:rFonts w:ascii="Verdana" w:eastAsia="Calibri" w:hAnsi="Verdana" w:cs="Arial"/>
            <w:bCs/>
            <w:lang w:eastAsia="es-ES"/>
          </w:rPr>
          <w:t>notificacionesjudiciales@eep.com.co</w:t>
        </w:r>
      </w:hyperlink>
      <w:r>
        <w:rPr>
          <w:rFonts w:ascii="Verdana" w:eastAsia="Calibri" w:hAnsi="Verdana" w:cs="Arial"/>
          <w:bCs/>
          <w:color w:val="000000" w:themeColor="text1"/>
          <w:lang w:eastAsia="es-ES"/>
        </w:rPr>
        <w:t xml:space="preserve"> </w:t>
      </w:r>
      <w:r w:rsidRPr="00452479">
        <w:rPr>
          <w:rFonts w:ascii="Verdana" w:eastAsia="Calibri" w:hAnsi="Verdana" w:cs="Arial"/>
          <w:bCs/>
          <w:color w:val="000000" w:themeColor="text1"/>
          <w:lang w:eastAsia="es-ES"/>
        </w:rPr>
        <w:t xml:space="preserve"> </w:t>
      </w:r>
    </w:p>
    <w:p w14:paraId="236E48F7" w14:textId="77777777" w:rsidR="007E6FD3" w:rsidRPr="00452479" w:rsidRDefault="007E6FD3" w:rsidP="007E6FD3">
      <w:pPr>
        <w:spacing w:after="0"/>
        <w:rPr>
          <w:rFonts w:ascii="Verdana" w:eastAsia="Calibri" w:hAnsi="Verdana" w:cs="Arial"/>
          <w:bCs/>
          <w:color w:val="000000" w:themeColor="text1"/>
          <w:lang w:eastAsia="es-ES"/>
        </w:rPr>
      </w:pPr>
      <w:r w:rsidRPr="00452479">
        <w:rPr>
          <w:rFonts w:ascii="Verdana" w:eastAsia="Calibri" w:hAnsi="Verdana" w:cs="Arial"/>
          <w:bCs/>
          <w:color w:val="000000" w:themeColor="text1"/>
          <w:lang w:eastAsia="es-ES"/>
        </w:rPr>
        <w:t>Pereira</w:t>
      </w:r>
      <w:r>
        <w:rPr>
          <w:rFonts w:ascii="Verdana" w:eastAsia="Calibri" w:hAnsi="Verdana" w:cs="Arial"/>
          <w:bCs/>
          <w:color w:val="000000" w:themeColor="text1"/>
          <w:lang w:eastAsia="es-ES"/>
        </w:rPr>
        <w:t>, Risaralda</w:t>
      </w:r>
    </w:p>
    <w:p w14:paraId="58F1E6B3" w14:textId="77777777" w:rsidR="007E6FD3" w:rsidRPr="00FC6F34" w:rsidRDefault="007E6FD3" w:rsidP="007E6FD3">
      <w:pPr>
        <w:spacing w:after="0" w:line="240" w:lineRule="auto"/>
        <w:rPr>
          <w:rFonts w:ascii="Verdana" w:eastAsia="Calibri" w:hAnsi="Verdana" w:cs="Arial"/>
          <w:b/>
          <w:bCs/>
          <w:color w:val="000000" w:themeColor="tex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7E6FD3" w:rsidRPr="00FC6F34" w14:paraId="482AA7B7" w14:textId="77777777" w:rsidTr="00A95CE9">
        <w:trPr>
          <w:trHeight w:val="300"/>
        </w:trPr>
        <w:tc>
          <w:tcPr>
            <w:tcW w:w="2410" w:type="dxa"/>
          </w:tcPr>
          <w:p w14:paraId="532C38FE" w14:textId="77777777" w:rsidR="007E6FD3" w:rsidRPr="00FC6F34" w:rsidRDefault="007E6FD3" w:rsidP="00A95CE9">
            <w:pPr>
              <w:ind w:left="-142"/>
              <w:jc w:val="both"/>
              <w:rPr>
                <w:rFonts w:ascii="Verdana" w:eastAsia="Calibri" w:hAnsi="Verdana" w:cs="Arial"/>
                <w:b/>
                <w:bCs/>
                <w:color w:val="000000" w:themeColor="text1"/>
                <w:lang w:val="es-ES" w:eastAsia="es-ES_tradnl"/>
              </w:rPr>
            </w:pPr>
          </w:p>
        </w:tc>
        <w:tc>
          <w:tcPr>
            <w:tcW w:w="6100" w:type="dxa"/>
          </w:tcPr>
          <w:p w14:paraId="62934B8D" w14:textId="77777777" w:rsidR="007E6FD3" w:rsidRDefault="007E6FD3" w:rsidP="00A95CE9">
            <w:pPr>
              <w:ind w:left="3"/>
              <w:jc w:val="both"/>
              <w:rPr>
                <w:rFonts w:ascii="Verdana" w:eastAsia="Calibri" w:hAnsi="Verdana" w:cs="Arial"/>
                <w:b/>
                <w:bCs/>
                <w:color w:val="000000" w:themeColor="text1"/>
                <w:lang w:val="es-ES" w:eastAsia="es-ES"/>
              </w:rPr>
            </w:pPr>
          </w:p>
          <w:p w14:paraId="47C653E9" w14:textId="77777777" w:rsidR="007E6FD3" w:rsidRPr="00FC6F34" w:rsidRDefault="007E6FD3" w:rsidP="00A95CE9">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110</w:t>
            </w:r>
            <w:r w:rsidRPr="00FC6F34">
              <w:rPr>
                <w:rFonts w:ascii="Verdana" w:eastAsia="Calibri" w:hAnsi="Verdana" w:cs="Arial"/>
                <w:b/>
                <w:bCs/>
                <w:color w:val="000000" w:themeColor="text1"/>
                <w:lang w:val="es-ES" w:eastAsia="es-ES"/>
              </w:rPr>
              <w:t xml:space="preserve"> de 202</w:t>
            </w:r>
            <w:r>
              <w:rPr>
                <w:rFonts w:ascii="Verdana" w:eastAsia="Calibri" w:hAnsi="Verdana" w:cs="Arial"/>
                <w:b/>
                <w:bCs/>
                <w:color w:val="000000" w:themeColor="text1"/>
                <w:lang w:val="es-ES" w:eastAsia="es-ES"/>
              </w:rPr>
              <w:t>6</w:t>
            </w:r>
          </w:p>
          <w:p w14:paraId="1E8DFCDF" w14:textId="77777777" w:rsidR="007E6FD3" w:rsidRPr="00FC6F34" w:rsidRDefault="007E6FD3" w:rsidP="00A95CE9">
            <w:pPr>
              <w:ind w:left="3"/>
              <w:jc w:val="both"/>
              <w:rPr>
                <w:rFonts w:ascii="Verdana" w:eastAsia="Calibri" w:hAnsi="Verdana" w:cs="Arial"/>
                <w:b/>
                <w:bCs/>
                <w:color w:val="000000" w:themeColor="text1"/>
                <w:lang w:val="es-ES" w:eastAsia="es-ES"/>
              </w:rPr>
            </w:pPr>
          </w:p>
        </w:tc>
      </w:tr>
      <w:tr w:rsidR="007E6FD3" w:rsidRPr="00FC6F34" w14:paraId="06A2A919" w14:textId="77777777" w:rsidTr="00A95CE9">
        <w:trPr>
          <w:trHeight w:val="300"/>
        </w:trPr>
        <w:tc>
          <w:tcPr>
            <w:tcW w:w="2410" w:type="dxa"/>
          </w:tcPr>
          <w:p w14:paraId="2770F3DE" w14:textId="77777777" w:rsidR="007E6FD3" w:rsidRPr="00FC6F34" w:rsidRDefault="007E6FD3" w:rsidP="00A95CE9">
            <w:pPr>
              <w:ind w:left="424" w:firstLine="14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100" w:type="dxa"/>
          </w:tcPr>
          <w:p w14:paraId="33486411" w14:textId="5AF18688" w:rsidR="007E6FD3" w:rsidRDefault="007E6FD3" w:rsidP="00A95CE9">
            <w:pPr>
              <w:spacing w:line="276" w:lineRule="auto"/>
              <w:jc w:val="both"/>
              <w:rPr>
                <w:rFonts w:ascii="Verdana" w:eastAsia="Arial" w:hAnsi="Verdana" w:cs="Arial"/>
                <w:bCs/>
                <w:color w:val="000000" w:themeColor="text1"/>
              </w:rPr>
            </w:pPr>
            <w:r w:rsidRPr="00FC6F34">
              <w:rPr>
                <w:rFonts w:ascii="Verdana" w:eastAsia="Calibri" w:hAnsi="Verdana" w:cs="Arial"/>
                <w:lang w:val="es-ES" w:eastAsia="es-ES"/>
              </w:rPr>
              <w:t>LEY DE GARANTÍAS ELECTORALES – Finalidad / LEY DE GARANTÍAS ELECTORALES ‒ Restricciones ‒ Contratación ‒ Tipos de elección</w:t>
            </w:r>
            <w:r w:rsidR="0084633F">
              <w:rPr>
                <w:rFonts w:ascii="Verdana" w:eastAsia="Calibri" w:hAnsi="Verdana" w:cs="Arial"/>
                <w:lang w:val="es-ES" w:eastAsia="es-ES"/>
              </w:rPr>
              <w:t xml:space="preserve"> </w:t>
            </w:r>
            <w:r w:rsidR="0084633F" w:rsidRPr="00FC6F34">
              <w:rPr>
                <w:rFonts w:ascii="Verdana" w:eastAsia="Calibri" w:hAnsi="Verdana" w:cs="Arial"/>
                <w:lang w:val="es-ES" w:eastAsia="es-ES"/>
              </w:rPr>
              <w:t>/ LEY DE GARANTÍAS ELECTORALES ‒ Artículo 33 ‒</w:t>
            </w:r>
            <w:r w:rsidR="0084633F">
              <w:rPr>
                <w:rFonts w:ascii="Verdana" w:eastAsia="Calibri" w:hAnsi="Verdana" w:cs="Arial"/>
                <w:lang w:val="es-ES" w:eastAsia="es-ES"/>
              </w:rPr>
              <w:t xml:space="preserve"> Contratación directa</w:t>
            </w:r>
            <w:r w:rsidRPr="00FC6F34">
              <w:rPr>
                <w:rFonts w:ascii="Verdana" w:eastAsia="Calibri" w:hAnsi="Verdana" w:cs="Arial"/>
                <w:lang w:val="es-ES" w:eastAsia="es-ES"/>
              </w:rPr>
              <w:t xml:space="preserve"> / LEY DE GARANTÍAS ELECTORALES ‒ Artículo 33 ‒ Ámbito </w:t>
            </w:r>
            <w:r>
              <w:rPr>
                <w:rFonts w:ascii="Verdana" w:eastAsia="Calibri" w:hAnsi="Verdana" w:cs="Arial"/>
                <w:lang w:val="es-ES" w:eastAsia="es-ES"/>
              </w:rPr>
              <w:t xml:space="preserve">subjetivo / </w:t>
            </w:r>
            <w:r w:rsidRPr="00FC6F34">
              <w:rPr>
                <w:rFonts w:ascii="Verdana" w:eastAsia="Calibri" w:hAnsi="Verdana" w:cs="Arial"/>
                <w:lang w:val="es-ES" w:eastAsia="es-ES"/>
              </w:rPr>
              <w:t xml:space="preserve">LEY DE GARANTÍAS ELECTORALES ‒ </w:t>
            </w:r>
            <w:r w:rsidR="0084633F">
              <w:rPr>
                <w:rFonts w:ascii="Verdana" w:eastAsia="Calibri" w:hAnsi="Verdana" w:cs="Arial"/>
                <w:lang w:val="es-ES" w:eastAsia="es-ES"/>
              </w:rPr>
              <w:t>Artículo 38 – Parágrafo – Ámbito de a</w:t>
            </w:r>
            <w:r>
              <w:rPr>
                <w:rFonts w:ascii="Verdana" w:eastAsia="Calibri" w:hAnsi="Verdana" w:cs="Arial"/>
                <w:lang w:val="es-ES" w:eastAsia="es-ES"/>
              </w:rPr>
              <w:t xml:space="preserve">plicación </w:t>
            </w:r>
          </w:p>
          <w:p w14:paraId="7B33A089" w14:textId="77777777" w:rsidR="007E6FD3" w:rsidRPr="00FC6F34" w:rsidRDefault="007E6FD3" w:rsidP="00A95CE9">
            <w:pPr>
              <w:spacing w:line="276" w:lineRule="auto"/>
              <w:jc w:val="both"/>
              <w:rPr>
                <w:rFonts w:ascii="Verdana" w:eastAsia="Calibri" w:hAnsi="Verdana" w:cs="Arial"/>
                <w:color w:val="000000" w:themeColor="text1"/>
                <w:lang w:val="es-ES" w:eastAsia="es-ES"/>
              </w:rPr>
            </w:pPr>
          </w:p>
        </w:tc>
      </w:tr>
      <w:tr w:rsidR="007E6FD3" w:rsidRPr="00FC6F34" w14:paraId="36D5924A" w14:textId="77777777" w:rsidTr="00A95CE9">
        <w:tc>
          <w:tcPr>
            <w:tcW w:w="2410" w:type="dxa"/>
          </w:tcPr>
          <w:p w14:paraId="293DEB57" w14:textId="77777777" w:rsidR="007E6FD3" w:rsidRPr="00FC6F34" w:rsidRDefault="007E6FD3" w:rsidP="00A95CE9">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100" w:type="dxa"/>
          </w:tcPr>
          <w:p w14:paraId="477A387B" w14:textId="77777777" w:rsidR="007E6FD3" w:rsidRPr="00FC6F34" w:rsidRDefault="007E6FD3" w:rsidP="00A95CE9">
            <w:pPr>
              <w:ind w:left="3"/>
              <w:jc w:val="both"/>
              <w:rPr>
                <w:rFonts w:ascii="Verdana" w:hAnsi="Verdana"/>
                <w:color w:val="000000"/>
                <w:lang w:val="es-ES"/>
              </w:rPr>
            </w:pPr>
            <w:r w:rsidRPr="00FC6F34">
              <w:rPr>
                <w:rFonts w:ascii="Verdana" w:eastAsia="Calibri" w:hAnsi="Verdana" w:cs="Arial"/>
                <w:color w:val="000000" w:themeColor="text1"/>
                <w:lang w:val="es-ES" w:eastAsia="es-ES"/>
              </w:rPr>
              <w:t xml:space="preserve">Respuesta a consulta con radicado </w:t>
            </w:r>
            <w:proofErr w:type="gramStart"/>
            <w:r w:rsidRPr="00FC6F34">
              <w:rPr>
                <w:rFonts w:ascii="Verdana" w:eastAsia="Calibri" w:hAnsi="Verdana" w:cs="Arial"/>
                <w:color w:val="000000" w:themeColor="text1"/>
                <w:lang w:val="es-ES" w:eastAsia="es-ES"/>
              </w:rPr>
              <w:t>No.</w:t>
            </w:r>
            <w:r w:rsidRPr="00D53094">
              <w:rPr>
                <w:rFonts w:ascii="Segoe UI" w:hAnsi="Segoe UI" w:cs="Segoe UI"/>
                <w:b/>
                <w:bCs/>
                <w:color w:val="242424"/>
                <w:sz w:val="21"/>
                <w:szCs w:val="21"/>
                <w:shd w:val="clear" w:color="auto" w:fill="FFFFFF"/>
              </w:rPr>
              <w:t xml:space="preserve"> </w:t>
            </w:r>
            <w:r w:rsidRPr="00FC6F34">
              <w:rPr>
                <w:rFonts w:ascii="Verdana" w:eastAsia="Calibri" w:hAnsi="Verdana" w:cs="Arial"/>
                <w:color w:val="000000" w:themeColor="text1"/>
                <w:lang w:val="es-ES" w:eastAsia="es-ES"/>
              </w:rPr>
              <w:t xml:space="preserve"> </w:t>
            </w:r>
            <w:r w:rsidRPr="00452479">
              <w:rPr>
                <w:rFonts w:ascii="Verdana" w:eastAsia="Calibri" w:hAnsi="Verdana" w:cs="Arial"/>
                <w:color w:val="000000" w:themeColor="text1"/>
                <w:lang w:val="es-ES" w:eastAsia="es-ES"/>
              </w:rPr>
              <w:t>1</w:t>
            </w:r>
            <w:proofErr w:type="gramEnd"/>
            <w:r w:rsidRPr="00452479">
              <w:rPr>
                <w:rFonts w:ascii="Verdana" w:eastAsia="Calibri" w:hAnsi="Verdana" w:cs="Arial"/>
                <w:color w:val="000000" w:themeColor="text1"/>
                <w:lang w:val="es-ES" w:eastAsia="es-ES"/>
              </w:rPr>
              <w:t>_2026_01_28_000936</w:t>
            </w:r>
          </w:p>
        </w:tc>
      </w:tr>
    </w:tbl>
    <w:p w14:paraId="3A59DEED" w14:textId="06CEC849" w:rsidR="007E6FD3" w:rsidRPr="00B032D3" w:rsidRDefault="007E6FD3" w:rsidP="00B032D3">
      <w:pPr>
        <w:spacing w:after="0" w:line="276" w:lineRule="auto"/>
        <w:jc w:val="both"/>
        <w:rPr>
          <w:rFonts w:ascii="Verdana" w:eastAsia="Calibri" w:hAnsi="Verdana" w:cs="Arial"/>
          <w:color w:val="000000" w:themeColor="text1"/>
          <w:lang w:val="es-ES" w:eastAsia="es-ES"/>
        </w:rPr>
      </w:pPr>
    </w:p>
    <w:p w14:paraId="45E655D0" w14:textId="77777777" w:rsidR="00B032D3" w:rsidRPr="00B032D3" w:rsidRDefault="00B032D3" w:rsidP="00B032D3">
      <w:pPr>
        <w:spacing w:after="0" w:line="276" w:lineRule="auto"/>
        <w:jc w:val="both"/>
        <w:rPr>
          <w:rFonts w:ascii="Verdana" w:eastAsia="Calibri" w:hAnsi="Verdana" w:cs="Arial"/>
          <w:color w:val="000000" w:themeColor="text1"/>
          <w:lang w:val="es-ES" w:eastAsia="es-ES"/>
        </w:rPr>
      </w:pPr>
    </w:p>
    <w:p w14:paraId="24C9ECDC" w14:textId="77777777" w:rsidR="007E6FD3" w:rsidRPr="00B032D3" w:rsidRDefault="007E6FD3" w:rsidP="007D1880">
      <w:pPr>
        <w:spacing w:after="0" w:line="276" w:lineRule="auto"/>
        <w:jc w:val="both"/>
        <w:rPr>
          <w:rFonts w:ascii="Verdana" w:eastAsia="Calibri" w:hAnsi="Verdana" w:cs="Arial"/>
          <w:color w:val="000000" w:themeColor="text1"/>
          <w:lang w:val="es-ES" w:eastAsia="es-ES"/>
        </w:rPr>
      </w:pPr>
      <w:r w:rsidRPr="007D1880">
        <w:rPr>
          <w:rFonts w:ascii="Verdana" w:eastAsia="Calibri" w:hAnsi="Verdana" w:cs="Arial"/>
          <w:color w:val="000000" w:themeColor="text1"/>
          <w:lang w:val="es-ES" w:eastAsia="es-ES"/>
        </w:rPr>
        <w:t>Estimada señor</w:t>
      </w:r>
      <w:r w:rsidRPr="00E66E12">
        <w:rPr>
          <w:rFonts w:ascii="Verdana" w:eastAsia="Calibri" w:hAnsi="Verdana" w:cs="Arial"/>
          <w:color w:val="000000" w:themeColor="text1"/>
          <w:lang w:val="es-ES" w:eastAsia="es-ES"/>
        </w:rPr>
        <w:t>a</w:t>
      </w:r>
      <w:r w:rsidRPr="0084633F">
        <w:rPr>
          <w:rFonts w:ascii="Verdana" w:eastAsia="Calibri" w:hAnsi="Verdana" w:cs="Arial"/>
          <w:color w:val="000000" w:themeColor="text1"/>
          <w:lang w:val="es-ES" w:eastAsia="es-ES"/>
        </w:rPr>
        <w:t xml:space="preserve"> Porras: </w:t>
      </w:r>
    </w:p>
    <w:p w14:paraId="719087B0" w14:textId="77777777" w:rsidR="007E6FD3" w:rsidRPr="00B032D3" w:rsidRDefault="007E6FD3" w:rsidP="0084633F">
      <w:pPr>
        <w:tabs>
          <w:tab w:val="left" w:pos="3768"/>
        </w:tabs>
        <w:spacing w:after="0" w:line="276" w:lineRule="auto"/>
        <w:jc w:val="both"/>
        <w:rPr>
          <w:rFonts w:ascii="Verdana" w:eastAsia="Calibri" w:hAnsi="Verdana" w:cs="Arial"/>
          <w:color w:val="000000" w:themeColor="text1"/>
          <w:lang w:val="es-ES" w:eastAsia="es-ES"/>
        </w:rPr>
      </w:pPr>
      <w:r w:rsidRPr="00B032D3">
        <w:rPr>
          <w:rFonts w:ascii="Verdana" w:eastAsia="Calibri" w:hAnsi="Verdana" w:cs="Arial"/>
          <w:color w:val="000000" w:themeColor="text1"/>
          <w:lang w:val="es-ES" w:eastAsia="es-ES"/>
        </w:rPr>
        <w:tab/>
      </w:r>
    </w:p>
    <w:p w14:paraId="50B26DFD" w14:textId="77777777" w:rsidR="007E6FD3" w:rsidRPr="00B032D3" w:rsidRDefault="007E6FD3">
      <w:pPr>
        <w:spacing w:after="0" w:line="276" w:lineRule="auto"/>
        <w:jc w:val="both"/>
        <w:rPr>
          <w:rFonts w:ascii="Verdana" w:eastAsia="Calibri" w:hAnsi="Verdana" w:cs="Arial"/>
          <w:color w:val="000000" w:themeColor="text1"/>
          <w:lang w:val="es-ES" w:eastAsia="es-ES"/>
        </w:rPr>
      </w:pPr>
      <w:r w:rsidRPr="00B032D3">
        <w:rPr>
          <w:rFonts w:ascii="Verdana" w:eastAsia="Calibri" w:hAnsi="Verdana" w:cs="Arial"/>
          <w:color w:val="000000" w:themeColor="text1"/>
          <w:lang w:val="es-ES" w:eastAsia="es-ES"/>
        </w:rPr>
        <w:t>En ejercicio de la competencia otorgada por los artículos 3, numeral 5º, y 11, numeral 8º, del Decreto Ley 4170 de 2011,</w:t>
      </w:r>
      <w:r w:rsidRPr="00B032D3">
        <w:rPr>
          <w:rFonts w:ascii="Verdana" w:eastAsia="Arial MT" w:hAnsi="Verdana" w:cs="Arial MT"/>
          <w:color w:val="000000" w:themeColor="text1"/>
          <w:lang w:val="es-ES" w:eastAsia="es-ES"/>
        </w:rPr>
        <w:t xml:space="preserve"> </w:t>
      </w:r>
      <w:r w:rsidRPr="00B032D3">
        <w:rPr>
          <w:rFonts w:ascii="Verdana" w:hAnsi="Verdana" w:cs="Arial"/>
          <w:color w:val="000000" w:themeColor="text1"/>
          <w:lang w:val="es-ES"/>
        </w:rPr>
        <w:t xml:space="preserve">así como lo establecido en el artículo 4 de la Resolución 1707 de 2018 expedida por esta Entidad, </w:t>
      </w:r>
      <w:r w:rsidRPr="00B032D3">
        <w:rPr>
          <w:rFonts w:ascii="Verdana" w:eastAsia="Calibri" w:hAnsi="Verdana" w:cs="Arial"/>
          <w:color w:val="000000" w:themeColor="text1"/>
          <w:lang w:val="es-ES" w:eastAsia="es-ES"/>
        </w:rPr>
        <w:t xml:space="preserve">la Agencia Nacional de Contratación Pública – Colombia Compra Eficiente– responde su solicitud de consulta de fecha 28 de enero de 2026, en la cual manifiesta lo siguiente: </w:t>
      </w:r>
    </w:p>
    <w:p w14:paraId="683250E9" w14:textId="77777777" w:rsidR="007E6FD3" w:rsidRPr="006356EF" w:rsidRDefault="007E6FD3" w:rsidP="006356EF">
      <w:pPr>
        <w:tabs>
          <w:tab w:val="left" w:pos="142"/>
          <w:tab w:val="left" w:pos="284"/>
        </w:tabs>
        <w:spacing w:after="0" w:line="276" w:lineRule="auto"/>
        <w:jc w:val="both"/>
        <w:rPr>
          <w:rFonts w:ascii="Verdana" w:eastAsia="Century Gothic" w:hAnsi="Verdana" w:cs="Century Gothic"/>
          <w:b/>
          <w:color w:val="000000" w:themeColor="text1"/>
          <w:lang w:val="es-ES"/>
        </w:rPr>
      </w:pPr>
    </w:p>
    <w:p w14:paraId="259A2839" w14:textId="77777777" w:rsidR="00B032D3" w:rsidRDefault="007E6FD3" w:rsidP="006356EF">
      <w:pPr>
        <w:spacing w:after="0"/>
        <w:ind w:left="709" w:right="709"/>
        <w:jc w:val="both"/>
        <w:rPr>
          <w:rFonts w:ascii="Verdana" w:eastAsia="Century Gothic" w:hAnsi="Verdana" w:cs="Century Gothic"/>
          <w:i/>
          <w:color w:val="000000" w:themeColor="text1"/>
          <w:sz w:val="20"/>
          <w:szCs w:val="20"/>
          <w:lang w:val="es-ES"/>
        </w:rPr>
      </w:pPr>
      <w:r w:rsidRPr="00BF306B">
        <w:rPr>
          <w:rFonts w:ascii="Verdana" w:eastAsia="Century Gothic" w:hAnsi="Verdana" w:cs="Century Gothic"/>
          <w:i/>
          <w:color w:val="000000" w:themeColor="text1"/>
          <w:sz w:val="20"/>
          <w:szCs w:val="20"/>
          <w:lang w:val="es-ES"/>
        </w:rPr>
        <w:t>“</w:t>
      </w:r>
      <w:r>
        <w:rPr>
          <w:rFonts w:ascii="Verdana" w:eastAsia="Century Gothic" w:hAnsi="Verdana" w:cs="Century Gothic"/>
          <w:i/>
          <w:color w:val="000000" w:themeColor="text1"/>
          <w:sz w:val="20"/>
          <w:szCs w:val="20"/>
          <w:lang w:val="es-ES"/>
        </w:rPr>
        <w:t xml:space="preserve">[…] </w:t>
      </w:r>
    </w:p>
    <w:p w14:paraId="6D56D7DA" w14:textId="6645FA24" w:rsidR="007E6FD3" w:rsidRPr="00452479" w:rsidRDefault="007E6FD3" w:rsidP="006356EF">
      <w:pPr>
        <w:spacing w:after="0"/>
        <w:ind w:left="709" w:right="709"/>
        <w:jc w:val="both"/>
        <w:rPr>
          <w:rFonts w:ascii="Verdana" w:eastAsia="Century Gothic" w:hAnsi="Verdana" w:cs="Century Gothic"/>
          <w:i/>
          <w:color w:val="000000" w:themeColor="text1"/>
          <w:sz w:val="20"/>
          <w:szCs w:val="20"/>
        </w:rPr>
      </w:pPr>
      <w:r w:rsidRPr="00452479">
        <w:rPr>
          <w:rFonts w:ascii="Verdana" w:eastAsia="Century Gothic" w:hAnsi="Verdana" w:cs="Century Gothic"/>
          <w:b/>
          <w:bCs/>
          <w:i/>
          <w:color w:val="000000" w:themeColor="text1"/>
          <w:sz w:val="20"/>
          <w:szCs w:val="20"/>
        </w:rPr>
        <w:t>2.1.  </w:t>
      </w:r>
      <w:r w:rsidRPr="00452479">
        <w:rPr>
          <w:rFonts w:ascii="Verdana" w:eastAsia="Century Gothic" w:hAnsi="Verdana" w:cs="Century Gothic"/>
          <w:i/>
          <w:color w:val="000000" w:themeColor="text1"/>
          <w:sz w:val="20"/>
          <w:szCs w:val="20"/>
        </w:rPr>
        <w:t xml:space="preserve">¿Es aplicable la Ley de garantías electorales – Ley 996 de 2005 a las empresas de servicios públicos domiciliarios mixtas, como es el caso de Empresa de Energía de Pereira S.A. E.S.P.? </w:t>
      </w:r>
    </w:p>
    <w:p w14:paraId="37A3C4E6" w14:textId="77777777" w:rsidR="007E6FD3" w:rsidRPr="00452479" w:rsidRDefault="007E6FD3" w:rsidP="006356EF">
      <w:pPr>
        <w:spacing w:after="0"/>
        <w:ind w:left="709" w:right="709"/>
        <w:jc w:val="both"/>
        <w:rPr>
          <w:rFonts w:ascii="Verdana" w:eastAsia="Century Gothic" w:hAnsi="Verdana" w:cs="Century Gothic"/>
          <w:i/>
          <w:color w:val="000000" w:themeColor="text1"/>
          <w:sz w:val="20"/>
          <w:szCs w:val="20"/>
        </w:rPr>
      </w:pPr>
      <w:r w:rsidRPr="00452479">
        <w:rPr>
          <w:rFonts w:ascii="Verdana" w:eastAsia="Century Gothic" w:hAnsi="Verdana" w:cs="Century Gothic"/>
          <w:b/>
          <w:bCs/>
          <w:i/>
          <w:color w:val="000000" w:themeColor="text1"/>
          <w:sz w:val="20"/>
          <w:szCs w:val="20"/>
        </w:rPr>
        <w:t>2.2.  </w:t>
      </w:r>
      <w:r w:rsidRPr="00452479">
        <w:rPr>
          <w:rFonts w:ascii="Verdana" w:eastAsia="Century Gothic" w:hAnsi="Verdana" w:cs="Century Gothic"/>
          <w:i/>
          <w:color w:val="000000" w:themeColor="text1"/>
          <w:sz w:val="20"/>
          <w:szCs w:val="20"/>
        </w:rPr>
        <w:t xml:space="preserve">¿Es aplicable el artículo 32 de la Ley 996 de 2005 a la nómina de Empresa de Energía de Pereira S.A. E.S.P., que conforme al artículo 41 de </w:t>
      </w:r>
      <w:r w:rsidRPr="00452479">
        <w:rPr>
          <w:rFonts w:ascii="Verdana" w:eastAsia="Century Gothic" w:hAnsi="Verdana" w:cs="Century Gothic"/>
          <w:i/>
          <w:color w:val="000000" w:themeColor="text1"/>
          <w:sz w:val="20"/>
          <w:szCs w:val="20"/>
        </w:rPr>
        <w:lastRenderedPageBreak/>
        <w:t xml:space="preserve">la Ley 142 de 1994 se establece que su régimen laboral es el de derecho privado – código Sustantivo del trabajo? </w:t>
      </w:r>
    </w:p>
    <w:p w14:paraId="20C58B64" w14:textId="77777777" w:rsidR="007E6FD3" w:rsidRPr="00851E42" w:rsidRDefault="007E6FD3" w:rsidP="006356EF">
      <w:pPr>
        <w:spacing w:after="0"/>
        <w:ind w:left="709" w:right="709"/>
        <w:jc w:val="both"/>
        <w:rPr>
          <w:rFonts w:ascii="Verdana" w:eastAsia="Century Gothic" w:hAnsi="Verdana" w:cs="Century Gothic"/>
          <w:i/>
          <w:color w:val="000000" w:themeColor="text1"/>
          <w:sz w:val="20"/>
          <w:szCs w:val="20"/>
        </w:rPr>
      </w:pPr>
      <w:r w:rsidRPr="00452479">
        <w:rPr>
          <w:rFonts w:ascii="Verdana" w:eastAsia="Century Gothic" w:hAnsi="Verdana" w:cs="Century Gothic"/>
          <w:b/>
          <w:bCs/>
          <w:i/>
          <w:color w:val="000000" w:themeColor="text1"/>
          <w:sz w:val="20"/>
          <w:szCs w:val="20"/>
        </w:rPr>
        <w:t>2.3.  </w:t>
      </w:r>
      <w:r w:rsidRPr="00452479">
        <w:rPr>
          <w:rFonts w:ascii="Verdana" w:eastAsia="Century Gothic" w:hAnsi="Verdana" w:cs="Century Gothic"/>
          <w:i/>
          <w:color w:val="000000" w:themeColor="text1"/>
          <w:sz w:val="20"/>
          <w:szCs w:val="20"/>
        </w:rPr>
        <w:t>¿Puede la empresa de servicios públicos domiciliarios mixta afectar su nómina durante la vigencia de la Ley de garantías electorales?</w:t>
      </w:r>
      <w:r w:rsidRPr="00BF306B">
        <w:rPr>
          <w:rFonts w:ascii="Verdana" w:hAnsi="Verdana"/>
          <w:sz w:val="20"/>
          <w:szCs w:val="20"/>
        </w:rPr>
        <w:t>”</w:t>
      </w:r>
    </w:p>
    <w:p w14:paraId="55813B04" w14:textId="77777777" w:rsidR="007E6FD3" w:rsidRPr="00FC6F34" w:rsidRDefault="007E6FD3" w:rsidP="00B032D3">
      <w:pPr>
        <w:spacing w:after="0" w:line="276" w:lineRule="auto"/>
        <w:ind w:right="709"/>
        <w:jc w:val="both"/>
        <w:rPr>
          <w:rFonts w:ascii="Verdana" w:eastAsia="Calibri" w:hAnsi="Verdana" w:cs="Arial"/>
          <w:lang w:val="es-ES"/>
        </w:rPr>
      </w:pPr>
    </w:p>
    <w:p w14:paraId="59C1F16D" w14:textId="7EC2E8DF" w:rsidR="007E6FD3" w:rsidRPr="00FC6F34" w:rsidRDefault="007E6FD3" w:rsidP="006356EF">
      <w:pPr>
        <w:spacing w:after="120" w:line="276" w:lineRule="auto"/>
        <w:ind w:firstLine="709"/>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w:t>
      </w:r>
      <w:r w:rsidR="009B1069">
        <w:rPr>
          <w:rFonts w:ascii="Verdana" w:eastAsia="Calibri" w:hAnsi="Verdana" w:cs="Arial"/>
          <w:color w:val="000000" w:themeColor="text1"/>
          <w:lang w:val="es-ES" w:eastAsia="es-ES"/>
        </w:rPr>
        <w:t>, así como la interpretación</w:t>
      </w:r>
      <w:r w:rsidR="00573FA5">
        <w:rPr>
          <w:rFonts w:ascii="Verdana" w:eastAsia="Calibri" w:hAnsi="Verdana" w:cs="Arial"/>
          <w:color w:val="000000" w:themeColor="text1"/>
          <w:lang w:val="es-ES" w:eastAsia="es-ES"/>
        </w:rPr>
        <w:t xml:space="preserve"> </w:t>
      </w:r>
      <w:r w:rsidR="009B1069">
        <w:rPr>
          <w:rFonts w:ascii="Verdana" w:eastAsia="Calibri" w:hAnsi="Verdana" w:cs="Arial"/>
          <w:color w:val="000000" w:themeColor="text1"/>
          <w:lang w:val="es-ES" w:eastAsia="es-ES"/>
        </w:rPr>
        <w:t>d</w:t>
      </w:r>
      <w:r w:rsidR="00573FA5">
        <w:rPr>
          <w:rFonts w:ascii="Verdana" w:eastAsia="Calibri" w:hAnsi="Verdana" w:cs="Arial"/>
          <w:color w:val="000000" w:themeColor="text1"/>
          <w:lang w:val="es-ES" w:eastAsia="es-ES"/>
        </w:rPr>
        <w:t>e normas ajenas al sistema de compras y contratación pública</w:t>
      </w:r>
      <w:r w:rsidR="009B1069">
        <w:rPr>
          <w:rFonts w:ascii="Verdana" w:eastAsia="Calibri" w:hAnsi="Verdana" w:cs="Arial"/>
          <w:color w:val="000000" w:themeColor="text1"/>
          <w:lang w:val="es-ES" w:eastAsia="es-ES"/>
        </w:rPr>
        <w:t>,</w:t>
      </w:r>
      <w:r w:rsidRPr="00FC6F34">
        <w:rPr>
          <w:rFonts w:ascii="Verdana" w:eastAsia="Calibri" w:hAnsi="Verdana" w:cs="Arial"/>
          <w:color w:val="000000" w:themeColor="text1"/>
          <w:lang w:val="es-ES" w:eastAsia="es-ES"/>
        </w:rPr>
        <w:t xml:space="preserve"> desborda las atribuciones asignadas por el legislador extraordinario, que no concibió a </w:t>
      </w:r>
      <w:r w:rsidR="00573FA5">
        <w:rPr>
          <w:rFonts w:ascii="Verdana" w:eastAsia="Calibri" w:hAnsi="Verdana" w:cs="Arial"/>
          <w:color w:val="000000" w:themeColor="text1"/>
          <w:lang w:val="es-ES" w:eastAsia="es-ES"/>
        </w:rPr>
        <w:t xml:space="preserve">la Agencia Nacional de Contratación Pública – </w:t>
      </w:r>
      <w:r w:rsidRPr="00FC6F34">
        <w:rPr>
          <w:rFonts w:ascii="Verdana" w:eastAsia="Calibri" w:hAnsi="Verdana" w:cs="Arial"/>
          <w:color w:val="000000" w:themeColor="text1"/>
          <w:lang w:val="es-ES" w:eastAsia="es-ES"/>
        </w:rPr>
        <w:t>Colombia Compra Eficiente como una autoridad para solucionar problemas jurídicos particulares de todos los partícipes del sistema.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r w:rsidR="0059092B">
        <w:rPr>
          <w:rFonts w:ascii="Verdana" w:eastAsia="Calibri" w:hAnsi="Verdana" w:cs="Arial"/>
          <w:color w:val="000000" w:themeColor="text1"/>
          <w:lang w:val="es-ES" w:eastAsia="es-ES"/>
        </w:rPr>
        <w:t>, así como tampoco se extiende a la interpretación de normas diferentes al</w:t>
      </w:r>
      <w:r w:rsidR="009B1069">
        <w:rPr>
          <w:rFonts w:ascii="Verdana" w:eastAsia="Calibri" w:hAnsi="Verdana" w:cs="Arial"/>
          <w:color w:val="000000" w:themeColor="text1"/>
          <w:lang w:val="es-ES" w:eastAsia="es-ES"/>
        </w:rPr>
        <w:t xml:space="preserve"> régimen de</w:t>
      </w:r>
      <w:r w:rsidR="0059092B">
        <w:rPr>
          <w:rFonts w:ascii="Verdana" w:eastAsia="Calibri" w:hAnsi="Verdana" w:cs="Arial"/>
          <w:color w:val="000000" w:themeColor="text1"/>
          <w:lang w:val="es-ES" w:eastAsia="es-ES"/>
        </w:rPr>
        <w:t xml:space="preserve"> contratación estatal</w:t>
      </w:r>
      <w:r w:rsidRPr="00FC6F34">
        <w:rPr>
          <w:rFonts w:ascii="Verdana" w:eastAsia="Calibri" w:hAnsi="Verdana" w:cs="Arial"/>
          <w:color w:val="000000" w:themeColor="text1"/>
          <w:lang w:val="es-ES" w:eastAsia="es-ES"/>
        </w:rPr>
        <w:t xml:space="preserve">. </w:t>
      </w:r>
      <w:r w:rsidRPr="00FC6F34">
        <w:rPr>
          <w:lang w:val="es-ES"/>
        </w:rPr>
        <w:tab/>
      </w:r>
    </w:p>
    <w:p w14:paraId="0057CECC" w14:textId="166C9F36" w:rsidR="007E6FD3" w:rsidRDefault="007E6FD3" w:rsidP="00B032D3">
      <w:pPr>
        <w:spacing w:after="0" w:line="276" w:lineRule="auto"/>
        <w:ind w:firstLine="709"/>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Conforme lo expuesto, en aras de satisfacer el derecho fundamental de petición</w:t>
      </w:r>
      <w:r w:rsidR="009B1069">
        <w:rPr>
          <w:rFonts w:ascii="Verdana" w:eastAsia="Calibri" w:hAnsi="Verdana" w:cs="Arial"/>
          <w:color w:val="000000" w:themeColor="text1"/>
          <w:lang w:val="es-ES" w:eastAsia="es-ES"/>
        </w:rPr>
        <w:t>,</w:t>
      </w:r>
      <w:r w:rsidRPr="00FC6F34">
        <w:rPr>
          <w:rFonts w:ascii="Verdana" w:eastAsia="Calibri" w:hAnsi="Verdana" w:cs="Arial"/>
          <w:color w:val="000000" w:themeColor="text1"/>
          <w:lang w:val="es-ES" w:eastAsia="es-ES"/>
        </w:rPr>
        <w:t xml:space="preserve"> se resolverá su consulta dentro de los límites de la referida competencia consultiva, esto es, </w:t>
      </w:r>
      <w:r>
        <w:rPr>
          <w:rFonts w:ascii="Verdana" w:eastAsia="Calibri" w:hAnsi="Verdana" w:cs="Arial"/>
          <w:color w:val="000000" w:themeColor="text1"/>
          <w:lang w:val="es-ES" w:eastAsia="es-ES"/>
        </w:rPr>
        <w:t>atendiendo aquellas preguntas relacionadas con el ámbito de la contratación pública.</w:t>
      </w:r>
    </w:p>
    <w:p w14:paraId="43A526AD" w14:textId="77777777" w:rsidR="007E6FD3" w:rsidRPr="00FC6F34" w:rsidRDefault="007E6FD3" w:rsidP="009B1069">
      <w:pPr>
        <w:spacing w:after="0" w:line="276" w:lineRule="auto"/>
        <w:jc w:val="both"/>
        <w:rPr>
          <w:rFonts w:ascii="Verdana" w:eastAsia="Calibri" w:hAnsi="Verdana" w:cs="Arial"/>
          <w:color w:val="000000" w:themeColor="text1"/>
          <w:lang w:val="es-ES" w:eastAsia="es-ES"/>
        </w:rPr>
      </w:pPr>
    </w:p>
    <w:p w14:paraId="31C98807" w14:textId="77777777" w:rsidR="007E6FD3" w:rsidRPr="00FC6F34" w:rsidRDefault="007E6FD3" w:rsidP="006356EF">
      <w:pPr>
        <w:pStyle w:val="Prrafodelista"/>
        <w:numPr>
          <w:ilvl w:val="0"/>
          <w:numId w:val="17"/>
        </w:numPr>
        <w:tabs>
          <w:tab w:val="left" w:pos="142"/>
          <w:tab w:val="left" w:pos="284"/>
        </w:tabs>
        <w:spacing w:after="0" w:line="276" w:lineRule="auto"/>
        <w:contextualSpacing w:val="0"/>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Problema planteado:</w:t>
      </w:r>
    </w:p>
    <w:p w14:paraId="1B7439DB" w14:textId="77777777" w:rsidR="007E6FD3" w:rsidRPr="00FC6F34" w:rsidRDefault="007E6FD3" w:rsidP="009B1069">
      <w:pPr>
        <w:tabs>
          <w:tab w:val="left" w:pos="426"/>
        </w:tabs>
        <w:spacing w:after="0" w:line="276" w:lineRule="auto"/>
        <w:jc w:val="both"/>
        <w:rPr>
          <w:rFonts w:ascii="Verdana" w:eastAsia="Century Gothic" w:hAnsi="Verdana" w:cs="Century Gothic"/>
          <w:color w:val="000000" w:themeColor="text1"/>
          <w:lang w:val="es-ES"/>
        </w:rPr>
      </w:pPr>
    </w:p>
    <w:p w14:paraId="54DC3AB5" w14:textId="6024992E" w:rsidR="007E6FD3" w:rsidRPr="00FC6F34" w:rsidRDefault="007E6FD3" w:rsidP="007D1880">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De acuerdo con el contenido de su solicitud, esta Agencia resolverá el siguiente problema jurídico: ¿</w:t>
      </w:r>
      <w:r>
        <w:rPr>
          <w:rFonts w:ascii="Verdana" w:eastAsia="Century Gothic" w:hAnsi="Verdana" w:cs="Century Gothic"/>
          <w:color w:val="000000" w:themeColor="text1"/>
          <w:lang w:val="es-ES"/>
        </w:rPr>
        <w:t xml:space="preserve">Cuál es el ámbito de aplicación de la Ley de Garantías Electorales en </w:t>
      </w:r>
      <w:r w:rsidR="009B1069">
        <w:rPr>
          <w:rFonts w:ascii="Verdana" w:eastAsia="Century Gothic" w:hAnsi="Verdana" w:cs="Century Gothic"/>
          <w:color w:val="000000" w:themeColor="text1"/>
          <w:lang w:val="es-ES"/>
        </w:rPr>
        <w:t>m</w:t>
      </w:r>
      <w:r>
        <w:rPr>
          <w:rFonts w:ascii="Verdana" w:eastAsia="Century Gothic" w:hAnsi="Verdana" w:cs="Century Gothic"/>
          <w:color w:val="000000" w:themeColor="text1"/>
          <w:lang w:val="es-ES"/>
        </w:rPr>
        <w:t>a</w:t>
      </w:r>
      <w:r w:rsidR="009B1069">
        <w:rPr>
          <w:rFonts w:ascii="Verdana" w:eastAsia="Century Gothic" w:hAnsi="Verdana" w:cs="Century Gothic"/>
          <w:color w:val="000000" w:themeColor="text1"/>
          <w:lang w:val="es-ES"/>
        </w:rPr>
        <w:t>teria de</w:t>
      </w:r>
      <w:r>
        <w:rPr>
          <w:rFonts w:ascii="Verdana" w:eastAsia="Century Gothic" w:hAnsi="Verdana" w:cs="Century Gothic"/>
          <w:color w:val="000000" w:themeColor="text1"/>
          <w:lang w:val="es-ES"/>
        </w:rPr>
        <w:t xml:space="preserve"> contratación pública?</w:t>
      </w:r>
    </w:p>
    <w:p w14:paraId="1FC51BC8" w14:textId="77777777" w:rsidR="007E6FD3" w:rsidRPr="00FC6F34" w:rsidRDefault="007E6FD3" w:rsidP="00E154E1">
      <w:pPr>
        <w:spacing w:after="0" w:line="276" w:lineRule="auto"/>
        <w:jc w:val="both"/>
        <w:rPr>
          <w:rFonts w:ascii="Verdana" w:eastAsia="Calibri" w:hAnsi="Verdana" w:cs="Arial"/>
          <w:color w:val="000000" w:themeColor="text1"/>
          <w:lang w:val="es-ES"/>
        </w:rPr>
      </w:pPr>
    </w:p>
    <w:p w14:paraId="67C77BF4" w14:textId="77777777" w:rsidR="007E6FD3" w:rsidRPr="00FC6F34" w:rsidRDefault="007E6FD3" w:rsidP="006356EF">
      <w:pPr>
        <w:pStyle w:val="Prrafodelista"/>
        <w:numPr>
          <w:ilvl w:val="0"/>
          <w:numId w:val="17"/>
        </w:numPr>
        <w:tabs>
          <w:tab w:val="left" w:pos="142"/>
          <w:tab w:val="left" w:pos="284"/>
        </w:tabs>
        <w:spacing w:after="0" w:line="276" w:lineRule="auto"/>
        <w:contextualSpacing w:val="0"/>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Respuesta:</w:t>
      </w:r>
    </w:p>
    <w:p w14:paraId="6AEB3799" w14:textId="77777777" w:rsidR="007E6FD3" w:rsidRPr="00FC6F34" w:rsidRDefault="007E6FD3" w:rsidP="009B1069">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E6FD3" w:rsidRPr="00FC6F34" w14:paraId="194B1C3F" w14:textId="77777777" w:rsidTr="00A95CE9">
        <w:tc>
          <w:tcPr>
            <w:tcW w:w="8828" w:type="dxa"/>
          </w:tcPr>
          <w:p w14:paraId="5CC0E15D" w14:textId="77156D3F" w:rsidR="007E6FD3" w:rsidRPr="00FC6F34" w:rsidRDefault="007E6FD3" w:rsidP="007D1880">
            <w:pPr>
              <w:spacing w:after="120" w:line="276" w:lineRule="auto"/>
              <w:jc w:val="both"/>
              <w:rPr>
                <w:rFonts w:ascii="Verdana" w:eastAsia="Arial" w:hAnsi="Verdana" w:cs="Arial"/>
                <w:lang w:val="es-ES" w:eastAsia="es-ES" w:bidi="es-ES"/>
              </w:rPr>
            </w:pPr>
            <w:r w:rsidRPr="00FC6F34">
              <w:rPr>
                <w:rFonts w:ascii="Verdana" w:eastAsia="Arial" w:hAnsi="Verdana" w:cs="Arial"/>
                <w:lang w:val="es-ES" w:eastAsia="es-ES" w:bidi="es-ES"/>
              </w:rPr>
              <w:t>Las restricciones consagradas en la Ley de Garantías</w:t>
            </w:r>
            <w:r w:rsidR="007D1880">
              <w:rPr>
                <w:rFonts w:ascii="Verdana" w:eastAsia="Arial" w:hAnsi="Verdana" w:cs="Arial"/>
                <w:lang w:val="es-ES" w:eastAsia="es-ES" w:bidi="es-ES"/>
              </w:rPr>
              <w:t xml:space="preserve"> Electorales</w:t>
            </w:r>
            <w:r w:rsidRPr="00FC6F34">
              <w:rPr>
                <w:rFonts w:ascii="Verdana" w:eastAsia="Arial" w:hAnsi="Verdana" w:cs="Arial"/>
                <w:lang w:val="es-ES" w:eastAsia="es-ES" w:bidi="es-ES"/>
              </w:rPr>
              <w:t xml:space="preserve"> </w:t>
            </w:r>
            <w:r>
              <w:rPr>
                <w:rFonts w:ascii="Verdana" w:eastAsia="Arial" w:hAnsi="Verdana" w:cs="Arial"/>
                <w:lang w:val="es-ES" w:eastAsia="es-ES" w:bidi="es-ES"/>
              </w:rPr>
              <w:t xml:space="preserve">en materia de contratación pública </w:t>
            </w:r>
            <w:r w:rsidRPr="00FC6F34">
              <w:rPr>
                <w:rFonts w:ascii="Verdana" w:eastAsia="Arial" w:hAnsi="Verdana" w:cs="Arial"/>
                <w:lang w:val="es-ES" w:eastAsia="es-ES" w:bidi="es-ES"/>
              </w:rPr>
              <w:t xml:space="preserve">se dirigen a dos (2) tipos de campañas electorales </w:t>
            </w:r>
            <w:r w:rsidRPr="00FC6F34">
              <w:rPr>
                <w:rFonts w:ascii="Verdana" w:eastAsia="Arial" w:hAnsi="Verdana" w:cs="Arial"/>
                <w:lang w:val="es-ES" w:eastAsia="es-ES" w:bidi="es-ES"/>
              </w:rPr>
              <w:lastRenderedPageBreak/>
              <w:t>diferenciadas: las presidenciales y las que se adelanten para la elección de los demás cargos de elección popular, tanto a nivel nacional como territorial.</w:t>
            </w:r>
          </w:p>
          <w:p w14:paraId="6E92A57E" w14:textId="36D0046B" w:rsidR="007E6FD3" w:rsidRDefault="007E6FD3" w:rsidP="00E154E1">
            <w:pPr>
              <w:spacing w:after="120" w:line="276" w:lineRule="auto"/>
              <w:ind w:firstLine="708"/>
              <w:jc w:val="both"/>
              <w:rPr>
                <w:rFonts w:ascii="Verdana" w:eastAsia="Calibri" w:hAnsi="Verdana" w:cs="Arial"/>
                <w:lang w:val="es-ES"/>
              </w:rPr>
            </w:pPr>
            <w:r w:rsidRPr="00FC6F34">
              <w:rPr>
                <w:rFonts w:ascii="Verdana" w:eastAsia="Calibri" w:hAnsi="Verdana" w:cs="Arial"/>
                <w:lang w:val="es-ES"/>
              </w:rPr>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AE3C485" w14:textId="02E8D5B3" w:rsidR="007E6FD3" w:rsidRDefault="007E6FD3">
            <w:pPr>
              <w:spacing w:after="120" w:line="276" w:lineRule="auto"/>
              <w:ind w:firstLine="708"/>
              <w:jc w:val="both"/>
              <w:rPr>
                <w:rFonts w:ascii="Verdana" w:eastAsia="Times New Roman" w:hAnsi="Verdana" w:cs="Arial"/>
                <w:lang w:val="es-ES"/>
              </w:rPr>
            </w:pPr>
            <w:r w:rsidRPr="00FC6F34">
              <w:rPr>
                <w:rFonts w:ascii="Verdana" w:eastAsia="Times New Roman" w:hAnsi="Verdana" w:cs="Arial"/>
                <w:lang w:val="es-ES"/>
              </w:rPr>
              <w:t xml:space="preserve">El </w:t>
            </w:r>
            <w:r w:rsidRPr="00CD0948">
              <w:rPr>
                <w:rFonts w:ascii="Verdana" w:eastAsia="Times New Roman" w:hAnsi="Verdana" w:cs="Arial"/>
                <w:i/>
                <w:iCs/>
                <w:lang w:val="es-ES"/>
              </w:rPr>
              <w:t>ámbito material</w:t>
            </w:r>
            <w:r w:rsidRPr="00FC6F34">
              <w:rPr>
                <w:rFonts w:ascii="Verdana" w:eastAsia="Times New Roman" w:hAnsi="Verdana" w:cs="Arial"/>
                <w:lang w:val="es-ES"/>
              </w:rPr>
              <w:t xml:space="preserve"> de esta prohibición </w:t>
            </w:r>
            <w:r w:rsidRPr="00FC6F34">
              <w:rPr>
                <w:rFonts w:ascii="Verdana" w:eastAsia="Times New Roman" w:hAnsi="Verdana" w:cs="Arial"/>
                <w:lang w:val="es-ES" w:eastAsia="x-none"/>
              </w:rPr>
              <w:t xml:space="preserve">se refiere a </w:t>
            </w:r>
            <w:r w:rsidRPr="00FC6F34">
              <w:rPr>
                <w:rFonts w:ascii="Verdana" w:eastAsia="Times New Roman" w:hAnsi="Verdana" w:cs="Arial"/>
                <w:sz w:val="19"/>
                <w:szCs w:val="19"/>
                <w:lang w:val="es-ES" w:eastAsia="en-GB"/>
              </w:rPr>
              <w:t>“</w:t>
            </w:r>
            <w:r w:rsidRPr="002D360F">
              <w:rPr>
                <w:rFonts w:ascii="Verdana" w:eastAsia="Times New Roman" w:hAnsi="Verdana" w:cs="Arial"/>
                <w:i/>
                <w:iCs/>
                <w:lang w:val="es-ES" w:eastAsia="x-none"/>
              </w:rPr>
              <w:t>cualquier sistema</w:t>
            </w:r>
            <w:r w:rsidRPr="00FC6F34">
              <w:rPr>
                <w:rFonts w:ascii="Verdana" w:eastAsia="Times New Roman" w:hAnsi="Verdana" w:cs="Arial"/>
                <w:lang w:val="es-ES" w:eastAsia="x-none"/>
              </w:rPr>
              <w:t xml:space="preserve">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FC6F34">
              <w:rPr>
                <w:rFonts w:ascii="Verdana" w:eastAsia="Times New Roman" w:hAnsi="Verdana" w:cs="Arial"/>
                <w:lang w:val="es-ES"/>
              </w:rPr>
              <w:t>y la mínima cuantía</w:t>
            </w:r>
            <w:r w:rsidR="007D1880">
              <w:rPr>
                <w:rFonts w:ascii="Verdana" w:eastAsia="Times New Roman" w:hAnsi="Verdana" w:cs="Arial"/>
                <w:lang w:val="es-ES"/>
              </w:rPr>
              <w:t>,</w:t>
            </w:r>
            <w:r w:rsidRPr="00FC6F34" w:rsidDel="00A85D9F">
              <w:rPr>
                <w:rFonts w:ascii="Verdana" w:eastAsia="Times New Roman" w:hAnsi="Verdana" w:cs="Arial"/>
                <w:lang w:val="es-ES" w:eastAsia="x-none"/>
              </w:rPr>
              <w:t xml:space="preserve"> </w:t>
            </w:r>
            <w:r w:rsidRPr="00FC6F34">
              <w:rPr>
                <w:rFonts w:ascii="Verdana" w:eastAsia="Times New Roman" w:hAnsi="Verdana" w:cs="Arial"/>
                <w:lang w:val="es-ES"/>
              </w:rPr>
              <w:t>u otros</w:t>
            </w:r>
            <w:r w:rsidR="007D1880">
              <w:rPr>
                <w:rFonts w:ascii="Verdana" w:eastAsia="Times New Roman" w:hAnsi="Verdana" w:cs="Arial"/>
                <w:lang w:val="es-ES"/>
              </w:rPr>
              <w:t xml:space="preserve"> procedimientos competitivos</w:t>
            </w:r>
            <w:r w:rsidRPr="00FC6F34">
              <w:rPr>
                <w:rFonts w:ascii="Verdana" w:eastAsia="Times New Roman" w:hAnsi="Verdana" w:cs="Arial"/>
                <w:lang w:val="es-ES"/>
              </w:rPr>
              <w:t xml:space="preserve"> previstos en normas especiales. De lo anterior se desprende que la restricción aplica, sin perjuicio de las excepciones establecidas en la misma ley, para celebrar </w:t>
            </w:r>
            <w:r w:rsidRPr="00FC6F34">
              <w:rPr>
                <w:rFonts w:ascii="Verdana" w:eastAsia="Times New Roman" w:hAnsi="Verdana" w:cs="Arial"/>
                <w:i/>
                <w:iCs/>
                <w:lang w:val="es-ES"/>
              </w:rPr>
              <w:t>cualquier contrato</w:t>
            </w:r>
            <w:r>
              <w:rPr>
                <w:rFonts w:ascii="Verdana" w:eastAsia="Times New Roman" w:hAnsi="Verdana" w:cs="Arial"/>
                <w:i/>
                <w:iCs/>
                <w:lang w:val="es-ES"/>
              </w:rPr>
              <w:t xml:space="preserve"> o convenio</w:t>
            </w:r>
            <w:r w:rsidRPr="00FC6F34">
              <w:rPr>
                <w:rFonts w:ascii="Verdana" w:eastAsia="Times New Roman" w:hAnsi="Verdana" w:cs="Arial"/>
                <w:i/>
                <w:iCs/>
                <w:lang w:val="es-ES"/>
              </w:rPr>
              <w:t xml:space="preserve"> de forma directa</w:t>
            </w:r>
            <w:r w:rsidRPr="00FC6F34">
              <w:rPr>
                <w:rFonts w:ascii="Verdana" w:eastAsia="Times New Roman" w:hAnsi="Verdana" w:cs="Arial"/>
                <w:lang w:val="es-ES"/>
              </w:rPr>
              <w:t xml:space="preserve">, esto es, sin que exista un proceso abierto y competitivo. Por tanto, no son materia de la prohibición </w:t>
            </w:r>
            <w:r>
              <w:rPr>
                <w:rFonts w:ascii="Verdana" w:eastAsia="Times New Roman" w:hAnsi="Verdana" w:cs="Arial"/>
                <w:lang w:val="es-ES"/>
              </w:rPr>
              <w:t xml:space="preserve">los procesos de contratación que se adelanten mediante </w:t>
            </w:r>
            <w:r w:rsidRPr="00FC6F34">
              <w:rPr>
                <w:rFonts w:ascii="Verdana" w:eastAsia="Times New Roman" w:hAnsi="Verdana" w:cs="Arial"/>
                <w:lang w:val="es-ES"/>
              </w:rPr>
              <w:t>las demás modalidades de selección previstas en la Ley 1150 de 2007</w:t>
            </w:r>
            <w:r w:rsidR="007D1880">
              <w:rPr>
                <w:rFonts w:ascii="Verdana" w:eastAsia="Times New Roman" w:hAnsi="Verdana" w:cs="Arial"/>
                <w:lang w:val="es-ES"/>
              </w:rPr>
              <w:t xml:space="preserve"> o en regímenes especiales de contratación</w:t>
            </w:r>
            <w:r>
              <w:rPr>
                <w:rFonts w:ascii="Verdana" w:eastAsia="Times New Roman" w:hAnsi="Verdana" w:cs="Arial"/>
                <w:lang w:val="es-ES"/>
              </w:rPr>
              <w:t>.</w:t>
            </w:r>
          </w:p>
          <w:p w14:paraId="5EF6CB9A" w14:textId="77777777" w:rsidR="007E6FD3" w:rsidRPr="00FC6F34" w:rsidRDefault="007E6FD3">
            <w:pPr>
              <w:spacing w:after="120" w:line="276" w:lineRule="auto"/>
              <w:ind w:firstLine="708"/>
              <w:jc w:val="both"/>
              <w:rPr>
                <w:rFonts w:ascii="Verdana" w:eastAsia="Calibri" w:hAnsi="Verdana" w:cs="Arial"/>
                <w:lang w:val="es-ES"/>
              </w:rPr>
            </w:pPr>
            <w:r w:rsidRPr="00FC6F34">
              <w:rPr>
                <w:rFonts w:ascii="Verdana" w:eastAsia="Times New Roman" w:hAnsi="Verdana" w:cs="Arial"/>
                <w:bCs/>
                <w:lang w:val="es-ES" w:eastAsia="es-CO"/>
              </w:rPr>
              <w:t xml:space="preserve">Con respecto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enmarcados en la prohibición del artículo 33, </w:t>
            </w:r>
            <w:r w:rsidRPr="00FC6F34">
              <w:rPr>
                <w:rFonts w:ascii="Verdana" w:eastAsia="Times New Roman" w:hAnsi="Verdana" w:cs="Arial"/>
                <w:lang w:val="es-ES"/>
              </w:rPr>
              <w:t>la Ley 996 de 2005 señala expresamente que son “</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entes del Estado</w:t>
            </w:r>
            <w:r w:rsidRPr="00FC6F34">
              <w:rPr>
                <w:rFonts w:ascii="Verdana" w:eastAsia="Times New Roman" w:hAnsi="Verdana" w:cs="Arial"/>
                <w:lang w:val="es-ES"/>
              </w:rPr>
              <w:t>” [énfasis propio].</w:t>
            </w:r>
            <w:r>
              <w:rPr>
                <w:rFonts w:ascii="Verdana" w:eastAsia="Times New Roman" w:hAnsi="Verdana" w:cs="Arial"/>
                <w:lang w:val="es-ES"/>
              </w:rPr>
              <w:t xml:space="preserve"> </w:t>
            </w:r>
            <w:r w:rsidRPr="00FC6F34">
              <w:rPr>
                <w:rFonts w:ascii="Verdana" w:hAnsi="Verdana" w:cs="Arial"/>
                <w:bCs/>
                <w:lang w:val="es-ES" w:eastAsia="x-none"/>
              </w:rPr>
              <w:t>En efecto, tal como lo ha sostenido el Consejo de Estado, el vocablo “todos” utilizado por el legislador comprende</w:t>
            </w:r>
            <w:r w:rsidRPr="00FC6F34">
              <w:rPr>
                <w:rFonts w:ascii="Verdana" w:hAnsi="Verdana"/>
                <w:lang w:val="es-ES"/>
              </w:rPr>
              <w:t xml:space="preserve"> </w:t>
            </w:r>
            <w:r w:rsidRPr="00FC6F34">
              <w:rPr>
                <w:rFonts w:ascii="Verdana" w:hAnsi="Verdana" w:cs="Arial"/>
                <w:bCs/>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cs="Arial"/>
                <w:bCs/>
                <w:lang w:val="es-ES" w:eastAsia="x-none"/>
              </w:rPr>
              <w:t>.</w:t>
            </w:r>
          </w:p>
          <w:p w14:paraId="3CEDB002" w14:textId="16FBE19E" w:rsidR="007E6FD3" w:rsidRDefault="007E6FD3" w:rsidP="006356EF">
            <w:pPr>
              <w:widowControl w:val="0"/>
              <w:autoSpaceDE w:val="0"/>
              <w:autoSpaceDN w:val="0"/>
              <w:spacing w:after="120" w:line="276" w:lineRule="auto"/>
              <w:ind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w:t>
            </w:r>
            <w:r w:rsidRPr="00FC6F34">
              <w:rPr>
                <w:rFonts w:ascii="Verdana" w:eastAsia="Calibri" w:hAnsi="Verdana" w:cs="Arial"/>
                <w:lang w:val="es-ES"/>
              </w:rPr>
              <w:lastRenderedPageBreak/>
              <w:t xml:space="preserve">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xml:space="preserve">, que prohíbe a los gobernadores, alcaldes municipales o distritales, secretarios, gerentes y directores de entidades descentralizadas del orden municipal, departamental o distrital “[…] celebrar </w:t>
            </w:r>
            <w:r w:rsidRPr="0013384E">
              <w:rPr>
                <w:rFonts w:ascii="Verdana" w:eastAsia="Calibri" w:hAnsi="Verdana" w:cs="Arial"/>
                <w:i/>
                <w:iCs/>
                <w:lang w:val="es-ES"/>
              </w:rPr>
              <w:t>convenios interadministrativos para la ejecución de recursos públicos</w:t>
            </w:r>
            <w:r w:rsidRPr="00FC6F34">
              <w:rPr>
                <w:rFonts w:ascii="Verdana" w:eastAsia="Calibri" w:hAnsi="Verdana" w:cs="Arial"/>
                <w:lang w:val="es-ES"/>
              </w:rPr>
              <w:t>, ni participar, promover y destinar recursos públicos de las entidades a su cargo, como tampoco de las que participen como miembros de sus juntas directivas, en o para reuniones de carácter proselitista”.</w:t>
            </w:r>
            <w:r w:rsidRPr="00FC6F34">
              <w:rPr>
                <w:rFonts w:ascii="Verdana" w:eastAsia="Arial" w:hAnsi="Verdana" w:cs="Arial"/>
                <w:lang w:val="es-ES" w:eastAsia="es-ES" w:bidi="es-ES"/>
              </w:rPr>
              <w:t xml:space="preserve"> </w:t>
            </w:r>
          </w:p>
          <w:p w14:paraId="05860722" w14:textId="24FC7018" w:rsidR="007E6FD3" w:rsidRDefault="007E6FD3" w:rsidP="006356EF">
            <w:pPr>
              <w:widowControl w:val="0"/>
              <w:autoSpaceDE w:val="0"/>
              <w:autoSpaceDN w:val="0"/>
              <w:spacing w:after="120" w:line="276" w:lineRule="auto"/>
              <w:ind w:firstLine="709"/>
              <w:jc w:val="both"/>
              <w:rPr>
                <w:rFonts w:ascii="Verdana" w:hAnsi="Verdana" w:cs="Arial"/>
                <w:bCs/>
                <w:lang w:val="es-ES" w:eastAsia="es-CO"/>
              </w:rPr>
            </w:pPr>
            <w:r>
              <w:rPr>
                <w:rFonts w:ascii="Verdana" w:eastAsia="Calibri" w:hAnsi="Verdana" w:cs="Arial"/>
                <w:bCs/>
                <w:lang w:val="es-ES"/>
              </w:rPr>
              <w:t xml:space="preserve">En consecuencia, </w:t>
            </w:r>
            <w:r w:rsidRPr="00FC6F34">
              <w:rPr>
                <w:rFonts w:ascii="Verdana" w:hAnsi="Verdana" w:cs="Arial"/>
                <w:bCs/>
                <w:lang w:val="es-ES" w:eastAsia="es-CO"/>
              </w:rPr>
              <w:t xml:space="preserve">el parágrafo del artículo 38 de la Ley 996 de 2005 prohíbe a los alcaldes, gobernadores, secretarios, gerentes y directores de las entidades del orden municipal, departamental o distrital celebrar </w:t>
            </w:r>
            <w:r w:rsidRPr="0026451D">
              <w:rPr>
                <w:rFonts w:ascii="Verdana" w:hAnsi="Verdana" w:cs="Arial"/>
                <w:bCs/>
                <w:i/>
                <w:iCs/>
                <w:lang w:val="es-ES" w:eastAsia="es-CO"/>
              </w:rPr>
              <w:t>convenios interadministrativos para la ejecución de recursos públicos</w:t>
            </w:r>
            <w:r w:rsidRPr="00FC6F34">
              <w:rPr>
                <w:rFonts w:ascii="Verdana" w:hAnsi="Verdana" w:cs="Arial"/>
                <w:bCs/>
                <w:lang w:val="es-ES" w:eastAsia="es-CO"/>
              </w:rPr>
              <w:t xml:space="preserve">. En este sentido, si una o ambas partes de la relación contractual es una entidad de aquellas descritas en el parágrafo, no podrá celebrar tales convenios durante la aplicación de la </w:t>
            </w:r>
            <w:r>
              <w:rPr>
                <w:rFonts w:ascii="Verdana" w:hAnsi="Verdana" w:cs="Arial"/>
                <w:bCs/>
                <w:lang w:val="es-ES" w:eastAsia="es-CO"/>
              </w:rPr>
              <w:t>L</w:t>
            </w:r>
            <w:r w:rsidRPr="00FC6F34">
              <w:rPr>
                <w:rFonts w:ascii="Verdana" w:hAnsi="Verdana" w:cs="Arial"/>
                <w:bCs/>
                <w:lang w:val="es-ES" w:eastAsia="es-CO"/>
              </w:rPr>
              <w:t xml:space="preserve">ey de </w:t>
            </w:r>
            <w:r>
              <w:rPr>
                <w:rFonts w:ascii="Verdana" w:hAnsi="Verdana" w:cs="Arial"/>
                <w:bCs/>
                <w:lang w:val="es-ES" w:eastAsia="es-CO"/>
              </w:rPr>
              <w:t>G</w:t>
            </w:r>
            <w:r w:rsidRPr="00FC6F34">
              <w:rPr>
                <w:rFonts w:ascii="Verdana" w:hAnsi="Verdana" w:cs="Arial"/>
                <w:bCs/>
                <w:lang w:val="es-ES" w:eastAsia="es-CO"/>
              </w:rPr>
              <w:t>arantías</w:t>
            </w:r>
            <w:r w:rsidR="00E5009F">
              <w:rPr>
                <w:rFonts w:ascii="Verdana" w:hAnsi="Verdana" w:cs="Arial"/>
                <w:bCs/>
                <w:lang w:val="es-ES" w:eastAsia="es-CO"/>
              </w:rPr>
              <w:t xml:space="preserve"> Electorales</w:t>
            </w:r>
            <w:r w:rsidRPr="00FC6F34">
              <w:rPr>
                <w:rFonts w:ascii="Verdana" w:hAnsi="Verdana" w:cs="Arial"/>
                <w:bCs/>
                <w:lang w:val="es-ES" w:eastAsia="es-CO"/>
              </w:rPr>
              <w:t>, toda vez que la citada disposición hace referencia a dicha tipología contractual sin que el legislador hubiere contemplado excepción alguna frente a la modalidad de selección o naturaleza de su objeto</w:t>
            </w:r>
            <w:r>
              <w:rPr>
                <w:rFonts w:ascii="Verdana" w:hAnsi="Verdana" w:cs="Arial"/>
                <w:bCs/>
                <w:lang w:val="es-ES" w:eastAsia="es-CO"/>
              </w:rPr>
              <w:t>.</w:t>
            </w:r>
          </w:p>
          <w:p w14:paraId="01CC64FE" w14:textId="2D423945" w:rsidR="007E6FD3" w:rsidRPr="00571E66" w:rsidRDefault="001A3E75" w:rsidP="006356EF">
            <w:pPr>
              <w:widowControl w:val="0"/>
              <w:autoSpaceDE w:val="0"/>
              <w:autoSpaceDN w:val="0"/>
              <w:spacing w:line="276" w:lineRule="auto"/>
              <w:ind w:firstLine="709"/>
              <w:jc w:val="both"/>
              <w:rPr>
                <w:rFonts w:ascii="Verdana" w:eastAsia="Arial" w:hAnsi="Verdana" w:cs="Arial"/>
                <w:lang w:val="es-ES" w:eastAsia="es-ES" w:bidi="es-ES"/>
              </w:rPr>
            </w:pPr>
            <w:r>
              <w:rPr>
                <w:rFonts w:ascii="Verdana" w:eastAsia="Times New Roman" w:hAnsi="Verdana" w:cs="Arial"/>
                <w:lang w:val="es-ES"/>
              </w:rPr>
              <w:t>Teniendo en cuenta el análisis hermenéutico, c</w:t>
            </w:r>
            <w:r w:rsidRPr="00FC6F34">
              <w:rPr>
                <w:rFonts w:ascii="Verdana" w:eastAsia="Times New Roman" w:hAnsi="Verdana" w:cs="Arial"/>
                <w:lang w:val="es-ES"/>
              </w:rPr>
              <w:t xml:space="preserve">ompete </w:t>
            </w:r>
            <w:r w:rsidR="007E6FD3" w:rsidRPr="00FC6F34">
              <w:rPr>
                <w:rFonts w:ascii="Verdana" w:eastAsia="Times New Roman" w:hAnsi="Verdana" w:cs="Arial"/>
                <w:lang w:val="es-ES"/>
              </w:rPr>
              <w:t xml:space="preserve">a cada </w:t>
            </w:r>
            <w:r>
              <w:rPr>
                <w:rFonts w:ascii="Verdana" w:eastAsia="Times New Roman" w:hAnsi="Verdana" w:cs="Arial"/>
                <w:lang w:val="es-ES"/>
              </w:rPr>
              <w:t>e</w:t>
            </w:r>
            <w:r w:rsidR="007E6FD3" w:rsidRPr="00FC6F34">
              <w:rPr>
                <w:rFonts w:ascii="Verdana" w:eastAsia="Times New Roman" w:hAnsi="Verdana" w:cs="Arial"/>
                <w:lang w:val="es-ES"/>
              </w:rPr>
              <w:t xml:space="preserve">ntidad </w:t>
            </w:r>
            <w:r>
              <w:rPr>
                <w:rFonts w:ascii="Verdana" w:eastAsia="Times New Roman" w:hAnsi="Verdana" w:cs="Arial"/>
                <w:lang w:val="es-ES"/>
              </w:rPr>
              <w:t>e</w:t>
            </w:r>
            <w:r w:rsidR="007E6FD3" w:rsidRPr="00FC6F34">
              <w:rPr>
                <w:rFonts w:ascii="Verdana" w:eastAsia="Times New Roman" w:hAnsi="Verdana" w:cs="Arial"/>
                <w:lang w:val="es-ES"/>
              </w:rPr>
              <w:t>statal que considera celebrar un contrato específico definir si este se enmarca</w:t>
            </w:r>
            <w:r w:rsidR="007E6FD3">
              <w:rPr>
                <w:rFonts w:ascii="Verdana" w:eastAsia="Times New Roman" w:hAnsi="Verdana" w:cs="Arial"/>
                <w:lang w:val="es-ES"/>
              </w:rPr>
              <w:t xml:space="preserve"> en alguna de las prohibiciones de la Ley de Garantías Electorales</w:t>
            </w:r>
            <w:r w:rsidR="007E6FD3" w:rsidRPr="00FC6F34">
              <w:rPr>
                <w:rFonts w:ascii="Verdana" w:eastAsia="Times New Roman" w:hAnsi="Verdana" w:cs="Arial"/>
                <w:lang w:val="es-ES"/>
              </w:rPr>
              <w:t xml:space="preserve">. </w:t>
            </w:r>
            <w:r w:rsidR="007E6FD3" w:rsidRPr="00FC6F34">
              <w:rPr>
                <w:rFonts w:ascii="Verdana" w:eastAsia="Times New Roman" w:hAnsi="Verdana" w:cs="Arial"/>
                <w:color w:val="000000" w:themeColor="text1"/>
                <w:lang w:val="es-ES" w:eastAsia="es-ES"/>
              </w:rPr>
              <w:t>Dentro de este marco, la entidad contratante definirá en cada caso concreto lo relacionado con el tema objeto de consulta.</w:t>
            </w:r>
          </w:p>
        </w:tc>
      </w:tr>
    </w:tbl>
    <w:p w14:paraId="71876AA9" w14:textId="77777777" w:rsidR="007E6FD3" w:rsidRPr="00FC6F34" w:rsidRDefault="007E6FD3" w:rsidP="009B1069">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313DB10" w14:textId="77777777" w:rsidR="007E6FD3" w:rsidRPr="00FC6F34" w:rsidRDefault="007E6FD3" w:rsidP="006356EF">
      <w:pPr>
        <w:pStyle w:val="Prrafodelista"/>
        <w:numPr>
          <w:ilvl w:val="0"/>
          <w:numId w:val="17"/>
        </w:numPr>
        <w:tabs>
          <w:tab w:val="left" w:pos="142"/>
          <w:tab w:val="left" w:pos="284"/>
        </w:tabs>
        <w:spacing w:after="0" w:line="276" w:lineRule="auto"/>
        <w:contextualSpacing w:val="0"/>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Razones de la respuesta:</w:t>
      </w:r>
    </w:p>
    <w:p w14:paraId="5BC7F6D0" w14:textId="77777777" w:rsidR="007E6FD3" w:rsidRPr="00FC6F34" w:rsidRDefault="007E6FD3" w:rsidP="009B1069">
      <w:pPr>
        <w:spacing w:after="0" w:line="276" w:lineRule="auto"/>
        <w:jc w:val="both"/>
        <w:rPr>
          <w:rFonts w:ascii="Verdana" w:eastAsia="Calibri" w:hAnsi="Verdana" w:cs="Arial"/>
          <w:color w:val="000000" w:themeColor="text1"/>
          <w:lang w:val="es-ES"/>
        </w:rPr>
      </w:pPr>
    </w:p>
    <w:p w14:paraId="21546919" w14:textId="0CDFEA26" w:rsidR="007E6FD3" w:rsidRPr="00FC6F34" w:rsidRDefault="007E6FD3" w:rsidP="007E6FD3">
      <w:pPr>
        <w:tabs>
          <w:tab w:val="left" w:pos="426"/>
        </w:tabs>
        <w:spacing w:after="120" w:line="276" w:lineRule="auto"/>
        <w:jc w:val="both"/>
        <w:rPr>
          <w:rFonts w:ascii="Verdana" w:eastAsia="Times New Roman" w:hAnsi="Verdana" w:cs="Arial"/>
          <w:lang w:val="es-ES" w:eastAsia="es-CO"/>
        </w:rPr>
      </w:pPr>
      <w:bookmarkStart w:id="1" w:name="_Hlk102983874"/>
      <w:bookmarkStart w:id="2" w:name="_Hlk102388095"/>
      <w:r w:rsidRPr="00FC6F34">
        <w:rPr>
          <w:rFonts w:ascii="Verdana" w:eastAsia="Calibri" w:hAnsi="Verdana" w:cs="Arial"/>
          <w:color w:val="000000" w:themeColor="text1"/>
          <w:lang w:val="es-ES"/>
        </w:rPr>
        <w:t>i)</w:t>
      </w:r>
      <w:r w:rsidRPr="00FC6F34">
        <w:rPr>
          <w:rFonts w:ascii="Verdana" w:eastAsia="Verdana" w:hAnsi="Verdana" w:cs="Verdana"/>
          <w:lang w:val="es-ES"/>
        </w:rPr>
        <w:t xml:space="preserve"> </w:t>
      </w:r>
      <w:r w:rsidRPr="00FC6F34">
        <w:rPr>
          <w:rFonts w:ascii="Verdana" w:eastAsia="Calibri" w:hAnsi="Verdana" w:cs="Arial"/>
          <w:lang w:val="es-ES"/>
        </w:rPr>
        <w:t>El ordenamiento jurídico colombiano contempla</w:t>
      </w:r>
      <w:r w:rsidR="00EB5A5B">
        <w:rPr>
          <w:rFonts w:ascii="Verdana" w:eastAsia="Calibri" w:hAnsi="Verdana" w:cs="Arial"/>
          <w:lang w:val="es-ES"/>
        </w:rPr>
        <w:t xml:space="preserve"> diversas</w:t>
      </w:r>
      <w:r w:rsidRPr="00FC6F34">
        <w:rPr>
          <w:rFonts w:ascii="Verdana" w:eastAsia="Calibri" w:hAnsi="Verdana" w:cs="Arial"/>
          <w:lang w:val="es-ES"/>
        </w:rPr>
        <w:t xml:space="preserve"> medidas </w:t>
      </w:r>
      <w:r w:rsidR="00EB5A5B">
        <w:rPr>
          <w:rFonts w:ascii="Verdana" w:eastAsia="Calibri" w:hAnsi="Verdana" w:cs="Arial"/>
          <w:lang w:val="es-ES"/>
        </w:rPr>
        <w:t xml:space="preserve">orientadas </w:t>
      </w:r>
      <w:r w:rsidR="00EB5A5B" w:rsidRPr="00FC6F34">
        <w:rPr>
          <w:rFonts w:ascii="Verdana" w:eastAsia="Calibri" w:hAnsi="Verdana" w:cs="Arial"/>
          <w:lang w:val="es-ES"/>
        </w:rPr>
        <w:t xml:space="preserve">a </w:t>
      </w:r>
      <w:r w:rsidRPr="00FC6F34">
        <w:rPr>
          <w:rFonts w:ascii="Verdana" w:eastAsia="Calibri" w:hAnsi="Verdana" w:cs="Arial"/>
          <w:lang w:val="es-ES"/>
        </w:rPr>
        <w:t>evitar la obtención de beneficios personales en asuntos propios de la administración pública</w:t>
      </w:r>
      <w:r w:rsidRPr="00FC6F34">
        <w:rPr>
          <w:rFonts w:ascii="Verdana" w:eastAsia="Calibri" w:hAnsi="Verdana" w:cs="Arial"/>
          <w:i/>
          <w:lang w:val="es-ES"/>
        </w:rPr>
        <w:t xml:space="preserve">. </w:t>
      </w:r>
      <w:r w:rsidRPr="00FC6F34">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FC6F34">
        <w:rPr>
          <w:rFonts w:ascii="Verdana" w:hAnsi="Verdana"/>
          <w:vertAlign w:val="superscript"/>
          <w:lang w:val="es-ES"/>
        </w:rPr>
        <w:footnoteReference w:id="1"/>
      </w:r>
      <w:r w:rsidR="00EB5A5B">
        <w:rPr>
          <w:rFonts w:ascii="Verdana" w:eastAsia="Calibri" w:hAnsi="Verdana" w:cs="Arial"/>
          <w:lang w:val="es-ES"/>
        </w:rPr>
        <w:t>, con el fin de preservar la imparcialidad y la integridad</w:t>
      </w:r>
      <w:r w:rsidRPr="00FC6F34">
        <w:rPr>
          <w:rFonts w:ascii="Verdana" w:eastAsia="Calibri" w:hAnsi="Verdana" w:cs="Arial"/>
          <w:lang w:val="es-ES"/>
        </w:rPr>
        <w:t xml:space="preserve">. </w:t>
      </w:r>
    </w:p>
    <w:p w14:paraId="3E50AE43" w14:textId="05265A19" w:rsidR="007E6FD3" w:rsidRPr="00FC6F34" w:rsidRDefault="00ED158C" w:rsidP="007E6FD3">
      <w:pPr>
        <w:tabs>
          <w:tab w:val="left" w:pos="426"/>
        </w:tabs>
        <w:spacing w:after="120" w:line="276" w:lineRule="auto"/>
        <w:ind w:firstLine="709"/>
        <w:jc w:val="both"/>
        <w:rPr>
          <w:rFonts w:ascii="Verdana" w:eastAsia="Calibri" w:hAnsi="Verdana" w:cs="Arial"/>
          <w:lang w:val="es-ES"/>
        </w:rPr>
      </w:pPr>
      <w:r>
        <w:rPr>
          <w:rFonts w:ascii="Verdana" w:eastAsia="Times New Roman" w:hAnsi="Verdana" w:cs="Arial"/>
          <w:lang w:val="es-ES" w:eastAsia="es-CO"/>
        </w:rPr>
        <w:lastRenderedPageBreak/>
        <w:t xml:space="preserve">En </w:t>
      </w:r>
      <w:r w:rsidR="00F22AA9">
        <w:rPr>
          <w:rFonts w:ascii="Verdana" w:eastAsia="Times New Roman" w:hAnsi="Verdana" w:cs="Arial"/>
          <w:lang w:val="es-ES" w:eastAsia="es-CO"/>
        </w:rPr>
        <w:t>concordancia</w:t>
      </w:r>
      <w:r>
        <w:rPr>
          <w:rFonts w:ascii="Verdana" w:eastAsia="Times New Roman" w:hAnsi="Verdana" w:cs="Arial"/>
          <w:lang w:val="es-ES" w:eastAsia="es-CO"/>
        </w:rPr>
        <w:t xml:space="preserve"> con tales disposiciones constitucionales</w:t>
      </w:r>
      <w:r w:rsidR="007E6FD3" w:rsidRPr="00FC6F34">
        <w:rPr>
          <w:rFonts w:ascii="Verdana" w:eastAsia="Times New Roman" w:hAnsi="Verdana" w:cs="Arial"/>
          <w:lang w:val="es-ES" w:eastAsia="es-CO"/>
        </w:rPr>
        <w:t>,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w:t>
      </w:r>
      <w:r w:rsidR="00F22AA9">
        <w:rPr>
          <w:rFonts w:ascii="Verdana" w:eastAsia="Times New Roman" w:hAnsi="Verdana" w:cs="Arial"/>
          <w:lang w:val="es-ES" w:eastAsia="es-CO"/>
        </w:rPr>
        <w:t xml:space="preserve"> de</w:t>
      </w:r>
      <w:r w:rsidR="007E6FD3" w:rsidRPr="00FC6F34">
        <w:rPr>
          <w:rFonts w:ascii="Verdana" w:eastAsia="Times New Roman" w:hAnsi="Verdana" w:cs="Arial"/>
          <w:lang w:val="es-ES" w:eastAsia="es-CO"/>
        </w:rPr>
        <w:t xml:space="preserve"> falta de garantías en la elección presidencial</w:t>
      </w:r>
      <w:r w:rsidR="007E6FD3" w:rsidRPr="00FC6F34">
        <w:rPr>
          <w:rFonts w:ascii="Verdana" w:eastAsia="Times New Roman" w:hAnsi="Verdana" w:cs="Arial"/>
          <w:vertAlign w:val="superscript"/>
          <w:lang w:val="es-ES" w:eastAsia="es-CO"/>
        </w:rPr>
        <w:footnoteReference w:id="2"/>
      </w:r>
      <w:r w:rsidR="007E6FD3" w:rsidRPr="00FC6F34">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007E6FD3" w:rsidRPr="00FC6F34">
        <w:rPr>
          <w:rFonts w:ascii="Verdana" w:eastAsia="Calibri" w:hAnsi="Verdana" w:cs="Arial"/>
          <w:lang w:val="es-ES"/>
        </w:rPr>
        <w:t xml:space="preserve"> </w:t>
      </w:r>
    </w:p>
    <w:p w14:paraId="383A1370" w14:textId="77777777" w:rsidR="007E6FD3" w:rsidRPr="00FC6F34" w:rsidRDefault="007E6FD3" w:rsidP="007E6FD3">
      <w:pPr>
        <w:tabs>
          <w:tab w:val="left" w:pos="426"/>
        </w:tabs>
        <w:spacing w:after="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27087406" w14:textId="77777777" w:rsidR="007E6FD3" w:rsidRPr="00FC6F34" w:rsidRDefault="007E6FD3" w:rsidP="007E6FD3">
      <w:pPr>
        <w:spacing w:after="0" w:line="276" w:lineRule="auto"/>
        <w:ind w:right="709"/>
        <w:jc w:val="both"/>
        <w:rPr>
          <w:rFonts w:ascii="Verdana" w:eastAsia="Times New Roman" w:hAnsi="Verdana" w:cs="Arial"/>
          <w:lang w:val="es-ES" w:eastAsia="es-CO"/>
        </w:rPr>
      </w:pPr>
    </w:p>
    <w:p w14:paraId="0A57D6D6" w14:textId="77777777" w:rsidR="007E6FD3" w:rsidRPr="00FC6F34" w:rsidRDefault="007E6FD3" w:rsidP="00F22AA9">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66D97C3F" w14:textId="77777777" w:rsidR="007E6FD3" w:rsidRPr="00FC6F34" w:rsidRDefault="007E6FD3" w:rsidP="00B10478">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 </w:t>
      </w:r>
    </w:p>
    <w:p w14:paraId="4080790B" w14:textId="77777777" w:rsidR="007E6FD3" w:rsidRPr="00FC6F34" w:rsidRDefault="007E6FD3" w:rsidP="00880608">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C6F34">
        <w:rPr>
          <w:rFonts w:ascii="Verdana" w:eastAsia="Calibri" w:hAnsi="Verdana" w:cs="Arial"/>
          <w:sz w:val="20"/>
          <w:szCs w:val="20"/>
          <w:vertAlign w:val="superscript"/>
          <w:lang w:val="es-ES"/>
        </w:rPr>
        <w:footnoteReference w:id="3"/>
      </w:r>
    </w:p>
    <w:p w14:paraId="1BB07403" w14:textId="77777777" w:rsidR="007E6FD3" w:rsidRPr="00FC6F34" w:rsidRDefault="007E6FD3" w:rsidP="007E6FD3">
      <w:pPr>
        <w:spacing w:after="0" w:line="276" w:lineRule="auto"/>
        <w:ind w:firstLine="709"/>
        <w:jc w:val="both"/>
        <w:rPr>
          <w:rFonts w:ascii="Verdana" w:eastAsia="Times New Roman" w:hAnsi="Verdana" w:cs="Arial"/>
          <w:lang w:val="es-ES" w:eastAsia="es-CO"/>
        </w:rPr>
      </w:pPr>
    </w:p>
    <w:p w14:paraId="491C957C" w14:textId="2B5B1D97" w:rsidR="00F22AA9" w:rsidRDefault="007E6FD3" w:rsidP="006356EF">
      <w:pPr>
        <w:spacing w:after="120"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t xml:space="preserve">En este contexto, la Ley de Garantías Electorales establece el marco jurídico para el desarrollo de las elecciones, procurando condiciones de igualdad y transparencia para los aspirantes. Paralelamente, incluye restricciones en las actuaciones de los servidores públicos, </w:t>
      </w:r>
      <w:r w:rsidR="00F22AA9">
        <w:rPr>
          <w:rFonts w:ascii="Verdana" w:eastAsia="Times New Roman" w:hAnsi="Verdana" w:cs="Arial"/>
          <w:lang w:val="es-ES" w:eastAsia="es-CO"/>
        </w:rPr>
        <w:t xml:space="preserve">con el fin de </w:t>
      </w:r>
      <w:r w:rsidRPr="00FC6F34">
        <w:rPr>
          <w:rFonts w:ascii="Verdana" w:eastAsia="Times New Roman" w:hAnsi="Verdana" w:cs="Arial"/>
          <w:lang w:val="es-ES" w:eastAsia="es-CO"/>
        </w:rPr>
        <w:t>evita</w:t>
      </w:r>
      <w:r w:rsidR="00F22AA9">
        <w:rPr>
          <w:rFonts w:ascii="Verdana" w:eastAsia="Times New Roman" w:hAnsi="Verdana" w:cs="Arial"/>
          <w:lang w:val="es-ES" w:eastAsia="es-CO"/>
        </w:rPr>
        <w:t>r</w:t>
      </w:r>
      <w:r w:rsidRPr="00FC6F34">
        <w:rPr>
          <w:rFonts w:ascii="Verdana" w:eastAsia="Times New Roman" w:hAnsi="Verdana" w:cs="Arial"/>
          <w:lang w:val="es-ES" w:eastAsia="es-CO"/>
        </w:rPr>
        <w:t xml:space="preserve"> interferencias</w:t>
      </w:r>
      <w:r w:rsidR="00F22AA9">
        <w:rPr>
          <w:rFonts w:ascii="Verdana" w:eastAsia="Times New Roman" w:hAnsi="Verdana" w:cs="Arial"/>
          <w:lang w:val="es-ES" w:eastAsia="es-CO"/>
        </w:rPr>
        <w:t xml:space="preserve"> </w:t>
      </w:r>
      <w:r w:rsidR="00F22AA9">
        <w:rPr>
          <w:rFonts w:ascii="Verdana" w:eastAsia="Times New Roman" w:hAnsi="Verdana" w:cs="Arial"/>
          <w:lang w:val="es-ES" w:eastAsia="es-CO"/>
        </w:rPr>
        <w:lastRenderedPageBreak/>
        <w:t>indebidas</w:t>
      </w:r>
      <w:r w:rsidRPr="00FC6F34">
        <w:rPr>
          <w:rFonts w:ascii="Verdana" w:eastAsia="Times New Roman" w:hAnsi="Verdana" w:cs="Arial"/>
          <w:lang w:val="es-ES" w:eastAsia="es-CO"/>
        </w:rPr>
        <w:t xml:space="preserve"> en la contienda electoral, así como la posible desviación</w:t>
      </w:r>
      <w:r w:rsidR="00F22AA9">
        <w:rPr>
          <w:rFonts w:ascii="Verdana" w:eastAsia="Times New Roman" w:hAnsi="Verdana" w:cs="Arial"/>
          <w:lang w:val="es-ES" w:eastAsia="es-CO"/>
        </w:rPr>
        <w:t xml:space="preserve"> o utilización irregular</w:t>
      </w:r>
      <w:r w:rsidRPr="00FC6F34">
        <w:rPr>
          <w:rFonts w:ascii="Verdana" w:eastAsia="Times New Roman" w:hAnsi="Verdana" w:cs="Arial"/>
          <w:lang w:val="es-ES" w:eastAsia="es-CO"/>
        </w:rPr>
        <w:t xml:space="preserve"> de recursos públicos en aspiraciones electorales. </w:t>
      </w:r>
    </w:p>
    <w:p w14:paraId="5B5F68D6" w14:textId="06A8878A" w:rsidR="007E6FD3" w:rsidRPr="00FC6F34" w:rsidRDefault="00F22AA9" w:rsidP="007E6FD3">
      <w:pPr>
        <w:spacing w:after="0" w:line="276" w:lineRule="auto"/>
        <w:ind w:firstLine="709"/>
        <w:jc w:val="both"/>
        <w:rPr>
          <w:rFonts w:ascii="Verdana" w:eastAsia="Times New Roman" w:hAnsi="Verdana" w:cs="Arial"/>
          <w:lang w:val="es-ES" w:eastAsia="es-CO"/>
        </w:rPr>
      </w:pPr>
      <w:r>
        <w:rPr>
          <w:rFonts w:ascii="Verdana" w:eastAsia="Times New Roman" w:hAnsi="Verdana" w:cs="Arial"/>
          <w:lang w:val="es-ES" w:eastAsia="es-CO"/>
        </w:rPr>
        <w:t>Dado que</w:t>
      </w:r>
      <w:r w:rsidR="007E6FD3" w:rsidRPr="00FC6F34">
        <w:rPr>
          <w:rFonts w:ascii="Verdana" w:eastAsia="Times New Roman" w:hAnsi="Verdana" w:cs="Arial"/>
          <w:lang w:val="es-ES" w:eastAsia="es-CO"/>
        </w:rPr>
        <w:t xml:space="preserve"> varias disposiciones de la Ley 996 de 2005 cont</w:t>
      </w:r>
      <w:r>
        <w:rPr>
          <w:rFonts w:ascii="Verdana" w:eastAsia="Times New Roman" w:hAnsi="Verdana" w:cs="Arial"/>
          <w:lang w:val="es-ES" w:eastAsia="es-CO"/>
        </w:rPr>
        <w:t>i</w:t>
      </w:r>
      <w:r w:rsidR="007E6FD3" w:rsidRPr="00FC6F34">
        <w:rPr>
          <w:rFonts w:ascii="Verdana" w:eastAsia="Times New Roman" w:hAnsi="Verdana" w:cs="Arial"/>
          <w:lang w:val="es-ES" w:eastAsia="es-CO"/>
        </w:rPr>
        <w:t>ene normas prohibitivas, deben interpretarse restrictivamente. En efecto, la Sala de Consulta y Servicio Civil del Consejo de Estado, precisó:</w:t>
      </w:r>
    </w:p>
    <w:p w14:paraId="7645BA19" w14:textId="77777777" w:rsidR="007E6FD3" w:rsidRPr="00FC6F34" w:rsidRDefault="007E6FD3" w:rsidP="007E6FD3">
      <w:pPr>
        <w:spacing w:after="0" w:line="276" w:lineRule="auto"/>
        <w:ind w:firstLine="709"/>
        <w:jc w:val="both"/>
        <w:rPr>
          <w:rFonts w:ascii="Verdana" w:eastAsia="Times New Roman" w:hAnsi="Verdana" w:cs="Arial"/>
          <w:lang w:val="es-ES" w:eastAsia="es-CO"/>
        </w:rPr>
      </w:pPr>
    </w:p>
    <w:p w14:paraId="6C01418C" w14:textId="77777777" w:rsidR="007E6FD3" w:rsidRPr="00FC6F34" w:rsidRDefault="007E6FD3" w:rsidP="007E6FD3">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C6F34">
        <w:rPr>
          <w:rFonts w:ascii="Verdana" w:eastAsia="Times New Roman" w:hAnsi="Verdana" w:cs="Arial"/>
          <w:sz w:val="20"/>
          <w:szCs w:val="20"/>
          <w:lang w:val="es-ES" w:eastAsia="es-CO"/>
        </w:rPr>
        <w:t>legis</w:t>
      </w:r>
      <w:proofErr w:type="spellEnd"/>
      <w:r w:rsidRPr="00FC6F34">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73C8A6E" w14:textId="77777777" w:rsidR="007E6FD3" w:rsidRPr="00FC6F34" w:rsidRDefault="007E6FD3" w:rsidP="007E6FD3">
      <w:pPr>
        <w:spacing w:after="0" w:line="240" w:lineRule="auto"/>
        <w:ind w:right="709"/>
        <w:jc w:val="both"/>
        <w:rPr>
          <w:rFonts w:ascii="Verdana" w:eastAsia="Times New Roman" w:hAnsi="Verdana" w:cs="Arial"/>
          <w:lang w:val="es-ES" w:eastAsia="es-CO"/>
        </w:rPr>
      </w:pPr>
    </w:p>
    <w:p w14:paraId="38974719" w14:textId="77777777" w:rsidR="007E6FD3" w:rsidRPr="00FC6F34" w:rsidRDefault="007E6FD3" w:rsidP="007E6FD3">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La jurisprudencia de la Corte Constitucional</w:t>
      </w:r>
      <w:r w:rsidRPr="00FC6F34">
        <w:rPr>
          <w:rFonts w:ascii="Verdana" w:eastAsia="Times New Roman" w:hAnsi="Verdana" w:cs="Arial"/>
          <w:sz w:val="20"/>
          <w:szCs w:val="20"/>
          <w:vertAlign w:val="superscript"/>
          <w:lang w:val="es-ES" w:eastAsia="es-CO"/>
        </w:rPr>
        <w:footnoteReference w:id="4"/>
      </w:r>
      <w:r w:rsidRPr="00FC6F34">
        <w:rPr>
          <w:rFonts w:ascii="Verdana" w:eastAsia="Times New Roman" w:hAnsi="Verdana" w:cs="Arial"/>
          <w:sz w:val="20"/>
          <w:szCs w:val="20"/>
          <w:lang w:val="es-ES" w:eastAsia="es-CO"/>
        </w:rPr>
        <w:t> y del Consejo de Estado</w:t>
      </w:r>
      <w:r w:rsidRPr="00FC6F34">
        <w:rPr>
          <w:rFonts w:ascii="Verdana" w:eastAsia="Times New Roman" w:hAnsi="Verdana" w:cs="Arial"/>
          <w:sz w:val="20"/>
          <w:szCs w:val="20"/>
          <w:vertAlign w:val="superscript"/>
          <w:lang w:val="es-ES" w:eastAsia="es-CO"/>
        </w:rPr>
        <w:footnoteReference w:id="5"/>
      </w:r>
      <w:r w:rsidRPr="00FC6F34">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C6F34">
        <w:rPr>
          <w:rFonts w:ascii="Verdana" w:eastAsia="Times New Roman" w:hAnsi="Verdana" w:cs="Arial"/>
          <w:sz w:val="20"/>
          <w:szCs w:val="20"/>
          <w:vertAlign w:val="superscript"/>
          <w:lang w:val="es-ES" w:eastAsia="es-CO"/>
        </w:rPr>
        <w:footnoteReference w:id="6"/>
      </w:r>
      <w:r w:rsidRPr="00FC6F34">
        <w:rPr>
          <w:rFonts w:ascii="Verdana" w:eastAsia="Times New Roman" w:hAnsi="Verdana" w:cs="Arial"/>
          <w:sz w:val="20"/>
          <w:szCs w:val="20"/>
          <w:lang w:val="es-ES" w:eastAsia="es-CO"/>
        </w:rPr>
        <w:t>.</w:t>
      </w:r>
    </w:p>
    <w:p w14:paraId="1E8F5935" w14:textId="77777777" w:rsidR="007E6FD3" w:rsidRPr="00FC6F34" w:rsidRDefault="007E6FD3" w:rsidP="007E6FD3">
      <w:pPr>
        <w:spacing w:after="0" w:line="276" w:lineRule="auto"/>
        <w:jc w:val="both"/>
        <w:rPr>
          <w:rFonts w:ascii="Verdana" w:eastAsia="Calibri" w:hAnsi="Verdana" w:cs="Arial"/>
          <w:bCs/>
          <w:lang w:val="es-ES"/>
        </w:rPr>
      </w:pPr>
    </w:p>
    <w:p w14:paraId="7C5E18E5" w14:textId="0A647322" w:rsidR="007E6FD3" w:rsidRDefault="007E6FD3" w:rsidP="007E6FD3">
      <w:pPr>
        <w:spacing w:after="0"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t>De</w:t>
      </w:r>
      <w:r w:rsidRPr="00FC6F34">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w:t>
      </w:r>
      <w:r w:rsidR="00B10478">
        <w:rPr>
          <w:rFonts w:ascii="Verdana" w:eastAsia="Arial" w:hAnsi="Verdana" w:cs="Arial"/>
          <w:lang w:val="es-ES" w:eastAsia="es-ES" w:bidi="es-ES"/>
        </w:rPr>
        <w:t>,</w:t>
      </w:r>
      <w:r>
        <w:rPr>
          <w:rFonts w:ascii="Verdana" w:eastAsia="Arial" w:hAnsi="Verdana" w:cs="Arial"/>
          <w:lang w:val="es-ES" w:eastAsia="es-ES" w:bidi="es-ES"/>
        </w:rPr>
        <w:t xml:space="preserve"> en</w:t>
      </w:r>
      <w:r w:rsidR="00B10478">
        <w:rPr>
          <w:rFonts w:ascii="Verdana" w:eastAsia="Arial" w:hAnsi="Verdana" w:cs="Arial"/>
          <w:lang w:val="es-ES" w:eastAsia="es-ES" w:bidi="es-ES"/>
        </w:rPr>
        <w:t>tre las que se destacan las restricciones aplicables en</w:t>
      </w:r>
      <w:r>
        <w:rPr>
          <w:rFonts w:ascii="Verdana" w:eastAsia="Arial" w:hAnsi="Verdana" w:cs="Arial"/>
          <w:lang w:val="es-ES" w:eastAsia="es-ES" w:bidi="es-ES"/>
        </w:rPr>
        <w:t xml:space="preserve"> materia de contratación pública</w:t>
      </w:r>
      <w:r w:rsidRPr="00FC6F34">
        <w:rPr>
          <w:rFonts w:ascii="Verdana" w:eastAsia="Arial" w:hAnsi="Verdana" w:cs="Arial"/>
          <w:lang w:val="es-ES" w:eastAsia="es-ES" w:bidi="es-ES"/>
        </w:rPr>
        <w:t xml:space="preserve">. </w:t>
      </w:r>
      <w:r w:rsidR="00B10478">
        <w:rPr>
          <w:rFonts w:ascii="Verdana" w:eastAsia="Arial" w:hAnsi="Verdana" w:cs="Arial"/>
          <w:lang w:val="es-ES" w:eastAsia="es-ES" w:bidi="es-ES"/>
        </w:rPr>
        <w:t>Esto c</w:t>
      </w:r>
      <w:r w:rsidRPr="00FC6F34">
        <w:rPr>
          <w:rFonts w:ascii="Verdana" w:eastAsia="Arial" w:hAnsi="Verdana" w:cs="Arial"/>
          <w:lang w:val="es-ES" w:eastAsia="es-ES" w:bidi="es-ES"/>
        </w:rPr>
        <w:t xml:space="preserve">on la finalidad de preservar la igualdad entre los candidatos en las elecciones, aumentó las garantías en materia de contratación, de forma que no </w:t>
      </w:r>
      <w:r w:rsidRPr="00FC6F34">
        <w:rPr>
          <w:rFonts w:ascii="Verdana" w:eastAsia="Arial" w:hAnsi="Verdana" w:cs="Arial"/>
          <w:lang w:val="es-ES" w:eastAsia="es-ES" w:bidi="es-ES"/>
        </w:rPr>
        <w:lastRenderedPageBreak/>
        <w:t xml:space="preserve">exista siquiera sospecha de que, por ese medio, en los periodos previos a la contienda electoral, se alteren las condiciones de igualdad entre los candidatos. </w:t>
      </w:r>
      <w:r w:rsidR="00512F55">
        <w:rPr>
          <w:rFonts w:ascii="Verdana" w:eastAsia="Arial" w:hAnsi="Verdana" w:cs="Arial"/>
          <w:lang w:val="es-ES" w:eastAsia="es-ES" w:bidi="es-ES"/>
        </w:rPr>
        <w:t>Teniendo en cuenta el contenido de la consulta y</w:t>
      </w:r>
      <w:r w:rsidR="0074237D">
        <w:rPr>
          <w:rFonts w:ascii="Verdana" w:eastAsia="Arial" w:hAnsi="Verdana" w:cs="Arial"/>
          <w:lang w:val="es-ES" w:eastAsia="es-ES" w:bidi="es-ES"/>
        </w:rPr>
        <w:t xml:space="preserve"> de conformidad con</w:t>
      </w:r>
      <w:r w:rsidR="00512F55">
        <w:rPr>
          <w:rFonts w:ascii="Verdana" w:eastAsia="Arial" w:hAnsi="Verdana" w:cs="Arial"/>
          <w:lang w:val="es-ES" w:eastAsia="es-ES" w:bidi="es-ES"/>
        </w:rPr>
        <w:t xml:space="preserve"> las competencias que le asisten a esta Agencia, a continuación</w:t>
      </w:r>
      <w:r w:rsidR="0074237D">
        <w:rPr>
          <w:rFonts w:ascii="Verdana" w:eastAsia="Arial" w:hAnsi="Verdana" w:cs="Arial"/>
          <w:lang w:val="es-ES" w:eastAsia="es-ES" w:bidi="es-ES"/>
        </w:rPr>
        <w:t>,</w:t>
      </w:r>
      <w:r w:rsidR="00512F55">
        <w:rPr>
          <w:rFonts w:ascii="Verdana" w:eastAsia="Arial" w:hAnsi="Verdana" w:cs="Arial"/>
          <w:lang w:val="es-ES" w:eastAsia="es-ES" w:bidi="es-ES"/>
        </w:rPr>
        <w:t xml:space="preserve"> se realizar</w:t>
      </w:r>
      <w:r w:rsidR="0074237D">
        <w:rPr>
          <w:rFonts w:ascii="Verdana" w:eastAsia="Arial" w:hAnsi="Verdana" w:cs="Arial"/>
          <w:lang w:val="es-ES" w:eastAsia="es-ES" w:bidi="es-ES"/>
        </w:rPr>
        <w:t>á</w:t>
      </w:r>
      <w:r w:rsidR="00512F55">
        <w:rPr>
          <w:rFonts w:ascii="Verdana" w:eastAsia="Arial" w:hAnsi="Verdana" w:cs="Arial"/>
          <w:lang w:val="es-ES" w:eastAsia="es-ES" w:bidi="es-ES"/>
        </w:rPr>
        <w:t xml:space="preserve"> el análisis de las prohibiciones</w:t>
      </w:r>
      <w:r w:rsidR="0074237D">
        <w:rPr>
          <w:rFonts w:ascii="Verdana" w:eastAsia="Arial" w:hAnsi="Verdana" w:cs="Arial"/>
          <w:lang w:val="es-ES" w:eastAsia="es-ES" w:bidi="es-ES"/>
        </w:rPr>
        <w:t xml:space="preserve"> dirigidas a la contratación estatal. </w:t>
      </w:r>
      <w:r w:rsidR="00512F55">
        <w:rPr>
          <w:rFonts w:ascii="Verdana" w:eastAsia="Arial" w:hAnsi="Verdana" w:cs="Arial"/>
          <w:lang w:val="es-ES" w:eastAsia="es-ES" w:bidi="es-ES"/>
        </w:rPr>
        <w:t xml:space="preserve"> </w:t>
      </w:r>
    </w:p>
    <w:p w14:paraId="40EE16CE" w14:textId="77777777" w:rsidR="007E6FD3" w:rsidRPr="00FC6F34" w:rsidRDefault="007E6FD3" w:rsidP="007E6FD3">
      <w:pPr>
        <w:spacing w:after="0" w:line="276" w:lineRule="auto"/>
        <w:ind w:firstLine="709"/>
        <w:jc w:val="both"/>
        <w:rPr>
          <w:rFonts w:ascii="Verdana" w:eastAsia="Arial" w:hAnsi="Verdana" w:cs="Arial"/>
          <w:lang w:val="es-ES" w:eastAsia="es-ES" w:bidi="es-ES"/>
        </w:rPr>
      </w:pPr>
    </w:p>
    <w:p w14:paraId="08EDC25E" w14:textId="77777777" w:rsidR="007E6FD3" w:rsidRPr="00FC6F34" w:rsidRDefault="007E6FD3" w:rsidP="00880608">
      <w:pPr>
        <w:spacing w:after="120" w:line="276" w:lineRule="auto"/>
        <w:jc w:val="both"/>
        <w:rPr>
          <w:rFonts w:ascii="Verdana" w:eastAsia="Arial" w:hAnsi="Verdana" w:cs="Arial"/>
          <w:lang w:val="es-ES" w:eastAsia="es-ES" w:bidi="es-ES"/>
        </w:rPr>
      </w:pPr>
      <w:r w:rsidRPr="00FC6F34">
        <w:rPr>
          <w:rFonts w:ascii="Verdana" w:eastAsia="Arial" w:hAnsi="Verdana" w:cs="Arial"/>
          <w:lang w:val="es-ES" w:eastAsia="es-ES" w:bidi="es-ES"/>
        </w:rPr>
        <w:t xml:space="preserve">ii) Las restricciones consagradas en la Ley de Garantías </w:t>
      </w:r>
      <w:r>
        <w:rPr>
          <w:rFonts w:ascii="Verdana" w:eastAsia="Arial" w:hAnsi="Verdana" w:cs="Arial"/>
          <w:lang w:val="es-ES" w:eastAsia="es-ES" w:bidi="es-ES"/>
        </w:rPr>
        <w:t xml:space="preserve">en materia de contratación pública </w:t>
      </w:r>
      <w:r w:rsidRPr="00FC6F34">
        <w:rPr>
          <w:rFonts w:ascii="Verdana" w:eastAsia="Arial" w:hAnsi="Verdana" w:cs="Arial"/>
          <w:lang w:val="es-ES" w:eastAsia="es-ES" w:bidi="es-ES"/>
        </w:rPr>
        <w:t>se dirigen a dos (2) tipos de campañas electorales diferenciadas: las presidenciales y las que se adelanten para la elección de los demás cargos de elección popular, tanto a nivel nacional como territorial.</w:t>
      </w:r>
    </w:p>
    <w:p w14:paraId="24464859" w14:textId="77777777" w:rsidR="007E6FD3" w:rsidRPr="00FC6F34" w:rsidRDefault="007E6FD3" w:rsidP="007D1880">
      <w:pPr>
        <w:spacing w:after="120" w:line="276" w:lineRule="auto"/>
        <w:ind w:firstLine="708"/>
        <w:jc w:val="both"/>
        <w:rPr>
          <w:rFonts w:ascii="Verdana" w:eastAsia="Calibri" w:hAnsi="Verdana" w:cs="Arial"/>
          <w:lang w:val="es-ES"/>
        </w:rPr>
      </w:pPr>
      <w:r w:rsidRPr="00FC6F34">
        <w:rPr>
          <w:rFonts w:ascii="Verdana" w:eastAsia="Calibri" w:hAnsi="Verdana" w:cs="Arial"/>
          <w:lang w:val="es-ES"/>
        </w:rPr>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C6F34">
        <w:rPr>
          <w:rFonts w:ascii="Verdana" w:eastAsia="Calibri" w:hAnsi="Verdana" w:cs="Arial"/>
          <w:vertAlign w:val="superscript"/>
          <w:lang w:val="es-ES"/>
        </w:rPr>
        <w:footnoteReference w:id="7"/>
      </w:r>
      <w:r w:rsidRPr="00FC6F34">
        <w:rPr>
          <w:rFonts w:ascii="Verdana" w:eastAsia="Calibri" w:hAnsi="Verdana" w:cs="Arial"/>
          <w:lang w:val="es-ES"/>
        </w:rPr>
        <w:t>.</w:t>
      </w:r>
    </w:p>
    <w:p w14:paraId="37523AA6" w14:textId="77777777" w:rsidR="007E6FD3" w:rsidRPr="00FC6F34" w:rsidRDefault="007E6FD3" w:rsidP="006356EF">
      <w:pPr>
        <w:widowControl w:val="0"/>
        <w:autoSpaceDE w:val="0"/>
        <w:autoSpaceDN w:val="0"/>
        <w:spacing w:after="120" w:line="276" w:lineRule="auto"/>
        <w:ind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xml:space="preserve">, que prohíbe a los gobernadores, alcaldes municipales o distritales, secretarios, gerentes y directores de entidades descentralizadas del orden municipal, departamental o distrital “[…] celebrar </w:t>
      </w:r>
      <w:r w:rsidRPr="006356EF">
        <w:rPr>
          <w:rFonts w:ascii="Verdana" w:eastAsia="Calibri" w:hAnsi="Verdana" w:cs="Arial"/>
          <w:i/>
          <w:iCs/>
          <w:lang w:val="es-ES"/>
        </w:rPr>
        <w:t>convenios interadministrativos</w:t>
      </w:r>
      <w:r w:rsidRPr="00FC6F34">
        <w:rPr>
          <w:rFonts w:ascii="Verdana" w:eastAsia="Calibri" w:hAnsi="Verdana" w:cs="Arial"/>
          <w:lang w:val="es-ES"/>
        </w:rPr>
        <w:t xml:space="preserve"> para la ejecución de recursos públicos, ni participar, promover y destinar recursos públicos de las entidades a su cargo, como tampoco de las que participen como miembros de sus juntas directivas, en o para reuniones de carácter proselitista”</w:t>
      </w:r>
      <w:r w:rsidRPr="00FC6F34">
        <w:rPr>
          <w:rFonts w:ascii="Verdana" w:eastAsia="Calibri" w:hAnsi="Verdana" w:cs="Arial"/>
          <w:vertAlign w:val="superscript"/>
          <w:lang w:val="es-ES"/>
        </w:rPr>
        <w:footnoteReference w:id="8"/>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68A0D49C" w14:textId="2ABA2938" w:rsidR="007E6FD3" w:rsidRPr="00FC6F34" w:rsidRDefault="007E6FD3" w:rsidP="007E6FD3">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lastRenderedPageBreak/>
        <w:t xml:space="preserve">La Sala de Consulta y Servicio Civil del Consejo de Estado ha aclarado la distinción en la aplicación de las prohibiciones de la Ley 996 de 2005, dependiendo del tipo de elección que se trate. Al respecto, </w:t>
      </w:r>
      <w:r w:rsidR="00724A07">
        <w:rPr>
          <w:rFonts w:ascii="Verdana" w:eastAsia="Arial" w:hAnsi="Verdana" w:cs="Arial"/>
          <w:lang w:val="es-ES" w:eastAsia="es-ES" w:bidi="es-ES"/>
        </w:rPr>
        <w:t xml:space="preserve">ha </w:t>
      </w:r>
      <w:r w:rsidRPr="00FC6F34">
        <w:rPr>
          <w:rFonts w:ascii="Verdana" w:eastAsia="Arial" w:hAnsi="Verdana" w:cs="Arial"/>
          <w:lang w:val="es-ES" w:eastAsia="es-ES" w:bidi="es-ES"/>
        </w:rPr>
        <w:t>señala</w:t>
      </w:r>
      <w:r w:rsidR="00724A07">
        <w:rPr>
          <w:rFonts w:ascii="Verdana" w:eastAsia="Arial" w:hAnsi="Verdana" w:cs="Arial"/>
          <w:lang w:val="es-ES" w:eastAsia="es-ES" w:bidi="es-ES"/>
        </w:rPr>
        <w:t>do</w:t>
      </w:r>
      <w:r w:rsidRPr="00FC6F34">
        <w:rPr>
          <w:rFonts w:ascii="Verdana" w:eastAsia="Arial" w:hAnsi="Verdana" w:cs="Arial"/>
          <w:lang w:val="es-ES" w:eastAsia="es-ES" w:bidi="es-ES"/>
        </w:rPr>
        <w:t>:</w:t>
      </w:r>
    </w:p>
    <w:p w14:paraId="7D094A7F" w14:textId="77777777" w:rsidR="007E6FD3" w:rsidRPr="00FC6F34" w:rsidRDefault="007E6FD3" w:rsidP="007E6FD3">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687BE491" w14:textId="77777777" w:rsidR="007E6FD3" w:rsidRPr="00FC6F34" w:rsidRDefault="007E6FD3" w:rsidP="007E6FD3">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FC6F34">
        <w:rPr>
          <w:rFonts w:ascii="Verdana" w:eastAsia="Arial" w:hAnsi="Verdana" w:cs="Arial"/>
          <w:sz w:val="20"/>
          <w:szCs w:val="20"/>
          <w:lang w:val="es-ES" w:eastAsia="es-ES" w:bidi="es-ES"/>
        </w:rPr>
        <w:t>Presidente</w:t>
      </w:r>
      <w:proofErr w:type="gramEnd"/>
      <w:r w:rsidRPr="00FC6F34">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9"/>
      </w:r>
    </w:p>
    <w:p w14:paraId="73FC8762" w14:textId="77777777" w:rsidR="007E6FD3" w:rsidRPr="00FC6F34" w:rsidRDefault="007E6FD3" w:rsidP="007E6FD3">
      <w:pPr>
        <w:widowControl w:val="0"/>
        <w:autoSpaceDE w:val="0"/>
        <w:autoSpaceDN w:val="0"/>
        <w:spacing w:after="0" w:line="276" w:lineRule="auto"/>
        <w:contextualSpacing/>
        <w:rPr>
          <w:rFonts w:ascii="Verdana" w:eastAsia="Arial" w:hAnsi="Verdana" w:cs="Arial"/>
          <w:lang w:val="es-ES" w:eastAsia="es-ES" w:bidi="es-ES"/>
        </w:rPr>
      </w:pPr>
    </w:p>
    <w:p w14:paraId="0899B898" w14:textId="77777777" w:rsidR="00724A07" w:rsidRDefault="007E6FD3" w:rsidP="007E6FD3">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De conformidad con lo anterior, la Ley 996 de 2005 establece dos (2) tipos de restricciones en materia de contratación, las cuales</w:t>
      </w:r>
      <w:r w:rsidR="00724A07">
        <w:rPr>
          <w:rFonts w:ascii="Verdana" w:eastAsia="Arial" w:hAnsi="Verdana" w:cs="Arial"/>
          <w:lang w:val="es-ES" w:eastAsia="es-ES" w:bidi="es-ES"/>
        </w:rPr>
        <w:t xml:space="preserve">, aunque </w:t>
      </w:r>
      <w:proofErr w:type="gramStart"/>
      <w:r w:rsidR="00724A07">
        <w:rPr>
          <w:rFonts w:ascii="Verdana" w:eastAsia="Arial" w:hAnsi="Verdana" w:cs="Arial"/>
          <w:lang w:val="es-ES" w:eastAsia="es-ES" w:bidi="es-ES"/>
        </w:rPr>
        <w:t xml:space="preserve">distintas, </w:t>
      </w:r>
      <w:r w:rsidRPr="00FC6F34">
        <w:rPr>
          <w:rFonts w:ascii="Verdana" w:eastAsia="Arial" w:hAnsi="Verdana" w:cs="Arial"/>
          <w:lang w:val="es-ES" w:eastAsia="es-ES" w:bidi="es-ES"/>
        </w:rPr>
        <w:t xml:space="preserve"> coinciden</w:t>
      </w:r>
      <w:proofErr w:type="gramEnd"/>
      <w:r w:rsidRPr="00FC6F34">
        <w:rPr>
          <w:rFonts w:ascii="Verdana" w:eastAsia="Arial" w:hAnsi="Verdana" w:cs="Arial"/>
          <w:lang w:val="es-ES" w:eastAsia="es-ES" w:bidi="es-ES"/>
        </w:rPr>
        <w:t xml:space="preserve">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w:t>
      </w:r>
      <w:r w:rsidRPr="006356EF">
        <w:rPr>
          <w:rFonts w:ascii="Verdana" w:eastAsia="Arial" w:hAnsi="Verdana" w:cs="Arial"/>
          <w:i/>
          <w:iCs/>
          <w:lang w:val="es-ES" w:eastAsia="es-ES" w:bidi="es-ES"/>
        </w:rPr>
        <w:t>contratación directa</w:t>
      </w:r>
      <w:r w:rsidRPr="00FC6F34">
        <w:rPr>
          <w:rFonts w:ascii="Verdana" w:eastAsia="Arial" w:hAnsi="Verdana" w:cs="Arial"/>
          <w:lang w:val="es-ES" w:eastAsia="es-ES" w:bidi="es-ES"/>
        </w:rPr>
        <w:t xml:space="preserve">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39E2AC58" w14:textId="62D10AD7" w:rsidR="007E6FD3" w:rsidRPr="00FC6F34" w:rsidRDefault="007E6FD3" w:rsidP="007E6FD3">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i/>
          <w:lang w:val="es-ES" w:eastAsia="es-ES" w:bidi="es-ES"/>
        </w:rPr>
        <w:lastRenderedPageBreak/>
        <w:t>En segundo lugar</w:t>
      </w:r>
      <w:r w:rsidRPr="00FC6F34">
        <w:rPr>
          <w:rFonts w:ascii="Verdana" w:eastAsia="Arial" w:hAnsi="Verdana" w:cs="Arial"/>
          <w:lang w:val="es-ES" w:eastAsia="es-ES" w:bidi="es-ES"/>
        </w:rPr>
        <w:t xml:space="preserve">, también se encuentra la prohibición del parágrafo del artículo 38, el cual debe aplicarse respecto de cualquier tipo de contienda electoral, y que prohíbe la celebración de </w:t>
      </w:r>
      <w:r w:rsidRPr="006356EF">
        <w:rPr>
          <w:rFonts w:ascii="Verdana" w:eastAsia="Arial" w:hAnsi="Verdana" w:cs="Arial"/>
          <w:i/>
          <w:iCs/>
          <w:lang w:val="es-ES" w:eastAsia="es-ES" w:bidi="es-ES"/>
        </w:rPr>
        <w:t>convenios interadministrativos</w:t>
      </w:r>
      <w:r w:rsidRPr="00FC6F34">
        <w:rPr>
          <w:rFonts w:ascii="Verdana" w:eastAsia="Arial" w:hAnsi="Verdana" w:cs="Arial"/>
          <w:lang w:val="es-ES" w:eastAsia="es-ES" w:bidi="es-ES"/>
        </w:rPr>
        <w:t xml:space="preserve"> que impliquen la ejecución de recursos públicos dentro de los cuatro (4) meses anteriores a la respectiva jornada de votaciones.</w:t>
      </w:r>
    </w:p>
    <w:p w14:paraId="47FA7B9E" w14:textId="07D15215" w:rsidR="007E6FD3" w:rsidRDefault="007E6FD3" w:rsidP="00724A07">
      <w:pPr>
        <w:spacing w:after="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las autoridades allí mencionadas</w:t>
      </w:r>
      <w:r w:rsidR="00A03042">
        <w:rPr>
          <w:rFonts w:ascii="Verdana" w:eastAsia="Arial" w:hAnsi="Verdana" w:cs="Arial"/>
          <w:lang w:val="es-ES" w:eastAsia="es-ES" w:bidi="es-ES"/>
        </w:rPr>
        <w:t xml:space="preserve">, esto es </w:t>
      </w:r>
      <w:r w:rsidR="00A03042" w:rsidRPr="00FC6F34">
        <w:rPr>
          <w:rFonts w:ascii="Verdana" w:eastAsia="Calibri" w:hAnsi="Verdana" w:cs="Arial"/>
          <w:lang w:val="es-ES"/>
        </w:rPr>
        <w:t>gobernadores, alcaldes municipales o distritales, secretarios, gerentes y directores de entidades descentralizadas del orden municipal, departamental o distrital</w:t>
      </w:r>
      <w:r w:rsidR="00A03042">
        <w:rPr>
          <w:rFonts w:ascii="Verdana" w:eastAsia="Arial" w:hAnsi="Verdana" w:cs="Arial"/>
          <w:lang w:val="es-ES" w:eastAsia="es-ES" w:bidi="es-ES"/>
        </w:rPr>
        <w:t>,</w:t>
      </w:r>
      <w:r w:rsidRPr="00FC6F34">
        <w:rPr>
          <w:rFonts w:ascii="Verdana" w:eastAsia="Arial" w:hAnsi="Verdana" w:cs="Arial"/>
          <w:lang w:val="es-ES" w:eastAsia="es-ES" w:bidi="es-ES"/>
        </w:rPr>
        <w:t xml:space="preserve"> sólo deben aplicar las restricciones contenidas en el parágrafo del artículo 38.</w:t>
      </w:r>
    </w:p>
    <w:p w14:paraId="2A608B6A" w14:textId="77777777" w:rsidR="00724A07" w:rsidRPr="00FC6F34" w:rsidRDefault="00724A07" w:rsidP="006356EF">
      <w:pPr>
        <w:spacing w:after="0" w:line="276" w:lineRule="auto"/>
        <w:ind w:firstLine="709"/>
        <w:jc w:val="both"/>
        <w:rPr>
          <w:rFonts w:ascii="Verdana" w:eastAsia="Arial" w:hAnsi="Verdana" w:cs="Arial"/>
          <w:lang w:val="es-ES" w:eastAsia="es-ES" w:bidi="es-ES"/>
        </w:rPr>
      </w:pPr>
    </w:p>
    <w:p w14:paraId="6F653975" w14:textId="312EFBD9" w:rsidR="007E6FD3" w:rsidRDefault="007E6FD3" w:rsidP="009F06FE">
      <w:pPr>
        <w:spacing w:after="0" w:line="276" w:lineRule="auto"/>
        <w:jc w:val="both"/>
        <w:rPr>
          <w:rFonts w:ascii="Verdana" w:eastAsia="Times New Roman" w:hAnsi="Verdana" w:cs="Arial"/>
          <w:lang w:val="es-ES" w:eastAsia="es-CO"/>
        </w:rPr>
      </w:pPr>
      <w:r w:rsidRPr="00FC6F34">
        <w:rPr>
          <w:rFonts w:ascii="Verdana" w:eastAsia="Calibri" w:hAnsi="Verdana" w:cs="Arial"/>
          <w:lang w:val="es-ES"/>
        </w:rPr>
        <w:t xml:space="preserve">iii) </w:t>
      </w:r>
      <w:r>
        <w:rPr>
          <w:rFonts w:ascii="Verdana" w:eastAsia="Calibri" w:hAnsi="Verdana" w:cs="Arial"/>
          <w:lang w:val="es-ES" w:eastAsia="es-ES" w:bidi="es-ES"/>
        </w:rPr>
        <w:t>P</w:t>
      </w:r>
      <w:r w:rsidRPr="00FC6F34">
        <w:rPr>
          <w:rFonts w:ascii="Verdana" w:eastAsia="Calibri" w:hAnsi="Verdana" w:cs="Arial"/>
          <w:lang w:val="es-ES" w:eastAsia="es-ES" w:bidi="es-ES"/>
        </w:rPr>
        <w:t xml:space="preserve">ara responder al problema jurídico planteado es necesario precisar el alcance de la prohibición </w:t>
      </w:r>
      <w:r w:rsidRPr="00FC6F34">
        <w:rPr>
          <w:rFonts w:ascii="Verdana" w:eastAsia="Arial" w:hAnsi="Verdana" w:cs="Arial"/>
          <w:lang w:val="es-ES" w:eastAsia="es-ES" w:bidi="es-ES"/>
        </w:rPr>
        <w:t>establecida en e</w:t>
      </w:r>
      <w:r w:rsidRPr="00FC6F34">
        <w:rPr>
          <w:rFonts w:ascii="Verdana" w:eastAsia="Calibri" w:hAnsi="Verdana" w:cs="Arial"/>
          <w:lang w:val="es-ES"/>
        </w:rPr>
        <w:t xml:space="preserve">l </w:t>
      </w:r>
      <w:r w:rsidRPr="00FC6F34">
        <w:rPr>
          <w:rFonts w:ascii="Verdana" w:eastAsia="Times New Roman" w:hAnsi="Verdana" w:cs="Arial"/>
          <w:lang w:val="es-ES"/>
        </w:rPr>
        <w:t xml:space="preserve">artículo 33 de la Ley 996 de 2005. El </w:t>
      </w:r>
      <w:r w:rsidRPr="00CD0948">
        <w:rPr>
          <w:rFonts w:ascii="Verdana" w:eastAsia="Times New Roman" w:hAnsi="Verdana" w:cs="Arial"/>
          <w:i/>
          <w:iCs/>
          <w:lang w:val="es-ES"/>
        </w:rPr>
        <w:t>ámbito material</w:t>
      </w:r>
      <w:r w:rsidRPr="00FC6F34">
        <w:rPr>
          <w:rFonts w:ascii="Verdana" w:eastAsia="Times New Roman" w:hAnsi="Verdana" w:cs="Arial"/>
          <w:lang w:val="es-ES"/>
        </w:rPr>
        <w:t xml:space="preserve"> de esta prohibición está delimitado por la expresión </w:t>
      </w:r>
      <w:r w:rsidRPr="00FC6F34">
        <w:rPr>
          <w:rFonts w:ascii="Verdana" w:eastAsia="Calibri" w:hAnsi="Verdana" w:cs="Arial"/>
          <w:bCs/>
          <w:lang w:val="es-ES"/>
        </w:rPr>
        <w:t>“</w:t>
      </w:r>
      <w:r w:rsidRPr="00FC6F34">
        <w:rPr>
          <w:rFonts w:ascii="Verdana" w:eastAsia="Times New Roman" w:hAnsi="Verdana" w:cs="Arial"/>
          <w:lang w:val="es-ES"/>
        </w:rPr>
        <w:t>queda prohibida la contratación directa</w:t>
      </w:r>
      <w:r w:rsidRPr="00FC6F34">
        <w:rPr>
          <w:rFonts w:ascii="Verdana" w:eastAsia="Calibri" w:hAnsi="Verdana" w:cs="Arial"/>
          <w:lang w:val="es-ES"/>
        </w:rPr>
        <w:t>”</w:t>
      </w:r>
      <w:r w:rsidR="001100D0">
        <w:rPr>
          <w:rFonts w:ascii="Verdana" w:eastAsia="Calibri" w:hAnsi="Verdana" w:cs="Arial"/>
          <w:lang w:val="es-ES"/>
        </w:rPr>
        <w:t>, lo que exige determinar qué debe entenderse por contratación directa para efectos de la Ley de Garantías Electorales</w:t>
      </w:r>
      <w:r w:rsidRPr="00FC6F34">
        <w:rPr>
          <w:rFonts w:ascii="Verdana" w:eastAsia="Times New Roman" w:hAnsi="Verdana" w:cs="Arial"/>
          <w:lang w:val="es-ES"/>
        </w:rPr>
        <w:t xml:space="preserve">. </w:t>
      </w:r>
      <w:r w:rsidR="00950C17">
        <w:rPr>
          <w:rFonts w:ascii="Verdana" w:eastAsia="Times New Roman" w:hAnsi="Verdana" w:cs="Arial"/>
          <w:lang w:val="es-ES" w:eastAsia="es-CO"/>
        </w:rPr>
        <w:t>Sobre este punto</w:t>
      </w:r>
      <w:r w:rsidRPr="00FC6F34">
        <w:rPr>
          <w:rFonts w:ascii="Verdana" w:eastAsia="Times New Roman" w:hAnsi="Verdana" w:cs="Arial"/>
          <w:lang w:val="es-ES" w:eastAsia="es-CO"/>
        </w:rPr>
        <w:t>, la Sala de Consulta y Servicio Civil del Consejo de Estado ha considerado que:</w:t>
      </w:r>
    </w:p>
    <w:p w14:paraId="0C3885D0" w14:textId="77777777" w:rsidR="00A03042" w:rsidRPr="00FC6F34" w:rsidRDefault="00A03042" w:rsidP="006356EF">
      <w:pPr>
        <w:spacing w:after="0" w:line="276" w:lineRule="auto"/>
        <w:jc w:val="both"/>
        <w:rPr>
          <w:rFonts w:ascii="Verdana" w:eastAsia="Times New Roman" w:hAnsi="Verdana" w:cs="Arial"/>
          <w:bCs/>
          <w:lang w:val="es-ES" w:eastAsia="es-CO"/>
        </w:rPr>
      </w:pPr>
    </w:p>
    <w:p w14:paraId="195A2E46" w14:textId="77777777" w:rsidR="007E6FD3" w:rsidRPr="00FC6F34" w:rsidRDefault="007E6FD3" w:rsidP="009F06FE">
      <w:pPr>
        <w:spacing w:after="0" w:line="240" w:lineRule="auto"/>
        <w:ind w:left="709" w:right="709"/>
        <w:jc w:val="both"/>
        <w:rPr>
          <w:rFonts w:ascii="Verdana" w:eastAsia="Calibri" w:hAnsi="Verdana" w:cs="Arial"/>
          <w:sz w:val="20"/>
          <w:szCs w:val="20"/>
          <w:lang w:val="es-ES"/>
        </w:rPr>
      </w:pPr>
      <w:r w:rsidRPr="00FC6F34">
        <w:rPr>
          <w:rFonts w:ascii="Verdana" w:eastAsia="Calibri" w:hAnsi="Verdana" w:cs="Arial"/>
          <w:sz w:val="20"/>
          <w:szCs w:val="20"/>
          <w:lang w:val="es-ES"/>
        </w:rPr>
        <w:t xml:space="preserve">“[…] Esta Sala ha entendido </w:t>
      </w:r>
      <w:proofErr w:type="gramStart"/>
      <w:r w:rsidRPr="00FC6F34">
        <w:rPr>
          <w:rFonts w:ascii="Verdana" w:eastAsia="Calibri" w:hAnsi="Verdana" w:cs="Arial"/>
          <w:sz w:val="20"/>
          <w:szCs w:val="20"/>
          <w:lang w:val="es-ES"/>
        </w:rPr>
        <w:t>que</w:t>
      </w:r>
      <w:proofErr w:type="gramEnd"/>
      <w:r w:rsidRPr="00FC6F34">
        <w:rPr>
          <w:rFonts w:ascii="Verdana" w:eastAsia="Calibri" w:hAnsi="Verdana" w:cs="Arial"/>
          <w:sz w:val="20"/>
          <w:szCs w:val="20"/>
          <w:lang w:val="es-ES"/>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C6F34">
        <w:rPr>
          <w:rFonts w:ascii="Verdana" w:eastAsia="Times New Roman" w:hAnsi="Verdana" w:cs="Arial"/>
          <w:sz w:val="20"/>
          <w:szCs w:val="20"/>
          <w:vertAlign w:val="superscript"/>
          <w:lang w:val="es-ES"/>
        </w:rPr>
        <w:footnoteReference w:id="10"/>
      </w:r>
      <w:r w:rsidRPr="00FC6F34">
        <w:rPr>
          <w:rFonts w:ascii="Verdana" w:eastAsia="Times New Roman" w:hAnsi="Verdana" w:cs="Arial"/>
          <w:sz w:val="20"/>
          <w:szCs w:val="20"/>
          <w:vertAlign w:val="superscript"/>
          <w:lang w:val="es-ES"/>
        </w:rPr>
        <w:t>.</w:t>
      </w:r>
      <w:r w:rsidRPr="00FC6F34">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C6F34">
        <w:rPr>
          <w:rFonts w:ascii="Verdana" w:eastAsia="Times New Roman" w:hAnsi="Verdana" w:cs="Arial"/>
          <w:sz w:val="20"/>
          <w:szCs w:val="20"/>
          <w:vertAlign w:val="superscript"/>
          <w:lang w:val="es-ES" w:eastAsia="es-CO"/>
        </w:rPr>
        <w:footnoteReference w:id="11"/>
      </w:r>
      <w:r w:rsidRPr="00FC6F34">
        <w:rPr>
          <w:rFonts w:ascii="Verdana" w:eastAsia="Calibri" w:hAnsi="Verdana" w:cs="Arial"/>
          <w:sz w:val="20"/>
          <w:szCs w:val="20"/>
          <w:lang w:val="es-ES"/>
        </w:rPr>
        <w:t xml:space="preserve"> .</w:t>
      </w:r>
    </w:p>
    <w:p w14:paraId="33ADF525" w14:textId="77777777" w:rsidR="007E6FD3" w:rsidRPr="00FC6F34" w:rsidRDefault="007E6FD3" w:rsidP="007E6FD3">
      <w:pPr>
        <w:shd w:val="clear" w:color="auto" w:fill="FFFFFF" w:themeFill="background1"/>
        <w:spacing w:after="0" w:line="276" w:lineRule="auto"/>
        <w:ind w:firstLine="709"/>
        <w:jc w:val="both"/>
        <w:rPr>
          <w:rFonts w:ascii="Verdana" w:eastAsia="Times New Roman" w:hAnsi="Verdana" w:cs="Arial"/>
          <w:lang w:val="es-ES" w:eastAsia="x-none"/>
        </w:rPr>
      </w:pPr>
    </w:p>
    <w:p w14:paraId="33A24B62" w14:textId="72807C49" w:rsidR="007E6FD3" w:rsidRPr="00FC6F34" w:rsidRDefault="007E6FD3" w:rsidP="007E6FD3">
      <w:pPr>
        <w:spacing w:after="120" w:line="276" w:lineRule="auto"/>
        <w:ind w:firstLine="708"/>
        <w:jc w:val="both"/>
        <w:rPr>
          <w:rFonts w:ascii="Verdana" w:eastAsia="Times New Roman" w:hAnsi="Verdana" w:cs="Arial"/>
          <w:bCs/>
          <w:lang w:val="es-ES" w:eastAsia="x-none"/>
        </w:rPr>
      </w:pPr>
      <w:r w:rsidRPr="00FC6F34">
        <w:rPr>
          <w:rFonts w:ascii="Verdana" w:eastAsia="Times New Roman" w:hAnsi="Verdana" w:cs="Arial"/>
          <w:lang w:val="es-ES" w:eastAsia="x-none"/>
        </w:rPr>
        <w:lastRenderedPageBreak/>
        <w:t xml:space="preserve">De acuerdo con este concepto, la prohibición del artículo 33 de la Ley de Garantías Electorales se refiere a </w:t>
      </w:r>
      <w:r w:rsidRPr="00FC6F34">
        <w:rPr>
          <w:rFonts w:ascii="Verdana" w:eastAsia="Times New Roman" w:hAnsi="Verdana" w:cs="Arial"/>
          <w:sz w:val="19"/>
          <w:szCs w:val="19"/>
          <w:lang w:val="es-ES" w:eastAsia="en-GB"/>
        </w:rPr>
        <w:t>“</w:t>
      </w:r>
      <w:r w:rsidRPr="002D360F">
        <w:rPr>
          <w:rFonts w:ascii="Verdana" w:eastAsia="Times New Roman" w:hAnsi="Verdana" w:cs="Arial"/>
          <w:i/>
          <w:iCs/>
          <w:lang w:val="es-ES" w:eastAsia="x-none"/>
        </w:rPr>
        <w:t>cualquier sistema</w:t>
      </w:r>
      <w:r w:rsidRPr="00FC6F34">
        <w:rPr>
          <w:rFonts w:ascii="Verdana" w:eastAsia="Times New Roman" w:hAnsi="Verdana" w:cs="Arial"/>
          <w:lang w:val="es-ES" w:eastAsia="x-none"/>
        </w:rPr>
        <w:t xml:space="preserve">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FC6F34">
        <w:rPr>
          <w:rFonts w:ascii="Verdana" w:eastAsia="Times New Roman" w:hAnsi="Verdana" w:cs="Arial"/>
          <w:lang w:val="es-ES"/>
        </w:rPr>
        <w:t>y la mínima cuantía</w:t>
      </w:r>
      <w:r w:rsidR="004C1448">
        <w:rPr>
          <w:rFonts w:ascii="Verdana" w:eastAsia="Times New Roman" w:hAnsi="Verdana" w:cs="Arial"/>
          <w:lang w:val="es-ES"/>
        </w:rPr>
        <w:t>, así como otros procesos competitivos</w:t>
      </w:r>
      <w:r w:rsidRPr="00FC6F34" w:rsidDel="00A85D9F">
        <w:rPr>
          <w:rFonts w:ascii="Verdana" w:eastAsia="Times New Roman" w:hAnsi="Verdana" w:cs="Arial"/>
          <w:lang w:val="es-ES" w:eastAsia="x-none"/>
        </w:rPr>
        <w:t xml:space="preserve"> </w:t>
      </w:r>
      <w:r w:rsidRPr="00FC6F34">
        <w:rPr>
          <w:rFonts w:ascii="Verdana" w:eastAsia="Times New Roman" w:hAnsi="Verdana" w:cs="Arial"/>
          <w:lang w:val="es-ES"/>
        </w:rPr>
        <w:t xml:space="preserve">previstos en normas especiales. </w:t>
      </w:r>
      <w:r w:rsidRPr="00FC6F34">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FC6F34">
        <w:rPr>
          <w:rFonts w:ascii="Verdana" w:eastAsia="Times New Roman" w:hAnsi="Verdana" w:cs="Arial"/>
          <w:vertAlign w:val="superscript"/>
          <w:lang w:val="es-ES" w:eastAsia="x-none"/>
        </w:rPr>
        <w:footnoteReference w:id="12"/>
      </w:r>
      <w:r w:rsidRPr="00FC6F34">
        <w:rPr>
          <w:rFonts w:ascii="Verdana" w:eastAsia="Times New Roman" w:hAnsi="Verdana" w:cs="Arial"/>
          <w:lang w:val="es-ES" w:eastAsia="x-none"/>
        </w:rPr>
        <w:t xml:space="preserve"> y sistematizó las causales de contratación directa</w:t>
      </w:r>
      <w:r w:rsidRPr="00FC6F34">
        <w:rPr>
          <w:rFonts w:ascii="Verdana" w:eastAsia="Times New Roman" w:hAnsi="Verdana" w:cs="Arial"/>
          <w:vertAlign w:val="superscript"/>
          <w:lang w:val="es-ES" w:eastAsia="x-none"/>
        </w:rPr>
        <w:footnoteReference w:id="13"/>
      </w:r>
      <w:r w:rsidRPr="00FC6F34">
        <w:rPr>
          <w:rFonts w:ascii="Verdana" w:eastAsia="Times New Roman" w:hAnsi="Verdana" w:cs="Arial"/>
          <w:lang w:val="es-ES" w:eastAsia="x-none"/>
        </w:rPr>
        <w:t xml:space="preserve">, </w:t>
      </w:r>
      <w:r w:rsidRPr="00FC6F34">
        <w:rPr>
          <w:rFonts w:ascii="Verdana" w:eastAsia="Calibri"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7432B841" w14:textId="61997625" w:rsidR="007E6FD3" w:rsidRPr="00FC6F34" w:rsidRDefault="007E6FD3" w:rsidP="007E6FD3">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bCs/>
          <w:lang w:val="es-ES" w:eastAsia="es-CO"/>
        </w:rPr>
        <w:t xml:space="preserve">Como se advierte de lo anterior, el Consejo de Estado realiza una interpretación amplia de la </w:t>
      </w:r>
      <w:r w:rsidR="004C1448">
        <w:rPr>
          <w:rFonts w:ascii="Verdana" w:eastAsia="Times New Roman" w:hAnsi="Verdana" w:cs="Arial"/>
          <w:bCs/>
          <w:lang w:val="es-ES" w:eastAsia="es-CO"/>
        </w:rPr>
        <w:t>“</w:t>
      </w:r>
      <w:r w:rsidRPr="00FC6F34">
        <w:rPr>
          <w:rFonts w:ascii="Verdana" w:eastAsia="Times New Roman" w:hAnsi="Verdana" w:cs="Arial"/>
          <w:bCs/>
          <w:lang w:val="es-ES" w:eastAsia="es-CO"/>
        </w:rPr>
        <w:t>contratación directa</w:t>
      </w:r>
      <w:r w:rsidR="004C1448">
        <w:rPr>
          <w:rFonts w:ascii="Verdana" w:eastAsia="Times New Roman" w:hAnsi="Verdana" w:cs="Arial"/>
          <w:bCs/>
          <w:lang w:val="es-ES" w:eastAsia="es-CO"/>
        </w:rPr>
        <w:t>”</w:t>
      </w:r>
      <w:r w:rsidRPr="00FC6F34">
        <w:rPr>
          <w:rFonts w:ascii="Verdana" w:eastAsia="Times New Roman" w:hAnsi="Verdana" w:cs="Arial"/>
          <w:bCs/>
          <w:lang w:val="es-ES" w:eastAsia="es-CO"/>
        </w:rPr>
        <w:t xml:space="preserve">, para efectos de aplicar las restricciones establecidas en la Ley de Garantías Electorales, al señalar que no solo aplica frente a las entidades sometidas al Estatuto </w:t>
      </w:r>
      <w:r>
        <w:rPr>
          <w:rFonts w:ascii="Verdana" w:eastAsia="Times New Roman" w:hAnsi="Verdana" w:cs="Arial"/>
          <w:bCs/>
          <w:lang w:val="es-ES" w:eastAsia="es-CO"/>
        </w:rPr>
        <w:t>G</w:t>
      </w:r>
      <w:r w:rsidRPr="00FC6F34">
        <w:rPr>
          <w:rFonts w:ascii="Verdana" w:eastAsia="Times New Roman" w:hAnsi="Verdana" w:cs="Arial"/>
          <w:bCs/>
          <w:lang w:val="es-ES" w:eastAsia="es-CO"/>
        </w:rPr>
        <w:t>eneral de Contratación de la Administración Pública</w:t>
      </w:r>
      <w:r w:rsidRPr="00FC6F34">
        <w:rPr>
          <w:rFonts w:ascii="Verdana" w:eastAsia="Times New Roman" w:hAnsi="Verdana" w:cs="Arial"/>
          <w:bCs/>
          <w:i/>
          <w:iCs/>
          <w:lang w:val="es-ES" w:eastAsia="es-CO"/>
        </w:rPr>
        <w:t>, sino también frente a las entidades que tengan un régimen especial de contratación</w:t>
      </w:r>
      <w:r w:rsidRPr="00FC6F34">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FC6F34">
        <w:rPr>
          <w:rFonts w:ascii="Verdana" w:eastAsia="Times New Roman" w:hAnsi="Verdana" w:cs="Arial"/>
          <w:lang w:val="es-ES"/>
        </w:rPr>
        <w:t xml:space="preserve">Así, para </w:t>
      </w:r>
      <w:r w:rsidR="004C1448">
        <w:rPr>
          <w:rFonts w:ascii="Verdana" w:eastAsia="Times New Roman" w:hAnsi="Verdana" w:cs="Arial"/>
          <w:lang w:val="es-ES"/>
        </w:rPr>
        <w:t xml:space="preserve">efectos de </w:t>
      </w:r>
      <w:r w:rsidRPr="00FC6F34">
        <w:rPr>
          <w:rFonts w:ascii="Verdana" w:eastAsia="Times New Roman" w:hAnsi="Verdana" w:cs="Arial"/>
          <w:lang w:val="es-ES"/>
        </w:rPr>
        <w:t xml:space="preserve">la prohibición o restricción temporal contenida en su artículo 33, “contratación directa” es </w:t>
      </w:r>
      <w:r w:rsidRPr="00CD0948">
        <w:rPr>
          <w:rFonts w:ascii="Verdana" w:eastAsia="Times New Roman" w:hAnsi="Verdana" w:cs="Arial"/>
          <w:i/>
          <w:iCs/>
          <w:lang w:val="es-ES"/>
        </w:rPr>
        <w:t>cualquier</w:t>
      </w:r>
      <w:r w:rsidRPr="00FC6F34">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FC6F34">
        <w:rPr>
          <w:rFonts w:ascii="Verdana" w:eastAsia="Times New Roman" w:hAnsi="Verdana" w:cs="Arial"/>
          <w:vertAlign w:val="superscript"/>
          <w:lang w:val="es-ES" w:eastAsia="x-none"/>
        </w:rPr>
        <w:footnoteReference w:id="14"/>
      </w:r>
      <w:r w:rsidRPr="00FC6F34">
        <w:rPr>
          <w:rFonts w:ascii="Verdana" w:eastAsia="Times New Roman" w:hAnsi="Verdana" w:cs="Arial"/>
          <w:lang w:val="es-ES"/>
        </w:rPr>
        <w:t>.</w:t>
      </w:r>
      <w:r w:rsidRPr="00FC6F34">
        <w:rPr>
          <w:rFonts w:ascii="Verdana" w:eastAsia="Times New Roman" w:hAnsi="Verdana" w:cs="Arial"/>
          <w:vertAlign w:val="superscript"/>
          <w:lang w:val="es-ES" w:eastAsia="x-none"/>
        </w:rPr>
        <w:t xml:space="preserve"> </w:t>
      </w:r>
    </w:p>
    <w:p w14:paraId="58D384A8" w14:textId="77777777" w:rsidR="007E6FD3" w:rsidRPr="00FC6F34" w:rsidRDefault="007E6FD3" w:rsidP="007E6FD3">
      <w:pPr>
        <w:spacing w:after="0" w:line="276" w:lineRule="auto"/>
        <w:ind w:firstLine="708"/>
        <w:jc w:val="both"/>
        <w:rPr>
          <w:rFonts w:ascii="Verdana" w:eastAsia="Times New Roman" w:hAnsi="Verdana" w:cs="Arial"/>
          <w:lang w:val="es-ES"/>
        </w:rPr>
      </w:pPr>
      <w:r w:rsidRPr="00FC6F34">
        <w:rPr>
          <w:rFonts w:ascii="Verdana" w:eastAsia="Times New Roman" w:hAnsi="Verdana" w:cs="Arial"/>
          <w:lang w:val="es-ES"/>
        </w:rPr>
        <w:t xml:space="preserve">De lo anterior se desprende que la restricción aplica, sin perjuicio de las excepciones establecidas en la misma ley, para celebrar </w:t>
      </w:r>
      <w:r w:rsidRPr="00FC6F34">
        <w:rPr>
          <w:rFonts w:ascii="Verdana" w:eastAsia="Times New Roman" w:hAnsi="Verdana" w:cs="Arial"/>
          <w:i/>
          <w:iCs/>
          <w:lang w:val="es-ES"/>
        </w:rPr>
        <w:t>cualquier contrato</w:t>
      </w:r>
      <w:r>
        <w:rPr>
          <w:rFonts w:ascii="Verdana" w:eastAsia="Times New Roman" w:hAnsi="Verdana" w:cs="Arial"/>
          <w:i/>
          <w:iCs/>
          <w:lang w:val="es-ES"/>
        </w:rPr>
        <w:t xml:space="preserve"> o convenio</w:t>
      </w:r>
      <w:r w:rsidRPr="00FC6F34">
        <w:rPr>
          <w:rFonts w:ascii="Verdana" w:eastAsia="Times New Roman" w:hAnsi="Verdana" w:cs="Arial"/>
          <w:i/>
          <w:iCs/>
          <w:lang w:val="es-ES"/>
        </w:rPr>
        <w:t xml:space="preserve"> de forma directa</w:t>
      </w:r>
      <w:r w:rsidRPr="00FC6F34">
        <w:rPr>
          <w:rFonts w:ascii="Verdana" w:eastAsia="Times New Roman" w:hAnsi="Verdana" w:cs="Arial"/>
          <w:lang w:val="es-ES"/>
        </w:rPr>
        <w:t xml:space="preserve">, esto es, sin que exista un proceso abierto y competitivo. Por tanto, no son materia de la prohibición </w:t>
      </w:r>
      <w:r>
        <w:rPr>
          <w:rFonts w:ascii="Verdana" w:eastAsia="Times New Roman" w:hAnsi="Verdana" w:cs="Arial"/>
          <w:lang w:val="es-ES"/>
        </w:rPr>
        <w:t xml:space="preserve">los procesos de contratación que se adelanten mediante </w:t>
      </w:r>
      <w:r w:rsidRPr="00FC6F34">
        <w:rPr>
          <w:rFonts w:ascii="Verdana" w:eastAsia="Times New Roman" w:hAnsi="Verdana" w:cs="Arial"/>
          <w:lang w:val="es-ES"/>
        </w:rPr>
        <w:t xml:space="preserve">las demás modalidades de selección previstas en la Ley 1150 de 2007, es decir, la licitación pública, el concurso de méritos, la selección abreviada y la mínima cuantía, razón por la cual en ese </w:t>
      </w:r>
      <w:r w:rsidRPr="00FC6F34">
        <w:rPr>
          <w:rFonts w:ascii="Verdana" w:eastAsia="Times New Roman" w:hAnsi="Verdana" w:cs="Arial"/>
          <w:lang w:val="es-ES"/>
        </w:rPr>
        <w:lastRenderedPageBreak/>
        <w:t>período preelectoral de que trata la disposición las entidades públicas pueden seguir contratando bajo estos sistemas.</w:t>
      </w:r>
    </w:p>
    <w:p w14:paraId="4595025D" w14:textId="77777777" w:rsidR="007E6FD3" w:rsidRPr="00FC6F34" w:rsidRDefault="007E6FD3" w:rsidP="004C1448">
      <w:pPr>
        <w:spacing w:after="0" w:line="276" w:lineRule="auto"/>
        <w:ind w:firstLine="708"/>
        <w:jc w:val="both"/>
        <w:rPr>
          <w:rFonts w:ascii="Verdana" w:eastAsia="Times New Roman" w:hAnsi="Verdana" w:cs="Arial"/>
          <w:lang w:val="es-ES"/>
        </w:rPr>
      </w:pPr>
    </w:p>
    <w:p w14:paraId="008881C1" w14:textId="462CEF29" w:rsidR="007E6FD3" w:rsidRPr="00FC6F34" w:rsidRDefault="007E6FD3" w:rsidP="004C1448">
      <w:pPr>
        <w:spacing w:after="0" w:line="276" w:lineRule="auto"/>
        <w:jc w:val="both"/>
        <w:rPr>
          <w:rFonts w:ascii="Verdana" w:eastAsia="Times New Roman" w:hAnsi="Verdana" w:cs="Arial"/>
          <w:lang w:val="es-ES"/>
        </w:rPr>
      </w:pPr>
      <w:r w:rsidRPr="00FC6F34">
        <w:rPr>
          <w:rFonts w:ascii="Verdana" w:eastAsia="Times New Roman" w:hAnsi="Verdana" w:cs="Arial"/>
          <w:bCs/>
          <w:lang w:val="es-ES" w:eastAsia="es-CO"/>
        </w:rPr>
        <w:t xml:space="preserve">iv) Con respecto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w:t>
      </w:r>
      <w:r w:rsidR="008A3538">
        <w:rPr>
          <w:rFonts w:ascii="Verdana" w:eastAsia="Times New Roman" w:hAnsi="Verdana" w:cs="Arial"/>
          <w:bCs/>
          <w:lang w:val="es-ES" w:eastAsia="es-CO"/>
        </w:rPr>
        <w:t>comprendido</w:t>
      </w:r>
      <w:r w:rsidRPr="00FC6F34">
        <w:rPr>
          <w:rFonts w:ascii="Verdana" w:eastAsia="Times New Roman" w:hAnsi="Verdana" w:cs="Arial"/>
          <w:bCs/>
          <w:lang w:val="es-ES" w:eastAsia="es-CO"/>
        </w:rPr>
        <w:t xml:space="preserve">s en la prohibición del artículo 33, </w:t>
      </w:r>
      <w:r w:rsidRPr="00FC6F34">
        <w:rPr>
          <w:rFonts w:ascii="Verdana" w:eastAsia="Times New Roman" w:hAnsi="Verdana" w:cs="Arial"/>
          <w:lang w:val="es-ES"/>
        </w:rPr>
        <w:t>la Ley 996 de 2005 señala expresamente que son “</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entes del Estado</w:t>
      </w:r>
      <w:r w:rsidRPr="00FC6F34">
        <w:rPr>
          <w:rFonts w:ascii="Verdana" w:eastAsia="Times New Roman" w:hAnsi="Verdana" w:cs="Arial"/>
          <w:lang w:val="es-ES"/>
        </w:rPr>
        <w:t>” [énfasis propio]. Al respecto</w:t>
      </w:r>
      <w:r w:rsidR="008A3538">
        <w:rPr>
          <w:rFonts w:ascii="Verdana" w:eastAsia="Times New Roman" w:hAnsi="Verdana" w:cs="Arial"/>
          <w:lang w:val="es-ES"/>
        </w:rPr>
        <w:t>,</w:t>
      </w:r>
      <w:r w:rsidRPr="00FC6F34">
        <w:rPr>
          <w:rFonts w:ascii="Verdana" w:eastAsia="Times New Roman" w:hAnsi="Verdana" w:cs="Arial"/>
          <w:lang w:val="es-ES"/>
        </w:rPr>
        <w:t xml:space="preserve"> la Sala </w:t>
      </w:r>
      <w:r>
        <w:rPr>
          <w:rFonts w:ascii="Verdana" w:eastAsia="Times New Roman" w:hAnsi="Verdana" w:cs="Arial"/>
          <w:lang w:val="es-ES"/>
        </w:rPr>
        <w:t>d</w:t>
      </w:r>
      <w:r w:rsidRPr="00FC6F34">
        <w:rPr>
          <w:rFonts w:ascii="Verdana" w:eastAsia="Times New Roman" w:hAnsi="Verdana" w:cs="Arial"/>
          <w:lang w:val="es-ES"/>
        </w:rPr>
        <w:t>e Consulta y Servicio Civil del Consejo de Estado señaló lo siguiente:</w:t>
      </w:r>
    </w:p>
    <w:p w14:paraId="0FE68609" w14:textId="77777777" w:rsidR="007E6FD3" w:rsidRPr="00FC6F34" w:rsidRDefault="007E6FD3" w:rsidP="00381AFB">
      <w:pPr>
        <w:spacing w:after="0" w:line="276" w:lineRule="auto"/>
        <w:ind w:firstLine="708"/>
        <w:jc w:val="both"/>
        <w:rPr>
          <w:rFonts w:ascii="Verdana" w:eastAsia="Times New Roman" w:hAnsi="Verdana" w:cs="Arial"/>
          <w:lang w:val="es-ES"/>
        </w:rPr>
      </w:pPr>
    </w:p>
    <w:p w14:paraId="19B0AE3C" w14:textId="3D974FA6" w:rsidR="007E6FD3" w:rsidRDefault="007E6FD3" w:rsidP="00381AFB">
      <w:pPr>
        <w:spacing w:after="0" w:line="240" w:lineRule="auto"/>
        <w:ind w:left="709" w:right="709"/>
        <w:jc w:val="both"/>
        <w:rPr>
          <w:rFonts w:ascii="Verdana" w:eastAsia="Times New Roman" w:hAnsi="Verdana" w:cs="Arial"/>
          <w:bCs/>
          <w:sz w:val="20"/>
          <w:szCs w:val="20"/>
          <w:lang w:val="es-ES" w:eastAsia="es-CO"/>
        </w:rPr>
      </w:pPr>
      <w:r w:rsidRPr="00FC6F34">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FC6F34">
        <w:rPr>
          <w:rStyle w:val="Refdenotaalpie"/>
          <w:rFonts w:ascii="Verdana" w:eastAsia="Times New Roman" w:hAnsi="Verdana" w:cs="Arial"/>
          <w:bCs/>
          <w:sz w:val="20"/>
          <w:szCs w:val="20"/>
          <w:lang w:val="es-ES" w:eastAsia="es-CO"/>
        </w:rPr>
        <w:footnoteReference w:id="15"/>
      </w:r>
      <w:r w:rsidRPr="00FC6F34">
        <w:rPr>
          <w:rFonts w:ascii="Verdana" w:eastAsia="Times New Roman" w:hAnsi="Verdana" w:cs="Arial"/>
          <w:bCs/>
          <w:sz w:val="20"/>
          <w:szCs w:val="20"/>
          <w:lang w:val="es-ES" w:eastAsia="es-CO"/>
        </w:rPr>
        <w:t>.</w:t>
      </w:r>
    </w:p>
    <w:p w14:paraId="70D764E6" w14:textId="4BFC82CA" w:rsidR="00381AFB" w:rsidRDefault="00381AFB" w:rsidP="00381AFB">
      <w:pPr>
        <w:spacing w:after="0" w:line="276" w:lineRule="auto"/>
        <w:ind w:left="709" w:right="709"/>
        <w:jc w:val="both"/>
        <w:rPr>
          <w:rFonts w:ascii="Verdana" w:eastAsia="Times New Roman" w:hAnsi="Verdana" w:cs="Arial"/>
          <w:bCs/>
          <w:lang w:val="es-ES" w:eastAsia="es-CO"/>
        </w:rPr>
      </w:pPr>
    </w:p>
    <w:p w14:paraId="71C12675" w14:textId="51E2D852" w:rsidR="00E154E1" w:rsidRPr="00B53AAB" w:rsidRDefault="00E154E1" w:rsidP="00E154E1">
      <w:pPr>
        <w:spacing w:after="0" w:line="276" w:lineRule="auto"/>
        <w:ind w:firstLine="708"/>
        <w:jc w:val="both"/>
        <w:rPr>
          <w:rFonts w:ascii="Verdana" w:eastAsia="Times New Roman" w:hAnsi="Verdana" w:cs="Arial"/>
          <w:bCs/>
          <w:lang w:val="es-MX" w:eastAsia="x-none"/>
        </w:rPr>
      </w:pPr>
      <w:r>
        <w:rPr>
          <w:rFonts w:ascii="Verdana" w:eastAsia="Times New Roman" w:hAnsi="Verdana" w:cs="Arial"/>
          <w:bCs/>
          <w:lang w:val="es-ES_tradnl" w:eastAsia="x-none"/>
        </w:rPr>
        <w:t>Igualmente, l</w:t>
      </w:r>
      <w:r w:rsidRPr="00B53AAB">
        <w:rPr>
          <w:rFonts w:ascii="Verdana" w:eastAsia="Times New Roman" w:hAnsi="Verdana" w:cs="Arial"/>
          <w:bCs/>
          <w:lang w:val="es-ES_tradnl" w:eastAsia="x-none"/>
        </w:rPr>
        <w:t xml:space="preserve">a Sala de Consulta y Servicio Civil del Consejo de Estado, en Concepto 1727 de fecha 20 de febrero de 2006, consideró que: </w:t>
      </w:r>
    </w:p>
    <w:p w14:paraId="19ED4374" w14:textId="77777777" w:rsidR="00E154E1" w:rsidRPr="00B53AAB" w:rsidRDefault="00E154E1" w:rsidP="00E154E1">
      <w:pPr>
        <w:spacing w:after="0" w:line="276" w:lineRule="auto"/>
        <w:jc w:val="both"/>
        <w:rPr>
          <w:rFonts w:ascii="Verdana" w:eastAsia="Times New Roman" w:hAnsi="Verdana" w:cs="Arial"/>
          <w:bCs/>
          <w:lang w:val="es-MX" w:eastAsia="x-none"/>
        </w:rPr>
      </w:pPr>
    </w:p>
    <w:p w14:paraId="3E4170D0" w14:textId="59F47192" w:rsidR="00E154E1" w:rsidRPr="006356EF" w:rsidRDefault="00E154E1" w:rsidP="006356EF">
      <w:pPr>
        <w:spacing w:after="0" w:line="240" w:lineRule="auto"/>
        <w:ind w:left="709" w:right="709"/>
        <w:jc w:val="both"/>
        <w:rPr>
          <w:rFonts w:ascii="Verdana" w:eastAsia="Times New Roman" w:hAnsi="Verdana" w:cs="Arial"/>
          <w:bCs/>
          <w:sz w:val="20"/>
          <w:szCs w:val="20"/>
          <w:lang w:val="es-MX" w:eastAsia="es-CO"/>
        </w:rPr>
      </w:pPr>
      <w:r w:rsidRPr="006356EF">
        <w:rPr>
          <w:rFonts w:ascii="Verdana" w:eastAsia="Times New Roman" w:hAnsi="Verdana" w:cs="Arial"/>
          <w:bCs/>
          <w:sz w:val="20"/>
          <w:szCs w:val="2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6356EF">
        <w:rPr>
          <w:rFonts w:ascii="Verdana" w:eastAsia="Times New Roman" w:hAnsi="Verdana" w:cs="Arial"/>
          <w:bCs/>
          <w:sz w:val="20"/>
          <w:szCs w:val="20"/>
          <w:vertAlign w:val="superscript"/>
          <w:lang w:val="es-MX" w:eastAsia="x-none"/>
        </w:rPr>
        <w:footnoteReference w:id="16"/>
      </w:r>
      <w:r w:rsidRPr="006356EF">
        <w:rPr>
          <w:rFonts w:ascii="Verdana" w:eastAsia="Times New Roman" w:hAnsi="Verdana" w:cs="Arial"/>
          <w:bCs/>
          <w:sz w:val="20"/>
          <w:szCs w:val="20"/>
          <w:lang w:val="es-MX" w:eastAsia="x-none"/>
        </w:rPr>
        <w:t>.</w:t>
      </w:r>
      <w:r w:rsidRPr="006356EF">
        <w:rPr>
          <w:rFonts w:ascii="Verdana" w:eastAsia="Times New Roman" w:hAnsi="Verdana" w:cs="Arial"/>
          <w:bCs/>
          <w:sz w:val="20"/>
          <w:szCs w:val="20"/>
          <w:lang w:val="es-MX" w:eastAsia="es-CO"/>
        </w:rPr>
        <w:t xml:space="preserve"> </w:t>
      </w:r>
    </w:p>
    <w:p w14:paraId="6F91B3D3" w14:textId="77777777" w:rsidR="00E154E1" w:rsidRPr="00E154E1" w:rsidRDefault="00E154E1" w:rsidP="00E154E1">
      <w:pPr>
        <w:spacing w:after="0" w:line="276" w:lineRule="auto"/>
        <w:ind w:firstLine="708"/>
        <w:jc w:val="both"/>
        <w:rPr>
          <w:rFonts w:ascii="Verdana" w:eastAsia="Times New Roman" w:hAnsi="Verdana" w:cs="Arial"/>
          <w:bCs/>
          <w:lang w:val="es-MX" w:eastAsia="es-CO"/>
        </w:rPr>
      </w:pPr>
    </w:p>
    <w:p w14:paraId="43ACA4CE" w14:textId="77777777" w:rsidR="00E154E1" w:rsidRPr="00E154E1" w:rsidRDefault="00E154E1" w:rsidP="00E154E1">
      <w:pPr>
        <w:spacing w:after="0" w:line="276" w:lineRule="auto"/>
        <w:ind w:firstLine="708"/>
        <w:jc w:val="both"/>
        <w:rPr>
          <w:rFonts w:ascii="Verdana" w:eastAsia="Calibri" w:hAnsi="Verdana" w:cs="Arial"/>
          <w:lang w:val="es-MX"/>
        </w:rPr>
      </w:pPr>
      <w:r w:rsidRPr="00E154E1">
        <w:rPr>
          <w:rFonts w:ascii="Verdana" w:eastAsia="Times New Roman" w:hAnsi="Verdana" w:cs="Arial"/>
          <w:bCs/>
          <w:lang w:val="es-MX" w:eastAsia="x-none"/>
        </w:rPr>
        <w:t xml:space="preserve">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w:t>
      </w:r>
      <w:r w:rsidRPr="00E154E1">
        <w:rPr>
          <w:rFonts w:ascii="Verdana" w:eastAsia="Times New Roman" w:hAnsi="Verdana" w:cs="Arial"/>
          <w:bCs/>
          <w:lang w:val="es-MX" w:eastAsia="x-none"/>
        </w:rPr>
        <w:lastRenderedPageBreak/>
        <w:t>convenio interadministrativo sea ordenada, para ambas partes, por el Legislador”</w:t>
      </w:r>
      <w:r w:rsidRPr="006356EF">
        <w:rPr>
          <w:rFonts w:ascii="Verdana" w:eastAsia="Calibri" w:hAnsi="Verdana" w:cs="Arial"/>
          <w:vertAlign w:val="superscript"/>
          <w:lang w:val="es-MX"/>
        </w:rPr>
        <w:footnoteReference w:id="17"/>
      </w:r>
      <w:r w:rsidRPr="00E154E1">
        <w:rPr>
          <w:rFonts w:ascii="Verdana" w:eastAsia="Times New Roman" w:hAnsi="Verdana" w:cs="Arial"/>
          <w:bCs/>
          <w:lang w:val="es-MX" w:eastAsia="x-none"/>
        </w:rPr>
        <w:t>.</w:t>
      </w:r>
      <w:r w:rsidRPr="00182E10">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513B561D" w14:textId="77777777" w:rsidR="00E154E1" w:rsidRPr="00E154E1" w:rsidRDefault="00E154E1" w:rsidP="00E154E1">
      <w:pPr>
        <w:spacing w:after="0" w:line="276" w:lineRule="auto"/>
        <w:jc w:val="both"/>
        <w:rPr>
          <w:rFonts w:ascii="Verdana" w:eastAsia="Calibri" w:hAnsi="Verdana" w:cs="Arial"/>
          <w:lang w:val="es-MX"/>
        </w:rPr>
      </w:pPr>
    </w:p>
    <w:p w14:paraId="6C638A39" w14:textId="1B52A8A6" w:rsidR="00E154E1" w:rsidRPr="00B53AAB" w:rsidRDefault="00E154E1" w:rsidP="006356EF">
      <w:pPr>
        <w:spacing w:after="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w:t>
      </w:r>
      <w:r w:rsidRPr="00B53AAB">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41BA97EE" w14:textId="77777777" w:rsidR="00E154E1" w:rsidRPr="00B53AAB" w:rsidRDefault="00E154E1" w:rsidP="006356EF">
      <w:pPr>
        <w:spacing w:after="0" w:line="240" w:lineRule="auto"/>
        <w:ind w:left="709" w:right="709"/>
        <w:jc w:val="both"/>
        <w:rPr>
          <w:rFonts w:ascii="Verdana" w:eastAsia="Calibri" w:hAnsi="Verdana" w:cs="Arial"/>
          <w:sz w:val="20"/>
          <w:szCs w:val="20"/>
          <w:lang w:val="es-MX"/>
        </w:rPr>
      </w:pPr>
    </w:p>
    <w:p w14:paraId="2E635C9B" w14:textId="0E87B36A" w:rsidR="00E154E1" w:rsidRPr="00B53AAB" w:rsidRDefault="00E154E1" w:rsidP="006356EF">
      <w:pPr>
        <w:spacing w:after="0" w:line="240" w:lineRule="auto"/>
        <w:ind w:left="709" w:right="709"/>
        <w:jc w:val="both"/>
        <w:rPr>
          <w:rFonts w:ascii="Verdana" w:eastAsia="Calibri" w:hAnsi="Verdana" w:cs="Arial"/>
          <w:sz w:val="20"/>
          <w:szCs w:val="20"/>
          <w:lang w:val="es-MX"/>
        </w:rPr>
      </w:pPr>
      <w:r w:rsidRPr="00B53AAB">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eastAsia="Times New Roman" w:hAnsi="Verdana" w:cs="Arial"/>
          <w:bCs/>
          <w:sz w:val="20"/>
          <w:szCs w:val="20"/>
          <w:lang w:val="es-MX" w:eastAsia="x-none"/>
        </w:rPr>
        <w:t>”</w:t>
      </w:r>
      <w:r w:rsidRPr="00B53AAB">
        <w:rPr>
          <w:rFonts w:ascii="Verdana" w:eastAsia="Calibri" w:hAnsi="Verdana" w:cs="Arial"/>
          <w:sz w:val="20"/>
          <w:szCs w:val="20"/>
          <w:vertAlign w:val="superscript"/>
          <w:lang w:val="es-MX"/>
        </w:rPr>
        <w:footnoteReference w:id="18"/>
      </w:r>
      <w:r w:rsidRPr="00B53AAB">
        <w:rPr>
          <w:rFonts w:ascii="Verdana" w:eastAsia="Times New Roman" w:hAnsi="Verdana" w:cs="Arial"/>
          <w:bCs/>
          <w:sz w:val="20"/>
          <w:szCs w:val="20"/>
          <w:lang w:val="es-MX" w:eastAsia="x-none"/>
        </w:rPr>
        <w:t>.</w:t>
      </w:r>
    </w:p>
    <w:p w14:paraId="31324D02" w14:textId="2DF76005" w:rsidR="00E154E1" w:rsidRDefault="00E154E1" w:rsidP="00E154E1">
      <w:pPr>
        <w:spacing w:after="0" w:line="276" w:lineRule="auto"/>
        <w:ind w:left="709" w:right="709"/>
        <w:jc w:val="both"/>
        <w:rPr>
          <w:rFonts w:ascii="Verdana" w:eastAsia="Times New Roman" w:hAnsi="Verdana" w:cs="Arial"/>
          <w:bCs/>
          <w:lang w:val="es-ES" w:eastAsia="es-CO"/>
        </w:rPr>
      </w:pPr>
    </w:p>
    <w:p w14:paraId="4D20711E" w14:textId="77777777" w:rsidR="00E154E1" w:rsidRPr="00B53AAB" w:rsidRDefault="00E154E1">
      <w:pPr>
        <w:spacing w:after="120" w:line="276" w:lineRule="auto"/>
        <w:ind w:firstLine="709"/>
        <w:jc w:val="both"/>
        <w:rPr>
          <w:rFonts w:ascii="Verdana" w:eastAsia="Times New Roman" w:hAnsi="Verdana" w:cs="Arial"/>
          <w:lang w:eastAsia="es-CO"/>
        </w:rPr>
      </w:pPr>
      <w:r w:rsidRPr="00B53AA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w:t>
      </w:r>
      <w:r w:rsidRPr="00B53AAB">
        <w:rPr>
          <w:rFonts w:ascii="Verdana" w:eastAsia="Calibri" w:hAnsi="Verdana" w:cs="Arial"/>
          <w:lang w:val="es-MX"/>
        </w:rPr>
        <w:lastRenderedPageBreak/>
        <w:t xml:space="preserve">algunas de estas entidades, como sucede con las empresas de servicios públicos domiciliarios, los </w:t>
      </w:r>
      <w:r w:rsidRPr="00B53AAB">
        <w:rPr>
          <w:rFonts w:ascii="Verdana" w:eastAsia="Times New Roman" w:hAnsi="Verdana" w:cs="Arial"/>
          <w:bCs/>
          <w:lang w:val="es-MX" w:eastAsia="x-none"/>
        </w:rPr>
        <w:t>establecimientos de crédito, las sociedades de servicios financieros y las entidades aseguradoras</w:t>
      </w:r>
      <w:r w:rsidRPr="00B53AA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B53AAB">
        <w:rPr>
          <w:rFonts w:ascii="Verdana" w:eastAsia="Calibri" w:hAnsi="Verdana" w:cs="Arial"/>
          <w:vertAlign w:val="superscript"/>
          <w:lang w:val="es-MX"/>
        </w:rPr>
        <w:footnoteReference w:id="19"/>
      </w:r>
      <w:r w:rsidRPr="00B53AAB">
        <w:rPr>
          <w:rFonts w:ascii="Verdana" w:eastAsia="Calibri" w:hAnsi="Verdana" w:cs="Arial"/>
          <w:lang w:val="es-MX"/>
        </w:rPr>
        <w:t>.</w:t>
      </w:r>
      <w:r w:rsidRPr="00B53AAB">
        <w:rPr>
          <w:rFonts w:ascii="Verdana" w:eastAsia="Times New Roman" w:hAnsi="Verdana" w:cs="Arial"/>
          <w:lang w:eastAsia="es-CO"/>
        </w:rPr>
        <w:t xml:space="preserve"> </w:t>
      </w:r>
    </w:p>
    <w:p w14:paraId="2A190429" w14:textId="757079F1" w:rsidR="007E6FD3" w:rsidRPr="00FC6F34" w:rsidRDefault="007E6FD3" w:rsidP="006356EF">
      <w:pPr>
        <w:spacing w:after="120" w:line="276" w:lineRule="auto"/>
        <w:ind w:firstLine="708"/>
        <w:jc w:val="both"/>
        <w:rPr>
          <w:rFonts w:ascii="Verdana" w:hAnsi="Verdana" w:cs="Arial"/>
          <w:bCs/>
          <w:sz w:val="20"/>
          <w:szCs w:val="20"/>
          <w:lang w:val="es-ES" w:eastAsia="es-CO"/>
        </w:rPr>
      </w:pPr>
      <w:r w:rsidRPr="00FC6F34">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C6F34">
        <w:rPr>
          <w:rFonts w:ascii="Verdana" w:hAnsi="Verdana"/>
          <w:lang w:val="es-ES"/>
        </w:rPr>
        <w:t xml:space="preserve"> </w:t>
      </w:r>
      <w:r w:rsidRPr="00FC6F34">
        <w:rPr>
          <w:rFonts w:ascii="Verdana" w:hAnsi="Verdana" w:cs="Arial"/>
          <w:bCs/>
          <w:lang w:val="es-ES" w:eastAsia="x-none"/>
        </w:rPr>
        <w:t>En efecto, tal como lo ha sostenido el Consejo de Estado, el vocablo “todos” utilizado por el legislador comprende</w:t>
      </w:r>
      <w:r w:rsidRPr="00FC6F34">
        <w:rPr>
          <w:rFonts w:ascii="Verdana" w:hAnsi="Verdana"/>
          <w:lang w:val="es-ES"/>
        </w:rPr>
        <w:t xml:space="preserve"> </w:t>
      </w:r>
      <w:r w:rsidRPr="00FC6F34">
        <w:rPr>
          <w:rFonts w:ascii="Verdana" w:hAnsi="Verdana" w:cs="Arial"/>
          <w:bCs/>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FC6F34">
        <w:rPr>
          <w:rStyle w:val="Refdenotaalpie"/>
          <w:rFonts w:ascii="Verdana" w:hAnsi="Verdana" w:cs="Arial"/>
          <w:bCs/>
          <w:sz w:val="20"/>
          <w:szCs w:val="20"/>
          <w:lang w:val="es-ES" w:eastAsia="x-none"/>
        </w:rPr>
        <w:footnoteReference w:id="20"/>
      </w:r>
      <w:r w:rsidRPr="00FC6F34">
        <w:rPr>
          <w:rFonts w:ascii="Verdana" w:hAnsi="Verdana" w:cs="Arial"/>
          <w:bCs/>
          <w:sz w:val="20"/>
          <w:szCs w:val="20"/>
          <w:lang w:val="es-ES" w:eastAsia="x-none"/>
        </w:rPr>
        <w:t>.</w:t>
      </w:r>
    </w:p>
    <w:p w14:paraId="1CC15840" w14:textId="68EB4404" w:rsidR="007E6FD3" w:rsidRPr="00FC6F34" w:rsidRDefault="007E6FD3" w:rsidP="006356EF">
      <w:pPr>
        <w:spacing w:after="120" w:line="276" w:lineRule="auto"/>
        <w:ind w:firstLine="709"/>
        <w:jc w:val="both"/>
        <w:rPr>
          <w:rFonts w:ascii="Verdana" w:eastAsia="Arial" w:hAnsi="Verdana" w:cs="Arial"/>
          <w:bCs/>
          <w:color w:val="000000" w:themeColor="text1"/>
          <w:lang w:val="es-ES"/>
        </w:rPr>
      </w:pPr>
      <w:r w:rsidRPr="00FC6F34">
        <w:rPr>
          <w:rFonts w:ascii="Verdana" w:eastAsia="Arial" w:hAnsi="Verdana" w:cs="Arial"/>
          <w:color w:val="000000" w:themeColor="text1"/>
          <w:lang w:val="es-ES"/>
        </w:rPr>
        <w:t xml:space="preserve">Por lo tanto, la restricción del artículo 33 prevista en la Ley 996 de 2005, teniendo en cuenta la finalidad de la </w:t>
      </w:r>
      <w:r w:rsidR="005B4321">
        <w:rPr>
          <w:rFonts w:ascii="Verdana" w:eastAsia="Arial" w:hAnsi="Verdana" w:cs="Arial"/>
          <w:color w:val="000000" w:themeColor="text1"/>
          <w:lang w:val="es-ES"/>
        </w:rPr>
        <w:t>L</w:t>
      </w:r>
      <w:r w:rsidRPr="00FC6F34">
        <w:rPr>
          <w:rFonts w:ascii="Verdana" w:eastAsia="Arial" w:hAnsi="Verdana" w:cs="Arial"/>
          <w:color w:val="000000" w:themeColor="text1"/>
          <w:lang w:val="es-ES"/>
        </w:rPr>
        <w:t xml:space="preserve">ey de </w:t>
      </w:r>
      <w:r w:rsidR="005B4321">
        <w:rPr>
          <w:rFonts w:ascii="Verdana" w:eastAsia="Arial" w:hAnsi="Verdana" w:cs="Arial"/>
          <w:color w:val="000000" w:themeColor="text1"/>
          <w:lang w:val="es-ES"/>
        </w:rPr>
        <w:t>G</w:t>
      </w:r>
      <w:r w:rsidRPr="00FC6F34">
        <w:rPr>
          <w:rFonts w:ascii="Verdana" w:eastAsia="Arial" w:hAnsi="Verdana" w:cs="Arial"/>
          <w:color w:val="000000" w:themeColor="text1"/>
          <w:lang w:val="es-ES"/>
        </w:rPr>
        <w:t xml:space="preserve">arantías </w:t>
      </w:r>
      <w:r w:rsidR="005B4321">
        <w:rPr>
          <w:rFonts w:ascii="Verdana" w:eastAsia="Arial" w:hAnsi="Verdana" w:cs="Arial"/>
          <w:color w:val="000000" w:themeColor="text1"/>
          <w:lang w:val="es-ES"/>
        </w:rPr>
        <w:t>E</w:t>
      </w:r>
      <w:r w:rsidRPr="00FC6F34">
        <w:rPr>
          <w:rFonts w:ascii="Verdana" w:eastAsia="Arial" w:hAnsi="Verdana" w:cs="Arial"/>
          <w:color w:val="000000" w:themeColor="text1"/>
          <w:lang w:val="es-ES"/>
        </w:rPr>
        <w:t>lectorales, cobija a cualquier ente público que</w:t>
      </w:r>
      <w:r w:rsidR="005B4321">
        <w:rPr>
          <w:rFonts w:ascii="Verdana" w:eastAsia="Arial" w:hAnsi="Verdana" w:cs="Arial"/>
          <w:color w:val="000000" w:themeColor="text1"/>
          <w:lang w:val="es-ES"/>
        </w:rPr>
        <w:t>, mediante la contratación directa,</w:t>
      </w:r>
      <w:r w:rsidRPr="00FC6F34">
        <w:rPr>
          <w:rFonts w:ascii="Verdana" w:eastAsia="Arial" w:hAnsi="Verdana" w:cs="Arial"/>
          <w:color w:val="000000" w:themeColor="text1"/>
          <w:lang w:val="es-ES"/>
        </w:rPr>
        <w:t xml:space="preserve"> pueda</w:t>
      </w:r>
      <w:r w:rsidRPr="00F07F5D">
        <w:rPr>
          <w:rFonts w:ascii="Verdana" w:eastAsia="Arial" w:hAnsi="Verdana" w:cs="Arial"/>
          <w:color w:val="000000" w:themeColor="text1"/>
          <w:lang w:val="es-ES"/>
        </w:rPr>
        <w:t xml:space="preserve"> </w:t>
      </w:r>
      <w:r w:rsidRPr="00FC6F34">
        <w:rPr>
          <w:rFonts w:ascii="Verdana" w:eastAsia="Arial" w:hAnsi="Verdana" w:cs="Arial"/>
          <w:color w:val="000000" w:themeColor="text1"/>
          <w:lang w:val="es-ES"/>
        </w:rPr>
        <w:t xml:space="preserve">romper el equilibrio entre los partidos y los candidatos en las elecciones presidenciales. </w:t>
      </w:r>
      <w:r w:rsidR="005B4321">
        <w:rPr>
          <w:rFonts w:ascii="Verdana" w:eastAsia="Arial" w:hAnsi="Verdana" w:cs="Arial"/>
          <w:color w:val="000000" w:themeColor="text1"/>
          <w:lang w:val="es-ES"/>
        </w:rPr>
        <w:t>En ese sentido, esta prohibición no contempla</w:t>
      </w:r>
      <w:r w:rsidRPr="00FC6F34">
        <w:rPr>
          <w:rFonts w:ascii="Verdana" w:eastAsia="Arial" w:hAnsi="Verdana" w:cs="Arial"/>
          <w:color w:val="000000" w:themeColor="text1"/>
          <w:lang w:val="es-ES"/>
        </w:rPr>
        <w:t xml:space="preserve"> un supuesto de exoneración por tener un régimen especial de los actos o contratos, pues, la posibilidad de que los entes del Estado utilicen la contratación con fines políticos, esto es, con la intención de influir a los electores y alterar la voluntad popular en las contiendas </w:t>
      </w:r>
      <w:r w:rsidRPr="00FC6F34">
        <w:rPr>
          <w:rFonts w:ascii="Verdana" w:eastAsia="Arial" w:hAnsi="Verdana" w:cs="Arial"/>
          <w:color w:val="000000" w:themeColor="text1"/>
          <w:lang w:val="es-ES"/>
        </w:rPr>
        <w:lastRenderedPageBreak/>
        <w:t>electorales, se puede presentar tanto en la contratación regulada por la Ley 80 de 1993 como en la regida por el derecho privado o normas especiales.</w:t>
      </w:r>
    </w:p>
    <w:p w14:paraId="406345B0" w14:textId="77777777" w:rsidR="007E6FD3" w:rsidRPr="00FC6F34" w:rsidRDefault="007E6FD3" w:rsidP="006356EF">
      <w:pPr>
        <w:spacing w:after="120" w:line="276" w:lineRule="auto"/>
        <w:ind w:firstLine="709"/>
        <w:jc w:val="both"/>
        <w:rPr>
          <w:rFonts w:ascii="Verdana" w:hAnsi="Verdana" w:cs="Arial"/>
          <w:bCs/>
          <w:color w:val="000000" w:themeColor="text1"/>
          <w:lang w:val="es-ES"/>
        </w:rPr>
      </w:pPr>
      <w:r w:rsidRPr="00FC6F34">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FC6F34">
        <w:rPr>
          <w:rFonts w:ascii="Verdana"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3B753622" w14:textId="77777777" w:rsidR="007E6FD3" w:rsidRPr="00FC6F34" w:rsidRDefault="007E6FD3" w:rsidP="006356EF">
      <w:pPr>
        <w:tabs>
          <w:tab w:val="left" w:pos="709"/>
        </w:tabs>
        <w:spacing w:after="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1</w:t>
      </w:r>
      <w:r w:rsidRPr="00FC6F34">
        <w:rPr>
          <w:rFonts w:ascii="Verdana" w:hAnsi="Verdana" w:cs="Arial"/>
          <w:bCs/>
          <w:color w:val="000000" w:themeColor="text1"/>
          <w:lang w:val="es-ES"/>
        </w:rPr>
        <w:t>) La contratación referente a la defensa y seguridad del Estado;</w:t>
      </w:r>
    </w:p>
    <w:p w14:paraId="1AAA998F" w14:textId="77777777" w:rsidR="007E6FD3" w:rsidRPr="00FC6F34" w:rsidRDefault="007E6FD3" w:rsidP="006356EF">
      <w:pPr>
        <w:tabs>
          <w:tab w:val="left" w:pos="709"/>
        </w:tabs>
        <w:spacing w:after="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2</w:t>
      </w:r>
      <w:r w:rsidRPr="00FC6F34">
        <w:rPr>
          <w:rFonts w:ascii="Verdana" w:hAnsi="Verdana" w:cs="Arial"/>
          <w:bCs/>
          <w:color w:val="000000" w:themeColor="text1"/>
          <w:lang w:val="es-ES"/>
        </w:rPr>
        <w:t>) Los contratos de crédito público;</w:t>
      </w:r>
    </w:p>
    <w:p w14:paraId="1DD1C94F" w14:textId="77777777" w:rsidR="007E6FD3" w:rsidRPr="00FC6F34" w:rsidRDefault="007E6FD3" w:rsidP="006356EF">
      <w:pPr>
        <w:tabs>
          <w:tab w:val="left" w:pos="709"/>
        </w:tabs>
        <w:spacing w:after="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3</w:t>
      </w:r>
      <w:r w:rsidRPr="00FC6F34">
        <w:rPr>
          <w:rFonts w:ascii="Verdana" w:hAnsi="Verdana" w:cs="Arial"/>
          <w:bCs/>
          <w:color w:val="000000" w:themeColor="text1"/>
          <w:lang w:val="es-ES"/>
        </w:rPr>
        <w:t xml:space="preserve">) Los contratos requeridos para cubrir las </w:t>
      </w:r>
      <w:r w:rsidRPr="00934074">
        <w:rPr>
          <w:rFonts w:ascii="Verdana" w:hAnsi="Verdana" w:cs="Arial"/>
          <w:bCs/>
          <w:i/>
          <w:iCs/>
          <w:color w:val="000000" w:themeColor="text1"/>
          <w:lang w:val="es-ES"/>
        </w:rPr>
        <w:t>emergencias</w:t>
      </w:r>
      <w:r w:rsidRPr="00FC6F34">
        <w:rPr>
          <w:rFonts w:ascii="Verdana" w:hAnsi="Verdana" w:cs="Arial"/>
          <w:bCs/>
          <w:color w:val="000000" w:themeColor="text1"/>
          <w:lang w:val="es-ES"/>
        </w:rPr>
        <w:t xml:space="preserve"> educativas, sanitarias y desastres; </w:t>
      </w:r>
    </w:p>
    <w:p w14:paraId="1424A4AF" w14:textId="77777777" w:rsidR="007E6FD3" w:rsidRPr="00FC6F34" w:rsidRDefault="007E6FD3" w:rsidP="006356EF">
      <w:pPr>
        <w:tabs>
          <w:tab w:val="left" w:pos="709"/>
        </w:tabs>
        <w:spacing w:after="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4</w:t>
      </w:r>
      <w:r w:rsidRPr="00FC6F34">
        <w:rPr>
          <w:rFonts w:ascii="Verdana" w:hAnsi="Verdana" w:cs="Arial"/>
          <w:bCs/>
          <w:color w:val="000000" w:themeColor="text1"/>
          <w:lang w:val="es-ES"/>
        </w:rPr>
        <w:t>) La contratación para la reconstrucción de vías, puentes, carreteras, infraestructura energética y de comunicaciones, en caso de que hayan sido objeto de atentados, acciones terroristas, desastres naturales o casos de fuerza mayor y;</w:t>
      </w:r>
    </w:p>
    <w:p w14:paraId="5CCE7DE7" w14:textId="77777777" w:rsidR="007E6FD3" w:rsidRPr="00FC6F34" w:rsidRDefault="007E6FD3" w:rsidP="006356EF">
      <w:pPr>
        <w:tabs>
          <w:tab w:val="left" w:pos="709"/>
        </w:tabs>
        <w:spacing w:after="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5</w:t>
      </w:r>
      <w:r w:rsidRPr="00FC6F34">
        <w:rPr>
          <w:rFonts w:ascii="Verdana" w:hAnsi="Verdana" w:cs="Arial"/>
          <w:bCs/>
          <w:color w:val="000000" w:themeColor="text1"/>
          <w:lang w:val="es-ES"/>
        </w:rPr>
        <w:t xml:space="preserve">) La contratación que deban realizar las entidades sanitarias y hospitalarias. </w:t>
      </w:r>
    </w:p>
    <w:p w14:paraId="78C0E6D3" w14:textId="77777777" w:rsidR="007E6FD3" w:rsidRPr="00FC6F34" w:rsidRDefault="007E6FD3" w:rsidP="006356EF">
      <w:pPr>
        <w:spacing w:after="120" w:line="276" w:lineRule="auto"/>
        <w:ind w:firstLine="708"/>
        <w:jc w:val="both"/>
        <w:rPr>
          <w:rFonts w:ascii="Verdana" w:hAnsi="Verdana" w:cs="Arial"/>
          <w:lang w:val="es-ES" w:eastAsia="x-none"/>
        </w:rPr>
      </w:pPr>
      <w:r>
        <w:rPr>
          <w:rFonts w:ascii="Verdana" w:hAnsi="Verdana" w:cs="Arial"/>
          <w:bCs/>
          <w:color w:val="000000" w:themeColor="text1"/>
          <w:lang w:val="es-ES"/>
        </w:rPr>
        <w:t xml:space="preserve">De esta forma, </w:t>
      </w:r>
      <w:r>
        <w:rPr>
          <w:rFonts w:ascii="Verdana" w:hAnsi="Verdana" w:cs="Arial"/>
          <w:lang w:val="es-ES" w:eastAsia="x-none"/>
        </w:rPr>
        <w:t>c</w:t>
      </w:r>
      <w:r w:rsidRPr="00FC6F34">
        <w:rPr>
          <w:rFonts w:ascii="Verdana" w:hAnsi="Verdana" w:cs="Arial"/>
          <w:lang w:val="es-ES" w:eastAsia="x-none"/>
        </w:rPr>
        <w:t>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C6F34">
        <w:rPr>
          <w:rFonts w:ascii="Verdana" w:hAnsi="Verdana" w:cs="Arial"/>
          <w:color w:val="000000" w:themeColor="text1"/>
          <w:vertAlign w:val="superscript"/>
          <w:lang w:val="es-ES" w:eastAsia="es-CO"/>
        </w:rPr>
        <w:t xml:space="preserve"> </w:t>
      </w:r>
      <w:r w:rsidRPr="00FC6F34">
        <w:rPr>
          <w:rFonts w:ascii="Verdana" w:hAnsi="Verdana" w:cs="Arial"/>
          <w:color w:val="000000" w:themeColor="text1"/>
          <w:vertAlign w:val="superscript"/>
          <w:lang w:val="es-ES" w:eastAsia="es-CO"/>
        </w:rPr>
        <w:footnoteReference w:id="21"/>
      </w:r>
      <w:r w:rsidRPr="00FC6F34">
        <w:rPr>
          <w:rFonts w:ascii="Verdana" w:hAnsi="Verdana" w:cs="Arial"/>
          <w:lang w:val="es-ES" w:eastAsia="x-none"/>
        </w:rPr>
        <w:t xml:space="preserve">. De ahí que la Corte haya hecho particular énfasis en que las excepciones a la restricción protegen diversos tipos de </w:t>
      </w:r>
      <w:r w:rsidRPr="00934074">
        <w:rPr>
          <w:rFonts w:ascii="Verdana" w:hAnsi="Verdana" w:cs="Arial"/>
          <w:i/>
          <w:iCs/>
          <w:lang w:val="es-ES" w:eastAsia="x-none"/>
        </w:rPr>
        <w:t>urgencias</w:t>
      </w:r>
      <w:r w:rsidRPr="00FC6F34">
        <w:rPr>
          <w:rFonts w:ascii="Verdana" w:hAnsi="Verdana" w:cs="Arial"/>
          <w:lang w:val="es-ES" w:eastAsia="x-none"/>
        </w:rPr>
        <w:t xml:space="preserve">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1B6419AD" w14:textId="142DF772" w:rsidR="007E6FD3" w:rsidRDefault="007E6FD3" w:rsidP="005B4321">
      <w:pPr>
        <w:tabs>
          <w:tab w:val="left" w:pos="426"/>
        </w:tabs>
        <w:spacing w:before="120" w:after="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lastRenderedPageBreak/>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427A85C3" w14:textId="77777777" w:rsidR="005B4321" w:rsidRPr="00FC6F34" w:rsidRDefault="005B4321" w:rsidP="006356EF">
      <w:pPr>
        <w:tabs>
          <w:tab w:val="left" w:pos="426"/>
        </w:tabs>
        <w:spacing w:after="0" w:line="276" w:lineRule="auto"/>
        <w:ind w:firstLine="709"/>
        <w:jc w:val="both"/>
        <w:rPr>
          <w:rFonts w:ascii="Verdana" w:hAnsi="Verdana" w:cs="Arial"/>
          <w:bCs/>
          <w:color w:val="000000" w:themeColor="text1"/>
          <w:lang w:val="es-ES"/>
        </w:rPr>
      </w:pPr>
    </w:p>
    <w:p w14:paraId="6A39C069" w14:textId="5924DB86" w:rsidR="007E6FD3" w:rsidRDefault="007E6FD3" w:rsidP="00FB25A5">
      <w:pPr>
        <w:shd w:val="clear" w:color="auto" w:fill="FFFFFF"/>
        <w:spacing w:after="0"/>
        <w:ind w:left="709" w:right="709"/>
        <w:jc w:val="both"/>
        <w:rPr>
          <w:rFonts w:ascii="Verdana" w:hAnsi="Verdana" w:cs="Arial"/>
          <w:color w:val="000000" w:themeColor="text1"/>
          <w:sz w:val="20"/>
          <w:szCs w:val="20"/>
          <w:lang w:val="es-ES" w:eastAsia="es-CO"/>
        </w:rPr>
      </w:pPr>
      <w:r w:rsidRPr="00FC6F34">
        <w:rPr>
          <w:rFonts w:ascii="Verdana" w:hAnsi="Verdana" w:cs="Arial"/>
          <w:color w:val="000000" w:themeColor="text1"/>
          <w:sz w:val="20"/>
          <w:szCs w:val="20"/>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FC6F34">
        <w:rPr>
          <w:rFonts w:ascii="Verdana" w:hAnsi="Verdana" w:cs="Arial"/>
          <w:color w:val="000000" w:themeColor="text1"/>
          <w:sz w:val="20"/>
          <w:szCs w:val="20"/>
          <w:vertAlign w:val="superscript"/>
          <w:lang w:val="es-ES" w:eastAsia="es-CO"/>
        </w:rPr>
        <w:footnoteReference w:id="22"/>
      </w:r>
      <w:r w:rsidRPr="00FC6F34">
        <w:rPr>
          <w:rFonts w:ascii="Verdana" w:hAnsi="Verdana" w:cs="Arial"/>
          <w:color w:val="000000" w:themeColor="text1"/>
          <w:sz w:val="20"/>
          <w:szCs w:val="20"/>
          <w:lang w:val="es-ES" w:eastAsia="es-CO"/>
        </w:rPr>
        <w:t xml:space="preserve">”. </w:t>
      </w:r>
    </w:p>
    <w:p w14:paraId="76068DC6" w14:textId="77777777" w:rsidR="00FB25A5" w:rsidRPr="006356EF" w:rsidRDefault="00FB25A5" w:rsidP="006356EF">
      <w:pPr>
        <w:shd w:val="clear" w:color="auto" w:fill="FFFFFF"/>
        <w:spacing w:after="0" w:line="276" w:lineRule="auto"/>
        <w:ind w:left="709" w:right="709"/>
        <w:jc w:val="both"/>
        <w:rPr>
          <w:rFonts w:ascii="Verdana" w:hAnsi="Verdana" w:cs="Arial"/>
          <w:color w:val="000000" w:themeColor="text1"/>
          <w:lang w:val="es-ES" w:eastAsia="es-CO"/>
        </w:rPr>
      </w:pPr>
    </w:p>
    <w:p w14:paraId="44976FAF" w14:textId="77777777" w:rsidR="007E6FD3" w:rsidRPr="00153204" w:rsidRDefault="007E6FD3" w:rsidP="006356EF">
      <w:pPr>
        <w:tabs>
          <w:tab w:val="left" w:pos="426"/>
        </w:tabs>
        <w:spacing w:after="120" w:line="276" w:lineRule="auto"/>
        <w:ind w:firstLine="709"/>
        <w:jc w:val="both"/>
        <w:rPr>
          <w:rFonts w:ascii="Verdana" w:hAnsi="Verdana" w:cs="Arial"/>
          <w:color w:val="000000" w:themeColor="text1"/>
          <w:shd w:val="clear" w:color="auto" w:fill="FFFFFF"/>
          <w:lang w:val="es-ES"/>
        </w:rPr>
      </w:pPr>
      <w:r w:rsidRPr="00FC6F34">
        <w:rPr>
          <w:rFonts w:ascii="Verdana" w:hAnsi="Verdana" w:cs="Arial"/>
          <w:bCs/>
          <w:color w:val="000000" w:themeColor="text1"/>
          <w:lang w:val="es-ES"/>
        </w:rPr>
        <w:t xml:space="preserve">Por tanto, las excepciones a la prohibición contenida en el inciso segundo de artículo 33 de la </w:t>
      </w:r>
      <w:r>
        <w:rPr>
          <w:rFonts w:ascii="Verdana" w:hAnsi="Verdana" w:cs="Arial"/>
          <w:bCs/>
          <w:color w:val="000000" w:themeColor="text1"/>
          <w:lang w:val="es-ES"/>
        </w:rPr>
        <w:t>L</w:t>
      </w:r>
      <w:r w:rsidRPr="00FC6F34">
        <w:rPr>
          <w:rFonts w:ascii="Verdana" w:hAnsi="Verdana" w:cs="Arial"/>
          <w:bCs/>
          <w:color w:val="000000" w:themeColor="text1"/>
          <w:lang w:val="es-ES"/>
        </w:rPr>
        <w:t xml:space="preserve">ey de </w:t>
      </w:r>
      <w:r>
        <w:rPr>
          <w:rFonts w:ascii="Verdana" w:hAnsi="Verdana" w:cs="Arial"/>
          <w:bCs/>
          <w:color w:val="000000" w:themeColor="text1"/>
          <w:lang w:val="es-ES"/>
        </w:rPr>
        <w:t>G</w:t>
      </w:r>
      <w:r w:rsidRPr="00FC6F34">
        <w:rPr>
          <w:rFonts w:ascii="Verdana" w:hAnsi="Verdana" w:cs="Arial"/>
          <w:bCs/>
          <w:color w:val="000000" w:themeColor="text1"/>
          <w:lang w:val="es-ES"/>
        </w:rPr>
        <w:t xml:space="preserve">arantías </w:t>
      </w:r>
      <w:r>
        <w:rPr>
          <w:rFonts w:ascii="Verdana" w:hAnsi="Verdana" w:cs="Arial"/>
          <w:bCs/>
          <w:color w:val="000000" w:themeColor="text1"/>
          <w:lang w:val="es-ES"/>
        </w:rPr>
        <w:t>E</w:t>
      </w:r>
      <w:r w:rsidRPr="00FC6F34">
        <w:rPr>
          <w:rFonts w:ascii="Verdana" w:hAnsi="Verdana" w:cs="Arial"/>
          <w:bCs/>
          <w:color w:val="000000" w:themeColor="text1"/>
          <w:lang w:val="es-ES"/>
        </w:rPr>
        <w:t>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C6F34">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w:t>
      </w:r>
      <w:r w:rsidRPr="00153204">
        <w:rPr>
          <w:rFonts w:ascii="Verdana" w:hAnsi="Verdana" w:cs="Arial"/>
          <w:color w:val="000000" w:themeColor="text1"/>
          <w:lang w:val="es-ES"/>
        </w:rPr>
        <w:t>“[…]</w:t>
      </w:r>
      <w:r>
        <w:rPr>
          <w:rFonts w:ascii="Verdana" w:hAnsi="Verdana" w:cs="Arial"/>
          <w:i/>
          <w:color w:val="000000" w:themeColor="text1"/>
          <w:lang w:val="es-ES"/>
        </w:rPr>
        <w:t xml:space="preserve"> </w:t>
      </w:r>
      <w:r w:rsidRPr="00153204">
        <w:rPr>
          <w:rFonts w:ascii="Verdana" w:hAnsi="Verdana" w:cs="Arial"/>
          <w:color w:val="000000" w:themeColor="text1"/>
          <w:shd w:val="clear" w:color="auto" w:fill="FFFFFF"/>
          <w:lang w:val="es-ES"/>
        </w:rPr>
        <w:t>Ahora bien, las únicas excepciones a las disposiciones previstas en la Ley de Garantías se encuentran numeradas taxativamente en el último inciso del artículo 33 de la ley 996 de 2005 […]”</w:t>
      </w:r>
      <w:r w:rsidRPr="00153204">
        <w:rPr>
          <w:rFonts w:ascii="Verdana" w:hAnsi="Verdana" w:cs="Arial"/>
          <w:color w:val="000000" w:themeColor="text1"/>
          <w:shd w:val="clear" w:color="auto" w:fill="FFFFFF"/>
          <w:vertAlign w:val="superscript"/>
          <w:lang w:val="es-ES"/>
        </w:rPr>
        <w:footnoteReference w:id="23"/>
      </w:r>
      <w:r w:rsidRPr="00153204">
        <w:rPr>
          <w:rFonts w:ascii="Verdana" w:hAnsi="Verdana" w:cs="Arial"/>
          <w:color w:val="000000" w:themeColor="text1"/>
          <w:shd w:val="clear" w:color="auto" w:fill="FFFFFF"/>
          <w:lang w:val="es-ES"/>
        </w:rPr>
        <w:t>.</w:t>
      </w:r>
    </w:p>
    <w:p w14:paraId="00A469DD" w14:textId="7ABC56DB" w:rsidR="007E6FD3" w:rsidRDefault="007E6FD3" w:rsidP="00FB25A5">
      <w:pPr>
        <w:tabs>
          <w:tab w:val="left" w:pos="426"/>
        </w:tabs>
        <w:spacing w:after="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Lo anterior implica que las excepciones al artículo 33 en comento deben interpretarse y aplicarse de manera </w:t>
      </w:r>
      <w:r w:rsidRPr="002D4C10">
        <w:rPr>
          <w:rFonts w:ascii="Verdana" w:hAnsi="Verdana" w:cs="Arial"/>
          <w:bCs/>
          <w:i/>
          <w:iCs/>
          <w:color w:val="000000" w:themeColor="text1"/>
          <w:lang w:val="es-ES"/>
        </w:rPr>
        <w:t>estricta</w:t>
      </w:r>
      <w:r w:rsidRPr="00FC6F34">
        <w:rPr>
          <w:rFonts w:ascii="Verdana" w:hAnsi="Verdana" w:cs="Arial"/>
          <w:bCs/>
          <w:color w:val="000000" w:themeColor="text1"/>
          <w:lang w:val="es-ES"/>
        </w:rPr>
        <w:t>. En otras palabras, no es factible hacer interpretaciones extensivas</w:t>
      </w:r>
      <w:r w:rsidRPr="00FC6F34">
        <w:rPr>
          <w:rFonts w:ascii="Verdana" w:hAnsi="Verdana" w:cs="Arial"/>
          <w:bCs/>
          <w:i/>
          <w:iCs/>
          <w:color w:val="000000" w:themeColor="text1"/>
          <w:lang w:val="es-ES"/>
        </w:rPr>
        <w:t xml:space="preserve"> </w:t>
      </w:r>
      <w:r w:rsidRPr="00FC6F34">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265D0A71" w14:textId="77777777" w:rsidR="00FB25A5" w:rsidRPr="00FC6F34" w:rsidRDefault="00FB25A5" w:rsidP="006356EF">
      <w:pPr>
        <w:tabs>
          <w:tab w:val="left" w:pos="426"/>
        </w:tabs>
        <w:spacing w:after="0" w:line="276" w:lineRule="auto"/>
        <w:ind w:firstLine="709"/>
        <w:jc w:val="both"/>
        <w:rPr>
          <w:rFonts w:ascii="Verdana" w:hAnsi="Verdana" w:cs="Arial"/>
          <w:bCs/>
          <w:color w:val="000000" w:themeColor="text1"/>
          <w:lang w:val="es-ES"/>
        </w:rPr>
      </w:pPr>
    </w:p>
    <w:p w14:paraId="3E7DFC3B" w14:textId="15AFB544" w:rsidR="007E6FD3" w:rsidRDefault="007E6FD3" w:rsidP="006356EF">
      <w:pPr>
        <w:spacing w:line="276" w:lineRule="auto"/>
        <w:jc w:val="both"/>
        <w:rPr>
          <w:rFonts w:ascii="Verdana" w:hAnsi="Verdana" w:cs="Arial"/>
          <w:lang w:val="es-ES"/>
        </w:rPr>
      </w:pPr>
      <w:r>
        <w:rPr>
          <w:rFonts w:ascii="Verdana" w:eastAsia="Arial" w:hAnsi="Verdana" w:cs="Arial"/>
          <w:bCs/>
          <w:color w:val="000000" w:themeColor="text1"/>
          <w:lang w:val="es-ES"/>
        </w:rPr>
        <w:t xml:space="preserve">v) </w:t>
      </w:r>
      <w:r w:rsidR="00FB25A5">
        <w:rPr>
          <w:rFonts w:ascii="Verdana" w:eastAsia="Arial" w:hAnsi="Verdana" w:cs="Arial"/>
          <w:bCs/>
          <w:color w:val="000000" w:themeColor="text1"/>
          <w:lang w:val="es-ES"/>
        </w:rPr>
        <w:t>Ahora bien</w:t>
      </w:r>
      <w:r>
        <w:rPr>
          <w:rFonts w:ascii="Verdana" w:eastAsia="Arial" w:hAnsi="Verdana" w:cs="Arial"/>
          <w:bCs/>
          <w:color w:val="000000" w:themeColor="text1"/>
          <w:lang w:val="es-ES"/>
        </w:rPr>
        <w:t xml:space="preserve">, la prohibición establecida en el </w:t>
      </w:r>
      <w:r w:rsidRPr="00F46F28">
        <w:rPr>
          <w:rFonts w:ascii="Verdana" w:eastAsia="Arial" w:hAnsi="Verdana" w:cs="Arial"/>
          <w:bCs/>
          <w:i/>
          <w:iCs/>
          <w:color w:val="000000" w:themeColor="text1"/>
          <w:lang w:val="es-ES"/>
        </w:rPr>
        <w:t xml:space="preserve">parágrafo del artículo 38 </w:t>
      </w:r>
      <w:r w:rsidRPr="00FC6F34">
        <w:rPr>
          <w:rFonts w:ascii="Verdana" w:eastAsia="Calibri" w:hAnsi="Verdana" w:cs="Arial"/>
          <w:bCs/>
          <w:lang w:val="es-ES"/>
        </w:rPr>
        <w:t>de la Ley 996 de 2005 dispone que</w:t>
      </w:r>
      <w:r w:rsidR="00AC09B7">
        <w:rPr>
          <w:rFonts w:ascii="Verdana" w:eastAsia="Calibri" w:hAnsi="Verdana" w:cs="Arial"/>
          <w:bCs/>
          <w:lang w:val="es-ES"/>
        </w:rPr>
        <w:t>:</w:t>
      </w:r>
      <w:r w:rsidRPr="00FC6F34">
        <w:rPr>
          <w:rFonts w:ascii="Verdana" w:eastAsia="Calibri" w:hAnsi="Verdana" w:cs="Arial"/>
          <w:bCs/>
          <w:lang w:val="es-ES"/>
        </w:rPr>
        <w:t xml:space="preserve"> “los Gobernadores, </w:t>
      </w:r>
      <w:proofErr w:type="gramStart"/>
      <w:r w:rsidRPr="00FC6F34">
        <w:rPr>
          <w:rFonts w:ascii="Verdana" w:eastAsia="Calibri" w:hAnsi="Verdana" w:cs="Arial"/>
          <w:bCs/>
          <w:lang w:val="es-ES"/>
        </w:rPr>
        <w:t>Alcaldes</w:t>
      </w:r>
      <w:proofErr w:type="gramEnd"/>
      <w:r w:rsidRPr="00FC6F34">
        <w:rPr>
          <w:rFonts w:ascii="Verdana" w:eastAsia="Calibri" w:hAnsi="Verdana" w:cs="Arial"/>
          <w:bCs/>
          <w:lang w:val="es-ES"/>
        </w:rPr>
        <w:t xml:space="preserve"> Municipales y/o Distritales, </w:t>
      </w:r>
      <w:proofErr w:type="gramStart"/>
      <w:r w:rsidRPr="00FC6F34">
        <w:rPr>
          <w:rFonts w:ascii="Verdana" w:eastAsia="Calibri" w:hAnsi="Verdana" w:cs="Arial"/>
          <w:bCs/>
          <w:lang w:val="es-ES"/>
        </w:rPr>
        <w:t>Secretarios</w:t>
      </w:r>
      <w:proofErr w:type="gramEnd"/>
      <w:r w:rsidRPr="00FC6F34">
        <w:rPr>
          <w:rFonts w:ascii="Verdana" w:eastAsia="Calibri" w:hAnsi="Verdana" w:cs="Arial"/>
          <w:bCs/>
          <w:lang w:val="es-ES"/>
        </w:rPr>
        <w:t xml:space="preserve">, Gerentes y directores de Entidades Descentralizadas del orden Municipal, Departamental o Distrital, dentro de los cuatro (4) meses anteriores a las elecciones, no podrán celebrar </w:t>
      </w:r>
      <w:r w:rsidRPr="002D4C10">
        <w:rPr>
          <w:rFonts w:ascii="Verdana" w:eastAsia="Calibri" w:hAnsi="Verdana" w:cs="Arial"/>
          <w:bCs/>
          <w:i/>
          <w:iCs/>
          <w:lang w:val="es-ES"/>
        </w:rPr>
        <w:t>convenios interadministrativos</w:t>
      </w:r>
      <w:r w:rsidRPr="00FC6F34">
        <w:rPr>
          <w:rFonts w:ascii="Verdana" w:eastAsia="Calibri" w:hAnsi="Verdana" w:cs="Arial"/>
          <w:bCs/>
          <w:lang w:val="es-ES"/>
        </w:rPr>
        <w:t xml:space="preserve"> </w:t>
      </w:r>
      <w:r w:rsidRPr="00FC6F34">
        <w:rPr>
          <w:rFonts w:ascii="Verdana" w:eastAsia="Calibri" w:hAnsi="Verdana" w:cs="Arial"/>
          <w:bCs/>
          <w:lang w:val="es-ES"/>
        </w:rPr>
        <w:lastRenderedPageBreak/>
        <w:t>para la ejecución de recursos públicos”.</w:t>
      </w:r>
      <w:r w:rsidRPr="00FC6F34">
        <w:rPr>
          <w:rFonts w:ascii="Verdana" w:hAnsi="Verdana" w:cs="Arial"/>
          <w:bCs/>
          <w:iCs/>
          <w:lang w:val="es-ES" w:eastAsia="x-none"/>
        </w:rPr>
        <w:t xml:space="preserve"> </w:t>
      </w:r>
      <w:r w:rsidR="00AC09B7">
        <w:rPr>
          <w:rFonts w:ascii="Verdana" w:hAnsi="Verdana" w:cs="Arial"/>
          <w:bCs/>
          <w:iCs/>
          <w:lang w:val="es-ES" w:eastAsia="x-none"/>
        </w:rPr>
        <w:t xml:space="preserve">De la lectura </w:t>
      </w:r>
      <w:proofErr w:type="gramStart"/>
      <w:r w:rsidR="00AC09B7">
        <w:rPr>
          <w:rFonts w:ascii="Verdana" w:hAnsi="Verdana" w:cs="Arial"/>
          <w:bCs/>
          <w:iCs/>
          <w:lang w:val="es-ES" w:eastAsia="x-none"/>
        </w:rPr>
        <w:t>dela</w:t>
      </w:r>
      <w:proofErr w:type="gramEnd"/>
      <w:r w:rsidR="00AC09B7">
        <w:rPr>
          <w:rFonts w:ascii="Verdana" w:hAnsi="Verdana" w:cs="Arial"/>
          <w:bCs/>
          <w:iCs/>
          <w:lang w:val="es-ES" w:eastAsia="x-none"/>
        </w:rPr>
        <w:t xml:space="preserve"> norma se desprende que, l</w:t>
      </w:r>
      <w:r w:rsidR="00AC09B7" w:rsidRPr="00FC6F34">
        <w:rPr>
          <w:rFonts w:ascii="Verdana" w:hAnsi="Verdana" w:cs="Arial"/>
          <w:bCs/>
          <w:iCs/>
          <w:lang w:val="es-ES" w:eastAsia="x-none"/>
        </w:rPr>
        <w:t xml:space="preserve">os </w:t>
      </w:r>
      <w:r w:rsidRPr="00FC6F34">
        <w:rPr>
          <w:rFonts w:ascii="Verdana" w:hAnsi="Verdana" w:cs="Arial"/>
          <w:bCs/>
          <w:iCs/>
          <w:lang w:val="es-ES" w:eastAsia="x-none"/>
        </w:rPr>
        <w:t>convenios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sidRPr="00FC6F34">
        <w:rPr>
          <w:rStyle w:val="Refdenotaalpie"/>
          <w:rFonts w:ascii="Verdana" w:hAnsi="Verdana" w:cs="Arial"/>
          <w:bCs/>
          <w:iCs/>
          <w:lang w:val="es-ES" w:eastAsia="x-none"/>
        </w:rPr>
        <w:footnoteReference w:id="24"/>
      </w:r>
      <w:r w:rsidRPr="00FC6F34">
        <w:rPr>
          <w:rFonts w:ascii="Verdana" w:hAnsi="Verdana" w:cs="Arial"/>
          <w:bCs/>
          <w:iCs/>
          <w:lang w:val="es-ES" w:eastAsia="x-none"/>
        </w:rPr>
        <w:t>.</w:t>
      </w:r>
      <w:r w:rsidRPr="00FC6F34">
        <w:rPr>
          <w:rFonts w:ascii="Verdana" w:hAnsi="Verdana" w:cs="Arial"/>
          <w:lang w:val="es-ES"/>
        </w:rPr>
        <w:t xml:space="preserve"> </w:t>
      </w:r>
      <w:bookmarkStart w:id="3" w:name="_Hlk78820161"/>
    </w:p>
    <w:p w14:paraId="02423F13" w14:textId="25340BF8" w:rsidR="007E6FD3" w:rsidRDefault="007E6FD3" w:rsidP="007E6FD3">
      <w:pPr>
        <w:spacing w:before="120" w:after="120" w:line="276" w:lineRule="auto"/>
        <w:ind w:firstLine="708"/>
        <w:jc w:val="both"/>
        <w:rPr>
          <w:rFonts w:ascii="Verdana" w:hAnsi="Verdana" w:cs="Arial"/>
          <w:lang w:val="es-ES"/>
        </w:rPr>
      </w:pPr>
      <w:r w:rsidRPr="00FC6F34">
        <w:rPr>
          <w:rFonts w:ascii="Verdana" w:hAnsi="Verdana" w:cs="Arial"/>
          <w:lang w:val="es-ES"/>
        </w:rPr>
        <w:t>Aunque la ley no definió ni desarrolló</w:t>
      </w:r>
      <w:r>
        <w:rPr>
          <w:rFonts w:ascii="Verdana" w:hAnsi="Verdana" w:cs="Arial"/>
          <w:lang w:val="es-ES"/>
        </w:rPr>
        <w:t xml:space="preserve"> </w:t>
      </w:r>
      <w:r w:rsidRPr="00FC6F34">
        <w:rPr>
          <w:rFonts w:ascii="Verdana" w:eastAsia="Calibri" w:hAnsi="Verdana" w:cs="Arial"/>
          <w:bCs/>
          <w:lang w:val="es-ES"/>
        </w:rPr>
        <w:t>la tipología de convenios interadministrativos</w:t>
      </w:r>
      <w:r w:rsidRPr="00FC6F34">
        <w:rPr>
          <w:rFonts w:ascii="Verdana" w:hAnsi="Verdana" w:cs="Arial"/>
          <w:lang w:val="es-ES"/>
        </w:rPr>
        <w:t>, el Decreto 1082 de 2015 califica a los convenios o contratos interadministrativos como aquella contratación entre entidades estatales</w:t>
      </w:r>
      <w:r w:rsidRPr="00FC6F34">
        <w:rPr>
          <w:rStyle w:val="Refdenotaalpie"/>
          <w:rFonts w:ascii="Verdana" w:hAnsi="Verdana" w:cs="Arial"/>
          <w:lang w:val="es-ES"/>
        </w:rPr>
        <w:footnoteReference w:id="25"/>
      </w:r>
      <w:r w:rsidRPr="00FC6F34">
        <w:rPr>
          <w:rFonts w:ascii="Verdana" w:hAnsi="Verdana" w:cs="Arial"/>
          <w:lang w:val="es-ES"/>
        </w:rPr>
        <w:t xml:space="preserve">. De acuerdo con lo anterior, el convenio interadministrativo es el acuerdo donde concurre la voluntad de dos o más personas jurídicas de derecho público con la finalidad de cumplir, en el marco de sus objetivos misionales y sus competencias, con los fines del Estado. Es decir, los convenios interadministrativos están determinados por un criterio orgánico, pues es necesario que los extremos de la relación contractual sean </w:t>
      </w:r>
      <w:r w:rsidR="00AC09B7">
        <w:rPr>
          <w:rFonts w:ascii="Verdana" w:hAnsi="Verdana" w:cs="Arial"/>
          <w:lang w:val="es-ES"/>
        </w:rPr>
        <w:t>e</w:t>
      </w:r>
      <w:r w:rsidRPr="00FC6F34">
        <w:rPr>
          <w:rFonts w:ascii="Verdana" w:hAnsi="Verdana" w:cs="Arial"/>
          <w:lang w:val="es-ES"/>
        </w:rPr>
        <w:t>ntidades</w:t>
      </w:r>
      <w:r w:rsidRPr="00FC6F34">
        <w:rPr>
          <w:rFonts w:ascii="Verdana" w:hAnsi="Verdana" w:cs="Arial"/>
          <w:spacing w:val="-6"/>
          <w:lang w:val="es-ES"/>
        </w:rPr>
        <w:t xml:space="preserve"> </w:t>
      </w:r>
      <w:r w:rsidR="00AC09B7">
        <w:rPr>
          <w:rFonts w:ascii="Verdana" w:hAnsi="Verdana" w:cs="Arial"/>
          <w:lang w:val="es-ES"/>
        </w:rPr>
        <w:t>e</w:t>
      </w:r>
      <w:r w:rsidRPr="00FC6F34">
        <w:rPr>
          <w:rFonts w:ascii="Verdana" w:hAnsi="Verdana" w:cs="Arial"/>
          <w:lang w:val="es-ES"/>
        </w:rPr>
        <w:t>statales.</w:t>
      </w:r>
      <w:bookmarkStart w:id="4" w:name="_Hlk78820654"/>
      <w:bookmarkEnd w:id="3"/>
    </w:p>
    <w:p w14:paraId="427A8076" w14:textId="3B45D07C" w:rsidR="007E6FD3" w:rsidRPr="000A1100" w:rsidRDefault="007E6FD3" w:rsidP="007E6FD3">
      <w:pPr>
        <w:spacing w:before="120" w:after="120" w:line="276" w:lineRule="auto"/>
        <w:ind w:firstLine="708"/>
        <w:jc w:val="both"/>
        <w:rPr>
          <w:rFonts w:ascii="Verdana" w:hAnsi="Verdana" w:cs="Arial"/>
          <w:lang w:val="es-ES"/>
        </w:rPr>
      </w:pPr>
      <w:r w:rsidRPr="00FC6F34">
        <w:rPr>
          <w:rFonts w:ascii="Verdana" w:hAnsi="Verdana" w:cs="Arial"/>
          <w:lang w:val="es-ES"/>
        </w:rPr>
        <w:t xml:space="preserve">Si bien los contratos o convenios interadministrativos están previstos en la Ley 80 de 1993, en la Ley 1150 de 2007 y en el Decreto en el 1082 de 2015, no quiere decir que solo puedan celebrarse entre </w:t>
      </w:r>
      <w:r w:rsidR="00AC09B7">
        <w:rPr>
          <w:rFonts w:ascii="Verdana" w:hAnsi="Verdana" w:cs="Arial"/>
          <w:lang w:val="es-ES"/>
        </w:rPr>
        <w:t>e</w:t>
      </w:r>
      <w:r w:rsidRPr="00FC6F34">
        <w:rPr>
          <w:rFonts w:ascii="Verdana" w:hAnsi="Verdana" w:cs="Arial"/>
          <w:lang w:val="es-ES"/>
        </w:rPr>
        <w:t xml:space="preserve">ntidades </w:t>
      </w:r>
      <w:r w:rsidR="00AC09B7">
        <w:rPr>
          <w:rFonts w:ascii="Verdana" w:hAnsi="Verdana" w:cs="Arial"/>
          <w:lang w:val="es-ES"/>
        </w:rPr>
        <w:t>e</w:t>
      </w:r>
      <w:r w:rsidRPr="00FC6F34">
        <w:rPr>
          <w:rFonts w:ascii="Verdana" w:hAnsi="Verdana" w:cs="Arial"/>
          <w:lang w:val="es-ES"/>
        </w:rPr>
        <w:t xml:space="preserve">statales que apliquen el régimen de contratación allí previsto, pues una </w:t>
      </w:r>
      <w:r>
        <w:rPr>
          <w:rFonts w:ascii="Verdana" w:hAnsi="Verdana" w:cs="Arial"/>
          <w:lang w:val="es-ES"/>
        </w:rPr>
        <w:t>E</w:t>
      </w:r>
      <w:r w:rsidRPr="00FC6F34">
        <w:rPr>
          <w:rFonts w:ascii="Verdana" w:hAnsi="Verdana" w:cs="Arial"/>
          <w:lang w:val="es-ES"/>
        </w:rPr>
        <w:t xml:space="preserve">ntidad </w:t>
      </w:r>
      <w:r>
        <w:rPr>
          <w:rFonts w:ascii="Verdana" w:hAnsi="Verdana" w:cs="Arial"/>
          <w:lang w:val="es-ES"/>
        </w:rPr>
        <w:t>E</w:t>
      </w:r>
      <w:r w:rsidRPr="00FC6F34">
        <w:rPr>
          <w:rFonts w:ascii="Verdana" w:hAnsi="Verdana" w:cs="Arial"/>
          <w:lang w:val="es-ES"/>
        </w:rPr>
        <w:t xml:space="preserve">statal sometida a la Ley 80 de 1993 </w:t>
      </w:r>
      <w:r>
        <w:rPr>
          <w:rFonts w:ascii="Verdana" w:hAnsi="Verdana" w:cs="Arial"/>
          <w:lang w:val="es-ES"/>
        </w:rPr>
        <w:t xml:space="preserve">puede </w:t>
      </w:r>
      <w:r w:rsidRPr="00FC6F34">
        <w:rPr>
          <w:rFonts w:ascii="Verdana" w:hAnsi="Verdana" w:cs="Arial"/>
          <w:lang w:val="es-ES"/>
        </w:rPr>
        <w:t>celebrar esta clase de convenios con una de régimen especial y no por ello dejará de ser un contrato o convenio interadministrativo.</w:t>
      </w:r>
      <w:bookmarkEnd w:id="4"/>
      <w:r>
        <w:rPr>
          <w:rFonts w:ascii="Verdana" w:hAnsi="Verdana" w:cs="Arial"/>
          <w:lang w:val="es-ES"/>
        </w:rPr>
        <w:t xml:space="preserve"> </w:t>
      </w:r>
      <w:r w:rsidRPr="00FC6F34">
        <w:rPr>
          <w:rFonts w:ascii="Verdana" w:hAnsi="Verdana" w:cs="Arial"/>
          <w:lang w:val="es-ES"/>
        </w:rPr>
        <w:t xml:space="preserve">Teniendo en cuenta lo anterior, se reitera que los convenios interadministrativos </w:t>
      </w:r>
      <w:r>
        <w:rPr>
          <w:rFonts w:ascii="Verdana" w:hAnsi="Verdana" w:cs="Arial"/>
          <w:lang w:val="es-ES"/>
        </w:rPr>
        <w:t xml:space="preserve">están definidos por </w:t>
      </w:r>
      <w:r w:rsidRPr="00FC6F34">
        <w:rPr>
          <w:rFonts w:ascii="Verdana" w:hAnsi="Verdana" w:cs="Arial"/>
          <w:lang w:val="es-ES"/>
        </w:rPr>
        <w:t xml:space="preserve">la naturaleza de las partes, de manera que </w:t>
      </w:r>
      <w:r>
        <w:rPr>
          <w:rFonts w:ascii="Verdana" w:hAnsi="Verdana" w:cs="Arial"/>
          <w:lang w:val="es-ES"/>
        </w:rPr>
        <w:t xml:space="preserve">se identifican </w:t>
      </w:r>
      <w:r w:rsidRPr="00FC6F34">
        <w:rPr>
          <w:rFonts w:ascii="Verdana" w:hAnsi="Verdana" w:cs="Arial"/>
          <w:lang w:val="es-ES"/>
        </w:rPr>
        <w:t>por un criterio orgánico</w:t>
      </w:r>
      <w:r>
        <w:rPr>
          <w:rFonts w:ascii="Verdana" w:hAnsi="Verdana" w:cs="Arial"/>
          <w:lang w:val="es-ES"/>
        </w:rPr>
        <w:t xml:space="preserve"> y </w:t>
      </w:r>
      <w:r w:rsidRPr="00FC6F34">
        <w:rPr>
          <w:rFonts w:ascii="Verdana" w:hAnsi="Verdana" w:cs="Arial"/>
          <w:lang w:val="es-ES"/>
        </w:rPr>
        <w:t xml:space="preserve">serán aquellos celebrados entre entidades estatales. </w:t>
      </w:r>
    </w:p>
    <w:p w14:paraId="2146031C" w14:textId="467FF902" w:rsidR="007E6FD3" w:rsidRPr="00E21839" w:rsidRDefault="007E6FD3" w:rsidP="006356EF">
      <w:pPr>
        <w:spacing w:before="120" w:after="0" w:line="276" w:lineRule="auto"/>
        <w:ind w:firstLine="708"/>
        <w:jc w:val="both"/>
        <w:rPr>
          <w:rFonts w:ascii="Verdana" w:eastAsia="Arial" w:hAnsi="Verdana" w:cs="Arial"/>
          <w:color w:val="000000" w:themeColor="text1"/>
        </w:rPr>
      </w:pPr>
      <w:r>
        <w:rPr>
          <w:rFonts w:ascii="Verdana" w:eastAsia="Calibri" w:hAnsi="Verdana" w:cs="Arial"/>
          <w:bCs/>
          <w:lang w:val="es-ES"/>
        </w:rPr>
        <w:t xml:space="preserve">En consecuencia, </w:t>
      </w:r>
      <w:r w:rsidRPr="00FC6F34">
        <w:rPr>
          <w:rFonts w:ascii="Verdana" w:hAnsi="Verdana" w:cs="Arial"/>
          <w:bCs/>
          <w:lang w:val="es-ES" w:eastAsia="es-CO"/>
        </w:rPr>
        <w:t xml:space="preserve">el parágrafo del artículo 38 de la Ley 996 de 2005 prohíbe a los alcaldes, gobernadores, secretarios, gerentes y directores de las entidades del orden municipal, departamental o distrital celebrar </w:t>
      </w:r>
      <w:r w:rsidRPr="0026451D">
        <w:rPr>
          <w:rFonts w:ascii="Verdana" w:hAnsi="Verdana" w:cs="Arial"/>
          <w:bCs/>
          <w:i/>
          <w:iCs/>
          <w:lang w:val="es-ES" w:eastAsia="es-CO"/>
        </w:rPr>
        <w:t>convenios interadministrativos para la ejecución de recursos públicos</w:t>
      </w:r>
      <w:r w:rsidRPr="00FC6F34">
        <w:rPr>
          <w:rFonts w:ascii="Verdana" w:hAnsi="Verdana" w:cs="Arial"/>
          <w:bCs/>
          <w:lang w:val="es-ES" w:eastAsia="es-CO"/>
        </w:rPr>
        <w:t xml:space="preserve">. En este sentido, si una o ambas partes de la relación contractual es una entidad de aquellas </w:t>
      </w:r>
      <w:r w:rsidRPr="00FC6F34">
        <w:rPr>
          <w:rFonts w:ascii="Verdana" w:hAnsi="Verdana" w:cs="Arial"/>
          <w:bCs/>
          <w:lang w:val="es-ES" w:eastAsia="es-CO"/>
        </w:rPr>
        <w:lastRenderedPageBreak/>
        <w:t xml:space="preserve">descritas en el parágrafo, no podrá celebrar tales convenios durante la aplicación de la </w:t>
      </w:r>
      <w:r>
        <w:rPr>
          <w:rFonts w:ascii="Verdana" w:hAnsi="Verdana" w:cs="Arial"/>
          <w:bCs/>
          <w:lang w:val="es-ES" w:eastAsia="es-CO"/>
        </w:rPr>
        <w:t>L</w:t>
      </w:r>
      <w:r w:rsidRPr="00FC6F34">
        <w:rPr>
          <w:rFonts w:ascii="Verdana" w:hAnsi="Verdana" w:cs="Arial"/>
          <w:bCs/>
          <w:lang w:val="es-ES" w:eastAsia="es-CO"/>
        </w:rPr>
        <w:t xml:space="preserve">ey de </w:t>
      </w:r>
      <w:r>
        <w:rPr>
          <w:rFonts w:ascii="Verdana" w:hAnsi="Verdana" w:cs="Arial"/>
          <w:bCs/>
          <w:lang w:val="es-ES" w:eastAsia="es-CO"/>
        </w:rPr>
        <w:t>G</w:t>
      </w:r>
      <w:r w:rsidRPr="00FC6F34">
        <w:rPr>
          <w:rFonts w:ascii="Verdana" w:hAnsi="Verdana" w:cs="Arial"/>
          <w:bCs/>
          <w:lang w:val="es-ES" w:eastAsia="es-CO"/>
        </w:rPr>
        <w:t>arantías</w:t>
      </w:r>
      <w:r w:rsidR="00AC09B7">
        <w:rPr>
          <w:rFonts w:ascii="Verdana" w:hAnsi="Verdana" w:cs="Arial"/>
          <w:bCs/>
          <w:lang w:val="es-ES" w:eastAsia="es-CO"/>
        </w:rPr>
        <w:t xml:space="preserve"> Electorales</w:t>
      </w:r>
      <w:r w:rsidRPr="00FC6F34">
        <w:rPr>
          <w:rFonts w:ascii="Verdana" w:hAnsi="Verdana" w:cs="Arial"/>
          <w:bCs/>
          <w:lang w:val="es-ES" w:eastAsia="es-CO"/>
        </w:rPr>
        <w:t>, toda vez que la citada disposición hace referencia a dicha tipología contractual sin que el legislador hubiere contemplado excepción alguna frente a la modalidad de selección o naturaleza de su objeto</w:t>
      </w:r>
      <w:r w:rsidRPr="00FC6F34">
        <w:rPr>
          <w:rFonts w:ascii="Verdana" w:hAnsi="Verdana" w:cs="Arial"/>
          <w:vertAlign w:val="superscript"/>
          <w:lang w:val="es-ES"/>
        </w:rPr>
        <w:footnoteReference w:id="26"/>
      </w:r>
      <w:r w:rsidRPr="00FC6F34">
        <w:rPr>
          <w:rFonts w:ascii="Verdana" w:hAnsi="Verdana" w:cs="Arial"/>
          <w:bCs/>
          <w:lang w:val="es-ES" w:eastAsia="es-CO"/>
        </w:rPr>
        <w:t xml:space="preserve">. </w:t>
      </w:r>
    </w:p>
    <w:p w14:paraId="15F21706" w14:textId="368098B8" w:rsidR="007E6FD3" w:rsidRPr="008B724A" w:rsidRDefault="007E6FD3" w:rsidP="006356EF">
      <w:pPr>
        <w:spacing w:before="120" w:after="0" w:line="276" w:lineRule="auto"/>
        <w:jc w:val="both"/>
        <w:rPr>
          <w:rFonts w:ascii="Verdana" w:eastAsia="Arial" w:hAnsi="Verdana" w:cs="Arial"/>
          <w:bCs/>
          <w:color w:val="000000" w:themeColor="text1"/>
          <w:lang w:val="es-ES"/>
        </w:rPr>
      </w:pPr>
      <w:r>
        <w:rPr>
          <w:rFonts w:ascii="Verdana" w:eastAsia="Arial" w:hAnsi="Verdana" w:cs="Arial"/>
          <w:bCs/>
          <w:color w:val="000000" w:themeColor="text1"/>
          <w:lang w:val="es-ES"/>
        </w:rPr>
        <w:tab/>
        <w:t xml:space="preserve">Adicionalmente, con respecto a la prohibición del </w:t>
      </w:r>
      <w:r w:rsidRPr="00C16886">
        <w:rPr>
          <w:rFonts w:ascii="Verdana" w:eastAsia="Arial" w:hAnsi="Verdana" w:cs="Arial"/>
          <w:bCs/>
          <w:i/>
          <w:iCs/>
          <w:color w:val="000000" w:themeColor="text1"/>
          <w:lang w:val="es-ES"/>
        </w:rPr>
        <w:t>parágrafo del artículo 38</w:t>
      </w:r>
      <w:r>
        <w:rPr>
          <w:rFonts w:ascii="Verdana" w:eastAsia="Arial" w:hAnsi="Verdana" w:cs="Arial"/>
          <w:bCs/>
          <w:color w:val="000000" w:themeColor="text1"/>
          <w:lang w:val="es-ES"/>
        </w:rPr>
        <w:t>, es necesario verificar si la contratación es llevada a cabo por “</w:t>
      </w:r>
      <w:proofErr w:type="gramStart"/>
      <w:r w:rsidRPr="000C77A8">
        <w:rPr>
          <w:rFonts w:ascii="Verdana" w:eastAsia="Arial" w:hAnsi="Verdana" w:cs="Arial"/>
          <w:bCs/>
          <w:color w:val="000000" w:themeColor="text1"/>
        </w:rPr>
        <w:t>Alcaldes</w:t>
      </w:r>
      <w:proofErr w:type="gramEnd"/>
      <w:r w:rsidRPr="000C77A8">
        <w:rPr>
          <w:rFonts w:ascii="Verdana" w:eastAsia="Arial" w:hAnsi="Verdana" w:cs="Arial"/>
          <w:bCs/>
          <w:color w:val="000000" w:themeColor="text1"/>
        </w:rPr>
        <w:t xml:space="preserve">, Gobernadores, </w:t>
      </w:r>
      <w:proofErr w:type="gramStart"/>
      <w:r w:rsidRPr="000C77A8">
        <w:rPr>
          <w:rFonts w:ascii="Verdana" w:eastAsia="Arial" w:hAnsi="Verdana" w:cs="Arial"/>
          <w:bCs/>
          <w:color w:val="000000" w:themeColor="text1"/>
        </w:rPr>
        <w:t>Secretarios</w:t>
      </w:r>
      <w:proofErr w:type="gramEnd"/>
      <w:r w:rsidRPr="000C77A8">
        <w:rPr>
          <w:rFonts w:ascii="Verdana" w:eastAsia="Arial" w:hAnsi="Verdana" w:cs="Arial"/>
          <w:bCs/>
          <w:color w:val="000000" w:themeColor="text1"/>
        </w:rPr>
        <w:t xml:space="preserve">, Gerentes y </w:t>
      </w:r>
      <w:proofErr w:type="gramStart"/>
      <w:r w:rsidRPr="000C77A8">
        <w:rPr>
          <w:rFonts w:ascii="Verdana" w:eastAsia="Arial" w:hAnsi="Verdana" w:cs="Arial"/>
          <w:bCs/>
          <w:color w:val="000000" w:themeColor="text1"/>
        </w:rPr>
        <w:t>Directores</w:t>
      </w:r>
      <w:proofErr w:type="gramEnd"/>
      <w:r w:rsidRPr="000C77A8">
        <w:rPr>
          <w:rFonts w:ascii="Verdana" w:eastAsia="Arial" w:hAnsi="Verdana" w:cs="Arial"/>
          <w:bCs/>
          <w:color w:val="000000" w:themeColor="text1"/>
        </w:rPr>
        <w:t xml:space="preserve"> de las entidades del orden municipal, departamental o distrital</w:t>
      </w:r>
      <w:r>
        <w:rPr>
          <w:rFonts w:ascii="Verdana" w:eastAsia="Arial" w:hAnsi="Verdana" w:cs="Arial"/>
          <w:bCs/>
          <w:color w:val="000000" w:themeColor="text1"/>
        </w:rPr>
        <w:t>”; así como</w:t>
      </w:r>
      <w:r>
        <w:rPr>
          <w:rFonts w:ascii="Verdana" w:eastAsia="Arial" w:hAnsi="Verdana" w:cs="Arial"/>
          <w:bCs/>
          <w:color w:val="000000" w:themeColor="text1"/>
          <w:lang w:val="es-ES"/>
        </w:rPr>
        <w:t xml:space="preserve"> verificar si lo que pretende adelantar es un convenio interadministrativo para la ejecución de recursos públicos. Cuando este sea el caso, operará la restricción señalada en el parágrafo y estará prohibido llevar a cabo la contratación en los cuatro </w:t>
      </w:r>
      <w:r w:rsidR="00BE0396">
        <w:rPr>
          <w:rFonts w:ascii="Verdana" w:eastAsia="Arial" w:hAnsi="Verdana" w:cs="Arial"/>
          <w:bCs/>
          <w:color w:val="000000" w:themeColor="text1"/>
          <w:lang w:val="es-ES"/>
        </w:rPr>
        <w:t xml:space="preserve">(4) </w:t>
      </w:r>
      <w:r>
        <w:rPr>
          <w:rFonts w:ascii="Verdana" w:eastAsia="Arial" w:hAnsi="Verdana" w:cs="Arial"/>
          <w:bCs/>
          <w:color w:val="000000" w:themeColor="text1"/>
          <w:lang w:val="es-ES"/>
        </w:rPr>
        <w:t>meses anteriores a cualquier contienda electoral. Es importante resaltar que para esta prohibición la norma no contempló ninguna excepción, de modo que aplicará</w:t>
      </w:r>
      <w:r w:rsidR="007B6891">
        <w:rPr>
          <w:rFonts w:ascii="Verdana" w:eastAsia="Arial" w:hAnsi="Verdana" w:cs="Arial"/>
          <w:bCs/>
          <w:color w:val="000000" w:themeColor="text1"/>
          <w:lang w:val="es-ES"/>
        </w:rPr>
        <w:t>,</w:t>
      </w:r>
      <w:r>
        <w:rPr>
          <w:rFonts w:ascii="Verdana" w:eastAsia="Arial" w:hAnsi="Verdana" w:cs="Arial"/>
          <w:bCs/>
          <w:color w:val="000000" w:themeColor="text1"/>
          <w:lang w:val="es-ES"/>
        </w:rPr>
        <w:t xml:space="preserve"> aunque se configuren las excepciones establecidas para el artículo 33. </w:t>
      </w:r>
    </w:p>
    <w:p w14:paraId="416C69B0" w14:textId="77777777" w:rsidR="003B2DA1" w:rsidRDefault="003B2DA1" w:rsidP="006356EF">
      <w:pPr>
        <w:shd w:val="clear" w:color="auto" w:fill="FFFFFF"/>
        <w:spacing w:after="0" w:line="276" w:lineRule="auto"/>
        <w:jc w:val="both"/>
        <w:rPr>
          <w:rFonts w:ascii="Verdana" w:eastAsia="Calibri" w:hAnsi="Verdana" w:cs="Arial"/>
          <w:lang w:val="es-ES"/>
        </w:rPr>
      </w:pPr>
    </w:p>
    <w:p w14:paraId="036A1075" w14:textId="6768A5CD" w:rsidR="007E6FD3" w:rsidRPr="000F22B6" w:rsidRDefault="003B2DA1" w:rsidP="006356EF">
      <w:pPr>
        <w:shd w:val="clear" w:color="auto" w:fill="FFFFFF"/>
        <w:spacing w:after="120" w:line="276" w:lineRule="auto"/>
        <w:jc w:val="both"/>
        <w:rPr>
          <w:rFonts w:ascii="Verdana" w:hAnsi="Verdana" w:cs="Arial"/>
          <w:lang w:val="es-ES" w:eastAsia="es-CO"/>
        </w:rPr>
      </w:pPr>
      <w:r>
        <w:rPr>
          <w:rFonts w:ascii="Verdana" w:eastAsia="Calibri" w:hAnsi="Verdana" w:cs="Arial"/>
          <w:lang w:val="es-ES"/>
        </w:rPr>
        <w:t xml:space="preserve">vi) </w:t>
      </w:r>
      <w:r w:rsidR="007E6FD3">
        <w:rPr>
          <w:rFonts w:ascii="Verdana" w:eastAsia="Calibri" w:hAnsi="Verdana" w:cs="Arial"/>
          <w:lang w:val="es-ES"/>
        </w:rPr>
        <w:t xml:space="preserve">En cualquier caso, </w:t>
      </w:r>
      <w:r w:rsidR="007E6FD3" w:rsidRPr="00584759">
        <w:rPr>
          <w:rFonts w:ascii="Verdana" w:eastAsia="Calibri" w:hAnsi="Verdana" w:cs="Arial"/>
          <w:lang w:val="es-ES"/>
        </w:rPr>
        <w:t xml:space="preserve">corresponde a cada </w:t>
      </w:r>
      <w:r w:rsidR="00A90EB1">
        <w:rPr>
          <w:rFonts w:ascii="Verdana" w:eastAsia="Calibri" w:hAnsi="Verdana" w:cs="Arial"/>
          <w:lang w:val="es-ES"/>
        </w:rPr>
        <w:t>e</w:t>
      </w:r>
      <w:r w:rsidR="007E6FD3" w:rsidRPr="00584759">
        <w:rPr>
          <w:rFonts w:ascii="Verdana" w:eastAsia="Calibri" w:hAnsi="Verdana" w:cs="Arial"/>
          <w:lang w:val="es-ES"/>
        </w:rPr>
        <w:t xml:space="preserve">ntidad </w:t>
      </w:r>
      <w:r w:rsidR="00A90EB1">
        <w:rPr>
          <w:rFonts w:ascii="Verdana" w:eastAsia="Calibri" w:hAnsi="Verdana" w:cs="Arial"/>
          <w:lang w:val="es-ES"/>
        </w:rPr>
        <w:t>e</w:t>
      </w:r>
      <w:r w:rsidR="007E6FD3" w:rsidRPr="00584759">
        <w:rPr>
          <w:rFonts w:ascii="Verdana" w:eastAsia="Calibri" w:hAnsi="Verdana" w:cs="Arial"/>
          <w:lang w:val="es-ES"/>
        </w:rPr>
        <w:t>statal realizar el análisis para determinar si aplica o no una determinada excepción</w:t>
      </w:r>
      <w:r w:rsidR="007E6FD3">
        <w:rPr>
          <w:rFonts w:ascii="Verdana" w:eastAsia="Calibri" w:hAnsi="Verdana" w:cs="Arial"/>
          <w:lang w:val="es-ES"/>
        </w:rPr>
        <w:t xml:space="preserve"> a la prohibición del artículo 33 de la Ley de Garantías</w:t>
      </w:r>
      <w:r w:rsidR="007E6FD3" w:rsidRPr="00584759">
        <w:rPr>
          <w:rFonts w:ascii="Verdana" w:eastAsia="Calibri" w:hAnsi="Verdana" w:cs="Arial"/>
          <w:lang w:val="es-ES"/>
        </w:rPr>
        <w:t xml:space="preserve"> </w:t>
      </w:r>
      <w:r w:rsidR="007E6FD3">
        <w:rPr>
          <w:rFonts w:ascii="Verdana" w:eastAsia="Calibri" w:hAnsi="Verdana" w:cs="Arial"/>
          <w:lang w:val="es-ES"/>
        </w:rPr>
        <w:t xml:space="preserve">Electorales, según </w:t>
      </w:r>
      <w:r w:rsidR="007E6FD3" w:rsidRPr="00584759">
        <w:rPr>
          <w:rFonts w:ascii="Verdana" w:eastAsia="Calibri" w:hAnsi="Verdana" w:cs="Arial"/>
          <w:lang w:val="es-ES"/>
        </w:rPr>
        <w:t>la situación fáctica y jurídica particular del caso concreto, para lo cual las consideraciones expuestas en el presente concepto constituyen un instrumento orientador</w:t>
      </w:r>
      <w:r w:rsidR="007E6FD3">
        <w:rPr>
          <w:rFonts w:ascii="Verdana" w:eastAsia="Calibri" w:hAnsi="Verdana" w:cs="Arial"/>
          <w:lang w:val="es-ES"/>
        </w:rPr>
        <w:t>.</w:t>
      </w:r>
      <w:r w:rsidR="007E6FD3">
        <w:rPr>
          <w:rFonts w:ascii="Verdana" w:hAnsi="Verdana" w:cs="Arial"/>
          <w:lang w:val="es-ES" w:eastAsia="es-CO"/>
        </w:rPr>
        <w:t xml:space="preserve"> </w:t>
      </w:r>
      <w:r w:rsidR="00204D23">
        <w:rPr>
          <w:rFonts w:ascii="Verdana" w:hAnsi="Verdana" w:cs="Arial"/>
          <w:lang w:val="es-ES" w:eastAsia="es-CO"/>
        </w:rPr>
        <w:t>Igualmente</w:t>
      </w:r>
      <w:r w:rsidR="007E6FD3">
        <w:rPr>
          <w:rFonts w:ascii="Verdana" w:hAnsi="Verdana" w:cs="Arial"/>
          <w:lang w:val="es-ES" w:eastAsia="es-CO"/>
        </w:rPr>
        <w:t>, las entidades podrán considerar l</w:t>
      </w:r>
      <w:r w:rsidR="007E6FD3" w:rsidRPr="00FC6F34">
        <w:rPr>
          <w:rFonts w:ascii="Verdana" w:hAnsi="Verdana" w:cs="Arial"/>
          <w:lang w:val="es-ES" w:eastAsia="es-CO"/>
        </w:rPr>
        <w:t xml:space="preserve">a posibilidad </w:t>
      </w:r>
      <w:r w:rsidR="007E6FD3">
        <w:rPr>
          <w:rFonts w:ascii="Verdana" w:hAnsi="Verdana" w:cs="Arial"/>
          <w:lang w:val="es-ES" w:eastAsia="es-CO"/>
        </w:rPr>
        <w:t>de adelantar modalidades distintas a la contratación directa o implementar tipologías distintas a los convenios interadministrativos</w:t>
      </w:r>
      <w:r w:rsidR="007E6FD3" w:rsidRPr="00FC6F34">
        <w:rPr>
          <w:rFonts w:ascii="Verdana" w:hAnsi="Verdana" w:cs="Arial"/>
          <w:lang w:val="es-ES" w:eastAsia="es-CO"/>
        </w:rPr>
        <w:t xml:space="preserve">, </w:t>
      </w:r>
      <w:r w:rsidR="007E6FD3">
        <w:rPr>
          <w:rFonts w:ascii="Verdana" w:hAnsi="Verdana" w:cs="Arial"/>
          <w:lang w:val="es-ES" w:eastAsia="es-CO"/>
        </w:rPr>
        <w:t xml:space="preserve">es decir, aquellas que </w:t>
      </w:r>
      <w:r w:rsidR="007E6FD3" w:rsidRPr="00FC6F34">
        <w:rPr>
          <w:rFonts w:ascii="Verdana" w:hAnsi="Verdana" w:cs="Arial"/>
          <w:lang w:val="es-ES" w:eastAsia="es-CO"/>
        </w:rPr>
        <w:t>no se encuentr</w:t>
      </w:r>
      <w:r w:rsidR="007E6FD3">
        <w:rPr>
          <w:rFonts w:ascii="Verdana" w:hAnsi="Verdana" w:cs="Arial"/>
          <w:lang w:val="es-ES" w:eastAsia="es-CO"/>
        </w:rPr>
        <w:t>e</w:t>
      </w:r>
      <w:r w:rsidR="007E6FD3" w:rsidRPr="00FC6F34">
        <w:rPr>
          <w:rFonts w:ascii="Verdana" w:hAnsi="Verdana" w:cs="Arial"/>
          <w:lang w:val="es-ES" w:eastAsia="es-CO"/>
        </w:rPr>
        <w:t>n restringidas por el artículo 33</w:t>
      </w:r>
      <w:r w:rsidR="007E6FD3">
        <w:rPr>
          <w:rFonts w:ascii="Verdana" w:hAnsi="Verdana" w:cs="Arial"/>
          <w:lang w:val="es-ES" w:eastAsia="es-CO"/>
        </w:rPr>
        <w:t xml:space="preserve"> o el parágrafo del artículo 38</w:t>
      </w:r>
      <w:r w:rsidR="007E6FD3" w:rsidRPr="00FC6F34">
        <w:rPr>
          <w:rFonts w:ascii="Verdana" w:hAnsi="Verdana" w:cs="Arial"/>
          <w:lang w:val="es-ES" w:eastAsia="es-CO"/>
        </w:rPr>
        <w:t xml:space="preserve"> de la Ley 996 de 2005.</w:t>
      </w:r>
    </w:p>
    <w:p w14:paraId="68157F91" w14:textId="0150F1B1" w:rsidR="008417E7" w:rsidRDefault="007E6FD3" w:rsidP="007E6FD3">
      <w:pPr>
        <w:spacing w:after="120" w:line="276" w:lineRule="auto"/>
        <w:ind w:firstLine="708"/>
        <w:jc w:val="both"/>
        <w:rPr>
          <w:rFonts w:ascii="Verdana" w:eastAsia="Times New Roman" w:hAnsi="Verdana" w:cs="Arial"/>
          <w:color w:val="000000" w:themeColor="text1"/>
          <w:lang w:val="es-ES" w:eastAsia="es-ES"/>
        </w:rPr>
      </w:pPr>
      <w:r w:rsidRPr="00FC6F34">
        <w:rPr>
          <w:rFonts w:ascii="Verdana" w:eastAsia="Arial" w:hAnsi="Verdana" w:cs="Arial"/>
          <w:color w:val="000000" w:themeColor="text1"/>
          <w:lang w:val="es-ES"/>
        </w:rPr>
        <w:t xml:space="preserve">Finalmente, es importante advertir que </w:t>
      </w:r>
      <w:r w:rsidRPr="00FC6F34">
        <w:rPr>
          <w:rFonts w:ascii="Verdana" w:eastAsia="Times New Roman" w:hAnsi="Verdana" w:cs="Arial"/>
          <w:lang w:val="es-ES"/>
        </w:rPr>
        <w:t xml:space="preserve">compete a cada </w:t>
      </w:r>
      <w:r w:rsidR="008417E7">
        <w:rPr>
          <w:rFonts w:ascii="Verdana" w:eastAsia="Times New Roman" w:hAnsi="Verdana" w:cs="Arial"/>
          <w:lang w:val="es-ES"/>
        </w:rPr>
        <w:t>e</w:t>
      </w:r>
      <w:r w:rsidRPr="00FC6F34">
        <w:rPr>
          <w:rFonts w:ascii="Verdana" w:eastAsia="Times New Roman" w:hAnsi="Verdana" w:cs="Arial"/>
          <w:lang w:val="es-ES"/>
        </w:rPr>
        <w:t xml:space="preserve">ntidad </w:t>
      </w:r>
      <w:r w:rsidR="008417E7">
        <w:rPr>
          <w:rFonts w:ascii="Verdana" w:eastAsia="Times New Roman" w:hAnsi="Verdana" w:cs="Arial"/>
          <w:lang w:val="es-ES"/>
        </w:rPr>
        <w:t>e</w:t>
      </w:r>
      <w:r w:rsidRPr="00FC6F34">
        <w:rPr>
          <w:rFonts w:ascii="Verdana" w:eastAsia="Times New Roman" w:hAnsi="Verdana" w:cs="Arial"/>
          <w:lang w:val="es-ES"/>
        </w:rPr>
        <w:t>statal que considera celebrar un contrato específico definir si este se enmarca</w:t>
      </w:r>
      <w:r>
        <w:rPr>
          <w:rFonts w:ascii="Verdana" w:eastAsia="Times New Roman" w:hAnsi="Verdana" w:cs="Arial"/>
          <w:lang w:val="es-ES"/>
        </w:rPr>
        <w:t xml:space="preserve"> en 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w:t>
      </w:r>
      <w:r w:rsidRPr="00FC6F34">
        <w:rPr>
          <w:rFonts w:ascii="Verdana" w:eastAsia="Times New Roman" w:hAnsi="Verdana" w:cs="Arial"/>
          <w:color w:val="000000" w:themeColor="text1"/>
          <w:lang w:val="es-ES" w:eastAsia="es-ES"/>
        </w:rPr>
        <w:lastRenderedPageBreak/>
        <w:t xml:space="preserve">cada Entidad establecerá la forma de adelantar su gestión contractual, sin que sea atribución de la Agencia Nacional de Contratación Pública - Colombia Compra Eficiente validarla. </w:t>
      </w:r>
    </w:p>
    <w:p w14:paraId="170612BA" w14:textId="02A813B8" w:rsidR="007E6FD3" w:rsidRPr="00584759" w:rsidRDefault="007E6FD3" w:rsidP="006356EF">
      <w:pPr>
        <w:spacing w:after="0" w:line="276" w:lineRule="auto"/>
        <w:ind w:firstLine="708"/>
        <w:jc w:val="both"/>
        <w:rPr>
          <w:rFonts w:ascii="Verdana" w:eastAsia="Times New Roman" w:hAnsi="Verdana" w:cs="Arial"/>
          <w:bCs/>
          <w:lang w:val="es-ES" w:eastAsia="es-CO"/>
        </w:rPr>
      </w:pPr>
      <w:r>
        <w:rPr>
          <w:rFonts w:ascii="Verdana" w:eastAsia="Times New Roman" w:hAnsi="Verdana" w:cs="Arial"/>
          <w:color w:val="000000" w:themeColor="text1"/>
          <w:lang w:val="es-ES" w:eastAsia="es-ES"/>
        </w:rPr>
        <w:t xml:space="preserve">Por otra parte, aquellas preguntas relacionadas con el ámbito de aplicación de otras prohibiciones establecidas en la Ley de Garantías </w:t>
      </w:r>
      <w:r w:rsidR="008417E7">
        <w:rPr>
          <w:rFonts w:ascii="Verdana" w:eastAsia="Times New Roman" w:hAnsi="Verdana" w:cs="Arial"/>
          <w:color w:val="000000" w:themeColor="text1"/>
          <w:lang w:val="es-ES" w:eastAsia="es-ES"/>
        </w:rPr>
        <w:t xml:space="preserve">Electorales </w:t>
      </w:r>
      <w:r>
        <w:rPr>
          <w:rFonts w:ascii="Verdana" w:eastAsia="Times New Roman" w:hAnsi="Verdana" w:cs="Arial"/>
          <w:color w:val="000000" w:themeColor="text1"/>
          <w:lang w:val="es-ES" w:eastAsia="es-ES"/>
        </w:rPr>
        <w:t xml:space="preserve">relacionadas con la ampliación de nómina y la suscripción de contratos laborales por parte de las entidades deberán ser resueltas por el Departamento Administrativo de la Función Pública según el alcance de su competencia. </w:t>
      </w:r>
    </w:p>
    <w:p w14:paraId="5F092237" w14:textId="77777777" w:rsidR="007E6FD3" w:rsidRPr="00FC6F34" w:rsidRDefault="007E6FD3" w:rsidP="008417E7">
      <w:pPr>
        <w:spacing w:after="0" w:line="276" w:lineRule="auto"/>
        <w:ind w:firstLine="708"/>
        <w:jc w:val="both"/>
        <w:rPr>
          <w:rFonts w:ascii="Verdana" w:eastAsia="Calibri" w:hAnsi="Verdana" w:cs="Arial"/>
          <w:lang w:val="es-ES"/>
        </w:rPr>
      </w:pPr>
    </w:p>
    <w:bookmarkEnd w:id="1"/>
    <w:bookmarkEnd w:id="2"/>
    <w:p w14:paraId="7C727E1B" w14:textId="77777777" w:rsidR="007E6FD3" w:rsidRPr="00A03042" w:rsidRDefault="007E6FD3" w:rsidP="007D1880">
      <w:pPr>
        <w:tabs>
          <w:tab w:val="left" w:pos="142"/>
          <w:tab w:val="left" w:pos="284"/>
        </w:tabs>
        <w:spacing w:after="0" w:line="276" w:lineRule="auto"/>
        <w:jc w:val="both"/>
        <w:rPr>
          <w:rFonts w:ascii="Verdana" w:eastAsia="Century Gothic" w:hAnsi="Verdana" w:cs="Century Gothic"/>
          <w:b/>
          <w:color w:val="000000" w:themeColor="text1"/>
          <w:lang w:val="es-ES"/>
        </w:rPr>
      </w:pPr>
      <w:r w:rsidRPr="00A03042">
        <w:rPr>
          <w:rFonts w:ascii="Verdana" w:eastAsia="Century Gothic" w:hAnsi="Verdana" w:cs="Century Gothic"/>
          <w:b/>
          <w:color w:val="000000" w:themeColor="text1"/>
          <w:lang w:val="es-ES"/>
        </w:rPr>
        <w:t>4.Referencias normativas, jurisprudenciales y otras fuentes:</w:t>
      </w:r>
    </w:p>
    <w:p w14:paraId="4F5CC1C0" w14:textId="77777777" w:rsidR="007E6FD3" w:rsidRPr="00A03042" w:rsidRDefault="007E6FD3" w:rsidP="0084633F">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E6FD3" w:rsidRPr="00A03042" w14:paraId="7EA9C765" w14:textId="77777777" w:rsidTr="00A95CE9">
        <w:trPr>
          <w:trHeight w:val="870"/>
        </w:trPr>
        <w:tc>
          <w:tcPr>
            <w:tcW w:w="8647" w:type="dxa"/>
          </w:tcPr>
          <w:p w14:paraId="3481CAFA" w14:textId="77777777" w:rsidR="007E6FD3" w:rsidRPr="0064186C" w:rsidRDefault="007E6FD3" w:rsidP="006356EF">
            <w:pPr>
              <w:widowControl w:val="0"/>
              <w:numPr>
                <w:ilvl w:val="0"/>
                <w:numId w:val="16"/>
              </w:numPr>
              <w:autoSpaceDE w:val="0"/>
              <w:autoSpaceDN w:val="0"/>
              <w:spacing w:line="276" w:lineRule="auto"/>
              <w:jc w:val="both"/>
              <w:rPr>
                <w:rFonts w:ascii="Verdana" w:eastAsia="Arial MT" w:hAnsi="Verdana" w:cs="Arial"/>
                <w:lang w:val="es-ES" w:eastAsia="es-ES" w:bidi="es-ES"/>
              </w:rPr>
            </w:pPr>
            <w:r w:rsidRPr="00A03042">
              <w:rPr>
                <w:rFonts w:ascii="Verdana" w:eastAsia="Arial MT" w:hAnsi="Verdana" w:cs="Arial"/>
                <w:lang w:val="es-ES" w:eastAsia="es-ES" w:bidi="es-ES"/>
              </w:rPr>
              <w:t xml:space="preserve">Ley 80 de 1993, artículos 39, 41. </w:t>
            </w:r>
          </w:p>
          <w:p w14:paraId="7254A5B2" w14:textId="77777777" w:rsidR="007E6FD3" w:rsidRPr="00FB25A5" w:rsidRDefault="007E6FD3" w:rsidP="006356EF">
            <w:pPr>
              <w:widowControl w:val="0"/>
              <w:numPr>
                <w:ilvl w:val="0"/>
                <w:numId w:val="16"/>
              </w:numPr>
              <w:autoSpaceDE w:val="0"/>
              <w:autoSpaceDN w:val="0"/>
              <w:spacing w:line="276" w:lineRule="auto"/>
              <w:jc w:val="both"/>
              <w:rPr>
                <w:rFonts w:ascii="Verdana" w:eastAsia="Arial MT" w:hAnsi="Verdana" w:cs="Arial"/>
                <w:lang w:val="es-ES" w:eastAsia="es-ES" w:bidi="es-ES"/>
              </w:rPr>
            </w:pPr>
            <w:r w:rsidRPr="005B4321">
              <w:rPr>
                <w:rFonts w:ascii="Verdana" w:eastAsia="Arial MT" w:hAnsi="Verdana" w:cs="Arial"/>
                <w:bCs/>
                <w:lang w:val="es-ES" w:eastAsia="es-ES" w:bidi="es-ES"/>
              </w:rPr>
              <w:t>Ley 996 de 2005: artículos 33 y parágrafo del artículo38.</w:t>
            </w:r>
          </w:p>
          <w:p w14:paraId="34658571" w14:textId="7B673F20" w:rsidR="007E6FD3" w:rsidRPr="00A03042" w:rsidRDefault="007E6FD3" w:rsidP="006356EF">
            <w:pPr>
              <w:widowControl w:val="0"/>
              <w:numPr>
                <w:ilvl w:val="0"/>
                <w:numId w:val="16"/>
              </w:numPr>
              <w:autoSpaceDE w:val="0"/>
              <w:autoSpaceDN w:val="0"/>
              <w:spacing w:line="276" w:lineRule="auto"/>
              <w:jc w:val="both"/>
              <w:rPr>
                <w:rFonts w:ascii="Verdana" w:eastAsia="Arial MT" w:hAnsi="Verdana" w:cs="Arial"/>
                <w:lang w:val="es-ES" w:eastAsia="es-ES" w:bidi="es-ES"/>
              </w:rPr>
            </w:pPr>
            <w:r w:rsidRPr="003B2DA1">
              <w:rPr>
                <w:rFonts w:ascii="Verdana" w:eastAsia="Times New Roman" w:hAnsi="Verdana" w:cs="Times New Roman"/>
                <w:lang w:val="es-ES" w:eastAsia="es-MX"/>
              </w:rPr>
              <w:t>Ley 1150 de 2007</w:t>
            </w:r>
            <w:r w:rsidR="0064186C">
              <w:rPr>
                <w:rFonts w:ascii="Verdana" w:eastAsia="Times New Roman" w:hAnsi="Verdana" w:cs="Times New Roman"/>
                <w:lang w:val="es-ES" w:eastAsia="es-MX"/>
              </w:rPr>
              <w:t>:</w:t>
            </w:r>
            <w:r w:rsidRPr="00A03042">
              <w:rPr>
                <w:rFonts w:ascii="Verdana" w:eastAsia="Times New Roman" w:hAnsi="Verdana" w:cs="Times New Roman"/>
                <w:lang w:val="es-ES" w:eastAsia="es-MX"/>
              </w:rPr>
              <w:t xml:space="preserve"> </w:t>
            </w:r>
            <w:r w:rsidR="0064186C">
              <w:rPr>
                <w:rFonts w:ascii="Verdana" w:eastAsia="Arial MT" w:hAnsi="Verdana" w:cs="Arial"/>
                <w:lang w:val="es-ES" w:eastAsia="es-ES" w:bidi="es-ES"/>
              </w:rPr>
              <w:t>a</w:t>
            </w:r>
            <w:r w:rsidRPr="00A03042">
              <w:rPr>
                <w:rFonts w:ascii="Verdana" w:eastAsia="Arial MT" w:hAnsi="Verdana" w:cs="Arial"/>
                <w:lang w:val="es-ES" w:eastAsia="es-ES" w:bidi="es-ES"/>
              </w:rPr>
              <w:t xml:space="preserve">rtículo 2, numeral 4. </w:t>
            </w:r>
          </w:p>
          <w:p w14:paraId="35BD098E" w14:textId="77777777" w:rsidR="007E6FD3" w:rsidRPr="00A03042" w:rsidRDefault="007E6FD3" w:rsidP="006356EF">
            <w:pPr>
              <w:widowControl w:val="0"/>
              <w:numPr>
                <w:ilvl w:val="0"/>
                <w:numId w:val="16"/>
              </w:numPr>
              <w:autoSpaceDE w:val="0"/>
              <w:autoSpaceDN w:val="0"/>
              <w:spacing w:line="276" w:lineRule="auto"/>
              <w:jc w:val="both"/>
              <w:rPr>
                <w:rFonts w:ascii="Verdana" w:eastAsia="Calibri" w:hAnsi="Verdana" w:cs="Arial"/>
                <w:lang w:val="es-ES"/>
              </w:rPr>
            </w:pPr>
            <w:r w:rsidRPr="00A03042">
              <w:rPr>
                <w:rFonts w:ascii="Verdana" w:eastAsia="Calibri" w:hAnsi="Verdana" w:cs="Arial"/>
                <w:lang w:val="es-ES"/>
              </w:rPr>
              <w:t xml:space="preserve">Consejo de Estado, Sección Primera. Sentencia de 3 de marzo de 2005, </w:t>
            </w:r>
            <w:proofErr w:type="spellStart"/>
            <w:r w:rsidRPr="00A03042">
              <w:rPr>
                <w:rFonts w:ascii="Verdana" w:eastAsia="Calibri" w:hAnsi="Verdana" w:cs="Arial"/>
                <w:lang w:val="es-ES"/>
              </w:rPr>
              <w:t>Exp</w:t>
            </w:r>
            <w:proofErr w:type="spellEnd"/>
            <w:r w:rsidRPr="00A03042">
              <w:rPr>
                <w:rFonts w:ascii="Verdana" w:eastAsia="Calibri" w:hAnsi="Verdana" w:cs="Arial"/>
                <w:lang w:val="es-ES"/>
              </w:rPr>
              <w:t xml:space="preserve">. 2004-00823-01(PI). </w:t>
            </w:r>
          </w:p>
          <w:p w14:paraId="30246DB2" w14:textId="77777777" w:rsidR="007E6FD3" w:rsidRPr="00A03042" w:rsidRDefault="007E6FD3" w:rsidP="006356EF">
            <w:pPr>
              <w:widowControl w:val="0"/>
              <w:numPr>
                <w:ilvl w:val="0"/>
                <w:numId w:val="16"/>
              </w:numPr>
              <w:autoSpaceDE w:val="0"/>
              <w:autoSpaceDN w:val="0"/>
              <w:spacing w:line="276" w:lineRule="auto"/>
              <w:jc w:val="both"/>
              <w:rPr>
                <w:rFonts w:ascii="Verdana" w:eastAsia="Calibri" w:hAnsi="Verdana" w:cs="Arial"/>
                <w:lang w:val="es-ES"/>
              </w:rPr>
            </w:pPr>
            <w:r w:rsidRPr="00A03042">
              <w:rPr>
                <w:rFonts w:ascii="Verdana" w:eastAsia="Calibri" w:hAnsi="Verdana" w:cs="Arial"/>
                <w:lang w:val="es-ES"/>
              </w:rPr>
              <w:t xml:space="preserve">Consejo de Estado, Sala de Consulta y Servicio Civil, Concepto de fecha 24 de julio de 2013, Rad. 2166, C. P. Álvaro Namén Vargas. </w:t>
            </w:r>
          </w:p>
          <w:p w14:paraId="009108BB" w14:textId="77777777" w:rsidR="007E6FD3" w:rsidRPr="00A03042" w:rsidRDefault="007E6FD3" w:rsidP="006356EF">
            <w:pPr>
              <w:pStyle w:val="Prrafodelista"/>
              <w:numPr>
                <w:ilvl w:val="0"/>
                <w:numId w:val="16"/>
              </w:numPr>
              <w:spacing w:line="276" w:lineRule="auto"/>
              <w:contextualSpacing w:val="0"/>
              <w:jc w:val="both"/>
              <w:rPr>
                <w:rFonts w:ascii="Verdana" w:hAnsi="Verdana" w:cs="Arial"/>
              </w:rPr>
            </w:pPr>
            <w:r w:rsidRPr="00A03042">
              <w:rPr>
                <w:rFonts w:ascii="Verdana" w:eastAsia="Calibri" w:hAnsi="Verdana" w:cs="Arial"/>
              </w:rPr>
              <w:t>Consejo de Estado. Sala de Consulta y Servicio Civil. Concepto del 17 de febrero de 2015. C.P. William Zambrano Cetina. Radicación No. 11001-03-06-000-2015-00164-00(2269).</w:t>
            </w:r>
          </w:p>
          <w:p w14:paraId="570890D9" w14:textId="77777777" w:rsidR="007E6FD3" w:rsidRPr="00A03042" w:rsidRDefault="007E6FD3" w:rsidP="006356EF">
            <w:pPr>
              <w:widowControl w:val="0"/>
              <w:numPr>
                <w:ilvl w:val="0"/>
                <w:numId w:val="16"/>
              </w:numPr>
              <w:autoSpaceDE w:val="0"/>
              <w:autoSpaceDN w:val="0"/>
              <w:spacing w:line="276" w:lineRule="auto"/>
              <w:jc w:val="both"/>
              <w:rPr>
                <w:rFonts w:ascii="Verdana" w:hAnsi="Verdana" w:cs="Arial"/>
              </w:rPr>
            </w:pPr>
            <w:r w:rsidRPr="00A03042">
              <w:rPr>
                <w:rFonts w:ascii="Verdana" w:eastAsia="Calibri" w:hAnsi="Verdana" w:cs="Arial"/>
              </w:rPr>
              <w:t>Consejo de Estado, Sala de Consulta y Servicio Civil, Concepto de fecha 8 de mayo de 2018, No. 2382. C. P. Álvaro Namén Vargas.</w:t>
            </w:r>
          </w:p>
        </w:tc>
      </w:tr>
    </w:tbl>
    <w:p w14:paraId="52536EF1" w14:textId="77777777" w:rsidR="007E6FD3" w:rsidRPr="00A03042" w:rsidRDefault="007E6FD3" w:rsidP="008417E7">
      <w:pPr>
        <w:widowControl w:val="0"/>
        <w:autoSpaceDE w:val="0"/>
        <w:autoSpaceDN w:val="0"/>
        <w:spacing w:after="0" w:line="276" w:lineRule="auto"/>
        <w:jc w:val="both"/>
        <w:rPr>
          <w:rFonts w:ascii="Verdana" w:hAnsi="Verdana" w:cs="Arial"/>
          <w:color w:val="000000" w:themeColor="text1"/>
          <w:lang w:val="es-ES"/>
        </w:rPr>
      </w:pPr>
    </w:p>
    <w:p w14:paraId="65D3FA20" w14:textId="77777777" w:rsidR="007E6FD3" w:rsidRPr="00A03042" w:rsidRDefault="007E6FD3" w:rsidP="0084633F">
      <w:pPr>
        <w:tabs>
          <w:tab w:val="left" w:pos="142"/>
          <w:tab w:val="left" w:pos="284"/>
        </w:tabs>
        <w:spacing w:after="0" w:line="276" w:lineRule="auto"/>
        <w:jc w:val="both"/>
        <w:rPr>
          <w:rFonts w:ascii="Verdana" w:eastAsia="Century Gothic" w:hAnsi="Verdana" w:cs="Century Gothic"/>
          <w:b/>
          <w:color w:val="000000" w:themeColor="text1"/>
          <w:lang w:val="es-ES"/>
        </w:rPr>
      </w:pPr>
      <w:r w:rsidRPr="00A03042">
        <w:rPr>
          <w:rFonts w:ascii="Verdana" w:eastAsia="Century Gothic" w:hAnsi="Verdana" w:cs="Century Gothic"/>
          <w:b/>
          <w:color w:val="000000" w:themeColor="text1"/>
          <w:lang w:val="es-ES"/>
        </w:rPr>
        <w:t>5.Doctrina de la Agencia Nacional de Contratación Pública:</w:t>
      </w:r>
    </w:p>
    <w:p w14:paraId="102F9105" w14:textId="77777777" w:rsidR="007E6FD3" w:rsidRPr="00381AFB" w:rsidRDefault="007E6FD3" w:rsidP="00E154E1">
      <w:pPr>
        <w:widowControl w:val="0"/>
        <w:autoSpaceDE w:val="0"/>
        <w:autoSpaceDN w:val="0"/>
        <w:spacing w:after="0" w:line="276" w:lineRule="auto"/>
        <w:jc w:val="both"/>
        <w:rPr>
          <w:rFonts w:ascii="Verdana" w:hAnsi="Verdana" w:cs="Arial"/>
          <w:color w:val="000000" w:themeColor="text1"/>
          <w:lang w:val="es-ES"/>
        </w:rPr>
      </w:pPr>
    </w:p>
    <w:p w14:paraId="0BDB15CE" w14:textId="77777777" w:rsidR="007E6FD3" w:rsidRPr="006356EF" w:rsidRDefault="007E6FD3" w:rsidP="006356EF">
      <w:pPr>
        <w:spacing w:after="0" w:line="276" w:lineRule="auto"/>
        <w:jc w:val="both"/>
        <w:rPr>
          <w:rFonts w:ascii="Verdana" w:eastAsia="Calibri" w:hAnsi="Verdana" w:cs="Arial"/>
          <w:b/>
          <w:bCs/>
          <w:color w:val="000000" w:themeColor="text1"/>
          <w:lang w:val="es-ES_tradnl"/>
        </w:rPr>
      </w:pPr>
      <w:r w:rsidRPr="005B4321">
        <w:rPr>
          <w:rFonts w:ascii="Verdana" w:eastAsia="Calibri" w:hAnsi="Verdana" w:cs="Arial"/>
          <w:lang w:val="es-ES"/>
        </w:rPr>
        <w:t xml:space="preserve">La Agencia Nacional de Contratación Pública – Colombia Compra Eficiente se ha referido </w:t>
      </w:r>
      <w:r w:rsidRPr="00A90EB1">
        <w:rPr>
          <w:rFonts w:ascii="Verdana" w:hAnsi="Verdana" w:cs="Arial"/>
          <w:shd w:val="clear" w:color="auto" w:fill="FFFFFF"/>
          <w:lang w:val="es-ES"/>
        </w:rPr>
        <w:t>sobre la Ley de Garantías Electorales en los conceptos con radicado 4201913000006306 del 21 de octubre de 2019, 4201912000006552 del 07 de noviembre de 2019, 42019130000</w:t>
      </w:r>
      <w:r w:rsidRPr="008417E7">
        <w:rPr>
          <w:rFonts w:ascii="Verdana" w:hAnsi="Verdana" w:cs="Arial"/>
          <w:shd w:val="clear" w:color="auto" w:fill="FFFFFF"/>
          <w:lang w:val="es-ES"/>
        </w:rPr>
        <w:t>06604 del 17 de diciembre de 2019,  C-227 del 24 de mayo de 2021 y 396 del 13 de agosto de 2021, C-439 del 27 de agosto de 2021, C-456 del 3 de septiembre, C-481 del 9 de septiembre de 2021, C- 528 del 27 de septiembre de 2021, C-550 del 5 de octubre de 20</w:t>
      </w:r>
      <w:r w:rsidRPr="0084633F">
        <w:rPr>
          <w:rFonts w:ascii="Verdana" w:hAnsi="Verdana" w:cs="Arial"/>
          <w:shd w:val="clear" w:color="auto" w:fill="FFFFFF"/>
          <w:lang w:val="es-ES"/>
        </w:rPr>
        <w:t>21 y C-523 del 10 de octubre de 2021, C-606 del 28 de octubre de 2021 y C-614 del 2 de noviembre de 2021, C-636 del 16 de noviembre de 2021, 681 del 7 de diciembre de 2021, C-686 del 21 de diciembre de 2021, C-697 del 3 de enero de 2022, C-</w:t>
      </w:r>
      <w:r w:rsidRPr="0084633F">
        <w:rPr>
          <w:rFonts w:ascii="Verdana" w:hAnsi="Verdana" w:cs="Arial"/>
          <w:shd w:val="clear" w:color="auto" w:fill="FFFFFF"/>
          <w:lang w:val="es-ES"/>
        </w:rPr>
        <w:lastRenderedPageBreak/>
        <w:t>180 del 21 de ma</w:t>
      </w:r>
      <w:r w:rsidRPr="00E154E1">
        <w:rPr>
          <w:rFonts w:ascii="Verdana" w:hAnsi="Verdana" w:cs="Arial"/>
          <w:shd w:val="clear" w:color="auto" w:fill="FFFFFF"/>
          <w:lang w:val="es-ES"/>
        </w:rPr>
        <w:t xml:space="preserve">rzo de 2025, C-317 del 25 de abril de 2025, C-510 del 4 de junio de 2025, C -635 del 27 de junio de 2025, C–750 de 17 de julio 2025, C-729 del 15 de Julio de 2015 y C-273-A de 2025, entre otros. </w:t>
      </w:r>
      <w:r w:rsidRPr="00182E10">
        <w:rPr>
          <w:rFonts w:ascii="Verdana" w:hAnsi="Verdana" w:cs="Arial"/>
          <w:shd w:val="clear" w:color="auto" w:fill="FFFFFF"/>
          <w:lang w:val="es-ES"/>
        </w:rPr>
        <w:t>Estos</w:t>
      </w:r>
      <w:r w:rsidRPr="00A03042">
        <w:rPr>
          <w:rFonts w:ascii="Verdana" w:hAnsi="Verdana"/>
          <w:lang w:val="es-ES"/>
        </w:rPr>
        <w:t xml:space="preserve"> y otros se encuentran disponibles para consulta en el Sistema de relatoría de la Agencia, al cual se puede acceder a través del siguiente enlace:</w:t>
      </w:r>
      <w:r w:rsidRPr="00A03042">
        <w:rPr>
          <w:rFonts w:ascii="Verdana" w:hAnsi="Verdana" w:cs="Arial"/>
          <w:shd w:val="clear" w:color="auto" w:fill="FFFFFF"/>
          <w:lang w:val="es-ES"/>
        </w:rPr>
        <w:t xml:space="preserve"> </w:t>
      </w:r>
      <w:hyperlink r:id="rId12" w:history="1">
        <w:r w:rsidRPr="00A03042">
          <w:rPr>
            <w:rFonts w:ascii="Verdana" w:hAnsi="Verdana" w:cs="Arial"/>
            <w:color w:val="0000FF"/>
            <w:u w:val="single"/>
            <w:shd w:val="clear" w:color="auto" w:fill="FFFFFF"/>
            <w:lang w:val="es-ES"/>
          </w:rPr>
          <w:t>https://relatoria.colombiacompra.gov.co/busqueda/concept os</w:t>
        </w:r>
      </w:hyperlink>
      <w:r w:rsidRPr="00A03042">
        <w:rPr>
          <w:rFonts w:ascii="Verdana" w:hAnsi="Verdana" w:cs="Arial"/>
          <w:shd w:val="clear" w:color="auto" w:fill="FFFFFF"/>
          <w:lang w:val="es-ES"/>
        </w:rPr>
        <w:t>.</w:t>
      </w:r>
      <w:r w:rsidRPr="00A03042">
        <w:rPr>
          <w:rFonts w:ascii="Verdana" w:hAnsi="Verdana" w:cs="Arial"/>
          <w:color w:val="FF0000"/>
          <w:shd w:val="clear" w:color="auto" w:fill="FFFFFF"/>
          <w:lang w:val="es-ES"/>
        </w:rPr>
        <w:t xml:space="preserve"> </w:t>
      </w:r>
      <w:r w:rsidRPr="00A03042">
        <w:rPr>
          <w:rFonts w:ascii="Verdana" w:hAnsi="Verdana" w:cs="Arial"/>
          <w:color w:val="000000" w:themeColor="text1"/>
          <w:shd w:val="clear" w:color="auto" w:fill="FFFFFF"/>
          <w:lang w:val="es-ES"/>
        </w:rPr>
        <w:t>  </w:t>
      </w:r>
    </w:p>
    <w:p w14:paraId="6EE04105" w14:textId="77777777" w:rsidR="007E6FD3" w:rsidRPr="00A03042" w:rsidRDefault="007E6FD3" w:rsidP="008417E7">
      <w:pPr>
        <w:spacing w:after="0" w:line="276" w:lineRule="auto"/>
        <w:jc w:val="both"/>
        <w:rPr>
          <w:rFonts w:ascii="Verdana" w:hAnsi="Verdana"/>
        </w:rPr>
      </w:pPr>
      <w:r w:rsidRPr="00A03042">
        <w:rPr>
          <w:rFonts w:ascii="Verdana" w:hAnsi="Verdana"/>
        </w:rPr>
        <w:t xml:space="preserve">Por último, lo invitamos a seguirnos en las redes sociales en las cuales se difunde información institucional: </w:t>
      </w:r>
    </w:p>
    <w:p w14:paraId="2C2B5E12" w14:textId="77777777" w:rsidR="007E6FD3" w:rsidRPr="00A03042" w:rsidRDefault="007E6FD3" w:rsidP="0084633F">
      <w:pPr>
        <w:spacing w:after="0" w:line="276" w:lineRule="auto"/>
        <w:jc w:val="both"/>
        <w:rPr>
          <w:rFonts w:ascii="Verdana" w:hAnsi="Verdana"/>
        </w:rPr>
      </w:pPr>
    </w:p>
    <w:p w14:paraId="16C498C1" w14:textId="77777777" w:rsidR="007E6FD3" w:rsidRPr="00FB25A5" w:rsidRDefault="007E6FD3" w:rsidP="00E154E1">
      <w:pPr>
        <w:spacing w:after="0" w:line="276" w:lineRule="auto"/>
        <w:jc w:val="both"/>
        <w:rPr>
          <w:rFonts w:ascii="Verdana" w:hAnsi="Verdana"/>
        </w:rPr>
      </w:pPr>
      <w:r w:rsidRPr="005B4321">
        <w:rPr>
          <w:rFonts w:ascii="Verdana" w:hAnsi="Verdana"/>
        </w:rPr>
        <w:t xml:space="preserve">Twitter: </w:t>
      </w:r>
      <w:r w:rsidRPr="005B4321">
        <w:rPr>
          <w:rStyle w:val="Hipervnculo"/>
          <w:rFonts w:ascii="Verdana" w:hAnsi="Verdana" w:cs="Arial"/>
          <w:shd w:val="clear" w:color="auto" w:fill="FFFFFF"/>
        </w:rPr>
        <w:t>@colombiacompra</w:t>
      </w:r>
      <w:r w:rsidRPr="005B4321">
        <w:rPr>
          <w:rFonts w:ascii="Verdana" w:hAnsi="Verdana"/>
          <w:color w:val="4472C4" w:themeColor="accent1"/>
        </w:rPr>
        <w:t xml:space="preserve"> </w:t>
      </w:r>
    </w:p>
    <w:p w14:paraId="0F24F125" w14:textId="77777777" w:rsidR="007E6FD3" w:rsidRPr="008417E7" w:rsidRDefault="007E6FD3" w:rsidP="00E154E1">
      <w:pPr>
        <w:spacing w:after="0" w:line="276" w:lineRule="auto"/>
        <w:jc w:val="both"/>
        <w:rPr>
          <w:rFonts w:ascii="Verdana" w:hAnsi="Verdana"/>
        </w:rPr>
      </w:pPr>
      <w:r w:rsidRPr="008417E7">
        <w:rPr>
          <w:rFonts w:ascii="Verdana" w:hAnsi="Verdana"/>
        </w:rPr>
        <w:t xml:space="preserve">Facebook: </w:t>
      </w:r>
      <w:proofErr w:type="spellStart"/>
      <w:r w:rsidRPr="008417E7">
        <w:rPr>
          <w:rStyle w:val="Hipervnculo"/>
          <w:rFonts w:ascii="Verdana" w:hAnsi="Verdana" w:cs="Arial"/>
          <w:shd w:val="clear" w:color="auto" w:fill="FFFFFF"/>
        </w:rPr>
        <w:t>ColombiaCompraEficiente</w:t>
      </w:r>
      <w:proofErr w:type="spellEnd"/>
    </w:p>
    <w:p w14:paraId="1743C16E" w14:textId="77777777" w:rsidR="007E6FD3" w:rsidRPr="00182E10" w:rsidRDefault="007E6FD3">
      <w:pPr>
        <w:spacing w:after="0" w:line="276" w:lineRule="auto"/>
        <w:jc w:val="both"/>
        <w:rPr>
          <w:rFonts w:ascii="Verdana" w:hAnsi="Verdana"/>
        </w:rPr>
      </w:pPr>
      <w:r w:rsidRPr="008417E7">
        <w:rPr>
          <w:rFonts w:ascii="Verdana" w:hAnsi="Verdana"/>
        </w:rPr>
        <w:t xml:space="preserve">LinkedIn: </w:t>
      </w:r>
      <w:r w:rsidRPr="008417E7">
        <w:rPr>
          <w:rStyle w:val="Hipervnculo"/>
          <w:rFonts w:ascii="Verdana" w:hAnsi="Verdana" w:cs="Arial"/>
          <w:shd w:val="clear" w:color="auto" w:fill="FFFFFF"/>
        </w:rPr>
        <w:t xml:space="preserve">Agencia Nacional de Contratación Pública - Colombia Compra Eficiente </w:t>
      </w:r>
      <w:r w:rsidRPr="0084633F">
        <w:rPr>
          <w:rFonts w:ascii="Verdana" w:hAnsi="Verdana"/>
        </w:rPr>
        <w:t>Inst</w:t>
      </w:r>
      <w:r w:rsidRPr="00E154E1">
        <w:rPr>
          <w:rFonts w:ascii="Verdana" w:hAnsi="Verdana"/>
        </w:rPr>
        <w:t xml:space="preserve">agram: </w:t>
      </w:r>
      <w:r w:rsidRPr="00E154E1">
        <w:rPr>
          <w:rStyle w:val="Hipervnculo"/>
          <w:rFonts w:ascii="Verdana" w:hAnsi="Verdana" w:cs="Arial"/>
          <w:shd w:val="clear" w:color="auto" w:fill="FFFFFF"/>
        </w:rPr>
        <w:t>@colombiacompraeficiente_cce</w:t>
      </w:r>
    </w:p>
    <w:p w14:paraId="1D605A27" w14:textId="77777777" w:rsidR="007E6FD3" w:rsidRPr="00A03042" w:rsidRDefault="007E6FD3">
      <w:pPr>
        <w:widowControl w:val="0"/>
        <w:autoSpaceDE w:val="0"/>
        <w:autoSpaceDN w:val="0"/>
        <w:spacing w:after="0" w:line="276" w:lineRule="auto"/>
        <w:jc w:val="both"/>
        <w:rPr>
          <w:rFonts w:ascii="Verdana" w:hAnsi="Verdana" w:cs="Arial"/>
          <w:lang w:val="es-ES"/>
        </w:rPr>
      </w:pPr>
    </w:p>
    <w:p w14:paraId="146F3EB2" w14:textId="77777777" w:rsidR="007E6FD3" w:rsidRPr="00A03042" w:rsidRDefault="007E6FD3">
      <w:pPr>
        <w:widowControl w:val="0"/>
        <w:autoSpaceDE w:val="0"/>
        <w:autoSpaceDN w:val="0"/>
        <w:spacing w:after="0" w:line="276" w:lineRule="auto"/>
        <w:jc w:val="both"/>
        <w:rPr>
          <w:rFonts w:ascii="Verdana" w:hAnsi="Verdana" w:cs="Arial"/>
          <w:lang w:val="es-ES"/>
        </w:rPr>
      </w:pPr>
      <w:r w:rsidRPr="00A03042">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AC4F2CE" w14:textId="77777777" w:rsidR="007E6FD3" w:rsidRPr="00A03042" w:rsidRDefault="007E6FD3">
      <w:pPr>
        <w:widowControl w:val="0"/>
        <w:autoSpaceDE w:val="0"/>
        <w:autoSpaceDN w:val="0"/>
        <w:spacing w:after="0" w:line="276" w:lineRule="auto"/>
        <w:jc w:val="both"/>
        <w:rPr>
          <w:rFonts w:ascii="Verdana" w:hAnsi="Verdana" w:cs="Arial"/>
          <w:lang w:val="es-ES"/>
        </w:rPr>
      </w:pPr>
    </w:p>
    <w:p w14:paraId="5DADBAA9" w14:textId="33EEC27C" w:rsidR="007E6FD3" w:rsidRPr="00A03042" w:rsidRDefault="007E6FD3">
      <w:pPr>
        <w:spacing w:after="0" w:line="276" w:lineRule="auto"/>
        <w:rPr>
          <w:rFonts w:ascii="Verdana" w:hAnsi="Verdana" w:cs="Arial"/>
          <w:color w:val="000000" w:themeColor="text1"/>
          <w:lang w:val="es-ES" w:eastAsia="es-CO"/>
        </w:rPr>
      </w:pPr>
      <w:r w:rsidRPr="00A03042">
        <w:rPr>
          <w:rFonts w:ascii="Verdana" w:eastAsia="Times New Roman" w:hAnsi="Verdana" w:cs="Arial"/>
          <w:color w:val="000000" w:themeColor="text1"/>
          <w:lang w:val="es-ES" w:eastAsia="es-CO"/>
        </w:rPr>
        <w:t>Atentamente,</w:t>
      </w:r>
      <w:r w:rsidRPr="00A03042">
        <w:rPr>
          <w:rFonts w:ascii="Verdana" w:hAnsi="Verdana" w:cs="Arial"/>
          <w:color w:val="000000" w:themeColor="text1"/>
          <w:lang w:val="es-ES" w:eastAsia="es-CO"/>
        </w:rPr>
        <w:t xml:space="preserve"> </w:t>
      </w:r>
    </w:p>
    <w:p w14:paraId="6CDECC92" w14:textId="5D9502D6" w:rsidR="007E6FD3" w:rsidRPr="00FC6F34" w:rsidRDefault="00AC506E" w:rsidP="007E6FD3">
      <w:pPr>
        <w:spacing w:line="276" w:lineRule="auto"/>
        <w:jc w:val="center"/>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0288" behindDoc="0" locked="0" layoutInCell="1" allowOverlap="1" wp14:anchorId="389AB312" wp14:editId="61E88215">
            <wp:simplePos x="0" y="0"/>
            <wp:positionH relativeFrom="column">
              <wp:posOffset>1076632</wp:posOffset>
            </wp:positionH>
            <wp:positionV relativeFrom="page">
              <wp:posOffset>5436439</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E6FD3" w:rsidRPr="00FC6F34" w14:paraId="6275525D" w14:textId="77777777" w:rsidTr="00A95CE9">
        <w:trPr>
          <w:trHeight w:val="315"/>
        </w:trPr>
        <w:tc>
          <w:tcPr>
            <w:tcW w:w="893" w:type="dxa"/>
            <w:vAlign w:val="center"/>
            <w:hideMark/>
          </w:tcPr>
          <w:p w14:paraId="3A5ADB73" w14:textId="77777777" w:rsidR="007E6FD3" w:rsidRPr="00FC6F34" w:rsidRDefault="007E6FD3" w:rsidP="00A95CE9">
            <w:pPr>
              <w:contextualSpacing/>
              <w:rPr>
                <w:rFonts w:ascii="Verdana" w:hAnsi="Verdana" w:cs="Arial"/>
                <w:sz w:val="16"/>
                <w:szCs w:val="16"/>
                <w:lang w:val="es-ES" w:eastAsia="es-ES"/>
              </w:rPr>
            </w:pPr>
            <w:r w:rsidRPr="00FC6F3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AA19F85" w14:textId="77777777" w:rsidR="007E6FD3" w:rsidRPr="00FC6F34" w:rsidRDefault="007E6FD3" w:rsidP="00A95CE9">
            <w:pPr>
              <w:contextualSpacing/>
              <w:rPr>
                <w:rFonts w:ascii="Verdana" w:eastAsia="Arial" w:hAnsi="Verdana" w:cs="Arial"/>
                <w:color w:val="000000" w:themeColor="text1"/>
                <w:sz w:val="16"/>
                <w:szCs w:val="16"/>
                <w:lang w:val="es-ES"/>
              </w:rPr>
            </w:pPr>
            <w:r w:rsidRPr="00FC6F34">
              <w:rPr>
                <w:rFonts w:ascii="Verdana" w:eastAsia="Arial" w:hAnsi="Verdana" w:cs="Arial"/>
                <w:color w:val="000000" w:themeColor="text1"/>
                <w:sz w:val="16"/>
                <w:szCs w:val="16"/>
                <w:lang w:val="es-ES"/>
              </w:rPr>
              <w:t>Anamaría Bonilla Prieto</w:t>
            </w:r>
          </w:p>
          <w:p w14:paraId="35719BDE" w14:textId="77777777" w:rsidR="007E6FD3" w:rsidRPr="00FC6F34" w:rsidRDefault="007E6FD3" w:rsidP="00A95CE9">
            <w:pPr>
              <w:contextualSpacing/>
              <w:rPr>
                <w:rFonts w:ascii="Verdana" w:eastAsia="Arial" w:hAnsi="Verdana" w:cs="Arial"/>
                <w:sz w:val="16"/>
                <w:szCs w:val="16"/>
                <w:lang w:val="es-ES"/>
              </w:rPr>
            </w:pPr>
            <w:r w:rsidRPr="00FC6F34">
              <w:rPr>
                <w:rStyle w:val="normaltextrun"/>
                <w:rFonts w:ascii="Verdana" w:eastAsia="Arial" w:hAnsi="Verdana" w:cs="Arial"/>
                <w:color w:val="000000" w:themeColor="text1"/>
                <w:sz w:val="16"/>
                <w:szCs w:val="16"/>
                <w:lang w:val="es-ES"/>
              </w:rPr>
              <w:t xml:space="preserve">Contratista de la Subdirección </w:t>
            </w:r>
            <w:r w:rsidRPr="00FC6F34">
              <w:rPr>
                <w:rStyle w:val="normaltextrun"/>
                <w:rFonts w:ascii="Verdana" w:eastAsia="Arial" w:hAnsi="Verdana" w:cs="Arial"/>
                <w:sz w:val="16"/>
                <w:szCs w:val="16"/>
                <w:lang w:val="es-ES"/>
              </w:rPr>
              <w:t>de Gestión Contractual</w:t>
            </w:r>
          </w:p>
        </w:tc>
      </w:tr>
      <w:tr w:rsidR="007E6FD3" w:rsidRPr="00FC6F34" w14:paraId="07EF712D" w14:textId="77777777" w:rsidTr="00A95CE9">
        <w:trPr>
          <w:trHeight w:val="330"/>
        </w:trPr>
        <w:tc>
          <w:tcPr>
            <w:tcW w:w="893" w:type="dxa"/>
            <w:vAlign w:val="center"/>
            <w:hideMark/>
          </w:tcPr>
          <w:p w14:paraId="49E594E6" w14:textId="77777777" w:rsidR="007E6FD3" w:rsidRPr="00FC6F34" w:rsidRDefault="007E6FD3" w:rsidP="00A95CE9">
            <w:pPr>
              <w:contextualSpacing/>
              <w:rPr>
                <w:rFonts w:ascii="Verdana" w:hAnsi="Verdana" w:cs="Arial"/>
                <w:sz w:val="16"/>
                <w:szCs w:val="16"/>
                <w:lang w:val="es-ES" w:eastAsia="es-ES"/>
              </w:rPr>
            </w:pPr>
            <w:r w:rsidRPr="00FC6F3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78E109A" w14:textId="77777777" w:rsidR="007E6FD3" w:rsidRDefault="007E6FD3" w:rsidP="00A95CE9">
            <w:pPr>
              <w:pStyle w:val="paragraph"/>
              <w:spacing w:before="0" w:beforeAutospacing="0" w:after="0" w:afterAutospacing="0"/>
              <w:contextualSpacing/>
              <w:textAlignment w:val="baseline"/>
              <w:rPr>
                <w:rFonts w:ascii="Verdana" w:hAnsi="Verdana" w:cs="Segoe UI"/>
                <w:sz w:val="16"/>
                <w:szCs w:val="16"/>
                <w:lang w:val="es-ES"/>
              </w:rPr>
            </w:pPr>
            <w:r>
              <w:rPr>
                <w:rFonts w:ascii="Verdana" w:hAnsi="Verdana" w:cs="Segoe UI"/>
                <w:sz w:val="16"/>
                <w:szCs w:val="16"/>
                <w:lang w:val="es-ES"/>
              </w:rPr>
              <w:t>Diana Lucía Saavedra Castañeda</w:t>
            </w:r>
          </w:p>
          <w:p w14:paraId="701F9DA3" w14:textId="77777777" w:rsidR="007E6FD3" w:rsidRPr="00FC6F34" w:rsidRDefault="007E6FD3" w:rsidP="00A95CE9">
            <w:pPr>
              <w:pStyle w:val="paragraph"/>
              <w:spacing w:before="0" w:beforeAutospacing="0" w:after="0" w:afterAutospacing="0"/>
              <w:contextualSpacing/>
              <w:textAlignment w:val="baseline"/>
              <w:rPr>
                <w:rFonts w:ascii="Verdana" w:hAnsi="Verdana" w:cs="Segoe UI"/>
                <w:sz w:val="16"/>
                <w:szCs w:val="16"/>
                <w:lang w:val="es-ES"/>
              </w:rPr>
            </w:pPr>
            <w:r w:rsidRPr="00FC6F34">
              <w:rPr>
                <w:rStyle w:val="normaltextrun"/>
                <w:rFonts w:ascii="Verdana" w:eastAsia="Arial" w:hAnsi="Verdana" w:cs="Arial"/>
                <w:color w:val="000000" w:themeColor="text1"/>
                <w:sz w:val="16"/>
                <w:szCs w:val="16"/>
                <w:lang w:val="es-ES"/>
              </w:rPr>
              <w:t xml:space="preserve">Contratista de la Subdirección </w:t>
            </w:r>
            <w:r w:rsidRPr="00FC6F34">
              <w:rPr>
                <w:rStyle w:val="normaltextrun"/>
                <w:rFonts w:ascii="Verdana" w:eastAsia="Arial" w:hAnsi="Verdana" w:cs="Arial"/>
                <w:sz w:val="16"/>
                <w:szCs w:val="16"/>
                <w:lang w:val="es-ES"/>
              </w:rPr>
              <w:t>de Gestión Contractual</w:t>
            </w:r>
          </w:p>
        </w:tc>
      </w:tr>
      <w:tr w:rsidR="007E6FD3" w:rsidRPr="00FC6F34" w14:paraId="31AA756D" w14:textId="77777777" w:rsidTr="00A95CE9">
        <w:trPr>
          <w:trHeight w:val="300"/>
        </w:trPr>
        <w:tc>
          <w:tcPr>
            <w:tcW w:w="893" w:type="dxa"/>
            <w:vAlign w:val="center"/>
          </w:tcPr>
          <w:p w14:paraId="07D581AD" w14:textId="77777777" w:rsidR="007E6FD3" w:rsidRPr="00FC6F34" w:rsidRDefault="007E6FD3" w:rsidP="00A95CE9">
            <w:pPr>
              <w:contextualSpacing/>
              <w:rPr>
                <w:rFonts w:ascii="Verdana" w:hAnsi="Verdana" w:cs="Arial"/>
                <w:sz w:val="16"/>
                <w:szCs w:val="16"/>
                <w:lang w:val="es-ES" w:eastAsia="es-ES"/>
              </w:rPr>
            </w:pPr>
            <w:r w:rsidRPr="00FC6F3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4DC7169" w14:textId="77777777" w:rsidR="007E6FD3" w:rsidRPr="00FC6F34" w:rsidRDefault="007E6FD3" w:rsidP="00A95CE9">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Carolina Quintero Gacharná</w:t>
            </w:r>
          </w:p>
          <w:p w14:paraId="37F79F63" w14:textId="77777777" w:rsidR="007E6FD3" w:rsidRPr="00FC6F34" w:rsidRDefault="007E6FD3" w:rsidP="00A95CE9">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Subdirectora de Gestión Contractual ANCP – CCE</w:t>
            </w:r>
          </w:p>
        </w:tc>
      </w:tr>
      <w:bookmarkEnd w:id="0"/>
    </w:tbl>
    <w:p w14:paraId="0F293BF4" w14:textId="3E6FEC41" w:rsidR="00127233" w:rsidRPr="00074EBE" w:rsidRDefault="00127233" w:rsidP="00074EBE"/>
    <w:sectPr w:rsidR="00127233" w:rsidRPr="00074EBE"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A7B737" w14:textId="77777777" w:rsidR="00132D9E" w:rsidRDefault="00132D9E" w:rsidP="004A1847">
      <w:pPr>
        <w:spacing w:after="0" w:line="240" w:lineRule="auto"/>
      </w:pPr>
      <w:r>
        <w:separator/>
      </w:r>
    </w:p>
  </w:endnote>
  <w:endnote w:type="continuationSeparator" w:id="0">
    <w:p w14:paraId="0F121F16" w14:textId="77777777" w:rsidR="00132D9E" w:rsidRDefault="00132D9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E35C01" w14:textId="77777777" w:rsidR="00132D9E" w:rsidRDefault="00132D9E" w:rsidP="004A1847">
      <w:pPr>
        <w:spacing w:after="0" w:line="240" w:lineRule="auto"/>
      </w:pPr>
      <w:r>
        <w:separator/>
      </w:r>
    </w:p>
  </w:footnote>
  <w:footnote w:type="continuationSeparator" w:id="0">
    <w:p w14:paraId="278257FE" w14:textId="77777777" w:rsidR="00132D9E" w:rsidRDefault="00132D9E" w:rsidP="004A1847">
      <w:pPr>
        <w:spacing w:after="0" w:line="240" w:lineRule="auto"/>
      </w:pPr>
      <w:r>
        <w:continuationSeparator/>
      </w:r>
    </w:p>
  </w:footnote>
  <w:footnote w:id="1">
    <w:p w14:paraId="110C6028" w14:textId="77777777" w:rsidR="007E6FD3" w:rsidRPr="0016660C" w:rsidRDefault="007E6FD3" w:rsidP="007E6FD3">
      <w:pPr>
        <w:pStyle w:val="Textonotapie"/>
        <w:ind w:firstLine="709"/>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22D18AD1" w14:textId="77777777" w:rsidR="007E6FD3" w:rsidRPr="0016660C" w:rsidRDefault="007E6FD3" w:rsidP="007E6FD3">
      <w:pPr>
        <w:pStyle w:val="Textonotapie"/>
        <w:ind w:firstLine="709"/>
        <w:jc w:val="both"/>
        <w:rPr>
          <w:rFonts w:ascii="Verdana" w:hAnsi="Verdana" w:cs="Arial"/>
          <w:sz w:val="16"/>
          <w:szCs w:val="16"/>
        </w:rPr>
      </w:pPr>
      <w:r w:rsidRPr="0016660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5BC734D0" w14:textId="77777777" w:rsidR="007E6FD3" w:rsidRPr="0016660C" w:rsidRDefault="007E6FD3" w:rsidP="007E6FD3">
      <w:pPr>
        <w:pStyle w:val="Textonotapie"/>
        <w:ind w:firstLine="709"/>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Gaceta del Congreso de la República No. 71 del 2005.</w:t>
      </w:r>
    </w:p>
  </w:footnote>
  <w:footnote w:id="3">
    <w:p w14:paraId="0441F4F2" w14:textId="69A7ECEE" w:rsidR="007E6FD3" w:rsidRPr="0016660C" w:rsidRDefault="007E6FD3" w:rsidP="007E6FD3">
      <w:pPr>
        <w:pStyle w:val="Textonotapie"/>
        <w:ind w:firstLine="709"/>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w:t>
      </w:r>
      <w:r w:rsidR="007D1880">
        <w:rPr>
          <w:rFonts w:ascii="Verdana" w:hAnsi="Verdana" w:cs="Arial"/>
          <w:sz w:val="16"/>
          <w:szCs w:val="16"/>
          <w:lang w:val="pt-BR"/>
        </w:rPr>
        <w:t xml:space="preserve">. </w:t>
      </w:r>
      <w:r w:rsidRPr="0016660C">
        <w:rPr>
          <w:rFonts w:ascii="Verdana" w:hAnsi="Verdana" w:cs="Arial"/>
          <w:sz w:val="16"/>
          <w:szCs w:val="16"/>
          <w:lang w:val="pt-BR"/>
        </w:rPr>
        <w:t xml:space="preserve">Sentencia C- 1153 de 2005, M.P. Marco Gerardo </w:t>
      </w:r>
      <w:r w:rsidRPr="0016660C">
        <w:rPr>
          <w:rFonts w:ascii="Verdana" w:hAnsi="Verdana" w:cs="Arial"/>
          <w:sz w:val="16"/>
          <w:szCs w:val="16"/>
          <w:lang w:val="pt-BR"/>
        </w:rPr>
        <w:t>Monroy Cabra.</w:t>
      </w:r>
    </w:p>
  </w:footnote>
  <w:footnote w:id="4">
    <w:p w14:paraId="715E922C" w14:textId="77777777" w:rsidR="007E6FD3" w:rsidRPr="0016660C" w:rsidRDefault="007E6FD3" w:rsidP="007E6FD3">
      <w:pPr>
        <w:pStyle w:val="Textonotapie"/>
        <w:ind w:firstLine="709"/>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Sentencias: C-233 de 4 de abril de 2002, expediente: D-3704; C-551 de 9 de </w:t>
      </w:r>
      <w:r w:rsidRPr="0016660C">
        <w:rPr>
          <w:rFonts w:ascii="Verdana" w:hAnsi="Verdana" w:cs="Arial"/>
          <w:sz w:val="16"/>
          <w:szCs w:val="16"/>
          <w:lang w:val="pt-BR"/>
        </w:rPr>
        <w:t>julio de 2003, expediente: CRF-001 de 9 de julio de 2003; C-652 de 5 de agosto de 2003, expediente: D-4330; C-353 de 20 de mayo de 2009, expediente: D-7518, C-541 de 30 de junio de 2010, expediente: DD7966; entre otras.</w:t>
      </w:r>
    </w:p>
  </w:footnote>
  <w:footnote w:id="5">
    <w:p w14:paraId="541A8CE8" w14:textId="6A395727" w:rsidR="007E6FD3" w:rsidRPr="0016660C" w:rsidRDefault="007E6FD3" w:rsidP="007E6FD3">
      <w:pPr>
        <w:pStyle w:val="Textonotapie"/>
        <w:ind w:firstLine="709"/>
        <w:jc w:val="both"/>
        <w:rPr>
          <w:rFonts w:ascii="Verdana" w:hAnsi="Verdana" w:cs="Arial"/>
          <w:sz w:val="16"/>
          <w:szCs w:val="16"/>
          <w:lang w:val="es-CO"/>
        </w:rPr>
      </w:pPr>
      <w:r w:rsidRPr="0016660C">
        <w:rPr>
          <w:rStyle w:val="Refdenotaalpie"/>
          <w:rFonts w:ascii="Verdana" w:hAnsi="Verdana" w:cs="Arial"/>
          <w:sz w:val="16"/>
          <w:szCs w:val="16"/>
        </w:rPr>
        <w:footnoteRef/>
      </w:r>
      <w:r w:rsidRPr="0016660C">
        <w:rPr>
          <w:rFonts w:ascii="Verdana" w:hAnsi="Verdana" w:cs="Arial"/>
          <w:sz w:val="16"/>
          <w:szCs w:val="16"/>
          <w:lang w:val="es-CO"/>
        </w:rPr>
        <w:t xml:space="preserve"> Consejo de Estado</w:t>
      </w:r>
      <w:r w:rsidR="007D1880">
        <w:rPr>
          <w:rFonts w:ascii="Verdana" w:hAnsi="Verdana" w:cs="Arial"/>
          <w:sz w:val="16"/>
          <w:szCs w:val="16"/>
          <w:lang w:val="es-CO"/>
        </w:rPr>
        <w:t>.</w:t>
      </w:r>
      <w:r w:rsidRPr="0016660C">
        <w:rPr>
          <w:rFonts w:ascii="Verdana" w:hAnsi="Verdana" w:cs="Arial"/>
          <w:sz w:val="16"/>
          <w:szCs w:val="16"/>
          <w:lang w:val="es-CO"/>
        </w:rPr>
        <w:t xml:space="preserve">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199C81EA" w14:textId="34D15433" w:rsidR="007E6FD3" w:rsidRPr="0016660C" w:rsidRDefault="007E6FD3" w:rsidP="007E6FD3">
      <w:pPr>
        <w:pStyle w:val="Textonotapie"/>
        <w:ind w:firstLine="709"/>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w:t>
      </w:r>
      <w:r w:rsidR="007D1880">
        <w:rPr>
          <w:rFonts w:ascii="Verdana" w:hAnsi="Verdana" w:cs="Arial"/>
          <w:sz w:val="16"/>
          <w:szCs w:val="16"/>
        </w:rPr>
        <w:t xml:space="preserve">. </w:t>
      </w:r>
      <w:r w:rsidRPr="0016660C">
        <w:rPr>
          <w:rFonts w:ascii="Verdana" w:hAnsi="Verdana" w:cs="Arial"/>
          <w:sz w:val="16"/>
          <w:szCs w:val="16"/>
        </w:rPr>
        <w:t xml:space="preserve">Sala de Consulta y Servicio Civil de fecha 24 de julio de 2013, Rad. 2166, C. P. Álvaro Namén Vargas.  </w:t>
      </w:r>
    </w:p>
  </w:footnote>
  <w:footnote w:id="7">
    <w:p w14:paraId="2430BB7C" w14:textId="77777777" w:rsidR="007E6FD3" w:rsidRPr="0016660C" w:rsidRDefault="007E6FD3" w:rsidP="007E6FD3">
      <w:pPr>
        <w:spacing w:after="0" w:line="240" w:lineRule="auto"/>
        <w:ind w:firstLine="709"/>
        <w:jc w:val="both"/>
        <w:rPr>
          <w:rFonts w:ascii="Verdana" w:eastAsia="Times New Roman"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7C9556D7" w14:textId="77777777" w:rsidR="007E6FD3" w:rsidRPr="0016660C" w:rsidRDefault="007E6FD3" w:rsidP="007E6FD3">
      <w:pPr>
        <w:spacing w:after="0" w:line="240" w:lineRule="auto"/>
        <w:ind w:firstLine="709"/>
        <w:jc w:val="both"/>
        <w:rPr>
          <w:rFonts w:ascii="Verdana" w:eastAsia="Times New Roman" w:hAnsi="Verdana" w:cs="Arial"/>
          <w:sz w:val="16"/>
          <w:szCs w:val="16"/>
        </w:rPr>
      </w:pPr>
      <w:r w:rsidRPr="0016660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6660C">
        <w:rPr>
          <w:rFonts w:ascii="Verdana" w:eastAsia="Calibri" w:hAnsi="Verdana" w:cs="Arial"/>
          <w:color w:val="000000"/>
          <w:sz w:val="16"/>
          <w:szCs w:val="16"/>
        </w:rPr>
        <w:t>”</w:t>
      </w:r>
      <w:r w:rsidRPr="0016660C">
        <w:rPr>
          <w:rFonts w:ascii="Verdana" w:eastAsia="Times New Roman" w:hAnsi="Verdana" w:cs="Arial"/>
          <w:sz w:val="16"/>
          <w:szCs w:val="16"/>
        </w:rPr>
        <w:t>.</w:t>
      </w:r>
    </w:p>
  </w:footnote>
  <w:footnote w:id="8">
    <w:p w14:paraId="08316B4C" w14:textId="77777777" w:rsidR="007E6FD3" w:rsidRPr="0016660C" w:rsidRDefault="007E6FD3" w:rsidP="007E6FD3">
      <w:pPr>
        <w:pStyle w:val="NormalWeb"/>
        <w:spacing w:before="0" w:beforeAutospacing="0" w:after="0" w:afterAutospacing="0"/>
        <w:ind w:firstLine="709"/>
        <w:jc w:val="both"/>
        <w:rPr>
          <w:rFonts w:ascii="Verdana" w:hAnsi="Verdana" w:cs="Arial"/>
          <w:sz w:val="16"/>
          <w:szCs w:val="16"/>
          <w:lang w:val="es-MX"/>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Artículo 38. Prohibiciones para los servidores públicos. A los empleados del Estado les está prohibido: […]</w:t>
      </w:r>
    </w:p>
    <w:p w14:paraId="6AEDF961" w14:textId="77777777" w:rsidR="007E6FD3" w:rsidRPr="0016660C" w:rsidRDefault="007E6FD3" w:rsidP="007E6FD3">
      <w:pPr>
        <w:pStyle w:val="NormalWeb"/>
        <w:spacing w:before="0" w:beforeAutospacing="0" w:after="0" w:afterAutospacing="0"/>
        <w:ind w:firstLine="709"/>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footnote>
  <w:footnote w:id="9">
    <w:p w14:paraId="4684F5F9" w14:textId="77777777" w:rsidR="007E6FD3" w:rsidRPr="0016660C" w:rsidRDefault="007E6FD3" w:rsidP="007E6FD3">
      <w:pPr>
        <w:spacing w:after="0" w:line="240" w:lineRule="auto"/>
        <w:ind w:left="100" w:right="244" w:firstLine="709"/>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75DD357C" w14:textId="77777777" w:rsidR="007E6FD3" w:rsidRPr="0016660C" w:rsidRDefault="007E6FD3" w:rsidP="007E6FD3">
      <w:pPr>
        <w:pStyle w:val="Textonotapie"/>
        <w:ind w:right="51" w:firstLine="709"/>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[26] </w:t>
      </w:r>
      <w:r w:rsidRPr="0016660C">
        <w:rPr>
          <w:rFonts w:ascii="Verdana" w:hAnsi="Verdana" w:cs="Arial"/>
          <w:sz w:val="16"/>
          <w:szCs w:val="16"/>
        </w:rPr>
        <w:t>Al respecto ver el concepto 1712 de 2 de febrero de 2006. Consejo de Estado Sala de Consulta y Servicio Civil”.</w:t>
      </w:r>
    </w:p>
  </w:footnote>
  <w:footnote w:id="11">
    <w:p w14:paraId="4259C2B1" w14:textId="77777777" w:rsidR="007E6FD3" w:rsidRPr="0016660C" w:rsidRDefault="007E6FD3" w:rsidP="007E6FD3">
      <w:pPr>
        <w:pStyle w:val="Textonotapie"/>
        <w:ind w:firstLine="709"/>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2">
    <w:p w14:paraId="088EE8D4" w14:textId="77777777" w:rsidR="007E6FD3" w:rsidRPr="0016660C" w:rsidRDefault="007E6FD3" w:rsidP="007E6FD3">
      <w:pPr>
        <w:pStyle w:val="Textonotapie"/>
        <w:ind w:firstLine="709"/>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Artículo 2. </w:t>
      </w:r>
    </w:p>
  </w:footnote>
  <w:footnote w:id="13">
    <w:p w14:paraId="6D86CF66" w14:textId="77777777" w:rsidR="007E6FD3" w:rsidRPr="0016660C" w:rsidRDefault="007E6FD3" w:rsidP="007E6FD3">
      <w:pPr>
        <w:pStyle w:val="Textonotapie"/>
        <w:ind w:firstLine="709"/>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i/>
          <w:sz w:val="16"/>
          <w:szCs w:val="16"/>
          <w:lang w:val="es-ES"/>
        </w:rPr>
        <w:t>Ídem</w:t>
      </w:r>
      <w:r w:rsidRPr="0016660C">
        <w:rPr>
          <w:rFonts w:ascii="Verdana" w:hAnsi="Verdana" w:cs="Arial"/>
          <w:sz w:val="16"/>
          <w:szCs w:val="16"/>
          <w:lang w:val="es-ES"/>
        </w:rPr>
        <w:t>.</w:t>
      </w:r>
    </w:p>
  </w:footnote>
  <w:footnote w:id="14">
    <w:p w14:paraId="67CF79B5" w14:textId="77777777" w:rsidR="007E6FD3" w:rsidRPr="0016660C" w:rsidRDefault="007E6FD3" w:rsidP="007E6FD3">
      <w:pPr>
        <w:pStyle w:val="Textonotapie"/>
        <w:ind w:firstLine="709"/>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08 de mayo de 2018. Exp. 2.382. C.P. Álvaro Namén Vargas.</w:t>
      </w:r>
    </w:p>
  </w:footnote>
  <w:footnote w:id="15">
    <w:p w14:paraId="1D7D061F" w14:textId="77777777" w:rsidR="007E6FD3" w:rsidRPr="0016660C" w:rsidRDefault="007E6FD3" w:rsidP="007E6FD3">
      <w:pPr>
        <w:pStyle w:val="Textonotapie"/>
        <w:ind w:firstLine="708"/>
        <w:jc w:val="both"/>
        <w:rPr>
          <w:rFonts w:ascii="Verdana" w:hAnsi="Verdana"/>
          <w:sz w:val="16"/>
          <w:szCs w:val="16"/>
          <w:lang w:val="es-ES"/>
        </w:rPr>
      </w:pPr>
      <w:r w:rsidRPr="0016660C">
        <w:rPr>
          <w:rStyle w:val="Refdenotaalpie"/>
          <w:rFonts w:ascii="Verdana" w:hAnsi="Verdana"/>
          <w:sz w:val="16"/>
          <w:szCs w:val="16"/>
        </w:rPr>
        <w:footnoteRef/>
      </w:r>
      <w:r w:rsidRPr="0016660C">
        <w:rPr>
          <w:rFonts w:ascii="Verdana" w:hAnsi="Verdana"/>
          <w:sz w:val="16"/>
          <w:szCs w:val="16"/>
        </w:rPr>
        <w:t xml:space="preserve"> </w:t>
      </w:r>
      <w:r w:rsidRPr="0016660C">
        <w:rPr>
          <w:rFonts w:ascii="Verdana" w:eastAsia="Calibri" w:hAnsi="Verdana" w:cs="Arial"/>
          <w:sz w:val="16"/>
          <w:szCs w:val="16"/>
          <w:lang w:val="es-ES"/>
        </w:rPr>
        <w:t xml:space="preserve">Consejo de Estado, Sala de Consulta y Servicio Civil, Concepto de fecha 8 de mayo de 2018, No. </w:t>
      </w:r>
      <w:r w:rsidRPr="0016660C">
        <w:rPr>
          <w:rFonts w:ascii="Verdana" w:hAnsi="Verdana"/>
          <w:sz w:val="16"/>
          <w:szCs w:val="16"/>
          <w:lang w:val="es-CO"/>
        </w:rPr>
        <w:t>2382.</w:t>
      </w:r>
      <w:r w:rsidRPr="0016660C">
        <w:rPr>
          <w:rFonts w:ascii="Verdana" w:hAnsi="Verdana"/>
          <w:sz w:val="16"/>
          <w:szCs w:val="16"/>
        </w:rPr>
        <w:t xml:space="preserve"> </w:t>
      </w:r>
      <w:r w:rsidRPr="0016660C">
        <w:rPr>
          <w:rFonts w:ascii="Verdana" w:hAnsi="Verdana"/>
          <w:sz w:val="16"/>
          <w:szCs w:val="16"/>
          <w:lang w:val="es-CO"/>
        </w:rPr>
        <w:t>C. P. Álvaro Namén Vargas.</w:t>
      </w:r>
    </w:p>
  </w:footnote>
  <w:footnote w:id="16">
    <w:p w14:paraId="34E4634D" w14:textId="77777777" w:rsidR="00E154E1" w:rsidRPr="004674CF" w:rsidRDefault="00E154E1" w:rsidP="00E154E1">
      <w:pPr>
        <w:spacing w:after="0" w:line="240" w:lineRule="auto"/>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 20 de febrero de 2006. C.P. Enrique José Arboleda Perdomo. Rad. 1727.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7">
    <w:p w14:paraId="38C25545" w14:textId="77777777" w:rsidR="00E154E1" w:rsidRPr="004674CF" w:rsidRDefault="00E154E1" w:rsidP="00E154E1">
      <w:pPr>
        <w:pStyle w:val="Textonotapie"/>
        <w:ind w:right="51" w:firstLine="709"/>
        <w:jc w:val="both"/>
        <w:rPr>
          <w:rFonts w:ascii="Verdana" w:eastAsia="Times New Roman" w:hAnsi="Verdana" w:cs="Arial"/>
          <w:bCs/>
          <w:sz w:val="16"/>
          <w:szCs w:val="16"/>
          <w:lang w:eastAsia="x-none"/>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 6 de abril de 2006.C.P. Enrique José Arboleda Perdomo. </w:t>
      </w:r>
      <w:r w:rsidRPr="004674CF">
        <w:rPr>
          <w:rFonts w:ascii="Verdana" w:hAnsi="Verdana" w:cs="Arial"/>
          <w:sz w:val="16"/>
          <w:szCs w:val="16"/>
          <w:lang w:val="es-CO"/>
        </w:rPr>
        <w:t>Rad. 1738</w:t>
      </w:r>
      <w:r w:rsidRPr="004674CF">
        <w:rPr>
          <w:rFonts w:ascii="Verdana" w:eastAsia="Times New Roman" w:hAnsi="Verdana" w:cs="Arial"/>
          <w:bCs/>
          <w:sz w:val="16"/>
          <w:szCs w:val="16"/>
          <w:lang w:eastAsia="x-none"/>
        </w:rPr>
        <w:t xml:space="preserve"> “</w:t>
      </w:r>
      <w:r w:rsidRPr="004674CF">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4674CF">
        <w:rPr>
          <w:rFonts w:ascii="Verdana" w:eastAsia="Times New Roman" w:hAnsi="Verdana" w:cs="Arial"/>
          <w:bCs/>
          <w:sz w:val="16"/>
          <w:szCs w:val="16"/>
          <w:lang w:eastAsia="x-none"/>
        </w:rPr>
        <w:t>”.</w:t>
      </w:r>
    </w:p>
  </w:footnote>
  <w:footnote w:id="18">
    <w:p w14:paraId="124DF8CF" w14:textId="77777777" w:rsidR="00E154E1" w:rsidRPr="004674CF" w:rsidRDefault="00E154E1" w:rsidP="00E154E1">
      <w:pPr>
        <w:spacing w:after="0" w:line="240" w:lineRule="auto"/>
        <w:ind w:firstLine="708"/>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 6 de abril de 2006. C.P. Enrique José Arboleda Perdomo. Rad. 1738. </w:t>
      </w:r>
    </w:p>
  </w:footnote>
  <w:footnote w:id="19">
    <w:p w14:paraId="53801FF0" w14:textId="77777777" w:rsidR="00E154E1" w:rsidRPr="004674CF" w:rsidRDefault="00E154E1" w:rsidP="00E154E1">
      <w:pPr>
        <w:pStyle w:val="Textonotapie"/>
        <w:ind w:right="51"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ídem.</w:t>
      </w:r>
    </w:p>
  </w:footnote>
  <w:footnote w:id="20">
    <w:p w14:paraId="6060A648" w14:textId="77777777" w:rsidR="007E6FD3" w:rsidRPr="0016660C" w:rsidRDefault="007E6FD3" w:rsidP="007E6FD3">
      <w:pPr>
        <w:spacing w:after="0" w:line="240" w:lineRule="auto"/>
        <w:ind w:firstLine="709"/>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1">
    <w:p w14:paraId="76D7FBE2" w14:textId="2CEA32F3" w:rsidR="007E6FD3" w:rsidRPr="0016660C" w:rsidRDefault="007E6FD3" w:rsidP="007E6FD3">
      <w:pPr>
        <w:pStyle w:val="Textonotapie"/>
        <w:ind w:firstLine="708"/>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w:t>
      </w:r>
      <w:r w:rsidR="007D1880">
        <w:rPr>
          <w:rFonts w:ascii="Verdana" w:hAnsi="Verdana" w:cs="Arial"/>
          <w:color w:val="000000" w:themeColor="text1"/>
          <w:sz w:val="16"/>
          <w:szCs w:val="16"/>
        </w:rPr>
        <w:t xml:space="preserve">orte </w:t>
      </w:r>
      <w:r w:rsidRPr="0016660C">
        <w:rPr>
          <w:rFonts w:ascii="Verdana" w:hAnsi="Verdana" w:cs="Arial"/>
          <w:color w:val="000000" w:themeColor="text1"/>
          <w:sz w:val="16"/>
          <w:szCs w:val="16"/>
        </w:rPr>
        <w:t>C</w:t>
      </w:r>
      <w:r w:rsidR="007D1880">
        <w:rPr>
          <w:rFonts w:ascii="Verdana" w:hAnsi="Verdana" w:cs="Arial"/>
          <w:color w:val="000000" w:themeColor="text1"/>
          <w:sz w:val="16"/>
          <w:szCs w:val="16"/>
        </w:rPr>
        <w:t>onstitucional</w:t>
      </w:r>
      <w:r w:rsidRPr="0016660C">
        <w:rPr>
          <w:rFonts w:ascii="Verdana" w:hAnsi="Verdana" w:cs="Arial"/>
          <w:color w:val="000000" w:themeColor="text1"/>
          <w:sz w:val="16"/>
          <w:szCs w:val="16"/>
        </w:rPr>
        <w:t xml:space="preserve">. Sentencia C-1153 de 2005 M.P. Marco Gerardo Monroy Cabra. </w:t>
      </w:r>
    </w:p>
  </w:footnote>
  <w:footnote w:id="22">
    <w:p w14:paraId="56E7043D" w14:textId="2FB1601B" w:rsidR="007E6FD3" w:rsidRPr="0016660C" w:rsidRDefault="007E6FD3" w:rsidP="007E6FD3">
      <w:pPr>
        <w:pStyle w:val="Textonotapie"/>
        <w:ind w:firstLine="708"/>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w:t>
      </w:r>
      <w:r w:rsidR="007D1880">
        <w:rPr>
          <w:rFonts w:ascii="Verdana" w:hAnsi="Verdana" w:cs="Arial"/>
          <w:color w:val="000000" w:themeColor="text1"/>
          <w:sz w:val="16"/>
          <w:szCs w:val="16"/>
        </w:rPr>
        <w:t>Consejo de Estado.</w:t>
      </w:r>
      <w:r w:rsidRPr="0016660C">
        <w:rPr>
          <w:rFonts w:ascii="Verdana" w:hAnsi="Verdana" w:cs="Arial"/>
          <w:color w:val="000000" w:themeColor="text1"/>
          <w:sz w:val="16"/>
          <w:szCs w:val="16"/>
        </w:rPr>
        <w:t xml:space="preserve"> Sala de Consulta y Servicio Civil. Concepto del 18 de febrero 2010. Rad. 11001-03-06-000-2010-00006-00 (1985). C.P. Enrique José Arboleda Perdomo.</w:t>
      </w:r>
    </w:p>
  </w:footnote>
  <w:footnote w:id="23">
    <w:p w14:paraId="779A6ACE" w14:textId="77777777" w:rsidR="007E6FD3" w:rsidRPr="0016660C" w:rsidRDefault="007E6FD3" w:rsidP="007E6FD3">
      <w:pPr>
        <w:pStyle w:val="Textonotapie"/>
        <w:ind w:firstLine="708"/>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footnote>
  <w:footnote w:id="24">
    <w:p w14:paraId="7A004815" w14:textId="77777777" w:rsidR="007E6FD3" w:rsidRPr="0016660C" w:rsidRDefault="007E6FD3" w:rsidP="007E6FD3">
      <w:pPr>
        <w:pStyle w:val="Textonotapie"/>
        <w:ind w:firstLine="709"/>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 20 de febrero de2006. Radicación 11001-03-06-000-2006-00023-00(1724). Consejero Ponente: Flavio Augusto Rodríguez Arce.</w:t>
      </w:r>
    </w:p>
  </w:footnote>
  <w:footnote w:id="25">
    <w:p w14:paraId="77DA5984" w14:textId="77777777" w:rsidR="007E6FD3" w:rsidRPr="0016660C" w:rsidRDefault="007E6FD3" w:rsidP="007E6FD3">
      <w:pPr>
        <w:spacing w:after="0" w:line="240" w:lineRule="auto"/>
        <w:ind w:firstLine="709"/>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0EA921F4" w14:textId="77777777" w:rsidR="007E6FD3" w:rsidRPr="0016660C" w:rsidRDefault="007E6FD3" w:rsidP="007E6FD3">
      <w:pPr>
        <w:spacing w:after="0" w:line="240" w:lineRule="auto"/>
        <w:ind w:firstLine="709"/>
        <w:jc w:val="both"/>
        <w:rPr>
          <w:rFonts w:ascii="Verdana" w:hAnsi="Verdana" w:cs="Arial"/>
          <w:color w:val="000000" w:themeColor="text1"/>
          <w:sz w:val="16"/>
          <w:szCs w:val="16"/>
        </w:rPr>
      </w:pPr>
      <w:r w:rsidRPr="0016660C">
        <w:rPr>
          <w:rFonts w:ascii="Verdana" w:hAnsi="Verdana" w:cs="Arial"/>
          <w:color w:val="000000" w:themeColor="text1"/>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16660C">
        <w:rPr>
          <w:rFonts w:ascii="Verdana" w:hAnsi="Verdana" w:cs="Arial"/>
          <w:color w:val="000000" w:themeColor="text1"/>
          <w:spacing w:val="-1"/>
          <w:sz w:val="16"/>
          <w:szCs w:val="16"/>
        </w:rPr>
        <w:t xml:space="preserve"> </w:t>
      </w:r>
      <w:r w:rsidRPr="0016660C">
        <w:rPr>
          <w:rFonts w:ascii="Verdana" w:hAnsi="Verdana" w:cs="Arial"/>
          <w:color w:val="000000" w:themeColor="text1"/>
          <w:sz w:val="16"/>
          <w:szCs w:val="16"/>
        </w:rPr>
        <w:t>Estatales».</w:t>
      </w:r>
    </w:p>
  </w:footnote>
  <w:footnote w:id="26">
    <w:p w14:paraId="09885101" w14:textId="77777777" w:rsidR="007E6FD3" w:rsidRPr="0016660C" w:rsidRDefault="007E6FD3" w:rsidP="007E6FD3">
      <w:pPr>
        <w:pStyle w:val="Textonotapie"/>
        <w:ind w:firstLine="708"/>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Lo anterior, salvo que se traten de organismos internacionales que se rijan por normas internacionales y se financien con cargo a recursos de esos organismos (Cfr. Colombia Compra Eficiente. Concepto C-559 del 31 de agosto de 2021).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5pt;height:12.7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12416739">
    <w:abstractNumId w:val="5"/>
  </w:num>
  <w:num w:numId="2" w16cid:durableId="665206579">
    <w:abstractNumId w:val="1"/>
  </w:num>
  <w:num w:numId="3" w16cid:durableId="736132107">
    <w:abstractNumId w:val="3"/>
  </w:num>
  <w:num w:numId="4" w16cid:durableId="126291072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22563375">
    <w:abstractNumId w:val="1"/>
  </w:num>
  <w:num w:numId="6" w16cid:durableId="219093813">
    <w:abstractNumId w:val="13"/>
  </w:num>
  <w:num w:numId="7" w16cid:durableId="208760812">
    <w:abstractNumId w:val="4"/>
  </w:num>
  <w:num w:numId="8" w16cid:durableId="940264993">
    <w:abstractNumId w:val="12"/>
  </w:num>
  <w:num w:numId="9" w16cid:durableId="2094692957">
    <w:abstractNumId w:val="6"/>
  </w:num>
  <w:num w:numId="10" w16cid:durableId="544562120">
    <w:abstractNumId w:val="11"/>
  </w:num>
  <w:num w:numId="11" w16cid:durableId="330909862">
    <w:abstractNumId w:val="7"/>
  </w:num>
  <w:num w:numId="12" w16cid:durableId="642201736">
    <w:abstractNumId w:val="0"/>
  </w:num>
  <w:num w:numId="13" w16cid:durableId="437406733">
    <w:abstractNumId w:val="2"/>
  </w:num>
  <w:num w:numId="14" w16cid:durableId="59450999">
    <w:abstractNumId w:val="14"/>
  </w:num>
  <w:num w:numId="15" w16cid:durableId="1232084469">
    <w:abstractNumId w:val="10"/>
  </w:num>
  <w:num w:numId="16" w16cid:durableId="1347637698">
    <w:abstractNumId w:val="8"/>
  </w:num>
  <w:num w:numId="17" w16cid:durableId="79083010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4EBE"/>
    <w:rsid w:val="00082362"/>
    <w:rsid w:val="000A683E"/>
    <w:rsid w:val="000B19B9"/>
    <w:rsid w:val="000D0334"/>
    <w:rsid w:val="000D5DA7"/>
    <w:rsid w:val="000F6486"/>
    <w:rsid w:val="001100D0"/>
    <w:rsid w:val="00116940"/>
    <w:rsid w:val="00125105"/>
    <w:rsid w:val="00127233"/>
    <w:rsid w:val="00132D9E"/>
    <w:rsid w:val="0015699B"/>
    <w:rsid w:val="00182E10"/>
    <w:rsid w:val="001A33BF"/>
    <w:rsid w:val="001A3E75"/>
    <w:rsid w:val="001E4177"/>
    <w:rsid w:val="001E766C"/>
    <w:rsid w:val="001F0B24"/>
    <w:rsid w:val="001F7DC6"/>
    <w:rsid w:val="00204D23"/>
    <w:rsid w:val="0022400B"/>
    <w:rsid w:val="002421BB"/>
    <w:rsid w:val="0025796E"/>
    <w:rsid w:val="002707A2"/>
    <w:rsid w:val="002801C9"/>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81AFB"/>
    <w:rsid w:val="003A779E"/>
    <w:rsid w:val="003B2DA1"/>
    <w:rsid w:val="003D0F4D"/>
    <w:rsid w:val="003D5B0D"/>
    <w:rsid w:val="003E0499"/>
    <w:rsid w:val="003E4F80"/>
    <w:rsid w:val="003E6439"/>
    <w:rsid w:val="003F3941"/>
    <w:rsid w:val="00406575"/>
    <w:rsid w:val="00414C74"/>
    <w:rsid w:val="0042722E"/>
    <w:rsid w:val="0044528D"/>
    <w:rsid w:val="00466E39"/>
    <w:rsid w:val="0048339F"/>
    <w:rsid w:val="004A1847"/>
    <w:rsid w:val="004A305D"/>
    <w:rsid w:val="004C1448"/>
    <w:rsid w:val="004D1764"/>
    <w:rsid w:val="004F21C4"/>
    <w:rsid w:val="004F685F"/>
    <w:rsid w:val="00503D2B"/>
    <w:rsid w:val="00512F55"/>
    <w:rsid w:val="005566E8"/>
    <w:rsid w:val="00573FA5"/>
    <w:rsid w:val="00574867"/>
    <w:rsid w:val="0059092B"/>
    <w:rsid w:val="00591460"/>
    <w:rsid w:val="005A4D7E"/>
    <w:rsid w:val="005A65E0"/>
    <w:rsid w:val="005B4321"/>
    <w:rsid w:val="005C3777"/>
    <w:rsid w:val="005C5CDC"/>
    <w:rsid w:val="005D476C"/>
    <w:rsid w:val="006001B6"/>
    <w:rsid w:val="006200BF"/>
    <w:rsid w:val="006219F8"/>
    <w:rsid w:val="006302F7"/>
    <w:rsid w:val="006356EF"/>
    <w:rsid w:val="0064186C"/>
    <w:rsid w:val="00646B9F"/>
    <w:rsid w:val="00665D70"/>
    <w:rsid w:val="006900D9"/>
    <w:rsid w:val="00706C16"/>
    <w:rsid w:val="00724A07"/>
    <w:rsid w:val="007340C3"/>
    <w:rsid w:val="0074237D"/>
    <w:rsid w:val="0075235A"/>
    <w:rsid w:val="00752C5A"/>
    <w:rsid w:val="00756841"/>
    <w:rsid w:val="007649AB"/>
    <w:rsid w:val="00771D0C"/>
    <w:rsid w:val="007833AC"/>
    <w:rsid w:val="007B268C"/>
    <w:rsid w:val="007B6891"/>
    <w:rsid w:val="007B7171"/>
    <w:rsid w:val="007C0C0F"/>
    <w:rsid w:val="007C3DC2"/>
    <w:rsid w:val="007D1880"/>
    <w:rsid w:val="007E5497"/>
    <w:rsid w:val="007E6FD3"/>
    <w:rsid w:val="00806F5F"/>
    <w:rsid w:val="00820278"/>
    <w:rsid w:val="008258C9"/>
    <w:rsid w:val="008417E7"/>
    <w:rsid w:val="00844AE9"/>
    <w:rsid w:val="0084633F"/>
    <w:rsid w:val="00867F95"/>
    <w:rsid w:val="00880608"/>
    <w:rsid w:val="008843B6"/>
    <w:rsid w:val="00891928"/>
    <w:rsid w:val="008A3538"/>
    <w:rsid w:val="008A446D"/>
    <w:rsid w:val="008B25F1"/>
    <w:rsid w:val="008D180B"/>
    <w:rsid w:val="008F0EA7"/>
    <w:rsid w:val="00923EEF"/>
    <w:rsid w:val="00937E11"/>
    <w:rsid w:val="009419F9"/>
    <w:rsid w:val="00950C17"/>
    <w:rsid w:val="0095685E"/>
    <w:rsid w:val="00961B09"/>
    <w:rsid w:val="00965334"/>
    <w:rsid w:val="0097093E"/>
    <w:rsid w:val="009A0DFA"/>
    <w:rsid w:val="009A1C6F"/>
    <w:rsid w:val="009B1069"/>
    <w:rsid w:val="009B2D26"/>
    <w:rsid w:val="009C71FA"/>
    <w:rsid w:val="009C72E7"/>
    <w:rsid w:val="009C7F7E"/>
    <w:rsid w:val="009D3058"/>
    <w:rsid w:val="009F06FE"/>
    <w:rsid w:val="009F3A13"/>
    <w:rsid w:val="00A03042"/>
    <w:rsid w:val="00A122D3"/>
    <w:rsid w:val="00A14468"/>
    <w:rsid w:val="00A17F13"/>
    <w:rsid w:val="00A20739"/>
    <w:rsid w:val="00A23AF9"/>
    <w:rsid w:val="00A33C78"/>
    <w:rsid w:val="00A90EB1"/>
    <w:rsid w:val="00AB0ADB"/>
    <w:rsid w:val="00AC09B7"/>
    <w:rsid w:val="00AC506E"/>
    <w:rsid w:val="00AF0A9C"/>
    <w:rsid w:val="00B00C0E"/>
    <w:rsid w:val="00B01B1A"/>
    <w:rsid w:val="00B032D3"/>
    <w:rsid w:val="00B0381D"/>
    <w:rsid w:val="00B10478"/>
    <w:rsid w:val="00B44324"/>
    <w:rsid w:val="00B44A47"/>
    <w:rsid w:val="00B72CD3"/>
    <w:rsid w:val="00B72FFF"/>
    <w:rsid w:val="00B801CF"/>
    <w:rsid w:val="00BC3D36"/>
    <w:rsid w:val="00BD54A6"/>
    <w:rsid w:val="00BD63AB"/>
    <w:rsid w:val="00BD7F72"/>
    <w:rsid w:val="00BE0396"/>
    <w:rsid w:val="00BF7425"/>
    <w:rsid w:val="00C04FB3"/>
    <w:rsid w:val="00C11D8B"/>
    <w:rsid w:val="00C15139"/>
    <w:rsid w:val="00C330EB"/>
    <w:rsid w:val="00C50D69"/>
    <w:rsid w:val="00C5365C"/>
    <w:rsid w:val="00C754BE"/>
    <w:rsid w:val="00C76B1C"/>
    <w:rsid w:val="00C925AC"/>
    <w:rsid w:val="00CB6357"/>
    <w:rsid w:val="00CC1B26"/>
    <w:rsid w:val="00D04B14"/>
    <w:rsid w:val="00D361FD"/>
    <w:rsid w:val="00D423A2"/>
    <w:rsid w:val="00D44E26"/>
    <w:rsid w:val="00D520D8"/>
    <w:rsid w:val="00D63AC2"/>
    <w:rsid w:val="00D7383B"/>
    <w:rsid w:val="00D7788A"/>
    <w:rsid w:val="00DA231B"/>
    <w:rsid w:val="00DC39FC"/>
    <w:rsid w:val="00DE65BF"/>
    <w:rsid w:val="00DF5254"/>
    <w:rsid w:val="00E02524"/>
    <w:rsid w:val="00E154E1"/>
    <w:rsid w:val="00E16408"/>
    <w:rsid w:val="00E20894"/>
    <w:rsid w:val="00E245AB"/>
    <w:rsid w:val="00E2764C"/>
    <w:rsid w:val="00E27F2E"/>
    <w:rsid w:val="00E5009F"/>
    <w:rsid w:val="00E50AFE"/>
    <w:rsid w:val="00E66E12"/>
    <w:rsid w:val="00E75C92"/>
    <w:rsid w:val="00E771DC"/>
    <w:rsid w:val="00E8772A"/>
    <w:rsid w:val="00E90F6B"/>
    <w:rsid w:val="00E92C27"/>
    <w:rsid w:val="00EA0E3D"/>
    <w:rsid w:val="00EB5A5B"/>
    <w:rsid w:val="00EC38A7"/>
    <w:rsid w:val="00ED158C"/>
    <w:rsid w:val="00ED29B0"/>
    <w:rsid w:val="00EE1AA8"/>
    <w:rsid w:val="00F22AA9"/>
    <w:rsid w:val="00F23FEA"/>
    <w:rsid w:val="00F31EDC"/>
    <w:rsid w:val="00F462B3"/>
    <w:rsid w:val="00F5664F"/>
    <w:rsid w:val="00F666C4"/>
    <w:rsid w:val="00F76AFC"/>
    <w:rsid w:val="00FA47C0"/>
    <w:rsid w:val="00FB25A5"/>
    <w:rsid w:val="00FB5DD1"/>
    <w:rsid w:val="00FC2B5D"/>
    <w:rsid w:val="00FD467C"/>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E6FD3"/>
    <w:pPr>
      <w:spacing w:line="240" w:lineRule="exact"/>
    </w:pPr>
    <w:rPr>
      <w:vertAlign w:val="superscript"/>
    </w:rPr>
  </w:style>
  <w:style w:type="character" w:customStyle="1" w:styleId="baj">
    <w:name w:val="b_aj"/>
    <w:basedOn w:val="Fuentedeprrafopredeter"/>
    <w:rsid w:val="007E6FD3"/>
  </w:style>
  <w:style w:type="character" w:customStyle="1" w:styleId="NormalWebCar">
    <w:name w:val="Normal (Web) Car"/>
    <w:link w:val="NormalWeb"/>
    <w:uiPriority w:val="99"/>
    <w:locked/>
    <w:rsid w:val="007E6FD3"/>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E6FD3"/>
    <w:rPr>
      <w:rFonts w:ascii="Geomanist Light" w:hAnsi="Geomanist Light"/>
      <w:lang w:val="es-ES"/>
    </w:rPr>
  </w:style>
  <w:style w:type="character" w:styleId="Refdecomentario">
    <w:name w:val="annotation reference"/>
    <w:basedOn w:val="Fuentedeprrafopredeter"/>
    <w:uiPriority w:val="99"/>
    <w:semiHidden/>
    <w:unhideWhenUsed/>
    <w:rsid w:val="00B10478"/>
    <w:rPr>
      <w:sz w:val="16"/>
      <w:szCs w:val="16"/>
    </w:rPr>
  </w:style>
  <w:style w:type="paragraph" w:styleId="Textocomentario">
    <w:name w:val="annotation text"/>
    <w:basedOn w:val="Normal"/>
    <w:link w:val="TextocomentarioCar"/>
    <w:uiPriority w:val="99"/>
    <w:semiHidden/>
    <w:unhideWhenUsed/>
    <w:rsid w:val="00B10478"/>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10478"/>
    <w:rPr>
      <w:sz w:val="20"/>
      <w:szCs w:val="20"/>
    </w:rPr>
  </w:style>
  <w:style w:type="paragraph" w:styleId="Asuntodelcomentario">
    <w:name w:val="annotation subject"/>
    <w:basedOn w:val="Textocomentario"/>
    <w:next w:val="Textocomentario"/>
    <w:link w:val="AsuntodelcomentarioCar"/>
    <w:uiPriority w:val="99"/>
    <w:semiHidden/>
    <w:unhideWhenUsed/>
    <w:rsid w:val="00B10478"/>
    <w:rPr>
      <w:b/>
      <w:bCs/>
    </w:rPr>
  </w:style>
  <w:style w:type="character" w:customStyle="1" w:styleId="AsuntodelcomentarioCar">
    <w:name w:val="Asunto del comentario Car"/>
    <w:basedOn w:val="TextocomentarioCar"/>
    <w:link w:val="Asuntodelcomentario"/>
    <w:uiPriority w:val="99"/>
    <w:semiHidden/>
    <w:rsid w:val="00B1047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20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otificacionesjudiciales@eep.com.c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FEAD22F-7257-4E73-B58E-987EB74194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21</Pages>
  <Words>6946</Words>
  <Characters>37718</Characters>
  <Application>Microsoft Office Word</Application>
  <DocSecurity>0</DocSecurity>
  <Lines>725</Lines>
  <Paragraphs>141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2026-02-23T19:04:00Z</dcterms:created>
  <dcterms:modified xsi:type="dcterms:W3CDTF">2026-02-24T15:44:00Z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