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4DA66" w14:textId="77777777" w:rsidR="00150F55" w:rsidRPr="00682C93" w:rsidRDefault="00150F55" w:rsidP="00150F55">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6EDB489A" w14:textId="77777777" w:rsidR="00150F55" w:rsidRDefault="00150F55" w:rsidP="00150F55">
      <w:pPr>
        <w:spacing w:after="0" w:line="240" w:lineRule="auto"/>
        <w:jc w:val="both"/>
        <w:rPr>
          <w:rFonts w:ascii="Verdana" w:hAnsi="Verdana" w:cs="Arial"/>
          <w:b/>
          <w:lang w:val="es-MX" w:eastAsia="es-ES_tradnl"/>
        </w:rPr>
      </w:pPr>
    </w:p>
    <w:p w14:paraId="6D7D3C12" w14:textId="77777777" w:rsidR="00150F55" w:rsidRDefault="00150F55" w:rsidP="00150F55">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8766FC1" w14:textId="77777777" w:rsidR="00150F55" w:rsidRPr="00682C93" w:rsidRDefault="00150F55" w:rsidP="00150F55">
      <w:pPr>
        <w:spacing w:after="0" w:line="240" w:lineRule="auto"/>
        <w:jc w:val="both"/>
        <w:rPr>
          <w:rFonts w:ascii="Verdana" w:hAnsi="Verdana" w:cs="Arial"/>
          <w:b/>
          <w:sz w:val="20"/>
          <w:lang w:val="es-MX" w:eastAsia="es-ES_tradnl"/>
        </w:rPr>
      </w:pPr>
    </w:p>
    <w:p w14:paraId="72AA2AA2" w14:textId="4565DC37" w:rsidR="00150F55" w:rsidRPr="00682C93" w:rsidRDefault="00150F55" w:rsidP="00150F55">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w:t>
      </w:r>
      <w:r w:rsidR="001C4332">
        <w:rPr>
          <w:rFonts w:ascii="Verdana" w:hAnsi="Verdana" w:cs="Arial"/>
          <w:b/>
          <w:lang w:val="es-MX" w:eastAsia="es-ES_tradnl"/>
        </w:rPr>
        <w:t>C</w:t>
      </w:r>
      <w:r w:rsidRPr="00682C93">
        <w:rPr>
          <w:rFonts w:ascii="Verdana" w:hAnsi="Verdana" w:cs="Arial"/>
          <w:b/>
          <w:lang w:val="es-MX" w:eastAsia="es-ES_tradnl"/>
        </w:rPr>
        <w:t>elebración</w:t>
      </w:r>
      <w:r w:rsidR="001C4332">
        <w:rPr>
          <w:rFonts w:ascii="Verdana" w:hAnsi="Verdana" w:cs="Arial"/>
          <w:b/>
          <w:lang w:val="es-MX" w:eastAsia="es-ES_tradnl"/>
        </w:rPr>
        <w:t xml:space="preserve"> </w:t>
      </w:r>
      <w:r w:rsidR="001C4332" w:rsidRPr="001C4332">
        <w:rPr>
          <w:rFonts w:ascii="Verdana" w:hAnsi="Verdana" w:cs="Arial"/>
          <w:b/>
          <w:bCs/>
          <w:lang w:val="es-ES" w:eastAsia="es-ES_tradnl"/>
        </w:rPr>
        <w:t>–</w:t>
      </w:r>
      <w:r w:rsidRPr="00682C93">
        <w:rPr>
          <w:rFonts w:ascii="Verdana" w:hAnsi="Verdana" w:cs="Arial"/>
          <w:b/>
          <w:lang w:val="es-MX" w:eastAsia="es-ES_tradnl"/>
        </w:rPr>
        <w:t xml:space="preserve"> </w:t>
      </w:r>
      <w:r w:rsidR="001C4332">
        <w:rPr>
          <w:rFonts w:ascii="Verdana" w:hAnsi="Verdana" w:cs="Arial"/>
          <w:b/>
          <w:lang w:val="es-MX" w:eastAsia="es-ES_tradnl"/>
        </w:rPr>
        <w:t>L</w:t>
      </w:r>
      <w:r w:rsidRPr="00682C93">
        <w:rPr>
          <w:rFonts w:ascii="Verdana" w:hAnsi="Verdana" w:cs="Arial"/>
          <w:b/>
          <w:lang w:val="es-MX" w:eastAsia="es-ES_tradnl"/>
        </w:rPr>
        <w:t>ímite</w:t>
      </w:r>
    </w:p>
    <w:p w14:paraId="05327BDF" w14:textId="77777777" w:rsidR="00150F55" w:rsidRDefault="00150F55" w:rsidP="00150F55">
      <w:pPr>
        <w:spacing w:after="0" w:line="240" w:lineRule="auto"/>
        <w:jc w:val="both"/>
        <w:rPr>
          <w:rFonts w:ascii="Verdana" w:hAnsi="Verdana" w:cs="Arial"/>
          <w:b/>
          <w:lang w:val="es-MX" w:eastAsia="es-ES_tradnl"/>
        </w:rPr>
      </w:pPr>
    </w:p>
    <w:p w14:paraId="7CC6C697" w14:textId="77777777" w:rsidR="00150F55" w:rsidRPr="00E41F23" w:rsidRDefault="00150F55" w:rsidP="00150F55">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0BD91FA" w14:textId="77777777" w:rsidR="00150F55" w:rsidRPr="00E41F23" w:rsidRDefault="00150F55" w:rsidP="00150F55">
      <w:pPr>
        <w:spacing w:after="0" w:line="240" w:lineRule="auto"/>
        <w:jc w:val="both"/>
        <w:rPr>
          <w:rFonts w:ascii="Verdana" w:eastAsia="Calibri" w:hAnsi="Verdana" w:cs="Arial"/>
          <w:sz w:val="20"/>
        </w:rPr>
      </w:pPr>
    </w:p>
    <w:p w14:paraId="33961F3A" w14:textId="77777777" w:rsidR="00150F55" w:rsidRDefault="00150F55" w:rsidP="00150F55">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2138D435" w14:textId="77777777" w:rsidR="00150F55" w:rsidRPr="00E41F23" w:rsidRDefault="00150F55" w:rsidP="00150F55">
      <w:pPr>
        <w:widowControl w:val="0"/>
        <w:autoSpaceDE w:val="0"/>
        <w:autoSpaceDN w:val="0"/>
        <w:spacing w:after="0" w:line="240" w:lineRule="auto"/>
        <w:ind w:right="113"/>
        <w:jc w:val="both"/>
        <w:rPr>
          <w:rFonts w:ascii="Verdana" w:eastAsia="Arial" w:hAnsi="Verdana" w:cs="Arial"/>
          <w:sz w:val="20"/>
          <w:lang w:val="es-ES" w:eastAsia="es-ES" w:bidi="es-ES"/>
        </w:rPr>
      </w:pPr>
    </w:p>
    <w:p w14:paraId="1C31AA75" w14:textId="77777777" w:rsidR="00150F55" w:rsidRPr="00E41F23" w:rsidRDefault="00150F55" w:rsidP="00150F55">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864FCA2" w14:textId="77777777" w:rsidR="00150F55" w:rsidRPr="003F2A9C" w:rsidRDefault="00150F55" w:rsidP="00150F55">
      <w:pPr>
        <w:spacing w:after="0" w:line="240" w:lineRule="auto"/>
        <w:jc w:val="both"/>
        <w:rPr>
          <w:rFonts w:ascii="Verdana" w:hAnsi="Verdana" w:cs="Arial"/>
          <w:b/>
          <w:sz w:val="20"/>
          <w:lang w:val="es-MX" w:eastAsia="es-ES_tradnl"/>
        </w:rPr>
      </w:pPr>
    </w:p>
    <w:p w14:paraId="153C9A30" w14:textId="77777777" w:rsidR="00150F55" w:rsidRPr="00682C93" w:rsidRDefault="00150F55" w:rsidP="00150F55">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50F3D3EA" w14:textId="77777777" w:rsidR="00150F55" w:rsidRDefault="00150F55" w:rsidP="00150F55">
      <w:pPr>
        <w:spacing w:after="0" w:line="240" w:lineRule="auto"/>
        <w:jc w:val="both"/>
        <w:rPr>
          <w:rFonts w:ascii="Verdana" w:hAnsi="Verdana" w:cs="Arial"/>
          <w:b/>
          <w:lang w:val="es-MX" w:eastAsia="es-ES_tradnl"/>
        </w:rPr>
      </w:pPr>
    </w:p>
    <w:p w14:paraId="3515A5DB" w14:textId="77777777" w:rsidR="00150F55" w:rsidRPr="00E41F23" w:rsidRDefault="00150F55" w:rsidP="00150F55">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1A8880FA" w14:textId="77777777" w:rsidR="00150F55" w:rsidRPr="00E41F23" w:rsidRDefault="00150F55" w:rsidP="00150F55">
      <w:pPr>
        <w:spacing w:after="0" w:line="240" w:lineRule="auto"/>
        <w:jc w:val="both"/>
        <w:rPr>
          <w:rFonts w:ascii="Verdana" w:hAnsi="Verdana" w:cs="Arial"/>
          <w:b/>
          <w:lang w:eastAsia="es-ES_tradnl"/>
        </w:rPr>
      </w:pPr>
    </w:p>
    <w:p w14:paraId="01C8B610" w14:textId="77777777" w:rsidR="00150F55" w:rsidRPr="00682C93" w:rsidRDefault="00150F55" w:rsidP="00150F55">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0BFD42FB" w14:textId="77777777" w:rsidR="00150F55" w:rsidRPr="00E41F23" w:rsidRDefault="00150F55" w:rsidP="00150F55">
      <w:pPr>
        <w:spacing w:after="0" w:line="240" w:lineRule="auto"/>
        <w:jc w:val="both"/>
        <w:rPr>
          <w:rFonts w:ascii="Verdana" w:hAnsi="Verdana" w:cs="Arial"/>
          <w:b/>
          <w:sz w:val="20"/>
          <w:lang w:val="es-MX" w:eastAsia="es-ES_tradnl"/>
        </w:rPr>
      </w:pPr>
    </w:p>
    <w:p w14:paraId="0DFF4F63" w14:textId="77777777" w:rsidR="00150F55" w:rsidRPr="00E41F23" w:rsidRDefault="00150F55" w:rsidP="00150F55">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41F23">
        <w:rPr>
          <w:rFonts w:ascii="Verdana" w:eastAsia="Times New Roman" w:hAnsi="Verdana" w:cs="Arial"/>
          <w:bCs/>
          <w:sz w:val="20"/>
          <w:lang w:val="es-MX" w:eastAsia="x-none"/>
        </w:rPr>
        <w:t>ii</w:t>
      </w:r>
      <w:proofErr w:type="spellEnd"/>
      <w:r w:rsidRPr="00E41F23">
        <w:rPr>
          <w:rFonts w:ascii="Verdana" w:eastAsia="Times New Roman" w:hAnsi="Verdana" w:cs="Arial"/>
          <w:bCs/>
          <w:sz w:val="20"/>
          <w:lang w:val="es-MX" w:eastAsia="x-none"/>
        </w:rPr>
        <w:t xml:space="preserve">) los contratos de crédito público; </w:t>
      </w:r>
      <w:proofErr w:type="spellStart"/>
      <w:r w:rsidRPr="00E41F23">
        <w:rPr>
          <w:rFonts w:ascii="Verdana" w:eastAsia="Times New Roman" w:hAnsi="Verdana" w:cs="Arial"/>
          <w:bCs/>
          <w:sz w:val="20"/>
          <w:lang w:val="es-MX" w:eastAsia="x-none"/>
        </w:rPr>
        <w:t>iii</w:t>
      </w:r>
      <w:proofErr w:type="spellEnd"/>
      <w:r w:rsidRPr="00E41F23">
        <w:rPr>
          <w:rFonts w:ascii="Verdana" w:eastAsia="Times New Roman" w:hAnsi="Verdana" w:cs="Arial"/>
          <w:bCs/>
          <w:sz w:val="20"/>
          <w:lang w:val="es-MX" w:eastAsia="x-none"/>
        </w:rPr>
        <w:t xml:space="preserve">) los requeridos para cubrir las emergencias educativas, sanitarias y desastres; </w:t>
      </w:r>
      <w:proofErr w:type="spellStart"/>
      <w:r w:rsidRPr="00E41F23">
        <w:rPr>
          <w:rFonts w:ascii="Verdana" w:eastAsia="Times New Roman" w:hAnsi="Verdana" w:cs="Arial"/>
          <w:bCs/>
          <w:sz w:val="20"/>
          <w:lang w:val="es-MX" w:eastAsia="x-none"/>
        </w:rPr>
        <w:t>iv</w:t>
      </w:r>
      <w:proofErr w:type="spellEnd"/>
      <w:r w:rsidRPr="00E41F23">
        <w:rPr>
          <w:rFonts w:ascii="Verdana" w:eastAsia="Times New Roman" w:hAnsi="Verdana" w:cs="Arial"/>
          <w:bCs/>
          <w:sz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69535EA" w14:textId="77777777" w:rsidR="00150F55" w:rsidRPr="00682C93" w:rsidRDefault="00150F55" w:rsidP="00150F55">
      <w:pPr>
        <w:spacing w:after="0" w:line="240" w:lineRule="auto"/>
        <w:jc w:val="both"/>
        <w:rPr>
          <w:rFonts w:ascii="Verdana" w:hAnsi="Verdana" w:cs="Arial"/>
          <w:b/>
          <w:lang w:val="es-MX" w:eastAsia="es-ES_tradnl"/>
        </w:rPr>
      </w:pPr>
    </w:p>
    <w:p w14:paraId="75421BFF" w14:textId="77777777" w:rsidR="00150F55" w:rsidRPr="00682C93" w:rsidRDefault="00150F55" w:rsidP="00150F55">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043900DC" w14:textId="77777777" w:rsidR="00150F55" w:rsidRDefault="00150F55" w:rsidP="00150F55">
      <w:pPr>
        <w:spacing w:after="0" w:line="240" w:lineRule="auto"/>
        <w:rPr>
          <w:rFonts w:ascii="Verdana" w:hAnsi="Verdana" w:cs="Arial"/>
          <w:lang w:val="es-MX" w:eastAsia="es-ES_tradnl"/>
        </w:rPr>
      </w:pPr>
    </w:p>
    <w:p w14:paraId="19E2B37E" w14:textId="77777777" w:rsidR="00150F55" w:rsidRDefault="00150F55" w:rsidP="00150F55">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6F0BAD93" w14:textId="77777777" w:rsidR="00150F55" w:rsidRPr="00150F55" w:rsidRDefault="00150F55" w:rsidP="00BA1046">
      <w:pPr>
        <w:spacing w:after="0"/>
        <w:rPr>
          <w:rFonts w:ascii="Verdana" w:hAnsi="Verdana"/>
          <w:lang w:val="es-MX"/>
        </w:rPr>
      </w:pPr>
    </w:p>
    <w:p w14:paraId="3A5DEF43" w14:textId="6FBE0F48" w:rsidR="00150F55" w:rsidRPr="00150F55" w:rsidRDefault="00150F55" w:rsidP="00150F55">
      <w:pPr>
        <w:spacing w:after="0"/>
        <w:rPr>
          <w:rFonts w:ascii="Verdana" w:hAnsi="Verdana"/>
          <w:b/>
          <w:lang w:val="es-MX"/>
        </w:rPr>
      </w:pPr>
      <w:r w:rsidRPr="00150F55">
        <w:rPr>
          <w:rFonts w:ascii="Verdana" w:hAnsi="Verdana"/>
          <w:b/>
          <w:lang w:val="es-MX"/>
        </w:rPr>
        <w:t>CONTRATACIÓN DIRECTA – Peritos –</w:t>
      </w:r>
      <w:r w:rsidR="001C4332">
        <w:rPr>
          <w:rFonts w:ascii="Verdana" w:hAnsi="Verdana"/>
          <w:b/>
          <w:lang w:val="es-MX"/>
        </w:rPr>
        <w:t xml:space="preserve"> </w:t>
      </w:r>
      <w:r w:rsidRPr="00150F55">
        <w:rPr>
          <w:rFonts w:ascii="Verdana" w:hAnsi="Verdana"/>
          <w:b/>
          <w:lang w:val="es-MX"/>
        </w:rPr>
        <w:t xml:space="preserve">Características – Intuito Persona </w:t>
      </w:r>
    </w:p>
    <w:p w14:paraId="21DC3351" w14:textId="7CFA3A10" w:rsidR="00150F55" w:rsidRDefault="00150F55" w:rsidP="00150F55">
      <w:pPr>
        <w:spacing w:after="0" w:line="240" w:lineRule="auto"/>
        <w:jc w:val="both"/>
        <w:rPr>
          <w:rFonts w:ascii="Verdana" w:hAnsi="Verdana"/>
          <w:lang w:val="es-MX"/>
        </w:rPr>
      </w:pPr>
    </w:p>
    <w:p w14:paraId="3E150EDD" w14:textId="4951A19A" w:rsidR="00150F55" w:rsidRPr="00150F55" w:rsidRDefault="00150F55" w:rsidP="00150F55">
      <w:pPr>
        <w:spacing w:after="0" w:line="240" w:lineRule="auto"/>
        <w:jc w:val="both"/>
        <w:rPr>
          <w:rFonts w:ascii="Verdana" w:hAnsi="Verdana"/>
          <w:sz w:val="20"/>
          <w:lang w:val="es-ES"/>
        </w:rPr>
      </w:pPr>
      <w:r w:rsidRPr="00150F55">
        <w:rPr>
          <w:rFonts w:ascii="Verdana" w:hAnsi="Verdana"/>
          <w:sz w:val="20"/>
          <w:lang w:val="es-ES_tradnl"/>
        </w:rPr>
        <w:t xml:space="preserve">La contratación directa de peritos como causal implica determinar si esta debe atender el carácter </w:t>
      </w:r>
      <w:proofErr w:type="spellStart"/>
      <w:r w:rsidRPr="00150F55">
        <w:rPr>
          <w:rFonts w:ascii="Verdana" w:hAnsi="Verdana"/>
          <w:i/>
          <w:sz w:val="20"/>
          <w:lang w:val="es-ES_tradnl"/>
        </w:rPr>
        <w:t>intuitu</w:t>
      </w:r>
      <w:proofErr w:type="spellEnd"/>
      <w:r w:rsidRPr="00150F55">
        <w:rPr>
          <w:rFonts w:ascii="Verdana" w:hAnsi="Verdana"/>
          <w:i/>
          <w:sz w:val="20"/>
          <w:lang w:val="es-ES_tradnl"/>
        </w:rPr>
        <w:t xml:space="preserve"> </w:t>
      </w:r>
      <w:proofErr w:type="spellStart"/>
      <w:r w:rsidRPr="00150F55">
        <w:rPr>
          <w:rFonts w:ascii="Verdana" w:hAnsi="Verdana"/>
          <w:i/>
          <w:sz w:val="20"/>
          <w:lang w:val="es-ES_tradnl"/>
        </w:rPr>
        <w:t>personae</w:t>
      </w:r>
      <w:proofErr w:type="spellEnd"/>
      <w:r w:rsidRPr="00150F55">
        <w:rPr>
          <w:rFonts w:ascii="Verdana" w:hAnsi="Verdana"/>
          <w:sz w:val="20"/>
          <w:lang w:val="es-ES_tradnl"/>
        </w:rPr>
        <w:t xml:space="preserve">. Para ello, se precisa que el carácter </w:t>
      </w:r>
      <w:proofErr w:type="spellStart"/>
      <w:r w:rsidRPr="00150F55">
        <w:rPr>
          <w:rFonts w:ascii="Verdana" w:hAnsi="Verdana"/>
          <w:sz w:val="20"/>
          <w:lang w:val="es-ES_tradnl"/>
        </w:rPr>
        <w:t>intuitu</w:t>
      </w:r>
      <w:proofErr w:type="spellEnd"/>
      <w:r w:rsidRPr="00150F55">
        <w:rPr>
          <w:rFonts w:ascii="Verdana" w:hAnsi="Verdana"/>
          <w:sz w:val="20"/>
          <w:lang w:val="es-ES_tradnl"/>
        </w:rPr>
        <w:t xml:space="preserve"> </w:t>
      </w:r>
      <w:proofErr w:type="spellStart"/>
      <w:r w:rsidRPr="00150F55">
        <w:rPr>
          <w:rFonts w:ascii="Verdana" w:hAnsi="Verdana"/>
          <w:sz w:val="20"/>
          <w:lang w:val="es-ES_tradnl"/>
        </w:rPr>
        <w:t>personae</w:t>
      </w:r>
      <w:proofErr w:type="spellEnd"/>
      <w:r w:rsidRPr="00150F55">
        <w:rPr>
          <w:rFonts w:ascii="Verdana" w:hAnsi="Verdana"/>
          <w:sz w:val="20"/>
          <w:lang w:val="es-ES_tradnl"/>
        </w:rPr>
        <w:t xml:space="preserve"> significa </w:t>
      </w:r>
      <w:r w:rsidRPr="00150F55">
        <w:rPr>
          <w:rFonts w:ascii="Verdana" w:hAnsi="Verdana"/>
          <w:i/>
          <w:sz w:val="20"/>
          <w:lang w:val="es-ES"/>
        </w:rPr>
        <w:t>“en atención a la persona”,</w:t>
      </w:r>
      <w:r w:rsidRPr="00150F55">
        <w:rPr>
          <w:rFonts w:ascii="Verdana" w:hAnsi="Verdana"/>
          <w:sz w:val="20"/>
          <w:lang w:val="es-ES"/>
        </w:rPr>
        <w:t xml:space="preserve"> es decir, que algunos negocios jurídicos se suscriben en consideración del talento o aptitud de un </w:t>
      </w:r>
      <w:proofErr w:type="spellStart"/>
      <w:r w:rsidRPr="00150F55">
        <w:rPr>
          <w:rFonts w:ascii="Verdana" w:hAnsi="Verdana"/>
          <w:sz w:val="20"/>
          <w:lang w:val="es-ES"/>
        </w:rPr>
        <w:t>sujeto.Esta</w:t>
      </w:r>
      <w:proofErr w:type="spellEnd"/>
      <w:r w:rsidRPr="00150F55">
        <w:rPr>
          <w:rFonts w:ascii="Verdana" w:hAnsi="Verdana"/>
          <w:sz w:val="20"/>
          <w:lang w:val="es-ES"/>
        </w:rPr>
        <w:t xml:space="preserve"> característica, en el derecho privado, implica que el negocio jurídico se suscribe en consideración del talento o aptitud del deudor para la ejecución de la obra o para la prestación del servicio. Si se analiza el carácter </w:t>
      </w:r>
      <w:proofErr w:type="spellStart"/>
      <w:r w:rsidRPr="00150F55">
        <w:rPr>
          <w:rFonts w:ascii="Verdana" w:hAnsi="Verdana"/>
          <w:i/>
          <w:sz w:val="20"/>
          <w:lang w:val="es-ES"/>
        </w:rPr>
        <w:t>intuitu</w:t>
      </w:r>
      <w:proofErr w:type="spellEnd"/>
      <w:r w:rsidRPr="00150F55">
        <w:rPr>
          <w:rFonts w:ascii="Verdana" w:hAnsi="Verdana"/>
          <w:i/>
          <w:sz w:val="20"/>
          <w:lang w:val="es-ES"/>
        </w:rPr>
        <w:t xml:space="preserve"> </w:t>
      </w:r>
      <w:proofErr w:type="spellStart"/>
      <w:r w:rsidRPr="00150F55">
        <w:rPr>
          <w:rFonts w:ascii="Verdana" w:hAnsi="Verdana"/>
          <w:i/>
          <w:sz w:val="20"/>
          <w:lang w:val="es-ES"/>
        </w:rPr>
        <w:t>personae</w:t>
      </w:r>
      <w:proofErr w:type="spellEnd"/>
      <w:r w:rsidRPr="00150F55">
        <w:rPr>
          <w:rFonts w:ascii="Verdana" w:hAnsi="Verdana"/>
          <w:i/>
          <w:sz w:val="20"/>
          <w:lang w:val="es-ES"/>
        </w:rPr>
        <w:t>,</w:t>
      </w:r>
      <w:r w:rsidRPr="00150F55">
        <w:rPr>
          <w:rFonts w:ascii="Verdana" w:hAnsi="Verdana"/>
          <w:sz w:val="20"/>
          <w:lang w:val="es-ES"/>
        </w:rPr>
        <w:t xml:space="preserve"> en estricto sentido, en la Ley 80, tiene dificultades, pues no se podría autorizar la cesión del contrato ni mucho menos se podría subcontratar por las mismas calidades y aptitudes que se le exige al contratista.</w:t>
      </w:r>
    </w:p>
    <w:p w14:paraId="5BB16577" w14:textId="77777777" w:rsidR="00150F55" w:rsidRPr="00150F55" w:rsidRDefault="00150F55" w:rsidP="00150F55">
      <w:pPr>
        <w:spacing w:after="0" w:line="240" w:lineRule="auto"/>
        <w:jc w:val="both"/>
        <w:rPr>
          <w:rFonts w:ascii="Verdana" w:hAnsi="Verdana"/>
          <w:sz w:val="20"/>
          <w:lang w:val="es-ES"/>
        </w:rPr>
      </w:pPr>
    </w:p>
    <w:p w14:paraId="48E80C53" w14:textId="68F8F8FA" w:rsidR="00150F55" w:rsidRPr="00150F55" w:rsidRDefault="00150F55" w:rsidP="00150F55">
      <w:pPr>
        <w:spacing w:after="0" w:line="240" w:lineRule="auto"/>
        <w:jc w:val="both"/>
        <w:rPr>
          <w:rFonts w:ascii="Verdana" w:hAnsi="Verdana"/>
          <w:bCs/>
          <w:i/>
          <w:sz w:val="20"/>
        </w:rPr>
      </w:pPr>
      <w:r w:rsidRPr="00150F55">
        <w:rPr>
          <w:rFonts w:ascii="Verdana" w:hAnsi="Verdana"/>
          <w:bCs/>
          <w:sz w:val="20"/>
        </w:rPr>
        <w:t xml:space="preserve">En materia del Sistema de Compras y Contratación Pública, el artículo 41 de la ley 80 de 1993 expone una regla especial que se aplica de manera preferente a las normas contenidas en el Código de Comercio sobre cesión de contratos, y es la contenida en el inciso tercero, el cual prescribe: </w:t>
      </w:r>
      <w:r w:rsidRPr="00150F55">
        <w:rPr>
          <w:rFonts w:ascii="Verdana" w:hAnsi="Verdana"/>
          <w:i/>
          <w:sz w:val="20"/>
        </w:rPr>
        <w:t xml:space="preserve">“[…] Los contratos estatales son "Intuito </w:t>
      </w:r>
      <w:proofErr w:type="spellStart"/>
      <w:r w:rsidRPr="00150F55">
        <w:rPr>
          <w:rFonts w:ascii="Verdana" w:hAnsi="Verdana"/>
          <w:i/>
          <w:sz w:val="20"/>
        </w:rPr>
        <w:t>personae</w:t>
      </w:r>
      <w:proofErr w:type="spellEnd"/>
      <w:r w:rsidRPr="00150F55">
        <w:rPr>
          <w:rFonts w:ascii="Verdana" w:hAnsi="Verdana"/>
          <w:i/>
          <w:sz w:val="20"/>
        </w:rPr>
        <w:t xml:space="preserve">" </w:t>
      </w:r>
      <w:r w:rsidRPr="00150F55">
        <w:rPr>
          <w:rFonts w:ascii="Verdana" w:hAnsi="Verdana"/>
          <w:sz w:val="20"/>
        </w:rPr>
        <w:t>(sic)</w:t>
      </w:r>
      <w:r w:rsidRPr="00150F55">
        <w:rPr>
          <w:rFonts w:ascii="Verdana" w:hAnsi="Verdana"/>
          <w:i/>
          <w:sz w:val="20"/>
        </w:rPr>
        <w:t xml:space="preserve"> y, en consecuencia, una vez celebrados no podrán cederse sin previa autorización escrita de la entidad contratante (…)”.</w:t>
      </w:r>
      <w:r w:rsidRPr="00150F55">
        <w:rPr>
          <w:rFonts w:ascii="Verdana" w:hAnsi="Verdana"/>
          <w:bCs/>
          <w:i/>
          <w:sz w:val="20"/>
        </w:rPr>
        <w:t xml:space="preserve"> </w:t>
      </w:r>
      <w:r w:rsidRPr="00150F55">
        <w:rPr>
          <w:rFonts w:ascii="Verdana" w:hAnsi="Verdana"/>
          <w:bCs/>
          <w:sz w:val="20"/>
        </w:rPr>
        <w:t>Al respecto, el Consejo de Estado expresa que</w:t>
      </w:r>
      <w:r w:rsidRPr="00150F55">
        <w:rPr>
          <w:rFonts w:ascii="Verdana" w:hAnsi="Verdana"/>
          <w:bCs/>
          <w:i/>
          <w:sz w:val="20"/>
        </w:rPr>
        <w:t xml:space="preserve"> </w:t>
      </w:r>
      <w:r w:rsidRPr="00150F55">
        <w:rPr>
          <w:rFonts w:ascii="Verdana" w:hAnsi="Verdana"/>
          <w:bCs/>
          <w:sz w:val="20"/>
        </w:rPr>
        <w:t xml:space="preserve">esta disposición tiene un sustento, ya que, sin excepción alguna e independientemente del modo de contratación que se adelante, los negocios celebrados con los contratistas, se derivan de sus calidades técnicas, económicas y financieras, con el fin de cumplir los fines estatales contenidos en el artículo 3 de la ley 80 de 1993; por lo tanto, en consideración a que los contratos estatales tienen la característica de ser </w:t>
      </w:r>
      <w:r w:rsidRPr="00150F55">
        <w:rPr>
          <w:rFonts w:ascii="Verdana" w:hAnsi="Verdana"/>
          <w:bCs/>
          <w:i/>
          <w:sz w:val="20"/>
        </w:rPr>
        <w:t>“</w:t>
      </w:r>
      <w:proofErr w:type="spellStart"/>
      <w:r w:rsidRPr="00150F55">
        <w:rPr>
          <w:rFonts w:ascii="Verdana" w:hAnsi="Verdana"/>
          <w:bCs/>
          <w:i/>
          <w:sz w:val="20"/>
        </w:rPr>
        <w:t>intuitu</w:t>
      </w:r>
      <w:proofErr w:type="spellEnd"/>
      <w:r w:rsidRPr="00150F55">
        <w:rPr>
          <w:rFonts w:ascii="Verdana" w:hAnsi="Verdana"/>
          <w:bCs/>
          <w:i/>
          <w:sz w:val="20"/>
        </w:rPr>
        <w:t xml:space="preserve"> </w:t>
      </w:r>
      <w:proofErr w:type="spellStart"/>
      <w:r w:rsidRPr="00150F55">
        <w:rPr>
          <w:rFonts w:ascii="Verdana" w:hAnsi="Verdana"/>
          <w:bCs/>
          <w:i/>
          <w:sz w:val="20"/>
        </w:rPr>
        <w:t>personae</w:t>
      </w:r>
      <w:proofErr w:type="spellEnd"/>
      <w:r w:rsidRPr="00150F55">
        <w:rPr>
          <w:rFonts w:ascii="Verdana" w:hAnsi="Verdana"/>
          <w:bCs/>
          <w:i/>
          <w:sz w:val="20"/>
        </w:rPr>
        <w:t xml:space="preserve">”, </w:t>
      </w:r>
      <w:r w:rsidRPr="00150F55">
        <w:rPr>
          <w:rFonts w:ascii="Verdana" w:hAnsi="Verdana"/>
          <w:bCs/>
          <w:sz w:val="20"/>
        </w:rPr>
        <w:t>siendo necesario la autorización previa y escrita de la misma.</w:t>
      </w:r>
      <w:r w:rsidRPr="00150F55">
        <w:rPr>
          <w:rFonts w:ascii="Verdana" w:hAnsi="Verdana"/>
          <w:bCs/>
          <w:i/>
          <w:sz w:val="20"/>
        </w:rPr>
        <w:t xml:space="preserve">  </w:t>
      </w:r>
    </w:p>
    <w:p w14:paraId="26925FF7" w14:textId="77777777" w:rsidR="00150F55" w:rsidRPr="00150F55" w:rsidRDefault="00150F55" w:rsidP="00150F55">
      <w:pPr>
        <w:spacing w:after="0"/>
        <w:jc w:val="both"/>
        <w:rPr>
          <w:rFonts w:ascii="Verdana" w:hAnsi="Verdana"/>
          <w:b/>
        </w:rPr>
      </w:pPr>
    </w:p>
    <w:p w14:paraId="6C5907F0" w14:textId="45A3CE46" w:rsidR="00150F55" w:rsidRDefault="00150F55" w:rsidP="00150F55">
      <w:pPr>
        <w:spacing w:after="0"/>
        <w:jc w:val="both"/>
        <w:rPr>
          <w:rFonts w:ascii="Verdana" w:hAnsi="Verdana"/>
          <w:b/>
          <w:lang w:val="es-MX"/>
        </w:rPr>
      </w:pPr>
      <w:r w:rsidRPr="00150F55">
        <w:rPr>
          <w:rFonts w:ascii="Verdana" w:hAnsi="Verdana"/>
          <w:b/>
          <w:lang w:val="es-MX"/>
        </w:rPr>
        <w:t>LEY DE GARANTÍAS – Contratación Directa – Peritos – Artículo 222 – Posibi</w:t>
      </w:r>
      <w:r>
        <w:rPr>
          <w:rFonts w:ascii="Verdana" w:hAnsi="Verdana"/>
          <w:b/>
          <w:lang w:val="es-MX"/>
        </w:rPr>
        <w:t>lidad – Excepción – Artículo 33</w:t>
      </w:r>
    </w:p>
    <w:p w14:paraId="382D2481" w14:textId="5A338E1A" w:rsidR="00150F55" w:rsidRDefault="00150F55" w:rsidP="00150F55">
      <w:pPr>
        <w:spacing w:after="0"/>
        <w:jc w:val="both"/>
        <w:rPr>
          <w:rFonts w:ascii="Verdana" w:hAnsi="Verdana"/>
          <w:b/>
          <w:lang w:val="es-MX"/>
        </w:rPr>
      </w:pPr>
    </w:p>
    <w:p w14:paraId="12F83EDD" w14:textId="6A5715F0" w:rsidR="00150F55" w:rsidRDefault="00150F55" w:rsidP="00150F55">
      <w:pPr>
        <w:spacing w:after="0" w:line="240" w:lineRule="auto"/>
        <w:jc w:val="both"/>
        <w:rPr>
          <w:rFonts w:ascii="Verdana" w:hAnsi="Verdana"/>
          <w:sz w:val="20"/>
          <w:lang w:val="es-ES_tradnl"/>
        </w:rPr>
      </w:pPr>
      <w:r w:rsidRPr="00150F55">
        <w:rPr>
          <w:rFonts w:ascii="Verdana" w:hAnsi="Verdana"/>
          <w:sz w:val="20"/>
          <w:lang w:val="es-ES_tradnl"/>
        </w:rPr>
        <w:t xml:space="preserve">Por expresa disposición legal, la contratación directa de peritos y asesores técnicos para la finalidad prevista en la nueva causal del literal k) del numeral 4° del artículo 2 de la Ley 1150 de 2007 comporta una </w:t>
      </w:r>
      <w:r w:rsidRPr="00150F55">
        <w:rPr>
          <w:rFonts w:ascii="Verdana" w:hAnsi="Verdana"/>
          <w:i/>
          <w:iCs/>
          <w:sz w:val="20"/>
          <w:lang w:val="es-ES_tradnl"/>
        </w:rPr>
        <w:t>excepción</w:t>
      </w:r>
      <w:r w:rsidRPr="00150F55">
        <w:rPr>
          <w:rFonts w:ascii="Verdana" w:hAnsi="Verdana"/>
          <w:sz w:val="20"/>
          <w:lang w:val="es-ES_tradnl"/>
        </w:rPr>
        <w:t xml:space="preserve"> a la restricción de la contratación directa de las entidades estatales prevista en la Ley de Garantías Electorales –Ley 996 de 2005– por lo que una entidad estatal que requiera aportar o contradecir un dictamen pericial, dentro de un proceso judicial, podrá contratar directamente al perito o asesor técnico que requiera, aun en vigencia la prohibición establecida en el artículo 33 de la Ley 996 de 2005, esto es, durante los cuatro meses anteriores a las elecciones presidenciales y hasta la fecha al cual el presidente sea elegido. Esta excepción se regula en el numeral 1 del artículo 222 de la Ley 1437 de 2011, de acuerdo con la modificación del artículo 58 de la Ley 2080 de 2021. En tal sentido, se encuentra que la contratación realizada por entidades públicas para la selección de peritos expertos o asesores técnicos para presentar o contradecir el dictamen pericial en procesos judiciales, sería una excepción </w:t>
      </w:r>
      <w:r w:rsidRPr="00150F55">
        <w:rPr>
          <w:rFonts w:ascii="Verdana" w:hAnsi="Verdana"/>
          <w:sz w:val="20"/>
          <w:lang w:val="es-ES_tradnl"/>
        </w:rPr>
        <w:lastRenderedPageBreak/>
        <w:t xml:space="preserve">adicional a las dispuestas en el inciso segundo del artículo 33 de la Ley 1996 de 2005 – Ley de Garantías Electorales-. </w:t>
      </w:r>
    </w:p>
    <w:p w14:paraId="29F18B5B" w14:textId="77777777" w:rsidR="00150F55" w:rsidRPr="00150F55" w:rsidRDefault="00150F55" w:rsidP="00150F55">
      <w:pPr>
        <w:spacing w:after="0" w:line="240" w:lineRule="auto"/>
        <w:jc w:val="both"/>
        <w:rPr>
          <w:rFonts w:ascii="Verdana" w:hAnsi="Verdana"/>
          <w:sz w:val="20"/>
          <w:lang w:val="es-ES_tradnl"/>
        </w:rPr>
      </w:pPr>
    </w:p>
    <w:p w14:paraId="5890664C" w14:textId="77777777" w:rsidR="00150F55" w:rsidRPr="00150F55" w:rsidRDefault="00150F55" w:rsidP="00150F55">
      <w:pPr>
        <w:spacing w:after="0" w:line="240" w:lineRule="auto"/>
        <w:jc w:val="both"/>
        <w:rPr>
          <w:rFonts w:ascii="Verdana" w:hAnsi="Verdana"/>
          <w:sz w:val="20"/>
          <w:lang w:val="es-ES_tradnl"/>
        </w:rPr>
      </w:pPr>
      <w:r w:rsidRPr="00150F55">
        <w:rPr>
          <w:rFonts w:ascii="Verdana" w:hAnsi="Verdana"/>
          <w:sz w:val="20"/>
          <w:lang w:val="es-ES_tradnl"/>
        </w:rPr>
        <w:t xml:space="preserve">De otro lado, cabe resaltar que tanto el artículo 82 que adicionó la causal de contratación directa, como el artículo 58 que dispuso las reglas especiales de las entidades públicas para la prueba pericial, entraron en vigor a partir del 25 de enero de 2021, fecha en que se publicó la Ley 2080 de 2021, por lo que su aplicación directa inició a partir de esa fecha en los términos previstos en el artículo 86 de la ley, sin que se observe que la norma haya deferido los efectos jurídicos de esos artículos a la existencia de una reglamentación posterior que provenga del Gobierno Nacional, en ejercicio de la competencia prevista en el artículo 189.11 de la Constitución Política. </w:t>
      </w:r>
    </w:p>
    <w:p w14:paraId="06DF6207" w14:textId="17071E08" w:rsidR="00150F55" w:rsidRDefault="00150F55" w:rsidP="00150F55">
      <w:pPr>
        <w:spacing w:after="0"/>
        <w:jc w:val="both"/>
        <w:rPr>
          <w:rFonts w:ascii="Verdana" w:hAnsi="Verdana"/>
          <w:b/>
          <w:lang w:val="es-ES_tradnl"/>
        </w:rPr>
      </w:pPr>
    </w:p>
    <w:p w14:paraId="0717DA8C" w14:textId="19A79298" w:rsidR="00150F55" w:rsidRDefault="00150F55" w:rsidP="00150F55">
      <w:pPr>
        <w:spacing w:after="0"/>
        <w:jc w:val="both"/>
        <w:rPr>
          <w:rFonts w:ascii="Verdana" w:hAnsi="Verdana"/>
          <w:b/>
          <w:lang w:val="es-ES_tradnl"/>
        </w:rPr>
      </w:pPr>
    </w:p>
    <w:p w14:paraId="4CAF8897" w14:textId="7B7173A6" w:rsidR="00150F55" w:rsidRDefault="00150F55" w:rsidP="00150F55">
      <w:pPr>
        <w:spacing w:after="0"/>
        <w:jc w:val="both"/>
        <w:rPr>
          <w:rFonts w:ascii="Verdana" w:hAnsi="Verdana"/>
          <w:b/>
          <w:lang w:val="es-ES_tradnl"/>
        </w:rPr>
      </w:pPr>
    </w:p>
    <w:p w14:paraId="4A6E96F3" w14:textId="5902CDE6" w:rsidR="00150F55" w:rsidRDefault="00150F55" w:rsidP="00150F55">
      <w:pPr>
        <w:spacing w:after="0"/>
        <w:jc w:val="both"/>
        <w:rPr>
          <w:rFonts w:ascii="Verdana" w:hAnsi="Verdana"/>
          <w:b/>
          <w:lang w:val="es-ES_tradnl"/>
        </w:rPr>
      </w:pPr>
    </w:p>
    <w:p w14:paraId="5BA1D2C9" w14:textId="76E33B97" w:rsidR="00150F55" w:rsidRDefault="00150F55" w:rsidP="00150F55">
      <w:pPr>
        <w:spacing w:after="0"/>
        <w:jc w:val="both"/>
        <w:rPr>
          <w:rFonts w:ascii="Verdana" w:hAnsi="Verdana"/>
          <w:b/>
          <w:lang w:val="es-ES_tradnl"/>
        </w:rPr>
      </w:pPr>
    </w:p>
    <w:p w14:paraId="0671FC81" w14:textId="39B22649" w:rsidR="00150F55" w:rsidRDefault="00150F55" w:rsidP="00150F55">
      <w:pPr>
        <w:spacing w:after="0"/>
        <w:jc w:val="both"/>
        <w:rPr>
          <w:rFonts w:ascii="Verdana" w:hAnsi="Verdana"/>
          <w:b/>
          <w:lang w:val="es-ES_tradnl"/>
        </w:rPr>
      </w:pPr>
    </w:p>
    <w:p w14:paraId="0273846F" w14:textId="25D656EE" w:rsidR="00150F55" w:rsidRDefault="00150F55" w:rsidP="00150F55">
      <w:pPr>
        <w:spacing w:after="0"/>
        <w:jc w:val="both"/>
        <w:rPr>
          <w:rFonts w:ascii="Verdana" w:hAnsi="Verdana"/>
          <w:b/>
          <w:lang w:val="es-ES_tradnl"/>
        </w:rPr>
      </w:pPr>
    </w:p>
    <w:p w14:paraId="2AD1A65A" w14:textId="2243D7B4" w:rsidR="00150F55" w:rsidRDefault="00150F55" w:rsidP="00150F55">
      <w:pPr>
        <w:spacing w:after="0"/>
        <w:jc w:val="both"/>
        <w:rPr>
          <w:rFonts w:ascii="Verdana" w:hAnsi="Verdana"/>
          <w:b/>
          <w:lang w:val="es-ES_tradnl"/>
        </w:rPr>
      </w:pPr>
    </w:p>
    <w:p w14:paraId="1FB6D282" w14:textId="02D3573F" w:rsidR="00150F55" w:rsidRDefault="00150F55" w:rsidP="00150F55">
      <w:pPr>
        <w:spacing w:after="0"/>
        <w:jc w:val="both"/>
        <w:rPr>
          <w:rFonts w:ascii="Verdana" w:hAnsi="Verdana"/>
          <w:b/>
          <w:lang w:val="es-ES_tradnl"/>
        </w:rPr>
      </w:pPr>
    </w:p>
    <w:p w14:paraId="00C6C9B5" w14:textId="3A796619" w:rsidR="00150F55" w:rsidRDefault="00150F55" w:rsidP="00150F55">
      <w:pPr>
        <w:spacing w:after="0"/>
        <w:jc w:val="both"/>
        <w:rPr>
          <w:rFonts w:ascii="Verdana" w:hAnsi="Verdana"/>
          <w:b/>
          <w:lang w:val="es-ES_tradnl"/>
        </w:rPr>
      </w:pPr>
    </w:p>
    <w:p w14:paraId="5E4EA040" w14:textId="070A41CB" w:rsidR="00150F55" w:rsidRDefault="00150F55" w:rsidP="00150F55">
      <w:pPr>
        <w:spacing w:after="0"/>
        <w:jc w:val="both"/>
        <w:rPr>
          <w:rFonts w:ascii="Verdana" w:hAnsi="Verdana"/>
          <w:b/>
          <w:lang w:val="es-ES_tradnl"/>
        </w:rPr>
      </w:pPr>
    </w:p>
    <w:p w14:paraId="2F8ACA9C" w14:textId="6AD14C6B" w:rsidR="00150F55" w:rsidRDefault="00150F55" w:rsidP="00150F55">
      <w:pPr>
        <w:spacing w:after="0"/>
        <w:jc w:val="both"/>
        <w:rPr>
          <w:rFonts w:ascii="Verdana" w:hAnsi="Verdana"/>
          <w:b/>
          <w:lang w:val="es-ES_tradnl"/>
        </w:rPr>
      </w:pPr>
    </w:p>
    <w:p w14:paraId="7A6D85AD" w14:textId="69DE971F" w:rsidR="00150F55" w:rsidRDefault="00150F55" w:rsidP="00150F55">
      <w:pPr>
        <w:spacing w:after="0"/>
        <w:jc w:val="both"/>
        <w:rPr>
          <w:rFonts w:ascii="Verdana" w:hAnsi="Verdana"/>
          <w:b/>
          <w:lang w:val="es-ES_tradnl"/>
        </w:rPr>
      </w:pPr>
    </w:p>
    <w:p w14:paraId="1B586857" w14:textId="6DF4ECD9" w:rsidR="00150F55" w:rsidRDefault="00150F55" w:rsidP="00150F55">
      <w:pPr>
        <w:spacing w:after="0"/>
        <w:jc w:val="both"/>
        <w:rPr>
          <w:rFonts w:ascii="Verdana" w:hAnsi="Verdana"/>
          <w:b/>
          <w:lang w:val="es-ES_tradnl"/>
        </w:rPr>
      </w:pPr>
    </w:p>
    <w:p w14:paraId="682F253C" w14:textId="3017AFE8" w:rsidR="00150F55" w:rsidRDefault="00150F55" w:rsidP="00150F55">
      <w:pPr>
        <w:spacing w:after="0"/>
        <w:jc w:val="both"/>
        <w:rPr>
          <w:rFonts w:ascii="Verdana" w:hAnsi="Verdana"/>
          <w:b/>
          <w:lang w:val="es-ES_tradnl"/>
        </w:rPr>
      </w:pPr>
    </w:p>
    <w:p w14:paraId="17C41759" w14:textId="0F4B8737" w:rsidR="00150F55" w:rsidRDefault="00150F55" w:rsidP="00150F55">
      <w:pPr>
        <w:spacing w:after="0"/>
        <w:jc w:val="both"/>
        <w:rPr>
          <w:rFonts w:ascii="Verdana" w:hAnsi="Verdana"/>
          <w:b/>
          <w:lang w:val="es-ES_tradnl"/>
        </w:rPr>
      </w:pPr>
    </w:p>
    <w:p w14:paraId="5F8F0991" w14:textId="6264D266" w:rsidR="00150F55" w:rsidRDefault="00150F55" w:rsidP="00150F55">
      <w:pPr>
        <w:spacing w:after="0"/>
        <w:jc w:val="both"/>
        <w:rPr>
          <w:rFonts w:ascii="Verdana" w:hAnsi="Verdana"/>
          <w:b/>
          <w:lang w:val="es-ES_tradnl"/>
        </w:rPr>
      </w:pPr>
    </w:p>
    <w:p w14:paraId="50E88578" w14:textId="37221AA8" w:rsidR="00150F55" w:rsidRDefault="00150F55" w:rsidP="00150F55">
      <w:pPr>
        <w:spacing w:after="0"/>
        <w:jc w:val="both"/>
        <w:rPr>
          <w:rFonts w:ascii="Verdana" w:hAnsi="Verdana"/>
          <w:b/>
          <w:lang w:val="es-ES_tradnl"/>
        </w:rPr>
      </w:pPr>
    </w:p>
    <w:p w14:paraId="3265635E" w14:textId="3D87DEA1" w:rsidR="00150F55" w:rsidRDefault="00150F55" w:rsidP="00150F55">
      <w:pPr>
        <w:spacing w:after="0"/>
        <w:jc w:val="both"/>
        <w:rPr>
          <w:rFonts w:ascii="Verdana" w:hAnsi="Verdana"/>
          <w:b/>
          <w:lang w:val="es-ES_tradnl"/>
        </w:rPr>
      </w:pPr>
    </w:p>
    <w:p w14:paraId="2074952A" w14:textId="74B3B954" w:rsidR="00150F55" w:rsidRDefault="00150F55" w:rsidP="00150F55">
      <w:pPr>
        <w:spacing w:after="0"/>
        <w:jc w:val="both"/>
        <w:rPr>
          <w:rFonts w:ascii="Verdana" w:hAnsi="Verdana"/>
          <w:b/>
          <w:lang w:val="es-ES_tradnl"/>
        </w:rPr>
      </w:pPr>
    </w:p>
    <w:p w14:paraId="2DD9D323" w14:textId="65903802" w:rsidR="00150F55" w:rsidRDefault="00150F55" w:rsidP="00150F55">
      <w:pPr>
        <w:spacing w:after="0"/>
        <w:jc w:val="both"/>
        <w:rPr>
          <w:rFonts w:ascii="Verdana" w:hAnsi="Verdana"/>
          <w:b/>
          <w:lang w:val="es-ES_tradnl"/>
        </w:rPr>
      </w:pPr>
    </w:p>
    <w:p w14:paraId="68C18049" w14:textId="6860CDE2" w:rsidR="00150F55" w:rsidRDefault="00150F55" w:rsidP="00150F55">
      <w:pPr>
        <w:spacing w:after="0"/>
        <w:jc w:val="both"/>
        <w:rPr>
          <w:rFonts w:ascii="Verdana" w:hAnsi="Verdana"/>
          <w:b/>
          <w:lang w:val="es-ES_tradnl"/>
        </w:rPr>
      </w:pPr>
    </w:p>
    <w:p w14:paraId="64C7483E" w14:textId="57ECA342" w:rsidR="00150F55" w:rsidRDefault="00150F55" w:rsidP="00150F55">
      <w:pPr>
        <w:spacing w:after="0"/>
        <w:jc w:val="both"/>
        <w:rPr>
          <w:rFonts w:ascii="Verdana" w:hAnsi="Verdana"/>
          <w:b/>
          <w:lang w:val="es-ES_tradnl"/>
        </w:rPr>
      </w:pPr>
    </w:p>
    <w:p w14:paraId="2C400F1E" w14:textId="1F2B9E0E" w:rsidR="00150F55" w:rsidRDefault="00150F55" w:rsidP="00150F55">
      <w:pPr>
        <w:spacing w:after="0"/>
        <w:jc w:val="both"/>
        <w:rPr>
          <w:rFonts w:ascii="Verdana" w:hAnsi="Verdana"/>
          <w:b/>
          <w:lang w:val="es-ES_tradnl"/>
        </w:rPr>
      </w:pPr>
    </w:p>
    <w:p w14:paraId="675B3BB3" w14:textId="167E2BEA" w:rsidR="00150F55" w:rsidRDefault="00150F55" w:rsidP="00150F55">
      <w:pPr>
        <w:spacing w:after="0"/>
        <w:jc w:val="both"/>
        <w:rPr>
          <w:rFonts w:ascii="Verdana" w:hAnsi="Verdana"/>
          <w:b/>
          <w:lang w:val="es-ES_tradnl"/>
        </w:rPr>
      </w:pPr>
    </w:p>
    <w:p w14:paraId="01677432" w14:textId="5BD41B75" w:rsidR="00150F55" w:rsidRDefault="00150F55" w:rsidP="00150F55">
      <w:pPr>
        <w:spacing w:after="0"/>
        <w:jc w:val="both"/>
        <w:rPr>
          <w:rFonts w:ascii="Verdana" w:hAnsi="Verdana"/>
          <w:b/>
          <w:lang w:val="es-ES_tradnl"/>
        </w:rPr>
      </w:pPr>
    </w:p>
    <w:p w14:paraId="10C42156" w14:textId="64C9BD07" w:rsidR="00150F55" w:rsidRPr="00150F55" w:rsidRDefault="00150F55" w:rsidP="00150F55">
      <w:pPr>
        <w:spacing w:after="0"/>
        <w:jc w:val="both"/>
        <w:rPr>
          <w:rFonts w:ascii="Verdana" w:hAnsi="Verdana"/>
          <w:b/>
          <w:lang w:val="es-ES_tradnl"/>
        </w:rPr>
      </w:pPr>
    </w:p>
    <w:p w14:paraId="70A204C7" w14:textId="77777777" w:rsidR="00150F55" w:rsidRDefault="00150F55" w:rsidP="00BA1046">
      <w:pPr>
        <w:spacing w:after="0"/>
        <w:rPr>
          <w:rFonts w:ascii="Verdana" w:hAnsi="Verdana"/>
        </w:rPr>
      </w:pPr>
    </w:p>
    <w:p w14:paraId="232FF567" w14:textId="77777777" w:rsidR="00150F55" w:rsidRDefault="00150F55" w:rsidP="00BA1046">
      <w:pPr>
        <w:spacing w:after="0"/>
        <w:rPr>
          <w:rFonts w:ascii="Verdana" w:hAnsi="Verdana"/>
        </w:rPr>
      </w:pPr>
    </w:p>
    <w:p w14:paraId="34B32569" w14:textId="6B89DEA9" w:rsidR="00BA1046" w:rsidRPr="009B39AC" w:rsidRDefault="00150F55" w:rsidP="00BA1046">
      <w:pPr>
        <w:spacing w:after="0"/>
        <w:rPr>
          <w:rFonts w:ascii="Verdana" w:hAnsi="Verdana"/>
        </w:rPr>
      </w:pPr>
      <w:r w:rsidRPr="00150F55">
        <w:rPr>
          <w:rFonts w:ascii="Verdana" w:hAnsi="Verdana"/>
          <w:noProof/>
          <w:lang w:val="en-US"/>
        </w:rPr>
        <w:lastRenderedPageBreak/>
        <w:drawing>
          <wp:anchor distT="0" distB="0" distL="114300" distR="114300" simplePos="0" relativeHeight="251659264" behindDoc="0" locked="0" layoutInCell="1" allowOverlap="1" wp14:anchorId="2E950885" wp14:editId="1AE50681">
            <wp:simplePos x="0" y="0"/>
            <wp:positionH relativeFrom="margin">
              <wp:posOffset>3013883</wp:posOffset>
            </wp:positionH>
            <wp:positionV relativeFrom="paragraph">
              <wp:posOffset>7274</wp:posOffset>
            </wp:positionV>
            <wp:extent cx="2628265" cy="748030"/>
            <wp:effectExtent l="0" t="0" r="63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28265" cy="748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A1046" w:rsidRPr="0024624F">
        <w:rPr>
          <w:rFonts w:ascii="Verdana" w:hAnsi="Verdana"/>
        </w:rPr>
        <w:t xml:space="preserve">Bogotá D.C., </w:t>
      </w:r>
      <w:r w:rsidR="00F46742">
        <w:rPr>
          <w:rFonts w:ascii="Verdana" w:hAnsi="Verdana"/>
        </w:rPr>
        <w:t>6 de febrero de 2026</w:t>
      </w:r>
      <w:r w:rsidR="00BA1046" w:rsidRPr="000E2B93">
        <w:rPr>
          <w:rFonts w:ascii="Verdana" w:hAnsi="Verdana"/>
        </w:rPr>
        <w:tab/>
      </w:r>
      <w:r w:rsidR="00BA1046" w:rsidRPr="000E2B93">
        <w:rPr>
          <w:rFonts w:ascii="Verdana" w:hAnsi="Verdana"/>
        </w:rPr>
        <w:br/>
      </w:r>
    </w:p>
    <w:p w14:paraId="57AEF72C" w14:textId="05458505" w:rsidR="00BA1046" w:rsidRDefault="00BA1046" w:rsidP="00BA1046">
      <w:pPr>
        <w:spacing w:after="0" w:line="240" w:lineRule="auto"/>
        <w:jc w:val="both"/>
        <w:rPr>
          <w:rFonts w:ascii="Verdana" w:eastAsia="Calibri" w:hAnsi="Verdana" w:cs="Arial"/>
          <w:color w:val="000000"/>
          <w:lang w:val="es-ES"/>
        </w:rPr>
      </w:pPr>
    </w:p>
    <w:p w14:paraId="7ECC72E5" w14:textId="7F2AAC80" w:rsidR="00150F55" w:rsidRDefault="00150F55" w:rsidP="00BA1046">
      <w:pPr>
        <w:spacing w:after="0" w:line="240" w:lineRule="auto"/>
        <w:jc w:val="both"/>
        <w:rPr>
          <w:rFonts w:ascii="Verdana" w:eastAsia="Calibri" w:hAnsi="Verdana" w:cs="Arial"/>
          <w:color w:val="000000"/>
          <w:lang w:val="es-ES"/>
        </w:rPr>
      </w:pPr>
    </w:p>
    <w:p w14:paraId="4B1E68FC" w14:textId="58248F33" w:rsidR="00150F55" w:rsidRPr="004949A7" w:rsidRDefault="00150F55" w:rsidP="00BA1046">
      <w:pPr>
        <w:spacing w:after="0" w:line="240" w:lineRule="auto"/>
        <w:jc w:val="both"/>
        <w:rPr>
          <w:rFonts w:ascii="Verdana" w:eastAsia="Calibri" w:hAnsi="Verdana" w:cs="Arial"/>
          <w:color w:val="000000"/>
          <w:lang w:val="es-ES"/>
        </w:rPr>
      </w:pPr>
      <w:r w:rsidRPr="00F46742">
        <w:rPr>
          <w:rFonts w:ascii="Verdana" w:hAnsi="Verdana"/>
          <w:noProof/>
          <w:lang w:val="en-US"/>
        </w:rPr>
        <w:drawing>
          <wp:anchor distT="0" distB="0" distL="114300" distR="114300" simplePos="0" relativeHeight="251658240" behindDoc="0" locked="0" layoutInCell="1" allowOverlap="1" wp14:anchorId="0C04728B" wp14:editId="3BE2F405">
            <wp:simplePos x="0" y="0"/>
            <wp:positionH relativeFrom="margin">
              <wp:posOffset>3013710</wp:posOffset>
            </wp:positionH>
            <wp:positionV relativeFrom="paragraph">
              <wp:posOffset>8255</wp:posOffset>
            </wp:positionV>
            <wp:extent cx="2627630" cy="735330"/>
            <wp:effectExtent l="0" t="0" r="1270" b="762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27630" cy="7353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4D3E81" w14:textId="2BA4462A" w:rsidR="00BA1046" w:rsidRPr="004949A7" w:rsidRDefault="00BA1046" w:rsidP="00BA1046">
      <w:pPr>
        <w:spacing w:after="0" w:line="240" w:lineRule="auto"/>
        <w:jc w:val="both"/>
        <w:rPr>
          <w:rFonts w:ascii="Verdana" w:eastAsia="Calibri" w:hAnsi="Verdana" w:cs="Arial"/>
          <w:lang w:val="es-ES" w:eastAsia="es-ES"/>
        </w:rPr>
      </w:pPr>
      <w:r w:rsidRPr="004949A7">
        <w:rPr>
          <w:rFonts w:ascii="Verdana" w:eastAsia="Calibri" w:hAnsi="Verdana" w:cs="Arial"/>
          <w:lang w:val="es-ES" w:eastAsia="es-ES"/>
        </w:rPr>
        <w:t>Señor</w:t>
      </w:r>
    </w:p>
    <w:p w14:paraId="2463CDCE" w14:textId="14FA8AD8" w:rsidR="00BA1046" w:rsidRPr="004949A7" w:rsidRDefault="00BA1046" w:rsidP="00BA1046">
      <w:pPr>
        <w:spacing w:after="0" w:line="240" w:lineRule="auto"/>
        <w:rPr>
          <w:rFonts w:ascii="Verdana" w:eastAsia="Calibri" w:hAnsi="Verdana" w:cs="Arial"/>
          <w:b/>
          <w:lang w:val="es-ES" w:eastAsia="es-ES"/>
        </w:rPr>
      </w:pPr>
      <w:r w:rsidRPr="004949A7">
        <w:rPr>
          <w:rFonts w:ascii="Verdana" w:eastAsia="Calibri" w:hAnsi="Verdana" w:cs="Arial"/>
          <w:b/>
          <w:lang w:val="es-ES" w:eastAsia="es-ES"/>
        </w:rPr>
        <w:t xml:space="preserve">Marco Antonio </w:t>
      </w:r>
      <w:r w:rsidR="002B4E0B" w:rsidRPr="004949A7">
        <w:rPr>
          <w:rFonts w:ascii="Verdana" w:eastAsia="Calibri" w:hAnsi="Verdana" w:cs="Arial"/>
          <w:b/>
          <w:lang w:val="es-ES" w:eastAsia="es-ES"/>
        </w:rPr>
        <w:t>Álzate</w:t>
      </w:r>
      <w:r w:rsidRPr="004949A7">
        <w:rPr>
          <w:rFonts w:ascii="Verdana" w:eastAsia="Calibri" w:hAnsi="Verdana" w:cs="Arial"/>
          <w:b/>
          <w:lang w:val="es-ES" w:eastAsia="es-ES"/>
        </w:rPr>
        <w:t xml:space="preserve"> Ospina</w:t>
      </w:r>
    </w:p>
    <w:p w14:paraId="5DFCFC52" w14:textId="5757A27B" w:rsidR="00150F55" w:rsidRPr="004949A7" w:rsidRDefault="00BA1046" w:rsidP="00BA1046">
      <w:pPr>
        <w:spacing w:after="0" w:line="240" w:lineRule="auto"/>
        <w:rPr>
          <w:rFonts w:ascii="Verdana" w:hAnsi="Verdana"/>
        </w:rPr>
      </w:pPr>
      <w:hyperlink r:id="rId13" w:history="1">
        <w:r w:rsidRPr="004949A7">
          <w:rPr>
            <w:rStyle w:val="Hipervnculo"/>
            <w:rFonts w:ascii="Verdana" w:hAnsi="Verdana"/>
          </w:rPr>
          <w:t>marconiosp@yahoo.com</w:t>
        </w:r>
      </w:hyperlink>
      <w:r w:rsidRPr="004949A7">
        <w:rPr>
          <w:rFonts w:ascii="Verdana" w:hAnsi="Verdana"/>
        </w:rPr>
        <w:t xml:space="preserve"> </w:t>
      </w:r>
    </w:p>
    <w:p w14:paraId="28FCA351" w14:textId="0F891A68" w:rsidR="00BA1046" w:rsidRPr="004949A7" w:rsidRDefault="00150F55" w:rsidP="00BA1046">
      <w:pPr>
        <w:spacing w:after="0" w:line="240" w:lineRule="auto"/>
        <w:rPr>
          <w:rFonts w:ascii="Verdana" w:eastAsia="Calibri" w:hAnsi="Verdana" w:cs="Arial"/>
          <w:bCs/>
          <w:color w:val="000000"/>
          <w:lang w:val="es-ES_tradnl" w:eastAsia="es-ES_tradnl"/>
        </w:rPr>
      </w:pPr>
      <w:r w:rsidRPr="00150F55">
        <w:rPr>
          <w:rFonts w:ascii="Verdana" w:eastAsia="Calibri" w:hAnsi="Verdana" w:cs="Times New Roman"/>
          <w:noProof/>
          <w:lang w:val="en-US"/>
        </w:rPr>
        <w:drawing>
          <wp:anchor distT="0" distB="0" distL="114300" distR="114300" simplePos="0" relativeHeight="251660288" behindDoc="0" locked="0" layoutInCell="1" allowOverlap="1" wp14:anchorId="6E695BF9" wp14:editId="1B04C561">
            <wp:simplePos x="0" y="0"/>
            <wp:positionH relativeFrom="column">
              <wp:posOffset>3023870</wp:posOffset>
            </wp:positionH>
            <wp:positionV relativeFrom="paragraph">
              <wp:posOffset>45720</wp:posOffset>
            </wp:positionV>
            <wp:extent cx="2605405" cy="737235"/>
            <wp:effectExtent l="0" t="0" r="4445" b="571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05405" cy="7372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A1046" w:rsidRPr="004949A7">
        <w:rPr>
          <w:rFonts w:ascii="Verdana" w:eastAsia="Calibri" w:hAnsi="Verdana" w:cs="Arial"/>
          <w:bCs/>
          <w:color w:val="000000"/>
          <w:lang w:val="es-ES_tradnl" w:eastAsia="es-ES_tradnl"/>
        </w:rPr>
        <w:t>Bogotá D.C.</w:t>
      </w:r>
    </w:p>
    <w:p w14:paraId="7F122AD2" w14:textId="3EDE34A8" w:rsidR="00BA1046" w:rsidRDefault="00BA1046" w:rsidP="00BA1046">
      <w:pPr>
        <w:spacing w:after="0" w:line="240" w:lineRule="auto"/>
        <w:rPr>
          <w:rFonts w:ascii="Verdana" w:eastAsia="Calibri" w:hAnsi="Verdana" w:cs="Times New Roman"/>
        </w:rPr>
      </w:pPr>
    </w:p>
    <w:p w14:paraId="73B205D5" w14:textId="26290A9E" w:rsidR="00150F55" w:rsidRDefault="00150F55" w:rsidP="00BA1046">
      <w:pPr>
        <w:spacing w:after="0" w:line="240" w:lineRule="auto"/>
        <w:rPr>
          <w:rFonts w:ascii="Verdana" w:eastAsia="Calibri" w:hAnsi="Verdana" w:cs="Times New Roman"/>
        </w:rPr>
      </w:pPr>
    </w:p>
    <w:p w14:paraId="32472B6D" w14:textId="6887609B" w:rsidR="00150F55" w:rsidRDefault="00150F55" w:rsidP="00BA1046">
      <w:pPr>
        <w:spacing w:after="0" w:line="240" w:lineRule="auto"/>
        <w:rPr>
          <w:rFonts w:ascii="Verdana" w:eastAsia="Calibri" w:hAnsi="Verdana" w:cs="Times New Roman"/>
        </w:rPr>
      </w:pPr>
    </w:p>
    <w:p w14:paraId="7701B6AB" w14:textId="77777777" w:rsidR="00BA1046" w:rsidRPr="00A12CB6" w:rsidRDefault="00BA1046" w:rsidP="00BA1046">
      <w:pPr>
        <w:spacing w:after="0" w:line="240" w:lineRule="auto"/>
        <w:rPr>
          <w:rFonts w:ascii="Verdana" w:eastAsia="Calibri" w:hAnsi="Verdana" w:cs="Times New Roman"/>
        </w:rPr>
      </w:pPr>
    </w:p>
    <w:p w14:paraId="17C9AC0B" w14:textId="77777777" w:rsidR="00BA1046" w:rsidRPr="00A12CB6" w:rsidRDefault="00BA1046" w:rsidP="00BA1046">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C- 111 de 2026</w:t>
      </w:r>
    </w:p>
    <w:p w14:paraId="2ED9E775" w14:textId="77777777" w:rsidR="00BA1046" w:rsidRPr="00A12CB6" w:rsidRDefault="00BA1046" w:rsidP="00BA1046">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BA1046" w:rsidRPr="00A12CB6" w14:paraId="7F7C0DFC" w14:textId="77777777" w:rsidTr="00ED785E">
        <w:trPr>
          <w:trHeight w:val="2263"/>
        </w:trPr>
        <w:tc>
          <w:tcPr>
            <w:tcW w:w="2685" w:type="dxa"/>
            <w:hideMark/>
          </w:tcPr>
          <w:p w14:paraId="78913596" w14:textId="77777777" w:rsidR="00BA1046" w:rsidRPr="00A12CB6" w:rsidRDefault="00BA1046" w:rsidP="00ED785E">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75C1C3A2" w14:textId="77777777" w:rsidR="00BA1046" w:rsidRPr="00817856" w:rsidRDefault="00BA1046" w:rsidP="00ED785E">
            <w:pPr>
              <w:spacing w:line="276" w:lineRule="auto"/>
              <w:jc w:val="both"/>
              <w:rPr>
                <w:rFonts w:ascii="Verdana" w:hAnsi="Verdana" w:cs="Arial"/>
                <w:lang w:val="es-ES"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CONTRATACIÓN DIRECTA – Peritos –Características – Intuito Persona / </w:t>
            </w:r>
            <w:r w:rsidRPr="00585ABC">
              <w:rPr>
                <w:rFonts w:ascii="Verdana" w:hAnsi="Verdana" w:cs="Arial"/>
                <w:lang w:val="es-MX" w:eastAsia="es-ES_tradnl"/>
              </w:rPr>
              <w:t>LEY DE GARANTÍAS – Contratación Directa – Peritos</w:t>
            </w:r>
            <w:r>
              <w:rPr>
                <w:rFonts w:ascii="Verdana" w:hAnsi="Verdana" w:cs="Arial"/>
                <w:lang w:val="es-MX" w:eastAsia="es-ES_tradnl"/>
              </w:rPr>
              <w:t xml:space="preserve"> – Artículo 222 – Posibilidad – Excepción – Artículo 33. </w:t>
            </w:r>
          </w:p>
        </w:tc>
        <w:tc>
          <w:tcPr>
            <w:tcW w:w="6237" w:type="dxa"/>
          </w:tcPr>
          <w:p w14:paraId="257B1FB4" w14:textId="77777777" w:rsidR="00BA1046" w:rsidRPr="00A12CB6" w:rsidRDefault="00BA1046" w:rsidP="00ED785E">
            <w:pPr>
              <w:spacing w:line="256" w:lineRule="auto"/>
              <w:rPr>
                <w:rFonts w:ascii="Verdana" w:hAnsi="Verdana"/>
              </w:rPr>
            </w:pPr>
          </w:p>
        </w:tc>
      </w:tr>
    </w:tbl>
    <w:p w14:paraId="55317555" w14:textId="77777777" w:rsidR="00BA1046" w:rsidRPr="00593A5F" w:rsidRDefault="00BA1046" w:rsidP="00BA104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A1046" w:rsidRPr="008E6AD9" w14:paraId="3557A747" w14:textId="77777777" w:rsidTr="00ED785E">
        <w:tc>
          <w:tcPr>
            <w:tcW w:w="2689" w:type="dxa"/>
          </w:tcPr>
          <w:p w14:paraId="656F1039" w14:textId="77777777" w:rsidR="00BA1046" w:rsidRPr="008E6AD9" w:rsidRDefault="00BA1046" w:rsidP="00ED785E">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0CE4C72" w14:textId="77777777" w:rsidR="00BA1046" w:rsidRPr="00AD67E7" w:rsidRDefault="00BA1046" w:rsidP="00ED785E">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s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4949A7">
              <w:rPr>
                <w:rFonts w:ascii="Verdana" w:eastAsia="Calibri" w:hAnsi="Verdana" w:cs="Arial"/>
                <w:lang w:eastAsia="es-ES_tradnl"/>
              </w:rPr>
              <w:t>1_2026_01_28_000932</w:t>
            </w:r>
            <w:r>
              <w:rPr>
                <w:rFonts w:ascii="Verdana" w:eastAsia="Calibri" w:hAnsi="Verdana" w:cs="Arial"/>
                <w:lang w:eastAsia="es-ES_tradnl"/>
              </w:rPr>
              <w:t xml:space="preserve">, </w:t>
            </w:r>
            <w:r w:rsidRPr="00FB2D73">
              <w:rPr>
                <w:rFonts w:ascii="Verdana" w:eastAsia="Calibri" w:hAnsi="Verdana" w:cs="Arial"/>
                <w:lang w:eastAsia="es-ES_tradnl"/>
              </w:rPr>
              <w:t>1_2026_02_02_001243</w:t>
            </w:r>
            <w:r>
              <w:rPr>
                <w:rFonts w:ascii="Verdana" w:eastAsia="Calibri" w:hAnsi="Verdana" w:cs="Arial"/>
                <w:lang w:eastAsia="es-ES_tradnl"/>
              </w:rPr>
              <w:t xml:space="preserve"> y </w:t>
            </w:r>
            <w:r w:rsidRPr="00FB2D73">
              <w:rPr>
                <w:rFonts w:ascii="Verdana" w:eastAsia="Calibri" w:hAnsi="Verdana" w:cs="Arial"/>
                <w:lang w:eastAsia="es-ES_tradnl"/>
              </w:rPr>
              <w:t>1_2026_02_02_001246</w:t>
            </w:r>
            <w:r>
              <w:rPr>
                <w:rFonts w:ascii="Verdana" w:eastAsia="Calibri" w:hAnsi="Verdana" w:cs="Arial"/>
                <w:lang w:eastAsia="es-ES_tradnl"/>
              </w:rPr>
              <w:t xml:space="preserve"> (acumulados)</w:t>
            </w:r>
          </w:p>
        </w:tc>
      </w:tr>
    </w:tbl>
    <w:p w14:paraId="7EB91DFD" w14:textId="77777777" w:rsidR="00BA1046" w:rsidRPr="00593A5F" w:rsidRDefault="00BA1046" w:rsidP="00BA1046">
      <w:pPr>
        <w:spacing w:after="0" w:line="240" w:lineRule="auto"/>
        <w:jc w:val="both"/>
        <w:rPr>
          <w:rFonts w:ascii="Verdana" w:eastAsia="Calibri" w:hAnsi="Verdana" w:cs="Arial"/>
          <w:color w:val="000000"/>
          <w:lang w:val="es-ES_tradnl" w:eastAsia="es-ES_tradnl"/>
        </w:rPr>
      </w:pPr>
    </w:p>
    <w:p w14:paraId="1EC072E4" w14:textId="77777777" w:rsidR="00BA1046" w:rsidRPr="00593A5F" w:rsidRDefault="00BA1046" w:rsidP="00BA1046">
      <w:pPr>
        <w:spacing w:after="0" w:line="240" w:lineRule="auto"/>
        <w:jc w:val="both"/>
        <w:rPr>
          <w:rFonts w:ascii="Verdana" w:eastAsia="Calibri" w:hAnsi="Verdana" w:cs="Arial"/>
          <w:color w:val="000000"/>
          <w:lang w:val="es-ES_tradnl" w:eastAsia="es-ES_tradnl"/>
        </w:rPr>
      </w:pPr>
    </w:p>
    <w:p w14:paraId="58045198" w14:textId="77777777" w:rsidR="00BA1046" w:rsidRPr="008E6AD9" w:rsidRDefault="00BA1046" w:rsidP="00BA1046">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 xml:space="preserve">o Señor </w:t>
      </w:r>
      <w:proofErr w:type="spellStart"/>
      <w:r>
        <w:rPr>
          <w:rFonts w:ascii="Verdana" w:eastAsia="Calibri" w:hAnsi="Verdana" w:cs="Arial"/>
          <w:lang w:val="es-ES" w:eastAsia="es-ES"/>
        </w:rPr>
        <w:t>Alzate</w:t>
      </w:r>
      <w:proofErr w:type="spellEnd"/>
      <w:r w:rsidRPr="008E6AD9">
        <w:rPr>
          <w:rFonts w:ascii="Verdana" w:eastAsia="Calibri" w:hAnsi="Verdana" w:cs="Arial"/>
          <w:lang w:val="es-ES" w:eastAsia="es-ES"/>
        </w:rPr>
        <w:t xml:space="preserve">: </w:t>
      </w:r>
    </w:p>
    <w:p w14:paraId="38BB19F9" w14:textId="77777777" w:rsidR="00BA1046" w:rsidRDefault="00BA1046" w:rsidP="00BA104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CE0328E" w14:textId="77777777" w:rsidR="00BA1046" w:rsidRPr="00102203" w:rsidRDefault="00BA1046" w:rsidP="00BA1046">
      <w:pPr>
        <w:spacing w:after="0" w:line="276" w:lineRule="auto"/>
        <w:jc w:val="both"/>
        <w:rPr>
          <w:rFonts w:ascii="Verdana" w:eastAsia="Calibri" w:hAnsi="Verdana" w:cs="Arial"/>
          <w:bCs/>
          <w:color w:val="000000" w:themeColor="text1"/>
          <w:lang w:val="es-ES" w:eastAsia="es-ES" w:bidi="es-ES"/>
        </w:rPr>
      </w:pPr>
      <w:r w:rsidRPr="00102203">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102203">
        <w:rPr>
          <w:rFonts w:ascii="Verdana" w:eastAsia="Calibri" w:hAnsi="Verdana" w:cs="Arial"/>
          <w:bCs/>
          <w:color w:val="000000" w:themeColor="text1"/>
          <w:lang w:eastAsia="es-ES"/>
        </w:rPr>
        <w:t xml:space="preserve">así como lo establecido por la Resolución 469 de 2025 expedida por esta Entidad, </w:t>
      </w:r>
      <w:r w:rsidRPr="00102203">
        <w:rPr>
          <w:rFonts w:ascii="Verdana" w:eastAsia="Calibri" w:hAnsi="Verdana" w:cs="Arial"/>
          <w:bCs/>
          <w:color w:val="000000" w:themeColor="text1"/>
          <w:lang w:val="es-ES" w:eastAsia="es-ES" w:bidi="es-ES"/>
        </w:rPr>
        <w:t>la Agencia Nacional de Contratación Pública – Colombia Compra Eficiente– responde l</w:t>
      </w:r>
      <w:r>
        <w:rPr>
          <w:rFonts w:ascii="Verdana" w:eastAsia="Calibri" w:hAnsi="Verdana" w:cs="Arial"/>
          <w:bCs/>
          <w:color w:val="000000" w:themeColor="text1"/>
          <w:lang w:val="es-ES" w:eastAsia="es-ES" w:bidi="es-ES"/>
        </w:rPr>
        <w:t xml:space="preserve">a solicitud de </w:t>
      </w:r>
      <w:r>
        <w:rPr>
          <w:rFonts w:ascii="Verdana" w:eastAsia="Calibri" w:hAnsi="Verdana" w:cs="Arial"/>
          <w:bCs/>
          <w:color w:val="000000" w:themeColor="text1"/>
          <w:lang w:val="es-ES" w:eastAsia="es-ES" w:bidi="es-ES"/>
        </w:rPr>
        <w:lastRenderedPageBreak/>
        <w:t>consulta remitida el 28 de enero de 2026 en torno a la aplicación de la Ley 996 de 2005 –Ley de Garantías Electorales-</w:t>
      </w:r>
      <w:r w:rsidRPr="00102203">
        <w:rPr>
          <w:rFonts w:ascii="Verdana" w:eastAsia="Calibri" w:hAnsi="Verdana" w:cs="Arial"/>
          <w:bCs/>
          <w:color w:val="000000" w:themeColor="text1"/>
          <w:lang w:val="es-ES" w:eastAsia="es-ES" w:bidi="es-ES"/>
        </w:rPr>
        <w:t xml:space="preserve">, en la cual manifiesta: </w:t>
      </w:r>
    </w:p>
    <w:p w14:paraId="40006E44" w14:textId="77777777" w:rsidR="00BA1046" w:rsidRPr="00272A7B" w:rsidRDefault="00BA1046" w:rsidP="00BA1046">
      <w:pPr>
        <w:pStyle w:val="Prrafodelista"/>
        <w:tabs>
          <w:tab w:val="left" w:pos="142"/>
          <w:tab w:val="left" w:pos="284"/>
        </w:tabs>
        <w:spacing w:after="0" w:line="240" w:lineRule="auto"/>
        <w:ind w:left="0"/>
        <w:jc w:val="both"/>
        <w:rPr>
          <w:rFonts w:ascii="Verdana" w:eastAsia="Century Gothic" w:hAnsi="Verdana" w:cs="Century Gothic"/>
          <w:b/>
          <w:bCs/>
        </w:rPr>
      </w:pPr>
    </w:p>
    <w:p w14:paraId="6B930A21" w14:textId="77777777" w:rsidR="00BA1046" w:rsidRPr="004949A7" w:rsidRDefault="00BA1046" w:rsidP="00BA1046">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lang w:val="es-ES"/>
        </w:rPr>
        <w:t>“</w:t>
      </w:r>
      <w:r w:rsidRPr="004949A7">
        <w:rPr>
          <w:rFonts w:ascii="Verdana" w:eastAsia="Century Gothic" w:hAnsi="Verdana" w:cs="Century Gothic"/>
          <w:sz w:val="20"/>
          <w:szCs w:val="20"/>
        </w:rPr>
        <w:t>I. Dado que la ejecución de un dictamen pericial té</w:t>
      </w:r>
      <w:r>
        <w:rPr>
          <w:rFonts w:ascii="Verdana" w:eastAsia="Century Gothic" w:hAnsi="Verdana" w:cs="Century Gothic"/>
          <w:sz w:val="20"/>
          <w:szCs w:val="20"/>
        </w:rPr>
        <w:t xml:space="preserve">cnico depende de las calidades, </w:t>
      </w:r>
      <w:r w:rsidRPr="004949A7">
        <w:rPr>
          <w:rFonts w:ascii="Verdana" w:eastAsia="Century Gothic" w:hAnsi="Verdana" w:cs="Century Gothic"/>
          <w:sz w:val="20"/>
          <w:szCs w:val="20"/>
        </w:rPr>
        <w:t>experiencia e independencia del profesional que lo emite —y no es una prestación</w:t>
      </w:r>
      <w:r>
        <w:rPr>
          <w:rFonts w:ascii="Verdana" w:eastAsia="Century Gothic" w:hAnsi="Verdana" w:cs="Century Gothic"/>
          <w:sz w:val="20"/>
          <w:szCs w:val="20"/>
        </w:rPr>
        <w:t xml:space="preserve"> </w:t>
      </w:r>
      <w:r w:rsidRPr="004949A7">
        <w:rPr>
          <w:rFonts w:ascii="Verdana" w:eastAsia="Century Gothic" w:hAnsi="Verdana" w:cs="Century Gothic"/>
          <w:sz w:val="20"/>
          <w:szCs w:val="20"/>
        </w:rPr>
        <w:t>genérica o masiva—, solicito se precise si este tipo de contrato puede considerarse de</w:t>
      </w:r>
      <w:r>
        <w:rPr>
          <w:rFonts w:ascii="Verdana" w:eastAsia="Century Gothic" w:hAnsi="Verdana" w:cs="Century Gothic"/>
          <w:sz w:val="20"/>
          <w:szCs w:val="20"/>
        </w:rPr>
        <w:t xml:space="preserve"> </w:t>
      </w:r>
      <w:r w:rsidRPr="004949A7">
        <w:rPr>
          <w:rFonts w:ascii="Verdana" w:eastAsia="Century Gothic" w:hAnsi="Verdana" w:cs="Century Gothic"/>
          <w:sz w:val="20"/>
          <w:szCs w:val="20"/>
        </w:rPr>
        <w:t xml:space="preserve">naturaleza </w:t>
      </w:r>
      <w:proofErr w:type="spellStart"/>
      <w:r w:rsidRPr="004949A7">
        <w:rPr>
          <w:rFonts w:ascii="Verdana" w:eastAsia="Century Gothic" w:hAnsi="Verdana" w:cs="Century Gothic"/>
          <w:i/>
          <w:iCs/>
          <w:sz w:val="20"/>
          <w:szCs w:val="20"/>
        </w:rPr>
        <w:t>intuitu</w:t>
      </w:r>
      <w:proofErr w:type="spellEnd"/>
      <w:r w:rsidRPr="004949A7">
        <w:rPr>
          <w:rFonts w:ascii="Verdana" w:eastAsia="Century Gothic" w:hAnsi="Verdana" w:cs="Century Gothic"/>
          <w:i/>
          <w:iCs/>
          <w:sz w:val="20"/>
          <w:szCs w:val="20"/>
        </w:rPr>
        <w:t xml:space="preserve"> </w:t>
      </w:r>
      <w:proofErr w:type="spellStart"/>
      <w:r w:rsidRPr="004949A7">
        <w:rPr>
          <w:rFonts w:ascii="Verdana" w:eastAsia="Century Gothic" w:hAnsi="Verdana" w:cs="Century Gothic"/>
          <w:i/>
          <w:iCs/>
          <w:sz w:val="20"/>
          <w:szCs w:val="20"/>
        </w:rPr>
        <w:t>personae</w:t>
      </w:r>
      <w:proofErr w:type="spellEnd"/>
      <w:r w:rsidRPr="004949A7">
        <w:rPr>
          <w:rFonts w:ascii="Verdana" w:eastAsia="Century Gothic" w:hAnsi="Verdana" w:cs="Century Gothic"/>
          <w:sz w:val="20"/>
          <w:szCs w:val="20"/>
        </w:rPr>
        <w:t>, atendiendo a que el objeto del contrato está</w:t>
      </w:r>
      <w:r>
        <w:rPr>
          <w:rFonts w:ascii="Verdana" w:eastAsia="Century Gothic" w:hAnsi="Verdana" w:cs="Century Gothic"/>
          <w:sz w:val="20"/>
          <w:szCs w:val="20"/>
        </w:rPr>
        <w:t xml:space="preserve"> </w:t>
      </w:r>
      <w:r w:rsidRPr="004949A7">
        <w:rPr>
          <w:rFonts w:ascii="Verdana" w:eastAsia="Century Gothic" w:hAnsi="Verdana" w:cs="Century Gothic"/>
          <w:sz w:val="20"/>
          <w:szCs w:val="20"/>
        </w:rPr>
        <w:t>indisolublemente ligado a las cualidades del perito seleccionado.</w:t>
      </w:r>
    </w:p>
    <w:p w14:paraId="02F8959E" w14:textId="77777777" w:rsidR="00BA1046" w:rsidRPr="002E60E4" w:rsidRDefault="00BA1046" w:rsidP="00BA1046">
      <w:pPr>
        <w:spacing w:after="0" w:line="240" w:lineRule="auto"/>
        <w:ind w:left="709" w:right="709"/>
        <w:jc w:val="both"/>
        <w:rPr>
          <w:rFonts w:ascii="Verdana" w:eastAsia="Century Gothic" w:hAnsi="Verdana" w:cs="Century Gothic"/>
          <w:sz w:val="20"/>
          <w:szCs w:val="20"/>
        </w:rPr>
      </w:pPr>
      <w:r w:rsidRPr="004949A7">
        <w:rPr>
          <w:rFonts w:ascii="Verdana" w:eastAsia="Century Gothic" w:hAnsi="Verdana" w:cs="Century Gothic"/>
          <w:sz w:val="20"/>
          <w:szCs w:val="20"/>
        </w:rPr>
        <w:t>II. En caso de que se confirme dicha naturaleza, solicito se indique si los contratos de</w:t>
      </w:r>
      <w:r>
        <w:rPr>
          <w:rFonts w:ascii="Verdana" w:eastAsia="Century Gothic" w:hAnsi="Verdana" w:cs="Century Gothic"/>
          <w:sz w:val="20"/>
          <w:szCs w:val="20"/>
        </w:rPr>
        <w:t xml:space="preserve"> </w:t>
      </w:r>
      <w:r w:rsidRPr="004949A7">
        <w:rPr>
          <w:rFonts w:ascii="Verdana" w:eastAsia="Century Gothic" w:hAnsi="Verdana" w:cs="Century Gothic"/>
          <w:sz w:val="20"/>
          <w:szCs w:val="20"/>
        </w:rPr>
        <w:t>dictamen pericial se encuentran exceptuados de las restricciones contractuales</w:t>
      </w:r>
      <w:r>
        <w:rPr>
          <w:rFonts w:ascii="Verdana" w:eastAsia="Century Gothic" w:hAnsi="Verdana" w:cs="Century Gothic"/>
          <w:sz w:val="20"/>
          <w:szCs w:val="20"/>
        </w:rPr>
        <w:t xml:space="preserve"> </w:t>
      </w:r>
      <w:r w:rsidRPr="004949A7">
        <w:rPr>
          <w:rFonts w:ascii="Verdana" w:eastAsia="Century Gothic" w:hAnsi="Verdana" w:cs="Century Gothic"/>
          <w:sz w:val="20"/>
          <w:szCs w:val="20"/>
        </w:rPr>
        <w:t>impuestas por la Ley 996 de 2005, y si ello habilita a las entidades públicas a</w:t>
      </w:r>
      <w:r>
        <w:rPr>
          <w:rFonts w:ascii="Verdana" w:eastAsia="Century Gothic" w:hAnsi="Verdana" w:cs="Century Gothic"/>
          <w:sz w:val="20"/>
          <w:szCs w:val="20"/>
        </w:rPr>
        <w:t xml:space="preserve"> </w:t>
      </w:r>
      <w:r w:rsidRPr="004949A7">
        <w:rPr>
          <w:rFonts w:ascii="Verdana" w:eastAsia="Century Gothic" w:hAnsi="Verdana" w:cs="Century Gothic"/>
          <w:sz w:val="20"/>
          <w:szCs w:val="20"/>
        </w:rPr>
        <w:t>suscribirlos durante el período electoral de 2026 sin vulnerar las disposiciones</w:t>
      </w:r>
      <w:r>
        <w:rPr>
          <w:rFonts w:ascii="Verdana" w:eastAsia="Century Gothic" w:hAnsi="Verdana" w:cs="Century Gothic"/>
          <w:sz w:val="20"/>
          <w:szCs w:val="20"/>
        </w:rPr>
        <w:t xml:space="preserve"> </w:t>
      </w:r>
      <w:r w:rsidRPr="004949A7">
        <w:rPr>
          <w:rFonts w:ascii="Verdana" w:eastAsia="Century Gothic" w:hAnsi="Verdana" w:cs="Century Gothic"/>
          <w:sz w:val="20"/>
          <w:szCs w:val="20"/>
        </w:rPr>
        <w:t>vigentes</w:t>
      </w:r>
      <w:r>
        <w:rPr>
          <w:rFonts w:ascii="Verdana" w:eastAsia="Century Gothic" w:hAnsi="Verdana" w:cs="Century Gothic"/>
          <w:sz w:val="20"/>
          <w:szCs w:val="20"/>
        </w:rPr>
        <w:t>”</w:t>
      </w:r>
      <w:r w:rsidRPr="004949A7">
        <w:rPr>
          <w:rFonts w:ascii="Verdana" w:eastAsia="Century Gothic" w:hAnsi="Verdana" w:cs="Century Gothic"/>
          <w:sz w:val="20"/>
          <w:szCs w:val="20"/>
        </w:rPr>
        <w:t>.</w:t>
      </w:r>
    </w:p>
    <w:p w14:paraId="15908B2B" w14:textId="77777777" w:rsidR="00BA1046" w:rsidRPr="008E6AD9" w:rsidRDefault="00BA1046" w:rsidP="00BA1046">
      <w:pPr>
        <w:pStyle w:val="Prrafodelista"/>
        <w:tabs>
          <w:tab w:val="left" w:pos="142"/>
          <w:tab w:val="left" w:pos="284"/>
        </w:tabs>
        <w:spacing w:after="0" w:line="276" w:lineRule="auto"/>
        <w:ind w:left="0"/>
        <w:jc w:val="both"/>
        <w:rPr>
          <w:rFonts w:ascii="Verdana" w:eastAsia="Century Gothic" w:hAnsi="Verdana" w:cs="Century Gothic"/>
          <w:b/>
          <w:bCs/>
        </w:rPr>
      </w:pPr>
    </w:p>
    <w:p w14:paraId="6537B003" w14:textId="77777777" w:rsidR="00BA1046" w:rsidRPr="00A652FF" w:rsidRDefault="00BA1046" w:rsidP="00BA1046">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4684732" w14:textId="77777777" w:rsidR="00BA1046" w:rsidRPr="00423BE7" w:rsidRDefault="00BA1046" w:rsidP="00BA1046">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los problemas jurídicos de su consulta. </w:t>
      </w:r>
    </w:p>
    <w:p w14:paraId="4F80166A" w14:textId="77777777" w:rsidR="00BA1046" w:rsidRPr="00593A5F" w:rsidRDefault="00BA1046" w:rsidP="00BA1046">
      <w:pPr>
        <w:spacing w:after="0" w:line="276" w:lineRule="auto"/>
        <w:ind w:firstLine="709"/>
        <w:jc w:val="both"/>
        <w:rPr>
          <w:rFonts w:ascii="Verdana" w:eastAsia="Calibri" w:hAnsi="Verdana" w:cs="Arial"/>
          <w:color w:val="000000"/>
          <w:lang w:val="es-ES" w:eastAsia="es-ES"/>
        </w:rPr>
      </w:pPr>
    </w:p>
    <w:p w14:paraId="7FE8C4C2" w14:textId="77777777" w:rsidR="00BA1046" w:rsidRPr="00593A5F" w:rsidRDefault="00BA1046" w:rsidP="00BA104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FD14808" w14:textId="77777777" w:rsidR="00BA1046" w:rsidRPr="00593A5F" w:rsidRDefault="00BA1046" w:rsidP="00BA1046">
      <w:pPr>
        <w:tabs>
          <w:tab w:val="left" w:pos="426"/>
        </w:tabs>
        <w:spacing w:after="0" w:line="276" w:lineRule="auto"/>
        <w:jc w:val="both"/>
        <w:rPr>
          <w:rFonts w:ascii="Verdana" w:eastAsia="Century Gothic" w:hAnsi="Verdana" w:cs="Century Gothic"/>
          <w:lang w:val="es-ES"/>
        </w:rPr>
      </w:pPr>
    </w:p>
    <w:p w14:paraId="3AC510A1" w14:textId="77777777" w:rsidR="00BA1046" w:rsidRDefault="00BA1046" w:rsidP="00BA1046">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w:t>
      </w:r>
      <w:r>
        <w:rPr>
          <w:rFonts w:ascii="Verdana" w:eastAsia="Century Gothic" w:hAnsi="Verdana" w:cs="Century Gothic"/>
        </w:rPr>
        <w:t>con el contenido de sus solicitudes</w:t>
      </w:r>
      <w:r w:rsidRPr="00906BE9">
        <w:rPr>
          <w:rFonts w:ascii="Verdana" w:eastAsia="Century Gothic" w:hAnsi="Verdana" w:cs="Century Gothic"/>
        </w:rPr>
        <w:t>, esta Agencia resolverá</w:t>
      </w:r>
      <w:r>
        <w:rPr>
          <w:rFonts w:ascii="Verdana" w:eastAsia="Century Gothic" w:hAnsi="Verdana" w:cs="Century Gothic"/>
        </w:rPr>
        <w:t xml:space="preserve"> los siguientes problemas jurídicos</w:t>
      </w:r>
      <w:r w:rsidRPr="00906BE9">
        <w:rPr>
          <w:rFonts w:ascii="Verdana" w:eastAsia="Century Gothic" w:hAnsi="Verdana" w:cs="Century Gothic"/>
        </w:rPr>
        <w:t>:</w:t>
      </w:r>
      <w:r>
        <w:rPr>
          <w:rFonts w:ascii="Verdana" w:eastAsia="Century Gothic" w:hAnsi="Verdana" w:cs="Century Gothic"/>
        </w:rPr>
        <w:t xml:space="preserve"> i) </w:t>
      </w:r>
      <w:r w:rsidRPr="004949A7">
        <w:rPr>
          <w:rFonts w:ascii="Verdana" w:eastAsia="Century Gothic" w:hAnsi="Verdana" w:cs="Century Gothic"/>
        </w:rPr>
        <w:t>¿Los contratos de dictamen pericial técnico deben co</w:t>
      </w:r>
      <w:r>
        <w:rPr>
          <w:rFonts w:ascii="Verdana" w:eastAsia="Century Gothic" w:hAnsi="Verdana" w:cs="Century Gothic"/>
        </w:rPr>
        <w:t xml:space="preserve">nsiderarse de naturaleza </w:t>
      </w:r>
      <w:proofErr w:type="spellStart"/>
      <w:r>
        <w:rPr>
          <w:rFonts w:ascii="Verdana" w:eastAsia="Century Gothic" w:hAnsi="Verdana" w:cs="Century Gothic"/>
        </w:rPr>
        <w:t>intuitu</w:t>
      </w:r>
      <w:proofErr w:type="spellEnd"/>
      <w:r w:rsidRPr="004949A7">
        <w:rPr>
          <w:rFonts w:ascii="Verdana" w:eastAsia="Century Gothic" w:hAnsi="Verdana" w:cs="Century Gothic"/>
        </w:rPr>
        <w:t xml:space="preserve"> </w:t>
      </w:r>
      <w:proofErr w:type="spellStart"/>
      <w:r w:rsidRPr="004949A7">
        <w:rPr>
          <w:rFonts w:ascii="Verdana" w:eastAsia="Century Gothic" w:hAnsi="Verdana" w:cs="Century Gothic"/>
        </w:rPr>
        <w:t>personae</w:t>
      </w:r>
      <w:proofErr w:type="spellEnd"/>
      <w:r w:rsidRPr="004949A7">
        <w:rPr>
          <w:rFonts w:ascii="Verdana" w:eastAsia="Century Gothic" w:hAnsi="Verdana" w:cs="Century Gothic"/>
        </w:rPr>
        <w:t xml:space="preserve">, dado que su ejecución </w:t>
      </w:r>
      <w:r w:rsidRPr="004949A7">
        <w:rPr>
          <w:rFonts w:ascii="Verdana" w:eastAsia="Century Gothic" w:hAnsi="Verdana" w:cs="Century Gothic"/>
        </w:rPr>
        <w:lastRenderedPageBreak/>
        <w:t>depende de las calidades, experiencia e indepe</w:t>
      </w:r>
      <w:r>
        <w:rPr>
          <w:rFonts w:ascii="Verdana" w:eastAsia="Century Gothic" w:hAnsi="Verdana" w:cs="Century Gothic"/>
        </w:rPr>
        <w:t>ndencia del perito seleccionado</w:t>
      </w:r>
      <w:r w:rsidRPr="004949A7">
        <w:rPr>
          <w:rFonts w:ascii="Verdana" w:eastAsia="Century Gothic" w:hAnsi="Verdana" w:cs="Century Gothic"/>
        </w:rPr>
        <w:t>?</w:t>
      </w:r>
      <w:r>
        <w:rPr>
          <w:rFonts w:ascii="Verdana" w:eastAsia="Century Gothic" w:hAnsi="Verdana" w:cs="Century Gothic"/>
        </w:rPr>
        <w:t xml:space="preserve">; </w:t>
      </w:r>
      <w:proofErr w:type="spellStart"/>
      <w:r>
        <w:rPr>
          <w:rFonts w:ascii="Verdana" w:eastAsia="Century Gothic" w:hAnsi="Verdana" w:cs="Century Gothic"/>
        </w:rPr>
        <w:t>ii</w:t>
      </w:r>
      <w:proofErr w:type="spellEnd"/>
      <w:r>
        <w:rPr>
          <w:rFonts w:ascii="Verdana" w:eastAsia="Century Gothic" w:hAnsi="Verdana" w:cs="Century Gothic"/>
        </w:rPr>
        <w:t xml:space="preserve">) </w:t>
      </w:r>
      <w:r w:rsidRPr="00BB46E4">
        <w:rPr>
          <w:rFonts w:ascii="Verdana" w:eastAsia="Century Gothic" w:hAnsi="Verdana" w:cs="Century Gothic"/>
        </w:rPr>
        <w:t>¿Puede una entidad estatal, durante la vigencia de las restricciones de contratación previstas en la Ley 996 de 2005 -Ley de Garantías Electorales-, adelantar la contratación directa de peritos?</w:t>
      </w:r>
    </w:p>
    <w:p w14:paraId="351BD365" w14:textId="77777777" w:rsidR="00BA1046" w:rsidRPr="004B140F" w:rsidRDefault="00BA1046" w:rsidP="00BA1046">
      <w:pPr>
        <w:spacing w:after="0" w:line="276" w:lineRule="auto"/>
        <w:jc w:val="both"/>
        <w:rPr>
          <w:rFonts w:ascii="Verdana" w:eastAsia="Calibri" w:hAnsi="Verdana" w:cs="Arial"/>
          <w:color w:val="7030A0"/>
        </w:rPr>
      </w:pPr>
    </w:p>
    <w:p w14:paraId="07899A8B" w14:textId="77777777" w:rsidR="00BA1046" w:rsidRPr="00593A5F" w:rsidRDefault="00BA1046" w:rsidP="00BA10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4FA7999" w14:textId="77777777" w:rsidR="00BA1046" w:rsidRPr="00593A5F" w:rsidRDefault="00BA1046" w:rsidP="00BA104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A1046" w:rsidRPr="00593A5F" w14:paraId="02E03638" w14:textId="77777777" w:rsidTr="00ED785E">
        <w:trPr>
          <w:jc w:val="center"/>
        </w:trPr>
        <w:tc>
          <w:tcPr>
            <w:tcW w:w="8828" w:type="dxa"/>
          </w:tcPr>
          <w:p w14:paraId="5817B7C6" w14:textId="77777777" w:rsidR="00BA1046" w:rsidRDefault="00BA1046" w:rsidP="00ED785E">
            <w:pPr>
              <w:spacing w:line="276" w:lineRule="auto"/>
              <w:jc w:val="both"/>
              <w:rPr>
                <w:rFonts w:ascii="Verdana" w:eastAsia="Calibri" w:hAnsi="Verdana" w:cs="Arial"/>
                <w:lang w:val="es-MX"/>
              </w:rPr>
            </w:pPr>
            <w:bookmarkStart w:id="1" w:name="_Hlk171694685"/>
            <w:r>
              <w:rPr>
                <w:rFonts w:ascii="Verdana" w:eastAsia="Calibri" w:hAnsi="Verdana" w:cs="Arial"/>
                <w:lang w:val="es-MX"/>
              </w:rPr>
              <w:t>De acuerdo con los problemas jurídicos de su consulta, se expresa lo siguiente:</w:t>
            </w:r>
          </w:p>
          <w:p w14:paraId="20F214ED" w14:textId="77777777" w:rsidR="00BA1046" w:rsidRDefault="00BA1046" w:rsidP="00ED785E">
            <w:pPr>
              <w:spacing w:line="276" w:lineRule="auto"/>
              <w:jc w:val="both"/>
              <w:rPr>
                <w:rFonts w:ascii="Verdana" w:eastAsia="Calibri" w:hAnsi="Verdana" w:cs="Arial"/>
                <w:lang w:val="es-MX"/>
              </w:rPr>
            </w:pPr>
          </w:p>
          <w:p w14:paraId="02199474" w14:textId="77777777" w:rsidR="00BA1046" w:rsidRDefault="00BA1046" w:rsidP="00ED785E">
            <w:pPr>
              <w:spacing w:after="120" w:line="276" w:lineRule="auto"/>
              <w:jc w:val="both"/>
              <w:rPr>
                <w:rFonts w:ascii="Verdana" w:hAnsi="Verdana" w:cs="Arial"/>
                <w:color w:val="000000" w:themeColor="text1"/>
                <w:lang w:val="es-ES_tradnl"/>
              </w:rPr>
            </w:pPr>
            <w:r>
              <w:rPr>
                <w:rFonts w:ascii="Verdana" w:eastAsia="Calibri" w:hAnsi="Verdana" w:cs="Arial"/>
                <w:lang w:val="es-MX"/>
              </w:rPr>
              <w:t xml:space="preserve">i. </w:t>
            </w:r>
            <w:r w:rsidRPr="00DE024F">
              <w:rPr>
                <w:rFonts w:ascii="Verdana" w:hAnsi="Verdana" w:cs="Arial"/>
                <w:color w:val="000000" w:themeColor="text1"/>
                <w:lang w:val="es-ES_tradnl"/>
              </w:rPr>
              <w:t>La</w:t>
            </w:r>
            <w:r>
              <w:rPr>
                <w:rFonts w:ascii="Verdana" w:hAnsi="Verdana" w:cs="Arial"/>
                <w:color w:val="000000" w:themeColor="text1"/>
                <w:lang w:val="es-ES_tradnl"/>
              </w:rPr>
              <w:t xml:space="preserve"> causal de contratación establecida en el literal k, numeral 4, artículo 2 de la Ley 1150 de 2007 recae</w:t>
            </w:r>
            <w:r w:rsidRPr="00DE024F">
              <w:rPr>
                <w:rFonts w:ascii="Verdana" w:hAnsi="Verdana" w:cs="Arial"/>
                <w:color w:val="000000" w:themeColor="text1"/>
                <w:lang w:val="es-ES_tradnl"/>
              </w:rPr>
              <w:t xml:space="preserve"> sobre los servicios de un experto, llámese perito o aseso</w:t>
            </w:r>
            <w:r>
              <w:rPr>
                <w:rFonts w:ascii="Verdana" w:hAnsi="Verdana" w:cs="Arial"/>
                <w:color w:val="000000" w:themeColor="text1"/>
                <w:lang w:val="es-ES_tradnl"/>
              </w:rPr>
              <w:t xml:space="preserve">r técnico, persona que debe contratarse </w:t>
            </w:r>
            <w:r w:rsidRPr="00DE024F">
              <w:rPr>
                <w:rFonts w:ascii="Verdana" w:hAnsi="Verdana" w:cs="Arial"/>
                <w:color w:val="000000" w:themeColor="text1"/>
                <w:lang w:val="es-ES_tradnl"/>
              </w:rPr>
              <w:t xml:space="preserve">con especial eficiencia y celeridad, de ahí que el legislador haya autorizado acudir a la contratación directa, toda vez que, éste deberá cumplir con el objeto del contrato, que se traduce en la realización de un peritaje o de una asesoría técnica, de manera idónea según su experiencia y experticia, dentro de las oportunidades probatorias correspondientes y respetando los términos procesales con los que cuentan las entidades estatales en el proceso judicial para ejercer válidamente los actos procesales del caso para </w:t>
            </w:r>
            <w:r w:rsidRPr="00DE024F">
              <w:rPr>
                <w:rFonts w:ascii="Verdana" w:hAnsi="Verdana" w:cs="Arial"/>
                <w:i/>
                <w:iCs/>
                <w:color w:val="000000" w:themeColor="text1"/>
                <w:lang w:val="es-ES_tradnl"/>
              </w:rPr>
              <w:t>aportar</w:t>
            </w:r>
            <w:r w:rsidRPr="00DE024F">
              <w:rPr>
                <w:rFonts w:ascii="Verdana" w:hAnsi="Verdana" w:cs="Arial"/>
                <w:color w:val="000000" w:themeColor="text1"/>
                <w:lang w:val="es-ES_tradnl"/>
              </w:rPr>
              <w:t xml:space="preserve"> o </w:t>
            </w:r>
            <w:r w:rsidRPr="00DE024F">
              <w:rPr>
                <w:rFonts w:ascii="Verdana" w:hAnsi="Verdana" w:cs="Arial"/>
                <w:i/>
                <w:iCs/>
                <w:color w:val="000000" w:themeColor="text1"/>
                <w:lang w:val="es-ES_tradnl"/>
              </w:rPr>
              <w:t>contradecir</w:t>
            </w:r>
            <w:r w:rsidRPr="00DE024F">
              <w:rPr>
                <w:rFonts w:ascii="Verdana" w:hAnsi="Verdana" w:cs="Arial"/>
                <w:color w:val="000000" w:themeColor="text1"/>
                <w:lang w:val="es-ES_tradnl"/>
              </w:rPr>
              <w:t xml:space="preserve"> pruebas, como lo son, por ejemplo, la presentación o la contestación de la demanda. </w:t>
            </w:r>
          </w:p>
          <w:p w14:paraId="2A60DD24" w14:textId="77777777" w:rsidR="00BA1046" w:rsidRDefault="00BA1046" w:rsidP="00ED785E">
            <w:pPr>
              <w:spacing w:after="120" w:line="276" w:lineRule="auto"/>
              <w:ind w:firstLine="708"/>
              <w:jc w:val="both"/>
              <w:rPr>
                <w:rFonts w:ascii="Verdana" w:hAnsi="Verdana" w:cs="Arial"/>
                <w:color w:val="000000" w:themeColor="text1"/>
                <w:lang w:val="es-ES"/>
              </w:rPr>
            </w:pPr>
            <w:r>
              <w:rPr>
                <w:rFonts w:ascii="Verdana" w:hAnsi="Verdana" w:cs="Arial"/>
                <w:color w:val="000000" w:themeColor="text1"/>
                <w:lang w:val="es-ES"/>
              </w:rPr>
              <w:t>Bajo estas consideraciones y a las razones de la respuesta de este concepto, l</w:t>
            </w:r>
            <w:r w:rsidRPr="00B853E0">
              <w:rPr>
                <w:rFonts w:ascii="Verdana" w:hAnsi="Verdana" w:cs="Arial"/>
                <w:color w:val="000000" w:themeColor="text1"/>
                <w:lang w:val="es-ES"/>
              </w:rPr>
              <w:t xml:space="preserve">os contratos </w:t>
            </w:r>
            <w:r>
              <w:rPr>
                <w:rFonts w:ascii="Verdana" w:hAnsi="Verdana" w:cs="Arial"/>
                <w:color w:val="000000" w:themeColor="text1"/>
                <w:lang w:val="es-ES"/>
              </w:rPr>
              <w:t>de peritos</w:t>
            </w:r>
            <w:r w:rsidRPr="002F712F">
              <w:rPr>
                <w:rFonts w:ascii="Verdana" w:hAnsi="Verdana" w:cs="Arial"/>
                <w:color w:val="000000" w:themeColor="text1"/>
                <w:lang w:val="es-ES_tradnl"/>
              </w:rPr>
              <w:t xml:space="preserve"> expertos o asesores técnicos para presentar o contradecir el dictamen pericial en procesos judiciales</w:t>
            </w:r>
            <w:r>
              <w:rPr>
                <w:rFonts w:ascii="Verdana" w:hAnsi="Verdana" w:cs="Arial"/>
                <w:color w:val="000000" w:themeColor="text1"/>
                <w:lang w:val="es-ES_tradnl"/>
              </w:rPr>
              <w:t xml:space="preserve"> por parte de una entidad pública</w:t>
            </w:r>
            <w:r w:rsidRPr="00B853E0">
              <w:rPr>
                <w:rFonts w:ascii="Verdana" w:hAnsi="Verdana" w:cs="Arial"/>
                <w:color w:val="000000" w:themeColor="text1"/>
                <w:lang w:val="es-ES"/>
              </w:rPr>
              <w:t xml:space="preserve"> se </w:t>
            </w:r>
            <w:r>
              <w:rPr>
                <w:rFonts w:ascii="Verdana" w:hAnsi="Verdana" w:cs="Arial"/>
                <w:color w:val="000000" w:themeColor="text1"/>
                <w:lang w:val="es-ES"/>
              </w:rPr>
              <w:t xml:space="preserve">consideran de naturaleza </w:t>
            </w:r>
            <w:proofErr w:type="spellStart"/>
            <w:r>
              <w:rPr>
                <w:rFonts w:ascii="Verdana" w:hAnsi="Verdana" w:cs="Arial"/>
                <w:color w:val="000000" w:themeColor="text1"/>
                <w:lang w:val="es-ES"/>
              </w:rPr>
              <w:t>intuitu</w:t>
            </w:r>
            <w:proofErr w:type="spellEnd"/>
            <w:r w:rsidRPr="00B853E0">
              <w:rPr>
                <w:rFonts w:ascii="Verdana" w:hAnsi="Verdana" w:cs="Arial"/>
                <w:color w:val="000000" w:themeColor="text1"/>
                <w:lang w:val="es-ES"/>
              </w:rPr>
              <w:t xml:space="preserve"> </w:t>
            </w:r>
            <w:proofErr w:type="spellStart"/>
            <w:r w:rsidRPr="00B853E0">
              <w:rPr>
                <w:rFonts w:ascii="Verdana" w:hAnsi="Verdana" w:cs="Arial"/>
                <w:color w:val="000000" w:themeColor="text1"/>
                <w:lang w:val="es-ES"/>
              </w:rPr>
              <w:t>personae</w:t>
            </w:r>
            <w:proofErr w:type="spellEnd"/>
            <w:r w:rsidRPr="00B853E0">
              <w:rPr>
                <w:rFonts w:ascii="Verdana" w:hAnsi="Verdana" w:cs="Arial"/>
                <w:color w:val="000000" w:themeColor="text1"/>
                <w:lang w:val="es-ES"/>
              </w:rPr>
              <w:t>, ya que su celebración se fundamenta en la confianza depositada en las calidades personales del perito. No se trata de la prestación de un servicio técnico, sino de la elección de un profesional específico cuya experiencia, conocimientos especializados y credibilidad resultan determinantes para garantizar la validez y utilidad del dictamen. En este sentido, la parte contratante busca precisamente la intervención de esa persona en particular, y no de un tercero que pudiera sustituirla.</w:t>
            </w:r>
          </w:p>
          <w:p w14:paraId="61106DFE" w14:textId="77777777" w:rsidR="00BA1046" w:rsidRDefault="00BA1046" w:rsidP="00ED785E">
            <w:pPr>
              <w:spacing w:line="276" w:lineRule="auto"/>
              <w:ind w:firstLine="709"/>
              <w:jc w:val="both"/>
              <w:rPr>
                <w:rFonts w:ascii="Verdana" w:hAnsi="Verdana" w:cs="Arial"/>
                <w:color w:val="000000" w:themeColor="text1"/>
                <w:lang w:val="es-ES"/>
              </w:rPr>
            </w:pPr>
            <w:r>
              <w:rPr>
                <w:rFonts w:ascii="Verdana" w:hAnsi="Verdana" w:cs="Arial"/>
                <w:color w:val="000000" w:themeColor="text1"/>
                <w:lang w:val="es-ES"/>
              </w:rPr>
              <w:t>Por ello, l</w:t>
            </w:r>
            <w:r w:rsidRPr="00FF2047">
              <w:rPr>
                <w:rFonts w:ascii="Verdana" w:hAnsi="Verdana" w:cs="Arial"/>
                <w:color w:val="000000" w:themeColor="text1"/>
                <w:lang w:val="es-ES"/>
              </w:rPr>
              <w:t xml:space="preserve">a ejecución de este tipo de contratos se sustenta en la independencia, imparcialidad y prestigio del perito o experto designado, atributos esenciales que garantizan la credibilidad y objetividad de su intervención. Estas cualidades, al ser estrictamente personales, no pueden ser </w:t>
            </w:r>
            <w:r w:rsidRPr="00FF2047">
              <w:rPr>
                <w:rFonts w:ascii="Verdana" w:hAnsi="Verdana" w:cs="Arial"/>
                <w:color w:val="000000" w:themeColor="text1"/>
                <w:lang w:val="es-ES"/>
              </w:rPr>
              <w:lastRenderedPageBreak/>
              <w:t>transferidas ni delegadas sin comprometer la naturaleza del acuerdo, salvo que exista una autorización p</w:t>
            </w:r>
            <w:r>
              <w:rPr>
                <w:rFonts w:ascii="Verdana" w:hAnsi="Verdana" w:cs="Arial"/>
                <w:color w:val="000000" w:themeColor="text1"/>
                <w:lang w:val="es-ES"/>
              </w:rPr>
              <w:t xml:space="preserve">revia y expresa mediante cesión regulada en el artículo 41 de la Ley 80 de 1993. En todo caso, al que le ceden del contrato debe cumplir las cualidades y condiciones exigidas en el contrato. </w:t>
            </w:r>
          </w:p>
          <w:p w14:paraId="4E5897CB" w14:textId="77777777" w:rsidR="00BA1046" w:rsidRDefault="00BA1046" w:rsidP="00ED785E">
            <w:pPr>
              <w:spacing w:after="120" w:line="276" w:lineRule="auto"/>
              <w:jc w:val="both"/>
              <w:rPr>
                <w:rFonts w:ascii="Verdana" w:hAnsi="Verdana" w:cs="Arial"/>
                <w:color w:val="000000" w:themeColor="text1"/>
                <w:lang w:val="es-ES"/>
              </w:rPr>
            </w:pPr>
          </w:p>
          <w:p w14:paraId="37C41D84" w14:textId="77777777" w:rsidR="00BA1046" w:rsidRDefault="00BA1046" w:rsidP="00ED785E">
            <w:pPr>
              <w:spacing w:after="120" w:line="276" w:lineRule="auto"/>
              <w:jc w:val="both"/>
              <w:rPr>
                <w:rFonts w:ascii="Verdana" w:hAnsi="Verdana" w:cs="Arial"/>
                <w:color w:val="000000" w:themeColor="text1"/>
                <w:lang w:val="es-ES_tradnl"/>
              </w:rPr>
            </w:pPr>
            <w:proofErr w:type="spellStart"/>
            <w:r>
              <w:rPr>
                <w:rFonts w:ascii="Verdana" w:hAnsi="Verdana" w:cs="Arial"/>
                <w:color w:val="000000" w:themeColor="text1"/>
                <w:lang w:val="es-ES"/>
              </w:rPr>
              <w:t>ii</w:t>
            </w:r>
            <w:proofErr w:type="spellEnd"/>
            <w:r>
              <w:rPr>
                <w:rFonts w:ascii="Verdana" w:hAnsi="Verdana" w:cs="Arial"/>
                <w:color w:val="000000" w:themeColor="text1"/>
                <w:lang w:val="es-ES"/>
              </w:rPr>
              <w:t xml:space="preserve">. </w:t>
            </w:r>
            <w:r w:rsidRPr="00DE024F">
              <w:rPr>
                <w:rFonts w:ascii="Verdana" w:hAnsi="Verdana" w:cs="Arial"/>
                <w:color w:val="000000" w:themeColor="text1"/>
                <w:lang w:val="es-ES_tradnl"/>
              </w:rPr>
              <w:t xml:space="preserve">Por expresa disposición legal, la contratación directa de peritos y asesores técnicos para la finalidad prevista en la nueva causal del literal k) del numeral 4° del artículo 2 de la Ley 1150 de 2007 comporta una </w:t>
            </w:r>
            <w:r w:rsidRPr="00DE024F">
              <w:rPr>
                <w:rFonts w:ascii="Verdana" w:hAnsi="Verdana" w:cs="Arial"/>
                <w:i/>
                <w:iCs/>
                <w:color w:val="000000" w:themeColor="text1"/>
                <w:lang w:val="es-ES_tradnl"/>
              </w:rPr>
              <w:t>excepción</w:t>
            </w:r>
            <w:r w:rsidRPr="00DE024F">
              <w:rPr>
                <w:rFonts w:ascii="Verdana" w:hAnsi="Verdana" w:cs="Arial"/>
                <w:color w:val="000000" w:themeColor="text1"/>
                <w:lang w:val="es-ES_tradnl"/>
              </w:rPr>
              <w:t xml:space="preserve"> a la restricción de la contratación directa de las entidades estatales prevista en la Ley de Garantías Electorales –Ley 996 de 2005– por lo que una entidad estatal que requiera aportar o contradecir un dictamen pericial, dentro de un proceso judicial, podrá contratar directamente al perito o asesor técnico que requiera, aun en vigencia</w:t>
            </w:r>
            <w:r>
              <w:rPr>
                <w:rFonts w:ascii="Verdana" w:hAnsi="Verdana" w:cs="Arial"/>
                <w:color w:val="000000" w:themeColor="text1"/>
                <w:lang w:val="es-ES_tradnl"/>
              </w:rPr>
              <w:t xml:space="preserve"> la prohibición establecida en </w:t>
            </w:r>
            <w:r w:rsidRPr="00DE024F">
              <w:rPr>
                <w:rFonts w:ascii="Verdana" w:hAnsi="Verdana" w:cs="Arial"/>
                <w:color w:val="000000" w:themeColor="text1"/>
                <w:lang w:val="es-ES_tradnl"/>
              </w:rPr>
              <w:t xml:space="preserve">el artículo 33 de la Ley 996 de 2005, esto es, durante los cuatro meses anteriores a las elecciones presidenciales y hasta la fecha al cual el presidente sea elegido. Esta excepción se </w:t>
            </w:r>
            <w:r>
              <w:rPr>
                <w:rFonts w:ascii="Verdana" w:hAnsi="Verdana" w:cs="Arial"/>
                <w:color w:val="000000" w:themeColor="text1"/>
                <w:lang w:val="es-ES_tradnl"/>
              </w:rPr>
              <w:t xml:space="preserve">regula </w:t>
            </w:r>
            <w:r w:rsidRPr="00DE024F">
              <w:rPr>
                <w:rFonts w:ascii="Verdana" w:hAnsi="Verdana" w:cs="Arial"/>
                <w:color w:val="000000" w:themeColor="text1"/>
                <w:lang w:val="es-ES_tradnl"/>
              </w:rPr>
              <w:t>en el numeral 1 del artículo 222 de la Ley 1437 de 2011, de acuerdo co</w:t>
            </w:r>
            <w:r>
              <w:rPr>
                <w:rFonts w:ascii="Verdana" w:hAnsi="Verdana" w:cs="Arial"/>
                <w:color w:val="000000" w:themeColor="text1"/>
                <w:lang w:val="es-ES_tradnl"/>
              </w:rPr>
              <w:t>n la modificación d</w:t>
            </w:r>
            <w:r w:rsidRPr="00DE024F">
              <w:rPr>
                <w:rFonts w:ascii="Verdana" w:hAnsi="Verdana" w:cs="Arial"/>
                <w:color w:val="000000" w:themeColor="text1"/>
                <w:lang w:val="es-ES_tradnl"/>
              </w:rPr>
              <w:t xml:space="preserve">el artículo 58 de la Ley 2080 de 2021. En tal sentido, se encuentra que la contratación </w:t>
            </w:r>
            <w:r>
              <w:rPr>
                <w:rFonts w:ascii="Verdana" w:hAnsi="Verdana" w:cs="Arial"/>
                <w:color w:val="000000" w:themeColor="text1"/>
                <w:lang w:val="es-ES_tradnl"/>
              </w:rPr>
              <w:t xml:space="preserve">celebrada </w:t>
            </w:r>
            <w:r w:rsidRPr="00DE024F">
              <w:rPr>
                <w:rFonts w:ascii="Verdana" w:hAnsi="Verdana" w:cs="Arial"/>
                <w:color w:val="000000" w:themeColor="text1"/>
                <w:lang w:val="es-ES_tradnl"/>
              </w:rPr>
              <w:t xml:space="preserve">por entidades públicas para la selección de peritos expertos o asesores técnicos para presentar o contradecir el dictamen pericial en procesos judiciales, sería una excepción adicional a las dispuestas en el inciso segundo del artículo 33 de la Ley 1996 de 2005 – Ley de Garantías Electorales-. </w:t>
            </w:r>
          </w:p>
          <w:p w14:paraId="79AD1177" w14:textId="77777777" w:rsidR="00BA1046" w:rsidRPr="00DE024F" w:rsidRDefault="00BA1046" w:rsidP="00ED785E">
            <w:pPr>
              <w:spacing w:after="120" w:line="276" w:lineRule="auto"/>
              <w:ind w:firstLine="708"/>
              <w:jc w:val="both"/>
              <w:rPr>
                <w:rFonts w:ascii="Verdana" w:hAnsi="Verdana" w:cs="Arial"/>
                <w:color w:val="000000" w:themeColor="text1"/>
                <w:lang w:val="es-ES_tradnl"/>
              </w:rPr>
            </w:pPr>
            <w:r w:rsidRPr="00DE024F">
              <w:rPr>
                <w:rFonts w:ascii="Verdana" w:hAnsi="Verdana" w:cs="Arial"/>
                <w:color w:val="000000" w:themeColor="text1"/>
                <w:lang w:val="es-ES_tradnl"/>
              </w:rPr>
              <w:t xml:space="preserve">De otro lado, cabe resaltar que tanto el artículo 82 que adicionó la causal de contratación directa, como el artículo 58 que dispuso las reglas especiales de las entidades públicas para la prueba pericial, entraron en vigor a partir del 25 de enero de 2021, fecha en que se publicó la Ley 2080 de 2021, por lo que su aplicación directa inició a partir de esa fecha en los términos previstos en el artículo 86 de la ley, sin que se observe que la norma haya deferido los efectos jurídicos de esos artículos a la existencia de una reglamentación posterior que provenga del Gobierno Nacional, en ejercicio de la competencia prevista en el artículo 189.11 de la Constitución Política. </w:t>
            </w:r>
          </w:p>
          <w:p w14:paraId="7F83EB20" w14:textId="77777777" w:rsidR="00BA1046" w:rsidRPr="007C219A" w:rsidRDefault="00BA1046" w:rsidP="00ED785E">
            <w:pPr>
              <w:spacing w:after="120" w:line="276" w:lineRule="auto"/>
              <w:ind w:firstLine="709"/>
              <w:jc w:val="both"/>
              <w:rPr>
                <w:rFonts w:ascii="Verdana" w:hAnsi="Verdana" w:cs="Arial"/>
                <w:color w:val="000000" w:themeColor="text1"/>
                <w:lang w:val="es-ES_tradnl"/>
              </w:rPr>
            </w:pPr>
            <w:r w:rsidRPr="006C42DB">
              <w:rPr>
                <w:rFonts w:ascii="Verdana" w:hAnsi="Verdana" w:cs="Arial"/>
                <w:color w:val="000000" w:themeColor="text1"/>
                <w:lang w:val="es-ES_tradnl"/>
              </w:rPr>
              <w:t xml:space="preserve">Finalmente, esta Agencia considera que aun cuando la tipología contractual para contratar a un experto con la finalidad de que éste realice un peritaje o brinde asesoría técnica para aportar o controvertir pruebas en un proceso judicial, podría ser el contrato de prestación de servicios, lo cierto es </w:t>
            </w:r>
            <w:r w:rsidRPr="006C42DB">
              <w:rPr>
                <w:rFonts w:ascii="Verdana" w:hAnsi="Verdana" w:cs="Arial"/>
                <w:color w:val="000000" w:themeColor="text1"/>
                <w:lang w:val="es-ES_tradnl"/>
              </w:rPr>
              <w:lastRenderedPageBreak/>
              <w:t xml:space="preserve">que el literal k) adicionado al numeral 4° del artículo 2 de la ley 1150 de 2007 es una nueva causal de contratación directa, autónoma y distinta a la prevista en el literal h) de esa misma norma que fue prevista para los contratos de prestación de servicios profesionales y de apoyo a la gestión o para la ejecución de trabajos artísticos que solo puedan encomendarse a determinadas personas naturales. </w:t>
            </w:r>
          </w:p>
        </w:tc>
      </w:tr>
    </w:tbl>
    <w:p w14:paraId="6E8CC51A" w14:textId="77777777" w:rsidR="00BA1046" w:rsidRPr="00593A5F" w:rsidRDefault="00BA1046" w:rsidP="00BA1046">
      <w:pPr>
        <w:tabs>
          <w:tab w:val="left" w:pos="142"/>
          <w:tab w:val="left" w:pos="284"/>
        </w:tabs>
        <w:spacing w:after="0" w:line="276" w:lineRule="auto"/>
        <w:jc w:val="both"/>
        <w:rPr>
          <w:rFonts w:ascii="Verdana" w:eastAsia="Century Gothic" w:hAnsi="Verdana" w:cs="Century Gothic"/>
          <w:b/>
          <w:bCs/>
          <w:lang w:val="es-ES"/>
        </w:rPr>
      </w:pPr>
    </w:p>
    <w:bookmarkEnd w:id="1"/>
    <w:p w14:paraId="29727095" w14:textId="77777777" w:rsidR="00BA1046" w:rsidRPr="00593A5F" w:rsidRDefault="00BA1046" w:rsidP="00BA10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655D188" w14:textId="77777777" w:rsidR="00BA1046" w:rsidRPr="00593A5F" w:rsidRDefault="00BA1046" w:rsidP="00BA1046">
      <w:pPr>
        <w:spacing w:after="0" w:line="276" w:lineRule="auto"/>
        <w:jc w:val="both"/>
        <w:rPr>
          <w:rFonts w:ascii="Verdana" w:eastAsia="Calibri" w:hAnsi="Verdana" w:cs="Arial"/>
          <w:color w:val="7030A0"/>
          <w:lang w:val="es-ES"/>
        </w:rPr>
      </w:pPr>
    </w:p>
    <w:p w14:paraId="45541A3C" w14:textId="77777777" w:rsidR="00BA1046" w:rsidRDefault="00BA1046" w:rsidP="00BA1046">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67F42BE" w14:textId="77777777" w:rsidR="00BA1046" w:rsidRDefault="00BA1046" w:rsidP="00BA1046">
      <w:pPr>
        <w:spacing w:after="0" w:line="276" w:lineRule="auto"/>
        <w:jc w:val="both"/>
        <w:rPr>
          <w:rFonts w:ascii="Verdana" w:eastAsia="Calibri" w:hAnsi="Verdana" w:cs="Arial"/>
          <w:lang w:val="es-ES"/>
        </w:rPr>
      </w:pPr>
    </w:p>
    <w:p w14:paraId="1B304FCA" w14:textId="77777777" w:rsidR="00BA1046" w:rsidRPr="002D6B43" w:rsidRDefault="00BA1046" w:rsidP="00BA1046">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2771A6EA" w14:textId="77777777" w:rsidR="00BA1046" w:rsidRPr="006B14B5" w:rsidRDefault="00BA1046" w:rsidP="00BA1046">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2"/>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E1D3121" w14:textId="77777777" w:rsidR="00BA1046" w:rsidRPr="00E2397D" w:rsidRDefault="00BA1046" w:rsidP="00BA1046">
      <w:pPr>
        <w:spacing w:after="0" w:line="276" w:lineRule="auto"/>
        <w:ind w:right="709"/>
        <w:contextualSpacing/>
        <w:jc w:val="both"/>
        <w:rPr>
          <w:rFonts w:ascii="Verdana" w:eastAsia="Times New Roman" w:hAnsi="Verdana" w:cs="Arial"/>
          <w:lang w:val="es-ES" w:eastAsia="es-CO"/>
        </w:rPr>
      </w:pPr>
    </w:p>
    <w:p w14:paraId="50F29BD3" w14:textId="77777777" w:rsidR="00BA1046" w:rsidRPr="00E2397D" w:rsidRDefault="00BA1046" w:rsidP="00BA104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lastRenderedPageBreak/>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650C985" w14:textId="77777777" w:rsidR="00BA1046" w:rsidRDefault="00BA1046" w:rsidP="00BA1046">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644F9AF4" w14:textId="77777777" w:rsidR="00BA1046" w:rsidRPr="000B35C5" w:rsidRDefault="00BA1046" w:rsidP="00BA1046">
      <w:pPr>
        <w:spacing w:after="0" w:line="240" w:lineRule="auto"/>
        <w:ind w:left="709" w:right="709"/>
        <w:contextualSpacing/>
        <w:jc w:val="both"/>
        <w:rPr>
          <w:rFonts w:ascii="Verdana" w:eastAsia="Times New Roman" w:hAnsi="Verdana" w:cs="Arial"/>
          <w:sz w:val="12"/>
          <w:szCs w:val="12"/>
          <w:lang w:val="es-MX" w:eastAsia="es-CO"/>
        </w:rPr>
      </w:pPr>
    </w:p>
    <w:p w14:paraId="5CF85FDA" w14:textId="77777777" w:rsidR="00BA1046" w:rsidRPr="00E2397D" w:rsidRDefault="00BA1046" w:rsidP="00BA104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3F820689" w14:textId="77777777" w:rsidR="00BA1046" w:rsidRPr="00E2397D" w:rsidRDefault="00BA1046" w:rsidP="00BA1046">
      <w:pPr>
        <w:spacing w:after="0" w:line="276" w:lineRule="auto"/>
        <w:ind w:firstLine="709"/>
        <w:jc w:val="both"/>
        <w:rPr>
          <w:rFonts w:ascii="Verdana" w:eastAsia="Times New Roman" w:hAnsi="Verdana" w:cs="Arial"/>
          <w:lang w:val="es-MX" w:eastAsia="es-CO"/>
        </w:rPr>
      </w:pPr>
      <w:bookmarkStart w:id="3" w:name="_Hlk78818186"/>
    </w:p>
    <w:p w14:paraId="7A419586" w14:textId="77777777" w:rsidR="00BA1046" w:rsidRPr="00E2397D" w:rsidRDefault="00BA1046" w:rsidP="00BA1046">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41123B21" w14:textId="77777777" w:rsidR="00BA1046" w:rsidRPr="00886C02" w:rsidRDefault="00BA1046" w:rsidP="00BA1046">
      <w:pPr>
        <w:spacing w:after="0" w:line="276" w:lineRule="auto"/>
        <w:ind w:firstLine="709"/>
        <w:jc w:val="both"/>
        <w:rPr>
          <w:rFonts w:ascii="Verdana" w:eastAsia="Times New Roman" w:hAnsi="Verdana" w:cs="Arial"/>
          <w:lang w:val="es-MX" w:eastAsia="es-CO"/>
        </w:rPr>
      </w:pPr>
    </w:p>
    <w:p w14:paraId="737327CB" w14:textId="77777777" w:rsidR="00BA1046" w:rsidRPr="00E2397D" w:rsidRDefault="00BA1046" w:rsidP="00BA104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3CA898A" w14:textId="77777777" w:rsidR="00BA1046" w:rsidRPr="000B35C5" w:rsidRDefault="00BA1046" w:rsidP="00BA1046">
      <w:pPr>
        <w:spacing w:after="0" w:line="240" w:lineRule="auto"/>
        <w:ind w:right="709"/>
        <w:contextualSpacing/>
        <w:jc w:val="both"/>
        <w:rPr>
          <w:rFonts w:ascii="Verdana" w:eastAsia="Times New Roman" w:hAnsi="Verdana" w:cs="Arial"/>
          <w:sz w:val="12"/>
          <w:szCs w:val="12"/>
          <w:lang w:val="es-MX" w:eastAsia="es-CO"/>
        </w:rPr>
      </w:pPr>
    </w:p>
    <w:p w14:paraId="2C0B311A" w14:textId="77777777" w:rsidR="00BA1046" w:rsidRPr="00E2397D" w:rsidRDefault="00BA1046" w:rsidP="00BA104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xml:space="preserve">, coinciden en que las normas que establecen prohibiciones deben estar de </w:t>
      </w:r>
      <w:r w:rsidRPr="00E2397D">
        <w:rPr>
          <w:rFonts w:ascii="Verdana" w:eastAsia="Times New Roman" w:hAnsi="Verdana" w:cs="Arial"/>
          <w:sz w:val="20"/>
          <w:szCs w:val="20"/>
          <w:lang w:val="es-MX"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44676E3D" w14:textId="77777777" w:rsidR="00BA1046" w:rsidRPr="00E2397D" w:rsidRDefault="00BA1046" w:rsidP="00BA1046">
      <w:pPr>
        <w:spacing w:after="0" w:line="276" w:lineRule="auto"/>
        <w:jc w:val="both"/>
        <w:rPr>
          <w:rFonts w:ascii="Verdana" w:eastAsia="Calibri" w:hAnsi="Verdana" w:cs="Arial"/>
          <w:bCs/>
          <w:lang w:val="es-ES_tradnl"/>
        </w:rPr>
      </w:pPr>
    </w:p>
    <w:p w14:paraId="4EFCF20D" w14:textId="77777777" w:rsidR="00BA1046" w:rsidRDefault="00BA1046" w:rsidP="00BA1046">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bookmarkStart w:id="5"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8DEB908" w14:textId="77777777" w:rsidR="00BA1046" w:rsidRPr="00E2397D" w:rsidRDefault="00BA1046" w:rsidP="00BA1046">
      <w:pPr>
        <w:spacing w:after="0" w:line="276" w:lineRule="auto"/>
        <w:ind w:firstLine="709"/>
        <w:jc w:val="both"/>
        <w:rPr>
          <w:rFonts w:ascii="Verdana" w:eastAsia="Arial" w:hAnsi="Verdana" w:cs="Arial"/>
          <w:lang w:val="es-ES" w:eastAsia="es-ES" w:bidi="es-ES"/>
        </w:rPr>
      </w:pPr>
    </w:p>
    <w:p w14:paraId="736D5FB7" w14:textId="77777777" w:rsidR="00BA1046" w:rsidRPr="00E2397D" w:rsidRDefault="00BA1046" w:rsidP="00BA1046">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45FDDA54" w14:textId="77777777" w:rsidR="00BA1046" w:rsidRPr="00E2397D" w:rsidRDefault="00BA1046" w:rsidP="00BA1046">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36ADA341" w14:textId="77777777" w:rsidR="00BA1046" w:rsidRDefault="00BA1046" w:rsidP="00BA1046">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w:t>
      </w:r>
      <w:r w:rsidRPr="00E2397D">
        <w:rPr>
          <w:rFonts w:ascii="Verdana" w:eastAsia="Calibri" w:hAnsi="Verdana" w:cs="Arial"/>
        </w:rPr>
        <w:lastRenderedPageBreak/>
        <w:t xml:space="preserve">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5"/>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3E5CCD2E" w14:textId="77777777" w:rsidR="00BA1046" w:rsidRDefault="00BA1046" w:rsidP="00BA1046">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09382C04" w14:textId="77777777" w:rsidR="00BA1046" w:rsidRDefault="00BA1046" w:rsidP="00BA1046">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4AFD41CF" w14:textId="77777777" w:rsidR="00BA1046" w:rsidRDefault="00BA1046" w:rsidP="00BA1046">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w:t>
      </w:r>
      <w:r>
        <w:rPr>
          <w:rFonts w:ascii="Verdana" w:eastAsia="Times New Roman" w:hAnsi="Verdana" w:cs="Arial"/>
          <w:bCs/>
          <w:lang w:val="es-ES" w:eastAsia="es-CO"/>
        </w:rPr>
        <w:lastRenderedPageBreak/>
        <w:t xml:space="preserve">Por tanto, no se refiere a los requisitos de ejecución, es decir, aquellas condiciones para iniciar un contrato, como es la aprobación de las garantías o el registro presupuestal, o en algunos casos, la firma del acta de inicio, si así se determinó. </w:t>
      </w:r>
    </w:p>
    <w:p w14:paraId="70D2906B" w14:textId="77777777" w:rsidR="00BA1046" w:rsidRPr="00894384" w:rsidRDefault="00BA1046" w:rsidP="00BA1046">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58FB3A20" w14:textId="77777777" w:rsidR="00BA1046" w:rsidRPr="00E2397D" w:rsidRDefault="00BA1046" w:rsidP="00BA1046">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38F1D523" w14:textId="77777777" w:rsidR="00BA1046" w:rsidRPr="00E2397D" w:rsidRDefault="00BA1046" w:rsidP="00BA1046">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308A6EB1" w14:textId="77777777" w:rsidR="00BA1046" w:rsidRPr="00E2397D" w:rsidRDefault="00BA1046" w:rsidP="00BA1046">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2397D">
        <w:rPr>
          <w:rFonts w:ascii="Verdana" w:eastAsia="Arial" w:hAnsi="Verdana" w:cs="Arial"/>
          <w:sz w:val="20"/>
          <w:szCs w:val="20"/>
          <w:lang w:eastAsia="es-ES" w:bidi="es-ES"/>
        </w:rPr>
        <w:t>se integran parcialmente</w:t>
      </w:r>
      <w:bookmarkEnd w:id="8"/>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49C54102" w14:textId="77777777" w:rsidR="00BA1046" w:rsidRPr="00E2397D" w:rsidRDefault="00BA1046" w:rsidP="00BA1046">
      <w:pPr>
        <w:widowControl w:val="0"/>
        <w:autoSpaceDE w:val="0"/>
        <w:autoSpaceDN w:val="0"/>
        <w:spacing w:after="0" w:line="276" w:lineRule="auto"/>
        <w:contextualSpacing/>
        <w:rPr>
          <w:rFonts w:ascii="Verdana" w:eastAsia="Arial" w:hAnsi="Verdana" w:cs="Arial"/>
          <w:lang w:val="es-ES" w:eastAsia="es-ES" w:bidi="es-ES"/>
        </w:rPr>
      </w:pPr>
    </w:p>
    <w:p w14:paraId="2F5BD939" w14:textId="77777777" w:rsidR="00BA1046" w:rsidRPr="00E2397D" w:rsidRDefault="00BA1046" w:rsidP="00BA1046">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w:t>
      </w:r>
      <w:r w:rsidRPr="00E2397D">
        <w:rPr>
          <w:rFonts w:ascii="Verdana" w:eastAsia="Arial" w:hAnsi="Verdana" w:cs="Arial"/>
          <w:lang w:val="es-ES" w:eastAsia="es-ES" w:bidi="es-ES"/>
        </w:rPr>
        <w:lastRenderedPageBreak/>
        <w:t xml:space="preserve">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71A91DF8" w14:textId="77777777" w:rsidR="00BA1046" w:rsidRPr="00E2397D" w:rsidRDefault="00BA1046" w:rsidP="00BA1046">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1"/>
    <w:p w14:paraId="7FEFB11F" w14:textId="77777777" w:rsidR="00BA1046" w:rsidRDefault="00BA1046" w:rsidP="00BA1046">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296AE02F" w14:textId="77777777" w:rsidR="00BA1046" w:rsidRPr="00E2397D" w:rsidRDefault="00BA1046" w:rsidP="00BA1046">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2" w:name="_Hlk78820161"/>
    </w:p>
    <w:p w14:paraId="04273089" w14:textId="77777777" w:rsidR="00BA1046" w:rsidRPr="0057193B" w:rsidRDefault="00BA1046" w:rsidP="00BA1046">
      <w:pPr>
        <w:spacing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bookmarkEnd w:id="12"/>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 xml:space="preserve">queda prohibida la contratación </w:t>
      </w:r>
      <w:r w:rsidRPr="0057193B">
        <w:rPr>
          <w:rFonts w:ascii="Verdana" w:eastAsia="Times New Roman" w:hAnsi="Verdana" w:cs="Arial"/>
          <w:bCs/>
          <w:lang w:val="es-MX" w:eastAsia="x-none"/>
        </w:rPr>
        <w:lastRenderedPageBreak/>
        <w:t>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6E7DB9DB" w14:textId="77777777" w:rsidR="00BA1046" w:rsidRPr="00817856" w:rsidRDefault="00BA1046" w:rsidP="00BA1046">
      <w:pPr>
        <w:spacing w:after="0" w:line="240" w:lineRule="auto"/>
        <w:ind w:left="708" w:right="709"/>
        <w:jc w:val="both"/>
        <w:rPr>
          <w:rFonts w:ascii="Verdana" w:eastAsia="Calibri" w:hAnsi="Verdana" w:cs="Arial"/>
          <w:sz w:val="20"/>
          <w:szCs w:val="20"/>
          <w:lang w:val="es-MX"/>
        </w:rPr>
      </w:pPr>
    </w:p>
    <w:p w14:paraId="684FE856" w14:textId="77777777" w:rsidR="00BA1046" w:rsidRDefault="00BA1046" w:rsidP="00BA1046">
      <w:pPr>
        <w:spacing w:after="0" w:line="240" w:lineRule="auto"/>
        <w:ind w:left="709" w:right="709"/>
        <w:jc w:val="both"/>
        <w:rPr>
          <w:rFonts w:ascii="Verdana" w:eastAsia="Calibri" w:hAnsi="Verdana" w:cs="Arial"/>
          <w:sz w:val="20"/>
          <w:szCs w:val="20"/>
          <w:lang w:val="es-MX"/>
        </w:rPr>
      </w:pPr>
      <w:r w:rsidRPr="00817856">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817856">
        <w:rPr>
          <w:rFonts w:ascii="Verdana" w:eastAsia="Times New Roman" w:hAnsi="Verdana" w:cs="Arial"/>
          <w:sz w:val="20"/>
          <w:szCs w:val="20"/>
          <w:vertAlign w:val="superscript"/>
          <w:lang w:eastAsia="es-CO"/>
        </w:rPr>
        <w:footnoteReference w:id="12"/>
      </w:r>
      <w:r w:rsidRPr="00817856">
        <w:rPr>
          <w:rFonts w:ascii="Verdana" w:eastAsia="Calibri" w:hAnsi="Verdana" w:cs="Arial"/>
          <w:sz w:val="20"/>
          <w:szCs w:val="20"/>
          <w:lang w:val="es-MX"/>
        </w:rPr>
        <w:t>.</w:t>
      </w:r>
    </w:p>
    <w:p w14:paraId="5C912D17" w14:textId="77777777" w:rsidR="00BA1046" w:rsidRPr="00817856" w:rsidRDefault="00BA1046" w:rsidP="00BA1046">
      <w:pPr>
        <w:spacing w:after="0" w:line="240" w:lineRule="auto"/>
        <w:ind w:left="709" w:right="709"/>
        <w:jc w:val="both"/>
        <w:rPr>
          <w:rFonts w:ascii="Verdana" w:eastAsia="Calibri" w:hAnsi="Verdana" w:cs="Arial"/>
          <w:sz w:val="20"/>
          <w:szCs w:val="20"/>
          <w:lang w:val="es-MX"/>
        </w:rPr>
      </w:pPr>
    </w:p>
    <w:p w14:paraId="487BC33E" w14:textId="77777777" w:rsidR="00BA1046" w:rsidRPr="00817856" w:rsidRDefault="00BA1046" w:rsidP="00BA1046">
      <w:pPr>
        <w:spacing w:after="0" w:line="240" w:lineRule="auto"/>
        <w:ind w:left="708" w:right="709"/>
        <w:jc w:val="both"/>
        <w:rPr>
          <w:rFonts w:ascii="Verdana" w:eastAsia="Calibri" w:hAnsi="Verdana" w:cs="Arial"/>
          <w:sz w:val="20"/>
          <w:szCs w:val="20"/>
          <w:lang w:val="es-MX"/>
        </w:rPr>
      </w:pPr>
      <w:r w:rsidRPr="00817856">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817856">
        <w:rPr>
          <w:rFonts w:ascii="Verdana" w:eastAsia="Times New Roman" w:hAnsi="Verdana" w:cs="Arial"/>
          <w:sz w:val="20"/>
          <w:szCs w:val="20"/>
          <w:vertAlign w:val="superscript"/>
          <w:lang w:val="es-MX"/>
        </w:rPr>
        <w:footnoteReference w:id="13"/>
      </w:r>
      <w:r w:rsidRPr="00817856">
        <w:rPr>
          <w:rFonts w:ascii="Verdana" w:eastAsia="Times New Roman" w:hAnsi="Verdana" w:cs="Arial"/>
          <w:sz w:val="20"/>
          <w:szCs w:val="20"/>
          <w:vertAlign w:val="superscript"/>
          <w:lang w:val="es-MX"/>
        </w:rPr>
        <w:t>.</w:t>
      </w:r>
      <w:r w:rsidRPr="00817856">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817856">
        <w:rPr>
          <w:rFonts w:ascii="Verdana" w:eastAsia="Times New Roman" w:hAnsi="Verdana" w:cs="Arial"/>
          <w:sz w:val="20"/>
          <w:szCs w:val="20"/>
          <w:vertAlign w:val="superscript"/>
          <w:lang w:eastAsia="es-CO"/>
        </w:rPr>
        <w:footnoteReference w:id="14"/>
      </w:r>
      <w:r w:rsidRPr="00817856">
        <w:rPr>
          <w:rFonts w:ascii="Verdana" w:eastAsia="Calibri" w:hAnsi="Verdana" w:cs="Arial"/>
          <w:sz w:val="20"/>
          <w:szCs w:val="20"/>
          <w:lang w:val="es-MX"/>
        </w:rPr>
        <w:t xml:space="preserve"> .</w:t>
      </w:r>
    </w:p>
    <w:p w14:paraId="4EFDECFA" w14:textId="77777777" w:rsidR="00BA1046" w:rsidRPr="0057193B" w:rsidRDefault="00BA1046" w:rsidP="00BA1046">
      <w:pPr>
        <w:shd w:val="clear" w:color="auto" w:fill="FFFFFF"/>
        <w:spacing w:after="0" w:line="276" w:lineRule="auto"/>
        <w:ind w:firstLine="709"/>
        <w:jc w:val="both"/>
        <w:rPr>
          <w:rFonts w:ascii="Verdana" w:eastAsia="Times New Roman" w:hAnsi="Verdana" w:cs="Arial"/>
          <w:lang w:eastAsia="x-none"/>
        </w:rPr>
      </w:pPr>
    </w:p>
    <w:p w14:paraId="7E790949" w14:textId="77777777" w:rsidR="00BA1046" w:rsidRPr="0057193B" w:rsidRDefault="00BA1046" w:rsidP="00BA1046">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46626E4" w14:textId="77777777" w:rsidR="00BA1046" w:rsidRPr="0057193B" w:rsidRDefault="00BA1046" w:rsidP="00BA1046">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lastRenderedPageBreak/>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5DEEA58F" w14:textId="77777777" w:rsidR="00BA1046" w:rsidRPr="005154AE" w:rsidRDefault="00BA1046" w:rsidP="00BA1046">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w:t>
      </w:r>
      <w:r>
        <w:rPr>
          <w:rFonts w:ascii="Verdana" w:eastAsia="Times New Roman" w:hAnsi="Verdana" w:cs="Arial"/>
          <w:lang w:eastAsia="x-none"/>
        </w:rPr>
        <w:t>ue dicho sistema no constituye “contratación directa”</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lang w:eastAsia="x-none"/>
        </w:rPr>
        <w:t xml:space="preserve">. </w:t>
      </w:r>
    </w:p>
    <w:p w14:paraId="275249A6" w14:textId="77777777" w:rsidR="00BA1046" w:rsidRPr="0057193B" w:rsidRDefault="00BA1046" w:rsidP="00BA1046">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w:t>
      </w:r>
      <w:r>
        <w:rPr>
          <w:rFonts w:ascii="Verdana" w:eastAsia="Times New Roman" w:hAnsi="Verdana" w:cs="Arial"/>
          <w:bCs/>
          <w:lang w:val="es-MX" w:eastAsia="es-CO"/>
        </w:rPr>
        <w:t xml:space="preserve"> mayor precisión el término de “contratación directa”</w:t>
      </w:r>
      <w:r w:rsidRPr="0057193B">
        <w:rPr>
          <w:rFonts w:ascii="Verdana" w:eastAsia="Times New Roman" w:hAnsi="Verdana" w:cs="Arial"/>
          <w:bCs/>
          <w:lang w:val="es-MX" w:eastAsia="es-CO"/>
        </w:rPr>
        <w:t>.</w:t>
      </w:r>
    </w:p>
    <w:p w14:paraId="1AE031F5" w14:textId="77777777" w:rsidR="00BA1046" w:rsidRPr="0057193B" w:rsidRDefault="00BA1046" w:rsidP="00BA1046">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w:t>
      </w:r>
      <w:r w:rsidRPr="0057193B">
        <w:rPr>
          <w:rFonts w:ascii="Verdana" w:eastAsia="Times New Roman" w:hAnsi="Verdana" w:cs="Arial"/>
          <w:bCs/>
          <w:lang w:val="es-MX" w:eastAsia="x-none"/>
        </w:rPr>
        <w:lastRenderedPageBreak/>
        <w:t>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25E956E0" w14:textId="77777777" w:rsidR="00BA1046" w:rsidRPr="0057193B" w:rsidRDefault="00BA1046" w:rsidP="00BA1046">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3B6A52C" w14:textId="77777777" w:rsidR="00BA1046" w:rsidRPr="0057193B" w:rsidRDefault="00BA1046" w:rsidP="00BA1046">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0EB3BA4" w14:textId="77777777" w:rsidR="00BA1046" w:rsidRPr="0057193B" w:rsidRDefault="00BA1046" w:rsidP="00BA1046">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19"/>
      </w:r>
      <w:r w:rsidRPr="0057193B">
        <w:rPr>
          <w:rFonts w:ascii="Verdana" w:eastAsia="Times New Roman" w:hAnsi="Verdana" w:cs="Arial"/>
          <w:bCs/>
          <w:lang w:val="es-MX" w:eastAsia="x-none"/>
        </w:rPr>
        <w:t xml:space="preserve">. De ahí que la Corte haya </w:t>
      </w:r>
      <w:r w:rsidRPr="0057193B">
        <w:rPr>
          <w:rFonts w:ascii="Verdana" w:eastAsia="Times New Roman" w:hAnsi="Verdana" w:cs="Arial"/>
          <w:bCs/>
          <w:lang w:val="es-MX" w:eastAsia="x-none"/>
        </w:rPr>
        <w:lastRenderedPageBreak/>
        <w:t>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2B5BADF7" w14:textId="77777777" w:rsidR="00BA1046" w:rsidRPr="0057193B" w:rsidRDefault="00BA1046" w:rsidP="00BA1046">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772D96B9" w14:textId="77777777" w:rsidR="00BA1046" w:rsidRPr="0057193B" w:rsidRDefault="00BA1046" w:rsidP="00BA1046">
      <w:pPr>
        <w:spacing w:after="0" w:line="276" w:lineRule="auto"/>
        <w:jc w:val="both"/>
        <w:rPr>
          <w:rFonts w:ascii="Verdana" w:eastAsia="Times New Roman" w:hAnsi="Verdana" w:cs="Arial"/>
          <w:bCs/>
          <w:lang w:val="es-MX" w:eastAsia="x-none"/>
        </w:rPr>
      </w:pPr>
    </w:p>
    <w:p w14:paraId="2AFC27AD" w14:textId="77777777" w:rsidR="00BA1046" w:rsidRPr="0057193B" w:rsidRDefault="00BA1046" w:rsidP="00BA1046">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0"/>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268AE40D" w14:textId="77777777" w:rsidR="00BA1046" w:rsidRPr="0057193B" w:rsidRDefault="00BA1046" w:rsidP="00BA1046">
      <w:pPr>
        <w:spacing w:after="0" w:line="276" w:lineRule="auto"/>
        <w:ind w:firstLine="708"/>
        <w:jc w:val="both"/>
        <w:rPr>
          <w:rFonts w:ascii="Verdana" w:eastAsia="Times New Roman" w:hAnsi="Verdana" w:cs="Arial"/>
          <w:bCs/>
          <w:lang w:val="es-MX" w:eastAsia="es-CO"/>
        </w:rPr>
      </w:pPr>
    </w:p>
    <w:p w14:paraId="395B9626" w14:textId="77777777" w:rsidR="00BA1046" w:rsidRPr="0057193B" w:rsidRDefault="00BA1046" w:rsidP="00BA1046">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 xml:space="preserve">ambas partes, por el </w:t>
      </w:r>
      <w:r>
        <w:rPr>
          <w:rFonts w:ascii="Verdana" w:eastAsia="Times New Roman" w:hAnsi="Verdana" w:cs="Arial"/>
          <w:bCs/>
          <w:lang w:val="es-MX" w:eastAsia="x-none"/>
        </w:rPr>
        <w:lastRenderedPageBreak/>
        <w:t>Legislador”</w:t>
      </w:r>
      <w:r w:rsidRPr="0057193B">
        <w:rPr>
          <w:rFonts w:ascii="Verdana" w:eastAsia="Calibri" w:hAnsi="Verdana" w:cs="Arial"/>
          <w:sz w:val="24"/>
          <w:vertAlign w:val="superscript"/>
          <w:lang w:val="es-MX"/>
        </w:rPr>
        <w:footnoteReference w:id="21"/>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099BF7F7" w14:textId="77777777" w:rsidR="00BA1046" w:rsidRPr="0057193B" w:rsidRDefault="00BA1046" w:rsidP="00BA1046">
      <w:pPr>
        <w:spacing w:after="0" w:line="276" w:lineRule="auto"/>
        <w:jc w:val="both"/>
        <w:rPr>
          <w:rFonts w:ascii="Verdana" w:eastAsia="Calibri" w:hAnsi="Verdana" w:cs="Arial"/>
          <w:lang w:val="es-MX"/>
        </w:rPr>
      </w:pPr>
    </w:p>
    <w:p w14:paraId="3F846F22" w14:textId="77777777" w:rsidR="00BA1046" w:rsidRPr="001924B7" w:rsidRDefault="00BA1046" w:rsidP="00BA1046">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6A8523A" w14:textId="77777777" w:rsidR="00BA1046" w:rsidRPr="001924B7" w:rsidRDefault="00BA1046" w:rsidP="00BA1046">
      <w:pPr>
        <w:spacing w:after="0" w:line="240" w:lineRule="auto"/>
        <w:ind w:left="708" w:right="709"/>
        <w:jc w:val="both"/>
        <w:rPr>
          <w:rFonts w:ascii="Verdana" w:eastAsia="Calibri" w:hAnsi="Verdana" w:cs="Arial"/>
          <w:sz w:val="20"/>
          <w:szCs w:val="20"/>
          <w:lang w:val="es-MX"/>
        </w:rPr>
      </w:pPr>
    </w:p>
    <w:p w14:paraId="126763F9" w14:textId="77777777" w:rsidR="00BA1046" w:rsidRPr="001924B7" w:rsidRDefault="00BA1046" w:rsidP="00BA1046">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2"/>
      </w:r>
      <w:r w:rsidRPr="001924B7">
        <w:rPr>
          <w:rFonts w:ascii="Verdana" w:eastAsia="Times New Roman" w:hAnsi="Verdana" w:cs="Arial"/>
          <w:bCs/>
          <w:sz w:val="20"/>
          <w:szCs w:val="20"/>
          <w:lang w:val="es-MX" w:eastAsia="x-none"/>
        </w:rPr>
        <w:t>.</w:t>
      </w:r>
    </w:p>
    <w:p w14:paraId="23730653" w14:textId="77777777" w:rsidR="00BA1046" w:rsidRPr="0057193B" w:rsidRDefault="00BA1046" w:rsidP="00BA1046">
      <w:pPr>
        <w:spacing w:after="0" w:line="276" w:lineRule="auto"/>
        <w:jc w:val="both"/>
        <w:rPr>
          <w:rFonts w:ascii="Verdana" w:eastAsia="Calibri" w:hAnsi="Verdana" w:cs="Arial"/>
          <w:lang w:val="es-MX"/>
        </w:rPr>
      </w:pPr>
    </w:p>
    <w:p w14:paraId="0EC660D8" w14:textId="77777777" w:rsidR="00BA1046" w:rsidRPr="0057193B" w:rsidRDefault="00BA1046" w:rsidP="00BA1046">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 xml:space="preserve">establecimientos de crédito, las sociedades de servicios </w:t>
      </w:r>
      <w:r w:rsidRPr="0057193B">
        <w:rPr>
          <w:rFonts w:ascii="Verdana" w:eastAsia="Times New Roman" w:hAnsi="Verdana" w:cs="Arial"/>
          <w:bCs/>
          <w:lang w:val="es-MX" w:eastAsia="x-none"/>
        </w:rPr>
        <w:lastRenderedPageBreak/>
        <w:t>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3"/>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6B7DE4E8" w14:textId="77777777" w:rsidR="00BA1046" w:rsidRDefault="00BA1046" w:rsidP="00BA1046">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57C37916" w14:textId="77777777" w:rsidR="00BA1046" w:rsidRPr="00186DE9" w:rsidRDefault="00BA1046" w:rsidP="00BA1046">
      <w:pPr>
        <w:spacing w:after="120" w:line="276" w:lineRule="auto"/>
        <w:ind w:firstLine="709"/>
        <w:jc w:val="both"/>
        <w:rPr>
          <w:rFonts w:ascii="Verdana" w:eastAsia="Times New Roman" w:hAnsi="Verdana" w:cs="Arial"/>
          <w:bCs/>
          <w:lang w:val="es-MX" w:eastAsia="x-none" w:bidi="es-ES"/>
        </w:rPr>
      </w:pPr>
      <w:r w:rsidRPr="00186DE9">
        <w:rPr>
          <w:rFonts w:ascii="Verdana" w:eastAsia="Times New Roman" w:hAnsi="Verdana" w:cs="Arial"/>
          <w:bCs/>
          <w:lang w:val="es-MX" w:eastAsia="x-none"/>
        </w:rPr>
        <w:t xml:space="preserve">En este sentido, todos los entes del Estado, independiente del régimen jurídico aplicable, están sujetos a la restricción del artículo 33 de la Ley 996 de 2005, es decir, no podrán adelantar sistema que implique contratación directa respecto de </w:t>
      </w:r>
      <w:r w:rsidRPr="00186DE9">
        <w:rPr>
          <w:rFonts w:ascii="Verdana" w:eastAsia="Times New Roman" w:hAnsi="Verdana" w:cs="Arial"/>
          <w:bCs/>
          <w:lang w:val="es-MX" w:eastAsia="x-none" w:bidi="es-ES"/>
        </w:rPr>
        <w:t xml:space="preserve">las elecciones presidenciales, dentro de los cuatro (4) meses anteriores a la celebración de los comicios, salvo las excepciones dispuestas en esta. </w:t>
      </w:r>
      <w:r w:rsidRPr="00186DE9">
        <w:rPr>
          <w:rFonts w:ascii="Verdana" w:eastAsia="Times New Roman" w:hAnsi="Verdana" w:cs="Arial"/>
          <w:bCs/>
          <w:lang w:val="es-MX" w:eastAsia="x-none"/>
        </w:rPr>
        <w:t>En efecto, los entes del Estado independiente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010934E9" w14:textId="77777777" w:rsidR="00BA1046" w:rsidRPr="00A63F17" w:rsidRDefault="00BA1046" w:rsidP="00BA1046">
      <w:pPr>
        <w:spacing w:after="120" w:line="276" w:lineRule="auto"/>
        <w:ind w:firstLine="709"/>
        <w:jc w:val="both"/>
        <w:rPr>
          <w:rFonts w:ascii="Verdana" w:eastAsia="Times New Roman" w:hAnsi="Verdana" w:cs="Arial"/>
          <w:bCs/>
          <w:lang w:val="es-MX" w:eastAsia="x-none"/>
        </w:rPr>
      </w:pPr>
      <w:r w:rsidRPr="00355EA0">
        <w:rPr>
          <w:rFonts w:ascii="Verdana" w:eastAsia="Times New Roman" w:hAnsi="Verdana" w:cs="Arial"/>
          <w:bCs/>
          <w:lang w:val="es-MX" w:eastAsia="x-none" w:bidi="es-ES"/>
        </w:rPr>
        <w:t xml:space="preserve">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w:t>
      </w:r>
      <w:r w:rsidRPr="00355EA0">
        <w:rPr>
          <w:rFonts w:ascii="Verdana" w:eastAsia="Times New Roman" w:hAnsi="Verdana" w:cs="Arial"/>
          <w:bCs/>
          <w:lang w:val="es-MX" w:eastAsia="x-none" w:bidi="es-ES"/>
        </w:rPr>
        <w:lastRenderedPageBreak/>
        <w:t>de conformidad con el artículo 190 de la Constitución Política. Para estos efectos, la restricción se extenderá hasta la fecha en la que se realice la segunda vuelta</w:t>
      </w:r>
      <w:r>
        <w:rPr>
          <w:rFonts w:ascii="Verdana" w:eastAsia="Times New Roman" w:hAnsi="Verdana" w:cs="Arial"/>
          <w:bCs/>
          <w:lang w:val="es-MX" w:eastAsia="x-none" w:bidi="es-ES"/>
        </w:rPr>
        <w:t>, que, de acuerdo con lo expuesto, se celebraría el 21 de junio de 2026.</w:t>
      </w:r>
    </w:p>
    <w:p w14:paraId="593F820B" w14:textId="77777777" w:rsidR="00BA1046" w:rsidRPr="003B7D6C" w:rsidRDefault="00BA1046" w:rsidP="00BA1046">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46CD110" w14:textId="77777777" w:rsidR="00BA1046" w:rsidRPr="004C2E9A" w:rsidRDefault="00BA1046" w:rsidP="00BA1046">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omo en otras oportunidades lo ha manifestado esta Agencia, que las prórrogas, modificaciones o adiciones de los contratos suscritos antes de la entrada en vigor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4"/>
      </w:r>
      <w:r w:rsidRPr="0057193B">
        <w:rPr>
          <w:rFonts w:ascii="Verdana" w:eastAsia="Times New Roman" w:hAnsi="Verdana" w:cs="Arial"/>
          <w:bCs/>
          <w:lang w:val="es-MX" w:eastAsia="es-CO"/>
        </w:rPr>
        <w:t>. Además, también es posible que contratos celebrados previamente se continúen ejecutando con normalidad.</w:t>
      </w:r>
    </w:p>
    <w:p w14:paraId="0D9D3BCA" w14:textId="77777777" w:rsidR="00BA1046" w:rsidRDefault="00BA1046" w:rsidP="00BA1046">
      <w:pPr>
        <w:spacing w:after="120" w:line="276" w:lineRule="auto"/>
        <w:jc w:val="both"/>
        <w:rPr>
          <w:rFonts w:ascii="Verdana" w:eastAsia="Arial" w:hAnsi="Verdana" w:cs="Arial"/>
          <w:lang w:val="es-ES" w:eastAsia="es-ES" w:bidi="es-ES"/>
        </w:rPr>
      </w:pPr>
    </w:p>
    <w:p w14:paraId="640B7A4A" w14:textId="77777777" w:rsidR="00BA1046" w:rsidRDefault="00BA1046" w:rsidP="00BA1046">
      <w:pPr>
        <w:spacing w:after="120" w:line="276" w:lineRule="auto"/>
        <w:jc w:val="both"/>
        <w:rPr>
          <w:rFonts w:ascii="Verdana" w:eastAsia="Arial" w:hAnsi="Verdana" w:cs="Arial"/>
          <w:lang w:val="es-ES" w:eastAsia="es-ES" w:bidi="es-ES"/>
        </w:rPr>
      </w:pPr>
      <w:proofErr w:type="spellStart"/>
      <w:r w:rsidRPr="004B2A86">
        <w:rPr>
          <w:rFonts w:ascii="Verdana" w:eastAsia="Arial" w:hAnsi="Verdana" w:cs="Arial"/>
          <w:lang w:val="es-ES" w:eastAsia="es-ES" w:bidi="es-ES"/>
        </w:rPr>
        <w:t>iv</w:t>
      </w:r>
      <w:proofErr w:type="spellEnd"/>
      <w:r w:rsidRPr="004B2A86">
        <w:rPr>
          <w:rFonts w:ascii="Verdana" w:eastAsia="Arial" w:hAnsi="Verdana" w:cs="Arial"/>
          <w:lang w:val="es-ES" w:eastAsia="es-ES" w:bidi="es-ES"/>
        </w:rPr>
        <w:t xml:space="preserve">. </w:t>
      </w:r>
      <w:r>
        <w:rPr>
          <w:rFonts w:ascii="Verdana" w:eastAsia="Arial" w:hAnsi="Verdana" w:cs="Arial"/>
          <w:lang w:val="es-ES" w:eastAsia="es-ES" w:bidi="es-ES"/>
        </w:rPr>
        <w:t>Como se expresó en consideraciones previas, l</w:t>
      </w:r>
      <w:r w:rsidRPr="00727161">
        <w:rPr>
          <w:rFonts w:ascii="Verdana" w:eastAsia="Arial" w:hAnsi="Verdana" w:cs="Arial"/>
          <w:lang w:val="es-ES" w:eastAsia="es-ES" w:bidi="es-ES"/>
        </w:rPr>
        <w:t xml:space="preserve">a Ley de Garantías Electorales, en su artículo 33, establece que la prohibición de contratar durante el período preelectoral aplica únicamente a la contratación directa, entendida como cualquier procedimiento sin convocatoria pública ni participación plural de oferentes. En consecuencia, salvo las excepciones previstas en la misma norma, las entidades estatales no pueden celebrar contratos de forma directa en ese lapso; sin embargo, sí pueden continuar con las demás modalidades de selección contempladas en la Ley 1150 de 2007, como la licitación pública, el concurso de </w:t>
      </w:r>
      <w:r w:rsidRPr="00727161">
        <w:rPr>
          <w:rFonts w:ascii="Verdana" w:eastAsia="Arial" w:hAnsi="Verdana" w:cs="Arial"/>
          <w:lang w:val="es-ES" w:eastAsia="es-ES" w:bidi="es-ES"/>
        </w:rPr>
        <w:lastRenderedPageBreak/>
        <w:t>méritos, la selección abreviada y la mínima cuantía, dado que estas garantizan procesos abiertos y competitivos.</w:t>
      </w:r>
    </w:p>
    <w:p w14:paraId="275F54C8" w14:textId="77777777" w:rsidR="00BA1046" w:rsidRPr="00753727" w:rsidRDefault="00BA1046" w:rsidP="00BA1046">
      <w:pPr>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ab/>
      </w:r>
      <w:r w:rsidRPr="00C912E6">
        <w:rPr>
          <w:rFonts w:ascii="Verdana" w:eastAsia="Arial" w:hAnsi="Verdana" w:cs="Arial"/>
          <w:lang w:val="es-ES" w:eastAsia="es-ES" w:bidi="es-ES"/>
        </w:rPr>
        <w:t xml:space="preserve">Teniendo en cuenta lo expuesto, </w:t>
      </w:r>
      <w:r>
        <w:rPr>
          <w:rFonts w:ascii="Verdana" w:eastAsia="Arial" w:hAnsi="Verdana" w:cs="Arial"/>
          <w:lang w:val="es-ES" w:eastAsia="es-ES" w:bidi="es-ES"/>
        </w:rPr>
        <w:t xml:space="preserve">es importante señalar que </w:t>
      </w:r>
      <w:r w:rsidRPr="00C912E6">
        <w:rPr>
          <w:rFonts w:ascii="Verdana" w:eastAsia="Arial" w:hAnsi="Verdana" w:cs="Arial"/>
          <w:lang w:val="es-ES" w:eastAsia="es-ES" w:bidi="es-ES"/>
        </w:rPr>
        <w:t>la Ley 2080, publicada en el Diario Oficial No. 51.568 del 25 de enero de 2021, fue expedida por el legislador con el propósito de introducir reformas al Código de Procedimiento Administrativo y de lo Contencioso Administrativo (Ley 1437 de 2011), así como de establecer disposiciones orientadas a la descongestión de la jurisdicción de</w:t>
      </w:r>
      <w:r>
        <w:rPr>
          <w:rFonts w:ascii="Verdana" w:eastAsia="Arial" w:hAnsi="Verdana" w:cs="Arial"/>
          <w:lang w:val="es-ES" w:eastAsia="es-ES" w:bidi="es-ES"/>
        </w:rPr>
        <w:t xml:space="preserve"> lo Contencioso Administrativo. </w:t>
      </w:r>
      <w:r w:rsidRPr="00C912E6">
        <w:rPr>
          <w:rFonts w:ascii="Verdana" w:eastAsia="Arial" w:hAnsi="Verdana" w:cs="Arial"/>
          <w:lang w:val="es-ES" w:eastAsia="es-ES" w:bidi="es-ES"/>
        </w:rPr>
        <w:t>Las normas de esta reforma entraron en vigencia desde la fecha de su publicación, es decir, el 25 de enero de 2021, salvo aquellas que modifican las competencias de los juzgados, tribunales administrativos y del Consejo de Estado. Estas últimas solo se aplican a las demandas presentadas un año después de la promulgación de la ley, conforme al régimen de vigencia y transición normat</w:t>
      </w:r>
      <w:r>
        <w:rPr>
          <w:rFonts w:ascii="Verdana" w:eastAsia="Arial" w:hAnsi="Verdana" w:cs="Arial"/>
          <w:lang w:val="es-ES" w:eastAsia="es-ES" w:bidi="es-ES"/>
        </w:rPr>
        <w:t xml:space="preserve">iva previsto en el artículo 86. </w:t>
      </w:r>
      <w:r w:rsidRPr="00C912E6">
        <w:rPr>
          <w:rFonts w:ascii="Verdana" w:eastAsia="Arial" w:hAnsi="Verdana" w:cs="Arial"/>
          <w:lang w:val="es-ES" w:eastAsia="es-ES" w:bidi="es-ES"/>
        </w:rPr>
        <w:t>En este contexto, resulta pertinente destacar la inclusión de una nueva causal de contratación directa en el artículo 82 de la Ley 2080 de 2021, la cual se adiciona a las ya contempladas en el numeral 4° del ar</w:t>
      </w:r>
      <w:r>
        <w:rPr>
          <w:rFonts w:ascii="Verdana" w:eastAsia="Arial" w:hAnsi="Verdana" w:cs="Arial"/>
          <w:lang w:val="es-ES" w:eastAsia="es-ES" w:bidi="es-ES"/>
        </w:rPr>
        <w:t>tículo 2 de la Ley 1150 de 2007, cuyo tenor literal prescribe</w:t>
      </w:r>
      <w:r w:rsidRPr="009803D1">
        <w:rPr>
          <w:rFonts w:ascii="Verdana" w:hAnsi="Verdana" w:cs="Arial"/>
          <w:color w:val="000000" w:themeColor="text1"/>
          <w:lang w:val="es-ES_tradnl"/>
        </w:rPr>
        <w:t>:</w:t>
      </w:r>
    </w:p>
    <w:p w14:paraId="0F4445B7" w14:textId="77777777" w:rsidR="00BA1046" w:rsidRPr="00CD734E" w:rsidRDefault="00BA1046" w:rsidP="00BA1046">
      <w:pPr>
        <w:spacing w:after="0" w:line="240" w:lineRule="auto"/>
        <w:ind w:firstLine="708"/>
        <w:jc w:val="both"/>
        <w:rPr>
          <w:rFonts w:ascii="Verdana" w:hAnsi="Verdana" w:cs="Arial"/>
          <w:color w:val="000000" w:themeColor="text1"/>
          <w:sz w:val="20"/>
          <w:lang w:val="es-ES_tradnl"/>
        </w:rPr>
      </w:pPr>
    </w:p>
    <w:p w14:paraId="493334C7" w14:textId="77777777" w:rsidR="00BA1046" w:rsidRPr="00CD734E" w:rsidRDefault="00BA1046" w:rsidP="00BA1046">
      <w:pPr>
        <w:spacing w:after="0" w:line="240" w:lineRule="auto"/>
        <w:ind w:left="709" w:right="709"/>
        <w:jc w:val="both"/>
        <w:rPr>
          <w:rFonts w:ascii="Verdana" w:eastAsia="Calibri" w:hAnsi="Verdana" w:cs="Arial"/>
          <w:color w:val="000000" w:themeColor="text1"/>
          <w:sz w:val="20"/>
          <w:lang w:val="es-ES_tradnl"/>
        </w:rPr>
      </w:pPr>
      <w:r w:rsidRPr="00CD734E">
        <w:rPr>
          <w:rFonts w:ascii="Verdana" w:eastAsia="Calibri" w:hAnsi="Verdana" w:cs="Arial"/>
          <w:color w:val="000000" w:themeColor="text1"/>
          <w:sz w:val="20"/>
          <w:lang w:val="es-ES_tradnl"/>
        </w:rPr>
        <w:t>Artículo 82. Adiciónese un literal k) al numeral cuarto del artículo 2o de la Ley 1150 de 2007, así:</w:t>
      </w:r>
    </w:p>
    <w:p w14:paraId="4C7C9214" w14:textId="77777777" w:rsidR="00BA1046" w:rsidRPr="00CD734E" w:rsidRDefault="00BA1046" w:rsidP="00BA1046">
      <w:pPr>
        <w:spacing w:after="0" w:line="240" w:lineRule="auto"/>
        <w:ind w:left="709" w:right="709"/>
        <w:jc w:val="both"/>
        <w:rPr>
          <w:rFonts w:ascii="Verdana" w:eastAsia="Calibri" w:hAnsi="Verdana" w:cs="Arial"/>
          <w:color w:val="000000" w:themeColor="text1"/>
          <w:sz w:val="20"/>
          <w:lang w:val="es-ES_tradnl"/>
        </w:rPr>
      </w:pPr>
    </w:p>
    <w:p w14:paraId="61FCF6A9" w14:textId="77777777" w:rsidR="00BA1046" w:rsidRPr="00CD734E" w:rsidRDefault="00BA1046" w:rsidP="00BA1046">
      <w:pPr>
        <w:spacing w:after="0" w:line="240" w:lineRule="auto"/>
        <w:ind w:left="709" w:right="709"/>
        <w:jc w:val="both"/>
        <w:rPr>
          <w:rFonts w:ascii="Verdana" w:eastAsia="Calibri" w:hAnsi="Verdana" w:cs="Arial"/>
          <w:color w:val="000000" w:themeColor="text1"/>
          <w:sz w:val="20"/>
          <w:szCs w:val="20"/>
          <w:lang w:val="es-ES"/>
        </w:rPr>
      </w:pPr>
      <w:r w:rsidRPr="003920F0">
        <w:rPr>
          <w:rFonts w:ascii="Verdana" w:eastAsia="Calibri" w:hAnsi="Verdana" w:cs="Arial"/>
          <w:color w:val="000000" w:themeColor="text1"/>
          <w:sz w:val="20"/>
          <w:szCs w:val="20"/>
          <w:lang w:val="es-ES"/>
        </w:rPr>
        <w:t>4. Contratación directa. La modalidad de selección de contratación directa, solamente procederá en los siguientes casos:</w:t>
      </w:r>
    </w:p>
    <w:p w14:paraId="408F92BA" w14:textId="77777777" w:rsidR="00BA1046" w:rsidRPr="00CD734E" w:rsidRDefault="00BA1046" w:rsidP="00BA1046">
      <w:pPr>
        <w:spacing w:after="0" w:line="240" w:lineRule="auto"/>
        <w:ind w:left="709" w:right="709"/>
        <w:jc w:val="both"/>
        <w:rPr>
          <w:rFonts w:ascii="Verdana" w:eastAsia="Calibri" w:hAnsi="Verdana" w:cs="Arial"/>
          <w:color w:val="000000" w:themeColor="text1"/>
          <w:sz w:val="20"/>
          <w:lang w:val="es-ES_tradnl"/>
        </w:rPr>
      </w:pPr>
    </w:p>
    <w:p w14:paraId="5EFCC189" w14:textId="77777777" w:rsidR="00BA1046" w:rsidRPr="00CD734E" w:rsidRDefault="00BA1046" w:rsidP="00BA1046">
      <w:pPr>
        <w:spacing w:after="0" w:line="240" w:lineRule="auto"/>
        <w:ind w:left="709" w:right="709"/>
        <w:jc w:val="both"/>
        <w:rPr>
          <w:rFonts w:ascii="Verdana" w:eastAsia="Calibri" w:hAnsi="Verdana" w:cs="Arial"/>
          <w:color w:val="000000" w:themeColor="text1"/>
          <w:sz w:val="20"/>
          <w:lang w:val="es-ES_tradnl"/>
        </w:rPr>
      </w:pPr>
      <w:r w:rsidRPr="00CD734E">
        <w:rPr>
          <w:rFonts w:ascii="Verdana" w:eastAsia="Calibri" w:hAnsi="Verdana" w:cs="Arial"/>
          <w:color w:val="000000" w:themeColor="text1"/>
          <w:sz w:val="20"/>
          <w:lang w:val="es-ES_tradnl"/>
        </w:rPr>
        <w:t>k) La selección de peritos expertos o asesores técnicos para presentar o contradecir el dictamen pericial en procesos judiciales.</w:t>
      </w:r>
    </w:p>
    <w:p w14:paraId="2199880D" w14:textId="77777777" w:rsidR="00BA1046" w:rsidRPr="009803D1" w:rsidRDefault="00BA1046" w:rsidP="00BA1046">
      <w:pPr>
        <w:spacing w:after="0" w:line="276" w:lineRule="auto"/>
        <w:ind w:firstLine="708"/>
        <w:jc w:val="both"/>
        <w:rPr>
          <w:rFonts w:ascii="Verdana" w:hAnsi="Verdana" w:cs="Arial"/>
          <w:color w:val="000000" w:themeColor="text1"/>
          <w:lang w:val="es-ES_tradnl"/>
        </w:rPr>
      </w:pPr>
    </w:p>
    <w:p w14:paraId="1A05280D" w14:textId="77777777" w:rsidR="00BA1046" w:rsidRPr="009803D1" w:rsidRDefault="00BA1046" w:rsidP="00BA1046">
      <w:pPr>
        <w:spacing w:after="120" w:line="276" w:lineRule="auto"/>
        <w:ind w:firstLine="709"/>
        <w:jc w:val="both"/>
        <w:rPr>
          <w:rFonts w:ascii="Verdana" w:hAnsi="Verdana" w:cs="Arial"/>
          <w:color w:val="000000" w:themeColor="text1"/>
          <w:lang w:val="es-ES"/>
        </w:rPr>
      </w:pPr>
      <w:r w:rsidRPr="003920F0">
        <w:rPr>
          <w:rFonts w:ascii="Verdana" w:hAnsi="Verdana" w:cs="Arial"/>
          <w:color w:val="000000" w:themeColor="text1"/>
          <w:lang w:val="es-ES"/>
        </w:rPr>
        <w:t xml:space="preserve">Como puede apreciarse, el artículo 82 de la Ley 2080 de 2021 insertó un literal al numeral 4° del artículo 2 de Ley 1150 de 2007 que enlista las causales que permiten a las entidades estatales seleccionar objetivamente al futuro contratista mediante el procedimiento excepcional de la contratación directa, lo que, a su vez, autoriza la contratación estatal, para los eventos contemplados en dichas causales, sin que medie convocatoria pública ni la obtención previa de varias ofertas. Ahora bien, la causal adicionada circunscribe el objeto del contrato para el cual fue autorizada, toda vez que señala que dicha causal podrá utilizarse cuando las entidades estatales tengan la necesidad de acudir a peritos expertos o asesores técnicos con la finalidad de presentar o contradecir un </w:t>
      </w:r>
      <w:r w:rsidRPr="003920F0">
        <w:rPr>
          <w:rFonts w:ascii="Verdana" w:hAnsi="Verdana" w:cs="Arial"/>
          <w:color w:val="000000" w:themeColor="text1"/>
          <w:lang w:val="es-ES"/>
        </w:rPr>
        <w:lastRenderedPageBreak/>
        <w:t xml:space="preserve">peritaje, que es una prueba técnica destinada a acreditar o comprobar hechos alegados por las partes o terceros en un proceso judicial. </w:t>
      </w:r>
    </w:p>
    <w:p w14:paraId="52DE3F95" w14:textId="77777777" w:rsidR="00BA1046" w:rsidRPr="009803D1" w:rsidRDefault="00BA1046" w:rsidP="00BA1046">
      <w:pPr>
        <w:spacing w:after="120" w:line="276" w:lineRule="auto"/>
        <w:ind w:firstLine="709"/>
        <w:jc w:val="both"/>
        <w:rPr>
          <w:rFonts w:ascii="Verdana" w:hAnsi="Verdana" w:cs="Arial"/>
          <w:color w:val="000000" w:themeColor="text1"/>
          <w:lang w:val="es-ES_tradnl"/>
        </w:rPr>
      </w:pPr>
      <w:r w:rsidRPr="009803D1">
        <w:rPr>
          <w:rFonts w:ascii="Verdana" w:hAnsi="Verdana" w:cs="Arial"/>
          <w:color w:val="000000" w:themeColor="text1"/>
          <w:lang w:val="es-ES_tradnl"/>
        </w:rPr>
        <w:t xml:space="preserve">Es así como la causal de contratación directa creada en el citado artículo 82 es consecuencia de la reforma de las normas procesales que gobiernan el decreto y la práctica de la prueba pericial en el proceso contencioso administrativo previsto en la Ley 1437 de 2011 –CPACA–, reforma realizada en artículos precedentes de la misma ley. </w:t>
      </w:r>
    </w:p>
    <w:p w14:paraId="333A0E32" w14:textId="77777777" w:rsidR="00BA1046" w:rsidRPr="009803D1" w:rsidRDefault="00BA1046" w:rsidP="00BA1046">
      <w:pPr>
        <w:spacing w:after="0" w:line="276" w:lineRule="auto"/>
        <w:ind w:firstLine="708"/>
        <w:jc w:val="both"/>
        <w:rPr>
          <w:rFonts w:ascii="Verdana" w:hAnsi="Verdana" w:cs="Arial"/>
          <w:color w:val="000000" w:themeColor="text1"/>
          <w:lang w:val="es-ES"/>
        </w:rPr>
      </w:pPr>
      <w:r w:rsidRPr="003920F0">
        <w:rPr>
          <w:rFonts w:ascii="Verdana" w:hAnsi="Verdana" w:cs="Arial"/>
          <w:color w:val="000000" w:themeColor="text1"/>
          <w:lang w:val="es-ES"/>
        </w:rPr>
        <w:t xml:space="preserve">En efecto, nótese, por ejemplo, que la Ley 2080 de 2021, al regular en los artículos 54 a 58 la prueba pericial en los procesos judiciales de la jurisdicción de lo Contencioso Administrativo, dispuso que la prueba pericial puede ser aportada por las partes o puede ser decretada por el juez en el proceso, dentro de las oportunidades procesales correspondientes y, respecto de entidades públicas cuando son parte en el proceso judicial, para lo cual dispuso de las siguientes reglas especiales: </w:t>
      </w:r>
    </w:p>
    <w:p w14:paraId="553F708D" w14:textId="77777777" w:rsidR="00BA1046" w:rsidRPr="009803D1" w:rsidRDefault="00BA1046" w:rsidP="00BA1046">
      <w:pPr>
        <w:spacing w:after="0" w:line="276" w:lineRule="auto"/>
        <w:ind w:firstLine="708"/>
        <w:jc w:val="both"/>
        <w:rPr>
          <w:rFonts w:ascii="Verdana" w:hAnsi="Verdana" w:cs="Arial"/>
          <w:color w:val="000000" w:themeColor="text1"/>
          <w:lang w:val="es-ES_tradnl"/>
        </w:rPr>
      </w:pPr>
    </w:p>
    <w:p w14:paraId="7DCDA9A2" w14:textId="77777777" w:rsidR="00BA1046" w:rsidRPr="00AB120C" w:rsidRDefault="00BA1046" w:rsidP="00BA1046">
      <w:pPr>
        <w:spacing w:after="0" w:line="240" w:lineRule="auto"/>
        <w:ind w:left="709" w:right="709"/>
        <w:jc w:val="both"/>
        <w:rPr>
          <w:rFonts w:ascii="Verdana" w:eastAsia="Calibri" w:hAnsi="Verdana" w:cs="Arial"/>
          <w:color w:val="000000" w:themeColor="text1"/>
          <w:sz w:val="20"/>
          <w:szCs w:val="20"/>
          <w:lang w:val="es-ES_tradnl"/>
        </w:rPr>
      </w:pPr>
      <w:r w:rsidRPr="00AB120C">
        <w:rPr>
          <w:rFonts w:ascii="Verdana" w:eastAsia="Calibri" w:hAnsi="Verdana" w:cs="Arial"/>
          <w:color w:val="000000" w:themeColor="text1"/>
          <w:sz w:val="20"/>
          <w:szCs w:val="20"/>
          <w:lang w:val="es-ES_tradnl"/>
        </w:rPr>
        <w:t>Artículo 58. Modifíquese el artículo 222 de la Ley 1437 de 2011, el cual quedará así:</w:t>
      </w:r>
    </w:p>
    <w:p w14:paraId="55F1B8F1" w14:textId="77777777" w:rsidR="00BA1046" w:rsidRPr="00AB120C" w:rsidRDefault="00BA1046" w:rsidP="00BA1046">
      <w:pPr>
        <w:spacing w:after="0" w:line="240" w:lineRule="auto"/>
        <w:ind w:left="709" w:right="709"/>
        <w:jc w:val="both"/>
        <w:rPr>
          <w:rFonts w:ascii="Verdana" w:eastAsia="Calibri" w:hAnsi="Verdana" w:cs="Arial"/>
          <w:color w:val="000000" w:themeColor="text1"/>
          <w:sz w:val="20"/>
          <w:szCs w:val="20"/>
          <w:lang w:val="es-ES_tradnl"/>
        </w:rPr>
      </w:pPr>
      <w:r w:rsidRPr="00AB120C">
        <w:rPr>
          <w:rFonts w:ascii="Verdana" w:eastAsia="Calibri" w:hAnsi="Verdana" w:cs="Arial"/>
          <w:color w:val="000000" w:themeColor="text1"/>
          <w:sz w:val="20"/>
          <w:szCs w:val="20"/>
          <w:lang w:val="es-ES_tradnl"/>
        </w:rPr>
        <w:t>Artículo 222. Reglas especiales para las entidades públicas.</w:t>
      </w:r>
    </w:p>
    <w:p w14:paraId="3550D097" w14:textId="77777777" w:rsidR="00BA1046" w:rsidRPr="00AB120C" w:rsidRDefault="00BA1046" w:rsidP="00BA1046">
      <w:pPr>
        <w:spacing w:after="0" w:line="240" w:lineRule="auto"/>
        <w:ind w:left="709" w:right="709"/>
        <w:jc w:val="both"/>
        <w:rPr>
          <w:rFonts w:ascii="Verdana" w:eastAsia="Calibri" w:hAnsi="Verdana" w:cs="Arial"/>
          <w:i/>
          <w:color w:val="000000" w:themeColor="text1"/>
          <w:sz w:val="20"/>
          <w:szCs w:val="20"/>
          <w:lang w:val="es-ES_tradnl"/>
        </w:rPr>
      </w:pPr>
      <w:r w:rsidRPr="00AB120C">
        <w:rPr>
          <w:rFonts w:ascii="Verdana" w:eastAsia="Calibri" w:hAnsi="Verdana" w:cs="Arial"/>
          <w:color w:val="000000" w:themeColor="text1"/>
          <w:sz w:val="20"/>
          <w:szCs w:val="20"/>
          <w:lang w:val="es-ES_tradnl"/>
        </w:rPr>
        <w:t xml:space="preserve">1. Para aportar el dictamen pericial o contradecirlo en los casos previstos en la ley, se faculta a las entidades públicas para que mediante contratación directa seleccionen los expertos que atenderán la prueba pericial requerida en un proceso judicial. </w:t>
      </w:r>
      <w:r w:rsidRPr="00AB120C">
        <w:rPr>
          <w:rFonts w:ascii="Verdana" w:eastAsia="Calibri" w:hAnsi="Verdana" w:cs="Arial"/>
          <w:i/>
          <w:color w:val="000000" w:themeColor="text1"/>
          <w:sz w:val="20"/>
          <w:szCs w:val="20"/>
          <w:lang w:val="es-ES_tradnl"/>
        </w:rPr>
        <w:t>Esta pericia también podrá ser contratada durante las restricciones establecidas en la Ley 996 de 2005.</w:t>
      </w:r>
    </w:p>
    <w:p w14:paraId="785EFEED" w14:textId="77777777" w:rsidR="00BA1046" w:rsidRPr="00AB120C" w:rsidRDefault="00BA1046" w:rsidP="00BA1046">
      <w:pPr>
        <w:spacing w:after="0" w:line="240" w:lineRule="auto"/>
        <w:ind w:left="709" w:right="709"/>
        <w:jc w:val="both"/>
        <w:rPr>
          <w:rFonts w:ascii="Verdana" w:eastAsia="Calibri" w:hAnsi="Verdana" w:cs="Arial"/>
          <w:i/>
          <w:color w:val="000000" w:themeColor="text1"/>
          <w:sz w:val="20"/>
          <w:szCs w:val="20"/>
          <w:lang w:val="es-ES_tradnl"/>
        </w:rPr>
      </w:pPr>
      <w:r w:rsidRPr="00AB120C">
        <w:rPr>
          <w:rFonts w:ascii="Verdana" w:eastAsia="Calibri" w:hAnsi="Verdana" w:cs="Arial"/>
          <w:i/>
          <w:color w:val="000000" w:themeColor="text1"/>
          <w:sz w:val="20"/>
          <w:szCs w:val="20"/>
          <w:lang w:val="es-ES_tradnl"/>
        </w:rPr>
        <w:t>Con el mismo fin se podrán contratar asesorías técnicas.</w:t>
      </w:r>
    </w:p>
    <w:p w14:paraId="6F66D4A3" w14:textId="77777777" w:rsidR="00BA1046" w:rsidRPr="00AB120C" w:rsidRDefault="00BA1046" w:rsidP="00BA1046">
      <w:pPr>
        <w:spacing w:after="0" w:line="240" w:lineRule="auto"/>
        <w:ind w:left="709" w:right="709"/>
        <w:jc w:val="both"/>
        <w:rPr>
          <w:rFonts w:ascii="Verdana" w:eastAsia="Calibri" w:hAnsi="Verdana" w:cs="Arial"/>
          <w:color w:val="000000" w:themeColor="text1"/>
          <w:sz w:val="20"/>
          <w:szCs w:val="20"/>
          <w:lang w:val="es-ES_tradnl"/>
        </w:rPr>
      </w:pPr>
      <w:r w:rsidRPr="00AB120C">
        <w:rPr>
          <w:rFonts w:ascii="Verdana" w:eastAsia="Calibri" w:hAnsi="Verdana" w:cs="Arial"/>
          <w:color w:val="000000" w:themeColor="text1"/>
          <w:sz w:val="20"/>
          <w:szCs w:val="20"/>
          <w:lang w:val="es-ES_tradnl"/>
        </w:rPr>
        <w:t>2. Cuando la experticia sea rendida por una entidad pública el juez deberá ordenar honorarios a favor de esta.</w:t>
      </w:r>
      <w:r>
        <w:rPr>
          <w:rFonts w:ascii="Verdana" w:eastAsia="Calibri" w:hAnsi="Verdana" w:cs="Arial"/>
          <w:color w:val="000000" w:themeColor="text1"/>
          <w:sz w:val="20"/>
          <w:szCs w:val="20"/>
          <w:lang w:val="es-ES_tradnl"/>
        </w:rPr>
        <w:t xml:space="preserve"> (énfasis fuera de texto). </w:t>
      </w:r>
    </w:p>
    <w:p w14:paraId="56F86BDF" w14:textId="77777777" w:rsidR="00BA1046" w:rsidRPr="009803D1" w:rsidRDefault="00BA1046" w:rsidP="00BA1046">
      <w:pPr>
        <w:spacing w:after="0" w:line="276" w:lineRule="auto"/>
        <w:ind w:firstLine="708"/>
        <w:jc w:val="both"/>
        <w:rPr>
          <w:rFonts w:ascii="Verdana" w:hAnsi="Verdana" w:cs="Arial"/>
          <w:color w:val="000000" w:themeColor="text1"/>
          <w:lang w:val="es-ES_tradnl"/>
        </w:rPr>
      </w:pPr>
    </w:p>
    <w:p w14:paraId="134F3131" w14:textId="77777777" w:rsidR="00BA1046" w:rsidRDefault="00BA1046" w:rsidP="00BA1046">
      <w:pPr>
        <w:spacing w:after="120" w:line="276" w:lineRule="auto"/>
        <w:ind w:firstLine="708"/>
        <w:jc w:val="both"/>
        <w:rPr>
          <w:rFonts w:ascii="Verdana" w:hAnsi="Verdana" w:cs="Arial"/>
          <w:color w:val="000000" w:themeColor="text1"/>
          <w:lang w:val="es-ES_tradnl"/>
        </w:rPr>
      </w:pPr>
      <w:r w:rsidRPr="009803D1">
        <w:rPr>
          <w:rFonts w:ascii="Verdana" w:hAnsi="Verdana" w:cs="Arial"/>
          <w:color w:val="000000" w:themeColor="text1"/>
          <w:lang w:val="es-ES_tradnl"/>
        </w:rPr>
        <w:t xml:space="preserve">Véase entonces que la causal de contratación directa añadida al </w:t>
      </w:r>
      <w:r>
        <w:rPr>
          <w:rFonts w:ascii="Verdana" w:hAnsi="Verdana" w:cs="Arial"/>
          <w:color w:val="000000" w:themeColor="text1"/>
          <w:lang w:val="es-ES_tradnl"/>
        </w:rPr>
        <w:t xml:space="preserve">listado de la Ley 1150 de 2007 aplica </w:t>
      </w:r>
      <w:r w:rsidRPr="009803D1">
        <w:rPr>
          <w:rFonts w:ascii="Verdana" w:hAnsi="Verdana" w:cs="Arial"/>
          <w:color w:val="000000" w:themeColor="text1"/>
          <w:lang w:val="es-ES_tradnl"/>
        </w:rPr>
        <w:t>bajo ciertos supuestos de hecho previstos en las referidas normas procesales citadas, que condicionan su utilización y dan cuenta de l</w:t>
      </w:r>
      <w:r>
        <w:rPr>
          <w:rFonts w:ascii="Verdana" w:hAnsi="Verdana" w:cs="Arial"/>
          <w:color w:val="000000" w:themeColor="text1"/>
          <w:lang w:val="es-ES_tradnl"/>
        </w:rPr>
        <w:t xml:space="preserve">as siguientes características: </w:t>
      </w:r>
    </w:p>
    <w:p w14:paraId="601EDCD8" w14:textId="77777777" w:rsidR="00BA1046" w:rsidRDefault="00BA1046" w:rsidP="00BA1046">
      <w:pPr>
        <w:spacing w:after="120" w:line="276" w:lineRule="auto"/>
        <w:ind w:firstLine="708"/>
        <w:jc w:val="both"/>
        <w:rPr>
          <w:rFonts w:ascii="Verdana" w:hAnsi="Verdana" w:cs="Arial"/>
          <w:color w:val="000000" w:themeColor="text1"/>
          <w:lang w:val="es-ES"/>
        </w:rPr>
      </w:pPr>
      <w:r w:rsidRPr="31BA1F88">
        <w:rPr>
          <w:rFonts w:ascii="Verdana" w:hAnsi="Verdana" w:cs="Arial"/>
          <w:color w:val="000000" w:themeColor="text1"/>
          <w:lang w:val="es-ES"/>
        </w:rPr>
        <w:t xml:space="preserve">a) es una causal de contratación que solo puede ser utilizada por la entidad estatal en el marco de un </w:t>
      </w:r>
      <w:r w:rsidRPr="31BA1F88">
        <w:rPr>
          <w:rFonts w:ascii="Verdana" w:hAnsi="Verdana" w:cs="Arial"/>
          <w:i/>
          <w:iCs/>
          <w:color w:val="000000" w:themeColor="text1"/>
          <w:lang w:val="es-ES"/>
        </w:rPr>
        <w:t>proceso judicial</w:t>
      </w:r>
      <w:r w:rsidRPr="31BA1F88">
        <w:rPr>
          <w:rFonts w:ascii="Verdana" w:hAnsi="Verdana" w:cs="Arial"/>
          <w:color w:val="000000" w:themeColor="text1"/>
          <w:lang w:val="es-ES"/>
        </w:rPr>
        <w:t xml:space="preserve">, o cuando sea la entidad la que vaya a promover el inicio del proceso, pues la necesidad que justifica la contratación de un perito o un asesor técnico es la de hacer valer una prueba técnica, como lo es el dictamen pericial, para acreditar o soportar los hechos que servirán a la defensa de los intereses de la entidad estatal involucrados en una </w:t>
      </w:r>
      <w:r w:rsidRPr="31BA1F88">
        <w:rPr>
          <w:rFonts w:ascii="Verdana" w:hAnsi="Verdana" w:cs="Arial"/>
          <w:color w:val="000000" w:themeColor="text1"/>
          <w:lang w:val="es-ES"/>
        </w:rPr>
        <w:lastRenderedPageBreak/>
        <w:t xml:space="preserve">controversia judicial. En este sentido, el contrato se celebraría con la finalidad de </w:t>
      </w:r>
      <w:r w:rsidRPr="31BA1F88">
        <w:rPr>
          <w:rFonts w:ascii="Verdana" w:eastAsia="Calibri" w:hAnsi="Verdana" w:cs="Arial"/>
          <w:color w:val="000000" w:themeColor="text1"/>
          <w:lang w:val="es-ES"/>
        </w:rPr>
        <w:t>presentar o contradecir el dictamen pericial en un proceso judicial.</w:t>
      </w:r>
      <w:r w:rsidRPr="31BA1F88">
        <w:rPr>
          <w:rFonts w:ascii="Verdana" w:hAnsi="Verdana" w:cs="Arial"/>
          <w:color w:val="000000" w:themeColor="text1"/>
          <w:lang w:val="es-ES"/>
        </w:rPr>
        <w:t xml:space="preserve"> </w:t>
      </w:r>
    </w:p>
    <w:p w14:paraId="1B0B4594" w14:textId="77777777" w:rsidR="00BA1046" w:rsidRPr="009803D1" w:rsidRDefault="00BA1046" w:rsidP="00BA1046">
      <w:pPr>
        <w:spacing w:after="120" w:line="276" w:lineRule="auto"/>
        <w:ind w:firstLine="708"/>
        <w:jc w:val="both"/>
        <w:rPr>
          <w:rFonts w:ascii="Verdana" w:hAnsi="Verdana" w:cs="Arial"/>
          <w:color w:val="000000" w:themeColor="text1"/>
          <w:lang w:val="es-ES_tradnl"/>
        </w:rPr>
      </w:pPr>
      <w:r>
        <w:rPr>
          <w:rFonts w:ascii="Verdana" w:hAnsi="Verdana" w:cs="Arial"/>
          <w:color w:val="000000" w:themeColor="text1"/>
          <w:lang w:val="es-ES_tradnl"/>
        </w:rPr>
        <w:t>En el momento de</w:t>
      </w:r>
      <w:r w:rsidRPr="00DE024F">
        <w:rPr>
          <w:rFonts w:ascii="Verdana" w:hAnsi="Verdana" w:cs="Arial"/>
          <w:color w:val="000000" w:themeColor="text1"/>
          <w:lang w:val="es-ES_tradnl"/>
        </w:rPr>
        <w:t xml:space="preserve"> elaborar los estudios previos, resulta indispensable dejar claramente justificada la necesidad de acudir a la contratación directa de peritos, exponiendo de manera precisa las razones técnicas, jurídicas y prácticas que hacen imprescindible</w:t>
      </w:r>
      <w:r>
        <w:rPr>
          <w:rFonts w:ascii="Verdana" w:hAnsi="Verdana" w:cs="Arial"/>
          <w:color w:val="000000" w:themeColor="text1"/>
          <w:lang w:val="es-ES_tradnl"/>
        </w:rPr>
        <w:t xml:space="preserve"> la celebración de dicho contrato</w:t>
      </w:r>
      <w:r w:rsidRPr="00DE024F">
        <w:rPr>
          <w:rFonts w:ascii="Verdana" w:hAnsi="Verdana" w:cs="Arial"/>
          <w:color w:val="000000" w:themeColor="text1"/>
          <w:lang w:val="es-ES_tradnl"/>
        </w:rPr>
        <w:t xml:space="preserve">. Esta fundamentación debe evidenciar que la intervención de dichos expertos no solo garantiza la idoneidad y rigor en el análisis requerido, sino que </w:t>
      </w:r>
      <w:r>
        <w:rPr>
          <w:rFonts w:ascii="Verdana" w:hAnsi="Verdana" w:cs="Arial"/>
          <w:color w:val="000000" w:themeColor="text1"/>
          <w:lang w:val="es-ES_tradnl"/>
        </w:rPr>
        <w:t xml:space="preserve">satisface la necesidad de la Entidad en el proceso judicial. </w:t>
      </w:r>
    </w:p>
    <w:p w14:paraId="1A7902F4" w14:textId="77777777" w:rsidR="00BA1046" w:rsidRDefault="00BA1046" w:rsidP="00BA1046">
      <w:pPr>
        <w:spacing w:after="120" w:line="276" w:lineRule="auto"/>
        <w:ind w:firstLine="708"/>
        <w:jc w:val="both"/>
        <w:rPr>
          <w:rFonts w:ascii="Verdana" w:hAnsi="Verdana" w:cs="Arial"/>
          <w:color w:val="000000" w:themeColor="text1"/>
          <w:lang w:val="es-ES_tradnl"/>
        </w:rPr>
      </w:pPr>
      <w:r w:rsidRPr="00DE024F">
        <w:rPr>
          <w:rFonts w:ascii="Verdana" w:hAnsi="Verdana" w:cs="Arial"/>
          <w:color w:val="000000" w:themeColor="text1"/>
          <w:lang w:val="es-ES_tradnl"/>
        </w:rPr>
        <w:t xml:space="preserve">b) La contratación recaerá sobre los servicios de un experto, llámese perito o asesor técnico, persona que debe ser contratada con especial eficiencia y celeridad, de ahí que el legislador haya autorizado acudir a la contratación directa, toda vez que, éste deberá cumplir con el objeto del contrato, que se traduce en la realización de un peritaje o de una asesoría técnica, de manera idónea según su experiencia y experticia, dentro de las oportunidades probatorias correspondientes y respetando los términos procesales con los que cuentan las entidades estatales en el proceso judicial para ejercer válidamente los actos procesales del caso para </w:t>
      </w:r>
      <w:r w:rsidRPr="00DE024F">
        <w:rPr>
          <w:rFonts w:ascii="Verdana" w:hAnsi="Verdana" w:cs="Arial"/>
          <w:i/>
          <w:iCs/>
          <w:color w:val="000000" w:themeColor="text1"/>
          <w:lang w:val="es-ES_tradnl"/>
        </w:rPr>
        <w:t>aportar</w:t>
      </w:r>
      <w:r w:rsidRPr="00DE024F">
        <w:rPr>
          <w:rFonts w:ascii="Verdana" w:hAnsi="Verdana" w:cs="Arial"/>
          <w:color w:val="000000" w:themeColor="text1"/>
          <w:lang w:val="es-ES_tradnl"/>
        </w:rPr>
        <w:t xml:space="preserve"> o </w:t>
      </w:r>
      <w:r w:rsidRPr="00DE024F">
        <w:rPr>
          <w:rFonts w:ascii="Verdana" w:hAnsi="Verdana" w:cs="Arial"/>
          <w:i/>
          <w:iCs/>
          <w:color w:val="000000" w:themeColor="text1"/>
          <w:lang w:val="es-ES_tradnl"/>
        </w:rPr>
        <w:t>contradecir</w:t>
      </w:r>
      <w:r w:rsidRPr="00DE024F">
        <w:rPr>
          <w:rFonts w:ascii="Verdana" w:hAnsi="Verdana" w:cs="Arial"/>
          <w:color w:val="000000" w:themeColor="text1"/>
          <w:lang w:val="es-ES_tradnl"/>
        </w:rPr>
        <w:t xml:space="preserve"> pruebas, como lo son, por ejemplo, la presentación o la contestación de la demanda. </w:t>
      </w:r>
    </w:p>
    <w:p w14:paraId="2F73095B" w14:textId="77777777" w:rsidR="00BA1046" w:rsidRPr="000F34E3" w:rsidRDefault="00BA1046" w:rsidP="00BA1046">
      <w:pPr>
        <w:spacing w:after="120" w:line="276" w:lineRule="auto"/>
        <w:ind w:firstLine="708"/>
        <w:jc w:val="both"/>
        <w:rPr>
          <w:rFonts w:ascii="Verdana" w:hAnsi="Verdana" w:cs="Arial"/>
          <w:color w:val="000000" w:themeColor="text1"/>
          <w:lang w:val="es-ES"/>
        </w:rPr>
      </w:pPr>
      <w:r w:rsidRPr="000F34E3">
        <w:rPr>
          <w:rFonts w:ascii="Verdana" w:hAnsi="Verdana" w:cs="Arial"/>
          <w:color w:val="000000" w:themeColor="text1"/>
          <w:lang w:val="es-ES_tradnl"/>
        </w:rPr>
        <w:t xml:space="preserve">La contratación directa de peritos como causal implica determinar si esta debe atender el carácter </w:t>
      </w:r>
      <w:proofErr w:type="spellStart"/>
      <w:r w:rsidRPr="000F34E3">
        <w:rPr>
          <w:rFonts w:ascii="Verdana" w:hAnsi="Verdana" w:cs="Arial"/>
          <w:i/>
          <w:color w:val="000000" w:themeColor="text1"/>
          <w:lang w:val="es-ES_tradnl"/>
        </w:rPr>
        <w:t>intuitu</w:t>
      </w:r>
      <w:proofErr w:type="spellEnd"/>
      <w:r w:rsidRPr="000F34E3">
        <w:rPr>
          <w:rFonts w:ascii="Verdana" w:hAnsi="Verdana" w:cs="Arial"/>
          <w:i/>
          <w:color w:val="000000" w:themeColor="text1"/>
          <w:lang w:val="es-ES_tradnl"/>
        </w:rPr>
        <w:t xml:space="preserve"> </w:t>
      </w:r>
      <w:proofErr w:type="spellStart"/>
      <w:r w:rsidRPr="000F34E3">
        <w:rPr>
          <w:rFonts w:ascii="Verdana" w:hAnsi="Verdana" w:cs="Arial"/>
          <w:i/>
          <w:color w:val="000000" w:themeColor="text1"/>
          <w:lang w:val="es-ES_tradnl"/>
        </w:rPr>
        <w:t>personae</w:t>
      </w:r>
      <w:proofErr w:type="spellEnd"/>
      <w:r w:rsidRPr="000F34E3">
        <w:rPr>
          <w:rFonts w:ascii="Verdana" w:hAnsi="Verdana" w:cs="Arial"/>
          <w:color w:val="000000" w:themeColor="text1"/>
          <w:lang w:val="es-ES_tradnl"/>
        </w:rPr>
        <w:t xml:space="preserve">. Para ello, se precisa que el carácter </w:t>
      </w:r>
      <w:proofErr w:type="spellStart"/>
      <w:r w:rsidRPr="000F34E3">
        <w:rPr>
          <w:rFonts w:ascii="Verdana" w:hAnsi="Verdana" w:cs="Arial"/>
          <w:color w:val="000000" w:themeColor="text1"/>
          <w:lang w:val="es-ES_tradnl"/>
        </w:rPr>
        <w:t>intuitu</w:t>
      </w:r>
      <w:proofErr w:type="spellEnd"/>
      <w:r w:rsidRPr="000F34E3">
        <w:rPr>
          <w:rFonts w:ascii="Verdana" w:hAnsi="Verdana" w:cs="Arial"/>
          <w:color w:val="000000" w:themeColor="text1"/>
          <w:lang w:val="es-ES_tradnl"/>
        </w:rPr>
        <w:t xml:space="preserve"> </w:t>
      </w:r>
      <w:proofErr w:type="spellStart"/>
      <w:r w:rsidRPr="000F34E3">
        <w:rPr>
          <w:rFonts w:ascii="Verdana" w:hAnsi="Verdana" w:cs="Arial"/>
          <w:color w:val="000000" w:themeColor="text1"/>
          <w:lang w:val="es-ES_tradnl"/>
        </w:rPr>
        <w:t>personae</w:t>
      </w:r>
      <w:proofErr w:type="spellEnd"/>
      <w:r w:rsidRPr="000F34E3">
        <w:rPr>
          <w:rFonts w:ascii="Verdana" w:hAnsi="Verdana" w:cs="Arial"/>
          <w:color w:val="000000" w:themeColor="text1"/>
          <w:lang w:val="es-ES_tradnl"/>
        </w:rPr>
        <w:t xml:space="preserve"> significa </w:t>
      </w:r>
      <w:r w:rsidRPr="000F34E3">
        <w:rPr>
          <w:rFonts w:ascii="Verdana" w:hAnsi="Verdana" w:cs="Arial"/>
          <w:i/>
          <w:color w:val="000000" w:themeColor="text1"/>
          <w:lang w:val="es-ES"/>
        </w:rPr>
        <w:t>“en atención a la persona”,</w:t>
      </w:r>
      <w:r w:rsidRPr="000F34E3">
        <w:rPr>
          <w:rFonts w:ascii="Verdana" w:hAnsi="Verdana" w:cs="Arial"/>
          <w:color w:val="000000" w:themeColor="text1"/>
          <w:lang w:val="es-ES"/>
        </w:rPr>
        <w:t xml:space="preserve"> es decir, que algunos negocios jurídicos se suscriben en consideración del talento o aptitud de un sujeto</w:t>
      </w:r>
      <w:r w:rsidRPr="000F34E3">
        <w:rPr>
          <w:rFonts w:ascii="Verdana" w:hAnsi="Verdana" w:cs="Arial"/>
          <w:color w:val="000000" w:themeColor="text1"/>
          <w:vertAlign w:val="superscript"/>
          <w:lang w:val="es-ES"/>
        </w:rPr>
        <w:footnoteReference w:id="25"/>
      </w:r>
      <w:r w:rsidRPr="000F34E3">
        <w:rPr>
          <w:rFonts w:ascii="Verdana" w:hAnsi="Verdana" w:cs="Arial"/>
          <w:color w:val="000000" w:themeColor="text1"/>
          <w:lang w:val="es-ES"/>
        </w:rPr>
        <w:t xml:space="preserve">.Esta característica, en el derecho privado, implica que el negocio jurídico se suscribe en consideración del talento o aptitud del deudor para la ejecución de la obra o para la prestación del servicio. Si se analiza el carácter </w:t>
      </w:r>
      <w:proofErr w:type="spellStart"/>
      <w:r w:rsidRPr="000F34E3">
        <w:rPr>
          <w:rFonts w:ascii="Verdana" w:hAnsi="Verdana" w:cs="Arial"/>
          <w:i/>
          <w:color w:val="000000" w:themeColor="text1"/>
          <w:lang w:val="es-ES"/>
        </w:rPr>
        <w:t>intuitu</w:t>
      </w:r>
      <w:proofErr w:type="spellEnd"/>
      <w:r w:rsidRPr="000F34E3">
        <w:rPr>
          <w:rFonts w:ascii="Verdana" w:hAnsi="Verdana" w:cs="Arial"/>
          <w:i/>
          <w:color w:val="000000" w:themeColor="text1"/>
          <w:lang w:val="es-ES"/>
        </w:rPr>
        <w:t xml:space="preserve"> </w:t>
      </w:r>
      <w:proofErr w:type="spellStart"/>
      <w:r w:rsidRPr="000F34E3">
        <w:rPr>
          <w:rFonts w:ascii="Verdana" w:hAnsi="Verdana" w:cs="Arial"/>
          <w:i/>
          <w:color w:val="000000" w:themeColor="text1"/>
          <w:lang w:val="es-ES"/>
        </w:rPr>
        <w:t>personae</w:t>
      </w:r>
      <w:proofErr w:type="spellEnd"/>
      <w:r w:rsidRPr="000F34E3">
        <w:rPr>
          <w:rFonts w:ascii="Verdana" w:hAnsi="Verdana" w:cs="Arial"/>
          <w:i/>
          <w:color w:val="000000" w:themeColor="text1"/>
          <w:lang w:val="es-ES"/>
        </w:rPr>
        <w:t>,</w:t>
      </w:r>
      <w:r w:rsidRPr="000F34E3">
        <w:rPr>
          <w:rFonts w:ascii="Verdana" w:hAnsi="Verdana" w:cs="Arial"/>
          <w:color w:val="000000" w:themeColor="text1"/>
          <w:lang w:val="es-ES"/>
        </w:rPr>
        <w:t xml:space="preserve"> en estricto sentido, en la Ley 80, tiene dificultades, pues no se podría autorizar la cesión del contrato ni mucho menos se podría subcontratar por las mismas calidades y aptitudes que se le exige al contratista.</w:t>
      </w:r>
    </w:p>
    <w:p w14:paraId="6B3AC32B" w14:textId="77777777" w:rsidR="00BA1046" w:rsidRDefault="00BA1046" w:rsidP="00BA1046">
      <w:pPr>
        <w:spacing w:after="120" w:line="276" w:lineRule="auto"/>
        <w:ind w:firstLine="708"/>
        <w:jc w:val="both"/>
        <w:rPr>
          <w:rFonts w:ascii="Verdana" w:hAnsi="Verdana" w:cs="Arial"/>
          <w:bCs/>
          <w:i/>
          <w:color w:val="000000" w:themeColor="text1"/>
        </w:rPr>
      </w:pPr>
      <w:r w:rsidRPr="00B853E0">
        <w:rPr>
          <w:rFonts w:ascii="Verdana" w:hAnsi="Verdana" w:cs="Arial"/>
          <w:bCs/>
          <w:color w:val="000000" w:themeColor="text1"/>
        </w:rPr>
        <w:t>En materia de</w:t>
      </w:r>
      <w:r>
        <w:rPr>
          <w:rFonts w:ascii="Verdana" w:hAnsi="Verdana" w:cs="Arial"/>
          <w:bCs/>
          <w:color w:val="000000" w:themeColor="text1"/>
        </w:rPr>
        <w:t>l Sistema de Compras y Contratación Pública</w:t>
      </w:r>
      <w:r w:rsidRPr="00B853E0">
        <w:rPr>
          <w:rFonts w:ascii="Verdana" w:hAnsi="Verdana" w:cs="Arial"/>
          <w:bCs/>
          <w:color w:val="000000" w:themeColor="text1"/>
        </w:rPr>
        <w:t xml:space="preserve">, el artículo 41 de la ley 80 de 1993 expone una regla especial que se aplica de manera </w:t>
      </w:r>
      <w:r w:rsidRPr="00B853E0">
        <w:rPr>
          <w:rFonts w:ascii="Verdana" w:hAnsi="Verdana" w:cs="Arial"/>
          <w:bCs/>
          <w:color w:val="000000" w:themeColor="text1"/>
        </w:rPr>
        <w:lastRenderedPageBreak/>
        <w:t>preferente a las normas contenidas en el Código de Comercio sobre cesión de contratos, y es la contenida en el inciso terc</w:t>
      </w:r>
      <w:r>
        <w:rPr>
          <w:rFonts w:ascii="Verdana" w:hAnsi="Verdana" w:cs="Arial"/>
          <w:bCs/>
          <w:color w:val="000000" w:themeColor="text1"/>
        </w:rPr>
        <w:t>ero, el cual prescribe</w:t>
      </w:r>
      <w:r w:rsidRPr="00B853E0">
        <w:rPr>
          <w:rFonts w:ascii="Verdana" w:hAnsi="Verdana" w:cs="Arial"/>
          <w:bCs/>
          <w:color w:val="000000" w:themeColor="text1"/>
        </w:rPr>
        <w:t>:</w:t>
      </w:r>
      <w:r>
        <w:rPr>
          <w:rFonts w:ascii="Verdana" w:hAnsi="Verdana" w:cs="Arial"/>
          <w:bCs/>
          <w:color w:val="000000" w:themeColor="text1"/>
        </w:rPr>
        <w:t xml:space="preserve"> </w:t>
      </w:r>
      <w:r>
        <w:rPr>
          <w:rFonts w:ascii="Verdana" w:hAnsi="Verdana" w:cs="Arial"/>
          <w:i/>
          <w:color w:val="000000" w:themeColor="text1"/>
        </w:rPr>
        <w:t>“[…]</w:t>
      </w:r>
      <w:r w:rsidRPr="00B853E0">
        <w:rPr>
          <w:rFonts w:ascii="Verdana" w:hAnsi="Verdana" w:cs="Arial"/>
          <w:i/>
          <w:color w:val="000000" w:themeColor="text1"/>
        </w:rPr>
        <w:t xml:space="preserve"> Los contratos estatales son "Intuito </w:t>
      </w:r>
      <w:proofErr w:type="spellStart"/>
      <w:r w:rsidRPr="00B853E0">
        <w:rPr>
          <w:rFonts w:ascii="Verdana" w:hAnsi="Verdana" w:cs="Arial"/>
          <w:i/>
          <w:color w:val="000000" w:themeColor="text1"/>
        </w:rPr>
        <w:t>personae</w:t>
      </w:r>
      <w:proofErr w:type="spellEnd"/>
      <w:r w:rsidRPr="00B853E0">
        <w:rPr>
          <w:rFonts w:ascii="Verdana" w:hAnsi="Verdana" w:cs="Arial"/>
          <w:i/>
          <w:color w:val="000000" w:themeColor="text1"/>
        </w:rPr>
        <w:t xml:space="preserve">" </w:t>
      </w:r>
      <w:r w:rsidRPr="00B853E0">
        <w:rPr>
          <w:rFonts w:ascii="Verdana" w:hAnsi="Verdana" w:cs="Arial"/>
          <w:color w:val="000000" w:themeColor="text1"/>
        </w:rPr>
        <w:t>(sic)</w:t>
      </w:r>
      <w:r w:rsidRPr="00B853E0">
        <w:rPr>
          <w:rFonts w:ascii="Verdana" w:hAnsi="Verdana" w:cs="Arial"/>
          <w:i/>
          <w:color w:val="000000" w:themeColor="text1"/>
        </w:rPr>
        <w:t xml:space="preserve"> y, en consecuencia, una vez celebrados no podrán cederse sin previa autorización escrita de la entidad contratante (…)”.</w:t>
      </w:r>
      <w:r>
        <w:rPr>
          <w:rFonts w:ascii="Verdana" w:hAnsi="Verdana" w:cs="Arial"/>
          <w:bCs/>
          <w:i/>
          <w:color w:val="000000" w:themeColor="text1"/>
        </w:rPr>
        <w:t xml:space="preserve"> </w:t>
      </w:r>
      <w:r w:rsidRPr="00160F8E">
        <w:rPr>
          <w:rFonts w:ascii="Verdana" w:hAnsi="Verdana" w:cs="Arial"/>
          <w:bCs/>
          <w:color w:val="000000" w:themeColor="text1"/>
        </w:rPr>
        <w:t>Al respecto, el Consejo de Estado expresa que</w:t>
      </w:r>
      <w:r>
        <w:rPr>
          <w:rFonts w:ascii="Verdana" w:hAnsi="Verdana" w:cs="Arial"/>
          <w:bCs/>
          <w:i/>
          <w:color w:val="000000" w:themeColor="text1"/>
        </w:rPr>
        <w:t xml:space="preserve"> </w:t>
      </w:r>
      <w:r w:rsidRPr="00160F8E">
        <w:rPr>
          <w:rFonts w:ascii="Verdana" w:hAnsi="Verdana" w:cs="Arial"/>
          <w:bCs/>
          <w:color w:val="000000" w:themeColor="text1"/>
        </w:rPr>
        <w:t xml:space="preserve">esta </w:t>
      </w:r>
      <w:r>
        <w:rPr>
          <w:rFonts w:ascii="Verdana" w:hAnsi="Verdana" w:cs="Arial"/>
          <w:bCs/>
          <w:color w:val="000000" w:themeColor="text1"/>
        </w:rPr>
        <w:t>disposición tiene un</w:t>
      </w:r>
      <w:r w:rsidRPr="00B853E0">
        <w:rPr>
          <w:rFonts w:ascii="Verdana" w:hAnsi="Verdana" w:cs="Arial"/>
          <w:bCs/>
          <w:color w:val="000000" w:themeColor="text1"/>
        </w:rPr>
        <w:t xml:space="preserve"> </w:t>
      </w:r>
      <w:r>
        <w:rPr>
          <w:rFonts w:ascii="Verdana" w:hAnsi="Verdana" w:cs="Arial"/>
          <w:bCs/>
          <w:color w:val="000000" w:themeColor="text1"/>
        </w:rPr>
        <w:t>sustento</w:t>
      </w:r>
      <w:r w:rsidRPr="00B853E0">
        <w:rPr>
          <w:rFonts w:ascii="Verdana" w:hAnsi="Verdana" w:cs="Arial"/>
          <w:bCs/>
          <w:color w:val="000000" w:themeColor="text1"/>
        </w:rPr>
        <w:t>, ya que, sin excepción alguna e independientemente del modo d</w:t>
      </w:r>
      <w:r>
        <w:rPr>
          <w:rFonts w:ascii="Verdana" w:hAnsi="Verdana" w:cs="Arial"/>
          <w:bCs/>
          <w:color w:val="000000" w:themeColor="text1"/>
        </w:rPr>
        <w:t>e contratación que se adelante</w:t>
      </w:r>
      <w:r w:rsidRPr="00B853E0">
        <w:rPr>
          <w:rFonts w:ascii="Verdana" w:hAnsi="Verdana" w:cs="Arial"/>
          <w:bCs/>
          <w:color w:val="000000" w:themeColor="text1"/>
        </w:rPr>
        <w:t xml:space="preserve">, los negocios celebrados con los contratistas, se derivan de sus calidades técnicas, económicas y financieras, </w:t>
      </w:r>
      <w:r>
        <w:rPr>
          <w:rFonts w:ascii="Verdana" w:hAnsi="Verdana" w:cs="Arial"/>
          <w:bCs/>
          <w:color w:val="000000" w:themeColor="text1"/>
        </w:rPr>
        <w:t xml:space="preserve">con el fin de cumplir </w:t>
      </w:r>
      <w:r w:rsidRPr="00B853E0">
        <w:rPr>
          <w:rFonts w:ascii="Verdana" w:hAnsi="Verdana" w:cs="Arial"/>
          <w:bCs/>
          <w:color w:val="000000" w:themeColor="text1"/>
        </w:rPr>
        <w:t xml:space="preserve">los fines estatales contenidos en el artículo 3 de la ley 80 de 1993; por lo tanto, en consideración a que los contratos estatales tienen la característica de ser </w:t>
      </w:r>
      <w:r w:rsidRPr="00B853E0">
        <w:rPr>
          <w:rFonts w:ascii="Verdana" w:hAnsi="Verdana" w:cs="Arial"/>
          <w:bCs/>
          <w:i/>
          <w:color w:val="000000" w:themeColor="text1"/>
        </w:rPr>
        <w:t>“</w:t>
      </w:r>
      <w:proofErr w:type="spellStart"/>
      <w:r w:rsidRPr="00B853E0">
        <w:rPr>
          <w:rFonts w:ascii="Verdana" w:hAnsi="Verdana" w:cs="Arial"/>
          <w:bCs/>
          <w:i/>
          <w:color w:val="000000" w:themeColor="text1"/>
        </w:rPr>
        <w:t>intu</w:t>
      </w:r>
      <w:r>
        <w:rPr>
          <w:rFonts w:ascii="Verdana" w:hAnsi="Verdana" w:cs="Arial"/>
          <w:bCs/>
          <w:i/>
          <w:color w:val="000000" w:themeColor="text1"/>
        </w:rPr>
        <w:t>itu</w:t>
      </w:r>
      <w:proofErr w:type="spellEnd"/>
      <w:r>
        <w:rPr>
          <w:rFonts w:ascii="Verdana" w:hAnsi="Verdana" w:cs="Arial"/>
          <w:bCs/>
          <w:i/>
          <w:color w:val="000000" w:themeColor="text1"/>
        </w:rPr>
        <w:t xml:space="preserve"> </w:t>
      </w:r>
      <w:proofErr w:type="spellStart"/>
      <w:r>
        <w:rPr>
          <w:rFonts w:ascii="Verdana" w:hAnsi="Verdana" w:cs="Arial"/>
          <w:bCs/>
          <w:i/>
          <w:color w:val="000000" w:themeColor="text1"/>
        </w:rPr>
        <w:t>personae</w:t>
      </w:r>
      <w:proofErr w:type="spellEnd"/>
      <w:r>
        <w:rPr>
          <w:rFonts w:ascii="Verdana" w:hAnsi="Verdana" w:cs="Arial"/>
          <w:bCs/>
          <w:i/>
          <w:color w:val="000000" w:themeColor="text1"/>
        </w:rPr>
        <w:t xml:space="preserve">”, </w:t>
      </w:r>
      <w:r w:rsidRPr="002F712F">
        <w:rPr>
          <w:rFonts w:ascii="Verdana" w:hAnsi="Verdana" w:cs="Arial"/>
          <w:bCs/>
          <w:color w:val="000000" w:themeColor="text1"/>
        </w:rPr>
        <w:t>siendo necesario la autorización previa y escrita de la misma</w:t>
      </w:r>
      <w:r>
        <w:rPr>
          <w:rStyle w:val="Refdenotaalpie"/>
          <w:rFonts w:ascii="Verdana" w:hAnsi="Verdana" w:cs="Arial"/>
          <w:bCs/>
          <w:color w:val="000000" w:themeColor="text1"/>
        </w:rPr>
        <w:footnoteReference w:id="26"/>
      </w:r>
      <w:r w:rsidRPr="002F712F">
        <w:rPr>
          <w:rFonts w:ascii="Verdana" w:hAnsi="Verdana" w:cs="Arial"/>
          <w:bCs/>
          <w:color w:val="000000" w:themeColor="text1"/>
        </w:rPr>
        <w:t>.</w:t>
      </w:r>
      <w:r>
        <w:rPr>
          <w:rFonts w:ascii="Verdana" w:hAnsi="Verdana" w:cs="Arial"/>
          <w:bCs/>
          <w:i/>
          <w:color w:val="000000" w:themeColor="text1"/>
        </w:rPr>
        <w:t xml:space="preserve">  </w:t>
      </w:r>
    </w:p>
    <w:p w14:paraId="485E4407" w14:textId="77777777" w:rsidR="00BA1046" w:rsidRPr="000F34E3" w:rsidRDefault="00BA1046" w:rsidP="00BA1046">
      <w:pPr>
        <w:spacing w:after="120" w:line="276" w:lineRule="auto"/>
        <w:ind w:firstLine="708"/>
        <w:jc w:val="both"/>
        <w:rPr>
          <w:rFonts w:ascii="Verdana" w:hAnsi="Verdana" w:cs="Arial"/>
          <w:color w:val="000000" w:themeColor="text1"/>
          <w:lang w:val="es-ES"/>
        </w:rPr>
      </w:pPr>
      <w:r>
        <w:rPr>
          <w:rFonts w:ascii="Verdana" w:hAnsi="Verdana" w:cs="Arial"/>
          <w:bCs/>
          <w:color w:val="000000" w:themeColor="text1"/>
        </w:rPr>
        <w:t xml:space="preserve">El carácter intuito </w:t>
      </w:r>
      <w:proofErr w:type="spellStart"/>
      <w:r>
        <w:rPr>
          <w:rFonts w:ascii="Verdana" w:hAnsi="Verdana" w:cs="Arial"/>
          <w:bCs/>
          <w:color w:val="000000" w:themeColor="text1"/>
        </w:rPr>
        <w:t>personae</w:t>
      </w:r>
      <w:proofErr w:type="spellEnd"/>
      <w:r>
        <w:rPr>
          <w:rFonts w:ascii="Verdana" w:hAnsi="Verdana" w:cs="Arial"/>
          <w:bCs/>
          <w:color w:val="000000" w:themeColor="text1"/>
        </w:rPr>
        <w:t xml:space="preserve"> en los contratos estatales debe matizarse dependiendo de las modalidades </w:t>
      </w:r>
      <w:r w:rsidRPr="000F34E3">
        <w:rPr>
          <w:rFonts w:ascii="Verdana" w:hAnsi="Verdana" w:cs="Arial"/>
          <w:color w:val="000000" w:themeColor="text1"/>
          <w:lang w:val="es-ES"/>
        </w:rPr>
        <w:t>de selección, es decir, procedimientos como la licitación pública, en el que se requiere una selección objetiva del contrati</w:t>
      </w:r>
      <w:r>
        <w:rPr>
          <w:rFonts w:ascii="Verdana" w:hAnsi="Verdana" w:cs="Arial"/>
          <w:color w:val="000000" w:themeColor="text1"/>
          <w:lang w:val="es-ES"/>
        </w:rPr>
        <w:t>s</w:t>
      </w:r>
      <w:r w:rsidRPr="000F34E3">
        <w:rPr>
          <w:rFonts w:ascii="Verdana" w:hAnsi="Verdana" w:cs="Arial"/>
          <w:color w:val="000000" w:themeColor="text1"/>
          <w:lang w:val="es-ES"/>
        </w:rPr>
        <w:t xml:space="preserve">ta, no se tiene en cuenta las calidades personales de los proponentes. Por el contrario, </w:t>
      </w:r>
      <w:r>
        <w:rPr>
          <w:rFonts w:ascii="Verdana" w:hAnsi="Verdana" w:cs="Arial"/>
          <w:color w:val="000000" w:themeColor="text1"/>
          <w:lang w:val="es-ES"/>
        </w:rPr>
        <w:t xml:space="preserve">en la modalidad de selección como </w:t>
      </w:r>
      <w:r w:rsidRPr="000F34E3">
        <w:rPr>
          <w:rFonts w:ascii="Verdana" w:hAnsi="Verdana" w:cs="Arial"/>
          <w:color w:val="000000" w:themeColor="text1"/>
          <w:lang w:val="es-ES"/>
        </w:rPr>
        <w:t xml:space="preserve">la contratación directa, el carácter </w:t>
      </w:r>
      <w:proofErr w:type="spellStart"/>
      <w:r>
        <w:rPr>
          <w:rFonts w:ascii="Verdana" w:hAnsi="Verdana" w:cs="Arial"/>
          <w:i/>
          <w:color w:val="000000" w:themeColor="text1"/>
          <w:lang w:val="es-ES"/>
        </w:rPr>
        <w:t>intuitu</w:t>
      </w:r>
      <w:proofErr w:type="spellEnd"/>
      <w:r w:rsidRPr="000F34E3">
        <w:rPr>
          <w:rFonts w:ascii="Verdana" w:hAnsi="Verdana" w:cs="Arial"/>
          <w:i/>
          <w:color w:val="000000" w:themeColor="text1"/>
          <w:lang w:val="es-ES"/>
        </w:rPr>
        <w:t xml:space="preserve"> </w:t>
      </w:r>
      <w:proofErr w:type="spellStart"/>
      <w:r w:rsidRPr="000F34E3">
        <w:rPr>
          <w:rFonts w:ascii="Verdana" w:hAnsi="Verdana" w:cs="Arial"/>
          <w:i/>
          <w:color w:val="000000" w:themeColor="text1"/>
          <w:lang w:val="es-ES"/>
        </w:rPr>
        <w:t>personae</w:t>
      </w:r>
      <w:proofErr w:type="spellEnd"/>
      <w:r w:rsidRPr="000F34E3">
        <w:rPr>
          <w:rFonts w:ascii="Verdana" w:hAnsi="Verdana" w:cs="Arial"/>
          <w:color w:val="000000" w:themeColor="text1"/>
          <w:lang w:val="es-ES"/>
        </w:rPr>
        <w:t xml:space="preserve"> del contratista es determinante, pues se contrata por las calidades y aptitudes de la persona</w:t>
      </w:r>
      <w:r>
        <w:rPr>
          <w:rFonts w:ascii="Verdana" w:hAnsi="Verdana" w:cs="Arial"/>
          <w:color w:val="000000" w:themeColor="text1"/>
          <w:lang w:val="es-ES"/>
        </w:rPr>
        <w:t xml:space="preserve">. A modo de ejemplo, se encuentran </w:t>
      </w:r>
      <w:r w:rsidRPr="000F34E3">
        <w:rPr>
          <w:rFonts w:ascii="Verdana" w:hAnsi="Verdana" w:cs="Arial"/>
          <w:color w:val="000000" w:themeColor="text1"/>
          <w:lang w:val="es-ES"/>
        </w:rPr>
        <w:t xml:space="preserve">causales como los contratos para </w:t>
      </w:r>
      <w:r>
        <w:rPr>
          <w:rFonts w:ascii="Verdana" w:hAnsi="Verdana" w:cs="Arial"/>
          <w:color w:val="000000" w:themeColor="text1"/>
          <w:lang w:val="es-ES"/>
        </w:rPr>
        <w:t xml:space="preserve">la ejecución de actividades artísticas, </w:t>
      </w:r>
      <w:r w:rsidRPr="000F34E3">
        <w:rPr>
          <w:rFonts w:ascii="Verdana" w:hAnsi="Verdana" w:cs="Arial"/>
          <w:color w:val="000000" w:themeColor="text1"/>
          <w:lang w:val="es-ES"/>
        </w:rPr>
        <w:t xml:space="preserve">el desarrollo de actividades científicas y tecnológicas, </w:t>
      </w:r>
      <w:r>
        <w:rPr>
          <w:rFonts w:ascii="Verdana" w:hAnsi="Verdana" w:cs="Arial"/>
          <w:color w:val="000000" w:themeColor="text1"/>
          <w:lang w:val="es-ES"/>
        </w:rPr>
        <w:t xml:space="preserve">la contratación de peritos, entre otros. </w:t>
      </w:r>
    </w:p>
    <w:p w14:paraId="6364A0AD" w14:textId="77777777" w:rsidR="00BA1046" w:rsidRDefault="00BA1046" w:rsidP="00BA1046">
      <w:pPr>
        <w:spacing w:after="120" w:line="276" w:lineRule="auto"/>
        <w:ind w:firstLine="708"/>
        <w:jc w:val="both"/>
        <w:rPr>
          <w:rFonts w:ascii="Verdana" w:hAnsi="Verdana" w:cs="Arial"/>
          <w:color w:val="000000" w:themeColor="text1"/>
          <w:lang w:val="es-ES"/>
        </w:rPr>
      </w:pPr>
      <w:r>
        <w:rPr>
          <w:rFonts w:ascii="Verdana" w:hAnsi="Verdana" w:cs="Arial"/>
          <w:color w:val="000000" w:themeColor="text1"/>
          <w:lang w:val="es-ES"/>
        </w:rPr>
        <w:t>Bajo estas consideraciones, l</w:t>
      </w:r>
      <w:r w:rsidRPr="00B853E0">
        <w:rPr>
          <w:rFonts w:ascii="Verdana" w:hAnsi="Verdana" w:cs="Arial"/>
          <w:color w:val="000000" w:themeColor="text1"/>
          <w:lang w:val="es-ES"/>
        </w:rPr>
        <w:t xml:space="preserve">os contratos </w:t>
      </w:r>
      <w:r>
        <w:rPr>
          <w:rFonts w:ascii="Verdana" w:hAnsi="Verdana" w:cs="Arial"/>
          <w:color w:val="000000" w:themeColor="text1"/>
          <w:lang w:val="es-ES"/>
        </w:rPr>
        <w:t>de peritos</w:t>
      </w:r>
      <w:r w:rsidRPr="002F712F">
        <w:rPr>
          <w:rFonts w:ascii="Verdana" w:hAnsi="Verdana" w:cs="Arial"/>
          <w:color w:val="000000" w:themeColor="text1"/>
          <w:lang w:val="es-ES_tradnl"/>
        </w:rPr>
        <w:t xml:space="preserve"> expertos o asesores técnicos para presentar o contradecir el dictamen pericial en procesos judiciales</w:t>
      </w:r>
      <w:r>
        <w:rPr>
          <w:rFonts w:ascii="Verdana" w:hAnsi="Verdana" w:cs="Arial"/>
          <w:color w:val="000000" w:themeColor="text1"/>
          <w:lang w:val="es-ES_tradnl"/>
        </w:rPr>
        <w:t xml:space="preserve"> por parte de una entidad pública</w:t>
      </w:r>
      <w:r w:rsidRPr="00B853E0">
        <w:rPr>
          <w:rFonts w:ascii="Verdana" w:hAnsi="Verdana" w:cs="Arial"/>
          <w:color w:val="000000" w:themeColor="text1"/>
          <w:lang w:val="es-ES"/>
        </w:rPr>
        <w:t xml:space="preserve"> se </w:t>
      </w:r>
      <w:r>
        <w:rPr>
          <w:rFonts w:ascii="Verdana" w:hAnsi="Verdana" w:cs="Arial"/>
          <w:color w:val="000000" w:themeColor="text1"/>
          <w:lang w:val="es-ES"/>
        </w:rPr>
        <w:t xml:space="preserve">consideran de naturaleza </w:t>
      </w:r>
      <w:proofErr w:type="spellStart"/>
      <w:r>
        <w:rPr>
          <w:rFonts w:ascii="Verdana" w:hAnsi="Verdana" w:cs="Arial"/>
          <w:color w:val="000000" w:themeColor="text1"/>
          <w:lang w:val="es-ES"/>
        </w:rPr>
        <w:t>intuitu</w:t>
      </w:r>
      <w:proofErr w:type="spellEnd"/>
      <w:r w:rsidRPr="00B853E0">
        <w:rPr>
          <w:rFonts w:ascii="Verdana" w:hAnsi="Verdana" w:cs="Arial"/>
          <w:color w:val="000000" w:themeColor="text1"/>
          <w:lang w:val="es-ES"/>
        </w:rPr>
        <w:t xml:space="preserve"> </w:t>
      </w:r>
      <w:proofErr w:type="spellStart"/>
      <w:r w:rsidRPr="00B853E0">
        <w:rPr>
          <w:rFonts w:ascii="Verdana" w:hAnsi="Verdana" w:cs="Arial"/>
          <w:color w:val="000000" w:themeColor="text1"/>
          <w:lang w:val="es-ES"/>
        </w:rPr>
        <w:t>personae</w:t>
      </w:r>
      <w:proofErr w:type="spellEnd"/>
      <w:r w:rsidRPr="00B853E0">
        <w:rPr>
          <w:rFonts w:ascii="Verdana" w:hAnsi="Verdana" w:cs="Arial"/>
          <w:color w:val="000000" w:themeColor="text1"/>
          <w:lang w:val="es-ES"/>
        </w:rPr>
        <w:t>, ya que su celebración se fundamenta en la confianza depositada en las calidades personales del perito. No se trata de la prestación de un servicio técnico, sino de la elección de un profesional específico cuya experiencia, conocimientos especializados y credibilidad resultan determinantes para garantizar la validez y utilidad del dictamen. En este sentido, la parte contratante busca precisamente la intervención de esa persona en particular, y no de un tercero que pudiera sustituirla.</w:t>
      </w:r>
    </w:p>
    <w:p w14:paraId="2674E869" w14:textId="77777777" w:rsidR="00BA1046" w:rsidRPr="00B853E0" w:rsidRDefault="00BA1046" w:rsidP="00BA1046">
      <w:pPr>
        <w:spacing w:after="120" w:line="276" w:lineRule="auto"/>
        <w:ind w:firstLine="708"/>
        <w:jc w:val="both"/>
        <w:rPr>
          <w:rFonts w:ascii="Verdana" w:hAnsi="Verdana" w:cs="Arial"/>
          <w:color w:val="000000" w:themeColor="text1"/>
          <w:lang w:val="es-ES"/>
        </w:rPr>
      </w:pPr>
      <w:r>
        <w:rPr>
          <w:rFonts w:ascii="Verdana" w:hAnsi="Verdana" w:cs="Arial"/>
          <w:color w:val="000000" w:themeColor="text1"/>
          <w:lang w:val="es-ES"/>
        </w:rPr>
        <w:t>Por ello, l</w:t>
      </w:r>
      <w:r w:rsidRPr="00FF2047">
        <w:rPr>
          <w:rFonts w:ascii="Verdana" w:hAnsi="Verdana" w:cs="Arial"/>
          <w:color w:val="000000" w:themeColor="text1"/>
          <w:lang w:val="es-ES"/>
        </w:rPr>
        <w:t xml:space="preserve">a ejecución de este tipo de contratos se sustenta en la independencia, imparcialidad y prestigio del perito o experto designado, </w:t>
      </w:r>
      <w:r w:rsidRPr="00FF2047">
        <w:rPr>
          <w:rFonts w:ascii="Verdana" w:hAnsi="Verdana" w:cs="Arial"/>
          <w:color w:val="000000" w:themeColor="text1"/>
          <w:lang w:val="es-ES"/>
        </w:rPr>
        <w:lastRenderedPageBreak/>
        <w:t>atributos esenciales que garantizan la credibilidad y objetividad de su intervención. Estas cualidades, al ser estrictamente personales, no pueden ser transferidas ni delegadas sin comprometer la naturaleza del acuerdo, salvo que exista una autorización p</w:t>
      </w:r>
      <w:r>
        <w:rPr>
          <w:rFonts w:ascii="Verdana" w:hAnsi="Verdana" w:cs="Arial"/>
          <w:color w:val="000000" w:themeColor="text1"/>
          <w:lang w:val="es-ES"/>
        </w:rPr>
        <w:t xml:space="preserve">revia y expresa mediante cesión. En todo caso, al que le ceden del contrato debe cumplir las cualidades y condiciones exigidas en el contrato. </w:t>
      </w:r>
    </w:p>
    <w:p w14:paraId="6E04DCA2" w14:textId="77777777" w:rsidR="00BA1046" w:rsidRPr="00DE024F" w:rsidRDefault="00BA1046" w:rsidP="00BA1046">
      <w:pPr>
        <w:spacing w:after="120" w:line="276" w:lineRule="auto"/>
        <w:ind w:firstLine="708"/>
        <w:jc w:val="both"/>
        <w:rPr>
          <w:rFonts w:ascii="Verdana" w:hAnsi="Verdana" w:cs="Arial"/>
          <w:color w:val="000000" w:themeColor="text1"/>
          <w:lang w:val="es-ES_tradnl"/>
        </w:rPr>
      </w:pPr>
      <w:r w:rsidRPr="00DE024F">
        <w:rPr>
          <w:rFonts w:ascii="Verdana" w:hAnsi="Verdana" w:cs="Arial"/>
          <w:color w:val="000000" w:themeColor="text1"/>
          <w:lang w:val="es-ES_tradnl"/>
        </w:rPr>
        <w:t xml:space="preserve">c) Por expresa disposición legal, la contratación directa de peritos y asesores técnicos para la finalidad prevista en la nueva causal del literal k) del numeral 4° del artículo 2 de la Ley 1150 de 2007 comporta una </w:t>
      </w:r>
      <w:r w:rsidRPr="00DE024F">
        <w:rPr>
          <w:rFonts w:ascii="Verdana" w:hAnsi="Verdana" w:cs="Arial"/>
          <w:i/>
          <w:iCs/>
          <w:color w:val="000000" w:themeColor="text1"/>
          <w:lang w:val="es-ES_tradnl"/>
        </w:rPr>
        <w:t>excepción</w:t>
      </w:r>
      <w:r w:rsidRPr="00DE024F">
        <w:rPr>
          <w:rFonts w:ascii="Verdana" w:hAnsi="Verdana" w:cs="Arial"/>
          <w:color w:val="000000" w:themeColor="text1"/>
          <w:lang w:val="es-ES_tradnl"/>
        </w:rPr>
        <w:t xml:space="preserve"> a la restricción de la contratación directa de las entidades estatales prevista en la Ley de Garantías Electorales –Ley 996 de 2005– por lo que una entidad estatal que requiera aportar o contradecir un dictamen pericial, dentro de un proceso judicial, podrá contratar directamente al perito o asesor técnico que requiera, aun en vigencia</w:t>
      </w:r>
      <w:r>
        <w:rPr>
          <w:rFonts w:ascii="Verdana" w:hAnsi="Verdana" w:cs="Arial"/>
          <w:color w:val="000000" w:themeColor="text1"/>
          <w:lang w:val="es-ES_tradnl"/>
        </w:rPr>
        <w:t xml:space="preserve"> la prohibición establecida en </w:t>
      </w:r>
      <w:r w:rsidRPr="00DE024F">
        <w:rPr>
          <w:rFonts w:ascii="Verdana" w:hAnsi="Verdana" w:cs="Arial"/>
          <w:color w:val="000000" w:themeColor="text1"/>
          <w:lang w:val="es-ES_tradnl"/>
        </w:rPr>
        <w:t xml:space="preserve">el artículo 33 de la Ley 996 de 2005, esto es, durante los cuatro meses anteriores a las elecciones presidenciales y hasta la fecha al cual el presidente sea elegido. Esta excepción se </w:t>
      </w:r>
      <w:r>
        <w:rPr>
          <w:rFonts w:ascii="Verdana" w:hAnsi="Verdana" w:cs="Arial"/>
          <w:color w:val="000000" w:themeColor="text1"/>
          <w:lang w:val="es-ES_tradnl"/>
        </w:rPr>
        <w:t xml:space="preserve">regula </w:t>
      </w:r>
      <w:r w:rsidRPr="00DE024F">
        <w:rPr>
          <w:rFonts w:ascii="Verdana" w:hAnsi="Verdana" w:cs="Arial"/>
          <w:color w:val="000000" w:themeColor="text1"/>
          <w:lang w:val="es-ES_tradnl"/>
        </w:rPr>
        <w:t>en el numeral 1 del artículo 222 de la Ley 1437 de 2011, de acuerdo co</w:t>
      </w:r>
      <w:r>
        <w:rPr>
          <w:rFonts w:ascii="Verdana" w:hAnsi="Verdana" w:cs="Arial"/>
          <w:color w:val="000000" w:themeColor="text1"/>
          <w:lang w:val="es-ES_tradnl"/>
        </w:rPr>
        <w:t>n la modificación d</w:t>
      </w:r>
      <w:r w:rsidRPr="00DE024F">
        <w:rPr>
          <w:rFonts w:ascii="Verdana" w:hAnsi="Verdana" w:cs="Arial"/>
          <w:color w:val="000000" w:themeColor="text1"/>
          <w:lang w:val="es-ES_tradnl"/>
        </w:rPr>
        <w:t xml:space="preserve">el artículo 58 de la Ley 2080 de 2021. En tal sentido, se encuentra que la contratación realizada por entidades públicas para la selección de peritos expertos o asesores técnicos para presentar o contradecir el dictamen pericial en procesos judiciales, sería una excepción adicional a las dispuestas en el inciso segundo del artículo 33 de la Ley 1996 de 2005 – Ley de Garantías Electorales-. </w:t>
      </w:r>
    </w:p>
    <w:p w14:paraId="4B91208C" w14:textId="77777777" w:rsidR="00BA1046" w:rsidRPr="00DE024F" w:rsidRDefault="00BA1046" w:rsidP="00BA1046">
      <w:pPr>
        <w:spacing w:after="120" w:line="276" w:lineRule="auto"/>
        <w:ind w:firstLine="708"/>
        <w:jc w:val="both"/>
        <w:rPr>
          <w:rFonts w:ascii="Verdana" w:hAnsi="Verdana" w:cs="Arial"/>
          <w:color w:val="000000" w:themeColor="text1"/>
          <w:lang w:val="es-ES_tradnl"/>
        </w:rPr>
      </w:pPr>
      <w:r w:rsidRPr="00DE024F">
        <w:rPr>
          <w:rFonts w:ascii="Verdana" w:hAnsi="Verdana" w:cs="Arial"/>
          <w:color w:val="000000" w:themeColor="text1"/>
          <w:lang w:val="es-ES_tradnl"/>
        </w:rPr>
        <w:t xml:space="preserve">De otro lado, cabe resaltar que tanto el artículo 82 que adicionó la causal de contratación directa, como el artículo 58 que dispuso las reglas especiales de las entidades públicas para la prueba pericial, entraron en vigor a partir del 25 de enero de 2021, fecha en que se publicó la Ley 2080 de 2021, por lo que su aplicación directa inició a partir de esa fecha en los términos previstos en el artículo 86 de la ley, sin que se observe que la norma haya deferido los efectos jurídicos de esos artículos a la existencia de una reglamentación posterior que provenga del Gobierno Nacional, en ejercicio de la competencia prevista en el artículo 189.11 de la Constitución Política. </w:t>
      </w:r>
    </w:p>
    <w:p w14:paraId="199A71B4" w14:textId="77777777" w:rsidR="00BA1046" w:rsidRPr="006C42DB" w:rsidRDefault="00BA1046" w:rsidP="00BA1046">
      <w:pPr>
        <w:spacing w:after="120" w:line="276" w:lineRule="auto"/>
        <w:ind w:firstLine="709"/>
        <w:jc w:val="both"/>
        <w:rPr>
          <w:rFonts w:ascii="Verdana" w:hAnsi="Verdana" w:cs="Arial"/>
          <w:color w:val="000000" w:themeColor="text1"/>
          <w:lang w:val="es-ES_tradnl"/>
        </w:rPr>
      </w:pPr>
      <w:r w:rsidRPr="006C42DB">
        <w:rPr>
          <w:rFonts w:ascii="Verdana" w:hAnsi="Verdana" w:cs="Arial"/>
          <w:color w:val="000000" w:themeColor="text1"/>
          <w:lang w:val="es-ES_tradnl"/>
        </w:rPr>
        <w:t xml:space="preserve">Finalmente, esta Agencia considera que aun cuando la tipología contractual para contratar a un experto con la finalidad de que éste realice un peritaje o brinde asesoría técnica para aportar o controvertir pruebas en un </w:t>
      </w:r>
      <w:r w:rsidRPr="006C42DB">
        <w:rPr>
          <w:rFonts w:ascii="Verdana" w:hAnsi="Verdana" w:cs="Arial"/>
          <w:color w:val="000000" w:themeColor="text1"/>
          <w:lang w:val="es-ES_tradnl"/>
        </w:rPr>
        <w:lastRenderedPageBreak/>
        <w:t xml:space="preserve">proceso judicial, podría ser el contrato de prestación de servicios, lo cierto es que el literal k) adicionado al numeral 4° del artículo 2 de la ley 1150 de 2007 es una nueva causal de contratación directa, autónoma y distinta a la prevista en el literal h) de esa misma norma que fue prevista para los contratos de prestación de servicios profesionales y de apoyo a la gestión o para la ejecución de trabajos artísticos que solo puedan encomendarse a determinadas personas naturales. </w:t>
      </w:r>
    </w:p>
    <w:p w14:paraId="5508CDDF" w14:textId="77777777" w:rsidR="00BA1046" w:rsidRPr="006C42DB" w:rsidRDefault="00BA1046" w:rsidP="00BA1046">
      <w:pPr>
        <w:spacing w:after="0" w:line="276" w:lineRule="auto"/>
        <w:ind w:firstLine="709"/>
        <w:jc w:val="both"/>
        <w:rPr>
          <w:rFonts w:ascii="Verdana" w:hAnsi="Verdana" w:cs="Arial"/>
          <w:color w:val="000000" w:themeColor="text1"/>
          <w:lang w:val="es-ES_tradnl"/>
        </w:rPr>
      </w:pPr>
      <w:r w:rsidRPr="006C42DB">
        <w:rPr>
          <w:rFonts w:ascii="Verdana" w:hAnsi="Verdana" w:cs="Arial"/>
          <w:color w:val="000000" w:themeColor="text1"/>
          <w:lang w:val="es-ES_tradnl"/>
        </w:rPr>
        <w:t xml:space="preserve">De acuerdo con lo anterior, para hacer uso de esa causal de contratación directa, las entidades estatales deberán cumplir con la etapa de planeación precontractual, en los términos dispuestos en la Estatuto General de Contratación de la Administración Pública y sus normas reglamentarias, </w:t>
      </w:r>
      <w:r>
        <w:rPr>
          <w:rFonts w:ascii="Verdana" w:hAnsi="Verdana" w:cs="Arial"/>
          <w:color w:val="000000" w:themeColor="text1"/>
          <w:lang w:val="es-ES_tradnl"/>
        </w:rPr>
        <w:t xml:space="preserve">por lo que </w:t>
      </w:r>
      <w:r w:rsidRPr="006C42DB">
        <w:rPr>
          <w:rFonts w:ascii="Verdana" w:hAnsi="Verdana" w:cs="Arial"/>
          <w:color w:val="000000" w:themeColor="text1"/>
          <w:lang w:val="es-ES_tradnl"/>
        </w:rPr>
        <w:t>antes de celebrar el contrato deberán expedir el acto administrativo de justificación de la contratación directa a que alude el artículo 2.2.1.2.1.4.1. del Decreto 1082 de 2015</w:t>
      </w:r>
      <w:r w:rsidRPr="006C42DB">
        <w:rPr>
          <w:rFonts w:ascii="Verdana" w:hAnsi="Verdana" w:cs="Arial"/>
          <w:color w:val="000000" w:themeColor="text1"/>
          <w:vertAlign w:val="superscript"/>
          <w:lang w:val="es-ES_tradnl"/>
        </w:rPr>
        <w:footnoteReference w:id="27"/>
      </w:r>
      <w:r w:rsidRPr="006C42DB">
        <w:rPr>
          <w:rFonts w:ascii="Verdana" w:hAnsi="Verdana" w:cs="Arial"/>
          <w:color w:val="000000" w:themeColor="text1"/>
          <w:lang w:val="es-ES_tradnl"/>
        </w:rPr>
        <w:t>, en el cual se justificará la necesidad de acudir a dicha modalidad de selección y demás contenidos exigidos en el artículo citado, incluyendo la fundamentación de las razones por las cuales el contrato a celebrar se enmarca en el literal k) adicionado por la Ley 2080 de 2021 al numeral 4° del artículo 2 de la ley 1150 de 2007. Lo anterior sin perjuicio de observar las demás exigencias desarrolladas como, por ejemplo, la obligación de contar previamente con los respectivos estudios y documentos previos que fundamentan la contratación.</w:t>
      </w:r>
    </w:p>
    <w:p w14:paraId="4DCEC8CA" w14:textId="77777777" w:rsidR="00BA1046" w:rsidRPr="006C42DB" w:rsidRDefault="00BA1046" w:rsidP="00BA1046">
      <w:pPr>
        <w:spacing w:after="120" w:line="276" w:lineRule="auto"/>
        <w:jc w:val="both"/>
        <w:rPr>
          <w:rFonts w:ascii="Verdana" w:eastAsia="Arial" w:hAnsi="Verdana" w:cs="Arial"/>
          <w:lang w:val="es-ES_tradnl" w:eastAsia="es-ES" w:bidi="es-ES"/>
        </w:rPr>
      </w:pPr>
    </w:p>
    <w:p w14:paraId="10F9D2FD" w14:textId="77777777" w:rsidR="00BA1046" w:rsidRPr="005154AE" w:rsidRDefault="00BA1046" w:rsidP="00BA1046">
      <w:pPr>
        <w:spacing w:after="120" w:line="276" w:lineRule="auto"/>
        <w:jc w:val="both"/>
        <w:rPr>
          <w:rFonts w:ascii="Verdana" w:eastAsia="Arial" w:hAnsi="Verdana" w:cs="Arial"/>
          <w:bCs/>
          <w:color w:val="000000" w:themeColor="text1"/>
        </w:rPr>
      </w:pPr>
      <w:r>
        <w:rPr>
          <w:rFonts w:ascii="Verdana" w:eastAsia="Arial" w:hAnsi="Verdana" w:cs="Arial"/>
          <w:lang w:val="es-ES" w:eastAsia="es-ES" w:bidi="es-ES"/>
        </w:rPr>
        <w:t xml:space="preserve">v. </w:t>
      </w:r>
      <w:r w:rsidRPr="00F4158D">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w:t>
      </w:r>
      <w:r>
        <w:rPr>
          <w:rFonts w:ascii="Verdana" w:eastAsia="Calibri" w:hAnsi="Verdana" w:cs="Arial"/>
          <w:bCs/>
          <w:color w:val="000000" w:themeColor="text1"/>
        </w:rPr>
        <w:t xml:space="preserve">las entidades públicas debe realizarse </w:t>
      </w:r>
      <w:r w:rsidRPr="00F4158D">
        <w:rPr>
          <w:rFonts w:ascii="Verdana" w:eastAsia="Calibri" w:hAnsi="Verdana" w:cs="Arial"/>
          <w:bCs/>
          <w:color w:val="000000" w:themeColor="text1"/>
        </w:rPr>
        <w:t xml:space="preserve">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F4158D">
        <w:rPr>
          <w:rFonts w:ascii="Verdana" w:eastAsia="Calibri" w:hAnsi="Verdana" w:cs="Arial"/>
          <w:bCs/>
          <w:color w:val="000000" w:themeColor="text1"/>
        </w:rPr>
        <w:lastRenderedPageBreak/>
        <w:t>correspondiente y, en caso de conflicto, a las autoridades judiciales, fiscales y disciplinarias.</w:t>
      </w:r>
    </w:p>
    <w:p w14:paraId="5B1FF313" w14:textId="77777777" w:rsidR="00BA1046" w:rsidRPr="00F4158D" w:rsidRDefault="00BA1046" w:rsidP="00BA1046">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3BCFE76" w14:textId="77777777" w:rsidR="00BA1046" w:rsidRPr="00F4158D" w:rsidRDefault="00BA1046" w:rsidP="00BA1046">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347AD78C" w14:textId="77777777" w:rsidR="00BA1046" w:rsidRPr="00593A5F" w:rsidRDefault="00BA1046" w:rsidP="00BA10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593A5F">
        <w:rPr>
          <w:rFonts w:ascii="Verdana" w:eastAsia="Century Gothic" w:hAnsi="Verdana" w:cs="Century Gothic"/>
          <w:b/>
          <w:bCs/>
        </w:rPr>
        <w:t>:</w:t>
      </w:r>
    </w:p>
    <w:p w14:paraId="67ABF83D" w14:textId="77777777" w:rsidR="00BA1046" w:rsidRPr="00593A5F" w:rsidRDefault="00BA1046" w:rsidP="00BA104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A1046" w:rsidRPr="002407CE" w14:paraId="572073F2" w14:textId="77777777" w:rsidTr="00ED785E">
        <w:trPr>
          <w:trHeight w:val="311"/>
          <w:jc w:val="center"/>
        </w:trPr>
        <w:tc>
          <w:tcPr>
            <w:tcW w:w="8647" w:type="dxa"/>
          </w:tcPr>
          <w:p w14:paraId="4B5F28F5" w14:textId="77777777" w:rsidR="00BA1046" w:rsidRDefault="00BA1046" w:rsidP="00ED785E">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artículos 69, 127, 190, 197 y 286.</w:t>
            </w:r>
          </w:p>
          <w:p w14:paraId="1CB30EF4" w14:textId="77777777" w:rsidR="00BA1046" w:rsidRDefault="00BA1046" w:rsidP="00ED785E">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39 y 41.</w:t>
            </w:r>
          </w:p>
          <w:p w14:paraId="1C517937" w14:textId="77777777" w:rsidR="00BA1046" w:rsidRDefault="00BA1046" w:rsidP="00ED785E">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7CA3ECE6" w14:textId="77777777" w:rsidR="00BA1046" w:rsidRDefault="00BA1046" w:rsidP="00ED785E">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 numeral 4, literal k.</w:t>
            </w:r>
          </w:p>
          <w:p w14:paraId="37C41D0E" w14:textId="77777777" w:rsidR="00BA1046" w:rsidRPr="007C219A" w:rsidRDefault="00BA1046" w:rsidP="00ED785E">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1437 de 2011, </w:t>
            </w:r>
            <w:r w:rsidRPr="007C219A">
              <w:rPr>
                <w:rFonts w:ascii="Verdana" w:hAnsi="Verdana" w:cs="Arial"/>
              </w:rPr>
              <w:t xml:space="preserve">artículo 222. </w:t>
            </w:r>
          </w:p>
          <w:p w14:paraId="799B7255" w14:textId="77777777" w:rsidR="00BA1046" w:rsidRPr="007C219A" w:rsidRDefault="00BA1046" w:rsidP="00ED785E">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7C219A">
              <w:rPr>
                <w:rFonts w:ascii="Verdana" w:hAnsi="Verdana" w:cs="Arial"/>
              </w:rPr>
              <w:t xml:space="preserve">Ley 2080 de 2021, artículos 58 y 82. </w:t>
            </w:r>
          </w:p>
          <w:p w14:paraId="5B7E1552" w14:textId="77777777" w:rsidR="00BA1046" w:rsidRPr="007C219A" w:rsidRDefault="00BA1046" w:rsidP="00ED785E">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Código Civil, artículos 31, </w:t>
            </w:r>
            <w:r w:rsidRPr="007C219A">
              <w:rPr>
                <w:rFonts w:ascii="Verdana" w:hAnsi="Verdana" w:cs="Arial"/>
              </w:rPr>
              <w:t>1501</w:t>
            </w:r>
            <w:r>
              <w:rPr>
                <w:rFonts w:ascii="Verdana" w:hAnsi="Verdana" w:cs="Arial"/>
              </w:rPr>
              <w:t xml:space="preserve"> y 1630</w:t>
            </w:r>
            <w:r w:rsidRPr="007C219A">
              <w:rPr>
                <w:rFonts w:ascii="Verdana" w:hAnsi="Verdana" w:cs="Arial"/>
              </w:rPr>
              <w:t>.</w:t>
            </w:r>
            <w:r w:rsidRPr="007C219A">
              <w:rPr>
                <w:rFonts w:ascii="Verdana" w:eastAsia="Calibri" w:hAnsi="Verdana" w:cs="Arial"/>
                <w:bCs/>
              </w:rPr>
              <w:t xml:space="preserve"> </w:t>
            </w:r>
          </w:p>
          <w:p w14:paraId="0F04E11B" w14:textId="77777777" w:rsidR="00BA1046" w:rsidRPr="00DA5E07" w:rsidRDefault="00BA1046" w:rsidP="00ED785E">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7C219A">
              <w:rPr>
                <w:rFonts w:ascii="Verdana" w:eastAsia="Calibri" w:hAnsi="Verdana" w:cs="Arial"/>
                <w:bCs/>
              </w:rPr>
              <w:t xml:space="preserve">Decreto 1082 de 2015, artículo </w:t>
            </w:r>
            <w:r w:rsidRPr="007C219A">
              <w:rPr>
                <w:rFonts w:ascii="Verdana" w:eastAsia="Calibri" w:hAnsi="Verdana" w:cs="Arial"/>
                <w:bCs/>
                <w:lang w:val="es-CO"/>
              </w:rPr>
              <w:t>2.2.1.2.1.4.1.</w:t>
            </w:r>
          </w:p>
          <w:p w14:paraId="493C7504" w14:textId="77777777" w:rsidR="00BA1046" w:rsidRPr="00DA5E07" w:rsidRDefault="00BA1046" w:rsidP="00ED785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5E07">
              <w:rPr>
                <w:rFonts w:ascii="Verdana" w:hAnsi="Verdana" w:cs="Arial"/>
              </w:rPr>
              <w:t>Corte Constitucional, Sentencia C- 1153 de 2005, M.P. Marco Gerardo Monroy Cabra.</w:t>
            </w:r>
          </w:p>
          <w:p w14:paraId="2F61FABD" w14:textId="77777777" w:rsidR="00BA1046" w:rsidRPr="00DA5E07" w:rsidRDefault="00BA1046" w:rsidP="00ED785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5E07">
              <w:rPr>
                <w:rFonts w:ascii="Verdana" w:hAnsi="Verdana" w:cs="Arial"/>
              </w:rPr>
              <w:t xml:space="preserve">Consejo de Estado, Sala de Consulta y Servicio Civil. Concepto de 20 de febrero de 2006. C.P. Enrique José Arboleda Perdomo. Rad. 1727. </w:t>
            </w:r>
          </w:p>
          <w:p w14:paraId="5CDCE7CB" w14:textId="77777777" w:rsidR="00BA1046" w:rsidRPr="00DA5E07" w:rsidRDefault="00BA1046" w:rsidP="00ED785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5E07">
              <w:rPr>
                <w:rFonts w:ascii="Verdana" w:hAnsi="Verdana" w:cs="Arial"/>
              </w:rPr>
              <w:t xml:space="preserve">Consejo de Estado, Sala de Consulta y Servicio Civil. Concepto de 6 de abril de 2006.C.P. Enrique José Arboleda Perdomo. Rad. 1738 </w:t>
            </w:r>
          </w:p>
          <w:p w14:paraId="21B54D5C" w14:textId="77777777" w:rsidR="00BA1046" w:rsidRPr="00DA5E07" w:rsidRDefault="00BA1046" w:rsidP="00ED785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5E07">
              <w:rPr>
                <w:rFonts w:ascii="Verdana" w:hAnsi="Verdana" w:cs="Arial"/>
              </w:rPr>
              <w:t xml:space="preserve">Consejo de Estado, Sala de Consulta y Servicio Civil de fecha 24 de julio de 2013. C. P. Álvaro Namén Vargas. Rad. 2166 </w:t>
            </w:r>
          </w:p>
          <w:p w14:paraId="43658A81" w14:textId="77777777" w:rsidR="00BA1046" w:rsidRPr="00DA5E07" w:rsidRDefault="00BA1046" w:rsidP="00ED785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5E07">
              <w:rPr>
                <w:rFonts w:ascii="Verdana" w:hAnsi="Verdana" w:cs="Arial"/>
              </w:rPr>
              <w:t xml:space="preserve">Consejo de Estado. Sala de Consulta y Servicio Civil. Concepto del 2 </w:t>
            </w:r>
            <w:r w:rsidRPr="00DA5E07">
              <w:rPr>
                <w:rFonts w:ascii="Verdana" w:hAnsi="Verdana" w:cs="Arial"/>
              </w:rPr>
              <w:lastRenderedPageBreak/>
              <w:t xml:space="preserve">de septiembre de 2013. C.P.: Álvaro Namén </w:t>
            </w:r>
            <w:proofErr w:type="spellStart"/>
            <w:r w:rsidRPr="00DA5E07">
              <w:rPr>
                <w:rFonts w:ascii="Verdana" w:hAnsi="Verdana" w:cs="Arial"/>
              </w:rPr>
              <w:t>Vargas.Rad</w:t>
            </w:r>
            <w:proofErr w:type="spellEnd"/>
            <w:r w:rsidRPr="00DA5E07">
              <w:rPr>
                <w:rFonts w:ascii="Verdana" w:hAnsi="Verdana" w:cs="Arial"/>
              </w:rPr>
              <w:t xml:space="preserve">: 11001-03-06-000-2013-00412-00 (2168). </w:t>
            </w:r>
          </w:p>
          <w:p w14:paraId="297F46AA" w14:textId="77777777" w:rsidR="00BA1046" w:rsidRPr="00DA5E07" w:rsidRDefault="00BA1046" w:rsidP="00ED785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5E07">
              <w:rPr>
                <w:rFonts w:ascii="Verdana" w:hAnsi="Verdana" w:cs="Arial"/>
              </w:rPr>
              <w:t>Consejo de Estado, Sala de Consulta y Servicio Civil. Concepto del 17 de febrero de 2015. C.P. William Zambrano Cetina. Rad. 2269.</w:t>
            </w:r>
          </w:p>
          <w:p w14:paraId="12C6AC65" w14:textId="77777777" w:rsidR="00BA1046" w:rsidRPr="00DA5E07" w:rsidRDefault="00BA1046" w:rsidP="00ED785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5E07">
              <w:rPr>
                <w:rFonts w:ascii="Verdana" w:hAnsi="Verdana" w:cs="Arial"/>
              </w:rPr>
              <w:t xml:space="preserve">Consejo de Estado, Sección Tercera, Subsección C. Sentencia del 16 de mayo de 2015. C.P. Jaime Orlando Santofimio Gamboa. </w:t>
            </w:r>
            <w:proofErr w:type="spellStart"/>
            <w:r w:rsidRPr="00DA5E07">
              <w:rPr>
                <w:rFonts w:ascii="Verdana" w:hAnsi="Verdana" w:cs="Arial"/>
              </w:rPr>
              <w:t>Exp</w:t>
            </w:r>
            <w:proofErr w:type="spellEnd"/>
            <w:r w:rsidRPr="00DA5E07">
              <w:rPr>
                <w:rFonts w:ascii="Verdana" w:hAnsi="Verdana" w:cs="Arial"/>
              </w:rPr>
              <w:t>. 31.619.</w:t>
            </w:r>
          </w:p>
          <w:p w14:paraId="6AD060DA" w14:textId="77777777" w:rsidR="00BA1046" w:rsidRPr="00585673" w:rsidRDefault="00BA1046" w:rsidP="00ED785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DA5E07">
              <w:rPr>
                <w:rFonts w:ascii="Verdana" w:hAnsi="Verdana" w:cs="Arial"/>
              </w:rPr>
              <w:t>Consejo de Estado. Sala de Consulta y Servicio Civil, Concepto de 8 de mayo de 2018. C.P. Álvaro Namén Vargas. Rad. 2382.</w:t>
            </w:r>
          </w:p>
        </w:tc>
      </w:tr>
    </w:tbl>
    <w:p w14:paraId="130CE25C" w14:textId="77777777" w:rsidR="00BA1046" w:rsidRPr="002407CE" w:rsidRDefault="00BA1046" w:rsidP="00BA1046">
      <w:pPr>
        <w:widowControl w:val="0"/>
        <w:autoSpaceDE w:val="0"/>
        <w:autoSpaceDN w:val="0"/>
        <w:spacing w:after="0" w:line="276" w:lineRule="auto"/>
        <w:jc w:val="both"/>
        <w:rPr>
          <w:rFonts w:ascii="Verdana" w:hAnsi="Verdana" w:cs="Arial"/>
        </w:rPr>
      </w:pPr>
    </w:p>
    <w:p w14:paraId="705495EC" w14:textId="77777777" w:rsidR="00BA1046" w:rsidRPr="00593A5F" w:rsidRDefault="00BA1046" w:rsidP="00BA10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80868E8" w14:textId="77777777" w:rsidR="00BA1046" w:rsidRPr="00593A5F" w:rsidRDefault="00BA1046" w:rsidP="00BA1046">
      <w:pPr>
        <w:widowControl w:val="0"/>
        <w:autoSpaceDE w:val="0"/>
        <w:autoSpaceDN w:val="0"/>
        <w:spacing w:after="0" w:line="276" w:lineRule="auto"/>
        <w:jc w:val="both"/>
        <w:rPr>
          <w:rFonts w:ascii="Verdana" w:hAnsi="Verdana" w:cs="Arial"/>
        </w:rPr>
      </w:pPr>
    </w:p>
    <w:p w14:paraId="75AD74F4" w14:textId="77777777" w:rsidR="00BA1046" w:rsidRPr="007D6CC8" w:rsidRDefault="00BA1046" w:rsidP="00BA1046">
      <w:pPr>
        <w:widowControl w:val="0"/>
        <w:autoSpaceDE w:val="0"/>
        <w:autoSpaceDN w:val="0"/>
        <w:spacing w:after="0" w:line="276" w:lineRule="auto"/>
        <w:jc w:val="both"/>
        <w:rPr>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2026</w:t>
      </w:r>
      <w:r>
        <w:rPr>
          <w:rFonts w:ascii="Verdana" w:hAnsi="Verdana"/>
        </w:rPr>
        <w:t>.</w:t>
      </w:r>
      <w:r>
        <w:rPr>
          <w:rFonts w:ascii="Verdana" w:hAnsi="Verdana" w:cs="Arial"/>
          <w:shd w:val="clear" w:color="auto" w:fill="FFFFFF"/>
        </w:rPr>
        <w:t xml:space="preserve"> En torno a la contratación con peritos, se destaca los conceptos </w:t>
      </w:r>
      <w:r>
        <w:rPr>
          <w:rFonts w:ascii="Verdana" w:hAnsi="Verdana" w:cs="Arial"/>
          <w:shd w:val="clear" w:color="auto" w:fill="FFFFFF"/>
        </w:rPr>
        <w:lastRenderedPageBreak/>
        <w:t xml:space="preserve">C-418 del 18 de agosto de 2021, C-632 del 29 de octubre de 2024, entre otros.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A6CAB68" w14:textId="77777777" w:rsidR="00BA1046" w:rsidRPr="00185EE9" w:rsidRDefault="00BA1046" w:rsidP="00BA1046">
      <w:pPr>
        <w:spacing w:after="0" w:line="256" w:lineRule="auto"/>
        <w:jc w:val="both"/>
        <w:rPr>
          <w:rFonts w:ascii="Verdana" w:eastAsia="Calibri" w:hAnsi="Verdana" w:cs="Times New Roman"/>
        </w:rPr>
      </w:pPr>
      <w:hyperlink r:id="rId15"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55F86482" w14:textId="77777777" w:rsidR="00BA1046" w:rsidRPr="00096788" w:rsidRDefault="00BA1046" w:rsidP="00BA1046">
      <w:pPr>
        <w:widowControl w:val="0"/>
        <w:autoSpaceDE w:val="0"/>
        <w:autoSpaceDN w:val="0"/>
        <w:spacing w:after="0" w:line="276" w:lineRule="auto"/>
        <w:jc w:val="both"/>
        <w:rPr>
          <w:rFonts w:ascii="Verdana" w:hAnsi="Verdana" w:cs="Arial"/>
          <w:color w:val="000000" w:themeColor="text1"/>
          <w:shd w:val="clear" w:color="auto" w:fill="FFFFFF"/>
        </w:rPr>
      </w:pPr>
    </w:p>
    <w:p w14:paraId="3534C41E" w14:textId="77777777" w:rsidR="00BA1046" w:rsidRDefault="00BA1046" w:rsidP="00BA1046">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44547429" w14:textId="77777777" w:rsidR="00BA1046" w:rsidRDefault="00BA1046" w:rsidP="00BA1046">
      <w:pPr>
        <w:shd w:val="clear" w:color="auto" w:fill="FFFFFF"/>
        <w:spacing w:after="0" w:line="276" w:lineRule="auto"/>
        <w:jc w:val="both"/>
        <w:rPr>
          <w:rFonts w:ascii="Verdana" w:hAnsi="Verdana"/>
          <w:color w:val="000000"/>
          <w:u w:val="single"/>
        </w:rPr>
      </w:pPr>
    </w:p>
    <w:p w14:paraId="76F92ABF" w14:textId="77777777" w:rsidR="00BA1046" w:rsidRPr="00116940" w:rsidRDefault="00BA1046" w:rsidP="00BA1046">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FE9EA21" w14:textId="77777777" w:rsidR="00BA1046" w:rsidRPr="00116940" w:rsidRDefault="00BA1046" w:rsidP="00BA1046">
      <w:pPr>
        <w:spacing w:after="0"/>
        <w:jc w:val="both"/>
        <w:rPr>
          <w:rFonts w:ascii="Verdana" w:hAnsi="Verdana"/>
        </w:rPr>
      </w:pPr>
    </w:p>
    <w:p w14:paraId="5BC7E0DC" w14:textId="77777777" w:rsidR="00BA1046" w:rsidRPr="00116940" w:rsidRDefault="00BA1046" w:rsidP="00BA1046">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E0A2ED7" w14:textId="77777777" w:rsidR="00BA1046" w:rsidRPr="00116940" w:rsidRDefault="00BA1046" w:rsidP="00BA1046">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07B3BC8F" w14:textId="77777777" w:rsidR="00BA1046" w:rsidRPr="00116940" w:rsidRDefault="00BA1046" w:rsidP="00BA104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1555743F" w14:textId="77777777" w:rsidR="00BA1046" w:rsidRPr="00116940" w:rsidRDefault="00BA1046" w:rsidP="00BA104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0A595481" w14:textId="77777777" w:rsidR="00BA1046" w:rsidRPr="00116940" w:rsidRDefault="00BA1046" w:rsidP="00BA1046">
      <w:pPr>
        <w:spacing w:after="0" w:line="240" w:lineRule="auto"/>
        <w:ind w:left="720"/>
        <w:jc w:val="both"/>
        <w:rPr>
          <w:rFonts w:ascii="Verdana" w:hAnsi="Verdana"/>
        </w:rPr>
      </w:pPr>
    </w:p>
    <w:p w14:paraId="200B9482" w14:textId="77777777" w:rsidR="00BA1046" w:rsidRPr="00116940" w:rsidRDefault="00BA1046" w:rsidP="00BA1046">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74D092E" w14:textId="77777777" w:rsidR="00BA1046" w:rsidRPr="00116940" w:rsidRDefault="00BA1046" w:rsidP="00BA1046">
      <w:pPr>
        <w:spacing w:after="0" w:line="240" w:lineRule="auto"/>
        <w:rPr>
          <w:rFonts w:ascii="Verdana" w:hAnsi="Verdana"/>
        </w:rPr>
      </w:pPr>
    </w:p>
    <w:p w14:paraId="61660E43" w14:textId="77777777" w:rsidR="00BA1046" w:rsidRPr="00116940" w:rsidRDefault="00BA1046" w:rsidP="00BA1046">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33E178E" w14:textId="77777777" w:rsidR="00BA1046" w:rsidRPr="00116940" w:rsidRDefault="00BA1046" w:rsidP="00BA1046">
      <w:pPr>
        <w:spacing w:after="0" w:line="240" w:lineRule="auto"/>
        <w:jc w:val="both"/>
        <w:rPr>
          <w:rFonts w:ascii="Verdana" w:hAnsi="Verdana"/>
        </w:rPr>
      </w:pPr>
    </w:p>
    <w:p w14:paraId="201A55B0" w14:textId="77777777" w:rsidR="00BA1046" w:rsidRPr="00116940" w:rsidRDefault="00BA1046" w:rsidP="00BA104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D561622" w14:textId="77777777" w:rsidR="00BA1046" w:rsidRPr="00116940" w:rsidRDefault="00BA1046" w:rsidP="00BA1046">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A9BDDFB" w14:textId="77777777" w:rsidR="00BA1046" w:rsidRPr="00116940" w:rsidRDefault="00BA1046" w:rsidP="00BA104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89FD8E7" w14:textId="77777777" w:rsidR="00BA1046" w:rsidRPr="00116940" w:rsidRDefault="00BA1046" w:rsidP="00BA1046">
      <w:pPr>
        <w:spacing w:after="0" w:line="240" w:lineRule="auto"/>
        <w:jc w:val="both"/>
        <w:rPr>
          <w:rFonts w:ascii="Verdana" w:hAnsi="Verdana"/>
        </w:rPr>
      </w:pPr>
    </w:p>
    <w:p w14:paraId="1750CCEB" w14:textId="77777777" w:rsidR="00BA1046" w:rsidRPr="009037F6" w:rsidRDefault="00BA1046" w:rsidP="00BA1046">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1D2134A" w14:textId="77777777" w:rsidR="00BA1046" w:rsidRPr="00492C4A" w:rsidRDefault="00BA1046" w:rsidP="00BA1046">
      <w:pPr>
        <w:spacing w:after="0" w:line="256" w:lineRule="auto"/>
        <w:jc w:val="both"/>
        <w:rPr>
          <w:rFonts w:ascii="Verdana" w:eastAsia="Calibri" w:hAnsi="Verdana" w:cs="Times New Roman"/>
          <w:lang w:val="es-ES_tradnl"/>
        </w:rPr>
      </w:pPr>
    </w:p>
    <w:p w14:paraId="433AAF09" w14:textId="62EA70A7" w:rsidR="00BA1046" w:rsidRDefault="00BA1046" w:rsidP="00BA1046">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56F0AC87" w14:textId="77777777" w:rsidR="00A50AB4" w:rsidRDefault="00A50AB4" w:rsidP="00BA1046">
      <w:pPr>
        <w:spacing w:after="0" w:line="256" w:lineRule="auto"/>
        <w:jc w:val="both"/>
        <w:rPr>
          <w:rFonts w:ascii="Verdana" w:eastAsia="Calibri" w:hAnsi="Verdana" w:cs="Times New Roman"/>
        </w:rPr>
      </w:pPr>
    </w:p>
    <w:p w14:paraId="3D59CC1A" w14:textId="4F07EB48" w:rsidR="00BA1046" w:rsidRPr="00286830" w:rsidRDefault="00150F55" w:rsidP="00BA1046">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7DDA0A43" wp14:editId="429110C8">
            <wp:extent cx="3279140" cy="1298864"/>
            <wp:effectExtent l="0" t="0" r="0" b="0"/>
            <wp:docPr id="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4806" cy="1312991"/>
                    </a:xfrm>
                    <a:prstGeom prst="rect">
                      <a:avLst/>
                    </a:prstGeom>
                  </pic:spPr>
                </pic:pic>
              </a:graphicData>
            </a:graphic>
          </wp:inline>
        </w:drawing>
      </w:r>
      <w:r w:rsidR="00BA1046" w:rsidRPr="00FD1DDC">
        <w:rPr>
          <w:rFonts w:ascii="Verdana" w:hAnsi="Verdana"/>
          <w:sz w:val="16"/>
          <w:szCs w:val="16"/>
        </w:rPr>
        <w:t xml:space="preserve"> </w:t>
      </w:r>
    </w:p>
    <w:p w14:paraId="38F7E780" w14:textId="77777777" w:rsidR="00BA1046" w:rsidRPr="006621B9" w:rsidRDefault="00BA1046" w:rsidP="00BA1046">
      <w:pPr>
        <w:spacing w:after="0" w:line="256" w:lineRule="auto"/>
        <w:jc w:val="center"/>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BA1046" w:rsidRPr="00286830" w14:paraId="79F1D570" w14:textId="77777777" w:rsidTr="00ED785E">
        <w:trPr>
          <w:trHeight w:val="409"/>
        </w:trPr>
        <w:tc>
          <w:tcPr>
            <w:tcW w:w="817" w:type="dxa"/>
            <w:tcBorders>
              <w:top w:val="nil"/>
              <w:left w:val="nil"/>
              <w:bottom w:val="nil"/>
              <w:right w:val="nil"/>
            </w:tcBorders>
            <w:vAlign w:val="center"/>
            <w:hideMark/>
          </w:tcPr>
          <w:p w14:paraId="1978DC1D" w14:textId="77777777" w:rsidR="00BA1046" w:rsidRPr="00286830" w:rsidRDefault="00BA1046" w:rsidP="00ED785E">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CA10A5E" w14:textId="77777777" w:rsidR="00BA1046" w:rsidRPr="00286830" w:rsidRDefault="00BA1046" w:rsidP="00ED785E">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José Luis Sánchez Cardona</w:t>
            </w:r>
          </w:p>
          <w:p w14:paraId="59179D13" w14:textId="77777777" w:rsidR="00BA1046" w:rsidRPr="00286830" w:rsidRDefault="00BA1046" w:rsidP="00ED785E">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Contratista de la Subdirección de Gestión Contractual</w:t>
            </w:r>
          </w:p>
        </w:tc>
      </w:tr>
      <w:tr w:rsidR="00BA1046" w:rsidRPr="00286830" w14:paraId="67BF0045" w14:textId="77777777" w:rsidTr="00ED785E">
        <w:trPr>
          <w:trHeight w:val="409"/>
        </w:trPr>
        <w:tc>
          <w:tcPr>
            <w:tcW w:w="817" w:type="dxa"/>
            <w:tcBorders>
              <w:top w:val="nil"/>
              <w:left w:val="nil"/>
              <w:bottom w:val="nil"/>
              <w:right w:val="nil"/>
            </w:tcBorders>
            <w:vAlign w:val="center"/>
            <w:hideMark/>
          </w:tcPr>
          <w:p w14:paraId="4D962D56" w14:textId="77777777" w:rsidR="00BA1046" w:rsidRPr="00286830" w:rsidRDefault="00BA1046" w:rsidP="00ED785E">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5561BA1" w14:textId="77777777" w:rsidR="00BA1046" w:rsidRPr="00286830" w:rsidRDefault="00BA1046" w:rsidP="00ED785E">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 xml:space="preserve">Alejandro </w:t>
            </w:r>
            <w:r>
              <w:rPr>
                <w:rFonts w:ascii="Verdana" w:eastAsia="Calibri" w:hAnsi="Verdana" w:cs="Times New Roman"/>
                <w:sz w:val="16"/>
                <w:szCs w:val="16"/>
              </w:rPr>
              <w:t xml:space="preserve">R. </w:t>
            </w:r>
            <w:r w:rsidRPr="00286830">
              <w:rPr>
                <w:rFonts w:ascii="Verdana" w:eastAsia="Calibri" w:hAnsi="Verdana" w:cs="Times New Roman"/>
                <w:sz w:val="16"/>
                <w:szCs w:val="16"/>
              </w:rPr>
              <w:t>Sarmiento Cantillo</w:t>
            </w:r>
          </w:p>
          <w:p w14:paraId="236EABBC" w14:textId="77777777" w:rsidR="00BA1046" w:rsidRPr="00286830" w:rsidRDefault="00BA1046" w:rsidP="00ED785E">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Gestor T1-15 de la Subdirección de Gestión Contractual </w:t>
            </w:r>
          </w:p>
        </w:tc>
      </w:tr>
      <w:tr w:rsidR="00BA1046" w:rsidRPr="00286830" w14:paraId="7C14CBB9" w14:textId="77777777" w:rsidTr="00ED785E">
        <w:trPr>
          <w:trHeight w:val="389"/>
        </w:trPr>
        <w:tc>
          <w:tcPr>
            <w:tcW w:w="817" w:type="dxa"/>
            <w:tcBorders>
              <w:top w:val="nil"/>
              <w:left w:val="nil"/>
              <w:bottom w:val="nil"/>
              <w:right w:val="nil"/>
            </w:tcBorders>
            <w:vAlign w:val="center"/>
            <w:hideMark/>
          </w:tcPr>
          <w:p w14:paraId="257A4104" w14:textId="77777777" w:rsidR="00BA1046" w:rsidRPr="00286830" w:rsidRDefault="00BA1046" w:rsidP="00ED785E">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E1D0A26" w14:textId="77777777" w:rsidR="00BA1046" w:rsidRPr="00286830" w:rsidRDefault="00BA1046" w:rsidP="00ED785E">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Carolina Quintero Gacharná</w:t>
            </w:r>
          </w:p>
          <w:p w14:paraId="1B1B2986" w14:textId="77777777" w:rsidR="00BA1046" w:rsidRPr="00286830" w:rsidRDefault="00BA1046" w:rsidP="00ED785E">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Subdirectora de Gestión Contractual ANCP – CCE</w:t>
            </w:r>
          </w:p>
        </w:tc>
      </w:tr>
    </w:tbl>
    <w:p w14:paraId="44D87470" w14:textId="77777777" w:rsidR="00BA1046" w:rsidRPr="0024624F" w:rsidRDefault="00BA1046" w:rsidP="00BA1046">
      <w:pPr>
        <w:spacing w:after="0"/>
        <w:rPr>
          <w:rFonts w:ascii="Verdana" w:hAnsi="Verdana"/>
        </w:rPr>
      </w:pPr>
    </w:p>
    <w:bookmarkEnd w:id="0"/>
    <w:p w14:paraId="41FD1E17" w14:textId="75D28F62" w:rsidR="004674CF" w:rsidRPr="00BA1046" w:rsidRDefault="004674CF" w:rsidP="00BA1046"/>
    <w:sectPr w:rsidR="004674CF" w:rsidRPr="00BA1046"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DF6F11" w14:textId="77777777" w:rsidR="00220037" w:rsidRDefault="00220037" w:rsidP="004A1847">
      <w:pPr>
        <w:spacing w:after="0" w:line="240" w:lineRule="auto"/>
      </w:pPr>
      <w:r>
        <w:separator/>
      </w:r>
    </w:p>
  </w:endnote>
  <w:endnote w:type="continuationSeparator" w:id="0">
    <w:p w14:paraId="58F4851C" w14:textId="77777777" w:rsidR="00220037" w:rsidRDefault="00220037" w:rsidP="004A1847">
      <w:pPr>
        <w:spacing w:after="0" w:line="240" w:lineRule="auto"/>
      </w:pPr>
      <w:r>
        <w:continuationSeparator/>
      </w:r>
    </w:p>
  </w:endnote>
  <w:endnote w:type="continuationNotice" w:id="1">
    <w:p w14:paraId="154A5EB1" w14:textId="77777777" w:rsidR="00220037" w:rsidRDefault="002200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594CE9" w:rsidRDefault="00594CE9">
    <w:pPr>
      <w:pStyle w:val="Piedepgina"/>
    </w:pPr>
  </w:p>
  <w:p w14:paraId="594D6D9F" w14:textId="22450067" w:rsidR="00594CE9" w:rsidRPr="00174B77" w:rsidRDefault="00594CE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A50AB4" w:rsidRPr="00A50AB4">
      <w:rPr>
        <w:rFonts w:ascii="Verdana" w:eastAsiaTheme="minorEastAsia" w:hAnsi="Verdana"/>
        <w:b/>
        <w:bCs/>
        <w:noProof/>
        <w:sz w:val="16"/>
        <w:szCs w:val="16"/>
      </w:rPr>
      <w:t>31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594CE9" w:rsidRDefault="00594CE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594CE9" w:rsidRPr="00E41027" w:rsidRDefault="00594CE9"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594CE9" w:rsidRDefault="00594CE9"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85614" w14:textId="77777777" w:rsidR="00220037" w:rsidRDefault="00220037" w:rsidP="004A1847">
      <w:pPr>
        <w:spacing w:after="0" w:line="240" w:lineRule="auto"/>
      </w:pPr>
      <w:r>
        <w:separator/>
      </w:r>
    </w:p>
  </w:footnote>
  <w:footnote w:type="continuationSeparator" w:id="0">
    <w:p w14:paraId="4E45C879" w14:textId="77777777" w:rsidR="00220037" w:rsidRDefault="00220037" w:rsidP="004A1847">
      <w:pPr>
        <w:spacing w:after="0" w:line="240" w:lineRule="auto"/>
      </w:pPr>
      <w:r>
        <w:continuationSeparator/>
      </w:r>
    </w:p>
  </w:footnote>
  <w:footnote w:type="continuationNotice" w:id="1">
    <w:p w14:paraId="43B2B1A8" w14:textId="77777777" w:rsidR="00220037" w:rsidRDefault="00220037">
      <w:pPr>
        <w:spacing w:after="0" w:line="240" w:lineRule="auto"/>
      </w:pPr>
    </w:p>
  </w:footnote>
  <w:footnote w:id="2">
    <w:p w14:paraId="24C4D6B0" w14:textId="77777777" w:rsidR="00BA1046" w:rsidRPr="0050680B" w:rsidRDefault="00BA1046" w:rsidP="00BA1046">
      <w:pPr>
        <w:pStyle w:val="Textonotapie"/>
        <w:ind w:firstLine="709"/>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E6CE545" w14:textId="77777777" w:rsidR="00BA1046" w:rsidRPr="0050680B" w:rsidRDefault="00BA1046" w:rsidP="00BA1046">
      <w:pPr>
        <w:pStyle w:val="Textonotapie"/>
        <w:ind w:firstLine="709"/>
        <w:jc w:val="both"/>
        <w:rPr>
          <w:rFonts w:ascii="Verdana" w:hAnsi="Verdana" w:cs="Arial"/>
          <w:sz w:val="13"/>
          <w:szCs w:val="13"/>
        </w:rPr>
      </w:pPr>
      <w:r w:rsidRPr="0050680B">
        <w:rPr>
          <w:rFonts w:ascii="Verdana" w:hAnsi="Verdana" w:cs="Arial"/>
          <w:sz w:val="13"/>
          <w:szCs w:val="13"/>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22A45EE9" w14:textId="77777777" w:rsidR="00BA1046" w:rsidRPr="0050680B" w:rsidRDefault="00BA1046" w:rsidP="00BA1046">
      <w:pPr>
        <w:pStyle w:val="Textonotapie"/>
        <w:ind w:firstLine="709"/>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Gaceta del Congreso de la República No. 71 del 2005.</w:t>
      </w:r>
    </w:p>
  </w:footnote>
  <w:footnote w:id="4">
    <w:p w14:paraId="16D9D821" w14:textId="77777777" w:rsidR="00BA1046" w:rsidRPr="0050680B" w:rsidRDefault="00BA1046" w:rsidP="00BA1046">
      <w:pPr>
        <w:pStyle w:val="Textonotapie"/>
        <w:ind w:firstLine="709"/>
        <w:jc w:val="both"/>
        <w:rPr>
          <w:rFonts w:ascii="Verdana" w:hAnsi="Verdana" w:cs="Arial"/>
          <w:sz w:val="13"/>
          <w:szCs w:val="13"/>
          <w:lang w:val="pt-BR"/>
        </w:rPr>
      </w:pPr>
      <w:r w:rsidRPr="0050680B">
        <w:rPr>
          <w:rStyle w:val="Refdenotaalpie"/>
          <w:rFonts w:ascii="Verdana" w:hAnsi="Verdana" w:cs="Arial"/>
          <w:sz w:val="13"/>
          <w:szCs w:val="13"/>
        </w:rPr>
        <w:footnoteRef/>
      </w:r>
      <w:r w:rsidRPr="0050680B">
        <w:rPr>
          <w:rFonts w:ascii="Verdana" w:hAnsi="Verdana" w:cs="Arial"/>
          <w:sz w:val="13"/>
          <w:szCs w:val="13"/>
          <w:lang w:val="pt-BR"/>
        </w:rPr>
        <w:t xml:space="preserve"> Corte Constitucional, Sentencia C- 1153 de 2005, M.P. Marco Gerardo Monroy Cabra.</w:t>
      </w:r>
    </w:p>
  </w:footnote>
  <w:footnote w:id="5">
    <w:p w14:paraId="3E452867" w14:textId="77777777" w:rsidR="00BA1046" w:rsidRPr="0050680B" w:rsidRDefault="00BA1046" w:rsidP="00BA1046">
      <w:pPr>
        <w:pStyle w:val="Textonotapie"/>
        <w:ind w:firstLine="709"/>
        <w:jc w:val="both"/>
        <w:rPr>
          <w:rFonts w:ascii="Verdana" w:hAnsi="Verdana" w:cs="Arial"/>
          <w:sz w:val="13"/>
          <w:szCs w:val="13"/>
          <w:lang w:val="pt-BR"/>
        </w:rPr>
      </w:pPr>
      <w:r w:rsidRPr="0050680B">
        <w:rPr>
          <w:rStyle w:val="Refdenotaalpie"/>
          <w:rFonts w:ascii="Verdana" w:hAnsi="Verdana" w:cs="Arial"/>
          <w:sz w:val="13"/>
          <w:szCs w:val="13"/>
        </w:rPr>
        <w:footnoteRef/>
      </w:r>
      <w:r w:rsidRPr="0050680B">
        <w:rPr>
          <w:rFonts w:ascii="Verdana" w:hAnsi="Verdana" w:cs="Arial"/>
          <w:sz w:val="13"/>
          <w:szCs w:val="13"/>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7E2BDD04" w14:textId="77777777" w:rsidR="00BA1046" w:rsidRPr="0050680B" w:rsidRDefault="00BA1046" w:rsidP="00BA1046">
      <w:pPr>
        <w:pStyle w:val="Textonotapie"/>
        <w:ind w:firstLine="709"/>
        <w:jc w:val="both"/>
        <w:rPr>
          <w:rFonts w:ascii="Verdana" w:hAnsi="Verdana" w:cs="Arial"/>
          <w:sz w:val="13"/>
          <w:szCs w:val="13"/>
          <w:lang w:val="es-CO"/>
        </w:rPr>
      </w:pPr>
      <w:r w:rsidRPr="0050680B">
        <w:rPr>
          <w:rStyle w:val="Refdenotaalpie"/>
          <w:rFonts w:ascii="Verdana" w:hAnsi="Verdana" w:cs="Arial"/>
          <w:sz w:val="13"/>
          <w:szCs w:val="13"/>
        </w:rPr>
        <w:footnoteRef/>
      </w:r>
      <w:r w:rsidRPr="0050680B">
        <w:rPr>
          <w:rFonts w:ascii="Verdana" w:hAnsi="Verdana" w:cs="Arial"/>
          <w:sz w:val="13"/>
          <w:szCs w:val="13"/>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73CAEE57" w14:textId="77777777" w:rsidR="00BA1046" w:rsidRPr="0050680B" w:rsidRDefault="00BA1046" w:rsidP="00BA1046">
      <w:pPr>
        <w:pStyle w:val="Textonotapie"/>
        <w:ind w:firstLine="709"/>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Consejo de Estado, Sala de Consulta y Servicio Civil de fecha 24 de julio de 2013. C. P. Álvaro Namén Vargas. </w:t>
      </w:r>
      <w:r w:rsidRPr="0050680B">
        <w:rPr>
          <w:rFonts w:ascii="Verdana" w:hAnsi="Verdana" w:cs="Arial"/>
          <w:sz w:val="13"/>
          <w:szCs w:val="13"/>
          <w:lang w:val="es-CO"/>
        </w:rPr>
        <w:t>Rad. 2166</w:t>
      </w:r>
      <w:r w:rsidRPr="0050680B">
        <w:rPr>
          <w:rFonts w:ascii="Verdana" w:hAnsi="Verdana" w:cs="Arial"/>
          <w:sz w:val="13"/>
          <w:szCs w:val="13"/>
        </w:rPr>
        <w:t xml:space="preserve"> </w:t>
      </w:r>
    </w:p>
  </w:footnote>
  <w:footnote w:id="8">
    <w:p w14:paraId="4B26849A" w14:textId="77777777" w:rsidR="00BA1046" w:rsidRPr="0050680B" w:rsidRDefault="00BA1046" w:rsidP="00BA1046">
      <w:pPr>
        <w:spacing w:after="0" w:line="240" w:lineRule="auto"/>
        <w:ind w:firstLine="709"/>
        <w:jc w:val="both"/>
        <w:rPr>
          <w:rFonts w:ascii="Verdana" w:eastAsia="Times New Roman"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w:t>
      </w:r>
      <w:bookmarkStart w:id="6" w:name="33"/>
      <w:r w:rsidRPr="0050680B">
        <w:rPr>
          <w:rFonts w:ascii="Verdana" w:eastAsia="Calibri" w:hAnsi="Verdana" w:cs="Arial"/>
          <w:color w:val="000000"/>
          <w:sz w:val="13"/>
          <w:szCs w:val="13"/>
        </w:rPr>
        <w:t>“</w:t>
      </w:r>
      <w:r w:rsidRPr="0050680B">
        <w:rPr>
          <w:rFonts w:ascii="Verdana" w:eastAsia="Times New Roman" w:hAnsi="Verdana" w:cs="Arial"/>
          <w:sz w:val="13"/>
          <w:szCs w:val="13"/>
        </w:rPr>
        <w:t>Artículo 33. Restricciones a la contratación pública.</w:t>
      </w:r>
      <w:bookmarkEnd w:id="6"/>
      <w:r w:rsidRPr="0050680B">
        <w:rPr>
          <w:rFonts w:ascii="Verdana" w:eastAsia="Times New Roman" w:hAnsi="Verdana" w:cs="Arial"/>
          <w:sz w:val="13"/>
          <w:szCs w:val="13"/>
        </w:rPr>
        <w:t> Durante los cuatro (4) meses anteriores a la elección presidencial y hasta la realización de la elección en la segunda vuelta, si fuere el caso, queda prohibida la contratación directa por parte de todos los entes del Estado.</w:t>
      </w:r>
    </w:p>
    <w:p w14:paraId="1FB9F1AC" w14:textId="77777777" w:rsidR="00BA1046" w:rsidRPr="0050680B" w:rsidRDefault="00BA1046" w:rsidP="00BA1046">
      <w:pPr>
        <w:spacing w:after="0" w:line="240" w:lineRule="auto"/>
        <w:ind w:firstLine="709"/>
        <w:jc w:val="both"/>
        <w:rPr>
          <w:rFonts w:ascii="Verdana" w:eastAsia="Times New Roman" w:hAnsi="Verdana" w:cs="Arial"/>
          <w:sz w:val="13"/>
          <w:szCs w:val="13"/>
        </w:rPr>
      </w:pPr>
      <w:r w:rsidRPr="0050680B">
        <w:rPr>
          <w:rFonts w:ascii="Verdana" w:eastAsia="Times New Roman" w:hAnsi="Verdana" w:cs="Arial"/>
          <w:sz w:val="13"/>
          <w:szCs w:val="13"/>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0680B">
        <w:rPr>
          <w:rFonts w:ascii="Verdana" w:eastAsia="Calibri" w:hAnsi="Verdana" w:cs="Arial"/>
          <w:color w:val="000000"/>
          <w:sz w:val="13"/>
          <w:szCs w:val="13"/>
        </w:rPr>
        <w:t>”</w:t>
      </w:r>
      <w:r w:rsidRPr="0050680B">
        <w:rPr>
          <w:rFonts w:ascii="Verdana" w:eastAsia="Times New Roman" w:hAnsi="Verdana" w:cs="Arial"/>
          <w:sz w:val="13"/>
          <w:szCs w:val="13"/>
        </w:rPr>
        <w:t>.</w:t>
      </w:r>
    </w:p>
  </w:footnote>
  <w:footnote w:id="9">
    <w:p w14:paraId="3B791246" w14:textId="77777777" w:rsidR="00BA1046" w:rsidRPr="0050680B" w:rsidRDefault="00BA1046" w:rsidP="00BA1046">
      <w:pPr>
        <w:pStyle w:val="NormalWeb"/>
        <w:spacing w:before="0" w:beforeAutospacing="0" w:after="0" w:afterAutospacing="0"/>
        <w:ind w:firstLine="709"/>
        <w:jc w:val="both"/>
        <w:rPr>
          <w:rFonts w:ascii="Verdana" w:hAnsi="Verdana" w:cs="Arial"/>
          <w:sz w:val="13"/>
          <w:szCs w:val="13"/>
          <w:lang w:val="es-MX"/>
        </w:rPr>
      </w:pPr>
      <w:r w:rsidRPr="0050680B">
        <w:rPr>
          <w:rStyle w:val="Refdenotaalpie"/>
          <w:rFonts w:ascii="Verdana" w:hAnsi="Verdana" w:cs="Arial"/>
          <w:sz w:val="13"/>
          <w:szCs w:val="13"/>
        </w:rPr>
        <w:footnoteRef/>
      </w:r>
      <w:r w:rsidRPr="0050680B">
        <w:rPr>
          <w:rFonts w:ascii="Verdana" w:hAnsi="Verdana" w:cs="Arial"/>
          <w:sz w:val="13"/>
          <w:szCs w:val="13"/>
        </w:rPr>
        <w:t xml:space="preserve"> </w:t>
      </w:r>
      <w:bookmarkStart w:id="7" w:name="38"/>
      <w:r w:rsidRPr="0050680B">
        <w:rPr>
          <w:rFonts w:ascii="Verdana" w:eastAsia="Calibri" w:hAnsi="Verdana" w:cs="Arial"/>
          <w:color w:val="000000"/>
          <w:sz w:val="13"/>
          <w:szCs w:val="13"/>
        </w:rPr>
        <w:t>“</w:t>
      </w:r>
      <w:r w:rsidRPr="0050680B">
        <w:rPr>
          <w:rFonts w:ascii="Verdana" w:hAnsi="Verdana" w:cs="Arial"/>
          <w:sz w:val="13"/>
          <w:szCs w:val="13"/>
          <w:lang w:val="es-MX"/>
        </w:rPr>
        <w:t>Artículo 38. Prohibiciones para los servidores públicos. A los empleados del Estado les está prohibido:</w:t>
      </w:r>
      <w:bookmarkEnd w:id="7"/>
      <w:r w:rsidRPr="0050680B">
        <w:rPr>
          <w:rFonts w:ascii="Verdana" w:hAnsi="Verdana" w:cs="Arial"/>
          <w:sz w:val="13"/>
          <w:szCs w:val="13"/>
          <w:lang w:val="es-MX"/>
        </w:rPr>
        <w:t xml:space="preserve"> […]</w:t>
      </w:r>
    </w:p>
    <w:p w14:paraId="2EBEE983" w14:textId="77777777" w:rsidR="00BA1046" w:rsidRPr="0050680B" w:rsidRDefault="00BA1046" w:rsidP="00BA1046">
      <w:pPr>
        <w:pStyle w:val="NormalWeb"/>
        <w:spacing w:before="0" w:beforeAutospacing="0" w:after="0" w:afterAutospacing="0"/>
        <w:ind w:firstLine="709"/>
        <w:jc w:val="both"/>
        <w:rPr>
          <w:rFonts w:ascii="Verdana" w:hAnsi="Verdana" w:cs="Arial"/>
          <w:sz w:val="13"/>
          <w:szCs w:val="13"/>
          <w:lang w:val="es-MX"/>
        </w:rPr>
      </w:pPr>
      <w:r w:rsidRPr="0050680B">
        <w:rPr>
          <w:rStyle w:val="baj"/>
          <w:rFonts w:ascii="Verdana" w:hAnsi="Verdana" w:cs="Arial"/>
          <w:sz w:val="13"/>
          <w:szCs w:val="13"/>
          <w:lang w:val="es-MX"/>
        </w:rPr>
        <w:t>Parágrafo.</w:t>
      </w:r>
      <w:r w:rsidRPr="0050680B">
        <w:rPr>
          <w:rFonts w:ascii="Verdana" w:hAnsi="Verdana" w:cs="Arial"/>
          <w:sz w:val="13"/>
          <w:szCs w:val="13"/>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0680B">
        <w:rPr>
          <w:rFonts w:ascii="Verdana" w:eastAsia="Calibri" w:hAnsi="Verdana" w:cs="Arial"/>
          <w:color w:val="000000"/>
          <w:sz w:val="13"/>
          <w:szCs w:val="13"/>
        </w:rPr>
        <w:t>”</w:t>
      </w:r>
      <w:r w:rsidRPr="0050680B">
        <w:rPr>
          <w:rFonts w:ascii="Verdana" w:hAnsi="Verdana" w:cs="Arial"/>
          <w:sz w:val="13"/>
          <w:szCs w:val="13"/>
          <w:lang w:val="es-MX"/>
        </w:rPr>
        <w:t>.</w:t>
      </w:r>
    </w:p>
  </w:footnote>
  <w:footnote w:id="10">
    <w:p w14:paraId="6D111783" w14:textId="77777777" w:rsidR="00BA1046" w:rsidRPr="0050680B" w:rsidRDefault="00BA1046" w:rsidP="00BA1046">
      <w:pPr>
        <w:pStyle w:val="Textonotapie"/>
        <w:ind w:firstLine="708"/>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Colombia Compra Eficiente. Circular Externa Única. Numeral 16.5. </w:t>
      </w:r>
    </w:p>
  </w:footnote>
  <w:footnote w:id="11">
    <w:p w14:paraId="43BFDD06" w14:textId="77777777" w:rsidR="00BA1046" w:rsidRPr="0050680B" w:rsidRDefault="00BA1046" w:rsidP="00BA1046">
      <w:pPr>
        <w:spacing w:after="0" w:line="240" w:lineRule="auto"/>
        <w:ind w:left="100" w:right="244" w:firstLine="608"/>
        <w:jc w:val="both"/>
        <w:rPr>
          <w:rFonts w:ascii="Verdana" w:hAnsi="Verdana" w:cs="Arial"/>
          <w:sz w:val="13"/>
          <w:szCs w:val="13"/>
          <w:lang w:val="es-ES"/>
        </w:rPr>
      </w:pPr>
      <w:r w:rsidRPr="0050680B">
        <w:rPr>
          <w:rStyle w:val="Refdenotaalpie"/>
          <w:rFonts w:ascii="Verdana" w:hAnsi="Verdana" w:cs="Arial"/>
          <w:sz w:val="13"/>
          <w:szCs w:val="13"/>
        </w:rPr>
        <w:footnoteRef/>
      </w:r>
      <w:r w:rsidRPr="0050680B">
        <w:rPr>
          <w:rFonts w:ascii="Verdana" w:hAnsi="Verdana" w:cs="Arial"/>
          <w:sz w:val="13"/>
          <w:szCs w:val="13"/>
        </w:rPr>
        <w:t xml:space="preserve"> Consejo de Estado. Sala de Consulta y Servicio Civil. Concepto del 17 de febrero de 2015. C.P. William Zambrano Cetina. Rad. 2269.</w:t>
      </w:r>
    </w:p>
  </w:footnote>
  <w:footnote w:id="12">
    <w:p w14:paraId="328F0054" w14:textId="77777777" w:rsidR="00BA1046" w:rsidRPr="0050680B" w:rsidRDefault="00BA1046" w:rsidP="00BA1046">
      <w:pPr>
        <w:pStyle w:val="Textonotapie"/>
        <w:ind w:right="51" w:firstLine="709"/>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w:t>
      </w:r>
      <w:r w:rsidRPr="0050680B">
        <w:rPr>
          <w:rFonts w:ascii="Verdana" w:hAnsi="Verdana" w:cs="Arial"/>
          <w:sz w:val="13"/>
          <w:szCs w:val="13"/>
          <w:lang w:val="es-ES"/>
        </w:rPr>
        <w:t xml:space="preserve">[25] </w:t>
      </w:r>
      <w:r w:rsidRPr="0050680B">
        <w:rPr>
          <w:rFonts w:ascii="Verdana" w:hAnsi="Verdana" w:cs="Arial"/>
          <w:sz w:val="13"/>
          <w:szCs w:val="13"/>
        </w:rPr>
        <w:t>Cfr. Consejo de Estado. Sección Tercera. Sentencia de 3 de diciembre de 2007. Radicados: 24.715, 25.206, 25.409, 24.524, 27.834, 25.410, 26.105, 28.244, 31.447 -acumulados-“.</w:t>
      </w:r>
    </w:p>
  </w:footnote>
  <w:footnote w:id="13">
    <w:p w14:paraId="330C657E" w14:textId="77777777" w:rsidR="00BA1046" w:rsidRPr="0050680B" w:rsidRDefault="00BA1046" w:rsidP="00BA1046">
      <w:pPr>
        <w:pStyle w:val="Textonotapie"/>
        <w:ind w:right="51" w:firstLine="709"/>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w:t>
      </w:r>
      <w:r w:rsidRPr="0050680B">
        <w:rPr>
          <w:rFonts w:ascii="Verdana" w:hAnsi="Verdana" w:cs="Arial"/>
          <w:sz w:val="13"/>
          <w:szCs w:val="13"/>
          <w:lang w:val="es-ES"/>
        </w:rPr>
        <w:t xml:space="preserve">[26] </w:t>
      </w:r>
      <w:r w:rsidRPr="0050680B">
        <w:rPr>
          <w:rFonts w:ascii="Verdana" w:hAnsi="Verdana" w:cs="Arial"/>
          <w:sz w:val="13"/>
          <w:szCs w:val="13"/>
        </w:rPr>
        <w:t>Al respecto ver el concepto 1712 de 2 de febrero de 2006. Consejo de Estado Sala de Consulta y Servicio Civil”.</w:t>
      </w:r>
    </w:p>
  </w:footnote>
  <w:footnote w:id="14">
    <w:p w14:paraId="7D9E577B" w14:textId="77777777" w:rsidR="00BA1046" w:rsidRPr="0050680B" w:rsidRDefault="00BA1046" w:rsidP="00BA1046">
      <w:pPr>
        <w:pStyle w:val="Textonotapie"/>
        <w:ind w:firstLine="709"/>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Consejo de Estado. Sala de Consulta y Servicio Civil. Concepto del 2 de septiembre de 2013. </w:t>
      </w:r>
      <w:r w:rsidRPr="0050680B">
        <w:rPr>
          <w:rFonts w:ascii="Verdana" w:hAnsi="Verdana" w:cs="Arial"/>
          <w:sz w:val="13"/>
          <w:szCs w:val="13"/>
          <w:lang w:val="es-CO"/>
        </w:rPr>
        <w:t>C.P. Álvaro Namén Vargas.</w:t>
      </w:r>
      <w:r w:rsidRPr="0050680B">
        <w:rPr>
          <w:rFonts w:ascii="Verdana" w:hAnsi="Verdana" w:cs="Arial"/>
          <w:sz w:val="13"/>
          <w:szCs w:val="13"/>
        </w:rPr>
        <w:t xml:space="preserve">Rad. 2168. </w:t>
      </w:r>
    </w:p>
  </w:footnote>
  <w:footnote w:id="15">
    <w:p w14:paraId="3E8EF92D" w14:textId="77777777" w:rsidR="00BA1046" w:rsidRPr="0050680B" w:rsidRDefault="00BA1046" w:rsidP="00BA1046">
      <w:pPr>
        <w:pStyle w:val="Textonotapie"/>
        <w:ind w:firstLine="709"/>
        <w:jc w:val="both"/>
        <w:rPr>
          <w:rFonts w:ascii="Verdana" w:hAnsi="Verdana" w:cs="Arial"/>
          <w:sz w:val="13"/>
          <w:szCs w:val="13"/>
          <w:lang w:val="es-ES"/>
        </w:rPr>
      </w:pPr>
      <w:r w:rsidRPr="0050680B">
        <w:rPr>
          <w:rStyle w:val="Refdenotaalpie"/>
          <w:rFonts w:ascii="Verdana" w:hAnsi="Verdana" w:cs="Arial"/>
          <w:sz w:val="13"/>
          <w:szCs w:val="13"/>
        </w:rPr>
        <w:footnoteRef/>
      </w:r>
      <w:r w:rsidRPr="0050680B">
        <w:rPr>
          <w:rFonts w:ascii="Verdana" w:hAnsi="Verdana" w:cs="Arial"/>
          <w:sz w:val="13"/>
          <w:szCs w:val="13"/>
        </w:rPr>
        <w:t xml:space="preserve"> </w:t>
      </w:r>
      <w:r w:rsidRPr="0050680B">
        <w:rPr>
          <w:rFonts w:ascii="Verdana" w:hAnsi="Verdana" w:cs="Arial"/>
          <w:sz w:val="13"/>
          <w:szCs w:val="13"/>
          <w:lang w:val="es-ES"/>
        </w:rPr>
        <w:t xml:space="preserve">Artículo 2. </w:t>
      </w:r>
    </w:p>
  </w:footnote>
  <w:footnote w:id="16">
    <w:p w14:paraId="0DFA17FB" w14:textId="77777777" w:rsidR="00BA1046" w:rsidRPr="0050680B" w:rsidRDefault="00BA1046" w:rsidP="00BA1046">
      <w:pPr>
        <w:pStyle w:val="Textonotapie"/>
        <w:ind w:firstLine="709"/>
        <w:jc w:val="both"/>
        <w:rPr>
          <w:rFonts w:ascii="Verdana" w:hAnsi="Verdana" w:cs="Arial"/>
          <w:sz w:val="13"/>
          <w:szCs w:val="13"/>
          <w:lang w:val="es-ES"/>
        </w:rPr>
      </w:pPr>
      <w:r w:rsidRPr="0050680B">
        <w:rPr>
          <w:rStyle w:val="Refdenotaalpie"/>
          <w:rFonts w:ascii="Verdana" w:hAnsi="Verdana" w:cs="Arial"/>
          <w:sz w:val="13"/>
          <w:szCs w:val="13"/>
        </w:rPr>
        <w:footnoteRef/>
      </w:r>
      <w:r w:rsidRPr="0050680B">
        <w:rPr>
          <w:rFonts w:ascii="Verdana" w:hAnsi="Verdana" w:cs="Arial"/>
          <w:sz w:val="13"/>
          <w:szCs w:val="13"/>
        </w:rPr>
        <w:t xml:space="preserve"> </w:t>
      </w:r>
      <w:r w:rsidRPr="0050680B">
        <w:rPr>
          <w:rFonts w:ascii="Verdana" w:hAnsi="Verdana" w:cs="Arial"/>
          <w:i/>
          <w:sz w:val="13"/>
          <w:szCs w:val="13"/>
          <w:lang w:val="es-ES"/>
        </w:rPr>
        <w:t>Ídem</w:t>
      </w:r>
      <w:r w:rsidRPr="0050680B">
        <w:rPr>
          <w:rFonts w:ascii="Verdana" w:hAnsi="Verdana" w:cs="Arial"/>
          <w:sz w:val="13"/>
          <w:szCs w:val="13"/>
          <w:lang w:val="es-ES"/>
        </w:rPr>
        <w:t>.</w:t>
      </w:r>
    </w:p>
  </w:footnote>
  <w:footnote w:id="17">
    <w:p w14:paraId="4E76A97C" w14:textId="77777777" w:rsidR="00BA1046" w:rsidRPr="0050680B" w:rsidRDefault="00BA1046" w:rsidP="00BA1046">
      <w:pPr>
        <w:shd w:val="clear" w:color="auto" w:fill="FFFFFF"/>
        <w:spacing w:after="0" w:line="240" w:lineRule="auto"/>
        <w:ind w:firstLine="709"/>
        <w:jc w:val="both"/>
        <w:rPr>
          <w:rFonts w:ascii="Verdana" w:hAnsi="Verdana" w:cs="Arial"/>
          <w:sz w:val="13"/>
          <w:szCs w:val="13"/>
          <w:lang w:val="es-ES"/>
        </w:rPr>
      </w:pPr>
      <w:r w:rsidRPr="0050680B">
        <w:rPr>
          <w:rStyle w:val="Refdenotaalpie"/>
          <w:rFonts w:ascii="Verdana" w:hAnsi="Verdana" w:cs="Arial"/>
          <w:sz w:val="13"/>
          <w:szCs w:val="13"/>
        </w:rPr>
        <w:footnoteRef/>
      </w:r>
      <w:r w:rsidRPr="0050680B">
        <w:rPr>
          <w:rStyle w:val="Refdenotaalpie"/>
          <w:rFonts w:ascii="Verdana" w:hAnsi="Verdana" w:cs="Arial"/>
          <w:sz w:val="13"/>
          <w:szCs w:val="13"/>
        </w:rPr>
        <w:t xml:space="preserve"> </w:t>
      </w:r>
      <w:r w:rsidRPr="0050680B">
        <w:rPr>
          <w:rFonts w:ascii="Verdana" w:hAnsi="Verdana" w:cs="Arial"/>
          <w:sz w:val="13"/>
          <w:szCs w:val="13"/>
          <w:lang w:val="es-ES"/>
        </w:rPr>
        <w:t>Consejo de Estado. Sala de Consulta y Servicio Civil, Concepto de 8 de mayo de 2018. C.P. Álvaro Namén Vargas. Rad. 2382.</w:t>
      </w:r>
    </w:p>
  </w:footnote>
  <w:footnote w:id="18">
    <w:p w14:paraId="3950E7D1" w14:textId="77777777" w:rsidR="00BA1046" w:rsidRPr="0050680B" w:rsidRDefault="00BA1046" w:rsidP="00BA1046">
      <w:pPr>
        <w:pStyle w:val="Textonotapie"/>
        <w:ind w:firstLine="709"/>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Consejo de Estado. Sala de Consulta y Servicio Civil. Concepto del 08 de mayo de 2018.</w:t>
      </w:r>
      <w:r w:rsidRPr="0050680B">
        <w:rPr>
          <w:rFonts w:ascii="Verdana" w:hAnsi="Verdana" w:cs="Arial"/>
          <w:sz w:val="13"/>
          <w:szCs w:val="13"/>
          <w:lang w:val="es-CO"/>
        </w:rPr>
        <w:t xml:space="preserve"> C.P. Álvaro Namén Vargas.</w:t>
      </w:r>
      <w:r w:rsidRPr="0050680B">
        <w:rPr>
          <w:rFonts w:ascii="Verdana" w:hAnsi="Verdana" w:cs="Arial"/>
          <w:sz w:val="13"/>
          <w:szCs w:val="13"/>
        </w:rPr>
        <w:t xml:space="preserve"> Rad. 2.382.</w:t>
      </w:r>
    </w:p>
  </w:footnote>
  <w:footnote w:id="19">
    <w:p w14:paraId="6FDA1ABC" w14:textId="77777777" w:rsidR="00BA1046" w:rsidRPr="0050680B" w:rsidRDefault="00BA1046" w:rsidP="00BA1046">
      <w:pPr>
        <w:pStyle w:val="Textonotapie"/>
        <w:ind w:firstLine="709"/>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La Corte Constitucional mediante Sentencia C-1153 de 2005, Magistrado Ponente Marco Gerardo Monroy Cabra, efectuó el Control constitucional al Proyecto de Ley Estatutaria N° 216/05 Senado, N° 235-Cámara que dio lugar a la Ley de Garantías Electorales.</w:t>
      </w:r>
    </w:p>
  </w:footnote>
  <w:footnote w:id="20">
    <w:p w14:paraId="1D408806" w14:textId="77777777" w:rsidR="00BA1046" w:rsidRPr="0050680B" w:rsidRDefault="00BA1046" w:rsidP="00BA1046">
      <w:pPr>
        <w:spacing w:after="0" w:line="240" w:lineRule="auto"/>
        <w:ind w:firstLine="709"/>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4FAF0D0B" w14:textId="77777777" w:rsidR="00BA1046" w:rsidRPr="0050680B" w:rsidRDefault="00BA1046" w:rsidP="00BA1046">
      <w:pPr>
        <w:pStyle w:val="Textonotapie"/>
        <w:ind w:right="51" w:firstLine="709"/>
        <w:jc w:val="both"/>
        <w:rPr>
          <w:rFonts w:ascii="Verdana" w:eastAsia="Times New Roman" w:hAnsi="Verdana" w:cs="Arial"/>
          <w:bCs/>
          <w:sz w:val="13"/>
          <w:szCs w:val="13"/>
          <w:lang w:eastAsia="x-none"/>
        </w:rPr>
      </w:pPr>
      <w:r w:rsidRPr="0050680B">
        <w:rPr>
          <w:rStyle w:val="Refdenotaalpie"/>
          <w:rFonts w:ascii="Verdana" w:hAnsi="Verdana" w:cs="Arial"/>
          <w:sz w:val="13"/>
          <w:szCs w:val="13"/>
        </w:rPr>
        <w:footnoteRef/>
      </w:r>
      <w:r w:rsidRPr="0050680B">
        <w:rPr>
          <w:rFonts w:ascii="Verdana" w:hAnsi="Verdana" w:cs="Arial"/>
          <w:sz w:val="13"/>
          <w:szCs w:val="13"/>
        </w:rPr>
        <w:t xml:space="preserve"> Consejo de Estado. Sala de Consulta y Servicio Civil. Concepto de 6 de abril de 2006.C.P. Enrique José Arboleda Perdomo. </w:t>
      </w:r>
      <w:r w:rsidRPr="0050680B">
        <w:rPr>
          <w:rFonts w:ascii="Verdana" w:hAnsi="Verdana" w:cs="Arial"/>
          <w:sz w:val="13"/>
          <w:szCs w:val="13"/>
          <w:lang w:val="es-CO"/>
        </w:rPr>
        <w:t>Rad. 1738</w:t>
      </w:r>
      <w:r w:rsidRPr="0050680B">
        <w:rPr>
          <w:rFonts w:ascii="Verdana" w:eastAsia="Times New Roman" w:hAnsi="Verdana" w:cs="Arial"/>
          <w:bCs/>
          <w:sz w:val="13"/>
          <w:szCs w:val="13"/>
          <w:lang w:eastAsia="x-none"/>
        </w:rPr>
        <w:t xml:space="preserve"> “</w:t>
      </w:r>
      <w:r w:rsidRPr="0050680B">
        <w:rPr>
          <w:rFonts w:ascii="Verdana" w:hAnsi="Verdana" w:cs="Arial"/>
          <w:sz w:val="13"/>
          <w:szCs w:val="13"/>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50680B">
        <w:rPr>
          <w:rFonts w:ascii="Verdana" w:eastAsia="Times New Roman" w:hAnsi="Verdana" w:cs="Arial"/>
          <w:bCs/>
          <w:sz w:val="13"/>
          <w:szCs w:val="13"/>
          <w:lang w:eastAsia="x-none"/>
        </w:rPr>
        <w:t>”.</w:t>
      </w:r>
    </w:p>
  </w:footnote>
  <w:footnote w:id="22">
    <w:p w14:paraId="0994480D" w14:textId="77777777" w:rsidR="00BA1046" w:rsidRPr="0050680B" w:rsidRDefault="00BA1046" w:rsidP="00BA1046">
      <w:pPr>
        <w:spacing w:after="0" w:line="240" w:lineRule="auto"/>
        <w:ind w:firstLine="708"/>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Consejo de Estado. Sala de Consulta y Servicio Civil. Concepto de 6 de abril de 2006. C.P. Enrique José Arboleda Perdomo. Rad. 1738. </w:t>
      </w:r>
    </w:p>
  </w:footnote>
  <w:footnote w:id="23">
    <w:p w14:paraId="189CC12A" w14:textId="77777777" w:rsidR="00BA1046" w:rsidRPr="0050680B" w:rsidRDefault="00BA1046" w:rsidP="00BA1046">
      <w:pPr>
        <w:pStyle w:val="Textonotapie"/>
        <w:ind w:right="51" w:firstLine="709"/>
        <w:jc w:val="both"/>
        <w:rPr>
          <w:rFonts w:ascii="Verdana" w:hAnsi="Verdana"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Consejo de Estado. Sala de Consulta y Servicio Civil, ídem.</w:t>
      </w:r>
    </w:p>
  </w:footnote>
  <w:footnote w:id="24">
    <w:p w14:paraId="50AB22B4" w14:textId="77777777" w:rsidR="00BA1046" w:rsidRPr="0050680B" w:rsidRDefault="00BA1046" w:rsidP="00BA1046">
      <w:pPr>
        <w:pStyle w:val="Textonotapie"/>
        <w:ind w:firstLine="708"/>
        <w:jc w:val="both"/>
        <w:rPr>
          <w:rFonts w:ascii="Arial" w:hAnsi="Arial" w:cs="Arial"/>
          <w:sz w:val="13"/>
          <w:szCs w:val="13"/>
        </w:rPr>
      </w:pPr>
      <w:r w:rsidRPr="0050680B">
        <w:rPr>
          <w:rStyle w:val="Refdenotaalpie"/>
          <w:rFonts w:ascii="Verdana" w:hAnsi="Verdana" w:cs="Arial"/>
          <w:sz w:val="13"/>
          <w:szCs w:val="13"/>
        </w:rPr>
        <w:footnoteRef/>
      </w:r>
      <w:r w:rsidRPr="0050680B">
        <w:rPr>
          <w:rFonts w:ascii="Verdana" w:hAnsi="Verdana" w:cs="Arial"/>
          <w:sz w:val="13"/>
          <w:szCs w:val="13"/>
        </w:rPr>
        <w:t xml:space="preserve"> Colombia Compra Eficiente. Circular Externa Única. Numeral 15.5.</w:t>
      </w:r>
    </w:p>
  </w:footnote>
  <w:footnote w:id="25">
    <w:p w14:paraId="505F20F1" w14:textId="77777777" w:rsidR="00BA1046" w:rsidRPr="0050680B" w:rsidRDefault="00BA1046" w:rsidP="00BA1046">
      <w:pPr>
        <w:pStyle w:val="Textonotapie"/>
        <w:ind w:firstLine="708"/>
        <w:jc w:val="both"/>
        <w:rPr>
          <w:rFonts w:ascii="Verdana" w:hAnsi="Verdana" w:cs="Arial"/>
          <w:color w:val="000000"/>
          <w:sz w:val="13"/>
          <w:szCs w:val="13"/>
          <w:shd w:val="clear" w:color="auto" w:fill="FFFFFF"/>
          <w:lang w:val="es-CO"/>
        </w:rPr>
      </w:pPr>
      <w:r w:rsidRPr="0050680B">
        <w:rPr>
          <w:rStyle w:val="Refdenotaalpie"/>
          <w:rFonts w:ascii="Verdana" w:hAnsi="Verdana"/>
          <w:sz w:val="13"/>
          <w:szCs w:val="13"/>
        </w:rPr>
        <w:footnoteRef/>
      </w:r>
      <w:r w:rsidRPr="0050680B">
        <w:rPr>
          <w:rFonts w:ascii="Verdana" w:hAnsi="Verdana"/>
          <w:sz w:val="13"/>
          <w:szCs w:val="13"/>
        </w:rPr>
        <w:t xml:space="preserve"> </w:t>
      </w:r>
      <w:r w:rsidRPr="0050680B">
        <w:rPr>
          <w:rFonts w:ascii="Verdana" w:hAnsi="Verdana"/>
          <w:sz w:val="13"/>
          <w:szCs w:val="13"/>
          <w:lang w:val="es-CO"/>
        </w:rPr>
        <w:t xml:space="preserve">El inciso 2 del artículo 1630 del Código Civil establece el carácter </w:t>
      </w:r>
      <w:r w:rsidRPr="0050680B">
        <w:rPr>
          <w:rFonts w:ascii="Verdana" w:hAnsi="Verdana"/>
          <w:i/>
          <w:sz w:val="13"/>
          <w:szCs w:val="13"/>
          <w:lang w:val="es-CO"/>
        </w:rPr>
        <w:t>intuitu personae</w:t>
      </w:r>
      <w:r w:rsidRPr="0050680B">
        <w:rPr>
          <w:rFonts w:ascii="Verdana" w:hAnsi="Verdana"/>
          <w:sz w:val="13"/>
          <w:szCs w:val="13"/>
          <w:lang w:val="es-CO"/>
        </w:rPr>
        <w:t xml:space="preserve"> de los contratos. Dicho artículo señala: Artículo 1630. Pago de terceros. </w:t>
      </w:r>
      <w:r w:rsidRPr="0050680B">
        <w:rPr>
          <w:rFonts w:ascii="Verdana" w:hAnsi="Verdana" w:cs="Arial"/>
          <w:color w:val="000000"/>
          <w:sz w:val="13"/>
          <w:szCs w:val="13"/>
          <w:shd w:val="clear" w:color="auto" w:fill="FFFFFF"/>
        </w:rPr>
        <w:t>Puede pagar por el deudor cualquiera persona a nombre de él, aún sin su conocimiento o contra su voluntad, y aún a pesar del acreedor.</w:t>
      </w:r>
    </w:p>
    <w:p w14:paraId="6C7F9750" w14:textId="77777777" w:rsidR="00BA1046" w:rsidRPr="0050680B" w:rsidRDefault="00BA1046" w:rsidP="00BA1046">
      <w:pPr>
        <w:pStyle w:val="Textonotapie"/>
        <w:ind w:firstLine="708"/>
        <w:jc w:val="both"/>
        <w:rPr>
          <w:rFonts w:ascii="Verdana" w:hAnsi="Verdana"/>
          <w:sz w:val="13"/>
          <w:szCs w:val="13"/>
          <w:lang w:val="es-CO"/>
        </w:rPr>
      </w:pPr>
      <w:r w:rsidRPr="0050680B">
        <w:rPr>
          <w:rFonts w:ascii="Verdana" w:hAnsi="Verdana" w:cs="Arial"/>
          <w:color w:val="000000"/>
          <w:sz w:val="13"/>
          <w:szCs w:val="13"/>
          <w:shd w:val="clear" w:color="auto" w:fill="FFFFFF"/>
        </w:rPr>
        <w:t>Pero si la obligación es de hacer, y si para la obra de que se trata se ha tomado en consideración la aptitud o talento del deudor, no podrá ejecutarse la obra por otra persona contra la voluntad del acreedor.</w:t>
      </w:r>
    </w:p>
  </w:footnote>
  <w:footnote w:id="26">
    <w:p w14:paraId="75DCC920" w14:textId="77777777" w:rsidR="00BA1046" w:rsidRPr="0050680B" w:rsidRDefault="00BA1046" w:rsidP="00BA1046">
      <w:pPr>
        <w:pStyle w:val="Textonotapie"/>
        <w:ind w:firstLine="708"/>
        <w:rPr>
          <w:sz w:val="13"/>
          <w:szCs w:val="13"/>
        </w:rPr>
      </w:pPr>
      <w:r w:rsidRPr="0050680B">
        <w:rPr>
          <w:rStyle w:val="Refdenotaalpie"/>
          <w:rFonts w:ascii="Verdana" w:hAnsi="Verdana"/>
          <w:sz w:val="13"/>
          <w:szCs w:val="13"/>
        </w:rPr>
        <w:footnoteRef/>
      </w:r>
      <w:r w:rsidRPr="0050680B">
        <w:rPr>
          <w:rFonts w:ascii="Verdana" w:hAnsi="Verdana"/>
          <w:sz w:val="13"/>
          <w:szCs w:val="13"/>
        </w:rPr>
        <w:t xml:space="preserve"> Consejo de Estado, Sección Tercera, Subsección C. Sentencia del 16 de mayo de 2015. C.P. Jaime Orlando Santofimio Gamboa. Exp. 31.619.</w:t>
      </w:r>
      <w:r w:rsidRPr="0050680B">
        <w:rPr>
          <w:sz w:val="13"/>
          <w:szCs w:val="13"/>
        </w:rPr>
        <w:t xml:space="preserve"> </w:t>
      </w:r>
    </w:p>
  </w:footnote>
  <w:footnote w:id="27">
    <w:p w14:paraId="321CD493" w14:textId="77777777" w:rsidR="00BA1046" w:rsidRPr="0050680B" w:rsidRDefault="00BA1046" w:rsidP="00BA1046">
      <w:pPr>
        <w:pStyle w:val="Textonotapie"/>
        <w:ind w:firstLine="709"/>
        <w:jc w:val="both"/>
        <w:rPr>
          <w:rFonts w:ascii="Verdana" w:hAnsi="Verdana" w:cs="Arial"/>
          <w:color w:val="000000" w:themeColor="text1"/>
          <w:sz w:val="13"/>
          <w:szCs w:val="13"/>
          <w:lang w:val="es-ES"/>
        </w:rPr>
      </w:pPr>
      <w:r w:rsidRPr="0050680B">
        <w:rPr>
          <w:rStyle w:val="Refdenotaalpie"/>
          <w:rFonts w:ascii="Verdana" w:hAnsi="Verdana" w:cs="Arial"/>
          <w:color w:val="000000" w:themeColor="text1"/>
          <w:sz w:val="13"/>
          <w:szCs w:val="13"/>
        </w:rPr>
        <w:footnoteRef/>
      </w:r>
      <w:r w:rsidRPr="0050680B">
        <w:rPr>
          <w:rFonts w:ascii="Verdana" w:hAnsi="Verdana" w:cs="Arial"/>
          <w:color w:val="000000" w:themeColor="text1"/>
          <w:sz w:val="13"/>
          <w:szCs w:val="13"/>
        </w:rPr>
        <w:t xml:space="preserve"> </w:t>
      </w:r>
      <w:r w:rsidRPr="0050680B">
        <w:rPr>
          <w:rFonts w:ascii="Verdana" w:hAnsi="Verdana" w:cs="Arial"/>
          <w:color w:val="000000" w:themeColor="text1"/>
          <w:sz w:val="13"/>
          <w:szCs w:val="13"/>
          <w:lang w:val="es-ES"/>
        </w:rPr>
        <w:t>Así lo prevé el artículo 2.2.1.2.1.4.1. del Decreto 1082 de 2015: “La Entidad Estatal debe señalar en un acto administrativo la justificación para contratar bajo la modalidad de contratación directa, el cual debe contener:</w:t>
      </w:r>
    </w:p>
    <w:p w14:paraId="1713E04D" w14:textId="77777777" w:rsidR="00BA1046" w:rsidRPr="0050680B" w:rsidRDefault="00BA1046" w:rsidP="00BA1046">
      <w:pPr>
        <w:pStyle w:val="Textonotapie"/>
        <w:ind w:firstLine="709"/>
        <w:jc w:val="both"/>
        <w:rPr>
          <w:rFonts w:ascii="Verdana" w:hAnsi="Verdana" w:cs="Arial"/>
          <w:color w:val="000000" w:themeColor="text1"/>
          <w:sz w:val="13"/>
          <w:szCs w:val="13"/>
          <w:lang w:val="es-ES"/>
        </w:rPr>
      </w:pPr>
      <w:r w:rsidRPr="0050680B">
        <w:rPr>
          <w:rFonts w:ascii="Verdana" w:hAnsi="Verdana" w:cs="Arial"/>
          <w:color w:val="000000" w:themeColor="text1"/>
          <w:sz w:val="13"/>
          <w:szCs w:val="13"/>
          <w:lang w:val="es-ES"/>
        </w:rPr>
        <w:t>1. La causal que invoca para contratar directamente.</w:t>
      </w:r>
    </w:p>
    <w:p w14:paraId="709095BA" w14:textId="77777777" w:rsidR="00BA1046" w:rsidRPr="0050680B" w:rsidRDefault="00BA1046" w:rsidP="00BA1046">
      <w:pPr>
        <w:pStyle w:val="Textonotapie"/>
        <w:ind w:firstLine="709"/>
        <w:jc w:val="both"/>
        <w:rPr>
          <w:rFonts w:ascii="Verdana" w:hAnsi="Verdana" w:cs="Arial"/>
          <w:color w:val="000000" w:themeColor="text1"/>
          <w:sz w:val="13"/>
          <w:szCs w:val="13"/>
          <w:lang w:val="es-ES"/>
        </w:rPr>
      </w:pPr>
      <w:r w:rsidRPr="0050680B">
        <w:rPr>
          <w:rFonts w:ascii="Verdana" w:hAnsi="Verdana" w:cs="Arial"/>
          <w:color w:val="000000" w:themeColor="text1"/>
          <w:sz w:val="13"/>
          <w:szCs w:val="13"/>
          <w:lang w:val="es-ES"/>
        </w:rPr>
        <w:t>2. El objeto del contrato.</w:t>
      </w:r>
    </w:p>
    <w:p w14:paraId="75CD03C4" w14:textId="77777777" w:rsidR="00BA1046" w:rsidRPr="0050680B" w:rsidRDefault="00BA1046" w:rsidP="00BA1046">
      <w:pPr>
        <w:pStyle w:val="Textonotapie"/>
        <w:ind w:firstLine="709"/>
        <w:jc w:val="both"/>
        <w:rPr>
          <w:rFonts w:ascii="Verdana" w:hAnsi="Verdana" w:cs="Arial"/>
          <w:color w:val="000000" w:themeColor="text1"/>
          <w:sz w:val="13"/>
          <w:szCs w:val="13"/>
          <w:lang w:val="es-ES"/>
        </w:rPr>
      </w:pPr>
      <w:r w:rsidRPr="0050680B">
        <w:rPr>
          <w:rFonts w:ascii="Verdana" w:hAnsi="Verdana" w:cs="Arial"/>
          <w:color w:val="000000" w:themeColor="text1"/>
          <w:sz w:val="13"/>
          <w:szCs w:val="13"/>
          <w:lang w:val="es-ES"/>
        </w:rPr>
        <w:t>3. El presupuesto para la contratación y las condiciones que exigirá al contratista.</w:t>
      </w:r>
    </w:p>
    <w:p w14:paraId="55167881" w14:textId="77777777" w:rsidR="00BA1046" w:rsidRPr="0050680B" w:rsidRDefault="00BA1046" w:rsidP="00BA1046">
      <w:pPr>
        <w:pStyle w:val="Textonotapie"/>
        <w:ind w:firstLine="709"/>
        <w:jc w:val="both"/>
        <w:rPr>
          <w:rFonts w:ascii="Verdana" w:hAnsi="Verdana" w:cs="Arial"/>
          <w:color w:val="000000" w:themeColor="text1"/>
          <w:sz w:val="13"/>
          <w:szCs w:val="13"/>
          <w:lang w:val="es-ES"/>
        </w:rPr>
      </w:pPr>
      <w:r w:rsidRPr="0050680B">
        <w:rPr>
          <w:rFonts w:ascii="Verdana" w:hAnsi="Verdana" w:cs="Arial"/>
          <w:color w:val="000000" w:themeColor="text1"/>
          <w:sz w:val="13"/>
          <w:szCs w:val="13"/>
          <w:lang w:val="es-ES"/>
        </w:rPr>
        <w:t>4. El lugar en el cual los interesados pueden consultar los estudios y documentos previos.</w:t>
      </w:r>
    </w:p>
    <w:p w14:paraId="5A19C1E8" w14:textId="77777777" w:rsidR="00BA1046" w:rsidRPr="0050680B" w:rsidRDefault="00BA1046" w:rsidP="00BA1046">
      <w:pPr>
        <w:pStyle w:val="Textonotapie"/>
        <w:ind w:firstLine="709"/>
        <w:jc w:val="both"/>
        <w:rPr>
          <w:rFonts w:ascii="Verdana" w:hAnsi="Verdana" w:cs="Arial"/>
          <w:color w:val="000000" w:themeColor="text1"/>
          <w:sz w:val="13"/>
          <w:szCs w:val="13"/>
          <w:lang w:val="es-ES"/>
        </w:rPr>
      </w:pPr>
      <w:r w:rsidRPr="0050680B">
        <w:rPr>
          <w:rFonts w:ascii="Verdana" w:hAnsi="Verdana" w:cs="Arial"/>
          <w:color w:val="000000" w:themeColor="text1"/>
          <w:sz w:val="13"/>
          <w:szCs w:val="13"/>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2930C157" w14:textId="77777777" w:rsidR="00BA1046" w:rsidRPr="0050680B" w:rsidRDefault="00BA1046" w:rsidP="00BA1046">
      <w:pPr>
        <w:pStyle w:val="Textonotapie"/>
        <w:ind w:firstLine="709"/>
        <w:jc w:val="both"/>
        <w:rPr>
          <w:rFonts w:ascii="Verdana" w:hAnsi="Verdana" w:cs="Arial"/>
          <w:color w:val="000000" w:themeColor="text1"/>
          <w:sz w:val="13"/>
          <w:szCs w:val="13"/>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594CE9" w:rsidRDefault="00594CE9"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594CE9" w:rsidRDefault="00594CE9">
    <w:pPr>
      <w:pStyle w:val="Encabezado"/>
    </w:pPr>
  </w:p>
  <w:p w14:paraId="5E18350A" w14:textId="705F7B76" w:rsidR="00594CE9" w:rsidRPr="004A305D" w:rsidRDefault="00594CE9" w:rsidP="00B01B1A">
    <w:pPr>
      <w:spacing w:after="0" w:line="120" w:lineRule="auto"/>
      <w:rPr>
        <w:rFonts w:ascii="Century Gothic" w:eastAsia="Geo" w:hAnsi="Century Gothic" w:cs="Geo"/>
        <w:sz w:val="16"/>
        <w:szCs w:val="16"/>
        <w:lang w:eastAsia="es-CO"/>
      </w:rPr>
    </w:pPr>
  </w:p>
  <w:p w14:paraId="211B7F5D" w14:textId="77777777" w:rsidR="00594CE9" w:rsidRDefault="00594CE9" w:rsidP="00844AE9">
    <w:pPr>
      <w:spacing w:after="0" w:line="240" w:lineRule="auto"/>
      <w:rPr>
        <w:rFonts w:ascii="Verdana" w:hAnsi="Verdana"/>
        <w:sz w:val="24"/>
        <w:szCs w:val="24"/>
      </w:rPr>
    </w:pPr>
  </w:p>
  <w:p w14:paraId="5A0054B1" w14:textId="77777777" w:rsidR="00594CE9" w:rsidRPr="00C925AC" w:rsidRDefault="00594CE9" w:rsidP="00844AE9">
    <w:pPr>
      <w:spacing w:after="0" w:line="240" w:lineRule="auto"/>
      <w:rPr>
        <w:rFonts w:ascii="Verdana" w:hAnsi="Verdana"/>
        <w:sz w:val="24"/>
        <w:szCs w:val="24"/>
      </w:rPr>
    </w:pPr>
  </w:p>
  <w:p w14:paraId="1FD1C243" w14:textId="37C5500A" w:rsidR="00594CE9" w:rsidRPr="00C925AC" w:rsidRDefault="00594CE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88319351">
    <w:abstractNumId w:val="7"/>
  </w:num>
  <w:num w:numId="2" w16cid:durableId="1178156440">
    <w:abstractNumId w:val="2"/>
  </w:num>
  <w:num w:numId="3" w16cid:durableId="1080371247">
    <w:abstractNumId w:val="5"/>
  </w:num>
  <w:num w:numId="4" w16cid:durableId="209623927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8814680">
    <w:abstractNumId w:val="2"/>
  </w:num>
  <w:num w:numId="6" w16cid:durableId="1029181777">
    <w:abstractNumId w:val="15"/>
  </w:num>
  <w:num w:numId="7" w16cid:durableId="336351889">
    <w:abstractNumId w:val="6"/>
  </w:num>
  <w:num w:numId="8" w16cid:durableId="228031321">
    <w:abstractNumId w:val="14"/>
  </w:num>
  <w:num w:numId="9" w16cid:durableId="892078986">
    <w:abstractNumId w:val="8"/>
  </w:num>
  <w:num w:numId="10" w16cid:durableId="1239680672">
    <w:abstractNumId w:val="13"/>
  </w:num>
  <w:num w:numId="11" w16cid:durableId="1697660154">
    <w:abstractNumId w:val="9"/>
  </w:num>
  <w:num w:numId="12" w16cid:durableId="1971394491">
    <w:abstractNumId w:val="1"/>
  </w:num>
  <w:num w:numId="13" w16cid:durableId="934434275">
    <w:abstractNumId w:val="4"/>
  </w:num>
  <w:num w:numId="14" w16cid:durableId="341517385">
    <w:abstractNumId w:val="16"/>
  </w:num>
  <w:num w:numId="15" w16cid:durableId="657079161">
    <w:abstractNumId w:val="12"/>
  </w:num>
  <w:num w:numId="16" w16cid:durableId="1105151776">
    <w:abstractNumId w:val="0"/>
  </w:num>
  <w:num w:numId="17" w16cid:durableId="557404454">
    <w:abstractNumId w:val="10"/>
  </w:num>
  <w:num w:numId="18" w16cid:durableId="134419885">
    <w:abstractNumId w:val="11"/>
  </w:num>
  <w:num w:numId="19" w16cid:durableId="15704574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52B"/>
    <w:rsid w:val="0001041D"/>
    <w:rsid w:val="00016F78"/>
    <w:rsid w:val="00046945"/>
    <w:rsid w:val="00061B2A"/>
    <w:rsid w:val="00081367"/>
    <w:rsid w:val="00082362"/>
    <w:rsid w:val="000825A6"/>
    <w:rsid w:val="00095DAE"/>
    <w:rsid w:val="000A683E"/>
    <w:rsid w:val="000B19B9"/>
    <w:rsid w:val="000D0334"/>
    <w:rsid w:val="000D5040"/>
    <w:rsid w:val="000D5DA7"/>
    <w:rsid w:val="000F34E3"/>
    <w:rsid w:val="000F4BC5"/>
    <w:rsid w:val="000F6486"/>
    <w:rsid w:val="00100ECA"/>
    <w:rsid w:val="00102203"/>
    <w:rsid w:val="00116940"/>
    <w:rsid w:val="0012100B"/>
    <w:rsid w:val="00125105"/>
    <w:rsid w:val="00127233"/>
    <w:rsid w:val="0012746B"/>
    <w:rsid w:val="00127474"/>
    <w:rsid w:val="00150F55"/>
    <w:rsid w:val="0015699B"/>
    <w:rsid w:val="00160F8E"/>
    <w:rsid w:val="00183F88"/>
    <w:rsid w:val="00186DE9"/>
    <w:rsid w:val="001967FD"/>
    <w:rsid w:val="001A33BF"/>
    <w:rsid w:val="001C4332"/>
    <w:rsid w:val="001E194B"/>
    <w:rsid w:val="001E4177"/>
    <w:rsid w:val="001E5EA0"/>
    <w:rsid w:val="001E63FB"/>
    <w:rsid w:val="001F0B24"/>
    <w:rsid w:val="001F7DC6"/>
    <w:rsid w:val="0020079E"/>
    <w:rsid w:val="00220037"/>
    <w:rsid w:val="0022400B"/>
    <w:rsid w:val="002421BB"/>
    <w:rsid w:val="0024692A"/>
    <w:rsid w:val="0025073E"/>
    <w:rsid w:val="0025796E"/>
    <w:rsid w:val="00261121"/>
    <w:rsid w:val="002707A2"/>
    <w:rsid w:val="00272A28"/>
    <w:rsid w:val="002826F0"/>
    <w:rsid w:val="002845F4"/>
    <w:rsid w:val="002857D9"/>
    <w:rsid w:val="00293441"/>
    <w:rsid w:val="002951A0"/>
    <w:rsid w:val="002962BC"/>
    <w:rsid w:val="002A093D"/>
    <w:rsid w:val="002A0DD0"/>
    <w:rsid w:val="002A49AC"/>
    <w:rsid w:val="002A64FD"/>
    <w:rsid w:val="002A760C"/>
    <w:rsid w:val="002B4E0B"/>
    <w:rsid w:val="002C5725"/>
    <w:rsid w:val="002C7A84"/>
    <w:rsid w:val="002E2BF8"/>
    <w:rsid w:val="002E4FD9"/>
    <w:rsid w:val="002E60E4"/>
    <w:rsid w:val="002F3CDF"/>
    <w:rsid w:val="002F712F"/>
    <w:rsid w:val="0030657A"/>
    <w:rsid w:val="00322A85"/>
    <w:rsid w:val="00324168"/>
    <w:rsid w:val="00330834"/>
    <w:rsid w:val="003318AB"/>
    <w:rsid w:val="00333A1B"/>
    <w:rsid w:val="003448F4"/>
    <w:rsid w:val="00355EA0"/>
    <w:rsid w:val="003604F5"/>
    <w:rsid w:val="00374F5E"/>
    <w:rsid w:val="00377E3E"/>
    <w:rsid w:val="00381926"/>
    <w:rsid w:val="00383C3F"/>
    <w:rsid w:val="003A779E"/>
    <w:rsid w:val="003C5B9E"/>
    <w:rsid w:val="003C64B8"/>
    <w:rsid w:val="003D0F4D"/>
    <w:rsid w:val="003D1CF9"/>
    <w:rsid w:val="003D5B0D"/>
    <w:rsid w:val="003E0499"/>
    <w:rsid w:val="003E4F80"/>
    <w:rsid w:val="003E6439"/>
    <w:rsid w:val="003E6646"/>
    <w:rsid w:val="003F3941"/>
    <w:rsid w:val="00406575"/>
    <w:rsid w:val="00414C74"/>
    <w:rsid w:val="00417B5B"/>
    <w:rsid w:val="0042722E"/>
    <w:rsid w:val="00437377"/>
    <w:rsid w:val="0044528D"/>
    <w:rsid w:val="00447D22"/>
    <w:rsid w:val="00466302"/>
    <w:rsid w:val="00466E39"/>
    <w:rsid w:val="004674CF"/>
    <w:rsid w:val="00473BEB"/>
    <w:rsid w:val="004949A7"/>
    <w:rsid w:val="00494C69"/>
    <w:rsid w:val="004A1847"/>
    <w:rsid w:val="004A305D"/>
    <w:rsid w:val="004B2A86"/>
    <w:rsid w:val="004B7D74"/>
    <w:rsid w:val="004D3A8D"/>
    <w:rsid w:val="004D420F"/>
    <w:rsid w:val="004F1B18"/>
    <w:rsid w:val="004F1C0A"/>
    <w:rsid w:val="004F21C4"/>
    <w:rsid w:val="004F685F"/>
    <w:rsid w:val="005154AE"/>
    <w:rsid w:val="00524F5F"/>
    <w:rsid w:val="0053199F"/>
    <w:rsid w:val="005321EF"/>
    <w:rsid w:val="005461C4"/>
    <w:rsid w:val="005566E8"/>
    <w:rsid w:val="00574867"/>
    <w:rsid w:val="00580BC6"/>
    <w:rsid w:val="00585673"/>
    <w:rsid w:val="00585ABC"/>
    <w:rsid w:val="00591460"/>
    <w:rsid w:val="00594CE9"/>
    <w:rsid w:val="00597A19"/>
    <w:rsid w:val="005A65E0"/>
    <w:rsid w:val="005B0452"/>
    <w:rsid w:val="005C3777"/>
    <w:rsid w:val="005C5CDC"/>
    <w:rsid w:val="005C6BC8"/>
    <w:rsid w:val="005D476C"/>
    <w:rsid w:val="005E6B20"/>
    <w:rsid w:val="005F181C"/>
    <w:rsid w:val="00614323"/>
    <w:rsid w:val="006177F8"/>
    <w:rsid w:val="006200BF"/>
    <w:rsid w:val="006219F8"/>
    <w:rsid w:val="006229C7"/>
    <w:rsid w:val="006302F7"/>
    <w:rsid w:val="0064286B"/>
    <w:rsid w:val="00643C60"/>
    <w:rsid w:val="00646B9F"/>
    <w:rsid w:val="00656F96"/>
    <w:rsid w:val="00662D62"/>
    <w:rsid w:val="00665485"/>
    <w:rsid w:val="00665D70"/>
    <w:rsid w:val="00685D1F"/>
    <w:rsid w:val="00686C01"/>
    <w:rsid w:val="006900D9"/>
    <w:rsid w:val="006957C6"/>
    <w:rsid w:val="006A107F"/>
    <w:rsid w:val="006B5828"/>
    <w:rsid w:val="006C04F1"/>
    <w:rsid w:val="006C42DB"/>
    <w:rsid w:val="006D76F7"/>
    <w:rsid w:val="006E2BF4"/>
    <w:rsid w:val="00706C16"/>
    <w:rsid w:val="00721364"/>
    <w:rsid w:val="00727161"/>
    <w:rsid w:val="007317FA"/>
    <w:rsid w:val="007340C3"/>
    <w:rsid w:val="00737DF0"/>
    <w:rsid w:val="0075235A"/>
    <w:rsid w:val="00752490"/>
    <w:rsid w:val="00753727"/>
    <w:rsid w:val="00756841"/>
    <w:rsid w:val="007649AB"/>
    <w:rsid w:val="00771D0C"/>
    <w:rsid w:val="007744FB"/>
    <w:rsid w:val="00777A2E"/>
    <w:rsid w:val="007829E1"/>
    <w:rsid w:val="007833AC"/>
    <w:rsid w:val="0078433B"/>
    <w:rsid w:val="007A153F"/>
    <w:rsid w:val="007B268C"/>
    <w:rsid w:val="007B7171"/>
    <w:rsid w:val="007C0C0F"/>
    <w:rsid w:val="007C219A"/>
    <w:rsid w:val="007C3DC2"/>
    <w:rsid w:val="007D3968"/>
    <w:rsid w:val="007E5497"/>
    <w:rsid w:val="00806F5F"/>
    <w:rsid w:val="00815B83"/>
    <w:rsid w:val="00817856"/>
    <w:rsid w:val="00820169"/>
    <w:rsid w:val="00820278"/>
    <w:rsid w:val="00824114"/>
    <w:rsid w:val="008258C9"/>
    <w:rsid w:val="00826EE8"/>
    <w:rsid w:val="00844AE9"/>
    <w:rsid w:val="00867F95"/>
    <w:rsid w:val="00882C2D"/>
    <w:rsid w:val="008835B4"/>
    <w:rsid w:val="008843B6"/>
    <w:rsid w:val="00891928"/>
    <w:rsid w:val="008934CB"/>
    <w:rsid w:val="00895356"/>
    <w:rsid w:val="008A446D"/>
    <w:rsid w:val="008B104D"/>
    <w:rsid w:val="008B25F1"/>
    <w:rsid w:val="008C571F"/>
    <w:rsid w:val="008C5A84"/>
    <w:rsid w:val="008D180B"/>
    <w:rsid w:val="008D4E1E"/>
    <w:rsid w:val="008E72AF"/>
    <w:rsid w:val="008F0EA7"/>
    <w:rsid w:val="008F327E"/>
    <w:rsid w:val="00923EEF"/>
    <w:rsid w:val="009305DC"/>
    <w:rsid w:val="00932F0E"/>
    <w:rsid w:val="009419F9"/>
    <w:rsid w:val="0095685E"/>
    <w:rsid w:val="00961B09"/>
    <w:rsid w:val="00965334"/>
    <w:rsid w:val="0097093E"/>
    <w:rsid w:val="009803D1"/>
    <w:rsid w:val="00990BF1"/>
    <w:rsid w:val="009A027F"/>
    <w:rsid w:val="009A0DFA"/>
    <w:rsid w:val="009A1234"/>
    <w:rsid w:val="009A1C6F"/>
    <w:rsid w:val="009B2D26"/>
    <w:rsid w:val="009B7652"/>
    <w:rsid w:val="009C71FA"/>
    <w:rsid w:val="009C72E7"/>
    <w:rsid w:val="009C7F7E"/>
    <w:rsid w:val="009D3058"/>
    <w:rsid w:val="009E2500"/>
    <w:rsid w:val="009E6333"/>
    <w:rsid w:val="009F3A13"/>
    <w:rsid w:val="00A07EBF"/>
    <w:rsid w:val="00A1025E"/>
    <w:rsid w:val="00A122D3"/>
    <w:rsid w:val="00A14468"/>
    <w:rsid w:val="00A17F13"/>
    <w:rsid w:val="00A20739"/>
    <w:rsid w:val="00A218FA"/>
    <w:rsid w:val="00A23AF9"/>
    <w:rsid w:val="00A33C78"/>
    <w:rsid w:val="00A50AB4"/>
    <w:rsid w:val="00A63F17"/>
    <w:rsid w:val="00A75D38"/>
    <w:rsid w:val="00A83161"/>
    <w:rsid w:val="00A86E5C"/>
    <w:rsid w:val="00AB0ADB"/>
    <w:rsid w:val="00AB120C"/>
    <w:rsid w:val="00AD47A0"/>
    <w:rsid w:val="00AD67E7"/>
    <w:rsid w:val="00B00C0E"/>
    <w:rsid w:val="00B01B1A"/>
    <w:rsid w:val="00B0381D"/>
    <w:rsid w:val="00B13882"/>
    <w:rsid w:val="00B14F11"/>
    <w:rsid w:val="00B14F36"/>
    <w:rsid w:val="00B44A47"/>
    <w:rsid w:val="00B72CD3"/>
    <w:rsid w:val="00B72FFF"/>
    <w:rsid w:val="00B7443D"/>
    <w:rsid w:val="00B853E0"/>
    <w:rsid w:val="00B944AA"/>
    <w:rsid w:val="00B95ED8"/>
    <w:rsid w:val="00BA1046"/>
    <w:rsid w:val="00BA15D8"/>
    <w:rsid w:val="00BA7A2E"/>
    <w:rsid w:val="00BB46E4"/>
    <w:rsid w:val="00BC3D36"/>
    <w:rsid w:val="00BD54A6"/>
    <w:rsid w:val="00BD7F72"/>
    <w:rsid w:val="00BE0FC4"/>
    <w:rsid w:val="00BF58CD"/>
    <w:rsid w:val="00BF6651"/>
    <w:rsid w:val="00BF7425"/>
    <w:rsid w:val="00C04FB3"/>
    <w:rsid w:val="00C11D8B"/>
    <w:rsid w:val="00C15139"/>
    <w:rsid w:val="00C330EB"/>
    <w:rsid w:val="00C50D69"/>
    <w:rsid w:val="00C5365C"/>
    <w:rsid w:val="00C653B8"/>
    <w:rsid w:val="00C67C8B"/>
    <w:rsid w:val="00C729D3"/>
    <w:rsid w:val="00C754BE"/>
    <w:rsid w:val="00C76B1C"/>
    <w:rsid w:val="00C912E6"/>
    <w:rsid w:val="00C925AC"/>
    <w:rsid w:val="00C946BF"/>
    <w:rsid w:val="00C958D1"/>
    <w:rsid w:val="00CA0E68"/>
    <w:rsid w:val="00CB6357"/>
    <w:rsid w:val="00CC1B26"/>
    <w:rsid w:val="00CC3A80"/>
    <w:rsid w:val="00CD6067"/>
    <w:rsid w:val="00CD734E"/>
    <w:rsid w:val="00CE4589"/>
    <w:rsid w:val="00CE72C3"/>
    <w:rsid w:val="00CF4861"/>
    <w:rsid w:val="00D13C5D"/>
    <w:rsid w:val="00D14E75"/>
    <w:rsid w:val="00D15590"/>
    <w:rsid w:val="00D31EC6"/>
    <w:rsid w:val="00D335B3"/>
    <w:rsid w:val="00D350D3"/>
    <w:rsid w:val="00D361FD"/>
    <w:rsid w:val="00D417C8"/>
    <w:rsid w:val="00D423A2"/>
    <w:rsid w:val="00D439FC"/>
    <w:rsid w:val="00D44E26"/>
    <w:rsid w:val="00D520D8"/>
    <w:rsid w:val="00D53F94"/>
    <w:rsid w:val="00D63AC2"/>
    <w:rsid w:val="00D7383B"/>
    <w:rsid w:val="00D7788A"/>
    <w:rsid w:val="00DA231B"/>
    <w:rsid w:val="00DA5E07"/>
    <w:rsid w:val="00DC39FC"/>
    <w:rsid w:val="00DD0992"/>
    <w:rsid w:val="00DD4531"/>
    <w:rsid w:val="00DE024F"/>
    <w:rsid w:val="00DF3F1B"/>
    <w:rsid w:val="00DF5254"/>
    <w:rsid w:val="00E02524"/>
    <w:rsid w:val="00E16408"/>
    <w:rsid w:val="00E168AE"/>
    <w:rsid w:val="00E20894"/>
    <w:rsid w:val="00E22A1A"/>
    <w:rsid w:val="00E245AB"/>
    <w:rsid w:val="00E2764C"/>
    <w:rsid w:val="00E27F2E"/>
    <w:rsid w:val="00E35083"/>
    <w:rsid w:val="00E5016B"/>
    <w:rsid w:val="00E50AFE"/>
    <w:rsid w:val="00E54809"/>
    <w:rsid w:val="00E56EE8"/>
    <w:rsid w:val="00E60AD8"/>
    <w:rsid w:val="00E75C92"/>
    <w:rsid w:val="00E760D9"/>
    <w:rsid w:val="00E771DC"/>
    <w:rsid w:val="00E8252C"/>
    <w:rsid w:val="00E83930"/>
    <w:rsid w:val="00E83EFE"/>
    <w:rsid w:val="00E8772A"/>
    <w:rsid w:val="00E90AC3"/>
    <w:rsid w:val="00E90F6B"/>
    <w:rsid w:val="00E9292B"/>
    <w:rsid w:val="00E92C27"/>
    <w:rsid w:val="00EA0E3D"/>
    <w:rsid w:val="00EA4B5D"/>
    <w:rsid w:val="00EC38A7"/>
    <w:rsid w:val="00EE1AA8"/>
    <w:rsid w:val="00F04FFA"/>
    <w:rsid w:val="00F163B0"/>
    <w:rsid w:val="00F16BC8"/>
    <w:rsid w:val="00F23FEA"/>
    <w:rsid w:val="00F31A4A"/>
    <w:rsid w:val="00F31EDC"/>
    <w:rsid w:val="00F462B3"/>
    <w:rsid w:val="00F46742"/>
    <w:rsid w:val="00F5664F"/>
    <w:rsid w:val="00F624DD"/>
    <w:rsid w:val="00F666C4"/>
    <w:rsid w:val="00F7339B"/>
    <w:rsid w:val="00F76AFC"/>
    <w:rsid w:val="00FA3E17"/>
    <w:rsid w:val="00FA47C0"/>
    <w:rsid w:val="00FB2271"/>
    <w:rsid w:val="00FB5DD1"/>
    <w:rsid w:val="00FC2B5D"/>
    <w:rsid w:val="00FD63E7"/>
    <w:rsid w:val="00FF1449"/>
    <w:rsid w:val="00FF2047"/>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046"/>
  </w:style>
  <w:style w:type="paragraph" w:styleId="Ttulo2">
    <w:name w:val="heading 2"/>
    <w:basedOn w:val="Normal"/>
    <w:next w:val="Normal"/>
    <w:link w:val="Ttulo2Car"/>
    <w:uiPriority w:val="9"/>
    <w:unhideWhenUsed/>
    <w:qFormat/>
    <w:rsid w:val="004B2A8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 w:type="character" w:customStyle="1" w:styleId="Ttulo2Car">
    <w:name w:val="Título 2 Car"/>
    <w:basedOn w:val="Fuentedeprrafopredeter"/>
    <w:link w:val="Ttulo2"/>
    <w:uiPriority w:val="9"/>
    <w:rsid w:val="004B2A86"/>
    <w:rPr>
      <w:rFonts w:asciiTheme="majorHAnsi" w:eastAsiaTheme="majorEastAsia" w:hAnsiTheme="majorHAnsi" w:cstheme="majorBidi"/>
      <w:color w:val="2F5496" w:themeColor="accent1" w:themeShade="BF"/>
      <w:sz w:val="26"/>
      <w:szCs w:val="26"/>
    </w:rPr>
  </w:style>
  <w:style w:type="character" w:styleId="nfasis">
    <w:name w:val="Emphasis"/>
    <w:uiPriority w:val="20"/>
    <w:qFormat/>
    <w:rsid w:val="000F34E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75232249">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998193342">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rconiosp@yahoo.com"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219049-DE8A-44C6-8842-2500555DBF06}">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8A49792-8D30-4F86-9F41-22A06F7B7A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25</TotalTime>
  <Pages>31</Pages>
  <Words>11205</Words>
  <Characters>59836</Characters>
  <Application>Microsoft Office Word</Application>
  <DocSecurity>0</DocSecurity>
  <Lines>1128</Lines>
  <Paragraphs>192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2026-02-06T11:11:00Z</dcterms:created>
  <dcterms:modified xsi:type="dcterms:W3CDTF">2026-02-10T15:57:00Z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