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404E4" w14:textId="77777777" w:rsidR="00F76CA5" w:rsidRPr="00D337FB" w:rsidRDefault="00F76CA5" w:rsidP="00F76CA5">
      <w:pPr>
        <w:pStyle w:val="paragraph"/>
        <w:spacing w:before="0" w:beforeAutospacing="0" w:after="0" w:afterAutospacing="0"/>
        <w:jc w:val="both"/>
        <w:textAlignment w:val="baseline"/>
        <w:rPr>
          <w:rFonts w:ascii="Verdana" w:hAnsi="Verdana" w:cs="Arial"/>
          <w:sz w:val="22"/>
          <w:szCs w:val="22"/>
        </w:rPr>
      </w:pPr>
      <w:bookmarkStart w:id="0" w:name="_Hlk143780582"/>
      <w:r w:rsidRPr="00D337FB">
        <w:rPr>
          <w:rStyle w:val="normaltextrun"/>
          <w:rFonts w:ascii="Verdana" w:hAnsi="Verdana" w:cs="Arial"/>
          <w:b/>
          <w:bCs/>
          <w:sz w:val="22"/>
          <w:szCs w:val="22"/>
          <w:lang w:val="es-MX"/>
        </w:rPr>
        <w:t>LEY DE GARANTÍAS ELECTORALES ‒ Finalidad</w:t>
      </w:r>
      <w:r w:rsidRPr="00D337FB">
        <w:rPr>
          <w:rStyle w:val="eop"/>
          <w:rFonts w:ascii="Verdana" w:hAnsi="Verdana" w:cs="Arial"/>
          <w:sz w:val="22"/>
          <w:szCs w:val="22"/>
        </w:rPr>
        <w:t> </w:t>
      </w:r>
    </w:p>
    <w:p w14:paraId="196C7F43"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725AFE69" w14:textId="18348C5B"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normaltextrun"/>
          <w:rFonts w:ascii="Verdana" w:hAnsi="Verdana" w:cs="Arial"/>
          <w:sz w:val="20"/>
          <w:szCs w:val="20"/>
          <w:lang w:val="es-ES"/>
        </w:rPr>
        <w:t xml:space="preserve">[…] </w:t>
      </w:r>
      <w:r w:rsidRPr="00480A95">
        <w:rPr>
          <w:rStyle w:val="normaltextrun"/>
          <w:rFonts w:ascii="Verdana" w:hAnsi="Verdana" w:cs="Arial"/>
          <w:sz w:val="20"/>
          <w:szCs w:val="20"/>
          <w:lang w:val="es-MX"/>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80A95">
        <w:rPr>
          <w:rStyle w:val="eop"/>
          <w:rFonts w:ascii="Verdana" w:hAnsi="Verdana" w:cs="Arial"/>
          <w:sz w:val="20"/>
          <w:szCs w:val="20"/>
        </w:rPr>
        <w:t> </w:t>
      </w:r>
    </w:p>
    <w:p w14:paraId="27DEF084"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2EBDC0DC" w14:textId="77777777" w:rsidR="00F76CA5" w:rsidRPr="00D337FB" w:rsidRDefault="00F76CA5" w:rsidP="00F76CA5">
      <w:pPr>
        <w:pStyle w:val="paragraph"/>
        <w:spacing w:before="0" w:beforeAutospacing="0" w:after="0" w:afterAutospacing="0"/>
        <w:jc w:val="both"/>
        <w:textAlignment w:val="baseline"/>
        <w:rPr>
          <w:rFonts w:ascii="Verdana" w:hAnsi="Verdana" w:cs="Arial"/>
          <w:sz w:val="22"/>
          <w:szCs w:val="22"/>
        </w:rPr>
      </w:pPr>
      <w:r w:rsidRPr="00D337FB">
        <w:rPr>
          <w:rStyle w:val="normaltextrun"/>
          <w:rFonts w:ascii="Verdana" w:hAnsi="Verdana" w:cs="Arial"/>
          <w:b/>
          <w:bCs/>
          <w:sz w:val="22"/>
          <w:szCs w:val="22"/>
          <w:lang w:val="es-MX"/>
        </w:rPr>
        <w:t xml:space="preserve">LEY DE GARANTÍAS ELECTORALES ‒ Tipos de restricciones ‒ Ámbito temporal </w:t>
      </w:r>
      <w:r w:rsidRPr="00D337FB">
        <w:rPr>
          <w:rStyle w:val="eop"/>
          <w:rFonts w:ascii="Verdana" w:hAnsi="Verdana" w:cs="Arial"/>
          <w:sz w:val="22"/>
          <w:szCs w:val="22"/>
        </w:rPr>
        <w:t> </w:t>
      </w:r>
    </w:p>
    <w:p w14:paraId="409C87A5"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500CA8F8"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normaltextrun"/>
          <w:rFonts w:ascii="Verdana" w:hAnsi="Verdana" w:cs="Arial"/>
          <w:sz w:val="20"/>
          <w:szCs w:val="20"/>
          <w:lang w:val="es-ES"/>
        </w:rPr>
        <w:t xml:space="preserve">[…] la Ley 996 de 2005 establece dos (2) tipos de restricciones en materia de contratación, las cuales coinciden parcialmente. </w:t>
      </w:r>
      <w:r w:rsidRPr="00480A95">
        <w:rPr>
          <w:rStyle w:val="normaltextrun"/>
          <w:rFonts w:ascii="Verdana" w:hAnsi="Verdana" w:cs="Arial"/>
          <w:i/>
          <w:iCs/>
          <w:sz w:val="20"/>
          <w:szCs w:val="20"/>
          <w:lang w:val="es-ES"/>
        </w:rPr>
        <w:t>En primer lugar</w:t>
      </w:r>
      <w:r w:rsidRPr="00480A95">
        <w:rPr>
          <w:rStyle w:val="normaltextrun"/>
          <w:rFonts w:ascii="Verdana" w:hAnsi="Verdana" w:cs="Arial"/>
          <w:sz w:val="20"/>
          <w:szCs w:val="20"/>
          <w:lang w:val="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80A95">
        <w:rPr>
          <w:rStyle w:val="normaltextrun"/>
          <w:rFonts w:ascii="Verdana" w:hAnsi="Verdana" w:cs="Arial"/>
          <w:i/>
          <w:iCs/>
          <w:sz w:val="20"/>
          <w:szCs w:val="20"/>
          <w:lang w:val="es-ES"/>
        </w:rPr>
        <w:t>En segundo lugar</w:t>
      </w:r>
      <w:r w:rsidRPr="00480A95">
        <w:rPr>
          <w:rStyle w:val="normaltextrun"/>
          <w:rFonts w:ascii="Verdana" w:hAnsi="Verdana" w:cs="Arial"/>
          <w:sz w:val="20"/>
          <w:szCs w:val="20"/>
          <w:lang w:val="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480A95">
        <w:rPr>
          <w:rStyle w:val="eop"/>
          <w:rFonts w:ascii="Verdana" w:hAnsi="Verdana" w:cs="Arial"/>
          <w:sz w:val="20"/>
          <w:szCs w:val="20"/>
        </w:rPr>
        <w:t> </w:t>
      </w:r>
    </w:p>
    <w:p w14:paraId="10BB1EBE" w14:textId="77777777" w:rsidR="00F76CA5" w:rsidRPr="00480A95" w:rsidRDefault="00F76CA5" w:rsidP="00F76CA5">
      <w:pPr>
        <w:pStyle w:val="paragraph"/>
        <w:spacing w:before="0" w:beforeAutospacing="0" w:after="0" w:afterAutospacing="0"/>
        <w:jc w:val="both"/>
        <w:textAlignment w:val="baseline"/>
        <w:rPr>
          <w:rFonts w:ascii="Verdana" w:hAnsi="Verdana" w:cs="Arial"/>
          <w:sz w:val="20"/>
          <w:szCs w:val="20"/>
        </w:rPr>
      </w:pPr>
      <w:r w:rsidRPr="00480A95">
        <w:rPr>
          <w:rStyle w:val="eop"/>
          <w:rFonts w:ascii="Verdana" w:hAnsi="Verdana" w:cs="Arial"/>
          <w:sz w:val="20"/>
          <w:szCs w:val="20"/>
        </w:rPr>
        <w:t> </w:t>
      </w:r>
    </w:p>
    <w:p w14:paraId="75972108" w14:textId="77777777" w:rsidR="00F76CA5" w:rsidRPr="00D337FB" w:rsidRDefault="00F76CA5" w:rsidP="00F76CA5">
      <w:pPr>
        <w:pStyle w:val="paragraph"/>
        <w:spacing w:before="0" w:beforeAutospacing="0" w:after="0" w:afterAutospacing="0"/>
        <w:jc w:val="both"/>
        <w:textAlignment w:val="baseline"/>
        <w:rPr>
          <w:rFonts w:ascii="Verdana" w:hAnsi="Verdana" w:cs="Arial"/>
          <w:sz w:val="22"/>
          <w:szCs w:val="22"/>
        </w:rPr>
      </w:pPr>
      <w:r w:rsidRPr="00D337FB">
        <w:rPr>
          <w:rStyle w:val="normaltextrun"/>
          <w:rFonts w:ascii="Verdana" w:hAnsi="Verdana" w:cs="Arial"/>
          <w:b/>
          <w:bCs/>
          <w:sz w:val="22"/>
          <w:szCs w:val="22"/>
          <w:lang w:val="es-MX"/>
        </w:rPr>
        <w:t>LEY DE GARANTÍAS ELECTORALES ‒ Prohibición por elección de cargos populares – Convenios y contratos interadministrativos – Definición – Criterio orgánico</w:t>
      </w:r>
      <w:r w:rsidRPr="00D337FB">
        <w:rPr>
          <w:rStyle w:val="eop"/>
          <w:rFonts w:ascii="Verdana" w:hAnsi="Verdana" w:cs="Arial"/>
          <w:sz w:val="22"/>
          <w:szCs w:val="22"/>
        </w:rPr>
        <w:t> </w:t>
      </w:r>
    </w:p>
    <w:p w14:paraId="41DB3115" w14:textId="77777777" w:rsidR="00F76CA5" w:rsidRPr="00480A95" w:rsidRDefault="00F76CA5" w:rsidP="00F76CA5">
      <w:pPr>
        <w:pStyle w:val="paragraph"/>
        <w:spacing w:before="0" w:beforeAutospacing="0" w:after="0" w:afterAutospacing="0"/>
        <w:jc w:val="both"/>
        <w:textAlignment w:val="baseline"/>
        <w:rPr>
          <w:rStyle w:val="normaltextrun"/>
          <w:rFonts w:ascii="Verdana" w:hAnsi="Verdana"/>
          <w:lang w:val="es-ES"/>
        </w:rPr>
      </w:pPr>
      <w:r w:rsidRPr="00480A95">
        <w:rPr>
          <w:rStyle w:val="normaltextrun"/>
          <w:rFonts w:ascii="Verdana" w:hAnsi="Verdana"/>
          <w:lang w:val="es-ES"/>
        </w:rPr>
        <w:t> </w:t>
      </w:r>
    </w:p>
    <w:p w14:paraId="10F6D22A" w14:textId="77777777" w:rsidR="00F76CA5" w:rsidRPr="00480A95" w:rsidRDefault="00F76CA5" w:rsidP="00F76CA5">
      <w:pPr>
        <w:spacing w:after="120" w:line="240" w:lineRule="auto"/>
        <w:jc w:val="both"/>
        <w:rPr>
          <w:rStyle w:val="normaltextrun"/>
          <w:rFonts w:ascii="Verdana" w:eastAsia="Times New Roman" w:hAnsi="Verdana" w:cs="Arial"/>
          <w:sz w:val="20"/>
          <w:szCs w:val="20"/>
          <w:lang w:val="es-ES" w:eastAsia="es-CO"/>
        </w:rPr>
      </w:pPr>
      <w:r w:rsidRPr="00480A95">
        <w:rPr>
          <w:rStyle w:val="normaltextrun"/>
          <w:rFonts w:ascii="Verdana" w:eastAsia="Times New Roman" w:hAnsi="Verdana" w:cs="Arial"/>
          <w:sz w:val="20"/>
          <w:szCs w:val="20"/>
          <w:lang w:val="es-ES" w:eastAsia="es-CO"/>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7E95F6F" w14:textId="6602AAD5" w:rsidR="00F76CA5" w:rsidRDefault="00F76CA5" w:rsidP="00E3285D">
      <w:pPr>
        <w:spacing w:after="240" w:line="240" w:lineRule="auto"/>
        <w:jc w:val="both"/>
        <w:rPr>
          <w:rStyle w:val="normaltextrun"/>
          <w:rFonts w:ascii="Verdana" w:eastAsia="Times New Roman" w:hAnsi="Verdana" w:cs="Arial"/>
          <w:sz w:val="20"/>
          <w:szCs w:val="20"/>
          <w:lang w:val="es-ES" w:eastAsia="es-CO"/>
        </w:rPr>
      </w:pPr>
      <w:r w:rsidRPr="00480A95">
        <w:rPr>
          <w:rStyle w:val="normaltextrun"/>
          <w:rFonts w:ascii="Verdana" w:eastAsia="Times New Roman" w:hAnsi="Verdana" w:cs="Arial"/>
          <w:sz w:val="20"/>
          <w:szCs w:val="20"/>
          <w:lang w:val="es-ES" w:eastAsia="es-CO"/>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w:t>
      </w:r>
      <w:r w:rsidRPr="00480A95">
        <w:rPr>
          <w:rStyle w:val="normaltextrun"/>
          <w:rFonts w:ascii="Verdana" w:eastAsia="Times New Roman" w:hAnsi="Verdana" w:cs="Arial"/>
          <w:sz w:val="20"/>
          <w:szCs w:val="20"/>
          <w:lang w:val="es-ES" w:eastAsia="es-CO"/>
        </w:rPr>
        <w:lastRenderedPageBreak/>
        <w:t>municipio – bien puede celebrar esta clase de convenios con una Entidad Estatal de régimen especial y no por ello dejará de ser un contrato o convenio interadministrativo</w:t>
      </w:r>
      <w:r w:rsidR="00E3285D">
        <w:rPr>
          <w:rStyle w:val="normaltextrun"/>
          <w:rFonts w:ascii="Verdana" w:eastAsia="Times New Roman" w:hAnsi="Verdana" w:cs="Arial"/>
          <w:sz w:val="20"/>
          <w:szCs w:val="20"/>
          <w:lang w:val="es-ES" w:eastAsia="es-CO"/>
        </w:rPr>
        <w:t>.</w:t>
      </w:r>
    </w:p>
    <w:p w14:paraId="4FE673D3" w14:textId="77777777" w:rsidR="00E3285D" w:rsidRPr="00D337FB" w:rsidRDefault="00E3285D" w:rsidP="00E3285D">
      <w:pPr>
        <w:spacing w:line="240" w:lineRule="auto"/>
        <w:jc w:val="both"/>
        <w:rPr>
          <w:rFonts w:ascii="Verdana" w:eastAsia="Calibri" w:hAnsi="Verdana" w:cs="Arial"/>
          <w:color w:val="000000" w:themeColor="text1"/>
        </w:rPr>
      </w:pPr>
      <w:r w:rsidRPr="00D337FB">
        <w:rPr>
          <w:rFonts w:ascii="Verdana" w:eastAsia="Calibri" w:hAnsi="Verdana" w:cs="Arial"/>
          <w:b/>
          <w:color w:val="000000" w:themeColor="text1"/>
        </w:rPr>
        <w:t xml:space="preserve">ACTIVIDADES DE CIENCIA, TECNOLOGÍA E INNOVACIÓN – Regulación </w:t>
      </w:r>
    </w:p>
    <w:p w14:paraId="56F649E8" w14:textId="77777777" w:rsidR="00E3285D" w:rsidRPr="00480A95" w:rsidRDefault="00E3285D" w:rsidP="00E3285D">
      <w:pPr>
        <w:spacing w:line="240" w:lineRule="auto"/>
        <w:jc w:val="both"/>
        <w:rPr>
          <w:rFonts w:ascii="Verdana" w:eastAsia="Calibri" w:hAnsi="Verdana" w:cs="Arial"/>
          <w:color w:val="000000" w:themeColor="text1"/>
          <w:sz w:val="20"/>
          <w:szCs w:val="20"/>
        </w:rPr>
      </w:pPr>
      <w:r w:rsidRPr="00480A95">
        <w:rPr>
          <w:rFonts w:ascii="Verdana" w:eastAsia="Calibri" w:hAnsi="Verdana" w:cs="Arial"/>
          <w:color w:val="000000" w:themeColor="text1"/>
          <w:sz w:val="20"/>
          <w:szCs w:val="20"/>
        </w:rPr>
        <w:t xml:space="preserve">Las actividades de ciencia, tecnología e innovación están previstas en cuatro cuerpos normativos, que se sintetizan de la siguiente manera: i) el Decreto Ley 393 de 1991, que prevé dos formas de asociación para que las entidades ejecuten actividades científicas y tecnológicas, proyectos de investigación y creación de tecnologías: a) crear personas jurídicas civiles, comerciales y sin ánimo de lucro y b) celebrar convenios especiales de cooperación. ii) El Decreto Ley 591 de 1991, que enlista actividades científicas y tecnológicas y, a pesar de que su propósito principal era regular las modalidades específicas de contratos de fomento de esas actividades, con la derogatoria del artículo 7 que señalaba 10 tipos de contratos, actualmente se encuentran vigentes 3: a) contratos de financiamiento, b) contratos de administración de proyectos y c) convenios especiales de cooperación. iii) La Ley 1286 de 2009. Y iv) el Documento CONPES 3582 de 2009, donde se define cuáles son estas actividades de los actores del Sistema Nacional de Ciencia, Tecnología e Innovación. </w:t>
      </w:r>
    </w:p>
    <w:p w14:paraId="6A816247" w14:textId="12A3FC57" w:rsidR="0028553B" w:rsidRDefault="00D337FB" w:rsidP="0028553B">
      <w:pPr>
        <w:spacing w:after="240" w:line="240" w:lineRule="auto"/>
        <w:jc w:val="both"/>
        <w:rPr>
          <w:rFonts w:ascii="Verdana" w:eastAsia="Times New Roman" w:hAnsi="Verdana" w:cs="Arial"/>
          <w:b/>
          <w:bCs/>
          <w:lang w:eastAsia="es-CO"/>
        </w:rPr>
      </w:pPr>
      <w:r w:rsidRPr="00D337FB">
        <w:rPr>
          <w:rFonts w:ascii="Verdana" w:eastAsia="Times New Roman" w:hAnsi="Verdana" w:cs="Arial"/>
          <w:b/>
          <w:bCs/>
          <w:lang w:eastAsia="es-CO"/>
        </w:rPr>
        <w:t xml:space="preserve">CONTRATACIÓN ESTATAL </w:t>
      </w:r>
      <w:r w:rsidR="002A4ED0" w:rsidRPr="002A4ED0">
        <w:rPr>
          <w:rFonts w:ascii="Verdana" w:eastAsia="Times New Roman" w:hAnsi="Verdana" w:cs="Arial"/>
          <w:b/>
          <w:bCs/>
          <w:lang w:val="es-ES" w:eastAsia="es-CO"/>
        </w:rPr>
        <w:t>–</w:t>
      </w:r>
      <w:r w:rsidRPr="00D337FB">
        <w:rPr>
          <w:rFonts w:ascii="Verdana" w:eastAsia="Times New Roman" w:hAnsi="Verdana" w:cs="Arial"/>
          <w:b/>
          <w:bCs/>
          <w:lang w:eastAsia="es-CO"/>
        </w:rPr>
        <w:t xml:space="preserve"> Aplicación de la ley 996 de 2005 </w:t>
      </w:r>
      <w:r w:rsidR="002A4ED0" w:rsidRPr="002A4ED0">
        <w:rPr>
          <w:rFonts w:ascii="Verdana" w:eastAsia="Times New Roman" w:hAnsi="Verdana" w:cs="Arial"/>
          <w:b/>
          <w:bCs/>
          <w:lang w:val="es-ES" w:eastAsia="es-CO"/>
        </w:rPr>
        <w:t>–</w:t>
      </w:r>
      <w:r w:rsidR="002A4ED0">
        <w:rPr>
          <w:rFonts w:ascii="Verdana" w:eastAsia="Times New Roman" w:hAnsi="Verdana" w:cs="Arial"/>
          <w:b/>
          <w:bCs/>
          <w:lang w:val="es-ES" w:eastAsia="es-CO"/>
        </w:rPr>
        <w:t xml:space="preserve"> </w:t>
      </w:r>
      <w:r w:rsidRPr="00D337FB">
        <w:rPr>
          <w:rFonts w:ascii="Verdana" w:eastAsia="Times New Roman" w:hAnsi="Verdana" w:cs="Arial"/>
          <w:b/>
          <w:bCs/>
          <w:lang w:eastAsia="es-CO"/>
        </w:rPr>
        <w:t>Contratos de fomento o financiación de actividades científicas y tecnológicas</w:t>
      </w:r>
    </w:p>
    <w:p w14:paraId="67D3CBAA" w14:textId="288B7292" w:rsidR="00195892" w:rsidRPr="00B8325E" w:rsidRDefault="00F40262" w:rsidP="00B8325E">
      <w:pPr>
        <w:spacing w:after="120" w:line="240" w:lineRule="auto"/>
        <w:jc w:val="both"/>
        <w:rPr>
          <w:rStyle w:val="normaltextrun"/>
          <w:rFonts w:ascii="Verdana" w:hAnsi="Verdana" w:cs="Arial"/>
          <w:sz w:val="20"/>
          <w:szCs w:val="20"/>
          <w:lang w:val="es-ES"/>
        </w:rPr>
      </w:pPr>
      <w:r w:rsidRPr="00480A95">
        <w:rPr>
          <w:rStyle w:val="normaltextrun"/>
          <w:rFonts w:ascii="Verdana" w:hAnsi="Verdana" w:cs="Arial"/>
          <w:sz w:val="20"/>
          <w:szCs w:val="20"/>
          <w:lang w:val="es-ES"/>
        </w:rPr>
        <w:t>[…]</w:t>
      </w:r>
      <w:r w:rsidR="00B8325E">
        <w:rPr>
          <w:rStyle w:val="normaltextrun"/>
          <w:rFonts w:ascii="Verdana" w:hAnsi="Verdana" w:cs="Arial"/>
          <w:sz w:val="20"/>
          <w:szCs w:val="20"/>
          <w:lang w:val="es-ES"/>
        </w:rPr>
        <w:t xml:space="preserve"> </w:t>
      </w:r>
      <w:r w:rsidR="002E56E7" w:rsidRPr="002E56E7">
        <w:rPr>
          <w:rFonts w:ascii="Verdana" w:eastAsia="Times New Roman" w:hAnsi="Verdana" w:cs="Arial"/>
          <w:sz w:val="20"/>
          <w:szCs w:val="20"/>
          <w:lang w:eastAsia="es-CO"/>
        </w:rPr>
        <w:t>Una interpretación sistemática de los artículos 4 num. 5 y 33 de la ley 1286, lleva a sostener que en los contratos cuyo objeto es la realización de actividades de ciencia y tecnología, la modalidad de selección aplicable es la contratación directa, la cual puede instrumentarse mediante convocatorias públicas que permitan pluralidad de ofertas y concurrencia de oferentes con miras a realizar el principio de selección objetiva ínsito en la contratación pública. Es menester concluir que en los contratos de ciencia y tecnología no podrá acudirse a la modalidad de contratación directa dentro del ámbito temporal en que la prohibición prevista en el artículo 33 de la ley estatutaria 996 de 2005 produce sus efectos jurídicos, en atención a que la prohibición temporal contenida en ésta se aplica también a los contratos de derecho público de ciencia y tecnología.</w:t>
      </w:r>
      <w:r w:rsidR="00B8325E" w:rsidRPr="00B8325E">
        <w:rPr>
          <w:rStyle w:val="normaltextrun"/>
          <w:rFonts w:ascii="Verdana" w:hAnsi="Verdana" w:cs="Arial"/>
          <w:sz w:val="20"/>
          <w:szCs w:val="20"/>
          <w:lang w:val="es-ES"/>
        </w:rPr>
        <w:t xml:space="preserve"> </w:t>
      </w:r>
      <w:r w:rsidR="00B8325E" w:rsidRPr="00480A95">
        <w:rPr>
          <w:rStyle w:val="normaltextrun"/>
          <w:rFonts w:ascii="Verdana" w:hAnsi="Verdana" w:cs="Arial"/>
          <w:sz w:val="20"/>
          <w:szCs w:val="20"/>
          <w:lang w:val="es-ES"/>
        </w:rPr>
        <w:t>[…]</w:t>
      </w:r>
    </w:p>
    <w:p w14:paraId="743EAF9B" w14:textId="77777777" w:rsidR="003704ED" w:rsidRDefault="003704ED" w:rsidP="00195892">
      <w:pPr>
        <w:rPr>
          <w:rStyle w:val="normaltextrun"/>
          <w:rFonts w:ascii="Verdana" w:eastAsia="Times New Roman" w:hAnsi="Verdana" w:cs="Arial"/>
          <w:sz w:val="20"/>
          <w:szCs w:val="20"/>
          <w:lang w:val="es-ES" w:eastAsia="es-CO"/>
        </w:rPr>
      </w:pPr>
    </w:p>
    <w:p w14:paraId="71EF815C" w14:textId="77777777" w:rsidR="00B8325E" w:rsidRDefault="00B8325E" w:rsidP="00195892">
      <w:pPr>
        <w:rPr>
          <w:rStyle w:val="normaltextrun"/>
          <w:rFonts w:ascii="Verdana" w:eastAsia="Times New Roman" w:hAnsi="Verdana" w:cs="Arial"/>
          <w:sz w:val="20"/>
          <w:szCs w:val="20"/>
          <w:lang w:val="es-ES" w:eastAsia="es-CO"/>
        </w:rPr>
      </w:pPr>
    </w:p>
    <w:p w14:paraId="7324A3B3" w14:textId="77777777" w:rsidR="00B8325E" w:rsidRDefault="00B8325E" w:rsidP="00195892">
      <w:pPr>
        <w:rPr>
          <w:rStyle w:val="normaltextrun"/>
          <w:rFonts w:ascii="Verdana" w:eastAsia="Times New Roman" w:hAnsi="Verdana" w:cs="Arial"/>
          <w:sz w:val="20"/>
          <w:szCs w:val="20"/>
          <w:lang w:val="es-ES" w:eastAsia="es-CO"/>
        </w:rPr>
      </w:pPr>
    </w:p>
    <w:p w14:paraId="6F26175A" w14:textId="77777777" w:rsidR="00B8325E" w:rsidRDefault="00B8325E" w:rsidP="00195892">
      <w:pPr>
        <w:rPr>
          <w:rStyle w:val="normaltextrun"/>
          <w:rFonts w:ascii="Verdana" w:eastAsia="Times New Roman" w:hAnsi="Verdana" w:cs="Arial"/>
          <w:sz w:val="20"/>
          <w:szCs w:val="20"/>
          <w:lang w:val="es-ES" w:eastAsia="es-CO"/>
        </w:rPr>
      </w:pPr>
    </w:p>
    <w:p w14:paraId="6EFF858A" w14:textId="77777777" w:rsidR="00B8325E" w:rsidRDefault="00B8325E" w:rsidP="00195892">
      <w:pPr>
        <w:rPr>
          <w:rStyle w:val="normaltextrun"/>
          <w:rFonts w:ascii="Verdana" w:eastAsia="Times New Roman" w:hAnsi="Verdana" w:cs="Arial"/>
          <w:sz w:val="20"/>
          <w:szCs w:val="20"/>
          <w:lang w:val="es-ES" w:eastAsia="es-CO"/>
        </w:rPr>
      </w:pPr>
    </w:p>
    <w:p w14:paraId="790F2532" w14:textId="77777777" w:rsidR="00B8325E" w:rsidRDefault="00B8325E" w:rsidP="00195892">
      <w:pPr>
        <w:rPr>
          <w:rStyle w:val="normaltextrun"/>
          <w:rFonts w:ascii="Verdana" w:eastAsia="Times New Roman" w:hAnsi="Verdana" w:cs="Arial"/>
          <w:sz w:val="20"/>
          <w:szCs w:val="20"/>
          <w:lang w:val="es-ES" w:eastAsia="es-CO"/>
        </w:rPr>
      </w:pPr>
    </w:p>
    <w:p w14:paraId="518CE572" w14:textId="77777777" w:rsidR="00B8325E" w:rsidRDefault="00B8325E" w:rsidP="00195892">
      <w:pPr>
        <w:rPr>
          <w:rStyle w:val="normaltextrun"/>
          <w:rFonts w:ascii="Verdana" w:eastAsia="Times New Roman" w:hAnsi="Verdana" w:cs="Arial"/>
          <w:sz w:val="20"/>
          <w:szCs w:val="20"/>
          <w:lang w:val="es-ES" w:eastAsia="es-CO"/>
        </w:rPr>
      </w:pPr>
    </w:p>
    <w:p w14:paraId="03978E40" w14:textId="77777777" w:rsidR="00E957AA" w:rsidRDefault="00E957AA" w:rsidP="00DE0DDD">
      <w:pPr>
        <w:rPr>
          <w:rFonts w:ascii="Verdana" w:hAnsi="Verdana"/>
        </w:rPr>
      </w:pPr>
    </w:p>
    <w:p w14:paraId="2509B655" w14:textId="2992E63D" w:rsidR="00DE0DDD" w:rsidRDefault="00DE0DDD" w:rsidP="00DE0DDD">
      <w:pPr>
        <w:rPr>
          <w:rFonts w:ascii="Verdana" w:hAnsi="Verdana"/>
        </w:rPr>
      </w:pPr>
      <w:r w:rsidRPr="00480A95">
        <w:rPr>
          <w:rFonts w:ascii="Verdana" w:hAnsi="Verdana"/>
        </w:rPr>
        <w:lastRenderedPageBreak/>
        <w:t xml:space="preserve">Bogotá D.C., </w:t>
      </w:r>
      <w:r w:rsidR="00B364AA">
        <w:rPr>
          <w:rFonts w:ascii="Verdana" w:eastAsia="Geomanist Light" w:hAnsi="Verdana" w:cs="Arial"/>
          <w:color w:val="201F1E"/>
          <w:lang w:val="es-MX"/>
        </w:rPr>
        <w:t>12 de febrero de 2026</w:t>
      </w:r>
    </w:p>
    <w:p w14:paraId="00A4AFA1" w14:textId="58DB2529" w:rsidR="00DE0DDD" w:rsidRPr="00480A95" w:rsidRDefault="00B364AA" w:rsidP="00DE0DDD">
      <w:pPr>
        <w:jc w:val="right"/>
        <w:rPr>
          <w:rFonts w:ascii="Verdana" w:eastAsia="Times New Roman" w:hAnsi="Verdana" w:cs="Arial"/>
          <w:sz w:val="20"/>
          <w:szCs w:val="20"/>
          <w:lang w:val="es-ES" w:eastAsia="es-CO"/>
        </w:rPr>
      </w:pPr>
      <w:r w:rsidRPr="00B364AA">
        <w:rPr>
          <w:rFonts w:ascii="Verdana" w:hAnsi="Verdana"/>
          <w:noProof/>
        </w:rPr>
        <w:drawing>
          <wp:anchor distT="0" distB="0" distL="114300" distR="114300" simplePos="0" relativeHeight="251658240" behindDoc="0" locked="0" layoutInCell="1" allowOverlap="1" wp14:anchorId="6A2D8A1B" wp14:editId="08CB3FCA">
            <wp:simplePos x="0" y="0"/>
            <wp:positionH relativeFrom="column">
              <wp:posOffset>2919095</wp:posOffset>
            </wp:positionH>
            <wp:positionV relativeFrom="paragraph">
              <wp:posOffset>153670</wp:posOffset>
            </wp:positionV>
            <wp:extent cx="2603500" cy="739140"/>
            <wp:effectExtent l="0" t="0" r="6350" b="3810"/>
            <wp:wrapSquare wrapText="bothSides"/>
            <wp:docPr id="28855489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55489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03500" cy="739140"/>
                    </a:xfrm>
                    <a:prstGeom prst="rect">
                      <a:avLst/>
                    </a:prstGeom>
                  </pic:spPr>
                </pic:pic>
              </a:graphicData>
            </a:graphic>
            <wp14:sizeRelH relativeFrom="margin">
              <wp14:pctWidth>0</wp14:pctWidth>
            </wp14:sizeRelH>
            <wp14:sizeRelV relativeFrom="margin">
              <wp14:pctHeight>0</wp14:pctHeight>
            </wp14:sizeRelV>
          </wp:anchor>
        </w:drawing>
      </w:r>
      <w:r w:rsidR="00DE0DDD" w:rsidRPr="00480A95">
        <w:rPr>
          <w:rFonts w:ascii="Verdana" w:hAnsi="Verdana"/>
        </w:rPr>
        <w:tab/>
      </w:r>
    </w:p>
    <w:p w14:paraId="48F2514F" w14:textId="77777777" w:rsidR="00DE0DDD" w:rsidRPr="00480A95" w:rsidRDefault="00DE0DDD" w:rsidP="00DE0DDD">
      <w:pPr>
        <w:spacing w:after="0"/>
        <w:rPr>
          <w:rFonts w:ascii="Verdana" w:hAnsi="Verdana"/>
        </w:rPr>
      </w:pPr>
      <w:r>
        <w:rPr>
          <w:rFonts w:ascii="Verdana" w:eastAsia="Calibri" w:hAnsi="Verdana" w:cs="Arial"/>
          <w:color w:val="000000" w:themeColor="text1"/>
          <w:lang w:val="es-ES" w:eastAsia="es-ES"/>
        </w:rPr>
        <w:t>Señora</w:t>
      </w:r>
    </w:p>
    <w:p w14:paraId="132628C8" w14:textId="77777777" w:rsidR="00DE0DDD" w:rsidRPr="00D17547" w:rsidRDefault="00DE0DDD" w:rsidP="00DE0DDD">
      <w:pPr>
        <w:spacing w:after="0" w:line="240" w:lineRule="auto"/>
        <w:jc w:val="both"/>
        <w:rPr>
          <w:rFonts w:ascii="Verdana" w:hAnsi="Verdana"/>
          <w:b/>
          <w:bCs/>
        </w:rPr>
      </w:pPr>
      <w:r w:rsidRPr="00D17547">
        <w:rPr>
          <w:rFonts w:ascii="Verdana" w:hAnsi="Verdana"/>
          <w:b/>
          <w:bCs/>
        </w:rPr>
        <w:t>Andrea Julieth Monroy Altuzarra</w:t>
      </w:r>
    </w:p>
    <w:p w14:paraId="39F740DF" w14:textId="77777777" w:rsidR="00DE0DDD" w:rsidRDefault="00DE0DDD" w:rsidP="00DE0DDD">
      <w:pPr>
        <w:spacing w:after="0" w:line="240" w:lineRule="auto"/>
        <w:rPr>
          <w:rFonts w:ascii="Verdana" w:eastAsia="Calibri" w:hAnsi="Verdana" w:cs="Arial"/>
          <w:color w:val="000000" w:themeColor="text1"/>
          <w:lang w:eastAsia="es-ES"/>
        </w:rPr>
      </w:pPr>
      <w:hyperlink r:id="rId12" w:history="1">
        <w:r w:rsidRPr="006955F4">
          <w:rPr>
            <w:rStyle w:val="Hipervnculo"/>
            <w:rFonts w:ascii="Verdana" w:eastAsia="Calibri" w:hAnsi="Verdana" w:cs="Arial"/>
            <w:lang w:eastAsia="es-ES"/>
          </w:rPr>
          <w:t>andreamonroy09@gmail.com</w:t>
        </w:r>
      </w:hyperlink>
      <w:r>
        <w:rPr>
          <w:rFonts w:ascii="Verdana" w:eastAsia="Calibri" w:hAnsi="Verdana" w:cs="Arial"/>
          <w:color w:val="000000" w:themeColor="text1"/>
          <w:lang w:eastAsia="es-ES"/>
        </w:rPr>
        <w:t xml:space="preserve"> </w:t>
      </w:r>
    </w:p>
    <w:p w14:paraId="5D807809" w14:textId="77777777" w:rsidR="00DE0DDD" w:rsidRPr="00480A95" w:rsidRDefault="00DE0DDD" w:rsidP="00DE0DDD">
      <w:pPr>
        <w:spacing w:after="0" w:line="240" w:lineRule="auto"/>
        <w:rPr>
          <w:rFonts w:ascii="Verdana" w:eastAsia="Calibri" w:hAnsi="Verdana" w:cs="Arial"/>
          <w:b/>
          <w:bCs/>
          <w:color w:val="000000" w:themeColor="text1"/>
          <w:lang w:val="es-ES_tradnl" w:eastAsia="es-ES"/>
        </w:rPr>
      </w:pPr>
      <w:r w:rsidRPr="00480A95">
        <w:rPr>
          <w:rFonts w:ascii="Verdana" w:eastAsia="Calibri" w:hAnsi="Verdana" w:cs="Arial"/>
          <w:color w:val="000000" w:themeColor="text1"/>
          <w:lang w:val="es-ES_tradnl" w:eastAsia="es-ES"/>
        </w:rPr>
        <w:t>Bogotá D.C.</w:t>
      </w:r>
    </w:p>
    <w:p w14:paraId="2489E6FC" w14:textId="77777777" w:rsidR="00DE0DDD" w:rsidRPr="00480A95" w:rsidRDefault="00DE0DDD" w:rsidP="00DE0DDD">
      <w:pPr>
        <w:spacing w:after="0" w:line="240" w:lineRule="auto"/>
        <w:rPr>
          <w:rFonts w:ascii="Verdana" w:eastAsia="Calibri" w:hAnsi="Verdana" w:cs="Arial"/>
          <w:b/>
          <w:bCs/>
          <w:color w:val="000000" w:themeColor="text1"/>
          <w:highlight w:val="cyan"/>
          <w:lang w:val="es-ES_tradnl" w:eastAsia="es-ES_tradnl"/>
        </w:rPr>
      </w:pPr>
    </w:p>
    <w:p w14:paraId="596F12BC" w14:textId="77777777" w:rsidR="00DE0DDD" w:rsidRPr="00480A95" w:rsidRDefault="00DE0DDD" w:rsidP="00DE0DDD">
      <w:pPr>
        <w:spacing w:after="0" w:line="240" w:lineRule="auto"/>
        <w:rPr>
          <w:rFonts w:ascii="Verdana" w:eastAsia="Calibri" w:hAnsi="Verdana" w:cs="Arial"/>
          <w:b/>
          <w:bCs/>
          <w:color w:val="000000" w:themeColor="text1"/>
          <w:highlight w:val="cyan"/>
          <w:lang w:val="es-ES_tradnl" w:eastAsia="es-ES_tradnl"/>
        </w:rPr>
      </w:pPr>
    </w:p>
    <w:p w14:paraId="152E9130" w14:textId="77777777" w:rsidR="00DE0DDD" w:rsidRPr="00480A95" w:rsidRDefault="00DE0DDD" w:rsidP="00DE0DDD">
      <w:pPr>
        <w:spacing w:after="0" w:line="240" w:lineRule="auto"/>
        <w:rPr>
          <w:rFonts w:ascii="Verdana" w:eastAsia="Calibri" w:hAnsi="Verdana" w:cs="Arial"/>
          <w:b/>
          <w:bCs/>
          <w:color w:val="000000" w:themeColor="text1"/>
          <w:lang w:val="es-ES_tradnl" w:eastAsia="es-ES_tradnl"/>
        </w:rPr>
      </w:pPr>
      <w:r w:rsidRPr="00480A95">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112</w:t>
      </w:r>
      <w:r w:rsidRPr="00480A95">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E0DDD" w:rsidRPr="00480A95" w14:paraId="3FB6C71F" w14:textId="77777777" w:rsidTr="001B6F25">
        <w:trPr>
          <w:gridAfter w:val="1"/>
          <w:wAfter w:w="6100" w:type="dxa"/>
          <w:trHeight w:val="133"/>
        </w:trPr>
        <w:tc>
          <w:tcPr>
            <w:tcW w:w="2689" w:type="dxa"/>
          </w:tcPr>
          <w:p w14:paraId="36849E94" w14:textId="77777777" w:rsidR="00DE0DDD" w:rsidRPr="00480A95" w:rsidRDefault="00DE0DDD" w:rsidP="001B6F25">
            <w:pPr>
              <w:jc w:val="both"/>
              <w:rPr>
                <w:rFonts w:ascii="Verdana" w:eastAsia="Calibri" w:hAnsi="Verdana" w:cs="Arial"/>
                <w:b/>
                <w:bCs/>
                <w:color w:val="000000" w:themeColor="text1"/>
                <w:highlight w:val="cyan"/>
                <w:lang w:val="es-ES_tradnl" w:eastAsia="es-ES_tradnl"/>
              </w:rPr>
            </w:pPr>
          </w:p>
          <w:p w14:paraId="18C459D4" w14:textId="77777777" w:rsidR="00DE0DDD" w:rsidRPr="00480A95" w:rsidRDefault="00DE0DDD" w:rsidP="001B6F25">
            <w:pPr>
              <w:jc w:val="both"/>
              <w:rPr>
                <w:rFonts w:ascii="Verdana" w:eastAsia="Calibri" w:hAnsi="Verdana" w:cs="Arial"/>
                <w:b/>
                <w:bCs/>
                <w:color w:val="000000" w:themeColor="text1"/>
                <w:highlight w:val="cyan"/>
                <w:lang w:val="es-ES_tradnl" w:eastAsia="es-ES_tradnl"/>
              </w:rPr>
            </w:pPr>
          </w:p>
        </w:tc>
      </w:tr>
      <w:tr w:rsidR="00DE0DDD" w:rsidRPr="00480A95" w14:paraId="3C984247" w14:textId="77777777" w:rsidTr="001B6F25">
        <w:trPr>
          <w:trHeight w:val="884"/>
        </w:trPr>
        <w:tc>
          <w:tcPr>
            <w:tcW w:w="2689" w:type="dxa"/>
          </w:tcPr>
          <w:p w14:paraId="6201D770" w14:textId="77777777" w:rsidR="00DE0DDD" w:rsidRPr="00480A95" w:rsidRDefault="00DE0DDD" w:rsidP="001B6F25">
            <w:pPr>
              <w:jc w:val="both"/>
              <w:rPr>
                <w:rFonts w:ascii="Verdana" w:eastAsia="Calibri" w:hAnsi="Verdana" w:cs="Arial"/>
                <w:color w:val="000000" w:themeColor="text1"/>
                <w:lang w:val="es-ES_tradnl" w:eastAsia="es-ES_tradnl"/>
              </w:rPr>
            </w:pPr>
            <w:r w:rsidRPr="00480A95">
              <w:rPr>
                <w:rFonts w:ascii="Verdana" w:eastAsia="Calibri" w:hAnsi="Verdana" w:cs="Arial"/>
                <w:b/>
                <w:color w:val="000000" w:themeColor="text1"/>
                <w:lang w:val="es-ES_tradnl" w:eastAsia="es-ES_tradnl"/>
              </w:rPr>
              <w:t>Temas:</w:t>
            </w:r>
            <w:r w:rsidRPr="00480A95">
              <w:rPr>
                <w:rFonts w:ascii="Verdana" w:eastAsia="Calibri" w:hAnsi="Verdana" w:cs="Arial"/>
                <w:color w:val="000000" w:themeColor="text1"/>
                <w:lang w:val="es-ES_tradnl" w:eastAsia="es-ES_tradnl"/>
              </w:rPr>
              <w:t xml:space="preserve">                   </w:t>
            </w:r>
          </w:p>
        </w:tc>
        <w:tc>
          <w:tcPr>
            <w:tcW w:w="6100" w:type="dxa"/>
          </w:tcPr>
          <w:p w14:paraId="7BB2C218" w14:textId="1C0567B5" w:rsidR="00DE0DDD" w:rsidRPr="00480A95" w:rsidRDefault="00DE0DDD" w:rsidP="001B6F25">
            <w:pPr>
              <w:spacing w:line="276" w:lineRule="auto"/>
              <w:jc w:val="both"/>
              <w:rPr>
                <w:rStyle w:val="eop"/>
                <w:rFonts w:ascii="Verdana" w:hAnsi="Verdana" w:cs="Arial"/>
                <w:color w:val="000000"/>
                <w:shd w:val="clear" w:color="auto" w:fill="FFFFFF"/>
              </w:rPr>
            </w:pPr>
            <w:r w:rsidRPr="00480A95">
              <w:rPr>
                <w:rStyle w:val="normaltextrun"/>
                <w:rFonts w:ascii="Verdana" w:hAnsi="Verdana" w:cs="Arial"/>
                <w:color w:val="000000"/>
                <w:shd w:val="clear" w:color="auto" w:fill="FFFFFF"/>
                <w:lang w:val="es-MX"/>
              </w:rPr>
              <w:t>LEY DE GARANTÍAS ELECTORALES ‒ Finalidad / LEY DE GARANTÍAS ELECTORALES ‒ Tipos de restricciones ‒ Ámbito temporal / LEY DE GARANTÍAS ELECTORALES ‒ Prohibición por elección de cargos populares – Convenios interadministrativos – Definición – Criterio orgánico</w:t>
            </w:r>
            <w:r w:rsidRPr="00480A95">
              <w:rPr>
                <w:rStyle w:val="eop"/>
                <w:rFonts w:ascii="Verdana" w:hAnsi="Verdana" w:cs="Arial"/>
                <w:color w:val="000000"/>
                <w:shd w:val="clear" w:color="auto" w:fill="FFFFFF"/>
              </w:rPr>
              <w:t> </w:t>
            </w:r>
            <w:r>
              <w:rPr>
                <w:rStyle w:val="eop"/>
                <w:rFonts w:ascii="Verdana" w:hAnsi="Verdana" w:cs="Arial"/>
                <w:color w:val="000000"/>
                <w:shd w:val="clear" w:color="auto" w:fill="FFFFFF"/>
              </w:rPr>
              <w:t>/</w:t>
            </w:r>
            <w:r w:rsidRPr="00480A95">
              <w:rPr>
                <w:rFonts w:ascii="Verdana" w:eastAsia="Calibri" w:hAnsi="Verdana" w:cs="Arial"/>
                <w:color w:val="000000" w:themeColor="text1"/>
              </w:rPr>
              <w:t xml:space="preserve"> ACTIVIDADES DE CIENCIA, TECNOLOGÍA E INNOVACIÓN ― Regulación </w:t>
            </w:r>
            <w:r>
              <w:rPr>
                <w:rFonts w:ascii="Verdana" w:eastAsia="Calibri" w:hAnsi="Verdana" w:cs="Arial"/>
                <w:color w:val="000000" w:themeColor="text1"/>
              </w:rPr>
              <w:t>/</w:t>
            </w:r>
            <w:r>
              <w:t xml:space="preserve"> </w:t>
            </w:r>
            <w:r w:rsidRPr="00AD7D39">
              <w:rPr>
                <w:rFonts w:ascii="Verdana" w:eastAsia="Calibri" w:hAnsi="Verdana" w:cs="Arial"/>
                <w:color w:val="000000" w:themeColor="text1"/>
              </w:rPr>
              <w:t>CONTRATACIÓN ESTATAL - Aplicación de la ley 996 de 2005 -Contratos de fomento o financiación de actividades científicas y tecnológicas</w:t>
            </w:r>
          </w:p>
          <w:p w14:paraId="13CD0DD4" w14:textId="77777777" w:rsidR="00DE0DDD" w:rsidRPr="00480A95" w:rsidRDefault="00DE0DDD" w:rsidP="001B6F25">
            <w:pPr>
              <w:spacing w:line="276" w:lineRule="auto"/>
              <w:jc w:val="both"/>
              <w:rPr>
                <w:rFonts w:ascii="Verdana" w:hAnsi="Verdana" w:cs="Arial"/>
                <w:bCs/>
                <w:color w:val="000000" w:themeColor="text1"/>
                <w:highlight w:val="cyan"/>
              </w:rPr>
            </w:pPr>
          </w:p>
        </w:tc>
      </w:tr>
      <w:tr w:rsidR="00DE0DDD" w:rsidRPr="00480A95" w14:paraId="35B8D9B3" w14:textId="77777777" w:rsidTr="001B6F25">
        <w:tc>
          <w:tcPr>
            <w:tcW w:w="2689" w:type="dxa"/>
          </w:tcPr>
          <w:p w14:paraId="3833637A" w14:textId="77777777" w:rsidR="00DE0DDD" w:rsidRPr="00480A95" w:rsidRDefault="00DE0DDD" w:rsidP="001B6F25">
            <w:pPr>
              <w:jc w:val="both"/>
              <w:rPr>
                <w:rFonts w:ascii="Verdana" w:eastAsia="Calibri" w:hAnsi="Verdana" w:cs="Arial"/>
                <w:b/>
                <w:color w:val="000000" w:themeColor="text1"/>
                <w:lang w:val="es-ES_tradnl" w:eastAsia="es-ES_tradnl"/>
              </w:rPr>
            </w:pPr>
            <w:r w:rsidRPr="00480A95">
              <w:rPr>
                <w:rFonts w:ascii="Verdana" w:eastAsia="Calibri" w:hAnsi="Verdana" w:cs="Arial"/>
                <w:b/>
                <w:color w:val="000000" w:themeColor="text1"/>
                <w:lang w:val="es-ES_tradnl" w:eastAsia="es-ES_tradnl"/>
              </w:rPr>
              <w:t>Radicación:</w:t>
            </w:r>
            <w:r w:rsidRPr="00480A95">
              <w:rPr>
                <w:rFonts w:ascii="Verdana" w:eastAsia="Calibri" w:hAnsi="Verdana" w:cs="Arial"/>
                <w:color w:val="000000" w:themeColor="text1"/>
                <w:lang w:val="es-ES_tradnl" w:eastAsia="es-ES_tradnl"/>
              </w:rPr>
              <w:t xml:space="preserve">               </w:t>
            </w:r>
          </w:p>
        </w:tc>
        <w:tc>
          <w:tcPr>
            <w:tcW w:w="6100" w:type="dxa"/>
          </w:tcPr>
          <w:p w14:paraId="267C1650" w14:textId="77777777" w:rsidR="00DE0DDD" w:rsidRPr="00480A95" w:rsidRDefault="00DE0DDD" w:rsidP="001B6F25">
            <w:pPr>
              <w:jc w:val="both"/>
              <w:rPr>
                <w:rFonts w:ascii="Verdana" w:eastAsia="Calibri" w:hAnsi="Verdana" w:cs="Arial"/>
                <w:color w:val="000000" w:themeColor="text1"/>
                <w:lang w:eastAsia="es-ES_tradnl"/>
              </w:rPr>
            </w:pPr>
            <w:r w:rsidRPr="00480A95">
              <w:rPr>
                <w:rFonts w:ascii="Verdana" w:eastAsia="Calibri" w:hAnsi="Verdana" w:cs="Arial"/>
                <w:color w:val="000000" w:themeColor="text1"/>
                <w:lang w:val="es-ES_tradnl" w:eastAsia="es-ES_tradnl"/>
              </w:rPr>
              <w:t>Respuesta a consulta con radicado No.</w:t>
            </w:r>
            <w:r>
              <w:t xml:space="preserve"> </w:t>
            </w:r>
            <w:r w:rsidRPr="00BF3319">
              <w:rPr>
                <w:rFonts w:ascii="Verdana" w:eastAsia="Calibri" w:hAnsi="Verdana" w:cs="Arial"/>
                <w:color w:val="000000" w:themeColor="text1"/>
                <w:lang w:val="es-ES_tradnl" w:eastAsia="es-ES_tradnl"/>
              </w:rPr>
              <w:t>1_2026_01_27_000926</w:t>
            </w:r>
          </w:p>
          <w:p w14:paraId="0170D07C" w14:textId="77777777" w:rsidR="00DE0DDD" w:rsidRPr="00480A95" w:rsidRDefault="00DE0DDD" w:rsidP="001B6F25">
            <w:pPr>
              <w:jc w:val="both"/>
              <w:rPr>
                <w:rFonts w:ascii="Verdana" w:hAnsi="Verdana" w:cs="Arial"/>
              </w:rPr>
            </w:pPr>
          </w:p>
          <w:p w14:paraId="5FFADB38" w14:textId="77777777" w:rsidR="00DE0DDD" w:rsidRPr="00480A95" w:rsidRDefault="00DE0DDD" w:rsidP="001B6F25">
            <w:pPr>
              <w:jc w:val="both"/>
              <w:rPr>
                <w:rFonts w:ascii="Verdana" w:hAnsi="Verdana"/>
                <w:color w:val="000000"/>
              </w:rPr>
            </w:pPr>
          </w:p>
        </w:tc>
      </w:tr>
    </w:tbl>
    <w:p w14:paraId="0F846B9E" w14:textId="77777777" w:rsidR="00DE0DDD" w:rsidRPr="00480A95" w:rsidRDefault="00DE0DDD" w:rsidP="00DE0DDD">
      <w:pPr>
        <w:spacing w:after="0" w:line="276" w:lineRule="auto"/>
        <w:jc w:val="both"/>
        <w:rPr>
          <w:rFonts w:ascii="Verdana" w:eastAsia="Calibri" w:hAnsi="Verdana" w:cs="Arial"/>
          <w:color w:val="000000" w:themeColor="text1"/>
          <w:lang w:val="es-ES" w:eastAsia="es-ES"/>
        </w:rPr>
      </w:pPr>
      <w:r w:rsidRPr="00480A95">
        <w:rPr>
          <w:rFonts w:ascii="Verdana" w:eastAsia="Calibri" w:hAnsi="Verdana" w:cs="Arial"/>
          <w:color w:val="000000" w:themeColor="text1"/>
          <w:lang w:val="es-ES" w:eastAsia="es-ES"/>
        </w:rPr>
        <w:t xml:space="preserve">Estimada </w:t>
      </w:r>
      <w:r>
        <w:rPr>
          <w:rFonts w:ascii="Verdana" w:eastAsia="Calibri" w:hAnsi="Verdana" w:cs="Arial"/>
          <w:color w:val="000000" w:themeColor="text1"/>
          <w:lang w:val="es-ES" w:eastAsia="es-ES"/>
        </w:rPr>
        <w:t>Señora Monroy</w:t>
      </w:r>
      <w:r w:rsidRPr="00480A95">
        <w:rPr>
          <w:rFonts w:ascii="Verdana" w:eastAsia="Calibri" w:hAnsi="Verdana" w:cs="Arial"/>
          <w:color w:val="000000" w:themeColor="text1"/>
          <w:lang w:val="es-ES" w:eastAsia="es-ES"/>
        </w:rPr>
        <w:t xml:space="preserve">: </w:t>
      </w:r>
    </w:p>
    <w:p w14:paraId="662139BA" w14:textId="77777777" w:rsidR="00DE0DDD" w:rsidRPr="00480A95" w:rsidRDefault="00DE0DDD" w:rsidP="00DE0DDD">
      <w:pPr>
        <w:spacing w:after="0"/>
        <w:rPr>
          <w:rFonts w:ascii="Verdana" w:eastAsia="Times New Roman" w:hAnsi="Verdana" w:cs="Segoe UI"/>
          <w:highlight w:val="cyan"/>
          <w:lang w:eastAsia="es-CO"/>
        </w:rPr>
      </w:pPr>
    </w:p>
    <w:p w14:paraId="23B090A7" w14:textId="77777777" w:rsidR="00DE0DDD" w:rsidRPr="00480A95" w:rsidRDefault="00DE0DDD" w:rsidP="00DE0DDD">
      <w:pPr>
        <w:spacing w:after="0" w:line="276" w:lineRule="auto"/>
        <w:jc w:val="both"/>
        <w:rPr>
          <w:rFonts w:ascii="Verdana" w:eastAsia="Calibri" w:hAnsi="Verdana" w:cs="Arial"/>
          <w:lang w:val="es-ES" w:eastAsia="es-ES"/>
        </w:rPr>
      </w:pPr>
      <w:r w:rsidRPr="00480A95">
        <w:rPr>
          <w:rFonts w:ascii="Verdana" w:eastAsia="Calibri" w:hAnsi="Verdana" w:cs="Arial"/>
          <w:lang w:val="es-ES" w:eastAsia="es-ES"/>
        </w:rPr>
        <w:t>En ejercicio de la competencia otorgada por los artículos 3, numeral 5º, y 11, numeral 8º, del Decreto Ley 4170 de 2011,</w:t>
      </w:r>
      <w:r w:rsidRPr="000B150A">
        <w:rPr>
          <w:rFonts w:ascii="Verdana" w:hAnsi="Verdana" w:cs="Arial"/>
        </w:rPr>
        <w:t xml:space="preserve"> </w:t>
      </w:r>
      <w:r w:rsidRPr="00A27102">
        <w:rPr>
          <w:rFonts w:ascii="Verdana" w:hAnsi="Verdana" w:cs="Arial"/>
        </w:rPr>
        <w:t>así como lo establecido en la Resolución 469 de 2025 expedida por esta Entidad</w:t>
      </w:r>
      <w:r w:rsidRPr="00480A95">
        <w:rPr>
          <w:rFonts w:ascii="Verdana" w:hAnsi="Verdana" w:cs="Arial"/>
        </w:rPr>
        <w:t xml:space="preserve">, </w:t>
      </w:r>
      <w:r w:rsidRPr="00480A95">
        <w:rPr>
          <w:rFonts w:ascii="Verdana" w:eastAsia="Calibri" w:hAnsi="Verdana" w:cs="Arial"/>
          <w:lang w:val="es-ES" w:eastAsia="es-ES"/>
        </w:rPr>
        <w:t xml:space="preserve">la Agencia Nacional de Contratación Pública – Colombia Compra Eficiente– responde su solicitud del </w:t>
      </w:r>
      <w:r>
        <w:rPr>
          <w:rFonts w:ascii="Verdana" w:eastAsia="Calibri" w:hAnsi="Verdana" w:cs="Arial"/>
          <w:lang w:val="es-ES" w:eastAsia="es-ES"/>
        </w:rPr>
        <w:t>27</w:t>
      </w:r>
      <w:r w:rsidRPr="00480A95">
        <w:rPr>
          <w:rFonts w:ascii="Verdana" w:eastAsia="Calibri" w:hAnsi="Verdana" w:cs="Arial"/>
          <w:lang w:val="es-ES" w:eastAsia="es-ES"/>
        </w:rPr>
        <w:t xml:space="preserve"> de enero del 202</w:t>
      </w:r>
      <w:r>
        <w:rPr>
          <w:rFonts w:ascii="Verdana" w:eastAsia="Calibri" w:hAnsi="Verdana" w:cs="Arial"/>
          <w:lang w:val="es-ES" w:eastAsia="es-ES"/>
        </w:rPr>
        <w:t>6</w:t>
      </w:r>
      <w:r w:rsidRPr="00480A95">
        <w:rPr>
          <w:rFonts w:ascii="Verdana" w:eastAsia="Calibri" w:hAnsi="Verdana" w:cs="Arial"/>
          <w:lang w:val="es-ES" w:eastAsia="es-ES"/>
        </w:rPr>
        <w:t xml:space="preserve">, en la cual manifiesta lo siguiente: </w:t>
      </w:r>
    </w:p>
    <w:p w14:paraId="47AA28B7" w14:textId="77777777" w:rsidR="00DE0DDD" w:rsidRPr="00480A95" w:rsidRDefault="00DE0DDD" w:rsidP="00DE0DDD">
      <w:pPr>
        <w:spacing w:after="0" w:line="276" w:lineRule="auto"/>
        <w:jc w:val="both"/>
        <w:rPr>
          <w:rFonts w:ascii="Verdana" w:eastAsia="Calibri" w:hAnsi="Verdana" w:cs="Arial"/>
          <w:highlight w:val="cyan"/>
          <w:lang w:val="es-ES" w:eastAsia="es-ES"/>
        </w:rPr>
      </w:pPr>
    </w:p>
    <w:p w14:paraId="65E8CA59" w14:textId="77777777" w:rsidR="00DE0DDD" w:rsidRPr="00480A95" w:rsidRDefault="00DE0DDD" w:rsidP="00DE0DDD">
      <w:pPr>
        <w:spacing w:after="0" w:line="240" w:lineRule="auto"/>
        <w:ind w:left="709" w:right="709"/>
        <w:jc w:val="both"/>
        <w:rPr>
          <w:rFonts w:ascii="Verdana" w:hAnsi="Verdana" w:cs="Arial"/>
          <w:sz w:val="20"/>
          <w:szCs w:val="20"/>
        </w:rPr>
      </w:pPr>
      <w:r w:rsidRPr="00480A95">
        <w:rPr>
          <w:rFonts w:ascii="Verdana" w:eastAsia="Century Gothic" w:hAnsi="Verdana" w:cs="Arial"/>
          <w:sz w:val="20"/>
          <w:szCs w:val="20"/>
          <w:lang w:val="es-ES"/>
        </w:rPr>
        <w:t>“</w:t>
      </w:r>
      <w:r w:rsidRPr="00B50473">
        <w:rPr>
          <w:rFonts w:ascii="Verdana" w:eastAsia="Century Gothic" w:hAnsi="Verdana" w:cs="Arial"/>
          <w:sz w:val="20"/>
          <w:szCs w:val="20"/>
        </w:rPr>
        <w:t xml:space="preserve">Quisiera saber si la ley de garantías es aplicable para suscribir convenios de cooperación entre una entidad pública y una privada, convenio que se deriva de una financiación como el Sistema General de Regalías o una convocatoria de Minciencias, y donde se requiere la formalización de </w:t>
      </w:r>
      <w:r w:rsidRPr="00B50473">
        <w:rPr>
          <w:rFonts w:ascii="Verdana" w:eastAsia="Century Gothic" w:hAnsi="Verdana" w:cs="Arial"/>
          <w:sz w:val="20"/>
          <w:szCs w:val="20"/>
        </w:rPr>
        <w:lastRenderedPageBreak/>
        <w:t>alianzas y convenios para ratificar o delimitar actividades de ciencia y tecnología.</w:t>
      </w:r>
      <w:r w:rsidRPr="00480A95">
        <w:rPr>
          <w:rFonts w:ascii="Verdana" w:eastAsia="Century Gothic" w:hAnsi="Verdana" w:cs="Arial"/>
          <w:sz w:val="20"/>
          <w:szCs w:val="20"/>
          <w:lang w:val="es-ES"/>
        </w:rPr>
        <w:t>”</w:t>
      </w:r>
    </w:p>
    <w:p w14:paraId="2EA79851" w14:textId="77777777" w:rsidR="00DE0DDD" w:rsidRPr="00480A95" w:rsidRDefault="00DE0DDD" w:rsidP="00DE0DDD">
      <w:pPr>
        <w:spacing w:after="0"/>
        <w:jc w:val="both"/>
        <w:rPr>
          <w:rFonts w:ascii="Verdana" w:hAnsi="Verdana" w:cs="Arial"/>
          <w:highlight w:val="cyan"/>
          <w:lang w:val="es-ES"/>
        </w:rPr>
      </w:pPr>
    </w:p>
    <w:p w14:paraId="6E8B290D" w14:textId="77777777" w:rsidR="00DE0DDD" w:rsidRPr="00480A95" w:rsidRDefault="00DE0DDD" w:rsidP="00DE0DDD">
      <w:pPr>
        <w:spacing w:after="120" w:line="276" w:lineRule="auto"/>
        <w:ind w:firstLine="709"/>
        <w:jc w:val="both"/>
        <w:rPr>
          <w:rFonts w:ascii="Verdana" w:eastAsia="Calibri" w:hAnsi="Verdana" w:cs="Arial"/>
          <w:color w:val="000000"/>
          <w:lang w:val="es-ES_tradnl" w:eastAsia="es-ES_tradnl"/>
        </w:rPr>
      </w:pPr>
      <w:r w:rsidRPr="00480A95">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BB2B874" w14:textId="77777777" w:rsidR="00DE0DDD" w:rsidRPr="00480A95" w:rsidRDefault="00DE0DDD" w:rsidP="00DE0DDD">
      <w:pPr>
        <w:spacing w:after="0" w:line="276" w:lineRule="auto"/>
        <w:ind w:firstLine="709"/>
        <w:jc w:val="both"/>
        <w:rPr>
          <w:rFonts w:ascii="Verdana" w:eastAsia="Calibri" w:hAnsi="Verdana" w:cs="Arial"/>
          <w:color w:val="000000"/>
          <w:lang w:val="es-ES" w:eastAsia="es-ES"/>
        </w:rPr>
      </w:pPr>
      <w:r w:rsidRPr="00480A9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425B2729" w14:textId="77777777" w:rsidR="00DE0DDD" w:rsidRPr="00480A95" w:rsidRDefault="00DE0DDD" w:rsidP="00DE0DDD">
      <w:pPr>
        <w:spacing w:after="0"/>
        <w:jc w:val="both"/>
        <w:rPr>
          <w:rStyle w:val="Hipervnculo"/>
          <w:rFonts w:ascii="Verdana" w:hAnsi="Verdana"/>
          <w:highlight w:val="cyan"/>
          <w:lang w:val="es-ES"/>
        </w:rPr>
      </w:pPr>
    </w:p>
    <w:p w14:paraId="3DFA34D3" w14:textId="77777777" w:rsidR="00DE0DDD" w:rsidRPr="00480A95" w:rsidRDefault="00DE0DDD" w:rsidP="00DE0DDD">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480A95">
        <w:rPr>
          <w:rFonts w:ascii="Verdana" w:eastAsia="Century Gothic" w:hAnsi="Verdana" w:cs="Arial"/>
          <w:b/>
          <w:bCs/>
        </w:rPr>
        <w:t>Problema planteado:</w:t>
      </w:r>
    </w:p>
    <w:p w14:paraId="42C94FD4" w14:textId="77777777" w:rsidR="00DE0DDD" w:rsidRPr="00480A95" w:rsidRDefault="00DE0DDD" w:rsidP="00DE0DDD">
      <w:pPr>
        <w:spacing w:after="0"/>
        <w:jc w:val="both"/>
        <w:rPr>
          <w:rStyle w:val="Hipervnculo"/>
          <w:rFonts w:ascii="Verdana" w:hAnsi="Verdana" w:cs="Arial"/>
          <w:highlight w:val="cyan"/>
        </w:rPr>
      </w:pPr>
    </w:p>
    <w:p w14:paraId="4008554D" w14:textId="77777777" w:rsidR="00DE0DDD" w:rsidRPr="00480A95" w:rsidRDefault="00DE0DDD" w:rsidP="00DE0DDD">
      <w:pPr>
        <w:spacing w:after="0" w:line="276" w:lineRule="auto"/>
        <w:jc w:val="both"/>
        <w:rPr>
          <w:rFonts w:ascii="Verdana" w:eastAsia="Century Gothic" w:hAnsi="Verdana" w:cs="Century Gothic"/>
          <w:color w:val="000000" w:themeColor="text1"/>
        </w:rPr>
      </w:pPr>
      <w:r w:rsidRPr="00480A95">
        <w:rPr>
          <w:rFonts w:ascii="Verdana" w:eastAsia="Century Gothic" w:hAnsi="Verdana" w:cs="Arial"/>
        </w:rPr>
        <w:t xml:space="preserve">De acuerdo con el contenido de su solicitud, esta Agencia resolverá el siguiente problema jurídico: </w:t>
      </w:r>
      <w:r w:rsidRPr="00480A95">
        <w:rPr>
          <w:rFonts w:ascii="Verdana" w:eastAsia="Century Gothic" w:hAnsi="Verdana" w:cs="Century Gothic"/>
        </w:rPr>
        <w:t>¿Se encuentra prohibida la suscripción de convenios especiales de cooperación para el desarrollo de actividades de ciencia, tecnología e innovación, que impliquen la utilización y ejecución de recursos públicos, durante el período de restricciones establecido en la Ley de Garantías Electorales?</w:t>
      </w:r>
    </w:p>
    <w:p w14:paraId="1ABD4A49" w14:textId="77777777" w:rsidR="00DE0DDD" w:rsidRPr="00480A95" w:rsidRDefault="00DE0DDD" w:rsidP="00DE0DDD">
      <w:pPr>
        <w:spacing w:after="0" w:line="276" w:lineRule="auto"/>
        <w:jc w:val="both"/>
        <w:rPr>
          <w:rStyle w:val="Hipervnculo"/>
          <w:rFonts w:ascii="Verdana" w:hAnsi="Verdana" w:cs="Arial"/>
          <w:highlight w:val="cyan"/>
          <w:lang w:val="es-ES"/>
        </w:rPr>
      </w:pPr>
    </w:p>
    <w:p w14:paraId="6AD787CB" w14:textId="77777777" w:rsidR="00DE0DDD" w:rsidRPr="00480A95" w:rsidRDefault="00DE0DDD" w:rsidP="00DE0DDD">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480A95">
        <w:rPr>
          <w:rFonts w:ascii="Verdana" w:eastAsia="Arial" w:hAnsi="Verdana" w:cs="Arial"/>
          <w:b/>
          <w:bCs/>
        </w:rPr>
        <w:t>Respuesta:</w:t>
      </w:r>
    </w:p>
    <w:p w14:paraId="69815634" w14:textId="77777777" w:rsidR="00DE0DDD" w:rsidRPr="00480A95" w:rsidRDefault="00DE0DDD" w:rsidP="00DE0DDD">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E0DDD" w:rsidRPr="00480A95" w14:paraId="206D0C19" w14:textId="77777777" w:rsidTr="001B6F25">
        <w:tc>
          <w:tcPr>
            <w:tcW w:w="8828" w:type="dxa"/>
          </w:tcPr>
          <w:p w14:paraId="21D4F29E" w14:textId="1B48899D" w:rsidR="00DE0DDD" w:rsidRDefault="00DE0DDD" w:rsidP="001B6F25">
            <w:pPr>
              <w:spacing w:after="120" w:line="276" w:lineRule="auto"/>
              <w:jc w:val="both"/>
              <w:rPr>
                <w:rFonts w:ascii="Verdana" w:eastAsia="Calibri" w:hAnsi="Verdana" w:cs="Arial"/>
              </w:rPr>
            </w:pPr>
            <w:bookmarkStart w:id="1" w:name="_Hlk171067516"/>
            <w:r>
              <w:rPr>
                <w:rFonts w:ascii="Verdana" w:eastAsia="Calibri" w:hAnsi="Verdana" w:cs="Arial"/>
                <w:bCs/>
              </w:rPr>
              <w:t xml:space="preserve">Según lo establecido por el artículo 33 de la Ley 1286 de 2009, los </w:t>
            </w:r>
            <w:r w:rsidRPr="00D510A8">
              <w:rPr>
                <w:rFonts w:ascii="Verdana" w:eastAsia="Calibri" w:hAnsi="Verdana" w:cs="Arial"/>
                <w:bCs/>
              </w:rPr>
              <w:t>contratos y convenios que tengan por objeto la realización de actividades definidas como de ciencia, tecnología e innovació</w:t>
            </w:r>
            <w:r>
              <w:rPr>
                <w:rFonts w:ascii="Verdana" w:eastAsia="Calibri" w:hAnsi="Verdana" w:cs="Arial"/>
                <w:bCs/>
              </w:rPr>
              <w:t>n se celebran de</w:t>
            </w:r>
            <w:r w:rsidRPr="00703A84">
              <w:rPr>
                <w:rFonts w:ascii="Verdana" w:eastAsia="Calibri" w:hAnsi="Verdana" w:cs="Arial"/>
                <w:bCs/>
                <w:i/>
                <w:iCs/>
              </w:rPr>
              <w:t xml:space="preserve"> manera directa</w:t>
            </w:r>
            <w:r>
              <w:rPr>
                <w:rFonts w:ascii="Verdana" w:eastAsia="Calibri" w:hAnsi="Verdana" w:cs="Arial"/>
                <w:bCs/>
              </w:rPr>
              <w:t xml:space="preserve">. De acuerdo </w:t>
            </w:r>
            <w:r>
              <w:rPr>
                <w:rFonts w:ascii="Verdana" w:eastAsia="Calibri" w:hAnsi="Verdana" w:cs="Arial"/>
                <w:bCs/>
              </w:rPr>
              <w:lastRenderedPageBreak/>
              <w:t xml:space="preserve">con lo explicado por Sala de Consulta y Servicio Civil del Consejo de Estado en el concepto de 26 de noviembre de 2009 –Exp. No. 1974–, si bien dicha modalidad puede </w:t>
            </w:r>
            <w:r w:rsidRPr="006C22DA">
              <w:rPr>
                <w:rFonts w:ascii="Verdana" w:eastAsia="Calibri" w:hAnsi="Verdana" w:cs="Arial"/>
                <w:bCs/>
                <w:i/>
                <w:iCs/>
              </w:rPr>
              <w:t>instrumentarse</w:t>
            </w:r>
            <w:r w:rsidRPr="00403A56">
              <w:rPr>
                <w:rFonts w:ascii="Verdana" w:eastAsia="Calibri" w:hAnsi="Verdana" w:cs="Arial"/>
                <w:bCs/>
              </w:rPr>
              <w:t xml:space="preserve"> mediante </w:t>
            </w:r>
            <w:r w:rsidRPr="00DA1764">
              <w:rPr>
                <w:rFonts w:ascii="Verdana" w:eastAsia="Calibri" w:hAnsi="Verdana" w:cs="Arial"/>
                <w:bCs/>
                <w:i/>
                <w:iCs/>
              </w:rPr>
              <w:t>convocatorias públicas</w:t>
            </w:r>
            <w:r w:rsidRPr="00403A56">
              <w:rPr>
                <w:rFonts w:ascii="Verdana" w:eastAsia="Calibri" w:hAnsi="Verdana" w:cs="Arial"/>
                <w:bCs/>
              </w:rPr>
              <w:t xml:space="preserve"> </w:t>
            </w:r>
            <w:r>
              <w:rPr>
                <w:rFonts w:ascii="Verdana" w:eastAsia="Calibri" w:hAnsi="Verdana" w:cs="Arial"/>
                <w:bCs/>
              </w:rPr>
              <w:t>con el fin de</w:t>
            </w:r>
            <w:r w:rsidRPr="00403A56">
              <w:rPr>
                <w:rFonts w:ascii="Verdana" w:eastAsia="Calibri" w:hAnsi="Verdana" w:cs="Arial"/>
                <w:bCs/>
              </w:rPr>
              <w:t xml:space="preserve"> </w:t>
            </w:r>
            <w:r>
              <w:rPr>
                <w:rFonts w:ascii="Verdana" w:eastAsia="Calibri" w:hAnsi="Verdana" w:cs="Arial"/>
                <w:bCs/>
              </w:rPr>
              <w:t xml:space="preserve">garantizar unos mínimos de </w:t>
            </w:r>
            <w:r w:rsidRPr="00DA1764">
              <w:rPr>
                <w:rFonts w:ascii="Verdana" w:eastAsia="Calibri" w:hAnsi="Verdana" w:cs="Arial"/>
                <w:bCs/>
                <w:i/>
                <w:iCs/>
              </w:rPr>
              <w:t>transparencia</w:t>
            </w:r>
            <w:r>
              <w:rPr>
                <w:rFonts w:ascii="Verdana" w:eastAsia="Calibri" w:hAnsi="Verdana" w:cs="Arial"/>
                <w:bCs/>
              </w:rPr>
              <w:t xml:space="preserve"> en la celebración de este tipo contratos, ello no desvirtúa que estos contratos se celebren de manera directa, de acuerdo con el artículo 33 de la Ley 1286 de 2009.  </w:t>
            </w:r>
          </w:p>
          <w:p w14:paraId="016C5631" w14:textId="77777777" w:rsidR="00DE0DDD" w:rsidRPr="005548E3" w:rsidRDefault="00DE0DDD" w:rsidP="001B6F25">
            <w:pPr>
              <w:spacing w:after="120" w:line="276" w:lineRule="auto"/>
              <w:ind w:firstLine="708"/>
              <w:jc w:val="both"/>
              <w:rPr>
                <w:rFonts w:ascii="Verdana" w:eastAsia="Calibri" w:hAnsi="Verdana" w:cs="Arial"/>
                <w:bCs/>
              </w:rPr>
            </w:pPr>
            <w:r>
              <w:rPr>
                <w:rFonts w:ascii="Verdana" w:eastAsia="Calibri" w:hAnsi="Verdana" w:cs="Arial"/>
                <w:bCs/>
              </w:rPr>
              <w:t xml:space="preserve">En consecuencia, este tipo de contratos y convenios se encuentran dentro del ámbito material de aplicación de la restricción del artículo 33 de la Ley 996 de 2005, el cual prohíbe todo tipo de </w:t>
            </w:r>
            <w:r w:rsidRPr="00080166">
              <w:rPr>
                <w:rFonts w:ascii="Verdana" w:eastAsia="Calibri" w:hAnsi="Verdana" w:cs="Arial"/>
                <w:bCs/>
                <w:i/>
                <w:iCs/>
              </w:rPr>
              <w:t>contratación directa</w:t>
            </w:r>
            <w:r>
              <w:rPr>
                <w:rFonts w:ascii="Verdana" w:eastAsia="Calibri" w:hAnsi="Verdana" w:cs="Arial"/>
                <w:bCs/>
              </w:rPr>
              <w:t xml:space="preserve"> por parte de los entes del Estado. En atención a esto, la suscripción de </w:t>
            </w:r>
            <w:r w:rsidRPr="00BD6251">
              <w:rPr>
                <w:rFonts w:ascii="Verdana" w:eastAsia="Calibri" w:hAnsi="Verdana" w:cs="Arial"/>
                <w:bCs/>
              </w:rPr>
              <w:t>contratos</w:t>
            </w:r>
            <w:r>
              <w:rPr>
                <w:rFonts w:ascii="Verdana" w:eastAsia="Calibri" w:hAnsi="Verdana" w:cs="Arial"/>
                <w:bCs/>
              </w:rPr>
              <w:t xml:space="preserve"> y/o convenios</w:t>
            </w:r>
            <w:r w:rsidRPr="00BD6251">
              <w:rPr>
                <w:rFonts w:ascii="Verdana" w:eastAsia="Calibri" w:hAnsi="Verdana" w:cs="Arial"/>
                <w:bCs/>
              </w:rPr>
              <w:t xml:space="preserve"> de ciencia y tecnología</w:t>
            </w:r>
            <w:r>
              <w:rPr>
                <w:rFonts w:ascii="Verdana" w:eastAsia="Calibri" w:hAnsi="Verdana" w:cs="Arial"/>
                <w:bCs/>
              </w:rPr>
              <w:t xml:space="preserve"> se encuentra restringida durante los 4 meses anteriores a las elecciones presidenciales, periodo en el que surte sus efectos la mencionada prohibición. Esto comoquiera que, de acuerdo con lo previsto en el artículo 33 de la Ley 1286 de 2009, estos negocios jurídicos se celebran de manera directa, independientemente de que se desarrollen o no </w:t>
            </w:r>
            <w:r w:rsidRPr="00C638AC">
              <w:rPr>
                <w:rFonts w:ascii="Verdana" w:eastAsia="Calibri" w:hAnsi="Verdana" w:cs="Arial"/>
                <w:bCs/>
                <w:i/>
                <w:iCs/>
              </w:rPr>
              <w:t>convocatorias pública</w:t>
            </w:r>
            <w:r>
              <w:rPr>
                <w:rFonts w:ascii="Verdana" w:eastAsia="Calibri" w:hAnsi="Verdana" w:cs="Arial"/>
                <w:bCs/>
                <w:i/>
                <w:iCs/>
              </w:rPr>
              <w:t>s</w:t>
            </w:r>
            <w:r>
              <w:rPr>
                <w:rFonts w:ascii="Verdana" w:eastAsia="Calibri" w:hAnsi="Verdana" w:cs="Arial"/>
                <w:bCs/>
              </w:rPr>
              <w:t xml:space="preserve">, máxime cuando estas no son equiparables a los procesos de selección competitivos regulados en el EGCAP y normas especiales.   </w:t>
            </w:r>
            <w:r>
              <w:rPr>
                <w:rFonts w:ascii="Verdana" w:eastAsia="Calibri" w:hAnsi="Verdana" w:cs="Arial"/>
                <w:bCs/>
                <w:i/>
                <w:iCs/>
              </w:rPr>
              <w:t xml:space="preserve">  </w:t>
            </w:r>
          </w:p>
          <w:p w14:paraId="34335185" w14:textId="77777777" w:rsidR="00DE0DDD" w:rsidRPr="00480A95" w:rsidRDefault="00DE0DDD" w:rsidP="001B6F25">
            <w:pPr>
              <w:spacing w:after="120" w:line="276" w:lineRule="auto"/>
              <w:ind w:firstLine="708"/>
              <w:jc w:val="both"/>
              <w:rPr>
                <w:rFonts w:ascii="Verdana" w:eastAsia="Times New Roman" w:hAnsi="Verdana" w:cs="Arial"/>
                <w:lang w:eastAsia="es-CO"/>
              </w:rPr>
            </w:pPr>
            <w:r w:rsidRPr="00480A95">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FCB2C3E" w14:textId="77777777" w:rsidR="00DE0DDD" w:rsidRPr="00042A48" w:rsidRDefault="00DE0DDD" w:rsidP="001B6F25">
            <w:pPr>
              <w:spacing w:line="276" w:lineRule="auto"/>
              <w:ind w:firstLine="708"/>
              <w:jc w:val="both"/>
              <w:rPr>
                <w:rFonts w:ascii="Verdana" w:hAnsi="Verdana" w:cs="Arial"/>
                <w:color w:val="000000" w:themeColor="text1"/>
              </w:rPr>
            </w:pPr>
            <w:r w:rsidRPr="00480A95">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480A95">
              <w:rPr>
                <w:rFonts w:ascii="Verdana" w:hAnsi="Verdana" w:cs="Arial"/>
                <w:bCs/>
                <w:color w:val="000000" w:themeColor="text1"/>
              </w:rPr>
              <w:lastRenderedPageBreak/>
              <w:t xml:space="preserve">definirá la forma de adelantar su gestión contractual, sin que sea atribución de Colombia Compra Eficiente validar sus actuaciones. </w:t>
            </w:r>
          </w:p>
        </w:tc>
      </w:tr>
      <w:bookmarkEnd w:id="1"/>
    </w:tbl>
    <w:p w14:paraId="1275D471" w14:textId="77777777" w:rsidR="00DE0DDD" w:rsidRPr="00480A95" w:rsidRDefault="00DE0DDD" w:rsidP="00DE0DDD">
      <w:pPr>
        <w:widowControl w:val="0"/>
        <w:autoSpaceDE w:val="0"/>
        <w:autoSpaceDN w:val="0"/>
        <w:spacing w:before="1" w:after="0" w:line="240" w:lineRule="auto"/>
        <w:ind w:left="360" w:hanging="360"/>
        <w:outlineLvl w:val="0"/>
        <w:rPr>
          <w:rFonts w:ascii="Verdana" w:eastAsia="Arial" w:hAnsi="Verdana" w:cs="Arial"/>
          <w:b/>
          <w:bCs/>
          <w:lang w:val="es-ES"/>
        </w:rPr>
      </w:pPr>
    </w:p>
    <w:p w14:paraId="4D63BB78" w14:textId="77777777" w:rsidR="00DE0DDD" w:rsidRPr="00480A95" w:rsidRDefault="00DE0DDD" w:rsidP="00DE0DDD">
      <w:pPr>
        <w:widowControl w:val="0"/>
        <w:autoSpaceDE w:val="0"/>
        <w:autoSpaceDN w:val="0"/>
        <w:spacing w:before="1" w:after="0" w:line="240" w:lineRule="auto"/>
        <w:ind w:left="360" w:hanging="360"/>
        <w:outlineLvl w:val="0"/>
        <w:rPr>
          <w:rFonts w:ascii="Verdana" w:eastAsia="Arial" w:hAnsi="Verdana" w:cs="Arial"/>
          <w:b/>
          <w:bCs/>
          <w:lang w:val="es-ES"/>
        </w:rPr>
      </w:pPr>
      <w:r w:rsidRPr="00480A95">
        <w:rPr>
          <w:rFonts w:ascii="Verdana" w:eastAsia="Arial" w:hAnsi="Verdana" w:cs="Arial"/>
          <w:b/>
          <w:bCs/>
          <w:lang w:val="es-ES"/>
        </w:rPr>
        <w:t>3. Razones de la respuesta:</w:t>
      </w:r>
    </w:p>
    <w:p w14:paraId="061BC692" w14:textId="77777777" w:rsidR="00DE0DDD" w:rsidRPr="00480A95" w:rsidRDefault="00DE0DDD" w:rsidP="00DE0DDD">
      <w:pPr>
        <w:spacing w:after="0" w:line="276" w:lineRule="auto"/>
        <w:jc w:val="both"/>
        <w:rPr>
          <w:rFonts w:ascii="Verdana" w:eastAsia="Calibri" w:hAnsi="Verdana" w:cs="Arial"/>
          <w:lang w:val="es-ES"/>
        </w:rPr>
      </w:pPr>
    </w:p>
    <w:p w14:paraId="729D9445" w14:textId="77777777" w:rsidR="00DE0DDD" w:rsidRPr="00480A95" w:rsidRDefault="00DE0DDD" w:rsidP="00DE0DDD">
      <w:pPr>
        <w:spacing w:after="0" w:line="276" w:lineRule="auto"/>
        <w:jc w:val="both"/>
        <w:rPr>
          <w:rFonts w:ascii="Verdana" w:eastAsia="Calibri" w:hAnsi="Verdana" w:cs="Arial"/>
          <w:lang w:val="es-ES"/>
        </w:rPr>
      </w:pPr>
      <w:r w:rsidRPr="00480A95">
        <w:rPr>
          <w:rFonts w:ascii="Verdana" w:eastAsia="Calibri" w:hAnsi="Verdana" w:cs="Arial"/>
          <w:lang w:val="es-ES"/>
        </w:rPr>
        <w:t xml:space="preserve">La respuesta anterior se sustenta en las siguientes consideraciones: </w:t>
      </w:r>
    </w:p>
    <w:p w14:paraId="224E14FA" w14:textId="77777777" w:rsidR="00DE0DDD" w:rsidRDefault="00DE0DDD" w:rsidP="00DE0DDD">
      <w:pPr>
        <w:spacing w:after="0"/>
        <w:rPr>
          <w:rFonts w:ascii="Verdana" w:eastAsia="Times New Roman" w:hAnsi="Verdana" w:cs="Segoe UI"/>
          <w:lang w:val="es-ES" w:eastAsia="es-CO"/>
        </w:rPr>
      </w:pPr>
    </w:p>
    <w:p w14:paraId="288782AE" w14:textId="77777777" w:rsidR="00DE0DDD" w:rsidRPr="00480A95" w:rsidRDefault="00DE0DDD" w:rsidP="00DE0DDD">
      <w:pPr>
        <w:spacing w:after="120" w:line="276" w:lineRule="auto"/>
        <w:jc w:val="both"/>
        <w:rPr>
          <w:rFonts w:ascii="Verdana" w:eastAsia="Calibri" w:hAnsi="Verdana" w:cs="Arial"/>
          <w:color w:val="000000" w:themeColor="text1"/>
          <w:szCs w:val="24"/>
          <w:lang w:val="es-ES_tradnl" w:eastAsia="es-ES_tradnl"/>
        </w:rPr>
      </w:pPr>
      <w:r>
        <w:rPr>
          <w:rFonts w:ascii="Verdana" w:eastAsia="Calibri" w:hAnsi="Verdana" w:cs="Arial"/>
          <w:bCs/>
        </w:rPr>
        <w:t>i. E</w:t>
      </w:r>
      <w:r w:rsidRPr="00480A95">
        <w:rPr>
          <w:rFonts w:ascii="Verdana" w:eastAsia="Calibri" w:hAnsi="Verdana" w:cs="Arial"/>
          <w:bCs/>
        </w:rPr>
        <w:t>l ordenamiento jurídico colombiano contempla previsiones claras para evitar la obtención de beneficios personales en asuntos propios de la administración pública</w:t>
      </w:r>
      <w:r w:rsidRPr="00480A95">
        <w:rPr>
          <w:rFonts w:ascii="Verdana" w:eastAsia="Calibri" w:hAnsi="Verdana" w:cs="Arial"/>
          <w:bCs/>
          <w:i/>
          <w:iCs/>
        </w:rPr>
        <w:t xml:space="preserve">. </w:t>
      </w:r>
      <w:r w:rsidRPr="00480A95">
        <w:rPr>
          <w:rFonts w:ascii="Verdana" w:eastAsia="Calibri" w:hAnsi="Verdana" w:cs="Arial"/>
          <w:bCs/>
        </w:rPr>
        <w:t>Por ejemplo, el artículo 127 de la Constitución Política establece una prohibición contractual a los servidores públicos y en cuanto a aspectos políticos consagra restricciones a ciertos empleados del Estado, incluso en época no electoral</w:t>
      </w:r>
      <w:r w:rsidRPr="00480A95">
        <w:rPr>
          <w:rFonts w:ascii="Verdana" w:eastAsia="Calibri" w:hAnsi="Verdana" w:cs="Arial"/>
          <w:bCs/>
          <w:vertAlign w:val="superscript"/>
        </w:rPr>
        <w:footnoteReference w:id="1"/>
      </w:r>
      <w:r w:rsidRPr="00480A95">
        <w:rPr>
          <w:rFonts w:ascii="Verdana" w:eastAsia="Calibri" w:hAnsi="Verdana" w:cs="Arial"/>
          <w:bCs/>
        </w:rPr>
        <w:t xml:space="preserve">. </w:t>
      </w:r>
    </w:p>
    <w:p w14:paraId="71AD081A" w14:textId="77777777" w:rsidR="00DE0DDD" w:rsidRPr="00480A95" w:rsidRDefault="00DE0DDD" w:rsidP="00DE0DDD">
      <w:pPr>
        <w:tabs>
          <w:tab w:val="left" w:pos="426"/>
        </w:tabs>
        <w:spacing w:after="120" w:line="276" w:lineRule="auto"/>
        <w:jc w:val="both"/>
        <w:rPr>
          <w:rFonts w:ascii="Verdana" w:eastAsia="Times New Roman" w:hAnsi="Verdana" w:cs="Arial"/>
          <w:bCs/>
          <w:lang w:val="es-MX" w:eastAsia="es-CO"/>
        </w:rPr>
      </w:pPr>
      <w:r w:rsidRPr="00480A95">
        <w:rPr>
          <w:rFonts w:ascii="Verdana" w:eastAsia="Times New Roman" w:hAnsi="Verdana" w:cs="Arial"/>
          <w:bCs/>
          <w:lang w:eastAsia="es-CO"/>
        </w:rPr>
        <w:tab/>
      </w:r>
      <w:r w:rsidRPr="00480A95">
        <w:rPr>
          <w:rFonts w:ascii="Verdana" w:eastAsia="Times New Roman" w:hAnsi="Verdana" w:cs="Arial"/>
          <w:bCs/>
          <w:lang w:eastAsia="es-CO"/>
        </w:rPr>
        <w:tab/>
        <w:t>En el mismo sentido</w:t>
      </w:r>
      <w:r w:rsidRPr="00480A95">
        <w:rPr>
          <w:rFonts w:ascii="Verdana" w:eastAsia="Times New Roman" w:hAnsi="Verdana" w:cs="Arial"/>
          <w:bCs/>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80A95">
        <w:rPr>
          <w:rFonts w:ascii="Verdana" w:eastAsia="Times New Roman" w:hAnsi="Verdana" w:cs="Arial"/>
          <w:bCs/>
          <w:vertAlign w:val="superscript"/>
          <w:lang w:val="es-MX" w:eastAsia="es-CO"/>
        </w:rPr>
        <w:footnoteReference w:id="2"/>
      </w:r>
      <w:r w:rsidRPr="00480A95">
        <w:rPr>
          <w:rFonts w:ascii="Verdana" w:eastAsia="Times New Roman" w:hAnsi="Verdana" w:cs="Arial"/>
          <w:bCs/>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80A95">
        <w:rPr>
          <w:rFonts w:ascii="Verdana" w:eastAsia="Calibri" w:hAnsi="Verdana" w:cs="Arial"/>
          <w:noProof/>
          <w:lang w:val="es-ES_tradnl"/>
        </w:rPr>
        <w:t xml:space="preserve"> </w:t>
      </w:r>
      <w:r w:rsidRPr="00480A95">
        <w:rPr>
          <w:rFonts w:ascii="Verdana" w:eastAsia="Times New Roman" w:hAnsi="Verdana" w:cs="Arial"/>
          <w:bCs/>
          <w:lang w:val="es-MX" w:eastAsia="es-CO"/>
        </w:rPr>
        <w:t>En armonía con lo anterior, la Corte Constitucional ha abordado la definición de la Ley de Garantías Electorales. De esta manera, explica que tiene como propósito:</w:t>
      </w:r>
    </w:p>
    <w:p w14:paraId="161CC4CF" w14:textId="77777777" w:rsidR="00DE0DDD" w:rsidRPr="00480A95" w:rsidRDefault="00DE0DDD" w:rsidP="00DE0DDD">
      <w:pPr>
        <w:spacing w:after="0" w:line="276" w:lineRule="auto"/>
        <w:ind w:right="709"/>
        <w:contextualSpacing/>
        <w:jc w:val="both"/>
        <w:rPr>
          <w:rFonts w:ascii="Verdana" w:eastAsia="Times New Roman" w:hAnsi="Verdana" w:cs="Arial"/>
          <w:sz w:val="21"/>
          <w:szCs w:val="21"/>
          <w:lang w:val="es-ES" w:eastAsia="es-CO"/>
        </w:rPr>
      </w:pPr>
    </w:p>
    <w:p w14:paraId="68B6FA4F" w14:textId="77777777" w:rsidR="00DE0DDD" w:rsidRPr="00480A95" w:rsidRDefault="00DE0DDD" w:rsidP="00DE0DDD">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ES" w:eastAsia="es-CO"/>
        </w:rPr>
        <w:t xml:space="preserve">“[…] </w:t>
      </w:r>
      <w:r w:rsidRPr="00480A9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EADA2FB" w14:textId="77777777" w:rsidR="00DE0DDD" w:rsidRPr="00480A95" w:rsidRDefault="00DE0DDD" w:rsidP="00DE0DDD">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 xml:space="preserve">[…] </w:t>
      </w:r>
    </w:p>
    <w:p w14:paraId="765261CE" w14:textId="77777777" w:rsidR="00DE0DDD" w:rsidRPr="00480A95" w:rsidRDefault="00DE0DDD" w:rsidP="00DE0DDD">
      <w:pPr>
        <w:spacing w:after="0" w:line="240" w:lineRule="auto"/>
        <w:ind w:right="709"/>
        <w:contextualSpacing/>
        <w:jc w:val="both"/>
        <w:rPr>
          <w:rFonts w:ascii="Verdana" w:eastAsia="Times New Roman" w:hAnsi="Verdana" w:cs="Arial"/>
          <w:sz w:val="20"/>
          <w:szCs w:val="20"/>
          <w:lang w:val="es-MX" w:eastAsia="es-CO"/>
        </w:rPr>
      </w:pPr>
    </w:p>
    <w:p w14:paraId="517F07E2" w14:textId="77777777" w:rsidR="00DE0DDD" w:rsidRPr="00480A95" w:rsidRDefault="00DE0DDD" w:rsidP="00DE0DDD">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80A95">
        <w:rPr>
          <w:rFonts w:ascii="Verdana" w:eastAsia="Calibri" w:hAnsi="Verdana" w:cs="Arial"/>
          <w:sz w:val="20"/>
          <w:szCs w:val="20"/>
          <w:vertAlign w:val="superscript"/>
          <w:lang w:val="es-MX"/>
        </w:rPr>
        <w:footnoteReference w:id="3"/>
      </w:r>
    </w:p>
    <w:p w14:paraId="115E403F" w14:textId="77777777" w:rsidR="00DE0DDD" w:rsidRPr="00480A95" w:rsidRDefault="00DE0DDD" w:rsidP="00DE0DDD">
      <w:pPr>
        <w:spacing w:after="0" w:line="276" w:lineRule="auto"/>
        <w:ind w:left="709" w:right="709"/>
        <w:contextualSpacing/>
        <w:jc w:val="both"/>
        <w:rPr>
          <w:rFonts w:ascii="Verdana" w:eastAsia="Times New Roman" w:hAnsi="Verdana" w:cs="Arial"/>
          <w:bCs/>
          <w:sz w:val="21"/>
          <w:szCs w:val="21"/>
          <w:lang w:val="es-MX" w:eastAsia="es-CO"/>
        </w:rPr>
      </w:pPr>
    </w:p>
    <w:p w14:paraId="67D36DE0" w14:textId="77777777" w:rsidR="00DE0DDD" w:rsidRPr="00480A95" w:rsidRDefault="00DE0DDD" w:rsidP="00DE0DDD">
      <w:pPr>
        <w:spacing w:after="0" w:line="276" w:lineRule="auto"/>
        <w:ind w:firstLine="709"/>
        <w:jc w:val="both"/>
        <w:rPr>
          <w:rFonts w:ascii="Verdana" w:eastAsia="Times New Roman" w:hAnsi="Verdana" w:cs="Arial"/>
          <w:bCs/>
          <w:lang w:val="es-MX" w:eastAsia="es-CO"/>
        </w:rPr>
      </w:pPr>
      <w:r w:rsidRPr="00480A95">
        <w:rPr>
          <w:rFonts w:ascii="Verdana" w:eastAsia="Times New Roman" w:hAnsi="Verdana" w:cs="Arial"/>
          <w:bCs/>
          <w:lang w:val="es-MX" w:eastAsia="es-CO"/>
        </w:rPr>
        <w:t>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352B2509" w14:textId="77777777" w:rsidR="00DE0DDD" w:rsidRPr="00480A95" w:rsidRDefault="00DE0DDD" w:rsidP="00DE0DDD">
      <w:pPr>
        <w:spacing w:after="0" w:line="276" w:lineRule="auto"/>
        <w:ind w:firstLine="709"/>
        <w:contextualSpacing/>
        <w:jc w:val="both"/>
        <w:rPr>
          <w:rFonts w:ascii="Verdana" w:eastAsia="Times New Roman" w:hAnsi="Verdana" w:cs="Arial"/>
          <w:bCs/>
          <w:lang w:val="es-MX" w:eastAsia="es-CO"/>
        </w:rPr>
      </w:pPr>
    </w:p>
    <w:p w14:paraId="53388B02" w14:textId="77777777" w:rsidR="00DE0DDD" w:rsidRPr="00480A95" w:rsidRDefault="00DE0DDD" w:rsidP="00DE0DDD">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B39A32B" w14:textId="77777777" w:rsidR="00DE0DDD" w:rsidRPr="00480A95" w:rsidRDefault="00DE0DDD" w:rsidP="00DE0DDD">
      <w:pPr>
        <w:spacing w:after="0" w:line="240" w:lineRule="auto"/>
        <w:ind w:left="709" w:right="709"/>
        <w:contextualSpacing/>
        <w:jc w:val="both"/>
        <w:rPr>
          <w:rFonts w:ascii="Verdana" w:eastAsia="Times New Roman" w:hAnsi="Verdana" w:cs="Arial"/>
          <w:sz w:val="20"/>
          <w:szCs w:val="20"/>
          <w:lang w:val="es-MX" w:eastAsia="es-CO"/>
        </w:rPr>
      </w:pPr>
    </w:p>
    <w:p w14:paraId="2D35817D" w14:textId="77777777" w:rsidR="00DE0DDD" w:rsidRPr="00480A95" w:rsidRDefault="00DE0DDD" w:rsidP="00DE0DDD">
      <w:pPr>
        <w:spacing w:after="0" w:line="240" w:lineRule="auto"/>
        <w:ind w:left="709" w:right="709"/>
        <w:contextualSpacing/>
        <w:jc w:val="both"/>
        <w:rPr>
          <w:rFonts w:ascii="Verdana" w:eastAsia="Times New Roman" w:hAnsi="Verdana" w:cs="Arial"/>
          <w:sz w:val="20"/>
          <w:szCs w:val="20"/>
          <w:lang w:val="es-MX" w:eastAsia="es-CO"/>
        </w:rPr>
      </w:pPr>
      <w:r w:rsidRPr="00480A95">
        <w:rPr>
          <w:rFonts w:ascii="Verdana" w:eastAsia="Times New Roman" w:hAnsi="Verdana" w:cs="Arial"/>
          <w:sz w:val="20"/>
          <w:szCs w:val="20"/>
          <w:lang w:val="es-MX" w:eastAsia="es-CO"/>
        </w:rPr>
        <w:t>La jurisprudencia de la Corte Constitucional</w:t>
      </w:r>
      <w:r w:rsidRPr="00480A95">
        <w:rPr>
          <w:rFonts w:ascii="Verdana" w:eastAsia="Times New Roman" w:hAnsi="Verdana" w:cs="Arial"/>
          <w:sz w:val="20"/>
          <w:szCs w:val="20"/>
          <w:vertAlign w:val="superscript"/>
          <w:lang w:val="es-MX" w:eastAsia="es-CO"/>
        </w:rPr>
        <w:footnoteReference w:id="4"/>
      </w:r>
      <w:r w:rsidRPr="00480A95">
        <w:rPr>
          <w:rFonts w:ascii="Verdana" w:eastAsia="Times New Roman" w:hAnsi="Verdana" w:cs="Arial"/>
          <w:sz w:val="20"/>
          <w:szCs w:val="20"/>
          <w:lang w:val="es-MX" w:eastAsia="es-CO"/>
        </w:rPr>
        <w:t> y del Consejo de Estado</w:t>
      </w:r>
      <w:r w:rsidRPr="00480A95">
        <w:rPr>
          <w:rFonts w:ascii="Verdana" w:eastAsia="Times New Roman" w:hAnsi="Verdana" w:cs="Arial"/>
          <w:sz w:val="20"/>
          <w:szCs w:val="20"/>
          <w:vertAlign w:val="superscript"/>
          <w:lang w:val="es-MX" w:eastAsia="es-CO"/>
        </w:rPr>
        <w:footnoteReference w:id="5"/>
      </w:r>
      <w:r w:rsidRPr="00480A95">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480A95">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80A95">
        <w:rPr>
          <w:rFonts w:ascii="Verdana" w:eastAsia="Times New Roman" w:hAnsi="Verdana" w:cs="Arial"/>
          <w:sz w:val="20"/>
          <w:szCs w:val="20"/>
          <w:vertAlign w:val="superscript"/>
          <w:lang w:val="es-MX" w:eastAsia="es-CO"/>
        </w:rPr>
        <w:footnoteReference w:id="6"/>
      </w:r>
      <w:r w:rsidRPr="00480A95">
        <w:rPr>
          <w:rFonts w:ascii="Verdana" w:eastAsia="Times New Roman" w:hAnsi="Verdana" w:cs="Arial"/>
          <w:sz w:val="20"/>
          <w:szCs w:val="20"/>
          <w:lang w:val="es-MX" w:eastAsia="es-CO"/>
        </w:rPr>
        <w:t>.</w:t>
      </w:r>
    </w:p>
    <w:p w14:paraId="78B55C38" w14:textId="77777777" w:rsidR="00DE0DDD" w:rsidRPr="00480A95" w:rsidRDefault="00DE0DDD" w:rsidP="00DE0DDD">
      <w:pPr>
        <w:spacing w:after="0" w:line="276" w:lineRule="auto"/>
        <w:ind w:right="709"/>
        <w:contextualSpacing/>
        <w:jc w:val="both"/>
        <w:rPr>
          <w:rFonts w:ascii="Verdana" w:eastAsia="Times New Roman" w:hAnsi="Verdana" w:cs="Arial"/>
          <w:bCs/>
          <w:sz w:val="21"/>
          <w:szCs w:val="21"/>
          <w:lang w:val="es-MX" w:eastAsia="es-CO"/>
        </w:rPr>
      </w:pPr>
    </w:p>
    <w:p w14:paraId="609FB8F1" w14:textId="77777777" w:rsidR="00DE0DDD" w:rsidRPr="00480A95" w:rsidRDefault="00DE0DDD" w:rsidP="00DE0DDD">
      <w:pPr>
        <w:spacing w:after="120" w:line="276" w:lineRule="auto"/>
        <w:jc w:val="both"/>
        <w:rPr>
          <w:rFonts w:ascii="Verdana" w:eastAsia="Arial" w:hAnsi="Verdana" w:cs="Arial"/>
          <w:lang w:val="es-ES" w:eastAsia="es-ES" w:bidi="es-ES"/>
        </w:rPr>
      </w:pPr>
      <w:r w:rsidRPr="00480A95">
        <w:rPr>
          <w:rFonts w:ascii="Verdana" w:eastAsia="Times New Roman" w:hAnsi="Verdana" w:cs="Arial"/>
          <w:bCs/>
          <w:lang w:val="es-MX" w:eastAsia="es-CO"/>
        </w:rPr>
        <w:tab/>
        <w:t>De</w:t>
      </w:r>
      <w:r w:rsidRPr="00480A95">
        <w:rPr>
          <w:rFonts w:ascii="Verdana" w:eastAsia="Arial" w:hAnsi="Verdana" w:cs="Arial"/>
          <w:lang w:val="es-ES" w:eastAsia="es-ES" w:bidi="es-ES"/>
        </w:rPr>
        <w:t xml:space="preserve"> conformidad con lo anterior, 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6A86E544" w14:textId="77777777" w:rsidR="00DE0DDD" w:rsidRPr="00480A95" w:rsidRDefault="00DE0DDD" w:rsidP="00DE0DDD">
      <w:pPr>
        <w:spacing w:after="120" w:line="276" w:lineRule="auto"/>
        <w:ind w:firstLine="708"/>
        <w:jc w:val="both"/>
        <w:rPr>
          <w:rFonts w:ascii="Verdana" w:eastAsia="Calibri" w:hAnsi="Verdana" w:cs="Arial"/>
        </w:rPr>
      </w:pPr>
      <w:r w:rsidRPr="00480A95">
        <w:rPr>
          <w:rFonts w:ascii="Verdana" w:eastAsia="Calibri" w:hAnsi="Verdana" w:cs="Arial"/>
        </w:rPr>
        <w:t xml:space="preserve">Por un lado, el artículo 33 de la Ley 996 de 2005 prohíbe </w:t>
      </w:r>
      <w:r w:rsidRPr="00480A95">
        <w:rPr>
          <w:rFonts w:ascii="Verdana" w:eastAsia="Calibri" w:hAnsi="Verdana" w:cs="Arial"/>
          <w:bCs/>
        </w:rPr>
        <w:t xml:space="preserve">“[…] </w:t>
      </w:r>
      <w:r w:rsidRPr="00480A95">
        <w:rPr>
          <w:rFonts w:ascii="Verdana" w:eastAsia="Calibri" w:hAnsi="Verdana" w:cs="Arial"/>
        </w:rPr>
        <w:t xml:space="preserve">la </w:t>
      </w:r>
      <w:r w:rsidRPr="00692211">
        <w:rPr>
          <w:rFonts w:ascii="Verdana" w:eastAsia="Calibri" w:hAnsi="Verdana" w:cs="Arial"/>
          <w:i/>
        </w:rPr>
        <w:t>contratación directa</w:t>
      </w:r>
      <w:r w:rsidRPr="00480A95">
        <w:rPr>
          <w:rFonts w:ascii="Verdana" w:eastAsia="Calibri" w:hAnsi="Verdana" w:cs="Arial"/>
        </w:rPr>
        <w:t xml:space="preserve"> por parte de todos los entes del Estado</w:t>
      </w:r>
      <w:r w:rsidRPr="00480A95">
        <w:rPr>
          <w:rFonts w:ascii="Verdana" w:eastAsia="Calibri" w:hAnsi="Verdana" w:cs="Arial"/>
          <w:bCs/>
        </w:rPr>
        <w:t>”</w:t>
      </w:r>
      <w:r w:rsidRPr="00480A95">
        <w:rPr>
          <w:rFonts w:ascii="Verdana" w:eastAsia="Calibri" w:hAnsi="Verdana" w:cs="Arial"/>
        </w:rPr>
        <w:t xml:space="preserve"> durante los cuatro (4) meses anteriores a las elecciones presidenciales, salvo </w:t>
      </w:r>
      <w:r w:rsidRPr="00480A95">
        <w:rPr>
          <w:rFonts w:ascii="Verdana" w:eastAsia="Calibri" w:hAnsi="Verdana" w:cs="Arial"/>
          <w:bCs/>
        </w:rPr>
        <w:t xml:space="preserve">“[…] </w:t>
      </w:r>
      <w:r w:rsidRPr="00480A95">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80A95">
        <w:rPr>
          <w:rFonts w:ascii="Verdana" w:eastAsia="Calibri" w:hAnsi="Verdana" w:cs="Arial"/>
          <w:bCs/>
        </w:rPr>
        <w:t>”</w:t>
      </w:r>
      <w:r w:rsidRPr="00480A95">
        <w:rPr>
          <w:rFonts w:ascii="Verdana" w:eastAsia="Calibri" w:hAnsi="Verdana" w:cs="Arial"/>
          <w:bCs/>
          <w:vertAlign w:val="superscript"/>
        </w:rPr>
        <w:footnoteReference w:id="7"/>
      </w:r>
      <w:r w:rsidRPr="00480A95">
        <w:rPr>
          <w:rFonts w:ascii="Verdana" w:eastAsia="Calibri" w:hAnsi="Verdana" w:cs="Arial"/>
        </w:rPr>
        <w:t>.</w:t>
      </w:r>
    </w:p>
    <w:p w14:paraId="54165B3C" w14:textId="77777777" w:rsidR="00DE0DDD" w:rsidRPr="00480A95" w:rsidRDefault="00DE0DDD" w:rsidP="00DE0DDD">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480A95">
        <w:rPr>
          <w:rFonts w:ascii="Verdana" w:eastAsia="Calibri" w:hAnsi="Verdana" w:cs="Arial"/>
        </w:rPr>
        <w:t xml:space="preserve">Por otro lado, el parágrafo del artículo 38 de la Ley 996 de 2005 prevé una restricción, aplicable respecto de cualquier tipo de contienda electoral, que </w:t>
      </w:r>
      <w:r w:rsidRPr="00480A95">
        <w:rPr>
          <w:rFonts w:ascii="Verdana" w:eastAsia="Calibri" w:hAnsi="Verdana" w:cs="Arial"/>
        </w:rPr>
        <w:lastRenderedPageBreak/>
        <w:t xml:space="preserve">prohíbe a los gobernadores, alcaldes municipales o distritales, secretarios, gerentes y directores de entidades descentralizadas del orden municipal, departamental o distrital </w:t>
      </w:r>
      <w:r w:rsidRPr="00480A95">
        <w:rPr>
          <w:rFonts w:ascii="Verdana" w:eastAsia="Calibri" w:hAnsi="Verdana" w:cs="Arial"/>
          <w:bCs/>
        </w:rPr>
        <w:t xml:space="preserve">“[…] </w:t>
      </w:r>
      <w:r w:rsidRPr="00480A9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80A95">
        <w:rPr>
          <w:rFonts w:ascii="Verdana" w:eastAsia="Calibri" w:hAnsi="Verdana" w:cs="Arial"/>
          <w:bCs/>
          <w:sz w:val="19"/>
          <w:szCs w:val="19"/>
        </w:rPr>
        <w:t>”</w:t>
      </w:r>
      <w:r w:rsidRPr="00480A95">
        <w:rPr>
          <w:rFonts w:ascii="Verdana" w:eastAsia="Calibri" w:hAnsi="Verdana" w:cs="Arial"/>
          <w:bCs/>
          <w:sz w:val="19"/>
          <w:szCs w:val="19"/>
          <w:vertAlign w:val="superscript"/>
        </w:rPr>
        <w:footnoteReference w:id="8"/>
      </w:r>
      <w:r w:rsidRPr="00480A95">
        <w:rPr>
          <w:rFonts w:ascii="Verdana" w:eastAsia="Calibri" w:hAnsi="Verdana" w:cs="Arial"/>
          <w:lang w:val="es-MX"/>
        </w:rPr>
        <w:t>.</w:t>
      </w:r>
      <w:r w:rsidRPr="00480A95">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78B6FE76" w14:textId="77777777" w:rsidR="00DE0DDD" w:rsidRPr="00480A95" w:rsidRDefault="00DE0DDD" w:rsidP="00DE0DD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1F4CE3C3" w14:textId="77777777" w:rsidR="00DE0DDD" w:rsidRPr="00480A95" w:rsidRDefault="00DE0DDD" w:rsidP="00DE0DDD">
      <w:pPr>
        <w:widowControl w:val="0"/>
        <w:autoSpaceDE w:val="0"/>
        <w:autoSpaceDN w:val="0"/>
        <w:spacing w:after="0" w:line="240" w:lineRule="auto"/>
        <w:ind w:left="709" w:right="709"/>
        <w:contextualSpacing/>
        <w:jc w:val="both"/>
        <w:rPr>
          <w:rFonts w:ascii="Verdana" w:eastAsia="Arial" w:hAnsi="Verdana" w:cs="Arial"/>
          <w:sz w:val="21"/>
          <w:szCs w:val="21"/>
          <w:lang w:val="es-ES" w:eastAsia="es-ES" w:bidi="es-ES"/>
        </w:rPr>
      </w:pPr>
      <w:r w:rsidRPr="00480A95">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w:t>
      </w:r>
      <w:r w:rsidRPr="00480A95">
        <w:rPr>
          <w:rFonts w:ascii="Verdana" w:eastAsia="Arial" w:hAnsi="Verdana" w:cs="Arial"/>
          <w:bCs/>
          <w:sz w:val="21"/>
          <w:szCs w:val="21"/>
          <w:lang w:val="es-ES" w:eastAsia="es-ES" w:bidi="es-ES"/>
        </w:rPr>
        <w:t xml:space="preserve"> </w:t>
      </w:r>
      <w:r w:rsidRPr="00480A95">
        <w:rPr>
          <w:rFonts w:ascii="Verdana" w:eastAsia="Arial" w:hAnsi="Verdana" w:cs="Arial"/>
          <w:sz w:val="20"/>
          <w:szCs w:val="20"/>
          <w:lang w:val="es-ES" w:eastAsia="es-ES" w:bidi="es-ES"/>
        </w:rPr>
        <w:t>las restricciones contenidas en el parágrafo del artículo 38”.</w:t>
      </w:r>
      <w:r w:rsidRPr="00480A95">
        <w:rPr>
          <w:rFonts w:ascii="Verdana" w:eastAsia="Arial" w:hAnsi="Verdana" w:cs="Arial"/>
          <w:sz w:val="20"/>
          <w:szCs w:val="20"/>
          <w:vertAlign w:val="superscript"/>
          <w:lang w:val="es-ES" w:eastAsia="es-ES" w:bidi="es-ES"/>
        </w:rPr>
        <w:footnoteReference w:id="9"/>
      </w:r>
    </w:p>
    <w:p w14:paraId="63CA8315" w14:textId="77777777" w:rsidR="00DE0DDD" w:rsidRPr="00480A95" w:rsidRDefault="00DE0DDD" w:rsidP="00DE0DDD">
      <w:pPr>
        <w:widowControl w:val="0"/>
        <w:autoSpaceDE w:val="0"/>
        <w:autoSpaceDN w:val="0"/>
        <w:spacing w:after="0" w:line="276" w:lineRule="auto"/>
        <w:contextualSpacing/>
        <w:rPr>
          <w:rFonts w:ascii="Verdana" w:eastAsia="Arial" w:hAnsi="Verdana" w:cs="Arial"/>
          <w:lang w:val="es-ES" w:eastAsia="es-ES" w:bidi="es-ES"/>
        </w:rPr>
      </w:pPr>
    </w:p>
    <w:p w14:paraId="6B13B543" w14:textId="77777777" w:rsidR="00DE0DDD" w:rsidRPr="00480A95" w:rsidRDefault="00DE0DDD" w:rsidP="00DE0DDD">
      <w:pPr>
        <w:spacing w:after="120" w:line="276" w:lineRule="auto"/>
        <w:ind w:firstLine="709"/>
        <w:jc w:val="both"/>
        <w:rPr>
          <w:rFonts w:ascii="Verdana" w:eastAsia="Arial" w:hAnsi="Verdana" w:cs="Arial"/>
          <w:lang w:val="es-ES" w:eastAsia="es-ES" w:bidi="es-ES"/>
        </w:rPr>
      </w:pPr>
      <w:r w:rsidRPr="00480A95">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480A95">
        <w:rPr>
          <w:rFonts w:ascii="Verdana" w:eastAsia="Arial" w:hAnsi="Verdana" w:cs="Arial"/>
          <w:i/>
          <w:iCs/>
          <w:lang w:val="es-ES" w:eastAsia="es-ES" w:bidi="es-ES"/>
        </w:rPr>
        <w:t>En primer lugar</w:t>
      </w:r>
      <w:r w:rsidRPr="00480A95">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w:t>
      </w:r>
      <w:r w:rsidRPr="00480A95">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80A95">
        <w:rPr>
          <w:rFonts w:ascii="Verdana" w:eastAsia="Arial" w:hAnsi="Verdana" w:cs="Arial"/>
          <w:i/>
          <w:iCs/>
          <w:lang w:val="es-ES" w:eastAsia="es-ES" w:bidi="es-ES"/>
        </w:rPr>
        <w:t>En segundo lugar</w:t>
      </w:r>
      <w:r w:rsidRPr="00480A95">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E1DB61C" w14:textId="77777777" w:rsidR="00DE0DDD" w:rsidRPr="00480A95" w:rsidRDefault="00DE0DDD" w:rsidP="00DE0DDD">
      <w:pPr>
        <w:spacing w:after="120" w:line="276" w:lineRule="auto"/>
        <w:ind w:firstLine="709"/>
        <w:jc w:val="both"/>
        <w:rPr>
          <w:rFonts w:ascii="Verdana" w:eastAsia="Arial" w:hAnsi="Verdana" w:cs="Arial"/>
          <w:lang w:val="es-ES" w:eastAsia="es-ES" w:bidi="es-ES"/>
        </w:rPr>
      </w:pPr>
      <w:r w:rsidRPr="00480A95">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04E04A3C" w14:textId="77777777" w:rsidR="00DE0DDD" w:rsidRPr="00480A95" w:rsidRDefault="00DE0DDD" w:rsidP="00DE0DDD">
      <w:pPr>
        <w:spacing w:after="0" w:line="276" w:lineRule="auto"/>
        <w:jc w:val="both"/>
        <w:rPr>
          <w:rFonts w:ascii="Verdana" w:eastAsia="Times New Roman" w:hAnsi="Verdana" w:cs="Arial"/>
          <w:lang w:val="es-ES" w:eastAsia="es-CO"/>
        </w:rPr>
      </w:pPr>
      <w:r>
        <w:rPr>
          <w:rFonts w:ascii="Verdana" w:hAnsi="Verdana" w:cs="Arial"/>
          <w:lang w:val="es-ES" w:eastAsia="es-ES" w:bidi="es-ES"/>
        </w:rPr>
        <w:t xml:space="preserve">ii. </w:t>
      </w:r>
      <w:r w:rsidRPr="00480A95">
        <w:rPr>
          <w:rFonts w:ascii="Verdana" w:hAnsi="Verdana" w:cs="Arial"/>
          <w:lang w:val="es-ES" w:eastAsia="es-ES" w:bidi="es-ES"/>
        </w:rPr>
        <w:t xml:space="preserve">Para responder al </w:t>
      </w:r>
      <w:r>
        <w:rPr>
          <w:rFonts w:ascii="Verdana" w:hAnsi="Verdana" w:cs="Arial"/>
          <w:lang w:val="es-ES" w:eastAsia="es-ES" w:bidi="es-ES"/>
        </w:rPr>
        <w:t>objeto de la consulta, se debe</w:t>
      </w:r>
      <w:r w:rsidRPr="00480A95">
        <w:rPr>
          <w:rFonts w:ascii="Verdana" w:hAnsi="Verdana" w:cs="Arial"/>
          <w:lang w:val="es-ES" w:eastAsia="es-ES" w:bidi="es-ES"/>
        </w:rPr>
        <w:t xml:space="preserve"> precisar el alcance de la prohibición </w:t>
      </w:r>
      <w:r w:rsidRPr="00480A95">
        <w:rPr>
          <w:rFonts w:ascii="Verdana" w:eastAsia="Arial" w:hAnsi="Verdana" w:cs="Arial"/>
          <w:lang w:val="es-ES" w:eastAsia="es-ES" w:bidi="es-ES"/>
        </w:rPr>
        <w:t>establecida en e</w:t>
      </w:r>
      <w:r w:rsidRPr="00480A95">
        <w:rPr>
          <w:rFonts w:ascii="Verdana" w:hAnsi="Verdana" w:cs="Arial"/>
          <w:lang w:val="es-ES"/>
        </w:rPr>
        <w:t xml:space="preserve">l </w:t>
      </w:r>
      <w:r w:rsidRPr="00480A95">
        <w:rPr>
          <w:rFonts w:ascii="Verdana" w:eastAsia="Times New Roman" w:hAnsi="Verdana" w:cs="Arial"/>
          <w:lang w:val="es-ES"/>
        </w:rPr>
        <w:t xml:space="preserve">artículo 33 de la Ley 996 de 2005 y sus excepciones. El </w:t>
      </w:r>
      <w:r w:rsidRPr="00480A95">
        <w:rPr>
          <w:rFonts w:ascii="Verdana" w:eastAsia="Times New Roman" w:hAnsi="Verdana" w:cs="Arial"/>
          <w:i/>
          <w:iCs/>
          <w:lang w:val="es-ES"/>
        </w:rPr>
        <w:t>ámbito material</w:t>
      </w:r>
      <w:r w:rsidRPr="00480A95">
        <w:rPr>
          <w:rFonts w:ascii="Verdana" w:eastAsia="Times New Roman" w:hAnsi="Verdana" w:cs="Arial"/>
          <w:lang w:val="es-ES"/>
        </w:rPr>
        <w:t xml:space="preserve"> de esta prohibición está delimitado por la expresión </w:t>
      </w:r>
      <w:r w:rsidRPr="00480A95">
        <w:rPr>
          <w:rFonts w:ascii="Verdana" w:hAnsi="Verdana" w:cs="Arial"/>
          <w:bCs/>
          <w:lang w:val="es-ES"/>
        </w:rPr>
        <w:t>“</w:t>
      </w:r>
      <w:r w:rsidRPr="00480A95">
        <w:rPr>
          <w:rFonts w:ascii="Verdana" w:eastAsia="Times New Roman" w:hAnsi="Verdana" w:cs="Arial"/>
          <w:lang w:val="es-ES"/>
        </w:rPr>
        <w:t>queda prohibida la contratación directa</w:t>
      </w:r>
      <w:r w:rsidRPr="00480A95">
        <w:rPr>
          <w:rFonts w:ascii="Verdana" w:hAnsi="Verdana" w:cs="Arial"/>
          <w:lang w:val="es-ES"/>
        </w:rPr>
        <w:t>”</w:t>
      </w:r>
      <w:r w:rsidRPr="00480A95">
        <w:rPr>
          <w:rFonts w:ascii="Verdana" w:eastAsia="Times New Roman" w:hAnsi="Verdana" w:cs="Arial"/>
          <w:lang w:val="es-ES"/>
        </w:rPr>
        <w:t xml:space="preserve">. </w:t>
      </w:r>
      <w:r w:rsidRPr="00480A95">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2B8C8F3A" w14:textId="77777777" w:rsidR="00DE0DDD" w:rsidRPr="00480A95" w:rsidRDefault="00DE0DDD" w:rsidP="00DE0DDD">
      <w:pPr>
        <w:spacing w:after="0" w:line="276" w:lineRule="auto"/>
        <w:ind w:firstLine="709"/>
        <w:jc w:val="both"/>
        <w:rPr>
          <w:rFonts w:ascii="Verdana" w:eastAsia="Times New Roman" w:hAnsi="Verdana" w:cs="Arial"/>
          <w:lang w:val="es-ES" w:eastAsia="es-CO"/>
        </w:rPr>
      </w:pPr>
    </w:p>
    <w:p w14:paraId="4A5F7D16" w14:textId="77777777" w:rsidR="00DE0DDD" w:rsidRPr="00480A95" w:rsidRDefault="00DE0DDD" w:rsidP="00DE0DDD">
      <w:pPr>
        <w:spacing w:after="0" w:line="240" w:lineRule="auto"/>
        <w:ind w:left="709" w:right="709"/>
        <w:jc w:val="both"/>
        <w:rPr>
          <w:rFonts w:ascii="Verdana" w:hAnsi="Verdana" w:cs="Arial"/>
          <w:sz w:val="20"/>
          <w:szCs w:val="20"/>
        </w:rPr>
      </w:pPr>
      <w:r w:rsidRPr="00480A95">
        <w:rPr>
          <w:rFonts w:ascii="Verdana" w:hAnsi="Verdana" w:cs="Arial"/>
          <w:sz w:val="20"/>
          <w:szCs w:val="20"/>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480A95">
        <w:rPr>
          <w:rFonts w:ascii="Verdana" w:eastAsia="Times New Roman" w:hAnsi="Verdana" w:cs="Arial"/>
          <w:sz w:val="20"/>
          <w:szCs w:val="20"/>
          <w:vertAlign w:val="superscript"/>
        </w:rPr>
        <w:footnoteReference w:id="10"/>
      </w:r>
      <w:r w:rsidRPr="00480A95">
        <w:rPr>
          <w:rFonts w:ascii="Verdana" w:eastAsia="Times New Roman" w:hAnsi="Verdana" w:cs="Arial"/>
          <w:sz w:val="20"/>
          <w:szCs w:val="20"/>
          <w:vertAlign w:val="superscript"/>
        </w:rPr>
        <w:t>.</w:t>
      </w:r>
      <w:r w:rsidRPr="00480A9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w:t>
      </w:r>
      <w:r w:rsidRPr="00480A95">
        <w:rPr>
          <w:rFonts w:ascii="Verdana" w:hAnsi="Verdana" w:cs="Arial"/>
          <w:sz w:val="20"/>
          <w:szCs w:val="20"/>
        </w:rPr>
        <w:lastRenderedPageBreak/>
        <w:t>por la cual en ese periodo preelectoral de que trata la disposición pueden las entidades públicas seguir contratando bajo estos sistemas (…)”</w:t>
      </w:r>
      <w:r w:rsidRPr="00480A95">
        <w:rPr>
          <w:rFonts w:ascii="Verdana" w:eastAsia="Times New Roman" w:hAnsi="Verdana" w:cs="Arial"/>
          <w:sz w:val="20"/>
          <w:szCs w:val="20"/>
          <w:vertAlign w:val="superscript"/>
          <w:lang w:eastAsia="es-CO"/>
        </w:rPr>
        <w:footnoteReference w:id="11"/>
      </w:r>
      <w:r w:rsidRPr="00480A95">
        <w:rPr>
          <w:rFonts w:ascii="Verdana" w:hAnsi="Verdana" w:cs="Arial"/>
          <w:sz w:val="20"/>
          <w:szCs w:val="20"/>
        </w:rPr>
        <w:t>.</w:t>
      </w:r>
    </w:p>
    <w:p w14:paraId="4C4E86BD" w14:textId="77777777" w:rsidR="00DE0DDD" w:rsidRPr="00480A95" w:rsidRDefault="00DE0DDD" w:rsidP="00DE0DDD">
      <w:pPr>
        <w:shd w:val="clear" w:color="auto" w:fill="FFFFFF" w:themeFill="background1"/>
        <w:spacing w:after="0" w:line="240" w:lineRule="auto"/>
        <w:ind w:firstLine="709"/>
        <w:jc w:val="both"/>
        <w:rPr>
          <w:rFonts w:ascii="Verdana" w:eastAsia="Times New Roman" w:hAnsi="Verdana" w:cs="Arial"/>
          <w:lang w:val="es-ES" w:eastAsia="x-none"/>
        </w:rPr>
      </w:pPr>
    </w:p>
    <w:p w14:paraId="7B93E104" w14:textId="77777777" w:rsidR="00DE0DDD" w:rsidRPr="00480A95" w:rsidRDefault="00DE0DDD" w:rsidP="00DE0DDD">
      <w:pPr>
        <w:spacing w:after="120" w:line="276" w:lineRule="auto"/>
        <w:ind w:firstLine="708"/>
        <w:jc w:val="both"/>
        <w:rPr>
          <w:rFonts w:ascii="Verdana" w:eastAsia="Times New Roman" w:hAnsi="Verdana" w:cs="Arial"/>
          <w:bCs/>
          <w:lang w:val="es-ES" w:eastAsia="x-none"/>
        </w:rPr>
      </w:pPr>
      <w:r w:rsidRPr="00480A95">
        <w:rPr>
          <w:rFonts w:ascii="Verdana" w:eastAsia="Times New Roman" w:hAnsi="Verdana" w:cs="Arial"/>
          <w:lang w:val="es-ES" w:eastAsia="x-none"/>
        </w:rPr>
        <w:t xml:space="preserve">De acuerdo con este concepto, la prohibición del artículo 33 de la Ley de Garantías Electorales se refiere a </w:t>
      </w:r>
      <w:r w:rsidRPr="00480A95">
        <w:rPr>
          <w:rFonts w:ascii="Verdana" w:eastAsia="Times New Roman" w:hAnsi="Verdana" w:cs="Arial"/>
          <w:sz w:val="19"/>
          <w:szCs w:val="19"/>
          <w:lang w:val="es-ES" w:eastAsia="en-GB"/>
        </w:rPr>
        <w:t>“</w:t>
      </w:r>
      <w:r w:rsidRPr="00480A95">
        <w:rPr>
          <w:rFonts w:ascii="Verdana" w:eastAsia="Times New Roman" w:hAnsi="Verdana" w:cs="Arial"/>
          <w:lang w:val="es-ES" w:eastAsia="x-none"/>
        </w:rPr>
        <w:t>cualquier sistema que no implique convocatoria pública y posibilidad de pluralidad de oferentes</w:t>
      </w:r>
      <w:r w:rsidRPr="00480A95">
        <w:rPr>
          <w:rFonts w:ascii="Verdana" w:eastAsia="Times New Roman" w:hAnsi="Verdana" w:cs="Arial"/>
          <w:lang w:val="es-ES" w:eastAsia="en-GB"/>
        </w:rPr>
        <w:t>”</w:t>
      </w:r>
      <w:r w:rsidRPr="00480A95">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480A95">
        <w:rPr>
          <w:rFonts w:ascii="Verdana" w:eastAsia="Times New Roman" w:hAnsi="Verdana" w:cs="Arial"/>
          <w:lang w:val="es-ES"/>
        </w:rPr>
        <w:t>y la mínima cuantía</w:t>
      </w:r>
      <w:r w:rsidRPr="00480A95" w:rsidDel="00A85D9F">
        <w:rPr>
          <w:rFonts w:ascii="Verdana" w:eastAsia="Times New Roman" w:hAnsi="Verdana" w:cs="Arial"/>
          <w:lang w:val="es-ES" w:eastAsia="x-none"/>
        </w:rPr>
        <w:t xml:space="preserve"> </w:t>
      </w:r>
      <w:r w:rsidRPr="00480A95">
        <w:rPr>
          <w:rFonts w:ascii="Verdana" w:eastAsia="Times New Roman" w:hAnsi="Verdana" w:cs="Arial"/>
          <w:lang w:val="es-ES"/>
        </w:rPr>
        <w:t xml:space="preserve">u otros previstos en normas especiales. </w:t>
      </w:r>
      <w:r w:rsidRPr="00480A95">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480A95">
        <w:rPr>
          <w:rFonts w:ascii="Verdana" w:eastAsia="Times New Roman" w:hAnsi="Verdana" w:cs="Arial"/>
          <w:vertAlign w:val="superscript"/>
          <w:lang w:val="es-ES" w:eastAsia="x-none"/>
        </w:rPr>
        <w:footnoteReference w:id="12"/>
      </w:r>
      <w:r w:rsidRPr="00480A95">
        <w:rPr>
          <w:rFonts w:ascii="Verdana" w:eastAsia="Times New Roman" w:hAnsi="Verdana" w:cs="Arial"/>
          <w:lang w:val="es-ES" w:eastAsia="x-none"/>
        </w:rPr>
        <w:t xml:space="preserve"> y sistematizó las causales de contratación directa</w:t>
      </w:r>
      <w:r w:rsidRPr="00480A95">
        <w:rPr>
          <w:rFonts w:ascii="Verdana" w:eastAsia="Times New Roman" w:hAnsi="Verdana" w:cs="Arial"/>
          <w:vertAlign w:val="superscript"/>
          <w:lang w:val="es-ES" w:eastAsia="x-none"/>
        </w:rPr>
        <w:footnoteReference w:id="13"/>
      </w:r>
      <w:r w:rsidRPr="00480A95">
        <w:rPr>
          <w:rFonts w:ascii="Verdana" w:eastAsia="Times New Roman" w:hAnsi="Verdana" w:cs="Arial"/>
          <w:lang w:val="es-ES" w:eastAsia="x-none"/>
        </w:rPr>
        <w:t xml:space="preserve">, </w:t>
      </w:r>
      <w:r w:rsidRPr="00480A95">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32C46EB" w14:textId="77777777" w:rsidR="00DE0DDD" w:rsidRPr="00480A95" w:rsidRDefault="00DE0DDD" w:rsidP="00DE0DDD">
      <w:pPr>
        <w:spacing w:after="120" w:line="276" w:lineRule="auto"/>
        <w:ind w:firstLine="708"/>
        <w:jc w:val="both"/>
        <w:rPr>
          <w:rFonts w:ascii="Verdana" w:eastAsia="Times New Roman" w:hAnsi="Verdana" w:cs="Arial"/>
          <w:bCs/>
          <w:lang w:val="es-ES" w:eastAsia="es-CO"/>
        </w:rPr>
      </w:pPr>
      <w:r w:rsidRPr="00480A95">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480A95">
        <w:rPr>
          <w:rFonts w:ascii="Verdana" w:eastAsia="Times New Roman" w:hAnsi="Verdana" w:cs="Arial"/>
          <w:bCs/>
          <w:i/>
          <w:iCs/>
          <w:lang w:val="es-ES" w:eastAsia="es-CO"/>
        </w:rPr>
        <w:t>, sino también frente a las entidades que tengan un régimen especial de contratación</w:t>
      </w:r>
      <w:r w:rsidRPr="00480A95">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480A95">
        <w:rPr>
          <w:rFonts w:ascii="Verdana" w:eastAsia="Times New Roman" w:hAnsi="Verdana" w:cs="Arial"/>
          <w:lang w:val="es-ES"/>
        </w:rPr>
        <w:t xml:space="preserve">Así, para la prohibición o restricción temporal contenida en su artículo 33, “contratación directa” es </w:t>
      </w:r>
      <w:r w:rsidRPr="00480A95">
        <w:rPr>
          <w:rFonts w:ascii="Verdana" w:eastAsia="Times New Roman" w:hAnsi="Verdana" w:cs="Arial"/>
          <w:i/>
          <w:iCs/>
          <w:lang w:val="es-ES"/>
        </w:rPr>
        <w:t>cualquier</w:t>
      </w:r>
      <w:r w:rsidRPr="00480A95">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480A95">
        <w:rPr>
          <w:rFonts w:ascii="Verdana" w:eastAsia="Times New Roman" w:hAnsi="Verdana" w:cs="Arial"/>
          <w:vertAlign w:val="superscript"/>
          <w:lang w:val="es-ES" w:eastAsia="x-none"/>
        </w:rPr>
        <w:footnoteReference w:id="14"/>
      </w:r>
      <w:r w:rsidRPr="00480A95">
        <w:rPr>
          <w:rFonts w:ascii="Verdana" w:eastAsia="Times New Roman" w:hAnsi="Verdana" w:cs="Arial"/>
          <w:lang w:val="es-ES"/>
        </w:rPr>
        <w:t>.</w:t>
      </w:r>
      <w:r w:rsidRPr="00480A95">
        <w:rPr>
          <w:rFonts w:ascii="Verdana" w:eastAsia="Times New Roman" w:hAnsi="Verdana" w:cs="Arial"/>
          <w:vertAlign w:val="superscript"/>
          <w:lang w:val="es-ES" w:eastAsia="x-none"/>
        </w:rPr>
        <w:t xml:space="preserve"> </w:t>
      </w:r>
    </w:p>
    <w:p w14:paraId="04A997F1" w14:textId="77777777" w:rsidR="00DE0DDD" w:rsidRPr="00480A95" w:rsidRDefault="00DE0DDD" w:rsidP="00DE0DDD">
      <w:pPr>
        <w:spacing w:after="120" w:line="276" w:lineRule="auto"/>
        <w:ind w:firstLine="708"/>
        <w:jc w:val="both"/>
        <w:rPr>
          <w:rFonts w:ascii="Verdana" w:eastAsia="Times New Roman" w:hAnsi="Verdana" w:cs="Arial"/>
          <w:lang w:val="es-ES"/>
        </w:rPr>
      </w:pPr>
      <w:r w:rsidRPr="00480A95">
        <w:rPr>
          <w:rFonts w:ascii="Verdana" w:eastAsia="Times New Roman" w:hAnsi="Verdana" w:cs="Arial"/>
          <w:lang w:val="es-ES"/>
        </w:rPr>
        <w:t xml:space="preserve">De lo anterior se desprende que la restricción aplica, sin perjuicio de las excepciones establecidas en la misma ley, para celebrar </w:t>
      </w:r>
      <w:r w:rsidRPr="00480A95">
        <w:rPr>
          <w:rFonts w:ascii="Verdana" w:eastAsia="Times New Roman" w:hAnsi="Verdana" w:cs="Arial"/>
          <w:i/>
          <w:iCs/>
          <w:lang w:val="es-ES"/>
        </w:rPr>
        <w:t>cualquier contrato o convenio de forma directa</w:t>
      </w:r>
      <w:r w:rsidRPr="00480A95">
        <w:rPr>
          <w:rFonts w:ascii="Verdana" w:eastAsia="Times New Roman" w:hAnsi="Verdana" w:cs="Arial"/>
          <w:lang w:val="es-ES"/>
        </w:rPr>
        <w:t xml:space="preserve">, esto es, sin que exista un proceso abierto y competitivo. Por tanto, no son materia de la prohibición las demás modalidades </w:t>
      </w:r>
      <w:r w:rsidRPr="00480A95">
        <w:rPr>
          <w:rFonts w:ascii="Verdana" w:eastAsia="Times New Roman" w:hAnsi="Verdana" w:cs="Arial"/>
          <w:lang w:val="es-ES"/>
        </w:rPr>
        <w:lastRenderedPageBreak/>
        <w:t>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936A1AF" w14:textId="77777777" w:rsidR="00DE0DDD" w:rsidRPr="00480A95" w:rsidRDefault="00DE0DDD" w:rsidP="00DE0DDD">
      <w:pPr>
        <w:spacing w:after="120" w:line="276" w:lineRule="auto"/>
        <w:ind w:firstLine="709"/>
        <w:jc w:val="both"/>
        <w:rPr>
          <w:rFonts w:ascii="Verdana" w:eastAsia="Century Gothic" w:hAnsi="Verdana" w:cs="Century Gothic"/>
        </w:rPr>
      </w:pPr>
      <w:r w:rsidRPr="00480A95">
        <w:rPr>
          <w:rFonts w:ascii="Verdana" w:eastAsia="Calibri" w:hAnsi="Verdana" w:cs="Arial"/>
          <w:color w:val="000000" w:themeColor="text1"/>
          <w:lang w:val="es-ES"/>
        </w:rPr>
        <w:t xml:space="preserve">Teniendo en cuenta la explicación precedente, se señala que los </w:t>
      </w:r>
      <w:r w:rsidRPr="00480A95">
        <w:rPr>
          <w:rFonts w:ascii="Verdana" w:eastAsia="Century Gothic" w:hAnsi="Verdana" w:cs="Century Gothic"/>
        </w:rPr>
        <w:t xml:space="preserve">convenios especiales de cooperación para el desarrollo de actividades de ciencia, tecnología e innovación que están prohibidos contratar durante los cuatro (4) meses previos a las elecciones de presidente son aquellos que se celebren de manera directa, es decir, a través de una modalidad de contratación que no implique pluralidad de oferentes. </w:t>
      </w:r>
    </w:p>
    <w:p w14:paraId="3FE5AC10" w14:textId="77777777" w:rsidR="00DE0DDD" w:rsidRPr="00480A95" w:rsidRDefault="00DE0DDD" w:rsidP="00DE0DDD">
      <w:pPr>
        <w:spacing w:after="0" w:line="276" w:lineRule="auto"/>
        <w:ind w:firstLine="709"/>
        <w:jc w:val="both"/>
        <w:rPr>
          <w:rFonts w:ascii="Verdana" w:eastAsia="Times New Roman" w:hAnsi="Verdana" w:cs="Arial"/>
          <w:lang w:val="es-ES"/>
        </w:rPr>
      </w:pPr>
      <w:r w:rsidRPr="00480A95">
        <w:rPr>
          <w:rFonts w:ascii="Verdana" w:eastAsia="Times New Roman" w:hAnsi="Verdana" w:cs="Arial"/>
          <w:bCs/>
          <w:lang w:val="es-ES" w:eastAsia="es-CO"/>
        </w:rPr>
        <w:t xml:space="preserve">Con respecto a los </w:t>
      </w:r>
      <w:r w:rsidRPr="00480A95">
        <w:rPr>
          <w:rFonts w:ascii="Verdana" w:eastAsia="Times New Roman" w:hAnsi="Verdana" w:cs="Arial"/>
          <w:bCs/>
          <w:i/>
          <w:iCs/>
          <w:lang w:val="es-ES" w:eastAsia="es-CO"/>
        </w:rPr>
        <w:t>sujetos</w:t>
      </w:r>
      <w:r w:rsidRPr="00480A95">
        <w:rPr>
          <w:rFonts w:ascii="Verdana" w:eastAsia="Times New Roman" w:hAnsi="Verdana" w:cs="Arial"/>
          <w:bCs/>
          <w:lang w:val="es-ES" w:eastAsia="es-CO"/>
        </w:rPr>
        <w:t xml:space="preserve"> que se encuentran enmarcados en la prohibición del artículo 33, </w:t>
      </w:r>
      <w:r w:rsidRPr="00480A95">
        <w:rPr>
          <w:rFonts w:ascii="Verdana" w:eastAsia="Times New Roman" w:hAnsi="Verdana" w:cs="Arial"/>
          <w:lang w:val="es-ES"/>
        </w:rPr>
        <w:t>la Ley 996 de 2005 señala expresamente que son “</w:t>
      </w:r>
      <w:r w:rsidRPr="00480A95">
        <w:rPr>
          <w:rFonts w:ascii="Verdana" w:eastAsia="Times New Roman" w:hAnsi="Verdana" w:cs="Arial"/>
          <w:i/>
          <w:iCs/>
          <w:u w:val="single"/>
          <w:lang w:val="es-ES"/>
        </w:rPr>
        <w:t>todos</w:t>
      </w:r>
      <w:r w:rsidRPr="00480A95">
        <w:rPr>
          <w:rFonts w:ascii="Verdana" w:eastAsia="Times New Roman" w:hAnsi="Verdana" w:cs="Arial"/>
          <w:i/>
          <w:iCs/>
          <w:lang w:val="es-ES"/>
        </w:rPr>
        <w:t xml:space="preserve"> los entes del Estado</w:t>
      </w:r>
      <w:r w:rsidRPr="00480A95">
        <w:rPr>
          <w:rFonts w:ascii="Verdana" w:eastAsia="Times New Roman" w:hAnsi="Verdana" w:cs="Arial"/>
          <w:lang w:val="es-ES"/>
        </w:rPr>
        <w:t>” (énfasis propio). Al respecto la Sala de Consulta y Servicio Civil del Consejo de Estado señaló lo siguiente:</w:t>
      </w:r>
    </w:p>
    <w:p w14:paraId="6906B475" w14:textId="77777777" w:rsidR="00DE0DDD" w:rsidRPr="00480A95" w:rsidRDefault="00DE0DDD" w:rsidP="00DE0DDD">
      <w:pPr>
        <w:spacing w:after="0" w:line="276" w:lineRule="auto"/>
        <w:ind w:firstLine="709"/>
        <w:jc w:val="both"/>
        <w:rPr>
          <w:rFonts w:ascii="Verdana" w:eastAsia="Times New Roman" w:hAnsi="Verdana" w:cs="Arial"/>
          <w:lang w:val="es-ES"/>
        </w:rPr>
      </w:pPr>
    </w:p>
    <w:p w14:paraId="4145D3C1" w14:textId="77777777" w:rsidR="00DE0DDD" w:rsidRPr="00480A95" w:rsidRDefault="00DE0DDD" w:rsidP="00DE0DDD">
      <w:pPr>
        <w:spacing w:after="0" w:line="240" w:lineRule="auto"/>
        <w:ind w:left="709" w:right="709"/>
        <w:jc w:val="both"/>
        <w:rPr>
          <w:rFonts w:ascii="Verdana" w:eastAsia="Times New Roman" w:hAnsi="Verdana" w:cs="Arial"/>
          <w:sz w:val="20"/>
          <w:szCs w:val="20"/>
          <w:lang w:eastAsia="es-CO"/>
        </w:rPr>
      </w:pPr>
      <w:r w:rsidRPr="00480A95">
        <w:rPr>
          <w:rFonts w:ascii="Verdana" w:eastAsia="Times New Roman" w:hAnsi="Verdana" w:cs="Arial"/>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480A95">
        <w:rPr>
          <w:rFonts w:ascii="Verdana" w:eastAsia="Times New Roman" w:hAnsi="Verdana" w:cs="Arial"/>
          <w:sz w:val="20"/>
          <w:szCs w:val="20"/>
          <w:vertAlign w:val="superscript"/>
          <w:lang w:eastAsia="es-CO"/>
        </w:rPr>
        <w:footnoteReference w:id="15"/>
      </w:r>
      <w:r w:rsidRPr="00480A95">
        <w:rPr>
          <w:rFonts w:ascii="Verdana" w:eastAsia="Times New Roman" w:hAnsi="Verdana" w:cs="Arial"/>
          <w:sz w:val="20"/>
          <w:szCs w:val="20"/>
          <w:lang w:eastAsia="es-CO"/>
        </w:rPr>
        <w:t>.</w:t>
      </w:r>
    </w:p>
    <w:p w14:paraId="2ED9787E" w14:textId="77777777" w:rsidR="00DE0DDD" w:rsidRPr="00480A95" w:rsidRDefault="00DE0DDD" w:rsidP="00DE0DDD">
      <w:pPr>
        <w:spacing w:after="0" w:line="240" w:lineRule="auto"/>
        <w:ind w:left="709" w:right="709"/>
        <w:jc w:val="both"/>
        <w:rPr>
          <w:rFonts w:ascii="Verdana" w:eastAsia="Times New Roman" w:hAnsi="Verdana" w:cs="Arial"/>
          <w:bCs/>
          <w:lang w:val="es-ES" w:eastAsia="es-CO"/>
        </w:rPr>
      </w:pPr>
    </w:p>
    <w:p w14:paraId="67F04A65" w14:textId="77777777" w:rsidR="00DE0DDD" w:rsidRPr="00480A95" w:rsidRDefault="00DE0DDD" w:rsidP="00DE0DDD">
      <w:pPr>
        <w:spacing w:after="120" w:line="276" w:lineRule="auto"/>
        <w:ind w:firstLine="708"/>
        <w:jc w:val="both"/>
        <w:rPr>
          <w:rFonts w:ascii="Verdana" w:hAnsi="Verdana" w:cs="Arial"/>
          <w:bCs/>
          <w:lang w:val="es-ES" w:eastAsia="es-CO"/>
        </w:rPr>
      </w:pPr>
      <w:r w:rsidRPr="00480A95">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480A95">
        <w:rPr>
          <w:rFonts w:ascii="Verdana" w:hAnsi="Verdana"/>
          <w:lang w:val="es-ES"/>
        </w:rPr>
        <w:t xml:space="preserve"> </w:t>
      </w:r>
      <w:r w:rsidRPr="00480A95">
        <w:rPr>
          <w:rFonts w:ascii="Verdana" w:hAnsi="Verdana" w:cs="Arial"/>
          <w:bCs/>
          <w:lang w:val="es-ES" w:eastAsia="x-none"/>
        </w:rPr>
        <w:t>En efecto, tal como lo ha sostenido el Consejo de Estado, el vocablo “todos” utilizado por el legislador comprende</w:t>
      </w:r>
      <w:r w:rsidRPr="00480A95">
        <w:rPr>
          <w:rFonts w:ascii="Verdana" w:hAnsi="Verdana"/>
          <w:lang w:val="es-ES"/>
        </w:rPr>
        <w:t xml:space="preserve"> </w:t>
      </w:r>
      <w:r w:rsidRPr="00480A95">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480A95">
        <w:rPr>
          <w:rFonts w:ascii="Verdana" w:hAnsi="Verdana" w:cs="Arial"/>
          <w:bCs/>
          <w:vertAlign w:val="superscript"/>
          <w:lang w:val="es-ES" w:eastAsia="x-none"/>
        </w:rPr>
        <w:footnoteReference w:id="16"/>
      </w:r>
      <w:r w:rsidRPr="00480A95">
        <w:rPr>
          <w:rFonts w:ascii="Verdana" w:hAnsi="Verdana" w:cs="Arial"/>
          <w:bCs/>
          <w:lang w:val="es-ES" w:eastAsia="x-none"/>
        </w:rPr>
        <w:t>.</w:t>
      </w:r>
      <w:r w:rsidRPr="00480A95">
        <w:rPr>
          <w:rFonts w:ascii="Verdana" w:hAnsi="Verdana" w:cs="Arial"/>
          <w:bCs/>
          <w:lang w:val="es-ES" w:eastAsia="es-CO"/>
        </w:rPr>
        <w:t>”</w:t>
      </w:r>
    </w:p>
    <w:p w14:paraId="0862EF9E" w14:textId="77777777" w:rsidR="00DE0DDD" w:rsidRPr="00480A95" w:rsidRDefault="00DE0DDD" w:rsidP="00DE0DDD">
      <w:pPr>
        <w:spacing w:after="120" w:line="276" w:lineRule="auto"/>
        <w:ind w:firstLine="709"/>
        <w:jc w:val="both"/>
        <w:rPr>
          <w:rFonts w:ascii="Verdana" w:eastAsia="Arial" w:hAnsi="Verdana" w:cs="Arial"/>
          <w:bCs/>
          <w:color w:val="000000" w:themeColor="text1"/>
          <w:lang w:val="es-ES"/>
        </w:rPr>
      </w:pPr>
      <w:r w:rsidRPr="00480A95">
        <w:rPr>
          <w:rFonts w:ascii="Verdana" w:eastAsia="Arial" w:hAnsi="Verdana" w:cs="Arial"/>
          <w:color w:val="000000" w:themeColor="text1"/>
          <w:lang w:val="es-ES"/>
        </w:rPr>
        <w:lastRenderedPageBreak/>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568F3B97" w14:textId="77777777" w:rsidR="00DE0DDD" w:rsidRPr="00480A95" w:rsidRDefault="00DE0DDD" w:rsidP="00DE0DDD">
      <w:pPr>
        <w:spacing w:after="120" w:line="276" w:lineRule="auto"/>
        <w:ind w:firstLine="709"/>
        <w:jc w:val="both"/>
        <w:rPr>
          <w:rFonts w:ascii="Verdana" w:hAnsi="Verdana" w:cs="Arial"/>
          <w:bCs/>
          <w:color w:val="000000" w:themeColor="text1"/>
          <w:lang w:val="es-ES"/>
        </w:rPr>
      </w:pPr>
      <w:r w:rsidRPr="00480A95">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480A95">
        <w:rPr>
          <w:rFonts w:ascii="Verdana" w:hAnsi="Verdana" w:cs="Arial"/>
          <w:bCs/>
          <w:color w:val="000000" w:themeColor="text1"/>
          <w:lang w:val="es-ES"/>
        </w:rPr>
        <w:t xml:space="preserve">el segundo inciso de la misma disposición consagró las excepciones aplicables a la prohibición de contratación directa establecida en el mismo artículo. </w:t>
      </w:r>
    </w:p>
    <w:p w14:paraId="4FEDFCBA" w14:textId="77777777" w:rsidR="00DE0DDD" w:rsidRPr="00480A95" w:rsidRDefault="00DE0DDD" w:rsidP="00DE0DDD">
      <w:pPr>
        <w:spacing w:after="120" w:line="276" w:lineRule="auto"/>
        <w:ind w:firstLine="709"/>
        <w:jc w:val="both"/>
        <w:rPr>
          <w:rFonts w:ascii="Verdana" w:hAnsi="Verdana" w:cs="Arial"/>
          <w:bCs/>
          <w:color w:val="000000" w:themeColor="text1"/>
          <w:lang w:val="es-ES"/>
        </w:rPr>
      </w:pPr>
      <w:r w:rsidRPr="00480A95">
        <w:rPr>
          <w:rFonts w:ascii="Verdana" w:hAnsi="Verdana" w:cs="Arial"/>
          <w:bCs/>
          <w:color w:val="000000" w:themeColor="text1"/>
          <w:lang w:val="es-ES"/>
        </w:rPr>
        <w:t>Como se indicó, las excepciones a la prohibición del artículo 33 de la norma mencionada son las siguientes:</w:t>
      </w:r>
    </w:p>
    <w:p w14:paraId="7805427C" w14:textId="77777777" w:rsidR="00DE0DDD" w:rsidRPr="00480A95" w:rsidRDefault="00DE0DDD" w:rsidP="00DE0DDD">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1) La contratación referente a la defensa y seguridad del Estado;</w:t>
      </w:r>
    </w:p>
    <w:p w14:paraId="7CD483DB" w14:textId="77777777" w:rsidR="00DE0DDD" w:rsidRPr="00480A95" w:rsidRDefault="00DE0DDD" w:rsidP="00DE0DDD">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2) Los contratos de crédito público;</w:t>
      </w:r>
    </w:p>
    <w:p w14:paraId="7FD36FA7" w14:textId="77777777" w:rsidR="00DE0DDD" w:rsidRPr="00480A95" w:rsidRDefault="00DE0DDD" w:rsidP="00DE0DDD">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 xml:space="preserve">3) Los contratos requeridos para cubrir las emergencias educativas, sanitarias y desastres; </w:t>
      </w:r>
    </w:p>
    <w:p w14:paraId="6D6F46B0" w14:textId="77777777" w:rsidR="00DE0DDD" w:rsidRPr="00480A95" w:rsidRDefault="00DE0DDD" w:rsidP="00DE0DDD">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60F7B2DD" w14:textId="77777777" w:rsidR="00DE0DDD" w:rsidRPr="000D0816" w:rsidRDefault="00DE0DDD" w:rsidP="00DE0DDD">
      <w:pPr>
        <w:tabs>
          <w:tab w:val="left" w:pos="709"/>
        </w:tabs>
        <w:spacing w:before="120" w:line="276" w:lineRule="auto"/>
        <w:jc w:val="both"/>
        <w:rPr>
          <w:rFonts w:ascii="Verdana" w:hAnsi="Verdana" w:cs="Arial"/>
          <w:bCs/>
          <w:color w:val="000000" w:themeColor="text1"/>
          <w:lang w:val="es-ES"/>
        </w:rPr>
      </w:pPr>
      <w:r w:rsidRPr="00480A95">
        <w:rPr>
          <w:rFonts w:ascii="Verdana" w:hAnsi="Verdana" w:cs="Arial"/>
          <w:bCs/>
          <w:color w:val="000000" w:themeColor="text1"/>
          <w:lang w:val="es-ES"/>
        </w:rPr>
        <w:tab/>
      </w:r>
      <w:r w:rsidRPr="000D0816">
        <w:rPr>
          <w:rFonts w:ascii="Verdana" w:hAnsi="Verdana" w:cs="Arial"/>
          <w:bCs/>
          <w:color w:val="000000" w:themeColor="text1"/>
          <w:lang w:val="es-ES"/>
        </w:rPr>
        <w:t xml:space="preserve">5) La contratación que deban realizar las entidades sanitarias y hospitalarias. </w:t>
      </w:r>
    </w:p>
    <w:p w14:paraId="1995BBE7" w14:textId="77777777" w:rsidR="00DE0DDD" w:rsidRPr="00480A95" w:rsidRDefault="00DE0DDD" w:rsidP="00DE0DDD">
      <w:pPr>
        <w:tabs>
          <w:tab w:val="left" w:pos="426"/>
        </w:tabs>
        <w:spacing w:before="120" w:after="0" w:line="276" w:lineRule="auto"/>
        <w:ind w:firstLine="709"/>
        <w:jc w:val="both"/>
        <w:rPr>
          <w:rFonts w:ascii="Verdana" w:hAnsi="Verdana" w:cs="Arial"/>
          <w:bCs/>
          <w:color w:val="000000" w:themeColor="text1"/>
          <w:lang w:val="es-ES"/>
        </w:rPr>
      </w:pPr>
      <w:r w:rsidRPr="00480A95">
        <w:rPr>
          <w:rFonts w:ascii="Verdana" w:hAnsi="Verdana" w:cs="Arial"/>
          <w:bCs/>
          <w:color w:val="000000" w:themeColor="text1"/>
          <w:lang w:val="es-ES"/>
        </w:rPr>
        <w:lastRenderedPageBreak/>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0564AD0" w14:textId="77777777" w:rsidR="00DE0DDD" w:rsidRPr="00480A95" w:rsidRDefault="00DE0DDD" w:rsidP="00DE0DDD">
      <w:pPr>
        <w:tabs>
          <w:tab w:val="left" w:pos="426"/>
        </w:tabs>
        <w:spacing w:after="0" w:line="276" w:lineRule="auto"/>
        <w:ind w:firstLine="709"/>
        <w:jc w:val="both"/>
        <w:rPr>
          <w:rFonts w:ascii="Verdana" w:hAnsi="Verdana" w:cs="Arial"/>
          <w:bCs/>
          <w:color w:val="000000" w:themeColor="text1"/>
          <w:lang w:val="es-ES"/>
        </w:rPr>
      </w:pPr>
    </w:p>
    <w:p w14:paraId="2980C263" w14:textId="77777777" w:rsidR="00DE0DDD" w:rsidRPr="00480A95" w:rsidRDefault="00DE0DDD" w:rsidP="00DE0DDD">
      <w:pPr>
        <w:shd w:val="clear" w:color="auto" w:fill="FFFFFF" w:themeFill="background1"/>
        <w:spacing w:after="0" w:line="240" w:lineRule="auto"/>
        <w:ind w:left="709" w:right="709"/>
        <w:jc w:val="both"/>
        <w:rPr>
          <w:rFonts w:ascii="Verdana" w:hAnsi="Verdana" w:cs="Arial"/>
          <w:color w:val="000000" w:themeColor="text1"/>
          <w:sz w:val="20"/>
          <w:szCs w:val="20"/>
          <w:lang w:eastAsia="es-CO"/>
        </w:rPr>
      </w:pPr>
      <w:r w:rsidRPr="00480A95">
        <w:rPr>
          <w:rFonts w:ascii="Verdana" w:hAnsi="Verdana" w:cs="Arial"/>
          <w:color w:val="000000" w:themeColor="text1"/>
          <w:sz w:val="20"/>
          <w:szCs w:val="20"/>
          <w:lang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80A95">
        <w:rPr>
          <w:rFonts w:ascii="Verdana" w:hAnsi="Verdana" w:cs="Arial"/>
          <w:color w:val="000000" w:themeColor="text1"/>
          <w:sz w:val="20"/>
          <w:szCs w:val="20"/>
          <w:vertAlign w:val="superscript"/>
          <w:lang w:eastAsia="es-CO"/>
        </w:rPr>
        <w:footnoteReference w:id="17"/>
      </w:r>
      <w:r w:rsidRPr="00480A95">
        <w:rPr>
          <w:rFonts w:ascii="Verdana" w:hAnsi="Verdana" w:cs="Arial"/>
          <w:color w:val="000000" w:themeColor="text1"/>
          <w:sz w:val="20"/>
          <w:szCs w:val="20"/>
          <w:lang w:eastAsia="es-CO"/>
        </w:rPr>
        <w:t xml:space="preserve">”. </w:t>
      </w:r>
    </w:p>
    <w:p w14:paraId="4BAE2BFA" w14:textId="77777777" w:rsidR="00DE0DDD" w:rsidRPr="00480A95" w:rsidRDefault="00DE0DDD" w:rsidP="00DE0DDD">
      <w:pPr>
        <w:shd w:val="clear" w:color="auto" w:fill="FFFFFF"/>
        <w:spacing w:after="0" w:line="240" w:lineRule="auto"/>
        <w:ind w:left="709" w:right="709"/>
        <w:jc w:val="both"/>
        <w:rPr>
          <w:rFonts w:ascii="Verdana" w:hAnsi="Verdana" w:cs="Arial"/>
          <w:color w:val="000000" w:themeColor="text1"/>
          <w:lang w:val="es-ES" w:eastAsia="es-CO"/>
        </w:rPr>
      </w:pPr>
    </w:p>
    <w:p w14:paraId="73D9F1C1" w14:textId="77777777" w:rsidR="00DE0DDD" w:rsidRPr="00480A95" w:rsidRDefault="00DE0DDD" w:rsidP="00DE0DDD">
      <w:pPr>
        <w:tabs>
          <w:tab w:val="left" w:pos="426"/>
        </w:tabs>
        <w:spacing w:after="120" w:line="276" w:lineRule="auto"/>
        <w:ind w:firstLine="709"/>
        <w:jc w:val="both"/>
        <w:rPr>
          <w:rFonts w:ascii="Verdana" w:hAnsi="Verdana" w:cs="Arial"/>
          <w:color w:val="000000" w:themeColor="text1"/>
          <w:shd w:val="clear" w:color="auto" w:fill="FFFFFF"/>
        </w:rPr>
      </w:pPr>
      <w:r w:rsidRPr="00480A95">
        <w:rPr>
          <w:rFonts w:ascii="Verdana" w:hAnsi="Verdana" w:cs="Arial"/>
          <w:color w:val="000000" w:themeColor="text1"/>
        </w:rPr>
        <w:t xml:space="preserve">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taxativo, y señalando la independencia de los supuestos, así: “(…) </w:t>
      </w:r>
      <w:r w:rsidRPr="00480A95">
        <w:rPr>
          <w:rFonts w:ascii="Verdana" w:hAnsi="Verdana" w:cs="Arial"/>
          <w:i/>
          <w:iCs/>
          <w:color w:val="000000" w:themeColor="text1"/>
        </w:rPr>
        <w:t xml:space="preserve">Las excepciones aplicables a la restricción de contratación pública. </w:t>
      </w:r>
      <w:r w:rsidRPr="00480A95">
        <w:rPr>
          <w:rFonts w:ascii="Verdana" w:hAnsi="Verdana" w:cs="Arial"/>
          <w:color w:val="000000" w:themeColor="text1"/>
          <w:shd w:val="clear" w:color="auto" w:fill="FFFFFF"/>
        </w:rPr>
        <w:t>Ahora bien, las únicas excepciones a las disposiciones previstas en la Ley de Garantías se encuentran numeradas taxativamente en el último inciso del artículo 33 de la ley 996 de 2005 (…)”</w:t>
      </w:r>
      <w:r w:rsidRPr="00480A95">
        <w:rPr>
          <w:rFonts w:ascii="Verdana" w:hAnsi="Verdana" w:cs="Arial"/>
          <w:color w:val="000000" w:themeColor="text1"/>
          <w:shd w:val="clear" w:color="auto" w:fill="FFFFFF"/>
          <w:vertAlign w:val="superscript"/>
        </w:rPr>
        <w:footnoteReference w:id="18"/>
      </w:r>
      <w:r w:rsidRPr="00480A95">
        <w:rPr>
          <w:rFonts w:ascii="Verdana" w:hAnsi="Verdana" w:cs="Arial"/>
          <w:color w:val="000000" w:themeColor="text1"/>
          <w:shd w:val="clear" w:color="auto" w:fill="FFFFFF"/>
        </w:rPr>
        <w:t>.</w:t>
      </w:r>
    </w:p>
    <w:p w14:paraId="0B1C7473" w14:textId="77777777" w:rsidR="00DE0DDD" w:rsidRPr="00480A95" w:rsidRDefault="00DE0DDD" w:rsidP="00DE0DDD">
      <w:pPr>
        <w:tabs>
          <w:tab w:val="left" w:pos="426"/>
        </w:tabs>
        <w:spacing w:after="120" w:line="276" w:lineRule="auto"/>
        <w:ind w:firstLine="709"/>
        <w:jc w:val="both"/>
        <w:rPr>
          <w:rFonts w:ascii="Verdana" w:hAnsi="Verdana" w:cs="Arial"/>
          <w:bCs/>
          <w:color w:val="000000" w:themeColor="text1"/>
          <w:lang w:val="es-ES"/>
        </w:rPr>
      </w:pPr>
      <w:r w:rsidRPr="00480A95">
        <w:rPr>
          <w:rFonts w:ascii="Verdana" w:hAnsi="Verdana" w:cs="Arial"/>
          <w:bCs/>
          <w:color w:val="000000" w:themeColor="text1"/>
          <w:lang w:val="es-ES"/>
        </w:rPr>
        <w:t xml:space="preserve">Lo anterior implica que las excepciones al artículo 33 en comento deben interpretarse y aplicarse de manera </w:t>
      </w:r>
      <w:r w:rsidRPr="00480A95">
        <w:rPr>
          <w:rFonts w:ascii="Verdana" w:hAnsi="Verdana" w:cs="Arial"/>
          <w:bCs/>
          <w:i/>
          <w:iCs/>
          <w:color w:val="000000" w:themeColor="text1"/>
          <w:lang w:val="es-ES"/>
        </w:rPr>
        <w:t>estricta</w:t>
      </w:r>
      <w:r w:rsidRPr="00480A95">
        <w:rPr>
          <w:rFonts w:ascii="Verdana" w:hAnsi="Verdana" w:cs="Arial"/>
          <w:bCs/>
          <w:color w:val="000000" w:themeColor="text1"/>
          <w:lang w:val="es-ES"/>
        </w:rPr>
        <w:t>. En otras palabras, no es factible hacer interpretaciones extensivas</w:t>
      </w:r>
      <w:r w:rsidRPr="00480A95">
        <w:rPr>
          <w:rFonts w:ascii="Verdana" w:hAnsi="Verdana" w:cs="Arial"/>
          <w:bCs/>
          <w:i/>
          <w:iCs/>
          <w:color w:val="000000" w:themeColor="text1"/>
          <w:lang w:val="es-ES"/>
        </w:rPr>
        <w:t xml:space="preserve"> </w:t>
      </w:r>
      <w:r w:rsidRPr="00480A9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DAC12A7" w14:textId="77777777" w:rsidR="00DE0DDD" w:rsidRPr="00480A95" w:rsidRDefault="00DE0DDD" w:rsidP="00DE0DDD">
      <w:pPr>
        <w:spacing w:after="120" w:line="276" w:lineRule="auto"/>
        <w:ind w:firstLine="708"/>
        <w:jc w:val="both"/>
        <w:rPr>
          <w:rFonts w:ascii="Verdana" w:eastAsia="Times New Roman" w:hAnsi="Verdana" w:cs="Arial"/>
          <w:bCs/>
          <w:lang w:val="es-MX" w:eastAsia="es-CO"/>
        </w:rPr>
      </w:pPr>
      <w:r w:rsidRPr="00480A95">
        <w:rPr>
          <w:rFonts w:ascii="Verdana" w:eastAsia="Times New Roman" w:hAnsi="Verdana" w:cs="Arial"/>
          <w:lang w:val="es-MX" w:eastAsia="es-CO"/>
        </w:rPr>
        <w:t>Conforme a las anteriores excepciones, es</w:t>
      </w:r>
      <w:r w:rsidRPr="00480A95">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w:t>
      </w:r>
      <w:r w:rsidRPr="00480A95">
        <w:rPr>
          <w:rFonts w:ascii="Verdana" w:eastAsia="Times New Roman" w:hAnsi="Verdana" w:cs="Arial"/>
          <w:bCs/>
          <w:lang w:val="es-MX" w:eastAsia="es-CO"/>
        </w:rPr>
        <w:lastRenderedPageBreak/>
        <w:t>excepciones, de manera que se le permita realizar la contratación que necesite en forma directa.</w:t>
      </w:r>
    </w:p>
    <w:p w14:paraId="2D547752" w14:textId="77777777" w:rsidR="00DE0DDD" w:rsidRPr="00480A95" w:rsidRDefault="00DE0DDD" w:rsidP="00DE0DDD">
      <w:pPr>
        <w:spacing w:after="120" w:line="276" w:lineRule="auto"/>
        <w:ind w:firstLine="709"/>
        <w:jc w:val="both"/>
        <w:rPr>
          <w:rFonts w:ascii="Verdana" w:eastAsia="Times New Roman" w:hAnsi="Verdana" w:cs="Arial"/>
          <w:lang w:val="es-MX"/>
        </w:rPr>
      </w:pPr>
      <w:r w:rsidRPr="00480A95">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480A95">
        <w:rPr>
          <w:rFonts w:ascii="Verdana" w:eastAsia="Calibri" w:hAnsi="Verdana" w:cs="Arial"/>
          <w:vertAlign w:val="superscript"/>
          <w:lang w:val="es-MX"/>
        </w:rPr>
        <w:footnoteReference w:id="19"/>
      </w:r>
      <w:r w:rsidRPr="00480A95">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C7258C9" w14:textId="77777777" w:rsidR="00DE0DDD" w:rsidRPr="00480A95" w:rsidRDefault="00DE0DDD" w:rsidP="00DE0DDD">
      <w:pPr>
        <w:spacing w:after="120" w:line="276" w:lineRule="auto"/>
        <w:jc w:val="both"/>
        <w:rPr>
          <w:rFonts w:ascii="Verdana" w:hAnsi="Verdana" w:cs="Arial"/>
          <w:lang w:val="es-ES"/>
        </w:rPr>
      </w:pPr>
      <w:r>
        <w:rPr>
          <w:rFonts w:ascii="Verdana" w:hAnsi="Verdana" w:cs="Arial"/>
          <w:lang w:val="es-ES"/>
        </w:rPr>
        <w:t xml:space="preserve">iii. </w:t>
      </w:r>
      <w:r w:rsidRPr="00480A95">
        <w:rPr>
          <w:rFonts w:ascii="Verdana" w:hAnsi="Verdana" w:cs="Arial"/>
          <w:lang w:val="es-ES"/>
        </w:rPr>
        <w:t xml:space="preserve">Ahora bien, respecto del alcance del parágrafo </w:t>
      </w:r>
      <w:r w:rsidRPr="00480A95">
        <w:rPr>
          <w:rFonts w:ascii="Verdana" w:hAnsi="Verdana" w:cs="Arial"/>
        </w:rPr>
        <w:t>del artículo 38 de la Ley 996 de 2005,</w:t>
      </w:r>
      <w:r>
        <w:rPr>
          <w:rFonts w:ascii="Verdana" w:hAnsi="Verdana" w:cs="Arial"/>
        </w:rPr>
        <w:t xml:space="preserve"> debe indicarse que</w:t>
      </w:r>
      <w:r w:rsidRPr="00480A95">
        <w:rPr>
          <w:rFonts w:ascii="Verdana" w:hAnsi="Verdana" w:cs="Arial"/>
        </w:rPr>
        <w:t xml:space="preserve">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480A95">
        <w:rPr>
          <w:rFonts w:ascii="Verdana" w:hAnsi="Verdana" w:cs="Arial"/>
          <w:i/>
          <w:iCs/>
        </w:rPr>
        <w:t>convenios interadministrativos</w:t>
      </w:r>
      <w:r w:rsidRPr="00480A95">
        <w:rPr>
          <w:rFonts w:ascii="Verdana" w:hAnsi="Verdana" w:cs="Arial"/>
        </w:rPr>
        <w:t xml:space="preserve"> </w:t>
      </w:r>
      <w:r w:rsidRPr="00480A95">
        <w:rPr>
          <w:rFonts w:ascii="Verdana" w:hAnsi="Verdana" w:cs="Arial"/>
          <w:i/>
          <w:iCs/>
        </w:rPr>
        <w:t>para la ejecución de recursos públicos</w:t>
      </w:r>
      <w:r w:rsidRPr="00480A95">
        <w:rPr>
          <w:rFonts w:ascii="Verdana" w:hAnsi="Verdana" w:cs="Arial"/>
        </w:rPr>
        <w:t>”.</w:t>
      </w:r>
      <w:r w:rsidRPr="00480A95">
        <w:rPr>
          <w:rFonts w:ascii="Verdana" w:eastAsia="Times New Roman" w:hAnsi="Verdana" w:cs="Arial"/>
          <w:lang w:val="es-MX" w:eastAsia="x-none"/>
        </w:rPr>
        <w:t xml:space="preserve"> [Énfasis fuera del texto original]</w:t>
      </w:r>
    </w:p>
    <w:p w14:paraId="69C4E23F" w14:textId="77777777" w:rsidR="00DE0DDD" w:rsidRPr="00480A95" w:rsidRDefault="00DE0DDD" w:rsidP="00DE0DDD">
      <w:pPr>
        <w:spacing w:after="120" w:line="276" w:lineRule="auto"/>
        <w:ind w:firstLine="709"/>
        <w:jc w:val="both"/>
        <w:rPr>
          <w:rFonts w:ascii="Verdana" w:hAnsi="Verdana" w:cs="Arial"/>
          <w:lang w:eastAsia="es-ES"/>
        </w:rPr>
      </w:pPr>
      <w:r w:rsidRPr="00480A95">
        <w:rPr>
          <w:rFonts w:ascii="Verdana" w:eastAsia="Times New Roman" w:hAnsi="Verdana" w:cs="Arial"/>
          <w:lang w:val="es-ES" w:eastAsia="es-ES"/>
        </w:rPr>
        <w:t xml:space="preserve">Para tales efectos, debe precisarse que </w:t>
      </w:r>
      <w:r w:rsidRPr="00480A9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480A9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480A95">
        <w:rPr>
          <w:rFonts w:ascii="Verdana" w:hAnsi="Verdana" w:cs="Arial"/>
          <w:vertAlign w:val="superscript"/>
          <w:lang w:eastAsia="es-ES"/>
        </w:rPr>
        <w:footnoteReference w:id="20"/>
      </w:r>
      <w:r w:rsidRPr="00480A95">
        <w:rPr>
          <w:rFonts w:ascii="Verdana" w:hAnsi="Verdana" w:cs="Arial"/>
          <w:lang w:eastAsia="es-ES"/>
        </w:rPr>
        <w:t>.</w:t>
      </w:r>
    </w:p>
    <w:p w14:paraId="412872D0" w14:textId="77777777" w:rsidR="00DE0DDD" w:rsidRPr="00480A95" w:rsidRDefault="00DE0DDD" w:rsidP="00DE0DDD">
      <w:pPr>
        <w:spacing w:after="120" w:line="276" w:lineRule="auto"/>
        <w:ind w:firstLine="709"/>
        <w:jc w:val="both"/>
        <w:rPr>
          <w:rFonts w:ascii="Verdana" w:hAnsi="Verdana" w:cs="Arial"/>
          <w:color w:val="000000" w:themeColor="text1"/>
          <w:lang w:val="es-ES_tradnl"/>
        </w:rPr>
      </w:pPr>
      <w:r w:rsidRPr="00480A95">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w:t>
      </w:r>
      <w:r w:rsidRPr="00480A95">
        <w:rPr>
          <w:rFonts w:ascii="Verdana" w:hAnsi="Verdana" w:cs="Arial"/>
          <w:color w:val="000000" w:themeColor="text1"/>
          <w:lang w:val="es-ES_tradnl"/>
        </w:rPr>
        <w:lastRenderedPageBreak/>
        <w:t>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7C96CEE" w14:textId="77777777" w:rsidR="00DE0DDD" w:rsidRPr="00480A95" w:rsidRDefault="00DE0DDD" w:rsidP="00DE0DDD">
      <w:pPr>
        <w:spacing w:before="120" w:after="0" w:line="276" w:lineRule="auto"/>
        <w:ind w:firstLine="708"/>
        <w:jc w:val="both"/>
        <w:rPr>
          <w:rFonts w:ascii="Verdana" w:hAnsi="Verdana" w:cs="Arial"/>
          <w:lang w:val="es-ES_tradnl"/>
        </w:rPr>
      </w:pPr>
      <w:r w:rsidRPr="00480A95">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480A95">
        <w:rPr>
          <w:rFonts w:ascii="Verdana" w:hAnsi="Verdana" w:cs="Arial"/>
          <w:vertAlign w:val="superscript"/>
          <w:lang w:val="es-ES"/>
        </w:rPr>
        <w:footnoteReference w:id="21"/>
      </w:r>
      <w:r w:rsidRPr="00480A95">
        <w:rPr>
          <w:rFonts w:ascii="Verdana" w:hAnsi="Verdana" w:cs="Arial"/>
          <w:lang w:val="es-ES"/>
        </w:rPr>
        <w:t>. Nótese que, en este caso, lo que cambia es la modalidad de selección y no la naturaleza de contrato interadministrativo.</w:t>
      </w:r>
    </w:p>
    <w:p w14:paraId="1564B85C" w14:textId="77777777" w:rsidR="00DE0DDD" w:rsidRPr="00480A95" w:rsidRDefault="00DE0DDD" w:rsidP="00DE0DDD">
      <w:pPr>
        <w:spacing w:before="120" w:after="0" w:line="276" w:lineRule="auto"/>
        <w:ind w:firstLine="708"/>
        <w:jc w:val="both"/>
        <w:rPr>
          <w:rFonts w:ascii="Verdana" w:hAnsi="Verdana" w:cs="Arial"/>
          <w:lang w:val="es-ES_tradnl"/>
        </w:rPr>
      </w:pPr>
      <w:r w:rsidRPr="00480A95">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480A95">
        <w:rPr>
          <w:rFonts w:ascii="Verdana" w:hAnsi="Verdana" w:cs="Arial"/>
          <w:vertAlign w:val="superscript"/>
          <w:lang w:val="es-ES"/>
        </w:rPr>
        <w:footnoteReference w:id="22"/>
      </w:r>
      <w:r w:rsidRPr="00480A95">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401695A" w14:textId="77777777" w:rsidR="00DE0DDD" w:rsidRPr="00480A95" w:rsidRDefault="00DE0DDD" w:rsidP="00DE0DDD">
      <w:pPr>
        <w:spacing w:before="120" w:after="0" w:line="276" w:lineRule="auto"/>
        <w:ind w:firstLine="708"/>
        <w:jc w:val="both"/>
        <w:rPr>
          <w:rFonts w:ascii="Verdana" w:hAnsi="Verdana"/>
          <w:sz w:val="24"/>
          <w:szCs w:val="24"/>
          <w:lang w:eastAsia="es-CO"/>
        </w:rPr>
      </w:pPr>
      <w:r w:rsidRPr="00480A95">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480A95">
        <w:rPr>
          <w:rFonts w:ascii="Verdana" w:hAnsi="Verdana" w:cs="Arial"/>
          <w:vertAlign w:val="superscript"/>
          <w:lang w:val="es-ES"/>
        </w:rPr>
        <w:footnoteReference w:id="23"/>
      </w:r>
      <w:r w:rsidRPr="00480A95">
        <w:rPr>
          <w:rFonts w:ascii="Verdana" w:hAnsi="Verdana" w:cs="Arial"/>
          <w:lang w:val="es-ES"/>
        </w:rPr>
        <w:t xml:space="preserve">, </w:t>
      </w:r>
      <w:r w:rsidRPr="00480A95">
        <w:rPr>
          <w:rFonts w:ascii="Verdana" w:hAnsi="Verdana" w:cs="Arial"/>
          <w:lang w:val="es-ES"/>
        </w:rPr>
        <w:lastRenderedPageBreak/>
        <w:t>pues, de acuerdo con lo anotado, esta clase de acuerdos de voluntades se definen por un criterio orgánico, por lo que uno de sus elementos esenciales es que en los extremos de la relación jurídico negocial concurran personas de derecho público</w:t>
      </w:r>
      <w:r w:rsidRPr="00480A95">
        <w:rPr>
          <w:rFonts w:ascii="Verdana" w:hAnsi="Verdana"/>
          <w:sz w:val="24"/>
          <w:szCs w:val="24"/>
          <w:lang w:eastAsia="es-CO"/>
        </w:rPr>
        <w:t>.</w:t>
      </w:r>
    </w:p>
    <w:p w14:paraId="553389EB" w14:textId="77777777" w:rsidR="00DE0DDD" w:rsidRPr="00480A95" w:rsidRDefault="00DE0DDD" w:rsidP="00DE0DDD">
      <w:pPr>
        <w:spacing w:before="120" w:after="0" w:line="276" w:lineRule="auto"/>
        <w:ind w:firstLine="708"/>
        <w:jc w:val="both"/>
        <w:rPr>
          <w:rFonts w:ascii="Verdana" w:eastAsia="Times New Roman" w:hAnsi="Verdana" w:cs="Arial"/>
          <w:lang w:val="es-MX" w:eastAsia="es-CO"/>
        </w:rPr>
      </w:pPr>
      <w:r w:rsidRPr="00480A95">
        <w:rPr>
          <w:rFonts w:ascii="Verdana" w:eastAsia="Arial" w:hAnsi="Verdana" w:cs="Arial"/>
          <w:lang w:val="es-MX" w:eastAsia="es-ES" w:bidi="es-ES"/>
        </w:rPr>
        <w:t>De esta manera, se</w:t>
      </w:r>
      <w:r w:rsidRPr="00480A95">
        <w:rPr>
          <w:rFonts w:ascii="Verdana" w:eastAsia="Times New Roman" w:hAnsi="Verdana" w:cs="Arial"/>
          <w:lang w:eastAsia="es-CO"/>
        </w:rPr>
        <w:t xml:space="preserve"> observa entonces que </w:t>
      </w:r>
      <w:r w:rsidRPr="00480A95">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480A95">
        <w:rPr>
          <w:rFonts w:ascii="Verdana" w:eastAsia="Times New Roman" w:hAnsi="Verdana" w:cs="Arial"/>
          <w:i/>
          <w:iCs/>
          <w:lang w:val="es-MX" w:eastAsia="es-CO"/>
        </w:rPr>
        <w:t>convenios interadministrativos</w:t>
      </w:r>
      <w:r w:rsidRPr="00480A9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80A95">
        <w:rPr>
          <w:rFonts w:ascii="Verdana" w:eastAsia="Times New Roman" w:hAnsi="Verdana" w:cs="Arial"/>
          <w:i/>
          <w:lang w:val="es-MX" w:eastAsia="es-CO"/>
        </w:rPr>
        <w:t>ibidem</w:t>
      </w:r>
      <w:r w:rsidRPr="00480A95">
        <w:rPr>
          <w:rFonts w:ascii="Verdana" w:eastAsia="Times New Roman" w:hAnsi="Verdana" w:cs="Arial"/>
          <w:lang w:val="es-MX" w:eastAsia="es-CO"/>
        </w:rPr>
        <w:t xml:space="preserve">, no podrá celebrar tales </w:t>
      </w:r>
      <w:r w:rsidRPr="00480A95">
        <w:rPr>
          <w:rFonts w:ascii="Verdana" w:eastAsia="Times New Roman" w:hAnsi="Verdana" w:cs="Arial"/>
          <w:i/>
          <w:iCs/>
          <w:lang w:val="es-MX" w:eastAsia="es-CO"/>
        </w:rPr>
        <w:t>convenios</w:t>
      </w:r>
      <w:r w:rsidRPr="00480A9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53EEF9D" w14:textId="77777777" w:rsidR="00DE0DDD" w:rsidRPr="00480A95" w:rsidRDefault="00DE0DDD" w:rsidP="00DE0DDD">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val="es-MX" w:eastAsia="es-CO"/>
        </w:rPr>
        <w:t>Respecto del alcance de esta prohibición la Circular Externa No. 006 de 2025 expedida por la ANCP -CCE, en los literales ii) y iv) del numeral 2</w:t>
      </w:r>
      <w:r w:rsidRPr="00480A95">
        <w:rPr>
          <w:rFonts w:ascii="Verdana" w:eastAsia="Times New Roman" w:hAnsi="Verdana" w:cs="Arial"/>
          <w:lang w:eastAsia="es-CO"/>
        </w:rPr>
        <w:t>,</w:t>
      </w:r>
      <w:r w:rsidRPr="00480A95">
        <w:rPr>
          <w:rFonts w:ascii="Verdana" w:eastAsia="Times New Roman" w:hAnsi="Verdana" w:cs="Arial"/>
          <w:lang w:val="es-MX" w:eastAsia="es-CO"/>
        </w:rPr>
        <w:t xml:space="preserve"> indica que el </w:t>
      </w:r>
      <w:r w:rsidRPr="00480A95">
        <w:rPr>
          <w:rFonts w:ascii="Verdana" w:eastAsia="Times New Roman" w:hAnsi="Verdana" w:cs="Arial"/>
          <w:lang w:eastAsia="es-CO"/>
        </w:rPr>
        <w:t xml:space="preserve">parágrafo del artículo 38 de la Ley 996 de 2005 cobija expresamente a los </w:t>
      </w:r>
      <w:r w:rsidRPr="00480A95">
        <w:rPr>
          <w:rFonts w:ascii="Verdana" w:eastAsia="Times New Roman" w:hAnsi="Verdana" w:cs="Arial"/>
          <w:i/>
          <w:iCs/>
          <w:lang w:eastAsia="es-CO"/>
        </w:rPr>
        <w:t>convenios interadministrativos</w:t>
      </w:r>
      <w:r w:rsidRPr="00480A95">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480A95">
        <w:rPr>
          <w:rFonts w:ascii="Verdana" w:eastAsia="Times New Roman" w:hAnsi="Verdana" w:cs="Arial"/>
          <w:i/>
          <w:iCs/>
          <w:lang w:eastAsia="es-CO"/>
        </w:rPr>
        <w:t>“aunque se configure alguno de los supuestos de excepción que señaló el inciso final del artículo 33”.</w:t>
      </w:r>
      <w:r w:rsidRPr="00480A95">
        <w:rPr>
          <w:rFonts w:ascii="Verdana" w:eastAsia="Times New Roman" w:hAnsi="Verdana" w:cs="Arial"/>
          <w:lang w:eastAsia="es-CO"/>
        </w:rPr>
        <w:t xml:space="preserve"> </w:t>
      </w:r>
    </w:p>
    <w:p w14:paraId="4A7B1B72" w14:textId="77777777" w:rsidR="00DE0DDD" w:rsidRPr="00480A95" w:rsidRDefault="00DE0DDD" w:rsidP="00DE0DDD">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480A95">
        <w:rPr>
          <w:rFonts w:ascii="Verdana" w:eastAsia="Times New Roman" w:hAnsi="Verdana" w:cs="Arial"/>
          <w:i/>
          <w:iCs/>
          <w:lang w:eastAsia="es-CO"/>
        </w:rPr>
        <w:t>convenios interadministrativos</w:t>
      </w:r>
      <w:r w:rsidRPr="00480A95">
        <w:rPr>
          <w:rFonts w:ascii="Verdana" w:eastAsia="Times New Roman" w:hAnsi="Verdana" w:cs="Arial"/>
          <w:lang w:eastAsia="es-CO"/>
        </w:rPr>
        <w:t xml:space="preserve"> en los que se contemple la </w:t>
      </w:r>
      <w:r w:rsidRPr="00480A95">
        <w:rPr>
          <w:rFonts w:ascii="Verdana" w:eastAsia="Times New Roman" w:hAnsi="Verdana" w:cs="Arial"/>
          <w:i/>
          <w:iCs/>
          <w:lang w:eastAsia="es-CO"/>
        </w:rPr>
        <w:t>ejecución de recursos públicos</w:t>
      </w:r>
      <w:r w:rsidRPr="00480A95">
        <w:rPr>
          <w:rFonts w:ascii="Verdana" w:eastAsia="Times New Roman" w:hAnsi="Verdana" w:cs="Arial"/>
          <w:lang w:eastAsia="es-CO"/>
        </w:rPr>
        <w:t xml:space="preserve">. Esto significa que la prohibición no resulta aplicable a </w:t>
      </w:r>
      <w:r w:rsidRPr="00480A95">
        <w:rPr>
          <w:rFonts w:ascii="Verdana" w:eastAsia="Times New Roman" w:hAnsi="Verdana" w:cs="Arial"/>
          <w:i/>
          <w:iCs/>
          <w:lang w:eastAsia="es-CO"/>
        </w:rPr>
        <w:t>convenios interadministrativos a título gratuito,</w:t>
      </w:r>
      <w:r w:rsidRPr="00480A95">
        <w:rPr>
          <w:rFonts w:ascii="Verdana" w:eastAsia="Times New Roman" w:hAnsi="Verdana" w:cs="Arial"/>
          <w:lang w:eastAsia="es-CO"/>
        </w:rPr>
        <w:t xml:space="preserve"> los cuales pueden celebrarse válidamente durante la vigencia de la mencionada restricción. </w:t>
      </w:r>
    </w:p>
    <w:p w14:paraId="6FD8D434" w14:textId="77777777" w:rsidR="00DE0DDD" w:rsidRPr="00480A95" w:rsidRDefault="00DE0DDD" w:rsidP="00DE0DDD">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eastAsia="es-CO"/>
        </w:rPr>
        <w:t xml:space="preserve">De esta manera, conforme a lo dispuesto en la Circular referida, si se suscriben </w:t>
      </w:r>
      <w:r w:rsidRPr="00480A95">
        <w:rPr>
          <w:rFonts w:ascii="Verdana" w:eastAsia="Times New Roman" w:hAnsi="Verdana" w:cs="Arial"/>
          <w:i/>
          <w:iCs/>
          <w:lang w:eastAsia="es-CO"/>
        </w:rPr>
        <w:t>convenios interadministrativos para la ejecución de recursos públicos</w:t>
      </w:r>
      <w:r w:rsidRPr="00480A95">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480A95">
        <w:rPr>
          <w:rFonts w:ascii="Verdana" w:eastAsia="Times New Roman" w:hAnsi="Verdana" w:cs="Arial"/>
          <w:i/>
          <w:iCs/>
          <w:lang w:eastAsia="es-CO"/>
        </w:rPr>
        <w:t>ibidem</w:t>
      </w:r>
      <w:r w:rsidRPr="00480A95">
        <w:rPr>
          <w:rFonts w:ascii="Verdana" w:eastAsia="Times New Roman" w:hAnsi="Verdana" w:cs="Arial"/>
          <w:lang w:eastAsia="es-CO"/>
        </w:rPr>
        <w:t>, independientemente de que se configure alguno de los supuestos de excepción que señaló el inciso final del artículo 33, es decir, que se trate de:</w:t>
      </w:r>
      <w:r w:rsidRPr="00480A95">
        <w:rPr>
          <w:rFonts w:ascii="Verdana" w:hAnsi="Verdana" w:cs="Arial"/>
          <w:bCs/>
          <w:lang w:val="es-MX" w:eastAsia="x-none"/>
        </w:rPr>
        <w:t xml:space="preserve"> i) la defensa y seguridad del Estado; ii) los contratos </w:t>
      </w:r>
      <w:r w:rsidRPr="00480A95">
        <w:rPr>
          <w:rFonts w:ascii="Verdana" w:hAnsi="Verdana" w:cs="Arial"/>
          <w:bCs/>
          <w:lang w:val="es-MX" w:eastAsia="x-none"/>
        </w:rPr>
        <w:lastRenderedPageBreak/>
        <w:t>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480A95">
        <w:rPr>
          <w:rFonts w:ascii="Verdana" w:hAnsi="Verdana" w:cs="Arial"/>
          <w:bCs/>
          <w:lang w:val="es-MX" w:eastAsia="es-CO"/>
        </w:rPr>
        <w:t xml:space="preserve"> </w:t>
      </w:r>
      <w:r w:rsidRPr="00480A95">
        <w:rPr>
          <w:rFonts w:ascii="Verdana" w:eastAsia="Times New Roman" w:hAnsi="Verdana" w:cs="Arial"/>
          <w:lang w:eastAsia="es-CO"/>
        </w:rPr>
        <w:t xml:space="preserve">  </w:t>
      </w:r>
    </w:p>
    <w:p w14:paraId="6C51CF64" w14:textId="77777777" w:rsidR="00DE0DDD" w:rsidRPr="00480A95" w:rsidRDefault="00DE0DDD" w:rsidP="00DE0DDD">
      <w:pPr>
        <w:spacing w:before="120" w:after="0" w:line="276" w:lineRule="auto"/>
        <w:ind w:firstLine="708"/>
        <w:jc w:val="both"/>
        <w:rPr>
          <w:rFonts w:ascii="Verdana" w:eastAsia="Times New Roman" w:hAnsi="Verdana" w:cs="Arial"/>
          <w:lang w:eastAsia="es-CO"/>
        </w:rPr>
      </w:pPr>
      <w:r w:rsidRPr="00480A95">
        <w:rPr>
          <w:rFonts w:ascii="Verdana" w:eastAsia="Times New Roman" w:hAnsi="Verdana" w:cs="Arial"/>
          <w:lang w:eastAsia="es-CO"/>
        </w:rPr>
        <w:t xml:space="preserve">En este punto, vale la pena destacar que </w:t>
      </w:r>
      <w:r w:rsidRPr="00480A95">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480A95">
        <w:rPr>
          <w:rFonts w:ascii="Verdana" w:hAnsi="Verdana" w:cs="Arial"/>
        </w:rPr>
        <w:t>numeral 16.2 de la Circular Externa Única de 2022 expedida por la Agencia Nacional de Contratación Pública -Colombia Compra Eficiente-, concretamente, respecto de los siguientes apartes normativos</w:t>
      </w:r>
      <w:r w:rsidRPr="00480A95">
        <w:rPr>
          <w:rFonts w:ascii="Verdana" w:hAnsi="Verdana" w:cs="Arial"/>
          <w:vertAlign w:val="superscript"/>
        </w:rPr>
        <w:footnoteReference w:id="24"/>
      </w:r>
      <w:r w:rsidRPr="00480A95">
        <w:rPr>
          <w:rFonts w:ascii="Verdana" w:hAnsi="Verdana" w:cs="Arial"/>
        </w:rPr>
        <w:t xml:space="preserve">: </w:t>
      </w:r>
    </w:p>
    <w:p w14:paraId="198E1CF3" w14:textId="77777777" w:rsidR="00DE0DDD" w:rsidRPr="00480A95" w:rsidRDefault="00DE0DDD" w:rsidP="00DE0DDD">
      <w:pPr>
        <w:spacing w:after="0" w:line="276" w:lineRule="auto"/>
        <w:ind w:firstLine="709"/>
        <w:jc w:val="both"/>
        <w:rPr>
          <w:rFonts w:ascii="Verdana" w:hAnsi="Verdana" w:cs="Arial"/>
        </w:rPr>
      </w:pPr>
    </w:p>
    <w:p w14:paraId="7BF96639" w14:textId="77777777" w:rsidR="00DE0DDD" w:rsidRPr="00480A95" w:rsidRDefault="00DE0DDD" w:rsidP="00DE0DDD">
      <w:pPr>
        <w:spacing w:after="0" w:line="240" w:lineRule="auto"/>
        <w:ind w:left="709" w:right="709"/>
        <w:jc w:val="both"/>
        <w:rPr>
          <w:rFonts w:ascii="Verdana" w:hAnsi="Verdana" w:cs="Arial"/>
          <w:sz w:val="20"/>
          <w:szCs w:val="20"/>
        </w:rPr>
      </w:pPr>
      <w:r w:rsidRPr="00480A95">
        <w:rPr>
          <w:rFonts w:ascii="Verdana" w:hAnsi="Verdana" w:cs="Arial"/>
          <w:sz w:val="20"/>
          <w:szCs w:val="20"/>
          <w:lang w:val="es-MX"/>
        </w:rPr>
        <w:t>i)</w:t>
      </w:r>
      <w:r w:rsidRPr="00480A9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9D391A5" w14:textId="77777777" w:rsidR="00DE0DDD" w:rsidRPr="00480A95" w:rsidRDefault="00DE0DDD" w:rsidP="00DE0DDD">
      <w:pPr>
        <w:spacing w:after="0" w:line="240" w:lineRule="auto"/>
        <w:ind w:left="709" w:right="709"/>
        <w:jc w:val="both"/>
        <w:rPr>
          <w:rFonts w:ascii="Verdana" w:hAnsi="Verdana" w:cs="Arial"/>
          <w:sz w:val="20"/>
          <w:szCs w:val="20"/>
        </w:rPr>
      </w:pPr>
    </w:p>
    <w:p w14:paraId="34872103" w14:textId="77777777" w:rsidR="00DE0DDD" w:rsidRPr="00480A95" w:rsidRDefault="00DE0DDD" w:rsidP="00DE0DDD">
      <w:pPr>
        <w:spacing w:after="0" w:line="240" w:lineRule="auto"/>
        <w:ind w:left="709" w:right="709"/>
        <w:jc w:val="both"/>
        <w:rPr>
          <w:rFonts w:ascii="Verdana" w:hAnsi="Verdana" w:cs="Arial"/>
          <w:sz w:val="20"/>
          <w:szCs w:val="20"/>
        </w:rPr>
      </w:pPr>
      <w:r w:rsidRPr="00480A95">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F0A412A" w14:textId="77777777" w:rsidR="00DE0DDD" w:rsidRPr="00480A95" w:rsidRDefault="00DE0DDD" w:rsidP="00DE0DDD">
      <w:pPr>
        <w:spacing w:after="0" w:line="276" w:lineRule="auto"/>
        <w:ind w:left="709" w:right="709"/>
        <w:jc w:val="both"/>
        <w:rPr>
          <w:rFonts w:ascii="Verdana" w:hAnsi="Verdana" w:cs="Arial"/>
        </w:rPr>
      </w:pPr>
    </w:p>
    <w:p w14:paraId="0772B045" w14:textId="77777777" w:rsidR="00DE0DDD" w:rsidRPr="00480A95" w:rsidRDefault="00DE0DDD" w:rsidP="00DE0DDD">
      <w:pPr>
        <w:spacing w:after="120" w:line="276" w:lineRule="auto"/>
        <w:ind w:firstLine="709"/>
        <w:jc w:val="both"/>
        <w:rPr>
          <w:rFonts w:ascii="Verdana" w:eastAsia="Arial" w:hAnsi="Verdana" w:cs="Arial"/>
          <w:i/>
          <w:iCs/>
          <w:lang w:eastAsia="es-ES" w:bidi="es-ES"/>
        </w:rPr>
      </w:pPr>
      <w:r w:rsidRPr="00480A95">
        <w:rPr>
          <w:rFonts w:ascii="Verdana" w:eastAsia="Arial" w:hAnsi="Verdana" w:cs="Arial"/>
          <w:lang w:val="es-MX" w:eastAsia="es-ES" w:bidi="es-ES"/>
        </w:rPr>
        <w:t xml:space="preserve">De conformidad con los argumentos de dicha providencia, se parte de la distinción entre los conceptos </w:t>
      </w:r>
      <w:r w:rsidRPr="00480A9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480A95">
        <w:rPr>
          <w:rFonts w:ascii="Verdana" w:hAnsi="Verdana"/>
          <w:sz w:val="24"/>
          <w:szCs w:val="24"/>
          <w:lang w:eastAsia="es-CO"/>
        </w:rPr>
        <w:t xml:space="preserve"> </w:t>
      </w:r>
      <w:r w:rsidRPr="00480A95">
        <w:rPr>
          <w:rFonts w:ascii="Verdana" w:eastAsia="Arial" w:hAnsi="Verdana" w:cs="Arial"/>
          <w:lang w:eastAsia="es-ES" w:bidi="es-ES"/>
        </w:rPr>
        <w:t xml:space="preserve">En este sentido, en relación con el parágrafo del artículo 38 de la Ley 996 de 2005 concluyó que </w:t>
      </w:r>
      <w:r w:rsidRPr="00480A95">
        <w:rPr>
          <w:rFonts w:ascii="Verdana" w:eastAsia="Arial" w:hAnsi="Verdana" w:cs="Arial"/>
          <w:i/>
          <w:iCs/>
          <w:lang w:eastAsia="es-ES" w:bidi="es-ES"/>
        </w:rPr>
        <w:t xml:space="preserve">“si el legislador no diferenció al establecer la </w:t>
      </w:r>
      <w:r w:rsidRPr="00480A95">
        <w:rPr>
          <w:rFonts w:ascii="Verdana" w:eastAsia="Arial" w:hAnsi="Verdana" w:cs="Arial"/>
          <w:i/>
          <w:iCs/>
          <w:lang w:eastAsia="es-ES" w:bidi="es-ES"/>
        </w:rPr>
        <w:lastRenderedPageBreak/>
        <w:t xml:space="preserve">prohibición o la restricción, mal haría el reglamento en aplicar un efecto expansivo o extensivo para incluir una categoría no cobijada con la limitación, (…)”. </w:t>
      </w:r>
      <w:r w:rsidRPr="00480A9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480A95">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5E0E988" w14:textId="77777777" w:rsidR="00DE0DDD" w:rsidRPr="00480A95" w:rsidRDefault="00DE0DDD" w:rsidP="00DE0DDD">
      <w:pPr>
        <w:spacing w:after="120" w:line="276" w:lineRule="auto"/>
        <w:ind w:firstLine="709"/>
        <w:jc w:val="both"/>
        <w:rPr>
          <w:rFonts w:ascii="Verdana" w:eastAsia="Arial" w:hAnsi="Verdana" w:cs="Arial"/>
          <w:lang w:eastAsia="es-ES" w:bidi="es-ES"/>
        </w:rPr>
      </w:pPr>
      <w:r w:rsidRPr="00480A95">
        <w:rPr>
          <w:rFonts w:ascii="Verdana" w:eastAsia="Arial" w:hAnsi="Verdana" w:cs="Arial"/>
          <w:lang w:eastAsia="es-ES" w:bidi="es-ES"/>
        </w:rPr>
        <w:t>De igual manera, mediante auto del 6 de noviembre de 2025, el Consejo de Estado, Subsección A de la Sección Tercera, decretó</w:t>
      </w:r>
      <w:r w:rsidRPr="00480A95">
        <w:rPr>
          <w:rFonts w:ascii="Verdana" w:eastAsia="Arial" w:hAnsi="Verdana" w:cs="Arial"/>
          <w:b/>
          <w:bCs/>
          <w:lang w:eastAsia="es-ES" w:bidi="es-ES"/>
        </w:rPr>
        <w:t xml:space="preserve"> </w:t>
      </w:r>
      <w:r w:rsidRPr="00480A95">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480A95">
        <w:rPr>
          <w:rFonts w:ascii="Verdana" w:eastAsia="Arial" w:hAnsi="Verdana" w:cs="Arial"/>
          <w:vertAlign w:val="superscript"/>
          <w:lang w:eastAsia="es-ES" w:bidi="es-ES"/>
        </w:rPr>
        <w:footnoteReference w:id="25"/>
      </w:r>
      <w:r w:rsidRPr="00480A9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306BF587" w14:textId="77777777" w:rsidR="00DE0DDD" w:rsidRPr="00480A95" w:rsidRDefault="00DE0DDD" w:rsidP="00DE0DDD">
      <w:pPr>
        <w:spacing w:after="120" w:line="276" w:lineRule="auto"/>
        <w:ind w:firstLine="709"/>
        <w:jc w:val="both"/>
        <w:rPr>
          <w:rFonts w:ascii="Verdana" w:eastAsia="Times New Roman" w:hAnsi="Verdana" w:cs="Times New Roman"/>
          <w:lang w:eastAsia="es-ES"/>
        </w:rPr>
      </w:pPr>
      <w:r w:rsidRPr="00480A9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480A95">
        <w:rPr>
          <w:rFonts w:ascii="Verdana" w:eastAsia="Times New Roman" w:hAnsi="Verdana" w:cs="Times New Roman"/>
          <w:lang w:eastAsia="es-ES"/>
        </w:rPr>
        <w:t xml:space="preserve">11001-03-26-000-2023-00139-00, se declaró la nulidad parcial del numeral 16.2 de la Circular Externa Única de 2022 expedida por la Agencia </w:t>
      </w:r>
      <w:r w:rsidRPr="00480A95">
        <w:rPr>
          <w:rFonts w:ascii="Verdana" w:eastAsia="Times New Roman" w:hAnsi="Verdana" w:cs="Times New Roman"/>
          <w:lang w:eastAsia="es-ES"/>
        </w:rPr>
        <w:lastRenderedPageBreak/>
        <w:t xml:space="preserve">Nacional de Contratación Pública - Colombia Compra Eficiente que indicaba: “Esta restricción es aplicable tanto a los convenios como a los contratos interadministrativos…”. </w:t>
      </w:r>
    </w:p>
    <w:p w14:paraId="38B6FDD5" w14:textId="77777777" w:rsidR="00DE0DDD" w:rsidRPr="00480A95" w:rsidRDefault="00DE0DDD" w:rsidP="00DE0DDD">
      <w:pPr>
        <w:spacing w:after="120" w:line="276" w:lineRule="auto"/>
        <w:ind w:firstLine="709"/>
        <w:jc w:val="both"/>
        <w:rPr>
          <w:rFonts w:ascii="Verdana" w:eastAsia="Times New Roman" w:hAnsi="Verdana" w:cs="Times New Roman"/>
          <w:lang w:eastAsia="es-ES"/>
        </w:rPr>
      </w:pPr>
      <w:r w:rsidRPr="00480A95">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480A95">
        <w:rPr>
          <w:rStyle w:val="Refdenotaalpie"/>
          <w:rFonts w:ascii="Verdana" w:eastAsia="Times New Roman" w:hAnsi="Verdana" w:cs="Times New Roman"/>
          <w:lang w:eastAsia="es-ES"/>
        </w:rPr>
        <w:footnoteReference w:id="26"/>
      </w:r>
      <w:r w:rsidRPr="00480A95">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F349A49" w14:textId="77777777" w:rsidR="00DE0DDD" w:rsidRPr="00480A95" w:rsidRDefault="00DE0DDD" w:rsidP="00DE0DDD">
      <w:pPr>
        <w:spacing w:after="120" w:line="276" w:lineRule="auto"/>
        <w:ind w:firstLine="709"/>
        <w:jc w:val="both"/>
        <w:rPr>
          <w:rFonts w:ascii="Verdana" w:eastAsia="Times New Roman" w:hAnsi="Verdana" w:cs="Times New Roman"/>
          <w:lang w:eastAsia="es-ES"/>
        </w:rPr>
      </w:pPr>
      <w:r w:rsidRPr="00480A9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000FCE6C" w14:textId="77777777" w:rsidR="00DE0DDD" w:rsidRPr="00480A95" w:rsidRDefault="00DE0DDD" w:rsidP="00DE0DDD">
      <w:pPr>
        <w:spacing w:after="120" w:line="276" w:lineRule="auto"/>
        <w:ind w:firstLine="709"/>
        <w:jc w:val="both"/>
        <w:rPr>
          <w:rFonts w:ascii="Verdana" w:eastAsia="Times New Roman" w:hAnsi="Verdana" w:cs="Arial"/>
          <w:lang w:eastAsia="es-CO"/>
        </w:rPr>
      </w:pPr>
      <w:r w:rsidRPr="00480A9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480A95">
        <w:rPr>
          <w:rFonts w:ascii="Verdana" w:eastAsia="Times New Roman" w:hAnsi="Verdana" w:cs="Arial"/>
          <w:i/>
          <w:iCs/>
          <w:lang w:eastAsia="es-CO"/>
        </w:rPr>
        <w:t>contratos interadministrativos</w:t>
      </w:r>
      <w:r w:rsidRPr="00480A95">
        <w:rPr>
          <w:rFonts w:ascii="Verdana" w:eastAsia="Times New Roman" w:hAnsi="Verdana" w:cs="Arial"/>
          <w:lang w:eastAsia="es-CO"/>
        </w:rPr>
        <w:t>, esta prohibición solo aplicaría a los convenios interadministrativos que impliquen la ejecución de recursos públicos</w:t>
      </w:r>
      <w:r w:rsidRPr="00480A95">
        <w:rPr>
          <w:rStyle w:val="Refdenotaalpie"/>
          <w:rFonts w:ascii="Verdana" w:eastAsia="Times New Roman" w:hAnsi="Verdana" w:cs="Arial"/>
          <w:lang w:eastAsia="es-CO"/>
        </w:rPr>
        <w:footnoteReference w:id="27"/>
      </w:r>
      <w:r w:rsidRPr="00480A95">
        <w:rPr>
          <w:rFonts w:ascii="Verdana" w:eastAsia="Times New Roman" w:hAnsi="Verdana" w:cs="Arial"/>
          <w:lang w:eastAsia="es-CO"/>
        </w:rPr>
        <w:t>.</w:t>
      </w:r>
    </w:p>
    <w:p w14:paraId="796EA7EC" w14:textId="77777777" w:rsidR="00DE0DDD" w:rsidRDefault="00DE0DDD" w:rsidP="00DE0DDD">
      <w:pPr>
        <w:spacing w:after="120" w:line="276" w:lineRule="auto"/>
        <w:jc w:val="both"/>
        <w:rPr>
          <w:rFonts w:ascii="Verdana" w:eastAsia="Times New Roman" w:hAnsi="Verdana" w:cs="Arial"/>
          <w:lang w:eastAsia="es-CO"/>
        </w:rPr>
      </w:pPr>
      <w:r>
        <w:rPr>
          <w:rFonts w:ascii="Verdana" w:eastAsia="Times New Roman" w:hAnsi="Verdana" w:cs="Arial"/>
          <w:lang w:eastAsia="es-CO"/>
        </w:rPr>
        <w:lastRenderedPageBreak/>
        <w:t xml:space="preserve">iv. En síntesis, con sustento en lo expuesto es posible afirmar que, los </w:t>
      </w:r>
      <w:r w:rsidRPr="00905C7F">
        <w:rPr>
          <w:rFonts w:ascii="Verdana" w:eastAsia="Times New Roman" w:hAnsi="Verdana" w:cs="Arial"/>
          <w:i/>
          <w:iCs/>
          <w:lang w:eastAsia="es-CO"/>
        </w:rPr>
        <w:t xml:space="preserve">convenios </w:t>
      </w:r>
      <w:r>
        <w:rPr>
          <w:rFonts w:ascii="Verdana" w:eastAsia="Times New Roman" w:hAnsi="Verdana" w:cs="Arial"/>
          <w:i/>
          <w:iCs/>
          <w:lang w:eastAsia="es-CO"/>
        </w:rPr>
        <w:t xml:space="preserve">especiales </w:t>
      </w:r>
      <w:r w:rsidRPr="00905C7F">
        <w:rPr>
          <w:rFonts w:ascii="Verdana" w:eastAsia="Times New Roman" w:hAnsi="Verdana" w:cs="Arial"/>
          <w:i/>
          <w:iCs/>
          <w:lang w:eastAsia="es-CO"/>
        </w:rPr>
        <w:t>de cooperació</w:t>
      </w:r>
      <w:r>
        <w:rPr>
          <w:rFonts w:ascii="Verdana" w:eastAsia="Times New Roman" w:hAnsi="Verdana" w:cs="Arial"/>
          <w:i/>
          <w:iCs/>
          <w:lang w:eastAsia="es-CO"/>
        </w:rPr>
        <w:t xml:space="preserve">n </w:t>
      </w:r>
      <w:r>
        <w:rPr>
          <w:rFonts w:ascii="Verdana" w:eastAsia="Times New Roman" w:hAnsi="Verdana" w:cs="Arial"/>
          <w:lang w:eastAsia="es-CO"/>
        </w:rPr>
        <w:t xml:space="preserve">no se encuentran restringidos por lo dispuesto en el parágrafo del artículo 38 de la Ley 996 de 2005. Esto por cuanto, de acuerdo con el artículo 6 del Decreto 393 de 1991, estos se celebran entre entidades estatales y particulares, por lo que no cumplen con el criterio orgánico para ser considerados </w:t>
      </w:r>
      <w:r w:rsidRPr="00692211">
        <w:rPr>
          <w:rFonts w:ascii="Verdana" w:eastAsia="Times New Roman" w:hAnsi="Verdana" w:cs="Arial"/>
          <w:i/>
          <w:iCs/>
          <w:lang w:eastAsia="es-CO"/>
        </w:rPr>
        <w:t>convenios interadministrativos.</w:t>
      </w:r>
    </w:p>
    <w:p w14:paraId="252D0CC3" w14:textId="77777777" w:rsidR="00DE0DDD" w:rsidRDefault="00DE0DDD" w:rsidP="00DE0DD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No obstante, la celebración de este tipo de convenios si puede verse afectada por la restricción establecida en el artículo 33 de la Ley 996 de 2005, dado que esta restricción prohíbe la contratación directa. Esto significa que, en vigencia de esta restricción, no se encuentra permitido celebrar convenios especiales de contratación aplicando la causal de contratación directa contemplada en el literal e) del numeral 4 del artículo 2 de la Ley 1150 de 2007, ni ninguna de las demás causales contempladas en dicho numeral. Tal posibilidad también se encuentra restringida para las entidades estatales de régimen especial, quienes en atención a los efectos del artículo 33 </w:t>
      </w:r>
      <w:r w:rsidRPr="00692211">
        <w:rPr>
          <w:rFonts w:ascii="Verdana" w:eastAsia="Times New Roman" w:hAnsi="Verdana" w:cs="Arial"/>
          <w:i/>
          <w:iCs/>
          <w:lang w:eastAsia="es-CO"/>
        </w:rPr>
        <w:t>ib</w:t>
      </w:r>
      <w:r>
        <w:rPr>
          <w:rFonts w:ascii="Verdana" w:eastAsia="Times New Roman" w:hAnsi="Verdana" w:cs="Arial"/>
          <w:i/>
          <w:iCs/>
          <w:lang w:eastAsia="es-CO"/>
        </w:rPr>
        <w:t>í</w:t>
      </w:r>
      <w:r w:rsidRPr="00692211">
        <w:rPr>
          <w:rFonts w:ascii="Verdana" w:eastAsia="Times New Roman" w:hAnsi="Verdana" w:cs="Arial"/>
          <w:i/>
          <w:iCs/>
          <w:lang w:eastAsia="es-CO"/>
        </w:rPr>
        <w:t>dem</w:t>
      </w:r>
      <w:r>
        <w:rPr>
          <w:rFonts w:ascii="Verdana" w:eastAsia="Times New Roman" w:hAnsi="Verdana" w:cs="Arial"/>
          <w:i/>
          <w:iCs/>
          <w:lang w:eastAsia="es-CO"/>
        </w:rPr>
        <w:t xml:space="preserve">, </w:t>
      </w:r>
      <w:r>
        <w:rPr>
          <w:rFonts w:ascii="Verdana" w:eastAsia="Times New Roman" w:hAnsi="Verdana" w:cs="Arial"/>
          <w:lang w:eastAsia="es-CO"/>
        </w:rPr>
        <w:t>tampoco pueden celebrar este tipo de convenios de manera directa.</w:t>
      </w:r>
    </w:p>
    <w:p w14:paraId="4C4F580D" w14:textId="77777777" w:rsidR="00DE0DDD" w:rsidRPr="002D2325" w:rsidRDefault="00DE0DDD" w:rsidP="00DE0DDD">
      <w:pPr>
        <w:spacing w:after="120" w:line="276" w:lineRule="auto"/>
        <w:ind w:firstLine="708"/>
        <w:jc w:val="both"/>
        <w:rPr>
          <w:rFonts w:ascii="Verdana" w:hAnsi="Verdana" w:cs="Arial"/>
          <w:bCs/>
          <w:color w:val="000000" w:themeColor="text1"/>
        </w:rPr>
      </w:pPr>
      <w:r w:rsidRPr="00D721D9">
        <w:rPr>
          <w:rFonts w:ascii="Verdana" w:eastAsia="Times New Roman" w:hAnsi="Verdana" w:cs="Arial"/>
          <w:lang w:eastAsia="es-CO"/>
        </w:rPr>
        <w:t>Sin perjuicio de lo anterior, en el marco de la autonomía que les asiste para dirigir su gestión contractual, las Entidades Estatales, de acuerdo con las reglas que rigen sus procedimientos de selección, podrán valorar la posibilidad de celebrar estos o cualquier otro negocio jurídico, previo desarrollo de un proceso competitivo en el que se garantice pluralidad de oferentes.</w:t>
      </w:r>
      <w:r>
        <w:rPr>
          <w:rFonts w:ascii="Verdana" w:eastAsia="Times New Roman" w:hAnsi="Verdana" w:cs="Arial"/>
          <w:lang w:eastAsia="es-CO"/>
        </w:rPr>
        <w:t xml:space="preserve"> </w:t>
      </w:r>
    </w:p>
    <w:p w14:paraId="1AF1C1F1" w14:textId="77777777" w:rsidR="00DE0DDD" w:rsidRPr="00B26706" w:rsidRDefault="00DE0DDD" w:rsidP="00DE0DDD">
      <w:pPr>
        <w:spacing w:line="276" w:lineRule="auto"/>
        <w:contextualSpacing/>
        <w:jc w:val="both"/>
        <w:rPr>
          <w:rFonts w:ascii="Verdana" w:eastAsia="Calibri" w:hAnsi="Verdana" w:cs="Arial"/>
          <w:shd w:val="clear" w:color="auto" w:fill="FFFFFF"/>
        </w:rPr>
      </w:pPr>
      <w:r>
        <w:rPr>
          <w:rFonts w:ascii="Verdana" w:eastAsia="Times New Roman" w:hAnsi="Verdana" w:cs="Arial"/>
          <w:color w:val="000000" w:themeColor="text1"/>
          <w:lang w:val="es-ES" w:eastAsia="es-ES"/>
        </w:rPr>
        <w:t xml:space="preserve">v. </w:t>
      </w:r>
      <w:r>
        <w:rPr>
          <w:rFonts w:ascii="Verdana" w:eastAsia="Calibri" w:hAnsi="Verdana" w:cs="Arial"/>
          <w:shd w:val="clear" w:color="auto" w:fill="FFFFFF"/>
        </w:rPr>
        <w:t xml:space="preserve">Por otro lado, y en lo concerniente al objeto de la presente consulta, </w:t>
      </w:r>
      <w:r w:rsidRPr="00B26706">
        <w:rPr>
          <w:rFonts w:ascii="Verdana" w:eastAsia="Calibri" w:hAnsi="Verdana" w:cs="Arial"/>
          <w:shd w:val="clear" w:color="auto" w:fill="FFFFFF"/>
        </w:rPr>
        <w:t>es conveniente realizar algunas precisiones conceptuales sobre las actividades de ciencia, tecnología e innovación. Lo primero es destacar que antes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47A9FE83" w14:textId="77777777" w:rsidR="00DE0DDD" w:rsidRPr="00B26706" w:rsidRDefault="00DE0DDD" w:rsidP="00DE0DDD">
      <w:pPr>
        <w:ind w:left="709" w:right="709"/>
        <w:contextualSpacing/>
        <w:jc w:val="both"/>
        <w:rPr>
          <w:rFonts w:ascii="Verdana" w:eastAsia="Calibri" w:hAnsi="Verdana" w:cs="Arial"/>
          <w:sz w:val="21"/>
          <w:szCs w:val="21"/>
          <w:shd w:val="clear" w:color="auto" w:fill="FFFFFF"/>
        </w:rPr>
      </w:pPr>
    </w:p>
    <w:p w14:paraId="5F95B7C3" w14:textId="77777777" w:rsidR="00DE0DDD" w:rsidRPr="001A000B" w:rsidRDefault="00DE0DDD" w:rsidP="00DE0DDD">
      <w:pPr>
        <w:ind w:left="709" w:right="709"/>
        <w:contextualSpacing/>
        <w:jc w:val="both"/>
        <w:rPr>
          <w:rFonts w:ascii="Verdana" w:eastAsia="Calibri" w:hAnsi="Verdana" w:cs="Arial"/>
          <w:sz w:val="20"/>
          <w:szCs w:val="20"/>
          <w:shd w:val="clear" w:color="auto" w:fill="FFFFFF"/>
        </w:rPr>
      </w:pPr>
      <w:r w:rsidRPr="001A000B">
        <w:rPr>
          <w:rFonts w:ascii="Verdana" w:eastAsia="Calibri" w:hAnsi="Verdana" w:cs="Arial"/>
          <w:sz w:val="20"/>
          <w:szCs w:val="20"/>
          <w:shd w:val="clear" w:color="auto" w:fill="FFFFFF"/>
        </w:rPr>
        <w:t xml:space="preserve">“corresponde al Estado promover y orientar el adelanto científico y tecnológico y, por lo mismo, está obligado a incorporar la ciencia y tecnología a los planes y programas de desarrollo económico y social del </w:t>
      </w:r>
      <w:r w:rsidRPr="001A000B">
        <w:rPr>
          <w:rFonts w:ascii="Verdana" w:eastAsia="Calibri" w:hAnsi="Verdana" w:cs="Arial"/>
          <w:sz w:val="20"/>
          <w:szCs w:val="20"/>
          <w:shd w:val="clear" w:color="auto" w:fill="FFFFFF"/>
        </w:rPr>
        <w:lastRenderedPageBreak/>
        <w:t>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0DB79B52" w14:textId="77777777" w:rsidR="00DE0DDD" w:rsidRPr="00B26706" w:rsidRDefault="00DE0DDD" w:rsidP="00DE0DDD">
      <w:pPr>
        <w:ind w:left="709" w:right="709"/>
        <w:contextualSpacing/>
        <w:jc w:val="both"/>
        <w:rPr>
          <w:rFonts w:ascii="Verdana" w:eastAsia="Calibri" w:hAnsi="Verdana" w:cs="Arial"/>
          <w:sz w:val="21"/>
          <w:szCs w:val="21"/>
          <w:shd w:val="clear" w:color="auto" w:fill="FFFFFF"/>
        </w:rPr>
      </w:pPr>
    </w:p>
    <w:p w14:paraId="57CE4658" w14:textId="77777777" w:rsidR="00DE0DDD" w:rsidRPr="00B26706" w:rsidRDefault="00DE0DDD" w:rsidP="00DE0DDD">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De tal manera, la ley otorgó facultades extraordinarias que le permitirían al Gobierno Nacional dictar una serie de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p>
    <w:p w14:paraId="1F6D8898" w14:textId="77777777" w:rsidR="00DE0DDD" w:rsidRPr="00B26706" w:rsidRDefault="00DE0DDD" w:rsidP="00DE0DDD">
      <w:pPr>
        <w:spacing w:before="120"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sustancial </w:t>
      </w:r>
      <w:r w:rsidRPr="005C4B2F">
        <w:rPr>
          <w:rFonts w:ascii="Verdana" w:eastAsia="Aptos" w:hAnsi="Verdana" w:cs="Arial"/>
          <w:i/>
          <w:iCs/>
          <w:lang w:val="es-ES" w:eastAsia="es-MX"/>
        </w:rPr>
        <w:t>tipologías</w:t>
      </w:r>
      <w:r w:rsidRPr="00B26706">
        <w:rPr>
          <w:rFonts w:ascii="Verdana" w:eastAsia="Aptos" w:hAnsi="Verdana" w:cs="Arial"/>
          <w:i/>
          <w:iCs/>
          <w:lang w:val="es-ES" w:eastAsia="es-MX"/>
        </w:rPr>
        <w:t xml:space="preserve"> contractuales</w:t>
      </w:r>
      <w:r w:rsidRPr="00B26706">
        <w:rPr>
          <w:rFonts w:ascii="Verdana" w:eastAsia="Aptos" w:hAnsi="Verdana" w:cs="Arial"/>
          <w:lang w:val="es-ES" w:eastAsia="es-MX"/>
        </w:rPr>
        <w:t xml:space="preserve"> que pueden implementar las entidades para desarrollar dichas actividades.</w:t>
      </w:r>
    </w:p>
    <w:p w14:paraId="481DF4E7" w14:textId="77777777" w:rsidR="00DE0DDD" w:rsidRPr="00B26706" w:rsidRDefault="00DE0DDD" w:rsidP="00DE0DDD">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En concreto, las actividades de ciencia, tecnología e innovación están previstas en cuatro (4) cuerpos normativos: </w:t>
      </w:r>
    </w:p>
    <w:p w14:paraId="404918E9" w14:textId="77777777" w:rsidR="00DE0DDD" w:rsidRPr="00B26706" w:rsidRDefault="00DE0DDD" w:rsidP="00DE0DDD">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4F4D7810" w14:textId="77777777" w:rsidR="00DE0DDD" w:rsidRPr="00B26706" w:rsidRDefault="00DE0DDD" w:rsidP="00DE0DDD">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w:t>
      </w:r>
      <w:r w:rsidRPr="00B26706">
        <w:rPr>
          <w:rFonts w:ascii="Verdana" w:eastAsia="Times New Roman" w:hAnsi="Verdana" w:cs="Arial"/>
          <w:lang w:eastAsia="es-ES_tradnl"/>
        </w:rPr>
        <w:lastRenderedPageBreak/>
        <w:t xml:space="preserve">de financiamiento, 2) contratos de administración de proyectos y 3) convenios especiales de cooperación; </w:t>
      </w:r>
    </w:p>
    <w:p w14:paraId="6A03DA59" w14:textId="77777777" w:rsidR="00DE0DDD" w:rsidRPr="00B26706" w:rsidRDefault="00DE0DDD" w:rsidP="00DE0DDD">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28"/>
      </w:r>
    </w:p>
    <w:p w14:paraId="30DC6EAF" w14:textId="77777777" w:rsidR="00DE0DDD" w:rsidRPr="00B26706" w:rsidRDefault="00DE0DDD" w:rsidP="00DE0DDD">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Documento CONPES 3582 de 2009</w:t>
      </w:r>
      <w:r w:rsidRPr="00B26706">
        <w:rPr>
          <w:rFonts w:ascii="Verdana" w:eastAsia="Times New Roman" w:hAnsi="Verdana" w:cs="Arial"/>
          <w:lang w:eastAsia="es-ES_tradnl"/>
        </w:rPr>
        <w:t xml:space="preserve"> que identifica cuáles son estas actividades con respecto a los actores del Sistema Nacional de Ciencia, Tecnología e Innovación.</w:t>
      </w:r>
    </w:p>
    <w:p w14:paraId="138F0E10" w14:textId="77777777" w:rsidR="00DE0DDD" w:rsidRPr="00B26706" w:rsidRDefault="00DE0DDD" w:rsidP="00DE0DDD">
      <w:pPr>
        <w:shd w:val="clear" w:color="auto" w:fill="FFFFFF"/>
        <w:spacing w:line="276" w:lineRule="auto"/>
        <w:ind w:firstLine="709"/>
        <w:jc w:val="both"/>
        <w:rPr>
          <w:rFonts w:ascii="Verdana" w:hAnsi="Verdana" w:cs="Arial"/>
          <w:lang w:eastAsia="es-ES_tradnl"/>
        </w:rPr>
      </w:pPr>
      <w:r w:rsidRPr="00B26706">
        <w:rPr>
          <w:rFonts w:ascii="Verdana" w:hAnsi="Verdana" w:cs="Arial"/>
          <w:lang w:eastAsia="es-ES_tradnl"/>
        </w:rPr>
        <w:t xml:space="preserve">Así las cosas,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por las que pueden optar las entidades allí señaladas para contratar directamente el desarrollo de actividades de ciencia y tecnología. De cualquier modo, su aplicación se encuentra limitada a los sujetos y materias allí reguladas. </w:t>
      </w:r>
    </w:p>
    <w:p w14:paraId="721B3129" w14:textId="77777777" w:rsidR="00DE0DDD" w:rsidRPr="00B26706" w:rsidRDefault="00DE0DDD" w:rsidP="00DE0DDD">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Al respecto, el artículo primero del Decreto Ley 393 de 1991 señala expresamente que la Nación y sus entidades descentralizadas “podrán</w:t>
      </w:r>
      <w:r w:rsidRPr="00B26706">
        <w:rPr>
          <w:rFonts w:ascii="Verdana" w:hAnsi="Verdana" w:cs="Arial"/>
          <w:i/>
          <w:iCs/>
          <w:lang w:eastAsia="es-ES_tradnl"/>
        </w:rPr>
        <w:t xml:space="preserve"> </w:t>
      </w:r>
      <w:r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B26706">
        <w:rPr>
          <w:rFonts w:ascii="Verdana" w:hAnsi="Verdana" w:cs="Arial"/>
          <w:i/>
          <w:iCs/>
          <w:lang w:eastAsia="es-ES_tradnl"/>
        </w:rPr>
        <w:t xml:space="preserve">podrán </w:t>
      </w:r>
      <w:r w:rsidRPr="00B26706">
        <w:rPr>
          <w:rFonts w:ascii="Verdana" w:hAnsi="Verdana" w:cs="Arial"/>
          <w:lang w:eastAsia="es-ES_tradnl"/>
        </w:rPr>
        <w:t>celebrar con los particulares convenios especiales de cooperación, que no darán lugar al nacimiento de una nueva persona jurídica”</w:t>
      </w:r>
      <w:r w:rsidRPr="00B26706">
        <w:rPr>
          <w:rStyle w:val="Refdenotaalpie"/>
          <w:rFonts w:ascii="Verdana" w:hAnsi="Verdana" w:cs="Arial"/>
          <w:lang w:eastAsia="es-ES_tradnl"/>
        </w:rPr>
        <w:footnoteReference w:id="29"/>
      </w:r>
      <w:r w:rsidRPr="00B26706">
        <w:rPr>
          <w:rFonts w:ascii="Verdana" w:hAnsi="Verdana" w:cs="Arial"/>
          <w:lang w:eastAsia="es-ES_tradnl"/>
        </w:rPr>
        <w:t>. De manera similar, los artículo 8, 9 y 17 del Decreto Ley 591 de 1991 señalan que la Nación y sus entidades descentralizadas “</w:t>
      </w:r>
      <w:r w:rsidRPr="00B26706">
        <w:rPr>
          <w:rFonts w:ascii="Verdana" w:hAnsi="Verdana" w:cs="Arial"/>
          <w:i/>
          <w:iCs/>
          <w:lang w:eastAsia="es-ES_tradnl"/>
        </w:rPr>
        <w:t>podrán</w:t>
      </w:r>
      <w:r w:rsidRPr="00B26706">
        <w:rPr>
          <w:rFonts w:ascii="Verdana" w:hAnsi="Verdana" w:cs="Arial"/>
          <w:lang w:eastAsia="es-ES_tradnl"/>
        </w:rPr>
        <w:t xml:space="preserve">”: </w:t>
      </w:r>
      <w:r>
        <w:rPr>
          <w:rFonts w:ascii="Verdana" w:hAnsi="Verdana" w:cs="Arial"/>
          <w:lang w:eastAsia="es-ES_tradnl"/>
        </w:rPr>
        <w:t>1</w:t>
      </w:r>
      <w:r w:rsidRPr="00B26706">
        <w:rPr>
          <w:rFonts w:ascii="Verdana" w:hAnsi="Verdana" w:cs="Arial"/>
          <w:lang w:eastAsia="es-ES_tradnl"/>
        </w:rPr>
        <w:t xml:space="preserve">) celebrar contratos de financiamiento destinados a actividades científicas y tecnológicas, que tengan por objeto proveer de recursos al particular contratista o a otra entidad pública; </w:t>
      </w:r>
      <w:r>
        <w:rPr>
          <w:rFonts w:ascii="Verdana" w:hAnsi="Verdana" w:cs="Arial"/>
          <w:lang w:eastAsia="es-ES_tradnl"/>
        </w:rPr>
        <w:t>2</w:t>
      </w:r>
      <w:r w:rsidRPr="00B26706">
        <w:rPr>
          <w:rFonts w:ascii="Verdana" w:hAnsi="Verdana" w:cs="Arial"/>
          <w:lang w:eastAsia="es-ES_tradnl"/>
        </w:rPr>
        <w:t xml:space="preserve">) celebrar con personas públicas o privadas contratos de administración de proyectos; y </w:t>
      </w:r>
      <w:r>
        <w:rPr>
          <w:rFonts w:ascii="Verdana" w:hAnsi="Verdana" w:cs="Arial"/>
          <w:lang w:eastAsia="es-ES_tradnl"/>
        </w:rPr>
        <w:t>3</w:t>
      </w:r>
      <w:r w:rsidRPr="00B26706">
        <w:rPr>
          <w:rFonts w:ascii="Verdana" w:hAnsi="Verdana" w:cs="Arial"/>
          <w:lang w:eastAsia="es-ES_tradnl"/>
        </w:rPr>
        <w:t>)</w:t>
      </w:r>
      <w:r w:rsidRPr="00B26706">
        <w:rPr>
          <w:rFonts w:ascii="Arial" w:hAnsi="Arial" w:cs="Arial"/>
          <w:color w:val="000000"/>
          <w:sz w:val="21"/>
          <w:szCs w:val="21"/>
        </w:rPr>
        <w:t xml:space="preserve"> </w:t>
      </w:r>
      <w:r w:rsidRPr="00B26706">
        <w:rPr>
          <w:rFonts w:ascii="Verdana" w:hAnsi="Verdana" w:cs="Arial"/>
          <w:lang w:eastAsia="es-ES_tradnl"/>
        </w:rPr>
        <w:t xml:space="preserve">celebrar con los particulares y con otras entidades públicas de cualquier orden convenios especiales de cooperación. En efecto, las normas referidas otorgan la potestad para que la Nación y sus entidades </w:t>
      </w:r>
      <w:r w:rsidRPr="00B26706">
        <w:rPr>
          <w:rFonts w:ascii="Verdana" w:hAnsi="Verdana" w:cs="Arial"/>
          <w:lang w:eastAsia="es-ES_tradnl"/>
        </w:rPr>
        <w:lastRenderedPageBreak/>
        <w:t>descentralizadas adopten las tipologías contractuales allí descritas cuando pretendan contratar el desarrollo de actividades científicas y tecnológicas.</w:t>
      </w:r>
    </w:p>
    <w:p w14:paraId="1839D853" w14:textId="77777777" w:rsidR="00DE0DDD" w:rsidRPr="00EF65A5" w:rsidRDefault="00DE0DDD" w:rsidP="00DE0DDD">
      <w:pPr>
        <w:spacing w:after="120" w:line="276" w:lineRule="auto"/>
        <w:ind w:firstLine="708"/>
        <w:jc w:val="both"/>
        <w:rPr>
          <w:rFonts w:ascii="Verdana" w:eastAsia="Times New Roman" w:hAnsi="Verdana" w:cs="Arial"/>
          <w:lang w:eastAsia="es-ES_tradnl"/>
        </w:rPr>
      </w:pPr>
      <w:r w:rsidRPr="0069136E">
        <w:rPr>
          <w:rFonts w:ascii="Verdana" w:hAnsi="Verdana" w:cs="Arial"/>
          <w:lang w:eastAsia="es-ES_tradnl"/>
        </w:rPr>
        <w:t>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w:t>
      </w:r>
      <w:r>
        <w:rPr>
          <w:rFonts w:ascii="Verdana" w:hAnsi="Verdana" w:cs="Arial"/>
          <w:lang w:eastAsia="es-ES_tradnl"/>
        </w:rPr>
        <w:t xml:space="preserve"> los</w:t>
      </w:r>
      <w:r w:rsidRPr="0069136E">
        <w:rPr>
          <w:rFonts w:ascii="Verdana" w:hAnsi="Verdana" w:cs="Arial"/>
          <w:lang w:eastAsia="es-ES_tradnl"/>
        </w:rPr>
        <w:t xml:space="preserve">: </w:t>
      </w:r>
      <w:r w:rsidRPr="0069136E">
        <w:rPr>
          <w:rFonts w:ascii="Verdana" w:eastAsia="Times New Roman" w:hAnsi="Verdana" w:cs="Arial"/>
          <w:lang w:eastAsia="es-ES_tradnl"/>
        </w:rPr>
        <w:t>1) contratos de financiamiento, 2) contratos de administración de proyectos y 3) convenios especiales de cooperación</w:t>
      </w:r>
      <w:r>
        <w:rPr>
          <w:rFonts w:ascii="Verdana" w:eastAsia="Times New Roman" w:hAnsi="Verdana" w:cs="Arial"/>
          <w:lang w:eastAsia="es-ES_tradnl"/>
        </w:rPr>
        <w:t>.</w:t>
      </w:r>
    </w:p>
    <w:p w14:paraId="7E2CA750" w14:textId="77777777" w:rsidR="00DE0DDD" w:rsidRPr="00B47B4C" w:rsidRDefault="00DE0DDD" w:rsidP="00DE0DDD">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 Finalmente,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En consecuencia, la causal de contratación directa a la cual se refiere la </w:t>
      </w:r>
      <w:r w:rsidRPr="00B26706">
        <w:rPr>
          <w:rFonts w:ascii="Verdana" w:hAnsi="Verdana" w:cs="Arial"/>
          <w:lang w:eastAsia="es-ES_tradnl"/>
        </w:rPr>
        <w:t xml:space="preserve">Ley 1150 de 2007 autoriza a todas las Entidades Estatales regidas por el EGCAP para contratar directamente </w:t>
      </w:r>
      <w:r w:rsidRPr="00B47B4C">
        <w:rPr>
          <w:rFonts w:ascii="Verdana" w:hAnsi="Verdana" w:cs="Arial"/>
          <w:i/>
          <w:iCs/>
          <w:lang w:eastAsia="es-ES_tradnl"/>
        </w:rPr>
        <w:t>el desarrollo de actividades científicas y tecnológicas</w:t>
      </w:r>
      <w:r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121BACFD" w14:textId="77777777" w:rsidR="00DE0DDD" w:rsidRPr="00B26706" w:rsidRDefault="00DE0DDD" w:rsidP="00DE0DDD">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i) la </w:t>
      </w:r>
      <w:r>
        <w:rPr>
          <w:rFonts w:ascii="Verdana" w:hAnsi="Verdana" w:cs="Arial"/>
          <w:lang w:eastAsia="es-ES_tradnl"/>
        </w:rPr>
        <w:t>L</w:t>
      </w:r>
      <w:r w:rsidRPr="00B26706">
        <w:rPr>
          <w:rFonts w:ascii="Verdana" w:hAnsi="Verdana" w:cs="Arial"/>
          <w:lang w:eastAsia="es-ES_tradnl"/>
        </w:rPr>
        <w:t xml:space="preserve">ey 1150 de 2007 autorizó a las Entidades Estatales sometidas al EGCAP para contratar directamente el desarrollo de actividades científicas y tecnológicas, sin determinar una tipología específica; y ii)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4AC82261" w14:textId="77777777" w:rsidR="00DE0DDD" w:rsidRPr="00B26706" w:rsidRDefault="00DE0DDD" w:rsidP="00DE0DDD">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w:t>
      </w:r>
      <w:r w:rsidRPr="00B26706">
        <w:rPr>
          <w:rFonts w:ascii="Verdana" w:hAnsi="Verdana" w:cs="Arial"/>
          <w:lang w:eastAsia="es-ES_tradnl"/>
        </w:rPr>
        <w:lastRenderedPageBreak/>
        <w:t xml:space="preserve">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7ADBAD1D" w14:textId="77777777" w:rsidR="00DE0DDD" w:rsidRPr="00B26706" w:rsidRDefault="00DE0DDD" w:rsidP="00DE0DDD">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EGCAP podrán contratar directamente el desarrollo de tales actividades en virtud de lo dispuesto en la Ley 1150 de 2007 implementando otras tipologías contractuales que resulten adecuadas para la satisfacción de la necesidad identificada. </w:t>
      </w:r>
    </w:p>
    <w:p w14:paraId="588D357C" w14:textId="77777777" w:rsidR="00DE0DDD" w:rsidRDefault="00DE0DDD" w:rsidP="00DE0DDD">
      <w:pPr>
        <w:shd w:val="clear" w:color="auto" w:fill="FFFFFF"/>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w:t>
      </w:r>
      <w:r>
        <w:rPr>
          <w:rFonts w:ascii="Verdana" w:hAnsi="Verdana" w:cs="Arial"/>
          <w:lang w:eastAsia="es-ES_tradnl"/>
        </w:rPr>
        <w:t xml:space="preserve">1) </w:t>
      </w:r>
      <w:r w:rsidRPr="00B26706">
        <w:rPr>
          <w:rFonts w:ascii="Verdana" w:hAnsi="Verdana" w:cs="Arial"/>
          <w:lang w:eastAsia="es-ES_tradnl"/>
        </w:rPr>
        <w:t xml:space="preserve">las asociaciones dirigidas a crear sociedades </w:t>
      </w:r>
      <w:r w:rsidRPr="00B26706">
        <w:rPr>
          <w:rFonts w:ascii="Verdana" w:hAnsi="Verdana" w:cs="Arial"/>
          <w:lang w:eastAsia="es-ES_tradnl"/>
        </w:rPr>
        <w:lastRenderedPageBreak/>
        <w:t xml:space="preserve">civiles y comerciales, y personas jurídicas sin ánimo de lucro como fundaciones y corporaciones; </w:t>
      </w:r>
      <w:r>
        <w:rPr>
          <w:rFonts w:ascii="Verdana" w:hAnsi="Verdana" w:cs="Arial"/>
          <w:lang w:eastAsia="es-ES_tradnl"/>
        </w:rPr>
        <w:t xml:space="preserve">2) </w:t>
      </w:r>
      <w:r w:rsidRPr="00B26706">
        <w:rPr>
          <w:rFonts w:ascii="Verdana" w:hAnsi="Verdana" w:cs="Arial"/>
          <w:lang w:eastAsia="es-ES_tradnl"/>
        </w:rPr>
        <w:t>los convenios especiales de cooperación;</w:t>
      </w:r>
      <w:r>
        <w:rPr>
          <w:rFonts w:ascii="Verdana" w:hAnsi="Verdana" w:cs="Arial"/>
          <w:lang w:eastAsia="es-ES_tradnl"/>
        </w:rPr>
        <w:t xml:space="preserve"> 3</w:t>
      </w:r>
      <w:r w:rsidRPr="00B26706">
        <w:rPr>
          <w:rFonts w:ascii="Verdana" w:hAnsi="Verdana" w:cs="Arial"/>
          <w:lang w:eastAsia="es-ES_tradnl"/>
        </w:rPr>
        <w:t xml:space="preserve">) los contratos de financiamiento y </w:t>
      </w:r>
      <w:r>
        <w:rPr>
          <w:rFonts w:ascii="Verdana" w:hAnsi="Verdana" w:cs="Arial"/>
          <w:lang w:eastAsia="es-ES_tradnl"/>
        </w:rPr>
        <w:t>4</w:t>
      </w:r>
      <w:r w:rsidRPr="00B26706">
        <w:rPr>
          <w:rFonts w:ascii="Verdana" w:hAnsi="Verdana" w:cs="Arial"/>
          <w:lang w:eastAsia="es-ES_tradnl"/>
        </w:rPr>
        <w:t xml:space="preserve">) los contratos de administración de proyectos. Si embargo señaló expresamente que “Este cuadro normativo no excluye la posibilidad de que las entidades de fomento de las actividades científicas y tecnológicas </w:t>
      </w:r>
      <w:r w:rsidRPr="00B47B4C">
        <w:rPr>
          <w:rFonts w:ascii="Verdana" w:hAnsi="Verdana" w:cs="Arial"/>
          <w:i/>
          <w:iCs/>
          <w:u w:val="single"/>
          <w:lang w:eastAsia="es-ES_tradnl"/>
        </w:rPr>
        <w:t>puedan convenir libremente negocios distintos</w:t>
      </w:r>
      <w:r w:rsidRPr="00B26706">
        <w:rPr>
          <w:rFonts w:ascii="Verdana" w:hAnsi="Verdana" w:cs="Arial"/>
          <w:lang w:eastAsia="es-ES_tradnl"/>
        </w:rPr>
        <w:t xml:space="preserve"> a los expresamente previstos en la ley o el reglamento, en desarrollo del principio de la autonomía de la voluntad […]”</w:t>
      </w:r>
      <w:r w:rsidRPr="00B26706">
        <w:rPr>
          <w:rStyle w:val="Refdenotaalpie"/>
          <w:rFonts w:ascii="Verdana" w:hAnsi="Verdana" w:cs="Arial"/>
          <w:lang w:eastAsia="es-ES_tradnl"/>
        </w:rPr>
        <w:footnoteReference w:id="30"/>
      </w:r>
      <w:r>
        <w:rPr>
          <w:rFonts w:ascii="Verdana" w:hAnsi="Verdana" w:cs="Arial"/>
          <w:lang w:eastAsia="es-ES_tradnl"/>
        </w:rPr>
        <w:t xml:space="preserve"> (Énfasis propio)</w:t>
      </w:r>
      <w:r w:rsidRPr="00B26706">
        <w:rPr>
          <w:rFonts w:ascii="Verdana" w:hAnsi="Verdana" w:cs="Arial"/>
          <w:lang w:eastAsia="es-ES_tradnl"/>
        </w:rPr>
        <w:t>.</w:t>
      </w:r>
    </w:p>
    <w:p w14:paraId="3C49AAF1" w14:textId="77777777" w:rsidR="00DE0DDD" w:rsidRPr="00480A95" w:rsidRDefault="00DE0DDD" w:rsidP="00DE0DDD">
      <w:pPr>
        <w:spacing w:after="120" w:line="276" w:lineRule="auto"/>
        <w:ind w:firstLine="709"/>
        <w:jc w:val="both"/>
        <w:rPr>
          <w:rFonts w:ascii="Verdana" w:eastAsia="Calibri" w:hAnsi="Verdana" w:cs="Arial"/>
          <w:color w:val="000000" w:themeColor="text1"/>
          <w:szCs w:val="24"/>
          <w:lang w:val="es-ES_tradnl" w:eastAsia="es-ES_tradnl"/>
        </w:rPr>
      </w:pPr>
      <w:r w:rsidRPr="00480A95">
        <w:rPr>
          <w:rFonts w:ascii="Verdana" w:eastAsia="Times New Roman" w:hAnsi="Verdana" w:cs="Arial"/>
          <w:color w:val="000000" w:themeColor="text1"/>
          <w:szCs w:val="24"/>
          <w:lang w:val="es-ES_tradnl" w:eastAsia="es-ES_tradnl"/>
        </w:rPr>
        <w:t>De esta forma,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r>
        <w:rPr>
          <w:rFonts w:ascii="Verdana" w:eastAsia="Times New Roman" w:hAnsi="Verdana" w:cs="Arial"/>
          <w:color w:val="000000" w:themeColor="text1"/>
          <w:szCs w:val="24"/>
          <w:lang w:val="es-ES_tradnl" w:eastAsia="es-ES_tradnl"/>
        </w:rPr>
        <w:t xml:space="preserve"> </w:t>
      </w:r>
      <w:r w:rsidRPr="00480A95">
        <w:rPr>
          <w:rFonts w:ascii="Verdana" w:eastAsia="Calibri" w:hAnsi="Verdana" w:cs="Arial"/>
          <w:color w:val="000000" w:themeColor="text1"/>
          <w:szCs w:val="24"/>
          <w:lang w:val="es-ES_tradnl" w:eastAsia="es-ES_tradnl"/>
        </w:rPr>
        <w:t>En todo caso, se resalta, el régimen de las actividades de ciencia, tecnología e innovación se define a partir de las normas citadas; pero le corresponde al Ministerio de Ciencia, Tecnología e Innovación, como autoridad competente, catalogar las actividades cuando las Entidades presenten dudas respecto de un objeto contractual que pretendan satisfacer</w:t>
      </w:r>
      <w:r w:rsidRPr="00480A95">
        <w:rPr>
          <w:rFonts w:ascii="Verdana" w:eastAsia="Calibri" w:hAnsi="Verdana" w:cs="Arial"/>
          <w:szCs w:val="24"/>
          <w:vertAlign w:val="superscript"/>
          <w:lang w:eastAsia="es-ES_tradnl"/>
        </w:rPr>
        <w:footnoteReference w:id="31"/>
      </w:r>
      <w:r w:rsidRPr="00480A95">
        <w:rPr>
          <w:rFonts w:ascii="Verdana" w:eastAsia="Calibri" w:hAnsi="Verdana" w:cs="Arial"/>
          <w:color w:val="000000" w:themeColor="text1"/>
          <w:szCs w:val="24"/>
          <w:lang w:val="es-ES_tradnl" w:eastAsia="es-ES_tradnl"/>
        </w:rPr>
        <w:t xml:space="preserve">. </w:t>
      </w:r>
    </w:p>
    <w:p w14:paraId="712FB1AB" w14:textId="77777777" w:rsidR="00DE0DDD" w:rsidRDefault="00DE0DDD" w:rsidP="00DE0DDD">
      <w:pPr>
        <w:spacing w:after="120" w:line="276" w:lineRule="auto"/>
        <w:jc w:val="both"/>
        <w:rPr>
          <w:rFonts w:ascii="Verdana" w:eastAsia="Calibri" w:hAnsi="Verdana" w:cs="Arial"/>
          <w:bCs/>
        </w:rPr>
      </w:pPr>
      <w:r>
        <w:rPr>
          <w:rFonts w:ascii="Verdana" w:eastAsia="Calibri" w:hAnsi="Verdana" w:cs="Arial"/>
          <w:bCs/>
        </w:rPr>
        <w:t xml:space="preserve">vi. De otra parte, en aras de responder la solicitud, resulta necesario mencionar que, la Sala de consulta y servicio civil del Consejo de Estado se pronunció sobre la aplicación de la restricción establecida en el artículo 33 de la Ley 996 de 2005 a la celebración de contratos de fomento o financiación de actividades científicas y tecnológicas. Esto con base en lo establecido en el artículo 33 de la Ley 1286 de 2009, el cual expresamente establece que la modalidad aplicable a estos contratos es la contratación directa. Al respecto indico: </w:t>
      </w:r>
    </w:p>
    <w:p w14:paraId="4DBFF052"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“A juicio de la Sala, la norma transcrita [art. 33, Ley 1286 de 2009] ratifica lo expuesto en precedencia y lo dicho por la Sección Tercera de esta Corporación en la sentencia del 11 de febrero de 2009 en el sentido de </w:t>
      </w:r>
      <w:r w:rsidRPr="00645EAA">
        <w:rPr>
          <w:rFonts w:ascii="Verdana" w:eastAsia="Calibri" w:hAnsi="Verdana" w:cs="Arial"/>
          <w:bCs/>
          <w:sz w:val="20"/>
          <w:szCs w:val="20"/>
        </w:rPr>
        <w:lastRenderedPageBreak/>
        <w:t>que los contratos que se celebren con el objeto de fomentar la ciencia y tecnología se encuentran sujetos a la ley 80 de 1993 con las modificaciones previstas en la ley 1150, en todo aquello que no esté expresamente regulado en las normas especiales de los decretos — leyes 393 y 591 de 1991.</w:t>
      </w:r>
    </w:p>
    <w:p w14:paraId="577355BA"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Igualmente ratifica que en los contratos de ciencia y tecnología, la modalidad de</w:t>
      </w:r>
      <w:r>
        <w:rPr>
          <w:rFonts w:ascii="Verdana" w:eastAsia="Calibri" w:hAnsi="Verdana" w:cs="Arial"/>
          <w:bCs/>
          <w:sz w:val="20"/>
          <w:szCs w:val="20"/>
        </w:rPr>
        <w:t xml:space="preserve"> </w:t>
      </w:r>
      <w:r w:rsidRPr="00645EAA">
        <w:rPr>
          <w:rFonts w:ascii="Verdana" w:eastAsia="Calibri" w:hAnsi="Verdana" w:cs="Arial"/>
          <w:bCs/>
          <w:sz w:val="20"/>
          <w:szCs w:val="20"/>
        </w:rPr>
        <w:t>selección del contratista es la contratación directa, regla plenamente concordante con lo señalado en la ley 80 y la modificación prevista en la ley 1150, expuestas en detalle en el punto 3.2.</w:t>
      </w:r>
    </w:p>
    <w:p w14:paraId="7EAC9589"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3DF1A839"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[L]o dispuesto en ese precepto, no es más que la ratificación del principio general de transparencia que rige la contratación estatal el cual se desarrolla en la ley 80 de 1993 (arts. 23 y 24), que para el caso concreto de la ciencia y tecnología permite concretarlo, además, en la realización de </w:t>
      </w:r>
      <w:r w:rsidRPr="00645EAA">
        <w:rPr>
          <w:rFonts w:ascii="Verdana" w:eastAsia="Calibri" w:hAnsi="Verdana" w:cs="Arial"/>
          <w:bCs/>
          <w:i/>
          <w:iCs/>
          <w:sz w:val="20"/>
          <w:szCs w:val="20"/>
        </w:rPr>
        <w:t xml:space="preserve">"convocatorias públicas", </w:t>
      </w:r>
      <w:r w:rsidRPr="00645EAA">
        <w:rPr>
          <w:rFonts w:ascii="Verdana" w:eastAsia="Calibri" w:hAnsi="Verdana" w:cs="Arial"/>
          <w:bCs/>
          <w:sz w:val="20"/>
          <w:szCs w:val="20"/>
        </w:rPr>
        <w:t>pero sin que ellas se conviertan en una nueva modalidad de selección de contratistas diferente a la contratación directa prevista en el artículo 33 de la ley 1286, en concordancia con la leyes 80 y 1150, según se ha explicado.</w:t>
      </w:r>
    </w:p>
    <w:p w14:paraId="7ACF6B7E" w14:textId="77777777" w:rsidR="00DE0DDD" w:rsidRPr="00645EAA" w:rsidRDefault="00DE0DDD" w:rsidP="00DE0DDD">
      <w:pPr>
        <w:spacing w:after="120" w:line="240" w:lineRule="auto"/>
        <w:ind w:left="709" w:right="709"/>
        <w:jc w:val="both"/>
        <w:rPr>
          <w:rFonts w:ascii="Verdana" w:eastAsia="Calibri" w:hAnsi="Verdana" w:cs="Arial"/>
          <w:bCs/>
          <w:i/>
          <w:iCs/>
          <w:sz w:val="20"/>
          <w:szCs w:val="20"/>
        </w:rPr>
      </w:pPr>
      <w:r w:rsidRPr="00645EAA">
        <w:rPr>
          <w:rFonts w:ascii="Verdana" w:eastAsia="Calibri" w:hAnsi="Verdana" w:cs="Arial"/>
          <w:bCs/>
          <w:sz w:val="20"/>
          <w:szCs w:val="20"/>
        </w:rPr>
        <w:t xml:space="preserve">En efecto, Colciencias expidió la resolución 00389 de 2009 </w:t>
      </w:r>
      <w:r w:rsidRPr="00645EAA">
        <w:rPr>
          <w:rFonts w:ascii="Verdana" w:eastAsia="Calibri" w:hAnsi="Verdana" w:cs="Arial"/>
          <w:bCs/>
          <w:i/>
          <w:iCs/>
          <w:sz w:val="20"/>
          <w:szCs w:val="20"/>
        </w:rPr>
        <w:t xml:space="preserve">"por la cual se adopta el Manual de Contratación", </w:t>
      </w:r>
      <w:r w:rsidRPr="00645EAA">
        <w:rPr>
          <w:rFonts w:ascii="Verdana" w:eastAsia="Calibri" w:hAnsi="Verdana" w:cs="Arial"/>
          <w:bCs/>
          <w:sz w:val="20"/>
          <w:szCs w:val="20"/>
        </w:rPr>
        <w:t xml:space="preserve">en donde se establece un procedimiento sobre convocatorias públicas. </w:t>
      </w:r>
      <w:r w:rsidRPr="00645EAA">
        <w:rPr>
          <w:rFonts w:ascii="Verdana" w:eastAsia="Calibri" w:hAnsi="Verdana" w:cs="Arial"/>
          <w:bCs/>
          <w:i/>
          <w:iCs/>
          <w:sz w:val="20"/>
          <w:szCs w:val="20"/>
        </w:rPr>
        <w:t xml:space="preserve">Si bien el procedimiento permite aplicar el principio de transparencia, de acuerdo con la ley, tanto la 80, la 1150 y la 1286, no significa un sistema de licitación o concurso singular, sino aplicar dicho principio en la contratación directa. </w:t>
      </w:r>
    </w:p>
    <w:p w14:paraId="025BCA59"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De esta manera, una interpretación sistemática de los artículos 4 num. 5 y 33 de la ley 1286, lleva a sostener que en los contratos cuyo objeto es la realización de actividades de ciencia y tecnología, la modalidad de selección aplicable es la contratación directa, la cual puede instrumentarse mediante convocatorias públicas que permitan pluralidad de ofertas y concurrencia de oferentes con miras a realizar el principio de selección objetiva ínsito en la contratación pública.</w:t>
      </w:r>
    </w:p>
    <w:p w14:paraId="166E5854"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223F5780" w14:textId="77777777" w:rsidR="00DE0DDD" w:rsidRPr="00645EAA" w:rsidRDefault="00DE0DDD" w:rsidP="00DE0DDD">
      <w:pPr>
        <w:spacing w:after="12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[E]s menester </w:t>
      </w:r>
      <w:r w:rsidRPr="00645EAA">
        <w:rPr>
          <w:rFonts w:ascii="Verdana" w:eastAsia="Calibri" w:hAnsi="Verdana" w:cs="Arial"/>
          <w:bCs/>
          <w:i/>
          <w:iCs/>
          <w:sz w:val="20"/>
          <w:szCs w:val="20"/>
        </w:rPr>
        <w:t>concluir que en los contratos de ciencia y tecnología no podrá acudirse a la modalidad de contratación directa dentro del ámbito temporal en que la prohibición prevista en el artículo 33 de la ley estatutaria 996 de 2005 produce sus efectos jurídicos</w:t>
      </w:r>
      <w:r w:rsidRPr="00645EAA">
        <w:rPr>
          <w:rFonts w:ascii="Verdana" w:eastAsia="Calibri" w:hAnsi="Verdana" w:cs="Arial"/>
          <w:bCs/>
          <w:sz w:val="20"/>
          <w:szCs w:val="20"/>
        </w:rPr>
        <w:t>, en atención a que la prohibición temporal contenida en ésta se aplica también a los contratos de derecho público de ciencia y tecnología</w:t>
      </w:r>
      <w:r w:rsidRPr="00DB0FA3">
        <w:rPr>
          <w:rFonts w:ascii="Verdana" w:eastAsia="Calibri" w:hAnsi="Verdana" w:cs="Arial"/>
          <w:bCs/>
          <w:sz w:val="20"/>
          <w:szCs w:val="20"/>
        </w:rPr>
        <w:t>”</w:t>
      </w:r>
      <w:r w:rsidRPr="00DB0FA3">
        <w:rPr>
          <w:rStyle w:val="Refdenotaalpie"/>
          <w:rFonts w:ascii="Verdana" w:eastAsia="Calibri" w:hAnsi="Verdana" w:cs="Arial"/>
          <w:bCs/>
          <w:sz w:val="20"/>
          <w:szCs w:val="20"/>
        </w:rPr>
        <w:t xml:space="preserve"> </w:t>
      </w:r>
      <w:r w:rsidRPr="00DB0FA3">
        <w:rPr>
          <w:rFonts w:ascii="Verdana" w:eastAsia="Calibri" w:hAnsi="Verdana" w:cs="Arial"/>
          <w:bCs/>
          <w:sz w:val="20"/>
          <w:szCs w:val="20"/>
        </w:rPr>
        <w:t>[Énfasis fuera de texto]</w:t>
      </w:r>
      <w:r w:rsidRPr="00DB0FA3">
        <w:rPr>
          <w:rStyle w:val="Refdenotaalpie"/>
          <w:rFonts w:ascii="Verdana" w:eastAsia="Calibri" w:hAnsi="Verdana" w:cs="Arial"/>
          <w:bCs/>
          <w:sz w:val="20"/>
          <w:szCs w:val="20"/>
        </w:rPr>
        <w:footnoteReference w:id="32"/>
      </w:r>
    </w:p>
    <w:p w14:paraId="730C90D4" w14:textId="77777777" w:rsidR="00DE0DDD" w:rsidRDefault="00DE0DDD" w:rsidP="00DE0DDD">
      <w:pPr>
        <w:spacing w:after="120" w:line="276" w:lineRule="auto"/>
        <w:ind w:firstLine="708"/>
        <w:jc w:val="both"/>
        <w:rPr>
          <w:rFonts w:ascii="Verdana" w:eastAsia="Calibri" w:hAnsi="Verdana" w:cs="Arial"/>
          <w:bCs/>
        </w:rPr>
      </w:pPr>
      <w:r>
        <w:rPr>
          <w:rFonts w:ascii="Verdana" w:eastAsia="Calibri" w:hAnsi="Verdana" w:cs="Arial"/>
          <w:bCs/>
        </w:rPr>
        <w:lastRenderedPageBreak/>
        <w:t>En este pronunciamiento se determinó que dada la naturaleza de la ley 996 de 2005, la aplicación de su a</w:t>
      </w:r>
      <w:r w:rsidRPr="001015C3">
        <w:rPr>
          <w:rFonts w:ascii="Verdana" w:eastAsia="Calibri" w:hAnsi="Verdana" w:cs="Arial"/>
          <w:bCs/>
        </w:rPr>
        <w:t>rtículo 33 prevalece sobre cualquier régimen de contratación aplicable, ya sea el contenido en el Estatuto General de Contratación de la Administración Pública - ley 80 de 1993 con las modificaciones de la ley 1150 de 2007-, o uno especial debido al objeto el contrato o de la entidad u órgano que contrata.</w:t>
      </w:r>
      <w:r>
        <w:rPr>
          <w:rFonts w:ascii="Verdana" w:eastAsia="Calibri" w:hAnsi="Verdana" w:cs="Arial"/>
          <w:bCs/>
        </w:rPr>
        <w:t xml:space="preserve"> </w:t>
      </w:r>
    </w:p>
    <w:p w14:paraId="441D1239" w14:textId="77777777" w:rsidR="00DE0DDD" w:rsidRDefault="00DE0DDD" w:rsidP="00DE0DDD">
      <w:pPr>
        <w:spacing w:after="120" w:line="276" w:lineRule="auto"/>
        <w:ind w:firstLine="708"/>
        <w:jc w:val="both"/>
        <w:rPr>
          <w:rFonts w:ascii="Verdana" w:eastAsia="Calibri" w:hAnsi="Verdana" w:cs="Arial"/>
          <w:bCs/>
        </w:rPr>
      </w:pPr>
      <w:r>
        <w:rPr>
          <w:rFonts w:ascii="Verdana" w:eastAsia="Calibri" w:hAnsi="Verdana" w:cs="Arial"/>
          <w:bCs/>
        </w:rPr>
        <w:t>Así las cosas, tratándose de contratos de ciencia y tecnología, es clara la sala en afirmar que la modalidad de selección del contratista es la contratación directa, regla plenamente concordante con lo señalado en la Ley 80 de 1993 y la modificación prevista en la Ley 1150 de 2007. Bajo este contexto, se</w:t>
      </w:r>
      <w:r w:rsidRPr="00403A56">
        <w:rPr>
          <w:rFonts w:ascii="Verdana" w:eastAsia="Calibri" w:hAnsi="Verdana" w:cs="Arial"/>
          <w:bCs/>
        </w:rPr>
        <w:t xml:space="preserve"> </w:t>
      </w:r>
      <w:r>
        <w:rPr>
          <w:rFonts w:ascii="Verdana" w:eastAsia="Calibri" w:hAnsi="Verdana" w:cs="Arial"/>
          <w:bCs/>
        </w:rPr>
        <w:t>sostiene</w:t>
      </w:r>
      <w:r w:rsidRPr="00403A56">
        <w:rPr>
          <w:rFonts w:ascii="Verdana" w:eastAsia="Calibri" w:hAnsi="Verdana" w:cs="Arial"/>
          <w:bCs/>
        </w:rPr>
        <w:t xml:space="preserve"> que en los contratos cuyo objeto es la realización de actividades de ciencia y tecnología, la modalidad de selección aplicable es la contratación directa, la cual puede instrumentarse mediante </w:t>
      </w:r>
      <w:r w:rsidRPr="00DA1764">
        <w:rPr>
          <w:rFonts w:ascii="Verdana" w:eastAsia="Calibri" w:hAnsi="Verdana" w:cs="Arial"/>
          <w:i/>
        </w:rPr>
        <w:t>convocatorias públicas</w:t>
      </w:r>
      <w:r w:rsidRPr="00403A56">
        <w:rPr>
          <w:rFonts w:ascii="Verdana" w:eastAsia="Calibri" w:hAnsi="Verdana" w:cs="Arial"/>
          <w:bCs/>
        </w:rPr>
        <w:t xml:space="preserve"> </w:t>
      </w:r>
      <w:r>
        <w:rPr>
          <w:rFonts w:ascii="Verdana" w:eastAsia="Calibri" w:hAnsi="Verdana" w:cs="Arial"/>
          <w:bCs/>
        </w:rPr>
        <w:t>tendientes</w:t>
      </w:r>
      <w:r w:rsidRPr="00403A56">
        <w:rPr>
          <w:rFonts w:ascii="Verdana" w:eastAsia="Calibri" w:hAnsi="Verdana" w:cs="Arial"/>
          <w:bCs/>
        </w:rPr>
        <w:t xml:space="preserve"> </w:t>
      </w:r>
      <w:r>
        <w:rPr>
          <w:rFonts w:ascii="Verdana" w:eastAsia="Calibri" w:hAnsi="Verdana" w:cs="Arial"/>
          <w:bCs/>
        </w:rPr>
        <w:t xml:space="preserve">garantizar </w:t>
      </w:r>
      <w:r w:rsidRPr="00DA1764">
        <w:rPr>
          <w:rFonts w:ascii="Verdana" w:eastAsia="Calibri" w:hAnsi="Verdana" w:cs="Arial"/>
          <w:bCs/>
          <w:i/>
          <w:iCs/>
        </w:rPr>
        <w:t>transparencia</w:t>
      </w:r>
      <w:r>
        <w:rPr>
          <w:rFonts w:ascii="Verdana" w:eastAsia="Calibri" w:hAnsi="Verdana" w:cs="Arial"/>
          <w:bCs/>
        </w:rPr>
        <w:t xml:space="preserve"> y </w:t>
      </w:r>
      <w:r w:rsidRPr="0038115E">
        <w:rPr>
          <w:rFonts w:ascii="Verdana" w:eastAsia="Calibri" w:hAnsi="Verdana" w:cs="Arial"/>
          <w:bCs/>
          <w:i/>
          <w:iCs/>
        </w:rPr>
        <w:t>objetividad</w:t>
      </w:r>
      <w:r>
        <w:rPr>
          <w:rFonts w:ascii="Verdana" w:eastAsia="Calibri" w:hAnsi="Verdana" w:cs="Arial"/>
          <w:bCs/>
        </w:rPr>
        <w:t xml:space="preserve"> en la celebración de este tipo contratos. No obstante, conforme explica el Consejo de Estado, el desarrollo de este tipo de convocatorias, disimiles de los procesos de selección del EGCAP, no quiere decir que estos contratos no se celebren de manera directa, de acuerdo con el artículo 33 de la Ley 1286 de 2009.  </w:t>
      </w:r>
    </w:p>
    <w:p w14:paraId="2A50DC44" w14:textId="77777777" w:rsidR="00DE0DDD" w:rsidRPr="005548E3" w:rsidRDefault="00DE0DDD" w:rsidP="00DE0DDD">
      <w:pPr>
        <w:spacing w:after="120" w:line="276" w:lineRule="auto"/>
        <w:ind w:firstLine="708"/>
        <w:jc w:val="both"/>
        <w:rPr>
          <w:rFonts w:ascii="Verdana" w:eastAsia="Calibri" w:hAnsi="Verdana" w:cs="Arial"/>
          <w:bCs/>
        </w:rPr>
      </w:pPr>
      <w:r>
        <w:rPr>
          <w:rFonts w:ascii="Verdana" w:eastAsia="Calibri" w:hAnsi="Verdana" w:cs="Arial"/>
          <w:bCs/>
        </w:rPr>
        <w:t xml:space="preserve">De acuerdo con lo anterior, es posible concluir que, en vigencia de la restricción del artículo 33 de la Ley 996 de 2005, no resulta jurídicamente viable suscribir </w:t>
      </w:r>
      <w:r w:rsidRPr="00BD6251">
        <w:rPr>
          <w:rFonts w:ascii="Verdana" w:eastAsia="Calibri" w:hAnsi="Verdana" w:cs="Arial"/>
          <w:bCs/>
        </w:rPr>
        <w:t>contratos de ciencia y tecnología</w:t>
      </w:r>
      <w:r>
        <w:rPr>
          <w:rFonts w:ascii="Verdana" w:eastAsia="Calibri" w:hAnsi="Verdana" w:cs="Arial"/>
          <w:bCs/>
        </w:rPr>
        <w:t xml:space="preserve">, como, por ejemplo, convenios especiales de cooperación. Esto comoquiera que, de acuerdo con lo previsto en el artículo 33 de la Ley 1286 de 2009, este tipo de contratos y convenios se celebran de manera directa, independientemente de que se desarrollen o no </w:t>
      </w:r>
      <w:r w:rsidRPr="00C638AC">
        <w:rPr>
          <w:rFonts w:ascii="Verdana" w:eastAsia="Calibri" w:hAnsi="Verdana" w:cs="Arial"/>
          <w:bCs/>
          <w:i/>
          <w:iCs/>
        </w:rPr>
        <w:t>convocatorias pública</w:t>
      </w:r>
      <w:r>
        <w:rPr>
          <w:rFonts w:ascii="Verdana" w:eastAsia="Calibri" w:hAnsi="Verdana" w:cs="Arial"/>
          <w:bCs/>
          <w:i/>
          <w:iCs/>
        </w:rPr>
        <w:t>s</w:t>
      </w:r>
      <w:r>
        <w:rPr>
          <w:rFonts w:ascii="Verdana" w:eastAsia="Calibri" w:hAnsi="Verdana" w:cs="Arial"/>
          <w:bCs/>
        </w:rPr>
        <w:t xml:space="preserve">, máxime cuando estas no son equiparables a los procesos de selección competitivos regulados en el EGCAP y normas especiales.   </w:t>
      </w:r>
      <w:r>
        <w:rPr>
          <w:rFonts w:ascii="Verdana" w:eastAsia="Calibri" w:hAnsi="Verdana" w:cs="Arial"/>
          <w:bCs/>
          <w:i/>
          <w:iCs/>
        </w:rPr>
        <w:t xml:space="preserve">  </w:t>
      </w:r>
    </w:p>
    <w:p w14:paraId="7B1EE215" w14:textId="77777777" w:rsidR="00DE0DDD" w:rsidRPr="00480A95" w:rsidRDefault="00DE0DDD" w:rsidP="00DE0DDD">
      <w:pPr>
        <w:spacing w:after="120" w:line="276" w:lineRule="auto"/>
        <w:ind w:firstLine="708"/>
        <w:jc w:val="both"/>
        <w:rPr>
          <w:rFonts w:ascii="Verdana" w:eastAsia="Times New Roman" w:hAnsi="Verdana" w:cs="Arial"/>
          <w:lang w:eastAsia="es-CO"/>
        </w:rPr>
      </w:pPr>
      <w:r w:rsidRPr="00480A95">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480A95">
        <w:rPr>
          <w:rFonts w:ascii="Verdana" w:hAnsi="Verdana" w:cs="Arial"/>
          <w:bCs/>
          <w:color w:val="000000" w:themeColor="text1"/>
        </w:rPr>
        <w:lastRenderedPageBreak/>
        <w:t>correspondiente y, en caso de conflicto, a las autoridades judiciales, fiscales y disciplinarias.</w:t>
      </w:r>
    </w:p>
    <w:p w14:paraId="6AD44779" w14:textId="77777777" w:rsidR="00DE0DDD" w:rsidRPr="00480A95" w:rsidRDefault="00DE0DDD" w:rsidP="00DE0DDD">
      <w:pPr>
        <w:spacing w:after="0" w:line="276" w:lineRule="auto"/>
        <w:ind w:firstLine="708"/>
        <w:jc w:val="both"/>
        <w:rPr>
          <w:rFonts w:ascii="Verdana" w:hAnsi="Verdana" w:cs="Arial"/>
          <w:bCs/>
          <w:color w:val="000000" w:themeColor="text1"/>
        </w:rPr>
      </w:pPr>
      <w:r w:rsidRPr="00480A95">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CC6D2EF" w14:textId="77777777" w:rsidR="00DE0DDD" w:rsidRPr="00480A95" w:rsidRDefault="00DE0DDD" w:rsidP="00DE0DDD">
      <w:pPr>
        <w:spacing w:after="0" w:line="276" w:lineRule="auto"/>
        <w:jc w:val="both"/>
        <w:rPr>
          <w:rFonts w:ascii="Verdana" w:eastAsia="Calibri" w:hAnsi="Verdana" w:cs="Arial"/>
        </w:rPr>
      </w:pPr>
    </w:p>
    <w:p w14:paraId="2296FCE8" w14:textId="77777777" w:rsidR="00DE0DDD" w:rsidRPr="00480A95" w:rsidRDefault="00DE0DDD" w:rsidP="00DE0DDD">
      <w:pPr>
        <w:spacing w:after="0" w:line="276" w:lineRule="auto"/>
        <w:jc w:val="both"/>
        <w:rPr>
          <w:rFonts w:ascii="Verdana" w:eastAsia="Century Gothic" w:hAnsi="Verdana" w:cs="Century Gothic"/>
          <w:b/>
          <w:bCs/>
        </w:rPr>
      </w:pPr>
      <w:r w:rsidRPr="00480A95">
        <w:rPr>
          <w:rFonts w:ascii="Verdana" w:eastAsia="Century Gothic" w:hAnsi="Verdana" w:cs="Century Gothic"/>
          <w:b/>
          <w:bCs/>
        </w:rPr>
        <w:t>4. Referencias normativas, jurisprudenciales y otras fuentes:</w:t>
      </w:r>
    </w:p>
    <w:p w14:paraId="15712148" w14:textId="77777777" w:rsidR="00DE0DDD" w:rsidRPr="00480A95" w:rsidRDefault="00DE0DDD" w:rsidP="00DE0DDD">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0DDD" w:rsidRPr="00480A95" w14:paraId="747E5F6A" w14:textId="77777777" w:rsidTr="001B6F25">
        <w:trPr>
          <w:trHeight w:val="632"/>
        </w:trPr>
        <w:tc>
          <w:tcPr>
            <w:tcW w:w="8647" w:type="dxa"/>
          </w:tcPr>
          <w:p w14:paraId="30168832" w14:textId="77777777" w:rsidR="00DE0DDD" w:rsidRPr="00480A95" w:rsidRDefault="00DE0DDD" w:rsidP="001B6F25">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Constitución Política, artículo 127.</w:t>
            </w:r>
          </w:p>
          <w:p w14:paraId="6B73B31D"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bCs/>
                <w:lang w:val="es-ES" w:eastAsia="es-ES" w:bidi="es-ES"/>
              </w:rPr>
              <w:t>Ley 996 de 2005, artículos 33 y 38.</w:t>
            </w:r>
          </w:p>
          <w:p w14:paraId="50AB4E47"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Times New Roman" w:hAnsi="Verdana" w:cs="Arial"/>
                <w:color w:val="000000" w:themeColor="text1"/>
                <w:szCs w:val="24"/>
                <w:lang w:val="es-ES_tradnl" w:eastAsia="es-ES_tradnl"/>
              </w:rPr>
              <w:t>Decreto Ley 393 de 1991</w:t>
            </w:r>
          </w:p>
          <w:p w14:paraId="56E6E59D"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Times New Roman" w:hAnsi="Verdana" w:cs="Arial"/>
                <w:color w:val="000000" w:themeColor="text1"/>
                <w:szCs w:val="24"/>
                <w:lang w:val="es-ES_tradnl" w:eastAsia="es-ES_tradnl"/>
              </w:rPr>
              <w:t>Decreto Ley 591 de 1991</w:t>
            </w:r>
          </w:p>
          <w:p w14:paraId="7303A07B"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Documento CONPES 3582 de 2009</w:t>
            </w:r>
          </w:p>
          <w:p w14:paraId="6D3096D3"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Ley 996 de 2005</w:t>
            </w:r>
          </w:p>
          <w:p w14:paraId="7C171E80"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Arial MT" w:hAnsi="Verdana" w:cs="Arial"/>
                <w:lang w:val="es-ES" w:eastAsia="es-ES" w:bidi="es-ES"/>
              </w:rPr>
              <w:t>Ley 1286 de 2009</w:t>
            </w:r>
          </w:p>
          <w:p w14:paraId="1DFA0C76" w14:textId="77777777" w:rsidR="00DE0DDD" w:rsidRPr="00480A95" w:rsidRDefault="00DE0DDD" w:rsidP="001B6F2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480A95">
              <w:rPr>
                <w:rFonts w:ascii="Verdana" w:eastAsia="Times New Roman" w:hAnsi="Verdana" w:cs="Arial"/>
                <w:color w:val="000000" w:themeColor="text1"/>
                <w:szCs w:val="24"/>
                <w:lang w:val="es-ES_tradnl" w:eastAsia="es-ES_tradnl"/>
              </w:rPr>
              <w:t>Ley 1150 de 2007, en el artículo 2, numeral 4, literal e)</w:t>
            </w:r>
          </w:p>
          <w:p w14:paraId="1CBCDD5E" w14:textId="77777777" w:rsidR="00DE0DDD" w:rsidRPr="00480A95" w:rsidRDefault="00DE0DDD" w:rsidP="001B6F25">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pt-BR"/>
              </w:rPr>
              <w:t>Corte Constitucional. Sentencia C-671 de 2015. M.P. Alberto Rojas Ríos.</w:t>
            </w:r>
          </w:p>
          <w:p w14:paraId="1485121A" w14:textId="77777777" w:rsidR="00DE0DDD" w:rsidRPr="00480A95" w:rsidRDefault="00DE0DDD" w:rsidP="001B6F25">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es-ES"/>
              </w:rPr>
              <w:t xml:space="preserve">Consejo de Estado, Sección Primera. Sentencia de 3 de marzo de 2005, Exp. 2004-00823-01(PI). </w:t>
            </w:r>
          </w:p>
          <w:p w14:paraId="501436B4" w14:textId="77777777" w:rsidR="00DE0DDD" w:rsidRPr="00480A95" w:rsidRDefault="00DE0DDD" w:rsidP="001B6F25">
            <w:pPr>
              <w:numPr>
                <w:ilvl w:val="0"/>
                <w:numId w:val="17"/>
              </w:numPr>
              <w:spacing w:before="120" w:after="120" w:line="276" w:lineRule="auto"/>
              <w:jc w:val="both"/>
              <w:rPr>
                <w:rFonts w:ascii="Verdana" w:hAnsi="Verdana" w:cs="Arial"/>
                <w:lang w:val="es-ES"/>
              </w:rPr>
            </w:pPr>
            <w:r w:rsidRPr="00480A95">
              <w:rPr>
                <w:rFonts w:ascii="Verdana" w:hAnsi="Verdana" w:cs="Arial"/>
              </w:rPr>
              <w:t>Consejo de Estado. Sala de Consulta y Servicio Civil. Concepto del 15 de noviembre de 2007. Expediente número 1863. Consejero Ponente: Luis Fernando Álvarez Jaramillo</w:t>
            </w:r>
          </w:p>
          <w:p w14:paraId="32836744" w14:textId="77777777" w:rsidR="00DE0DDD" w:rsidRPr="00480A95" w:rsidRDefault="00DE0DDD" w:rsidP="001B6F25">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es-ES"/>
              </w:rPr>
              <w:t xml:space="preserve">Consejo de Estado, Sala de Consulta y Servicio Civil, Concepto de fecha 24 de julio de 2013, Rad. 2166, C. P. Álvaro Namén Vargas. </w:t>
            </w:r>
          </w:p>
          <w:p w14:paraId="761D674E" w14:textId="77777777" w:rsidR="00DE0DDD" w:rsidRPr="00480A95" w:rsidRDefault="00DE0DDD" w:rsidP="001B6F25">
            <w:pPr>
              <w:numPr>
                <w:ilvl w:val="0"/>
                <w:numId w:val="17"/>
              </w:numPr>
              <w:spacing w:before="120" w:after="120" w:line="276" w:lineRule="auto"/>
              <w:jc w:val="both"/>
              <w:rPr>
                <w:rFonts w:ascii="Verdana" w:hAnsi="Verdana" w:cs="Arial"/>
                <w:lang w:val="es-ES"/>
              </w:rPr>
            </w:pPr>
            <w:r w:rsidRPr="00480A95">
              <w:rPr>
                <w:rFonts w:ascii="Verdana" w:hAnsi="Verdana" w:cs="Arial"/>
              </w:rPr>
              <w:lastRenderedPageBreak/>
              <w:t>Consejo de Estado. Sala de Consulta y Servicio Civil. Concepto del 2 de septiembre de 2013 Radicado No: 2168. CP: Alvaro Namén Vargas.</w:t>
            </w:r>
          </w:p>
          <w:p w14:paraId="6110FFBD" w14:textId="77777777" w:rsidR="00DE0DDD" w:rsidRPr="00480A95" w:rsidRDefault="00DE0DDD" w:rsidP="001B6F25">
            <w:pPr>
              <w:numPr>
                <w:ilvl w:val="0"/>
                <w:numId w:val="17"/>
              </w:numPr>
              <w:spacing w:before="120" w:after="120" w:line="276" w:lineRule="auto"/>
              <w:jc w:val="both"/>
              <w:rPr>
                <w:rFonts w:ascii="Verdana" w:hAnsi="Verdana" w:cs="Arial"/>
                <w:lang w:val="es-ES"/>
              </w:rPr>
            </w:pPr>
            <w:r w:rsidRPr="00480A95">
              <w:rPr>
                <w:rFonts w:ascii="Verdana" w:hAnsi="Verdana" w:cs="Arial"/>
                <w:lang w:val="es-ES"/>
              </w:rPr>
              <w:t>Consejo de Estado. Sala de Consulta y Servicio Civil. Concepto del 17 de febrero de 2015. C.P. William Zambrano Cetina. Radicación No. 11001-03-06-000-2015-00164-00(2269).</w:t>
            </w:r>
          </w:p>
          <w:p w14:paraId="642FDEC8" w14:textId="77777777" w:rsidR="00DE0DDD" w:rsidRPr="00480A95" w:rsidRDefault="00DE0DDD" w:rsidP="001B6F25">
            <w:pPr>
              <w:numPr>
                <w:ilvl w:val="0"/>
                <w:numId w:val="17"/>
              </w:numPr>
              <w:spacing w:before="120" w:after="120" w:line="276" w:lineRule="auto"/>
              <w:jc w:val="both"/>
              <w:rPr>
                <w:rFonts w:ascii="Verdana" w:hAnsi="Verdana" w:cs="Arial"/>
                <w:lang w:val="es-ES"/>
              </w:rPr>
            </w:pPr>
            <w:r w:rsidRPr="00480A95">
              <w:rPr>
                <w:rFonts w:ascii="Verdana" w:hAnsi="Verdana" w:cs="Arial"/>
                <w:lang w:val="es-ES"/>
              </w:rPr>
              <w:t>Consejo de Estado, Sala de Consulta y Servicio Civil, Concepto de fecha 8 de mayo de 2018, No. 2382. C. P. Álvaro Namén Vargas.</w:t>
            </w:r>
          </w:p>
          <w:p w14:paraId="1B8298CB" w14:textId="77777777" w:rsidR="00DE0DDD" w:rsidRPr="00480A95" w:rsidRDefault="00DE0DDD" w:rsidP="001B6F25">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hAnsi="Verdana" w:cs="Arial"/>
                <w:lang w:val="pt-BR"/>
              </w:rPr>
              <w:t>Consejo de Estado, Sección Tercera. Auto del 4 de octubre de 2024. Exp. 70.313. C.P: Fredy Ibarra Martínez.</w:t>
            </w:r>
          </w:p>
          <w:p w14:paraId="7C2C5A11" w14:textId="77777777" w:rsidR="00DE0DDD" w:rsidRPr="006F782E" w:rsidRDefault="00DE0DDD" w:rsidP="001B6F25">
            <w:pPr>
              <w:widowControl w:val="0"/>
              <w:numPr>
                <w:ilvl w:val="0"/>
                <w:numId w:val="17"/>
              </w:numPr>
              <w:autoSpaceDE w:val="0"/>
              <w:autoSpaceDN w:val="0"/>
              <w:spacing w:after="120" w:line="276" w:lineRule="auto"/>
              <w:jc w:val="both"/>
              <w:rPr>
                <w:rFonts w:ascii="Verdana" w:hAnsi="Verdana" w:cs="Arial"/>
                <w:lang w:val="es-ES"/>
              </w:rPr>
            </w:pPr>
            <w:r w:rsidRPr="00480A95">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4C883277" w14:textId="77777777" w:rsidR="00DE0DDD" w:rsidRPr="00480A95" w:rsidRDefault="00DE0DDD" w:rsidP="001B6F25">
            <w:pPr>
              <w:widowControl w:val="0"/>
              <w:numPr>
                <w:ilvl w:val="0"/>
                <w:numId w:val="17"/>
              </w:numPr>
              <w:autoSpaceDE w:val="0"/>
              <w:autoSpaceDN w:val="0"/>
              <w:spacing w:after="120" w:line="276" w:lineRule="auto"/>
              <w:jc w:val="both"/>
              <w:rPr>
                <w:rFonts w:ascii="Verdana" w:hAnsi="Verdana" w:cs="Arial"/>
                <w:lang w:val="es-ES"/>
              </w:rPr>
            </w:pPr>
            <w:r>
              <w:rPr>
                <w:rFonts w:ascii="Verdana" w:eastAsia="Times New Roman" w:hAnsi="Verdana" w:cs="Times New Roman"/>
                <w:lang w:eastAsia="es-ES_tradnl"/>
              </w:rPr>
              <w:t xml:space="preserve">Consejo de Estado. Sala de consulta y servicio civil. Concepto del 26 de noviembre del 2009. C.P. Luis Fernando Álvarez Jaramillo. Radicado Nro. </w:t>
            </w:r>
            <w:r w:rsidRPr="002E6303">
              <w:rPr>
                <w:rFonts w:ascii="Verdana" w:eastAsia="Times New Roman" w:hAnsi="Verdana" w:cs="Times New Roman"/>
                <w:lang w:eastAsia="es-ES_tradnl"/>
              </w:rPr>
              <w:t>11001-03-06-000-2009-0062-00 (1974)</w:t>
            </w:r>
          </w:p>
          <w:p w14:paraId="2004D57A" w14:textId="77777777" w:rsidR="00DE0DDD" w:rsidRPr="00480A95" w:rsidRDefault="00DE0DDD" w:rsidP="001B6F25">
            <w:pPr>
              <w:widowControl w:val="0"/>
              <w:numPr>
                <w:ilvl w:val="0"/>
                <w:numId w:val="17"/>
              </w:numPr>
              <w:autoSpaceDE w:val="0"/>
              <w:autoSpaceDN w:val="0"/>
              <w:spacing w:after="120" w:line="276" w:lineRule="auto"/>
              <w:jc w:val="both"/>
              <w:rPr>
                <w:rFonts w:ascii="Verdana" w:hAnsi="Verdana" w:cs="Arial"/>
              </w:rPr>
            </w:pPr>
            <w:r w:rsidRPr="00480A95">
              <w:rPr>
                <w:rFonts w:ascii="Verdana" w:hAnsi="Verdana" w:cs="Arial"/>
              </w:rPr>
              <w:t xml:space="preserve">Circular Externa No. 006 de 2025 </w:t>
            </w:r>
            <w:hyperlink r:id="rId13" w:history="1">
              <w:r w:rsidRPr="00480A95">
                <w:rPr>
                  <w:rFonts w:ascii="Verdana" w:hAnsi="Verdana" w:cs="Arial"/>
                  <w:color w:val="0000FF"/>
                  <w:u w:val="single"/>
                </w:rPr>
                <w:t>https://www.colombiacompra.gov.co/archivos/circular/circular-externa-006-de-2025</w:t>
              </w:r>
            </w:hyperlink>
          </w:p>
        </w:tc>
      </w:tr>
    </w:tbl>
    <w:p w14:paraId="2F1F6B42" w14:textId="77777777" w:rsidR="00DE0DDD" w:rsidRPr="00480A95" w:rsidRDefault="00DE0DDD" w:rsidP="00DE0DD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3627F4B" w14:textId="77777777" w:rsidR="00DE0DDD" w:rsidRPr="00480A95" w:rsidRDefault="00DE0DDD" w:rsidP="00DE0DD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80A95">
        <w:rPr>
          <w:rFonts w:ascii="Verdana" w:eastAsia="Century Gothic" w:hAnsi="Verdana" w:cs="Century Gothic"/>
          <w:b/>
          <w:bCs/>
          <w:lang w:val="es-CO"/>
        </w:rPr>
        <w:t xml:space="preserve">5. </w:t>
      </w:r>
      <w:r w:rsidRPr="00480A95">
        <w:rPr>
          <w:rFonts w:ascii="Verdana" w:eastAsia="Century Gothic" w:hAnsi="Verdana" w:cs="Century Gothic"/>
          <w:b/>
          <w:bCs/>
        </w:rPr>
        <w:t>Doctrina de la Agencia Nacional de Contratación Pública:</w:t>
      </w:r>
    </w:p>
    <w:p w14:paraId="54BA428D" w14:textId="77777777" w:rsidR="00DE0DDD" w:rsidRPr="00480A95" w:rsidRDefault="00DE0DDD" w:rsidP="00DE0DDD">
      <w:pPr>
        <w:spacing w:after="0" w:line="276" w:lineRule="auto"/>
        <w:jc w:val="both"/>
        <w:rPr>
          <w:rFonts w:ascii="Verdana" w:eastAsia="Calibri" w:hAnsi="Verdana" w:cs="Arial"/>
          <w:lang w:eastAsia="es-ES_tradnl"/>
        </w:rPr>
      </w:pPr>
    </w:p>
    <w:p w14:paraId="0898010E" w14:textId="77777777" w:rsidR="00DE0DDD" w:rsidRPr="00480A95" w:rsidRDefault="00DE0DDD" w:rsidP="00DE0DDD">
      <w:pPr>
        <w:spacing w:after="120" w:line="276" w:lineRule="auto"/>
        <w:jc w:val="both"/>
        <w:rPr>
          <w:rFonts w:ascii="Verdana" w:eastAsia="Calibri" w:hAnsi="Verdana" w:cs="Arial"/>
          <w:lang w:val="es-ES_tradnl" w:eastAsia="es-ES_tradnl"/>
        </w:rPr>
      </w:pPr>
      <w:r w:rsidRPr="00480A95">
        <w:rPr>
          <w:rFonts w:ascii="Verdana" w:eastAsia="Calibri" w:hAnsi="Verdana" w:cs="Arial"/>
        </w:rPr>
        <w:t xml:space="preserve">La Agencia Nacional de Contratación Pública – Colombia Compra Eficiente –en adelante la ANCP-CCE– </w:t>
      </w:r>
      <w:r w:rsidRPr="00480A95">
        <w:rPr>
          <w:rFonts w:ascii="Verdana" w:eastAsia="Calibri" w:hAnsi="Verdana" w:cs="Arial"/>
          <w:lang w:val="es-ES_tradnl"/>
        </w:rPr>
        <w:t>ha impartido lineamientos sobre la aplicación de la Ley 996 de 2005, en los conceptos</w:t>
      </w:r>
      <w:r w:rsidRPr="00480A95">
        <w:rPr>
          <w:rFonts w:ascii="Verdana" w:eastAsia="Arial" w:hAnsi="Verdana" w:cs="Arial"/>
          <w:lang w:val="es-MX" w:eastAsia="es-ES_tradnl"/>
        </w:rPr>
        <w:t xml:space="preserve"> </w:t>
      </w:r>
      <w:r w:rsidRPr="00480A95">
        <w:rPr>
          <w:rFonts w:ascii="Verdana" w:eastAsia="Calibri" w:hAnsi="Verdana" w:cs="Arial"/>
          <w:bCs/>
          <w:lang w:val="es-MX"/>
        </w:rPr>
        <w:t>C-073 del 15 de marzo del 2023, C-027 del 22 de marzo del 2023, C-049 del 13 de abril de 2023, C-052 del 21 de abril del 2023, C-076 del 24 de abril del 2023,C-075 del 25 de abril del 2023, C-098 del 04 de mayo del 2023, C-107 del 08 de mayo del 2023, C-115 del 08 de mayo del 2023, C-116 del 8 de mayo de 2023, C-118 del 09 de mayo del 2023, C-145 del 18 de mayo del 2023, C-243 del 30 de mayo del 2023, C-149 del 01 de junio del 2023, C-105 del 14 de junio del 2023, C-099 del 20 de junio del 2023, C-154 del 02 de junio del 2023, C-182 del 29 de junio del 2023, C-193 del 13 de junio del 2023, C-200 del 27 de julio del 2023, C-233 del 25 de julio del 2023, C-241 del 22 de junio del 2023</w:t>
      </w:r>
      <w:r>
        <w:rPr>
          <w:rFonts w:ascii="Verdana" w:eastAsia="Calibri" w:hAnsi="Verdana" w:cs="Arial"/>
          <w:bCs/>
          <w:lang w:val="es-MX"/>
        </w:rPr>
        <w:t xml:space="preserve"> y C-051 del 30 de enero de 2026</w:t>
      </w:r>
      <w:r w:rsidRPr="00480A95">
        <w:rPr>
          <w:rFonts w:ascii="Verdana" w:eastAsia="Calibri" w:hAnsi="Verdana" w:cs="Arial"/>
          <w:bCs/>
          <w:lang w:val="es-MX"/>
        </w:rPr>
        <w:t xml:space="preserve">. Igualmente y </w:t>
      </w:r>
      <w:r w:rsidRPr="00480A95">
        <w:rPr>
          <w:rFonts w:ascii="Verdana" w:eastAsia="Calibri" w:hAnsi="Verdana" w:cs="Arial"/>
          <w:color w:val="000000" w:themeColor="text1"/>
        </w:rPr>
        <w:lastRenderedPageBreak/>
        <w:t>frente a las actividades de ciencia, tecnología e innovación la Agencia se ha pronunciado, entre otros, en los conceptos C-084 del 11 de marzo de 2020, C-236 del 6 de abril de 2020, C-036 del 2 de marzo de 2021, C-346 del 30 de junio de 2021, C-453 de 1 de septiembre de 2021, C-529 de 27 de septiembre de 2021, C-574 de 13 de octubre de 2021, C-656 de 30 de noviembre de 2021, C-022 de 21 de febrero de 2022, C-131 del 28 de marzo del 2022</w:t>
      </w:r>
      <w:r w:rsidRPr="00480A95">
        <w:rPr>
          <w:rFonts w:ascii="Verdana" w:eastAsia="Calibri" w:hAnsi="Verdana" w:cs="Arial"/>
          <w:lang w:val="es-MX" w:eastAsia="es-ES_tradnl"/>
        </w:rPr>
        <w:t>, C-15 de 2023 y C-1587 del 09 de diciembre del 2025</w:t>
      </w:r>
      <w:r w:rsidRPr="00480A95">
        <w:rPr>
          <w:rFonts w:ascii="Verdana" w:hAnsi="Verdana" w:cs="Arial"/>
          <w:shd w:val="clear" w:color="auto" w:fill="FFFFFF"/>
          <w:lang w:val="es-ES"/>
        </w:rPr>
        <w:t xml:space="preserve">. </w:t>
      </w:r>
      <w:r w:rsidRPr="00480A95">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480A95">
          <w:rPr>
            <w:rStyle w:val="Hipervnculo"/>
            <w:rFonts w:ascii="Verdana" w:hAnsi="Verdana" w:cs="Arial"/>
            <w:shd w:val="clear" w:color="auto" w:fill="FFFFFF"/>
          </w:rPr>
          <w:t>https://relatoria.colombiacompra.gov.co/</w:t>
        </w:r>
      </w:hyperlink>
      <w:r w:rsidRPr="00480A95">
        <w:rPr>
          <w:rFonts w:ascii="Verdana" w:hAnsi="Verdana" w:cs="Arial"/>
          <w:shd w:val="clear" w:color="auto" w:fill="FFFFFF"/>
        </w:rPr>
        <w:t>.</w:t>
      </w:r>
    </w:p>
    <w:p w14:paraId="4A6D23CB" w14:textId="77777777" w:rsidR="00DE0DDD" w:rsidRPr="00480A95" w:rsidRDefault="00DE0DDD" w:rsidP="00DE0DDD">
      <w:pPr>
        <w:widowControl w:val="0"/>
        <w:autoSpaceDE w:val="0"/>
        <w:autoSpaceDN w:val="0"/>
        <w:spacing w:after="0" w:line="276" w:lineRule="auto"/>
        <w:jc w:val="both"/>
        <w:rPr>
          <w:rFonts w:ascii="Verdana" w:hAnsi="Verdana"/>
        </w:rPr>
      </w:pPr>
      <w:r w:rsidRPr="00480A95">
        <w:rPr>
          <w:rFonts w:ascii="Verdana" w:hAnsi="Verdana"/>
        </w:rPr>
        <w:t xml:space="preserve"> </w:t>
      </w:r>
    </w:p>
    <w:p w14:paraId="5802F4F1" w14:textId="77777777" w:rsidR="00DE0DDD" w:rsidRPr="00480A95" w:rsidRDefault="00DE0DDD" w:rsidP="00DE0DDD">
      <w:pPr>
        <w:spacing w:after="0" w:line="276" w:lineRule="auto"/>
        <w:jc w:val="both"/>
        <w:rPr>
          <w:rFonts w:ascii="Verdana" w:hAnsi="Verdana"/>
        </w:rPr>
      </w:pPr>
      <w:r w:rsidRPr="00480A95">
        <w:rPr>
          <w:rFonts w:ascii="Verdana" w:hAnsi="Verdana"/>
        </w:rPr>
        <w:t xml:space="preserve">Por último, lo invitamos a seguirnos en las redes sociales en las cuales se difunde información institucional: </w:t>
      </w:r>
    </w:p>
    <w:p w14:paraId="047BA55C" w14:textId="77777777" w:rsidR="00DE0DDD" w:rsidRPr="00480A95" w:rsidRDefault="00DE0DDD" w:rsidP="00DE0DDD">
      <w:pPr>
        <w:spacing w:after="0" w:line="276" w:lineRule="auto"/>
        <w:jc w:val="both"/>
        <w:rPr>
          <w:rFonts w:ascii="Verdana" w:hAnsi="Verdana"/>
        </w:rPr>
      </w:pPr>
    </w:p>
    <w:p w14:paraId="16836BCD" w14:textId="77777777" w:rsidR="00DE0DDD" w:rsidRPr="00480A95" w:rsidRDefault="00DE0DDD" w:rsidP="00DE0DDD">
      <w:pPr>
        <w:spacing w:after="0" w:line="276" w:lineRule="auto"/>
        <w:jc w:val="both"/>
        <w:rPr>
          <w:rFonts w:ascii="Verdana" w:hAnsi="Verdana"/>
        </w:rPr>
      </w:pPr>
      <w:r w:rsidRPr="00480A95">
        <w:rPr>
          <w:rFonts w:ascii="Verdana" w:hAnsi="Verdana"/>
        </w:rPr>
        <w:t xml:space="preserve">Twitter: </w:t>
      </w:r>
      <w:r w:rsidRPr="00480A95">
        <w:rPr>
          <w:rStyle w:val="Hipervnculo"/>
          <w:rFonts w:ascii="Verdana" w:hAnsi="Verdana"/>
          <w:color w:val="4472C4" w:themeColor="accent1"/>
        </w:rPr>
        <w:t>@colombiacompra</w:t>
      </w:r>
      <w:r w:rsidRPr="00480A95">
        <w:rPr>
          <w:rFonts w:ascii="Verdana" w:hAnsi="Verdana"/>
          <w:color w:val="4472C4" w:themeColor="accent1"/>
        </w:rPr>
        <w:t xml:space="preserve"> </w:t>
      </w:r>
    </w:p>
    <w:p w14:paraId="4ACB65D9" w14:textId="77777777" w:rsidR="00DE0DDD" w:rsidRPr="00480A95" w:rsidRDefault="00DE0DDD" w:rsidP="00DE0DDD">
      <w:pPr>
        <w:spacing w:after="0" w:line="276" w:lineRule="auto"/>
        <w:jc w:val="both"/>
        <w:rPr>
          <w:rFonts w:ascii="Verdana" w:hAnsi="Verdana"/>
        </w:rPr>
      </w:pPr>
      <w:r w:rsidRPr="00480A95">
        <w:rPr>
          <w:rFonts w:ascii="Verdana" w:hAnsi="Verdana"/>
        </w:rPr>
        <w:t xml:space="preserve">Facebook: </w:t>
      </w:r>
      <w:r w:rsidRPr="00480A95">
        <w:rPr>
          <w:rStyle w:val="Hipervnculo"/>
          <w:rFonts w:ascii="Verdana" w:hAnsi="Verdana"/>
          <w:color w:val="4472C4" w:themeColor="accent1"/>
        </w:rPr>
        <w:t>ColombiaCompraEficiente</w:t>
      </w:r>
    </w:p>
    <w:p w14:paraId="780F0F85" w14:textId="77777777" w:rsidR="00DE0DDD" w:rsidRPr="00480A95" w:rsidRDefault="00DE0DDD" w:rsidP="00DE0DDD">
      <w:pPr>
        <w:spacing w:after="0" w:line="276" w:lineRule="auto"/>
        <w:jc w:val="both"/>
        <w:rPr>
          <w:rStyle w:val="Hipervnculo"/>
          <w:rFonts w:ascii="Verdana" w:hAnsi="Verdana"/>
          <w:color w:val="4472C4" w:themeColor="accent1"/>
        </w:rPr>
      </w:pPr>
      <w:r w:rsidRPr="00480A95">
        <w:rPr>
          <w:rFonts w:ascii="Verdana" w:hAnsi="Verdana"/>
        </w:rPr>
        <w:t xml:space="preserve">LinkedIn: </w:t>
      </w:r>
      <w:r w:rsidRPr="00480A95">
        <w:rPr>
          <w:rStyle w:val="Hipervnculo"/>
          <w:rFonts w:ascii="Verdana" w:hAnsi="Verdana"/>
          <w:color w:val="4472C4" w:themeColor="accent1"/>
        </w:rPr>
        <w:t>Agencia Nacional de Contratación Pública - Colombia Compra Eficiente</w:t>
      </w:r>
      <w:r w:rsidRPr="00480A95">
        <w:rPr>
          <w:rFonts w:ascii="Verdana" w:hAnsi="Verdana"/>
          <w:color w:val="4472C4" w:themeColor="accent1"/>
        </w:rPr>
        <w:t xml:space="preserve"> </w:t>
      </w:r>
      <w:r w:rsidRPr="00480A95">
        <w:rPr>
          <w:rFonts w:ascii="Verdana" w:hAnsi="Verdana"/>
        </w:rPr>
        <w:t xml:space="preserve">Instagram: </w:t>
      </w:r>
      <w:r w:rsidRPr="00480A95">
        <w:rPr>
          <w:rStyle w:val="Hipervnculo"/>
          <w:rFonts w:ascii="Verdana" w:hAnsi="Verdana"/>
          <w:color w:val="4472C4" w:themeColor="accent1"/>
        </w:rPr>
        <w:t>@colombiacompraeficiente_cce</w:t>
      </w:r>
    </w:p>
    <w:p w14:paraId="74D34B69" w14:textId="77777777" w:rsidR="00DE0DDD" w:rsidRPr="00480A95" w:rsidRDefault="00DE0DDD" w:rsidP="00DE0DDD">
      <w:pPr>
        <w:spacing w:after="0" w:line="276" w:lineRule="auto"/>
        <w:jc w:val="both"/>
        <w:rPr>
          <w:rFonts w:ascii="Verdana" w:hAnsi="Verdana"/>
        </w:rPr>
      </w:pPr>
    </w:p>
    <w:p w14:paraId="69010323" w14:textId="77777777" w:rsidR="00DE0DDD" w:rsidRPr="00480A95" w:rsidRDefault="00DE0DDD" w:rsidP="00DE0DDD">
      <w:pPr>
        <w:widowControl w:val="0"/>
        <w:autoSpaceDE w:val="0"/>
        <w:autoSpaceDN w:val="0"/>
        <w:spacing w:after="0" w:line="276" w:lineRule="auto"/>
        <w:jc w:val="both"/>
        <w:rPr>
          <w:rFonts w:ascii="Verdana" w:hAnsi="Verdana" w:cs="Arial"/>
          <w:lang w:val="es-ES_tradnl"/>
        </w:rPr>
      </w:pPr>
      <w:r w:rsidRPr="00480A95">
        <w:rPr>
          <w:rFonts w:ascii="Verdana" w:hAnsi="Verdana" w:cs="Arial"/>
        </w:rPr>
        <w:t xml:space="preserve">Este concepto tiene el alcance previsto en el artículo 28 del Código de Procedimiento Administrativo y de lo Contencioso Administrativo </w:t>
      </w:r>
      <w:r w:rsidRPr="00480A95">
        <w:rPr>
          <w:rFonts w:ascii="Verdana" w:hAnsi="Verdana" w:cs="Arial"/>
          <w:lang w:val="es-ES_tradnl"/>
        </w:rPr>
        <w:t>y las expresiones aquí utilizadas con mayúscula inicial deben ser entendidas con el significado que les otorga el artículo 2.2.1.1.1.3.1. del Decreto 1082 de 2015.</w:t>
      </w:r>
    </w:p>
    <w:p w14:paraId="66E249A0" w14:textId="77777777" w:rsidR="00DE0DDD" w:rsidRPr="00480A95" w:rsidRDefault="00DE0DDD" w:rsidP="00DE0DDD">
      <w:pPr>
        <w:widowControl w:val="0"/>
        <w:autoSpaceDE w:val="0"/>
        <w:autoSpaceDN w:val="0"/>
        <w:spacing w:after="0" w:line="276" w:lineRule="auto"/>
        <w:jc w:val="both"/>
        <w:rPr>
          <w:rFonts w:ascii="Verdana" w:hAnsi="Verdana" w:cs="Arial"/>
          <w:lang w:val="es-ES_tradnl"/>
        </w:rPr>
      </w:pPr>
    </w:p>
    <w:p w14:paraId="63861FEF" w14:textId="14745DB0" w:rsidR="00DE0DDD" w:rsidRPr="00E957AA" w:rsidRDefault="00DE0DDD" w:rsidP="00E957AA">
      <w:pPr>
        <w:spacing w:after="0" w:line="276" w:lineRule="auto"/>
        <w:rPr>
          <w:rFonts w:ascii="Verdana" w:hAnsi="Verdana" w:cs="Arial"/>
          <w:lang w:eastAsia="es-CO"/>
        </w:rPr>
      </w:pPr>
      <w:r w:rsidRPr="00480A95">
        <w:rPr>
          <w:rFonts w:ascii="Verdana" w:eastAsia="Times New Roman" w:hAnsi="Verdana" w:cs="Arial"/>
          <w:lang w:eastAsia="es-CO"/>
        </w:rPr>
        <w:t>Atentamente,</w:t>
      </w:r>
      <w:r w:rsidRPr="00480A95">
        <w:rPr>
          <w:rFonts w:ascii="Verdana" w:hAnsi="Verdana" w:cs="Arial"/>
          <w:lang w:eastAsia="es-CO"/>
        </w:rPr>
        <w:t xml:space="preserve"> </w:t>
      </w:r>
    </w:p>
    <w:p w14:paraId="2B84080A" w14:textId="40AC1210" w:rsidR="00DE0DDD" w:rsidRPr="00A27102" w:rsidRDefault="00936EE3" w:rsidP="00DE0DDD">
      <w:pPr>
        <w:spacing w:line="276" w:lineRule="auto"/>
        <w:jc w:val="center"/>
        <w:rPr>
          <w:rFonts w:ascii="Verdana" w:hAnsi="Verdana" w:cs="Arial"/>
          <w:color w:val="000000"/>
          <w:lang w:val="es-ES_tradnl" w:eastAsia="es-CO"/>
        </w:rPr>
      </w:pPr>
      <w:r>
        <w:rPr>
          <w:noProof/>
        </w:rPr>
        <w:drawing>
          <wp:inline distT="0" distB="0" distL="0" distR="0" wp14:anchorId="243DD20C" wp14:editId="72AFCEDA">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E0DDD" w:rsidRPr="00A27102" w14:paraId="5310F560" w14:textId="77777777" w:rsidTr="001B6F25">
        <w:trPr>
          <w:trHeight w:val="315"/>
        </w:trPr>
        <w:tc>
          <w:tcPr>
            <w:tcW w:w="893" w:type="dxa"/>
            <w:vAlign w:val="center"/>
            <w:hideMark/>
          </w:tcPr>
          <w:p w14:paraId="033536E9" w14:textId="77777777" w:rsidR="00DE0DDD" w:rsidRPr="00A27102" w:rsidRDefault="00DE0DDD" w:rsidP="001B6F2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8842DE" w14:textId="77777777" w:rsidR="00DE0DDD" w:rsidRPr="00A27102" w:rsidRDefault="00DE0DDD" w:rsidP="001B6F25">
            <w:pPr>
              <w:contextualSpacing/>
              <w:rPr>
                <w:rFonts w:ascii="Verdana" w:hAnsi="Verdana"/>
                <w:sz w:val="16"/>
                <w:szCs w:val="16"/>
              </w:rPr>
            </w:pPr>
            <w:r w:rsidRPr="00A27102">
              <w:rPr>
                <w:rFonts w:ascii="Verdana" w:hAnsi="Verdana"/>
                <w:sz w:val="16"/>
                <w:szCs w:val="16"/>
              </w:rPr>
              <w:t>Tatiana Baquero Iguarán</w:t>
            </w:r>
          </w:p>
          <w:p w14:paraId="2579F74C" w14:textId="77777777" w:rsidR="00DE0DDD" w:rsidRPr="00A27102" w:rsidRDefault="00DE0DDD" w:rsidP="001B6F2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DE0DDD" w:rsidRPr="00A27102" w14:paraId="4542EB75" w14:textId="77777777" w:rsidTr="001B6F25">
        <w:trPr>
          <w:trHeight w:val="330"/>
        </w:trPr>
        <w:tc>
          <w:tcPr>
            <w:tcW w:w="893" w:type="dxa"/>
            <w:vAlign w:val="center"/>
            <w:hideMark/>
          </w:tcPr>
          <w:p w14:paraId="4CA24AC0" w14:textId="77777777" w:rsidR="00DE0DDD" w:rsidRPr="00A27102" w:rsidRDefault="00DE0DDD" w:rsidP="001B6F2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1A90A7" w14:textId="77777777" w:rsidR="00DE0DDD" w:rsidRPr="00A27102" w:rsidRDefault="00DE0DDD" w:rsidP="001B6F2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5B2C1588" w14:textId="77777777" w:rsidR="00DE0DDD" w:rsidRPr="00A27102" w:rsidRDefault="00DE0DDD" w:rsidP="001B6F2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DE0DDD" w:rsidRPr="00A27102" w14:paraId="63723F09" w14:textId="77777777" w:rsidTr="001B6F25">
        <w:trPr>
          <w:trHeight w:val="300"/>
        </w:trPr>
        <w:tc>
          <w:tcPr>
            <w:tcW w:w="893" w:type="dxa"/>
            <w:vAlign w:val="center"/>
          </w:tcPr>
          <w:p w14:paraId="334FB44E" w14:textId="77777777" w:rsidR="00DE0DDD" w:rsidRPr="00A27102" w:rsidRDefault="00DE0DDD" w:rsidP="001B6F25">
            <w:pPr>
              <w:contextualSpacing/>
              <w:rPr>
                <w:rFonts w:ascii="Verdana" w:hAnsi="Verdana" w:cs="Arial"/>
                <w:sz w:val="16"/>
                <w:szCs w:val="16"/>
                <w:lang w:val="es-ES" w:eastAsia="es-ES"/>
              </w:rPr>
            </w:pPr>
            <w:r w:rsidRPr="00A27102">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C4F525" w14:textId="77777777" w:rsidR="00DE0DDD" w:rsidRPr="00A27102" w:rsidRDefault="00DE0DDD" w:rsidP="001B6F2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05FD59FF" w14:textId="77777777" w:rsidR="00DE0DDD" w:rsidRPr="00A27102" w:rsidRDefault="00DE0DDD" w:rsidP="001B6F2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30E92D56" w14:textId="77777777" w:rsidR="00DE0DDD" w:rsidRPr="00A27102" w:rsidRDefault="00DE0DDD" w:rsidP="00DE0DDD"/>
    <w:p w14:paraId="7C7D19C0" w14:textId="77777777" w:rsidR="00DE0DDD" w:rsidRPr="00A27102" w:rsidRDefault="00DE0DDD" w:rsidP="00DE0DDD"/>
    <w:p w14:paraId="6651CEF6" w14:textId="77777777" w:rsidR="00DE0DDD" w:rsidRPr="00A27102" w:rsidRDefault="00DE0DDD" w:rsidP="00DE0DDD"/>
    <w:p w14:paraId="6B7DA914" w14:textId="77777777" w:rsidR="00DE0DDD" w:rsidRPr="00A27102" w:rsidRDefault="00DE0DDD" w:rsidP="00DE0DDD">
      <w:pPr>
        <w:spacing w:after="0" w:line="240" w:lineRule="auto"/>
        <w:rPr>
          <w:rFonts w:ascii="Verdana" w:eastAsia="Geomanist Light" w:hAnsi="Verdana" w:cs="Arial"/>
          <w:color w:val="000000" w:themeColor="text1"/>
          <w:lang w:val="es-MX"/>
        </w:rPr>
      </w:pPr>
    </w:p>
    <w:p w14:paraId="4ECC4BD1" w14:textId="77777777" w:rsidR="00DE0DDD" w:rsidRPr="00A27102" w:rsidRDefault="00DE0DDD" w:rsidP="00DE0DDD"/>
    <w:p w14:paraId="0E856BF8" w14:textId="77777777" w:rsidR="00DE0DDD" w:rsidRDefault="00DE0DDD" w:rsidP="00DE0DDD">
      <w:pPr>
        <w:spacing w:after="0" w:line="240" w:lineRule="auto"/>
        <w:rPr>
          <w:rFonts w:ascii="Verdana" w:eastAsia="Geomanist Light" w:hAnsi="Verdana" w:cs="Arial"/>
          <w:color w:val="000000" w:themeColor="text1"/>
          <w:lang w:val="es-MX"/>
        </w:rPr>
      </w:pPr>
    </w:p>
    <w:p w14:paraId="2F8BB0CF" w14:textId="77777777" w:rsidR="00DE0DDD" w:rsidRPr="00480A95" w:rsidRDefault="00DE0DDD" w:rsidP="00DE0DDD">
      <w:pPr>
        <w:spacing w:after="0"/>
        <w:rPr>
          <w:rFonts w:ascii="Verdana" w:hAnsi="Verdana"/>
        </w:rPr>
      </w:pPr>
    </w:p>
    <w:p w14:paraId="1D0AB304" w14:textId="77777777" w:rsidR="00DE0DDD" w:rsidRPr="00732284" w:rsidRDefault="00DE0DDD" w:rsidP="00DE0DDD"/>
    <w:bookmarkEnd w:id="0"/>
    <w:p w14:paraId="3CB7BA8D" w14:textId="77777777" w:rsidR="00E60F74" w:rsidRDefault="00E60F74" w:rsidP="00195892">
      <w:pPr>
        <w:rPr>
          <w:rStyle w:val="normaltextrun"/>
          <w:rFonts w:ascii="Verdana" w:eastAsia="Times New Roman" w:hAnsi="Verdana" w:cs="Arial"/>
          <w:sz w:val="20"/>
          <w:szCs w:val="20"/>
          <w:lang w:val="es-ES" w:eastAsia="es-CO"/>
        </w:rPr>
      </w:pPr>
    </w:p>
    <w:sectPr w:rsidR="00E60F7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EE1A4" w14:textId="77777777" w:rsidR="004A6FB7" w:rsidRDefault="004A6FB7" w:rsidP="004A1847">
      <w:pPr>
        <w:spacing w:after="0" w:line="240" w:lineRule="auto"/>
      </w:pPr>
      <w:r>
        <w:separator/>
      </w:r>
    </w:p>
  </w:endnote>
  <w:endnote w:type="continuationSeparator" w:id="0">
    <w:p w14:paraId="2EFD20A0" w14:textId="77777777" w:rsidR="004A6FB7" w:rsidRDefault="004A6FB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9A457" w14:textId="77777777" w:rsidR="004A6FB7" w:rsidRDefault="004A6FB7" w:rsidP="004A1847">
      <w:pPr>
        <w:spacing w:after="0" w:line="240" w:lineRule="auto"/>
      </w:pPr>
      <w:r>
        <w:separator/>
      </w:r>
    </w:p>
  </w:footnote>
  <w:footnote w:type="continuationSeparator" w:id="0">
    <w:p w14:paraId="7AAC4A6F" w14:textId="77777777" w:rsidR="004A6FB7" w:rsidRDefault="004A6FB7" w:rsidP="004A1847">
      <w:pPr>
        <w:spacing w:after="0" w:line="240" w:lineRule="auto"/>
      </w:pPr>
      <w:r>
        <w:continuationSeparator/>
      </w:r>
    </w:p>
  </w:footnote>
  <w:footnote w:id="1">
    <w:p w14:paraId="24E3EAF6"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6B9B7DB"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DCF3A41"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Gaceta del Congreso de la República No. 71 del 2005.</w:t>
      </w:r>
    </w:p>
  </w:footnote>
  <w:footnote w:id="3">
    <w:p w14:paraId="01FAA676"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Corte Constitucional, Sentencia C- 1153 de 2005, M.P. Marco Gerardo Monroy Cabra.</w:t>
      </w:r>
    </w:p>
  </w:footnote>
  <w:footnote w:id="4">
    <w:p w14:paraId="07D09DFD"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949B153" w14:textId="77777777" w:rsidR="00DE0DDD" w:rsidRPr="00685C9B" w:rsidRDefault="00DE0DDD" w:rsidP="00DE0DDD">
      <w:pPr>
        <w:pStyle w:val="Textonotapie"/>
        <w:ind w:firstLine="709"/>
        <w:contextualSpacing/>
        <w:jc w:val="both"/>
        <w:rPr>
          <w:rFonts w:ascii="Verdana" w:hAnsi="Verdana" w:cs="Arial"/>
          <w:sz w:val="16"/>
          <w:szCs w:val="16"/>
          <w:lang w:val="es-CO"/>
        </w:rPr>
      </w:pPr>
      <w:r w:rsidRPr="00685C9B">
        <w:rPr>
          <w:rStyle w:val="Refdenotaalpie"/>
          <w:rFonts w:ascii="Verdana" w:hAnsi="Verdana" w:cs="Arial"/>
          <w:sz w:val="16"/>
          <w:szCs w:val="16"/>
        </w:rPr>
        <w:footnoteRef/>
      </w:r>
      <w:r w:rsidRPr="00685C9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B24B9C0"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5AF6C7ED" w14:textId="77777777" w:rsidR="00DE0DDD" w:rsidRPr="00685C9B" w:rsidRDefault="00DE0DDD" w:rsidP="00DE0DDD">
      <w:pPr>
        <w:spacing w:after="0" w:line="240" w:lineRule="auto"/>
        <w:ind w:firstLine="709"/>
        <w:contextualSpacing/>
        <w:jc w:val="both"/>
        <w:rPr>
          <w:rFonts w:ascii="Verdana" w:eastAsia="Times New Roman"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eastAsia="Calibri" w:hAnsi="Verdana" w:cs="Arial"/>
          <w:sz w:val="16"/>
          <w:szCs w:val="16"/>
        </w:rPr>
        <w:t>“</w:t>
      </w:r>
      <w:r w:rsidRPr="00685C9B">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860AC62" w14:textId="77777777" w:rsidR="00DE0DDD" w:rsidRPr="00685C9B" w:rsidRDefault="00DE0DDD" w:rsidP="00DE0DDD">
      <w:pPr>
        <w:spacing w:after="0" w:line="240" w:lineRule="auto"/>
        <w:ind w:firstLine="709"/>
        <w:contextualSpacing/>
        <w:jc w:val="both"/>
        <w:rPr>
          <w:rFonts w:ascii="Verdana" w:eastAsia="Times New Roman" w:hAnsi="Verdana" w:cs="Arial"/>
          <w:sz w:val="16"/>
          <w:szCs w:val="16"/>
        </w:rPr>
      </w:pPr>
      <w:r w:rsidRPr="00685C9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85C9B">
        <w:rPr>
          <w:rFonts w:ascii="Verdana" w:eastAsia="Calibri" w:hAnsi="Verdana" w:cs="Arial"/>
          <w:sz w:val="16"/>
          <w:szCs w:val="16"/>
        </w:rPr>
        <w:t>”</w:t>
      </w:r>
      <w:r w:rsidRPr="00685C9B">
        <w:rPr>
          <w:rFonts w:ascii="Verdana" w:eastAsia="Times New Roman" w:hAnsi="Verdana" w:cs="Arial"/>
          <w:sz w:val="16"/>
          <w:szCs w:val="16"/>
        </w:rPr>
        <w:t>.</w:t>
      </w:r>
    </w:p>
  </w:footnote>
  <w:footnote w:id="8">
    <w:p w14:paraId="3FC20AE9" w14:textId="77777777" w:rsidR="00DE0DDD" w:rsidRPr="00685C9B" w:rsidRDefault="00DE0DDD" w:rsidP="00DE0DDD">
      <w:pPr>
        <w:pStyle w:val="NormalWeb"/>
        <w:spacing w:before="0" w:beforeAutospacing="0" w:after="0" w:afterAutospacing="0"/>
        <w:ind w:firstLine="709"/>
        <w:contextualSpacing/>
        <w:jc w:val="both"/>
        <w:rPr>
          <w:rFonts w:ascii="Verdana" w:hAnsi="Verdana" w:cs="Arial"/>
          <w:sz w:val="16"/>
          <w:szCs w:val="16"/>
          <w:lang w:val="es-MX"/>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eastAsia="Calibri" w:hAnsi="Verdana" w:cs="Arial"/>
          <w:sz w:val="16"/>
          <w:szCs w:val="16"/>
        </w:rPr>
        <w:t>“</w:t>
      </w:r>
      <w:r w:rsidRPr="00685C9B">
        <w:rPr>
          <w:rFonts w:ascii="Verdana" w:hAnsi="Verdana" w:cs="Arial"/>
          <w:sz w:val="16"/>
          <w:szCs w:val="16"/>
          <w:lang w:val="es-MX"/>
        </w:rPr>
        <w:t>Artículo 38. Prohibiciones para los servidores públicos. A los empleados del Estado les está prohibido:</w:t>
      </w:r>
    </w:p>
    <w:p w14:paraId="12296849" w14:textId="77777777" w:rsidR="00DE0DDD" w:rsidRPr="00685C9B" w:rsidRDefault="00DE0DDD" w:rsidP="00DE0DDD">
      <w:pPr>
        <w:pStyle w:val="NormalWeb"/>
        <w:spacing w:before="0" w:beforeAutospacing="0" w:after="0" w:afterAutospacing="0"/>
        <w:ind w:firstLine="709"/>
        <w:contextualSpacing/>
        <w:jc w:val="both"/>
        <w:rPr>
          <w:rFonts w:ascii="Verdana" w:hAnsi="Verdana" w:cs="Arial"/>
          <w:sz w:val="16"/>
          <w:szCs w:val="16"/>
          <w:lang w:val="es-MX"/>
        </w:rPr>
      </w:pPr>
      <w:r w:rsidRPr="00685C9B">
        <w:rPr>
          <w:rFonts w:ascii="Verdana" w:hAnsi="Verdana" w:cs="Arial"/>
          <w:sz w:val="16"/>
          <w:szCs w:val="16"/>
          <w:lang w:val="es-MX"/>
        </w:rPr>
        <w:t>[…]</w:t>
      </w:r>
    </w:p>
    <w:p w14:paraId="5992719D" w14:textId="77777777" w:rsidR="00DE0DDD" w:rsidRPr="00685C9B" w:rsidRDefault="00DE0DDD" w:rsidP="00DE0DDD">
      <w:pPr>
        <w:pStyle w:val="NormalWeb"/>
        <w:spacing w:before="0" w:beforeAutospacing="0" w:after="0" w:afterAutospacing="0"/>
        <w:ind w:firstLine="709"/>
        <w:contextualSpacing/>
        <w:jc w:val="both"/>
        <w:rPr>
          <w:rFonts w:ascii="Verdana" w:hAnsi="Verdana" w:cs="Arial"/>
          <w:sz w:val="16"/>
          <w:szCs w:val="16"/>
          <w:lang w:val="es-MX"/>
        </w:rPr>
      </w:pPr>
      <w:r w:rsidRPr="00685C9B">
        <w:rPr>
          <w:rStyle w:val="baj"/>
          <w:rFonts w:ascii="Verdana" w:hAnsi="Verdana" w:cs="Arial"/>
          <w:sz w:val="16"/>
          <w:szCs w:val="16"/>
          <w:lang w:val="es-MX"/>
        </w:rPr>
        <w:t>Parágrafo.</w:t>
      </w:r>
      <w:r w:rsidRPr="00685C9B">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85C9B">
        <w:rPr>
          <w:rFonts w:ascii="Verdana" w:eastAsia="Calibri" w:hAnsi="Verdana" w:cs="Arial"/>
          <w:sz w:val="16"/>
          <w:szCs w:val="16"/>
        </w:rPr>
        <w:t>”</w:t>
      </w:r>
      <w:r w:rsidRPr="00685C9B">
        <w:rPr>
          <w:rFonts w:ascii="Verdana" w:hAnsi="Verdana" w:cs="Arial"/>
          <w:sz w:val="16"/>
          <w:szCs w:val="16"/>
          <w:lang w:val="es-MX"/>
        </w:rPr>
        <w:t>.</w:t>
      </w:r>
    </w:p>
  </w:footnote>
  <w:footnote w:id="9">
    <w:p w14:paraId="621D7D9B" w14:textId="77777777" w:rsidR="00DE0DDD" w:rsidRPr="00685C9B" w:rsidRDefault="00DE0DDD" w:rsidP="00DE0DDD">
      <w:pPr>
        <w:spacing w:after="0" w:line="240" w:lineRule="auto"/>
        <w:ind w:left="100" w:right="244" w:firstLine="709"/>
        <w:contextualSpacing/>
        <w:jc w:val="both"/>
        <w:rPr>
          <w:rFonts w:ascii="Verdana" w:hAnsi="Verdana" w:cs="Arial"/>
          <w:sz w:val="16"/>
          <w:szCs w:val="16"/>
          <w:lang w:val="es-ES"/>
        </w:rPr>
      </w:pPr>
      <w:r w:rsidRPr="00685C9B">
        <w:rPr>
          <w:rStyle w:val="Refdenotaalpie"/>
          <w:rFonts w:ascii="Verdana" w:hAnsi="Verdana" w:cs="Arial"/>
          <w:sz w:val="16"/>
          <w:szCs w:val="16"/>
        </w:rPr>
        <w:footnoteRef/>
      </w:r>
      <w:r w:rsidRPr="00685C9B">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2068A0E4" w14:textId="77777777" w:rsidR="00DE0DDD" w:rsidRPr="00685C9B" w:rsidRDefault="00DE0DDD" w:rsidP="00DE0DDD">
      <w:pPr>
        <w:pStyle w:val="Textonotapie"/>
        <w:ind w:right="51" w:firstLine="709"/>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hAnsi="Verdana" w:cs="Arial"/>
          <w:sz w:val="16"/>
          <w:szCs w:val="16"/>
          <w:lang w:val="es-ES"/>
        </w:rPr>
        <w:t xml:space="preserve">[26] </w:t>
      </w:r>
      <w:r w:rsidRPr="00685C9B">
        <w:rPr>
          <w:rFonts w:ascii="Verdana" w:hAnsi="Verdana" w:cs="Arial"/>
          <w:sz w:val="16"/>
          <w:szCs w:val="16"/>
        </w:rPr>
        <w:t>Al respecto ver el concepto 1712 de 2 de febrero de 2006. Consejo de Estado Sala de Consulta y Servicio Civil”.</w:t>
      </w:r>
    </w:p>
  </w:footnote>
  <w:footnote w:id="11">
    <w:p w14:paraId="68F10EC9" w14:textId="77777777" w:rsidR="00DE0DDD" w:rsidRPr="00685C9B" w:rsidRDefault="00DE0DDD" w:rsidP="00DE0DDD">
      <w:pPr>
        <w:pStyle w:val="Textonotapie"/>
        <w:ind w:firstLine="709"/>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CONSEJO DE ESTADO. Sala de Consulta y Servicio Civil. Concepto del 2 de septiembre de 2013. Radicación número: 11001-03-06-000-2013-00412-00 (2168). C.P: Álvaro Namén Vargas.</w:t>
      </w:r>
    </w:p>
  </w:footnote>
  <w:footnote w:id="12">
    <w:p w14:paraId="02D12B8F" w14:textId="77777777" w:rsidR="00DE0DDD" w:rsidRPr="00685C9B" w:rsidRDefault="00DE0DDD" w:rsidP="00DE0DDD">
      <w:pPr>
        <w:pStyle w:val="Textonotapie"/>
        <w:ind w:firstLine="709"/>
        <w:jc w:val="both"/>
        <w:rPr>
          <w:rFonts w:ascii="Verdana" w:hAnsi="Verdana" w:cs="Arial"/>
          <w:sz w:val="16"/>
          <w:szCs w:val="16"/>
          <w:lang w:val="es-ES"/>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hAnsi="Verdana" w:cs="Arial"/>
          <w:sz w:val="16"/>
          <w:szCs w:val="16"/>
          <w:lang w:val="es-ES"/>
        </w:rPr>
        <w:t xml:space="preserve">Artículo 2. </w:t>
      </w:r>
    </w:p>
  </w:footnote>
  <w:footnote w:id="13">
    <w:p w14:paraId="2D80CE10" w14:textId="77777777" w:rsidR="00DE0DDD" w:rsidRPr="00685C9B" w:rsidRDefault="00DE0DDD" w:rsidP="00DE0DDD">
      <w:pPr>
        <w:pStyle w:val="Textonotapie"/>
        <w:ind w:firstLine="709"/>
        <w:jc w:val="both"/>
        <w:rPr>
          <w:rFonts w:ascii="Verdana" w:hAnsi="Verdana" w:cs="Arial"/>
          <w:sz w:val="16"/>
          <w:szCs w:val="16"/>
          <w:lang w:val="es-ES"/>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hAnsi="Verdana" w:cs="Arial"/>
          <w:i/>
          <w:sz w:val="16"/>
          <w:szCs w:val="16"/>
          <w:lang w:val="es-ES"/>
        </w:rPr>
        <w:t>Ídem</w:t>
      </w:r>
      <w:r w:rsidRPr="00685C9B">
        <w:rPr>
          <w:rFonts w:ascii="Verdana" w:hAnsi="Verdana" w:cs="Arial"/>
          <w:sz w:val="16"/>
          <w:szCs w:val="16"/>
          <w:lang w:val="es-ES"/>
        </w:rPr>
        <w:t>.</w:t>
      </w:r>
    </w:p>
  </w:footnote>
  <w:footnote w:id="14">
    <w:p w14:paraId="416E0FBC" w14:textId="77777777" w:rsidR="00DE0DDD" w:rsidRPr="00685C9B" w:rsidRDefault="00DE0DDD" w:rsidP="00DE0DDD">
      <w:pPr>
        <w:pStyle w:val="Textonotapie"/>
        <w:ind w:firstLine="709"/>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CONSEJO DE ESTADO. Sala de Consulta y Servicio Civil. Concepto del 08 de mayo de 2018. Exp. 2.382. C.P. Álvaro Namén Vargas.</w:t>
      </w:r>
    </w:p>
  </w:footnote>
  <w:footnote w:id="15">
    <w:p w14:paraId="365E7A8F" w14:textId="77777777" w:rsidR="00DE0DDD" w:rsidRPr="00685C9B" w:rsidRDefault="00DE0DDD" w:rsidP="00DE0DDD">
      <w:pPr>
        <w:pStyle w:val="Textonotapie"/>
        <w:ind w:firstLine="708"/>
        <w:jc w:val="both"/>
        <w:rPr>
          <w:rFonts w:ascii="Verdana" w:hAnsi="Verdana"/>
          <w:sz w:val="16"/>
          <w:szCs w:val="16"/>
          <w:lang w:val="es-ES"/>
        </w:rPr>
      </w:pPr>
      <w:r w:rsidRPr="00685C9B">
        <w:rPr>
          <w:rStyle w:val="Refdenotaalpie"/>
          <w:rFonts w:ascii="Verdana" w:hAnsi="Verdana"/>
          <w:sz w:val="16"/>
          <w:szCs w:val="16"/>
        </w:rPr>
        <w:footnoteRef/>
      </w:r>
      <w:r w:rsidRPr="00685C9B">
        <w:rPr>
          <w:rFonts w:ascii="Verdana" w:hAnsi="Verdana"/>
          <w:sz w:val="16"/>
          <w:szCs w:val="16"/>
        </w:rPr>
        <w:t xml:space="preserve"> </w:t>
      </w:r>
      <w:r w:rsidRPr="00685C9B">
        <w:rPr>
          <w:rFonts w:ascii="Verdana" w:hAnsi="Verdana" w:cs="Arial"/>
          <w:sz w:val="16"/>
          <w:szCs w:val="16"/>
          <w:lang w:val="es-ES"/>
        </w:rPr>
        <w:t xml:space="preserve">CONSEJO DE ESTADO, Sala de Consulta y Servicio Civil, Concepto de fecha 8 de mayo de 2018, No. </w:t>
      </w:r>
      <w:r w:rsidRPr="00685C9B">
        <w:rPr>
          <w:rFonts w:ascii="Verdana" w:hAnsi="Verdana"/>
          <w:sz w:val="16"/>
          <w:szCs w:val="16"/>
        </w:rPr>
        <w:t>2382. C. P. Álvaro Namén Vargas.</w:t>
      </w:r>
    </w:p>
  </w:footnote>
  <w:footnote w:id="16">
    <w:p w14:paraId="6190A2EE" w14:textId="77777777" w:rsidR="00DE0DDD" w:rsidRPr="00685C9B" w:rsidRDefault="00DE0DDD" w:rsidP="00DE0DDD">
      <w:pPr>
        <w:spacing w:after="0" w:line="240" w:lineRule="auto"/>
        <w:ind w:firstLine="709"/>
        <w:jc w:val="both"/>
        <w:rPr>
          <w:rFonts w:ascii="Verdana" w:hAnsi="Verdana" w:cs="Arial"/>
          <w:color w:val="000000" w:themeColor="text1"/>
          <w:sz w:val="16"/>
          <w:szCs w:val="16"/>
        </w:rPr>
      </w:pPr>
      <w:r w:rsidRPr="00685C9B">
        <w:rPr>
          <w:rStyle w:val="Refdenotaalpie"/>
          <w:rFonts w:ascii="Verdana" w:hAnsi="Verdana" w:cs="Arial"/>
          <w:color w:val="000000" w:themeColor="text1"/>
          <w:sz w:val="16"/>
          <w:szCs w:val="16"/>
        </w:rPr>
        <w:footnoteRef/>
      </w:r>
      <w:r w:rsidRPr="00685C9B">
        <w:rPr>
          <w:rFonts w:ascii="Verdana" w:hAnsi="Verdana" w:cs="Arial"/>
          <w:color w:val="000000" w:themeColor="text1"/>
          <w:sz w:val="16"/>
          <w:szCs w:val="16"/>
        </w:rPr>
        <w:t xml:space="preserve"> CONSEJO DE ESTADO. Sala de Consulta y Servicio Civil. Concepto de 20 de febrero de 2006. Radicación Número: 11001-03-06-000-2006-00026-00(1727).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04C75C48" w14:textId="77777777" w:rsidR="00DE0DDD" w:rsidRPr="00685C9B" w:rsidRDefault="00DE0DDD" w:rsidP="00DE0DDD">
      <w:pPr>
        <w:pStyle w:val="Textonotapie"/>
        <w:ind w:firstLine="708"/>
        <w:jc w:val="both"/>
        <w:rPr>
          <w:rFonts w:ascii="Verdana" w:hAnsi="Verdana" w:cs="Arial"/>
          <w:color w:val="000000" w:themeColor="text1"/>
          <w:sz w:val="16"/>
          <w:szCs w:val="16"/>
        </w:rPr>
      </w:pPr>
      <w:r w:rsidRPr="00685C9B">
        <w:rPr>
          <w:rStyle w:val="Refdenotaalpie"/>
          <w:rFonts w:ascii="Verdana" w:hAnsi="Verdana" w:cs="Arial"/>
          <w:color w:val="000000" w:themeColor="text1"/>
          <w:sz w:val="16"/>
          <w:szCs w:val="16"/>
        </w:rPr>
        <w:footnoteRef/>
      </w:r>
      <w:r w:rsidRPr="00685C9B">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18">
    <w:p w14:paraId="6F2BE522" w14:textId="77777777" w:rsidR="00DE0DDD" w:rsidRPr="00685C9B" w:rsidRDefault="00DE0DDD" w:rsidP="00DE0DDD">
      <w:pPr>
        <w:pStyle w:val="Textonotapie"/>
        <w:ind w:firstLine="708"/>
        <w:jc w:val="both"/>
        <w:rPr>
          <w:rFonts w:ascii="Verdana" w:hAnsi="Verdana" w:cs="Arial"/>
          <w:color w:val="000000" w:themeColor="text1"/>
          <w:sz w:val="16"/>
          <w:szCs w:val="16"/>
        </w:rPr>
      </w:pPr>
      <w:r w:rsidRPr="00685C9B">
        <w:rPr>
          <w:rStyle w:val="Refdenotaalpie"/>
          <w:rFonts w:ascii="Verdana" w:hAnsi="Verdana" w:cs="Arial"/>
          <w:color w:val="000000" w:themeColor="text1"/>
          <w:sz w:val="16"/>
          <w:szCs w:val="16"/>
        </w:rPr>
        <w:footnoteRef/>
      </w:r>
      <w:r w:rsidRPr="00685C9B">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19">
    <w:p w14:paraId="02024549" w14:textId="77777777" w:rsidR="00DE0DDD" w:rsidRPr="00685C9B" w:rsidRDefault="00DE0DDD" w:rsidP="00DE0DDD">
      <w:pPr>
        <w:pStyle w:val="Textonotapie"/>
        <w:ind w:firstLine="709"/>
        <w:jc w:val="both"/>
        <w:rPr>
          <w:rFonts w:ascii="Verdana" w:hAnsi="Verdana" w:cs="Arial"/>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2C28C5C8"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Style w:val="Refdenotaalpie"/>
          <w:rFonts w:ascii="Verdana" w:hAnsi="Verdana"/>
          <w:sz w:val="16"/>
          <w:szCs w:val="16"/>
        </w:rPr>
        <w:footnoteRef/>
      </w:r>
      <w:r w:rsidRPr="00685C9B">
        <w:rPr>
          <w:rFonts w:ascii="Verdana" w:hAnsi="Verdana"/>
          <w:sz w:val="16"/>
          <w:szCs w:val="16"/>
        </w:rPr>
        <w:t xml:space="preserve"> </w:t>
      </w:r>
      <w:r w:rsidRPr="00685C9B">
        <w:rPr>
          <w:rFonts w:ascii="Verdana" w:hAnsi="Verdana" w:cs="Arial"/>
          <w:sz w:val="16"/>
          <w:szCs w:val="16"/>
        </w:rPr>
        <w:t>CONSEJO DE ESTADO -Sección Tercera-. Sentencia del 21 de febrero de 2025. Radicación Número: 68.280. CP: José Roberto Sáchica Méndez.</w:t>
      </w:r>
    </w:p>
  </w:footnote>
  <w:footnote w:id="21">
    <w:p w14:paraId="33384F58"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Fonts w:ascii="Verdana" w:hAnsi="Verdana"/>
          <w:sz w:val="16"/>
          <w:szCs w:val="16"/>
          <w:vertAlign w:val="superscript"/>
        </w:rPr>
        <w:footnoteRef/>
      </w:r>
      <w:r w:rsidRPr="00685C9B">
        <w:rPr>
          <w:rFonts w:ascii="Verdana" w:hAnsi="Verdana"/>
          <w:sz w:val="16"/>
          <w:szCs w:val="16"/>
          <w:vertAlign w:val="superscript"/>
        </w:rPr>
        <w:t xml:space="preserve"> </w:t>
      </w:r>
      <w:r w:rsidRPr="00685C9B">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248AA9A" w14:textId="77777777" w:rsidR="00DE0DDD" w:rsidRPr="00685C9B" w:rsidRDefault="00DE0DDD" w:rsidP="00DE0DDD">
      <w:pPr>
        <w:pStyle w:val="Textonotapie"/>
        <w:ind w:firstLine="709"/>
        <w:contextualSpacing/>
        <w:jc w:val="both"/>
        <w:rPr>
          <w:rFonts w:ascii="Verdana" w:hAnsi="Verdana" w:cs="Arial"/>
          <w:sz w:val="16"/>
          <w:szCs w:val="16"/>
        </w:rPr>
      </w:pPr>
    </w:p>
  </w:footnote>
  <w:footnote w:id="22">
    <w:p w14:paraId="08C5A24D"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Fonts w:ascii="Verdana" w:hAnsi="Verdana"/>
          <w:sz w:val="16"/>
          <w:szCs w:val="16"/>
          <w:vertAlign w:val="superscript"/>
        </w:rPr>
        <w:footnoteRef/>
      </w:r>
      <w:r w:rsidRPr="00685C9B">
        <w:rPr>
          <w:rFonts w:ascii="Verdana" w:hAnsi="Verdana" w:cs="Arial"/>
          <w:sz w:val="16"/>
          <w:szCs w:val="16"/>
          <w:vertAlign w:val="superscript"/>
        </w:rPr>
        <w:t xml:space="preserve"> </w:t>
      </w:r>
      <w:r w:rsidRPr="00685C9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20F01AF9"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Fonts w:ascii="Verdana" w:hAnsi="Verdana" w:cs="Arial"/>
          <w:sz w:val="16"/>
          <w:szCs w:val="16"/>
        </w:rPr>
        <w:t>[…]”.</w:t>
      </w:r>
    </w:p>
  </w:footnote>
  <w:footnote w:id="23">
    <w:p w14:paraId="3647825F" w14:textId="77777777" w:rsidR="00DE0DDD" w:rsidRPr="00685C9B" w:rsidRDefault="00DE0DDD" w:rsidP="00DE0DDD">
      <w:pPr>
        <w:pStyle w:val="Textonotapie"/>
        <w:ind w:firstLine="709"/>
        <w:contextualSpacing/>
        <w:jc w:val="both"/>
        <w:rPr>
          <w:rFonts w:ascii="Verdana" w:hAnsi="Verdana" w:cs="Arial"/>
          <w:sz w:val="16"/>
          <w:szCs w:val="16"/>
        </w:rPr>
      </w:pPr>
      <w:r w:rsidRPr="00685C9B">
        <w:rPr>
          <w:rFonts w:ascii="Verdana" w:hAnsi="Verdana"/>
          <w:sz w:val="16"/>
          <w:szCs w:val="16"/>
          <w:vertAlign w:val="superscript"/>
        </w:rPr>
        <w:footnoteRef/>
      </w:r>
      <w:r w:rsidRPr="00685C9B">
        <w:rPr>
          <w:rFonts w:ascii="Verdana" w:hAnsi="Verdana" w:cs="Arial"/>
          <w:sz w:val="16"/>
          <w:szCs w:val="16"/>
          <w:vertAlign w:val="superscript"/>
        </w:rPr>
        <w:t xml:space="preserve"> </w:t>
      </w:r>
      <w:r w:rsidRPr="00685C9B">
        <w:rPr>
          <w:rFonts w:ascii="Verdana" w:hAnsi="Verdana" w:cs="Arial"/>
          <w:sz w:val="16"/>
          <w:szCs w:val="16"/>
        </w:rPr>
        <w:t>Código Civil: “Artículo 27. Cuando el sentido de la ley sea claro, no se desatenderá su tenor a pretexto de consultar su espíritu”.</w:t>
      </w:r>
    </w:p>
  </w:footnote>
  <w:footnote w:id="24">
    <w:p w14:paraId="70614E06" w14:textId="77777777" w:rsidR="00DE0DDD" w:rsidRPr="00685C9B" w:rsidRDefault="00DE0DDD" w:rsidP="00DE0DDD">
      <w:pPr>
        <w:pStyle w:val="Textonotapie"/>
        <w:ind w:firstLine="709"/>
        <w:contextualSpacing/>
        <w:jc w:val="both"/>
        <w:rPr>
          <w:rFonts w:ascii="Verdana" w:hAnsi="Verdana"/>
          <w:sz w:val="16"/>
          <w:szCs w:val="16"/>
          <w:lang w:val="es-CO"/>
        </w:rPr>
      </w:pPr>
      <w:r w:rsidRPr="00685C9B">
        <w:rPr>
          <w:rStyle w:val="Refdenotaalpie"/>
          <w:rFonts w:ascii="Verdana" w:hAnsi="Verdana"/>
          <w:sz w:val="16"/>
          <w:szCs w:val="16"/>
        </w:rPr>
        <w:footnoteRef/>
      </w:r>
      <w:r w:rsidRPr="00685C9B">
        <w:rPr>
          <w:rFonts w:ascii="Verdana" w:hAnsi="Verdana"/>
          <w:sz w:val="16"/>
          <w:szCs w:val="16"/>
          <w:lang w:val="es-CO"/>
        </w:rPr>
        <w:t xml:space="preserve"> CONSEJO DE ESTADO, Sección Tercera. Auto del 4 de octubre de 2024. Exp. 70.313. C.P: Fredy Ibarra Martínez.</w:t>
      </w:r>
    </w:p>
  </w:footnote>
  <w:footnote w:id="25">
    <w:p w14:paraId="5FFB4260" w14:textId="77777777" w:rsidR="00DE0DDD" w:rsidRPr="00685C9B" w:rsidRDefault="00DE0DDD" w:rsidP="00DE0DDD">
      <w:pPr>
        <w:pStyle w:val="Textonotapie"/>
        <w:ind w:firstLine="709"/>
        <w:contextualSpacing/>
        <w:jc w:val="both"/>
        <w:rPr>
          <w:rFonts w:ascii="Verdana" w:hAnsi="Verdana"/>
          <w:sz w:val="16"/>
          <w:szCs w:val="16"/>
          <w:lang w:val="es-CO"/>
        </w:rPr>
      </w:pPr>
      <w:r w:rsidRPr="00685C9B">
        <w:rPr>
          <w:rStyle w:val="Refdenotaalpie"/>
          <w:rFonts w:ascii="Verdana" w:hAnsi="Verdana"/>
          <w:sz w:val="16"/>
          <w:szCs w:val="16"/>
        </w:rPr>
        <w:footnoteRef/>
      </w:r>
      <w:r w:rsidRPr="00685C9B">
        <w:rPr>
          <w:rFonts w:ascii="Verdana" w:hAnsi="Verdana"/>
          <w:sz w:val="16"/>
          <w:szCs w:val="16"/>
        </w:rPr>
        <w:t xml:space="preserve"> La parte resolutiva del auto dispone lo siguiente; “</w:t>
      </w:r>
      <w:r w:rsidRPr="00685C9B">
        <w:rPr>
          <w:rFonts w:ascii="Verdana" w:hAnsi="Verdana"/>
          <w:b/>
          <w:sz w:val="16"/>
          <w:szCs w:val="16"/>
          <w:lang w:val="es-CO"/>
        </w:rPr>
        <w:t xml:space="preserve">PRIMERO: DECRETAR </w:t>
      </w:r>
      <w:r w:rsidRPr="00685C9B">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685C9B">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685C9B">
        <w:rPr>
          <w:rFonts w:ascii="Verdana" w:hAnsi="Verdana"/>
          <w:sz w:val="16"/>
          <w:szCs w:val="16"/>
          <w:lang w:val="es-CO"/>
        </w:rPr>
        <w:t xml:space="preserve">, por las razones expuestas en precedencia. </w:t>
      </w:r>
    </w:p>
    <w:p w14:paraId="452E4301" w14:textId="77777777" w:rsidR="00DE0DDD" w:rsidRPr="00685C9B" w:rsidRDefault="00DE0DDD" w:rsidP="00DE0DDD">
      <w:pPr>
        <w:pStyle w:val="Textonotapie"/>
        <w:ind w:firstLine="709"/>
        <w:contextualSpacing/>
        <w:jc w:val="both"/>
        <w:rPr>
          <w:rFonts w:ascii="Verdana" w:hAnsi="Verdana"/>
          <w:sz w:val="16"/>
          <w:szCs w:val="16"/>
          <w:lang w:val="es-CO"/>
        </w:rPr>
      </w:pPr>
      <w:r w:rsidRPr="00685C9B">
        <w:rPr>
          <w:rFonts w:ascii="Verdana" w:hAnsi="Verdana"/>
          <w:b/>
          <w:sz w:val="16"/>
          <w:szCs w:val="16"/>
          <w:lang w:val="es-CO"/>
        </w:rPr>
        <w:t xml:space="preserve">SEGUNDO: DECRETAR </w:t>
      </w:r>
      <w:r w:rsidRPr="00685C9B">
        <w:rPr>
          <w:rFonts w:ascii="Verdana" w:hAnsi="Verdana"/>
          <w:sz w:val="16"/>
          <w:szCs w:val="16"/>
          <w:lang w:val="es-CO"/>
        </w:rPr>
        <w:t>la suspensión provisional de la expresión “</w:t>
      </w:r>
      <w:r w:rsidRPr="00685C9B">
        <w:rPr>
          <w:rFonts w:ascii="Verdana" w:hAnsi="Verdana"/>
          <w:i/>
          <w:sz w:val="16"/>
          <w:szCs w:val="16"/>
          <w:lang w:val="es-CO"/>
        </w:rPr>
        <w:t>contratos</w:t>
      </w:r>
      <w:r w:rsidRPr="00685C9B">
        <w:rPr>
          <w:rFonts w:ascii="Verdana" w:hAnsi="Verdana"/>
          <w:sz w:val="16"/>
          <w:szCs w:val="16"/>
          <w:lang w:val="es-CO"/>
        </w:rPr>
        <w:t xml:space="preserve">” y del párrafo </w:t>
      </w:r>
      <w:r w:rsidRPr="00685C9B">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685C9B">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6">
    <w:p w14:paraId="1ACD46F2" w14:textId="77777777" w:rsidR="00DE0DDD" w:rsidRPr="00685C9B" w:rsidRDefault="00DE0DDD" w:rsidP="00DE0DDD">
      <w:pPr>
        <w:spacing w:after="0" w:line="240" w:lineRule="auto"/>
        <w:ind w:firstLine="709"/>
        <w:contextualSpacing/>
        <w:jc w:val="both"/>
        <w:rPr>
          <w:rFonts w:ascii="Verdana" w:eastAsia="Times New Roman" w:hAnsi="Verdana" w:cs="Times New Roman"/>
          <w:sz w:val="16"/>
          <w:szCs w:val="16"/>
          <w:lang w:eastAsia="es-ES"/>
        </w:rPr>
      </w:pPr>
      <w:r w:rsidRPr="00685C9B">
        <w:rPr>
          <w:rStyle w:val="Refdenotaalpie"/>
          <w:rFonts w:ascii="Verdana" w:hAnsi="Verdana"/>
          <w:sz w:val="16"/>
          <w:szCs w:val="16"/>
        </w:rPr>
        <w:footnoteRef/>
      </w:r>
      <w:r w:rsidRPr="00685C9B">
        <w:rPr>
          <w:rFonts w:ascii="Verdana" w:hAnsi="Verdana"/>
          <w:sz w:val="16"/>
          <w:szCs w:val="16"/>
        </w:rPr>
        <w:t xml:space="preserve"> </w:t>
      </w:r>
      <w:r w:rsidRPr="00685C9B">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685C9B">
        <w:rPr>
          <w:rFonts w:ascii="Verdana" w:hAnsi="Verdana"/>
          <w:sz w:val="16"/>
          <w:szCs w:val="16"/>
        </w:rPr>
        <w:t xml:space="preserve">La parte de la providencia señala: </w:t>
      </w:r>
      <w:r w:rsidRPr="00685C9B">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502773A0" w14:textId="77777777" w:rsidR="00DE0DDD" w:rsidRPr="00685C9B" w:rsidRDefault="00DE0DDD" w:rsidP="00DE0DDD">
      <w:pPr>
        <w:pStyle w:val="Textonotapie"/>
        <w:ind w:firstLine="709"/>
        <w:jc w:val="both"/>
        <w:rPr>
          <w:rFonts w:ascii="Verdana" w:hAnsi="Verdana"/>
          <w:sz w:val="16"/>
          <w:szCs w:val="16"/>
          <w:lang w:val="es-CO"/>
        </w:rPr>
      </w:pPr>
      <w:r w:rsidRPr="00685C9B">
        <w:rPr>
          <w:rStyle w:val="Refdenotaalpie"/>
          <w:rFonts w:ascii="Verdana" w:hAnsi="Verdana"/>
          <w:sz w:val="16"/>
          <w:szCs w:val="16"/>
        </w:rPr>
        <w:footnoteRef/>
      </w:r>
      <w:r w:rsidRPr="00685C9B">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8">
    <w:p w14:paraId="148BA66E" w14:textId="77777777" w:rsidR="00DE0DDD" w:rsidRPr="00685C9B" w:rsidRDefault="00DE0DDD" w:rsidP="00DE0DDD">
      <w:pPr>
        <w:pStyle w:val="Textonotapie"/>
        <w:ind w:firstLine="708"/>
        <w:contextualSpacing/>
        <w:jc w:val="both"/>
        <w:rPr>
          <w:rFonts w:ascii="Verdana" w:hAnsi="Verdana"/>
          <w:sz w:val="16"/>
          <w:szCs w:val="16"/>
        </w:rPr>
      </w:pPr>
      <w:r w:rsidRPr="00685C9B">
        <w:rPr>
          <w:rStyle w:val="Refdenotaalpie"/>
          <w:rFonts w:ascii="Verdana" w:hAnsi="Verdana" w:cs="Arial"/>
          <w:sz w:val="16"/>
          <w:szCs w:val="16"/>
        </w:rPr>
        <w:footnoteRef/>
      </w:r>
      <w:r w:rsidRPr="00685C9B">
        <w:rPr>
          <w:rFonts w:ascii="Verdana" w:hAnsi="Verdana" w:cs="Arial"/>
          <w:sz w:val="16"/>
          <w:szCs w:val="16"/>
        </w:rPr>
        <w:t xml:space="preserve"> </w:t>
      </w:r>
      <w:r w:rsidRPr="00685C9B">
        <w:rPr>
          <w:rFonts w:ascii="Verdana" w:hAnsi="Verdana"/>
          <w:sz w:val="16"/>
          <w:szCs w:val="16"/>
        </w:rPr>
        <w:t>Por la cual se modifica la Ley 29 de 1990, se transforma a Colciencias en Departamento Administrativo, se fortalece el Sistema Nacional de Ciencia, Tecnología e Innovación&lt;</w:t>
      </w:r>
      <w:hyperlink r:id="rId1" w:anchor="1" w:history="1">
        <w:r w:rsidRPr="00685C9B">
          <w:rPr>
            <w:rFonts w:ascii="Verdana" w:hAnsi="Verdana"/>
            <w:sz w:val="16"/>
            <w:szCs w:val="16"/>
          </w:rPr>
          <w:t>1</w:t>
        </w:r>
      </w:hyperlink>
      <w:r w:rsidRPr="00685C9B">
        <w:rPr>
          <w:rFonts w:ascii="Verdana" w:hAnsi="Verdana"/>
          <w:sz w:val="16"/>
          <w:szCs w:val="16"/>
        </w:rPr>
        <w:t>&gt; en Colombia y se dictan otras disposiciones.</w:t>
      </w:r>
    </w:p>
  </w:footnote>
  <w:footnote w:id="29">
    <w:p w14:paraId="4C7C939D" w14:textId="77777777" w:rsidR="00DE0DDD" w:rsidRPr="00685C9B" w:rsidRDefault="00DE0DDD" w:rsidP="00DE0DDD">
      <w:pPr>
        <w:pStyle w:val="Textonotapie"/>
        <w:ind w:firstLine="708"/>
        <w:contextualSpacing/>
        <w:jc w:val="both"/>
        <w:rPr>
          <w:rFonts w:ascii="Verdana" w:hAnsi="Verdana"/>
          <w:sz w:val="16"/>
          <w:szCs w:val="16"/>
        </w:rPr>
      </w:pPr>
      <w:r w:rsidRPr="00685C9B">
        <w:rPr>
          <w:rStyle w:val="Refdenotaalpie"/>
          <w:rFonts w:ascii="Verdana" w:hAnsi="Verdana"/>
          <w:sz w:val="16"/>
          <w:szCs w:val="16"/>
        </w:rPr>
        <w:footnoteRef/>
      </w:r>
      <w:r w:rsidRPr="00685C9B">
        <w:rPr>
          <w:rFonts w:ascii="Verdana" w:hAnsi="Verdana"/>
          <w:sz w:val="16"/>
          <w:szCs w:val="16"/>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6237DD14" w14:textId="77777777" w:rsidR="00DE0DDD" w:rsidRPr="00685C9B" w:rsidRDefault="00DE0DDD" w:rsidP="00DE0DDD">
      <w:pPr>
        <w:pStyle w:val="Textonotapie"/>
        <w:ind w:firstLine="708"/>
        <w:contextualSpacing/>
        <w:jc w:val="both"/>
        <w:rPr>
          <w:rFonts w:ascii="Verdana" w:hAnsi="Verdana"/>
          <w:sz w:val="16"/>
          <w:szCs w:val="16"/>
        </w:rPr>
      </w:pPr>
      <w:r w:rsidRPr="00685C9B">
        <w:rPr>
          <w:rFonts w:ascii="Verdana" w:hAnsi="Verdana"/>
          <w:sz w:val="16"/>
          <w:szCs w:val="16"/>
        </w:rPr>
        <w:t>1. Mediante la creación y organización de sociedades civiles y comerciales y personas jurídicas sin ánimo de lucro como corporaciones y fundaciones. </w:t>
      </w:r>
    </w:p>
    <w:p w14:paraId="14292973" w14:textId="77777777" w:rsidR="00DE0DDD" w:rsidRPr="00685C9B" w:rsidRDefault="00DE0DDD" w:rsidP="00DE0DDD">
      <w:pPr>
        <w:pStyle w:val="Textonotapie"/>
        <w:ind w:firstLine="708"/>
        <w:contextualSpacing/>
        <w:jc w:val="both"/>
        <w:rPr>
          <w:rFonts w:ascii="Verdana" w:hAnsi="Verdana"/>
          <w:sz w:val="16"/>
          <w:szCs w:val="16"/>
        </w:rPr>
      </w:pPr>
      <w:r w:rsidRPr="00685C9B">
        <w:rPr>
          <w:rFonts w:ascii="Verdana" w:hAnsi="Verdana"/>
          <w:sz w:val="16"/>
          <w:szCs w:val="16"/>
        </w:rPr>
        <w:t>2. Mediante la celebración de convenios especiales de cooperación”. </w:t>
      </w:r>
    </w:p>
    <w:p w14:paraId="0A27EACF" w14:textId="77777777" w:rsidR="00DE0DDD" w:rsidRPr="00685C9B" w:rsidRDefault="00DE0DDD" w:rsidP="00DE0DDD">
      <w:pPr>
        <w:pStyle w:val="Textonotapie"/>
        <w:ind w:firstLine="708"/>
        <w:contextualSpacing/>
        <w:jc w:val="both"/>
        <w:rPr>
          <w:rFonts w:ascii="Verdana" w:hAnsi="Verdana"/>
          <w:sz w:val="16"/>
          <w:szCs w:val="16"/>
        </w:rPr>
      </w:pPr>
      <w:r w:rsidRPr="00685C9B">
        <w:rPr>
          <w:rFonts w:ascii="Verdana" w:hAnsi="Verdana"/>
          <w:sz w:val="16"/>
          <w:szCs w:val="16"/>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30">
    <w:p w14:paraId="3867CC5C" w14:textId="77777777" w:rsidR="00DE0DDD" w:rsidRPr="00685C9B" w:rsidRDefault="00DE0DDD" w:rsidP="00DE0DDD">
      <w:pPr>
        <w:pStyle w:val="Textonotapie"/>
        <w:ind w:firstLine="708"/>
        <w:contextualSpacing/>
        <w:jc w:val="both"/>
        <w:rPr>
          <w:rFonts w:ascii="Verdana" w:hAnsi="Verdana"/>
          <w:sz w:val="16"/>
          <w:szCs w:val="16"/>
          <w:lang w:val="es-ES"/>
        </w:rPr>
      </w:pPr>
      <w:r w:rsidRPr="00685C9B">
        <w:rPr>
          <w:rStyle w:val="Refdenotaalpie"/>
          <w:rFonts w:ascii="Verdana" w:hAnsi="Verdana"/>
          <w:sz w:val="16"/>
          <w:szCs w:val="16"/>
        </w:rPr>
        <w:footnoteRef/>
      </w:r>
      <w:r w:rsidRPr="00685C9B">
        <w:rPr>
          <w:rFonts w:ascii="Verdana" w:hAnsi="Verdana"/>
          <w:sz w:val="16"/>
          <w:szCs w:val="16"/>
        </w:rPr>
        <w:t xml:space="preserve"> </w:t>
      </w:r>
      <w:r w:rsidRPr="00685C9B">
        <w:rPr>
          <w:rFonts w:ascii="Verdana" w:hAnsi="Verdana"/>
          <w:sz w:val="16"/>
          <w:szCs w:val="16"/>
          <w:lang w:val="es-CO"/>
        </w:rPr>
        <w:t>Consejo de Estado. Sala de Consulta y Servicio Civil. Concepto del ocho (08) de marzo de dos mil diecisiete (2017). Radicación número: 11001-03-06-000-2016-00102-00(2298). C.P. Edgar González López.</w:t>
      </w:r>
    </w:p>
  </w:footnote>
  <w:footnote w:id="31">
    <w:p w14:paraId="0117B201" w14:textId="77777777" w:rsidR="00DE0DDD" w:rsidRPr="00685C9B" w:rsidRDefault="00DE0DDD" w:rsidP="00DE0DDD">
      <w:pPr>
        <w:pStyle w:val="Textonotapie"/>
        <w:ind w:firstLine="709"/>
        <w:jc w:val="both"/>
        <w:rPr>
          <w:rFonts w:ascii="Verdana" w:hAnsi="Verdana" w:cs="Arial"/>
          <w:color w:val="000000" w:themeColor="text1"/>
          <w:sz w:val="16"/>
          <w:szCs w:val="16"/>
        </w:rPr>
      </w:pPr>
      <w:r w:rsidRPr="00685C9B">
        <w:rPr>
          <w:rStyle w:val="Refdenotaalpie"/>
          <w:rFonts w:ascii="Verdana" w:hAnsi="Verdana" w:cs="Arial"/>
          <w:sz w:val="16"/>
          <w:szCs w:val="16"/>
        </w:rPr>
        <w:footnoteRef/>
      </w:r>
      <w:r w:rsidRPr="00685C9B">
        <w:rPr>
          <w:rFonts w:ascii="Verdana" w:hAnsi="Verdana" w:cs="Arial"/>
          <w:color w:val="000000" w:themeColor="text1"/>
          <w:sz w:val="16"/>
          <w:szCs w:val="16"/>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051475E8" w14:textId="77777777" w:rsidR="00DE0DDD" w:rsidRPr="00685C9B" w:rsidRDefault="00DE0DDD" w:rsidP="00DE0DDD">
      <w:pPr>
        <w:pStyle w:val="Textonotapie"/>
        <w:ind w:firstLine="709"/>
        <w:jc w:val="both"/>
        <w:rPr>
          <w:rFonts w:ascii="Verdana" w:hAnsi="Verdana" w:cs="Arial"/>
          <w:color w:val="000000" w:themeColor="text1"/>
          <w:sz w:val="16"/>
          <w:szCs w:val="16"/>
        </w:rPr>
      </w:pPr>
      <w:r w:rsidRPr="00685C9B">
        <w:rPr>
          <w:rFonts w:ascii="Verdana" w:hAnsi="Verdana" w:cs="Arial"/>
          <w:color w:val="000000" w:themeColor="text1"/>
          <w:sz w:val="16"/>
          <w:szCs w:val="16"/>
        </w:rPr>
        <w:t>“El Documento CONPES 4069 de 2021, donde se define cuáles son estas actividades de los actores del Sistema Nacional de Ciencia, Tecnología e Innovación.</w:t>
      </w:r>
    </w:p>
    <w:p w14:paraId="7CFBF8D4" w14:textId="77777777" w:rsidR="00DE0DDD" w:rsidRPr="00685C9B" w:rsidRDefault="00DE0DDD" w:rsidP="00DE0DDD">
      <w:pPr>
        <w:pStyle w:val="Textonotapie"/>
        <w:ind w:firstLine="709"/>
        <w:jc w:val="both"/>
        <w:rPr>
          <w:rFonts w:ascii="Verdana" w:hAnsi="Verdana" w:cs="Arial"/>
          <w:color w:val="000000" w:themeColor="text1"/>
          <w:sz w:val="16"/>
          <w:szCs w:val="16"/>
        </w:rPr>
      </w:pPr>
      <w:r w:rsidRPr="00685C9B">
        <w:rPr>
          <w:rFonts w:ascii="Verdana" w:hAnsi="Verdana" w:cs="Arial"/>
          <w:color w:val="000000" w:themeColor="text1"/>
          <w:sz w:val="16"/>
          <w:szCs w:val="16"/>
        </w:rPr>
        <w:t>“En caso de que las Entidades Estatales no tengan certeza sobre la catalogación de las actividades científicas, tecnológicas y de innovación, deben acudir al Ministerio de Ciencia, Tecnología e Innovación, autoridad competente en la materia.”</w:t>
      </w:r>
    </w:p>
  </w:footnote>
  <w:footnote w:id="32">
    <w:p w14:paraId="6985E784" w14:textId="77777777" w:rsidR="00DE0DDD" w:rsidRPr="00685C9B" w:rsidRDefault="00DE0DDD" w:rsidP="00DE0DDD">
      <w:pPr>
        <w:pStyle w:val="Textonotapie"/>
        <w:ind w:firstLine="708"/>
        <w:jc w:val="both"/>
        <w:rPr>
          <w:rFonts w:ascii="Verdana" w:hAnsi="Verdana"/>
          <w:sz w:val="16"/>
          <w:szCs w:val="16"/>
          <w:lang w:val="es-ES"/>
        </w:rPr>
      </w:pPr>
      <w:r w:rsidRPr="00685C9B">
        <w:rPr>
          <w:rStyle w:val="Refdenotaalpie"/>
          <w:rFonts w:ascii="Verdana" w:hAnsi="Verdana" w:cs="Arial"/>
          <w:sz w:val="16"/>
          <w:szCs w:val="16"/>
        </w:rPr>
        <w:footnoteRef/>
      </w:r>
      <w:r w:rsidRPr="00685C9B">
        <w:rPr>
          <w:rFonts w:ascii="Verdana" w:hAnsi="Verdana" w:cs="Arial"/>
          <w:sz w:val="16"/>
          <w:szCs w:val="16"/>
        </w:rPr>
        <w:t xml:space="preserve">  Consejo de Estado. Sala de consulta y Servicio Civil. Concepto del 26 de noviembre del 2009. C.P. Luis Fernando Álvarez Jaramillo. Radicado Nro. 11001-03-06-000-2009-0062-00 (1974)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2A7397"/>
    <w:multiLevelType w:val="hybridMultilevel"/>
    <w:tmpl w:val="5F0CAC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1864202067">
    <w:abstractNumId w:val="11"/>
  </w:num>
  <w:num w:numId="18" w16cid:durableId="13239695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6E5"/>
    <w:rsid w:val="00016F78"/>
    <w:rsid w:val="00017A6E"/>
    <w:rsid w:val="00024404"/>
    <w:rsid w:val="000249D7"/>
    <w:rsid w:val="000274E5"/>
    <w:rsid w:val="00030153"/>
    <w:rsid w:val="00031ECE"/>
    <w:rsid w:val="00037143"/>
    <w:rsid w:val="00042A48"/>
    <w:rsid w:val="0004570A"/>
    <w:rsid w:val="00046945"/>
    <w:rsid w:val="000505A2"/>
    <w:rsid w:val="00050DED"/>
    <w:rsid w:val="00051C0F"/>
    <w:rsid w:val="00061B2A"/>
    <w:rsid w:val="00067281"/>
    <w:rsid w:val="00067B07"/>
    <w:rsid w:val="00080166"/>
    <w:rsid w:val="00082362"/>
    <w:rsid w:val="000A11AA"/>
    <w:rsid w:val="000A3123"/>
    <w:rsid w:val="000A683E"/>
    <w:rsid w:val="000A7C58"/>
    <w:rsid w:val="000B0A48"/>
    <w:rsid w:val="000B150A"/>
    <w:rsid w:val="000B19B9"/>
    <w:rsid w:val="000B5D4A"/>
    <w:rsid w:val="000C447B"/>
    <w:rsid w:val="000C73AB"/>
    <w:rsid w:val="000D0334"/>
    <w:rsid w:val="000D0816"/>
    <w:rsid w:val="000D0C2F"/>
    <w:rsid w:val="000D42B3"/>
    <w:rsid w:val="000D4E20"/>
    <w:rsid w:val="000D5DA7"/>
    <w:rsid w:val="000F6486"/>
    <w:rsid w:val="001015C3"/>
    <w:rsid w:val="00111A6E"/>
    <w:rsid w:val="001120B6"/>
    <w:rsid w:val="00116940"/>
    <w:rsid w:val="00122294"/>
    <w:rsid w:val="00125105"/>
    <w:rsid w:val="0012688F"/>
    <w:rsid w:val="00127233"/>
    <w:rsid w:val="00131923"/>
    <w:rsid w:val="00136E0A"/>
    <w:rsid w:val="00141550"/>
    <w:rsid w:val="00153E26"/>
    <w:rsid w:val="00154598"/>
    <w:rsid w:val="001559A5"/>
    <w:rsid w:val="0015699B"/>
    <w:rsid w:val="00165E70"/>
    <w:rsid w:val="001752EA"/>
    <w:rsid w:val="00181009"/>
    <w:rsid w:val="00185BA4"/>
    <w:rsid w:val="00195892"/>
    <w:rsid w:val="001A000B"/>
    <w:rsid w:val="001A33BF"/>
    <w:rsid w:val="001A71E4"/>
    <w:rsid w:val="001B1E2E"/>
    <w:rsid w:val="001B5DCD"/>
    <w:rsid w:val="001B6099"/>
    <w:rsid w:val="001B6769"/>
    <w:rsid w:val="001C655A"/>
    <w:rsid w:val="001E4177"/>
    <w:rsid w:val="001E6BE5"/>
    <w:rsid w:val="001F0B24"/>
    <w:rsid w:val="001F7DC6"/>
    <w:rsid w:val="00205B7D"/>
    <w:rsid w:val="002068FD"/>
    <w:rsid w:val="0022400B"/>
    <w:rsid w:val="002333D4"/>
    <w:rsid w:val="002421BB"/>
    <w:rsid w:val="0025796E"/>
    <w:rsid w:val="002707A2"/>
    <w:rsid w:val="00283B96"/>
    <w:rsid w:val="00283BA8"/>
    <w:rsid w:val="0028553B"/>
    <w:rsid w:val="00291654"/>
    <w:rsid w:val="0029370D"/>
    <w:rsid w:val="002951A0"/>
    <w:rsid w:val="00295C67"/>
    <w:rsid w:val="002962BC"/>
    <w:rsid w:val="002A093D"/>
    <w:rsid w:val="002A0DD0"/>
    <w:rsid w:val="002A10AA"/>
    <w:rsid w:val="002A49AC"/>
    <w:rsid w:val="002A4ED0"/>
    <w:rsid w:val="002A64FD"/>
    <w:rsid w:val="002B468B"/>
    <w:rsid w:val="002B55D3"/>
    <w:rsid w:val="002C72AF"/>
    <w:rsid w:val="002C7A84"/>
    <w:rsid w:val="002D2325"/>
    <w:rsid w:val="002D3363"/>
    <w:rsid w:val="002D4FB6"/>
    <w:rsid w:val="002E2BF8"/>
    <w:rsid w:val="002E3212"/>
    <w:rsid w:val="002E3F24"/>
    <w:rsid w:val="002E3FF0"/>
    <w:rsid w:val="002E4FD9"/>
    <w:rsid w:val="002E56E7"/>
    <w:rsid w:val="002E6258"/>
    <w:rsid w:val="002E6303"/>
    <w:rsid w:val="002F123F"/>
    <w:rsid w:val="002F3E02"/>
    <w:rsid w:val="0030657A"/>
    <w:rsid w:val="00306E4E"/>
    <w:rsid w:val="00322A85"/>
    <w:rsid w:val="00324168"/>
    <w:rsid w:val="0032601E"/>
    <w:rsid w:val="003264DE"/>
    <w:rsid w:val="00330834"/>
    <w:rsid w:val="00341C79"/>
    <w:rsid w:val="003448F4"/>
    <w:rsid w:val="003638B0"/>
    <w:rsid w:val="003704ED"/>
    <w:rsid w:val="003730E9"/>
    <w:rsid w:val="00374F5E"/>
    <w:rsid w:val="00377E3E"/>
    <w:rsid w:val="0038115E"/>
    <w:rsid w:val="00395794"/>
    <w:rsid w:val="003A12F0"/>
    <w:rsid w:val="003A779E"/>
    <w:rsid w:val="003C2E0D"/>
    <w:rsid w:val="003C60D9"/>
    <w:rsid w:val="003C6A0F"/>
    <w:rsid w:val="003C6C9C"/>
    <w:rsid w:val="003D0F4D"/>
    <w:rsid w:val="003D1DCA"/>
    <w:rsid w:val="003D5B0D"/>
    <w:rsid w:val="003E0499"/>
    <w:rsid w:val="003E115E"/>
    <w:rsid w:val="003E4F80"/>
    <w:rsid w:val="003E6439"/>
    <w:rsid w:val="003E6B61"/>
    <w:rsid w:val="003F3941"/>
    <w:rsid w:val="003F488F"/>
    <w:rsid w:val="003F56CE"/>
    <w:rsid w:val="003F6D28"/>
    <w:rsid w:val="003F782A"/>
    <w:rsid w:val="00403A56"/>
    <w:rsid w:val="00406575"/>
    <w:rsid w:val="00414C74"/>
    <w:rsid w:val="00422994"/>
    <w:rsid w:val="004250D7"/>
    <w:rsid w:val="0042722E"/>
    <w:rsid w:val="004361B8"/>
    <w:rsid w:val="0044528D"/>
    <w:rsid w:val="00451B7C"/>
    <w:rsid w:val="00452F9A"/>
    <w:rsid w:val="00460BB8"/>
    <w:rsid w:val="00466E39"/>
    <w:rsid w:val="004700E6"/>
    <w:rsid w:val="00480A95"/>
    <w:rsid w:val="0049103F"/>
    <w:rsid w:val="004A1847"/>
    <w:rsid w:val="004A305D"/>
    <w:rsid w:val="004A6FB7"/>
    <w:rsid w:val="004C6880"/>
    <w:rsid w:val="004E5943"/>
    <w:rsid w:val="004E6DDB"/>
    <w:rsid w:val="004F21C4"/>
    <w:rsid w:val="004F6580"/>
    <w:rsid w:val="004F685F"/>
    <w:rsid w:val="00501975"/>
    <w:rsid w:val="00503190"/>
    <w:rsid w:val="00516117"/>
    <w:rsid w:val="00521A51"/>
    <w:rsid w:val="00523B96"/>
    <w:rsid w:val="00530EF7"/>
    <w:rsid w:val="00540B34"/>
    <w:rsid w:val="005548E3"/>
    <w:rsid w:val="005566E8"/>
    <w:rsid w:val="00571AB1"/>
    <w:rsid w:val="0057239D"/>
    <w:rsid w:val="00574867"/>
    <w:rsid w:val="00590978"/>
    <w:rsid w:val="00591460"/>
    <w:rsid w:val="005A1B96"/>
    <w:rsid w:val="005A65E0"/>
    <w:rsid w:val="005A6AE0"/>
    <w:rsid w:val="005B6872"/>
    <w:rsid w:val="005C1491"/>
    <w:rsid w:val="005C3777"/>
    <w:rsid w:val="005C4B2F"/>
    <w:rsid w:val="005C5CDC"/>
    <w:rsid w:val="005D476C"/>
    <w:rsid w:val="005D556A"/>
    <w:rsid w:val="005E0100"/>
    <w:rsid w:val="005E3580"/>
    <w:rsid w:val="005E43B0"/>
    <w:rsid w:val="005E7609"/>
    <w:rsid w:val="005E7EBE"/>
    <w:rsid w:val="005F4951"/>
    <w:rsid w:val="005F55D7"/>
    <w:rsid w:val="005F6ECA"/>
    <w:rsid w:val="00610A66"/>
    <w:rsid w:val="006200BF"/>
    <w:rsid w:val="006219F8"/>
    <w:rsid w:val="0062637F"/>
    <w:rsid w:val="006302F7"/>
    <w:rsid w:val="006324B5"/>
    <w:rsid w:val="00645EAA"/>
    <w:rsid w:val="00646B9F"/>
    <w:rsid w:val="00665D70"/>
    <w:rsid w:val="006779C0"/>
    <w:rsid w:val="00685C9B"/>
    <w:rsid w:val="006900D9"/>
    <w:rsid w:val="0069178C"/>
    <w:rsid w:val="00692211"/>
    <w:rsid w:val="006925DA"/>
    <w:rsid w:val="00692E4E"/>
    <w:rsid w:val="006B67FE"/>
    <w:rsid w:val="006B7E8D"/>
    <w:rsid w:val="006C22DA"/>
    <w:rsid w:val="006C5E1A"/>
    <w:rsid w:val="006C64BC"/>
    <w:rsid w:val="006E018D"/>
    <w:rsid w:val="006F1AB7"/>
    <w:rsid w:val="006F2A3D"/>
    <w:rsid w:val="006F485B"/>
    <w:rsid w:val="006F782E"/>
    <w:rsid w:val="00703A84"/>
    <w:rsid w:val="00705E9D"/>
    <w:rsid w:val="00706C16"/>
    <w:rsid w:val="00713CCA"/>
    <w:rsid w:val="007173F3"/>
    <w:rsid w:val="007236D9"/>
    <w:rsid w:val="007245E1"/>
    <w:rsid w:val="00727EB3"/>
    <w:rsid w:val="007339CE"/>
    <w:rsid w:val="007340C3"/>
    <w:rsid w:val="00736A0F"/>
    <w:rsid w:val="00745206"/>
    <w:rsid w:val="0075235A"/>
    <w:rsid w:val="007554D3"/>
    <w:rsid w:val="00756841"/>
    <w:rsid w:val="00757873"/>
    <w:rsid w:val="007649AB"/>
    <w:rsid w:val="00771D0C"/>
    <w:rsid w:val="0077509A"/>
    <w:rsid w:val="00775A60"/>
    <w:rsid w:val="0077736D"/>
    <w:rsid w:val="00781011"/>
    <w:rsid w:val="007833AC"/>
    <w:rsid w:val="007A07B2"/>
    <w:rsid w:val="007A5D89"/>
    <w:rsid w:val="007B268C"/>
    <w:rsid w:val="007B5664"/>
    <w:rsid w:val="007B7171"/>
    <w:rsid w:val="007C0C0F"/>
    <w:rsid w:val="007C3DC2"/>
    <w:rsid w:val="007D40DB"/>
    <w:rsid w:val="007D72A2"/>
    <w:rsid w:val="007E19DC"/>
    <w:rsid w:val="007E1A49"/>
    <w:rsid w:val="007E5497"/>
    <w:rsid w:val="007E5F8D"/>
    <w:rsid w:val="007F78ED"/>
    <w:rsid w:val="00806233"/>
    <w:rsid w:val="00806F5F"/>
    <w:rsid w:val="0080710E"/>
    <w:rsid w:val="00820278"/>
    <w:rsid w:val="008258C9"/>
    <w:rsid w:val="00825F6E"/>
    <w:rsid w:val="00840803"/>
    <w:rsid w:val="00844AE9"/>
    <w:rsid w:val="008473BB"/>
    <w:rsid w:val="00862260"/>
    <w:rsid w:val="0086604C"/>
    <w:rsid w:val="00867F95"/>
    <w:rsid w:val="00870079"/>
    <w:rsid w:val="00881E7F"/>
    <w:rsid w:val="008843B6"/>
    <w:rsid w:val="008858FA"/>
    <w:rsid w:val="008861ED"/>
    <w:rsid w:val="008905DE"/>
    <w:rsid w:val="00890819"/>
    <w:rsid w:val="00891928"/>
    <w:rsid w:val="00895A5D"/>
    <w:rsid w:val="00896AD7"/>
    <w:rsid w:val="008A03C0"/>
    <w:rsid w:val="008A446D"/>
    <w:rsid w:val="008B25F1"/>
    <w:rsid w:val="008B4334"/>
    <w:rsid w:val="008B5322"/>
    <w:rsid w:val="008B58C5"/>
    <w:rsid w:val="008B6028"/>
    <w:rsid w:val="008B725C"/>
    <w:rsid w:val="008B74A1"/>
    <w:rsid w:val="008B782D"/>
    <w:rsid w:val="008C1D4D"/>
    <w:rsid w:val="008D180B"/>
    <w:rsid w:val="008F0A76"/>
    <w:rsid w:val="008F0EA7"/>
    <w:rsid w:val="00905823"/>
    <w:rsid w:val="00911906"/>
    <w:rsid w:val="00917490"/>
    <w:rsid w:val="00917618"/>
    <w:rsid w:val="00923EEF"/>
    <w:rsid w:val="0092768F"/>
    <w:rsid w:val="00936EE3"/>
    <w:rsid w:val="009419F9"/>
    <w:rsid w:val="00943B6D"/>
    <w:rsid w:val="00953259"/>
    <w:rsid w:val="0095685E"/>
    <w:rsid w:val="009571E5"/>
    <w:rsid w:val="00961B09"/>
    <w:rsid w:val="0096227D"/>
    <w:rsid w:val="00965334"/>
    <w:rsid w:val="0097093E"/>
    <w:rsid w:val="00992335"/>
    <w:rsid w:val="009A0DFA"/>
    <w:rsid w:val="009A1C6F"/>
    <w:rsid w:val="009B1A13"/>
    <w:rsid w:val="009B2D26"/>
    <w:rsid w:val="009C619E"/>
    <w:rsid w:val="009C71FA"/>
    <w:rsid w:val="009C72E7"/>
    <w:rsid w:val="009C7F7E"/>
    <w:rsid w:val="009D1A46"/>
    <w:rsid w:val="009D3058"/>
    <w:rsid w:val="009D4C04"/>
    <w:rsid w:val="009E10BE"/>
    <w:rsid w:val="009F18CB"/>
    <w:rsid w:val="009F2C0D"/>
    <w:rsid w:val="009F3A13"/>
    <w:rsid w:val="009F4119"/>
    <w:rsid w:val="009F6693"/>
    <w:rsid w:val="00A00EC5"/>
    <w:rsid w:val="00A06FE7"/>
    <w:rsid w:val="00A122D3"/>
    <w:rsid w:val="00A14468"/>
    <w:rsid w:val="00A15DCD"/>
    <w:rsid w:val="00A17F13"/>
    <w:rsid w:val="00A20739"/>
    <w:rsid w:val="00A23AF9"/>
    <w:rsid w:val="00A27742"/>
    <w:rsid w:val="00A33C78"/>
    <w:rsid w:val="00A37713"/>
    <w:rsid w:val="00A4496C"/>
    <w:rsid w:val="00A449DB"/>
    <w:rsid w:val="00A54690"/>
    <w:rsid w:val="00A549AA"/>
    <w:rsid w:val="00A6084F"/>
    <w:rsid w:val="00A62B07"/>
    <w:rsid w:val="00A72ECA"/>
    <w:rsid w:val="00A81159"/>
    <w:rsid w:val="00A94CFB"/>
    <w:rsid w:val="00AA0422"/>
    <w:rsid w:val="00AA333C"/>
    <w:rsid w:val="00AA5D0F"/>
    <w:rsid w:val="00AA7673"/>
    <w:rsid w:val="00AB0ADB"/>
    <w:rsid w:val="00AC3747"/>
    <w:rsid w:val="00AC4E28"/>
    <w:rsid w:val="00AC6AD1"/>
    <w:rsid w:val="00AC7446"/>
    <w:rsid w:val="00AD0862"/>
    <w:rsid w:val="00AD1778"/>
    <w:rsid w:val="00AD1A58"/>
    <w:rsid w:val="00AD7D39"/>
    <w:rsid w:val="00AE0C3B"/>
    <w:rsid w:val="00AF0818"/>
    <w:rsid w:val="00AF3A0B"/>
    <w:rsid w:val="00B00C0E"/>
    <w:rsid w:val="00B01B1A"/>
    <w:rsid w:val="00B01EAF"/>
    <w:rsid w:val="00B0381D"/>
    <w:rsid w:val="00B06A86"/>
    <w:rsid w:val="00B2749B"/>
    <w:rsid w:val="00B3542F"/>
    <w:rsid w:val="00B361A8"/>
    <w:rsid w:val="00B364AA"/>
    <w:rsid w:val="00B42988"/>
    <w:rsid w:val="00B44A47"/>
    <w:rsid w:val="00B4638F"/>
    <w:rsid w:val="00B50109"/>
    <w:rsid w:val="00B50473"/>
    <w:rsid w:val="00B55A63"/>
    <w:rsid w:val="00B621F3"/>
    <w:rsid w:val="00B6270E"/>
    <w:rsid w:val="00B62F6D"/>
    <w:rsid w:val="00B63582"/>
    <w:rsid w:val="00B72CD3"/>
    <w:rsid w:val="00B72FFF"/>
    <w:rsid w:val="00B76D52"/>
    <w:rsid w:val="00B8325E"/>
    <w:rsid w:val="00B85FAC"/>
    <w:rsid w:val="00B869BF"/>
    <w:rsid w:val="00B90225"/>
    <w:rsid w:val="00BA4273"/>
    <w:rsid w:val="00BA46C7"/>
    <w:rsid w:val="00BA6737"/>
    <w:rsid w:val="00BA7EC3"/>
    <w:rsid w:val="00BB062F"/>
    <w:rsid w:val="00BB3A60"/>
    <w:rsid w:val="00BB5586"/>
    <w:rsid w:val="00BC3D36"/>
    <w:rsid w:val="00BC6C2A"/>
    <w:rsid w:val="00BD31FA"/>
    <w:rsid w:val="00BD54A6"/>
    <w:rsid w:val="00BD6251"/>
    <w:rsid w:val="00BD7B43"/>
    <w:rsid w:val="00BD7F72"/>
    <w:rsid w:val="00BE0AB7"/>
    <w:rsid w:val="00BF1B9F"/>
    <w:rsid w:val="00BF3319"/>
    <w:rsid w:val="00BF3EFB"/>
    <w:rsid w:val="00BF7425"/>
    <w:rsid w:val="00C04FB3"/>
    <w:rsid w:val="00C07479"/>
    <w:rsid w:val="00C11D8B"/>
    <w:rsid w:val="00C15139"/>
    <w:rsid w:val="00C212D1"/>
    <w:rsid w:val="00C330EB"/>
    <w:rsid w:val="00C46272"/>
    <w:rsid w:val="00C5035F"/>
    <w:rsid w:val="00C50D69"/>
    <w:rsid w:val="00C5365C"/>
    <w:rsid w:val="00C559F4"/>
    <w:rsid w:val="00C638AC"/>
    <w:rsid w:val="00C6484B"/>
    <w:rsid w:val="00C70D1D"/>
    <w:rsid w:val="00C71D42"/>
    <w:rsid w:val="00C754BE"/>
    <w:rsid w:val="00C76B1C"/>
    <w:rsid w:val="00C840FD"/>
    <w:rsid w:val="00C87F70"/>
    <w:rsid w:val="00C925AC"/>
    <w:rsid w:val="00C92A4E"/>
    <w:rsid w:val="00C94E41"/>
    <w:rsid w:val="00CA6853"/>
    <w:rsid w:val="00CB55F6"/>
    <w:rsid w:val="00CB6357"/>
    <w:rsid w:val="00CB7164"/>
    <w:rsid w:val="00CC18D6"/>
    <w:rsid w:val="00CC1B26"/>
    <w:rsid w:val="00CC63F5"/>
    <w:rsid w:val="00CD1799"/>
    <w:rsid w:val="00CE08F5"/>
    <w:rsid w:val="00CE43E6"/>
    <w:rsid w:val="00CE5B4E"/>
    <w:rsid w:val="00CE64E0"/>
    <w:rsid w:val="00CF2FB7"/>
    <w:rsid w:val="00D000A2"/>
    <w:rsid w:val="00D07208"/>
    <w:rsid w:val="00D17547"/>
    <w:rsid w:val="00D337FB"/>
    <w:rsid w:val="00D361FD"/>
    <w:rsid w:val="00D42149"/>
    <w:rsid w:val="00D423A2"/>
    <w:rsid w:val="00D427F5"/>
    <w:rsid w:val="00D44E26"/>
    <w:rsid w:val="00D510A8"/>
    <w:rsid w:val="00D51E56"/>
    <w:rsid w:val="00D520D8"/>
    <w:rsid w:val="00D5389B"/>
    <w:rsid w:val="00D561C0"/>
    <w:rsid w:val="00D56888"/>
    <w:rsid w:val="00D63AC2"/>
    <w:rsid w:val="00D716D1"/>
    <w:rsid w:val="00D721D9"/>
    <w:rsid w:val="00D72853"/>
    <w:rsid w:val="00D7383B"/>
    <w:rsid w:val="00D77044"/>
    <w:rsid w:val="00D7788A"/>
    <w:rsid w:val="00D80EE1"/>
    <w:rsid w:val="00D867A9"/>
    <w:rsid w:val="00D8782E"/>
    <w:rsid w:val="00D94813"/>
    <w:rsid w:val="00DA0169"/>
    <w:rsid w:val="00DA1764"/>
    <w:rsid w:val="00DA231B"/>
    <w:rsid w:val="00DA59B3"/>
    <w:rsid w:val="00DB035E"/>
    <w:rsid w:val="00DB0FA3"/>
    <w:rsid w:val="00DB3D4D"/>
    <w:rsid w:val="00DC39FC"/>
    <w:rsid w:val="00DC67E9"/>
    <w:rsid w:val="00DE0DDD"/>
    <w:rsid w:val="00DF5254"/>
    <w:rsid w:val="00E00859"/>
    <w:rsid w:val="00E0115C"/>
    <w:rsid w:val="00E01587"/>
    <w:rsid w:val="00E0235C"/>
    <w:rsid w:val="00E02524"/>
    <w:rsid w:val="00E117A7"/>
    <w:rsid w:val="00E13B20"/>
    <w:rsid w:val="00E16408"/>
    <w:rsid w:val="00E16C9F"/>
    <w:rsid w:val="00E20894"/>
    <w:rsid w:val="00E21400"/>
    <w:rsid w:val="00E225E2"/>
    <w:rsid w:val="00E245AB"/>
    <w:rsid w:val="00E26A8B"/>
    <w:rsid w:val="00E2764C"/>
    <w:rsid w:val="00E27F2E"/>
    <w:rsid w:val="00E3285D"/>
    <w:rsid w:val="00E42224"/>
    <w:rsid w:val="00E50AFE"/>
    <w:rsid w:val="00E5235C"/>
    <w:rsid w:val="00E534C1"/>
    <w:rsid w:val="00E57656"/>
    <w:rsid w:val="00E60F74"/>
    <w:rsid w:val="00E63D49"/>
    <w:rsid w:val="00E66295"/>
    <w:rsid w:val="00E75C92"/>
    <w:rsid w:val="00E771DC"/>
    <w:rsid w:val="00E811FC"/>
    <w:rsid w:val="00E8303B"/>
    <w:rsid w:val="00E8772A"/>
    <w:rsid w:val="00E90F6B"/>
    <w:rsid w:val="00E92C27"/>
    <w:rsid w:val="00E957AA"/>
    <w:rsid w:val="00EA0D95"/>
    <w:rsid w:val="00EA0E3D"/>
    <w:rsid w:val="00EC38A7"/>
    <w:rsid w:val="00ED49A3"/>
    <w:rsid w:val="00ED59BF"/>
    <w:rsid w:val="00ED5CFE"/>
    <w:rsid w:val="00EE1AA8"/>
    <w:rsid w:val="00EF2C32"/>
    <w:rsid w:val="00F00A73"/>
    <w:rsid w:val="00F14EF9"/>
    <w:rsid w:val="00F23FEA"/>
    <w:rsid w:val="00F31EDC"/>
    <w:rsid w:val="00F346E0"/>
    <w:rsid w:val="00F3763B"/>
    <w:rsid w:val="00F40262"/>
    <w:rsid w:val="00F462B3"/>
    <w:rsid w:val="00F5664F"/>
    <w:rsid w:val="00F63BB8"/>
    <w:rsid w:val="00F63C8D"/>
    <w:rsid w:val="00F666C4"/>
    <w:rsid w:val="00F6710F"/>
    <w:rsid w:val="00F702B4"/>
    <w:rsid w:val="00F72974"/>
    <w:rsid w:val="00F76AFC"/>
    <w:rsid w:val="00F76BB5"/>
    <w:rsid w:val="00F76CA5"/>
    <w:rsid w:val="00F776C6"/>
    <w:rsid w:val="00F85641"/>
    <w:rsid w:val="00FA47C0"/>
    <w:rsid w:val="00FA4BF0"/>
    <w:rsid w:val="00FB03FA"/>
    <w:rsid w:val="00FB3869"/>
    <w:rsid w:val="00FB4E9E"/>
    <w:rsid w:val="00FB5DD1"/>
    <w:rsid w:val="00FB5E4B"/>
    <w:rsid w:val="00FC2B5D"/>
    <w:rsid w:val="00FF1449"/>
    <w:rsid w:val="00FF2203"/>
    <w:rsid w:val="00FF7963"/>
    <w:rsid w:val="071B8F93"/>
    <w:rsid w:val="09908A09"/>
    <w:rsid w:val="0FF4CCA8"/>
    <w:rsid w:val="13CFC91B"/>
    <w:rsid w:val="19A2EC2C"/>
    <w:rsid w:val="2859CA1B"/>
    <w:rsid w:val="32A4F9CF"/>
    <w:rsid w:val="356CEDFD"/>
    <w:rsid w:val="69614A15"/>
    <w:rsid w:val="6C839BF2"/>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346E0"/>
    <w:rPr>
      <w:rFonts w:ascii="Geomanist Light" w:hAnsi="Geomanist Light"/>
      <w:lang w:val="es-ES"/>
    </w:rPr>
  </w:style>
  <w:style w:type="character" w:customStyle="1" w:styleId="s15">
    <w:name w:val="s15"/>
    <w:basedOn w:val="Fuentedeprrafopredeter"/>
    <w:rsid w:val="00DB3D4D"/>
  </w:style>
  <w:style w:type="paragraph" w:customStyle="1" w:styleId="Appelnotedebasde">
    <w:name w:val="Appel note de bas de..."/>
    <w:basedOn w:val="Normal"/>
    <w:link w:val="Refdenotaalpie"/>
    <w:uiPriority w:val="99"/>
    <w:rsid w:val="00B55A63"/>
    <w:pPr>
      <w:spacing w:line="240" w:lineRule="exact"/>
    </w:pPr>
    <w:rPr>
      <w:vertAlign w:val="superscript"/>
    </w:rPr>
  </w:style>
  <w:style w:type="character" w:customStyle="1" w:styleId="NormalWebCar">
    <w:name w:val="Normal (Web) Car"/>
    <w:link w:val="NormalWeb"/>
    <w:uiPriority w:val="99"/>
    <w:rsid w:val="00B55A63"/>
    <w:rPr>
      <w:rFonts w:ascii="Times New Roman" w:eastAsia="Times New Roman" w:hAnsi="Times New Roman" w:cs="Times New Roman"/>
      <w:sz w:val="24"/>
      <w:szCs w:val="24"/>
      <w:lang w:eastAsia="es-CO"/>
    </w:rPr>
  </w:style>
  <w:style w:type="character" w:customStyle="1" w:styleId="baj">
    <w:name w:val="b_aj"/>
    <w:basedOn w:val="Fuentedeprrafopredeter"/>
    <w:rsid w:val="00B55A63"/>
  </w:style>
  <w:style w:type="character" w:styleId="Refdecomentario">
    <w:name w:val="annotation reference"/>
    <w:basedOn w:val="Fuentedeprrafopredeter"/>
    <w:uiPriority w:val="99"/>
    <w:semiHidden/>
    <w:unhideWhenUsed/>
    <w:rsid w:val="00E8303B"/>
    <w:rPr>
      <w:sz w:val="16"/>
      <w:szCs w:val="16"/>
    </w:rPr>
  </w:style>
  <w:style w:type="paragraph" w:styleId="Textocomentario">
    <w:name w:val="annotation text"/>
    <w:basedOn w:val="Normal"/>
    <w:link w:val="TextocomentarioCar"/>
    <w:uiPriority w:val="99"/>
    <w:unhideWhenUsed/>
    <w:rsid w:val="00E8303B"/>
    <w:pPr>
      <w:spacing w:line="240" w:lineRule="auto"/>
    </w:pPr>
    <w:rPr>
      <w:sz w:val="20"/>
      <w:szCs w:val="20"/>
    </w:rPr>
  </w:style>
  <w:style w:type="character" w:customStyle="1" w:styleId="TextocomentarioCar">
    <w:name w:val="Texto comentario Car"/>
    <w:basedOn w:val="Fuentedeprrafopredeter"/>
    <w:link w:val="Textocomentario"/>
    <w:uiPriority w:val="99"/>
    <w:rsid w:val="00E8303B"/>
    <w:rPr>
      <w:sz w:val="20"/>
      <w:szCs w:val="20"/>
    </w:rPr>
  </w:style>
  <w:style w:type="paragraph" w:styleId="Asuntodelcomentario">
    <w:name w:val="annotation subject"/>
    <w:basedOn w:val="Textocomentario"/>
    <w:next w:val="Textocomentario"/>
    <w:link w:val="AsuntodelcomentarioCar"/>
    <w:uiPriority w:val="99"/>
    <w:semiHidden/>
    <w:unhideWhenUsed/>
    <w:rsid w:val="00E8303B"/>
    <w:rPr>
      <w:b/>
      <w:bCs/>
    </w:rPr>
  </w:style>
  <w:style w:type="character" w:customStyle="1" w:styleId="AsuntodelcomentarioCar">
    <w:name w:val="Asunto del comentario Car"/>
    <w:basedOn w:val="TextocomentarioCar"/>
    <w:link w:val="Asuntodelcomentario"/>
    <w:uiPriority w:val="99"/>
    <w:semiHidden/>
    <w:rsid w:val="00E830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monroy09@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7C59E2-AB34-489E-A7CB-F62F01DF6439}">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5388F83A-B50C-499E-BFE1-452910D6C7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32</Pages>
  <Words>10513</Words>
  <Characters>56983</Characters>
  <Application>Microsoft Office Word</Application>
  <DocSecurity>0</DocSecurity>
  <Lines>1036</Lines>
  <Paragraphs>195</Paragraphs>
  <ScaleCrop>false</ScaleCrop>
  <Company/>
  <LinksUpToDate>false</LinksUpToDate>
  <CharactersWithSpaces>67301</CharactersWithSpaces>
  <SharedDoc>false</SharedDoc>
  <HLinks>
    <vt:vector size="6" baseType="variant">
      <vt:variant>
        <vt:i4>4325435</vt:i4>
      </vt:variant>
      <vt:variant>
        <vt:i4>0</vt:i4>
      </vt:variant>
      <vt:variant>
        <vt:i4>0</vt:i4>
      </vt:variant>
      <vt:variant>
        <vt:i4>5</vt:i4>
      </vt:variant>
      <vt:variant>
        <vt:lpwstr>mailto:azsign@analitica.com.co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2026-02-17T06:56:00Z</dcterms:created>
  <dcterms:modified xsi:type="dcterms:W3CDTF">2026-02-17T17:11:00Z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