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F17B3" w14:textId="77777777" w:rsidR="00FF489D" w:rsidRDefault="00FF489D" w:rsidP="00FF489D">
      <w:pPr>
        <w:contextualSpacing/>
        <w:jc w:val="both"/>
        <w:rPr>
          <w:rFonts w:ascii="Verdana" w:hAnsi="Verdana" w:cs="Arial"/>
          <w:b/>
          <w:bCs/>
          <w:color w:val="000000" w:themeColor="text1"/>
        </w:rPr>
      </w:pPr>
      <w:bookmarkStart w:id="0" w:name="_Hlk143780582"/>
      <w:bookmarkStart w:id="1" w:name="_Hlk214366482"/>
      <w:r w:rsidRPr="00FF489D">
        <w:rPr>
          <w:rFonts w:ascii="Verdana" w:hAnsi="Verdana" w:cs="Arial"/>
          <w:b/>
          <w:bCs/>
          <w:color w:val="000000" w:themeColor="text1"/>
        </w:rPr>
        <w:t xml:space="preserve">ÁMBITO DE APLICACIÓN DEL EGCAP A ENTIDADES – Artículo 2 - Decreto 1082 de 2015 </w:t>
      </w:r>
    </w:p>
    <w:p w14:paraId="464CCDFA" w14:textId="77777777" w:rsidR="00FF489D" w:rsidRDefault="00FF489D" w:rsidP="00FF489D">
      <w:pPr>
        <w:contextualSpacing/>
        <w:jc w:val="both"/>
        <w:rPr>
          <w:rFonts w:ascii="Verdana" w:hAnsi="Verdana" w:cs="Arial"/>
          <w:b/>
          <w:bCs/>
          <w:color w:val="000000" w:themeColor="text1"/>
        </w:rPr>
      </w:pPr>
    </w:p>
    <w:p w14:paraId="4DB0E188" w14:textId="707861DC" w:rsidR="00FF489D" w:rsidRPr="00FF489D" w:rsidRDefault="00FF489D" w:rsidP="00FF489D">
      <w:pPr>
        <w:spacing w:after="0" w:line="240" w:lineRule="auto"/>
        <w:contextualSpacing/>
        <w:jc w:val="both"/>
        <w:rPr>
          <w:rFonts w:ascii="Verdana" w:eastAsia="Times New Roman" w:hAnsi="Verdana" w:cs="Arial"/>
          <w:color w:val="000000" w:themeColor="text1"/>
          <w:sz w:val="20"/>
          <w:szCs w:val="20"/>
          <w:lang w:val="es-ES" w:eastAsia="es-ES_tradnl"/>
        </w:rPr>
      </w:pPr>
      <w:r w:rsidRPr="00FF489D">
        <w:rPr>
          <w:rFonts w:ascii="Verdana" w:eastAsia="Times New Roman" w:hAnsi="Verdana" w:cs="Arial"/>
          <w:color w:val="000000" w:themeColor="text1"/>
          <w:sz w:val="20"/>
          <w:szCs w:val="20"/>
          <w:lang w:val="es-ES" w:eastAsia="es-ES_tradnl"/>
        </w:rPr>
        <w:t>El ámbito de aplicación del EGCAP se encuentra en gran medida determinado por lo dispuesto en el artículo 2 de la Ley 80 de 1993.</w:t>
      </w:r>
    </w:p>
    <w:p w14:paraId="17853447" w14:textId="77777777" w:rsidR="00FF489D" w:rsidRPr="00FF489D" w:rsidRDefault="00FF489D" w:rsidP="00FF489D">
      <w:pPr>
        <w:spacing w:after="0" w:line="240" w:lineRule="auto"/>
        <w:contextualSpacing/>
        <w:jc w:val="both"/>
        <w:rPr>
          <w:rFonts w:ascii="Verdana" w:eastAsia="Times New Roman" w:hAnsi="Verdana" w:cs="Arial"/>
          <w:color w:val="000000" w:themeColor="text1"/>
          <w:sz w:val="20"/>
          <w:szCs w:val="20"/>
          <w:lang w:val="es-ES" w:eastAsia="es-ES_tradnl"/>
        </w:rPr>
      </w:pPr>
    </w:p>
    <w:p w14:paraId="68AFF8C3" w14:textId="72EE9D7A" w:rsidR="00FF489D" w:rsidRPr="00FF489D" w:rsidRDefault="00FF489D" w:rsidP="00FF489D">
      <w:pPr>
        <w:spacing w:after="0" w:line="240" w:lineRule="auto"/>
        <w:contextualSpacing/>
        <w:jc w:val="both"/>
        <w:rPr>
          <w:rFonts w:ascii="Verdana" w:eastAsia="Times New Roman" w:hAnsi="Verdana" w:cs="Arial"/>
          <w:color w:val="000000" w:themeColor="text1"/>
          <w:sz w:val="20"/>
          <w:szCs w:val="20"/>
          <w:lang w:val="es-ES" w:eastAsia="es-ES_tradnl"/>
        </w:rPr>
      </w:pPr>
      <w:r w:rsidRPr="00FF489D">
        <w:rPr>
          <w:rFonts w:ascii="Verdana" w:eastAsia="Times New Roman" w:hAnsi="Verdana" w:cs="Arial"/>
          <w:color w:val="000000" w:themeColor="text1"/>
          <w:sz w:val="20"/>
          <w:szCs w:val="20"/>
          <w:lang w:val="es-ES" w:eastAsia="es-ES_tradnl"/>
        </w:rPr>
        <w:t>[…]</w:t>
      </w:r>
    </w:p>
    <w:p w14:paraId="21B2F2FC" w14:textId="77777777" w:rsidR="00FF489D" w:rsidRPr="00FF489D" w:rsidRDefault="00FF489D" w:rsidP="00FF489D">
      <w:pPr>
        <w:spacing w:after="0" w:line="240" w:lineRule="auto"/>
        <w:contextualSpacing/>
        <w:jc w:val="both"/>
        <w:rPr>
          <w:rFonts w:ascii="Verdana" w:eastAsia="Times New Roman" w:hAnsi="Verdana" w:cs="Arial"/>
          <w:color w:val="000000" w:themeColor="text1"/>
          <w:sz w:val="20"/>
          <w:szCs w:val="20"/>
          <w:lang w:val="es-ES" w:eastAsia="es-ES_tradnl"/>
        </w:rPr>
      </w:pPr>
    </w:p>
    <w:p w14:paraId="397F5485" w14:textId="52E53966" w:rsidR="00FF489D" w:rsidRPr="00FF489D" w:rsidRDefault="00FF489D" w:rsidP="00FF489D">
      <w:pPr>
        <w:spacing w:after="0" w:line="240" w:lineRule="auto"/>
        <w:jc w:val="both"/>
        <w:rPr>
          <w:rFonts w:ascii="Verdana" w:eastAsia="Times New Roman" w:hAnsi="Verdana" w:cs="Arial"/>
          <w:color w:val="000000" w:themeColor="text1"/>
          <w:sz w:val="20"/>
          <w:szCs w:val="20"/>
          <w:lang w:val="es-ES" w:eastAsia="es-ES_tradnl"/>
        </w:rPr>
      </w:pPr>
      <w:r w:rsidRPr="00FF489D">
        <w:rPr>
          <w:rFonts w:ascii="Verdana" w:eastAsia="Times New Roman" w:hAnsi="Verdana" w:cs="Arial"/>
          <w:color w:val="000000" w:themeColor="text1"/>
          <w:sz w:val="20"/>
          <w:szCs w:val="20"/>
          <w:lang w:val="es-ES" w:eastAsia="es-ES_tradnl"/>
        </w:rPr>
        <w:t>Conforme se aprecia, esta norma hace alusión a una serie de personas jurídicas públicas ubicadas en distintos órdenes y niveles de la Administración Pública, a efectos de predicar respecto a estas la calidad de entidades estatales. Dicha calidad, de conformidad con lo establecido en el artículo 1 de la Ley 80 de 1993, en principio, implica que el régimen contractual aplicable a los sujetos referidos en la norma sea el Estatuto General de Contratación de la Administración Pública – en adelante EGCAP</w:t>
      </w:r>
      <w:r>
        <w:rPr>
          <w:rFonts w:ascii="Verdana" w:eastAsia="Times New Roman" w:hAnsi="Verdana" w:cs="Arial"/>
          <w:color w:val="000000" w:themeColor="text1"/>
          <w:sz w:val="20"/>
          <w:szCs w:val="20"/>
          <w:lang w:val="es-ES" w:eastAsia="es-ES_tradnl"/>
        </w:rPr>
        <w:t>.</w:t>
      </w:r>
      <w:r w:rsidRPr="00FF489D">
        <w:rPr>
          <w:rFonts w:ascii="Verdana" w:eastAsia="Times New Roman" w:hAnsi="Verdana" w:cs="Arial"/>
          <w:color w:val="000000" w:themeColor="text1"/>
          <w:sz w:val="20"/>
          <w:szCs w:val="20"/>
          <w:lang w:val="es-ES" w:eastAsia="es-ES_tradnl"/>
        </w:rPr>
        <w:t xml:space="preserve"> </w:t>
      </w:r>
    </w:p>
    <w:p w14:paraId="1C677BA3" w14:textId="77777777" w:rsidR="00FF489D" w:rsidRDefault="00FF489D" w:rsidP="00FF489D">
      <w:pPr>
        <w:contextualSpacing/>
        <w:jc w:val="both"/>
        <w:rPr>
          <w:rFonts w:ascii="Verdana" w:eastAsia="Times New Roman" w:hAnsi="Verdana" w:cs="Arial"/>
          <w:color w:val="000000" w:themeColor="text1"/>
          <w:lang w:val="es-ES" w:eastAsia="es-ES_tradnl"/>
        </w:rPr>
      </w:pPr>
    </w:p>
    <w:p w14:paraId="39A8FC62" w14:textId="4CC393EC" w:rsidR="008A7481" w:rsidRDefault="008A7481" w:rsidP="008A7481">
      <w:pPr>
        <w:contextualSpacing/>
        <w:jc w:val="both"/>
        <w:rPr>
          <w:rFonts w:ascii="Verdana" w:eastAsia="Times New Roman" w:hAnsi="Verdana" w:cs="Arial"/>
          <w:color w:val="000000" w:themeColor="text1"/>
          <w:sz w:val="20"/>
          <w:szCs w:val="20"/>
          <w:lang w:val="es-ES" w:eastAsia="es-ES_tradnl"/>
        </w:rPr>
      </w:pPr>
      <w:r w:rsidRPr="008A7481">
        <w:rPr>
          <w:rFonts w:ascii="Verdana" w:eastAsia="Times New Roman" w:hAnsi="Verdana" w:cs="Arial"/>
          <w:color w:val="000000" w:themeColor="text1"/>
          <w:sz w:val="20"/>
          <w:szCs w:val="20"/>
          <w:lang w:val="es-ES" w:eastAsia="es-ES_tradnl"/>
        </w:rPr>
        <w:t>De acuerdo con lo anterior, resulta claro que entidades como la Nación, los departamentos, municipios, establecimientos públicos y asociaciones de municipios, obedecen a la noción de entidades estatales establecida por el literal a) del artículo 2 numeral 1 de la Ley 80 de 1993, de lo que se colige que se encuentran regidas por régimen de contratación pública. En principio, lo mismo podría predicarse de entidades como las empresas industriales y comerciales del Estado, las sociedades de economía mixta en las que el Estado tenga una participación superior al cincuenta por ciento (50%), las entidades descentralizadas indirectas y las demás personas jurídicas en las que exista una participación pública mayoritaria.</w:t>
      </w:r>
    </w:p>
    <w:p w14:paraId="398909EF" w14:textId="77777777" w:rsidR="008A7481" w:rsidRDefault="008A7481" w:rsidP="008A7481">
      <w:pPr>
        <w:contextualSpacing/>
        <w:jc w:val="both"/>
        <w:rPr>
          <w:rFonts w:ascii="Verdana" w:eastAsia="Times New Roman" w:hAnsi="Verdana" w:cs="Arial"/>
          <w:color w:val="000000" w:themeColor="text1"/>
          <w:sz w:val="20"/>
          <w:szCs w:val="20"/>
          <w:lang w:val="es-ES" w:eastAsia="es-ES_tradnl"/>
        </w:rPr>
      </w:pPr>
    </w:p>
    <w:p w14:paraId="440DE146" w14:textId="369C328B" w:rsidR="008A7481" w:rsidRDefault="008A7481" w:rsidP="008A7481">
      <w:pPr>
        <w:contextualSpacing/>
        <w:jc w:val="both"/>
        <w:rPr>
          <w:rFonts w:ascii="Verdana" w:eastAsia="Times New Roman" w:hAnsi="Verdana" w:cs="Arial"/>
          <w:color w:val="000000" w:themeColor="text1"/>
          <w:sz w:val="20"/>
          <w:szCs w:val="20"/>
          <w:lang w:val="es-ES" w:eastAsia="es-ES_tradnl"/>
        </w:rPr>
      </w:pPr>
      <w:r>
        <w:rPr>
          <w:rFonts w:ascii="Verdana" w:eastAsia="Times New Roman" w:hAnsi="Verdana" w:cs="Arial"/>
          <w:color w:val="000000" w:themeColor="text1"/>
          <w:sz w:val="20"/>
          <w:szCs w:val="20"/>
          <w:lang w:val="es-ES" w:eastAsia="es-ES_tradnl"/>
        </w:rPr>
        <w:t xml:space="preserve">[…] </w:t>
      </w:r>
    </w:p>
    <w:p w14:paraId="71D1B9CA" w14:textId="77777777" w:rsidR="008A7481" w:rsidRDefault="008A7481" w:rsidP="008A7481">
      <w:pPr>
        <w:contextualSpacing/>
        <w:jc w:val="both"/>
        <w:rPr>
          <w:rFonts w:ascii="Verdana" w:eastAsia="Times New Roman" w:hAnsi="Verdana" w:cs="Arial"/>
          <w:color w:val="000000" w:themeColor="text1"/>
          <w:sz w:val="20"/>
          <w:szCs w:val="20"/>
          <w:lang w:val="es-ES" w:eastAsia="es-ES_tradnl"/>
        </w:rPr>
      </w:pPr>
    </w:p>
    <w:p w14:paraId="1C1CEF12" w14:textId="17BE7E3A" w:rsidR="008A7481" w:rsidRDefault="008A7481" w:rsidP="008A7481">
      <w:pPr>
        <w:contextualSpacing/>
        <w:jc w:val="both"/>
        <w:rPr>
          <w:rFonts w:ascii="Verdana" w:eastAsia="Times New Roman" w:hAnsi="Verdana" w:cs="Arial"/>
          <w:color w:val="000000" w:themeColor="text1"/>
          <w:sz w:val="20"/>
          <w:szCs w:val="20"/>
          <w:lang w:val="es-ES" w:eastAsia="es-ES_tradnl"/>
        </w:rPr>
      </w:pPr>
      <w:r w:rsidRPr="008A7481">
        <w:rPr>
          <w:rFonts w:ascii="Verdana" w:eastAsia="Times New Roman" w:hAnsi="Verdana" w:cs="Arial"/>
          <w:color w:val="000000" w:themeColor="text1"/>
          <w:sz w:val="20"/>
          <w:szCs w:val="20"/>
          <w:lang w:val="es-ES" w:eastAsia="es-ES_tradnl"/>
        </w:rPr>
        <w:t>Es importante anotar que, el artículo 2.2.1.1.1.3.1 del Decreto 1082 de 2015 establece una definición de Entidad Estatal, la cual abarca no solo a las referidas en el artículo 2 de la Ley 80 de 1993, sino también a entidades referidas en otras disposiciones. Según esta definición constituyen entidades estatales: “Cada una de las entidades: (a) a las que se refiere el artículo 2° de la Ley 80 de 1993; (b) a las que se refieren los artículos 10, 14 y 24 de la Ley 1150 de 2007 y (c) aquellas entidades que por disposición de la ley deban aplicar la Ley 80 de 1993 y la Ley 1150 de 2007, o las normas que las modifiquen, aclaren, adicionen o sustituyan”. Al tenor de esta definición, no solo constituyen entidades estatales las mencionadas en el artículo 2 de la Ley 80 de 1993, sino también las mencionadas en los artículos 10, 14 y 24 de la Ley 1150 de 2007.</w:t>
      </w:r>
    </w:p>
    <w:p w14:paraId="67D4B459" w14:textId="77777777" w:rsidR="008A7481" w:rsidRDefault="008A7481" w:rsidP="008A7481">
      <w:pPr>
        <w:contextualSpacing/>
        <w:jc w:val="both"/>
        <w:rPr>
          <w:rFonts w:ascii="Verdana" w:eastAsia="Times New Roman" w:hAnsi="Verdana" w:cs="Arial"/>
          <w:color w:val="000000" w:themeColor="text1"/>
          <w:sz w:val="20"/>
          <w:szCs w:val="20"/>
          <w:lang w:val="es-ES" w:eastAsia="es-ES_tradnl"/>
        </w:rPr>
      </w:pPr>
    </w:p>
    <w:p w14:paraId="586D9270" w14:textId="77777777" w:rsidR="00FF489D" w:rsidRDefault="00FF489D" w:rsidP="00FF489D">
      <w:pPr>
        <w:contextualSpacing/>
        <w:jc w:val="both"/>
        <w:rPr>
          <w:rFonts w:ascii="Verdana" w:hAnsi="Verdana" w:cs="Arial"/>
          <w:b/>
          <w:bCs/>
          <w:color w:val="000000" w:themeColor="text1"/>
        </w:rPr>
      </w:pPr>
      <w:r w:rsidRPr="00FF489D">
        <w:rPr>
          <w:rFonts w:ascii="Verdana" w:hAnsi="Verdana" w:cs="Arial"/>
          <w:b/>
          <w:bCs/>
          <w:color w:val="000000" w:themeColor="text1"/>
        </w:rPr>
        <w:t xml:space="preserve">CAPACIDAD JURÍDICA – Alcance </w:t>
      </w:r>
    </w:p>
    <w:p w14:paraId="1B9A6243" w14:textId="77777777" w:rsidR="008A7481" w:rsidRDefault="008A7481" w:rsidP="003E21A9">
      <w:pPr>
        <w:spacing w:after="0" w:line="240" w:lineRule="auto"/>
        <w:contextualSpacing/>
        <w:jc w:val="both"/>
        <w:rPr>
          <w:rFonts w:ascii="Verdana" w:hAnsi="Verdana" w:cs="Arial"/>
          <w:b/>
          <w:bCs/>
          <w:color w:val="000000" w:themeColor="text1"/>
        </w:rPr>
      </w:pPr>
    </w:p>
    <w:p w14:paraId="105190C5" w14:textId="22FA9ED7" w:rsidR="008A7481" w:rsidRPr="008A7481" w:rsidRDefault="008A7481" w:rsidP="008A7481">
      <w:pPr>
        <w:widowControl w:val="0"/>
        <w:autoSpaceDE w:val="0"/>
        <w:autoSpaceDN w:val="0"/>
        <w:spacing w:after="0" w:line="240" w:lineRule="auto"/>
        <w:ind w:right="102"/>
        <w:jc w:val="both"/>
        <w:rPr>
          <w:rFonts w:ascii="Verdana" w:eastAsia="Arial" w:hAnsi="Verdana" w:cs="Arial"/>
          <w:sz w:val="20"/>
          <w:szCs w:val="20"/>
          <w:lang w:val="es-ES"/>
        </w:rPr>
      </w:pPr>
      <w:r>
        <w:rPr>
          <w:rFonts w:ascii="Verdana" w:eastAsia="Arial" w:hAnsi="Verdana" w:cs="Arial"/>
          <w:sz w:val="20"/>
          <w:szCs w:val="20"/>
          <w:lang w:val="es-ES"/>
        </w:rPr>
        <w:t xml:space="preserve">[…] </w:t>
      </w:r>
      <w:r w:rsidRPr="008A7481">
        <w:rPr>
          <w:rFonts w:ascii="Verdana" w:eastAsia="Arial" w:hAnsi="Verdana" w:cs="Arial"/>
          <w:sz w:val="20"/>
          <w:szCs w:val="20"/>
          <w:lang w:val="es-ES"/>
        </w:rPr>
        <w:t xml:space="preserve">uno de los presupuestos para celebrar un contrato estatal, al igual que para celebrar cualquier otro negocio jurídico de forma válida, es el de gozar de capacidad jurídica entendida como la aptitud de un sujeto para ser titular de derecho y obligaciones, </w:t>
      </w:r>
      <w:r w:rsidRPr="008A7481">
        <w:rPr>
          <w:rFonts w:ascii="Verdana" w:eastAsia="Arial" w:hAnsi="Verdana" w:cs="Arial"/>
          <w:spacing w:val="3"/>
          <w:sz w:val="20"/>
          <w:szCs w:val="20"/>
          <w:lang w:val="es-ES"/>
        </w:rPr>
        <w:t xml:space="preserve">de </w:t>
      </w:r>
      <w:r w:rsidRPr="008A7481">
        <w:rPr>
          <w:rFonts w:ascii="Verdana" w:eastAsia="Arial" w:hAnsi="Verdana" w:cs="Arial"/>
          <w:sz w:val="20"/>
          <w:szCs w:val="20"/>
          <w:lang w:val="es-ES"/>
        </w:rPr>
        <w:lastRenderedPageBreak/>
        <w:t>ejercer o exigir los primeros y contraer las segundas en forma personal y de comparecer en juicio. La capacidad jurídica permite crear, modificar o extinguir relaciones jurídicas de forma voluntaria y</w:t>
      </w:r>
      <w:r w:rsidRPr="008A7481">
        <w:rPr>
          <w:rFonts w:ascii="Verdana" w:eastAsia="Arial" w:hAnsi="Verdana" w:cs="Arial"/>
          <w:spacing w:val="-5"/>
          <w:sz w:val="20"/>
          <w:szCs w:val="20"/>
          <w:lang w:val="es-ES"/>
        </w:rPr>
        <w:t xml:space="preserve"> </w:t>
      </w:r>
      <w:r w:rsidRPr="008A7481">
        <w:rPr>
          <w:rFonts w:ascii="Verdana" w:eastAsia="Arial" w:hAnsi="Verdana" w:cs="Arial"/>
          <w:sz w:val="20"/>
          <w:szCs w:val="20"/>
          <w:lang w:val="es-ES"/>
        </w:rPr>
        <w:t>autónoma. La capacidad, de acuerdo con lo establecido en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–artículos 1502, 1503 y 1504–, y de que la capacidad de las personas jurídicas se circunscribe a lo expresado en su objeto social y su forma de</w:t>
      </w:r>
      <w:r w:rsidRPr="008A7481">
        <w:rPr>
          <w:rFonts w:ascii="Verdana" w:eastAsia="Arial" w:hAnsi="Verdana" w:cs="Arial"/>
          <w:spacing w:val="-13"/>
          <w:sz w:val="20"/>
          <w:szCs w:val="20"/>
          <w:lang w:val="es-ES"/>
        </w:rPr>
        <w:t xml:space="preserve"> </w:t>
      </w:r>
      <w:r w:rsidRPr="008A7481">
        <w:rPr>
          <w:rFonts w:ascii="Verdana" w:eastAsia="Arial" w:hAnsi="Verdana" w:cs="Arial"/>
          <w:sz w:val="20"/>
          <w:szCs w:val="20"/>
          <w:lang w:val="es-ES"/>
        </w:rPr>
        <w:t>creación.</w:t>
      </w:r>
    </w:p>
    <w:p w14:paraId="16F6BFA3" w14:textId="77777777" w:rsidR="008A7481" w:rsidRPr="008A7481" w:rsidRDefault="008A7481" w:rsidP="00FF489D">
      <w:pPr>
        <w:spacing w:after="0" w:line="240" w:lineRule="auto"/>
        <w:contextualSpacing/>
        <w:jc w:val="both"/>
        <w:rPr>
          <w:rFonts w:ascii="Verdana" w:hAnsi="Verdana" w:cs="Arial"/>
          <w:b/>
          <w:bCs/>
          <w:color w:val="000000" w:themeColor="text1"/>
          <w:lang w:val="es-ES"/>
        </w:rPr>
      </w:pPr>
    </w:p>
    <w:p w14:paraId="0DAF7ADB" w14:textId="77777777" w:rsidR="00FF489D" w:rsidRDefault="00FF489D" w:rsidP="00FF489D">
      <w:pPr>
        <w:contextualSpacing/>
        <w:jc w:val="both"/>
        <w:rPr>
          <w:rFonts w:ascii="Verdana" w:hAnsi="Verdana" w:cs="Arial"/>
          <w:b/>
          <w:bCs/>
          <w:color w:val="000000" w:themeColor="text1"/>
        </w:rPr>
      </w:pPr>
      <w:r w:rsidRPr="00FF489D">
        <w:rPr>
          <w:rFonts w:ascii="Verdana" w:hAnsi="Verdana" w:cs="Arial"/>
          <w:b/>
          <w:bCs/>
          <w:color w:val="000000" w:themeColor="text1"/>
        </w:rPr>
        <w:t xml:space="preserve">CONSEJOS PROFESIONALES – Naturaleza – Sui generis </w:t>
      </w:r>
    </w:p>
    <w:p w14:paraId="0729B721" w14:textId="77777777" w:rsidR="008A7481" w:rsidRDefault="008A7481" w:rsidP="003E21A9">
      <w:pPr>
        <w:spacing w:after="0" w:line="240" w:lineRule="auto"/>
        <w:contextualSpacing/>
        <w:jc w:val="both"/>
        <w:rPr>
          <w:rFonts w:ascii="Verdana" w:hAnsi="Verdana" w:cs="Arial"/>
          <w:b/>
          <w:bCs/>
          <w:color w:val="000000" w:themeColor="text1"/>
        </w:rPr>
      </w:pPr>
    </w:p>
    <w:p w14:paraId="6027FB28" w14:textId="77777777" w:rsidR="008A7481" w:rsidRDefault="008A7481" w:rsidP="008A7481">
      <w:pPr>
        <w:spacing w:after="0" w:line="240" w:lineRule="auto"/>
        <w:jc w:val="both"/>
        <w:rPr>
          <w:rFonts w:ascii="Verdana" w:hAnsi="Verdana" w:cs="Arial"/>
          <w:sz w:val="20"/>
          <w:szCs w:val="20"/>
        </w:rPr>
      </w:pPr>
      <w:r w:rsidRPr="008A7481">
        <w:rPr>
          <w:rFonts w:ascii="Verdana" w:hAnsi="Verdana" w:cs="Arial"/>
          <w:sz w:val="20"/>
          <w:szCs w:val="20"/>
        </w:rPr>
        <w:t xml:space="preserve">De acuerdo con lo anterior, en términos generales, los consejos profesionales son órganos creados por el Estado para ejercer la función de inspección y vigilancia sobre las profesiones. Su creación es legal, generalmente sin personería jurídica, adscritos a un ministerio y su conformación está integrada por servidores públicos y particulares que representan a los que ejercen la profesión, con la finalidad de controlar o supervisar el adecuado ejercicio de la misma, según las reglas y principios que le resultan aplicables, función que tiene sustento en la potestad de regulación legal y de inspección y vigilancia de las autoridades sobre el libre ejercicio de las profesiones en Colombia según el artículo 26 de la Constitución Política. </w:t>
      </w:r>
    </w:p>
    <w:p w14:paraId="085FDA89" w14:textId="77777777" w:rsidR="008A7481" w:rsidRDefault="008A7481" w:rsidP="008A7481">
      <w:pPr>
        <w:spacing w:after="0" w:line="240" w:lineRule="auto"/>
        <w:jc w:val="both"/>
        <w:rPr>
          <w:rFonts w:ascii="Verdana" w:hAnsi="Verdana" w:cs="Arial"/>
          <w:sz w:val="20"/>
          <w:szCs w:val="20"/>
        </w:rPr>
      </w:pPr>
    </w:p>
    <w:p w14:paraId="0778BB1D" w14:textId="78DB1920" w:rsidR="008A7481" w:rsidRPr="008A7481" w:rsidRDefault="008A7481" w:rsidP="008A7481">
      <w:pPr>
        <w:spacing w:after="0" w:line="240" w:lineRule="auto"/>
        <w:jc w:val="both"/>
        <w:rPr>
          <w:rFonts w:ascii="Verdana" w:hAnsi="Verdana" w:cs="Arial"/>
          <w:sz w:val="20"/>
          <w:szCs w:val="20"/>
        </w:rPr>
      </w:pPr>
      <w:r w:rsidRPr="008A7481">
        <w:rPr>
          <w:rFonts w:ascii="Verdana" w:hAnsi="Verdana" w:cs="Arial"/>
          <w:color w:val="000000" w:themeColor="text1"/>
          <w:sz w:val="20"/>
          <w:szCs w:val="20"/>
        </w:rPr>
        <w:t>[…]</w:t>
      </w:r>
      <w:r w:rsidRPr="008A7481">
        <w:rPr>
          <w:rFonts w:ascii="Verdana" w:hAnsi="Verdana" w:cs="Arial"/>
          <w:b/>
          <w:bCs/>
          <w:color w:val="000000" w:themeColor="text1"/>
          <w:sz w:val="20"/>
          <w:szCs w:val="20"/>
        </w:rPr>
        <w:t xml:space="preserve"> </w:t>
      </w:r>
      <w:r w:rsidRPr="008A7481">
        <w:rPr>
          <w:rFonts w:ascii="Verdana" w:hAnsi="Verdana" w:cs="Arial"/>
          <w:sz w:val="20"/>
          <w:szCs w:val="20"/>
        </w:rPr>
        <w:t xml:space="preserve">Así  las cosas, los consejos profesionales se consideran de naturaleza </w:t>
      </w:r>
      <w:r w:rsidRPr="008A7481">
        <w:rPr>
          <w:rFonts w:ascii="Verdana" w:hAnsi="Verdana" w:cs="Arial"/>
          <w:i/>
          <w:iCs/>
          <w:sz w:val="20"/>
          <w:szCs w:val="20"/>
        </w:rPr>
        <w:t>sui generis,</w:t>
      </w:r>
      <w:r w:rsidRPr="008A7481">
        <w:rPr>
          <w:rFonts w:ascii="Verdana" w:hAnsi="Verdana" w:cs="Arial"/>
          <w:sz w:val="20"/>
          <w:szCs w:val="20"/>
        </w:rPr>
        <w:t xml:space="preserve"> pues si bien no corresponden a las típicas clasificaciones de los entes públicos que integran los sectores central y descentralizado de la administración pública, sí son entes de naturaleza pública, en razón de su creación legal, su integración, sus funciones y su financiación, que en algunos casos proviene de recursos del presupuesto nacional, pero que en general tiene como fuente el dinero que la ley autoriza recaudar como contraprestación a las actividades que deben cumplir. </w:t>
      </w:r>
    </w:p>
    <w:p w14:paraId="6A7A6D90" w14:textId="3DAEF278" w:rsidR="008A7481" w:rsidRPr="00FF489D" w:rsidRDefault="008A7481" w:rsidP="00FF489D">
      <w:pPr>
        <w:spacing w:after="0" w:line="240" w:lineRule="auto"/>
        <w:contextualSpacing/>
        <w:jc w:val="both"/>
        <w:rPr>
          <w:rFonts w:ascii="Verdana" w:hAnsi="Verdana" w:cs="Arial"/>
          <w:b/>
          <w:bCs/>
          <w:color w:val="000000" w:themeColor="text1"/>
        </w:rPr>
      </w:pPr>
    </w:p>
    <w:p w14:paraId="3409551B" w14:textId="77777777" w:rsidR="00FF489D" w:rsidRDefault="00FF489D" w:rsidP="00FF489D">
      <w:pPr>
        <w:contextualSpacing/>
        <w:jc w:val="both"/>
        <w:rPr>
          <w:rFonts w:ascii="Verdana" w:hAnsi="Verdana" w:cs="Arial"/>
          <w:b/>
          <w:bCs/>
          <w:color w:val="000000" w:themeColor="text1"/>
        </w:rPr>
      </w:pPr>
      <w:r w:rsidRPr="00FF489D">
        <w:rPr>
          <w:rFonts w:ascii="Verdana" w:hAnsi="Verdana" w:cs="Arial"/>
          <w:b/>
          <w:bCs/>
          <w:color w:val="000000" w:themeColor="text1"/>
        </w:rPr>
        <w:t xml:space="preserve">CONSEJOS PROFESIONALES – Régimen jurídico – Ausencia de personería jurídica </w:t>
      </w:r>
    </w:p>
    <w:p w14:paraId="7FAA5898" w14:textId="77777777" w:rsidR="008A7481" w:rsidRDefault="008A7481" w:rsidP="003E21A9">
      <w:pPr>
        <w:spacing w:after="0" w:line="240" w:lineRule="auto"/>
        <w:contextualSpacing/>
        <w:jc w:val="both"/>
        <w:rPr>
          <w:rFonts w:ascii="Verdana" w:hAnsi="Verdana" w:cs="Arial"/>
          <w:b/>
          <w:bCs/>
          <w:color w:val="000000" w:themeColor="text1"/>
        </w:rPr>
      </w:pPr>
    </w:p>
    <w:p w14:paraId="079772E2" w14:textId="12310B3B" w:rsidR="008A7481" w:rsidRPr="008A7481" w:rsidRDefault="008A7481" w:rsidP="003E21A9">
      <w:pPr>
        <w:spacing w:after="0" w:line="240" w:lineRule="auto"/>
        <w:jc w:val="both"/>
        <w:rPr>
          <w:rFonts w:ascii="Verdana" w:eastAsia="Calibri" w:hAnsi="Verdana" w:cs="Arial"/>
          <w:color w:val="000000" w:themeColor="text1"/>
          <w:sz w:val="20"/>
          <w:szCs w:val="20"/>
          <w:lang w:val="es-ES"/>
        </w:rPr>
      </w:pPr>
      <w:r w:rsidRPr="008A7481">
        <w:rPr>
          <w:rFonts w:ascii="Verdana" w:eastAsia="Calibri" w:hAnsi="Verdana" w:cs="Arial"/>
          <w:color w:val="000000" w:themeColor="text1"/>
          <w:sz w:val="20"/>
          <w:szCs w:val="20"/>
          <w:lang w:val="es-ES"/>
        </w:rPr>
        <w:t xml:space="preserve">[…] cuando la ley crea los consejos profesionales sin personería jurídica, estos se constituyen como órganos estatales especiales del sector central nacional de la Administración Pública, titulares de la función administrativa de inspección y vigilancia del ejercicio de las profesiones, pero que, por regla general, carecen de capacidad legal para celebrar contratos, salvo aquellos casos en que la ley de creación o una ley especial les otorgue dicha capacidad, sin que sea posible que la capacidad legal para contratar tenga origen en una norma de inferior jerarquía. </w:t>
      </w:r>
    </w:p>
    <w:p w14:paraId="7065AC7F" w14:textId="77777777" w:rsidR="008A7481" w:rsidRPr="008A7481" w:rsidRDefault="008A7481" w:rsidP="003E21A9">
      <w:pPr>
        <w:spacing w:after="0" w:line="240" w:lineRule="auto"/>
        <w:contextualSpacing/>
        <w:jc w:val="both"/>
        <w:rPr>
          <w:rFonts w:ascii="Verdana" w:hAnsi="Verdana" w:cs="Arial"/>
          <w:b/>
          <w:bCs/>
          <w:color w:val="000000" w:themeColor="text1"/>
          <w:lang w:val="es-ES"/>
        </w:rPr>
      </w:pPr>
    </w:p>
    <w:p w14:paraId="74400104" w14:textId="77777777" w:rsidR="00FF489D" w:rsidRPr="00FF489D" w:rsidRDefault="00FF489D" w:rsidP="00FF489D">
      <w:pPr>
        <w:spacing w:after="0" w:line="240" w:lineRule="auto"/>
        <w:contextualSpacing/>
        <w:jc w:val="both"/>
        <w:rPr>
          <w:rFonts w:ascii="Verdana" w:hAnsi="Verdana" w:cs="Arial"/>
          <w:b/>
          <w:bCs/>
          <w:color w:val="000000" w:themeColor="text1"/>
        </w:rPr>
      </w:pPr>
      <w:r w:rsidRPr="00FF489D">
        <w:rPr>
          <w:rFonts w:ascii="Verdana" w:hAnsi="Verdana" w:cs="Arial"/>
          <w:b/>
          <w:bCs/>
          <w:color w:val="000000" w:themeColor="text1"/>
        </w:rPr>
        <w:t xml:space="preserve">CONSEJO PROFESIONAL DE MEDICINA VETERINARIA Y ZOOTECNIA DE COLOMBIA – Ley 73 de 1985 </w:t>
      </w:r>
    </w:p>
    <w:p w14:paraId="3899AA7D" w14:textId="77777777" w:rsidR="00FF489D" w:rsidRDefault="00FF489D" w:rsidP="00FF489D">
      <w:pPr>
        <w:contextualSpacing/>
        <w:jc w:val="both"/>
        <w:rPr>
          <w:rFonts w:ascii="Verdana" w:hAnsi="Verdana" w:cs="Arial"/>
          <w:b/>
          <w:bCs/>
          <w:color w:val="000000" w:themeColor="text1"/>
        </w:rPr>
      </w:pPr>
    </w:p>
    <w:p w14:paraId="05B1DA50" w14:textId="1E860822" w:rsidR="003E21A9" w:rsidRPr="003E21A9" w:rsidRDefault="003E21A9" w:rsidP="003E21A9">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rPr>
        <w:lastRenderedPageBreak/>
        <w:t xml:space="preserve">[…] el </w:t>
      </w:r>
      <w:r w:rsidRPr="003E21A9">
        <w:rPr>
          <w:rFonts w:ascii="Verdana" w:eastAsia="Calibri" w:hAnsi="Verdana" w:cs="Arial"/>
          <w:color w:val="000000" w:themeColor="text1"/>
          <w:sz w:val="20"/>
          <w:szCs w:val="20"/>
        </w:rPr>
        <w:t>Consejo Profesional de Medicina Veterinaria y Zootecnia</w:t>
      </w:r>
      <w:r w:rsidRPr="003E21A9">
        <w:rPr>
          <w:rFonts w:ascii="Verdana" w:eastAsia="Calibri" w:hAnsi="Verdana" w:cs="Arial"/>
          <w:color w:val="000000" w:themeColor="text1"/>
          <w:sz w:val="20"/>
          <w:szCs w:val="20"/>
          <w:lang w:val="es-ES_tradnl"/>
        </w:rPr>
        <w:t xml:space="preserve"> de Colombia es una entidad pública sui géneris o especial del orden nacional, creado de conformidad con lo dispuesto en el artículo 7 de las Ley 73 de 1985, sin embargo, no se evidencia una norma que indique a </w:t>
      </w:r>
      <w:proofErr w:type="gramStart"/>
      <w:r w:rsidRPr="003E21A9">
        <w:rPr>
          <w:rFonts w:ascii="Verdana" w:eastAsia="Calibri" w:hAnsi="Verdana" w:cs="Arial"/>
          <w:color w:val="000000" w:themeColor="text1"/>
          <w:sz w:val="20"/>
          <w:szCs w:val="20"/>
          <w:lang w:val="es-ES_tradnl"/>
        </w:rPr>
        <w:t>cual</w:t>
      </w:r>
      <w:proofErr w:type="gramEnd"/>
      <w:r w:rsidRPr="003E21A9">
        <w:rPr>
          <w:rFonts w:ascii="Verdana" w:eastAsia="Calibri" w:hAnsi="Verdana" w:cs="Arial"/>
          <w:color w:val="000000" w:themeColor="text1"/>
          <w:sz w:val="20"/>
          <w:szCs w:val="20"/>
          <w:lang w:val="es-ES_tradnl"/>
        </w:rPr>
        <w:t xml:space="preserve"> entidad con personería jurídica está adscrita o vinculada. </w:t>
      </w:r>
    </w:p>
    <w:p w14:paraId="326C742E" w14:textId="77777777" w:rsidR="003E21A9" w:rsidRPr="003E21A9" w:rsidRDefault="003E21A9" w:rsidP="00FF489D">
      <w:pPr>
        <w:spacing w:after="0" w:line="240" w:lineRule="auto"/>
        <w:contextualSpacing/>
        <w:jc w:val="both"/>
        <w:rPr>
          <w:rFonts w:ascii="Verdana" w:hAnsi="Verdana" w:cs="Arial"/>
          <w:b/>
          <w:bCs/>
          <w:color w:val="000000" w:themeColor="text1"/>
          <w:lang w:val="es-ES_tradnl"/>
        </w:rPr>
      </w:pPr>
    </w:p>
    <w:p w14:paraId="1AEBBB14" w14:textId="77777777" w:rsidR="00FF489D" w:rsidRDefault="00FF489D" w:rsidP="00FF489D">
      <w:pPr>
        <w:contextualSpacing/>
        <w:jc w:val="both"/>
        <w:rPr>
          <w:rFonts w:ascii="Verdana" w:hAnsi="Verdana" w:cs="Arial"/>
          <w:b/>
          <w:bCs/>
          <w:color w:val="000000" w:themeColor="text1"/>
        </w:rPr>
      </w:pPr>
      <w:r w:rsidRPr="00FF489D">
        <w:rPr>
          <w:rFonts w:ascii="Verdana" w:hAnsi="Verdana" w:cs="Arial"/>
          <w:b/>
          <w:bCs/>
          <w:color w:val="000000" w:themeColor="text1"/>
        </w:rPr>
        <w:t xml:space="preserve">CONSEJO PROFESIONAL DE MEDICINA VETERINARIA Y ZOOTECNIA DE COLOMBIA – Ausencia de capacidad jurídica para contratar </w:t>
      </w:r>
    </w:p>
    <w:p w14:paraId="77C39C74" w14:textId="77777777" w:rsidR="003E21A9" w:rsidRDefault="003E21A9" w:rsidP="00FF489D">
      <w:pPr>
        <w:contextualSpacing/>
        <w:jc w:val="both"/>
        <w:rPr>
          <w:rFonts w:ascii="Verdana" w:hAnsi="Verdana" w:cs="Arial"/>
          <w:b/>
          <w:bCs/>
          <w:color w:val="000000" w:themeColor="text1"/>
        </w:rPr>
      </w:pPr>
    </w:p>
    <w:p w14:paraId="24B7571C" w14:textId="77777777" w:rsidR="003E21A9" w:rsidRPr="003E21A9" w:rsidRDefault="003E21A9" w:rsidP="003E21A9">
      <w:pPr>
        <w:spacing w:after="0" w:line="240" w:lineRule="auto"/>
        <w:jc w:val="both"/>
        <w:rPr>
          <w:rFonts w:ascii="Verdana" w:eastAsia="Calibri" w:hAnsi="Verdana" w:cs="Arial"/>
          <w:color w:val="000000" w:themeColor="text1"/>
          <w:sz w:val="20"/>
          <w:szCs w:val="20"/>
          <w:lang w:val="es-ES_tradnl"/>
        </w:rPr>
      </w:pPr>
      <w:r w:rsidRPr="003E21A9">
        <w:rPr>
          <w:rFonts w:ascii="Verdana" w:eastAsia="Calibri" w:hAnsi="Verdana" w:cs="Arial"/>
          <w:color w:val="000000" w:themeColor="text1"/>
          <w:sz w:val="20"/>
          <w:szCs w:val="20"/>
          <w:lang w:val="es-ES_tradnl"/>
        </w:rPr>
        <w:t>Como se puede observar, la ley de creación del Consejo Profesional de Medicina Veterinaria y de Zootecnia de Colombia no determinó ningún aspecto adicional o especial respecto del régimen jurídico aplicable al órgano creado. Así las cosas, no existe, en la ley que dio vida jurídica ni en los demás instrumentos normativos que rigen su funcionalidad, una norma que le haya otorgado personería jurídica ni capacidad legal para celebrar contratos estatales o convenios o contratos interadministrativos.</w:t>
      </w:r>
    </w:p>
    <w:p w14:paraId="7EDEA91E" w14:textId="77777777" w:rsidR="003E21A9" w:rsidRDefault="003E21A9" w:rsidP="003E21A9">
      <w:pPr>
        <w:spacing w:after="0" w:line="240" w:lineRule="auto"/>
        <w:jc w:val="both"/>
        <w:rPr>
          <w:rFonts w:ascii="Verdana" w:eastAsia="Calibri" w:hAnsi="Verdana" w:cs="Arial"/>
          <w:color w:val="000000" w:themeColor="text1"/>
          <w:sz w:val="20"/>
          <w:szCs w:val="20"/>
          <w:lang w:val="es-ES_tradnl"/>
        </w:rPr>
      </w:pPr>
    </w:p>
    <w:p w14:paraId="289589CA" w14:textId="1EBE2002" w:rsidR="003E21A9" w:rsidRPr="003E21A9" w:rsidRDefault="003E21A9" w:rsidP="003E21A9">
      <w:pPr>
        <w:spacing w:after="0" w:line="240" w:lineRule="auto"/>
        <w:jc w:val="both"/>
        <w:rPr>
          <w:rFonts w:ascii="Verdana" w:eastAsia="Calibri" w:hAnsi="Verdana" w:cs="Arial"/>
          <w:color w:val="000000" w:themeColor="text1"/>
          <w:sz w:val="20"/>
          <w:szCs w:val="20"/>
          <w:lang w:val="es-ES_tradnl"/>
        </w:rPr>
      </w:pPr>
      <w:r w:rsidRPr="003E21A9">
        <w:rPr>
          <w:rFonts w:ascii="Verdana" w:eastAsia="Calibri" w:hAnsi="Verdana" w:cs="Arial"/>
          <w:color w:val="000000" w:themeColor="text1"/>
          <w:sz w:val="20"/>
          <w:szCs w:val="20"/>
          <w:lang w:val="es-ES_tradnl"/>
        </w:rPr>
        <w:t xml:space="preserve">Teniendo en cuenta el análisis tanto jurisprudencial y doctrinario expuesto en las consideraciones previas sobre la naturaleza y régimen de los consejos profesionales aplicables para el caso, se concluye que este es un órgano estatal especial, atípico, que cumple función administrativa en el sector central nacional de la Rama Ejecutiva del Poder Público, que no goza del atributo de la personalidad jurídica y, por consiguiente, no tiene capacidad legal para celebrar contratos pues, no fue previsto con esa facultad en el EGCAP, en leyes especiales, ni en la norma de su creación. Por lo anterior, al no tener capacidad jurídica para contratar no está sujeto a las normas que rigen los contratos estatales. </w:t>
      </w:r>
    </w:p>
    <w:p w14:paraId="4DE9FDB8" w14:textId="77777777" w:rsidR="003E21A9" w:rsidRPr="003E21A9" w:rsidRDefault="003E21A9" w:rsidP="00FF489D">
      <w:pPr>
        <w:spacing w:after="0" w:line="240" w:lineRule="auto"/>
        <w:contextualSpacing/>
        <w:jc w:val="both"/>
        <w:rPr>
          <w:rFonts w:ascii="Verdana" w:hAnsi="Verdana" w:cs="Arial"/>
          <w:b/>
          <w:bCs/>
          <w:color w:val="000000" w:themeColor="text1"/>
          <w:lang w:val="es-ES_tradnl"/>
        </w:rPr>
      </w:pPr>
    </w:p>
    <w:p w14:paraId="36D8A146" w14:textId="77777777" w:rsidR="00FF489D" w:rsidRDefault="00FF489D" w:rsidP="00FF489D">
      <w:pPr>
        <w:contextualSpacing/>
        <w:jc w:val="both"/>
        <w:rPr>
          <w:rFonts w:ascii="Verdana" w:eastAsia="Calibri" w:hAnsi="Verdana" w:cs="Arial"/>
          <w:b/>
          <w:bCs/>
          <w:lang w:val="es-MX" w:eastAsia="es-MX"/>
        </w:rPr>
      </w:pPr>
      <w:r w:rsidRPr="00FF489D">
        <w:rPr>
          <w:rFonts w:ascii="Verdana" w:eastAsia="Calibri" w:hAnsi="Verdana" w:cs="Arial"/>
          <w:b/>
          <w:bCs/>
          <w:lang w:val="es-MX" w:eastAsia="es-MX"/>
        </w:rPr>
        <w:t xml:space="preserve">LEY DE GARANTÍAS ELECTORALES – Objetivo </w:t>
      </w:r>
    </w:p>
    <w:p w14:paraId="56B81FF5" w14:textId="77777777" w:rsidR="00F33AA6" w:rsidRDefault="00F33AA6" w:rsidP="00FF489D">
      <w:pPr>
        <w:contextualSpacing/>
        <w:jc w:val="both"/>
        <w:rPr>
          <w:rFonts w:ascii="Verdana" w:eastAsia="Calibri" w:hAnsi="Verdana" w:cs="Arial"/>
          <w:b/>
          <w:bCs/>
          <w:lang w:val="es-MX" w:eastAsia="es-MX"/>
        </w:rPr>
      </w:pPr>
    </w:p>
    <w:p w14:paraId="40B61CFC" w14:textId="2B938FF2" w:rsidR="00F33AA6" w:rsidRPr="00F33AA6" w:rsidRDefault="00F33AA6" w:rsidP="00F33AA6">
      <w:pPr>
        <w:tabs>
          <w:tab w:val="left" w:pos="426"/>
        </w:tabs>
        <w:spacing w:after="0" w:line="240" w:lineRule="auto"/>
        <w:jc w:val="both"/>
        <w:rPr>
          <w:rFonts w:ascii="Verdana" w:eastAsia="Calibri" w:hAnsi="Verdana" w:cs="Arial"/>
          <w:noProof/>
          <w:sz w:val="20"/>
          <w:szCs w:val="20"/>
          <w:lang w:val="es-ES_tradnl"/>
        </w:rPr>
      </w:pPr>
      <w:r w:rsidRPr="00F33AA6">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F33AA6">
        <w:rPr>
          <w:rFonts w:ascii="Verdana" w:eastAsia="Calibri" w:hAnsi="Verdana" w:cs="Arial"/>
          <w:noProof/>
          <w:sz w:val="20"/>
          <w:szCs w:val="20"/>
          <w:lang w:val="es-ES_tradnl"/>
        </w:rPr>
        <w:t xml:space="preserve"> </w:t>
      </w:r>
    </w:p>
    <w:p w14:paraId="049DAD34" w14:textId="77777777" w:rsidR="00FF489D" w:rsidRPr="00F33AA6" w:rsidRDefault="00FF489D" w:rsidP="00FF489D">
      <w:pPr>
        <w:spacing w:after="0" w:line="240" w:lineRule="auto"/>
        <w:contextualSpacing/>
        <w:jc w:val="both"/>
        <w:rPr>
          <w:rFonts w:ascii="Verdana" w:eastAsia="Calibri" w:hAnsi="Verdana" w:cs="Arial"/>
          <w:b/>
          <w:bCs/>
          <w:lang w:val="es-ES_tradnl" w:eastAsia="es-MX"/>
        </w:rPr>
      </w:pPr>
    </w:p>
    <w:p w14:paraId="72A88B5D" w14:textId="77777777" w:rsidR="00FF489D" w:rsidRDefault="00FF489D" w:rsidP="00FF489D">
      <w:pPr>
        <w:contextualSpacing/>
        <w:jc w:val="both"/>
        <w:rPr>
          <w:rFonts w:ascii="Verdana" w:eastAsia="Calibri" w:hAnsi="Verdana" w:cs="Arial"/>
          <w:b/>
          <w:bCs/>
          <w:lang w:val="es-MX" w:eastAsia="es-MX"/>
        </w:rPr>
      </w:pPr>
      <w:r w:rsidRPr="00FF489D">
        <w:rPr>
          <w:rFonts w:ascii="Verdana" w:eastAsia="Calibri" w:hAnsi="Verdana" w:cs="Arial"/>
          <w:b/>
          <w:bCs/>
          <w:lang w:val="es-MX" w:eastAsia="es-MX"/>
        </w:rPr>
        <w:t xml:space="preserve">LEY DE GARANTÍAS ELECTORALES – Prohibiciones </w:t>
      </w:r>
    </w:p>
    <w:p w14:paraId="5501DF8A" w14:textId="77777777" w:rsidR="00F33AA6" w:rsidRDefault="00F33AA6" w:rsidP="00FF489D">
      <w:pPr>
        <w:contextualSpacing/>
        <w:jc w:val="both"/>
        <w:rPr>
          <w:rFonts w:ascii="Verdana" w:eastAsia="Calibri" w:hAnsi="Verdana" w:cs="Arial"/>
          <w:b/>
          <w:bCs/>
          <w:lang w:val="es-MX" w:eastAsia="es-MX"/>
        </w:rPr>
      </w:pPr>
    </w:p>
    <w:p w14:paraId="70E16B7F" w14:textId="2A80D5B7" w:rsidR="00F33AA6" w:rsidRDefault="00F33AA6" w:rsidP="00FF489D">
      <w:pPr>
        <w:contextualSpacing/>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r w:rsidRPr="00F33AA6">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w:t>
      </w:r>
      <w:r w:rsidRPr="00F33AA6">
        <w:rPr>
          <w:rFonts w:ascii="Verdana" w:eastAsia="Arial" w:hAnsi="Verdana" w:cs="Arial"/>
          <w:sz w:val="20"/>
          <w:szCs w:val="20"/>
          <w:lang w:val="es-ES" w:eastAsia="es-ES" w:bidi="es-ES"/>
        </w:rPr>
        <w:lastRenderedPageBreak/>
        <w:t>se adelanten para la elección de los demás cargos de elección popular, tanto a nivel nacional como a nivel territorial.</w:t>
      </w:r>
    </w:p>
    <w:p w14:paraId="19A7685F" w14:textId="77777777" w:rsidR="00F33AA6" w:rsidRDefault="00F33AA6" w:rsidP="00FF489D">
      <w:pPr>
        <w:contextualSpacing/>
        <w:jc w:val="both"/>
        <w:rPr>
          <w:rFonts w:ascii="Verdana" w:eastAsia="Arial" w:hAnsi="Verdana" w:cs="Arial"/>
          <w:sz w:val="20"/>
          <w:szCs w:val="20"/>
          <w:lang w:val="es-ES" w:eastAsia="es-ES" w:bidi="es-ES"/>
        </w:rPr>
      </w:pPr>
    </w:p>
    <w:p w14:paraId="4B27CFD6" w14:textId="77777777" w:rsidR="00FF489D" w:rsidRDefault="00FF489D" w:rsidP="00FF489D">
      <w:pPr>
        <w:contextualSpacing/>
        <w:jc w:val="both"/>
        <w:rPr>
          <w:rFonts w:ascii="Verdana" w:eastAsia="Calibri" w:hAnsi="Verdana" w:cs="Arial"/>
          <w:b/>
          <w:bCs/>
          <w:lang w:val="es-MX"/>
        </w:rPr>
      </w:pPr>
      <w:r w:rsidRPr="00FF489D">
        <w:rPr>
          <w:rFonts w:ascii="Verdana" w:eastAsia="Calibri" w:hAnsi="Verdana" w:cs="Arial"/>
          <w:b/>
          <w:bCs/>
          <w:lang w:val="es-MX"/>
        </w:rPr>
        <w:t xml:space="preserve">LEY DE GARANTÍAS ELECTORALES ─ Prohibición artículo 33 ‒ Contratación directa ‒ Alcance </w:t>
      </w:r>
    </w:p>
    <w:p w14:paraId="4E3EA4A5" w14:textId="77777777" w:rsidR="00B57F3A" w:rsidRDefault="00B57F3A" w:rsidP="00FF489D">
      <w:pPr>
        <w:contextualSpacing/>
        <w:jc w:val="both"/>
        <w:rPr>
          <w:rFonts w:ascii="Verdana" w:eastAsia="Calibri" w:hAnsi="Verdana" w:cs="Arial"/>
          <w:b/>
          <w:bCs/>
          <w:lang w:val="es-MX"/>
        </w:rPr>
      </w:pPr>
    </w:p>
    <w:p w14:paraId="16DA4A57" w14:textId="214CC359" w:rsidR="00B57F3A" w:rsidRPr="00B57F3A" w:rsidRDefault="00B57F3A" w:rsidP="00B57F3A">
      <w:pPr>
        <w:spacing w:after="0" w:line="240" w:lineRule="auto"/>
        <w:contextualSpacing/>
        <w:jc w:val="both"/>
        <w:rPr>
          <w:rFonts w:ascii="Verdana" w:eastAsia="Times New Roman" w:hAnsi="Verdana" w:cs="Arial"/>
          <w:bCs/>
          <w:sz w:val="20"/>
          <w:szCs w:val="20"/>
          <w:lang w:eastAsia="x-none"/>
        </w:rPr>
      </w:pPr>
      <w:r w:rsidRPr="00B57F3A">
        <w:rPr>
          <w:rFonts w:ascii="Verdana" w:eastAsia="Times New Roman" w:hAnsi="Verdana" w:cs="Arial"/>
          <w:bCs/>
          <w:sz w:val="20"/>
          <w:szCs w:val="20"/>
          <w:lang w:eastAsia="x-none"/>
        </w:rPr>
        <w:t>El ámbito material de la prohibición contenida en el artículo 33 de la ley 996 de 2005 está delimitado por la expresión “queda prohibida la contratación directa</w:t>
      </w:r>
      <w:r w:rsidRPr="00B57F3A">
        <w:rPr>
          <w:rFonts w:ascii="Verdana" w:hAnsi="Verdana" w:cs="Arial"/>
          <w:sz w:val="20"/>
          <w:szCs w:val="20"/>
        </w:rPr>
        <w:t>”</w:t>
      </w:r>
      <w:r w:rsidRPr="00B57F3A">
        <w:rPr>
          <w:rFonts w:ascii="Verdana" w:eastAsia="Times New Roman" w:hAnsi="Verdana" w:cs="Arial"/>
          <w:bCs/>
          <w:sz w:val="20"/>
          <w:szCs w:val="20"/>
          <w:lang w:eastAsia="x-none"/>
        </w:rPr>
        <w:t>.</w:t>
      </w:r>
    </w:p>
    <w:p w14:paraId="045691F7" w14:textId="77777777" w:rsidR="00B57F3A" w:rsidRPr="00B57F3A" w:rsidRDefault="00B57F3A" w:rsidP="00B57F3A">
      <w:pPr>
        <w:spacing w:after="0" w:line="240" w:lineRule="auto"/>
        <w:contextualSpacing/>
        <w:jc w:val="both"/>
        <w:rPr>
          <w:rFonts w:ascii="Verdana" w:eastAsia="Times New Roman" w:hAnsi="Verdana" w:cs="Arial"/>
          <w:bCs/>
          <w:sz w:val="20"/>
          <w:szCs w:val="20"/>
          <w:lang w:eastAsia="x-none"/>
        </w:rPr>
      </w:pPr>
    </w:p>
    <w:p w14:paraId="5B0B912D" w14:textId="2DA3BD06" w:rsidR="00B57F3A" w:rsidRPr="00B57F3A" w:rsidRDefault="00B57F3A" w:rsidP="00B57F3A">
      <w:pPr>
        <w:spacing w:after="0" w:line="240" w:lineRule="auto"/>
        <w:contextualSpacing/>
        <w:jc w:val="both"/>
        <w:rPr>
          <w:rFonts w:ascii="Verdana" w:eastAsia="Times New Roman" w:hAnsi="Verdana" w:cs="Arial"/>
          <w:bCs/>
          <w:sz w:val="20"/>
          <w:szCs w:val="20"/>
          <w:lang w:eastAsia="x-none"/>
        </w:rPr>
      </w:pPr>
      <w:r w:rsidRPr="00B57F3A">
        <w:rPr>
          <w:rFonts w:ascii="Verdana" w:eastAsia="Times New Roman" w:hAnsi="Verdana" w:cs="Arial"/>
          <w:bCs/>
          <w:sz w:val="20"/>
          <w:szCs w:val="20"/>
          <w:lang w:eastAsia="x-none"/>
        </w:rPr>
        <w:t>[…]</w:t>
      </w:r>
    </w:p>
    <w:p w14:paraId="3500B25A" w14:textId="77777777" w:rsidR="00B57F3A" w:rsidRPr="00B57F3A" w:rsidRDefault="00B57F3A" w:rsidP="00B57F3A">
      <w:pPr>
        <w:spacing w:after="0" w:line="240" w:lineRule="auto"/>
        <w:contextualSpacing/>
        <w:jc w:val="both"/>
        <w:rPr>
          <w:rFonts w:ascii="Verdana" w:eastAsia="Times New Roman" w:hAnsi="Verdana" w:cs="Arial"/>
          <w:bCs/>
          <w:sz w:val="20"/>
          <w:szCs w:val="20"/>
          <w:lang w:eastAsia="x-none"/>
        </w:rPr>
      </w:pPr>
    </w:p>
    <w:p w14:paraId="48DCF6ED" w14:textId="421AE0A0" w:rsidR="00B57F3A" w:rsidRDefault="00B57F3A" w:rsidP="00B57F3A">
      <w:pPr>
        <w:spacing w:after="0" w:line="240" w:lineRule="auto"/>
        <w:contextualSpacing/>
        <w:jc w:val="both"/>
        <w:rPr>
          <w:rFonts w:ascii="Verdana" w:eastAsia="Times New Roman" w:hAnsi="Verdana" w:cs="Arial"/>
          <w:sz w:val="20"/>
          <w:szCs w:val="20"/>
          <w:lang w:eastAsia="x-none"/>
        </w:rPr>
      </w:pPr>
      <w:r w:rsidRPr="00B57F3A">
        <w:rPr>
          <w:rFonts w:ascii="Verdana" w:eastAsia="Times New Roman" w:hAnsi="Verdana" w:cs="Arial"/>
          <w:sz w:val="20"/>
          <w:szCs w:val="20"/>
          <w:lang w:eastAsia="x-none"/>
        </w:rPr>
        <w:t xml:space="preserve">De conformidad con el citado concepto, la prohibición del artículo 33 de la Ley de Garantías Electorales se refiere a </w:t>
      </w:r>
      <w:r w:rsidRPr="00B57F3A">
        <w:rPr>
          <w:rFonts w:ascii="Verdana" w:eastAsia="Times New Roman" w:hAnsi="Verdana" w:cs="Arial"/>
          <w:sz w:val="20"/>
          <w:szCs w:val="20"/>
          <w:lang w:eastAsia="en-GB"/>
        </w:rPr>
        <w:t>“</w:t>
      </w:r>
      <w:r w:rsidRPr="00B57F3A">
        <w:rPr>
          <w:rFonts w:ascii="Verdana" w:eastAsia="Times New Roman" w:hAnsi="Verdana" w:cs="Arial"/>
          <w:sz w:val="20"/>
          <w:szCs w:val="20"/>
          <w:lang w:eastAsia="x-none"/>
        </w:rPr>
        <w:t>cualquier sistema que no implique convocatoria pública y posibilidad de pluralidad de oferentes</w:t>
      </w:r>
      <w:r w:rsidRPr="00B57F3A">
        <w:rPr>
          <w:rFonts w:ascii="Verdana" w:eastAsia="Times New Roman" w:hAnsi="Verdana" w:cs="Arial"/>
          <w:sz w:val="20"/>
          <w:szCs w:val="20"/>
          <w:lang w:eastAsia="en-GB"/>
        </w:rPr>
        <w:t>”</w:t>
      </w:r>
      <w:r w:rsidRPr="00B57F3A">
        <w:rPr>
          <w:rFonts w:ascii="Verdana" w:eastAsia="Times New Roman"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r>
        <w:rPr>
          <w:rFonts w:ascii="Verdana" w:eastAsia="Times New Roman" w:hAnsi="Verdana" w:cs="Arial"/>
          <w:sz w:val="20"/>
          <w:szCs w:val="20"/>
          <w:lang w:eastAsia="x-none"/>
        </w:rPr>
        <w:t>.</w:t>
      </w:r>
    </w:p>
    <w:p w14:paraId="184BB9DA" w14:textId="77777777" w:rsidR="00B57F3A" w:rsidRDefault="00B57F3A" w:rsidP="00B57F3A">
      <w:pPr>
        <w:spacing w:after="0" w:line="240" w:lineRule="auto"/>
        <w:contextualSpacing/>
        <w:jc w:val="both"/>
        <w:rPr>
          <w:rFonts w:ascii="Verdana" w:eastAsia="Times New Roman" w:hAnsi="Verdana" w:cs="Arial"/>
          <w:sz w:val="20"/>
          <w:szCs w:val="20"/>
          <w:lang w:eastAsia="x-none"/>
        </w:rPr>
      </w:pPr>
    </w:p>
    <w:p w14:paraId="17076D76" w14:textId="1C283B9C" w:rsidR="00B57F3A" w:rsidRDefault="00B57F3A" w:rsidP="00B57F3A">
      <w:pPr>
        <w:spacing w:after="0" w:line="240" w:lineRule="auto"/>
        <w:jc w:val="both"/>
        <w:rPr>
          <w:rFonts w:ascii="Verdana" w:eastAsia="Times New Roman" w:hAnsi="Verdana" w:cs="Arial"/>
          <w:sz w:val="20"/>
          <w:szCs w:val="20"/>
          <w:lang w:eastAsia="x-none"/>
        </w:rPr>
      </w:pPr>
      <w:r w:rsidRPr="00B57F3A">
        <w:rPr>
          <w:rFonts w:ascii="Verdana" w:eastAsia="Times New Roman" w:hAnsi="Verdana" w:cs="Arial"/>
          <w:sz w:val="20"/>
          <w:szCs w:val="20"/>
          <w:lang w:eastAsia="x-none"/>
        </w:rPr>
        <w:t xml:space="preserve">De esta forma, con fundamento en la evolución de la normativa sobre la contratación pública, se ha depurado la noción de </w:t>
      </w:r>
      <w:r w:rsidRPr="00B57F3A">
        <w:rPr>
          <w:rFonts w:ascii="Verdana" w:eastAsia="Times New Roman" w:hAnsi="Verdana" w:cs="Arial"/>
          <w:sz w:val="20"/>
          <w:szCs w:val="20"/>
          <w:lang w:eastAsia="en-GB"/>
        </w:rPr>
        <w:t>«</w:t>
      </w:r>
      <w:r w:rsidRPr="00B57F3A">
        <w:rPr>
          <w:rFonts w:ascii="Verdana" w:eastAsia="Times New Roman" w:hAnsi="Verdana" w:cs="Arial"/>
          <w:sz w:val="20"/>
          <w:szCs w:val="20"/>
          <w:lang w:eastAsia="x-none"/>
        </w:rPr>
        <w:t>contratación directa</w:t>
      </w:r>
      <w:r w:rsidRPr="00B57F3A">
        <w:rPr>
          <w:rFonts w:ascii="Verdana" w:eastAsia="Times New Roman" w:hAnsi="Verdana" w:cs="Arial"/>
          <w:sz w:val="20"/>
          <w:szCs w:val="20"/>
          <w:lang w:eastAsia="en-GB"/>
        </w:rPr>
        <w:t>»</w:t>
      </w:r>
      <w:r w:rsidRPr="00B57F3A">
        <w:rPr>
          <w:rFonts w:ascii="Verdana" w:eastAsia="Times New Roman" w:hAnsi="Verdana" w:cs="Arial"/>
          <w:sz w:val="20"/>
          <w:szCs w:val="20"/>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r w:rsidRPr="00B57F3A">
        <w:rPr>
          <w:rFonts w:ascii="Verdana" w:eastAsia="Times New Roman" w:hAnsi="Verdana" w:cs="Arial"/>
          <w:sz w:val="20"/>
          <w:szCs w:val="20"/>
          <w:lang w:eastAsia="en-GB"/>
        </w:rPr>
        <w:t>”</w:t>
      </w:r>
      <w:r w:rsidRPr="00B57F3A">
        <w:rPr>
          <w:rFonts w:ascii="Verdana" w:eastAsia="Times New Roman" w:hAnsi="Verdana" w:cs="Arial"/>
          <w:sz w:val="20"/>
          <w:szCs w:val="20"/>
          <w:lang w:eastAsia="x-none"/>
        </w:rPr>
        <w:t xml:space="preserve">. </w:t>
      </w:r>
    </w:p>
    <w:p w14:paraId="592A0393" w14:textId="77777777" w:rsidR="00B57F3A" w:rsidRPr="00B57F3A" w:rsidRDefault="00B57F3A" w:rsidP="00B57F3A">
      <w:pPr>
        <w:spacing w:after="0" w:line="240" w:lineRule="auto"/>
        <w:jc w:val="both"/>
        <w:rPr>
          <w:rFonts w:ascii="Verdana" w:eastAsia="Times New Roman" w:hAnsi="Verdana" w:cs="Arial"/>
          <w:sz w:val="20"/>
          <w:szCs w:val="20"/>
          <w:lang w:eastAsia="x-none"/>
        </w:rPr>
      </w:pPr>
    </w:p>
    <w:p w14:paraId="5EC06C4B" w14:textId="220A3981" w:rsidR="00B57F3A" w:rsidRDefault="00B57F3A" w:rsidP="00B57F3A">
      <w:pPr>
        <w:spacing w:after="0" w:line="240" w:lineRule="auto"/>
        <w:contextualSpacing/>
        <w:jc w:val="both"/>
        <w:rPr>
          <w:rFonts w:ascii="Verdana" w:eastAsia="Times New Roman" w:hAnsi="Verdana" w:cs="Arial"/>
          <w:sz w:val="20"/>
          <w:szCs w:val="20"/>
          <w:lang w:eastAsia="x-none"/>
        </w:rPr>
      </w:pPr>
      <w:r w:rsidRPr="00B57F3A">
        <w:rPr>
          <w:rFonts w:ascii="Verdana" w:eastAsia="Times New Roman" w:hAnsi="Verdana" w:cs="Arial"/>
          <w:bCs/>
          <w:sz w:val="20"/>
          <w:szCs w:val="20"/>
          <w:lang w:eastAsia="x-none"/>
        </w:rPr>
        <w:t>E</w:t>
      </w:r>
      <w:r w:rsidRPr="00B57F3A">
        <w:rPr>
          <w:rFonts w:ascii="Verdana" w:eastAsia="Times New Roman" w:hAnsi="Verdana" w:cs="Arial"/>
          <w:sz w:val="20"/>
          <w:szCs w:val="20"/>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p>
    <w:p w14:paraId="4718FD58" w14:textId="77777777" w:rsidR="00B57F3A" w:rsidRDefault="00B57F3A" w:rsidP="00B57F3A">
      <w:pPr>
        <w:spacing w:after="0" w:line="240" w:lineRule="auto"/>
        <w:contextualSpacing/>
        <w:jc w:val="both"/>
        <w:rPr>
          <w:rFonts w:ascii="Verdana" w:eastAsia="Times New Roman" w:hAnsi="Verdana" w:cs="Arial"/>
          <w:sz w:val="20"/>
          <w:szCs w:val="20"/>
          <w:lang w:eastAsia="x-none"/>
        </w:rPr>
      </w:pPr>
    </w:p>
    <w:p w14:paraId="15F47227" w14:textId="77777777" w:rsidR="00B57F3A" w:rsidRDefault="00B57F3A" w:rsidP="00B57F3A">
      <w:pPr>
        <w:spacing w:after="0" w:line="240" w:lineRule="auto"/>
        <w:jc w:val="both"/>
        <w:rPr>
          <w:rFonts w:ascii="Verdana" w:eastAsia="Times New Roman" w:hAnsi="Verdana" w:cs="Arial"/>
          <w:bCs/>
          <w:sz w:val="20"/>
          <w:szCs w:val="20"/>
          <w:lang w:eastAsia="x-none"/>
        </w:rPr>
      </w:pPr>
      <w:r>
        <w:rPr>
          <w:rFonts w:ascii="Verdana" w:eastAsia="Times New Roman" w:hAnsi="Verdana" w:cs="Arial"/>
          <w:bCs/>
          <w:sz w:val="20"/>
          <w:szCs w:val="20"/>
          <w:lang w:eastAsia="x-none"/>
        </w:rPr>
        <w:t xml:space="preserve">[…] </w:t>
      </w:r>
      <w:r w:rsidRPr="00B57F3A">
        <w:rPr>
          <w:rFonts w:ascii="Verdana" w:eastAsia="Times New Roman" w:hAnsi="Verdana" w:cs="Arial"/>
          <w:bCs/>
          <w:sz w:val="20"/>
          <w:szCs w:val="20"/>
          <w:lang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B57F3A">
        <w:rPr>
          <w:rFonts w:ascii="Verdana" w:eastAsia="Times New Roman" w:hAnsi="Verdana" w:cs="Arial"/>
          <w:sz w:val="20"/>
          <w:szCs w:val="20"/>
          <w:vertAlign w:val="superscript"/>
          <w:lang w:eastAsia="x-none"/>
        </w:rPr>
        <w:t xml:space="preserve"> </w:t>
      </w:r>
    </w:p>
    <w:p w14:paraId="72D8B542" w14:textId="0F56F4A7" w:rsidR="00FF489D" w:rsidRDefault="00FF489D" w:rsidP="00B57F3A">
      <w:pPr>
        <w:spacing w:after="0" w:line="240" w:lineRule="auto"/>
        <w:jc w:val="both"/>
        <w:rPr>
          <w:rFonts w:ascii="Verdana" w:eastAsia="Times New Roman" w:hAnsi="Verdana" w:cs="Arial"/>
          <w:b/>
          <w:bCs/>
          <w:lang w:val="es-MX" w:eastAsia="es-CO"/>
        </w:rPr>
      </w:pPr>
      <w:r w:rsidRPr="00FF489D">
        <w:rPr>
          <w:rFonts w:ascii="Verdana" w:eastAsia="Calibri" w:hAnsi="Verdana" w:cs="Arial"/>
          <w:b/>
          <w:bCs/>
          <w:lang w:val="es-MX"/>
        </w:rPr>
        <w:lastRenderedPageBreak/>
        <w:t>LEY DE GARANTÍAS ELECTORALES ─ Prohibición artículo 33 ‒ Contratación directa ‒ Destinatarios</w:t>
      </w:r>
      <w:r w:rsidRPr="00FF489D">
        <w:rPr>
          <w:rFonts w:ascii="Verdana" w:eastAsia="Times New Roman" w:hAnsi="Verdana" w:cs="Arial"/>
          <w:b/>
          <w:bCs/>
          <w:lang w:val="es-MX" w:eastAsia="es-CO"/>
        </w:rPr>
        <w:t xml:space="preserve"> </w:t>
      </w:r>
    </w:p>
    <w:p w14:paraId="4D8C7E6F" w14:textId="77777777" w:rsidR="00B57F3A" w:rsidRPr="00B57F3A" w:rsidRDefault="00B57F3A" w:rsidP="00B57F3A">
      <w:pPr>
        <w:spacing w:after="0" w:line="240" w:lineRule="auto"/>
        <w:jc w:val="both"/>
        <w:rPr>
          <w:rFonts w:ascii="Verdana" w:eastAsia="Times New Roman" w:hAnsi="Verdana" w:cs="Arial"/>
          <w:b/>
          <w:bCs/>
          <w:sz w:val="20"/>
          <w:szCs w:val="20"/>
          <w:lang w:val="es-MX" w:eastAsia="es-CO"/>
        </w:rPr>
      </w:pPr>
    </w:p>
    <w:p w14:paraId="50C615C2" w14:textId="0E8BC083" w:rsidR="00B57F3A" w:rsidRPr="00B57F3A" w:rsidRDefault="00B57F3A" w:rsidP="00B57F3A">
      <w:pPr>
        <w:spacing w:after="0" w:line="240" w:lineRule="auto"/>
        <w:jc w:val="both"/>
        <w:rPr>
          <w:rFonts w:ascii="Verdana" w:hAnsi="Verdana" w:cs="Arial"/>
          <w:color w:val="000000" w:themeColor="text1"/>
          <w:sz w:val="20"/>
          <w:szCs w:val="20"/>
          <w:lang w:val="es-MX"/>
        </w:rPr>
      </w:pPr>
      <w:r w:rsidRPr="00B57F3A">
        <w:rPr>
          <w:rFonts w:ascii="Verdana" w:hAnsi="Verdana" w:cs="Arial"/>
          <w:color w:val="000000" w:themeColor="text1"/>
          <w:sz w:val="20"/>
          <w:szCs w:val="20"/>
          <w:lang w:val="es-MX"/>
        </w:rPr>
        <w:t>[…] en relación con los destinatarios de las restricciones, el artículo 33 de la Ley 996 de 2005 los señala expresamente, en el sentido de que son “</w:t>
      </w:r>
      <w:r w:rsidRPr="00B57F3A">
        <w:rPr>
          <w:rFonts w:ascii="Verdana" w:hAnsi="Verdana" w:cs="Arial"/>
          <w:i/>
          <w:color w:val="000000" w:themeColor="text1"/>
          <w:sz w:val="20"/>
          <w:szCs w:val="20"/>
          <w:lang w:val="es-MX"/>
        </w:rPr>
        <w:t>todos los entes del Estado</w:t>
      </w:r>
      <w:r w:rsidRPr="00B57F3A">
        <w:rPr>
          <w:rFonts w:ascii="Verdana" w:hAnsi="Verdana" w:cs="Arial"/>
          <w:color w:val="000000" w:themeColor="text1"/>
          <w:sz w:val="20"/>
          <w:szCs w:val="20"/>
          <w:lang w:val="es-MX"/>
        </w:rPr>
        <w:t xml:space="preserve">”, expresión que contempla a los diferentes organismos o entidades </w:t>
      </w:r>
      <w:r w:rsidRPr="00B57F3A">
        <w:rPr>
          <w:rFonts w:ascii="Verdana" w:hAnsi="Verdana" w:cs="Arial"/>
          <w:b/>
          <w:bCs/>
          <w:color w:val="000000" w:themeColor="text1"/>
          <w:sz w:val="20"/>
          <w:szCs w:val="20"/>
          <w:u w:val="single"/>
          <w:lang w:val="es-MX"/>
        </w:rPr>
        <w:t xml:space="preserve">autorizadas por la ley para suscribir contratos </w:t>
      </w:r>
      <w:r w:rsidRPr="00B57F3A">
        <w:rPr>
          <w:rFonts w:ascii="Verdana" w:hAnsi="Verdana" w:cs="Arial"/>
          <w:color w:val="000000" w:themeColor="text1"/>
          <w:sz w:val="20"/>
          <w:szCs w:val="20"/>
          <w:lang w:val="es-MX"/>
        </w:rPr>
        <w:t xml:space="preserve">(se resalta).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706EE94" w14:textId="77777777" w:rsidR="00B57F3A" w:rsidRDefault="00B57F3A" w:rsidP="00B57F3A">
      <w:pPr>
        <w:spacing w:after="0" w:line="240" w:lineRule="auto"/>
        <w:jc w:val="both"/>
        <w:rPr>
          <w:rFonts w:ascii="Verdana" w:eastAsia="Times New Roman" w:hAnsi="Verdana" w:cs="Arial"/>
          <w:b/>
          <w:bCs/>
          <w:lang w:val="es-MX" w:eastAsia="es-CO"/>
        </w:rPr>
      </w:pPr>
    </w:p>
    <w:p w14:paraId="478041B9" w14:textId="7EAE9D75" w:rsidR="00FF489D" w:rsidRDefault="00FF489D" w:rsidP="00FF489D">
      <w:pPr>
        <w:contextualSpacing/>
        <w:jc w:val="both"/>
        <w:rPr>
          <w:rFonts w:ascii="Verdana" w:eastAsia="Times New Roman" w:hAnsi="Verdana" w:cs="Arial"/>
          <w:b/>
          <w:bCs/>
          <w:lang w:eastAsia="es-CO"/>
        </w:rPr>
      </w:pPr>
      <w:r w:rsidRPr="00FF489D">
        <w:rPr>
          <w:rFonts w:ascii="Verdana" w:eastAsia="Times New Roman" w:hAnsi="Verdana" w:cs="Arial"/>
          <w:b/>
          <w:bCs/>
          <w:lang w:eastAsia="es-CO"/>
        </w:rPr>
        <w:t>LEY DE GARANTÍAS ELECTORALES ‒ Excepciones</w:t>
      </w:r>
    </w:p>
    <w:p w14:paraId="3A24B991" w14:textId="77777777" w:rsidR="00B57F3A" w:rsidRPr="00B57F3A" w:rsidRDefault="00B57F3A" w:rsidP="00B57F3A">
      <w:pPr>
        <w:spacing w:after="0" w:line="240" w:lineRule="auto"/>
        <w:contextualSpacing/>
        <w:jc w:val="both"/>
        <w:rPr>
          <w:rFonts w:ascii="Verdana" w:eastAsia="Times New Roman" w:hAnsi="Verdana" w:cs="Arial"/>
          <w:b/>
          <w:bCs/>
          <w:sz w:val="20"/>
          <w:szCs w:val="20"/>
          <w:lang w:eastAsia="es-CO"/>
        </w:rPr>
      </w:pPr>
    </w:p>
    <w:p w14:paraId="26281AAB" w14:textId="77777777" w:rsidR="00B57F3A" w:rsidRPr="00B57F3A" w:rsidRDefault="00B57F3A" w:rsidP="00B57F3A">
      <w:pPr>
        <w:spacing w:after="0" w:line="240" w:lineRule="auto"/>
        <w:jc w:val="both"/>
        <w:rPr>
          <w:rFonts w:ascii="Verdana" w:hAnsi="Verdana" w:cs="Arial"/>
          <w:bCs/>
          <w:sz w:val="20"/>
          <w:szCs w:val="20"/>
          <w:lang w:eastAsia="x-none"/>
        </w:rPr>
      </w:pPr>
      <w:r w:rsidRPr="00B57F3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B57F3A">
        <w:rPr>
          <w:rFonts w:ascii="Verdana" w:eastAsia="Times New Roman" w:hAnsi="Verdana" w:cs="Arial"/>
          <w:bCs/>
          <w:sz w:val="20"/>
          <w:szCs w:val="20"/>
          <w:lang w:val="es-ES" w:eastAsia="es-CO" w:bidi="es-ES"/>
        </w:rPr>
        <w:t>ii</w:t>
      </w:r>
      <w:proofErr w:type="spellEnd"/>
      <w:r w:rsidRPr="00B57F3A">
        <w:rPr>
          <w:rFonts w:ascii="Verdana" w:eastAsia="Times New Roman" w:hAnsi="Verdana" w:cs="Arial"/>
          <w:bCs/>
          <w:sz w:val="20"/>
          <w:szCs w:val="20"/>
          <w:lang w:val="es-ES" w:eastAsia="es-CO" w:bidi="es-ES"/>
        </w:rPr>
        <w:t xml:space="preserve">) los contratos de crédito público; </w:t>
      </w:r>
      <w:proofErr w:type="spellStart"/>
      <w:r w:rsidRPr="00B57F3A">
        <w:rPr>
          <w:rFonts w:ascii="Verdana" w:eastAsia="Times New Roman" w:hAnsi="Verdana" w:cs="Arial"/>
          <w:bCs/>
          <w:sz w:val="20"/>
          <w:szCs w:val="20"/>
          <w:lang w:val="es-ES" w:eastAsia="es-CO" w:bidi="es-ES"/>
        </w:rPr>
        <w:t>iii</w:t>
      </w:r>
      <w:proofErr w:type="spellEnd"/>
      <w:r w:rsidRPr="00B57F3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B57F3A">
        <w:rPr>
          <w:rFonts w:ascii="Verdana" w:eastAsia="Times New Roman" w:hAnsi="Verdana" w:cs="Arial"/>
          <w:bCs/>
          <w:sz w:val="20"/>
          <w:szCs w:val="20"/>
          <w:lang w:val="es-ES" w:eastAsia="es-CO" w:bidi="es-ES"/>
        </w:rPr>
        <w:t>iv</w:t>
      </w:r>
      <w:proofErr w:type="spellEnd"/>
      <w:r w:rsidRPr="00B57F3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B57F3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76F155AA" w14:textId="77777777" w:rsidR="00B57F3A" w:rsidRDefault="00B57F3A" w:rsidP="00FF489D">
      <w:pPr>
        <w:contextualSpacing/>
        <w:jc w:val="both"/>
        <w:rPr>
          <w:rFonts w:ascii="Verdana" w:eastAsia="Times New Roman" w:hAnsi="Verdana" w:cs="Arial"/>
          <w:b/>
          <w:bCs/>
          <w:lang w:eastAsia="es-CO"/>
        </w:rPr>
      </w:pPr>
    </w:p>
    <w:p w14:paraId="60FED68C" w14:textId="77777777" w:rsidR="00B57F3A" w:rsidRDefault="00B57F3A" w:rsidP="00FF489D">
      <w:pPr>
        <w:contextualSpacing/>
        <w:jc w:val="both"/>
        <w:rPr>
          <w:rFonts w:ascii="Verdana" w:eastAsia="Times New Roman" w:hAnsi="Verdana" w:cs="Arial"/>
          <w:b/>
          <w:bCs/>
          <w:lang w:eastAsia="es-CO"/>
        </w:rPr>
      </w:pPr>
    </w:p>
    <w:p w14:paraId="5B95010F" w14:textId="77777777" w:rsidR="00B57F3A" w:rsidRDefault="00B57F3A" w:rsidP="00FF489D">
      <w:pPr>
        <w:contextualSpacing/>
        <w:jc w:val="both"/>
        <w:rPr>
          <w:rFonts w:ascii="Verdana" w:eastAsia="Times New Roman" w:hAnsi="Verdana" w:cs="Arial"/>
          <w:b/>
          <w:bCs/>
          <w:lang w:eastAsia="es-CO"/>
        </w:rPr>
      </w:pPr>
    </w:p>
    <w:p w14:paraId="584C4C4D" w14:textId="77777777" w:rsidR="00B57F3A" w:rsidRDefault="00B57F3A" w:rsidP="00FF489D">
      <w:pPr>
        <w:contextualSpacing/>
        <w:jc w:val="both"/>
        <w:rPr>
          <w:rFonts w:ascii="Verdana" w:eastAsia="Times New Roman" w:hAnsi="Verdana" w:cs="Arial"/>
          <w:b/>
          <w:bCs/>
          <w:lang w:eastAsia="es-CO"/>
        </w:rPr>
      </w:pPr>
    </w:p>
    <w:p w14:paraId="6ECBD413" w14:textId="77777777" w:rsidR="00B57F3A" w:rsidRDefault="00B57F3A" w:rsidP="00FF489D">
      <w:pPr>
        <w:contextualSpacing/>
        <w:jc w:val="both"/>
        <w:rPr>
          <w:rFonts w:ascii="Verdana" w:eastAsia="Times New Roman" w:hAnsi="Verdana" w:cs="Arial"/>
          <w:b/>
          <w:bCs/>
          <w:lang w:eastAsia="es-CO"/>
        </w:rPr>
      </w:pPr>
    </w:p>
    <w:p w14:paraId="6EF544B9" w14:textId="77777777" w:rsidR="00B57F3A" w:rsidRDefault="00B57F3A" w:rsidP="00FF489D">
      <w:pPr>
        <w:contextualSpacing/>
        <w:jc w:val="both"/>
        <w:rPr>
          <w:rFonts w:ascii="Verdana" w:eastAsia="Times New Roman" w:hAnsi="Verdana" w:cs="Arial"/>
          <w:b/>
          <w:bCs/>
          <w:lang w:eastAsia="es-CO"/>
        </w:rPr>
      </w:pPr>
    </w:p>
    <w:p w14:paraId="70CE1634" w14:textId="77777777" w:rsidR="00B57F3A" w:rsidRDefault="00B57F3A" w:rsidP="00FF489D">
      <w:pPr>
        <w:contextualSpacing/>
        <w:jc w:val="both"/>
        <w:rPr>
          <w:rFonts w:ascii="Verdana" w:eastAsia="Times New Roman" w:hAnsi="Verdana" w:cs="Arial"/>
          <w:b/>
          <w:bCs/>
          <w:lang w:eastAsia="es-CO"/>
        </w:rPr>
      </w:pPr>
    </w:p>
    <w:p w14:paraId="287D1EAC" w14:textId="77777777" w:rsidR="00B57F3A" w:rsidRDefault="00B57F3A" w:rsidP="00FF489D">
      <w:pPr>
        <w:contextualSpacing/>
        <w:jc w:val="both"/>
        <w:rPr>
          <w:rFonts w:ascii="Verdana" w:eastAsia="Times New Roman" w:hAnsi="Verdana" w:cs="Arial"/>
          <w:b/>
          <w:bCs/>
          <w:lang w:eastAsia="es-CO"/>
        </w:rPr>
      </w:pPr>
    </w:p>
    <w:p w14:paraId="3ECE1520" w14:textId="77777777" w:rsidR="00B57F3A" w:rsidRDefault="00B57F3A" w:rsidP="00FF489D">
      <w:pPr>
        <w:contextualSpacing/>
        <w:jc w:val="both"/>
        <w:rPr>
          <w:rFonts w:ascii="Verdana" w:eastAsia="Times New Roman" w:hAnsi="Verdana" w:cs="Arial"/>
          <w:b/>
          <w:bCs/>
          <w:lang w:eastAsia="es-CO"/>
        </w:rPr>
      </w:pPr>
    </w:p>
    <w:p w14:paraId="3196DAE9" w14:textId="77777777" w:rsidR="00B57F3A" w:rsidRDefault="00B57F3A" w:rsidP="00FF489D">
      <w:pPr>
        <w:contextualSpacing/>
        <w:jc w:val="both"/>
        <w:rPr>
          <w:rFonts w:ascii="Verdana" w:eastAsia="Times New Roman" w:hAnsi="Verdana" w:cs="Arial"/>
          <w:b/>
          <w:bCs/>
          <w:lang w:eastAsia="es-CO"/>
        </w:rPr>
      </w:pPr>
    </w:p>
    <w:p w14:paraId="037CA3B0" w14:textId="77777777" w:rsidR="00B57F3A" w:rsidRPr="00FF489D" w:rsidRDefault="00B57F3A" w:rsidP="00FF489D">
      <w:pPr>
        <w:spacing w:after="0" w:line="240" w:lineRule="auto"/>
        <w:contextualSpacing/>
        <w:jc w:val="both"/>
        <w:rPr>
          <w:rFonts w:ascii="Verdana" w:eastAsia="Times New Roman" w:hAnsi="Verdana" w:cs="Arial"/>
          <w:b/>
          <w:bCs/>
          <w:lang w:eastAsia="es-CO"/>
        </w:rPr>
      </w:pPr>
    </w:p>
    <w:p w14:paraId="0202FBBD" w14:textId="77777777" w:rsidR="00FF489D" w:rsidRDefault="00FF489D" w:rsidP="00C4564E">
      <w:pPr>
        <w:spacing w:after="0" w:line="240" w:lineRule="auto"/>
        <w:jc w:val="both"/>
        <w:rPr>
          <w:rFonts w:ascii="Verdana" w:eastAsia="Calibri" w:hAnsi="Verdana" w:cs="Arial"/>
          <w:lang w:eastAsia="es-ES"/>
        </w:rPr>
      </w:pPr>
    </w:p>
    <w:p w14:paraId="1CFB60A8" w14:textId="774DE2CE" w:rsidR="00C4564E" w:rsidRPr="007E27D9" w:rsidRDefault="00C4564E" w:rsidP="00C4564E">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p>
    <w:p w14:paraId="72B7CDD7" w14:textId="44E34F29" w:rsidR="00C4564E" w:rsidRDefault="00FF489D" w:rsidP="00FF489D">
      <w:pPr>
        <w:spacing w:after="0" w:line="240" w:lineRule="auto"/>
        <w:jc w:val="right"/>
        <w:rPr>
          <w:rFonts w:ascii="Verdana" w:eastAsia="Calibri" w:hAnsi="Verdana" w:cs="Arial"/>
          <w:lang w:eastAsia="es-ES"/>
        </w:rPr>
      </w:pPr>
      <w:r w:rsidRPr="00FF489D">
        <w:rPr>
          <w:rFonts w:ascii="Verdana" w:eastAsia="Calibri" w:hAnsi="Verdana" w:cs="Arial"/>
          <w:noProof/>
          <w:lang w:eastAsia="es-ES"/>
        </w:rPr>
        <w:drawing>
          <wp:inline distT="0" distB="0" distL="0" distR="0" wp14:anchorId="5F60A751" wp14:editId="45159442">
            <wp:extent cx="2764790" cy="742950"/>
            <wp:effectExtent l="0" t="0" r="0" b="0"/>
            <wp:docPr id="44885307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853079" name="Imagen 1" descr="Texto&#10;&#10;El contenido generado por IA puede ser incorrecto."/>
                    <pic:cNvPicPr/>
                  </pic:nvPicPr>
                  <pic:blipFill>
                    <a:blip r:embed="rId11"/>
                    <a:stretch>
                      <a:fillRect/>
                    </a:stretch>
                  </pic:blipFill>
                  <pic:spPr>
                    <a:xfrm>
                      <a:off x="0" y="0"/>
                      <a:ext cx="2795782" cy="751278"/>
                    </a:xfrm>
                    <a:prstGeom prst="rect">
                      <a:avLst/>
                    </a:prstGeom>
                  </pic:spPr>
                </pic:pic>
              </a:graphicData>
            </a:graphic>
          </wp:inline>
        </w:drawing>
      </w:r>
    </w:p>
    <w:p w14:paraId="1060B5E2" w14:textId="77777777" w:rsidR="00C4564E" w:rsidRDefault="00C4564E" w:rsidP="00C4564E">
      <w:pPr>
        <w:spacing w:after="0" w:line="240" w:lineRule="auto"/>
        <w:jc w:val="both"/>
        <w:rPr>
          <w:rFonts w:ascii="Verdana" w:eastAsia="Calibri" w:hAnsi="Verdana" w:cs="Arial"/>
          <w:b/>
          <w:bCs/>
          <w:lang w:eastAsia="es-ES"/>
        </w:rPr>
      </w:pPr>
      <w:r>
        <w:rPr>
          <w:rFonts w:ascii="Verdana" w:eastAsia="Calibri" w:hAnsi="Verdana" w:cs="Arial"/>
          <w:b/>
          <w:bCs/>
          <w:lang w:eastAsia="es-ES"/>
        </w:rPr>
        <w:t>Señor (a)</w:t>
      </w:r>
    </w:p>
    <w:p w14:paraId="692E4D7B" w14:textId="01528A02" w:rsidR="00C4564E" w:rsidRPr="00311DD2" w:rsidRDefault="00C4564E" w:rsidP="00C4564E">
      <w:pPr>
        <w:spacing w:after="0" w:line="240" w:lineRule="auto"/>
        <w:jc w:val="both"/>
        <w:rPr>
          <w:rFonts w:ascii="Verdana" w:eastAsia="Calibri" w:hAnsi="Verdana" w:cs="Arial"/>
          <w:b/>
          <w:bCs/>
          <w:lang w:eastAsia="es-ES"/>
        </w:rPr>
      </w:pPr>
      <w:r w:rsidRPr="00311DD2">
        <w:rPr>
          <w:rFonts w:ascii="Verdana" w:eastAsia="Calibri" w:hAnsi="Verdana" w:cs="Arial"/>
          <w:b/>
          <w:bCs/>
          <w:lang w:eastAsia="es-ES"/>
        </w:rPr>
        <w:t>Anónimo</w:t>
      </w:r>
      <w:r w:rsidR="008E57E5">
        <w:rPr>
          <w:rFonts w:ascii="Verdana" w:eastAsia="Calibri" w:hAnsi="Verdana" w:cs="Arial"/>
          <w:b/>
          <w:bCs/>
          <w:lang w:eastAsia="es-ES"/>
        </w:rPr>
        <w:t xml:space="preserve"> (a)</w:t>
      </w:r>
    </w:p>
    <w:p w14:paraId="305F523C" w14:textId="77777777" w:rsidR="00C4564E" w:rsidRPr="00311DD2" w:rsidRDefault="00C4564E" w:rsidP="00C4564E">
      <w:pPr>
        <w:spacing w:after="0" w:line="240" w:lineRule="auto"/>
        <w:jc w:val="both"/>
        <w:rPr>
          <w:rFonts w:ascii="Verdana" w:hAnsi="Verdana"/>
          <w:b/>
          <w:bCs/>
        </w:rPr>
      </w:pPr>
      <w:hyperlink r:id="rId12" w:history="1">
        <w:r w:rsidRPr="00311DD2">
          <w:rPr>
            <w:rStyle w:val="Hipervnculo"/>
            <w:rFonts w:ascii="Verdana" w:hAnsi="Verdana"/>
            <w:b/>
            <w:bCs/>
          </w:rPr>
          <w:t>dianikita@gmail.com</w:t>
        </w:r>
      </w:hyperlink>
    </w:p>
    <w:p w14:paraId="53E28683" w14:textId="77777777" w:rsidR="00C4564E" w:rsidRPr="00863416" w:rsidRDefault="00C4564E" w:rsidP="00C4564E">
      <w:pPr>
        <w:spacing w:after="0" w:line="240" w:lineRule="auto"/>
        <w:jc w:val="both"/>
        <w:rPr>
          <w:rFonts w:ascii="Verdana" w:hAnsi="Verdana"/>
        </w:rPr>
      </w:pPr>
    </w:p>
    <w:p w14:paraId="344F2AB4" w14:textId="77777777" w:rsidR="00C4564E" w:rsidRPr="00863416" w:rsidRDefault="00C4564E" w:rsidP="00C4564E">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4564E" w:rsidRPr="005644FE" w14:paraId="540EB0C6" w14:textId="77777777" w:rsidTr="00835D56">
        <w:trPr>
          <w:trHeight w:val="162"/>
        </w:trPr>
        <w:tc>
          <w:tcPr>
            <w:tcW w:w="3119" w:type="dxa"/>
          </w:tcPr>
          <w:p w14:paraId="5C26106F" w14:textId="77777777" w:rsidR="00C4564E" w:rsidRPr="00863416" w:rsidRDefault="00C4564E" w:rsidP="00835D56">
            <w:pPr>
              <w:jc w:val="both"/>
              <w:rPr>
                <w:rFonts w:ascii="Verdana" w:eastAsia="Calibri" w:hAnsi="Verdana" w:cs="Arial"/>
                <w:b/>
                <w:bCs/>
                <w:color w:val="7030A0"/>
                <w:lang w:eastAsia="es-ES_tradnl"/>
              </w:rPr>
            </w:pPr>
          </w:p>
        </w:tc>
        <w:tc>
          <w:tcPr>
            <w:tcW w:w="5670" w:type="dxa"/>
          </w:tcPr>
          <w:p w14:paraId="3B515262" w14:textId="77777777" w:rsidR="00C4564E" w:rsidRPr="005644FE" w:rsidRDefault="00C4564E" w:rsidP="00835D56">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113 de 2026</w:t>
            </w:r>
          </w:p>
          <w:p w14:paraId="39D24E32" w14:textId="77777777" w:rsidR="00C4564E" w:rsidRPr="005644FE" w:rsidRDefault="00C4564E" w:rsidP="00835D56">
            <w:pPr>
              <w:jc w:val="both"/>
              <w:rPr>
                <w:rFonts w:ascii="Verdana" w:eastAsia="Calibri" w:hAnsi="Verdana" w:cs="Arial"/>
                <w:b/>
                <w:bCs/>
                <w:color w:val="7030A0"/>
                <w:lang w:eastAsia="es-ES"/>
              </w:rPr>
            </w:pPr>
          </w:p>
        </w:tc>
      </w:tr>
      <w:tr w:rsidR="00C4564E" w:rsidRPr="005644FE" w14:paraId="6342011F" w14:textId="77777777" w:rsidTr="00835D56">
        <w:trPr>
          <w:trHeight w:val="884"/>
        </w:trPr>
        <w:tc>
          <w:tcPr>
            <w:tcW w:w="3119" w:type="dxa"/>
          </w:tcPr>
          <w:p w14:paraId="52A08940" w14:textId="77777777" w:rsidR="00C4564E" w:rsidRPr="005644FE" w:rsidRDefault="00C4564E" w:rsidP="00835D56">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19B5ED3A" w14:textId="77777777" w:rsidR="00C4564E" w:rsidRDefault="00C4564E" w:rsidP="00835D56">
            <w:pPr>
              <w:spacing w:after="255"/>
              <w:contextualSpacing/>
              <w:jc w:val="both"/>
              <w:rPr>
                <w:rFonts w:ascii="Verdana" w:eastAsia="Times New Roman" w:hAnsi="Verdana" w:cs="Arial"/>
                <w:bCs/>
                <w:lang w:eastAsia="es-CO"/>
              </w:rPr>
            </w:pPr>
            <w:r w:rsidRPr="000060F3">
              <w:rPr>
                <w:rFonts w:ascii="Verdana" w:hAnsi="Verdana" w:cs="Arial"/>
                <w:color w:val="000000" w:themeColor="text1"/>
              </w:rPr>
              <w:t>ÁMBITO DE APLICACIÓN DEL EGCAP A ENTIDADES – Artículo 2 - Decreto 1082 de 2015 / CAPACIDAD JURÍDICA – Alcance / CONSEJOS PROFESIONALES – Naturaleza – Sui generis / CONSEJO</w:t>
            </w:r>
            <w:r w:rsidR="0094678C" w:rsidRPr="000060F3">
              <w:rPr>
                <w:rFonts w:ascii="Verdana" w:hAnsi="Verdana" w:cs="Arial"/>
                <w:color w:val="000000" w:themeColor="text1"/>
              </w:rPr>
              <w:t>S</w:t>
            </w:r>
            <w:r w:rsidRPr="000060F3">
              <w:rPr>
                <w:rFonts w:ascii="Verdana" w:hAnsi="Verdana" w:cs="Arial"/>
                <w:color w:val="000000" w:themeColor="text1"/>
              </w:rPr>
              <w:t xml:space="preserve"> PROFESIONALES – Régimen jurídico – Ausencia de personería jurídica / CONSEJO PROFESIONAL DE MEDICINA VETERINARIA Y ZOOTECNIA DE COLOMBIA – Ley 73 de 1985 / CONSEJO PROFESIONAL DE MEDICINA VETERINARIA Y ZOOTECNIA DE COLOMBIA – Ausencia de capacidad jurídica para contratar / </w:t>
            </w:r>
            <w:r w:rsidR="00A34187" w:rsidRPr="000060F3">
              <w:rPr>
                <w:rFonts w:ascii="Verdana" w:eastAsia="Calibri" w:hAnsi="Verdana" w:cs="Arial"/>
                <w:bCs/>
                <w:lang w:val="es-MX" w:eastAsia="es-MX"/>
              </w:rPr>
              <w:t xml:space="preserve">LEY DE GARANTÍAS ELECTORALES – Objetivo / LEY DE GARANTÍAS ELECTORALES – Prohibiciones / </w:t>
            </w:r>
            <w:r w:rsidR="00A34187" w:rsidRPr="000060F3">
              <w:rPr>
                <w:rFonts w:ascii="Verdana" w:eastAsia="Calibri" w:hAnsi="Verdana" w:cs="Arial"/>
                <w:bCs/>
                <w:lang w:val="es-MX"/>
              </w:rPr>
              <w:t xml:space="preserve">LEY DE GARANTÍAS ELECTORALES ─ Prohibición artículo 33 ‒ Contratación directa ‒ Alcance </w:t>
            </w:r>
            <w:r w:rsidR="00A34187" w:rsidRPr="000060F3">
              <w:rPr>
                <w:rFonts w:ascii="Verdana" w:eastAsia="Times New Roman" w:hAnsi="Verdana" w:cs="Arial"/>
                <w:bCs/>
                <w:lang w:eastAsia="es-CO"/>
              </w:rPr>
              <w:t xml:space="preserve">/ </w:t>
            </w:r>
            <w:r w:rsidR="00A34187" w:rsidRPr="000060F3">
              <w:rPr>
                <w:rFonts w:ascii="Verdana" w:eastAsia="Calibri" w:hAnsi="Verdana" w:cs="Arial"/>
                <w:bCs/>
                <w:lang w:val="es-MX"/>
              </w:rPr>
              <w:t>LEY DE GARANTÍAS ELECTORALES ─ Prohibición artículo 33 ‒ Contratación directa ‒ Destinatarios</w:t>
            </w:r>
            <w:r w:rsidR="00A34187" w:rsidRPr="000060F3">
              <w:rPr>
                <w:rFonts w:ascii="Verdana" w:eastAsia="Times New Roman" w:hAnsi="Verdana" w:cs="Arial"/>
                <w:bCs/>
                <w:lang w:val="es-MX" w:eastAsia="es-CO"/>
              </w:rPr>
              <w:t xml:space="preserve"> </w:t>
            </w:r>
            <w:r w:rsidR="00A34187" w:rsidRPr="000060F3">
              <w:rPr>
                <w:rFonts w:ascii="Verdana" w:eastAsia="Times New Roman" w:hAnsi="Verdana" w:cs="Arial"/>
                <w:bCs/>
                <w:lang w:eastAsia="es-CO"/>
              </w:rPr>
              <w:t>/ LEY DE GARANTÍAS ELECTORALES ‒ Excepciones</w:t>
            </w:r>
          </w:p>
          <w:p w14:paraId="73BE369C" w14:textId="5D7CCF38" w:rsidR="000060F3" w:rsidRPr="000060F3" w:rsidRDefault="000060F3" w:rsidP="00835D56">
            <w:pPr>
              <w:spacing w:after="255"/>
              <w:contextualSpacing/>
              <w:jc w:val="both"/>
              <w:rPr>
                <w:rFonts w:ascii="Verdana" w:hAnsi="Verdana" w:cs="Arial"/>
                <w:color w:val="000000" w:themeColor="text1"/>
              </w:rPr>
            </w:pPr>
          </w:p>
        </w:tc>
      </w:tr>
      <w:tr w:rsidR="00C4564E" w:rsidRPr="005644FE" w14:paraId="396E05F3" w14:textId="77777777" w:rsidTr="00835D56">
        <w:tc>
          <w:tcPr>
            <w:tcW w:w="3119" w:type="dxa"/>
          </w:tcPr>
          <w:p w14:paraId="7631E53D" w14:textId="77777777" w:rsidR="00C4564E" w:rsidRPr="005644FE" w:rsidRDefault="00C4564E" w:rsidP="00835D56">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3345356" w14:textId="77777777" w:rsidR="00C4564E" w:rsidRPr="00F04657" w:rsidRDefault="00C4564E" w:rsidP="00835D56">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311DD2">
              <w:rPr>
                <w:rFonts w:ascii="Verdana" w:eastAsia="Calibri" w:hAnsi="Verdana" w:cs="Arial"/>
                <w:lang w:eastAsia="es-ES_tradnl"/>
              </w:rPr>
              <w:t>1_2026_01_28_000999</w:t>
            </w:r>
          </w:p>
        </w:tc>
      </w:tr>
    </w:tbl>
    <w:p w14:paraId="4CE710EB" w14:textId="77777777" w:rsidR="00C4564E" w:rsidRPr="005644FE" w:rsidRDefault="00C4564E" w:rsidP="00C4564E">
      <w:pPr>
        <w:spacing w:after="0" w:line="276" w:lineRule="auto"/>
        <w:jc w:val="both"/>
        <w:rPr>
          <w:rFonts w:ascii="Verdana" w:eastAsia="Calibri" w:hAnsi="Verdana" w:cs="Arial"/>
          <w:lang w:eastAsia="es-ES_tradnl"/>
        </w:rPr>
      </w:pPr>
    </w:p>
    <w:p w14:paraId="5780F8D0" w14:textId="3FFAE44A" w:rsidR="00C4564E" w:rsidRPr="005644FE" w:rsidRDefault="00C4564E" w:rsidP="00C4564E">
      <w:pPr>
        <w:spacing w:after="0" w:line="276" w:lineRule="auto"/>
        <w:jc w:val="both"/>
        <w:rPr>
          <w:rFonts w:ascii="Verdana" w:eastAsia="Calibri" w:hAnsi="Verdana" w:cs="Arial"/>
          <w:lang w:eastAsia="es-ES"/>
        </w:rPr>
      </w:pPr>
      <w:r>
        <w:rPr>
          <w:rFonts w:ascii="Verdana" w:eastAsia="Calibri" w:hAnsi="Verdana" w:cs="Arial"/>
          <w:lang w:eastAsia="es-ES"/>
        </w:rPr>
        <w:t xml:space="preserve">Estimado </w:t>
      </w:r>
      <w:r w:rsidR="00F96C81">
        <w:rPr>
          <w:rFonts w:ascii="Verdana" w:eastAsia="Calibri" w:hAnsi="Verdana" w:cs="Arial"/>
          <w:lang w:eastAsia="es-ES"/>
        </w:rPr>
        <w:t xml:space="preserve">(a) </w:t>
      </w:r>
      <w:r>
        <w:rPr>
          <w:rFonts w:ascii="Verdana" w:eastAsia="Calibri" w:hAnsi="Verdana" w:cs="Arial"/>
          <w:lang w:eastAsia="es-ES"/>
        </w:rPr>
        <w:t>peticionario (a):</w:t>
      </w:r>
    </w:p>
    <w:p w14:paraId="09D61D8E" w14:textId="77777777" w:rsidR="00C4564E" w:rsidRPr="00E02524" w:rsidRDefault="00C4564E" w:rsidP="00C4564E">
      <w:pPr>
        <w:spacing w:after="0"/>
        <w:jc w:val="both"/>
        <w:rPr>
          <w:rFonts w:ascii="Verdana" w:hAnsi="Verdana"/>
          <w:lang w:val="es-MX"/>
        </w:rPr>
      </w:pPr>
    </w:p>
    <w:p w14:paraId="763889D4" w14:textId="77777777" w:rsidR="00C4564E" w:rsidRDefault="00C4564E" w:rsidP="00C4564E">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w:t>
      </w:r>
      <w:r w:rsidRPr="00E02524">
        <w:rPr>
          <w:rFonts w:ascii="Verdana" w:hAnsi="Verdana"/>
        </w:rPr>
        <w:lastRenderedPageBreak/>
        <w:t>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28 de enero de 2026,</w:t>
      </w:r>
      <w:r w:rsidRPr="005644FE">
        <w:rPr>
          <w:rFonts w:ascii="Verdana" w:eastAsia="Calibri" w:hAnsi="Verdana" w:cs="Arial"/>
          <w:lang w:eastAsia="es-ES"/>
        </w:rPr>
        <w:t xml:space="preserve"> en la cual manifiesta lo siguiente:</w:t>
      </w:r>
    </w:p>
    <w:p w14:paraId="720C8186" w14:textId="77777777" w:rsidR="00C4564E" w:rsidRDefault="00C4564E" w:rsidP="00C4564E">
      <w:pPr>
        <w:spacing w:after="0"/>
        <w:jc w:val="both"/>
        <w:rPr>
          <w:rFonts w:ascii="Verdana" w:hAnsi="Verdana"/>
        </w:rPr>
      </w:pPr>
      <w:r w:rsidRPr="00E02524">
        <w:rPr>
          <w:rFonts w:ascii="Verdana" w:hAnsi="Verdana"/>
        </w:rPr>
        <w:t xml:space="preserve">PETICIÓN REALIZADA </w:t>
      </w:r>
    </w:p>
    <w:p w14:paraId="64D1E717" w14:textId="77777777" w:rsidR="00C4564E" w:rsidRPr="008E5B36" w:rsidRDefault="00C4564E" w:rsidP="00C4564E">
      <w:pPr>
        <w:spacing w:after="0" w:line="240" w:lineRule="auto"/>
        <w:jc w:val="both"/>
        <w:rPr>
          <w:rFonts w:ascii="Verdana" w:hAnsi="Verdana"/>
        </w:rPr>
      </w:pPr>
    </w:p>
    <w:p w14:paraId="639B4F78" w14:textId="77777777" w:rsidR="00C4564E" w:rsidRDefault="00C4564E" w:rsidP="00C4564E">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311DD2">
        <w:rPr>
          <w:rFonts w:ascii="Verdana" w:hAnsi="Verdana"/>
          <w:sz w:val="20"/>
          <w:szCs w:val="20"/>
        </w:rPr>
        <w:t xml:space="preserve">1. De acuerdo con la normatividad vigente, en particular las leyes 73 de 1985 y 576 de 2000, </w:t>
      </w:r>
      <w:proofErr w:type="gramStart"/>
      <w:r w:rsidRPr="00311DD2">
        <w:rPr>
          <w:rFonts w:ascii="Verdana" w:hAnsi="Verdana"/>
          <w:sz w:val="20"/>
          <w:szCs w:val="20"/>
        </w:rPr>
        <w:t>cuál es el régimen contractual aplicable al CONSEJO PROFESIONAL DE MEDICINA VETERINARIA Y ZOOTECNIA DE COLOMBIA - COMVEZCOL?</w:t>
      </w:r>
      <w:proofErr w:type="gramEnd"/>
      <w:r w:rsidRPr="00311DD2">
        <w:rPr>
          <w:rFonts w:ascii="Verdana" w:hAnsi="Verdana"/>
          <w:sz w:val="20"/>
          <w:szCs w:val="20"/>
        </w:rPr>
        <w:t xml:space="preserve"> </w:t>
      </w:r>
    </w:p>
    <w:p w14:paraId="5844A0EF" w14:textId="77777777" w:rsidR="00C4564E" w:rsidRDefault="00C4564E" w:rsidP="00C4564E">
      <w:pPr>
        <w:spacing w:after="0" w:line="240" w:lineRule="auto"/>
        <w:ind w:left="567" w:right="758"/>
        <w:jc w:val="both"/>
        <w:rPr>
          <w:rFonts w:ascii="Verdana" w:hAnsi="Verdana"/>
          <w:sz w:val="20"/>
          <w:szCs w:val="20"/>
        </w:rPr>
      </w:pPr>
      <w:r w:rsidRPr="00311DD2">
        <w:rPr>
          <w:rFonts w:ascii="Verdana" w:hAnsi="Verdana"/>
          <w:sz w:val="20"/>
          <w:szCs w:val="20"/>
        </w:rPr>
        <w:t xml:space="preserve">2. </w:t>
      </w:r>
      <w:proofErr w:type="gramStart"/>
      <w:r w:rsidRPr="00311DD2">
        <w:rPr>
          <w:rFonts w:ascii="Verdana" w:hAnsi="Verdana"/>
          <w:sz w:val="20"/>
          <w:szCs w:val="20"/>
        </w:rPr>
        <w:t>De acuerdo con su naturaleza jurídica, esta entidad está sometida a la Ley 80 de 1993?</w:t>
      </w:r>
      <w:proofErr w:type="gramEnd"/>
      <w:r w:rsidRPr="00311DD2">
        <w:rPr>
          <w:rFonts w:ascii="Verdana" w:hAnsi="Verdana"/>
          <w:sz w:val="20"/>
          <w:szCs w:val="20"/>
        </w:rPr>
        <w:t xml:space="preserve"> </w:t>
      </w:r>
    </w:p>
    <w:p w14:paraId="5BDED1B5" w14:textId="77777777" w:rsidR="00C4564E" w:rsidRPr="00594153" w:rsidRDefault="00C4564E" w:rsidP="00C4564E">
      <w:pPr>
        <w:spacing w:after="0" w:line="240" w:lineRule="auto"/>
        <w:ind w:left="567" w:right="758"/>
        <w:jc w:val="both"/>
        <w:rPr>
          <w:rFonts w:ascii="Verdana" w:hAnsi="Verdana"/>
          <w:sz w:val="20"/>
          <w:szCs w:val="20"/>
        </w:rPr>
      </w:pPr>
      <w:r w:rsidRPr="00311DD2">
        <w:rPr>
          <w:rFonts w:ascii="Verdana" w:hAnsi="Verdana"/>
          <w:sz w:val="20"/>
          <w:szCs w:val="20"/>
        </w:rPr>
        <w:t xml:space="preserve">3. </w:t>
      </w:r>
      <w:proofErr w:type="gramStart"/>
      <w:r w:rsidRPr="00311DD2">
        <w:rPr>
          <w:rFonts w:ascii="Verdana" w:hAnsi="Verdana"/>
          <w:sz w:val="20"/>
          <w:szCs w:val="20"/>
        </w:rPr>
        <w:t>De acuerdo con su naturaleza jurídica, a esta entidad le son aplicables las prohibiciones de la Ley de Garantías?</w:t>
      </w:r>
      <w:proofErr w:type="gramEnd"/>
      <w:r w:rsidRPr="00311DD2">
        <w:rPr>
          <w:rFonts w:ascii="Verdana" w:hAnsi="Verdana"/>
          <w:sz w:val="20"/>
          <w:szCs w:val="20"/>
        </w:rPr>
        <w:t xml:space="preserve"> </w:t>
      </w:r>
      <w:r w:rsidRPr="00FC1BE4">
        <w:rPr>
          <w:rFonts w:ascii="Verdana" w:hAnsi="Verdana"/>
          <w:sz w:val="20"/>
          <w:szCs w:val="20"/>
        </w:rPr>
        <w:t>(…)”.</w:t>
      </w:r>
    </w:p>
    <w:p w14:paraId="0E1FE147" w14:textId="77777777" w:rsidR="00C4564E" w:rsidRPr="00763B14" w:rsidRDefault="00C4564E" w:rsidP="00C4564E">
      <w:pPr>
        <w:spacing w:after="0" w:line="240" w:lineRule="auto"/>
        <w:ind w:left="567" w:right="758"/>
        <w:jc w:val="both"/>
        <w:rPr>
          <w:rFonts w:ascii="Verdana" w:hAnsi="Verdana"/>
          <w:sz w:val="20"/>
          <w:szCs w:val="20"/>
        </w:rPr>
      </w:pPr>
    </w:p>
    <w:p w14:paraId="78121012" w14:textId="77777777" w:rsidR="00C4564E" w:rsidRPr="00F64722" w:rsidRDefault="00C4564E" w:rsidP="00C4564E">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7FF73FA" w14:textId="77777777" w:rsidR="00C4564E" w:rsidRPr="00F64722" w:rsidRDefault="00C4564E" w:rsidP="00C4564E">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F64722">
        <w:rPr>
          <w:rFonts w:ascii="Verdana" w:eastAsia="Calibri" w:hAnsi="Verdana" w:cs="Arial"/>
          <w:color w:val="000000"/>
          <w:lang w:eastAsia="es-ES"/>
        </w:rPr>
        <w:t>l</w:t>
      </w:r>
      <w:r>
        <w:rPr>
          <w:rFonts w:ascii="Verdana" w:eastAsia="Calibri" w:hAnsi="Verdana" w:cs="Arial"/>
          <w:color w:val="000000"/>
          <w:lang w:eastAsia="es-ES"/>
        </w:rPr>
        <w:t>os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4E113E52" w14:textId="77777777" w:rsidR="00C4564E" w:rsidRPr="00F64722" w:rsidRDefault="00C4564E" w:rsidP="00C4564E">
      <w:pPr>
        <w:spacing w:after="0" w:line="276" w:lineRule="auto"/>
        <w:ind w:firstLine="709"/>
        <w:jc w:val="both"/>
        <w:rPr>
          <w:rFonts w:ascii="Verdana" w:eastAsia="Calibri" w:hAnsi="Verdana" w:cs="Arial"/>
          <w:lang w:eastAsia="es-ES"/>
        </w:rPr>
      </w:pPr>
    </w:p>
    <w:p w14:paraId="0690BD57" w14:textId="77777777" w:rsidR="00C4564E" w:rsidRPr="00F64722" w:rsidRDefault="00C4564E" w:rsidP="00C456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79BC5525" w14:textId="77777777" w:rsidR="00C4564E" w:rsidRPr="00F64722" w:rsidRDefault="00C4564E" w:rsidP="00C4564E">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491B6287" w14:textId="77777777" w:rsidR="00C4564E" w:rsidRPr="00294993" w:rsidRDefault="00C4564E" w:rsidP="002F5F74">
      <w:pPr>
        <w:spacing w:after="120" w:line="278" w:lineRule="auto"/>
        <w:jc w:val="both"/>
        <w:rPr>
          <w:rFonts w:ascii="Verdana" w:eastAsia="Calibri" w:hAnsi="Verdana" w:cs="Arial"/>
          <w:color w:val="000000"/>
          <w:lang w:eastAsia="es-ES"/>
        </w:rPr>
      </w:pPr>
      <w:r w:rsidRPr="00005FE3">
        <w:rPr>
          <w:rFonts w:ascii="Verdana" w:eastAsia="Calibri" w:hAnsi="Verdana" w:cs="Arial"/>
          <w:color w:val="000000"/>
          <w:lang w:eastAsia="es-ES"/>
        </w:rPr>
        <w:t>De acuerdo con el contenido de su solicitud, esta Agencia resolverá los siguientes problemas jurídicos</w:t>
      </w:r>
      <w:r w:rsidRPr="003F146D">
        <w:rPr>
          <w:rFonts w:ascii="Verdana" w:eastAsia="Calibri" w:hAnsi="Verdana" w:cs="Arial"/>
          <w:color w:val="000000"/>
          <w:lang w:eastAsia="es-ES"/>
        </w:rPr>
        <w:t xml:space="preserve">: i) ¿El Consejo Profesional de Medicina Veterinaria y Zootecnia de Colombia – CONVEZCOL cuenta con capacidad jurídica para </w:t>
      </w:r>
      <w:r w:rsidRPr="003F146D">
        <w:rPr>
          <w:rFonts w:ascii="Verdana" w:eastAsia="Calibri" w:hAnsi="Verdana" w:cs="Arial"/>
          <w:color w:val="000000"/>
          <w:lang w:eastAsia="es-ES"/>
        </w:rPr>
        <w:lastRenderedPageBreak/>
        <w:t>celebrar contratos o convenios</w:t>
      </w:r>
      <w:r>
        <w:rPr>
          <w:rFonts w:ascii="Verdana" w:eastAsia="Calibri" w:hAnsi="Verdana" w:cs="Arial"/>
          <w:color w:val="000000"/>
          <w:lang w:eastAsia="es-ES"/>
        </w:rPr>
        <w:t xml:space="preserve"> regidos por la Ley 80 de 1993 y normas complementarias</w:t>
      </w:r>
      <w:r w:rsidRPr="003F146D">
        <w:rPr>
          <w:rFonts w:ascii="Verdana" w:eastAsia="Calibri" w:hAnsi="Verdana" w:cs="Arial"/>
          <w:color w:val="000000"/>
          <w:lang w:eastAsia="es-ES"/>
        </w:rPr>
        <w:t xml:space="preserve">? </w:t>
      </w:r>
      <w:proofErr w:type="spellStart"/>
      <w:r w:rsidRPr="003F146D">
        <w:rPr>
          <w:rFonts w:ascii="Verdana" w:eastAsia="Calibri" w:hAnsi="Verdana" w:cs="Arial"/>
          <w:color w:val="000000"/>
          <w:lang w:eastAsia="es-ES"/>
        </w:rPr>
        <w:t>ii</w:t>
      </w:r>
      <w:proofErr w:type="spellEnd"/>
      <w:r w:rsidRPr="003F146D">
        <w:rPr>
          <w:rFonts w:ascii="Verdana" w:eastAsia="Calibri" w:hAnsi="Verdana" w:cs="Arial"/>
          <w:color w:val="000000"/>
          <w:lang w:eastAsia="es-ES"/>
        </w:rPr>
        <w:t>) ¿La Ley 996 de 2005 le es aplicable al Consejo Profesional de Medicina Veterinaria y Zootecnia de Colombia – CONVEZCOL?</w:t>
      </w:r>
      <w:r>
        <w:rPr>
          <w:rFonts w:ascii="Verdana" w:eastAsia="Calibri" w:hAnsi="Verdana" w:cs="Arial"/>
          <w:color w:val="000000"/>
          <w:lang w:eastAsia="es-ES"/>
        </w:rPr>
        <w:t xml:space="preserve"> </w:t>
      </w:r>
    </w:p>
    <w:p w14:paraId="3A9FB913" w14:textId="77777777" w:rsidR="00C4564E" w:rsidRDefault="00C4564E" w:rsidP="00C4564E">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1C8BD430" w14:textId="77777777" w:rsidR="00C4564E" w:rsidRPr="005644FE" w:rsidRDefault="00C4564E" w:rsidP="00C4564E">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4564E" w:rsidRPr="005644FE" w14:paraId="329CB43D" w14:textId="77777777" w:rsidTr="00835D56">
        <w:tc>
          <w:tcPr>
            <w:tcW w:w="8828" w:type="dxa"/>
          </w:tcPr>
          <w:p w14:paraId="3B57F773" w14:textId="77777777" w:rsidR="00C4564E" w:rsidRDefault="00C4564E" w:rsidP="00395721">
            <w:pPr>
              <w:spacing w:after="120" w:line="276" w:lineRule="auto"/>
              <w:jc w:val="both"/>
              <w:rPr>
                <w:rFonts w:ascii="Verdana" w:eastAsia="Times New Roman" w:hAnsi="Verdana" w:cs="Arial"/>
                <w:color w:val="000000" w:themeColor="text1"/>
                <w:lang w:val="es-ES" w:eastAsia="es-ES_tradnl"/>
              </w:rPr>
            </w:pPr>
            <w:r>
              <w:rPr>
                <w:rFonts w:ascii="Verdana" w:eastAsia="Calibri" w:hAnsi="Verdana" w:cs="Arial"/>
              </w:rPr>
              <w:t xml:space="preserve">i) La Ley 80 de 1993 en el artículo 2 numeral 1 define el ámbito de aplicación del EGCAP a las entidades estatales. Así mismo, el Decreto 1082 de 2015 en su artículo 2.2.1.1.1.3.1 </w:t>
            </w:r>
            <w:r w:rsidRPr="00661B59">
              <w:rPr>
                <w:rFonts w:ascii="Verdana" w:eastAsia="Times New Roman" w:hAnsi="Verdana" w:cs="Arial"/>
                <w:color w:val="000000" w:themeColor="text1"/>
                <w:lang w:val="es-ES" w:eastAsia="es-ES_tradnl"/>
              </w:rPr>
              <w:t xml:space="preserve">establece una definición de Entidad Estatal, la cual abarca no solo a las referidas en el artículo 2 de la Ley 80 de 1993, sino también a entidades referidas en otras disposiciones. Según esta definición constituyen entidades estatales: </w:t>
            </w:r>
            <w:r>
              <w:rPr>
                <w:rFonts w:ascii="Verdana" w:eastAsia="Times New Roman" w:hAnsi="Verdana" w:cs="Arial"/>
                <w:color w:val="000000" w:themeColor="text1"/>
                <w:lang w:val="es-ES" w:eastAsia="es-ES_tradnl"/>
              </w:rPr>
              <w:t>“</w:t>
            </w:r>
            <w:r w:rsidRPr="00661B59">
              <w:rPr>
                <w:rFonts w:ascii="Verdana" w:eastAsia="Times New Roman" w:hAnsi="Verdana" w:cs="Arial"/>
                <w:color w:val="000000" w:themeColor="text1"/>
                <w:lang w:val="es-ES" w:eastAsia="es-ES_tradnl"/>
              </w:rPr>
              <w:t xml:space="preserve">Cada una de las entidades: (a) a las que se refiere el artículo 2° de la Ley 80 de 1993; (b) a las que se refieren los artículos 10, 14 y 24 de la Ley 1150 de 2007 y (c) aquellas entidades que por disposición de la ley deban aplicar la Ley 80 de 1993 y </w:t>
            </w:r>
            <w:r w:rsidRPr="00095793">
              <w:rPr>
                <w:rFonts w:ascii="Verdana" w:eastAsia="Times New Roman" w:hAnsi="Verdana" w:cs="Arial"/>
                <w:color w:val="000000" w:themeColor="text1"/>
                <w:lang w:val="es-ES" w:eastAsia="es-ES_tradnl"/>
              </w:rPr>
              <w:t xml:space="preserve">la Ley 1150 de 2007, o las normas que las modifiquen, aclaren, adicionen o sustituyan”. Al tenor de esta definición, no solo constituyen entidades estatales las mencionadas en el artículo 2 de la Ley 80 de 1993, sino también las mencionadas en los artículos 10, 14 y 24 de la Ley 1150 de 2007. </w:t>
            </w:r>
          </w:p>
          <w:p w14:paraId="38BCD197" w14:textId="77777777" w:rsidR="00C4564E" w:rsidRDefault="00C4564E" w:rsidP="00835D56">
            <w:pPr>
              <w:pStyle w:val="Textoindependiente"/>
              <w:spacing w:after="120" w:line="276" w:lineRule="auto"/>
              <w:ind w:firstLine="709"/>
              <w:jc w:val="both"/>
              <w:rPr>
                <w:rFonts w:ascii="Verdana" w:eastAsia="Calibri" w:hAnsi="Verdana"/>
                <w:color w:val="000000" w:themeColor="text1"/>
                <w:lang w:val="es-ES_tradnl"/>
              </w:rPr>
            </w:pPr>
            <w:r w:rsidRPr="00095793">
              <w:rPr>
                <w:rFonts w:ascii="Verdana" w:eastAsia="Calibri" w:hAnsi="Verdana"/>
                <w:color w:val="000000" w:themeColor="text1"/>
              </w:rPr>
              <w:t xml:space="preserve">Es así entonces como </w:t>
            </w:r>
            <w:r w:rsidRPr="00095793">
              <w:rPr>
                <w:rFonts w:ascii="Verdana" w:eastAsia="Calibri" w:hAnsi="Verdana"/>
                <w:color w:val="000000" w:themeColor="text1"/>
                <w:lang w:val="es-ES_tradnl"/>
              </w:rPr>
              <w:t>los procedimientos contractuales mediante los cuales las Entidades Estatales sometidas al EGCAP ejecutan recursos públicos y satisfacen el interés general se rigen por la normativa de contratación pública ―Ley 80 de 1993, Ley 1150 de 2007 y Decreto 1082 de 2015―, que contiene los principios, reglas y procedimientos que regulan los contratos de las entidades estatales. Específicamente, el EGCAP ―Ley 80 de 1993, Ley 1150 de 2007 y normas complementarias― se aplica a las Entidades Estatales relacionadas en el artículo 2, con lo cual se puede determinar quiénes deben cumplir los principios y obligaciones señalados en las normas citadas.</w:t>
            </w:r>
          </w:p>
          <w:p w14:paraId="3EC16D64" w14:textId="77777777" w:rsidR="00C4564E" w:rsidRPr="00095793" w:rsidRDefault="00C4564E" w:rsidP="00835D56">
            <w:pPr>
              <w:pStyle w:val="Textoindependiente"/>
              <w:spacing w:after="120" w:line="276" w:lineRule="auto"/>
              <w:ind w:firstLine="709"/>
              <w:jc w:val="both"/>
              <w:rPr>
                <w:rFonts w:ascii="Verdana" w:hAnsi="Verdana"/>
                <w:b/>
                <w:bCs/>
                <w:lang w:val="es-CO"/>
              </w:rPr>
            </w:pPr>
            <w:r w:rsidRPr="00095793">
              <w:rPr>
                <w:rFonts w:ascii="Verdana" w:hAnsi="Verdana"/>
              </w:rPr>
              <w:t xml:space="preserve">De otra parte, debe tenerse en cuenta también que, uno de los presupuestos para celebrar un contrato estatal, al igual que para celebrar cualquier otro negocio jurídico de forma válida, es el de gozar de capacidad jurídica entendida como la aptitud de un sujeto para ser titular de derecho y obligaciones, </w:t>
            </w:r>
            <w:r w:rsidRPr="00095793">
              <w:rPr>
                <w:rFonts w:ascii="Verdana" w:hAnsi="Verdana"/>
                <w:spacing w:val="3"/>
              </w:rPr>
              <w:t xml:space="preserve">de </w:t>
            </w:r>
            <w:r w:rsidRPr="00095793">
              <w:rPr>
                <w:rFonts w:ascii="Verdana" w:hAnsi="Verdana"/>
              </w:rPr>
              <w:t xml:space="preserve">ejercer o exigir los primeros y contraer las segundas en forma personal y de comparecer en juicio. </w:t>
            </w:r>
          </w:p>
          <w:p w14:paraId="1D8E5F82" w14:textId="77777777" w:rsidR="00C4564E" w:rsidRDefault="00C4564E" w:rsidP="00835D56">
            <w:pPr>
              <w:spacing w:after="120" w:line="276" w:lineRule="auto"/>
              <w:ind w:firstLine="709"/>
              <w:jc w:val="both"/>
              <w:rPr>
                <w:rFonts w:ascii="Verdana" w:hAnsi="Verdana" w:cs="Arial"/>
              </w:rPr>
            </w:pPr>
            <w:r>
              <w:rPr>
                <w:rFonts w:ascii="Verdana" w:hAnsi="Verdana" w:cs="Arial"/>
              </w:rPr>
              <w:t xml:space="preserve">De acuerdo con lo anterior, en términos generales, los </w:t>
            </w:r>
            <w:r w:rsidRPr="00DF54D1">
              <w:rPr>
                <w:rFonts w:ascii="Verdana" w:hAnsi="Verdana" w:cs="Arial"/>
              </w:rPr>
              <w:t xml:space="preserve">consejos profesionales son órganos creados por el Estado para ejercer la función de </w:t>
            </w:r>
            <w:r w:rsidRPr="00DF54D1">
              <w:rPr>
                <w:rFonts w:ascii="Verdana" w:hAnsi="Verdana" w:cs="Arial"/>
              </w:rPr>
              <w:lastRenderedPageBreak/>
              <w:t xml:space="preserve">inspección y vigilancia sobre las profesiones. Su creación es legal, generalmente sin personería jurídica, adscritos a un ministerio y su conformación está integrada por servidores públicos y particulares que representan a los que ejercen la profesión, con la finalidad de controlar o supervisar el adecuado ejercicio de la misma, según las reglas y principios que le resultan aplicables, función que tiene sustento en la potestad de regulación legal y de inspección y vigilancia de las autoridades sobre el libre ejercicio de las profesiones en Colombia según el artículo 26 de la Constitución Política. </w:t>
            </w:r>
          </w:p>
          <w:p w14:paraId="79F2D152" w14:textId="77777777" w:rsidR="00C4564E" w:rsidRPr="00DF54D1" w:rsidRDefault="00C4564E" w:rsidP="00835D56">
            <w:pPr>
              <w:spacing w:after="120" w:line="276" w:lineRule="auto"/>
              <w:ind w:firstLine="709"/>
              <w:jc w:val="both"/>
              <w:rPr>
                <w:rFonts w:ascii="Verdana" w:hAnsi="Verdana" w:cs="Arial"/>
              </w:rPr>
            </w:pPr>
            <w:r w:rsidRPr="00DF54D1">
              <w:rPr>
                <w:rFonts w:ascii="Verdana" w:hAnsi="Verdana" w:cs="Arial"/>
              </w:rPr>
              <w:t>Así  las cosas, los consejo</w:t>
            </w:r>
            <w:r>
              <w:rPr>
                <w:rFonts w:ascii="Verdana" w:hAnsi="Verdana" w:cs="Arial"/>
              </w:rPr>
              <w:t>s</w:t>
            </w:r>
            <w:r w:rsidRPr="00DF54D1">
              <w:rPr>
                <w:rFonts w:ascii="Verdana" w:hAnsi="Verdana" w:cs="Arial"/>
              </w:rPr>
              <w:t xml:space="preserve"> profesionales se consideran de naturaleza </w:t>
            </w:r>
            <w:r w:rsidRPr="00DF54D1">
              <w:rPr>
                <w:rFonts w:ascii="Verdana" w:hAnsi="Verdana" w:cs="Arial"/>
                <w:i/>
                <w:iCs/>
              </w:rPr>
              <w:t>sui generis,</w:t>
            </w:r>
            <w:r w:rsidRPr="00DF54D1">
              <w:rPr>
                <w:rFonts w:ascii="Verdana" w:hAnsi="Verdana" w:cs="Arial"/>
              </w:rPr>
              <w:t xml:space="preserve"> pues si bien no corresponden a las típicas clasificaciones de los entes públicos que integran los sectores central y descentralizado de la administración pública, sí son entes de naturaleza pública, en razón de su creación legal, su integración, sus funciones y su financiación, que en algunos casos proviene de recursos del presupuesto nacional, pero que en general tiene como fuente el dinero que la ley autoriza recaudar como contraprestación a las actividades que deben cumplir. </w:t>
            </w:r>
          </w:p>
          <w:p w14:paraId="7355217C" w14:textId="77777777" w:rsidR="00C4564E" w:rsidRPr="00C7464B" w:rsidRDefault="00C4564E" w:rsidP="00835D56">
            <w:pPr>
              <w:spacing w:after="120" w:line="276" w:lineRule="auto"/>
              <w:ind w:firstLine="709"/>
              <w:jc w:val="both"/>
              <w:rPr>
                <w:rFonts w:ascii="Verdana" w:eastAsia="Calibri" w:hAnsi="Verdana" w:cs="Arial"/>
                <w:color w:val="000000" w:themeColor="text1"/>
                <w:lang w:val="es-ES_tradnl"/>
              </w:rPr>
            </w:pPr>
            <w:r w:rsidRPr="006C42FC">
              <w:rPr>
                <w:rFonts w:ascii="Verdana" w:eastAsia="Calibri" w:hAnsi="Verdana" w:cs="Arial"/>
                <w:color w:val="000000" w:themeColor="text1"/>
                <w:lang w:val="es-ES_tradnl"/>
              </w:rPr>
              <w:t>Conforme con lo anterior</w:t>
            </w:r>
            <w:r>
              <w:rPr>
                <w:rFonts w:ascii="Verdana" w:eastAsia="Calibri" w:hAnsi="Verdana" w:cs="Arial"/>
                <w:color w:val="000000" w:themeColor="text1"/>
                <w:lang w:val="es-ES_tradnl"/>
              </w:rPr>
              <w:t>,</w:t>
            </w:r>
            <w:r w:rsidRPr="006C42FC">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el </w:t>
            </w:r>
            <w:r w:rsidRPr="00227BAC">
              <w:rPr>
                <w:rFonts w:ascii="Verdana" w:eastAsia="Calibri" w:hAnsi="Verdana" w:cs="Arial"/>
                <w:color w:val="000000" w:themeColor="text1"/>
              </w:rPr>
              <w:t>Consejo Profesional de Medicina Veterinaria y Zootecnia</w:t>
            </w:r>
            <w:r>
              <w:rPr>
                <w:rFonts w:ascii="Verdana" w:eastAsia="Calibri" w:hAnsi="Verdana" w:cs="Arial"/>
                <w:color w:val="000000" w:themeColor="text1"/>
                <w:lang w:val="es-ES_tradnl"/>
              </w:rPr>
              <w:t xml:space="preserve"> de Colombia </w:t>
            </w:r>
            <w:r w:rsidRPr="006C42FC">
              <w:rPr>
                <w:rFonts w:ascii="Verdana" w:eastAsia="Calibri" w:hAnsi="Verdana" w:cs="Arial"/>
                <w:color w:val="000000" w:themeColor="text1"/>
                <w:lang w:val="es-ES_tradnl"/>
              </w:rPr>
              <w:t>es una entidad pública sui géneris o especial del orden nacional, creado de</w:t>
            </w:r>
            <w:r>
              <w:rPr>
                <w:rFonts w:ascii="Verdana" w:eastAsia="Calibri" w:hAnsi="Verdana" w:cs="Arial"/>
                <w:color w:val="000000" w:themeColor="text1"/>
                <w:lang w:val="es-ES_tradnl"/>
              </w:rPr>
              <w:t xml:space="preserve"> conformidad con lo dispuesto en el artículo 7 de las Ley 73 de 1985</w:t>
            </w:r>
            <w:r w:rsidRPr="006C42FC">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Dicha ley no</w:t>
            </w:r>
            <w:r w:rsidRPr="00C7464B">
              <w:rPr>
                <w:rFonts w:ascii="Verdana" w:eastAsia="Calibri" w:hAnsi="Verdana" w:cs="Arial"/>
                <w:color w:val="000000" w:themeColor="text1"/>
                <w:lang w:val="es-ES_tradnl"/>
              </w:rPr>
              <w:t xml:space="preserve"> determinó ningún aspecto adicional o especial respecto del régimen jurídico aplicable al órgano creado. Así las cosas, no existe, en la ley que dio vida jurídica ni en los demás instrumentos normativos que rigen su funcionalidad, una norma que le haya otorgado personería jurídica ni capacidad legal para celebrar contratos estatales o convenios o contratos interadministrativos.</w:t>
            </w:r>
          </w:p>
          <w:p w14:paraId="23F28510" w14:textId="77777777" w:rsidR="00C4564E" w:rsidRDefault="00C4564E" w:rsidP="00835D56">
            <w:pPr>
              <w:spacing w:after="120" w:line="276" w:lineRule="auto"/>
              <w:ind w:firstLine="709"/>
              <w:jc w:val="both"/>
              <w:rPr>
                <w:rFonts w:ascii="Verdana" w:eastAsia="Calibri" w:hAnsi="Verdana" w:cs="Arial"/>
                <w:color w:val="000000" w:themeColor="text1"/>
                <w:lang w:val="es-ES_tradnl"/>
              </w:rPr>
            </w:pPr>
            <w:r w:rsidRPr="00C7464B">
              <w:rPr>
                <w:rFonts w:ascii="Verdana" w:eastAsia="Calibri" w:hAnsi="Verdana" w:cs="Arial"/>
                <w:color w:val="000000" w:themeColor="text1"/>
                <w:lang w:val="es-ES_tradnl"/>
              </w:rPr>
              <w:t xml:space="preserve">Teniendo en cuenta el análisis tanto jurisprudencial y doctrinario expuesto en las consideraciones previas sobre la naturaleza y régimen de los consejos profesionales aplicables para el caso, se concluye que este es un órgano estatal especial, atípico, que cumple función administrativa en el sector central nacional de la Rama Ejecutiva del Poder Público, </w:t>
            </w:r>
            <w:r w:rsidRPr="00B77FA7">
              <w:rPr>
                <w:rFonts w:ascii="Verdana" w:eastAsia="Calibri" w:hAnsi="Verdana" w:cs="Arial"/>
                <w:color w:val="000000" w:themeColor="text1"/>
                <w:lang w:val="es-ES_tradnl"/>
              </w:rPr>
              <w:t xml:space="preserve">que no goza del atributo de la personalidad jurídica y, por consiguiente, no tiene capacidad legal para celebrar contratos pues, no fue previsto con esa facultad en el EGCAP, en leyes especiales, ni en la norma de su creación. Por lo anterior, al </w:t>
            </w:r>
            <w:r w:rsidRPr="00B77FA7">
              <w:rPr>
                <w:rFonts w:ascii="Verdana" w:eastAsia="Calibri" w:hAnsi="Verdana" w:cs="Arial"/>
                <w:color w:val="000000" w:themeColor="text1"/>
                <w:lang w:val="es-ES_tradnl"/>
              </w:rPr>
              <w:lastRenderedPageBreak/>
              <w:t xml:space="preserve">no tener capacidad jurídica para contratar no está sujeto a las normas que rigen los contratos estatales. </w:t>
            </w:r>
          </w:p>
          <w:p w14:paraId="20CDCC30" w14:textId="5062B7EE" w:rsidR="00CA53D3" w:rsidRPr="003475FA" w:rsidRDefault="00C4564E" w:rsidP="003475FA">
            <w:pPr>
              <w:pStyle w:val="NormalWeb"/>
              <w:spacing w:before="0" w:beforeAutospacing="0" w:after="120" w:afterAutospacing="0" w:line="276" w:lineRule="auto"/>
              <w:ind w:firstLine="601"/>
              <w:jc w:val="both"/>
            </w:pPr>
            <w:proofErr w:type="spellStart"/>
            <w:r w:rsidRPr="6303ED7C">
              <w:rPr>
                <w:rFonts w:ascii="Verdana" w:eastAsia="Calibri" w:hAnsi="Verdana" w:cs="Arial"/>
                <w:color w:val="000000" w:themeColor="text1"/>
                <w:lang w:val="es-ES"/>
              </w:rPr>
              <w:t>ii</w:t>
            </w:r>
            <w:proofErr w:type="spellEnd"/>
            <w:r w:rsidRPr="003475FA">
              <w:rPr>
                <w:rFonts w:ascii="Verdana" w:eastAsia="Calibri" w:hAnsi="Verdana" w:cs="Arial"/>
                <w:color w:val="000000" w:themeColor="text1"/>
                <w:sz w:val="22"/>
                <w:szCs w:val="22"/>
                <w:lang w:val="es-ES"/>
              </w:rPr>
              <w:t xml:space="preserve">) </w:t>
            </w:r>
            <w:r w:rsidR="000E6045" w:rsidRPr="003475FA">
              <w:rPr>
                <w:rFonts w:ascii="Verdana" w:hAnsi="Verdana"/>
                <w:sz w:val="22"/>
                <w:szCs w:val="22"/>
              </w:rPr>
              <w:t>En el presente asunto, no se identifica una disposición normativa que precise si el Consejo Profesional de Medicina Veterinaria y Zootecnia de Colombia se encuentra adscrito o vinculado a una entidad estatal con personería jurídica. En caso de existir dicha adscripción o vinculación a un Ministerio o Departamento Administrativo, corresponderá a esa entidad, en representación del Consejo Profesional, suscribir los contratos y convenios, conforme a los términos y límites establecidos en la Ley 996 de 2005</w:t>
            </w:r>
          </w:p>
          <w:p w14:paraId="3FDBF6B1" w14:textId="1C4374D3" w:rsidR="00ED4DA3" w:rsidRDefault="00E56D0B" w:rsidP="00CA53D3">
            <w:pPr>
              <w:spacing w:after="120" w:line="276" w:lineRule="auto"/>
              <w:ind w:firstLine="709"/>
              <w:jc w:val="both"/>
              <w:rPr>
                <w:rFonts w:ascii="Verdana" w:eastAsia="Times New Roman" w:hAnsi="Verdana" w:cs="Arial"/>
                <w:lang w:eastAsia="x-none"/>
              </w:rPr>
            </w:pPr>
            <w:r w:rsidRPr="003E638E">
              <w:rPr>
                <w:rFonts w:ascii="Verdana" w:eastAsia="Times New Roman" w:hAnsi="Verdana" w:cs="Arial"/>
                <w:bCs/>
                <w:lang w:eastAsia="x-none"/>
              </w:rPr>
              <w:t xml:space="preserve">El ámbito material de la prohibición contenida en el artículo 33 de la ley 996 de 2005 está delimitado por la expresión </w:t>
            </w:r>
            <w:r>
              <w:rPr>
                <w:rFonts w:ascii="Verdana" w:eastAsia="Times New Roman" w:hAnsi="Verdana" w:cs="Arial"/>
                <w:bCs/>
                <w:lang w:eastAsia="x-none"/>
              </w:rPr>
              <w:t>“</w:t>
            </w:r>
            <w:r w:rsidRPr="003E638E">
              <w:rPr>
                <w:rFonts w:ascii="Verdana" w:eastAsia="Times New Roman" w:hAnsi="Verdana" w:cs="Arial"/>
                <w:bCs/>
                <w:lang w:eastAsia="x-none"/>
              </w:rPr>
              <w:t>queda prohibida la contratación directa</w:t>
            </w:r>
            <w:r>
              <w:rPr>
                <w:rFonts w:ascii="Verdana" w:hAnsi="Verdana" w:cs="Arial"/>
              </w:rPr>
              <w:t>”</w:t>
            </w:r>
            <w:r w:rsidR="00934979">
              <w:rPr>
                <w:rFonts w:ascii="Verdana" w:hAnsi="Verdana" w:cs="Arial"/>
              </w:rPr>
              <w:t xml:space="preserve">, </w:t>
            </w:r>
            <w:r w:rsidR="00934979" w:rsidRPr="00C8410A">
              <w:rPr>
                <w:rFonts w:ascii="Verdana" w:eastAsia="Times New Roman" w:hAnsi="Verdana" w:cs="Arial"/>
                <w:lang w:eastAsia="x-none"/>
              </w:rPr>
              <w:t>por lo que excluye las demás modalidades de contratación previstas en la Ley 1150 de 2007, es decir, la licitación pública, la selección abreviada y el concurso de méritos u otros previstos en normas especiales.</w:t>
            </w:r>
          </w:p>
          <w:p w14:paraId="02D12349" w14:textId="2338098A" w:rsidR="00676511" w:rsidRDefault="00676511" w:rsidP="00676511">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w:t>
            </w:r>
            <w:r w:rsidRPr="00991BC6">
              <w:rPr>
                <w:rFonts w:ascii="Verdana" w:hAnsi="Verdana" w:cs="Arial"/>
                <w:b/>
                <w:bCs/>
                <w:color w:val="000000" w:themeColor="text1"/>
                <w:u w:val="single"/>
                <w:lang w:val="es-MX"/>
              </w:rPr>
              <w:t>autorizadas por la ley para suscribir contratos</w:t>
            </w:r>
            <w:r>
              <w:rPr>
                <w:rFonts w:ascii="Verdana" w:hAnsi="Verdana" w:cs="Arial"/>
                <w:b/>
                <w:bCs/>
                <w:color w:val="000000" w:themeColor="text1"/>
                <w:u w:val="single"/>
                <w:lang w:val="es-MX"/>
              </w:rPr>
              <w:t xml:space="preserve"> </w:t>
            </w:r>
            <w:r>
              <w:rPr>
                <w:rFonts w:ascii="Verdana" w:hAnsi="Verdana" w:cs="Arial"/>
                <w:color w:val="000000" w:themeColor="text1"/>
                <w:lang w:val="es-MX"/>
              </w:rPr>
              <w:t>(se resalta)</w:t>
            </w:r>
            <w:r w:rsidRPr="73D21086">
              <w:rPr>
                <w:rFonts w:ascii="Verdana" w:hAnsi="Verdana" w:cs="Arial"/>
                <w:color w:val="000000" w:themeColor="text1"/>
                <w:lang w:val="es-MX"/>
              </w:rPr>
              <w:t xml:space="preserve">. En efecto, tal como lo ha sostenido el Consejo de Estado, el vocablo </w:t>
            </w:r>
            <w:r w:rsidR="00037A19">
              <w:rPr>
                <w:rFonts w:ascii="Verdana" w:hAnsi="Verdana" w:cs="Arial"/>
                <w:color w:val="000000" w:themeColor="text1"/>
                <w:lang w:val="es-MX"/>
              </w:rPr>
              <w:t>“</w:t>
            </w:r>
            <w:r w:rsidRPr="73D21086">
              <w:rPr>
                <w:rFonts w:ascii="Verdana" w:hAnsi="Verdana" w:cs="Arial"/>
                <w:color w:val="000000" w:themeColor="text1"/>
                <w:lang w:val="es-MX"/>
              </w:rPr>
              <w:t xml:space="preserve">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9795B07" w14:textId="797CD23E" w:rsidR="00934979" w:rsidRPr="00676511" w:rsidRDefault="00F41D2F" w:rsidP="00CA53D3">
            <w:pPr>
              <w:spacing w:after="120" w:line="276" w:lineRule="auto"/>
              <w:ind w:firstLine="709"/>
              <w:jc w:val="both"/>
              <w:rPr>
                <w:rFonts w:ascii="Verdana" w:hAnsi="Verdana" w:cs="Arial"/>
                <w:lang w:val="es-MX"/>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w:t>
            </w:r>
            <w:r w:rsidRPr="00E36918">
              <w:rPr>
                <w:rFonts w:ascii="Verdana" w:eastAsia="Times New Roman" w:hAnsi="Verdana" w:cs="Arial"/>
                <w:bCs/>
                <w:lang w:val="es-ES" w:eastAsia="es-CO" w:bidi="es-ES"/>
              </w:rPr>
              <w:lastRenderedPageBreak/>
              <w:t xml:space="preserve">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se aclara que, la planeación, los estudios técnicos, jurídicos y económicos, que debe preceder la celebración de cada contrato, y que determinan su viabilidad desde tales perspectivas, son asuntos que competen a las entidades estatales que adelantan los procesos de contratación</w:t>
            </w:r>
          </w:p>
          <w:p w14:paraId="29E789C3" w14:textId="1FC50702" w:rsidR="00C4564E" w:rsidRPr="00024982" w:rsidRDefault="00024982" w:rsidP="00024982">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Al margen de la explicación precedente, debe advertirse que el análisis requerido para resolver problemas específicos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0BB5D0E" w14:textId="77777777" w:rsidR="00C4564E" w:rsidRDefault="00C4564E" w:rsidP="00C4564E">
      <w:pPr>
        <w:tabs>
          <w:tab w:val="left" w:pos="142"/>
          <w:tab w:val="left" w:pos="284"/>
        </w:tabs>
        <w:spacing w:after="0" w:line="276" w:lineRule="auto"/>
        <w:jc w:val="both"/>
        <w:rPr>
          <w:rFonts w:ascii="Verdana" w:eastAsia="Century Gothic" w:hAnsi="Verdana" w:cs="Century Gothic"/>
          <w:b/>
          <w:bCs/>
        </w:rPr>
      </w:pPr>
    </w:p>
    <w:p w14:paraId="6EEDB434" w14:textId="77777777" w:rsidR="00C4564E" w:rsidRPr="005644FE" w:rsidRDefault="00C4564E" w:rsidP="00C4564E">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0273217" w14:textId="77777777" w:rsidR="00C4564E" w:rsidRPr="005644FE" w:rsidRDefault="00C4564E" w:rsidP="00C4564E">
      <w:pPr>
        <w:pStyle w:val="Prrafodelista"/>
        <w:tabs>
          <w:tab w:val="left" w:pos="142"/>
          <w:tab w:val="left" w:pos="284"/>
        </w:tabs>
        <w:spacing w:after="0" w:line="240" w:lineRule="auto"/>
        <w:ind w:left="0"/>
        <w:contextualSpacing w:val="0"/>
        <w:jc w:val="both"/>
        <w:rPr>
          <w:rFonts w:ascii="Verdana" w:eastAsia="Calibri" w:hAnsi="Verdana" w:cs="Arial"/>
        </w:rPr>
      </w:pPr>
    </w:p>
    <w:p w14:paraId="6AB9784A" w14:textId="77777777" w:rsidR="00C4564E" w:rsidRDefault="00C4564E" w:rsidP="00C4564E">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6848AA36" w14:textId="77777777" w:rsidR="00C4564E" w:rsidRDefault="00C4564E" w:rsidP="00C4564E">
      <w:pPr>
        <w:tabs>
          <w:tab w:val="left" w:pos="142"/>
          <w:tab w:val="left" w:pos="284"/>
          <w:tab w:val="left" w:pos="6912"/>
        </w:tabs>
        <w:spacing w:after="0" w:line="276" w:lineRule="auto"/>
        <w:jc w:val="both"/>
        <w:rPr>
          <w:rFonts w:ascii="Verdana" w:eastAsia="Calibri" w:hAnsi="Verdana" w:cs="Arial"/>
        </w:rPr>
      </w:pPr>
    </w:p>
    <w:p w14:paraId="46B6D912" w14:textId="77777777" w:rsidR="00C4564E" w:rsidRPr="00E17076" w:rsidRDefault="00C4564E" w:rsidP="00C4564E">
      <w:pPr>
        <w:spacing w:after="120" w:line="276" w:lineRule="auto"/>
        <w:contextualSpacing/>
        <w:jc w:val="both"/>
        <w:rPr>
          <w:rFonts w:ascii="Verdana" w:eastAsia="Times New Roman" w:hAnsi="Verdana" w:cs="Arial"/>
          <w:color w:val="000000" w:themeColor="text1"/>
          <w:lang w:val="es-ES" w:eastAsia="es-ES_tradnl"/>
        </w:rPr>
      </w:pPr>
      <w:bookmarkStart w:id="2" w:name="_Hlk113524986"/>
      <w:r>
        <w:rPr>
          <w:rFonts w:ascii="Verdana" w:eastAsia="Times New Roman" w:hAnsi="Verdana" w:cs="Arial"/>
          <w:color w:val="000000" w:themeColor="text1"/>
          <w:lang w:val="es-ES" w:eastAsia="es-ES_tradnl"/>
        </w:rPr>
        <w:t xml:space="preserve">i) </w:t>
      </w:r>
      <w:r w:rsidRPr="00E17076">
        <w:rPr>
          <w:rFonts w:ascii="Verdana" w:eastAsia="Times New Roman" w:hAnsi="Verdana" w:cs="Arial"/>
          <w:color w:val="000000" w:themeColor="text1"/>
          <w:lang w:val="es-ES" w:eastAsia="es-ES_tradnl"/>
        </w:rPr>
        <w:t xml:space="preserve">El ámbito de aplicación del EGCAP se encuentra en gran medida determinado por lo dispuesto en el artículo 2 de la Ley 80 de 1993. Dicha norma, consta de tres numerales a través de los cuales se encarga de establecer lo que se entiende por entidades estatales, servidores públicos y servicios, en el contexto del referido cuerpo normativo. </w:t>
      </w:r>
      <w:bookmarkEnd w:id="2"/>
      <w:r w:rsidRPr="00E17076">
        <w:rPr>
          <w:rFonts w:ascii="Verdana" w:eastAsia="Times New Roman" w:hAnsi="Verdana" w:cs="Arial"/>
          <w:color w:val="000000" w:themeColor="text1"/>
          <w:lang w:val="es-ES" w:eastAsia="es-ES_tradnl"/>
        </w:rPr>
        <w:t>Al respecto, resulta particularmente relevante lo dispuesto en el literal a) del numeral 1, el cual reza lo siguiente:</w:t>
      </w:r>
    </w:p>
    <w:p w14:paraId="6FB26040" w14:textId="77777777" w:rsidR="00C4564E" w:rsidRPr="00255BD1" w:rsidRDefault="00C4564E" w:rsidP="00C4564E">
      <w:pPr>
        <w:spacing w:line="276" w:lineRule="auto"/>
        <w:contextualSpacing/>
        <w:jc w:val="both"/>
        <w:rPr>
          <w:rFonts w:ascii="Arial" w:eastAsia="Times New Roman" w:hAnsi="Arial" w:cs="Arial"/>
          <w:color w:val="000000" w:themeColor="text1"/>
          <w:lang w:val="es-ES" w:eastAsia="es-ES_tradnl"/>
        </w:rPr>
      </w:pPr>
    </w:p>
    <w:p w14:paraId="292379DA" w14:textId="77777777" w:rsidR="00C4564E" w:rsidRPr="00E17076" w:rsidRDefault="00C4564E" w:rsidP="00C4564E">
      <w:pPr>
        <w:spacing w:after="0" w:line="240" w:lineRule="auto"/>
        <w:ind w:left="709" w:right="618"/>
        <w:contextualSpacing/>
        <w:jc w:val="both"/>
        <w:rPr>
          <w:rFonts w:ascii="Verdana" w:hAnsi="Verdana" w:cs="Arial"/>
          <w:color w:val="000000"/>
          <w:sz w:val="20"/>
          <w:szCs w:val="20"/>
        </w:rPr>
      </w:pPr>
      <w:r w:rsidRPr="00E17076">
        <w:rPr>
          <w:rFonts w:ascii="Verdana" w:hAnsi="Verdana" w:cs="Arial"/>
          <w:color w:val="000000"/>
          <w:sz w:val="20"/>
          <w:szCs w:val="20"/>
          <w:lang w:eastAsia="es-MX"/>
        </w:rPr>
        <w:t xml:space="preserve">“(…) </w:t>
      </w:r>
      <w:r w:rsidRPr="00E17076">
        <w:rPr>
          <w:rFonts w:ascii="Verdana" w:hAnsi="Verdana" w:cs="Arial"/>
          <w:color w:val="000000"/>
          <w:sz w:val="20"/>
          <w:szCs w:val="20"/>
        </w:rPr>
        <w:t>Artículo 2o. De la definición de entidades, servidores y servicios públicos.</w:t>
      </w:r>
      <w:r w:rsidRPr="00E17076">
        <w:rPr>
          <w:rFonts w:ascii="Verdana" w:hAnsi="Verdana" w:cs="Arial"/>
          <w:b/>
          <w:bCs/>
          <w:color w:val="000000"/>
          <w:sz w:val="20"/>
          <w:szCs w:val="20"/>
        </w:rPr>
        <w:t xml:space="preserve"> </w:t>
      </w:r>
      <w:r w:rsidRPr="00E17076">
        <w:rPr>
          <w:rFonts w:ascii="Verdana" w:hAnsi="Verdana" w:cs="Arial"/>
          <w:color w:val="000000"/>
          <w:sz w:val="20"/>
          <w:szCs w:val="20"/>
        </w:rPr>
        <w:t>Para los solos efectos de esta ley: </w:t>
      </w:r>
    </w:p>
    <w:p w14:paraId="51066AC0" w14:textId="77777777" w:rsidR="00C4564E" w:rsidRPr="00E17076" w:rsidRDefault="00C4564E" w:rsidP="00C4564E">
      <w:pPr>
        <w:spacing w:after="0" w:line="240" w:lineRule="auto"/>
        <w:ind w:left="709" w:right="618"/>
        <w:contextualSpacing/>
        <w:jc w:val="both"/>
        <w:rPr>
          <w:rFonts w:ascii="Verdana" w:eastAsia="Times New Roman" w:hAnsi="Verdana" w:cs="Arial"/>
          <w:color w:val="000000" w:themeColor="text1"/>
          <w:sz w:val="20"/>
          <w:szCs w:val="20"/>
          <w:lang w:val="es-ES" w:eastAsia="es-ES_tradnl"/>
        </w:rPr>
      </w:pPr>
    </w:p>
    <w:p w14:paraId="7E3A1752" w14:textId="77777777" w:rsidR="00C4564E" w:rsidRPr="00E17076" w:rsidRDefault="00C4564E" w:rsidP="00C4564E">
      <w:pPr>
        <w:spacing w:after="0" w:line="240" w:lineRule="auto"/>
        <w:ind w:left="709" w:right="618"/>
        <w:contextualSpacing/>
        <w:jc w:val="both"/>
        <w:rPr>
          <w:rFonts w:ascii="Verdana" w:hAnsi="Verdana" w:cs="Arial"/>
          <w:color w:val="000000"/>
          <w:sz w:val="20"/>
          <w:szCs w:val="20"/>
        </w:rPr>
      </w:pPr>
      <w:r w:rsidRPr="00E17076">
        <w:rPr>
          <w:rFonts w:ascii="Verdana" w:hAnsi="Verdana" w:cs="Arial"/>
          <w:color w:val="000000"/>
          <w:sz w:val="20"/>
          <w:szCs w:val="20"/>
        </w:rPr>
        <w:t>1o. Se denominan entidades estatales: </w:t>
      </w:r>
    </w:p>
    <w:p w14:paraId="159DA13F" w14:textId="77777777" w:rsidR="00C4564E" w:rsidRPr="00E17076" w:rsidRDefault="00C4564E" w:rsidP="00C4564E">
      <w:pPr>
        <w:spacing w:after="0" w:line="240" w:lineRule="auto"/>
        <w:ind w:left="709" w:right="618"/>
        <w:contextualSpacing/>
        <w:jc w:val="both"/>
        <w:rPr>
          <w:rFonts w:ascii="Verdana" w:hAnsi="Verdana" w:cs="Arial"/>
          <w:color w:val="000000"/>
          <w:sz w:val="20"/>
          <w:szCs w:val="20"/>
        </w:rPr>
      </w:pPr>
      <w:r w:rsidRPr="00E17076">
        <w:rPr>
          <w:rFonts w:ascii="Verdana" w:hAnsi="Verdana" w:cs="Arial"/>
          <w:color w:val="000000"/>
          <w:sz w:val="20"/>
          <w:szCs w:val="20"/>
        </w:rPr>
        <w:t>  </w:t>
      </w:r>
    </w:p>
    <w:p w14:paraId="5B3FBC7C" w14:textId="77777777" w:rsidR="00C4564E" w:rsidRPr="00E17076" w:rsidRDefault="00C4564E" w:rsidP="00C4564E">
      <w:pPr>
        <w:spacing w:after="0" w:line="240" w:lineRule="auto"/>
        <w:ind w:left="709" w:right="618"/>
        <w:contextualSpacing/>
        <w:jc w:val="both"/>
        <w:rPr>
          <w:rFonts w:ascii="Verdana" w:hAnsi="Verdana" w:cs="Arial"/>
          <w:color w:val="000000"/>
          <w:sz w:val="20"/>
          <w:szCs w:val="20"/>
        </w:rPr>
      </w:pPr>
      <w:r w:rsidRPr="00E17076">
        <w:rPr>
          <w:rFonts w:ascii="Verdana" w:hAnsi="Verdana" w:cs="Arial"/>
          <w:color w:val="000000"/>
          <w:sz w:val="20"/>
          <w:szCs w:val="20"/>
        </w:rPr>
        <w:t xml:space="preserve">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w:t>
      </w:r>
      <w:r w:rsidRPr="00E17076">
        <w:rPr>
          <w:rFonts w:ascii="Verdana" w:hAnsi="Verdana" w:cs="Arial"/>
          <w:color w:val="000000"/>
          <w:sz w:val="20"/>
          <w:szCs w:val="20"/>
        </w:rPr>
        <w:lastRenderedPageBreak/>
        <w:t>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r w:rsidRPr="00E17076">
        <w:rPr>
          <w:rFonts w:ascii="Verdana" w:hAnsi="Verdana" w:cs="Arial"/>
          <w:i/>
          <w:iCs/>
          <w:color w:val="000000"/>
          <w:sz w:val="20"/>
          <w:szCs w:val="20"/>
        </w:rPr>
        <w:t> </w:t>
      </w:r>
      <w:r w:rsidRPr="00E17076">
        <w:rPr>
          <w:rFonts w:ascii="Verdana" w:hAnsi="Verdana" w:cs="Arial"/>
          <w:color w:val="000000"/>
          <w:sz w:val="20"/>
          <w:szCs w:val="20"/>
        </w:rPr>
        <w:t>(...)</w:t>
      </w:r>
      <w:r w:rsidRPr="00E17076">
        <w:rPr>
          <w:rFonts w:ascii="Verdana" w:hAnsi="Verdana" w:cs="Arial"/>
          <w:color w:val="000000"/>
          <w:sz w:val="20"/>
          <w:szCs w:val="20"/>
          <w:lang w:eastAsia="es-MX"/>
        </w:rPr>
        <w:t>”.</w:t>
      </w:r>
      <w:r w:rsidRPr="00E17076">
        <w:rPr>
          <w:rFonts w:ascii="Verdana" w:hAnsi="Verdana" w:cs="Arial"/>
          <w:color w:val="000000"/>
          <w:sz w:val="20"/>
          <w:szCs w:val="20"/>
        </w:rPr>
        <w:t xml:space="preserve"> </w:t>
      </w:r>
    </w:p>
    <w:p w14:paraId="372ECFA4" w14:textId="77777777" w:rsidR="00C4564E" w:rsidRPr="00255BD1" w:rsidRDefault="00C4564E" w:rsidP="00C4564E">
      <w:pPr>
        <w:spacing w:after="0" w:line="240" w:lineRule="auto"/>
        <w:jc w:val="both"/>
        <w:rPr>
          <w:rFonts w:ascii="Arial" w:eastAsia="Times New Roman" w:hAnsi="Arial" w:cs="Arial"/>
          <w:color w:val="000000" w:themeColor="text1"/>
          <w:lang w:val="es-ES" w:eastAsia="es-ES_tradnl"/>
        </w:rPr>
      </w:pPr>
      <w:r w:rsidRPr="00255BD1">
        <w:rPr>
          <w:rFonts w:ascii="Arial" w:eastAsia="Times New Roman" w:hAnsi="Arial" w:cs="Arial"/>
          <w:color w:val="000000" w:themeColor="text1"/>
          <w:lang w:val="es-ES" w:eastAsia="es-ES_tradnl"/>
        </w:rPr>
        <w:t xml:space="preserve"> </w:t>
      </w:r>
      <w:r w:rsidRPr="00255BD1">
        <w:rPr>
          <w:rFonts w:ascii="Arial" w:eastAsia="Times New Roman" w:hAnsi="Arial" w:cs="Arial"/>
          <w:color w:val="000000" w:themeColor="text1"/>
          <w:lang w:val="es-ES" w:eastAsia="es-ES_tradnl"/>
        </w:rPr>
        <w:tab/>
      </w:r>
    </w:p>
    <w:p w14:paraId="19E0A451" w14:textId="77777777" w:rsidR="00C4564E" w:rsidRPr="00E17076" w:rsidRDefault="00C4564E" w:rsidP="00C4564E">
      <w:pPr>
        <w:spacing w:after="120" w:line="276" w:lineRule="auto"/>
        <w:jc w:val="both"/>
        <w:rPr>
          <w:rFonts w:ascii="Verdana" w:eastAsia="Times New Roman" w:hAnsi="Verdana" w:cs="Arial"/>
          <w:color w:val="000000" w:themeColor="text1"/>
          <w:lang w:val="es-ES" w:eastAsia="es-ES_tradnl"/>
        </w:rPr>
      </w:pPr>
      <w:r w:rsidRPr="00255BD1">
        <w:rPr>
          <w:rFonts w:ascii="Arial" w:eastAsia="Times New Roman" w:hAnsi="Arial" w:cs="Arial"/>
          <w:color w:val="000000" w:themeColor="text1"/>
          <w:lang w:val="es-ES" w:eastAsia="es-ES_tradnl"/>
        </w:rPr>
        <w:tab/>
      </w:r>
      <w:r w:rsidRPr="00E17076">
        <w:rPr>
          <w:rFonts w:ascii="Verdana" w:eastAsia="Times New Roman" w:hAnsi="Verdana" w:cs="Arial"/>
          <w:color w:val="000000" w:themeColor="text1"/>
          <w:lang w:val="es-ES" w:eastAsia="es-ES_tradnl"/>
        </w:rPr>
        <w:t>Conforme se aprecia, esta norma hace alusión a una serie de personas jurídicas públicas ubicadas en distintos órdenes y niveles de la Administración Pública, a efectos de predicar respecto a estas la calidad de entidades estatales. Dicha calidad, de conformidad con lo establecido en el artículo 1 de la Ley 80 de 1993, en principio, implica que el régimen contractual aplicable a los sujetos referidos en la norma sea el Estatuto General de Contratación de la Administración Pública – en adelante EGCAP</w:t>
      </w:r>
      <w:r w:rsidRPr="00FC0BD3">
        <w:rPr>
          <w:rFonts w:ascii="Verdana" w:eastAsia="Times New Roman" w:hAnsi="Verdana" w:cs="Arial"/>
          <w:color w:val="000000" w:themeColor="text1"/>
          <w:vertAlign w:val="superscript"/>
          <w:lang w:val="es-ES" w:eastAsia="es-ES_tradnl"/>
        </w:rPr>
        <w:footnoteReference w:id="2"/>
      </w:r>
      <w:r w:rsidRPr="00FC0BD3">
        <w:rPr>
          <w:rFonts w:ascii="Verdana" w:eastAsia="Times New Roman" w:hAnsi="Verdana" w:cs="Arial"/>
          <w:color w:val="000000" w:themeColor="text1"/>
          <w:vertAlign w:val="superscript"/>
          <w:lang w:val="es-ES" w:eastAsia="es-ES_tradnl"/>
        </w:rPr>
        <w:t>.</w:t>
      </w:r>
      <w:r w:rsidRPr="00E17076">
        <w:rPr>
          <w:rFonts w:ascii="Verdana" w:eastAsia="Times New Roman" w:hAnsi="Verdana" w:cs="Arial"/>
          <w:color w:val="000000" w:themeColor="text1"/>
          <w:lang w:val="es-ES" w:eastAsia="es-ES_tradnl"/>
        </w:rPr>
        <w:t xml:space="preserve"> </w:t>
      </w:r>
    </w:p>
    <w:p w14:paraId="5A0C73D1" w14:textId="77777777" w:rsidR="00C4564E" w:rsidRPr="00E17076" w:rsidRDefault="00C4564E" w:rsidP="00C4564E">
      <w:pPr>
        <w:spacing w:after="120" w:line="276" w:lineRule="auto"/>
        <w:jc w:val="both"/>
        <w:rPr>
          <w:rFonts w:ascii="Verdana" w:eastAsia="Times New Roman" w:hAnsi="Verdana" w:cs="Arial"/>
          <w:color w:val="000000" w:themeColor="text1"/>
          <w:lang w:val="es-ES" w:eastAsia="es-ES_tradnl"/>
        </w:rPr>
      </w:pPr>
      <w:r w:rsidRPr="00255BD1">
        <w:rPr>
          <w:rFonts w:ascii="Arial" w:eastAsia="Times New Roman" w:hAnsi="Arial" w:cs="Arial"/>
          <w:color w:val="000000" w:themeColor="text1"/>
          <w:lang w:val="es-ES" w:eastAsia="es-ES_tradnl"/>
        </w:rPr>
        <w:tab/>
        <w:t xml:space="preserve"> </w:t>
      </w:r>
      <w:r w:rsidRPr="00E17076">
        <w:rPr>
          <w:rFonts w:ascii="Verdana" w:eastAsia="Times New Roman" w:hAnsi="Verdana" w:cs="Arial"/>
          <w:color w:val="000000" w:themeColor="text1"/>
          <w:lang w:val="es-ES" w:eastAsia="es-ES_tradnl"/>
        </w:rPr>
        <w:t>De acuerdo con lo anterior, resulta claro que entidades como la Nación, los departamentos, municipios, establecimientos públicos y asociaciones de municipios, obedecen a la noción de entidades estatales establecida por el literal a) del artículo 2</w:t>
      </w:r>
      <w:r>
        <w:rPr>
          <w:rFonts w:ascii="Verdana" w:eastAsia="Times New Roman" w:hAnsi="Verdana" w:cs="Arial"/>
          <w:color w:val="000000" w:themeColor="text1"/>
          <w:lang w:val="es-ES" w:eastAsia="es-ES_tradnl"/>
        </w:rPr>
        <w:t xml:space="preserve"> numeral </w:t>
      </w:r>
      <w:r w:rsidRPr="00E17076">
        <w:rPr>
          <w:rFonts w:ascii="Verdana" w:eastAsia="Times New Roman" w:hAnsi="Verdana" w:cs="Arial"/>
          <w:color w:val="000000" w:themeColor="text1"/>
          <w:lang w:val="es-ES" w:eastAsia="es-ES_tradnl"/>
        </w:rPr>
        <w:t>1 de la Ley 80 de 1993, de lo que se colige que se encuentran regidas por régimen de contratación pública. En principio, lo mismo podría predicarse de entidades como las empresas industriales y comerciales del Estado, las sociedades de economía mixta en las que el Estado tenga una participación superior al cincuenta por ciento (50%), las entidades descentralizadas indirectas y las demás personas jurídicas en las que exista una participación pública mayoritaria.</w:t>
      </w:r>
    </w:p>
    <w:p w14:paraId="2AC40234" w14:textId="77777777" w:rsidR="00C4564E" w:rsidRPr="00E17076" w:rsidRDefault="00C4564E" w:rsidP="00C4564E">
      <w:pPr>
        <w:spacing w:after="120" w:line="276" w:lineRule="auto"/>
        <w:ind w:firstLine="709"/>
        <w:contextualSpacing/>
        <w:jc w:val="both"/>
        <w:rPr>
          <w:rFonts w:ascii="Verdana" w:eastAsia="Calibri" w:hAnsi="Verdana" w:cs="Arial"/>
          <w:color w:val="000000" w:themeColor="text1"/>
        </w:rPr>
      </w:pPr>
      <w:r w:rsidRPr="00E17076">
        <w:rPr>
          <w:rFonts w:ascii="Verdana" w:eastAsia="Times New Roman" w:hAnsi="Verdana" w:cs="Arial"/>
          <w:color w:val="000000" w:themeColor="text1"/>
          <w:lang w:val="es-ES" w:eastAsia="es-ES_tradnl"/>
        </w:rPr>
        <w:t xml:space="preserve">Sin perjuicio de lo dispuesto en los artículos 1 y 2 de la Ley 80 de 1993, la aplicabilidad del EGCAP a las empresas industriales comerciales del Estado, sociedades de economía mixta y entidades descentralizadas indirectas también está determinada por el artículo 14 de la Ley 1150 de 2007. Dicho precepto exceptúa a las referidas entidades de la aplicación del régimen contractual público en consideración a un criterio relativo al desarrollo de actividades comerciales en competencia con el sector privado o en mercados regulados. El texto de la norma es el siguiente:  </w:t>
      </w:r>
    </w:p>
    <w:p w14:paraId="3C95403C" w14:textId="77777777" w:rsidR="00C4564E" w:rsidRPr="00035163" w:rsidRDefault="00C4564E" w:rsidP="00C4564E">
      <w:pPr>
        <w:spacing w:after="0" w:line="240" w:lineRule="auto"/>
        <w:contextualSpacing/>
        <w:jc w:val="both"/>
        <w:rPr>
          <w:rFonts w:ascii="Verdana" w:eastAsia="Calibri" w:hAnsi="Verdana" w:cs="Arial"/>
          <w:color w:val="000000" w:themeColor="text1"/>
          <w:sz w:val="20"/>
          <w:szCs w:val="20"/>
        </w:rPr>
      </w:pPr>
    </w:p>
    <w:p w14:paraId="44CE123E" w14:textId="77777777" w:rsidR="00C4564E" w:rsidRPr="00035163" w:rsidRDefault="00C4564E" w:rsidP="00C4564E">
      <w:pPr>
        <w:spacing w:line="240" w:lineRule="auto"/>
        <w:ind w:left="709" w:right="616"/>
        <w:contextualSpacing/>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 </w:t>
      </w:r>
      <w:r w:rsidRPr="00035163">
        <w:rPr>
          <w:rFonts w:ascii="Verdana" w:eastAsia="Calibri" w:hAnsi="Verdana" w:cs="Arial"/>
          <w:color w:val="000000" w:themeColor="text1"/>
          <w:sz w:val="20"/>
          <w:szCs w:val="20"/>
        </w:rPr>
        <w:t xml:space="preserve">Artículo 14. Modificado por la Ley 1474 de 2011, artículo 93. Las Empresas Industriales y Comerciales del Estado, las Sociedades de Economía Mixta en las que el Estado tenga participación superior al cincuenta por ciento (50%), sus filiales y las Sociedades entre Entidades </w:t>
      </w:r>
      <w:r w:rsidRPr="00035163">
        <w:rPr>
          <w:rFonts w:ascii="Verdana" w:eastAsia="Calibri" w:hAnsi="Verdana" w:cs="Arial"/>
          <w:color w:val="000000" w:themeColor="text1"/>
          <w:sz w:val="20"/>
          <w:szCs w:val="20"/>
        </w:rPr>
        <w:lastRenderedPageBreak/>
        <w:t>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00035163">
        <w:rPr>
          <w:rFonts w:ascii="Verdana" w:hAnsi="Verdana" w:cs="Arial"/>
          <w:color w:val="000000"/>
          <w:sz w:val="20"/>
          <w:szCs w:val="20"/>
          <w:lang w:eastAsia="es-MX"/>
        </w:rPr>
        <w:t>”</w:t>
      </w:r>
      <w:r>
        <w:rPr>
          <w:rFonts w:ascii="Verdana" w:hAnsi="Verdana" w:cs="Arial"/>
          <w:color w:val="000000"/>
          <w:sz w:val="20"/>
          <w:szCs w:val="20"/>
          <w:lang w:eastAsia="es-MX"/>
        </w:rPr>
        <w:t>.</w:t>
      </w:r>
    </w:p>
    <w:p w14:paraId="309EA333" w14:textId="77777777" w:rsidR="00C4564E" w:rsidRPr="00035163" w:rsidRDefault="00C4564E" w:rsidP="00C4564E">
      <w:pPr>
        <w:spacing w:after="0" w:line="240" w:lineRule="auto"/>
        <w:jc w:val="both"/>
        <w:rPr>
          <w:rFonts w:ascii="Verdana" w:eastAsia="Calibri" w:hAnsi="Verdana" w:cs="Arial"/>
          <w:color w:val="000000" w:themeColor="text1"/>
        </w:rPr>
      </w:pPr>
    </w:p>
    <w:p w14:paraId="50E7AABA" w14:textId="77777777" w:rsidR="00C4564E" w:rsidRPr="00661B59" w:rsidRDefault="00C4564E" w:rsidP="00C4564E">
      <w:pPr>
        <w:spacing w:after="120" w:line="276" w:lineRule="auto"/>
        <w:jc w:val="both"/>
        <w:rPr>
          <w:rFonts w:ascii="Verdana" w:eastAsia="Times New Roman" w:hAnsi="Verdana" w:cs="Arial"/>
          <w:color w:val="000000" w:themeColor="text1"/>
          <w:lang w:val="es-ES" w:eastAsia="es-ES_tradnl"/>
        </w:rPr>
      </w:pPr>
      <w:r w:rsidRPr="00035163">
        <w:rPr>
          <w:rFonts w:ascii="Verdana" w:eastAsia="Calibri" w:hAnsi="Verdana" w:cs="Arial"/>
          <w:color w:val="000000" w:themeColor="text1"/>
        </w:rPr>
        <w:tab/>
        <w:t xml:space="preserve">En esta medida,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que no estén en competencia ni desarrollen su actividad en mercados regulados están sometidas al EGCAP y las normas que lo complementan. </w:t>
      </w:r>
      <w:r w:rsidRPr="00661B59">
        <w:rPr>
          <w:rFonts w:ascii="Verdana" w:eastAsia="Calibri" w:hAnsi="Verdana" w:cs="Arial"/>
          <w:color w:val="000000" w:themeColor="text1"/>
        </w:rPr>
        <w:t>En contraste, el régimen contractual de los mencionados tipos de entidades cuando se encuentren en competencia o en mercados regulados es el propio de tales actividades, esto es, por regla general, el derecho privado. De acuerdo con la jurisprudencia, la exclusión de estas últimas del EGCAP se justifica en el principio de igualdad, ya que, si el Estado desarrolla actividades de los particulares, debe actuar no solo desprovisto de poderes exorbitantes sino también con la misma eficacia y eficiencia que los sujetos de derecho privado</w:t>
      </w:r>
      <w:r w:rsidRPr="00661B59">
        <w:rPr>
          <w:rStyle w:val="Refdenotaalpie"/>
          <w:rFonts w:ascii="Verdana" w:eastAsia="Calibri" w:hAnsi="Verdana" w:cs="Arial"/>
          <w:color w:val="000000" w:themeColor="text1"/>
        </w:rPr>
        <w:footnoteReference w:id="3"/>
      </w:r>
      <w:r>
        <w:rPr>
          <w:rFonts w:ascii="Verdana" w:eastAsia="Times New Roman" w:hAnsi="Verdana" w:cs="Arial"/>
          <w:color w:val="000000" w:themeColor="text1"/>
          <w:lang w:val="es-ES" w:eastAsia="es-ES_tradnl"/>
        </w:rPr>
        <w:t>.</w:t>
      </w:r>
    </w:p>
    <w:p w14:paraId="628D7B2F" w14:textId="77777777" w:rsidR="00C4564E" w:rsidRPr="00095793" w:rsidRDefault="00C4564E" w:rsidP="00C4564E">
      <w:pPr>
        <w:spacing w:after="120" w:line="276" w:lineRule="auto"/>
        <w:jc w:val="both"/>
        <w:rPr>
          <w:rFonts w:ascii="Verdana" w:eastAsia="Calibri" w:hAnsi="Verdana" w:cs="Arial"/>
          <w:color w:val="000000" w:themeColor="text1"/>
        </w:rPr>
      </w:pPr>
      <w:r w:rsidRPr="00255BD1">
        <w:rPr>
          <w:rFonts w:ascii="Arial" w:eastAsia="Times New Roman" w:hAnsi="Arial" w:cs="Arial"/>
          <w:color w:val="000000" w:themeColor="text1"/>
          <w:lang w:val="es-ES" w:eastAsia="es-ES_tradnl"/>
        </w:rPr>
        <w:tab/>
      </w:r>
      <w:r w:rsidRPr="00661B59">
        <w:rPr>
          <w:rFonts w:ascii="Verdana" w:eastAsia="Times New Roman" w:hAnsi="Verdana" w:cs="Arial"/>
          <w:color w:val="000000" w:themeColor="text1"/>
          <w:lang w:val="es-ES" w:eastAsia="es-ES_tradnl"/>
        </w:rPr>
        <w:t xml:space="preserve">Es importante anotar que, el artículo 2.2.1.1.1.3.1 del Decreto 1082 de 2015 establece una definición de Entidad Estatal, la cual abarca no solo a las referidas en el artículo 2 de la Ley 80 de 1993, sino también a entidades referidas en otras disposiciones. Según esta definición constituyen entidades estatales: </w:t>
      </w:r>
      <w:r>
        <w:rPr>
          <w:rFonts w:ascii="Verdana" w:eastAsia="Times New Roman" w:hAnsi="Verdana" w:cs="Arial"/>
          <w:color w:val="000000" w:themeColor="text1"/>
          <w:lang w:val="es-ES" w:eastAsia="es-ES_tradnl"/>
        </w:rPr>
        <w:lastRenderedPageBreak/>
        <w:t>“</w:t>
      </w:r>
      <w:r w:rsidRPr="00661B59">
        <w:rPr>
          <w:rFonts w:ascii="Verdana" w:eastAsia="Times New Roman" w:hAnsi="Verdana" w:cs="Arial"/>
          <w:color w:val="000000" w:themeColor="text1"/>
          <w:lang w:val="es-ES" w:eastAsia="es-ES_tradnl"/>
        </w:rPr>
        <w:t xml:space="preserve">Cada una de las entidades: (a) a las que se refiere el artículo 2° de la Ley 80 de 1993; (b) a las que se refieren los artículos 10, 14 y 24 de la Ley 1150 de 2007 y (c) aquellas entidades que por disposición de la ley deban aplicar la Ley 80 de 1993 y </w:t>
      </w:r>
      <w:r w:rsidRPr="00095793">
        <w:rPr>
          <w:rFonts w:ascii="Verdana" w:eastAsia="Times New Roman" w:hAnsi="Verdana" w:cs="Arial"/>
          <w:color w:val="000000" w:themeColor="text1"/>
          <w:lang w:val="es-ES" w:eastAsia="es-ES_tradnl"/>
        </w:rPr>
        <w:t>la Ley 1150 de 2007, o las normas que las modifiquen, aclaren, adicionen o sustituyan”. Al tenor de esta definición, no solo constituyen entidades estatales las mencionadas en el artículo 2 de la Ley 80 de 1993, sino también las mencionadas en los artículos 10</w:t>
      </w:r>
      <w:r w:rsidRPr="00095793">
        <w:rPr>
          <w:rStyle w:val="Refdenotaalpie"/>
          <w:rFonts w:ascii="Verdana" w:eastAsia="Times New Roman" w:hAnsi="Verdana" w:cs="Arial"/>
          <w:color w:val="000000" w:themeColor="text1"/>
          <w:lang w:val="es-ES" w:eastAsia="es-ES_tradnl"/>
        </w:rPr>
        <w:footnoteReference w:id="4"/>
      </w:r>
      <w:r w:rsidRPr="00095793">
        <w:rPr>
          <w:rFonts w:ascii="Verdana" w:eastAsia="Times New Roman" w:hAnsi="Verdana" w:cs="Arial"/>
          <w:color w:val="000000" w:themeColor="text1"/>
          <w:lang w:val="es-ES" w:eastAsia="es-ES_tradnl"/>
        </w:rPr>
        <w:t>, 14</w:t>
      </w:r>
      <w:r>
        <w:rPr>
          <w:rStyle w:val="Refdenotaalpie"/>
          <w:rFonts w:ascii="Verdana" w:eastAsia="Times New Roman" w:hAnsi="Verdana" w:cs="Arial"/>
          <w:color w:val="000000" w:themeColor="text1"/>
          <w:lang w:val="es-ES" w:eastAsia="es-ES_tradnl"/>
        </w:rPr>
        <w:footnoteReference w:id="5"/>
      </w:r>
      <w:r w:rsidRPr="00095793">
        <w:rPr>
          <w:rFonts w:ascii="Verdana" w:eastAsia="Times New Roman" w:hAnsi="Verdana" w:cs="Arial"/>
          <w:color w:val="000000" w:themeColor="text1"/>
          <w:lang w:val="es-ES" w:eastAsia="es-ES_tradnl"/>
        </w:rPr>
        <w:t xml:space="preserve"> y 24</w:t>
      </w:r>
      <w:r w:rsidRPr="00095793">
        <w:rPr>
          <w:rStyle w:val="Refdenotaalpie"/>
          <w:rFonts w:ascii="Verdana" w:eastAsia="Times New Roman" w:hAnsi="Verdana" w:cs="Arial"/>
          <w:color w:val="000000" w:themeColor="text1"/>
          <w:lang w:val="es-ES" w:eastAsia="es-ES_tradnl"/>
        </w:rPr>
        <w:footnoteReference w:id="6"/>
      </w:r>
      <w:r w:rsidRPr="00095793">
        <w:rPr>
          <w:rFonts w:ascii="Verdana" w:eastAsia="Times New Roman" w:hAnsi="Verdana" w:cs="Arial"/>
          <w:color w:val="000000" w:themeColor="text1"/>
          <w:lang w:val="es-ES" w:eastAsia="es-ES_tradnl"/>
        </w:rPr>
        <w:t xml:space="preserve"> de la Ley 1150 de 2007. </w:t>
      </w:r>
    </w:p>
    <w:p w14:paraId="68BB9D34" w14:textId="77777777" w:rsidR="00C4564E" w:rsidRPr="00095793" w:rsidRDefault="00C4564E" w:rsidP="00C4564E">
      <w:pPr>
        <w:pStyle w:val="Textoindependiente"/>
        <w:spacing w:after="120" w:line="276" w:lineRule="auto"/>
        <w:ind w:firstLine="709"/>
        <w:jc w:val="both"/>
        <w:rPr>
          <w:rFonts w:ascii="Verdana" w:hAnsi="Verdana"/>
          <w:b/>
          <w:bCs/>
          <w:lang w:val="es-CO"/>
        </w:rPr>
      </w:pPr>
      <w:r w:rsidRPr="00095793">
        <w:rPr>
          <w:rFonts w:ascii="Verdana" w:eastAsia="Calibri" w:hAnsi="Verdana"/>
          <w:color w:val="000000" w:themeColor="text1"/>
        </w:rPr>
        <w:t xml:space="preserve">Es así entonces como </w:t>
      </w:r>
      <w:r w:rsidRPr="00095793">
        <w:rPr>
          <w:rFonts w:ascii="Verdana" w:eastAsia="Calibri" w:hAnsi="Verdana"/>
          <w:color w:val="000000" w:themeColor="text1"/>
          <w:lang w:val="es-ES_tradnl"/>
        </w:rPr>
        <w:t>los procedimientos contractuales mediante los cuales las Entidades Estatales sometidas al EGCAP ejecutan recursos públicos y satisfacen el interés general se rigen por la normativa de contratación pública ―Ley 80 de 1993, Ley 1150 de 2007 y Decreto 1082 de 2015―, que contiene los principios, reglas y procedimientos que regulan los contratos de las entidades estatales. Específicamente, el EGCAP ―Ley 80 de 1993, Ley 1150 de 2007 y normas complementarias― se aplica a las Entidades Estatales relacionadas en el artículo 2</w:t>
      </w:r>
      <w:r w:rsidRPr="00095793">
        <w:rPr>
          <w:rStyle w:val="Refdenotaalpie"/>
          <w:rFonts w:ascii="Verdana" w:eastAsia="Calibri" w:hAnsi="Verdana"/>
          <w:color w:val="000000" w:themeColor="text1"/>
          <w:lang w:val="es-ES_tradnl"/>
        </w:rPr>
        <w:footnoteReference w:id="7"/>
      </w:r>
      <w:r w:rsidRPr="00095793">
        <w:rPr>
          <w:rFonts w:ascii="Verdana" w:eastAsia="Calibri" w:hAnsi="Verdana"/>
          <w:color w:val="000000" w:themeColor="text1"/>
          <w:lang w:val="es-ES_tradnl"/>
        </w:rPr>
        <w:t xml:space="preserve">, con lo cual se puede determinar quiénes deben cumplir los </w:t>
      </w:r>
      <w:r w:rsidRPr="00095793">
        <w:rPr>
          <w:rFonts w:ascii="Verdana" w:eastAsia="Calibri" w:hAnsi="Verdana"/>
          <w:color w:val="000000" w:themeColor="text1"/>
          <w:lang w:val="es-ES_tradnl"/>
        </w:rPr>
        <w:lastRenderedPageBreak/>
        <w:t>principios y obligaciones señalados en las normas citadas.</w:t>
      </w:r>
    </w:p>
    <w:p w14:paraId="008AB9A6" w14:textId="77777777" w:rsidR="00C4564E" w:rsidRPr="00095793" w:rsidRDefault="00C4564E" w:rsidP="00C4564E">
      <w:pPr>
        <w:widowControl w:val="0"/>
        <w:autoSpaceDE w:val="0"/>
        <w:autoSpaceDN w:val="0"/>
        <w:spacing w:after="120" w:line="276" w:lineRule="auto"/>
        <w:ind w:left="119" w:right="102" w:firstLine="590"/>
        <w:jc w:val="both"/>
        <w:rPr>
          <w:rFonts w:ascii="Verdana" w:eastAsia="Arial" w:hAnsi="Verdana" w:cs="Arial"/>
          <w:lang w:val="es-ES"/>
        </w:rPr>
      </w:pPr>
      <w:bookmarkStart w:id="3" w:name="_Hlk122353837"/>
      <w:r w:rsidRPr="00095793">
        <w:rPr>
          <w:rFonts w:ascii="Verdana" w:eastAsia="Arial" w:hAnsi="Verdana" w:cs="Arial"/>
          <w:lang w:val="es-ES"/>
        </w:rPr>
        <w:t xml:space="preserve">De otra parte, debe tenerse en cuenta también que, uno de los presupuestos para celebrar un contrato estatal, al igual que para celebrar cualquier otro negocio jurídico de forma válida, es el de gozar de capacidad jurídica entendida como la aptitud de un sujeto para ser titular de derecho y obligaciones, </w:t>
      </w:r>
      <w:r w:rsidRPr="00095793">
        <w:rPr>
          <w:rFonts w:ascii="Verdana" w:eastAsia="Arial" w:hAnsi="Verdana" w:cs="Arial"/>
          <w:spacing w:val="3"/>
          <w:lang w:val="es-ES"/>
        </w:rPr>
        <w:t xml:space="preserve">de </w:t>
      </w:r>
      <w:r w:rsidRPr="00095793">
        <w:rPr>
          <w:rFonts w:ascii="Verdana" w:eastAsia="Arial" w:hAnsi="Verdana" w:cs="Arial"/>
          <w:lang w:val="es-ES"/>
        </w:rPr>
        <w:t>ejercer o exigir los primeros y contraer las segundas en forma personal y de comparecer en juicio. La capacidad jurídica permite crear, modificar o extinguir relaciones jurídicas de forma voluntaria y</w:t>
      </w:r>
      <w:r w:rsidRPr="00095793">
        <w:rPr>
          <w:rFonts w:ascii="Verdana" w:eastAsia="Arial" w:hAnsi="Verdana" w:cs="Arial"/>
          <w:spacing w:val="-5"/>
          <w:lang w:val="es-ES"/>
        </w:rPr>
        <w:t xml:space="preserve"> </w:t>
      </w:r>
      <w:r w:rsidRPr="00095793">
        <w:rPr>
          <w:rFonts w:ascii="Verdana" w:eastAsia="Arial" w:hAnsi="Verdana" w:cs="Arial"/>
          <w:lang w:val="es-ES"/>
        </w:rPr>
        <w:t>autónoma. La capacidad</w:t>
      </w:r>
      <w:r w:rsidRPr="00095793">
        <w:rPr>
          <w:rFonts w:ascii="Verdana" w:eastAsia="Arial" w:hAnsi="Verdana" w:cs="Arial"/>
          <w:vertAlign w:val="superscript"/>
          <w:lang w:val="es-ES"/>
        </w:rPr>
        <w:footnoteReference w:id="8"/>
      </w:r>
      <w:r w:rsidRPr="00095793">
        <w:rPr>
          <w:rFonts w:ascii="Verdana" w:eastAsia="Arial" w:hAnsi="Verdana" w:cs="Arial"/>
          <w:lang w:val="es-ES"/>
        </w:rPr>
        <w:t>, de acuerdo con lo establecido en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–artículos 1502, 1503 y 1504–, y de que la capacidad de las personas jurídicas se circunscribe a lo expresado en su objeto social y su forma de</w:t>
      </w:r>
      <w:r w:rsidRPr="00095793">
        <w:rPr>
          <w:rFonts w:ascii="Verdana" w:eastAsia="Arial" w:hAnsi="Verdana" w:cs="Arial"/>
          <w:spacing w:val="-13"/>
          <w:lang w:val="es-ES"/>
        </w:rPr>
        <w:t xml:space="preserve"> </w:t>
      </w:r>
      <w:r w:rsidRPr="00095793">
        <w:rPr>
          <w:rFonts w:ascii="Verdana" w:eastAsia="Arial" w:hAnsi="Verdana" w:cs="Arial"/>
          <w:lang w:val="es-ES"/>
        </w:rPr>
        <w:t>creación</w:t>
      </w:r>
      <w:bookmarkEnd w:id="3"/>
      <w:r w:rsidRPr="00095793">
        <w:rPr>
          <w:rFonts w:ascii="Verdana" w:eastAsia="Arial" w:hAnsi="Verdana" w:cs="Arial"/>
          <w:vertAlign w:val="superscript"/>
          <w:lang w:val="es-ES"/>
        </w:rPr>
        <w:footnoteReference w:id="9"/>
      </w:r>
      <w:r w:rsidRPr="00095793">
        <w:rPr>
          <w:rFonts w:ascii="Verdana" w:eastAsia="Arial" w:hAnsi="Verdana" w:cs="Arial"/>
          <w:lang w:val="es-ES"/>
        </w:rPr>
        <w:t>.</w:t>
      </w:r>
    </w:p>
    <w:p w14:paraId="6500BC0A" w14:textId="77777777" w:rsidR="00C4564E" w:rsidRDefault="00C4564E" w:rsidP="00C4564E">
      <w:pPr>
        <w:spacing w:after="120" w:line="276" w:lineRule="auto"/>
        <w:ind w:firstLine="709"/>
        <w:jc w:val="both"/>
        <w:rPr>
          <w:rFonts w:ascii="Verdana" w:hAnsi="Verdana" w:cs="Arial"/>
        </w:rPr>
      </w:pPr>
      <w:r>
        <w:rPr>
          <w:rFonts w:ascii="Verdana" w:hAnsi="Verdana" w:cs="Arial"/>
        </w:rPr>
        <w:t xml:space="preserve">De acuerdo con lo anterior, en términos generales, los </w:t>
      </w:r>
      <w:r w:rsidRPr="00DF54D1">
        <w:rPr>
          <w:rFonts w:ascii="Verdana" w:hAnsi="Verdana" w:cs="Arial"/>
        </w:rPr>
        <w:t xml:space="preserve">consejos profesionales son órganos creados por el Estado para ejercer la función de inspección y vigilancia sobre las profesiones. Su creación es legal, generalmente sin personería jurídica, adscritos a un ministerio y su conformación está integrada por servidores públicos y particulares que representan a los que ejercen la profesión, con la finalidad de controlar o supervisar el adecuado ejercicio de la misma, según las reglas y principios que le resultan aplicables, función que tiene sustento en la potestad de regulación legal y de inspección y vigilancia de las autoridades sobre el libre ejercicio de las profesiones en Colombia según el artículo 26 de la Constitución Política. </w:t>
      </w:r>
    </w:p>
    <w:p w14:paraId="683AC850" w14:textId="77777777" w:rsidR="00C4564E" w:rsidRPr="00DF54D1" w:rsidRDefault="00C4564E" w:rsidP="00C4564E">
      <w:pPr>
        <w:spacing w:after="120" w:line="276" w:lineRule="auto"/>
        <w:ind w:firstLine="709"/>
        <w:jc w:val="both"/>
        <w:rPr>
          <w:rFonts w:ascii="Verdana" w:hAnsi="Verdana" w:cs="Arial"/>
        </w:rPr>
      </w:pPr>
      <w:r w:rsidRPr="00DF54D1">
        <w:rPr>
          <w:rFonts w:ascii="Verdana" w:hAnsi="Verdana" w:cs="Arial"/>
        </w:rPr>
        <w:t>Sobre la naturaleza de estos consejos, la jurisprudencia de la Corte Constitucional</w:t>
      </w:r>
      <w:r w:rsidRPr="00DF54D1">
        <w:rPr>
          <w:rStyle w:val="Refdenotaalpie"/>
          <w:rFonts w:ascii="Verdana" w:hAnsi="Verdana" w:cs="Arial"/>
        </w:rPr>
        <w:footnoteReference w:id="10"/>
      </w:r>
      <w:r w:rsidRPr="00DF54D1">
        <w:rPr>
          <w:rFonts w:ascii="Verdana" w:hAnsi="Verdana" w:cs="Arial"/>
        </w:rPr>
        <w:t xml:space="preserve"> ha establecido que </w:t>
      </w:r>
      <w:r>
        <w:rPr>
          <w:rFonts w:ascii="Verdana" w:hAnsi="Verdana" w:cs="Arial"/>
        </w:rPr>
        <w:t>“</w:t>
      </w:r>
      <w:r w:rsidRPr="00DF54D1">
        <w:rPr>
          <w:rFonts w:ascii="Verdana" w:hAnsi="Verdana" w:cs="Arial"/>
        </w:rPr>
        <w:t xml:space="preserve">reúnen un conjunto de características que permiten catalogarlos como órganos del nivel central del orden nacional, puesto </w:t>
      </w:r>
      <w:r w:rsidRPr="00DF54D1">
        <w:rPr>
          <w:rFonts w:ascii="Verdana" w:hAnsi="Verdana" w:cs="Arial"/>
        </w:rPr>
        <w:lastRenderedPageBreak/>
        <w:t>que son creados por el legislador como entidades conformadas por autoridades públicas y particulares</w:t>
      </w:r>
      <w:r>
        <w:rPr>
          <w:rStyle w:val="Refdenotaalpie"/>
          <w:rFonts w:ascii="Verdana" w:hAnsi="Verdana" w:cs="Arial"/>
        </w:rPr>
        <w:footnoteReference w:id="11"/>
      </w:r>
      <w:r w:rsidRPr="00DF54D1">
        <w:rPr>
          <w:rFonts w:ascii="Verdana" w:hAnsi="Verdana" w:cs="Arial"/>
        </w:rPr>
        <w:t xml:space="preserve">, que ejercen funciones administrativas y cuyos gastos de funcionamiento se sufragan con recursos públicos </w:t>
      </w:r>
      <w:r>
        <w:rPr>
          <w:rFonts w:ascii="Verdana" w:hAnsi="Verdana" w:cs="Arial"/>
        </w:rPr>
        <w:t>(…)</w:t>
      </w:r>
      <w:r w:rsidRPr="00DF54D1">
        <w:rPr>
          <w:rFonts w:ascii="Verdana" w:hAnsi="Verdana" w:cs="Arial"/>
        </w:rPr>
        <w:t xml:space="preserve"> en reiterada jurisprudencia, esta Corporación ha precisado que organismos como los llamados Consejos o Comités Profesionales (Sentencia C- 964 de 1999), tienen carácter estatal y por tanto no pueden confundirse con los Colegios Profesionales que autorice la propia ley, ni con las asociaciones profesionales</w:t>
      </w:r>
      <w:r>
        <w:rPr>
          <w:rFonts w:ascii="Verdana" w:hAnsi="Verdana" w:cs="Arial"/>
        </w:rPr>
        <w:t>”</w:t>
      </w:r>
      <w:r w:rsidRPr="00DF54D1">
        <w:rPr>
          <w:rFonts w:ascii="Verdana" w:hAnsi="Verdana" w:cs="Arial"/>
        </w:rPr>
        <w:t xml:space="preserve">. (Sentencias C-606 de 1992, C-266 de 1994, C- 492 de 1996). </w:t>
      </w:r>
    </w:p>
    <w:p w14:paraId="322393F5" w14:textId="77777777" w:rsidR="00C4564E" w:rsidRPr="00DF54D1" w:rsidRDefault="00C4564E" w:rsidP="00C4564E">
      <w:pPr>
        <w:spacing w:after="120" w:line="276" w:lineRule="auto"/>
        <w:ind w:firstLine="709"/>
        <w:jc w:val="both"/>
        <w:rPr>
          <w:rFonts w:ascii="Verdana" w:hAnsi="Verdana" w:cs="Arial"/>
        </w:rPr>
      </w:pPr>
      <w:r w:rsidRPr="00DF54D1">
        <w:rPr>
          <w:rFonts w:ascii="Verdana" w:hAnsi="Verdana" w:cs="Arial"/>
        </w:rPr>
        <w:t xml:space="preserve">Así  las cosas, </w:t>
      </w:r>
      <w:bookmarkStart w:id="4" w:name="_Hlk122355811"/>
      <w:r w:rsidRPr="00DF54D1">
        <w:rPr>
          <w:rFonts w:ascii="Verdana" w:hAnsi="Verdana" w:cs="Arial"/>
        </w:rPr>
        <w:t>los consejo</w:t>
      </w:r>
      <w:r>
        <w:rPr>
          <w:rFonts w:ascii="Verdana" w:hAnsi="Verdana" w:cs="Arial"/>
        </w:rPr>
        <w:t>s</w:t>
      </w:r>
      <w:r w:rsidRPr="00DF54D1">
        <w:rPr>
          <w:rFonts w:ascii="Verdana" w:hAnsi="Verdana" w:cs="Arial"/>
        </w:rPr>
        <w:t xml:space="preserve"> profesionales se consideran de naturaleza </w:t>
      </w:r>
      <w:r w:rsidRPr="00DF54D1">
        <w:rPr>
          <w:rFonts w:ascii="Verdana" w:hAnsi="Verdana" w:cs="Arial"/>
          <w:i/>
          <w:iCs/>
        </w:rPr>
        <w:t>sui generis,</w:t>
      </w:r>
      <w:r w:rsidRPr="00DF54D1">
        <w:rPr>
          <w:rFonts w:ascii="Verdana" w:hAnsi="Verdana" w:cs="Arial"/>
        </w:rPr>
        <w:t xml:space="preserve"> pues si bien no corresponden a las típicas clasificaciones de los entes públicos que integran los sectores central y descentralizado de la administración pública, sí son entes de naturaleza pública, en razón de su creación legal, su integración, sus funciones y su financiación, que en algunos casos proviene de recursos del presupuesto nacional, pero que en general tiene como fuente el dinero que la ley autoriza recaudar como contraprestación a las actividades que deben cumplir. </w:t>
      </w:r>
      <w:bookmarkEnd w:id="4"/>
    </w:p>
    <w:p w14:paraId="19EFF140" w14:textId="77777777" w:rsidR="00C4564E" w:rsidRDefault="00C4564E" w:rsidP="00C4564E">
      <w:pPr>
        <w:spacing w:after="120" w:line="276" w:lineRule="auto"/>
        <w:ind w:firstLine="709"/>
        <w:jc w:val="both"/>
        <w:rPr>
          <w:rFonts w:ascii="Verdana" w:hAnsi="Verdana" w:cs="Arial"/>
        </w:rPr>
      </w:pPr>
      <w:r w:rsidRPr="005B4A16">
        <w:rPr>
          <w:rFonts w:ascii="Verdana" w:hAnsi="Verdana" w:cs="Arial"/>
        </w:rPr>
        <w:t>A su turno, la Sala de Consulta y Servicio Civil del Consejo de Estado se ha pronunciado sobre la naturaleza y el régimen jurídico de varios consejos profesionales</w:t>
      </w:r>
      <w:r w:rsidRPr="005B4A16">
        <w:rPr>
          <w:rStyle w:val="Refdenotaalpie"/>
          <w:rFonts w:ascii="Verdana" w:hAnsi="Verdana" w:cs="Arial"/>
        </w:rPr>
        <w:footnoteReference w:id="12"/>
      </w:r>
      <w:r w:rsidRPr="005B4A16">
        <w:rPr>
          <w:rFonts w:ascii="Verdana" w:hAnsi="Verdana" w:cs="Arial"/>
        </w:rPr>
        <w:t xml:space="preserve">, conceptos en los cuales ha reiterado que estos no hacen parte de la estructura típica de los organismos y entidades de la Administración Pública, pero se rigen por normas generales de la organización del Estado como el artículo 113 de la Constitución Política y la Ley 489 de 1998. Así mismo, ha considerado que estos consejos, al no tener personería jurídica, no tienen capacidad para celebrar contratos. En particular, se citará el análisis hecho por la Alta Corporación sobre </w:t>
      </w:r>
      <w:r>
        <w:rPr>
          <w:rFonts w:ascii="Verdana" w:hAnsi="Verdana" w:cs="Arial"/>
        </w:rPr>
        <w:t>el Consejo Profesional de Administración de Empresas</w:t>
      </w:r>
      <w:r w:rsidRPr="005B4A16">
        <w:rPr>
          <w:rFonts w:ascii="Verdana" w:hAnsi="Verdana" w:cs="Arial"/>
        </w:rPr>
        <w:t>, así:</w:t>
      </w:r>
    </w:p>
    <w:p w14:paraId="2506F686" w14:textId="77777777" w:rsidR="00C4564E" w:rsidRDefault="00C4564E" w:rsidP="00C4564E">
      <w:pPr>
        <w:tabs>
          <w:tab w:val="left" w:pos="8222"/>
        </w:tabs>
        <w:spacing w:after="120" w:line="240" w:lineRule="auto"/>
        <w:ind w:left="709" w:right="616"/>
        <w:jc w:val="both"/>
        <w:rPr>
          <w:rFonts w:ascii="Verdana" w:hAnsi="Verdana" w:cs="Arial"/>
          <w:sz w:val="20"/>
          <w:szCs w:val="20"/>
        </w:rPr>
      </w:pPr>
      <w:r>
        <w:rPr>
          <w:rFonts w:ascii="Verdana" w:hAnsi="Verdana" w:cs="Arial"/>
          <w:sz w:val="20"/>
          <w:szCs w:val="20"/>
        </w:rPr>
        <w:t xml:space="preserve">“(…) </w:t>
      </w:r>
      <w:r w:rsidRPr="00B9473A">
        <w:rPr>
          <w:rFonts w:ascii="Verdana" w:hAnsi="Verdana" w:cs="Arial"/>
          <w:sz w:val="20"/>
          <w:szCs w:val="20"/>
        </w:rPr>
        <w:t xml:space="preserve">el legislador al crear el Consejo de Administración de Empresas le asignó una tipología propia. En efecto, no le otorgó personería jurídica, como tampoco aparece que la haya adquirido mediante un acto posterior a su creación; está “adscrito al Ministerio de Desarrollo” razón por la cual ciertas decisiones para que tengan validez jurídica deben ser aprobadas por </w:t>
      </w:r>
      <w:r w:rsidRPr="00B9473A">
        <w:rPr>
          <w:rFonts w:ascii="Verdana" w:hAnsi="Verdana" w:cs="Arial"/>
          <w:sz w:val="20"/>
          <w:szCs w:val="20"/>
        </w:rPr>
        <w:lastRenderedPageBreak/>
        <w:t>éste; además las políticas que desarrolla en ejercicio de las funciones públicas deben ceñirse a las directrices que trace el Gobierno Nacional</w:t>
      </w:r>
      <w:r>
        <w:rPr>
          <w:rFonts w:ascii="Verdana" w:hAnsi="Verdana" w:cs="Arial"/>
          <w:sz w:val="20"/>
          <w:szCs w:val="20"/>
        </w:rPr>
        <w:t xml:space="preserve"> (…)”</w:t>
      </w:r>
      <w:r>
        <w:rPr>
          <w:rStyle w:val="Refdenotaalpie"/>
          <w:rFonts w:ascii="Verdana" w:hAnsi="Verdana" w:cs="Arial"/>
          <w:sz w:val="20"/>
          <w:szCs w:val="20"/>
        </w:rPr>
        <w:footnoteReference w:id="13"/>
      </w:r>
      <w:r w:rsidRPr="00B9473A">
        <w:rPr>
          <w:rFonts w:ascii="Verdana" w:hAnsi="Verdana" w:cs="Arial"/>
          <w:sz w:val="20"/>
          <w:szCs w:val="20"/>
        </w:rPr>
        <w:t>.</w:t>
      </w:r>
    </w:p>
    <w:p w14:paraId="00825AD9" w14:textId="77777777" w:rsidR="00024982" w:rsidRDefault="00024982" w:rsidP="00024982">
      <w:pPr>
        <w:tabs>
          <w:tab w:val="left" w:pos="8222"/>
        </w:tabs>
        <w:spacing w:after="0" w:line="240" w:lineRule="auto"/>
        <w:ind w:left="709" w:right="618"/>
        <w:jc w:val="both"/>
        <w:rPr>
          <w:rFonts w:ascii="Verdana" w:hAnsi="Verdana" w:cs="Arial"/>
          <w:sz w:val="20"/>
          <w:szCs w:val="20"/>
        </w:rPr>
      </w:pPr>
    </w:p>
    <w:p w14:paraId="172C3718" w14:textId="77777777" w:rsidR="00C4564E" w:rsidRDefault="00C4564E" w:rsidP="00C4564E">
      <w:pPr>
        <w:spacing w:after="120" w:line="276" w:lineRule="auto"/>
        <w:ind w:right="51" w:firstLine="709"/>
        <w:jc w:val="both"/>
        <w:rPr>
          <w:rFonts w:ascii="Verdana" w:hAnsi="Verdana" w:cs="Arial"/>
        </w:rPr>
      </w:pPr>
      <w:r w:rsidRPr="001D5030">
        <w:rPr>
          <w:rFonts w:ascii="Verdana" w:hAnsi="Verdana" w:cs="Arial"/>
        </w:rPr>
        <w:t xml:space="preserve">En otra oportunidad, </w:t>
      </w:r>
      <w:r>
        <w:rPr>
          <w:rFonts w:ascii="Verdana" w:hAnsi="Verdana" w:cs="Arial"/>
        </w:rPr>
        <w:t>el Consejo de Estado ha sostenido que tratándose de los consejos profesionales que no cuentan con personería jurídica “</w:t>
      </w:r>
      <w:r w:rsidRPr="001D5030">
        <w:rPr>
          <w:rFonts w:ascii="Verdana" w:hAnsi="Verdana" w:cs="Arial"/>
        </w:rPr>
        <w:t>por no ser sujetos de derechos y obligaciones por sustracción de materia carecen de capacidad para contratar.</w:t>
      </w:r>
      <w:r>
        <w:rPr>
          <w:rFonts w:ascii="Verdana" w:hAnsi="Verdana" w:cs="Arial"/>
        </w:rPr>
        <w:t xml:space="preserve"> </w:t>
      </w:r>
      <w:r w:rsidRPr="001D5030">
        <w:rPr>
          <w:rFonts w:ascii="Verdana" w:hAnsi="Verdana" w:cs="Arial"/>
        </w:rPr>
        <w:t>Los organismos y dependencias sin personería pueden celebrar contratos por cuenta de la nación o de la entidad de la que formen parte, cua</w:t>
      </w:r>
      <w:r>
        <w:rPr>
          <w:rFonts w:ascii="Verdana" w:hAnsi="Verdana" w:cs="Arial"/>
        </w:rPr>
        <w:t>n</w:t>
      </w:r>
      <w:r w:rsidRPr="001D5030">
        <w:rPr>
          <w:rFonts w:ascii="Verdana" w:hAnsi="Verdana" w:cs="Arial"/>
        </w:rPr>
        <w:t>do la ley en forma expresa les atribuye esta competencia como sucede con las enumeradas por el literal b) del numeral 2 del artículo 2 de la ley 80 de 1993</w:t>
      </w:r>
      <w:r>
        <w:rPr>
          <w:rFonts w:ascii="Verdana" w:hAnsi="Verdana" w:cs="Arial"/>
        </w:rPr>
        <w:t>”</w:t>
      </w:r>
      <w:r>
        <w:rPr>
          <w:rStyle w:val="Refdenotaalpie"/>
          <w:rFonts w:ascii="Verdana" w:hAnsi="Verdana" w:cs="Arial"/>
        </w:rPr>
        <w:footnoteReference w:id="14"/>
      </w:r>
      <w:r w:rsidRPr="001D5030">
        <w:rPr>
          <w:rFonts w:ascii="Verdana" w:hAnsi="Verdana" w:cs="Arial"/>
        </w:rPr>
        <w:t xml:space="preserve">.  </w:t>
      </w:r>
    </w:p>
    <w:p w14:paraId="164A40FA" w14:textId="77777777" w:rsidR="00C4564E" w:rsidRPr="001D5030" w:rsidRDefault="00C4564E" w:rsidP="00C4564E">
      <w:pPr>
        <w:spacing w:after="120" w:line="276" w:lineRule="auto"/>
        <w:ind w:right="51" w:firstLine="709"/>
        <w:jc w:val="both"/>
        <w:rPr>
          <w:rFonts w:ascii="Verdana" w:hAnsi="Verdana" w:cs="Arial"/>
          <w:i/>
          <w:iCs/>
        </w:rPr>
      </w:pPr>
      <w:r>
        <w:rPr>
          <w:rFonts w:ascii="Verdana" w:hAnsi="Verdana" w:cs="Arial"/>
        </w:rPr>
        <w:t>Incluso, en un caso similar al que se está estudiando, y que resulta aplicable al presente caso, el Consejo de Estado indicó que “</w:t>
      </w:r>
      <w:r w:rsidRPr="00FC0BD3">
        <w:rPr>
          <w:rFonts w:ascii="Verdana" w:hAnsi="Verdana" w:cs="Arial"/>
        </w:rPr>
        <w:t>la facultad que tiene el Consejo Nacional de Arquitectura de “d</w:t>
      </w:r>
      <w:r w:rsidRPr="00FC0BD3">
        <w:rPr>
          <w:rFonts w:ascii="Verdana" w:hAnsi="Verdana" w:cs="Arial"/>
          <w:color w:val="000000"/>
        </w:rPr>
        <w:t>ictar su propio reglamento y el de los Consejos Profesionales Seccionales de Arquitectura y sus Profesiones Auxiliares”, implica que esa reglamentación puede contener las normas de funcionamiento interno del Consejo Nacional de Arquitectura, tales como la periodicidad de sus reuniones, convocatorias, votaciones, quórum, forma de llevar las actas de las mismas, informes que deban rendirse, etc., todo con base en sus funciones legales y reglamentarias, pero en modo alguno significa que ese Consejo pueda asignarse a sí mismo capacidad o competencia para contratar, comoquiera que tales atributos son de reserva legal</w:t>
      </w:r>
      <w:r w:rsidRPr="00FC0BD3">
        <w:rPr>
          <w:rStyle w:val="Refdenotaalpie"/>
          <w:rFonts w:ascii="Verdana" w:hAnsi="Verdana" w:cs="Arial"/>
          <w:color w:val="000000"/>
        </w:rPr>
        <w:footnoteReference w:id="15"/>
      </w:r>
      <w:r w:rsidRPr="001D5030">
        <w:rPr>
          <w:rFonts w:ascii="Verdana" w:hAnsi="Verdana" w:cs="Arial"/>
          <w:i/>
          <w:iCs/>
          <w:color w:val="000000"/>
        </w:rPr>
        <w:t>.</w:t>
      </w:r>
    </w:p>
    <w:p w14:paraId="39AB8592" w14:textId="77777777" w:rsidR="00C4564E" w:rsidRPr="00E45F28" w:rsidRDefault="00C4564E" w:rsidP="00C4564E">
      <w:pPr>
        <w:spacing w:after="120" w:line="276" w:lineRule="auto"/>
        <w:ind w:firstLine="709"/>
        <w:jc w:val="both"/>
        <w:rPr>
          <w:rFonts w:ascii="Verdana" w:eastAsia="Calibri" w:hAnsi="Verdana" w:cs="Arial"/>
          <w:color w:val="000000" w:themeColor="text1"/>
          <w:lang w:val="es-ES"/>
        </w:rPr>
      </w:pPr>
      <w:r w:rsidRPr="6597C79F">
        <w:rPr>
          <w:rFonts w:ascii="Verdana" w:eastAsia="Calibri" w:hAnsi="Verdana" w:cs="Arial"/>
          <w:color w:val="000000" w:themeColor="text1"/>
          <w:lang w:val="es-ES"/>
        </w:rPr>
        <w:t>Según el análisis expuesto, para los efectos de responder a</w:t>
      </w:r>
      <w:r>
        <w:rPr>
          <w:rFonts w:ascii="Verdana" w:eastAsia="Calibri" w:hAnsi="Verdana" w:cs="Arial"/>
          <w:color w:val="000000" w:themeColor="text1"/>
          <w:lang w:val="es-ES"/>
        </w:rPr>
        <w:t>l primer problema jurídico planteado</w:t>
      </w:r>
      <w:r w:rsidRPr="6597C79F">
        <w:rPr>
          <w:rFonts w:ascii="Verdana" w:eastAsia="Calibri" w:hAnsi="Verdana" w:cs="Arial"/>
          <w:color w:val="000000" w:themeColor="text1"/>
          <w:lang w:val="es-ES"/>
        </w:rPr>
        <w:t xml:space="preserve">, se concluye que cuando la ley crea los consejos profesionales sin personería jurídica, estos se constituyen como órganos estatales especiales del sector central nacional de la Administración Pública, titulares de la función administrativa de inspección y vigilancia del ejercicio de las profesiones, pero que, por regla general, carecen de capacidad legal para celebrar contratos, salvo aquellos casos en que la ley de creación o una ley </w:t>
      </w:r>
      <w:r w:rsidRPr="6597C79F">
        <w:rPr>
          <w:rFonts w:ascii="Verdana" w:eastAsia="Calibri" w:hAnsi="Verdana" w:cs="Arial"/>
          <w:color w:val="000000" w:themeColor="text1"/>
          <w:lang w:val="es-ES"/>
        </w:rPr>
        <w:lastRenderedPageBreak/>
        <w:t xml:space="preserve">especial les otorgue dicha capacidad, sin que sea posible que la capacidad legal para contratar tenga origen en una norma de inferior jerarquía. </w:t>
      </w:r>
    </w:p>
    <w:p w14:paraId="04300836" w14:textId="3E3ADA25" w:rsidR="00C4564E" w:rsidRDefault="00C4564E" w:rsidP="00C4564E">
      <w:pPr>
        <w:spacing w:after="120" w:line="276" w:lineRule="auto"/>
        <w:ind w:firstLine="709"/>
        <w:jc w:val="both"/>
        <w:rPr>
          <w:rFonts w:ascii="Verdana" w:eastAsia="Calibri" w:hAnsi="Verdana" w:cs="Arial"/>
          <w:color w:val="000000" w:themeColor="text1"/>
          <w:lang w:val="es-ES_tradnl"/>
        </w:rPr>
      </w:pPr>
      <w:bookmarkStart w:id="5" w:name="_Hlk122360021"/>
      <w:r w:rsidRPr="006C42FC">
        <w:rPr>
          <w:rFonts w:ascii="Verdana" w:eastAsia="Calibri" w:hAnsi="Verdana" w:cs="Arial"/>
          <w:color w:val="000000" w:themeColor="text1"/>
          <w:lang w:val="es-ES_tradnl"/>
        </w:rPr>
        <w:t>Conforme con lo anterior</w:t>
      </w:r>
      <w:r>
        <w:rPr>
          <w:rFonts w:ascii="Verdana" w:eastAsia="Calibri" w:hAnsi="Verdana" w:cs="Arial"/>
          <w:color w:val="000000" w:themeColor="text1"/>
          <w:lang w:val="es-ES_tradnl"/>
        </w:rPr>
        <w:t>,</w:t>
      </w:r>
      <w:r w:rsidRPr="006C42FC">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el </w:t>
      </w:r>
      <w:r w:rsidRPr="00227BAC">
        <w:rPr>
          <w:rFonts w:ascii="Verdana" w:eastAsia="Calibri" w:hAnsi="Verdana" w:cs="Arial"/>
          <w:color w:val="000000" w:themeColor="text1"/>
        </w:rPr>
        <w:t>Consejo Profesional de Medicina Veterinaria y Zootecnia</w:t>
      </w:r>
      <w:r>
        <w:rPr>
          <w:rFonts w:ascii="Verdana" w:eastAsia="Calibri" w:hAnsi="Verdana" w:cs="Arial"/>
          <w:color w:val="000000" w:themeColor="text1"/>
          <w:lang w:val="es-ES_tradnl"/>
        </w:rPr>
        <w:t xml:space="preserve"> de Colombia </w:t>
      </w:r>
      <w:r w:rsidRPr="006C42FC">
        <w:rPr>
          <w:rFonts w:ascii="Verdana" w:eastAsia="Calibri" w:hAnsi="Verdana" w:cs="Arial"/>
          <w:color w:val="000000" w:themeColor="text1"/>
          <w:lang w:val="es-ES_tradnl"/>
        </w:rPr>
        <w:t>es una entidad pública sui géneris o especial del orden nacional, creado de</w:t>
      </w:r>
      <w:r>
        <w:rPr>
          <w:rFonts w:ascii="Verdana" w:eastAsia="Calibri" w:hAnsi="Verdana" w:cs="Arial"/>
          <w:color w:val="000000" w:themeColor="text1"/>
          <w:lang w:val="es-ES_tradnl"/>
        </w:rPr>
        <w:t xml:space="preserve"> conformidad con lo dispuesto en el artículo 7</w:t>
      </w:r>
      <w:r>
        <w:rPr>
          <w:rStyle w:val="Refdenotaalpie"/>
          <w:rFonts w:ascii="Verdana" w:eastAsia="Calibri" w:hAnsi="Verdana" w:cs="Arial"/>
          <w:color w:val="000000" w:themeColor="text1"/>
          <w:lang w:val="es-ES_tradnl"/>
        </w:rPr>
        <w:footnoteReference w:id="16"/>
      </w:r>
      <w:r>
        <w:rPr>
          <w:rFonts w:ascii="Verdana" w:eastAsia="Calibri" w:hAnsi="Verdana" w:cs="Arial"/>
          <w:color w:val="000000" w:themeColor="text1"/>
          <w:lang w:val="es-ES_tradnl"/>
        </w:rPr>
        <w:t xml:space="preserve"> de las Ley 73 de 1985</w:t>
      </w:r>
      <w:r w:rsidR="003326BE">
        <w:rPr>
          <w:rFonts w:ascii="Verdana" w:eastAsia="Calibri" w:hAnsi="Verdana" w:cs="Arial"/>
          <w:color w:val="000000" w:themeColor="text1"/>
          <w:lang w:val="es-ES_tradnl"/>
        </w:rPr>
        <w:t xml:space="preserve">, sin embargo, no se evidencia una norma que indique a </w:t>
      </w:r>
      <w:proofErr w:type="gramStart"/>
      <w:r w:rsidR="003326BE">
        <w:rPr>
          <w:rFonts w:ascii="Verdana" w:eastAsia="Calibri" w:hAnsi="Verdana" w:cs="Arial"/>
          <w:color w:val="000000" w:themeColor="text1"/>
          <w:lang w:val="es-ES_tradnl"/>
        </w:rPr>
        <w:t>cual</w:t>
      </w:r>
      <w:proofErr w:type="gramEnd"/>
      <w:r w:rsidR="003326BE">
        <w:rPr>
          <w:rFonts w:ascii="Verdana" w:eastAsia="Calibri" w:hAnsi="Verdana" w:cs="Arial"/>
          <w:color w:val="000000" w:themeColor="text1"/>
          <w:lang w:val="es-ES_tradnl"/>
        </w:rPr>
        <w:t xml:space="preserve"> entidad con personería jurídica está adscrita o vinculada</w:t>
      </w:r>
      <w:r w:rsidRPr="006C42FC">
        <w:rPr>
          <w:rFonts w:ascii="Verdana" w:eastAsia="Calibri" w:hAnsi="Verdana" w:cs="Arial"/>
          <w:color w:val="000000" w:themeColor="text1"/>
          <w:lang w:val="es-ES_tradnl"/>
        </w:rPr>
        <w:t xml:space="preserve">. </w:t>
      </w:r>
    </w:p>
    <w:p w14:paraId="41B7AEBF" w14:textId="77777777" w:rsidR="00C4564E" w:rsidRDefault="00C4564E" w:rsidP="00C4564E">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Por su parte, el artículo 8 de la mencionada ley indica como funciones del Consejo Profesional de Medicina Veterinaria y Zootecnia las siguientes: </w:t>
      </w:r>
    </w:p>
    <w:p w14:paraId="3EB7B8E4"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a) Dictar su propio reglamento, organizar su propia Secretaría Ejecutiva y fijar sus normas de financiación.</w:t>
      </w:r>
    </w:p>
    <w:p w14:paraId="293CE510"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202C4F50"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b) Expedir la matrícula a los profesionales que llenen los requisitos exigidos y llevar el registro profesional correspondiente.</w:t>
      </w:r>
    </w:p>
    <w:p w14:paraId="5EEB61E3"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071739A7"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c) Fijar los cánones de los derechos de expedición de la matrícula profesional y del presupuesto de inversión de estos fondos.</w:t>
      </w:r>
    </w:p>
    <w:p w14:paraId="210B7CA2"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50B918D5"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d) Velar por el cumplimiento de la presente</w:t>
      </w:r>
      <w:bookmarkStart w:id="6" w:name="LPHit9"/>
      <w:bookmarkEnd w:id="6"/>
      <w:r w:rsidRPr="0019135B">
        <w:rPr>
          <w:rFonts w:ascii="Verdana" w:eastAsia="Calibri" w:hAnsi="Verdana" w:cs="Arial"/>
          <w:color w:val="000000" w:themeColor="text1"/>
          <w:sz w:val="20"/>
          <w:szCs w:val="20"/>
        </w:rPr>
        <w:t> Ley.</w:t>
      </w:r>
    </w:p>
    <w:p w14:paraId="67FA963E"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1362B3D3" w14:textId="77777777" w:rsidR="00C4564E" w:rsidRPr="0019135B" w:rsidRDefault="00C4564E" w:rsidP="00C4564E">
      <w:pPr>
        <w:spacing w:after="0" w:line="240" w:lineRule="auto"/>
        <w:ind w:left="851" w:right="616"/>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xml:space="preserve">e) Colaborar con las autoridades universitarias y profesionales en el estudio y establecimiento de los requisitos académicos y </w:t>
      </w:r>
      <w:proofErr w:type="spellStart"/>
      <w:r w:rsidRPr="0019135B">
        <w:rPr>
          <w:rFonts w:ascii="Verdana" w:eastAsia="Calibri" w:hAnsi="Verdana" w:cs="Arial"/>
          <w:color w:val="000000" w:themeColor="text1"/>
          <w:sz w:val="20"/>
          <w:szCs w:val="20"/>
        </w:rPr>
        <w:t>curriculum</w:t>
      </w:r>
      <w:proofErr w:type="spellEnd"/>
      <w:r w:rsidRPr="0019135B">
        <w:rPr>
          <w:rFonts w:ascii="Verdana" w:eastAsia="Calibri" w:hAnsi="Verdana" w:cs="Arial"/>
          <w:color w:val="000000" w:themeColor="text1"/>
          <w:sz w:val="20"/>
          <w:szCs w:val="20"/>
        </w:rPr>
        <w:t xml:space="preserve"> de estudios con miras a una óptima educación y formación de profesionales de la Medicina Veterinaria, de la Medicina Veterinaria y Zootecnia y de la Zootecnia.</w:t>
      </w:r>
    </w:p>
    <w:p w14:paraId="4C995D53" w14:textId="77777777" w:rsidR="00C4564E" w:rsidRPr="0019135B" w:rsidRDefault="00C4564E" w:rsidP="00C4564E">
      <w:pPr>
        <w:spacing w:after="0" w:line="240" w:lineRule="auto"/>
        <w:ind w:firstLine="709"/>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329E116B" w14:textId="77777777" w:rsidR="00C4564E" w:rsidRPr="0019135B" w:rsidRDefault="00C4564E" w:rsidP="00C4564E">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xml:space="preserve">f) Cooperar con las Asociaciones y Sociedades Gremiales, Científicas y Profesionales de la Medicina Veterinaria, de la Medicina Veterinaria y Zootecnia y de la Zootecnia, en el estímulo y desarrollo de la profesión y en el continuo mejoramiento y utilización de los médicos veterinarios, de </w:t>
      </w:r>
      <w:r w:rsidRPr="0019135B">
        <w:rPr>
          <w:rFonts w:ascii="Verdana" w:eastAsia="Calibri" w:hAnsi="Verdana" w:cs="Arial"/>
          <w:color w:val="000000" w:themeColor="text1"/>
          <w:sz w:val="20"/>
          <w:szCs w:val="20"/>
        </w:rPr>
        <w:lastRenderedPageBreak/>
        <w:t>médicos veterinarios zootecnistas y de los zootecnistas colombianos, mediante elevados patrones profesionales de ética, educación, conocimientos, retribución y ejecuciones científicas y tecnológicas.</w:t>
      </w:r>
    </w:p>
    <w:p w14:paraId="750F0EA9" w14:textId="77777777" w:rsidR="00C4564E" w:rsidRPr="0019135B" w:rsidRDefault="00C4564E" w:rsidP="00C4564E">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5DB24C99" w14:textId="77777777" w:rsidR="00C4564E" w:rsidRPr="0019135B" w:rsidRDefault="00C4564E" w:rsidP="00C4564E">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g) Plantear ante el Ministerio de Educación Nacional y demás autoridades competentes, los problemas que se presenten sobre el ejercicio ilegal de la profesión y sobre la compatibilidad entre los títulos otorgados en Medicina Veterinaria y Zootecnia y los niveles reales de educación o idoneidad de quienes ostentan dichos títulos.</w:t>
      </w:r>
    </w:p>
    <w:p w14:paraId="1C31764E" w14:textId="77777777" w:rsidR="00C4564E" w:rsidRPr="0019135B" w:rsidRDefault="00C4564E" w:rsidP="00C4564E">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30945751" w14:textId="77777777" w:rsidR="00C4564E" w:rsidRPr="0019135B" w:rsidRDefault="00C4564E" w:rsidP="00C4564E">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h) Fijar tarifas de servicios.</w:t>
      </w:r>
    </w:p>
    <w:p w14:paraId="45E6951E" w14:textId="77777777" w:rsidR="00C4564E" w:rsidRPr="0019135B" w:rsidRDefault="00C4564E" w:rsidP="00C4564E">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 </w:t>
      </w:r>
    </w:p>
    <w:p w14:paraId="4D7AEEDB" w14:textId="39F79819" w:rsidR="00C4564E" w:rsidRPr="00C20907" w:rsidRDefault="00C4564E" w:rsidP="000A6117">
      <w:pPr>
        <w:spacing w:after="0" w:line="240" w:lineRule="auto"/>
        <w:ind w:left="851" w:right="618"/>
        <w:jc w:val="both"/>
        <w:rPr>
          <w:rFonts w:ascii="Verdana" w:eastAsia="Calibri" w:hAnsi="Verdana" w:cs="Arial"/>
          <w:color w:val="000000" w:themeColor="text1"/>
          <w:sz w:val="20"/>
          <w:szCs w:val="20"/>
        </w:rPr>
      </w:pPr>
      <w:r w:rsidRPr="0019135B">
        <w:rPr>
          <w:rFonts w:ascii="Verdana" w:eastAsia="Calibri" w:hAnsi="Verdana" w:cs="Arial"/>
          <w:color w:val="000000" w:themeColor="text1"/>
          <w:sz w:val="20"/>
          <w:szCs w:val="20"/>
        </w:rPr>
        <w:t>i) Las demás que señalen sus reglamentos en concordancia con la presente</w:t>
      </w:r>
      <w:bookmarkStart w:id="7" w:name="LPHit10"/>
      <w:bookmarkEnd w:id="7"/>
      <w:r w:rsidRPr="0019135B">
        <w:rPr>
          <w:rFonts w:ascii="Verdana" w:eastAsia="Calibri" w:hAnsi="Verdana" w:cs="Arial"/>
          <w:color w:val="000000" w:themeColor="text1"/>
          <w:sz w:val="20"/>
          <w:szCs w:val="20"/>
        </w:rPr>
        <w:t> Ley. Parágrafo. El registro de matrícula profesional no regirá para los integrantes del primer consejo, pero sólo mientras dura la organización y tramitación correspondiente. Los miembros que representan a la Asociación Colombiana de Médicos Veterinarios y Zootecnistas, a la Asociación Nacional de Médicos Veterinarios, Asociación Nacional de Zootecnistas y a las entidades docentes que contempla el artículo 7º en el Consejo Profesional de Medicina Veterinaria y Zootecnia de Colombia, desempeñarán sus funciones ad-honorem y su período será de dos (2) años.</w:t>
      </w:r>
    </w:p>
    <w:p w14:paraId="644BFD9A" w14:textId="77777777" w:rsidR="00024982" w:rsidRDefault="00024982" w:rsidP="00024982">
      <w:pPr>
        <w:spacing w:after="0" w:line="240" w:lineRule="auto"/>
        <w:ind w:firstLine="709"/>
        <w:jc w:val="both"/>
        <w:rPr>
          <w:rFonts w:ascii="Verdana" w:eastAsia="Calibri" w:hAnsi="Verdana" w:cs="Arial"/>
          <w:color w:val="000000" w:themeColor="text1"/>
        </w:rPr>
      </w:pPr>
    </w:p>
    <w:p w14:paraId="002A2C6B" w14:textId="2D59ACEE" w:rsidR="00C4564E" w:rsidRDefault="00C4564E" w:rsidP="00C4564E">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La Sala de Servicio y Consulta Civil del Consejo de Estado mediante concepto del 5 de junio de 2014</w:t>
      </w:r>
      <w:r>
        <w:rPr>
          <w:rStyle w:val="Refdenotaalpie"/>
          <w:rFonts w:ascii="Verdana" w:eastAsia="Calibri" w:hAnsi="Verdana" w:cs="Arial"/>
          <w:color w:val="000000" w:themeColor="text1"/>
        </w:rPr>
        <w:footnoteReference w:id="17"/>
      </w:r>
      <w:r>
        <w:rPr>
          <w:rFonts w:ascii="Verdana" w:eastAsia="Calibri" w:hAnsi="Verdana" w:cs="Arial"/>
          <w:color w:val="000000" w:themeColor="text1"/>
        </w:rPr>
        <w:t xml:space="preserve"> indicó que l</w:t>
      </w:r>
      <w:r w:rsidRPr="00001F4F">
        <w:rPr>
          <w:rFonts w:ascii="Verdana" w:eastAsia="Calibri" w:hAnsi="Verdana" w:cs="Arial"/>
          <w:color w:val="000000" w:themeColor="text1"/>
        </w:rPr>
        <w:t>a Ley 73 de 1985 se expidió en vigencia del Decreto Ley 1050 de 1968</w:t>
      </w:r>
      <w:r>
        <w:rPr>
          <w:rStyle w:val="Refdenotaalpie"/>
          <w:rFonts w:ascii="Verdana" w:eastAsia="Calibri" w:hAnsi="Verdana" w:cs="Arial"/>
          <w:color w:val="000000" w:themeColor="text1"/>
        </w:rPr>
        <w:footnoteReference w:id="18"/>
      </w:r>
      <w:r w:rsidRPr="00001F4F">
        <w:rPr>
          <w:rFonts w:ascii="Verdana" w:eastAsia="Calibri" w:hAnsi="Verdana" w:cs="Arial"/>
          <w:color w:val="000000" w:themeColor="text1"/>
        </w:rPr>
        <w:t>, que regulaba en esa época la estructura de la Administración en el orden nacional. En el artículo 1° de dicho Decreto se empleaba la palabra "organismo" para designar las diferentes estructuras administrativas que componían la rama ejecutiva del poder público nacional en el sector central, dentro de las cuales se encontraban, entre otras, la Presidencia de la República, los Ministerios y Departamentos Administrativos, las Superintendencias, los Establecimientos Públicos y finalmente las Unidades Administrativas Especiales. En la categoría de las “unidades ministeriales”, prevista en el artículo 11 del Decreto - Ley 1050, recibían el nombre de “consejos” los organismos encargados de las funciones de “asesoría o coordinación” cuando incluyeran personas ajenas al ministerio.</w:t>
      </w:r>
    </w:p>
    <w:p w14:paraId="6CF6A4B7" w14:textId="77777777" w:rsidR="00C4564E" w:rsidRDefault="00C4564E" w:rsidP="00C4564E">
      <w:pPr>
        <w:spacing w:after="120" w:line="276" w:lineRule="auto"/>
        <w:ind w:firstLine="709"/>
        <w:jc w:val="both"/>
        <w:rPr>
          <w:rFonts w:ascii="Verdana" w:eastAsia="Calibri" w:hAnsi="Verdana" w:cs="Arial"/>
          <w:color w:val="000000" w:themeColor="text1"/>
        </w:rPr>
      </w:pPr>
      <w:r w:rsidRPr="00001F4F">
        <w:rPr>
          <w:rFonts w:ascii="Verdana" w:eastAsia="Calibri" w:hAnsi="Verdana" w:cs="Arial"/>
          <w:color w:val="000000" w:themeColor="text1"/>
        </w:rPr>
        <w:lastRenderedPageBreak/>
        <w:t>El carácter estatal del COMVEZCOL se vuelve incontrovertible cuando, ya en vigencia de la Constitución Política de 1991, el Congreso de la República dicta la Ley 576 de 2000 </w:t>
      </w:r>
      <w:r w:rsidRPr="00001F4F">
        <w:rPr>
          <w:rFonts w:ascii="Verdana" w:eastAsia="Calibri" w:hAnsi="Verdana" w:cs="Arial"/>
          <w:i/>
          <w:iCs/>
          <w:color w:val="000000" w:themeColor="text1"/>
        </w:rPr>
        <w:t>“Por la cual se expide el Código de Ética para el ejercicio profesional de la medicina veterinaria, la medicina veterinaria y zootecnia y zootecnia”</w:t>
      </w:r>
      <w:r>
        <w:rPr>
          <w:rFonts w:ascii="Verdana" w:eastAsia="Calibri" w:hAnsi="Verdana" w:cs="Arial"/>
          <w:i/>
          <w:iCs/>
          <w:color w:val="000000" w:themeColor="text1"/>
        </w:rPr>
        <w:t xml:space="preserve">. </w:t>
      </w:r>
      <w:r w:rsidRPr="00001F4F">
        <w:rPr>
          <w:rFonts w:ascii="Verdana" w:eastAsia="Calibri" w:hAnsi="Verdana" w:cs="Arial"/>
          <w:color w:val="000000" w:themeColor="text1"/>
        </w:rPr>
        <w:t>En efecto, la Ley 576 establece en el artículo 62:</w:t>
      </w:r>
    </w:p>
    <w:p w14:paraId="4D19E1E3"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w:t>
      </w:r>
      <w:r w:rsidRPr="00765B81">
        <w:rPr>
          <w:rFonts w:ascii="Verdana" w:eastAsia="Calibri" w:hAnsi="Verdana" w:cs="Arial"/>
          <w:b/>
          <w:bCs/>
          <w:color w:val="000000" w:themeColor="text1"/>
          <w:sz w:val="20"/>
          <w:szCs w:val="20"/>
        </w:rPr>
        <w:t>ARTÍCULO 62.</w:t>
      </w:r>
      <w:r w:rsidRPr="00765B81">
        <w:rPr>
          <w:rFonts w:ascii="Verdana" w:eastAsia="Calibri" w:hAnsi="Verdana" w:cs="Arial"/>
          <w:color w:val="000000" w:themeColor="text1"/>
          <w:sz w:val="20"/>
          <w:szCs w:val="20"/>
        </w:rPr>
        <w:t> Para ejercer en Colombia la profesión de médico veterinario, médico veterinario zootecnista y de zootecnista, se requiere:</w:t>
      </w:r>
    </w:p>
    <w:p w14:paraId="74FBAEC8"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 </w:t>
      </w:r>
    </w:p>
    <w:p w14:paraId="766D2F61"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a) Haber obtenido el correspondiente título expedido por una institución legalmente reconocida;</w:t>
      </w:r>
    </w:p>
    <w:p w14:paraId="55BF9ED6"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b) Haber obtenido el correspondiente registro profesional y la matrícula que lo habilite para el ejercicio en el país, y</w:t>
      </w:r>
    </w:p>
    <w:p w14:paraId="333D68A9"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 </w:t>
      </w:r>
    </w:p>
    <w:p w14:paraId="55E4EAF8"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c) Cumplir los demás requisitos señalados por las disposiciones legales sobre la materia.</w:t>
      </w:r>
    </w:p>
    <w:p w14:paraId="4A170230" w14:textId="77777777" w:rsidR="00C4564E" w:rsidRPr="00765B81"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color w:val="000000" w:themeColor="text1"/>
          <w:sz w:val="20"/>
          <w:szCs w:val="20"/>
        </w:rPr>
        <w:t> </w:t>
      </w:r>
    </w:p>
    <w:p w14:paraId="6FBBB9F6" w14:textId="77777777" w:rsidR="00C4564E" w:rsidRDefault="00C4564E" w:rsidP="00C4564E">
      <w:pPr>
        <w:spacing w:after="0" w:line="240" w:lineRule="auto"/>
        <w:ind w:left="567" w:right="616"/>
        <w:jc w:val="both"/>
        <w:rPr>
          <w:rFonts w:ascii="Verdana" w:eastAsia="Calibri" w:hAnsi="Verdana" w:cs="Arial"/>
          <w:color w:val="000000" w:themeColor="text1"/>
          <w:sz w:val="20"/>
          <w:szCs w:val="20"/>
        </w:rPr>
      </w:pPr>
      <w:r w:rsidRPr="00765B81">
        <w:rPr>
          <w:rFonts w:ascii="Verdana" w:eastAsia="Calibri" w:hAnsi="Verdana" w:cs="Arial"/>
          <w:b/>
          <w:bCs/>
          <w:color w:val="000000" w:themeColor="text1"/>
          <w:sz w:val="20"/>
          <w:szCs w:val="20"/>
        </w:rPr>
        <w:t>PARÁGRAFO 1°.</w:t>
      </w:r>
      <w:r w:rsidRPr="00765B81">
        <w:rPr>
          <w:rFonts w:ascii="Verdana" w:eastAsia="Calibri" w:hAnsi="Verdana" w:cs="Arial"/>
          <w:color w:val="000000" w:themeColor="text1"/>
          <w:sz w:val="20"/>
          <w:szCs w:val="20"/>
        </w:rPr>
        <w:t> El Consejo Profesional de Medicina Veterinaria y Zootecnia de Colombia es el </w:t>
      </w:r>
      <w:r w:rsidRPr="00765B81">
        <w:rPr>
          <w:rFonts w:ascii="Verdana" w:eastAsia="Calibri" w:hAnsi="Verdana" w:cs="Arial"/>
          <w:b/>
          <w:bCs/>
          <w:color w:val="000000" w:themeColor="text1"/>
          <w:sz w:val="20"/>
          <w:szCs w:val="20"/>
        </w:rPr>
        <w:t>organismo encargado</w:t>
      </w:r>
      <w:r w:rsidRPr="00765B81">
        <w:rPr>
          <w:rFonts w:ascii="Verdana" w:eastAsia="Calibri" w:hAnsi="Verdana" w:cs="Arial"/>
          <w:color w:val="000000" w:themeColor="text1"/>
          <w:sz w:val="20"/>
          <w:szCs w:val="20"/>
        </w:rPr>
        <w:t> de expedir el registro profesional y la matrícula a los profesionales que reúnan los requisitos señalados por la ley e informará periódicamente a las respectivas asociaciones u organismos que considere, la relación completa de los profesionales registrados y matriculados.” (se resalta).</w:t>
      </w:r>
    </w:p>
    <w:p w14:paraId="0FD9F9FF" w14:textId="77777777" w:rsidR="00C4564E" w:rsidRPr="00001F4F" w:rsidRDefault="00C4564E" w:rsidP="00C4564E">
      <w:pPr>
        <w:spacing w:after="0" w:line="240" w:lineRule="auto"/>
        <w:ind w:left="567" w:right="616"/>
        <w:jc w:val="both"/>
        <w:rPr>
          <w:rFonts w:ascii="Verdana" w:eastAsia="Calibri" w:hAnsi="Verdana" w:cs="Arial"/>
          <w:color w:val="000000" w:themeColor="text1"/>
          <w:sz w:val="20"/>
          <w:szCs w:val="20"/>
        </w:rPr>
      </w:pPr>
    </w:p>
    <w:p w14:paraId="38586735" w14:textId="77777777" w:rsidR="00C4564E" w:rsidRPr="00001F4F" w:rsidRDefault="00C4564E" w:rsidP="00E53611">
      <w:pPr>
        <w:spacing w:after="120" w:line="276" w:lineRule="auto"/>
        <w:ind w:firstLine="709"/>
        <w:jc w:val="both"/>
        <w:rPr>
          <w:rFonts w:ascii="Verdana" w:eastAsia="Calibri" w:hAnsi="Verdana" w:cs="Arial"/>
          <w:color w:val="000000" w:themeColor="text1"/>
        </w:rPr>
      </w:pPr>
      <w:r w:rsidRPr="00765B81">
        <w:rPr>
          <w:rFonts w:ascii="Verdana" w:eastAsia="Calibri" w:hAnsi="Verdana" w:cs="Arial"/>
          <w:color w:val="000000" w:themeColor="text1"/>
        </w:rPr>
        <w:t>La expresión </w:t>
      </w:r>
      <w:r w:rsidRPr="00765B81">
        <w:rPr>
          <w:rFonts w:ascii="Verdana" w:eastAsia="Calibri" w:hAnsi="Verdana" w:cs="Arial"/>
          <w:i/>
          <w:iCs/>
          <w:color w:val="000000" w:themeColor="text1"/>
        </w:rPr>
        <w:t>"organismo"</w:t>
      </w:r>
      <w:r w:rsidRPr="00765B81">
        <w:rPr>
          <w:rFonts w:ascii="Verdana" w:eastAsia="Calibri" w:hAnsi="Verdana" w:cs="Arial"/>
          <w:color w:val="000000" w:themeColor="text1"/>
        </w:rPr>
        <w:t> que se encuentra en este artículo 62 ratifica que el COMVEZCOL forma parte de la estructura Estatal y, en particular, de la Rama Ejecutiva. En efecto, </w:t>
      </w:r>
      <w:r w:rsidRPr="00765B81">
        <w:rPr>
          <w:rFonts w:ascii="Verdana" w:eastAsia="Calibri" w:hAnsi="Verdana" w:cs="Arial"/>
          <w:i/>
          <w:iCs/>
          <w:color w:val="000000" w:themeColor="text1"/>
        </w:rPr>
        <w:t>“organismos y entidades”</w:t>
      </w:r>
      <w:r w:rsidRPr="00765B81">
        <w:rPr>
          <w:rFonts w:ascii="Verdana" w:eastAsia="Calibri" w:hAnsi="Verdana" w:cs="Arial"/>
          <w:color w:val="000000" w:themeColor="text1"/>
        </w:rPr>
        <w:t> son los términos que usualmente emplea la Constitución para designar las administraciones públicas pertenecientes a la Rama Ejecutiva, con y sin personería jurídica. Dicha terminología tiene arraigo constitucional en los numerales 15 y 16 del artículo 189, y la jurisprudencia de la Corte Constitucional la acoge, por ejemplo, en las sentencias C-150 de 1994</w:t>
      </w:r>
      <w:r>
        <w:rPr>
          <w:rStyle w:val="Refdenotaalpie"/>
          <w:rFonts w:ascii="Verdana" w:eastAsia="Calibri" w:hAnsi="Verdana" w:cs="Arial"/>
          <w:color w:val="000000" w:themeColor="text1"/>
        </w:rPr>
        <w:footnoteReference w:id="19"/>
      </w:r>
      <w:r w:rsidRPr="00765B81">
        <w:rPr>
          <w:rFonts w:ascii="Verdana" w:eastAsia="Calibri" w:hAnsi="Verdana" w:cs="Arial"/>
          <w:color w:val="000000" w:themeColor="text1"/>
        </w:rPr>
        <w:t> y C-177 de 2007</w:t>
      </w:r>
      <w:r>
        <w:rPr>
          <w:rStyle w:val="Refdenotaalpie"/>
          <w:rFonts w:ascii="Verdana" w:eastAsia="Calibri" w:hAnsi="Verdana" w:cs="Arial"/>
          <w:color w:val="000000" w:themeColor="text1"/>
        </w:rPr>
        <w:footnoteReference w:id="20"/>
      </w:r>
      <w:r w:rsidRPr="00765B81">
        <w:rPr>
          <w:rFonts w:ascii="Verdana" w:eastAsia="Calibri" w:hAnsi="Verdana" w:cs="Arial"/>
          <w:color w:val="000000" w:themeColor="text1"/>
        </w:rPr>
        <w:t>.</w:t>
      </w:r>
    </w:p>
    <w:p w14:paraId="327C1F3E" w14:textId="77777777" w:rsidR="00C4564E" w:rsidRPr="00C7464B" w:rsidRDefault="00C4564E" w:rsidP="00E53611">
      <w:pPr>
        <w:spacing w:after="120" w:line="276" w:lineRule="auto"/>
        <w:ind w:firstLine="709"/>
        <w:jc w:val="both"/>
        <w:rPr>
          <w:rFonts w:ascii="Verdana" w:eastAsia="Calibri" w:hAnsi="Verdana" w:cs="Arial"/>
          <w:color w:val="000000" w:themeColor="text1"/>
          <w:lang w:val="es-ES_tradnl"/>
        </w:rPr>
      </w:pPr>
      <w:bookmarkStart w:id="8" w:name="_Hlk122360093"/>
      <w:bookmarkEnd w:id="5"/>
      <w:r w:rsidRPr="00C7464B">
        <w:rPr>
          <w:rFonts w:ascii="Verdana" w:eastAsia="Calibri" w:hAnsi="Verdana" w:cs="Arial"/>
          <w:color w:val="000000" w:themeColor="text1"/>
          <w:lang w:val="es-ES_tradnl"/>
        </w:rPr>
        <w:t>Como se puede observar, la ley de creación del Consejo Profesional de Medicina Veterinaria y de Zootecnia</w:t>
      </w:r>
      <w:r>
        <w:rPr>
          <w:rFonts w:ascii="Verdana" w:eastAsia="Calibri" w:hAnsi="Verdana" w:cs="Arial"/>
          <w:color w:val="000000" w:themeColor="text1"/>
          <w:lang w:val="es-ES_tradnl"/>
        </w:rPr>
        <w:t xml:space="preserve"> de Colombia no</w:t>
      </w:r>
      <w:r w:rsidRPr="00C7464B">
        <w:rPr>
          <w:rFonts w:ascii="Verdana" w:eastAsia="Calibri" w:hAnsi="Verdana" w:cs="Arial"/>
          <w:color w:val="000000" w:themeColor="text1"/>
          <w:lang w:val="es-ES_tradnl"/>
        </w:rPr>
        <w:t xml:space="preserve"> determinó ningún aspecto adicional o especial respecto del régimen jurídico aplicable al órgano creado. Así las cosas, no existe, en la ley que dio vida jurídica ni en los demás instrumentos normativos que rigen su funcionalidad, una norma que le haya otorgado </w:t>
      </w:r>
      <w:r w:rsidRPr="00C7464B">
        <w:rPr>
          <w:rFonts w:ascii="Verdana" w:eastAsia="Calibri" w:hAnsi="Verdana" w:cs="Arial"/>
          <w:color w:val="000000" w:themeColor="text1"/>
          <w:lang w:val="es-ES_tradnl"/>
        </w:rPr>
        <w:lastRenderedPageBreak/>
        <w:t>personería jurídica ni capacidad legal para celebrar contratos estatales o convenios o contratos interadministrativos.</w:t>
      </w:r>
    </w:p>
    <w:bookmarkEnd w:id="8"/>
    <w:p w14:paraId="5EC74FD5" w14:textId="77777777" w:rsidR="00C4564E" w:rsidRDefault="00C4564E" w:rsidP="00C4564E">
      <w:pPr>
        <w:spacing w:after="120" w:line="276" w:lineRule="auto"/>
        <w:ind w:firstLine="709"/>
        <w:jc w:val="both"/>
        <w:rPr>
          <w:rFonts w:ascii="Verdana" w:eastAsia="Calibri" w:hAnsi="Verdana" w:cs="Arial"/>
          <w:color w:val="000000" w:themeColor="text1"/>
          <w:lang w:val="es-ES_tradnl"/>
        </w:rPr>
      </w:pPr>
      <w:r w:rsidRPr="00C7464B">
        <w:rPr>
          <w:rFonts w:ascii="Verdana" w:eastAsia="Calibri" w:hAnsi="Verdana" w:cs="Arial"/>
          <w:color w:val="000000" w:themeColor="text1"/>
          <w:lang w:val="es-ES_tradnl"/>
        </w:rPr>
        <w:t xml:space="preserve">Teniendo en cuenta el análisis tanto jurisprudencial y doctrinario expuesto en las consideraciones previas sobre la naturaleza y régimen de los consejos profesionales aplicables para el caso, se concluye que este es un órgano estatal especial, atípico, que cumple función administrativa en el sector central nacional de la Rama Ejecutiva del Poder Público, </w:t>
      </w:r>
      <w:r w:rsidRPr="00B77FA7">
        <w:rPr>
          <w:rFonts w:ascii="Verdana" w:eastAsia="Calibri" w:hAnsi="Verdana" w:cs="Arial"/>
          <w:color w:val="000000" w:themeColor="text1"/>
          <w:lang w:val="es-ES_tradnl"/>
        </w:rPr>
        <w:t xml:space="preserve">que no goza del atributo de la personalidad jurídica y, por consiguiente, no tiene capacidad legal para celebrar contratos pues, no fue previsto con esa facultad en el EGCAP, en leyes especiales, ni en la norma de su creación. Por lo anterior, al no tener capacidad jurídica para contratar no está sujeto a las normas que rigen los contratos estatales. </w:t>
      </w:r>
    </w:p>
    <w:p w14:paraId="1F4E9511" w14:textId="77777777" w:rsidR="00C4564E" w:rsidRDefault="00C4564E" w:rsidP="00C4564E">
      <w:pPr>
        <w:spacing w:after="120" w:line="276" w:lineRule="auto"/>
        <w:ind w:firstLine="709"/>
        <w:jc w:val="both"/>
        <w:rPr>
          <w:rFonts w:ascii="Verdana" w:eastAsia="Calibri" w:hAnsi="Verdana" w:cs="Arial"/>
          <w:color w:val="000000" w:themeColor="text1"/>
        </w:rPr>
      </w:pPr>
      <w:r w:rsidRPr="00327447">
        <w:rPr>
          <w:rFonts w:ascii="Verdana" w:eastAsia="Calibri" w:hAnsi="Verdana" w:cs="Arial"/>
          <w:color w:val="000000" w:themeColor="text1"/>
          <w:lang w:val="es-ES_tradnl"/>
        </w:rPr>
        <w:t>Así lo dispuso la Sala de Servicio y Consulta Civil el Consejo de Estado en el concepto</w:t>
      </w:r>
      <w:r>
        <w:rPr>
          <w:rStyle w:val="Refdenotaalpie"/>
          <w:rFonts w:ascii="Verdana" w:eastAsia="Calibri" w:hAnsi="Verdana" w:cs="Arial"/>
          <w:color w:val="000000" w:themeColor="text1"/>
          <w:lang w:val="es-ES_tradnl"/>
        </w:rPr>
        <w:footnoteReference w:id="21"/>
      </w:r>
      <w:r w:rsidRPr="00327447">
        <w:rPr>
          <w:rFonts w:ascii="Verdana" w:eastAsia="Calibri" w:hAnsi="Verdana" w:cs="Arial"/>
          <w:color w:val="000000" w:themeColor="text1"/>
          <w:lang w:val="es-ES_tradnl"/>
        </w:rPr>
        <w:t xml:space="preserve"> relativo a la capacidad contractual del Consejo Profesional de Medicina Veterinaria y Zootecnia de Colombia – COMVEZCOL – al sostener que “</w:t>
      </w:r>
      <w:r w:rsidRPr="00327447">
        <w:rPr>
          <w:rFonts w:ascii="Verdana" w:eastAsia="Calibri" w:hAnsi="Verdana" w:cs="Arial"/>
          <w:b/>
          <w:bCs/>
          <w:color w:val="000000" w:themeColor="text1"/>
        </w:rPr>
        <w:t>no tiene personería jurídica.</w:t>
      </w:r>
      <w:r w:rsidRPr="00327447">
        <w:rPr>
          <w:rFonts w:ascii="Verdana" w:eastAsia="Calibri" w:hAnsi="Verdana" w:cs="Arial"/>
          <w:color w:val="000000" w:themeColor="text1"/>
        </w:rPr>
        <w:t> Los organismos sin personería jurídica, por no ser sujetos de derechos y obligaciones, carecen de capacidad para contratar. En las normas que crean y organizan COMVEZCOL y le otorgan funciones para el registro, control y vigilancia de las profesiones de medicina veterinaria y zootecnia y zootecnia no se encuentra disposición alguna que le asigne competencia para celebrar contratos estatales. Puesto que los organismos y dependencias sin personería jurídica del sector central pertenecen a la Nación, corresponde a la Nación celebrar los contratos a que hubiere lugar en relación con COMVEZCOL, de conformidad con el literal a) del numeral 2 del artículo 2 de la Ley 80 de 1993”.</w:t>
      </w:r>
    </w:p>
    <w:p w14:paraId="24B97C3A" w14:textId="77777777" w:rsidR="00C4564E" w:rsidRDefault="00C4564E" w:rsidP="00C4564E">
      <w:pPr>
        <w:spacing w:after="120" w:line="276" w:lineRule="auto"/>
        <w:ind w:firstLine="709"/>
        <w:jc w:val="both"/>
        <w:rPr>
          <w:rFonts w:ascii="Verdana" w:eastAsia="Calibri" w:hAnsi="Verdana" w:cs="Arial"/>
          <w:color w:val="000000" w:themeColor="text1"/>
        </w:rPr>
      </w:pPr>
      <w:r w:rsidRPr="00ED0E86">
        <w:rPr>
          <w:rFonts w:ascii="Verdana" w:eastAsia="Calibri" w:hAnsi="Verdana" w:cs="Arial"/>
          <w:color w:val="000000" w:themeColor="text1"/>
        </w:rPr>
        <w:t xml:space="preserve">La facultad que tiene el COMVEZCOL de "dictar su propio reglamento" implica que puede expedir las normas de funcionamiento interno del Consejo, tales como las relativas al régimen de sus reuniones, convocatorias, votaciones, quórum, forma de llevar las actas de las mismas, informes que deban rendirse, etc., todo con base en sus funciones legales y reglamentarias, pero en modo alguno significa que COMVEZCOL, por vía de reglamento, pueda atribuirse </w:t>
      </w:r>
      <w:r w:rsidRPr="00ED0E86">
        <w:rPr>
          <w:rFonts w:ascii="Verdana" w:eastAsia="Calibri" w:hAnsi="Verdana" w:cs="Arial"/>
          <w:color w:val="000000" w:themeColor="text1"/>
        </w:rPr>
        <w:lastRenderedPageBreak/>
        <w:t>capacidad para contratar, o pueda transformarse en entidad descentralizada, comoquiera que estas reformas son de reserva legal”.</w:t>
      </w:r>
    </w:p>
    <w:p w14:paraId="7ADF88BF" w14:textId="2D5F4CB6" w:rsidR="00C4564E" w:rsidRDefault="00C4564E" w:rsidP="00C4564E">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Incluso, no se observa norma alguna que indique que el Consejo Profesional de Medicina Veterinaria y Zootecnia est</w:t>
      </w:r>
      <w:r w:rsidR="00ED76C5">
        <w:rPr>
          <w:rFonts w:ascii="Verdana" w:eastAsia="Calibri" w:hAnsi="Verdana" w:cs="Arial"/>
          <w:color w:val="000000" w:themeColor="text1"/>
        </w:rPr>
        <w:t>é</w:t>
      </w:r>
      <w:r>
        <w:rPr>
          <w:rFonts w:ascii="Verdana" w:eastAsia="Calibri" w:hAnsi="Verdana" w:cs="Arial"/>
          <w:color w:val="000000" w:themeColor="text1"/>
        </w:rPr>
        <w:t xml:space="preserve"> </w:t>
      </w:r>
      <w:r w:rsidRPr="00ED0E86">
        <w:rPr>
          <w:rFonts w:ascii="Verdana" w:eastAsia="Calibri" w:hAnsi="Verdana" w:cs="Arial"/>
          <w:color w:val="000000" w:themeColor="text1"/>
        </w:rPr>
        <w:t xml:space="preserve">adscrito a un Ministerio o a un Departamento Administrativo. </w:t>
      </w:r>
      <w:r>
        <w:rPr>
          <w:rFonts w:ascii="Verdana" w:eastAsia="Calibri" w:hAnsi="Verdana" w:cs="Arial"/>
          <w:color w:val="000000" w:themeColor="text1"/>
        </w:rPr>
        <w:t>En efecto,</w:t>
      </w:r>
      <w:r w:rsidRPr="00ED0E86">
        <w:rPr>
          <w:rFonts w:ascii="Verdana" w:eastAsia="Calibri" w:hAnsi="Verdana" w:cs="Arial"/>
          <w:color w:val="000000" w:themeColor="text1"/>
        </w:rPr>
        <w:t xml:space="preserve"> la adscripción o vinculación a un Ministerio o a un Departamento Administrativo es un elemento integrante de la estructura orgánica de las entidades y organismos administrativos, y por tanto es una determinación que requiere de ley de acuerdo con lo prescrito en el artículo 50 de la Ley 489 de 1998.</w:t>
      </w:r>
    </w:p>
    <w:p w14:paraId="1A5E0596" w14:textId="4F863FA4" w:rsidR="00D1049E" w:rsidRDefault="00C4564E" w:rsidP="00D14627">
      <w:pPr>
        <w:spacing w:after="120" w:line="276" w:lineRule="auto"/>
        <w:ind w:firstLine="709"/>
        <w:jc w:val="both"/>
        <w:rPr>
          <w:rFonts w:ascii="Verdana" w:eastAsia="Calibri" w:hAnsi="Verdana" w:cs="Arial"/>
          <w:color w:val="000000" w:themeColor="text1"/>
          <w:lang w:val="es-ES"/>
        </w:rPr>
      </w:pPr>
      <w:proofErr w:type="spellStart"/>
      <w:r w:rsidRPr="00707D5A">
        <w:rPr>
          <w:rFonts w:ascii="Verdana" w:eastAsia="Calibri" w:hAnsi="Verdana" w:cs="Arial"/>
          <w:color w:val="000000" w:themeColor="text1"/>
          <w:lang w:val="es-ES"/>
        </w:rPr>
        <w:t>ii</w:t>
      </w:r>
      <w:proofErr w:type="spellEnd"/>
      <w:r w:rsidRPr="00707D5A">
        <w:rPr>
          <w:rFonts w:ascii="Verdana" w:eastAsia="Calibri" w:hAnsi="Verdana" w:cs="Arial"/>
          <w:color w:val="000000" w:themeColor="text1"/>
          <w:lang w:val="es-ES"/>
        </w:rPr>
        <w:t xml:space="preserve">) En ese escenario, </w:t>
      </w:r>
      <w:r w:rsidR="00261918" w:rsidRPr="00707D5A">
        <w:rPr>
          <w:rFonts w:ascii="Verdana" w:eastAsia="Calibri" w:hAnsi="Verdana" w:cs="Arial"/>
          <w:color w:val="000000" w:themeColor="text1"/>
          <w:lang w:val="es-ES"/>
        </w:rPr>
        <w:t>y para dar respuesta al segundo problema jurídico, es</w:t>
      </w:r>
      <w:r w:rsidR="00D14627" w:rsidRPr="00707D5A">
        <w:rPr>
          <w:rFonts w:ascii="Verdana" w:eastAsia="Calibri" w:hAnsi="Verdana" w:cs="Arial"/>
          <w:color w:val="000000" w:themeColor="text1"/>
          <w:lang w:val="es-ES"/>
        </w:rPr>
        <w:t xml:space="preserve"> importante advertir </w:t>
      </w:r>
      <w:r w:rsidR="00C80217" w:rsidRPr="00707D5A">
        <w:rPr>
          <w:rFonts w:ascii="Verdana" w:eastAsia="Calibri" w:hAnsi="Verdana" w:cs="Arial"/>
          <w:color w:val="000000" w:themeColor="text1"/>
          <w:lang w:val="es-ES"/>
        </w:rPr>
        <w:t>que el Acuerdo No. 469 del 29 de mayo de 2009</w:t>
      </w:r>
      <w:r w:rsidR="00094623" w:rsidRPr="00707D5A">
        <w:rPr>
          <w:rStyle w:val="Refdenotaalpie"/>
          <w:rFonts w:ascii="Verdana" w:eastAsia="Calibri" w:hAnsi="Verdana" w:cs="Arial"/>
          <w:color w:val="000000" w:themeColor="text1"/>
          <w:lang w:val="es-ES"/>
        </w:rPr>
        <w:footnoteReference w:id="22"/>
      </w:r>
      <w:r w:rsidR="00C80217" w:rsidRPr="00707D5A">
        <w:rPr>
          <w:rFonts w:ascii="Verdana" w:eastAsia="Calibri" w:hAnsi="Verdana" w:cs="Arial"/>
          <w:color w:val="000000" w:themeColor="text1"/>
          <w:lang w:val="es-ES"/>
        </w:rPr>
        <w:t xml:space="preserve"> “[P]</w:t>
      </w:r>
      <w:proofErr w:type="spellStart"/>
      <w:r w:rsidR="00C80217" w:rsidRPr="00707D5A">
        <w:rPr>
          <w:rFonts w:ascii="Verdana" w:eastAsia="Calibri" w:hAnsi="Verdana" w:cs="Arial"/>
          <w:color w:val="000000" w:themeColor="text1"/>
          <w:lang w:val="es-ES"/>
        </w:rPr>
        <w:t>or</w:t>
      </w:r>
      <w:proofErr w:type="spellEnd"/>
      <w:r w:rsidR="00C80217" w:rsidRPr="00707D5A">
        <w:rPr>
          <w:rFonts w:ascii="Verdana" w:eastAsia="Calibri" w:hAnsi="Verdana" w:cs="Arial"/>
          <w:color w:val="000000" w:themeColor="text1"/>
          <w:lang w:val="es-ES"/>
        </w:rPr>
        <w:t xml:space="preserve"> el cual se actualiza el reglamento interno del Consejo Profesional de Medicina Veterinaria y de Zootecnia de Colombia”</w:t>
      </w:r>
      <w:r w:rsidR="00471A7E" w:rsidRPr="00707D5A">
        <w:rPr>
          <w:rFonts w:ascii="Verdana" w:eastAsia="Calibri" w:hAnsi="Verdana" w:cs="Arial"/>
          <w:color w:val="000000" w:themeColor="text1"/>
          <w:lang w:val="es-ES"/>
        </w:rPr>
        <w:t xml:space="preserve">, en el artículo </w:t>
      </w:r>
      <w:r w:rsidR="00A97ED4" w:rsidRPr="00707D5A">
        <w:rPr>
          <w:rFonts w:ascii="Verdana" w:eastAsia="Calibri" w:hAnsi="Verdana" w:cs="Arial"/>
          <w:color w:val="000000" w:themeColor="text1"/>
          <w:lang w:val="es-ES"/>
        </w:rPr>
        <w:t>7, se definen las funciones del Consejo</w:t>
      </w:r>
      <w:r w:rsidR="006D115F" w:rsidRPr="00707D5A">
        <w:rPr>
          <w:rFonts w:ascii="Verdana" w:eastAsia="Calibri" w:hAnsi="Verdana" w:cs="Arial"/>
          <w:color w:val="000000" w:themeColor="text1"/>
          <w:lang w:val="es-ES"/>
        </w:rPr>
        <w:t xml:space="preserve">, entre las que se </w:t>
      </w:r>
      <w:r w:rsidR="00D1049E" w:rsidRPr="00707D5A">
        <w:rPr>
          <w:rFonts w:ascii="Verdana" w:eastAsia="Calibri" w:hAnsi="Verdana" w:cs="Arial"/>
          <w:color w:val="000000" w:themeColor="text1"/>
          <w:lang w:val="es-ES"/>
        </w:rPr>
        <w:t xml:space="preserve">puede evidenciar las siguientes: </w:t>
      </w:r>
    </w:p>
    <w:p w14:paraId="1AA5E164" w14:textId="5C77551A" w:rsidR="00F37ECB" w:rsidRPr="003E0534" w:rsidRDefault="00587601" w:rsidP="003E0534">
      <w:pPr>
        <w:spacing w:after="0" w:line="240" w:lineRule="auto"/>
        <w:ind w:left="851" w:right="618"/>
        <w:jc w:val="both"/>
        <w:rPr>
          <w:rFonts w:ascii="Verdana" w:eastAsia="Calibri" w:hAnsi="Verdana" w:cs="Arial"/>
          <w:color w:val="000000" w:themeColor="text1"/>
          <w:sz w:val="20"/>
          <w:szCs w:val="20"/>
          <w:lang w:val="es-ES"/>
        </w:rPr>
      </w:pPr>
      <w:r w:rsidRPr="00707D5A">
        <w:rPr>
          <w:rFonts w:ascii="Verdana" w:eastAsia="Calibri" w:hAnsi="Verdana" w:cs="Arial"/>
          <w:color w:val="000000" w:themeColor="text1"/>
          <w:sz w:val="20"/>
          <w:szCs w:val="20"/>
          <w:lang w:val="es-ES"/>
        </w:rPr>
        <w:t>“(…) Artículo 7°</w:t>
      </w:r>
      <w:r w:rsidR="00F37ECB" w:rsidRPr="00707D5A">
        <w:rPr>
          <w:rFonts w:ascii="Verdana" w:eastAsia="Calibri" w:hAnsi="Verdana" w:cs="Arial"/>
          <w:color w:val="000000" w:themeColor="text1"/>
          <w:sz w:val="20"/>
          <w:szCs w:val="20"/>
          <w:lang w:val="es-ES"/>
        </w:rPr>
        <w:t xml:space="preserve">. Funciones-. El cuerpo Colegiado en </w:t>
      </w:r>
      <w:proofErr w:type="gramStart"/>
      <w:r w:rsidR="00F37ECB" w:rsidRPr="00707D5A">
        <w:rPr>
          <w:rFonts w:ascii="Verdana" w:eastAsia="Calibri" w:hAnsi="Verdana" w:cs="Arial"/>
          <w:color w:val="000000" w:themeColor="text1"/>
          <w:sz w:val="20"/>
          <w:szCs w:val="20"/>
          <w:lang w:val="es-ES"/>
        </w:rPr>
        <w:t>pleno,</w:t>
      </w:r>
      <w:proofErr w:type="gramEnd"/>
      <w:r w:rsidR="00F37ECB" w:rsidRPr="00707D5A">
        <w:rPr>
          <w:rFonts w:ascii="Verdana" w:eastAsia="Calibri" w:hAnsi="Verdana" w:cs="Arial"/>
          <w:color w:val="000000" w:themeColor="text1"/>
          <w:sz w:val="20"/>
          <w:szCs w:val="20"/>
          <w:lang w:val="es-ES"/>
        </w:rPr>
        <w:t xml:space="preserve"> dará las directrices, políticas y estrategias para el cumplimiento de la misión que le fue asignada por la Lay 73 de 1985, el Decreto Reglamentario 1122 de 19888 y la Ley 576 de 2000, para lo cual desarrolla las siguiente</w:t>
      </w:r>
      <w:r w:rsidR="003E0534" w:rsidRPr="00707D5A">
        <w:rPr>
          <w:rFonts w:ascii="Verdana" w:eastAsia="Calibri" w:hAnsi="Verdana" w:cs="Arial"/>
          <w:color w:val="000000" w:themeColor="text1"/>
          <w:sz w:val="20"/>
          <w:szCs w:val="20"/>
          <w:lang w:val="es-ES"/>
        </w:rPr>
        <w:t>s</w:t>
      </w:r>
      <w:r w:rsidR="00F37ECB" w:rsidRPr="00707D5A">
        <w:rPr>
          <w:rFonts w:ascii="Verdana" w:eastAsia="Calibri" w:hAnsi="Verdana" w:cs="Arial"/>
          <w:color w:val="000000" w:themeColor="text1"/>
          <w:sz w:val="20"/>
          <w:szCs w:val="20"/>
          <w:lang w:val="es-ES"/>
        </w:rPr>
        <w:t xml:space="preserve"> funciones: </w:t>
      </w:r>
    </w:p>
    <w:p w14:paraId="0C26B3DC" w14:textId="37BFADD8" w:rsidR="00D1049E" w:rsidRPr="003E0534" w:rsidRDefault="00F97906" w:rsidP="003E0534">
      <w:pPr>
        <w:spacing w:after="0" w:line="240" w:lineRule="auto"/>
        <w:ind w:left="851" w:right="618"/>
        <w:jc w:val="both"/>
        <w:rPr>
          <w:rFonts w:ascii="Verdana" w:eastAsia="Calibri" w:hAnsi="Verdana" w:cs="Arial"/>
          <w:color w:val="000000" w:themeColor="text1"/>
          <w:sz w:val="20"/>
          <w:szCs w:val="20"/>
          <w:lang w:val="es-ES"/>
        </w:rPr>
      </w:pPr>
      <w:r w:rsidRPr="00707D5A">
        <w:rPr>
          <w:rFonts w:ascii="Verdana" w:eastAsia="Calibri" w:hAnsi="Verdana" w:cs="Arial"/>
          <w:color w:val="000000" w:themeColor="text1"/>
          <w:sz w:val="20"/>
          <w:szCs w:val="20"/>
          <w:lang w:val="es-ES"/>
        </w:rPr>
        <w:t xml:space="preserve">e. Nombrar el personal de nómina o contratistas del Tribunal de la terna seleccionada y presentada por éste, </w:t>
      </w:r>
      <w:proofErr w:type="gramStart"/>
      <w:r w:rsidRPr="00707D5A">
        <w:rPr>
          <w:rFonts w:ascii="Verdana" w:eastAsia="Calibri" w:hAnsi="Verdana" w:cs="Arial"/>
          <w:color w:val="000000" w:themeColor="text1"/>
          <w:sz w:val="20"/>
          <w:szCs w:val="20"/>
          <w:lang w:val="es-ES"/>
        </w:rPr>
        <w:t>de acuerdo a</w:t>
      </w:r>
      <w:proofErr w:type="gramEnd"/>
      <w:r w:rsidRPr="00707D5A">
        <w:rPr>
          <w:rFonts w:ascii="Verdana" w:eastAsia="Calibri" w:hAnsi="Verdana" w:cs="Arial"/>
          <w:color w:val="000000" w:themeColor="text1"/>
          <w:sz w:val="20"/>
          <w:szCs w:val="20"/>
          <w:lang w:val="es-ES"/>
        </w:rPr>
        <w:t xml:space="preserve"> la planta de personal aprobada por el Consejo. </w:t>
      </w:r>
    </w:p>
    <w:p w14:paraId="0BB79941" w14:textId="77777777" w:rsidR="009170F2" w:rsidRDefault="009170F2" w:rsidP="003E0534">
      <w:pPr>
        <w:spacing w:after="0" w:line="240" w:lineRule="auto"/>
        <w:ind w:left="851" w:right="618"/>
        <w:jc w:val="both"/>
        <w:rPr>
          <w:rFonts w:ascii="Verdana" w:eastAsia="Calibri" w:hAnsi="Verdana" w:cs="Arial"/>
          <w:color w:val="000000" w:themeColor="text1"/>
          <w:sz w:val="20"/>
          <w:szCs w:val="20"/>
          <w:lang w:val="es-ES_tradnl"/>
        </w:rPr>
      </w:pPr>
    </w:p>
    <w:p w14:paraId="2A338202" w14:textId="4F7D0F0F" w:rsidR="00F97906" w:rsidRPr="003E0534" w:rsidRDefault="00E94299" w:rsidP="003E0534">
      <w:pPr>
        <w:spacing w:after="0" w:line="240" w:lineRule="auto"/>
        <w:ind w:left="851" w:right="618"/>
        <w:jc w:val="both"/>
        <w:rPr>
          <w:rFonts w:ascii="Verdana" w:eastAsia="Calibri" w:hAnsi="Verdana" w:cs="Arial"/>
          <w:color w:val="000000" w:themeColor="text1"/>
          <w:sz w:val="20"/>
          <w:szCs w:val="20"/>
          <w:lang w:val="es-ES_tradnl"/>
        </w:rPr>
      </w:pPr>
      <w:r w:rsidRPr="003E0534">
        <w:rPr>
          <w:rFonts w:ascii="Verdana" w:eastAsia="Calibri" w:hAnsi="Verdana" w:cs="Arial"/>
          <w:color w:val="000000" w:themeColor="text1"/>
          <w:sz w:val="20"/>
          <w:szCs w:val="20"/>
          <w:lang w:val="es-ES_tradnl"/>
        </w:rPr>
        <w:t xml:space="preserve">(…)  </w:t>
      </w:r>
    </w:p>
    <w:p w14:paraId="2E4FE410" w14:textId="77777777" w:rsidR="009170F2" w:rsidRDefault="009170F2" w:rsidP="003E0534">
      <w:pPr>
        <w:spacing w:after="0" w:line="240" w:lineRule="auto"/>
        <w:ind w:left="851" w:right="618"/>
        <w:jc w:val="both"/>
        <w:rPr>
          <w:rFonts w:ascii="Verdana" w:eastAsia="Calibri" w:hAnsi="Verdana" w:cs="Arial"/>
          <w:color w:val="000000" w:themeColor="text1"/>
          <w:sz w:val="20"/>
          <w:szCs w:val="20"/>
          <w:lang w:val="es-ES_tradnl"/>
        </w:rPr>
      </w:pPr>
    </w:p>
    <w:p w14:paraId="0AA4043B" w14:textId="1D7F0E2F" w:rsidR="00E94299" w:rsidRPr="003E0534" w:rsidRDefault="00E94299" w:rsidP="003E0534">
      <w:pPr>
        <w:spacing w:after="0" w:line="240" w:lineRule="auto"/>
        <w:ind w:left="851" w:right="618"/>
        <w:jc w:val="both"/>
        <w:rPr>
          <w:rFonts w:ascii="Verdana" w:eastAsia="Calibri" w:hAnsi="Verdana" w:cs="Arial"/>
          <w:color w:val="000000" w:themeColor="text1"/>
          <w:sz w:val="20"/>
          <w:szCs w:val="20"/>
          <w:lang w:val="es-ES_tradnl"/>
        </w:rPr>
      </w:pPr>
      <w:r w:rsidRPr="003E0534">
        <w:rPr>
          <w:rFonts w:ascii="Verdana" w:eastAsia="Calibri" w:hAnsi="Verdana" w:cs="Arial"/>
          <w:color w:val="000000" w:themeColor="text1"/>
          <w:sz w:val="20"/>
          <w:szCs w:val="20"/>
          <w:lang w:val="es-ES_tradnl"/>
        </w:rPr>
        <w:t xml:space="preserve">s. Crear o contratar la estructura operativa para la ejecución de los procesos necesarios para el funcionamiento del Consejo. </w:t>
      </w:r>
    </w:p>
    <w:p w14:paraId="239127F3" w14:textId="77777777" w:rsidR="009170F2" w:rsidRDefault="009170F2" w:rsidP="003E0534">
      <w:pPr>
        <w:spacing w:after="0" w:line="240" w:lineRule="auto"/>
        <w:ind w:left="851" w:right="618"/>
        <w:jc w:val="both"/>
        <w:rPr>
          <w:rFonts w:ascii="Verdana" w:eastAsia="Calibri" w:hAnsi="Verdana" w:cs="Arial"/>
          <w:color w:val="000000" w:themeColor="text1"/>
          <w:sz w:val="20"/>
          <w:szCs w:val="20"/>
          <w:lang w:val="es-ES_tradnl"/>
        </w:rPr>
      </w:pPr>
    </w:p>
    <w:p w14:paraId="6B5C8FDE" w14:textId="49ECFC20" w:rsidR="00E94299" w:rsidRPr="003E0534" w:rsidRDefault="00D74365" w:rsidP="003E0534">
      <w:pPr>
        <w:spacing w:after="0" w:line="240" w:lineRule="auto"/>
        <w:ind w:left="851" w:right="618"/>
        <w:jc w:val="both"/>
        <w:rPr>
          <w:rFonts w:ascii="Verdana" w:eastAsia="Calibri" w:hAnsi="Verdana" w:cs="Arial"/>
          <w:color w:val="000000" w:themeColor="text1"/>
          <w:sz w:val="20"/>
          <w:szCs w:val="20"/>
          <w:lang w:val="es-ES_tradnl"/>
        </w:rPr>
      </w:pPr>
      <w:r w:rsidRPr="003E0534">
        <w:rPr>
          <w:rFonts w:ascii="Verdana" w:eastAsia="Calibri" w:hAnsi="Verdana" w:cs="Arial"/>
          <w:color w:val="000000" w:themeColor="text1"/>
          <w:sz w:val="20"/>
          <w:szCs w:val="20"/>
          <w:lang w:val="es-ES_tradnl"/>
        </w:rPr>
        <w:t xml:space="preserve">(…) </w:t>
      </w:r>
    </w:p>
    <w:p w14:paraId="7A33B631" w14:textId="77777777" w:rsidR="009170F2" w:rsidRDefault="009170F2" w:rsidP="003E0534">
      <w:pPr>
        <w:spacing w:after="0" w:line="240" w:lineRule="auto"/>
        <w:ind w:left="851" w:right="618"/>
        <w:jc w:val="both"/>
        <w:rPr>
          <w:rFonts w:ascii="Verdana" w:eastAsia="Calibri" w:hAnsi="Verdana" w:cs="Arial"/>
          <w:color w:val="000000" w:themeColor="text1"/>
          <w:sz w:val="20"/>
          <w:szCs w:val="20"/>
          <w:lang w:val="es-ES_tradnl"/>
        </w:rPr>
      </w:pPr>
    </w:p>
    <w:p w14:paraId="54F3DAB5" w14:textId="4E80B25B" w:rsidR="00F01965" w:rsidRDefault="00D74365" w:rsidP="001952EB">
      <w:pPr>
        <w:spacing w:after="0" w:line="240" w:lineRule="auto"/>
        <w:ind w:left="851" w:right="618"/>
        <w:jc w:val="both"/>
        <w:rPr>
          <w:rFonts w:ascii="Verdana" w:eastAsia="Calibri" w:hAnsi="Verdana" w:cs="Arial"/>
          <w:color w:val="000000" w:themeColor="text1"/>
          <w:sz w:val="20"/>
          <w:szCs w:val="20"/>
          <w:lang w:val="es-ES_tradnl"/>
        </w:rPr>
      </w:pPr>
      <w:r w:rsidRPr="003E0534">
        <w:rPr>
          <w:rFonts w:ascii="Verdana" w:eastAsia="Calibri" w:hAnsi="Verdana" w:cs="Arial"/>
          <w:color w:val="000000" w:themeColor="text1"/>
          <w:sz w:val="20"/>
          <w:szCs w:val="20"/>
          <w:lang w:val="es-ES_tradnl"/>
        </w:rPr>
        <w:t>z. Apoyar y cofinanciar proyectos que estén a conformidad con la función del Consejo, presentados por personas naturales o jurídicas, segú</w:t>
      </w:r>
      <w:r w:rsidR="00D45875" w:rsidRPr="003E0534">
        <w:rPr>
          <w:rFonts w:ascii="Verdana" w:eastAsia="Calibri" w:hAnsi="Verdana" w:cs="Arial"/>
          <w:color w:val="000000" w:themeColor="text1"/>
          <w:sz w:val="20"/>
          <w:szCs w:val="20"/>
          <w:lang w:val="es-ES_tradnl"/>
        </w:rPr>
        <w:t>n</w:t>
      </w:r>
      <w:r w:rsidRPr="003E0534">
        <w:rPr>
          <w:rFonts w:ascii="Verdana" w:eastAsia="Calibri" w:hAnsi="Verdana" w:cs="Arial"/>
          <w:color w:val="000000" w:themeColor="text1"/>
          <w:sz w:val="20"/>
          <w:szCs w:val="20"/>
          <w:lang w:val="es-ES_tradnl"/>
        </w:rPr>
        <w:t xml:space="preserve"> el presupuesto disponible para tal f</w:t>
      </w:r>
      <w:r w:rsidR="00D45875" w:rsidRPr="003E0534">
        <w:rPr>
          <w:rFonts w:ascii="Verdana" w:eastAsia="Calibri" w:hAnsi="Verdana" w:cs="Arial"/>
          <w:color w:val="000000" w:themeColor="text1"/>
          <w:sz w:val="20"/>
          <w:szCs w:val="20"/>
          <w:lang w:val="es-ES_tradnl"/>
        </w:rPr>
        <w:t>in</w:t>
      </w:r>
      <w:r w:rsidR="009170F2">
        <w:rPr>
          <w:rFonts w:ascii="Verdana" w:eastAsia="Calibri" w:hAnsi="Verdana" w:cs="Arial"/>
          <w:color w:val="000000" w:themeColor="text1"/>
          <w:sz w:val="20"/>
          <w:szCs w:val="20"/>
          <w:lang w:val="es-ES_tradnl"/>
        </w:rPr>
        <w:t xml:space="preserve"> (…)”</w:t>
      </w:r>
      <w:r w:rsidR="00D45875" w:rsidRPr="003E0534">
        <w:rPr>
          <w:rFonts w:ascii="Verdana" w:eastAsia="Calibri" w:hAnsi="Verdana" w:cs="Arial"/>
          <w:color w:val="000000" w:themeColor="text1"/>
          <w:sz w:val="20"/>
          <w:szCs w:val="20"/>
          <w:lang w:val="es-ES_tradnl"/>
        </w:rPr>
        <w:t xml:space="preserve">. </w:t>
      </w:r>
    </w:p>
    <w:p w14:paraId="552DC86D" w14:textId="77777777" w:rsidR="001952EB" w:rsidRPr="001952EB" w:rsidRDefault="001952EB" w:rsidP="001952EB">
      <w:pPr>
        <w:spacing w:after="0" w:line="240" w:lineRule="auto"/>
        <w:ind w:left="851" w:right="618"/>
        <w:jc w:val="both"/>
        <w:rPr>
          <w:rFonts w:ascii="Verdana" w:eastAsia="Calibri" w:hAnsi="Verdana" w:cs="Arial"/>
          <w:color w:val="000000" w:themeColor="text1"/>
          <w:sz w:val="20"/>
          <w:szCs w:val="20"/>
          <w:lang w:val="es-ES_tradnl"/>
        </w:rPr>
      </w:pPr>
    </w:p>
    <w:p w14:paraId="26E9DA87" w14:textId="7C293C1B" w:rsidR="00293A73" w:rsidRDefault="00293A73" w:rsidP="00F01965">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Por su parte, el artículo 17 del mencionado Acuerdo define las funciones de la secretaría ejecutiva, y se puede resaltar la siguiente: </w:t>
      </w:r>
    </w:p>
    <w:p w14:paraId="24B23349" w14:textId="640EF209" w:rsidR="00F01965" w:rsidRPr="009170F2" w:rsidRDefault="00F01965" w:rsidP="009170F2">
      <w:pPr>
        <w:spacing w:after="0" w:line="240" w:lineRule="auto"/>
        <w:ind w:left="851" w:right="618"/>
        <w:jc w:val="both"/>
        <w:rPr>
          <w:rFonts w:ascii="Verdana" w:eastAsia="Calibri" w:hAnsi="Verdana" w:cs="Arial"/>
          <w:color w:val="000000" w:themeColor="text1"/>
          <w:sz w:val="20"/>
          <w:szCs w:val="20"/>
          <w:lang w:val="es-ES"/>
        </w:rPr>
      </w:pPr>
      <w:r w:rsidRPr="00707D5A">
        <w:rPr>
          <w:rFonts w:ascii="Verdana" w:eastAsia="Calibri" w:hAnsi="Verdana" w:cs="Arial"/>
          <w:color w:val="000000" w:themeColor="text1"/>
          <w:sz w:val="20"/>
          <w:szCs w:val="20"/>
          <w:lang w:val="es-ES"/>
        </w:rPr>
        <w:lastRenderedPageBreak/>
        <w:t xml:space="preserve">“Artículo 17. La Secretaría Ejecutiva es la Representante Legal del Consejo, actúa como una funcionaria de la entidad, ejerciendo la Gerencia </w:t>
      </w:r>
      <w:proofErr w:type="gramStart"/>
      <w:r w:rsidRPr="00707D5A">
        <w:rPr>
          <w:rFonts w:ascii="Verdana" w:eastAsia="Calibri" w:hAnsi="Verdana" w:cs="Arial"/>
          <w:color w:val="000000" w:themeColor="text1"/>
          <w:sz w:val="20"/>
          <w:szCs w:val="20"/>
          <w:lang w:val="es-ES"/>
        </w:rPr>
        <w:t>delas</w:t>
      </w:r>
      <w:proofErr w:type="gramEnd"/>
      <w:r w:rsidRPr="00707D5A">
        <w:rPr>
          <w:rFonts w:ascii="Verdana" w:eastAsia="Calibri" w:hAnsi="Verdana" w:cs="Arial"/>
          <w:color w:val="000000" w:themeColor="text1"/>
          <w:sz w:val="20"/>
          <w:szCs w:val="20"/>
          <w:lang w:val="es-ES"/>
        </w:rPr>
        <w:t xml:space="preserve"> decisiones de éste y tendrá las siguientes responsabilidades: </w:t>
      </w:r>
    </w:p>
    <w:p w14:paraId="17BEF050" w14:textId="77777777" w:rsidR="009170F2" w:rsidRDefault="009170F2" w:rsidP="009170F2">
      <w:pPr>
        <w:spacing w:after="0" w:line="240" w:lineRule="auto"/>
        <w:ind w:left="851" w:right="618"/>
        <w:jc w:val="both"/>
        <w:rPr>
          <w:rFonts w:ascii="Verdana" w:eastAsia="Calibri" w:hAnsi="Verdana" w:cs="Arial"/>
          <w:color w:val="000000" w:themeColor="text1"/>
          <w:sz w:val="20"/>
          <w:szCs w:val="20"/>
          <w:lang w:val="es-ES_tradnl"/>
        </w:rPr>
      </w:pPr>
    </w:p>
    <w:p w14:paraId="3245806E" w14:textId="466B26DE" w:rsidR="00F01965" w:rsidRPr="009170F2" w:rsidRDefault="00F01965" w:rsidP="009170F2">
      <w:pPr>
        <w:spacing w:after="0" w:line="240" w:lineRule="auto"/>
        <w:ind w:left="851" w:right="618"/>
        <w:jc w:val="both"/>
        <w:rPr>
          <w:rFonts w:ascii="Verdana" w:eastAsia="Calibri" w:hAnsi="Verdana" w:cs="Arial"/>
          <w:color w:val="000000" w:themeColor="text1"/>
          <w:sz w:val="20"/>
          <w:szCs w:val="20"/>
          <w:lang w:val="es-ES_tradnl"/>
        </w:rPr>
      </w:pPr>
      <w:r w:rsidRPr="009170F2">
        <w:rPr>
          <w:rFonts w:ascii="Verdana" w:eastAsia="Calibri" w:hAnsi="Verdana" w:cs="Arial"/>
          <w:color w:val="000000" w:themeColor="text1"/>
          <w:sz w:val="20"/>
          <w:szCs w:val="20"/>
          <w:lang w:val="es-ES_tradnl"/>
        </w:rPr>
        <w:t xml:space="preserve">(…) </w:t>
      </w:r>
      <w:r w:rsidR="00840284" w:rsidRPr="009170F2">
        <w:rPr>
          <w:rFonts w:ascii="Verdana" w:eastAsia="Calibri" w:hAnsi="Verdana" w:cs="Arial"/>
          <w:color w:val="000000" w:themeColor="text1"/>
          <w:sz w:val="20"/>
          <w:szCs w:val="20"/>
          <w:lang w:val="es-ES_tradnl"/>
        </w:rPr>
        <w:t xml:space="preserve">f. Elaborar contratos, convenios y otros, ordenados por el Consejo, según los montos establecidos. Exigir el cumplimiento de los requisitos de Ley para la realización de contratos. </w:t>
      </w:r>
    </w:p>
    <w:p w14:paraId="499E9C71" w14:textId="77777777" w:rsidR="009170F2" w:rsidRDefault="009170F2" w:rsidP="009170F2">
      <w:pPr>
        <w:spacing w:after="0" w:line="240" w:lineRule="auto"/>
        <w:ind w:left="851" w:right="618"/>
        <w:jc w:val="both"/>
        <w:rPr>
          <w:rFonts w:ascii="Verdana" w:eastAsia="Calibri" w:hAnsi="Verdana" w:cs="Arial"/>
          <w:color w:val="000000" w:themeColor="text1"/>
          <w:sz w:val="20"/>
          <w:szCs w:val="20"/>
          <w:lang w:val="es-ES_tradnl"/>
        </w:rPr>
      </w:pPr>
    </w:p>
    <w:p w14:paraId="763CCBC3" w14:textId="43C7AA3C" w:rsidR="00F11D0E" w:rsidRDefault="00840284" w:rsidP="00463817">
      <w:pPr>
        <w:spacing w:after="0" w:line="240" w:lineRule="auto"/>
        <w:ind w:left="851" w:right="618"/>
        <w:jc w:val="both"/>
        <w:rPr>
          <w:rFonts w:ascii="Verdana" w:eastAsia="Calibri" w:hAnsi="Verdana" w:cs="Arial"/>
          <w:color w:val="000000" w:themeColor="text1"/>
          <w:sz w:val="20"/>
          <w:szCs w:val="20"/>
          <w:lang w:val="es-ES_tradnl"/>
        </w:rPr>
      </w:pPr>
      <w:r w:rsidRPr="009170F2">
        <w:rPr>
          <w:rFonts w:ascii="Verdana" w:eastAsia="Calibri" w:hAnsi="Verdana" w:cs="Arial"/>
          <w:color w:val="000000" w:themeColor="text1"/>
          <w:sz w:val="20"/>
          <w:szCs w:val="20"/>
          <w:lang w:val="es-ES_tradnl"/>
        </w:rPr>
        <w:t>g. Suscribir los contratos u órdenes de servicio requeridos para el funcionamiento del Consejo, de manera que no se afecte el funcionamiento</w:t>
      </w:r>
      <w:r w:rsidR="009170F2">
        <w:rPr>
          <w:rFonts w:ascii="Verdana" w:eastAsia="Calibri" w:hAnsi="Verdana" w:cs="Arial"/>
          <w:color w:val="000000" w:themeColor="text1"/>
          <w:sz w:val="20"/>
          <w:szCs w:val="20"/>
          <w:lang w:val="es-ES_tradnl"/>
        </w:rPr>
        <w:t xml:space="preserve"> (…)”</w:t>
      </w:r>
      <w:r w:rsidRPr="009170F2">
        <w:rPr>
          <w:rFonts w:ascii="Verdana" w:eastAsia="Calibri" w:hAnsi="Verdana" w:cs="Arial"/>
          <w:color w:val="000000" w:themeColor="text1"/>
          <w:sz w:val="20"/>
          <w:szCs w:val="20"/>
          <w:lang w:val="es-ES_tradnl"/>
        </w:rPr>
        <w:t xml:space="preserve">. </w:t>
      </w:r>
      <w:bookmarkStart w:id="9" w:name="_Hlk204854194"/>
    </w:p>
    <w:p w14:paraId="27C322B0" w14:textId="77777777" w:rsidR="00463817" w:rsidRPr="00463817" w:rsidRDefault="00463817" w:rsidP="00463817">
      <w:pPr>
        <w:spacing w:after="0" w:line="240" w:lineRule="auto"/>
        <w:ind w:left="851" w:right="618"/>
        <w:jc w:val="both"/>
        <w:rPr>
          <w:rFonts w:ascii="Verdana" w:eastAsia="Calibri" w:hAnsi="Verdana" w:cs="Arial"/>
          <w:color w:val="000000" w:themeColor="text1"/>
          <w:sz w:val="20"/>
          <w:szCs w:val="20"/>
          <w:lang w:val="es-ES_tradnl"/>
        </w:rPr>
      </w:pPr>
    </w:p>
    <w:p w14:paraId="68F7E654" w14:textId="637D5A53" w:rsidR="006175C6" w:rsidRDefault="006C66C1" w:rsidP="006C66C1">
      <w:pPr>
        <w:spacing w:after="120" w:line="278"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Si bien se indica en el Acuerdo expedido por el Consejo Profesional de Medicina Veterinaria y de Zootecnia, la posibilidad de celebrar contratos o convenios r</w:t>
      </w:r>
      <w:r w:rsidR="006175C6">
        <w:rPr>
          <w:rFonts w:ascii="Verdana" w:eastAsia="Calibri" w:hAnsi="Verdana" w:cs="Arial"/>
          <w:color w:val="000000" w:themeColor="text1"/>
          <w:lang w:val="es-ES_tradnl"/>
        </w:rPr>
        <w:t xml:space="preserve">esulta necesario presentar unas consideraciones expuestas por la Sala de Consulta y Servicio Civil del Consejo de Estado en el evento en que los consejos profesionales, que no cuentan con personería jurídica, celebren contratos. </w:t>
      </w:r>
    </w:p>
    <w:p w14:paraId="094C1FED" w14:textId="77777777" w:rsidR="006175C6" w:rsidRDefault="006175C6" w:rsidP="006C66C1">
      <w:pPr>
        <w:spacing w:after="120" w:line="276" w:lineRule="auto"/>
        <w:ind w:firstLine="709"/>
        <w:jc w:val="both"/>
        <w:rPr>
          <w:rFonts w:ascii="Verdana" w:eastAsia="Calibri" w:hAnsi="Verdana" w:cs="Arial"/>
          <w:color w:val="000000" w:themeColor="text1"/>
          <w:lang w:val="es-ES"/>
        </w:rPr>
      </w:pPr>
      <w:r w:rsidRPr="6597C79F">
        <w:rPr>
          <w:rFonts w:ascii="Verdana" w:eastAsia="Calibri" w:hAnsi="Verdana" w:cs="Arial"/>
          <w:color w:val="000000" w:themeColor="text1"/>
          <w:lang w:val="es-ES"/>
        </w:rPr>
        <w:t xml:space="preserve">En el concepto del 2 de diciembre de 2008 (radicado 1924) tratándose del Consejo Profesional Nacional de Arquitectura y sus profesiones auxiliares, indicó en términos generales que el artículo 2 numeral 1 literal b) de la Ley 80 de 1993 no incluye a los consejos que vigilan profesional como posible parte pública contratante, de manera que el consejo profesional deberá proceder a través del ministerio al cual se encuentra adscrito. De esta manera, teniendo en consideración que el ministerio sí cuenta con capacidad jurídica en los términos del artículo 2 del numeral 1 de la Ley 80 de 1993, la cual expresará su voluntad a través de su jefe, esto es, el </w:t>
      </w:r>
      <w:proofErr w:type="gramStart"/>
      <w:r w:rsidRPr="6597C79F">
        <w:rPr>
          <w:rFonts w:ascii="Verdana" w:eastAsia="Calibri" w:hAnsi="Verdana" w:cs="Arial"/>
          <w:color w:val="000000" w:themeColor="text1"/>
          <w:lang w:val="es-ES"/>
        </w:rPr>
        <w:t>Ministro</w:t>
      </w:r>
      <w:proofErr w:type="gramEnd"/>
      <w:r w:rsidRPr="6597C79F">
        <w:rPr>
          <w:rFonts w:ascii="Verdana" w:eastAsia="Calibri" w:hAnsi="Verdana" w:cs="Arial"/>
          <w:color w:val="000000" w:themeColor="text1"/>
          <w:lang w:val="es-ES"/>
        </w:rPr>
        <w:t xml:space="preserve">, en los términos del artículo 11 de la ley 80, se efectuará sin perjuicio de los actos de desconcentración o delegación de funciones autorizados por el artículo 12 de la misma ley.   </w:t>
      </w:r>
    </w:p>
    <w:p w14:paraId="487180CB" w14:textId="77777777" w:rsidR="006175C6" w:rsidRDefault="006175C6" w:rsidP="006175C6">
      <w:pPr>
        <w:spacing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Ahora bien, ante la existencia de celebración de convenios y contratos por parte del consejo profesional y carecer de capacidad jurídica para ello, se evidencia una nulidad absoluta</w:t>
      </w:r>
      <w:r>
        <w:rPr>
          <w:rStyle w:val="Refdenotaalpie"/>
          <w:rFonts w:ascii="Verdana" w:eastAsia="Calibri" w:hAnsi="Verdana" w:cs="Arial"/>
          <w:color w:val="000000" w:themeColor="text1"/>
          <w:lang w:val="es-ES_tradnl"/>
        </w:rPr>
        <w:footnoteReference w:id="23"/>
      </w:r>
      <w:r>
        <w:rPr>
          <w:rFonts w:ascii="Verdana" w:eastAsia="Calibri" w:hAnsi="Verdana" w:cs="Arial"/>
          <w:color w:val="000000" w:themeColor="text1"/>
          <w:lang w:val="es-ES_tradnl"/>
        </w:rPr>
        <w:t xml:space="preserve">. Pese a ello, el Consejo de Estado en el concepto referenciado indicó que, para efectos de buscar una solución práctica que permita </w:t>
      </w:r>
      <w:r w:rsidRPr="00CD47DE">
        <w:rPr>
          <w:rFonts w:ascii="Verdana" w:eastAsia="Calibri" w:hAnsi="Verdana" w:cs="Arial"/>
          <w:color w:val="000000" w:themeColor="text1"/>
          <w:lang w:val="es-ES_tradnl"/>
        </w:rPr>
        <w:t xml:space="preserve">salvaguardar los intereses del Estado y de terceros de buena fe, resultan aplicables el principio de la confianza legítima y las teorías del acto </w:t>
      </w:r>
      <w:r w:rsidRPr="00CD47DE">
        <w:rPr>
          <w:rFonts w:ascii="Verdana" w:eastAsia="Calibri" w:hAnsi="Verdana" w:cs="Arial"/>
          <w:color w:val="000000" w:themeColor="text1"/>
          <w:lang w:val="es-ES_tradnl"/>
        </w:rPr>
        <w:lastRenderedPageBreak/>
        <w:t>propio y de la apariencia explicados por la jurisprudencia y la doctrina nacional y extranjera</w:t>
      </w:r>
      <w:r>
        <w:rPr>
          <w:rFonts w:ascii="Verdana" w:eastAsia="Calibri" w:hAnsi="Verdana" w:cs="Arial"/>
          <w:color w:val="000000" w:themeColor="text1"/>
          <w:lang w:val="es-ES_tradnl"/>
        </w:rPr>
        <w:t>. En este contexto será el ministro o un delegado quien tiene la función de presidirlo</w:t>
      </w:r>
      <w:r>
        <w:rPr>
          <w:rStyle w:val="Refdenotaalpie"/>
          <w:rFonts w:ascii="Verdana" w:eastAsia="Calibri" w:hAnsi="Verdana" w:cs="Arial"/>
          <w:color w:val="000000" w:themeColor="text1"/>
          <w:lang w:val="es-ES_tradnl"/>
        </w:rPr>
        <w:footnoteReference w:id="24"/>
      </w:r>
      <w:r>
        <w:rPr>
          <w:rFonts w:ascii="Verdana" w:eastAsia="Calibri" w:hAnsi="Verdana" w:cs="Arial"/>
          <w:color w:val="000000" w:themeColor="text1"/>
          <w:lang w:val="es-ES_tradnl"/>
        </w:rPr>
        <w:t>.</w:t>
      </w:r>
    </w:p>
    <w:p w14:paraId="4566C057" w14:textId="77777777" w:rsidR="006175C6" w:rsidRDefault="006175C6" w:rsidP="006175C6">
      <w:pPr>
        <w:spacing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De acuerdo con lo dispuesto en el artículo 23 del Acuerdo 01 de 2022 como función de la Dirección Ejecutiva del Consejo Profesional de Administración de Empresas se encuentra aquella dispuesta en el literal c) que indica: Expedir los actos inherentes a la actividad precontractual, contractual y post contractual y en virtud de ello, suscribir los contratos, convenios y demás actos requeridos para la ejecución del presupuesto aprobado por el Consejo Directivo del Consejo Profesional de Administración de Empresas. </w:t>
      </w:r>
    </w:p>
    <w:p w14:paraId="11EDA638" w14:textId="77777777" w:rsidR="006175C6" w:rsidRDefault="006175C6" w:rsidP="006175C6">
      <w:pPr>
        <w:spacing w:line="276" w:lineRule="auto"/>
        <w:ind w:firstLine="709"/>
        <w:jc w:val="both"/>
        <w:rPr>
          <w:rFonts w:ascii="Verdana" w:hAnsi="Verdana" w:cs="Arial"/>
        </w:rPr>
      </w:pPr>
      <w:r>
        <w:rPr>
          <w:rFonts w:ascii="Verdana" w:eastAsia="Calibri" w:hAnsi="Verdana" w:cs="Arial"/>
          <w:color w:val="000000" w:themeColor="text1"/>
          <w:lang w:val="es-ES_tradnl"/>
        </w:rPr>
        <w:t xml:space="preserve">En palabras de la Sala de Servicio y Consulta Civil se está dotando de competencia aparente al Consejo Profesional para celebrar negocios jurídicos, esto es: </w:t>
      </w:r>
      <w:r w:rsidRPr="00E4092E">
        <w:rPr>
          <w:rFonts w:ascii="Verdana" w:eastAsia="Calibri" w:hAnsi="Verdana" w:cs="Arial"/>
          <w:color w:val="000000" w:themeColor="text1"/>
          <w:lang w:val="es-ES_tradnl"/>
        </w:rPr>
        <w:t>“</w:t>
      </w:r>
      <w:r w:rsidRPr="00E4092E">
        <w:rPr>
          <w:rFonts w:ascii="Verdana" w:hAnsi="Verdana" w:cs="Arial"/>
        </w:rPr>
        <w:t>La apariencia creadora de derechos está reconocida en nuestro ordenamiento jurídico</w:t>
      </w:r>
      <w:r w:rsidRPr="00E4092E">
        <w:rPr>
          <w:rStyle w:val="Refdenotaalpie"/>
          <w:rFonts w:ascii="Verdana" w:hAnsi="Verdana" w:cs="Arial"/>
        </w:rPr>
        <w:footnoteReference w:id="25"/>
      </w:r>
      <w:r w:rsidRPr="00E4092E">
        <w:rPr>
          <w:rFonts w:ascii="Verdana" w:hAnsi="Verdana" w:cs="Arial"/>
        </w:rPr>
        <w:t xml:space="preserve">, situación fáctica y normativa que vincula jurídicamente a dicho Ministerio, lo que en palabras del artículo 842 del </w:t>
      </w:r>
      <w:proofErr w:type="spellStart"/>
      <w:r w:rsidRPr="00E4092E">
        <w:rPr>
          <w:rFonts w:ascii="Verdana" w:hAnsi="Verdana" w:cs="Arial"/>
        </w:rPr>
        <w:t>C.Co</w:t>
      </w:r>
      <w:proofErr w:type="spellEnd"/>
      <w:r w:rsidRPr="00E4092E">
        <w:rPr>
          <w:rFonts w:ascii="Verdana" w:hAnsi="Verdana" w:cs="Arial"/>
        </w:rPr>
        <w:t>., significa que esa cartera ministerial “quedará obligado en los términos pactados ante terceros de buena fe exenta de culpa”.</w:t>
      </w:r>
    </w:p>
    <w:p w14:paraId="77505955" w14:textId="706DAD45" w:rsidR="006175C6" w:rsidRDefault="006175C6" w:rsidP="00F8632E">
      <w:pPr>
        <w:spacing w:line="276" w:lineRule="auto"/>
        <w:ind w:firstLine="709"/>
        <w:jc w:val="both"/>
        <w:rPr>
          <w:rFonts w:ascii="Verdana" w:hAnsi="Verdana" w:cs="Arial"/>
        </w:rPr>
      </w:pPr>
      <w:r>
        <w:rPr>
          <w:rFonts w:ascii="Verdana" w:hAnsi="Verdana" w:cs="Arial"/>
        </w:rPr>
        <w:t xml:space="preserve">En ese sentido, </w:t>
      </w:r>
      <w:r w:rsidRPr="00E4092E">
        <w:rPr>
          <w:rFonts w:ascii="Verdana" w:hAnsi="Verdana" w:cs="Arial"/>
        </w:rPr>
        <w:t>los actos citados son un fundamento objetivo de una apariencia, generadora de confianza que después puede ser contradicha, pero que finalmente vincula jurídicamente al Ministerio, como quiera que de buena fe no podría sustraerse al cumplimiento de un convenio o contrato celebrado con ocasión del mencionado “acuerdo”, en la medida en que con tal actuación se transgredirían los principios de confianza legítima y el respeto a sus propios actos</w:t>
      </w:r>
      <w:r>
        <w:rPr>
          <w:rStyle w:val="Refdenotaalpie"/>
          <w:rFonts w:ascii="Verdana" w:hAnsi="Verdana" w:cs="Arial"/>
        </w:rPr>
        <w:footnoteReference w:id="26"/>
      </w:r>
      <w:r w:rsidRPr="00E4092E">
        <w:rPr>
          <w:rFonts w:ascii="Verdana" w:hAnsi="Verdana" w:cs="Arial"/>
        </w:rPr>
        <w:t>.</w:t>
      </w:r>
      <w:r w:rsidR="00F8632E">
        <w:rPr>
          <w:rFonts w:ascii="Verdana" w:hAnsi="Verdana" w:cs="Arial"/>
        </w:rPr>
        <w:t xml:space="preserve"> </w:t>
      </w:r>
      <w:r>
        <w:rPr>
          <w:rFonts w:ascii="Verdana" w:hAnsi="Verdana" w:cs="Arial"/>
        </w:rPr>
        <w:t xml:space="preserve">En </w:t>
      </w:r>
      <w:r w:rsidR="00F8632E">
        <w:rPr>
          <w:rFonts w:ascii="Verdana" w:hAnsi="Verdana" w:cs="Arial"/>
        </w:rPr>
        <w:t xml:space="preserve">el escenario del Consejo Profesional </w:t>
      </w:r>
      <w:r w:rsidR="00CF7D16" w:rsidRPr="6597C79F">
        <w:rPr>
          <w:rFonts w:ascii="Verdana" w:eastAsia="Calibri" w:hAnsi="Verdana" w:cs="Arial"/>
          <w:color w:val="000000" w:themeColor="text1"/>
          <w:lang w:val="es-ES"/>
        </w:rPr>
        <w:t>Nacional</w:t>
      </w:r>
      <w:r w:rsidR="00E20DC5">
        <w:rPr>
          <w:rFonts w:ascii="Verdana" w:eastAsia="Calibri" w:hAnsi="Verdana" w:cs="Arial"/>
          <w:color w:val="000000" w:themeColor="text1"/>
          <w:lang w:val="es-ES"/>
        </w:rPr>
        <w:t xml:space="preserve"> </w:t>
      </w:r>
      <w:r w:rsidR="00E20DC5">
        <w:rPr>
          <w:rFonts w:ascii="Verdana" w:eastAsia="Calibri" w:hAnsi="Verdana" w:cs="Arial"/>
          <w:color w:val="000000" w:themeColor="text1"/>
          <w:lang w:val="es-ES_tradnl"/>
        </w:rPr>
        <w:t xml:space="preserve">de Administración de </w:t>
      </w:r>
      <w:r w:rsidR="00E20DC5">
        <w:rPr>
          <w:rFonts w:ascii="Verdana" w:eastAsia="Calibri" w:hAnsi="Verdana" w:cs="Arial"/>
          <w:color w:val="000000" w:themeColor="text1"/>
          <w:lang w:val="es-ES_tradnl"/>
        </w:rPr>
        <w:lastRenderedPageBreak/>
        <w:t>Empresas</w:t>
      </w:r>
      <w:r w:rsidR="00CF7D16">
        <w:rPr>
          <w:rFonts w:ascii="Verdana" w:eastAsia="Calibri" w:hAnsi="Verdana" w:cs="Arial"/>
          <w:color w:val="000000" w:themeColor="text1"/>
          <w:lang w:val="es-ES"/>
        </w:rPr>
        <w:t xml:space="preserve"> </w:t>
      </w:r>
      <w:r w:rsidR="00E20DC5">
        <w:rPr>
          <w:rFonts w:ascii="Verdana" w:eastAsia="Calibri" w:hAnsi="Verdana" w:cs="Arial"/>
          <w:color w:val="000000" w:themeColor="text1"/>
          <w:lang w:val="es-ES"/>
        </w:rPr>
        <w:t xml:space="preserve">que </w:t>
      </w:r>
      <w:r w:rsidR="00CF7D16">
        <w:rPr>
          <w:rFonts w:ascii="Verdana" w:eastAsia="Calibri" w:hAnsi="Verdana" w:cs="Arial"/>
          <w:color w:val="000000" w:themeColor="text1"/>
          <w:lang w:val="es-ES"/>
        </w:rPr>
        <w:t xml:space="preserve">se encuentra adscrito al </w:t>
      </w:r>
      <w:r w:rsidR="00CC359E">
        <w:rPr>
          <w:rFonts w:ascii="Verdana" w:eastAsia="Calibri" w:hAnsi="Verdana" w:cs="Arial"/>
          <w:color w:val="000000" w:themeColor="text1"/>
          <w:lang w:val="es-ES"/>
        </w:rPr>
        <w:t xml:space="preserve">Ministerio </w:t>
      </w:r>
      <w:r>
        <w:rPr>
          <w:rFonts w:ascii="Verdana" w:hAnsi="Verdana" w:cs="Arial"/>
        </w:rPr>
        <w:t>de Comercio, Industria y Turismo</w:t>
      </w:r>
      <w:r w:rsidR="00CF7D16">
        <w:rPr>
          <w:rFonts w:ascii="Verdana" w:hAnsi="Verdana" w:cs="Arial"/>
        </w:rPr>
        <w:t>, será esta entidad</w:t>
      </w:r>
      <w:r>
        <w:rPr>
          <w:rFonts w:ascii="Verdana" w:hAnsi="Verdana" w:cs="Arial"/>
        </w:rPr>
        <w:t xml:space="preserve"> quien debe liderar la celebración de contratos y/o convenios interadministrativos, será esta cartera ministerial la llamada a cumplir lo dispuesto en la Ley 9</w:t>
      </w:r>
      <w:r w:rsidR="00CC359E">
        <w:rPr>
          <w:rFonts w:ascii="Verdana" w:hAnsi="Verdana" w:cs="Arial"/>
        </w:rPr>
        <w:t>9</w:t>
      </w:r>
      <w:r>
        <w:rPr>
          <w:rFonts w:ascii="Verdana" w:hAnsi="Verdana" w:cs="Arial"/>
        </w:rPr>
        <w:t xml:space="preserve">6 de 2005. </w:t>
      </w:r>
    </w:p>
    <w:p w14:paraId="2E22A740" w14:textId="293ABD07" w:rsidR="009077AD" w:rsidRDefault="00D02C09" w:rsidP="00243899">
      <w:pPr>
        <w:spacing w:after="120" w:line="276" w:lineRule="auto"/>
        <w:ind w:firstLine="709"/>
        <w:jc w:val="both"/>
        <w:rPr>
          <w:rFonts w:ascii="Verdana" w:hAnsi="Verdana" w:cs="Arial"/>
        </w:rPr>
      </w:pPr>
      <w:r>
        <w:rPr>
          <w:rFonts w:ascii="Verdana" w:hAnsi="Verdana" w:cs="Arial"/>
        </w:rPr>
        <w:t>Ahora bien, como en el presente asunto no se</w:t>
      </w:r>
      <w:r w:rsidR="009077AD">
        <w:rPr>
          <w:rFonts w:ascii="Verdana" w:hAnsi="Verdana" w:cs="Arial"/>
        </w:rPr>
        <w:t xml:space="preserve"> cuenta con una norma que indique si el Consejo Profesional de Medicina Veterinaria y Zootecnia de Colombia se encuentra adscrito o vinculado a una entidad del estado con capacidad jurídica, en el evento en que se cuente con aquella vinculación por parte de un Ministerio o Departamento administrativo, será esta entidad quien en nombre del Consejo profesional, suscriba los contratos y convenios en los términos y límites definidos en la Ley 996 de 2005. </w:t>
      </w:r>
      <w:r w:rsidR="00243899">
        <w:rPr>
          <w:rFonts w:ascii="Verdana" w:hAnsi="Verdana" w:cs="Arial"/>
        </w:rPr>
        <w:t xml:space="preserve">De acuerdo con lo anterior, se harán unas breves precisiones respecto de la aplicación de la Ley 996 de 2005. </w:t>
      </w:r>
    </w:p>
    <w:p w14:paraId="2D529460" w14:textId="0276FDD2" w:rsidR="00F11D0E" w:rsidRPr="004C46B0" w:rsidRDefault="004A567D" w:rsidP="004C46B0">
      <w:pPr>
        <w:spacing w:after="120" w:line="276" w:lineRule="auto"/>
        <w:ind w:firstLine="709"/>
        <w:jc w:val="both"/>
        <w:rPr>
          <w:rFonts w:ascii="Verdana" w:hAnsi="Verdana" w:cs="Arial"/>
        </w:rPr>
      </w:pPr>
      <w:r>
        <w:rPr>
          <w:rFonts w:ascii="Verdana" w:hAnsi="Verdana" w:cs="Arial"/>
        </w:rPr>
        <w:t>E</w:t>
      </w:r>
      <w:r w:rsidR="00F11D0E" w:rsidRPr="00676106">
        <w:rPr>
          <w:rFonts w:ascii="Verdana" w:eastAsia="Calibri" w:hAnsi="Verdana" w:cs="Arial"/>
          <w:bCs/>
        </w:rPr>
        <w:t>l ordenamiento jurídico colombiano contempla previsiones claras para evitar la obtención de beneficios personales en asuntos propios de la administración pública</w:t>
      </w:r>
      <w:r w:rsidR="00F11D0E" w:rsidRPr="00676106">
        <w:rPr>
          <w:rFonts w:ascii="Verdana" w:eastAsia="Calibri" w:hAnsi="Verdana" w:cs="Arial"/>
          <w:bCs/>
          <w:i/>
          <w:iCs/>
        </w:rPr>
        <w:t xml:space="preserve">. </w:t>
      </w:r>
      <w:r w:rsidR="00F11D0E" w:rsidRPr="00676106">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00F11D0E" w:rsidRPr="00676106">
        <w:rPr>
          <w:rStyle w:val="Refdenotaalpie"/>
          <w:rFonts w:ascii="Verdana" w:eastAsia="Calibri" w:hAnsi="Verdana" w:cs="Arial"/>
          <w:bCs/>
        </w:rPr>
        <w:footnoteReference w:id="27"/>
      </w:r>
      <w:r w:rsidR="00F11D0E" w:rsidRPr="00676106">
        <w:rPr>
          <w:rFonts w:ascii="Verdana" w:eastAsia="Calibri" w:hAnsi="Verdana" w:cs="Arial"/>
          <w:bCs/>
        </w:rPr>
        <w:t xml:space="preserve">. </w:t>
      </w:r>
    </w:p>
    <w:p w14:paraId="5412FEEA" w14:textId="77777777" w:rsidR="00F11D0E" w:rsidRDefault="00F11D0E" w:rsidP="00CC359E">
      <w:pPr>
        <w:tabs>
          <w:tab w:val="left" w:pos="426"/>
        </w:tabs>
        <w:spacing w:after="120" w:line="276" w:lineRule="auto"/>
        <w:ind w:firstLine="709"/>
        <w:jc w:val="both"/>
        <w:rPr>
          <w:rFonts w:ascii="Verdana" w:eastAsia="Calibri" w:hAnsi="Verdana" w:cs="Arial"/>
          <w:noProof/>
          <w:lang w:val="es-ES_tradnl"/>
        </w:rPr>
      </w:pPr>
      <w:r w:rsidRPr="003E638E">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28"/>
      </w:r>
      <w:r w:rsidRPr="003E638E">
        <w:rPr>
          <w:rFonts w:ascii="Verdana" w:eastAsia="Times New Roman" w:hAnsi="Verdana" w:cs="Arial"/>
          <w:bCs/>
          <w:lang w:eastAsia="es-CO"/>
        </w:rPr>
        <w:t xml:space="preserve">. En esta medida, introduce limitaciones para realizar nombramientos, postulaciones, </w:t>
      </w:r>
      <w:r w:rsidRPr="003E638E">
        <w:rPr>
          <w:rFonts w:ascii="Verdana" w:eastAsia="Times New Roman" w:hAnsi="Verdana" w:cs="Arial"/>
          <w:bCs/>
          <w:lang w:eastAsia="es-CO"/>
        </w:rPr>
        <w:lastRenderedPageBreak/>
        <w:t>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25364A2F" w14:textId="5140A11E" w:rsidR="00F11D0E" w:rsidRPr="00CC359E" w:rsidRDefault="00F11D0E" w:rsidP="00CC359E">
      <w:pPr>
        <w:tabs>
          <w:tab w:val="left" w:pos="426"/>
        </w:tabs>
        <w:spacing w:after="12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2EC8B262" w14:textId="0D8E4F72" w:rsidR="00F11D0E" w:rsidRPr="003E638E" w:rsidRDefault="00CC359E" w:rsidP="00CC359E">
      <w:pPr>
        <w:spacing w:after="0" w:line="240" w:lineRule="auto"/>
        <w:ind w:left="709" w:right="616"/>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 xml:space="preserve">“(…) </w:t>
      </w:r>
      <w:r w:rsidR="00F11D0E" w:rsidRPr="003E638E">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470341D" w14:textId="77777777" w:rsidR="00F11D0E" w:rsidRPr="003E638E" w:rsidRDefault="00F11D0E" w:rsidP="00CC359E">
      <w:pPr>
        <w:spacing w:after="120" w:line="240" w:lineRule="auto"/>
        <w:ind w:left="709" w:right="616"/>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 xml:space="preserve">[…] </w:t>
      </w:r>
    </w:p>
    <w:p w14:paraId="3F8C268F" w14:textId="2344C43F" w:rsidR="00F11D0E" w:rsidRPr="003E638E" w:rsidRDefault="00F11D0E" w:rsidP="00CC359E">
      <w:pPr>
        <w:spacing w:after="0" w:line="240" w:lineRule="auto"/>
        <w:ind w:left="709" w:right="616"/>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E638E">
        <w:rPr>
          <w:rStyle w:val="Refdenotaalpie"/>
          <w:rFonts w:ascii="Verdana" w:hAnsi="Verdana" w:cs="Arial"/>
          <w:sz w:val="20"/>
          <w:szCs w:val="20"/>
        </w:rPr>
        <w:footnoteReference w:id="29"/>
      </w:r>
      <w:r w:rsidR="00CC359E">
        <w:rPr>
          <w:rFonts w:ascii="Verdana" w:eastAsia="Times New Roman" w:hAnsi="Verdana" w:cs="Arial"/>
          <w:bCs/>
          <w:sz w:val="20"/>
          <w:szCs w:val="20"/>
          <w:lang w:eastAsia="es-CO"/>
        </w:rPr>
        <w:t>.</w:t>
      </w:r>
    </w:p>
    <w:p w14:paraId="7EB0169C" w14:textId="77777777" w:rsidR="00F11D0E" w:rsidRPr="003E638E" w:rsidRDefault="00F11D0E" w:rsidP="00F11D0E">
      <w:pPr>
        <w:spacing w:after="0"/>
        <w:ind w:left="709" w:right="709"/>
        <w:jc w:val="both"/>
        <w:rPr>
          <w:rFonts w:ascii="Verdana" w:eastAsia="Times New Roman" w:hAnsi="Verdana" w:cs="Arial"/>
          <w:bCs/>
          <w:sz w:val="21"/>
          <w:szCs w:val="21"/>
          <w:lang w:eastAsia="es-CO"/>
        </w:rPr>
      </w:pPr>
    </w:p>
    <w:p w14:paraId="446056A2" w14:textId="77777777" w:rsidR="00F11D0E" w:rsidRPr="003E638E" w:rsidRDefault="00F11D0E" w:rsidP="00CC359E">
      <w:pPr>
        <w:spacing w:after="0" w:line="276" w:lineRule="auto"/>
        <w:ind w:firstLine="709"/>
        <w:jc w:val="both"/>
        <w:rPr>
          <w:rFonts w:ascii="Verdana" w:eastAsia="Times New Roman" w:hAnsi="Verdana" w:cs="Arial"/>
          <w:bCs/>
          <w:lang w:eastAsia="es-CO"/>
        </w:rPr>
      </w:pPr>
      <w:bookmarkStart w:id="10"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10"/>
      <w:r w:rsidRPr="003E638E">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3EE85759" w14:textId="77777777" w:rsidR="00F11D0E" w:rsidRPr="003E638E" w:rsidRDefault="00F11D0E" w:rsidP="00F11D0E">
      <w:pPr>
        <w:spacing w:after="0"/>
        <w:ind w:firstLine="709"/>
        <w:jc w:val="both"/>
        <w:rPr>
          <w:rFonts w:ascii="Verdana" w:eastAsia="Times New Roman" w:hAnsi="Verdana" w:cs="Arial"/>
          <w:bCs/>
          <w:lang w:eastAsia="es-CO"/>
        </w:rPr>
      </w:pPr>
    </w:p>
    <w:p w14:paraId="726BCAA5" w14:textId="77777777" w:rsidR="00F11D0E" w:rsidRPr="003E638E" w:rsidRDefault="00F11D0E" w:rsidP="0090405E">
      <w:pPr>
        <w:tabs>
          <w:tab w:val="left" w:pos="8080"/>
        </w:tabs>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w:t>
      </w:r>
      <w:r w:rsidRPr="003E638E">
        <w:rPr>
          <w:rFonts w:ascii="Verdana" w:eastAsia="Times New Roman" w:hAnsi="Verdana" w:cs="Arial"/>
          <w:bCs/>
          <w:sz w:val="20"/>
          <w:szCs w:val="20"/>
          <w:lang w:eastAsia="es-CO"/>
        </w:rPr>
        <w:lastRenderedPageBreak/>
        <w:t>disponibles ni pueden ser derogadas, modificadas, ampliadas o adicionadas por acuerdo o convenio o acto unilateral.</w:t>
      </w:r>
    </w:p>
    <w:p w14:paraId="2C4A0990" w14:textId="77777777" w:rsidR="00F11D0E" w:rsidRPr="003E638E" w:rsidRDefault="00F11D0E" w:rsidP="0090405E">
      <w:pPr>
        <w:tabs>
          <w:tab w:val="left" w:pos="8080"/>
        </w:tabs>
        <w:spacing w:after="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30"/>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31"/>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E638E">
        <w:rPr>
          <w:rStyle w:val="Refdenotaalpie"/>
          <w:rFonts w:ascii="Verdana" w:eastAsia="Times New Roman" w:hAnsi="Verdana" w:cs="Arial"/>
          <w:bCs/>
          <w:sz w:val="20"/>
          <w:szCs w:val="20"/>
          <w:lang w:eastAsia="es-CO"/>
        </w:rPr>
        <w:footnoteReference w:id="32"/>
      </w:r>
      <w:r w:rsidRPr="003E638E">
        <w:rPr>
          <w:rFonts w:ascii="Verdana" w:eastAsia="Times New Roman" w:hAnsi="Verdana" w:cs="Arial"/>
          <w:bCs/>
          <w:sz w:val="20"/>
          <w:szCs w:val="20"/>
          <w:lang w:eastAsia="es-CO"/>
        </w:rPr>
        <w:t>.</w:t>
      </w:r>
    </w:p>
    <w:p w14:paraId="2F5DA943" w14:textId="77777777" w:rsidR="00F11D0E" w:rsidRPr="00990FC7" w:rsidRDefault="00F11D0E" w:rsidP="00F11D0E">
      <w:pPr>
        <w:spacing w:after="0"/>
        <w:ind w:right="709"/>
        <w:rPr>
          <w:rFonts w:ascii="Arial" w:eastAsia="Times New Roman" w:hAnsi="Arial" w:cs="Arial"/>
          <w:bCs/>
          <w:sz w:val="21"/>
          <w:szCs w:val="21"/>
          <w:lang w:eastAsia="es-CO"/>
        </w:rPr>
      </w:pPr>
    </w:p>
    <w:p w14:paraId="373341E9" w14:textId="77777777" w:rsidR="00F11D0E" w:rsidRPr="003E638E" w:rsidRDefault="00F11D0E" w:rsidP="0090405E">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11" w:name="_Hlk77236098"/>
      <w:r w:rsidRPr="003E638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1"/>
    </w:p>
    <w:p w14:paraId="447467ED" w14:textId="77777777" w:rsidR="00F11D0E" w:rsidRPr="003E638E" w:rsidRDefault="00F11D0E" w:rsidP="0090405E">
      <w:pPr>
        <w:spacing w:after="120" w:line="276" w:lineRule="auto"/>
        <w:ind w:firstLine="709"/>
        <w:jc w:val="both"/>
        <w:rPr>
          <w:rFonts w:ascii="Verdana" w:eastAsia="Calibri" w:hAnsi="Verdana" w:cs="Arial"/>
        </w:rPr>
      </w:pPr>
      <w:r w:rsidRPr="003E638E">
        <w:rPr>
          <w:rFonts w:ascii="Verdana" w:eastAsia="Calibri" w:hAnsi="Verdana" w:cs="Arial"/>
        </w:rPr>
        <w:t xml:space="preserve">Por un lado, el 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 xml:space="preserve">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3E638E">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33"/>
      </w:r>
      <w:r w:rsidRPr="003E638E">
        <w:rPr>
          <w:rFonts w:ascii="Verdana" w:eastAsia="Calibri" w:hAnsi="Verdana" w:cs="Arial"/>
        </w:rPr>
        <w:t>.</w:t>
      </w:r>
    </w:p>
    <w:p w14:paraId="345935D5" w14:textId="1B98D6E5" w:rsidR="00F11D0E" w:rsidRPr="00024982" w:rsidRDefault="00F11D0E" w:rsidP="00024982">
      <w:pPr>
        <w:widowControl w:val="0"/>
        <w:autoSpaceDE w:val="0"/>
        <w:autoSpaceDN w:val="0"/>
        <w:spacing w:after="0" w:line="276" w:lineRule="auto"/>
        <w:ind w:right="113" w:firstLine="709"/>
        <w:jc w:val="both"/>
        <w:rPr>
          <w:rFonts w:ascii="Verdana" w:eastAsia="Arial" w:hAnsi="Verdana" w:cs="Arial"/>
          <w:lang w:val="es-ES" w:eastAsia="es-ES" w:bidi="es-ES"/>
        </w:rPr>
      </w:pPr>
      <w:r w:rsidRPr="003E638E">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 xml:space="preserve">“(…) </w:t>
      </w:r>
      <w:r w:rsidRPr="003E638E">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3E638E">
        <w:rPr>
          <w:rFonts w:ascii="Verdana" w:eastAsia="Calibri" w:hAnsi="Verdana" w:cs="Arial"/>
          <w:bCs/>
          <w:vertAlign w:val="superscript"/>
        </w:rPr>
        <w:footnoteReference w:id="34"/>
      </w:r>
      <w:r w:rsidRPr="003E638E">
        <w:rPr>
          <w:rFonts w:ascii="Verdana" w:eastAsia="Calibri" w:hAnsi="Verdana" w:cs="Arial"/>
        </w:rPr>
        <w:t>.</w:t>
      </w:r>
      <w:r w:rsidRPr="003E638E">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5D72F475" w14:textId="77777777" w:rsidR="00F11D0E" w:rsidRPr="003E638E" w:rsidRDefault="00F11D0E" w:rsidP="00F11D0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3E638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4" w:name="_Hlk76109421"/>
      <w:r w:rsidRPr="003E638E">
        <w:rPr>
          <w:rFonts w:ascii="Verdana" w:eastAsia="Arial" w:hAnsi="Verdana" w:cs="Arial"/>
          <w:sz w:val="20"/>
          <w:szCs w:val="20"/>
          <w:lang w:val="es-ES" w:eastAsia="es-ES" w:bidi="es-ES"/>
        </w:rPr>
        <w:t>se integran parcialmente</w:t>
      </w:r>
      <w:bookmarkEnd w:id="14"/>
      <w:r w:rsidRPr="003E638E">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3E638E">
        <w:rPr>
          <w:rFonts w:ascii="Verdana" w:eastAsia="Arial" w:hAnsi="Verdana" w:cs="Arial"/>
          <w:bCs/>
          <w:sz w:val="20"/>
          <w:szCs w:val="20"/>
          <w:lang w:val="es-ES" w:eastAsia="es-ES" w:bidi="es-ES"/>
        </w:rPr>
        <w:t xml:space="preserve">En cambio, para elecciones en general, excluyendo las correspondientes a </w:t>
      </w:r>
      <w:proofErr w:type="gramStart"/>
      <w:r w:rsidRPr="003E638E">
        <w:rPr>
          <w:rFonts w:ascii="Verdana" w:eastAsia="Arial" w:hAnsi="Verdana" w:cs="Arial"/>
          <w:bCs/>
          <w:sz w:val="20"/>
          <w:szCs w:val="20"/>
          <w:lang w:val="es-ES" w:eastAsia="es-ES" w:bidi="es-ES"/>
        </w:rPr>
        <w:t>Presidente</w:t>
      </w:r>
      <w:proofErr w:type="gramEnd"/>
      <w:r w:rsidRPr="003E638E">
        <w:rPr>
          <w:rFonts w:ascii="Verdana" w:eastAsia="Arial" w:hAnsi="Verdana" w:cs="Arial"/>
          <w:bCs/>
          <w:sz w:val="20"/>
          <w:szCs w:val="20"/>
          <w:lang w:val="es-ES" w:eastAsia="es-ES" w:bidi="es-ES"/>
        </w:rPr>
        <w:t xml:space="preserve"> de la República, a las autoridades territoriales allí mencionadas sólo se aplican las restricciones </w:t>
      </w:r>
      <w:r w:rsidRPr="003E638E">
        <w:rPr>
          <w:rFonts w:ascii="Verdana" w:eastAsia="Arial" w:hAnsi="Verdana" w:cs="Arial"/>
          <w:bCs/>
          <w:sz w:val="20"/>
          <w:szCs w:val="20"/>
          <w:lang w:val="es-ES" w:eastAsia="es-ES" w:bidi="es-ES"/>
        </w:rPr>
        <w:lastRenderedPageBreak/>
        <w:t>contenidas en el parágrafo del artículo 38</w:t>
      </w:r>
      <w:r w:rsidRPr="003E638E">
        <w:rPr>
          <w:rFonts w:ascii="Verdana" w:eastAsia="Arial" w:hAnsi="Verdana" w:cs="Arial"/>
          <w:sz w:val="20"/>
          <w:szCs w:val="20"/>
          <w:lang w:val="es-ES" w:eastAsia="es-ES" w:bidi="es-ES"/>
        </w:rPr>
        <w:t>.</w:t>
      </w:r>
      <w:r w:rsidRPr="003E638E">
        <w:rPr>
          <w:rFonts w:ascii="Verdana" w:eastAsia="Arial" w:hAnsi="Verdana" w:cs="Arial"/>
          <w:sz w:val="20"/>
          <w:szCs w:val="20"/>
          <w:vertAlign w:val="superscript"/>
          <w:lang w:val="es-ES" w:eastAsia="es-ES" w:bidi="es-ES"/>
        </w:rPr>
        <w:footnoteReference w:id="35"/>
      </w:r>
    </w:p>
    <w:p w14:paraId="1E1922AB" w14:textId="77777777" w:rsidR="00F11D0E" w:rsidRPr="003E638E" w:rsidRDefault="00F11D0E" w:rsidP="00F11D0E">
      <w:pPr>
        <w:widowControl w:val="0"/>
        <w:autoSpaceDE w:val="0"/>
        <w:autoSpaceDN w:val="0"/>
        <w:spacing w:before="8" w:after="0"/>
        <w:jc w:val="both"/>
        <w:rPr>
          <w:rFonts w:ascii="Verdana" w:eastAsia="Arial" w:hAnsi="Verdana" w:cs="Arial"/>
          <w:sz w:val="20"/>
          <w:szCs w:val="20"/>
          <w:lang w:val="es-ES" w:eastAsia="es-ES" w:bidi="es-ES"/>
        </w:rPr>
      </w:pPr>
    </w:p>
    <w:p w14:paraId="38C9DAA4" w14:textId="77777777" w:rsidR="00F11D0E" w:rsidRPr="003E638E" w:rsidRDefault="00F11D0E" w:rsidP="0090405E">
      <w:pPr>
        <w:spacing w:after="120" w:line="276" w:lineRule="auto"/>
        <w:ind w:firstLine="709"/>
        <w:jc w:val="both"/>
        <w:rPr>
          <w:rFonts w:ascii="Verdana" w:eastAsia="Arial" w:hAnsi="Verdana" w:cs="Arial"/>
          <w:lang w:val="es-ES" w:eastAsia="es-ES" w:bidi="es-ES"/>
        </w:rPr>
      </w:pPr>
      <w:bookmarkStart w:id="15" w:name="_Hlk75780333"/>
      <w:r w:rsidRPr="003E638E">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3E638E">
        <w:rPr>
          <w:rFonts w:ascii="Verdana" w:eastAsia="Arial" w:hAnsi="Verdana" w:cs="Arial"/>
          <w:lang w:val="es-ES" w:eastAsia="es-ES" w:bidi="es-ES"/>
        </w:rPr>
        <w:t>Presidente</w:t>
      </w:r>
      <w:proofErr w:type="gramEnd"/>
      <w:r w:rsidRPr="003E638E">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E638E">
        <w:rPr>
          <w:rFonts w:ascii="Verdana" w:eastAsia="Arial" w:hAnsi="Verdana" w:cs="Arial"/>
          <w:lang w:val="es-ES" w:eastAsia="es-ES" w:bidi="es-ES"/>
        </w:rPr>
        <w:t>Presidente</w:t>
      </w:r>
      <w:proofErr w:type="gramEnd"/>
      <w:r w:rsidRPr="003E638E">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5"/>
    <w:p w14:paraId="29FE3F1C" w14:textId="77777777" w:rsidR="00F11D0E" w:rsidRPr="003E638E" w:rsidRDefault="00F11D0E" w:rsidP="00FA061F">
      <w:pPr>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x-none"/>
        </w:rPr>
        <w:t xml:space="preserve">El ámbito material de la prohibición contenida </w:t>
      </w:r>
      <w:bookmarkStart w:id="16" w:name="_Hlk75628761"/>
      <w:r w:rsidRPr="003E638E">
        <w:rPr>
          <w:rFonts w:ascii="Verdana" w:eastAsia="Times New Roman" w:hAnsi="Verdana" w:cs="Arial"/>
          <w:bCs/>
          <w:lang w:eastAsia="x-none"/>
        </w:rPr>
        <w:t xml:space="preserve">en el artículo 33 de la ley 996 de 2005 </w:t>
      </w:r>
      <w:bookmarkEnd w:id="16"/>
      <w:r w:rsidRPr="003E638E">
        <w:rPr>
          <w:rFonts w:ascii="Verdana" w:eastAsia="Times New Roman" w:hAnsi="Verdana" w:cs="Arial"/>
          <w:bCs/>
          <w:lang w:eastAsia="x-none"/>
        </w:rPr>
        <w:t xml:space="preserve">está delimitado por la expresión </w:t>
      </w:r>
      <w:r>
        <w:rPr>
          <w:rFonts w:ascii="Verdana" w:eastAsia="Times New Roman" w:hAnsi="Verdana" w:cs="Arial"/>
          <w:bCs/>
          <w:lang w:eastAsia="x-none"/>
        </w:rPr>
        <w:t>“</w:t>
      </w:r>
      <w:r w:rsidRPr="003E638E">
        <w:rPr>
          <w:rFonts w:ascii="Verdana" w:eastAsia="Times New Roman" w:hAnsi="Verdana" w:cs="Arial"/>
          <w:bCs/>
          <w:lang w:eastAsia="x-none"/>
        </w:rPr>
        <w:t>queda prohibida la contratación directa</w:t>
      </w:r>
      <w:r>
        <w:rPr>
          <w:rFonts w:ascii="Verdana" w:hAnsi="Verdana" w:cs="Arial"/>
        </w:rPr>
        <w:t>”</w:t>
      </w:r>
      <w:r w:rsidRPr="003E638E">
        <w:rPr>
          <w:rFonts w:ascii="Verdana" w:eastAsia="Times New Roman" w:hAnsi="Verdana" w:cs="Arial"/>
          <w:bCs/>
          <w:lang w:eastAsia="x-none"/>
        </w:rPr>
        <w:t xml:space="preserve">. </w:t>
      </w:r>
      <w:r w:rsidRPr="003E638E">
        <w:rPr>
          <w:rFonts w:ascii="Verdana" w:eastAsia="Times New Roman" w:hAnsi="Verdana" w:cs="Arial"/>
          <w:lang w:eastAsia="es-CO"/>
        </w:rPr>
        <w:t>A propósito de esta restricción de la Ley de Garantías Electorales, la Sala de Consulta y Servicio Civil del Consejo de Estado ha considerado que:</w:t>
      </w:r>
    </w:p>
    <w:p w14:paraId="19C7E13A" w14:textId="77777777" w:rsidR="00F11D0E" w:rsidRPr="00990FC7" w:rsidRDefault="00F11D0E" w:rsidP="00F11D0E">
      <w:pPr>
        <w:spacing w:after="0"/>
        <w:ind w:left="708" w:right="709"/>
        <w:rPr>
          <w:rFonts w:ascii="Arial" w:hAnsi="Arial" w:cs="Arial"/>
          <w:sz w:val="21"/>
          <w:szCs w:val="21"/>
        </w:rPr>
      </w:pPr>
    </w:p>
    <w:p w14:paraId="24182F8F" w14:textId="77777777" w:rsidR="00F11D0E" w:rsidRPr="003E638E" w:rsidRDefault="00F11D0E" w:rsidP="00FA061F">
      <w:pPr>
        <w:spacing w:after="120" w:line="240" w:lineRule="auto"/>
        <w:ind w:left="709" w:right="616"/>
        <w:jc w:val="both"/>
        <w:rPr>
          <w:rFonts w:ascii="Verdana" w:hAnsi="Verdana" w:cs="Arial"/>
          <w:sz w:val="20"/>
          <w:szCs w:val="20"/>
        </w:rPr>
      </w:pPr>
      <w:r>
        <w:rPr>
          <w:rFonts w:ascii="Verdana" w:hAnsi="Verdana" w:cs="Arial"/>
          <w:sz w:val="20"/>
          <w:szCs w:val="20"/>
        </w:rPr>
        <w:t xml:space="preserve">“(…) </w:t>
      </w:r>
      <w:r w:rsidRPr="003E638E">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E638E">
        <w:rPr>
          <w:rFonts w:ascii="Verdana" w:eastAsia="Times New Roman" w:hAnsi="Verdana" w:cs="Arial"/>
          <w:sz w:val="20"/>
          <w:szCs w:val="20"/>
          <w:vertAlign w:val="superscript"/>
          <w:lang w:eastAsia="es-CO"/>
        </w:rPr>
        <w:footnoteReference w:id="36"/>
      </w:r>
      <w:r w:rsidRPr="003E638E">
        <w:rPr>
          <w:rFonts w:ascii="Verdana" w:hAnsi="Verdana" w:cs="Arial"/>
          <w:sz w:val="20"/>
          <w:szCs w:val="20"/>
        </w:rPr>
        <w:t>.</w:t>
      </w:r>
    </w:p>
    <w:p w14:paraId="4EE55159" w14:textId="77777777" w:rsidR="00F11D0E" w:rsidRPr="003E638E" w:rsidRDefault="00F11D0E" w:rsidP="00FA061F">
      <w:pPr>
        <w:spacing w:after="0" w:line="240" w:lineRule="auto"/>
        <w:ind w:left="708" w:right="616"/>
        <w:jc w:val="both"/>
        <w:rPr>
          <w:rFonts w:ascii="Verdana" w:hAnsi="Verdana" w:cs="Arial"/>
          <w:sz w:val="20"/>
          <w:szCs w:val="20"/>
        </w:rPr>
      </w:pPr>
      <w:r w:rsidRPr="003E638E">
        <w:rPr>
          <w:rFonts w:ascii="Verdana" w:hAnsi="Verdana" w:cs="Arial"/>
          <w:sz w:val="20"/>
          <w:szCs w:val="20"/>
        </w:rPr>
        <w:t xml:space="preserve">Esta Sala ha entendido </w:t>
      </w:r>
      <w:proofErr w:type="gramStart"/>
      <w:r w:rsidRPr="003E638E">
        <w:rPr>
          <w:rFonts w:ascii="Verdana" w:hAnsi="Verdana" w:cs="Arial"/>
          <w:sz w:val="20"/>
          <w:szCs w:val="20"/>
        </w:rPr>
        <w:t>que</w:t>
      </w:r>
      <w:proofErr w:type="gramEnd"/>
      <w:r w:rsidRPr="003E638E">
        <w:rPr>
          <w:rFonts w:ascii="Verdana" w:hAnsi="Verdana" w:cs="Arial"/>
          <w:sz w:val="20"/>
          <w:szCs w:val="20"/>
        </w:rPr>
        <w:t xml:space="preserve"> para los efectos de la ley de garantías, y dada su finalidad, el enunciado ´contratación directa´ es sinónimo </w:t>
      </w:r>
      <w:bookmarkStart w:id="17" w:name="_Hlk75741738"/>
      <w:r w:rsidRPr="003E638E">
        <w:rPr>
          <w:rFonts w:ascii="Verdana" w:hAnsi="Verdana" w:cs="Arial"/>
          <w:sz w:val="20"/>
          <w:szCs w:val="20"/>
        </w:rPr>
        <w:t xml:space="preserve">de cualquier sistema que no implique convocatoria pública y posibilidad de pluralidad de oferentes, </w:t>
      </w:r>
      <w:bookmarkEnd w:id="17"/>
      <w:r w:rsidRPr="003E638E">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3E638E">
        <w:rPr>
          <w:rFonts w:ascii="Verdana" w:eastAsia="Times New Roman" w:hAnsi="Verdana" w:cs="Arial"/>
          <w:sz w:val="20"/>
          <w:szCs w:val="20"/>
          <w:vertAlign w:val="superscript"/>
        </w:rPr>
        <w:footnoteReference w:id="37"/>
      </w:r>
      <w:r w:rsidRPr="003E638E">
        <w:rPr>
          <w:rFonts w:ascii="Verdana" w:eastAsia="Times New Roman" w:hAnsi="Verdana" w:cs="Arial"/>
          <w:sz w:val="20"/>
          <w:szCs w:val="20"/>
          <w:vertAlign w:val="superscript"/>
        </w:rPr>
        <w:t>.</w:t>
      </w:r>
      <w:r w:rsidRPr="003E638E">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rPr>
        <w:t xml:space="preserve"> (…)”</w:t>
      </w:r>
      <w:r w:rsidRPr="003E638E">
        <w:rPr>
          <w:rFonts w:ascii="Verdana" w:eastAsia="Times New Roman" w:hAnsi="Verdana" w:cs="Arial"/>
          <w:sz w:val="20"/>
          <w:szCs w:val="20"/>
          <w:vertAlign w:val="superscript"/>
          <w:lang w:eastAsia="es-CO"/>
        </w:rPr>
        <w:footnoteReference w:id="38"/>
      </w:r>
      <w:r w:rsidRPr="003E638E">
        <w:rPr>
          <w:rFonts w:ascii="Verdana" w:hAnsi="Verdana" w:cs="Arial"/>
          <w:sz w:val="20"/>
          <w:szCs w:val="20"/>
        </w:rPr>
        <w:t xml:space="preserve"> .</w:t>
      </w:r>
    </w:p>
    <w:p w14:paraId="4E6E9959" w14:textId="77777777" w:rsidR="00F11D0E" w:rsidRDefault="00F11D0E" w:rsidP="00F11D0E">
      <w:pPr>
        <w:spacing w:after="120"/>
        <w:ind w:firstLine="709"/>
        <w:jc w:val="both"/>
        <w:rPr>
          <w:rFonts w:ascii="Verdana" w:eastAsia="Times New Roman" w:hAnsi="Verdana" w:cs="Arial"/>
          <w:lang w:eastAsia="x-none"/>
        </w:rPr>
      </w:pPr>
    </w:p>
    <w:p w14:paraId="03FDD941" w14:textId="77777777" w:rsidR="00F11D0E" w:rsidRPr="00C8410A" w:rsidRDefault="00F11D0E" w:rsidP="00297110">
      <w:pPr>
        <w:spacing w:after="120" w:line="276" w:lineRule="auto"/>
        <w:ind w:firstLine="709"/>
        <w:jc w:val="both"/>
        <w:rPr>
          <w:rFonts w:ascii="Verdana" w:eastAsia="Times New Roman" w:hAnsi="Verdana" w:cs="Arial"/>
          <w:bCs/>
          <w:lang w:eastAsia="x-none"/>
        </w:rPr>
      </w:pPr>
      <w:r w:rsidRPr="00C8410A">
        <w:rPr>
          <w:rFonts w:ascii="Verdana" w:eastAsia="Times New Roman" w:hAnsi="Verdana" w:cs="Arial"/>
          <w:lang w:eastAsia="x-none"/>
        </w:rPr>
        <w:lastRenderedPageBreak/>
        <w:t xml:space="preserve">De conformidad con el citado concepto, </w:t>
      </w:r>
      <w:bookmarkStart w:id="19" w:name="_Hlk78818702"/>
      <w:r w:rsidRPr="00C8410A">
        <w:rPr>
          <w:rFonts w:ascii="Verdana" w:eastAsia="Times New Roman" w:hAnsi="Verdana" w:cs="Arial"/>
          <w:lang w:eastAsia="x-none"/>
        </w:rPr>
        <w:t xml:space="preserve">la prohibición del artículo 33 de la Ley de Garantías Electorales se refiere a </w:t>
      </w:r>
      <w:r w:rsidRPr="00C8410A">
        <w:rPr>
          <w:rFonts w:ascii="Verdana" w:eastAsia="Times New Roman" w:hAnsi="Verdana" w:cs="Arial"/>
          <w:lang w:eastAsia="en-GB"/>
        </w:rPr>
        <w:t>“</w:t>
      </w:r>
      <w:r w:rsidRPr="00C8410A">
        <w:rPr>
          <w:rFonts w:ascii="Verdana" w:eastAsia="Times New Roman" w:hAnsi="Verdana" w:cs="Arial"/>
          <w:lang w:eastAsia="x-none"/>
        </w:rPr>
        <w:t>cualquier sistema que no implique convocatoria pública y posibilidad de pluralidad de oferentes</w:t>
      </w:r>
      <w:r w:rsidRPr="00C8410A">
        <w:rPr>
          <w:rFonts w:ascii="Verdana" w:eastAsia="Times New Roman" w:hAnsi="Verdana" w:cs="Arial"/>
          <w:lang w:eastAsia="en-GB"/>
        </w:rPr>
        <w:t>”</w:t>
      </w:r>
      <w:r w:rsidRPr="00C8410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9"/>
      <w:r w:rsidRPr="00C8410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C8410A">
        <w:rPr>
          <w:rFonts w:ascii="Verdana" w:eastAsia="Times New Roman" w:hAnsi="Verdana" w:cs="Arial"/>
          <w:vertAlign w:val="superscript"/>
          <w:lang w:val="en-GB" w:eastAsia="x-none"/>
        </w:rPr>
        <w:footnoteReference w:id="39"/>
      </w:r>
      <w:r w:rsidRPr="00C8410A">
        <w:rPr>
          <w:rFonts w:ascii="Verdana" w:eastAsia="Times New Roman" w:hAnsi="Verdana" w:cs="Arial"/>
          <w:lang w:eastAsia="x-none"/>
        </w:rPr>
        <w:t xml:space="preserve"> y sistematizó las causales de contratación directa</w:t>
      </w:r>
      <w:r w:rsidRPr="00C8410A">
        <w:rPr>
          <w:rFonts w:ascii="Verdana" w:eastAsia="Times New Roman" w:hAnsi="Verdana" w:cs="Arial"/>
          <w:vertAlign w:val="superscript"/>
          <w:lang w:val="en-GB" w:eastAsia="x-none"/>
        </w:rPr>
        <w:footnoteReference w:id="40"/>
      </w:r>
      <w:r w:rsidRPr="00C8410A">
        <w:rPr>
          <w:rFonts w:ascii="Verdana" w:eastAsia="Times New Roman" w:hAnsi="Verdana" w:cs="Arial"/>
          <w:lang w:eastAsia="x-none"/>
        </w:rPr>
        <w:t xml:space="preserve">. </w:t>
      </w:r>
    </w:p>
    <w:p w14:paraId="3C8457FF" w14:textId="77777777" w:rsidR="00F11D0E" w:rsidRPr="00C8410A" w:rsidRDefault="00F11D0E" w:rsidP="00FA061F">
      <w:pPr>
        <w:spacing w:after="120" w:line="276" w:lineRule="auto"/>
        <w:ind w:firstLine="709"/>
        <w:jc w:val="both"/>
        <w:rPr>
          <w:rFonts w:ascii="Verdana" w:eastAsia="Times New Roman" w:hAnsi="Verdana" w:cs="Arial"/>
          <w:lang w:eastAsia="x-none"/>
        </w:rPr>
      </w:pPr>
      <w:r w:rsidRPr="00C8410A">
        <w:rPr>
          <w:rFonts w:ascii="Verdana" w:eastAsia="Times New Roman" w:hAnsi="Verdana" w:cs="Arial"/>
          <w:lang w:eastAsia="x-none"/>
        </w:rPr>
        <w:t xml:space="preserve">De esta forma, con fundamento en la evolución de la normativa sobre la contratación pública, se ha depurado la noción de </w:t>
      </w:r>
      <w:r w:rsidRPr="00C8410A">
        <w:rPr>
          <w:rFonts w:ascii="Verdana" w:eastAsia="Times New Roman" w:hAnsi="Verdana" w:cs="Arial"/>
          <w:lang w:eastAsia="en-GB"/>
        </w:rPr>
        <w:t>«</w:t>
      </w:r>
      <w:r w:rsidRPr="00C8410A">
        <w:rPr>
          <w:rFonts w:ascii="Verdana" w:eastAsia="Times New Roman" w:hAnsi="Verdana" w:cs="Arial"/>
          <w:lang w:eastAsia="x-none"/>
        </w:rPr>
        <w:t>contratación directa</w:t>
      </w:r>
      <w:r w:rsidRPr="00C8410A">
        <w:rPr>
          <w:rFonts w:ascii="Verdana" w:eastAsia="Times New Roman" w:hAnsi="Verdana" w:cs="Arial"/>
          <w:lang w:eastAsia="en-GB"/>
        </w:rPr>
        <w:t>»</w:t>
      </w:r>
      <w:r w:rsidRPr="00C8410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8410A">
        <w:rPr>
          <w:rFonts w:ascii="Verdana" w:eastAsia="Times New Roman" w:hAnsi="Verdana" w:cs="Arial"/>
          <w:vertAlign w:val="superscript"/>
          <w:lang w:val="en-GB" w:eastAsia="x-none"/>
        </w:rPr>
        <w:footnoteReference w:id="41"/>
      </w:r>
      <w:r w:rsidRPr="00C8410A">
        <w:rPr>
          <w:rFonts w:ascii="Verdana" w:eastAsia="Times New Roman" w:hAnsi="Verdana" w:cs="Arial"/>
          <w:lang w:eastAsia="x-none"/>
        </w:rPr>
        <w:t>, han establecido sistemas de contratación que implican convocatoria pública y participación de varios oferentes</w:t>
      </w:r>
      <w:r w:rsidRPr="00C8410A">
        <w:rPr>
          <w:rFonts w:ascii="Verdana" w:eastAsia="Times New Roman" w:hAnsi="Verdana" w:cs="Arial"/>
          <w:lang w:eastAsia="en-GB"/>
        </w:rPr>
        <w:t>”</w:t>
      </w:r>
      <w:r w:rsidRPr="00C8410A">
        <w:rPr>
          <w:rFonts w:ascii="Verdana" w:eastAsia="Times New Roman" w:hAnsi="Verdana" w:cs="Arial"/>
          <w:lang w:eastAsia="x-none"/>
        </w:rPr>
        <w:t xml:space="preserve">. </w:t>
      </w:r>
    </w:p>
    <w:p w14:paraId="3C30B31E" w14:textId="77777777" w:rsidR="00F11D0E" w:rsidRPr="00C8410A" w:rsidRDefault="00F11D0E" w:rsidP="00FA061F">
      <w:pPr>
        <w:spacing w:after="120" w:line="276" w:lineRule="auto"/>
        <w:ind w:firstLine="709"/>
        <w:jc w:val="both"/>
        <w:rPr>
          <w:rFonts w:ascii="Verdana" w:eastAsia="Times New Roman" w:hAnsi="Verdana" w:cs="Arial"/>
          <w:bCs/>
          <w:lang w:eastAsia="es-CO"/>
        </w:rPr>
      </w:pPr>
      <w:r w:rsidRPr="00C8410A">
        <w:rPr>
          <w:rFonts w:ascii="Verdana" w:eastAsia="Times New Roman" w:hAnsi="Verdana" w:cs="Arial"/>
          <w:bCs/>
          <w:lang w:eastAsia="x-none"/>
        </w:rPr>
        <w:t>E</w:t>
      </w:r>
      <w:r w:rsidRPr="00C8410A">
        <w:rPr>
          <w:rFonts w:ascii="Verdana" w:eastAsia="Times New Roman" w:hAnsi="Verdana" w:cs="Arial"/>
          <w:lang w:eastAsia="x-none"/>
        </w:rPr>
        <w:t xml:space="preserve">n efecto, vale la pena mencionar que, </w:t>
      </w:r>
      <w:bookmarkStart w:id="20" w:name="_Hlk75636073"/>
      <w:r w:rsidRPr="00C8410A">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C8410A">
        <w:rPr>
          <w:rFonts w:ascii="Verdana" w:eastAsia="Times New Roman" w:hAnsi="Verdana" w:cs="Arial"/>
          <w:lang w:eastAsia="x-none"/>
        </w:rPr>
        <w:t>contratación directa</w:t>
      </w:r>
      <w:r>
        <w:rPr>
          <w:rFonts w:ascii="Verdana" w:eastAsia="Times New Roman" w:hAnsi="Verdana" w:cs="Arial"/>
          <w:lang w:eastAsia="x-none"/>
        </w:rPr>
        <w:t>”</w:t>
      </w:r>
      <w:r w:rsidRPr="00C8410A">
        <w:rPr>
          <w:rFonts w:ascii="Verdana" w:eastAsia="Times New Roman" w:hAnsi="Verdana" w:cs="Arial"/>
          <w:lang w:eastAsia="x-none"/>
        </w:rPr>
        <w:t>, es que la convocatoria para inscribirse en forma previa se haga de manera pública, y que se permita la participación de una pluralidad de oferentes</w:t>
      </w:r>
      <w:bookmarkEnd w:id="20"/>
      <w:r w:rsidRPr="00C8410A">
        <w:rPr>
          <w:rFonts w:ascii="Verdana" w:eastAsia="Times New Roman" w:hAnsi="Verdana" w:cs="Arial"/>
          <w:vertAlign w:val="superscript"/>
          <w:lang w:eastAsia="x-none"/>
        </w:rPr>
        <w:footnoteReference w:id="42"/>
      </w:r>
      <w:r w:rsidRPr="00C8410A">
        <w:rPr>
          <w:rFonts w:ascii="Verdana" w:eastAsia="Times New Roman" w:hAnsi="Verdana" w:cs="Arial"/>
          <w:lang w:eastAsia="x-none"/>
        </w:rPr>
        <w:t xml:space="preserve">. </w:t>
      </w:r>
    </w:p>
    <w:p w14:paraId="33546BCD" w14:textId="77777777" w:rsidR="00F11D0E" w:rsidRPr="00C8410A" w:rsidRDefault="00F11D0E" w:rsidP="00FA061F">
      <w:pPr>
        <w:spacing w:after="120" w:line="276" w:lineRule="auto"/>
        <w:ind w:firstLine="709"/>
        <w:jc w:val="both"/>
        <w:rPr>
          <w:rFonts w:ascii="Verdana" w:eastAsia="Times New Roman" w:hAnsi="Verdana" w:cs="Arial"/>
          <w:bCs/>
          <w:lang w:eastAsia="es-CO"/>
        </w:rPr>
      </w:pPr>
      <w:r w:rsidRPr="00C8410A">
        <w:rPr>
          <w:rFonts w:ascii="Verdana" w:eastAsia="Times New Roman" w:hAnsi="Verdana" w:cs="Arial"/>
          <w:bCs/>
          <w:lang w:eastAsia="es-CO"/>
        </w:rPr>
        <w:lastRenderedPageBreak/>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C8410A">
        <w:rPr>
          <w:rFonts w:ascii="Verdana" w:eastAsia="Times New Roman" w:hAnsi="Verdana" w:cs="Arial"/>
          <w:bCs/>
          <w:lang w:eastAsia="es-CO"/>
        </w:rPr>
        <w:t>contratación directa</w:t>
      </w:r>
      <w:r>
        <w:rPr>
          <w:rFonts w:ascii="Verdana" w:eastAsia="Times New Roman" w:hAnsi="Verdana" w:cs="Arial"/>
          <w:bCs/>
          <w:lang w:eastAsia="es-CO"/>
        </w:rPr>
        <w:t>”</w:t>
      </w:r>
      <w:r w:rsidRPr="00C8410A">
        <w:rPr>
          <w:rFonts w:ascii="Verdana" w:eastAsia="Times New Roman" w:hAnsi="Verdana" w:cs="Arial"/>
          <w:bCs/>
          <w:lang w:eastAsia="es-CO"/>
        </w:rPr>
        <w:t>.</w:t>
      </w:r>
    </w:p>
    <w:p w14:paraId="48B87283" w14:textId="77777777" w:rsidR="00F11D0E" w:rsidRPr="00C8410A" w:rsidRDefault="00F11D0E" w:rsidP="00FA061F">
      <w:pPr>
        <w:spacing w:after="120" w:line="276" w:lineRule="auto"/>
        <w:ind w:firstLine="709"/>
        <w:jc w:val="both"/>
        <w:rPr>
          <w:rFonts w:ascii="Verdana" w:eastAsia="Times New Roman" w:hAnsi="Verdana" w:cs="Arial"/>
          <w:bCs/>
          <w:lang w:eastAsia="x-none"/>
        </w:rPr>
      </w:pPr>
      <w:bookmarkStart w:id="21" w:name="_Hlk78818796"/>
      <w:r w:rsidRPr="00990FC7">
        <w:rPr>
          <w:rFonts w:ascii="Arial" w:eastAsia="Times New Roman" w:hAnsi="Arial" w:cs="Arial"/>
          <w:bCs/>
          <w:lang w:eastAsia="x-none"/>
        </w:rPr>
        <w:t xml:space="preserve"> </w:t>
      </w:r>
      <w:r w:rsidRPr="00C8410A">
        <w:rPr>
          <w:rFonts w:ascii="Verdana" w:eastAsia="Times New Roman" w:hAnsi="Verdana" w:cs="Arial"/>
          <w:bCs/>
          <w:lang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8410A">
        <w:rPr>
          <w:rFonts w:ascii="Verdana" w:eastAsia="Times New Roman" w:hAnsi="Verdana" w:cs="Arial"/>
          <w:vertAlign w:val="superscript"/>
          <w:lang w:eastAsia="x-none"/>
        </w:rPr>
        <w:footnoteReference w:id="43"/>
      </w:r>
      <w:r w:rsidRPr="00C8410A">
        <w:rPr>
          <w:rFonts w:ascii="Verdana" w:eastAsia="Times New Roman" w:hAnsi="Verdana" w:cs="Arial"/>
          <w:bCs/>
          <w:lang w:eastAsia="x-none"/>
        </w:rPr>
        <w:t>.</w:t>
      </w:r>
      <w:r w:rsidRPr="00C8410A">
        <w:rPr>
          <w:rFonts w:ascii="Verdana" w:eastAsia="Times New Roman" w:hAnsi="Verdana" w:cs="Arial"/>
          <w:vertAlign w:val="superscript"/>
          <w:lang w:eastAsia="x-none"/>
        </w:rPr>
        <w:t xml:space="preserve"> </w:t>
      </w:r>
    </w:p>
    <w:bookmarkEnd w:id="21"/>
    <w:p w14:paraId="670DD9AA" w14:textId="77777777" w:rsidR="00F11D0E" w:rsidRDefault="00F11D0E" w:rsidP="00FA061F">
      <w:pPr>
        <w:spacing w:after="120" w:line="276" w:lineRule="auto"/>
        <w:ind w:firstLine="709"/>
        <w:jc w:val="both"/>
        <w:rPr>
          <w:rFonts w:ascii="Verdana" w:eastAsia="Times New Roman" w:hAnsi="Verdana" w:cs="Arial"/>
          <w:lang w:eastAsia="x-none"/>
        </w:rPr>
      </w:pPr>
      <w:r w:rsidRPr="00C8410A">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C8410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46F317B3" w14:textId="1F0E4774" w:rsidR="00991BC6" w:rsidRDefault="00991BC6" w:rsidP="00991BC6">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w:t>
      </w:r>
      <w:r w:rsidRPr="00991BC6">
        <w:rPr>
          <w:rFonts w:ascii="Verdana" w:hAnsi="Verdana" w:cs="Arial"/>
          <w:b/>
          <w:bCs/>
          <w:color w:val="000000" w:themeColor="text1"/>
          <w:u w:val="single"/>
          <w:lang w:val="es-MX"/>
        </w:rPr>
        <w:t>autorizadas por la ley para suscribir contratos</w:t>
      </w:r>
      <w:r>
        <w:rPr>
          <w:rFonts w:ascii="Verdana" w:hAnsi="Verdana" w:cs="Arial"/>
          <w:b/>
          <w:bCs/>
          <w:color w:val="000000" w:themeColor="text1"/>
          <w:u w:val="single"/>
          <w:lang w:val="es-MX"/>
        </w:rPr>
        <w:t xml:space="preserve"> </w:t>
      </w:r>
      <w:r>
        <w:rPr>
          <w:rFonts w:ascii="Verdana" w:hAnsi="Verdana" w:cs="Arial"/>
          <w:color w:val="000000" w:themeColor="text1"/>
          <w:lang w:val="es-MX"/>
        </w:rPr>
        <w:t>(se resalta)</w:t>
      </w:r>
      <w:r w:rsidRPr="73D21086">
        <w:rPr>
          <w:rFonts w:ascii="Verdana" w:hAnsi="Verdana" w:cs="Arial"/>
          <w:color w:val="000000" w:themeColor="text1"/>
          <w:lang w:val="es-MX"/>
        </w:rPr>
        <w:t xml:space="preserve">.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4F84210E" w14:textId="77777777" w:rsidR="00A33602" w:rsidRDefault="00A33602" w:rsidP="00A33602">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lastRenderedPageBreak/>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44"/>
      </w:r>
      <w:r w:rsidRPr="73D21086">
        <w:rPr>
          <w:rFonts w:ascii="Verdana" w:hAnsi="Verdana" w:cs="Arial"/>
          <w:color w:val="000000" w:themeColor="text1"/>
          <w:lang w:val="es-MX"/>
        </w:rPr>
        <w:t xml:space="preserve">. </w:t>
      </w:r>
    </w:p>
    <w:p w14:paraId="72054710" w14:textId="2959CE04" w:rsidR="00A33602" w:rsidRDefault="00B93E34" w:rsidP="00024982">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45"/>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604D25F7" w14:textId="77777777" w:rsidR="00024982" w:rsidRPr="00024982" w:rsidRDefault="00024982" w:rsidP="00024982">
      <w:pPr>
        <w:spacing w:after="0" w:line="276" w:lineRule="auto"/>
        <w:ind w:firstLine="709"/>
        <w:jc w:val="both"/>
        <w:rPr>
          <w:rFonts w:ascii="Verdana" w:hAnsi="Verdana" w:cs="Arial"/>
          <w:color w:val="000000" w:themeColor="text1"/>
          <w:lang w:val="es-MX"/>
        </w:rPr>
      </w:pPr>
    </w:p>
    <w:p w14:paraId="1FC242CE" w14:textId="77777777" w:rsidR="00562AD2" w:rsidRDefault="00562AD2" w:rsidP="00562AD2">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w:t>
      </w:r>
      <w:r w:rsidRPr="005800D0">
        <w:rPr>
          <w:rFonts w:ascii="Verdana" w:hAnsi="Verdana" w:cs="Arial"/>
          <w:color w:val="000000" w:themeColor="text1"/>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7A899AD8" w14:textId="77777777" w:rsidR="00562AD2" w:rsidRPr="005800D0" w:rsidRDefault="00562AD2" w:rsidP="00562AD2">
      <w:pPr>
        <w:spacing w:after="0" w:line="240" w:lineRule="auto"/>
        <w:ind w:left="709" w:right="709"/>
        <w:jc w:val="both"/>
        <w:rPr>
          <w:rFonts w:ascii="Verdana" w:hAnsi="Verdana" w:cs="Arial"/>
          <w:color w:val="000000" w:themeColor="text1"/>
          <w:sz w:val="20"/>
          <w:szCs w:val="20"/>
          <w:lang w:val="es-MX"/>
        </w:rPr>
      </w:pPr>
    </w:p>
    <w:p w14:paraId="3E13FC49" w14:textId="20DFEA9F" w:rsidR="00562AD2" w:rsidRDefault="00562AD2" w:rsidP="00805798">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46"/>
      </w:r>
      <w:r w:rsidRPr="005800D0">
        <w:rPr>
          <w:rFonts w:ascii="Verdana" w:hAnsi="Verdana" w:cs="Arial"/>
          <w:color w:val="000000" w:themeColor="text1"/>
          <w:sz w:val="20"/>
          <w:szCs w:val="20"/>
          <w:lang w:val="es-MX" w:eastAsia="x-none"/>
        </w:rPr>
        <w:t>.</w:t>
      </w:r>
    </w:p>
    <w:p w14:paraId="1AD2E55E" w14:textId="77777777" w:rsidR="00805798" w:rsidRPr="00805798" w:rsidRDefault="00805798" w:rsidP="00805798">
      <w:pPr>
        <w:spacing w:after="0" w:line="240" w:lineRule="auto"/>
        <w:ind w:left="709" w:right="709"/>
        <w:jc w:val="both"/>
        <w:rPr>
          <w:rFonts w:ascii="Verdana" w:hAnsi="Verdana" w:cs="Arial"/>
          <w:color w:val="000000" w:themeColor="text1"/>
          <w:sz w:val="20"/>
          <w:szCs w:val="20"/>
          <w:lang w:val="es-MX"/>
        </w:rPr>
      </w:pPr>
    </w:p>
    <w:p w14:paraId="16F025DC" w14:textId="77777777" w:rsidR="00805798" w:rsidRDefault="00805798" w:rsidP="00805798">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47"/>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4819C18C" w14:textId="77777777" w:rsidR="00CB7619" w:rsidRPr="00195E24" w:rsidRDefault="00CB7619" w:rsidP="00CB7619">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F22F380" w14:textId="77777777" w:rsidR="00CB7619" w:rsidRPr="00CE0712" w:rsidRDefault="00CB7619" w:rsidP="00CB7619">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lastRenderedPageBreak/>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FFA0DE0" w14:textId="603AEAE3" w:rsidR="00991BC6" w:rsidRPr="00CB7619" w:rsidRDefault="00CB7619" w:rsidP="00CB7619">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919C976" w14:textId="405A1C72" w:rsidR="00F11D0E" w:rsidRPr="00CB7619" w:rsidRDefault="00F11D0E" w:rsidP="00CB7619">
      <w:pPr>
        <w:tabs>
          <w:tab w:val="left" w:pos="426"/>
        </w:tabs>
        <w:spacing w:after="120" w:line="276" w:lineRule="auto"/>
        <w:ind w:firstLine="709"/>
        <w:jc w:val="both"/>
        <w:rPr>
          <w:rFonts w:ascii="Verdana" w:eastAsia="Calibri" w:hAnsi="Verdana" w:cs="Arial"/>
          <w:bCs/>
          <w:lang w:val="es-ES_tradnl"/>
        </w:rPr>
      </w:pPr>
      <w:bookmarkStart w:id="23" w:name="_Hlk77237229"/>
      <w:bookmarkStart w:id="24" w:name="_Hlk75741539"/>
      <w:r w:rsidRPr="003776B6">
        <w:rPr>
          <w:rFonts w:ascii="Verdana" w:eastAsia="Calibri" w:hAnsi="Verdana" w:cs="Arial"/>
          <w:bCs/>
          <w:lang w:val="es-ES_tradnl"/>
        </w:rPr>
        <w:t>Lo anterior implica que las excepciones al artículo 33 en comento deben interpretarse y aplicarse manera restrictiva. En otras palabras, que no sería posible hacer interpretaciones extensivas</w:t>
      </w:r>
      <w:r w:rsidRPr="003776B6">
        <w:rPr>
          <w:rFonts w:ascii="Verdana" w:eastAsia="Calibri" w:hAnsi="Verdana" w:cs="Arial"/>
          <w:bCs/>
          <w:i/>
          <w:iCs/>
          <w:lang w:val="es-ES_tradnl"/>
        </w:rPr>
        <w:t xml:space="preserve"> </w:t>
      </w:r>
      <w:r w:rsidRPr="003776B6">
        <w:rPr>
          <w:rFonts w:ascii="Verdana" w:eastAsia="Calibri" w:hAnsi="Verdana" w:cs="Arial"/>
          <w:bCs/>
          <w:lang w:val="es-ES_tradnl"/>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bookmarkEnd w:id="23"/>
      <w:bookmarkEnd w:id="24"/>
    </w:p>
    <w:p w14:paraId="1CA6E18F" w14:textId="476CEF01" w:rsidR="00C4564E" w:rsidRDefault="00C4564E" w:rsidP="00C4564E">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Al margen de la explicación precedente, debe advertirse que el análisis requerido para resolver problemas específicos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w:t>
      </w:r>
      <w:r w:rsidRPr="00667CD6">
        <w:rPr>
          <w:rFonts w:ascii="Verdana" w:hAnsi="Verdana" w:cs="Arial"/>
          <w:bCs/>
          <w:color w:val="000000" w:themeColor="text1"/>
        </w:rPr>
        <w:lastRenderedPageBreak/>
        <w:t>concepto de sus asesores, la solución de situaciones particulares corresponde a los interesados adoptar la decisión correspondiente y, en caso de conflicto, a las autoridades judiciales, fiscales y disciplinarias.</w:t>
      </w:r>
    </w:p>
    <w:p w14:paraId="53BC2DC2" w14:textId="1431DFFE" w:rsidR="00B01D30" w:rsidRPr="004B4968" w:rsidRDefault="00B01D30" w:rsidP="00C4564E">
      <w:pPr>
        <w:spacing w:after="120" w:line="276" w:lineRule="auto"/>
        <w:ind w:firstLine="709"/>
        <w:jc w:val="both"/>
        <w:rPr>
          <w:rFonts w:ascii="Verdana" w:eastAsia="Times New Roman" w:hAnsi="Verdana" w:cs="Arial"/>
          <w:lang w:eastAsia="es-CO"/>
        </w:rPr>
      </w:pPr>
      <w:r w:rsidRPr="00B01D30">
        <w:rPr>
          <w:rFonts w:ascii="Verdana" w:eastAsia="Times New Roman" w:hAnsi="Verdana" w:cs="Arial"/>
          <w:bCs/>
          <w:lang w:eastAsia="es-CO"/>
        </w:rPr>
        <w:t>Por último, a</w:t>
      </w:r>
      <w:r w:rsidRPr="00B01D30">
        <w:rPr>
          <w:rFonts w:ascii="Verdana" w:eastAsia="Times New Roman" w:hAnsi="Verdana" w:cs="Arial"/>
          <w:lang w:val="es-ES" w:eastAsia="es-CO"/>
        </w:rPr>
        <w:t>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4927DFC6" w14:textId="77777777" w:rsidR="00C4564E" w:rsidRPr="00237877" w:rsidRDefault="00C4564E" w:rsidP="00C4564E">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9"/>
    </w:p>
    <w:p w14:paraId="19C08AF2" w14:textId="77777777" w:rsidR="00C4564E" w:rsidRPr="005644FE" w:rsidRDefault="00C4564E" w:rsidP="00C4564E">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4564E" w:rsidRPr="002D2C18" w14:paraId="7D95946E" w14:textId="77777777" w:rsidTr="00835D56">
        <w:trPr>
          <w:trHeight w:val="56"/>
          <w:jc w:val="center"/>
        </w:trPr>
        <w:tc>
          <w:tcPr>
            <w:tcW w:w="8647" w:type="dxa"/>
          </w:tcPr>
          <w:p w14:paraId="7D1E544C" w14:textId="52EAEC71" w:rsidR="00AB318F" w:rsidRDefault="00AB318F"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Constitución Política. Artículo 127. </w:t>
            </w:r>
          </w:p>
          <w:p w14:paraId="0A9F1B7E" w14:textId="0A7D1F16" w:rsidR="00C4564E" w:rsidRDefault="00C4564E"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80 de 1993. Artículos 1, 2.</w:t>
            </w:r>
          </w:p>
          <w:p w14:paraId="14EE5F62" w14:textId="77777777" w:rsidR="00C4564E" w:rsidRDefault="00C4564E"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1150 de 2007. Artículos 10, 14 y 24. </w:t>
            </w:r>
          </w:p>
          <w:p w14:paraId="17CDE555" w14:textId="77777777" w:rsidR="00C4564E" w:rsidRPr="006157FE" w:rsidRDefault="00C4564E"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Decreto 1082 de 2015. Artículo </w:t>
            </w:r>
            <w:r w:rsidRPr="00661B59">
              <w:rPr>
                <w:rFonts w:ascii="Verdana" w:eastAsia="Times New Roman" w:hAnsi="Verdana" w:cs="Arial"/>
                <w:color w:val="000000" w:themeColor="text1"/>
                <w:lang w:eastAsia="es-ES_tradnl"/>
              </w:rPr>
              <w:t>2.2.1.1.1.3.1</w:t>
            </w:r>
            <w:r>
              <w:rPr>
                <w:rFonts w:ascii="Verdana" w:eastAsia="Times New Roman" w:hAnsi="Verdana" w:cs="Arial"/>
                <w:color w:val="000000" w:themeColor="text1"/>
                <w:lang w:eastAsia="es-ES_tradnl"/>
              </w:rPr>
              <w:t>.</w:t>
            </w:r>
          </w:p>
          <w:p w14:paraId="50E3A03B" w14:textId="633220E2" w:rsidR="00C4564E" w:rsidRPr="004869CF" w:rsidRDefault="00C4564E"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Código Civil. Artículos </w:t>
            </w:r>
            <w:r w:rsidRPr="00095793">
              <w:rPr>
                <w:rFonts w:ascii="Verdana" w:eastAsia="Arial" w:hAnsi="Verdana" w:cs="Arial"/>
              </w:rPr>
              <w:t>1502, 1503 y 1504</w:t>
            </w:r>
            <w:r w:rsidR="00914C34">
              <w:rPr>
                <w:rFonts w:ascii="Verdana" w:eastAsia="Arial" w:hAnsi="Verdana" w:cs="Arial"/>
              </w:rPr>
              <w:t>, 1741</w:t>
            </w:r>
            <w:r>
              <w:rPr>
                <w:rFonts w:ascii="Verdana" w:eastAsia="Arial" w:hAnsi="Verdana" w:cs="Arial"/>
              </w:rPr>
              <w:t>.</w:t>
            </w:r>
          </w:p>
          <w:p w14:paraId="62426D2C" w14:textId="5E99839C" w:rsidR="004869CF" w:rsidRPr="00DD7950" w:rsidRDefault="004869CF"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rial" w:hAnsi="Verdana" w:cs="Arial"/>
              </w:rPr>
              <w:t xml:space="preserve">Código de Comercio. Artículo 842. </w:t>
            </w:r>
          </w:p>
          <w:p w14:paraId="4786D3AC" w14:textId="77777777" w:rsidR="00C4564E" w:rsidRPr="00DD7950" w:rsidRDefault="00C4564E" w:rsidP="009C1AC8">
            <w:pPr>
              <w:pStyle w:val="Prrafodelista"/>
              <w:numPr>
                <w:ilvl w:val="0"/>
                <w:numId w:val="17"/>
              </w:numPr>
              <w:spacing w:after="120" w:line="276" w:lineRule="auto"/>
              <w:ind w:left="714" w:hanging="357"/>
              <w:jc w:val="both"/>
              <w:rPr>
                <w:rFonts w:ascii="Verdana" w:eastAsia="Aptos" w:hAnsi="Verdana" w:cs="Arial"/>
              </w:rPr>
            </w:pPr>
            <w:r>
              <w:rPr>
                <w:rFonts w:ascii="Verdana" w:eastAsia="Arial" w:hAnsi="Verdana" w:cs="Arial"/>
              </w:rPr>
              <w:t xml:space="preserve">Ley 73 de 1985. Artículos 7 y 8. </w:t>
            </w:r>
          </w:p>
          <w:p w14:paraId="1A7337F7" w14:textId="77777777" w:rsidR="00C4564E" w:rsidRPr="00DD7950" w:rsidRDefault="00C4564E" w:rsidP="009C1AC8">
            <w:pPr>
              <w:pStyle w:val="Prrafodelista"/>
              <w:numPr>
                <w:ilvl w:val="0"/>
                <w:numId w:val="17"/>
              </w:numPr>
              <w:spacing w:after="120" w:line="276" w:lineRule="auto"/>
              <w:ind w:left="714" w:hanging="357"/>
              <w:jc w:val="both"/>
              <w:rPr>
                <w:rFonts w:ascii="Verdana" w:eastAsia="Aptos" w:hAnsi="Verdana" w:cs="Arial"/>
              </w:rPr>
            </w:pPr>
            <w:r w:rsidRPr="00001F4F">
              <w:rPr>
                <w:rFonts w:ascii="Verdana" w:eastAsia="Calibri" w:hAnsi="Verdana" w:cs="Arial"/>
                <w:color w:val="000000" w:themeColor="text1"/>
              </w:rPr>
              <w:t>Ley 1050 de 1968</w:t>
            </w:r>
            <w:r>
              <w:rPr>
                <w:rFonts w:ascii="Verdana" w:eastAsia="Calibri" w:hAnsi="Verdana" w:cs="Arial"/>
                <w:color w:val="000000" w:themeColor="text1"/>
              </w:rPr>
              <w:t>.</w:t>
            </w:r>
          </w:p>
          <w:p w14:paraId="3243D355" w14:textId="203BF8BA" w:rsidR="004869CF" w:rsidRPr="004869CF" w:rsidRDefault="00C4564E" w:rsidP="004869CF">
            <w:pPr>
              <w:pStyle w:val="Prrafodelista"/>
              <w:numPr>
                <w:ilvl w:val="0"/>
                <w:numId w:val="17"/>
              </w:numPr>
              <w:spacing w:after="120" w:line="276" w:lineRule="auto"/>
              <w:ind w:left="714" w:hanging="357"/>
              <w:jc w:val="both"/>
              <w:rPr>
                <w:rFonts w:ascii="Verdana" w:eastAsia="Aptos" w:hAnsi="Verdana" w:cs="Arial"/>
              </w:rPr>
            </w:pPr>
            <w:r w:rsidRPr="00001F4F">
              <w:rPr>
                <w:rFonts w:ascii="Verdana" w:eastAsia="Calibri" w:hAnsi="Verdana" w:cs="Arial"/>
                <w:color w:val="000000" w:themeColor="text1"/>
              </w:rPr>
              <w:t>Ley 576 de 2000</w:t>
            </w:r>
            <w:r>
              <w:rPr>
                <w:rFonts w:ascii="Verdana" w:eastAsia="Calibri" w:hAnsi="Verdana" w:cs="Arial"/>
                <w:color w:val="000000" w:themeColor="text1"/>
              </w:rPr>
              <w:t xml:space="preserve">. Artículo 62. </w:t>
            </w:r>
          </w:p>
          <w:p w14:paraId="1F46D4F1" w14:textId="67640497" w:rsidR="004869CF" w:rsidRPr="004869CF" w:rsidRDefault="004869CF" w:rsidP="004869CF">
            <w:pPr>
              <w:pStyle w:val="Prrafodelista"/>
              <w:numPr>
                <w:ilvl w:val="0"/>
                <w:numId w:val="17"/>
              </w:numPr>
              <w:spacing w:after="120" w:line="276" w:lineRule="auto"/>
              <w:ind w:left="714" w:hanging="357"/>
              <w:jc w:val="both"/>
              <w:rPr>
                <w:rFonts w:ascii="Verdana" w:eastAsia="Aptos" w:hAnsi="Verdana" w:cs="Arial"/>
              </w:rPr>
            </w:pPr>
            <w:r>
              <w:rPr>
                <w:rFonts w:ascii="Verdana" w:eastAsia="Calibri" w:hAnsi="Verdana" w:cs="Arial"/>
                <w:color w:val="000000" w:themeColor="text1"/>
              </w:rPr>
              <w:t xml:space="preserve">Ley 996 de 2005. Artículo 33. </w:t>
            </w:r>
          </w:p>
          <w:p w14:paraId="1E9D394F" w14:textId="17ECD780" w:rsidR="00CD4586" w:rsidRPr="00510910" w:rsidRDefault="00CD4586" w:rsidP="00510910">
            <w:pPr>
              <w:pStyle w:val="Prrafodelista"/>
              <w:numPr>
                <w:ilvl w:val="0"/>
                <w:numId w:val="17"/>
              </w:numPr>
              <w:spacing w:after="120" w:line="276" w:lineRule="auto"/>
              <w:ind w:left="714" w:hanging="357"/>
              <w:jc w:val="both"/>
              <w:rPr>
                <w:rFonts w:ascii="Verdana" w:eastAsia="Aptos" w:hAnsi="Verdana" w:cs="Arial"/>
              </w:rPr>
            </w:pPr>
            <w:r w:rsidRPr="00510910">
              <w:rPr>
                <w:rFonts w:ascii="Verdana" w:eastAsia="Calibri" w:hAnsi="Verdana" w:cs="Arial"/>
                <w:color w:val="000000" w:themeColor="text1"/>
                <w:lang w:val="es-ES_tradnl"/>
              </w:rPr>
              <w:t xml:space="preserve">Acuerdo No. 469 del 29 de mayo de 2009. </w:t>
            </w:r>
            <w:r w:rsidR="00510910" w:rsidRPr="00510910">
              <w:rPr>
                <w:rFonts w:ascii="Verdana" w:eastAsia="Calibri" w:hAnsi="Verdana" w:cs="Arial"/>
                <w:color w:val="000000" w:themeColor="text1"/>
                <w:lang w:val="es-ES_tradnl"/>
              </w:rPr>
              <w:t xml:space="preserve">Disponible en </w:t>
            </w:r>
            <w:hyperlink r:id="rId13" w:history="1">
              <w:r w:rsidR="00510910" w:rsidRPr="00510910">
                <w:rPr>
                  <w:rStyle w:val="Hipervnculo"/>
                  <w:rFonts w:ascii="Verdana" w:hAnsi="Verdana" w:cstheme="minorHAnsi"/>
                  <w:lang w:val="es-CO"/>
                </w:rPr>
                <w:t>ACUERDO_NUMERO_469_de_Tramites_Iniciales.pdf</w:t>
              </w:r>
            </w:hyperlink>
          </w:p>
          <w:p w14:paraId="3D8A0875" w14:textId="77777777" w:rsidR="00C4564E" w:rsidRDefault="00C4564E" w:rsidP="009C1AC8">
            <w:pPr>
              <w:pStyle w:val="Prrafodelista"/>
              <w:numPr>
                <w:ilvl w:val="0"/>
                <w:numId w:val="17"/>
              </w:numPr>
              <w:spacing w:after="120" w:line="276" w:lineRule="auto"/>
              <w:ind w:left="714" w:hanging="357"/>
              <w:jc w:val="both"/>
              <w:rPr>
                <w:rFonts w:ascii="Verdana" w:eastAsia="Aptos" w:hAnsi="Verdana" w:cs="Arial"/>
              </w:rPr>
            </w:pPr>
            <w:r w:rsidRPr="00A00215">
              <w:rPr>
                <w:rFonts w:ascii="Verdana" w:eastAsia="Aptos" w:hAnsi="Verdana" w:cs="Arial"/>
              </w:rPr>
              <w:t>Consejo de Estado. Sala de Servicio y Consulta Civil. Radicado: 11001-03-06-000-2014-0055-00 (2204). 5 de junio de 2014. C.P: Augusto Hernández Becerra.</w:t>
            </w:r>
          </w:p>
          <w:p w14:paraId="73733EA7" w14:textId="77777777" w:rsidR="00C4564E" w:rsidRDefault="00C4564E" w:rsidP="009C1AC8">
            <w:pPr>
              <w:pStyle w:val="Prrafodelista"/>
              <w:numPr>
                <w:ilvl w:val="0"/>
                <w:numId w:val="17"/>
              </w:numPr>
              <w:spacing w:after="120" w:line="276" w:lineRule="auto"/>
              <w:ind w:left="714" w:hanging="357"/>
              <w:jc w:val="both"/>
              <w:rPr>
                <w:rFonts w:ascii="Verdana" w:eastAsia="Aptos" w:hAnsi="Verdana" w:cs="Arial"/>
              </w:rPr>
            </w:pPr>
            <w:r w:rsidRPr="00DD7950">
              <w:rPr>
                <w:rFonts w:ascii="Verdana" w:eastAsia="Aptos" w:hAnsi="Verdana" w:cs="Arial"/>
              </w:rPr>
              <w:t>Consejo de Estado. Sala de Servicio y Consulta Civil. Concepto del 11 de febrero de 1994. Expediente 583. C.P: Roberto Suárez Franco.</w:t>
            </w:r>
          </w:p>
          <w:p w14:paraId="273777D1" w14:textId="79080F6F" w:rsidR="00C4564E" w:rsidRPr="001C0C5E" w:rsidRDefault="00C4564E" w:rsidP="009C1AC8">
            <w:pPr>
              <w:pStyle w:val="Prrafodelista"/>
              <w:numPr>
                <w:ilvl w:val="0"/>
                <w:numId w:val="17"/>
              </w:numPr>
              <w:spacing w:after="120" w:line="276" w:lineRule="auto"/>
              <w:ind w:left="714" w:hanging="357"/>
              <w:jc w:val="both"/>
              <w:rPr>
                <w:rFonts w:ascii="Verdana" w:eastAsia="Aptos" w:hAnsi="Verdana" w:cs="Arial"/>
              </w:rPr>
            </w:pPr>
            <w:r w:rsidRPr="00DD7950">
              <w:rPr>
                <w:rFonts w:ascii="Verdana" w:hAnsi="Verdana"/>
              </w:rPr>
              <w:t>Consejo de Estado. Sala de Servicio y Consulta Civil. Concepto 2 de diciembre de 2008. Radicado: Radicación número: 11001-03-06-000-2008-00076-00</w:t>
            </w:r>
            <w:r w:rsidR="00EE2338">
              <w:rPr>
                <w:rFonts w:ascii="Verdana" w:hAnsi="Verdana"/>
              </w:rPr>
              <w:t xml:space="preserve"> </w:t>
            </w:r>
            <w:r w:rsidRPr="00DD7950">
              <w:rPr>
                <w:rFonts w:ascii="Verdana" w:hAnsi="Verdana"/>
              </w:rPr>
              <w:t xml:space="preserve">(1924). C.P: Enrique José Arboleda Perdomo. </w:t>
            </w:r>
          </w:p>
          <w:p w14:paraId="656AB543" w14:textId="7FBB9AF5" w:rsidR="001C0C5E" w:rsidRDefault="001C0C5E" w:rsidP="009C1AC8">
            <w:pPr>
              <w:pStyle w:val="Prrafodelista"/>
              <w:numPr>
                <w:ilvl w:val="0"/>
                <w:numId w:val="17"/>
              </w:numPr>
              <w:spacing w:after="120" w:line="276" w:lineRule="auto"/>
              <w:ind w:left="714" w:hanging="357"/>
              <w:jc w:val="both"/>
              <w:rPr>
                <w:rFonts w:ascii="Verdana" w:eastAsia="Aptos" w:hAnsi="Verdana" w:cs="Arial"/>
              </w:rPr>
            </w:pPr>
            <w:r w:rsidRPr="001C0C5E">
              <w:rPr>
                <w:rFonts w:ascii="Verdana" w:eastAsia="Aptos" w:hAnsi="Verdana" w:cs="Arial"/>
              </w:rPr>
              <w:t>Consejo de Estado, Sala de Consulta y Servicio Civil de fecha 24 de julio de 2013, radicado 2166</w:t>
            </w:r>
            <w:r w:rsidR="00D071A7">
              <w:rPr>
                <w:rFonts w:ascii="Verdana" w:eastAsia="Aptos" w:hAnsi="Verdana" w:cs="Arial"/>
              </w:rPr>
              <w:t>.</w:t>
            </w:r>
            <w:r w:rsidRPr="001C0C5E">
              <w:rPr>
                <w:rFonts w:ascii="Verdana" w:eastAsia="Aptos" w:hAnsi="Verdana" w:cs="Arial"/>
              </w:rPr>
              <w:t xml:space="preserve"> C</w:t>
            </w:r>
            <w:r>
              <w:rPr>
                <w:rFonts w:ascii="Verdana" w:eastAsia="Aptos" w:hAnsi="Verdana" w:cs="Arial"/>
              </w:rPr>
              <w:t>.P</w:t>
            </w:r>
            <w:r w:rsidRPr="001C0C5E">
              <w:rPr>
                <w:rFonts w:ascii="Verdana" w:eastAsia="Aptos" w:hAnsi="Verdana" w:cs="Arial"/>
              </w:rPr>
              <w:t xml:space="preserve">: Álvaro Namén Vargas.  </w:t>
            </w:r>
          </w:p>
          <w:p w14:paraId="7A28894C" w14:textId="27BB302B" w:rsidR="0099784C" w:rsidRDefault="0099784C" w:rsidP="009C1AC8">
            <w:pPr>
              <w:pStyle w:val="Prrafodelista"/>
              <w:numPr>
                <w:ilvl w:val="0"/>
                <w:numId w:val="17"/>
              </w:numPr>
              <w:spacing w:after="120" w:line="276" w:lineRule="auto"/>
              <w:ind w:left="714" w:hanging="357"/>
              <w:jc w:val="both"/>
              <w:rPr>
                <w:rFonts w:ascii="Verdana" w:eastAsia="Aptos" w:hAnsi="Verdana" w:cs="Arial"/>
              </w:rPr>
            </w:pPr>
            <w:r w:rsidRPr="0099784C">
              <w:rPr>
                <w:rFonts w:ascii="Verdana" w:eastAsia="Aptos" w:hAnsi="Verdana" w:cs="Arial"/>
              </w:rPr>
              <w:lastRenderedPageBreak/>
              <w:t>Consejo de Estado. Sala de Consulta y Servicio Civil. Concepto del 17 de febrero de 2015. Radicación No. 11001-03-06-000-2015-00164-00</w:t>
            </w:r>
            <w:r>
              <w:rPr>
                <w:rFonts w:ascii="Verdana" w:eastAsia="Aptos" w:hAnsi="Verdana" w:cs="Arial"/>
              </w:rPr>
              <w:t xml:space="preserve"> </w:t>
            </w:r>
            <w:r w:rsidRPr="0099784C">
              <w:rPr>
                <w:rFonts w:ascii="Verdana" w:eastAsia="Aptos" w:hAnsi="Verdana" w:cs="Arial"/>
              </w:rPr>
              <w:t>(2269).</w:t>
            </w:r>
            <w:r>
              <w:rPr>
                <w:rFonts w:ascii="Verdana" w:eastAsia="Aptos" w:hAnsi="Verdana" w:cs="Arial"/>
              </w:rPr>
              <w:t xml:space="preserve"> </w:t>
            </w:r>
            <w:r w:rsidRPr="0099784C">
              <w:rPr>
                <w:rFonts w:ascii="Verdana" w:eastAsia="Aptos" w:hAnsi="Verdana" w:cs="Arial"/>
              </w:rPr>
              <w:t>C.P. William Zambrano Cetina.</w:t>
            </w:r>
          </w:p>
          <w:p w14:paraId="5B3E17DA" w14:textId="131F03CA" w:rsidR="009125AA" w:rsidRDefault="009125AA" w:rsidP="009C1AC8">
            <w:pPr>
              <w:pStyle w:val="Prrafodelista"/>
              <w:numPr>
                <w:ilvl w:val="0"/>
                <w:numId w:val="17"/>
              </w:numPr>
              <w:spacing w:after="120" w:line="276" w:lineRule="auto"/>
              <w:ind w:left="714" w:hanging="357"/>
              <w:jc w:val="both"/>
              <w:rPr>
                <w:rFonts w:ascii="Verdana" w:eastAsia="Aptos" w:hAnsi="Verdana" w:cs="Arial"/>
              </w:rPr>
            </w:pPr>
            <w:r w:rsidRPr="009125AA">
              <w:rPr>
                <w:rFonts w:ascii="Verdana" w:eastAsia="Aptos" w:hAnsi="Verdana" w:cs="Arial"/>
              </w:rPr>
              <w:t>Consejo de Estado. Sala de Consulta y Servicio Civil. Concepto del 2 de septiembre de 2013. Radicación número: 11001-03-06-000-2013-00412-00 (2168). C</w:t>
            </w:r>
            <w:r>
              <w:rPr>
                <w:rFonts w:ascii="Verdana" w:eastAsia="Aptos" w:hAnsi="Verdana" w:cs="Arial"/>
              </w:rPr>
              <w:t>.</w:t>
            </w:r>
            <w:r w:rsidRPr="009125AA">
              <w:rPr>
                <w:rFonts w:ascii="Verdana" w:eastAsia="Aptos" w:hAnsi="Verdana" w:cs="Arial"/>
              </w:rPr>
              <w:t>P: Álvaro Namén Vargas.</w:t>
            </w:r>
          </w:p>
          <w:p w14:paraId="2E6DDFD4" w14:textId="5327EC76" w:rsidR="0032225A" w:rsidRDefault="0032225A" w:rsidP="009C1AC8">
            <w:pPr>
              <w:pStyle w:val="Prrafodelista"/>
              <w:numPr>
                <w:ilvl w:val="0"/>
                <w:numId w:val="17"/>
              </w:numPr>
              <w:spacing w:after="120" w:line="276" w:lineRule="auto"/>
              <w:ind w:left="714" w:hanging="357"/>
              <w:jc w:val="both"/>
              <w:rPr>
                <w:rFonts w:ascii="Verdana" w:eastAsia="Aptos" w:hAnsi="Verdana" w:cs="Arial"/>
              </w:rPr>
            </w:pPr>
            <w:r w:rsidRPr="0032225A">
              <w:rPr>
                <w:rFonts w:ascii="Verdana" w:eastAsia="Aptos" w:hAnsi="Verdana" w:cs="Arial"/>
              </w:rPr>
              <w:t>Consejo de Estado. Sala de Consulta y Servicio Civil, Concepto de 8 de mayo de 2018. Radicación Número: 11001-03-06-000-2018-00095-00</w:t>
            </w:r>
            <w:r>
              <w:rPr>
                <w:rFonts w:ascii="Verdana" w:eastAsia="Aptos" w:hAnsi="Verdana" w:cs="Arial"/>
              </w:rPr>
              <w:t xml:space="preserve"> </w:t>
            </w:r>
            <w:r w:rsidRPr="0032225A">
              <w:rPr>
                <w:rFonts w:ascii="Verdana" w:eastAsia="Aptos" w:hAnsi="Verdana" w:cs="Arial"/>
              </w:rPr>
              <w:t>(2382). C</w:t>
            </w:r>
            <w:r>
              <w:rPr>
                <w:rFonts w:ascii="Verdana" w:eastAsia="Aptos" w:hAnsi="Verdana" w:cs="Arial"/>
              </w:rPr>
              <w:t>.</w:t>
            </w:r>
            <w:r w:rsidRPr="0032225A">
              <w:rPr>
                <w:rFonts w:ascii="Verdana" w:eastAsia="Aptos" w:hAnsi="Verdana" w:cs="Arial"/>
              </w:rPr>
              <w:t>P: Álvaro Namén Vargas.</w:t>
            </w:r>
          </w:p>
          <w:p w14:paraId="6BC0B5C5" w14:textId="021BA214" w:rsidR="00080888" w:rsidRDefault="00080888" w:rsidP="009C1AC8">
            <w:pPr>
              <w:pStyle w:val="Prrafodelista"/>
              <w:numPr>
                <w:ilvl w:val="0"/>
                <w:numId w:val="17"/>
              </w:numPr>
              <w:spacing w:after="120" w:line="276" w:lineRule="auto"/>
              <w:ind w:left="714" w:hanging="357"/>
              <w:jc w:val="both"/>
              <w:rPr>
                <w:rFonts w:ascii="Verdana" w:eastAsia="Aptos" w:hAnsi="Verdana" w:cs="Arial"/>
              </w:rPr>
            </w:pPr>
            <w:r w:rsidRPr="00080888">
              <w:rPr>
                <w:rFonts w:ascii="Verdana" w:eastAsia="Aptos" w:hAnsi="Verdana" w:cs="Arial"/>
              </w:rPr>
              <w:t>Consejo de Estado. Sala de Consulta y Servicio Civil. Concepto de 20 de febrero de 2006. Radicación Número: 11001-03-06-000-2006-00026-00 (1727). C.P: Enrique José Arboleda Perdomo.</w:t>
            </w:r>
          </w:p>
          <w:p w14:paraId="318C5B94" w14:textId="726283E4" w:rsidR="00080888" w:rsidRPr="00DD7950" w:rsidRDefault="006B0A51" w:rsidP="009C1AC8">
            <w:pPr>
              <w:pStyle w:val="Prrafodelista"/>
              <w:numPr>
                <w:ilvl w:val="0"/>
                <w:numId w:val="17"/>
              </w:numPr>
              <w:spacing w:after="120" w:line="276" w:lineRule="auto"/>
              <w:ind w:left="714" w:hanging="357"/>
              <w:jc w:val="both"/>
              <w:rPr>
                <w:rFonts w:ascii="Verdana" w:eastAsia="Aptos" w:hAnsi="Verdana" w:cs="Arial"/>
              </w:rPr>
            </w:pPr>
            <w:r w:rsidRPr="006B0A51">
              <w:rPr>
                <w:rFonts w:ascii="Verdana" w:eastAsia="Aptos" w:hAnsi="Verdana" w:cs="Arial"/>
              </w:rPr>
              <w:t>Consejo de Estado. Sala de Consulta y Servicio Civil. Concepto de 6 de abril de 2006. Radicación Número: 11001-03-06-000-2006-00038-00 (1738). C.P: Enrique José Arboleda Perdomo</w:t>
            </w:r>
            <w:r>
              <w:rPr>
                <w:rFonts w:ascii="Verdana" w:eastAsia="Aptos" w:hAnsi="Verdana" w:cs="Arial"/>
              </w:rPr>
              <w:t>.</w:t>
            </w:r>
          </w:p>
          <w:p w14:paraId="15FC5D2D" w14:textId="77777777" w:rsidR="00C4564E" w:rsidRPr="00DD7950" w:rsidRDefault="00C4564E" w:rsidP="009C1AC8">
            <w:pPr>
              <w:pStyle w:val="Prrafodelista"/>
              <w:numPr>
                <w:ilvl w:val="0"/>
                <w:numId w:val="17"/>
              </w:numPr>
              <w:spacing w:after="120" w:line="276" w:lineRule="auto"/>
              <w:ind w:left="714" w:hanging="357"/>
              <w:jc w:val="both"/>
              <w:rPr>
                <w:rFonts w:ascii="Verdana" w:eastAsia="Aptos" w:hAnsi="Verdana" w:cs="Arial"/>
              </w:rPr>
            </w:pPr>
            <w:r w:rsidRPr="006157FE">
              <w:rPr>
                <w:rFonts w:ascii="Verdana" w:eastAsia="Aptos" w:hAnsi="Verdana" w:cs="Arial"/>
              </w:rPr>
              <w:t>Corte Constitucional, sentencia C-414 de 1994, M.P</w:t>
            </w:r>
            <w:r>
              <w:rPr>
                <w:rFonts w:ascii="Verdana" w:eastAsia="Aptos" w:hAnsi="Verdana" w:cs="Arial"/>
              </w:rPr>
              <w:t>:</w:t>
            </w:r>
            <w:r w:rsidRPr="006157FE">
              <w:rPr>
                <w:rFonts w:ascii="Verdana" w:eastAsia="Aptos" w:hAnsi="Verdana" w:cs="Arial"/>
              </w:rPr>
              <w:t xml:space="preserve"> Antonio Barrera Carbonell</w:t>
            </w:r>
            <w:r>
              <w:rPr>
                <w:rFonts w:ascii="Verdana" w:eastAsia="Aptos" w:hAnsi="Verdana" w:cs="Arial"/>
              </w:rPr>
              <w:t xml:space="preserve">. </w:t>
            </w:r>
          </w:p>
          <w:p w14:paraId="0D8F4F6F" w14:textId="77777777" w:rsidR="00C4564E" w:rsidRDefault="00C4564E" w:rsidP="009C1AC8">
            <w:pPr>
              <w:pStyle w:val="Prrafodelista"/>
              <w:numPr>
                <w:ilvl w:val="0"/>
                <w:numId w:val="17"/>
              </w:numPr>
              <w:spacing w:after="120" w:line="276" w:lineRule="auto"/>
              <w:ind w:left="714" w:hanging="357"/>
              <w:jc w:val="both"/>
              <w:rPr>
                <w:rFonts w:ascii="Verdana" w:eastAsia="Aptos" w:hAnsi="Verdana" w:cs="Arial"/>
              </w:rPr>
            </w:pPr>
            <w:r w:rsidRPr="00A00215">
              <w:rPr>
                <w:rFonts w:ascii="Verdana" w:eastAsia="Aptos" w:hAnsi="Verdana" w:cs="Arial"/>
              </w:rPr>
              <w:t>Corte Constitucional, sentencia C-230 de 2008. M.P. Rodrigo Escobar Gil.</w:t>
            </w:r>
          </w:p>
          <w:p w14:paraId="4DE6FEC2" w14:textId="77777777" w:rsidR="00C4564E" w:rsidRPr="00DD7950" w:rsidRDefault="00C4564E" w:rsidP="009C1AC8">
            <w:pPr>
              <w:pStyle w:val="Prrafodelista"/>
              <w:numPr>
                <w:ilvl w:val="0"/>
                <w:numId w:val="17"/>
              </w:numPr>
              <w:spacing w:after="120" w:line="276" w:lineRule="auto"/>
              <w:ind w:left="714" w:hanging="357"/>
              <w:jc w:val="both"/>
              <w:rPr>
                <w:rFonts w:ascii="Verdana" w:eastAsia="Aptos" w:hAnsi="Verdana" w:cs="Arial"/>
              </w:rPr>
            </w:pPr>
            <w:r w:rsidRPr="00DD7950">
              <w:rPr>
                <w:rFonts w:ascii="Verdana" w:hAnsi="Verdana"/>
              </w:rPr>
              <w:t xml:space="preserve">Corte Constitucional. Sentencia C-150 de 1994. M.P: Alejandro Martínez Caballero. </w:t>
            </w:r>
          </w:p>
          <w:p w14:paraId="31C8437A" w14:textId="77777777" w:rsidR="00C4564E" w:rsidRPr="003C49E6" w:rsidRDefault="00C4564E" w:rsidP="00C4564E">
            <w:pPr>
              <w:pStyle w:val="Prrafodelista"/>
              <w:numPr>
                <w:ilvl w:val="0"/>
                <w:numId w:val="17"/>
              </w:numPr>
              <w:spacing w:line="276" w:lineRule="auto"/>
              <w:jc w:val="both"/>
              <w:rPr>
                <w:rFonts w:ascii="Verdana" w:eastAsia="Aptos" w:hAnsi="Verdana" w:cs="Arial"/>
              </w:rPr>
            </w:pPr>
            <w:r w:rsidRPr="00DD7950">
              <w:rPr>
                <w:rFonts w:ascii="Verdana" w:hAnsi="Verdana"/>
              </w:rPr>
              <w:t xml:space="preserve">Corte Constitucional. Sentencia -177 de 2007. </w:t>
            </w:r>
            <w:r w:rsidRPr="00DD7950">
              <w:rPr>
                <w:rFonts w:ascii="Verdana" w:hAnsi="Verdana"/>
                <w:lang w:val="es-CO"/>
              </w:rPr>
              <w:t xml:space="preserve">M.P: Humberto Sierra Porto. </w:t>
            </w:r>
          </w:p>
          <w:p w14:paraId="51CDA39B" w14:textId="4302B640" w:rsidR="003C49E6" w:rsidRDefault="003C49E6" w:rsidP="00C4564E">
            <w:pPr>
              <w:pStyle w:val="Prrafodelista"/>
              <w:numPr>
                <w:ilvl w:val="0"/>
                <w:numId w:val="17"/>
              </w:numPr>
              <w:spacing w:line="276" w:lineRule="auto"/>
              <w:jc w:val="both"/>
              <w:rPr>
                <w:rFonts w:ascii="Verdana" w:eastAsia="Aptos" w:hAnsi="Verdana" w:cs="Arial"/>
              </w:rPr>
            </w:pPr>
            <w:r w:rsidRPr="003C49E6">
              <w:rPr>
                <w:rFonts w:ascii="Verdana" w:eastAsia="Aptos" w:hAnsi="Verdana" w:cs="Arial"/>
              </w:rPr>
              <w:t>Corte Constitucional, Sentencia C- 1153 de 2005, M.P. Marco Gerardo Monroy Cabra.</w:t>
            </w:r>
          </w:p>
          <w:p w14:paraId="667C56A4" w14:textId="77777777" w:rsidR="00201953" w:rsidRDefault="00201953" w:rsidP="00C4564E">
            <w:pPr>
              <w:pStyle w:val="Prrafodelista"/>
              <w:numPr>
                <w:ilvl w:val="0"/>
                <w:numId w:val="17"/>
              </w:numPr>
              <w:spacing w:line="276" w:lineRule="auto"/>
              <w:jc w:val="both"/>
              <w:rPr>
                <w:rFonts w:ascii="Verdana" w:eastAsia="Aptos" w:hAnsi="Verdana" w:cs="Arial"/>
              </w:rPr>
            </w:pPr>
            <w:r w:rsidRPr="00201953">
              <w:rPr>
                <w:rFonts w:ascii="Verdana" w:eastAsia="Aptos" w:hAnsi="Verdana" w:cs="Arial"/>
              </w:rPr>
              <w:t>Corte Constitucional. Sentencia C-233 de 4 de abril de 2002. M.P: Álvaro Tafur Galvis</w:t>
            </w:r>
            <w:r>
              <w:rPr>
                <w:rFonts w:ascii="Verdana" w:eastAsia="Aptos" w:hAnsi="Verdana" w:cs="Arial"/>
              </w:rPr>
              <w:t>.</w:t>
            </w:r>
            <w:r w:rsidRPr="00201953">
              <w:rPr>
                <w:rFonts w:ascii="Verdana" w:eastAsia="Aptos" w:hAnsi="Verdana" w:cs="Arial"/>
              </w:rPr>
              <w:t xml:space="preserve"> </w:t>
            </w:r>
          </w:p>
          <w:p w14:paraId="08847BEB" w14:textId="77777777" w:rsidR="00201953" w:rsidRDefault="00201953" w:rsidP="00C4564E">
            <w:pPr>
              <w:pStyle w:val="Prrafodelista"/>
              <w:numPr>
                <w:ilvl w:val="0"/>
                <w:numId w:val="17"/>
              </w:numPr>
              <w:spacing w:line="276" w:lineRule="auto"/>
              <w:jc w:val="both"/>
              <w:rPr>
                <w:rFonts w:ascii="Verdana" w:eastAsia="Aptos" w:hAnsi="Verdana" w:cs="Arial"/>
              </w:rPr>
            </w:pPr>
            <w:r w:rsidRPr="00201953">
              <w:rPr>
                <w:rFonts w:ascii="Verdana" w:eastAsia="Aptos" w:hAnsi="Verdana" w:cs="Arial"/>
              </w:rPr>
              <w:t>Corte Constitucional. Sentencia C-551 de 9 de julio de 2003. M.P: Eduardo Montealegre Lynnet</w:t>
            </w:r>
            <w:r>
              <w:rPr>
                <w:rFonts w:ascii="Verdana" w:eastAsia="Aptos" w:hAnsi="Verdana" w:cs="Arial"/>
              </w:rPr>
              <w:t>.</w:t>
            </w:r>
          </w:p>
          <w:p w14:paraId="6EB7B5BD" w14:textId="77777777" w:rsidR="00201953" w:rsidRDefault="00201953" w:rsidP="00C4564E">
            <w:pPr>
              <w:pStyle w:val="Prrafodelista"/>
              <w:numPr>
                <w:ilvl w:val="0"/>
                <w:numId w:val="17"/>
              </w:numPr>
              <w:spacing w:line="276" w:lineRule="auto"/>
              <w:jc w:val="both"/>
              <w:rPr>
                <w:rFonts w:ascii="Verdana" w:eastAsia="Aptos" w:hAnsi="Verdana" w:cs="Arial"/>
              </w:rPr>
            </w:pPr>
            <w:r w:rsidRPr="00201953">
              <w:rPr>
                <w:rFonts w:ascii="Verdana" w:eastAsia="Aptos" w:hAnsi="Verdana" w:cs="Arial"/>
              </w:rPr>
              <w:t xml:space="preserve">Corte Constitucional. Sentencia C-353 de 20 de mayo de 2009. M.P: Jorge Iván Palacio </w:t>
            </w:r>
            <w:proofErr w:type="spellStart"/>
            <w:r w:rsidRPr="00201953">
              <w:rPr>
                <w:rFonts w:ascii="Verdana" w:eastAsia="Aptos" w:hAnsi="Verdana" w:cs="Arial"/>
              </w:rPr>
              <w:t>Palacio</w:t>
            </w:r>
            <w:proofErr w:type="spellEnd"/>
            <w:r>
              <w:rPr>
                <w:rFonts w:ascii="Verdana" w:eastAsia="Aptos" w:hAnsi="Verdana" w:cs="Arial"/>
              </w:rPr>
              <w:t>.</w:t>
            </w:r>
          </w:p>
          <w:p w14:paraId="2D38DE44" w14:textId="18C3FEF6" w:rsidR="00201953" w:rsidRPr="00DD7950" w:rsidRDefault="00201953" w:rsidP="00C4564E">
            <w:pPr>
              <w:pStyle w:val="Prrafodelista"/>
              <w:numPr>
                <w:ilvl w:val="0"/>
                <w:numId w:val="17"/>
              </w:numPr>
              <w:spacing w:line="276" w:lineRule="auto"/>
              <w:jc w:val="both"/>
              <w:rPr>
                <w:rFonts w:ascii="Verdana" w:eastAsia="Aptos" w:hAnsi="Verdana" w:cs="Arial"/>
              </w:rPr>
            </w:pPr>
            <w:r w:rsidRPr="00201953">
              <w:rPr>
                <w:rFonts w:ascii="Verdana" w:eastAsia="Aptos" w:hAnsi="Verdana" w:cs="Arial"/>
              </w:rPr>
              <w:t>Corte Constitucional. Sentencia C-541 de 30 de junio de 2010. M.P: Gabriel Eduardo Mendoza Martelo; entre otras.</w:t>
            </w:r>
          </w:p>
          <w:p w14:paraId="37F9851B" w14:textId="77777777" w:rsidR="00C4564E" w:rsidRDefault="00C4564E" w:rsidP="00C4564E">
            <w:pPr>
              <w:pStyle w:val="Prrafodelista"/>
              <w:numPr>
                <w:ilvl w:val="0"/>
                <w:numId w:val="17"/>
              </w:numPr>
              <w:spacing w:line="276" w:lineRule="auto"/>
              <w:jc w:val="both"/>
              <w:rPr>
                <w:rFonts w:ascii="Verdana" w:eastAsia="Aptos" w:hAnsi="Verdana" w:cs="Arial"/>
              </w:rPr>
            </w:pPr>
            <w:r w:rsidRPr="00DD7950">
              <w:rPr>
                <w:rFonts w:ascii="Verdana" w:eastAsia="Aptos" w:hAnsi="Verdana" w:cs="Arial"/>
              </w:rPr>
              <w:t>EXPOSITO VÉLEZ, Juan Carlos. Forma y contenido del contrato estatal. Universidad Externado de Colombia, Bogotá, 2013</w:t>
            </w:r>
            <w:r>
              <w:rPr>
                <w:rFonts w:ascii="Verdana" w:eastAsia="Aptos" w:hAnsi="Verdana" w:cs="Arial"/>
              </w:rPr>
              <w:t>.</w:t>
            </w:r>
          </w:p>
          <w:p w14:paraId="6AD1617B" w14:textId="6C72A682" w:rsidR="00F12FCD" w:rsidRPr="006157FE" w:rsidRDefault="00463817" w:rsidP="00C4564E">
            <w:pPr>
              <w:pStyle w:val="Prrafodelista"/>
              <w:numPr>
                <w:ilvl w:val="0"/>
                <w:numId w:val="17"/>
              </w:numPr>
              <w:spacing w:line="276" w:lineRule="auto"/>
              <w:jc w:val="both"/>
              <w:rPr>
                <w:rFonts w:ascii="Verdana" w:eastAsia="Aptos" w:hAnsi="Verdana" w:cs="Arial"/>
              </w:rPr>
            </w:pPr>
            <w:proofErr w:type="spellStart"/>
            <w:r w:rsidRPr="00463817">
              <w:rPr>
                <w:rFonts w:ascii="Verdana" w:eastAsia="Aptos" w:hAnsi="Verdana" w:cs="Arial"/>
              </w:rPr>
              <w:lastRenderedPageBreak/>
              <w:t>Blanquer</w:t>
            </w:r>
            <w:proofErr w:type="spellEnd"/>
            <w:r w:rsidRPr="00463817">
              <w:rPr>
                <w:rFonts w:ascii="Verdana" w:eastAsia="Aptos" w:hAnsi="Verdana" w:cs="Arial"/>
              </w:rPr>
              <w:t xml:space="preserve"> David, Curso de Derecho Administrativo, Tomo III. Ediciones Tirant lo Blanch. Valencia, 2006</w:t>
            </w:r>
            <w:r>
              <w:rPr>
                <w:rFonts w:ascii="Verdana" w:eastAsia="Aptos" w:hAnsi="Verdana" w:cs="Arial"/>
              </w:rPr>
              <w:t>.</w:t>
            </w:r>
          </w:p>
        </w:tc>
      </w:tr>
    </w:tbl>
    <w:p w14:paraId="6E6C3DC3" w14:textId="77777777" w:rsidR="00C4564E" w:rsidRDefault="00C4564E" w:rsidP="00C4564E">
      <w:pPr>
        <w:tabs>
          <w:tab w:val="left" w:pos="142"/>
          <w:tab w:val="left" w:pos="284"/>
          <w:tab w:val="left" w:pos="3828"/>
        </w:tabs>
        <w:spacing w:after="0" w:line="276" w:lineRule="auto"/>
        <w:jc w:val="both"/>
        <w:rPr>
          <w:rFonts w:ascii="Verdana" w:eastAsia="Century Gothic" w:hAnsi="Verdana" w:cs="Century Gothic"/>
          <w:b/>
          <w:bCs/>
        </w:rPr>
      </w:pPr>
    </w:p>
    <w:p w14:paraId="498A6125" w14:textId="77777777" w:rsidR="00C4564E" w:rsidRPr="0091091D" w:rsidRDefault="00C4564E" w:rsidP="00C4564E">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5CBD934B" w14:textId="77777777" w:rsidR="00C4564E" w:rsidRPr="0091091D" w:rsidRDefault="00C4564E" w:rsidP="00C4564E">
      <w:pPr>
        <w:widowControl w:val="0"/>
        <w:autoSpaceDE w:val="0"/>
        <w:autoSpaceDN w:val="0"/>
        <w:spacing w:after="0" w:line="240" w:lineRule="auto"/>
        <w:jc w:val="both"/>
        <w:rPr>
          <w:rFonts w:ascii="Verdana" w:eastAsia="Aptos" w:hAnsi="Verdana" w:cs="Arial"/>
          <w:shd w:val="clear" w:color="auto" w:fill="FFFFFF"/>
          <w:lang w:val="es-ES"/>
        </w:rPr>
      </w:pPr>
    </w:p>
    <w:p w14:paraId="653931D6" w14:textId="77777777" w:rsidR="00DC2D3A" w:rsidRDefault="00C4564E" w:rsidP="00416711">
      <w:pPr>
        <w:widowControl w:val="0"/>
        <w:autoSpaceDE w:val="0"/>
        <w:autoSpaceDN w:val="0"/>
        <w:spacing w:after="120" w:line="276" w:lineRule="auto"/>
        <w:jc w:val="both"/>
        <w:rPr>
          <w:rFonts w:ascii="Verdana" w:hAnsi="Verdana" w:cs="Arial"/>
          <w:shd w:val="clear" w:color="auto" w:fill="FFFFFF"/>
        </w:rPr>
      </w:pPr>
      <w:r w:rsidRPr="0091091D">
        <w:rPr>
          <w:rFonts w:ascii="Verdana" w:hAnsi="Verdana" w:cs="Arial"/>
          <w:shd w:val="clear" w:color="auto" w:fill="FFFFFF"/>
        </w:rPr>
        <w:t xml:space="preserve">Esta Subdirección se ha pronunciado sobre la naturaleza jurídica de los consejos profesionales y la ausencia de competencia para la celebración de contratos en el Concepto C-867 del 19 de diciembre de 2022, C-924 del 11 de diciembre de 2024, C-922 del 22 de agosto de 2025, entre otros. </w:t>
      </w:r>
    </w:p>
    <w:p w14:paraId="6FC88FB1" w14:textId="79CF0C68" w:rsidR="00C4564E" w:rsidRPr="0091091D" w:rsidRDefault="00DC2D3A" w:rsidP="00416711">
      <w:pPr>
        <w:widowControl w:val="0"/>
        <w:autoSpaceDE w:val="0"/>
        <w:autoSpaceDN w:val="0"/>
        <w:spacing w:after="120" w:line="276" w:lineRule="auto"/>
        <w:jc w:val="both"/>
        <w:rPr>
          <w:rFonts w:ascii="Verdana" w:hAnsi="Verdana" w:cs="Arial"/>
          <w:shd w:val="clear" w:color="auto" w:fill="FFFFFF"/>
        </w:rPr>
      </w:pPr>
      <w:r>
        <w:rPr>
          <w:rFonts w:ascii="Verdana" w:eastAsia="Aptos" w:hAnsi="Verdana" w:cs="Arial"/>
          <w:shd w:val="clear" w:color="auto" w:fill="FFFFFF"/>
        </w:rPr>
        <w:t>Así mismo, l</w:t>
      </w:r>
      <w:r w:rsidRPr="00DC2D3A">
        <w:rPr>
          <w:rFonts w:ascii="Verdana" w:eastAsia="Aptos" w:hAnsi="Verdana" w:cs="Arial"/>
          <w:shd w:val="clear" w:color="auto" w:fill="FFFFFF"/>
        </w:rPr>
        <w:t>a Agencia Nacional de Contratación Pública – Colombia Compra Eficiente se ha referido 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C-1491 del 20 de noviembre de 2025, C- 1492 del 21 de noviembre del 2025, C-1629 y C-1646 del 17 de diciembre de 2025, C-1662 del 22 de diciembre de 2025</w:t>
      </w:r>
      <w:r w:rsidR="00C4564E" w:rsidRPr="0091091D">
        <w:rPr>
          <w:rFonts w:ascii="Verdana" w:eastAsia="Aptos" w:hAnsi="Verdana" w:cs="Arial"/>
          <w:shd w:val="clear" w:color="auto" w:fill="FFFFFF"/>
          <w:lang w:val="es-ES"/>
        </w:rPr>
        <w:t>Estos y otros conceptos se encuentran disponibles para consulta</w:t>
      </w:r>
      <w:r w:rsidR="00C4564E" w:rsidRPr="0091091D">
        <w:rPr>
          <w:rFonts w:ascii="Verdana" w:eastAsia="Calibri" w:hAnsi="Verdana" w:cs="Arial"/>
        </w:rPr>
        <w:t xml:space="preserve"> </w:t>
      </w:r>
      <w:r w:rsidR="00C4564E" w:rsidRPr="0091091D">
        <w:rPr>
          <w:rFonts w:ascii="Verdana" w:hAnsi="Verdana"/>
        </w:rPr>
        <w:t>en el Sistema de relatoría de la Agencia, al cual se puede acceder a través del siguiente enlace:</w:t>
      </w:r>
      <w:r w:rsidR="00C4564E" w:rsidRPr="0091091D">
        <w:rPr>
          <w:rFonts w:ascii="Verdana" w:hAnsi="Verdana" w:cs="Arial"/>
          <w:shd w:val="clear" w:color="auto" w:fill="FFFFFF"/>
        </w:rPr>
        <w:t xml:space="preserve"> </w:t>
      </w:r>
      <w:hyperlink r:id="rId14" w:history="1">
        <w:r w:rsidR="00C4564E" w:rsidRPr="0091091D">
          <w:rPr>
            <w:rStyle w:val="Hipervnculo"/>
            <w:rFonts w:ascii="Verdana" w:hAnsi="Verdana" w:cs="Arial"/>
            <w:shd w:val="clear" w:color="auto" w:fill="FFFFFF"/>
          </w:rPr>
          <w:t>https://relatoria.colombiacompra.gov.co/busqueda/conceptos</w:t>
        </w:r>
      </w:hyperlink>
      <w:r w:rsidR="00C4564E" w:rsidRPr="0091091D">
        <w:rPr>
          <w:rFonts w:ascii="Verdana" w:hAnsi="Verdana" w:cs="Arial"/>
          <w:shd w:val="clear" w:color="auto" w:fill="FFFFFF"/>
        </w:rPr>
        <w:t>.</w:t>
      </w:r>
      <w:r w:rsidR="00C4564E" w:rsidRPr="0091091D">
        <w:rPr>
          <w:rFonts w:ascii="Verdana" w:hAnsi="Verdana" w:cs="Arial"/>
          <w:color w:val="FF0000"/>
          <w:shd w:val="clear" w:color="auto" w:fill="FFFFFF"/>
        </w:rPr>
        <w:t xml:space="preserve"> </w:t>
      </w:r>
      <w:r w:rsidR="00C4564E" w:rsidRPr="0091091D">
        <w:rPr>
          <w:rFonts w:ascii="Verdana" w:hAnsi="Verdana" w:cs="Arial"/>
          <w:color w:val="000000" w:themeColor="text1"/>
          <w:shd w:val="clear" w:color="auto" w:fill="FFFFFF"/>
        </w:rPr>
        <w:t>  </w:t>
      </w:r>
    </w:p>
    <w:p w14:paraId="7C3D6545" w14:textId="77777777" w:rsidR="00C4564E" w:rsidRPr="00435A6A" w:rsidRDefault="00C4564E" w:rsidP="00C4564E">
      <w:pPr>
        <w:widowControl w:val="0"/>
        <w:autoSpaceDE w:val="0"/>
        <w:autoSpaceDN w:val="0"/>
        <w:spacing w:after="120" w:line="276" w:lineRule="auto"/>
        <w:jc w:val="both"/>
        <w:rPr>
          <w:rFonts w:ascii="Verdana" w:hAnsi="Verdana" w:cs="Arial"/>
          <w:shd w:val="clear" w:color="auto" w:fill="FFFFFF"/>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A62FE87" w14:textId="77777777" w:rsidR="00C4564E" w:rsidRPr="00116940" w:rsidRDefault="00C4564E" w:rsidP="00C4564E">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2CB61A1" w14:textId="77777777" w:rsidR="00C4564E" w:rsidRPr="00116940" w:rsidRDefault="00C4564E" w:rsidP="00C4564E">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F6D1622" w14:textId="77777777" w:rsidR="00C4564E" w:rsidRPr="00116940" w:rsidRDefault="00C4564E" w:rsidP="00C4564E">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46F6FC7B" w14:textId="77777777" w:rsidR="00C4564E" w:rsidRPr="00116940" w:rsidRDefault="00C4564E" w:rsidP="00C4564E">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0C40C457" w14:textId="77777777" w:rsidR="00C4564E" w:rsidRPr="00116940" w:rsidRDefault="00C4564E" w:rsidP="00C4564E">
      <w:pPr>
        <w:spacing w:after="0" w:line="276" w:lineRule="auto"/>
        <w:ind w:left="720"/>
        <w:jc w:val="both"/>
        <w:rPr>
          <w:rFonts w:ascii="Verdana" w:hAnsi="Verdana"/>
        </w:rPr>
      </w:pPr>
    </w:p>
    <w:p w14:paraId="2BB9064A" w14:textId="77777777" w:rsidR="00C4564E" w:rsidRDefault="00C4564E" w:rsidP="00C4564E">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7"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432FFB3" w14:textId="77777777" w:rsidR="00C4564E" w:rsidRPr="00116940" w:rsidRDefault="00C4564E" w:rsidP="00C4564E">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388666B" w14:textId="27CB76BF" w:rsidR="00C4564E" w:rsidRPr="00116940" w:rsidRDefault="00C4564E" w:rsidP="00C4564E">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2CE0266" w14:textId="77777777" w:rsidR="00C4564E" w:rsidRPr="00116940" w:rsidRDefault="00C4564E" w:rsidP="00C4564E">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43EA945" w14:textId="77777777" w:rsidR="00C4564E" w:rsidRPr="00116940" w:rsidRDefault="00C4564E" w:rsidP="00C4564E">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2F087F8" w14:textId="77777777" w:rsidR="00C4564E" w:rsidRDefault="00C4564E" w:rsidP="00C4564E">
      <w:pPr>
        <w:spacing w:after="0" w:line="276" w:lineRule="auto"/>
        <w:jc w:val="both"/>
        <w:rPr>
          <w:rFonts w:ascii="Verdana" w:hAnsi="Verdana"/>
          <w:lang w:val="es-MX"/>
        </w:rPr>
      </w:pPr>
    </w:p>
    <w:p w14:paraId="409D2603" w14:textId="77777777" w:rsidR="00C4564E" w:rsidRPr="00330029" w:rsidRDefault="00C4564E" w:rsidP="00C4564E">
      <w:pPr>
        <w:spacing w:after="0" w:line="276" w:lineRule="auto"/>
        <w:jc w:val="both"/>
        <w:rPr>
          <w:rFonts w:ascii="Verdana" w:hAnsi="Verdana"/>
          <w:lang w:val="es-MX"/>
        </w:rPr>
      </w:pPr>
      <w:r w:rsidRPr="00E02524">
        <w:rPr>
          <w:rFonts w:ascii="Verdana" w:hAnsi="Verdana"/>
          <w:lang w:val="es-MX"/>
        </w:rPr>
        <w:t>Cordialmente,</w:t>
      </w:r>
    </w:p>
    <w:p w14:paraId="67C810A9" w14:textId="08F8115B" w:rsidR="00C4564E" w:rsidRPr="00332574" w:rsidRDefault="00FF489D" w:rsidP="00332574">
      <w:pPr>
        <w:spacing w:after="0" w:line="256" w:lineRule="auto"/>
        <w:jc w:val="center"/>
        <w:rPr>
          <w:noProof/>
        </w:rPr>
      </w:pPr>
      <w:r>
        <w:rPr>
          <w:noProof/>
        </w:rPr>
        <w:drawing>
          <wp:inline distT="0" distB="0" distL="0" distR="0" wp14:anchorId="3D2118B7" wp14:editId="542E1DC0">
            <wp:extent cx="3109938" cy="1465259"/>
            <wp:effectExtent l="0" t="0" r="0" b="190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8"/>
                    <a:stretch>
                      <a:fillRect/>
                    </a:stretch>
                  </pic:blipFill>
                  <pic:spPr>
                    <a:xfrm>
                      <a:off x="0" y="0"/>
                      <a:ext cx="3115542" cy="1467900"/>
                    </a:xfrm>
                    <a:prstGeom prst="rect">
                      <a:avLst/>
                    </a:prstGeom>
                  </pic:spPr>
                </pic:pic>
              </a:graphicData>
            </a:graphic>
          </wp:inline>
        </w:drawing>
      </w:r>
    </w:p>
    <w:p w14:paraId="113CC0BA" w14:textId="77777777" w:rsidR="003475FA" w:rsidRDefault="003475FA" w:rsidP="00C4564E">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4564E" w:rsidRPr="005644FE" w14:paraId="7634D6E9" w14:textId="77777777" w:rsidTr="00835D56">
        <w:trPr>
          <w:trHeight w:val="315"/>
        </w:trPr>
        <w:tc>
          <w:tcPr>
            <w:tcW w:w="893" w:type="dxa"/>
            <w:vAlign w:val="center"/>
            <w:hideMark/>
          </w:tcPr>
          <w:p w14:paraId="01341FDB" w14:textId="77777777" w:rsidR="00C4564E" w:rsidRPr="005644FE" w:rsidRDefault="00C4564E" w:rsidP="00835D56">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7B6BCB8" w14:textId="77777777" w:rsidR="00C4564E" w:rsidRPr="005644FE" w:rsidRDefault="00C4564E" w:rsidP="00835D56">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4872C678" w14:textId="77777777" w:rsidR="00C4564E" w:rsidRPr="005644FE" w:rsidRDefault="00C4564E" w:rsidP="00835D56">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4564E" w:rsidRPr="005644FE" w14:paraId="0151150B" w14:textId="77777777" w:rsidTr="00835D56">
        <w:trPr>
          <w:trHeight w:val="330"/>
        </w:trPr>
        <w:tc>
          <w:tcPr>
            <w:tcW w:w="893" w:type="dxa"/>
            <w:vAlign w:val="center"/>
            <w:hideMark/>
          </w:tcPr>
          <w:p w14:paraId="6425A95F" w14:textId="77777777" w:rsidR="00C4564E" w:rsidRPr="005644FE" w:rsidRDefault="00C4564E" w:rsidP="00835D56">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3DF7DC0" w14:textId="77777777" w:rsidR="00C4564E" w:rsidRPr="00F47638" w:rsidRDefault="00C4564E" w:rsidP="00835D56">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7FE7F93A" w14:textId="77777777" w:rsidR="00C4564E" w:rsidRPr="005644FE" w:rsidRDefault="00C4564E" w:rsidP="00835D56">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4564E" w:rsidRPr="005644FE" w14:paraId="663EC554" w14:textId="77777777" w:rsidTr="00835D56">
        <w:trPr>
          <w:trHeight w:val="300"/>
        </w:trPr>
        <w:tc>
          <w:tcPr>
            <w:tcW w:w="893" w:type="dxa"/>
            <w:vAlign w:val="center"/>
          </w:tcPr>
          <w:p w14:paraId="1EA0FAEC" w14:textId="77777777" w:rsidR="00C4564E" w:rsidRPr="005644FE" w:rsidRDefault="00C4564E" w:rsidP="00835D56">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0C704DB" w14:textId="77777777" w:rsidR="00C4564E" w:rsidRPr="005644FE" w:rsidRDefault="00C4564E" w:rsidP="00835D5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E1211BA" w14:textId="77777777" w:rsidR="00C4564E" w:rsidRPr="005644FE" w:rsidRDefault="00C4564E" w:rsidP="00835D5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7803BF18" w:rsidR="00127233" w:rsidRPr="000D6C7E" w:rsidRDefault="00127233" w:rsidP="000D6C7E"/>
    <w:sectPr w:rsidR="00127233" w:rsidRPr="000D6C7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17503" w14:textId="77777777" w:rsidR="00B061A2" w:rsidRDefault="00B061A2" w:rsidP="004A1847">
      <w:pPr>
        <w:spacing w:after="0" w:line="240" w:lineRule="auto"/>
      </w:pPr>
      <w:r>
        <w:separator/>
      </w:r>
    </w:p>
  </w:endnote>
  <w:endnote w:type="continuationSeparator" w:id="0">
    <w:p w14:paraId="5D1C8D80" w14:textId="77777777" w:rsidR="00B061A2" w:rsidRDefault="00B061A2" w:rsidP="004A1847">
      <w:pPr>
        <w:spacing w:after="0" w:line="240" w:lineRule="auto"/>
      </w:pPr>
      <w:r>
        <w:continuationSeparator/>
      </w:r>
    </w:p>
  </w:endnote>
  <w:endnote w:type="continuationNotice" w:id="1">
    <w:p w14:paraId="1D2DAD37" w14:textId="77777777" w:rsidR="00B061A2" w:rsidRDefault="00B061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174A1" w14:textId="77777777" w:rsidR="00B061A2" w:rsidRDefault="00B061A2" w:rsidP="004A1847">
      <w:pPr>
        <w:spacing w:after="0" w:line="240" w:lineRule="auto"/>
      </w:pPr>
      <w:r>
        <w:separator/>
      </w:r>
    </w:p>
  </w:footnote>
  <w:footnote w:type="continuationSeparator" w:id="0">
    <w:p w14:paraId="71254911" w14:textId="77777777" w:rsidR="00B061A2" w:rsidRDefault="00B061A2" w:rsidP="004A1847">
      <w:pPr>
        <w:spacing w:after="0" w:line="240" w:lineRule="auto"/>
      </w:pPr>
      <w:r>
        <w:continuationSeparator/>
      </w:r>
    </w:p>
  </w:footnote>
  <w:footnote w:type="continuationNotice" w:id="1">
    <w:p w14:paraId="13A03D62" w14:textId="77777777" w:rsidR="00B061A2" w:rsidRDefault="00B061A2">
      <w:pPr>
        <w:spacing w:after="0" w:line="240" w:lineRule="auto"/>
      </w:pPr>
    </w:p>
  </w:footnote>
  <w:footnote w:id="2">
    <w:p w14:paraId="62C0DFFD" w14:textId="77777777" w:rsidR="00C4564E" w:rsidRPr="00E17076" w:rsidRDefault="00C4564E" w:rsidP="00C4564E">
      <w:pPr>
        <w:ind w:firstLine="708"/>
        <w:jc w:val="both"/>
        <w:rPr>
          <w:rFonts w:ascii="Verdana" w:hAnsi="Verdana" w:cs="Arial"/>
          <w:sz w:val="14"/>
          <w:szCs w:val="14"/>
        </w:rPr>
      </w:pPr>
      <w:r w:rsidRPr="00E17076">
        <w:rPr>
          <w:rStyle w:val="Refdenotaalpie"/>
          <w:rFonts w:ascii="Verdana" w:hAnsi="Verdana" w:cs="Arial"/>
          <w:sz w:val="14"/>
          <w:szCs w:val="14"/>
        </w:rPr>
        <w:footnoteRef/>
      </w:r>
      <w:r w:rsidRPr="00E17076">
        <w:rPr>
          <w:rFonts w:ascii="Verdana" w:hAnsi="Verdana" w:cs="Arial"/>
          <w:sz w:val="14"/>
          <w:szCs w:val="14"/>
        </w:rPr>
        <w:t xml:space="preserve">  Ley 80 de 1993: Artículo 1o. Del objeto. La presente ley tiene por objeto disponer las reglas y principios que rigen los contratos de las entidades estatales. </w:t>
      </w:r>
    </w:p>
  </w:footnote>
  <w:footnote w:id="3">
    <w:p w14:paraId="1C5DE2ED" w14:textId="77777777" w:rsidR="00C4564E" w:rsidRPr="00661B59" w:rsidRDefault="00C4564E" w:rsidP="00C4564E">
      <w:pPr>
        <w:spacing w:after="120"/>
        <w:ind w:firstLine="709"/>
        <w:jc w:val="both"/>
        <w:rPr>
          <w:rFonts w:ascii="Verdana" w:eastAsia="Calibri" w:hAnsi="Verdana" w:cs="Arial"/>
          <w:sz w:val="14"/>
          <w:szCs w:val="14"/>
        </w:rPr>
      </w:pPr>
      <w:r w:rsidRPr="00661B59">
        <w:rPr>
          <w:rStyle w:val="Refdenotaalpie"/>
          <w:rFonts w:ascii="Verdana" w:hAnsi="Verdana" w:cs="Arial"/>
          <w:sz w:val="14"/>
          <w:szCs w:val="14"/>
        </w:rPr>
        <w:footnoteRef/>
      </w:r>
      <w:r w:rsidRPr="00661B59">
        <w:rPr>
          <w:rFonts w:ascii="Verdana" w:hAnsi="Verdana" w:cs="Arial"/>
          <w:sz w:val="14"/>
          <w:szCs w:val="14"/>
        </w:rPr>
        <w:t xml:space="preserve"> Al respecto, se ha pronunciado el Alto Tribunal de lo contencioso administrativo señalando que: </w:t>
      </w:r>
      <w:r>
        <w:rPr>
          <w:rFonts w:ascii="Verdana" w:hAnsi="Verdana" w:cs="Arial"/>
          <w:sz w:val="14"/>
          <w:szCs w:val="14"/>
        </w:rPr>
        <w:t>“</w:t>
      </w:r>
      <w:r w:rsidRPr="00661B59">
        <w:rPr>
          <w:rFonts w:ascii="Verdana" w:eastAsia="Calibri" w:hAnsi="Verdana" w:cs="Arial"/>
          <w:sz w:val="14"/>
          <w:szCs w:val="14"/>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58D754CB" w14:textId="77777777" w:rsidR="00C4564E" w:rsidRPr="00661B59" w:rsidRDefault="00C4564E" w:rsidP="00C4564E">
      <w:pPr>
        <w:spacing w:after="120"/>
        <w:ind w:firstLine="709"/>
        <w:jc w:val="both"/>
        <w:rPr>
          <w:rFonts w:ascii="Verdana" w:eastAsia="Calibri" w:hAnsi="Verdana" w:cs="Arial"/>
          <w:sz w:val="14"/>
          <w:szCs w:val="14"/>
        </w:rPr>
      </w:pPr>
      <w:r>
        <w:rPr>
          <w:rFonts w:ascii="Verdana" w:eastAsia="Calibri" w:hAnsi="Verdana" w:cs="Arial"/>
          <w:sz w:val="14"/>
          <w:szCs w:val="14"/>
        </w:rPr>
        <w:t>“</w:t>
      </w:r>
      <w:r w:rsidRPr="00661B59">
        <w:rPr>
          <w:rFonts w:ascii="Verdana" w:eastAsia="Calibri" w:hAnsi="Verdana" w:cs="Arial"/>
          <w:sz w:val="14"/>
          <w:szCs w:val="14"/>
        </w:rPr>
        <w:t xml:space="preserve">Se trata pues, de que sus actividades de explotación industrial o comercial se desarrollen con las </w:t>
      </w:r>
      <w:r w:rsidRPr="00661B59">
        <w:rPr>
          <w:rFonts w:ascii="Verdana" w:eastAsia="Calibri" w:hAnsi="Verdana" w:cs="Arial"/>
          <w:sz w:val="14"/>
          <w:szCs w:val="14"/>
        </w:rPr>
        <w:t>mismas oportunidades y las mismas ventajas o desventajas que las adelantadas por aquellos, sin que influya para nada su investidura de entidad estatal; que puedan actuar como particulares, frente a las exigencias de la economía y del mercado.</w:t>
      </w:r>
    </w:p>
    <w:p w14:paraId="57DCE083" w14:textId="77777777" w:rsidR="00C4564E" w:rsidRPr="00B61D9F" w:rsidRDefault="00C4564E" w:rsidP="00C4564E">
      <w:pPr>
        <w:ind w:firstLine="567"/>
        <w:jc w:val="both"/>
        <w:rPr>
          <w:rFonts w:ascii="Arial" w:hAnsi="Arial" w:cs="Arial"/>
          <w:sz w:val="19"/>
          <w:szCs w:val="19"/>
        </w:rPr>
      </w:pPr>
      <w:r>
        <w:rPr>
          <w:rFonts w:ascii="Verdana" w:eastAsia="Calibri" w:hAnsi="Verdana" w:cs="Arial"/>
          <w:sz w:val="14"/>
          <w:szCs w:val="14"/>
        </w:rPr>
        <w:t>“</w:t>
      </w:r>
      <w:r w:rsidRPr="00661B59">
        <w:rPr>
          <w:rFonts w:ascii="Verdana" w:eastAsia="Calibri" w:hAnsi="Verdana" w:cs="Arial"/>
          <w:sz w:val="14"/>
          <w:szCs w:val="14"/>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661B59">
        <w:rPr>
          <w:rFonts w:ascii="Verdana" w:eastAsia="Times New Roman" w:hAnsi="Verdana" w:cs="Arial"/>
          <w:sz w:val="14"/>
          <w:szCs w:val="14"/>
          <w:lang w:val="es-ES" w:eastAsia="es-ES_tradnl"/>
        </w:rPr>
        <w:t xml:space="preserve"> </w:t>
      </w:r>
      <w:r w:rsidRPr="00661B59">
        <w:rPr>
          <w:rFonts w:ascii="Verdana" w:hAnsi="Verdana" w:cs="Arial"/>
          <w:sz w:val="14"/>
          <w:szCs w:val="14"/>
        </w:rPr>
        <w:t>C</w:t>
      </w:r>
      <w:r>
        <w:rPr>
          <w:rFonts w:ascii="Verdana" w:hAnsi="Verdana" w:cs="Arial"/>
          <w:sz w:val="14"/>
          <w:szCs w:val="14"/>
        </w:rPr>
        <w:t>onsejo de Estado Sala de lo Contencioso Administrativo.</w:t>
      </w:r>
      <w:r w:rsidRPr="00661B59">
        <w:rPr>
          <w:rFonts w:ascii="Verdana" w:hAnsi="Verdana" w:cs="Arial"/>
          <w:sz w:val="14"/>
          <w:szCs w:val="14"/>
        </w:rPr>
        <w:t xml:space="preserve"> Sección Tercera. Sentencia del 19 de agosto de 2004. Exp. 12.342. C.P. Ramiro Saavedra Becerra.</w:t>
      </w:r>
    </w:p>
  </w:footnote>
  <w:footnote w:id="4">
    <w:p w14:paraId="4F9DE997" w14:textId="77777777" w:rsidR="00C4564E" w:rsidRDefault="00C4564E" w:rsidP="00C4564E">
      <w:pPr>
        <w:pStyle w:val="Textonotapie"/>
        <w:ind w:firstLine="709"/>
        <w:jc w:val="both"/>
        <w:rPr>
          <w:rFonts w:ascii="Verdana" w:hAnsi="Verdana" w:cs="Arial"/>
          <w:sz w:val="14"/>
          <w:szCs w:val="14"/>
        </w:rPr>
      </w:pPr>
      <w:r w:rsidRPr="00007AE0">
        <w:rPr>
          <w:rStyle w:val="Refdenotaalpie"/>
          <w:rFonts w:ascii="Verdana" w:hAnsi="Verdana" w:cs="Arial"/>
          <w:sz w:val="14"/>
          <w:szCs w:val="14"/>
        </w:rPr>
        <w:footnoteRef/>
      </w:r>
      <w:r w:rsidRPr="00007AE0">
        <w:rPr>
          <w:rFonts w:ascii="Verdana" w:hAnsi="Verdana" w:cs="Arial"/>
          <w:sz w:val="14"/>
          <w:szCs w:val="14"/>
        </w:rPr>
        <w:t xml:space="preserve"> 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 </w:t>
      </w:r>
    </w:p>
    <w:p w14:paraId="78172430" w14:textId="77777777" w:rsidR="00C4564E" w:rsidRPr="00007AE0" w:rsidRDefault="00C4564E" w:rsidP="00C4564E">
      <w:pPr>
        <w:pStyle w:val="Textonotapie"/>
        <w:ind w:firstLine="709"/>
        <w:jc w:val="both"/>
        <w:rPr>
          <w:rFonts w:ascii="Verdana" w:hAnsi="Verdana" w:cs="Arial"/>
          <w:sz w:val="14"/>
          <w:szCs w:val="14"/>
        </w:rPr>
      </w:pPr>
    </w:p>
  </w:footnote>
  <w:footnote w:id="5">
    <w:p w14:paraId="2AD43994" w14:textId="77777777" w:rsidR="00C4564E" w:rsidRPr="003138BC" w:rsidRDefault="00C4564E" w:rsidP="00C4564E">
      <w:pPr>
        <w:pStyle w:val="Textonotapie"/>
        <w:ind w:firstLine="709"/>
        <w:jc w:val="both"/>
        <w:rPr>
          <w:rFonts w:ascii="Verdana" w:hAnsi="Verdana"/>
          <w:sz w:val="14"/>
          <w:szCs w:val="14"/>
        </w:rPr>
      </w:pPr>
      <w:r w:rsidRPr="003138BC">
        <w:rPr>
          <w:rStyle w:val="Refdenotaalpie"/>
          <w:rFonts w:ascii="Verdana" w:hAnsi="Verdana"/>
          <w:sz w:val="14"/>
          <w:szCs w:val="14"/>
        </w:rPr>
        <w:footnoteRef/>
      </w:r>
      <w:r w:rsidRPr="003138BC">
        <w:rPr>
          <w:rFonts w:ascii="Verdana" w:hAnsi="Verdana"/>
          <w:sz w:val="14"/>
          <w:szCs w:val="14"/>
        </w:rPr>
        <w:t xml:space="preserve">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Pr>
          <w:rFonts w:ascii="Verdana" w:hAnsi="Verdana"/>
          <w:sz w:val="14"/>
          <w:szCs w:val="14"/>
        </w:rPr>
        <w:t>.</w:t>
      </w:r>
    </w:p>
  </w:footnote>
  <w:footnote w:id="6">
    <w:p w14:paraId="2AB1AB39" w14:textId="77777777" w:rsidR="00C4564E" w:rsidRDefault="00C4564E" w:rsidP="00C4564E">
      <w:pPr>
        <w:pStyle w:val="Textonotapie"/>
        <w:jc w:val="both"/>
        <w:rPr>
          <w:rFonts w:ascii="Arial" w:hAnsi="Arial" w:cs="Arial"/>
          <w:sz w:val="19"/>
          <w:szCs w:val="19"/>
        </w:rPr>
      </w:pPr>
    </w:p>
    <w:p w14:paraId="7D0275FB" w14:textId="77777777" w:rsidR="00C4564E" w:rsidRDefault="00C4564E" w:rsidP="00C4564E">
      <w:pPr>
        <w:pStyle w:val="Textonotapie"/>
        <w:ind w:firstLine="709"/>
        <w:jc w:val="both"/>
        <w:rPr>
          <w:rFonts w:ascii="Verdana" w:hAnsi="Verdana" w:cs="Arial"/>
          <w:sz w:val="14"/>
          <w:szCs w:val="14"/>
        </w:rPr>
      </w:pPr>
      <w:r w:rsidRPr="00007AE0">
        <w:rPr>
          <w:rStyle w:val="Refdenotaalpie"/>
          <w:rFonts w:ascii="Verdana" w:hAnsi="Verdana" w:cs="Arial"/>
          <w:sz w:val="14"/>
          <w:szCs w:val="14"/>
        </w:rPr>
        <w:footnoteRef/>
      </w:r>
      <w:r w:rsidRPr="00007AE0">
        <w:rPr>
          <w:rFonts w:ascii="Verdana" w:hAnsi="Verdana" w:cs="Arial"/>
          <w:sz w:val="14"/>
          <w:szCs w:val="14"/>
        </w:rPr>
        <w:t xml:space="preserve"> Artículo 24. Del régimen contractual de las Corporaciones Autónomas Regionales.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w:t>
      </w:r>
    </w:p>
    <w:p w14:paraId="62751AF0" w14:textId="77777777" w:rsidR="00C4564E" w:rsidRPr="00007AE0" w:rsidRDefault="00C4564E" w:rsidP="00C4564E">
      <w:pPr>
        <w:pStyle w:val="Textonotapie"/>
        <w:ind w:firstLine="567"/>
        <w:jc w:val="both"/>
        <w:rPr>
          <w:rFonts w:ascii="Verdana" w:hAnsi="Verdana" w:cs="Arial"/>
          <w:sz w:val="14"/>
          <w:szCs w:val="14"/>
        </w:rPr>
      </w:pPr>
    </w:p>
  </w:footnote>
  <w:footnote w:id="7">
    <w:p w14:paraId="419753A9" w14:textId="77777777" w:rsidR="00C4564E" w:rsidRPr="00095793" w:rsidRDefault="00C4564E" w:rsidP="00C4564E">
      <w:pPr>
        <w:pStyle w:val="Textonotapie"/>
        <w:ind w:firstLine="709"/>
        <w:jc w:val="both"/>
        <w:rPr>
          <w:rFonts w:ascii="Verdana" w:hAnsi="Verdana" w:cs="Arial"/>
          <w:color w:val="000000" w:themeColor="text1"/>
          <w:sz w:val="14"/>
          <w:szCs w:val="14"/>
        </w:rPr>
      </w:pPr>
      <w:r w:rsidRPr="00095793">
        <w:rPr>
          <w:rStyle w:val="Refdenotaalpie"/>
          <w:rFonts w:ascii="Verdana" w:hAnsi="Verdana" w:cs="Arial"/>
          <w:color w:val="000000" w:themeColor="text1"/>
          <w:sz w:val="14"/>
          <w:szCs w:val="14"/>
        </w:rPr>
        <w:footnoteRef/>
      </w:r>
      <w:r w:rsidRPr="00095793">
        <w:rPr>
          <w:rFonts w:ascii="Verdana" w:hAnsi="Verdana" w:cs="Arial"/>
          <w:color w:val="000000" w:themeColor="text1"/>
          <w:sz w:val="14"/>
          <w:szCs w:val="14"/>
        </w:rPr>
        <w:t xml:space="preserve"> Ley 80 de 1993: «Artículo 2. De la definición de entidades, servidores y servicios públicos. Para los solos efectos de esta ley:</w:t>
      </w:r>
    </w:p>
    <w:p w14:paraId="65715881" w14:textId="77777777" w:rsidR="00C4564E" w:rsidRPr="00095793" w:rsidRDefault="00C4564E" w:rsidP="00C4564E">
      <w:pPr>
        <w:pStyle w:val="Textonotapie"/>
        <w:ind w:firstLine="709"/>
        <w:jc w:val="both"/>
        <w:rPr>
          <w:rFonts w:ascii="Verdana" w:hAnsi="Verdana" w:cs="Arial"/>
          <w:color w:val="000000" w:themeColor="text1"/>
          <w:sz w:val="14"/>
          <w:szCs w:val="14"/>
        </w:rPr>
      </w:pPr>
      <w:r w:rsidRPr="00095793">
        <w:rPr>
          <w:rFonts w:ascii="Verdana" w:hAnsi="Verdana" w:cs="Arial"/>
          <w:color w:val="000000" w:themeColor="text1"/>
          <w:sz w:val="14"/>
          <w:szCs w:val="14"/>
        </w:rPr>
        <w:t>1. Se denominan entidades estatales:</w:t>
      </w:r>
    </w:p>
    <w:p w14:paraId="485D2C19" w14:textId="77777777" w:rsidR="00C4564E" w:rsidRPr="00095793" w:rsidRDefault="00C4564E" w:rsidP="00C4564E">
      <w:pPr>
        <w:pStyle w:val="Textonotapie"/>
        <w:ind w:firstLine="709"/>
        <w:jc w:val="both"/>
        <w:rPr>
          <w:rFonts w:ascii="Verdana" w:hAnsi="Verdana" w:cs="Arial"/>
          <w:color w:val="000000" w:themeColor="text1"/>
          <w:sz w:val="14"/>
          <w:szCs w:val="14"/>
        </w:rPr>
      </w:pPr>
      <w:r w:rsidRPr="00095793">
        <w:rPr>
          <w:rFonts w:ascii="Verdana" w:hAnsi="Verdana" w:cs="Arial"/>
          <w:color w:val="000000" w:themeColor="text1"/>
          <w:sz w:val="14"/>
          <w:szCs w:val="14"/>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39718FC0" w14:textId="77777777" w:rsidR="00C4564E" w:rsidRPr="00095793" w:rsidRDefault="00C4564E" w:rsidP="00C4564E">
      <w:pPr>
        <w:pStyle w:val="Textonotapie"/>
        <w:ind w:firstLine="709"/>
        <w:jc w:val="both"/>
        <w:rPr>
          <w:rFonts w:ascii="Verdana" w:hAnsi="Verdana" w:cs="Arial"/>
          <w:color w:val="000000" w:themeColor="text1"/>
          <w:sz w:val="14"/>
          <w:szCs w:val="14"/>
        </w:rPr>
      </w:pPr>
      <w:r w:rsidRPr="00095793">
        <w:rPr>
          <w:rFonts w:ascii="Verdana" w:hAnsi="Verdana" w:cs="Arial"/>
          <w:color w:val="000000" w:themeColor="text1"/>
          <w:sz w:val="14"/>
          <w:szCs w:val="14"/>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54A49C54" w14:textId="77777777" w:rsidR="00C4564E" w:rsidRPr="00095793" w:rsidRDefault="00C4564E" w:rsidP="00C4564E">
      <w:pPr>
        <w:pStyle w:val="Textonotapie"/>
        <w:ind w:firstLine="709"/>
        <w:jc w:val="both"/>
        <w:rPr>
          <w:rFonts w:ascii="Verdana" w:hAnsi="Verdana" w:cs="Arial"/>
          <w:color w:val="000000" w:themeColor="text1"/>
          <w:sz w:val="14"/>
          <w:szCs w:val="14"/>
        </w:rPr>
      </w:pPr>
    </w:p>
  </w:footnote>
  <w:footnote w:id="8">
    <w:p w14:paraId="4A0E2BB7" w14:textId="77777777" w:rsidR="00C4564E" w:rsidRDefault="00C4564E" w:rsidP="006202ED">
      <w:pPr>
        <w:spacing w:after="0" w:line="240" w:lineRule="auto"/>
        <w:ind w:firstLine="709"/>
        <w:jc w:val="both"/>
        <w:rPr>
          <w:rFonts w:ascii="Verdana" w:hAnsi="Verdana" w:cs="Arial"/>
          <w:color w:val="000000" w:themeColor="text1"/>
          <w:sz w:val="14"/>
          <w:szCs w:val="14"/>
        </w:rPr>
      </w:pPr>
      <w:r w:rsidRPr="00095793">
        <w:rPr>
          <w:rStyle w:val="Refdenotaalpie"/>
          <w:rFonts w:ascii="Verdana" w:hAnsi="Verdana" w:cs="Arial"/>
          <w:sz w:val="14"/>
          <w:szCs w:val="14"/>
        </w:rPr>
        <w:footnoteRef/>
      </w:r>
      <w:r w:rsidRPr="00095793">
        <w:rPr>
          <w:rFonts w:ascii="Verdana" w:hAnsi="Verdana" w:cs="Arial"/>
          <w:sz w:val="14"/>
          <w:szCs w:val="14"/>
        </w:rPr>
        <w:t xml:space="preserve"> Corte Constitucional, sentencia C-414 de 1994, M.P. Antonio Barrera Carbonell </w:t>
      </w:r>
      <w:r w:rsidRPr="00095793">
        <w:rPr>
          <w:rFonts w:ascii="Verdana" w:hAnsi="Verdana" w:cs="Arial"/>
          <w:color w:val="000000" w:themeColor="text1"/>
          <w:sz w:val="14"/>
          <w:szCs w:val="14"/>
        </w:rPr>
        <w:t>«</w:t>
      </w:r>
      <w:r w:rsidRPr="00095793">
        <w:rPr>
          <w:rFonts w:ascii="Verdana" w:hAnsi="Verdana" w:cs="Arial"/>
          <w:sz w:val="14"/>
          <w:szCs w:val="14"/>
        </w:rPr>
        <w:t>En nuestro régimen legal, la capacidad es la aptitud que se tiene para ser sujeto de relaciones jurídicas, es decir, para realizar sin el ministerio de otra persona, actos con efectos válidos en la esfera del derecho, y si bien esa habilitación se vincula con la noción de persona, hasta el punto que toda persona, en principio, es capaz, salvo lo que en contrario disponga la ley, no es requisito necesario ser persona para disponer de capacidad jurídica</w:t>
      </w:r>
      <w:r w:rsidRPr="00095793">
        <w:rPr>
          <w:rFonts w:ascii="Verdana" w:hAnsi="Verdana" w:cs="Arial"/>
          <w:color w:val="000000" w:themeColor="text1"/>
          <w:sz w:val="14"/>
          <w:szCs w:val="14"/>
        </w:rPr>
        <w:t>.</w:t>
      </w:r>
    </w:p>
    <w:p w14:paraId="1CAFE639" w14:textId="77777777" w:rsidR="00C4564E" w:rsidRPr="00095793" w:rsidRDefault="00C4564E" w:rsidP="00C4564E">
      <w:pPr>
        <w:spacing w:after="0" w:line="240" w:lineRule="auto"/>
        <w:ind w:firstLine="590"/>
        <w:jc w:val="both"/>
        <w:rPr>
          <w:rFonts w:ascii="Verdana" w:hAnsi="Verdana" w:cs="Arial"/>
          <w:sz w:val="14"/>
          <w:szCs w:val="14"/>
        </w:rPr>
      </w:pPr>
    </w:p>
  </w:footnote>
  <w:footnote w:id="9">
    <w:p w14:paraId="231FCAE9" w14:textId="77777777" w:rsidR="00C4564E" w:rsidRDefault="00C4564E" w:rsidP="006202ED">
      <w:pPr>
        <w:spacing w:after="0" w:line="240" w:lineRule="auto"/>
        <w:ind w:firstLine="709"/>
        <w:jc w:val="both"/>
        <w:rPr>
          <w:rFonts w:ascii="Verdana" w:hAnsi="Verdana" w:cs="Arial"/>
          <w:sz w:val="14"/>
          <w:szCs w:val="14"/>
        </w:rPr>
      </w:pPr>
      <w:r w:rsidRPr="00095793">
        <w:rPr>
          <w:rFonts w:ascii="Verdana" w:hAnsi="Verdana" w:cs="Arial"/>
          <w:sz w:val="14"/>
          <w:szCs w:val="14"/>
          <w:vertAlign w:val="superscript"/>
        </w:rPr>
        <w:footnoteRef/>
      </w:r>
      <w:r w:rsidRPr="00095793">
        <w:rPr>
          <w:rFonts w:ascii="Verdana" w:hAnsi="Verdana" w:cs="Arial"/>
          <w:sz w:val="14"/>
          <w:szCs w:val="14"/>
        </w:rPr>
        <w:t xml:space="preserve"> EXPOSITO VÉLEZ, Juan Carlos. Forma y contenido del contrato estatal. Universidad Externado de Colombia, Bogotá, 2013, 1ra Ed., p.112.</w:t>
      </w:r>
    </w:p>
    <w:p w14:paraId="15B81AF3" w14:textId="77777777" w:rsidR="00C4564E" w:rsidRPr="005B4A16" w:rsidRDefault="00C4564E" w:rsidP="00C4564E">
      <w:pPr>
        <w:spacing w:after="0" w:line="240" w:lineRule="auto"/>
        <w:ind w:firstLine="590"/>
        <w:jc w:val="both"/>
        <w:rPr>
          <w:rFonts w:ascii="Verdana" w:hAnsi="Verdana" w:cs="Arial"/>
          <w:sz w:val="14"/>
          <w:szCs w:val="14"/>
        </w:rPr>
      </w:pPr>
    </w:p>
  </w:footnote>
  <w:footnote w:id="10">
    <w:p w14:paraId="52EE88A2" w14:textId="77777777" w:rsidR="00C4564E" w:rsidRPr="005B4A16" w:rsidRDefault="00C4564E" w:rsidP="006202ED">
      <w:pPr>
        <w:pStyle w:val="Textonotapie"/>
        <w:ind w:firstLine="709"/>
        <w:jc w:val="both"/>
        <w:rPr>
          <w:rFonts w:ascii="Verdana" w:hAnsi="Verdana" w:cs="Arial"/>
          <w:color w:val="000000"/>
          <w:sz w:val="14"/>
          <w:szCs w:val="14"/>
        </w:rPr>
      </w:pPr>
      <w:r w:rsidRPr="005B4A16">
        <w:rPr>
          <w:rStyle w:val="Refdenotaalpie"/>
          <w:rFonts w:ascii="Verdana" w:hAnsi="Verdana"/>
          <w:sz w:val="14"/>
          <w:szCs w:val="14"/>
        </w:rPr>
        <w:footnoteRef/>
      </w:r>
      <w:r w:rsidRPr="005B4A16">
        <w:rPr>
          <w:rFonts w:ascii="Verdana" w:hAnsi="Verdana"/>
          <w:sz w:val="14"/>
          <w:szCs w:val="14"/>
        </w:rPr>
        <w:t xml:space="preserve"> </w:t>
      </w:r>
      <w:r w:rsidRPr="005B4A16">
        <w:rPr>
          <w:rFonts w:ascii="Verdana" w:hAnsi="Verdana" w:cs="Arial"/>
          <w:color w:val="000000"/>
          <w:sz w:val="14"/>
          <w:szCs w:val="14"/>
        </w:rPr>
        <w:t>Corte Constitucional, sentencia C-230 de 2008. M.P. Rodrigo Escobar Gil</w:t>
      </w:r>
      <w:r>
        <w:rPr>
          <w:rFonts w:ascii="Verdana" w:hAnsi="Verdana" w:cs="Arial"/>
          <w:color w:val="000000"/>
          <w:sz w:val="14"/>
          <w:szCs w:val="14"/>
        </w:rPr>
        <w:t>.</w:t>
      </w:r>
    </w:p>
    <w:p w14:paraId="23FC9D13" w14:textId="77777777" w:rsidR="00C4564E" w:rsidRPr="005B4A16" w:rsidRDefault="00C4564E" w:rsidP="00C4564E">
      <w:pPr>
        <w:pStyle w:val="Textonotapie"/>
        <w:ind w:firstLine="708"/>
        <w:jc w:val="both"/>
        <w:rPr>
          <w:rFonts w:ascii="Verdana" w:hAnsi="Verdana" w:cs="Arial"/>
          <w:color w:val="000000"/>
          <w:sz w:val="14"/>
          <w:szCs w:val="14"/>
        </w:rPr>
      </w:pPr>
      <w:r w:rsidRPr="005B4A16">
        <w:rPr>
          <w:rFonts w:ascii="Verdana" w:hAnsi="Verdana" w:cs="Arial"/>
          <w:color w:val="000000"/>
          <w:sz w:val="14"/>
          <w:szCs w:val="14"/>
        </w:rPr>
        <w:t xml:space="preserve"> </w:t>
      </w:r>
    </w:p>
  </w:footnote>
  <w:footnote w:id="11">
    <w:p w14:paraId="2D229CCC" w14:textId="77777777" w:rsidR="00C4564E" w:rsidRDefault="00C4564E" w:rsidP="00C4564E">
      <w:pPr>
        <w:pStyle w:val="Textonotapie"/>
        <w:ind w:firstLine="709"/>
        <w:rPr>
          <w:rFonts w:ascii="Verdana" w:hAnsi="Verdana"/>
          <w:sz w:val="14"/>
          <w:szCs w:val="14"/>
        </w:rPr>
      </w:pPr>
      <w:r w:rsidRPr="00E81EF2">
        <w:rPr>
          <w:rStyle w:val="Refdenotaalpie"/>
          <w:rFonts w:ascii="Verdana" w:hAnsi="Verdana"/>
          <w:sz w:val="14"/>
          <w:szCs w:val="14"/>
        </w:rPr>
        <w:footnoteRef/>
      </w:r>
      <w:r w:rsidRPr="00E81EF2">
        <w:rPr>
          <w:rFonts w:ascii="Verdana" w:hAnsi="Verdana"/>
          <w:sz w:val="14"/>
          <w:szCs w:val="14"/>
        </w:rPr>
        <w:t xml:space="preserve"> Consejo de Estado. Sala de Servicio y Consulta Civil. Radicado: 11001-03-06-000-2014-0055-00 (2204). 5 de junio de 2014. C.P: Augusto Hernández Becerra. </w:t>
      </w:r>
    </w:p>
    <w:p w14:paraId="23E60F1C" w14:textId="77777777" w:rsidR="00C4564E" w:rsidRPr="00E81EF2" w:rsidRDefault="00C4564E" w:rsidP="00C4564E">
      <w:pPr>
        <w:pStyle w:val="Textonotapie"/>
        <w:ind w:firstLine="709"/>
        <w:rPr>
          <w:rFonts w:ascii="Verdana" w:hAnsi="Verdana"/>
          <w:sz w:val="14"/>
          <w:szCs w:val="14"/>
        </w:rPr>
      </w:pPr>
    </w:p>
  </w:footnote>
  <w:footnote w:id="12">
    <w:p w14:paraId="4BDE6636" w14:textId="77777777" w:rsidR="00C4564E" w:rsidRPr="005B4A16" w:rsidRDefault="00C4564E" w:rsidP="00C4564E">
      <w:pPr>
        <w:pStyle w:val="Textonotapie"/>
        <w:ind w:firstLine="708"/>
        <w:jc w:val="both"/>
        <w:rPr>
          <w:rFonts w:ascii="Verdana" w:hAnsi="Verdana"/>
          <w:sz w:val="14"/>
          <w:szCs w:val="14"/>
          <w:lang w:val="es-ES_tradnl"/>
        </w:rPr>
      </w:pPr>
      <w:r w:rsidRPr="005B4A16">
        <w:rPr>
          <w:rStyle w:val="Refdenotaalpie"/>
          <w:rFonts w:ascii="Verdana" w:hAnsi="Verdana"/>
          <w:sz w:val="14"/>
          <w:szCs w:val="14"/>
        </w:rPr>
        <w:footnoteRef/>
      </w:r>
      <w:r w:rsidRPr="005B4A16">
        <w:rPr>
          <w:rFonts w:ascii="Verdana" w:hAnsi="Verdana"/>
          <w:sz w:val="14"/>
          <w:szCs w:val="14"/>
        </w:rPr>
        <w:t xml:space="preserve"> </w:t>
      </w:r>
      <w:r w:rsidRPr="005B4A16">
        <w:rPr>
          <w:rFonts w:ascii="Verdana" w:hAnsi="Verdana" w:cs="Arial"/>
          <w:color w:val="000000"/>
          <w:sz w:val="14"/>
          <w:szCs w:val="14"/>
        </w:rPr>
        <w:t>Por ejemplo: Sobre el Consejo Nacional de Trabajo Social, el Concepto 487 de 14/12/1992; sobre el Consejo profesional de Administración de Empresas, el Concepto 583 de 11/02</w:t>
      </w:r>
      <w:r>
        <w:rPr>
          <w:rFonts w:ascii="Verdana" w:hAnsi="Verdana" w:cs="Arial"/>
          <w:color w:val="000000"/>
          <w:sz w:val="14"/>
          <w:szCs w:val="14"/>
        </w:rPr>
        <w:t>/</w:t>
      </w:r>
      <w:r w:rsidRPr="005B4A16">
        <w:rPr>
          <w:rFonts w:ascii="Verdana" w:hAnsi="Verdana" w:cs="Arial"/>
          <w:color w:val="000000"/>
          <w:sz w:val="14"/>
          <w:szCs w:val="14"/>
        </w:rPr>
        <w:t>1994; sobre el Consejo Profesional de Agentes de Viaje y Turismo, el Concepto 630 de 9/09/1994; sobre el Consejo Nacional de Topografía, el Concepto 1590 de 14/10/2004, entre otros.</w:t>
      </w:r>
      <w:r w:rsidRPr="005B4A16">
        <w:rPr>
          <w:rFonts w:ascii="Verdana" w:hAnsi="Verdana"/>
          <w:sz w:val="14"/>
          <w:szCs w:val="14"/>
        </w:rPr>
        <w:t xml:space="preserve">   </w:t>
      </w:r>
    </w:p>
  </w:footnote>
  <w:footnote w:id="13">
    <w:p w14:paraId="2E03F292" w14:textId="77777777" w:rsidR="00C4564E" w:rsidRDefault="00C4564E" w:rsidP="00C4564E">
      <w:pPr>
        <w:pStyle w:val="Textonotapie"/>
        <w:ind w:firstLine="709"/>
        <w:rPr>
          <w:rFonts w:ascii="Verdana" w:hAnsi="Verdana"/>
          <w:sz w:val="14"/>
          <w:szCs w:val="14"/>
        </w:rPr>
      </w:pPr>
      <w:r w:rsidRPr="00EA7F39">
        <w:rPr>
          <w:rStyle w:val="Refdenotaalpie"/>
          <w:rFonts w:ascii="Verdana" w:hAnsi="Verdana"/>
          <w:sz w:val="14"/>
          <w:szCs w:val="14"/>
        </w:rPr>
        <w:footnoteRef/>
      </w:r>
      <w:r w:rsidRPr="00EA7F39">
        <w:rPr>
          <w:rFonts w:ascii="Verdana" w:hAnsi="Verdana"/>
          <w:sz w:val="14"/>
          <w:szCs w:val="14"/>
        </w:rPr>
        <w:t xml:space="preserve"> Consejo de Estado. Sala de Servicio y Consulta Civil. Concepto del 11 de febrero de 1994. Expediente 583. C.P: Roberto Suárez Franco. </w:t>
      </w:r>
    </w:p>
    <w:p w14:paraId="687D936B" w14:textId="77777777" w:rsidR="00C4564E" w:rsidRPr="00EA7F39" w:rsidRDefault="00C4564E" w:rsidP="00C4564E">
      <w:pPr>
        <w:pStyle w:val="Textonotapie"/>
        <w:ind w:firstLine="709"/>
        <w:rPr>
          <w:rFonts w:ascii="Verdana" w:hAnsi="Verdana"/>
          <w:sz w:val="14"/>
          <w:szCs w:val="14"/>
        </w:rPr>
      </w:pPr>
    </w:p>
  </w:footnote>
  <w:footnote w:id="14">
    <w:p w14:paraId="348D5B8B" w14:textId="77777777" w:rsidR="00C4564E" w:rsidRDefault="00C4564E" w:rsidP="00C4564E">
      <w:pPr>
        <w:pStyle w:val="Textonotapie"/>
        <w:ind w:firstLine="709"/>
        <w:jc w:val="both"/>
        <w:rPr>
          <w:rFonts w:ascii="Verdana" w:hAnsi="Verdana"/>
          <w:sz w:val="14"/>
          <w:szCs w:val="14"/>
          <w:lang w:val="es-ES"/>
        </w:rPr>
      </w:pPr>
      <w:r w:rsidRPr="001D5030">
        <w:rPr>
          <w:rStyle w:val="Refdenotaalpie"/>
          <w:rFonts w:ascii="Verdana" w:hAnsi="Verdana"/>
          <w:sz w:val="14"/>
          <w:szCs w:val="14"/>
        </w:rPr>
        <w:footnoteRef/>
      </w:r>
      <w:r w:rsidRPr="001D5030">
        <w:rPr>
          <w:rFonts w:ascii="Verdana" w:hAnsi="Verdana"/>
          <w:sz w:val="14"/>
          <w:szCs w:val="14"/>
        </w:rPr>
        <w:t xml:space="preserve"> </w:t>
      </w:r>
      <w:r w:rsidRPr="001D5030">
        <w:rPr>
          <w:rFonts w:ascii="Verdana" w:hAnsi="Verdana"/>
          <w:sz w:val="14"/>
          <w:szCs w:val="14"/>
          <w:lang w:val="es-ES"/>
        </w:rPr>
        <w:t xml:space="preserve">Consejo de Estado. Sala de Servicio y Consulta Civil. Concepto 2 de diciembre de 2008. Radicado: Radicación número: 11001-03-06-000-2008-00076-00(1924). C.P: Enrique José Arboleda Perdomo. </w:t>
      </w:r>
    </w:p>
    <w:p w14:paraId="2DFDBE03" w14:textId="77777777" w:rsidR="00C4564E" w:rsidRPr="001D5030" w:rsidRDefault="00C4564E" w:rsidP="00C4564E">
      <w:pPr>
        <w:pStyle w:val="Textonotapie"/>
        <w:ind w:firstLine="709"/>
        <w:jc w:val="both"/>
        <w:rPr>
          <w:rFonts w:ascii="Verdana" w:hAnsi="Verdana"/>
          <w:sz w:val="14"/>
          <w:szCs w:val="14"/>
          <w:lang w:val="es-ES"/>
        </w:rPr>
      </w:pPr>
    </w:p>
  </w:footnote>
  <w:footnote w:id="15">
    <w:p w14:paraId="7A6F3CBF" w14:textId="77777777" w:rsidR="00C4564E" w:rsidRPr="001D5030" w:rsidRDefault="00C4564E" w:rsidP="00C4564E">
      <w:pPr>
        <w:pStyle w:val="Textonotapie"/>
        <w:ind w:firstLine="709"/>
        <w:rPr>
          <w:rFonts w:ascii="Verdana" w:hAnsi="Verdana"/>
          <w:sz w:val="14"/>
          <w:szCs w:val="14"/>
          <w:lang w:val="es-ES"/>
        </w:rPr>
      </w:pPr>
      <w:r w:rsidRPr="001D5030">
        <w:rPr>
          <w:rStyle w:val="Refdenotaalpie"/>
          <w:rFonts w:ascii="Verdana" w:hAnsi="Verdana"/>
          <w:sz w:val="14"/>
          <w:szCs w:val="14"/>
        </w:rPr>
        <w:footnoteRef/>
      </w:r>
      <w:r w:rsidRPr="001D5030">
        <w:rPr>
          <w:rFonts w:ascii="Verdana" w:hAnsi="Verdana"/>
          <w:sz w:val="14"/>
          <w:szCs w:val="14"/>
        </w:rPr>
        <w:t xml:space="preserve"> </w:t>
      </w:r>
      <w:r w:rsidRPr="001D5030">
        <w:rPr>
          <w:rFonts w:ascii="Verdana" w:hAnsi="Verdana"/>
          <w:sz w:val="14"/>
          <w:szCs w:val="14"/>
          <w:lang w:val="es-ES"/>
        </w:rPr>
        <w:t xml:space="preserve">Ibídem. </w:t>
      </w:r>
    </w:p>
  </w:footnote>
  <w:footnote w:id="16">
    <w:p w14:paraId="187A6C6A" w14:textId="77777777" w:rsidR="00C4564E" w:rsidRDefault="00C4564E" w:rsidP="00C4564E">
      <w:pPr>
        <w:pStyle w:val="Textonotapie"/>
        <w:rPr>
          <w:rFonts w:ascii="Verdana" w:hAnsi="Verdana"/>
          <w:sz w:val="14"/>
          <w:szCs w:val="14"/>
        </w:rPr>
      </w:pPr>
    </w:p>
    <w:p w14:paraId="2B9DF042" w14:textId="77777777" w:rsidR="00C4564E" w:rsidRPr="00ED0E86" w:rsidRDefault="00C4564E" w:rsidP="00C4564E">
      <w:pPr>
        <w:pStyle w:val="Textonotapie"/>
        <w:ind w:firstLine="709"/>
        <w:jc w:val="both"/>
        <w:rPr>
          <w:rFonts w:ascii="Verdana" w:hAnsi="Verdana"/>
          <w:sz w:val="14"/>
          <w:szCs w:val="14"/>
        </w:rPr>
      </w:pPr>
      <w:r w:rsidRPr="00ED0E86">
        <w:rPr>
          <w:rStyle w:val="Refdenotaalpie"/>
          <w:rFonts w:ascii="Verdana" w:hAnsi="Verdana"/>
          <w:sz w:val="14"/>
          <w:szCs w:val="14"/>
        </w:rPr>
        <w:footnoteRef/>
      </w:r>
      <w:r w:rsidRPr="00ED0E86">
        <w:rPr>
          <w:rFonts w:ascii="Verdana" w:hAnsi="Verdana"/>
          <w:sz w:val="14"/>
          <w:szCs w:val="14"/>
        </w:rPr>
        <w:t xml:space="preserve"> Créase el Consejo Profesional de Medicina Veterinaria y Zootecnia de Colombia, el cual estará integrado por los siguientes miembros principales y sus correspondientes suplentes:</w:t>
      </w:r>
    </w:p>
    <w:p w14:paraId="6516CDF8"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 </w:t>
      </w:r>
    </w:p>
    <w:p w14:paraId="36E89390"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 xml:space="preserve">a) El </w:t>
      </w:r>
      <w:r w:rsidRPr="00ED0E86">
        <w:rPr>
          <w:rFonts w:ascii="Verdana" w:hAnsi="Verdana"/>
          <w:sz w:val="14"/>
          <w:szCs w:val="14"/>
        </w:rPr>
        <w:t>Ministro de Educación Nacional o su representante.</w:t>
      </w:r>
    </w:p>
    <w:p w14:paraId="1371C771"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b) El Ministro de Salud Pública o su representante.</w:t>
      </w:r>
    </w:p>
    <w:p w14:paraId="0EFD0282"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c) El Ministro de Agricultura o su representante.</w:t>
      </w:r>
    </w:p>
    <w:p w14:paraId="1B560182"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d) Tres representantes: Uno (1) de la Asociación Nacional de Veterinarios, uno (1) de la Asociación Colombiana de Médicos Veterinarios Zootecnistas y uno (1) de la Asociación Nacional de Zootecnistas.</w:t>
      </w:r>
    </w:p>
    <w:p w14:paraId="4D848841"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e) Tres (3) representantes de las entidades docentes oficialmente reconocidas y aprobadas: Uno (1) de las que otorguen el título de Veterinario; uno (1) de las que otorguen el título de Médico Veterinario y Zootecnista y uno (1) de las que otorguen el título de Zootecnista, designados por la Asociación Nacional de Facultades de Medicina Veterinaria y Zootecnia.</w:t>
      </w:r>
    </w:p>
    <w:p w14:paraId="706C1002"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 </w:t>
      </w:r>
    </w:p>
    <w:p w14:paraId="7CAF1A3A" w14:textId="77777777" w:rsidR="00C4564E" w:rsidRPr="00ED0E86" w:rsidRDefault="00C4564E" w:rsidP="00C4564E">
      <w:pPr>
        <w:pStyle w:val="Textonotapie"/>
        <w:ind w:firstLine="709"/>
        <w:jc w:val="both"/>
        <w:rPr>
          <w:rFonts w:ascii="Verdana" w:hAnsi="Verdana"/>
          <w:sz w:val="14"/>
          <w:szCs w:val="14"/>
        </w:rPr>
      </w:pPr>
      <w:r w:rsidRPr="00ED0E86">
        <w:rPr>
          <w:rFonts w:ascii="Verdana" w:hAnsi="Verdana"/>
          <w:sz w:val="14"/>
          <w:szCs w:val="14"/>
        </w:rPr>
        <w:t>PARÁGRAFO. Los representantes de que tratan los literales d) y e) del presente artículo serán Médicos Veterinarios, o Médicos Veterinarios Zootecnistas o Zootecnistas, según el caso, titulados y matriculados.</w:t>
      </w:r>
    </w:p>
    <w:p w14:paraId="648E2CDD" w14:textId="77777777" w:rsidR="00C4564E" w:rsidRPr="00ED0E86" w:rsidRDefault="00C4564E" w:rsidP="00C4564E">
      <w:pPr>
        <w:pStyle w:val="Textonotapie"/>
        <w:ind w:firstLine="709"/>
        <w:jc w:val="both"/>
        <w:rPr>
          <w:rFonts w:ascii="Verdana" w:hAnsi="Verdana"/>
          <w:sz w:val="14"/>
          <w:szCs w:val="14"/>
        </w:rPr>
      </w:pPr>
    </w:p>
  </w:footnote>
  <w:footnote w:id="17">
    <w:p w14:paraId="3D5BF5A0" w14:textId="77777777" w:rsidR="00C4564E" w:rsidRPr="00ED0E86" w:rsidRDefault="00C4564E" w:rsidP="00C4564E">
      <w:pPr>
        <w:pStyle w:val="Textonotapie"/>
        <w:ind w:firstLine="709"/>
        <w:rPr>
          <w:rFonts w:ascii="Verdana" w:hAnsi="Verdana"/>
          <w:sz w:val="14"/>
          <w:szCs w:val="14"/>
        </w:rPr>
      </w:pPr>
      <w:r w:rsidRPr="00ED0E86">
        <w:rPr>
          <w:rStyle w:val="Refdenotaalpie"/>
          <w:rFonts w:ascii="Verdana" w:hAnsi="Verdana"/>
          <w:sz w:val="14"/>
          <w:szCs w:val="14"/>
        </w:rPr>
        <w:footnoteRef/>
      </w:r>
      <w:r w:rsidRPr="00ED0E86">
        <w:rPr>
          <w:rFonts w:ascii="Verdana" w:hAnsi="Verdana"/>
          <w:sz w:val="14"/>
          <w:szCs w:val="14"/>
        </w:rPr>
        <w:t xml:space="preserve"> Consejo de Estado. Sala de Servicio y Consulta Civil. Radicado: 11001-03-06-000-2014-0055-00 (2204). 5 de junio de 2014. C.P: Augusto Hernández Becerra. </w:t>
      </w:r>
    </w:p>
    <w:p w14:paraId="0BEABEB7" w14:textId="77777777" w:rsidR="00C4564E" w:rsidRPr="00ED0E86" w:rsidRDefault="00C4564E" w:rsidP="00C4564E">
      <w:pPr>
        <w:pStyle w:val="Textonotapie"/>
        <w:rPr>
          <w:rFonts w:ascii="Verdana" w:hAnsi="Verdana"/>
          <w:sz w:val="14"/>
          <w:szCs w:val="14"/>
        </w:rPr>
      </w:pPr>
    </w:p>
  </w:footnote>
  <w:footnote w:id="18">
    <w:p w14:paraId="47A31FD0" w14:textId="77777777" w:rsidR="00C4564E" w:rsidRPr="0019135B" w:rsidRDefault="00C4564E" w:rsidP="00C4564E">
      <w:pPr>
        <w:pStyle w:val="Textonotapie"/>
        <w:ind w:firstLine="709"/>
        <w:jc w:val="both"/>
        <w:rPr>
          <w:rFonts w:ascii="Verdana" w:hAnsi="Verdana"/>
          <w:sz w:val="14"/>
          <w:szCs w:val="14"/>
          <w:lang w:val="es-ES"/>
        </w:rPr>
      </w:pPr>
      <w:r w:rsidRPr="0019135B">
        <w:rPr>
          <w:rStyle w:val="Refdenotaalpie"/>
          <w:rFonts w:ascii="Verdana" w:hAnsi="Verdana"/>
          <w:sz w:val="14"/>
          <w:szCs w:val="14"/>
        </w:rPr>
        <w:footnoteRef/>
      </w:r>
      <w:r w:rsidRPr="0019135B">
        <w:rPr>
          <w:rFonts w:ascii="Verdana" w:hAnsi="Verdana"/>
          <w:sz w:val="14"/>
          <w:szCs w:val="14"/>
        </w:rPr>
        <w:t xml:space="preserve"> </w:t>
      </w:r>
      <w:r w:rsidRPr="0019135B">
        <w:rPr>
          <w:rFonts w:ascii="Verdana" w:hAnsi="Verdana"/>
          <w:sz w:val="14"/>
          <w:szCs w:val="14"/>
          <w:lang w:val="es-CO"/>
        </w:rPr>
        <w:t>“Por el cual se dictan normas generales para la reorganización y el funcionamiento de la Administración Nacional".</w:t>
      </w:r>
    </w:p>
  </w:footnote>
  <w:footnote w:id="19">
    <w:p w14:paraId="58084448" w14:textId="77777777" w:rsidR="00C4564E" w:rsidRPr="00DD7950" w:rsidRDefault="00C4564E" w:rsidP="00C4564E">
      <w:pPr>
        <w:pStyle w:val="Textonotapie"/>
        <w:ind w:firstLine="709"/>
        <w:rPr>
          <w:rFonts w:ascii="Verdana" w:hAnsi="Verdana"/>
          <w:sz w:val="14"/>
          <w:szCs w:val="14"/>
          <w:lang w:val="es-ES"/>
        </w:rPr>
      </w:pPr>
      <w:r w:rsidRPr="00DD7950">
        <w:rPr>
          <w:rStyle w:val="Refdenotaalpie"/>
          <w:rFonts w:ascii="Verdana" w:hAnsi="Verdana"/>
          <w:sz w:val="14"/>
          <w:szCs w:val="14"/>
        </w:rPr>
        <w:footnoteRef/>
      </w:r>
      <w:r w:rsidRPr="00DD7950">
        <w:rPr>
          <w:rFonts w:ascii="Verdana" w:hAnsi="Verdana"/>
          <w:sz w:val="14"/>
          <w:szCs w:val="14"/>
        </w:rPr>
        <w:t xml:space="preserve"> </w:t>
      </w:r>
      <w:r w:rsidRPr="00DD7950">
        <w:rPr>
          <w:rFonts w:ascii="Verdana" w:hAnsi="Verdana"/>
          <w:sz w:val="14"/>
          <w:szCs w:val="14"/>
          <w:lang w:val="es-ES"/>
        </w:rPr>
        <w:t xml:space="preserve">Corte Constitucional. Sentencia C-150 de 1994. M.P: Alejandro Martínez Caballero. </w:t>
      </w:r>
    </w:p>
    <w:p w14:paraId="50305034" w14:textId="77777777" w:rsidR="00C4564E" w:rsidRPr="00DD7950" w:rsidRDefault="00C4564E" w:rsidP="00C4564E">
      <w:pPr>
        <w:pStyle w:val="Textonotapie"/>
        <w:ind w:firstLine="709"/>
        <w:rPr>
          <w:rFonts w:ascii="Verdana" w:hAnsi="Verdana"/>
          <w:sz w:val="14"/>
          <w:szCs w:val="14"/>
          <w:lang w:val="es-ES"/>
        </w:rPr>
      </w:pPr>
    </w:p>
  </w:footnote>
  <w:footnote w:id="20">
    <w:p w14:paraId="6881B0C2" w14:textId="77777777" w:rsidR="00C4564E" w:rsidRPr="00C4564E" w:rsidRDefault="00C4564E" w:rsidP="00C4564E">
      <w:pPr>
        <w:pStyle w:val="Textonotapie"/>
        <w:ind w:firstLine="709"/>
        <w:rPr>
          <w:rFonts w:ascii="Verdana" w:hAnsi="Verdana"/>
          <w:sz w:val="14"/>
          <w:szCs w:val="14"/>
          <w:lang w:val="es-CO"/>
        </w:rPr>
      </w:pPr>
      <w:r w:rsidRPr="00DD7950">
        <w:rPr>
          <w:rStyle w:val="Refdenotaalpie"/>
          <w:rFonts w:ascii="Verdana" w:hAnsi="Verdana"/>
          <w:sz w:val="14"/>
          <w:szCs w:val="14"/>
        </w:rPr>
        <w:footnoteRef/>
      </w:r>
      <w:r w:rsidRPr="00DD7950">
        <w:rPr>
          <w:rFonts w:ascii="Verdana" w:hAnsi="Verdana"/>
          <w:sz w:val="14"/>
          <w:szCs w:val="14"/>
        </w:rPr>
        <w:t xml:space="preserve"> </w:t>
      </w:r>
      <w:r w:rsidRPr="00DD7950">
        <w:rPr>
          <w:rFonts w:ascii="Verdana" w:hAnsi="Verdana"/>
          <w:sz w:val="14"/>
          <w:szCs w:val="14"/>
          <w:lang w:val="es-ES"/>
        </w:rPr>
        <w:t xml:space="preserve">Corte Constitucional. Sentencia -177 de 2007. </w:t>
      </w:r>
      <w:r w:rsidRPr="00C4564E">
        <w:rPr>
          <w:rFonts w:ascii="Verdana" w:hAnsi="Verdana"/>
          <w:sz w:val="14"/>
          <w:szCs w:val="14"/>
          <w:lang w:val="es-CO"/>
        </w:rPr>
        <w:t xml:space="preserve">M.P: Humberto Sierra Porto. </w:t>
      </w:r>
    </w:p>
    <w:p w14:paraId="5266E275" w14:textId="77777777" w:rsidR="00C4564E" w:rsidRPr="00C4564E" w:rsidRDefault="00C4564E" w:rsidP="00C4564E">
      <w:pPr>
        <w:pStyle w:val="Textonotapie"/>
        <w:rPr>
          <w:lang w:val="es-CO"/>
        </w:rPr>
      </w:pPr>
    </w:p>
  </w:footnote>
  <w:footnote w:id="21">
    <w:p w14:paraId="500A967E" w14:textId="77777777" w:rsidR="00C4564E" w:rsidRPr="00ED0E86" w:rsidRDefault="00C4564E" w:rsidP="00C4564E">
      <w:pPr>
        <w:pStyle w:val="Textonotapie"/>
        <w:ind w:firstLine="709"/>
        <w:rPr>
          <w:rFonts w:ascii="Verdana" w:hAnsi="Verdana"/>
          <w:sz w:val="14"/>
          <w:szCs w:val="14"/>
        </w:rPr>
      </w:pPr>
      <w:r w:rsidRPr="00ED0E86">
        <w:rPr>
          <w:rStyle w:val="Refdenotaalpie"/>
          <w:rFonts w:ascii="Verdana" w:hAnsi="Verdana"/>
          <w:sz w:val="14"/>
          <w:szCs w:val="14"/>
        </w:rPr>
        <w:footnoteRef/>
      </w:r>
      <w:r w:rsidRPr="00ED0E86">
        <w:rPr>
          <w:rFonts w:ascii="Verdana" w:hAnsi="Verdana"/>
          <w:sz w:val="14"/>
          <w:szCs w:val="14"/>
        </w:rPr>
        <w:t xml:space="preserve"> Consejo de Estado. Sala de Servicio y Consulta Civil. Radicado: 11001-03-06-000-2014-0055-00 (2204). 5 de junio de 2014. C.P: Augusto Hernández Becerra. </w:t>
      </w:r>
    </w:p>
    <w:p w14:paraId="413C4082" w14:textId="77777777" w:rsidR="00C4564E" w:rsidRPr="00765B81" w:rsidRDefault="00C4564E" w:rsidP="00C4564E">
      <w:pPr>
        <w:pStyle w:val="Textonotapie"/>
      </w:pPr>
    </w:p>
    <w:p w14:paraId="3F8381CF" w14:textId="77777777" w:rsidR="00C4564E" w:rsidRPr="00ED0E86" w:rsidRDefault="00C4564E" w:rsidP="00C4564E">
      <w:pPr>
        <w:pStyle w:val="Textonotapie"/>
      </w:pPr>
    </w:p>
  </w:footnote>
  <w:footnote w:id="22">
    <w:p w14:paraId="442638F7" w14:textId="5231FD52" w:rsidR="00094623" w:rsidRPr="001952EB" w:rsidRDefault="00094623" w:rsidP="00D1049E">
      <w:pPr>
        <w:pStyle w:val="Textonotapie"/>
        <w:ind w:firstLine="709"/>
        <w:rPr>
          <w:rFonts w:ascii="Verdana" w:hAnsi="Verdana" w:cstheme="minorHAnsi"/>
          <w:sz w:val="14"/>
          <w:szCs w:val="14"/>
        </w:rPr>
      </w:pPr>
      <w:r w:rsidRPr="001952EB">
        <w:rPr>
          <w:rStyle w:val="Refdenotaalpie"/>
          <w:rFonts w:ascii="Verdana" w:hAnsi="Verdana" w:cstheme="minorHAnsi"/>
          <w:sz w:val="14"/>
          <w:szCs w:val="14"/>
        </w:rPr>
        <w:footnoteRef/>
      </w:r>
      <w:r w:rsidRPr="001952EB">
        <w:rPr>
          <w:rFonts w:ascii="Verdana" w:hAnsi="Verdana" w:cstheme="minorHAnsi"/>
          <w:sz w:val="14"/>
          <w:szCs w:val="14"/>
        </w:rPr>
        <w:t xml:space="preserve"> </w:t>
      </w:r>
      <w:r w:rsidR="00D1049E" w:rsidRPr="001952EB">
        <w:rPr>
          <w:rFonts w:ascii="Verdana" w:hAnsi="Verdana" w:cstheme="minorHAnsi"/>
          <w:sz w:val="14"/>
          <w:szCs w:val="14"/>
        </w:rPr>
        <w:t xml:space="preserve">Se pueden consultar en </w:t>
      </w:r>
      <w:hyperlink r:id="rId1" w:history="1">
        <w:r w:rsidR="00D1049E" w:rsidRPr="001952EB">
          <w:rPr>
            <w:rStyle w:val="Hipervnculo"/>
            <w:rFonts w:ascii="Verdana" w:hAnsi="Verdana" w:cstheme="minorHAnsi"/>
            <w:sz w:val="14"/>
            <w:szCs w:val="14"/>
            <w:lang w:val="es-CO"/>
          </w:rPr>
          <w:t>ACUERDO_NUMERO_469_de_Tramites_Iniciales.pdf</w:t>
        </w:r>
      </w:hyperlink>
    </w:p>
  </w:footnote>
  <w:footnote w:id="23">
    <w:p w14:paraId="60801454" w14:textId="77777777" w:rsidR="006175C6" w:rsidRPr="000E35C3" w:rsidRDefault="006175C6" w:rsidP="006175C6">
      <w:pPr>
        <w:pStyle w:val="Textonotapie"/>
        <w:ind w:firstLine="709"/>
        <w:jc w:val="both"/>
        <w:rPr>
          <w:rFonts w:ascii="Verdana" w:hAnsi="Verdana"/>
          <w:sz w:val="14"/>
          <w:szCs w:val="14"/>
        </w:rPr>
      </w:pPr>
      <w:r w:rsidRPr="000E35C3">
        <w:rPr>
          <w:rStyle w:val="Refdenotaalpie"/>
          <w:rFonts w:ascii="Verdana" w:hAnsi="Verdana"/>
          <w:sz w:val="14"/>
          <w:szCs w:val="14"/>
        </w:rPr>
        <w:footnoteRef/>
      </w:r>
      <w:r w:rsidRPr="000E35C3">
        <w:rPr>
          <w:rFonts w:ascii="Verdana" w:hAnsi="Verdana"/>
          <w:sz w:val="14"/>
          <w:szCs w:val="14"/>
        </w:rPr>
        <w:t xml:space="preserve"> Código Civil, art. 1741: “…Hay asimismo nulidad absoluta en los actos y contratos de las personas absolutamente incapaces…”.</w:t>
      </w:r>
    </w:p>
    <w:p w14:paraId="2C98BD7F" w14:textId="77777777" w:rsidR="006175C6" w:rsidRPr="000E35C3" w:rsidRDefault="006175C6" w:rsidP="006175C6">
      <w:pPr>
        <w:pStyle w:val="Textonotapie"/>
        <w:rPr>
          <w:sz w:val="14"/>
          <w:szCs w:val="14"/>
        </w:rPr>
      </w:pPr>
    </w:p>
  </w:footnote>
  <w:footnote w:id="24">
    <w:p w14:paraId="7AAA88F3" w14:textId="77777777" w:rsidR="006175C6" w:rsidRDefault="006175C6" w:rsidP="006175C6">
      <w:pPr>
        <w:pStyle w:val="Textonotapie"/>
        <w:ind w:firstLine="709"/>
        <w:jc w:val="both"/>
        <w:rPr>
          <w:rFonts w:ascii="Verdana" w:hAnsi="Verdana"/>
          <w:sz w:val="14"/>
          <w:szCs w:val="14"/>
          <w:lang w:val="es-ES"/>
        </w:rPr>
      </w:pPr>
      <w:r w:rsidRPr="000E35C3">
        <w:rPr>
          <w:rStyle w:val="Refdenotaalpie"/>
          <w:rFonts w:ascii="Verdana" w:hAnsi="Verdana"/>
          <w:sz w:val="14"/>
          <w:szCs w:val="14"/>
        </w:rPr>
        <w:footnoteRef/>
      </w:r>
      <w:r w:rsidRPr="000E35C3">
        <w:rPr>
          <w:rFonts w:ascii="Verdana" w:hAnsi="Verdana"/>
          <w:sz w:val="14"/>
          <w:szCs w:val="14"/>
        </w:rPr>
        <w:t xml:space="preserve"> </w:t>
      </w:r>
      <w:r w:rsidRPr="000E35C3">
        <w:rPr>
          <w:rFonts w:ascii="Verdana" w:hAnsi="Verdana"/>
          <w:sz w:val="14"/>
          <w:szCs w:val="14"/>
          <w:lang w:val="es-ES"/>
        </w:rPr>
        <w:t xml:space="preserve">De acuerdo con lo establecido en el parágrafo 1 del artículo 1 del Acuerdo 001 de 2022 expedida por el Ministerio de Industria y Comercio, el </w:t>
      </w:r>
      <w:r w:rsidRPr="000E35C3">
        <w:rPr>
          <w:rFonts w:ascii="Verdana" w:hAnsi="Verdana"/>
          <w:sz w:val="14"/>
          <w:szCs w:val="14"/>
          <w:lang w:val="es-ES"/>
        </w:rPr>
        <w:t xml:space="preserve">Ministro de Comercio, Industria y Comercio presidirá dicho Consejo. </w:t>
      </w:r>
    </w:p>
    <w:p w14:paraId="0D21C3ED" w14:textId="77777777" w:rsidR="00E825BC" w:rsidRPr="000E35C3" w:rsidRDefault="00E825BC" w:rsidP="006175C6">
      <w:pPr>
        <w:pStyle w:val="Textonotapie"/>
        <w:ind w:firstLine="709"/>
        <w:jc w:val="both"/>
        <w:rPr>
          <w:rFonts w:ascii="Verdana" w:hAnsi="Verdana"/>
          <w:sz w:val="14"/>
          <w:szCs w:val="14"/>
          <w:lang w:val="es-ES"/>
        </w:rPr>
      </w:pPr>
    </w:p>
  </w:footnote>
  <w:footnote w:id="25">
    <w:p w14:paraId="7B54CDFB" w14:textId="77777777" w:rsidR="006175C6" w:rsidRPr="00E4092E" w:rsidRDefault="006175C6" w:rsidP="006175C6">
      <w:pPr>
        <w:pStyle w:val="Textonotapie"/>
        <w:ind w:firstLine="709"/>
        <w:jc w:val="both"/>
        <w:rPr>
          <w:rFonts w:ascii="Verdana" w:hAnsi="Verdana"/>
          <w:sz w:val="14"/>
          <w:szCs w:val="14"/>
        </w:rPr>
      </w:pPr>
      <w:r w:rsidRPr="00E4092E">
        <w:rPr>
          <w:rStyle w:val="Refdenotaalpie"/>
          <w:rFonts w:ascii="Verdana" w:hAnsi="Verdana"/>
          <w:sz w:val="14"/>
          <w:szCs w:val="14"/>
        </w:rPr>
        <w:footnoteRef/>
      </w:r>
      <w:r w:rsidRPr="00E4092E">
        <w:rPr>
          <w:rFonts w:ascii="Verdana" w:hAnsi="Verdana"/>
          <w:sz w:val="14"/>
          <w:szCs w:val="14"/>
        </w:rPr>
        <w:t xml:space="preserve"> Un ejemplo de </w:t>
      </w:r>
      <w:r w:rsidRPr="00E4092E">
        <w:rPr>
          <w:rFonts w:ascii="Verdana" w:hAnsi="Verdana"/>
          <w:sz w:val="14"/>
          <w:szCs w:val="14"/>
        </w:rPr>
        <w:t>la misma es lo previsto en el artículo 842 del Código de Comercio que dispone:</w:t>
      </w:r>
    </w:p>
    <w:p w14:paraId="7F6F1230" w14:textId="77777777" w:rsidR="006175C6" w:rsidRPr="00E4092E" w:rsidRDefault="006175C6" w:rsidP="006175C6">
      <w:pPr>
        <w:ind w:right="20" w:firstLine="709"/>
        <w:jc w:val="both"/>
        <w:rPr>
          <w:rFonts w:ascii="Verdana" w:hAnsi="Verdana"/>
          <w:sz w:val="14"/>
          <w:szCs w:val="14"/>
        </w:rPr>
      </w:pPr>
      <w:r w:rsidRPr="00E4092E">
        <w:rPr>
          <w:rFonts w:ascii="Verdana" w:hAnsi="Verdana"/>
          <w:sz w:val="14"/>
          <w:szCs w:val="14"/>
        </w:rPr>
        <w:t>“Art. 842. Quien dé motivo a que se crea, conforme a las costumbres comerciales o por su culpa, que una persona está facultada para celebrar un negocio jurídico, quedará obligado en los términos pactados ante terceros de buena fe exenta de culpa”.</w:t>
      </w:r>
    </w:p>
  </w:footnote>
  <w:footnote w:id="26">
    <w:p w14:paraId="6319ACF4" w14:textId="77777777" w:rsidR="006175C6" w:rsidRPr="00E4092E" w:rsidRDefault="006175C6" w:rsidP="006175C6">
      <w:pPr>
        <w:pStyle w:val="Textonotapie"/>
        <w:ind w:firstLine="709"/>
        <w:jc w:val="both"/>
        <w:rPr>
          <w:rFonts w:ascii="Verdana" w:hAnsi="Verdana"/>
          <w:sz w:val="14"/>
          <w:szCs w:val="14"/>
        </w:rPr>
      </w:pPr>
      <w:r w:rsidRPr="00E4092E">
        <w:rPr>
          <w:rStyle w:val="Refdenotaalpie"/>
          <w:rFonts w:ascii="Verdana" w:hAnsi="Verdana"/>
          <w:sz w:val="14"/>
          <w:szCs w:val="14"/>
        </w:rPr>
        <w:footnoteRef/>
      </w:r>
      <w:r w:rsidRPr="00E4092E">
        <w:rPr>
          <w:rFonts w:ascii="Verdana" w:hAnsi="Verdana"/>
          <w:sz w:val="14"/>
          <w:szCs w:val="14"/>
        </w:rPr>
        <w:t xml:space="preserve"> La doctrina española al explicar la teoría del acto </w:t>
      </w:r>
      <w:r w:rsidRPr="00E4092E">
        <w:rPr>
          <w:rFonts w:ascii="Verdana" w:hAnsi="Verdana"/>
          <w:sz w:val="14"/>
          <w:szCs w:val="14"/>
        </w:rPr>
        <w:t xml:space="preserve">propio, expone como una de las características de la misma que “el comportamiento que tiene fuerza vinculante debe ser inequívoco, claro y concluyente </w:t>
      </w:r>
      <w:r w:rsidRPr="00E4092E">
        <w:rPr>
          <w:rFonts w:ascii="Verdana" w:hAnsi="Verdana"/>
          <w:i/>
          <w:sz w:val="14"/>
          <w:szCs w:val="14"/>
        </w:rPr>
        <w:t>‘facta concludentia’</w:t>
      </w:r>
      <w:r w:rsidRPr="00E4092E">
        <w:rPr>
          <w:rFonts w:ascii="Verdana" w:hAnsi="Verdana"/>
          <w:sz w:val="14"/>
          <w:szCs w:val="14"/>
        </w:rPr>
        <w:t xml:space="preserve">. No basta con crear una apariencia de la que se infiera una presunción o una hipótesis de probabilidad. El significado de la conducta debe ser indubitado; la actuación que puede ser objeto de varias interpretaciones no tiene esa misma fuerza de obligar, que no puede residenciarse en la percepción subjetiva de terceros (…) la conducta debe ser objetivamente interpretada. Lo importante no es la percepción sicológica sino que se trate de un comportamiento socialmente estandarizado o una conducta socialmente típica…”. Blanquer David, Curso de Derecho Administrativo, Tomo III. Ediciones Tirant lo Blanch. Valencia, 2006. Pág. 110. </w:t>
      </w:r>
    </w:p>
    <w:p w14:paraId="6B0CEDAC" w14:textId="77777777" w:rsidR="006175C6" w:rsidRPr="00E4092E" w:rsidRDefault="006175C6" w:rsidP="006175C6">
      <w:pPr>
        <w:pStyle w:val="Textonotapie"/>
        <w:rPr>
          <w:lang w:val="es-ES"/>
        </w:rPr>
      </w:pPr>
    </w:p>
  </w:footnote>
  <w:footnote w:id="27">
    <w:p w14:paraId="451F35C3" w14:textId="77777777" w:rsidR="00F11D0E" w:rsidRPr="00676106" w:rsidRDefault="00F11D0E" w:rsidP="00F11D0E">
      <w:pPr>
        <w:pStyle w:val="Textonotapie"/>
        <w:ind w:firstLine="709"/>
        <w:jc w:val="both"/>
        <w:rPr>
          <w:rFonts w:ascii="Verdana" w:hAnsi="Verdana" w:cs="Arial"/>
          <w:sz w:val="14"/>
          <w:szCs w:val="14"/>
        </w:rPr>
      </w:pPr>
      <w:r w:rsidRPr="00676106">
        <w:rPr>
          <w:rStyle w:val="Refdenotaalpie"/>
          <w:rFonts w:ascii="Verdana" w:hAnsi="Verdana" w:cs="Arial"/>
          <w:sz w:val="14"/>
          <w:szCs w:val="14"/>
        </w:rPr>
        <w:footnoteRef/>
      </w:r>
      <w:r w:rsidRPr="00676106">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95E613D" w14:textId="77777777" w:rsidR="00F11D0E" w:rsidRDefault="00F11D0E" w:rsidP="00F11D0E">
      <w:pPr>
        <w:pStyle w:val="Textonotapie"/>
        <w:ind w:firstLine="709"/>
        <w:jc w:val="both"/>
        <w:rPr>
          <w:rFonts w:ascii="Verdana" w:hAnsi="Verdana" w:cs="Arial"/>
          <w:sz w:val="14"/>
          <w:szCs w:val="14"/>
        </w:rPr>
      </w:pPr>
      <w:r w:rsidRPr="00676106">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14C5547A" w14:textId="77777777" w:rsidR="00F11D0E" w:rsidRPr="00676106" w:rsidRDefault="00F11D0E" w:rsidP="00F11D0E">
      <w:pPr>
        <w:pStyle w:val="Textonotapie"/>
        <w:ind w:firstLine="709"/>
        <w:jc w:val="both"/>
        <w:rPr>
          <w:rFonts w:ascii="Verdana" w:hAnsi="Verdana" w:cs="Arial"/>
          <w:sz w:val="14"/>
          <w:szCs w:val="14"/>
        </w:rPr>
      </w:pPr>
    </w:p>
  </w:footnote>
  <w:footnote w:id="28">
    <w:p w14:paraId="714694B3" w14:textId="77777777" w:rsidR="00F11D0E" w:rsidRDefault="00F11D0E" w:rsidP="00F11D0E">
      <w:pPr>
        <w:pStyle w:val="Textonotapie"/>
        <w:ind w:firstLine="709"/>
        <w:rPr>
          <w:rFonts w:ascii="Verdana" w:hAnsi="Verdana" w:cs="Arial"/>
          <w:sz w:val="14"/>
          <w:szCs w:val="14"/>
        </w:rPr>
      </w:pPr>
      <w:r w:rsidRPr="003E638E">
        <w:rPr>
          <w:rStyle w:val="Refdenotaalpie"/>
          <w:rFonts w:ascii="Verdana" w:hAnsi="Verdana" w:cs="Arial"/>
          <w:sz w:val="14"/>
          <w:szCs w:val="14"/>
        </w:rPr>
        <w:footnoteRef/>
      </w:r>
      <w:r w:rsidRPr="003E638E">
        <w:rPr>
          <w:rFonts w:ascii="Verdana" w:hAnsi="Verdana" w:cs="Arial"/>
          <w:sz w:val="14"/>
          <w:szCs w:val="14"/>
        </w:rPr>
        <w:t xml:space="preserve"> Gaceta del Congreso de la República No. 71 del 2005.</w:t>
      </w:r>
    </w:p>
    <w:p w14:paraId="3BC382B3" w14:textId="77777777" w:rsidR="00F11D0E" w:rsidRPr="003E638E" w:rsidRDefault="00F11D0E" w:rsidP="00F11D0E">
      <w:pPr>
        <w:pStyle w:val="Textonotapie"/>
        <w:ind w:firstLine="709"/>
        <w:rPr>
          <w:rFonts w:ascii="Verdana" w:hAnsi="Verdana" w:cs="Arial"/>
          <w:sz w:val="14"/>
          <w:szCs w:val="14"/>
        </w:rPr>
      </w:pPr>
    </w:p>
  </w:footnote>
  <w:footnote w:id="29">
    <w:p w14:paraId="5679E79D" w14:textId="0ED93C6D" w:rsidR="00F11D0E" w:rsidRPr="003E638E" w:rsidRDefault="00F11D0E" w:rsidP="00F11D0E">
      <w:pPr>
        <w:pStyle w:val="Textonotapie"/>
        <w:ind w:firstLine="709"/>
        <w:rPr>
          <w:rFonts w:ascii="Verdana" w:hAnsi="Verdana" w:cs="Arial"/>
          <w:sz w:val="14"/>
          <w:szCs w:val="14"/>
        </w:rPr>
      </w:pPr>
      <w:r w:rsidRPr="003E638E">
        <w:rPr>
          <w:rStyle w:val="Refdenotaalpie"/>
          <w:rFonts w:ascii="Verdana" w:hAnsi="Verdana" w:cs="Arial"/>
          <w:sz w:val="14"/>
          <w:szCs w:val="14"/>
        </w:rPr>
        <w:footnoteRef/>
      </w:r>
      <w:r w:rsidRPr="003E638E">
        <w:rPr>
          <w:rFonts w:ascii="Verdana" w:hAnsi="Verdana" w:cs="Arial"/>
          <w:sz w:val="14"/>
          <w:szCs w:val="14"/>
        </w:rPr>
        <w:t xml:space="preserve"> Corte Constitucional, Sentencia C- 1153 de 2005</w:t>
      </w:r>
      <w:r w:rsidR="00C419D1">
        <w:rPr>
          <w:rFonts w:ascii="Verdana" w:hAnsi="Verdana" w:cs="Arial"/>
          <w:sz w:val="14"/>
          <w:szCs w:val="14"/>
        </w:rPr>
        <w:t>.</w:t>
      </w:r>
      <w:r w:rsidRPr="003E638E">
        <w:rPr>
          <w:rFonts w:ascii="Verdana" w:hAnsi="Verdana" w:cs="Arial"/>
          <w:sz w:val="14"/>
          <w:szCs w:val="14"/>
        </w:rPr>
        <w:t xml:space="preserve"> M.P. Marco Gerardo Monroy Cabra.</w:t>
      </w:r>
    </w:p>
  </w:footnote>
  <w:footnote w:id="30">
    <w:p w14:paraId="1DB76308" w14:textId="77777777" w:rsidR="00F11D0E" w:rsidRPr="00507686" w:rsidRDefault="00F11D0E" w:rsidP="00F11D0E">
      <w:pPr>
        <w:pStyle w:val="Textonotapie"/>
        <w:ind w:firstLine="709"/>
        <w:jc w:val="both"/>
        <w:rPr>
          <w:rFonts w:ascii="Verdana" w:hAnsi="Verdana" w:cs="Arial"/>
          <w:sz w:val="14"/>
          <w:szCs w:val="14"/>
          <w:lang w:val="es-CO"/>
        </w:rPr>
      </w:pPr>
      <w:r w:rsidRPr="003E638E">
        <w:rPr>
          <w:rStyle w:val="Refdenotaalpie"/>
          <w:rFonts w:ascii="Verdana" w:hAnsi="Verdana" w:cs="Arial"/>
          <w:sz w:val="14"/>
          <w:szCs w:val="14"/>
        </w:rPr>
        <w:footnoteRef/>
      </w:r>
      <w:r w:rsidRPr="003E638E">
        <w:rPr>
          <w:rFonts w:ascii="Verdana" w:hAnsi="Verdana" w:cs="Arial"/>
          <w:sz w:val="14"/>
          <w:szCs w:val="14"/>
        </w:rPr>
        <w:t xml:space="preserve"> </w:t>
      </w:r>
      <w:r w:rsidRPr="00507686">
        <w:rPr>
          <w:rFonts w:ascii="Verdana" w:hAnsi="Verdana" w:cs="Arial"/>
          <w:sz w:val="14"/>
          <w:szCs w:val="14"/>
          <w:lang w:val="es-CO"/>
        </w:rPr>
        <w:t>Corte Constitucional. Sentencias: C-233 de 4 de abril de 2002. M.P: Álvaro Tafur Galvis; C-551 de 9 de julio de 2003</w:t>
      </w:r>
      <w:r>
        <w:rPr>
          <w:rFonts w:ascii="Verdana" w:hAnsi="Verdana" w:cs="Arial"/>
          <w:sz w:val="14"/>
          <w:szCs w:val="14"/>
          <w:lang w:val="es-CO"/>
        </w:rPr>
        <w:t>. M.P: Eduardo Montealegre Lynnet</w:t>
      </w:r>
      <w:r w:rsidRPr="00507686">
        <w:rPr>
          <w:rFonts w:ascii="Verdana" w:hAnsi="Verdana" w:cs="Arial"/>
          <w:sz w:val="14"/>
          <w:szCs w:val="14"/>
          <w:lang w:val="es-CO"/>
        </w:rPr>
        <w:t>; C-353 de 20 de mayo de 2009</w:t>
      </w:r>
      <w:r>
        <w:rPr>
          <w:rFonts w:ascii="Verdana" w:hAnsi="Verdana" w:cs="Arial"/>
          <w:sz w:val="14"/>
          <w:szCs w:val="14"/>
          <w:lang w:val="es-CO"/>
        </w:rPr>
        <w:t xml:space="preserve">. M.P: Jorge Iván Palacio Palacio; </w:t>
      </w:r>
      <w:r w:rsidRPr="00507686">
        <w:rPr>
          <w:rFonts w:ascii="Verdana" w:hAnsi="Verdana" w:cs="Arial"/>
          <w:sz w:val="14"/>
          <w:szCs w:val="14"/>
          <w:lang w:val="es-CO"/>
        </w:rPr>
        <w:t>C-541 de 30 de junio de 2010</w:t>
      </w:r>
      <w:r>
        <w:rPr>
          <w:rFonts w:ascii="Verdana" w:hAnsi="Verdana" w:cs="Arial"/>
          <w:sz w:val="14"/>
          <w:szCs w:val="14"/>
          <w:lang w:val="es-CO"/>
        </w:rPr>
        <w:t>. M.P: Gabriel Eduardo Mendoza Martelo</w:t>
      </w:r>
      <w:r w:rsidRPr="00507686">
        <w:rPr>
          <w:rFonts w:ascii="Verdana" w:hAnsi="Verdana" w:cs="Arial"/>
          <w:sz w:val="14"/>
          <w:szCs w:val="14"/>
          <w:lang w:val="es-CO"/>
        </w:rPr>
        <w:t>; entre otras.</w:t>
      </w:r>
    </w:p>
    <w:p w14:paraId="1F5EDA16" w14:textId="77777777" w:rsidR="00F11D0E" w:rsidRPr="003E638E" w:rsidRDefault="00F11D0E" w:rsidP="00F11D0E">
      <w:pPr>
        <w:pStyle w:val="Textonotapie"/>
        <w:ind w:firstLine="709"/>
        <w:jc w:val="both"/>
        <w:rPr>
          <w:rFonts w:ascii="Verdana" w:hAnsi="Verdana" w:cs="Arial"/>
          <w:sz w:val="14"/>
          <w:szCs w:val="14"/>
        </w:rPr>
      </w:pPr>
    </w:p>
  </w:footnote>
  <w:footnote w:id="31">
    <w:p w14:paraId="14E14FF7" w14:textId="77777777" w:rsidR="00F11D0E" w:rsidRDefault="00F11D0E" w:rsidP="00F11D0E">
      <w:pPr>
        <w:pStyle w:val="Textonotapie"/>
        <w:ind w:firstLine="709"/>
        <w:jc w:val="both"/>
        <w:rPr>
          <w:rFonts w:ascii="Verdana" w:hAnsi="Verdana" w:cs="Arial"/>
          <w:sz w:val="14"/>
          <w:szCs w:val="14"/>
          <w:lang w:val="es-CO"/>
        </w:rPr>
      </w:pPr>
      <w:r w:rsidRPr="003E638E">
        <w:rPr>
          <w:rStyle w:val="Refdenotaalpie"/>
          <w:rFonts w:ascii="Verdana" w:hAnsi="Verdana" w:cs="Arial"/>
          <w:sz w:val="14"/>
          <w:szCs w:val="14"/>
        </w:rPr>
        <w:footnoteRef/>
      </w:r>
      <w:r w:rsidRPr="003E638E">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22C585A2" w14:textId="77777777" w:rsidR="00F11D0E" w:rsidRPr="003E638E" w:rsidRDefault="00F11D0E" w:rsidP="00F11D0E">
      <w:pPr>
        <w:pStyle w:val="Textonotapie"/>
        <w:ind w:firstLine="709"/>
        <w:jc w:val="both"/>
        <w:rPr>
          <w:rFonts w:ascii="Verdana" w:hAnsi="Verdana" w:cs="Arial"/>
          <w:sz w:val="14"/>
          <w:szCs w:val="14"/>
          <w:lang w:val="es-CO"/>
        </w:rPr>
      </w:pPr>
    </w:p>
  </w:footnote>
  <w:footnote w:id="32">
    <w:p w14:paraId="0EA45599" w14:textId="60769B65" w:rsidR="00F11D0E" w:rsidRPr="003E638E" w:rsidRDefault="00F11D0E" w:rsidP="00F11D0E">
      <w:pPr>
        <w:pStyle w:val="Textonotapie"/>
        <w:ind w:firstLine="709"/>
        <w:jc w:val="both"/>
        <w:rPr>
          <w:rFonts w:ascii="Verdana" w:hAnsi="Verdana" w:cs="Arial"/>
          <w:sz w:val="14"/>
          <w:szCs w:val="14"/>
        </w:rPr>
      </w:pPr>
      <w:r w:rsidRPr="003E638E">
        <w:rPr>
          <w:rStyle w:val="Refdenotaalpie"/>
          <w:rFonts w:ascii="Verdana" w:hAnsi="Verdana" w:cs="Arial"/>
          <w:sz w:val="14"/>
          <w:szCs w:val="14"/>
        </w:rPr>
        <w:footnoteRef/>
      </w:r>
      <w:r w:rsidRPr="003E638E">
        <w:rPr>
          <w:rFonts w:ascii="Verdana" w:hAnsi="Verdana" w:cs="Arial"/>
          <w:sz w:val="14"/>
          <w:szCs w:val="14"/>
        </w:rPr>
        <w:t xml:space="preserve"> Consejo de Estado, Sala de Consulta y Servicio Civil de fecha 24 de julio de 2013, radicado 2166</w:t>
      </w:r>
      <w:r w:rsidR="00C419D1">
        <w:rPr>
          <w:rFonts w:ascii="Verdana" w:hAnsi="Verdana" w:cs="Arial"/>
          <w:sz w:val="14"/>
          <w:szCs w:val="14"/>
        </w:rPr>
        <w:t>.</w:t>
      </w:r>
      <w:r w:rsidRPr="003E638E">
        <w:rPr>
          <w:rFonts w:ascii="Verdana" w:hAnsi="Verdana" w:cs="Arial"/>
          <w:sz w:val="14"/>
          <w:szCs w:val="14"/>
        </w:rPr>
        <w:t xml:space="preserve"> C</w:t>
      </w:r>
      <w:r w:rsidR="00C419D1">
        <w:rPr>
          <w:rFonts w:ascii="Verdana" w:hAnsi="Verdana" w:cs="Arial"/>
          <w:sz w:val="14"/>
          <w:szCs w:val="14"/>
        </w:rPr>
        <w:t>.</w:t>
      </w:r>
      <w:r w:rsidRPr="003E638E">
        <w:rPr>
          <w:rFonts w:ascii="Verdana" w:hAnsi="Verdana" w:cs="Arial"/>
          <w:sz w:val="14"/>
          <w:szCs w:val="14"/>
        </w:rPr>
        <w:t xml:space="preserve">P: Álvaro Namén Vargas.  </w:t>
      </w:r>
    </w:p>
  </w:footnote>
  <w:footnote w:id="33">
    <w:p w14:paraId="51747578" w14:textId="77777777" w:rsidR="00F11D0E" w:rsidRDefault="00F11D0E" w:rsidP="00F11D0E">
      <w:pPr>
        <w:spacing w:after="0" w:line="240" w:lineRule="auto"/>
        <w:ind w:firstLine="709"/>
        <w:jc w:val="both"/>
        <w:rPr>
          <w:rFonts w:ascii="Verdana" w:eastAsia="Times New Roman" w:hAnsi="Verdana" w:cs="Arial"/>
          <w:sz w:val="14"/>
          <w:szCs w:val="14"/>
        </w:rPr>
      </w:pPr>
      <w:r w:rsidRPr="003E638E">
        <w:rPr>
          <w:rStyle w:val="Refdenotaalpie"/>
          <w:rFonts w:ascii="Verdana" w:hAnsi="Verdana" w:cs="Arial"/>
          <w:sz w:val="14"/>
          <w:szCs w:val="14"/>
        </w:rPr>
        <w:footnoteRef/>
      </w:r>
      <w:r w:rsidRPr="003E638E">
        <w:rPr>
          <w:rFonts w:ascii="Verdana" w:hAnsi="Verdana" w:cs="Arial"/>
          <w:sz w:val="14"/>
          <w:szCs w:val="14"/>
        </w:rPr>
        <w:t xml:space="preserve"> </w:t>
      </w:r>
      <w:bookmarkStart w:id="12" w:name="33"/>
      <w:r w:rsidRPr="003E638E">
        <w:rPr>
          <w:rFonts w:ascii="Verdana" w:eastAsia="Times New Roman" w:hAnsi="Verdana" w:cs="Arial"/>
          <w:sz w:val="14"/>
          <w:szCs w:val="14"/>
        </w:rPr>
        <w:t>Artículo 33. Restricciones a la contratación pública.</w:t>
      </w:r>
      <w:bookmarkEnd w:id="12"/>
      <w:r w:rsidRPr="003E638E">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7BCB60D8" w14:textId="77777777" w:rsidR="00F11D0E" w:rsidRPr="003E638E" w:rsidRDefault="00F11D0E" w:rsidP="00F11D0E">
      <w:pPr>
        <w:spacing w:after="0" w:line="240" w:lineRule="auto"/>
        <w:ind w:firstLine="709"/>
        <w:jc w:val="both"/>
        <w:rPr>
          <w:rFonts w:ascii="Verdana" w:eastAsia="Times New Roman" w:hAnsi="Verdana" w:cs="Arial"/>
          <w:sz w:val="14"/>
          <w:szCs w:val="14"/>
        </w:rPr>
      </w:pPr>
    </w:p>
    <w:p w14:paraId="444F4005" w14:textId="77777777" w:rsidR="00F11D0E" w:rsidRDefault="00F11D0E" w:rsidP="00F11D0E">
      <w:pPr>
        <w:spacing w:after="0" w:line="240" w:lineRule="auto"/>
        <w:ind w:firstLine="709"/>
        <w:jc w:val="both"/>
        <w:rPr>
          <w:rFonts w:ascii="Verdana" w:eastAsia="Times New Roman" w:hAnsi="Verdana" w:cs="Arial"/>
          <w:sz w:val="14"/>
          <w:szCs w:val="14"/>
        </w:rPr>
      </w:pPr>
      <w:r w:rsidRPr="003E638E">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F57DBE8" w14:textId="77777777" w:rsidR="00F11D0E" w:rsidRPr="003E638E" w:rsidRDefault="00F11D0E" w:rsidP="00F11D0E">
      <w:pPr>
        <w:spacing w:after="0" w:line="240" w:lineRule="auto"/>
        <w:ind w:firstLine="709"/>
        <w:jc w:val="both"/>
        <w:rPr>
          <w:rFonts w:ascii="Verdana" w:eastAsia="Times New Roman" w:hAnsi="Verdana" w:cs="Arial"/>
          <w:sz w:val="14"/>
          <w:szCs w:val="14"/>
        </w:rPr>
      </w:pPr>
    </w:p>
  </w:footnote>
  <w:footnote w:id="34">
    <w:p w14:paraId="589C0FD2" w14:textId="77777777" w:rsidR="00F11D0E" w:rsidRPr="003E638E" w:rsidRDefault="00F11D0E" w:rsidP="00F11D0E">
      <w:pPr>
        <w:pStyle w:val="NormalWeb"/>
        <w:spacing w:before="0" w:beforeAutospacing="0" w:after="0" w:afterAutospacing="0"/>
        <w:ind w:firstLine="709"/>
        <w:jc w:val="both"/>
        <w:rPr>
          <w:rFonts w:ascii="Verdana" w:hAnsi="Verdana" w:cs="Arial"/>
          <w:sz w:val="14"/>
          <w:szCs w:val="14"/>
          <w:lang w:val="es-MX"/>
        </w:rPr>
      </w:pPr>
      <w:r w:rsidRPr="003E638E">
        <w:rPr>
          <w:rStyle w:val="Refdenotaalpie"/>
          <w:rFonts w:ascii="Verdana" w:hAnsi="Verdana" w:cs="Arial"/>
          <w:sz w:val="14"/>
          <w:szCs w:val="14"/>
        </w:rPr>
        <w:footnoteRef/>
      </w:r>
      <w:r w:rsidRPr="003E638E">
        <w:rPr>
          <w:rFonts w:ascii="Verdana" w:hAnsi="Verdana" w:cs="Arial"/>
          <w:sz w:val="14"/>
          <w:szCs w:val="14"/>
        </w:rPr>
        <w:t xml:space="preserve"> </w:t>
      </w:r>
      <w:bookmarkStart w:id="13" w:name="38"/>
      <w:r w:rsidRPr="003E638E">
        <w:rPr>
          <w:rFonts w:ascii="Verdana" w:eastAsia="Calibri" w:hAnsi="Verdana" w:cs="Arial"/>
          <w:bCs/>
          <w:color w:val="000000"/>
          <w:sz w:val="14"/>
          <w:szCs w:val="14"/>
        </w:rPr>
        <w:t>«</w:t>
      </w:r>
      <w:r w:rsidRPr="003E638E">
        <w:rPr>
          <w:rFonts w:ascii="Verdana" w:hAnsi="Verdana" w:cs="Arial"/>
          <w:sz w:val="14"/>
          <w:szCs w:val="14"/>
          <w:lang w:val="es-MX"/>
        </w:rPr>
        <w:t>Artículo 38. Prohibiciones para los servidores públicos. A los empleados del Estado les está prohibido:</w:t>
      </w:r>
      <w:bookmarkEnd w:id="13"/>
    </w:p>
    <w:p w14:paraId="7617E27F" w14:textId="77777777" w:rsidR="00F11D0E" w:rsidRPr="003E638E" w:rsidRDefault="00F11D0E" w:rsidP="00F11D0E">
      <w:pPr>
        <w:pStyle w:val="NormalWeb"/>
        <w:spacing w:before="0" w:beforeAutospacing="0" w:after="0" w:afterAutospacing="0"/>
        <w:ind w:firstLine="709"/>
        <w:jc w:val="both"/>
        <w:rPr>
          <w:rFonts w:ascii="Verdana" w:hAnsi="Verdana" w:cs="Arial"/>
          <w:sz w:val="14"/>
          <w:szCs w:val="14"/>
          <w:lang w:val="es-MX"/>
        </w:rPr>
      </w:pPr>
      <w:r w:rsidRPr="003E638E">
        <w:rPr>
          <w:rFonts w:ascii="Verdana" w:hAnsi="Verdana" w:cs="Arial"/>
          <w:sz w:val="14"/>
          <w:szCs w:val="14"/>
          <w:lang w:val="es-MX"/>
        </w:rPr>
        <w:t>[…]</w:t>
      </w:r>
    </w:p>
    <w:p w14:paraId="0D5921F8" w14:textId="77777777" w:rsidR="00F11D0E" w:rsidRPr="003E638E" w:rsidRDefault="00F11D0E" w:rsidP="00F11D0E">
      <w:pPr>
        <w:pStyle w:val="NormalWeb"/>
        <w:spacing w:before="0" w:beforeAutospacing="0" w:after="0" w:afterAutospacing="0"/>
        <w:ind w:firstLine="709"/>
        <w:jc w:val="both"/>
        <w:rPr>
          <w:rFonts w:ascii="Verdana" w:hAnsi="Verdana" w:cs="Arial"/>
          <w:sz w:val="14"/>
          <w:szCs w:val="14"/>
          <w:lang w:val="es-MX"/>
        </w:rPr>
      </w:pPr>
      <w:r w:rsidRPr="003E638E">
        <w:rPr>
          <w:rStyle w:val="baj"/>
          <w:rFonts w:ascii="Verdana" w:eastAsia="Arial" w:hAnsi="Verdana"/>
          <w:sz w:val="14"/>
          <w:szCs w:val="14"/>
          <w:lang w:val="es-MX"/>
        </w:rPr>
        <w:t>Parágrafo.</w:t>
      </w:r>
      <w:r w:rsidRPr="003E638E">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35">
    <w:p w14:paraId="2F78D613" w14:textId="48EA821A" w:rsidR="00F11D0E" w:rsidRDefault="00F11D0E" w:rsidP="0099784C">
      <w:pPr>
        <w:spacing w:after="0" w:line="240" w:lineRule="auto"/>
        <w:ind w:left="100" w:right="244" w:firstLine="709"/>
        <w:jc w:val="both"/>
        <w:rPr>
          <w:rFonts w:ascii="Verdana" w:hAnsi="Verdana" w:cs="Arial"/>
          <w:sz w:val="14"/>
          <w:szCs w:val="14"/>
        </w:rPr>
      </w:pPr>
      <w:r w:rsidRPr="003E638E">
        <w:rPr>
          <w:rStyle w:val="Refdenotaalpie"/>
          <w:rFonts w:ascii="Verdana" w:hAnsi="Verdana" w:cs="Arial"/>
          <w:sz w:val="14"/>
          <w:szCs w:val="14"/>
        </w:rPr>
        <w:footnoteRef/>
      </w:r>
      <w:r w:rsidRPr="003E638E">
        <w:rPr>
          <w:rFonts w:ascii="Verdana" w:hAnsi="Verdana" w:cs="Arial"/>
          <w:sz w:val="14"/>
          <w:szCs w:val="14"/>
        </w:rPr>
        <w:t xml:space="preserve"> Consejo de Estado. Sala de Consulta y Servicio Civil. Concepto del 17 de febrero de 2015. Radicación No.</w:t>
      </w:r>
      <w:r w:rsidR="0099784C">
        <w:rPr>
          <w:rFonts w:ascii="Verdana" w:hAnsi="Verdana" w:cs="Arial"/>
          <w:sz w:val="14"/>
          <w:szCs w:val="14"/>
        </w:rPr>
        <w:t xml:space="preserve"> </w:t>
      </w:r>
      <w:r w:rsidRPr="003E638E">
        <w:rPr>
          <w:rFonts w:ascii="Verdana" w:hAnsi="Verdana" w:cs="Arial"/>
          <w:sz w:val="14"/>
          <w:szCs w:val="14"/>
        </w:rPr>
        <w:t>11001-03-06-000-2015-00164-00</w:t>
      </w:r>
      <w:r w:rsidR="0099784C">
        <w:rPr>
          <w:rFonts w:ascii="Verdana" w:hAnsi="Verdana" w:cs="Arial"/>
          <w:sz w:val="14"/>
          <w:szCs w:val="14"/>
        </w:rPr>
        <w:t xml:space="preserve"> </w:t>
      </w:r>
      <w:r w:rsidRPr="003E638E">
        <w:rPr>
          <w:rFonts w:ascii="Verdana" w:hAnsi="Verdana" w:cs="Arial"/>
          <w:sz w:val="14"/>
          <w:szCs w:val="14"/>
        </w:rPr>
        <w:t>(2269).</w:t>
      </w:r>
      <w:r w:rsidR="0099784C">
        <w:rPr>
          <w:rFonts w:ascii="Verdana" w:hAnsi="Verdana" w:cs="Arial"/>
          <w:sz w:val="14"/>
          <w:szCs w:val="14"/>
        </w:rPr>
        <w:t xml:space="preserve"> </w:t>
      </w:r>
      <w:r w:rsidR="0099784C" w:rsidRPr="003E638E">
        <w:rPr>
          <w:rFonts w:ascii="Verdana" w:hAnsi="Verdana" w:cs="Arial"/>
          <w:sz w:val="14"/>
          <w:szCs w:val="14"/>
        </w:rPr>
        <w:t>C.P. William Zambrano Cetina</w:t>
      </w:r>
      <w:r w:rsidR="0099784C">
        <w:rPr>
          <w:rFonts w:ascii="Verdana" w:hAnsi="Verdana" w:cs="Arial"/>
          <w:sz w:val="14"/>
          <w:szCs w:val="14"/>
        </w:rPr>
        <w:t>.</w:t>
      </w:r>
    </w:p>
    <w:p w14:paraId="4A9BCE78" w14:textId="77777777" w:rsidR="0099784C" w:rsidRPr="003E638E" w:rsidRDefault="0099784C" w:rsidP="0099784C">
      <w:pPr>
        <w:spacing w:after="0" w:line="240" w:lineRule="auto"/>
        <w:ind w:left="100" w:right="244" w:firstLine="709"/>
        <w:jc w:val="both"/>
        <w:rPr>
          <w:rFonts w:ascii="Verdana" w:hAnsi="Verdana" w:cs="Arial"/>
          <w:sz w:val="14"/>
          <w:szCs w:val="14"/>
          <w:lang w:val="es-ES"/>
        </w:rPr>
      </w:pPr>
    </w:p>
  </w:footnote>
  <w:footnote w:id="36">
    <w:p w14:paraId="49B96C78" w14:textId="77777777" w:rsidR="00F11D0E" w:rsidRDefault="00F11D0E" w:rsidP="0099784C">
      <w:pPr>
        <w:pStyle w:val="Textonotapie"/>
        <w:ind w:right="51" w:firstLine="709"/>
        <w:jc w:val="both"/>
        <w:rPr>
          <w:rFonts w:ascii="Verdana" w:hAnsi="Verdana" w:cs="Arial"/>
          <w:sz w:val="14"/>
          <w:szCs w:val="14"/>
        </w:rPr>
      </w:pPr>
      <w:r w:rsidRPr="00C8410A">
        <w:rPr>
          <w:rStyle w:val="Refdenotaalpie"/>
          <w:rFonts w:ascii="Verdana" w:hAnsi="Verdana" w:cs="Arial"/>
          <w:sz w:val="14"/>
          <w:szCs w:val="14"/>
        </w:rPr>
        <w:footnoteRef/>
      </w:r>
      <w:r w:rsidRPr="00C8410A">
        <w:rPr>
          <w:rFonts w:ascii="Verdana" w:hAnsi="Verdana" w:cs="Arial"/>
          <w:sz w:val="14"/>
          <w:szCs w:val="14"/>
        </w:rPr>
        <w:t xml:space="preserve"> </w:t>
      </w:r>
      <w:r w:rsidRPr="00C8410A">
        <w:rPr>
          <w:rFonts w:ascii="Verdana" w:hAnsi="Verdana" w:cs="Arial"/>
          <w:sz w:val="14"/>
          <w:szCs w:val="14"/>
          <w:lang w:val="es-ES"/>
        </w:rPr>
        <w:t xml:space="preserve">[25] </w:t>
      </w:r>
      <w:r w:rsidRPr="00C8410A">
        <w:rPr>
          <w:rFonts w:ascii="Verdana" w:hAnsi="Verdana" w:cs="Arial"/>
          <w:sz w:val="14"/>
          <w:szCs w:val="14"/>
        </w:rPr>
        <w:t>Cfr. Consejo de Estado. Sección Tercera. Sentencia de 3 de diciembre de 2007. Radicados: 24.715, 25.206, 25.409, 24.524, 27.834, 25.410, 26.105, 28.244, 31.447 -acumulados-.</w:t>
      </w:r>
    </w:p>
    <w:p w14:paraId="69832211" w14:textId="77777777" w:rsidR="00F11D0E" w:rsidRPr="00C8410A" w:rsidRDefault="00F11D0E" w:rsidP="00F11D0E">
      <w:pPr>
        <w:pStyle w:val="Textonotapie"/>
        <w:ind w:right="51" w:firstLine="709"/>
        <w:jc w:val="both"/>
        <w:rPr>
          <w:rFonts w:ascii="Verdana" w:hAnsi="Verdana" w:cs="Arial"/>
          <w:sz w:val="14"/>
          <w:szCs w:val="14"/>
        </w:rPr>
      </w:pPr>
    </w:p>
  </w:footnote>
  <w:footnote w:id="37">
    <w:p w14:paraId="66BEC449" w14:textId="77777777" w:rsidR="00F11D0E" w:rsidRPr="00C8410A" w:rsidRDefault="00F11D0E" w:rsidP="00F11D0E">
      <w:pPr>
        <w:pStyle w:val="Textonotapie"/>
        <w:ind w:right="51" w:firstLine="709"/>
        <w:jc w:val="both"/>
        <w:rPr>
          <w:rFonts w:ascii="Verdana" w:hAnsi="Verdana" w:cs="Arial"/>
          <w:sz w:val="14"/>
          <w:szCs w:val="14"/>
        </w:rPr>
      </w:pPr>
      <w:r w:rsidRPr="00C8410A">
        <w:rPr>
          <w:rStyle w:val="Refdenotaalpie"/>
          <w:rFonts w:ascii="Verdana" w:hAnsi="Verdana" w:cs="Arial"/>
          <w:sz w:val="14"/>
          <w:szCs w:val="14"/>
        </w:rPr>
        <w:footnoteRef/>
      </w:r>
      <w:r w:rsidRPr="00C8410A">
        <w:rPr>
          <w:rFonts w:ascii="Verdana" w:hAnsi="Verdana" w:cs="Arial"/>
          <w:sz w:val="14"/>
          <w:szCs w:val="14"/>
        </w:rPr>
        <w:t xml:space="preserve"> </w:t>
      </w:r>
      <w:bookmarkStart w:id="18" w:name="_Hlk74294506"/>
      <w:r w:rsidRPr="00C8410A">
        <w:rPr>
          <w:rFonts w:ascii="Verdana" w:hAnsi="Verdana" w:cs="Arial"/>
          <w:sz w:val="14"/>
          <w:szCs w:val="14"/>
          <w:lang w:val="es-ES"/>
        </w:rPr>
        <w:t xml:space="preserve">[26] </w:t>
      </w:r>
      <w:bookmarkEnd w:id="18"/>
      <w:r w:rsidRPr="00C8410A">
        <w:rPr>
          <w:rFonts w:ascii="Verdana" w:hAnsi="Verdana" w:cs="Arial"/>
          <w:sz w:val="14"/>
          <w:szCs w:val="14"/>
        </w:rPr>
        <w:t>Al respecto ver el concepto 1712 de 2 de febrero de 2006. Consejo de Estado Sala de Consulta y Servicio Civil».</w:t>
      </w:r>
    </w:p>
  </w:footnote>
  <w:footnote w:id="38">
    <w:p w14:paraId="3F7D03C1" w14:textId="2F668C37" w:rsidR="00F11D0E" w:rsidRPr="00C8410A" w:rsidRDefault="00F11D0E" w:rsidP="00F11D0E">
      <w:pPr>
        <w:pStyle w:val="Textonotapie"/>
        <w:ind w:firstLine="709"/>
        <w:jc w:val="both"/>
        <w:rPr>
          <w:rFonts w:ascii="Verdana" w:hAnsi="Verdana" w:cs="Arial"/>
          <w:sz w:val="14"/>
          <w:szCs w:val="14"/>
        </w:rPr>
      </w:pPr>
      <w:r w:rsidRPr="00C8410A">
        <w:rPr>
          <w:rStyle w:val="Refdenotaalpie"/>
          <w:rFonts w:ascii="Verdana" w:hAnsi="Verdana" w:cs="Arial"/>
          <w:sz w:val="14"/>
          <w:szCs w:val="14"/>
        </w:rPr>
        <w:footnoteRef/>
      </w:r>
      <w:r w:rsidRPr="00C8410A">
        <w:rPr>
          <w:rFonts w:ascii="Verdana" w:hAnsi="Verdana" w:cs="Arial"/>
          <w:sz w:val="14"/>
          <w:szCs w:val="14"/>
        </w:rPr>
        <w:t xml:space="preserve"> Consejo de Estado. Sala de Consulta y Servicio Civil. Concepto del 2 de septiembre de 2013. Radicación número: 11001-03-06-000-2013-00412-00 (2168). C</w:t>
      </w:r>
      <w:r w:rsidR="00D229E1">
        <w:rPr>
          <w:rFonts w:ascii="Verdana" w:hAnsi="Verdana" w:cs="Arial"/>
          <w:sz w:val="14"/>
          <w:szCs w:val="14"/>
        </w:rPr>
        <w:t>.P</w:t>
      </w:r>
      <w:r w:rsidRPr="00C8410A">
        <w:rPr>
          <w:rFonts w:ascii="Verdana" w:hAnsi="Verdana" w:cs="Arial"/>
          <w:sz w:val="14"/>
          <w:szCs w:val="14"/>
        </w:rPr>
        <w:t>: Álvaro Namén Vargas.</w:t>
      </w:r>
    </w:p>
  </w:footnote>
  <w:footnote w:id="39">
    <w:p w14:paraId="3A05D7C8" w14:textId="77777777" w:rsidR="00F11D0E" w:rsidRDefault="00F11D0E" w:rsidP="00F11D0E">
      <w:pPr>
        <w:pStyle w:val="Textonotapie"/>
        <w:ind w:firstLine="709"/>
        <w:jc w:val="both"/>
        <w:rPr>
          <w:rFonts w:ascii="Verdana" w:hAnsi="Verdana" w:cs="Arial"/>
          <w:sz w:val="14"/>
          <w:szCs w:val="14"/>
          <w:lang w:val="es-ES"/>
        </w:rPr>
      </w:pPr>
      <w:r w:rsidRPr="00C8410A">
        <w:rPr>
          <w:rStyle w:val="Refdenotaalpie"/>
          <w:rFonts w:ascii="Verdana" w:hAnsi="Verdana" w:cs="Arial"/>
          <w:sz w:val="14"/>
          <w:szCs w:val="14"/>
        </w:rPr>
        <w:footnoteRef/>
      </w:r>
      <w:r w:rsidRPr="00C8410A">
        <w:rPr>
          <w:rFonts w:ascii="Verdana" w:hAnsi="Verdana" w:cs="Arial"/>
          <w:sz w:val="14"/>
          <w:szCs w:val="14"/>
        </w:rPr>
        <w:t xml:space="preserve"> </w:t>
      </w:r>
      <w:r w:rsidRPr="00C8410A">
        <w:rPr>
          <w:rFonts w:ascii="Verdana" w:hAnsi="Verdana" w:cs="Arial"/>
          <w:sz w:val="14"/>
          <w:szCs w:val="14"/>
          <w:lang w:val="es-ES"/>
        </w:rPr>
        <w:t xml:space="preserve">Artículo 2. </w:t>
      </w:r>
    </w:p>
    <w:p w14:paraId="0D33F73D" w14:textId="77777777" w:rsidR="00F11D0E" w:rsidRPr="00C8410A" w:rsidRDefault="00F11D0E" w:rsidP="00F11D0E">
      <w:pPr>
        <w:pStyle w:val="Textonotapie"/>
        <w:ind w:firstLine="709"/>
        <w:jc w:val="both"/>
        <w:rPr>
          <w:rFonts w:ascii="Verdana" w:hAnsi="Verdana" w:cs="Arial"/>
          <w:sz w:val="14"/>
          <w:szCs w:val="14"/>
          <w:lang w:val="es-ES"/>
        </w:rPr>
      </w:pPr>
    </w:p>
  </w:footnote>
  <w:footnote w:id="40">
    <w:p w14:paraId="1DA0A200" w14:textId="77777777" w:rsidR="00F11D0E" w:rsidRDefault="00F11D0E" w:rsidP="00F11D0E">
      <w:pPr>
        <w:pStyle w:val="Textonotapie"/>
        <w:ind w:firstLine="709"/>
        <w:jc w:val="both"/>
        <w:rPr>
          <w:rFonts w:ascii="Verdana" w:hAnsi="Verdana" w:cs="Arial"/>
          <w:sz w:val="14"/>
          <w:szCs w:val="14"/>
          <w:lang w:val="es-ES"/>
        </w:rPr>
      </w:pPr>
      <w:r w:rsidRPr="00C8410A">
        <w:rPr>
          <w:rStyle w:val="Refdenotaalpie"/>
          <w:rFonts w:ascii="Verdana" w:hAnsi="Verdana" w:cs="Arial"/>
          <w:sz w:val="14"/>
          <w:szCs w:val="14"/>
        </w:rPr>
        <w:footnoteRef/>
      </w:r>
      <w:r w:rsidRPr="00C8410A">
        <w:rPr>
          <w:rFonts w:ascii="Verdana" w:hAnsi="Verdana" w:cs="Arial"/>
          <w:sz w:val="14"/>
          <w:szCs w:val="14"/>
        </w:rPr>
        <w:t xml:space="preserve"> </w:t>
      </w:r>
      <w:r w:rsidRPr="00C8410A">
        <w:rPr>
          <w:rFonts w:ascii="Verdana" w:hAnsi="Verdana" w:cs="Arial"/>
          <w:i/>
          <w:sz w:val="14"/>
          <w:szCs w:val="14"/>
          <w:lang w:val="es-ES"/>
        </w:rPr>
        <w:t>Ídem</w:t>
      </w:r>
      <w:r w:rsidRPr="00C8410A">
        <w:rPr>
          <w:rFonts w:ascii="Verdana" w:hAnsi="Verdana" w:cs="Arial"/>
          <w:sz w:val="14"/>
          <w:szCs w:val="14"/>
          <w:lang w:val="es-ES"/>
        </w:rPr>
        <w:t>.</w:t>
      </w:r>
    </w:p>
    <w:p w14:paraId="36738E60" w14:textId="77777777" w:rsidR="00F11D0E" w:rsidRPr="00C8410A" w:rsidRDefault="00F11D0E" w:rsidP="00F11D0E">
      <w:pPr>
        <w:pStyle w:val="Textonotapie"/>
        <w:ind w:firstLine="709"/>
        <w:jc w:val="both"/>
        <w:rPr>
          <w:rFonts w:ascii="Verdana" w:hAnsi="Verdana" w:cs="Arial"/>
          <w:sz w:val="14"/>
          <w:szCs w:val="14"/>
          <w:lang w:val="es-ES"/>
        </w:rPr>
      </w:pPr>
    </w:p>
  </w:footnote>
  <w:footnote w:id="41">
    <w:p w14:paraId="0A29D172" w14:textId="77777777" w:rsidR="00F11D0E" w:rsidRPr="00C8410A" w:rsidRDefault="00F11D0E" w:rsidP="00F11D0E">
      <w:pPr>
        <w:pStyle w:val="Textonotapie"/>
        <w:ind w:firstLine="709"/>
        <w:jc w:val="both"/>
        <w:rPr>
          <w:rFonts w:ascii="Verdana" w:hAnsi="Verdana" w:cs="Arial"/>
          <w:sz w:val="14"/>
          <w:szCs w:val="14"/>
          <w:lang w:val="es-ES"/>
        </w:rPr>
      </w:pPr>
      <w:r w:rsidRPr="00C8410A">
        <w:rPr>
          <w:rStyle w:val="Refdenotaalpie"/>
          <w:rFonts w:ascii="Verdana" w:hAnsi="Verdana" w:cs="Arial"/>
          <w:sz w:val="14"/>
          <w:szCs w:val="14"/>
        </w:rPr>
        <w:footnoteRef/>
      </w:r>
      <w:r w:rsidRPr="00C8410A">
        <w:rPr>
          <w:rStyle w:val="Refdenotaalpie"/>
          <w:rFonts w:ascii="Verdana" w:hAnsi="Verdana" w:cs="Arial"/>
          <w:sz w:val="14"/>
          <w:szCs w:val="14"/>
        </w:rPr>
        <w:t xml:space="preserve"> </w:t>
      </w:r>
      <w:r w:rsidRPr="00C8410A">
        <w:rPr>
          <w:rFonts w:ascii="Verdana" w:hAnsi="Verdana" w:cs="Arial"/>
          <w:sz w:val="14"/>
          <w:szCs w:val="14"/>
          <w:lang w:val="es-ES"/>
        </w:rPr>
        <w:t xml:space="preserve">A este respecto, cabe recordar que el artículo 860 del Código de Comercio regula la licitación en el derecho privado». </w:t>
      </w:r>
    </w:p>
  </w:footnote>
  <w:footnote w:id="42">
    <w:p w14:paraId="0154AA5B" w14:textId="1090543C" w:rsidR="00F11D0E" w:rsidRDefault="00F11D0E" w:rsidP="00F11D0E">
      <w:pPr>
        <w:shd w:val="clear" w:color="auto" w:fill="FFFFFF"/>
        <w:spacing w:after="0" w:line="240" w:lineRule="auto"/>
        <w:ind w:firstLine="709"/>
        <w:jc w:val="both"/>
        <w:rPr>
          <w:rFonts w:ascii="Verdana" w:hAnsi="Verdana" w:cs="Arial"/>
          <w:sz w:val="14"/>
          <w:szCs w:val="14"/>
          <w:lang w:val="es-ES"/>
        </w:rPr>
      </w:pPr>
      <w:r w:rsidRPr="00C8410A">
        <w:rPr>
          <w:rStyle w:val="Refdenotaalpie"/>
          <w:rFonts w:ascii="Verdana" w:hAnsi="Verdana" w:cs="Arial"/>
          <w:sz w:val="14"/>
          <w:szCs w:val="14"/>
        </w:rPr>
        <w:footnoteRef/>
      </w:r>
      <w:r w:rsidRPr="00C8410A">
        <w:rPr>
          <w:rStyle w:val="Refdenotaalpie"/>
          <w:rFonts w:ascii="Verdana" w:hAnsi="Verdana" w:cs="Arial"/>
          <w:sz w:val="14"/>
          <w:szCs w:val="14"/>
        </w:rPr>
        <w:t xml:space="preserve"> </w:t>
      </w:r>
      <w:r w:rsidRPr="00C8410A">
        <w:rPr>
          <w:rFonts w:ascii="Verdana" w:hAnsi="Verdana" w:cs="Arial"/>
          <w:sz w:val="14"/>
          <w:szCs w:val="14"/>
          <w:lang w:val="es-ES"/>
        </w:rPr>
        <w:t>Consejo de Estado. Sala de Consulta y Servicio Civil, Concepto de 8 de mayo de 2018. Radicación Número: 11001-03-06-000-2018-00095-00(2382). C</w:t>
      </w:r>
      <w:r w:rsidR="00D229E1">
        <w:rPr>
          <w:rFonts w:ascii="Verdana" w:hAnsi="Verdana" w:cs="Arial"/>
          <w:sz w:val="14"/>
          <w:szCs w:val="14"/>
          <w:lang w:val="es-ES"/>
        </w:rPr>
        <w:t>.P</w:t>
      </w:r>
      <w:r w:rsidRPr="00C8410A">
        <w:rPr>
          <w:rFonts w:ascii="Verdana" w:hAnsi="Verdana" w:cs="Arial"/>
          <w:sz w:val="14"/>
          <w:szCs w:val="14"/>
          <w:lang w:val="es-ES"/>
        </w:rPr>
        <w:t>: Álvaro Namén Vargas.</w:t>
      </w:r>
    </w:p>
    <w:p w14:paraId="2818116B" w14:textId="77777777" w:rsidR="00F11D0E" w:rsidRPr="00C8410A" w:rsidRDefault="00F11D0E" w:rsidP="00F11D0E">
      <w:pPr>
        <w:shd w:val="clear" w:color="auto" w:fill="FFFFFF"/>
        <w:spacing w:after="0" w:line="240" w:lineRule="auto"/>
        <w:ind w:firstLine="709"/>
        <w:jc w:val="both"/>
        <w:rPr>
          <w:rFonts w:ascii="Verdana" w:hAnsi="Verdana" w:cs="Arial"/>
          <w:sz w:val="14"/>
          <w:szCs w:val="14"/>
          <w:lang w:val="es-ES"/>
        </w:rPr>
      </w:pPr>
    </w:p>
  </w:footnote>
  <w:footnote w:id="43">
    <w:p w14:paraId="3E60FDBB" w14:textId="77777777" w:rsidR="00F11D0E" w:rsidRPr="00C8410A" w:rsidRDefault="00F11D0E" w:rsidP="00F11D0E">
      <w:pPr>
        <w:pStyle w:val="Textonotapie"/>
        <w:ind w:firstLine="709"/>
        <w:jc w:val="both"/>
        <w:rPr>
          <w:rFonts w:ascii="Verdana" w:hAnsi="Verdana" w:cs="Arial"/>
          <w:sz w:val="14"/>
          <w:szCs w:val="14"/>
        </w:rPr>
      </w:pPr>
      <w:r w:rsidRPr="00C8410A">
        <w:rPr>
          <w:rStyle w:val="Refdenotaalpie"/>
          <w:rFonts w:ascii="Verdana" w:hAnsi="Verdana" w:cs="Arial"/>
          <w:sz w:val="14"/>
          <w:szCs w:val="14"/>
        </w:rPr>
        <w:footnoteRef/>
      </w:r>
      <w:r w:rsidRPr="00C8410A">
        <w:rPr>
          <w:rFonts w:ascii="Verdana" w:hAnsi="Verdana" w:cs="Arial"/>
          <w:sz w:val="14"/>
          <w:szCs w:val="14"/>
        </w:rPr>
        <w:t xml:space="preserve"> Consejo de Estado. Sala de Consulta y Servicio Civil. Concepto del 08 de mayo de 2018. Exp. 2.382. C.P. Álvaro Namén Vargas.</w:t>
      </w:r>
    </w:p>
  </w:footnote>
  <w:footnote w:id="44">
    <w:p w14:paraId="1AF4F3D3" w14:textId="77777777" w:rsidR="00A33602" w:rsidRPr="007E27D9" w:rsidRDefault="00A33602" w:rsidP="00A33602">
      <w:pPr>
        <w:spacing w:after="0" w:line="240" w:lineRule="auto"/>
        <w:ind w:firstLine="709"/>
        <w:jc w:val="both"/>
        <w:rPr>
          <w:rFonts w:ascii="Verdana" w:hAnsi="Verdana" w:cs="Arial"/>
          <w:color w:val="000000" w:themeColor="text1"/>
          <w:sz w:val="14"/>
          <w:szCs w:val="14"/>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423AA20B" w14:textId="77777777" w:rsidR="00A33602" w:rsidRPr="007E27D9" w:rsidRDefault="00A33602" w:rsidP="00A33602">
      <w:pPr>
        <w:spacing w:after="0" w:line="240" w:lineRule="auto"/>
        <w:ind w:firstLine="709"/>
        <w:jc w:val="both"/>
        <w:rPr>
          <w:rFonts w:ascii="Verdana" w:hAnsi="Verdana" w:cs="Arial"/>
          <w:color w:val="000000" w:themeColor="text1"/>
          <w:sz w:val="14"/>
          <w:szCs w:val="14"/>
        </w:rPr>
      </w:pPr>
    </w:p>
  </w:footnote>
  <w:footnote w:id="45">
    <w:p w14:paraId="650F2E56" w14:textId="77777777" w:rsidR="00B93E34" w:rsidRPr="007E27D9" w:rsidRDefault="00B93E34" w:rsidP="00B93E34">
      <w:pPr>
        <w:pStyle w:val="Textonotapie"/>
        <w:ind w:firstLine="709"/>
        <w:jc w:val="both"/>
        <w:rPr>
          <w:rFonts w:ascii="Verdana" w:eastAsia="Times New Roman" w:hAnsi="Verdana" w:cs="Arial"/>
          <w:color w:val="000000" w:themeColor="text1"/>
          <w:sz w:val="14"/>
          <w:szCs w:val="14"/>
          <w:lang w:eastAsia="x-none"/>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7E27D9">
        <w:rPr>
          <w:rFonts w:ascii="Verdana" w:eastAsia="Times New Roman" w:hAnsi="Verdana" w:cs="Arial"/>
          <w:color w:val="000000" w:themeColor="text1"/>
          <w:sz w:val="14"/>
          <w:szCs w:val="14"/>
          <w:lang w:eastAsia="x-none"/>
        </w:rPr>
        <w:t xml:space="preserve"> </w:t>
      </w:r>
      <w:bookmarkStart w:id="22" w:name="_Hlk97890572"/>
      <w:r w:rsidRPr="007E27D9">
        <w:rPr>
          <w:rFonts w:ascii="Verdana" w:eastAsia="Times New Roman" w:hAnsi="Verdana" w:cs="Arial"/>
          <w:color w:val="000000" w:themeColor="text1"/>
          <w:sz w:val="14"/>
          <w:szCs w:val="14"/>
          <w:lang w:eastAsia="x-none"/>
        </w:rPr>
        <w:t>“</w:t>
      </w:r>
      <w:r w:rsidRPr="007E27D9">
        <w:rPr>
          <w:rFonts w:ascii="Verdana" w:hAnsi="Verdana" w:cs="Arial"/>
          <w:color w:val="000000" w:themeColor="text1"/>
          <w:sz w:val="14"/>
          <w:szCs w:val="14"/>
        </w:rPr>
        <w:t xml:space="preserve">Si bien en el tema del concepto del que se extractaron </w:t>
      </w:r>
      <w:bookmarkEnd w:id="22"/>
      <w:r w:rsidRPr="007E27D9">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E27D9">
        <w:rPr>
          <w:rFonts w:ascii="Verdana" w:eastAsia="Times New Roman" w:hAnsi="Verdana" w:cs="Arial"/>
          <w:color w:val="000000" w:themeColor="text1"/>
          <w:sz w:val="14"/>
          <w:szCs w:val="14"/>
          <w:lang w:eastAsia="x-none"/>
        </w:rPr>
        <w:t>”.</w:t>
      </w:r>
    </w:p>
    <w:p w14:paraId="1271860B" w14:textId="77777777" w:rsidR="00B93E34" w:rsidRPr="007E27D9" w:rsidRDefault="00B93E34" w:rsidP="00B93E34">
      <w:pPr>
        <w:pStyle w:val="Textonotapie"/>
        <w:ind w:firstLine="709"/>
        <w:jc w:val="both"/>
        <w:rPr>
          <w:rFonts w:ascii="Verdana" w:hAnsi="Verdana" w:cs="Arial"/>
          <w:color w:val="000000" w:themeColor="text1"/>
          <w:sz w:val="14"/>
          <w:szCs w:val="14"/>
        </w:rPr>
      </w:pPr>
    </w:p>
  </w:footnote>
  <w:footnote w:id="46">
    <w:p w14:paraId="69770679" w14:textId="77777777" w:rsidR="00562AD2" w:rsidRPr="007E27D9" w:rsidRDefault="00562AD2" w:rsidP="00562AD2">
      <w:pPr>
        <w:spacing w:after="0" w:line="240" w:lineRule="auto"/>
        <w:ind w:firstLine="709"/>
        <w:jc w:val="both"/>
        <w:rPr>
          <w:rFonts w:ascii="Verdana" w:hAnsi="Verdana" w:cs="Arial"/>
          <w:color w:val="000000" w:themeColor="text1"/>
          <w:sz w:val="14"/>
          <w:szCs w:val="14"/>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16404081" w14:textId="77777777" w:rsidR="00562AD2" w:rsidRPr="007E27D9" w:rsidRDefault="00562AD2" w:rsidP="00562AD2">
      <w:pPr>
        <w:spacing w:after="0" w:line="240" w:lineRule="auto"/>
        <w:ind w:firstLine="709"/>
        <w:jc w:val="both"/>
        <w:rPr>
          <w:rFonts w:ascii="Verdana" w:hAnsi="Verdana" w:cs="Arial"/>
          <w:color w:val="000000" w:themeColor="text1"/>
          <w:sz w:val="14"/>
          <w:szCs w:val="14"/>
        </w:rPr>
      </w:pPr>
    </w:p>
  </w:footnote>
  <w:footnote w:id="47">
    <w:p w14:paraId="15E9264B" w14:textId="77777777" w:rsidR="00805798" w:rsidRDefault="00805798" w:rsidP="00805798">
      <w:pPr>
        <w:pStyle w:val="Textonotapie"/>
        <w:ind w:firstLine="709"/>
        <w:rPr>
          <w:rFonts w:ascii="Verdana" w:hAnsi="Verdana" w:cs="Arial"/>
          <w:color w:val="000000" w:themeColor="text1"/>
          <w:sz w:val="14"/>
          <w:szCs w:val="14"/>
        </w:rPr>
      </w:pPr>
      <w:r w:rsidRPr="007E27D9">
        <w:rPr>
          <w:rStyle w:val="Refdenotaalpie"/>
          <w:rFonts w:ascii="Verdana" w:hAnsi="Verdana" w:cs="Arial"/>
          <w:color w:val="000000" w:themeColor="text1"/>
          <w:sz w:val="14"/>
          <w:szCs w:val="14"/>
        </w:rPr>
        <w:footnoteRef/>
      </w:r>
      <w:r w:rsidRPr="007E27D9">
        <w:rPr>
          <w:rFonts w:ascii="Verdana" w:hAnsi="Verdana" w:cs="Arial"/>
          <w:color w:val="000000" w:themeColor="text1"/>
          <w:sz w:val="14"/>
          <w:szCs w:val="14"/>
        </w:rPr>
        <w:t xml:space="preserve"> Consejo de Estado. Sala de Consulta y Servicio Civil, ídem.</w:t>
      </w:r>
    </w:p>
    <w:p w14:paraId="2C6EB5A8" w14:textId="77777777" w:rsidR="00805798" w:rsidRPr="003A04BF" w:rsidRDefault="00805798" w:rsidP="00805798">
      <w:pPr>
        <w:pStyle w:val="Textonotapie"/>
        <w:ind w:firstLine="709"/>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0F3"/>
    <w:rsid w:val="00016F78"/>
    <w:rsid w:val="00024982"/>
    <w:rsid w:val="00037A19"/>
    <w:rsid w:val="00046945"/>
    <w:rsid w:val="00061B2A"/>
    <w:rsid w:val="00080888"/>
    <w:rsid w:val="00082362"/>
    <w:rsid w:val="00094623"/>
    <w:rsid w:val="000A6117"/>
    <w:rsid w:val="000A683E"/>
    <w:rsid w:val="000B19B9"/>
    <w:rsid w:val="000B3198"/>
    <w:rsid w:val="000C7D8B"/>
    <w:rsid w:val="000D0334"/>
    <w:rsid w:val="000D5DA7"/>
    <w:rsid w:val="000D6C7E"/>
    <w:rsid w:val="000E6045"/>
    <w:rsid w:val="000F6486"/>
    <w:rsid w:val="001126AE"/>
    <w:rsid w:val="00116940"/>
    <w:rsid w:val="00125105"/>
    <w:rsid w:val="00127233"/>
    <w:rsid w:val="001304E7"/>
    <w:rsid w:val="0015699B"/>
    <w:rsid w:val="001808CB"/>
    <w:rsid w:val="001952EB"/>
    <w:rsid w:val="001A33BF"/>
    <w:rsid w:val="001C0C5E"/>
    <w:rsid w:val="001E4177"/>
    <w:rsid w:val="001F0B24"/>
    <w:rsid w:val="001F66E9"/>
    <w:rsid w:val="001F7DC6"/>
    <w:rsid w:val="00201953"/>
    <w:rsid w:val="0022400B"/>
    <w:rsid w:val="00225AF0"/>
    <w:rsid w:val="002421BB"/>
    <w:rsid w:val="00243899"/>
    <w:rsid w:val="0025796E"/>
    <w:rsid w:val="00261918"/>
    <w:rsid w:val="002707A2"/>
    <w:rsid w:val="00293A73"/>
    <w:rsid w:val="002951A0"/>
    <w:rsid w:val="002962BC"/>
    <w:rsid w:val="00297110"/>
    <w:rsid w:val="002A093D"/>
    <w:rsid w:val="002A0DD0"/>
    <w:rsid w:val="002A49AC"/>
    <w:rsid w:val="002A64FD"/>
    <w:rsid w:val="002C7488"/>
    <w:rsid w:val="002C7A84"/>
    <w:rsid w:val="002E2BF8"/>
    <w:rsid w:val="002E4FD9"/>
    <w:rsid w:val="002F5F74"/>
    <w:rsid w:val="00300CE1"/>
    <w:rsid w:val="0030657A"/>
    <w:rsid w:val="0032225A"/>
    <w:rsid w:val="00322A85"/>
    <w:rsid w:val="00324168"/>
    <w:rsid w:val="00330834"/>
    <w:rsid w:val="00332574"/>
    <w:rsid w:val="003326BE"/>
    <w:rsid w:val="003448F4"/>
    <w:rsid w:val="003475FA"/>
    <w:rsid w:val="00374F5E"/>
    <w:rsid w:val="00377E3E"/>
    <w:rsid w:val="00395721"/>
    <w:rsid w:val="003A779E"/>
    <w:rsid w:val="003C49E6"/>
    <w:rsid w:val="003D0F4D"/>
    <w:rsid w:val="003D5B0D"/>
    <w:rsid w:val="003E0499"/>
    <w:rsid w:val="003E0534"/>
    <w:rsid w:val="003E21A9"/>
    <w:rsid w:val="003E4F80"/>
    <w:rsid w:val="003E6439"/>
    <w:rsid w:val="003F0C8E"/>
    <w:rsid w:val="003F3941"/>
    <w:rsid w:val="00406575"/>
    <w:rsid w:val="00414C74"/>
    <w:rsid w:val="00416711"/>
    <w:rsid w:val="0042722E"/>
    <w:rsid w:val="0044528D"/>
    <w:rsid w:val="00463817"/>
    <w:rsid w:val="00466E39"/>
    <w:rsid w:val="00471A7E"/>
    <w:rsid w:val="004869CF"/>
    <w:rsid w:val="004A1847"/>
    <w:rsid w:val="004A305D"/>
    <w:rsid w:val="004A567D"/>
    <w:rsid w:val="004B5A50"/>
    <w:rsid w:val="004C46B0"/>
    <w:rsid w:val="004E3490"/>
    <w:rsid w:val="004F21C4"/>
    <w:rsid w:val="004F685F"/>
    <w:rsid w:val="00510910"/>
    <w:rsid w:val="00522BDF"/>
    <w:rsid w:val="005566E8"/>
    <w:rsid w:val="00562AD2"/>
    <w:rsid w:val="00574867"/>
    <w:rsid w:val="00576A6B"/>
    <w:rsid w:val="00587601"/>
    <w:rsid w:val="00591460"/>
    <w:rsid w:val="005A65E0"/>
    <w:rsid w:val="005C3777"/>
    <w:rsid w:val="005C5CDC"/>
    <w:rsid w:val="005D476C"/>
    <w:rsid w:val="005E23FB"/>
    <w:rsid w:val="006175C6"/>
    <w:rsid w:val="006200BF"/>
    <w:rsid w:val="006202ED"/>
    <w:rsid w:val="006219F8"/>
    <w:rsid w:val="006302F7"/>
    <w:rsid w:val="00635025"/>
    <w:rsid w:val="00637808"/>
    <w:rsid w:val="00646B9F"/>
    <w:rsid w:val="00656B9A"/>
    <w:rsid w:val="00664C2B"/>
    <w:rsid w:val="00665D70"/>
    <w:rsid w:val="00676511"/>
    <w:rsid w:val="006900D9"/>
    <w:rsid w:val="006B0A51"/>
    <w:rsid w:val="006C66C1"/>
    <w:rsid w:val="006D115F"/>
    <w:rsid w:val="006E37DA"/>
    <w:rsid w:val="006E53C5"/>
    <w:rsid w:val="007048A0"/>
    <w:rsid w:val="00706C16"/>
    <w:rsid w:val="00707D5A"/>
    <w:rsid w:val="00733C92"/>
    <w:rsid w:val="007340C3"/>
    <w:rsid w:val="007519B2"/>
    <w:rsid w:val="0075235A"/>
    <w:rsid w:val="00756841"/>
    <w:rsid w:val="00763EF0"/>
    <w:rsid w:val="007649AB"/>
    <w:rsid w:val="00771D0C"/>
    <w:rsid w:val="007833AC"/>
    <w:rsid w:val="007B268C"/>
    <w:rsid w:val="007B7171"/>
    <w:rsid w:val="007C0C0F"/>
    <w:rsid w:val="007C3DC2"/>
    <w:rsid w:val="007E5497"/>
    <w:rsid w:val="00805798"/>
    <w:rsid w:val="00806F5F"/>
    <w:rsid w:val="00820278"/>
    <w:rsid w:val="00820D10"/>
    <w:rsid w:val="008258C9"/>
    <w:rsid w:val="00835D56"/>
    <w:rsid w:val="00840284"/>
    <w:rsid w:val="00844AE9"/>
    <w:rsid w:val="00867F95"/>
    <w:rsid w:val="008817E0"/>
    <w:rsid w:val="008843B6"/>
    <w:rsid w:val="00891928"/>
    <w:rsid w:val="008A446D"/>
    <w:rsid w:val="008A7481"/>
    <w:rsid w:val="008B25F1"/>
    <w:rsid w:val="008B35FC"/>
    <w:rsid w:val="008D180B"/>
    <w:rsid w:val="008E57E5"/>
    <w:rsid w:val="008F0EA7"/>
    <w:rsid w:val="0090405E"/>
    <w:rsid w:val="009077AD"/>
    <w:rsid w:val="009125AA"/>
    <w:rsid w:val="00914C34"/>
    <w:rsid w:val="009170F2"/>
    <w:rsid w:val="00923EEF"/>
    <w:rsid w:val="0093097E"/>
    <w:rsid w:val="00934979"/>
    <w:rsid w:val="009419F9"/>
    <w:rsid w:val="00941CBE"/>
    <w:rsid w:val="00942222"/>
    <w:rsid w:val="0094678C"/>
    <w:rsid w:val="0095685E"/>
    <w:rsid w:val="00961B09"/>
    <w:rsid w:val="00965334"/>
    <w:rsid w:val="0097093E"/>
    <w:rsid w:val="00991BC6"/>
    <w:rsid w:val="0099784C"/>
    <w:rsid w:val="009A0DFA"/>
    <w:rsid w:val="009A1C6F"/>
    <w:rsid w:val="009B2D26"/>
    <w:rsid w:val="009C19D9"/>
    <w:rsid w:val="009C1AC8"/>
    <w:rsid w:val="009C61F9"/>
    <w:rsid w:val="009C71FA"/>
    <w:rsid w:val="009C72E7"/>
    <w:rsid w:val="009C7F7E"/>
    <w:rsid w:val="009D3058"/>
    <w:rsid w:val="009F3A13"/>
    <w:rsid w:val="00A122D3"/>
    <w:rsid w:val="00A14468"/>
    <w:rsid w:val="00A17F13"/>
    <w:rsid w:val="00A20739"/>
    <w:rsid w:val="00A23AF9"/>
    <w:rsid w:val="00A33602"/>
    <w:rsid w:val="00A33C78"/>
    <w:rsid w:val="00A34187"/>
    <w:rsid w:val="00A97ED4"/>
    <w:rsid w:val="00AB0ADB"/>
    <w:rsid w:val="00AB318F"/>
    <w:rsid w:val="00B00C0E"/>
    <w:rsid w:val="00B01B1A"/>
    <w:rsid w:val="00B01D30"/>
    <w:rsid w:val="00B0381D"/>
    <w:rsid w:val="00B061A2"/>
    <w:rsid w:val="00B44A47"/>
    <w:rsid w:val="00B57F3A"/>
    <w:rsid w:val="00B72CD3"/>
    <w:rsid w:val="00B72FFF"/>
    <w:rsid w:val="00B93E34"/>
    <w:rsid w:val="00BC3D36"/>
    <w:rsid w:val="00BD54A6"/>
    <w:rsid w:val="00BD7F72"/>
    <w:rsid w:val="00BF7425"/>
    <w:rsid w:val="00C04FB3"/>
    <w:rsid w:val="00C11D8B"/>
    <w:rsid w:val="00C15139"/>
    <w:rsid w:val="00C330EB"/>
    <w:rsid w:val="00C419D1"/>
    <w:rsid w:val="00C4564E"/>
    <w:rsid w:val="00C45DC6"/>
    <w:rsid w:val="00C50D69"/>
    <w:rsid w:val="00C5365C"/>
    <w:rsid w:val="00C7505A"/>
    <w:rsid w:val="00C754BE"/>
    <w:rsid w:val="00C76B1C"/>
    <w:rsid w:val="00C80217"/>
    <w:rsid w:val="00C925AC"/>
    <w:rsid w:val="00CA53D3"/>
    <w:rsid w:val="00CB6357"/>
    <w:rsid w:val="00CB7619"/>
    <w:rsid w:val="00CC1B26"/>
    <w:rsid w:val="00CC359E"/>
    <w:rsid w:val="00CD4586"/>
    <w:rsid w:val="00CF7D16"/>
    <w:rsid w:val="00D02C09"/>
    <w:rsid w:val="00D06294"/>
    <w:rsid w:val="00D071A7"/>
    <w:rsid w:val="00D1049E"/>
    <w:rsid w:val="00D14627"/>
    <w:rsid w:val="00D229E1"/>
    <w:rsid w:val="00D361FD"/>
    <w:rsid w:val="00D423A2"/>
    <w:rsid w:val="00D44E26"/>
    <w:rsid w:val="00D45875"/>
    <w:rsid w:val="00D520D8"/>
    <w:rsid w:val="00D63AC2"/>
    <w:rsid w:val="00D7383B"/>
    <w:rsid w:val="00D74365"/>
    <w:rsid w:val="00D7788A"/>
    <w:rsid w:val="00D81350"/>
    <w:rsid w:val="00D823B1"/>
    <w:rsid w:val="00D90C4B"/>
    <w:rsid w:val="00DA231B"/>
    <w:rsid w:val="00DA424C"/>
    <w:rsid w:val="00DB09B2"/>
    <w:rsid w:val="00DC2D3A"/>
    <w:rsid w:val="00DC39FC"/>
    <w:rsid w:val="00DE79B7"/>
    <w:rsid w:val="00DF5254"/>
    <w:rsid w:val="00E02524"/>
    <w:rsid w:val="00E16408"/>
    <w:rsid w:val="00E20894"/>
    <w:rsid w:val="00E20DC5"/>
    <w:rsid w:val="00E245AB"/>
    <w:rsid w:val="00E2764C"/>
    <w:rsid w:val="00E27F2E"/>
    <w:rsid w:val="00E50AFE"/>
    <w:rsid w:val="00E53611"/>
    <w:rsid w:val="00E56D0B"/>
    <w:rsid w:val="00E75C92"/>
    <w:rsid w:val="00E771DC"/>
    <w:rsid w:val="00E825BC"/>
    <w:rsid w:val="00E8772A"/>
    <w:rsid w:val="00E90F6B"/>
    <w:rsid w:val="00E92C27"/>
    <w:rsid w:val="00E94299"/>
    <w:rsid w:val="00EA0E3D"/>
    <w:rsid w:val="00EC38A7"/>
    <w:rsid w:val="00ED4DA3"/>
    <w:rsid w:val="00ED76C5"/>
    <w:rsid w:val="00EE1AA8"/>
    <w:rsid w:val="00EE2338"/>
    <w:rsid w:val="00F01965"/>
    <w:rsid w:val="00F11D0E"/>
    <w:rsid w:val="00F12FCD"/>
    <w:rsid w:val="00F23FEA"/>
    <w:rsid w:val="00F31EDC"/>
    <w:rsid w:val="00F33AA6"/>
    <w:rsid w:val="00F37ECB"/>
    <w:rsid w:val="00F41D2F"/>
    <w:rsid w:val="00F462B3"/>
    <w:rsid w:val="00F5664F"/>
    <w:rsid w:val="00F57A9C"/>
    <w:rsid w:val="00F666C4"/>
    <w:rsid w:val="00F67D98"/>
    <w:rsid w:val="00F76AFC"/>
    <w:rsid w:val="00F8632E"/>
    <w:rsid w:val="00F96C81"/>
    <w:rsid w:val="00F97906"/>
    <w:rsid w:val="00FA061F"/>
    <w:rsid w:val="00FA47C0"/>
    <w:rsid w:val="00FB5DD1"/>
    <w:rsid w:val="00FC2B5D"/>
    <w:rsid w:val="00FF1449"/>
    <w:rsid w:val="00FF489D"/>
    <w:rsid w:val="00FF7963"/>
    <w:rsid w:val="0636D48E"/>
    <w:rsid w:val="06EFE4E1"/>
    <w:rsid w:val="071B8F93"/>
    <w:rsid w:val="09908A09"/>
    <w:rsid w:val="0FF4CCA8"/>
    <w:rsid w:val="121F7DE8"/>
    <w:rsid w:val="13CFC91B"/>
    <w:rsid w:val="19A2EC2C"/>
    <w:rsid w:val="1FB4D6B0"/>
    <w:rsid w:val="2859CA1B"/>
    <w:rsid w:val="2EF0757F"/>
    <w:rsid w:val="32A4F9CF"/>
    <w:rsid w:val="356CEDFD"/>
    <w:rsid w:val="38CD6EA0"/>
    <w:rsid w:val="400065A4"/>
    <w:rsid w:val="406C6B5B"/>
    <w:rsid w:val="4079E407"/>
    <w:rsid w:val="426EEF63"/>
    <w:rsid w:val="5478E5B6"/>
    <w:rsid w:val="5A6A18B7"/>
    <w:rsid w:val="5F85A98D"/>
    <w:rsid w:val="6303ED7C"/>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14ABD65-8D57-47BB-9E78-E8E83712C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4564E"/>
    <w:rPr>
      <w:rFonts w:ascii="Geomanist Light" w:hAnsi="Geomanist Light"/>
      <w:lang w:val="es-ES"/>
    </w:rPr>
  </w:style>
  <w:style w:type="paragraph" w:customStyle="1" w:styleId="Appelnotedebasde">
    <w:name w:val="Appel note de bas de..."/>
    <w:basedOn w:val="Normal"/>
    <w:link w:val="Refdenotaalpie"/>
    <w:uiPriority w:val="99"/>
    <w:rsid w:val="00C4564E"/>
    <w:pPr>
      <w:spacing w:line="240" w:lineRule="exact"/>
    </w:pPr>
    <w:rPr>
      <w:vertAlign w:val="superscript"/>
    </w:rPr>
  </w:style>
  <w:style w:type="paragraph" w:styleId="Textoindependiente">
    <w:name w:val="Body Text"/>
    <w:basedOn w:val="Normal"/>
    <w:link w:val="TextoindependienteCar"/>
    <w:uiPriority w:val="1"/>
    <w:qFormat/>
    <w:rsid w:val="00C4564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4564E"/>
    <w:rPr>
      <w:rFonts w:ascii="Arial" w:eastAsia="Arial" w:hAnsi="Arial" w:cs="Arial"/>
      <w:lang w:val="es-ES"/>
    </w:rPr>
  </w:style>
  <w:style w:type="character" w:customStyle="1" w:styleId="NormalWebCar">
    <w:name w:val="Normal (Web) Car"/>
    <w:link w:val="NormalWeb"/>
    <w:uiPriority w:val="99"/>
    <w:locked/>
    <w:rsid w:val="00F11D0E"/>
    <w:rPr>
      <w:rFonts w:ascii="Times New Roman" w:eastAsia="Times New Roman" w:hAnsi="Times New Roman" w:cs="Times New Roman"/>
      <w:sz w:val="24"/>
      <w:szCs w:val="24"/>
      <w:lang w:eastAsia="es-CO"/>
    </w:rPr>
  </w:style>
  <w:style w:type="character" w:customStyle="1" w:styleId="baj">
    <w:name w:val="b_aj"/>
    <w:basedOn w:val="Fuentedeprrafopredeter"/>
    <w:rsid w:val="00F11D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41348">
      <w:bodyDiv w:val="1"/>
      <w:marLeft w:val="0"/>
      <w:marRight w:val="0"/>
      <w:marTop w:val="0"/>
      <w:marBottom w:val="0"/>
      <w:divBdr>
        <w:top w:val="none" w:sz="0" w:space="0" w:color="auto"/>
        <w:left w:val="none" w:sz="0" w:space="0" w:color="auto"/>
        <w:bottom w:val="none" w:sz="0" w:space="0" w:color="auto"/>
        <w:right w:val="none" w:sz="0" w:space="0" w:color="auto"/>
      </w:divBdr>
      <w:divsChild>
        <w:div w:id="9036820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6696187">
      <w:bodyDiv w:val="1"/>
      <w:marLeft w:val="0"/>
      <w:marRight w:val="0"/>
      <w:marTop w:val="0"/>
      <w:marBottom w:val="0"/>
      <w:divBdr>
        <w:top w:val="none" w:sz="0" w:space="0" w:color="auto"/>
        <w:left w:val="none" w:sz="0" w:space="0" w:color="auto"/>
        <w:bottom w:val="none" w:sz="0" w:space="0" w:color="auto"/>
        <w:right w:val="none" w:sz="0" w:space="0" w:color="auto"/>
      </w:divBdr>
      <w:divsChild>
        <w:div w:id="12292201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nsejoprofesionalmvz.gov.co/src/files/ACUERDO_NUMERO_469_de_Tramites_Iniciales.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ianikita@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nsejoprofesionalmvz.gov.co/src/files/ACUERDO_NUMERO_469_de_Tramites_Iniciale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73365E-1331-4E14-8EA5-6F8E344EBF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5F9C1ED1-5368-4FC5-8DD4-2487EC00B590}">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38</TotalTime>
  <Pages>38</Pages>
  <Words>12602</Words>
  <Characters>69313</Characters>
  <Application>Microsoft Office Word</Application>
  <DocSecurity>0</DocSecurity>
  <Lines>577</Lines>
  <Paragraphs>163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81752</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4653168</vt:i4>
      </vt:variant>
      <vt:variant>
        <vt:i4>3</vt:i4>
      </vt:variant>
      <vt:variant>
        <vt:i4>0</vt:i4>
      </vt:variant>
      <vt:variant>
        <vt:i4>5</vt:i4>
      </vt:variant>
      <vt:variant>
        <vt:lpwstr>https://consejoprofesionalmvz.gov.co/src/files/ACUERDO_NUMERO_469_de_Tramites_Iniciales.pdf</vt:lpwstr>
      </vt:variant>
      <vt:variant>
        <vt:lpwstr/>
      </vt:variant>
      <vt:variant>
        <vt:i4>6422615</vt:i4>
      </vt:variant>
      <vt:variant>
        <vt:i4>0</vt:i4>
      </vt:variant>
      <vt:variant>
        <vt:i4>0</vt:i4>
      </vt:variant>
      <vt:variant>
        <vt:i4>5</vt:i4>
      </vt:variant>
      <vt:variant>
        <vt:lpwstr>mailto:dianikita@gmail.com</vt:lpwstr>
      </vt:variant>
      <vt:variant>
        <vt:lpwstr/>
      </vt:variant>
      <vt:variant>
        <vt:i4>4653168</vt:i4>
      </vt:variant>
      <vt:variant>
        <vt:i4>0</vt:i4>
      </vt:variant>
      <vt:variant>
        <vt:i4>0</vt:i4>
      </vt:variant>
      <vt:variant>
        <vt:i4>5</vt:i4>
      </vt:variant>
      <vt:variant>
        <vt:lpwstr>https://consejoprofesionalmvz.gov.co/src/files/ACUERDO_NUMERO_469_de_Tramites_Iniciales.pdf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13</cp:revision>
  <cp:lastPrinted>2023-01-10T21:18:00Z</cp:lastPrinted>
  <dcterms:created xsi:type="dcterms:W3CDTF">2026-02-19T23:36:00Z</dcterms:created>
  <dcterms:modified xsi:type="dcterms:W3CDTF">2026-02-26T03:01:00Z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