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8B7A58" w14:textId="46BD251A" w:rsidR="00BF32AB" w:rsidRPr="006E220A" w:rsidRDefault="00BF32AB" w:rsidP="00897CDD">
      <w:pPr>
        <w:spacing w:after="0" w:line="240" w:lineRule="auto"/>
        <w:rPr>
          <w:rFonts w:ascii="Verdana" w:eastAsia="Calibri" w:hAnsi="Verdana" w:cs="Arial"/>
          <w:b/>
          <w:bCs/>
          <w:lang w:val="es-ES" w:eastAsia="es-ES"/>
        </w:rPr>
      </w:pPr>
      <w:bookmarkStart w:id="0" w:name="_Hlk143780582"/>
      <w:r w:rsidRPr="006E220A">
        <w:rPr>
          <w:rFonts w:ascii="Verdana" w:eastAsia="Calibri" w:hAnsi="Verdana" w:cs="Arial"/>
          <w:b/>
          <w:bCs/>
          <w:lang w:val="es-ES" w:eastAsia="es-ES"/>
        </w:rPr>
        <w:t xml:space="preserve">LEY DE GARANTÍAS ELECTORALES ‒ Finalidad </w:t>
      </w:r>
    </w:p>
    <w:p w14:paraId="54BBA304" w14:textId="77777777" w:rsidR="006E220A" w:rsidRPr="006E220A" w:rsidRDefault="006E220A" w:rsidP="006E220A">
      <w:pPr>
        <w:spacing w:after="0" w:line="240" w:lineRule="auto"/>
        <w:jc w:val="both"/>
        <w:rPr>
          <w:rFonts w:ascii="Verdana" w:eastAsia="Calibri" w:hAnsi="Verdana" w:cs="Arial"/>
          <w:lang w:val="es-ES" w:eastAsia="es-ES"/>
        </w:rPr>
      </w:pPr>
    </w:p>
    <w:p w14:paraId="27F31713" w14:textId="54900185" w:rsidR="00BF32AB" w:rsidRDefault="006E220A" w:rsidP="006E220A">
      <w:pPr>
        <w:spacing w:after="0" w:line="240" w:lineRule="auto"/>
        <w:jc w:val="both"/>
        <w:rPr>
          <w:rFonts w:ascii="Verdana" w:eastAsia="Calibri" w:hAnsi="Verdana" w:cs="Arial"/>
          <w:sz w:val="20"/>
          <w:szCs w:val="20"/>
          <w:lang w:eastAsia="es-ES"/>
        </w:rPr>
      </w:pPr>
      <w:r w:rsidRPr="00C523D5">
        <w:rPr>
          <w:rFonts w:ascii="Verdana" w:eastAsia="Calibri" w:hAnsi="Verdana" w:cs="Arial"/>
          <w:sz w:val="20"/>
          <w:szCs w:val="20"/>
          <w:lang w:eastAsia="es-ES"/>
        </w:rPr>
        <w:t xml:space="preserve">El ordenamiento jurídico colombiano contempla una serie de previsiones para evitar la obtención de beneficios personales en asuntos propios de la administración. Un ejemplo destacado de lo anterior es la Ley 996 de 2005, conocida como </w:t>
      </w:r>
      <w:r w:rsidR="00C523D5" w:rsidRPr="00C523D5">
        <w:rPr>
          <w:rFonts w:ascii="Verdana" w:eastAsia="Calibri" w:hAnsi="Verdana" w:cs="Arial"/>
          <w:sz w:val="20"/>
          <w:szCs w:val="20"/>
          <w:lang w:eastAsia="es-ES"/>
        </w:rPr>
        <w:t>“Ley</w:t>
      </w:r>
      <w:r w:rsidRPr="00C523D5">
        <w:rPr>
          <w:rFonts w:ascii="Verdana" w:eastAsia="Calibri" w:hAnsi="Verdana" w:cs="Arial"/>
          <w:sz w:val="20"/>
          <w:szCs w:val="20"/>
          <w:lang w:eastAsia="es-ES"/>
        </w:rPr>
        <w:t xml:space="preserve"> de Garantías </w:t>
      </w:r>
      <w:r w:rsidR="00C523D5" w:rsidRPr="00C523D5">
        <w:rPr>
          <w:rFonts w:ascii="Verdana" w:eastAsia="Calibri" w:hAnsi="Verdana" w:cs="Arial"/>
          <w:sz w:val="20"/>
          <w:szCs w:val="20"/>
          <w:lang w:eastAsia="es-ES"/>
        </w:rPr>
        <w:t>Electorales</w:t>
      </w:r>
      <w:r w:rsidR="008B36D4" w:rsidRPr="00C523D5">
        <w:rPr>
          <w:rFonts w:ascii="Verdana" w:eastAsia="Calibri" w:hAnsi="Verdana" w:cs="Arial"/>
          <w:sz w:val="20"/>
          <w:szCs w:val="20"/>
          <w:lang w:eastAsia="es-ES"/>
        </w:rPr>
        <w:t>”,</w:t>
      </w:r>
      <w:r w:rsidRPr="00C523D5">
        <w:rPr>
          <w:rFonts w:ascii="Verdana" w:eastAsia="Calibri" w:hAnsi="Verdana" w:cs="Arial"/>
          <w:sz w:val="20"/>
          <w:szCs w:val="20"/>
          <w:lang w:eastAsia="es-ES"/>
        </w:rPr>
        <w:t xml:space="preserve"> cuyo propósito central es asegurar la igualdad, la transparencia y la imparcialidad durante los procesos </w:t>
      </w:r>
      <w:r w:rsidR="00C523D5" w:rsidRPr="00C523D5">
        <w:rPr>
          <w:rFonts w:ascii="Verdana" w:eastAsia="Calibri" w:hAnsi="Verdana" w:cs="Arial"/>
          <w:sz w:val="20"/>
          <w:szCs w:val="20"/>
          <w:lang w:eastAsia="es-ES"/>
        </w:rPr>
        <w:t>electorales.</w:t>
      </w:r>
      <w:r w:rsidRPr="00C523D5">
        <w:rPr>
          <w:rFonts w:ascii="Verdana" w:eastAsia="Calibri" w:hAnsi="Verdana" w:cs="Arial"/>
          <w:sz w:val="20"/>
          <w:szCs w:val="20"/>
          <w:lang w:eastAsia="es-ES"/>
        </w:rPr>
        <w:t xml:space="preserve"> Esta Ley busca impedir que quienes ejercen el poder público utilicen los recursos del Estado para incidir en la voluntad del electorado.</w:t>
      </w:r>
    </w:p>
    <w:p w14:paraId="0DA204EC" w14:textId="77777777" w:rsidR="00E63836" w:rsidRPr="00C523D5" w:rsidRDefault="00E63836" w:rsidP="006E220A">
      <w:pPr>
        <w:spacing w:after="0" w:line="240" w:lineRule="auto"/>
        <w:jc w:val="both"/>
        <w:rPr>
          <w:rFonts w:ascii="Verdana" w:eastAsia="Calibri" w:hAnsi="Verdana" w:cs="Arial"/>
          <w:sz w:val="20"/>
          <w:szCs w:val="20"/>
          <w:lang w:val="es-ES" w:eastAsia="es-ES"/>
        </w:rPr>
      </w:pPr>
    </w:p>
    <w:p w14:paraId="26290497" w14:textId="2794C896" w:rsidR="00E63836" w:rsidRPr="0060173C" w:rsidRDefault="00E63836" w:rsidP="00E63836">
      <w:pPr>
        <w:spacing w:after="0" w:line="240" w:lineRule="auto"/>
        <w:jc w:val="both"/>
        <w:rPr>
          <w:rFonts w:ascii="Verdana" w:hAnsi="Verdana"/>
          <w:sz w:val="20"/>
          <w:szCs w:val="20"/>
        </w:rPr>
      </w:pPr>
      <w:r w:rsidRPr="0060173C">
        <w:rPr>
          <w:rFonts w:ascii="Verdana" w:hAnsi="Verdana"/>
          <w:sz w:val="20"/>
          <w:szCs w:val="20"/>
        </w:rPr>
        <w:t>[…] Estas disposiciones buscan salvaguardar la equidad entre los aspirantes en los procesos electorales, especialmente en materia de contratación estatal, evita nado cualquier indicio de que, a través de este mecanismo y en los periodos anteriores a la elección, se puedan afectar las condiciones de igualdad entre los candidatos y, consecuentemente, la voluntad electoral.</w:t>
      </w:r>
    </w:p>
    <w:p w14:paraId="5AE427F8" w14:textId="77777777" w:rsidR="00E63836" w:rsidRDefault="00E63836" w:rsidP="00897CDD">
      <w:pPr>
        <w:spacing w:after="0" w:line="240" w:lineRule="auto"/>
        <w:rPr>
          <w:rFonts w:ascii="Verdana" w:hAnsi="Verdana"/>
        </w:rPr>
      </w:pPr>
    </w:p>
    <w:p w14:paraId="24B613E3" w14:textId="794D97C0" w:rsidR="00BF32AB" w:rsidRPr="00E63836" w:rsidRDefault="00BF32AB" w:rsidP="00E63836">
      <w:pPr>
        <w:spacing w:after="0" w:line="240" w:lineRule="auto"/>
        <w:jc w:val="both"/>
        <w:rPr>
          <w:rFonts w:ascii="Verdana" w:hAnsi="Verdana"/>
          <w:b/>
          <w:bCs/>
        </w:rPr>
      </w:pPr>
      <w:r w:rsidRPr="00E63836">
        <w:rPr>
          <w:rFonts w:ascii="Verdana" w:eastAsia="Calibri" w:hAnsi="Verdana" w:cs="Arial"/>
          <w:b/>
          <w:bCs/>
          <w:lang w:val="es-ES" w:eastAsia="es-ES"/>
        </w:rPr>
        <w:t>LEY DE GARANTÍAS ELECTORALES ‒ Tipos de restricciones</w:t>
      </w:r>
    </w:p>
    <w:p w14:paraId="454C4600" w14:textId="77777777" w:rsidR="00BF32AB" w:rsidRDefault="00BF32AB" w:rsidP="00E63836">
      <w:pPr>
        <w:spacing w:after="0" w:line="240" w:lineRule="auto"/>
        <w:jc w:val="both"/>
        <w:rPr>
          <w:rFonts w:ascii="Verdana" w:hAnsi="Verdana"/>
          <w:b/>
          <w:bCs/>
        </w:rPr>
      </w:pPr>
    </w:p>
    <w:p w14:paraId="18AE1010" w14:textId="4A606393" w:rsidR="00A64C90" w:rsidRDefault="00C62A73" w:rsidP="00E63836">
      <w:pPr>
        <w:spacing w:after="0" w:line="240" w:lineRule="auto"/>
        <w:jc w:val="both"/>
        <w:rPr>
          <w:rFonts w:ascii="Verdana" w:hAnsi="Verdana"/>
          <w:sz w:val="20"/>
          <w:szCs w:val="20"/>
        </w:rPr>
      </w:pPr>
      <w:r w:rsidRPr="00C62A73">
        <w:rPr>
          <w:rFonts w:ascii="Verdana" w:hAnsi="Verdana"/>
          <w:sz w:val="20"/>
          <w:szCs w:val="20"/>
        </w:rPr>
        <w:t>[…]</w:t>
      </w:r>
      <w:r w:rsidR="00B43B6D">
        <w:rPr>
          <w:rFonts w:ascii="Verdana" w:hAnsi="Verdana"/>
          <w:sz w:val="20"/>
          <w:szCs w:val="20"/>
        </w:rPr>
        <w:t xml:space="preserve"> </w:t>
      </w:r>
      <w:r w:rsidR="00A64C90" w:rsidRPr="00A64C90">
        <w:rPr>
          <w:rFonts w:ascii="Verdana" w:hAnsi="Verdana"/>
          <w:sz w:val="20"/>
          <w:szCs w:val="20"/>
        </w:rPr>
        <w:t>la Ley 996 de 2005 establece dos (2) tipos de restricciones en materia de contratación, las cuales coinciden parcialmente. En primer lugar, la del artículo 33 que opera solo respecto de las elecciones presidenciales, en virtud de la cual queda prohibida la contratación directa dentro de los cuatro (4) meses anteriores a la celebración de los comicios, salvo las citadas excepciones.</w:t>
      </w:r>
      <w:r w:rsidR="0060173C">
        <w:rPr>
          <w:rFonts w:ascii="Verdana" w:hAnsi="Verdana"/>
          <w:sz w:val="20"/>
          <w:szCs w:val="20"/>
        </w:rPr>
        <w:t xml:space="preserve"> […]</w:t>
      </w:r>
    </w:p>
    <w:p w14:paraId="26C8D1C4" w14:textId="77777777" w:rsidR="0060173C" w:rsidRDefault="0060173C" w:rsidP="00E63836">
      <w:pPr>
        <w:spacing w:after="0" w:line="240" w:lineRule="auto"/>
        <w:jc w:val="both"/>
        <w:rPr>
          <w:rFonts w:ascii="Verdana" w:hAnsi="Verdana"/>
          <w:sz w:val="20"/>
          <w:szCs w:val="20"/>
        </w:rPr>
      </w:pPr>
    </w:p>
    <w:p w14:paraId="50D110BD" w14:textId="77777777" w:rsidR="0060173C" w:rsidRDefault="0060173C" w:rsidP="00E63836">
      <w:pPr>
        <w:spacing w:after="0" w:line="240" w:lineRule="auto"/>
        <w:jc w:val="both"/>
        <w:rPr>
          <w:rFonts w:ascii="Verdana" w:hAnsi="Verdana"/>
          <w:sz w:val="20"/>
          <w:szCs w:val="20"/>
        </w:rPr>
      </w:pPr>
      <w:r w:rsidRPr="0060173C">
        <w:rPr>
          <w:rFonts w:ascii="Verdana" w:hAnsi="Verdana"/>
          <w:sz w:val="20"/>
          <w:szCs w:val="20"/>
        </w:rPr>
        <w:t xml:space="preserve">En segundo lugar,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 </w:t>
      </w:r>
    </w:p>
    <w:p w14:paraId="01192CD5" w14:textId="77777777" w:rsidR="0060173C" w:rsidRDefault="0060173C" w:rsidP="00E63836">
      <w:pPr>
        <w:spacing w:after="0" w:line="240" w:lineRule="auto"/>
        <w:jc w:val="both"/>
        <w:rPr>
          <w:rFonts w:ascii="Verdana" w:hAnsi="Verdana"/>
          <w:sz w:val="20"/>
          <w:szCs w:val="20"/>
        </w:rPr>
      </w:pPr>
    </w:p>
    <w:p w14:paraId="7D900BB3" w14:textId="6AACC547" w:rsidR="0060173C" w:rsidRPr="00A64C90" w:rsidRDefault="0060173C" w:rsidP="00E63836">
      <w:pPr>
        <w:spacing w:after="0" w:line="240" w:lineRule="auto"/>
        <w:jc w:val="both"/>
        <w:rPr>
          <w:rFonts w:ascii="Verdana" w:hAnsi="Verdana"/>
          <w:sz w:val="20"/>
          <w:szCs w:val="20"/>
        </w:rPr>
      </w:pPr>
      <w:r w:rsidRPr="0060173C">
        <w:rPr>
          <w:rFonts w:ascii="Verdana" w:hAnsi="Verdana"/>
          <w:sz w:val="20"/>
          <w:szCs w:val="20"/>
        </w:rPr>
        <w:t xml:space="preserve">Ambas restricciones no son excluyentes, lo que permite concluir que en el período preelectoral para elección de </w:t>
      </w:r>
      <w:proofErr w:type="gramStart"/>
      <w:r w:rsidRPr="0060173C">
        <w:rPr>
          <w:rFonts w:ascii="Verdana" w:hAnsi="Verdana"/>
          <w:sz w:val="20"/>
          <w:szCs w:val="20"/>
        </w:rPr>
        <w:t>Presidente</w:t>
      </w:r>
      <w:proofErr w:type="gramEnd"/>
      <w:r w:rsidRPr="0060173C">
        <w:rPr>
          <w:rFonts w:ascii="Verdana" w:hAnsi="Verdana"/>
          <w:sz w:val="20"/>
          <w:szCs w:val="20"/>
        </w:rPr>
        <w:t xml:space="preserve"> de la República, a todos los entes del Estado, incluidos los territoriales, aplican las restricciones del artículo 33 con sus excepciones, así como las del parágrafo del artículo 38.</w:t>
      </w:r>
    </w:p>
    <w:p w14:paraId="472C30F8" w14:textId="77777777" w:rsidR="00BF32AB" w:rsidRPr="00E63836" w:rsidRDefault="00BF32AB" w:rsidP="00E63836">
      <w:pPr>
        <w:spacing w:after="0" w:line="240" w:lineRule="auto"/>
        <w:jc w:val="both"/>
        <w:rPr>
          <w:rFonts w:ascii="Verdana" w:hAnsi="Verdana"/>
          <w:b/>
          <w:bCs/>
        </w:rPr>
      </w:pPr>
    </w:p>
    <w:p w14:paraId="3C454E99" w14:textId="375DCF51" w:rsidR="00BF32AB" w:rsidRPr="00E63836" w:rsidRDefault="00BF32AB" w:rsidP="00E63836">
      <w:pPr>
        <w:spacing w:after="0" w:line="240" w:lineRule="auto"/>
        <w:jc w:val="both"/>
        <w:rPr>
          <w:rFonts w:ascii="Verdana" w:eastAsia="Calibri" w:hAnsi="Verdana" w:cs="Arial"/>
          <w:b/>
          <w:bCs/>
          <w:lang w:val="es-ES" w:eastAsia="es-ES"/>
        </w:rPr>
      </w:pPr>
      <w:r w:rsidRPr="00E63836">
        <w:rPr>
          <w:rFonts w:ascii="Verdana" w:eastAsia="Calibri" w:hAnsi="Verdana" w:cs="Arial"/>
          <w:b/>
          <w:bCs/>
          <w:lang w:val="es-ES" w:eastAsia="es-ES"/>
        </w:rPr>
        <w:t>LEY DE GARANTÍAS ELECTORALES – Contratación directa – Alcance material</w:t>
      </w:r>
    </w:p>
    <w:p w14:paraId="3D1F5F7E" w14:textId="77777777" w:rsidR="00BF32AB" w:rsidRDefault="00BF32AB" w:rsidP="00E63836">
      <w:pPr>
        <w:spacing w:after="0" w:line="240" w:lineRule="auto"/>
        <w:jc w:val="both"/>
        <w:rPr>
          <w:rFonts w:ascii="Verdana" w:eastAsia="Calibri" w:hAnsi="Verdana" w:cs="Arial"/>
          <w:b/>
          <w:bCs/>
          <w:lang w:val="es-ES" w:eastAsia="es-ES"/>
        </w:rPr>
      </w:pPr>
    </w:p>
    <w:p w14:paraId="1863C0F1" w14:textId="3A316783" w:rsidR="00C012E7" w:rsidRPr="00C012E7" w:rsidRDefault="00C012E7" w:rsidP="00C012E7">
      <w:pPr>
        <w:spacing w:after="120" w:line="276" w:lineRule="auto"/>
        <w:jc w:val="both"/>
        <w:rPr>
          <w:rFonts w:ascii="Verdana" w:hAnsi="Verdana" w:cs="Arial"/>
          <w:sz w:val="20"/>
          <w:szCs w:val="20"/>
          <w:lang w:eastAsia="x-none"/>
        </w:rPr>
      </w:pPr>
      <w:r>
        <w:rPr>
          <w:rFonts w:ascii="Verdana" w:hAnsi="Verdana" w:cs="Arial"/>
          <w:sz w:val="20"/>
          <w:szCs w:val="20"/>
        </w:rPr>
        <w:t>[…] l</w:t>
      </w:r>
      <w:r w:rsidRPr="00C012E7">
        <w:rPr>
          <w:rFonts w:ascii="Verdana" w:hAnsi="Verdana" w:cs="Arial"/>
          <w:sz w:val="20"/>
          <w:szCs w:val="20"/>
        </w:rPr>
        <w:t xml:space="preserve">a prohibición establecida en el artículo 33 de la Ley de Garantías Electorales se aplica a “todo mecanismo que no contemple una convocatoria pública ni permita la participación de múltiples oferentes”. En consecuencia, quedan excluidas las demás modalidades de contratación contempladas en la Ley 1150 de 2007, tales como la licitación pública, la selección abreviada y el concurso de méritos, así como aquellas previstas en disposiciones especiales. </w:t>
      </w:r>
      <w:r w:rsidRPr="00C012E7">
        <w:rPr>
          <w:rFonts w:ascii="Verdana" w:hAnsi="Verdana" w:cs="Arial"/>
          <w:sz w:val="20"/>
          <w:szCs w:val="20"/>
          <w:lang w:eastAsia="x-none"/>
        </w:rPr>
        <w:t xml:space="preserve">Esta posición es congruente con la expedición de </w:t>
      </w:r>
      <w:r w:rsidRPr="00C012E7">
        <w:rPr>
          <w:rFonts w:ascii="Verdana" w:hAnsi="Verdana" w:cs="Arial"/>
          <w:sz w:val="20"/>
          <w:szCs w:val="20"/>
          <w:lang w:eastAsia="x-none"/>
        </w:rPr>
        <w:lastRenderedPageBreak/>
        <w:t>la Ley 1150 de 2007 que, entre otras reformas, introdujo la selección abreviada, rediseñó el concurso de méritos y sistematizó las causales de contratación direct</w:t>
      </w:r>
      <w:r>
        <w:rPr>
          <w:rFonts w:ascii="Verdana" w:hAnsi="Verdana" w:cs="Arial"/>
          <w:sz w:val="20"/>
          <w:szCs w:val="20"/>
          <w:lang w:eastAsia="x-none"/>
        </w:rPr>
        <w:t>a</w:t>
      </w:r>
      <w:r w:rsidRPr="00C012E7">
        <w:rPr>
          <w:rFonts w:ascii="Verdana" w:hAnsi="Verdana" w:cs="Arial"/>
          <w:sz w:val="20"/>
          <w:szCs w:val="20"/>
          <w:lang w:eastAsia="x-none"/>
        </w:rPr>
        <w:t>.</w:t>
      </w:r>
    </w:p>
    <w:p w14:paraId="52D29591" w14:textId="1997B09F" w:rsidR="00C012E7" w:rsidRPr="00EB3E6F" w:rsidRDefault="00C012E7" w:rsidP="00E63836">
      <w:pPr>
        <w:spacing w:after="0" w:line="240" w:lineRule="auto"/>
        <w:jc w:val="both"/>
        <w:rPr>
          <w:rFonts w:ascii="Verdana" w:hAnsi="Verdana" w:cs="Arial"/>
          <w:bCs/>
          <w:sz w:val="18"/>
          <w:szCs w:val="18"/>
          <w:lang w:val="es-MX" w:eastAsia="x-none"/>
        </w:rPr>
      </w:pPr>
      <w:r w:rsidRPr="00C012E7">
        <w:rPr>
          <w:rFonts w:ascii="Verdana" w:hAnsi="Verdana" w:cs="Arial"/>
          <w:bCs/>
          <w:sz w:val="20"/>
          <w:szCs w:val="20"/>
          <w:lang w:val="es-MX" w:eastAsia="x-none"/>
        </w:rPr>
        <w:t>De tal manera, debe entenderse que, para los efectos de la Ley de Garantías Electorales y, en particular, para la prohibición o restricción temporal contenida en su artículo 33, la “contratación directa” es cualquier sistema de selección o procedimiento de contratación utilizado por las entidades estatales que no incluya la convocatoria pública en alguna de sus etapas, ni permita la participación de una pluralidad de oferentes</w:t>
      </w:r>
      <w:r w:rsidR="00A47DB4">
        <w:rPr>
          <w:rFonts w:ascii="Verdana" w:hAnsi="Verdana" w:cs="Arial"/>
          <w:bCs/>
          <w:sz w:val="20"/>
          <w:szCs w:val="20"/>
          <w:lang w:val="es-MX" w:eastAsia="x-none"/>
        </w:rPr>
        <w:t>.</w:t>
      </w:r>
    </w:p>
    <w:p w14:paraId="49923C02" w14:textId="77777777" w:rsidR="00C012E7" w:rsidRDefault="00C012E7" w:rsidP="00E63836">
      <w:pPr>
        <w:spacing w:after="0" w:line="240" w:lineRule="auto"/>
        <w:jc w:val="both"/>
        <w:rPr>
          <w:rFonts w:ascii="Verdana" w:hAnsi="Verdana" w:cs="Arial"/>
          <w:bCs/>
          <w:sz w:val="20"/>
          <w:szCs w:val="20"/>
          <w:lang w:val="es-MX" w:eastAsia="x-none"/>
        </w:rPr>
      </w:pPr>
    </w:p>
    <w:p w14:paraId="3E6629E2" w14:textId="4C3C8A4B" w:rsidR="00BF32AB" w:rsidRPr="00E63836" w:rsidRDefault="003746D4" w:rsidP="00E63836">
      <w:pPr>
        <w:spacing w:after="0" w:line="240" w:lineRule="auto"/>
        <w:jc w:val="both"/>
        <w:rPr>
          <w:rFonts w:ascii="Verdana" w:hAnsi="Verdana"/>
          <w:b/>
          <w:bCs/>
        </w:rPr>
      </w:pPr>
      <w:r w:rsidRPr="00E63836">
        <w:rPr>
          <w:rFonts w:ascii="Verdana" w:eastAsia="Calibri" w:hAnsi="Verdana" w:cs="Arial"/>
          <w:b/>
          <w:bCs/>
          <w:lang w:val="es-ES" w:eastAsia="es-ES"/>
        </w:rPr>
        <w:t>LEY DE GARANTÍAS ELECTORALES – Contratación directa – Alcance material – Excepciones</w:t>
      </w:r>
    </w:p>
    <w:p w14:paraId="690E5AE8" w14:textId="77777777" w:rsidR="00BF32AB" w:rsidRPr="00E63836" w:rsidRDefault="00BF32AB" w:rsidP="00E63836">
      <w:pPr>
        <w:spacing w:after="0" w:line="240" w:lineRule="auto"/>
        <w:jc w:val="both"/>
        <w:rPr>
          <w:rFonts w:ascii="Verdana" w:hAnsi="Verdana"/>
          <w:b/>
          <w:bCs/>
        </w:rPr>
      </w:pPr>
    </w:p>
    <w:p w14:paraId="154D7F04" w14:textId="480E611C" w:rsidR="00EC6804" w:rsidRPr="00EC6804" w:rsidRDefault="009E491D" w:rsidP="009E491D">
      <w:pPr>
        <w:spacing w:after="120" w:line="276" w:lineRule="auto"/>
        <w:jc w:val="both"/>
        <w:rPr>
          <w:rFonts w:ascii="Verdana" w:hAnsi="Verdana" w:cs="Arial"/>
          <w:bCs/>
          <w:sz w:val="20"/>
          <w:szCs w:val="20"/>
          <w:lang w:val="es-MX" w:eastAsia="es-CO"/>
        </w:rPr>
      </w:pPr>
      <w:r>
        <w:rPr>
          <w:rFonts w:ascii="Verdana" w:hAnsi="Verdana" w:cs="Arial"/>
          <w:bCs/>
          <w:sz w:val="20"/>
          <w:szCs w:val="20"/>
          <w:lang w:val="es-MX" w:eastAsia="x-none"/>
        </w:rPr>
        <w:t xml:space="preserve">[…] </w:t>
      </w:r>
      <w:r w:rsidR="00EC6804" w:rsidRPr="00EC6804">
        <w:rPr>
          <w:rFonts w:ascii="Verdana" w:hAnsi="Verdana" w:cs="Arial"/>
          <w:bCs/>
          <w:sz w:val="20"/>
          <w:szCs w:val="20"/>
          <w:lang w:val="es-MX" w:eastAsia="x-none"/>
        </w:rPr>
        <w:t xml:space="preserve">las excepciones a la restricción prevista en la Ley de Garantías Electorales, con fundamento en las cuales las entidades públicas podrán adelantar procedimientos de selección directa en períodos previos a la contienda electoral por la Presidencia, se encuentran consagradas de manera taxativa en el inciso final del citado artículo 33 de la Ley 996 de 2005. Dichas excepciones corresponden a: i) la defensa y seguridad del Estado; </w:t>
      </w:r>
      <w:proofErr w:type="spellStart"/>
      <w:r w:rsidR="00EC6804" w:rsidRPr="00EC6804">
        <w:rPr>
          <w:rFonts w:ascii="Verdana" w:hAnsi="Verdana" w:cs="Arial"/>
          <w:bCs/>
          <w:sz w:val="20"/>
          <w:szCs w:val="20"/>
          <w:lang w:val="es-MX" w:eastAsia="x-none"/>
        </w:rPr>
        <w:t>ii</w:t>
      </w:r>
      <w:proofErr w:type="spellEnd"/>
      <w:r w:rsidR="00EC6804" w:rsidRPr="00EC6804">
        <w:rPr>
          <w:rFonts w:ascii="Verdana" w:hAnsi="Verdana" w:cs="Arial"/>
          <w:bCs/>
          <w:sz w:val="20"/>
          <w:szCs w:val="20"/>
          <w:lang w:val="es-MX" w:eastAsia="x-none"/>
        </w:rPr>
        <w:t xml:space="preserve">) los contratos de crédito público; </w:t>
      </w:r>
      <w:proofErr w:type="spellStart"/>
      <w:r w:rsidR="00EC6804" w:rsidRPr="00EC6804">
        <w:rPr>
          <w:rFonts w:ascii="Verdana" w:hAnsi="Verdana" w:cs="Arial"/>
          <w:bCs/>
          <w:sz w:val="20"/>
          <w:szCs w:val="20"/>
          <w:lang w:val="es-MX" w:eastAsia="x-none"/>
        </w:rPr>
        <w:t>iii</w:t>
      </w:r>
      <w:proofErr w:type="spellEnd"/>
      <w:r w:rsidR="00EC6804" w:rsidRPr="00EC6804">
        <w:rPr>
          <w:rFonts w:ascii="Verdana" w:hAnsi="Verdana" w:cs="Arial"/>
          <w:bCs/>
          <w:sz w:val="20"/>
          <w:szCs w:val="20"/>
          <w:lang w:val="es-MX" w:eastAsia="x-none"/>
        </w:rPr>
        <w:t xml:space="preserve">) los requeridos para cubrir las emergencias educativas, sanitarias y desastres; </w:t>
      </w:r>
      <w:proofErr w:type="spellStart"/>
      <w:r w:rsidR="00EC6804" w:rsidRPr="00EC6804">
        <w:rPr>
          <w:rFonts w:ascii="Verdana" w:hAnsi="Verdana" w:cs="Arial"/>
          <w:bCs/>
          <w:sz w:val="20"/>
          <w:szCs w:val="20"/>
          <w:lang w:val="es-MX" w:eastAsia="x-none"/>
        </w:rPr>
        <w:t>iv</w:t>
      </w:r>
      <w:proofErr w:type="spellEnd"/>
      <w:r w:rsidR="00EC6804" w:rsidRPr="00EC6804">
        <w:rPr>
          <w:rFonts w:ascii="Verdana" w:hAnsi="Verdana" w:cs="Arial"/>
          <w:bCs/>
          <w:sz w:val="20"/>
          <w:szCs w:val="20"/>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00EC6804" w:rsidRPr="00EC6804">
        <w:rPr>
          <w:rFonts w:ascii="Verdana" w:hAnsi="Verdana" w:cs="Arial"/>
          <w:bCs/>
          <w:sz w:val="20"/>
          <w:szCs w:val="20"/>
          <w:lang w:val="es-MX" w:eastAsia="es-CO"/>
        </w:rPr>
        <w:t xml:space="preserve"> </w:t>
      </w:r>
    </w:p>
    <w:p w14:paraId="494EB280" w14:textId="1BD663B5" w:rsidR="00BF32AB" w:rsidRDefault="00EC6804" w:rsidP="00E63836">
      <w:pPr>
        <w:spacing w:after="0" w:line="240" w:lineRule="auto"/>
        <w:jc w:val="both"/>
        <w:rPr>
          <w:rFonts w:ascii="Verdana" w:hAnsi="Verdana" w:cs="Arial"/>
          <w:bCs/>
          <w:sz w:val="20"/>
          <w:szCs w:val="20"/>
          <w:lang w:val="es-MX" w:eastAsia="x-none"/>
        </w:rPr>
      </w:pPr>
      <w:r w:rsidRPr="00EC6804">
        <w:rPr>
          <w:rFonts w:ascii="Verdana" w:hAnsi="Verdana" w:cs="Arial"/>
          <w:bCs/>
          <w:sz w:val="20"/>
          <w:szCs w:val="20"/>
          <w:lang w:val="es-MX" w:eastAsia="es-CO"/>
        </w:rPr>
        <w:t>Conforme a lo consagrado en esta disposición,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r w:rsidR="00A47DB4">
        <w:rPr>
          <w:rFonts w:ascii="Verdana" w:hAnsi="Verdana" w:cs="Arial"/>
          <w:bCs/>
          <w:sz w:val="20"/>
          <w:szCs w:val="20"/>
          <w:lang w:val="es-MX" w:eastAsia="es-CO"/>
        </w:rPr>
        <w:t xml:space="preserve">. </w:t>
      </w:r>
      <w:r w:rsidR="009E491D">
        <w:rPr>
          <w:rFonts w:ascii="Verdana" w:hAnsi="Verdana" w:cs="Arial"/>
          <w:bCs/>
          <w:sz w:val="20"/>
          <w:szCs w:val="20"/>
          <w:lang w:val="es-MX" w:eastAsia="x-none"/>
        </w:rPr>
        <w:t>[…]</w:t>
      </w:r>
    </w:p>
    <w:p w14:paraId="5BC4D7A7" w14:textId="77777777" w:rsidR="00982FB8" w:rsidRPr="00EC6804" w:rsidRDefault="00982FB8" w:rsidP="00E63836">
      <w:pPr>
        <w:spacing w:after="0" w:line="240" w:lineRule="auto"/>
        <w:jc w:val="both"/>
        <w:rPr>
          <w:rFonts w:ascii="Verdana" w:hAnsi="Verdana"/>
          <w:sz w:val="20"/>
          <w:szCs w:val="20"/>
        </w:rPr>
      </w:pPr>
    </w:p>
    <w:p w14:paraId="354BF0AA" w14:textId="2FDEBC2F" w:rsidR="00BF32AB" w:rsidRDefault="00E965BB" w:rsidP="00E63836">
      <w:pPr>
        <w:spacing w:after="0" w:line="240" w:lineRule="auto"/>
        <w:jc w:val="both"/>
        <w:rPr>
          <w:rFonts w:ascii="Verdana" w:eastAsia="Calibri" w:hAnsi="Verdana" w:cs="Arial"/>
          <w:b/>
          <w:bCs/>
          <w:lang w:val="es-ES" w:eastAsia="es-ES"/>
        </w:rPr>
      </w:pPr>
      <w:r w:rsidRPr="00E63836">
        <w:rPr>
          <w:rFonts w:ascii="Verdana" w:eastAsia="Calibri" w:hAnsi="Verdana" w:cs="Arial"/>
          <w:b/>
          <w:bCs/>
          <w:lang w:val="es-ES" w:eastAsia="es-ES"/>
        </w:rPr>
        <w:t>LEY DE GARANTÍAS ELECTORALES – Convenios interadministrativos – Criterio orgánico</w:t>
      </w:r>
    </w:p>
    <w:p w14:paraId="14D49237" w14:textId="77777777" w:rsidR="00520B4D" w:rsidRPr="00E63836" w:rsidRDefault="00520B4D" w:rsidP="00E63836">
      <w:pPr>
        <w:spacing w:after="0" w:line="240" w:lineRule="auto"/>
        <w:jc w:val="both"/>
        <w:rPr>
          <w:rFonts w:ascii="Verdana" w:eastAsia="Calibri" w:hAnsi="Verdana" w:cs="Arial"/>
          <w:b/>
          <w:bCs/>
          <w:lang w:val="es-ES" w:eastAsia="es-ES"/>
        </w:rPr>
      </w:pPr>
    </w:p>
    <w:p w14:paraId="048E9530" w14:textId="71EB1DA6" w:rsidR="00E965BB" w:rsidRDefault="00520B4D" w:rsidP="00E63836">
      <w:pPr>
        <w:spacing w:after="0" w:line="240" w:lineRule="auto"/>
        <w:jc w:val="both"/>
        <w:rPr>
          <w:rFonts w:ascii="Verdana" w:hAnsi="Verdana" w:cs="Arial"/>
          <w:sz w:val="20"/>
          <w:szCs w:val="20"/>
          <w:lang w:eastAsia="es-ES"/>
        </w:rPr>
      </w:pPr>
      <w:r>
        <w:rPr>
          <w:rFonts w:ascii="Verdana" w:eastAsia="Times New Roman" w:hAnsi="Verdana" w:cs="Arial"/>
          <w:sz w:val="20"/>
          <w:szCs w:val="20"/>
          <w:lang w:val="es-ES" w:eastAsia="es-ES"/>
        </w:rPr>
        <w:t xml:space="preserve">[…] </w:t>
      </w:r>
      <w:r w:rsidRPr="00520B4D">
        <w:rPr>
          <w:rFonts w:ascii="Verdana" w:eastAsia="Times New Roman" w:hAnsi="Verdana" w:cs="Arial"/>
          <w:sz w:val="20"/>
          <w:szCs w:val="20"/>
          <w:lang w:val="es-ES" w:eastAsia="es-ES"/>
        </w:rPr>
        <w:t xml:space="preserve">Para tales efectos, debe precisarse que </w:t>
      </w:r>
      <w:r w:rsidRPr="00520B4D">
        <w:rPr>
          <w:rFonts w:ascii="Verdana" w:eastAsia="Times New Roman" w:hAnsi="Verdana" w:cs="Arial"/>
          <w:color w:val="000000" w:themeColor="text1"/>
          <w:sz w:val="20"/>
          <w:szCs w:val="20"/>
          <w:lang w:val="es-ES" w:eastAsia="es-CO"/>
        </w:rPr>
        <w:t xml:space="preserve">los convenios interadministrativos están determinados por un criterio orgánico, pues es necesario que los extremos de la relación contractual sean entidades públicas, </w:t>
      </w:r>
      <w:r w:rsidRPr="00520B4D">
        <w:rPr>
          <w:rFonts w:ascii="Verdana" w:hAnsi="Verdana" w:cs="Arial"/>
          <w:sz w:val="20"/>
          <w:szCs w:val="20"/>
          <w:lang w:eastAsia="es-ES"/>
        </w:rPr>
        <w:t>independientemente de las normas que regulan la relación contractual.</w:t>
      </w:r>
    </w:p>
    <w:p w14:paraId="6AC0EDB3" w14:textId="10752F30" w:rsidR="00EF1C22" w:rsidRDefault="00EF1C22" w:rsidP="00E63836">
      <w:pPr>
        <w:spacing w:after="0" w:line="240" w:lineRule="auto"/>
        <w:jc w:val="both"/>
        <w:rPr>
          <w:rFonts w:ascii="Verdana" w:hAnsi="Verdana" w:cs="Arial"/>
          <w:sz w:val="20"/>
          <w:szCs w:val="20"/>
          <w:lang w:eastAsia="es-ES"/>
        </w:rPr>
      </w:pPr>
    </w:p>
    <w:p w14:paraId="61F4F2A5" w14:textId="4F76EDFF" w:rsidR="00E965BB" w:rsidRDefault="00F659B1" w:rsidP="00E63836">
      <w:pPr>
        <w:spacing w:after="0" w:line="240" w:lineRule="auto"/>
        <w:jc w:val="both"/>
        <w:rPr>
          <w:rFonts w:ascii="Verdana" w:hAnsi="Verdana" w:cs="Arial"/>
          <w:sz w:val="20"/>
          <w:szCs w:val="20"/>
          <w:lang w:val="es-ES"/>
        </w:rPr>
      </w:pPr>
      <w:r>
        <w:rPr>
          <w:rFonts w:ascii="Verdana" w:hAnsi="Verdana" w:cs="Arial"/>
          <w:sz w:val="20"/>
          <w:szCs w:val="20"/>
          <w:lang w:val="es-ES"/>
        </w:rPr>
        <w:t xml:space="preserve">[…] </w:t>
      </w:r>
      <w:r w:rsidRPr="00F659B1">
        <w:rPr>
          <w:rFonts w:ascii="Verdana" w:hAnsi="Verdana" w:cs="Arial"/>
          <w:sz w:val="20"/>
          <w:szCs w:val="20"/>
          <w:lang w:val="es-ES"/>
        </w:rPr>
        <w:t>Lo que hace interadministrativo a un contrato o convenio no es el procedimiento de selección aplicable, sino la calidad de los sujetos contratantes, esto es que las dos partes de la relación jurídica contractual formen parte de la administración pública</w:t>
      </w:r>
      <w:r>
        <w:rPr>
          <w:rFonts w:ascii="Verdana" w:hAnsi="Verdana" w:cs="Arial"/>
          <w:sz w:val="20"/>
          <w:szCs w:val="20"/>
          <w:lang w:val="es-ES"/>
        </w:rPr>
        <w:t xml:space="preserve"> […]</w:t>
      </w:r>
    </w:p>
    <w:p w14:paraId="75375F7D" w14:textId="77777777" w:rsidR="00277282" w:rsidRDefault="00277282" w:rsidP="00E63836">
      <w:pPr>
        <w:spacing w:after="0" w:line="240" w:lineRule="auto"/>
        <w:jc w:val="both"/>
        <w:rPr>
          <w:rFonts w:ascii="Verdana" w:hAnsi="Verdana" w:cs="Arial"/>
          <w:sz w:val="20"/>
          <w:szCs w:val="20"/>
          <w:lang w:val="es-ES"/>
        </w:rPr>
      </w:pPr>
    </w:p>
    <w:p w14:paraId="107F5FD7" w14:textId="02DA6CDC" w:rsidR="00574C33" w:rsidRPr="00574C33" w:rsidRDefault="00574C33" w:rsidP="00E63836">
      <w:pPr>
        <w:spacing w:after="0" w:line="240" w:lineRule="auto"/>
        <w:jc w:val="both"/>
        <w:rPr>
          <w:rFonts w:ascii="Verdana" w:hAnsi="Verdana" w:cs="Arial"/>
          <w:sz w:val="20"/>
          <w:szCs w:val="20"/>
          <w:lang w:val="es-ES"/>
        </w:rPr>
      </w:pPr>
      <w:r w:rsidRPr="00574C33">
        <w:rPr>
          <w:rFonts w:ascii="Verdana" w:hAnsi="Verdana" w:cs="Arial"/>
          <w:sz w:val="20"/>
          <w:szCs w:val="20"/>
          <w:lang w:val="es-ES"/>
        </w:rPr>
        <w:t xml:space="preserve">[…] </w:t>
      </w:r>
      <w:r w:rsidRPr="00574C33">
        <w:rPr>
          <w:rFonts w:ascii="Verdana" w:eastAsia="Times New Roman" w:hAnsi="Verdana" w:cs="Arial"/>
          <w:sz w:val="20"/>
          <w:szCs w:val="20"/>
          <w:lang w:val="es-MX" w:eastAsia="es-CO"/>
        </w:rPr>
        <w:t xml:space="preserve">En este sentido, si una o ambas partes de la relación contractual es una entidad de aquellas descritas en el parágrafo </w:t>
      </w:r>
      <w:r w:rsidRPr="00574C33">
        <w:rPr>
          <w:rFonts w:ascii="Verdana" w:eastAsia="Times New Roman" w:hAnsi="Verdana" w:cs="Arial"/>
          <w:i/>
          <w:sz w:val="20"/>
          <w:szCs w:val="20"/>
          <w:lang w:val="es-MX" w:eastAsia="es-CO"/>
        </w:rPr>
        <w:t>ibidem</w:t>
      </w:r>
      <w:r w:rsidRPr="00574C33">
        <w:rPr>
          <w:rFonts w:ascii="Verdana" w:eastAsia="Times New Roman" w:hAnsi="Verdana" w:cs="Arial"/>
          <w:sz w:val="20"/>
          <w:szCs w:val="20"/>
          <w:lang w:val="es-MX" w:eastAsia="es-CO"/>
        </w:rPr>
        <w:t xml:space="preserve">, no podrá celebrar tales </w:t>
      </w:r>
      <w:r w:rsidRPr="00574C33">
        <w:rPr>
          <w:rFonts w:ascii="Verdana" w:eastAsia="Times New Roman" w:hAnsi="Verdana" w:cs="Arial"/>
          <w:i/>
          <w:iCs/>
          <w:sz w:val="20"/>
          <w:szCs w:val="20"/>
          <w:lang w:val="es-MX" w:eastAsia="es-CO"/>
        </w:rPr>
        <w:t>convenios</w:t>
      </w:r>
      <w:r w:rsidRPr="00574C33">
        <w:rPr>
          <w:rFonts w:ascii="Verdana" w:eastAsia="Times New Roman" w:hAnsi="Verdana" w:cs="Arial"/>
          <w:sz w:val="20"/>
          <w:szCs w:val="20"/>
          <w:lang w:val="es-MX" w:eastAsia="es-CO"/>
        </w:rPr>
        <w:t xml:space="preserve"> durante la aplicación de la Ley de Garantías Electorales […]</w:t>
      </w:r>
    </w:p>
    <w:p w14:paraId="48631FEC" w14:textId="77777777" w:rsidR="00F659B1" w:rsidRPr="00F659B1" w:rsidRDefault="00F659B1" w:rsidP="00E63836">
      <w:pPr>
        <w:spacing w:after="0" w:line="240" w:lineRule="auto"/>
        <w:jc w:val="both"/>
        <w:rPr>
          <w:rFonts w:ascii="Verdana" w:hAnsi="Verdana"/>
          <w:b/>
          <w:bCs/>
          <w:sz w:val="20"/>
          <w:szCs w:val="20"/>
        </w:rPr>
      </w:pPr>
    </w:p>
    <w:p w14:paraId="1F5FAB35" w14:textId="3257507D" w:rsidR="00BF32AB" w:rsidRPr="00E63836" w:rsidRDefault="00E965BB" w:rsidP="00E63836">
      <w:pPr>
        <w:spacing w:after="0" w:line="240" w:lineRule="auto"/>
        <w:jc w:val="both"/>
        <w:rPr>
          <w:rFonts w:ascii="Verdana" w:hAnsi="Verdana"/>
          <w:b/>
          <w:bCs/>
        </w:rPr>
      </w:pPr>
      <w:r w:rsidRPr="00E63836">
        <w:rPr>
          <w:rFonts w:ascii="Verdana" w:eastAsia="Calibri" w:hAnsi="Verdana" w:cs="Arial"/>
          <w:b/>
          <w:bCs/>
          <w:lang w:val="es-ES" w:eastAsia="es-ES"/>
        </w:rPr>
        <w:lastRenderedPageBreak/>
        <w:t>LEY DE GARANTÍAS ELECTORALES – Ejecución de recursos públicos</w:t>
      </w:r>
    </w:p>
    <w:p w14:paraId="5C9B94BD" w14:textId="77777777" w:rsidR="00BF32AB" w:rsidRPr="00A47DB4" w:rsidRDefault="00BF32AB" w:rsidP="00A47DB4">
      <w:pPr>
        <w:spacing w:after="0" w:line="240" w:lineRule="auto"/>
        <w:jc w:val="both"/>
        <w:rPr>
          <w:rFonts w:ascii="Verdana" w:hAnsi="Verdana"/>
          <w:b/>
          <w:bCs/>
          <w:sz w:val="20"/>
          <w:szCs w:val="20"/>
        </w:rPr>
      </w:pPr>
    </w:p>
    <w:p w14:paraId="186E4E65" w14:textId="084B3DC7" w:rsidR="00A47DB4" w:rsidRPr="00A47DB4" w:rsidRDefault="00A47DB4" w:rsidP="00A47DB4">
      <w:pPr>
        <w:spacing w:after="0" w:line="240" w:lineRule="auto"/>
        <w:jc w:val="both"/>
        <w:rPr>
          <w:rFonts w:ascii="Verdana" w:eastAsia="Times New Roman" w:hAnsi="Verdana" w:cs="Arial"/>
          <w:sz w:val="20"/>
          <w:szCs w:val="20"/>
          <w:lang w:eastAsia="es-CO"/>
        </w:rPr>
      </w:pPr>
      <w:r w:rsidRPr="00A47DB4">
        <w:rPr>
          <w:rFonts w:ascii="Verdana" w:eastAsia="Times New Roman" w:hAnsi="Verdana" w:cs="Arial"/>
          <w:sz w:val="20"/>
          <w:szCs w:val="20"/>
          <w:lang w:eastAsia="es-CO"/>
        </w:rPr>
        <w:t xml:space="preserve">[…] el ámbito de aplicación de la restricción prevista en el parágrafo del artículo 38 de la Ley 996 de 2005 comprende a los </w:t>
      </w:r>
      <w:r w:rsidRPr="00A47DB4">
        <w:rPr>
          <w:rFonts w:ascii="Verdana" w:eastAsia="Times New Roman" w:hAnsi="Verdana" w:cs="Arial"/>
          <w:i/>
          <w:iCs/>
          <w:sz w:val="20"/>
          <w:szCs w:val="20"/>
          <w:lang w:eastAsia="es-CO"/>
        </w:rPr>
        <w:t>convenios interadministrativos</w:t>
      </w:r>
      <w:r w:rsidRPr="00A47DB4">
        <w:rPr>
          <w:rFonts w:ascii="Verdana" w:eastAsia="Times New Roman" w:hAnsi="Verdana" w:cs="Arial"/>
          <w:sz w:val="20"/>
          <w:szCs w:val="20"/>
          <w:lang w:eastAsia="es-CO"/>
        </w:rPr>
        <w:t xml:space="preserve"> en los que exista </w:t>
      </w:r>
      <w:r w:rsidRPr="00A47DB4">
        <w:rPr>
          <w:rFonts w:ascii="Verdana" w:eastAsia="Times New Roman" w:hAnsi="Verdana" w:cs="Arial"/>
          <w:i/>
          <w:iCs/>
          <w:sz w:val="20"/>
          <w:szCs w:val="20"/>
          <w:lang w:eastAsia="es-CO"/>
        </w:rPr>
        <w:t>ejecución de recursos públicos</w:t>
      </w:r>
      <w:r w:rsidRPr="00A47DB4">
        <w:rPr>
          <w:rFonts w:ascii="Verdana" w:eastAsia="Times New Roman" w:hAnsi="Verdana" w:cs="Arial"/>
          <w:sz w:val="20"/>
          <w:szCs w:val="20"/>
          <w:lang w:eastAsia="es-CO"/>
        </w:rPr>
        <w:t>, sin importar de que estos sean en dinero o en especie […]</w:t>
      </w:r>
    </w:p>
    <w:p w14:paraId="27D63E49" w14:textId="77777777" w:rsidR="00A47DB4" w:rsidRPr="00A47DB4" w:rsidRDefault="00A47DB4" w:rsidP="00A47DB4">
      <w:pPr>
        <w:spacing w:after="0" w:line="240" w:lineRule="auto"/>
        <w:jc w:val="both"/>
        <w:rPr>
          <w:rFonts w:ascii="Verdana" w:eastAsia="Times New Roman" w:hAnsi="Verdana" w:cs="Arial"/>
          <w:sz w:val="20"/>
          <w:szCs w:val="20"/>
          <w:lang w:eastAsia="es-CO"/>
        </w:rPr>
      </w:pPr>
    </w:p>
    <w:p w14:paraId="3CB7C26A" w14:textId="1FDE224A" w:rsidR="00BF32AB" w:rsidRPr="00A47DB4" w:rsidRDefault="00A47DB4" w:rsidP="00A47DB4">
      <w:pPr>
        <w:spacing w:after="0" w:line="240" w:lineRule="auto"/>
        <w:jc w:val="both"/>
        <w:rPr>
          <w:rFonts w:ascii="Verdana" w:hAnsi="Verdana"/>
          <w:b/>
          <w:bCs/>
          <w:sz w:val="20"/>
          <w:szCs w:val="20"/>
        </w:rPr>
      </w:pPr>
      <w:r w:rsidRPr="00A47DB4">
        <w:rPr>
          <w:rFonts w:ascii="Verdana" w:eastAsia="Times New Roman" w:hAnsi="Verdana" w:cs="Arial"/>
          <w:sz w:val="20"/>
          <w:szCs w:val="20"/>
          <w:lang w:eastAsia="es-CO"/>
        </w:rPr>
        <w:t xml:space="preserve">[…] </w:t>
      </w:r>
      <w:r w:rsidRPr="00A47DB4">
        <w:rPr>
          <w:rFonts w:ascii="Verdana" w:hAnsi="Verdana"/>
          <w:sz w:val="20"/>
          <w:szCs w:val="20"/>
        </w:rPr>
        <w:t>la ejecución de recursos no se agota en el “[…] el dinero que integra el ciclo presupuestal de la entidad […]”, pues “[…] también los bienes muebles, inmuebles y personal hacen parte del concepto de ‘recursos públicos”.</w:t>
      </w:r>
    </w:p>
    <w:p w14:paraId="2590AE12" w14:textId="77777777" w:rsidR="00BF32AB" w:rsidRPr="00A47DB4" w:rsidRDefault="00BF32AB" w:rsidP="00A47DB4">
      <w:pPr>
        <w:spacing w:after="0" w:line="240" w:lineRule="auto"/>
        <w:jc w:val="both"/>
        <w:rPr>
          <w:rFonts w:ascii="Verdana" w:hAnsi="Verdana"/>
          <w:sz w:val="20"/>
          <w:szCs w:val="20"/>
        </w:rPr>
      </w:pPr>
    </w:p>
    <w:p w14:paraId="2104A06D" w14:textId="4973FB29" w:rsidR="00A47DB4" w:rsidRPr="00A47DB4" w:rsidRDefault="00A47DB4" w:rsidP="00A47DB4">
      <w:pPr>
        <w:spacing w:after="0" w:line="240" w:lineRule="auto"/>
        <w:jc w:val="both"/>
        <w:rPr>
          <w:rFonts w:ascii="Verdana" w:hAnsi="Verdana"/>
          <w:sz w:val="20"/>
          <w:szCs w:val="20"/>
        </w:rPr>
      </w:pPr>
      <w:r w:rsidRPr="00A47DB4">
        <w:rPr>
          <w:rFonts w:ascii="Verdana" w:hAnsi="Verdana"/>
          <w:sz w:val="20"/>
          <w:szCs w:val="20"/>
        </w:rPr>
        <w:t xml:space="preserve">[…] </w:t>
      </w:r>
      <w:r w:rsidRPr="00A47DB4">
        <w:rPr>
          <w:rFonts w:ascii="Verdana" w:hAnsi="Verdana" w:cs="Arial"/>
          <w:sz w:val="20"/>
          <w:szCs w:val="20"/>
        </w:rPr>
        <w:t>la prohibición que establece el parágrafo del artículo 38 de la Ley de Garantías consiste en evitar que los recursos del Estado se ejecuten para lograr apoyos indebidos […]</w:t>
      </w:r>
    </w:p>
    <w:p w14:paraId="6C9489B4" w14:textId="77777777" w:rsidR="00BF32AB" w:rsidRPr="00A47DB4" w:rsidRDefault="00BF32AB" w:rsidP="00A47DB4">
      <w:pPr>
        <w:spacing w:after="0" w:line="240" w:lineRule="auto"/>
        <w:jc w:val="both"/>
        <w:rPr>
          <w:rFonts w:ascii="Verdana" w:hAnsi="Verdana"/>
          <w:sz w:val="20"/>
          <w:szCs w:val="20"/>
        </w:rPr>
      </w:pPr>
    </w:p>
    <w:p w14:paraId="06BFF1DA" w14:textId="77777777" w:rsidR="00BF32AB" w:rsidRPr="00A47DB4" w:rsidRDefault="00BF32AB" w:rsidP="00A47DB4">
      <w:pPr>
        <w:spacing w:after="0" w:line="240" w:lineRule="auto"/>
        <w:jc w:val="both"/>
        <w:rPr>
          <w:rFonts w:ascii="Verdana" w:hAnsi="Verdana"/>
          <w:sz w:val="20"/>
          <w:szCs w:val="20"/>
        </w:rPr>
      </w:pPr>
    </w:p>
    <w:p w14:paraId="065F60DC" w14:textId="77777777" w:rsidR="00BF32AB" w:rsidRDefault="00BF32AB" w:rsidP="00897CDD">
      <w:pPr>
        <w:spacing w:after="0" w:line="240" w:lineRule="auto"/>
        <w:rPr>
          <w:rFonts w:ascii="Verdana" w:hAnsi="Verdana"/>
        </w:rPr>
      </w:pPr>
    </w:p>
    <w:p w14:paraId="4D19B6C0" w14:textId="77777777" w:rsidR="00BF32AB" w:rsidRDefault="00BF32AB" w:rsidP="00897CDD">
      <w:pPr>
        <w:spacing w:after="0" w:line="240" w:lineRule="auto"/>
        <w:rPr>
          <w:rFonts w:ascii="Verdana" w:hAnsi="Verdana"/>
        </w:rPr>
      </w:pPr>
    </w:p>
    <w:p w14:paraId="7863D941" w14:textId="77777777" w:rsidR="00BF32AB" w:rsidRDefault="00BF32AB" w:rsidP="00897CDD">
      <w:pPr>
        <w:spacing w:after="0" w:line="240" w:lineRule="auto"/>
        <w:rPr>
          <w:rFonts w:ascii="Verdana" w:hAnsi="Verdana"/>
        </w:rPr>
      </w:pPr>
    </w:p>
    <w:p w14:paraId="7459CD3A" w14:textId="77777777" w:rsidR="00BF32AB" w:rsidRDefault="00BF32AB" w:rsidP="00897CDD">
      <w:pPr>
        <w:spacing w:after="0" w:line="240" w:lineRule="auto"/>
        <w:rPr>
          <w:rFonts w:ascii="Verdana" w:hAnsi="Verdana"/>
        </w:rPr>
      </w:pPr>
    </w:p>
    <w:p w14:paraId="408A5A3F" w14:textId="77777777" w:rsidR="00BF32AB" w:rsidRDefault="00BF32AB" w:rsidP="00897CDD">
      <w:pPr>
        <w:spacing w:after="0" w:line="240" w:lineRule="auto"/>
        <w:rPr>
          <w:rFonts w:ascii="Verdana" w:hAnsi="Verdana"/>
        </w:rPr>
      </w:pPr>
    </w:p>
    <w:p w14:paraId="3AA34279" w14:textId="77777777" w:rsidR="00BF32AB" w:rsidRDefault="00BF32AB" w:rsidP="00897CDD">
      <w:pPr>
        <w:spacing w:after="0" w:line="240" w:lineRule="auto"/>
        <w:rPr>
          <w:rFonts w:ascii="Verdana" w:hAnsi="Verdana"/>
        </w:rPr>
      </w:pPr>
    </w:p>
    <w:p w14:paraId="5D2A5534" w14:textId="77777777" w:rsidR="00BF32AB" w:rsidRDefault="00BF32AB" w:rsidP="00897CDD">
      <w:pPr>
        <w:spacing w:after="0" w:line="240" w:lineRule="auto"/>
        <w:rPr>
          <w:rFonts w:ascii="Verdana" w:hAnsi="Verdana"/>
        </w:rPr>
      </w:pPr>
    </w:p>
    <w:p w14:paraId="579E9ED5" w14:textId="77777777" w:rsidR="00BF32AB" w:rsidRDefault="00BF32AB" w:rsidP="00897CDD">
      <w:pPr>
        <w:spacing w:after="0" w:line="240" w:lineRule="auto"/>
        <w:rPr>
          <w:rFonts w:ascii="Verdana" w:hAnsi="Verdana"/>
        </w:rPr>
      </w:pPr>
    </w:p>
    <w:p w14:paraId="697321BE" w14:textId="77777777" w:rsidR="00BF32AB" w:rsidRDefault="00BF32AB" w:rsidP="00897CDD">
      <w:pPr>
        <w:spacing w:after="0" w:line="240" w:lineRule="auto"/>
        <w:rPr>
          <w:rFonts w:ascii="Verdana" w:hAnsi="Verdana"/>
        </w:rPr>
      </w:pPr>
    </w:p>
    <w:p w14:paraId="0AC761C8" w14:textId="77777777" w:rsidR="00BF32AB" w:rsidRDefault="00BF32AB" w:rsidP="00897CDD">
      <w:pPr>
        <w:spacing w:after="0" w:line="240" w:lineRule="auto"/>
        <w:rPr>
          <w:rFonts w:ascii="Verdana" w:hAnsi="Verdana"/>
        </w:rPr>
      </w:pPr>
    </w:p>
    <w:p w14:paraId="5662649C" w14:textId="77777777" w:rsidR="00BF32AB" w:rsidRDefault="00BF32AB" w:rsidP="00897CDD">
      <w:pPr>
        <w:spacing w:after="0" w:line="240" w:lineRule="auto"/>
        <w:rPr>
          <w:rFonts w:ascii="Verdana" w:hAnsi="Verdana"/>
        </w:rPr>
      </w:pPr>
    </w:p>
    <w:p w14:paraId="6F4867B3" w14:textId="77777777" w:rsidR="00BF32AB" w:rsidRDefault="00BF32AB" w:rsidP="00897CDD">
      <w:pPr>
        <w:spacing w:after="0" w:line="240" w:lineRule="auto"/>
        <w:rPr>
          <w:rFonts w:ascii="Verdana" w:hAnsi="Verdana"/>
        </w:rPr>
      </w:pPr>
    </w:p>
    <w:p w14:paraId="0E16B6F1" w14:textId="77777777" w:rsidR="00BF32AB" w:rsidRDefault="00BF32AB" w:rsidP="00897CDD">
      <w:pPr>
        <w:spacing w:after="0" w:line="240" w:lineRule="auto"/>
        <w:rPr>
          <w:rFonts w:ascii="Verdana" w:hAnsi="Verdana"/>
        </w:rPr>
      </w:pPr>
    </w:p>
    <w:p w14:paraId="5C8C287A" w14:textId="77777777" w:rsidR="00BF32AB" w:rsidRDefault="00BF32AB" w:rsidP="00897CDD">
      <w:pPr>
        <w:spacing w:after="0" w:line="240" w:lineRule="auto"/>
        <w:rPr>
          <w:rFonts w:ascii="Verdana" w:hAnsi="Verdana"/>
        </w:rPr>
      </w:pPr>
    </w:p>
    <w:p w14:paraId="10DF0E9D" w14:textId="77777777" w:rsidR="00BF32AB" w:rsidRDefault="00BF32AB" w:rsidP="00897CDD">
      <w:pPr>
        <w:spacing w:after="0" w:line="240" w:lineRule="auto"/>
        <w:rPr>
          <w:rFonts w:ascii="Verdana" w:hAnsi="Verdana"/>
        </w:rPr>
      </w:pPr>
    </w:p>
    <w:p w14:paraId="34BCB604" w14:textId="77777777" w:rsidR="00BF32AB" w:rsidRDefault="00BF32AB" w:rsidP="00897CDD">
      <w:pPr>
        <w:spacing w:after="0" w:line="240" w:lineRule="auto"/>
        <w:rPr>
          <w:rFonts w:ascii="Verdana" w:hAnsi="Verdana"/>
        </w:rPr>
      </w:pPr>
    </w:p>
    <w:p w14:paraId="420206AC" w14:textId="77777777" w:rsidR="00BF32AB" w:rsidRDefault="00BF32AB" w:rsidP="00897CDD">
      <w:pPr>
        <w:spacing w:after="0" w:line="240" w:lineRule="auto"/>
        <w:rPr>
          <w:rFonts w:ascii="Verdana" w:hAnsi="Verdana"/>
        </w:rPr>
      </w:pPr>
    </w:p>
    <w:p w14:paraId="2C3179CD" w14:textId="77777777" w:rsidR="00A47DB4" w:rsidRDefault="00A47DB4" w:rsidP="00897CDD">
      <w:pPr>
        <w:spacing w:after="0" w:line="240" w:lineRule="auto"/>
        <w:rPr>
          <w:rFonts w:ascii="Verdana" w:hAnsi="Verdana"/>
        </w:rPr>
      </w:pPr>
    </w:p>
    <w:p w14:paraId="016B4E95" w14:textId="77777777" w:rsidR="00A47DB4" w:rsidRDefault="00A47DB4" w:rsidP="00897CDD">
      <w:pPr>
        <w:spacing w:after="0" w:line="240" w:lineRule="auto"/>
        <w:rPr>
          <w:rFonts w:ascii="Verdana" w:hAnsi="Verdana"/>
        </w:rPr>
      </w:pPr>
    </w:p>
    <w:p w14:paraId="65295462" w14:textId="77777777" w:rsidR="00A47DB4" w:rsidRDefault="00A47DB4" w:rsidP="00897CDD">
      <w:pPr>
        <w:spacing w:after="0" w:line="240" w:lineRule="auto"/>
        <w:rPr>
          <w:rFonts w:ascii="Verdana" w:hAnsi="Verdana"/>
        </w:rPr>
      </w:pPr>
    </w:p>
    <w:p w14:paraId="2351A016" w14:textId="77777777" w:rsidR="00A47DB4" w:rsidRDefault="00A47DB4" w:rsidP="00897CDD">
      <w:pPr>
        <w:spacing w:after="0" w:line="240" w:lineRule="auto"/>
        <w:rPr>
          <w:rFonts w:ascii="Verdana" w:hAnsi="Verdana"/>
        </w:rPr>
      </w:pPr>
    </w:p>
    <w:p w14:paraId="5413DE69" w14:textId="77777777" w:rsidR="00B13F1E" w:rsidRDefault="00B13F1E" w:rsidP="00897CDD">
      <w:pPr>
        <w:spacing w:after="0" w:line="240" w:lineRule="auto"/>
        <w:rPr>
          <w:rFonts w:ascii="Verdana" w:hAnsi="Verdana"/>
        </w:rPr>
      </w:pPr>
    </w:p>
    <w:p w14:paraId="0C61140E" w14:textId="77777777" w:rsidR="00BF32AB" w:rsidRDefault="00BF32AB" w:rsidP="00897CDD">
      <w:pPr>
        <w:spacing w:after="0" w:line="240" w:lineRule="auto"/>
        <w:rPr>
          <w:rFonts w:ascii="Verdana" w:hAnsi="Verdana"/>
        </w:rPr>
      </w:pPr>
    </w:p>
    <w:p w14:paraId="14511E12" w14:textId="77777777" w:rsidR="00EB3E6F" w:rsidRDefault="00EB3E6F" w:rsidP="00897CDD">
      <w:pPr>
        <w:spacing w:after="0" w:line="240" w:lineRule="auto"/>
        <w:rPr>
          <w:rFonts w:ascii="Verdana" w:hAnsi="Verdana"/>
        </w:rPr>
      </w:pPr>
    </w:p>
    <w:p w14:paraId="75C4B767" w14:textId="77777777" w:rsidR="00EB3E6F" w:rsidRDefault="00EB3E6F" w:rsidP="00897CDD">
      <w:pPr>
        <w:spacing w:after="0" w:line="240" w:lineRule="auto"/>
        <w:rPr>
          <w:rFonts w:ascii="Verdana" w:hAnsi="Verdana"/>
        </w:rPr>
      </w:pPr>
    </w:p>
    <w:p w14:paraId="64C472A6" w14:textId="77777777" w:rsidR="00EB3E6F" w:rsidRDefault="00EB3E6F" w:rsidP="00897CDD">
      <w:pPr>
        <w:spacing w:after="0" w:line="240" w:lineRule="auto"/>
        <w:rPr>
          <w:rFonts w:ascii="Verdana" w:hAnsi="Verdana"/>
        </w:rPr>
      </w:pPr>
    </w:p>
    <w:p w14:paraId="467F88F7" w14:textId="77777777" w:rsidR="00EB3E6F" w:rsidRDefault="00EB3E6F" w:rsidP="00897CDD">
      <w:pPr>
        <w:spacing w:after="0" w:line="240" w:lineRule="auto"/>
        <w:rPr>
          <w:rFonts w:ascii="Verdana" w:hAnsi="Verdana"/>
        </w:rPr>
      </w:pPr>
    </w:p>
    <w:p w14:paraId="6BFCF5CC" w14:textId="5F6F28DD" w:rsidR="00897CDD" w:rsidRDefault="00C15139" w:rsidP="00897CDD">
      <w:pPr>
        <w:spacing w:after="0" w:line="240" w:lineRule="auto"/>
        <w:rPr>
          <w:rFonts w:ascii="Verdana" w:hAnsi="Verdana"/>
        </w:rPr>
      </w:pPr>
      <w:r w:rsidRPr="00397ECE">
        <w:rPr>
          <w:rFonts w:ascii="Verdana" w:hAnsi="Verdana"/>
        </w:rPr>
        <w:lastRenderedPageBreak/>
        <w:t xml:space="preserve">Bogotá D.C., </w:t>
      </w:r>
      <w:r w:rsidR="0055674A">
        <w:rPr>
          <w:rFonts w:ascii="Verdana" w:hAnsi="Verdana"/>
        </w:rPr>
        <w:t xml:space="preserve">05 </w:t>
      </w:r>
      <w:proofErr w:type="gramStart"/>
      <w:r w:rsidR="0055674A">
        <w:rPr>
          <w:rFonts w:ascii="Verdana" w:hAnsi="Verdana"/>
        </w:rPr>
        <w:t>Febrero</w:t>
      </w:r>
      <w:proofErr w:type="gramEnd"/>
      <w:r w:rsidR="0055674A">
        <w:rPr>
          <w:rFonts w:ascii="Verdana" w:hAnsi="Verdana"/>
        </w:rPr>
        <w:t xml:space="preserve"> 2026</w:t>
      </w:r>
    </w:p>
    <w:p w14:paraId="6E0B6DFC" w14:textId="77777777" w:rsidR="00897CDD" w:rsidRDefault="00897CDD" w:rsidP="00897CDD">
      <w:pPr>
        <w:spacing w:after="0" w:line="240" w:lineRule="auto"/>
        <w:jc w:val="right"/>
        <w:rPr>
          <w:rFonts w:ascii="Verdana" w:hAnsi="Verdana"/>
        </w:rPr>
      </w:pPr>
    </w:p>
    <w:p w14:paraId="1468C46D" w14:textId="604CBF45" w:rsidR="00C15139" w:rsidRPr="00397ECE" w:rsidRDefault="00C15139" w:rsidP="00897CDD">
      <w:pPr>
        <w:spacing w:after="0" w:line="240" w:lineRule="auto"/>
        <w:jc w:val="right"/>
        <w:rPr>
          <w:rFonts w:ascii="Verdana" w:hAnsi="Verdana"/>
        </w:rPr>
      </w:pPr>
      <w:r w:rsidRPr="00397ECE">
        <w:rPr>
          <w:rFonts w:ascii="Verdana" w:hAnsi="Verdana"/>
        </w:rPr>
        <w:tab/>
      </w:r>
      <w:r w:rsidRPr="00397ECE">
        <w:rPr>
          <w:rFonts w:ascii="Verdana" w:hAnsi="Verdana"/>
        </w:rPr>
        <w:tab/>
      </w:r>
    </w:p>
    <w:p w14:paraId="3080CBE3" w14:textId="55CFCE2C" w:rsidR="00A43400" w:rsidRPr="00397ECE" w:rsidRDefault="00EB3E6F" w:rsidP="00397ECE">
      <w:pPr>
        <w:spacing w:after="0" w:line="240" w:lineRule="auto"/>
        <w:jc w:val="both"/>
        <w:rPr>
          <w:rFonts w:ascii="Verdana" w:eastAsia="Calibri" w:hAnsi="Verdana" w:cs="Arial"/>
          <w:lang w:val="es-ES" w:eastAsia="es-ES"/>
        </w:rPr>
      </w:pPr>
      <w:r w:rsidRPr="00BE178C">
        <w:rPr>
          <w:rFonts w:ascii="Verdana" w:eastAsia="Calibri" w:hAnsi="Verdana" w:cs="Arial"/>
          <w:b/>
          <w:bCs/>
          <w:noProof/>
          <w:lang w:val="es-ES" w:eastAsia="es-ES"/>
        </w:rPr>
        <w:drawing>
          <wp:anchor distT="0" distB="0" distL="114300" distR="114300" simplePos="0" relativeHeight="251658240" behindDoc="0" locked="0" layoutInCell="1" allowOverlap="1" wp14:anchorId="185863A6" wp14:editId="20255A1C">
            <wp:simplePos x="0" y="0"/>
            <wp:positionH relativeFrom="margin">
              <wp:align>right</wp:align>
            </wp:positionH>
            <wp:positionV relativeFrom="paragraph">
              <wp:posOffset>8918</wp:posOffset>
            </wp:positionV>
            <wp:extent cx="2715260" cy="805815"/>
            <wp:effectExtent l="0" t="0" r="8890" b="0"/>
            <wp:wrapSquare wrapText="bothSides"/>
            <wp:docPr id="210757459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3312255"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715260" cy="805815"/>
                    </a:xfrm>
                    <a:prstGeom prst="rect">
                      <a:avLst/>
                    </a:prstGeom>
                  </pic:spPr>
                </pic:pic>
              </a:graphicData>
            </a:graphic>
            <wp14:sizeRelH relativeFrom="margin">
              <wp14:pctWidth>0</wp14:pctWidth>
            </wp14:sizeRelH>
            <wp14:sizeRelV relativeFrom="margin">
              <wp14:pctHeight>0</wp14:pctHeight>
            </wp14:sizeRelV>
          </wp:anchor>
        </w:drawing>
      </w:r>
      <w:r w:rsidR="00A43400" w:rsidRPr="00397ECE">
        <w:rPr>
          <w:rFonts w:ascii="Verdana" w:eastAsia="Calibri" w:hAnsi="Verdana" w:cs="Arial"/>
          <w:lang w:val="es-ES" w:eastAsia="es-ES"/>
        </w:rPr>
        <w:t>Señor</w:t>
      </w:r>
    </w:p>
    <w:p w14:paraId="581A8F24" w14:textId="540B6FE0" w:rsidR="00A43400" w:rsidRPr="00397ECE" w:rsidRDefault="00A43400" w:rsidP="00A63F2E">
      <w:pPr>
        <w:spacing w:after="0" w:line="240" w:lineRule="auto"/>
        <w:rPr>
          <w:rFonts w:ascii="Verdana" w:eastAsia="Calibri" w:hAnsi="Verdana" w:cs="Arial"/>
          <w:b/>
          <w:bCs/>
          <w:lang w:val="es-ES" w:eastAsia="es-ES"/>
        </w:rPr>
      </w:pPr>
      <w:r w:rsidRPr="00397ECE">
        <w:rPr>
          <w:rFonts w:ascii="Verdana" w:eastAsia="Calibri" w:hAnsi="Verdana" w:cs="Arial"/>
          <w:b/>
          <w:bCs/>
          <w:lang w:val="es-ES" w:eastAsia="es-ES"/>
        </w:rPr>
        <w:t xml:space="preserve">Jesús Esteban Cabrera </w:t>
      </w:r>
      <w:r w:rsidR="00EB3E6F" w:rsidRPr="00397ECE">
        <w:rPr>
          <w:rFonts w:ascii="Verdana" w:eastAsia="Calibri" w:hAnsi="Verdana" w:cs="Arial"/>
          <w:b/>
          <w:bCs/>
          <w:lang w:val="es-ES" w:eastAsia="es-ES"/>
        </w:rPr>
        <w:t>España</w:t>
      </w:r>
    </w:p>
    <w:p w14:paraId="0DF24374" w14:textId="77777777" w:rsidR="00A43400" w:rsidRPr="00397ECE" w:rsidRDefault="00A43400" w:rsidP="00A63F2E">
      <w:pPr>
        <w:spacing w:after="0" w:line="240" w:lineRule="auto"/>
        <w:rPr>
          <w:rFonts w:ascii="Verdana" w:eastAsia="Calibri" w:hAnsi="Verdana" w:cs="Arial"/>
          <w:u w:val="single"/>
          <w:lang w:val="es-ES" w:eastAsia="es-ES"/>
        </w:rPr>
      </w:pPr>
      <w:r w:rsidRPr="00397ECE">
        <w:rPr>
          <w:rFonts w:ascii="Verdana" w:eastAsia="Calibri" w:hAnsi="Verdana" w:cs="Arial"/>
          <w:u w:val="single"/>
          <w:lang w:val="es-ES" w:eastAsia="es-ES"/>
        </w:rPr>
        <w:t>Esteban9743.ec@gmail.com</w:t>
      </w:r>
    </w:p>
    <w:p w14:paraId="221277C8" w14:textId="65AA8505" w:rsidR="00A43400" w:rsidRDefault="00A43400" w:rsidP="00350B3A">
      <w:pPr>
        <w:spacing w:after="0" w:line="240" w:lineRule="auto"/>
        <w:rPr>
          <w:rFonts w:ascii="Verdana" w:eastAsia="Calibri" w:hAnsi="Verdana" w:cs="Arial"/>
          <w:lang w:val="es-ES" w:eastAsia="es-ES"/>
        </w:rPr>
      </w:pPr>
      <w:r w:rsidRPr="00397ECE">
        <w:rPr>
          <w:rFonts w:ascii="Verdana" w:eastAsia="Calibri" w:hAnsi="Verdana" w:cs="Arial"/>
          <w:lang w:val="es-ES" w:eastAsia="es-ES"/>
        </w:rPr>
        <w:t>Pasto, Nariño</w:t>
      </w:r>
    </w:p>
    <w:p w14:paraId="16454702" w14:textId="4FB1F827" w:rsidR="00BE178C" w:rsidRPr="00397ECE" w:rsidRDefault="00BE178C" w:rsidP="00BE178C">
      <w:pPr>
        <w:spacing w:after="0" w:line="240" w:lineRule="auto"/>
        <w:jc w:val="right"/>
        <w:rPr>
          <w:rFonts w:ascii="Verdana" w:eastAsia="Calibri" w:hAnsi="Verdana" w:cs="Arial"/>
          <w:b/>
          <w:bCs/>
          <w:lang w:val="es-ES" w:eastAsia="es-ES"/>
        </w:rPr>
      </w:pPr>
    </w:p>
    <w:p w14:paraId="398A07CD" w14:textId="77777777" w:rsidR="00A43400" w:rsidRPr="00397ECE" w:rsidRDefault="00A43400" w:rsidP="00CA1CB0">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43400" w:rsidRPr="00397ECE" w14:paraId="696FE7BE" w14:textId="77777777" w:rsidTr="00A60F77">
        <w:trPr>
          <w:trHeight w:val="884"/>
        </w:trPr>
        <w:tc>
          <w:tcPr>
            <w:tcW w:w="2689" w:type="dxa"/>
          </w:tcPr>
          <w:p w14:paraId="7F5A1CA2" w14:textId="77777777" w:rsidR="00A43400" w:rsidRPr="00397ECE" w:rsidRDefault="00A43400" w:rsidP="00985298">
            <w:pPr>
              <w:jc w:val="both"/>
              <w:rPr>
                <w:rFonts w:ascii="Verdana" w:eastAsia="Calibri" w:hAnsi="Verdana" w:cs="Arial"/>
                <w:b/>
                <w:bCs/>
                <w:color w:val="7030A0"/>
                <w:lang w:val="es-ES_tradnl" w:eastAsia="es-ES_tradnl"/>
              </w:rPr>
            </w:pPr>
          </w:p>
        </w:tc>
        <w:tc>
          <w:tcPr>
            <w:tcW w:w="6100" w:type="dxa"/>
          </w:tcPr>
          <w:p w14:paraId="3F0978E6" w14:textId="3BAFEC7E" w:rsidR="00A43400" w:rsidRPr="00397ECE" w:rsidRDefault="00A43400">
            <w:pPr>
              <w:jc w:val="both"/>
              <w:rPr>
                <w:rFonts w:ascii="Verdana" w:eastAsia="Calibri" w:hAnsi="Verdana" w:cs="Arial"/>
                <w:b/>
                <w:bCs/>
                <w:lang w:val="es-ES" w:eastAsia="es-ES"/>
              </w:rPr>
            </w:pPr>
            <w:r w:rsidRPr="00397ECE">
              <w:rPr>
                <w:rFonts w:ascii="Verdana" w:eastAsia="Calibri" w:hAnsi="Verdana" w:cs="Arial"/>
                <w:b/>
                <w:bCs/>
                <w:lang w:val="es-ES" w:eastAsia="es-ES"/>
              </w:rPr>
              <w:t>Concepto C-114 de 202</w:t>
            </w:r>
            <w:r w:rsidR="00EB3E6F">
              <w:rPr>
                <w:rFonts w:ascii="Verdana" w:eastAsia="Calibri" w:hAnsi="Verdana" w:cs="Arial"/>
                <w:b/>
                <w:bCs/>
                <w:lang w:val="es-ES" w:eastAsia="es-ES"/>
              </w:rPr>
              <w:t>6</w:t>
            </w:r>
          </w:p>
        </w:tc>
      </w:tr>
      <w:tr w:rsidR="00A43400" w:rsidRPr="00397ECE" w14:paraId="00E6FB0B" w14:textId="77777777" w:rsidTr="00A60F77">
        <w:trPr>
          <w:trHeight w:val="884"/>
        </w:trPr>
        <w:tc>
          <w:tcPr>
            <w:tcW w:w="2689" w:type="dxa"/>
          </w:tcPr>
          <w:p w14:paraId="051A5C36" w14:textId="77777777" w:rsidR="00A43400" w:rsidRPr="00BF32AB" w:rsidRDefault="00A43400" w:rsidP="00397ECE">
            <w:pPr>
              <w:jc w:val="both"/>
              <w:rPr>
                <w:rFonts w:ascii="Verdana" w:eastAsia="Calibri" w:hAnsi="Verdana" w:cs="Arial"/>
                <w:color w:val="000000"/>
                <w:lang w:val="es-ES_tradnl" w:eastAsia="es-ES_tradnl"/>
              </w:rPr>
            </w:pPr>
            <w:r w:rsidRPr="00BF32AB">
              <w:rPr>
                <w:rFonts w:ascii="Verdana" w:eastAsia="Calibri" w:hAnsi="Verdana" w:cs="Arial"/>
                <w:b/>
                <w:color w:val="000000"/>
                <w:lang w:val="es-ES_tradnl" w:eastAsia="es-ES_tradnl"/>
              </w:rPr>
              <w:t>Temas:</w:t>
            </w:r>
            <w:r w:rsidRPr="00BF32AB">
              <w:rPr>
                <w:rFonts w:ascii="Verdana" w:eastAsia="Calibri" w:hAnsi="Verdana" w:cs="Arial"/>
                <w:color w:val="000000"/>
                <w:lang w:val="es-ES_tradnl" w:eastAsia="es-ES_tradnl"/>
              </w:rPr>
              <w:t xml:space="preserve">                   </w:t>
            </w:r>
          </w:p>
        </w:tc>
        <w:tc>
          <w:tcPr>
            <w:tcW w:w="6100" w:type="dxa"/>
          </w:tcPr>
          <w:p w14:paraId="2B714641" w14:textId="39E45436" w:rsidR="00A43400" w:rsidRPr="00BF32AB" w:rsidRDefault="008974F7" w:rsidP="008974F7">
            <w:pPr>
              <w:jc w:val="both"/>
              <w:rPr>
                <w:rFonts w:ascii="Verdana" w:eastAsia="Calibri" w:hAnsi="Verdana" w:cs="Arial"/>
                <w:lang w:val="es-ES" w:eastAsia="es-ES"/>
              </w:rPr>
            </w:pPr>
            <w:r w:rsidRPr="00BF32AB">
              <w:rPr>
                <w:rFonts w:ascii="Verdana" w:eastAsia="Calibri" w:hAnsi="Verdana" w:cs="Arial"/>
                <w:lang w:val="es-ES" w:eastAsia="es-ES"/>
              </w:rPr>
              <w:t xml:space="preserve">LEY DE GARANTÍAS ELECTORALES ‒ Finalidad / LEY DE GARANTÍAS ELECTORALES ‒ Tipos de restricciones / LEY DE GARANTÍAS ELECTORALES – Contratación directa – Alcance material / LEY DE GARANTÍAS ELECTORALES – Contratación directa – Alcance material – Excepciones / LEY DE GARANTÍAS ELECTORALES – Convenios interadministrativos – Criterio orgánico / LEY DE GARANTÍAS ELECTORALES – Ejecución de recursos públicos </w:t>
            </w:r>
          </w:p>
          <w:p w14:paraId="2563CE1D" w14:textId="6A391897" w:rsidR="008974F7" w:rsidRPr="00BF32AB" w:rsidRDefault="008974F7" w:rsidP="00EB1ADA">
            <w:pPr>
              <w:jc w:val="both"/>
              <w:rPr>
                <w:rFonts w:ascii="Verdana" w:eastAsia="Calibri" w:hAnsi="Verdana" w:cs="Arial"/>
                <w:lang w:val="es-ES" w:eastAsia="es-ES"/>
              </w:rPr>
            </w:pPr>
          </w:p>
        </w:tc>
      </w:tr>
      <w:tr w:rsidR="00A43400" w:rsidRPr="00397ECE" w14:paraId="754BACD8" w14:textId="77777777" w:rsidTr="00A60F77">
        <w:tc>
          <w:tcPr>
            <w:tcW w:w="2689" w:type="dxa"/>
          </w:tcPr>
          <w:p w14:paraId="38397391" w14:textId="77777777" w:rsidR="00A43400" w:rsidRPr="00D6702E" w:rsidRDefault="00A43400" w:rsidP="00397ECE">
            <w:pPr>
              <w:jc w:val="both"/>
              <w:rPr>
                <w:rFonts w:ascii="Verdana" w:eastAsia="Calibri" w:hAnsi="Verdana" w:cs="Arial"/>
                <w:b/>
                <w:lang w:val="es-ES_tradnl" w:eastAsia="es-ES_tradnl"/>
              </w:rPr>
            </w:pPr>
            <w:r w:rsidRPr="00397ECE">
              <w:rPr>
                <w:rFonts w:ascii="Verdana" w:eastAsia="Calibri" w:hAnsi="Verdana" w:cs="Arial"/>
                <w:b/>
                <w:lang w:val="es-ES_tradnl" w:eastAsia="es-ES_tradnl"/>
              </w:rPr>
              <w:t>Radicación:</w:t>
            </w:r>
            <w:r w:rsidRPr="00397ECE">
              <w:rPr>
                <w:rFonts w:ascii="Verdana" w:eastAsia="Calibri" w:hAnsi="Verdana" w:cs="Arial"/>
                <w:lang w:val="es-ES_tradnl" w:eastAsia="es-ES_tradnl"/>
              </w:rPr>
              <w:t xml:space="preserve">               </w:t>
            </w:r>
          </w:p>
        </w:tc>
        <w:tc>
          <w:tcPr>
            <w:tcW w:w="6100" w:type="dxa"/>
          </w:tcPr>
          <w:p w14:paraId="0F135FB7" w14:textId="77777777" w:rsidR="00A43400" w:rsidRPr="00397ECE" w:rsidRDefault="00A43400" w:rsidP="00D6702E">
            <w:pPr>
              <w:jc w:val="both"/>
              <w:rPr>
                <w:rFonts w:ascii="Verdana" w:eastAsia="Calibri" w:hAnsi="Verdana" w:cs="Arial"/>
                <w:lang w:val="es-ES_tradnl" w:eastAsia="es-ES_tradnl"/>
              </w:rPr>
            </w:pPr>
            <w:r w:rsidRPr="00A63F2E">
              <w:rPr>
                <w:rFonts w:ascii="Verdana" w:eastAsia="Calibri" w:hAnsi="Verdana" w:cs="Arial"/>
                <w:lang w:val="es-ES_tradnl" w:eastAsia="es-ES_tradnl"/>
              </w:rPr>
              <w:t xml:space="preserve">Respuesta a consulta con radicado No. </w:t>
            </w:r>
            <w:r w:rsidRPr="00397ECE">
              <w:rPr>
                <w:rFonts w:ascii="Verdana" w:eastAsia="Calibri" w:hAnsi="Verdana" w:cs="Arial"/>
                <w:lang w:val="es-ES_tradnl" w:eastAsia="es-ES_tradnl"/>
              </w:rPr>
              <w:t>1_2026_01_28_000980</w:t>
            </w:r>
          </w:p>
        </w:tc>
      </w:tr>
    </w:tbl>
    <w:p w14:paraId="7332D19A" w14:textId="77777777" w:rsidR="00A43400" w:rsidRPr="00397ECE" w:rsidRDefault="00A43400" w:rsidP="00397ECE">
      <w:pPr>
        <w:spacing w:after="0" w:line="240" w:lineRule="auto"/>
        <w:jc w:val="both"/>
        <w:rPr>
          <w:rFonts w:ascii="Verdana" w:eastAsia="Calibri" w:hAnsi="Verdana" w:cs="Arial"/>
          <w:lang w:val="es-ES_tradnl" w:eastAsia="es-ES_tradnl"/>
        </w:rPr>
      </w:pPr>
    </w:p>
    <w:p w14:paraId="7F9FF9F3" w14:textId="77777777" w:rsidR="00A43400" w:rsidRPr="00397ECE" w:rsidRDefault="00A43400" w:rsidP="00397ECE">
      <w:pPr>
        <w:spacing w:after="0" w:line="240" w:lineRule="auto"/>
        <w:jc w:val="both"/>
        <w:rPr>
          <w:rFonts w:ascii="Verdana" w:eastAsia="Calibri" w:hAnsi="Verdana" w:cs="Arial"/>
          <w:color w:val="000000"/>
          <w:lang w:val="es-ES_tradnl" w:eastAsia="es-ES_tradnl"/>
        </w:rPr>
      </w:pPr>
    </w:p>
    <w:p w14:paraId="3744ECF8" w14:textId="77777777" w:rsidR="00A43400" w:rsidRDefault="00A43400" w:rsidP="00A43400">
      <w:pPr>
        <w:spacing w:after="0" w:line="276" w:lineRule="auto"/>
        <w:jc w:val="both"/>
        <w:rPr>
          <w:rFonts w:ascii="Verdana" w:eastAsia="Calibri" w:hAnsi="Verdana" w:cs="Arial"/>
          <w:color w:val="000000" w:themeColor="text1"/>
          <w:lang w:val="es-ES" w:eastAsia="es-ES"/>
        </w:rPr>
      </w:pPr>
      <w:r w:rsidRPr="00593A5F">
        <w:rPr>
          <w:rFonts w:ascii="Verdana" w:eastAsia="Calibri" w:hAnsi="Verdana" w:cs="Arial"/>
          <w:color w:val="000000" w:themeColor="text1"/>
          <w:lang w:val="es-ES" w:eastAsia="es-ES"/>
        </w:rPr>
        <w:t xml:space="preserve">Estimado </w:t>
      </w:r>
      <w:r>
        <w:rPr>
          <w:rFonts w:ascii="Verdana" w:eastAsia="Calibri" w:hAnsi="Verdana" w:cs="Arial"/>
          <w:color w:val="000000" w:themeColor="text1"/>
          <w:lang w:val="es-ES" w:eastAsia="es-ES"/>
        </w:rPr>
        <w:t>señor Cabrera:</w:t>
      </w:r>
    </w:p>
    <w:p w14:paraId="435BB6CE" w14:textId="77777777" w:rsidR="00A43400" w:rsidRPr="0024624F" w:rsidRDefault="00A43400" w:rsidP="00C15139">
      <w:pPr>
        <w:spacing w:after="0"/>
        <w:rPr>
          <w:rFonts w:ascii="Verdana" w:hAnsi="Verdana"/>
        </w:rPr>
      </w:pPr>
    </w:p>
    <w:p w14:paraId="5A586DAB" w14:textId="77777777" w:rsidR="000B24B4" w:rsidRPr="00593A5F" w:rsidRDefault="000B24B4" w:rsidP="000B24B4">
      <w:pPr>
        <w:spacing w:after="0" w:line="276" w:lineRule="auto"/>
        <w:jc w:val="both"/>
        <w:rPr>
          <w:rFonts w:ascii="Verdana" w:eastAsia="Calibri" w:hAnsi="Verdana" w:cs="Arial"/>
          <w:color w:val="7030A0"/>
          <w:lang w:val="es-ES" w:eastAsia="es-ES"/>
        </w:rPr>
      </w:pPr>
      <w:r w:rsidRPr="681364DF">
        <w:rPr>
          <w:rFonts w:ascii="Verdana" w:eastAsia="Calibri" w:hAnsi="Verdana" w:cs="Arial"/>
          <w:color w:val="000000" w:themeColor="text1"/>
          <w:lang w:val="es-ES" w:eastAsia="es-ES"/>
        </w:rPr>
        <w:t>En ejercicio de la competencia otorgada por los artículos 3, numeral 5º, y 11, numeral 8º, del Decreto Ley 4170 de 2011,</w:t>
      </w:r>
      <w:r w:rsidRPr="681364DF">
        <w:rPr>
          <w:rFonts w:ascii="Verdana" w:eastAsia="Arial MT" w:hAnsi="Verdana" w:cs="Arial MT"/>
          <w:lang w:val="es-ES" w:eastAsia="es-ES"/>
        </w:rPr>
        <w:t xml:space="preserve"> </w:t>
      </w:r>
      <w:r w:rsidRPr="681364DF">
        <w:rPr>
          <w:rFonts w:ascii="Verdana" w:hAnsi="Verdana" w:cs="Arial"/>
        </w:rPr>
        <w:t xml:space="preserve">así como lo establecido la </w:t>
      </w:r>
      <w:r w:rsidRPr="681364DF">
        <w:rPr>
          <w:rFonts w:ascii="Verdana" w:eastAsia="Verdana" w:hAnsi="Verdana" w:cs="Verdana"/>
          <w:color w:val="000000" w:themeColor="text1"/>
        </w:rPr>
        <w:t>Resolución 469 de 2025</w:t>
      </w:r>
      <w:r w:rsidRPr="681364DF">
        <w:rPr>
          <w:rFonts w:ascii="Verdana" w:hAnsi="Verdana" w:cs="Arial"/>
        </w:rPr>
        <w:t xml:space="preserve"> expedida por esta Entidad, </w:t>
      </w:r>
      <w:r w:rsidRPr="681364DF">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sidRPr="00152A9D">
        <w:rPr>
          <w:rFonts w:ascii="Verdana" w:eastAsia="Calibri" w:hAnsi="Verdana" w:cs="Arial"/>
          <w:lang w:val="es-ES" w:eastAsia="es-ES"/>
        </w:rPr>
        <w:t xml:space="preserve">28 de enero de 2026, en la cual manifiesta lo siguiente: </w:t>
      </w:r>
    </w:p>
    <w:p w14:paraId="0D7417AF" w14:textId="77777777" w:rsidR="000B24B4" w:rsidRPr="007D17C3" w:rsidRDefault="000B24B4" w:rsidP="00EB1AD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9BD50E4" w14:textId="77777777" w:rsidR="000B24B4" w:rsidRPr="007D17C3" w:rsidRDefault="000B24B4" w:rsidP="000B24B4">
      <w:pPr>
        <w:spacing w:after="0" w:line="240" w:lineRule="auto"/>
        <w:ind w:left="709" w:right="709"/>
        <w:jc w:val="both"/>
        <w:rPr>
          <w:rFonts w:ascii="Verdana" w:eastAsia="Century Gothic" w:hAnsi="Verdana" w:cs="Century Gothic"/>
          <w:sz w:val="20"/>
          <w:szCs w:val="20"/>
          <w:lang w:val="es-ES"/>
        </w:rPr>
      </w:pPr>
      <w:bookmarkStart w:id="1" w:name="_Hlk95313578"/>
      <w:r w:rsidRPr="007D17C3">
        <w:rPr>
          <w:rFonts w:ascii="Verdana" w:eastAsia="Century Gothic" w:hAnsi="Verdana" w:cs="Century Gothic"/>
          <w:sz w:val="20"/>
          <w:szCs w:val="20"/>
          <w:lang w:val="es-ES"/>
        </w:rPr>
        <w:t>“</w:t>
      </w:r>
      <w:r w:rsidRPr="007D17C3">
        <w:rPr>
          <w:rStyle w:val="normaltextrun"/>
          <w:rFonts w:ascii="Verdana" w:hAnsi="Verdana" w:cs="Arial"/>
          <w:sz w:val="20"/>
          <w:szCs w:val="20"/>
          <w:shd w:val="clear" w:color="auto" w:fill="FFFFFF"/>
          <w:lang w:val="es-ES"/>
        </w:rPr>
        <w:t>Una entidad territorial puede celebrar el mes de enero 2026 convenios administrativos con entidades del mismo orden como las empresas sociales del estado o de servicios públicos?</w:t>
      </w:r>
      <w:r w:rsidRPr="007D17C3">
        <w:rPr>
          <w:rFonts w:ascii="Verdana" w:eastAsia="Century Gothic" w:hAnsi="Verdana" w:cs="Century Gothic"/>
          <w:sz w:val="20"/>
          <w:szCs w:val="20"/>
          <w:lang w:val="es-ES"/>
        </w:rPr>
        <w:t>”</w:t>
      </w:r>
      <w:bookmarkEnd w:id="1"/>
      <w:r w:rsidRPr="007D17C3">
        <w:rPr>
          <w:rFonts w:ascii="Verdana" w:eastAsia="Century Gothic" w:hAnsi="Verdana" w:cs="Century Gothic"/>
          <w:sz w:val="20"/>
          <w:szCs w:val="20"/>
          <w:lang w:val="es-ES"/>
        </w:rPr>
        <w:t>.</w:t>
      </w:r>
    </w:p>
    <w:p w14:paraId="2ED51D23" w14:textId="77777777" w:rsidR="000B24B4" w:rsidRPr="007D17C3" w:rsidRDefault="000B24B4" w:rsidP="00EB1ADA">
      <w:pPr>
        <w:pStyle w:val="Prrafodelista"/>
        <w:tabs>
          <w:tab w:val="left" w:pos="142"/>
          <w:tab w:val="left" w:pos="284"/>
        </w:tabs>
        <w:spacing w:after="0" w:line="276" w:lineRule="auto"/>
        <w:ind w:left="0"/>
        <w:jc w:val="both"/>
        <w:rPr>
          <w:rFonts w:ascii="Verdana" w:eastAsia="Century Gothic" w:hAnsi="Verdana" w:cs="Century Gothic"/>
          <w:b/>
          <w:bCs/>
        </w:rPr>
      </w:pPr>
    </w:p>
    <w:p w14:paraId="0846C824" w14:textId="4E404E12" w:rsidR="00AF3DE2" w:rsidRDefault="00AF3DE2" w:rsidP="00AF3DE2">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w:t>
      </w:r>
      <w:r w:rsidRPr="00593A5F">
        <w:rPr>
          <w:rFonts w:ascii="Verdana" w:eastAsia="Calibri" w:hAnsi="Verdana" w:cs="Arial"/>
          <w:color w:val="000000"/>
          <w:lang w:val="es-ES" w:eastAsia="es-ES"/>
        </w:rPr>
        <w:lastRenderedPageBreak/>
        <w:t>general en materia de compras y contratación pública. En ese sentido, resolver casos particulares desborda las atribuciones asignadas por el legislador extraordinario, que no concibió a</w:t>
      </w:r>
      <w:r w:rsidR="00397ECE">
        <w:rPr>
          <w:rFonts w:ascii="Verdana" w:eastAsia="Calibri" w:hAnsi="Verdana" w:cs="Arial"/>
          <w:color w:val="000000"/>
          <w:lang w:val="es-ES" w:eastAsia="es-ES"/>
        </w:rPr>
        <w:t xml:space="preserve"> la Agencia Nacional de Contratación Pública –</w:t>
      </w:r>
      <w:r w:rsidRPr="00593A5F">
        <w:rPr>
          <w:rFonts w:ascii="Verdana" w:eastAsia="Calibri" w:hAnsi="Verdana" w:cs="Arial"/>
          <w:color w:val="000000"/>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1E78CC05" w14:textId="335E39C8" w:rsidR="00AF3DE2" w:rsidRDefault="00AF3DE2" w:rsidP="00AF3DE2">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w:t>
      </w:r>
      <w:r w:rsidR="00397ECE">
        <w:rPr>
          <w:rFonts w:ascii="Verdana" w:eastAsia="Calibri" w:hAnsi="Verdana" w:cs="Arial"/>
          <w:color w:val="000000"/>
          <w:lang w:val="es-ES" w:eastAsia="es-ES"/>
        </w:rPr>
        <w:t>señala</w:t>
      </w:r>
      <w:r w:rsidR="00397ECE" w:rsidRPr="00593A5F">
        <w:rPr>
          <w:rFonts w:ascii="Verdana" w:eastAsia="Calibri" w:hAnsi="Verdana" w:cs="Arial"/>
          <w:color w:val="000000"/>
          <w:lang w:val="es-ES" w:eastAsia="es-ES"/>
        </w:rPr>
        <w:t xml:space="preserve">ndo </w:t>
      </w:r>
      <w:r w:rsidR="00397ECE">
        <w:rPr>
          <w:rFonts w:ascii="Verdana" w:eastAsia="Calibri" w:hAnsi="Verdana" w:cs="Arial"/>
          <w:color w:val="000000"/>
          <w:lang w:val="es-ES" w:eastAsia="es-ES"/>
        </w:rPr>
        <w:t>alg</w:t>
      </w:r>
      <w:r w:rsidRPr="00593A5F">
        <w:rPr>
          <w:rFonts w:ascii="Verdana" w:eastAsia="Calibri" w:hAnsi="Verdana" w:cs="Arial"/>
          <w:color w:val="000000"/>
          <w:lang w:val="es-ES" w:eastAsia="es-ES"/>
        </w:rPr>
        <w:t xml:space="preserve">unas consideraciones sobre las normas generales relacionadas con </w:t>
      </w:r>
      <w:r w:rsidRPr="00826871">
        <w:rPr>
          <w:rFonts w:ascii="Verdana" w:eastAsia="Calibri" w:hAnsi="Verdana" w:cs="Arial"/>
          <w:lang w:val="es-ES" w:eastAsia="es-ES"/>
        </w:rPr>
        <w:t xml:space="preserve">el problema </w:t>
      </w:r>
      <w:r>
        <w:rPr>
          <w:rFonts w:ascii="Verdana" w:eastAsia="Calibri" w:hAnsi="Verdana" w:cs="Arial"/>
          <w:color w:val="000000"/>
          <w:lang w:val="es-ES" w:eastAsia="es-ES"/>
        </w:rPr>
        <w:t>jurídico de su</w:t>
      </w:r>
      <w:r w:rsidRPr="00593A5F">
        <w:rPr>
          <w:rFonts w:ascii="Verdana" w:eastAsia="Calibri" w:hAnsi="Verdana" w:cs="Arial"/>
          <w:color w:val="000000"/>
          <w:lang w:val="es-ES" w:eastAsia="es-ES"/>
        </w:rPr>
        <w:t xml:space="preserve"> consulta. </w:t>
      </w:r>
    </w:p>
    <w:p w14:paraId="28BB5EAE" w14:textId="77777777" w:rsidR="003E71AF" w:rsidRPr="003E71AF" w:rsidRDefault="003E71AF" w:rsidP="003E71AF">
      <w:pPr>
        <w:widowControl w:val="0"/>
        <w:autoSpaceDE w:val="0"/>
        <w:autoSpaceDN w:val="0"/>
        <w:spacing w:after="0" w:line="276" w:lineRule="auto"/>
        <w:jc w:val="both"/>
        <w:rPr>
          <w:rFonts w:ascii="Verdana" w:hAnsi="Verdana" w:cs="Arial"/>
          <w:color w:val="FF0000"/>
          <w:shd w:val="clear" w:color="auto" w:fill="FFFFFF"/>
          <w:lang w:val="es-ES"/>
        </w:rPr>
      </w:pPr>
    </w:p>
    <w:p w14:paraId="372BF3A8" w14:textId="77777777" w:rsidR="003E71AF" w:rsidRPr="003E71AF" w:rsidRDefault="003E71AF" w:rsidP="00EB1ADA">
      <w:pPr>
        <w:widowControl w:val="0"/>
        <w:numPr>
          <w:ilvl w:val="0"/>
          <w:numId w:val="16"/>
        </w:numPr>
        <w:autoSpaceDE w:val="0"/>
        <w:autoSpaceDN w:val="0"/>
        <w:spacing w:after="0" w:line="276" w:lineRule="auto"/>
        <w:ind w:left="360"/>
        <w:jc w:val="both"/>
        <w:rPr>
          <w:rFonts w:ascii="Verdana" w:hAnsi="Verdana" w:cs="Arial"/>
          <w:b/>
          <w:bCs/>
          <w:shd w:val="clear" w:color="auto" w:fill="FFFFFF"/>
          <w:lang w:val="es-ES"/>
        </w:rPr>
      </w:pPr>
      <w:r w:rsidRPr="003E71AF">
        <w:rPr>
          <w:rFonts w:ascii="Verdana" w:hAnsi="Verdana" w:cs="Arial"/>
          <w:b/>
          <w:bCs/>
          <w:shd w:val="clear" w:color="auto" w:fill="FFFFFF"/>
          <w:lang w:val="es-ES"/>
        </w:rPr>
        <w:t>Problema planteado:</w:t>
      </w:r>
    </w:p>
    <w:p w14:paraId="2C2F4195" w14:textId="77777777" w:rsidR="003E71AF" w:rsidRPr="003E71AF" w:rsidRDefault="003E71AF" w:rsidP="003E71AF">
      <w:pPr>
        <w:widowControl w:val="0"/>
        <w:autoSpaceDE w:val="0"/>
        <w:autoSpaceDN w:val="0"/>
        <w:spacing w:after="0" w:line="276" w:lineRule="auto"/>
        <w:jc w:val="both"/>
        <w:rPr>
          <w:rFonts w:ascii="Verdana" w:hAnsi="Verdana" w:cs="Arial"/>
          <w:shd w:val="clear" w:color="auto" w:fill="FFFFFF"/>
          <w:lang w:val="es-ES"/>
        </w:rPr>
      </w:pPr>
    </w:p>
    <w:p w14:paraId="2BF3CAE5" w14:textId="13707EE3" w:rsidR="003E71AF" w:rsidRPr="003E71AF" w:rsidRDefault="003E71AF" w:rsidP="003E71AF">
      <w:pPr>
        <w:widowControl w:val="0"/>
        <w:autoSpaceDE w:val="0"/>
        <w:autoSpaceDN w:val="0"/>
        <w:spacing w:after="0" w:line="276" w:lineRule="auto"/>
        <w:jc w:val="both"/>
        <w:rPr>
          <w:rFonts w:ascii="Verdana" w:hAnsi="Verdana" w:cs="Arial"/>
          <w:shd w:val="clear" w:color="auto" w:fill="FFFFFF"/>
        </w:rPr>
      </w:pPr>
      <w:r w:rsidRPr="003E71AF">
        <w:rPr>
          <w:rFonts w:ascii="Verdana" w:hAnsi="Verdana" w:cs="Arial"/>
          <w:shd w:val="clear" w:color="auto" w:fill="FFFFFF"/>
        </w:rPr>
        <w:t xml:space="preserve">De acuerdo con el contenido de su solicitud, esta Agencia resolverá el siguiente problema jurídico: ¿Puede una entidad territorial celebrar convenios </w:t>
      </w:r>
      <w:r w:rsidR="00397ECE">
        <w:rPr>
          <w:rFonts w:ascii="Verdana" w:hAnsi="Verdana" w:cs="Arial"/>
          <w:shd w:val="clear" w:color="auto" w:fill="FFFFFF"/>
        </w:rPr>
        <w:t>inter</w:t>
      </w:r>
      <w:r w:rsidRPr="003E71AF">
        <w:rPr>
          <w:rFonts w:ascii="Verdana" w:hAnsi="Verdana" w:cs="Arial"/>
          <w:shd w:val="clear" w:color="auto" w:fill="FFFFFF"/>
        </w:rPr>
        <w:t xml:space="preserve">administrativos </w:t>
      </w:r>
      <w:r w:rsidR="00CA1CB0">
        <w:rPr>
          <w:rFonts w:ascii="Verdana" w:hAnsi="Verdana" w:cs="Arial"/>
          <w:shd w:val="clear" w:color="auto" w:fill="FFFFFF"/>
        </w:rPr>
        <w:t>con entidades de régimen especial de contratación</w:t>
      </w:r>
      <w:r w:rsidRPr="003E71AF">
        <w:rPr>
          <w:rFonts w:ascii="Verdana" w:hAnsi="Verdana" w:cs="Arial"/>
          <w:shd w:val="clear" w:color="auto" w:fill="FFFFFF"/>
        </w:rPr>
        <w:t xml:space="preserve"> durante el mes de enero de 2026, sin que ello </w:t>
      </w:r>
      <w:r w:rsidR="00CA1CB0" w:rsidRPr="003E71AF">
        <w:rPr>
          <w:rFonts w:ascii="Verdana" w:hAnsi="Verdana" w:cs="Arial"/>
          <w:shd w:val="clear" w:color="auto" w:fill="FFFFFF"/>
        </w:rPr>
        <w:t>contrarié</w:t>
      </w:r>
      <w:r w:rsidRPr="003E71AF">
        <w:rPr>
          <w:rFonts w:ascii="Verdana" w:hAnsi="Verdana" w:cs="Arial"/>
          <w:shd w:val="clear" w:color="auto" w:fill="FFFFFF"/>
        </w:rPr>
        <w:t xml:space="preserve"> las restricciones previstas en la Ley 996 de 2005, atendiendo a la naturaleza del instrumento y el momento de su celebración?</w:t>
      </w:r>
    </w:p>
    <w:p w14:paraId="42BB7DE5" w14:textId="77777777" w:rsidR="003E71AF" w:rsidRPr="003E71AF" w:rsidRDefault="003E71AF" w:rsidP="003E71AF">
      <w:pPr>
        <w:widowControl w:val="0"/>
        <w:autoSpaceDE w:val="0"/>
        <w:autoSpaceDN w:val="0"/>
        <w:spacing w:after="0" w:line="276" w:lineRule="auto"/>
        <w:jc w:val="both"/>
        <w:rPr>
          <w:rFonts w:ascii="Verdana" w:hAnsi="Verdana" w:cs="Arial"/>
          <w:shd w:val="clear" w:color="auto" w:fill="FFFFFF"/>
          <w:lang w:val="es-ES"/>
        </w:rPr>
      </w:pPr>
    </w:p>
    <w:p w14:paraId="2DD997B4" w14:textId="77777777" w:rsidR="003E71AF" w:rsidRPr="003E71AF" w:rsidRDefault="003E71AF" w:rsidP="00EB1ADA">
      <w:pPr>
        <w:widowControl w:val="0"/>
        <w:numPr>
          <w:ilvl w:val="0"/>
          <w:numId w:val="16"/>
        </w:numPr>
        <w:autoSpaceDE w:val="0"/>
        <w:autoSpaceDN w:val="0"/>
        <w:spacing w:after="0" w:line="276" w:lineRule="auto"/>
        <w:ind w:left="360"/>
        <w:jc w:val="both"/>
        <w:rPr>
          <w:rFonts w:ascii="Verdana" w:hAnsi="Verdana" w:cs="Arial"/>
          <w:b/>
          <w:bCs/>
          <w:shd w:val="clear" w:color="auto" w:fill="FFFFFF"/>
          <w:lang w:val="es-ES"/>
        </w:rPr>
      </w:pPr>
      <w:r w:rsidRPr="003E71AF">
        <w:rPr>
          <w:rFonts w:ascii="Verdana" w:hAnsi="Verdana" w:cs="Arial"/>
          <w:b/>
          <w:bCs/>
          <w:shd w:val="clear" w:color="auto" w:fill="FFFFFF"/>
          <w:lang w:val="es-ES"/>
        </w:rPr>
        <w:t>Respuesta:</w:t>
      </w:r>
    </w:p>
    <w:p w14:paraId="0F9DA23F" w14:textId="77777777" w:rsidR="003E71AF" w:rsidRPr="003E71AF" w:rsidRDefault="003E71AF" w:rsidP="003E71AF">
      <w:pPr>
        <w:widowControl w:val="0"/>
        <w:autoSpaceDE w:val="0"/>
        <w:autoSpaceDN w:val="0"/>
        <w:spacing w:after="0" w:line="276" w:lineRule="auto"/>
        <w:jc w:val="both"/>
        <w:rPr>
          <w:rFonts w:ascii="Verdana" w:hAnsi="Verdana" w:cs="Arial"/>
          <w:b/>
          <w:bCs/>
          <w:shd w:val="clear" w:color="auto" w:fill="FFFFFF"/>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E71AF" w:rsidRPr="003E71AF" w14:paraId="4A1D3C67" w14:textId="77777777" w:rsidTr="00A60F77">
        <w:tc>
          <w:tcPr>
            <w:tcW w:w="8828" w:type="dxa"/>
          </w:tcPr>
          <w:p w14:paraId="20D294BB" w14:textId="00F7A4AA" w:rsidR="0091609C" w:rsidRDefault="0091609C" w:rsidP="00EB1ADA">
            <w:pPr>
              <w:spacing w:line="276" w:lineRule="auto"/>
              <w:jc w:val="both"/>
              <w:rPr>
                <w:rFonts w:ascii="Verdana" w:eastAsia="Calibri" w:hAnsi="Verdana" w:cs="Arial"/>
                <w:lang w:val="es-ES"/>
              </w:rPr>
            </w:pPr>
            <w:r>
              <w:rPr>
                <w:rFonts w:ascii="Verdana" w:eastAsia="Calibri" w:hAnsi="Verdana" w:cs="Arial"/>
                <w:lang w:val="es-ES"/>
              </w:rPr>
              <w:t>En respuesta al problema</w:t>
            </w:r>
            <w:r w:rsidR="008974F7">
              <w:rPr>
                <w:rFonts w:ascii="Verdana" w:eastAsia="Calibri" w:hAnsi="Verdana" w:cs="Arial"/>
                <w:lang w:val="es-ES"/>
              </w:rPr>
              <w:t xml:space="preserve"> jurídico</w:t>
            </w:r>
            <w:r>
              <w:rPr>
                <w:rFonts w:ascii="Verdana" w:eastAsia="Calibri" w:hAnsi="Verdana" w:cs="Arial"/>
                <w:lang w:val="es-ES"/>
              </w:rPr>
              <w:t xml:space="preserve"> antes planteado esta Subdirección manifiesta lo siguiente:</w:t>
            </w:r>
          </w:p>
          <w:p w14:paraId="2DF4EB70" w14:textId="1964619F" w:rsidR="0091609C" w:rsidRDefault="0091609C" w:rsidP="0091609C">
            <w:pPr>
              <w:spacing w:line="276" w:lineRule="auto"/>
              <w:ind w:left="708" w:hanging="708"/>
              <w:jc w:val="both"/>
              <w:rPr>
                <w:rFonts w:ascii="Verdana" w:hAnsi="Verdana" w:cs="Arial"/>
                <w:shd w:val="clear" w:color="auto" w:fill="FFFFFF"/>
                <w:lang w:val="es-ES"/>
              </w:rPr>
            </w:pPr>
          </w:p>
          <w:p w14:paraId="1C1D81CA" w14:textId="77777777" w:rsidR="008974F7" w:rsidRPr="002C5FC4" w:rsidRDefault="008974F7" w:rsidP="00EB1ADA">
            <w:pPr>
              <w:spacing w:after="120" w:line="276" w:lineRule="auto"/>
              <w:jc w:val="both"/>
              <w:rPr>
                <w:rFonts w:ascii="Verdana" w:eastAsia="Calibri" w:hAnsi="Verdana" w:cs="Arial"/>
                <w:bCs/>
                <w:color w:val="000000" w:themeColor="text1"/>
              </w:rPr>
            </w:pPr>
            <w:r w:rsidRPr="002C5FC4">
              <w:rPr>
                <w:rFonts w:ascii="Verdana" w:eastAsia="Calibri" w:hAnsi="Verdana" w:cs="Arial"/>
                <w:bCs/>
                <w:color w:val="000000" w:themeColor="text1"/>
              </w:rPr>
              <w:t xml:space="preserve">Conforme a la interpretación general de las normas del sistema de compras públicas,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w:t>
            </w:r>
            <w:r w:rsidRPr="002C5FC4">
              <w:rPr>
                <w:rFonts w:ascii="Verdana" w:eastAsia="Calibri" w:hAnsi="Verdana" w:cs="Arial"/>
                <w:bCs/>
                <w:color w:val="000000" w:themeColor="text1"/>
              </w:rPr>
              <w:lastRenderedPageBreak/>
              <w:t>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389B71B8" w14:textId="59687ADB" w:rsidR="008974F7" w:rsidRPr="00EB1ADA" w:rsidRDefault="008974F7" w:rsidP="00EB1ADA">
            <w:pPr>
              <w:spacing w:after="120" w:line="276" w:lineRule="auto"/>
              <w:ind w:firstLine="709"/>
              <w:jc w:val="both"/>
              <w:rPr>
                <w:rFonts w:ascii="Verdana" w:eastAsia="Calibri" w:hAnsi="Verdana" w:cs="Arial"/>
                <w:bCs/>
                <w:color w:val="000000" w:themeColor="text1"/>
              </w:rPr>
            </w:pPr>
            <w:r w:rsidRPr="002C5FC4">
              <w:rPr>
                <w:rFonts w:ascii="Verdana" w:eastAsia="Calibri" w:hAnsi="Verdana" w:cs="Arial"/>
                <w:bCs/>
                <w:color w:val="000000" w:themeColor="text1"/>
              </w:rPr>
              <w:t xml:space="preserve">Por su parte, el parágrafo del artículo 38 de la Ley 996 de 2005 prohíbe a los </w:t>
            </w:r>
            <w:proofErr w:type="gramStart"/>
            <w:r w:rsidRPr="002C5FC4">
              <w:rPr>
                <w:rFonts w:ascii="Verdana" w:eastAsia="Calibri" w:hAnsi="Verdana" w:cs="Arial"/>
                <w:bCs/>
                <w:color w:val="000000" w:themeColor="text1"/>
              </w:rPr>
              <w:t>Alcaldes</w:t>
            </w:r>
            <w:proofErr w:type="gramEnd"/>
            <w:r w:rsidRPr="002C5FC4">
              <w:rPr>
                <w:rFonts w:ascii="Verdana" w:eastAsia="Calibri" w:hAnsi="Verdana" w:cs="Arial"/>
                <w:bCs/>
                <w:color w:val="000000" w:themeColor="text1"/>
              </w:rPr>
              <w:t xml:space="preserve">, Gobernadores, </w:t>
            </w:r>
            <w:proofErr w:type="gramStart"/>
            <w:r w:rsidRPr="002C5FC4">
              <w:rPr>
                <w:rFonts w:ascii="Verdana" w:eastAsia="Calibri" w:hAnsi="Verdana" w:cs="Arial"/>
                <w:bCs/>
                <w:color w:val="000000" w:themeColor="text1"/>
              </w:rPr>
              <w:t>Secretarios</w:t>
            </w:r>
            <w:proofErr w:type="gramEnd"/>
            <w:r w:rsidRPr="002C5FC4">
              <w:rPr>
                <w:rFonts w:ascii="Verdana" w:eastAsia="Calibri" w:hAnsi="Verdana" w:cs="Arial"/>
                <w:bCs/>
                <w:color w:val="000000" w:themeColor="text1"/>
              </w:rPr>
              <w:t xml:space="preserve">, Gerentes y </w:t>
            </w:r>
            <w:proofErr w:type="gramStart"/>
            <w:r w:rsidRPr="002C5FC4">
              <w:rPr>
                <w:rFonts w:ascii="Verdana" w:eastAsia="Calibri" w:hAnsi="Verdana" w:cs="Arial"/>
                <w:bCs/>
                <w:color w:val="000000" w:themeColor="text1"/>
              </w:rPr>
              <w:t>Directores</w:t>
            </w:r>
            <w:proofErr w:type="gramEnd"/>
            <w:r w:rsidRPr="002C5FC4">
              <w:rPr>
                <w:rFonts w:ascii="Verdana" w:eastAsia="Calibri" w:hAnsi="Verdana" w:cs="Arial"/>
                <w:bCs/>
                <w:color w:val="000000" w:themeColor="text1"/>
              </w:rPr>
              <w:t xml:space="preserve"> de las entidades del orden municipal, departamental o distrital celebrar convenios interadministrativos para la ejecución de recursos públicos. En este sentido, si una o ambas partes de la relación negocial corresponden a entidades de aquellas descritas en el parágrafo ibidem, no podrán celebrarse tales convenios durante la aplicación de la Ley de Garantías Electorales, toda vez que la citada disposición se refiere de manera expresa y exclusiva a dicha tipología negocial, sin que el legislador haya previsto un efecto extensivo a otras formas contractuales.</w:t>
            </w:r>
          </w:p>
          <w:p w14:paraId="55155808" w14:textId="7DD9EC67" w:rsidR="00CA1CB0" w:rsidRDefault="003E71AF" w:rsidP="00EB1ADA">
            <w:pPr>
              <w:spacing w:after="120" w:line="276" w:lineRule="auto"/>
              <w:ind w:firstLine="709"/>
              <w:jc w:val="both"/>
              <w:rPr>
                <w:rFonts w:ascii="Verdana" w:hAnsi="Verdana" w:cs="Arial"/>
                <w:shd w:val="clear" w:color="auto" w:fill="FFFFFF"/>
                <w:lang w:val="es-ES"/>
              </w:rPr>
            </w:pPr>
            <w:r w:rsidRPr="003E71AF">
              <w:rPr>
                <w:rFonts w:ascii="Verdana" w:hAnsi="Verdana" w:cs="Arial"/>
                <w:shd w:val="clear" w:color="auto" w:fill="FFFFFF"/>
                <w:lang w:val="es-ES"/>
              </w:rPr>
              <w:t xml:space="preserve">En concordancia con lo expuesto, resulta necesario indicar que la restricción a la celebración de convenios interadministrativos aplicable a las entidades territoriales inició el pasado ocho (8) de noviembre de 2025, mientras que la restricción general a la contratación directa que cobija a todas las Entidades Estatales comenzó a regir a partir del treinta y uno (31) de enero de 2026. Ambas se mantendrán hasta el treinta y uno (31) de mayo o veinte y uno (21) de junio de 2026, en caso de requerirse segunda vuelta en las elecciones presidenciales. </w:t>
            </w:r>
          </w:p>
          <w:p w14:paraId="57329223" w14:textId="3A764AC3" w:rsidR="003E71AF" w:rsidRPr="003E71AF" w:rsidRDefault="003E71AF" w:rsidP="00EB1ADA">
            <w:pPr>
              <w:spacing w:line="276" w:lineRule="auto"/>
              <w:ind w:firstLine="709"/>
              <w:jc w:val="both"/>
              <w:rPr>
                <w:rFonts w:ascii="Verdana" w:hAnsi="Verdana" w:cs="Arial"/>
                <w:shd w:val="clear" w:color="auto" w:fill="FFFFFF"/>
                <w:lang w:val="es-ES"/>
              </w:rPr>
            </w:pPr>
            <w:r w:rsidRPr="003E71AF">
              <w:rPr>
                <w:rFonts w:ascii="Verdana" w:hAnsi="Verdana" w:cs="Arial"/>
                <w:shd w:val="clear" w:color="auto" w:fill="FFFFFF"/>
                <w:lang w:val="es-ES"/>
              </w:rPr>
              <w:t>Al margen de la explicación planteada,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en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5D20176F" w14:textId="77777777" w:rsidR="00516201" w:rsidRDefault="00516201" w:rsidP="005A183A">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1DE0617E" w14:textId="77777777" w:rsidR="00520EA5" w:rsidRPr="001306D8" w:rsidRDefault="00520EA5" w:rsidP="00D6702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306D8">
        <w:rPr>
          <w:rFonts w:ascii="Verdana" w:eastAsia="Century Gothic" w:hAnsi="Verdana" w:cs="Century Gothic"/>
          <w:b/>
          <w:bCs/>
        </w:rPr>
        <w:t>Razones de la respuesta:</w:t>
      </w:r>
    </w:p>
    <w:p w14:paraId="4408DC4A" w14:textId="77777777" w:rsidR="00520EA5" w:rsidRPr="00593A5F" w:rsidRDefault="00520EA5" w:rsidP="009732AA">
      <w:pPr>
        <w:spacing w:after="0" w:line="276" w:lineRule="auto"/>
        <w:jc w:val="both"/>
        <w:rPr>
          <w:rFonts w:ascii="Verdana" w:eastAsia="Calibri" w:hAnsi="Verdana" w:cs="Arial"/>
          <w:color w:val="7030A0"/>
          <w:lang w:val="es-ES"/>
        </w:rPr>
      </w:pPr>
    </w:p>
    <w:p w14:paraId="22F7E198" w14:textId="77777777" w:rsidR="00520EA5" w:rsidRDefault="00520EA5" w:rsidP="00666AD1">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1A964E7A" w14:textId="77777777" w:rsidR="00520EA5" w:rsidRDefault="00520EA5" w:rsidP="00A63F2E">
      <w:pPr>
        <w:spacing w:after="0" w:line="276" w:lineRule="auto"/>
        <w:jc w:val="both"/>
        <w:rPr>
          <w:rFonts w:ascii="Verdana" w:eastAsia="Times New Roman" w:hAnsi="Verdana" w:cs="Arial"/>
          <w:lang w:val="es-MX" w:eastAsia="es-CO"/>
        </w:rPr>
      </w:pPr>
    </w:p>
    <w:p w14:paraId="24A89351" w14:textId="003DF7F6" w:rsidR="00D6702E" w:rsidRDefault="00520EA5" w:rsidP="00A63F2E">
      <w:pPr>
        <w:spacing w:after="120" w:line="276" w:lineRule="auto"/>
        <w:jc w:val="both"/>
        <w:rPr>
          <w:rFonts w:ascii="Verdana" w:eastAsia="Calibri" w:hAnsi="Verdana" w:cs="Arial"/>
          <w:lang w:val="es-ES"/>
        </w:rPr>
      </w:pPr>
      <w:r>
        <w:rPr>
          <w:rFonts w:ascii="Verdana" w:eastAsia="Calibri" w:hAnsi="Verdana" w:cs="Arial"/>
          <w:lang w:val="es-ES"/>
        </w:rPr>
        <w:t xml:space="preserve">i. El ordenamiento jurídico colombiano contempla una serie de previsiones para evitar la obtención de beneficios personales en asuntos propios de la administración. Un ejemplo </w:t>
      </w:r>
      <w:r w:rsidR="009732AA">
        <w:rPr>
          <w:rFonts w:ascii="Verdana" w:eastAsia="Calibri" w:hAnsi="Verdana" w:cs="Arial"/>
          <w:lang w:val="es-ES"/>
        </w:rPr>
        <w:t xml:space="preserve">destacado </w:t>
      </w:r>
      <w:r>
        <w:rPr>
          <w:rFonts w:ascii="Verdana" w:eastAsia="Calibri" w:hAnsi="Verdana" w:cs="Arial"/>
          <w:lang w:val="es-ES"/>
        </w:rPr>
        <w:t xml:space="preserve">de lo anterior es la Ley 996 de 2005, conocida como “Ley de Garantías Electorales”, </w:t>
      </w:r>
      <w:r w:rsidR="009732AA">
        <w:rPr>
          <w:rFonts w:ascii="Verdana" w:eastAsia="Calibri" w:hAnsi="Verdana" w:cs="Arial"/>
          <w:lang w:val="es-ES"/>
        </w:rPr>
        <w:t>cuyo</w:t>
      </w:r>
      <w:r>
        <w:rPr>
          <w:rFonts w:ascii="Verdana" w:eastAsia="Calibri" w:hAnsi="Verdana" w:cs="Arial"/>
          <w:lang w:val="es-ES"/>
        </w:rPr>
        <w:t xml:space="preserve"> propósito </w:t>
      </w:r>
      <w:r w:rsidR="009732AA">
        <w:rPr>
          <w:rFonts w:ascii="Verdana" w:eastAsia="Calibri" w:hAnsi="Verdana" w:cs="Arial"/>
          <w:lang w:val="es-ES"/>
        </w:rPr>
        <w:t xml:space="preserve">central </w:t>
      </w:r>
      <w:r>
        <w:rPr>
          <w:rFonts w:ascii="Verdana" w:eastAsia="Calibri" w:hAnsi="Verdana" w:cs="Arial"/>
          <w:lang w:val="es-ES"/>
        </w:rPr>
        <w:t xml:space="preserve">de </w:t>
      </w:r>
      <w:r w:rsidR="009732AA">
        <w:rPr>
          <w:rFonts w:ascii="Verdana" w:eastAsia="Calibri" w:hAnsi="Verdana" w:cs="Arial"/>
          <w:lang w:val="es-ES"/>
        </w:rPr>
        <w:t xml:space="preserve">es </w:t>
      </w:r>
      <w:r>
        <w:rPr>
          <w:rFonts w:ascii="Verdana" w:eastAsia="Calibri" w:hAnsi="Verdana" w:cs="Arial"/>
          <w:lang w:val="es-ES"/>
        </w:rPr>
        <w:t xml:space="preserve">asegurar la igualdad, </w:t>
      </w:r>
      <w:r w:rsidR="009732AA">
        <w:rPr>
          <w:rFonts w:ascii="Verdana" w:eastAsia="Calibri" w:hAnsi="Verdana" w:cs="Arial"/>
          <w:lang w:val="es-ES"/>
        </w:rPr>
        <w:t xml:space="preserve">la </w:t>
      </w:r>
      <w:r>
        <w:rPr>
          <w:rFonts w:ascii="Verdana" w:eastAsia="Calibri" w:hAnsi="Verdana" w:cs="Arial"/>
          <w:lang w:val="es-ES"/>
        </w:rPr>
        <w:t xml:space="preserve">transparencia </w:t>
      </w:r>
      <w:r w:rsidR="009732AA">
        <w:rPr>
          <w:rFonts w:ascii="Verdana" w:eastAsia="Calibri" w:hAnsi="Verdana" w:cs="Arial"/>
          <w:lang w:val="es-ES"/>
        </w:rPr>
        <w:t>y la</w:t>
      </w:r>
      <w:r>
        <w:rPr>
          <w:rFonts w:ascii="Verdana" w:eastAsia="Calibri" w:hAnsi="Verdana" w:cs="Arial"/>
          <w:lang w:val="es-ES"/>
        </w:rPr>
        <w:t xml:space="preserve"> imparcialidad </w:t>
      </w:r>
      <w:r w:rsidR="009732AA">
        <w:rPr>
          <w:rFonts w:ascii="Verdana" w:eastAsia="Calibri" w:hAnsi="Verdana" w:cs="Arial"/>
          <w:lang w:val="es-ES"/>
        </w:rPr>
        <w:t>durante</w:t>
      </w:r>
      <w:r>
        <w:rPr>
          <w:rFonts w:ascii="Verdana" w:eastAsia="Calibri" w:hAnsi="Verdana" w:cs="Arial"/>
          <w:lang w:val="es-ES"/>
        </w:rPr>
        <w:t xml:space="preserve"> los procesos electorales</w:t>
      </w:r>
      <w:r w:rsidR="009732AA">
        <w:rPr>
          <w:rFonts w:ascii="Verdana" w:eastAsia="Calibri" w:hAnsi="Verdana" w:cs="Arial"/>
          <w:lang w:val="es-ES"/>
        </w:rPr>
        <w:t>. Esta Ley busca impedir</w:t>
      </w:r>
      <w:r>
        <w:rPr>
          <w:rFonts w:ascii="Verdana" w:eastAsia="Calibri" w:hAnsi="Verdana" w:cs="Arial"/>
          <w:lang w:val="es-ES"/>
        </w:rPr>
        <w:t xml:space="preserve"> que quienes ejercen el poder público utilicen los recursos del Estado para incidir en la voluntad del electorado. </w:t>
      </w:r>
    </w:p>
    <w:p w14:paraId="18507065" w14:textId="59D05B74" w:rsidR="00520EA5" w:rsidRDefault="00D6702E" w:rsidP="00EB1ADA">
      <w:pPr>
        <w:spacing w:after="120" w:line="276" w:lineRule="auto"/>
        <w:ind w:firstLine="709"/>
        <w:jc w:val="both"/>
        <w:rPr>
          <w:rFonts w:ascii="Verdana" w:eastAsia="Times New Roman" w:hAnsi="Verdana" w:cs="Arial"/>
          <w:lang w:val="es-MX" w:eastAsia="es-CO"/>
        </w:rPr>
      </w:pPr>
      <w:r w:rsidRPr="00924606">
        <w:rPr>
          <w:rFonts w:ascii="Verdana" w:eastAsia="Calibri" w:hAnsi="Verdana" w:cs="Arial"/>
          <w:lang w:val="es-ES"/>
        </w:rPr>
        <w:t xml:space="preserve">En concordancia con lo expuesto, la Ley de Garantías Electorales estableció un </w:t>
      </w:r>
      <w:r>
        <w:rPr>
          <w:rFonts w:ascii="Verdana" w:eastAsia="Calibri" w:hAnsi="Verdana" w:cs="Arial"/>
          <w:lang w:val="es-ES"/>
        </w:rPr>
        <w:t>andamiaje</w:t>
      </w:r>
      <w:r w:rsidRPr="00924606">
        <w:rPr>
          <w:rFonts w:ascii="Verdana" w:eastAsia="Calibri" w:hAnsi="Verdana" w:cs="Arial"/>
          <w:lang w:val="es-ES"/>
        </w:rPr>
        <w:t xml:space="preserve"> de normas y limitaciones aplicables a los servidores públicos. Estas disposiciones buscan salvaguardar la equidad entre los aspirantes en los procesos electorales, </w:t>
      </w:r>
      <w:r w:rsidR="009732AA">
        <w:rPr>
          <w:rFonts w:ascii="Verdana" w:eastAsia="Calibri" w:hAnsi="Verdana" w:cs="Arial"/>
          <w:lang w:val="es-ES"/>
        </w:rPr>
        <w:t>especialmente</w:t>
      </w:r>
      <w:r w:rsidRPr="00924606">
        <w:rPr>
          <w:rFonts w:ascii="Verdana" w:eastAsia="Calibri" w:hAnsi="Verdana" w:cs="Arial"/>
          <w:lang w:val="es-ES"/>
        </w:rPr>
        <w:t xml:space="preserve"> en materia de contratación</w:t>
      </w:r>
      <w:r w:rsidR="009732AA">
        <w:rPr>
          <w:rFonts w:ascii="Verdana" w:eastAsia="Calibri" w:hAnsi="Verdana" w:cs="Arial"/>
          <w:lang w:val="es-ES"/>
        </w:rPr>
        <w:t xml:space="preserve"> estatal,</w:t>
      </w:r>
      <w:r w:rsidRPr="00924606">
        <w:rPr>
          <w:rFonts w:ascii="Verdana" w:eastAsia="Calibri" w:hAnsi="Verdana" w:cs="Arial"/>
          <w:lang w:val="es-ES"/>
        </w:rPr>
        <w:t xml:space="preserve"> </w:t>
      </w:r>
      <w:r w:rsidR="00685522" w:rsidRPr="00924606">
        <w:rPr>
          <w:rFonts w:ascii="Verdana" w:eastAsia="Calibri" w:hAnsi="Verdana" w:cs="Arial"/>
          <w:lang w:val="es-ES"/>
        </w:rPr>
        <w:t>evita</w:t>
      </w:r>
      <w:r w:rsidR="00685522">
        <w:rPr>
          <w:rFonts w:ascii="Verdana" w:eastAsia="Calibri" w:hAnsi="Verdana" w:cs="Arial"/>
          <w:lang w:val="es-ES"/>
        </w:rPr>
        <w:t>ndo</w:t>
      </w:r>
      <w:r w:rsidRPr="00924606">
        <w:rPr>
          <w:rFonts w:ascii="Verdana" w:eastAsia="Calibri" w:hAnsi="Verdana" w:cs="Arial"/>
          <w:lang w:val="es-ES"/>
        </w:rPr>
        <w:t xml:space="preserve"> cualquier indicio de que, a través de este mecanismo y en los periodos anteriores a la elección, se puedan afectar las condiciones de igualdad entre los candidatos</w:t>
      </w:r>
      <w:r>
        <w:rPr>
          <w:rFonts w:ascii="Verdana" w:eastAsia="Calibri" w:hAnsi="Verdana" w:cs="Arial"/>
          <w:lang w:val="es-ES"/>
        </w:rPr>
        <w:t xml:space="preserve"> y</w:t>
      </w:r>
      <w:r w:rsidR="009732AA">
        <w:rPr>
          <w:rFonts w:ascii="Verdana" w:eastAsia="Calibri" w:hAnsi="Verdana" w:cs="Arial"/>
          <w:lang w:val="es-ES"/>
        </w:rPr>
        <w:t>,</w:t>
      </w:r>
      <w:r>
        <w:rPr>
          <w:rFonts w:ascii="Verdana" w:eastAsia="Calibri" w:hAnsi="Verdana" w:cs="Arial"/>
          <w:lang w:val="es-ES"/>
        </w:rPr>
        <w:t xml:space="preserve"> consecuentemente, la voluntad electoral.</w:t>
      </w:r>
      <w:r w:rsidRPr="00924606">
        <w:rPr>
          <w:rFonts w:ascii="Verdana" w:eastAsia="Calibri" w:hAnsi="Verdana" w:cs="Arial"/>
          <w:lang w:val="es-ES"/>
        </w:rPr>
        <w:t xml:space="preserve"> </w:t>
      </w:r>
    </w:p>
    <w:p w14:paraId="60F49FB7" w14:textId="3486C766" w:rsidR="00520EA5" w:rsidRDefault="00520EA5" w:rsidP="00520EA5">
      <w:pPr>
        <w:spacing w:after="0" w:line="276" w:lineRule="auto"/>
        <w:ind w:firstLine="709"/>
        <w:jc w:val="both"/>
        <w:rPr>
          <w:rFonts w:ascii="Verdana" w:eastAsia="Calibri" w:hAnsi="Verdana" w:cs="Arial"/>
          <w:lang w:val="es-ES"/>
        </w:rPr>
      </w:pPr>
      <w:r>
        <w:rPr>
          <w:rFonts w:ascii="Verdana" w:eastAsia="Calibri" w:hAnsi="Verdana" w:cs="Arial"/>
          <w:lang w:val="es-ES"/>
        </w:rPr>
        <w:t xml:space="preserve">En desarrollo de dicha finalidad, el legislador estableció restricciones temporales a determinadas actuaciones administrativas, entre las que se encuentran la realización de nombramientos, postulaciones, </w:t>
      </w:r>
      <w:r w:rsidRPr="00685522">
        <w:rPr>
          <w:rFonts w:ascii="Verdana" w:eastAsia="Calibri" w:hAnsi="Verdana" w:cs="Arial"/>
          <w:i/>
          <w:iCs/>
          <w:lang w:val="es-ES"/>
        </w:rPr>
        <w:t>contrataciones</w:t>
      </w:r>
      <w:r>
        <w:rPr>
          <w:rFonts w:ascii="Verdana" w:eastAsia="Calibri" w:hAnsi="Verdana" w:cs="Arial"/>
          <w:lang w:val="es-ES"/>
        </w:rPr>
        <w:t xml:space="preserve"> o cualquier otro tipo de actividad que implique </w:t>
      </w:r>
      <w:r w:rsidR="009732AA">
        <w:rPr>
          <w:rFonts w:ascii="Verdana" w:eastAsia="Calibri" w:hAnsi="Verdana" w:cs="Arial"/>
          <w:lang w:val="es-ES"/>
        </w:rPr>
        <w:t xml:space="preserve">la </w:t>
      </w:r>
      <w:r>
        <w:rPr>
          <w:rFonts w:ascii="Verdana" w:eastAsia="Calibri" w:hAnsi="Verdana" w:cs="Arial"/>
          <w:lang w:val="es-ES"/>
        </w:rPr>
        <w:t>destinación de recursos públicos bajo el devenir propio de entidades estatales. Es por esta razón que, varias de las disposiciones de la Ley 996 de 2005, al contener normas prohibitivas, no admiten una interpretación amplia, sino que deben interpretarse restrictivamente. Al respecto, la Sala de Consulta y Servicio Civil del Consejo de Estado, precisó:</w:t>
      </w:r>
    </w:p>
    <w:p w14:paraId="75661488" w14:textId="5E59C0FB" w:rsidR="006D018C" w:rsidRDefault="006D018C" w:rsidP="007B6593">
      <w:pPr>
        <w:spacing w:after="0" w:line="276" w:lineRule="auto"/>
        <w:jc w:val="both"/>
        <w:rPr>
          <w:rFonts w:ascii="Verdana" w:eastAsia="Calibri" w:hAnsi="Verdana" w:cs="Arial"/>
          <w:lang w:val="es-ES"/>
        </w:rPr>
      </w:pPr>
    </w:p>
    <w:p w14:paraId="5DEFEC1D" w14:textId="77777777" w:rsidR="006D018C" w:rsidRPr="001F125B" w:rsidRDefault="006D018C" w:rsidP="00685522">
      <w:pPr>
        <w:spacing w:after="0" w:line="240" w:lineRule="auto"/>
        <w:ind w:left="709" w:right="709"/>
        <w:jc w:val="both"/>
        <w:rPr>
          <w:rFonts w:ascii="Verdana" w:eastAsia="Times New Roman" w:hAnsi="Verdana" w:cs="Arial"/>
          <w:sz w:val="20"/>
          <w:szCs w:val="20"/>
          <w:lang w:val="es-MX" w:eastAsia="es-CO"/>
        </w:rPr>
      </w:pPr>
      <w:r w:rsidRPr="005A183A">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5A183A">
        <w:rPr>
          <w:rFonts w:ascii="Verdana" w:eastAsia="Times New Roman" w:hAnsi="Verdana" w:cs="Arial"/>
          <w:sz w:val="20"/>
          <w:szCs w:val="20"/>
          <w:lang w:val="es-MX" w:eastAsia="es-CO"/>
        </w:rPr>
        <w:t>legis</w:t>
      </w:r>
      <w:proofErr w:type="spellEnd"/>
      <w:r w:rsidRPr="005A183A">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w:t>
      </w:r>
      <w:r w:rsidRPr="00D6702E">
        <w:rPr>
          <w:rFonts w:ascii="Verdana" w:eastAsia="Times New Roman" w:hAnsi="Verdana" w:cs="Arial"/>
          <w:sz w:val="20"/>
          <w:szCs w:val="20"/>
          <w:lang w:val="es-MX" w:eastAsia="es-CO"/>
        </w:rPr>
        <w:t>no son disponibles ni pueden ser derogadas, modificadas, ampliadas o adicionadas por acuerdo o convenio o acto unilateral.</w:t>
      </w:r>
    </w:p>
    <w:p w14:paraId="58420573" w14:textId="77777777" w:rsidR="006D018C" w:rsidRPr="00A63F2E" w:rsidRDefault="006D018C" w:rsidP="00685522">
      <w:pPr>
        <w:spacing w:after="0" w:line="240" w:lineRule="auto"/>
        <w:ind w:left="709" w:right="709"/>
        <w:jc w:val="both"/>
        <w:rPr>
          <w:rFonts w:ascii="Verdana" w:eastAsia="Times New Roman" w:hAnsi="Verdana" w:cs="Arial"/>
          <w:sz w:val="20"/>
          <w:szCs w:val="20"/>
          <w:lang w:val="es-MX" w:eastAsia="es-CO"/>
        </w:rPr>
      </w:pPr>
    </w:p>
    <w:p w14:paraId="12EE6045" w14:textId="224A7B8A" w:rsidR="006D018C" w:rsidRPr="000A1025" w:rsidRDefault="006D018C" w:rsidP="00685522">
      <w:pPr>
        <w:spacing w:after="0" w:line="240" w:lineRule="auto"/>
        <w:ind w:left="709" w:right="709"/>
        <w:jc w:val="both"/>
        <w:rPr>
          <w:rFonts w:ascii="Verdana" w:eastAsia="Calibri" w:hAnsi="Verdana" w:cs="Arial"/>
          <w:sz w:val="20"/>
          <w:szCs w:val="20"/>
          <w:lang w:val="es-ES"/>
        </w:rPr>
      </w:pPr>
      <w:r w:rsidRPr="00A63F2E">
        <w:rPr>
          <w:rFonts w:ascii="Verdana" w:eastAsia="Times New Roman" w:hAnsi="Verdana" w:cs="Arial"/>
          <w:sz w:val="20"/>
          <w:szCs w:val="20"/>
          <w:lang w:val="es-MX" w:eastAsia="es-CO"/>
        </w:rPr>
        <w:lastRenderedPageBreak/>
        <w:t>La jurisprudencia de la Corte Constitucional</w:t>
      </w:r>
      <w:r w:rsidR="007B6593" w:rsidRPr="00F3590A">
        <w:rPr>
          <w:rFonts w:ascii="Verdana" w:eastAsia="Times New Roman" w:hAnsi="Verdana" w:cs="Arial"/>
          <w:sz w:val="20"/>
          <w:szCs w:val="20"/>
          <w:lang w:val="es-MX" w:eastAsia="es-CO"/>
        </w:rPr>
        <w:t xml:space="preserve"> </w:t>
      </w:r>
      <w:r w:rsidR="007B6593" w:rsidRPr="005A183A">
        <w:rPr>
          <w:rStyle w:val="Refdenotaalpie"/>
          <w:rFonts w:ascii="Verdana" w:eastAsia="Times New Roman" w:hAnsi="Verdana" w:cs="Arial"/>
          <w:sz w:val="20"/>
          <w:szCs w:val="20"/>
          <w:lang w:val="es-MX" w:eastAsia="es-CO"/>
        </w:rPr>
        <w:footnoteReference w:id="1"/>
      </w:r>
      <w:r w:rsidR="0050321F" w:rsidRPr="005A183A">
        <w:rPr>
          <w:rFonts w:ascii="Verdana" w:eastAsia="Times New Roman" w:hAnsi="Verdana" w:cs="Arial"/>
          <w:sz w:val="20"/>
          <w:szCs w:val="20"/>
          <w:lang w:val="es-MX" w:eastAsia="es-CO"/>
        </w:rPr>
        <w:t xml:space="preserve"> y del Consejo de Estado</w:t>
      </w:r>
      <w:r w:rsidR="007C52A9" w:rsidRPr="005A183A">
        <w:rPr>
          <w:rStyle w:val="Refdenotaalpie"/>
          <w:rFonts w:ascii="Verdana" w:eastAsia="Times New Roman" w:hAnsi="Verdana" w:cs="Arial"/>
          <w:sz w:val="20"/>
          <w:szCs w:val="20"/>
          <w:lang w:val="es-MX" w:eastAsia="es-CO"/>
        </w:rPr>
        <w:footnoteReference w:id="2"/>
      </w:r>
      <w:r w:rsidR="00AC1569" w:rsidRPr="005A183A">
        <w:rPr>
          <w:rFonts w:ascii="Verdana" w:eastAsia="Times New Roman" w:hAnsi="Verdana" w:cs="Arial"/>
          <w:sz w:val="20"/>
          <w:szCs w:val="20"/>
          <w:lang w:val="es-MX" w:eastAsia="es-CO"/>
        </w:rPr>
        <w:t xml:space="preserve"> coinciden en que las normas que establecen prohibiciones d</w:t>
      </w:r>
      <w:r w:rsidR="00AC1569" w:rsidRPr="00D6702E">
        <w:rPr>
          <w:rFonts w:ascii="Verdana" w:eastAsia="Times New Roman" w:hAnsi="Verdana" w:cs="Arial"/>
          <w:sz w:val="20"/>
          <w:szCs w:val="20"/>
          <w:lang w:val="es-MX" w:eastAsia="es-CO"/>
        </w:rPr>
        <w:t>eben estar de manera explícita en la Constitución o en la ley y no podrán ser excesivas ni desproporcionadas</w:t>
      </w:r>
      <w:r w:rsidR="006E6212" w:rsidRPr="001F125B">
        <w:rPr>
          <w:rFonts w:ascii="Verdana" w:eastAsia="Times New Roman" w:hAnsi="Verdana" w:cs="Arial"/>
          <w:sz w:val="20"/>
          <w:szCs w:val="20"/>
          <w:lang w:val="es-MX" w:eastAsia="es-CO"/>
        </w:rPr>
        <w:t xml:space="preserve"> no pueden interpretarse extensivamente sino siempre en forma restrictiva o estricta; es decir, en la aplicación de las normas prohibitivas, el inté</w:t>
      </w:r>
      <w:r w:rsidR="006E6212" w:rsidRPr="00A63F2E">
        <w:rPr>
          <w:rFonts w:ascii="Verdana" w:eastAsia="Times New Roman" w:hAnsi="Verdana" w:cs="Arial"/>
          <w:sz w:val="20"/>
          <w:szCs w:val="20"/>
          <w:lang w:val="es-MX" w:eastAsia="es-CO"/>
        </w:rPr>
        <w:t>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006E6212" w:rsidRPr="005A183A">
        <w:rPr>
          <w:rStyle w:val="Refdenotaalpie"/>
          <w:rFonts w:ascii="Verdana" w:eastAsia="Times New Roman" w:hAnsi="Verdana" w:cs="Arial"/>
          <w:sz w:val="20"/>
          <w:szCs w:val="20"/>
          <w:lang w:val="es-MX" w:eastAsia="es-CO"/>
        </w:rPr>
        <w:footnoteReference w:id="3"/>
      </w:r>
    </w:p>
    <w:p w14:paraId="2F06AFDA" w14:textId="77777777" w:rsidR="00636E77" w:rsidRDefault="00636E77" w:rsidP="00A55931">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20567857" w14:textId="66589037" w:rsidR="002D71B4" w:rsidRDefault="00A8046D" w:rsidP="000A1025">
      <w:pPr>
        <w:spacing w:after="120" w:line="276" w:lineRule="auto"/>
        <w:ind w:firstLine="709"/>
        <w:jc w:val="both"/>
        <w:rPr>
          <w:rFonts w:ascii="Verdana" w:eastAsia="Calibri" w:hAnsi="Verdana" w:cs="Arial"/>
          <w:lang w:val="es-ES"/>
        </w:rPr>
      </w:pPr>
      <w:r w:rsidRPr="00924606">
        <w:rPr>
          <w:rFonts w:ascii="Verdana" w:eastAsia="Calibri" w:hAnsi="Verdana" w:cs="Arial"/>
          <w:lang w:val="es-ES"/>
        </w:rPr>
        <w:t xml:space="preserve">De manera puntual, las restricciones previstas en dicha ley </w:t>
      </w:r>
      <w:r w:rsidR="0026271C">
        <w:rPr>
          <w:rFonts w:ascii="Verdana" w:eastAsia="Calibri" w:hAnsi="Verdana" w:cs="Arial"/>
          <w:lang w:val="es-ES"/>
        </w:rPr>
        <w:t xml:space="preserve">en materia de contratación estatal </w:t>
      </w:r>
      <w:r w:rsidRPr="00924606">
        <w:rPr>
          <w:rFonts w:ascii="Verdana" w:eastAsia="Calibri" w:hAnsi="Verdana" w:cs="Arial"/>
          <w:lang w:val="es-ES"/>
        </w:rPr>
        <w:t>están orientadas a dos (2) clases de campañas electorales claramente diferenciadas: las presidenciales y aquellas correspondientes a la elección de los demás cargos de elección popular, tanto en el ámbito nacional como en el territorial.</w:t>
      </w:r>
    </w:p>
    <w:p w14:paraId="57F959DA" w14:textId="0CF2EE7D" w:rsidR="00F01F5A" w:rsidRDefault="002D71B4" w:rsidP="000A1025">
      <w:pPr>
        <w:spacing w:after="120" w:line="276" w:lineRule="auto"/>
        <w:ind w:firstLine="709"/>
        <w:jc w:val="both"/>
        <w:rPr>
          <w:rFonts w:ascii="Verdana" w:eastAsia="Calibri" w:hAnsi="Verdana" w:cs="Arial"/>
          <w:lang w:val="es-ES"/>
        </w:rPr>
      </w:pPr>
      <w:r>
        <w:rPr>
          <w:rFonts w:ascii="Verdana" w:eastAsia="Calibri" w:hAnsi="Verdana" w:cs="Arial"/>
          <w:lang w:val="es-ES"/>
        </w:rPr>
        <w:t xml:space="preserve">Por un lado, el artículo 33 </w:t>
      </w:r>
      <w:r>
        <w:rPr>
          <w:rFonts w:ascii="Verdana" w:eastAsia="Calibri" w:hAnsi="Verdana" w:cs="Arial"/>
        </w:rPr>
        <w:t>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00A067C8">
        <w:rPr>
          <w:rFonts w:ascii="Verdana" w:eastAsia="Calibri" w:hAnsi="Verdana" w:cs="Arial"/>
        </w:rPr>
        <w:t>”</w:t>
      </w:r>
      <w:r w:rsidR="00A067C8">
        <w:rPr>
          <w:rStyle w:val="Refdenotaalpie"/>
          <w:rFonts w:ascii="Verdana" w:eastAsia="Calibri" w:hAnsi="Verdana" w:cs="Arial"/>
        </w:rPr>
        <w:footnoteReference w:id="4"/>
      </w:r>
      <w:r w:rsidR="001F125B">
        <w:rPr>
          <w:rFonts w:ascii="Verdana" w:eastAsia="Calibri" w:hAnsi="Verdana" w:cs="Arial"/>
          <w:lang w:val="es-ES"/>
        </w:rPr>
        <w:t>.</w:t>
      </w:r>
    </w:p>
    <w:p w14:paraId="3160CCD2" w14:textId="77777777" w:rsidR="001F125B" w:rsidRDefault="00F01F5A" w:rsidP="000A1025">
      <w:pPr>
        <w:widowControl w:val="0"/>
        <w:autoSpaceDE w:val="0"/>
        <w:autoSpaceDN w:val="0"/>
        <w:spacing w:after="120" w:line="276" w:lineRule="auto"/>
        <w:ind w:firstLine="708"/>
        <w:contextualSpacing/>
        <w:jc w:val="both"/>
        <w:rPr>
          <w:rFonts w:ascii="Verdana" w:eastAsia="Calibri" w:hAnsi="Verdana" w:cs="Arial"/>
          <w:sz w:val="19"/>
          <w:szCs w:val="19"/>
        </w:rPr>
      </w:pPr>
      <w:r w:rsidRPr="00213139">
        <w:rPr>
          <w:rFonts w:ascii="Verdana" w:eastAsia="Calibri" w:hAnsi="Verdana" w:cs="Arial"/>
        </w:rPr>
        <w:lastRenderedPageBreak/>
        <w:t>Por otro</w:t>
      </w:r>
      <w:r w:rsidR="001F125B">
        <w:rPr>
          <w:rFonts w:ascii="Verdana" w:eastAsia="Calibri" w:hAnsi="Verdana" w:cs="Arial"/>
        </w:rPr>
        <w:t xml:space="preserve"> lado</w:t>
      </w:r>
      <w:r w:rsidRPr="00213139">
        <w:rPr>
          <w:rFonts w:ascii="Verdana" w:eastAsia="Calibri" w:hAnsi="Verdana" w:cs="Arial"/>
        </w:rPr>
        <w:t>,</w:t>
      </w:r>
      <w:r>
        <w:rPr>
          <w:rFonts w:ascii="Verdana" w:eastAsia="Calibri" w:hAnsi="Verdana" w:cs="Arial"/>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sz w:val="19"/>
          <w:szCs w:val="19"/>
        </w:rPr>
        <w:t>”</w:t>
      </w:r>
      <w:r w:rsidR="000827D0">
        <w:rPr>
          <w:rStyle w:val="Refdenotaalpie"/>
          <w:rFonts w:ascii="Verdana" w:eastAsia="Calibri" w:hAnsi="Verdana" w:cs="Arial"/>
          <w:sz w:val="19"/>
          <w:szCs w:val="19"/>
        </w:rPr>
        <w:footnoteReference w:id="5"/>
      </w:r>
      <w:r w:rsidR="001F125B">
        <w:rPr>
          <w:rFonts w:ascii="Verdana" w:eastAsia="Calibri" w:hAnsi="Verdana" w:cs="Arial"/>
          <w:sz w:val="19"/>
          <w:szCs w:val="19"/>
        </w:rPr>
        <w:t>.</w:t>
      </w:r>
      <w:r w:rsidR="00151689">
        <w:rPr>
          <w:rFonts w:ascii="Verdana" w:eastAsia="Calibri" w:hAnsi="Verdana" w:cs="Arial"/>
          <w:sz w:val="19"/>
          <w:szCs w:val="19"/>
        </w:rPr>
        <w:t xml:space="preserve"> </w:t>
      </w:r>
    </w:p>
    <w:p w14:paraId="66C0BBE9" w14:textId="062AC1FD" w:rsidR="00151689" w:rsidRDefault="00151689" w:rsidP="00151689">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0AF5C4A5" w14:textId="77777777" w:rsidR="00151689" w:rsidRDefault="00151689" w:rsidP="00151689">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78812FD5" w14:textId="5F4DE6A6" w:rsidR="00A55931" w:rsidRDefault="00151689" w:rsidP="000A1025">
      <w:pPr>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4" w:name="_Hlk76109421"/>
      <w:r>
        <w:rPr>
          <w:rFonts w:ascii="Verdana" w:eastAsia="Arial" w:hAnsi="Verdana" w:cs="Arial"/>
          <w:sz w:val="20"/>
          <w:szCs w:val="20"/>
          <w:lang w:val="es-ES" w:eastAsia="es-ES" w:bidi="es-ES"/>
        </w:rPr>
        <w:t>se integran parcialmente</w:t>
      </w:r>
      <w:bookmarkEnd w:id="4"/>
      <w:r>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Pr>
          <w:rFonts w:ascii="Verdana" w:eastAsia="Arial" w:hAnsi="Verdana" w:cs="Arial"/>
          <w:sz w:val="20"/>
          <w:szCs w:val="20"/>
          <w:lang w:val="es-ES" w:eastAsia="es-ES" w:bidi="es-ES"/>
        </w:rPr>
        <w:t>Presidente</w:t>
      </w:r>
      <w:proofErr w:type="gramEnd"/>
      <w:r>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Pr>
          <w:rStyle w:val="Refdenotaalpie"/>
          <w:rFonts w:ascii="Verdana" w:eastAsia="Arial" w:hAnsi="Verdana" w:cs="Arial"/>
          <w:sz w:val="20"/>
          <w:szCs w:val="20"/>
          <w:lang w:val="es-ES" w:eastAsia="es-ES" w:bidi="es-ES"/>
        </w:rPr>
        <w:footnoteReference w:id="6"/>
      </w:r>
    </w:p>
    <w:p w14:paraId="158B6F8D" w14:textId="77777777" w:rsidR="00FC42C7" w:rsidRDefault="00FC42C7" w:rsidP="00151689">
      <w:pPr>
        <w:spacing w:after="0" w:line="276" w:lineRule="auto"/>
        <w:ind w:left="708"/>
        <w:jc w:val="both"/>
        <w:rPr>
          <w:rFonts w:ascii="Verdana" w:eastAsia="Arial" w:hAnsi="Verdana" w:cs="Arial"/>
          <w:sz w:val="20"/>
          <w:szCs w:val="20"/>
          <w:lang w:val="es-ES" w:eastAsia="es-ES" w:bidi="es-ES"/>
        </w:rPr>
      </w:pPr>
    </w:p>
    <w:p w14:paraId="0DAA1187" w14:textId="77777777" w:rsidR="00014B56" w:rsidRDefault="00FC42C7" w:rsidP="00FC42C7">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 xml:space="preserve">De conformidad con lo anterior, </w:t>
      </w:r>
      <w:bookmarkStart w:id="5" w:name="_Hlk77236420"/>
      <w:bookmarkStart w:id="6" w:name="_Hlk78818435"/>
      <w:r>
        <w:rPr>
          <w:rFonts w:ascii="Verdana" w:eastAsia="Arial" w:hAnsi="Verdana" w:cs="Arial"/>
          <w:lang w:val="es-ES" w:eastAsia="es-ES" w:bidi="es-ES"/>
        </w:rPr>
        <w:t xml:space="preserve">la Ley 996 de 2005 establece dos (2) tipos de restricciones en materia de contratación, las cuales coinciden parcialmente. </w:t>
      </w:r>
      <w:r w:rsidRPr="00A051E7">
        <w:rPr>
          <w:rFonts w:ascii="Verdana" w:eastAsia="Arial" w:hAnsi="Verdana" w:cs="Arial"/>
          <w:iCs/>
          <w:lang w:val="es-ES" w:eastAsia="es-ES" w:bidi="es-ES"/>
        </w:rPr>
        <w:t>En primer lugar,</w:t>
      </w:r>
      <w:r>
        <w:rPr>
          <w:rFonts w:ascii="Verdana" w:eastAsia="Arial" w:hAnsi="Verdana" w:cs="Arial"/>
          <w:lang w:val="es-ES" w:eastAsia="es-ES" w:bidi="es-ES"/>
        </w:rPr>
        <w:t xml:space="preserve"> la del artículo 33 que opera solo respecto de las elecciones presidenciales, en virtud de la cual queda prohibida la contratación directa </w:t>
      </w:r>
      <w:r>
        <w:rPr>
          <w:rFonts w:ascii="Verdana" w:eastAsia="Arial" w:hAnsi="Verdana" w:cs="Arial"/>
          <w:lang w:val="es-ES" w:eastAsia="es-ES" w:bidi="es-ES"/>
        </w:rPr>
        <w:lastRenderedPageBreak/>
        <w:t xml:space="preserve">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p>
    <w:p w14:paraId="11766779" w14:textId="65E4980D" w:rsidR="00FC42C7" w:rsidRDefault="00FC42C7" w:rsidP="00FC42C7">
      <w:pPr>
        <w:spacing w:after="120" w:line="276" w:lineRule="auto"/>
        <w:ind w:firstLine="709"/>
        <w:jc w:val="both"/>
        <w:rPr>
          <w:rFonts w:ascii="Verdana" w:eastAsia="Arial" w:hAnsi="Verdana" w:cs="Arial"/>
          <w:lang w:val="es-ES" w:eastAsia="es-ES" w:bidi="es-ES"/>
        </w:rPr>
      </w:pPr>
      <w:r w:rsidRPr="00A051E7">
        <w:rPr>
          <w:rFonts w:ascii="Verdana" w:eastAsia="Arial" w:hAnsi="Verdana" w:cs="Arial"/>
          <w:iCs/>
          <w:lang w:val="es-ES" w:eastAsia="es-ES" w:bidi="es-ES"/>
        </w:rPr>
        <w:t>En segundo lugar,</w:t>
      </w:r>
      <w:r>
        <w:rPr>
          <w:rFonts w:ascii="Verdana" w:eastAsia="Arial" w:hAnsi="Verdana" w:cs="Arial"/>
          <w:lang w:val="es-ES" w:eastAsia="es-ES" w:bidi="es-ES"/>
        </w:rPr>
        <w:t xml:space="preserve">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5"/>
      <w:bookmarkEnd w:id="6"/>
    </w:p>
    <w:p w14:paraId="066C3A25" w14:textId="77777777" w:rsidR="00FC42C7" w:rsidRDefault="00FC42C7" w:rsidP="00FC42C7">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 xml:space="preserve">Ambas restricciones no son excluyentes, lo que permite concluir que en el período preelectoral para elección de </w:t>
      </w:r>
      <w:proofErr w:type="gramStart"/>
      <w:r>
        <w:rPr>
          <w:rFonts w:ascii="Verdana" w:eastAsia="Arial" w:hAnsi="Verdana" w:cs="Arial"/>
          <w:lang w:val="es-ES" w:eastAsia="es-ES" w:bidi="es-ES"/>
        </w:rPr>
        <w:t>Presidente</w:t>
      </w:r>
      <w:proofErr w:type="gramEnd"/>
      <w:r>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Pr>
          <w:rFonts w:ascii="Verdana" w:eastAsia="Arial" w:hAnsi="Verdana" w:cs="Arial"/>
          <w:lang w:val="es-ES" w:eastAsia="es-ES" w:bidi="es-ES"/>
        </w:rPr>
        <w:t>Presidente</w:t>
      </w:r>
      <w:proofErr w:type="gramEnd"/>
      <w:r>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106FF1BA" w14:textId="71C62155" w:rsidR="001A07A1" w:rsidRDefault="00FC42C7" w:rsidP="008B4F3C">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 xml:space="preserve">Sobre este punto, la Corte Constitucional, en la Sentencia C-1153 del 11 de noviembre de 2005, señaló que, para que la garantía sea plena, era necesario que la prohibición se aplicara para el </w:t>
      </w:r>
      <w:proofErr w:type="gramStart"/>
      <w:r>
        <w:rPr>
          <w:rFonts w:ascii="Verdana" w:eastAsia="Arial" w:hAnsi="Verdana" w:cs="Arial"/>
          <w:lang w:val="es-ES" w:eastAsia="es-ES" w:bidi="es-ES"/>
        </w:rPr>
        <w:t>Presidente</w:t>
      </w:r>
      <w:proofErr w:type="gramEnd"/>
      <w:r>
        <w:rPr>
          <w:rFonts w:ascii="Verdana" w:eastAsia="Arial" w:hAnsi="Verdana" w:cs="Arial"/>
          <w:lang w:val="es-ES" w:eastAsia="es-ES" w:bidi="es-ES"/>
        </w:rPr>
        <w:t xml:space="preserve"> o el </w:t>
      </w:r>
      <w:proofErr w:type="gramStart"/>
      <w:r>
        <w:rPr>
          <w:rFonts w:ascii="Verdana" w:eastAsia="Arial" w:hAnsi="Verdana" w:cs="Arial"/>
          <w:lang w:val="es-ES" w:eastAsia="es-ES" w:bidi="es-ES"/>
        </w:rPr>
        <w:t>Vicepresidente</w:t>
      </w:r>
      <w:proofErr w:type="gramEnd"/>
      <w:r>
        <w:rPr>
          <w:rFonts w:ascii="Verdana" w:eastAsia="Arial" w:hAnsi="Verdana" w:cs="Arial"/>
          <w:lang w:val="es-ES" w:eastAsia="es-ES" w:bidi="es-ES"/>
        </w:rPr>
        <w:t xml:space="preserve"> desde que éstos –estando en ejercicio de su cargo– manifiesten el interés de ser candidatos presidenciales,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w:t>
      </w:r>
    </w:p>
    <w:p w14:paraId="58F9B728" w14:textId="2F88F1F5" w:rsidR="00014B56" w:rsidRDefault="00014B56" w:rsidP="001A07A1">
      <w:pPr>
        <w:spacing w:after="0" w:line="276" w:lineRule="auto"/>
        <w:ind w:firstLine="708"/>
        <w:jc w:val="both"/>
        <w:rPr>
          <w:rFonts w:ascii="Verdana" w:eastAsia="Arial" w:hAnsi="Verdana" w:cs="Arial"/>
          <w:lang w:val="es-ES" w:eastAsia="es-ES" w:bidi="es-ES"/>
        </w:rPr>
      </w:pPr>
      <w:r>
        <w:rPr>
          <w:rFonts w:ascii="Verdana" w:eastAsia="Arial" w:hAnsi="Verdana" w:cs="Arial"/>
          <w:lang w:val="es-ES" w:eastAsia="es-ES" w:bidi="es-ES"/>
        </w:rPr>
        <w:t xml:space="preserve">A continuación, se </w:t>
      </w:r>
      <w:r w:rsidR="00A369F2">
        <w:rPr>
          <w:rFonts w:ascii="Verdana" w:eastAsia="Arial" w:hAnsi="Verdana" w:cs="Arial"/>
          <w:lang w:val="es-ES" w:eastAsia="es-ES" w:bidi="es-ES"/>
        </w:rPr>
        <w:t>analizará</w:t>
      </w:r>
      <w:r>
        <w:rPr>
          <w:rFonts w:ascii="Verdana" w:eastAsia="Arial" w:hAnsi="Verdana" w:cs="Arial"/>
          <w:lang w:val="es-ES" w:eastAsia="es-ES" w:bidi="es-ES"/>
        </w:rPr>
        <w:t xml:space="preserve"> cada una de las restricciones, con el fin de dar respuesta al problema jurídico planteado. </w:t>
      </w:r>
    </w:p>
    <w:p w14:paraId="4933FF00" w14:textId="77777777" w:rsidR="001F125B" w:rsidRPr="00014B56" w:rsidRDefault="001F125B" w:rsidP="004E1393">
      <w:pPr>
        <w:spacing w:after="0" w:line="276" w:lineRule="auto"/>
        <w:jc w:val="both"/>
        <w:rPr>
          <w:rFonts w:ascii="Verdana" w:eastAsia="Arial" w:hAnsi="Verdana" w:cs="Arial"/>
          <w:lang w:val="es-ES" w:eastAsia="es-ES" w:bidi="es-ES"/>
        </w:rPr>
      </w:pPr>
    </w:p>
    <w:p w14:paraId="66A4AC99" w14:textId="36307517" w:rsidR="001A07A1" w:rsidRPr="00A369F2" w:rsidRDefault="001A07A1" w:rsidP="004E1393">
      <w:pPr>
        <w:spacing w:after="0" w:line="276" w:lineRule="auto"/>
        <w:jc w:val="both"/>
        <w:rPr>
          <w:rFonts w:ascii="Verdana" w:hAnsi="Verdana" w:cs="Arial"/>
          <w:lang w:eastAsia="es-CO"/>
        </w:rPr>
      </w:pPr>
      <w:proofErr w:type="spellStart"/>
      <w:r w:rsidRPr="00014B56">
        <w:rPr>
          <w:rFonts w:ascii="Verdana" w:eastAsia="Arial" w:hAnsi="Verdana" w:cs="Arial"/>
          <w:lang w:val="es-ES" w:eastAsia="es-ES" w:bidi="es-ES"/>
        </w:rPr>
        <w:t>ii</w:t>
      </w:r>
      <w:proofErr w:type="spellEnd"/>
      <w:r w:rsidRPr="00014B56">
        <w:rPr>
          <w:rFonts w:ascii="Verdana" w:eastAsia="Arial" w:hAnsi="Verdana" w:cs="Arial"/>
          <w:lang w:val="es-ES" w:eastAsia="es-ES" w:bidi="es-ES"/>
        </w:rPr>
        <w:t xml:space="preserve">. </w:t>
      </w:r>
      <w:r w:rsidR="00A369F2">
        <w:rPr>
          <w:rFonts w:ascii="Verdana" w:eastAsia="Arial" w:hAnsi="Verdana" w:cs="Arial"/>
          <w:lang w:val="es-ES" w:eastAsia="es-ES" w:bidi="es-ES"/>
        </w:rPr>
        <w:t>En primer lugar</w:t>
      </w:r>
      <w:r w:rsidRPr="00014B56">
        <w:rPr>
          <w:rFonts w:ascii="Verdana" w:eastAsia="Arial" w:hAnsi="Verdana" w:cs="Arial"/>
          <w:lang w:val="es-ES" w:eastAsia="es-ES" w:bidi="es-ES"/>
        </w:rPr>
        <w:t>, el</w:t>
      </w:r>
      <w:r w:rsidRPr="00A369F2">
        <w:rPr>
          <w:rFonts w:ascii="Verdana" w:hAnsi="Verdana" w:cs="Arial"/>
          <w:bCs/>
          <w:lang w:val="es-MX" w:eastAsia="x-none"/>
        </w:rPr>
        <w:t xml:space="preserve"> ámbito material de la prohibición contenida en el artículo 33 de la </w:t>
      </w:r>
      <w:r w:rsidR="00014B56" w:rsidRPr="00A369F2">
        <w:rPr>
          <w:rFonts w:ascii="Verdana" w:hAnsi="Verdana" w:cs="Arial"/>
          <w:bCs/>
          <w:lang w:val="es-MX" w:eastAsia="x-none"/>
        </w:rPr>
        <w:t>L</w:t>
      </w:r>
      <w:r w:rsidRPr="00014B56">
        <w:rPr>
          <w:rFonts w:ascii="Verdana" w:hAnsi="Verdana" w:cs="Arial"/>
          <w:bCs/>
          <w:lang w:val="es-MX" w:eastAsia="x-none"/>
        </w:rPr>
        <w:t xml:space="preserve">ey 996 de 2005 está delimitado por la expresión </w:t>
      </w:r>
      <w:r w:rsidRPr="004E1393">
        <w:rPr>
          <w:rFonts w:ascii="Verdana" w:eastAsia="Calibri" w:hAnsi="Verdana" w:cs="Arial"/>
          <w:bCs/>
          <w:lang w:val="es-MX"/>
        </w:rPr>
        <w:t>“</w:t>
      </w:r>
      <w:r w:rsidRPr="00014B56">
        <w:rPr>
          <w:rFonts w:ascii="Verdana" w:hAnsi="Verdana" w:cs="Arial"/>
          <w:bCs/>
          <w:lang w:val="es-MX" w:eastAsia="x-none"/>
        </w:rPr>
        <w:t>queda prohibida la contratación directa</w:t>
      </w:r>
      <w:r w:rsidRPr="004E1393">
        <w:rPr>
          <w:rFonts w:ascii="Verdana" w:hAnsi="Verdana" w:cs="Arial"/>
          <w:lang w:val="es-MX"/>
        </w:rPr>
        <w:t>”</w:t>
      </w:r>
      <w:r w:rsidRPr="00014B56">
        <w:rPr>
          <w:rFonts w:ascii="Verdana" w:hAnsi="Verdana" w:cs="Arial"/>
          <w:bCs/>
          <w:lang w:val="es-MX" w:eastAsia="x-none"/>
        </w:rPr>
        <w:t>.</w:t>
      </w:r>
      <w:r w:rsidRPr="00014B56">
        <w:rPr>
          <w:rFonts w:ascii="Verdana" w:hAnsi="Verdana" w:cs="Arial"/>
          <w:lang w:val="es-MX" w:eastAsia="es-CO"/>
        </w:rPr>
        <w:t xml:space="preserve"> A propósito de </w:t>
      </w:r>
      <w:r w:rsidRPr="00014B56">
        <w:rPr>
          <w:rFonts w:ascii="Verdana" w:hAnsi="Verdana" w:cs="Arial"/>
          <w:lang w:eastAsia="es-CO"/>
        </w:rPr>
        <w:t xml:space="preserve">esta restricción de la Ley de Garantías Electorales, la Sala de Consulta y Servicio Civil del Consejo de Estado ha </w:t>
      </w:r>
      <w:r w:rsidRPr="00A369F2">
        <w:rPr>
          <w:rFonts w:ascii="Verdana" w:hAnsi="Verdana" w:cs="Arial"/>
          <w:lang w:eastAsia="es-CO"/>
        </w:rPr>
        <w:t>considerado que:</w:t>
      </w:r>
    </w:p>
    <w:p w14:paraId="7160C9DC" w14:textId="77777777" w:rsidR="00D43802" w:rsidRPr="00A369F2" w:rsidRDefault="00D43802" w:rsidP="00014B56">
      <w:pPr>
        <w:spacing w:after="0" w:line="276" w:lineRule="auto"/>
        <w:ind w:firstLine="708"/>
        <w:jc w:val="both"/>
        <w:rPr>
          <w:rFonts w:ascii="Verdana" w:hAnsi="Verdana" w:cs="Arial"/>
          <w:lang w:eastAsia="es-CO"/>
        </w:rPr>
      </w:pPr>
    </w:p>
    <w:p w14:paraId="4390C8CB" w14:textId="0C146F5C" w:rsidR="00D43802" w:rsidRPr="00A369F2" w:rsidRDefault="00D43802" w:rsidP="004E1393">
      <w:pPr>
        <w:spacing w:after="0" w:line="240" w:lineRule="auto"/>
        <w:ind w:left="709" w:right="709"/>
        <w:jc w:val="both"/>
        <w:rPr>
          <w:rFonts w:ascii="Verdana" w:hAnsi="Verdana" w:cs="Arial"/>
          <w:sz w:val="20"/>
          <w:szCs w:val="20"/>
          <w:lang w:val="es-MX"/>
        </w:rPr>
      </w:pPr>
      <w:r w:rsidRPr="004E1393">
        <w:rPr>
          <w:rFonts w:ascii="Verdana" w:hAnsi="Verdana" w:cs="Arial"/>
          <w:sz w:val="20"/>
          <w:szCs w:val="20"/>
          <w:lang w:val="es-MX"/>
        </w:rPr>
        <w:t>“</w:t>
      </w:r>
      <w:r w:rsidRPr="00A369F2">
        <w:rPr>
          <w:rFonts w:ascii="Verdana"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00E2477F" w:rsidRPr="00A369F2">
        <w:rPr>
          <w:rStyle w:val="Refdenotaalpie"/>
          <w:rFonts w:ascii="Verdana" w:hAnsi="Verdana" w:cs="Arial"/>
          <w:sz w:val="20"/>
          <w:szCs w:val="20"/>
          <w:lang w:val="es-MX"/>
        </w:rPr>
        <w:footnoteReference w:id="7"/>
      </w:r>
      <w:r w:rsidR="003604A3" w:rsidRPr="00A369F2">
        <w:rPr>
          <w:rFonts w:ascii="Verdana" w:hAnsi="Verdana" w:cs="Arial"/>
          <w:sz w:val="20"/>
          <w:szCs w:val="20"/>
          <w:lang w:val="es-MX"/>
        </w:rPr>
        <w:t>.</w:t>
      </w:r>
    </w:p>
    <w:p w14:paraId="475C6365" w14:textId="77777777" w:rsidR="003604A3" w:rsidRPr="00A369F2" w:rsidRDefault="003604A3" w:rsidP="004E1393">
      <w:pPr>
        <w:spacing w:after="0" w:line="240" w:lineRule="auto"/>
        <w:ind w:left="709" w:right="709"/>
        <w:jc w:val="both"/>
        <w:rPr>
          <w:rFonts w:ascii="Verdana" w:hAnsi="Verdana" w:cs="Arial"/>
          <w:sz w:val="20"/>
          <w:szCs w:val="20"/>
          <w:lang w:val="es-MX"/>
        </w:rPr>
      </w:pPr>
    </w:p>
    <w:p w14:paraId="57F19DB9" w14:textId="77777777" w:rsidR="00A02DDC" w:rsidRPr="00D526D1" w:rsidRDefault="003604A3" w:rsidP="004E1393">
      <w:pPr>
        <w:spacing w:after="0" w:line="240" w:lineRule="auto"/>
        <w:ind w:left="709" w:right="709"/>
        <w:jc w:val="both"/>
        <w:rPr>
          <w:rFonts w:ascii="Verdana" w:eastAsia="Arial" w:hAnsi="Verdana" w:cs="Arial"/>
          <w:sz w:val="20"/>
          <w:szCs w:val="20"/>
          <w:lang w:val="es-ES" w:eastAsia="es-ES" w:bidi="es-ES"/>
        </w:rPr>
      </w:pPr>
      <w:r w:rsidRPr="00A369F2">
        <w:rPr>
          <w:rFonts w:ascii="Verdana"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w:t>
      </w:r>
      <w:r w:rsidRPr="00666AD1">
        <w:rPr>
          <w:rFonts w:ascii="Verdana" w:hAnsi="Verdana" w:cs="Arial"/>
          <w:sz w:val="20"/>
          <w:szCs w:val="20"/>
          <w:lang w:val="es-MX"/>
        </w:rPr>
        <w:t>ia al procedimiento especial regulado por la ley de contratación estatal, sino a cualquier otro que prescinda de un proceso de licitación pública o concurso</w:t>
      </w:r>
      <w:r w:rsidRPr="00A369F2">
        <w:rPr>
          <w:rStyle w:val="Refdenotaalpie"/>
          <w:rFonts w:ascii="Verdana" w:hAnsi="Verdana" w:cs="Arial"/>
          <w:sz w:val="20"/>
          <w:szCs w:val="20"/>
          <w:lang w:val="es-MX"/>
        </w:rPr>
        <w:footnoteReference w:id="8"/>
      </w:r>
      <w:r w:rsidR="009A2A72" w:rsidRPr="00A369F2">
        <w:rPr>
          <w:rFonts w:ascii="Verdana" w:hAnsi="Verdana" w:cs="Arial"/>
          <w:sz w:val="20"/>
          <w:szCs w:val="20"/>
          <w:lang w:val="es-MX"/>
        </w:rPr>
        <w:t>.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009A2A72" w:rsidRPr="00A369F2">
        <w:rPr>
          <w:rStyle w:val="Refdenotaalpie"/>
          <w:rFonts w:ascii="Verdana" w:hAnsi="Verdana" w:cs="Arial"/>
          <w:sz w:val="20"/>
          <w:szCs w:val="20"/>
          <w:lang w:val="es-MX"/>
        </w:rPr>
        <w:footnoteReference w:id="9"/>
      </w:r>
    </w:p>
    <w:p w14:paraId="393C9F01" w14:textId="4D66DC66" w:rsidR="00C22877" w:rsidRDefault="00C22877" w:rsidP="00D526D1">
      <w:pPr>
        <w:spacing w:after="0" w:line="276" w:lineRule="auto"/>
        <w:jc w:val="both"/>
        <w:rPr>
          <w:rFonts w:ascii="Verdana" w:hAnsi="Verdana" w:cs="Arial"/>
          <w:lang w:eastAsia="x-none"/>
        </w:rPr>
      </w:pPr>
    </w:p>
    <w:p w14:paraId="3CA07DD0" w14:textId="59CB6F2D" w:rsidR="004660B0" w:rsidRPr="00EC6804" w:rsidRDefault="002A13AE" w:rsidP="004660B0">
      <w:pPr>
        <w:spacing w:after="120" w:line="276" w:lineRule="auto"/>
        <w:ind w:firstLine="708"/>
        <w:jc w:val="both"/>
        <w:rPr>
          <w:rFonts w:ascii="Verdana" w:hAnsi="Verdana" w:cs="Arial"/>
          <w:lang w:eastAsia="x-none"/>
        </w:rPr>
      </w:pPr>
      <w:r w:rsidRPr="00213139">
        <w:rPr>
          <w:rFonts w:ascii="Verdana" w:hAnsi="Verdana" w:cs="Arial"/>
        </w:rPr>
        <w:t>Según el concepto mencionado, la prohibición establecida en el artículo 33 de la Ley de Garantías Electorales se aplica a “todo mecanismo que no contemple una convocatoria pública ni permita la participación de múltiples oferentes”</w:t>
      </w:r>
      <w:r w:rsidR="007D3D28">
        <w:rPr>
          <w:rFonts w:ascii="Verdana" w:hAnsi="Verdana" w:cs="Arial"/>
        </w:rPr>
        <w:t>. En consecuencia,</w:t>
      </w:r>
      <w:r w:rsidRPr="00213139">
        <w:rPr>
          <w:rFonts w:ascii="Verdana" w:hAnsi="Verdana" w:cs="Arial"/>
        </w:rPr>
        <w:t xml:space="preserve"> quedan excluidas las demás modalidades de contratación contempladas en la Ley 1150 de 2007, tales como la licitación pública, la selección abreviada y el concurso de méritos, así como aquellas previstas en disposiciones especiales.</w:t>
      </w:r>
      <w:r>
        <w:rPr>
          <w:rFonts w:ascii="Verdana" w:hAnsi="Verdana" w:cs="Arial"/>
        </w:rPr>
        <w:t xml:space="preserve"> </w:t>
      </w:r>
      <w:r>
        <w:rPr>
          <w:rFonts w:ascii="Verdana" w:hAnsi="Verdana" w:cs="Arial"/>
          <w:lang w:eastAsia="x-none"/>
        </w:rPr>
        <w:t xml:space="preserve">Esta posición es congruente con la </w:t>
      </w:r>
      <w:r>
        <w:rPr>
          <w:rFonts w:ascii="Verdana" w:hAnsi="Verdana" w:cs="Arial"/>
          <w:lang w:eastAsia="x-none"/>
        </w:rPr>
        <w:lastRenderedPageBreak/>
        <w:t>expedición de la Ley 1150 de 2007 que, entre otras reformas, introdujo la</w:t>
      </w:r>
      <w:r w:rsidR="0082507A">
        <w:rPr>
          <w:rFonts w:ascii="Verdana" w:hAnsi="Verdana" w:cs="Arial"/>
          <w:lang w:eastAsia="x-none"/>
        </w:rPr>
        <w:t xml:space="preserve"> selección abreviada, rediseñó el concurso de méritos </w:t>
      </w:r>
      <w:r w:rsidR="00B91B3C">
        <w:rPr>
          <w:rStyle w:val="Refdenotaalpie"/>
          <w:rFonts w:ascii="Verdana" w:hAnsi="Verdana" w:cs="Arial"/>
          <w:lang w:eastAsia="x-none"/>
        </w:rPr>
        <w:footnoteReference w:id="10"/>
      </w:r>
      <w:r w:rsidR="006D05AC">
        <w:rPr>
          <w:rFonts w:ascii="Verdana" w:hAnsi="Verdana" w:cs="Arial"/>
          <w:lang w:eastAsia="x-none"/>
        </w:rPr>
        <w:t xml:space="preserve"> y sistematizó las causales </w:t>
      </w:r>
      <w:r w:rsidR="006D05AC" w:rsidRPr="00EC6804">
        <w:rPr>
          <w:rFonts w:ascii="Verdana" w:hAnsi="Verdana" w:cs="Arial"/>
          <w:lang w:eastAsia="x-none"/>
        </w:rPr>
        <w:t>de contratación directa</w:t>
      </w:r>
      <w:r w:rsidR="006D05AC" w:rsidRPr="00EC6804">
        <w:rPr>
          <w:rStyle w:val="Refdenotaalpie"/>
          <w:rFonts w:ascii="Verdana" w:hAnsi="Verdana" w:cs="Arial"/>
          <w:lang w:eastAsia="x-none"/>
        </w:rPr>
        <w:footnoteReference w:id="11"/>
      </w:r>
      <w:r w:rsidR="00A369F2" w:rsidRPr="00EC6804">
        <w:rPr>
          <w:rFonts w:ascii="Verdana" w:hAnsi="Verdana" w:cs="Arial"/>
          <w:lang w:eastAsia="x-none"/>
        </w:rPr>
        <w:t>.</w:t>
      </w:r>
    </w:p>
    <w:p w14:paraId="21F2A3B9" w14:textId="5D80344F" w:rsidR="004660B0" w:rsidRDefault="004660B0" w:rsidP="004660B0">
      <w:pPr>
        <w:spacing w:after="120" w:line="276" w:lineRule="auto"/>
        <w:ind w:firstLine="708"/>
        <w:jc w:val="both"/>
        <w:rPr>
          <w:rFonts w:ascii="Verdana" w:hAnsi="Verdana" w:cs="Arial"/>
          <w:bCs/>
          <w:lang w:val="es-MX" w:eastAsia="x-none"/>
        </w:rPr>
      </w:pPr>
      <w:r w:rsidRPr="00EC6804">
        <w:rPr>
          <w:rFonts w:ascii="Verdana" w:hAnsi="Verdana" w:cs="Arial"/>
          <w:bCs/>
          <w:lang w:val="es-MX" w:eastAsia="x-none"/>
        </w:rPr>
        <w:t>De tal manera, de</w:t>
      </w:r>
      <w:r w:rsidR="00023B0B" w:rsidRPr="00EC6804">
        <w:rPr>
          <w:rFonts w:ascii="Verdana" w:hAnsi="Verdana" w:cs="Arial"/>
          <w:bCs/>
          <w:lang w:val="es-MX" w:eastAsia="x-none"/>
        </w:rPr>
        <w:t>be</w:t>
      </w:r>
      <w:r w:rsidRPr="00EC6804">
        <w:rPr>
          <w:rFonts w:ascii="Verdana" w:hAnsi="Verdana" w:cs="Arial"/>
          <w:bCs/>
          <w:lang w:val="es-MX" w:eastAsia="x-none"/>
        </w:rPr>
        <w:t xml:space="preserve"> entenderse que, para los efectos de la Ley de Garantías Electorales y, en particular, para la prohibición o restricción temporal contenida en su artículo 33, </w:t>
      </w:r>
      <w:r w:rsidR="00023B0B" w:rsidRPr="00EC6804">
        <w:rPr>
          <w:rFonts w:ascii="Verdana" w:hAnsi="Verdana" w:cs="Arial"/>
          <w:bCs/>
          <w:lang w:val="es-MX" w:eastAsia="x-none"/>
        </w:rPr>
        <w:t xml:space="preserve">la </w:t>
      </w:r>
      <w:r w:rsidRPr="00EC6804">
        <w:rPr>
          <w:rFonts w:ascii="Verdana" w:hAnsi="Verdana" w:cs="Arial"/>
          <w:bCs/>
          <w:lang w:val="es-MX" w:eastAsia="x-none"/>
        </w:rPr>
        <w:t>“contratación directa” es cualquier sistema de selección o procedimiento de contratación utilizado por las entidades estatales que no incluya la convocatoria pública en alguna de sus etapas, ni permita la participación de una pluralidad de oferentes</w:t>
      </w:r>
      <w:r w:rsidR="00AE0E07" w:rsidRPr="00EC6804">
        <w:rPr>
          <w:rStyle w:val="Refdenotaalpie"/>
          <w:rFonts w:ascii="Verdana" w:hAnsi="Verdana" w:cs="Arial"/>
          <w:bCs/>
          <w:lang w:val="es-MX" w:eastAsia="x-none"/>
        </w:rPr>
        <w:footnoteReference w:id="12"/>
      </w:r>
      <w:r w:rsidR="006E7D95" w:rsidRPr="00EC6804">
        <w:rPr>
          <w:rFonts w:ascii="Verdana" w:hAnsi="Verdana" w:cs="Arial"/>
          <w:bCs/>
          <w:lang w:val="es-MX" w:eastAsia="x-none"/>
        </w:rPr>
        <w:t>.</w:t>
      </w:r>
    </w:p>
    <w:p w14:paraId="4C95E8CD" w14:textId="41C46505" w:rsidR="006E7D95" w:rsidRDefault="006E7D95" w:rsidP="006E7D95">
      <w:pPr>
        <w:spacing w:after="120" w:line="276" w:lineRule="auto"/>
        <w:ind w:firstLine="708"/>
        <w:jc w:val="both"/>
        <w:rPr>
          <w:rFonts w:ascii="Verdana" w:hAnsi="Verdana" w:cs="Arial"/>
          <w:lang w:eastAsia="x-none"/>
        </w:rPr>
      </w:pPr>
      <w:r>
        <w:rPr>
          <w:rFonts w:ascii="Verdana" w:hAnsi="Verdana" w:cs="Arial"/>
          <w:bCs/>
          <w:lang w:val="es-MX" w:eastAsia="x-none"/>
        </w:rPr>
        <w:t xml:space="preserve">De lo anterior se desprende que la restricción aplica, sin perjuicio de las excepciones establecidas en la misma </w:t>
      </w:r>
      <w:r w:rsidR="00A369F2">
        <w:rPr>
          <w:rFonts w:ascii="Verdana" w:hAnsi="Verdana" w:cs="Arial"/>
          <w:bCs/>
          <w:lang w:val="es-MX" w:eastAsia="x-none"/>
        </w:rPr>
        <w:t>L</w:t>
      </w:r>
      <w:r>
        <w:rPr>
          <w:rFonts w:ascii="Verdana" w:hAnsi="Verdana" w:cs="Arial"/>
          <w:bCs/>
          <w:lang w:val="es-MX" w:eastAsia="x-none"/>
        </w:rPr>
        <w:t>ey, para celebrar cualquier contrato de forma directa, es</w:t>
      </w:r>
      <w:r w:rsidR="00023B0B">
        <w:rPr>
          <w:rFonts w:ascii="Verdana" w:hAnsi="Verdana" w:cs="Arial"/>
          <w:bCs/>
          <w:lang w:val="es-MX" w:eastAsia="x-none"/>
        </w:rPr>
        <w:t xml:space="preserve"> decir</w:t>
      </w:r>
      <w:r>
        <w:rPr>
          <w:rFonts w:ascii="Verdana" w:hAnsi="Verdana" w:cs="Arial"/>
          <w:bCs/>
          <w:lang w:val="es-MX" w:eastAsia="x-none"/>
        </w:rPr>
        <w:t>, sin que exista un proceso abierto y competitivo.</w:t>
      </w:r>
      <w:r>
        <w:rPr>
          <w:rFonts w:ascii="Verdana" w:hAnsi="Verdana" w:cs="Arial"/>
          <w:lang w:eastAsia="x-none"/>
        </w:rPr>
        <w:t xml:space="preserve"> Por tanto, no </w:t>
      </w:r>
      <w:r w:rsidR="00023B0B">
        <w:rPr>
          <w:rFonts w:ascii="Verdana" w:hAnsi="Verdana" w:cs="Arial"/>
          <w:lang w:eastAsia="x-none"/>
        </w:rPr>
        <w:t>están sujetas a</w:t>
      </w:r>
      <w:r>
        <w:rPr>
          <w:rFonts w:ascii="Verdana" w:hAnsi="Verdana" w:cs="Arial"/>
          <w:lang w:eastAsia="x-none"/>
        </w:rPr>
        <w:t xml:space="preserve"> la prohibición las demás modalidades de selección previstas en la Ley 1150 de 2007, es decir, la licitación pública, el concurso de méritos y la selección abreviada</w:t>
      </w:r>
      <w:r w:rsidR="00023B0B">
        <w:rPr>
          <w:rFonts w:ascii="Verdana" w:hAnsi="Verdana" w:cs="Arial"/>
          <w:lang w:eastAsia="x-none"/>
        </w:rPr>
        <w:t xml:space="preserve">. De este modo, las entidades públicas, </w:t>
      </w:r>
      <w:r>
        <w:rPr>
          <w:rFonts w:ascii="Verdana" w:hAnsi="Verdana" w:cs="Arial"/>
          <w:lang w:eastAsia="x-none"/>
        </w:rPr>
        <w:t xml:space="preserve">en </w:t>
      </w:r>
      <w:r w:rsidR="00023B0B">
        <w:rPr>
          <w:rFonts w:ascii="Verdana" w:hAnsi="Verdana" w:cs="Arial"/>
          <w:lang w:eastAsia="x-none"/>
        </w:rPr>
        <w:t xml:space="preserve">el </w:t>
      </w:r>
      <w:r>
        <w:rPr>
          <w:rFonts w:ascii="Verdana" w:hAnsi="Verdana" w:cs="Arial"/>
          <w:lang w:eastAsia="x-none"/>
        </w:rPr>
        <w:t>período preelectoral de que trata la disposición</w:t>
      </w:r>
      <w:r w:rsidR="00023B0B">
        <w:rPr>
          <w:rFonts w:ascii="Verdana" w:hAnsi="Verdana" w:cs="Arial"/>
          <w:lang w:eastAsia="x-none"/>
        </w:rPr>
        <w:t>,</w:t>
      </w:r>
      <w:r>
        <w:rPr>
          <w:rFonts w:ascii="Verdana" w:hAnsi="Verdana" w:cs="Arial"/>
          <w:lang w:eastAsia="x-none"/>
        </w:rPr>
        <w:t xml:space="preserve"> pueden seguir contratando bajo estos sistemas</w:t>
      </w:r>
      <w:r w:rsidR="00023B0B">
        <w:rPr>
          <w:rFonts w:ascii="Verdana" w:hAnsi="Verdana" w:cs="Arial"/>
          <w:lang w:eastAsia="x-none"/>
        </w:rPr>
        <w:t xml:space="preserve"> de selección</w:t>
      </w:r>
      <w:r>
        <w:rPr>
          <w:rFonts w:ascii="Verdana" w:hAnsi="Verdana" w:cs="Arial"/>
          <w:lang w:eastAsia="x-none"/>
        </w:rPr>
        <w:t>.</w:t>
      </w:r>
    </w:p>
    <w:p w14:paraId="62FE0C85" w14:textId="725C4BAB" w:rsidR="00440446" w:rsidRDefault="0046176B" w:rsidP="0046176B">
      <w:pPr>
        <w:spacing w:after="120" w:line="276" w:lineRule="auto"/>
        <w:ind w:firstLine="708"/>
        <w:jc w:val="both"/>
        <w:rPr>
          <w:rFonts w:ascii="Verdana" w:hAnsi="Verdana" w:cs="Arial"/>
          <w:bCs/>
          <w:lang w:val="es-MX" w:eastAsia="es-CO"/>
        </w:rPr>
      </w:pPr>
      <w:r>
        <w:rPr>
          <w:rFonts w:ascii="Verdana" w:hAnsi="Verdana" w:cs="Arial"/>
          <w:bCs/>
          <w:lang w:val="es-MX" w:eastAsia="x-none"/>
        </w:rPr>
        <w:t xml:space="preserve">De otro </w:t>
      </w:r>
      <w:r w:rsidRPr="00F659B1">
        <w:rPr>
          <w:rFonts w:ascii="Verdana" w:hAnsi="Verdana" w:cs="Arial"/>
          <w:bCs/>
          <w:lang w:val="es-MX" w:eastAsia="x-none"/>
        </w:rPr>
        <w:t>lado, las excepciones a la restricción prevista en la Ley de Garantías</w:t>
      </w:r>
      <w:r w:rsidR="002309EE" w:rsidRPr="00F659B1">
        <w:rPr>
          <w:rFonts w:ascii="Verdana" w:hAnsi="Verdana" w:cs="Arial"/>
          <w:bCs/>
          <w:lang w:val="es-MX" w:eastAsia="x-none"/>
        </w:rPr>
        <w:t xml:space="preserve"> Electorales</w:t>
      </w:r>
      <w:r w:rsidRPr="00F659B1">
        <w:rPr>
          <w:rFonts w:ascii="Verdana" w:hAnsi="Verdana" w:cs="Arial"/>
          <w:bCs/>
          <w:lang w:val="es-MX" w:eastAsia="x-none"/>
        </w:rPr>
        <w:t xml:space="preserve">, con fundamento en las cuales las entidades públicas </w:t>
      </w:r>
      <w:r w:rsidR="00666AD1" w:rsidRPr="00F659B1">
        <w:rPr>
          <w:rFonts w:ascii="Verdana" w:hAnsi="Verdana" w:cs="Arial"/>
          <w:bCs/>
          <w:lang w:val="es-MX" w:eastAsia="x-none"/>
        </w:rPr>
        <w:t xml:space="preserve">podrán </w:t>
      </w:r>
      <w:r w:rsidRPr="00F659B1">
        <w:rPr>
          <w:rFonts w:ascii="Verdana" w:hAnsi="Verdana" w:cs="Arial"/>
          <w:bCs/>
          <w:lang w:val="es-MX" w:eastAsia="x-none"/>
        </w:rPr>
        <w:t>adelantar procedimientos de selección directa en períodos previos a la contienda electoral por la Presidencia, se encuentran consagradas de manera taxativa en el inciso final del citado artículo 33 de la Ley 996 de 2005</w:t>
      </w:r>
      <w:r w:rsidR="00666AD1" w:rsidRPr="00F659B1">
        <w:rPr>
          <w:rFonts w:ascii="Verdana" w:hAnsi="Verdana" w:cs="Arial"/>
          <w:bCs/>
          <w:lang w:val="es-MX" w:eastAsia="x-none"/>
        </w:rPr>
        <w:t>. Dichas excepciones corresponden</w:t>
      </w:r>
      <w:r w:rsidRPr="00F659B1">
        <w:rPr>
          <w:rFonts w:ascii="Verdana" w:hAnsi="Verdana" w:cs="Arial"/>
          <w:bCs/>
          <w:lang w:val="es-MX" w:eastAsia="x-none"/>
        </w:rPr>
        <w:t xml:space="preserve"> a</w:t>
      </w:r>
      <w:r w:rsidR="007D3D28" w:rsidRPr="00F659B1">
        <w:rPr>
          <w:rFonts w:ascii="Verdana" w:hAnsi="Verdana" w:cs="Arial"/>
          <w:bCs/>
          <w:lang w:val="es-MX" w:eastAsia="x-none"/>
        </w:rPr>
        <w:t>:</w:t>
      </w:r>
      <w:r w:rsidRPr="00F659B1">
        <w:rPr>
          <w:rFonts w:ascii="Verdana" w:hAnsi="Verdana" w:cs="Arial"/>
          <w:bCs/>
          <w:lang w:val="es-MX" w:eastAsia="x-none"/>
        </w:rPr>
        <w:t xml:space="preserve"> i) la defensa y seguridad del Estado; </w:t>
      </w:r>
      <w:proofErr w:type="spellStart"/>
      <w:r w:rsidRPr="00F659B1">
        <w:rPr>
          <w:rFonts w:ascii="Verdana" w:hAnsi="Verdana" w:cs="Arial"/>
          <w:bCs/>
          <w:lang w:val="es-MX" w:eastAsia="x-none"/>
        </w:rPr>
        <w:t>ii</w:t>
      </w:r>
      <w:proofErr w:type="spellEnd"/>
      <w:r w:rsidRPr="00F659B1">
        <w:rPr>
          <w:rFonts w:ascii="Verdana" w:hAnsi="Verdana" w:cs="Arial"/>
          <w:bCs/>
          <w:lang w:val="es-MX" w:eastAsia="x-none"/>
        </w:rPr>
        <w:t xml:space="preserve">) los contratos de crédito público; </w:t>
      </w:r>
      <w:proofErr w:type="spellStart"/>
      <w:r w:rsidRPr="00F659B1">
        <w:rPr>
          <w:rFonts w:ascii="Verdana" w:hAnsi="Verdana" w:cs="Arial"/>
          <w:bCs/>
          <w:lang w:val="es-MX" w:eastAsia="x-none"/>
        </w:rPr>
        <w:t>iii</w:t>
      </w:r>
      <w:proofErr w:type="spellEnd"/>
      <w:r w:rsidRPr="00F659B1">
        <w:rPr>
          <w:rFonts w:ascii="Verdana" w:hAnsi="Verdana" w:cs="Arial"/>
          <w:bCs/>
          <w:lang w:val="es-MX" w:eastAsia="x-none"/>
        </w:rPr>
        <w:t xml:space="preserve">) los requeridos para cubrir las emergencias educativas, sanitarias y desastres; </w:t>
      </w:r>
      <w:proofErr w:type="spellStart"/>
      <w:r w:rsidRPr="00F659B1">
        <w:rPr>
          <w:rFonts w:ascii="Verdana" w:hAnsi="Verdana" w:cs="Arial"/>
          <w:bCs/>
          <w:lang w:val="es-MX" w:eastAsia="x-none"/>
        </w:rPr>
        <w:t>iv</w:t>
      </w:r>
      <w:proofErr w:type="spellEnd"/>
      <w:r w:rsidRPr="00F659B1">
        <w:rPr>
          <w:rFonts w:ascii="Verdana" w:hAnsi="Verdana" w:cs="Arial"/>
          <w:bCs/>
          <w:lang w:val="es-MX" w:eastAsia="x-none"/>
        </w:rPr>
        <w:t>) los utilizados para la reconstrucción</w:t>
      </w:r>
      <w:r>
        <w:rPr>
          <w:rFonts w:ascii="Verdana" w:hAnsi="Verdana" w:cs="Arial"/>
          <w:bCs/>
          <w:lang w:val="es-MX" w:eastAsia="x-none"/>
        </w:rPr>
        <w:t xml:space="preserve"> de vías, puentes, carreteras, infraestructura energética y de comunicaciones, en caso de que hayan sido objeto de atentados, acciones terroristas, desastres naturales o casos de fuerza mayor; y, v) los que deban realizar las entidades sanitarias y hospitalarias.</w:t>
      </w:r>
      <w:r>
        <w:rPr>
          <w:rFonts w:ascii="Verdana" w:hAnsi="Verdana" w:cs="Arial"/>
          <w:bCs/>
          <w:lang w:val="es-MX" w:eastAsia="es-CO"/>
        </w:rPr>
        <w:t xml:space="preserve"> </w:t>
      </w:r>
    </w:p>
    <w:p w14:paraId="0FD085C4" w14:textId="52DFD207" w:rsidR="000C50B5" w:rsidRDefault="00440446" w:rsidP="00A63F2E">
      <w:pPr>
        <w:spacing w:after="120" w:line="276" w:lineRule="auto"/>
        <w:ind w:firstLine="708"/>
        <w:jc w:val="both"/>
        <w:rPr>
          <w:rFonts w:ascii="Verdana" w:hAnsi="Verdana" w:cs="Arial"/>
          <w:bCs/>
          <w:lang w:val="es-MX" w:eastAsia="x-none"/>
        </w:rPr>
      </w:pPr>
      <w:r>
        <w:rPr>
          <w:rFonts w:ascii="Verdana" w:hAnsi="Verdana" w:cs="Arial"/>
          <w:bCs/>
          <w:lang w:val="es-MX" w:eastAsia="es-CO"/>
        </w:rPr>
        <w:lastRenderedPageBreak/>
        <w:t>Conforme a lo consagrado en esta disposición, e</w:t>
      </w:r>
      <w:r w:rsidR="0046176B">
        <w:rPr>
          <w:rFonts w:ascii="Verdana" w:hAnsi="Verdana" w:cs="Arial"/>
          <w:bCs/>
          <w:lang w:val="es-MX" w:eastAsia="es-CO"/>
        </w:rPr>
        <w:t>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r>
        <w:rPr>
          <w:rFonts w:ascii="Verdana" w:hAnsi="Verdana" w:cs="Arial"/>
          <w:bCs/>
          <w:lang w:val="es-MX" w:eastAsia="x-none"/>
        </w:rPr>
        <w:t xml:space="preserve"> </w:t>
      </w:r>
      <w:r w:rsidR="00000151">
        <w:rPr>
          <w:rFonts w:ascii="Verdana" w:hAnsi="Verdana" w:cs="Arial"/>
          <w:bCs/>
          <w:lang w:val="es-MX" w:eastAsia="x-none"/>
        </w:rPr>
        <w:t xml:space="preserve">En esta labor es importante tener en cuenta, como lo anotó la Corte Constitucional, en Sentencia C-1153 de noviembre 11 de 2005 </w:t>
      </w:r>
      <w:bookmarkStart w:id="7" w:name="_Hlk74309042"/>
      <w:r w:rsidR="00000151">
        <w:rPr>
          <w:rFonts w:ascii="Verdana" w:hAnsi="Verdana" w:cs="Arial"/>
          <w:bCs/>
          <w:lang w:val="es-MX" w:eastAsia="x-none"/>
        </w:rPr>
        <w:t>que “</w:t>
      </w:r>
      <w:bookmarkEnd w:id="7"/>
      <w:r w:rsidR="00000151">
        <w:rPr>
          <w:rFonts w:ascii="Verdana" w:hAnsi="Verdana" w:cs="Arial"/>
          <w:bCs/>
          <w:lang w:val="es-MX" w:eastAsia="x-none"/>
        </w:rPr>
        <w:t>si bien la limitación garantiza la igualdad de condiciones, también es necesario que tal</w:t>
      </w:r>
      <w:r w:rsidR="0051615F">
        <w:rPr>
          <w:rFonts w:ascii="Verdana" w:hAnsi="Verdana" w:cs="Arial"/>
          <w:bCs/>
          <w:lang w:val="es-MX" w:eastAsia="x-none"/>
        </w:rPr>
        <w:t xml:space="preserve"> limitación que pretende la igualdad no termine yendo en detrimento de intereses públicos, cuya garantía está en cabeza del ejecutivo, como son los inmersos en las excepciones para la prohibición de contratación”</w:t>
      </w:r>
      <w:r w:rsidR="0051615F">
        <w:rPr>
          <w:rStyle w:val="Refdenotaalpie"/>
          <w:rFonts w:ascii="Verdana" w:hAnsi="Verdana" w:cs="Arial"/>
          <w:bCs/>
          <w:lang w:val="es-MX" w:eastAsia="x-none"/>
        </w:rPr>
        <w:footnoteReference w:id="13"/>
      </w:r>
      <w:r w:rsidR="004442F9">
        <w:rPr>
          <w:rFonts w:ascii="Verdana" w:hAnsi="Verdana" w:cs="Arial"/>
          <w:bCs/>
          <w:lang w:val="es-MX" w:eastAsia="x-none"/>
        </w:rPr>
        <w:t>.</w:t>
      </w:r>
      <w:r w:rsidR="00CF4D7C">
        <w:rPr>
          <w:rFonts w:ascii="Verdana" w:hAnsi="Verdana" w:cs="Arial"/>
          <w:bCs/>
          <w:lang w:val="es-MX" w:eastAsia="x-none"/>
        </w:rPr>
        <w:t xml:space="preserve"> </w:t>
      </w:r>
      <w:r w:rsidR="000C50B5">
        <w:rPr>
          <w:rFonts w:ascii="Verdana" w:hAnsi="Verdana" w:cs="Arial"/>
          <w:bCs/>
          <w:lang w:val="es-MX" w:eastAsia="x-none"/>
        </w:rPr>
        <w:t>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persecución de la igualdad entre los candidatos como garantía electoral.</w:t>
      </w:r>
    </w:p>
    <w:p w14:paraId="5ED71C6C" w14:textId="77777777" w:rsidR="00CC0BB1" w:rsidRPr="008F7EF1" w:rsidRDefault="00CC0BB1" w:rsidP="008F7EF1">
      <w:pPr>
        <w:spacing w:after="0" w:line="276" w:lineRule="auto"/>
        <w:ind w:firstLine="708"/>
        <w:jc w:val="both"/>
        <w:rPr>
          <w:rFonts w:ascii="Verdana" w:hAnsi="Verdana" w:cs="Arial"/>
          <w:bCs/>
          <w:lang w:val="es-MX" w:eastAsia="es-CO"/>
        </w:rPr>
      </w:pPr>
      <w:r w:rsidRPr="008F7EF1">
        <w:rPr>
          <w:rFonts w:ascii="Verdana" w:hAnsi="Verdana" w:cs="Arial"/>
          <w:bCs/>
          <w:lang w:val="es-MX" w:eastAsia="es-CO"/>
        </w:rPr>
        <w:t xml:space="preserve">En cuanto al período de aplicación de esta restricción, debe señalarse que el Consejo Nacional Electoral, mediante Resolución No. 2580 del 5 de marzo de 2025, fijó el calendario electoral para las elecciones de </w:t>
      </w:r>
      <w:proofErr w:type="gramStart"/>
      <w:r w:rsidRPr="008F7EF1">
        <w:rPr>
          <w:rFonts w:ascii="Verdana" w:hAnsi="Verdana" w:cs="Arial"/>
          <w:bCs/>
          <w:lang w:val="es-MX" w:eastAsia="es-CO"/>
        </w:rPr>
        <w:t>Presidente</w:t>
      </w:r>
      <w:proofErr w:type="gramEnd"/>
      <w:r w:rsidRPr="008F7EF1">
        <w:rPr>
          <w:rFonts w:ascii="Verdana" w:hAnsi="Verdana" w:cs="Arial"/>
          <w:bCs/>
          <w:lang w:val="es-MX" w:eastAsia="es-CO"/>
        </w:rPr>
        <w:t xml:space="preserve"> y </w:t>
      </w:r>
      <w:proofErr w:type="gramStart"/>
      <w:r w:rsidRPr="008F7EF1">
        <w:rPr>
          <w:rFonts w:ascii="Verdana" w:hAnsi="Verdana" w:cs="Arial"/>
          <w:bCs/>
          <w:lang w:val="es-MX" w:eastAsia="es-CO"/>
        </w:rPr>
        <w:t>Vicepresidente</w:t>
      </w:r>
      <w:proofErr w:type="gramEnd"/>
      <w:r w:rsidRPr="008F7EF1">
        <w:rPr>
          <w:rFonts w:ascii="Verdana" w:hAnsi="Verdana" w:cs="Arial"/>
          <w:bCs/>
          <w:lang w:val="es-MX" w:eastAsia="es-CO"/>
        </w:rPr>
        <w:t xml:space="preserve"> de la República en primera vuelta, previstas para el 31 de mayo de 2026. En consecuencia, resultan aplicables las restricciones establecidas en el artículo 33 de la Ley 996 de 2005, según el cual la prohibición de contratación directa rige durante los cuatro (4) meses anteriores a la jornada electoral. Esto significa que, desde el 31 de enero de 2026 y hasta la realización de la elección presidencial —incluida la segunda vuelta, si llegare a efectuarse— queda prohibida la celebración de contratos mediante la modalidad de contratación directa por parte de todas las entidades del Estado.</w:t>
      </w:r>
    </w:p>
    <w:p w14:paraId="4DA87476" w14:textId="77777777" w:rsidR="000C50B5" w:rsidRDefault="000C50B5" w:rsidP="000C50B5">
      <w:pPr>
        <w:spacing w:after="0" w:line="276" w:lineRule="auto"/>
        <w:ind w:firstLine="708"/>
        <w:jc w:val="both"/>
        <w:rPr>
          <w:rFonts w:ascii="Verdana" w:hAnsi="Verdana" w:cs="Arial"/>
          <w:bCs/>
          <w:lang w:val="es-MX" w:eastAsia="x-none"/>
        </w:rPr>
      </w:pPr>
    </w:p>
    <w:p w14:paraId="5BCAD475" w14:textId="2E30C35A" w:rsidR="004945C1" w:rsidRPr="00F3590A" w:rsidRDefault="00666AD1" w:rsidP="00284108">
      <w:pPr>
        <w:spacing w:after="120" w:line="276" w:lineRule="auto"/>
        <w:jc w:val="both"/>
        <w:rPr>
          <w:rFonts w:ascii="Verdana" w:eastAsia="Times New Roman" w:hAnsi="Verdana" w:cs="Arial"/>
          <w:lang w:val="es-MX" w:eastAsia="x-none"/>
        </w:rPr>
      </w:pPr>
      <w:proofErr w:type="spellStart"/>
      <w:r w:rsidRPr="00F3590A">
        <w:rPr>
          <w:rFonts w:ascii="Verdana" w:hAnsi="Verdana" w:cs="Arial"/>
          <w:lang w:val="es-ES"/>
        </w:rPr>
        <w:t>iii</w:t>
      </w:r>
      <w:proofErr w:type="spellEnd"/>
      <w:r w:rsidRPr="00F3590A">
        <w:rPr>
          <w:rFonts w:ascii="Verdana" w:hAnsi="Verdana" w:cs="Arial"/>
          <w:lang w:val="es-ES"/>
        </w:rPr>
        <w:t>. En segundo lugar</w:t>
      </w:r>
      <w:r w:rsidR="000C50B5" w:rsidRPr="00F3590A">
        <w:rPr>
          <w:rFonts w:ascii="Verdana" w:hAnsi="Verdana" w:cs="Arial"/>
          <w:lang w:val="es-ES"/>
        </w:rPr>
        <w:t xml:space="preserve">, respecto del alcance del parágrafo </w:t>
      </w:r>
      <w:r w:rsidR="000C50B5" w:rsidRPr="00F3590A">
        <w:rPr>
          <w:rFonts w:ascii="Verdana" w:hAnsi="Verdana" w:cs="Arial"/>
        </w:rPr>
        <w:t xml:space="preserve">del artículo 38 de la Ley 996 de 2005, esta prohibición dispone que “Los Gobernadores, </w:t>
      </w:r>
      <w:proofErr w:type="gramStart"/>
      <w:r w:rsidR="000C50B5" w:rsidRPr="00F3590A">
        <w:rPr>
          <w:rFonts w:ascii="Verdana" w:hAnsi="Verdana" w:cs="Arial"/>
        </w:rPr>
        <w:t>Alcaldes</w:t>
      </w:r>
      <w:proofErr w:type="gramEnd"/>
      <w:r w:rsidR="000C50B5" w:rsidRPr="00F3590A">
        <w:rPr>
          <w:rFonts w:ascii="Verdana" w:hAnsi="Verdana" w:cs="Arial"/>
        </w:rPr>
        <w:t xml:space="preserve"> Municipales y/o Distritales, </w:t>
      </w:r>
      <w:proofErr w:type="gramStart"/>
      <w:r w:rsidR="000C50B5" w:rsidRPr="00F3590A">
        <w:rPr>
          <w:rFonts w:ascii="Verdana" w:hAnsi="Verdana" w:cs="Arial"/>
        </w:rPr>
        <w:t>Secretarios</w:t>
      </w:r>
      <w:proofErr w:type="gramEnd"/>
      <w:r w:rsidR="000C50B5" w:rsidRPr="00F3590A">
        <w:rPr>
          <w:rFonts w:ascii="Verdana" w:hAnsi="Verdana" w:cs="Arial"/>
        </w:rPr>
        <w:t xml:space="preserve">, Gerentes y directores de Entidades Descentralizadas del orden Municipal, Departamental o Distrital, dentro de los </w:t>
      </w:r>
      <w:r w:rsidR="000C50B5" w:rsidRPr="00F3590A">
        <w:rPr>
          <w:rFonts w:ascii="Verdana" w:hAnsi="Verdana" w:cs="Arial"/>
        </w:rPr>
        <w:lastRenderedPageBreak/>
        <w:t>cuatro (4) meses anteriores a las elecciones, no podrán celebrar convenios interadministrativos para la ejecución de recursos públicos”.</w:t>
      </w:r>
      <w:r w:rsidR="000C50B5" w:rsidRPr="00F3590A">
        <w:rPr>
          <w:rFonts w:ascii="Verdana" w:eastAsia="Times New Roman" w:hAnsi="Verdana" w:cs="Arial"/>
          <w:lang w:val="es-MX" w:eastAsia="x-none"/>
        </w:rPr>
        <w:t xml:space="preserve"> </w:t>
      </w:r>
    </w:p>
    <w:p w14:paraId="58C274C3" w14:textId="15187BCF" w:rsidR="000611C9" w:rsidRPr="00F3590A" w:rsidRDefault="004945C1" w:rsidP="00284108">
      <w:pPr>
        <w:spacing w:after="120" w:line="276" w:lineRule="auto"/>
        <w:ind w:firstLine="708"/>
        <w:jc w:val="both"/>
        <w:rPr>
          <w:rFonts w:ascii="Verdana" w:eastAsia="Times New Roman" w:hAnsi="Verdana" w:cs="Arial"/>
          <w:lang w:val="es-MX" w:eastAsia="x-none"/>
        </w:rPr>
      </w:pPr>
      <w:r w:rsidRPr="00F659B1">
        <w:rPr>
          <w:rFonts w:ascii="Verdana" w:eastAsia="Times New Roman" w:hAnsi="Verdana" w:cs="Arial"/>
          <w:lang w:val="es-ES" w:eastAsia="es-ES"/>
        </w:rPr>
        <w:t xml:space="preserve">Para tales efectos, debe precisarse que </w:t>
      </w:r>
      <w:r w:rsidRPr="00F659B1">
        <w:rPr>
          <w:rFonts w:ascii="Verdana" w:eastAsia="Times New Roman" w:hAnsi="Verdana" w:cs="Arial"/>
          <w:color w:val="000000" w:themeColor="text1"/>
          <w:lang w:val="es-ES" w:eastAsia="es-CO"/>
        </w:rPr>
        <w:t xml:space="preserve">los convenios interadministrativos están determinados por un criterio orgánico, pues es necesario que los extremos de la relación contractual sean entidades públicas, </w:t>
      </w:r>
      <w:r w:rsidRPr="00F659B1">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F659B1">
        <w:rPr>
          <w:rStyle w:val="Refdenotaalpie"/>
          <w:rFonts w:ascii="Verdana" w:hAnsi="Verdana" w:cs="Arial"/>
          <w:lang w:eastAsia="es-ES"/>
        </w:rPr>
        <w:footnoteReference w:id="14"/>
      </w:r>
      <w:r w:rsidR="00BB2430" w:rsidRPr="00F659B1">
        <w:rPr>
          <w:rFonts w:ascii="Verdana" w:hAnsi="Verdana" w:cs="Arial"/>
          <w:lang w:eastAsia="es-ES"/>
        </w:rPr>
        <w:t>.</w:t>
      </w:r>
    </w:p>
    <w:p w14:paraId="0BB41DB4" w14:textId="5E3FE669" w:rsidR="0085017C" w:rsidRPr="00F3590A" w:rsidRDefault="000611C9" w:rsidP="00F3590A">
      <w:pPr>
        <w:spacing w:after="120" w:line="276" w:lineRule="auto"/>
        <w:ind w:firstLine="709"/>
        <w:jc w:val="both"/>
        <w:rPr>
          <w:rFonts w:ascii="Verdana" w:hAnsi="Verdana" w:cs="Arial"/>
          <w:lang w:val="es-ES"/>
        </w:rPr>
      </w:pPr>
      <w:proofErr w:type="gramStart"/>
      <w:r w:rsidRPr="00F3590A">
        <w:rPr>
          <w:rFonts w:ascii="Verdana" w:hAnsi="Verdana" w:cs="Arial"/>
          <w:lang w:val="es-ES"/>
        </w:rPr>
        <w:t>Un  convenio</w:t>
      </w:r>
      <w:proofErr w:type="gramEnd"/>
      <w:r w:rsidRPr="00F3590A">
        <w:rPr>
          <w:rFonts w:ascii="Verdana" w:hAnsi="Verdana" w:cs="Arial"/>
          <w:lang w:val="es-ES"/>
        </w:rPr>
        <w:t xml:space="preserve">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F3590A">
        <w:rPr>
          <w:rStyle w:val="Refdenotaalpie"/>
          <w:rFonts w:ascii="Verdana" w:hAnsi="Verdana" w:cs="Arial"/>
          <w:lang w:val="es-ES"/>
        </w:rPr>
        <w:footnoteReference w:id="15"/>
      </w:r>
      <w:r w:rsidR="00E6132D" w:rsidRPr="00F3590A">
        <w:rPr>
          <w:rFonts w:ascii="Verdana" w:hAnsi="Verdana" w:cs="Arial"/>
          <w:lang w:val="es-ES"/>
        </w:rPr>
        <w:t>.</w:t>
      </w:r>
      <w:r w:rsidR="00EF1102" w:rsidRPr="00F3590A">
        <w:rPr>
          <w:rFonts w:ascii="Verdana" w:hAnsi="Verdana" w:cs="Arial"/>
          <w:lang w:val="es-ES"/>
        </w:rPr>
        <w:t xml:space="preserve"> Nótese que, en este caso, lo que cambia es la modalidad de selección y no la naturaleza de contrato interadministrativo</w:t>
      </w:r>
      <w:r w:rsidR="0085017C" w:rsidRPr="00F3590A">
        <w:rPr>
          <w:rFonts w:ascii="Verdana" w:hAnsi="Verdana" w:cs="Arial"/>
          <w:lang w:val="es-ES"/>
        </w:rPr>
        <w:t>.</w:t>
      </w:r>
    </w:p>
    <w:p w14:paraId="3C37AA5A" w14:textId="39EF168B" w:rsidR="00590417" w:rsidRPr="00F3590A" w:rsidRDefault="00EF1102" w:rsidP="00190792">
      <w:pPr>
        <w:spacing w:after="120" w:line="276" w:lineRule="auto"/>
        <w:ind w:firstLine="708"/>
        <w:jc w:val="both"/>
        <w:rPr>
          <w:rFonts w:ascii="Verdana" w:hAnsi="Verdana" w:cs="Arial"/>
          <w:lang w:val="es-ES_tradnl"/>
        </w:rPr>
      </w:pPr>
      <w:r w:rsidRPr="00F3590A">
        <w:rPr>
          <w:rFonts w:ascii="Verdana" w:hAnsi="Verdana" w:cs="Arial"/>
          <w:lang w:val="es-ES"/>
        </w:rPr>
        <w:t>Además, es necesario tener en cuenta que para que un convenio interadministrativo exista debe cumplir con los siguientes elementos:</w:t>
      </w:r>
      <w:r w:rsidR="003C5A81" w:rsidRPr="00F3590A">
        <w:rPr>
          <w:rFonts w:ascii="Verdana" w:hAnsi="Verdana" w:cs="Arial"/>
          <w:lang w:val="es-ES"/>
        </w:rPr>
        <w:t xml:space="preserve"> acuerdo sobre el objeto y la contraprestación y que conste por escrito</w:t>
      </w:r>
      <w:r w:rsidR="00BB230B" w:rsidRPr="00F3590A">
        <w:rPr>
          <w:rStyle w:val="Refdenotaalpie"/>
          <w:rFonts w:ascii="Verdana" w:hAnsi="Verdana" w:cs="Arial"/>
          <w:lang w:val="es-ES"/>
        </w:rPr>
        <w:footnoteReference w:id="16"/>
      </w:r>
      <w:r w:rsidR="00590417" w:rsidRPr="00F3590A">
        <w:rPr>
          <w:rFonts w:ascii="Verdana" w:hAnsi="Verdana" w:cs="Arial"/>
          <w:lang w:val="es-ES"/>
        </w:rPr>
        <w:t xml:space="preserve">. Entonces, si ambas partes son entidades estatales, pueden celebrar convenios interadministrativos, porque las disposiciones que regulan esta tipología hacen referencia a la calidad de los sujetos que intervienen en la contratación, que deben ser entidades </w:t>
      </w:r>
      <w:r w:rsidR="00590417" w:rsidRPr="00350B3A">
        <w:rPr>
          <w:rFonts w:ascii="Verdana" w:hAnsi="Verdana" w:cs="Arial"/>
          <w:lang w:val="es-ES"/>
        </w:rPr>
        <w:t>estatales o de derecho público.</w:t>
      </w:r>
    </w:p>
    <w:p w14:paraId="5C0C0A5E" w14:textId="6DA6BE7C" w:rsidR="00F977F6" w:rsidRPr="00190792" w:rsidRDefault="00590417" w:rsidP="00190792">
      <w:pPr>
        <w:spacing w:after="120" w:line="276" w:lineRule="auto"/>
        <w:ind w:firstLine="708"/>
        <w:jc w:val="both"/>
        <w:rPr>
          <w:rFonts w:ascii="Verdana" w:hAnsi="Verdana"/>
          <w:lang w:eastAsia="es-CO"/>
        </w:rPr>
      </w:pPr>
      <w:r w:rsidRPr="00F3590A">
        <w:rPr>
          <w:rFonts w:ascii="Verdana" w:hAnsi="Verdana" w:cs="Arial"/>
          <w:lang w:val="es-ES"/>
        </w:rPr>
        <w:t xml:space="preserve">Sobre este aspecto, se resalta que la Corte Constitucional señaló en la Sentencia C–671 de 2015 </w:t>
      </w:r>
      <w:r w:rsidRPr="0026158E">
        <w:rPr>
          <w:rFonts w:ascii="Verdana" w:hAnsi="Verdana" w:cs="Arial"/>
          <w:lang w:val="es-ES"/>
        </w:rPr>
        <w:t xml:space="preserve">que “Lo que hace interadministrativo a un contrato o </w:t>
      </w:r>
      <w:r w:rsidRPr="0026158E">
        <w:rPr>
          <w:rFonts w:ascii="Verdana" w:hAnsi="Verdana" w:cs="Arial"/>
          <w:lang w:val="es-ES"/>
        </w:rPr>
        <w:lastRenderedPageBreak/>
        <w:t>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w:t>
      </w:r>
      <w:r w:rsidRPr="00F3590A">
        <w:rPr>
          <w:rFonts w:ascii="Verdana" w:hAnsi="Verdana" w:cs="Arial"/>
          <w:lang w:val="es-ES"/>
        </w:rPr>
        <w:t xml:space="preserve"> diferente</w:t>
      </w:r>
      <w:r w:rsidR="00DD4F01" w:rsidRPr="00F3590A">
        <w:rPr>
          <w:rStyle w:val="Refdenotaalpie"/>
          <w:rFonts w:ascii="Verdana" w:hAnsi="Verdana" w:cs="Arial"/>
          <w:lang w:val="es-ES"/>
        </w:rPr>
        <w:footnoteReference w:id="17"/>
      </w:r>
      <w:r w:rsidR="002B1849" w:rsidRPr="00F3590A">
        <w:rPr>
          <w:rFonts w:ascii="Verdana" w:hAnsi="Verdana" w:cs="Arial"/>
          <w:lang w:val="es-ES"/>
        </w:rPr>
        <w:t>,</w:t>
      </w:r>
      <w:r w:rsidR="00E0553F" w:rsidRPr="00F3590A">
        <w:rPr>
          <w:rFonts w:ascii="Verdana" w:hAnsi="Verdana" w:cs="Arial"/>
          <w:lang w:val="es-ES"/>
        </w:rPr>
        <w:t xml:space="preserve"> pues, de acue</w:t>
      </w:r>
      <w:r w:rsidR="00E0553F" w:rsidRPr="00350B3A">
        <w:rPr>
          <w:rFonts w:ascii="Verdana" w:hAnsi="Verdana" w:cs="Arial"/>
          <w:lang w:val="es-ES"/>
        </w:rPr>
        <w:t>rdo con lo anotado, esta clase de acuerdos de voluntades se definen por un criterio orgánico, por lo que uno de sus elementos esenciales es que en los extremos de la relación jurídico negocial concurran personas de derecho público</w:t>
      </w:r>
      <w:r w:rsidR="00E0553F" w:rsidRPr="00190792">
        <w:rPr>
          <w:rFonts w:ascii="Verdana" w:hAnsi="Verdana"/>
          <w:lang w:eastAsia="es-CO"/>
        </w:rPr>
        <w:t>.</w:t>
      </w:r>
    </w:p>
    <w:p w14:paraId="015B0ED9" w14:textId="76B51149" w:rsidR="003E796D" w:rsidRPr="00ED21B4" w:rsidRDefault="00F977F6" w:rsidP="00F3590A">
      <w:pPr>
        <w:spacing w:after="120" w:line="276" w:lineRule="auto"/>
        <w:ind w:firstLine="709"/>
        <w:jc w:val="both"/>
        <w:rPr>
          <w:rFonts w:ascii="Verdana" w:hAnsi="Verdana" w:cs="Arial"/>
          <w:lang w:val="es-ES"/>
        </w:rPr>
      </w:pPr>
      <w:r w:rsidRPr="00F3590A">
        <w:rPr>
          <w:rFonts w:ascii="Verdana" w:eastAsia="Arial" w:hAnsi="Verdana" w:cs="Arial"/>
          <w:lang w:val="es-MX" w:eastAsia="es-ES" w:bidi="es-ES"/>
        </w:rPr>
        <w:t>De esta manera, se</w:t>
      </w:r>
      <w:r w:rsidRPr="00F3590A">
        <w:rPr>
          <w:rFonts w:ascii="Verdana" w:eastAsia="Times New Roman" w:hAnsi="Verdana" w:cs="Arial"/>
          <w:lang w:eastAsia="es-CO"/>
        </w:rPr>
        <w:t xml:space="preserve"> observa entonces que </w:t>
      </w:r>
      <w:r w:rsidRPr="00F3590A">
        <w:rPr>
          <w:rFonts w:ascii="Verdana" w:eastAsia="Times New Roman" w:hAnsi="Verdana" w:cs="Arial"/>
          <w:lang w:val="es-MX" w:eastAsia="es-CO"/>
        </w:rPr>
        <w:t xml:space="preserve">el parágrafo del artículo 38 de la Ley 996 de 2005 prohíbe a los </w:t>
      </w:r>
      <w:proofErr w:type="gramStart"/>
      <w:r w:rsidRPr="00F3590A">
        <w:rPr>
          <w:rFonts w:ascii="Verdana" w:eastAsia="Times New Roman" w:hAnsi="Verdana" w:cs="Arial"/>
          <w:lang w:val="es-MX" w:eastAsia="es-CO"/>
        </w:rPr>
        <w:t>Alcaldes</w:t>
      </w:r>
      <w:proofErr w:type="gramEnd"/>
      <w:r w:rsidRPr="00F3590A">
        <w:rPr>
          <w:rFonts w:ascii="Verdana" w:eastAsia="Times New Roman" w:hAnsi="Verdana" w:cs="Arial"/>
          <w:lang w:val="es-MX" w:eastAsia="es-CO"/>
        </w:rPr>
        <w:t xml:space="preserve">, Gobernadores, </w:t>
      </w:r>
      <w:proofErr w:type="gramStart"/>
      <w:r w:rsidRPr="00F3590A">
        <w:rPr>
          <w:rFonts w:ascii="Verdana" w:eastAsia="Times New Roman" w:hAnsi="Verdana" w:cs="Arial"/>
          <w:lang w:val="es-MX" w:eastAsia="es-CO"/>
        </w:rPr>
        <w:t>Secretarios</w:t>
      </w:r>
      <w:proofErr w:type="gramEnd"/>
      <w:r w:rsidRPr="00F3590A">
        <w:rPr>
          <w:rFonts w:ascii="Verdana" w:eastAsia="Times New Roman" w:hAnsi="Verdana" w:cs="Arial"/>
          <w:lang w:val="es-MX" w:eastAsia="es-CO"/>
        </w:rPr>
        <w:t xml:space="preserve">, Gerentes y </w:t>
      </w:r>
      <w:proofErr w:type="gramStart"/>
      <w:r w:rsidRPr="00F3590A">
        <w:rPr>
          <w:rFonts w:ascii="Verdana" w:eastAsia="Times New Roman" w:hAnsi="Verdana" w:cs="Arial"/>
          <w:lang w:val="es-MX" w:eastAsia="es-CO"/>
        </w:rPr>
        <w:t>Directores</w:t>
      </w:r>
      <w:proofErr w:type="gramEnd"/>
      <w:r w:rsidRPr="00F3590A">
        <w:rPr>
          <w:rFonts w:ascii="Verdana" w:eastAsia="Times New Roman" w:hAnsi="Verdana" w:cs="Arial"/>
          <w:lang w:val="es-MX" w:eastAsia="es-CO"/>
        </w:rPr>
        <w:t xml:space="preserve"> de las entidades del orden municipal, departamental o distrital </w:t>
      </w:r>
      <w:r w:rsidRPr="00ED21B4">
        <w:rPr>
          <w:rFonts w:ascii="Verdana" w:eastAsia="Times New Roman" w:hAnsi="Verdana" w:cs="Arial"/>
          <w:lang w:val="es-MX" w:eastAsia="es-CO"/>
        </w:rPr>
        <w:t xml:space="preserve">celebrar </w:t>
      </w:r>
      <w:r w:rsidRPr="00ED21B4">
        <w:rPr>
          <w:rFonts w:ascii="Verdana" w:eastAsia="Times New Roman" w:hAnsi="Verdana" w:cs="Arial"/>
          <w:i/>
          <w:iCs/>
          <w:lang w:val="es-MX" w:eastAsia="es-CO"/>
        </w:rPr>
        <w:t>convenios interadministrativos</w:t>
      </w:r>
      <w:r w:rsidRPr="00ED21B4">
        <w:rPr>
          <w:rFonts w:ascii="Verdana" w:eastAsia="Times New Roman" w:hAnsi="Verdana" w:cs="Arial"/>
          <w:lang w:val="es-MX" w:eastAsia="es-CO"/>
        </w:rPr>
        <w:t xml:space="preserve"> para la ejecución de recursos públicos.</w:t>
      </w:r>
      <w:r w:rsidR="00B55DDA" w:rsidRPr="00ED21B4">
        <w:rPr>
          <w:rFonts w:ascii="Verdana" w:eastAsia="Times New Roman" w:hAnsi="Verdana" w:cs="Arial"/>
          <w:lang w:val="es-MX" w:eastAsia="es-CO"/>
        </w:rPr>
        <w:t xml:space="preserve"> </w:t>
      </w:r>
      <w:r w:rsidR="003E796D" w:rsidRPr="00ED21B4">
        <w:rPr>
          <w:rFonts w:ascii="Verdana" w:eastAsia="Times New Roman" w:hAnsi="Verdana" w:cs="Arial"/>
          <w:lang w:val="es-MX" w:eastAsia="es-CO"/>
        </w:rPr>
        <w:t xml:space="preserve">En este sentido, si una o ambas partes de la relación contractual es una entidad de aquellas descritas en el parágrafo </w:t>
      </w:r>
      <w:r w:rsidR="003E796D" w:rsidRPr="00ED21B4">
        <w:rPr>
          <w:rFonts w:ascii="Verdana" w:eastAsia="Times New Roman" w:hAnsi="Verdana" w:cs="Arial"/>
          <w:i/>
          <w:lang w:val="es-MX" w:eastAsia="es-CO"/>
        </w:rPr>
        <w:t>ibidem</w:t>
      </w:r>
      <w:r w:rsidR="003E796D" w:rsidRPr="00ED21B4">
        <w:rPr>
          <w:rFonts w:ascii="Verdana" w:eastAsia="Times New Roman" w:hAnsi="Verdana" w:cs="Arial"/>
          <w:lang w:val="es-MX" w:eastAsia="es-CO"/>
        </w:rPr>
        <w:t xml:space="preserve">, no podrá celebrar tales </w:t>
      </w:r>
      <w:r w:rsidR="003E796D" w:rsidRPr="00ED21B4">
        <w:rPr>
          <w:rFonts w:ascii="Verdana" w:eastAsia="Times New Roman" w:hAnsi="Verdana" w:cs="Arial"/>
          <w:i/>
          <w:iCs/>
          <w:lang w:val="es-MX" w:eastAsia="es-CO"/>
        </w:rPr>
        <w:t>convenios</w:t>
      </w:r>
      <w:r w:rsidR="003E796D" w:rsidRPr="00ED21B4">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3E4B6FDF" w14:textId="32814CD3" w:rsidR="00B57593" w:rsidRPr="00ED21B4" w:rsidRDefault="00B57593" w:rsidP="00F3590A">
      <w:pPr>
        <w:spacing w:after="120" w:line="276" w:lineRule="auto"/>
        <w:ind w:firstLine="708"/>
        <w:jc w:val="both"/>
        <w:rPr>
          <w:rFonts w:ascii="Verdana" w:eastAsia="Times New Roman" w:hAnsi="Verdana" w:cs="Arial"/>
          <w:lang w:eastAsia="es-CO"/>
        </w:rPr>
      </w:pPr>
      <w:r w:rsidRPr="00ED21B4">
        <w:rPr>
          <w:rFonts w:ascii="Verdana" w:eastAsia="Times New Roman" w:hAnsi="Verdana" w:cs="Arial"/>
          <w:lang w:val="es-MX" w:eastAsia="es-CO"/>
        </w:rPr>
        <w:t>Respecto del alcance de esta prohibición la Circular Externa No. 006 de 2025 expedida por la ANCP</w:t>
      </w:r>
      <w:r w:rsidRPr="00F3590A">
        <w:rPr>
          <w:rFonts w:ascii="Verdana" w:eastAsia="Times New Roman" w:hAnsi="Verdana" w:cs="Arial"/>
          <w:lang w:val="es-MX" w:eastAsia="es-CO"/>
        </w:rPr>
        <w:t xml:space="preserve">-CCE, en los literales </w:t>
      </w:r>
      <w:proofErr w:type="spellStart"/>
      <w:r w:rsidRPr="00F3590A">
        <w:rPr>
          <w:rFonts w:ascii="Verdana" w:eastAsia="Times New Roman" w:hAnsi="Verdana" w:cs="Arial"/>
          <w:lang w:val="es-MX" w:eastAsia="es-CO"/>
        </w:rPr>
        <w:t>ii</w:t>
      </w:r>
      <w:proofErr w:type="spellEnd"/>
      <w:r w:rsidRPr="00F3590A">
        <w:rPr>
          <w:rFonts w:ascii="Verdana" w:eastAsia="Times New Roman" w:hAnsi="Verdana" w:cs="Arial"/>
          <w:lang w:val="es-MX" w:eastAsia="es-CO"/>
        </w:rPr>
        <w:t xml:space="preserve">) y </w:t>
      </w:r>
      <w:proofErr w:type="spellStart"/>
      <w:r w:rsidRPr="00F3590A">
        <w:rPr>
          <w:rFonts w:ascii="Verdana" w:eastAsia="Times New Roman" w:hAnsi="Verdana" w:cs="Arial"/>
          <w:lang w:val="es-MX" w:eastAsia="es-CO"/>
        </w:rPr>
        <w:t>iv</w:t>
      </w:r>
      <w:proofErr w:type="spellEnd"/>
      <w:r w:rsidRPr="00F3590A">
        <w:rPr>
          <w:rFonts w:ascii="Verdana" w:eastAsia="Times New Roman" w:hAnsi="Verdana" w:cs="Arial"/>
          <w:lang w:val="es-MX" w:eastAsia="es-CO"/>
        </w:rPr>
        <w:t>) del numeral 2</w:t>
      </w:r>
      <w:r w:rsidRPr="00F3590A">
        <w:rPr>
          <w:rFonts w:ascii="Verdana" w:eastAsia="Times New Roman" w:hAnsi="Verdana" w:cs="Arial"/>
          <w:lang w:eastAsia="es-CO"/>
        </w:rPr>
        <w:t>,</w:t>
      </w:r>
      <w:r w:rsidRPr="00F3590A">
        <w:rPr>
          <w:rFonts w:ascii="Verdana" w:eastAsia="Times New Roman" w:hAnsi="Verdana" w:cs="Arial"/>
          <w:lang w:val="es-MX" w:eastAsia="es-CO"/>
        </w:rPr>
        <w:t xml:space="preserve"> indica que el </w:t>
      </w:r>
      <w:r w:rsidRPr="00F3590A">
        <w:rPr>
          <w:rFonts w:ascii="Verdana" w:eastAsia="Times New Roman" w:hAnsi="Verdana" w:cs="Arial"/>
          <w:lang w:eastAsia="es-CO"/>
        </w:rPr>
        <w:t xml:space="preserve">parágrafo del artículo 38 de la Ley 996 de 2005 cobija </w:t>
      </w:r>
      <w:r w:rsidRPr="00A47DB4">
        <w:rPr>
          <w:rFonts w:ascii="Verdana" w:eastAsia="Times New Roman" w:hAnsi="Verdana" w:cs="Arial"/>
          <w:lang w:eastAsia="es-CO"/>
        </w:rPr>
        <w:t xml:space="preserve">expresamente a los </w:t>
      </w:r>
      <w:r w:rsidRPr="00A47DB4">
        <w:rPr>
          <w:rFonts w:ascii="Verdana" w:eastAsia="Times New Roman" w:hAnsi="Verdana" w:cs="Arial"/>
          <w:i/>
          <w:iCs/>
          <w:lang w:eastAsia="es-CO"/>
        </w:rPr>
        <w:t>convenios interadministrativos</w:t>
      </w:r>
      <w:r w:rsidRPr="00A47DB4">
        <w:rPr>
          <w:rFonts w:ascii="Verdana" w:eastAsia="Times New Roman" w:hAnsi="Verdana" w:cs="Arial"/>
          <w:lang w:eastAsia="es-CO"/>
        </w:rPr>
        <w:t xml:space="preserve"> en los que se contemple la ejecución de recursos públicos. </w:t>
      </w:r>
      <w:r w:rsidR="00F3590A" w:rsidRPr="00A47DB4">
        <w:rPr>
          <w:rFonts w:ascii="Verdana" w:eastAsia="Times New Roman" w:hAnsi="Verdana" w:cs="Arial"/>
          <w:lang w:eastAsia="es-CO"/>
        </w:rPr>
        <w:t>Sobre este aspecto, es importante señalar que</w:t>
      </w:r>
      <w:r w:rsidR="00A63F2E" w:rsidRPr="00A47DB4">
        <w:rPr>
          <w:rFonts w:ascii="Verdana" w:eastAsia="Times New Roman" w:hAnsi="Verdana" w:cs="Arial"/>
          <w:lang w:eastAsia="es-CO"/>
        </w:rPr>
        <w:t xml:space="preserve">, el ámbito de aplicación de la restricción prevista en el parágrafo del artículo 38 de la Ley 996 de 2005 comprende a los </w:t>
      </w:r>
      <w:r w:rsidR="00A63F2E" w:rsidRPr="00A47DB4">
        <w:rPr>
          <w:rFonts w:ascii="Verdana" w:eastAsia="Times New Roman" w:hAnsi="Verdana" w:cs="Arial"/>
          <w:i/>
          <w:iCs/>
          <w:lang w:eastAsia="es-CO"/>
        </w:rPr>
        <w:t>convenios interadministrativos</w:t>
      </w:r>
      <w:r w:rsidR="00A63F2E" w:rsidRPr="00A47DB4">
        <w:rPr>
          <w:rFonts w:ascii="Verdana" w:eastAsia="Times New Roman" w:hAnsi="Verdana" w:cs="Arial"/>
          <w:lang w:eastAsia="es-CO"/>
        </w:rPr>
        <w:t xml:space="preserve"> en los que exista </w:t>
      </w:r>
      <w:r w:rsidR="00A63F2E" w:rsidRPr="00A47DB4">
        <w:rPr>
          <w:rFonts w:ascii="Verdana" w:eastAsia="Times New Roman" w:hAnsi="Verdana" w:cs="Arial"/>
          <w:i/>
          <w:iCs/>
          <w:lang w:eastAsia="es-CO"/>
        </w:rPr>
        <w:t>ejecución de recursos públicos</w:t>
      </w:r>
      <w:r w:rsidR="00A63F2E" w:rsidRPr="00A47DB4">
        <w:rPr>
          <w:rFonts w:ascii="Verdana" w:eastAsia="Times New Roman" w:hAnsi="Verdana" w:cs="Arial"/>
          <w:lang w:eastAsia="es-CO"/>
        </w:rPr>
        <w:t>, sin importar de que estos sean en dinero o en especie,</w:t>
      </w:r>
      <w:r w:rsidR="00A63F2E" w:rsidRPr="00F3590A">
        <w:rPr>
          <w:rFonts w:ascii="Verdana" w:eastAsia="Times New Roman" w:hAnsi="Verdana" w:cs="Arial"/>
          <w:lang w:eastAsia="es-CO"/>
        </w:rPr>
        <w:t xml:space="preserve"> ya que la norma no distingue. </w:t>
      </w:r>
      <w:r w:rsidR="00A63F2E" w:rsidRPr="00F3590A">
        <w:rPr>
          <w:rFonts w:ascii="Verdana" w:eastAsia="Times New Roman" w:hAnsi="Verdana" w:cs="Arial"/>
          <w:lang w:val="es-ES" w:eastAsia="es-CO"/>
        </w:rPr>
        <w:t>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w:t>
      </w:r>
      <w:r w:rsidR="00A63F2E" w:rsidRPr="00F3590A">
        <w:rPr>
          <w:rStyle w:val="Refdenotaalpie"/>
          <w:rFonts w:ascii="Verdana" w:hAnsi="Verdana" w:cs="Arial"/>
        </w:rPr>
        <w:footnoteReference w:id="18"/>
      </w:r>
      <w:r w:rsidR="00A63F2E" w:rsidRPr="00F3590A">
        <w:rPr>
          <w:rFonts w:ascii="Verdana" w:eastAsia="Times New Roman" w:hAnsi="Verdana" w:cs="Arial"/>
          <w:lang w:val="es-ES" w:eastAsia="es-CO"/>
        </w:rPr>
        <w:t>.</w:t>
      </w:r>
      <w:r w:rsidR="00A63F2E" w:rsidRPr="00F3590A">
        <w:rPr>
          <w:rFonts w:ascii="Verdana" w:eastAsia="Times New Roman" w:hAnsi="Verdana" w:cs="Arial"/>
          <w:lang w:eastAsia="es-CO"/>
        </w:rPr>
        <w:t xml:space="preserve"> Por ello, </w:t>
      </w:r>
      <w:r w:rsidR="00A63F2E" w:rsidRPr="00F3590A">
        <w:rPr>
          <w:rFonts w:ascii="Verdana" w:eastAsia="Times New Roman" w:hAnsi="Verdana" w:cs="Arial"/>
          <w:lang w:eastAsia="es-CO"/>
        </w:rPr>
        <w:lastRenderedPageBreak/>
        <w:t xml:space="preserve">en el </w:t>
      </w:r>
      <w:r w:rsidR="00A63F2E" w:rsidRPr="00ED21B4">
        <w:rPr>
          <w:rFonts w:ascii="Verdana" w:eastAsia="Times New Roman" w:hAnsi="Verdana" w:cs="Arial"/>
          <w:lang w:eastAsia="es-CO"/>
        </w:rPr>
        <w:t>Concepto 2201913000006634 del 6 de septiembre de 2019, la Agencia sostuvo que la ejecución de recursos no se agota en el “[…] el dinero que integra el ciclo presupuestal de la entidad […]”, pues “[…] también los bienes muebles, inmuebles y personal hacen parte del concepto de ‘recursos públicos”.</w:t>
      </w:r>
    </w:p>
    <w:p w14:paraId="560DED34" w14:textId="45CFF750" w:rsidR="00F3590A" w:rsidRPr="00667CD6" w:rsidRDefault="00F3590A" w:rsidP="00F3590A">
      <w:pPr>
        <w:spacing w:before="120" w:after="0" w:line="276" w:lineRule="auto"/>
        <w:ind w:firstLine="708"/>
        <w:jc w:val="both"/>
        <w:rPr>
          <w:rFonts w:ascii="Verdana" w:eastAsia="Times New Roman" w:hAnsi="Verdana" w:cs="Arial"/>
          <w:lang w:eastAsia="es-CO"/>
        </w:rPr>
      </w:pPr>
      <w:r w:rsidRPr="00ED21B4">
        <w:rPr>
          <w:rFonts w:ascii="Verdana" w:eastAsia="Times New Roman" w:hAnsi="Verdana" w:cs="Arial"/>
          <w:lang w:eastAsia="es-CO"/>
        </w:rPr>
        <w:t xml:space="preserve">Ahora bien, teniendo en cuenta lo señalado en el contenido de su petición, vale la pena destacar </w:t>
      </w:r>
      <w:proofErr w:type="gramStart"/>
      <w:r w:rsidRPr="00ED21B4">
        <w:rPr>
          <w:rFonts w:ascii="Verdana" w:eastAsia="Times New Roman" w:hAnsi="Verdana" w:cs="Arial"/>
          <w:lang w:eastAsia="es-CO"/>
        </w:rPr>
        <w:t>que</w:t>
      </w:r>
      <w:proofErr w:type="gramEnd"/>
      <w:r w:rsidRPr="00ED21B4">
        <w:rPr>
          <w:rFonts w:ascii="Verdana" w:eastAsia="Times New Roman" w:hAnsi="Verdana" w:cs="Arial"/>
          <w:lang w:eastAsia="es-CO"/>
        </w:rPr>
        <w:t xml:space="preserve"> </w:t>
      </w:r>
      <w:r w:rsidRPr="00ED21B4">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ED21B4">
        <w:rPr>
          <w:rFonts w:ascii="Verdana" w:hAnsi="Verdana" w:cs="Arial"/>
        </w:rPr>
        <w:t>numeral 16.2 de</w:t>
      </w:r>
      <w:r w:rsidRPr="00667CD6">
        <w:rPr>
          <w:rFonts w:ascii="Verdana" w:hAnsi="Verdana" w:cs="Arial"/>
        </w:rPr>
        <w:t xml:space="preserve"> la Circular Externa Única de 2022 expedida por la Agencia Nacional de Contratación Pública </w:t>
      </w:r>
      <w:r>
        <w:rPr>
          <w:rFonts w:ascii="Verdana" w:hAnsi="Verdana" w:cs="Arial"/>
        </w:rPr>
        <w:t xml:space="preserve">– </w:t>
      </w:r>
      <w:r w:rsidRPr="00667CD6">
        <w:rPr>
          <w:rFonts w:ascii="Verdana" w:hAnsi="Verdana" w:cs="Arial"/>
        </w:rPr>
        <w:t>Colombia Compra Eficiente, concretamente, respecto de los siguientes apartes normativos</w:t>
      </w:r>
      <w:r w:rsidRPr="00667CD6">
        <w:rPr>
          <w:rFonts w:ascii="Verdana" w:hAnsi="Verdana" w:cs="Arial"/>
          <w:vertAlign w:val="superscript"/>
        </w:rPr>
        <w:footnoteReference w:id="19"/>
      </w:r>
      <w:r w:rsidRPr="00667CD6">
        <w:rPr>
          <w:rFonts w:ascii="Verdana" w:hAnsi="Verdana" w:cs="Arial"/>
        </w:rPr>
        <w:t xml:space="preserve">: </w:t>
      </w:r>
    </w:p>
    <w:p w14:paraId="6F51B6FC" w14:textId="77777777" w:rsidR="00F3590A" w:rsidRPr="00667CD6" w:rsidRDefault="00F3590A" w:rsidP="00F3590A">
      <w:pPr>
        <w:spacing w:after="0" w:line="276" w:lineRule="auto"/>
        <w:ind w:firstLine="709"/>
        <w:jc w:val="both"/>
        <w:rPr>
          <w:rFonts w:ascii="Verdana" w:hAnsi="Verdana" w:cs="Arial"/>
        </w:rPr>
      </w:pPr>
    </w:p>
    <w:p w14:paraId="2CE5CC3F" w14:textId="01AA6C65" w:rsidR="00F3590A" w:rsidRDefault="00F3590A" w:rsidP="00F3590A">
      <w:pPr>
        <w:spacing w:after="0" w:line="240" w:lineRule="auto"/>
        <w:ind w:left="709" w:right="709"/>
        <w:jc w:val="both"/>
        <w:rPr>
          <w:rFonts w:ascii="Verdana" w:hAnsi="Verdana" w:cs="Arial"/>
          <w:sz w:val="20"/>
          <w:szCs w:val="20"/>
        </w:rPr>
      </w:pPr>
      <w:r>
        <w:rPr>
          <w:rFonts w:ascii="Verdana" w:hAnsi="Verdana" w:cs="Arial"/>
          <w:sz w:val="20"/>
          <w:szCs w:val="20"/>
          <w:lang w:val="es-MX"/>
        </w:rPr>
        <w:t>“</w:t>
      </w:r>
      <w:r w:rsidRPr="00667CD6">
        <w:rPr>
          <w:rFonts w:ascii="Verdana" w:hAnsi="Verdana" w:cs="Arial"/>
          <w:sz w:val="20"/>
          <w:szCs w:val="20"/>
          <w:lang w:val="es-MX"/>
        </w:rPr>
        <w:t>i)</w:t>
      </w:r>
      <w:r w:rsidRPr="00667CD6">
        <w:rPr>
          <w:rFonts w:ascii="Verdana" w:hAnsi="Verdana" w:cs="Arial"/>
          <w:sz w:val="20"/>
          <w:szCs w:val="20"/>
        </w:rPr>
        <w:t xml:space="preserve"> el inciso segundo 2 que dispone: </w:t>
      </w:r>
      <w:r>
        <w:rPr>
          <w:rFonts w:ascii="Verdana" w:hAnsi="Verdana" w:cs="Arial"/>
          <w:sz w:val="20"/>
          <w:szCs w:val="20"/>
        </w:rPr>
        <w:t>‘</w:t>
      </w:r>
      <w:r w:rsidRPr="00667CD6">
        <w:rPr>
          <w:rFonts w:ascii="Verdana" w:hAnsi="Verdana" w:cs="Arial"/>
          <w:sz w:val="20"/>
          <w:szCs w:val="20"/>
        </w:rPr>
        <w:t>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Pr>
          <w:rFonts w:ascii="Verdana" w:hAnsi="Verdana" w:cs="Arial"/>
          <w:sz w:val="20"/>
          <w:szCs w:val="20"/>
        </w:rPr>
        <w:t>’</w:t>
      </w:r>
      <w:r w:rsidRPr="00667CD6">
        <w:rPr>
          <w:rFonts w:ascii="Verdana" w:hAnsi="Verdana" w:cs="Arial"/>
          <w:sz w:val="20"/>
          <w:szCs w:val="20"/>
        </w:rPr>
        <w:t xml:space="preserve"> y, </w:t>
      </w:r>
    </w:p>
    <w:p w14:paraId="020D1A90" w14:textId="77777777" w:rsidR="00F3590A" w:rsidRPr="00667CD6" w:rsidRDefault="00F3590A" w:rsidP="008F7EF1">
      <w:pPr>
        <w:spacing w:after="0" w:line="240" w:lineRule="auto"/>
        <w:ind w:left="709" w:right="709"/>
        <w:jc w:val="both"/>
        <w:rPr>
          <w:rFonts w:ascii="Verdana" w:hAnsi="Verdana" w:cs="Arial"/>
          <w:sz w:val="20"/>
          <w:szCs w:val="20"/>
        </w:rPr>
      </w:pPr>
    </w:p>
    <w:p w14:paraId="06D9598B" w14:textId="77777777" w:rsidR="00F3590A" w:rsidRPr="00ED21B4" w:rsidRDefault="00F3590A" w:rsidP="00F3590A">
      <w:pPr>
        <w:spacing w:after="0" w:line="240" w:lineRule="auto"/>
        <w:ind w:left="709" w:right="709"/>
        <w:jc w:val="both"/>
        <w:rPr>
          <w:rFonts w:ascii="Verdana" w:hAnsi="Verdana" w:cs="Arial"/>
          <w:sz w:val="20"/>
          <w:szCs w:val="20"/>
        </w:rPr>
      </w:pPr>
      <w:proofErr w:type="spellStart"/>
      <w:r w:rsidRPr="00667CD6">
        <w:rPr>
          <w:rFonts w:ascii="Verdana" w:hAnsi="Verdana" w:cs="Arial"/>
          <w:sz w:val="20"/>
          <w:szCs w:val="20"/>
        </w:rPr>
        <w:t>ii</w:t>
      </w:r>
      <w:proofErr w:type="spellEnd"/>
      <w:r w:rsidRPr="00667CD6">
        <w:rPr>
          <w:rFonts w:ascii="Verdana" w:hAnsi="Verdana" w:cs="Arial"/>
          <w:sz w:val="20"/>
          <w:szCs w:val="20"/>
        </w:rPr>
        <w:t xml:space="preserve">) </w:t>
      </w:r>
      <w:r w:rsidRPr="00ED21B4">
        <w:rPr>
          <w:rFonts w:ascii="Verdana" w:hAnsi="Verdana" w:cs="Arial"/>
          <w:sz w:val="20"/>
          <w:szCs w:val="20"/>
        </w:rPr>
        <w:t xml:space="preserve">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5B4CD601" w14:textId="77777777" w:rsidR="00F3590A" w:rsidRPr="00ED21B4" w:rsidRDefault="00F3590A" w:rsidP="00F3590A">
      <w:pPr>
        <w:spacing w:after="0" w:line="276" w:lineRule="auto"/>
        <w:ind w:left="709" w:right="709"/>
        <w:jc w:val="both"/>
        <w:rPr>
          <w:rFonts w:ascii="Verdana" w:hAnsi="Verdana" w:cs="Arial"/>
        </w:rPr>
      </w:pPr>
    </w:p>
    <w:p w14:paraId="2DBABA28" w14:textId="77777777" w:rsidR="00F3590A" w:rsidRPr="00667CD6" w:rsidRDefault="00F3590A" w:rsidP="00F3590A">
      <w:pPr>
        <w:spacing w:after="120" w:line="276" w:lineRule="auto"/>
        <w:ind w:firstLine="709"/>
        <w:jc w:val="both"/>
        <w:rPr>
          <w:rFonts w:ascii="Verdana" w:eastAsia="Arial" w:hAnsi="Verdana" w:cs="Arial"/>
          <w:i/>
          <w:iCs/>
          <w:lang w:eastAsia="es-ES" w:bidi="es-ES"/>
        </w:rPr>
      </w:pPr>
      <w:r w:rsidRPr="00ED21B4">
        <w:rPr>
          <w:rFonts w:ascii="Verdana" w:eastAsia="Arial" w:hAnsi="Verdana" w:cs="Arial"/>
          <w:lang w:val="es-MX" w:eastAsia="es-ES" w:bidi="es-ES"/>
        </w:rPr>
        <w:t xml:space="preserve">De conformidad con los argumentos de dicha providencia, se parte de la distinción entre los conceptos </w:t>
      </w:r>
      <w:r w:rsidRPr="00ED21B4">
        <w:rPr>
          <w:rFonts w:ascii="Verdana" w:eastAsia="Arial" w:hAnsi="Verdana" w:cs="Arial"/>
          <w:lang w:eastAsia="es-ES" w:bidi="es-ES"/>
        </w:rPr>
        <w:t xml:space="preserve">de “convenio” y “contrato” interadministrativos, para diferenciarlos en su naturaleza, contenido y alcance, lo cual ha servido de fundamento para que tanto la Sección Tercera como también la Sala de Consulta </w:t>
      </w:r>
      <w:r w:rsidRPr="00ED21B4">
        <w:rPr>
          <w:rFonts w:ascii="Verdana" w:eastAsia="Arial" w:hAnsi="Verdana" w:cs="Arial"/>
          <w:lang w:eastAsia="es-ES" w:bidi="es-ES"/>
        </w:rPr>
        <w:lastRenderedPageBreak/>
        <w:t>y Servicio Civil de esa Corporación hayan realzado la distinción entre uno y otro negocio jurídico.</w:t>
      </w:r>
      <w:r w:rsidRPr="00ED21B4">
        <w:rPr>
          <w:rFonts w:ascii="Verdana" w:hAnsi="Verdana"/>
          <w:sz w:val="24"/>
          <w:szCs w:val="24"/>
          <w:lang w:eastAsia="es-CO"/>
        </w:rPr>
        <w:t xml:space="preserve"> </w:t>
      </w:r>
      <w:r w:rsidRPr="00ED21B4">
        <w:rPr>
          <w:rFonts w:ascii="Verdana" w:eastAsia="Arial" w:hAnsi="Verdana" w:cs="Arial"/>
          <w:lang w:eastAsia="es-ES" w:bidi="es-ES"/>
        </w:rPr>
        <w:t xml:space="preserve">En este sentido, en relación con el parágrafo del artículo 38 de la Ley 996 de 2005 concluyó que </w:t>
      </w:r>
      <w:r w:rsidRPr="00ED21B4">
        <w:rPr>
          <w:rFonts w:ascii="Verdana" w:eastAsia="Arial" w:hAnsi="Verdana" w:cs="Arial"/>
          <w:i/>
          <w:iCs/>
          <w:lang w:eastAsia="es-ES" w:bidi="es-ES"/>
        </w:rPr>
        <w:t>“si el legislador no diferenció al establecer la prohibición o la restricción, mal haría el reglamento</w:t>
      </w:r>
      <w:r w:rsidRPr="00667CD6">
        <w:rPr>
          <w:rFonts w:ascii="Verdana" w:eastAsia="Arial" w:hAnsi="Verdana" w:cs="Arial"/>
          <w:i/>
          <w:iCs/>
          <w:lang w:eastAsia="es-ES" w:bidi="es-ES"/>
        </w:rPr>
        <w:t xml:space="preserve"> en aplicar un efecto 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Pr>
          <w:rFonts w:ascii="Verdana" w:eastAsia="Arial" w:hAnsi="Verdana" w:cs="Arial"/>
          <w:lang w:eastAsia="es-ES" w:bidi="es-ES"/>
        </w:rPr>
        <w:t>”</w:t>
      </w:r>
      <w:r w:rsidRPr="00667CD6">
        <w:rPr>
          <w:rFonts w:ascii="Verdana" w:eastAsia="Arial" w:hAnsi="Verdana" w:cs="Arial"/>
          <w:i/>
          <w:iCs/>
          <w:lang w:eastAsia="es-ES" w:bidi="es-ES"/>
        </w:rPr>
        <w:t xml:space="preserve">. </w:t>
      </w:r>
    </w:p>
    <w:p w14:paraId="6F84698B" w14:textId="77777777" w:rsidR="00F3590A" w:rsidRPr="00667CD6" w:rsidRDefault="00F3590A" w:rsidP="00F3590A">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t>De igual manera, mediante auto del 6 de noviembre de 2025, el Consejo de Estado, Subsección A de la Sección Tercera,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667CD6">
        <w:rPr>
          <w:rFonts w:ascii="Verdana" w:eastAsia="Arial" w:hAnsi="Verdana" w:cs="Arial"/>
          <w:vertAlign w:val="superscript"/>
          <w:lang w:eastAsia="es-ES" w:bidi="es-ES"/>
        </w:rPr>
        <w:footnoteReference w:id="20"/>
      </w:r>
      <w:r w:rsidRPr="00667CD6">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667CD6">
        <w:rPr>
          <w:rFonts w:ascii="Verdana" w:eastAsia="Arial" w:hAnsi="Verdana" w:cs="Arial"/>
          <w:lang w:eastAsia="es-ES" w:bidi="es-ES"/>
        </w:rPr>
        <w:t>legis</w:t>
      </w:r>
      <w:proofErr w:type="spellEnd"/>
      <w:r w:rsidRPr="00667CD6">
        <w:rPr>
          <w:rFonts w:ascii="Verdana" w:eastAsia="Arial" w:hAnsi="Verdana" w:cs="Arial"/>
          <w:lang w:eastAsia="es-ES" w:bidi="es-ES"/>
        </w:rPr>
        <w:t xml:space="preserve"> o iuris y la interpretación extensiva y reiteró los argumentos sobre la diferencia entre contratos y convenios interadministrativos. </w:t>
      </w:r>
    </w:p>
    <w:p w14:paraId="45D1F19B" w14:textId="77777777" w:rsidR="00F3590A" w:rsidRDefault="00F3590A" w:rsidP="00F3590A">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31E4E861">
        <w:rPr>
          <w:rFonts w:ascii="Verdana" w:eastAsia="Times New Roman" w:hAnsi="Verdana" w:cs="Times New Roman"/>
          <w:lang w:eastAsia="es-ES"/>
        </w:rPr>
        <w:t xml:space="preserve">11001-03-26-000-2023-00139-00, se declaró la nulidad parcial del </w:t>
      </w:r>
      <w:r w:rsidRPr="31E4E861">
        <w:rPr>
          <w:rFonts w:ascii="Verdana" w:eastAsia="Times New Roman" w:hAnsi="Verdana" w:cs="Times New Roman"/>
          <w:lang w:eastAsia="es-ES"/>
        </w:rPr>
        <w:lastRenderedPageBreak/>
        <w:t xml:space="preserve">numeral 16.2 de la Circular Externa Única de 2022 expedida por la Agencia Nacional de Contratación Pública - Colombia Compra Eficiente que indicaba: “Esta restricción es aplicable tanto a los convenios como a los contratos interadministrativos…”. </w:t>
      </w:r>
    </w:p>
    <w:p w14:paraId="222EA7BE" w14:textId="77777777" w:rsidR="00F3590A" w:rsidRDefault="00F3590A" w:rsidP="00F3590A">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21"/>
      </w:r>
      <w:r w:rsidRPr="2035D65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2D98B2BE" w14:textId="64BCE120" w:rsidR="00F3590A" w:rsidRPr="00F3590A" w:rsidRDefault="00F3590A" w:rsidP="008F7EF1">
      <w:pPr>
        <w:spacing w:after="120" w:line="276" w:lineRule="auto"/>
        <w:ind w:firstLine="709"/>
        <w:jc w:val="both"/>
        <w:rPr>
          <w:rFonts w:ascii="Verdana" w:eastAsia="Times New Roman" w:hAnsi="Verdana" w:cs="Arial"/>
          <w:lang w:eastAsia="es-CO"/>
        </w:rPr>
      </w:pPr>
      <w:r w:rsidRPr="2035D652">
        <w:rPr>
          <w:rFonts w:ascii="Verdana" w:eastAsia="Times New Roman" w:hAnsi="Verdana" w:cs="Times New Roman"/>
          <w:lang w:eastAsia="es-ES"/>
        </w:rPr>
        <w:t xml:space="preserve">A juicio de la Sala, aunque el propósito de la Circular Externa era legítimo </w:t>
      </w:r>
      <w:r>
        <w:rPr>
          <w:rFonts w:ascii="Verdana" w:eastAsia="Times New Roman" w:hAnsi="Verdana" w:cs="Times New Roman"/>
          <w:lang w:eastAsia="es-ES"/>
        </w:rPr>
        <w:t>–</w:t>
      </w:r>
      <w:r w:rsidRPr="2035D652">
        <w:rPr>
          <w:rFonts w:ascii="Verdana" w:eastAsia="Times New Roman" w:hAnsi="Verdana" w:cs="Times New Roman"/>
          <w:lang w:eastAsia="es-ES"/>
        </w:rPr>
        <w:t>evitar el uso indebido de recursos en época electoral</w:t>
      </w:r>
      <w:r>
        <w:rPr>
          <w:rFonts w:ascii="Verdana" w:eastAsia="Times New Roman" w:hAnsi="Verdana" w:cs="Times New Roman"/>
          <w:lang w:eastAsia="es-ES"/>
        </w:rPr>
        <w:t>–</w:t>
      </w:r>
      <w:r w:rsidRPr="2035D652">
        <w:rPr>
          <w:rFonts w:ascii="Verdana" w:eastAsia="Times New Roman" w:hAnsi="Verdana" w:cs="Times New Roman"/>
          <w:lang w:eastAsia="es-ES"/>
        </w:rPr>
        <w:t>, el numeral 16.2. desconoció el alcance literal del artículo 38 de la Ley 996 de 2005 y los límites de la potestad reglamentaria, lo que configuró un vicio de contenido.</w:t>
      </w:r>
      <w:r>
        <w:rPr>
          <w:rFonts w:ascii="Verdana" w:eastAsia="Times New Roman" w:hAnsi="Verdana" w:cs="Times New Roman"/>
          <w:lang w:eastAsia="es-ES"/>
        </w:rPr>
        <w:t xml:space="preserve"> </w:t>
      </w: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22"/>
      </w:r>
      <w:r>
        <w:rPr>
          <w:rFonts w:ascii="Verdana" w:eastAsia="Times New Roman" w:hAnsi="Verdana" w:cs="Arial"/>
          <w:lang w:eastAsia="es-CO"/>
        </w:rPr>
        <w:t>.</w:t>
      </w:r>
    </w:p>
    <w:p w14:paraId="645FE43A" w14:textId="1B650500" w:rsidR="00F3590A" w:rsidRPr="00F3590A" w:rsidRDefault="00B57593" w:rsidP="008F7EF1">
      <w:pPr>
        <w:spacing w:after="120" w:line="276" w:lineRule="auto"/>
        <w:ind w:firstLine="708"/>
        <w:jc w:val="both"/>
        <w:rPr>
          <w:rFonts w:ascii="Verdana" w:eastAsia="Times New Roman" w:hAnsi="Verdana" w:cs="Arial"/>
          <w:lang w:eastAsia="es-CO"/>
        </w:rPr>
      </w:pPr>
      <w:r w:rsidRPr="00F3590A">
        <w:rPr>
          <w:rFonts w:ascii="Verdana" w:eastAsia="Times New Roman" w:hAnsi="Verdana" w:cs="Arial"/>
          <w:lang w:eastAsia="es-CO"/>
        </w:rPr>
        <w:lastRenderedPageBreak/>
        <w:t xml:space="preserve">De esta manera, conforme a lo dispuesto en la Circular referida, si se suscriben </w:t>
      </w:r>
      <w:r w:rsidRPr="0090031E">
        <w:rPr>
          <w:rFonts w:ascii="Verdana" w:eastAsia="Times New Roman" w:hAnsi="Verdana" w:cs="Arial"/>
          <w:i/>
          <w:iCs/>
          <w:lang w:eastAsia="es-CO"/>
        </w:rPr>
        <w:t>convenios interadministrativos para la ejecución de recursos públicos</w:t>
      </w:r>
      <w:r w:rsidRPr="0090031E">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90031E">
        <w:rPr>
          <w:rFonts w:ascii="Verdana" w:eastAsia="Times New Roman" w:hAnsi="Verdana" w:cs="Arial"/>
          <w:i/>
          <w:iCs/>
          <w:lang w:eastAsia="es-CO"/>
        </w:rPr>
        <w:t>ibidem</w:t>
      </w:r>
      <w:r w:rsidRPr="00350B3A">
        <w:rPr>
          <w:rFonts w:ascii="Verdana" w:eastAsia="Times New Roman" w:hAnsi="Verdana" w:cs="Arial"/>
          <w:lang w:eastAsia="es-CO"/>
        </w:rPr>
        <w:t>, ind</w:t>
      </w:r>
      <w:r w:rsidRPr="008974F7">
        <w:rPr>
          <w:rFonts w:ascii="Verdana" w:eastAsia="Times New Roman" w:hAnsi="Verdana" w:cs="Arial"/>
          <w:lang w:eastAsia="es-CO"/>
        </w:rPr>
        <w:t>ependientemente de que se configure alguno de los supuestos de excepción que señaló el inciso final del artículo 33, es decir, que se trate de:</w:t>
      </w:r>
      <w:r w:rsidRPr="00CA1CB0">
        <w:rPr>
          <w:rFonts w:ascii="Verdana" w:hAnsi="Verdana" w:cs="Arial"/>
          <w:bCs/>
          <w:lang w:val="es-MX" w:eastAsia="x-none"/>
        </w:rPr>
        <w:t xml:space="preserve"> i) la defensa y seguridad del Estado; </w:t>
      </w:r>
      <w:proofErr w:type="spellStart"/>
      <w:r w:rsidRPr="00CA1CB0">
        <w:rPr>
          <w:rFonts w:ascii="Verdana" w:hAnsi="Verdana" w:cs="Arial"/>
          <w:bCs/>
          <w:lang w:val="es-MX" w:eastAsia="x-none"/>
        </w:rPr>
        <w:t>ii</w:t>
      </w:r>
      <w:proofErr w:type="spellEnd"/>
      <w:r w:rsidRPr="00CA1CB0">
        <w:rPr>
          <w:rFonts w:ascii="Verdana" w:hAnsi="Verdana" w:cs="Arial"/>
          <w:bCs/>
          <w:lang w:val="es-MX" w:eastAsia="x-none"/>
        </w:rPr>
        <w:t xml:space="preserve">) los contratos de crédito público; </w:t>
      </w:r>
      <w:proofErr w:type="spellStart"/>
      <w:r w:rsidRPr="00CA1CB0">
        <w:rPr>
          <w:rFonts w:ascii="Verdana" w:hAnsi="Verdana" w:cs="Arial"/>
          <w:bCs/>
          <w:lang w:val="es-MX" w:eastAsia="x-none"/>
        </w:rPr>
        <w:t>iii</w:t>
      </w:r>
      <w:proofErr w:type="spellEnd"/>
      <w:r w:rsidRPr="00CA1CB0">
        <w:rPr>
          <w:rFonts w:ascii="Verdana" w:hAnsi="Verdana" w:cs="Arial"/>
          <w:bCs/>
          <w:lang w:val="es-MX" w:eastAsia="x-none"/>
        </w:rPr>
        <w:t xml:space="preserve">) los requeridos para cubrir las emergencias educativas, sanitarias y desastres; </w:t>
      </w:r>
      <w:proofErr w:type="spellStart"/>
      <w:r w:rsidRPr="00CA1CB0">
        <w:rPr>
          <w:rFonts w:ascii="Verdana" w:hAnsi="Verdana" w:cs="Arial"/>
          <w:bCs/>
          <w:lang w:val="es-MX" w:eastAsia="x-none"/>
        </w:rPr>
        <w:t>iv</w:t>
      </w:r>
      <w:proofErr w:type="spellEnd"/>
      <w:r w:rsidRPr="00CA1CB0">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CA1CB0">
        <w:rPr>
          <w:rFonts w:ascii="Verdana" w:hAnsi="Verdana" w:cs="Arial"/>
          <w:bCs/>
          <w:lang w:val="es-MX" w:eastAsia="es-CO"/>
        </w:rPr>
        <w:t xml:space="preserve"> </w:t>
      </w:r>
      <w:r w:rsidR="00F3590A">
        <w:rPr>
          <w:rFonts w:ascii="Verdana" w:eastAsia="Times New Roman" w:hAnsi="Verdana" w:cs="Arial"/>
          <w:lang w:val="es-MX" w:eastAsia="es-CO"/>
        </w:rPr>
        <w:t xml:space="preserve">Esto como quiero que, </w:t>
      </w:r>
      <w:r w:rsidR="00F3590A" w:rsidRPr="00D45399">
        <w:rPr>
          <w:rFonts w:ascii="Verdana" w:eastAsia="Times New Roman" w:hAnsi="Verdana" w:cs="Arial"/>
          <w:lang w:eastAsia="es-CO"/>
        </w:rPr>
        <w:t>las excepciones son de reserva legal, tampoco son disponibles por las partes al suscribir el negocio jurídico, por lo que no existe justificación alguna para desconocer la prohibición.</w:t>
      </w:r>
    </w:p>
    <w:p w14:paraId="13146D15" w14:textId="77777777" w:rsidR="00A63F2E" w:rsidRPr="00916A06" w:rsidRDefault="00A63F2E" w:rsidP="00A63F2E">
      <w:pPr>
        <w:spacing w:before="120" w:after="120" w:line="276" w:lineRule="auto"/>
        <w:ind w:firstLine="709"/>
        <w:jc w:val="both"/>
        <w:rPr>
          <w:rFonts w:ascii="Verdana" w:eastAsia="Times New Roman" w:hAnsi="Verdana" w:cs="Arial"/>
          <w:color w:val="1A1A1A"/>
          <w:lang w:eastAsia="es-ES_tradnl"/>
        </w:rPr>
      </w:pPr>
      <w:r w:rsidRPr="00916A06">
        <w:rPr>
          <w:rFonts w:ascii="Verdana" w:eastAsia="Times New Roman" w:hAnsi="Verdana" w:cs="Arial"/>
          <w:color w:val="1A1A1A"/>
          <w:lang w:eastAsia="es-ES_tradnl"/>
        </w:rPr>
        <w:t>A partir de las consideraciones precedentes, resulta relevante precisar que la restricción prevista en el parágrafo del artículo 38 de la Ley 996 de 2005 se activa a partir de la concurrencia de los supuestos subjetivos definidos de manera expresa por el legislador, de modo que su aplicación no depende de la naturaleza jurídica, del régimen contractual ni de la forma de organización administrativa de todas las entidades que intervienen en el convenio interadministrativo. En efecto, basta con que una de las partes ostente la calidad de gobernador, alcalde, secretario, gerente o director de una entidad del orden municipal, departamental o distrital, para que la prohibición resulte aplicable, siempre que se cumplan los demás presupuestos normativos.</w:t>
      </w:r>
    </w:p>
    <w:p w14:paraId="3C9BBC24" w14:textId="3787D224" w:rsidR="00A63F2E" w:rsidRPr="008F7EF1" w:rsidRDefault="00A63F2E" w:rsidP="008F7EF1">
      <w:pPr>
        <w:spacing w:before="120" w:after="120" w:line="276" w:lineRule="auto"/>
        <w:ind w:firstLine="709"/>
        <w:jc w:val="both"/>
        <w:rPr>
          <w:rFonts w:ascii="Verdana" w:eastAsia="Times New Roman" w:hAnsi="Verdana" w:cs="Arial"/>
          <w:color w:val="1A1A1A"/>
          <w:lang w:eastAsia="es-ES_tradnl"/>
        </w:rPr>
      </w:pPr>
      <w:r w:rsidRPr="00916A06">
        <w:rPr>
          <w:rFonts w:ascii="Verdana" w:eastAsia="Times New Roman" w:hAnsi="Verdana" w:cs="Arial"/>
          <w:color w:val="1A1A1A"/>
          <w:lang w:eastAsia="es-ES_tradnl"/>
        </w:rPr>
        <w:t xml:space="preserve">En este sentido, el análisis sobre la procedencia de la restricción no debe centrarse en la denominación del instrumento jurídico ni en el régimen normativo que rige la actividad contractual de las entidades intervinientes, sino en la verificación objetiva de los elementos definidos por la ley, particularmente la tipología negocial y la calidad de los sujetos que concurren en su celebración. </w:t>
      </w:r>
    </w:p>
    <w:p w14:paraId="6850383F" w14:textId="1F06295F" w:rsidR="00CC0BB1" w:rsidRPr="008F7EF1" w:rsidRDefault="00CC0BB1" w:rsidP="008F7EF1">
      <w:pPr>
        <w:autoSpaceDE w:val="0"/>
        <w:autoSpaceDN w:val="0"/>
        <w:adjustRightInd w:val="0"/>
        <w:spacing w:after="0" w:line="276" w:lineRule="auto"/>
        <w:ind w:firstLine="708"/>
        <w:jc w:val="both"/>
        <w:rPr>
          <w:rFonts w:ascii="Verdana" w:hAnsi="Verdana" w:cs="BCDHEE+Verdana"/>
          <w:color w:val="000000"/>
        </w:rPr>
      </w:pPr>
      <w:r w:rsidRPr="00947721">
        <w:rPr>
          <w:rFonts w:ascii="Verdana" w:hAnsi="Verdana" w:cs="BCDHEE+Verdana"/>
          <w:color w:val="000000"/>
        </w:rPr>
        <w:t>Finalmente, sobre las fechas en que aplica</w:t>
      </w:r>
      <w:r w:rsidR="0090031E">
        <w:rPr>
          <w:rFonts w:ascii="Verdana" w:hAnsi="Verdana" w:cs="BCDHEE+Verdana"/>
          <w:color w:val="000000"/>
        </w:rPr>
        <w:t xml:space="preserve"> esta restricción</w:t>
      </w:r>
      <w:r w:rsidRPr="00947721">
        <w:rPr>
          <w:rFonts w:ascii="Verdana" w:hAnsi="Verdana" w:cs="BCDHEE+Verdana"/>
          <w:color w:val="000000"/>
        </w:rPr>
        <w:t xml:space="preserve"> la Ley de </w:t>
      </w:r>
      <w:r>
        <w:rPr>
          <w:rFonts w:ascii="Verdana" w:hAnsi="Verdana" w:cs="BCDHEE+Verdana"/>
          <w:color w:val="000000"/>
        </w:rPr>
        <w:t>G</w:t>
      </w:r>
      <w:r w:rsidRPr="00F44D6F">
        <w:rPr>
          <w:rFonts w:ascii="Verdana" w:hAnsi="Verdana" w:cs="BCDHEE+Verdana"/>
          <w:color w:val="000000"/>
        </w:rPr>
        <w:t>arantías</w:t>
      </w:r>
      <w:r>
        <w:rPr>
          <w:rFonts w:ascii="Verdana" w:hAnsi="Verdana" w:cs="BCDHEE+Verdana"/>
          <w:color w:val="000000"/>
        </w:rPr>
        <w:t xml:space="preserve"> Electorales</w:t>
      </w:r>
      <w:r w:rsidRPr="00947721">
        <w:rPr>
          <w:rFonts w:ascii="Verdana" w:hAnsi="Verdana" w:cs="BCDHEE+Verdana"/>
          <w:color w:val="000000"/>
        </w:rPr>
        <w:t>, se debe tener en cuenta que el Consejo Nacional Electoral</w:t>
      </w:r>
      <w:r w:rsidR="0090031E">
        <w:rPr>
          <w:rFonts w:ascii="Verdana" w:hAnsi="Verdana" w:cs="BCDHEE+Verdana"/>
          <w:color w:val="000000"/>
        </w:rPr>
        <w:t>,</w:t>
      </w:r>
      <w:r w:rsidRPr="00947721">
        <w:rPr>
          <w:rFonts w:ascii="Verdana" w:hAnsi="Verdana" w:cs="BCDHEE+Verdana"/>
          <w:color w:val="000000"/>
        </w:rPr>
        <w:t xml:space="preserve"> mediante Resolución No. 2581 del 5 de marzo de 2025</w:t>
      </w:r>
      <w:r w:rsidR="0090031E">
        <w:rPr>
          <w:rFonts w:ascii="Verdana" w:hAnsi="Verdana" w:cs="BCDHEE+Verdana"/>
          <w:color w:val="000000"/>
        </w:rPr>
        <w:t>,</w:t>
      </w:r>
      <w:r w:rsidRPr="00947721">
        <w:rPr>
          <w:rFonts w:ascii="Verdana" w:hAnsi="Verdana" w:cs="BCDHEE+Verdana"/>
          <w:color w:val="000000"/>
        </w:rPr>
        <w:t xml:space="preserve"> fijó el calendario electoral para las elecciones al Congreso de la República que serán el 8 de marzo de 2026</w:t>
      </w:r>
      <w:r>
        <w:rPr>
          <w:rFonts w:ascii="Verdana" w:hAnsi="Verdana" w:cs="BCDHEE+Verdana"/>
          <w:color w:val="000000"/>
        </w:rPr>
        <w:t>. E</w:t>
      </w:r>
      <w:r w:rsidRPr="00947721">
        <w:rPr>
          <w:rFonts w:ascii="Verdana" w:hAnsi="Verdana" w:cs="BCDHEE+Verdana"/>
          <w:color w:val="000000"/>
        </w:rPr>
        <w:t xml:space="preserve">n esa medida, de acuerdo con el artículo 38 de la Ley 996 de 2005, </w:t>
      </w:r>
      <w:r w:rsidRPr="00947721">
        <w:rPr>
          <w:rFonts w:ascii="Verdana" w:hAnsi="Verdana" w:cs="BCDHEE+Verdana"/>
          <w:color w:val="000000"/>
        </w:rPr>
        <w:lastRenderedPageBreak/>
        <w:t>la restricción inici</w:t>
      </w:r>
      <w:r>
        <w:rPr>
          <w:rFonts w:ascii="Verdana" w:hAnsi="Verdana" w:cs="BCDHEE+Verdana"/>
          <w:color w:val="000000"/>
        </w:rPr>
        <w:t>ó</w:t>
      </w:r>
      <w:r w:rsidRPr="00947721">
        <w:rPr>
          <w:rFonts w:ascii="Verdana" w:hAnsi="Verdana" w:cs="BCDHEE+Verdana"/>
          <w:color w:val="000000"/>
        </w:rPr>
        <w:t xml:space="preserve"> el 8 de noviembre de 2025, es decir, </w:t>
      </w:r>
      <w:r>
        <w:rPr>
          <w:rFonts w:ascii="Verdana" w:hAnsi="Verdana" w:cs="BCDHEE+Verdana"/>
          <w:color w:val="000000"/>
        </w:rPr>
        <w:t>cuatro (</w:t>
      </w:r>
      <w:r w:rsidRPr="00947721">
        <w:rPr>
          <w:rFonts w:ascii="Verdana" w:hAnsi="Verdana" w:cs="BCDHEE+Verdana"/>
          <w:color w:val="000000"/>
        </w:rPr>
        <w:t>4</w:t>
      </w:r>
      <w:r>
        <w:rPr>
          <w:rFonts w:ascii="Verdana" w:hAnsi="Verdana" w:cs="BCDHEE+Verdana"/>
          <w:color w:val="000000"/>
        </w:rPr>
        <w:t>)</w:t>
      </w:r>
      <w:r w:rsidRPr="00947721">
        <w:rPr>
          <w:rFonts w:ascii="Verdana" w:hAnsi="Verdana" w:cs="BCDHEE+Verdana"/>
          <w:color w:val="000000"/>
        </w:rPr>
        <w:t xml:space="preserve"> meses antes de la fecha de las elecciones, y las restricciones que se aplican son que prohíbe a los gobernadores, alcaldes municipales o distritales, secretarios, gerentes y directores de entidades descentralizadas del orden municipal, departamental o distrital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344B5CD8" w14:textId="77777777" w:rsidR="0090031E" w:rsidRDefault="0090031E" w:rsidP="008F7EF1">
      <w:pPr>
        <w:spacing w:after="0" w:line="276" w:lineRule="auto"/>
        <w:jc w:val="both"/>
        <w:rPr>
          <w:rFonts w:ascii="Verdana" w:eastAsia="Calibri" w:hAnsi="Verdana" w:cs="Arial"/>
          <w:bCs/>
          <w:color w:val="000000" w:themeColor="text1"/>
        </w:rPr>
      </w:pPr>
    </w:p>
    <w:p w14:paraId="040B132D" w14:textId="37C15F31" w:rsidR="000E7548" w:rsidRDefault="0090031E" w:rsidP="0090031E">
      <w:pPr>
        <w:spacing w:after="120" w:line="276" w:lineRule="auto"/>
        <w:jc w:val="both"/>
        <w:rPr>
          <w:rFonts w:ascii="Verdana" w:eastAsia="Calibri" w:hAnsi="Verdana" w:cs="Arial"/>
          <w:bCs/>
          <w:color w:val="000000" w:themeColor="text1"/>
        </w:rPr>
      </w:pPr>
      <w:proofErr w:type="spellStart"/>
      <w:r>
        <w:rPr>
          <w:rFonts w:ascii="Verdana" w:eastAsia="Calibri" w:hAnsi="Verdana" w:cs="Arial"/>
          <w:bCs/>
          <w:color w:val="000000" w:themeColor="text1"/>
        </w:rPr>
        <w:t>iv</w:t>
      </w:r>
      <w:proofErr w:type="spellEnd"/>
      <w:r>
        <w:rPr>
          <w:rFonts w:ascii="Verdana" w:eastAsia="Calibri" w:hAnsi="Verdana" w:cs="Arial"/>
          <w:bCs/>
          <w:color w:val="000000" w:themeColor="text1"/>
        </w:rPr>
        <w:t xml:space="preserve">. </w:t>
      </w:r>
      <w:r w:rsidR="000E7548">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7EB60B1" w14:textId="77777777" w:rsidR="000E7548" w:rsidRDefault="000E7548" w:rsidP="000E7548">
      <w:pPr>
        <w:spacing w:after="0" w:line="276" w:lineRule="auto"/>
        <w:ind w:firstLine="708"/>
        <w:jc w:val="both"/>
        <w:rPr>
          <w:rFonts w:ascii="Verdana" w:eastAsia="Calibri" w:hAnsi="Verdana" w:cs="Arial"/>
          <w:bCs/>
          <w:color w:val="000000" w:themeColor="text1"/>
        </w:rPr>
      </w:pPr>
      <w:r>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1ACD046B" w14:textId="77777777" w:rsidR="00A14BFB" w:rsidRPr="00593A5F" w:rsidRDefault="00A14BFB" w:rsidP="00A14BFB">
      <w:pPr>
        <w:widowControl w:val="0"/>
        <w:autoSpaceDE w:val="0"/>
        <w:autoSpaceDN w:val="0"/>
        <w:spacing w:after="0" w:line="276" w:lineRule="auto"/>
        <w:jc w:val="both"/>
        <w:rPr>
          <w:rFonts w:ascii="Verdana" w:hAnsi="Verdana" w:cs="Arial"/>
        </w:rPr>
      </w:pPr>
    </w:p>
    <w:p w14:paraId="462F458D" w14:textId="77777777" w:rsidR="00A14BFB" w:rsidRPr="00593A5F" w:rsidRDefault="00A14BFB" w:rsidP="00A14BF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1E8C1368" w14:textId="77777777" w:rsidR="00A14BFB" w:rsidRPr="00593A5F" w:rsidRDefault="00A14BFB" w:rsidP="00A14BFB">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14BFB" w:rsidRPr="00593A5F" w14:paraId="6232B61C" w14:textId="77777777" w:rsidTr="229873FA">
        <w:trPr>
          <w:trHeight w:val="870"/>
        </w:trPr>
        <w:tc>
          <w:tcPr>
            <w:tcW w:w="8647" w:type="dxa"/>
          </w:tcPr>
          <w:p w14:paraId="5D34AF7F" w14:textId="0345FDE5" w:rsidR="00350B3A" w:rsidRPr="00EB3E6F" w:rsidRDefault="00350B3A" w:rsidP="00350B3A">
            <w:pPr>
              <w:widowControl w:val="0"/>
              <w:numPr>
                <w:ilvl w:val="0"/>
                <w:numId w:val="17"/>
              </w:numPr>
              <w:autoSpaceDE w:val="0"/>
              <w:autoSpaceDN w:val="0"/>
              <w:spacing w:line="276" w:lineRule="auto"/>
              <w:jc w:val="both"/>
              <w:rPr>
                <w:rFonts w:ascii="Verdana" w:hAnsi="Verdana" w:cs="Arial"/>
              </w:rPr>
            </w:pPr>
            <w:r w:rsidRPr="00EB3E6F">
              <w:rPr>
                <w:rFonts w:ascii="Verdana" w:hAnsi="Verdana" w:cs="Arial"/>
              </w:rPr>
              <w:t xml:space="preserve">Ley 996 de 2005, artículo 33 </w:t>
            </w:r>
            <w:r w:rsidR="00CA1CB0" w:rsidRPr="00EB3E6F">
              <w:rPr>
                <w:rFonts w:ascii="Verdana" w:hAnsi="Verdana" w:cs="Arial"/>
              </w:rPr>
              <w:t xml:space="preserve">y </w:t>
            </w:r>
            <w:r w:rsidRPr="00EB3E6F">
              <w:rPr>
                <w:rFonts w:ascii="Verdana" w:hAnsi="Verdana" w:cs="Arial"/>
              </w:rPr>
              <w:t>artículo 38 parágrafo</w:t>
            </w:r>
            <w:r w:rsidR="00CA1CB0" w:rsidRPr="00EB3E6F">
              <w:rPr>
                <w:rFonts w:ascii="Verdana" w:hAnsi="Verdana" w:cs="Arial"/>
              </w:rPr>
              <w:t>.</w:t>
            </w:r>
          </w:p>
          <w:p w14:paraId="493D9472" w14:textId="77777777" w:rsidR="00350B3A" w:rsidRPr="00EB3E6F" w:rsidRDefault="00350B3A" w:rsidP="00350B3A">
            <w:pPr>
              <w:widowControl w:val="0"/>
              <w:numPr>
                <w:ilvl w:val="0"/>
                <w:numId w:val="17"/>
              </w:numPr>
              <w:autoSpaceDE w:val="0"/>
              <w:autoSpaceDN w:val="0"/>
              <w:spacing w:line="276" w:lineRule="auto"/>
              <w:jc w:val="both"/>
              <w:rPr>
                <w:rFonts w:ascii="Verdana" w:hAnsi="Verdana" w:cs="Arial"/>
              </w:rPr>
            </w:pPr>
            <w:r w:rsidRPr="00EB3E6F">
              <w:rPr>
                <w:rFonts w:ascii="Verdana" w:hAnsi="Verdana" w:cs="Arial"/>
              </w:rPr>
              <w:t>Gaceta del Congreso de la República No. 71 del 2005.</w:t>
            </w:r>
          </w:p>
          <w:p w14:paraId="5A74B62D" w14:textId="77777777" w:rsidR="00350B3A" w:rsidRPr="00EB3E6F" w:rsidRDefault="00350B3A" w:rsidP="00350B3A">
            <w:pPr>
              <w:widowControl w:val="0"/>
              <w:numPr>
                <w:ilvl w:val="0"/>
                <w:numId w:val="17"/>
              </w:numPr>
              <w:autoSpaceDE w:val="0"/>
              <w:autoSpaceDN w:val="0"/>
              <w:spacing w:line="276" w:lineRule="auto"/>
              <w:jc w:val="both"/>
              <w:rPr>
                <w:rFonts w:ascii="Verdana" w:hAnsi="Verdana" w:cs="Arial"/>
              </w:rPr>
            </w:pPr>
            <w:r w:rsidRPr="00EB3E6F">
              <w:rPr>
                <w:rFonts w:ascii="Verdana" w:hAnsi="Verdana" w:cs="Arial"/>
              </w:rPr>
              <w:t>Corte Constitucional, Sentencia C- 1153 de 2005, M.P. Marco Gerardo Monroy Cabra.</w:t>
            </w:r>
          </w:p>
          <w:p w14:paraId="4A7DB13E" w14:textId="77777777" w:rsidR="00350B3A" w:rsidRPr="00EB3E6F" w:rsidRDefault="00350B3A" w:rsidP="00350B3A">
            <w:pPr>
              <w:widowControl w:val="0"/>
              <w:numPr>
                <w:ilvl w:val="0"/>
                <w:numId w:val="17"/>
              </w:numPr>
              <w:autoSpaceDE w:val="0"/>
              <w:autoSpaceDN w:val="0"/>
              <w:spacing w:line="276" w:lineRule="auto"/>
              <w:jc w:val="both"/>
              <w:rPr>
                <w:rFonts w:ascii="Verdana" w:hAnsi="Verdana" w:cs="Arial"/>
              </w:rPr>
            </w:pPr>
            <w:r w:rsidRPr="00EB3E6F">
              <w:rPr>
                <w:rFonts w:ascii="Verdana" w:hAnsi="Verdana" w:cs="Arial"/>
              </w:rPr>
              <w:t xml:space="preserve">Corte Constitucional. Sentencias: C-233 de 4 de abril de 2002, </w:t>
            </w:r>
            <w:r w:rsidRPr="00EB3E6F">
              <w:rPr>
                <w:rFonts w:ascii="Verdana" w:hAnsi="Verdana" w:cs="Arial"/>
              </w:rPr>
              <w:lastRenderedPageBreak/>
              <w:t>expediente: D-3704; C-551 de 9 de julio de 2003, expediente: CRF-001 de 9 de julio de 2003; C-652 de 5 de agosto de 2003, expediente: D-4330; C-353 de 20 de mayo de 2009, expediente: D-7518, C-541 de 30 de junio de 2010, expediente: DD7966; entre otras.</w:t>
            </w:r>
          </w:p>
          <w:p w14:paraId="530569A5" w14:textId="77777777" w:rsidR="00350B3A" w:rsidRPr="00EB3E6F" w:rsidRDefault="00350B3A" w:rsidP="00350B3A">
            <w:pPr>
              <w:widowControl w:val="0"/>
              <w:numPr>
                <w:ilvl w:val="0"/>
                <w:numId w:val="17"/>
              </w:numPr>
              <w:autoSpaceDE w:val="0"/>
              <w:autoSpaceDN w:val="0"/>
              <w:spacing w:line="276" w:lineRule="auto"/>
              <w:jc w:val="both"/>
              <w:rPr>
                <w:rFonts w:ascii="Verdana" w:hAnsi="Verdana" w:cs="Arial"/>
              </w:rPr>
            </w:pPr>
            <w:r w:rsidRPr="00EB3E6F">
              <w:rPr>
                <w:rFonts w:ascii="Verdana" w:hAnsi="Verdana" w:cs="Arial"/>
              </w:rPr>
              <w:t>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11B2BBC8" w14:textId="77777777" w:rsidR="00350B3A" w:rsidRPr="00EB3E6F" w:rsidRDefault="00350B3A" w:rsidP="00350B3A">
            <w:pPr>
              <w:widowControl w:val="0"/>
              <w:numPr>
                <w:ilvl w:val="0"/>
                <w:numId w:val="17"/>
              </w:numPr>
              <w:autoSpaceDE w:val="0"/>
              <w:autoSpaceDN w:val="0"/>
              <w:spacing w:line="276" w:lineRule="auto"/>
              <w:jc w:val="both"/>
              <w:rPr>
                <w:rFonts w:ascii="Verdana" w:hAnsi="Verdana" w:cs="Arial"/>
              </w:rPr>
            </w:pPr>
            <w:r w:rsidRPr="00EB3E6F">
              <w:rPr>
                <w:rFonts w:ascii="Verdana" w:hAnsi="Verdana" w:cs="Arial"/>
              </w:rPr>
              <w:t xml:space="preserve">Consejo de Estado, Sala de Consulta y Servicio Civil de fecha 24 de julio de 2013, radicado 2166, </w:t>
            </w:r>
            <w:proofErr w:type="gramStart"/>
            <w:r w:rsidRPr="00EB3E6F">
              <w:rPr>
                <w:rFonts w:ascii="Verdana" w:hAnsi="Verdana" w:cs="Arial"/>
              </w:rPr>
              <w:t>Consejero</w:t>
            </w:r>
            <w:proofErr w:type="gramEnd"/>
            <w:r w:rsidRPr="00EB3E6F">
              <w:rPr>
                <w:rFonts w:ascii="Verdana" w:hAnsi="Verdana" w:cs="Arial"/>
              </w:rPr>
              <w:t xml:space="preserve"> Ponente: Álvaro Namén Vargas.</w:t>
            </w:r>
          </w:p>
          <w:p w14:paraId="10DA9D29" w14:textId="77777777" w:rsidR="00350B3A" w:rsidRPr="00EB3E6F" w:rsidRDefault="00350B3A" w:rsidP="00350B3A">
            <w:pPr>
              <w:widowControl w:val="0"/>
              <w:numPr>
                <w:ilvl w:val="0"/>
                <w:numId w:val="17"/>
              </w:numPr>
              <w:autoSpaceDE w:val="0"/>
              <w:autoSpaceDN w:val="0"/>
              <w:spacing w:line="276" w:lineRule="auto"/>
              <w:jc w:val="both"/>
              <w:rPr>
                <w:rFonts w:ascii="Verdana" w:hAnsi="Verdana" w:cs="Arial"/>
              </w:rPr>
            </w:pPr>
            <w:r w:rsidRPr="00EB3E6F">
              <w:rPr>
                <w:rFonts w:ascii="Verdana" w:hAnsi="Verdana" w:cs="Arial"/>
              </w:rPr>
              <w:t>Consejo de Estado. Sala de Consulta y Servicio Civil. Concepto del 17 de febrero de 2015. C.P. William Zambrano Cetina. Radicación No. 11001-03-06-000-2015-00164-00(2269).</w:t>
            </w:r>
          </w:p>
          <w:p w14:paraId="2DCBD588" w14:textId="77777777" w:rsidR="00350B3A" w:rsidRPr="00EB3E6F" w:rsidRDefault="00350B3A" w:rsidP="00350B3A">
            <w:pPr>
              <w:widowControl w:val="0"/>
              <w:numPr>
                <w:ilvl w:val="0"/>
                <w:numId w:val="17"/>
              </w:numPr>
              <w:autoSpaceDE w:val="0"/>
              <w:autoSpaceDN w:val="0"/>
              <w:spacing w:line="276" w:lineRule="auto"/>
              <w:jc w:val="both"/>
              <w:rPr>
                <w:rFonts w:ascii="Verdana" w:hAnsi="Verdana" w:cs="Arial"/>
              </w:rPr>
            </w:pPr>
            <w:r w:rsidRPr="00EB3E6F">
              <w:rPr>
                <w:rFonts w:ascii="Verdana" w:hAnsi="Verdana" w:cs="Arial"/>
              </w:rPr>
              <w:t>Corte Constitucional, en la Sentencia C-1153 del 11 de noviembre de 2005 Magistrado Ponente Marco Gerardo Monroy Cabra</w:t>
            </w:r>
          </w:p>
          <w:p w14:paraId="7FCB9F9D" w14:textId="77777777" w:rsidR="00350B3A" w:rsidRPr="00EB3E6F" w:rsidRDefault="00350B3A" w:rsidP="00350B3A">
            <w:pPr>
              <w:widowControl w:val="0"/>
              <w:numPr>
                <w:ilvl w:val="0"/>
                <w:numId w:val="17"/>
              </w:numPr>
              <w:autoSpaceDE w:val="0"/>
              <w:autoSpaceDN w:val="0"/>
              <w:spacing w:line="276" w:lineRule="auto"/>
              <w:jc w:val="both"/>
              <w:rPr>
                <w:rFonts w:ascii="Verdana" w:hAnsi="Verdana" w:cs="Arial"/>
              </w:rPr>
            </w:pPr>
            <w:r w:rsidRPr="00EB3E6F">
              <w:rPr>
                <w:rFonts w:ascii="Verdana" w:hAnsi="Verdana" w:cs="Arial"/>
              </w:rPr>
              <w:t>Consejo de Estado. Sección Tercera. Sentencia de 3 de diciembre de 2007. Radicados: 24.715, 25.206, 25.409, 24.524, 27.834, 25.410, 26.105, 28.244, 31.447 -acumulados-”.</w:t>
            </w:r>
          </w:p>
          <w:p w14:paraId="41B748BD" w14:textId="77777777" w:rsidR="00350B3A" w:rsidRPr="00EB3E6F" w:rsidRDefault="00350B3A" w:rsidP="00350B3A">
            <w:pPr>
              <w:widowControl w:val="0"/>
              <w:numPr>
                <w:ilvl w:val="0"/>
                <w:numId w:val="17"/>
              </w:numPr>
              <w:autoSpaceDE w:val="0"/>
              <w:autoSpaceDN w:val="0"/>
              <w:spacing w:line="276" w:lineRule="auto"/>
              <w:jc w:val="both"/>
              <w:rPr>
                <w:rFonts w:ascii="Verdana" w:hAnsi="Verdana" w:cs="Arial"/>
              </w:rPr>
            </w:pPr>
            <w:r w:rsidRPr="00EB3E6F">
              <w:rPr>
                <w:rFonts w:ascii="Verdana" w:hAnsi="Verdana" w:cs="Arial"/>
              </w:rPr>
              <w:t xml:space="preserve">Consejo de Estado Sala de Consulta y Servicio Civil, Concepto 1712 de 2 de febrero de 2006. </w:t>
            </w:r>
          </w:p>
          <w:p w14:paraId="2F6E5A7F" w14:textId="77777777" w:rsidR="00350B3A" w:rsidRPr="00EB3E6F" w:rsidRDefault="00350B3A" w:rsidP="00350B3A">
            <w:pPr>
              <w:widowControl w:val="0"/>
              <w:numPr>
                <w:ilvl w:val="0"/>
                <w:numId w:val="17"/>
              </w:numPr>
              <w:autoSpaceDE w:val="0"/>
              <w:autoSpaceDN w:val="0"/>
              <w:spacing w:line="276" w:lineRule="auto"/>
              <w:jc w:val="both"/>
              <w:rPr>
                <w:rFonts w:ascii="Verdana" w:hAnsi="Verdana" w:cs="Arial"/>
              </w:rPr>
            </w:pPr>
            <w:r w:rsidRPr="00EB3E6F">
              <w:rPr>
                <w:rFonts w:ascii="Verdana" w:hAnsi="Verdana" w:cs="Arial"/>
              </w:rPr>
              <w:t>Consejo de Estado. Sala de Consulta y Servicio Civil. Concepto del 2 de septiembre de 2013. Radicación número: 11001-03-06-000-2013-00412-00 (2168). Consejero Ponente: Álvaro Namén Vargas.</w:t>
            </w:r>
          </w:p>
          <w:p w14:paraId="379279D4" w14:textId="77777777" w:rsidR="00350B3A" w:rsidRPr="00EB3E6F" w:rsidRDefault="00350B3A" w:rsidP="00350B3A">
            <w:pPr>
              <w:widowControl w:val="0"/>
              <w:numPr>
                <w:ilvl w:val="0"/>
                <w:numId w:val="17"/>
              </w:numPr>
              <w:autoSpaceDE w:val="0"/>
              <w:autoSpaceDN w:val="0"/>
              <w:spacing w:line="276" w:lineRule="auto"/>
              <w:jc w:val="both"/>
              <w:rPr>
                <w:rFonts w:ascii="Verdana" w:hAnsi="Verdana" w:cs="Arial"/>
              </w:rPr>
            </w:pPr>
            <w:r w:rsidRPr="00EB3E6F">
              <w:rPr>
                <w:rFonts w:ascii="Verdana" w:hAnsi="Verdana" w:cs="Arial"/>
              </w:rPr>
              <w:t>Consejo de Estado. Sala de Consulta y Servicio Civil, Concepto de 8 de mayo de 2018. Radicación Número: 11001-03-06-000-2018-00095-00(2382). Consejero Ponente: Álvaro Namén Vargas</w:t>
            </w:r>
          </w:p>
          <w:p w14:paraId="09587CA1" w14:textId="77777777" w:rsidR="00350B3A" w:rsidRPr="00EB3E6F" w:rsidRDefault="00350B3A" w:rsidP="00350B3A">
            <w:pPr>
              <w:widowControl w:val="0"/>
              <w:numPr>
                <w:ilvl w:val="0"/>
                <w:numId w:val="17"/>
              </w:numPr>
              <w:autoSpaceDE w:val="0"/>
              <w:autoSpaceDN w:val="0"/>
              <w:spacing w:line="276" w:lineRule="auto"/>
              <w:jc w:val="both"/>
              <w:rPr>
                <w:rFonts w:ascii="Verdana" w:hAnsi="Verdana" w:cs="Arial"/>
              </w:rPr>
            </w:pPr>
            <w:r w:rsidRPr="00EB3E6F">
              <w:rPr>
                <w:rFonts w:ascii="Verdana" w:hAnsi="Verdana" w:cs="Arial"/>
              </w:rPr>
              <w:t>artículo 860 del Código de Comercio</w:t>
            </w:r>
          </w:p>
          <w:p w14:paraId="22B1F253" w14:textId="77777777" w:rsidR="00350B3A" w:rsidRPr="00EB3E6F" w:rsidRDefault="00350B3A" w:rsidP="00350B3A">
            <w:pPr>
              <w:widowControl w:val="0"/>
              <w:numPr>
                <w:ilvl w:val="0"/>
                <w:numId w:val="17"/>
              </w:numPr>
              <w:autoSpaceDE w:val="0"/>
              <w:autoSpaceDN w:val="0"/>
              <w:spacing w:line="276" w:lineRule="auto"/>
              <w:jc w:val="both"/>
              <w:rPr>
                <w:rFonts w:ascii="Verdana" w:hAnsi="Verdana" w:cs="Arial"/>
              </w:rPr>
            </w:pPr>
            <w:r w:rsidRPr="00EB3E6F">
              <w:rPr>
                <w:rFonts w:ascii="Verdana" w:hAnsi="Verdana" w:cs="Arial"/>
              </w:rPr>
              <w:t xml:space="preserve">Consejo de Estado. Sala de Consulta y Servicio Civil. Concepto del 08 de mayo de 2018. </w:t>
            </w:r>
            <w:proofErr w:type="spellStart"/>
            <w:r w:rsidRPr="00EB3E6F">
              <w:rPr>
                <w:rFonts w:ascii="Verdana" w:hAnsi="Verdana" w:cs="Arial"/>
              </w:rPr>
              <w:t>Exp</w:t>
            </w:r>
            <w:proofErr w:type="spellEnd"/>
            <w:r w:rsidRPr="00EB3E6F">
              <w:rPr>
                <w:rFonts w:ascii="Verdana" w:hAnsi="Verdana" w:cs="Arial"/>
              </w:rPr>
              <w:t>. 2.382. C.P. Álvaro Namén Vargas.</w:t>
            </w:r>
          </w:p>
          <w:p w14:paraId="1FAA18B8" w14:textId="77777777" w:rsidR="00350B3A" w:rsidRPr="00EB3E6F" w:rsidRDefault="00350B3A" w:rsidP="00350B3A">
            <w:pPr>
              <w:widowControl w:val="0"/>
              <w:numPr>
                <w:ilvl w:val="0"/>
                <w:numId w:val="17"/>
              </w:numPr>
              <w:autoSpaceDE w:val="0"/>
              <w:autoSpaceDN w:val="0"/>
              <w:spacing w:line="276" w:lineRule="auto"/>
              <w:jc w:val="both"/>
              <w:rPr>
                <w:rFonts w:ascii="Verdana" w:hAnsi="Verdana" w:cs="Arial"/>
              </w:rPr>
            </w:pPr>
            <w:r w:rsidRPr="00EB3E6F">
              <w:rPr>
                <w:rFonts w:ascii="Verdana" w:hAnsi="Verdana" w:cs="Arial"/>
              </w:rPr>
              <w:t>Consejo de Estado. Sala de Consulta y Servicio Civil. Concepto de 20 de febrero de 2006. Radicación Número: 11001-03-06-000-2006-00026-00(1727). Consejero Ponente: Enrique José Arboleda Perdomo</w:t>
            </w:r>
          </w:p>
          <w:p w14:paraId="5B831805" w14:textId="22072611" w:rsidR="00350B3A" w:rsidRPr="00EB3E6F" w:rsidRDefault="00350B3A" w:rsidP="00350B3A">
            <w:pPr>
              <w:widowControl w:val="0"/>
              <w:numPr>
                <w:ilvl w:val="0"/>
                <w:numId w:val="17"/>
              </w:numPr>
              <w:autoSpaceDE w:val="0"/>
              <w:autoSpaceDN w:val="0"/>
              <w:spacing w:line="276" w:lineRule="auto"/>
              <w:jc w:val="both"/>
              <w:rPr>
                <w:rFonts w:ascii="Verdana" w:hAnsi="Verdana" w:cs="Arial"/>
              </w:rPr>
            </w:pPr>
            <w:r w:rsidRPr="00EB3E6F">
              <w:rPr>
                <w:rFonts w:ascii="Verdana" w:hAnsi="Verdana" w:cs="Arial"/>
              </w:rPr>
              <w:t xml:space="preserve">Consejo de Estado. Sala de Consulta y Servicio Civil. Concepto de 6 </w:t>
            </w:r>
            <w:r w:rsidRPr="00EB3E6F">
              <w:rPr>
                <w:rFonts w:ascii="Verdana" w:hAnsi="Verdana" w:cs="Arial"/>
              </w:rPr>
              <w:lastRenderedPageBreak/>
              <w:t>de abril de 2006. Radicación Número: 11001-03-06-000-2006-00038-00(1738). Consejero Ponente: Enrique José Arboleda Perdomo</w:t>
            </w:r>
            <w:r w:rsidR="726C4471" w:rsidRPr="00EB3E6F">
              <w:rPr>
                <w:rFonts w:ascii="Verdana" w:hAnsi="Verdana" w:cs="Arial"/>
              </w:rPr>
              <w:t>.</w:t>
            </w:r>
          </w:p>
          <w:p w14:paraId="4F3D551A" w14:textId="77777777" w:rsidR="00350B3A" w:rsidRPr="00EB3E6F" w:rsidRDefault="00350B3A" w:rsidP="00350B3A">
            <w:pPr>
              <w:widowControl w:val="0"/>
              <w:numPr>
                <w:ilvl w:val="0"/>
                <w:numId w:val="17"/>
              </w:numPr>
              <w:autoSpaceDE w:val="0"/>
              <w:autoSpaceDN w:val="0"/>
              <w:spacing w:line="276" w:lineRule="auto"/>
              <w:jc w:val="both"/>
              <w:rPr>
                <w:rFonts w:ascii="Verdana" w:hAnsi="Verdana" w:cs="Arial"/>
              </w:rPr>
            </w:pPr>
            <w:r w:rsidRPr="00EB3E6F">
              <w:rPr>
                <w:rFonts w:ascii="Verdana" w:hAnsi="Verdana" w:cs="Arial"/>
                <w:lang w:val="pt-BR"/>
              </w:rPr>
              <w:t xml:space="preserve">Corte Constitucional. Sentencia C-736 de 2007. </w:t>
            </w:r>
            <w:r w:rsidRPr="00EB3E6F">
              <w:rPr>
                <w:rFonts w:ascii="Verdana" w:hAnsi="Verdana" w:cs="Arial"/>
              </w:rPr>
              <w:t>C.P. Marco Gerardo Monroy Cabra</w:t>
            </w:r>
          </w:p>
          <w:p w14:paraId="7EF6A5C0" w14:textId="77777777" w:rsidR="00350B3A" w:rsidRPr="00EB3E6F" w:rsidRDefault="00350B3A" w:rsidP="00350B3A">
            <w:pPr>
              <w:widowControl w:val="0"/>
              <w:numPr>
                <w:ilvl w:val="0"/>
                <w:numId w:val="17"/>
              </w:numPr>
              <w:autoSpaceDE w:val="0"/>
              <w:autoSpaceDN w:val="0"/>
              <w:spacing w:line="276" w:lineRule="auto"/>
              <w:jc w:val="both"/>
              <w:rPr>
                <w:rFonts w:ascii="Verdana" w:hAnsi="Verdana" w:cs="Arial"/>
              </w:rPr>
            </w:pPr>
            <w:r w:rsidRPr="00EB3E6F">
              <w:rPr>
                <w:rFonts w:ascii="Verdana" w:hAnsi="Verdana" w:cs="Arial"/>
              </w:rPr>
              <w:t>Consejo de Estado -Sección Tercera-. Sentencia del 21 de febrero de 2025. Radicación Número: 68.280. CP: José Roberto Sáchica Méndez.</w:t>
            </w:r>
          </w:p>
          <w:p w14:paraId="5741B8C0" w14:textId="77777777" w:rsidR="00350B3A" w:rsidRPr="00EB3E6F" w:rsidRDefault="00350B3A" w:rsidP="00350B3A">
            <w:pPr>
              <w:widowControl w:val="0"/>
              <w:numPr>
                <w:ilvl w:val="0"/>
                <w:numId w:val="17"/>
              </w:numPr>
              <w:autoSpaceDE w:val="0"/>
              <w:autoSpaceDN w:val="0"/>
              <w:spacing w:line="276" w:lineRule="auto"/>
              <w:jc w:val="both"/>
              <w:rPr>
                <w:rFonts w:ascii="Verdana" w:hAnsi="Verdana" w:cs="Arial"/>
              </w:rPr>
            </w:pPr>
            <w:r w:rsidRPr="00EB3E6F">
              <w:rPr>
                <w:rFonts w:ascii="Verdana" w:hAnsi="Verdana" w:cs="Arial"/>
              </w:rPr>
              <w:t xml:space="preserve">Consejo de Estado, Sección Tercera. Auto del 4 de octubre de 2024. </w:t>
            </w:r>
            <w:proofErr w:type="spellStart"/>
            <w:r w:rsidRPr="00EB3E6F">
              <w:rPr>
                <w:rFonts w:ascii="Verdana" w:hAnsi="Verdana" w:cs="Arial"/>
              </w:rPr>
              <w:t>Exp</w:t>
            </w:r>
            <w:proofErr w:type="spellEnd"/>
            <w:r w:rsidRPr="00EB3E6F">
              <w:rPr>
                <w:rFonts w:ascii="Verdana" w:hAnsi="Verdana" w:cs="Arial"/>
              </w:rPr>
              <w:t>. 70.313. C.P: Fredy Ibarra Martínez.</w:t>
            </w:r>
          </w:p>
          <w:p w14:paraId="0F597D49" w14:textId="77777777" w:rsidR="00350B3A" w:rsidRPr="00EB3E6F" w:rsidRDefault="00350B3A" w:rsidP="00350B3A">
            <w:pPr>
              <w:widowControl w:val="0"/>
              <w:numPr>
                <w:ilvl w:val="0"/>
                <w:numId w:val="17"/>
              </w:numPr>
              <w:autoSpaceDE w:val="0"/>
              <w:autoSpaceDN w:val="0"/>
              <w:spacing w:line="276" w:lineRule="auto"/>
              <w:jc w:val="both"/>
              <w:rPr>
                <w:rFonts w:ascii="Verdana" w:hAnsi="Verdana" w:cs="Arial"/>
              </w:rPr>
            </w:pPr>
            <w:r w:rsidRPr="00EB3E6F">
              <w:rPr>
                <w:rFonts w:ascii="Verdana" w:hAnsi="Verdana" w:cs="Arial"/>
              </w:rPr>
              <w:t>Consejo de Estado. Sala de lo Contencioso Administrativo. Sección Tercera. Subsección B. 17 de octubre de 2025. Magistrado Ponente: Fredy Ibarra Martínez</w:t>
            </w:r>
          </w:p>
          <w:p w14:paraId="772823B2" w14:textId="77777777" w:rsidR="00350B3A" w:rsidRPr="00EB3E6F" w:rsidRDefault="00350B3A" w:rsidP="00350B3A">
            <w:pPr>
              <w:widowControl w:val="0"/>
              <w:numPr>
                <w:ilvl w:val="0"/>
                <w:numId w:val="17"/>
              </w:numPr>
              <w:autoSpaceDE w:val="0"/>
              <w:autoSpaceDN w:val="0"/>
              <w:spacing w:line="276" w:lineRule="auto"/>
              <w:jc w:val="both"/>
              <w:rPr>
                <w:rFonts w:ascii="Verdana" w:hAnsi="Verdana" w:cs="Arial"/>
              </w:rPr>
            </w:pPr>
            <w:r w:rsidRPr="00EB3E6F">
              <w:rPr>
                <w:rFonts w:ascii="Verdana" w:hAnsi="Verdana" w:cs="Arial"/>
              </w:rPr>
              <w:t>Circular Externa Única, numeral 16.2, versión 3 del 27 de diciembre de 2023</w:t>
            </w:r>
          </w:p>
          <w:p w14:paraId="2CDAD539" w14:textId="50628E11" w:rsidR="00A14BFB" w:rsidRPr="00763953" w:rsidRDefault="00350B3A" w:rsidP="00350B3A">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EB3E6F">
              <w:rPr>
                <w:rFonts w:ascii="Verdana" w:hAnsi="Verdana" w:cs="Arial"/>
              </w:rPr>
              <w:t>CLARO SOLAR, Luis. Explicaciones de derecho civil chileno y comparado. Volumen I. Tomo I. Santiago</w:t>
            </w:r>
            <w:r w:rsidRPr="229873FA">
              <w:rPr>
                <w:rFonts w:ascii="Verdana" w:hAnsi="Verdana" w:cs="Arial"/>
                <w:sz w:val="20"/>
                <w:szCs w:val="20"/>
              </w:rPr>
              <w:t>: Editorial Jurídica de Chile, 2013. p. 119. Énfasis dentro del texto.</w:t>
            </w:r>
            <w:r w:rsidR="00A14BFB" w:rsidRPr="229873FA">
              <w:rPr>
                <w:rFonts w:ascii="Verdana" w:hAnsi="Verdana" w:cs="Arial"/>
              </w:rPr>
              <w:t xml:space="preserve"> </w:t>
            </w:r>
          </w:p>
        </w:tc>
      </w:tr>
    </w:tbl>
    <w:p w14:paraId="4E81382C" w14:textId="77777777" w:rsidR="00A14BFB" w:rsidRPr="00593A5F" w:rsidRDefault="00A14BFB" w:rsidP="00A14BFB">
      <w:pPr>
        <w:widowControl w:val="0"/>
        <w:autoSpaceDE w:val="0"/>
        <w:autoSpaceDN w:val="0"/>
        <w:spacing w:after="0" w:line="276" w:lineRule="auto"/>
        <w:jc w:val="both"/>
        <w:rPr>
          <w:rFonts w:ascii="Verdana" w:hAnsi="Verdana" w:cs="Arial"/>
        </w:rPr>
      </w:pPr>
    </w:p>
    <w:p w14:paraId="4E54CE52" w14:textId="77777777" w:rsidR="00A14BFB" w:rsidRPr="00976FE3" w:rsidRDefault="00A14BFB" w:rsidP="00A14BF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76FE3">
        <w:rPr>
          <w:rFonts w:ascii="Verdana" w:eastAsia="Century Gothic" w:hAnsi="Verdana" w:cs="Century Gothic"/>
          <w:b/>
          <w:bCs/>
        </w:rPr>
        <w:t>Doctrina de la Agencia Nacional de Contratación Pública:</w:t>
      </w:r>
    </w:p>
    <w:p w14:paraId="493C7F9E" w14:textId="77777777" w:rsidR="009A4FF6" w:rsidRPr="00593A5F" w:rsidRDefault="009A4FF6" w:rsidP="009A4FF6">
      <w:pPr>
        <w:widowControl w:val="0"/>
        <w:autoSpaceDE w:val="0"/>
        <w:autoSpaceDN w:val="0"/>
        <w:spacing w:after="0" w:line="276" w:lineRule="auto"/>
        <w:jc w:val="both"/>
        <w:rPr>
          <w:rFonts w:ascii="Verdana" w:hAnsi="Verdana" w:cs="Arial"/>
        </w:rPr>
      </w:pPr>
    </w:p>
    <w:p w14:paraId="30F8B315" w14:textId="77777777" w:rsidR="009A4FF6" w:rsidRPr="00667CD6" w:rsidRDefault="009A4FF6" w:rsidP="009A4FF6">
      <w:pPr>
        <w:widowControl w:val="0"/>
        <w:autoSpaceDE w:val="0"/>
        <w:autoSpaceDN w:val="0"/>
        <w:spacing w:after="0" w:line="276" w:lineRule="auto"/>
        <w:jc w:val="both"/>
        <w:rPr>
          <w:rFonts w:ascii="Verdana" w:hAnsi="Verdana" w:cs="Arial"/>
          <w:shd w:val="clear" w:color="auto" w:fill="FFFFFF"/>
        </w:rPr>
      </w:pPr>
      <w:r w:rsidRPr="005D334E">
        <w:rPr>
          <w:rFonts w:ascii="Verdana" w:hAnsi="Verdana" w:cs="Arial"/>
          <w:shd w:val="clear" w:color="auto" w:fill="FFFFFF"/>
        </w:rPr>
        <w:t>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w:t>
      </w:r>
      <w:r>
        <w:rPr>
          <w:rFonts w:ascii="Verdana" w:hAnsi="Verdana" w:cs="Arial"/>
          <w:shd w:val="clear" w:color="auto" w:fill="FFFFFF"/>
        </w:rPr>
        <w:t>,</w:t>
      </w:r>
      <w:r w:rsidRPr="005D334E">
        <w:rPr>
          <w:rFonts w:ascii="Verdana" w:hAnsi="Verdana" w:cs="Arial"/>
          <w:shd w:val="clear" w:color="auto" w:fill="FFFFFF"/>
        </w:rPr>
        <w:t xml:space="preserve"> C-1430 del 12 de noviembre del 2025</w:t>
      </w:r>
      <w:r>
        <w:rPr>
          <w:rFonts w:ascii="Verdana" w:hAnsi="Verdana" w:cs="Arial"/>
          <w:shd w:val="clear" w:color="auto" w:fill="FFFFFF"/>
        </w:rPr>
        <w:t>, C-1661 del 22 de diciembre del 2025.</w:t>
      </w:r>
      <w:r w:rsidRPr="005D334E">
        <w:rPr>
          <w:rFonts w:ascii="Verdana" w:hAnsi="Verdana" w:cs="Arial"/>
          <w:shd w:val="clear" w:color="auto" w:fill="FFFFFF"/>
        </w:rPr>
        <w:t xml:space="preserve"> </w:t>
      </w:r>
      <w:r w:rsidRPr="005D334E">
        <w:rPr>
          <w:rFonts w:ascii="Verdana"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2" w:history="1">
        <w:r w:rsidRPr="005D334E">
          <w:rPr>
            <w:rFonts w:ascii="Verdana" w:hAnsi="Verdana" w:cs="Arial"/>
            <w:color w:val="0000FF"/>
            <w:u w:val="single"/>
            <w:shd w:val="clear" w:color="auto" w:fill="FFFFFF"/>
            <w:lang w:val="es-ES_tradnl"/>
          </w:rPr>
          <w:t>https://relatoria.colombiacompra.gov.co/busqueda/conceptos</w:t>
        </w:r>
      </w:hyperlink>
      <w:r w:rsidRPr="005D334E">
        <w:rPr>
          <w:rFonts w:ascii="Verdana" w:hAnsi="Verdana" w:cs="Arial"/>
          <w:shd w:val="clear" w:color="auto" w:fill="FFFFFF"/>
          <w:lang w:val="es-ES_tradnl"/>
        </w:rPr>
        <w:t>.</w:t>
      </w:r>
      <w:r w:rsidRPr="00667CD6">
        <w:rPr>
          <w:rFonts w:ascii="Verdana" w:hAnsi="Verdana" w:cs="Arial"/>
          <w:shd w:val="clear" w:color="auto" w:fill="FFFFFF"/>
          <w:lang w:val="es-ES_tradnl"/>
        </w:rPr>
        <w:t xml:space="preserve"> </w:t>
      </w:r>
      <w:r w:rsidRPr="00667CD6">
        <w:rPr>
          <w:rFonts w:ascii="Verdana" w:hAnsi="Verdana" w:cs="Arial"/>
          <w:color w:val="FF0000"/>
          <w:shd w:val="clear" w:color="auto" w:fill="FFFFFF"/>
          <w:lang w:val="es-ES_tradnl"/>
        </w:rPr>
        <w:t xml:space="preserve"> </w:t>
      </w:r>
    </w:p>
    <w:p w14:paraId="417C2EB8" w14:textId="77777777" w:rsidR="009A4FF6" w:rsidRDefault="009A4FF6" w:rsidP="00494D5D">
      <w:pPr>
        <w:spacing w:after="0" w:line="240" w:lineRule="auto"/>
        <w:jc w:val="both"/>
        <w:rPr>
          <w:rFonts w:ascii="Verdana" w:hAnsi="Verdana"/>
        </w:rPr>
      </w:pPr>
    </w:p>
    <w:p w14:paraId="54191B0A" w14:textId="77777777" w:rsidR="009A4FF6" w:rsidRPr="003E2460" w:rsidRDefault="009A4FF6" w:rsidP="009A4FF6">
      <w:pPr>
        <w:spacing w:after="0" w:line="240" w:lineRule="auto"/>
        <w:jc w:val="both"/>
        <w:rPr>
          <w:rFonts w:ascii="Verdana" w:hAnsi="Verdana"/>
        </w:rPr>
      </w:pPr>
      <w:r w:rsidRPr="003E2460">
        <w:rPr>
          <w:rFonts w:ascii="Verdana" w:hAnsi="Verdana"/>
        </w:rPr>
        <w:lastRenderedPageBreak/>
        <w:t xml:space="preserve">Por último, lo invitamos a seguirnos en las redes sociales en las cuales se difunde información institucional: </w:t>
      </w:r>
    </w:p>
    <w:p w14:paraId="622F326F" w14:textId="77777777" w:rsidR="009A4FF6" w:rsidRPr="003E2460" w:rsidRDefault="009A4FF6" w:rsidP="009A4FF6">
      <w:pPr>
        <w:spacing w:after="0" w:line="240" w:lineRule="auto"/>
        <w:jc w:val="both"/>
        <w:rPr>
          <w:rFonts w:ascii="Verdana" w:hAnsi="Verdana"/>
        </w:rPr>
      </w:pPr>
    </w:p>
    <w:p w14:paraId="47AECA6E" w14:textId="77777777" w:rsidR="009A4FF6" w:rsidRPr="003E2460" w:rsidRDefault="009A4FF6" w:rsidP="009A4FF6">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1798AC57" w14:textId="77777777" w:rsidR="009A4FF6" w:rsidRPr="003E2460" w:rsidRDefault="009A4FF6" w:rsidP="009A4FF6">
      <w:pPr>
        <w:spacing w:after="0" w:line="240" w:lineRule="auto"/>
        <w:jc w:val="both"/>
        <w:rPr>
          <w:rFonts w:ascii="Verdana" w:hAnsi="Verdana"/>
        </w:rPr>
      </w:pPr>
      <w:r w:rsidRPr="1F9252E4">
        <w:rPr>
          <w:rFonts w:ascii="Verdana" w:hAnsi="Verdana"/>
        </w:rPr>
        <w:t xml:space="preserve">Facebook: </w:t>
      </w:r>
      <w:proofErr w:type="spellStart"/>
      <w:r w:rsidRPr="1F9252E4">
        <w:rPr>
          <w:rStyle w:val="Hipervnculo"/>
          <w:rFonts w:ascii="Verdana" w:hAnsi="Verdana"/>
          <w:color w:val="4472C4" w:themeColor="accent1"/>
        </w:rPr>
        <w:t>ColombiaCompraEficiente</w:t>
      </w:r>
      <w:proofErr w:type="spellEnd"/>
    </w:p>
    <w:p w14:paraId="571838EE" w14:textId="77777777" w:rsidR="009A4FF6" w:rsidRPr="003E2460" w:rsidRDefault="009A4FF6" w:rsidP="009A4FF6">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574CEC8F" w14:textId="77777777" w:rsidR="009A4FF6" w:rsidRPr="00593A5F" w:rsidRDefault="009A4FF6" w:rsidP="009A4FF6">
      <w:pPr>
        <w:widowControl w:val="0"/>
        <w:autoSpaceDE w:val="0"/>
        <w:autoSpaceDN w:val="0"/>
        <w:spacing w:after="0" w:line="276" w:lineRule="auto"/>
        <w:jc w:val="both"/>
        <w:rPr>
          <w:rFonts w:ascii="Verdana" w:hAnsi="Verdana" w:cs="Arial"/>
        </w:rPr>
      </w:pPr>
    </w:p>
    <w:p w14:paraId="3D1C0B95" w14:textId="77777777" w:rsidR="009A4FF6" w:rsidRPr="00593A5F" w:rsidRDefault="009A4FF6" w:rsidP="009A4FF6">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7F5209A" w14:textId="77777777" w:rsidR="009A4FF6" w:rsidRPr="00593A5F" w:rsidRDefault="009A4FF6" w:rsidP="009A4FF6">
      <w:pPr>
        <w:widowControl w:val="0"/>
        <w:autoSpaceDE w:val="0"/>
        <w:autoSpaceDN w:val="0"/>
        <w:spacing w:after="0" w:line="276" w:lineRule="auto"/>
        <w:jc w:val="both"/>
        <w:rPr>
          <w:rFonts w:ascii="Verdana" w:hAnsi="Verdana" w:cs="Arial"/>
        </w:rPr>
      </w:pPr>
    </w:p>
    <w:p w14:paraId="11F0AD1C" w14:textId="77777777" w:rsidR="009A4FF6" w:rsidRPr="00593A5F" w:rsidRDefault="009A4FF6" w:rsidP="009A4FF6">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592DB3B5" w14:textId="0E6E0651" w:rsidR="009A4FF6" w:rsidRPr="00697AF7" w:rsidRDefault="00697AF7" w:rsidP="00697AF7">
      <w:pPr>
        <w:spacing w:line="276" w:lineRule="auto"/>
        <w:jc w:val="center"/>
        <w:rPr>
          <w:rFonts w:ascii="Verdana" w:hAnsi="Verdana" w:cs="Arial"/>
          <w:color w:val="000000"/>
          <w:lang w:eastAsia="es-CO"/>
        </w:rPr>
      </w:pPr>
      <w:r w:rsidRPr="00697AF7">
        <w:rPr>
          <w:rFonts w:ascii="Verdana" w:hAnsi="Verdana" w:cs="Arial"/>
          <w:noProof/>
          <w:color w:val="000000"/>
          <w:lang w:eastAsia="es-CO"/>
        </w:rPr>
        <w:drawing>
          <wp:inline distT="0" distB="0" distL="0" distR="0" wp14:anchorId="56A19E66" wp14:editId="41E82551">
            <wp:extent cx="3632826" cy="1438275"/>
            <wp:effectExtent l="0" t="0" r="6350" b="0"/>
            <wp:docPr id="1061883429"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883429" name="Imagen 2" descr="Texto&#10;&#10;El contenido generado por IA puede ser incorrecto."/>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39816" cy="1441042"/>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A4FF6" w:rsidRPr="000C0179" w14:paraId="4666EA59" w14:textId="77777777" w:rsidTr="00A60F77">
        <w:trPr>
          <w:trHeight w:val="315"/>
        </w:trPr>
        <w:tc>
          <w:tcPr>
            <w:tcW w:w="893" w:type="dxa"/>
            <w:vAlign w:val="center"/>
            <w:hideMark/>
          </w:tcPr>
          <w:p w14:paraId="49540ADC" w14:textId="77777777" w:rsidR="009A4FF6" w:rsidRPr="003751C7" w:rsidRDefault="009A4FF6" w:rsidP="00A60F77">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831672C" w14:textId="77777777" w:rsidR="009A4FF6" w:rsidRPr="000C0179" w:rsidRDefault="009A4FF6" w:rsidP="00A60F77">
            <w:pPr>
              <w:contextualSpacing/>
              <w:rPr>
                <w:rFonts w:ascii="Verdana" w:eastAsia="Arial" w:hAnsi="Verdana" w:cs="Arial"/>
                <w:sz w:val="16"/>
                <w:szCs w:val="16"/>
              </w:rPr>
            </w:pPr>
            <w:r w:rsidRPr="000C0179">
              <w:rPr>
                <w:rFonts w:ascii="Verdana" w:eastAsia="Arial" w:hAnsi="Verdana" w:cs="Arial"/>
                <w:sz w:val="16"/>
                <w:szCs w:val="16"/>
              </w:rPr>
              <w:t>Andrea Camila Polo Paz</w:t>
            </w:r>
          </w:p>
          <w:p w14:paraId="5A4FE73D" w14:textId="77777777" w:rsidR="009A4FF6" w:rsidRPr="000C0179" w:rsidRDefault="009A4FF6" w:rsidP="00A60F77">
            <w:pPr>
              <w:contextualSpacing/>
              <w:rPr>
                <w:rFonts w:ascii="Verdana" w:eastAsia="Arial" w:hAnsi="Verdana" w:cs="Arial"/>
                <w:sz w:val="16"/>
                <w:szCs w:val="16"/>
              </w:rPr>
            </w:pPr>
            <w:r w:rsidRPr="000C0179">
              <w:rPr>
                <w:rStyle w:val="normaltextrun"/>
                <w:rFonts w:ascii="Verdana" w:eastAsia="Arial" w:hAnsi="Verdana" w:cs="Arial"/>
                <w:sz w:val="16"/>
                <w:szCs w:val="16"/>
              </w:rPr>
              <w:t>Analista T02-1 de la Subdirección de Gestión Contractual</w:t>
            </w:r>
          </w:p>
        </w:tc>
      </w:tr>
      <w:tr w:rsidR="009A4FF6" w:rsidRPr="000C0179" w14:paraId="19698C37" w14:textId="77777777" w:rsidTr="00A60F77">
        <w:trPr>
          <w:trHeight w:val="330"/>
        </w:trPr>
        <w:tc>
          <w:tcPr>
            <w:tcW w:w="893" w:type="dxa"/>
            <w:vAlign w:val="center"/>
            <w:hideMark/>
          </w:tcPr>
          <w:p w14:paraId="75393457" w14:textId="77777777" w:rsidR="009A4FF6" w:rsidRPr="003751C7" w:rsidRDefault="009A4FF6" w:rsidP="00A60F77">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E99EFE8" w14:textId="106DB22C" w:rsidR="009A4FF6" w:rsidRPr="000C0179" w:rsidRDefault="009A4FF6" w:rsidP="00A60F77">
            <w:pPr>
              <w:pStyle w:val="paragraph"/>
              <w:spacing w:before="0" w:beforeAutospacing="0" w:after="0" w:afterAutospacing="0"/>
              <w:contextualSpacing/>
              <w:textAlignment w:val="baseline"/>
              <w:rPr>
                <w:rStyle w:val="normaltextrun"/>
                <w:rFonts w:ascii="Verdana" w:hAnsi="Verdana" w:cs="Arial"/>
                <w:sz w:val="16"/>
                <w:szCs w:val="16"/>
                <w:lang w:val="es-ES"/>
              </w:rPr>
            </w:pPr>
            <w:r w:rsidRPr="000C0179">
              <w:rPr>
                <w:rStyle w:val="normaltextrun"/>
                <w:rFonts w:ascii="Verdana" w:hAnsi="Verdana" w:cs="Arial"/>
                <w:sz w:val="16"/>
                <w:szCs w:val="16"/>
                <w:lang w:val="es-ES"/>
              </w:rPr>
              <w:t>Dian</w:t>
            </w:r>
            <w:r w:rsidR="00350B3A">
              <w:rPr>
                <w:rStyle w:val="normaltextrun"/>
                <w:rFonts w:ascii="Verdana" w:hAnsi="Verdana" w:cs="Arial"/>
                <w:sz w:val="16"/>
                <w:szCs w:val="16"/>
                <w:lang w:val="es-ES"/>
              </w:rPr>
              <w:t>a Lucia</w:t>
            </w:r>
            <w:r w:rsidRPr="000C0179">
              <w:rPr>
                <w:rStyle w:val="normaltextrun"/>
                <w:rFonts w:ascii="Verdana" w:hAnsi="Verdana" w:cs="Arial"/>
                <w:sz w:val="16"/>
                <w:szCs w:val="16"/>
                <w:lang w:val="es-ES"/>
              </w:rPr>
              <w:t xml:space="preserve"> Saavedra</w:t>
            </w:r>
            <w:r w:rsidR="00350B3A">
              <w:rPr>
                <w:rStyle w:val="normaltextrun"/>
                <w:rFonts w:ascii="Verdana" w:hAnsi="Verdana" w:cs="Arial"/>
                <w:sz w:val="16"/>
                <w:szCs w:val="16"/>
                <w:lang w:val="es-ES"/>
              </w:rPr>
              <w:t xml:space="preserve"> Castañeda</w:t>
            </w:r>
          </w:p>
          <w:p w14:paraId="62956C53" w14:textId="77777777" w:rsidR="009A4FF6" w:rsidRPr="000C0179" w:rsidRDefault="009A4FF6" w:rsidP="00A60F77">
            <w:pPr>
              <w:pStyle w:val="paragraph"/>
              <w:spacing w:before="0" w:beforeAutospacing="0" w:after="0" w:afterAutospacing="0"/>
              <w:contextualSpacing/>
              <w:textAlignment w:val="baseline"/>
              <w:rPr>
                <w:rFonts w:ascii="Verdana" w:hAnsi="Verdana" w:cs="Segoe UI"/>
                <w:sz w:val="16"/>
                <w:szCs w:val="16"/>
              </w:rPr>
            </w:pPr>
            <w:r w:rsidRPr="000C0179">
              <w:rPr>
                <w:rStyle w:val="normaltextrun"/>
                <w:rFonts w:ascii="Verdana" w:hAnsi="Verdana" w:cs="Arial"/>
                <w:sz w:val="16"/>
                <w:szCs w:val="16"/>
                <w:lang w:val="es-ES"/>
              </w:rPr>
              <w:t>Contratista de la Subdirección de Gestión Contractual</w:t>
            </w:r>
            <w:r w:rsidRPr="000C0179">
              <w:rPr>
                <w:rStyle w:val="eop"/>
                <w:rFonts w:ascii="Verdana" w:hAnsi="Verdana" w:cs="Arial"/>
                <w:sz w:val="16"/>
                <w:szCs w:val="16"/>
              </w:rPr>
              <w:t> </w:t>
            </w:r>
          </w:p>
        </w:tc>
      </w:tr>
      <w:tr w:rsidR="009A4FF6" w:rsidRPr="000C0179" w14:paraId="0949C429" w14:textId="77777777" w:rsidTr="00A60F77">
        <w:trPr>
          <w:trHeight w:val="300"/>
        </w:trPr>
        <w:tc>
          <w:tcPr>
            <w:tcW w:w="893" w:type="dxa"/>
            <w:vAlign w:val="center"/>
          </w:tcPr>
          <w:p w14:paraId="0134C837" w14:textId="77777777" w:rsidR="009A4FF6" w:rsidRPr="003751C7" w:rsidRDefault="009A4FF6" w:rsidP="00A60F77">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0F19C3A" w14:textId="77777777" w:rsidR="009A4FF6" w:rsidRPr="000C0179" w:rsidRDefault="009A4FF6" w:rsidP="00A60F77">
            <w:pPr>
              <w:contextualSpacing/>
              <w:rPr>
                <w:rFonts w:ascii="Verdana" w:eastAsia="Calibri" w:hAnsi="Verdana" w:cs="Arial"/>
                <w:sz w:val="16"/>
                <w:szCs w:val="16"/>
                <w:lang w:val="pt-BR" w:eastAsia="es-ES"/>
              </w:rPr>
            </w:pPr>
            <w:r w:rsidRPr="000C0179">
              <w:rPr>
                <w:rFonts w:ascii="Verdana" w:eastAsia="Calibri" w:hAnsi="Verdana" w:cs="Arial"/>
                <w:sz w:val="16"/>
                <w:szCs w:val="16"/>
                <w:lang w:val="pt-BR" w:eastAsia="es-ES"/>
              </w:rPr>
              <w:t xml:space="preserve">Carolina Quintero </w:t>
            </w:r>
            <w:proofErr w:type="spellStart"/>
            <w:r w:rsidRPr="000C0179">
              <w:rPr>
                <w:rFonts w:ascii="Verdana" w:eastAsia="Calibri" w:hAnsi="Verdana" w:cs="Arial"/>
                <w:sz w:val="16"/>
                <w:szCs w:val="16"/>
                <w:lang w:val="pt-BR" w:eastAsia="es-ES"/>
              </w:rPr>
              <w:t>Gacharná</w:t>
            </w:r>
            <w:proofErr w:type="spellEnd"/>
          </w:p>
          <w:p w14:paraId="30034A65" w14:textId="77777777" w:rsidR="009A4FF6" w:rsidRPr="000C0179" w:rsidRDefault="009A4FF6" w:rsidP="00A60F77">
            <w:pPr>
              <w:contextualSpacing/>
              <w:rPr>
                <w:rFonts w:ascii="Verdana" w:eastAsia="Calibri" w:hAnsi="Verdana" w:cs="Arial"/>
                <w:sz w:val="16"/>
                <w:szCs w:val="16"/>
                <w:lang w:val="pt-BR" w:eastAsia="es-ES"/>
              </w:rPr>
            </w:pPr>
            <w:r w:rsidRPr="000C0179">
              <w:rPr>
                <w:rFonts w:ascii="Verdana" w:eastAsia="Calibri" w:hAnsi="Verdana" w:cs="Arial"/>
                <w:sz w:val="16"/>
                <w:szCs w:val="16"/>
                <w:lang w:eastAsia="es-ES"/>
              </w:rPr>
              <w:t>Subdirectora</w:t>
            </w:r>
            <w:r w:rsidRPr="000C0179">
              <w:rPr>
                <w:rFonts w:ascii="Verdana" w:eastAsia="Calibri" w:hAnsi="Verdana" w:cs="Arial"/>
                <w:sz w:val="16"/>
                <w:szCs w:val="16"/>
                <w:lang w:val="pt-BR" w:eastAsia="es-ES"/>
              </w:rPr>
              <w:t xml:space="preserve"> de Gestión </w:t>
            </w:r>
            <w:proofErr w:type="spellStart"/>
            <w:r w:rsidRPr="000C0179">
              <w:rPr>
                <w:rFonts w:ascii="Verdana" w:eastAsia="Calibri" w:hAnsi="Verdana" w:cs="Arial"/>
                <w:sz w:val="16"/>
                <w:szCs w:val="16"/>
                <w:lang w:val="pt-BR" w:eastAsia="es-ES"/>
              </w:rPr>
              <w:t>Contractual</w:t>
            </w:r>
            <w:proofErr w:type="spellEnd"/>
            <w:r w:rsidRPr="000C0179">
              <w:rPr>
                <w:rFonts w:ascii="Verdana" w:eastAsia="Calibri" w:hAnsi="Verdana" w:cs="Arial"/>
                <w:sz w:val="16"/>
                <w:szCs w:val="16"/>
                <w:lang w:val="pt-BR" w:eastAsia="es-ES"/>
              </w:rPr>
              <w:t xml:space="preserve"> ANCP – CCE</w:t>
            </w:r>
          </w:p>
        </w:tc>
      </w:tr>
    </w:tbl>
    <w:p w14:paraId="6DF70699" w14:textId="77777777" w:rsidR="009A4FF6" w:rsidRPr="00593A5F" w:rsidRDefault="009A4FF6" w:rsidP="009A4FF6">
      <w:pPr>
        <w:spacing w:after="0" w:line="240" w:lineRule="auto"/>
        <w:rPr>
          <w:rFonts w:ascii="Verdana" w:eastAsia="Times New Roman" w:hAnsi="Verdana" w:cs="Arial"/>
          <w:sz w:val="24"/>
          <w:szCs w:val="24"/>
          <w:lang w:eastAsia="es-ES"/>
        </w:rPr>
      </w:pPr>
    </w:p>
    <w:bookmarkEnd w:id="0"/>
    <w:p w14:paraId="7BF82F23" w14:textId="77777777" w:rsidR="00763953" w:rsidRPr="003C5A81" w:rsidRDefault="00763953" w:rsidP="00590417">
      <w:pPr>
        <w:spacing w:after="120" w:line="276" w:lineRule="auto"/>
        <w:ind w:firstLine="709"/>
        <w:jc w:val="both"/>
        <w:rPr>
          <w:rFonts w:ascii="Verdana" w:hAnsi="Verdana" w:cs="Arial"/>
          <w:lang w:val="es-ES"/>
        </w:rPr>
      </w:pPr>
    </w:p>
    <w:sectPr w:rsidR="00763953" w:rsidRPr="003C5A81"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9B8B9C" w14:textId="77777777" w:rsidR="00B443FC" w:rsidRDefault="00B443FC" w:rsidP="004A1847">
      <w:pPr>
        <w:spacing w:after="0" w:line="240" w:lineRule="auto"/>
      </w:pPr>
      <w:r>
        <w:separator/>
      </w:r>
    </w:p>
  </w:endnote>
  <w:endnote w:type="continuationSeparator" w:id="0">
    <w:p w14:paraId="66BAF92F" w14:textId="77777777" w:rsidR="00B443FC" w:rsidRDefault="00B443F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panose1 w:val="00000000000000000000"/>
    <w:charset w:val="00"/>
    <w:family w:val="modern"/>
    <w:notTrueType/>
    <w:pitch w:val="variable"/>
    <w:sig w:usb0="A000002F" w:usb1="1000004A" w:usb2="00000000" w:usb3="00000000" w:csb0="00000193" w:csb1="00000000"/>
  </w:font>
  <w:font w:name="Geomanist">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BCDHEE+Verdana">
    <w:altName w:val="Verdana"/>
    <w:charset w:val="00"/>
    <w:family w:val="swiss"/>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386CD6" w14:textId="77777777" w:rsidR="00B443FC" w:rsidRDefault="00B443FC" w:rsidP="004A1847">
      <w:pPr>
        <w:spacing w:after="0" w:line="240" w:lineRule="auto"/>
      </w:pPr>
      <w:r>
        <w:separator/>
      </w:r>
    </w:p>
  </w:footnote>
  <w:footnote w:type="continuationSeparator" w:id="0">
    <w:p w14:paraId="150866A5" w14:textId="77777777" w:rsidR="00B443FC" w:rsidRDefault="00B443FC" w:rsidP="004A1847">
      <w:pPr>
        <w:spacing w:after="0" w:line="240" w:lineRule="auto"/>
      </w:pPr>
      <w:r>
        <w:continuationSeparator/>
      </w:r>
    </w:p>
  </w:footnote>
  <w:footnote w:id="1">
    <w:p w14:paraId="40A2F149" w14:textId="23B864B4" w:rsidR="009E5C9C" w:rsidRPr="000A1025" w:rsidRDefault="007B6593" w:rsidP="000A1025">
      <w:pPr>
        <w:pStyle w:val="Textonotapie"/>
        <w:ind w:firstLine="709"/>
        <w:jc w:val="both"/>
        <w:rPr>
          <w:rFonts w:ascii="Verdana" w:hAnsi="Verdana"/>
          <w:sz w:val="14"/>
          <w:szCs w:val="14"/>
          <w:lang w:val="es-419"/>
        </w:rPr>
      </w:pPr>
      <w:r w:rsidRPr="000A1025">
        <w:rPr>
          <w:rStyle w:val="Refdenotaalpie"/>
          <w:rFonts w:ascii="Verdana" w:hAnsi="Verdana"/>
          <w:sz w:val="14"/>
          <w:szCs w:val="14"/>
        </w:rPr>
        <w:footnoteRef/>
      </w:r>
      <w:r w:rsidRPr="000A1025">
        <w:rPr>
          <w:rFonts w:ascii="Verdana" w:hAnsi="Verdana"/>
          <w:sz w:val="14"/>
          <w:szCs w:val="14"/>
        </w:rPr>
        <w:t xml:space="preserve"> </w:t>
      </w:r>
      <w:r w:rsidR="009E5C9C" w:rsidRPr="000A1025">
        <w:rPr>
          <w:rFonts w:ascii="Verdana" w:hAnsi="Verdana" w:cs="Arial"/>
          <w:sz w:val="14"/>
          <w:szCs w:val="14"/>
        </w:rPr>
        <w:t>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11952F3C" w14:textId="460F5BB4" w:rsidR="007B6593" w:rsidRPr="000A1025" w:rsidRDefault="007B6593" w:rsidP="000A1025">
      <w:pPr>
        <w:pStyle w:val="Textonotapie"/>
        <w:tabs>
          <w:tab w:val="left" w:pos="1234"/>
        </w:tabs>
        <w:ind w:firstLine="709"/>
        <w:jc w:val="both"/>
        <w:rPr>
          <w:rFonts w:ascii="Verdana" w:hAnsi="Verdana"/>
          <w:sz w:val="14"/>
          <w:szCs w:val="14"/>
        </w:rPr>
      </w:pPr>
    </w:p>
  </w:footnote>
  <w:footnote w:id="2">
    <w:p w14:paraId="6E8D03C9" w14:textId="77777777" w:rsidR="007C52A9" w:rsidRPr="000A1025" w:rsidRDefault="007C52A9" w:rsidP="000A1025">
      <w:pPr>
        <w:pStyle w:val="Textonotapie"/>
        <w:ind w:firstLine="709"/>
        <w:jc w:val="both"/>
        <w:rPr>
          <w:rFonts w:ascii="Verdana" w:hAnsi="Verdana"/>
          <w:sz w:val="14"/>
          <w:szCs w:val="14"/>
          <w:lang w:val="es-419"/>
        </w:rPr>
      </w:pPr>
      <w:r w:rsidRPr="000A1025">
        <w:rPr>
          <w:rStyle w:val="Refdenotaalpie"/>
          <w:rFonts w:ascii="Verdana" w:hAnsi="Verdana"/>
          <w:sz w:val="14"/>
          <w:szCs w:val="14"/>
        </w:rPr>
        <w:footnoteRef/>
      </w:r>
      <w:r w:rsidRPr="000A1025">
        <w:rPr>
          <w:rFonts w:ascii="Verdana" w:hAnsi="Verdana"/>
          <w:sz w:val="14"/>
          <w:szCs w:val="14"/>
        </w:rPr>
        <w:t xml:space="preserve"> </w:t>
      </w:r>
      <w:r w:rsidRPr="000A1025">
        <w:rPr>
          <w:rFonts w:ascii="Verdana" w:hAnsi="Verdana" w:cs="Arial"/>
          <w:sz w:val="14"/>
          <w:szCs w:val="14"/>
        </w:rPr>
        <w:t>Consejo de Estado, Sala de lo Contencioso Administrativo, Sección Primera. Sentencia de 3 de marzo de 2005, expediente número 2004-00823-01(PI). Ver también, de la Sección Tercera. Sentencia de 22 de enero de 2002, expediente número 2001-0148-01 y, Sección Tercera.</w:t>
      </w:r>
    </w:p>
    <w:p w14:paraId="20D114B8" w14:textId="32D71867" w:rsidR="007C52A9" w:rsidRPr="000A1025" w:rsidRDefault="007C52A9" w:rsidP="000A1025">
      <w:pPr>
        <w:pStyle w:val="Textonotapie"/>
        <w:ind w:firstLine="709"/>
        <w:jc w:val="both"/>
        <w:rPr>
          <w:rFonts w:ascii="Verdana" w:hAnsi="Verdana"/>
          <w:sz w:val="14"/>
          <w:szCs w:val="14"/>
        </w:rPr>
      </w:pPr>
    </w:p>
  </w:footnote>
  <w:footnote w:id="3">
    <w:p w14:paraId="1E721F86" w14:textId="3639B6C9" w:rsidR="006E6212" w:rsidRDefault="006E6212" w:rsidP="00F3590A">
      <w:pPr>
        <w:pStyle w:val="Textonotapie"/>
        <w:ind w:firstLine="709"/>
        <w:jc w:val="both"/>
        <w:rPr>
          <w:rFonts w:ascii="Verdana" w:hAnsi="Verdana" w:cs="Arial"/>
          <w:sz w:val="14"/>
          <w:szCs w:val="14"/>
        </w:rPr>
      </w:pPr>
      <w:r w:rsidRPr="000A1025">
        <w:rPr>
          <w:rStyle w:val="Refdenotaalpie"/>
          <w:rFonts w:ascii="Verdana" w:hAnsi="Verdana"/>
          <w:sz w:val="14"/>
          <w:szCs w:val="14"/>
        </w:rPr>
        <w:footnoteRef/>
      </w:r>
      <w:r w:rsidRPr="000A1025">
        <w:rPr>
          <w:rFonts w:ascii="Verdana" w:hAnsi="Verdana"/>
          <w:sz w:val="14"/>
          <w:szCs w:val="14"/>
        </w:rPr>
        <w:t xml:space="preserve"> </w:t>
      </w:r>
      <w:r w:rsidR="0062118B" w:rsidRPr="000A1025">
        <w:rPr>
          <w:rFonts w:ascii="Verdana" w:hAnsi="Verdana"/>
          <w:sz w:val="14"/>
          <w:szCs w:val="14"/>
        </w:rPr>
        <w:t xml:space="preserve"> </w:t>
      </w:r>
      <w:r w:rsidR="0062118B" w:rsidRPr="000A1025">
        <w:rPr>
          <w:rFonts w:ascii="Verdana" w:hAnsi="Verdana" w:cs="Arial"/>
          <w:sz w:val="14"/>
          <w:szCs w:val="14"/>
        </w:rPr>
        <w:t xml:space="preserve">Consejo de Estado, Sala de Consulta y Servicio Civil de fecha 24 de julio de 2013, radicado 2166, Consejero Ponente: Álvaro Namén Vargas.  </w:t>
      </w:r>
    </w:p>
    <w:p w14:paraId="18136F3D" w14:textId="77777777" w:rsidR="00CA1CB0" w:rsidRPr="000A1025" w:rsidRDefault="00CA1CB0" w:rsidP="000A1025">
      <w:pPr>
        <w:pStyle w:val="Textonotapie"/>
        <w:ind w:firstLine="709"/>
        <w:jc w:val="both"/>
        <w:rPr>
          <w:sz w:val="14"/>
          <w:szCs w:val="14"/>
        </w:rPr>
      </w:pPr>
    </w:p>
  </w:footnote>
  <w:footnote w:id="4">
    <w:p w14:paraId="3AF43576" w14:textId="77777777" w:rsidR="00714DAA" w:rsidRPr="00A31F52" w:rsidRDefault="00A067C8" w:rsidP="00A31F52">
      <w:pPr>
        <w:spacing w:after="0" w:line="240" w:lineRule="auto"/>
        <w:ind w:firstLine="709"/>
        <w:jc w:val="both"/>
        <w:rPr>
          <w:rFonts w:ascii="Verdana" w:eastAsia="Times New Roman" w:hAnsi="Verdana" w:cs="Arial"/>
          <w:sz w:val="14"/>
          <w:szCs w:val="14"/>
        </w:rPr>
      </w:pPr>
      <w:r w:rsidRPr="00A31F52">
        <w:rPr>
          <w:rStyle w:val="Refdenotaalpie"/>
          <w:rFonts w:ascii="Verdana" w:hAnsi="Verdana"/>
          <w:sz w:val="14"/>
          <w:szCs w:val="14"/>
        </w:rPr>
        <w:footnoteRef/>
      </w:r>
      <w:r w:rsidRPr="00A31F52">
        <w:rPr>
          <w:rFonts w:ascii="Verdana" w:hAnsi="Verdana"/>
          <w:sz w:val="14"/>
          <w:szCs w:val="14"/>
        </w:rPr>
        <w:t xml:space="preserve"> </w:t>
      </w:r>
      <w:r w:rsidR="00714DAA" w:rsidRPr="00A31F52">
        <w:rPr>
          <w:rFonts w:ascii="Verdana" w:eastAsia="Calibri" w:hAnsi="Verdana" w:cs="Arial"/>
          <w:color w:val="000000"/>
          <w:sz w:val="14"/>
          <w:szCs w:val="14"/>
        </w:rPr>
        <w:t>“</w:t>
      </w:r>
      <w:bookmarkStart w:id="2" w:name="33"/>
      <w:r w:rsidR="00714DAA" w:rsidRPr="00A31F52">
        <w:rPr>
          <w:rFonts w:ascii="Verdana" w:eastAsia="Times New Roman" w:hAnsi="Verdana" w:cs="Arial"/>
          <w:sz w:val="14"/>
          <w:szCs w:val="14"/>
        </w:rPr>
        <w:t>Artículo 33. Restricciones a la contratación pública.</w:t>
      </w:r>
      <w:bookmarkEnd w:id="2"/>
      <w:r w:rsidR="00714DAA" w:rsidRPr="00A31F52">
        <w:rPr>
          <w:rFonts w:ascii="Verdana" w:eastAsia="Times New Roman" w:hAnsi="Verdana"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77A5907C" w14:textId="3C9F483C" w:rsidR="00A067C8" w:rsidRDefault="00714DAA" w:rsidP="00F3590A">
      <w:pPr>
        <w:spacing w:after="0" w:line="240" w:lineRule="auto"/>
        <w:ind w:firstLine="709"/>
        <w:jc w:val="both"/>
        <w:rPr>
          <w:rFonts w:ascii="Verdana" w:eastAsia="Times New Roman" w:hAnsi="Verdana" w:cs="Arial"/>
          <w:sz w:val="14"/>
          <w:szCs w:val="14"/>
        </w:rPr>
      </w:pPr>
      <w:r w:rsidRPr="00A31F52">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A31F52">
        <w:rPr>
          <w:rFonts w:ascii="Verdana" w:eastAsia="Calibri" w:hAnsi="Verdana" w:cs="Arial"/>
          <w:color w:val="000000"/>
          <w:sz w:val="14"/>
          <w:szCs w:val="14"/>
        </w:rPr>
        <w:t>”</w:t>
      </w:r>
      <w:r w:rsidRPr="00A31F52">
        <w:rPr>
          <w:rFonts w:ascii="Verdana" w:eastAsia="Times New Roman" w:hAnsi="Verdana" w:cs="Arial"/>
          <w:sz w:val="14"/>
          <w:szCs w:val="14"/>
        </w:rPr>
        <w:t>.</w:t>
      </w:r>
    </w:p>
    <w:p w14:paraId="45A2EDCE" w14:textId="77777777" w:rsidR="00CA1CB0" w:rsidRPr="00A31F52" w:rsidRDefault="00CA1CB0" w:rsidP="00A31F52">
      <w:pPr>
        <w:spacing w:after="0" w:line="240" w:lineRule="auto"/>
        <w:ind w:firstLine="709"/>
        <w:jc w:val="both"/>
        <w:rPr>
          <w:rFonts w:ascii="Verdana" w:eastAsia="Times New Roman" w:hAnsi="Verdana" w:cs="Arial"/>
          <w:sz w:val="14"/>
          <w:szCs w:val="14"/>
        </w:rPr>
      </w:pPr>
    </w:p>
  </w:footnote>
  <w:footnote w:id="5">
    <w:p w14:paraId="2EC42B19" w14:textId="77777777" w:rsidR="00842D40" w:rsidRPr="00A31F52" w:rsidRDefault="000827D0" w:rsidP="00A31F52">
      <w:pPr>
        <w:pStyle w:val="NormalWeb"/>
        <w:spacing w:before="0" w:beforeAutospacing="0" w:after="0" w:afterAutospacing="0"/>
        <w:ind w:firstLine="709"/>
        <w:jc w:val="both"/>
        <w:rPr>
          <w:rFonts w:ascii="Verdana" w:hAnsi="Verdana" w:cs="Arial"/>
          <w:sz w:val="14"/>
          <w:szCs w:val="14"/>
          <w:lang w:val="es-MX"/>
        </w:rPr>
      </w:pPr>
      <w:r w:rsidRPr="00A31F52">
        <w:rPr>
          <w:rStyle w:val="Refdenotaalpie"/>
          <w:rFonts w:ascii="Verdana" w:hAnsi="Verdana"/>
          <w:sz w:val="14"/>
          <w:szCs w:val="14"/>
        </w:rPr>
        <w:footnoteRef/>
      </w:r>
      <w:r w:rsidRPr="00A31F52">
        <w:rPr>
          <w:rFonts w:ascii="Verdana" w:hAnsi="Verdana"/>
          <w:sz w:val="14"/>
          <w:szCs w:val="14"/>
        </w:rPr>
        <w:t xml:space="preserve"> </w:t>
      </w:r>
      <w:r w:rsidR="00842D40" w:rsidRPr="00A31F52">
        <w:rPr>
          <w:rFonts w:ascii="Verdana" w:eastAsia="Calibri" w:hAnsi="Verdana" w:cs="Arial"/>
          <w:color w:val="000000"/>
          <w:sz w:val="14"/>
          <w:szCs w:val="14"/>
        </w:rPr>
        <w:t>“</w:t>
      </w:r>
      <w:bookmarkStart w:id="3" w:name="38"/>
      <w:r w:rsidR="00842D40" w:rsidRPr="00A31F52">
        <w:rPr>
          <w:rFonts w:ascii="Verdana" w:hAnsi="Verdana" w:cs="Arial"/>
          <w:sz w:val="14"/>
          <w:szCs w:val="14"/>
          <w:lang w:val="es-MX"/>
        </w:rPr>
        <w:t>Artículo 38. Prohibiciones para los servidores públicos. A los empleados del Estado les está prohibido:</w:t>
      </w:r>
      <w:bookmarkEnd w:id="3"/>
    </w:p>
    <w:p w14:paraId="36B622CB" w14:textId="77777777" w:rsidR="00842D40" w:rsidRPr="00A31F52" w:rsidRDefault="00842D40" w:rsidP="00A31F52">
      <w:pPr>
        <w:pStyle w:val="NormalWeb"/>
        <w:spacing w:before="0" w:beforeAutospacing="0" w:after="0" w:afterAutospacing="0"/>
        <w:ind w:firstLine="709"/>
        <w:jc w:val="both"/>
        <w:rPr>
          <w:rFonts w:ascii="Verdana" w:hAnsi="Verdana" w:cs="Arial"/>
          <w:sz w:val="14"/>
          <w:szCs w:val="14"/>
          <w:lang w:val="es-MX"/>
        </w:rPr>
      </w:pPr>
      <w:r w:rsidRPr="00A31F52">
        <w:rPr>
          <w:rFonts w:ascii="Verdana" w:hAnsi="Verdana" w:cs="Arial"/>
          <w:sz w:val="14"/>
          <w:szCs w:val="14"/>
          <w:lang w:val="es-MX"/>
        </w:rPr>
        <w:t>[…]</w:t>
      </w:r>
    </w:p>
    <w:p w14:paraId="164973FE" w14:textId="1689C0AB" w:rsidR="000827D0" w:rsidRDefault="00842D40" w:rsidP="00F3590A">
      <w:pPr>
        <w:pStyle w:val="NormalWeb"/>
        <w:spacing w:before="0" w:beforeAutospacing="0" w:after="0" w:afterAutospacing="0"/>
        <w:ind w:firstLine="709"/>
        <w:jc w:val="both"/>
        <w:rPr>
          <w:rFonts w:ascii="Verdana" w:hAnsi="Verdana" w:cs="Arial"/>
          <w:sz w:val="14"/>
          <w:szCs w:val="14"/>
          <w:lang w:val="es-MX"/>
        </w:rPr>
      </w:pPr>
      <w:r w:rsidRPr="00A31F52">
        <w:rPr>
          <w:rStyle w:val="baj"/>
          <w:rFonts w:ascii="Verdana" w:eastAsiaTheme="minorEastAsia" w:hAnsi="Verdana" w:cs="Arial"/>
          <w:sz w:val="14"/>
          <w:szCs w:val="14"/>
          <w:lang w:val="es-MX"/>
        </w:rPr>
        <w:t>Parágrafo.</w:t>
      </w:r>
      <w:r w:rsidRPr="00A31F52">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A31F52">
        <w:rPr>
          <w:rFonts w:ascii="Verdana" w:eastAsia="Calibri" w:hAnsi="Verdana" w:cs="Arial"/>
          <w:color w:val="000000"/>
          <w:sz w:val="14"/>
          <w:szCs w:val="14"/>
        </w:rPr>
        <w:t>”</w:t>
      </w:r>
      <w:r w:rsidRPr="00A31F52">
        <w:rPr>
          <w:rFonts w:ascii="Verdana" w:hAnsi="Verdana" w:cs="Arial"/>
          <w:sz w:val="14"/>
          <w:szCs w:val="14"/>
          <w:lang w:val="es-MX"/>
        </w:rPr>
        <w:t>.</w:t>
      </w:r>
    </w:p>
    <w:p w14:paraId="3DB128E0" w14:textId="77777777" w:rsidR="00CA1CB0" w:rsidRPr="00A31F52" w:rsidRDefault="00CA1CB0" w:rsidP="00A31F52">
      <w:pPr>
        <w:pStyle w:val="NormalWeb"/>
        <w:spacing w:before="0" w:beforeAutospacing="0" w:after="0" w:afterAutospacing="0"/>
        <w:ind w:firstLine="709"/>
        <w:jc w:val="both"/>
        <w:rPr>
          <w:rFonts w:ascii="Verdana" w:hAnsi="Verdana" w:cs="Arial"/>
          <w:sz w:val="14"/>
          <w:szCs w:val="14"/>
          <w:lang w:val="es-MX"/>
        </w:rPr>
      </w:pPr>
    </w:p>
  </w:footnote>
  <w:footnote w:id="6">
    <w:p w14:paraId="4A964C0A" w14:textId="507A0186" w:rsidR="00151689" w:rsidRDefault="00151689" w:rsidP="00F3590A">
      <w:pPr>
        <w:pStyle w:val="Textonotapie"/>
        <w:ind w:firstLine="709"/>
        <w:jc w:val="both"/>
        <w:rPr>
          <w:rFonts w:ascii="Verdana" w:hAnsi="Verdana" w:cs="Arial"/>
          <w:sz w:val="14"/>
          <w:szCs w:val="14"/>
        </w:rPr>
      </w:pPr>
      <w:r w:rsidRPr="008B4F3C">
        <w:rPr>
          <w:rStyle w:val="Refdenotaalpie"/>
          <w:rFonts w:ascii="Verdana" w:hAnsi="Verdana"/>
          <w:sz w:val="14"/>
          <w:szCs w:val="14"/>
        </w:rPr>
        <w:footnoteRef/>
      </w:r>
      <w:r w:rsidRPr="008B4F3C">
        <w:rPr>
          <w:rFonts w:ascii="Verdana" w:hAnsi="Verdana"/>
          <w:sz w:val="14"/>
          <w:szCs w:val="14"/>
        </w:rPr>
        <w:t xml:space="preserve"> </w:t>
      </w:r>
      <w:r w:rsidR="0082479D" w:rsidRPr="008B4F3C">
        <w:rPr>
          <w:rFonts w:ascii="Verdana" w:hAnsi="Verdana" w:cs="Arial"/>
          <w:sz w:val="14"/>
          <w:szCs w:val="14"/>
        </w:rPr>
        <w:t>Consejo de Estado. Sala de Consulta y Servicio Civil. Concepto del 17 de febrero de 2015. C.P. William Zambrano Cetina. Radicación No. 11001-03-06-000-2015-00164-00(2269).</w:t>
      </w:r>
    </w:p>
    <w:p w14:paraId="73995DF3" w14:textId="77777777" w:rsidR="00CA1CB0" w:rsidRPr="008B4F3C" w:rsidRDefault="00CA1CB0" w:rsidP="008B4F3C">
      <w:pPr>
        <w:pStyle w:val="Textonotapie"/>
        <w:ind w:firstLine="709"/>
        <w:jc w:val="both"/>
        <w:rPr>
          <w:rFonts w:ascii="Verdana" w:hAnsi="Verdana"/>
          <w:sz w:val="14"/>
          <w:szCs w:val="14"/>
        </w:rPr>
      </w:pPr>
    </w:p>
  </w:footnote>
  <w:footnote w:id="7">
    <w:p w14:paraId="3E9CB09C" w14:textId="77777777" w:rsidR="00E2477F" w:rsidRPr="00540289" w:rsidRDefault="00E2477F" w:rsidP="00350B3A">
      <w:pPr>
        <w:pStyle w:val="Textonotapie"/>
        <w:ind w:right="51" w:firstLine="709"/>
        <w:jc w:val="both"/>
        <w:rPr>
          <w:rFonts w:ascii="Verdana" w:hAnsi="Verdana" w:cs="Arial"/>
          <w:sz w:val="14"/>
          <w:szCs w:val="14"/>
        </w:rPr>
      </w:pPr>
      <w:r w:rsidRPr="004E1393">
        <w:rPr>
          <w:rStyle w:val="Refdenotaalpie"/>
          <w:rFonts w:ascii="Verdana" w:hAnsi="Verdana"/>
          <w:sz w:val="14"/>
          <w:szCs w:val="14"/>
        </w:rPr>
        <w:footnoteRef/>
      </w:r>
      <w:r w:rsidRPr="00540289">
        <w:rPr>
          <w:rFonts w:ascii="Verdana" w:hAnsi="Verdana"/>
          <w:sz w:val="14"/>
          <w:szCs w:val="14"/>
        </w:rPr>
        <w:t xml:space="preserve"> </w:t>
      </w:r>
      <w:r w:rsidRPr="00540289">
        <w:rPr>
          <w:rFonts w:ascii="Verdana" w:hAnsi="Verdana" w:cs="Arial"/>
          <w:sz w:val="14"/>
          <w:szCs w:val="14"/>
        </w:rPr>
        <w:t>“</w:t>
      </w:r>
      <w:r w:rsidRPr="00540289">
        <w:rPr>
          <w:rFonts w:ascii="Verdana" w:hAnsi="Verdana" w:cs="Arial"/>
          <w:sz w:val="14"/>
          <w:szCs w:val="14"/>
          <w:lang w:val="es-ES"/>
        </w:rPr>
        <w:t xml:space="preserve">[25] </w:t>
      </w:r>
      <w:r w:rsidRPr="00540289">
        <w:rPr>
          <w:rFonts w:ascii="Verdana" w:hAnsi="Verdana" w:cs="Arial"/>
          <w:sz w:val="14"/>
          <w:szCs w:val="14"/>
        </w:rPr>
        <w:t>Cfr. Consejo de Estado. Sección Tercera. Sentencia de 3 de diciembre de 2007. Radicados: 24.715, 25.206, 25.409, 24.524, 27.834, 25.410, 26.105, 28.244, 31.447 -acumulados-”.</w:t>
      </w:r>
    </w:p>
    <w:p w14:paraId="26ADC668" w14:textId="1C3035D4" w:rsidR="00E2477F" w:rsidRPr="00540289" w:rsidRDefault="00E2477F" w:rsidP="00540289">
      <w:pPr>
        <w:pStyle w:val="Textonotapie"/>
        <w:ind w:firstLine="709"/>
        <w:rPr>
          <w:rFonts w:ascii="Verdana" w:hAnsi="Verdana"/>
          <w:sz w:val="14"/>
          <w:szCs w:val="14"/>
        </w:rPr>
      </w:pPr>
    </w:p>
  </w:footnote>
  <w:footnote w:id="8">
    <w:p w14:paraId="1C1DAFDE" w14:textId="5DB61F2C" w:rsidR="003604A3" w:rsidRDefault="003604A3" w:rsidP="00350B3A">
      <w:pPr>
        <w:pStyle w:val="Textonotapie"/>
        <w:ind w:right="51" w:firstLine="709"/>
        <w:jc w:val="both"/>
        <w:rPr>
          <w:rFonts w:ascii="Verdana" w:hAnsi="Verdana" w:cs="Arial"/>
          <w:sz w:val="14"/>
          <w:szCs w:val="14"/>
        </w:rPr>
      </w:pPr>
      <w:r w:rsidRPr="00540289">
        <w:rPr>
          <w:rStyle w:val="Refdenotaalpie"/>
          <w:rFonts w:ascii="Verdana" w:hAnsi="Verdana"/>
          <w:sz w:val="14"/>
          <w:szCs w:val="14"/>
        </w:rPr>
        <w:footnoteRef/>
      </w:r>
      <w:r w:rsidRPr="00540289">
        <w:rPr>
          <w:rFonts w:ascii="Verdana" w:hAnsi="Verdana"/>
          <w:sz w:val="14"/>
          <w:szCs w:val="14"/>
        </w:rPr>
        <w:t xml:space="preserve"> </w:t>
      </w:r>
      <w:r w:rsidR="00A30254" w:rsidRPr="00540289">
        <w:rPr>
          <w:rFonts w:ascii="Verdana" w:hAnsi="Verdana" w:cs="Arial"/>
          <w:sz w:val="14"/>
          <w:szCs w:val="14"/>
        </w:rPr>
        <w:t>“</w:t>
      </w:r>
      <w:r w:rsidR="00A30254" w:rsidRPr="00540289">
        <w:rPr>
          <w:rFonts w:ascii="Verdana" w:hAnsi="Verdana" w:cs="Arial"/>
          <w:sz w:val="14"/>
          <w:szCs w:val="14"/>
          <w:lang w:val="es-ES"/>
        </w:rPr>
        <w:t xml:space="preserve">[26] </w:t>
      </w:r>
      <w:r w:rsidR="00A30254" w:rsidRPr="00540289">
        <w:rPr>
          <w:rFonts w:ascii="Verdana" w:hAnsi="Verdana" w:cs="Arial"/>
          <w:sz w:val="14"/>
          <w:szCs w:val="14"/>
        </w:rPr>
        <w:t>Al respecto ver el concepto 1712 de 2 de febrero de 2006. Consejo de Estado Sala de Consulta y Servicio Civil”.</w:t>
      </w:r>
    </w:p>
    <w:p w14:paraId="2ED6CA67" w14:textId="77777777" w:rsidR="00CA1CB0" w:rsidRPr="00540289" w:rsidRDefault="00CA1CB0" w:rsidP="00350B3A">
      <w:pPr>
        <w:pStyle w:val="Textonotapie"/>
        <w:ind w:right="51" w:firstLine="709"/>
        <w:jc w:val="both"/>
        <w:rPr>
          <w:rFonts w:ascii="Verdana" w:hAnsi="Verdana" w:cs="Arial"/>
          <w:sz w:val="14"/>
          <w:szCs w:val="14"/>
        </w:rPr>
      </w:pPr>
    </w:p>
  </w:footnote>
  <w:footnote w:id="9">
    <w:p w14:paraId="75C9A02B" w14:textId="011FAF15" w:rsidR="009A2A72" w:rsidRDefault="009A2A72" w:rsidP="00F3590A">
      <w:pPr>
        <w:pStyle w:val="Textonotapie"/>
        <w:ind w:firstLine="709"/>
        <w:jc w:val="both"/>
        <w:rPr>
          <w:rFonts w:ascii="Verdana" w:hAnsi="Verdana" w:cs="Arial"/>
          <w:sz w:val="14"/>
          <w:szCs w:val="14"/>
        </w:rPr>
      </w:pPr>
      <w:r w:rsidRPr="00D526D1">
        <w:rPr>
          <w:rStyle w:val="Refdenotaalpie"/>
          <w:rFonts w:ascii="Verdana" w:hAnsi="Verdana"/>
          <w:sz w:val="14"/>
          <w:szCs w:val="14"/>
        </w:rPr>
        <w:footnoteRef/>
      </w:r>
      <w:r w:rsidRPr="00D526D1">
        <w:rPr>
          <w:rFonts w:ascii="Verdana" w:hAnsi="Verdana"/>
          <w:sz w:val="14"/>
          <w:szCs w:val="14"/>
        </w:rPr>
        <w:t xml:space="preserve"> </w:t>
      </w:r>
      <w:r w:rsidR="00D433F2" w:rsidRPr="00D526D1">
        <w:rPr>
          <w:rFonts w:ascii="Verdana" w:hAnsi="Verdana" w:cs="Arial"/>
          <w:sz w:val="14"/>
          <w:szCs w:val="14"/>
        </w:rPr>
        <w:t>Consejo de Estado. Sala de Consulta y Servicio Civil. Concepto del 2 de septiembre de 2013. Radicación número: 11001-03-06-000-2013-00412-00 (2168). Consejero Ponente: Álvaro Namén Vargas.</w:t>
      </w:r>
    </w:p>
    <w:p w14:paraId="378C6E0E" w14:textId="77777777" w:rsidR="00CA1CB0" w:rsidRPr="00D526D1" w:rsidRDefault="00CA1CB0" w:rsidP="00D526D1">
      <w:pPr>
        <w:pStyle w:val="Textonotapie"/>
        <w:ind w:firstLine="709"/>
        <w:jc w:val="both"/>
        <w:rPr>
          <w:rFonts w:ascii="Verdana" w:hAnsi="Verdana"/>
          <w:sz w:val="14"/>
          <w:szCs w:val="14"/>
        </w:rPr>
      </w:pPr>
    </w:p>
  </w:footnote>
  <w:footnote w:id="10">
    <w:p w14:paraId="49672767" w14:textId="2166D61F" w:rsidR="00B91B3C" w:rsidRDefault="00B91B3C" w:rsidP="00350B3A">
      <w:pPr>
        <w:pStyle w:val="Textonotapie"/>
        <w:ind w:firstLine="709"/>
        <w:jc w:val="both"/>
        <w:rPr>
          <w:rFonts w:ascii="Verdana" w:hAnsi="Verdana" w:cs="Arial"/>
          <w:sz w:val="14"/>
          <w:szCs w:val="14"/>
          <w:lang w:val="es-ES"/>
        </w:rPr>
      </w:pPr>
      <w:r w:rsidRPr="00D526D1">
        <w:rPr>
          <w:rStyle w:val="Refdenotaalpie"/>
          <w:rFonts w:ascii="Verdana" w:hAnsi="Verdana"/>
          <w:sz w:val="14"/>
          <w:szCs w:val="14"/>
        </w:rPr>
        <w:footnoteRef/>
      </w:r>
      <w:r w:rsidRPr="00D526D1">
        <w:rPr>
          <w:rFonts w:ascii="Verdana" w:hAnsi="Verdana"/>
          <w:sz w:val="14"/>
          <w:szCs w:val="14"/>
        </w:rPr>
        <w:t xml:space="preserve"> </w:t>
      </w:r>
      <w:r w:rsidRPr="00D526D1">
        <w:rPr>
          <w:rFonts w:ascii="Verdana" w:hAnsi="Verdana" w:cs="Arial"/>
          <w:sz w:val="14"/>
          <w:szCs w:val="14"/>
          <w:lang w:val="es-ES"/>
        </w:rPr>
        <w:t xml:space="preserve">Artículo 2. </w:t>
      </w:r>
    </w:p>
    <w:p w14:paraId="013129B3" w14:textId="77777777" w:rsidR="00CA1CB0" w:rsidRPr="00C22B50" w:rsidRDefault="00CA1CB0" w:rsidP="00350B3A">
      <w:pPr>
        <w:pStyle w:val="Textonotapie"/>
        <w:ind w:firstLine="709"/>
        <w:jc w:val="both"/>
        <w:rPr>
          <w:rFonts w:ascii="Verdana" w:hAnsi="Verdana" w:cs="Arial"/>
          <w:sz w:val="14"/>
          <w:szCs w:val="14"/>
          <w:lang w:val="es-ES"/>
        </w:rPr>
      </w:pPr>
    </w:p>
  </w:footnote>
  <w:footnote w:id="11">
    <w:p w14:paraId="056197B1" w14:textId="5619619D" w:rsidR="006D05AC" w:rsidRDefault="006D05AC" w:rsidP="00F3590A">
      <w:pPr>
        <w:pStyle w:val="Textonotapie"/>
        <w:ind w:firstLine="709"/>
        <w:jc w:val="both"/>
        <w:rPr>
          <w:rFonts w:ascii="Verdana" w:hAnsi="Verdana" w:cs="Arial"/>
          <w:sz w:val="14"/>
          <w:szCs w:val="14"/>
          <w:lang w:val="es-ES"/>
        </w:rPr>
      </w:pPr>
      <w:r w:rsidRPr="00C22B50">
        <w:rPr>
          <w:rStyle w:val="Refdenotaalpie"/>
          <w:rFonts w:ascii="Verdana" w:hAnsi="Verdana"/>
          <w:sz w:val="14"/>
          <w:szCs w:val="14"/>
        </w:rPr>
        <w:footnoteRef/>
      </w:r>
      <w:r w:rsidRPr="00011979">
        <w:rPr>
          <w:rFonts w:ascii="Verdana" w:hAnsi="Verdana"/>
          <w:sz w:val="14"/>
          <w:szCs w:val="14"/>
        </w:rPr>
        <w:t xml:space="preserve"> </w:t>
      </w:r>
      <w:r w:rsidR="00C53C4E" w:rsidRPr="00011979">
        <w:rPr>
          <w:rFonts w:ascii="Verdana" w:hAnsi="Verdana" w:cs="Arial"/>
          <w:i/>
          <w:sz w:val="14"/>
          <w:szCs w:val="14"/>
          <w:lang w:val="es-ES"/>
        </w:rPr>
        <w:t>Ibidem</w:t>
      </w:r>
      <w:r w:rsidR="00C53C4E" w:rsidRPr="00011979">
        <w:rPr>
          <w:rFonts w:ascii="Verdana" w:hAnsi="Verdana" w:cs="Arial"/>
          <w:sz w:val="14"/>
          <w:szCs w:val="14"/>
          <w:lang w:val="es-ES"/>
        </w:rPr>
        <w:t>.</w:t>
      </w:r>
    </w:p>
    <w:p w14:paraId="26C2969C" w14:textId="77777777" w:rsidR="00CA1CB0" w:rsidRPr="00011979" w:rsidRDefault="00CA1CB0" w:rsidP="00011979">
      <w:pPr>
        <w:pStyle w:val="Textonotapie"/>
        <w:ind w:firstLine="709"/>
        <w:jc w:val="both"/>
        <w:rPr>
          <w:rFonts w:ascii="Verdana" w:hAnsi="Verdana"/>
          <w:sz w:val="14"/>
          <w:szCs w:val="14"/>
        </w:rPr>
      </w:pPr>
    </w:p>
  </w:footnote>
  <w:footnote w:id="12">
    <w:p w14:paraId="25E3710B" w14:textId="1218A40F" w:rsidR="00AE0E07" w:rsidRDefault="00AE0E07" w:rsidP="00F3590A">
      <w:pPr>
        <w:pStyle w:val="Textonotapie"/>
        <w:ind w:firstLine="709"/>
        <w:jc w:val="both"/>
        <w:rPr>
          <w:rFonts w:ascii="Verdana" w:hAnsi="Verdana"/>
          <w:sz w:val="14"/>
          <w:szCs w:val="14"/>
        </w:rPr>
      </w:pPr>
      <w:r w:rsidRPr="00011979">
        <w:rPr>
          <w:rStyle w:val="Refdenotaalpie"/>
          <w:rFonts w:ascii="Verdana" w:hAnsi="Verdana"/>
          <w:sz w:val="14"/>
          <w:szCs w:val="14"/>
        </w:rPr>
        <w:footnoteRef/>
      </w:r>
      <w:r w:rsidRPr="00011979">
        <w:rPr>
          <w:rFonts w:ascii="Verdana" w:hAnsi="Verdana"/>
          <w:sz w:val="14"/>
          <w:szCs w:val="14"/>
        </w:rPr>
        <w:t xml:space="preserve"> Consejo de Estado. Sala de Consulta y Servicio Civil. Concepto del 08 de mayo de 2018. Exp. 2.382. C.P. Álvaro Namén Vargas</w:t>
      </w:r>
      <w:r w:rsidR="00807FDC" w:rsidRPr="00011979">
        <w:rPr>
          <w:rFonts w:ascii="Verdana" w:hAnsi="Verdana"/>
          <w:sz w:val="14"/>
          <w:szCs w:val="14"/>
        </w:rPr>
        <w:t>.</w:t>
      </w:r>
    </w:p>
    <w:p w14:paraId="565A8E91" w14:textId="77777777" w:rsidR="00CA1CB0" w:rsidRPr="00011979" w:rsidRDefault="00CA1CB0" w:rsidP="00011979">
      <w:pPr>
        <w:pStyle w:val="Textonotapie"/>
        <w:ind w:firstLine="709"/>
        <w:jc w:val="both"/>
        <w:rPr>
          <w:rFonts w:ascii="Verdana" w:hAnsi="Verdana"/>
          <w:sz w:val="14"/>
          <w:szCs w:val="14"/>
        </w:rPr>
      </w:pPr>
    </w:p>
  </w:footnote>
  <w:footnote w:id="13">
    <w:p w14:paraId="6EDB4B39" w14:textId="6B1C3693" w:rsidR="0051615F" w:rsidRDefault="0051615F" w:rsidP="00F3590A">
      <w:pPr>
        <w:pStyle w:val="Textonotapie"/>
        <w:ind w:firstLine="709"/>
        <w:jc w:val="both"/>
        <w:rPr>
          <w:rFonts w:ascii="Verdana" w:hAnsi="Verdana"/>
          <w:sz w:val="14"/>
          <w:szCs w:val="14"/>
        </w:rPr>
      </w:pPr>
      <w:r w:rsidRPr="008F7EF1">
        <w:rPr>
          <w:rStyle w:val="Refdenotaalpie"/>
          <w:rFonts w:ascii="Verdana" w:hAnsi="Verdana"/>
          <w:sz w:val="14"/>
          <w:szCs w:val="14"/>
        </w:rPr>
        <w:footnoteRef/>
      </w:r>
      <w:r w:rsidRPr="008F7EF1">
        <w:rPr>
          <w:rFonts w:ascii="Verdana" w:hAnsi="Verdana"/>
          <w:sz w:val="14"/>
          <w:szCs w:val="14"/>
        </w:rPr>
        <w:t xml:space="preserve"> </w:t>
      </w:r>
      <w:r w:rsidR="00C00308" w:rsidRPr="008F7EF1">
        <w:rPr>
          <w:rFonts w:ascii="Verdana" w:hAnsi="Verdana"/>
          <w:sz w:val="14"/>
          <w:szCs w:val="14"/>
        </w:rPr>
        <w:t>La Corte Constitucional mediante Sentencia C-1153-05 de 11 de noviembre de 2005, Magistrado Ponente Marco Gerardo Monroy Cabra, efectuó el Control constitucional al Proyecto de Ley Estatutaria N° 216/05 Senado, N° 235-Cámara que dio lugar a la Ley de Garantías Electorales.</w:t>
      </w:r>
    </w:p>
    <w:p w14:paraId="3466A6CE" w14:textId="77777777" w:rsidR="00CA1CB0" w:rsidRPr="008F7EF1" w:rsidRDefault="00CA1CB0" w:rsidP="008F7EF1">
      <w:pPr>
        <w:pStyle w:val="Textonotapie"/>
        <w:ind w:firstLine="709"/>
        <w:jc w:val="both"/>
        <w:rPr>
          <w:rFonts w:ascii="Verdana" w:hAnsi="Verdana"/>
          <w:sz w:val="14"/>
          <w:szCs w:val="14"/>
        </w:rPr>
      </w:pPr>
    </w:p>
  </w:footnote>
  <w:footnote w:id="14">
    <w:p w14:paraId="44E4D543" w14:textId="6119FAFC" w:rsidR="004945C1" w:rsidRDefault="004945C1" w:rsidP="00F3590A">
      <w:pPr>
        <w:pStyle w:val="Textonotapie"/>
        <w:ind w:firstLine="709"/>
        <w:jc w:val="both"/>
        <w:rPr>
          <w:rFonts w:ascii="Verdana" w:hAnsi="Verdana"/>
          <w:sz w:val="14"/>
          <w:szCs w:val="14"/>
        </w:rPr>
      </w:pPr>
      <w:r w:rsidRPr="00284108">
        <w:rPr>
          <w:rStyle w:val="Refdenotaalpie"/>
          <w:rFonts w:ascii="Verdana" w:hAnsi="Verdana"/>
          <w:sz w:val="14"/>
          <w:szCs w:val="14"/>
        </w:rPr>
        <w:footnoteRef/>
      </w:r>
      <w:r w:rsidRPr="00284108">
        <w:rPr>
          <w:rFonts w:ascii="Verdana" w:hAnsi="Verdana"/>
          <w:sz w:val="14"/>
          <w:szCs w:val="14"/>
        </w:rPr>
        <w:t xml:space="preserve"> </w:t>
      </w:r>
      <w:r w:rsidR="00BB2430" w:rsidRPr="00284108">
        <w:rPr>
          <w:rFonts w:ascii="Verdana" w:hAnsi="Verdana"/>
          <w:sz w:val="14"/>
          <w:szCs w:val="14"/>
        </w:rPr>
        <w:t>Consejo de Estado -Sección Tercera-. Sentencia del 21 de febrero de 2025. Radicación Número: 68.280. CP: José Roberto Sáchica Méndez.</w:t>
      </w:r>
    </w:p>
    <w:p w14:paraId="3CBE80B2" w14:textId="77777777" w:rsidR="00CA1CB0" w:rsidRPr="00284108" w:rsidRDefault="00CA1CB0" w:rsidP="00284108">
      <w:pPr>
        <w:pStyle w:val="Textonotapie"/>
        <w:ind w:firstLine="709"/>
        <w:jc w:val="both"/>
        <w:rPr>
          <w:rFonts w:ascii="Verdana" w:hAnsi="Verdana"/>
          <w:sz w:val="14"/>
          <w:szCs w:val="14"/>
        </w:rPr>
      </w:pPr>
    </w:p>
  </w:footnote>
  <w:footnote w:id="15">
    <w:p w14:paraId="6E5FA161" w14:textId="77777777" w:rsidR="00DA6F3B" w:rsidRPr="00284108" w:rsidRDefault="000611C9" w:rsidP="00350B3A">
      <w:pPr>
        <w:pStyle w:val="Textonotapie"/>
        <w:ind w:firstLine="709"/>
        <w:jc w:val="both"/>
        <w:rPr>
          <w:rFonts w:ascii="Verdana" w:hAnsi="Verdana" w:cs="Arial"/>
          <w:sz w:val="14"/>
          <w:szCs w:val="14"/>
        </w:rPr>
      </w:pPr>
      <w:r w:rsidRPr="00284108">
        <w:rPr>
          <w:rStyle w:val="Refdenotaalpie"/>
          <w:rFonts w:ascii="Verdana" w:hAnsi="Verdana"/>
          <w:sz w:val="14"/>
          <w:szCs w:val="14"/>
        </w:rPr>
        <w:footnoteRef/>
      </w:r>
      <w:r w:rsidRPr="00284108">
        <w:rPr>
          <w:rFonts w:ascii="Verdana" w:hAnsi="Verdana"/>
          <w:sz w:val="14"/>
          <w:szCs w:val="14"/>
        </w:rPr>
        <w:t xml:space="preserve"> </w:t>
      </w:r>
      <w:r w:rsidR="00DA6F3B" w:rsidRPr="00284108">
        <w:rPr>
          <w:rFonts w:ascii="Verdana" w:hAnsi="Verdana" w:cs="Arial"/>
          <w:sz w:val="14"/>
          <w:szCs w:val="14"/>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2F01AB1A" w14:textId="65BEE6D2" w:rsidR="000611C9" w:rsidRPr="00284108" w:rsidRDefault="000611C9" w:rsidP="00284108">
      <w:pPr>
        <w:pStyle w:val="Textonotapie"/>
        <w:ind w:firstLine="709"/>
        <w:jc w:val="both"/>
        <w:rPr>
          <w:rFonts w:ascii="Verdana" w:hAnsi="Verdana"/>
          <w:sz w:val="14"/>
          <w:szCs w:val="14"/>
        </w:rPr>
      </w:pPr>
    </w:p>
  </w:footnote>
  <w:footnote w:id="16">
    <w:p w14:paraId="3393D532" w14:textId="77777777" w:rsidR="0085017C" w:rsidRPr="002416EA" w:rsidRDefault="00BB230B" w:rsidP="00350B3A">
      <w:pPr>
        <w:pStyle w:val="Textonotapie"/>
        <w:ind w:firstLine="709"/>
        <w:jc w:val="both"/>
        <w:rPr>
          <w:rFonts w:ascii="Verdana" w:hAnsi="Verdana" w:cs="Arial"/>
          <w:sz w:val="14"/>
          <w:szCs w:val="14"/>
        </w:rPr>
      </w:pPr>
      <w:r w:rsidRPr="00190792">
        <w:rPr>
          <w:rStyle w:val="Refdenotaalpie"/>
          <w:rFonts w:ascii="Verdana" w:hAnsi="Verdana"/>
          <w:sz w:val="14"/>
          <w:szCs w:val="14"/>
        </w:rPr>
        <w:footnoteRef/>
      </w:r>
      <w:r w:rsidRPr="002416EA">
        <w:rPr>
          <w:rFonts w:ascii="Verdana" w:hAnsi="Verdana"/>
          <w:sz w:val="14"/>
          <w:szCs w:val="14"/>
        </w:rPr>
        <w:t xml:space="preserve"> </w:t>
      </w:r>
      <w:r w:rsidR="0085017C" w:rsidRPr="002416EA">
        <w:rPr>
          <w:rFonts w:ascii="Verdana" w:hAnsi="Verdana" w:cs="Arial"/>
          <w:sz w:val="14"/>
          <w:szCs w:val="14"/>
        </w:rPr>
        <w:t>Ley 80 de 1993: “Artículo 41. Del perfeccionamiento del contrato. Los contratos del Estado se perfeccionan cuando se logre acuerdo sobre el objeto y la contraprestación y éste se eleve a escrito.</w:t>
      </w:r>
    </w:p>
    <w:p w14:paraId="5954F986" w14:textId="49669F27" w:rsidR="00BB230B" w:rsidRPr="002416EA" w:rsidRDefault="00BB230B" w:rsidP="00190792">
      <w:pPr>
        <w:pStyle w:val="Textonotapie"/>
        <w:ind w:firstLine="709"/>
        <w:jc w:val="both"/>
        <w:rPr>
          <w:rFonts w:ascii="Verdana" w:hAnsi="Verdana"/>
          <w:sz w:val="14"/>
          <w:szCs w:val="14"/>
        </w:rPr>
      </w:pPr>
    </w:p>
  </w:footnote>
  <w:footnote w:id="17">
    <w:p w14:paraId="57F97E2E" w14:textId="735BFCC2" w:rsidR="00DD4F01" w:rsidRDefault="00DD4F01" w:rsidP="00F3590A">
      <w:pPr>
        <w:pStyle w:val="Textonotapie"/>
        <w:ind w:firstLine="709"/>
        <w:jc w:val="both"/>
        <w:rPr>
          <w:rFonts w:ascii="Verdana" w:hAnsi="Verdana" w:cs="Arial"/>
          <w:sz w:val="14"/>
          <w:szCs w:val="14"/>
        </w:rPr>
      </w:pPr>
      <w:r w:rsidRPr="002416EA">
        <w:rPr>
          <w:rStyle w:val="Refdenotaalpie"/>
          <w:rFonts w:ascii="Verdana" w:hAnsi="Verdana"/>
          <w:sz w:val="14"/>
          <w:szCs w:val="14"/>
        </w:rPr>
        <w:footnoteRef/>
      </w:r>
      <w:r w:rsidRPr="002416EA">
        <w:rPr>
          <w:rFonts w:ascii="Verdana" w:hAnsi="Verdana"/>
          <w:sz w:val="14"/>
          <w:szCs w:val="14"/>
        </w:rPr>
        <w:t xml:space="preserve"> </w:t>
      </w:r>
      <w:r w:rsidRPr="002416EA">
        <w:rPr>
          <w:rFonts w:ascii="Verdana" w:hAnsi="Verdana" w:cs="Arial"/>
          <w:sz w:val="14"/>
          <w:szCs w:val="14"/>
        </w:rPr>
        <w:t>Código Civil: “Artículo 27. Cuando el sentido de la ley sea claro, no se desatenderá su tenor a pretexto de consultar su espíritu”.</w:t>
      </w:r>
    </w:p>
    <w:p w14:paraId="2AFCA559" w14:textId="77777777" w:rsidR="00CA1CB0" w:rsidRPr="002416EA" w:rsidRDefault="00CA1CB0" w:rsidP="002416EA">
      <w:pPr>
        <w:pStyle w:val="Textonotapie"/>
        <w:ind w:firstLine="709"/>
        <w:jc w:val="both"/>
        <w:rPr>
          <w:sz w:val="14"/>
          <w:szCs w:val="14"/>
        </w:rPr>
      </w:pPr>
    </w:p>
  </w:footnote>
  <w:footnote w:id="18">
    <w:p w14:paraId="378B72E2" w14:textId="39601F60" w:rsidR="00A63F2E" w:rsidRDefault="00A63F2E" w:rsidP="00F3590A">
      <w:pPr>
        <w:pStyle w:val="Textonotapie"/>
        <w:ind w:firstLine="709"/>
        <w:jc w:val="both"/>
        <w:rPr>
          <w:rFonts w:ascii="Verdana" w:hAnsi="Verdana"/>
          <w:sz w:val="14"/>
          <w:szCs w:val="14"/>
          <w:lang w:val="es-ES"/>
        </w:rPr>
      </w:pPr>
      <w:r w:rsidRPr="008F7EF1">
        <w:rPr>
          <w:rStyle w:val="Refdenotaalpie"/>
          <w:rFonts w:ascii="Verdana" w:hAnsi="Verdana"/>
          <w:sz w:val="14"/>
          <w:szCs w:val="14"/>
        </w:rPr>
        <w:footnoteRef/>
      </w:r>
      <w:r w:rsidRPr="008F7EF1">
        <w:rPr>
          <w:rFonts w:ascii="Verdana" w:hAnsi="Verdana"/>
          <w:sz w:val="14"/>
          <w:szCs w:val="14"/>
        </w:rPr>
        <w:t xml:space="preserve"> </w:t>
      </w:r>
      <w:r w:rsidRPr="008F7EF1">
        <w:rPr>
          <w:rFonts w:ascii="Verdana" w:hAnsi="Verdana"/>
          <w:sz w:val="14"/>
          <w:szCs w:val="14"/>
          <w:lang w:val="es-ES"/>
        </w:rPr>
        <w:t xml:space="preserve">La doctrina chilena ilustra su aplicación en los siguientes términos: “La ley se ha de entender general e indistintamente. Cuando la ley no hace excepción alguna, pudiendo haberla hecho, no podemos separarnos de su disposición general por medio de una distinción que ella no ha formulado. </w:t>
      </w:r>
      <w:r w:rsidRPr="008F7EF1">
        <w:rPr>
          <w:rFonts w:ascii="Verdana" w:hAnsi="Verdana"/>
          <w:i/>
          <w:iCs/>
          <w:sz w:val="14"/>
          <w:szCs w:val="14"/>
          <w:lang w:val="es-ES"/>
        </w:rPr>
        <w:t>Ubi lex non distinguit nec nos distinguere debemus</w:t>
      </w:r>
      <w:r w:rsidRPr="008F7EF1">
        <w:rPr>
          <w:rFonts w:ascii="Verdana" w:hAnsi="Verdana"/>
          <w:sz w:val="14"/>
          <w:szCs w:val="14"/>
          <w:lang w:val="es-ES"/>
        </w:rPr>
        <w:t>, ‘donde la ley no distingue no puede el hombre distinguir’. ‘La extensión que deba dársele a la ley se determinará por su genuino sentido y según las reglas de interpretación precedentes’, dice el artículo 23.</w:t>
      </w:r>
    </w:p>
    <w:p w14:paraId="37A069C3" w14:textId="77777777" w:rsidR="00CA1CB0" w:rsidRPr="008F7EF1" w:rsidRDefault="00CA1CB0" w:rsidP="008F7EF1">
      <w:pPr>
        <w:pStyle w:val="Textonotapie"/>
        <w:ind w:firstLine="709"/>
        <w:jc w:val="both"/>
        <w:rPr>
          <w:rFonts w:ascii="Verdana" w:hAnsi="Verdana"/>
          <w:sz w:val="14"/>
          <w:szCs w:val="14"/>
          <w:lang w:val="es-ES"/>
        </w:rPr>
      </w:pPr>
    </w:p>
    <w:p w14:paraId="7BC323BC" w14:textId="2006270C" w:rsidR="00A63F2E" w:rsidRDefault="00A63F2E" w:rsidP="00F3590A">
      <w:pPr>
        <w:pStyle w:val="Textonotapie"/>
        <w:ind w:firstLine="709"/>
        <w:jc w:val="both"/>
        <w:rPr>
          <w:rFonts w:ascii="Verdana" w:hAnsi="Verdana"/>
          <w:sz w:val="14"/>
          <w:szCs w:val="14"/>
        </w:rPr>
      </w:pPr>
      <w:r w:rsidRPr="008F7EF1">
        <w:rPr>
          <w:rFonts w:ascii="Verdana" w:hAnsi="Verdana"/>
          <w:sz w:val="14"/>
          <w:szCs w:val="14"/>
          <w:lang w:val="es-ES"/>
        </w:rPr>
        <w:t xml:space="preserve">En el derecho antiguo y en el derecho canónico se distinguían las leyes en favorables y odiosas, para ampliar o restringir su interpretación. </w:t>
      </w:r>
      <w:r w:rsidRPr="008F7EF1">
        <w:rPr>
          <w:rFonts w:ascii="Verdana" w:hAnsi="Verdana"/>
          <w:i/>
          <w:iCs/>
          <w:sz w:val="14"/>
          <w:szCs w:val="14"/>
          <w:lang w:val="es-ES"/>
        </w:rPr>
        <w:t>Odia restringí et favores convenit ampliari</w:t>
      </w:r>
      <w:r w:rsidRPr="008F7EF1">
        <w:rPr>
          <w:rFonts w:ascii="Verdana" w:hAnsi="Verdana"/>
          <w:sz w:val="14"/>
          <w:szCs w:val="14"/>
          <w:lang w:val="es-ES"/>
        </w:rPr>
        <w:t xml:space="preserve">.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 (Cfr. </w:t>
      </w:r>
      <w:r w:rsidRPr="008F7EF1">
        <w:rPr>
          <w:rFonts w:ascii="Verdana" w:hAnsi="Verdana"/>
          <w:sz w:val="14"/>
          <w:szCs w:val="14"/>
        </w:rPr>
        <w:t>CLARO SOLAR, Luis. Explicaciones de derecho civil chileno y comparado. Volumen I. Tomo I. Santiago: Editorial Jurídica de Chile, 2013. p. 119. Énfasis dentro del texto).</w:t>
      </w:r>
    </w:p>
    <w:p w14:paraId="2714BC98" w14:textId="77777777" w:rsidR="00CA1CB0" w:rsidRPr="008F7EF1" w:rsidRDefault="00CA1CB0" w:rsidP="008F7EF1">
      <w:pPr>
        <w:pStyle w:val="Textonotapie"/>
        <w:ind w:firstLine="709"/>
        <w:jc w:val="both"/>
        <w:rPr>
          <w:rFonts w:ascii="Verdana" w:hAnsi="Verdana"/>
          <w:sz w:val="14"/>
          <w:szCs w:val="14"/>
          <w:lang w:val="es-CO"/>
        </w:rPr>
      </w:pPr>
    </w:p>
  </w:footnote>
  <w:footnote w:id="19">
    <w:p w14:paraId="7AF88816" w14:textId="6193E6C3" w:rsidR="00F3590A" w:rsidRDefault="00F3590A" w:rsidP="00F3590A">
      <w:pPr>
        <w:pStyle w:val="Textonotapie"/>
        <w:ind w:firstLine="709"/>
        <w:jc w:val="both"/>
        <w:rPr>
          <w:rFonts w:ascii="Verdana" w:hAnsi="Verdana"/>
          <w:sz w:val="14"/>
          <w:szCs w:val="14"/>
          <w:lang w:val="es-CO"/>
        </w:rPr>
      </w:pPr>
      <w:r w:rsidRPr="008F7EF1">
        <w:rPr>
          <w:rStyle w:val="Refdenotaalpie"/>
          <w:rFonts w:ascii="Verdana" w:hAnsi="Verdana"/>
          <w:sz w:val="14"/>
          <w:szCs w:val="14"/>
        </w:rPr>
        <w:footnoteRef/>
      </w:r>
      <w:r w:rsidRPr="008F7EF1">
        <w:rPr>
          <w:rFonts w:ascii="Verdana" w:hAnsi="Verdana"/>
          <w:sz w:val="14"/>
          <w:szCs w:val="14"/>
          <w:lang w:val="es-CO"/>
        </w:rPr>
        <w:t xml:space="preserve"> Consejo de Estado, Sección Tercera. Auto del 4 de octubre de 2024. Exp. 70.313. C.P: Fredy Ibarra Martínez.</w:t>
      </w:r>
    </w:p>
    <w:p w14:paraId="0208B4FD" w14:textId="77777777" w:rsidR="00CA1CB0" w:rsidRPr="008F7EF1" w:rsidRDefault="00CA1CB0" w:rsidP="008F7EF1">
      <w:pPr>
        <w:pStyle w:val="Textonotapie"/>
        <w:ind w:firstLine="709"/>
        <w:jc w:val="both"/>
        <w:rPr>
          <w:rFonts w:ascii="Verdana" w:hAnsi="Verdana"/>
          <w:sz w:val="14"/>
          <w:szCs w:val="14"/>
          <w:lang w:val="es-CO"/>
        </w:rPr>
      </w:pPr>
    </w:p>
  </w:footnote>
  <w:footnote w:id="20">
    <w:p w14:paraId="2B89A343" w14:textId="77777777" w:rsidR="00F3590A" w:rsidRPr="008F7EF1" w:rsidRDefault="00F3590A" w:rsidP="008F7EF1">
      <w:pPr>
        <w:pStyle w:val="Textonotapie"/>
        <w:ind w:firstLine="709"/>
        <w:jc w:val="both"/>
        <w:rPr>
          <w:rFonts w:ascii="Verdana" w:hAnsi="Verdana"/>
          <w:sz w:val="14"/>
          <w:szCs w:val="14"/>
          <w:lang w:val="es-CO"/>
        </w:rPr>
      </w:pPr>
      <w:r w:rsidRPr="008F7EF1">
        <w:rPr>
          <w:rStyle w:val="Refdenotaalpie"/>
          <w:rFonts w:ascii="Verdana" w:hAnsi="Verdana"/>
          <w:sz w:val="14"/>
          <w:szCs w:val="14"/>
        </w:rPr>
        <w:footnoteRef/>
      </w:r>
      <w:r w:rsidRPr="008F7EF1">
        <w:rPr>
          <w:rFonts w:ascii="Verdana" w:hAnsi="Verdana"/>
          <w:sz w:val="14"/>
          <w:szCs w:val="14"/>
        </w:rPr>
        <w:t xml:space="preserve"> La parte resolutiva del auto dispone lo siguiente; “</w:t>
      </w:r>
      <w:r w:rsidRPr="008F7EF1">
        <w:rPr>
          <w:rFonts w:ascii="Verdana" w:hAnsi="Verdana"/>
          <w:b/>
          <w:sz w:val="14"/>
          <w:szCs w:val="14"/>
          <w:lang w:val="es-CO"/>
        </w:rPr>
        <w:t xml:space="preserve">PRIMERO: DECRETAR </w:t>
      </w:r>
      <w:r w:rsidRPr="008F7EF1">
        <w:rPr>
          <w:rFonts w:ascii="Verdana" w:hAnsi="Verdana"/>
          <w:sz w:val="14"/>
          <w:szCs w:val="14"/>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8F7EF1">
        <w:rPr>
          <w:rFonts w:ascii="Verdana" w:hAnsi="Verdana"/>
          <w:i/>
          <w:sz w:val="14"/>
          <w:szCs w:val="14"/>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8F7EF1">
        <w:rPr>
          <w:rFonts w:ascii="Verdana" w:hAnsi="Verdana"/>
          <w:sz w:val="14"/>
          <w:szCs w:val="14"/>
          <w:lang w:val="es-CO"/>
        </w:rPr>
        <w:t xml:space="preserve">, por las razones expuestas en precedencia. </w:t>
      </w:r>
    </w:p>
    <w:p w14:paraId="5A491123" w14:textId="231401D6" w:rsidR="00F3590A" w:rsidRDefault="00F3590A" w:rsidP="00F3590A">
      <w:pPr>
        <w:pStyle w:val="Textonotapie"/>
        <w:ind w:firstLine="709"/>
        <w:jc w:val="both"/>
        <w:rPr>
          <w:rFonts w:ascii="Verdana" w:hAnsi="Verdana"/>
          <w:sz w:val="14"/>
          <w:szCs w:val="14"/>
          <w:lang w:val="es-CO"/>
        </w:rPr>
      </w:pPr>
      <w:r w:rsidRPr="008F7EF1">
        <w:rPr>
          <w:rFonts w:ascii="Verdana" w:hAnsi="Verdana"/>
          <w:b/>
          <w:sz w:val="14"/>
          <w:szCs w:val="14"/>
          <w:lang w:val="es-CO"/>
        </w:rPr>
        <w:t xml:space="preserve">SEGUNDO: DECRETAR </w:t>
      </w:r>
      <w:r w:rsidRPr="008F7EF1">
        <w:rPr>
          <w:rFonts w:ascii="Verdana" w:hAnsi="Verdana"/>
          <w:sz w:val="14"/>
          <w:szCs w:val="14"/>
          <w:lang w:val="es-CO"/>
        </w:rPr>
        <w:t>la suspensión provisional de la expresión “</w:t>
      </w:r>
      <w:r w:rsidRPr="008F7EF1">
        <w:rPr>
          <w:rFonts w:ascii="Verdana" w:hAnsi="Verdana"/>
          <w:i/>
          <w:sz w:val="14"/>
          <w:szCs w:val="14"/>
          <w:lang w:val="es-CO"/>
        </w:rPr>
        <w:t>contratos</w:t>
      </w:r>
      <w:r w:rsidRPr="008F7EF1">
        <w:rPr>
          <w:rFonts w:ascii="Verdana" w:hAnsi="Verdana"/>
          <w:sz w:val="14"/>
          <w:szCs w:val="14"/>
          <w:lang w:val="es-CO"/>
        </w:rPr>
        <w:t xml:space="preserve">” y del párrafo </w:t>
      </w:r>
      <w:r w:rsidRPr="008F7EF1">
        <w:rPr>
          <w:rFonts w:ascii="Verdana" w:hAnsi="Verdana"/>
          <w:i/>
          <w:sz w:val="14"/>
          <w:szCs w:val="14"/>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8F7EF1">
        <w:rPr>
          <w:rFonts w:ascii="Verdana" w:hAnsi="Verdana"/>
          <w:sz w:val="14"/>
          <w:szCs w:val="14"/>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Flórez. </w:t>
      </w:r>
    </w:p>
    <w:p w14:paraId="519743DD" w14:textId="77777777" w:rsidR="00CA1CB0" w:rsidRPr="008F7EF1" w:rsidRDefault="00CA1CB0" w:rsidP="008F7EF1">
      <w:pPr>
        <w:pStyle w:val="Textonotapie"/>
        <w:ind w:firstLine="709"/>
        <w:jc w:val="both"/>
        <w:rPr>
          <w:rFonts w:ascii="Verdana" w:hAnsi="Verdana"/>
          <w:sz w:val="14"/>
          <w:szCs w:val="14"/>
          <w:lang w:val="es-CO"/>
        </w:rPr>
      </w:pPr>
    </w:p>
  </w:footnote>
  <w:footnote w:id="21">
    <w:p w14:paraId="402356B6" w14:textId="33134CF4" w:rsidR="00F3590A" w:rsidRDefault="00F3590A" w:rsidP="00F3590A">
      <w:pPr>
        <w:spacing w:after="0" w:line="240" w:lineRule="auto"/>
        <w:ind w:firstLine="709"/>
        <w:jc w:val="both"/>
        <w:rPr>
          <w:rFonts w:ascii="Verdana" w:eastAsia="Times New Roman" w:hAnsi="Verdana" w:cs="Times New Roman"/>
          <w:sz w:val="14"/>
          <w:szCs w:val="14"/>
          <w:lang w:eastAsia="es-ES"/>
        </w:rPr>
      </w:pPr>
      <w:r w:rsidRPr="008F7EF1">
        <w:rPr>
          <w:rStyle w:val="Refdenotaalpie"/>
          <w:rFonts w:ascii="Verdana" w:hAnsi="Verdana"/>
          <w:sz w:val="14"/>
          <w:szCs w:val="14"/>
        </w:rPr>
        <w:footnoteRef/>
      </w:r>
      <w:r w:rsidRPr="008F7EF1">
        <w:rPr>
          <w:rFonts w:ascii="Verdana" w:hAnsi="Verdana"/>
          <w:sz w:val="14"/>
          <w:szCs w:val="14"/>
        </w:rPr>
        <w:t xml:space="preserve"> </w:t>
      </w:r>
      <w:r w:rsidRPr="008F7EF1">
        <w:rPr>
          <w:rFonts w:ascii="Verdana" w:eastAsia="Times New Roman" w:hAnsi="Verdana" w:cs="Times New Roman"/>
          <w:sz w:val="14"/>
          <w:szCs w:val="14"/>
          <w:lang w:eastAsia="es-ES"/>
        </w:rPr>
        <w:t xml:space="preserve">Consejo de Estado. Sala de lo Contencioso Administrativo. Sección Tercera. Subsección B. 17 de octubre de 2025. Magistrado Ponente: Fredy Ibarra Martínez.  </w:t>
      </w:r>
      <w:r w:rsidRPr="008F7EF1">
        <w:rPr>
          <w:rFonts w:ascii="Verdana" w:hAnsi="Verdana"/>
          <w:sz w:val="14"/>
          <w:szCs w:val="14"/>
        </w:rPr>
        <w:t xml:space="preserve">La parte de la providencia señala: </w:t>
      </w:r>
      <w:r w:rsidRPr="008F7EF1">
        <w:rPr>
          <w:rFonts w:ascii="Verdana" w:eastAsia="Times New Roman" w:hAnsi="Verdana" w:cs="Times New Roman"/>
          <w:sz w:val="14"/>
          <w:szCs w:val="14"/>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067BF40D" w14:textId="77777777" w:rsidR="00CA1CB0" w:rsidRPr="008F7EF1" w:rsidRDefault="00CA1CB0" w:rsidP="008F7EF1">
      <w:pPr>
        <w:spacing w:after="0" w:line="240" w:lineRule="auto"/>
        <w:ind w:firstLine="709"/>
        <w:jc w:val="both"/>
        <w:rPr>
          <w:rFonts w:ascii="Verdana" w:eastAsia="Times New Roman" w:hAnsi="Verdana" w:cs="Times New Roman"/>
          <w:sz w:val="14"/>
          <w:szCs w:val="14"/>
          <w:lang w:eastAsia="es-ES"/>
        </w:rPr>
      </w:pPr>
    </w:p>
  </w:footnote>
  <w:footnote w:id="22">
    <w:p w14:paraId="26C26CA5" w14:textId="5C4E4E2B" w:rsidR="00F3590A" w:rsidRDefault="00F3590A" w:rsidP="00F3590A">
      <w:pPr>
        <w:pStyle w:val="Textonotapie"/>
        <w:ind w:firstLine="709"/>
        <w:jc w:val="both"/>
        <w:rPr>
          <w:rFonts w:ascii="Verdana" w:hAnsi="Verdana"/>
          <w:sz w:val="14"/>
          <w:szCs w:val="14"/>
        </w:rPr>
      </w:pPr>
      <w:r w:rsidRPr="008F7EF1">
        <w:rPr>
          <w:rStyle w:val="Refdenotaalpie"/>
          <w:rFonts w:ascii="Verdana" w:hAnsi="Verdana"/>
          <w:sz w:val="14"/>
          <w:szCs w:val="14"/>
        </w:rPr>
        <w:footnoteRef/>
      </w:r>
      <w:r w:rsidRPr="008F7EF1">
        <w:rPr>
          <w:rFonts w:ascii="Verdana" w:hAnsi="Verdana"/>
          <w:sz w:val="14"/>
          <w:szCs w:val="14"/>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p w14:paraId="4319B158" w14:textId="77777777" w:rsidR="00CA1CB0" w:rsidRPr="008F7EF1" w:rsidRDefault="00CA1CB0" w:rsidP="00F3590A">
      <w:pPr>
        <w:pStyle w:val="Textonotapie"/>
        <w:ind w:firstLine="709"/>
        <w:jc w:val="both"/>
        <w:rPr>
          <w:rFonts w:ascii="Verdana" w:hAnsi="Verdana"/>
          <w:sz w:val="14"/>
          <w:szCs w:val="14"/>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54924268">
    <w:abstractNumId w:val="6"/>
  </w:num>
  <w:num w:numId="2" w16cid:durableId="1697732975">
    <w:abstractNumId w:val="2"/>
  </w:num>
  <w:num w:numId="3" w16cid:durableId="703142390">
    <w:abstractNumId w:val="4"/>
  </w:num>
  <w:num w:numId="4" w16cid:durableId="189099018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53120267">
    <w:abstractNumId w:val="2"/>
  </w:num>
  <w:num w:numId="6" w16cid:durableId="1889953608">
    <w:abstractNumId w:val="13"/>
  </w:num>
  <w:num w:numId="7" w16cid:durableId="282805472">
    <w:abstractNumId w:val="5"/>
  </w:num>
  <w:num w:numId="8" w16cid:durableId="1858107770">
    <w:abstractNumId w:val="12"/>
  </w:num>
  <w:num w:numId="9" w16cid:durableId="806554378">
    <w:abstractNumId w:val="7"/>
  </w:num>
  <w:num w:numId="10" w16cid:durableId="92283836">
    <w:abstractNumId w:val="11"/>
  </w:num>
  <w:num w:numId="11" w16cid:durableId="1893423465">
    <w:abstractNumId w:val="8"/>
  </w:num>
  <w:num w:numId="12" w16cid:durableId="1957329364">
    <w:abstractNumId w:val="1"/>
  </w:num>
  <w:num w:numId="13" w16cid:durableId="1423919458">
    <w:abstractNumId w:val="3"/>
  </w:num>
  <w:num w:numId="14" w16cid:durableId="1944341102">
    <w:abstractNumId w:val="14"/>
  </w:num>
  <w:num w:numId="15" w16cid:durableId="1813327516">
    <w:abstractNumId w:val="10"/>
  </w:num>
  <w:num w:numId="16" w16cid:durableId="853806083">
    <w:abstractNumId w:val="0"/>
  </w:num>
  <w:num w:numId="17" w16cid:durableId="149580049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151"/>
    <w:rsid w:val="00011979"/>
    <w:rsid w:val="00014B56"/>
    <w:rsid w:val="00016F78"/>
    <w:rsid w:val="00022096"/>
    <w:rsid w:val="00023B0B"/>
    <w:rsid w:val="00030AC1"/>
    <w:rsid w:val="00046945"/>
    <w:rsid w:val="000611C9"/>
    <w:rsid w:val="00061B2A"/>
    <w:rsid w:val="00082362"/>
    <w:rsid w:val="000827D0"/>
    <w:rsid w:val="0009581F"/>
    <w:rsid w:val="000A1025"/>
    <w:rsid w:val="000A1A1F"/>
    <w:rsid w:val="000A683E"/>
    <w:rsid w:val="000B19B9"/>
    <w:rsid w:val="000B24B4"/>
    <w:rsid w:val="000C50B5"/>
    <w:rsid w:val="000D0334"/>
    <w:rsid w:val="000D2CE7"/>
    <w:rsid w:val="000D5DA7"/>
    <w:rsid w:val="000E7548"/>
    <w:rsid w:val="000F6486"/>
    <w:rsid w:val="00116940"/>
    <w:rsid w:val="00125105"/>
    <w:rsid w:val="00127233"/>
    <w:rsid w:val="001306D8"/>
    <w:rsid w:val="00151689"/>
    <w:rsid w:val="0015699B"/>
    <w:rsid w:val="00182DC1"/>
    <w:rsid w:val="00190792"/>
    <w:rsid w:val="001A07A1"/>
    <w:rsid w:val="001A33BF"/>
    <w:rsid w:val="001E4177"/>
    <w:rsid w:val="001F0B24"/>
    <w:rsid w:val="001F125B"/>
    <w:rsid w:val="001F7DC6"/>
    <w:rsid w:val="00213C96"/>
    <w:rsid w:val="002237FD"/>
    <w:rsid w:val="0022400B"/>
    <w:rsid w:val="002309EE"/>
    <w:rsid w:val="002416EA"/>
    <w:rsid w:val="002421BB"/>
    <w:rsid w:val="0025796E"/>
    <w:rsid w:val="0026158E"/>
    <w:rsid w:val="0026271C"/>
    <w:rsid w:val="002707A2"/>
    <w:rsid w:val="00277282"/>
    <w:rsid w:val="00284108"/>
    <w:rsid w:val="002951A0"/>
    <w:rsid w:val="002962BC"/>
    <w:rsid w:val="002A093D"/>
    <w:rsid w:val="002A0DD0"/>
    <w:rsid w:val="002A13AE"/>
    <w:rsid w:val="002A49AC"/>
    <w:rsid w:val="002A64FD"/>
    <w:rsid w:val="002B1849"/>
    <w:rsid w:val="002C7A84"/>
    <w:rsid w:val="002D71B4"/>
    <w:rsid w:val="002E2BF8"/>
    <w:rsid w:val="002E4FD9"/>
    <w:rsid w:val="0030657A"/>
    <w:rsid w:val="00322A85"/>
    <w:rsid w:val="00324168"/>
    <w:rsid w:val="00330834"/>
    <w:rsid w:val="003448F4"/>
    <w:rsid w:val="00350B3A"/>
    <w:rsid w:val="003515B9"/>
    <w:rsid w:val="003604A3"/>
    <w:rsid w:val="003746D4"/>
    <w:rsid w:val="00374F5E"/>
    <w:rsid w:val="00377E3E"/>
    <w:rsid w:val="00397ECE"/>
    <w:rsid w:val="003A779E"/>
    <w:rsid w:val="003C5A81"/>
    <w:rsid w:val="003D0F4D"/>
    <w:rsid w:val="003D5B0D"/>
    <w:rsid w:val="003E0499"/>
    <w:rsid w:val="003E4F80"/>
    <w:rsid w:val="003E6439"/>
    <w:rsid w:val="003E71AF"/>
    <w:rsid w:val="003E796D"/>
    <w:rsid w:val="003F3941"/>
    <w:rsid w:val="00406575"/>
    <w:rsid w:val="0041431C"/>
    <w:rsid w:val="00414C74"/>
    <w:rsid w:val="00426777"/>
    <w:rsid w:val="0042722E"/>
    <w:rsid w:val="00440446"/>
    <w:rsid w:val="004422B6"/>
    <w:rsid w:val="004442F9"/>
    <w:rsid w:val="0044528D"/>
    <w:rsid w:val="0046176B"/>
    <w:rsid w:val="004660B0"/>
    <w:rsid w:val="00466E39"/>
    <w:rsid w:val="004733DC"/>
    <w:rsid w:val="004945C1"/>
    <w:rsid w:val="00494D5D"/>
    <w:rsid w:val="004A1847"/>
    <w:rsid w:val="004A305D"/>
    <w:rsid w:val="004B28E8"/>
    <w:rsid w:val="004C5AB2"/>
    <w:rsid w:val="004E1393"/>
    <w:rsid w:val="004F21C4"/>
    <w:rsid w:val="004F685F"/>
    <w:rsid w:val="0050321F"/>
    <w:rsid w:val="0051615F"/>
    <w:rsid w:val="00516201"/>
    <w:rsid w:val="00520B4D"/>
    <w:rsid w:val="00520EA5"/>
    <w:rsid w:val="00540289"/>
    <w:rsid w:val="005566E8"/>
    <w:rsid w:val="0055674A"/>
    <w:rsid w:val="00574867"/>
    <w:rsid w:val="00574C33"/>
    <w:rsid w:val="00590417"/>
    <w:rsid w:val="00591460"/>
    <w:rsid w:val="005A183A"/>
    <w:rsid w:val="005A65E0"/>
    <w:rsid w:val="005C3777"/>
    <w:rsid w:val="005C5CDC"/>
    <w:rsid w:val="005D476C"/>
    <w:rsid w:val="0060173C"/>
    <w:rsid w:val="006200BF"/>
    <w:rsid w:val="0062118B"/>
    <w:rsid w:val="006219F8"/>
    <w:rsid w:val="00627BCD"/>
    <w:rsid w:val="006302F7"/>
    <w:rsid w:val="00636E77"/>
    <w:rsid w:val="00646B9F"/>
    <w:rsid w:val="006617CE"/>
    <w:rsid w:val="00664DE3"/>
    <w:rsid w:val="00665D70"/>
    <w:rsid w:val="00666AD1"/>
    <w:rsid w:val="00685522"/>
    <w:rsid w:val="006900D9"/>
    <w:rsid w:val="00697AF7"/>
    <w:rsid w:val="006D018C"/>
    <w:rsid w:val="006D05AC"/>
    <w:rsid w:val="006E220A"/>
    <w:rsid w:val="006E6212"/>
    <w:rsid w:val="006E7D95"/>
    <w:rsid w:val="006F3468"/>
    <w:rsid w:val="00706C16"/>
    <w:rsid w:val="00714DAA"/>
    <w:rsid w:val="007340C3"/>
    <w:rsid w:val="0075235A"/>
    <w:rsid w:val="00756841"/>
    <w:rsid w:val="00763953"/>
    <w:rsid w:val="007649AB"/>
    <w:rsid w:val="00771D0C"/>
    <w:rsid w:val="007767DF"/>
    <w:rsid w:val="007833AC"/>
    <w:rsid w:val="007B268C"/>
    <w:rsid w:val="007B468E"/>
    <w:rsid w:val="007B6593"/>
    <w:rsid w:val="007B7171"/>
    <w:rsid w:val="007C0C0F"/>
    <w:rsid w:val="007C3DC2"/>
    <w:rsid w:val="007C52A9"/>
    <w:rsid w:val="007D3D28"/>
    <w:rsid w:val="007E5497"/>
    <w:rsid w:val="00806F5F"/>
    <w:rsid w:val="00807FDC"/>
    <w:rsid w:val="00820278"/>
    <w:rsid w:val="0082479D"/>
    <w:rsid w:val="0082507A"/>
    <w:rsid w:val="008258C9"/>
    <w:rsid w:val="00842D40"/>
    <w:rsid w:val="00844AE9"/>
    <w:rsid w:val="0085017C"/>
    <w:rsid w:val="00867F95"/>
    <w:rsid w:val="008843B6"/>
    <w:rsid w:val="00891928"/>
    <w:rsid w:val="008974F7"/>
    <w:rsid w:val="00897CDD"/>
    <w:rsid w:val="008A446D"/>
    <w:rsid w:val="008B25F1"/>
    <w:rsid w:val="008B36D4"/>
    <w:rsid w:val="008B4F3C"/>
    <w:rsid w:val="008D180B"/>
    <w:rsid w:val="008F0EA7"/>
    <w:rsid w:val="008F7EF1"/>
    <w:rsid w:val="0090031E"/>
    <w:rsid w:val="0091609C"/>
    <w:rsid w:val="009228E2"/>
    <w:rsid w:val="00923EEF"/>
    <w:rsid w:val="009419F9"/>
    <w:rsid w:val="0095685E"/>
    <w:rsid w:val="00961B09"/>
    <w:rsid w:val="00965334"/>
    <w:rsid w:val="0097093E"/>
    <w:rsid w:val="009732AA"/>
    <w:rsid w:val="00976FE3"/>
    <w:rsid w:val="00982FB8"/>
    <w:rsid w:val="00985298"/>
    <w:rsid w:val="009A0DFA"/>
    <w:rsid w:val="009A1C6F"/>
    <w:rsid w:val="009A2A72"/>
    <w:rsid w:val="009A4FF6"/>
    <w:rsid w:val="009B2D26"/>
    <w:rsid w:val="009C71FA"/>
    <w:rsid w:val="009C72E7"/>
    <w:rsid w:val="009C7F7E"/>
    <w:rsid w:val="009D3058"/>
    <w:rsid w:val="009E491D"/>
    <w:rsid w:val="009E5C9C"/>
    <w:rsid w:val="009F3A13"/>
    <w:rsid w:val="00A02DDC"/>
    <w:rsid w:val="00A05B5D"/>
    <w:rsid w:val="00A067C8"/>
    <w:rsid w:val="00A122D3"/>
    <w:rsid w:val="00A14468"/>
    <w:rsid w:val="00A14BFB"/>
    <w:rsid w:val="00A17F13"/>
    <w:rsid w:val="00A20739"/>
    <w:rsid w:val="00A23AF9"/>
    <w:rsid w:val="00A30254"/>
    <w:rsid w:val="00A31F52"/>
    <w:rsid w:val="00A33C78"/>
    <w:rsid w:val="00A369F2"/>
    <w:rsid w:val="00A43400"/>
    <w:rsid w:val="00A44723"/>
    <w:rsid w:val="00A47DB4"/>
    <w:rsid w:val="00A55931"/>
    <w:rsid w:val="00A6263B"/>
    <w:rsid w:val="00A63F2E"/>
    <w:rsid w:val="00A64C90"/>
    <w:rsid w:val="00A8046D"/>
    <w:rsid w:val="00AB0ADB"/>
    <w:rsid w:val="00AB5667"/>
    <w:rsid w:val="00AC1569"/>
    <w:rsid w:val="00AE0E07"/>
    <w:rsid w:val="00AF3DE2"/>
    <w:rsid w:val="00B00C0E"/>
    <w:rsid w:val="00B01B1A"/>
    <w:rsid w:val="00B0381D"/>
    <w:rsid w:val="00B07499"/>
    <w:rsid w:val="00B13F1E"/>
    <w:rsid w:val="00B43B6D"/>
    <w:rsid w:val="00B443FC"/>
    <w:rsid w:val="00B44A47"/>
    <w:rsid w:val="00B51DA9"/>
    <w:rsid w:val="00B55DDA"/>
    <w:rsid w:val="00B57593"/>
    <w:rsid w:val="00B6535E"/>
    <w:rsid w:val="00B72CD3"/>
    <w:rsid w:val="00B72FFF"/>
    <w:rsid w:val="00B824B3"/>
    <w:rsid w:val="00B91B3C"/>
    <w:rsid w:val="00BB230B"/>
    <w:rsid w:val="00BB2430"/>
    <w:rsid w:val="00BC3D36"/>
    <w:rsid w:val="00BD2FAD"/>
    <w:rsid w:val="00BD54A6"/>
    <w:rsid w:val="00BD7F72"/>
    <w:rsid w:val="00BE178C"/>
    <w:rsid w:val="00BF32AB"/>
    <w:rsid w:val="00BF7425"/>
    <w:rsid w:val="00C00308"/>
    <w:rsid w:val="00C012E7"/>
    <w:rsid w:val="00C04FB3"/>
    <w:rsid w:val="00C11D8B"/>
    <w:rsid w:val="00C15139"/>
    <w:rsid w:val="00C22877"/>
    <w:rsid w:val="00C22B50"/>
    <w:rsid w:val="00C330EB"/>
    <w:rsid w:val="00C50D69"/>
    <w:rsid w:val="00C523D5"/>
    <w:rsid w:val="00C5365C"/>
    <w:rsid w:val="00C53C4E"/>
    <w:rsid w:val="00C56569"/>
    <w:rsid w:val="00C62A73"/>
    <w:rsid w:val="00C754BE"/>
    <w:rsid w:val="00C76B1C"/>
    <w:rsid w:val="00C925AC"/>
    <w:rsid w:val="00CA1861"/>
    <w:rsid w:val="00CA1CB0"/>
    <w:rsid w:val="00CA23B9"/>
    <w:rsid w:val="00CB6357"/>
    <w:rsid w:val="00CB6B1E"/>
    <w:rsid w:val="00CC0BB1"/>
    <w:rsid w:val="00CC1B26"/>
    <w:rsid w:val="00CD57C5"/>
    <w:rsid w:val="00CD7B51"/>
    <w:rsid w:val="00CF4D7C"/>
    <w:rsid w:val="00D361FD"/>
    <w:rsid w:val="00D423A2"/>
    <w:rsid w:val="00D433F2"/>
    <w:rsid w:val="00D43802"/>
    <w:rsid w:val="00D44E26"/>
    <w:rsid w:val="00D520D8"/>
    <w:rsid w:val="00D526D1"/>
    <w:rsid w:val="00D55048"/>
    <w:rsid w:val="00D63AC2"/>
    <w:rsid w:val="00D6702E"/>
    <w:rsid w:val="00D709F2"/>
    <w:rsid w:val="00D7383B"/>
    <w:rsid w:val="00D7788A"/>
    <w:rsid w:val="00DA231B"/>
    <w:rsid w:val="00DA6F3B"/>
    <w:rsid w:val="00DC39FC"/>
    <w:rsid w:val="00DD4F01"/>
    <w:rsid w:val="00DF5254"/>
    <w:rsid w:val="00E02524"/>
    <w:rsid w:val="00E0553F"/>
    <w:rsid w:val="00E15B86"/>
    <w:rsid w:val="00E16408"/>
    <w:rsid w:val="00E20894"/>
    <w:rsid w:val="00E245AB"/>
    <w:rsid w:val="00E2477F"/>
    <w:rsid w:val="00E2764C"/>
    <w:rsid w:val="00E27F2E"/>
    <w:rsid w:val="00E50AFE"/>
    <w:rsid w:val="00E6132D"/>
    <w:rsid w:val="00E63836"/>
    <w:rsid w:val="00E6742E"/>
    <w:rsid w:val="00E72887"/>
    <w:rsid w:val="00E75C92"/>
    <w:rsid w:val="00E771DC"/>
    <w:rsid w:val="00E8772A"/>
    <w:rsid w:val="00E90F6B"/>
    <w:rsid w:val="00E92C27"/>
    <w:rsid w:val="00E965BB"/>
    <w:rsid w:val="00EA0E3D"/>
    <w:rsid w:val="00EA3142"/>
    <w:rsid w:val="00EB1ADA"/>
    <w:rsid w:val="00EB3E6F"/>
    <w:rsid w:val="00EC38A7"/>
    <w:rsid w:val="00EC6804"/>
    <w:rsid w:val="00ED21B4"/>
    <w:rsid w:val="00EE1AA8"/>
    <w:rsid w:val="00EE2C41"/>
    <w:rsid w:val="00EF1102"/>
    <w:rsid w:val="00EF1AA7"/>
    <w:rsid w:val="00EF1C22"/>
    <w:rsid w:val="00F01F5A"/>
    <w:rsid w:val="00F23FEA"/>
    <w:rsid w:val="00F31EDC"/>
    <w:rsid w:val="00F3590A"/>
    <w:rsid w:val="00F462B3"/>
    <w:rsid w:val="00F5664F"/>
    <w:rsid w:val="00F659B1"/>
    <w:rsid w:val="00F666C4"/>
    <w:rsid w:val="00F76AFC"/>
    <w:rsid w:val="00F977F6"/>
    <w:rsid w:val="00FA47C0"/>
    <w:rsid w:val="00FB5DD1"/>
    <w:rsid w:val="00FB73F4"/>
    <w:rsid w:val="00FC2B5D"/>
    <w:rsid w:val="00FC42C7"/>
    <w:rsid w:val="00FF1449"/>
    <w:rsid w:val="00FF7963"/>
    <w:rsid w:val="071B8F93"/>
    <w:rsid w:val="09908A09"/>
    <w:rsid w:val="0FF4CCA8"/>
    <w:rsid w:val="13CFC91B"/>
    <w:rsid w:val="19A2EC2C"/>
    <w:rsid w:val="229873FA"/>
    <w:rsid w:val="2859CA1B"/>
    <w:rsid w:val="32A4F9CF"/>
    <w:rsid w:val="32E7BD09"/>
    <w:rsid w:val="356CEDFD"/>
    <w:rsid w:val="69614A15"/>
    <w:rsid w:val="703C8431"/>
    <w:rsid w:val="726C4471"/>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styleId="Refdecomentario">
    <w:name w:val="annotation reference"/>
    <w:basedOn w:val="Fuentedeprrafopredeter"/>
    <w:uiPriority w:val="99"/>
    <w:semiHidden/>
    <w:unhideWhenUsed/>
    <w:rsid w:val="00A43400"/>
    <w:rPr>
      <w:sz w:val="16"/>
      <w:szCs w:val="16"/>
    </w:rPr>
  </w:style>
  <w:style w:type="paragraph" w:styleId="Textocomentario">
    <w:name w:val="annotation text"/>
    <w:basedOn w:val="Normal"/>
    <w:link w:val="TextocomentarioCar"/>
    <w:uiPriority w:val="99"/>
    <w:unhideWhenUsed/>
    <w:rsid w:val="00A43400"/>
    <w:pPr>
      <w:spacing w:line="240" w:lineRule="auto"/>
    </w:pPr>
    <w:rPr>
      <w:sz w:val="20"/>
      <w:szCs w:val="20"/>
    </w:rPr>
  </w:style>
  <w:style w:type="character" w:customStyle="1" w:styleId="TextocomentarioCar">
    <w:name w:val="Texto comentario Car"/>
    <w:basedOn w:val="Fuentedeprrafopredeter"/>
    <w:link w:val="Textocomentario"/>
    <w:uiPriority w:val="99"/>
    <w:rsid w:val="00A43400"/>
    <w:rPr>
      <w:sz w:val="20"/>
      <w:szCs w:val="20"/>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B24B4"/>
    <w:rPr>
      <w:rFonts w:ascii="Geomanist Light" w:hAnsi="Geomanist Light"/>
      <w:lang w:val="es-ES"/>
    </w:rPr>
  </w:style>
  <w:style w:type="paragraph" w:customStyle="1" w:styleId="Appelnotedebasde">
    <w:name w:val="Appel note de bas de..."/>
    <w:basedOn w:val="Normal"/>
    <w:link w:val="Refdenotaalpie"/>
    <w:uiPriority w:val="99"/>
    <w:rsid w:val="00A55931"/>
    <w:pPr>
      <w:spacing w:line="240" w:lineRule="exact"/>
    </w:pPr>
    <w:rPr>
      <w:vertAlign w:val="superscript"/>
    </w:rPr>
  </w:style>
  <w:style w:type="character" w:customStyle="1" w:styleId="NormalWebCar">
    <w:name w:val="Normal (Web) Car"/>
    <w:link w:val="NormalWeb"/>
    <w:uiPriority w:val="99"/>
    <w:locked/>
    <w:rsid w:val="00A55931"/>
    <w:rPr>
      <w:rFonts w:ascii="Times New Roman" w:eastAsia="Times New Roman" w:hAnsi="Times New Roman" w:cs="Times New Roman"/>
      <w:sz w:val="24"/>
      <w:szCs w:val="24"/>
      <w:lang w:eastAsia="es-CO"/>
    </w:rPr>
  </w:style>
  <w:style w:type="character" w:customStyle="1" w:styleId="baj">
    <w:name w:val="b_aj"/>
    <w:basedOn w:val="Fuentedeprrafopredeter"/>
    <w:rsid w:val="00A55931"/>
  </w:style>
  <w:style w:type="paragraph" w:styleId="Subttulo">
    <w:name w:val="Subtitle"/>
    <w:basedOn w:val="Normal"/>
    <w:next w:val="Normal"/>
    <w:link w:val="SubttuloCar"/>
    <w:uiPriority w:val="11"/>
    <w:qFormat/>
    <w:rsid w:val="00350B3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50B3A"/>
    <w:rPr>
      <w:rFonts w:eastAsiaTheme="majorEastAsia" w:cstheme="majorBidi"/>
      <w:color w:val="595959" w:themeColor="text1" w:themeTint="A6"/>
      <w:spacing w:val="15"/>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041277548">
      <w:bodyDiv w:val="1"/>
      <w:marLeft w:val="0"/>
      <w:marRight w:val="0"/>
      <w:marTop w:val="0"/>
      <w:marBottom w:val="0"/>
      <w:divBdr>
        <w:top w:val="none" w:sz="0" w:space="0" w:color="auto"/>
        <w:left w:val="none" w:sz="0" w:space="0" w:color="auto"/>
        <w:bottom w:val="none" w:sz="0" w:space="0" w:color="auto"/>
        <w:right w:val="none" w:sz="0" w:space="0" w:color="auto"/>
      </w:divBdr>
      <w:divsChild>
        <w:div w:id="1831367081">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A58F8619-F317-4937-94FB-EFDF4D2D9A11}">
  <ds:schemaRefs>
    <ds:schemaRef ds:uri="http://schemas.openxmlformats.org/officeDocument/2006/bibliography"/>
  </ds:schemaRefs>
</ds:datastoreItem>
</file>

<file path=customXml/itemProps4.xml><?xml version="1.0" encoding="utf-8"?>
<ds:datastoreItem xmlns:ds="http://schemas.openxmlformats.org/officeDocument/2006/customXml" ds:itemID="{0D65F992-CC39-475F-B7D1-F387C30F51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162</TotalTime>
  <Pages>23</Pages>
  <Words>7303</Words>
  <Characters>40099</Characters>
  <Application>Microsoft Office Word</Application>
  <DocSecurity>0</DocSecurity>
  <Lines>771</Lines>
  <Paragraphs>155</Paragraphs>
  <ScaleCrop>false</ScaleCrop>
  <Company/>
  <LinksUpToDate>false</LinksUpToDate>
  <CharactersWithSpaces>47247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60</cp:revision>
  <cp:lastPrinted>2023-01-10T21:18:00Z</cp:lastPrinted>
  <dcterms:created xsi:type="dcterms:W3CDTF">2026-02-05T12:39:00Z</dcterms:created>
  <dcterms:modified xsi:type="dcterms:W3CDTF">2026-02-17T22:29:00Z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