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CE9367" w14:textId="77777777" w:rsidR="0024123D" w:rsidRPr="00A35D0E" w:rsidRDefault="0024123D" w:rsidP="0024123D">
      <w:pPr>
        <w:spacing w:after="0" w:line="240" w:lineRule="auto"/>
        <w:jc w:val="both"/>
        <w:rPr>
          <w:rFonts w:ascii="Verdana" w:eastAsia="Calibri" w:hAnsi="Verdana" w:cs="Arial"/>
          <w:b/>
          <w:color w:val="000000" w:themeColor="text1"/>
        </w:rPr>
      </w:pPr>
      <w:r w:rsidRPr="00A35D0E">
        <w:rPr>
          <w:rFonts w:ascii="Verdana" w:eastAsia="Calibri" w:hAnsi="Verdana" w:cs="Arial"/>
          <w:b/>
          <w:color w:val="000000" w:themeColor="text1"/>
        </w:rPr>
        <w:t xml:space="preserve">CONTRATO DE PRESTACIÓN DE SERVICIOS </w:t>
      </w:r>
      <w:bookmarkStart w:id="0" w:name="_Hlk39676694"/>
      <w:r w:rsidRPr="00A35D0E">
        <w:rPr>
          <w:rFonts w:ascii="Verdana" w:eastAsia="Calibri" w:hAnsi="Verdana" w:cs="Arial"/>
          <w:b/>
          <w:color w:val="000000" w:themeColor="text1"/>
        </w:rPr>
        <w:t>–</w:t>
      </w:r>
      <w:bookmarkEnd w:id="0"/>
      <w:r w:rsidRPr="00A35D0E">
        <w:rPr>
          <w:rFonts w:ascii="Verdana" w:eastAsia="Calibri" w:hAnsi="Verdana" w:cs="Arial"/>
          <w:b/>
          <w:color w:val="000000" w:themeColor="text1"/>
        </w:rPr>
        <w:t xml:space="preserve"> Noción – Características</w:t>
      </w:r>
    </w:p>
    <w:p w14:paraId="46F98CBE" w14:textId="77777777" w:rsidR="0024123D" w:rsidRPr="00A35D0E" w:rsidRDefault="0024123D" w:rsidP="0024123D">
      <w:pPr>
        <w:spacing w:after="0" w:line="240" w:lineRule="auto"/>
        <w:jc w:val="both"/>
        <w:rPr>
          <w:rFonts w:ascii="Verdana" w:eastAsia="Calibri" w:hAnsi="Verdana" w:cs="Arial"/>
          <w:b/>
          <w:color w:val="000000" w:themeColor="text1"/>
          <w:sz w:val="20"/>
          <w:szCs w:val="20"/>
        </w:rPr>
      </w:pPr>
    </w:p>
    <w:p w14:paraId="6E9922F2" w14:textId="77777777" w:rsidR="0024123D" w:rsidRDefault="0024123D" w:rsidP="0024123D">
      <w:pPr>
        <w:spacing w:after="0" w:line="240" w:lineRule="auto"/>
        <w:jc w:val="both"/>
        <w:rPr>
          <w:rFonts w:ascii="Verdana" w:eastAsia="Calibri" w:hAnsi="Verdana" w:cs="Arial"/>
          <w:color w:val="000000" w:themeColor="text1"/>
          <w:sz w:val="20"/>
          <w:szCs w:val="20"/>
        </w:rPr>
      </w:pPr>
      <w:r w:rsidRPr="00A35D0E">
        <w:rPr>
          <w:rFonts w:ascii="Verdana" w:eastAsia="Calibri" w:hAnsi="Verdana" w:cs="Arial"/>
          <w:color w:val="000000" w:themeColor="text1"/>
          <w:sz w:val="20"/>
          <w:szCs w:val="20"/>
        </w:rPr>
        <w:t>[…] el contrato de prestación de servicios profesionales es uno de los tipos contractuales consagrados en el Estatuto General de Contratación de la Administración Pública, que pueden celebrar las entidades estatales. En tal sentido, se trata de un contrato típico, ya que se encuentra definido en la ley.</w:t>
      </w:r>
    </w:p>
    <w:p w14:paraId="03DE9A86" w14:textId="77777777" w:rsidR="0024123D" w:rsidRPr="00A35D0E" w:rsidRDefault="0024123D" w:rsidP="0024123D">
      <w:pPr>
        <w:spacing w:after="0" w:line="240" w:lineRule="auto"/>
        <w:jc w:val="both"/>
        <w:rPr>
          <w:rFonts w:ascii="Verdana" w:eastAsia="Calibri" w:hAnsi="Verdana" w:cs="Arial"/>
          <w:color w:val="000000" w:themeColor="text1"/>
          <w:sz w:val="20"/>
          <w:szCs w:val="20"/>
        </w:rPr>
      </w:pPr>
    </w:p>
    <w:p w14:paraId="0DDABCDB" w14:textId="77777777" w:rsidR="0024123D" w:rsidRPr="00A35D0E" w:rsidRDefault="0024123D" w:rsidP="0024123D">
      <w:pPr>
        <w:spacing w:after="0" w:line="240" w:lineRule="auto"/>
        <w:jc w:val="both"/>
        <w:rPr>
          <w:rFonts w:ascii="Verdana" w:eastAsia="Calibri" w:hAnsi="Verdana" w:cs="Arial"/>
          <w:color w:val="000000" w:themeColor="text1"/>
          <w:sz w:val="20"/>
          <w:szCs w:val="20"/>
        </w:rPr>
      </w:pPr>
      <w:r w:rsidRPr="00A35D0E">
        <w:rPr>
          <w:rFonts w:ascii="Verdana" w:eastAsia="Calibri" w:hAnsi="Verdana" w:cs="Arial"/>
          <w:color w:val="000000" w:themeColor="text1"/>
          <w:sz w:val="20"/>
          <w:szCs w:val="20"/>
        </w:rPr>
        <w:t xml:space="preserve">Sus principales características son: i) Solo puede celebrarse para realizar «actividades relacionadas con la administración o funcionamiento de la entidad», es decir, que hagan parte de su giro ordinario o quehacer cotidiano; </w:t>
      </w:r>
      <w:proofErr w:type="spellStart"/>
      <w:r w:rsidRPr="00A35D0E">
        <w:rPr>
          <w:rFonts w:ascii="Verdana" w:eastAsia="Calibri" w:hAnsi="Verdana" w:cs="Arial"/>
          <w:color w:val="000000" w:themeColor="text1"/>
          <w:sz w:val="20"/>
          <w:szCs w:val="20"/>
        </w:rPr>
        <w:t>ii</w:t>
      </w:r>
      <w:proofErr w:type="spellEnd"/>
      <w:r w:rsidRPr="00A35D0E">
        <w:rPr>
          <w:rFonts w:ascii="Verdana" w:eastAsia="Calibri" w:hAnsi="Verdana" w:cs="Arial"/>
          <w:color w:val="000000" w:themeColor="text1"/>
          <w:sz w:val="20"/>
          <w:szCs w:val="20"/>
        </w:rPr>
        <w:t xml:space="preserve">)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w:t>
      </w:r>
      <w:proofErr w:type="spellStart"/>
      <w:r w:rsidRPr="00A35D0E">
        <w:rPr>
          <w:rFonts w:ascii="Verdana" w:eastAsia="Calibri" w:hAnsi="Verdana" w:cs="Arial"/>
          <w:color w:val="000000" w:themeColor="text1"/>
          <w:sz w:val="20"/>
          <w:szCs w:val="20"/>
        </w:rPr>
        <w:t>iii</w:t>
      </w:r>
      <w:proofErr w:type="spellEnd"/>
      <w:r w:rsidRPr="00A35D0E">
        <w:rPr>
          <w:rFonts w:ascii="Verdana" w:eastAsia="Calibri" w:hAnsi="Verdana" w:cs="Arial"/>
          <w:color w:val="000000" w:themeColor="text1"/>
          <w:sz w:val="20"/>
          <w:szCs w:val="20"/>
        </w:rPr>
        <w:t xml:space="preserve">)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subordinación y dependencia que es uno de los elementos constitutivos del vínculo laboral; </w:t>
      </w:r>
      <w:proofErr w:type="spellStart"/>
      <w:r w:rsidRPr="00A35D0E">
        <w:rPr>
          <w:rFonts w:ascii="Verdana" w:eastAsia="Calibri" w:hAnsi="Verdana" w:cs="Arial"/>
          <w:color w:val="000000" w:themeColor="text1"/>
          <w:sz w:val="20"/>
          <w:szCs w:val="20"/>
        </w:rPr>
        <w:t>iv</w:t>
      </w:r>
      <w:proofErr w:type="spellEnd"/>
      <w:r w:rsidRPr="00A35D0E">
        <w:rPr>
          <w:rFonts w:ascii="Verdana" w:eastAsia="Calibri" w:hAnsi="Verdana" w:cs="Arial"/>
          <w:color w:val="000000" w:themeColor="text1"/>
          <w:sz w:val="20"/>
          <w:szCs w:val="20"/>
        </w:rPr>
        <w:t xml:space="preserve">) debe ser temporal; v) hacen parte del género denominado contratos de prestación de servicios, dentro del cual también se ubican, como especies, los contratos de prestación de servicios de apoyo a la gestión y los contratos de prestación de servicios artísticos; vi) su celebración debe realizarse a través de la modalidad de contratación directa; </w:t>
      </w:r>
      <w:proofErr w:type="spellStart"/>
      <w:r w:rsidRPr="00A35D0E">
        <w:rPr>
          <w:rFonts w:ascii="Verdana" w:eastAsia="Calibri" w:hAnsi="Verdana" w:cs="Arial"/>
          <w:color w:val="000000" w:themeColor="text1"/>
          <w:sz w:val="20"/>
          <w:szCs w:val="20"/>
        </w:rPr>
        <w:t>vii</w:t>
      </w:r>
      <w:proofErr w:type="spellEnd"/>
      <w:r w:rsidRPr="00A35D0E">
        <w:rPr>
          <w:rFonts w:ascii="Verdana" w:eastAsia="Calibri" w:hAnsi="Verdana" w:cs="Arial"/>
          <w:color w:val="000000" w:themeColor="text1"/>
          <w:sz w:val="20"/>
          <w:szCs w:val="20"/>
        </w:rPr>
        <w:t xml:space="preserve">) para su celebración no se requiere la expedición del acto administrativo de justificación de la contratación directa; </w:t>
      </w:r>
      <w:proofErr w:type="spellStart"/>
      <w:r w:rsidRPr="00A35D0E">
        <w:rPr>
          <w:rFonts w:ascii="Verdana" w:eastAsia="Calibri" w:hAnsi="Verdana" w:cs="Arial"/>
          <w:color w:val="000000" w:themeColor="text1"/>
          <w:sz w:val="20"/>
          <w:szCs w:val="20"/>
        </w:rPr>
        <w:t>viii</w:t>
      </w:r>
      <w:proofErr w:type="spellEnd"/>
      <w:r w:rsidRPr="00A35D0E">
        <w:rPr>
          <w:rFonts w:ascii="Verdana" w:eastAsia="Calibri" w:hAnsi="Verdana" w:cs="Arial"/>
          <w:color w:val="000000" w:themeColor="text1"/>
          <w:sz w:val="20"/>
          <w:szCs w:val="20"/>
        </w:rPr>
        <w:t xml:space="preserve">) admite el pacto de cláusulas excepcionales; </w:t>
      </w:r>
      <w:proofErr w:type="spellStart"/>
      <w:r w:rsidRPr="00A35D0E">
        <w:rPr>
          <w:rFonts w:ascii="Verdana" w:eastAsia="Calibri" w:hAnsi="Verdana" w:cs="Arial"/>
          <w:color w:val="000000" w:themeColor="text1"/>
          <w:sz w:val="20"/>
          <w:szCs w:val="20"/>
        </w:rPr>
        <w:t>ix</w:t>
      </w:r>
      <w:proofErr w:type="spellEnd"/>
      <w:r w:rsidRPr="00A35D0E">
        <w:rPr>
          <w:rFonts w:ascii="Verdana" w:eastAsia="Calibri" w:hAnsi="Verdana" w:cs="Arial"/>
          <w:color w:val="000000" w:themeColor="text1"/>
          <w:sz w:val="20"/>
          <w:szCs w:val="20"/>
        </w:rPr>
        <w:t>) en él no es obligatoria la liquidación; x) para su celebración no se requiere inscripción en el Registro Único de Proponentes (RUP); xi) en él no son necesarias las garantías.</w:t>
      </w:r>
    </w:p>
    <w:p w14:paraId="1B8BDD8D" w14:textId="77777777" w:rsidR="0024123D" w:rsidRPr="00A35D0E" w:rsidRDefault="0024123D" w:rsidP="0024123D">
      <w:pPr>
        <w:spacing w:after="0" w:line="240" w:lineRule="auto"/>
        <w:jc w:val="both"/>
        <w:rPr>
          <w:rFonts w:ascii="Verdana" w:eastAsia="Calibri" w:hAnsi="Verdana" w:cs="Arial"/>
          <w:b/>
          <w:color w:val="000000" w:themeColor="text1"/>
          <w:sz w:val="20"/>
          <w:szCs w:val="20"/>
        </w:rPr>
      </w:pPr>
    </w:p>
    <w:p w14:paraId="5FBF2258" w14:textId="77777777" w:rsidR="0024123D" w:rsidRPr="00051B3E" w:rsidRDefault="0024123D" w:rsidP="0024123D">
      <w:pPr>
        <w:spacing w:after="0"/>
        <w:jc w:val="both"/>
        <w:rPr>
          <w:rFonts w:ascii="Verdana" w:eastAsia="Calibri" w:hAnsi="Verdana" w:cs="Arial"/>
          <w:b/>
          <w:lang w:val="es-ES_tradnl"/>
        </w:rPr>
      </w:pPr>
      <w:r w:rsidRPr="00051B3E">
        <w:rPr>
          <w:rFonts w:ascii="Verdana" w:eastAsia="Calibri" w:hAnsi="Verdana" w:cs="Arial"/>
          <w:b/>
          <w:lang w:val="es-ES_tradnl"/>
        </w:rPr>
        <w:t xml:space="preserve">ESTUDIOS DEL SECTOR </w:t>
      </w:r>
      <w:r w:rsidRPr="00051B3E">
        <w:rPr>
          <w:rFonts w:ascii="Verdana" w:eastAsia="Calibri" w:hAnsi="Verdana" w:cs="Arial"/>
          <w:b/>
          <w:color w:val="000000" w:themeColor="text1"/>
        </w:rPr>
        <w:t>–</w:t>
      </w:r>
      <w:r w:rsidRPr="00051B3E">
        <w:rPr>
          <w:rFonts w:ascii="Verdana" w:eastAsia="Calibri" w:hAnsi="Verdana" w:cs="Arial"/>
          <w:b/>
          <w:lang w:val="es-ES_tradnl"/>
        </w:rPr>
        <w:t xml:space="preserve"> Manifestación </w:t>
      </w:r>
      <w:r w:rsidRPr="00051B3E">
        <w:rPr>
          <w:rFonts w:ascii="Verdana" w:eastAsia="Calibri" w:hAnsi="Verdana" w:cs="Arial"/>
          <w:b/>
          <w:color w:val="000000" w:themeColor="text1"/>
        </w:rPr>
        <w:t>– P</w:t>
      </w:r>
      <w:proofErr w:type="spellStart"/>
      <w:r w:rsidRPr="00051B3E">
        <w:rPr>
          <w:rFonts w:ascii="Verdana" w:eastAsia="Calibri" w:hAnsi="Verdana" w:cs="Arial"/>
          <w:b/>
          <w:lang w:val="es-ES_tradnl"/>
        </w:rPr>
        <w:t>rincipio</w:t>
      </w:r>
      <w:proofErr w:type="spellEnd"/>
      <w:r w:rsidRPr="00051B3E">
        <w:rPr>
          <w:rFonts w:ascii="Verdana" w:eastAsia="Calibri" w:hAnsi="Verdana" w:cs="Arial"/>
          <w:b/>
          <w:lang w:val="es-ES_tradnl"/>
        </w:rPr>
        <w:t xml:space="preserve"> de planeación </w:t>
      </w:r>
    </w:p>
    <w:p w14:paraId="429565AE" w14:textId="77777777" w:rsidR="0024123D" w:rsidRPr="00051B3E" w:rsidRDefault="0024123D" w:rsidP="0024123D">
      <w:pPr>
        <w:spacing w:after="0"/>
        <w:jc w:val="both"/>
        <w:rPr>
          <w:rFonts w:ascii="Verdana" w:eastAsia="Calibri" w:hAnsi="Verdana" w:cs="Arial"/>
          <w:sz w:val="20"/>
          <w:szCs w:val="20"/>
          <w:lang w:val="es-ES_tradnl"/>
        </w:rPr>
      </w:pPr>
    </w:p>
    <w:p w14:paraId="786AAAA3" w14:textId="77777777" w:rsidR="0024123D" w:rsidRDefault="0024123D" w:rsidP="0024123D">
      <w:pPr>
        <w:tabs>
          <w:tab w:val="left" w:pos="426"/>
        </w:tabs>
        <w:spacing w:after="0"/>
        <w:jc w:val="both"/>
        <w:rPr>
          <w:rFonts w:ascii="Verdana" w:eastAsia="Calibri" w:hAnsi="Verdana" w:cs="Arial"/>
          <w:sz w:val="20"/>
          <w:szCs w:val="20"/>
          <w:lang w:val="es-ES"/>
        </w:rPr>
      </w:pPr>
      <w:r w:rsidRPr="00051B3E">
        <w:rPr>
          <w:rFonts w:ascii="Verdana" w:eastAsia="Calibri" w:hAnsi="Verdana" w:cs="Arial"/>
          <w:sz w:val="20"/>
          <w:szCs w:val="20"/>
          <w:lang w:val="es-ES"/>
        </w:rPr>
        <w:t>[…] 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a la hora de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2F2114AB" w14:textId="77777777" w:rsidR="0024123D" w:rsidRPr="00051B3E" w:rsidRDefault="0024123D" w:rsidP="0024123D">
      <w:pPr>
        <w:tabs>
          <w:tab w:val="left" w:pos="426"/>
        </w:tabs>
        <w:spacing w:after="0"/>
        <w:jc w:val="both"/>
        <w:rPr>
          <w:rFonts w:ascii="Verdana" w:eastAsia="Calibri" w:hAnsi="Verdana" w:cs="Arial"/>
          <w:sz w:val="20"/>
          <w:szCs w:val="20"/>
          <w:lang w:val="es-ES"/>
        </w:rPr>
      </w:pPr>
    </w:p>
    <w:p w14:paraId="2322BBB7" w14:textId="77777777" w:rsidR="0024123D" w:rsidRPr="004D25C6" w:rsidRDefault="0024123D" w:rsidP="0024123D">
      <w:pPr>
        <w:tabs>
          <w:tab w:val="left" w:pos="426"/>
        </w:tabs>
        <w:spacing w:after="0"/>
        <w:jc w:val="both"/>
        <w:rPr>
          <w:rFonts w:ascii="Verdana" w:eastAsia="Calibri" w:hAnsi="Verdana" w:cs="Arial"/>
          <w:sz w:val="20"/>
          <w:lang w:val="es-ES_tradnl"/>
        </w:rPr>
      </w:pPr>
      <w:r w:rsidRPr="00051B3E">
        <w:rPr>
          <w:rFonts w:ascii="Verdana" w:eastAsia="Calibri" w:hAnsi="Verdana" w:cs="Arial"/>
          <w:sz w:val="20"/>
          <w:lang w:val="es-ES_tradnl"/>
        </w:rPr>
        <w:lastRenderedPageBreak/>
        <w:t>[…]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06881BEC" w14:textId="77777777" w:rsidR="0024123D" w:rsidRPr="009B46EA" w:rsidRDefault="0024123D" w:rsidP="0024123D">
      <w:pPr>
        <w:spacing w:after="0" w:line="240" w:lineRule="auto"/>
        <w:jc w:val="both"/>
        <w:rPr>
          <w:rFonts w:ascii="Verdana" w:hAnsi="Verdana" w:cs="Arial"/>
          <w:color w:val="000000" w:themeColor="text1"/>
          <w:sz w:val="21"/>
          <w:szCs w:val="21"/>
          <w:lang w:val="es-ES_tradnl"/>
        </w:rPr>
      </w:pPr>
    </w:p>
    <w:p w14:paraId="2EA3E84E" w14:textId="77777777" w:rsidR="0024123D" w:rsidRPr="009B46EA" w:rsidRDefault="0024123D" w:rsidP="0024123D">
      <w:pPr>
        <w:spacing w:after="0" w:line="240" w:lineRule="auto"/>
        <w:jc w:val="both"/>
        <w:rPr>
          <w:rFonts w:ascii="Verdana" w:eastAsia="Calibri" w:hAnsi="Verdana" w:cs="Arial"/>
          <w:b/>
          <w:color w:val="000000" w:themeColor="text1"/>
          <w:lang w:val="es-ES_tradnl"/>
        </w:rPr>
      </w:pPr>
      <w:bookmarkStart w:id="1" w:name="_Hlk109118876"/>
      <w:r>
        <w:rPr>
          <w:rFonts w:ascii="Verdana" w:eastAsia="Calibri" w:hAnsi="Verdana" w:cs="Arial"/>
          <w:b/>
          <w:color w:val="000000" w:themeColor="text1"/>
          <w:lang w:val="es-ES_tradnl"/>
        </w:rPr>
        <w:t>HONORARIOS</w:t>
      </w:r>
      <w:r w:rsidRPr="009B46EA">
        <w:rPr>
          <w:rFonts w:ascii="Verdana" w:eastAsia="Calibri" w:hAnsi="Verdana" w:cs="Arial"/>
          <w:b/>
          <w:color w:val="000000" w:themeColor="text1"/>
          <w:lang w:val="es-ES_tradnl"/>
        </w:rPr>
        <w:t xml:space="preserve"> –</w:t>
      </w:r>
      <w:bookmarkEnd w:id="1"/>
      <w:r w:rsidRPr="009B46EA">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Autonomía de la voluntad</w:t>
      </w:r>
      <w:r w:rsidRPr="009B46EA">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Tablas de honorarios</w:t>
      </w:r>
      <w:r w:rsidRPr="009B46EA">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 Carácter facultativo</w:t>
      </w:r>
    </w:p>
    <w:p w14:paraId="6113BB52" w14:textId="77777777" w:rsidR="0024123D" w:rsidRPr="009B46EA" w:rsidRDefault="0024123D" w:rsidP="0024123D">
      <w:pPr>
        <w:spacing w:after="0" w:line="240" w:lineRule="auto"/>
        <w:jc w:val="both"/>
        <w:rPr>
          <w:rFonts w:ascii="Verdana" w:eastAsia="Calibri" w:hAnsi="Verdana" w:cs="Arial"/>
          <w:b/>
          <w:color w:val="000000" w:themeColor="text1"/>
          <w:lang w:val="es-ES_tradnl"/>
        </w:rPr>
      </w:pPr>
    </w:p>
    <w:p w14:paraId="4D062177" w14:textId="77777777" w:rsidR="0024123D" w:rsidRDefault="0024123D" w:rsidP="0024123D">
      <w:pPr>
        <w:spacing w:after="0" w:line="240" w:lineRule="auto"/>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E</w:t>
      </w:r>
      <w:r w:rsidRPr="002314D1">
        <w:rPr>
          <w:rFonts w:ascii="Verdana" w:hAnsi="Verdana" w:cs="Arial"/>
          <w:color w:val="000000" w:themeColor="text1"/>
          <w:sz w:val="20"/>
          <w:szCs w:val="20"/>
          <w:lang w:val="es-ES_tradnl"/>
        </w:rPr>
        <w:t>n relación con los honorarios en los contratos de prestación de servicios, es pertinente precisar que no una disposición que establezca la forma en la que deberían fijarse, pues en virtud del principio de autonomía de la voluntad, las partes pueden determinar el contenido de los contratos estatales e incluir las condiciones, cláusulas o estipulaciones que consideren necesarias para desarrollar el objeto contractual, siempre que no sean contrarias a la Constitución Política, la ley y el orden público. En ese sentido, las entidades públicas determinan el monto de los honorarios de los contratos de prestación de servicios profesionales, de apoyo a la gestión y trabajos artísticos de conformidad con lo establecido en el análisis del sector y en los documentos o estudios previos.</w:t>
      </w:r>
    </w:p>
    <w:p w14:paraId="7F3EA28D" w14:textId="77777777" w:rsidR="0024123D" w:rsidRPr="002314D1" w:rsidRDefault="0024123D" w:rsidP="0024123D">
      <w:pPr>
        <w:spacing w:after="0" w:line="240" w:lineRule="auto"/>
        <w:jc w:val="both"/>
        <w:rPr>
          <w:rFonts w:ascii="Verdana" w:hAnsi="Verdana" w:cs="Arial"/>
          <w:color w:val="000000" w:themeColor="text1"/>
          <w:sz w:val="20"/>
          <w:szCs w:val="20"/>
          <w:lang w:val="es-ES_tradnl"/>
        </w:rPr>
      </w:pPr>
    </w:p>
    <w:p w14:paraId="20EEF0A3" w14:textId="77777777" w:rsidR="0024123D" w:rsidRPr="009B46EA" w:rsidRDefault="0024123D" w:rsidP="0024123D">
      <w:pPr>
        <w:spacing w:after="0" w:line="240" w:lineRule="auto"/>
        <w:jc w:val="both"/>
        <w:rPr>
          <w:rFonts w:ascii="Verdana" w:hAnsi="Verdana" w:cs="Arial"/>
          <w:color w:val="000000" w:themeColor="text1"/>
          <w:sz w:val="20"/>
          <w:szCs w:val="20"/>
          <w:lang w:val="es-ES_tradnl"/>
        </w:rPr>
      </w:pPr>
      <w:r w:rsidRPr="002314D1">
        <w:rPr>
          <w:rFonts w:ascii="Verdana" w:hAnsi="Verdana" w:cs="Arial"/>
          <w:color w:val="000000" w:themeColor="text1"/>
          <w:sz w:val="20"/>
          <w:szCs w:val="20"/>
          <w:lang w:val="es-ES_tradnl"/>
        </w:rPr>
        <w:t>Ahora bien, el pago, denominado honorarios, constituye la retribución por una obligación de hacer, que se materializa en la ejecución de las obligaciones pactadas para satisfacer una necesidad de la entidad pública. Cabe resaltar, que ni la Ley 80 de 1993, ni la Ley 1150 de 2007, ni el Decreto 1082 de 2015 establecen la obligatoriedad de implementar tablas de honorarios, estandarizar perfiles, ni fijar condiciones uniformes para el pago de los honorarios en los contratos de prestación de servicios. No obstante, ello no impide que las entidades, en ejercicio de su discrecionalidad, puedan adoptar tales medidas si lo consideran pertinente.</w:t>
      </w:r>
    </w:p>
    <w:p w14:paraId="099268F9" w14:textId="77777777" w:rsidR="0024123D" w:rsidRPr="009B46EA" w:rsidRDefault="0024123D" w:rsidP="0024123D">
      <w:pPr>
        <w:spacing w:after="0" w:line="240" w:lineRule="auto"/>
        <w:jc w:val="both"/>
        <w:rPr>
          <w:rFonts w:ascii="Verdana" w:hAnsi="Verdana" w:cs="Arial"/>
          <w:color w:val="000000" w:themeColor="text1"/>
          <w:sz w:val="20"/>
          <w:szCs w:val="20"/>
          <w:lang w:val="es-ES_tradnl"/>
        </w:rPr>
      </w:pPr>
    </w:p>
    <w:p w14:paraId="50D1BE12" w14:textId="77777777" w:rsidR="0024123D" w:rsidRDefault="0024123D" w:rsidP="0024123D">
      <w:pPr>
        <w:spacing w:after="0" w:line="240" w:lineRule="auto"/>
        <w:jc w:val="both"/>
        <w:rPr>
          <w:rFonts w:ascii="Verdana" w:eastAsia="Calibri" w:hAnsi="Verdana" w:cs="Arial"/>
          <w:b/>
          <w:color w:val="000000" w:themeColor="text1"/>
          <w:lang w:val="es-ES_tradnl"/>
        </w:rPr>
      </w:pPr>
    </w:p>
    <w:p w14:paraId="1975996D" w14:textId="77777777" w:rsidR="0024123D" w:rsidRDefault="0024123D" w:rsidP="0024123D">
      <w:pPr>
        <w:spacing w:after="0" w:line="240" w:lineRule="auto"/>
        <w:jc w:val="both"/>
        <w:rPr>
          <w:rFonts w:ascii="Verdana" w:eastAsia="Calibri" w:hAnsi="Verdana" w:cs="Arial"/>
          <w:b/>
          <w:color w:val="000000" w:themeColor="text1"/>
          <w:lang w:val="es-ES_tradnl"/>
        </w:rPr>
      </w:pPr>
    </w:p>
    <w:p w14:paraId="4F8B98C1" w14:textId="77777777" w:rsidR="0024123D" w:rsidRDefault="0024123D" w:rsidP="0024123D">
      <w:pPr>
        <w:spacing w:after="0" w:line="240" w:lineRule="auto"/>
        <w:jc w:val="both"/>
        <w:rPr>
          <w:rFonts w:ascii="Verdana" w:eastAsia="Calibri" w:hAnsi="Verdana" w:cs="Arial"/>
          <w:b/>
          <w:color w:val="000000" w:themeColor="text1"/>
          <w:lang w:val="es-ES_tradnl"/>
        </w:rPr>
      </w:pPr>
    </w:p>
    <w:p w14:paraId="396FF9C2" w14:textId="77777777" w:rsidR="0024123D" w:rsidRDefault="0024123D" w:rsidP="0024123D">
      <w:pPr>
        <w:spacing w:after="0" w:line="240" w:lineRule="auto"/>
        <w:jc w:val="both"/>
        <w:rPr>
          <w:rFonts w:ascii="Verdana" w:eastAsia="Calibri" w:hAnsi="Verdana" w:cs="Arial"/>
          <w:b/>
          <w:color w:val="000000" w:themeColor="text1"/>
          <w:lang w:val="es-ES_tradnl"/>
        </w:rPr>
      </w:pPr>
    </w:p>
    <w:p w14:paraId="17CD528F" w14:textId="77777777" w:rsidR="0024123D" w:rsidRDefault="0024123D" w:rsidP="0024123D">
      <w:pPr>
        <w:spacing w:after="0" w:line="240" w:lineRule="auto"/>
        <w:jc w:val="both"/>
        <w:rPr>
          <w:rFonts w:ascii="Verdana" w:eastAsia="Calibri" w:hAnsi="Verdana" w:cs="Arial"/>
          <w:b/>
          <w:color w:val="000000" w:themeColor="text1"/>
          <w:lang w:val="es-ES_tradnl"/>
        </w:rPr>
      </w:pPr>
    </w:p>
    <w:p w14:paraId="3AE4EB93" w14:textId="77777777" w:rsidR="0024123D" w:rsidRDefault="0024123D" w:rsidP="0024123D">
      <w:pPr>
        <w:spacing w:after="0" w:line="240" w:lineRule="auto"/>
        <w:jc w:val="both"/>
        <w:rPr>
          <w:rFonts w:ascii="Verdana" w:eastAsia="Calibri" w:hAnsi="Verdana" w:cs="Arial"/>
          <w:b/>
          <w:color w:val="000000" w:themeColor="text1"/>
          <w:lang w:val="es-ES_tradnl"/>
        </w:rPr>
      </w:pPr>
    </w:p>
    <w:p w14:paraId="7B2E4602" w14:textId="77777777" w:rsidR="0024123D" w:rsidRDefault="0024123D" w:rsidP="0024123D">
      <w:pPr>
        <w:spacing w:after="0" w:line="240" w:lineRule="auto"/>
        <w:jc w:val="both"/>
        <w:rPr>
          <w:rFonts w:ascii="Verdana" w:eastAsia="Geomanist Light" w:hAnsi="Verdana" w:cs="Arial"/>
          <w:color w:val="000000" w:themeColor="text1"/>
          <w:lang w:val="es-MX"/>
        </w:rPr>
      </w:pPr>
    </w:p>
    <w:p w14:paraId="3940B23D" w14:textId="77777777" w:rsidR="0024123D" w:rsidRDefault="0024123D" w:rsidP="0024123D">
      <w:pPr>
        <w:spacing w:after="0" w:line="240" w:lineRule="auto"/>
        <w:jc w:val="both"/>
        <w:rPr>
          <w:rFonts w:ascii="Verdana" w:eastAsia="Geomanist Light" w:hAnsi="Verdana" w:cs="Arial"/>
          <w:color w:val="000000" w:themeColor="text1"/>
          <w:lang w:val="es-MX"/>
        </w:rPr>
      </w:pPr>
    </w:p>
    <w:p w14:paraId="02029D37" w14:textId="77777777" w:rsidR="0024123D" w:rsidRDefault="0024123D" w:rsidP="0024123D">
      <w:pPr>
        <w:spacing w:after="0" w:line="240" w:lineRule="auto"/>
        <w:jc w:val="both"/>
        <w:rPr>
          <w:rFonts w:ascii="Verdana" w:eastAsia="Geomanist Light" w:hAnsi="Verdana" w:cs="Arial"/>
          <w:color w:val="000000" w:themeColor="text1"/>
          <w:lang w:val="es-MX"/>
        </w:rPr>
      </w:pPr>
    </w:p>
    <w:p w14:paraId="3955EC4C" w14:textId="77777777" w:rsidR="0024123D" w:rsidRDefault="0024123D" w:rsidP="0024123D">
      <w:pPr>
        <w:spacing w:after="0" w:line="240" w:lineRule="auto"/>
        <w:jc w:val="both"/>
        <w:rPr>
          <w:rFonts w:ascii="Verdana" w:eastAsia="Geomanist Light" w:hAnsi="Verdana" w:cs="Arial"/>
          <w:color w:val="000000" w:themeColor="text1"/>
          <w:lang w:val="es-MX"/>
        </w:rPr>
      </w:pPr>
    </w:p>
    <w:p w14:paraId="3056E49F" w14:textId="77777777" w:rsidR="0024123D" w:rsidRDefault="0024123D" w:rsidP="0024123D">
      <w:pPr>
        <w:spacing w:after="0" w:line="240" w:lineRule="auto"/>
        <w:jc w:val="both"/>
        <w:rPr>
          <w:rFonts w:ascii="Verdana" w:eastAsia="Geomanist Light" w:hAnsi="Verdana" w:cs="Arial"/>
          <w:color w:val="000000" w:themeColor="text1"/>
          <w:lang w:val="es-MX"/>
        </w:rPr>
      </w:pPr>
    </w:p>
    <w:p w14:paraId="108D7D68" w14:textId="77777777" w:rsidR="0024123D" w:rsidRDefault="0024123D" w:rsidP="0024123D">
      <w:pPr>
        <w:spacing w:after="0" w:line="240" w:lineRule="auto"/>
        <w:jc w:val="both"/>
        <w:rPr>
          <w:rFonts w:ascii="Verdana" w:eastAsia="Geomanist Light" w:hAnsi="Verdana" w:cs="Arial"/>
          <w:color w:val="000000" w:themeColor="text1"/>
          <w:lang w:val="es-MX"/>
        </w:rPr>
      </w:pPr>
    </w:p>
    <w:p w14:paraId="1F10C9DD" w14:textId="77777777" w:rsidR="0024123D" w:rsidRDefault="0024123D" w:rsidP="0024123D">
      <w:pPr>
        <w:spacing w:after="0" w:line="240" w:lineRule="auto"/>
        <w:jc w:val="both"/>
        <w:rPr>
          <w:rFonts w:ascii="Verdana" w:eastAsia="Geomanist Light" w:hAnsi="Verdana" w:cs="Arial"/>
          <w:color w:val="000000" w:themeColor="text1"/>
          <w:lang w:val="es-MX"/>
        </w:rPr>
      </w:pPr>
    </w:p>
    <w:p w14:paraId="5CF8F2A6" w14:textId="77777777" w:rsidR="0024123D" w:rsidRDefault="0024123D" w:rsidP="000034E2">
      <w:pPr>
        <w:spacing w:after="0" w:line="240" w:lineRule="auto"/>
        <w:jc w:val="both"/>
        <w:rPr>
          <w:rFonts w:ascii="Verdana" w:eastAsia="Geomanist Light" w:hAnsi="Verdana" w:cs="Arial"/>
          <w:color w:val="000000" w:themeColor="text1"/>
          <w:lang w:val="es-MX"/>
        </w:rPr>
      </w:pPr>
    </w:p>
    <w:p w14:paraId="5D9CC7C4" w14:textId="77777777" w:rsidR="007716AE" w:rsidRDefault="007716AE" w:rsidP="000034E2">
      <w:pPr>
        <w:spacing w:after="0" w:line="240" w:lineRule="auto"/>
        <w:jc w:val="both"/>
        <w:rPr>
          <w:rFonts w:ascii="Verdana" w:eastAsia="Geomanist Light" w:hAnsi="Verdana" w:cs="Arial"/>
          <w:color w:val="000000" w:themeColor="text1"/>
          <w:lang w:val="es-MX"/>
        </w:rPr>
      </w:pPr>
    </w:p>
    <w:p w14:paraId="28F1A94C" w14:textId="70D95B9F" w:rsidR="000034E2" w:rsidRPr="000666BB" w:rsidRDefault="000034E2" w:rsidP="000034E2">
      <w:pPr>
        <w:spacing w:after="0" w:line="240" w:lineRule="auto"/>
        <w:jc w:val="both"/>
        <w:rPr>
          <w:rFonts w:ascii="Verdana" w:eastAsia="Times New Roman" w:hAnsi="Verdana" w:cs="Arial"/>
          <w:color w:val="000000"/>
          <w:sz w:val="20"/>
          <w:szCs w:val="20"/>
          <w:lang w:eastAsia="es-MX"/>
        </w:rPr>
      </w:pPr>
      <w:r w:rsidRPr="00593A5F">
        <w:rPr>
          <w:rFonts w:ascii="Verdana" w:eastAsia="Geomanist Light" w:hAnsi="Verdana" w:cs="Arial"/>
          <w:color w:val="000000" w:themeColor="text1"/>
          <w:lang w:val="es-MX"/>
        </w:rPr>
        <w:lastRenderedPageBreak/>
        <w:t>Bogotá D.C., </w:t>
      </w:r>
      <w:r w:rsidR="004217E8" w:rsidRPr="004217E8">
        <w:rPr>
          <w:rFonts w:ascii="Verdana" w:eastAsia="Geomanist Light" w:hAnsi="Verdana" w:cs="Arial"/>
          <w:color w:val="000000" w:themeColor="text1"/>
          <w:lang w:val="es-MX"/>
        </w:rPr>
        <w:t xml:space="preserve">06 de </w:t>
      </w:r>
      <w:proofErr w:type="gramStart"/>
      <w:r w:rsidR="004217E8" w:rsidRPr="004217E8">
        <w:rPr>
          <w:rFonts w:ascii="Verdana" w:eastAsia="Geomanist Light" w:hAnsi="Verdana" w:cs="Arial"/>
          <w:color w:val="000000" w:themeColor="text1"/>
          <w:lang w:val="es-MX"/>
        </w:rPr>
        <w:t>Febrero</w:t>
      </w:r>
      <w:proofErr w:type="gramEnd"/>
      <w:r w:rsidR="004217E8" w:rsidRPr="004217E8">
        <w:rPr>
          <w:rFonts w:ascii="Verdana" w:eastAsia="Geomanist Light" w:hAnsi="Verdana" w:cs="Arial"/>
          <w:color w:val="000000" w:themeColor="text1"/>
          <w:lang w:val="es-MX"/>
        </w:rPr>
        <w:t xml:space="preserve"> de 2026</w:t>
      </w:r>
    </w:p>
    <w:p w14:paraId="59F89748" w14:textId="77777777" w:rsidR="000034E2" w:rsidRDefault="000034E2" w:rsidP="000034E2">
      <w:pPr>
        <w:spacing w:after="0" w:line="240" w:lineRule="auto"/>
        <w:jc w:val="both"/>
        <w:rPr>
          <w:rFonts w:ascii="Verdana" w:eastAsia="Calibri" w:hAnsi="Verdana" w:cs="Arial"/>
          <w:color w:val="000000"/>
          <w:lang w:val="es-ES"/>
        </w:rPr>
      </w:pPr>
    </w:p>
    <w:p w14:paraId="7BFD8055" w14:textId="44748515" w:rsidR="004217E8" w:rsidRDefault="00311B58" w:rsidP="00311B58">
      <w:pPr>
        <w:spacing w:after="0" w:line="240" w:lineRule="auto"/>
        <w:jc w:val="right"/>
        <w:rPr>
          <w:rFonts w:ascii="Verdana" w:eastAsia="Calibri" w:hAnsi="Verdana" w:cs="Arial"/>
          <w:color w:val="000000"/>
          <w:lang w:val="es-ES"/>
        </w:rPr>
      </w:pPr>
      <w:r w:rsidRPr="00311B58">
        <w:rPr>
          <w:rFonts w:ascii="Verdana" w:eastAsia="Calibri" w:hAnsi="Verdana" w:cs="Arial"/>
          <w:noProof/>
          <w:color w:val="000000"/>
          <w:lang w:val="es-ES"/>
        </w:rPr>
        <w:drawing>
          <wp:inline distT="0" distB="0" distL="0" distR="0" wp14:anchorId="45225A82" wp14:editId="51F70BEF">
            <wp:extent cx="3238500" cy="901700"/>
            <wp:effectExtent l="0" t="0" r="0" b="0"/>
            <wp:docPr id="14257717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771722" name=""/>
                    <pic:cNvPicPr/>
                  </pic:nvPicPr>
                  <pic:blipFill>
                    <a:blip r:embed="rId10"/>
                    <a:stretch>
                      <a:fillRect/>
                    </a:stretch>
                  </pic:blipFill>
                  <pic:spPr>
                    <a:xfrm>
                      <a:off x="0" y="0"/>
                      <a:ext cx="3238500" cy="901700"/>
                    </a:xfrm>
                    <a:prstGeom prst="rect">
                      <a:avLst/>
                    </a:prstGeom>
                  </pic:spPr>
                </pic:pic>
              </a:graphicData>
            </a:graphic>
          </wp:inline>
        </w:drawing>
      </w:r>
    </w:p>
    <w:p w14:paraId="30D09AB8" w14:textId="77777777" w:rsidR="000034E2" w:rsidRPr="00593A5F" w:rsidRDefault="000034E2" w:rsidP="000034E2">
      <w:pPr>
        <w:spacing w:after="0" w:line="240" w:lineRule="auto"/>
        <w:jc w:val="both"/>
        <w:rPr>
          <w:rFonts w:ascii="Verdana" w:eastAsia="Calibri" w:hAnsi="Verdana" w:cs="Arial"/>
          <w:color w:val="000000"/>
          <w:lang w:val="es-ES"/>
        </w:rPr>
      </w:pPr>
    </w:p>
    <w:p w14:paraId="4DCC5E75" w14:textId="77777777" w:rsidR="000034E2" w:rsidRPr="00B96799" w:rsidRDefault="000034E2" w:rsidP="000034E2">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345091A3" w14:textId="77777777" w:rsidR="000034E2" w:rsidRPr="0085423D" w:rsidRDefault="000034E2" w:rsidP="000034E2">
      <w:pPr>
        <w:spacing w:after="0" w:line="240" w:lineRule="auto"/>
        <w:rPr>
          <w:rFonts w:ascii="Verdana" w:eastAsia="Calibri" w:hAnsi="Verdana" w:cs="Arial"/>
          <w:b/>
          <w:lang w:val="es-ES_tradnl" w:eastAsia="es-ES_tradnl"/>
        </w:rPr>
      </w:pPr>
      <w:bookmarkStart w:id="2" w:name="OLE_LINK1"/>
      <w:r w:rsidRPr="00255F8E">
        <w:rPr>
          <w:rFonts w:ascii="Verdana" w:eastAsia="Calibri" w:hAnsi="Verdana" w:cs="Arial"/>
          <w:b/>
          <w:lang w:val="es-ES_tradnl" w:eastAsia="es-ES_tradnl"/>
        </w:rPr>
        <w:t>Jesús Esteban Cabrera España</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2"/>
    <w:p w14:paraId="11EFD99B" w14:textId="77777777" w:rsidR="000034E2" w:rsidRPr="00A804BA" w:rsidRDefault="000034E2" w:rsidP="000034E2">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255F8E">
        <w:rPr>
          <w:rFonts w:ascii="Verdana" w:hAnsi="Verdana"/>
        </w:rPr>
        <w:instrText>esteban9743.ec@gmail.com</w:instrText>
      </w:r>
      <w:r>
        <w:rPr>
          <w:rFonts w:ascii="Verdana" w:hAnsi="Verdana"/>
        </w:rPr>
        <w:instrText>"</w:instrText>
      </w:r>
      <w:r>
        <w:rPr>
          <w:rFonts w:ascii="Verdana" w:hAnsi="Verdana"/>
        </w:rPr>
      </w:r>
      <w:r>
        <w:rPr>
          <w:rFonts w:ascii="Verdana" w:hAnsi="Verdana"/>
        </w:rPr>
        <w:fldChar w:fldCharType="separate"/>
      </w:r>
      <w:r w:rsidRPr="0042784B">
        <w:rPr>
          <w:rStyle w:val="Hipervnculo"/>
          <w:rFonts w:ascii="Verdana" w:hAnsi="Verdana"/>
        </w:rPr>
        <w:t>esteban9743.ec@gmail.com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397BDC69" w14:textId="77777777" w:rsidR="000034E2" w:rsidRDefault="000034E2" w:rsidP="000034E2">
      <w:pPr>
        <w:spacing w:after="0" w:line="240" w:lineRule="auto"/>
        <w:rPr>
          <w:rFonts w:ascii="Verdana" w:eastAsia="Calibri" w:hAnsi="Verdana" w:cs="Arial"/>
          <w:lang w:val="es-ES" w:eastAsia="es-ES"/>
        </w:rPr>
      </w:pPr>
      <w:r w:rsidRPr="00255F8E">
        <w:rPr>
          <w:rFonts w:ascii="Verdana" w:eastAsia="Calibri" w:hAnsi="Verdana" w:cs="Arial"/>
          <w:lang w:val="es-ES" w:eastAsia="es-ES"/>
        </w:rPr>
        <w:t>San Juan de Pasto</w:t>
      </w:r>
      <w:r>
        <w:rPr>
          <w:rFonts w:ascii="Verdana" w:eastAsia="Calibri" w:hAnsi="Verdana" w:cs="Arial"/>
          <w:lang w:val="es-ES" w:eastAsia="es-ES"/>
        </w:rPr>
        <w:t xml:space="preserve">, Nariño </w:t>
      </w:r>
    </w:p>
    <w:p w14:paraId="5FC37E76" w14:textId="77777777" w:rsidR="000034E2" w:rsidRPr="00593A5F" w:rsidRDefault="000034E2" w:rsidP="000034E2">
      <w:pPr>
        <w:spacing w:after="0" w:line="240" w:lineRule="auto"/>
        <w:rPr>
          <w:rFonts w:ascii="Verdana" w:eastAsia="Calibri" w:hAnsi="Verdana" w:cs="Arial"/>
          <w:b/>
          <w:bCs/>
          <w:color w:val="000000"/>
          <w:lang w:val="es-ES_tradnl" w:eastAsia="es-ES_tradnl"/>
        </w:rPr>
      </w:pPr>
    </w:p>
    <w:p w14:paraId="69D7584B" w14:textId="77777777" w:rsidR="000034E2" w:rsidRPr="00593A5F" w:rsidRDefault="000034E2" w:rsidP="000034E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034E2" w:rsidRPr="00593A5F" w14:paraId="1E364717" w14:textId="77777777" w:rsidTr="00254F81">
        <w:trPr>
          <w:trHeight w:val="884"/>
        </w:trPr>
        <w:tc>
          <w:tcPr>
            <w:tcW w:w="2689" w:type="dxa"/>
          </w:tcPr>
          <w:p w14:paraId="056336E0" w14:textId="77777777" w:rsidR="000034E2" w:rsidRPr="00C00976" w:rsidRDefault="000034E2" w:rsidP="00254F81">
            <w:pPr>
              <w:jc w:val="both"/>
              <w:rPr>
                <w:rFonts w:ascii="Verdana" w:eastAsia="Calibri" w:hAnsi="Verdana" w:cs="Arial"/>
                <w:b/>
                <w:bCs/>
                <w:color w:val="7030A0"/>
                <w:lang w:val="es-ES_tradnl" w:eastAsia="es-ES_tradnl"/>
              </w:rPr>
            </w:pPr>
          </w:p>
        </w:tc>
        <w:tc>
          <w:tcPr>
            <w:tcW w:w="6100" w:type="dxa"/>
          </w:tcPr>
          <w:p w14:paraId="4A3CEBFE" w14:textId="77777777" w:rsidR="000034E2" w:rsidRPr="00C00976" w:rsidRDefault="000034E2" w:rsidP="00254F81">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115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0034E2" w:rsidRPr="00593A5F" w14:paraId="5939F369" w14:textId="77777777" w:rsidTr="00254F81">
        <w:trPr>
          <w:trHeight w:val="884"/>
        </w:trPr>
        <w:tc>
          <w:tcPr>
            <w:tcW w:w="2689" w:type="dxa"/>
          </w:tcPr>
          <w:p w14:paraId="235212B3" w14:textId="77777777" w:rsidR="000034E2" w:rsidRPr="00593A5F" w:rsidRDefault="000034E2" w:rsidP="00254F8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EA43299" w14:textId="77777777" w:rsidR="000034E2" w:rsidRDefault="000034E2" w:rsidP="00254F81">
            <w:pPr>
              <w:spacing w:line="276" w:lineRule="auto"/>
              <w:jc w:val="both"/>
              <w:rPr>
                <w:rFonts w:ascii="Verdana" w:eastAsia="Calibri" w:hAnsi="Verdana" w:cs="Arial"/>
                <w:lang w:val="es-ES" w:eastAsia="es-ES"/>
              </w:rPr>
            </w:pPr>
            <w:r w:rsidRPr="000666BB">
              <w:rPr>
                <w:rFonts w:ascii="Verdana" w:eastAsia="Calibri" w:hAnsi="Verdana" w:cs="Arial"/>
                <w:lang w:val="es-ES" w:eastAsia="es-ES"/>
              </w:rPr>
              <w:t>CONTRATO DE PRESTACIÓN DE SERVICIOS – Noción – Características /</w:t>
            </w:r>
            <w:r>
              <w:rPr>
                <w:rFonts w:ascii="Verdana" w:eastAsia="Calibri" w:hAnsi="Verdana" w:cs="Arial"/>
                <w:lang w:val="es-ES" w:eastAsia="es-ES"/>
              </w:rPr>
              <w:t xml:space="preserve"> </w:t>
            </w:r>
            <w:r w:rsidRPr="004D25C6">
              <w:rPr>
                <w:rFonts w:ascii="Verdana" w:eastAsia="Calibri" w:hAnsi="Verdana" w:cs="Arial"/>
                <w:lang w:val="es-ES" w:eastAsia="es-ES"/>
              </w:rPr>
              <w:t>ESTUDIOS DEL SECTOR – Manifestación – Principio de planeación</w:t>
            </w:r>
            <w:r>
              <w:rPr>
                <w:rFonts w:ascii="Verdana" w:eastAsia="Calibri" w:hAnsi="Verdana" w:cs="Arial"/>
                <w:lang w:val="es-ES" w:eastAsia="es-ES"/>
              </w:rPr>
              <w:t xml:space="preserve"> / </w:t>
            </w:r>
            <w:r w:rsidRPr="002314D1">
              <w:rPr>
                <w:rFonts w:ascii="Verdana" w:eastAsia="Calibri" w:hAnsi="Verdana" w:cs="Arial"/>
                <w:lang w:val="es-ES" w:eastAsia="es-ES"/>
              </w:rPr>
              <w:t>HONORARIOS – Autonomía de la voluntad – Tablas de honorarios – Carácter facultativo</w:t>
            </w:r>
          </w:p>
          <w:p w14:paraId="1C35DBB2" w14:textId="77777777" w:rsidR="000034E2" w:rsidRPr="00593A5F" w:rsidRDefault="000034E2" w:rsidP="00254F81">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0034E2" w:rsidRPr="008E6AD9" w14:paraId="5DCCE2DC" w14:textId="77777777" w:rsidTr="00254F81">
        <w:tc>
          <w:tcPr>
            <w:tcW w:w="2689" w:type="dxa"/>
          </w:tcPr>
          <w:p w14:paraId="1F3BE261" w14:textId="77777777" w:rsidR="000034E2" w:rsidRPr="008E6AD9" w:rsidRDefault="000034E2" w:rsidP="00254F81">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76877E8" w14:textId="77777777" w:rsidR="000034E2" w:rsidRPr="00B92340" w:rsidRDefault="000034E2" w:rsidP="00254F81">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t xml:space="preserve"> </w:t>
            </w:r>
            <w:r w:rsidRPr="00353485">
              <w:rPr>
                <w:rFonts w:ascii="Verdana" w:eastAsia="Calibri" w:hAnsi="Verdana" w:cs="Arial"/>
                <w:lang w:val="es-ES_tradnl" w:eastAsia="es-ES_tradnl"/>
              </w:rPr>
              <w:t>1_2026_01_28_000978</w:t>
            </w:r>
            <w:r>
              <w:rPr>
                <w:rFonts w:ascii="Verdana" w:eastAsia="Calibri" w:hAnsi="Verdana" w:cs="Arial"/>
                <w:lang w:val="es-ES_tradnl" w:eastAsia="es-ES_tradnl"/>
              </w:rPr>
              <w:t xml:space="preserve">                                   </w:t>
            </w:r>
          </w:p>
        </w:tc>
      </w:tr>
    </w:tbl>
    <w:p w14:paraId="1827FB20" w14:textId="77777777" w:rsidR="000034E2" w:rsidRPr="00593A5F" w:rsidRDefault="000034E2" w:rsidP="000034E2">
      <w:pPr>
        <w:spacing w:after="0" w:line="240" w:lineRule="auto"/>
        <w:jc w:val="both"/>
        <w:rPr>
          <w:rFonts w:ascii="Verdana" w:eastAsia="Calibri" w:hAnsi="Verdana" w:cs="Arial"/>
          <w:color w:val="000000"/>
          <w:lang w:val="es-ES_tradnl" w:eastAsia="es-ES_tradnl"/>
        </w:rPr>
      </w:pPr>
    </w:p>
    <w:p w14:paraId="50D9AF00" w14:textId="77777777" w:rsidR="000034E2" w:rsidRPr="00593A5F" w:rsidRDefault="000034E2" w:rsidP="000034E2">
      <w:pPr>
        <w:spacing w:after="0" w:line="240" w:lineRule="auto"/>
        <w:jc w:val="both"/>
        <w:rPr>
          <w:rFonts w:ascii="Verdana" w:eastAsia="Calibri" w:hAnsi="Verdana" w:cs="Arial"/>
          <w:color w:val="000000"/>
          <w:lang w:val="es-ES_tradnl" w:eastAsia="es-ES_tradnl"/>
        </w:rPr>
      </w:pPr>
    </w:p>
    <w:p w14:paraId="4A1B6B91" w14:textId="77777777" w:rsidR="000034E2" w:rsidRPr="008E6AD9" w:rsidRDefault="000034E2" w:rsidP="000034E2">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44044E">
        <w:rPr>
          <w:rFonts w:ascii="Verdana" w:eastAsia="Calibri" w:hAnsi="Verdana" w:cs="Arial"/>
          <w:lang w:val="es-ES" w:eastAsia="es-ES"/>
        </w:rPr>
        <w:t>Gómez Zapata</w:t>
      </w:r>
      <w:r w:rsidRPr="008E6AD9">
        <w:rPr>
          <w:rFonts w:ascii="Verdana" w:eastAsia="Calibri" w:hAnsi="Verdana" w:cs="Arial"/>
          <w:lang w:val="es-ES" w:eastAsia="es-ES"/>
        </w:rPr>
        <w:t xml:space="preserve">: </w:t>
      </w:r>
    </w:p>
    <w:p w14:paraId="18FA67FB" w14:textId="77777777" w:rsidR="000034E2" w:rsidRDefault="000034E2" w:rsidP="000034E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973B48A" w14:textId="77777777" w:rsidR="000034E2" w:rsidRPr="00593A5F" w:rsidRDefault="000034E2" w:rsidP="000034E2">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w:t>
      </w:r>
      <w:r w:rsidRPr="00255F8E">
        <w:rPr>
          <w:rFonts w:ascii="Verdana" w:hAnsi="Verdana" w:cs="Arial"/>
        </w:rPr>
        <w:t>469 de 2025</w:t>
      </w:r>
      <w:r w:rsidRPr="00593A5F">
        <w:rPr>
          <w:rFonts w:ascii="Verdana" w:hAnsi="Verdana" w:cs="Arial"/>
        </w:rPr>
        <w:t xml:space="preserve"> expedida por esta Entidad, </w:t>
      </w:r>
      <w:r w:rsidRPr="000623DD">
        <w:rPr>
          <w:rFonts w:ascii="Verdana" w:eastAsia="Calibri" w:hAnsi="Verdana" w:cs="Arial"/>
          <w:color w:val="000000" w:themeColor="text1"/>
          <w:lang w:val="es-ES" w:eastAsia="es-ES"/>
        </w:rPr>
        <w:t>la Agencia Nacional de Contratación Pública – Colombia Compra Eficiente responde la petición enviada</w:t>
      </w:r>
      <w:r>
        <w:rPr>
          <w:rFonts w:ascii="Verdana" w:eastAsia="Calibri" w:hAnsi="Verdana" w:cs="Arial"/>
          <w:color w:val="000000" w:themeColor="text1"/>
          <w:lang w:val="es-ES" w:eastAsia="es-ES"/>
        </w:rPr>
        <w:t xml:space="preserve"> el 28 de enero de 2026</w:t>
      </w:r>
      <w:r>
        <w:rPr>
          <w:rFonts w:ascii="Verdana" w:eastAsia="Calibri" w:hAnsi="Verdana" w:cs="Arial"/>
          <w:lang w:val="es-ES" w:eastAsia="es-ES"/>
        </w:rPr>
        <w:t xml:space="preserve">, donde solicita un análisis sobre </w:t>
      </w:r>
      <w:r w:rsidRPr="00255F8E">
        <w:rPr>
          <w:rFonts w:ascii="Verdana" w:eastAsia="Calibri" w:hAnsi="Verdana" w:cs="Arial"/>
          <w:lang w:val="es-ES" w:eastAsia="es-ES"/>
        </w:rPr>
        <w:t xml:space="preserve">la </w:t>
      </w:r>
      <w:r>
        <w:rPr>
          <w:rFonts w:ascii="Verdana" w:eastAsia="Calibri" w:hAnsi="Verdana" w:cs="Arial"/>
          <w:lang w:val="es-ES" w:eastAsia="es-ES"/>
        </w:rPr>
        <w:t>estandarización de</w:t>
      </w:r>
      <w:r w:rsidRPr="00255F8E">
        <w:rPr>
          <w:rFonts w:ascii="Verdana" w:eastAsia="Calibri" w:hAnsi="Verdana" w:cs="Arial"/>
          <w:lang w:val="es-ES" w:eastAsia="es-ES"/>
        </w:rPr>
        <w:t xml:space="preserve"> los honorarios de los contratistas de prestación de servicios </w:t>
      </w:r>
      <w:r>
        <w:rPr>
          <w:rFonts w:ascii="Verdana" w:eastAsia="Calibri" w:hAnsi="Verdana" w:cs="Arial"/>
          <w:lang w:val="es-ES" w:eastAsia="es-ES"/>
        </w:rPr>
        <w:t>de acuerdo con los siguientes interrogantes</w:t>
      </w:r>
      <w:r w:rsidRPr="008E6AD9">
        <w:rPr>
          <w:rFonts w:ascii="Verdana" w:eastAsia="Calibri" w:hAnsi="Verdana" w:cs="Arial"/>
          <w:lang w:val="es-ES" w:eastAsia="es-ES"/>
        </w:rPr>
        <w:t xml:space="preserve">: </w:t>
      </w:r>
    </w:p>
    <w:p w14:paraId="46E2005A" w14:textId="77777777" w:rsidR="000034E2" w:rsidRPr="00272A7B" w:rsidRDefault="000034E2" w:rsidP="000034E2">
      <w:pPr>
        <w:pStyle w:val="Prrafodelista"/>
        <w:tabs>
          <w:tab w:val="left" w:pos="142"/>
          <w:tab w:val="left" w:pos="284"/>
        </w:tabs>
        <w:spacing w:after="0" w:line="276" w:lineRule="auto"/>
        <w:ind w:left="0"/>
        <w:jc w:val="both"/>
        <w:rPr>
          <w:rFonts w:ascii="Verdana" w:eastAsia="Century Gothic" w:hAnsi="Verdana" w:cs="Century Gothic"/>
          <w:b/>
          <w:bCs/>
        </w:rPr>
      </w:pPr>
    </w:p>
    <w:p w14:paraId="67345DF3" w14:textId="77777777" w:rsidR="000034E2" w:rsidRPr="00255F8E" w:rsidRDefault="000034E2" w:rsidP="000034E2">
      <w:pPr>
        <w:spacing w:after="120" w:line="240" w:lineRule="auto"/>
        <w:ind w:left="709" w:right="709"/>
        <w:jc w:val="both"/>
        <w:rPr>
          <w:rFonts w:ascii="Verdana" w:eastAsia="Century Gothic" w:hAnsi="Verdana" w:cs="Century Gothic"/>
          <w:sz w:val="20"/>
          <w:szCs w:val="20"/>
          <w:lang w:val="es-ES"/>
        </w:rPr>
      </w:pPr>
      <w:bookmarkStart w:id="3" w:name="_Hlk95313578"/>
      <w:r w:rsidRPr="00AA6517">
        <w:rPr>
          <w:rFonts w:ascii="Verdana" w:eastAsia="Century Gothic" w:hAnsi="Verdana" w:cs="Century Gothic"/>
          <w:sz w:val="20"/>
          <w:szCs w:val="20"/>
          <w:lang w:val="es-ES"/>
        </w:rPr>
        <w:lastRenderedPageBreak/>
        <w:t>“</w:t>
      </w:r>
      <w:bookmarkEnd w:id="3"/>
      <w:r w:rsidRPr="00255F8E">
        <w:rPr>
          <w:rFonts w:ascii="Verdana" w:eastAsia="Century Gothic" w:hAnsi="Verdana" w:cs="Century Gothic"/>
          <w:b/>
          <w:bCs/>
          <w:sz w:val="20"/>
          <w:szCs w:val="20"/>
          <w:lang w:val="es-ES"/>
        </w:rPr>
        <w:t>1. Sobre la viabilidad jurídica:</w:t>
      </w:r>
      <w:r w:rsidRPr="00255F8E">
        <w:rPr>
          <w:rFonts w:ascii="Verdana" w:eastAsia="Century Gothic" w:hAnsi="Verdana" w:cs="Century Gothic"/>
          <w:sz w:val="20"/>
          <w:szCs w:val="20"/>
          <w:lang w:val="es-ES"/>
        </w:rPr>
        <w:t xml:space="preserve"> ¿Es jurídicamente viable que una entidad territorial expida un acto administrativo (Decreto, Resolución o Manual) mediante el cual se adopte una tabla de honorarios estandarizada para los contratos de prestación de servicios profesionales y de apoyo a la gestión, o dicha práctica podría considerarse restrictiva de la competencia o contraria al Estatuto General de Contratación Pública?</w:t>
      </w:r>
    </w:p>
    <w:p w14:paraId="5F052AA3" w14:textId="77777777" w:rsidR="000034E2" w:rsidRPr="00255F8E" w:rsidRDefault="000034E2" w:rsidP="000034E2">
      <w:pPr>
        <w:spacing w:after="120" w:line="240" w:lineRule="auto"/>
        <w:ind w:left="709" w:right="709"/>
        <w:jc w:val="both"/>
        <w:rPr>
          <w:rFonts w:ascii="Verdana" w:eastAsia="Century Gothic" w:hAnsi="Verdana" w:cs="Century Gothic"/>
          <w:sz w:val="20"/>
          <w:szCs w:val="20"/>
          <w:lang w:val="es-ES"/>
        </w:rPr>
      </w:pPr>
      <w:r w:rsidRPr="00255F8E">
        <w:rPr>
          <w:rFonts w:ascii="Verdana" w:eastAsia="Century Gothic" w:hAnsi="Verdana" w:cs="Century Gothic"/>
          <w:b/>
          <w:bCs/>
          <w:sz w:val="20"/>
          <w:szCs w:val="20"/>
          <w:lang w:val="es-ES"/>
        </w:rPr>
        <w:t>2. Sobre el mecanismo idóneo:</w:t>
      </w:r>
      <w:r w:rsidRPr="00255F8E">
        <w:rPr>
          <w:rFonts w:ascii="Verdana" w:eastAsia="Century Gothic" w:hAnsi="Verdana" w:cs="Century Gothic"/>
          <w:sz w:val="20"/>
          <w:szCs w:val="20"/>
          <w:lang w:val="es-ES"/>
        </w:rPr>
        <w:t xml:space="preserve"> En caso de ser viable, ¿cuál es el instrumento jurídico recomendado para adoptar dicha regulación (Resolución interna, Decreto Municipal o Manual de Contratación)?</w:t>
      </w:r>
    </w:p>
    <w:p w14:paraId="6441969D" w14:textId="77777777" w:rsidR="000034E2" w:rsidRPr="00255F8E" w:rsidRDefault="000034E2" w:rsidP="000034E2">
      <w:pPr>
        <w:spacing w:after="120" w:line="240" w:lineRule="auto"/>
        <w:ind w:left="709" w:right="709"/>
        <w:jc w:val="both"/>
        <w:rPr>
          <w:rFonts w:ascii="Verdana" w:eastAsia="Century Gothic" w:hAnsi="Verdana" w:cs="Century Gothic"/>
          <w:sz w:val="20"/>
          <w:szCs w:val="20"/>
          <w:lang w:val="es-ES"/>
        </w:rPr>
      </w:pPr>
      <w:r w:rsidRPr="00255F8E">
        <w:rPr>
          <w:rFonts w:ascii="Verdana" w:eastAsia="Century Gothic" w:hAnsi="Verdana" w:cs="Century Gothic"/>
          <w:b/>
          <w:bCs/>
          <w:sz w:val="20"/>
          <w:szCs w:val="20"/>
          <w:lang w:val="es-ES"/>
        </w:rPr>
        <w:t>3. Sobre el Análisis del Sector:</w:t>
      </w:r>
      <w:r w:rsidRPr="00255F8E">
        <w:rPr>
          <w:rFonts w:ascii="Verdana" w:eastAsia="Century Gothic" w:hAnsi="Verdana" w:cs="Century Gothic"/>
          <w:sz w:val="20"/>
          <w:szCs w:val="20"/>
          <w:lang w:val="es-ES"/>
        </w:rPr>
        <w:t xml:space="preserve"> Si la entidad adopta dicha tabla de honorarios fundamentada en un estudio de mercado general previo, ¿es válido que dicha tabla supla o simplifique el requisito del análisis del sector individual para cada contrato de prestación de servicios, entendiéndose que el valor ya está justificado en el acto administrativo general?</w:t>
      </w:r>
    </w:p>
    <w:p w14:paraId="433BF85A" w14:textId="77777777" w:rsidR="000034E2" w:rsidRPr="00AA6517" w:rsidRDefault="000034E2" w:rsidP="000034E2">
      <w:pPr>
        <w:spacing w:after="0" w:line="240" w:lineRule="auto"/>
        <w:ind w:left="709" w:right="709"/>
        <w:jc w:val="both"/>
        <w:rPr>
          <w:rFonts w:ascii="Verdana" w:eastAsia="Century Gothic" w:hAnsi="Verdana" w:cs="Century Gothic"/>
          <w:sz w:val="20"/>
          <w:szCs w:val="20"/>
          <w:lang w:val="es-ES"/>
        </w:rPr>
      </w:pPr>
      <w:r w:rsidRPr="00255F8E">
        <w:rPr>
          <w:rFonts w:ascii="Verdana" w:eastAsia="Century Gothic" w:hAnsi="Verdana" w:cs="Century Gothic"/>
          <w:b/>
          <w:bCs/>
          <w:sz w:val="20"/>
          <w:szCs w:val="20"/>
          <w:lang w:val="es-ES"/>
        </w:rPr>
        <w:t>4. Sobre los límites:</w:t>
      </w:r>
      <w:r w:rsidRPr="00255F8E">
        <w:rPr>
          <w:rFonts w:ascii="Verdana" w:eastAsia="Century Gothic" w:hAnsi="Verdana" w:cs="Century Gothic"/>
          <w:sz w:val="20"/>
          <w:szCs w:val="20"/>
          <w:lang w:val="es-ES"/>
        </w:rPr>
        <w:t xml:space="preserve"> ¿Existen lineamientos vigentes por parte de Colombia Compra Eficiente sobre los topes máximos o metodologías para el cálculo de estos honorarios en entidades de sexta categoría, más allá del límite constitucional de no superar la asignación del jefe de la entidad?</w:t>
      </w:r>
      <w:r w:rsidRPr="00AA6517">
        <w:rPr>
          <w:rFonts w:ascii="Verdana" w:eastAsia="Century Gothic" w:hAnsi="Verdana" w:cs="Century Gothic"/>
          <w:sz w:val="20"/>
          <w:szCs w:val="20"/>
        </w:rPr>
        <w:t>”.</w:t>
      </w:r>
      <w:r>
        <w:rPr>
          <w:rFonts w:ascii="Verdana" w:eastAsia="Century Gothic" w:hAnsi="Verdana" w:cs="Century Gothic"/>
          <w:sz w:val="20"/>
          <w:szCs w:val="20"/>
        </w:rPr>
        <w:t xml:space="preserve"> (Énfasis dentro del texto)</w:t>
      </w:r>
      <w:r>
        <w:rPr>
          <w:rFonts w:ascii="Verdana" w:eastAsia="Century Gothic" w:hAnsi="Verdana" w:cs="Century Gothic"/>
          <w:sz w:val="21"/>
          <w:szCs w:val="21"/>
        </w:rPr>
        <w:t xml:space="preserve"> </w:t>
      </w:r>
    </w:p>
    <w:p w14:paraId="6EB35D13" w14:textId="77777777" w:rsidR="000034E2" w:rsidRPr="008E6AD9" w:rsidRDefault="000034E2" w:rsidP="000034E2">
      <w:pPr>
        <w:pStyle w:val="Prrafodelista"/>
        <w:tabs>
          <w:tab w:val="left" w:pos="142"/>
          <w:tab w:val="left" w:pos="284"/>
        </w:tabs>
        <w:spacing w:after="0" w:line="276" w:lineRule="auto"/>
        <w:ind w:left="0"/>
        <w:jc w:val="both"/>
        <w:rPr>
          <w:rFonts w:ascii="Verdana" w:eastAsia="Century Gothic" w:hAnsi="Verdana" w:cs="Century Gothic"/>
          <w:b/>
          <w:bCs/>
        </w:rPr>
      </w:pPr>
    </w:p>
    <w:p w14:paraId="72068D92" w14:textId="77777777" w:rsidR="000034E2" w:rsidRPr="00A652FF" w:rsidRDefault="000034E2" w:rsidP="000034E2">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0721AFF" w14:textId="77777777" w:rsidR="000034E2" w:rsidRDefault="000034E2" w:rsidP="000034E2">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4824CFA" w14:textId="77777777" w:rsidR="000034E2" w:rsidRPr="00593A5F" w:rsidRDefault="000034E2" w:rsidP="000034E2">
      <w:pPr>
        <w:spacing w:after="0" w:line="276" w:lineRule="auto"/>
        <w:ind w:firstLine="709"/>
        <w:jc w:val="both"/>
        <w:rPr>
          <w:rFonts w:ascii="Verdana" w:eastAsia="Calibri" w:hAnsi="Verdana" w:cs="Arial"/>
          <w:color w:val="000000"/>
          <w:lang w:val="es-ES" w:eastAsia="es-ES"/>
        </w:rPr>
      </w:pPr>
    </w:p>
    <w:p w14:paraId="05CFF056" w14:textId="77777777" w:rsidR="000034E2" w:rsidRPr="00593A5F" w:rsidRDefault="000034E2" w:rsidP="000034E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543C63C" w14:textId="77777777" w:rsidR="000034E2" w:rsidRPr="00593A5F" w:rsidRDefault="000034E2" w:rsidP="000034E2">
      <w:pPr>
        <w:tabs>
          <w:tab w:val="left" w:pos="426"/>
        </w:tabs>
        <w:spacing w:after="0" w:line="276" w:lineRule="auto"/>
        <w:jc w:val="both"/>
        <w:rPr>
          <w:rFonts w:ascii="Verdana" w:eastAsia="Century Gothic" w:hAnsi="Verdana" w:cs="Century Gothic"/>
          <w:lang w:val="es-ES"/>
        </w:rPr>
      </w:pPr>
    </w:p>
    <w:p w14:paraId="6418A35B" w14:textId="77777777" w:rsidR="000034E2" w:rsidRPr="00593A5F" w:rsidRDefault="000034E2" w:rsidP="000034E2">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2314D1">
        <w:rPr>
          <w:rFonts w:ascii="Verdana" w:eastAsia="Century Gothic" w:hAnsi="Verdana" w:cs="Century Gothic"/>
        </w:rPr>
        <w:t>¿cuál es marco normativo para la fijación de honorarios en los contratos de prestación de servicios</w:t>
      </w:r>
      <w:r w:rsidRPr="002314D1">
        <w:rPr>
          <w:rFonts w:ascii="Verdana" w:eastAsia="Times New Roman" w:hAnsi="Verdana" w:cs="Arial"/>
          <w:kern w:val="2"/>
          <w:lang w:val="es-ES_tradnl" w:eastAsia="es-ES_tradnl"/>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203FBB0E" w14:textId="77777777" w:rsidR="000034E2" w:rsidRPr="004B140F" w:rsidRDefault="000034E2" w:rsidP="000034E2">
      <w:pPr>
        <w:spacing w:after="0" w:line="276" w:lineRule="auto"/>
        <w:jc w:val="both"/>
        <w:rPr>
          <w:rFonts w:ascii="Verdana" w:eastAsia="Calibri" w:hAnsi="Verdana" w:cs="Arial"/>
          <w:color w:val="7030A0"/>
        </w:rPr>
      </w:pPr>
    </w:p>
    <w:p w14:paraId="47F7D3EA" w14:textId="77777777" w:rsidR="000034E2" w:rsidRPr="00593A5F" w:rsidRDefault="000034E2" w:rsidP="000034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9898AF5" w14:textId="77777777" w:rsidR="000034E2" w:rsidRPr="00593A5F" w:rsidRDefault="000034E2" w:rsidP="000034E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034E2" w:rsidRPr="00593A5F" w14:paraId="50B9CDA6" w14:textId="77777777" w:rsidTr="00254F81">
        <w:trPr>
          <w:jc w:val="center"/>
        </w:trPr>
        <w:tc>
          <w:tcPr>
            <w:tcW w:w="8828" w:type="dxa"/>
          </w:tcPr>
          <w:p w14:paraId="7CA48F66" w14:textId="64450AFF" w:rsidR="000034E2" w:rsidRPr="003755E1" w:rsidRDefault="000034E2" w:rsidP="00254F81">
            <w:pPr>
              <w:widowControl w:val="0"/>
              <w:autoSpaceDE w:val="0"/>
              <w:autoSpaceDN w:val="0"/>
              <w:spacing w:after="120" w:line="276" w:lineRule="auto"/>
              <w:jc w:val="both"/>
              <w:rPr>
                <w:rFonts w:ascii="Verdana" w:eastAsia="Arial" w:hAnsi="Verdana" w:cs="Arial"/>
                <w:iCs/>
                <w:lang w:val="es-ES"/>
              </w:rPr>
            </w:pPr>
            <w:bookmarkStart w:id="4" w:name="_Hlk171694685"/>
            <w:r>
              <w:rPr>
                <w:rFonts w:ascii="Verdana" w:eastAsia="Calibri" w:hAnsi="Verdana" w:cs="Arial"/>
                <w:bCs/>
                <w:color w:val="000000" w:themeColor="text1"/>
              </w:rPr>
              <w:t xml:space="preserve">Conforme a la interpretación general de las normas del sistema de compras públicas, en </w:t>
            </w:r>
            <w:r w:rsidRPr="00282ED1">
              <w:rPr>
                <w:rFonts w:ascii="Verdana" w:eastAsia="Arial" w:hAnsi="Verdana" w:cs="Arial"/>
                <w:iCs/>
                <w:lang w:val="es-ES"/>
              </w:rPr>
              <w:t xml:space="preserve">relación con los honorarios </w:t>
            </w:r>
            <w:r>
              <w:rPr>
                <w:rFonts w:ascii="Verdana" w:eastAsia="Arial" w:hAnsi="Verdana" w:cs="Arial"/>
                <w:iCs/>
                <w:lang w:val="es-ES"/>
              </w:rPr>
              <w:t>en</w:t>
            </w:r>
            <w:r w:rsidRPr="00282ED1">
              <w:rPr>
                <w:rFonts w:ascii="Verdana" w:eastAsia="Arial" w:hAnsi="Verdana" w:cs="Arial"/>
                <w:iCs/>
                <w:lang w:val="es-ES"/>
              </w:rPr>
              <w:t xml:space="preserve"> los contratos de prestación de servicios,</w:t>
            </w:r>
            <w:r>
              <w:rPr>
                <w:rFonts w:ascii="Verdana" w:eastAsia="Arial" w:hAnsi="Verdana" w:cs="Arial"/>
                <w:iCs/>
                <w:lang w:val="es-ES"/>
              </w:rPr>
              <w:t xml:space="preserve"> </w:t>
            </w:r>
            <w:r w:rsidRPr="00F31A35">
              <w:rPr>
                <w:rFonts w:ascii="Verdana" w:eastAsia="Calibri" w:hAnsi="Verdana" w:cs="Arial"/>
                <w:bCs/>
                <w:color w:val="000000"/>
                <w:kern w:val="2"/>
                <w14:ligatures w14:val="standardContextual"/>
              </w:rPr>
              <w:t xml:space="preserve">es pertinente precisar que no </w:t>
            </w:r>
            <w:r w:rsidR="00900EAB">
              <w:rPr>
                <w:rFonts w:ascii="Verdana" w:eastAsia="Calibri" w:hAnsi="Verdana" w:cs="Arial"/>
                <w:bCs/>
                <w:color w:val="000000"/>
                <w:kern w:val="2"/>
                <w14:ligatures w14:val="standardContextual"/>
              </w:rPr>
              <w:t>existe</w:t>
            </w:r>
            <w:r w:rsidRPr="00F31A35">
              <w:rPr>
                <w:rFonts w:ascii="Verdana" w:eastAsia="Calibri" w:hAnsi="Verdana" w:cs="Arial"/>
                <w:bCs/>
                <w:color w:val="000000"/>
                <w:kern w:val="2"/>
                <w14:ligatures w14:val="standardContextual"/>
              </w:rPr>
              <w:t xml:space="preserve"> una disposición que establezca la forma en la que deberían fijarse, pues en virtud del principio de autonomía de la voluntad, las partes pueden determinar el contenido de los contratos estatales e incluir las condiciones, cláusulas o estipulaciones que consideren necesarias para desarrollar el objeto contractual, siempre que no sean contrarias a la Constitución Política, la ley y el orden público.</w:t>
            </w:r>
            <w:r>
              <w:rPr>
                <w:rFonts w:ascii="Verdana" w:eastAsia="Calibri" w:hAnsi="Verdana" w:cs="Arial"/>
                <w:bCs/>
                <w:color w:val="000000"/>
                <w:kern w:val="2"/>
                <w14:ligatures w14:val="standardContextual"/>
              </w:rPr>
              <w:t xml:space="preserve"> </w:t>
            </w:r>
            <w:r w:rsidRPr="00F31A35">
              <w:rPr>
                <w:rFonts w:ascii="Verdana" w:eastAsia="Calibri" w:hAnsi="Verdana" w:cs="Arial"/>
                <w:bCs/>
                <w:color w:val="000000"/>
                <w:kern w:val="2"/>
                <w14:ligatures w14:val="standardContextual"/>
              </w:rPr>
              <w:t>En ese sentido, las entidades públicas determinan el monto de los honorarios de los contratos de prestación de servicios profesionales, de apoyo a la gestión y trabajos artísticos de conformidad con lo establecido en el análisis del sector y en los documentos o estudios previos.</w:t>
            </w:r>
          </w:p>
          <w:p w14:paraId="501E3750" w14:textId="77777777" w:rsidR="000034E2" w:rsidRDefault="000034E2" w:rsidP="00254F81">
            <w:pPr>
              <w:spacing w:after="12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Ahora bien, e</w:t>
            </w:r>
            <w:r w:rsidRPr="000C27C3">
              <w:rPr>
                <w:rFonts w:ascii="Verdana" w:eastAsia="Times New Roman" w:hAnsi="Verdana" w:cs="Times New Roman"/>
                <w:lang w:eastAsia="es-MX"/>
              </w:rPr>
              <w:t xml:space="preserve">l pago, denominado honorarios, </w:t>
            </w:r>
            <w:r>
              <w:rPr>
                <w:rFonts w:ascii="Verdana" w:eastAsia="Times New Roman" w:hAnsi="Verdana" w:cs="Times New Roman"/>
                <w:lang w:eastAsia="es-MX"/>
              </w:rPr>
              <w:t xml:space="preserve">constituye la </w:t>
            </w:r>
            <w:r w:rsidRPr="000C27C3">
              <w:rPr>
                <w:rFonts w:ascii="Verdana" w:eastAsia="Times New Roman" w:hAnsi="Verdana" w:cs="Times New Roman"/>
                <w:lang w:eastAsia="es-MX"/>
              </w:rPr>
              <w:t>retribu</w:t>
            </w:r>
            <w:r>
              <w:rPr>
                <w:rFonts w:ascii="Verdana" w:eastAsia="Times New Roman" w:hAnsi="Verdana" w:cs="Times New Roman"/>
                <w:lang w:eastAsia="es-MX"/>
              </w:rPr>
              <w:t>ción por</w:t>
            </w:r>
            <w:r w:rsidRPr="000C27C3">
              <w:rPr>
                <w:rFonts w:ascii="Verdana" w:eastAsia="Times New Roman" w:hAnsi="Verdana" w:cs="Times New Roman"/>
                <w:lang w:eastAsia="es-MX"/>
              </w:rPr>
              <w:t xml:space="preserve"> una obligación de hacer</w:t>
            </w:r>
            <w:r>
              <w:rPr>
                <w:rFonts w:ascii="Verdana" w:eastAsia="Times New Roman" w:hAnsi="Verdana" w:cs="Times New Roman"/>
                <w:lang w:eastAsia="es-MX"/>
              </w:rPr>
              <w:t>,</w:t>
            </w:r>
            <w:r w:rsidRPr="000C27C3">
              <w:rPr>
                <w:rFonts w:ascii="Verdana" w:eastAsia="Times New Roman" w:hAnsi="Verdana" w:cs="Times New Roman"/>
                <w:lang w:eastAsia="es-MX"/>
              </w:rPr>
              <w:t xml:space="preserve"> que se materializa en la ejecución de las obligaciones pactadas para satisfacer una necesidad de la entidad pública. </w:t>
            </w:r>
            <w:r>
              <w:rPr>
                <w:rFonts w:ascii="Verdana" w:eastAsia="Calibri" w:hAnsi="Verdana" w:cs="Arial"/>
                <w:bCs/>
                <w:color w:val="000000"/>
                <w:kern w:val="2"/>
                <w14:ligatures w14:val="standardContextual"/>
              </w:rPr>
              <w:t>C</w:t>
            </w:r>
            <w:r w:rsidRPr="000C27C3">
              <w:rPr>
                <w:rFonts w:ascii="Verdana" w:eastAsia="Calibri" w:hAnsi="Verdana" w:cs="Arial"/>
                <w:bCs/>
                <w:color w:val="000000"/>
                <w:kern w:val="2"/>
                <w14:ligatures w14:val="standardContextual"/>
              </w:rPr>
              <w:t>abe resaltar, que n</w:t>
            </w:r>
            <w:r>
              <w:rPr>
                <w:rFonts w:ascii="Verdana" w:eastAsia="Calibri" w:hAnsi="Verdana" w:cs="Arial"/>
                <w:bCs/>
                <w:color w:val="000000"/>
                <w:kern w:val="2"/>
                <w14:ligatures w14:val="standardContextual"/>
              </w:rPr>
              <w:t>i</w:t>
            </w:r>
            <w:r w:rsidRPr="000C27C3">
              <w:rPr>
                <w:rFonts w:ascii="Verdana" w:eastAsia="Calibri" w:hAnsi="Verdana" w:cs="Arial"/>
                <w:bCs/>
                <w:color w:val="000000"/>
                <w:kern w:val="2"/>
                <w14:ligatures w14:val="standardContextual"/>
              </w:rPr>
              <w:t xml:space="preserve"> la Ley 80 de 1993, </w:t>
            </w:r>
            <w:r>
              <w:rPr>
                <w:rFonts w:ascii="Verdana" w:eastAsia="Calibri" w:hAnsi="Verdana" w:cs="Arial"/>
                <w:bCs/>
                <w:color w:val="000000"/>
                <w:kern w:val="2"/>
                <w14:ligatures w14:val="standardContextual"/>
              </w:rPr>
              <w:t xml:space="preserve">ni la </w:t>
            </w:r>
            <w:r w:rsidRPr="000C27C3">
              <w:rPr>
                <w:rFonts w:ascii="Verdana" w:eastAsia="Calibri" w:hAnsi="Verdana" w:cs="Arial"/>
                <w:bCs/>
                <w:color w:val="000000"/>
                <w:kern w:val="2"/>
                <w14:ligatures w14:val="standardContextual"/>
              </w:rPr>
              <w:t>Ley 1150 de 2007</w:t>
            </w:r>
            <w:r>
              <w:rPr>
                <w:rFonts w:ascii="Verdana" w:eastAsia="Calibri" w:hAnsi="Verdana" w:cs="Arial"/>
                <w:bCs/>
                <w:color w:val="000000"/>
                <w:kern w:val="2"/>
                <w14:ligatures w14:val="standardContextual"/>
              </w:rPr>
              <w:t>, ni</w:t>
            </w:r>
            <w:r w:rsidRPr="000C27C3">
              <w:rPr>
                <w:rFonts w:ascii="Verdana" w:eastAsia="Calibri" w:hAnsi="Verdana" w:cs="Arial"/>
                <w:bCs/>
                <w:color w:val="000000"/>
                <w:kern w:val="2"/>
                <w14:ligatures w14:val="standardContextual"/>
              </w:rPr>
              <w:t xml:space="preserve"> el Decreto 1082 de 2015 </w:t>
            </w:r>
            <w:r>
              <w:rPr>
                <w:rFonts w:ascii="Verdana" w:eastAsia="Calibri" w:hAnsi="Verdana" w:cs="Arial"/>
                <w:bCs/>
                <w:color w:val="000000"/>
                <w:kern w:val="2"/>
                <w14:ligatures w14:val="standardContextual"/>
              </w:rPr>
              <w:t>establecen</w:t>
            </w:r>
            <w:r w:rsidRPr="000C27C3">
              <w:rPr>
                <w:rFonts w:ascii="Verdana" w:eastAsia="Calibri" w:hAnsi="Verdana" w:cs="Arial"/>
                <w:bCs/>
                <w:color w:val="000000"/>
                <w:kern w:val="2"/>
                <w14:ligatures w14:val="standardContextual"/>
              </w:rPr>
              <w:t xml:space="preserve"> la obligatoriedad de implementar </w:t>
            </w:r>
            <w:r w:rsidRPr="008508BE">
              <w:rPr>
                <w:rFonts w:ascii="Verdana" w:eastAsia="Calibri" w:hAnsi="Verdana" w:cs="Arial"/>
                <w:bCs/>
                <w:color w:val="000000"/>
                <w:kern w:val="2"/>
                <w14:ligatures w14:val="standardContextual"/>
              </w:rPr>
              <w:t xml:space="preserve">tablas de honorarios, estandarizar perfiles, ni fijar condiciones uniformes para el pago de los honorarios en los contratos de prestación de servicios. No obstante, ello no impide que las entidades, en ejercicio de su </w:t>
            </w:r>
            <w:r>
              <w:rPr>
                <w:rFonts w:ascii="Verdana" w:eastAsia="Calibri" w:hAnsi="Verdana" w:cs="Arial"/>
                <w:bCs/>
                <w:color w:val="000000"/>
                <w:kern w:val="2"/>
                <w14:ligatures w14:val="standardContextual"/>
              </w:rPr>
              <w:t>discrecionalidad</w:t>
            </w:r>
            <w:r w:rsidRPr="008508BE">
              <w:rPr>
                <w:rFonts w:ascii="Verdana" w:eastAsia="Calibri" w:hAnsi="Verdana" w:cs="Arial"/>
                <w:bCs/>
                <w:color w:val="000000"/>
                <w:kern w:val="2"/>
                <w14:ligatures w14:val="standardContextual"/>
              </w:rPr>
              <w:t>, puedan adoptar tales medidas si lo consideran pertinente.</w:t>
            </w:r>
          </w:p>
          <w:p w14:paraId="323CCA43" w14:textId="722712A0" w:rsidR="000034E2" w:rsidRDefault="000034E2" w:rsidP="00254F81">
            <w:pPr>
              <w:spacing w:after="12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 xml:space="preserve">Dichas tablas se adoptan usualmente a través de resoluciones internas, actos administrativos de carácter general y con vocación de permanencia en el tiempo que regulan diferentes escalas de pago en función de criterios como la formación académica, la experiencia u otros factores relevantes para la remuneración. El establecimiento de las escalas de pago debe ser resultado de un análisis técnico y económico de las variables necesarias para fijar los honorarios; razón por la cual, este </w:t>
            </w:r>
            <w:r w:rsidRPr="002E03F8">
              <w:rPr>
                <w:rFonts w:ascii="Verdana" w:eastAsia="Calibri" w:hAnsi="Verdana" w:cs="Arial"/>
                <w:bCs/>
                <w:i/>
                <w:iCs/>
                <w:color w:val="000000"/>
                <w:kern w:val="2"/>
                <w14:ligatures w14:val="standardContextual"/>
              </w:rPr>
              <w:t>estudio de mercado general previo</w:t>
            </w:r>
            <w:r>
              <w:rPr>
                <w:rFonts w:ascii="Verdana" w:eastAsia="Calibri" w:hAnsi="Verdana" w:cs="Arial"/>
                <w:bCs/>
                <w:color w:val="000000"/>
                <w:kern w:val="2"/>
                <w14:ligatures w14:val="standardContextual"/>
              </w:rPr>
              <w:t xml:space="preserve"> debe </w:t>
            </w:r>
            <w:r>
              <w:rPr>
                <w:rFonts w:ascii="Verdana" w:eastAsia="Calibri" w:hAnsi="Verdana" w:cs="Arial"/>
                <w:bCs/>
                <w:color w:val="000000"/>
                <w:kern w:val="2"/>
                <w14:ligatures w14:val="standardContextual"/>
              </w:rPr>
              <w:lastRenderedPageBreak/>
              <w:t xml:space="preserve">tomarse en cuenta para el </w:t>
            </w:r>
            <w:r w:rsidRPr="002E03F8">
              <w:rPr>
                <w:rFonts w:ascii="Verdana" w:eastAsia="Calibri" w:hAnsi="Verdana" w:cs="Arial"/>
                <w:bCs/>
                <w:i/>
                <w:iCs/>
                <w:color w:val="000000"/>
                <w:kern w:val="2"/>
                <w14:ligatures w14:val="standardContextual"/>
              </w:rPr>
              <w:t>análisis del sector</w:t>
            </w:r>
            <w:r>
              <w:rPr>
                <w:rFonts w:ascii="Verdana" w:eastAsia="Calibri" w:hAnsi="Verdana" w:cs="Arial"/>
                <w:bCs/>
                <w:color w:val="000000"/>
                <w:kern w:val="2"/>
                <w14:ligatures w14:val="standardContextual"/>
              </w:rPr>
              <w:t xml:space="preserve"> que corresponde cada contrato de prestación de servicios, pues a través del primero se justifica el valor del objeto contratado. En est</w:t>
            </w:r>
            <w:r w:rsidR="0012074C">
              <w:rPr>
                <w:rFonts w:ascii="Verdana" w:eastAsia="Calibri" w:hAnsi="Verdana" w:cs="Arial"/>
                <w:bCs/>
                <w:color w:val="000000"/>
                <w:kern w:val="2"/>
                <w14:ligatures w14:val="standardContextual"/>
              </w:rPr>
              <w:t>a</w:t>
            </w:r>
            <w:r>
              <w:rPr>
                <w:rFonts w:ascii="Verdana" w:eastAsia="Calibri" w:hAnsi="Verdana" w:cs="Arial"/>
                <w:bCs/>
                <w:color w:val="000000"/>
                <w:kern w:val="2"/>
                <w14:ligatures w14:val="standardContextual"/>
              </w:rPr>
              <w:t xml:space="preserve"> medida, la estandarización del </w:t>
            </w:r>
            <w:r w:rsidRPr="002E03F8">
              <w:rPr>
                <w:rFonts w:ascii="Verdana" w:eastAsia="Calibri" w:hAnsi="Verdana" w:cs="Arial"/>
                <w:bCs/>
                <w:i/>
                <w:iCs/>
                <w:color w:val="000000"/>
                <w:kern w:val="2"/>
                <w14:ligatures w14:val="standardContextual"/>
              </w:rPr>
              <w:t>estudio de mercado general previo</w:t>
            </w:r>
            <w:r>
              <w:rPr>
                <w:rFonts w:ascii="Verdana" w:eastAsia="Calibri" w:hAnsi="Verdana" w:cs="Arial"/>
                <w:bCs/>
                <w:color w:val="000000"/>
                <w:kern w:val="2"/>
                <w14:ligatures w14:val="standardContextual"/>
              </w:rPr>
              <w:t xml:space="preserve"> no suple los </w:t>
            </w:r>
            <w:r w:rsidRPr="00112645">
              <w:rPr>
                <w:rFonts w:ascii="Verdana" w:eastAsia="Calibri" w:hAnsi="Verdana" w:cs="Arial"/>
                <w:bCs/>
                <w:i/>
                <w:iCs/>
                <w:color w:val="000000"/>
                <w:kern w:val="2"/>
                <w14:ligatures w14:val="standardContextual"/>
              </w:rPr>
              <w:t>análisis del sector en cada contrato específico</w:t>
            </w:r>
            <w:r>
              <w:rPr>
                <w:rFonts w:ascii="Verdana" w:eastAsia="Calibri" w:hAnsi="Verdana" w:cs="Arial"/>
                <w:bCs/>
                <w:color w:val="000000"/>
                <w:kern w:val="2"/>
                <w14:ligatures w14:val="standardContextual"/>
              </w:rPr>
              <w:t>, pero es un punto de partida que facilita la elaboración de estos últimos.</w:t>
            </w:r>
          </w:p>
          <w:p w14:paraId="612829C8" w14:textId="77777777" w:rsidR="000034E2" w:rsidRDefault="000034E2" w:rsidP="00254F81">
            <w:pPr>
              <w:spacing w:after="12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Para Agencia, la expedición de las tablas de honorarios para los contratos de prestación de servicios no son restrictivas de la libre competencia económica. Por un lado, la causal de contratación directa del literal h) del artículo 2.4 de la Ley 1150 de 2007 excluye la pluralidad de oferentes, por lo que no existe concurrencia entre los interesados. Por otra parte, tampoco constituye una vulneración del artículo 1 de la Ley 155 de 1959, pues no tiene por objeto “[…] l</w:t>
            </w:r>
            <w:r w:rsidRPr="006A68F7">
              <w:rPr>
                <w:rFonts w:ascii="Verdana" w:eastAsia="Calibri" w:hAnsi="Verdana" w:cs="Arial"/>
                <w:bCs/>
                <w:color w:val="000000"/>
                <w:kern w:val="2"/>
                <w14:ligatures w14:val="standardContextual"/>
              </w:rPr>
              <w:t>imitar la producción, abastecimiento, distribución o consumo de materias primas, productos, mercancías o servicios nacionales o extranjeros</w:t>
            </w:r>
            <w:r>
              <w:rPr>
                <w:rFonts w:ascii="Verdana" w:eastAsia="Calibri" w:hAnsi="Verdana" w:cs="Arial"/>
                <w:bCs/>
                <w:color w:val="000000"/>
                <w:kern w:val="2"/>
                <w14:ligatures w14:val="standardContextual"/>
              </w:rPr>
              <w:t xml:space="preserve"> […]” ni son resultado de “[…] </w:t>
            </w:r>
            <w:r w:rsidRPr="006A68F7">
              <w:rPr>
                <w:rFonts w:ascii="Verdana" w:eastAsia="Calibri" w:hAnsi="Verdana" w:cs="Arial"/>
                <w:bCs/>
                <w:color w:val="000000"/>
                <w:kern w:val="2"/>
                <w14:ligatures w14:val="standardContextual"/>
              </w:rPr>
              <w:t>prácticas, procedimientos o sistemas tendientes a limitar la libre competencia, con el propósito de determinar o mantener precios inequitativos en perjuicio de los consumidores y de los productores de materias primas</w:t>
            </w:r>
            <w:r>
              <w:rPr>
                <w:rFonts w:ascii="Verdana" w:eastAsia="Calibri" w:hAnsi="Verdana" w:cs="Arial"/>
                <w:bCs/>
                <w:color w:val="000000"/>
                <w:kern w:val="2"/>
                <w14:ligatures w14:val="standardContextual"/>
              </w:rPr>
              <w:t xml:space="preserve">”. </w:t>
            </w:r>
          </w:p>
          <w:p w14:paraId="5CD7B565" w14:textId="38D452C3" w:rsidR="000034E2" w:rsidRPr="00EC59D4" w:rsidRDefault="000034E2" w:rsidP="00254F81">
            <w:pPr>
              <w:spacing w:after="12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 xml:space="preserve">Asimismo, tampoco vulneran el Estatuto General de Contratación de la Administración Pública. Si el numeral 4 del artículo </w:t>
            </w:r>
            <w:r w:rsidRPr="006A68F7">
              <w:rPr>
                <w:rFonts w:ascii="Verdana" w:eastAsia="Calibri" w:hAnsi="Verdana" w:cs="Arial"/>
                <w:bCs/>
                <w:color w:val="000000"/>
                <w:kern w:val="2"/>
                <w14:ligatures w14:val="standardContextual"/>
              </w:rPr>
              <w:t>2.2.1.1.2.1.1</w:t>
            </w:r>
            <w:r>
              <w:rPr>
                <w:rFonts w:ascii="Verdana" w:eastAsia="Calibri" w:hAnsi="Verdana" w:cs="Arial"/>
                <w:bCs/>
                <w:color w:val="000000"/>
                <w:kern w:val="2"/>
                <w14:ligatures w14:val="standardContextual"/>
              </w:rPr>
              <w:t xml:space="preserve"> del Decreto 1082 de 2015, en congruencia con el artículo 25.13 del EGCAP, obliga a las entidades estatales a establecer e</w:t>
            </w:r>
            <w:r w:rsidRPr="006A68F7">
              <w:rPr>
                <w:rFonts w:ascii="Verdana" w:eastAsia="Calibri" w:hAnsi="Verdana" w:cs="Arial"/>
                <w:bCs/>
                <w:color w:val="000000"/>
                <w:kern w:val="2"/>
                <w14:ligatures w14:val="standardContextual"/>
              </w:rPr>
              <w:t>l valor estimado de</w:t>
            </w:r>
            <w:r>
              <w:rPr>
                <w:rFonts w:ascii="Verdana" w:eastAsia="Calibri" w:hAnsi="Verdana" w:cs="Arial"/>
                <w:bCs/>
                <w:color w:val="000000"/>
                <w:kern w:val="2"/>
                <w14:ligatures w14:val="standardContextual"/>
              </w:rPr>
              <w:t xml:space="preserve"> cada</w:t>
            </w:r>
            <w:r w:rsidRPr="006A68F7">
              <w:rPr>
                <w:rFonts w:ascii="Verdana" w:eastAsia="Calibri" w:hAnsi="Verdana" w:cs="Arial"/>
                <w:bCs/>
                <w:color w:val="000000"/>
                <w:kern w:val="2"/>
                <w14:ligatures w14:val="standardContextual"/>
              </w:rPr>
              <w:t xml:space="preserve"> contrato y la justificación del mismo</w:t>
            </w:r>
            <w:r>
              <w:rPr>
                <w:rFonts w:ascii="Verdana" w:eastAsia="Calibri" w:hAnsi="Verdana" w:cs="Arial"/>
                <w:bCs/>
                <w:color w:val="000000"/>
                <w:kern w:val="2"/>
                <w14:ligatures w14:val="standardContextual"/>
              </w:rPr>
              <w:t>, ello no se opone a que cumplan este deber estandariza</w:t>
            </w:r>
            <w:r w:rsidR="00E20123">
              <w:rPr>
                <w:rFonts w:ascii="Verdana" w:eastAsia="Calibri" w:hAnsi="Verdana" w:cs="Arial"/>
                <w:bCs/>
                <w:color w:val="000000"/>
                <w:kern w:val="2"/>
                <w14:ligatures w14:val="standardContextual"/>
              </w:rPr>
              <w:t>n</w:t>
            </w:r>
            <w:r>
              <w:rPr>
                <w:rFonts w:ascii="Verdana" w:eastAsia="Calibri" w:hAnsi="Verdana" w:cs="Arial"/>
                <w:bCs/>
                <w:color w:val="000000"/>
                <w:kern w:val="2"/>
                <w14:ligatures w14:val="standardContextual"/>
              </w:rPr>
              <w:t xml:space="preserve">do condiciones generales respecto a la remuneración de una tipología contractual como la prevista en el artículo 32.3 de la Ley 80 de 1993. Es decir, su expedición no constituye una vulneración de la reserva de ley ni un desconocimiento de normas reglamentarias. Finalmente, sin perjuicio de la restricción del artículo </w:t>
            </w:r>
            <w:r w:rsidRPr="00EC59D4">
              <w:rPr>
                <w:rFonts w:ascii="Verdana" w:eastAsia="Calibri" w:hAnsi="Verdana" w:cs="Arial"/>
                <w:bCs/>
                <w:color w:val="000000"/>
                <w:kern w:val="2"/>
                <w14:ligatures w14:val="standardContextual"/>
              </w:rPr>
              <w:t>2.8.4.4.6</w:t>
            </w:r>
            <w:r>
              <w:rPr>
                <w:rFonts w:ascii="Verdana" w:eastAsia="Calibri" w:hAnsi="Verdana" w:cs="Arial"/>
                <w:bCs/>
                <w:color w:val="000000"/>
                <w:kern w:val="2"/>
                <w14:ligatures w14:val="standardContextual"/>
              </w:rPr>
              <w:t xml:space="preserve"> del Decreto 1068 de 2015, la Agencia tampoco ha establecido lineamientos sobre topes máximos ni metodologías para su cálculo.    </w:t>
            </w:r>
          </w:p>
          <w:p w14:paraId="5A56D86E" w14:textId="77777777" w:rsidR="000034E2" w:rsidRPr="001941FD" w:rsidRDefault="000034E2" w:rsidP="00254F81">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w:t>
            </w:r>
            <w:r w:rsidRPr="00AD5A94">
              <w:rPr>
                <w:rStyle w:val="s15"/>
                <w:rFonts w:ascii="Verdana" w:hAnsi="Verdana"/>
                <w:color w:val="000000"/>
              </w:rPr>
              <w:lastRenderedPageBreak/>
              <w:t>y, en caso de conflicto, a las autoridades judiciales, fiscales y disciplinarias. Así, cada entidad definirá la forma de adelantar su gestión contractual, sin que sea atribución de Colombia Compra Eficiente validar sus actuaciones</w:t>
            </w:r>
            <w:r w:rsidRPr="001941FD">
              <w:rPr>
                <w:rStyle w:val="s15"/>
                <w:rFonts w:ascii="Verdana" w:hAnsi="Verdana"/>
                <w:color w:val="000000"/>
              </w:rPr>
              <w:t>.</w:t>
            </w:r>
          </w:p>
        </w:tc>
      </w:tr>
      <w:tr w:rsidR="00743AA8" w:rsidRPr="00593A5F" w14:paraId="0E8B5D41" w14:textId="77777777" w:rsidTr="00254F81">
        <w:trPr>
          <w:jc w:val="center"/>
        </w:trPr>
        <w:tc>
          <w:tcPr>
            <w:tcW w:w="8828" w:type="dxa"/>
          </w:tcPr>
          <w:p w14:paraId="03347579" w14:textId="77777777" w:rsidR="00743AA8" w:rsidRDefault="00743AA8" w:rsidP="00254F81">
            <w:pPr>
              <w:widowControl w:val="0"/>
              <w:autoSpaceDE w:val="0"/>
              <w:autoSpaceDN w:val="0"/>
              <w:spacing w:after="120" w:line="276" w:lineRule="auto"/>
              <w:jc w:val="both"/>
              <w:rPr>
                <w:rFonts w:ascii="Verdana" w:eastAsia="Calibri" w:hAnsi="Verdana" w:cs="Arial"/>
                <w:bCs/>
                <w:color w:val="000000" w:themeColor="text1"/>
              </w:rPr>
            </w:pPr>
          </w:p>
        </w:tc>
      </w:tr>
    </w:tbl>
    <w:p w14:paraId="03134368" w14:textId="77777777" w:rsidR="000034E2" w:rsidRPr="00593A5F" w:rsidRDefault="000034E2" w:rsidP="000034E2">
      <w:pPr>
        <w:tabs>
          <w:tab w:val="left" w:pos="142"/>
          <w:tab w:val="left" w:pos="284"/>
        </w:tabs>
        <w:spacing w:after="0" w:line="276" w:lineRule="auto"/>
        <w:jc w:val="both"/>
        <w:rPr>
          <w:rFonts w:ascii="Verdana" w:eastAsia="Century Gothic" w:hAnsi="Verdana" w:cs="Century Gothic"/>
          <w:b/>
          <w:bCs/>
          <w:lang w:val="es-ES"/>
        </w:rPr>
      </w:pPr>
    </w:p>
    <w:bookmarkEnd w:id="4"/>
    <w:p w14:paraId="150DA80D" w14:textId="77777777" w:rsidR="000034E2" w:rsidRPr="00593A5F" w:rsidRDefault="000034E2" w:rsidP="000034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7F4C833" w14:textId="77777777" w:rsidR="000034E2" w:rsidRPr="00593A5F" w:rsidRDefault="000034E2" w:rsidP="000034E2">
      <w:pPr>
        <w:spacing w:after="0" w:line="276" w:lineRule="auto"/>
        <w:jc w:val="both"/>
        <w:rPr>
          <w:rFonts w:ascii="Verdana" w:eastAsia="Calibri" w:hAnsi="Verdana" w:cs="Arial"/>
          <w:color w:val="7030A0"/>
          <w:lang w:val="es-ES"/>
        </w:rPr>
      </w:pPr>
    </w:p>
    <w:p w14:paraId="14B13654" w14:textId="77777777" w:rsidR="000034E2" w:rsidRDefault="000034E2" w:rsidP="000034E2">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D7DFA45" w14:textId="77777777" w:rsidR="000034E2" w:rsidRPr="008305C9" w:rsidRDefault="000034E2" w:rsidP="000034E2">
      <w:pPr>
        <w:spacing w:after="0" w:line="276" w:lineRule="auto"/>
        <w:jc w:val="both"/>
        <w:rPr>
          <w:rFonts w:ascii="Verdana" w:eastAsia="Calibri" w:hAnsi="Verdana" w:cs="Arial"/>
          <w:lang w:val="es-ES"/>
        </w:rPr>
      </w:pPr>
    </w:p>
    <w:p w14:paraId="14F72D65" w14:textId="77777777" w:rsidR="000034E2" w:rsidRPr="00884819" w:rsidRDefault="000034E2" w:rsidP="000034E2">
      <w:pPr>
        <w:spacing w:after="0" w:line="276" w:lineRule="auto"/>
        <w:jc w:val="both"/>
        <w:rPr>
          <w:rFonts w:ascii="Verdana" w:eastAsia="Calibri" w:hAnsi="Verdana" w:cs="Arial"/>
          <w:color w:val="000000"/>
          <w:lang w:val="es-ES_tradnl"/>
        </w:rPr>
      </w:pPr>
      <w:r w:rsidRPr="00884819">
        <w:rPr>
          <w:rFonts w:ascii="Verdana" w:eastAsia="Calibri" w:hAnsi="Verdana" w:cs="Arial"/>
          <w:bCs/>
          <w:color w:val="000000" w:themeColor="text1"/>
        </w:rPr>
        <w:t xml:space="preserve">i. </w:t>
      </w:r>
      <w:r w:rsidRPr="00884819">
        <w:rPr>
          <w:rFonts w:ascii="Verdana" w:eastAsia="Calibri" w:hAnsi="Verdana" w:cs="Arial"/>
          <w:color w:val="000000"/>
          <w:lang w:val="es-ES_tradnl"/>
        </w:rPr>
        <w:t>El contrato de prestación de servicios es uno de los tipos contractuales consagrados en el Estatuto General de Contratación de la Administración Pública, que pueden celebrar las entidades estatales. Históricamente, dicha tipología se encontraba regulada en el artículo 138 del Decreto Ley 150 del 1976 y en el artículo 163 del Decreto Ley 222 de 1983. Se trata de un contrato típico, ya que se encuentra definido en la ley y, por tanto, en las condiciones descritas en los artículos 13, 32 y 40 del EGCAP, su regulación desplaza las reglas del arrendamiento de servicios inmateriales de que tratan los artículos 2063 y siguientes del Código Civil. Actualmente, el artículo 32, numeral 3º, de la Ley 80 de 1993, establece:</w:t>
      </w:r>
    </w:p>
    <w:p w14:paraId="699526A0" w14:textId="77777777" w:rsidR="000034E2" w:rsidRPr="00884819" w:rsidRDefault="000034E2" w:rsidP="000034E2">
      <w:pPr>
        <w:spacing w:after="0" w:line="276" w:lineRule="auto"/>
        <w:jc w:val="both"/>
        <w:rPr>
          <w:rFonts w:ascii="Verdana" w:eastAsia="Calibri" w:hAnsi="Verdana" w:cs="Arial"/>
          <w:color w:val="000000"/>
          <w:lang w:val="es-ES_tradnl"/>
        </w:rPr>
      </w:pPr>
    </w:p>
    <w:p w14:paraId="19F7A50A" w14:textId="77777777" w:rsidR="000034E2" w:rsidRPr="00692C00" w:rsidRDefault="000034E2" w:rsidP="000034E2">
      <w:pPr>
        <w:spacing w:after="12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4C832D19" w14:textId="77777777" w:rsidR="000034E2" w:rsidRPr="00884819" w:rsidRDefault="000034E2" w:rsidP="000034E2">
      <w:pPr>
        <w:spacing w:after="0" w:line="240" w:lineRule="auto"/>
        <w:ind w:left="709" w:right="709"/>
        <w:jc w:val="both"/>
        <w:rPr>
          <w:rFonts w:ascii="Verdana" w:eastAsia="Calibri" w:hAnsi="Verdana" w:cs="Arial"/>
          <w:color w:val="000000"/>
          <w:sz w:val="21"/>
          <w:szCs w:val="21"/>
          <w:lang w:val="es-ES_tradnl"/>
        </w:rPr>
      </w:pPr>
      <w:r w:rsidRPr="00692C00">
        <w:rPr>
          <w:rFonts w:ascii="Verdana" w:eastAsia="Calibri" w:hAnsi="Verdana" w:cs="Arial"/>
          <w:color w:val="000000"/>
          <w:sz w:val="20"/>
          <w:szCs w:val="20"/>
          <w:lang w:val="es-ES_tradnl"/>
        </w:rPr>
        <w:t>En ningún caso estos contratos generan relación laboral ni prestaciones sociales y se celebrarán por el término estrictamente indispensable”.</w:t>
      </w:r>
    </w:p>
    <w:p w14:paraId="5F660853" w14:textId="77777777" w:rsidR="000034E2" w:rsidRPr="00884819" w:rsidRDefault="000034E2" w:rsidP="000034E2">
      <w:pPr>
        <w:tabs>
          <w:tab w:val="left" w:pos="284"/>
        </w:tabs>
        <w:spacing w:after="0" w:line="276" w:lineRule="auto"/>
        <w:contextualSpacing/>
        <w:jc w:val="both"/>
        <w:rPr>
          <w:rFonts w:ascii="Verdana" w:eastAsia="Calibri" w:hAnsi="Verdana" w:cs="Arial"/>
          <w:b/>
          <w:color w:val="000000"/>
          <w:lang w:val="es-ES_tradnl"/>
        </w:rPr>
      </w:pPr>
    </w:p>
    <w:p w14:paraId="685A35BC" w14:textId="77777777" w:rsidR="000034E2" w:rsidRPr="00884819" w:rsidRDefault="000034E2" w:rsidP="000034E2">
      <w:pPr>
        <w:spacing w:after="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A pesar de la derogatoria del literal d) del artículo 24.1 del Estatuto General, la celebración de dicho contrato se realiza a través de la modalidad de la contratación directa. Así lo prevé el artículo 2, numeral 4º, literal h), de la Ley 1150 de 2007, que dispone:</w:t>
      </w:r>
    </w:p>
    <w:p w14:paraId="67CC687A" w14:textId="77777777" w:rsidR="000034E2" w:rsidRPr="00884819" w:rsidRDefault="000034E2" w:rsidP="000034E2">
      <w:pPr>
        <w:spacing w:after="0" w:line="276" w:lineRule="auto"/>
        <w:jc w:val="both"/>
        <w:rPr>
          <w:rFonts w:ascii="Verdana" w:eastAsia="Calibri" w:hAnsi="Verdana" w:cs="Arial"/>
          <w:color w:val="000000"/>
          <w:lang w:val="es-ES_tradnl"/>
        </w:rPr>
      </w:pPr>
    </w:p>
    <w:p w14:paraId="27D101D7" w14:textId="77777777" w:rsidR="000034E2" w:rsidRPr="00692C00" w:rsidRDefault="000034E2" w:rsidP="000034E2">
      <w:pPr>
        <w:spacing w:after="12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w:t>
      </w:r>
    </w:p>
    <w:p w14:paraId="18404FB4" w14:textId="77777777" w:rsidR="000034E2" w:rsidRPr="00692C00" w:rsidRDefault="000034E2" w:rsidP="000034E2">
      <w:pPr>
        <w:spacing w:line="240" w:lineRule="auto"/>
        <w:ind w:left="709" w:right="709"/>
        <w:jc w:val="both"/>
        <w:rPr>
          <w:rFonts w:ascii="Verdana" w:eastAsia="Calibri" w:hAnsi="Verdana" w:cs="Arial"/>
          <w:color w:val="000000"/>
          <w:sz w:val="20"/>
          <w:szCs w:val="20"/>
          <w:lang w:val="es-ES"/>
        </w:rPr>
      </w:pPr>
      <w:r w:rsidRPr="00692C00">
        <w:rPr>
          <w:rFonts w:ascii="Verdana" w:eastAsia="Calibri" w:hAnsi="Verdana" w:cs="Arial"/>
          <w:color w:val="000000" w:themeColor="text1"/>
          <w:sz w:val="20"/>
          <w:szCs w:val="20"/>
          <w:lang w:val="es-ES"/>
        </w:rPr>
        <w:t>Contratación directa. La modalidad de selección de contratación directa solamente procederá en los siguientes casos:</w:t>
      </w:r>
    </w:p>
    <w:p w14:paraId="763E6183" w14:textId="77777777" w:rsidR="000034E2" w:rsidRPr="00692C00" w:rsidRDefault="000034E2" w:rsidP="000034E2">
      <w:pPr>
        <w:spacing w:after="12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w:t>
      </w:r>
    </w:p>
    <w:p w14:paraId="522FD679" w14:textId="77777777" w:rsidR="000034E2" w:rsidRPr="00692C00" w:rsidRDefault="000034E2" w:rsidP="000034E2">
      <w:pPr>
        <w:spacing w:after="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lastRenderedPageBreak/>
        <w:t>h) Para la prestación de servicios profesionales y de apoyo a la gestión, o para la ejecución de trabajos artísticos que sólo puedan encomendarse a determinadas personas naturales”.</w:t>
      </w:r>
    </w:p>
    <w:p w14:paraId="1043D1C7" w14:textId="77777777" w:rsidR="000034E2" w:rsidRPr="00884819" w:rsidRDefault="000034E2" w:rsidP="000034E2">
      <w:pPr>
        <w:spacing w:after="0"/>
        <w:ind w:right="709"/>
        <w:jc w:val="both"/>
        <w:rPr>
          <w:rFonts w:ascii="Verdana" w:eastAsia="Calibri" w:hAnsi="Verdana" w:cs="Arial"/>
          <w:color w:val="000000"/>
          <w:lang w:val="es-ES_tradnl"/>
        </w:rPr>
      </w:pPr>
    </w:p>
    <w:p w14:paraId="14D36F66" w14:textId="77777777" w:rsidR="000034E2" w:rsidRPr="00884819" w:rsidRDefault="000034E2" w:rsidP="000034E2">
      <w:pPr>
        <w:spacing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0E656710" w14:textId="77777777" w:rsidR="000034E2" w:rsidRPr="00884819" w:rsidRDefault="000034E2" w:rsidP="000034E2">
      <w:pPr>
        <w:spacing w:before="120"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a</w:t>
      </w:r>
      <w:r w:rsidRPr="00884819">
        <w:rPr>
          <w:rFonts w:ascii="Verdana" w:eastAsia="Calibri" w:hAnsi="Verdana" w:cs="Arial"/>
          <w:color w:val="000000"/>
          <w:lang w:val="es-ES_tradnl"/>
        </w:rPr>
        <w:t>) Solo puede celebrarse para realizar “actividades relacionadas con la administración o funcionamiento de la entidad”, es decir, que hagan parte de su giro ordinario o quehacer cotidiano.</w:t>
      </w:r>
    </w:p>
    <w:p w14:paraId="632F7D78" w14:textId="77777777" w:rsidR="000034E2" w:rsidRPr="00884819" w:rsidRDefault="000034E2" w:rsidP="000034E2">
      <w:pPr>
        <w:spacing w:before="120"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b</w:t>
      </w:r>
      <w:r w:rsidRPr="00884819">
        <w:rPr>
          <w:rFonts w:ascii="Verdana" w:eastAsia="Calibri" w:hAnsi="Verdana" w:cs="Arial"/>
          <w:color w:val="000000"/>
          <w:lang w:val="es-ES_tradnl"/>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884819">
        <w:rPr>
          <w:rStyle w:val="Refdenotaalpie"/>
          <w:rFonts w:ascii="Verdana" w:eastAsia="Calibri" w:hAnsi="Verdana" w:cs="Arial"/>
          <w:color w:val="000000"/>
          <w:lang w:val="es-ES_tradnl"/>
        </w:rPr>
        <w:footnoteReference w:id="1"/>
      </w:r>
      <w:r w:rsidRPr="00884819">
        <w:rPr>
          <w:rFonts w:ascii="Verdana" w:eastAsia="Calibri" w:hAnsi="Verdana" w:cs="Arial"/>
          <w:color w:val="000000"/>
          <w:lang w:val="es-ES_tradnl"/>
        </w:rPr>
        <w:t xml:space="preserve">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2FED4853" w14:textId="77777777" w:rsidR="000034E2" w:rsidRPr="00884819" w:rsidRDefault="000034E2" w:rsidP="000034E2">
      <w:pPr>
        <w:spacing w:before="120"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c</w:t>
      </w:r>
      <w:r w:rsidRPr="00884819">
        <w:rPr>
          <w:rFonts w:ascii="Verdana" w:eastAsia="Calibri" w:hAnsi="Verdana" w:cs="Arial"/>
          <w:color w:val="000000"/>
          <w:lang w:val="es-ES_tradnl"/>
        </w:rPr>
        <w:t>) Si bien se celebran para obtener la prestación personal de un servicio, se diferencian del contrato de trabajo</w:t>
      </w:r>
      <w:r w:rsidRPr="00884819">
        <w:rPr>
          <w:rStyle w:val="Refdenotaalpie"/>
          <w:rFonts w:ascii="Verdana" w:hAnsi="Verdana" w:cs="Arial"/>
        </w:rPr>
        <w:footnoteReference w:id="2"/>
      </w:r>
      <w:r w:rsidRPr="00884819">
        <w:rPr>
          <w:rFonts w:ascii="Verdana" w:eastAsia="Calibri" w:hAnsi="Verdana" w:cs="Arial"/>
          <w:color w:val="000000"/>
          <w:lang w:val="es-ES_tradnl"/>
        </w:rPr>
        <w:t xml:space="preserve"> en que quien celebra el contrato de </w:t>
      </w:r>
      <w:r w:rsidRPr="00884819">
        <w:rPr>
          <w:rFonts w:ascii="Verdana" w:eastAsia="Calibri" w:hAnsi="Verdana" w:cs="Arial"/>
          <w:color w:val="000000"/>
          <w:lang w:val="es-ES_tradnl"/>
        </w:rPr>
        <w:lastRenderedPageBreak/>
        <w:t xml:space="preserve">prestación de servicios debe mantener autonomía e independencia en la ejecución de la labor, lo que significa que no puede existir la </w:t>
      </w:r>
      <w:r w:rsidRPr="00884819">
        <w:rPr>
          <w:rFonts w:ascii="Verdana" w:eastAsia="Calibri" w:hAnsi="Verdana" w:cs="Arial"/>
          <w:i/>
          <w:color w:val="000000"/>
          <w:lang w:val="es-ES_tradnl"/>
        </w:rPr>
        <w:t>subordinación y dependencia</w:t>
      </w:r>
      <w:r w:rsidRPr="00884819">
        <w:rPr>
          <w:rFonts w:ascii="Verdana" w:eastAsia="Calibri" w:hAnsi="Verdana" w:cs="Arial"/>
          <w:iCs/>
          <w:color w:val="000000"/>
          <w:lang w:val="es-ES_tradnl"/>
        </w:rPr>
        <w:t>,</w:t>
      </w:r>
      <w:r w:rsidRPr="00884819">
        <w:rPr>
          <w:rFonts w:ascii="Verdana" w:eastAsia="Calibri" w:hAnsi="Verdana" w:cs="Arial"/>
          <w:color w:val="000000"/>
          <w:lang w:val="es-ES_tradnl"/>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884819">
        <w:rPr>
          <w:rFonts w:ascii="Verdana" w:eastAsia="Calibri" w:hAnsi="Verdana" w:cs="Arial"/>
          <w:i/>
          <w:color w:val="000000"/>
          <w:lang w:val="es-ES_tradnl"/>
        </w:rPr>
        <w:t>no pueden</w:t>
      </w:r>
      <w:r w:rsidRPr="00884819">
        <w:rPr>
          <w:rFonts w:ascii="Verdana" w:eastAsia="Calibri" w:hAnsi="Verdana" w:cs="Arial"/>
          <w:color w:val="000000"/>
          <w:lang w:val="es-ES_tradnl"/>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w:t>
      </w:r>
    </w:p>
    <w:p w14:paraId="3CFC68ED" w14:textId="77777777" w:rsidR="000034E2" w:rsidRPr="00884819" w:rsidRDefault="000034E2" w:rsidP="000034E2">
      <w:pPr>
        <w:spacing w:before="120" w:after="12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 xml:space="preserve">Pero es posible que, a pesar de este mandato deontológico, en la práctica surja la relación laboral, pues, como se sabe, el contrato de trabajo es un </w:t>
      </w:r>
      <w:r w:rsidRPr="00884819">
        <w:rPr>
          <w:rFonts w:ascii="Verdana" w:eastAsia="Calibri" w:hAnsi="Verdana" w:cs="Arial"/>
          <w:i/>
          <w:color w:val="000000"/>
          <w:lang w:val="es-ES_tradnl"/>
        </w:rPr>
        <w:t>contrato realidad</w:t>
      </w:r>
      <w:r w:rsidRPr="00884819">
        <w:rPr>
          <w:rFonts w:ascii="Verdana" w:eastAsia="Calibri" w:hAnsi="Verdana" w:cs="Arial"/>
          <w:color w:val="000000"/>
          <w:lang w:val="es-ES_tradnl"/>
        </w:rPr>
        <w:t>,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 del artículo 32 de la Ley 80 de 1993, no vulneran los preceptos constitucionales, razón por la cual deberán ser declaradas exequibles, salvo que se acredite por parte del contratista la existencia de una relación laboral subordinada”</w:t>
      </w:r>
      <w:r w:rsidRPr="00884819">
        <w:rPr>
          <w:rStyle w:val="Refdenotaalpie"/>
          <w:rFonts w:ascii="Verdana" w:hAnsi="Verdana" w:cs="Arial"/>
        </w:rPr>
        <w:footnoteReference w:id="3"/>
      </w:r>
      <w:r w:rsidRPr="00884819">
        <w:rPr>
          <w:rFonts w:ascii="Verdana" w:eastAsia="Calibri" w:hAnsi="Verdana" w:cs="Arial"/>
          <w:color w:val="000000"/>
          <w:lang w:val="es-ES_tradnl"/>
        </w:rPr>
        <w:t xml:space="preserve">. </w:t>
      </w:r>
    </w:p>
    <w:p w14:paraId="3A521E98" w14:textId="77777777" w:rsidR="000034E2" w:rsidRPr="00884819" w:rsidRDefault="000034E2" w:rsidP="000034E2">
      <w:pPr>
        <w:spacing w:before="120" w:after="12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En todo caso, conforme al artículo 54.1 de la Ley 1952 de 2019, “Por medio de la cual se expide el código general disciplinario se derogan la ley 734 de 2002 y algunas disposiciones de la ley 1474 de 2011, relacionadas con el derecho disciplinario”, constituye falta gravísima “Celebrar contrato de prestación de servicios cuyo objeto sea el cumplimiento de funciones públicas o administrativas que requieran dedicación de tiempo completo e impliquen subordinación y ausencia de autonomía respecto del contratista […]”</w:t>
      </w:r>
      <w:r w:rsidRPr="00884819">
        <w:rPr>
          <w:rStyle w:val="Refdenotaalpie"/>
          <w:rFonts w:ascii="Verdana" w:eastAsia="Calibri" w:hAnsi="Verdana" w:cs="Arial"/>
          <w:color w:val="000000"/>
          <w:lang w:val="es-ES_tradnl"/>
        </w:rPr>
        <w:footnoteReference w:id="4"/>
      </w:r>
      <w:r w:rsidRPr="00884819">
        <w:rPr>
          <w:rFonts w:ascii="Verdana" w:eastAsia="Calibri" w:hAnsi="Verdana" w:cs="Arial"/>
          <w:color w:val="000000"/>
          <w:lang w:val="es-ES_tradnl"/>
        </w:rPr>
        <w:t>.</w:t>
      </w:r>
    </w:p>
    <w:p w14:paraId="7B6C8688" w14:textId="77777777" w:rsidR="000034E2" w:rsidRPr="00884819" w:rsidRDefault="000034E2" w:rsidP="000034E2">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lastRenderedPageBreak/>
        <w:t>d</w:t>
      </w:r>
      <w:r w:rsidRPr="00884819">
        <w:rPr>
          <w:rFonts w:ascii="Verdana" w:eastAsia="Calibri" w:hAnsi="Verdana" w:cs="Arial"/>
          <w:color w:val="000000"/>
          <w:lang w:val="es-ES_tradnl"/>
        </w:rPr>
        <w:t>) Deben ser temporales. Así lo señaló la Corte Constitucional en la misma providencia a la que se aludió previamente, expresando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884819">
        <w:rPr>
          <w:rStyle w:val="Refdenotaalpie"/>
          <w:rFonts w:ascii="Verdana" w:hAnsi="Verdana" w:cs="Arial"/>
        </w:rPr>
        <w:footnoteReference w:id="5"/>
      </w:r>
      <w:r w:rsidRPr="00884819">
        <w:rPr>
          <w:rFonts w:ascii="Verdana" w:eastAsia="Calibri" w:hAnsi="Verdana" w:cs="Arial"/>
          <w:color w:val="000000"/>
          <w:lang w:val="es-ES_tradnl"/>
        </w:rPr>
        <w:t>.</w:t>
      </w:r>
    </w:p>
    <w:p w14:paraId="0D71FD08" w14:textId="77777777" w:rsidR="000034E2" w:rsidRPr="00884819" w:rsidRDefault="000034E2" w:rsidP="000034E2">
      <w:pPr>
        <w:spacing w:after="0" w:line="276" w:lineRule="auto"/>
        <w:ind w:firstLine="709"/>
        <w:jc w:val="both"/>
        <w:rPr>
          <w:rFonts w:ascii="Verdana" w:eastAsia="Calibri" w:hAnsi="Verdana" w:cs="Arial"/>
          <w:color w:val="000000"/>
          <w:lang w:val="es-ES"/>
        </w:rPr>
      </w:pPr>
      <w:r>
        <w:rPr>
          <w:rFonts w:ascii="Verdana" w:eastAsia="Calibri" w:hAnsi="Verdana" w:cs="Arial"/>
          <w:color w:val="000000"/>
          <w:lang w:val="es-ES"/>
        </w:rPr>
        <w:t>e</w:t>
      </w:r>
      <w:r w:rsidRPr="00884819">
        <w:rPr>
          <w:rFonts w:ascii="Verdana" w:eastAsia="Calibri" w:hAnsi="Verdana" w:cs="Arial"/>
          <w:color w:val="000000"/>
          <w:lang w:val="es-ES"/>
        </w:rPr>
        <w:t xml:space="preserve">) Los contratos de prestación de servicios constituyen un </w:t>
      </w:r>
      <w:r w:rsidRPr="00884819">
        <w:rPr>
          <w:rFonts w:ascii="Verdana" w:eastAsia="Calibri" w:hAnsi="Verdana" w:cs="Arial"/>
          <w:i/>
          <w:color w:val="000000"/>
          <w:lang w:val="es-ES"/>
        </w:rPr>
        <w:t>género</w:t>
      </w:r>
      <w:r w:rsidRPr="00884819">
        <w:rPr>
          <w:rFonts w:ascii="Verdana" w:eastAsia="Calibri" w:hAnsi="Verdana" w:cs="Arial"/>
          <w:color w:val="000000"/>
          <w:lang w:val="es-ES"/>
        </w:rPr>
        <w:t xml:space="preserve"> que incluye, como </w:t>
      </w:r>
      <w:r w:rsidRPr="00884819">
        <w:rPr>
          <w:rFonts w:ascii="Verdana" w:eastAsia="Calibri" w:hAnsi="Verdana" w:cs="Arial"/>
          <w:i/>
          <w:color w:val="000000"/>
          <w:lang w:val="es-ES"/>
        </w:rPr>
        <w:t>especies</w:t>
      </w:r>
      <w:r w:rsidRPr="00884819">
        <w:rPr>
          <w:rFonts w:ascii="Verdana" w:eastAsia="Calibri" w:hAnsi="Verdana" w:cs="Arial"/>
          <w:color w:val="000000"/>
          <w:lang w:val="es-ES"/>
        </w:rPr>
        <w:t>, los contratos de prestación de servicios profesionales, los contratos de prestación de servicios de apoyo a la gestión y los contratos de prestación de servicios artísticos que solo pueden encomendarse a determinadas personas naturales</w:t>
      </w:r>
      <w:r w:rsidRPr="00884819">
        <w:rPr>
          <w:rStyle w:val="Refdenotaalpie"/>
          <w:rFonts w:ascii="Verdana" w:hAnsi="Verdana" w:cs="Arial"/>
        </w:rPr>
        <w:footnoteReference w:id="6"/>
      </w:r>
      <w:r w:rsidRPr="00884819">
        <w:rPr>
          <w:rFonts w:ascii="Verdana" w:eastAsia="Calibri" w:hAnsi="Verdana" w:cs="Arial"/>
          <w:color w:val="000000"/>
          <w:lang w:val="es-ES"/>
        </w:rPr>
        <w:t xml:space="preserve">. La diferencia entre el contrato de prestación de servicios </w:t>
      </w:r>
      <w:r w:rsidRPr="00884819">
        <w:rPr>
          <w:rFonts w:ascii="Verdana" w:eastAsia="Calibri" w:hAnsi="Verdana" w:cs="Arial"/>
          <w:i/>
          <w:color w:val="000000"/>
          <w:lang w:val="es-ES"/>
        </w:rPr>
        <w:t>profesionales</w:t>
      </w:r>
      <w:r w:rsidRPr="00884819">
        <w:rPr>
          <w:rFonts w:ascii="Verdana" w:eastAsia="Calibri" w:hAnsi="Verdana" w:cs="Arial"/>
          <w:color w:val="000000"/>
          <w:lang w:val="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6904C57D" w14:textId="77777777" w:rsidR="000034E2" w:rsidRPr="00884819" w:rsidRDefault="000034E2" w:rsidP="000034E2">
      <w:pPr>
        <w:spacing w:after="0" w:line="276" w:lineRule="auto"/>
        <w:ind w:firstLine="709"/>
        <w:jc w:val="both"/>
        <w:rPr>
          <w:rFonts w:ascii="Verdana" w:eastAsia="Calibri" w:hAnsi="Verdana" w:cs="Arial"/>
          <w:color w:val="000000"/>
          <w:lang w:val="es-ES_tradnl"/>
        </w:rPr>
      </w:pPr>
    </w:p>
    <w:p w14:paraId="77194557" w14:textId="77777777" w:rsidR="000034E2" w:rsidRPr="00692C00" w:rsidRDefault="000034E2" w:rsidP="000034E2">
      <w:pPr>
        <w:spacing w:after="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 xml:space="preserve">“Su objeto está determinado por el desarrollo de actividades identificables e intangibles que impliquen el desempeño de un esfuerzo o actividad, tendiente a satisfacer necesidades de las entidades estatales en lo </w:t>
      </w:r>
      <w:r w:rsidRPr="00692C00">
        <w:rPr>
          <w:rFonts w:ascii="Verdana" w:eastAsia="Calibri" w:hAnsi="Verdana" w:cs="Arial"/>
          <w:color w:val="000000"/>
          <w:sz w:val="20"/>
          <w:szCs w:val="20"/>
          <w:lang w:val="es-ES_tradnl"/>
        </w:rPr>
        <w:lastRenderedPageBreak/>
        <w:t>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692C00">
        <w:rPr>
          <w:rStyle w:val="Refdenotaalpie"/>
          <w:rFonts w:ascii="Verdana" w:hAnsi="Verdana" w:cs="Arial"/>
          <w:sz w:val="20"/>
          <w:szCs w:val="20"/>
        </w:rPr>
        <w:footnoteReference w:id="7"/>
      </w:r>
      <w:r w:rsidRPr="00692C00">
        <w:rPr>
          <w:rFonts w:ascii="Verdana" w:eastAsia="Calibri" w:hAnsi="Verdana" w:cs="Arial"/>
          <w:color w:val="000000"/>
          <w:sz w:val="20"/>
          <w:szCs w:val="20"/>
          <w:lang w:val="es-ES_tradnl"/>
        </w:rPr>
        <w:t>.</w:t>
      </w:r>
    </w:p>
    <w:p w14:paraId="1F862141" w14:textId="77777777" w:rsidR="000034E2" w:rsidRPr="00884819" w:rsidRDefault="000034E2" w:rsidP="000034E2">
      <w:pPr>
        <w:spacing w:after="0" w:line="276" w:lineRule="auto"/>
        <w:ind w:firstLine="709"/>
        <w:jc w:val="both"/>
        <w:rPr>
          <w:rFonts w:ascii="Verdana" w:eastAsia="Calibri" w:hAnsi="Verdana" w:cs="Arial"/>
          <w:color w:val="000000"/>
          <w:lang w:val="es-ES_tradnl"/>
        </w:rPr>
      </w:pPr>
    </w:p>
    <w:p w14:paraId="77B67DD2" w14:textId="77777777" w:rsidR="000034E2" w:rsidRPr="00884819" w:rsidRDefault="000034E2" w:rsidP="000034E2">
      <w:pPr>
        <w:spacing w:after="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Objeto que, según la sentencia que se cita, se diferencia del objeto del contrato de prestación de servicios de apoyo a la gestión, porque en este:</w:t>
      </w:r>
    </w:p>
    <w:p w14:paraId="2F05DEDF" w14:textId="77777777" w:rsidR="000034E2" w:rsidRPr="00884819" w:rsidRDefault="000034E2" w:rsidP="000034E2">
      <w:pPr>
        <w:spacing w:after="0" w:line="276" w:lineRule="auto"/>
        <w:ind w:firstLine="709"/>
        <w:jc w:val="both"/>
        <w:rPr>
          <w:rFonts w:ascii="Verdana" w:eastAsia="Calibri" w:hAnsi="Verdana" w:cs="Arial"/>
          <w:color w:val="000000"/>
          <w:lang w:val="es-ES_tradnl"/>
        </w:rPr>
      </w:pPr>
    </w:p>
    <w:p w14:paraId="0F43D4FA" w14:textId="77777777" w:rsidR="000034E2" w:rsidRPr="00692C00" w:rsidRDefault="000034E2" w:rsidP="000034E2">
      <w:pPr>
        <w:spacing w:after="12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384E24A2" w14:textId="77777777" w:rsidR="000034E2" w:rsidRPr="00692C00" w:rsidRDefault="000034E2" w:rsidP="000034E2">
      <w:pPr>
        <w:spacing w:after="120" w:line="240" w:lineRule="auto"/>
        <w:ind w:left="709" w:right="709"/>
        <w:jc w:val="both"/>
        <w:rPr>
          <w:rFonts w:ascii="Verdana" w:eastAsia="Calibri" w:hAnsi="Verdana" w:cs="Arial"/>
          <w:color w:val="000000"/>
          <w:sz w:val="20"/>
          <w:szCs w:val="20"/>
          <w:lang w:val="es-ES"/>
        </w:rPr>
      </w:pPr>
      <w:r w:rsidRPr="08E9AED9">
        <w:rPr>
          <w:rFonts w:ascii="Verdana" w:eastAsia="Calibri" w:hAnsi="Verdana" w:cs="Arial"/>
          <w:color w:val="000000" w:themeColor="text1"/>
          <w:sz w:val="20"/>
          <w:szCs w:val="20"/>
          <w:lang w:val="es-ES"/>
        </w:rPr>
        <w:t xml:space="preserve">Aunque también se caracteriza por el desempeño de actividad intelectiva, ésta </w:t>
      </w:r>
      <w:proofErr w:type="gramStart"/>
      <w:r w:rsidRPr="08E9AED9">
        <w:rPr>
          <w:rFonts w:ascii="Verdana" w:eastAsia="Calibri" w:hAnsi="Verdana" w:cs="Arial"/>
          <w:color w:val="000000" w:themeColor="text1"/>
          <w:sz w:val="20"/>
          <w:szCs w:val="20"/>
          <w:lang w:val="es-ES"/>
        </w:rPr>
        <w:t>se enmarca dentro de</w:t>
      </w:r>
      <w:proofErr w:type="gramEnd"/>
      <w:r w:rsidRPr="08E9AED9">
        <w:rPr>
          <w:rFonts w:ascii="Verdana" w:eastAsia="Calibri" w:hAnsi="Verdana" w:cs="Arial"/>
          <w:color w:val="000000" w:themeColor="text1"/>
          <w:sz w:val="20"/>
          <w:szCs w:val="20"/>
          <w:lang w:val="es-ES"/>
        </w:rPr>
        <w:t xml:space="preserve"> un saber propiamente técnico; igualmente involucra actividades en donde prima el esfuerzo físico o mecánico, en donde no se requiere de personal profesional.</w:t>
      </w:r>
    </w:p>
    <w:p w14:paraId="28E01BF7" w14:textId="77777777" w:rsidR="000034E2" w:rsidRPr="00692C00" w:rsidRDefault="000034E2" w:rsidP="000034E2">
      <w:pPr>
        <w:spacing w:after="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692C00">
        <w:rPr>
          <w:rStyle w:val="Refdenotaalpie"/>
          <w:rFonts w:ascii="Verdana" w:hAnsi="Verdana" w:cs="Arial"/>
          <w:sz w:val="20"/>
          <w:szCs w:val="20"/>
        </w:rPr>
        <w:footnoteReference w:id="8"/>
      </w:r>
      <w:r w:rsidRPr="00692C00">
        <w:rPr>
          <w:rFonts w:ascii="Verdana" w:eastAsia="Calibri" w:hAnsi="Verdana" w:cs="Arial"/>
          <w:color w:val="000000"/>
          <w:sz w:val="20"/>
          <w:szCs w:val="20"/>
          <w:lang w:val="es-ES_tradnl"/>
        </w:rPr>
        <w:t>.</w:t>
      </w:r>
    </w:p>
    <w:p w14:paraId="389DA6A7" w14:textId="77777777" w:rsidR="000034E2" w:rsidRPr="00884819" w:rsidRDefault="000034E2" w:rsidP="000034E2">
      <w:pPr>
        <w:spacing w:after="0" w:line="276" w:lineRule="auto"/>
        <w:ind w:firstLine="709"/>
        <w:jc w:val="both"/>
        <w:rPr>
          <w:rFonts w:ascii="Verdana" w:eastAsia="Calibri" w:hAnsi="Verdana" w:cs="Arial"/>
          <w:color w:val="000000"/>
          <w:lang w:val="es-ES_tradnl"/>
        </w:rPr>
      </w:pPr>
    </w:p>
    <w:p w14:paraId="130F18EE" w14:textId="77777777" w:rsidR="000034E2" w:rsidRPr="00884819" w:rsidRDefault="000034E2" w:rsidP="000034E2">
      <w:pPr>
        <w:spacing w:after="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En relación con el contrato de prestación de servicios artísticos que solo pueden encomendarse a determinadas personas naturales, señala el mencionado fallo que:</w:t>
      </w:r>
    </w:p>
    <w:p w14:paraId="453C2825" w14:textId="77777777" w:rsidR="000034E2" w:rsidRPr="00884819" w:rsidRDefault="000034E2" w:rsidP="000034E2">
      <w:pPr>
        <w:spacing w:after="0"/>
        <w:ind w:left="709" w:right="709"/>
        <w:jc w:val="both"/>
        <w:rPr>
          <w:rFonts w:ascii="Verdana" w:eastAsia="Calibri" w:hAnsi="Verdana" w:cs="Arial"/>
          <w:color w:val="000000"/>
          <w:lang w:val="es-ES_tradnl"/>
        </w:rPr>
      </w:pPr>
    </w:p>
    <w:p w14:paraId="2FDCEA6F" w14:textId="77777777" w:rsidR="000034E2" w:rsidRPr="00692C00" w:rsidRDefault="000034E2" w:rsidP="000034E2">
      <w:pPr>
        <w:spacing w:after="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692C00">
        <w:rPr>
          <w:rStyle w:val="Refdenotaalpie"/>
          <w:rFonts w:ascii="Verdana" w:hAnsi="Verdana" w:cs="Arial"/>
          <w:sz w:val="20"/>
          <w:szCs w:val="20"/>
        </w:rPr>
        <w:footnoteReference w:id="9"/>
      </w:r>
      <w:r w:rsidRPr="00692C00">
        <w:rPr>
          <w:rFonts w:ascii="Verdana" w:eastAsia="Calibri" w:hAnsi="Verdana" w:cs="Arial"/>
          <w:color w:val="000000"/>
          <w:sz w:val="20"/>
          <w:szCs w:val="20"/>
          <w:lang w:val="es-ES_tradnl"/>
        </w:rPr>
        <w:t>.</w:t>
      </w:r>
    </w:p>
    <w:p w14:paraId="491A79BE" w14:textId="77777777" w:rsidR="000034E2" w:rsidRPr="00884819" w:rsidRDefault="000034E2" w:rsidP="000034E2">
      <w:pPr>
        <w:spacing w:after="0"/>
        <w:ind w:left="709" w:right="709"/>
        <w:jc w:val="both"/>
        <w:rPr>
          <w:rFonts w:ascii="Verdana" w:eastAsia="Calibri" w:hAnsi="Verdana" w:cs="Arial"/>
          <w:color w:val="000000"/>
          <w:lang w:val="es-ES_tradnl"/>
        </w:rPr>
      </w:pPr>
    </w:p>
    <w:p w14:paraId="17BD4A90" w14:textId="77777777" w:rsidR="000034E2" w:rsidRPr="00884819" w:rsidRDefault="000034E2" w:rsidP="000034E2">
      <w:pPr>
        <w:spacing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f</w:t>
      </w:r>
      <w:r w:rsidRPr="00884819">
        <w:rPr>
          <w:rFonts w:ascii="Verdana" w:eastAsia="Calibri" w:hAnsi="Verdana" w:cs="Arial"/>
          <w:color w:val="000000"/>
          <w:lang w:val="es-ES_tradnl"/>
        </w:rPr>
        <w:t xml:space="preserve">) Su celebración debe realizarse a través de la modalidad de contratación directa, independientemente de la cuantía y del tipo de servicio, siempre que </w:t>
      </w:r>
      <w:r w:rsidRPr="00884819">
        <w:rPr>
          <w:rFonts w:ascii="Verdana" w:eastAsia="Calibri" w:hAnsi="Verdana" w:cs="Arial"/>
          <w:color w:val="000000"/>
          <w:lang w:val="es-ES_tradnl"/>
        </w:rPr>
        <w:lastRenderedPageBreak/>
        <w:t>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884819">
        <w:rPr>
          <w:rStyle w:val="Refdenotaalpie"/>
          <w:rFonts w:ascii="Verdana" w:hAnsi="Verdana" w:cs="Arial"/>
        </w:rPr>
        <w:footnoteReference w:id="10"/>
      </w:r>
      <w:r w:rsidRPr="00884819">
        <w:rPr>
          <w:rFonts w:ascii="Verdana" w:eastAsia="Calibri" w:hAnsi="Verdana" w:cs="Arial"/>
          <w:color w:val="000000"/>
          <w:lang w:val="es-ES_tradnl"/>
        </w:rPr>
        <w:t>. Pero, tampoco puede suscribirse un contrato de prestación de servicios profesionales para que el contratista ejecute labores que se enmarcan en los otros contratos tipificados en el artículo 32 de la Ley 80 de 1993, como, por ejemplo, para que el contratista de prestación de servicios construya una obra.</w:t>
      </w:r>
    </w:p>
    <w:p w14:paraId="53E2364D" w14:textId="77777777" w:rsidR="000034E2" w:rsidRPr="00884819" w:rsidRDefault="000034E2" w:rsidP="000034E2">
      <w:pPr>
        <w:spacing w:before="120"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g</w:t>
      </w:r>
      <w:r w:rsidRPr="00884819">
        <w:rPr>
          <w:rFonts w:ascii="Verdana" w:eastAsia="Calibri" w:hAnsi="Verdana" w:cs="Arial"/>
          <w:color w:val="000000"/>
          <w:lang w:val="es-ES_tradnl"/>
        </w:rPr>
        <w:t>) Para su celebración no se requiere en algunos casos la expedición del acto administrativo de justificación de la contratación directa</w:t>
      </w:r>
      <w:r w:rsidRPr="00884819">
        <w:rPr>
          <w:rStyle w:val="Refdenotaalpie"/>
          <w:rFonts w:ascii="Verdana" w:hAnsi="Verdana" w:cs="Arial"/>
        </w:rPr>
        <w:footnoteReference w:id="11"/>
      </w:r>
      <w:r w:rsidRPr="00884819">
        <w:rPr>
          <w:rFonts w:ascii="Verdana" w:eastAsia="Calibri" w:hAnsi="Verdana" w:cs="Arial"/>
          <w:color w:val="000000"/>
          <w:lang w:val="es-ES_tradnl"/>
        </w:rPr>
        <w:t xml:space="preserve">. </w:t>
      </w:r>
    </w:p>
    <w:p w14:paraId="284A0676" w14:textId="77777777" w:rsidR="000034E2" w:rsidRPr="00884819" w:rsidRDefault="000034E2" w:rsidP="000034E2">
      <w:pPr>
        <w:spacing w:before="120"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h</w:t>
      </w:r>
      <w:r w:rsidRPr="00884819">
        <w:rPr>
          <w:rFonts w:ascii="Verdana" w:eastAsia="Calibri" w:hAnsi="Verdana" w:cs="Arial"/>
          <w:color w:val="000000"/>
          <w:lang w:val="es-ES_tradnl"/>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884819">
        <w:rPr>
          <w:rStyle w:val="Refdenotaalpie"/>
          <w:rFonts w:ascii="Verdana" w:hAnsi="Verdana" w:cs="Arial"/>
        </w:rPr>
        <w:footnoteReference w:id="12"/>
      </w:r>
      <w:r w:rsidRPr="00884819">
        <w:rPr>
          <w:rFonts w:ascii="Verdana" w:eastAsia="Calibri" w:hAnsi="Verdana" w:cs="Arial"/>
          <w:color w:val="000000"/>
          <w:lang w:val="es-ES_tradnl"/>
        </w:rPr>
        <w:t>.</w:t>
      </w:r>
    </w:p>
    <w:p w14:paraId="3AE69237" w14:textId="77777777" w:rsidR="000034E2" w:rsidRPr="00884819" w:rsidRDefault="000034E2" w:rsidP="000034E2">
      <w:pPr>
        <w:spacing w:before="120" w:after="12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lastRenderedPageBreak/>
        <w:t>i) En algunos casos no es obligatoria la liquidación, pues así lo estableció el artículo 217 del Decreto 019 de 2012, que modificó el artículo 60 de la Ley 80 de 1993</w:t>
      </w:r>
      <w:r w:rsidRPr="00884819">
        <w:rPr>
          <w:rStyle w:val="Refdenotaalpie"/>
          <w:rFonts w:ascii="Verdana" w:hAnsi="Verdana" w:cs="Arial"/>
        </w:rPr>
        <w:footnoteReference w:id="13"/>
      </w:r>
      <w:r w:rsidRPr="00884819">
        <w:rPr>
          <w:rFonts w:ascii="Verdana" w:eastAsia="Calibri" w:hAnsi="Verdana" w:cs="Arial"/>
          <w:color w:val="000000"/>
          <w:lang w:val="es-ES_tradnl"/>
        </w:rPr>
        <w:t>, refiriéndose a los contratos de prestación de servicios profesionales y de apoyo a la gestión.</w:t>
      </w:r>
    </w:p>
    <w:p w14:paraId="3A842E68" w14:textId="77777777" w:rsidR="000034E2" w:rsidRPr="00884819" w:rsidRDefault="000034E2" w:rsidP="000034E2">
      <w:pPr>
        <w:spacing w:before="120"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j</w:t>
      </w:r>
      <w:r w:rsidRPr="00884819">
        <w:rPr>
          <w:rFonts w:ascii="Verdana" w:eastAsia="Calibri" w:hAnsi="Verdana" w:cs="Arial"/>
          <w:color w:val="000000"/>
          <w:lang w:val="es-ES_tradnl"/>
        </w:rPr>
        <w:t>) Para su celebración no se requiere inscripción en el Registro Único de Proponentes (RUP), según lo prevé el artículo 6 de la Ley 1150 de 2007</w:t>
      </w:r>
      <w:r w:rsidRPr="00884819">
        <w:rPr>
          <w:rStyle w:val="Refdenotaalpie"/>
          <w:rFonts w:ascii="Verdana" w:hAnsi="Verdana" w:cs="Arial"/>
        </w:rPr>
        <w:footnoteReference w:id="14"/>
      </w:r>
      <w:r w:rsidRPr="00884819">
        <w:rPr>
          <w:rFonts w:ascii="Verdana" w:eastAsia="Calibri" w:hAnsi="Verdana" w:cs="Arial"/>
          <w:color w:val="000000"/>
          <w:lang w:val="es-ES_tradnl"/>
        </w:rPr>
        <w:t>.</w:t>
      </w:r>
    </w:p>
    <w:p w14:paraId="7BF5313B" w14:textId="77777777" w:rsidR="000034E2" w:rsidRDefault="000034E2" w:rsidP="000034E2">
      <w:pPr>
        <w:spacing w:before="120" w:after="0"/>
        <w:ind w:firstLine="709"/>
        <w:jc w:val="both"/>
        <w:rPr>
          <w:rFonts w:ascii="Verdana" w:eastAsia="Calibri" w:hAnsi="Verdana" w:cs="Arial"/>
          <w:color w:val="000000"/>
          <w:lang w:val="es-ES_tradnl"/>
        </w:rPr>
      </w:pPr>
      <w:r>
        <w:rPr>
          <w:rFonts w:ascii="Verdana" w:eastAsia="Calibri" w:hAnsi="Verdana" w:cs="Arial"/>
          <w:color w:val="000000"/>
          <w:lang w:val="es-ES_tradnl"/>
        </w:rPr>
        <w:t>k</w:t>
      </w:r>
      <w:r w:rsidRPr="00884819">
        <w:rPr>
          <w:rFonts w:ascii="Verdana" w:eastAsia="Calibri" w:hAnsi="Verdana" w:cs="Arial"/>
          <w:color w:val="000000"/>
          <w:lang w:val="es-ES_tradnl"/>
        </w:rPr>
        <w:t>) En ellos no son necesarias las garantías</w:t>
      </w:r>
      <w:r w:rsidRPr="00884819">
        <w:rPr>
          <w:rStyle w:val="Refdenotaalpie"/>
          <w:rFonts w:ascii="Verdana" w:hAnsi="Verdana" w:cs="Arial"/>
        </w:rPr>
        <w:footnoteReference w:id="15"/>
      </w:r>
      <w:r w:rsidRPr="00884819">
        <w:rPr>
          <w:rFonts w:ascii="Verdana" w:eastAsia="Calibri" w:hAnsi="Verdana" w:cs="Arial"/>
          <w:color w:val="000000"/>
          <w:lang w:val="es-ES_tradnl"/>
        </w:rPr>
        <w:t>.</w:t>
      </w:r>
    </w:p>
    <w:p w14:paraId="086EA264" w14:textId="77777777" w:rsidR="000034E2" w:rsidRPr="00884819" w:rsidRDefault="000034E2" w:rsidP="000034E2">
      <w:pPr>
        <w:spacing w:after="0"/>
        <w:ind w:firstLine="709"/>
        <w:jc w:val="both"/>
        <w:rPr>
          <w:rFonts w:ascii="Verdana" w:eastAsia="Calibri" w:hAnsi="Verdana" w:cs="Arial"/>
          <w:color w:val="000000"/>
          <w:lang w:val="es-ES_tradnl"/>
        </w:rPr>
      </w:pPr>
    </w:p>
    <w:p w14:paraId="175896D8" w14:textId="77777777" w:rsidR="000034E2" w:rsidRPr="003755E1" w:rsidRDefault="000034E2" w:rsidP="000034E2">
      <w:pPr>
        <w:widowControl w:val="0"/>
        <w:autoSpaceDE w:val="0"/>
        <w:autoSpaceDN w:val="0"/>
        <w:spacing w:after="120" w:line="276" w:lineRule="auto"/>
        <w:jc w:val="both"/>
        <w:rPr>
          <w:rFonts w:ascii="Verdana" w:eastAsia="Arial" w:hAnsi="Verdana" w:cs="Arial"/>
          <w:iCs/>
          <w:lang w:val="es-ES"/>
        </w:rPr>
      </w:pPr>
      <w:proofErr w:type="spellStart"/>
      <w:r w:rsidRPr="002F7E6A">
        <w:rPr>
          <w:rFonts w:ascii="Verdana" w:hAnsi="Verdana" w:cs="Arial"/>
          <w:iCs/>
          <w:color w:val="000000" w:themeColor="text1"/>
          <w:lang w:val="es-ES_tradnl"/>
        </w:rPr>
        <w:t>ii</w:t>
      </w:r>
      <w:proofErr w:type="spellEnd"/>
      <w:r w:rsidRPr="002F7E6A">
        <w:rPr>
          <w:rFonts w:ascii="Verdana" w:hAnsi="Verdana" w:cs="Arial"/>
          <w:iCs/>
          <w:color w:val="000000" w:themeColor="text1"/>
          <w:lang w:val="es-ES_tradnl"/>
        </w:rPr>
        <w:t>.</w:t>
      </w:r>
      <w:r>
        <w:rPr>
          <w:rFonts w:ascii="Verdana" w:hAnsi="Verdana" w:cs="Arial"/>
          <w:iCs/>
          <w:color w:val="000000" w:themeColor="text1"/>
          <w:lang w:val="es-ES_tradnl"/>
        </w:rPr>
        <w:t xml:space="preserve"> </w:t>
      </w:r>
      <w:r w:rsidRPr="00282ED1">
        <w:rPr>
          <w:rFonts w:ascii="Verdana" w:eastAsia="Arial" w:hAnsi="Verdana" w:cs="Arial"/>
          <w:iCs/>
          <w:lang w:val="es-ES"/>
        </w:rPr>
        <w:t xml:space="preserve">En relación con los honorarios </w:t>
      </w:r>
      <w:r>
        <w:rPr>
          <w:rFonts w:ascii="Verdana" w:eastAsia="Arial" w:hAnsi="Verdana" w:cs="Arial"/>
          <w:iCs/>
          <w:lang w:val="es-ES"/>
        </w:rPr>
        <w:t>en</w:t>
      </w:r>
      <w:r w:rsidRPr="00282ED1">
        <w:rPr>
          <w:rFonts w:ascii="Verdana" w:eastAsia="Arial" w:hAnsi="Verdana" w:cs="Arial"/>
          <w:iCs/>
          <w:lang w:val="es-ES"/>
        </w:rPr>
        <w:t xml:space="preserve"> los contratos de prestación de servicios,</w:t>
      </w:r>
      <w:r>
        <w:rPr>
          <w:rFonts w:ascii="Verdana" w:eastAsia="Arial" w:hAnsi="Verdana" w:cs="Arial"/>
          <w:iCs/>
          <w:lang w:val="es-ES"/>
        </w:rPr>
        <w:t xml:space="preserve"> </w:t>
      </w:r>
      <w:r w:rsidRPr="00F31A35">
        <w:rPr>
          <w:rFonts w:ascii="Verdana" w:eastAsia="Calibri" w:hAnsi="Verdana" w:cs="Arial"/>
          <w:bCs/>
          <w:color w:val="000000"/>
          <w:kern w:val="2"/>
          <w14:ligatures w14:val="standardContextual"/>
        </w:rPr>
        <w:t>es pertinente precisar que no una disposición que establezca la forma en la que deberían fijarse, pues en virtud del principio de autonomía de la voluntad, las partes pueden determinar el contenido de los contratos estatales e incluir las condiciones, cláusulas o estipulaciones que consideren necesarias para desarrollar el objeto contractual, siempre que no sean contrarias a la Constitución Política, la ley y el orden público.</w:t>
      </w:r>
    </w:p>
    <w:p w14:paraId="3C9F9F01" w14:textId="77777777" w:rsidR="000034E2" w:rsidRPr="00F31A35" w:rsidRDefault="000034E2" w:rsidP="000034E2">
      <w:pPr>
        <w:spacing w:before="120" w:after="12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 xml:space="preserve">Los entes estatales durante la etapa de planeación, tienen el deber de realizar el análisis del sector y justificar la modalidad de contratación en los documentos del proceso, que para el caso de los procesos que impliquen una </w:t>
      </w:r>
      <w:r w:rsidRPr="00F31A35">
        <w:rPr>
          <w:rFonts w:ascii="Verdana" w:eastAsia="Calibri" w:hAnsi="Verdana" w:cs="Arial"/>
          <w:bCs/>
          <w:color w:val="000000"/>
          <w:kern w:val="2"/>
          <w14:ligatures w14:val="standardContextual"/>
        </w:rPr>
        <w:lastRenderedPageBreak/>
        <w:t>contratación directa y en lo concerniente a los contratos de prestación de servicios profesionales, de apoyo a la gestión y de trabajos artísticos, se constata en los estudios y documentos previos, los cuales deben indicar, entre otras, las condiciones mínimas exigidas para suplir la necesidad de la entidad así como los requisitos que debe acreditar el futuro contratista para el cumplimiento del objeto contractual.</w:t>
      </w:r>
    </w:p>
    <w:p w14:paraId="52A3CE97" w14:textId="77777777" w:rsidR="000034E2" w:rsidRPr="00F31A35" w:rsidRDefault="000034E2" w:rsidP="000034E2">
      <w:pPr>
        <w:spacing w:after="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Lo anterior, en razón a que el Estatuto General de Contratación de la Administración Pública –EGCAP– contiene disposiciones que exigen a las Entidades Estatales del deber de realizar planeación en la etapa precontractual, para que los Procesos de Contratación satisfagan las necesidades de la Administración, cumplan sus fines, logren la continua y eficiente prestación de los servicios y permitan la efectividad de los derechos e intereses de los administrados que colaboraran en la consecución. En relación con el valor del futuro contrato y su correlativo respaldo presupuestal, se tienen, por ejemplo, las siguientes reglas derivadas de la aplicación del principio de economía previsto en el artículo 25 de la Ley 80 de 1993:</w:t>
      </w:r>
    </w:p>
    <w:p w14:paraId="71395FE7" w14:textId="77777777" w:rsidR="000034E2" w:rsidRPr="00F31A35" w:rsidRDefault="000034E2" w:rsidP="000034E2">
      <w:pPr>
        <w:spacing w:after="0" w:line="276" w:lineRule="auto"/>
        <w:ind w:firstLine="709"/>
        <w:jc w:val="both"/>
        <w:rPr>
          <w:rFonts w:ascii="Verdana" w:eastAsia="Calibri" w:hAnsi="Verdana" w:cs="Arial"/>
          <w:bCs/>
          <w:color w:val="000000"/>
          <w:kern w:val="2"/>
          <w14:ligatures w14:val="standardContextual"/>
        </w:rPr>
      </w:pPr>
    </w:p>
    <w:p w14:paraId="41211415" w14:textId="77777777" w:rsidR="000034E2" w:rsidRPr="00F31A35" w:rsidRDefault="000034E2" w:rsidP="000034E2">
      <w:pPr>
        <w:pStyle w:val="paragraph"/>
        <w:spacing w:before="0" w:beforeAutospacing="0" w:after="0" w:afterAutospacing="0"/>
        <w:ind w:left="709" w:right="709"/>
        <w:jc w:val="both"/>
        <w:textAlignment w:val="baseline"/>
        <w:rPr>
          <w:rFonts w:ascii="Verdana" w:hAnsi="Verdana" w:cs="Segoe UI"/>
          <w:sz w:val="16"/>
          <w:szCs w:val="16"/>
        </w:rPr>
      </w:pPr>
      <w:r w:rsidRPr="00F31A35">
        <w:rPr>
          <w:rStyle w:val="normaltextrun"/>
          <w:rFonts w:ascii="Verdana" w:hAnsi="Verdana" w:cs="Arial"/>
          <w:sz w:val="20"/>
          <w:szCs w:val="20"/>
          <w:lang w:val="es-MX"/>
        </w:rPr>
        <w:t>“7o. La conveniencia o inconveniencia del objeto a contratar y las autorizaciones y aprobaciones para ello, se analizarán o impartirán con antelación al inicio del proceso de selección del contratista o al de la firma del contrato, según el caso.</w:t>
      </w:r>
      <w:r w:rsidRPr="00F31A35">
        <w:rPr>
          <w:rStyle w:val="eop"/>
          <w:rFonts w:ascii="Verdana" w:eastAsiaTheme="majorEastAsia" w:hAnsi="Verdana" w:cs="Arial"/>
          <w:sz w:val="20"/>
          <w:szCs w:val="20"/>
        </w:rPr>
        <w:t> </w:t>
      </w:r>
    </w:p>
    <w:p w14:paraId="2D0C4A83" w14:textId="77777777" w:rsidR="000034E2" w:rsidRPr="00F31A35" w:rsidRDefault="000034E2" w:rsidP="000034E2">
      <w:pPr>
        <w:pStyle w:val="paragraph"/>
        <w:spacing w:before="0" w:beforeAutospacing="0" w:after="120" w:afterAutospacing="0"/>
        <w:ind w:left="709" w:right="709"/>
        <w:jc w:val="both"/>
        <w:textAlignment w:val="baseline"/>
        <w:rPr>
          <w:rFonts w:ascii="Verdana" w:hAnsi="Verdana" w:cs="Segoe UI"/>
          <w:sz w:val="16"/>
          <w:szCs w:val="16"/>
        </w:rPr>
      </w:pPr>
      <w:r w:rsidRPr="00F31A35">
        <w:rPr>
          <w:rStyle w:val="normaltextrun"/>
          <w:rFonts w:ascii="Verdana" w:hAnsi="Verdana" w:cs="Arial"/>
          <w:sz w:val="20"/>
          <w:szCs w:val="20"/>
          <w:lang w:val="es-MX"/>
        </w:rPr>
        <w:t>[…]</w:t>
      </w:r>
      <w:r w:rsidRPr="00F31A35">
        <w:rPr>
          <w:rStyle w:val="eop"/>
          <w:rFonts w:ascii="Verdana" w:eastAsiaTheme="majorEastAsia" w:hAnsi="Verdana" w:cs="Arial"/>
          <w:sz w:val="20"/>
          <w:szCs w:val="20"/>
        </w:rPr>
        <w:t> </w:t>
      </w:r>
    </w:p>
    <w:p w14:paraId="4B93581C" w14:textId="77777777" w:rsidR="000034E2" w:rsidRPr="00F31A35" w:rsidRDefault="000034E2" w:rsidP="000034E2">
      <w:pPr>
        <w:pStyle w:val="paragraph"/>
        <w:spacing w:before="0" w:beforeAutospacing="0" w:after="120" w:afterAutospacing="0"/>
        <w:ind w:left="709" w:right="709"/>
        <w:jc w:val="both"/>
        <w:textAlignment w:val="baseline"/>
        <w:rPr>
          <w:rFonts w:ascii="Verdana" w:hAnsi="Verdana" w:cs="Segoe UI"/>
          <w:sz w:val="16"/>
          <w:szCs w:val="16"/>
        </w:rPr>
      </w:pPr>
      <w:r w:rsidRPr="00F31A35">
        <w:rPr>
          <w:rStyle w:val="normaltextrun"/>
          <w:rFonts w:ascii="Verdana" w:hAnsi="Verdana" w:cs="Arial"/>
          <w:sz w:val="20"/>
          <w:szCs w:val="20"/>
          <w:lang w:val="es-MX"/>
        </w:rPr>
        <w:t>12. Previo a la apertura de un proceso de selección, o a la firma del contrato en el caso en que la modalidad de selección sea contratación directa, deberán elaborarse los estudios, diseños y proyectos requeridos, y los pliegos de condiciones, según corresponda.</w:t>
      </w:r>
      <w:r w:rsidRPr="00F31A35">
        <w:rPr>
          <w:rStyle w:val="eop"/>
          <w:rFonts w:ascii="Verdana" w:eastAsiaTheme="majorEastAsia" w:hAnsi="Verdana" w:cs="Arial"/>
          <w:sz w:val="20"/>
          <w:szCs w:val="20"/>
        </w:rPr>
        <w:t> </w:t>
      </w:r>
    </w:p>
    <w:p w14:paraId="6EA7FFD0" w14:textId="77777777" w:rsidR="000034E2" w:rsidRPr="00F31A35" w:rsidRDefault="000034E2" w:rsidP="000034E2">
      <w:pPr>
        <w:pStyle w:val="paragraph"/>
        <w:spacing w:before="0" w:beforeAutospacing="0" w:after="120" w:afterAutospacing="0"/>
        <w:ind w:left="709" w:right="709"/>
        <w:jc w:val="both"/>
        <w:textAlignment w:val="baseline"/>
        <w:rPr>
          <w:rFonts w:ascii="Verdana" w:hAnsi="Verdana" w:cs="Segoe UI"/>
          <w:sz w:val="16"/>
          <w:szCs w:val="16"/>
        </w:rPr>
      </w:pPr>
      <w:r w:rsidRPr="00F31A35">
        <w:rPr>
          <w:rStyle w:val="normaltextrun"/>
          <w:rFonts w:ascii="Verdana" w:hAnsi="Verdana" w:cs="Arial"/>
          <w:sz w:val="20"/>
          <w:szCs w:val="20"/>
          <w:lang w:val="es-MX"/>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r w:rsidRPr="00F31A35">
        <w:rPr>
          <w:rStyle w:val="eop"/>
          <w:rFonts w:ascii="Verdana" w:eastAsiaTheme="majorEastAsia" w:hAnsi="Verdana" w:cs="Arial"/>
          <w:sz w:val="20"/>
          <w:szCs w:val="20"/>
        </w:rPr>
        <w:t> </w:t>
      </w:r>
    </w:p>
    <w:p w14:paraId="3E0DC001" w14:textId="77777777" w:rsidR="000034E2" w:rsidRPr="00F31A35" w:rsidRDefault="000034E2" w:rsidP="000034E2">
      <w:pPr>
        <w:pStyle w:val="paragraph"/>
        <w:spacing w:before="0" w:beforeAutospacing="0" w:after="120" w:afterAutospacing="0"/>
        <w:ind w:left="709" w:right="709"/>
        <w:jc w:val="both"/>
        <w:textAlignment w:val="baseline"/>
        <w:rPr>
          <w:rFonts w:ascii="Verdana" w:hAnsi="Verdana" w:cs="Segoe UI"/>
          <w:sz w:val="16"/>
          <w:szCs w:val="16"/>
        </w:rPr>
      </w:pPr>
      <w:r w:rsidRPr="00F31A35">
        <w:rPr>
          <w:rStyle w:val="normaltextrun"/>
          <w:rFonts w:ascii="Verdana" w:hAnsi="Verdana" w:cs="Arial"/>
          <w:sz w:val="20"/>
          <w:szCs w:val="20"/>
          <w:lang w:val="es-ES"/>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r w:rsidRPr="00F31A35">
        <w:rPr>
          <w:rStyle w:val="eop"/>
          <w:rFonts w:ascii="Verdana" w:eastAsiaTheme="majorEastAsia" w:hAnsi="Verdana" w:cs="Arial"/>
          <w:sz w:val="20"/>
          <w:szCs w:val="20"/>
        </w:rPr>
        <w:t> </w:t>
      </w:r>
    </w:p>
    <w:p w14:paraId="308BC05A" w14:textId="77777777" w:rsidR="000034E2" w:rsidRPr="00F31A35" w:rsidRDefault="000034E2" w:rsidP="000034E2">
      <w:pPr>
        <w:pStyle w:val="paragraph"/>
        <w:spacing w:before="0" w:beforeAutospacing="0" w:after="0" w:afterAutospacing="0"/>
        <w:ind w:left="709" w:right="709"/>
        <w:jc w:val="both"/>
        <w:textAlignment w:val="baseline"/>
        <w:rPr>
          <w:rFonts w:ascii="Verdana" w:hAnsi="Verdana" w:cs="Segoe UI"/>
          <w:sz w:val="16"/>
          <w:szCs w:val="16"/>
        </w:rPr>
      </w:pPr>
      <w:r w:rsidRPr="00F31A35">
        <w:rPr>
          <w:rStyle w:val="normaltextrun"/>
          <w:rFonts w:ascii="Verdana" w:hAnsi="Verdana" w:cs="Arial"/>
          <w:sz w:val="20"/>
          <w:szCs w:val="20"/>
          <w:lang w:val="es-ES"/>
        </w:rPr>
        <w:t xml:space="preserve">14. Las entidades incluirán en sus presupuestos anuales una apropiación global destinada a cubrir los costos imprevistos ocasionados por los </w:t>
      </w:r>
      <w:r w:rsidRPr="00F31A35">
        <w:rPr>
          <w:rStyle w:val="normaltextrun"/>
          <w:rFonts w:ascii="Verdana" w:hAnsi="Verdana" w:cs="Arial"/>
          <w:sz w:val="20"/>
          <w:szCs w:val="20"/>
          <w:lang w:val="es-ES"/>
        </w:rPr>
        <w:lastRenderedPageBreak/>
        <w:t>retardos en los pagos, así como los que se originen en la revisión de los precios pactados por razón de los cambios o alteraciones en las condiciones iniciales de los contratos por ellas celebrados […]”.</w:t>
      </w:r>
      <w:r w:rsidRPr="00F31A35">
        <w:rPr>
          <w:rStyle w:val="eop"/>
          <w:rFonts w:ascii="Verdana" w:eastAsiaTheme="majorEastAsia" w:hAnsi="Verdana" w:cs="Arial"/>
          <w:sz w:val="20"/>
          <w:szCs w:val="20"/>
        </w:rPr>
        <w:t> </w:t>
      </w:r>
    </w:p>
    <w:p w14:paraId="7C5F1C4D" w14:textId="77777777" w:rsidR="000034E2" w:rsidRPr="00F31A35" w:rsidRDefault="000034E2" w:rsidP="000034E2">
      <w:pPr>
        <w:spacing w:after="0" w:line="276" w:lineRule="auto"/>
        <w:ind w:firstLine="709"/>
        <w:jc w:val="both"/>
        <w:rPr>
          <w:rFonts w:ascii="Verdana" w:eastAsia="Calibri" w:hAnsi="Verdana" w:cs="Arial"/>
          <w:bCs/>
          <w:color w:val="000000"/>
          <w:kern w:val="2"/>
          <w14:ligatures w14:val="standardContextual"/>
        </w:rPr>
      </w:pPr>
    </w:p>
    <w:p w14:paraId="67CDAD7B" w14:textId="77777777" w:rsidR="000034E2" w:rsidRPr="00F31A35" w:rsidRDefault="000034E2" w:rsidP="000034E2">
      <w:pPr>
        <w:spacing w:after="120" w:line="276" w:lineRule="auto"/>
        <w:ind w:firstLine="709"/>
        <w:jc w:val="both"/>
        <w:rPr>
          <w:rFonts w:ascii="Verdana" w:eastAsia="Times New Roman" w:hAnsi="Verdana" w:cs="Arial"/>
          <w:lang w:val="es-ES_tradnl" w:eastAsia="es-MX"/>
        </w:rPr>
      </w:pPr>
      <w:r w:rsidRPr="00F31A35">
        <w:rPr>
          <w:rFonts w:ascii="Verdana" w:eastAsia="Times New Roman" w:hAnsi="Verdana" w:cs="Arial"/>
          <w:lang w:val="es-ES_tradnl" w:eastAsia="es-MX"/>
        </w:rPr>
        <w:t>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F31A35">
        <w:rPr>
          <w:rFonts w:ascii="Verdana" w:eastAsia="Times New Roman" w:hAnsi="Verdana" w:cs="Arial"/>
          <w:vertAlign w:val="superscript"/>
          <w:lang w:val="es-ES_tradnl" w:eastAsia="es-MX"/>
        </w:rPr>
        <w:footnoteReference w:id="16"/>
      </w:r>
      <w:r w:rsidRPr="00F31A35">
        <w:rPr>
          <w:rFonts w:ascii="Verdana" w:eastAsia="Times New Roman" w:hAnsi="Verdana" w:cs="Arial"/>
          <w:lang w:val="es-ES_tradnl" w:eastAsia="es-MX"/>
        </w:rPr>
        <w:t>.</w:t>
      </w:r>
    </w:p>
    <w:p w14:paraId="58853D18" w14:textId="77777777" w:rsidR="000034E2" w:rsidRPr="00F31A35" w:rsidRDefault="000034E2" w:rsidP="000034E2">
      <w:pPr>
        <w:spacing w:after="0" w:line="276" w:lineRule="auto"/>
        <w:ind w:firstLine="709"/>
        <w:jc w:val="both"/>
        <w:rPr>
          <w:rFonts w:ascii="Verdana" w:eastAsia="Times New Roman" w:hAnsi="Verdana" w:cs="Arial"/>
          <w:lang w:val="es-ES_tradnl" w:eastAsia="es-MX"/>
        </w:rPr>
      </w:pPr>
      <w:r w:rsidRPr="00F31A35">
        <w:rPr>
          <w:rFonts w:ascii="Verdana" w:eastAsia="Times New Roman" w:hAnsi="Verdana" w:cs="Arial"/>
          <w:lang w:val="es-ES_tradnl" w:eastAsia="es-MX"/>
        </w:rPr>
        <w:t xml:space="preserve">En congruencia con el artículo 25 de la Ley 80 de 1993, el Decreto Único Reglamentario del Sector Administrativo de Planeación Nacional –Decreto 1082 de 2015–, dispone en el artículo 2.2.1.1.2.1.1 el contenido mínimo de los estudios y documentos previos: </w:t>
      </w:r>
    </w:p>
    <w:p w14:paraId="0A85B3C3" w14:textId="77777777" w:rsidR="000034E2" w:rsidRPr="00F31A35" w:rsidRDefault="000034E2" w:rsidP="000034E2">
      <w:pPr>
        <w:spacing w:after="0" w:line="276" w:lineRule="auto"/>
        <w:ind w:firstLine="709"/>
        <w:jc w:val="both"/>
        <w:rPr>
          <w:rFonts w:ascii="Verdana" w:eastAsia="Times New Roman" w:hAnsi="Verdana" w:cs="Arial"/>
          <w:lang w:val="es-ES_tradnl" w:eastAsia="es-MX"/>
        </w:rPr>
      </w:pPr>
    </w:p>
    <w:p w14:paraId="464E04D9" w14:textId="77777777" w:rsidR="000034E2" w:rsidRPr="00F31A35" w:rsidRDefault="000034E2" w:rsidP="000034E2">
      <w:pPr>
        <w:spacing w:after="120" w:line="240" w:lineRule="auto"/>
        <w:ind w:left="709" w:right="709"/>
        <w:jc w:val="both"/>
        <w:rPr>
          <w:rFonts w:ascii="Verdana" w:eastAsia="Times New Roman" w:hAnsi="Verdana" w:cs="Arial"/>
          <w:sz w:val="20"/>
          <w:szCs w:val="20"/>
          <w:lang w:val="es-ES_tradnl" w:eastAsia="es-MX"/>
        </w:rPr>
      </w:pPr>
      <w:r w:rsidRPr="00F31A35">
        <w:rPr>
          <w:rFonts w:ascii="Verdana" w:eastAsia="Times New Roman" w:hAnsi="Verdana" w:cs="Arial"/>
          <w:sz w:val="20"/>
          <w:szCs w:val="20"/>
          <w:lang w:val="es-ES_tradnl" w:eastAsia="es-MX"/>
        </w:rPr>
        <w:t>“Artículo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w:t>
      </w:r>
    </w:p>
    <w:p w14:paraId="3A1CDDD6" w14:textId="77777777" w:rsidR="000034E2" w:rsidRPr="00F31A35" w:rsidRDefault="000034E2" w:rsidP="000034E2">
      <w:pPr>
        <w:spacing w:after="120" w:line="240" w:lineRule="auto"/>
        <w:ind w:left="709" w:right="709"/>
        <w:jc w:val="both"/>
        <w:rPr>
          <w:rFonts w:ascii="Verdana" w:eastAsia="Times New Roman" w:hAnsi="Verdana" w:cs="Arial"/>
          <w:sz w:val="20"/>
          <w:szCs w:val="20"/>
          <w:lang w:val="es-ES_tradnl" w:eastAsia="es-MX"/>
        </w:rPr>
      </w:pPr>
      <w:r w:rsidRPr="00F31A35">
        <w:rPr>
          <w:rFonts w:ascii="Verdana" w:eastAsia="Times New Roman" w:hAnsi="Verdana" w:cs="Arial"/>
          <w:sz w:val="20"/>
          <w:szCs w:val="20"/>
          <w:lang w:val="es-ES_tradnl" w:eastAsia="es-MX"/>
        </w:rPr>
        <w:t>1. La descripción de la necesidad que la Entidad Estatal pretende satisfacer con el Proceso de Contratación.</w:t>
      </w:r>
    </w:p>
    <w:p w14:paraId="00772EE4" w14:textId="77777777" w:rsidR="000034E2" w:rsidRPr="00F31A35" w:rsidRDefault="000034E2" w:rsidP="000034E2">
      <w:pPr>
        <w:spacing w:after="120" w:line="240" w:lineRule="auto"/>
        <w:ind w:left="709" w:right="709"/>
        <w:jc w:val="both"/>
        <w:rPr>
          <w:rFonts w:ascii="Verdana" w:eastAsia="Times New Roman" w:hAnsi="Verdana" w:cs="Arial"/>
          <w:sz w:val="20"/>
          <w:szCs w:val="20"/>
          <w:lang w:val="es-ES_tradnl" w:eastAsia="es-MX"/>
        </w:rPr>
      </w:pPr>
      <w:r w:rsidRPr="00F31A35">
        <w:rPr>
          <w:rFonts w:ascii="Verdana" w:eastAsia="Times New Roman" w:hAnsi="Verdana" w:cs="Arial"/>
          <w:sz w:val="20"/>
          <w:szCs w:val="20"/>
          <w:lang w:val="es-ES_tradnl" w:eastAsia="es-MX"/>
        </w:rPr>
        <w:t>2. El objeto a contratar, con sus especificaciones, las autorizaciones, permisos y licencias requeridos para su ejecución, y cuando el contrato incluye diseño y construcción, los documentos técnicos para el desarrollo del proyecto.</w:t>
      </w:r>
    </w:p>
    <w:p w14:paraId="774E93A0" w14:textId="77777777" w:rsidR="000034E2" w:rsidRPr="00F31A35" w:rsidRDefault="000034E2" w:rsidP="000034E2">
      <w:pPr>
        <w:spacing w:after="120" w:line="240" w:lineRule="auto"/>
        <w:ind w:left="709" w:right="709"/>
        <w:jc w:val="both"/>
        <w:rPr>
          <w:rFonts w:ascii="Verdana" w:eastAsia="Times New Roman" w:hAnsi="Verdana" w:cs="Arial"/>
          <w:sz w:val="20"/>
          <w:szCs w:val="20"/>
          <w:lang w:val="es-ES_tradnl" w:eastAsia="es-MX"/>
        </w:rPr>
      </w:pPr>
      <w:r w:rsidRPr="00F31A35">
        <w:rPr>
          <w:rFonts w:ascii="Verdana" w:eastAsia="Times New Roman" w:hAnsi="Verdana" w:cs="Arial"/>
          <w:sz w:val="20"/>
          <w:szCs w:val="20"/>
          <w:lang w:val="es-ES_tradnl" w:eastAsia="es-MX"/>
        </w:rPr>
        <w:t>3. La modalidad de selección del contratista y su justificación, incluyendo los fundamentos jurídicos.</w:t>
      </w:r>
    </w:p>
    <w:p w14:paraId="1C82672D" w14:textId="77777777" w:rsidR="000034E2" w:rsidRPr="00F31A35" w:rsidRDefault="000034E2" w:rsidP="000034E2">
      <w:pPr>
        <w:spacing w:after="120" w:line="240" w:lineRule="auto"/>
        <w:ind w:left="709" w:right="709"/>
        <w:jc w:val="both"/>
        <w:rPr>
          <w:rFonts w:ascii="Verdana" w:eastAsia="Times New Roman" w:hAnsi="Verdana" w:cs="Arial"/>
          <w:sz w:val="20"/>
          <w:szCs w:val="20"/>
          <w:lang w:val="es-ES" w:eastAsia="es-MX"/>
        </w:rPr>
      </w:pPr>
      <w:r w:rsidRPr="7E0867B5">
        <w:rPr>
          <w:rFonts w:ascii="Verdana" w:eastAsia="Times New Roman" w:hAnsi="Verdana" w:cs="Arial"/>
          <w:sz w:val="20"/>
          <w:szCs w:val="20"/>
          <w:lang w:val="es-ES" w:eastAsia="es-MX"/>
        </w:rPr>
        <w:t xml:space="preserve">4. </w:t>
      </w:r>
      <w:r w:rsidRPr="00724D43">
        <w:rPr>
          <w:rFonts w:ascii="Verdana" w:eastAsia="Times New Roman" w:hAnsi="Verdana" w:cs="Arial"/>
          <w:sz w:val="20"/>
          <w:szCs w:val="20"/>
          <w:lang w:val="es-ES" w:eastAsia="es-MX"/>
        </w:rPr>
        <w:t xml:space="preserve">El valor estimado del contrato y la justificación </w:t>
      </w:r>
      <w:proofErr w:type="gramStart"/>
      <w:r w:rsidRPr="00724D43">
        <w:rPr>
          <w:rFonts w:ascii="Verdana" w:eastAsia="Times New Roman" w:hAnsi="Verdana" w:cs="Arial"/>
          <w:sz w:val="20"/>
          <w:szCs w:val="20"/>
          <w:lang w:val="es-ES" w:eastAsia="es-MX"/>
        </w:rPr>
        <w:t>del mismo</w:t>
      </w:r>
      <w:proofErr w:type="gramEnd"/>
      <w:r w:rsidRPr="00724D43">
        <w:rPr>
          <w:rFonts w:ascii="Verdana" w:eastAsia="Times New Roman" w:hAnsi="Verdana" w:cs="Arial"/>
          <w:sz w:val="20"/>
          <w:szCs w:val="20"/>
          <w:lang w:val="es-ES" w:eastAsia="es-MX"/>
        </w:rPr>
        <w:t>.</w:t>
      </w:r>
      <w:r w:rsidRPr="7E0867B5">
        <w:rPr>
          <w:rFonts w:ascii="Verdana" w:eastAsia="Times New Roman" w:hAnsi="Verdana" w:cs="Arial"/>
          <w:sz w:val="20"/>
          <w:szCs w:val="20"/>
          <w:lang w:val="es-ES" w:eastAsia="es-MX"/>
        </w:rPr>
        <w:t xml:space="preserve"> Cuando el valor del contrato esté determinado por precios unitarios, la Entidad Estatal debe incluir la forma como los calculó y soportar sus cálculos presupuestales en la estimación de aquellos. Si el contrato es de </w:t>
      </w:r>
      <w:r w:rsidRPr="7E0867B5">
        <w:rPr>
          <w:rFonts w:ascii="Verdana" w:eastAsia="Times New Roman" w:hAnsi="Verdana" w:cs="Arial"/>
          <w:sz w:val="20"/>
          <w:szCs w:val="20"/>
          <w:lang w:val="es-ES" w:eastAsia="es-MX"/>
        </w:rPr>
        <w:lastRenderedPageBreak/>
        <w:t>concesión, la Entidad Estatal no debe publicar el modelo financiero utilizado en su estructuración.</w:t>
      </w:r>
    </w:p>
    <w:p w14:paraId="51BCE690" w14:textId="77777777" w:rsidR="000034E2" w:rsidRPr="00F31A35" w:rsidRDefault="000034E2" w:rsidP="000034E2">
      <w:pPr>
        <w:spacing w:after="120" w:line="240" w:lineRule="auto"/>
        <w:ind w:left="709" w:right="709"/>
        <w:jc w:val="both"/>
        <w:rPr>
          <w:rFonts w:ascii="Verdana" w:eastAsia="Times New Roman" w:hAnsi="Verdana" w:cs="Arial"/>
          <w:sz w:val="20"/>
          <w:szCs w:val="20"/>
          <w:lang w:val="es-ES_tradnl" w:eastAsia="es-MX"/>
        </w:rPr>
      </w:pPr>
      <w:r w:rsidRPr="00F31A35">
        <w:rPr>
          <w:rFonts w:ascii="Verdana" w:eastAsia="Times New Roman" w:hAnsi="Verdana" w:cs="Arial"/>
          <w:sz w:val="20"/>
          <w:szCs w:val="20"/>
          <w:lang w:val="es-ES_tradnl" w:eastAsia="es-MX"/>
        </w:rPr>
        <w:t>5. Los criterios para seleccionar la oferta más favorable.</w:t>
      </w:r>
    </w:p>
    <w:p w14:paraId="56E60B83" w14:textId="77777777" w:rsidR="000034E2" w:rsidRPr="00F31A35" w:rsidRDefault="000034E2" w:rsidP="000034E2">
      <w:pPr>
        <w:spacing w:after="120" w:line="240" w:lineRule="auto"/>
        <w:ind w:left="709" w:right="709"/>
        <w:jc w:val="both"/>
        <w:rPr>
          <w:rFonts w:ascii="Verdana" w:eastAsia="Times New Roman" w:hAnsi="Verdana" w:cs="Arial"/>
          <w:sz w:val="20"/>
          <w:szCs w:val="20"/>
          <w:lang w:val="es-ES_tradnl" w:eastAsia="es-MX"/>
        </w:rPr>
      </w:pPr>
      <w:r w:rsidRPr="00F31A35">
        <w:rPr>
          <w:rFonts w:ascii="Verdana" w:eastAsia="Times New Roman" w:hAnsi="Verdana" w:cs="Arial"/>
          <w:sz w:val="20"/>
          <w:szCs w:val="20"/>
          <w:lang w:val="es-ES_tradnl" w:eastAsia="es-MX"/>
        </w:rPr>
        <w:t>6. El análisis de Riesgo y la forma de mitigarlo.</w:t>
      </w:r>
    </w:p>
    <w:p w14:paraId="52547B54" w14:textId="77777777" w:rsidR="000034E2" w:rsidRPr="00F31A35" w:rsidRDefault="000034E2" w:rsidP="000034E2">
      <w:pPr>
        <w:spacing w:after="120" w:line="240" w:lineRule="auto"/>
        <w:ind w:left="709" w:right="709"/>
        <w:jc w:val="both"/>
        <w:rPr>
          <w:rFonts w:ascii="Verdana" w:eastAsia="Times New Roman" w:hAnsi="Verdana" w:cs="Arial"/>
          <w:sz w:val="20"/>
          <w:szCs w:val="20"/>
          <w:lang w:val="es-ES_tradnl" w:eastAsia="es-MX"/>
        </w:rPr>
      </w:pPr>
      <w:r w:rsidRPr="00F31A35">
        <w:rPr>
          <w:rFonts w:ascii="Verdana" w:eastAsia="Times New Roman" w:hAnsi="Verdana" w:cs="Arial"/>
          <w:sz w:val="20"/>
          <w:szCs w:val="20"/>
          <w:lang w:val="es-ES_tradnl" w:eastAsia="es-MX"/>
        </w:rPr>
        <w:t>7. Las garantías que la Entidad Estatal contempla exigir en el proceso de contratación.</w:t>
      </w:r>
    </w:p>
    <w:p w14:paraId="0E0C1E16" w14:textId="77777777" w:rsidR="000034E2" w:rsidRPr="00F31A35" w:rsidRDefault="000034E2" w:rsidP="000034E2">
      <w:pPr>
        <w:spacing w:after="120" w:line="240" w:lineRule="auto"/>
        <w:ind w:left="709" w:right="709"/>
        <w:jc w:val="both"/>
        <w:rPr>
          <w:rFonts w:ascii="Verdana" w:eastAsia="Times New Roman" w:hAnsi="Verdana" w:cs="Arial"/>
          <w:sz w:val="20"/>
          <w:szCs w:val="20"/>
          <w:lang w:val="es-ES_tradnl" w:eastAsia="es-MX"/>
        </w:rPr>
      </w:pPr>
      <w:r w:rsidRPr="00F31A35">
        <w:rPr>
          <w:rFonts w:ascii="Verdana" w:eastAsia="Times New Roman" w:hAnsi="Verdana" w:cs="Arial"/>
          <w:sz w:val="20"/>
          <w:szCs w:val="20"/>
          <w:lang w:val="es-ES_tradnl" w:eastAsia="es-MX"/>
        </w:rPr>
        <w:t>8. La indicación de si el proceso de contratación está cobijado por un acuerdo comercial.</w:t>
      </w:r>
    </w:p>
    <w:p w14:paraId="01EAD9EF" w14:textId="77777777" w:rsidR="000034E2" w:rsidRPr="00F31A35" w:rsidRDefault="000034E2" w:rsidP="000034E2">
      <w:pPr>
        <w:spacing w:after="0" w:line="240" w:lineRule="auto"/>
        <w:ind w:left="709" w:right="709"/>
        <w:jc w:val="both"/>
        <w:rPr>
          <w:rFonts w:ascii="Verdana" w:eastAsia="Times New Roman" w:hAnsi="Verdana" w:cs="Arial"/>
          <w:sz w:val="20"/>
          <w:szCs w:val="20"/>
          <w:lang w:val="es-ES_tradnl" w:eastAsia="es-MX"/>
        </w:rPr>
      </w:pPr>
      <w:r w:rsidRPr="00F31A35">
        <w:rPr>
          <w:rFonts w:ascii="Verdana" w:eastAsia="Times New Roman" w:hAnsi="Verdana" w:cs="Arial"/>
          <w:sz w:val="20"/>
          <w:szCs w:val="20"/>
          <w:lang w:val="es-ES_tradnl" w:eastAsia="es-MX"/>
        </w:rPr>
        <w:t>El presente artículo no es aplicable a la contratación por mínima cuantía”</w:t>
      </w:r>
      <w:r>
        <w:rPr>
          <w:rFonts w:ascii="Verdana" w:eastAsia="Times New Roman" w:hAnsi="Verdana" w:cs="Arial"/>
          <w:sz w:val="20"/>
          <w:szCs w:val="20"/>
          <w:lang w:val="es-ES_tradnl" w:eastAsia="es-MX"/>
        </w:rPr>
        <w:t xml:space="preserve">. </w:t>
      </w:r>
    </w:p>
    <w:p w14:paraId="29B7522F" w14:textId="77777777" w:rsidR="000034E2" w:rsidRDefault="000034E2" w:rsidP="000034E2">
      <w:pPr>
        <w:spacing w:after="0" w:line="276" w:lineRule="auto"/>
        <w:ind w:firstLine="709"/>
        <w:jc w:val="both"/>
        <w:rPr>
          <w:rFonts w:ascii="Verdana" w:eastAsia="Times New Roman" w:hAnsi="Verdana" w:cs="Arial"/>
          <w:lang w:val="es-ES_tradnl" w:eastAsia="es-MX"/>
        </w:rPr>
      </w:pPr>
    </w:p>
    <w:p w14:paraId="78D89CEE" w14:textId="77777777" w:rsidR="000034E2" w:rsidRPr="00F31A35" w:rsidRDefault="000034E2" w:rsidP="000034E2">
      <w:pPr>
        <w:spacing w:after="0" w:line="276" w:lineRule="auto"/>
        <w:ind w:firstLine="709"/>
        <w:jc w:val="both"/>
        <w:rPr>
          <w:rFonts w:ascii="Verdana" w:hAnsi="Verdana" w:cs="Arial"/>
        </w:rPr>
      </w:pPr>
      <w:r w:rsidRPr="00F31A35">
        <w:rPr>
          <w:rFonts w:ascii="Verdana" w:eastAsia="Times New Roman" w:hAnsi="Verdana" w:cs="Arial"/>
          <w:lang w:val="es-ES_tradnl" w:eastAsia="es-MX"/>
        </w:rPr>
        <w:t xml:space="preserve">De esta </w:t>
      </w:r>
      <w:r w:rsidRPr="00F31A35">
        <w:rPr>
          <w:rFonts w:ascii="Verdana" w:hAnsi="Verdana" w:cs="Arial"/>
        </w:rPr>
        <w:t xml:space="preserve">manera, antes de iniciar un procedimiento de selección, la Entidad Estatal podrá determinar con los estudios previos: i) la verdadera necesidad de la celebración del contrato; </w:t>
      </w:r>
      <w:proofErr w:type="spellStart"/>
      <w:r w:rsidRPr="00F31A35">
        <w:rPr>
          <w:rFonts w:ascii="Verdana" w:hAnsi="Verdana" w:cs="Arial"/>
        </w:rPr>
        <w:t>ii</w:t>
      </w:r>
      <w:proofErr w:type="spellEnd"/>
      <w:r w:rsidRPr="00F31A35">
        <w:rPr>
          <w:rFonts w:ascii="Verdana" w:hAnsi="Verdana" w:cs="Arial"/>
        </w:rPr>
        <w:t xml:space="preserve">) las modalidades existentes para satisfacer esa necesidad y las razones que justifiquen la modalidad o tipo contractual que se escoja; </w:t>
      </w:r>
      <w:proofErr w:type="spellStart"/>
      <w:r w:rsidRPr="00F31A35">
        <w:rPr>
          <w:rFonts w:ascii="Verdana" w:hAnsi="Verdana" w:cs="Arial"/>
        </w:rPr>
        <w:t>iii</w:t>
      </w:r>
      <w:proofErr w:type="spellEnd"/>
      <w:r w:rsidRPr="00F31A35">
        <w:rPr>
          <w:rFonts w:ascii="Verdana" w:hAnsi="Verdana" w:cs="Arial"/>
        </w:rPr>
        <w:t xml:space="preserve">) las calidades, especificaciones, cantidades y demás características que puedan o deban reunir los bienes, las obras o los servicios cuya contratación se haya determinado necesaria, </w:t>
      </w:r>
      <w:proofErr w:type="spellStart"/>
      <w:r w:rsidRPr="00F31A35">
        <w:rPr>
          <w:rFonts w:ascii="Verdana" w:hAnsi="Verdana" w:cs="Arial"/>
        </w:rPr>
        <w:t>iv</w:t>
      </w:r>
      <w:proofErr w:type="spellEnd"/>
      <w:r w:rsidRPr="00F31A35">
        <w:rPr>
          <w:rFonts w:ascii="Verdana" w:hAnsi="Verdana" w:cs="Arial"/>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F31A35">
        <w:rPr>
          <w:rFonts w:ascii="Verdana" w:hAnsi="Verdana" w:cs="Arial"/>
        </w:rPr>
        <w:t>vii</w:t>
      </w:r>
      <w:proofErr w:type="spellEnd"/>
      <w:r w:rsidRPr="00F31A35">
        <w:rPr>
          <w:rFonts w:ascii="Verdana" w:hAnsi="Verdana" w:cs="Arial"/>
        </w:rPr>
        <w:t>) los procedimientos, trámites y requisitos que deban satisfacerse, reunirse u obtenerse para llevar a cabo la selección del respectivo contratista y la celebración del contrato que se pretenda celebrar. La consideración de todos estos aspectos permite que los contratos resultantes de la planeación cuenten con el sustento técnico, económico y jurídico que incidirá en una adecuada ejecución.</w:t>
      </w:r>
    </w:p>
    <w:p w14:paraId="29094EB9" w14:textId="77777777" w:rsidR="000034E2" w:rsidRPr="00F31A35" w:rsidRDefault="000034E2" w:rsidP="000034E2">
      <w:pPr>
        <w:spacing w:before="120" w:after="0" w:line="276" w:lineRule="auto"/>
        <w:ind w:firstLine="709"/>
        <w:jc w:val="both"/>
        <w:rPr>
          <w:rFonts w:ascii="Verdana" w:hAnsi="Verdana" w:cs="Arial"/>
        </w:rPr>
      </w:pPr>
      <w:r w:rsidRPr="00F31A35">
        <w:rPr>
          <w:rFonts w:ascii="Verdana" w:hAnsi="Verdana" w:cs="Arial"/>
        </w:rPr>
        <w:t xml:space="preserve">Mas allá del incumplimiento de la normativa, los estudios y documentos previos son el soporte para elaborar el proyecto de pliegos, los pliegos de condiciones, y el contrato, por lo que deben publicarse en la etapa precontractual y sirven de motivación para los documentos expedidos unilateralmente por la Entidad Estatal tales como el acto administrativo de apertura, los pliegos de condiciones y el acto de adjudicación, entre otros. En ese sentido, los estudios y documentos previos son necesarios antes de la celebración del contrato, pues </w:t>
      </w:r>
      <w:r w:rsidRPr="00F31A35">
        <w:rPr>
          <w:rFonts w:ascii="Verdana" w:hAnsi="Verdana" w:cs="Arial"/>
        </w:rPr>
        <w:lastRenderedPageBreak/>
        <w:t>fundamentan las condiciones que la Entidad Estatal exige en su Proceso de Contratación. Sin embargo, luego de la suscripción del contrato la entidad no debe actuar unilateralmente, sino que debe respetar la buena fe contractual y proceder de acuerdo con lo pactado</w:t>
      </w:r>
      <w:r w:rsidRPr="00F31A35">
        <w:rPr>
          <w:rStyle w:val="Refdenotaalpie"/>
          <w:rFonts w:ascii="Verdana" w:hAnsi="Verdana" w:cs="Arial"/>
        </w:rPr>
        <w:footnoteReference w:id="17"/>
      </w:r>
      <w:r w:rsidRPr="00F31A35">
        <w:rPr>
          <w:rFonts w:ascii="Verdana" w:hAnsi="Verdana" w:cs="Arial"/>
        </w:rPr>
        <w:t>.</w:t>
      </w:r>
    </w:p>
    <w:p w14:paraId="651DD736" w14:textId="77777777" w:rsidR="000034E2" w:rsidRPr="00F31A35" w:rsidRDefault="000034E2" w:rsidP="000034E2">
      <w:pPr>
        <w:spacing w:before="120" w:after="0" w:line="276" w:lineRule="auto"/>
        <w:ind w:firstLine="709"/>
        <w:jc w:val="both"/>
        <w:rPr>
          <w:rFonts w:ascii="Verdana" w:eastAsia="Times New Roman" w:hAnsi="Verdana" w:cs="Arial"/>
          <w:lang w:val="es-ES_tradnl" w:eastAsia="es-MX"/>
        </w:rPr>
      </w:pPr>
      <w:r w:rsidRPr="00F31A35">
        <w:rPr>
          <w:rFonts w:ascii="Verdana" w:hAnsi="Verdana" w:cs="Arial"/>
        </w:rPr>
        <w:t xml:space="preserve">En ese contexto, conforme se desprende de los numerales 2 y 4 del artículo 2.2.1.1.2.1.1 del Decreto 1082 de 2015, uno de los aspectos principales que deben abarcar los estudios previos es la determinación del objeto a contratar con sus especificaciones y el valor estimado del contrato aparejado de su respectiva justificación. Para estos efectos resulta relevante la información recolectada en el marco del estudio del mercado y el análisis del sector económico y de los potenciales oferentes, actividades de planeación previa que sirven para identificar aspectos concretos del mercado que pueden afectar el proceso de selección o las condiciones del negocio a realizar mediante el proceso de contratación. En este sentido, el análisis del sector de las perspectivas legal, comercial, financiera, organizacional, técnica, y de análisis de Riesgo, al que se refiere el artículo 2.2.1.1.1.6.1 del Decreto 1082 de 2015, constituye un insumo importante para determinar </w:t>
      </w:r>
      <w:r w:rsidRPr="00FF1940">
        <w:rPr>
          <w:rFonts w:ascii="Verdana" w:hAnsi="Verdana" w:cs="Arial"/>
        </w:rPr>
        <w:t>factores que pudieran determinar el valor del contrato</w:t>
      </w:r>
      <w:r w:rsidRPr="00F31A35">
        <w:rPr>
          <w:rFonts w:ascii="Verdana" w:hAnsi="Verdana" w:cs="Arial"/>
        </w:rPr>
        <w:t xml:space="preserve"> y orientar a la entidad en torno al monto de la disponibilidad presupuestal que requiere a realizar la contratación</w:t>
      </w:r>
      <w:r w:rsidRPr="00F31A35">
        <w:rPr>
          <w:rStyle w:val="Refdenotaalpie"/>
          <w:rFonts w:ascii="Verdana" w:hAnsi="Verdana" w:cs="Arial"/>
        </w:rPr>
        <w:footnoteReference w:id="18"/>
      </w:r>
      <w:r w:rsidRPr="00F31A35">
        <w:rPr>
          <w:rFonts w:ascii="Verdana" w:hAnsi="Verdana" w:cs="Arial"/>
        </w:rPr>
        <w:t>.</w:t>
      </w:r>
    </w:p>
    <w:p w14:paraId="44D621D0" w14:textId="77777777" w:rsidR="000034E2" w:rsidRPr="00FF1940" w:rsidRDefault="000034E2" w:rsidP="000034E2">
      <w:pPr>
        <w:spacing w:before="120" w:after="0" w:line="276" w:lineRule="auto"/>
        <w:ind w:firstLine="709"/>
        <w:jc w:val="both"/>
        <w:rPr>
          <w:rFonts w:ascii="Verdana" w:hAnsi="Verdana" w:cs="Arial"/>
        </w:rPr>
      </w:pPr>
      <w:r w:rsidRPr="00F31A35">
        <w:rPr>
          <w:rFonts w:ascii="Verdana" w:hAnsi="Verdana" w:cs="Arial"/>
        </w:rPr>
        <w:t xml:space="preserve">Ahora bien, pese a que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son autónomas para estructurarlo, para lo cual deberán cumplir lo dispuesto en el artículo 2.2.1.1.1.6.1 del Decreto 1082 de 2015 y realizar un análisis integral de planeación que sirva de sustento a la decisión de realizar un Proceso de Contratación. En línea con lo anterior, la Agencia Nacional de Contratación Pública – Colombia Compra Eficiente elaboró la “Guía para la Elaboración de </w:t>
      </w:r>
      <w:r w:rsidRPr="00F31A35">
        <w:rPr>
          <w:rFonts w:ascii="Verdana" w:hAnsi="Verdana" w:cs="Arial"/>
        </w:rPr>
        <w:lastRenderedPageBreak/>
        <w:t>Estudios del Sector”</w:t>
      </w:r>
      <w:r w:rsidRPr="00F31A35">
        <w:rPr>
          <w:rStyle w:val="Refdenotaalpie"/>
          <w:rFonts w:ascii="Verdana" w:hAnsi="Verdana" w:cs="Arial"/>
        </w:rPr>
        <w:footnoteReference w:id="19"/>
      </w:r>
      <w:r w:rsidRPr="00F31A35">
        <w:rPr>
          <w:rFonts w:ascii="Verdana" w:hAnsi="Verdana" w:cs="Arial"/>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 recomendaciones generales por lo que no debe aplicarse de manera mecánica, pues la profundidad del estudio del sector depende de la complejidad y particularidades de cada Proceso de Contratación.</w:t>
      </w:r>
      <w:r>
        <w:rPr>
          <w:rFonts w:ascii="Verdana" w:hAnsi="Verdana" w:cs="Arial"/>
        </w:rPr>
        <w:t xml:space="preserve"> </w:t>
      </w:r>
      <w:r w:rsidRPr="00F252D7">
        <w:rPr>
          <w:rFonts w:ascii="Verdana" w:eastAsia="Calibri" w:hAnsi="Verdana" w:cs="Arial"/>
          <w:bCs/>
          <w:lang w:val="es-ES_tradnl" w:eastAsia="es-MX"/>
        </w:rPr>
        <w:t xml:space="preserve">En este instrumento se recomienda, particularmente para la contratación directa y los contratos de prestación de servicios que: </w:t>
      </w:r>
    </w:p>
    <w:p w14:paraId="65DBF151" w14:textId="77777777" w:rsidR="000034E2" w:rsidRPr="00F252D7" w:rsidRDefault="000034E2" w:rsidP="000034E2">
      <w:pPr>
        <w:ind w:left="720"/>
        <w:contextualSpacing/>
        <w:rPr>
          <w:rFonts w:ascii="Verdana" w:eastAsia="Calibri" w:hAnsi="Verdana" w:cs="Arial"/>
          <w:szCs w:val="24"/>
          <w:lang w:val="es-ES" w:eastAsia="es-ES_tradnl"/>
        </w:rPr>
      </w:pPr>
    </w:p>
    <w:p w14:paraId="41C59894" w14:textId="77777777" w:rsidR="000034E2" w:rsidRDefault="000034E2" w:rsidP="000034E2">
      <w:pPr>
        <w:spacing w:after="0" w:line="240" w:lineRule="auto"/>
        <w:ind w:left="709" w:right="709"/>
        <w:contextualSpacing/>
        <w:jc w:val="both"/>
        <w:rPr>
          <w:rFonts w:ascii="Verdana" w:eastAsia="Times New Roman" w:hAnsi="Verdana" w:cs="Arial"/>
          <w:sz w:val="20"/>
          <w:szCs w:val="20"/>
          <w:lang w:val="es-MX" w:eastAsia="es-ES_tradnl"/>
        </w:rPr>
      </w:pPr>
      <w:r w:rsidRPr="00FF1940">
        <w:rPr>
          <w:rFonts w:ascii="Verdana" w:eastAsia="Times New Roman" w:hAnsi="Verdana" w:cs="Arial"/>
          <w:sz w:val="20"/>
          <w:szCs w:val="20"/>
          <w:lang w:val="es-ES" w:eastAsia="es-ES_tradnl"/>
        </w:rPr>
        <w:t>“</w:t>
      </w:r>
      <w:r w:rsidRPr="00FF1940">
        <w:rPr>
          <w:rFonts w:ascii="Verdana" w:eastAsia="Times New Roman" w:hAnsi="Verdana" w:cs="Arial"/>
          <w:sz w:val="20"/>
          <w:szCs w:val="20"/>
          <w:lang w:val="es-MX" w:eastAsia="es-ES_tradnl"/>
        </w:rPr>
        <w:t xml:space="preserve">[…] </w:t>
      </w:r>
      <w:r w:rsidRPr="003445E0">
        <w:rPr>
          <w:rFonts w:ascii="Verdana" w:eastAsia="Times New Roman" w:hAnsi="Verdana" w:cs="Arial"/>
          <w:sz w:val="20"/>
          <w:szCs w:val="20"/>
          <w:lang w:val="es-MX" w:eastAsia="es-ES_tradnl"/>
        </w:rPr>
        <w:t>el Estudio del Sector debe tener en cuenta el objeto del Proceso de Contratación, y particularmente condiciones del contrato, como los plazos, formas de entrega y de pago. El Estudio del Sector debe permitir a la Entidad Estatal sustentar su decisión de optar por esta modalidad de selección, así como también la elección del proveedor y la forma en que se pacta el contrato desde el punto de vista de la eficiencia, eficacia y economía.</w:t>
      </w:r>
    </w:p>
    <w:p w14:paraId="547B2BAC" w14:textId="77777777" w:rsidR="000034E2" w:rsidRPr="00FF1940" w:rsidRDefault="000034E2" w:rsidP="000034E2">
      <w:pPr>
        <w:spacing w:after="0" w:line="240" w:lineRule="auto"/>
        <w:ind w:left="709" w:right="709"/>
        <w:contextualSpacing/>
        <w:jc w:val="both"/>
        <w:rPr>
          <w:rFonts w:ascii="Verdana" w:eastAsia="Times New Roman" w:hAnsi="Verdana" w:cs="Arial"/>
          <w:sz w:val="12"/>
          <w:szCs w:val="12"/>
          <w:lang w:val="es-MX" w:eastAsia="es-ES_tradnl"/>
        </w:rPr>
      </w:pPr>
    </w:p>
    <w:p w14:paraId="14475162" w14:textId="77777777" w:rsidR="000034E2" w:rsidRPr="00FF1940" w:rsidRDefault="000034E2" w:rsidP="000034E2">
      <w:pPr>
        <w:spacing w:after="0" w:line="240" w:lineRule="auto"/>
        <w:ind w:left="709" w:right="709"/>
        <w:contextualSpacing/>
        <w:jc w:val="both"/>
        <w:rPr>
          <w:rFonts w:ascii="Verdana" w:eastAsia="Times New Roman" w:hAnsi="Verdana" w:cs="Arial"/>
          <w:sz w:val="20"/>
          <w:szCs w:val="20"/>
          <w:lang w:val="es-MX" w:eastAsia="es-ES_tradnl"/>
        </w:rPr>
      </w:pPr>
      <w:r w:rsidRPr="003445E0">
        <w:rPr>
          <w:rFonts w:ascii="Verdana" w:eastAsia="Times New Roman" w:hAnsi="Verdana" w:cs="Arial"/>
          <w:sz w:val="20"/>
          <w:szCs w:val="20"/>
          <w:lang w:val="es-MX" w:eastAsia="es-ES_tradnl"/>
        </w:rPr>
        <w:t>La Entidad debe consignar en los Documentos del Proceso, bien sea en los estudios previos o en la información de soporte de estos, los aspectos referenciados por el artículo 2.2.1.1.1.6.1 del Decreto 1082 de 2015, esto es, el análisis desde la perspectiva legal, comercial, financiera, organizacional, técnica y de análisis de riesgo. En un contrato de prestación de servicios profesionales, el Estudio del Sector depende del objeto del contrato y de las condiciones de idoneidad y/o experiencia que llevan a contratar a la persona natural o jurídica que está en condiciones de desarrollar dicho objeto, por lo cual, el precio no debe ser el factor exclusivo de análisis; pues se debe analizar elementos como la idoneidad y la eficiencia del servicio</w:t>
      </w:r>
      <w:r w:rsidRPr="00FF1940">
        <w:rPr>
          <w:rFonts w:ascii="Verdana" w:eastAsia="Times New Roman" w:hAnsi="Verdana" w:cs="Arial"/>
          <w:sz w:val="20"/>
          <w:szCs w:val="20"/>
          <w:lang w:val="es-MX" w:eastAsia="es-ES_tradnl"/>
        </w:rPr>
        <w:t>”.</w:t>
      </w:r>
    </w:p>
    <w:p w14:paraId="0F09E5A9" w14:textId="77777777" w:rsidR="000034E2" w:rsidRDefault="000034E2" w:rsidP="000034E2">
      <w:pPr>
        <w:spacing w:after="0" w:line="276" w:lineRule="auto"/>
        <w:jc w:val="both"/>
        <w:rPr>
          <w:rFonts w:ascii="Verdana" w:eastAsia="Calibri" w:hAnsi="Verdana" w:cs="Arial"/>
          <w:bCs/>
          <w:color w:val="000000"/>
          <w:kern w:val="2"/>
          <w14:ligatures w14:val="standardContextual"/>
        </w:rPr>
      </w:pPr>
    </w:p>
    <w:p w14:paraId="09BC3BB2" w14:textId="77777777" w:rsidR="000034E2" w:rsidRDefault="000034E2" w:rsidP="000034E2">
      <w:pPr>
        <w:spacing w:after="12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 xml:space="preserve">En ese sentido, las entidades públicas determinan el monto de los honorarios de los contratos de prestación de servicios profesionales, de apoyo a la gestión y trabajos artísticos de conformidad con lo establecido en el análisis </w:t>
      </w:r>
      <w:r w:rsidRPr="00F31A35">
        <w:rPr>
          <w:rFonts w:ascii="Verdana" w:eastAsia="Calibri" w:hAnsi="Verdana" w:cs="Arial"/>
          <w:bCs/>
          <w:color w:val="000000"/>
          <w:kern w:val="2"/>
          <w14:ligatures w14:val="standardContextual"/>
        </w:rPr>
        <w:lastRenderedPageBreak/>
        <w:t>del sector y en los documentos o estudios previos.</w:t>
      </w:r>
      <w:r>
        <w:rPr>
          <w:rFonts w:ascii="Verdana" w:eastAsia="Calibri" w:hAnsi="Verdana" w:cs="Arial"/>
          <w:bCs/>
          <w:color w:val="000000"/>
          <w:kern w:val="2"/>
          <w14:ligatures w14:val="standardContextual"/>
        </w:rPr>
        <w:t xml:space="preserve"> </w:t>
      </w:r>
      <w:r w:rsidRPr="00DD244A">
        <w:rPr>
          <w:rFonts w:ascii="Verdana" w:eastAsia="Calibri" w:hAnsi="Verdana" w:cs="Arial"/>
          <w:bCs/>
          <w:color w:val="000000"/>
          <w:kern w:val="2"/>
          <w14:ligatures w14:val="standardContextual"/>
        </w:rPr>
        <w:t xml:space="preserve">Para determinar el objeto a contratar y su valor estimado de las obras, bienes o servicios, el numeral </w:t>
      </w:r>
      <w:r w:rsidRPr="003445E0">
        <w:rPr>
          <w:rFonts w:ascii="Verdana" w:eastAsia="Calibri" w:hAnsi="Verdana" w:cs="Arial"/>
          <w:bCs/>
          <w:color w:val="000000"/>
          <w:kern w:val="2"/>
          <w14:ligatures w14:val="standardContextual"/>
        </w:rPr>
        <w:t xml:space="preserve">5.2.5 </w:t>
      </w:r>
      <w:r w:rsidRPr="00DD244A">
        <w:rPr>
          <w:rFonts w:ascii="Verdana" w:eastAsia="Calibri" w:hAnsi="Verdana" w:cs="Arial"/>
          <w:bCs/>
          <w:color w:val="000000"/>
          <w:kern w:val="2"/>
          <w14:ligatures w14:val="standardContextual"/>
        </w:rPr>
        <w:t>de la guía recomienda hacer un estudio de mercado, para lo cual la entidad puede apoyarse en la solicitud de cotizaciones, la consulta de bases de datos especializadas o el análisis de precios históricos.</w:t>
      </w:r>
    </w:p>
    <w:p w14:paraId="154AD117" w14:textId="77777777" w:rsidR="000034E2" w:rsidRDefault="000034E2" w:rsidP="000034E2">
      <w:pPr>
        <w:spacing w:after="12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Ahora bien, e</w:t>
      </w:r>
      <w:r w:rsidRPr="000C27C3">
        <w:rPr>
          <w:rFonts w:ascii="Verdana" w:eastAsia="Times New Roman" w:hAnsi="Verdana" w:cs="Times New Roman"/>
          <w:lang w:eastAsia="es-MX"/>
        </w:rPr>
        <w:t xml:space="preserve">l pago, denominado honorarios, </w:t>
      </w:r>
      <w:r>
        <w:rPr>
          <w:rFonts w:ascii="Verdana" w:eastAsia="Times New Roman" w:hAnsi="Verdana" w:cs="Times New Roman"/>
          <w:lang w:eastAsia="es-MX"/>
        </w:rPr>
        <w:t xml:space="preserve">constituye la </w:t>
      </w:r>
      <w:r w:rsidRPr="000C27C3">
        <w:rPr>
          <w:rFonts w:ascii="Verdana" w:eastAsia="Times New Roman" w:hAnsi="Verdana" w:cs="Times New Roman"/>
          <w:lang w:eastAsia="es-MX"/>
        </w:rPr>
        <w:t>retribu</w:t>
      </w:r>
      <w:r>
        <w:rPr>
          <w:rFonts w:ascii="Verdana" w:eastAsia="Times New Roman" w:hAnsi="Verdana" w:cs="Times New Roman"/>
          <w:lang w:eastAsia="es-MX"/>
        </w:rPr>
        <w:t>ción por</w:t>
      </w:r>
      <w:r w:rsidRPr="000C27C3">
        <w:rPr>
          <w:rFonts w:ascii="Verdana" w:eastAsia="Times New Roman" w:hAnsi="Verdana" w:cs="Times New Roman"/>
          <w:lang w:eastAsia="es-MX"/>
        </w:rPr>
        <w:t xml:space="preserve"> una obligación de hacer</w:t>
      </w:r>
      <w:r>
        <w:rPr>
          <w:rFonts w:ascii="Verdana" w:eastAsia="Times New Roman" w:hAnsi="Verdana" w:cs="Times New Roman"/>
          <w:lang w:eastAsia="es-MX"/>
        </w:rPr>
        <w:t>,</w:t>
      </w:r>
      <w:r w:rsidRPr="000C27C3">
        <w:rPr>
          <w:rFonts w:ascii="Verdana" w:eastAsia="Times New Roman" w:hAnsi="Verdana" w:cs="Times New Roman"/>
          <w:lang w:eastAsia="es-MX"/>
        </w:rPr>
        <w:t xml:space="preserve"> que se materializa en la ejecución de las obligaciones pactadas para satisfacer una necesidad de la entidad pública. </w:t>
      </w:r>
      <w:r>
        <w:rPr>
          <w:rFonts w:ascii="Verdana" w:eastAsia="Calibri" w:hAnsi="Verdana" w:cs="Arial"/>
          <w:bCs/>
          <w:color w:val="000000"/>
          <w:kern w:val="2"/>
          <w14:ligatures w14:val="standardContextual"/>
        </w:rPr>
        <w:t>C</w:t>
      </w:r>
      <w:r w:rsidRPr="000C27C3">
        <w:rPr>
          <w:rFonts w:ascii="Verdana" w:eastAsia="Calibri" w:hAnsi="Verdana" w:cs="Arial"/>
          <w:bCs/>
          <w:color w:val="000000"/>
          <w:kern w:val="2"/>
          <w14:ligatures w14:val="standardContextual"/>
        </w:rPr>
        <w:t>abe resaltar, que n</w:t>
      </w:r>
      <w:r>
        <w:rPr>
          <w:rFonts w:ascii="Verdana" w:eastAsia="Calibri" w:hAnsi="Verdana" w:cs="Arial"/>
          <w:bCs/>
          <w:color w:val="000000"/>
          <w:kern w:val="2"/>
          <w14:ligatures w14:val="standardContextual"/>
        </w:rPr>
        <w:t>i</w:t>
      </w:r>
      <w:r w:rsidRPr="000C27C3">
        <w:rPr>
          <w:rFonts w:ascii="Verdana" w:eastAsia="Calibri" w:hAnsi="Verdana" w:cs="Arial"/>
          <w:bCs/>
          <w:color w:val="000000"/>
          <w:kern w:val="2"/>
          <w14:ligatures w14:val="standardContextual"/>
        </w:rPr>
        <w:t xml:space="preserve"> la Ley 80 de 1993, </w:t>
      </w:r>
      <w:r>
        <w:rPr>
          <w:rFonts w:ascii="Verdana" w:eastAsia="Calibri" w:hAnsi="Verdana" w:cs="Arial"/>
          <w:bCs/>
          <w:color w:val="000000"/>
          <w:kern w:val="2"/>
          <w14:ligatures w14:val="standardContextual"/>
        </w:rPr>
        <w:t xml:space="preserve">ni la </w:t>
      </w:r>
      <w:r w:rsidRPr="000C27C3">
        <w:rPr>
          <w:rFonts w:ascii="Verdana" w:eastAsia="Calibri" w:hAnsi="Verdana" w:cs="Arial"/>
          <w:bCs/>
          <w:color w:val="000000"/>
          <w:kern w:val="2"/>
          <w14:ligatures w14:val="standardContextual"/>
        </w:rPr>
        <w:t>Ley 1150 de 2007</w:t>
      </w:r>
      <w:r>
        <w:rPr>
          <w:rFonts w:ascii="Verdana" w:eastAsia="Calibri" w:hAnsi="Verdana" w:cs="Arial"/>
          <w:bCs/>
          <w:color w:val="000000"/>
          <w:kern w:val="2"/>
          <w14:ligatures w14:val="standardContextual"/>
        </w:rPr>
        <w:t>, ni</w:t>
      </w:r>
      <w:r w:rsidRPr="000C27C3">
        <w:rPr>
          <w:rFonts w:ascii="Verdana" w:eastAsia="Calibri" w:hAnsi="Verdana" w:cs="Arial"/>
          <w:bCs/>
          <w:color w:val="000000"/>
          <w:kern w:val="2"/>
          <w14:ligatures w14:val="standardContextual"/>
        </w:rPr>
        <w:t xml:space="preserve"> el Decreto 1082 de 2015 </w:t>
      </w:r>
      <w:r>
        <w:rPr>
          <w:rFonts w:ascii="Verdana" w:eastAsia="Calibri" w:hAnsi="Verdana" w:cs="Arial"/>
          <w:bCs/>
          <w:color w:val="000000"/>
          <w:kern w:val="2"/>
          <w14:ligatures w14:val="standardContextual"/>
        </w:rPr>
        <w:t>establecen</w:t>
      </w:r>
      <w:r w:rsidRPr="000C27C3">
        <w:rPr>
          <w:rFonts w:ascii="Verdana" w:eastAsia="Calibri" w:hAnsi="Verdana" w:cs="Arial"/>
          <w:bCs/>
          <w:color w:val="000000"/>
          <w:kern w:val="2"/>
          <w14:ligatures w14:val="standardContextual"/>
        </w:rPr>
        <w:t xml:space="preserve"> la obligatoriedad de implementar </w:t>
      </w:r>
      <w:r w:rsidRPr="008508BE">
        <w:rPr>
          <w:rFonts w:ascii="Verdana" w:eastAsia="Calibri" w:hAnsi="Verdana" w:cs="Arial"/>
          <w:bCs/>
          <w:color w:val="000000"/>
          <w:kern w:val="2"/>
          <w14:ligatures w14:val="standardContextual"/>
        </w:rPr>
        <w:t xml:space="preserve">tablas de honorarios, estandarizar perfiles, ni fijar condiciones uniformes para el pago de los honorarios en los contratos de prestación de servicios. No obstante, ello no impide que las entidades, en ejercicio de su </w:t>
      </w:r>
      <w:r>
        <w:rPr>
          <w:rFonts w:ascii="Verdana" w:eastAsia="Calibri" w:hAnsi="Verdana" w:cs="Arial"/>
          <w:bCs/>
          <w:color w:val="000000"/>
          <w:kern w:val="2"/>
          <w14:ligatures w14:val="standardContextual"/>
        </w:rPr>
        <w:t>discrecionalidad</w:t>
      </w:r>
      <w:r w:rsidRPr="008508BE">
        <w:rPr>
          <w:rFonts w:ascii="Verdana" w:eastAsia="Calibri" w:hAnsi="Verdana" w:cs="Arial"/>
          <w:bCs/>
          <w:color w:val="000000"/>
          <w:kern w:val="2"/>
          <w14:ligatures w14:val="standardContextual"/>
        </w:rPr>
        <w:t>, puedan adoptar tales medidas si lo consideran pertinente.</w:t>
      </w:r>
    </w:p>
    <w:p w14:paraId="72442662" w14:textId="77777777" w:rsidR="000034E2" w:rsidRDefault="000034E2" w:rsidP="000034E2">
      <w:pPr>
        <w:spacing w:after="12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 xml:space="preserve">Dichas tablas se adoptan usualmente a través de resoluciones internas, actos administrativos de carácter general y con vocación de permanencia en el tiempo que regulan diferentes escalas de pago en función de criterios como la formación académica, la experiencia u otros factores relevantes para la remuneración. El establecimiento de las escalas de pago debe ser resultado de un análisis técnico y económico de las variables necesarias para fijar los honorarios; razón por la cual, este </w:t>
      </w:r>
      <w:r w:rsidRPr="002E03F8">
        <w:rPr>
          <w:rFonts w:ascii="Verdana" w:eastAsia="Calibri" w:hAnsi="Verdana" w:cs="Arial"/>
          <w:bCs/>
          <w:i/>
          <w:iCs/>
          <w:color w:val="000000"/>
          <w:kern w:val="2"/>
          <w14:ligatures w14:val="standardContextual"/>
        </w:rPr>
        <w:t>estudio de mercado general previo</w:t>
      </w:r>
      <w:r>
        <w:rPr>
          <w:rFonts w:ascii="Verdana" w:eastAsia="Calibri" w:hAnsi="Verdana" w:cs="Arial"/>
          <w:bCs/>
          <w:color w:val="000000"/>
          <w:kern w:val="2"/>
          <w14:ligatures w14:val="standardContextual"/>
        </w:rPr>
        <w:t xml:space="preserve"> debe tomarse en cuenta para el </w:t>
      </w:r>
      <w:r w:rsidRPr="002E03F8">
        <w:rPr>
          <w:rFonts w:ascii="Verdana" w:eastAsia="Calibri" w:hAnsi="Verdana" w:cs="Arial"/>
          <w:bCs/>
          <w:i/>
          <w:iCs/>
          <w:color w:val="000000"/>
          <w:kern w:val="2"/>
          <w14:ligatures w14:val="standardContextual"/>
        </w:rPr>
        <w:t>análisis del sector</w:t>
      </w:r>
      <w:r>
        <w:rPr>
          <w:rFonts w:ascii="Verdana" w:eastAsia="Calibri" w:hAnsi="Verdana" w:cs="Arial"/>
          <w:bCs/>
          <w:color w:val="000000"/>
          <w:kern w:val="2"/>
          <w14:ligatures w14:val="standardContextual"/>
        </w:rPr>
        <w:t xml:space="preserve"> que corresponde cada contrato de prestación de servicios, pues a través del primero se justifica el valor del objeto contratado. En este medida, la estandarización del </w:t>
      </w:r>
      <w:r w:rsidRPr="002E03F8">
        <w:rPr>
          <w:rFonts w:ascii="Verdana" w:eastAsia="Calibri" w:hAnsi="Verdana" w:cs="Arial"/>
          <w:bCs/>
          <w:i/>
          <w:iCs/>
          <w:color w:val="000000"/>
          <w:kern w:val="2"/>
          <w14:ligatures w14:val="standardContextual"/>
        </w:rPr>
        <w:t>estudio de mercado general previo</w:t>
      </w:r>
      <w:r>
        <w:rPr>
          <w:rFonts w:ascii="Verdana" w:eastAsia="Calibri" w:hAnsi="Verdana" w:cs="Arial"/>
          <w:bCs/>
          <w:color w:val="000000"/>
          <w:kern w:val="2"/>
          <w14:ligatures w14:val="standardContextual"/>
        </w:rPr>
        <w:t xml:space="preserve"> no suple los </w:t>
      </w:r>
      <w:r w:rsidRPr="00112645">
        <w:rPr>
          <w:rFonts w:ascii="Verdana" w:eastAsia="Calibri" w:hAnsi="Verdana" w:cs="Arial"/>
          <w:bCs/>
          <w:i/>
          <w:iCs/>
          <w:color w:val="000000"/>
          <w:kern w:val="2"/>
          <w14:ligatures w14:val="standardContextual"/>
        </w:rPr>
        <w:t>análisis del sector en cada contrato específico</w:t>
      </w:r>
      <w:r>
        <w:rPr>
          <w:rFonts w:ascii="Verdana" w:eastAsia="Calibri" w:hAnsi="Verdana" w:cs="Arial"/>
          <w:bCs/>
          <w:color w:val="000000"/>
          <w:kern w:val="2"/>
          <w14:ligatures w14:val="standardContextual"/>
        </w:rPr>
        <w:t>, pero es un punto de partida que facilita la elaboración de estos últimos.</w:t>
      </w:r>
    </w:p>
    <w:p w14:paraId="3B81854C" w14:textId="77777777" w:rsidR="000034E2" w:rsidRDefault="000034E2" w:rsidP="000034E2">
      <w:pPr>
        <w:spacing w:after="12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Para Agencia, la expedición de las tablas de honorarios para los contratos de prestación de servicios no son restrictivas de la libre competencia económica. Por un lado, la causal de contratación directa del literal h) del artículo 2.4 de la Ley 1150 de 2007 excluye la pluralidad de oferentes, por lo que no existe concurrencia entre los interesados. Por otra parte, tampoco constituye una vulneración del artículo 1 de la Ley 155 de 1959, pues no tiene por objeto “[…] l</w:t>
      </w:r>
      <w:r w:rsidRPr="006A68F7">
        <w:rPr>
          <w:rFonts w:ascii="Verdana" w:eastAsia="Calibri" w:hAnsi="Verdana" w:cs="Arial"/>
          <w:bCs/>
          <w:color w:val="000000"/>
          <w:kern w:val="2"/>
          <w14:ligatures w14:val="standardContextual"/>
        </w:rPr>
        <w:t>imitar la producción, abastecimiento, distribución o consumo de materias primas, productos, mercancías o servicios nacionales o extranjeros</w:t>
      </w:r>
      <w:r>
        <w:rPr>
          <w:rFonts w:ascii="Verdana" w:eastAsia="Calibri" w:hAnsi="Verdana" w:cs="Arial"/>
          <w:bCs/>
          <w:color w:val="000000"/>
          <w:kern w:val="2"/>
          <w14:ligatures w14:val="standardContextual"/>
        </w:rPr>
        <w:t xml:space="preserve"> […]” ni son resultado de “[…] </w:t>
      </w:r>
      <w:r w:rsidRPr="006A68F7">
        <w:rPr>
          <w:rFonts w:ascii="Verdana" w:eastAsia="Calibri" w:hAnsi="Verdana" w:cs="Arial"/>
          <w:bCs/>
          <w:color w:val="000000"/>
          <w:kern w:val="2"/>
          <w14:ligatures w14:val="standardContextual"/>
        </w:rPr>
        <w:t xml:space="preserve">prácticas, procedimientos o sistemas tendientes a limitar la </w:t>
      </w:r>
      <w:r w:rsidRPr="006A68F7">
        <w:rPr>
          <w:rFonts w:ascii="Verdana" w:eastAsia="Calibri" w:hAnsi="Verdana" w:cs="Arial"/>
          <w:bCs/>
          <w:color w:val="000000"/>
          <w:kern w:val="2"/>
          <w14:ligatures w14:val="standardContextual"/>
        </w:rPr>
        <w:lastRenderedPageBreak/>
        <w:t>libre competencia, con el propósito de determinar o mantener precios inequitativos en perjuicio de los consumidores y de los productores de materias primas</w:t>
      </w:r>
      <w:r>
        <w:rPr>
          <w:rFonts w:ascii="Verdana" w:eastAsia="Calibri" w:hAnsi="Verdana" w:cs="Arial"/>
          <w:bCs/>
          <w:color w:val="000000"/>
          <w:kern w:val="2"/>
          <w14:ligatures w14:val="standardContextual"/>
        </w:rPr>
        <w:t xml:space="preserve">”. </w:t>
      </w:r>
    </w:p>
    <w:p w14:paraId="72E38CA6" w14:textId="77777777" w:rsidR="000034E2" w:rsidRDefault="000034E2" w:rsidP="000034E2">
      <w:pPr>
        <w:spacing w:after="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 xml:space="preserve">Asimismo, tampoco vulneran el Estatuto General de Contratación de la Administración Pública. Si el numeral 4 del artículo </w:t>
      </w:r>
      <w:r w:rsidRPr="006A68F7">
        <w:rPr>
          <w:rFonts w:ascii="Verdana" w:eastAsia="Calibri" w:hAnsi="Verdana" w:cs="Arial"/>
          <w:bCs/>
          <w:color w:val="000000"/>
          <w:kern w:val="2"/>
          <w14:ligatures w14:val="standardContextual"/>
        </w:rPr>
        <w:t>2.2.1.1.2.1.1</w:t>
      </w:r>
      <w:r>
        <w:rPr>
          <w:rFonts w:ascii="Verdana" w:eastAsia="Calibri" w:hAnsi="Verdana" w:cs="Arial"/>
          <w:bCs/>
          <w:color w:val="000000"/>
          <w:kern w:val="2"/>
          <w14:ligatures w14:val="standardContextual"/>
        </w:rPr>
        <w:t xml:space="preserve"> del Decreto 1082 de 2015, en congruencia con el artículo 25.13 del EGCAP, obliga a las entidades estatales a establecer e</w:t>
      </w:r>
      <w:r w:rsidRPr="006A68F7">
        <w:rPr>
          <w:rFonts w:ascii="Verdana" w:eastAsia="Calibri" w:hAnsi="Verdana" w:cs="Arial"/>
          <w:bCs/>
          <w:color w:val="000000"/>
          <w:kern w:val="2"/>
          <w14:ligatures w14:val="standardContextual"/>
        </w:rPr>
        <w:t>l valor estimado de</w:t>
      </w:r>
      <w:r>
        <w:rPr>
          <w:rFonts w:ascii="Verdana" w:eastAsia="Calibri" w:hAnsi="Verdana" w:cs="Arial"/>
          <w:bCs/>
          <w:color w:val="000000"/>
          <w:kern w:val="2"/>
          <w14:ligatures w14:val="standardContextual"/>
        </w:rPr>
        <w:t xml:space="preserve"> cada</w:t>
      </w:r>
      <w:r w:rsidRPr="006A68F7">
        <w:rPr>
          <w:rFonts w:ascii="Verdana" w:eastAsia="Calibri" w:hAnsi="Verdana" w:cs="Arial"/>
          <w:bCs/>
          <w:color w:val="000000"/>
          <w:kern w:val="2"/>
          <w14:ligatures w14:val="standardContextual"/>
        </w:rPr>
        <w:t xml:space="preserve"> contrato y la justificación del mismo</w:t>
      </w:r>
      <w:r>
        <w:rPr>
          <w:rFonts w:ascii="Verdana" w:eastAsia="Calibri" w:hAnsi="Verdana" w:cs="Arial"/>
          <w:bCs/>
          <w:color w:val="000000"/>
          <w:kern w:val="2"/>
          <w14:ligatures w14:val="standardContextual"/>
        </w:rPr>
        <w:t xml:space="preserve">, ello no se opone a que cumplan este deber estandarizado condiciones generales respecto a la remuneración de una tipología contractual como la prevista en el artículo 32.3 de la Ley 80 de 1993. Es decir, su expedición no constituye una vulneración de la reserva de ley ni un desconocimiento de normas reglamentarias. Finalmente, sin perjuicio de la restricción del artículo </w:t>
      </w:r>
      <w:r w:rsidRPr="00EC59D4">
        <w:rPr>
          <w:rFonts w:ascii="Verdana" w:eastAsia="Calibri" w:hAnsi="Verdana" w:cs="Arial"/>
          <w:bCs/>
          <w:color w:val="000000"/>
          <w:kern w:val="2"/>
          <w14:ligatures w14:val="standardContextual"/>
        </w:rPr>
        <w:t>2.8.4.4.6</w:t>
      </w:r>
      <w:r>
        <w:rPr>
          <w:rFonts w:ascii="Verdana" w:eastAsia="Calibri" w:hAnsi="Verdana" w:cs="Arial"/>
          <w:bCs/>
          <w:color w:val="000000"/>
          <w:kern w:val="2"/>
          <w14:ligatures w14:val="standardContextual"/>
        </w:rPr>
        <w:t xml:space="preserve"> del Decreto 1068 de 2015, la Agencia tampoco ha establecido lineamientos sobre topes máximos ni metodologías para su cálculo</w:t>
      </w:r>
      <w:r>
        <w:rPr>
          <w:rStyle w:val="Refdenotaalpie"/>
          <w:rFonts w:ascii="Verdana" w:eastAsia="Calibri" w:hAnsi="Verdana" w:cs="Arial"/>
          <w:bCs/>
          <w:color w:val="000000"/>
          <w:kern w:val="2"/>
          <w14:ligatures w14:val="standardContextual"/>
        </w:rPr>
        <w:footnoteReference w:id="20"/>
      </w:r>
      <w:r>
        <w:rPr>
          <w:rFonts w:ascii="Verdana" w:eastAsia="Calibri" w:hAnsi="Verdana" w:cs="Arial"/>
          <w:bCs/>
          <w:color w:val="000000"/>
          <w:kern w:val="2"/>
          <w14:ligatures w14:val="standardContextual"/>
        </w:rPr>
        <w:t xml:space="preserve">.    </w:t>
      </w:r>
    </w:p>
    <w:p w14:paraId="1E97A68E" w14:textId="77777777" w:rsidR="000034E2" w:rsidRPr="000E1D76" w:rsidRDefault="000034E2" w:rsidP="000034E2">
      <w:pPr>
        <w:spacing w:after="0" w:line="276" w:lineRule="auto"/>
        <w:ind w:firstLine="709"/>
        <w:jc w:val="both"/>
        <w:rPr>
          <w:rFonts w:ascii="Verdana" w:eastAsia="Calibri" w:hAnsi="Verdana" w:cs="Arial"/>
          <w:bCs/>
          <w:color w:val="000000"/>
          <w:kern w:val="2"/>
          <w14:ligatures w14:val="standardContextual"/>
        </w:rPr>
      </w:pPr>
    </w:p>
    <w:p w14:paraId="3ADD5ECB" w14:textId="77777777" w:rsidR="000034E2" w:rsidRDefault="000034E2" w:rsidP="000034E2">
      <w:pPr>
        <w:widowControl w:val="0"/>
        <w:autoSpaceDE w:val="0"/>
        <w:autoSpaceDN w:val="0"/>
        <w:spacing w:after="120" w:line="276" w:lineRule="auto"/>
        <w:jc w:val="both"/>
        <w:rPr>
          <w:rFonts w:ascii="Verdana" w:hAnsi="Verdana" w:cs="Arial"/>
          <w:lang w:eastAsia="es-ES"/>
        </w:rPr>
      </w:pPr>
      <w:proofErr w:type="spellStart"/>
      <w:r>
        <w:rPr>
          <w:rFonts w:ascii="Verdana" w:hAnsi="Verdana" w:cs="Arial"/>
          <w:lang w:eastAsia="es-ES"/>
        </w:rPr>
        <w:t>iii</w:t>
      </w:r>
      <w:proofErr w:type="spellEnd"/>
      <w:r>
        <w:rPr>
          <w:rFonts w:ascii="Verdana" w:hAnsi="Verdana" w:cs="Arial"/>
          <w:lang w:eastAsia="es-ES"/>
        </w:rPr>
        <w:t xml:space="preserve">. </w:t>
      </w:r>
      <w:r w:rsidRPr="006539F8">
        <w:rPr>
          <w:rFonts w:ascii="Verdana" w:hAnsi="Verdana" w:cs="Arial"/>
          <w:lang w:eastAsia="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w:t>
      </w:r>
      <w:r w:rsidRPr="006539F8">
        <w:rPr>
          <w:rFonts w:ascii="Verdana" w:hAnsi="Verdana" w:cs="Arial"/>
          <w:lang w:eastAsia="es-ES"/>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98A56FB" w14:textId="77777777" w:rsidR="000034E2" w:rsidRPr="00301910" w:rsidRDefault="000034E2" w:rsidP="000034E2">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301910">
        <w:rPr>
          <w:rFonts w:ascii="Verdana" w:hAnsi="Verdana" w:cs="Arial"/>
          <w:lang w:eastAsia="es-ES"/>
        </w:rPr>
        <w:t>.</w:t>
      </w:r>
    </w:p>
    <w:p w14:paraId="2B37AEBB" w14:textId="77777777" w:rsidR="000034E2" w:rsidRPr="00182C89" w:rsidRDefault="000034E2" w:rsidP="000034E2">
      <w:pPr>
        <w:tabs>
          <w:tab w:val="left" w:pos="709"/>
        </w:tabs>
        <w:spacing w:after="0" w:line="276" w:lineRule="auto"/>
        <w:jc w:val="both"/>
        <w:rPr>
          <w:rFonts w:ascii="Verdana" w:eastAsia="Calibri" w:hAnsi="Verdana" w:cs="Arial"/>
          <w:color w:val="000000" w:themeColor="text1"/>
        </w:rPr>
      </w:pPr>
    </w:p>
    <w:p w14:paraId="123703B8" w14:textId="77777777" w:rsidR="000034E2" w:rsidRPr="00AE65D5" w:rsidRDefault="000034E2" w:rsidP="000034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3965DC4" w14:textId="77777777" w:rsidR="000034E2" w:rsidRPr="00593A5F" w:rsidRDefault="000034E2" w:rsidP="000034E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034E2" w:rsidRPr="002407CE" w14:paraId="797030BE" w14:textId="77777777" w:rsidTr="00254F81">
        <w:trPr>
          <w:trHeight w:val="870"/>
          <w:jc w:val="center"/>
        </w:trPr>
        <w:tc>
          <w:tcPr>
            <w:tcW w:w="8647" w:type="dxa"/>
          </w:tcPr>
          <w:p w14:paraId="1A9823B0" w14:textId="77777777" w:rsidR="000034E2" w:rsidRDefault="000034E2" w:rsidP="00254F8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5F77A9">
              <w:rPr>
                <w:rFonts w:ascii="Verdana" w:hAnsi="Verdana" w:cs="Arial"/>
              </w:rPr>
              <w:t>Ley 155 de 1959</w:t>
            </w:r>
            <w:r>
              <w:rPr>
                <w:rFonts w:ascii="Verdana" w:hAnsi="Verdana" w:cs="Arial"/>
              </w:rPr>
              <w:t xml:space="preserve">, </w:t>
            </w:r>
            <w:r w:rsidRPr="005F77A9">
              <w:rPr>
                <w:rFonts w:ascii="Verdana" w:hAnsi="Verdana" w:cs="Arial"/>
              </w:rPr>
              <w:t>artículo 1</w:t>
            </w:r>
            <w:r>
              <w:rPr>
                <w:rFonts w:ascii="Verdana" w:hAnsi="Verdana" w:cs="Arial"/>
              </w:rPr>
              <w:t>.</w:t>
            </w:r>
          </w:p>
          <w:p w14:paraId="599DD799" w14:textId="77777777" w:rsidR="000034E2" w:rsidRDefault="000034E2" w:rsidP="00254F8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13, 14, 24, 25, 32, 40 y 60.</w:t>
            </w:r>
          </w:p>
          <w:p w14:paraId="1764FF6C" w14:textId="77777777" w:rsidR="000034E2" w:rsidRDefault="000034E2" w:rsidP="00254F8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5F77A9">
              <w:rPr>
                <w:rFonts w:ascii="Verdana" w:hAnsi="Verdana" w:cs="Arial"/>
              </w:rPr>
              <w:t>Ley 1150 de 2007</w:t>
            </w:r>
            <w:r>
              <w:rPr>
                <w:rFonts w:ascii="Verdana" w:hAnsi="Verdana" w:cs="Arial"/>
              </w:rPr>
              <w:t>, artículos 2 y 6.</w:t>
            </w:r>
          </w:p>
          <w:p w14:paraId="18A788DC" w14:textId="77777777" w:rsidR="000034E2" w:rsidRPr="005F77A9" w:rsidRDefault="000034E2" w:rsidP="00254F8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884819">
              <w:rPr>
                <w:rFonts w:ascii="Verdana" w:eastAsia="Calibri" w:hAnsi="Verdana" w:cs="Arial"/>
                <w:color w:val="000000"/>
                <w:lang w:val="es-ES_tradnl"/>
              </w:rPr>
              <w:t>Ley 1952 de 2019</w:t>
            </w:r>
            <w:r>
              <w:rPr>
                <w:rFonts w:ascii="Verdana" w:eastAsia="Calibri" w:hAnsi="Verdana" w:cs="Arial"/>
                <w:color w:val="000000"/>
                <w:lang w:val="es-ES_tradnl"/>
              </w:rPr>
              <w:t xml:space="preserve">, </w:t>
            </w:r>
            <w:r w:rsidRPr="005F77A9">
              <w:rPr>
                <w:rFonts w:ascii="Verdana" w:eastAsia="Calibri" w:hAnsi="Verdana" w:cs="Arial"/>
                <w:color w:val="000000"/>
                <w:lang w:val="es-ES_tradnl"/>
              </w:rPr>
              <w:t>artículo 54</w:t>
            </w:r>
            <w:r>
              <w:rPr>
                <w:rFonts w:ascii="Verdana" w:eastAsia="Calibri" w:hAnsi="Verdana" w:cs="Arial"/>
                <w:color w:val="000000"/>
                <w:lang w:val="es-ES_tradnl"/>
              </w:rPr>
              <w:t>.</w:t>
            </w:r>
          </w:p>
          <w:p w14:paraId="6E3A235B" w14:textId="77777777" w:rsidR="000034E2" w:rsidRPr="005F77A9" w:rsidRDefault="000034E2" w:rsidP="00254F8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5F77A9">
              <w:rPr>
                <w:rFonts w:ascii="Verdana" w:hAnsi="Verdana" w:cs="Arial"/>
              </w:rPr>
              <w:t>Decreto 1068 de 2015</w:t>
            </w:r>
            <w:r>
              <w:rPr>
                <w:rFonts w:ascii="Verdana" w:hAnsi="Verdana" w:cs="Arial"/>
              </w:rPr>
              <w:t xml:space="preserve">, </w:t>
            </w:r>
            <w:r>
              <w:rPr>
                <w:rFonts w:ascii="Verdana" w:eastAsia="Calibri" w:hAnsi="Verdana" w:cs="Arial"/>
                <w:bCs/>
                <w:color w:val="000000"/>
                <w:kern w:val="2"/>
                <w14:ligatures w14:val="standardContextual"/>
              </w:rPr>
              <w:t xml:space="preserve">artículo </w:t>
            </w:r>
            <w:r w:rsidRPr="00EC59D4">
              <w:rPr>
                <w:rFonts w:ascii="Verdana" w:eastAsia="Calibri" w:hAnsi="Verdana" w:cs="Arial"/>
                <w:bCs/>
                <w:color w:val="000000"/>
                <w:kern w:val="2"/>
                <w14:ligatures w14:val="standardContextual"/>
              </w:rPr>
              <w:t>2.8.4.4.6</w:t>
            </w:r>
            <w:r>
              <w:rPr>
                <w:rFonts w:ascii="Verdana" w:eastAsia="Calibri" w:hAnsi="Verdana" w:cs="Arial"/>
                <w:bCs/>
                <w:color w:val="000000"/>
                <w:kern w:val="2"/>
                <w14:ligatures w14:val="standardContextual"/>
              </w:rPr>
              <w:t>.</w:t>
            </w:r>
          </w:p>
          <w:p w14:paraId="476B462E" w14:textId="77777777" w:rsidR="000034E2" w:rsidRPr="00144294" w:rsidRDefault="000034E2" w:rsidP="00254F81">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eastAsia="Calibri" w:hAnsi="Verdana" w:cs="Arial"/>
                <w:color w:val="000000"/>
                <w:lang w:val="es-ES_tradnl"/>
              </w:rPr>
              <w:t>Decreto 1082 de 2015, a</w:t>
            </w:r>
            <w:r w:rsidRPr="005F77A9">
              <w:rPr>
                <w:rFonts w:ascii="Verdana" w:eastAsia="Calibri" w:hAnsi="Verdana" w:cs="Arial"/>
                <w:color w:val="000000"/>
                <w:lang w:val="es-ES_tradnl"/>
              </w:rPr>
              <w:t>rtículo</w:t>
            </w:r>
            <w:r>
              <w:rPr>
                <w:rFonts w:ascii="Verdana" w:eastAsia="Calibri" w:hAnsi="Verdana" w:cs="Arial"/>
                <w:color w:val="000000"/>
                <w:lang w:val="es-ES_tradnl"/>
              </w:rPr>
              <w:t>s</w:t>
            </w:r>
            <w:r w:rsidRPr="005F77A9">
              <w:rPr>
                <w:rFonts w:ascii="Verdana" w:eastAsia="Calibri" w:hAnsi="Verdana" w:cs="Arial"/>
                <w:color w:val="000000"/>
                <w:lang w:val="es-ES_tradnl"/>
              </w:rPr>
              <w:t xml:space="preserve"> 2.2.1.1.1.6.1</w:t>
            </w:r>
            <w:r>
              <w:rPr>
                <w:rFonts w:ascii="Verdana" w:eastAsia="Calibri" w:hAnsi="Verdana" w:cs="Arial"/>
                <w:color w:val="000000"/>
                <w:lang w:val="es-ES_tradnl"/>
              </w:rPr>
              <w:t xml:space="preserve">, </w:t>
            </w:r>
            <w:r w:rsidRPr="005F77A9">
              <w:rPr>
                <w:rFonts w:ascii="Verdana" w:eastAsia="Calibri" w:hAnsi="Verdana" w:cs="Arial"/>
                <w:color w:val="000000"/>
                <w:lang w:val="es-ES_tradnl"/>
              </w:rPr>
              <w:t>2.2.1.1.2.1.1</w:t>
            </w:r>
            <w:r>
              <w:rPr>
                <w:rFonts w:ascii="Verdana" w:eastAsia="Calibri" w:hAnsi="Verdana" w:cs="Arial"/>
                <w:color w:val="000000"/>
                <w:lang w:val="es-ES_tradnl"/>
              </w:rPr>
              <w:t xml:space="preserve"> y </w:t>
            </w:r>
            <w:r w:rsidRPr="005F77A9">
              <w:rPr>
                <w:rFonts w:ascii="Verdana" w:eastAsia="Calibri" w:hAnsi="Verdana" w:cs="Arial"/>
                <w:color w:val="000000"/>
                <w:lang w:val="es-ES_tradnl"/>
              </w:rPr>
              <w:t>2.2.1.2.1.4.5</w:t>
            </w:r>
            <w:r>
              <w:rPr>
                <w:rFonts w:ascii="Verdana" w:eastAsia="Calibri" w:hAnsi="Verdana" w:cs="Arial"/>
                <w:color w:val="000000"/>
                <w:lang w:val="es-ES_tradnl"/>
              </w:rPr>
              <w:t>.</w:t>
            </w:r>
          </w:p>
        </w:tc>
      </w:tr>
    </w:tbl>
    <w:p w14:paraId="600AE7A7" w14:textId="77777777" w:rsidR="000034E2" w:rsidRPr="002407CE" w:rsidRDefault="000034E2" w:rsidP="000034E2">
      <w:pPr>
        <w:widowControl w:val="0"/>
        <w:autoSpaceDE w:val="0"/>
        <w:autoSpaceDN w:val="0"/>
        <w:spacing w:after="0" w:line="276" w:lineRule="auto"/>
        <w:jc w:val="both"/>
        <w:rPr>
          <w:rFonts w:ascii="Verdana" w:hAnsi="Verdana" w:cs="Arial"/>
        </w:rPr>
      </w:pPr>
    </w:p>
    <w:p w14:paraId="1D65CA76" w14:textId="77777777" w:rsidR="000034E2" w:rsidRPr="00593A5F" w:rsidRDefault="000034E2" w:rsidP="000034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514CDB5" w14:textId="77777777" w:rsidR="000034E2" w:rsidRPr="00593A5F" w:rsidRDefault="000034E2" w:rsidP="000034E2">
      <w:pPr>
        <w:widowControl w:val="0"/>
        <w:autoSpaceDE w:val="0"/>
        <w:autoSpaceDN w:val="0"/>
        <w:spacing w:after="0" w:line="276" w:lineRule="auto"/>
        <w:jc w:val="both"/>
        <w:rPr>
          <w:rFonts w:ascii="Verdana" w:hAnsi="Verdana" w:cs="Arial"/>
        </w:rPr>
      </w:pPr>
    </w:p>
    <w:p w14:paraId="6A248579" w14:textId="77777777" w:rsidR="000034E2" w:rsidRPr="007E4299" w:rsidRDefault="000034E2" w:rsidP="000034E2">
      <w:pPr>
        <w:widowControl w:val="0"/>
        <w:autoSpaceDE w:val="0"/>
        <w:autoSpaceDN w:val="0"/>
        <w:spacing w:after="0" w:line="276" w:lineRule="auto"/>
        <w:jc w:val="both"/>
        <w:rPr>
          <w:rStyle w:val="normaltextrun"/>
          <w:rFonts w:ascii="Verdana" w:hAnsi="Verdana"/>
        </w:rPr>
      </w:pPr>
      <w:r w:rsidRPr="003775F4">
        <w:rPr>
          <w:rFonts w:ascii="Verdana" w:eastAsia="Calibri" w:hAnsi="Verdana" w:cs="Arial"/>
          <w:shd w:val="clear" w:color="auto" w:fill="FFFFFF"/>
        </w:rPr>
        <w:t xml:space="preserve">Esta Subdirección se ha pronunciado sobre </w:t>
      </w:r>
      <w:r>
        <w:rPr>
          <w:rFonts w:ascii="Verdana" w:eastAsia="Calibri" w:hAnsi="Verdana" w:cs="Arial"/>
          <w:shd w:val="clear" w:color="auto" w:fill="FFFFFF"/>
        </w:rPr>
        <w:t xml:space="preserve">las tablas de honorarios en los contratos de prestación de servicios en los Conceptos </w:t>
      </w:r>
      <w:r w:rsidRPr="00E0299B">
        <w:rPr>
          <w:rFonts w:ascii="Verdana" w:eastAsia="Calibri" w:hAnsi="Verdana" w:cs="Arial"/>
          <w:shd w:val="clear" w:color="auto" w:fill="FFFFFF"/>
        </w:rPr>
        <w:t>2201913000008315</w:t>
      </w:r>
      <w:r>
        <w:rPr>
          <w:rFonts w:ascii="Verdana" w:eastAsia="Calibri" w:hAnsi="Verdana" w:cs="Arial"/>
          <w:shd w:val="clear" w:color="auto" w:fill="FFFFFF"/>
        </w:rPr>
        <w:t xml:space="preserve"> del 7 de noviembre de 2019, C-102 del 4 de mayo de 2023, C-920 del 30 de diciembre de 2024, C-798 del 30 de julio de 2025 y C-1173 de 2 de octubre de 2025.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621624E" w14:textId="77777777" w:rsidR="000034E2" w:rsidRPr="00096788" w:rsidRDefault="000034E2" w:rsidP="000034E2">
      <w:pPr>
        <w:widowControl w:val="0"/>
        <w:autoSpaceDE w:val="0"/>
        <w:autoSpaceDN w:val="0"/>
        <w:spacing w:after="0" w:line="276" w:lineRule="auto"/>
        <w:jc w:val="both"/>
        <w:rPr>
          <w:rFonts w:ascii="Verdana" w:hAnsi="Verdana" w:cs="Arial"/>
          <w:color w:val="000000" w:themeColor="text1"/>
          <w:shd w:val="clear" w:color="auto" w:fill="FFFFFF"/>
        </w:rPr>
      </w:pPr>
    </w:p>
    <w:p w14:paraId="19C4FAAB" w14:textId="77777777" w:rsidR="000034E2" w:rsidRDefault="000034E2" w:rsidP="000034E2">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34D12BAB" w14:textId="77777777" w:rsidR="000034E2" w:rsidRDefault="000034E2" w:rsidP="000034E2">
      <w:pPr>
        <w:shd w:val="clear" w:color="auto" w:fill="FFFFFF"/>
        <w:spacing w:after="0" w:line="276" w:lineRule="auto"/>
        <w:jc w:val="both"/>
        <w:rPr>
          <w:rFonts w:ascii="Verdana" w:hAnsi="Verdana"/>
          <w:color w:val="000000"/>
          <w:u w:val="single"/>
        </w:rPr>
      </w:pPr>
    </w:p>
    <w:p w14:paraId="578505C7" w14:textId="77777777" w:rsidR="000034E2" w:rsidRPr="0038088D" w:rsidRDefault="000034E2" w:rsidP="000034E2">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253B8826" w14:textId="77777777" w:rsidR="000034E2" w:rsidRPr="0038088D" w:rsidRDefault="000034E2" w:rsidP="000034E2">
      <w:pPr>
        <w:spacing w:after="0"/>
        <w:jc w:val="both"/>
        <w:rPr>
          <w:rFonts w:ascii="Verdana" w:hAnsi="Verdana"/>
        </w:rPr>
      </w:pPr>
    </w:p>
    <w:p w14:paraId="77E2E002" w14:textId="77777777" w:rsidR="000034E2" w:rsidRPr="0038088D" w:rsidRDefault="000034E2" w:rsidP="000034E2">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55B8B47F" w14:textId="77777777" w:rsidR="000034E2" w:rsidRPr="0038088D" w:rsidRDefault="000034E2" w:rsidP="000034E2">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29F14B13" w14:textId="77777777" w:rsidR="000034E2" w:rsidRPr="0038088D" w:rsidRDefault="000034E2" w:rsidP="000034E2">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3">
        <w:r w:rsidRPr="0038088D">
          <w:rPr>
            <w:rStyle w:val="Hipervnculo"/>
            <w:rFonts w:ascii="Verdana" w:eastAsia="Verdana" w:hAnsi="Verdana" w:cs="Verdana"/>
          </w:rPr>
          <w:t>ventanilladeradicacion@colombiacompra.gov.co</w:t>
        </w:r>
      </w:hyperlink>
    </w:p>
    <w:p w14:paraId="28D9D0B3" w14:textId="77777777" w:rsidR="000034E2" w:rsidRPr="0038088D" w:rsidRDefault="000034E2" w:rsidP="000034E2">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4">
        <w:r w:rsidRPr="0038088D">
          <w:rPr>
            <w:rStyle w:val="Hipervnculo"/>
            <w:rFonts w:ascii="Verdana" w:eastAsia="Verdana" w:hAnsi="Verdana" w:cs="Verdana"/>
          </w:rPr>
          <w:t>https://www.colombiacompra.gov.co/pqrsd/informacion-importante-antes-de-formular-una-pqrsd</w:t>
        </w:r>
      </w:hyperlink>
    </w:p>
    <w:p w14:paraId="472830BA" w14:textId="77777777" w:rsidR="000034E2" w:rsidRPr="0038088D" w:rsidRDefault="000034E2" w:rsidP="000034E2">
      <w:pPr>
        <w:spacing w:after="0" w:line="240" w:lineRule="auto"/>
        <w:ind w:left="720"/>
        <w:jc w:val="both"/>
        <w:rPr>
          <w:rFonts w:ascii="Verdana" w:hAnsi="Verdana"/>
        </w:rPr>
      </w:pPr>
    </w:p>
    <w:p w14:paraId="6BE23745" w14:textId="77777777" w:rsidR="000034E2" w:rsidRPr="0038088D" w:rsidRDefault="000034E2" w:rsidP="000034E2">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5"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606F3AE4" w14:textId="77777777" w:rsidR="000034E2" w:rsidRPr="0038088D" w:rsidRDefault="000034E2" w:rsidP="000034E2">
      <w:pPr>
        <w:spacing w:after="0" w:line="240" w:lineRule="auto"/>
        <w:rPr>
          <w:rFonts w:ascii="Verdana" w:hAnsi="Verdana"/>
        </w:rPr>
      </w:pPr>
    </w:p>
    <w:p w14:paraId="26331B2A" w14:textId="77777777" w:rsidR="000034E2" w:rsidRPr="0038088D" w:rsidRDefault="000034E2" w:rsidP="000034E2">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11A5E809" w14:textId="77777777" w:rsidR="000034E2" w:rsidRPr="00116940" w:rsidRDefault="000034E2" w:rsidP="000034E2">
      <w:pPr>
        <w:spacing w:after="0" w:line="240" w:lineRule="auto"/>
        <w:jc w:val="both"/>
        <w:rPr>
          <w:rFonts w:ascii="Verdana" w:hAnsi="Verdana"/>
        </w:rPr>
      </w:pPr>
    </w:p>
    <w:p w14:paraId="24C36994" w14:textId="77777777" w:rsidR="000034E2" w:rsidRPr="00116940" w:rsidRDefault="000034E2" w:rsidP="000034E2">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7B6111A" w14:textId="77777777" w:rsidR="000034E2" w:rsidRPr="00116940" w:rsidRDefault="000034E2" w:rsidP="000034E2">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EBB1772" w14:textId="77777777" w:rsidR="000034E2" w:rsidRPr="00E22E6E" w:rsidRDefault="000034E2" w:rsidP="000034E2">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A7F33C7" w14:textId="77777777" w:rsidR="000034E2" w:rsidRPr="009C4035" w:rsidRDefault="000034E2" w:rsidP="000034E2">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lastRenderedPageBreak/>
        <w:t xml:space="preserve"> </w:t>
      </w:r>
      <w:r w:rsidRPr="004A73EC">
        <w:rPr>
          <w:rStyle w:val="normaltextrun"/>
          <w:rFonts w:ascii="Verdana" w:hAnsi="Verdana" w:cs="Arial"/>
          <w:color w:val="FF0000"/>
          <w:shd w:val="clear" w:color="auto" w:fill="FFFFFF"/>
          <w:lang w:val="es-ES_tradnl"/>
        </w:rPr>
        <w:t xml:space="preserve">        </w:t>
      </w:r>
    </w:p>
    <w:p w14:paraId="4CF21815" w14:textId="77777777" w:rsidR="000034E2" w:rsidRPr="00593A5F" w:rsidRDefault="000034E2" w:rsidP="000034E2">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E92BFB5" w14:textId="77777777" w:rsidR="000034E2" w:rsidRPr="00593A5F" w:rsidRDefault="000034E2" w:rsidP="000034E2">
      <w:pPr>
        <w:widowControl w:val="0"/>
        <w:autoSpaceDE w:val="0"/>
        <w:autoSpaceDN w:val="0"/>
        <w:spacing w:after="0" w:line="276" w:lineRule="auto"/>
        <w:jc w:val="both"/>
        <w:rPr>
          <w:rFonts w:ascii="Verdana" w:hAnsi="Verdana" w:cs="Arial"/>
        </w:rPr>
      </w:pPr>
    </w:p>
    <w:p w14:paraId="5ED17A0A" w14:textId="77777777" w:rsidR="000034E2" w:rsidRPr="00593A5F" w:rsidRDefault="000034E2" w:rsidP="000034E2">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543B211" w14:textId="18639A9B" w:rsidR="000034E2" w:rsidRPr="00593A5F" w:rsidRDefault="00F94F33" w:rsidP="000034E2">
      <w:pPr>
        <w:spacing w:line="276" w:lineRule="auto"/>
        <w:jc w:val="center"/>
        <w:rPr>
          <w:rFonts w:ascii="Verdana" w:hAnsi="Verdana" w:cs="Arial"/>
          <w:color w:val="000000"/>
          <w:lang w:val="es-ES_tradnl" w:eastAsia="es-CO"/>
        </w:rPr>
      </w:pPr>
      <w:r>
        <w:rPr>
          <w:noProof/>
        </w:rPr>
        <w:drawing>
          <wp:inline distT="0" distB="0" distL="0" distR="0" wp14:anchorId="402EE57B" wp14:editId="622669DC">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034E2" w:rsidRPr="00593A5F" w14:paraId="117B03F5" w14:textId="77777777" w:rsidTr="00254F81">
        <w:trPr>
          <w:trHeight w:val="315"/>
        </w:trPr>
        <w:tc>
          <w:tcPr>
            <w:tcW w:w="893" w:type="dxa"/>
            <w:vAlign w:val="center"/>
            <w:hideMark/>
          </w:tcPr>
          <w:p w14:paraId="31130740" w14:textId="77777777" w:rsidR="000034E2" w:rsidRPr="003751C7" w:rsidRDefault="000034E2" w:rsidP="00254F8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09EA42" w14:textId="77777777" w:rsidR="000034E2" w:rsidRPr="00254A7A" w:rsidRDefault="000034E2" w:rsidP="00254F81">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16CAECF" w14:textId="77777777" w:rsidR="000034E2" w:rsidRPr="00254A7A" w:rsidRDefault="000034E2" w:rsidP="00254F81">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0034E2" w:rsidRPr="00593A5F" w14:paraId="1A47B1BC" w14:textId="77777777" w:rsidTr="00254F81">
        <w:trPr>
          <w:trHeight w:val="330"/>
        </w:trPr>
        <w:tc>
          <w:tcPr>
            <w:tcW w:w="893" w:type="dxa"/>
            <w:vAlign w:val="center"/>
            <w:hideMark/>
          </w:tcPr>
          <w:p w14:paraId="37538FCB" w14:textId="77777777" w:rsidR="000034E2" w:rsidRPr="003751C7" w:rsidRDefault="000034E2" w:rsidP="00254F8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C024A8" w14:textId="77777777" w:rsidR="000034E2" w:rsidRPr="00D54D3D" w:rsidRDefault="000034E2" w:rsidP="00254F81">
            <w:pPr>
              <w:pStyle w:val="paragraph"/>
              <w:spacing w:after="0"/>
              <w:contextualSpacing/>
              <w:textAlignment w:val="baseline"/>
              <w:rPr>
                <w:rStyle w:val="normaltextrun"/>
                <w:rFonts w:ascii="Verdana" w:hAnsi="Verdana" w:cs="Arial"/>
                <w:sz w:val="16"/>
                <w:szCs w:val="16"/>
                <w:lang w:val="es-ES_tradnl"/>
              </w:rPr>
            </w:pPr>
            <w:r w:rsidRPr="00D54D3D">
              <w:rPr>
                <w:rStyle w:val="normaltextrun"/>
                <w:rFonts w:ascii="Verdana" w:hAnsi="Verdana" w:cs="Arial"/>
                <w:sz w:val="16"/>
                <w:szCs w:val="16"/>
                <w:lang w:val="es-ES_tradnl"/>
              </w:rPr>
              <w:t>Alejandro Sarmiento Cantillo</w:t>
            </w:r>
          </w:p>
          <w:p w14:paraId="354B0691" w14:textId="77777777" w:rsidR="000034E2" w:rsidRPr="00254A7A" w:rsidRDefault="000034E2" w:rsidP="00254F81">
            <w:pPr>
              <w:pStyle w:val="paragraph"/>
              <w:spacing w:before="0" w:beforeAutospacing="0" w:after="0" w:afterAutospacing="0"/>
              <w:contextualSpacing/>
              <w:textAlignment w:val="baseline"/>
              <w:rPr>
                <w:rFonts w:ascii="Verdana" w:hAnsi="Verdana" w:cs="Segoe UI"/>
                <w:sz w:val="16"/>
                <w:szCs w:val="16"/>
              </w:rPr>
            </w:pPr>
            <w:r w:rsidRPr="00D54D3D">
              <w:rPr>
                <w:rStyle w:val="normaltextrun"/>
                <w:rFonts w:ascii="Verdana" w:hAnsi="Verdana" w:cs="Arial"/>
                <w:sz w:val="16"/>
                <w:szCs w:val="16"/>
                <w:lang w:val="es-ES_tradnl"/>
              </w:rPr>
              <w:t>Gestor T1 ‒ 15 de la Subdirección de Gestión Contractual</w:t>
            </w:r>
          </w:p>
        </w:tc>
      </w:tr>
      <w:tr w:rsidR="000034E2" w:rsidRPr="00593A5F" w14:paraId="19F0C5D0" w14:textId="77777777" w:rsidTr="00254F81">
        <w:trPr>
          <w:trHeight w:val="300"/>
        </w:trPr>
        <w:tc>
          <w:tcPr>
            <w:tcW w:w="893" w:type="dxa"/>
            <w:vAlign w:val="center"/>
          </w:tcPr>
          <w:p w14:paraId="4B7A3098" w14:textId="77777777" w:rsidR="000034E2" w:rsidRPr="003751C7" w:rsidRDefault="000034E2" w:rsidP="00254F8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9A71302" w14:textId="77777777" w:rsidR="000034E2" w:rsidRPr="001133D2" w:rsidRDefault="000034E2" w:rsidP="00254F81">
            <w:pPr>
              <w:contextualSpacing/>
              <w:rPr>
                <w:rFonts w:ascii="Verdana" w:eastAsia="Calibri" w:hAnsi="Verdana" w:cs="Arial"/>
                <w:sz w:val="16"/>
                <w:szCs w:val="16"/>
                <w:lang w:val="es-ES" w:eastAsia="es-ES"/>
              </w:rPr>
            </w:pPr>
            <w:r w:rsidRPr="08E9AED9">
              <w:rPr>
                <w:rFonts w:ascii="Verdana" w:eastAsia="Calibri" w:hAnsi="Verdana" w:cs="Arial"/>
                <w:sz w:val="16"/>
                <w:szCs w:val="16"/>
                <w:lang w:val="es-ES" w:eastAsia="es-ES"/>
              </w:rPr>
              <w:t>Carolina Quintero Gacharná</w:t>
            </w:r>
          </w:p>
          <w:p w14:paraId="0990FAC3" w14:textId="77777777" w:rsidR="000034E2" w:rsidRPr="003751C7" w:rsidRDefault="000034E2" w:rsidP="00254F81">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44E16E2A" w14:textId="77777777" w:rsidR="000034E2" w:rsidRPr="00543BFE" w:rsidRDefault="000034E2" w:rsidP="000034E2"/>
    <w:p w14:paraId="174C248A" w14:textId="77777777" w:rsidR="000034E2" w:rsidRPr="00543BFE" w:rsidRDefault="000034E2" w:rsidP="000034E2"/>
    <w:p w14:paraId="0F293BF4" w14:textId="240C1255" w:rsidR="00127233" w:rsidRPr="00681607" w:rsidRDefault="00127233" w:rsidP="00681607"/>
    <w:sectPr w:rsidR="00127233" w:rsidRPr="00681607"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0DEB8C" w14:textId="77777777" w:rsidR="0093219F" w:rsidRDefault="0093219F" w:rsidP="004A1847">
      <w:pPr>
        <w:spacing w:after="0" w:line="240" w:lineRule="auto"/>
      </w:pPr>
      <w:r>
        <w:separator/>
      </w:r>
    </w:p>
  </w:endnote>
  <w:endnote w:type="continuationSeparator" w:id="0">
    <w:p w14:paraId="66AA35FD" w14:textId="77777777" w:rsidR="0093219F" w:rsidRDefault="0093219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743AA8"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743AA8">
      <w:rPr>
        <w:rFonts w:ascii="Century Gothic" w:eastAsia="Geo" w:hAnsi="Century Gothic" w:cs="Geo"/>
        <w:b/>
        <w:color w:val="000000" w:themeColor="text1"/>
        <w:sz w:val="16"/>
        <w:szCs w:val="16"/>
        <w:lang w:val="pt-BR" w:eastAsia="es-CO"/>
      </w:rPr>
      <w:t xml:space="preserve">Código: </w:t>
    </w:r>
    <w:r w:rsidRPr="00743AA8">
      <w:rPr>
        <w:rFonts w:ascii="Century Gothic" w:eastAsia="Geo" w:hAnsi="Century Gothic" w:cs="Geo"/>
        <w:color w:val="000000" w:themeColor="text1"/>
        <w:sz w:val="16"/>
        <w:szCs w:val="16"/>
        <w:lang w:val="pt-BR" w:eastAsia="es-CO"/>
      </w:rPr>
      <w:t xml:space="preserve">CCE-REC-FM-17 </w:t>
    </w:r>
    <w:r w:rsidRPr="00743AA8">
      <w:rPr>
        <w:rFonts w:ascii="Century Gothic" w:eastAsia="Geo" w:hAnsi="Century Gothic" w:cs="Geo"/>
        <w:b/>
        <w:color w:val="000000" w:themeColor="text1"/>
        <w:sz w:val="16"/>
        <w:szCs w:val="16"/>
        <w:lang w:val="pt-BR" w:eastAsia="es-CO"/>
      </w:rPr>
      <w:t>V</w:t>
    </w:r>
    <w:r w:rsidRPr="00743AA8">
      <w:rPr>
        <w:rFonts w:ascii="Century Gothic" w:eastAsia="Arial Nova" w:hAnsi="Century Gothic" w:cs="Arial Nova"/>
        <w:b/>
        <w:color w:val="000000" w:themeColor="text1"/>
        <w:sz w:val="16"/>
        <w:szCs w:val="16"/>
        <w:lang w:val="pt-BR" w:eastAsia="es-CO"/>
      </w:rPr>
      <w:t xml:space="preserve">: </w:t>
    </w:r>
    <w:r w:rsidRPr="00743AA8">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CA223" w14:textId="77777777" w:rsidR="0093219F" w:rsidRDefault="0093219F" w:rsidP="004A1847">
      <w:pPr>
        <w:spacing w:after="0" w:line="240" w:lineRule="auto"/>
      </w:pPr>
      <w:r>
        <w:separator/>
      </w:r>
    </w:p>
  </w:footnote>
  <w:footnote w:type="continuationSeparator" w:id="0">
    <w:p w14:paraId="6BCF52EC" w14:textId="77777777" w:rsidR="0093219F" w:rsidRDefault="0093219F" w:rsidP="004A1847">
      <w:pPr>
        <w:spacing w:after="0" w:line="240" w:lineRule="auto"/>
      </w:pPr>
      <w:r>
        <w:continuationSeparator/>
      </w:r>
    </w:p>
  </w:footnote>
  <w:footnote w:id="1">
    <w:p w14:paraId="60FFC4A3" w14:textId="77777777" w:rsidR="000034E2" w:rsidRPr="00FF1940" w:rsidRDefault="000034E2" w:rsidP="000034E2">
      <w:pPr>
        <w:pStyle w:val="Textonotapie"/>
        <w:ind w:firstLine="709"/>
        <w:jc w:val="both"/>
        <w:rPr>
          <w:rFonts w:ascii="Verdana" w:hAnsi="Verdana" w:cs="Arial"/>
          <w:color w:val="000000" w:themeColor="text1"/>
          <w:sz w:val="16"/>
          <w:szCs w:val="16"/>
        </w:rPr>
      </w:pPr>
      <w:r w:rsidRPr="00FF1940">
        <w:rPr>
          <w:rStyle w:val="Refdenotaalpie"/>
          <w:rFonts w:ascii="Verdana" w:hAnsi="Verdana" w:cs="Arial"/>
          <w:sz w:val="16"/>
          <w:szCs w:val="16"/>
        </w:rPr>
        <w:footnoteRef/>
      </w:r>
      <w:r w:rsidRPr="00FF1940">
        <w:rPr>
          <w:rFonts w:ascii="Verdana" w:hAnsi="Verdana" w:cs="Arial"/>
          <w:sz w:val="16"/>
          <w:szCs w:val="16"/>
        </w:rPr>
        <w:t xml:space="preserve"> Decreto 1068 de 2015: “</w:t>
      </w:r>
      <w:r w:rsidRPr="00FF1940">
        <w:rPr>
          <w:rFonts w:ascii="Verdana" w:hAnsi="Verdana" w:cs="Arial"/>
          <w:color w:val="000000" w:themeColor="text1"/>
          <w:sz w:val="16"/>
          <w:szCs w:val="16"/>
        </w:rPr>
        <w:t xml:space="preserve">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4F277D9A" w14:textId="77777777" w:rsidR="000034E2" w:rsidRPr="00FF1940" w:rsidRDefault="000034E2" w:rsidP="000034E2">
      <w:pPr>
        <w:pStyle w:val="Textonotapie"/>
        <w:ind w:firstLine="709"/>
        <w:jc w:val="both"/>
        <w:rPr>
          <w:rFonts w:ascii="Verdana" w:hAnsi="Verdana" w:cs="Arial"/>
          <w:color w:val="000000" w:themeColor="text1"/>
          <w:sz w:val="16"/>
          <w:szCs w:val="16"/>
        </w:rPr>
      </w:pPr>
      <w:r w:rsidRPr="00FF1940">
        <w:rPr>
          <w:rFonts w:ascii="Verdana" w:hAnsi="Verdana" w:cs="Arial"/>
          <w:color w:val="000000" w:themeColor="text1"/>
          <w:sz w:val="16"/>
          <w:szCs w:val="16"/>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390A555D" w14:textId="77777777" w:rsidR="000034E2" w:rsidRPr="00FF1940" w:rsidRDefault="000034E2" w:rsidP="000034E2">
      <w:pPr>
        <w:pStyle w:val="Textonotapie"/>
        <w:ind w:firstLine="708"/>
        <w:jc w:val="both"/>
        <w:rPr>
          <w:rFonts w:ascii="Verdana" w:hAnsi="Verdana" w:cs="Arial"/>
          <w:sz w:val="16"/>
          <w:szCs w:val="16"/>
        </w:rPr>
      </w:pPr>
      <w:r w:rsidRPr="00FF1940">
        <w:rPr>
          <w:rFonts w:ascii="Verdana" w:hAnsi="Verdana" w:cs="Arial"/>
          <w:color w:val="000000" w:themeColor="text1"/>
          <w:sz w:val="16"/>
          <w:szCs w:val="16"/>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footnote>
  <w:footnote w:id="2">
    <w:p w14:paraId="5C799126"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w:t>
      </w:r>
      <w:r w:rsidRPr="00FF1940">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3EC239C5"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3">
    <w:p w14:paraId="3C2F01AD"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743AA8">
        <w:rPr>
          <w:rFonts w:ascii="Verdana" w:hAnsi="Verdana" w:cs="Arial"/>
          <w:color w:val="000000"/>
          <w:sz w:val="16"/>
          <w:szCs w:val="16"/>
          <w:lang w:val="pt-BR"/>
        </w:rPr>
        <w:t xml:space="preserve"> Corte Constitucional. Sentencia C-154 de 1997. </w:t>
      </w:r>
      <w:r w:rsidRPr="00FF1940">
        <w:rPr>
          <w:rFonts w:ascii="Verdana" w:hAnsi="Verdana" w:cs="Arial"/>
          <w:color w:val="000000"/>
          <w:sz w:val="16"/>
          <w:szCs w:val="16"/>
          <w:lang w:val="es-ES"/>
        </w:rPr>
        <w:t>Magistrado Ponente: Hernando Herrera Vergara.</w:t>
      </w:r>
    </w:p>
  </w:footnote>
  <w:footnote w:id="4">
    <w:p w14:paraId="72600BC8" w14:textId="77777777" w:rsidR="000034E2" w:rsidRPr="00FF1940" w:rsidRDefault="000034E2" w:rsidP="000034E2">
      <w:pPr>
        <w:pStyle w:val="Textonotapie"/>
        <w:ind w:firstLine="708"/>
        <w:jc w:val="both"/>
        <w:rPr>
          <w:rFonts w:ascii="Verdana" w:hAnsi="Verdana" w:cs="Arial"/>
          <w:sz w:val="16"/>
          <w:szCs w:val="16"/>
        </w:rPr>
      </w:pPr>
      <w:r w:rsidRPr="00FF1940">
        <w:rPr>
          <w:rStyle w:val="Refdenotaalpie"/>
          <w:rFonts w:ascii="Verdana" w:hAnsi="Verdana" w:cs="Arial"/>
          <w:sz w:val="16"/>
          <w:szCs w:val="16"/>
        </w:rPr>
        <w:footnoteRef/>
      </w:r>
      <w:r w:rsidRPr="00FF1940">
        <w:rPr>
          <w:rFonts w:ascii="Verdana" w:hAnsi="Verdana" w:cs="Arial"/>
          <w:sz w:val="16"/>
          <w:szCs w:val="16"/>
        </w:rPr>
        <w:t xml:space="preserve"> Para la doctrina, “En el esquema constitucional vigente, la realización de actividades que impliquen el ejercicio permanente de función pública sólo puede estar radicada en servidores públicos y excepcionalmente, en los casos previstos por la ley, en particulares que cuenten con autorización expresa para ello. No es pues un contrato de prestación de servicios el instrumento para tolerar o encausar el desempeño de tales tareas, las cuales, en principio, sólo deben ser desplegadas por personas que estén vinculadas al Estado a través de una relación laboral administrativa […]” (Cfr. RODRÍGUEZ TAMAYO. Mauricio. Derecho disciplinario de la contratación estatal. Bogotá: Legis, 2020. p. 171).  </w:t>
      </w:r>
    </w:p>
  </w:footnote>
  <w:footnote w:id="5">
    <w:p w14:paraId="69B0F1DD"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Corte Constitucional. Sentencia C-154 de 1997. Magistrado Ponente: Hernando Herrera Vergara</w:t>
      </w:r>
      <w:r w:rsidRPr="00FF1940">
        <w:rPr>
          <w:rFonts w:ascii="Verdana" w:hAnsi="Verdana" w:cs="Arial"/>
          <w:color w:val="000000"/>
          <w:sz w:val="16"/>
          <w:szCs w:val="16"/>
          <w:lang w:val="es-ES"/>
        </w:rPr>
        <w:t>.</w:t>
      </w:r>
    </w:p>
  </w:footnote>
  <w:footnote w:id="6">
    <w:p w14:paraId="443B8F04"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w:t>
      </w:r>
      <w:r w:rsidRPr="00FF1940">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BEA5D3A"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9074C91"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footnote>
  <w:footnote w:id="7">
    <w:p w14:paraId="18112FFE"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w:t>
      </w:r>
      <w:r w:rsidRPr="00FF1940">
        <w:rPr>
          <w:rFonts w:ascii="Verdana" w:hAnsi="Verdana" w:cs="Arial"/>
          <w:color w:val="000000"/>
          <w:sz w:val="16"/>
          <w:szCs w:val="16"/>
          <w:lang w:val="es-ES"/>
        </w:rPr>
        <w:t>Consejo de Estado. Sección Tercera. Subsección C. Sentencia del 2 de diciembre de 2013. Exp. 41719. Consejero Ponente: Jaime Orlando Santofimio Gamboa.</w:t>
      </w:r>
    </w:p>
  </w:footnote>
  <w:footnote w:id="8">
    <w:p w14:paraId="666AEA87"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w:t>
      </w:r>
      <w:r w:rsidRPr="00FF1940">
        <w:rPr>
          <w:rFonts w:ascii="Verdana" w:hAnsi="Verdana" w:cs="Arial"/>
          <w:color w:val="000000"/>
          <w:sz w:val="16"/>
          <w:szCs w:val="16"/>
          <w:lang w:val="es-ES"/>
        </w:rPr>
        <w:t>Ibíd.</w:t>
      </w:r>
    </w:p>
  </w:footnote>
  <w:footnote w:id="9">
    <w:p w14:paraId="2EB43348"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w:t>
      </w:r>
      <w:r w:rsidRPr="00FF1940">
        <w:rPr>
          <w:rFonts w:ascii="Verdana" w:hAnsi="Verdana" w:cs="Arial"/>
          <w:color w:val="000000"/>
          <w:sz w:val="16"/>
          <w:szCs w:val="16"/>
          <w:lang w:val="es-ES"/>
        </w:rPr>
        <w:t>Ibíd.</w:t>
      </w:r>
    </w:p>
  </w:footnote>
  <w:footnote w:id="10">
    <w:p w14:paraId="52201CC2"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w:t>
      </w:r>
      <w:r w:rsidRPr="00FF1940">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4FC22E2"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47D2FADD"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footnote>
  <w:footnote w:id="11">
    <w:p w14:paraId="03EEC40F"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w:t>
      </w:r>
      <w:r w:rsidRPr="00FF1940">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79E429C5"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1. La causal que invoca para contratar directamente.</w:t>
      </w:r>
    </w:p>
    <w:p w14:paraId="41235EDB"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2. El objeto del contrato.</w:t>
      </w:r>
    </w:p>
    <w:p w14:paraId="04FACDCE"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3. El presupuesto para la contratación y las condiciones que exigirá al contratista.</w:t>
      </w:r>
    </w:p>
    <w:p w14:paraId="24B60DF0"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4. El lugar en el cual los interesados pueden consultar los estudios y documentos previos.</w:t>
      </w:r>
    </w:p>
    <w:p w14:paraId="77416934"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2">
    <w:p w14:paraId="236DF8DD"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w:t>
      </w:r>
      <w:r w:rsidRPr="00FF1940">
        <w:rPr>
          <w:rFonts w:ascii="Verdana" w:hAnsi="Verdana" w:cs="Arial"/>
          <w:color w:val="000000"/>
          <w:sz w:val="16"/>
          <w:szCs w:val="16"/>
          <w:lang w:val="es-ES"/>
        </w:rPr>
        <w:t>Esta norma expresa: “</w:t>
      </w:r>
      <w:r w:rsidRPr="00FF1940">
        <w:rPr>
          <w:rFonts w:ascii="Verdana" w:hAnsi="Verdana" w:cs="Arial"/>
          <w:color w:val="000000"/>
          <w:sz w:val="16"/>
          <w:szCs w:val="16"/>
        </w:rPr>
        <w:t>P</w:t>
      </w:r>
      <w:r w:rsidRPr="00FF1940">
        <w:rPr>
          <w:rFonts w:ascii="Verdana" w:hAnsi="Verdana" w:cs="Arial"/>
          <w:color w:val="000000"/>
          <w:sz w:val="16"/>
          <w:szCs w:val="16"/>
          <w:lang w:val="es-ES"/>
        </w:rPr>
        <w:t>ara el cumplimiento de los fines de la contratación, las entidades estatales al celebrar un contrato:</w:t>
      </w:r>
    </w:p>
    <w:p w14:paraId="4CF0EB42"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w:t>
      </w:r>
    </w:p>
    <w:p w14:paraId="517E2CED"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2o. Pactaran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w:t>
      </w:r>
    </w:p>
    <w:p w14:paraId="708E53CA"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Las entidades estatales podrán pactar estas cláusulas en los contratos de suministro y de prestación de servicios.</w:t>
      </w:r>
    </w:p>
    <w:p w14:paraId="1F316877"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lang w:val="es-ES"/>
        </w:rPr>
        <w:t>[…]”.</w:t>
      </w:r>
    </w:p>
  </w:footnote>
  <w:footnote w:id="13">
    <w:p w14:paraId="45816F47"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w:t>
      </w:r>
      <w:r w:rsidRPr="00FF1940">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14">
    <w:p w14:paraId="1196CCAA" w14:textId="77777777" w:rsidR="000034E2" w:rsidRPr="00FF1940" w:rsidRDefault="000034E2" w:rsidP="000034E2">
      <w:pPr>
        <w:pStyle w:val="Textonotapie"/>
        <w:snapToGrid w:val="0"/>
        <w:ind w:firstLine="709"/>
        <w:jc w:val="both"/>
        <w:rPr>
          <w:rFonts w:ascii="Verdana" w:hAnsi="Verdana" w:cs="Arial"/>
          <w:color w:val="000000"/>
          <w:sz w:val="16"/>
          <w:szCs w:val="16"/>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1364F60" w14:textId="77777777" w:rsidR="000034E2" w:rsidRPr="00FF1940" w:rsidRDefault="000034E2" w:rsidP="000034E2">
      <w:pPr>
        <w:pStyle w:val="Textonotapie"/>
        <w:snapToGrid w:val="0"/>
        <w:ind w:firstLine="709"/>
        <w:jc w:val="both"/>
        <w:rPr>
          <w:rFonts w:ascii="Verdana" w:hAnsi="Verdana" w:cs="Arial"/>
          <w:color w:val="000000"/>
          <w:sz w:val="16"/>
          <w:szCs w:val="16"/>
        </w:rPr>
      </w:pPr>
      <w:r w:rsidRPr="00FF1940">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B9009DC"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Fonts w:ascii="Verdana" w:hAnsi="Verdana" w:cs="Arial"/>
          <w:color w:val="000000"/>
          <w:sz w:val="16"/>
          <w:szCs w:val="16"/>
        </w:rPr>
        <w:t>[…]”.</w:t>
      </w:r>
    </w:p>
  </w:footnote>
  <w:footnote w:id="15">
    <w:p w14:paraId="5FD74404" w14:textId="77777777" w:rsidR="000034E2" w:rsidRPr="00FF1940" w:rsidRDefault="000034E2" w:rsidP="000034E2">
      <w:pPr>
        <w:pStyle w:val="Textonotapie"/>
        <w:snapToGrid w:val="0"/>
        <w:ind w:firstLine="709"/>
        <w:jc w:val="both"/>
        <w:rPr>
          <w:rFonts w:ascii="Verdana" w:hAnsi="Verdana" w:cs="Arial"/>
          <w:color w:val="000000"/>
          <w:sz w:val="16"/>
          <w:szCs w:val="16"/>
          <w:lang w:val="es-ES"/>
        </w:rPr>
      </w:pPr>
      <w:r w:rsidRPr="00FF1940">
        <w:rPr>
          <w:rStyle w:val="Refdenotaalpie"/>
          <w:rFonts w:ascii="Verdana" w:hAnsi="Verdana" w:cs="Arial"/>
          <w:sz w:val="16"/>
          <w:szCs w:val="16"/>
        </w:rPr>
        <w:footnoteRef/>
      </w:r>
      <w:r w:rsidRPr="00FF1940">
        <w:rPr>
          <w:rFonts w:ascii="Verdana" w:hAnsi="Verdana" w:cs="Arial"/>
          <w:color w:val="000000"/>
          <w:sz w:val="16"/>
          <w:szCs w:val="16"/>
        </w:rPr>
        <w:t xml:space="preserve"> </w:t>
      </w:r>
      <w:r w:rsidRPr="00FF1940">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6">
    <w:p w14:paraId="60593A79" w14:textId="77777777" w:rsidR="000034E2" w:rsidRPr="00FF1940" w:rsidRDefault="000034E2" w:rsidP="000034E2">
      <w:pPr>
        <w:spacing w:after="0" w:line="240" w:lineRule="auto"/>
        <w:ind w:firstLine="707"/>
        <w:contextualSpacing/>
        <w:jc w:val="both"/>
        <w:rPr>
          <w:rFonts w:ascii="Verdana" w:hAnsi="Verdana" w:cs="Arial"/>
          <w:sz w:val="16"/>
          <w:szCs w:val="16"/>
        </w:rPr>
      </w:pPr>
      <w:r w:rsidRPr="00FF1940">
        <w:rPr>
          <w:rStyle w:val="Refdenotaalpie"/>
          <w:rFonts w:ascii="Verdana" w:hAnsi="Verdana" w:cs="Arial"/>
          <w:sz w:val="16"/>
          <w:szCs w:val="16"/>
        </w:rPr>
        <w:footnoteRef/>
      </w:r>
      <w:r w:rsidRPr="00FF1940">
        <w:rPr>
          <w:rFonts w:ascii="Verdana" w:hAnsi="Verdana" w:cs="Arial"/>
          <w:position w:val="6"/>
          <w:sz w:val="16"/>
          <w:szCs w:val="16"/>
        </w:rPr>
        <w:t xml:space="preserve"> </w:t>
      </w:r>
      <w:r w:rsidRPr="00FF1940">
        <w:rPr>
          <w:rFonts w:ascii="Verdana" w:hAnsi="Verdana" w:cs="Arial"/>
          <w:sz w:val="16"/>
          <w:szCs w:val="16"/>
        </w:rPr>
        <w:t>DEIK ACOSTAMADIEDO, Carolina, Guía de Contratación Estatal: Deber de planeación y modalidades de selección, Buenos Aires, 2015, p. 59.</w:t>
      </w:r>
    </w:p>
    <w:p w14:paraId="5A2518CF" w14:textId="77777777" w:rsidR="000034E2" w:rsidRPr="00FF1940" w:rsidRDefault="000034E2" w:rsidP="000034E2">
      <w:pPr>
        <w:pStyle w:val="Textonotapie"/>
        <w:contextualSpacing/>
        <w:jc w:val="both"/>
        <w:rPr>
          <w:rFonts w:ascii="Verdana" w:hAnsi="Verdana" w:cs="Arial"/>
          <w:sz w:val="16"/>
          <w:szCs w:val="16"/>
        </w:rPr>
      </w:pPr>
    </w:p>
  </w:footnote>
  <w:footnote w:id="17">
    <w:p w14:paraId="5C35A9C5" w14:textId="77777777" w:rsidR="000034E2" w:rsidRPr="00FF1940" w:rsidRDefault="000034E2" w:rsidP="000034E2">
      <w:pPr>
        <w:pStyle w:val="Textonotapie"/>
        <w:ind w:firstLine="708"/>
        <w:jc w:val="both"/>
        <w:rPr>
          <w:rFonts w:ascii="Verdana" w:hAnsi="Verdana" w:cs="Arial"/>
          <w:sz w:val="16"/>
          <w:szCs w:val="16"/>
        </w:rPr>
      </w:pPr>
      <w:r w:rsidRPr="00FF1940">
        <w:rPr>
          <w:rStyle w:val="Refdenotaalpie"/>
          <w:rFonts w:ascii="Verdana" w:hAnsi="Verdana" w:cs="Arial"/>
          <w:sz w:val="16"/>
          <w:szCs w:val="16"/>
        </w:rPr>
        <w:footnoteRef/>
      </w:r>
      <w:r w:rsidRPr="00FF1940">
        <w:rPr>
          <w:rFonts w:ascii="Verdana" w:hAnsi="Verdana" w:cs="Arial"/>
          <w:sz w:val="16"/>
          <w:szCs w:val="16"/>
        </w:rPr>
        <w:t xml:space="preserve"> Consejo de Estado. Sección Tercera. Subsección B. Sentencia del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footnote>
  <w:footnote w:id="18">
    <w:p w14:paraId="11BECBFA" w14:textId="77777777" w:rsidR="000034E2" w:rsidRPr="00FF1940" w:rsidRDefault="000034E2" w:rsidP="000034E2">
      <w:pPr>
        <w:pStyle w:val="Textonotapie"/>
        <w:ind w:firstLine="708"/>
        <w:jc w:val="both"/>
        <w:rPr>
          <w:rFonts w:ascii="Verdana" w:hAnsi="Verdana" w:cs="Arial"/>
          <w:sz w:val="16"/>
          <w:szCs w:val="16"/>
        </w:rPr>
      </w:pPr>
      <w:r w:rsidRPr="00FF1940">
        <w:rPr>
          <w:rStyle w:val="Refdenotaalpie"/>
          <w:rFonts w:ascii="Verdana" w:hAnsi="Verdana" w:cs="Arial"/>
          <w:sz w:val="16"/>
          <w:szCs w:val="16"/>
        </w:rPr>
        <w:footnoteRef/>
      </w:r>
      <w:r w:rsidRPr="00FF1940">
        <w:rPr>
          <w:rFonts w:ascii="Verdana" w:hAnsi="Verdana" w:cs="Arial"/>
          <w:sz w:val="16"/>
          <w:szCs w:val="16"/>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footnote>
  <w:footnote w:id="19">
    <w:p w14:paraId="5FA3EE64" w14:textId="77777777" w:rsidR="000034E2" w:rsidRPr="00FF1940" w:rsidRDefault="000034E2" w:rsidP="000034E2">
      <w:pPr>
        <w:pStyle w:val="Textonotapie"/>
        <w:ind w:firstLine="708"/>
        <w:jc w:val="both"/>
        <w:rPr>
          <w:rFonts w:ascii="Verdana" w:hAnsi="Verdana" w:cs="Arial"/>
          <w:sz w:val="16"/>
          <w:szCs w:val="16"/>
          <w:lang w:val="es-CO"/>
        </w:rPr>
      </w:pPr>
      <w:r w:rsidRPr="00FF1940">
        <w:rPr>
          <w:rStyle w:val="Refdenotaalpie"/>
          <w:rFonts w:ascii="Verdana" w:hAnsi="Verdana" w:cs="Arial"/>
          <w:sz w:val="16"/>
          <w:szCs w:val="16"/>
        </w:rPr>
        <w:footnoteRef/>
      </w:r>
      <w:r w:rsidRPr="00FF1940">
        <w:rPr>
          <w:rFonts w:ascii="Verdana" w:hAnsi="Verdana" w:cs="Arial"/>
          <w:sz w:val="16"/>
          <w:szCs w:val="16"/>
        </w:rPr>
        <w:t xml:space="preserve"> Agencia Nacional de Contratación Pública – Colombia Compra Eficiente. Guía de Elaboración de Estudios del Sector. Disponible en: </w:t>
      </w:r>
      <w:hyperlink r:id="rId1" w:history="1">
        <w:r w:rsidRPr="00FF1940">
          <w:rPr>
            <w:rStyle w:val="Hipervnculo"/>
            <w:rFonts w:ascii="Verdana" w:hAnsi="Verdana" w:cs="Arial"/>
            <w:sz w:val="16"/>
            <w:szCs w:val="16"/>
          </w:rPr>
          <w:t>https://www.colombiacompra.gov.co/manualesguias-y-pliegos-tipo/manuales-y-guias</w:t>
        </w:r>
      </w:hyperlink>
      <w:r w:rsidRPr="00FF1940">
        <w:rPr>
          <w:rFonts w:ascii="Verdana" w:hAnsi="Verdana" w:cs="Arial"/>
          <w:sz w:val="16"/>
          <w:szCs w:val="16"/>
        </w:rPr>
        <w:t xml:space="preserve">. </w:t>
      </w:r>
    </w:p>
  </w:footnote>
  <w:footnote w:id="20">
    <w:p w14:paraId="2EFD517D" w14:textId="77777777" w:rsidR="000034E2" w:rsidRPr="00EC59D4" w:rsidRDefault="000034E2" w:rsidP="000034E2">
      <w:pPr>
        <w:pStyle w:val="Textonotapie"/>
        <w:ind w:firstLine="708"/>
        <w:jc w:val="both"/>
        <w:rPr>
          <w:rFonts w:ascii="Verdana" w:hAnsi="Verdana"/>
          <w:sz w:val="16"/>
          <w:szCs w:val="16"/>
        </w:rPr>
      </w:pPr>
      <w:r w:rsidRPr="00EC59D4">
        <w:rPr>
          <w:rStyle w:val="Refdenotaalpie"/>
          <w:rFonts w:ascii="Verdana" w:hAnsi="Verdana"/>
          <w:sz w:val="16"/>
          <w:szCs w:val="16"/>
        </w:rPr>
        <w:footnoteRef/>
      </w:r>
      <w:r w:rsidRPr="00EC59D4">
        <w:rPr>
          <w:rFonts w:ascii="Verdana" w:hAnsi="Verdana"/>
          <w:sz w:val="16"/>
          <w:szCs w:val="16"/>
        </w:rPr>
        <w:t xml:space="preserve"> </w:t>
      </w:r>
      <w:r>
        <w:rPr>
          <w:rFonts w:ascii="Verdana" w:hAnsi="Verdana"/>
          <w:sz w:val="16"/>
          <w:szCs w:val="16"/>
        </w:rPr>
        <w:t>E</w:t>
      </w:r>
      <w:r w:rsidRPr="00EC59D4">
        <w:rPr>
          <w:rFonts w:ascii="Verdana" w:hAnsi="Verdana"/>
          <w:sz w:val="16"/>
          <w:szCs w:val="16"/>
        </w:rPr>
        <w:t>l artículo 2.8.4.4.6 del Decreto 1068 de 2015</w:t>
      </w:r>
      <w:r>
        <w:rPr>
          <w:rFonts w:ascii="Verdana" w:hAnsi="Verdana"/>
          <w:sz w:val="16"/>
          <w:szCs w:val="16"/>
        </w:rPr>
        <w:t xml:space="preserve"> dispone lo siguiente: “</w:t>
      </w:r>
      <w:r w:rsidRPr="00EC59D4">
        <w:rPr>
          <w:rFonts w:ascii="Verdana" w:hAnsi="Verdana"/>
          <w:sz w:val="16"/>
          <w:szCs w:val="16"/>
        </w:rPr>
        <w:t>Está prohibido el pacto de remuneración para pago de servicios personales calificados con personas naturales, o jurídicas, encaminados a la prestación de servicios en forma continua para atender asuntos propios de la respectiva entidad, por valor mensual superior a la remuneración total mensual establecida para el jefe de la entidad.</w:t>
      </w:r>
    </w:p>
    <w:p w14:paraId="472BF61C" w14:textId="77777777" w:rsidR="000034E2" w:rsidRPr="00EC59D4" w:rsidRDefault="000034E2" w:rsidP="000034E2">
      <w:pPr>
        <w:pStyle w:val="Textonotapie"/>
        <w:ind w:firstLine="708"/>
        <w:jc w:val="both"/>
        <w:rPr>
          <w:rFonts w:ascii="Verdana" w:hAnsi="Verdana"/>
          <w:sz w:val="16"/>
          <w:szCs w:val="16"/>
        </w:rPr>
      </w:pPr>
      <w:r w:rsidRPr="00EC59D4">
        <w:rPr>
          <w:rFonts w:ascii="Verdana" w:hAnsi="Verdana"/>
          <w:sz w:val="16"/>
          <w:szCs w:val="16"/>
        </w:rPr>
        <w:t>Parágrafo 1°. Se entiende por remuneración total mensual del jefe de la entidad, la que corresponda a este en cada uno de dichos períodos, sin que en ningún caso puedan tenerse en consideración los factores prestacionales.</w:t>
      </w:r>
    </w:p>
    <w:p w14:paraId="7C8D77DF" w14:textId="77777777" w:rsidR="000034E2" w:rsidRPr="00EC59D4" w:rsidRDefault="000034E2" w:rsidP="000034E2">
      <w:pPr>
        <w:pStyle w:val="Textonotapie"/>
        <w:ind w:firstLine="708"/>
        <w:jc w:val="both"/>
        <w:rPr>
          <w:rFonts w:ascii="Verdana" w:hAnsi="Verdana"/>
          <w:sz w:val="16"/>
          <w:szCs w:val="16"/>
        </w:rPr>
      </w:pPr>
      <w:r w:rsidRPr="00EC59D4">
        <w:rPr>
          <w:rFonts w:ascii="Verdana" w:hAnsi="Verdana"/>
          <w:sz w:val="16"/>
          <w:szCs w:val="16"/>
        </w:rPr>
        <w:t xml:space="preserve">Parágrafo 2°. Los servicios a que hace referencia el presente artículo corresponden exclusivamente a aquellos comprendidos en el concepto de </w:t>
      </w:r>
      <w:r>
        <w:rPr>
          <w:rFonts w:ascii="Verdana" w:hAnsi="Verdana"/>
          <w:sz w:val="16"/>
          <w:szCs w:val="16"/>
        </w:rPr>
        <w:t>‘</w:t>
      </w:r>
      <w:r w:rsidRPr="00EC59D4">
        <w:rPr>
          <w:rFonts w:ascii="Verdana" w:hAnsi="Verdana"/>
          <w:sz w:val="16"/>
          <w:szCs w:val="16"/>
        </w:rPr>
        <w:t>remuneración servicios técnicos</w:t>
      </w:r>
      <w:r>
        <w:rPr>
          <w:rFonts w:ascii="Verdana" w:hAnsi="Verdana"/>
          <w:sz w:val="16"/>
          <w:szCs w:val="16"/>
        </w:rPr>
        <w:t>’</w:t>
      </w:r>
      <w:r w:rsidRPr="00EC59D4">
        <w:rPr>
          <w:rFonts w:ascii="Verdana" w:hAnsi="Verdana"/>
          <w:sz w:val="16"/>
          <w:szCs w:val="16"/>
        </w:rPr>
        <w:t xml:space="preserve"> desarrollado en el decreto de liquidación del presupuesto general de la Nación, con independencia del presupuesto con cargo al cual se realice su pago.</w:t>
      </w:r>
    </w:p>
    <w:p w14:paraId="5A3C8ED6" w14:textId="77777777" w:rsidR="000034E2" w:rsidRPr="00EC59D4" w:rsidRDefault="000034E2" w:rsidP="000034E2">
      <w:pPr>
        <w:pStyle w:val="Textonotapie"/>
        <w:ind w:firstLine="708"/>
        <w:jc w:val="both"/>
        <w:rPr>
          <w:rFonts w:ascii="Verdana" w:hAnsi="Verdana"/>
          <w:sz w:val="16"/>
          <w:szCs w:val="16"/>
        </w:rPr>
      </w:pPr>
      <w:r w:rsidRPr="00EC59D4">
        <w:rPr>
          <w:rFonts w:ascii="Verdana" w:hAnsi="Verdana"/>
          <w:sz w:val="16"/>
          <w:szCs w:val="16"/>
        </w:rPr>
        <w:t>Parágrafo 3°. De manera excepcional, para aquellos eventos en los que se requiera contratar servicios altamente calificados, podrán pactarse honorarios superiores a la remuneración total mensual establecida para el jefe de la entidad, los cuales no podrán exceder del valor total mensual de remuneración del jefe de la entidad incluidos los factores pres-tacionales y las contribuciones inherentes a la nómina, relacionadas con seguridad social y parafiscales a cargo del empleador. En estos eventos el Representante Legal de la entidad deberá certificar el cumplimiento de los siguientes aspectos: 1. Justificar la necesidad del servicio personal altamente calificado. 2. Indicar las características y calidades específicas, altamente calificadas, que reúne el contratista para la ejecución del contrato, y 3. Determinar las características de los productos y/o servicios que se espera obtener.</w:t>
      </w:r>
    </w:p>
    <w:p w14:paraId="60408613" w14:textId="77777777" w:rsidR="000034E2" w:rsidRPr="00EC59D4" w:rsidRDefault="000034E2" w:rsidP="000034E2">
      <w:pPr>
        <w:pStyle w:val="Textonotapie"/>
        <w:ind w:firstLine="708"/>
        <w:jc w:val="both"/>
        <w:rPr>
          <w:rFonts w:ascii="Verdana" w:hAnsi="Verdana"/>
          <w:sz w:val="16"/>
          <w:szCs w:val="16"/>
          <w:lang w:val="es-CO"/>
        </w:rPr>
      </w:pPr>
      <w:r w:rsidRPr="00EC59D4">
        <w:rPr>
          <w:rFonts w:ascii="Verdana" w:hAnsi="Verdana"/>
          <w:sz w:val="16"/>
          <w:szCs w:val="16"/>
        </w:rPr>
        <w:t>Parágrafo 4°. Se entiende por servicios altamente calificados aquellos requeridos en situaciones de alto nivel de especialidad, complejidad y detalle</w:t>
      </w:r>
      <w:r>
        <w:rPr>
          <w:rFonts w:ascii="Verdana" w:hAnsi="Verdana"/>
          <w:sz w:val="16"/>
          <w:szCs w:val="16"/>
        </w:rPr>
        <w:t>”</w:t>
      </w:r>
      <w:r w:rsidRPr="00EC59D4">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4E2"/>
    <w:rsid w:val="00016F78"/>
    <w:rsid w:val="00046945"/>
    <w:rsid w:val="00061B2A"/>
    <w:rsid w:val="00082362"/>
    <w:rsid w:val="000A683E"/>
    <w:rsid w:val="000B0C47"/>
    <w:rsid w:val="000B19B9"/>
    <w:rsid w:val="000D0334"/>
    <w:rsid w:val="000D5DA7"/>
    <w:rsid w:val="000F6486"/>
    <w:rsid w:val="00116940"/>
    <w:rsid w:val="0012074C"/>
    <w:rsid w:val="00125105"/>
    <w:rsid w:val="00127233"/>
    <w:rsid w:val="0015699B"/>
    <w:rsid w:val="0019396A"/>
    <w:rsid w:val="001A33BF"/>
    <w:rsid w:val="001D752E"/>
    <w:rsid w:val="001E4177"/>
    <w:rsid w:val="001F0B24"/>
    <w:rsid w:val="001F7DC6"/>
    <w:rsid w:val="0022400B"/>
    <w:rsid w:val="0024123D"/>
    <w:rsid w:val="002421BB"/>
    <w:rsid w:val="002501B1"/>
    <w:rsid w:val="0025796E"/>
    <w:rsid w:val="002707A2"/>
    <w:rsid w:val="002951A0"/>
    <w:rsid w:val="002962BC"/>
    <w:rsid w:val="002A093D"/>
    <w:rsid w:val="002A0DD0"/>
    <w:rsid w:val="002A49AC"/>
    <w:rsid w:val="002A64FD"/>
    <w:rsid w:val="002C7A84"/>
    <w:rsid w:val="002E2BF8"/>
    <w:rsid w:val="002E4FD9"/>
    <w:rsid w:val="0030657A"/>
    <w:rsid w:val="00311B58"/>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17E8"/>
    <w:rsid w:val="0042722E"/>
    <w:rsid w:val="0044528D"/>
    <w:rsid w:val="00466E39"/>
    <w:rsid w:val="004A1847"/>
    <w:rsid w:val="004A305D"/>
    <w:rsid w:val="004F21C4"/>
    <w:rsid w:val="004F685F"/>
    <w:rsid w:val="005566E8"/>
    <w:rsid w:val="00574867"/>
    <w:rsid w:val="00591460"/>
    <w:rsid w:val="005A65E0"/>
    <w:rsid w:val="005A7455"/>
    <w:rsid w:val="005C3777"/>
    <w:rsid w:val="005C5CDC"/>
    <w:rsid w:val="005D476C"/>
    <w:rsid w:val="006200BF"/>
    <w:rsid w:val="006219F8"/>
    <w:rsid w:val="006302F7"/>
    <w:rsid w:val="00646B9F"/>
    <w:rsid w:val="00665D70"/>
    <w:rsid w:val="00681607"/>
    <w:rsid w:val="006900D9"/>
    <w:rsid w:val="00706C16"/>
    <w:rsid w:val="007340C3"/>
    <w:rsid w:val="00743AA8"/>
    <w:rsid w:val="0075235A"/>
    <w:rsid w:val="00756841"/>
    <w:rsid w:val="007649AB"/>
    <w:rsid w:val="007716AE"/>
    <w:rsid w:val="00771D0C"/>
    <w:rsid w:val="007833AC"/>
    <w:rsid w:val="007B268C"/>
    <w:rsid w:val="007B7171"/>
    <w:rsid w:val="007C0C0F"/>
    <w:rsid w:val="007C3DC2"/>
    <w:rsid w:val="007E5497"/>
    <w:rsid w:val="00806F5F"/>
    <w:rsid w:val="00820278"/>
    <w:rsid w:val="008258C9"/>
    <w:rsid w:val="00840BC4"/>
    <w:rsid w:val="00844AE9"/>
    <w:rsid w:val="00867F95"/>
    <w:rsid w:val="008843B6"/>
    <w:rsid w:val="00891928"/>
    <w:rsid w:val="008A446D"/>
    <w:rsid w:val="008B25F1"/>
    <w:rsid w:val="008D180B"/>
    <w:rsid w:val="008F0EA7"/>
    <w:rsid w:val="00900EAB"/>
    <w:rsid w:val="00923EEF"/>
    <w:rsid w:val="0093219F"/>
    <w:rsid w:val="009419F9"/>
    <w:rsid w:val="0095685E"/>
    <w:rsid w:val="00961B09"/>
    <w:rsid w:val="00965334"/>
    <w:rsid w:val="0097093E"/>
    <w:rsid w:val="009A0DFA"/>
    <w:rsid w:val="009A1C6F"/>
    <w:rsid w:val="009B2D26"/>
    <w:rsid w:val="009B6936"/>
    <w:rsid w:val="009C71FA"/>
    <w:rsid w:val="009C72E7"/>
    <w:rsid w:val="009C7F7E"/>
    <w:rsid w:val="009D3058"/>
    <w:rsid w:val="009F3A13"/>
    <w:rsid w:val="00A122D3"/>
    <w:rsid w:val="00A14468"/>
    <w:rsid w:val="00A17F13"/>
    <w:rsid w:val="00A20739"/>
    <w:rsid w:val="00A23AF9"/>
    <w:rsid w:val="00A33C78"/>
    <w:rsid w:val="00A4664A"/>
    <w:rsid w:val="00AB0ADB"/>
    <w:rsid w:val="00B00C0E"/>
    <w:rsid w:val="00B01B1A"/>
    <w:rsid w:val="00B0381D"/>
    <w:rsid w:val="00B32C63"/>
    <w:rsid w:val="00B44A47"/>
    <w:rsid w:val="00B72CD3"/>
    <w:rsid w:val="00B72FFF"/>
    <w:rsid w:val="00B9375E"/>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6AFF"/>
    <w:rsid w:val="00D361FD"/>
    <w:rsid w:val="00D423A2"/>
    <w:rsid w:val="00D44E26"/>
    <w:rsid w:val="00D520D8"/>
    <w:rsid w:val="00D63AC2"/>
    <w:rsid w:val="00D7383B"/>
    <w:rsid w:val="00D7788A"/>
    <w:rsid w:val="00DA231B"/>
    <w:rsid w:val="00DC39FC"/>
    <w:rsid w:val="00DE77DD"/>
    <w:rsid w:val="00DF5254"/>
    <w:rsid w:val="00E02524"/>
    <w:rsid w:val="00E16408"/>
    <w:rsid w:val="00E20123"/>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4347"/>
    <w:rsid w:val="00F666C4"/>
    <w:rsid w:val="00F76AFC"/>
    <w:rsid w:val="00F94F33"/>
    <w:rsid w:val="00FA47C0"/>
    <w:rsid w:val="00FB5DD1"/>
    <w:rsid w:val="00FC2B5D"/>
    <w:rsid w:val="00FF1449"/>
    <w:rsid w:val="00FF7963"/>
    <w:rsid w:val="071B8F93"/>
    <w:rsid w:val="08E9AED9"/>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034E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034E2"/>
    <w:rPr>
      <w:rFonts w:ascii="Geomanist Light" w:hAnsi="Geomanist Light"/>
      <w:lang w:val="es-ES"/>
    </w:rPr>
  </w:style>
  <w:style w:type="character" w:customStyle="1" w:styleId="s15">
    <w:name w:val="s15"/>
    <w:basedOn w:val="Fuentedeprrafopredeter"/>
    <w:rsid w:val="000034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5C39CEE-00C6-47FF-A1E4-691ABE7EC7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23</Pages>
  <Words>7257</Words>
  <Characters>39915</Characters>
  <Application>Microsoft Office Word</Application>
  <DocSecurity>0</DocSecurity>
  <Lines>767</Lines>
  <Paragraphs>160</Paragraphs>
  <ScaleCrop>false</ScaleCrop>
  <Company/>
  <LinksUpToDate>false</LinksUpToDate>
  <CharactersWithSpaces>47012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2026-02-06T13:18:00Z</dcterms:created>
  <dcterms:modified xsi:type="dcterms:W3CDTF">2026-02-10T17:56:00Z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