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193B2" w14:textId="77777777" w:rsidR="00BB556C" w:rsidRDefault="00BB556C" w:rsidP="00612A6C">
      <w:pPr>
        <w:jc w:val="both"/>
        <w:rPr>
          <w:rFonts w:ascii="Verdana" w:hAnsi="Verdana" w:cs="Arial"/>
          <w:b/>
          <w:bCs/>
          <w:lang w:val="es-MX" w:eastAsia="es-ES_tradnl"/>
        </w:rPr>
      </w:pPr>
      <w:bookmarkStart w:id="0" w:name="_Hlk143780582"/>
      <w:bookmarkStart w:id="1" w:name="_Hlk214366482"/>
      <w:r w:rsidRPr="00612A6C">
        <w:rPr>
          <w:rFonts w:ascii="Verdana" w:hAnsi="Verdana" w:cs="Arial"/>
          <w:b/>
          <w:bCs/>
          <w:lang w:val="es-MX" w:eastAsia="es-ES_tradnl"/>
        </w:rPr>
        <w:t xml:space="preserve">LEY DE GARANTÍAS ELECTORALES ‒ Finalidad </w:t>
      </w:r>
    </w:p>
    <w:p w14:paraId="1CDD4DB4" w14:textId="7FD25250" w:rsidR="00612A6C" w:rsidRPr="00432EA4" w:rsidRDefault="00432EA4" w:rsidP="00432EA4">
      <w:pPr>
        <w:spacing w:after="0" w:line="240" w:lineRule="auto"/>
        <w:jc w:val="both"/>
        <w:rPr>
          <w:rFonts w:ascii="Verdana" w:eastAsia="Times New Roman" w:hAnsi="Verdana" w:cs="Arial"/>
          <w:bCs/>
          <w:sz w:val="20"/>
          <w:szCs w:val="20"/>
          <w:lang w:eastAsia="es-CO"/>
        </w:rPr>
      </w:pPr>
      <w:r w:rsidRPr="00432EA4">
        <w:rPr>
          <w:rFonts w:ascii="Verdana" w:eastAsia="Times New Roman" w:hAnsi="Verdana" w:cs="Arial"/>
          <w:bCs/>
          <w:sz w:val="20"/>
          <w:szCs w:val="20"/>
          <w:lang w:eastAsia="es-CO"/>
        </w:rPr>
        <w:t>La Ley 996 de 2005, conocida como “Ley de Garantías Electorales”, tiene como propósito evitar la injerencia inadecuada de intereses particulares en el ejercicio de la función pública. Esta ley busca evitar cualquier tipo de arbitrariedad, de ventaja injustificada, de uso irregular de los recursos del Estado en las campañas o falta de garantías en la elección presidencial.</w:t>
      </w:r>
    </w:p>
    <w:p w14:paraId="7A3CE3D2" w14:textId="77777777" w:rsidR="00432EA4" w:rsidRPr="00612A6C" w:rsidRDefault="00432EA4" w:rsidP="00612A6C">
      <w:pPr>
        <w:spacing w:after="0" w:line="240" w:lineRule="auto"/>
        <w:jc w:val="both"/>
        <w:rPr>
          <w:rFonts w:ascii="Verdana" w:hAnsi="Verdana" w:cs="Arial"/>
          <w:b/>
          <w:bCs/>
          <w:lang w:val="es-MX" w:eastAsia="es-ES_tradnl"/>
        </w:rPr>
      </w:pPr>
    </w:p>
    <w:p w14:paraId="5123A5D5" w14:textId="77777777" w:rsidR="00612A6C" w:rsidRDefault="00BB556C" w:rsidP="00612A6C">
      <w:pPr>
        <w:jc w:val="both"/>
        <w:rPr>
          <w:rFonts w:ascii="Verdana" w:hAnsi="Verdana" w:cs="Arial"/>
          <w:b/>
          <w:bCs/>
          <w:lang w:val="es-MX" w:eastAsia="es-ES_tradnl"/>
        </w:rPr>
      </w:pPr>
      <w:r w:rsidRPr="00612A6C">
        <w:rPr>
          <w:rFonts w:ascii="Verdana" w:hAnsi="Verdana" w:cs="Arial"/>
          <w:b/>
          <w:bCs/>
          <w:lang w:val="es-MX" w:eastAsia="es-ES_tradnl"/>
        </w:rPr>
        <w:t xml:space="preserve">LEY DE GARANTÍAS ELECTORALES ‒ Prohibición - Contratación directa </w:t>
      </w:r>
    </w:p>
    <w:p w14:paraId="75CCD208" w14:textId="4572DCC2" w:rsidR="00432EA4" w:rsidRDefault="00432EA4" w:rsidP="00432EA4">
      <w:pPr>
        <w:spacing w:after="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 </w:t>
      </w:r>
      <w:r w:rsidRPr="00432EA4">
        <w:rPr>
          <w:rFonts w:ascii="Verdana" w:eastAsia="Arial" w:hAnsi="Verdana" w:cs="Arial"/>
          <w:sz w:val="20"/>
          <w:szCs w:val="20"/>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3A77C65C" w14:textId="77777777" w:rsidR="00432EA4" w:rsidRDefault="00432EA4" w:rsidP="00432EA4">
      <w:pPr>
        <w:spacing w:after="0" w:line="240" w:lineRule="auto"/>
        <w:jc w:val="both"/>
        <w:rPr>
          <w:rFonts w:ascii="Verdana" w:eastAsia="Arial" w:hAnsi="Verdana" w:cs="Arial"/>
          <w:sz w:val="20"/>
          <w:szCs w:val="20"/>
          <w:lang w:val="es-ES" w:eastAsia="es-ES" w:bidi="es-ES"/>
        </w:rPr>
      </w:pPr>
    </w:p>
    <w:p w14:paraId="29585436" w14:textId="46C6249F" w:rsidR="00432EA4" w:rsidRDefault="00432EA4" w:rsidP="00432EA4">
      <w:pPr>
        <w:spacing w:after="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 </w:t>
      </w:r>
    </w:p>
    <w:p w14:paraId="7628F4C7" w14:textId="77777777" w:rsidR="00432EA4" w:rsidRDefault="00432EA4" w:rsidP="00432EA4">
      <w:pPr>
        <w:spacing w:after="0" w:line="240" w:lineRule="auto"/>
        <w:jc w:val="both"/>
        <w:rPr>
          <w:rFonts w:ascii="Verdana" w:eastAsia="Calibri" w:hAnsi="Verdana" w:cs="Arial"/>
          <w:sz w:val="20"/>
          <w:szCs w:val="20"/>
        </w:rPr>
      </w:pPr>
    </w:p>
    <w:p w14:paraId="709DACFE" w14:textId="77777777" w:rsidR="00432EA4" w:rsidRPr="00432EA4" w:rsidRDefault="00432EA4" w:rsidP="00432EA4">
      <w:pPr>
        <w:spacing w:after="0" w:line="240" w:lineRule="auto"/>
        <w:jc w:val="both"/>
        <w:rPr>
          <w:rFonts w:ascii="Verdana" w:eastAsia="Calibri" w:hAnsi="Verdana" w:cs="Arial"/>
          <w:sz w:val="20"/>
          <w:szCs w:val="20"/>
        </w:rPr>
      </w:pPr>
      <w:r w:rsidRPr="00432EA4">
        <w:rPr>
          <w:rFonts w:ascii="Verdana" w:eastAsia="Calibri" w:hAnsi="Verdana" w:cs="Arial"/>
          <w:sz w:val="20"/>
          <w:szCs w:val="20"/>
        </w:rPr>
        <w:t xml:space="preserve">El artículo 33 de la Ley 996 de 2005 prohíbe </w:t>
      </w:r>
      <w:r w:rsidRPr="00432EA4">
        <w:rPr>
          <w:rFonts w:ascii="Verdana" w:eastAsia="Calibri" w:hAnsi="Verdana" w:cs="Arial"/>
          <w:bCs/>
          <w:sz w:val="20"/>
          <w:szCs w:val="20"/>
        </w:rPr>
        <w:t xml:space="preserve">“(…) </w:t>
      </w:r>
      <w:r w:rsidRPr="00432EA4">
        <w:rPr>
          <w:rFonts w:ascii="Verdana" w:eastAsia="Calibri" w:hAnsi="Verdana" w:cs="Arial"/>
          <w:sz w:val="20"/>
          <w:szCs w:val="20"/>
        </w:rPr>
        <w:t xml:space="preserve">la contratación directa por parte de todos los entes del Estado” durante los cuatro (4) meses anteriores a las elecciones presidenciales, salvo </w:t>
      </w:r>
      <w:r w:rsidRPr="00432EA4">
        <w:rPr>
          <w:rFonts w:ascii="Verdana" w:eastAsia="Calibri" w:hAnsi="Verdana" w:cs="Arial"/>
          <w:bCs/>
          <w:sz w:val="20"/>
          <w:szCs w:val="20"/>
        </w:rPr>
        <w:t>“(…) l</w:t>
      </w:r>
      <w:r w:rsidRPr="00432EA4">
        <w:rPr>
          <w:rFonts w:ascii="Verdana" w:eastAsia="Calibri" w:hAnsi="Verdana" w:cs="Arial"/>
          <w:sz w:val="20"/>
          <w:szCs w:val="20"/>
        </w:rPr>
        <w:t>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15679F7" w14:textId="77777777" w:rsidR="00432EA4" w:rsidRPr="00432EA4" w:rsidRDefault="00432EA4" w:rsidP="00432EA4">
      <w:pPr>
        <w:spacing w:after="120" w:line="276" w:lineRule="auto"/>
        <w:jc w:val="both"/>
        <w:rPr>
          <w:rFonts w:ascii="Verdana" w:eastAsia="Arial" w:hAnsi="Verdana" w:cs="Arial"/>
          <w:sz w:val="20"/>
          <w:szCs w:val="20"/>
          <w:lang w:eastAsia="es-ES" w:bidi="es-ES"/>
        </w:rPr>
      </w:pPr>
    </w:p>
    <w:p w14:paraId="1C7680F7" w14:textId="77777777" w:rsidR="00612A6C" w:rsidRDefault="00BB556C" w:rsidP="00612A6C">
      <w:pPr>
        <w:jc w:val="both"/>
        <w:rPr>
          <w:rFonts w:ascii="Verdana" w:eastAsia="Times New Roman" w:hAnsi="Verdana" w:cs="Arial"/>
          <w:b/>
          <w:bCs/>
          <w:lang w:eastAsia="es-ES_tradnl"/>
        </w:rPr>
      </w:pPr>
      <w:r w:rsidRPr="00612A6C">
        <w:rPr>
          <w:rFonts w:ascii="Verdana" w:eastAsia="Times New Roman" w:hAnsi="Verdana" w:cs="Arial"/>
          <w:b/>
          <w:bCs/>
          <w:lang w:eastAsia="es-ES_tradnl"/>
        </w:rPr>
        <w:t xml:space="preserve">LEY DE GARANTÍAS ELECTORALES ─ Prohibición ‒ Contratación directa ‒ Excepciones </w:t>
      </w:r>
    </w:p>
    <w:p w14:paraId="45CA863A" w14:textId="528B42FB" w:rsidR="00432EA4" w:rsidRDefault="00432EA4" w:rsidP="00432EA4">
      <w:pPr>
        <w:jc w:val="both"/>
        <w:rPr>
          <w:rFonts w:ascii="Verdana" w:eastAsia="Times New Roman" w:hAnsi="Verdana" w:cs="Arial"/>
          <w:sz w:val="20"/>
          <w:szCs w:val="20"/>
          <w:lang w:eastAsia="x-none"/>
        </w:rPr>
      </w:pPr>
      <w:r w:rsidRPr="00432EA4">
        <w:rPr>
          <w:rFonts w:ascii="Verdana" w:eastAsia="Times New Roman" w:hAnsi="Verdana" w:cs="Arial"/>
          <w:sz w:val="20"/>
          <w:szCs w:val="20"/>
          <w:lang w:val="es-MX" w:eastAsia="x-none"/>
        </w:rPr>
        <w:t xml:space="preserve">El ámbito material de la prohibición contenida en el artículo 33 de la Ley 996 de 2005 está delimitado por la expresión </w:t>
      </w:r>
      <w:r w:rsidRPr="00432EA4">
        <w:rPr>
          <w:rFonts w:ascii="Verdana" w:eastAsia="Calibri" w:hAnsi="Verdana" w:cs="Arial"/>
          <w:i/>
          <w:sz w:val="20"/>
          <w:szCs w:val="20"/>
          <w:lang w:val="es-MX"/>
        </w:rPr>
        <w:t>“</w:t>
      </w:r>
      <w:r w:rsidRPr="00432EA4">
        <w:rPr>
          <w:rFonts w:ascii="Verdana" w:eastAsia="Times New Roman" w:hAnsi="Verdana" w:cs="Arial"/>
          <w:i/>
          <w:sz w:val="20"/>
          <w:szCs w:val="20"/>
          <w:lang w:val="es-MX" w:eastAsia="x-none"/>
        </w:rPr>
        <w:t>queda prohibida la contratación directa</w:t>
      </w:r>
      <w:r w:rsidRPr="00432EA4">
        <w:rPr>
          <w:rFonts w:ascii="Verdana" w:eastAsia="Calibri" w:hAnsi="Verdana" w:cs="Arial"/>
          <w:i/>
          <w:sz w:val="20"/>
          <w:szCs w:val="20"/>
          <w:lang w:val="es-MX"/>
        </w:rPr>
        <w:t xml:space="preserve">” </w:t>
      </w:r>
      <w:r w:rsidRPr="00432EA4">
        <w:rPr>
          <w:rFonts w:ascii="Verdana" w:eastAsia="Calibri" w:hAnsi="Verdana" w:cs="Arial"/>
          <w:iCs/>
          <w:sz w:val="20"/>
          <w:szCs w:val="20"/>
          <w:lang w:val="es-MX"/>
        </w:rPr>
        <w:t xml:space="preserve">[…] </w:t>
      </w:r>
      <w:r w:rsidRPr="00432EA4">
        <w:rPr>
          <w:rFonts w:ascii="Verdana" w:eastAsia="Times New Roman" w:hAnsi="Verdana" w:cs="Arial"/>
          <w:sz w:val="20"/>
          <w:szCs w:val="20"/>
          <w:lang w:eastAsia="x-none"/>
        </w:rPr>
        <w:t xml:space="preserve">De conformidad con el citado concepto, la prohibición del artículo 33 de la Ley de Garantías Electorales se refiere a </w:t>
      </w:r>
      <w:r w:rsidRPr="00432EA4">
        <w:rPr>
          <w:rFonts w:ascii="Verdana" w:eastAsia="Times New Roman" w:hAnsi="Verdana" w:cs="Arial"/>
          <w:sz w:val="20"/>
          <w:szCs w:val="20"/>
          <w:lang w:eastAsia="en-GB"/>
        </w:rPr>
        <w:t>“</w:t>
      </w:r>
      <w:r w:rsidRPr="00432EA4">
        <w:rPr>
          <w:rFonts w:ascii="Verdana" w:eastAsia="Times New Roman" w:hAnsi="Verdana" w:cs="Arial"/>
          <w:sz w:val="20"/>
          <w:szCs w:val="20"/>
          <w:lang w:eastAsia="x-none"/>
        </w:rPr>
        <w:t>cualquier sistema que no implique convocatoria pública y posibilidad de pluralidad de oferentes</w:t>
      </w:r>
      <w:r w:rsidRPr="00432EA4">
        <w:rPr>
          <w:rFonts w:ascii="Verdana" w:eastAsia="Times New Roman" w:hAnsi="Verdana" w:cs="Arial"/>
          <w:sz w:val="20"/>
          <w:szCs w:val="20"/>
          <w:lang w:eastAsia="en-GB"/>
        </w:rPr>
        <w:t>”</w:t>
      </w:r>
      <w:r w:rsidRPr="00432EA4">
        <w:rPr>
          <w:rFonts w:ascii="Verdana" w:eastAsia="Times New Roman" w:hAnsi="Verdana" w:cs="Arial"/>
          <w:sz w:val="20"/>
          <w:szCs w:val="20"/>
          <w:lang w:eastAsia="x-none"/>
        </w:rPr>
        <w:t>, por lo que excluye las demás modalidades de contratación previstas en la Ley 1150 de 2007</w:t>
      </w:r>
      <w:r>
        <w:rPr>
          <w:rFonts w:ascii="Verdana" w:eastAsia="Times New Roman" w:hAnsi="Verdana" w:cs="Arial"/>
          <w:sz w:val="20"/>
          <w:szCs w:val="20"/>
          <w:lang w:eastAsia="x-none"/>
        </w:rPr>
        <w:t>.</w:t>
      </w:r>
    </w:p>
    <w:p w14:paraId="5ACC9A6E" w14:textId="06A2E00D" w:rsidR="00432EA4" w:rsidRPr="00432EA4" w:rsidRDefault="00432EA4" w:rsidP="00432EA4">
      <w:pPr>
        <w:spacing w:after="0" w:line="240" w:lineRule="auto"/>
        <w:jc w:val="both"/>
        <w:rPr>
          <w:rFonts w:ascii="Verdana" w:eastAsia="Times New Roman" w:hAnsi="Verdana" w:cs="Arial"/>
          <w:sz w:val="20"/>
          <w:szCs w:val="20"/>
          <w:lang w:eastAsia="es-ES_tradnl"/>
        </w:rPr>
      </w:pPr>
      <w:r w:rsidRPr="00432EA4">
        <w:rPr>
          <w:rFonts w:ascii="Verdana" w:eastAsia="Times New Roman" w:hAnsi="Verdana" w:cs="Arial"/>
          <w:sz w:val="20"/>
          <w:szCs w:val="20"/>
          <w:lang w:eastAsia="es-ES_tradnl"/>
        </w:rPr>
        <w:t xml:space="preserve">[…] </w:t>
      </w:r>
    </w:p>
    <w:p w14:paraId="73FEEF11" w14:textId="77777777" w:rsidR="00432EA4" w:rsidRDefault="00432EA4" w:rsidP="00432EA4">
      <w:pPr>
        <w:spacing w:after="0" w:line="240" w:lineRule="auto"/>
        <w:jc w:val="both"/>
        <w:rPr>
          <w:rFonts w:ascii="Verdana" w:eastAsia="Times New Roman" w:hAnsi="Verdana" w:cs="Arial"/>
          <w:sz w:val="20"/>
          <w:szCs w:val="20"/>
          <w:lang w:eastAsia="x-none"/>
        </w:rPr>
      </w:pPr>
    </w:p>
    <w:p w14:paraId="57992FD5" w14:textId="2ACCD7FF" w:rsidR="00432EA4" w:rsidRDefault="00432EA4" w:rsidP="00432EA4">
      <w:pPr>
        <w:spacing w:after="0" w:line="240" w:lineRule="auto"/>
        <w:jc w:val="both"/>
        <w:rPr>
          <w:rFonts w:ascii="Verdana" w:eastAsia="Times New Roman" w:hAnsi="Verdana" w:cs="Arial"/>
          <w:sz w:val="20"/>
          <w:szCs w:val="20"/>
          <w:lang w:eastAsia="x-none"/>
        </w:rPr>
      </w:pPr>
      <w:r w:rsidRPr="00432EA4">
        <w:rPr>
          <w:rFonts w:ascii="Verdana" w:eastAsia="Times New Roman" w:hAnsi="Verdana" w:cs="Arial"/>
          <w:sz w:val="20"/>
          <w:szCs w:val="20"/>
          <w:lang w:eastAsia="x-none"/>
        </w:rPr>
        <w:t xml:space="preserve">De esta forma, se ha depurado la noción de </w:t>
      </w:r>
      <w:r w:rsidRPr="00432EA4">
        <w:rPr>
          <w:rFonts w:ascii="Verdana" w:eastAsia="Times New Roman" w:hAnsi="Verdana" w:cs="Arial"/>
          <w:sz w:val="20"/>
          <w:szCs w:val="20"/>
          <w:lang w:eastAsia="en-GB"/>
        </w:rPr>
        <w:t>“</w:t>
      </w:r>
      <w:r w:rsidRPr="00432EA4">
        <w:rPr>
          <w:rFonts w:ascii="Verdana" w:eastAsia="Times New Roman" w:hAnsi="Verdana" w:cs="Arial"/>
          <w:sz w:val="20"/>
          <w:szCs w:val="20"/>
          <w:lang w:eastAsia="x-none"/>
        </w:rPr>
        <w:t>contratación directa</w:t>
      </w:r>
      <w:r w:rsidRPr="00432EA4">
        <w:rPr>
          <w:rFonts w:ascii="Verdana" w:eastAsia="Times New Roman" w:hAnsi="Verdana" w:cs="Arial"/>
          <w:sz w:val="20"/>
          <w:szCs w:val="20"/>
          <w:lang w:eastAsia="en-GB"/>
        </w:rPr>
        <w:t>”</w:t>
      </w:r>
      <w:r w:rsidRPr="00432EA4">
        <w:rPr>
          <w:rFonts w:ascii="Verdana" w:eastAsia="Times New Roman" w:hAnsi="Verdana" w:cs="Arial"/>
          <w:sz w:val="20"/>
          <w:szCs w:val="20"/>
          <w:lang w:eastAsia="x-none"/>
        </w:rPr>
        <w:t xml:space="preserve">, precisando el Consejo de Estado –en el concepto citado– que, “aun cuando no coincide única y exactamente </w:t>
      </w:r>
      <w:r w:rsidRPr="00432EA4">
        <w:rPr>
          <w:rFonts w:ascii="Verdana" w:eastAsia="Times New Roman" w:hAnsi="Verdana" w:cs="Arial"/>
          <w:sz w:val="20"/>
          <w:szCs w:val="20"/>
          <w:lang w:eastAsia="x-none"/>
        </w:rPr>
        <w:lastRenderedPageBreak/>
        <w:t>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han establecido sistemas de contratación que implican convocatoria pública y participación de varios oferentes</w:t>
      </w:r>
      <w:r w:rsidRPr="00432EA4">
        <w:rPr>
          <w:rFonts w:ascii="Verdana" w:eastAsia="Times New Roman" w:hAnsi="Verdana" w:cs="Arial"/>
          <w:sz w:val="20"/>
          <w:szCs w:val="20"/>
          <w:lang w:eastAsia="en-GB"/>
        </w:rPr>
        <w:t>”</w:t>
      </w:r>
      <w:r w:rsidRPr="00432EA4">
        <w:rPr>
          <w:rFonts w:ascii="Verdana" w:eastAsia="Times New Roman" w:hAnsi="Verdana" w:cs="Arial"/>
          <w:sz w:val="20"/>
          <w:szCs w:val="20"/>
          <w:lang w:eastAsia="x-none"/>
        </w:rPr>
        <w:t>.</w:t>
      </w:r>
    </w:p>
    <w:p w14:paraId="0FEE5FEE" w14:textId="1626550A" w:rsidR="00432EA4" w:rsidRPr="00432EA4" w:rsidRDefault="00432EA4" w:rsidP="00432EA4">
      <w:pPr>
        <w:spacing w:after="0" w:line="240" w:lineRule="auto"/>
        <w:jc w:val="both"/>
        <w:rPr>
          <w:rFonts w:ascii="Verdana" w:eastAsia="Times New Roman" w:hAnsi="Verdana" w:cs="Arial"/>
          <w:sz w:val="20"/>
          <w:szCs w:val="20"/>
          <w:lang w:val="es-MX" w:eastAsia="x-none"/>
        </w:rPr>
      </w:pPr>
      <w:r w:rsidRPr="00432EA4">
        <w:rPr>
          <w:rFonts w:ascii="Verdana" w:eastAsia="Times New Roman" w:hAnsi="Verdana" w:cs="Arial"/>
          <w:sz w:val="20"/>
          <w:szCs w:val="20"/>
          <w:lang w:eastAsia="x-none"/>
        </w:rPr>
        <w:t xml:space="preserve"> </w:t>
      </w:r>
    </w:p>
    <w:p w14:paraId="2F3E9BDE" w14:textId="0F870E68" w:rsidR="00432EA4" w:rsidRDefault="00432EA4" w:rsidP="00432EA4">
      <w:pPr>
        <w:jc w:val="both"/>
        <w:rPr>
          <w:rFonts w:ascii="Verdana" w:eastAsia="Times New Roman" w:hAnsi="Verdana" w:cs="Arial"/>
          <w:sz w:val="20"/>
          <w:szCs w:val="20"/>
          <w:lang w:eastAsia="x-none"/>
        </w:rPr>
      </w:pPr>
      <w:r w:rsidRPr="00432EA4">
        <w:rPr>
          <w:rFonts w:ascii="Verdana" w:eastAsia="Times New Roman" w:hAnsi="Verdana" w:cs="Arial"/>
          <w:sz w:val="20"/>
          <w:szCs w:val="20"/>
          <w:lang w:val="es-MX" w:eastAsia="x-none"/>
        </w:rPr>
        <w:t>E</w:t>
      </w:r>
      <w:r w:rsidRPr="00432EA4">
        <w:rPr>
          <w:rFonts w:ascii="Verdana" w:eastAsia="Times New Roman" w:hAnsi="Verdana" w:cs="Arial"/>
          <w:sz w:val="20"/>
          <w:szCs w:val="20"/>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rFonts w:ascii="Verdana" w:eastAsia="Times New Roman" w:hAnsi="Verdana" w:cs="Arial"/>
          <w:sz w:val="20"/>
          <w:szCs w:val="20"/>
          <w:lang w:eastAsia="x-none"/>
        </w:rPr>
        <w:t>.</w:t>
      </w:r>
    </w:p>
    <w:p w14:paraId="63E734B2" w14:textId="7B120E47" w:rsidR="00110F9F" w:rsidRDefault="00110F9F" w:rsidP="00432EA4">
      <w:pPr>
        <w:jc w:val="both"/>
        <w:rPr>
          <w:rFonts w:ascii="Verdana" w:eastAsia="Times New Roman" w:hAnsi="Verdana" w:cs="Arial"/>
          <w:sz w:val="20"/>
          <w:szCs w:val="20"/>
          <w:lang w:eastAsia="x-none"/>
        </w:rPr>
      </w:pPr>
      <w:r>
        <w:rPr>
          <w:rFonts w:ascii="Verdana" w:eastAsia="Times New Roman" w:hAnsi="Verdana" w:cs="Arial"/>
          <w:sz w:val="20"/>
          <w:szCs w:val="20"/>
          <w:lang w:eastAsia="x-none"/>
        </w:rPr>
        <w:t xml:space="preserve">[…] </w:t>
      </w:r>
    </w:p>
    <w:p w14:paraId="63FACDF2" w14:textId="77777777" w:rsidR="00110F9F" w:rsidRPr="00110F9F" w:rsidRDefault="00110F9F" w:rsidP="00110F9F">
      <w:pPr>
        <w:spacing w:after="0" w:line="240" w:lineRule="auto"/>
        <w:jc w:val="both"/>
        <w:rPr>
          <w:rFonts w:ascii="Verdana" w:eastAsia="Times New Roman" w:hAnsi="Verdana" w:cs="Arial"/>
          <w:sz w:val="20"/>
          <w:szCs w:val="20"/>
          <w:lang w:val="es-MX" w:eastAsia="es-CO"/>
        </w:rPr>
      </w:pPr>
      <w:r w:rsidRPr="00110F9F">
        <w:rPr>
          <w:rFonts w:ascii="Verdana" w:eastAsia="Times New Roman" w:hAnsi="Verdana" w:cs="Arial"/>
          <w:sz w:val="20"/>
          <w:szCs w:val="20"/>
          <w:lang w:val="es-MX" w:eastAsia="x-none"/>
        </w:rPr>
        <w:t xml:space="preserve">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110F9F">
        <w:rPr>
          <w:rFonts w:ascii="Verdana" w:eastAsia="Times New Roman" w:hAnsi="Verdana" w:cs="Arial"/>
          <w:sz w:val="20"/>
          <w:szCs w:val="20"/>
          <w:lang w:val="es-MX" w:eastAsia="x-none"/>
        </w:rPr>
        <w:t>ii</w:t>
      </w:r>
      <w:proofErr w:type="spellEnd"/>
      <w:r w:rsidRPr="00110F9F">
        <w:rPr>
          <w:rFonts w:ascii="Verdana" w:eastAsia="Times New Roman" w:hAnsi="Verdana" w:cs="Arial"/>
          <w:sz w:val="20"/>
          <w:szCs w:val="20"/>
          <w:lang w:val="es-MX" w:eastAsia="x-none"/>
        </w:rPr>
        <w:t xml:space="preserve">) los contratos de crédito público; </w:t>
      </w:r>
      <w:proofErr w:type="spellStart"/>
      <w:r w:rsidRPr="00110F9F">
        <w:rPr>
          <w:rFonts w:ascii="Verdana" w:eastAsia="Times New Roman" w:hAnsi="Verdana" w:cs="Arial"/>
          <w:sz w:val="20"/>
          <w:szCs w:val="20"/>
          <w:lang w:val="es-MX" w:eastAsia="x-none"/>
        </w:rPr>
        <w:t>iii</w:t>
      </w:r>
      <w:proofErr w:type="spellEnd"/>
      <w:r w:rsidRPr="00110F9F">
        <w:rPr>
          <w:rFonts w:ascii="Verdana" w:eastAsia="Times New Roman" w:hAnsi="Verdana" w:cs="Arial"/>
          <w:sz w:val="20"/>
          <w:szCs w:val="20"/>
          <w:lang w:val="es-MX" w:eastAsia="x-none"/>
        </w:rPr>
        <w:t xml:space="preserve">) los requeridos para cubrir las emergencias educativas, sanitarias y desastres; </w:t>
      </w:r>
      <w:proofErr w:type="spellStart"/>
      <w:r w:rsidRPr="00110F9F">
        <w:rPr>
          <w:rFonts w:ascii="Verdana" w:eastAsia="Times New Roman" w:hAnsi="Verdana" w:cs="Arial"/>
          <w:sz w:val="20"/>
          <w:szCs w:val="20"/>
          <w:lang w:val="es-MX" w:eastAsia="x-none"/>
        </w:rPr>
        <w:t>iv</w:t>
      </w:r>
      <w:proofErr w:type="spellEnd"/>
      <w:r w:rsidRPr="00110F9F">
        <w:rPr>
          <w:rFonts w:ascii="Verdana" w:eastAsia="Times New Roman" w:hAnsi="Verdana" w:cs="Arial"/>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110F9F">
        <w:rPr>
          <w:rFonts w:ascii="Verdana" w:eastAsia="Times New Roman" w:hAnsi="Verdana" w:cs="Arial"/>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E0AEB89" w14:textId="77777777" w:rsidR="00110F9F" w:rsidRPr="00110F9F" w:rsidRDefault="00110F9F" w:rsidP="00432EA4">
      <w:pPr>
        <w:spacing w:after="0" w:line="240" w:lineRule="auto"/>
        <w:jc w:val="both"/>
        <w:rPr>
          <w:rFonts w:ascii="Verdana" w:eastAsia="Times New Roman" w:hAnsi="Verdana" w:cs="Arial"/>
          <w:sz w:val="20"/>
          <w:szCs w:val="20"/>
          <w:lang w:val="es-MX" w:eastAsia="es-ES_tradnl"/>
        </w:rPr>
      </w:pPr>
    </w:p>
    <w:p w14:paraId="5E2AFBB0" w14:textId="77777777" w:rsidR="00612A6C" w:rsidRDefault="00BB556C" w:rsidP="00612A6C">
      <w:pPr>
        <w:jc w:val="both"/>
        <w:rPr>
          <w:rFonts w:ascii="Verdana" w:eastAsia="Times New Roman" w:hAnsi="Verdana" w:cs="Arial"/>
          <w:b/>
          <w:bCs/>
          <w:lang w:eastAsia="es-ES_tradnl"/>
        </w:rPr>
      </w:pPr>
      <w:r w:rsidRPr="00612A6C">
        <w:rPr>
          <w:rFonts w:ascii="Verdana" w:eastAsia="Times New Roman" w:hAnsi="Verdana" w:cs="Arial"/>
          <w:b/>
          <w:bCs/>
          <w:lang w:eastAsia="es-ES_tradnl"/>
        </w:rPr>
        <w:t xml:space="preserve">DECRETO 092 DE 2017 – Finalidad – Clases de contratos </w:t>
      </w:r>
    </w:p>
    <w:p w14:paraId="5913CA6B" w14:textId="4246DBD8" w:rsidR="00612A6C" w:rsidRDefault="00A143A7" w:rsidP="00A143A7">
      <w:pPr>
        <w:spacing w:after="0" w:line="240" w:lineRule="auto"/>
        <w:jc w:val="both"/>
        <w:rPr>
          <w:rFonts w:ascii="Verdana" w:eastAsia="Calibri" w:hAnsi="Verdana" w:cs="Arial"/>
          <w:sz w:val="20"/>
          <w:szCs w:val="20"/>
          <w:lang w:val="es-ES"/>
        </w:rPr>
      </w:pPr>
      <w:r w:rsidRPr="00A143A7">
        <w:rPr>
          <w:rFonts w:ascii="Verdana" w:eastAsia="Calibri" w:hAnsi="Verdana" w:cs="Arial"/>
          <w:sz w:val="20"/>
          <w:szCs w:val="20"/>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A143A7">
        <w:rPr>
          <w:rFonts w:ascii="Verdana" w:eastAsia="Calibri" w:hAnsi="Verdana" w:cs="Arial"/>
          <w:sz w:val="20"/>
          <w:szCs w:val="20"/>
          <w:lang w:val="es-ES"/>
        </w:rPr>
        <w:t>ii</w:t>
      </w:r>
      <w:proofErr w:type="spellEnd"/>
      <w:r w:rsidRPr="00A143A7">
        <w:rPr>
          <w:rFonts w:ascii="Verdana" w:eastAsia="Calibri" w:hAnsi="Verdana" w:cs="Arial"/>
          <w:sz w:val="20"/>
          <w:szCs w:val="20"/>
          <w:lang w:val="es-ES"/>
        </w:rPr>
        <w:t xml:space="preserve">) los convenios de asociación, para el desarrollo conjunto de actividades relacionadas con las funciones de las entidades estatales, en desarrollo del artículo 96 de la Ley 489 de 1998. </w:t>
      </w:r>
    </w:p>
    <w:p w14:paraId="6C0D9710" w14:textId="77777777" w:rsidR="00A143A7" w:rsidRPr="00A143A7" w:rsidRDefault="00A143A7" w:rsidP="00A143A7">
      <w:pPr>
        <w:spacing w:after="0" w:line="240" w:lineRule="auto"/>
        <w:jc w:val="both"/>
        <w:rPr>
          <w:rFonts w:ascii="Verdana" w:eastAsia="Calibri" w:hAnsi="Verdana" w:cs="Arial"/>
          <w:sz w:val="20"/>
          <w:szCs w:val="20"/>
          <w:lang w:val="es-ES"/>
        </w:rPr>
      </w:pPr>
    </w:p>
    <w:p w14:paraId="27E97F83" w14:textId="0311B32F" w:rsidR="00612A6C" w:rsidRDefault="00BB556C" w:rsidP="00612A6C">
      <w:pPr>
        <w:jc w:val="both"/>
        <w:rPr>
          <w:rFonts w:ascii="Verdana" w:eastAsia="Times New Roman" w:hAnsi="Verdana" w:cs="Arial"/>
          <w:b/>
          <w:bCs/>
          <w:lang w:eastAsia="es-ES_tradnl"/>
        </w:rPr>
      </w:pPr>
      <w:r w:rsidRPr="00612A6C">
        <w:rPr>
          <w:rFonts w:ascii="Verdana" w:eastAsia="Times New Roman" w:hAnsi="Verdana" w:cs="Arial"/>
          <w:b/>
          <w:bCs/>
          <w:lang w:eastAsia="es-ES_tradnl"/>
        </w:rPr>
        <w:t xml:space="preserve">CONTRATACIÓN CON ESAL – Contrato de colaboración – Objeto – Alcance </w:t>
      </w:r>
    </w:p>
    <w:p w14:paraId="3A23EEF1" w14:textId="77777777" w:rsidR="00A143A7" w:rsidRDefault="00A143A7" w:rsidP="00A143A7">
      <w:pPr>
        <w:jc w:val="both"/>
        <w:rPr>
          <w:rFonts w:ascii="Verdana" w:eastAsia="Calibri" w:hAnsi="Verdana" w:cs="Arial"/>
          <w:sz w:val="20"/>
          <w:szCs w:val="20"/>
          <w:lang w:val="es-ES"/>
        </w:rPr>
      </w:pPr>
      <w:r w:rsidRPr="00A143A7">
        <w:rPr>
          <w:rFonts w:ascii="Verdana" w:eastAsia="Calibri" w:hAnsi="Verdana" w:cs="Arial"/>
          <w:sz w:val="20"/>
          <w:szCs w:val="20"/>
          <w:lang w:val="es-ES"/>
        </w:rPr>
        <w:lastRenderedPageBreak/>
        <w:t xml:space="preserve">Los </w:t>
      </w:r>
      <w:r w:rsidRPr="00A143A7">
        <w:rPr>
          <w:rFonts w:ascii="Verdana" w:eastAsia="Calibri" w:hAnsi="Verdana" w:cs="Arial"/>
          <w:i/>
          <w:iCs/>
          <w:sz w:val="20"/>
          <w:szCs w:val="20"/>
          <w:lang w:val="es-ES"/>
        </w:rPr>
        <w:t>contratos del artículo 355 de la Constitución Política</w:t>
      </w:r>
      <w:r w:rsidRPr="00A143A7">
        <w:rPr>
          <w:rFonts w:ascii="Verdana" w:eastAsia="Calibri" w:hAnsi="Verdana" w:cs="Arial"/>
          <w:sz w:val="20"/>
          <w:szCs w:val="20"/>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w:t>
      </w:r>
      <w:r>
        <w:rPr>
          <w:rFonts w:ascii="Verdana" w:eastAsia="Calibri" w:hAnsi="Verdana" w:cs="Arial"/>
          <w:sz w:val="20"/>
          <w:szCs w:val="20"/>
          <w:lang w:val="es-ES"/>
        </w:rPr>
        <w:t>.</w:t>
      </w:r>
    </w:p>
    <w:p w14:paraId="547F949D" w14:textId="4FC0FFD8" w:rsidR="00A143A7" w:rsidRDefault="00A143A7" w:rsidP="00A143A7">
      <w:pPr>
        <w:jc w:val="both"/>
        <w:rPr>
          <w:rFonts w:ascii="Verdana" w:eastAsia="Times New Roman" w:hAnsi="Verdana" w:cs="Arial"/>
          <w:sz w:val="20"/>
          <w:szCs w:val="20"/>
          <w:lang w:eastAsia="es-ES_tradnl"/>
        </w:rPr>
      </w:pPr>
      <w:r w:rsidRPr="00A143A7">
        <w:rPr>
          <w:rFonts w:ascii="Verdana" w:eastAsia="Times New Roman" w:hAnsi="Verdana" w:cs="Arial"/>
          <w:sz w:val="20"/>
          <w:szCs w:val="20"/>
          <w:lang w:eastAsia="es-ES_tradnl"/>
        </w:rPr>
        <w:t>Para celebrar estos contratos, según lo establece el artículo 3 del Decreto 092 de 2017, por regla general, la entidad debe adelantar un proceso competitivo para seleccionar la entidad sin ánimo de lucro contratista.</w:t>
      </w:r>
    </w:p>
    <w:p w14:paraId="7BE67040" w14:textId="77777777" w:rsidR="00A143A7" w:rsidRPr="00A143A7" w:rsidRDefault="00A143A7" w:rsidP="00A143A7">
      <w:pPr>
        <w:spacing w:after="0" w:line="240" w:lineRule="auto"/>
        <w:jc w:val="both"/>
        <w:rPr>
          <w:rFonts w:ascii="Verdana" w:eastAsia="Times New Roman" w:hAnsi="Verdana" w:cs="Arial"/>
          <w:sz w:val="20"/>
          <w:szCs w:val="20"/>
          <w:lang w:eastAsia="es-ES_tradnl"/>
        </w:rPr>
      </w:pPr>
    </w:p>
    <w:p w14:paraId="6B5BFD3A" w14:textId="09FCA2D2" w:rsidR="00612A6C" w:rsidRDefault="00BB556C" w:rsidP="00A143A7">
      <w:pPr>
        <w:jc w:val="both"/>
        <w:rPr>
          <w:rFonts w:ascii="Verdana" w:eastAsia="Times New Roman" w:hAnsi="Verdana" w:cs="Arial"/>
          <w:b/>
          <w:bCs/>
          <w:lang w:eastAsia="es-ES_tradnl"/>
        </w:rPr>
      </w:pPr>
      <w:r w:rsidRPr="00612A6C">
        <w:rPr>
          <w:rFonts w:ascii="Verdana" w:eastAsia="Times New Roman" w:hAnsi="Verdana" w:cs="Arial"/>
          <w:b/>
          <w:bCs/>
          <w:lang w:eastAsia="es-ES_tradnl"/>
        </w:rPr>
        <w:t xml:space="preserve">DECRETO 092 DE 2017 – Convenios de asociación </w:t>
      </w:r>
    </w:p>
    <w:p w14:paraId="1E678910" w14:textId="77777777" w:rsidR="00A143A7" w:rsidRDefault="00A143A7" w:rsidP="00A143A7">
      <w:pPr>
        <w:spacing w:after="0" w:line="240" w:lineRule="auto"/>
        <w:jc w:val="both"/>
        <w:rPr>
          <w:rFonts w:ascii="Verdana" w:eastAsia="Calibri" w:hAnsi="Verdana" w:cs="Arial"/>
          <w:bCs/>
          <w:sz w:val="20"/>
          <w:szCs w:val="20"/>
          <w:lang w:val="es-ES_tradnl"/>
        </w:rPr>
      </w:pPr>
      <w:r>
        <w:rPr>
          <w:rFonts w:ascii="Verdana" w:eastAsia="Calibri" w:hAnsi="Verdana" w:cs="Arial"/>
          <w:bCs/>
          <w:sz w:val="20"/>
          <w:szCs w:val="20"/>
          <w:lang w:val="es-ES_tradnl"/>
        </w:rPr>
        <w:t xml:space="preserve">[…] </w:t>
      </w:r>
      <w:r w:rsidRPr="00A143A7">
        <w:rPr>
          <w:rFonts w:ascii="Verdana" w:eastAsia="Calibri" w:hAnsi="Verdana" w:cs="Arial"/>
          <w:bCs/>
          <w:sz w:val="20"/>
          <w:szCs w:val="20"/>
          <w:lang w:val="es-ES_tradnl"/>
        </w:rPr>
        <w:t xml:space="preserve">la celebración de los </w:t>
      </w:r>
      <w:r w:rsidRPr="00A143A7">
        <w:rPr>
          <w:rFonts w:ascii="Verdana" w:eastAsia="Calibri" w:hAnsi="Verdana" w:cs="Arial"/>
          <w:bCs/>
          <w:i/>
          <w:sz w:val="20"/>
          <w:szCs w:val="20"/>
          <w:lang w:val="es-ES_tradnl"/>
        </w:rPr>
        <w:t>convenios de asociación</w:t>
      </w:r>
      <w:r w:rsidRPr="00A143A7">
        <w:rPr>
          <w:rFonts w:ascii="Verdana" w:eastAsia="Calibri" w:hAnsi="Verdana" w:cs="Arial"/>
          <w:bCs/>
          <w:sz w:val="20"/>
          <w:szCs w:val="20"/>
          <w:lang w:val="es-ES_tradnl"/>
        </w:rPr>
        <w:t xml:space="preserve"> “[t]</w:t>
      </w:r>
      <w:proofErr w:type="spellStart"/>
      <w:r w:rsidRPr="00A143A7">
        <w:rPr>
          <w:rFonts w:ascii="Verdana" w:eastAsia="Calibri" w:hAnsi="Verdana" w:cs="Arial"/>
          <w:bCs/>
          <w:sz w:val="20"/>
          <w:szCs w:val="20"/>
          <w:lang w:val="es-ES_tradnl"/>
        </w:rPr>
        <w:t>ienen</w:t>
      </w:r>
      <w:proofErr w:type="spellEnd"/>
      <w:r w:rsidRPr="00A143A7">
        <w:rPr>
          <w:rFonts w:ascii="Verdana" w:eastAsia="Calibri" w:hAnsi="Verdana" w:cs="Arial"/>
          <w:bCs/>
          <w:sz w:val="20"/>
          <w:szCs w:val="20"/>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w:t>
      </w:r>
      <w:proofErr w:type="gramStart"/>
      <w:r w:rsidRPr="00A143A7">
        <w:rPr>
          <w:rFonts w:ascii="Verdana" w:eastAsia="Calibri" w:hAnsi="Verdana" w:cs="Arial"/>
          <w:bCs/>
          <w:sz w:val="20"/>
          <w:szCs w:val="20"/>
          <w:lang w:val="es-ES_tradnl"/>
        </w:rPr>
        <w:t>y</w:t>
      </w:r>
      <w:proofErr w:type="gramEnd"/>
      <w:r w:rsidRPr="00A143A7">
        <w:rPr>
          <w:rFonts w:ascii="Verdana" w:eastAsia="Calibri" w:hAnsi="Verdana" w:cs="Arial"/>
          <w:bCs/>
          <w:sz w:val="20"/>
          <w:szCs w:val="20"/>
          <w:lang w:val="es-ES_tradnl"/>
        </w:rPr>
        <w:t xml:space="preserve"> por lo tanto, la entidad no instruye al contratista para desarrollar los programas o actividades previstas, sino que se asocia con él para el cumplimiento de objetivos comunes.</w:t>
      </w:r>
    </w:p>
    <w:p w14:paraId="3509DF6D" w14:textId="77777777" w:rsidR="00A143A7" w:rsidRDefault="00A143A7" w:rsidP="00A143A7">
      <w:pPr>
        <w:spacing w:after="0" w:line="240" w:lineRule="auto"/>
        <w:jc w:val="both"/>
        <w:rPr>
          <w:rFonts w:ascii="Verdana" w:eastAsia="Calibri" w:hAnsi="Verdana" w:cs="Arial"/>
          <w:bCs/>
          <w:sz w:val="20"/>
          <w:szCs w:val="20"/>
          <w:lang w:val="es-ES_tradnl"/>
        </w:rPr>
      </w:pPr>
    </w:p>
    <w:p w14:paraId="23CA522A" w14:textId="0501E70F" w:rsidR="00A143A7" w:rsidRPr="00A143A7" w:rsidRDefault="00A143A7" w:rsidP="00A143A7">
      <w:pPr>
        <w:spacing w:after="0" w:line="240" w:lineRule="auto"/>
        <w:jc w:val="both"/>
        <w:rPr>
          <w:rFonts w:ascii="Verdana" w:eastAsia="Calibri" w:hAnsi="Verdana" w:cs="Arial"/>
          <w:bCs/>
          <w:sz w:val="20"/>
          <w:szCs w:val="20"/>
          <w:lang w:val="es-ES_tradnl"/>
        </w:rPr>
      </w:pPr>
      <w:r w:rsidRPr="00A143A7">
        <w:rPr>
          <w:rFonts w:ascii="Verdana" w:eastAsia="Times New Roman" w:hAnsi="Verdana" w:cs="Arial"/>
          <w:sz w:val="20"/>
          <w:szCs w:val="20"/>
          <w:lang w:val="es-ES_tradnl" w:eastAsia="es-ES_tradnl"/>
        </w:rPr>
        <w:t xml:space="preserve">[…] </w:t>
      </w:r>
      <w:r w:rsidRPr="00A143A7">
        <w:rPr>
          <w:rFonts w:ascii="Verdana" w:eastAsia="Calibri" w:hAnsi="Verdana" w:cs="Arial"/>
          <w:sz w:val="20"/>
          <w:szCs w:val="20"/>
        </w:rPr>
        <w:t>Igualmente, atendiendo a que los convenios de asociación “no estarán</w:t>
      </w:r>
      <w:r w:rsidRPr="00A143A7">
        <w:rPr>
          <w:rFonts w:ascii="Verdana" w:eastAsia="Calibri" w:hAnsi="Verdana" w:cs="Arial"/>
          <w:bCs/>
          <w:sz w:val="20"/>
          <w:szCs w:val="20"/>
        </w:rPr>
        <w:t xml:space="preserve">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147938DE" w14:textId="23BED1F4" w:rsidR="00A143A7" w:rsidRPr="00A143A7" w:rsidRDefault="00A143A7" w:rsidP="00A143A7">
      <w:pPr>
        <w:spacing w:after="0" w:line="240" w:lineRule="auto"/>
        <w:jc w:val="both"/>
        <w:rPr>
          <w:rFonts w:ascii="Verdana" w:eastAsia="Times New Roman" w:hAnsi="Verdana" w:cs="Arial"/>
          <w:b/>
          <w:bCs/>
          <w:lang w:eastAsia="es-ES_tradnl"/>
        </w:rPr>
      </w:pPr>
    </w:p>
    <w:p w14:paraId="6C35E8C4" w14:textId="4226C4DB" w:rsidR="00BB556C" w:rsidRDefault="00BB556C" w:rsidP="00612A6C">
      <w:pPr>
        <w:jc w:val="both"/>
        <w:rPr>
          <w:rFonts w:ascii="Verdana" w:eastAsia="Times New Roman" w:hAnsi="Verdana" w:cs="Arial"/>
          <w:b/>
          <w:bCs/>
          <w:lang w:eastAsia="es-ES_tradnl"/>
        </w:rPr>
      </w:pPr>
      <w:r w:rsidRPr="00612A6C">
        <w:rPr>
          <w:rFonts w:ascii="Verdana" w:eastAsia="Times New Roman" w:hAnsi="Verdana" w:cs="Arial"/>
          <w:b/>
          <w:bCs/>
          <w:lang w:eastAsia="es-ES_tradnl"/>
        </w:rPr>
        <w:t>LEY DE GARANTÍAS ELECTORALES - Aplicación en contratos de colaboración y convenios de asociación</w:t>
      </w:r>
    </w:p>
    <w:p w14:paraId="628BAF8B" w14:textId="4A7D2B10" w:rsidR="00A143A7" w:rsidRPr="00A143A7" w:rsidRDefault="00A143A7" w:rsidP="00A143A7">
      <w:pPr>
        <w:spacing w:after="0" w:line="240" w:lineRule="auto"/>
        <w:jc w:val="both"/>
        <w:rPr>
          <w:rFonts w:ascii="Verdana" w:eastAsia="Calibri" w:hAnsi="Verdana" w:cs="Arial"/>
          <w:sz w:val="20"/>
          <w:szCs w:val="20"/>
          <w:lang w:val="es-ES"/>
        </w:rPr>
      </w:pPr>
      <w:r>
        <w:rPr>
          <w:rFonts w:ascii="Verdana" w:eastAsia="Calibri" w:hAnsi="Verdana" w:cs="Arial"/>
          <w:color w:val="000000"/>
          <w:sz w:val="20"/>
          <w:szCs w:val="20"/>
        </w:rPr>
        <w:t xml:space="preserve">[…] </w:t>
      </w:r>
      <w:r w:rsidRPr="00A143A7">
        <w:rPr>
          <w:rFonts w:ascii="Verdana" w:eastAsia="Calibri" w:hAnsi="Verdana" w:cs="Arial"/>
          <w:color w:val="000000"/>
          <w:sz w:val="20"/>
          <w:szCs w:val="20"/>
        </w:rPr>
        <w:t xml:space="preserve">los convenios de asociación </w:t>
      </w:r>
      <w:r w:rsidRPr="00A143A7">
        <w:rPr>
          <w:rFonts w:ascii="Verdana" w:eastAsia="Calibri" w:hAnsi="Verdana" w:cs="Arial"/>
          <w:sz w:val="20"/>
          <w:szCs w:val="20"/>
          <w:lang w:val="es-ES"/>
        </w:rPr>
        <w:t xml:space="preserve">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w:t>
      </w:r>
      <w:r w:rsidRPr="00A143A7">
        <w:rPr>
          <w:rFonts w:ascii="Verdana" w:eastAsia="Calibri" w:hAnsi="Verdana" w:cs="Arial"/>
          <w:sz w:val="20"/>
          <w:szCs w:val="20"/>
          <w:lang w:val="es-ES"/>
        </w:rPr>
        <w:lastRenderedPageBreak/>
        <w:t>30% de los recursos en dinero requeridos, supuesto que, al excluir la pluralidad de oferentes, sí entra dentro del ámbito de aplicación de la mencionada prohibición, de manera que no es posible su aplicación en vigencia de la restricción a la contratación directa.</w:t>
      </w:r>
    </w:p>
    <w:p w14:paraId="2AF316A8" w14:textId="77777777" w:rsidR="00A143A7" w:rsidRDefault="00A143A7" w:rsidP="00A143A7">
      <w:pPr>
        <w:spacing w:after="0" w:line="240" w:lineRule="auto"/>
        <w:jc w:val="both"/>
        <w:rPr>
          <w:rFonts w:ascii="Verdana" w:eastAsia="Times New Roman" w:hAnsi="Verdana" w:cs="Arial"/>
          <w:sz w:val="20"/>
          <w:szCs w:val="20"/>
          <w:lang w:val="es-MX" w:eastAsia="x-none"/>
        </w:rPr>
      </w:pPr>
    </w:p>
    <w:p w14:paraId="23DA477B" w14:textId="3EE9D091" w:rsidR="00A143A7" w:rsidRPr="00A143A7" w:rsidRDefault="00A143A7" w:rsidP="00A143A7">
      <w:pPr>
        <w:spacing w:after="0" w:line="240" w:lineRule="auto"/>
        <w:jc w:val="both"/>
        <w:rPr>
          <w:rFonts w:ascii="Verdana" w:eastAsia="Calibri" w:hAnsi="Verdana" w:cs="Arial"/>
          <w:sz w:val="20"/>
          <w:szCs w:val="20"/>
          <w:lang w:val="es-ES"/>
        </w:rPr>
      </w:pPr>
      <w:r w:rsidRPr="00A143A7">
        <w:rPr>
          <w:rFonts w:ascii="Verdana" w:eastAsia="Times New Roman" w:hAnsi="Verdana" w:cs="Arial"/>
          <w:sz w:val="20"/>
          <w:szCs w:val="20"/>
          <w:lang w:val="es-MX" w:eastAsia="x-none"/>
        </w:rPr>
        <w:t>Sin perjuicio de lo anterior, la restricción prevista en el artículo 33 de la Ley de Garantías Electorales contempla algunas excepciones, con fundamento en las cuales podrán las entidades públicas adelantar procedimientos de contratación directa en períodos previos a la contienda electoral por la Presidencia, siempre que se subsuma en los supuestos contemplados de manera taxativa en el inciso final del citado artículo 33 de la Ley 996 de 2005. Por lo tanto, será</w:t>
      </w:r>
      <w:r w:rsidRPr="00A143A7">
        <w:rPr>
          <w:rFonts w:ascii="Verdana" w:eastAsia="Times New Roman" w:hAnsi="Verdana" w:cs="Arial"/>
          <w:sz w:val="20"/>
          <w:szCs w:val="20"/>
          <w:lang w:val="es-MX" w:eastAsia="es-CO"/>
        </w:rPr>
        <w:t xml:space="preserve"> responsabilidad de la entidad estatal, examinar en cada caso la naturaleza de las actividades que adelanta y determinar si las mismas se enmarcan en alguna de las mencionadas excepciones. </w:t>
      </w:r>
      <w:r w:rsidRPr="00A143A7">
        <w:rPr>
          <w:rFonts w:ascii="Verdana" w:eastAsia="Calibri" w:hAnsi="Verdana" w:cs="Arial"/>
          <w:sz w:val="20"/>
          <w:szCs w:val="20"/>
          <w:lang w:val="es-ES"/>
        </w:rPr>
        <w:t xml:space="preserve"> </w:t>
      </w:r>
    </w:p>
    <w:p w14:paraId="565DAB91" w14:textId="77777777" w:rsidR="00A143A7" w:rsidRPr="00A143A7" w:rsidRDefault="00A143A7" w:rsidP="00612A6C">
      <w:pPr>
        <w:spacing w:after="0" w:line="240" w:lineRule="auto"/>
        <w:jc w:val="both"/>
        <w:rPr>
          <w:rFonts w:ascii="Verdana" w:eastAsia="Times New Roman" w:hAnsi="Verdana" w:cs="Arial"/>
          <w:b/>
          <w:bCs/>
          <w:lang w:val="es-ES" w:eastAsia="es-ES_tradnl"/>
        </w:rPr>
      </w:pPr>
    </w:p>
    <w:p w14:paraId="0EAF0A97" w14:textId="77777777" w:rsidR="00BB556C" w:rsidRDefault="00BB556C" w:rsidP="00C52988">
      <w:pPr>
        <w:spacing w:after="0" w:line="240" w:lineRule="auto"/>
        <w:jc w:val="both"/>
        <w:rPr>
          <w:rFonts w:ascii="Verdana" w:eastAsia="Calibri" w:hAnsi="Verdana" w:cs="Arial"/>
          <w:lang w:eastAsia="es-ES"/>
        </w:rPr>
      </w:pPr>
    </w:p>
    <w:p w14:paraId="1E40E005" w14:textId="77777777" w:rsidR="00A143A7" w:rsidRDefault="00A143A7" w:rsidP="00C52988">
      <w:pPr>
        <w:spacing w:after="0" w:line="240" w:lineRule="auto"/>
        <w:jc w:val="both"/>
        <w:rPr>
          <w:rFonts w:ascii="Verdana" w:eastAsia="Calibri" w:hAnsi="Verdana" w:cs="Arial"/>
          <w:lang w:eastAsia="es-ES"/>
        </w:rPr>
      </w:pPr>
    </w:p>
    <w:p w14:paraId="38170AFC" w14:textId="77777777" w:rsidR="00A143A7" w:rsidRDefault="00A143A7" w:rsidP="00C52988">
      <w:pPr>
        <w:spacing w:after="0" w:line="240" w:lineRule="auto"/>
        <w:jc w:val="both"/>
        <w:rPr>
          <w:rFonts w:ascii="Verdana" w:eastAsia="Calibri" w:hAnsi="Verdana" w:cs="Arial"/>
          <w:lang w:eastAsia="es-ES"/>
        </w:rPr>
      </w:pPr>
    </w:p>
    <w:p w14:paraId="7E62F761" w14:textId="77777777" w:rsidR="00A143A7" w:rsidRDefault="00A143A7" w:rsidP="00C52988">
      <w:pPr>
        <w:spacing w:after="0" w:line="240" w:lineRule="auto"/>
        <w:jc w:val="both"/>
        <w:rPr>
          <w:rFonts w:ascii="Verdana" w:eastAsia="Calibri" w:hAnsi="Verdana" w:cs="Arial"/>
          <w:lang w:eastAsia="es-ES"/>
        </w:rPr>
      </w:pPr>
    </w:p>
    <w:p w14:paraId="20696A74" w14:textId="77777777" w:rsidR="00A143A7" w:rsidRDefault="00A143A7" w:rsidP="00C52988">
      <w:pPr>
        <w:spacing w:after="0" w:line="240" w:lineRule="auto"/>
        <w:jc w:val="both"/>
        <w:rPr>
          <w:rFonts w:ascii="Verdana" w:eastAsia="Calibri" w:hAnsi="Verdana" w:cs="Arial"/>
          <w:lang w:eastAsia="es-ES"/>
        </w:rPr>
      </w:pPr>
    </w:p>
    <w:p w14:paraId="4B8653EB" w14:textId="77777777" w:rsidR="00A143A7" w:rsidRDefault="00A143A7" w:rsidP="00C52988">
      <w:pPr>
        <w:spacing w:after="0" w:line="240" w:lineRule="auto"/>
        <w:jc w:val="both"/>
        <w:rPr>
          <w:rFonts w:ascii="Verdana" w:eastAsia="Calibri" w:hAnsi="Verdana" w:cs="Arial"/>
          <w:lang w:eastAsia="es-ES"/>
        </w:rPr>
      </w:pPr>
    </w:p>
    <w:p w14:paraId="04870D82" w14:textId="77777777" w:rsidR="00A143A7" w:rsidRDefault="00A143A7" w:rsidP="00C52988">
      <w:pPr>
        <w:spacing w:after="0" w:line="240" w:lineRule="auto"/>
        <w:jc w:val="both"/>
        <w:rPr>
          <w:rFonts w:ascii="Verdana" w:eastAsia="Calibri" w:hAnsi="Verdana" w:cs="Arial"/>
          <w:lang w:eastAsia="es-ES"/>
        </w:rPr>
      </w:pPr>
    </w:p>
    <w:p w14:paraId="2FBF538D" w14:textId="77777777" w:rsidR="00A143A7" w:rsidRDefault="00A143A7" w:rsidP="00C52988">
      <w:pPr>
        <w:spacing w:after="0" w:line="240" w:lineRule="auto"/>
        <w:jc w:val="both"/>
        <w:rPr>
          <w:rFonts w:ascii="Verdana" w:eastAsia="Calibri" w:hAnsi="Verdana" w:cs="Arial"/>
          <w:lang w:eastAsia="es-ES"/>
        </w:rPr>
      </w:pPr>
    </w:p>
    <w:p w14:paraId="292BF3E3" w14:textId="77777777" w:rsidR="00A143A7" w:rsidRDefault="00A143A7" w:rsidP="00C52988">
      <w:pPr>
        <w:spacing w:after="0" w:line="240" w:lineRule="auto"/>
        <w:jc w:val="both"/>
        <w:rPr>
          <w:rFonts w:ascii="Verdana" w:eastAsia="Calibri" w:hAnsi="Verdana" w:cs="Arial"/>
          <w:lang w:eastAsia="es-ES"/>
        </w:rPr>
      </w:pPr>
    </w:p>
    <w:p w14:paraId="00780FFB" w14:textId="77777777" w:rsidR="00A143A7" w:rsidRDefault="00A143A7" w:rsidP="00C52988">
      <w:pPr>
        <w:spacing w:after="0" w:line="240" w:lineRule="auto"/>
        <w:jc w:val="both"/>
        <w:rPr>
          <w:rFonts w:ascii="Verdana" w:eastAsia="Calibri" w:hAnsi="Verdana" w:cs="Arial"/>
          <w:lang w:eastAsia="es-ES"/>
        </w:rPr>
      </w:pPr>
    </w:p>
    <w:p w14:paraId="26EEB8B5" w14:textId="77777777" w:rsidR="00A143A7" w:rsidRDefault="00A143A7" w:rsidP="00C52988">
      <w:pPr>
        <w:spacing w:after="0" w:line="240" w:lineRule="auto"/>
        <w:jc w:val="both"/>
        <w:rPr>
          <w:rFonts w:ascii="Verdana" w:eastAsia="Calibri" w:hAnsi="Verdana" w:cs="Arial"/>
          <w:lang w:eastAsia="es-ES"/>
        </w:rPr>
      </w:pPr>
    </w:p>
    <w:p w14:paraId="7BFE7751" w14:textId="77777777" w:rsidR="00A143A7" w:rsidRDefault="00A143A7" w:rsidP="00C52988">
      <w:pPr>
        <w:spacing w:after="0" w:line="240" w:lineRule="auto"/>
        <w:jc w:val="both"/>
        <w:rPr>
          <w:rFonts w:ascii="Verdana" w:eastAsia="Calibri" w:hAnsi="Verdana" w:cs="Arial"/>
          <w:lang w:eastAsia="es-ES"/>
        </w:rPr>
      </w:pPr>
    </w:p>
    <w:p w14:paraId="31991744" w14:textId="77777777" w:rsidR="00A143A7" w:rsidRDefault="00A143A7" w:rsidP="00C52988">
      <w:pPr>
        <w:spacing w:after="0" w:line="240" w:lineRule="auto"/>
        <w:jc w:val="both"/>
        <w:rPr>
          <w:rFonts w:ascii="Verdana" w:eastAsia="Calibri" w:hAnsi="Verdana" w:cs="Arial"/>
          <w:lang w:eastAsia="es-ES"/>
        </w:rPr>
      </w:pPr>
    </w:p>
    <w:p w14:paraId="7EF38E1D" w14:textId="77777777" w:rsidR="00A143A7" w:rsidRDefault="00A143A7" w:rsidP="00C52988">
      <w:pPr>
        <w:spacing w:after="0" w:line="240" w:lineRule="auto"/>
        <w:jc w:val="both"/>
        <w:rPr>
          <w:rFonts w:ascii="Verdana" w:eastAsia="Calibri" w:hAnsi="Verdana" w:cs="Arial"/>
          <w:lang w:eastAsia="es-ES"/>
        </w:rPr>
      </w:pPr>
    </w:p>
    <w:p w14:paraId="6F88BD95" w14:textId="77777777" w:rsidR="00A143A7" w:rsidRDefault="00A143A7" w:rsidP="00C52988">
      <w:pPr>
        <w:spacing w:after="0" w:line="240" w:lineRule="auto"/>
        <w:jc w:val="both"/>
        <w:rPr>
          <w:rFonts w:ascii="Verdana" w:eastAsia="Calibri" w:hAnsi="Verdana" w:cs="Arial"/>
          <w:lang w:eastAsia="es-ES"/>
        </w:rPr>
      </w:pPr>
    </w:p>
    <w:p w14:paraId="3AC8C02E" w14:textId="77777777" w:rsidR="00A143A7" w:rsidRDefault="00A143A7" w:rsidP="00C52988">
      <w:pPr>
        <w:spacing w:after="0" w:line="240" w:lineRule="auto"/>
        <w:jc w:val="both"/>
        <w:rPr>
          <w:rFonts w:ascii="Verdana" w:eastAsia="Calibri" w:hAnsi="Verdana" w:cs="Arial"/>
          <w:lang w:eastAsia="es-ES"/>
        </w:rPr>
      </w:pPr>
    </w:p>
    <w:p w14:paraId="7CBE3A71" w14:textId="77777777" w:rsidR="00A143A7" w:rsidRDefault="00A143A7" w:rsidP="00C52988">
      <w:pPr>
        <w:spacing w:after="0" w:line="240" w:lineRule="auto"/>
        <w:jc w:val="both"/>
        <w:rPr>
          <w:rFonts w:ascii="Verdana" w:eastAsia="Calibri" w:hAnsi="Verdana" w:cs="Arial"/>
          <w:lang w:eastAsia="es-ES"/>
        </w:rPr>
      </w:pPr>
    </w:p>
    <w:p w14:paraId="10361A00" w14:textId="77777777" w:rsidR="00A143A7" w:rsidRDefault="00A143A7" w:rsidP="00C52988">
      <w:pPr>
        <w:spacing w:after="0" w:line="240" w:lineRule="auto"/>
        <w:jc w:val="both"/>
        <w:rPr>
          <w:rFonts w:ascii="Verdana" w:eastAsia="Calibri" w:hAnsi="Verdana" w:cs="Arial"/>
          <w:lang w:eastAsia="es-ES"/>
        </w:rPr>
      </w:pPr>
    </w:p>
    <w:p w14:paraId="627EF08D" w14:textId="77777777" w:rsidR="00A143A7" w:rsidRDefault="00A143A7" w:rsidP="00C52988">
      <w:pPr>
        <w:spacing w:after="0" w:line="240" w:lineRule="auto"/>
        <w:jc w:val="both"/>
        <w:rPr>
          <w:rFonts w:ascii="Verdana" w:eastAsia="Calibri" w:hAnsi="Verdana" w:cs="Arial"/>
          <w:lang w:eastAsia="es-ES"/>
        </w:rPr>
      </w:pPr>
    </w:p>
    <w:p w14:paraId="2201CE44" w14:textId="77777777" w:rsidR="00A143A7" w:rsidRDefault="00A143A7" w:rsidP="00C52988">
      <w:pPr>
        <w:spacing w:after="0" w:line="240" w:lineRule="auto"/>
        <w:jc w:val="both"/>
        <w:rPr>
          <w:rFonts w:ascii="Verdana" w:eastAsia="Calibri" w:hAnsi="Verdana" w:cs="Arial"/>
          <w:lang w:eastAsia="es-ES"/>
        </w:rPr>
      </w:pPr>
    </w:p>
    <w:p w14:paraId="161301FA" w14:textId="77777777" w:rsidR="00A143A7" w:rsidRDefault="00A143A7" w:rsidP="00C52988">
      <w:pPr>
        <w:spacing w:after="0" w:line="240" w:lineRule="auto"/>
        <w:jc w:val="both"/>
        <w:rPr>
          <w:rFonts w:ascii="Verdana" w:eastAsia="Calibri" w:hAnsi="Verdana" w:cs="Arial"/>
          <w:lang w:eastAsia="es-ES"/>
        </w:rPr>
      </w:pPr>
    </w:p>
    <w:p w14:paraId="0AB1DAB9" w14:textId="77777777" w:rsidR="00A143A7" w:rsidRDefault="00A143A7" w:rsidP="00C52988">
      <w:pPr>
        <w:spacing w:after="0" w:line="240" w:lineRule="auto"/>
        <w:jc w:val="both"/>
        <w:rPr>
          <w:rFonts w:ascii="Verdana" w:eastAsia="Calibri" w:hAnsi="Verdana" w:cs="Arial"/>
          <w:lang w:eastAsia="es-ES"/>
        </w:rPr>
      </w:pPr>
    </w:p>
    <w:p w14:paraId="549698AC" w14:textId="77777777" w:rsidR="00A143A7" w:rsidRDefault="00A143A7" w:rsidP="00C52988">
      <w:pPr>
        <w:spacing w:after="0" w:line="240" w:lineRule="auto"/>
        <w:jc w:val="both"/>
        <w:rPr>
          <w:rFonts w:ascii="Verdana" w:eastAsia="Calibri" w:hAnsi="Verdana" w:cs="Arial"/>
          <w:lang w:eastAsia="es-ES"/>
        </w:rPr>
      </w:pPr>
    </w:p>
    <w:p w14:paraId="37A9938B" w14:textId="77777777" w:rsidR="00A143A7" w:rsidRDefault="00A143A7" w:rsidP="00C52988">
      <w:pPr>
        <w:spacing w:after="0" w:line="240" w:lineRule="auto"/>
        <w:jc w:val="both"/>
        <w:rPr>
          <w:rFonts w:ascii="Verdana" w:eastAsia="Calibri" w:hAnsi="Verdana" w:cs="Arial"/>
          <w:lang w:eastAsia="es-ES"/>
        </w:rPr>
      </w:pPr>
    </w:p>
    <w:p w14:paraId="09EF093E" w14:textId="77777777" w:rsidR="00A143A7" w:rsidRDefault="00A143A7" w:rsidP="00C52988">
      <w:pPr>
        <w:spacing w:after="0" w:line="240" w:lineRule="auto"/>
        <w:jc w:val="both"/>
        <w:rPr>
          <w:rFonts w:ascii="Verdana" w:eastAsia="Calibri" w:hAnsi="Verdana" w:cs="Arial"/>
          <w:lang w:eastAsia="es-ES"/>
        </w:rPr>
      </w:pPr>
    </w:p>
    <w:p w14:paraId="35B78A27" w14:textId="77777777" w:rsidR="00A143A7" w:rsidRDefault="00A143A7" w:rsidP="00C52988">
      <w:pPr>
        <w:spacing w:after="0" w:line="240" w:lineRule="auto"/>
        <w:jc w:val="both"/>
        <w:rPr>
          <w:rFonts w:ascii="Verdana" w:eastAsia="Calibri" w:hAnsi="Verdana" w:cs="Arial"/>
          <w:lang w:eastAsia="es-ES"/>
        </w:rPr>
      </w:pPr>
    </w:p>
    <w:p w14:paraId="592A7A74" w14:textId="77777777" w:rsidR="00A143A7" w:rsidRDefault="00A143A7" w:rsidP="00C52988">
      <w:pPr>
        <w:spacing w:after="0" w:line="240" w:lineRule="auto"/>
        <w:jc w:val="both"/>
        <w:rPr>
          <w:rFonts w:ascii="Verdana" w:eastAsia="Calibri" w:hAnsi="Verdana" w:cs="Arial"/>
          <w:lang w:eastAsia="es-ES"/>
        </w:rPr>
      </w:pPr>
    </w:p>
    <w:p w14:paraId="562DA9EC" w14:textId="77777777" w:rsidR="00A143A7" w:rsidRDefault="00A143A7" w:rsidP="00C52988">
      <w:pPr>
        <w:spacing w:after="0" w:line="240" w:lineRule="auto"/>
        <w:jc w:val="both"/>
        <w:rPr>
          <w:rFonts w:ascii="Verdana" w:eastAsia="Calibri" w:hAnsi="Verdana" w:cs="Arial"/>
          <w:lang w:eastAsia="es-ES"/>
        </w:rPr>
      </w:pPr>
    </w:p>
    <w:p w14:paraId="1E801643" w14:textId="77777777" w:rsidR="00A143A7" w:rsidRDefault="00A143A7" w:rsidP="00C52988">
      <w:pPr>
        <w:spacing w:after="0" w:line="240" w:lineRule="auto"/>
        <w:jc w:val="both"/>
        <w:rPr>
          <w:rFonts w:ascii="Verdana" w:eastAsia="Calibri" w:hAnsi="Verdana" w:cs="Arial"/>
          <w:lang w:eastAsia="es-ES"/>
        </w:rPr>
      </w:pPr>
    </w:p>
    <w:p w14:paraId="7E42D7E9" w14:textId="3D95F848" w:rsidR="00C52988" w:rsidRPr="007E27D9" w:rsidRDefault="00C52988" w:rsidP="00C52988">
      <w:pPr>
        <w:spacing w:after="0" w:line="240" w:lineRule="auto"/>
        <w:jc w:val="both"/>
        <w:rPr>
          <w:rFonts w:ascii="Verdana" w:eastAsia="Calibri" w:hAnsi="Verdana" w:cs="Arial"/>
          <w:lang w:eastAsia="es-ES"/>
        </w:rPr>
      </w:pPr>
      <w:r w:rsidRPr="007E27D9">
        <w:rPr>
          <w:rFonts w:ascii="Verdana" w:eastAsia="Calibri" w:hAnsi="Verdana" w:cs="Arial"/>
          <w:lang w:eastAsia="es-ES"/>
        </w:rPr>
        <w:lastRenderedPageBreak/>
        <w:t>Bogotá D.C.</w:t>
      </w:r>
      <w:r w:rsidR="000066A6">
        <w:rPr>
          <w:rFonts w:ascii="Verdana" w:eastAsia="Calibri" w:hAnsi="Verdana" w:cs="Arial"/>
          <w:lang w:eastAsia="es-ES"/>
        </w:rPr>
        <w:t xml:space="preserve"> 23 de febrero 2026</w:t>
      </w:r>
    </w:p>
    <w:p w14:paraId="6561F789" w14:textId="5A7950DA" w:rsidR="00C52988" w:rsidRDefault="00BB556C" w:rsidP="00BB556C">
      <w:pPr>
        <w:spacing w:after="0" w:line="240" w:lineRule="auto"/>
        <w:jc w:val="right"/>
        <w:rPr>
          <w:rFonts w:ascii="Verdana" w:eastAsia="Calibri" w:hAnsi="Verdana" w:cs="Arial"/>
          <w:lang w:eastAsia="es-ES"/>
        </w:rPr>
      </w:pPr>
      <w:r w:rsidRPr="00BB556C">
        <w:rPr>
          <w:rFonts w:ascii="Verdana" w:eastAsia="Calibri" w:hAnsi="Verdana" w:cs="Arial"/>
          <w:noProof/>
          <w:lang w:eastAsia="es-ES"/>
        </w:rPr>
        <w:drawing>
          <wp:inline distT="0" distB="0" distL="0" distR="0" wp14:anchorId="7B1F988D" wp14:editId="6E017421">
            <wp:extent cx="2783190" cy="796290"/>
            <wp:effectExtent l="0" t="0" r="0" b="3810"/>
            <wp:docPr id="44028130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281307" name="Imagen 1" descr="Texto&#10;&#10;El contenido generado por IA puede ser incorrecto."/>
                    <pic:cNvPicPr/>
                  </pic:nvPicPr>
                  <pic:blipFill>
                    <a:blip r:embed="rId10"/>
                    <a:stretch>
                      <a:fillRect/>
                    </a:stretch>
                  </pic:blipFill>
                  <pic:spPr>
                    <a:xfrm>
                      <a:off x="0" y="0"/>
                      <a:ext cx="2794073" cy="799404"/>
                    </a:xfrm>
                    <a:prstGeom prst="rect">
                      <a:avLst/>
                    </a:prstGeom>
                  </pic:spPr>
                </pic:pic>
              </a:graphicData>
            </a:graphic>
          </wp:inline>
        </w:drawing>
      </w:r>
    </w:p>
    <w:p w14:paraId="7A622034" w14:textId="77777777" w:rsidR="00C52988" w:rsidRDefault="00C52988" w:rsidP="00C52988">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Señor </w:t>
      </w:r>
    </w:p>
    <w:p w14:paraId="217A5823" w14:textId="77777777" w:rsidR="00C52988" w:rsidRPr="00311DD2" w:rsidRDefault="00C52988" w:rsidP="00C52988">
      <w:pPr>
        <w:spacing w:after="0" w:line="240" w:lineRule="auto"/>
        <w:jc w:val="both"/>
        <w:rPr>
          <w:rFonts w:ascii="Verdana" w:eastAsia="Calibri" w:hAnsi="Verdana" w:cs="Arial"/>
          <w:b/>
          <w:bCs/>
          <w:lang w:eastAsia="es-ES"/>
        </w:rPr>
      </w:pPr>
      <w:r>
        <w:rPr>
          <w:rFonts w:ascii="Verdana" w:eastAsia="Calibri" w:hAnsi="Verdana" w:cs="Arial"/>
          <w:b/>
          <w:bCs/>
          <w:lang w:eastAsia="es-ES"/>
        </w:rPr>
        <w:t>Jairo Emiro Ortega Anillo</w:t>
      </w:r>
    </w:p>
    <w:p w14:paraId="6D940A42" w14:textId="77777777" w:rsidR="00C52988" w:rsidRPr="006B2A88" w:rsidRDefault="00C52988" w:rsidP="00C52988">
      <w:pPr>
        <w:spacing w:after="0" w:line="240" w:lineRule="auto"/>
        <w:jc w:val="both"/>
        <w:rPr>
          <w:rFonts w:ascii="Verdana" w:hAnsi="Verdana"/>
          <w:b/>
          <w:bCs/>
        </w:rPr>
      </w:pPr>
      <w:hyperlink r:id="rId11" w:history="1">
        <w:r w:rsidRPr="006B2A88">
          <w:rPr>
            <w:rStyle w:val="Hipervnculo"/>
            <w:rFonts w:ascii="Verdana" w:hAnsi="Verdana"/>
            <w:b/>
            <w:bCs/>
          </w:rPr>
          <w:t>abogadojairoortega@gmail.com</w:t>
        </w:r>
      </w:hyperlink>
    </w:p>
    <w:p w14:paraId="635A741F" w14:textId="77777777" w:rsidR="00C52988" w:rsidRPr="006B2A88" w:rsidRDefault="00C52988" w:rsidP="00C52988">
      <w:pPr>
        <w:spacing w:after="0" w:line="240" w:lineRule="auto"/>
        <w:jc w:val="both"/>
        <w:rPr>
          <w:rFonts w:ascii="Verdana" w:hAnsi="Verdana"/>
          <w:b/>
          <w:bCs/>
        </w:rPr>
      </w:pPr>
      <w:r w:rsidRPr="006B2A88">
        <w:rPr>
          <w:rFonts w:ascii="Verdana" w:hAnsi="Verdana"/>
        </w:rPr>
        <w:t xml:space="preserve">San Jacinto – Bolívar </w:t>
      </w:r>
    </w:p>
    <w:p w14:paraId="2025A3B4" w14:textId="77777777" w:rsidR="00C52988" w:rsidRPr="00863416" w:rsidRDefault="00C52988" w:rsidP="00C52988">
      <w:pPr>
        <w:spacing w:after="0" w:line="240" w:lineRule="auto"/>
        <w:jc w:val="both"/>
        <w:rPr>
          <w:rFonts w:ascii="Verdana" w:hAnsi="Verdana"/>
        </w:rPr>
      </w:pPr>
    </w:p>
    <w:p w14:paraId="5F05ED15" w14:textId="77777777" w:rsidR="00C52988" w:rsidRPr="00863416" w:rsidRDefault="00C52988" w:rsidP="00C52988">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C52988" w:rsidRPr="005644FE" w14:paraId="7CD92ED3" w14:textId="77777777" w:rsidTr="00BE649A">
        <w:trPr>
          <w:trHeight w:val="162"/>
        </w:trPr>
        <w:tc>
          <w:tcPr>
            <w:tcW w:w="3119" w:type="dxa"/>
          </w:tcPr>
          <w:p w14:paraId="01651D6B" w14:textId="77777777" w:rsidR="00C52988" w:rsidRPr="00863416" w:rsidRDefault="00C52988" w:rsidP="00BE649A">
            <w:pPr>
              <w:jc w:val="both"/>
              <w:rPr>
                <w:rFonts w:ascii="Verdana" w:eastAsia="Calibri" w:hAnsi="Verdana" w:cs="Arial"/>
                <w:b/>
                <w:bCs/>
                <w:color w:val="7030A0"/>
                <w:lang w:eastAsia="es-ES_tradnl"/>
              </w:rPr>
            </w:pPr>
          </w:p>
        </w:tc>
        <w:tc>
          <w:tcPr>
            <w:tcW w:w="5670" w:type="dxa"/>
          </w:tcPr>
          <w:p w14:paraId="1F263CBB" w14:textId="77777777" w:rsidR="00C52988" w:rsidRPr="005644FE" w:rsidRDefault="00C52988" w:rsidP="00BE649A">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120 de 2026</w:t>
            </w:r>
          </w:p>
          <w:p w14:paraId="18F4A7E1" w14:textId="77777777" w:rsidR="00C52988" w:rsidRPr="005644FE" w:rsidRDefault="00C52988" w:rsidP="00BE649A">
            <w:pPr>
              <w:jc w:val="both"/>
              <w:rPr>
                <w:rFonts w:ascii="Verdana" w:eastAsia="Calibri" w:hAnsi="Verdana" w:cs="Arial"/>
                <w:b/>
                <w:bCs/>
                <w:color w:val="7030A0"/>
                <w:lang w:eastAsia="es-ES"/>
              </w:rPr>
            </w:pPr>
          </w:p>
        </w:tc>
      </w:tr>
      <w:tr w:rsidR="00C52988" w:rsidRPr="005644FE" w14:paraId="16AD8E27" w14:textId="77777777" w:rsidTr="00BE649A">
        <w:trPr>
          <w:trHeight w:val="884"/>
        </w:trPr>
        <w:tc>
          <w:tcPr>
            <w:tcW w:w="3119" w:type="dxa"/>
          </w:tcPr>
          <w:p w14:paraId="32E6532B" w14:textId="77777777" w:rsidR="00C52988" w:rsidRPr="005644FE" w:rsidRDefault="00C52988" w:rsidP="00BE649A">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49117A41" w14:textId="77777777" w:rsidR="00C52988" w:rsidRDefault="00C52988" w:rsidP="00BE649A">
            <w:pPr>
              <w:spacing w:line="276" w:lineRule="auto"/>
              <w:jc w:val="both"/>
              <w:rPr>
                <w:rFonts w:ascii="Verdana" w:eastAsia="Times New Roman" w:hAnsi="Verdana" w:cs="Arial"/>
                <w:lang w:eastAsia="es-ES_tradnl"/>
              </w:rPr>
            </w:pPr>
            <w:r w:rsidRPr="00284B9D">
              <w:rPr>
                <w:rFonts w:ascii="Verdana" w:hAnsi="Verdana" w:cs="Arial"/>
                <w:lang w:val="es-MX" w:eastAsia="es-ES_tradnl"/>
              </w:rPr>
              <w:t xml:space="preserve">LEY DE GARANTÍAS ELECTORALES </w:t>
            </w:r>
            <w:r w:rsidRPr="00284B9D">
              <w:rPr>
                <w:rFonts w:ascii="Verdana" w:hAnsi="Verdana" w:cs="Arial"/>
                <w:bCs/>
                <w:lang w:val="es-MX" w:eastAsia="es-ES_tradnl"/>
              </w:rPr>
              <w:t>‒</w:t>
            </w:r>
            <w:r w:rsidRPr="00284B9D">
              <w:rPr>
                <w:rFonts w:ascii="Verdana" w:hAnsi="Verdana" w:cs="Arial"/>
                <w:lang w:val="es-MX" w:eastAsia="es-ES_tradnl"/>
              </w:rPr>
              <w:t xml:space="preserve"> Finalidad / LEY DE GARANTÍAS ELECTORALES </w:t>
            </w:r>
            <w:r w:rsidRPr="00284B9D">
              <w:rPr>
                <w:rFonts w:ascii="Verdana" w:hAnsi="Verdana" w:cs="Arial"/>
                <w:bCs/>
                <w:lang w:val="es-MX" w:eastAsia="es-ES_tradnl"/>
              </w:rPr>
              <w:t>‒</w:t>
            </w:r>
            <w:r w:rsidRPr="00284B9D">
              <w:rPr>
                <w:rFonts w:ascii="Verdana" w:hAnsi="Verdana" w:cs="Arial"/>
                <w:lang w:val="es-MX" w:eastAsia="es-ES_tradnl"/>
              </w:rPr>
              <w:t xml:space="preserve"> </w:t>
            </w:r>
            <w:r>
              <w:rPr>
                <w:rFonts w:ascii="Verdana" w:hAnsi="Verdana" w:cs="Arial"/>
                <w:lang w:val="es-MX" w:eastAsia="es-ES_tradnl"/>
              </w:rPr>
              <w:t>Prohibición - Contratación directa</w:t>
            </w:r>
            <w:r w:rsidRPr="00284B9D">
              <w:rPr>
                <w:rFonts w:ascii="Verdana" w:hAnsi="Verdana" w:cs="Arial"/>
                <w:lang w:val="es-MX" w:eastAsia="es-ES_tradnl"/>
              </w:rPr>
              <w:t xml:space="preserve"> / </w:t>
            </w:r>
            <w:r w:rsidRPr="003F7B98">
              <w:rPr>
                <w:rFonts w:ascii="Verdana" w:eastAsia="Times New Roman" w:hAnsi="Verdana" w:cs="Arial"/>
                <w:lang w:eastAsia="es-ES_tradnl"/>
              </w:rPr>
              <w:t>LEY DE GARANTÍAS ELECTORALES ─ Prohibición ‒ Contratación directa ‒ Excepciones</w:t>
            </w:r>
            <w:r w:rsidRPr="00376467">
              <w:rPr>
                <w:rFonts w:ascii="Verdana" w:eastAsia="Times New Roman" w:hAnsi="Verdana" w:cs="Arial"/>
                <w:lang w:eastAsia="es-ES_tradnl"/>
              </w:rPr>
              <w:t xml:space="preserve"> </w:t>
            </w:r>
            <w:r>
              <w:rPr>
                <w:rFonts w:ascii="Verdana" w:eastAsia="Times New Roman" w:hAnsi="Verdana" w:cs="Arial"/>
                <w:lang w:eastAsia="es-ES_tradnl"/>
              </w:rPr>
              <w:t xml:space="preserve">/ </w:t>
            </w:r>
            <w:r w:rsidRPr="00376467">
              <w:rPr>
                <w:rFonts w:ascii="Verdana" w:eastAsia="Times New Roman" w:hAnsi="Verdana" w:cs="Arial"/>
                <w:lang w:eastAsia="es-ES_tradnl"/>
              </w:rPr>
              <w:t xml:space="preserve">DECRETO 092 DE 2017 – Finalidad – Clases de contratos / CONTRATACIÓN CON ESAL – Contrato de colaboración – Objeto – Alcance / </w:t>
            </w:r>
            <w:r>
              <w:rPr>
                <w:rFonts w:ascii="Verdana" w:eastAsia="Times New Roman" w:hAnsi="Verdana" w:cs="Arial"/>
                <w:lang w:eastAsia="es-ES_tradnl"/>
              </w:rPr>
              <w:t xml:space="preserve">DECRETO 092 DE 2017 – </w:t>
            </w:r>
            <w:r w:rsidRPr="00376467">
              <w:rPr>
                <w:rFonts w:ascii="Verdana" w:eastAsia="Times New Roman" w:hAnsi="Verdana" w:cs="Arial"/>
                <w:lang w:eastAsia="es-ES_tradnl"/>
              </w:rPr>
              <w:t>C</w:t>
            </w:r>
            <w:r>
              <w:rPr>
                <w:rFonts w:ascii="Verdana" w:eastAsia="Times New Roman" w:hAnsi="Verdana" w:cs="Arial"/>
                <w:lang w:eastAsia="es-ES_tradnl"/>
              </w:rPr>
              <w:t>onvenios de asociación / LEY DE GARANTÍAS ELECTORALES - Aplicación en contratos de colaboración y convenios de asociación</w:t>
            </w:r>
          </w:p>
          <w:p w14:paraId="3E8BDD17" w14:textId="77777777" w:rsidR="00C52988" w:rsidRPr="00E65C5F" w:rsidRDefault="00C52988" w:rsidP="00BE649A">
            <w:pPr>
              <w:spacing w:after="255"/>
              <w:contextualSpacing/>
              <w:jc w:val="both"/>
              <w:rPr>
                <w:rFonts w:ascii="Verdana" w:hAnsi="Verdana" w:cs="Arial"/>
                <w:color w:val="000000" w:themeColor="text1"/>
              </w:rPr>
            </w:pPr>
          </w:p>
        </w:tc>
      </w:tr>
      <w:tr w:rsidR="00C52988" w:rsidRPr="005644FE" w14:paraId="7E50C283" w14:textId="77777777" w:rsidTr="00BE649A">
        <w:tc>
          <w:tcPr>
            <w:tcW w:w="3119" w:type="dxa"/>
          </w:tcPr>
          <w:p w14:paraId="1B333CFF" w14:textId="77777777" w:rsidR="00C52988" w:rsidRPr="005644FE" w:rsidRDefault="00C52988" w:rsidP="00BE649A">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17B7B969" w14:textId="77777777" w:rsidR="00C52988" w:rsidRPr="00F04657" w:rsidRDefault="00C52988" w:rsidP="00BE649A">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6B2A88">
              <w:rPr>
                <w:rFonts w:ascii="Verdana" w:eastAsia="Calibri" w:hAnsi="Verdana" w:cs="Arial"/>
                <w:lang w:eastAsia="es-ES_tradnl"/>
              </w:rPr>
              <w:t>1_2026_01_29_001033</w:t>
            </w:r>
          </w:p>
        </w:tc>
      </w:tr>
    </w:tbl>
    <w:p w14:paraId="7B4325D4" w14:textId="77777777" w:rsidR="00C52988" w:rsidRPr="005644FE" w:rsidRDefault="00C52988" w:rsidP="00C52988">
      <w:pPr>
        <w:spacing w:after="0" w:line="276" w:lineRule="auto"/>
        <w:jc w:val="both"/>
        <w:rPr>
          <w:rFonts w:ascii="Verdana" w:eastAsia="Calibri" w:hAnsi="Verdana" w:cs="Arial"/>
          <w:lang w:eastAsia="es-ES_tradnl"/>
        </w:rPr>
      </w:pPr>
    </w:p>
    <w:p w14:paraId="5A0F3B29" w14:textId="77777777" w:rsidR="00C52988" w:rsidRPr="005644FE" w:rsidRDefault="00C52988" w:rsidP="00C52988">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Ortega: </w:t>
      </w:r>
    </w:p>
    <w:p w14:paraId="155D8B8F" w14:textId="77777777" w:rsidR="00C52988" w:rsidRPr="00E02524" w:rsidRDefault="00C52988" w:rsidP="00C52988">
      <w:pPr>
        <w:spacing w:after="0"/>
        <w:jc w:val="both"/>
        <w:rPr>
          <w:rFonts w:ascii="Verdana" w:hAnsi="Verdana"/>
          <w:lang w:val="es-MX"/>
        </w:rPr>
      </w:pPr>
    </w:p>
    <w:p w14:paraId="40BFA37F" w14:textId="77777777" w:rsidR="00C52988" w:rsidRDefault="00C52988" w:rsidP="00C52988">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responde su</w:t>
      </w:r>
      <w:r>
        <w:rPr>
          <w:rFonts w:ascii="Verdana" w:eastAsia="Calibri" w:hAnsi="Verdana" w:cs="Arial"/>
          <w:lang w:eastAsia="es-ES"/>
        </w:rPr>
        <w:t>s</w:t>
      </w:r>
      <w:r w:rsidRPr="005644FE">
        <w:rPr>
          <w:rFonts w:ascii="Verdana" w:eastAsia="Calibri" w:hAnsi="Verdana" w:cs="Arial"/>
          <w:lang w:eastAsia="es-ES"/>
        </w:rPr>
        <w:t xml:space="preserve"> solicitud</w:t>
      </w:r>
      <w:r>
        <w:rPr>
          <w:rFonts w:ascii="Verdana" w:eastAsia="Calibri" w:hAnsi="Verdana" w:cs="Arial"/>
          <w:lang w:eastAsia="es-ES"/>
        </w:rPr>
        <w:t>es</w:t>
      </w:r>
      <w:r w:rsidRPr="005644FE">
        <w:rPr>
          <w:rFonts w:ascii="Verdana" w:eastAsia="Calibri" w:hAnsi="Verdana" w:cs="Arial"/>
          <w:lang w:eastAsia="es-ES"/>
        </w:rPr>
        <w:t xml:space="preserve"> de consulta de fecha </w:t>
      </w:r>
      <w:r>
        <w:rPr>
          <w:rFonts w:ascii="Verdana" w:eastAsia="Calibri" w:hAnsi="Verdana" w:cs="Arial"/>
          <w:lang w:eastAsia="es-ES"/>
        </w:rPr>
        <w:t>29 de enero de 2026,</w:t>
      </w:r>
      <w:r w:rsidRPr="005644FE">
        <w:rPr>
          <w:rFonts w:ascii="Verdana" w:eastAsia="Calibri" w:hAnsi="Verdana" w:cs="Arial"/>
          <w:lang w:eastAsia="es-ES"/>
        </w:rPr>
        <w:t xml:space="preserve"> en la cual manifiesta lo siguiente:</w:t>
      </w:r>
    </w:p>
    <w:p w14:paraId="12F021F8" w14:textId="77777777" w:rsidR="00C52988" w:rsidRDefault="00C52988" w:rsidP="00C52988">
      <w:pPr>
        <w:spacing w:after="0"/>
        <w:jc w:val="both"/>
        <w:rPr>
          <w:rFonts w:ascii="Verdana" w:hAnsi="Verdana"/>
        </w:rPr>
      </w:pPr>
      <w:r w:rsidRPr="00E02524">
        <w:rPr>
          <w:rFonts w:ascii="Verdana" w:hAnsi="Verdana"/>
        </w:rPr>
        <w:lastRenderedPageBreak/>
        <w:t xml:space="preserve">PETICIÓN REALIZADA </w:t>
      </w:r>
    </w:p>
    <w:p w14:paraId="2153F0FA" w14:textId="77777777" w:rsidR="00C52988" w:rsidRPr="008E5B36" w:rsidRDefault="00C52988" w:rsidP="00C52988">
      <w:pPr>
        <w:spacing w:after="0" w:line="240" w:lineRule="auto"/>
        <w:jc w:val="both"/>
        <w:rPr>
          <w:rFonts w:ascii="Verdana" w:hAnsi="Verdana"/>
        </w:rPr>
      </w:pPr>
    </w:p>
    <w:p w14:paraId="2C505E0B" w14:textId="77777777" w:rsidR="00C52988" w:rsidRPr="00594153" w:rsidRDefault="00C52988" w:rsidP="00C52988">
      <w:pPr>
        <w:spacing w:after="0" w:line="240" w:lineRule="auto"/>
        <w:ind w:left="567" w:right="616"/>
        <w:jc w:val="both"/>
        <w:rPr>
          <w:rFonts w:ascii="Verdana" w:hAnsi="Verdana"/>
          <w:sz w:val="20"/>
          <w:szCs w:val="20"/>
        </w:rPr>
      </w:pPr>
      <w:r w:rsidRPr="00FC1BE4">
        <w:rPr>
          <w:rFonts w:ascii="Verdana" w:hAnsi="Verdana"/>
          <w:sz w:val="20"/>
          <w:szCs w:val="20"/>
        </w:rPr>
        <w:t xml:space="preserve">“(…) </w:t>
      </w:r>
      <w:r w:rsidRPr="006B2A88">
        <w:rPr>
          <w:rFonts w:ascii="Verdana" w:hAnsi="Verdana"/>
          <w:sz w:val="20"/>
          <w:szCs w:val="20"/>
        </w:rPr>
        <w:t xml:space="preserve">Atendiendo la </w:t>
      </w:r>
      <w:proofErr w:type="gramStart"/>
      <w:r w:rsidRPr="006B2A88">
        <w:rPr>
          <w:rFonts w:ascii="Verdana" w:hAnsi="Verdana"/>
          <w:sz w:val="20"/>
          <w:szCs w:val="20"/>
        </w:rPr>
        <w:t>entrada en vigencia</w:t>
      </w:r>
      <w:proofErr w:type="gramEnd"/>
      <w:r w:rsidRPr="006B2A88">
        <w:rPr>
          <w:rFonts w:ascii="Verdana" w:hAnsi="Verdana"/>
          <w:sz w:val="20"/>
          <w:szCs w:val="20"/>
        </w:rPr>
        <w:t xml:space="preserve"> de la ley de garantías con ocasión de las elecciones presidenciales 2026, asiste la duda y/o inquietud sobre la procedencia o no de la suscripción y/o celebración de convenios de asociación (Decreto 092 de 2017), teniendo en cuenta que la misma establece dos figuras o maneras de realizarlo, entre ellas, las de adelantar un proceso competitivo. </w:t>
      </w:r>
      <w:r w:rsidRPr="00FC1BE4">
        <w:rPr>
          <w:rFonts w:ascii="Verdana" w:hAnsi="Verdana"/>
          <w:sz w:val="20"/>
          <w:szCs w:val="20"/>
        </w:rPr>
        <w:t>(…)”.</w:t>
      </w:r>
    </w:p>
    <w:p w14:paraId="2234A0D1" w14:textId="77777777" w:rsidR="00C52988" w:rsidRPr="00763B14" w:rsidRDefault="00C52988" w:rsidP="00C52988">
      <w:pPr>
        <w:spacing w:after="0" w:line="240" w:lineRule="auto"/>
        <w:ind w:left="567" w:right="758"/>
        <w:jc w:val="both"/>
        <w:rPr>
          <w:rFonts w:ascii="Verdana" w:hAnsi="Verdana"/>
          <w:sz w:val="20"/>
          <w:szCs w:val="20"/>
        </w:rPr>
      </w:pPr>
    </w:p>
    <w:p w14:paraId="580A3D14" w14:textId="77777777" w:rsidR="00C52988" w:rsidRPr="00F64722" w:rsidRDefault="00C52988" w:rsidP="00C52988">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BD6093A" w14:textId="77777777" w:rsidR="00C52988" w:rsidRPr="00F64722" w:rsidRDefault="00C52988" w:rsidP="00C52988">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w:t>
      </w:r>
      <w:r>
        <w:rPr>
          <w:rFonts w:ascii="Verdana" w:eastAsia="Calibri" w:hAnsi="Verdana" w:cs="Arial"/>
          <w:color w:val="000000"/>
          <w:lang w:eastAsia="es-ES"/>
        </w:rPr>
        <w:t xml:space="preserve">l problema </w:t>
      </w:r>
      <w:r w:rsidRPr="00F64722">
        <w:rPr>
          <w:rFonts w:ascii="Verdana" w:eastAsia="Calibri" w:hAnsi="Verdana" w:cs="Arial"/>
          <w:color w:val="000000"/>
          <w:lang w:eastAsia="es-ES"/>
        </w:rPr>
        <w:t>jurídico de su consulta.</w:t>
      </w:r>
      <w:r w:rsidRPr="00F64722">
        <w:rPr>
          <w:rFonts w:ascii="Verdana" w:eastAsia="Calibri" w:hAnsi="Verdana" w:cs="Arial"/>
          <w:lang w:eastAsia="es-ES"/>
        </w:rPr>
        <w:t xml:space="preserve">  </w:t>
      </w:r>
    </w:p>
    <w:p w14:paraId="7D2CAB31" w14:textId="77777777" w:rsidR="00C52988" w:rsidRPr="00F64722" w:rsidRDefault="00C52988" w:rsidP="00C52988">
      <w:pPr>
        <w:spacing w:after="0" w:line="276" w:lineRule="auto"/>
        <w:ind w:firstLine="709"/>
        <w:jc w:val="both"/>
        <w:rPr>
          <w:rFonts w:ascii="Verdana" w:eastAsia="Calibri" w:hAnsi="Verdana" w:cs="Arial"/>
          <w:lang w:eastAsia="es-ES"/>
        </w:rPr>
      </w:pPr>
    </w:p>
    <w:p w14:paraId="35B06EB0" w14:textId="77777777" w:rsidR="00C52988" w:rsidRPr="00F64722" w:rsidRDefault="00C52988" w:rsidP="00C5298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722">
        <w:rPr>
          <w:rFonts w:ascii="Verdana" w:eastAsia="Century Gothic" w:hAnsi="Verdana" w:cs="Century Gothic"/>
          <w:b/>
          <w:bCs/>
        </w:rPr>
        <w:t>Problema planteado:</w:t>
      </w:r>
    </w:p>
    <w:p w14:paraId="4C932164" w14:textId="77777777" w:rsidR="00C52988" w:rsidRPr="00F64722" w:rsidRDefault="00C52988" w:rsidP="00C52988">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4374CFCC" w14:textId="77777777" w:rsidR="00C52988" w:rsidRPr="00FF007A" w:rsidRDefault="00C52988" w:rsidP="00C52988">
      <w:pPr>
        <w:spacing w:after="12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De acuerdo con el contenido de su solicitud, esta Agencia resolverá los siguientes problemas jurídicos</w:t>
      </w:r>
      <w:r w:rsidRPr="003F146D">
        <w:rPr>
          <w:rFonts w:ascii="Verdana" w:eastAsia="Calibri" w:hAnsi="Verdana" w:cs="Arial"/>
          <w:color w:val="000000"/>
          <w:lang w:eastAsia="es-ES"/>
        </w:rPr>
        <w:t xml:space="preserve">: </w:t>
      </w:r>
      <w:r w:rsidRPr="000D3A6E">
        <w:rPr>
          <w:rFonts w:ascii="Verdana" w:eastAsia="Calibri" w:hAnsi="Verdana" w:cs="Arial"/>
          <w:color w:val="000000"/>
          <w:lang w:eastAsia="es-ES"/>
        </w:rPr>
        <w:t xml:space="preserve">¿La aplicación de la Ley 996 de 2005 se extiende a los </w:t>
      </w:r>
      <w:r w:rsidRPr="000D3A6E">
        <w:rPr>
          <w:rFonts w:ascii="Verdana" w:eastAsia="Century Gothic" w:hAnsi="Verdana" w:cs="Century Gothic"/>
        </w:rPr>
        <w:t xml:space="preserve">contratos definidos en el 355 de la Constitución Política y </w:t>
      </w:r>
      <w:r>
        <w:rPr>
          <w:rFonts w:ascii="Verdana" w:eastAsia="Century Gothic" w:hAnsi="Verdana" w:cs="Century Gothic"/>
        </w:rPr>
        <w:t xml:space="preserve">a </w:t>
      </w:r>
      <w:r w:rsidRPr="000D3A6E">
        <w:rPr>
          <w:rFonts w:ascii="Verdana" w:eastAsia="Century Gothic" w:hAnsi="Verdana" w:cs="Century Gothic"/>
        </w:rPr>
        <w:t>los convenios de asociación del artículo 5 del Decreto 092 de 2017?</w:t>
      </w:r>
      <w:r>
        <w:rPr>
          <w:rFonts w:ascii="Verdana" w:eastAsia="Calibri" w:hAnsi="Verdana" w:cs="Arial"/>
          <w:color w:val="000000"/>
          <w:lang w:eastAsia="es-ES"/>
        </w:rPr>
        <w:t xml:space="preserve"> </w:t>
      </w:r>
    </w:p>
    <w:p w14:paraId="7354901C" w14:textId="77777777" w:rsidR="00C52988" w:rsidRDefault="00C52988" w:rsidP="00C52988">
      <w:pPr>
        <w:spacing w:after="120"/>
        <w:jc w:val="both"/>
        <w:rPr>
          <w:rFonts w:ascii="Verdana" w:eastAsia="Century Gothic" w:hAnsi="Verdana" w:cs="Century Gothic"/>
          <w:b/>
          <w:bCs/>
        </w:rPr>
      </w:pPr>
      <w:r w:rsidRPr="000B7077">
        <w:rPr>
          <w:rFonts w:ascii="Verdana" w:eastAsia="Century Gothic" w:hAnsi="Verdana" w:cs="Century Gothic"/>
          <w:b/>
          <w:bCs/>
        </w:rPr>
        <w:t>2. Respuesta:</w:t>
      </w:r>
    </w:p>
    <w:p w14:paraId="0E297B8F" w14:textId="77777777" w:rsidR="00C52988" w:rsidRPr="005644FE" w:rsidRDefault="00C52988" w:rsidP="00C52988">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C52988" w:rsidRPr="005644FE" w14:paraId="434E7591" w14:textId="77777777" w:rsidTr="00BE649A">
        <w:tc>
          <w:tcPr>
            <w:tcW w:w="8828" w:type="dxa"/>
          </w:tcPr>
          <w:p w14:paraId="6875DA50" w14:textId="77777777" w:rsidR="00C52988" w:rsidRDefault="00C52988" w:rsidP="00C52988">
            <w:pPr>
              <w:spacing w:after="120" w:line="276" w:lineRule="auto"/>
              <w:jc w:val="both"/>
              <w:rPr>
                <w:rFonts w:ascii="Verdana" w:eastAsia="Times New Roman" w:hAnsi="Verdana" w:cs="Arial"/>
                <w:lang w:eastAsia="x-none"/>
              </w:rPr>
            </w:pPr>
            <w:r>
              <w:rPr>
                <w:rFonts w:ascii="Verdana" w:eastAsia="Times New Roman" w:hAnsi="Verdana" w:cs="Arial"/>
                <w:bCs/>
                <w:lang w:eastAsia="es-CO"/>
              </w:rPr>
              <w:t>La</w:t>
            </w:r>
            <w:r w:rsidRPr="003E638E">
              <w:rPr>
                <w:rFonts w:ascii="Verdana" w:eastAsia="Times New Roman" w:hAnsi="Verdana" w:cs="Arial"/>
                <w:bCs/>
                <w:lang w:eastAsia="es-CO"/>
              </w:rPr>
              <w:t xml:space="preserve"> Ley 996 de 2005, conocida como </w:t>
            </w:r>
            <w:r>
              <w:rPr>
                <w:rFonts w:ascii="Verdana" w:eastAsia="Times New Roman" w:hAnsi="Verdana" w:cs="Arial"/>
                <w:bCs/>
                <w:lang w:eastAsia="es-CO"/>
              </w:rPr>
              <w:t>“</w:t>
            </w:r>
            <w:r w:rsidRPr="003E638E">
              <w:rPr>
                <w:rFonts w:ascii="Verdana" w:eastAsia="Times New Roman" w:hAnsi="Verdana" w:cs="Arial"/>
                <w:bCs/>
                <w:lang w:eastAsia="es-CO"/>
              </w:rPr>
              <w:t>Ley de Garantías Electorales</w:t>
            </w:r>
            <w:r>
              <w:rPr>
                <w:rFonts w:ascii="Verdana" w:eastAsia="Times New Roman" w:hAnsi="Verdana" w:cs="Arial"/>
                <w:bCs/>
                <w:lang w:eastAsia="es-CO"/>
              </w:rPr>
              <w:t xml:space="preserve"> </w:t>
            </w:r>
            <w:r w:rsidRPr="003E638E">
              <w:rPr>
                <w:rFonts w:ascii="Verdana" w:eastAsia="Times New Roman" w:hAnsi="Verdana" w:cs="Arial"/>
                <w:bCs/>
                <w:lang w:eastAsia="es-CO"/>
              </w:rPr>
              <w:t xml:space="preserve">introduce limitaciones para realizar nombramientos, postulaciones, contrataciones o </w:t>
            </w:r>
            <w:r w:rsidRPr="003E638E">
              <w:rPr>
                <w:rFonts w:ascii="Verdana" w:eastAsia="Times New Roman" w:hAnsi="Verdana" w:cs="Arial"/>
                <w:bCs/>
                <w:lang w:eastAsia="es-CO"/>
              </w:rPr>
              <w:lastRenderedPageBreak/>
              <w:t>cualquier otro tipo de actividad que implique destinación de recursos públicos bajo el devenir propio de las entidades estatales</w:t>
            </w:r>
            <w:r>
              <w:rPr>
                <w:rFonts w:ascii="Verdana" w:eastAsia="Times New Roman" w:hAnsi="Verdana" w:cs="Arial"/>
                <w:bCs/>
                <w:lang w:eastAsia="es-CO"/>
              </w:rPr>
              <w:t xml:space="preserve">. </w:t>
            </w:r>
            <w:r w:rsidRPr="003F4079">
              <w:rPr>
                <w:rFonts w:ascii="Verdana" w:eastAsia="Times New Roman" w:hAnsi="Verdana" w:cs="Arial"/>
                <w:lang w:val="es-MX" w:eastAsia="x-none"/>
              </w:rPr>
              <w:t xml:space="preserve">El ámbito material de la prohibición contenida en el artículo 33 de la Ley 996 de 2005 está delimitado por la expresión </w:t>
            </w:r>
            <w:r w:rsidRPr="00095A2F">
              <w:rPr>
                <w:rFonts w:ascii="Verdana" w:eastAsia="Calibri" w:hAnsi="Verdana" w:cs="Arial"/>
                <w:i/>
                <w:lang w:val="es-MX"/>
              </w:rPr>
              <w:t>“</w:t>
            </w:r>
            <w:r w:rsidRPr="00095A2F">
              <w:rPr>
                <w:rFonts w:ascii="Verdana" w:eastAsia="Times New Roman" w:hAnsi="Verdana" w:cs="Arial"/>
                <w:i/>
                <w:lang w:val="es-MX" w:eastAsia="x-none"/>
              </w:rPr>
              <w:t>queda prohibida la contratación directa</w:t>
            </w:r>
            <w:r w:rsidRPr="00095A2F">
              <w:rPr>
                <w:rFonts w:ascii="Verdana" w:eastAsia="Calibri" w:hAnsi="Verdana" w:cs="Arial"/>
                <w:i/>
                <w:lang w:val="es-MX"/>
              </w:rPr>
              <w:t>”,</w:t>
            </w:r>
            <w:r w:rsidRPr="003F4079">
              <w:rPr>
                <w:rFonts w:ascii="Verdana" w:eastAsia="Calibri" w:hAnsi="Verdana" w:cs="Arial"/>
                <w:lang w:val="es-MX"/>
              </w:rPr>
              <w:t xml:space="preserve"> </w:t>
            </w:r>
            <w:r>
              <w:rPr>
                <w:rFonts w:ascii="Verdana" w:eastAsia="Calibri" w:hAnsi="Verdana" w:cs="Arial"/>
                <w:lang w:val="es-MX"/>
              </w:rPr>
              <w:t>la cual</w:t>
            </w:r>
            <w:r w:rsidRPr="003F4079">
              <w:rPr>
                <w:rFonts w:ascii="Verdana" w:eastAsia="Calibri" w:hAnsi="Verdana" w:cs="Arial"/>
                <w:lang w:val="es-MX"/>
              </w:rPr>
              <w:t xml:space="preserve"> </w:t>
            </w:r>
            <w:r w:rsidRPr="003F4079">
              <w:rPr>
                <w:rFonts w:ascii="Verdana" w:eastAsia="Times New Roman" w:hAnsi="Verdana" w:cs="Arial"/>
                <w:lang w:eastAsia="x-none"/>
              </w:rPr>
              <w:t>se refiere a</w:t>
            </w:r>
            <w:r w:rsidRPr="00095A2F">
              <w:rPr>
                <w:rFonts w:ascii="Verdana" w:eastAsia="Times New Roman" w:hAnsi="Verdana" w:cs="Arial"/>
                <w:i/>
                <w:lang w:eastAsia="x-none"/>
              </w:rPr>
              <w:t xml:space="preserve"> </w:t>
            </w:r>
            <w:r w:rsidRPr="00095A2F">
              <w:rPr>
                <w:rFonts w:ascii="Verdana" w:eastAsia="Times New Roman" w:hAnsi="Verdana" w:cs="Arial"/>
                <w:i/>
                <w:lang w:eastAsia="en-GB"/>
              </w:rPr>
              <w:t>“</w:t>
            </w:r>
            <w:r w:rsidRPr="00095A2F">
              <w:rPr>
                <w:rFonts w:ascii="Verdana" w:eastAsia="Times New Roman" w:hAnsi="Verdana" w:cs="Arial"/>
                <w:i/>
                <w:lang w:eastAsia="x-none"/>
              </w:rPr>
              <w:t>cualquier sistema que no implique convocatoria pública y posibilidad de pluralidad de oferentes</w:t>
            </w:r>
            <w:r w:rsidRPr="00095A2F">
              <w:rPr>
                <w:rFonts w:ascii="Verdana" w:eastAsia="Times New Roman" w:hAnsi="Verdana" w:cs="Arial"/>
                <w:i/>
                <w:lang w:eastAsia="en-GB"/>
              </w:rPr>
              <w:t>”</w:t>
            </w:r>
            <w:r w:rsidRPr="003F4079">
              <w:rPr>
                <w:rFonts w:ascii="Verdana" w:eastAsia="Times New Roman" w:hAnsi="Verdana" w:cs="Arial"/>
                <w:lang w:eastAsia="x-none"/>
              </w:rPr>
              <w:t>, por lo que excluye las demás modalidades de contratación previstas en la Ley 1150 de 2007, es decir, la licitación pública, la selección abreviada y el concurso de méritos u otros previstos en normas especiales.</w:t>
            </w:r>
          </w:p>
          <w:p w14:paraId="0C452634" w14:textId="77777777" w:rsidR="00C52988" w:rsidRDefault="00C52988" w:rsidP="00C52988">
            <w:pPr>
              <w:spacing w:after="120" w:line="276" w:lineRule="auto"/>
              <w:ind w:firstLine="709"/>
              <w:jc w:val="both"/>
              <w:rPr>
                <w:rFonts w:ascii="Verdana" w:eastAsia="Calibri" w:hAnsi="Verdana" w:cs="Arial"/>
                <w:lang w:val="es-ES"/>
              </w:rPr>
            </w:pPr>
            <w:r>
              <w:rPr>
                <w:rFonts w:ascii="Verdana" w:eastAsia="Times New Roman" w:hAnsi="Verdana" w:cs="Arial"/>
                <w:lang w:val="es-MX" w:eastAsia="es-CO"/>
              </w:rPr>
              <w:t>Ahora bien, para dar respuesta al problema jurídico planteado, debe advertirse que e</w:t>
            </w:r>
            <w:r w:rsidRPr="00377ED6">
              <w:rPr>
                <w:rFonts w:ascii="Verdana" w:eastAsia="Calibri" w:hAnsi="Verdana" w:cs="Arial"/>
                <w:lang w:val="es-ES"/>
              </w:rPr>
              <w:t xml:space="preserv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p>
          <w:p w14:paraId="53D74506" w14:textId="77777777" w:rsidR="00C52988" w:rsidRDefault="00C52988" w:rsidP="00C52988">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Para celebrar el primer tipo de contratos, </w:t>
            </w:r>
            <w:r w:rsidRPr="00377ED6">
              <w:rPr>
                <w:rFonts w:ascii="Verdana" w:eastAsia="Calibri" w:hAnsi="Verdana" w:cs="Arial"/>
                <w:lang w:val="es-ES"/>
              </w:rPr>
              <w:t xml:space="preserve">según lo establece el artículo 3 del Decreto 092 de 2017, la entidad debe adelantar un proceso competitivo para seleccionar la entidad sin ánimo de lucro </w:t>
            </w:r>
            <w:r>
              <w:rPr>
                <w:rFonts w:ascii="Verdana" w:eastAsia="Calibri" w:hAnsi="Verdana" w:cs="Arial"/>
                <w:lang w:val="es-ES"/>
              </w:rPr>
              <w:t xml:space="preserve">que ejecutará el contrato. 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p w14:paraId="047FD080" w14:textId="77777777" w:rsidR="00C52988" w:rsidRDefault="00C52988" w:rsidP="00C52988">
            <w:pPr>
              <w:spacing w:after="120" w:line="276" w:lineRule="auto"/>
              <w:ind w:firstLine="709"/>
              <w:jc w:val="both"/>
              <w:rPr>
                <w:rFonts w:ascii="Verdana" w:eastAsia="Calibri" w:hAnsi="Verdana" w:cs="Arial"/>
                <w:lang w:val="es-ES"/>
              </w:rPr>
            </w:pPr>
            <w:r w:rsidRPr="697BF333">
              <w:rPr>
                <w:rFonts w:ascii="Verdana" w:eastAsia="Calibri" w:hAnsi="Verdana" w:cs="Arial"/>
                <w:lang w:val="es-ES"/>
              </w:rPr>
              <w:t xml:space="preserve">De otro lado, la celebración de los </w:t>
            </w:r>
            <w:r w:rsidRPr="697BF333">
              <w:rPr>
                <w:rFonts w:ascii="Verdana" w:eastAsia="Calibri" w:hAnsi="Verdana" w:cs="Arial"/>
                <w:i/>
                <w:lang w:val="es-ES"/>
              </w:rPr>
              <w:t xml:space="preserve">convenios de asociación </w:t>
            </w:r>
            <w:r w:rsidRPr="697BF333">
              <w:rPr>
                <w:rFonts w:ascii="Verdana" w:eastAsia="Calibri" w:hAnsi="Verdana" w:cs="Arial"/>
                <w:lang w:val="es-ES"/>
              </w:rPr>
              <w:t xml:space="preserve">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si entra dentro del ámbito de aplicación de la </w:t>
            </w:r>
            <w:r w:rsidRPr="697BF333">
              <w:rPr>
                <w:rFonts w:ascii="Verdana" w:eastAsia="Calibri" w:hAnsi="Verdana" w:cs="Arial"/>
                <w:lang w:val="es-ES"/>
              </w:rPr>
              <w:lastRenderedPageBreak/>
              <w:t xml:space="preserve">mencionada prohibición, de manera que no es posible su aplicación en vigencia de la restricción a la contratación directa.  </w:t>
            </w:r>
          </w:p>
          <w:p w14:paraId="366E5F65" w14:textId="77777777" w:rsidR="00C52988" w:rsidRPr="003E01E9" w:rsidRDefault="00C52988" w:rsidP="00C52988">
            <w:pPr>
              <w:spacing w:after="120" w:line="276" w:lineRule="auto"/>
              <w:jc w:val="both"/>
              <w:rPr>
                <w:rFonts w:ascii="Verdana" w:eastAsia="Times New Roman" w:hAnsi="Verdana" w:cs="Arial"/>
                <w:color w:val="000000" w:themeColor="text1"/>
                <w:lang w:val="es-ES" w:eastAsia="es-ES_tradnl"/>
              </w:rPr>
            </w:pPr>
            <w:r>
              <w:rPr>
                <w:rFonts w:ascii="Verdana" w:eastAsia="Times New Roman" w:hAnsi="Verdana" w:cs="Arial"/>
                <w:lang w:val="es-MX" w:eastAsia="x-none"/>
              </w:rPr>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t>manera taxativa en el inciso final del citado artículo 33 de la Ley 996 de 2005.</w:t>
            </w:r>
            <w:r>
              <w:rPr>
                <w:rFonts w:ascii="Verdana" w:eastAsia="Times New Roman" w:hAnsi="Verdana" w:cs="Arial"/>
                <w:lang w:val="es-MX" w:eastAsia="x-none"/>
              </w:rPr>
              <w:t xml:space="preserve"> Por lo tanto, será</w:t>
            </w:r>
            <w:r w:rsidRPr="00F02C5A">
              <w:rPr>
                <w:rFonts w:ascii="Verdana" w:eastAsia="Times New Roman" w:hAnsi="Verdana" w:cs="Arial"/>
                <w:lang w:val="es-MX" w:eastAsia="es-CO"/>
              </w:rPr>
              <w:t xml:space="preserve"> responsabilidad de</w:t>
            </w:r>
            <w:r>
              <w:rPr>
                <w:rFonts w:ascii="Verdana" w:eastAsia="Times New Roman" w:hAnsi="Verdana" w:cs="Arial"/>
                <w:lang w:val="es-MX" w:eastAsia="es-CO"/>
              </w:rPr>
              <w:t xml:space="preserve"> la entidad estatal</w:t>
            </w:r>
            <w:r w:rsidRPr="00F02C5A">
              <w:rPr>
                <w:rFonts w:ascii="Verdana" w:eastAsia="Times New Roman" w:hAnsi="Verdana" w:cs="Arial"/>
                <w:lang w:val="es-MX" w:eastAsia="es-CO"/>
              </w:rPr>
              <w:t>, examinar en cada caso la naturaleza de las actividades que adelanta y determinar si las mismas se enmarcan en alguna de las mencionadas excepciones</w:t>
            </w:r>
            <w:r>
              <w:rPr>
                <w:rFonts w:ascii="Verdana" w:eastAsia="Times New Roman" w:hAnsi="Verdana" w:cs="Arial"/>
                <w:lang w:val="es-MX" w:eastAsia="es-CO"/>
              </w:rPr>
              <w:t>.</w:t>
            </w:r>
          </w:p>
        </w:tc>
      </w:tr>
    </w:tbl>
    <w:p w14:paraId="34010748" w14:textId="77777777" w:rsidR="00C52988" w:rsidRDefault="00C52988" w:rsidP="00C52988">
      <w:pPr>
        <w:tabs>
          <w:tab w:val="left" w:pos="142"/>
          <w:tab w:val="left" w:pos="284"/>
        </w:tabs>
        <w:spacing w:after="0" w:line="276" w:lineRule="auto"/>
        <w:jc w:val="both"/>
        <w:rPr>
          <w:rFonts w:ascii="Verdana" w:eastAsia="Century Gothic" w:hAnsi="Verdana" w:cs="Century Gothic"/>
          <w:b/>
          <w:bCs/>
        </w:rPr>
      </w:pPr>
    </w:p>
    <w:p w14:paraId="26811333" w14:textId="77777777" w:rsidR="00C52988" w:rsidRPr="005644FE" w:rsidRDefault="00C52988" w:rsidP="00C52988">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40CA4E4A" w14:textId="77777777" w:rsidR="00C52988" w:rsidRPr="005644FE" w:rsidRDefault="00C52988" w:rsidP="00C52988">
      <w:pPr>
        <w:pStyle w:val="Prrafodelista"/>
        <w:tabs>
          <w:tab w:val="left" w:pos="142"/>
          <w:tab w:val="left" w:pos="284"/>
        </w:tabs>
        <w:spacing w:after="0" w:line="240" w:lineRule="auto"/>
        <w:ind w:left="0"/>
        <w:contextualSpacing w:val="0"/>
        <w:jc w:val="both"/>
        <w:rPr>
          <w:rFonts w:ascii="Verdana" w:eastAsia="Calibri" w:hAnsi="Verdana" w:cs="Arial"/>
        </w:rPr>
      </w:pPr>
    </w:p>
    <w:p w14:paraId="2C2A40A7" w14:textId="77777777" w:rsidR="00C52988" w:rsidRDefault="00C52988" w:rsidP="00C52988">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6BFF235A" w14:textId="77777777" w:rsidR="00C52988" w:rsidRDefault="00C52988" w:rsidP="00C52988">
      <w:pPr>
        <w:tabs>
          <w:tab w:val="left" w:pos="142"/>
          <w:tab w:val="left" w:pos="284"/>
          <w:tab w:val="left" w:pos="6975"/>
        </w:tabs>
        <w:spacing w:after="0" w:line="276" w:lineRule="auto"/>
        <w:jc w:val="both"/>
        <w:rPr>
          <w:rFonts w:ascii="Verdana" w:eastAsia="Calibri" w:hAnsi="Verdana" w:cs="Arial"/>
        </w:rPr>
      </w:pPr>
    </w:p>
    <w:p w14:paraId="35FC27FC" w14:textId="77777777" w:rsidR="00C52988" w:rsidRDefault="00C52988" w:rsidP="00C52988">
      <w:pPr>
        <w:tabs>
          <w:tab w:val="left" w:pos="426"/>
        </w:tabs>
        <w:spacing w:after="120" w:line="276" w:lineRule="auto"/>
        <w:jc w:val="both"/>
        <w:rPr>
          <w:rFonts w:ascii="Verdana" w:eastAsia="Calibri" w:hAnsi="Verdana" w:cs="Arial"/>
          <w:noProof/>
          <w:lang w:val="es-ES_tradnl"/>
        </w:rPr>
      </w:pPr>
      <w:r>
        <w:rPr>
          <w:rFonts w:ascii="Verdana" w:eastAsia="Times New Roman" w:hAnsi="Verdana" w:cs="Arial"/>
          <w:bCs/>
          <w:lang w:eastAsia="es-CO"/>
        </w:rPr>
        <w:t>La</w:t>
      </w:r>
      <w:r w:rsidRPr="003E638E">
        <w:rPr>
          <w:rFonts w:ascii="Verdana" w:eastAsia="Times New Roman" w:hAnsi="Verdana" w:cs="Arial"/>
          <w:bCs/>
          <w:lang w:eastAsia="es-CO"/>
        </w:rPr>
        <w:t xml:space="preserve"> Ley 996 de 2005, conocida como </w:t>
      </w:r>
      <w:r>
        <w:rPr>
          <w:rFonts w:ascii="Verdana" w:eastAsia="Times New Roman" w:hAnsi="Verdana" w:cs="Arial"/>
          <w:bCs/>
          <w:lang w:eastAsia="es-CO"/>
        </w:rPr>
        <w:t>“</w:t>
      </w:r>
      <w:r w:rsidRPr="003E638E">
        <w:rPr>
          <w:rFonts w:ascii="Verdana" w:eastAsia="Times New Roman" w:hAnsi="Verdana" w:cs="Arial"/>
          <w:bCs/>
          <w:lang w:eastAsia="es-CO"/>
        </w:rPr>
        <w:t>Ley de Garantías Electorales</w:t>
      </w:r>
      <w:r>
        <w:rPr>
          <w:rFonts w:ascii="Verdana" w:eastAsia="Times New Roman" w:hAnsi="Verdana" w:cs="Arial"/>
          <w:bCs/>
          <w:lang w:eastAsia="es-CO"/>
        </w:rPr>
        <w:t>”</w:t>
      </w:r>
      <w:r w:rsidRPr="003E638E">
        <w:rPr>
          <w:rFonts w:ascii="Verdana" w:eastAsia="Times New Roman" w:hAnsi="Verdana" w:cs="Arial"/>
          <w:bCs/>
          <w:lang w:eastAsia="es-CO"/>
        </w:rPr>
        <w:t xml:space="preserve">, </w:t>
      </w:r>
      <w:r>
        <w:rPr>
          <w:rFonts w:ascii="Verdana" w:eastAsia="Times New Roman" w:hAnsi="Verdana" w:cs="Arial"/>
          <w:bCs/>
          <w:lang w:eastAsia="es-CO"/>
        </w:rPr>
        <w:t xml:space="preserve">tiene como propósito </w:t>
      </w:r>
      <w:r w:rsidRPr="003E638E">
        <w:rPr>
          <w:rFonts w:ascii="Verdana" w:eastAsia="Times New Roman" w:hAnsi="Verdana" w:cs="Arial"/>
          <w:bCs/>
          <w:lang w:eastAsia="es-CO"/>
        </w:rPr>
        <w:t xml:space="preserve">evitar la injerencia inadecuada de intereses particulares en el ejercicio de la función pública. Esta ley </w:t>
      </w:r>
      <w:r>
        <w:rPr>
          <w:rFonts w:ascii="Verdana" w:eastAsia="Times New Roman" w:hAnsi="Verdana" w:cs="Arial"/>
          <w:bCs/>
          <w:lang w:eastAsia="es-CO"/>
        </w:rPr>
        <w:t>busca</w:t>
      </w:r>
      <w:r w:rsidRPr="003E638E">
        <w:rPr>
          <w:rFonts w:ascii="Verdana" w:eastAsia="Times New Roman" w:hAnsi="Verdana" w:cs="Arial"/>
          <w:bCs/>
          <w:lang w:eastAsia="es-CO"/>
        </w:rPr>
        <w:t xml:space="preserve"> evitar cualquier tipo de arbitrariedad, de ventaja injustificada, de uso irregular de los recursos del Estado en las campañas o falta de garantías en la elección presidencial</w:t>
      </w:r>
      <w:r w:rsidRPr="003E638E">
        <w:rPr>
          <w:rStyle w:val="Refdenotaalpie"/>
          <w:rFonts w:ascii="Verdana" w:eastAsia="Times New Roman" w:hAnsi="Verdana" w:cs="Arial"/>
          <w:bCs/>
          <w:lang w:eastAsia="es-CO"/>
        </w:rPr>
        <w:footnoteReference w:id="1"/>
      </w:r>
      <w:r w:rsidRPr="003E638E">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3E638E">
        <w:rPr>
          <w:rFonts w:ascii="Verdana" w:eastAsia="Calibri" w:hAnsi="Verdana" w:cs="Arial"/>
          <w:noProof/>
          <w:lang w:val="es-ES_tradnl"/>
        </w:rPr>
        <w:t xml:space="preserve"> </w:t>
      </w:r>
    </w:p>
    <w:p w14:paraId="2596C4CB" w14:textId="77777777" w:rsidR="00C52988" w:rsidRPr="003E638E" w:rsidRDefault="00C52988" w:rsidP="00C52988">
      <w:pPr>
        <w:tabs>
          <w:tab w:val="left" w:pos="426"/>
        </w:tabs>
        <w:spacing w:after="0" w:line="276" w:lineRule="auto"/>
        <w:ind w:firstLine="709"/>
        <w:jc w:val="both"/>
        <w:rPr>
          <w:rFonts w:ascii="Verdana" w:eastAsia="Times New Roman" w:hAnsi="Verdana" w:cs="Arial"/>
          <w:bCs/>
          <w:lang w:eastAsia="es-CO"/>
        </w:rPr>
      </w:pPr>
      <w:r w:rsidRPr="003E638E">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240855D9" w14:textId="77777777" w:rsidR="00C52988" w:rsidRPr="00990FC7" w:rsidRDefault="00C52988" w:rsidP="00C52988">
      <w:pPr>
        <w:spacing w:after="0" w:line="240" w:lineRule="auto"/>
        <w:ind w:right="709"/>
        <w:rPr>
          <w:rFonts w:ascii="Arial" w:eastAsia="Times New Roman" w:hAnsi="Arial" w:cs="Arial"/>
          <w:sz w:val="21"/>
          <w:szCs w:val="21"/>
          <w:lang w:val="es-ES" w:eastAsia="es-CO"/>
        </w:rPr>
      </w:pPr>
    </w:p>
    <w:p w14:paraId="6ED21EDA" w14:textId="77777777" w:rsidR="00C52988" w:rsidRPr="003E638E" w:rsidRDefault="00C52988" w:rsidP="00C52988">
      <w:pPr>
        <w:spacing w:after="0" w:line="240" w:lineRule="auto"/>
        <w:ind w:left="709" w:right="616"/>
        <w:jc w:val="both"/>
        <w:rPr>
          <w:rFonts w:ascii="Verdana" w:eastAsia="Times New Roman" w:hAnsi="Verdana" w:cs="Arial"/>
          <w:bCs/>
          <w:sz w:val="20"/>
          <w:szCs w:val="20"/>
          <w:lang w:eastAsia="es-CO"/>
        </w:rPr>
      </w:pPr>
      <w:r>
        <w:rPr>
          <w:rFonts w:ascii="Verdana" w:eastAsia="Times New Roman" w:hAnsi="Verdana" w:cs="Arial"/>
          <w:sz w:val="20"/>
          <w:szCs w:val="20"/>
          <w:lang w:val="es-ES" w:eastAsia="es-CO"/>
        </w:rPr>
        <w:t>“(…)</w:t>
      </w:r>
      <w:r>
        <w:rPr>
          <w:rFonts w:ascii="Verdana" w:eastAsia="Times New Roman" w:hAnsi="Verdana" w:cs="Arial"/>
          <w:bCs/>
          <w:sz w:val="20"/>
          <w:szCs w:val="20"/>
          <w:lang w:val="es-ES" w:eastAsia="es-CO"/>
        </w:rPr>
        <w:t xml:space="preserve"> </w:t>
      </w:r>
      <w:r w:rsidRPr="003E638E">
        <w:rPr>
          <w:rFonts w:ascii="Verdana" w:eastAsia="Times New Roman" w:hAnsi="Verdana" w:cs="Arial"/>
          <w:bCs/>
          <w:sz w:val="20"/>
          <w:szCs w:val="20"/>
          <w:lang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w:t>
      </w:r>
      <w:r w:rsidRPr="003E638E">
        <w:rPr>
          <w:rFonts w:ascii="Verdana" w:eastAsia="Times New Roman" w:hAnsi="Verdana" w:cs="Arial"/>
          <w:bCs/>
          <w:sz w:val="20"/>
          <w:szCs w:val="20"/>
          <w:lang w:eastAsia="es-CO"/>
        </w:rPr>
        <w:lastRenderedPageBreak/>
        <w:t>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w:t>
      </w:r>
      <w:r w:rsidRPr="003E638E">
        <w:rPr>
          <w:rFonts w:ascii="Verdana" w:eastAsia="Times New Roman" w:hAnsi="Verdana" w:cs="Arial"/>
          <w:bCs/>
          <w:sz w:val="20"/>
          <w:szCs w:val="20"/>
          <w:lang w:eastAsia="es-CO"/>
        </w:rPr>
        <w:t>.</w:t>
      </w:r>
      <w:r w:rsidRPr="003E638E">
        <w:rPr>
          <w:rStyle w:val="Refdenotaalpie"/>
          <w:rFonts w:ascii="Verdana" w:hAnsi="Verdana" w:cs="Arial"/>
          <w:sz w:val="20"/>
          <w:szCs w:val="20"/>
        </w:rPr>
        <w:footnoteReference w:id="2"/>
      </w:r>
    </w:p>
    <w:p w14:paraId="0DF673CE" w14:textId="77777777" w:rsidR="00C52988" w:rsidRPr="003E638E" w:rsidRDefault="00C52988" w:rsidP="00C52988">
      <w:pPr>
        <w:spacing w:after="0"/>
        <w:ind w:left="709" w:right="709"/>
        <w:jc w:val="both"/>
        <w:rPr>
          <w:rFonts w:ascii="Verdana" w:eastAsia="Times New Roman" w:hAnsi="Verdana" w:cs="Arial"/>
          <w:bCs/>
          <w:sz w:val="21"/>
          <w:szCs w:val="21"/>
          <w:lang w:eastAsia="es-CO"/>
        </w:rPr>
      </w:pPr>
    </w:p>
    <w:p w14:paraId="42C55ACF" w14:textId="77777777" w:rsidR="00C52988" w:rsidRPr="003E638E" w:rsidRDefault="00C52988" w:rsidP="00C52988">
      <w:pPr>
        <w:spacing w:after="0" w:line="276" w:lineRule="auto"/>
        <w:ind w:firstLine="709"/>
        <w:jc w:val="both"/>
        <w:rPr>
          <w:rFonts w:ascii="Verdana" w:eastAsia="Times New Roman" w:hAnsi="Verdana" w:cs="Arial"/>
          <w:bCs/>
          <w:lang w:eastAsia="es-CO"/>
        </w:rPr>
      </w:pPr>
      <w:bookmarkStart w:id="2" w:name="_Hlk78818186"/>
      <w:r w:rsidRPr="003E638E">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3E638E">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2839A126" w14:textId="77777777" w:rsidR="00C52988" w:rsidRPr="003E638E" w:rsidRDefault="00C52988" w:rsidP="00C52988">
      <w:pPr>
        <w:spacing w:after="0"/>
        <w:ind w:firstLine="709"/>
        <w:jc w:val="both"/>
        <w:rPr>
          <w:rFonts w:ascii="Verdana" w:eastAsia="Times New Roman" w:hAnsi="Verdana" w:cs="Arial"/>
          <w:bCs/>
          <w:lang w:eastAsia="es-CO"/>
        </w:rPr>
      </w:pPr>
    </w:p>
    <w:p w14:paraId="45E80280" w14:textId="77777777" w:rsidR="00C52988" w:rsidRDefault="00C52988" w:rsidP="00C52988">
      <w:pPr>
        <w:spacing w:after="12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 xml:space="preserve">“(…) </w:t>
      </w:r>
      <w:r w:rsidRPr="003E638E">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3E638E">
        <w:rPr>
          <w:rFonts w:ascii="Verdana" w:eastAsia="Times New Roman" w:hAnsi="Verdana" w:cs="Arial"/>
          <w:bCs/>
          <w:sz w:val="20"/>
          <w:szCs w:val="20"/>
          <w:lang w:eastAsia="es-CO"/>
        </w:rPr>
        <w:t>legis</w:t>
      </w:r>
      <w:proofErr w:type="spellEnd"/>
      <w:r w:rsidRPr="003E638E">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0F23C63" w14:textId="3542105A" w:rsidR="00C52988" w:rsidRPr="00C52988" w:rsidRDefault="00C52988" w:rsidP="00C52988">
      <w:pPr>
        <w:spacing w:after="120" w:line="240" w:lineRule="auto"/>
        <w:ind w:left="709" w:right="709"/>
        <w:jc w:val="both"/>
        <w:rPr>
          <w:rFonts w:ascii="Verdana" w:eastAsia="Times New Roman" w:hAnsi="Verdana" w:cs="Arial"/>
          <w:bCs/>
          <w:sz w:val="20"/>
          <w:szCs w:val="20"/>
          <w:lang w:eastAsia="es-CO"/>
        </w:rPr>
      </w:pPr>
      <w:r w:rsidRPr="003E638E">
        <w:rPr>
          <w:rFonts w:ascii="Verdana" w:eastAsia="Times New Roman" w:hAnsi="Verdana" w:cs="Arial"/>
          <w:bCs/>
          <w:sz w:val="20"/>
          <w:szCs w:val="20"/>
          <w:lang w:eastAsia="es-CO"/>
        </w:rPr>
        <w:t>La jurisprudencia de la Corte Constitucional</w:t>
      </w:r>
      <w:r w:rsidRPr="003E638E">
        <w:rPr>
          <w:rStyle w:val="Refdenotaalpie"/>
          <w:rFonts w:ascii="Verdana" w:eastAsia="Times New Roman" w:hAnsi="Verdana" w:cs="Arial"/>
          <w:bCs/>
          <w:sz w:val="20"/>
          <w:szCs w:val="20"/>
          <w:lang w:eastAsia="es-CO"/>
        </w:rPr>
        <w:footnoteReference w:id="3"/>
      </w:r>
      <w:r w:rsidRPr="003E638E">
        <w:rPr>
          <w:rFonts w:ascii="Verdana" w:eastAsia="Times New Roman" w:hAnsi="Verdana" w:cs="Arial"/>
          <w:bCs/>
          <w:sz w:val="20"/>
          <w:szCs w:val="20"/>
          <w:lang w:eastAsia="es-CO"/>
        </w:rPr>
        <w:t> y del Consejo de Estado</w:t>
      </w:r>
      <w:r w:rsidRPr="003E638E">
        <w:rPr>
          <w:rStyle w:val="Refdenotaalpie"/>
          <w:rFonts w:ascii="Verdana" w:eastAsia="Times New Roman" w:hAnsi="Verdana" w:cs="Arial"/>
          <w:bCs/>
          <w:sz w:val="20"/>
          <w:szCs w:val="20"/>
          <w:lang w:eastAsia="es-CO"/>
        </w:rPr>
        <w:footnoteReference w:id="4"/>
      </w:r>
      <w:r w:rsidRPr="003E638E">
        <w:rPr>
          <w:rFonts w:ascii="Verdana" w:eastAsia="Times New Roman" w:hAnsi="Verdana" w:cs="Arial"/>
          <w:bCs/>
          <w:sz w:val="20"/>
          <w:szCs w:val="20"/>
          <w:lang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3E638E">
        <w:rPr>
          <w:rFonts w:ascii="Verdana" w:eastAsia="Times New Roman" w:hAnsi="Verdana" w:cs="Arial"/>
          <w:bCs/>
          <w:sz w:val="20"/>
          <w:szCs w:val="20"/>
          <w:lang w:eastAsia="es-CO"/>
        </w:rPr>
        <w:lastRenderedPageBreak/>
        <w:t>o capacidad de obrar, sobrepasar sus precisos términos comporta el desconocimiento de la voluntad del legislador</w:t>
      </w:r>
      <w:r>
        <w:rPr>
          <w:rFonts w:ascii="Verdana" w:eastAsia="Times New Roman" w:hAnsi="Verdana" w:cs="Arial"/>
          <w:bCs/>
          <w:sz w:val="20"/>
          <w:szCs w:val="20"/>
          <w:lang w:eastAsia="es-CO"/>
        </w:rPr>
        <w:t>”</w:t>
      </w:r>
      <w:r w:rsidRPr="003E638E">
        <w:rPr>
          <w:rStyle w:val="Refdenotaalpie"/>
          <w:rFonts w:ascii="Verdana" w:eastAsia="Times New Roman" w:hAnsi="Verdana" w:cs="Arial"/>
          <w:bCs/>
          <w:sz w:val="20"/>
          <w:szCs w:val="20"/>
          <w:lang w:eastAsia="es-CO"/>
        </w:rPr>
        <w:footnoteReference w:id="5"/>
      </w:r>
      <w:r w:rsidRPr="003E638E">
        <w:rPr>
          <w:rFonts w:ascii="Verdana" w:eastAsia="Times New Roman" w:hAnsi="Verdana" w:cs="Arial"/>
          <w:bCs/>
          <w:sz w:val="20"/>
          <w:szCs w:val="20"/>
          <w:lang w:eastAsia="es-CO"/>
        </w:rPr>
        <w:t>.</w:t>
      </w:r>
    </w:p>
    <w:p w14:paraId="48039E45" w14:textId="77777777" w:rsidR="00C52988" w:rsidRPr="003E638E" w:rsidRDefault="00C52988" w:rsidP="00C52988">
      <w:pPr>
        <w:spacing w:after="120" w:line="276" w:lineRule="auto"/>
        <w:jc w:val="both"/>
        <w:rPr>
          <w:rFonts w:ascii="Verdana" w:eastAsia="Arial" w:hAnsi="Verdana" w:cs="Arial"/>
          <w:lang w:val="es-ES" w:eastAsia="es-ES" w:bidi="es-ES"/>
        </w:rPr>
      </w:pPr>
      <w:r w:rsidRPr="00990FC7">
        <w:rPr>
          <w:rFonts w:ascii="Arial" w:eastAsia="Times New Roman" w:hAnsi="Arial" w:cs="Arial"/>
          <w:bCs/>
          <w:lang w:eastAsia="es-CO"/>
        </w:rPr>
        <w:tab/>
      </w:r>
      <w:r w:rsidRPr="003E638E">
        <w:rPr>
          <w:rFonts w:ascii="Verdana" w:eastAsia="Times New Roman" w:hAnsi="Verdana" w:cs="Arial"/>
          <w:bCs/>
          <w:lang w:eastAsia="es-CO"/>
        </w:rPr>
        <w:t>De</w:t>
      </w:r>
      <w:r w:rsidRPr="003E638E">
        <w:rPr>
          <w:rFonts w:ascii="Verdana" w:eastAsia="Arial" w:hAnsi="Verdana" w:cs="Arial"/>
          <w:lang w:val="es-ES" w:eastAsia="es-ES" w:bidi="es-ES"/>
        </w:rPr>
        <w:t xml:space="preserve"> conformidad con lo anterior, </w:t>
      </w:r>
      <w:bookmarkStart w:id="3" w:name="_Hlk77236098"/>
      <w:r w:rsidRPr="003E638E">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4DDBA404" w14:textId="77777777" w:rsidR="00C52988" w:rsidRPr="003E638E" w:rsidRDefault="00C52988" w:rsidP="00C52988">
      <w:pPr>
        <w:spacing w:after="120" w:line="276" w:lineRule="auto"/>
        <w:ind w:firstLine="708"/>
        <w:jc w:val="both"/>
        <w:rPr>
          <w:rFonts w:ascii="Verdana" w:eastAsia="Calibri" w:hAnsi="Verdana" w:cs="Arial"/>
        </w:rPr>
      </w:pPr>
      <w:r>
        <w:rPr>
          <w:rFonts w:ascii="Verdana" w:eastAsia="Calibri" w:hAnsi="Verdana" w:cs="Arial"/>
        </w:rPr>
        <w:t xml:space="preserve">El </w:t>
      </w:r>
      <w:r w:rsidRPr="003E638E">
        <w:rPr>
          <w:rFonts w:ascii="Verdana" w:eastAsia="Calibri" w:hAnsi="Verdana" w:cs="Arial"/>
        </w:rPr>
        <w:t xml:space="preserve">artículo 33 de la Ley 996 de 2005 prohíbe </w:t>
      </w:r>
      <w:r>
        <w:rPr>
          <w:rFonts w:ascii="Verdana" w:eastAsia="Calibri" w:hAnsi="Verdana" w:cs="Arial"/>
          <w:bCs/>
        </w:rPr>
        <w:t>“(…)</w:t>
      </w:r>
      <w:r w:rsidRPr="003E638E">
        <w:rPr>
          <w:rFonts w:ascii="Verdana" w:eastAsia="Calibri" w:hAnsi="Verdana" w:cs="Arial"/>
          <w:bCs/>
        </w:rPr>
        <w:t xml:space="preserve"> </w:t>
      </w:r>
      <w:r w:rsidRPr="003E638E">
        <w:rPr>
          <w:rFonts w:ascii="Verdana" w:eastAsia="Calibri" w:hAnsi="Verdana" w:cs="Arial"/>
        </w:rPr>
        <w:t>la contratación directa por parte de todos los entes del Estado</w:t>
      </w:r>
      <w:r>
        <w:rPr>
          <w:rFonts w:ascii="Verdana" w:eastAsia="Calibri" w:hAnsi="Verdana" w:cs="Arial"/>
        </w:rPr>
        <w:t>”</w:t>
      </w:r>
      <w:r w:rsidRPr="003E638E">
        <w:rPr>
          <w:rFonts w:ascii="Verdana" w:eastAsia="Calibri" w:hAnsi="Verdana" w:cs="Arial"/>
        </w:rPr>
        <w:t xml:space="preserve"> durante los cuatro (4) meses anteriores a las elecciones presidenciales, salvo </w:t>
      </w:r>
      <w:r>
        <w:rPr>
          <w:rFonts w:ascii="Verdana" w:eastAsia="Calibri" w:hAnsi="Verdana" w:cs="Arial"/>
          <w:bCs/>
        </w:rPr>
        <w:t>“(…) l</w:t>
      </w:r>
      <w:r w:rsidRPr="003E638E">
        <w:rPr>
          <w:rFonts w:ascii="Verdana" w:eastAsia="Calibri" w:hAnsi="Verdana" w:cs="Arial"/>
        </w:rPr>
        <w:t>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rPr>
        <w:t>”</w:t>
      </w:r>
      <w:r w:rsidRPr="003E638E">
        <w:rPr>
          <w:rFonts w:ascii="Verdana" w:eastAsia="Calibri" w:hAnsi="Verdana" w:cs="Arial"/>
          <w:bCs/>
          <w:vertAlign w:val="superscript"/>
        </w:rPr>
        <w:footnoteReference w:id="6"/>
      </w:r>
      <w:r w:rsidRPr="003E638E">
        <w:rPr>
          <w:rFonts w:ascii="Verdana" w:eastAsia="Calibri" w:hAnsi="Verdana" w:cs="Arial"/>
        </w:rPr>
        <w:t>.</w:t>
      </w:r>
    </w:p>
    <w:p w14:paraId="7E301D51" w14:textId="77777777" w:rsidR="00C52988" w:rsidRPr="00F02C5A" w:rsidRDefault="00C52988" w:rsidP="00C52988">
      <w:pPr>
        <w:spacing w:after="0" w:line="276" w:lineRule="auto"/>
        <w:ind w:firstLine="708"/>
        <w:contextualSpacing/>
        <w:jc w:val="both"/>
        <w:rPr>
          <w:rFonts w:ascii="Verdana" w:eastAsia="Times New Roman" w:hAnsi="Verdana" w:cs="Arial"/>
          <w:lang w:val="es-MX" w:eastAsia="es-CO"/>
        </w:rPr>
      </w:pPr>
      <w:r w:rsidRPr="00F02C5A">
        <w:rPr>
          <w:rFonts w:ascii="Verdana" w:eastAsia="Times New Roman" w:hAnsi="Verdana" w:cs="Arial"/>
          <w:lang w:val="es-MX" w:eastAsia="x-none"/>
        </w:rPr>
        <w:t xml:space="preserve">El ámbito material de la prohibición contenida </w:t>
      </w:r>
      <w:bookmarkStart w:id="5" w:name="_Hlk75628761"/>
      <w:r w:rsidRPr="00F02C5A">
        <w:rPr>
          <w:rFonts w:ascii="Verdana" w:eastAsia="Times New Roman" w:hAnsi="Verdana" w:cs="Arial"/>
          <w:lang w:val="es-MX" w:eastAsia="x-none"/>
        </w:rPr>
        <w:t xml:space="preserve">en el artículo 33 de la Ley 996 de 2005 </w:t>
      </w:r>
      <w:bookmarkEnd w:id="5"/>
      <w:r w:rsidRPr="00F02C5A">
        <w:rPr>
          <w:rFonts w:ascii="Verdana" w:eastAsia="Times New Roman" w:hAnsi="Verdana" w:cs="Arial"/>
          <w:lang w:val="es-MX" w:eastAsia="x-none"/>
        </w:rPr>
        <w:t xml:space="preserve">está delimitado por la expresión </w:t>
      </w:r>
      <w:r w:rsidRPr="002817AD">
        <w:rPr>
          <w:rFonts w:ascii="Verdana" w:eastAsia="Calibri" w:hAnsi="Verdana" w:cs="Arial"/>
          <w:i/>
          <w:sz w:val="20"/>
          <w:szCs w:val="20"/>
          <w:lang w:val="es-MX"/>
        </w:rPr>
        <w:t>“</w:t>
      </w:r>
      <w:r w:rsidRPr="002817AD">
        <w:rPr>
          <w:rFonts w:ascii="Verdana" w:eastAsia="Times New Roman" w:hAnsi="Verdana" w:cs="Arial"/>
          <w:i/>
          <w:lang w:val="es-MX" w:eastAsia="x-none"/>
        </w:rPr>
        <w:t>queda prohibida la contratación directa</w:t>
      </w:r>
      <w:r w:rsidRPr="002817AD">
        <w:rPr>
          <w:rFonts w:ascii="Verdana" w:eastAsia="Calibri" w:hAnsi="Verdana" w:cs="Arial"/>
          <w:i/>
          <w:sz w:val="20"/>
          <w:szCs w:val="20"/>
          <w:lang w:val="es-MX"/>
        </w:rPr>
        <w:t>”</w:t>
      </w:r>
      <w:r w:rsidRPr="002817AD">
        <w:rPr>
          <w:rFonts w:ascii="Verdana" w:eastAsia="Times New Roman" w:hAnsi="Verdana" w:cs="Arial"/>
          <w:i/>
          <w:lang w:val="es-MX" w:eastAsia="x-none"/>
        </w:rPr>
        <w:t>.</w:t>
      </w:r>
      <w:r w:rsidRPr="002817AD">
        <w:rPr>
          <w:rFonts w:ascii="Verdana" w:eastAsia="Times New Roman" w:hAnsi="Verdana" w:cs="Arial"/>
          <w:i/>
          <w:lang w:val="es-MX" w:eastAsia="es-CO"/>
        </w:rPr>
        <w:t xml:space="preserve"> </w:t>
      </w:r>
      <w:r w:rsidRPr="00F02C5A">
        <w:rPr>
          <w:rFonts w:ascii="Verdana" w:eastAsia="Times New Roman" w:hAnsi="Verdana" w:cs="Arial"/>
          <w:lang w:val="es-MX" w:eastAsia="es-CO"/>
        </w:rPr>
        <w:t xml:space="preserve">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16E1B3E6" w14:textId="77777777" w:rsidR="00C52988" w:rsidRPr="00F02C5A" w:rsidRDefault="00C52988" w:rsidP="00F2015D">
      <w:pPr>
        <w:spacing w:after="0" w:line="240" w:lineRule="auto"/>
        <w:ind w:left="709" w:right="709"/>
        <w:contextualSpacing/>
        <w:jc w:val="both"/>
        <w:rPr>
          <w:rFonts w:ascii="Verdana" w:eastAsia="Calibri" w:hAnsi="Verdana" w:cs="Arial"/>
          <w:sz w:val="21"/>
          <w:szCs w:val="21"/>
          <w:lang w:val="es-MX"/>
        </w:rPr>
      </w:pPr>
    </w:p>
    <w:p w14:paraId="6BBF419D" w14:textId="77777777" w:rsidR="00C52988" w:rsidRPr="002817AD" w:rsidRDefault="00C52988" w:rsidP="00C52988">
      <w:pPr>
        <w:spacing w:after="0" w:line="240" w:lineRule="auto"/>
        <w:ind w:left="709" w:right="616"/>
        <w:contextualSpacing/>
        <w:jc w:val="both"/>
        <w:rPr>
          <w:rFonts w:ascii="Verdana" w:eastAsia="Calibri" w:hAnsi="Verdana" w:cs="Arial"/>
          <w:sz w:val="20"/>
          <w:szCs w:val="20"/>
          <w:lang w:val="es-MX"/>
        </w:rPr>
      </w:pPr>
      <w:r w:rsidRPr="002817AD">
        <w:rPr>
          <w:rFonts w:ascii="Verdana" w:eastAsia="Calibri" w:hAnsi="Verdana" w:cs="Arial"/>
          <w:sz w:val="20"/>
          <w:szCs w:val="20"/>
          <w:lang w:val="es-MX"/>
        </w:rPr>
        <w:t xml:space="preserve">“La contratación directa es un mecanismo de selección de carácter excepcional, en virtud del cual las entidades públicas pueden contratar mediante un trámite simplificado, ágil y expedito sin necesidad de realizar </w:t>
      </w:r>
      <w:r w:rsidRPr="002817AD">
        <w:rPr>
          <w:rFonts w:ascii="Verdana" w:eastAsia="Calibri" w:hAnsi="Verdana" w:cs="Arial"/>
          <w:sz w:val="20"/>
          <w:szCs w:val="20"/>
          <w:lang w:val="es-MX"/>
        </w:rPr>
        <w:lastRenderedPageBreak/>
        <w:t>previamente un proceso de licitación pública o concurso, únicamente en los casos en que expresa y taxativamente señale la ley (numeral 4, artículo 2, ley 1150 de 2007), y cumpliendo siempre los principios que rigen la contratación pública</w:t>
      </w:r>
      <w:r w:rsidRPr="002817AD">
        <w:rPr>
          <w:rFonts w:ascii="Verdana" w:eastAsia="Times New Roman" w:hAnsi="Verdana" w:cs="Arial"/>
          <w:sz w:val="20"/>
          <w:szCs w:val="20"/>
          <w:vertAlign w:val="superscript"/>
          <w:lang w:eastAsia="es-CO"/>
        </w:rPr>
        <w:footnoteReference w:id="7"/>
      </w:r>
      <w:r w:rsidRPr="002817AD">
        <w:rPr>
          <w:rFonts w:ascii="Verdana" w:eastAsia="Calibri" w:hAnsi="Verdana" w:cs="Arial"/>
          <w:sz w:val="20"/>
          <w:szCs w:val="20"/>
          <w:lang w:val="es-MX"/>
        </w:rPr>
        <w:t>.</w:t>
      </w:r>
    </w:p>
    <w:p w14:paraId="234513AE" w14:textId="77777777" w:rsidR="00C52988" w:rsidRPr="002817AD" w:rsidRDefault="00C52988" w:rsidP="00C52988">
      <w:pPr>
        <w:spacing w:after="0" w:line="240" w:lineRule="auto"/>
        <w:ind w:left="709" w:right="616"/>
        <w:contextualSpacing/>
        <w:jc w:val="both"/>
        <w:rPr>
          <w:rFonts w:ascii="Verdana" w:eastAsia="Calibri" w:hAnsi="Verdana" w:cs="Arial"/>
          <w:sz w:val="20"/>
          <w:szCs w:val="20"/>
          <w:lang w:val="es-MX"/>
        </w:rPr>
      </w:pPr>
    </w:p>
    <w:p w14:paraId="2C10C690" w14:textId="77777777" w:rsidR="00C52988" w:rsidRPr="002817AD" w:rsidRDefault="00C52988" w:rsidP="00C52988">
      <w:pPr>
        <w:spacing w:after="0" w:line="240" w:lineRule="auto"/>
        <w:ind w:left="708" w:right="616"/>
        <w:contextualSpacing/>
        <w:jc w:val="both"/>
        <w:rPr>
          <w:rFonts w:ascii="Verdana" w:eastAsia="Calibri" w:hAnsi="Verdana" w:cs="Arial"/>
          <w:sz w:val="20"/>
          <w:szCs w:val="20"/>
          <w:lang w:val="es-MX"/>
        </w:rPr>
      </w:pPr>
      <w:r w:rsidRPr="002817AD">
        <w:rPr>
          <w:rFonts w:ascii="Verdana" w:eastAsia="Calibri" w:hAnsi="Verdana" w:cs="Arial"/>
          <w:sz w:val="20"/>
          <w:szCs w:val="20"/>
          <w:lang w:val="es-MX"/>
        </w:rPr>
        <w:t xml:space="preserve">Esta Sala ha entendido </w:t>
      </w:r>
      <w:proofErr w:type="gramStart"/>
      <w:r w:rsidRPr="002817AD">
        <w:rPr>
          <w:rFonts w:ascii="Verdana" w:eastAsia="Calibri" w:hAnsi="Verdana" w:cs="Arial"/>
          <w:sz w:val="20"/>
          <w:szCs w:val="20"/>
          <w:lang w:val="es-MX"/>
        </w:rPr>
        <w:t>que</w:t>
      </w:r>
      <w:proofErr w:type="gramEnd"/>
      <w:r w:rsidRPr="002817AD">
        <w:rPr>
          <w:rFonts w:ascii="Verdana" w:eastAsia="Calibri" w:hAnsi="Verdana" w:cs="Arial"/>
          <w:sz w:val="20"/>
          <w:szCs w:val="20"/>
          <w:lang w:val="es-MX"/>
        </w:rPr>
        <w:t xml:space="preserve"> para los efectos de la ley de garantías, y dada su finalidad, el enunciado ´contratación directa´ es sinónimo </w:t>
      </w:r>
      <w:bookmarkStart w:id="6" w:name="_Hlk75741738"/>
      <w:r w:rsidRPr="002817AD">
        <w:rPr>
          <w:rFonts w:ascii="Verdana" w:eastAsia="Calibri" w:hAnsi="Verdana" w:cs="Arial"/>
          <w:sz w:val="20"/>
          <w:szCs w:val="20"/>
          <w:lang w:val="es-MX"/>
        </w:rPr>
        <w:t xml:space="preserve">de cualquier sistema que no implique convocatoria pública y posibilidad de pluralidad de oferentes, </w:t>
      </w:r>
      <w:bookmarkEnd w:id="6"/>
      <w:r w:rsidRPr="002817AD">
        <w:rPr>
          <w:rFonts w:ascii="Verdana" w:eastAsia="Calibri" w:hAnsi="Verdana" w:cs="Arial"/>
          <w:sz w:val="20"/>
          <w:szCs w:val="20"/>
          <w:lang w:val="es-MX"/>
        </w:rPr>
        <w:t>y que, además, no necesariamente hace referencia al procedimiento especial regulado por la ley de contratación estatal, sino a cualquier otro que prescinda de un proceso de licitación pública o concurso</w:t>
      </w:r>
      <w:r w:rsidRPr="002817AD">
        <w:rPr>
          <w:rFonts w:ascii="Verdana" w:eastAsia="Times New Roman" w:hAnsi="Verdana" w:cs="Arial"/>
          <w:sz w:val="20"/>
          <w:szCs w:val="20"/>
          <w:vertAlign w:val="superscript"/>
          <w:lang w:val="es-MX"/>
        </w:rPr>
        <w:footnoteReference w:id="8"/>
      </w:r>
      <w:r w:rsidRPr="002817AD">
        <w:rPr>
          <w:rFonts w:ascii="Verdana" w:eastAsia="Times New Roman" w:hAnsi="Verdana" w:cs="Arial"/>
          <w:sz w:val="20"/>
          <w:szCs w:val="20"/>
          <w:vertAlign w:val="superscript"/>
          <w:lang w:val="es-MX"/>
        </w:rPr>
        <w:t>.</w:t>
      </w:r>
      <w:r w:rsidRPr="002817AD">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2817AD">
        <w:rPr>
          <w:rFonts w:ascii="Verdana" w:eastAsia="Times New Roman" w:hAnsi="Verdana" w:cs="Arial"/>
          <w:sz w:val="20"/>
          <w:szCs w:val="20"/>
          <w:vertAlign w:val="superscript"/>
          <w:lang w:eastAsia="es-CO"/>
        </w:rPr>
        <w:footnoteReference w:id="9"/>
      </w:r>
      <w:r w:rsidRPr="002817AD">
        <w:rPr>
          <w:rFonts w:ascii="Verdana" w:eastAsia="Calibri" w:hAnsi="Verdana" w:cs="Arial"/>
          <w:sz w:val="20"/>
          <w:szCs w:val="20"/>
          <w:lang w:val="es-MX"/>
        </w:rPr>
        <w:t>”.</w:t>
      </w:r>
    </w:p>
    <w:p w14:paraId="1A9E5FAD" w14:textId="77777777" w:rsidR="00C52988" w:rsidRPr="00F02C5A" w:rsidRDefault="00C52988" w:rsidP="00C52988">
      <w:pPr>
        <w:shd w:val="clear" w:color="auto" w:fill="FFFFFF"/>
        <w:spacing w:after="0" w:line="276" w:lineRule="auto"/>
        <w:ind w:firstLine="709"/>
        <w:contextualSpacing/>
        <w:jc w:val="both"/>
        <w:rPr>
          <w:rFonts w:ascii="Verdana" w:eastAsia="Times New Roman" w:hAnsi="Verdana" w:cs="Arial"/>
          <w:lang w:eastAsia="x-none"/>
        </w:rPr>
      </w:pPr>
    </w:p>
    <w:p w14:paraId="48C92FC3" w14:textId="77777777" w:rsidR="00C52988" w:rsidRPr="00F02C5A" w:rsidRDefault="00C52988" w:rsidP="00C52988">
      <w:pPr>
        <w:spacing w:after="120" w:line="276" w:lineRule="auto"/>
        <w:ind w:firstLine="709"/>
        <w:jc w:val="both"/>
        <w:rPr>
          <w:rFonts w:ascii="Verdana" w:eastAsia="Times New Roman" w:hAnsi="Verdana" w:cs="Arial"/>
          <w:lang w:eastAsia="x-none"/>
        </w:rPr>
      </w:pPr>
      <w:bookmarkStart w:id="8"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8"/>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10"/>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11"/>
      </w:r>
      <w:r w:rsidRPr="00F02C5A">
        <w:rPr>
          <w:rFonts w:ascii="Verdana" w:eastAsia="Times New Roman" w:hAnsi="Verdana" w:cs="Arial"/>
          <w:lang w:eastAsia="x-none"/>
        </w:rPr>
        <w:t xml:space="preserve">. </w:t>
      </w:r>
    </w:p>
    <w:p w14:paraId="693A235B" w14:textId="77777777" w:rsidR="00C52988" w:rsidRPr="00F02C5A" w:rsidRDefault="00C52988" w:rsidP="00C52988">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xml:space="preserve">,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w:t>
      </w:r>
      <w:r w:rsidRPr="00F02C5A">
        <w:rPr>
          <w:rFonts w:ascii="Verdana" w:eastAsia="Times New Roman" w:hAnsi="Verdana" w:cs="Arial"/>
          <w:lang w:eastAsia="x-none"/>
        </w:rPr>
        <w:lastRenderedPageBreak/>
        <w:t>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12"/>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766B39E4" w14:textId="77777777" w:rsidR="00C52988" w:rsidRPr="00F02C5A" w:rsidRDefault="00C52988" w:rsidP="00C52988">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9" w:name="_Hlk75636073"/>
      <w:r w:rsidRPr="00F02C5A">
        <w:rPr>
          <w:rFonts w:ascii="Verdana" w:eastAsia="Times New Roman" w:hAnsi="Verdana"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9"/>
      <w:r w:rsidRPr="00F02C5A">
        <w:rPr>
          <w:rFonts w:ascii="Verdana" w:eastAsia="Times New Roman" w:hAnsi="Verdana" w:cs="Arial"/>
          <w:vertAlign w:val="superscript"/>
          <w:lang w:eastAsia="x-none"/>
        </w:rPr>
        <w:footnoteReference w:id="13"/>
      </w:r>
      <w:r w:rsidRPr="00F02C5A">
        <w:rPr>
          <w:rFonts w:ascii="Verdana" w:eastAsia="Times New Roman" w:hAnsi="Verdana" w:cs="Arial"/>
          <w:lang w:eastAsia="x-none"/>
        </w:rPr>
        <w:t xml:space="preserve">. </w:t>
      </w:r>
    </w:p>
    <w:p w14:paraId="0A98C5E2" w14:textId="77777777" w:rsidR="00C52988" w:rsidRPr="00F02C5A" w:rsidRDefault="00C52988" w:rsidP="00C52988">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21EC31DD" w14:textId="77777777" w:rsidR="00C52988" w:rsidRPr="00F02C5A" w:rsidRDefault="00C52988" w:rsidP="00C52988">
      <w:pPr>
        <w:spacing w:after="120" w:line="276" w:lineRule="auto"/>
        <w:ind w:firstLine="709"/>
        <w:jc w:val="both"/>
        <w:rPr>
          <w:rFonts w:ascii="Verdana" w:eastAsia="Times New Roman" w:hAnsi="Verdana" w:cs="Arial"/>
          <w:lang w:val="es-MX" w:eastAsia="x-none"/>
        </w:rPr>
      </w:pPr>
      <w:bookmarkStart w:id="10" w:name="_Hlk78818796"/>
      <w:r w:rsidRPr="00F02C5A">
        <w:rPr>
          <w:rFonts w:ascii="Verdana" w:eastAsia="Times New Roman" w:hAnsi="Verdana" w:cs="Arial"/>
          <w:lang w:val="es-MX" w:eastAsia="x-none"/>
        </w:rPr>
        <w:t xml:space="preserve"> Así las cosas, </w:t>
      </w:r>
      <w:bookmarkStart w:id="11"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14"/>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10"/>
    <w:p w14:paraId="7D41BF0D" w14:textId="77777777" w:rsidR="00C52988" w:rsidRPr="00F02C5A" w:rsidRDefault="00C52988" w:rsidP="00C52988">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lastRenderedPageBreak/>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E4B58C5" w14:textId="77777777" w:rsidR="00C52988" w:rsidRPr="00F02C5A" w:rsidRDefault="00C52988" w:rsidP="00C52988">
      <w:pPr>
        <w:spacing w:after="120" w:line="276" w:lineRule="auto"/>
        <w:ind w:firstLine="709"/>
        <w:jc w:val="both"/>
        <w:rPr>
          <w:rFonts w:ascii="Verdana" w:eastAsia="Times New Roman" w:hAnsi="Verdana" w:cs="Arial"/>
          <w:lang w:val="es-MX" w:eastAsia="x-none"/>
        </w:rPr>
      </w:pPr>
      <w:bookmarkStart w:id="12" w:name="_Hlk77237094"/>
      <w:bookmarkEnd w:id="11"/>
      <w:r w:rsidRPr="00F02C5A">
        <w:rPr>
          <w:rFonts w:ascii="Verdana" w:eastAsia="Times New Roman" w:hAnsi="Verdana" w:cs="Arial"/>
          <w:lang w:val="es-MX" w:eastAsia="es-CO"/>
        </w:rPr>
        <w:t xml:space="preserve">Como en otras oportunidades lo ha manifestado esta Agencia, las prórrogas, modificaciones o adiciones de los contratos suscritos antes de la </w:t>
      </w:r>
      <w:proofErr w:type="gramStart"/>
      <w:r w:rsidRPr="00F02C5A">
        <w:rPr>
          <w:rFonts w:ascii="Verdana" w:eastAsia="Times New Roman" w:hAnsi="Verdana" w:cs="Arial"/>
          <w:lang w:val="es-MX" w:eastAsia="es-CO"/>
        </w:rPr>
        <w:t>entrada en vigencia</w:t>
      </w:r>
      <w:proofErr w:type="gramEnd"/>
      <w:r w:rsidRPr="00F02C5A">
        <w:rPr>
          <w:rFonts w:ascii="Verdana" w:eastAsia="Times New Roman" w:hAnsi="Verdana" w:cs="Arial"/>
          <w:lang w:val="es-MX" w:eastAsia="es-CO"/>
        </w:rPr>
        <w:t xml:space="preserve"> de las prohibiciones anotadas, así como la cesión de </w:t>
      </w:r>
      <w:proofErr w:type="gramStart"/>
      <w:r w:rsidRPr="00F02C5A">
        <w:rPr>
          <w:rFonts w:ascii="Verdana" w:eastAsia="Times New Roman" w:hAnsi="Verdana" w:cs="Arial"/>
          <w:lang w:val="es-MX" w:eastAsia="es-CO"/>
        </w:rPr>
        <w:t>los mismos</w:t>
      </w:r>
      <w:proofErr w:type="gramEnd"/>
      <w:r w:rsidRPr="00F02C5A">
        <w:rPr>
          <w:rFonts w:ascii="Verdana" w:eastAsia="Times New Roman" w:hAnsi="Verdana" w:cs="Arial"/>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12"/>
    </w:p>
    <w:p w14:paraId="0B9971EF" w14:textId="77777777" w:rsidR="00C52988" w:rsidRPr="00F02C5A" w:rsidRDefault="00C52988" w:rsidP="00C52988">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 xml:space="preserve">De otro lado, </w:t>
      </w:r>
      <w:bookmarkStart w:id="13" w:name="_Hlk99577887"/>
      <w:bookmarkStart w:id="14" w:name="_Hlk100679762"/>
      <w:r w:rsidRPr="00F02C5A">
        <w:rPr>
          <w:rFonts w:ascii="Verdana" w:eastAsia="Times New Roman" w:hAnsi="Verdana" w:cs="Arial"/>
          <w:lang w:val="es-MX" w:eastAsia="x-none"/>
        </w:rPr>
        <w:t xml:space="preserve">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02C5A">
        <w:rPr>
          <w:rFonts w:ascii="Verdana" w:eastAsia="Times New Roman" w:hAnsi="Verdana" w:cs="Arial"/>
          <w:lang w:val="es-MX" w:eastAsia="x-none"/>
        </w:rPr>
        <w:t>ii</w:t>
      </w:r>
      <w:proofErr w:type="spellEnd"/>
      <w:r w:rsidRPr="00F02C5A">
        <w:rPr>
          <w:rFonts w:ascii="Verdana" w:eastAsia="Times New Roman" w:hAnsi="Verdana" w:cs="Arial"/>
          <w:lang w:val="es-MX" w:eastAsia="x-none"/>
        </w:rPr>
        <w:t xml:space="preserve">) los contratos de crédito público; </w:t>
      </w:r>
      <w:proofErr w:type="spellStart"/>
      <w:r w:rsidRPr="00F02C5A">
        <w:rPr>
          <w:rFonts w:ascii="Verdana" w:eastAsia="Times New Roman" w:hAnsi="Verdana" w:cs="Arial"/>
          <w:lang w:val="es-MX" w:eastAsia="x-none"/>
        </w:rPr>
        <w:t>iii</w:t>
      </w:r>
      <w:proofErr w:type="spellEnd"/>
      <w:r w:rsidRPr="00F02C5A">
        <w:rPr>
          <w:rFonts w:ascii="Verdana" w:eastAsia="Times New Roman" w:hAnsi="Verdana" w:cs="Arial"/>
          <w:lang w:val="es-MX" w:eastAsia="x-none"/>
        </w:rPr>
        <w:t xml:space="preserve">) los requeridos para cubrir las emergencias educativas, sanitarias y desastres; </w:t>
      </w:r>
      <w:proofErr w:type="spellStart"/>
      <w:r w:rsidRPr="00F02C5A">
        <w:rPr>
          <w:rFonts w:ascii="Verdana" w:eastAsia="Times New Roman" w:hAnsi="Verdana" w:cs="Arial"/>
          <w:lang w:val="es-MX" w:eastAsia="x-none"/>
        </w:rPr>
        <w:t>iv</w:t>
      </w:r>
      <w:proofErr w:type="spellEnd"/>
      <w:r w:rsidRPr="00F02C5A">
        <w:rPr>
          <w:rFonts w:ascii="Verdana" w:eastAsia="Times New Roman" w:hAnsi="Verdana" w:cs="Arial"/>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bookmarkEnd w:id="13"/>
    </w:p>
    <w:bookmarkEnd w:id="14"/>
    <w:p w14:paraId="18B494AD" w14:textId="77777777" w:rsidR="00C52988" w:rsidRDefault="00C52988" w:rsidP="00C52988">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val="es-MX" w:eastAsia="x-none"/>
        </w:rPr>
        <w:t>En esta labor es importante tener en cuenta, como lo anotó la Corte Constitucional, en Sentencia C-1153 de noviembre 11 de 2005</w:t>
      </w:r>
      <w:r w:rsidRPr="00F02C5A">
        <w:rPr>
          <w:rFonts w:ascii="Verdana" w:eastAsia="Calibri" w:hAnsi="Verdana" w:cs="Arial"/>
          <w:sz w:val="24"/>
          <w:lang w:val="es-MX"/>
        </w:rPr>
        <w:t>,</w:t>
      </w:r>
      <w:r w:rsidRPr="00F02C5A">
        <w:rPr>
          <w:rFonts w:ascii="Verdana" w:eastAsia="Times New Roman" w:hAnsi="Verdana" w:cs="Arial"/>
          <w:lang w:val="es-MX" w:eastAsia="x-none"/>
        </w:rPr>
        <w:t xml:space="preserve"> </w:t>
      </w:r>
      <w:bookmarkStart w:id="15" w:name="_Hlk74309042"/>
      <w:r w:rsidRPr="00F02C5A">
        <w:rPr>
          <w:rFonts w:ascii="Verdana" w:eastAsia="Times New Roman" w:hAnsi="Verdana" w:cs="Arial"/>
          <w:lang w:val="es-MX" w:eastAsia="x-none"/>
        </w:rPr>
        <w:t>que “</w:t>
      </w:r>
      <w:bookmarkEnd w:id="15"/>
      <w:r w:rsidRPr="00F02C5A">
        <w:rPr>
          <w:rFonts w:ascii="Verdana" w:eastAsia="Times New Roman" w:hAnsi="Verdana" w:cs="Arial"/>
          <w:lang w:val="es-MX" w:eastAsia="x-none"/>
        </w:rPr>
        <w:t xml:space="preserve">si bien la limitación garantiza la igualdad de condiciones, también es necesario que tal limitación que pretende la igualdad </w:t>
      </w:r>
      <w:bookmarkStart w:id="16" w:name="_Hlk75768308"/>
      <w:r w:rsidRPr="00F02C5A">
        <w:rPr>
          <w:rFonts w:ascii="Verdana" w:eastAsia="Times New Roman" w:hAnsi="Verdana" w:cs="Arial"/>
          <w:lang w:val="es-MX" w:eastAsia="x-none"/>
        </w:rPr>
        <w:t xml:space="preserve">no termine yendo en detrimento de intereses públicos, cuya garantía está en cabeza del ejecutivo, como son los inmersos en </w:t>
      </w:r>
      <w:r w:rsidRPr="00F02C5A">
        <w:rPr>
          <w:rFonts w:ascii="Verdana" w:eastAsia="Times New Roman" w:hAnsi="Verdana" w:cs="Arial"/>
          <w:lang w:val="es-MX" w:eastAsia="x-none"/>
        </w:rPr>
        <w:lastRenderedPageBreak/>
        <w:t>las excepciones para la prohibición de contratación”</w:t>
      </w:r>
      <w:r w:rsidRPr="00F02C5A">
        <w:rPr>
          <w:rFonts w:ascii="Verdana" w:eastAsia="Calibri" w:hAnsi="Verdana" w:cs="Arial"/>
          <w:vertAlign w:val="superscript"/>
          <w:lang w:val="es-MX"/>
        </w:rPr>
        <w:footnoteReference w:id="15"/>
      </w:r>
      <w:r w:rsidRPr="00F02C5A">
        <w:rPr>
          <w:rFonts w:ascii="Verdana" w:eastAsia="Times New Roman" w:hAnsi="Verdana" w:cs="Arial"/>
          <w:lang w:val="es-MX" w:eastAsia="x-none"/>
        </w:rPr>
        <w:t xml:space="preserve">.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F02C5A">
        <w:rPr>
          <w:rFonts w:ascii="Verdana" w:eastAsia="Times New Roman" w:hAnsi="Verdana" w:cs="Arial"/>
          <w:lang w:val="es-MX" w:eastAsia="es-CO"/>
        </w:rPr>
        <w:t>candidatos</w:t>
      </w:r>
      <w:r w:rsidRPr="00F02C5A">
        <w:rPr>
          <w:rFonts w:ascii="Verdana" w:eastAsia="Times New Roman" w:hAnsi="Verdana" w:cs="Arial"/>
          <w:lang w:val="es-MX" w:eastAsia="x-none"/>
        </w:rPr>
        <w:t xml:space="preserve"> como garantía electoral.</w:t>
      </w:r>
      <w:bookmarkEnd w:id="16"/>
    </w:p>
    <w:p w14:paraId="62B862D3" w14:textId="77777777" w:rsidR="00C52988" w:rsidRPr="0012093A" w:rsidRDefault="00C52988" w:rsidP="00C52988">
      <w:pPr>
        <w:spacing w:after="120" w:line="276" w:lineRule="auto"/>
        <w:ind w:firstLine="709"/>
        <w:jc w:val="both"/>
        <w:rPr>
          <w:rFonts w:ascii="Verdana" w:eastAsia="Times New Roman" w:hAnsi="Verdana" w:cs="Arial"/>
          <w:lang w:val="es-MX" w:eastAsia="x-none"/>
        </w:rPr>
      </w:pPr>
      <w:r>
        <w:rPr>
          <w:rFonts w:ascii="Verdana" w:eastAsia="Times New Roman" w:hAnsi="Verdana" w:cs="Arial"/>
          <w:bCs/>
          <w:lang w:eastAsia="es-CO"/>
        </w:rPr>
        <w:t xml:space="preserve">Ahora bien, para dar respuesta al problema jurídico planteado, </w:t>
      </w:r>
      <w:r w:rsidRPr="00A90DCC">
        <w:rPr>
          <w:rFonts w:ascii="Verdana" w:eastAsia="Times New Roman" w:hAnsi="Verdana" w:cs="Arial"/>
          <w:bCs/>
          <w:lang w:eastAsia="es-CO"/>
        </w:rPr>
        <w:t xml:space="preserve">es necesario poner en contexto los contratos del artículo 355 de la Constitución Política y los convenios de asociación </w:t>
      </w:r>
      <w:r w:rsidRPr="00A90DCC">
        <w:rPr>
          <w:rFonts w:ascii="Verdana" w:eastAsia="Calibri" w:hAnsi="Verdana" w:cs="Arial"/>
          <w:lang w:val="es-ES"/>
        </w:rPr>
        <w:t>del artículo 96 de la Ley 489 de 19</w:t>
      </w:r>
      <w:r w:rsidRPr="00377ED6">
        <w:rPr>
          <w:rFonts w:ascii="Verdana" w:eastAsia="Calibri" w:hAnsi="Verdana" w:cs="Arial"/>
          <w:lang w:val="es-ES"/>
        </w:rPr>
        <w:t>98</w:t>
      </w:r>
      <w:r>
        <w:rPr>
          <w:rFonts w:ascii="Verdana" w:eastAsia="Calibri" w:hAnsi="Verdana" w:cs="Arial"/>
          <w:lang w:val="es-ES"/>
        </w:rPr>
        <w:t>, con el fin de determinar si a este tipo de negocios jurídicos le es aplicable el artículo 33 de la Ley 996 de 2005.</w:t>
      </w:r>
      <w:r w:rsidRPr="00377ED6">
        <w:rPr>
          <w:rFonts w:ascii="Verdana" w:eastAsia="Calibri" w:hAnsi="Verdana" w:cs="Arial"/>
          <w:lang w:val="es-ES"/>
        </w:rPr>
        <w:t xml:space="preserve"> </w:t>
      </w:r>
    </w:p>
    <w:p w14:paraId="56B41869" w14:textId="77777777" w:rsidR="00C52988" w:rsidRPr="00377ED6" w:rsidRDefault="00C52988" w:rsidP="00C52988">
      <w:pPr>
        <w:spacing w:before="120" w:after="120" w:line="276" w:lineRule="auto"/>
        <w:ind w:firstLine="709"/>
        <w:jc w:val="both"/>
        <w:rPr>
          <w:rFonts w:ascii="Verdana" w:eastAsia="Calibri" w:hAnsi="Verdana" w:cs="Arial"/>
          <w:lang w:val="es-ES"/>
        </w:rPr>
      </w:pPr>
      <w:bookmarkStart w:id="17" w:name="_Hlk38819155"/>
      <w:r w:rsidRPr="00377ED6">
        <w:rPr>
          <w:rFonts w:ascii="Verdana" w:eastAsia="Calibri" w:hAnsi="Verdana" w:cs="Arial"/>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bookmarkEnd w:id="17"/>
    </w:p>
    <w:p w14:paraId="5619533A" w14:textId="77777777" w:rsidR="00C52988" w:rsidRDefault="00C52988" w:rsidP="00C52988">
      <w:pPr>
        <w:spacing w:before="120" w:after="120" w:line="276" w:lineRule="auto"/>
        <w:ind w:firstLine="709"/>
        <w:jc w:val="both"/>
        <w:rPr>
          <w:rFonts w:ascii="Verdana" w:eastAsia="Calibri" w:hAnsi="Verdana" w:cs="Arial"/>
          <w:lang w:val="es-ES"/>
        </w:rPr>
      </w:pPr>
      <w:bookmarkStart w:id="18" w:name="_Hlk95756032"/>
      <w:r w:rsidRPr="00377ED6">
        <w:rPr>
          <w:rFonts w:ascii="Verdana" w:eastAsia="Calibri" w:hAnsi="Verdana" w:cs="Arial"/>
          <w:lang w:val="es-ES"/>
        </w:rPr>
        <w:t xml:space="preserve">Los </w:t>
      </w:r>
      <w:r w:rsidRPr="00377ED6">
        <w:rPr>
          <w:rFonts w:ascii="Verdana" w:eastAsia="Calibri" w:hAnsi="Verdana" w:cs="Arial"/>
          <w:i/>
          <w:iCs/>
          <w:lang w:val="es-ES"/>
        </w:rPr>
        <w:t>contratos del artículo 355 de la Constitución Política</w:t>
      </w:r>
      <w:r w:rsidRPr="00377ED6">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249AC52B" w14:textId="77777777" w:rsidR="00C52988" w:rsidRDefault="00C52988" w:rsidP="00C52988">
      <w:pPr>
        <w:spacing w:before="120" w:after="120" w:line="276" w:lineRule="auto"/>
        <w:ind w:firstLine="709"/>
        <w:jc w:val="both"/>
        <w:rPr>
          <w:rFonts w:ascii="Verdana" w:eastAsia="Calibri" w:hAnsi="Verdana" w:cs="Arial"/>
          <w:lang w:val="es-ES"/>
        </w:rPr>
      </w:pPr>
      <w:r w:rsidRPr="00377ED6">
        <w:rPr>
          <w:rFonts w:ascii="Verdana" w:eastAsia="Calibri" w:hAnsi="Verdana" w:cs="Arial"/>
          <w:lang w:val="es-ES"/>
        </w:rPr>
        <w:t xml:space="preserve">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que no haya una contraprestación directa a favor de la entidad estatal, es decir, que el programa </w:t>
      </w:r>
      <w:r w:rsidRPr="00377ED6">
        <w:rPr>
          <w:rFonts w:ascii="Verdana" w:eastAsia="Calibri" w:hAnsi="Verdana" w:cs="Arial"/>
          <w:lang w:val="es-ES"/>
        </w:rPr>
        <w:lastRenderedPageBreak/>
        <w:t>o actividad a desarrollar este dirigida al beneficio de la población en general, ya que cuando se adquieren bienes o servicios o se ejecutan obras en una relación 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p w14:paraId="608AC814" w14:textId="77777777" w:rsidR="00C52988" w:rsidRDefault="00C52988" w:rsidP="00C52988">
      <w:pPr>
        <w:spacing w:before="120" w:line="276" w:lineRule="auto"/>
        <w:ind w:firstLine="708"/>
        <w:jc w:val="both"/>
        <w:rPr>
          <w:rFonts w:ascii="Verdana" w:eastAsia="Calibri" w:hAnsi="Verdana" w:cs="Arial"/>
          <w:lang w:val="es-ES"/>
        </w:rPr>
      </w:pPr>
      <w:r w:rsidRPr="5F8BC1B5">
        <w:rPr>
          <w:rFonts w:ascii="Verdana" w:eastAsia="Calibri" w:hAnsi="Verdana" w:cs="Arial"/>
          <w:lang w:val="es-ES"/>
        </w:rPr>
        <w:t xml:space="preserve">Ahora bien, por disposición del artículo 4 del Decreto </w:t>
      </w:r>
      <w:r>
        <w:rPr>
          <w:rFonts w:ascii="Verdana" w:eastAsia="Calibri" w:hAnsi="Verdana" w:cs="Arial"/>
          <w:lang w:val="es-ES"/>
        </w:rPr>
        <w:t>0</w:t>
      </w:r>
      <w:r w:rsidRPr="5F8BC1B5">
        <w:rPr>
          <w:rFonts w:ascii="Verdana" w:eastAsia="Calibri" w:hAnsi="Verdana" w:cs="Arial"/>
          <w:lang w:val="es-ES"/>
        </w:rPr>
        <w:t>92 de 2017, las entidades estatales deberán adelantar procesos competitivos cuando en el marco de planeación se evidencie que el programa o actividad que se requiere desarrollar es ofrecido por más de una ESAL.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w:t>
      </w:r>
      <w:proofErr w:type="spellStart"/>
      <w:r w:rsidRPr="5F8BC1B5">
        <w:rPr>
          <w:rFonts w:ascii="Verdana" w:eastAsia="Calibri" w:hAnsi="Verdana" w:cs="Arial"/>
          <w:lang w:val="es-ES"/>
        </w:rPr>
        <w:t>ii</w:t>
      </w:r>
      <w:proofErr w:type="spellEnd"/>
      <w:r w:rsidRPr="5F8BC1B5">
        <w:rPr>
          <w:rFonts w:ascii="Verdana" w:eastAsia="Calibri" w:hAnsi="Verdana" w:cs="Arial"/>
          <w:lang w:val="es-ES"/>
        </w:rPr>
        <w:t>) definición de un plazo razonable para que las entidades privadas sin ánimo de lucro de reconocida idoneidad presenten a la Entidad Estatal sus ofertas y los documentos que acrediten su idoneidad, y (</w:t>
      </w:r>
      <w:proofErr w:type="spellStart"/>
      <w:r w:rsidRPr="5F8BC1B5">
        <w:rPr>
          <w:rFonts w:ascii="Verdana" w:eastAsia="Calibri" w:hAnsi="Verdana" w:cs="Arial"/>
          <w:lang w:val="es-ES"/>
        </w:rPr>
        <w:t>iii</w:t>
      </w:r>
      <w:proofErr w:type="spellEnd"/>
      <w:r w:rsidRPr="5F8BC1B5">
        <w:rPr>
          <w:rFonts w:ascii="Verdana" w:eastAsia="Calibri" w:hAnsi="Verdana" w:cs="Arial"/>
          <w:lang w:val="es-ES"/>
        </w:rPr>
        <w:t xml:space="preserve">) evaluación de las ofertas por parte de la Entidad Estatal teniendo en cuenta los criterios definidos para el efecto. </w:t>
      </w:r>
    </w:p>
    <w:p w14:paraId="472A8FB7" w14:textId="77777777" w:rsidR="00C52988" w:rsidRDefault="00C52988" w:rsidP="00C52988">
      <w:pPr>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De acuerdo con lo anterior, la celebración de los contratos que se refiere el artículo 355 superior, regidos por los artículos 2, 3 y 4 del Decreto 092 de 2017, no se afecta por la restricción del artículo 33 de la Ley 996 de 2005, en la medida en que su suscripción debe darse previo desarrollo de proceso competitivo.  </w:t>
      </w:r>
    </w:p>
    <w:bookmarkEnd w:id="18"/>
    <w:p w14:paraId="46D84143" w14:textId="77777777" w:rsidR="00C52988" w:rsidRPr="00377ED6" w:rsidRDefault="00C52988" w:rsidP="00C52988">
      <w:pPr>
        <w:spacing w:after="120" w:line="276" w:lineRule="auto"/>
        <w:ind w:firstLine="709"/>
        <w:jc w:val="both"/>
        <w:rPr>
          <w:rFonts w:ascii="Verdana" w:eastAsia="Calibri" w:hAnsi="Verdana" w:cs="Arial"/>
          <w:bCs/>
          <w:lang w:val="es-ES_tradnl"/>
        </w:rPr>
      </w:pPr>
      <w:r w:rsidRPr="00377ED6">
        <w:rPr>
          <w:rFonts w:ascii="Verdana" w:eastAsia="Calibri" w:hAnsi="Verdana" w:cs="Arial"/>
          <w:bCs/>
          <w:lang w:val="es-ES_tradnl"/>
        </w:rPr>
        <w:t xml:space="preserve">De otro lado, </w:t>
      </w:r>
      <w:r>
        <w:rPr>
          <w:rFonts w:ascii="Verdana" w:eastAsia="Calibri" w:hAnsi="Verdana" w:cs="Arial"/>
          <w:bCs/>
          <w:lang w:val="es-ES_tradnl"/>
        </w:rPr>
        <w:t xml:space="preserve">la celebración de </w:t>
      </w:r>
      <w:r w:rsidRPr="00377ED6">
        <w:rPr>
          <w:rFonts w:ascii="Verdana" w:eastAsia="Calibri" w:hAnsi="Verdana" w:cs="Arial"/>
          <w:bCs/>
          <w:lang w:val="es-ES_tradnl"/>
        </w:rPr>
        <w:t xml:space="preserve">los </w:t>
      </w:r>
      <w:r w:rsidRPr="00377ED6">
        <w:rPr>
          <w:rFonts w:ascii="Verdana" w:eastAsia="Calibri" w:hAnsi="Verdana" w:cs="Arial"/>
          <w:bCs/>
          <w:i/>
          <w:lang w:val="es-ES_tradnl"/>
        </w:rPr>
        <w:t>convenios de asociación</w:t>
      </w:r>
      <w:r w:rsidRPr="00377ED6">
        <w:rPr>
          <w:rFonts w:ascii="Verdana" w:eastAsia="Calibri" w:hAnsi="Verdana" w:cs="Arial"/>
          <w:bCs/>
          <w:lang w:val="es-ES_tradnl"/>
        </w:rPr>
        <w:t xml:space="preserve"> “[t]</w:t>
      </w:r>
      <w:proofErr w:type="spellStart"/>
      <w:r w:rsidRPr="00377ED6">
        <w:rPr>
          <w:rFonts w:ascii="Verdana" w:eastAsia="Calibri" w:hAnsi="Verdana" w:cs="Arial"/>
          <w:bCs/>
          <w:lang w:val="es-ES_tradnl"/>
        </w:rPr>
        <w:t>ienen</w:t>
      </w:r>
      <w:proofErr w:type="spellEnd"/>
      <w:r w:rsidRPr="00377ED6">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77ED6">
        <w:rPr>
          <w:rFonts w:ascii="Verdana" w:hAnsi="Verdana" w:cs="Arial"/>
          <w:vertAlign w:val="superscript"/>
        </w:rPr>
        <w:footnoteReference w:id="16"/>
      </w:r>
      <w:r w:rsidRPr="00377ED6">
        <w:rPr>
          <w:rFonts w:ascii="Verdana" w:eastAsia="Calibri" w:hAnsi="Verdana" w:cs="Arial"/>
          <w:bCs/>
          <w:lang w:val="es-ES_tradnl"/>
        </w:rPr>
        <w:t xml:space="preserve">. En estos convenios existen aportes dirigidos, especialmente, a lograr la ejecución del convenio. De todos modos, la entidad deberá adelantar un proceso competitivo, </w:t>
      </w:r>
      <w:r w:rsidRPr="00B47839">
        <w:rPr>
          <w:rFonts w:ascii="Verdana" w:eastAsia="Calibri" w:hAnsi="Verdana" w:cs="Arial"/>
          <w:bCs/>
          <w:lang w:val="es-ES_tradnl"/>
        </w:rPr>
        <w:t>salvo cuando la ESAL comprometa recursos en dinero para la ejecución de estas actividades, en una proporción no inferior al 30% del valor total del convenio.</w:t>
      </w:r>
      <w:r>
        <w:rPr>
          <w:rFonts w:ascii="Verdana" w:eastAsia="Calibri" w:hAnsi="Verdana" w:cs="Arial"/>
          <w:bCs/>
          <w:lang w:val="es-ES_tradnl"/>
        </w:rPr>
        <w:t xml:space="preserve"> </w:t>
      </w:r>
      <w:r w:rsidRPr="00377ED6">
        <w:rPr>
          <w:rFonts w:ascii="Verdana" w:eastAsia="Calibri" w:hAnsi="Verdana" w:cs="Arial"/>
          <w:bCs/>
          <w:lang w:val="es-ES_tradnl"/>
        </w:rPr>
        <w:t xml:space="preserve">El convenio de asociación no es conmutativo, </w:t>
      </w:r>
      <w:proofErr w:type="gramStart"/>
      <w:r w:rsidRPr="00377ED6">
        <w:rPr>
          <w:rFonts w:ascii="Verdana" w:eastAsia="Calibri" w:hAnsi="Verdana" w:cs="Arial"/>
          <w:bCs/>
          <w:lang w:val="es-ES_tradnl"/>
        </w:rPr>
        <w:t>y</w:t>
      </w:r>
      <w:proofErr w:type="gramEnd"/>
      <w:r w:rsidRPr="00377ED6">
        <w:rPr>
          <w:rFonts w:ascii="Verdana" w:eastAsia="Calibri" w:hAnsi="Verdana" w:cs="Arial"/>
          <w:bCs/>
          <w:lang w:val="es-ES_tradnl"/>
        </w:rPr>
        <w:t xml:space="preserve"> por </w:t>
      </w:r>
      <w:r>
        <w:rPr>
          <w:rFonts w:ascii="Verdana" w:eastAsia="Calibri" w:hAnsi="Verdana" w:cs="Arial"/>
          <w:bCs/>
          <w:lang w:val="es-ES_tradnl"/>
        </w:rPr>
        <w:t xml:space="preserve">lo </w:t>
      </w:r>
      <w:r w:rsidRPr="00377ED6">
        <w:rPr>
          <w:rFonts w:ascii="Verdana" w:eastAsia="Calibri" w:hAnsi="Verdana" w:cs="Arial"/>
          <w:bCs/>
          <w:lang w:val="es-ES_tradnl"/>
        </w:rPr>
        <w:t xml:space="preserve">tanto, la entidad no instruye al contratista </w:t>
      </w:r>
      <w:r w:rsidRPr="00377ED6">
        <w:rPr>
          <w:rFonts w:ascii="Verdana" w:eastAsia="Calibri" w:hAnsi="Verdana" w:cs="Arial"/>
          <w:bCs/>
          <w:lang w:val="es-ES_tradnl"/>
        </w:rPr>
        <w:lastRenderedPageBreak/>
        <w:t>para desarrollar los programas o actividades previstas, sino que se asocia con él para el cumplimiento de objetivos comunes</w:t>
      </w:r>
      <w:r w:rsidRPr="00377ED6">
        <w:rPr>
          <w:rFonts w:ascii="Verdana" w:hAnsi="Verdana" w:cs="Arial"/>
          <w:vertAlign w:val="superscript"/>
        </w:rPr>
        <w:footnoteReference w:id="17"/>
      </w:r>
      <w:r w:rsidRPr="00377ED6">
        <w:rPr>
          <w:rFonts w:ascii="Verdana" w:eastAsia="Calibri" w:hAnsi="Verdana" w:cs="Arial"/>
          <w:bCs/>
          <w:lang w:val="es-ES_tradnl"/>
        </w:rPr>
        <w:t>.</w:t>
      </w:r>
    </w:p>
    <w:p w14:paraId="714C82C0" w14:textId="77777777" w:rsidR="00C52988" w:rsidRPr="00377ED6" w:rsidRDefault="00C52988" w:rsidP="00C52988">
      <w:pPr>
        <w:spacing w:after="120" w:line="276" w:lineRule="auto"/>
        <w:ind w:firstLine="709"/>
        <w:jc w:val="both"/>
        <w:rPr>
          <w:rFonts w:ascii="Verdana" w:eastAsia="Calibri" w:hAnsi="Verdana" w:cs="Arial"/>
          <w:bCs/>
        </w:rPr>
      </w:pPr>
      <w:r w:rsidRPr="00377ED6">
        <w:rPr>
          <w:rFonts w:ascii="Verdana" w:eastAsia="Calibri" w:hAnsi="Verdana" w:cs="Arial"/>
          <w:bCs/>
          <w:lang w:val="es-ES_tradnl"/>
        </w:rPr>
        <w:t>La normativa vigente no impide que varias entidades suscriban conjuntamente el convenio de asociación y tampoco que dos o más ESAL pueden hacerlo, a través de las figuras asociativas autorizadas por la ley, por ejemplo, como unión temporal o como consorcio</w:t>
      </w:r>
      <w:r w:rsidRPr="00377ED6">
        <w:rPr>
          <w:rFonts w:ascii="Verdana" w:eastAsia="Calibri" w:hAnsi="Verdana" w:cs="Arial"/>
          <w:bCs/>
        </w:rPr>
        <w:t>.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1F40F0AB" w14:textId="77777777" w:rsidR="00C52988" w:rsidRPr="00377ED6" w:rsidRDefault="00C52988" w:rsidP="00C52988">
      <w:pPr>
        <w:spacing w:before="120" w:after="120" w:line="276" w:lineRule="auto"/>
        <w:ind w:firstLine="709"/>
        <w:jc w:val="both"/>
        <w:rPr>
          <w:rFonts w:ascii="Verdana" w:hAnsi="Verdana"/>
        </w:rPr>
      </w:pPr>
      <w:r w:rsidRPr="00377ED6">
        <w:rPr>
          <w:rFonts w:ascii="Verdana" w:hAnsi="Verdana" w:cs="Arial"/>
          <w:color w:val="000000" w:themeColor="text1"/>
        </w:rPr>
        <w:t xml:space="preserve">La noción “seleccionar de forma objetiva”, contenida en la disposición </w:t>
      </w:r>
      <w:r w:rsidRPr="00377ED6">
        <w:rPr>
          <w:rFonts w:ascii="Verdana" w:hAnsi="Verdana" w:cs="Arial"/>
          <w:i/>
          <w:iCs/>
          <w:color w:val="000000" w:themeColor="text1"/>
        </w:rPr>
        <w:t xml:space="preserve">sub examine </w:t>
      </w:r>
      <w:r w:rsidRPr="00377ED6">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195D9FC6" w14:textId="77777777" w:rsidR="00C52988" w:rsidRPr="00377ED6" w:rsidRDefault="00C52988" w:rsidP="00C52988">
      <w:pPr>
        <w:spacing w:after="0" w:line="276" w:lineRule="auto"/>
        <w:ind w:firstLine="708"/>
        <w:jc w:val="both"/>
        <w:rPr>
          <w:rFonts w:ascii="Verdana" w:hAnsi="Verdana" w:cs="Arial"/>
          <w:color w:val="000000" w:themeColor="text1"/>
          <w:lang w:val="es-MX"/>
        </w:rPr>
      </w:pPr>
      <w:r w:rsidRPr="00377ED6">
        <w:rPr>
          <w:rFonts w:ascii="Verdana" w:hAnsi="Verdana" w:cs="Arial"/>
          <w:color w:val="000000" w:themeColor="text1"/>
          <w:lang w:val="es-MX"/>
        </w:rPr>
        <w:t>Es importante aclarar que los negocios jurídicos que regula el Decreto 092 de 2017 “</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son esencialmente distintos a los contratos para la adquisición y </w:t>
      </w:r>
      <w:r w:rsidRPr="00377ED6">
        <w:rPr>
          <w:rFonts w:ascii="Verdana" w:hAnsi="Verdana" w:cs="Arial"/>
          <w:color w:val="000000" w:themeColor="text1"/>
          <w:lang w:val="es-MX"/>
        </w:rPr>
        <w:lastRenderedPageBreak/>
        <w:t>aprovisionamiento de bienes, obras o servicios regulados por el estatuto de contratación y</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[como tal,] no hacen parte del sistema de compra pública. </w:t>
      </w:r>
      <w:r>
        <w:rPr>
          <w:rFonts w:ascii="Verdana" w:hAnsi="Verdana" w:cs="Arial"/>
          <w:color w:val="000000" w:themeColor="text1"/>
          <w:lang w:val="es-MX"/>
        </w:rPr>
        <w:t xml:space="preserve">(…) </w:t>
      </w:r>
      <w:r w:rsidRPr="00377ED6">
        <w:rPr>
          <w:rFonts w:ascii="Verdana" w:hAnsi="Verdana" w:cs="Arial"/>
          <w:color w:val="000000" w:themeColor="text1"/>
          <w:lang w:val="es-MX"/>
        </w:rPr>
        <w:t>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377ED6">
        <w:rPr>
          <w:rFonts w:ascii="Verdana" w:hAnsi="Verdana" w:cs="Arial"/>
          <w:color w:val="000000" w:themeColor="text1"/>
          <w:vertAlign w:val="superscript"/>
          <w:lang w:val="es-MX"/>
        </w:rPr>
        <w:footnoteReference w:id="18"/>
      </w:r>
      <w:r w:rsidRPr="00377ED6">
        <w:rPr>
          <w:rFonts w:ascii="Verdana" w:hAnsi="Verdana" w:cs="Arial"/>
          <w:color w:val="000000" w:themeColor="text1"/>
          <w:lang w:val="es-MX"/>
        </w:rPr>
        <w:t>. Así lo consideró la Sala de Consulta y Servicio Civil del Consejo de Estado:</w:t>
      </w:r>
    </w:p>
    <w:p w14:paraId="37C725A1" w14:textId="77777777" w:rsidR="00C52988" w:rsidRPr="00377ED6" w:rsidRDefault="00C52988" w:rsidP="00C52988">
      <w:pPr>
        <w:spacing w:after="0" w:line="276" w:lineRule="auto"/>
        <w:jc w:val="both"/>
        <w:rPr>
          <w:rFonts w:ascii="Verdana" w:hAnsi="Verdana" w:cs="Arial"/>
          <w:color w:val="000000" w:themeColor="text1"/>
          <w:lang w:val="es-MX"/>
        </w:rPr>
      </w:pPr>
    </w:p>
    <w:p w14:paraId="6DFB5BE4" w14:textId="77777777" w:rsidR="00C52988" w:rsidRPr="003E7CD1" w:rsidRDefault="00C52988" w:rsidP="00C52988">
      <w:pPr>
        <w:tabs>
          <w:tab w:val="left" w:pos="8080"/>
        </w:tabs>
        <w:spacing w:line="240" w:lineRule="auto"/>
        <w:ind w:left="709" w:right="616"/>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 xml:space="preserve">“Como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w:t>
      </w:r>
      <w:proofErr w:type="gramStart"/>
      <w:r w:rsidRPr="003E7CD1">
        <w:rPr>
          <w:rFonts w:ascii="Verdana" w:eastAsia="Calibri" w:hAnsi="Verdana" w:cs="Arial"/>
          <w:color w:val="000000" w:themeColor="text1"/>
          <w:sz w:val="20"/>
          <w:szCs w:val="20"/>
        </w:rPr>
        <w:t>y</w:t>
      </w:r>
      <w:proofErr w:type="gramEnd"/>
      <w:r w:rsidRPr="003E7CD1">
        <w:rPr>
          <w:rFonts w:ascii="Verdana" w:eastAsia="Calibri" w:hAnsi="Verdana" w:cs="Arial"/>
          <w:color w:val="000000" w:themeColor="text1"/>
          <w:sz w:val="20"/>
          <w:szCs w:val="20"/>
        </w:rPr>
        <w:t xml:space="preserve"> por lo tanto, se tipifican dentro de cualquiera de las modalidades de contratación de la ley 80 de 1.993, debiendo sujetarse a los procedimientos allí previstos, en especial los de escogencia del contratista.</w:t>
      </w:r>
    </w:p>
    <w:p w14:paraId="5F0121D4" w14:textId="77777777" w:rsidR="00C52988" w:rsidRPr="003E7CD1" w:rsidRDefault="00C52988" w:rsidP="00C52988">
      <w:pPr>
        <w:spacing w:after="0" w:line="240" w:lineRule="auto"/>
        <w:ind w:left="708"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r w:rsidRPr="003E7CD1">
        <w:rPr>
          <w:rFonts w:ascii="Verdana" w:hAnsi="Verdana" w:cs="Arial"/>
          <w:color w:val="000000" w:themeColor="text1"/>
          <w:sz w:val="20"/>
          <w:szCs w:val="20"/>
          <w:vertAlign w:val="superscript"/>
        </w:rPr>
        <w:t xml:space="preserve"> </w:t>
      </w:r>
      <w:r w:rsidRPr="003E7CD1">
        <w:rPr>
          <w:rFonts w:ascii="Verdana" w:hAnsi="Verdana" w:cs="Arial"/>
          <w:color w:val="000000" w:themeColor="text1"/>
          <w:sz w:val="20"/>
          <w:szCs w:val="20"/>
          <w:vertAlign w:val="superscript"/>
        </w:rPr>
        <w:footnoteReference w:id="19"/>
      </w:r>
      <w:r w:rsidRPr="003E7CD1">
        <w:rPr>
          <w:rFonts w:ascii="Verdana" w:eastAsia="Calibri" w:hAnsi="Verdana" w:cs="Arial"/>
          <w:color w:val="000000" w:themeColor="text1"/>
          <w:sz w:val="20"/>
          <w:szCs w:val="20"/>
        </w:rPr>
        <w:t>.</w:t>
      </w:r>
    </w:p>
    <w:p w14:paraId="497BA05A" w14:textId="77777777" w:rsidR="00C52988" w:rsidRPr="00377ED6" w:rsidRDefault="00C52988" w:rsidP="00C52988">
      <w:pPr>
        <w:spacing w:after="0" w:line="276" w:lineRule="auto"/>
        <w:ind w:firstLine="708"/>
        <w:jc w:val="both"/>
        <w:rPr>
          <w:rFonts w:ascii="Verdana" w:eastAsia="Calibri" w:hAnsi="Verdana" w:cs="Arial"/>
          <w:color w:val="000000" w:themeColor="text1"/>
        </w:rPr>
      </w:pPr>
      <w:bookmarkStart w:id="19" w:name="_Hlk95756200"/>
    </w:p>
    <w:p w14:paraId="26C36A79" w14:textId="77777777" w:rsidR="00C52988" w:rsidRPr="00377ED6" w:rsidRDefault="00C52988" w:rsidP="00C52988">
      <w:pPr>
        <w:spacing w:after="0" w:line="276" w:lineRule="auto"/>
        <w:ind w:firstLine="708"/>
        <w:jc w:val="both"/>
        <w:rPr>
          <w:rFonts w:ascii="Verdana" w:eastAsia="Calibri" w:hAnsi="Verdana" w:cs="Arial"/>
          <w:color w:val="000000" w:themeColor="text1"/>
        </w:rPr>
      </w:pPr>
      <w:r w:rsidRPr="00377ED6">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19"/>
      <w:r w:rsidRPr="00377ED6">
        <w:rPr>
          <w:rFonts w:ascii="Verdana" w:eastAsia="Calibri" w:hAnsi="Verdana" w:cs="Arial"/>
          <w:color w:val="000000" w:themeColor="text1"/>
        </w:rPr>
        <w:t>Así lo reconoció la Corte Constitucional en la sentencia C-287 del 18 de abril de 2012, en la que sostuvo lo siguiente:</w:t>
      </w:r>
    </w:p>
    <w:p w14:paraId="31D86C44" w14:textId="77777777" w:rsidR="00C52988" w:rsidRPr="00377ED6" w:rsidRDefault="00C52988" w:rsidP="00C52988">
      <w:pPr>
        <w:spacing w:after="0" w:line="240" w:lineRule="auto"/>
        <w:ind w:firstLine="709"/>
        <w:jc w:val="both"/>
        <w:rPr>
          <w:rFonts w:ascii="Verdana" w:eastAsia="Calibri" w:hAnsi="Verdana" w:cs="Arial"/>
          <w:color w:val="000000" w:themeColor="text1"/>
        </w:rPr>
      </w:pPr>
    </w:p>
    <w:p w14:paraId="56BE2B0B" w14:textId="77777777" w:rsidR="00C52988" w:rsidRPr="003E7CD1" w:rsidRDefault="00C52988" w:rsidP="00C52988">
      <w:pPr>
        <w:spacing w:line="240" w:lineRule="auto"/>
        <w:ind w:left="709" w:right="616"/>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lastRenderedPageBreak/>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588623A1" w14:textId="77777777" w:rsidR="00C52988" w:rsidRPr="003E7CD1" w:rsidRDefault="00C52988" w:rsidP="00C52988">
      <w:pPr>
        <w:spacing w:after="0" w:line="240" w:lineRule="auto"/>
        <w:ind w:left="709" w:right="616"/>
        <w:jc w:val="both"/>
        <w:rPr>
          <w:rFonts w:ascii="Verdana" w:eastAsia="Calibri" w:hAnsi="Verdana" w:cs="Arial"/>
          <w:color w:val="000000" w:themeColor="text1"/>
          <w:sz w:val="20"/>
          <w:szCs w:val="20"/>
        </w:rPr>
      </w:pPr>
      <w:r w:rsidRPr="003E7CD1">
        <w:rPr>
          <w:rFonts w:ascii="Verdana" w:eastAsia="Calibri" w:hAnsi="Verdana" w:cs="Arial"/>
          <w:i/>
          <w:iCs/>
          <w:color w:val="000000" w:themeColor="text1"/>
          <w:sz w:val="20"/>
          <w:szCs w:val="20"/>
        </w:rPr>
        <w:t xml:space="preserve">Sin embargo, el hecho que no persigan una finalidad </w:t>
      </w:r>
      <w:proofErr w:type="gramStart"/>
      <w:r w:rsidRPr="003E7CD1">
        <w:rPr>
          <w:rFonts w:ascii="Verdana" w:eastAsia="Calibri" w:hAnsi="Verdana" w:cs="Arial"/>
          <w:i/>
          <w:iCs/>
          <w:color w:val="000000" w:themeColor="text1"/>
          <w:sz w:val="20"/>
          <w:szCs w:val="20"/>
        </w:rPr>
        <w:t>lucrativa,</w:t>
      </w:r>
      <w:proofErr w:type="gramEnd"/>
      <w:r w:rsidRPr="003E7CD1">
        <w:rPr>
          <w:rFonts w:ascii="Verdana" w:eastAsia="Calibri" w:hAnsi="Verdana" w:cs="Arial"/>
          <w:i/>
          <w:iCs/>
          <w:color w:val="000000" w:themeColor="text1"/>
          <w:sz w:val="20"/>
          <w:szCs w:val="20"/>
        </w:rPr>
        <w:t xml:space="preserve"> no significa que no desarrollen actividades que generen utilidades, lo que pasa es </w:t>
      </w:r>
      <w:proofErr w:type="gramStart"/>
      <w:r w:rsidRPr="003E7CD1">
        <w:rPr>
          <w:rFonts w:ascii="Verdana" w:eastAsia="Calibri" w:hAnsi="Verdana" w:cs="Arial"/>
          <w:i/>
          <w:iCs/>
          <w:color w:val="000000" w:themeColor="text1"/>
          <w:sz w:val="20"/>
          <w:szCs w:val="20"/>
        </w:rPr>
        <w:t>que</w:t>
      </w:r>
      <w:proofErr w:type="gramEnd"/>
      <w:r w:rsidRPr="003E7CD1">
        <w:rPr>
          <w:rFonts w:ascii="Verdana" w:eastAsia="Calibri" w:hAnsi="Verdana" w:cs="Arial"/>
          <w:i/>
          <w:iCs/>
          <w:color w:val="000000" w:themeColor="text1"/>
          <w:sz w:val="20"/>
          <w:szCs w:val="20"/>
        </w:rPr>
        <w:t xml:space="preserve"> a diferencia de las sociedades, el lucro o ganancia obtenida no se reparte entre sus </w:t>
      </w:r>
      <w:proofErr w:type="gramStart"/>
      <w:r w:rsidRPr="003E7CD1">
        <w:rPr>
          <w:rFonts w:ascii="Verdana" w:eastAsia="Calibri" w:hAnsi="Verdana" w:cs="Arial"/>
          <w:i/>
          <w:iCs/>
          <w:color w:val="000000" w:themeColor="text1"/>
          <w:sz w:val="20"/>
          <w:szCs w:val="20"/>
        </w:rPr>
        <w:t>miembros</w:t>
      </w:r>
      <w:proofErr w:type="gramEnd"/>
      <w:r w:rsidRPr="003E7CD1">
        <w:rPr>
          <w:rFonts w:ascii="Verdana" w:eastAsia="Calibri" w:hAnsi="Verdana" w:cs="Arial"/>
          <w:i/>
          <w:iCs/>
          <w:color w:val="000000" w:themeColor="text1"/>
          <w:sz w:val="20"/>
          <w:szCs w:val="20"/>
        </w:rPr>
        <w:t xml:space="preserve"> sino que se integra al patrimonio de la asociación para la obtención del fin deseado</w:t>
      </w:r>
      <w:r w:rsidRPr="003E7CD1">
        <w:rPr>
          <w:rFonts w:ascii="Verdana" w:eastAsia="Calibri" w:hAnsi="Verdana" w:cs="Arial"/>
          <w:color w:val="000000" w:themeColor="text1"/>
          <w:sz w:val="20"/>
          <w:szCs w:val="20"/>
        </w:rPr>
        <w:t xml:space="preserve">.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w:t>
      </w:r>
      <w:proofErr w:type="gramStart"/>
      <w:r w:rsidRPr="003E7CD1">
        <w:rPr>
          <w:rFonts w:ascii="Verdana" w:eastAsia="Calibri" w:hAnsi="Verdana" w:cs="Arial"/>
          <w:color w:val="000000" w:themeColor="text1"/>
          <w:sz w:val="20"/>
          <w:szCs w:val="20"/>
        </w:rPr>
        <w:t>del mismo</w:t>
      </w:r>
      <w:proofErr w:type="gramEnd"/>
      <w:r w:rsidRPr="003E7CD1">
        <w:rPr>
          <w:rFonts w:ascii="Verdana" w:eastAsia="Calibri" w:hAnsi="Verdana" w:cs="Arial"/>
          <w:color w:val="000000" w:themeColor="text1"/>
          <w:sz w:val="20"/>
          <w:szCs w:val="20"/>
        </w:rPr>
        <w:t xml:space="preserve"> en el momento de su disolución o liquidación”. (Cursivas propias)</w:t>
      </w:r>
    </w:p>
    <w:p w14:paraId="2D11C123" w14:textId="77777777" w:rsidR="00C52988" w:rsidRPr="00377ED6" w:rsidRDefault="00C52988" w:rsidP="00C52988">
      <w:pPr>
        <w:spacing w:after="0" w:line="276" w:lineRule="auto"/>
        <w:ind w:firstLine="709"/>
        <w:jc w:val="both"/>
        <w:rPr>
          <w:rFonts w:ascii="Verdana" w:eastAsia="Calibri" w:hAnsi="Verdana" w:cs="Arial"/>
          <w:color w:val="000000" w:themeColor="text1"/>
        </w:rPr>
      </w:pPr>
    </w:p>
    <w:p w14:paraId="1D2B39E7" w14:textId="77777777" w:rsidR="00C52988" w:rsidRPr="00377ED6" w:rsidRDefault="00C52988" w:rsidP="00C52988">
      <w:pPr>
        <w:spacing w:after="120" w:line="276" w:lineRule="auto"/>
        <w:ind w:firstLine="709"/>
        <w:jc w:val="both"/>
        <w:rPr>
          <w:rFonts w:ascii="Verdana" w:eastAsia="Calibri" w:hAnsi="Verdana" w:cs="Arial"/>
          <w:color w:val="000000" w:themeColor="text1"/>
        </w:rPr>
      </w:pPr>
      <w:r w:rsidRPr="00377ED6">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1E5912C2" w14:textId="77777777" w:rsidR="00C52988" w:rsidRPr="00377ED6" w:rsidRDefault="00C52988" w:rsidP="00C52988">
      <w:pPr>
        <w:spacing w:line="276" w:lineRule="auto"/>
        <w:ind w:firstLine="709"/>
        <w:jc w:val="both"/>
        <w:rPr>
          <w:rFonts w:ascii="Verdana" w:eastAsia="Calibri" w:hAnsi="Verdana" w:cs="Arial"/>
          <w:color w:val="000000" w:themeColor="text1"/>
        </w:rPr>
      </w:pPr>
      <w:r w:rsidRPr="00377ED6">
        <w:rPr>
          <w:rFonts w:ascii="Verdana" w:hAnsi="Verdana" w:cs="Arial"/>
          <w:color w:val="000000" w:themeColor="text1"/>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w:t>
      </w:r>
      <w:r w:rsidRPr="00377ED6">
        <w:rPr>
          <w:rFonts w:ascii="Verdana" w:hAnsi="Verdana" w:cs="Arial"/>
          <w:i/>
          <w:iCs/>
          <w:color w:val="000000" w:themeColor="text1"/>
        </w:rPr>
        <w:t>contratos del artículo 355 de la Constitución Política</w:t>
      </w:r>
      <w:r w:rsidRPr="00377ED6">
        <w:rPr>
          <w:rFonts w:ascii="Verdana" w:hAnsi="Verdana" w:cs="Arial"/>
          <w:color w:val="000000" w:themeColor="text1"/>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377ED6">
        <w:rPr>
          <w:rFonts w:ascii="Verdana" w:hAnsi="Verdana" w:cs="Arial"/>
          <w:color w:val="000000" w:themeColor="text1"/>
        </w:rPr>
        <w:t>ii</w:t>
      </w:r>
      <w:proofErr w:type="spellEnd"/>
      <w:r w:rsidRPr="00377ED6">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377ED6">
        <w:rPr>
          <w:rFonts w:ascii="Verdana" w:hAnsi="Verdana" w:cs="Arial"/>
          <w:color w:val="000000" w:themeColor="text1"/>
        </w:rPr>
        <w:t>iii</w:t>
      </w:r>
      <w:proofErr w:type="spellEnd"/>
      <w:r w:rsidRPr="00377ED6">
        <w:rPr>
          <w:rFonts w:ascii="Verdana" w:hAnsi="Verdana" w:cs="Arial"/>
          <w:color w:val="000000" w:themeColor="text1"/>
        </w:rPr>
        <w:t xml:space="preserve">) el objeto del </w:t>
      </w:r>
      <w:r w:rsidRPr="00377ED6">
        <w:rPr>
          <w:rFonts w:ascii="Verdana" w:hAnsi="Verdana" w:cs="Arial"/>
          <w:color w:val="000000" w:themeColor="text1"/>
        </w:rPr>
        <w:lastRenderedPageBreak/>
        <w:t xml:space="preserve">contrato debe estar acorde con el plan nacional o seccional de desarrollo; </w:t>
      </w:r>
      <w:proofErr w:type="spellStart"/>
      <w:r w:rsidRPr="00377ED6">
        <w:rPr>
          <w:rFonts w:ascii="Verdana" w:hAnsi="Verdana" w:cs="Arial"/>
          <w:color w:val="000000" w:themeColor="text1"/>
        </w:rPr>
        <w:t>iv</w:t>
      </w:r>
      <w:proofErr w:type="spellEnd"/>
      <w:r w:rsidRPr="00377ED6">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377ED6">
        <w:rPr>
          <w:rFonts w:ascii="Verdana" w:hAnsi="Verdana" w:cs="Arial"/>
          <w:color w:val="000000" w:themeColor="text1"/>
        </w:rPr>
        <w:t>iii</w:t>
      </w:r>
      <w:proofErr w:type="spellEnd"/>
      <w:r w:rsidRPr="00377ED6">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5A316D06" w14:textId="77777777" w:rsidR="00C52988" w:rsidRDefault="00C52988" w:rsidP="00C52988">
      <w:pPr>
        <w:spacing w:after="120" w:line="276" w:lineRule="auto"/>
        <w:ind w:firstLine="709"/>
        <w:jc w:val="both"/>
        <w:rPr>
          <w:rFonts w:ascii="Verdana" w:eastAsia="Calibri" w:hAnsi="Verdana" w:cs="Arial"/>
          <w:color w:val="000000"/>
        </w:rPr>
      </w:pPr>
      <w:r>
        <w:rPr>
          <w:rFonts w:ascii="Verdana" w:eastAsia="Calibri" w:hAnsi="Verdana" w:cs="Arial"/>
          <w:color w:val="000000" w:themeColor="text1"/>
        </w:rPr>
        <w:t>De esta manera</w:t>
      </w:r>
      <w:r w:rsidRPr="00377ED6">
        <w:rPr>
          <w:rFonts w:ascii="Verdana" w:eastAsia="Calibri" w:hAnsi="Verdana" w:cs="Arial"/>
          <w:color w:val="000000" w:themeColor="text1"/>
        </w:rPr>
        <w:t xml:space="preserve">, si se pretende realizar un </w:t>
      </w:r>
      <w:r w:rsidRPr="00377ED6">
        <w:rPr>
          <w:rFonts w:ascii="Verdana" w:eastAsia="Calibri" w:hAnsi="Verdana" w:cs="Arial"/>
          <w:i/>
          <w:iCs/>
          <w:color w:val="000000" w:themeColor="text1"/>
        </w:rPr>
        <w:t>convenio de asociación</w:t>
      </w:r>
      <w:r w:rsidRPr="00377ED6">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w:t>
      </w:r>
      <w:r>
        <w:rPr>
          <w:rFonts w:ascii="Verdana" w:eastAsia="Calibri" w:hAnsi="Verdana" w:cs="Arial"/>
          <w:color w:val="000000" w:themeColor="text1"/>
        </w:rPr>
        <w:t>Por lo tanto</w:t>
      </w:r>
      <w:r w:rsidRPr="00377ED6">
        <w:rPr>
          <w:rFonts w:ascii="Verdana" w:eastAsia="Calibri" w:hAnsi="Verdana" w:cs="Arial"/>
          <w:color w:val="000000" w:themeColor="text1"/>
        </w:rPr>
        <w:t>, deben estar sujetos a competencia, salvo en aquellos casos en que una entidad sin ánimo de lucro comprometa recursos en dinero por un valor igual o superior al 30% del valor total del convenio</w:t>
      </w:r>
      <w:r w:rsidRPr="00377ED6">
        <w:rPr>
          <w:rFonts w:ascii="Verdana" w:hAnsi="Verdana" w:cs="Arial"/>
          <w:color w:val="000000" w:themeColor="text1"/>
          <w:vertAlign w:val="superscript"/>
        </w:rPr>
        <w:footnoteReference w:id="20"/>
      </w:r>
      <w:r w:rsidRPr="00377ED6">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Pr>
          <w:rFonts w:ascii="Verdana" w:eastAsia="Calibri" w:hAnsi="Verdana" w:cs="Arial"/>
          <w:color w:val="000000" w:themeColor="text1"/>
        </w:rPr>
        <w:t xml:space="preserve">En ese orden, en vigencia de la </w:t>
      </w:r>
      <w:r w:rsidRPr="00377ED6">
        <w:rPr>
          <w:rFonts w:ascii="Verdana" w:eastAsia="Calibri" w:hAnsi="Verdana" w:cs="Arial"/>
          <w:color w:val="000000"/>
        </w:rPr>
        <w:t>restricci</w:t>
      </w:r>
      <w:r>
        <w:rPr>
          <w:rFonts w:ascii="Verdana" w:eastAsia="Calibri" w:hAnsi="Verdana" w:cs="Arial"/>
          <w:color w:val="000000"/>
        </w:rPr>
        <w:t>ón</w:t>
      </w:r>
      <w:r w:rsidRPr="00377ED6">
        <w:rPr>
          <w:rFonts w:ascii="Verdana" w:eastAsia="Calibri" w:hAnsi="Verdana" w:cs="Arial"/>
          <w:color w:val="000000"/>
        </w:rPr>
        <w:t xml:space="preserve"> prevista en el artículo 33 de la Ley de Garantías</w:t>
      </w:r>
      <w:r>
        <w:rPr>
          <w:rFonts w:ascii="Verdana" w:eastAsia="Calibri" w:hAnsi="Verdana" w:cs="Arial"/>
          <w:color w:val="000000"/>
        </w:rPr>
        <w:t xml:space="preserve"> Electorales, según el artículo 5 del Decreto 092 de 2017, solo podrán celebrarse convenios previo desarrollo de proceso competitivo.</w:t>
      </w:r>
    </w:p>
    <w:p w14:paraId="35306323" w14:textId="77777777" w:rsidR="00C52988" w:rsidRDefault="00C52988" w:rsidP="00C52988">
      <w:pPr>
        <w:spacing w:before="120" w:after="120" w:line="276" w:lineRule="auto"/>
        <w:ind w:firstLine="709"/>
        <w:jc w:val="both"/>
        <w:rPr>
          <w:rFonts w:ascii="Verdana" w:eastAsia="Calibri" w:hAnsi="Verdana" w:cs="Arial"/>
          <w:lang w:val="es-ES"/>
        </w:rPr>
      </w:pPr>
      <w:r>
        <w:rPr>
          <w:rFonts w:ascii="Verdana" w:eastAsia="Calibri" w:hAnsi="Verdana" w:cs="Arial"/>
          <w:color w:val="000000"/>
        </w:rPr>
        <w:t xml:space="preserve">En otras palabras, los convenios de asociación </w:t>
      </w:r>
      <w:r w:rsidRPr="697BF333">
        <w:rPr>
          <w:rFonts w:ascii="Verdana" w:eastAsia="Calibri" w:hAnsi="Verdana" w:cs="Arial"/>
          <w:lang w:val="es-ES"/>
        </w:rPr>
        <w:t>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w:t>
      </w:r>
      <w:r>
        <w:rPr>
          <w:rFonts w:ascii="Verdana" w:eastAsia="Calibri" w:hAnsi="Verdana" w:cs="Arial"/>
          <w:lang w:val="es-ES"/>
        </w:rPr>
        <w:t>í</w:t>
      </w:r>
      <w:r w:rsidRPr="697BF333">
        <w:rPr>
          <w:rFonts w:ascii="Verdana" w:eastAsia="Calibri" w:hAnsi="Verdana" w:cs="Arial"/>
          <w:lang w:val="es-ES"/>
        </w:rPr>
        <w:t xml:space="preserve"> entra dentro del ámbito de aplicación de la mencionada prohibición, de manera que no es posible su aplicación en vigencia de la restricción a la contratación directa.</w:t>
      </w:r>
    </w:p>
    <w:p w14:paraId="1C57F508" w14:textId="77777777" w:rsidR="00C52988" w:rsidRDefault="00C52988" w:rsidP="00C52988">
      <w:pPr>
        <w:spacing w:before="120" w:after="120" w:line="276" w:lineRule="auto"/>
        <w:ind w:firstLine="709"/>
        <w:jc w:val="both"/>
        <w:rPr>
          <w:rFonts w:ascii="Verdana" w:eastAsia="Calibri" w:hAnsi="Verdana" w:cs="Arial"/>
          <w:lang w:val="es-ES"/>
        </w:rPr>
      </w:pPr>
      <w:r>
        <w:rPr>
          <w:rFonts w:ascii="Verdana" w:eastAsia="Times New Roman" w:hAnsi="Verdana" w:cs="Arial"/>
          <w:lang w:val="es-MX" w:eastAsia="x-none"/>
        </w:rPr>
        <w:lastRenderedPageBreak/>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t>manera taxativa en el inciso final del citado artículo 33 de la Ley 996 de 2005.</w:t>
      </w:r>
      <w:r>
        <w:rPr>
          <w:rFonts w:ascii="Verdana" w:eastAsia="Times New Roman" w:hAnsi="Verdana" w:cs="Arial"/>
          <w:lang w:val="es-MX" w:eastAsia="x-none"/>
        </w:rPr>
        <w:t xml:space="preserve"> Por lo tanto, será</w:t>
      </w:r>
      <w:r w:rsidRPr="00F02C5A">
        <w:rPr>
          <w:rFonts w:ascii="Verdana" w:eastAsia="Times New Roman" w:hAnsi="Verdana" w:cs="Arial"/>
          <w:lang w:val="es-MX" w:eastAsia="es-CO"/>
        </w:rPr>
        <w:t xml:space="preserve"> responsabilidad de</w:t>
      </w:r>
      <w:r>
        <w:rPr>
          <w:rFonts w:ascii="Verdana" w:eastAsia="Times New Roman" w:hAnsi="Verdana" w:cs="Arial"/>
          <w:lang w:val="es-MX" w:eastAsia="es-CO"/>
        </w:rPr>
        <w:t xml:space="preserve"> la entidad estatal</w:t>
      </w:r>
      <w:r w:rsidRPr="00F02C5A">
        <w:rPr>
          <w:rFonts w:ascii="Verdana" w:eastAsia="Times New Roman" w:hAnsi="Verdana" w:cs="Arial"/>
          <w:lang w:val="es-MX" w:eastAsia="es-CO"/>
        </w:rPr>
        <w:t>, examinar en cada caso la naturaleza de las actividades que adelanta y determinar si las mismas se enmarcan en alguna de las mencionadas excepciones</w:t>
      </w:r>
      <w:r>
        <w:rPr>
          <w:rFonts w:ascii="Verdana" w:eastAsia="Times New Roman" w:hAnsi="Verdana" w:cs="Arial"/>
          <w:lang w:val="es-MX" w:eastAsia="es-CO"/>
        </w:rPr>
        <w:t xml:space="preserve">. </w:t>
      </w:r>
      <w:r w:rsidRPr="697BF333">
        <w:rPr>
          <w:rFonts w:ascii="Verdana" w:eastAsia="Calibri" w:hAnsi="Verdana" w:cs="Arial"/>
          <w:lang w:val="es-ES"/>
        </w:rPr>
        <w:t xml:space="preserve"> </w:t>
      </w:r>
    </w:p>
    <w:p w14:paraId="755FFA09" w14:textId="77777777" w:rsidR="00C52988" w:rsidRDefault="00C52988" w:rsidP="00C52988">
      <w:pPr>
        <w:spacing w:after="0" w:line="276" w:lineRule="auto"/>
        <w:ind w:firstLine="709"/>
        <w:jc w:val="both"/>
        <w:rPr>
          <w:rFonts w:ascii="Verdana" w:eastAsia="Calibri" w:hAnsi="Verdana" w:cs="Arial"/>
          <w:color w:val="000000" w:themeColor="text1"/>
        </w:rPr>
      </w:pPr>
      <w:r w:rsidRPr="005E4C47">
        <w:rPr>
          <w:rFonts w:ascii="Verdana" w:eastAsia="Calibri" w:hAnsi="Verdana" w:cs="Arial"/>
          <w:color w:val="000000" w:themeColor="text1"/>
        </w:rPr>
        <w:t xml:space="preserve">Por último,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7E082C11" w14:textId="77777777" w:rsidR="00C52988" w:rsidRDefault="00C52988" w:rsidP="00C52988">
      <w:pPr>
        <w:tabs>
          <w:tab w:val="left" w:pos="142"/>
          <w:tab w:val="left" w:pos="284"/>
          <w:tab w:val="left" w:pos="6912"/>
        </w:tabs>
        <w:spacing w:after="0" w:line="276" w:lineRule="auto"/>
        <w:jc w:val="both"/>
        <w:rPr>
          <w:rFonts w:ascii="Verdana" w:eastAsia="Calibri" w:hAnsi="Verdana" w:cs="Arial"/>
        </w:rPr>
      </w:pPr>
    </w:p>
    <w:p w14:paraId="1A8F91AC" w14:textId="77777777" w:rsidR="00C52988" w:rsidRPr="00237877" w:rsidRDefault="00C52988" w:rsidP="00C52988">
      <w:pPr>
        <w:spacing w:after="0" w:line="276" w:lineRule="auto"/>
        <w:jc w:val="both"/>
        <w:rPr>
          <w:rFonts w:ascii="Verdana" w:hAnsi="Verdana" w:cs="Arial"/>
          <w:bCs/>
          <w:color w:val="000000" w:themeColor="text1"/>
        </w:rPr>
      </w:pPr>
      <w:bookmarkStart w:id="20"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0"/>
    </w:p>
    <w:p w14:paraId="10D432F4" w14:textId="77777777" w:rsidR="00C52988" w:rsidRPr="005644FE" w:rsidRDefault="00C52988" w:rsidP="00C52988">
      <w:pPr>
        <w:tabs>
          <w:tab w:val="left" w:pos="142"/>
          <w:tab w:val="left" w:pos="284"/>
          <w:tab w:val="left" w:pos="3828"/>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52988" w:rsidRPr="002D2C18" w14:paraId="634E7318" w14:textId="77777777" w:rsidTr="00BE649A">
        <w:trPr>
          <w:trHeight w:val="56"/>
          <w:jc w:val="center"/>
        </w:trPr>
        <w:tc>
          <w:tcPr>
            <w:tcW w:w="8647" w:type="dxa"/>
          </w:tcPr>
          <w:p w14:paraId="37B36859" w14:textId="77777777" w:rsidR="00C52988" w:rsidRDefault="00C52988" w:rsidP="00C52988">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Constitución Política. Artículo 355. </w:t>
            </w:r>
          </w:p>
          <w:p w14:paraId="78B6F086" w14:textId="77777777" w:rsidR="00C52988" w:rsidRDefault="00C52988" w:rsidP="00C52988">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996 de 2005. Artículo 33. </w:t>
            </w:r>
          </w:p>
          <w:p w14:paraId="1D364EDA" w14:textId="77777777" w:rsidR="00C52988" w:rsidRDefault="00C52988" w:rsidP="00C52988">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1150 de 2007. Artículo 2. </w:t>
            </w:r>
          </w:p>
          <w:p w14:paraId="477BB293" w14:textId="77777777" w:rsidR="00C52988" w:rsidRPr="00CB71FC" w:rsidRDefault="00C52988" w:rsidP="00C52988">
            <w:pPr>
              <w:pStyle w:val="Prrafodelista"/>
              <w:numPr>
                <w:ilvl w:val="0"/>
                <w:numId w:val="17"/>
              </w:numPr>
              <w:spacing w:line="276" w:lineRule="auto"/>
              <w:jc w:val="both"/>
              <w:rPr>
                <w:rFonts w:ascii="Verdana" w:eastAsia="Arial MT" w:hAnsi="Verdana" w:cs="Arial"/>
                <w:lang w:val="es-CO" w:eastAsia="es-ES" w:bidi="es-ES"/>
              </w:rPr>
            </w:pPr>
            <w:r w:rsidRPr="5F8BC1B5">
              <w:rPr>
                <w:rFonts w:ascii="Verdana" w:eastAsia="Calibri" w:hAnsi="Verdana" w:cs="Arial"/>
              </w:rPr>
              <w:t xml:space="preserve">Decreto </w:t>
            </w:r>
            <w:r>
              <w:rPr>
                <w:rFonts w:ascii="Verdana" w:eastAsia="Calibri" w:hAnsi="Verdana" w:cs="Arial"/>
              </w:rPr>
              <w:t>0</w:t>
            </w:r>
            <w:r w:rsidRPr="5F8BC1B5">
              <w:rPr>
                <w:rFonts w:ascii="Verdana" w:eastAsia="Calibri" w:hAnsi="Verdana" w:cs="Arial"/>
              </w:rPr>
              <w:t>92 de 2017</w:t>
            </w:r>
            <w:r>
              <w:rPr>
                <w:rFonts w:ascii="Verdana" w:eastAsia="Calibri" w:hAnsi="Verdana" w:cs="Arial"/>
              </w:rPr>
              <w:t xml:space="preserve">. Artículos 2, 3, 4, </w:t>
            </w:r>
          </w:p>
          <w:p w14:paraId="6F7E7FC6" w14:textId="77777777" w:rsidR="00C52988" w:rsidRDefault="00C52988" w:rsidP="00C52988">
            <w:pPr>
              <w:pStyle w:val="Prrafodelista"/>
              <w:numPr>
                <w:ilvl w:val="0"/>
                <w:numId w:val="17"/>
              </w:numPr>
              <w:spacing w:line="276" w:lineRule="auto"/>
              <w:jc w:val="both"/>
              <w:rPr>
                <w:rFonts w:ascii="Verdana" w:eastAsia="Arial MT" w:hAnsi="Verdana" w:cs="Arial"/>
                <w:lang w:val="es-CO" w:eastAsia="es-ES" w:bidi="es-ES"/>
              </w:rPr>
            </w:pPr>
            <w:r>
              <w:rPr>
                <w:rFonts w:ascii="Verdana" w:eastAsia="Calibri" w:hAnsi="Verdana" w:cs="Arial"/>
              </w:rPr>
              <w:t xml:space="preserve">Ley 489 de 1998. Artículo 96. </w:t>
            </w:r>
          </w:p>
          <w:p w14:paraId="62F8CEFB" w14:textId="77777777" w:rsidR="00C52988" w:rsidRDefault="00C52988" w:rsidP="00C52988">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 xml:space="preserve">Consejo de Estado. Sala de lo Contencioso Administrativo. Sección Primera. Sentencia de 3 de marzo de 2005. Radicado: 25001-23-15-000-2004-00823-01 (PI). C.P: Camilo Arciniegas Andrade. </w:t>
            </w:r>
          </w:p>
          <w:p w14:paraId="7E295D5A" w14:textId="77777777" w:rsidR="00C52988" w:rsidRDefault="00C52988" w:rsidP="00C52988">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lo Contencioso Administrativo. Sección Tercera. Sentencia de 22 de enero de 2002. Radicado: 2001-0148-01</w:t>
            </w:r>
            <w:r>
              <w:rPr>
                <w:rFonts w:ascii="Verdana" w:eastAsia="Arial MT" w:hAnsi="Verdana" w:cs="Arial"/>
                <w:lang w:val="es-CO" w:eastAsia="es-ES" w:bidi="es-ES"/>
              </w:rPr>
              <w:t>.</w:t>
            </w:r>
          </w:p>
          <w:p w14:paraId="13EF54A9" w14:textId="77777777" w:rsidR="00C52988" w:rsidRDefault="00C52988" w:rsidP="00C52988">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lo Contencioso Administrativo. Sección Tercera. Sentencia de 20 de noviembre de 2001. Radicado: 2001-0130-01(PI).</w:t>
            </w:r>
          </w:p>
          <w:p w14:paraId="5F8FA0BF" w14:textId="77777777" w:rsidR="00C52988" w:rsidRDefault="00C52988" w:rsidP="00C52988">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Consulta y Servicio Civil de fecha 24 de julio de 2013, radicado 2166, C</w:t>
            </w:r>
            <w:r>
              <w:rPr>
                <w:rFonts w:ascii="Verdana" w:eastAsia="Arial MT" w:hAnsi="Verdana" w:cs="Arial"/>
                <w:lang w:val="es-CO" w:eastAsia="es-ES" w:bidi="es-ES"/>
              </w:rPr>
              <w:t>.P:</w:t>
            </w:r>
            <w:r w:rsidRPr="00FA68B6">
              <w:rPr>
                <w:rFonts w:ascii="Verdana" w:eastAsia="Arial MT" w:hAnsi="Verdana" w:cs="Arial"/>
                <w:lang w:val="es-CO" w:eastAsia="es-ES" w:bidi="es-ES"/>
              </w:rPr>
              <w:t xml:space="preserve"> Álvaro Namén Vargas.  </w:t>
            </w:r>
          </w:p>
          <w:p w14:paraId="2416B8EC" w14:textId="77777777" w:rsidR="00C52988" w:rsidRDefault="00C52988" w:rsidP="00C52988">
            <w:pPr>
              <w:pStyle w:val="Prrafodelista"/>
              <w:numPr>
                <w:ilvl w:val="0"/>
                <w:numId w:val="17"/>
              </w:numPr>
              <w:spacing w:line="276" w:lineRule="auto"/>
              <w:jc w:val="both"/>
              <w:rPr>
                <w:rFonts w:ascii="Verdana" w:eastAsia="Arial MT" w:hAnsi="Verdana" w:cs="Arial"/>
                <w:lang w:val="es-CO" w:eastAsia="es-ES" w:bidi="es-ES"/>
              </w:rPr>
            </w:pPr>
            <w:r w:rsidRPr="00CB71FC">
              <w:rPr>
                <w:rFonts w:ascii="Verdana" w:eastAsia="Arial MT" w:hAnsi="Verdana" w:cs="Arial"/>
                <w:lang w:val="es-CO" w:eastAsia="es-ES" w:bidi="es-ES"/>
              </w:rPr>
              <w:lastRenderedPageBreak/>
              <w:t>Consejo de Estado. Sala de Consulta y Servicio Civil. Concepto del 2 de septiembre de 2013. Radicación número: 11001-03-06-000-2013-00412-00 (2168). C</w:t>
            </w:r>
            <w:r>
              <w:rPr>
                <w:rFonts w:ascii="Verdana" w:eastAsia="Arial MT" w:hAnsi="Verdana" w:cs="Arial"/>
                <w:lang w:val="es-CO" w:eastAsia="es-ES" w:bidi="es-ES"/>
              </w:rPr>
              <w:t>.P:</w:t>
            </w:r>
            <w:r w:rsidRPr="00CB71FC">
              <w:rPr>
                <w:rFonts w:ascii="Verdana" w:eastAsia="Arial MT" w:hAnsi="Verdana" w:cs="Arial"/>
                <w:lang w:val="es-CO" w:eastAsia="es-ES" w:bidi="es-ES"/>
              </w:rPr>
              <w:t xml:space="preserve"> Álvaro Namén Vargas.</w:t>
            </w:r>
          </w:p>
          <w:p w14:paraId="16C1010A" w14:textId="77777777" w:rsidR="00C52988" w:rsidRDefault="00C52988" w:rsidP="00C52988">
            <w:pPr>
              <w:pStyle w:val="Prrafodelista"/>
              <w:numPr>
                <w:ilvl w:val="0"/>
                <w:numId w:val="17"/>
              </w:numPr>
              <w:spacing w:line="276" w:lineRule="auto"/>
              <w:jc w:val="both"/>
              <w:rPr>
                <w:rFonts w:ascii="Verdana" w:eastAsia="Arial MT" w:hAnsi="Verdana" w:cs="Arial"/>
                <w:lang w:val="es-CO" w:eastAsia="es-ES" w:bidi="es-ES"/>
              </w:rPr>
            </w:pPr>
            <w:r w:rsidRPr="00CB71FC">
              <w:rPr>
                <w:rFonts w:ascii="Verdana" w:eastAsia="Arial MT" w:hAnsi="Verdana" w:cs="Arial"/>
                <w:lang w:val="es-CO" w:eastAsia="es-ES" w:bidi="es-ES"/>
              </w:rPr>
              <w:t>Consejo de Estado. Sala de Consulta y Servicio Civil, Concepto de 8 de mayo de 2018. Radicación Número: 11001-03-06-000-2018-00095-00(2382). C</w:t>
            </w:r>
            <w:r>
              <w:rPr>
                <w:rFonts w:ascii="Verdana" w:eastAsia="Arial MT" w:hAnsi="Verdana" w:cs="Arial"/>
                <w:lang w:val="es-CO" w:eastAsia="es-ES" w:bidi="es-ES"/>
              </w:rPr>
              <w:t>.</w:t>
            </w:r>
            <w:r w:rsidRPr="00CB71FC">
              <w:rPr>
                <w:rFonts w:ascii="Verdana" w:eastAsia="Arial MT" w:hAnsi="Verdana" w:cs="Arial"/>
                <w:lang w:val="es-CO" w:eastAsia="es-ES" w:bidi="es-ES"/>
              </w:rPr>
              <w:t>P: Álvaro Namén Vargas.</w:t>
            </w:r>
          </w:p>
          <w:p w14:paraId="0551A52B" w14:textId="77777777" w:rsidR="00C52988" w:rsidRDefault="00C52988" w:rsidP="00C52988">
            <w:pPr>
              <w:pStyle w:val="Prrafodelista"/>
              <w:numPr>
                <w:ilvl w:val="0"/>
                <w:numId w:val="17"/>
              </w:numPr>
              <w:spacing w:line="276" w:lineRule="auto"/>
              <w:jc w:val="both"/>
              <w:rPr>
                <w:rFonts w:ascii="Verdana" w:eastAsia="Arial MT" w:hAnsi="Verdana" w:cs="Arial"/>
                <w:lang w:val="es-CO" w:eastAsia="es-ES" w:bidi="es-ES"/>
              </w:rPr>
            </w:pPr>
            <w:r w:rsidRPr="00CB71FC">
              <w:rPr>
                <w:rFonts w:ascii="Verdana" w:eastAsia="Arial MT" w:hAnsi="Verdana" w:cs="Arial"/>
                <w:lang w:val="es-CO" w:eastAsia="es-ES" w:bidi="es-ES"/>
              </w:rPr>
              <w:t xml:space="preserve">Consejo de Estado. Sala de Consulta y Servicio Civil. Concepto del 08 de mayo de 2018. </w:t>
            </w:r>
            <w:proofErr w:type="spellStart"/>
            <w:r w:rsidRPr="00CB71FC">
              <w:rPr>
                <w:rFonts w:ascii="Verdana" w:eastAsia="Arial MT" w:hAnsi="Verdana" w:cs="Arial"/>
                <w:lang w:val="es-CO" w:eastAsia="es-ES" w:bidi="es-ES"/>
              </w:rPr>
              <w:t>Exp</w:t>
            </w:r>
            <w:proofErr w:type="spellEnd"/>
            <w:r w:rsidRPr="00CB71FC">
              <w:rPr>
                <w:rFonts w:ascii="Verdana" w:eastAsia="Arial MT" w:hAnsi="Verdana" w:cs="Arial"/>
                <w:lang w:val="es-CO" w:eastAsia="es-ES" w:bidi="es-ES"/>
              </w:rPr>
              <w:t>. 2382. C.P. Álvaro Namén Vargas.</w:t>
            </w:r>
          </w:p>
          <w:p w14:paraId="283A0F81" w14:textId="77777777" w:rsidR="00C52988" w:rsidRDefault="00C52988" w:rsidP="00C52988">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Consejo de Estado. Sala de Consulta y Servicio Civil. </w:t>
            </w:r>
            <w:r w:rsidRPr="00CB71FC">
              <w:rPr>
                <w:rFonts w:ascii="Verdana" w:eastAsia="Arial MT" w:hAnsi="Verdana" w:cs="Arial"/>
                <w:lang w:val="es-CO" w:eastAsia="es-ES" w:bidi="es-ES"/>
              </w:rPr>
              <w:t>Concepto del 24 de febrero de 2005. Radicado:1626, C.P. Gloria Duque Hernández.</w:t>
            </w:r>
          </w:p>
          <w:p w14:paraId="56719A22" w14:textId="77777777" w:rsidR="00C52988" w:rsidRPr="00FA68B6" w:rsidRDefault="00C52988" w:rsidP="00C52988">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Corte Constitucional, Sentencia C- 1153 de 2005, M.P. Marco Gerardo Monroy Cabra.</w:t>
            </w:r>
          </w:p>
          <w:p w14:paraId="5F32F51F" w14:textId="77777777" w:rsidR="00C52988" w:rsidRDefault="00C52988" w:rsidP="00C52988">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Corte Constitucional. Sentencia C-233 de 4 de abril de 2002. M.P: Álvaro Tafur Galvis</w:t>
            </w:r>
            <w:r>
              <w:rPr>
                <w:rFonts w:ascii="Verdana" w:eastAsia="Arial MT" w:hAnsi="Verdana" w:cs="Arial"/>
                <w:lang w:val="es-CO" w:eastAsia="es-ES" w:bidi="es-ES"/>
              </w:rPr>
              <w:t>.</w:t>
            </w:r>
          </w:p>
          <w:p w14:paraId="40F2A03F" w14:textId="77777777" w:rsidR="00C52988" w:rsidRDefault="00C52988" w:rsidP="00C52988">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Corte Constitucional. Sentencia C-551 de 9 de julio de 2003. M.P: Eduardo Montealegre Lynnet</w:t>
            </w:r>
            <w:r>
              <w:rPr>
                <w:rFonts w:ascii="Verdana" w:eastAsia="Arial MT" w:hAnsi="Verdana" w:cs="Arial"/>
                <w:lang w:val="es-CO" w:eastAsia="es-ES" w:bidi="es-ES"/>
              </w:rPr>
              <w:t>.</w:t>
            </w:r>
          </w:p>
          <w:p w14:paraId="36FA5FA3" w14:textId="77777777" w:rsidR="00C52988" w:rsidRDefault="00C52988" w:rsidP="00C52988">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 xml:space="preserve">Corte Constitucional. Sentencia C-353 de 20 de mayo de 2009. M.P: Jorge Iván Palacio </w:t>
            </w:r>
            <w:proofErr w:type="spellStart"/>
            <w:r w:rsidRPr="00FA68B6">
              <w:rPr>
                <w:rFonts w:ascii="Verdana" w:eastAsia="Arial MT" w:hAnsi="Verdana" w:cs="Arial"/>
                <w:lang w:val="es-CO" w:eastAsia="es-ES" w:bidi="es-ES"/>
              </w:rPr>
              <w:t>Palacio</w:t>
            </w:r>
            <w:proofErr w:type="spellEnd"/>
            <w:r>
              <w:rPr>
                <w:rFonts w:ascii="Verdana" w:eastAsia="Arial MT" w:hAnsi="Verdana" w:cs="Arial"/>
                <w:lang w:val="es-CO" w:eastAsia="es-ES" w:bidi="es-ES"/>
              </w:rPr>
              <w:t>.</w:t>
            </w:r>
          </w:p>
          <w:p w14:paraId="3E33C662" w14:textId="77777777" w:rsidR="00C52988" w:rsidRPr="006157FE" w:rsidRDefault="00C52988" w:rsidP="00C52988">
            <w:pPr>
              <w:pStyle w:val="Prrafodelista"/>
              <w:numPr>
                <w:ilvl w:val="0"/>
                <w:numId w:val="17"/>
              </w:numPr>
              <w:spacing w:line="276" w:lineRule="auto"/>
              <w:jc w:val="both"/>
              <w:rPr>
                <w:rFonts w:ascii="Verdana" w:eastAsia="Aptos" w:hAnsi="Verdana" w:cs="Arial"/>
              </w:rPr>
            </w:pPr>
            <w:r w:rsidRPr="00FA68B6">
              <w:rPr>
                <w:rFonts w:ascii="Verdana" w:eastAsia="Arial MT" w:hAnsi="Verdana" w:cs="Arial"/>
                <w:lang w:val="es-CO" w:eastAsia="es-ES" w:bidi="es-ES"/>
              </w:rPr>
              <w:t>Corte Constitucional. Sentencia C-541 de 30 de junio de 2010. M.P: Gabriel Eduardo Mendoza Martelo</w:t>
            </w:r>
            <w:r>
              <w:rPr>
                <w:rFonts w:ascii="Verdana" w:eastAsia="Arial MT" w:hAnsi="Verdana" w:cs="Arial"/>
                <w:lang w:val="es-CO" w:eastAsia="es-ES" w:bidi="es-ES"/>
              </w:rPr>
              <w:t>.</w:t>
            </w:r>
          </w:p>
        </w:tc>
      </w:tr>
    </w:tbl>
    <w:p w14:paraId="53A24339" w14:textId="77777777" w:rsidR="00C52988" w:rsidRDefault="00C52988" w:rsidP="00C52988">
      <w:pPr>
        <w:tabs>
          <w:tab w:val="left" w:pos="142"/>
          <w:tab w:val="left" w:pos="284"/>
          <w:tab w:val="left" w:pos="3828"/>
        </w:tabs>
        <w:spacing w:after="0" w:line="276" w:lineRule="auto"/>
        <w:jc w:val="both"/>
        <w:rPr>
          <w:rFonts w:ascii="Verdana" w:eastAsia="Century Gothic" w:hAnsi="Verdana" w:cs="Century Gothic"/>
          <w:b/>
          <w:bCs/>
        </w:rPr>
      </w:pPr>
    </w:p>
    <w:p w14:paraId="12F9C3F1" w14:textId="77777777" w:rsidR="00C52988" w:rsidRPr="0091091D" w:rsidRDefault="00C52988" w:rsidP="00C52988">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12DEAD0D" w14:textId="77777777" w:rsidR="00C52988" w:rsidRPr="0091091D" w:rsidRDefault="00C52988" w:rsidP="00C52988">
      <w:pPr>
        <w:widowControl w:val="0"/>
        <w:autoSpaceDE w:val="0"/>
        <w:autoSpaceDN w:val="0"/>
        <w:spacing w:after="0" w:line="240" w:lineRule="auto"/>
        <w:jc w:val="both"/>
        <w:rPr>
          <w:rFonts w:ascii="Verdana" w:eastAsia="Aptos" w:hAnsi="Verdana" w:cs="Arial"/>
          <w:shd w:val="clear" w:color="auto" w:fill="FFFFFF"/>
          <w:lang w:val="es-ES"/>
        </w:rPr>
      </w:pPr>
    </w:p>
    <w:p w14:paraId="03A17D8E" w14:textId="77777777" w:rsidR="00C52988" w:rsidRPr="001A68FB" w:rsidRDefault="00C52988" w:rsidP="00C52988">
      <w:pPr>
        <w:widowControl w:val="0"/>
        <w:autoSpaceDE w:val="0"/>
        <w:autoSpaceDN w:val="0"/>
        <w:spacing w:after="120" w:line="276" w:lineRule="auto"/>
        <w:jc w:val="both"/>
        <w:rPr>
          <w:rFonts w:ascii="Verdana" w:hAnsi="Verdana" w:cs="Arial"/>
          <w:shd w:val="clear" w:color="auto" w:fill="FFFFFF"/>
        </w:rPr>
      </w:pPr>
      <w:r w:rsidRPr="001A68FB">
        <w:rPr>
          <w:rFonts w:ascii="Verdana" w:hAnsi="Verdana" w:cs="Arial"/>
          <w:shd w:val="clear" w:color="auto" w:fill="FFFFFF"/>
        </w:rPr>
        <w:t xml:space="preserve">Esta Subdirección se ha pronunciado </w:t>
      </w:r>
      <w:r w:rsidRPr="001A68FB">
        <w:rPr>
          <w:rFonts w:ascii="Verdana" w:hAnsi="Verdana" w:cs="Arial"/>
          <w:shd w:val="clear" w:color="auto" w:fill="FFFFFF"/>
          <w:lang w:val="es-ES"/>
        </w:rPr>
        <w:t>sobre la aplicación de la Ley de garantías en el marco de la celebración de contratos del artículo 355 de la Constitución Política y los convenios de asociación del Decreto 092 de 2017, en los conceptos C-584 del 24 de junio de 2025, C-986 del 23 de agosto de 2025, C-1015 del 4 de septiembre de 2025, C-1186 del 19 de septiembre de 2025, C-1486 del 29 de octubre de 2025, C-1697 del 23 de diciembre de 2025, entre otros</w:t>
      </w:r>
      <w:r w:rsidRPr="001A68FB">
        <w:rPr>
          <w:rFonts w:ascii="Verdana" w:hAnsi="Verdana" w:cs="Arial"/>
          <w:shd w:val="clear" w:color="auto" w:fill="FFFFFF"/>
        </w:rPr>
        <w:t xml:space="preserve">. </w:t>
      </w:r>
      <w:r w:rsidRPr="001A68FB">
        <w:rPr>
          <w:rFonts w:ascii="Verdana" w:eastAsia="Aptos" w:hAnsi="Verdana" w:cs="Arial"/>
          <w:shd w:val="clear" w:color="auto" w:fill="FFFFFF"/>
          <w:lang w:val="es-ES"/>
        </w:rPr>
        <w:t>Estos y otros conceptos se encuentran disponibles para consulta</w:t>
      </w:r>
      <w:r w:rsidRPr="001A68FB">
        <w:rPr>
          <w:rFonts w:ascii="Verdana" w:eastAsia="Calibri" w:hAnsi="Verdana" w:cs="Arial"/>
        </w:rPr>
        <w:t xml:space="preserve"> </w:t>
      </w:r>
      <w:r w:rsidRPr="001A68FB">
        <w:rPr>
          <w:rFonts w:ascii="Verdana" w:hAnsi="Verdana"/>
        </w:rPr>
        <w:t>en el Sistema de relatoría de la Agencia, al cual se puede acceder a través del siguiente enlace:</w:t>
      </w:r>
      <w:r w:rsidRPr="001A68FB">
        <w:rPr>
          <w:rFonts w:ascii="Verdana" w:hAnsi="Verdana" w:cs="Arial"/>
          <w:shd w:val="clear" w:color="auto" w:fill="FFFFFF"/>
        </w:rPr>
        <w:t xml:space="preserve"> </w:t>
      </w:r>
      <w:hyperlink r:id="rId12" w:history="1">
        <w:r w:rsidRPr="001A68FB">
          <w:rPr>
            <w:rStyle w:val="Hipervnculo"/>
            <w:rFonts w:ascii="Verdana" w:hAnsi="Verdana" w:cs="Arial"/>
            <w:shd w:val="clear" w:color="auto" w:fill="FFFFFF"/>
          </w:rPr>
          <w:t>https://relatoria.colombiacompra.gov.co/busqueda/conceptos</w:t>
        </w:r>
      </w:hyperlink>
      <w:r w:rsidRPr="001A68FB">
        <w:rPr>
          <w:rFonts w:ascii="Verdana" w:hAnsi="Verdana" w:cs="Arial"/>
          <w:shd w:val="clear" w:color="auto" w:fill="FFFFFF"/>
        </w:rPr>
        <w:t>.</w:t>
      </w:r>
      <w:r w:rsidRPr="001A68FB">
        <w:rPr>
          <w:rFonts w:ascii="Verdana" w:hAnsi="Verdana" w:cs="Arial"/>
          <w:color w:val="FF0000"/>
          <w:shd w:val="clear" w:color="auto" w:fill="FFFFFF"/>
        </w:rPr>
        <w:t xml:space="preserve"> </w:t>
      </w:r>
      <w:r w:rsidRPr="001A68FB">
        <w:rPr>
          <w:rFonts w:ascii="Verdana" w:hAnsi="Verdana" w:cs="Arial"/>
          <w:color w:val="000000" w:themeColor="text1"/>
          <w:shd w:val="clear" w:color="auto" w:fill="FFFFFF"/>
        </w:rPr>
        <w:t>  </w:t>
      </w:r>
    </w:p>
    <w:p w14:paraId="655A5C0B" w14:textId="77777777" w:rsidR="00C52988" w:rsidRPr="00435A6A" w:rsidRDefault="00C52988" w:rsidP="00C52988">
      <w:pPr>
        <w:widowControl w:val="0"/>
        <w:autoSpaceDE w:val="0"/>
        <w:autoSpaceDN w:val="0"/>
        <w:spacing w:after="120" w:line="276" w:lineRule="auto"/>
        <w:jc w:val="both"/>
        <w:rPr>
          <w:rFonts w:ascii="Verdana" w:hAnsi="Verdana" w:cs="Arial"/>
          <w:shd w:val="clear" w:color="auto" w:fill="FFFFFF"/>
        </w:rPr>
      </w:pPr>
      <w:r w:rsidRPr="001A68FB">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w:t>
      </w:r>
      <w:r w:rsidRPr="001A68FB">
        <w:rPr>
          <w:rFonts w:ascii="Verdana" w:hAnsi="Verdana"/>
        </w:rPr>
        <w:lastRenderedPageBreak/>
        <w:t>canales de atención:</w:t>
      </w:r>
      <w:r w:rsidRPr="00116940">
        <w:rPr>
          <w:rFonts w:ascii="Verdana" w:hAnsi="Verdana"/>
        </w:rPr>
        <w:t xml:space="preserve"> </w:t>
      </w:r>
    </w:p>
    <w:p w14:paraId="5689F952" w14:textId="77777777" w:rsidR="00C52988" w:rsidRPr="00116940" w:rsidRDefault="00C52988" w:rsidP="00C52988">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62EAB24" w14:textId="77777777" w:rsidR="00C52988" w:rsidRPr="00116940" w:rsidRDefault="00C52988" w:rsidP="00C52988">
      <w:pPr>
        <w:pStyle w:val="Prrafodelista"/>
        <w:numPr>
          <w:ilvl w:val="0"/>
          <w:numId w:val="15"/>
        </w:numPr>
        <w:spacing w:after="0" w:line="276" w:lineRule="auto"/>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47682A37" w14:textId="77777777" w:rsidR="00C52988" w:rsidRPr="00116940" w:rsidRDefault="00C52988" w:rsidP="00C52988">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02286B48" w14:textId="77777777" w:rsidR="00C52988" w:rsidRPr="00116940" w:rsidRDefault="00C52988" w:rsidP="00C52988">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63A860D3" w14:textId="77777777" w:rsidR="00C52988" w:rsidRPr="00116940" w:rsidRDefault="00C52988" w:rsidP="00C52988">
      <w:pPr>
        <w:spacing w:after="0" w:line="276" w:lineRule="auto"/>
        <w:ind w:left="720"/>
        <w:jc w:val="both"/>
        <w:rPr>
          <w:rFonts w:ascii="Verdana" w:hAnsi="Verdana"/>
        </w:rPr>
      </w:pPr>
    </w:p>
    <w:p w14:paraId="4D977D48" w14:textId="77777777" w:rsidR="00C52988" w:rsidRDefault="00C52988" w:rsidP="00C52988">
      <w:pPr>
        <w:spacing w:after="12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5" w:history="1">
        <w:r w:rsidRPr="00A83E37">
          <w:rPr>
            <w:rStyle w:val="Hipervnculo"/>
            <w:rFonts w:ascii="Verdana" w:eastAsia="Verdana" w:hAnsi="Verdana" w:cs="Verdana"/>
            <w:lang w:val="es-MX"/>
          </w:rPr>
          <w:t>https://forms.office.com/r/pPHyWVs2SZ</w:t>
        </w:r>
      </w:hyperlink>
      <w:r w:rsidRPr="007E27D9">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47AE22F3" w14:textId="77777777" w:rsidR="00C52988" w:rsidRPr="00116940" w:rsidRDefault="00C52988" w:rsidP="00C52988">
      <w:pPr>
        <w:spacing w:after="12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E7F9E6A" w14:textId="77777777" w:rsidR="00C52988" w:rsidRPr="00116940" w:rsidRDefault="00C52988" w:rsidP="00C52988">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0ED360F" w14:textId="77777777" w:rsidR="00C52988" w:rsidRPr="00116940" w:rsidRDefault="00C52988" w:rsidP="00C52988">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73F8025" w14:textId="77777777" w:rsidR="00C52988" w:rsidRPr="00116940" w:rsidRDefault="00C52988" w:rsidP="00C52988">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A23C2BD" w14:textId="77777777" w:rsidR="00C52988" w:rsidRDefault="00C52988" w:rsidP="00C52988">
      <w:pPr>
        <w:spacing w:after="0" w:line="276" w:lineRule="auto"/>
        <w:jc w:val="both"/>
        <w:rPr>
          <w:rFonts w:ascii="Verdana" w:hAnsi="Verdana"/>
          <w:lang w:val="es-MX"/>
        </w:rPr>
      </w:pPr>
    </w:p>
    <w:p w14:paraId="58F2B3F3" w14:textId="77777777" w:rsidR="00C52988" w:rsidRPr="00330029" w:rsidRDefault="00C52988" w:rsidP="00C52988">
      <w:pPr>
        <w:spacing w:after="0" w:line="276" w:lineRule="auto"/>
        <w:jc w:val="both"/>
        <w:rPr>
          <w:rFonts w:ascii="Verdana" w:hAnsi="Verdana"/>
          <w:lang w:val="es-MX"/>
        </w:rPr>
      </w:pPr>
      <w:r w:rsidRPr="00E02524">
        <w:rPr>
          <w:rFonts w:ascii="Verdana" w:hAnsi="Verdana"/>
          <w:lang w:val="es-MX"/>
        </w:rPr>
        <w:t>Cordialmente,</w:t>
      </w:r>
    </w:p>
    <w:p w14:paraId="71EE46FE" w14:textId="6B8F1E34" w:rsidR="00C52988" w:rsidRDefault="00BB556C" w:rsidP="00C52988">
      <w:pPr>
        <w:spacing w:after="0" w:line="256" w:lineRule="auto"/>
        <w:jc w:val="center"/>
        <w:rPr>
          <w:rFonts w:ascii="Verdana" w:eastAsia="Calibri" w:hAnsi="Verdana" w:cs="Times New Roman"/>
        </w:rPr>
      </w:pPr>
      <w:r>
        <w:rPr>
          <w:noProof/>
        </w:rPr>
        <w:drawing>
          <wp:inline distT="0" distB="0" distL="0" distR="0" wp14:anchorId="6C869B10" wp14:editId="307DDFC0">
            <wp:extent cx="2976448" cy="1402365"/>
            <wp:effectExtent l="0" t="0" r="0" b="762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16"/>
                    <a:stretch>
                      <a:fillRect/>
                    </a:stretch>
                  </pic:blipFill>
                  <pic:spPr>
                    <a:xfrm>
                      <a:off x="0" y="0"/>
                      <a:ext cx="2987360" cy="1407506"/>
                    </a:xfrm>
                    <a:prstGeom prst="rect">
                      <a:avLst/>
                    </a:prstGeom>
                  </pic:spPr>
                </pic:pic>
              </a:graphicData>
            </a:graphic>
          </wp:inline>
        </w:drawing>
      </w:r>
    </w:p>
    <w:p w14:paraId="05016119" w14:textId="40502607" w:rsidR="00A768EA" w:rsidRDefault="00A768EA" w:rsidP="00C52988">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C52988" w:rsidRPr="005644FE" w14:paraId="4890D8C9" w14:textId="77777777" w:rsidTr="00BE649A">
        <w:trPr>
          <w:trHeight w:val="315"/>
        </w:trPr>
        <w:tc>
          <w:tcPr>
            <w:tcW w:w="893" w:type="dxa"/>
            <w:vAlign w:val="center"/>
            <w:hideMark/>
          </w:tcPr>
          <w:p w14:paraId="5D2676AF" w14:textId="77777777" w:rsidR="00C52988" w:rsidRPr="005644FE" w:rsidRDefault="00C52988" w:rsidP="00BE649A">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27A3ED85" w14:textId="77777777" w:rsidR="00C52988" w:rsidRPr="005644FE" w:rsidRDefault="00C52988" w:rsidP="00BE649A">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56DBC7E7" w14:textId="77777777" w:rsidR="00C52988" w:rsidRPr="005644FE" w:rsidRDefault="00C52988" w:rsidP="00BE649A">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C52988" w:rsidRPr="005644FE" w14:paraId="22D99383" w14:textId="77777777" w:rsidTr="00BE649A">
        <w:trPr>
          <w:trHeight w:val="330"/>
        </w:trPr>
        <w:tc>
          <w:tcPr>
            <w:tcW w:w="893" w:type="dxa"/>
            <w:vAlign w:val="center"/>
            <w:hideMark/>
          </w:tcPr>
          <w:p w14:paraId="77D97820" w14:textId="77777777" w:rsidR="00C52988" w:rsidRPr="005644FE" w:rsidRDefault="00C52988" w:rsidP="00BE649A">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6CE24D0C" w14:textId="77777777" w:rsidR="00C52988" w:rsidRPr="00F47638" w:rsidRDefault="00C52988" w:rsidP="00BE649A">
            <w:pPr>
              <w:pStyle w:val="paragraph"/>
              <w:spacing w:before="0" w:beforeAutospacing="0" w:after="0" w:afterAutospacing="0"/>
              <w:contextualSpacing/>
              <w:textAlignment w:val="baseline"/>
              <w:rPr>
                <w:rStyle w:val="normaltextrun"/>
                <w:rFonts w:ascii="Verdana" w:hAnsi="Verdana"/>
                <w:sz w:val="16"/>
                <w:szCs w:val="16"/>
              </w:rPr>
            </w:pPr>
            <w:r w:rsidRPr="00F47638">
              <w:rPr>
                <w:rStyle w:val="normaltextrun"/>
                <w:rFonts w:ascii="Verdana" w:hAnsi="Verdana"/>
                <w:sz w:val="16"/>
                <w:szCs w:val="16"/>
              </w:rPr>
              <w:t>Adriana López</w:t>
            </w:r>
          </w:p>
          <w:p w14:paraId="40B2B514" w14:textId="77777777" w:rsidR="00C52988" w:rsidRPr="005644FE" w:rsidRDefault="00C52988" w:rsidP="00BE649A">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C52988" w:rsidRPr="005644FE" w14:paraId="3291F345" w14:textId="77777777" w:rsidTr="00BE649A">
        <w:trPr>
          <w:trHeight w:val="300"/>
        </w:trPr>
        <w:tc>
          <w:tcPr>
            <w:tcW w:w="893" w:type="dxa"/>
            <w:vAlign w:val="center"/>
          </w:tcPr>
          <w:p w14:paraId="0FFCDADD" w14:textId="77777777" w:rsidR="00C52988" w:rsidRPr="005644FE" w:rsidRDefault="00C52988" w:rsidP="00BE649A">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726514B1" w14:textId="77777777" w:rsidR="00C52988" w:rsidRPr="005644FE" w:rsidRDefault="00C52988" w:rsidP="00BE649A">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2AD7C449" w14:textId="77777777" w:rsidR="00C52988" w:rsidRPr="005644FE" w:rsidRDefault="00C52988" w:rsidP="00BE649A">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0F293BF4" w14:textId="5194168F" w:rsidR="00127233" w:rsidRPr="00F459C4" w:rsidRDefault="00127233" w:rsidP="00F459C4"/>
    <w:sectPr w:rsidR="00127233" w:rsidRPr="00F459C4"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84A27" w14:textId="77777777" w:rsidR="003B2D21" w:rsidRDefault="003B2D21" w:rsidP="004A1847">
      <w:pPr>
        <w:spacing w:after="0" w:line="240" w:lineRule="auto"/>
      </w:pPr>
      <w:r>
        <w:separator/>
      </w:r>
    </w:p>
  </w:endnote>
  <w:endnote w:type="continuationSeparator" w:id="0">
    <w:p w14:paraId="5EF0D2E1" w14:textId="77777777" w:rsidR="003B2D21" w:rsidRDefault="003B2D2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E09CD" w14:textId="77777777" w:rsidR="003B2D21" w:rsidRDefault="003B2D21" w:rsidP="004A1847">
      <w:pPr>
        <w:spacing w:after="0" w:line="240" w:lineRule="auto"/>
      </w:pPr>
      <w:r>
        <w:separator/>
      </w:r>
    </w:p>
  </w:footnote>
  <w:footnote w:type="continuationSeparator" w:id="0">
    <w:p w14:paraId="3716BE1D" w14:textId="77777777" w:rsidR="003B2D21" w:rsidRDefault="003B2D21" w:rsidP="004A1847">
      <w:pPr>
        <w:spacing w:after="0" w:line="240" w:lineRule="auto"/>
      </w:pPr>
      <w:r>
        <w:continuationSeparator/>
      </w:r>
    </w:p>
  </w:footnote>
  <w:footnote w:id="1">
    <w:p w14:paraId="088F6852" w14:textId="77777777" w:rsidR="00C52988" w:rsidRPr="0012093A" w:rsidRDefault="00C52988" w:rsidP="00C52988">
      <w:pPr>
        <w:pStyle w:val="Textonotapie"/>
        <w:ind w:firstLine="709"/>
        <w:rPr>
          <w:rFonts w:ascii="Verdana" w:hAnsi="Verdana" w:cs="Arial"/>
          <w:sz w:val="14"/>
          <w:szCs w:val="14"/>
        </w:rPr>
      </w:pPr>
      <w:r w:rsidRPr="0012093A">
        <w:rPr>
          <w:rStyle w:val="Refdenotaalpie"/>
          <w:rFonts w:ascii="Verdana" w:hAnsi="Verdana" w:cs="Arial"/>
          <w:sz w:val="14"/>
          <w:szCs w:val="14"/>
        </w:rPr>
        <w:footnoteRef/>
      </w:r>
      <w:r w:rsidRPr="0012093A">
        <w:rPr>
          <w:rFonts w:ascii="Verdana" w:hAnsi="Verdana" w:cs="Arial"/>
          <w:sz w:val="14"/>
          <w:szCs w:val="14"/>
        </w:rPr>
        <w:t xml:space="preserve"> Gaceta del Congreso de la República No. 71 del 2005.</w:t>
      </w:r>
    </w:p>
    <w:p w14:paraId="00A1C019" w14:textId="77777777" w:rsidR="00C52988" w:rsidRPr="0012093A" w:rsidRDefault="00C52988" w:rsidP="00C52988">
      <w:pPr>
        <w:pStyle w:val="Textonotapie"/>
        <w:ind w:firstLine="709"/>
        <w:rPr>
          <w:rFonts w:ascii="Verdana" w:hAnsi="Verdana" w:cs="Arial"/>
          <w:sz w:val="14"/>
          <w:szCs w:val="14"/>
        </w:rPr>
      </w:pPr>
    </w:p>
  </w:footnote>
  <w:footnote w:id="2">
    <w:p w14:paraId="58533C4C" w14:textId="77777777" w:rsidR="00C52988" w:rsidRPr="0012093A" w:rsidRDefault="00C52988" w:rsidP="00C52988">
      <w:pPr>
        <w:pStyle w:val="Textonotapie"/>
        <w:ind w:firstLine="709"/>
        <w:rPr>
          <w:rFonts w:ascii="Verdana" w:hAnsi="Verdana" w:cs="Arial"/>
          <w:sz w:val="14"/>
          <w:szCs w:val="14"/>
        </w:rPr>
      </w:pPr>
      <w:r w:rsidRPr="0012093A">
        <w:rPr>
          <w:rStyle w:val="Refdenotaalpie"/>
          <w:rFonts w:ascii="Verdana" w:hAnsi="Verdana" w:cs="Arial"/>
          <w:sz w:val="14"/>
          <w:szCs w:val="14"/>
        </w:rPr>
        <w:footnoteRef/>
      </w:r>
      <w:r w:rsidRPr="0012093A">
        <w:rPr>
          <w:rFonts w:ascii="Verdana" w:hAnsi="Verdana" w:cs="Arial"/>
          <w:sz w:val="14"/>
          <w:szCs w:val="14"/>
        </w:rPr>
        <w:t xml:space="preserve"> Corte Constitucional, Sentencia C- 1153 de 2005, M.P. Marco Gerardo Monroy Cabra.</w:t>
      </w:r>
    </w:p>
    <w:p w14:paraId="0C3D18D0" w14:textId="77777777" w:rsidR="00C52988" w:rsidRPr="0012093A" w:rsidRDefault="00C52988" w:rsidP="00C52988">
      <w:pPr>
        <w:pStyle w:val="Textonotapie"/>
        <w:ind w:firstLine="709"/>
        <w:rPr>
          <w:rFonts w:ascii="Verdana" w:hAnsi="Verdana" w:cs="Arial"/>
          <w:sz w:val="14"/>
          <w:szCs w:val="14"/>
        </w:rPr>
      </w:pPr>
    </w:p>
  </w:footnote>
  <w:footnote w:id="3">
    <w:p w14:paraId="1EEDA367" w14:textId="77777777" w:rsidR="00C52988" w:rsidRPr="0012093A" w:rsidRDefault="00C52988" w:rsidP="00C52988">
      <w:pPr>
        <w:pStyle w:val="Textonotapie"/>
        <w:ind w:firstLine="709"/>
        <w:jc w:val="both"/>
        <w:rPr>
          <w:rFonts w:ascii="Verdana" w:hAnsi="Verdana" w:cs="Arial"/>
          <w:sz w:val="14"/>
          <w:szCs w:val="14"/>
          <w:lang w:val="es-CO"/>
        </w:rPr>
      </w:pPr>
      <w:r w:rsidRPr="0012093A">
        <w:rPr>
          <w:rStyle w:val="Refdenotaalpie"/>
          <w:rFonts w:ascii="Verdana" w:hAnsi="Verdana" w:cs="Arial"/>
          <w:sz w:val="14"/>
          <w:szCs w:val="14"/>
        </w:rPr>
        <w:footnoteRef/>
      </w:r>
      <w:r w:rsidRPr="0012093A">
        <w:rPr>
          <w:rFonts w:ascii="Verdana" w:hAnsi="Verdana" w:cs="Arial"/>
          <w:sz w:val="14"/>
          <w:szCs w:val="14"/>
        </w:rPr>
        <w:t xml:space="preserve"> </w:t>
      </w:r>
      <w:r w:rsidRPr="0012093A">
        <w:rPr>
          <w:rFonts w:ascii="Verdana" w:hAnsi="Verdana" w:cs="Arial"/>
          <w:sz w:val="14"/>
          <w:szCs w:val="14"/>
          <w:lang w:val="es-CO"/>
        </w:rPr>
        <w:t xml:space="preserve">Corte Constitucional. Sentencias: C-233 de 4 de abril de 2002. M.P: Álvaro Tafur Galvis; C-551 de 9 de julio de 2003. M.P: Eduardo Montealegre Lynnet; C-353 de 20 de mayo de 2009. M.P: Jorge Iván Palacio </w:t>
      </w:r>
      <w:proofErr w:type="spellStart"/>
      <w:r w:rsidRPr="0012093A">
        <w:rPr>
          <w:rFonts w:ascii="Verdana" w:hAnsi="Verdana" w:cs="Arial"/>
          <w:sz w:val="14"/>
          <w:szCs w:val="14"/>
          <w:lang w:val="es-CO"/>
        </w:rPr>
        <w:t>Palacio</w:t>
      </w:r>
      <w:proofErr w:type="spellEnd"/>
      <w:r w:rsidRPr="0012093A">
        <w:rPr>
          <w:rFonts w:ascii="Verdana" w:hAnsi="Verdana" w:cs="Arial"/>
          <w:sz w:val="14"/>
          <w:szCs w:val="14"/>
          <w:lang w:val="es-CO"/>
        </w:rPr>
        <w:t>; C-541 de 30 de junio de 2010. M.P: Gabriel Eduardo Mendoza Martelo; entre otras.</w:t>
      </w:r>
    </w:p>
    <w:p w14:paraId="1DA276F8" w14:textId="77777777" w:rsidR="00C52988" w:rsidRPr="0012093A" w:rsidRDefault="00C52988" w:rsidP="00C52988">
      <w:pPr>
        <w:pStyle w:val="Textonotapie"/>
        <w:ind w:firstLine="709"/>
        <w:jc w:val="both"/>
        <w:rPr>
          <w:rFonts w:ascii="Verdana" w:hAnsi="Verdana" w:cs="Arial"/>
          <w:sz w:val="14"/>
          <w:szCs w:val="14"/>
        </w:rPr>
      </w:pPr>
    </w:p>
  </w:footnote>
  <w:footnote w:id="4">
    <w:p w14:paraId="7CBAC5AE" w14:textId="77777777" w:rsidR="00C52988" w:rsidRPr="0012093A" w:rsidRDefault="00C52988" w:rsidP="00C52988">
      <w:pPr>
        <w:pStyle w:val="Textonotapie"/>
        <w:ind w:firstLine="709"/>
        <w:jc w:val="both"/>
        <w:rPr>
          <w:rFonts w:ascii="Verdana" w:hAnsi="Verdana" w:cs="Arial"/>
          <w:sz w:val="14"/>
          <w:szCs w:val="14"/>
          <w:lang w:val="es-CO"/>
        </w:rPr>
      </w:pPr>
      <w:r w:rsidRPr="0012093A">
        <w:rPr>
          <w:rStyle w:val="Refdenotaalpie"/>
          <w:rFonts w:ascii="Verdana" w:hAnsi="Verdana" w:cs="Arial"/>
          <w:sz w:val="14"/>
          <w:szCs w:val="14"/>
        </w:rPr>
        <w:footnoteRef/>
      </w:r>
      <w:r w:rsidRPr="0012093A">
        <w:rPr>
          <w:rFonts w:ascii="Verdana" w:hAnsi="Verdana" w:cs="Arial"/>
          <w:sz w:val="14"/>
          <w:szCs w:val="14"/>
          <w:lang w:val="es-CO"/>
        </w:rPr>
        <w:t xml:space="preserve"> Consejo de Estado. Sala de lo Contencioso Administrativo. Sección Primera. Sentencia de 3 de marzo de 2005. Radicado: 25001-23-15-000-2004-00823-01 (PI). C.P: Camilo Arciniegas Andrade. Ver también, Consejo de Estado. Sala de lo Contencioso Administrativo. Sección Tercera. Sentencia de 22 de enero de 2002. Radicado: 2001-0148-01 y, Consejo de Estado. Sala de lo Contencioso Administrativo. Sección Tercera. Sentencia de 20 de noviembre de 2001. Radicado: 2001-0130-01(PI), entre otras.</w:t>
      </w:r>
    </w:p>
    <w:p w14:paraId="243EB041" w14:textId="77777777" w:rsidR="00C52988" w:rsidRPr="0012093A" w:rsidRDefault="00C52988" w:rsidP="00C52988">
      <w:pPr>
        <w:pStyle w:val="Textonotapie"/>
        <w:ind w:firstLine="709"/>
        <w:jc w:val="both"/>
        <w:rPr>
          <w:rFonts w:ascii="Verdana" w:hAnsi="Verdana" w:cs="Arial"/>
          <w:sz w:val="14"/>
          <w:szCs w:val="14"/>
          <w:lang w:val="es-CO"/>
        </w:rPr>
      </w:pPr>
    </w:p>
  </w:footnote>
  <w:footnote w:id="5">
    <w:p w14:paraId="13FC73D3" w14:textId="77777777" w:rsidR="00C52988" w:rsidRPr="0012093A" w:rsidRDefault="00C52988" w:rsidP="00C52988">
      <w:pPr>
        <w:pStyle w:val="Textonotapie"/>
        <w:ind w:firstLine="709"/>
        <w:jc w:val="both"/>
        <w:rPr>
          <w:rFonts w:ascii="Verdana" w:hAnsi="Verdana" w:cs="Arial"/>
          <w:sz w:val="14"/>
          <w:szCs w:val="14"/>
        </w:rPr>
      </w:pPr>
      <w:r w:rsidRPr="0012093A">
        <w:rPr>
          <w:rStyle w:val="Refdenotaalpie"/>
          <w:rFonts w:ascii="Verdana" w:hAnsi="Verdana" w:cs="Arial"/>
          <w:sz w:val="14"/>
          <w:szCs w:val="14"/>
        </w:rPr>
        <w:footnoteRef/>
      </w:r>
      <w:r w:rsidRPr="0012093A">
        <w:rPr>
          <w:rFonts w:ascii="Verdana" w:hAnsi="Verdana" w:cs="Arial"/>
          <w:sz w:val="14"/>
          <w:szCs w:val="14"/>
        </w:rPr>
        <w:t xml:space="preserve"> Consejo de Estado, Sala de Consulta y Servicio Civil de fecha 24 de julio de 2013, radicado 2166, </w:t>
      </w:r>
      <w:proofErr w:type="gramStart"/>
      <w:r w:rsidRPr="0012093A">
        <w:rPr>
          <w:rFonts w:ascii="Verdana" w:hAnsi="Verdana" w:cs="Arial"/>
          <w:sz w:val="14"/>
          <w:szCs w:val="14"/>
        </w:rPr>
        <w:t>Consejero</w:t>
      </w:r>
      <w:proofErr w:type="gramEnd"/>
      <w:r w:rsidRPr="0012093A">
        <w:rPr>
          <w:rFonts w:ascii="Verdana" w:hAnsi="Verdana" w:cs="Arial"/>
          <w:sz w:val="14"/>
          <w:szCs w:val="14"/>
        </w:rPr>
        <w:t xml:space="preserve"> Ponente: Álvaro Namén Vargas.  </w:t>
      </w:r>
    </w:p>
    <w:p w14:paraId="56F420B2" w14:textId="77777777" w:rsidR="00C52988" w:rsidRPr="002817AD" w:rsidRDefault="00C52988" w:rsidP="00C52988">
      <w:pPr>
        <w:pStyle w:val="Textonotapie"/>
        <w:ind w:firstLine="709"/>
        <w:jc w:val="both"/>
        <w:rPr>
          <w:rFonts w:ascii="Verdana" w:hAnsi="Verdana" w:cs="Arial"/>
          <w:sz w:val="16"/>
          <w:szCs w:val="16"/>
        </w:rPr>
      </w:pPr>
    </w:p>
  </w:footnote>
  <w:footnote w:id="6">
    <w:p w14:paraId="6E972B98" w14:textId="77777777" w:rsidR="00C52988" w:rsidRPr="0012093A" w:rsidRDefault="00C52988" w:rsidP="00C52988">
      <w:pPr>
        <w:spacing w:after="0" w:line="240" w:lineRule="auto"/>
        <w:ind w:firstLine="709"/>
        <w:jc w:val="both"/>
        <w:rPr>
          <w:rFonts w:ascii="Verdana" w:eastAsia="Times New Roman" w:hAnsi="Verdana" w:cs="Arial"/>
          <w:sz w:val="14"/>
          <w:szCs w:val="14"/>
        </w:rPr>
      </w:pPr>
      <w:r w:rsidRPr="0012093A">
        <w:rPr>
          <w:rStyle w:val="Refdenotaalpie"/>
          <w:rFonts w:ascii="Verdana" w:hAnsi="Verdana" w:cs="Arial"/>
          <w:sz w:val="14"/>
          <w:szCs w:val="14"/>
        </w:rPr>
        <w:footnoteRef/>
      </w:r>
      <w:r w:rsidRPr="0012093A">
        <w:rPr>
          <w:rFonts w:ascii="Verdana" w:hAnsi="Verdana" w:cs="Arial"/>
          <w:sz w:val="14"/>
          <w:szCs w:val="14"/>
        </w:rPr>
        <w:t xml:space="preserve"> </w:t>
      </w:r>
      <w:bookmarkStart w:id="4" w:name="33"/>
      <w:r w:rsidRPr="0012093A">
        <w:rPr>
          <w:rFonts w:ascii="Verdana" w:eastAsia="Times New Roman" w:hAnsi="Verdana" w:cs="Arial"/>
          <w:sz w:val="14"/>
          <w:szCs w:val="14"/>
        </w:rPr>
        <w:t>Artículo 33. Restricciones a la contratación pública.</w:t>
      </w:r>
      <w:bookmarkEnd w:id="4"/>
      <w:r w:rsidRPr="0012093A">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38706BBE" w14:textId="77777777" w:rsidR="00C52988" w:rsidRPr="0012093A" w:rsidRDefault="00C52988" w:rsidP="00C52988">
      <w:pPr>
        <w:spacing w:after="0" w:line="240" w:lineRule="auto"/>
        <w:ind w:firstLine="709"/>
        <w:jc w:val="both"/>
        <w:rPr>
          <w:rFonts w:ascii="Verdana" w:eastAsia="Times New Roman" w:hAnsi="Verdana" w:cs="Arial"/>
          <w:sz w:val="14"/>
          <w:szCs w:val="14"/>
        </w:rPr>
      </w:pPr>
    </w:p>
    <w:p w14:paraId="4BE225E0" w14:textId="77777777" w:rsidR="00C52988" w:rsidRPr="0012093A" w:rsidRDefault="00C52988" w:rsidP="00C52988">
      <w:pPr>
        <w:spacing w:after="0" w:line="240" w:lineRule="auto"/>
        <w:ind w:firstLine="709"/>
        <w:jc w:val="both"/>
        <w:rPr>
          <w:rFonts w:ascii="Verdana" w:eastAsia="Times New Roman" w:hAnsi="Verdana" w:cs="Arial"/>
          <w:sz w:val="14"/>
          <w:szCs w:val="14"/>
        </w:rPr>
      </w:pPr>
      <w:r w:rsidRPr="0012093A">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DD3D1A6" w14:textId="77777777" w:rsidR="00C52988" w:rsidRPr="0012093A" w:rsidRDefault="00C52988" w:rsidP="00C52988">
      <w:pPr>
        <w:spacing w:after="0" w:line="240" w:lineRule="auto"/>
        <w:ind w:firstLine="709"/>
        <w:jc w:val="both"/>
        <w:rPr>
          <w:rFonts w:ascii="Verdana" w:eastAsia="Times New Roman" w:hAnsi="Verdana" w:cs="Arial"/>
          <w:sz w:val="14"/>
          <w:szCs w:val="14"/>
        </w:rPr>
      </w:pPr>
    </w:p>
  </w:footnote>
  <w:footnote w:id="7">
    <w:p w14:paraId="021EADE4" w14:textId="77777777" w:rsidR="00C52988" w:rsidRPr="0012093A" w:rsidRDefault="00C52988" w:rsidP="00C52988">
      <w:pPr>
        <w:pStyle w:val="Textonotapie"/>
        <w:ind w:right="51" w:firstLine="709"/>
        <w:contextualSpacing/>
        <w:jc w:val="both"/>
        <w:rPr>
          <w:rFonts w:ascii="Verdana" w:hAnsi="Verdana" w:cs="Arial"/>
          <w:sz w:val="14"/>
          <w:szCs w:val="14"/>
        </w:rPr>
      </w:pPr>
      <w:r w:rsidRPr="0012093A">
        <w:rPr>
          <w:rStyle w:val="Refdenotaalpie"/>
          <w:rFonts w:ascii="Verdana" w:hAnsi="Verdana" w:cs="Arial"/>
          <w:sz w:val="14"/>
          <w:szCs w:val="14"/>
        </w:rPr>
        <w:footnoteRef/>
      </w:r>
      <w:r w:rsidRPr="0012093A">
        <w:rPr>
          <w:rFonts w:ascii="Verdana" w:hAnsi="Verdana" w:cs="Arial"/>
          <w:sz w:val="14"/>
          <w:szCs w:val="14"/>
        </w:rPr>
        <w:t xml:space="preserve"> “</w:t>
      </w:r>
      <w:r w:rsidRPr="0012093A">
        <w:rPr>
          <w:rFonts w:ascii="Verdana" w:hAnsi="Verdana" w:cs="Arial"/>
          <w:sz w:val="14"/>
          <w:szCs w:val="14"/>
          <w:lang w:val="es-ES"/>
        </w:rPr>
        <w:t xml:space="preserve">[25] </w:t>
      </w:r>
      <w:r w:rsidRPr="0012093A">
        <w:rPr>
          <w:rFonts w:ascii="Verdana" w:hAnsi="Verdana" w:cs="Arial"/>
          <w:sz w:val="14"/>
          <w:szCs w:val="14"/>
        </w:rPr>
        <w:t>Cfr. Consejo de Estado. Sección Tercera. Sentencia de 3 de diciembre de 2007. Radicados: 24.715, 25.206, 25.409, 24.524, 27.834, 25.410, 26.105, 28.244, 31.447 -acumulados-”.</w:t>
      </w:r>
    </w:p>
    <w:p w14:paraId="6E01BC79" w14:textId="77777777" w:rsidR="00C52988" w:rsidRPr="0012093A" w:rsidRDefault="00C52988" w:rsidP="00C52988">
      <w:pPr>
        <w:pStyle w:val="Textonotapie"/>
        <w:ind w:right="51" w:firstLine="709"/>
        <w:contextualSpacing/>
        <w:jc w:val="both"/>
        <w:rPr>
          <w:rFonts w:ascii="Verdana" w:hAnsi="Verdana" w:cs="Arial"/>
          <w:sz w:val="14"/>
          <w:szCs w:val="14"/>
        </w:rPr>
      </w:pPr>
    </w:p>
  </w:footnote>
  <w:footnote w:id="8">
    <w:p w14:paraId="53A85416" w14:textId="77777777" w:rsidR="00C52988" w:rsidRPr="0012093A" w:rsidRDefault="00C52988" w:rsidP="00C52988">
      <w:pPr>
        <w:pStyle w:val="Textonotapie"/>
        <w:ind w:right="51" w:firstLine="709"/>
        <w:contextualSpacing/>
        <w:jc w:val="both"/>
        <w:rPr>
          <w:rFonts w:ascii="Verdana" w:hAnsi="Verdana" w:cs="Arial"/>
          <w:sz w:val="14"/>
          <w:szCs w:val="14"/>
        </w:rPr>
      </w:pPr>
      <w:r w:rsidRPr="0012093A">
        <w:rPr>
          <w:rStyle w:val="Refdenotaalpie"/>
          <w:rFonts w:ascii="Verdana" w:hAnsi="Verdana" w:cs="Arial"/>
          <w:sz w:val="14"/>
          <w:szCs w:val="14"/>
        </w:rPr>
        <w:footnoteRef/>
      </w:r>
      <w:r w:rsidRPr="0012093A">
        <w:rPr>
          <w:rFonts w:ascii="Verdana" w:hAnsi="Verdana" w:cs="Arial"/>
          <w:sz w:val="14"/>
          <w:szCs w:val="14"/>
        </w:rPr>
        <w:t xml:space="preserve"> </w:t>
      </w:r>
      <w:bookmarkStart w:id="7" w:name="_Hlk74294506"/>
      <w:r w:rsidRPr="0012093A">
        <w:rPr>
          <w:rFonts w:ascii="Verdana" w:hAnsi="Verdana" w:cs="Arial"/>
          <w:sz w:val="14"/>
          <w:szCs w:val="14"/>
        </w:rPr>
        <w:t>“(</w:t>
      </w:r>
      <w:r w:rsidRPr="0012093A">
        <w:rPr>
          <w:rFonts w:ascii="Verdana" w:hAnsi="Verdana" w:cs="Arial"/>
          <w:sz w:val="14"/>
          <w:szCs w:val="14"/>
          <w:lang w:val="es-ES"/>
        </w:rPr>
        <w:t xml:space="preserve">26) </w:t>
      </w:r>
      <w:bookmarkEnd w:id="7"/>
      <w:r w:rsidRPr="0012093A">
        <w:rPr>
          <w:rFonts w:ascii="Verdana" w:hAnsi="Verdana" w:cs="Arial"/>
          <w:sz w:val="14"/>
          <w:szCs w:val="14"/>
        </w:rPr>
        <w:t>Al respecto ver el concepto 1712 de 2 de febrero de 2006. Consejo de Estado Sala de Consulta y Servicio Civil”.</w:t>
      </w:r>
    </w:p>
    <w:p w14:paraId="7BAEB092" w14:textId="77777777" w:rsidR="00C52988" w:rsidRPr="00B93D47" w:rsidRDefault="00C52988" w:rsidP="00C52988">
      <w:pPr>
        <w:pStyle w:val="Textonotapie"/>
        <w:ind w:right="51" w:firstLine="709"/>
        <w:contextualSpacing/>
        <w:jc w:val="both"/>
        <w:rPr>
          <w:rFonts w:ascii="Verdana" w:hAnsi="Verdana" w:cs="Arial"/>
          <w:sz w:val="16"/>
          <w:szCs w:val="16"/>
        </w:rPr>
      </w:pPr>
    </w:p>
  </w:footnote>
  <w:footnote w:id="9">
    <w:p w14:paraId="77B8D669" w14:textId="77777777" w:rsidR="00C52988" w:rsidRPr="0012093A" w:rsidRDefault="00C52988" w:rsidP="00C52988">
      <w:pPr>
        <w:pStyle w:val="Textonotapie"/>
        <w:ind w:firstLine="709"/>
        <w:contextualSpacing/>
        <w:jc w:val="both"/>
        <w:rPr>
          <w:rFonts w:ascii="Verdana" w:hAnsi="Verdana" w:cs="Arial"/>
          <w:sz w:val="14"/>
          <w:szCs w:val="14"/>
        </w:rPr>
      </w:pPr>
      <w:r w:rsidRPr="0012093A">
        <w:rPr>
          <w:rStyle w:val="Refdenotaalpie"/>
          <w:rFonts w:ascii="Verdana" w:hAnsi="Verdana" w:cs="Arial"/>
          <w:sz w:val="14"/>
          <w:szCs w:val="14"/>
        </w:rPr>
        <w:footnoteRef/>
      </w:r>
      <w:r w:rsidRPr="0012093A">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p w14:paraId="09066047" w14:textId="77777777" w:rsidR="00C52988" w:rsidRPr="0012093A" w:rsidRDefault="00C52988" w:rsidP="00C52988">
      <w:pPr>
        <w:pStyle w:val="Textonotapie"/>
        <w:ind w:firstLine="709"/>
        <w:contextualSpacing/>
        <w:jc w:val="both"/>
        <w:rPr>
          <w:rFonts w:ascii="Verdana" w:hAnsi="Verdana" w:cs="Arial"/>
          <w:sz w:val="14"/>
          <w:szCs w:val="14"/>
        </w:rPr>
      </w:pPr>
    </w:p>
  </w:footnote>
  <w:footnote w:id="10">
    <w:p w14:paraId="54A82715" w14:textId="77777777" w:rsidR="00C52988" w:rsidRPr="0012093A" w:rsidRDefault="00C52988" w:rsidP="00C52988">
      <w:pPr>
        <w:pStyle w:val="Textonotapie"/>
        <w:ind w:firstLine="709"/>
        <w:contextualSpacing/>
        <w:jc w:val="both"/>
        <w:rPr>
          <w:rFonts w:ascii="Verdana" w:hAnsi="Verdana" w:cs="Arial"/>
          <w:sz w:val="14"/>
          <w:szCs w:val="14"/>
          <w:lang w:val="es-ES"/>
        </w:rPr>
      </w:pPr>
      <w:r w:rsidRPr="0012093A">
        <w:rPr>
          <w:rStyle w:val="Refdenotaalpie"/>
          <w:rFonts w:ascii="Verdana" w:hAnsi="Verdana" w:cs="Arial"/>
          <w:sz w:val="14"/>
          <w:szCs w:val="14"/>
        </w:rPr>
        <w:footnoteRef/>
      </w:r>
      <w:r w:rsidRPr="0012093A">
        <w:rPr>
          <w:rFonts w:ascii="Verdana" w:hAnsi="Verdana" w:cs="Arial"/>
          <w:sz w:val="14"/>
          <w:szCs w:val="14"/>
        </w:rPr>
        <w:t xml:space="preserve"> </w:t>
      </w:r>
      <w:r w:rsidRPr="0012093A">
        <w:rPr>
          <w:rFonts w:ascii="Verdana" w:hAnsi="Verdana" w:cs="Arial"/>
          <w:sz w:val="14"/>
          <w:szCs w:val="14"/>
          <w:lang w:val="es-ES"/>
        </w:rPr>
        <w:t xml:space="preserve">Artículo 2. </w:t>
      </w:r>
    </w:p>
  </w:footnote>
  <w:footnote w:id="11">
    <w:p w14:paraId="51F03FAC" w14:textId="77777777" w:rsidR="00C52988" w:rsidRPr="0012093A" w:rsidRDefault="00C52988" w:rsidP="00C52988">
      <w:pPr>
        <w:pStyle w:val="Textonotapie"/>
        <w:ind w:firstLine="709"/>
        <w:contextualSpacing/>
        <w:jc w:val="both"/>
        <w:rPr>
          <w:rFonts w:ascii="Verdana" w:hAnsi="Verdana" w:cs="Arial"/>
          <w:sz w:val="14"/>
          <w:szCs w:val="14"/>
        </w:rPr>
      </w:pPr>
    </w:p>
    <w:p w14:paraId="08C78AAC" w14:textId="77777777" w:rsidR="00C52988" w:rsidRPr="0012093A" w:rsidRDefault="00C52988" w:rsidP="00C52988">
      <w:pPr>
        <w:pStyle w:val="Textonotapie"/>
        <w:ind w:firstLine="709"/>
        <w:contextualSpacing/>
        <w:jc w:val="both"/>
        <w:rPr>
          <w:rFonts w:ascii="Verdana" w:hAnsi="Verdana" w:cs="Arial"/>
          <w:sz w:val="14"/>
          <w:szCs w:val="14"/>
          <w:lang w:val="es-ES"/>
        </w:rPr>
      </w:pPr>
      <w:r w:rsidRPr="0012093A">
        <w:rPr>
          <w:rStyle w:val="Refdenotaalpie"/>
          <w:rFonts w:ascii="Verdana" w:hAnsi="Verdana" w:cs="Arial"/>
          <w:sz w:val="14"/>
          <w:szCs w:val="14"/>
        </w:rPr>
        <w:footnoteRef/>
      </w:r>
      <w:r w:rsidRPr="0012093A">
        <w:rPr>
          <w:rFonts w:ascii="Verdana" w:hAnsi="Verdana" w:cs="Arial"/>
          <w:sz w:val="14"/>
          <w:szCs w:val="14"/>
        </w:rPr>
        <w:t xml:space="preserve"> </w:t>
      </w:r>
      <w:r w:rsidRPr="0012093A">
        <w:rPr>
          <w:rFonts w:ascii="Verdana" w:hAnsi="Verdana" w:cs="Arial"/>
          <w:i/>
          <w:sz w:val="14"/>
          <w:szCs w:val="14"/>
          <w:lang w:val="es-ES"/>
        </w:rPr>
        <w:t>Ídem</w:t>
      </w:r>
      <w:r w:rsidRPr="0012093A">
        <w:rPr>
          <w:rFonts w:ascii="Verdana" w:hAnsi="Verdana" w:cs="Arial"/>
          <w:sz w:val="14"/>
          <w:szCs w:val="14"/>
          <w:lang w:val="es-ES"/>
        </w:rPr>
        <w:t>.</w:t>
      </w:r>
    </w:p>
    <w:p w14:paraId="6A1F8C26" w14:textId="77777777" w:rsidR="00C52988" w:rsidRPr="0012093A" w:rsidRDefault="00C52988" w:rsidP="00C52988">
      <w:pPr>
        <w:pStyle w:val="Textonotapie"/>
        <w:ind w:firstLine="709"/>
        <w:contextualSpacing/>
        <w:jc w:val="both"/>
        <w:rPr>
          <w:rFonts w:ascii="Verdana" w:hAnsi="Verdana" w:cs="Arial"/>
          <w:sz w:val="14"/>
          <w:szCs w:val="14"/>
          <w:lang w:val="es-ES"/>
        </w:rPr>
      </w:pPr>
    </w:p>
  </w:footnote>
  <w:footnote w:id="12">
    <w:p w14:paraId="57507953" w14:textId="77777777" w:rsidR="00C52988" w:rsidRPr="0012093A" w:rsidRDefault="00C52988" w:rsidP="00C52988">
      <w:pPr>
        <w:pStyle w:val="Textonotapie"/>
        <w:ind w:firstLine="709"/>
        <w:contextualSpacing/>
        <w:jc w:val="both"/>
        <w:rPr>
          <w:rFonts w:ascii="Verdana" w:hAnsi="Verdana" w:cs="Arial"/>
          <w:sz w:val="14"/>
          <w:szCs w:val="14"/>
          <w:lang w:val="es-ES"/>
        </w:rPr>
      </w:pPr>
      <w:r w:rsidRPr="0012093A">
        <w:rPr>
          <w:rStyle w:val="Refdenotaalpie"/>
          <w:rFonts w:ascii="Verdana" w:hAnsi="Verdana" w:cs="Arial"/>
          <w:sz w:val="14"/>
          <w:szCs w:val="14"/>
        </w:rPr>
        <w:footnoteRef/>
      </w:r>
      <w:r w:rsidRPr="0012093A">
        <w:rPr>
          <w:rStyle w:val="Refdenotaalpie"/>
          <w:rFonts w:ascii="Verdana" w:hAnsi="Verdana" w:cs="Arial"/>
          <w:sz w:val="14"/>
          <w:szCs w:val="14"/>
        </w:rPr>
        <w:t xml:space="preserve"> </w:t>
      </w:r>
      <w:r w:rsidRPr="0012093A">
        <w:rPr>
          <w:rFonts w:ascii="Verdana" w:hAnsi="Verdana" w:cs="Arial"/>
          <w:sz w:val="14"/>
          <w:szCs w:val="14"/>
          <w:lang w:val="es-ES"/>
        </w:rPr>
        <w:t xml:space="preserve">“(…) A este respecto, cabe recordar que el artículo 860 del Código de Comercio regula la licitación en el derecho privado”. </w:t>
      </w:r>
    </w:p>
    <w:p w14:paraId="454B5818" w14:textId="77777777" w:rsidR="00C52988" w:rsidRPr="0012093A" w:rsidRDefault="00C52988" w:rsidP="00C52988">
      <w:pPr>
        <w:pStyle w:val="Textonotapie"/>
        <w:ind w:firstLine="709"/>
        <w:contextualSpacing/>
        <w:jc w:val="both"/>
        <w:rPr>
          <w:rFonts w:ascii="Verdana" w:hAnsi="Verdana" w:cs="Arial"/>
          <w:sz w:val="14"/>
          <w:szCs w:val="14"/>
          <w:lang w:val="es-ES"/>
        </w:rPr>
      </w:pPr>
    </w:p>
  </w:footnote>
  <w:footnote w:id="13">
    <w:p w14:paraId="767F5C9E" w14:textId="77777777" w:rsidR="00C52988" w:rsidRPr="0012093A" w:rsidRDefault="00C52988" w:rsidP="00C52988">
      <w:pPr>
        <w:shd w:val="clear" w:color="auto" w:fill="FFFFFF"/>
        <w:spacing w:after="0" w:line="240" w:lineRule="auto"/>
        <w:ind w:firstLine="709"/>
        <w:contextualSpacing/>
        <w:jc w:val="both"/>
        <w:rPr>
          <w:rFonts w:ascii="Verdana" w:hAnsi="Verdana" w:cs="Arial"/>
          <w:sz w:val="14"/>
          <w:szCs w:val="14"/>
          <w:lang w:val="es-ES"/>
        </w:rPr>
      </w:pPr>
      <w:r w:rsidRPr="0012093A">
        <w:rPr>
          <w:rStyle w:val="Refdenotaalpie"/>
          <w:rFonts w:ascii="Verdana" w:hAnsi="Verdana" w:cs="Arial"/>
          <w:sz w:val="14"/>
          <w:szCs w:val="14"/>
        </w:rPr>
        <w:footnoteRef/>
      </w:r>
      <w:r w:rsidRPr="0012093A">
        <w:rPr>
          <w:rStyle w:val="Refdenotaalpie"/>
          <w:rFonts w:ascii="Verdana" w:hAnsi="Verdana" w:cs="Arial"/>
          <w:sz w:val="14"/>
          <w:szCs w:val="14"/>
        </w:rPr>
        <w:t xml:space="preserve"> </w:t>
      </w:r>
      <w:r w:rsidRPr="0012093A">
        <w:rPr>
          <w:rFonts w:ascii="Verdana" w:hAnsi="Verdana" w:cs="Arial"/>
          <w:sz w:val="14"/>
          <w:szCs w:val="14"/>
          <w:lang w:val="es-ES"/>
        </w:rPr>
        <w:t>Consejo de Estado. Sala de Consulta y Servicio Civil, Concepto de 8 de mayo de 2018. Radicación Número: 11001-03-06-000-2018-00095-00(2382). Consejero Ponente: Álvaro Namén Vargas.</w:t>
      </w:r>
    </w:p>
  </w:footnote>
  <w:footnote w:id="14">
    <w:p w14:paraId="0F1119AE" w14:textId="77777777" w:rsidR="00C52988" w:rsidRPr="0012093A" w:rsidRDefault="00C52988" w:rsidP="00C52988">
      <w:pPr>
        <w:pStyle w:val="Textonotapie"/>
        <w:contextualSpacing/>
        <w:jc w:val="both"/>
        <w:rPr>
          <w:rFonts w:ascii="Verdana" w:hAnsi="Verdana" w:cs="Arial"/>
          <w:sz w:val="14"/>
          <w:szCs w:val="14"/>
        </w:rPr>
      </w:pPr>
    </w:p>
    <w:p w14:paraId="1E12DA7D" w14:textId="77777777" w:rsidR="00C52988" w:rsidRPr="0012093A" w:rsidRDefault="00C52988" w:rsidP="00C52988">
      <w:pPr>
        <w:pStyle w:val="Textonotapie"/>
        <w:ind w:firstLine="709"/>
        <w:contextualSpacing/>
        <w:jc w:val="both"/>
        <w:rPr>
          <w:rFonts w:ascii="Verdana" w:hAnsi="Verdana" w:cs="Arial"/>
          <w:sz w:val="14"/>
          <w:szCs w:val="14"/>
        </w:rPr>
      </w:pPr>
      <w:r w:rsidRPr="0012093A">
        <w:rPr>
          <w:rStyle w:val="Refdenotaalpie"/>
          <w:rFonts w:ascii="Verdana" w:hAnsi="Verdana" w:cs="Arial"/>
          <w:sz w:val="14"/>
          <w:szCs w:val="14"/>
        </w:rPr>
        <w:footnoteRef/>
      </w:r>
      <w:r w:rsidRPr="0012093A">
        <w:rPr>
          <w:rFonts w:ascii="Verdana" w:hAnsi="Verdana" w:cs="Arial"/>
          <w:sz w:val="14"/>
          <w:szCs w:val="14"/>
        </w:rPr>
        <w:t xml:space="preserve"> Ibidem </w:t>
      </w:r>
    </w:p>
    <w:p w14:paraId="5454C2AD" w14:textId="77777777" w:rsidR="00C52988" w:rsidRPr="0012093A" w:rsidRDefault="00C52988" w:rsidP="00C52988">
      <w:pPr>
        <w:pStyle w:val="Textonotapie"/>
        <w:ind w:firstLine="709"/>
        <w:contextualSpacing/>
        <w:jc w:val="both"/>
        <w:rPr>
          <w:rFonts w:ascii="Verdana" w:hAnsi="Verdana" w:cs="Arial"/>
          <w:sz w:val="14"/>
          <w:szCs w:val="14"/>
        </w:rPr>
      </w:pPr>
    </w:p>
  </w:footnote>
  <w:footnote w:id="15">
    <w:p w14:paraId="52BD5BCF" w14:textId="77777777" w:rsidR="00C52988" w:rsidRPr="0012093A" w:rsidRDefault="00C52988" w:rsidP="00C52988">
      <w:pPr>
        <w:pStyle w:val="Textonotapie"/>
        <w:ind w:firstLine="709"/>
        <w:contextualSpacing/>
        <w:jc w:val="both"/>
        <w:rPr>
          <w:rFonts w:ascii="Verdana" w:hAnsi="Verdana" w:cs="Arial"/>
          <w:sz w:val="14"/>
          <w:szCs w:val="14"/>
        </w:rPr>
      </w:pPr>
      <w:r w:rsidRPr="0012093A">
        <w:rPr>
          <w:rStyle w:val="Refdenotaalpie"/>
          <w:rFonts w:ascii="Verdana" w:hAnsi="Verdana" w:cs="Arial"/>
          <w:sz w:val="14"/>
          <w:szCs w:val="14"/>
        </w:rPr>
        <w:footnoteRef/>
      </w:r>
      <w:r w:rsidRPr="0012093A">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w:t>
      </w:r>
      <w:proofErr w:type="spellStart"/>
      <w:r w:rsidRPr="0012093A">
        <w:rPr>
          <w:rFonts w:ascii="Verdana" w:hAnsi="Verdana" w:cs="Arial"/>
          <w:sz w:val="14"/>
          <w:szCs w:val="14"/>
        </w:rPr>
        <w:t>N°</w:t>
      </w:r>
      <w:proofErr w:type="spellEnd"/>
      <w:r w:rsidRPr="0012093A">
        <w:rPr>
          <w:rFonts w:ascii="Verdana" w:hAnsi="Verdana" w:cs="Arial"/>
          <w:sz w:val="14"/>
          <w:szCs w:val="14"/>
        </w:rPr>
        <w:t xml:space="preserve"> 216/05 Senado, </w:t>
      </w:r>
      <w:proofErr w:type="spellStart"/>
      <w:r w:rsidRPr="0012093A">
        <w:rPr>
          <w:rFonts w:ascii="Verdana" w:hAnsi="Verdana" w:cs="Arial"/>
          <w:sz w:val="14"/>
          <w:szCs w:val="14"/>
        </w:rPr>
        <w:t>N°</w:t>
      </w:r>
      <w:proofErr w:type="spellEnd"/>
      <w:r w:rsidRPr="0012093A">
        <w:rPr>
          <w:rFonts w:ascii="Verdana" w:hAnsi="Verdana" w:cs="Arial"/>
          <w:sz w:val="14"/>
          <w:szCs w:val="14"/>
        </w:rPr>
        <w:t xml:space="preserve"> 235-Cámara que dio lugar a la Ley de Garantías Electorales.</w:t>
      </w:r>
    </w:p>
  </w:footnote>
  <w:footnote w:id="16">
    <w:p w14:paraId="457802CB" w14:textId="77777777" w:rsidR="00C52988" w:rsidRPr="004626E3" w:rsidRDefault="00C52988" w:rsidP="00C52988">
      <w:pPr>
        <w:pStyle w:val="Textonotapie"/>
        <w:ind w:firstLine="708"/>
        <w:jc w:val="both"/>
        <w:rPr>
          <w:rFonts w:ascii="Verdana" w:hAnsi="Verdana" w:cs="Arial"/>
          <w:sz w:val="14"/>
          <w:szCs w:val="14"/>
        </w:rPr>
      </w:pPr>
      <w:r w:rsidRPr="004626E3">
        <w:rPr>
          <w:rStyle w:val="Refdenotaalpie"/>
          <w:rFonts w:ascii="Verdana" w:hAnsi="Verdana" w:cs="Arial"/>
          <w:sz w:val="14"/>
          <w:szCs w:val="14"/>
        </w:rPr>
        <w:footnoteRef/>
      </w:r>
      <w:r w:rsidRPr="004626E3">
        <w:rPr>
          <w:rFonts w:ascii="Verdana" w:hAnsi="Verdana" w:cs="Arial"/>
          <w:sz w:val="14"/>
          <w:szCs w:val="14"/>
        </w:rPr>
        <w:t xml:space="preserve"> Concepto del 3 de septiembre de 2019, con radicado No. 2201913000006512.</w:t>
      </w:r>
    </w:p>
    <w:p w14:paraId="2810037C" w14:textId="77777777" w:rsidR="00C52988" w:rsidRPr="004626E3" w:rsidRDefault="00C52988" w:rsidP="00C52988">
      <w:pPr>
        <w:pStyle w:val="Textonotapie"/>
        <w:ind w:firstLine="708"/>
        <w:jc w:val="both"/>
        <w:rPr>
          <w:rFonts w:ascii="Verdana" w:hAnsi="Verdana" w:cs="Arial"/>
          <w:sz w:val="14"/>
          <w:szCs w:val="14"/>
        </w:rPr>
      </w:pPr>
    </w:p>
  </w:footnote>
  <w:footnote w:id="17">
    <w:p w14:paraId="09626871" w14:textId="77777777" w:rsidR="00C52988" w:rsidRPr="004626E3" w:rsidRDefault="00C52988" w:rsidP="00C52988">
      <w:pPr>
        <w:pStyle w:val="Textonotapie"/>
        <w:ind w:firstLine="708"/>
        <w:jc w:val="both"/>
        <w:rPr>
          <w:rFonts w:ascii="Verdana" w:hAnsi="Verdana" w:cs="Arial"/>
          <w:sz w:val="14"/>
          <w:szCs w:val="14"/>
        </w:rPr>
      </w:pPr>
      <w:r w:rsidRPr="004626E3">
        <w:rPr>
          <w:rStyle w:val="Refdenotaalpie"/>
          <w:rFonts w:ascii="Verdana" w:hAnsi="Verdana" w:cs="Arial"/>
          <w:sz w:val="14"/>
          <w:szCs w:val="14"/>
        </w:rPr>
        <w:footnoteRef/>
      </w:r>
      <w:r w:rsidRPr="004626E3">
        <w:rPr>
          <w:rFonts w:ascii="Verdana" w:hAnsi="Verdana" w:cs="Arial"/>
          <w:sz w:val="14"/>
          <w:szCs w:val="14"/>
        </w:rPr>
        <w:t xml:space="preserve"> Sobre la naturaleza de los convenios de asociación, se reitera lo expuesto en el concepto del 19 de noviembre de 2019, con radicado No. 2201913000008611.</w:t>
      </w:r>
    </w:p>
  </w:footnote>
  <w:footnote w:id="18">
    <w:p w14:paraId="1F4D79F7" w14:textId="77777777" w:rsidR="00C52988" w:rsidRPr="004626E3" w:rsidRDefault="00C52988" w:rsidP="00C52988">
      <w:pPr>
        <w:pStyle w:val="Textonotapie"/>
        <w:ind w:firstLine="708"/>
        <w:jc w:val="both"/>
        <w:rPr>
          <w:rFonts w:ascii="Verdana" w:hAnsi="Verdana" w:cs="Arial"/>
          <w:color w:val="000000" w:themeColor="text1"/>
          <w:sz w:val="14"/>
          <w:szCs w:val="14"/>
        </w:rPr>
      </w:pPr>
      <w:r w:rsidRPr="004626E3">
        <w:rPr>
          <w:rStyle w:val="Refdenotaalpie"/>
          <w:rFonts w:ascii="Verdana" w:hAnsi="Verdana" w:cs="Arial"/>
          <w:color w:val="000000" w:themeColor="text1"/>
          <w:sz w:val="14"/>
          <w:szCs w:val="14"/>
        </w:rPr>
        <w:footnoteRef/>
      </w:r>
      <w:r w:rsidRPr="004626E3">
        <w:rPr>
          <w:rFonts w:ascii="Verdana" w:hAnsi="Verdana" w:cs="Arial"/>
          <w:color w:val="000000" w:themeColor="text1"/>
          <w:sz w:val="14"/>
          <w:szCs w:val="14"/>
        </w:rPr>
        <w:t xml:space="preserve"> Cfr. Concepto del 21 de agosto de 2019, dictado dentro del radicado No. 2201913000006047.</w:t>
      </w:r>
    </w:p>
    <w:p w14:paraId="7A4CB412" w14:textId="77777777" w:rsidR="00C52988" w:rsidRPr="00B47839" w:rsidRDefault="00C52988" w:rsidP="00C52988">
      <w:pPr>
        <w:pStyle w:val="Textonotapie"/>
        <w:ind w:firstLine="708"/>
        <w:jc w:val="both"/>
        <w:rPr>
          <w:rFonts w:ascii="Verdana" w:hAnsi="Verdana" w:cs="Arial"/>
          <w:color w:val="000000" w:themeColor="text1"/>
          <w:sz w:val="16"/>
          <w:szCs w:val="16"/>
        </w:rPr>
      </w:pPr>
    </w:p>
  </w:footnote>
  <w:footnote w:id="19">
    <w:p w14:paraId="6BA51158" w14:textId="77777777" w:rsidR="00C52988" w:rsidRPr="004626E3" w:rsidRDefault="00C52988" w:rsidP="00C52988">
      <w:pPr>
        <w:pStyle w:val="Textonotapie"/>
        <w:ind w:firstLine="708"/>
        <w:jc w:val="both"/>
        <w:rPr>
          <w:rFonts w:ascii="Verdana" w:hAnsi="Verdana" w:cs="Arial"/>
          <w:color w:val="000000" w:themeColor="text1"/>
          <w:sz w:val="14"/>
          <w:szCs w:val="14"/>
          <w:lang w:val="es-ES"/>
        </w:rPr>
      </w:pPr>
      <w:r w:rsidRPr="004626E3">
        <w:rPr>
          <w:rStyle w:val="Refdenotaalpie"/>
          <w:rFonts w:ascii="Verdana" w:hAnsi="Verdana" w:cs="Arial"/>
          <w:color w:val="000000" w:themeColor="text1"/>
          <w:sz w:val="14"/>
          <w:szCs w:val="14"/>
        </w:rPr>
        <w:footnoteRef/>
      </w:r>
      <w:r w:rsidRPr="004626E3">
        <w:rPr>
          <w:rFonts w:ascii="Verdana" w:hAnsi="Verdana" w:cs="Arial"/>
          <w:color w:val="000000" w:themeColor="text1"/>
          <w:sz w:val="14"/>
          <w:szCs w:val="14"/>
        </w:rPr>
        <w:t xml:space="preserve"> Concepto del 24 de febrero de 2005. Radicado:1626, C.P. Gloria Duque Hernández.</w:t>
      </w:r>
    </w:p>
  </w:footnote>
  <w:footnote w:id="20">
    <w:p w14:paraId="36975215" w14:textId="77777777" w:rsidR="00C52988" w:rsidRPr="004626E3" w:rsidRDefault="00C52988" w:rsidP="00C52988">
      <w:pPr>
        <w:pStyle w:val="Textonotapie"/>
        <w:ind w:firstLine="708"/>
        <w:jc w:val="both"/>
        <w:rPr>
          <w:rFonts w:ascii="Verdana" w:hAnsi="Verdana" w:cs="Arial"/>
          <w:color w:val="000000" w:themeColor="text1"/>
          <w:sz w:val="14"/>
          <w:szCs w:val="14"/>
        </w:rPr>
      </w:pPr>
      <w:r w:rsidRPr="004626E3">
        <w:rPr>
          <w:rStyle w:val="Refdenotaalpie"/>
          <w:rFonts w:ascii="Verdana" w:hAnsi="Verdana" w:cs="Arial"/>
          <w:color w:val="000000" w:themeColor="text1"/>
          <w:sz w:val="14"/>
          <w:szCs w:val="14"/>
        </w:rPr>
        <w:footnoteRef/>
      </w:r>
      <w:r w:rsidRPr="004626E3">
        <w:rPr>
          <w:rFonts w:ascii="Verdana" w:hAnsi="Verdana" w:cs="Arial"/>
          <w:color w:val="000000" w:themeColor="text1"/>
          <w:sz w:val="14"/>
          <w:szCs w:val="14"/>
        </w:rPr>
        <w:t xml:space="preserve"> Decreto 092 de 2017,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3584315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6A6"/>
    <w:rsid w:val="00016F78"/>
    <w:rsid w:val="00023290"/>
    <w:rsid w:val="00046945"/>
    <w:rsid w:val="00061B2A"/>
    <w:rsid w:val="00082362"/>
    <w:rsid w:val="000A683E"/>
    <w:rsid w:val="000B19B9"/>
    <w:rsid w:val="000D0334"/>
    <w:rsid w:val="000D5DA7"/>
    <w:rsid w:val="000F6486"/>
    <w:rsid w:val="00107396"/>
    <w:rsid w:val="00110F9F"/>
    <w:rsid w:val="00116940"/>
    <w:rsid w:val="00125105"/>
    <w:rsid w:val="00127233"/>
    <w:rsid w:val="0015699B"/>
    <w:rsid w:val="001A33BF"/>
    <w:rsid w:val="001E4177"/>
    <w:rsid w:val="001F0B24"/>
    <w:rsid w:val="001F7DC6"/>
    <w:rsid w:val="00205F20"/>
    <w:rsid w:val="0022400B"/>
    <w:rsid w:val="002421BB"/>
    <w:rsid w:val="0025796E"/>
    <w:rsid w:val="002707A2"/>
    <w:rsid w:val="002951A0"/>
    <w:rsid w:val="002962BC"/>
    <w:rsid w:val="002A093D"/>
    <w:rsid w:val="002A0DD0"/>
    <w:rsid w:val="002A15E8"/>
    <w:rsid w:val="002A49AC"/>
    <w:rsid w:val="002A64FD"/>
    <w:rsid w:val="002C7A84"/>
    <w:rsid w:val="002E2BF8"/>
    <w:rsid w:val="002E4FD9"/>
    <w:rsid w:val="0030657A"/>
    <w:rsid w:val="00322A85"/>
    <w:rsid w:val="00324168"/>
    <w:rsid w:val="00330834"/>
    <w:rsid w:val="00343E37"/>
    <w:rsid w:val="003448F4"/>
    <w:rsid w:val="00374F5E"/>
    <w:rsid w:val="00377E3E"/>
    <w:rsid w:val="0039764A"/>
    <w:rsid w:val="003A779E"/>
    <w:rsid w:val="003B23D8"/>
    <w:rsid w:val="003B2D21"/>
    <w:rsid w:val="003D0F4D"/>
    <w:rsid w:val="003D5B0D"/>
    <w:rsid w:val="003E0499"/>
    <w:rsid w:val="003E4F80"/>
    <w:rsid w:val="003E6439"/>
    <w:rsid w:val="003F3941"/>
    <w:rsid w:val="00406575"/>
    <w:rsid w:val="00414C74"/>
    <w:rsid w:val="0042722E"/>
    <w:rsid w:val="00432EA4"/>
    <w:rsid w:val="0044528D"/>
    <w:rsid w:val="00466E39"/>
    <w:rsid w:val="004A1847"/>
    <w:rsid w:val="004A305D"/>
    <w:rsid w:val="004F21C4"/>
    <w:rsid w:val="004F685F"/>
    <w:rsid w:val="005566E8"/>
    <w:rsid w:val="00574867"/>
    <w:rsid w:val="00576A6B"/>
    <w:rsid w:val="00591460"/>
    <w:rsid w:val="005A65E0"/>
    <w:rsid w:val="005C3777"/>
    <w:rsid w:val="005C5CDC"/>
    <w:rsid w:val="005D476C"/>
    <w:rsid w:val="005D6F6E"/>
    <w:rsid w:val="00612A6C"/>
    <w:rsid w:val="006200BF"/>
    <w:rsid w:val="006219F8"/>
    <w:rsid w:val="006302F7"/>
    <w:rsid w:val="00646B9F"/>
    <w:rsid w:val="00665D70"/>
    <w:rsid w:val="006900D9"/>
    <w:rsid w:val="00706C16"/>
    <w:rsid w:val="007340C3"/>
    <w:rsid w:val="0075235A"/>
    <w:rsid w:val="00756841"/>
    <w:rsid w:val="0075707D"/>
    <w:rsid w:val="007649AB"/>
    <w:rsid w:val="00771D0C"/>
    <w:rsid w:val="007833AC"/>
    <w:rsid w:val="007B268C"/>
    <w:rsid w:val="007B7171"/>
    <w:rsid w:val="007C0C0F"/>
    <w:rsid w:val="007C3DC2"/>
    <w:rsid w:val="007E5497"/>
    <w:rsid w:val="00806F5F"/>
    <w:rsid w:val="00807915"/>
    <w:rsid w:val="00820278"/>
    <w:rsid w:val="008258C9"/>
    <w:rsid w:val="00844AE9"/>
    <w:rsid w:val="00845356"/>
    <w:rsid w:val="00867F95"/>
    <w:rsid w:val="008817E0"/>
    <w:rsid w:val="00881E0D"/>
    <w:rsid w:val="008843B6"/>
    <w:rsid w:val="00891928"/>
    <w:rsid w:val="008A446D"/>
    <w:rsid w:val="008B25F1"/>
    <w:rsid w:val="008D180B"/>
    <w:rsid w:val="008F0EA7"/>
    <w:rsid w:val="00923EEF"/>
    <w:rsid w:val="009419F9"/>
    <w:rsid w:val="00953E85"/>
    <w:rsid w:val="0095685E"/>
    <w:rsid w:val="00961B09"/>
    <w:rsid w:val="00965334"/>
    <w:rsid w:val="0097093E"/>
    <w:rsid w:val="009A0DFA"/>
    <w:rsid w:val="009A1C6F"/>
    <w:rsid w:val="009B2D26"/>
    <w:rsid w:val="009C71FA"/>
    <w:rsid w:val="009C72E7"/>
    <w:rsid w:val="009C7F7E"/>
    <w:rsid w:val="009D3058"/>
    <w:rsid w:val="009F3A13"/>
    <w:rsid w:val="00A122D3"/>
    <w:rsid w:val="00A143A7"/>
    <w:rsid w:val="00A14468"/>
    <w:rsid w:val="00A17F13"/>
    <w:rsid w:val="00A20739"/>
    <w:rsid w:val="00A23AF9"/>
    <w:rsid w:val="00A33C78"/>
    <w:rsid w:val="00A768EA"/>
    <w:rsid w:val="00AB0ADB"/>
    <w:rsid w:val="00B00C0E"/>
    <w:rsid w:val="00B01B1A"/>
    <w:rsid w:val="00B0381D"/>
    <w:rsid w:val="00B44A47"/>
    <w:rsid w:val="00B72CD3"/>
    <w:rsid w:val="00B72FFF"/>
    <w:rsid w:val="00BB556C"/>
    <w:rsid w:val="00BC3D36"/>
    <w:rsid w:val="00BD54A6"/>
    <w:rsid w:val="00BD7F72"/>
    <w:rsid w:val="00BF7425"/>
    <w:rsid w:val="00C04FB3"/>
    <w:rsid w:val="00C11D8B"/>
    <w:rsid w:val="00C15139"/>
    <w:rsid w:val="00C330EB"/>
    <w:rsid w:val="00C50D69"/>
    <w:rsid w:val="00C52988"/>
    <w:rsid w:val="00C5365C"/>
    <w:rsid w:val="00C754BE"/>
    <w:rsid w:val="00C76B1C"/>
    <w:rsid w:val="00C77B0D"/>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015D"/>
    <w:rsid w:val="00F23FEA"/>
    <w:rsid w:val="00F31EDC"/>
    <w:rsid w:val="00F45012"/>
    <w:rsid w:val="00F459C4"/>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52988"/>
    <w:rPr>
      <w:rFonts w:ascii="Geomanist Light" w:hAnsi="Geomanist Light"/>
      <w:lang w:val="es-ES"/>
    </w:rPr>
  </w:style>
  <w:style w:type="paragraph" w:customStyle="1" w:styleId="Appelnotedebasde">
    <w:name w:val="Appel note de bas de..."/>
    <w:basedOn w:val="Normal"/>
    <w:link w:val="Refdenotaalpie"/>
    <w:uiPriority w:val="99"/>
    <w:rsid w:val="00C52988"/>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ogadojairoortega@gmail.com"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C2032C08-7C04-430B-BFC8-97275ADE88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22</Pages>
  <Words>7541</Words>
  <Characters>41479</Characters>
  <Application>Microsoft Office Word</Application>
  <DocSecurity>0</DocSecurity>
  <Lines>345</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48923</CharactersWithSpaces>
  <SharedDoc>false</SharedDoc>
  <HLinks>
    <vt:vector size="30" baseType="variant">
      <vt:variant>
        <vt:i4>4456513</vt:i4>
      </vt:variant>
      <vt:variant>
        <vt:i4>12</vt:i4>
      </vt:variant>
      <vt:variant>
        <vt:i4>0</vt:i4>
      </vt:variant>
      <vt:variant>
        <vt:i4>5</vt:i4>
      </vt:variant>
      <vt:variant>
        <vt:lpwstr>https://forms.office.com/r/pPHyWVs2SZ</vt:lpwstr>
      </vt:variant>
      <vt:variant>
        <vt:lpwstr/>
      </vt:variant>
      <vt:variant>
        <vt:i4>3407926</vt:i4>
      </vt:variant>
      <vt:variant>
        <vt:i4>9</vt:i4>
      </vt:variant>
      <vt:variant>
        <vt:i4>0</vt:i4>
      </vt:variant>
      <vt:variant>
        <vt:i4>5</vt:i4>
      </vt:variant>
      <vt:variant>
        <vt:lpwstr>https://www.colombiacompra.gov.co/pqrsd/informacion-importante-antes-de-formular-una-pqrsd</vt:lpwstr>
      </vt:variant>
      <vt:variant>
        <vt:lpwstr/>
      </vt:variant>
      <vt:variant>
        <vt:i4>4980779</vt:i4>
      </vt:variant>
      <vt:variant>
        <vt:i4>6</vt:i4>
      </vt:variant>
      <vt:variant>
        <vt:i4>0</vt:i4>
      </vt:variant>
      <vt:variant>
        <vt:i4>5</vt:i4>
      </vt:variant>
      <vt:variant>
        <vt:lpwstr>mailto:ventanilladeradicacion@colombiacompra.gov.co</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524344</vt:i4>
      </vt:variant>
      <vt:variant>
        <vt:i4>0</vt:i4>
      </vt:variant>
      <vt:variant>
        <vt:i4>0</vt:i4>
      </vt:variant>
      <vt:variant>
        <vt:i4>5</vt:i4>
      </vt:variant>
      <vt:variant>
        <vt:lpwstr>mailto:abogadojairoortega@gmail.com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7</cp:revision>
  <cp:lastPrinted>2023-01-10T21:18:00Z</cp:lastPrinted>
  <dcterms:created xsi:type="dcterms:W3CDTF">2026-02-20T14:57:00Z</dcterms:created>
  <dcterms:modified xsi:type="dcterms:W3CDTF">2026-02-26T03:07:00Z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