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47634A" w14:textId="77777777" w:rsidR="00DE259C" w:rsidRPr="009B46EA" w:rsidRDefault="00DE259C" w:rsidP="00DE259C">
      <w:pPr>
        <w:pStyle w:val="Textoindependiente"/>
        <w:spacing w:after="0" w:line="240" w:lineRule="auto"/>
        <w:ind w:right="102"/>
        <w:jc w:val="both"/>
        <w:rPr>
          <w:rFonts w:ascii="Verdana" w:hAnsi="Verdana" w:cs="Arial"/>
          <w:b/>
          <w:color w:val="000000" w:themeColor="text1"/>
          <w:lang w:val="es-ES_tradnl"/>
        </w:rPr>
      </w:pPr>
      <w:r w:rsidRPr="009B46EA">
        <w:rPr>
          <w:rFonts w:ascii="Verdana" w:hAnsi="Verdana" w:cs="Arial"/>
          <w:b/>
          <w:color w:val="000000" w:themeColor="text1"/>
          <w:lang w:val="es-ES_tradnl"/>
        </w:rPr>
        <w:t xml:space="preserve">DECRETO 092 DE 2017 – Finalidad – Clases de contratos </w:t>
      </w:r>
    </w:p>
    <w:p w14:paraId="0FB8DE5C" w14:textId="77777777" w:rsidR="00DE259C" w:rsidRPr="009B46EA" w:rsidRDefault="00DE259C" w:rsidP="00DE259C">
      <w:pPr>
        <w:pStyle w:val="Textoindependiente"/>
        <w:spacing w:after="0" w:line="240" w:lineRule="auto"/>
        <w:ind w:right="102"/>
        <w:jc w:val="both"/>
        <w:rPr>
          <w:rFonts w:ascii="Verdana" w:hAnsi="Verdana" w:cs="Arial"/>
          <w:color w:val="000000" w:themeColor="text1"/>
          <w:sz w:val="20"/>
          <w:szCs w:val="20"/>
          <w:lang w:val="es-ES_tradnl"/>
        </w:rPr>
      </w:pPr>
    </w:p>
    <w:p w14:paraId="4237346E" w14:textId="77777777" w:rsidR="00DE259C" w:rsidRPr="009B46EA" w:rsidRDefault="00DE259C" w:rsidP="00DE259C">
      <w:pPr>
        <w:spacing w:after="0" w:line="240" w:lineRule="auto"/>
        <w:jc w:val="both"/>
        <w:rPr>
          <w:rFonts w:ascii="Verdana" w:eastAsia="Arial" w:hAnsi="Verdana" w:cs="Arial"/>
          <w:color w:val="000000" w:themeColor="text1"/>
          <w:sz w:val="20"/>
          <w:szCs w:val="20"/>
          <w:lang w:val="es-ES_tradnl"/>
        </w:rPr>
      </w:pPr>
      <w:r w:rsidRPr="009B46EA">
        <w:rPr>
          <w:rFonts w:ascii="Verdana" w:eastAsia="Arial" w:hAnsi="Verdana" w:cs="Arial"/>
          <w:color w:val="000000" w:themeColor="text1"/>
          <w:sz w:val="20"/>
          <w:szCs w:val="20"/>
          <w:lang w:val="es-ES_tradnl"/>
        </w:rPr>
        <w:t xml:space="preserve">El Decreto 092 de 2017 dispone reglas para las contrataciones que realicen las entidades estatales con las ESAL. El Decreto regula dos (2) eventos: i) los contratos del artículo 355 de la Constitución Política con el fin impulsar programas y actividades de interés público de acuerdo con el Plan Nacional o los planes seccionales de desarrollo; y </w:t>
      </w:r>
      <w:proofErr w:type="spellStart"/>
      <w:r w:rsidRPr="009B46EA">
        <w:rPr>
          <w:rFonts w:ascii="Verdana" w:eastAsia="Arial" w:hAnsi="Verdana" w:cs="Arial"/>
          <w:color w:val="000000" w:themeColor="text1"/>
          <w:sz w:val="20"/>
          <w:szCs w:val="20"/>
          <w:lang w:val="es-ES_tradnl"/>
        </w:rPr>
        <w:t>ii</w:t>
      </w:r>
      <w:proofErr w:type="spellEnd"/>
      <w:r w:rsidRPr="009B46EA">
        <w:rPr>
          <w:rFonts w:ascii="Verdana" w:eastAsia="Arial" w:hAnsi="Verdana" w:cs="Arial"/>
          <w:color w:val="000000" w:themeColor="text1"/>
          <w:sz w:val="20"/>
          <w:szCs w:val="20"/>
          <w:lang w:val="es-ES_tradnl"/>
        </w:rPr>
        <w:t>) los convenios de asociación, para el desarrollo conjunto de actividades relacionadas con las funciones de las entidades estatales, en desarrollo del artículo 96 de la Ley 489 de 1998.</w:t>
      </w:r>
    </w:p>
    <w:p w14:paraId="5AE344F7" w14:textId="77777777" w:rsidR="00DE259C" w:rsidRPr="009B46EA" w:rsidRDefault="00DE259C" w:rsidP="00DE259C">
      <w:pPr>
        <w:spacing w:after="0" w:line="240" w:lineRule="auto"/>
        <w:jc w:val="both"/>
        <w:rPr>
          <w:rFonts w:ascii="Verdana" w:eastAsia="Calibri" w:hAnsi="Verdana" w:cs="Arial"/>
          <w:b/>
          <w:color w:val="000000" w:themeColor="text1"/>
          <w:lang w:val="es-ES_tradnl"/>
        </w:rPr>
      </w:pPr>
    </w:p>
    <w:p w14:paraId="5BD98BE0" w14:textId="77777777" w:rsidR="00DE259C" w:rsidRPr="009B46EA" w:rsidRDefault="00DE259C" w:rsidP="00DE259C">
      <w:pPr>
        <w:spacing w:after="0" w:line="240" w:lineRule="auto"/>
        <w:jc w:val="both"/>
        <w:rPr>
          <w:rFonts w:ascii="Verdana" w:eastAsia="Calibri" w:hAnsi="Verdana" w:cs="Arial"/>
          <w:b/>
          <w:color w:val="000000" w:themeColor="text1"/>
          <w:lang w:val="es-ES_tradnl"/>
        </w:rPr>
      </w:pPr>
      <w:r w:rsidRPr="009B46EA">
        <w:rPr>
          <w:rFonts w:ascii="Verdana" w:eastAsia="Calibri" w:hAnsi="Verdana" w:cs="Arial"/>
          <w:b/>
          <w:color w:val="000000" w:themeColor="text1"/>
          <w:lang w:val="es-ES_tradnl"/>
        </w:rPr>
        <w:t xml:space="preserve">CONTRATACIÓN CON ESAL – Contrato de colaboración – Objeto – Alcance </w:t>
      </w:r>
    </w:p>
    <w:p w14:paraId="43D7E98A" w14:textId="77777777" w:rsidR="00DE259C" w:rsidRPr="009B46EA" w:rsidRDefault="00DE259C" w:rsidP="00DE259C">
      <w:pPr>
        <w:spacing w:after="0" w:line="240" w:lineRule="auto"/>
        <w:jc w:val="both"/>
        <w:rPr>
          <w:rFonts w:ascii="Verdana" w:eastAsia="Calibri" w:hAnsi="Verdana" w:cs="Arial"/>
          <w:bCs/>
          <w:color w:val="000000" w:themeColor="text1"/>
          <w:sz w:val="20"/>
          <w:szCs w:val="20"/>
          <w:lang w:val="es-ES_tradnl"/>
        </w:rPr>
      </w:pPr>
    </w:p>
    <w:p w14:paraId="4D2732D1" w14:textId="77777777" w:rsidR="00DE259C" w:rsidRPr="009B46EA" w:rsidRDefault="00DE259C" w:rsidP="00DE259C">
      <w:pPr>
        <w:spacing w:after="0" w:line="240" w:lineRule="auto"/>
        <w:jc w:val="both"/>
        <w:rPr>
          <w:rFonts w:ascii="Verdana" w:hAnsi="Verdana" w:cs="Arial"/>
          <w:color w:val="000000" w:themeColor="text1"/>
          <w:sz w:val="20"/>
          <w:szCs w:val="20"/>
          <w:lang w:val="es-ES_tradnl"/>
        </w:rPr>
      </w:pPr>
      <w:r w:rsidRPr="009B46EA">
        <w:rPr>
          <w:rFonts w:ascii="Verdana" w:hAnsi="Verdana" w:cs="Arial"/>
          <w:color w:val="000000" w:themeColor="text1"/>
          <w:sz w:val="20"/>
          <w:szCs w:val="20"/>
          <w:lang w:val="es-ES_tradnl"/>
        </w:rPr>
        <w:t>Los contratos del artículo 355 de la Constitución Política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Para celebrar estos contratos, según lo establece el artículo 3 del Decreto 092 de 2017, por regla general, la entidad debe adelantar un proceso competitivo para seleccionar la entidad sin ánimo de lucro contratista.</w:t>
      </w:r>
    </w:p>
    <w:p w14:paraId="73D5540A" w14:textId="77777777" w:rsidR="00DE259C" w:rsidRPr="009B46EA" w:rsidRDefault="00DE259C" w:rsidP="00DE259C">
      <w:pPr>
        <w:spacing w:after="0" w:line="240" w:lineRule="auto"/>
        <w:jc w:val="both"/>
        <w:rPr>
          <w:rFonts w:ascii="Verdana" w:hAnsi="Verdana" w:cs="Arial"/>
          <w:color w:val="000000" w:themeColor="text1"/>
          <w:sz w:val="21"/>
          <w:szCs w:val="21"/>
          <w:lang w:val="es-ES_tradnl"/>
        </w:rPr>
      </w:pPr>
    </w:p>
    <w:p w14:paraId="5A05F4D9" w14:textId="77777777" w:rsidR="00DE259C" w:rsidRPr="009B46EA" w:rsidRDefault="00DE259C" w:rsidP="00DE259C">
      <w:pPr>
        <w:spacing w:after="0" w:line="240" w:lineRule="auto"/>
        <w:jc w:val="both"/>
        <w:rPr>
          <w:rFonts w:ascii="Verdana" w:eastAsia="Calibri" w:hAnsi="Verdana" w:cs="Arial"/>
          <w:b/>
          <w:color w:val="000000" w:themeColor="text1"/>
          <w:lang w:val="es-ES_tradnl"/>
        </w:rPr>
      </w:pPr>
      <w:bookmarkStart w:id="0" w:name="_Hlk109118876"/>
      <w:r w:rsidRPr="009B46EA">
        <w:rPr>
          <w:rFonts w:ascii="Verdana" w:eastAsia="Calibri" w:hAnsi="Verdana" w:cs="Arial"/>
          <w:b/>
          <w:color w:val="000000" w:themeColor="text1"/>
          <w:lang w:val="es-ES_tradnl"/>
        </w:rPr>
        <w:t>CONTRATACIÓN CON ESAL –</w:t>
      </w:r>
      <w:bookmarkEnd w:id="0"/>
      <w:r w:rsidRPr="009B46EA">
        <w:rPr>
          <w:rFonts w:ascii="Verdana" w:eastAsia="Calibri" w:hAnsi="Verdana" w:cs="Arial"/>
          <w:b/>
          <w:color w:val="000000" w:themeColor="text1"/>
          <w:lang w:val="es-ES_tradnl"/>
        </w:rPr>
        <w:t xml:space="preserve"> Contrato de asociación – Objeto – Alcance </w:t>
      </w:r>
    </w:p>
    <w:p w14:paraId="318F145B" w14:textId="77777777" w:rsidR="00DE259C" w:rsidRPr="009B46EA" w:rsidRDefault="00DE259C" w:rsidP="00DE259C">
      <w:pPr>
        <w:spacing w:after="0" w:line="240" w:lineRule="auto"/>
        <w:jc w:val="both"/>
        <w:rPr>
          <w:rFonts w:ascii="Verdana" w:eastAsia="Calibri" w:hAnsi="Verdana" w:cs="Arial"/>
          <w:b/>
          <w:color w:val="000000" w:themeColor="text1"/>
          <w:lang w:val="es-ES_tradnl"/>
        </w:rPr>
      </w:pPr>
    </w:p>
    <w:p w14:paraId="590CB3A2" w14:textId="77777777" w:rsidR="00DE259C" w:rsidRPr="009B46EA" w:rsidRDefault="00DE259C" w:rsidP="00DE259C">
      <w:pPr>
        <w:spacing w:after="0" w:line="240" w:lineRule="auto"/>
        <w:jc w:val="both"/>
        <w:rPr>
          <w:rFonts w:ascii="Verdana" w:hAnsi="Verdana" w:cs="Arial"/>
          <w:color w:val="000000" w:themeColor="text1"/>
          <w:sz w:val="20"/>
          <w:szCs w:val="20"/>
          <w:lang w:val="es-ES_tradnl"/>
        </w:rPr>
      </w:pPr>
      <w:r w:rsidRPr="009B46EA">
        <w:rPr>
          <w:rFonts w:ascii="Verdana" w:hAnsi="Verdana" w:cs="Arial"/>
          <w:color w:val="000000" w:themeColor="text1"/>
          <w:sz w:val="20"/>
          <w:szCs w:val="20"/>
          <w:lang w:val="es-ES_tradnl"/>
        </w:rPr>
        <w:t>De otro lado, los convenios de asociación «[t]</w:t>
      </w:r>
      <w:proofErr w:type="spellStart"/>
      <w:r w:rsidRPr="009B46EA">
        <w:rPr>
          <w:rFonts w:ascii="Verdana" w:hAnsi="Verdana" w:cs="Arial"/>
          <w:color w:val="000000" w:themeColor="text1"/>
          <w:sz w:val="20"/>
          <w:szCs w:val="20"/>
          <w:lang w:val="es-ES_tradnl"/>
        </w:rPr>
        <w:t>ienen</w:t>
      </w:r>
      <w:proofErr w:type="spellEnd"/>
      <w:r w:rsidRPr="009B46EA">
        <w:rPr>
          <w:rFonts w:ascii="Verdana" w:hAnsi="Verdana" w:cs="Arial"/>
          <w:color w:val="000000" w:themeColor="text1"/>
          <w:sz w:val="20"/>
          <w:szCs w:val="20"/>
          <w:lang w:val="es-ES_tradnl"/>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 En estos convenios existen aportes dirigidos, especialmente, a lograr la ejecución del convenio. De todos modos, la entidad deberá adelantar un proceso competitivo, salvo cuando la ESAL comprometa recursos en dinero para la ejecución de estas actividades, en una proporción no inferior al 30% del valor total del convenio. El convenio de asociación no es conmutativo, y por tanto, la entidad no instruye al contratista para desarrollar los programas o actividades previstas, sino que se asocia con él para el cumplimiento de objetivos comunes.</w:t>
      </w:r>
    </w:p>
    <w:p w14:paraId="5754401E" w14:textId="77777777" w:rsidR="00DE259C" w:rsidRPr="009B46EA" w:rsidRDefault="00DE259C" w:rsidP="00DE259C">
      <w:pPr>
        <w:spacing w:after="0" w:line="240" w:lineRule="auto"/>
        <w:jc w:val="both"/>
        <w:rPr>
          <w:rFonts w:ascii="Verdana" w:hAnsi="Verdana" w:cs="Arial"/>
          <w:color w:val="000000" w:themeColor="text1"/>
          <w:sz w:val="20"/>
          <w:szCs w:val="20"/>
          <w:lang w:val="es-ES_tradnl"/>
        </w:rPr>
      </w:pPr>
    </w:p>
    <w:p w14:paraId="562C98D0" w14:textId="77777777" w:rsidR="00DE259C" w:rsidRPr="009B46EA" w:rsidRDefault="00DE259C" w:rsidP="00DE259C">
      <w:pPr>
        <w:spacing w:after="0" w:line="240" w:lineRule="auto"/>
        <w:jc w:val="both"/>
        <w:rPr>
          <w:rFonts w:ascii="Verdana" w:eastAsia="Calibri" w:hAnsi="Verdana" w:cs="Arial"/>
          <w:b/>
          <w:color w:val="000000" w:themeColor="text1"/>
          <w:lang w:val="es-ES_tradnl"/>
        </w:rPr>
      </w:pPr>
      <w:r w:rsidRPr="009B46EA">
        <w:rPr>
          <w:rFonts w:ascii="Verdana" w:eastAsia="Calibri" w:hAnsi="Verdana" w:cs="Arial"/>
          <w:b/>
          <w:color w:val="000000" w:themeColor="text1"/>
          <w:lang w:val="es-ES_tradnl"/>
        </w:rPr>
        <w:t>CONVENIOS DE ASOCIACIÓN – Multiplicidad de sujetos – Límites legales</w:t>
      </w:r>
    </w:p>
    <w:p w14:paraId="07EF3C35" w14:textId="77777777" w:rsidR="00DE259C" w:rsidRPr="009B46EA" w:rsidRDefault="00DE259C" w:rsidP="00DE259C">
      <w:pPr>
        <w:spacing w:after="0" w:line="240" w:lineRule="auto"/>
        <w:jc w:val="both"/>
        <w:rPr>
          <w:rFonts w:ascii="Verdana" w:hAnsi="Verdana" w:cs="Arial"/>
          <w:color w:val="000000" w:themeColor="text1"/>
          <w:sz w:val="20"/>
          <w:szCs w:val="20"/>
          <w:lang w:val="es-ES_tradnl"/>
        </w:rPr>
      </w:pPr>
    </w:p>
    <w:p w14:paraId="7FE56C28" w14:textId="77777777" w:rsidR="00DE259C" w:rsidRPr="009B46EA" w:rsidRDefault="00DE259C" w:rsidP="00DE259C">
      <w:pPr>
        <w:pStyle w:val="Sinespaciado"/>
        <w:jc w:val="both"/>
        <w:rPr>
          <w:rFonts w:ascii="Verdana" w:hAnsi="Verdana" w:cs="Arial"/>
          <w:color w:val="000000" w:themeColor="text1"/>
          <w:sz w:val="20"/>
          <w:szCs w:val="20"/>
          <w:lang w:val="es-ES_tradnl"/>
        </w:rPr>
      </w:pPr>
      <w:r w:rsidRPr="009B46EA">
        <w:rPr>
          <w:rFonts w:ascii="Verdana" w:hAnsi="Verdana" w:cs="Arial"/>
          <w:color w:val="000000" w:themeColor="text1"/>
          <w:sz w:val="20"/>
          <w:szCs w:val="20"/>
          <w:lang w:val="es-ES_tradnl"/>
        </w:rPr>
        <w:t xml:space="preserve">La normativa vigente no impide que varias entidades suscriban conjuntamente el convenio de asociación y tampoco que dos o más ESAL pueden hacerlo, a través de las figuras asociativas autorizadas por la ley, por ejemplo, como unión temporal o como consorcio. Sin embargo, como el artículo 96 de la Ley 489 de 1998 determina que el convenio busca el desarrollo conjunto de actividades en relación con los cometidos y funciones que la ley les asigna a las entidades estatales, lo cierto es que las funciones legales de las entidades estatales que suscriben conjuntamente el convenio deben </w:t>
      </w:r>
      <w:r w:rsidRPr="009B46EA">
        <w:rPr>
          <w:rFonts w:ascii="Verdana" w:hAnsi="Verdana" w:cs="Arial"/>
          <w:color w:val="000000" w:themeColor="text1"/>
          <w:sz w:val="20"/>
          <w:szCs w:val="20"/>
          <w:lang w:val="es-ES_tradnl"/>
        </w:rPr>
        <w:lastRenderedPageBreak/>
        <w:t>coincidir. Igualmente, atendiendo a que los convenios de asociación «no estarán sujetos a competencia cuando la entidad sin ánimo de lucro comprometa recursos en dinero para la ejecución de esas actividades en una proporción no inferior al 30% del valor total del convenio», la o las entidades deben asegurarse de que su contratista, es decir, una o varias ESAL, aporten al menos el treinta por ciento del valor del convenio para celebrarlo directamente. Además, en atención al inciso 2 del artículo 5 del Decreto 092 de 2017, deben «asegurarse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p>
    <w:p w14:paraId="1F732F7F" w14:textId="77777777" w:rsidR="00DE259C" w:rsidRPr="009B46EA" w:rsidRDefault="00DE259C" w:rsidP="00DE259C">
      <w:pPr>
        <w:pStyle w:val="Sinespaciado"/>
        <w:jc w:val="both"/>
        <w:rPr>
          <w:rFonts w:ascii="Verdana" w:hAnsi="Verdana" w:cs="Arial"/>
          <w:color w:val="000000" w:themeColor="text1"/>
          <w:sz w:val="20"/>
          <w:szCs w:val="20"/>
          <w:lang w:val="es-ES_tradnl"/>
        </w:rPr>
      </w:pPr>
    </w:p>
    <w:p w14:paraId="20F1E372" w14:textId="77777777" w:rsidR="00DE259C" w:rsidRPr="009B46EA" w:rsidRDefault="00DE259C" w:rsidP="00DE259C">
      <w:pPr>
        <w:spacing w:after="0" w:line="240" w:lineRule="auto"/>
        <w:jc w:val="both"/>
        <w:rPr>
          <w:rFonts w:ascii="Verdana" w:eastAsia="Calibri" w:hAnsi="Verdana" w:cs="Arial"/>
          <w:b/>
          <w:color w:val="000000" w:themeColor="text1"/>
          <w:lang w:val="es-ES_tradnl"/>
        </w:rPr>
      </w:pPr>
      <w:r w:rsidRPr="009B46EA">
        <w:rPr>
          <w:rFonts w:ascii="Verdana" w:eastAsia="Calibri" w:hAnsi="Verdana" w:cs="Arial"/>
          <w:b/>
          <w:color w:val="000000" w:themeColor="text1"/>
          <w:lang w:val="es-ES_tradnl"/>
        </w:rPr>
        <w:t xml:space="preserve">DECRETO 092 DE 2017 – Criterios – Aplicación </w:t>
      </w:r>
    </w:p>
    <w:p w14:paraId="7AAF4AC0" w14:textId="77777777" w:rsidR="00DE259C" w:rsidRPr="009B46EA" w:rsidRDefault="00DE259C" w:rsidP="00DE259C">
      <w:pPr>
        <w:spacing w:after="0" w:line="240" w:lineRule="auto"/>
        <w:jc w:val="both"/>
        <w:rPr>
          <w:rFonts w:ascii="Verdana" w:hAnsi="Verdana" w:cs="Arial"/>
          <w:color w:val="000000" w:themeColor="text1"/>
          <w:sz w:val="21"/>
          <w:szCs w:val="21"/>
          <w:lang w:val="es-ES_tradnl"/>
        </w:rPr>
      </w:pPr>
    </w:p>
    <w:p w14:paraId="31D3ACC0" w14:textId="77777777" w:rsidR="00DE259C" w:rsidRDefault="00DE259C" w:rsidP="00DE259C">
      <w:pPr>
        <w:spacing w:after="0" w:line="240" w:lineRule="auto"/>
        <w:jc w:val="both"/>
        <w:rPr>
          <w:rFonts w:ascii="Verdana" w:hAnsi="Verdana" w:cs="Arial"/>
          <w:color w:val="000000" w:themeColor="text1"/>
          <w:sz w:val="20"/>
          <w:szCs w:val="20"/>
          <w:lang w:val="es-ES_tradnl"/>
        </w:rPr>
      </w:pPr>
      <w:r w:rsidRPr="009B46EA">
        <w:rPr>
          <w:rFonts w:ascii="Verdana" w:hAnsi="Verdana" w:cs="Arial"/>
          <w:color w:val="000000" w:themeColor="text1"/>
          <w:sz w:val="20"/>
          <w:szCs w:val="20"/>
          <w:lang w:val="es-ES_tradnl"/>
        </w:rPr>
        <w:t>[…] De acuerdo con lo anterior, no todas las actividades que las entidades estatales deben desarrollar para alcanzar sus objetivos misionales deben ejecutarse a través de la celebración de contratos del artículo 355 superior o convenios de asociación. Debe tenerse en cuenta que lo que determina la aplicación del Decreto 092 de 2017 no es únicamente el carácter de las ESAL sino el objeto del contrato o convenio que la entidad pretende adelantar. Por tanto, el hecho de que se trate de una entidad sin ánimo de lucro no implica que necesariamente deba celebrarse un contrato de colaboración o un convenio de asociación.</w:t>
      </w:r>
    </w:p>
    <w:p w14:paraId="2097051D" w14:textId="77777777" w:rsidR="00DE259C" w:rsidRPr="009B46EA" w:rsidRDefault="00DE259C" w:rsidP="00DE259C">
      <w:pPr>
        <w:spacing w:after="0" w:line="240" w:lineRule="auto"/>
        <w:jc w:val="both"/>
        <w:rPr>
          <w:rFonts w:ascii="Verdana" w:hAnsi="Verdana" w:cs="Arial"/>
          <w:color w:val="000000" w:themeColor="text1"/>
          <w:sz w:val="20"/>
          <w:szCs w:val="20"/>
          <w:lang w:val="es-ES_tradnl"/>
        </w:rPr>
      </w:pPr>
    </w:p>
    <w:p w14:paraId="5CABE853" w14:textId="77777777" w:rsidR="00DE259C" w:rsidRPr="009B46EA" w:rsidRDefault="00DE259C" w:rsidP="00DE259C">
      <w:pPr>
        <w:spacing w:after="0" w:line="240" w:lineRule="auto"/>
        <w:jc w:val="both"/>
        <w:rPr>
          <w:rFonts w:ascii="Verdana" w:eastAsia="Arial" w:hAnsi="Verdana" w:cs="Arial"/>
          <w:b/>
          <w:bCs/>
          <w:color w:val="000000" w:themeColor="text1"/>
          <w:lang w:val="es-ES_tradnl"/>
        </w:rPr>
      </w:pPr>
      <w:r w:rsidRPr="009B46EA">
        <w:rPr>
          <w:rFonts w:ascii="Verdana" w:eastAsia="Arial" w:hAnsi="Verdana" w:cs="Arial"/>
          <w:b/>
          <w:bCs/>
          <w:color w:val="000000" w:themeColor="text1"/>
          <w:lang w:val="es-ES_tradnl"/>
        </w:rPr>
        <w:t xml:space="preserve">DECRETO 092 DE 2017 – Normativa vigente </w:t>
      </w:r>
    </w:p>
    <w:p w14:paraId="49FC9A3C" w14:textId="77777777" w:rsidR="00DE259C" w:rsidRPr="009B46EA" w:rsidRDefault="00DE259C" w:rsidP="00DE259C">
      <w:pPr>
        <w:spacing w:after="0" w:line="240" w:lineRule="auto"/>
        <w:jc w:val="both"/>
        <w:rPr>
          <w:rFonts w:ascii="Verdana" w:eastAsia="Arial" w:hAnsi="Verdana" w:cs="Arial"/>
          <w:b/>
          <w:bCs/>
          <w:color w:val="000000" w:themeColor="text1"/>
          <w:lang w:val="es-ES_tradnl"/>
        </w:rPr>
      </w:pPr>
    </w:p>
    <w:p w14:paraId="7AB5C0B7" w14:textId="77777777" w:rsidR="00DE259C" w:rsidRDefault="00DE259C" w:rsidP="00DE259C">
      <w:pPr>
        <w:spacing w:after="0" w:line="240" w:lineRule="auto"/>
        <w:jc w:val="both"/>
        <w:rPr>
          <w:rFonts w:ascii="Verdana" w:hAnsi="Verdana" w:cs="Arial"/>
          <w:color w:val="000000" w:themeColor="text1"/>
          <w:sz w:val="20"/>
          <w:szCs w:val="20"/>
          <w:lang w:val="es-ES_tradnl"/>
        </w:rPr>
      </w:pPr>
      <w:r w:rsidRPr="008251D0">
        <w:rPr>
          <w:rFonts w:ascii="Verdana" w:hAnsi="Verdana" w:cs="Arial"/>
          <w:color w:val="000000" w:themeColor="text1"/>
          <w:sz w:val="20"/>
          <w:szCs w:val="20"/>
          <w:lang w:val="es-ES_tradnl"/>
        </w:rPr>
        <w:t xml:space="preserve">Es importante tener en cuenta que la contratación con entidades sin ánimo de lucro se rige por el Decreto 092 de 2017, salvo lo que ha sido objeto de suspensión provisional por parte del Consejo de Estado. Por lo tanto, las entidades públicas que desean celebrar contratos del artículo 355 de la Constitución Política deberán contratar con ESAL de reconocida idoneidad realizando un proceso competitivo, y teniendo en cuenta lo siguiente: i) no debe condicionarse el proceso de contratación a la inexistencia de oferta en el mercado de bienes y servicios; </w:t>
      </w:r>
      <w:proofErr w:type="spellStart"/>
      <w:r w:rsidRPr="008251D0">
        <w:rPr>
          <w:rFonts w:ascii="Verdana" w:hAnsi="Verdana" w:cs="Arial"/>
          <w:color w:val="000000" w:themeColor="text1"/>
          <w:sz w:val="20"/>
          <w:szCs w:val="20"/>
          <w:lang w:val="es-ES_tradnl"/>
        </w:rPr>
        <w:t>ii</w:t>
      </w:r>
      <w:proofErr w:type="spellEnd"/>
      <w:r w:rsidRPr="008251D0">
        <w:rPr>
          <w:rFonts w:ascii="Verdana" w:hAnsi="Verdana" w:cs="Arial"/>
          <w:color w:val="000000" w:themeColor="text1"/>
          <w:sz w:val="20"/>
          <w:szCs w:val="20"/>
          <w:lang w:val="es-ES_tradnl"/>
        </w:rPr>
        <w:t xml:space="preserve">) tampoco debe condicionarse a que la contratación con las ESAL garantice la optimización de los recursos públicos en términos de eficiencia, eficacia, economía y manejo del riesgo; </w:t>
      </w:r>
      <w:proofErr w:type="spellStart"/>
      <w:r w:rsidRPr="008251D0">
        <w:rPr>
          <w:rFonts w:ascii="Verdana" w:hAnsi="Verdana" w:cs="Arial"/>
          <w:color w:val="000000" w:themeColor="text1"/>
          <w:sz w:val="20"/>
          <w:szCs w:val="20"/>
          <w:lang w:val="es-ES_tradnl"/>
        </w:rPr>
        <w:t>iii</w:t>
      </w:r>
      <w:proofErr w:type="spellEnd"/>
      <w:r w:rsidRPr="008251D0">
        <w:rPr>
          <w:rFonts w:ascii="Verdana" w:hAnsi="Verdana" w:cs="Arial"/>
          <w:color w:val="000000" w:themeColor="text1"/>
          <w:sz w:val="20"/>
          <w:szCs w:val="20"/>
          <w:lang w:val="es-ES_tradnl"/>
        </w:rPr>
        <w:t xml:space="preserve">) el objeto del contrato debe estar acorde con el plan nacional o seccional de desarrollo; </w:t>
      </w:r>
      <w:proofErr w:type="spellStart"/>
      <w:r w:rsidRPr="008251D0">
        <w:rPr>
          <w:rFonts w:ascii="Verdana" w:hAnsi="Verdana" w:cs="Arial"/>
          <w:color w:val="000000" w:themeColor="text1"/>
          <w:sz w:val="20"/>
          <w:szCs w:val="20"/>
          <w:lang w:val="es-ES_tradnl"/>
        </w:rPr>
        <w:t>iv</w:t>
      </w:r>
      <w:proofErr w:type="spellEnd"/>
      <w:r w:rsidRPr="008251D0">
        <w:rPr>
          <w:rFonts w:ascii="Verdana" w:hAnsi="Verdana" w:cs="Arial"/>
          <w:color w:val="000000" w:themeColor="text1"/>
          <w:sz w:val="20"/>
          <w:szCs w:val="20"/>
          <w:lang w:val="es-ES_tradnl"/>
        </w:rPr>
        <w:t xml:space="preserve">)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w:t>
      </w:r>
      <w:proofErr w:type="spellStart"/>
      <w:r w:rsidRPr="008251D0">
        <w:rPr>
          <w:rFonts w:ascii="Verdana" w:hAnsi="Verdana" w:cs="Arial"/>
          <w:color w:val="000000" w:themeColor="text1"/>
          <w:sz w:val="20"/>
          <w:szCs w:val="20"/>
          <w:lang w:val="es-ES_tradnl"/>
        </w:rPr>
        <w:t>iii</w:t>
      </w:r>
      <w:proofErr w:type="spellEnd"/>
      <w:r w:rsidRPr="008251D0">
        <w:rPr>
          <w:rFonts w:ascii="Verdana" w:hAnsi="Verdana" w:cs="Arial"/>
          <w:color w:val="000000" w:themeColor="text1"/>
          <w:sz w:val="20"/>
          <w:szCs w:val="20"/>
          <w:lang w:val="es-ES_tradnl"/>
        </w:rPr>
        <w:t>); y v) el contrato no debe establecer una relación conmutativa en el cual haya una contraprestación directa a favor de la entidad, ni instrucciones precisas dadas por esta al contratista para cumplir con el objeto del contrato</w:t>
      </w:r>
      <w:r w:rsidRPr="009B46EA">
        <w:rPr>
          <w:rFonts w:ascii="Verdana" w:hAnsi="Verdana" w:cs="Arial"/>
          <w:color w:val="000000" w:themeColor="text1"/>
          <w:sz w:val="20"/>
          <w:szCs w:val="20"/>
          <w:lang w:val="es-ES_tradnl"/>
        </w:rPr>
        <w:t>.</w:t>
      </w:r>
    </w:p>
    <w:p w14:paraId="29AF3347" w14:textId="77777777" w:rsidR="00DE259C" w:rsidRPr="009B46EA" w:rsidRDefault="00DE259C" w:rsidP="00DE259C">
      <w:pPr>
        <w:spacing w:after="0" w:line="240" w:lineRule="auto"/>
        <w:jc w:val="both"/>
        <w:rPr>
          <w:rFonts w:ascii="Verdana" w:hAnsi="Verdana" w:cs="Arial"/>
          <w:color w:val="000000" w:themeColor="text1"/>
          <w:sz w:val="20"/>
          <w:szCs w:val="20"/>
          <w:lang w:val="es-ES_tradnl"/>
        </w:rPr>
      </w:pPr>
    </w:p>
    <w:p w14:paraId="414EFBF1" w14:textId="77777777" w:rsidR="00DE259C" w:rsidRPr="009B46EA" w:rsidRDefault="00DE259C" w:rsidP="00DE259C">
      <w:pPr>
        <w:spacing w:after="0" w:line="240" w:lineRule="auto"/>
        <w:jc w:val="both"/>
        <w:rPr>
          <w:rFonts w:ascii="Verdana" w:eastAsia="Arial" w:hAnsi="Verdana" w:cs="Arial"/>
          <w:b/>
          <w:bCs/>
          <w:color w:val="000000" w:themeColor="text1"/>
          <w:lang w:val="es-ES_tradnl"/>
        </w:rPr>
      </w:pPr>
      <w:r>
        <w:rPr>
          <w:rFonts w:ascii="Verdana" w:eastAsia="Arial" w:hAnsi="Verdana" w:cs="Arial"/>
          <w:b/>
          <w:bCs/>
          <w:color w:val="000000" w:themeColor="text1"/>
          <w:lang w:val="es-ES_tradnl"/>
        </w:rPr>
        <w:lastRenderedPageBreak/>
        <w:t>INTEGRACIÓN NORMATIVA – Reglas</w:t>
      </w:r>
      <w:r w:rsidRPr="008251D0">
        <w:rPr>
          <w:rFonts w:ascii="Verdana" w:eastAsia="Arial" w:hAnsi="Verdana" w:cs="Arial"/>
          <w:b/>
          <w:bCs/>
          <w:color w:val="000000" w:themeColor="text1"/>
          <w:lang w:val="es-ES_tradnl"/>
        </w:rPr>
        <w:t xml:space="preserve"> generales del sistema de contratación pública</w:t>
      </w:r>
      <w:r>
        <w:rPr>
          <w:rFonts w:ascii="Verdana" w:eastAsia="Arial" w:hAnsi="Verdana" w:cs="Arial"/>
          <w:b/>
          <w:bCs/>
          <w:color w:val="000000" w:themeColor="text1"/>
          <w:lang w:val="es-ES_tradnl"/>
        </w:rPr>
        <w:t xml:space="preserve"> </w:t>
      </w:r>
    </w:p>
    <w:p w14:paraId="0E241B87" w14:textId="77777777" w:rsidR="00DE259C" w:rsidRPr="009B46EA" w:rsidRDefault="00DE259C" w:rsidP="00DE259C">
      <w:pPr>
        <w:spacing w:after="0" w:line="240" w:lineRule="auto"/>
        <w:jc w:val="both"/>
        <w:rPr>
          <w:rFonts w:ascii="Verdana" w:eastAsia="Arial" w:hAnsi="Verdana" w:cs="Arial"/>
          <w:b/>
          <w:bCs/>
          <w:color w:val="000000" w:themeColor="text1"/>
          <w:lang w:val="es-ES_tradnl"/>
        </w:rPr>
      </w:pPr>
    </w:p>
    <w:p w14:paraId="1A40CEC1" w14:textId="77777777" w:rsidR="00DE259C" w:rsidRDefault="00DE259C" w:rsidP="00DE259C">
      <w:pPr>
        <w:spacing w:after="0" w:line="240" w:lineRule="auto"/>
        <w:jc w:val="both"/>
        <w:rPr>
          <w:rFonts w:ascii="Verdana" w:hAnsi="Verdana" w:cs="Arial"/>
          <w:color w:val="000000" w:themeColor="text1"/>
          <w:sz w:val="20"/>
          <w:szCs w:val="20"/>
          <w:lang w:val="es-ES_tradnl"/>
        </w:rPr>
      </w:pPr>
      <w:r>
        <w:rPr>
          <w:rFonts w:ascii="Verdana" w:hAnsi="Verdana" w:cs="Arial"/>
          <w:color w:val="000000" w:themeColor="text1"/>
          <w:sz w:val="20"/>
          <w:szCs w:val="20"/>
          <w:lang w:val="es-ES_tradnl"/>
        </w:rPr>
        <w:t>E</w:t>
      </w:r>
      <w:r w:rsidRPr="008251D0">
        <w:rPr>
          <w:rFonts w:ascii="Verdana" w:hAnsi="Verdana" w:cs="Arial"/>
          <w:color w:val="000000" w:themeColor="text1"/>
          <w:sz w:val="20"/>
          <w:szCs w:val="20"/>
          <w:lang w:val="es-ES_tradnl"/>
        </w:rPr>
        <w:t xml:space="preserve">l artículo 8 del Decreto 092 de 2017 </w:t>
      </w:r>
      <w:r w:rsidRPr="008251D0">
        <w:rPr>
          <w:rFonts w:ascii="Verdana" w:hAnsi="Verdana" w:cs="Arial"/>
          <w:i/>
          <w:iCs/>
          <w:color w:val="000000" w:themeColor="text1"/>
          <w:sz w:val="20"/>
          <w:szCs w:val="20"/>
          <w:lang w:val="es-ES_tradnl"/>
        </w:rPr>
        <w:t>remite integralmente</w:t>
      </w:r>
      <w:r w:rsidRPr="008251D0">
        <w:rPr>
          <w:rFonts w:ascii="Verdana" w:hAnsi="Verdana" w:cs="Arial"/>
          <w:color w:val="000000" w:themeColor="text1"/>
          <w:sz w:val="20"/>
          <w:szCs w:val="20"/>
          <w:lang w:val="es-ES_tradnl"/>
        </w:rPr>
        <w:t xml:space="preserve"> al Estatuto de Contratación. Esta remisión alcanza tanto el régimen de inhabilidades e incompatibilidades como los principios aplicables a la contratación estatal. Por tanto, los artículos 6, 7 y 8 del reglamento autónomo deben interpretarse en bloque, es decir, aplicando la Ley 80 de 1993 a todo supuesto que no esté expresamente regulado en el Decreto 092 de 2017. En esta medida, los </w:t>
      </w:r>
      <w:r w:rsidRPr="008251D0">
        <w:rPr>
          <w:rFonts w:ascii="Verdana" w:hAnsi="Verdana" w:cs="Arial"/>
          <w:i/>
          <w:iCs/>
          <w:color w:val="000000" w:themeColor="text1"/>
          <w:sz w:val="20"/>
          <w:szCs w:val="20"/>
          <w:lang w:val="es-ES_tradnl"/>
        </w:rPr>
        <w:t xml:space="preserve">contratos del artículo 355 de la Constitución </w:t>
      </w:r>
      <w:r w:rsidRPr="008251D0">
        <w:rPr>
          <w:rFonts w:ascii="Verdana" w:hAnsi="Verdana" w:cs="Arial"/>
          <w:color w:val="000000" w:themeColor="text1"/>
          <w:sz w:val="20"/>
          <w:szCs w:val="20"/>
          <w:lang w:val="es-ES_tradnl"/>
        </w:rPr>
        <w:t xml:space="preserve">y los </w:t>
      </w:r>
      <w:r w:rsidRPr="008251D0">
        <w:rPr>
          <w:rFonts w:ascii="Verdana" w:hAnsi="Verdana" w:cs="Arial"/>
          <w:i/>
          <w:iCs/>
          <w:color w:val="000000" w:themeColor="text1"/>
          <w:sz w:val="20"/>
          <w:szCs w:val="20"/>
          <w:lang w:val="es-ES_tradnl"/>
        </w:rPr>
        <w:t>convenios de asociación</w:t>
      </w:r>
      <w:r w:rsidRPr="008251D0">
        <w:rPr>
          <w:rFonts w:ascii="Verdana" w:hAnsi="Verdana" w:cs="Arial"/>
          <w:color w:val="000000" w:themeColor="text1"/>
          <w:sz w:val="20"/>
          <w:szCs w:val="20"/>
          <w:lang w:val="es-ES_tradnl"/>
        </w:rPr>
        <w:t xml:space="preserve"> se rigen por el decreto y las normas del Estatuto General que sean compatibles con él.</w:t>
      </w:r>
    </w:p>
    <w:p w14:paraId="43488B3E" w14:textId="77777777" w:rsidR="00DE259C" w:rsidRDefault="00DE259C" w:rsidP="00DE259C">
      <w:pPr>
        <w:spacing w:after="0" w:line="240" w:lineRule="auto"/>
        <w:jc w:val="both"/>
        <w:rPr>
          <w:rFonts w:ascii="Verdana" w:hAnsi="Verdana" w:cs="Arial"/>
          <w:color w:val="000000" w:themeColor="text1"/>
          <w:sz w:val="20"/>
          <w:szCs w:val="20"/>
          <w:lang w:val="es-ES_tradnl"/>
        </w:rPr>
      </w:pPr>
    </w:p>
    <w:p w14:paraId="5112AE27" w14:textId="77777777" w:rsidR="00DE259C" w:rsidRPr="00AF1555" w:rsidRDefault="00DE259C" w:rsidP="00DE259C">
      <w:pPr>
        <w:spacing w:after="0" w:line="240" w:lineRule="auto"/>
        <w:jc w:val="both"/>
        <w:rPr>
          <w:rFonts w:ascii="Verdana" w:eastAsia="Calibri" w:hAnsi="Verdana" w:cs="Arial"/>
          <w:b/>
          <w:sz w:val="20"/>
          <w:szCs w:val="20"/>
          <w:lang w:val="es-ES"/>
        </w:rPr>
      </w:pPr>
      <w:r>
        <w:rPr>
          <w:rFonts w:ascii="Verdana" w:eastAsia="Calibri" w:hAnsi="Verdana" w:cs="Arial"/>
          <w:b/>
          <w:lang w:val="es-ES"/>
        </w:rPr>
        <w:t>GARANTÍAS</w:t>
      </w:r>
      <w:r w:rsidRPr="00817818">
        <w:rPr>
          <w:rFonts w:ascii="Verdana" w:eastAsia="Calibri" w:hAnsi="Verdana" w:cs="Arial"/>
          <w:b/>
          <w:lang w:val="es-ES"/>
        </w:rPr>
        <w:t xml:space="preserve"> – </w:t>
      </w:r>
      <w:r>
        <w:rPr>
          <w:rFonts w:ascii="Verdana" w:eastAsia="Calibri" w:hAnsi="Verdana" w:cs="Arial"/>
          <w:b/>
          <w:lang w:val="es-ES"/>
        </w:rPr>
        <w:t>Decreto 092 de 2017</w:t>
      </w:r>
      <w:r w:rsidRPr="00817818">
        <w:rPr>
          <w:rFonts w:ascii="Verdana" w:eastAsia="Calibri" w:hAnsi="Verdana" w:cs="Arial"/>
          <w:b/>
          <w:lang w:val="es-ES"/>
        </w:rPr>
        <w:t xml:space="preserve"> – </w:t>
      </w:r>
      <w:r>
        <w:rPr>
          <w:rFonts w:ascii="Verdana" w:eastAsia="Calibri" w:hAnsi="Verdana" w:cs="Arial"/>
          <w:b/>
          <w:lang w:val="es-ES"/>
        </w:rPr>
        <w:t>Interadministrativos</w:t>
      </w:r>
    </w:p>
    <w:p w14:paraId="54AFE5D5" w14:textId="77777777" w:rsidR="00DE259C" w:rsidRDefault="00DE259C" w:rsidP="00DE259C">
      <w:pPr>
        <w:spacing w:after="0" w:line="240" w:lineRule="auto"/>
        <w:jc w:val="both"/>
        <w:rPr>
          <w:rFonts w:ascii="Verdana" w:eastAsia="Calibri" w:hAnsi="Verdana" w:cs="Arial"/>
          <w:bCs/>
          <w:sz w:val="20"/>
          <w:szCs w:val="20"/>
          <w:lang w:val="es-ES"/>
        </w:rPr>
      </w:pPr>
    </w:p>
    <w:p w14:paraId="7B110A25" w14:textId="77777777" w:rsidR="00DE259C" w:rsidRDefault="00DE259C" w:rsidP="00DE259C">
      <w:pPr>
        <w:spacing w:after="0" w:line="240" w:lineRule="auto"/>
        <w:jc w:val="both"/>
        <w:rPr>
          <w:rFonts w:ascii="Verdana" w:eastAsia="Calibri" w:hAnsi="Verdana" w:cs="Arial"/>
          <w:bCs/>
          <w:sz w:val="20"/>
          <w:szCs w:val="20"/>
          <w:lang w:val="es-ES_tradnl"/>
        </w:rPr>
      </w:pPr>
      <w:r>
        <w:rPr>
          <w:rFonts w:ascii="Verdana" w:eastAsia="Calibri" w:hAnsi="Verdana" w:cs="Arial"/>
          <w:bCs/>
          <w:sz w:val="20"/>
          <w:szCs w:val="20"/>
        </w:rPr>
        <w:t>E</w:t>
      </w:r>
      <w:r w:rsidRPr="00390C4E">
        <w:rPr>
          <w:rFonts w:ascii="Verdana" w:eastAsia="Calibri" w:hAnsi="Verdana" w:cs="Arial"/>
          <w:bCs/>
          <w:sz w:val="20"/>
          <w:szCs w:val="20"/>
        </w:rPr>
        <w:t>n ausencia de regulación expresa sobre el régimen de garantías en el Decreto 092 de 2017, aplican las reglas generales del EGCAP conforme a los artículos 6, 7 y 8. Por tanto, tratándose de</w:t>
      </w:r>
      <w:r w:rsidRPr="00390C4E">
        <w:rPr>
          <w:rFonts w:ascii="Verdana" w:eastAsia="Calibri" w:hAnsi="Verdana" w:cs="Arial"/>
          <w:bCs/>
          <w:sz w:val="20"/>
          <w:szCs w:val="20"/>
          <w:lang w:val="es-ES_tradnl"/>
        </w:rPr>
        <w:t xml:space="preserve"> </w:t>
      </w:r>
      <w:r w:rsidRPr="00390C4E">
        <w:rPr>
          <w:rFonts w:ascii="Verdana" w:eastAsia="Calibri" w:hAnsi="Verdana" w:cs="Arial"/>
          <w:bCs/>
          <w:i/>
          <w:iCs/>
          <w:sz w:val="20"/>
          <w:szCs w:val="20"/>
          <w:lang w:val="es-ES_tradnl"/>
        </w:rPr>
        <w:t xml:space="preserve">contratos del artículo 355 de la Constitución </w:t>
      </w:r>
      <w:r w:rsidRPr="00390C4E">
        <w:rPr>
          <w:rFonts w:ascii="Verdana" w:eastAsia="Calibri" w:hAnsi="Verdana" w:cs="Arial"/>
          <w:bCs/>
          <w:sz w:val="20"/>
          <w:szCs w:val="20"/>
          <w:lang w:val="es-ES_tradnl"/>
        </w:rPr>
        <w:t xml:space="preserve">o de </w:t>
      </w:r>
      <w:r w:rsidRPr="00390C4E">
        <w:rPr>
          <w:rFonts w:ascii="Verdana" w:eastAsia="Calibri" w:hAnsi="Verdana" w:cs="Arial"/>
          <w:bCs/>
          <w:i/>
          <w:iCs/>
          <w:sz w:val="20"/>
          <w:szCs w:val="20"/>
          <w:lang w:val="es-ES_tradnl"/>
        </w:rPr>
        <w:t>convenios de asociación</w:t>
      </w:r>
      <w:r w:rsidRPr="00390C4E">
        <w:rPr>
          <w:rFonts w:ascii="Verdana" w:eastAsia="Calibri" w:hAnsi="Verdana" w:cs="Arial"/>
          <w:bCs/>
          <w:sz w:val="20"/>
          <w:szCs w:val="20"/>
          <w:lang w:val="es-ES_tradnl"/>
        </w:rPr>
        <w:t xml:space="preserve">, amparos como los de cumplimiento y calidad del servicio deben constituirse bajo los criterios previstos en los artículos 2.2.1.2.3.1.12 y 2.2.1.2.3.1.15 del Decreto 1082 de 2015, sin que exista un parámetro normativo diferente para el efecto. En ambos casos se tiene en cuenta el valor total del negocio, pues el reglamento no contempló la discriminación de los aportes realizados.   </w:t>
      </w:r>
    </w:p>
    <w:p w14:paraId="57BF319D" w14:textId="77777777" w:rsidR="00DE259C" w:rsidRPr="00390C4E" w:rsidRDefault="00DE259C" w:rsidP="00DE259C">
      <w:pPr>
        <w:spacing w:after="0" w:line="240" w:lineRule="auto"/>
        <w:jc w:val="both"/>
        <w:rPr>
          <w:rFonts w:ascii="Verdana" w:eastAsia="Calibri" w:hAnsi="Verdana" w:cs="Arial"/>
          <w:bCs/>
          <w:sz w:val="20"/>
          <w:szCs w:val="20"/>
        </w:rPr>
      </w:pPr>
    </w:p>
    <w:p w14:paraId="5CDF3DC2" w14:textId="77777777" w:rsidR="00DE259C" w:rsidRPr="00390C4E" w:rsidRDefault="00DE259C" w:rsidP="00DE259C">
      <w:pPr>
        <w:spacing w:after="0" w:line="240" w:lineRule="auto"/>
        <w:jc w:val="both"/>
        <w:rPr>
          <w:rFonts w:ascii="Verdana" w:eastAsia="Calibri" w:hAnsi="Verdana" w:cs="Arial"/>
          <w:bCs/>
          <w:sz w:val="20"/>
          <w:szCs w:val="20"/>
        </w:rPr>
      </w:pPr>
      <w:r w:rsidRPr="00390C4E">
        <w:rPr>
          <w:rFonts w:ascii="Verdana" w:eastAsia="Calibri" w:hAnsi="Verdana" w:cs="Arial"/>
          <w:bCs/>
          <w:sz w:val="20"/>
          <w:szCs w:val="20"/>
        </w:rPr>
        <w:t xml:space="preserve">En todo caso, conforme al artículo 2.2.1.2.1.4.5 del Decreto 1082 de 2015, “En la contratación directa la exigencia de garantías establecidas en la Sección 3, que comprende los artículos 2.2.1.2.3.1.1 al 2.2.1.2.3.5.1. del presente decreto no es obligatoria y la justificación para exigirlas o no debe estar en los estudios y documentos previos”. </w:t>
      </w:r>
      <w:r w:rsidRPr="00326688">
        <w:rPr>
          <w:rFonts w:ascii="Verdana" w:eastAsia="Calibri" w:hAnsi="Verdana" w:cs="Arial"/>
          <w:bCs/>
          <w:sz w:val="20"/>
          <w:szCs w:val="20"/>
        </w:rPr>
        <w:t>Tratándose de los interadministrativos,</w:t>
      </w:r>
      <w:r>
        <w:rPr>
          <w:rFonts w:ascii="Verdana" w:eastAsia="Calibri" w:hAnsi="Verdana" w:cs="Arial"/>
          <w:bCs/>
          <w:sz w:val="20"/>
          <w:szCs w:val="20"/>
        </w:rPr>
        <w:t xml:space="preserve"> </w:t>
      </w:r>
      <w:r w:rsidRPr="008614F9">
        <w:rPr>
          <w:rFonts w:ascii="Verdana" w:eastAsia="Calibri" w:hAnsi="Verdana" w:cs="Arial"/>
          <w:bCs/>
          <w:sz w:val="20"/>
          <w:szCs w:val="20"/>
        </w:rPr>
        <w:t>aunque la garantías no son obligatorias conforme al inciso final del artículo 7 de la Ley 1150 de 2007,</w:t>
      </w:r>
      <w:r>
        <w:rPr>
          <w:rFonts w:ascii="Verdana" w:eastAsia="Calibri" w:hAnsi="Verdana" w:cs="Arial"/>
          <w:bCs/>
          <w:sz w:val="20"/>
          <w:szCs w:val="20"/>
        </w:rPr>
        <w:t xml:space="preserve"> </w:t>
      </w:r>
      <w:r w:rsidRPr="00326688">
        <w:rPr>
          <w:rFonts w:ascii="Verdana" w:eastAsia="Calibri" w:hAnsi="Verdana" w:cs="Arial"/>
          <w:bCs/>
          <w:sz w:val="20"/>
          <w:szCs w:val="20"/>
        </w:rPr>
        <w:t>podrán incluirse los amparos contemplados en el Decreto Único Reglamentario del sector Administrativo de Planeación Nacional. Ello en función de los riesgos identificados por la entidad tanto en el análisis del sector –art. 2.2.1.1.1.6.1 del Decreto 1082 de 2015– como los estudios y documentos previos –</w:t>
      </w:r>
      <w:proofErr w:type="spellStart"/>
      <w:r w:rsidRPr="00326688">
        <w:rPr>
          <w:rFonts w:ascii="Verdana" w:eastAsia="Calibri" w:hAnsi="Verdana" w:cs="Arial"/>
          <w:bCs/>
          <w:sz w:val="20"/>
          <w:szCs w:val="20"/>
        </w:rPr>
        <w:t>num</w:t>
      </w:r>
      <w:proofErr w:type="spellEnd"/>
      <w:r w:rsidRPr="00326688">
        <w:rPr>
          <w:rFonts w:ascii="Verdana" w:eastAsia="Calibri" w:hAnsi="Verdana" w:cs="Arial"/>
          <w:bCs/>
          <w:sz w:val="20"/>
          <w:szCs w:val="20"/>
        </w:rPr>
        <w:t xml:space="preserve">. 6 del art. 2.2.1.1.2.1.1 </w:t>
      </w:r>
      <w:r w:rsidRPr="008614F9">
        <w:rPr>
          <w:rFonts w:ascii="Verdana" w:eastAsia="Calibri" w:hAnsi="Verdana" w:cs="Arial"/>
          <w:bCs/>
          <w:i/>
          <w:iCs/>
          <w:sz w:val="20"/>
          <w:szCs w:val="20"/>
        </w:rPr>
        <w:t>ibidem</w:t>
      </w:r>
      <w:r w:rsidRPr="00326688">
        <w:rPr>
          <w:rFonts w:ascii="Verdana" w:eastAsia="Calibri" w:hAnsi="Verdana" w:cs="Arial"/>
          <w:bCs/>
          <w:sz w:val="20"/>
          <w:szCs w:val="20"/>
        </w:rPr>
        <w:t>–</w:t>
      </w:r>
      <w:r w:rsidRPr="00390C4E">
        <w:rPr>
          <w:rFonts w:ascii="Verdana" w:eastAsia="Calibri" w:hAnsi="Verdana" w:cs="Arial"/>
          <w:bCs/>
          <w:sz w:val="20"/>
          <w:szCs w:val="20"/>
        </w:rPr>
        <w:t>.</w:t>
      </w:r>
    </w:p>
    <w:p w14:paraId="7B5120A0" w14:textId="77777777" w:rsidR="00DE259C" w:rsidRPr="00390C4E" w:rsidRDefault="00DE259C" w:rsidP="00DE259C">
      <w:pPr>
        <w:spacing w:after="0" w:line="240" w:lineRule="auto"/>
        <w:jc w:val="both"/>
        <w:rPr>
          <w:rFonts w:ascii="Verdana" w:hAnsi="Verdana"/>
          <w:sz w:val="20"/>
          <w:szCs w:val="20"/>
        </w:rPr>
      </w:pPr>
    </w:p>
    <w:p w14:paraId="725DA291" w14:textId="77777777" w:rsidR="00DE259C" w:rsidRDefault="00DE259C" w:rsidP="00DE259C">
      <w:pPr>
        <w:spacing w:after="0" w:line="240" w:lineRule="auto"/>
        <w:jc w:val="both"/>
        <w:rPr>
          <w:rFonts w:ascii="Verdana" w:eastAsia="Times New Roman" w:hAnsi="Verdana" w:cs="Arial"/>
          <w:color w:val="000000"/>
          <w:sz w:val="20"/>
          <w:szCs w:val="20"/>
          <w:lang w:eastAsia="es-MX"/>
        </w:rPr>
      </w:pPr>
      <w:r>
        <w:rPr>
          <w:rFonts w:ascii="Verdana" w:eastAsia="Times New Roman" w:hAnsi="Verdana" w:cs="Arial"/>
          <w:color w:val="000000"/>
          <w:sz w:val="20"/>
          <w:szCs w:val="20"/>
          <w:lang w:eastAsia="es-MX"/>
        </w:rPr>
        <w:t xml:space="preserve"> </w:t>
      </w:r>
    </w:p>
    <w:p w14:paraId="0D328C0A" w14:textId="77777777" w:rsidR="00DE259C" w:rsidRPr="00705C5F" w:rsidRDefault="00DE259C" w:rsidP="00DE259C">
      <w:pPr>
        <w:spacing w:after="0" w:line="240" w:lineRule="auto"/>
        <w:jc w:val="both"/>
        <w:rPr>
          <w:rFonts w:ascii="Verdana" w:eastAsia="Times New Roman" w:hAnsi="Verdana" w:cs="Arial"/>
          <w:color w:val="000000"/>
          <w:sz w:val="20"/>
          <w:szCs w:val="20"/>
          <w:lang w:eastAsia="es-MX"/>
        </w:rPr>
      </w:pPr>
    </w:p>
    <w:p w14:paraId="67331CBE" w14:textId="77777777" w:rsidR="00DE259C" w:rsidRDefault="00DE259C" w:rsidP="00DE259C">
      <w:pPr>
        <w:spacing w:after="0" w:line="240" w:lineRule="auto"/>
        <w:rPr>
          <w:rFonts w:ascii="Verdana" w:eastAsia="Geomanist Light" w:hAnsi="Verdana" w:cs="Arial"/>
          <w:color w:val="000000" w:themeColor="text1"/>
        </w:rPr>
      </w:pPr>
    </w:p>
    <w:p w14:paraId="2EE29F4F" w14:textId="77777777" w:rsidR="00DE259C" w:rsidRDefault="00DE259C" w:rsidP="00DE259C">
      <w:pPr>
        <w:spacing w:after="0" w:line="240" w:lineRule="auto"/>
        <w:rPr>
          <w:rFonts w:ascii="Verdana" w:eastAsia="Geomanist Light" w:hAnsi="Verdana" w:cs="Arial"/>
          <w:color w:val="000000" w:themeColor="text1"/>
        </w:rPr>
      </w:pPr>
    </w:p>
    <w:p w14:paraId="47065DF5" w14:textId="77777777" w:rsidR="00DE259C" w:rsidRDefault="00DE259C" w:rsidP="00DE259C">
      <w:pPr>
        <w:spacing w:after="0" w:line="240" w:lineRule="auto"/>
        <w:rPr>
          <w:rFonts w:ascii="Verdana" w:eastAsia="Geomanist Light" w:hAnsi="Verdana" w:cs="Arial"/>
          <w:color w:val="000000" w:themeColor="text1"/>
          <w:lang w:val="es-MX"/>
        </w:rPr>
      </w:pPr>
    </w:p>
    <w:p w14:paraId="5A4F6C0D" w14:textId="77777777" w:rsidR="00DE259C" w:rsidRDefault="00DE259C" w:rsidP="00DE259C">
      <w:pPr>
        <w:spacing w:after="0" w:line="240" w:lineRule="auto"/>
        <w:rPr>
          <w:rFonts w:ascii="Verdana" w:eastAsia="Geomanist Light" w:hAnsi="Verdana" w:cs="Arial"/>
          <w:color w:val="000000" w:themeColor="text1"/>
          <w:lang w:val="es-MX"/>
        </w:rPr>
      </w:pPr>
    </w:p>
    <w:p w14:paraId="33F105B7" w14:textId="77777777" w:rsidR="00DE259C" w:rsidRDefault="00DE259C" w:rsidP="00DE259C">
      <w:pPr>
        <w:spacing w:after="0" w:line="240" w:lineRule="auto"/>
        <w:rPr>
          <w:rFonts w:ascii="Verdana" w:eastAsia="Geomanist Light" w:hAnsi="Verdana" w:cs="Arial"/>
          <w:color w:val="000000" w:themeColor="text1"/>
          <w:lang w:val="es-MX"/>
        </w:rPr>
      </w:pPr>
    </w:p>
    <w:p w14:paraId="407512E6" w14:textId="77777777" w:rsidR="00DE259C" w:rsidRDefault="00DE259C" w:rsidP="00DE259C">
      <w:pPr>
        <w:spacing w:after="0" w:line="240" w:lineRule="auto"/>
        <w:rPr>
          <w:rFonts w:ascii="Verdana" w:eastAsia="Geomanist Light" w:hAnsi="Verdana" w:cs="Arial"/>
          <w:color w:val="000000" w:themeColor="text1"/>
          <w:lang w:val="es-MX"/>
        </w:rPr>
      </w:pPr>
    </w:p>
    <w:p w14:paraId="6662DE17" w14:textId="77777777" w:rsidR="00DE259C" w:rsidRDefault="00DE259C" w:rsidP="00DE259C">
      <w:pPr>
        <w:spacing w:after="0" w:line="240" w:lineRule="auto"/>
        <w:rPr>
          <w:rFonts w:ascii="Verdana" w:eastAsia="Geomanist Light" w:hAnsi="Verdana" w:cs="Arial"/>
          <w:color w:val="000000" w:themeColor="text1"/>
          <w:lang w:val="es-MX"/>
        </w:rPr>
      </w:pPr>
    </w:p>
    <w:p w14:paraId="6876E11F" w14:textId="77777777" w:rsidR="00DE259C" w:rsidRDefault="00DE259C" w:rsidP="00AA4423">
      <w:pPr>
        <w:spacing w:after="0" w:line="240" w:lineRule="auto"/>
        <w:rPr>
          <w:rFonts w:ascii="Verdana" w:eastAsia="Geomanist Light" w:hAnsi="Verdana" w:cs="Arial"/>
          <w:color w:val="000000" w:themeColor="text1"/>
          <w:lang w:val="es-MX"/>
        </w:rPr>
      </w:pPr>
    </w:p>
    <w:p w14:paraId="380C069E" w14:textId="0542A314" w:rsidR="00AA4423" w:rsidRPr="00593A5F" w:rsidRDefault="00AA4423" w:rsidP="00AA4423">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C6095D" w:rsidRPr="004217E8">
        <w:rPr>
          <w:rFonts w:ascii="Verdana" w:eastAsia="Geomanist Light" w:hAnsi="Verdana" w:cs="Arial"/>
          <w:color w:val="000000" w:themeColor="text1"/>
          <w:lang w:val="es-MX"/>
        </w:rPr>
        <w:t>06 de Febrero de 2026</w:t>
      </w:r>
    </w:p>
    <w:p w14:paraId="4066A7C0" w14:textId="77777777" w:rsidR="00AA4423" w:rsidRDefault="00AA4423" w:rsidP="00AA4423">
      <w:pPr>
        <w:spacing w:after="0" w:line="240" w:lineRule="auto"/>
        <w:jc w:val="both"/>
        <w:rPr>
          <w:rFonts w:ascii="Verdana" w:eastAsia="Calibri" w:hAnsi="Verdana" w:cs="Arial"/>
          <w:color w:val="000000"/>
          <w:lang w:val="es-ES"/>
        </w:rPr>
      </w:pPr>
    </w:p>
    <w:p w14:paraId="3D3E4E1C" w14:textId="3C8D4C75" w:rsidR="00AA4423" w:rsidRDefault="00AA4423" w:rsidP="00C6095D">
      <w:pPr>
        <w:spacing w:after="0" w:line="240" w:lineRule="auto"/>
        <w:jc w:val="right"/>
        <w:rPr>
          <w:rFonts w:ascii="Verdana" w:eastAsia="Calibri" w:hAnsi="Verdana" w:cs="Arial"/>
          <w:color w:val="000000"/>
          <w:lang w:val="es-ES"/>
        </w:rPr>
      </w:pPr>
    </w:p>
    <w:p w14:paraId="3253D433" w14:textId="13BB0790" w:rsidR="00C6095D" w:rsidRPr="00593A5F" w:rsidRDefault="00854E54" w:rsidP="00AA4423">
      <w:pPr>
        <w:spacing w:after="0" w:line="240" w:lineRule="auto"/>
        <w:jc w:val="both"/>
        <w:rPr>
          <w:rFonts w:ascii="Verdana" w:eastAsia="Calibri" w:hAnsi="Verdana" w:cs="Arial"/>
          <w:color w:val="000000"/>
          <w:lang w:val="es-ES"/>
        </w:rPr>
      </w:pPr>
      <w:r w:rsidRPr="00C6095D">
        <w:rPr>
          <w:rFonts w:ascii="Verdana" w:eastAsia="Calibri" w:hAnsi="Verdana" w:cs="Arial"/>
          <w:noProof/>
          <w:color w:val="000000"/>
          <w:lang w:val="es-ES"/>
        </w:rPr>
        <w:drawing>
          <wp:anchor distT="0" distB="0" distL="114300" distR="114300" simplePos="0" relativeHeight="251658240" behindDoc="0" locked="0" layoutInCell="1" allowOverlap="1" wp14:anchorId="178C7712" wp14:editId="6C73D1AF">
            <wp:simplePos x="0" y="0"/>
            <wp:positionH relativeFrom="margin">
              <wp:align>right</wp:align>
            </wp:positionH>
            <wp:positionV relativeFrom="paragraph">
              <wp:posOffset>8503</wp:posOffset>
            </wp:positionV>
            <wp:extent cx="2807970" cy="897890"/>
            <wp:effectExtent l="0" t="0" r="0" b="0"/>
            <wp:wrapSquare wrapText="bothSides"/>
            <wp:docPr id="96343101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3431011" name=""/>
                    <pic:cNvPicPr/>
                  </pic:nvPicPr>
                  <pic:blipFill>
                    <a:blip r:embed="rId11">
                      <a:extLst>
                        <a:ext uri="{28A0092B-C50C-407E-A947-70E740481C1C}">
                          <a14:useLocalDpi xmlns:a14="http://schemas.microsoft.com/office/drawing/2010/main" val="0"/>
                        </a:ext>
                      </a:extLst>
                    </a:blip>
                    <a:stretch>
                      <a:fillRect/>
                    </a:stretch>
                  </pic:blipFill>
                  <pic:spPr>
                    <a:xfrm>
                      <a:off x="0" y="0"/>
                      <a:ext cx="2807970" cy="897890"/>
                    </a:xfrm>
                    <a:prstGeom prst="rect">
                      <a:avLst/>
                    </a:prstGeom>
                  </pic:spPr>
                </pic:pic>
              </a:graphicData>
            </a:graphic>
            <wp14:sizeRelH relativeFrom="margin">
              <wp14:pctWidth>0</wp14:pctWidth>
            </wp14:sizeRelH>
            <wp14:sizeRelV relativeFrom="margin">
              <wp14:pctHeight>0</wp14:pctHeight>
            </wp14:sizeRelV>
          </wp:anchor>
        </w:drawing>
      </w:r>
    </w:p>
    <w:p w14:paraId="1A476E74" w14:textId="77777777" w:rsidR="00AA4423" w:rsidRPr="00B96799" w:rsidRDefault="00AA4423" w:rsidP="00AA4423">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4165094B" w14:textId="77777777" w:rsidR="00AA4423" w:rsidRPr="0085423D" w:rsidRDefault="00AA4423" w:rsidP="00AA4423">
      <w:pPr>
        <w:spacing w:after="0" w:line="240" w:lineRule="auto"/>
        <w:rPr>
          <w:rFonts w:ascii="Verdana" w:eastAsia="Calibri" w:hAnsi="Verdana" w:cs="Arial"/>
          <w:b/>
          <w:lang w:val="es-ES_tradnl" w:eastAsia="es-ES_tradnl"/>
        </w:rPr>
      </w:pPr>
      <w:bookmarkStart w:id="1" w:name="OLE_LINK1"/>
      <w:r w:rsidRPr="00EA30F6">
        <w:rPr>
          <w:rFonts w:ascii="Verdana" w:eastAsia="Calibri" w:hAnsi="Verdana" w:cs="Arial"/>
          <w:b/>
          <w:lang w:val="es-ES_tradnl" w:eastAsia="es-ES_tradnl"/>
        </w:rPr>
        <w:t>Esteban</w:t>
      </w:r>
      <w:r>
        <w:rPr>
          <w:rFonts w:ascii="Verdana" w:eastAsia="Calibri" w:hAnsi="Verdana" w:cs="Arial"/>
          <w:b/>
          <w:lang w:val="es-ES_tradnl" w:eastAsia="es-ES_tradnl"/>
        </w:rPr>
        <w:t xml:space="preserve"> </w:t>
      </w:r>
      <w:r w:rsidRPr="00EA30F6">
        <w:rPr>
          <w:rFonts w:ascii="Verdana" w:eastAsia="Calibri" w:hAnsi="Verdana" w:cs="Arial"/>
          <w:b/>
          <w:lang w:val="es-ES_tradnl" w:eastAsia="es-ES_tradnl"/>
        </w:rPr>
        <w:t>Gómez Zapata</w:t>
      </w:r>
      <w:r w:rsidRPr="00A804BA">
        <w:rPr>
          <w:rFonts w:ascii="Verdana" w:eastAsia="Calibri" w:hAnsi="Verdana" w:cs="Arial"/>
          <w:b/>
          <w:lang w:val="es-ES_tradnl" w:eastAsia="es-ES_tradnl"/>
        </w:rPr>
        <w:t xml:space="preserve"> </w:t>
      </w:r>
      <w:r>
        <w:rPr>
          <w:rFonts w:ascii="Verdana" w:eastAsia="Calibri" w:hAnsi="Verdana" w:cs="Arial"/>
          <w:b/>
          <w:lang w:val="es-ES_tradnl" w:eastAsia="es-ES_tradnl"/>
        </w:rPr>
        <w:t xml:space="preserve"> </w:t>
      </w:r>
    </w:p>
    <w:bookmarkEnd w:id="1"/>
    <w:p w14:paraId="5C226214" w14:textId="77777777" w:rsidR="00AA4423" w:rsidRPr="00A804BA" w:rsidRDefault="00AA4423" w:rsidP="00AA4423">
      <w:pPr>
        <w:spacing w:after="0" w:line="240" w:lineRule="auto"/>
        <w:rPr>
          <w:rFonts w:ascii="Verdana" w:eastAsia="Calibri" w:hAnsi="Verdana" w:cs="Arial"/>
          <w:lang w:val="es-ES" w:eastAsia="es-ES"/>
        </w:rPr>
      </w:pPr>
      <w:r>
        <w:rPr>
          <w:rFonts w:ascii="Verdana" w:hAnsi="Verdana"/>
        </w:rPr>
        <w:fldChar w:fldCharType="begin"/>
      </w:r>
      <w:r>
        <w:rPr>
          <w:rFonts w:ascii="Verdana" w:hAnsi="Verdana"/>
        </w:rPr>
        <w:instrText>HYPERLINK "mailto:</w:instrText>
      </w:r>
      <w:r w:rsidRPr="005813CD">
        <w:rPr>
          <w:rFonts w:ascii="Verdana" w:hAnsi="Verdana"/>
        </w:rPr>
        <w:instrText>egzabogado@gmail.com</w:instrText>
      </w:r>
      <w:r>
        <w:rPr>
          <w:rFonts w:ascii="Verdana" w:hAnsi="Verdana"/>
        </w:rPr>
        <w:instrText>"</w:instrText>
      </w:r>
      <w:r>
        <w:rPr>
          <w:rFonts w:ascii="Verdana" w:hAnsi="Verdana"/>
        </w:rPr>
      </w:r>
      <w:r>
        <w:rPr>
          <w:rFonts w:ascii="Verdana" w:hAnsi="Verdana"/>
        </w:rPr>
        <w:fldChar w:fldCharType="separate"/>
      </w:r>
      <w:r w:rsidRPr="00E3375D">
        <w:rPr>
          <w:rStyle w:val="Hipervnculo"/>
          <w:rFonts w:ascii="Verdana" w:hAnsi="Verdana"/>
        </w:rPr>
        <w:t>egzabogado@gmail.com</w:t>
      </w:r>
      <w:r>
        <w:rPr>
          <w:rFonts w:ascii="Verdana" w:hAnsi="Verdana"/>
        </w:rPr>
        <w:fldChar w:fldCharType="end"/>
      </w:r>
      <w:r>
        <w:rPr>
          <w:rFonts w:ascii="Verdana" w:hAnsi="Verdana"/>
        </w:rPr>
        <w:t xml:space="preserve">         </w:t>
      </w:r>
      <w:r w:rsidRPr="00A804BA">
        <w:rPr>
          <w:rFonts w:ascii="Verdana" w:hAnsi="Verdana"/>
        </w:rPr>
        <w:t xml:space="preserve">            </w:t>
      </w:r>
      <w:r w:rsidRPr="00A804BA">
        <w:rPr>
          <w:rFonts w:ascii="Verdana" w:eastAsia="Calibri" w:hAnsi="Verdana" w:cs="Arial"/>
          <w:lang w:val="es-ES" w:eastAsia="es-ES"/>
        </w:rPr>
        <w:t xml:space="preserve">    </w:t>
      </w:r>
    </w:p>
    <w:p w14:paraId="2E197F52" w14:textId="77777777" w:rsidR="00AA4423" w:rsidRDefault="00AA4423" w:rsidP="00AA4423">
      <w:pPr>
        <w:spacing w:after="0" w:line="240" w:lineRule="auto"/>
        <w:rPr>
          <w:rFonts w:ascii="Verdana" w:eastAsia="Calibri" w:hAnsi="Verdana" w:cs="Arial"/>
          <w:lang w:val="es-ES" w:eastAsia="es-ES"/>
        </w:rPr>
      </w:pPr>
      <w:r w:rsidRPr="0044044E">
        <w:rPr>
          <w:rFonts w:ascii="Verdana" w:eastAsia="Calibri" w:hAnsi="Verdana" w:cs="Arial"/>
          <w:lang w:val="es-ES" w:eastAsia="es-ES"/>
        </w:rPr>
        <w:t>Bogotá D.C.</w:t>
      </w:r>
      <w:r>
        <w:rPr>
          <w:rFonts w:ascii="Verdana" w:eastAsia="Calibri" w:hAnsi="Verdana" w:cs="Arial"/>
          <w:lang w:val="es-ES" w:eastAsia="es-ES"/>
        </w:rPr>
        <w:t xml:space="preserve"> </w:t>
      </w:r>
    </w:p>
    <w:p w14:paraId="23362F67" w14:textId="77777777" w:rsidR="00AA4423" w:rsidRPr="00593A5F" w:rsidRDefault="00AA4423" w:rsidP="00AA4423">
      <w:pPr>
        <w:spacing w:after="0" w:line="240" w:lineRule="auto"/>
        <w:rPr>
          <w:rFonts w:ascii="Verdana" w:eastAsia="Calibri" w:hAnsi="Verdana" w:cs="Arial"/>
          <w:b/>
          <w:bCs/>
          <w:color w:val="000000"/>
          <w:lang w:val="es-ES_tradnl" w:eastAsia="es-ES_tradnl"/>
        </w:rPr>
      </w:pPr>
    </w:p>
    <w:p w14:paraId="70C54840" w14:textId="77777777" w:rsidR="00AA4423" w:rsidRPr="00593A5F" w:rsidRDefault="00AA4423" w:rsidP="00AA4423">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A4423" w:rsidRPr="00593A5F" w14:paraId="6BECD29E" w14:textId="77777777" w:rsidTr="00DF45F8">
        <w:trPr>
          <w:trHeight w:val="884"/>
        </w:trPr>
        <w:tc>
          <w:tcPr>
            <w:tcW w:w="2689" w:type="dxa"/>
          </w:tcPr>
          <w:p w14:paraId="5B71A42D" w14:textId="77777777" w:rsidR="00AA4423" w:rsidRPr="00C00976" w:rsidRDefault="00AA4423" w:rsidP="00DF45F8">
            <w:pPr>
              <w:jc w:val="both"/>
              <w:rPr>
                <w:rFonts w:ascii="Verdana" w:eastAsia="Calibri" w:hAnsi="Verdana" w:cs="Arial"/>
                <w:b/>
                <w:bCs/>
                <w:color w:val="7030A0"/>
                <w:lang w:val="es-ES_tradnl" w:eastAsia="es-ES_tradnl"/>
              </w:rPr>
            </w:pPr>
          </w:p>
        </w:tc>
        <w:tc>
          <w:tcPr>
            <w:tcW w:w="6100" w:type="dxa"/>
          </w:tcPr>
          <w:p w14:paraId="31B445F7" w14:textId="1FE4BEDE" w:rsidR="00AA4423" w:rsidRPr="00C00976" w:rsidRDefault="00AA4423" w:rsidP="00DF45F8">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5A3C3B">
              <w:rPr>
                <w:rFonts w:ascii="Verdana" w:eastAsia="Calibri" w:hAnsi="Verdana" w:cs="Arial"/>
                <w:b/>
                <w:bCs/>
                <w:lang w:val="es-ES" w:eastAsia="es-ES"/>
              </w:rPr>
              <w:t>124</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AA4423" w:rsidRPr="00593A5F" w14:paraId="21EF4F05" w14:textId="77777777" w:rsidTr="00DF45F8">
        <w:trPr>
          <w:trHeight w:val="884"/>
        </w:trPr>
        <w:tc>
          <w:tcPr>
            <w:tcW w:w="2689" w:type="dxa"/>
          </w:tcPr>
          <w:p w14:paraId="7758F8F2" w14:textId="77777777" w:rsidR="00AA4423" w:rsidRPr="00593A5F" w:rsidRDefault="00AA4423" w:rsidP="00DF45F8">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2B535E5E" w14:textId="77777777" w:rsidR="00AA4423" w:rsidRDefault="00AA4423" w:rsidP="00DF45F8">
            <w:pPr>
              <w:spacing w:line="276" w:lineRule="auto"/>
              <w:jc w:val="both"/>
              <w:rPr>
                <w:rFonts w:ascii="Verdana" w:eastAsia="Calibri" w:hAnsi="Verdana" w:cs="Arial"/>
                <w:lang w:val="es-ES" w:eastAsia="es-ES"/>
              </w:rPr>
            </w:pPr>
            <w:r w:rsidRPr="00013C41">
              <w:rPr>
                <w:rFonts w:ascii="Verdana" w:eastAsia="Calibri" w:hAnsi="Verdana" w:cs="Arial"/>
                <w:lang w:val="es-ES" w:eastAsia="es-ES"/>
              </w:rPr>
              <w:t>DECRETO 092 DE 2017 – Finalidad – Clases de contratos / CONTRATACIÓN CON ESAL – Contrato de colaboración – Objeto – Alcance / CONTRATACIÓN CON ESAL – Contrato de asociación – Objeto – Alcance / CONVENIOS DE ASOCIACIÓN – Multiplicidad de sujetos – Límites legales / DECRETO 092 DE 2017 – Criterios – Aplicación / DECRETO 092 DE 2017 – Normativa vigente / INTEGRACIÓN NORMATIVA – Reglas generales del sistema de contratación pública /</w:t>
            </w:r>
            <w:r>
              <w:rPr>
                <w:rFonts w:ascii="Verdana" w:eastAsia="Calibri" w:hAnsi="Verdana" w:cs="Arial"/>
                <w:lang w:val="es-ES" w:eastAsia="es-ES"/>
              </w:rPr>
              <w:t xml:space="preserve"> </w:t>
            </w:r>
            <w:r w:rsidRPr="008614F9">
              <w:rPr>
                <w:rFonts w:ascii="Verdana" w:eastAsia="Calibri" w:hAnsi="Verdana" w:cs="Arial"/>
                <w:lang w:val="es-ES" w:eastAsia="es-ES"/>
              </w:rPr>
              <w:t>GARANTÍAS – Decreto 092 de 2017 – Interadministrativos</w:t>
            </w:r>
          </w:p>
          <w:p w14:paraId="3857F8C4" w14:textId="77777777" w:rsidR="00AA4423" w:rsidRPr="00593A5F" w:rsidRDefault="00AA4423" w:rsidP="00DF45F8">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AA4423" w:rsidRPr="008E6AD9" w14:paraId="6E2EF356" w14:textId="77777777" w:rsidTr="00DF45F8">
        <w:tc>
          <w:tcPr>
            <w:tcW w:w="2689" w:type="dxa"/>
          </w:tcPr>
          <w:p w14:paraId="74B74828" w14:textId="77777777" w:rsidR="00AA4423" w:rsidRPr="008E6AD9" w:rsidRDefault="00AA4423" w:rsidP="00DF45F8">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36582277" w14:textId="77777777" w:rsidR="00AA4423" w:rsidRPr="00B92340" w:rsidRDefault="00AA4423" w:rsidP="00DF45F8">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t xml:space="preserve"> </w:t>
            </w:r>
            <w:r w:rsidRPr="00A762EE">
              <w:rPr>
                <w:rFonts w:ascii="Verdana" w:eastAsia="Calibri" w:hAnsi="Verdana" w:cs="Arial"/>
                <w:lang w:val="es-ES_tradnl" w:eastAsia="es-ES_tradnl"/>
              </w:rPr>
              <w:t>1_2026_01_29_001016</w:t>
            </w:r>
            <w:r>
              <w:rPr>
                <w:rFonts w:ascii="Verdana" w:eastAsia="Calibri" w:hAnsi="Verdana" w:cs="Arial"/>
                <w:lang w:val="es-ES_tradnl" w:eastAsia="es-ES_tradnl"/>
              </w:rPr>
              <w:t xml:space="preserve">                                   </w:t>
            </w:r>
          </w:p>
        </w:tc>
      </w:tr>
    </w:tbl>
    <w:p w14:paraId="1A3A2EB8" w14:textId="77777777" w:rsidR="00AA4423" w:rsidRPr="00593A5F" w:rsidRDefault="00AA4423" w:rsidP="00AA4423">
      <w:pPr>
        <w:spacing w:after="0" w:line="240" w:lineRule="auto"/>
        <w:jc w:val="both"/>
        <w:rPr>
          <w:rFonts w:ascii="Verdana" w:eastAsia="Calibri" w:hAnsi="Verdana" w:cs="Arial"/>
          <w:color w:val="000000"/>
          <w:lang w:val="es-ES_tradnl" w:eastAsia="es-ES_tradnl"/>
        </w:rPr>
      </w:pPr>
    </w:p>
    <w:p w14:paraId="451F01B7" w14:textId="77777777" w:rsidR="00AA4423" w:rsidRPr="00593A5F" w:rsidRDefault="00AA4423" w:rsidP="00AA4423">
      <w:pPr>
        <w:spacing w:after="0" w:line="240" w:lineRule="auto"/>
        <w:jc w:val="both"/>
        <w:rPr>
          <w:rFonts w:ascii="Verdana" w:eastAsia="Calibri" w:hAnsi="Verdana" w:cs="Arial"/>
          <w:color w:val="000000"/>
          <w:lang w:val="es-ES_tradnl" w:eastAsia="es-ES_tradnl"/>
        </w:rPr>
      </w:pPr>
    </w:p>
    <w:p w14:paraId="51919E26" w14:textId="77777777" w:rsidR="00AA4423" w:rsidRPr="008E6AD9" w:rsidRDefault="00AA4423" w:rsidP="00AA4423">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44044E">
        <w:rPr>
          <w:rFonts w:ascii="Verdana" w:eastAsia="Calibri" w:hAnsi="Verdana" w:cs="Arial"/>
          <w:lang w:val="es-ES" w:eastAsia="es-ES"/>
        </w:rPr>
        <w:t>Gómez Zapata</w:t>
      </w:r>
      <w:r w:rsidRPr="008E6AD9">
        <w:rPr>
          <w:rFonts w:ascii="Verdana" w:eastAsia="Calibri" w:hAnsi="Verdana" w:cs="Arial"/>
          <w:lang w:val="es-ES" w:eastAsia="es-ES"/>
        </w:rPr>
        <w:t xml:space="preserve">: </w:t>
      </w:r>
    </w:p>
    <w:p w14:paraId="5A6CFB62" w14:textId="77777777" w:rsidR="00AA4423" w:rsidRDefault="00AA4423" w:rsidP="00AA4423">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21F4C7CE" w14:textId="77777777" w:rsidR="00AA4423" w:rsidRPr="00593A5F" w:rsidRDefault="00AA4423" w:rsidP="00AA4423">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0623DD">
        <w:rPr>
          <w:rFonts w:ascii="Verdana" w:eastAsia="Calibri" w:hAnsi="Verdana" w:cs="Arial"/>
          <w:color w:val="000000" w:themeColor="text1"/>
          <w:lang w:val="es-ES" w:eastAsia="es-ES"/>
        </w:rPr>
        <w:t>la Agencia Nacional de Contratación Pública – Colombia Compra Eficiente responde la petición enviada</w:t>
      </w:r>
      <w:r>
        <w:rPr>
          <w:rFonts w:ascii="Verdana" w:eastAsia="Calibri" w:hAnsi="Verdana" w:cs="Arial"/>
          <w:color w:val="000000" w:themeColor="text1"/>
          <w:lang w:val="es-ES" w:eastAsia="es-ES"/>
        </w:rPr>
        <w:t xml:space="preserve"> el 28 de enero de 2026</w:t>
      </w:r>
      <w:r>
        <w:rPr>
          <w:rFonts w:ascii="Verdana" w:eastAsia="Calibri" w:hAnsi="Verdana" w:cs="Arial"/>
          <w:lang w:val="es-ES" w:eastAsia="es-ES"/>
        </w:rPr>
        <w:t>, donde pregunta lo siguiente</w:t>
      </w:r>
      <w:r w:rsidRPr="008E6AD9">
        <w:rPr>
          <w:rFonts w:ascii="Verdana" w:eastAsia="Calibri" w:hAnsi="Verdana" w:cs="Arial"/>
          <w:lang w:val="es-ES" w:eastAsia="es-ES"/>
        </w:rPr>
        <w:t xml:space="preserve">: </w:t>
      </w:r>
    </w:p>
    <w:p w14:paraId="46A1DE36" w14:textId="77777777" w:rsidR="00AA4423" w:rsidRPr="00272A7B" w:rsidRDefault="00AA4423" w:rsidP="00AA4423">
      <w:pPr>
        <w:pStyle w:val="Prrafodelista"/>
        <w:tabs>
          <w:tab w:val="left" w:pos="142"/>
          <w:tab w:val="left" w:pos="284"/>
        </w:tabs>
        <w:spacing w:after="0" w:line="276" w:lineRule="auto"/>
        <w:ind w:left="0"/>
        <w:jc w:val="both"/>
        <w:rPr>
          <w:rFonts w:ascii="Verdana" w:eastAsia="Century Gothic" w:hAnsi="Verdana" w:cs="Century Gothic"/>
          <w:b/>
          <w:bCs/>
        </w:rPr>
      </w:pPr>
    </w:p>
    <w:p w14:paraId="4AD6962F" w14:textId="77777777" w:rsidR="00AA4423" w:rsidRPr="0044044E" w:rsidRDefault="00AA4423" w:rsidP="00AA4423">
      <w:pPr>
        <w:spacing w:after="120" w:line="240" w:lineRule="auto"/>
        <w:ind w:left="709" w:right="709"/>
        <w:jc w:val="both"/>
        <w:rPr>
          <w:rFonts w:ascii="Verdana" w:eastAsia="Century Gothic" w:hAnsi="Verdana" w:cs="Century Gothic"/>
          <w:sz w:val="20"/>
          <w:szCs w:val="20"/>
          <w:lang w:val="es-ES"/>
        </w:rPr>
      </w:pPr>
      <w:bookmarkStart w:id="2" w:name="_Hlk95313578"/>
      <w:r w:rsidRPr="00AA6517">
        <w:rPr>
          <w:rFonts w:ascii="Verdana" w:eastAsia="Century Gothic" w:hAnsi="Verdana" w:cs="Century Gothic"/>
          <w:sz w:val="20"/>
          <w:szCs w:val="20"/>
          <w:lang w:val="es-ES"/>
        </w:rPr>
        <w:lastRenderedPageBreak/>
        <w:t>“</w:t>
      </w:r>
      <w:bookmarkEnd w:id="2"/>
      <w:r w:rsidRPr="0044044E">
        <w:rPr>
          <w:rFonts w:ascii="Verdana" w:eastAsia="Century Gothic" w:hAnsi="Verdana" w:cs="Century Gothic"/>
          <w:sz w:val="20"/>
          <w:szCs w:val="20"/>
          <w:lang w:val="es-ES"/>
        </w:rPr>
        <w:t>1. ¿Cuál es el fundamento preciso que determina el monto a amparar por las diversas garantías en la contratación estatal, el valor del contrato o el valor de los aportes de la entidad estatal al contrato o</w:t>
      </w:r>
      <w:r>
        <w:rPr>
          <w:rFonts w:ascii="Verdana" w:eastAsia="Century Gothic" w:hAnsi="Verdana" w:cs="Century Gothic"/>
          <w:sz w:val="20"/>
          <w:szCs w:val="20"/>
          <w:lang w:val="es-ES"/>
        </w:rPr>
        <w:t xml:space="preserve"> </w:t>
      </w:r>
      <w:r w:rsidRPr="0044044E">
        <w:rPr>
          <w:rFonts w:ascii="Verdana" w:eastAsia="Century Gothic" w:hAnsi="Verdana" w:cs="Century Gothic"/>
          <w:sz w:val="20"/>
          <w:szCs w:val="20"/>
          <w:lang w:val="es-ES"/>
        </w:rPr>
        <w:t>convenio?</w:t>
      </w:r>
    </w:p>
    <w:p w14:paraId="254C5760" w14:textId="77777777" w:rsidR="00AA4423" w:rsidRPr="0044044E" w:rsidRDefault="00AA4423" w:rsidP="00AA4423">
      <w:pPr>
        <w:spacing w:after="120" w:line="240" w:lineRule="auto"/>
        <w:ind w:left="709" w:right="709"/>
        <w:jc w:val="both"/>
        <w:rPr>
          <w:rFonts w:ascii="Verdana" w:eastAsia="Century Gothic" w:hAnsi="Verdana" w:cs="Century Gothic"/>
          <w:sz w:val="20"/>
          <w:szCs w:val="20"/>
          <w:lang w:val="es-ES"/>
        </w:rPr>
      </w:pPr>
      <w:r w:rsidRPr="0044044E">
        <w:rPr>
          <w:rFonts w:ascii="Verdana" w:eastAsia="Century Gothic" w:hAnsi="Verdana" w:cs="Century Gothic"/>
          <w:sz w:val="20"/>
          <w:szCs w:val="20"/>
          <w:lang w:val="es-ES"/>
        </w:rPr>
        <w:t>2. En los Convenios Interadministrativos o en los Convenios celebrados por una entidad pública con particulares, en donde se presentan aportes de una entidad pública y, de la otra, de otra entidad</w:t>
      </w:r>
      <w:r>
        <w:rPr>
          <w:rFonts w:ascii="Verdana" w:eastAsia="Century Gothic" w:hAnsi="Verdana" w:cs="Century Gothic"/>
          <w:sz w:val="20"/>
          <w:szCs w:val="20"/>
          <w:lang w:val="es-ES"/>
        </w:rPr>
        <w:t xml:space="preserve"> </w:t>
      </w:r>
      <w:r w:rsidRPr="0044044E">
        <w:rPr>
          <w:rFonts w:ascii="Verdana" w:eastAsia="Century Gothic" w:hAnsi="Verdana" w:cs="Century Gothic"/>
          <w:sz w:val="20"/>
          <w:szCs w:val="20"/>
          <w:lang w:val="es-ES"/>
        </w:rPr>
        <w:t>pública o de una entidad privada; ¿Cuál es el valor que debe amparar la garantía de cumplimiento, en cuanto a los amparos de cumplimiento y calidad del servicio, entre otros: el valor total del</w:t>
      </w:r>
      <w:r>
        <w:rPr>
          <w:rFonts w:ascii="Verdana" w:eastAsia="Century Gothic" w:hAnsi="Verdana" w:cs="Century Gothic"/>
          <w:sz w:val="20"/>
          <w:szCs w:val="20"/>
          <w:lang w:val="es-ES"/>
        </w:rPr>
        <w:t xml:space="preserve"> </w:t>
      </w:r>
      <w:r w:rsidRPr="0044044E">
        <w:rPr>
          <w:rFonts w:ascii="Verdana" w:eastAsia="Century Gothic" w:hAnsi="Verdana" w:cs="Century Gothic"/>
          <w:sz w:val="20"/>
          <w:szCs w:val="20"/>
          <w:lang w:val="es-ES"/>
        </w:rPr>
        <w:t>Contrato o el valor de los aportes de la entidad estatal al contrato?</w:t>
      </w:r>
    </w:p>
    <w:p w14:paraId="7CC0D098" w14:textId="77777777" w:rsidR="00AA4423" w:rsidRPr="0044044E" w:rsidRDefault="00AA4423" w:rsidP="00AA4423">
      <w:pPr>
        <w:spacing w:after="120" w:line="240" w:lineRule="auto"/>
        <w:ind w:left="709" w:right="709"/>
        <w:jc w:val="both"/>
        <w:rPr>
          <w:rFonts w:ascii="Verdana" w:eastAsia="Century Gothic" w:hAnsi="Verdana" w:cs="Century Gothic"/>
          <w:sz w:val="20"/>
          <w:szCs w:val="20"/>
          <w:lang w:val="es-ES"/>
        </w:rPr>
      </w:pPr>
      <w:r w:rsidRPr="0044044E">
        <w:rPr>
          <w:rFonts w:ascii="Verdana" w:eastAsia="Century Gothic" w:hAnsi="Verdana" w:cs="Century Gothic"/>
          <w:sz w:val="20"/>
          <w:szCs w:val="20"/>
          <w:lang w:val="es-ES"/>
        </w:rPr>
        <w:t>3. Teniendo en cuenta que en los convenios de asociación regulados por el Decreto 092 de 2017 y demás normas concordantes, los aportes de la entidad pública son del 70% y de la entidad sin ánimo</w:t>
      </w:r>
      <w:r>
        <w:rPr>
          <w:rFonts w:ascii="Verdana" w:eastAsia="Century Gothic" w:hAnsi="Verdana" w:cs="Century Gothic"/>
          <w:sz w:val="20"/>
          <w:szCs w:val="20"/>
          <w:lang w:val="es-ES"/>
        </w:rPr>
        <w:t xml:space="preserve"> </w:t>
      </w:r>
      <w:r w:rsidRPr="0044044E">
        <w:rPr>
          <w:rFonts w:ascii="Verdana" w:eastAsia="Century Gothic" w:hAnsi="Verdana" w:cs="Century Gothic"/>
          <w:sz w:val="20"/>
          <w:szCs w:val="20"/>
          <w:lang w:val="es-ES"/>
        </w:rPr>
        <w:t>de lucro son del 30%, y que en ese orden de ideas el valor total del convenio no corresponde al valor total de los aportes de la entidad estatal; ¿Cuál es el monto que debe amparar la garantía de</w:t>
      </w:r>
      <w:r>
        <w:rPr>
          <w:rFonts w:ascii="Verdana" w:eastAsia="Century Gothic" w:hAnsi="Verdana" w:cs="Century Gothic"/>
          <w:sz w:val="20"/>
          <w:szCs w:val="20"/>
          <w:lang w:val="es-ES"/>
        </w:rPr>
        <w:t xml:space="preserve"> </w:t>
      </w:r>
      <w:r w:rsidRPr="0044044E">
        <w:rPr>
          <w:rFonts w:ascii="Verdana" w:eastAsia="Century Gothic" w:hAnsi="Verdana" w:cs="Century Gothic"/>
          <w:sz w:val="20"/>
          <w:szCs w:val="20"/>
          <w:lang w:val="es-ES"/>
        </w:rPr>
        <w:t>cumplimiento; el valor total del convenio o el valor de los aportes de la entidad estatal al convenio?</w:t>
      </w:r>
    </w:p>
    <w:p w14:paraId="0C0F4571" w14:textId="77777777" w:rsidR="00AA4423" w:rsidRPr="00AA6517" w:rsidRDefault="00AA4423" w:rsidP="00AA4423">
      <w:pPr>
        <w:spacing w:after="0" w:line="240" w:lineRule="auto"/>
        <w:ind w:left="709" w:right="709"/>
        <w:jc w:val="both"/>
        <w:rPr>
          <w:rFonts w:ascii="Verdana" w:eastAsia="Century Gothic" w:hAnsi="Verdana" w:cs="Century Gothic"/>
          <w:sz w:val="20"/>
          <w:szCs w:val="20"/>
          <w:lang w:val="es-ES"/>
        </w:rPr>
      </w:pPr>
      <w:r w:rsidRPr="0044044E">
        <w:rPr>
          <w:rFonts w:ascii="Verdana" w:eastAsia="Century Gothic" w:hAnsi="Verdana" w:cs="Century Gothic"/>
          <w:sz w:val="20"/>
          <w:szCs w:val="20"/>
          <w:lang w:val="es-ES"/>
        </w:rPr>
        <w:t>4. Existe un soporte normativo o regulatorio sobre el monto de las garantías de cumplimiento en convenios de asociación regulados por el Decreto 092 de 2017, diferentes a los establecidos en el</w:t>
      </w:r>
      <w:r>
        <w:rPr>
          <w:rFonts w:ascii="Verdana" w:eastAsia="Century Gothic" w:hAnsi="Verdana" w:cs="Century Gothic"/>
          <w:sz w:val="20"/>
          <w:szCs w:val="20"/>
          <w:lang w:val="es-ES"/>
        </w:rPr>
        <w:t xml:space="preserve"> </w:t>
      </w:r>
      <w:r w:rsidRPr="0044044E">
        <w:rPr>
          <w:rFonts w:ascii="Verdana" w:eastAsia="Century Gothic" w:hAnsi="Verdana" w:cs="Century Gothic"/>
          <w:sz w:val="20"/>
          <w:szCs w:val="20"/>
          <w:lang w:val="es-ES"/>
        </w:rPr>
        <w:t>DUR 1082 de 2015</w:t>
      </w:r>
      <w:r w:rsidRPr="00AA6517">
        <w:rPr>
          <w:rFonts w:ascii="Verdana" w:eastAsia="Century Gothic" w:hAnsi="Verdana" w:cs="Century Gothic"/>
          <w:sz w:val="20"/>
          <w:szCs w:val="20"/>
        </w:rPr>
        <w:t>”.</w:t>
      </w:r>
      <w:r>
        <w:rPr>
          <w:rFonts w:ascii="Verdana" w:eastAsia="Century Gothic" w:hAnsi="Verdana" w:cs="Century Gothic"/>
          <w:sz w:val="21"/>
          <w:szCs w:val="21"/>
        </w:rPr>
        <w:t xml:space="preserve"> </w:t>
      </w:r>
    </w:p>
    <w:p w14:paraId="40E7BB05" w14:textId="77777777" w:rsidR="00AA4423" w:rsidRPr="008E6AD9" w:rsidRDefault="00AA4423" w:rsidP="00AA4423">
      <w:pPr>
        <w:pStyle w:val="Prrafodelista"/>
        <w:tabs>
          <w:tab w:val="left" w:pos="142"/>
          <w:tab w:val="left" w:pos="284"/>
        </w:tabs>
        <w:spacing w:after="0" w:line="276" w:lineRule="auto"/>
        <w:ind w:left="0"/>
        <w:jc w:val="both"/>
        <w:rPr>
          <w:rFonts w:ascii="Verdana" w:eastAsia="Century Gothic" w:hAnsi="Verdana" w:cs="Century Gothic"/>
          <w:b/>
          <w:bCs/>
        </w:rPr>
      </w:pPr>
    </w:p>
    <w:p w14:paraId="14FE86C9" w14:textId="77777777" w:rsidR="00AA4423" w:rsidRPr="00A652FF" w:rsidRDefault="00AA4423" w:rsidP="00AA4423">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38589F1" w14:textId="77777777" w:rsidR="00AA4423" w:rsidRDefault="00AA4423" w:rsidP="00AA4423">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35098984" w14:textId="77777777" w:rsidR="00AA4423" w:rsidRPr="00593A5F" w:rsidRDefault="00AA4423" w:rsidP="00AA4423">
      <w:pPr>
        <w:spacing w:after="0" w:line="276" w:lineRule="auto"/>
        <w:ind w:firstLine="709"/>
        <w:jc w:val="both"/>
        <w:rPr>
          <w:rFonts w:ascii="Verdana" w:eastAsia="Calibri" w:hAnsi="Verdana" w:cs="Arial"/>
          <w:color w:val="000000"/>
          <w:lang w:val="es-ES" w:eastAsia="es-ES"/>
        </w:rPr>
      </w:pPr>
    </w:p>
    <w:p w14:paraId="49ED51D0" w14:textId="77777777" w:rsidR="00AA4423" w:rsidRPr="00593A5F" w:rsidRDefault="00AA4423" w:rsidP="00AA4423">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30686FA1" w14:textId="77777777" w:rsidR="00AA4423" w:rsidRPr="00593A5F" w:rsidRDefault="00AA4423" w:rsidP="00AA4423">
      <w:pPr>
        <w:tabs>
          <w:tab w:val="left" w:pos="426"/>
        </w:tabs>
        <w:spacing w:after="0" w:line="276" w:lineRule="auto"/>
        <w:jc w:val="both"/>
        <w:rPr>
          <w:rFonts w:ascii="Verdana" w:eastAsia="Century Gothic" w:hAnsi="Verdana" w:cs="Century Gothic"/>
          <w:lang w:val="es-ES"/>
        </w:rPr>
      </w:pPr>
    </w:p>
    <w:p w14:paraId="318F4FE0" w14:textId="77777777" w:rsidR="00AA4423" w:rsidRPr="00593A5F" w:rsidRDefault="00AA4423" w:rsidP="00AA4423">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problema jurídico:</w:t>
      </w:r>
      <w:r>
        <w:rPr>
          <w:rFonts w:ascii="Verdana" w:eastAsia="Century Gothic" w:hAnsi="Verdana" w:cs="Century Gothic"/>
        </w:rPr>
        <w:t xml:space="preserve"> </w:t>
      </w:r>
      <w:r w:rsidRPr="001C6F0B">
        <w:rPr>
          <w:rFonts w:ascii="Verdana" w:eastAsia="Century Gothic" w:hAnsi="Verdana" w:cs="Century Gothic"/>
        </w:rPr>
        <w:t>¿</w:t>
      </w:r>
      <w:r>
        <w:rPr>
          <w:rFonts w:ascii="Verdana" w:eastAsia="Century Gothic" w:hAnsi="Verdana" w:cs="Century Gothic"/>
        </w:rPr>
        <w:t>cuál es el régimen para la constitución de los amparos de cumplimiento y calidad del servicio tratándose de negocios jurídicos del Decreto 092 de 2017 y de los interadministrativos</w:t>
      </w:r>
      <w:r w:rsidRPr="001C6F0B">
        <w:rPr>
          <w:rFonts w:ascii="Verdana" w:eastAsia="Times New Roman" w:hAnsi="Verdana" w:cs="Arial"/>
          <w:kern w:val="2"/>
          <w:lang w:val="es-ES_tradnl" w:eastAsia="es-ES_tradnl"/>
          <w14:ligatures w14:val="standardContextual"/>
        </w:rPr>
        <w:t>?</w:t>
      </w:r>
      <w:r>
        <w:rPr>
          <w:rFonts w:ascii="Verdana" w:eastAsia="Century Gothic" w:hAnsi="Verdana" w:cs="Century Gothic"/>
        </w:rPr>
        <w:t xml:space="preserve"> </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61F81CCA" w14:textId="77777777" w:rsidR="00AA4423" w:rsidRPr="004B140F" w:rsidRDefault="00AA4423" w:rsidP="00AA4423">
      <w:pPr>
        <w:spacing w:after="0" w:line="276" w:lineRule="auto"/>
        <w:jc w:val="both"/>
        <w:rPr>
          <w:rFonts w:ascii="Verdana" w:eastAsia="Calibri" w:hAnsi="Verdana" w:cs="Arial"/>
          <w:color w:val="7030A0"/>
        </w:rPr>
      </w:pPr>
    </w:p>
    <w:p w14:paraId="0675581D" w14:textId="77777777" w:rsidR="00AA4423" w:rsidRPr="00593A5F" w:rsidRDefault="00AA4423" w:rsidP="00AA442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EC20522" w14:textId="77777777" w:rsidR="00AA4423" w:rsidRPr="00593A5F" w:rsidRDefault="00AA4423" w:rsidP="00AA442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A4423" w:rsidRPr="00593A5F" w14:paraId="39A368C2" w14:textId="77777777" w:rsidTr="00DF45F8">
        <w:trPr>
          <w:jc w:val="center"/>
        </w:trPr>
        <w:tc>
          <w:tcPr>
            <w:tcW w:w="8828" w:type="dxa"/>
          </w:tcPr>
          <w:p w14:paraId="544BD6D2" w14:textId="77777777" w:rsidR="00AA4423" w:rsidRDefault="00AA4423" w:rsidP="00DF45F8">
            <w:pPr>
              <w:spacing w:after="120" w:line="276" w:lineRule="auto"/>
              <w:jc w:val="both"/>
              <w:rPr>
                <w:rFonts w:ascii="Verdana" w:eastAsia="Times New Roman" w:hAnsi="Verdana" w:cs="Arial"/>
                <w:color w:val="000000" w:themeColor="text1"/>
                <w:lang w:eastAsia="es-CO"/>
              </w:rPr>
            </w:pPr>
            <w:bookmarkStart w:id="3" w:name="_Hlk171694685"/>
            <w:r>
              <w:rPr>
                <w:rFonts w:ascii="Verdana" w:eastAsia="Calibri" w:hAnsi="Verdana" w:cs="Arial"/>
                <w:bCs/>
                <w:color w:val="000000" w:themeColor="text1"/>
              </w:rPr>
              <w:t>Conforme a la interpretación general de las normas del sistema de compras públicas, e</w:t>
            </w:r>
            <w:r>
              <w:rPr>
                <w:rFonts w:ascii="Verdana" w:eastAsia="Times New Roman" w:hAnsi="Verdana" w:cs="Arial"/>
                <w:color w:val="000000" w:themeColor="text1"/>
                <w:lang w:eastAsia="es-CO"/>
              </w:rPr>
              <w:t xml:space="preserve">n ausencia de regulación expresa sobre el régimen de garantías en el Decreto 092 de 2017, aplican las reglas generales del EGCAP conforme a los artículos 6, 7 y 8. Por tanto, </w:t>
            </w:r>
            <w:r>
              <w:rPr>
                <w:rFonts w:ascii="Verdana" w:eastAsia="Calibri" w:hAnsi="Verdana" w:cs="Arial"/>
              </w:rPr>
              <w:t>tratándose de</w:t>
            </w:r>
            <w:r w:rsidRPr="000A33B7">
              <w:rPr>
                <w:rFonts w:ascii="Verdana" w:eastAsia="Calibri" w:hAnsi="Verdana" w:cs="Arial"/>
                <w:lang w:val="es-ES_tradnl"/>
              </w:rPr>
              <w:t xml:space="preserve"> </w:t>
            </w:r>
            <w:r w:rsidRPr="000A33B7">
              <w:rPr>
                <w:rFonts w:ascii="Verdana" w:eastAsia="Calibri" w:hAnsi="Verdana" w:cs="Arial"/>
                <w:i/>
                <w:iCs/>
                <w:lang w:val="es-ES_tradnl"/>
              </w:rPr>
              <w:t xml:space="preserve">contratos del artículo 355 de la Constitución </w:t>
            </w:r>
            <w:r>
              <w:rPr>
                <w:rFonts w:ascii="Verdana" w:eastAsia="Calibri" w:hAnsi="Verdana" w:cs="Arial"/>
                <w:lang w:val="es-ES_tradnl"/>
              </w:rPr>
              <w:t>o de</w:t>
            </w:r>
            <w:r w:rsidRPr="000A33B7">
              <w:rPr>
                <w:rFonts w:ascii="Verdana" w:eastAsia="Calibri" w:hAnsi="Verdana" w:cs="Arial"/>
                <w:lang w:val="es-ES_tradnl"/>
              </w:rPr>
              <w:t xml:space="preserve"> </w:t>
            </w:r>
            <w:r w:rsidRPr="000A33B7">
              <w:rPr>
                <w:rFonts w:ascii="Verdana" w:eastAsia="Calibri" w:hAnsi="Verdana" w:cs="Arial"/>
                <w:i/>
                <w:iCs/>
                <w:lang w:val="es-ES_tradnl"/>
              </w:rPr>
              <w:t>convenios de asociación</w:t>
            </w:r>
            <w:r>
              <w:rPr>
                <w:rFonts w:ascii="Verdana" w:eastAsia="Calibri" w:hAnsi="Verdana" w:cs="Arial"/>
                <w:lang w:val="es-ES_tradnl"/>
              </w:rPr>
              <w:t xml:space="preserve">, amparos como los de cumplimiento y calidad del servicio deben constituirse bajo los criterios previstos en los artículos </w:t>
            </w:r>
            <w:r w:rsidRPr="00B07F7B">
              <w:rPr>
                <w:rFonts w:ascii="Verdana" w:eastAsia="Calibri" w:hAnsi="Verdana" w:cs="Arial"/>
                <w:lang w:val="es-ES_tradnl"/>
              </w:rPr>
              <w:t>2.2.1.2.3.1.12</w:t>
            </w:r>
            <w:r>
              <w:rPr>
                <w:rFonts w:ascii="Verdana" w:eastAsia="Calibri" w:hAnsi="Verdana" w:cs="Arial"/>
                <w:lang w:val="es-ES_tradnl"/>
              </w:rPr>
              <w:t xml:space="preserve"> y </w:t>
            </w:r>
            <w:r w:rsidRPr="0096431D">
              <w:rPr>
                <w:rFonts w:ascii="Verdana" w:eastAsia="Calibri" w:hAnsi="Verdana" w:cs="Arial"/>
                <w:lang w:val="es-ES_tradnl"/>
              </w:rPr>
              <w:t>2.2.1.2.3.1.15</w:t>
            </w:r>
            <w:r>
              <w:rPr>
                <w:rFonts w:ascii="Verdana" w:eastAsia="Calibri" w:hAnsi="Verdana" w:cs="Arial"/>
                <w:lang w:val="es-ES_tradnl"/>
              </w:rPr>
              <w:t xml:space="preserve"> del Decreto 1082 de 2015, sin que exista un parámetro normativo diferente para el efecto. En ambos casos se tiene en cuenta el valor total del negocio, pues el reglamento no contempló la discriminación de los aportes realizados.   </w:t>
            </w:r>
          </w:p>
          <w:p w14:paraId="7C7D1E96" w14:textId="0D1AC5A4" w:rsidR="00AA4423" w:rsidRPr="001C6F0B" w:rsidRDefault="00AA4423" w:rsidP="00DF45F8">
            <w:pPr>
              <w:tabs>
                <w:tab w:val="left" w:pos="0"/>
              </w:tabs>
              <w:spacing w:after="120" w:line="276" w:lineRule="auto"/>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ab/>
              <w:t xml:space="preserve">En todo caso, conforme al artículo </w:t>
            </w:r>
            <w:r w:rsidRPr="00DA2A6A">
              <w:rPr>
                <w:rFonts w:ascii="Verdana" w:eastAsia="Times New Roman" w:hAnsi="Verdana" w:cs="Arial"/>
                <w:color w:val="000000" w:themeColor="text1"/>
                <w:lang w:eastAsia="es-CO"/>
              </w:rPr>
              <w:t>2.2.1.2.1.4.5</w:t>
            </w:r>
            <w:r>
              <w:rPr>
                <w:rFonts w:ascii="Verdana" w:eastAsia="Times New Roman" w:hAnsi="Verdana" w:cs="Arial"/>
                <w:color w:val="000000" w:themeColor="text1"/>
                <w:lang w:eastAsia="es-CO"/>
              </w:rPr>
              <w:t xml:space="preserve"> del Decreto 1082 de 2015, “</w:t>
            </w:r>
            <w:r w:rsidRPr="00DA2A6A">
              <w:rPr>
                <w:rFonts w:ascii="Verdana" w:eastAsia="Times New Roman" w:hAnsi="Verdana" w:cs="Arial"/>
                <w:color w:val="000000" w:themeColor="text1"/>
                <w:lang w:eastAsia="es-CO"/>
              </w:rPr>
              <w:t>En la contratación directa la exigencia de garantías establecidas en la Sección 3, que comprende los artículos 2.2.1.2.3.1.1 al 2.2.1.2.3.5.1.</w:t>
            </w:r>
            <w:r>
              <w:rPr>
                <w:rFonts w:ascii="Verdana" w:eastAsia="Times New Roman" w:hAnsi="Verdana" w:cs="Arial"/>
                <w:color w:val="000000" w:themeColor="text1"/>
                <w:lang w:eastAsia="es-CO"/>
              </w:rPr>
              <w:t xml:space="preserve"> </w:t>
            </w:r>
            <w:r w:rsidRPr="00DA2A6A">
              <w:rPr>
                <w:rFonts w:ascii="Verdana" w:eastAsia="Times New Roman" w:hAnsi="Verdana" w:cs="Arial"/>
                <w:color w:val="000000" w:themeColor="text1"/>
                <w:lang w:eastAsia="es-CO"/>
              </w:rPr>
              <w:t>del presente decreto no es obligatoria y la justificación para exigirlas o no debe estar en los estudios y documentos previos</w:t>
            </w:r>
            <w:r>
              <w:rPr>
                <w:rFonts w:ascii="Verdana" w:eastAsia="Times New Roman" w:hAnsi="Verdana" w:cs="Arial"/>
                <w:color w:val="000000" w:themeColor="text1"/>
                <w:lang w:eastAsia="es-CO"/>
              </w:rPr>
              <w:t>”</w:t>
            </w:r>
            <w:r w:rsidRPr="00DA2A6A">
              <w:rPr>
                <w:rFonts w:ascii="Verdana" w:eastAsia="Times New Roman" w:hAnsi="Verdana" w:cs="Arial"/>
                <w:color w:val="000000" w:themeColor="text1"/>
                <w:lang w:eastAsia="es-CO"/>
              </w:rPr>
              <w:t>.</w:t>
            </w:r>
            <w:r>
              <w:rPr>
                <w:rFonts w:ascii="Verdana" w:eastAsia="Times New Roman" w:hAnsi="Verdana" w:cs="Arial"/>
                <w:color w:val="000000" w:themeColor="text1"/>
                <w:lang w:eastAsia="es-CO"/>
              </w:rPr>
              <w:t xml:space="preserve"> </w:t>
            </w:r>
            <w:r w:rsidRPr="00831E99">
              <w:rPr>
                <w:rFonts w:ascii="Verdana" w:eastAsia="Times New Roman" w:hAnsi="Verdana" w:cs="Arial"/>
                <w:color w:val="000000" w:themeColor="text1"/>
                <w:lang w:eastAsia="es-CO"/>
              </w:rPr>
              <w:t xml:space="preserve">Tratándose </w:t>
            </w:r>
            <w:r>
              <w:rPr>
                <w:rFonts w:ascii="Verdana" w:eastAsia="Times New Roman" w:hAnsi="Verdana" w:cs="Arial"/>
                <w:color w:val="000000" w:themeColor="text1"/>
                <w:lang w:eastAsia="es-CO"/>
              </w:rPr>
              <w:t>de los</w:t>
            </w:r>
            <w:r w:rsidRPr="00831E99">
              <w:rPr>
                <w:rFonts w:ascii="Verdana" w:eastAsia="Times New Roman" w:hAnsi="Verdana" w:cs="Arial"/>
                <w:color w:val="000000" w:themeColor="text1"/>
                <w:lang w:eastAsia="es-CO"/>
              </w:rPr>
              <w:t xml:space="preserve"> interadministrativos, </w:t>
            </w:r>
            <w:r>
              <w:rPr>
                <w:rFonts w:ascii="Verdana" w:eastAsia="Times New Roman" w:hAnsi="Verdana" w:cs="Arial"/>
                <w:color w:val="000000" w:themeColor="text1"/>
                <w:lang w:eastAsia="es-CO"/>
              </w:rPr>
              <w:t>aunque la</w:t>
            </w:r>
            <w:r w:rsidR="005A646D">
              <w:rPr>
                <w:rFonts w:ascii="Verdana" w:eastAsia="Times New Roman" w:hAnsi="Verdana" w:cs="Arial"/>
                <w:color w:val="000000" w:themeColor="text1"/>
                <w:lang w:eastAsia="es-CO"/>
              </w:rPr>
              <w:t>s</w:t>
            </w:r>
            <w:r>
              <w:rPr>
                <w:rFonts w:ascii="Verdana" w:eastAsia="Times New Roman" w:hAnsi="Verdana" w:cs="Arial"/>
                <w:color w:val="000000" w:themeColor="text1"/>
                <w:lang w:eastAsia="es-CO"/>
              </w:rPr>
              <w:t xml:space="preserve"> garantías no son obligatorias conforme al inciso final del artículo 7 de la Ley 1150 de 2007, </w:t>
            </w:r>
            <w:r w:rsidRPr="00831E99">
              <w:rPr>
                <w:rFonts w:ascii="Verdana" w:eastAsia="Times New Roman" w:hAnsi="Verdana" w:cs="Arial"/>
                <w:color w:val="000000" w:themeColor="text1"/>
                <w:lang w:eastAsia="es-CO"/>
              </w:rPr>
              <w:t>podrán incluirse los amparos contemplados en el Decreto Único Reglamentario del sector Administrativo de Planeación Nacional. Ello en función de los riesgos identificados por la entidad tanto en el análisis del sector –art. 2.2.1.1.1.6.1 del Decreto 1082 de 2015– como los estudios y documentos previos –</w:t>
            </w:r>
            <w:proofErr w:type="spellStart"/>
            <w:r w:rsidRPr="00831E99">
              <w:rPr>
                <w:rFonts w:ascii="Verdana" w:eastAsia="Times New Roman" w:hAnsi="Verdana" w:cs="Arial"/>
                <w:color w:val="000000" w:themeColor="text1"/>
                <w:lang w:eastAsia="es-CO"/>
              </w:rPr>
              <w:t>num</w:t>
            </w:r>
            <w:proofErr w:type="spellEnd"/>
            <w:r w:rsidRPr="00831E99">
              <w:rPr>
                <w:rFonts w:ascii="Verdana" w:eastAsia="Times New Roman" w:hAnsi="Verdana" w:cs="Arial"/>
                <w:color w:val="000000" w:themeColor="text1"/>
                <w:lang w:eastAsia="es-CO"/>
              </w:rPr>
              <w:t xml:space="preserve">. 6 del art. 2.2.1.1.2.1.1 </w:t>
            </w:r>
            <w:r w:rsidRPr="008614F9">
              <w:rPr>
                <w:rFonts w:ascii="Verdana" w:eastAsia="Times New Roman" w:hAnsi="Verdana" w:cs="Arial"/>
                <w:i/>
                <w:iCs/>
                <w:color w:val="000000" w:themeColor="text1"/>
                <w:lang w:eastAsia="es-CO"/>
              </w:rPr>
              <w:t>ibidem</w:t>
            </w:r>
            <w:r w:rsidRPr="00831E99">
              <w:rPr>
                <w:rFonts w:ascii="Verdana" w:eastAsia="Times New Roman" w:hAnsi="Verdana" w:cs="Arial"/>
                <w:color w:val="000000" w:themeColor="text1"/>
                <w:lang w:eastAsia="es-CO"/>
              </w:rPr>
              <w:t>–</w:t>
            </w:r>
            <w:r>
              <w:rPr>
                <w:rFonts w:ascii="Verdana" w:eastAsia="Times New Roman" w:hAnsi="Verdana" w:cs="Arial"/>
                <w:color w:val="000000" w:themeColor="text1"/>
                <w:lang w:eastAsia="es-CO"/>
              </w:rPr>
              <w:t>.</w:t>
            </w:r>
            <w:r w:rsidR="00B700C0">
              <w:rPr>
                <w:rFonts w:ascii="Verdana" w:eastAsia="Times New Roman" w:hAnsi="Verdana" w:cs="Arial"/>
                <w:color w:val="000000" w:themeColor="text1"/>
                <w:lang w:eastAsia="es-CO"/>
              </w:rPr>
              <w:t xml:space="preserve"> En </w:t>
            </w:r>
            <w:r w:rsidR="00475A3A">
              <w:rPr>
                <w:rFonts w:ascii="Verdana" w:eastAsia="Times New Roman" w:hAnsi="Verdana" w:cs="Arial"/>
                <w:color w:val="000000" w:themeColor="text1"/>
                <w:lang w:eastAsia="es-CO"/>
              </w:rPr>
              <w:t>todo caso, cuando se opte por exigir garantías para los negocios jurídicos interadministrativos</w:t>
            </w:r>
            <w:r w:rsidR="006F1457">
              <w:rPr>
                <w:rFonts w:ascii="Verdana" w:eastAsia="Times New Roman" w:hAnsi="Verdana" w:cs="Arial"/>
                <w:color w:val="000000" w:themeColor="text1"/>
                <w:lang w:eastAsia="es-CO"/>
              </w:rPr>
              <w:t>,</w:t>
            </w:r>
            <w:r w:rsidR="00475A3A">
              <w:rPr>
                <w:rFonts w:ascii="Verdana" w:eastAsia="Times New Roman" w:hAnsi="Verdana" w:cs="Arial"/>
                <w:color w:val="000000" w:themeColor="text1"/>
                <w:lang w:eastAsia="es-CO"/>
              </w:rPr>
              <w:t xml:space="preserve"> con sujeción a lo </w:t>
            </w:r>
            <w:r w:rsidR="00475A3A">
              <w:rPr>
                <w:rFonts w:ascii="Verdana" w:eastAsia="Calibri" w:hAnsi="Verdana" w:cs="Arial"/>
                <w:lang w:val="es-ES_tradnl"/>
              </w:rPr>
              <w:t xml:space="preserve">establecido los artículos </w:t>
            </w:r>
            <w:r w:rsidR="00475A3A" w:rsidRPr="00B07F7B">
              <w:rPr>
                <w:rFonts w:ascii="Verdana" w:eastAsia="Calibri" w:hAnsi="Verdana" w:cs="Arial"/>
                <w:lang w:val="es-ES_tradnl"/>
              </w:rPr>
              <w:t>2.2.1.2.3.1.12</w:t>
            </w:r>
            <w:r w:rsidR="00475A3A">
              <w:rPr>
                <w:rFonts w:ascii="Verdana" w:eastAsia="Calibri" w:hAnsi="Verdana" w:cs="Arial"/>
                <w:lang w:val="es-ES_tradnl"/>
              </w:rPr>
              <w:t xml:space="preserve"> y </w:t>
            </w:r>
            <w:r w:rsidR="00475A3A" w:rsidRPr="0096431D">
              <w:rPr>
                <w:rFonts w:ascii="Verdana" w:eastAsia="Calibri" w:hAnsi="Verdana" w:cs="Arial"/>
                <w:lang w:val="es-ES_tradnl"/>
              </w:rPr>
              <w:t>2.2.1.2.3.1.15</w:t>
            </w:r>
            <w:r w:rsidR="00475A3A">
              <w:rPr>
                <w:rFonts w:ascii="Verdana" w:eastAsia="Calibri" w:hAnsi="Verdana" w:cs="Arial"/>
                <w:lang w:val="es-ES_tradnl"/>
              </w:rPr>
              <w:t xml:space="preserve"> del Decreto 1082 de 2015,</w:t>
            </w:r>
            <w:r w:rsidR="007F7DB1">
              <w:rPr>
                <w:rFonts w:ascii="Verdana" w:eastAsia="Calibri" w:hAnsi="Verdana" w:cs="Arial"/>
                <w:lang w:val="es-ES_tradnl"/>
              </w:rPr>
              <w:t xml:space="preserve"> estas también deberán constituirse respecto del valor total del</w:t>
            </w:r>
            <w:r w:rsidR="006F1457">
              <w:rPr>
                <w:rFonts w:ascii="Verdana" w:eastAsia="Calibri" w:hAnsi="Verdana" w:cs="Arial"/>
                <w:lang w:val="es-ES_tradnl"/>
              </w:rPr>
              <w:t xml:space="preserve"> convenio o contrato. </w:t>
            </w:r>
            <w:r w:rsidR="00475A3A">
              <w:rPr>
                <w:rFonts w:ascii="Verdana" w:eastAsia="Calibri" w:hAnsi="Verdana" w:cs="Arial"/>
                <w:lang w:val="es-ES_tradnl"/>
              </w:rPr>
              <w:t xml:space="preserve"> </w:t>
            </w:r>
          </w:p>
          <w:p w14:paraId="670B5AB3" w14:textId="77777777" w:rsidR="00AA4423" w:rsidRPr="001941FD" w:rsidRDefault="00AA4423" w:rsidP="00DF45F8">
            <w:pPr>
              <w:spacing w:line="276" w:lineRule="auto"/>
              <w:ind w:firstLine="709"/>
              <w:jc w:val="both"/>
              <w:rPr>
                <w:rFonts w:ascii="Verdana" w:eastAsia="Calibri" w:hAnsi="Verdana" w:cs="Arial"/>
                <w:bCs/>
                <w:color w:val="000000" w:themeColor="text1"/>
              </w:rPr>
            </w:pPr>
            <w:r w:rsidRPr="00AD5A94">
              <w:rPr>
                <w:rStyle w:val="s15"/>
                <w:rFonts w:ascii="Verdana" w:hAnsi="Verdana"/>
                <w:color w:val="000000"/>
              </w:rPr>
              <w:lastRenderedPageBreak/>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r w:rsidRPr="001941FD">
              <w:rPr>
                <w:rStyle w:val="s15"/>
                <w:rFonts w:ascii="Verdana" w:hAnsi="Verdana"/>
                <w:color w:val="000000"/>
              </w:rPr>
              <w:t>.</w:t>
            </w:r>
          </w:p>
        </w:tc>
      </w:tr>
    </w:tbl>
    <w:p w14:paraId="4CF6AB40" w14:textId="77777777" w:rsidR="00AA4423" w:rsidRPr="00593A5F" w:rsidRDefault="00AA4423" w:rsidP="00AA4423">
      <w:pPr>
        <w:tabs>
          <w:tab w:val="left" w:pos="142"/>
          <w:tab w:val="left" w:pos="284"/>
        </w:tabs>
        <w:spacing w:after="0" w:line="276" w:lineRule="auto"/>
        <w:jc w:val="both"/>
        <w:rPr>
          <w:rFonts w:ascii="Verdana" w:eastAsia="Century Gothic" w:hAnsi="Verdana" w:cs="Century Gothic"/>
          <w:b/>
          <w:bCs/>
          <w:lang w:val="es-ES"/>
        </w:rPr>
      </w:pPr>
    </w:p>
    <w:bookmarkEnd w:id="3"/>
    <w:p w14:paraId="2E1488BF" w14:textId="77777777" w:rsidR="00AA4423" w:rsidRPr="00593A5F" w:rsidRDefault="00AA4423" w:rsidP="00AA442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64CEE0B3" w14:textId="77777777" w:rsidR="00AA4423" w:rsidRPr="00593A5F" w:rsidRDefault="00AA4423" w:rsidP="00AA4423">
      <w:pPr>
        <w:spacing w:after="0" w:line="276" w:lineRule="auto"/>
        <w:jc w:val="both"/>
        <w:rPr>
          <w:rFonts w:ascii="Verdana" w:eastAsia="Calibri" w:hAnsi="Verdana" w:cs="Arial"/>
          <w:color w:val="7030A0"/>
          <w:lang w:val="es-ES"/>
        </w:rPr>
      </w:pPr>
    </w:p>
    <w:p w14:paraId="6F8F20A5" w14:textId="77777777" w:rsidR="00AA4423" w:rsidRDefault="00AA4423" w:rsidP="00AA4423">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60E4502D" w14:textId="77777777" w:rsidR="00AA4423" w:rsidRPr="008305C9" w:rsidRDefault="00AA4423" w:rsidP="00AA4423">
      <w:pPr>
        <w:spacing w:after="0" w:line="276" w:lineRule="auto"/>
        <w:jc w:val="both"/>
        <w:rPr>
          <w:rFonts w:ascii="Verdana" w:eastAsia="Calibri" w:hAnsi="Verdana" w:cs="Arial"/>
          <w:lang w:val="es-ES"/>
        </w:rPr>
      </w:pPr>
    </w:p>
    <w:p w14:paraId="31E4C051" w14:textId="77777777" w:rsidR="00AA4423" w:rsidRPr="00003ACC" w:rsidRDefault="00AA4423" w:rsidP="00AA4423">
      <w:pPr>
        <w:spacing w:after="0" w:line="276" w:lineRule="auto"/>
        <w:jc w:val="both"/>
        <w:rPr>
          <w:rFonts w:ascii="Verdana" w:eastAsia="Times New Roman" w:hAnsi="Verdana" w:cs="Arial"/>
          <w:color w:val="000000" w:themeColor="text1"/>
          <w:lang w:eastAsia="es-CO"/>
        </w:rPr>
      </w:pPr>
      <w:r>
        <w:rPr>
          <w:rFonts w:ascii="Verdana" w:eastAsia="Calibri" w:hAnsi="Verdana" w:cs="Arial"/>
          <w:color w:val="000000" w:themeColor="text1"/>
          <w:lang w:val="es-ES_tradnl"/>
        </w:rPr>
        <w:t xml:space="preserve">i. </w:t>
      </w:r>
      <w:r>
        <w:rPr>
          <w:rFonts w:ascii="Verdana" w:eastAsia="Calibri" w:hAnsi="Verdana" w:cs="Arial"/>
          <w:bCs/>
          <w:lang w:val="es-ES_tradnl"/>
        </w:rPr>
        <w:t xml:space="preserve">El </w:t>
      </w:r>
      <w:r w:rsidRPr="0063743B">
        <w:rPr>
          <w:rFonts w:ascii="Verdana" w:eastAsia="Calibri" w:hAnsi="Verdana" w:cs="Arial"/>
          <w:bCs/>
          <w:lang w:val="es-ES_tradnl"/>
        </w:rPr>
        <w:t>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 con el fin de impulsar programas y actividades de interés público acordes con el plan nacional y los planes seccionales de desarrollo</w:t>
      </w:r>
      <w:r w:rsidRPr="0063743B">
        <w:rPr>
          <w:rStyle w:val="Refdenotaalpie"/>
          <w:rFonts w:ascii="Verdana" w:hAnsi="Verdana" w:cs="Arial"/>
        </w:rPr>
        <w:footnoteReference w:id="1"/>
      </w:r>
      <w:r w:rsidRPr="0063743B">
        <w:rPr>
          <w:rFonts w:ascii="Verdana" w:eastAsia="Calibri" w:hAnsi="Verdana" w:cs="Arial"/>
          <w:bCs/>
          <w:lang w:val="es-ES_tradnl"/>
        </w:rPr>
        <w:t>. Por otra parte, el artículo 96 de la Ley 489 de 1998 permite a las entidades públicas en general, es decir, cualquiera sea su naturaleza y orden administrativo, asociarse con personas jurídicas particulares, mediante la celebración de convenios de asociación o la creación de personas jurídicas. Ambas figuras tienen como fin desarrollar conjuntamente actividades relacionadas con los cometidos y funciones legales asignadas a la entidad</w:t>
      </w:r>
      <w:r w:rsidRPr="0063743B">
        <w:rPr>
          <w:rStyle w:val="Refdenotaalpie"/>
          <w:rFonts w:ascii="Verdana" w:eastAsia="Calibri" w:hAnsi="Verdana" w:cs="Arial"/>
          <w:bCs/>
          <w:lang w:val="es-ES_tradnl"/>
        </w:rPr>
        <w:footnoteReference w:id="2"/>
      </w:r>
      <w:r w:rsidRPr="0063743B">
        <w:rPr>
          <w:rFonts w:ascii="Verdana" w:eastAsia="Calibri" w:hAnsi="Verdana" w:cs="Arial"/>
          <w:bCs/>
          <w:lang w:val="es-ES_tradnl"/>
        </w:rPr>
        <w:t>.</w:t>
      </w:r>
    </w:p>
    <w:p w14:paraId="2FB2A178" w14:textId="77777777" w:rsidR="00AA4423" w:rsidRPr="0063743B" w:rsidRDefault="00AA4423" w:rsidP="00AA4423">
      <w:pPr>
        <w:spacing w:before="120" w:after="120" w:line="276" w:lineRule="auto"/>
        <w:ind w:firstLine="709"/>
        <w:jc w:val="both"/>
        <w:rPr>
          <w:rFonts w:ascii="Verdana" w:eastAsia="Calibri" w:hAnsi="Verdana" w:cs="Arial"/>
          <w:lang w:val="es-ES"/>
        </w:rPr>
      </w:pPr>
      <w:bookmarkStart w:id="5" w:name="_Hlk38819155"/>
      <w:r w:rsidRPr="0063743B">
        <w:rPr>
          <w:rFonts w:ascii="Verdana" w:eastAsia="Calibri" w:hAnsi="Verdana" w:cs="Arial"/>
          <w:lang w:val="es-ES"/>
        </w:rPr>
        <w:t xml:space="preserve">El Decreto 092 de 2017 dispone reglas para las contrataciones que realicen las entidades estatales con las ESAL. El Decreto regula dos (2) eventos: </w:t>
      </w:r>
      <w:r w:rsidRPr="0063743B">
        <w:rPr>
          <w:rFonts w:ascii="Verdana" w:eastAsia="Calibri" w:hAnsi="Verdana" w:cs="Arial"/>
          <w:lang w:val="es-ES"/>
        </w:rPr>
        <w:lastRenderedPageBreak/>
        <w:t xml:space="preserve">i) los contratos del artículo 355 de la Constitución Política con el fin impulsar programas y actividades de interés público de acuerdo con el Plan Nacional o los planes seccionales de desarrollo; y </w:t>
      </w:r>
      <w:proofErr w:type="spellStart"/>
      <w:r w:rsidRPr="0063743B">
        <w:rPr>
          <w:rFonts w:ascii="Verdana" w:eastAsia="Calibri" w:hAnsi="Verdana" w:cs="Arial"/>
          <w:lang w:val="es-ES"/>
        </w:rPr>
        <w:t>ii</w:t>
      </w:r>
      <w:proofErr w:type="spellEnd"/>
      <w:r w:rsidRPr="0063743B">
        <w:rPr>
          <w:rFonts w:ascii="Verdana" w:eastAsia="Calibri" w:hAnsi="Verdana" w:cs="Arial"/>
          <w:lang w:val="es-ES"/>
        </w:rPr>
        <w:t xml:space="preserve">) los convenios de asociación, para el desarrollo conjunto de actividades relacionadas con las funciones de las entidades estatales, en desarrollo del artículo 96 de la Ley 489 de 1998. </w:t>
      </w:r>
      <w:bookmarkEnd w:id="5"/>
    </w:p>
    <w:p w14:paraId="72E93B5A" w14:textId="77777777" w:rsidR="00AA4423" w:rsidRPr="0063743B" w:rsidRDefault="00AA4423" w:rsidP="00AA4423">
      <w:pPr>
        <w:spacing w:before="120" w:after="120" w:line="276" w:lineRule="auto"/>
        <w:ind w:firstLine="709"/>
        <w:jc w:val="both"/>
        <w:rPr>
          <w:rFonts w:ascii="Verdana" w:eastAsia="Calibri" w:hAnsi="Verdana" w:cs="Arial"/>
          <w:lang w:val="es-ES"/>
        </w:rPr>
      </w:pPr>
      <w:bookmarkStart w:id="6" w:name="_Hlk95756032"/>
      <w:r w:rsidRPr="0063743B">
        <w:rPr>
          <w:rFonts w:ascii="Verdana" w:eastAsia="Calibri" w:hAnsi="Verdana" w:cs="Arial"/>
          <w:lang w:val="es-ES"/>
        </w:rPr>
        <w:t xml:space="preserve">Los </w:t>
      </w:r>
      <w:r w:rsidRPr="0063743B">
        <w:rPr>
          <w:rFonts w:ascii="Verdana" w:eastAsia="Calibri" w:hAnsi="Verdana" w:cs="Arial"/>
          <w:i/>
          <w:iCs/>
          <w:lang w:val="es-ES"/>
        </w:rPr>
        <w:t>contratos del artículo 355 de la Constitución Política</w:t>
      </w:r>
      <w:r w:rsidRPr="0063743B">
        <w:rPr>
          <w:rFonts w:ascii="Verdana" w:eastAsia="Calibri" w:hAnsi="Verdana" w:cs="Arial"/>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Para celebrar estos contratos, según lo establece el artículo 3 del Decreto 092 de 2017, por regla general, la entidad debe adelantar un proceso competitivo para seleccionar la entidad sin ánimo de lucro contratista. En particular, debe verificar el cumplimiento de los siguientes requisitos: i) que el objeto del contrato corresponda a programas y actividades de interés público acordes con el Plan Nacional o Seccional de Desarrollo; y </w:t>
      </w:r>
      <w:proofErr w:type="spellStart"/>
      <w:r w:rsidRPr="0063743B">
        <w:rPr>
          <w:rFonts w:ascii="Verdana" w:eastAsia="Calibri" w:hAnsi="Verdana" w:cs="Arial"/>
          <w:lang w:val="es-ES"/>
        </w:rPr>
        <w:t>ii</w:t>
      </w:r>
      <w:proofErr w:type="spellEnd"/>
      <w:r w:rsidRPr="0063743B">
        <w:rPr>
          <w:rFonts w:ascii="Verdana" w:eastAsia="Calibri" w:hAnsi="Verdana" w:cs="Arial"/>
          <w:lang w:val="es-ES"/>
        </w:rPr>
        <w:t>) que no haya una contraprestación directa a favor de la entidad estatal, es decir, que el programa o actividad a desarrollar este dirigida al beneficio de la población en general, ya que cuando se adquieren bienes o servicios o se ejecutan obras en una relación conmutativa, las normas aplicables son las del Estatuto General de Contratación. Solo cuando se reúnan estas condiciones es procedente celebrar contratos del artículo 355 de la Constitución Política; de lo contrario, se aplicarán las normas del Estatuto General de Contratación de la Administración Pública.</w:t>
      </w:r>
    </w:p>
    <w:bookmarkEnd w:id="6"/>
    <w:p w14:paraId="7896E5D3" w14:textId="77777777" w:rsidR="00AA4423" w:rsidRPr="0063743B" w:rsidRDefault="00AA4423" w:rsidP="00AA4423">
      <w:pPr>
        <w:spacing w:before="120" w:after="120" w:line="276" w:lineRule="auto"/>
        <w:ind w:firstLine="709"/>
        <w:jc w:val="both"/>
        <w:rPr>
          <w:rFonts w:ascii="Verdana" w:eastAsia="Calibri" w:hAnsi="Verdana" w:cs="Arial"/>
          <w:bCs/>
          <w:lang w:val="es-ES_tradnl"/>
        </w:rPr>
      </w:pPr>
      <w:r w:rsidRPr="0063743B">
        <w:rPr>
          <w:rFonts w:ascii="Verdana" w:eastAsia="Calibri" w:hAnsi="Verdana" w:cs="Arial"/>
          <w:bCs/>
          <w:lang w:val="es-ES_tradnl"/>
        </w:rPr>
        <w:t xml:space="preserve">De otro lado, los </w:t>
      </w:r>
      <w:r w:rsidRPr="0063743B">
        <w:rPr>
          <w:rFonts w:ascii="Verdana" w:eastAsia="Calibri" w:hAnsi="Verdana" w:cs="Arial"/>
          <w:bCs/>
          <w:i/>
          <w:lang w:val="es-ES_tradnl"/>
        </w:rPr>
        <w:t>convenios de asociación</w:t>
      </w:r>
      <w:r w:rsidRPr="0063743B">
        <w:rPr>
          <w:rFonts w:ascii="Verdana" w:eastAsia="Calibri" w:hAnsi="Verdana" w:cs="Arial"/>
          <w:bCs/>
          <w:lang w:val="es-ES_tradnl"/>
        </w:rPr>
        <w:t xml:space="preserve"> “[t]</w:t>
      </w:r>
      <w:proofErr w:type="spellStart"/>
      <w:r w:rsidRPr="0063743B">
        <w:rPr>
          <w:rFonts w:ascii="Verdana" w:eastAsia="Calibri" w:hAnsi="Verdana" w:cs="Arial"/>
          <w:bCs/>
          <w:lang w:val="es-ES_tradnl"/>
        </w:rPr>
        <w:t>ienen</w:t>
      </w:r>
      <w:proofErr w:type="spellEnd"/>
      <w:r w:rsidRPr="0063743B">
        <w:rPr>
          <w:rFonts w:ascii="Verdana" w:eastAsia="Calibri" w:hAnsi="Verdana" w:cs="Arial"/>
          <w:bCs/>
          <w:lang w:val="es-ES_tradnl"/>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63743B">
        <w:rPr>
          <w:rStyle w:val="Refdenotaalpie"/>
          <w:rFonts w:ascii="Verdana" w:hAnsi="Verdana" w:cs="Arial"/>
        </w:rPr>
        <w:footnoteReference w:id="3"/>
      </w:r>
      <w:r w:rsidRPr="0063743B">
        <w:rPr>
          <w:rFonts w:ascii="Verdana" w:eastAsia="Calibri" w:hAnsi="Verdana" w:cs="Arial"/>
          <w:bCs/>
          <w:lang w:val="es-ES_tradnl"/>
        </w:rPr>
        <w:t xml:space="preserve">. En estos convenios existen aportes dirigidos, especialmente, a lograr la ejecución del convenio. De todos modos, la entidad deberá adelantar un proceso competitivo, salvo cuando la ESAL comprometa recursos en dinero para la ejecución de estas actividades, en una proporción no inferior al 30% del valor total del convenio. El convenio de asociación no es conmutativo, y por tanto, la entidad no instruye al contratista </w:t>
      </w:r>
      <w:r w:rsidRPr="0063743B">
        <w:rPr>
          <w:rFonts w:ascii="Verdana" w:eastAsia="Calibri" w:hAnsi="Verdana" w:cs="Arial"/>
          <w:bCs/>
          <w:lang w:val="es-ES_tradnl"/>
        </w:rPr>
        <w:lastRenderedPageBreak/>
        <w:t>para desarrollar los programas o actividades previstas, sino que se asocia con él para el cumplimiento de objetivos comunes</w:t>
      </w:r>
      <w:r w:rsidRPr="0063743B">
        <w:rPr>
          <w:rStyle w:val="Refdenotaalpie"/>
          <w:rFonts w:ascii="Verdana" w:hAnsi="Verdana" w:cs="Arial"/>
        </w:rPr>
        <w:footnoteReference w:id="4"/>
      </w:r>
      <w:r w:rsidRPr="0063743B">
        <w:rPr>
          <w:rFonts w:ascii="Verdana" w:eastAsia="Calibri" w:hAnsi="Verdana" w:cs="Arial"/>
          <w:bCs/>
          <w:lang w:val="es-ES_tradnl"/>
        </w:rPr>
        <w:t>.</w:t>
      </w:r>
    </w:p>
    <w:p w14:paraId="4FFBD2B4" w14:textId="77777777" w:rsidR="00AA4423" w:rsidRPr="0063743B" w:rsidRDefault="00AA4423" w:rsidP="00AA4423">
      <w:pPr>
        <w:spacing w:before="120" w:after="120" w:line="276" w:lineRule="auto"/>
        <w:ind w:firstLine="709"/>
        <w:jc w:val="both"/>
        <w:rPr>
          <w:rFonts w:ascii="Verdana" w:eastAsia="Calibri" w:hAnsi="Verdana" w:cs="Arial"/>
          <w:bCs/>
        </w:rPr>
      </w:pPr>
      <w:r w:rsidRPr="0063743B">
        <w:rPr>
          <w:rFonts w:ascii="Verdana" w:eastAsia="Calibri" w:hAnsi="Verdana" w:cs="Arial"/>
          <w:bCs/>
          <w:lang w:val="es-ES_tradnl"/>
        </w:rPr>
        <w:t>La normativa vigente no impide que varias entidades suscriban conjuntamente el convenio de asociación y tampoco que dos o más ESAL pueden hacerlo, a través de las figuras asociativas autorizadas por la ley, por ejemplo, como unión temporal o como consorcio</w:t>
      </w:r>
      <w:r w:rsidRPr="0063743B">
        <w:rPr>
          <w:rFonts w:ascii="Verdana" w:eastAsia="Calibri" w:hAnsi="Verdana" w:cs="Arial"/>
          <w:bCs/>
        </w:rPr>
        <w:t>. Sin embargo, como el artículo 96 de la Ley 489 de 1998 determina que el convenio busca el desarrollo conjunto de actividades en relación con los cometidos y funciones que la ley les asigna a las entidades estatales, lo cierto es que las funciones legales de las entidades estatales que suscriben conjuntamente el convenio deben coincidir. Igualmente, atendiendo a que los convenios de asociación “no estarán sujetos a competencia cuando la entidad sin ánimo de lucro comprometa recursos en dinero para la ejecución de esas actividades en una proporción no inferior al 30% del valor total del convenio”, las entidades deben asegurarse de que su contratista, es decir, las ESAL, aporte al menos el treinta por ciento del valor del convenio para celebrarlo directamente. Además, en atención al inciso 2 del artículo 5 del Decreto 092 de 2017, deben asegurarse de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p>
    <w:p w14:paraId="0ACF1165" w14:textId="77777777" w:rsidR="00AA4423" w:rsidRPr="0063743B" w:rsidRDefault="00AA4423" w:rsidP="00AA4423">
      <w:pPr>
        <w:spacing w:before="120" w:after="120" w:line="276" w:lineRule="auto"/>
        <w:ind w:firstLine="709"/>
        <w:jc w:val="both"/>
        <w:rPr>
          <w:rFonts w:ascii="Verdana" w:hAnsi="Verdana"/>
        </w:rPr>
      </w:pPr>
      <w:r w:rsidRPr="0063743B">
        <w:rPr>
          <w:rFonts w:ascii="Verdana" w:hAnsi="Verdana" w:cs="Arial"/>
          <w:color w:val="000000" w:themeColor="text1"/>
        </w:rPr>
        <w:t xml:space="preserve">La noción “seleccionar de forma objetiva”, contenida en la disposición </w:t>
      </w:r>
      <w:r w:rsidRPr="0063743B">
        <w:rPr>
          <w:rFonts w:ascii="Verdana" w:hAnsi="Verdana" w:cs="Arial"/>
          <w:i/>
          <w:iCs/>
          <w:color w:val="000000" w:themeColor="text1"/>
        </w:rPr>
        <w:t xml:space="preserve">sub examine </w:t>
      </w:r>
      <w:r w:rsidRPr="0063743B">
        <w:rPr>
          <w:rFonts w:ascii="Verdana" w:hAnsi="Verdana" w:cs="Arial"/>
          <w:color w:val="000000" w:themeColor="text1"/>
        </w:rPr>
        <w:t>no puede ser entendida como una remisión total a las Leyes 80 de 1993 y 1150 de 2007. A lo que se refiere la norma es a que la entidad estatal debe diseñar herramientas que permitan una comparación objetiva de las entidades sin ánimo de lucro para seleccionar objetivamente a aquella que tenga las mejores condiciones para alcanzar el resultado esperado con el proyecto de cooperación. Por ello, la entidad puede tomar la decisión de acudir a los procesos de selección de contratistas que establece el Estatuto General de Contratación de la Administración Pública o, incluso, al trámite que regula el inciso 2 del artículo 2 del Decreto 092 de 2017.</w:t>
      </w:r>
    </w:p>
    <w:p w14:paraId="44DB068A" w14:textId="77777777" w:rsidR="00AA4423" w:rsidRPr="0063743B" w:rsidRDefault="00AA4423" w:rsidP="00AA4423">
      <w:pPr>
        <w:pStyle w:val="Sinespaciado"/>
        <w:spacing w:line="276" w:lineRule="auto"/>
        <w:ind w:firstLine="708"/>
        <w:jc w:val="both"/>
        <w:rPr>
          <w:rFonts w:ascii="Verdana" w:hAnsi="Verdana" w:cs="Arial"/>
          <w:color w:val="000000" w:themeColor="text1"/>
          <w:sz w:val="22"/>
        </w:rPr>
      </w:pPr>
      <w:r w:rsidRPr="0063743B">
        <w:rPr>
          <w:rFonts w:ascii="Verdana" w:hAnsi="Verdana" w:cs="Arial"/>
          <w:color w:val="000000" w:themeColor="text1"/>
          <w:sz w:val="22"/>
        </w:rPr>
        <w:t xml:space="preserve">Es importante aclarar que los negocios jurídicos que regula el Decreto 092 de 2017 “[…] son esencialmente distintos a los contratos para la adquisición y </w:t>
      </w:r>
      <w:r w:rsidRPr="0063743B">
        <w:rPr>
          <w:rFonts w:ascii="Verdana" w:hAnsi="Verdana" w:cs="Arial"/>
          <w:color w:val="000000" w:themeColor="text1"/>
          <w:sz w:val="22"/>
        </w:rPr>
        <w:lastRenderedPageBreak/>
        <w:t>aprovisionamiento de bienes, obras o servicios regulados por el estatuto de contratación y[, como tal,] no hacen parte del sistema de compra pública. […] De acuerdo con lo anterior, si la entidad estatal adquiere o se abastece de un bien, obra o servicio en un contrato conmutativo en el cual el proveedor es una [ESAL], debe aplicar el régimen contenido en las Leyes 80 de 1993 y 1150 de 2007, y no el Decreto 092 de 2017”</w:t>
      </w:r>
      <w:r w:rsidRPr="0063743B">
        <w:rPr>
          <w:rStyle w:val="Refdenotaalpie"/>
          <w:rFonts w:ascii="Verdana" w:hAnsi="Verdana" w:cs="Arial"/>
          <w:color w:val="000000" w:themeColor="text1"/>
          <w:sz w:val="22"/>
        </w:rPr>
        <w:footnoteReference w:id="5"/>
      </w:r>
      <w:r w:rsidRPr="0063743B">
        <w:rPr>
          <w:rFonts w:ascii="Verdana" w:hAnsi="Verdana" w:cs="Arial"/>
          <w:color w:val="000000" w:themeColor="text1"/>
          <w:sz w:val="22"/>
        </w:rPr>
        <w:t>. Así lo consideró la Sala de Consulta y Servicio Civil del Consejo de Estado:</w:t>
      </w:r>
    </w:p>
    <w:p w14:paraId="2196B47A" w14:textId="77777777" w:rsidR="00AA4423" w:rsidRPr="0063743B" w:rsidRDefault="00AA4423" w:rsidP="00AA4423">
      <w:pPr>
        <w:pStyle w:val="Sinespaciado"/>
        <w:spacing w:line="276" w:lineRule="auto"/>
        <w:jc w:val="both"/>
        <w:rPr>
          <w:rFonts w:ascii="Verdana" w:hAnsi="Verdana" w:cs="Arial"/>
          <w:color w:val="000000" w:themeColor="text1"/>
          <w:sz w:val="22"/>
        </w:rPr>
      </w:pPr>
    </w:p>
    <w:p w14:paraId="2D9665B8" w14:textId="77777777" w:rsidR="00AA4423" w:rsidRPr="00E92DA5" w:rsidRDefault="00AA4423" w:rsidP="00AA4423">
      <w:pPr>
        <w:spacing w:line="240" w:lineRule="auto"/>
        <w:ind w:left="709" w:right="709"/>
        <w:jc w:val="both"/>
        <w:rPr>
          <w:rFonts w:ascii="Verdana" w:eastAsia="Calibri" w:hAnsi="Verdana" w:cs="Arial"/>
          <w:color w:val="000000" w:themeColor="text1"/>
          <w:sz w:val="20"/>
          <w:szCs w:val="20"/>
        </w:rPr>
      </w:pPr>
      <w:r w:rsidRPr="00E92DA5">
        <w:rPr>
          <w:rFonts w:ascii="Verdana" w:eastAsia="Calibri" w:hAnsi="Verdana" w:cs="Arial"/>
          <w:color w:val="000000" w:themeColor="text1"/>
          <w:sz w:val="20"/>
          <w:szCs w:val="20"/>
        </w:rPr>
        <w:t>“Como ya se indicó, el objeto de los contratos que autoriza el inciso segundo del artículo 355 Superior, se limita a la realización de actividades o programas de interés público que, conforme a los planes de desarrollo, adelanten instituciones privadas sin ánimo de lucro. Aquellos que generan una contraprestación directa a favor de la entidad contratante y los que tienen por objeto desarrollar proyectos específicos, corresponden al giro normal de las funciones propias de la entidad estatal, y por lo tanto, se tipifican dentro de cualquiera de las modalidades de contratación de la ley 80 de 1.993, debiendo sujetarse a los procedimientos allí previstos, en especial los de escogencia del contratista.</w:t>
      </w:r>
    </w:p>
    <w:p w14:paraId="7DC8FC90" w14:textId="77777777" w:rsidR="00AA4423" w:rsidRPr="00E92DA5" w:rsidRDefault="00AA4423" w:rsidP="00AA4423">
      <w:pPr>
        <w:spacing w:after="0" w:line="240" w:lineRule="auto"/>
        <w:ind w:left="708" w:right="709"/>
        <w:jc w:val="both"/>
        <w:rPr>
          <w:rFonts w:ascii="Verdana" w:eastAsia="Calibri" w:hAnsi="Verdana" w:cs="Arial"/>
          <w:color w:val="000000" w:themeColor="text1"/>
          <w:sz w:val="20"/>
          <w:szCs w:val="20"/>
        </w:rPr>
      </w:pPr>
      <w:r w:rsidRPr="00E92DA5">
        <w:rPr>
          <w:rFonts w:ascii="Verdana" w:eastAsia="Calibri" w:hAnsi="Verdana" w:cs="Arial"/>
          <w:color w:val="000000" w:themeColor="text1"/>
          <w:sz w:val="20"/>
          <w:szCs w:val="20"/>
        </w:rPr>
        <w:t>Cuando el artículo 355 autoriza a las entidades estatales a celebrar contratos para “impulsar” programas y actividades de interés público, se refiere a los del ente privado y no a los del Estado, pues respecto de éste el deber constitucional es no sólo impulsarlos sino cumplirlos, conforme las disposiciones contractuales vigentes, como sería por ejemplo, contratos de prestación de servicios o de obra pública”</w:t>
      </w:r>
      <w:r w:rsidRPr="00E92DA5">
        <w:rPr>
          <w:rStyle w:val="Refdenotaalpie"/>
          <w:rFonts w:ascii="Verdana" w:hAnsi="Verdana" w:cs="Arial"/>
          <w:color w:val="000000" w:themeColor="text1"/>
          <w:sz w:val="20"/>
          <w:szCs w:val="20"/>
        </w:rPr>
        <w:footnoteReference w:id="6"/>
      </w:r>
      <w:r w:rsidRPr="00E92DA5">
        <w:rPr>
          <w:rFonts w:ascii="Verdana" w:eastAsia="Calibri" w:hAnsi="Verdana" w:cs="Arial"/>
          <w:color w:val="000000" w:themeColor="text1"/>
          <w:sz w:val="20"/>
          <w:szCs w:val="20"/>
        </w:rPr>
        <w:t>.</w:t>
      </w:r>
    </w:p>
    <w:p w14:paraId="228E0D69" w14:textId="77777777" w:rsidR="00AA4423" w:rsidRPr="0063743B" w:rsidRDefault="00AA4423" w:rsidP="00AA4423">
      <w:pPr>
        <w:spacing w:after="0" w:line="276" w:lineRule="auto"/>
        <w:ind w:firstLine="708"/>
        <w:jc w:val="both"/>
        <w:rPr>
          <w:rFonts w:ascii="Verdana" w:eastAsia="Calibri" w:hAnsi="Verdana" w:cs="Arial"/>
          <w:color w:val="000000" w:themeColor="text1"/>
        </w:rPr>
      </w:pPr>
      <w:bookmarkStart w:id="7" w:name="_Hlk95756200"/>
    </w:p>
    <w:p w14:paraId="3EA53A9A" w14:textId="77777777" w:rsidR="00AA4423" w:rsidRPr="0063743B" w:rsidRDefault="00AA4423" w:rsidP="00AA4423">
      <w:pPr>
        <w:spacing w:after="0" w:line="276" w:lineRule="auto"/>
        <w:ind w:firstLine="708"/>
        <w:jc w:val="both"/>
        <w:rPr>
          <w:rFonts w:ascii="Verdana" w:eastAsia="Calibri" w:hAnsi="Verdana" w:cs="Arial"/>
          <w:color w:val="000000" w:themeColor="text1"/>
        </w:rPr>
      </w:pPr>
      <w:r w:rsidRPr="0063743B">
        <w:rPr>
          <w:rFonts w:ascii="Verdana" w:eastAsia="Calibri" w:hAnsi="Verdana" w:cs="Arial"/>
          <w:color w:val="000000" w:themeColor="text1"/>
        </w:rPr>
        <w:t xml:space="preserve">De acuerdo con lo anterior, no todas las actividades que las entidades estatales deben desarrollar para alcanzar sus objetivos misionales deben ejecutarse a través de la celebración de contratos del artículo 355 superior o convenios de asociación. Debe tenerse en cuenta que lo que determina la aplicación del Decreto 092 de 2017 no es únicamente el carácter de las ESAL sino el objeto del contrato o convenio que la entidad pretende adelantar. Por tanto, el hecho de que se trate de una entidad sin ánimo de lucro no implica que necesariamente deba celebrarse un contrato de colaboración o un convenio de asociación. </w:t>
      </w:r>
      <w:bookmarkEnd w:id="7"/>
      <w:r w:rsidRPr="0063743B">
        <w:rPr>
          <w:rFonts w:ascii="Verdana" w:eastAsia="Calibri" w:hAnsi="Verdana" w:cs="Arial"/>
          <w:color w:val="000000" w:themeColor="text1"/>
        </w:rPr>
        <w:t>Así lo reconoció la Corte Constitucional en la sentencia C-287 del 18 de abril de 2012, en la que sostuvo lo siguiente:</w:t>
      </w:r>
    </w:p>
    <w:p w14:paraId="63C60E65" w14:textId="77777777" w:rsidR="00AA4423" w:rsidRPr="0063743B" w:rsidRDefault="00AA4423" w:rsidP="00AA4423">
      <w:pPr>
        <w:spacing w:after="0" w:line="276" w:lineRule="auto"/>
        <w:ind w:firstLine="708"/>
        <w:jc w:val="both"/>
        <w:rPr>
          <w:rFonts w:ascii="Verdana" w:eastAsia="Calibri" w:hAnsi="Verdana" w:cs="Arial"/>
          <w:color w:val="000000" w:themeColor="text1"/>
        </w:rPr>
      </w:pPr>
    </w:p>
    <w:p w14:paraId="40231A79" w14:textId="77777777" w:rsidR="00AA4423" w:rsidRPr="00E92DA5" w:rsidRDefault="00AA4423" w:rsidP="00AA4423">
      <w:pPr>
        <w:spacing w:line="240" w:lineRule="auto"/>
        <w:ind w:left="709" w:right="709"/>
        <w:jc w:val="both"/>
        <w:rPr>
          <w:rFonts w:ascii="Verdana" w:eastAsia="Calibri" w:hAnsi="Verdana" w:cs="Arial"/>
          <w:color w:val="000000" w:themeColor="text1"/>
          <w:sz w:val="20"/>
          <w:szCs w:val="20"/>
        </w:rPr>
      </w:pPr>
      <w:r w:rsidRPr="00E92DA5">
        <w:rPr>
          <w:rFonts w:ascii="Verdana" w:eastAsia="Calibri" w:hAnsi="Verdana" w:cs="Arial"/>
          <w:color w:val="000000" w:themeColor="text1"/>
          <w:sz w:val="20"/>
          <w:szCs w:val="20"/>
        </w:rPr>
        <w:lastRenderedPageBreak/>
        <w:t>“Las corporaciones o asociaciones sin ánimo de lucro han sido definas por la doctrina como personas jurídicas que surgen de la voluntad de un grupo de individuos que vinculan un capital a la obtención de un fin de interés general o de bienestar común no lucrativo, de manera que tienen como finalidad propia la satisfacción de intereses públicos y sociales.</w:t>
      </w:r>
    </w:p>
    <w:p w14:paraId="1DBB6F5F" w14:textId="77777777" w:rsidR="00AA4423" w:rsidRPr="0063743B" w:rsidRDefault="00AA4423" w:rsidP="00AA4423">
      <w:pPr>
        <w:spacing w:after="0" w:line="240" w:lineRule="auto"/>
        <w:ind w:left="709" w:right="709"/>
        <w:jc w:val="both"/>
        <w:rPr>
          <w:rFonts w:ascii="Verdana" w:eastAsia="Calibri" w:hAnsi="Verdana" w:cs="Arial"/>
          <w:color w:val="000000" w:themeColor="text1"/>
          <w:sz w:val="21"/>
          <w:szCs w:val="21"/>
        </w:rPr>
      </w:pPr>
      <w:r w:rsidRPr="00E92DA5">
        <w:rPr>
          <w:rFonts w:ascii="Verdana" w:eastAsia="Calibri" w:hAnsi="Verdana" w:cs="Arial"/>
          <w:i/>
          <w:iCs/>
          <w:color w:val="000000" w:themeColor="text1"/>
          <w:sz w:val="20"/>
          <w:szCs w:val="20"/>
        </w:rPr>
        <w:t>Sin embargo, el hecho que no persigan una finalidad lucrativa, no significa que no desarrollen actividades que generen utilidades, lo que pasa es que a diferencia de las sociedades, el lucro o ganancia obtenida no se reparte entre sus miembros sino que se integra al patrimonio de la asociación para la obtención del fin deseado</w:t>
      </w:r>
      <w:r w:rsidRPr="00E92DA5">
        <w:rPr>
          <w:rFonts w:ascii="Verdana" w:eastAsia="Calibri" w:hAnsi="Verdana" w:cs="Arial"/>
          <w:color w:val="000000" w:themeColor="text1"/>
          <w:sz w:val="20"/>
          <w:szCs w:val="20"/>
        </w:rPr>
        <w:t>.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del mismo en el momento de su disolución o liquidación”. (Cursivas propias)</w:t>
      </w:r>
    </w:p>
    <w:p w14:paraId="3AAC5A11" w14:textId="77777777" w:rsidR="00AA4423" w:rsidRPr="0063743B" w:rsidRDefault="00AA4423" w:rsidP="00AA4423">
      <w:pPr>
        <w:spacing w:after="0" w:line="276" w:lineRule="auto"/>
        <w:ind w:firstLine="709"/>
        <w:jc w:val="both"/>
        <w:rPr>
          <w:rFonts w:ascii="Verdana" w:eastAsia="Calibri" w:hAnsi="Verdana" w:cs="Arial"/>
          <w:color w:val="000000" w:themeColor="text1"/>
        </w:rPr>
      </w:pPr>
    </w:p>
    <w:p w14:paraId="01080DC1" w14:textId="77777777" w:rsidR="00AA4423" w:rsidRPr="0063743B" w:rsidRDefault="00AA4423" w:rsidP="00AA4423">
      <w:pPr>
        <w:spacing w:after="120" w:line="276" w:lineRule="auto"/>
        <w:ind w:firstLine="709"/>
        <w:jc w:val="both"/>
        <w:rPr>
          <w:rFonts w:ascii="Verdana" w:eastAsia="Calibri" w:hAnsi="Verdana" w:cs="Arial"/>
          <w:color w:val="000000" w:themeColor="text1"/>
        </w:rPr>
      </w:pPr>
      <w:r w:rsidRPr="0063743B">
        <w:rPr>
          <w:rFonts w:ascii="Verdana" w:eastAsia="Calibri" w:hAnsi="Verdana" w:cs="Arial"/>
          <w:color w:val="000000" w:themeColor="text1"/>
        </w:rPr>
        <w:t>Lo anterior se justifica en que la principal característica de las ESAL es la ausencia de lucro, es decir, las ganancias o beneficios económicos no están destinados a repartirse en favor de los miembros ni de terceros, sino que permanecen dentro de la entidad incrementando su patrimonio. Con todo, las ESAL pueden participar en igualdad de condiciones en procesos de contratación regidos por la Ley 80 de 1993, la Ley 1150 de 2007 y el Decreto 1082 de 2015, siempre y cuando cumplan con los requisitos exigidos en los documentos del proceso. De esta manera, ni los contratos del artículo 355 de la Constitución Política ni los convenios de asociación del artículo 96 de la Ley 489 de 1998 generan utilidades para la ESAL, pues en dicho caso se trataría de un contrato en el que se debe remunerar al contratista por los servicios prestados, el cual, por eso mismo, tiene un régimen legal distinto.</w:t>
      </w:r>
    </w:p>
    <w:p w14:paraId="2D0454D8" w14:textId="77777777" w:rsidR="00AA4423" w:rsidRPr="000A33B7" w:rsidRDefault="00AA4423" w:rsidP="00AA4423">
      <w:pPr>
        <w:spacing w:line="276" w:lineRule="auto"/>
        <w:ind w:firstLine="709"/>
        <w:jc w:val="both"/>
        <w:rPr>
          <w:rFonts w:ascii="Verdana" w:eastAsia="Calibri" w:hAnsi="Verdana" w:cs="Arial"/>
          <w:color w:val="000000" w:themeColor="text1"/>
        </w:rPr>
      </w:pPr>
      <w:r>
        <w:rPr>
          <w:rFonts w:ascii="Verdana" w:hAnsi="Verdana" w:cs="Arial"/>
          <w:color w:val="000000" w:themeColor="text1"/>
        </w:rPr>
        <w:t>Es importante tener en cuenta que la</w:t>
      </w:r>
      <w:r w:rsidRPr="000A33B7">
        <w:rPr>
          <w:rFonts w:ascii="Verdana" w:hAnsi="Verdana" w:cs="Arial"/>
          <w:color w:val="000000" w:themeColor="text1"/>
        </w:rPr>
        <w:t xml:space="preserve"> contratación con entidades sin ánimo de lucro se</w:t>
      </w:r>
      <w:r>
        <w:rPr>
          <w:rFonts w:ascii="Verdana" w:hAnsi="Verdana" w:cs="Arial"/>
          <w:color w:val="000000" w:themeColor="text1"/>
        </w:rPr>
        <w:t xml:space="preserve"> rige</w:t>
      </w:r>
      <w:r w:rsidRPr="000A33B7">
        <w:rPr>
          <w:rFonts w:ascii="Verdana" w:hAnsi="Verdana" w:cs="Arial"/>
          <w:color w:val="000000" w:themeColor="text1"/>
        </w:rPr>
        <w:t xml:space="preserve"> por el Decreto 092 de 2017, salvo lo que ha sido objeto de suspensión provisional por parte del Consejo de Estado. Por lo tanto, las entidades públicas que desean celebrar </w:t>
      </w:r>
      <w:r w:rsidRPr="002965A0">
        <w:rPr>
          <w:rFonts w:ascii="Verdana" w:hAnsi="Verdana" w:cs="Arial"/>
          <w:i/>
          <w:iCs/>
          <w:color w:val="000000" w:themeColor="text1"/>
        </w:rPr>
        <w:t>contratos del artículo 355 de la Constitución Política</w:t>
      </w:r>
      <w:r w:rsidRPr="000A33B7">
        <w:rPr>
          <w:rFonts w:ascii="Verdana" w:hAnsi="Verdana" w:cs="Arial"/>
          <w:color w:val="000000" w:themeColor="text1"/>
        </w:rPr>
        <w:t xml:space="preserve"> deberán contratar con ESAL de reconocida idoneidad realizando un proceso competitivo, y teniendo en cuenta lo siguiente: i) no debe condicionarse el proceso de contratación a la inexistencia de oferta en el mercado de bienes y servicios; </w:t>
      </w:r>
      <w:proofErr w:type="spellStart"/>
      <w:r w:rsidRPr="000A33B7">
        <w:rPr>
          <w:rFonts w:ascii="Verdana" w:hAnsi="Verdana" w:cs="Arial"/>
          <w:color w:val="000000" w:themeColor="text1"/>
        </w:rPr>
        <w:t>ii</w:t>
      </w:r>
      <w:proofErr w:type="spellEnd"/>
      <w:r w:rsidRPr="000A33B7">
        <w:rPr>
          <w:rFonts w:ascii="Verdana" w:hAnsi="Verdana" w:cs="Arial"/>
          <w:color w:val="000000" w:themeColor="text1"/>
        </w:rPr>
        <w:t xml:space="preserve">) tampoco debe condicionarse a que la contratación con las ESAL garantice la optimización de los recursos públicos en términos de eficiencia, eficacia, economía y manejo del riesgo; </w:t>
      </w:r>
      <w:proofErr w:type="spellStart"/>
      <w:r w:rsidRPr="000A33B7">
        <w:rPr>
          <w:rFonts w:ascii="Verdana" w:hAnsi="Verdana" w:cs="Arial"/>
          <w:color w:val="000000" w:themeColor="text1"/>
        </w:rPr>
        <w:t>iii</w:t>
      </w:r>
      <w:proofErr w:type="spellEnd"/>
      <w:r w:rsidRPr="000A33B7">
        <w:rPr>
          <w:rFonts w:ascii="Verdana" w:hAnsi="Verdana" w:cs="Arial"/>
          <w:color w:val="000000" w:themeColor="text1"/>
        </w:rPr>
        <w:t xml:space="preserve">) el objeto del </w:t>
      </w:r>
      <w:r w:rsidRPr="000A33B7">
        <w:rPr>
          <w:rFonts w:ascii="Verdana" w:hAnsi="Verdana" w:cs="Arial"/>
          <w:color w:val="000000" w:themeColor="text1"/>
        </w:rPr>
        <w:lastRenderedPageBreak/>
        <w:t xml:space="preserve">contrato debe estar acorde con el plan nacional o seccional de desarrollo; </w:t>
      </w:r>
      <w:proofErr w:type="spellStart"/>
      <w:r w:rsidRPr="000A33B7">
        <w:rPr>
          <w:rFonts w:ascii="Verdana" w:hAnsi="Verdana" w:cs="Arial"/>
          <w:color w:val="000000" w:themeColor="text1"/>
        </w:rPr>
        <w:t>iv</w:t>
      </w:r>
      <w:proofErr w:type="spellEnd"/>
      <w:r w:rsidRPr="000A33B7">
        <w:rPr>
          <w:rFonts w:ascii="Verdana" w:hAnsi="Verdana" w:cs="Arial"/>
          <w:color w:val="000000" w:themeColor="text1"/>
        </w:rPr>
        <w:t xml:space="preserve">) no puede condicionarse únicamente a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w:t>
      </w:r>
      <w:proofErr w:type="spellStart"/>
      <w:r w:rsidRPr="000A33B7">
        <w:rPr>
          <w:rFonts w:ascii="Verdana" w:hAnsi="Verdana" w:cs="Arial"/>
          <w:color w:val="000000" w:themeColor="text1"/>
        </w:rPr>
        <w:t>iii</w:t>
      </w:r>
      <w:proofErr w:type="spellEnd"/>
      <w:r w:rsidRPr="000A33B7">
        <w:rPr>
          <w:rFonts w:ascii="Verdana" w:hAnsi="Verdana" w:cs="Arial"/>
          <w:color w:val="000000" w:themeColor="text1"/>
        </w:rPr>
        <w:t>); y v) el contrato no debe establecer una relación conmutativa en el cual haya una contraprestación directa a favor de la entidad, ni instrucciones precisas dadas por esta al contratista para cumplir con el objeto del contrato.</w:t>
      </w:r>
    </w:p>
    <w:p w14:paraId="1A37B0FF" w14:textId="77777777" w:rsidR="00AA4423" w:rsidRDefault="00AA4423" w:rsidP="00AA4423">
      <w:pPr>
        <w:tabs>
          <w:tab w:val="left" w:pos="0"/>
        </w:tabs>
        <w:spacing w:after="0" w:line="276" w:lineRule="auto"/>
        <w:jc w:val="both"/>
        <w:rPr>
          <w:rFonts w:ascii="Verdana" w:eastAsia="Calibri" w:hAnsi="Verdana" w:cs="Arial"/>
          <w:color w:val="000000" w:themeColor="text1"/>
        </w:rPr>
      </w:pPr>
      <w:r>
        <w:rPr>
          <w:rFonts w:ascii="Verdana" w:eastAsia="Calibri" w:hAnsi="Verdana" w:cs="Arial"/>
          <w:color w:val="000000" w:themeColor="text1"/>
        </w:rPr>
        <w:tab/>
      </w:r>
      <w:r w:rsidRPr="000A33B7">
        <w:rPr>
          <w:rFonts w:ascii="Verdana" w:eastAsia="Calibri" w:hAnsi="Verdana" w:cs="Arial"/>
          <w:color w:val="000000" w:themeColor="text1"/>
        </w:rPr>
        <w:t xml:space="preserve">Ahora, si se pretende realizar un </w:t>
      </w:r>
      <w:r w:rsidRPr="000A33B7">
        <w:rPr>
          <w:rFonts w:ascii="Verdana" w:eastAsia="Calibri" w:hAnsi="Verdana" w:cs="Arial"/>
          <w:i/>
          <w:iCs/>
          <w:color w:val="000000" w:themeColor="text1"/>
        </w:rPr>
        <w:t>convenio de asociación</w:t>
      </w:r>
      <w:r w:rsidRPr="000A33B7">
        <w:rPr>
          <w:rFonts w:ascii="Verdana" w:eastAsia="Calibri" w:hAnsi="Verdana" w:cs="Arial"/>
          <w:color w:val="000000" w:themeColor="text1"/>
        </w:rPr>
        <w:t xml:space="preserve"> con ESAL de reconocida idoneidad para el cumplimiento de las funciones que la ley les asigna a las entidades públicas, deberá aplicarse lo dispuesto en el artículo 5 del Decreto 092 de 2017. De esta manera, deben estar sujetos a competencia, salvo en aquellos casos en que una entidad sin ánimo de lucro comprometa recursos en dinero por un valor igual o superior al 30% del valor total del convenio</w:t>
      </w:r>
      <w:r w:rsidRPr="000A33B7">
        <w:rPr>
          <w:rStyle w:val="Refdenotaalpie"/>
          <w:rFonts w:ascii="Verdana" w:hAnsi="Verdana" w:cs="Arial"/>
          <w:color w:val="000000" w:themeColor="text1"/>
        </w:rPr>
        <w:footnoteReference w:id="7"/>
      </w:r>
      <w:r w:rsidRPr="000A33B7">
        <w:rPr>
          <w:rFonts w:ascii="Verdana" w:eastAsia="Calibri" w:hAnsi="Verdana" w:cs="Arial"/>
          <w:color w:val="000000" w:themeColor="text1"/>
        </w:rPr>
        <w:t xml:space="preserve">, y siempre que la entidad estatal verifique previamente que no existe ninguna otra entidad sin ánimo de lucro que ofrezca aportes iguales o superiores al 30%. </w:t>
      </w:r>
      <w:r w:rsidRPr="000A33B7">
        <w:rPr>
          <w:rFonts w:ascii="Verdana" w:eastAsia="Calibri" w:hAnsi="Verdana" w:cs="Arial"/>
          <w:color w:val="000000"/>
        </w:rPr>
        <w:t>Lo anterior sin perjuicio de las restricciones previstas en el artículo 33 de la Ley de Garantías durante el periodo preelectoral de las elecciones presidenciales para los procesos no competitivos</w:t>
      </w:r>
      <w:r w:rsidRPr="000A33B7">
        <w:rPr>
          <w:rFonts w:ascii="Verdana" w:eastAsia="Calibri" w:hAnsi="Verdana" w:cs="Arial"/>
          <w:color w:val="000000" w:themeColor="text1"/>
        </w:rPr>
        <w:t>.</w:t>
      </w:r>
    </w:p>
    <w:p w14:paraId="658DF366" w14:textId="77777777" w:rsidR="00AA4423" w:rsidRDefault="00AA4423" w:rsidP="00AA4423">
      <w:pPr>
        <w:tabs>
          <w:tab w:val="left" w:pos="0"/>
        </w:tabs>
        <w:spacing w:after="0" w:line="276" w:lineRule="auto"/>
        <w:jc w:val="both"/>
        <w:rPr>
          <w:rFonts w:ascii="Verdana" w:eastAsia="Calibri" w:hAnsi="Verdana" w:cs="Arial"/>
          <w:color w:val="000000" w:themeColor="text1"/>
        </w:rPr>
      </w:pPr>
    </w:p>
    <w:p w14:paraId="11BF8090" w14:textId="77777777" w:rsidR="00AA4423" w:rsidRPr="000A33B7" w:rsidRDefault="00AA4423" w:rsidP="00AA4423">
      <w:pPr>
        <w:spacing w:after="0" w:line="276" w:lineRule="auto"/>
        <w:jc w:val="both"/>
        <w:rPr>
          <w:rFonts w:ascii="Verdana" w:eastAsia="Calibri" w:hAnsi="Verdana" w:cs="Arial"/>
          <w:lang w:val="es-ES_tradnl"/>
        </w:rPr>
      </w:pPr>
      <w:proofErr w:type="spellStart"/>
      <w:r>
        <w:rPr>
          <w:rFonts w:ascii="Verdana" w:eastAsia="Calibri" w:hAnsi="Verdana" w:cs="Arial"/>
          <w:color w:val="000000" w:themeColor="text1"/>
        </w:rPr>
        <w:t>ii</w:t>
      </w:r>
      <w:proofErr w:type="spellEnd"/>
      <w:r>
        <w:rPr>
          <w:rFonts w:ascii="Verdana" w:eastAsia="Calibri" w:hAnsi="Verdana" w:cs="Arial"/>
          <w:color w:val="000000" w:themeColor="text1"/>
        </w:rPr>
        <w:t xml:space="preserve">. </w:t>
      </w:r>
      <w:r w:rsidRPr="000A33B7">
        <w:rPr>
          <w:rFonts w:ascii="Verdana" w:eastAsia="Calibri" w:hAnsi="Verdana" w:cs="Arial"/>
          <w:lang w:val="es-ES_tradnl"/>
        </w:rPr>
        <w:t>L</w:t>
      </w:r>
      <w:r>
        <w:rPr>
          <w:rFonts w:ascii="Verdana" w:eastAsia="Calibri" w:hAnsi="Verdana" w:cs="Arial"/>
          <w:lang w:val="es-ES_tradnl"/>
        </w:rPr>
        <w:t xml:space="preserve">as normas aplicables a la gestión de las entidades sometidas </w:t>
      </w:r>
      <w:r w:rsidRPr="000A33B7">
        <w:rPr>
          <w:rFonts w:ascii="Verdana" w:eastAsia="Calibri" w:hAnsi="Verdana" w:cs="Arial"/>
          <w:lang w:val="es-ES_tradnl"/>
        </w:rPr>
        <w:t>se caracteriza</w:t>
      </w:r>
      <w:r>
        <w:rPr>
          <w:rFonts w:ascii="Verdana" w:eastAsia="Calibri" w:hAnsi="Verdana" w:cs="Arial"/>
          <w:lang w:val="es-ES_tradnl"/>
        </w:rPr>
        <w:t>n</w:t>
      </w:r>
      <w:r w:rsidRPr="000A33B7">
        <w:rPr>
          <w:rFonts w:ascii="Verdana" w:eastAsia="Calibri" w:hAnsi="Verdana" w:cs="Arial"/>
          <w:lang w:val="es-ES_tradnl"/>
        </w:rPr>
        <w:t xml:space="preserve"> por la exhaustiva regulación de la actividad contractual. Los contratos sometidos al Estatuto General, aunque se rigen por el derecho público, permiten la aplicación del derecho civil y comercial en los casos previstos en los artículos 13, 32 y 40 de la Ley 80 de 1993. Sin embargo, frente a la regulación sumaria de los </w:t>
      </w:r>
      <w:r w:rsidRPr="000A33B7">
        <w:rPr>
          <w:rFonts w:ascii="Verdana" w:eastAsia="Calibri" w:hAnsi="Verdana" w:cs="Arial"/>
          <w:i/>
          <w:iCs/>
          <w:lang w:val="es-ES_tradnl"/>
        </w:rPr>
        <w:t>contratos del art. 355 de la Constitución</w:t>
      </w:r>
      <w:r w:rsidRPr="000A33B7">
        <w:rPr>
          <w:rFonts w:ascii="Verdana" w:eastAsia="Calibri" w:hAnsi="Verdana" w:cs="Arial"/>
          <w:lang w:val="es-ES_tradnl"/>
        </w:rPr>
        <w:t xml:space="preserve"> y los </w:t>
      </w:r>
      <w:r w:rsidRPr="000A33B7">
        <w:rPr>
          <w:rFonts w:ascii="Verdana" w:eastAsia="Calibri" w:hAnsi="Verdana" w:cs="Arial"/>
          <w:i/>
          <w:iCs/>
          <w:lang w:val="es-ES_tradnl"/>
        </w:rPr>
        <w:t>convenios de asociación</w:t>
      </w:r>
      <w:r w:rsidRPr="000A33B7">
        <w:rPr>
          <w:rFonts w:ascii="Verdana" w:eastAsia="Calibri" w:hAnsi="Verdana" w:cs="Arial"/>
          <w:lang w:val="es-ES_tradnl"/>
        </w:rPr>
        <w:t xml:space="preserve">, los artículos 6, 7 y 8 del </w:t>
      </w:r>
      <w:bookmarkStart w:id="8" w:name="_Hlk38214426"/>
      <w:r w:rsidRPr="000A33B7">
        <w:rPr>
          <w:rFonts w:ascii="Verdana" w:eastAsia="Calibri" w:hAnsi="Verdana" w:cs="Arial"/>
          <w:lang w:val="es-ES_tradnl"/>
        </w:rPr>
        <w:t>Decreto 092 de 2017</w:t>
      </w:r>
      <w:bookmarkEnd w:id="8"/>
      <w:r w:rsidRPr="000A33B7">
        <w:rPr>
          <w:rFonts w:ascii="Verdana" w:eastAsia="Calibri" w:hAnsi="Verdana" w:cs="Arial"/>
          <w:lang w:val="es-ES_tradnl"/>
        </w:rPr>
        <w:t xml:space="preserve"> disponen lo siguiente:</w:t>
      </w:r>
    </w:p>
    <w:p w14:paraId="7AB3D0C7" w14:textId="77777777" w:rsidR="00AA4423" w:rsidRPr="000A33B7" w:rsidRDefault="00AA4423" w:rsidP="00AA4423">
      <w:pPr>
        <w:spacing w:after="0" w:line="276" w:lineRule="auto"/>
        <w:jc w:val="both"/>
        <w:rPr>
          <w:rFonts w:ascii="Verdana" w:eastAsia="Calibri" w:hAnsi="Verdana" w:cs="Arial"/>
          <w:lang w:val="es-ES_tradnl"/>
        </w:rPr>
      </w:pPr>
    </w:p>
    <w:p w14:paraId="5F5D5289" w14:textId="77777777" w:rsidR="00AA4423" w:rsidRPr="00003ACC" w:rsidRDefault="00AA4423" w:rsidP="00AA4423">
      <w:pPr>
        <w:spacing w:after="120" w:line="240" w:lineRule="auto"/>
        <w:ind w:left="709" w:right="709"/>
        <w:jc w:val="both"/>
        <w:rPr>
          <w:rFonts w:ascii="Verdana" w:eastAsia="Calibri" w:hAnsi="Verdana" w:cs="Arial"/>
          <w:sz w:val="20"/>
          <w:szCs w:val="20"/>
          <w:lang w:val="es-ES_tradnl"/>
        </w:rPr>
      </w:pPr>
      <w:r w:rsidRPr="00003ACC">
        <w:rPr>
          <w:rFonts w:ascii="Verdana" w:eastAsia="Calibri" w:hAnsi="Verdana" w:cs="Arial"/>
          <w:sz w:val="20"/>
          <w:szCs w:val="20"/>
          <w:lang w:val="es-ES_tradnl"/>
        </w:rPr>
        <w:t xml:space="preserve">“Artículo 6°. Prohibiciones, inhabilidades e incompatibilidades. Las prohibiciones, inhabilidades e incompatibilidades establecidas en la Constitución y en las Leyes 80 de 1993, 1150 de 2007 y 1474 de 2011, y </w:t>
      </w:r>
      <w:r w:rsidRPr="00003ACC">
        <w:rPr>
          <w:rFonts w:ascii="Verdana" w:eastAsia="Calibri" w:hAnsi="Verdana" w:cs="Arial"/>
          <w:sz w:val="20"/>
          <w:szCs w:val="20"/>
          <w:lang w:val="es-ES_tradnl"/>
        </w:rPr>
        <w:lastRenderedPageBreak/>
        <w:t>en las normas que las modifiquen, aclaren, adicionen o sustituyan, o en cualquier otra norma especial, son aplicables a la contratación a la que hace referencia el presente decreto.</w:t>
      </w:r>
    </w:p>
    <w:p w14:paraId="1A342F5C" w14:textId="77777777" w:rsidR="00AA4423" w:rsidRPr="00003ACC" w:rsidRDefault="00AA4423" w:rsidP="00AA4423">
      <w:pPr>
        <w:spacing w:after="120" w:line="240" w:lineRule="auto"/>
        <w:ind w:left="709" w:right="709"/>
        <w:jc w:val="both"/>
        <w:rPr>
          <w:rFonts w:ascii="Verdana" w:eastAsia="Calibri" w:hAnsi="Verdana" w:cs="Arial"/>
          <w:sz w:val="20"/>
          <w:szCs w:val="20"/>
          <w:lang w:val="es-ES_tradnl"/>
        </w:rPr>
      </w:pPr>
      <w:r w:rsidRPr="00003ACC">
        <w:rPr>
          <w:rFonts w:ascii="Verdana" w:eastAsia="Calibri" w:hAnsi="Verdana" w:cs="Arial"/>
          <w:sz w:val="20"/>
          <w:szCs w:val="20"/>
          <w:lang w:val="es-ES_tradnl"/>
        </w:rPr>
        <w:t>Artículo 7°. Aplicación de los principios de la contratación estatal. La contratación a la que hace referencia el presente decreto está sujeta a los principios de la contratación estatal y a las normas presupuestales aplicables […]</w:t>
      </w:r>
    </w:p>
    <w:p w14:paraId="5F098AE0" w14:textId="77777777" w:rsidR="00AA4423" w:rsidRPr="00003ACC" w:rsidRDefault="00AA4423" w:rsidP="00AA4423">
      <w:pPr>
        <w:spacing w:after="0" w:line="240" w:lineRule="auto"/>
        <w:ind w:left="709" w:right="709"/>
        <w:jc w:val="both"/>
        <w:rPr>
          <w:rFonts w:ascii="Verdana" w:eastAsia="Calibri" w:hAnsi="Verdana" w:cs="Arial"/>
          <w:sz w:val="20"/>
          <w:szCs w:val="20"/>
          <w:lang w:val="es-ES_tradnl"/>
        </w:rPr>
      </w:pPr>
      <w:r w:rsidRPr="00003ACC">
        <w:rPr>
          <w:rFonts w:ascii="Verdana" w:eastAsia="Calibri" w:hAnsi="Verdana" w:cs="Arial"/>
          <w:sz w:val="20"/>
          <w:szCs w:val="20"/>
          <w:lang w:val="es-ES_tradnl"/>
        </w:rPr>
        <w:t xml:space="preserve">Artículo 8°. Aplicación de normas generales del sistema de contratación pública. La contratación a la que hace referencia el presente decreto está sujeta </w:t>
      </w:r>
      <w:bookmarkStart w:id="9" w:name="_Hlk38206940"/>
      <w:r w:rsidRPr="00003ACC">
        <w:rPr>
          <w:rFonts w:ascii="Verdana" w:eastAsia="Calibri" w:hAnsi="Verdana" w:cs="Arial"/>
          <w:sz w:val="20"/>
          <w:szCs w:val="20"/>
          <w:lang w:val="es-ES_tradnl"/>
        </w:rPr>
        <w:t xml:space="preserve">a las </w:t>
      </w:r>
      <w:bookmarkStart w:id="10" w:name="_Hlk38633960"/>
      <w:r w:rsidRPr="00003ACC">
        <w:rPr>
          <w:rFonts w:ascii="Verdana" w:eastAsia="Calibri" w:hAnsi="Verdana" w:cs="Arial"/>
          <w:sz w:val="20"/>
          <w:szCs w:val="20"/>
          <w:lang w:val="es-ES_tradnl"/>
        </w:rPr>
        <w:t xml:space="preserve">normas generales </w:t>
      </w:r>
      <w:bookmarkStart w:id="11" w:name="_Hlk38275055"/>
      <w:r w:rsidRPr="00003ACC">
        <w:rPr>
          <w:rFonts w:ascii="Verdana" w:eastAsia="Calibri" w:hAnsi="Verdana" w:cs="Arial"/>
          <w:sz w:val="20"/>
          <w:szCs w:val="20"/>
          <w:lang w:val="es-ES_tradnl"/>
        </w:rPr>
        <w:t>aplicables a la contratación pública</w:t>
      </w:r>
      <w:bookmarkEnd w:id="9"/>
      <w:bookmarkEnd w:id="10"/>
      <w:r w:rsidRPr="00003ACC">
        <w:rPr>
          <w:rFonts w:ascii="Verdana" w:eastAsia="Calibri" w:hAnsi="Verdana" w:cs="Arial"/>
          <w:sz w:val="20"/>
          <w:szCs w:val="20"/>
          <w:lang w:val="es-ES_tradnl"/>
        </w:rPr>
        <w:t xml:space="preserve"> </w:t>
      </w:r>
      <w:bookmarkEnd w:id="11"/>
      <w:r w:rsidRPr="00003ACC">
        <w:rPr>
          <w:rFonts w:ascii="Verdana" w:eastAsia="Calibri" w:hAnsi="Verdana" w:cs="Arial"/>
          <w:sz w:val="20"/>
          <w:szCs w:val="20"/>
          <w:lang w:val="es-ES_tradnl"/>
        </w:rPr>
        <w:t xml:space="preserve">excepto en lo reglamentado en el presente decreto”. </w:t>
      </w:r>
    </w:p>
    <w:p w14:paraId="0C21A4E5" w14:textId="77777777" w:rsidR="00AA4423" w:rsidRPr="000A33B7" w:rsidRDefault="00AA4423" w:rsidP="00AA4423">
      <w:pPr>
        <w:spacing w:after="0"/>
        <w:ind w:left="709" w:right="709"/>
        <w:jc w:val="both"/>
        <w:rPr>
          <w:rFonts w:ascii="Verdana" w:eastAsia="Calibri" w:hAnsi="Verdana" w:cs="Arial"/>
          <w:lang w:val="es-ES_tradnl"/>
        </w:rPr>
      </w:pPr>
    </w:p>
    <w:p w14:paraId="01BF9FCA" w14:textId="77777777" w:rsidR="00AA4423" w:rsidRPr="000A33B7" w:rsidRDefault="00AA4423" w:rsidP="00AA4423">
      <w:pPr>
        <w:spacing w:after="120" w:line="276" w:lineRule="auto"/>
        <w:jc w:val="both"/>
        <w:rPr>
          <w:rFonts w:ascii="Verdana" w:eastAsia="Calibri" w:hAnsi="Verdana" w:cs="Arial"/>
          <w:lang w:val="es-ES"/>
        </w:rPr>
      </w:pPr>
      <w:r w:rsidRPr="000A33B7">
        <w:rPr>
          <w:rFonts w:ascii="Verdana" w:eastAsia="Calibri" w:hAnsi="Verdana" w:cs="Arial"/>
          <w:lang w:val="es-ES_tradnl"/>
        </w:rPr>
        <w:tab/>
      </w:r>
      <w:r w:rsidRPr="256AD556">
        <w:rPr>
          <w:rFonts w:ascii="Verdana" w:eastAsia="Calibri" w:hAnsi="Verdana" w:cs="Arial"/>
          <w:lang w:val="es-ES"/>
        </w:rPr>
        <w:t xml:space="preserve">Estas normas integran las lagunas o vacíos normativos del reglamento autónomo, y se aplican a todo lo que no esté expresamente regulado en él. Por ello no es posible aplicar ninguna de las disposiciones anteriormente citadas en temas como la competencia para celebrar los </w:t>
      </w:r>
      <w:r w:rsidRPr="256AD556">
        <w:rPr>
          <w:rFonts w:ascii="Verdana" w:eastAsia="Calibri" w:hAnsi="Verdana" w:cs="Arial"/>
          <w:i/>
          <w:lang w:val="es-ES"/>
        </w:rPr>
        <w:t xml:space="preserve">contratos del artículo 355 de la Constitución </w:t>
      </w:r>
      <w:r w:rsidRPr="256AD556">
        <w:rPr>
          <w:rFonts w:ascii="Verdana" w:eastAsia="Calibri" w:hAnsi="Verdana" w:cs="Arial"/>
          <w:lang w:val="es-ES"/>
        </w:rPr>
        <w:t xml:space="preserve">y la </w:t>
      </w:r>
      <w:proofErr w:type="spellStart"/>
      <w:r w:rsidRPr="256AD556">
        <w:rPr>
          <w:rFonts w:ascii="Verdana" w:eastAsia="Calibri" w:hAnsi="Verdana" w:cs="Arial"/>
          <w:lang w:val="es-ES"/>
        </w:rPr>
        <w:t>indelegabilidad</w:t>
      </w:r>
      <w:proofErr w:type="spellEnd"/>
      <w:r w:rsidRPr="256AD556">
        <w:rPr>
          <w:rFonts w:ascii="Verdana" w:eastAsia="Calibri" w:hAnsi="Verdana" w:cs="Arial"/>
          <w:lang w:val="es-ES"/>
        </w:rPr>
        <w:t xml:space="preserve"> de la autorización –art. 2–, la idoneidad de las ESAL –art. 3–, su registro en el SECOP –art. 9– y la inaplicación del registro único de proponentes –art. 10–. </w:t>
      </w:r>
    </w:p>
    <w:p w14:paraId="2F61BD82" w14:textId="77777777" w:rsidR="00AA4423" w:rsidRPr="000A33B7" w:rsidRDefault="00AA4423" w:rsidP="00AA4423">
      <w:pPr>
        <w:spacing w:after="0" w:line="276" w:lineRule="auto"/>
        <w:ind w:firstLine="708"/>
        <w:jc w:val="both"/>
        <w:rPr>
          <w:rFonts w:ascii="Verdana" w:eastAsia="Calibri" w:hAnsi="Verdana" w:cs="Arial"/>
          <w:lang w:val="es-ES_tradnl"/>
        </w:rPr>
      </w:pPr>
      <w:r w:rsidRPr="000A33B7">
        <w:rPr>
          <w:rFonts w:ascii="Verdana" w:eastAsia="Calibri" w:hAnsi="Verdana" w:cs="Arial"/>
          <w:lang w:val="es-ES_tradnl"/>
        </w:rPr>
        <w:t>En contraste, en los vacíos es necesario resolver si las tres (3) normas expresan la misma idea o, por el contrario, son autónomas en su interpretación.</w:t>
      </w:r>
      <w:r>
        <w:rPr>
          <w:rFonts w:ascii="Verdana" w:eastAsia="Calibri" w:hAnsi="Verdana" w:cs="Arial"/>
          <w:lang w:val="es-ES_tradnl"/>
        </w:rPr>
        <w:t xml:space="preserve"> </w:t>
      </w:r>
      <w:r w:rsidRPr="000A33B7">
        <w:rPr>
          <w:rFonts w:ascii="Verdana" w:eastAsia="Calibri" w:hAnsi="Verdana" w:cs="Arial"/>
          <w:lang w:val="es-ES_tradnl"/>
        </w:rPr>
        <w:t xml:space="preserve">Para resolver este interrogante, </w:t>
      </w:r>
      <w:bookmarkStart w:id="12" w:name="_Hlk38282598"/>
      <w:r w:rsidRPr="000A33B7">
        <w:rPr>
          <w:rFonts w:ascii="Verdana" w:eastAsia="Calibri" w:hAnsi="Verdana" w:cs="Arial"/>
          <w:lang w:val="es-ES_tradnl"/>
        </w:rPr>
        <w:t xml:space="preserve">en principio, podría considerarse que dichas disposiciones son independientes, pues si los supuestos están regulados en normas separadas, cada una produciría consecuencias distintas. Esta posición no se comparte, ya que están relacionadas entre sí. En efecto, el artículo 6 del Decreto 092 de 2017 se refiere a las inhabilidades e incompatibilidades previstas en el ordenamiento jurídico, incluyendo las previstas en el artículo 8 de la Ley 80 de 1993; además, los artículos 23, 24, 25, 26 y otros del Estatuto General regulan los principios de la contratación estatal, relacionándose parcialmente con el artículo 7 </w:t>
      </w:r>
      <w:r w:rsidRPr="000A33B7">
        <w:rPr>
          <w:rFonts w:ascii="Verdana" w:eastAsia="Calibri" w:hAnsi="Verdana" w:cs="Arial"/>
          <w:i/>
          <w:iCs/>
          <w:lang w:val="es-ES_tradnl"/>
        </w:rPr>
        <w:t>ibidem</w:t>
      </w:r>
      <w:bookmarkEnd w:id="12"/>
      <w:r w:rsidRPr="000A33B7">
        <w:rPr>
          <w:rFonts w:ascii="Verdana" w:eastAsia="Calibri" w:hAnsi="Verdana" w:cs="Arial"/>
          <w:lang w:val="es-ES_tradnl"/>
        </w:rPr>
        <w:t xml:space="preserve"> al disponer lo siguiente: </w:t>
      </w:r>
    </w:p>
    <w:p w14:paraId="53AFF5C0" w14:textId="77777777" w:rsidR="00AA4423" w:rsidRPr="000A33B7" w:rsidRDefault="00AA4423" w:rsidP="00AA4423">
      <w:pPr>
        <w:spacing w:after="0" w:line="276" w:lineRule="auto"/>
        <w:ind w:firstLine="708"/>
        <w:jc w:val="both"/>
        <w:rPr>
          <w:rFonts w:ascii="Verdana" w:eastAsia="Calibri" w:hAnsi="Verdana" w:cs="Arial"/>
          <w:lang w:val="es-ES_tradnl"/>
        </w:rPr>
      </w:pPr>
    </w:p>
    <w:p w14:paraId="2073A935" w14:textId="77777777" w:rsidR="00AA4423" w:rsidRPr="00003ACC" w:rsidRDefault="00AA4423" w:rsidP="00AA4423">
      <w:pPr>
        <w:spacing w:after="0" w:line="240" w:lineRule="auto"/>
        <w:ind w:left="709" w:right="709"/>
        <w:jc w:val="both"/>
        <w:rPr>
          <w:rFonts w:ascii="Verdana" w:eastAsia="Calibri" w:hAnsi="Verdana" w:cs="Arial"/>
          <w:sz w:val="20"/>
          <w:szCs w:val="20"/>
          <w:lang w:val="es-ES_tradnl"/>
        </w:rPr>
      </w:pPr>
      <w:r w:rsidRPr="00003ACC">
        <w:rPr>
          <w:rFonts w:ascii="Verdana" w:eastAsia="Calibri" w:hAnsi="Verdana" w:cs="Arial"/>
          <w:sz w:val="20"/>
          <w:szCs w:val="20"/>
          <w:lang w:val="es-ES_tradnl"/>
        </w:rPr>
        <w:t>“Artículo 23. De los principios en las actuaciones contractuales de las entidades estatales. Las actuaciones de quienes intervengan en la contratación estatal se desarrollarán con arreglo a los principios de transparencia, economía y responsabilidad y de conformidad con los postulados que rigen la función administrativa. Igualmente, se aplicarán en las mismas las normas que regulan la conducta de los servidores públicos, las reglas de interpretación de la contratación, los principios generales del derecho y los particulares del derecho administrativo”.</w:t>
      </w:r>
    </w:p>
    <w:p w14:paraId="102F23A8" w14:textId="77777777" w:rsidR="00AA4423" w:rsidRPr="008251D0" w:rsidRDefault="00AA4423" w:rsidP="00AA4423">
      <w:pPr>
        <w:spacing w:after="0" w:line="276" w:lineRule="auto"/>
        <w:ind w:left="709" w:right="709"/>
        <w:jc w:val="both"/>
        <w:rPr>
          <w:rFonts w:ascii="Verdana" w:eastAsia="Calibri" w:hAnsi="Verdana" w:cs="Arial"/>
          <w:lang w:val="es-ES_tradnl"/>
        </w:rPr>
      </w:pPr>
    </w:p>
    <w:p w14:paraId="7B77AFDB" w14:textId="77777777" w:rsidR="00AA4423" w:rsidRPr="000A33B7" w:rsidRDefault="00AA4423" w:rsidP="00AA4423">
      <w:pPr>
        <w:spacing w:after="120" w:line="276" w:lineRule="auto"/>
        <w:ind w:firstLine="708"/>
        <w:jc w:val="both"/>
        <w:rPr>
          <w:rFonts w:ascii="Verdana" w:eastAsia="Calibri" w:hAnsi="Verdana" w:cs="Arial"/>
          <w:lang w:val="es-ES"/>
        </w:rPr>
      </w:pPr>
      <w:bookmarkStart w:id="13" w:name="_Hlk38282653"/>
      <w:r w:rsidRPr="46198961">
        <w:rPr>
          <w:rFonts w:ascii="Verdana" w:eastAsia="Calibri" w:hAnsi="Verdana" w:cs="Arial"/>
          <w:lang w:val="es-ES"/>
        </w:rPr>
        <w:t>A su vez, tanto el “régimen de inhabilidades e incompatibilidades” como los “principios” hacen parte de las normas generales aplicables a la contratación pública. Naturalmente, podría preguntarse si el artículo 8 del Decreto 092 de 2017 se relaciona con estos dos (2) aspectos por ser comunes a los procesos de selección o, incluso, si se extiende a la totalidad del Estatuto General. De concluirse lo primero, el ámbito de los artículos 6, 7 y 8 del reglamento es similar, refiriéndose –entre otros aspectos– a las “inhabilidades e incompatibilidades” y a los “principios”, pues están contenidos en la Ley 80 de 1993 y son aplicables en todos los regímenes de contratación que se analizaron al inicio de este aparte –</w:t>
      </w:r>
      <w:r w:rsidRPr="46198961">
        <w:rPr>
          <w:rFonts w:ascii="Verdana" w:eastAsia="Calibri" w:hAnsi="Verdana" w:cs="Arial"/>
          <w:i/>
          <w:lang w:val="es-ES"/>
        </w:rPr>
        <w:t>remisión parcial</w:t>
      </w:r>
      <w:r w:rsidRPr="46198961">
        <w:rPr>
          <w:rFonts w:ascii="Verdana" w:eastAsia="Calibri" w:hAnsi="Verdana" w:cs="Arial"/>
          <w:lang w:val="es-ES"/>
        </w:rPr>
        <w:t xml:space="preserve">–. Por el contrario, de concluirse lo segundo, la remisión del artículo 8 del Decreto 092 de 2017 es más amplia que la de los artículos 6 y 7 </w:t>
      </w:r>
      <w:proofErr w:type="spellStart"/>
      <w:r w:rsidRPr="46198961">
        <w:rPr>
          <w:rFonts w:ascii="Verdana" w:eastAsia="Calibri" w:hAnsi="Verdana" w:cs="Arial"/>
          <w:i/>
          <w:lang w:val="es-ES"/>
        </w:rPr>
        <w:t>ibídem</w:t>
      </w:r>
      <w:proofErr w:type="spellEnd"/>
      <w:r w:rsidRPr="46198961">
        <w:rPr>
          <w:rFonts w:ascii="Verdana" w:eastAsia="Calibri" w:hAnsi="Verdana" w:cs="Arial"/>
          <w:lang w:val="es-ES"/>
        </w:rPr>
        <w:t>. En otras palabras, no se restringiría a las “inhabilidades e incompatibilidades”, a los “principios” y a las demás normas generales de la Ley 80, sino a todo lo previsto en el Estatuto General. Desde esta perspectiva, las “[…] normas generales aplicables a la contratación pública […]” comprenderían los artículos 6 y 7 del decreto autónomo, ampliándose a las demás normas de la Ley 80 de 1993 –</w:t>
      </w:r>
      <w:r w:rsidRPr="46198961">
        <w:rPr>
          <w:rFonts w:ascii="Verdana" w:eastAsia="Calibri" w:hAnsi="Verdana" w:cs="Arial"/>
          <w:i/>
          <w:lang w:val="es-ES"/>
        </w:rPr>
        <w:t>remisión total</w:t>
      </w:r>
      <w:r w:rsidRPr="46198961">
        <w:rPr>
          <w:rFonts w:ascii="Verdana" w:eastAsia="Calibri" w:hAnsi="Verdana" w:cs="Arial"/>
          <w:lang w:val="es-ES"/>
        </w:rPr>
        <w:t xml:space="preserve">–. </w:t>
      </w:r>
    </w:p>
    <w:p w14:paraId="39A25DDE" w14:textId="77777777" w:rsidR="00AA4423" w:rsidRPr="000A33B7" w:rsidRDefault="00AA4423" w:rsidP="00AA4423">
      <w:pPr>
        <w:spacing w:after="120" w:line="276" w:lineRule="auto"/>
        <w:ind w:firstLine="708"/>
        <w:jc w:val="both"/>
        <w:rPr>
          <w:rFonts w:ascii="Verdana" w:eastAsia="Calibri" w:hAnsi="Verdana" w:cs="Arial"/>
          <w:lang w:val="es-ES"/>
        </w:rPr>
      </w:pPr>
      <w:r w:rsidRPr="256AD556">
        <w:rPr>
          <w:rFonts w:ascii="Verdana" w:eastAsia="Calibri" w:hAnsi="Verdana" w:cs="Arial"/>
          <w:lang w:val="es-ES"/>
        </w:rPr>
        <w:t xml:space="preserve">La postura sobre el tema es relevante, pues quien opte por la </w:t>
      </w:r>
      <w:r w:rsidRPr="256AD556">
        <w:rPr>
          <w:rFonts w:ascii="Verdana" w:eastAsia="Calibri" w:hAnsi="Verdana" w:cs="Arial"/>
          <w:i/>
          <w:lang w:val="es-ES"/>
        </w:rPr>
        <w:t xml:space="preserve">remisión parcial </w:t>
      </w:r>
      <w:r w:rsidRPr="256AD556">
        <w:rPr>
          <w:rFonts w:ascii="Verdana" w:eastAsia="Calibri" w:hAnsi="Verdana" w:cs="Arial"/>
          <w:lang w:val="es-ES"/>
        </w:rPr>
        <w:t>o bien debe entender que el artículo 8 del Decreto 092 se refiere únicamente a las “inhabilidades e incompatibilidades” y a los “principios” –</w:t>
      </w:r>
      <w:r w:rsidRPr="256AD556">
        <w:rPr>
          <w:rFonts w:ascii="Verdana" w:eastAsia="Calibri" w:hAnsi="Verdana" w:cs="Arial"/>
          <w:i/>
          <w:lang w:val="es-ES"/>
        </w:rPr>
        <w:t>remisión parcial stricto sensu</w:t>
      </w:r>
      <w:r w:rsidRPr="256AD556">
        <w:rPr>
          <w:rFonts w:ascii="Verdana" w:eastAsia="Calibri" w:hAnsi="Verdana" w:cs="Arial"/>
          <w:lang w:val="es-ES"/>
        </w:rPr>
        <w:t>– o debe explicar qué normas son transversales a la actividad contractual del Estado, justificando la razón por las que se excluyen aquellas privativas de determinados procesos de selección, tipologías contractuales, etc. –</w:t>
      </w:r>
      <w:r w:rsidRPr="256AD556">
        <w:rPr>
          <w:rFonts w:ascii="Verdana" w:eastAsia="Calibri" w:hAnsi="Verdana" w:cs="Arial"/>
          <w:i/>
          <w:lang w:val="es-ES"/>
        </w:rPr>
        <w:t xml:space="preserve">remisión parcial </w:t>
      </w:r>
      <w:proofErr w:type="spellStart"/>
      <w:r w:rsidRPr="256AD556">
        <w:rPr>
          <w:rFonts w:ascii="Verdana" w:eastAsia="Calibri" w:hAnsi="Verdana" w:cs="Arial"/>
          <w:i/>
          <w:lang w:val="es-ES"/>
        </w:rPr>
        <w:t>latu</w:t>
      </w:r>
      <w:proofErr w:type="spellEnd"/>
      <w:r w:rsidRPr="256AD556">
        <w:rPr>
          <w:rFonts w:ascii="Verdana" w:eastAsia="Calibri" w:hAnsi="Verdana" w:cs="Arial"/>
          <w:i/>
          <w:lang w:val="es-ES"/>
        </w:rPr>
        <w:t xml:space="preserve"> sensu</w:t>
      </w:r>
      <w:r w:rsidRPr="256AD556">
        <w:rPr>
          <w:rFonts w:ascii="Verdana" w:eastAsia="Calibri" w:hAnsi="Verdana" w:cs="Arial"/>
          <w:lang w:val="es-ES"/>
        </w:rPr>
        <w:t xml:space="preserve">–. </w:t>
      </w:r>
    </w:p>
    <w:p w14:paraId="24F7EA7D" w14:textId="77777777" w:rsidR="00AA4423" w:rsidRPr="000A33B7" w:rsidRDefault="00AA4423" w:rsidP="00AA4423">
      <w:pPr>
        <w:spacing w:after="120" w:line="276" w:lineRule="auto"/>
        <w:ind w:firstLine="708"/>
        <w:jc w:val="both"/>
        <w:rPr>
          <w:rFonts w:ascii="Verdana" w:eastAsia="Calibri" w:hAnsi="Verdana" w:cs="Arial"/>
          <w:lang w:val="es-ES_tradnl"/>
        </w:rPr>
      </w:pPr>
      <w:r w:rsidRPr="000A33B7">
        <w:rPr>
          <w:rFonts w:ascii="Verdana" w:eastAsia="Calibri" w:hAnsi="Verdana" w:cs="Arial"/>
          <w:lang w:val="es-ES_tradnl"/>
        </w:rPr>
        <w:t xml:space="preserve">Para quienes adopten la primera postura, el ámbito de los artículos 6, 7 y 8 del Decreto 092 de 2017 sería exactamente el mismo, pues el último –referido a las normas generales– contiene a los otros dos –es decir, tanto las </w:t>
      </w:r>
      <w:r>
        <w:rPr>
          <w:rFonts w:ascii="Verdana" w:eastAsia="Calibri" w:hAnsi="Verdana" w:cs="Arial"/>
          <w:lang w:val="es-ES_tradnl"/>
        </w:rPr>
        <w:t>“</w:t>
      </w:r>
      <w:r w:rsidRPr="000A33B7">
        <w:rPr>
          <w:rFonts w:ascii="Verdana" w:eastAsia="Calibri" w:hAnsi="Verdana" w:cs="Arial"/>
          <w:lang w:val="es-ES_tradnl"/>
        </w:rPr>
        <w:t>inhabilidades e incompatibilidades</w:t>
      </w:r>
      <w:r>
        <w:rPr>
          <w:rFonts w:ascii="Verdana" w:eastAsia="Calibri" w:hAnsi="Verdana" w:cs="Arial"/>
          <w:lang w:val="es-ES_tradnl"/>
        </w:rPr>
        <w:t>”</w:t>
      </w:r>
      <w:r w:rsidRPr="000A33B7">
        <w:rPr>
          <w:rFonts w:ascii="Verdana" w:eastAsia="Calibri" w:hAnsi="Verdana" w:cs="Arial"/>
          <w:lang w:val="es-ES_tradnl"/>
        </w:rPr>
        <w:t xml:space="preserve"> como a los </w:t>
      </w:r>
      <w:r>
        <w:rPr>
          <w:rFonts w:ascii="Verdana" w:eastAsia="Calibri" w:hAnsi="Verdana" w:cs="Arial"/>
          <w:lang w:val="es-ES_tradnl"/>
        </w:rPr>
        <w:t>“</w:t>
      </w:r>
      <w:r w:rsidRPr="000A33B7">
        <w:rPr>
          <w:rFonts w:ascii="Verdana" w:eastAsia="Calibri" w:hAnsi="Verdana" w:cs="Arial"/>
          <w:lang w:val="es-ES_tradnl"/>
        </w:rPr>
        <w:t>principios</w:t>
      </w:r>
      <w:r>
        <w:rPr>
          <w:rFonts w:ascii="Verdana" w:eastAsia="Calibri" w:hAnsi="Verdana" w:cs="Arial"/>
          <w:lang w:val="es-ES_tradnl"/>
        </w:rPr>
        <w:t>”</w:t>
      </w:r>
      <w:r w:rsidRPr="000A33B7">
        <w:rPr>
          <w:rFonts w:ascii="Verdana" w:eastAsia="Calibri" w:hAnsi="Verdana" w:cs="Arial"/>
          <w:lang w:val="es-ES_tradnl"/>
        </w:rPr>
        <w:t xml:space="preserve">–. En contraste, la segunda idea implica que –además de estos– las normas generales se refieren disposiciones comunes de los contratos estatales. Ambas interpretaciones se apoyarían en el artículo 8 del reglamento autónomo que regula la contratación del artículo 355 constitucional y del artículo 96 de la Ley 489 de 1998, ya que cuando prescribe que se regirán por las </w:t>
      </w:r>
      <w:r>
        <w:rPr>
          <w:rFonts w:ascii="Verdana" w:eastAsia="Calibri" w:hAnsi="Verdana" w:cs="Arial"/>
          <w:lang w:val="es-ES_tradnl"/>
        </w:rPr>
        <w:t>“</w:t>
      </w:r>
      <w:r w:rsidRPr="000A33B7">
        <w:rPr>
          <w:rFonts w:ascii="Verdana" w:eastAsia="Calibri" w:hAnsi="Verdana" w:cs="Arial"/>
          <w:lang w:val="es-ES_tradnl"/>
        </w:rPr>
        <w:t>[…] normas generales aplicables a la contratación pública […]</w:t>
      </w:r>
      <w:r>
        <w:rPr>
          <w:rFonts w:ascii="Verdana" w:eastAsia="Calibri" w:hAnsi="Verdana" w:cs="Arial"/>
          <w:lang w:val="es-ES_tradnl"/>
        </w:rPr>
        <w:t>”</w:t>
      </w:r>
      <w:r w:rsidRPr="000A33B7">
        <w:rPr>
          <w:rFonts w:ascii="Verdana" w:eastAsia="Calibri" w:hAnsi="Verdana" w:cs="Arial"/>
          <w:lang w:val="es-ES_tradnl"/>
        </w:rPr>
        <w:t xml:space="preserve">, significaría que no es posible una remisión integra al </w:t>
      </w:r>
      <w:r w:rsidRPr="000A33B7">
        <w:rPr>
          <w:rFonts w:ascii="Verdana" w:eastAsia="Calibri" w:hAnsi="Verdana" w:cs="Arial"/>
          <w:lang w:val="es-ES_tradnl"/>
        </w:rPr>
        <w:lastRenderedPageBreak/>
        <w:t>Estatuto General, ya que habría que descartar normas especiales de determinados contratos o procesos de selección y verificar la ausencia de regulación en el Decreto 092 de 2017 para aplicar aquellas transversales a la gestión contractual.</w:t>
      </w:r>
    </w:p>
    <w:p w14:paraId="55EB72E8" w14:textId="77777777" w:rsidR="00AA4423" w:rsidRPr="000A33B7" w:rsidRDefault="00AA4423" w:rsidP="00AA4423">
      <w:pPr>
        <w:spacing w:after="120" w:line="276" w:lineRule="auto"/>
        <w:ind w:firstLine="708"/>
        <w:jc w:val="both"/>
        <w:rPr>
          <w:rFonts w:ascii="Verdana" w:eastAsia="Calibri" w:hAnsi="Verdana" w:cs="Arial"/>
          <w:lang w:val="es-ES_tradnl"/>
        </w:rPr>
      </w:pPr>
      <w:r w:rsidRPr="000A33B7">
        <w:rPr>
          <w:rFonts w:ascii="Verdana" w:eastAsia="Calibri" w:hAnsi="Verdana" w:cs="Arial"/>
          <w:lang w:val="es-ES_tradnl"/>
        </w:rPr>
        <w:t>Por lo pronto, se descarta razonablemente de que los artículos 6, 7 y 8 del Decreto 092 de 2017 tengan en mismo ámbito de aplicación –</w:t>
      </w:r>
      <w:r w:rsidRPr="000A33B7">
        <w:rPr>
          <w:rFonts w:ascii="Verdana" w:eastAsia="Calibri" w:hAnsi="Verdana" w:cs="Arial"/>
          <w:i/>
          <w:iCs/>
          <w:lang w:val="es-ES_tradnl"/>
        </w:rPr>
        <w:t>remisión parcial stricto sensu</w:t>
      </w:r>
      <w:r w:rsidRPr="000A33B7">
        <w:rPr>
          <w:rFonts w:ascii="Verdana" w:eastAsia="Calibri" w:hAnsi="Verdana" w:cs="Arial"/>
          <w:lang w:val="es-ES_tradnl"/>
        </w:rPr>
        <w:t xml:space="preserve">–, ya que esta última disposición no produciría ningún efecto útil, es decir, habría bastado la remisión a las </w:t>
      </w:r>
      <w:r>
        <w:rPr>
          <w:rFonts w:ascii="Verdana" w:eastAsia="Calibri" w:hAnsi="Verdana" w:cs="Arial"/>
          <w:lang w:val="es-ES_tradnl"/>
        </w:rPr>
        <w:t>“</w:t>
      </w:r>
      <w:r w:rsidRPr="000A33B7">
        <w:rPr>
          <w:rFonts w:ascii="Verdana" w:eastAsia="Calibri" w:hAnsi="Verdana" w:cs="Arial"/>
          <w:lang w:val="es-ES_tradnl"/>
        </w:rPr>
        <w:t>inhabilidades e incompatibilidades</w:t>
      </w:r>
      <w:r>
        <w:rPr>
          <w:rFonts w:ascii="Verdana" w:eastAsia="Calibri" w:hAnsi="Verdana" w:cs="Arial"/>
          <w:lang w:val="es-ES_tradnl"/>
        </w:rPr>
        <w:t>”</w:t>
      </w:r>
      <w:r w:rsidRPr="000A33B7">
        <w:rPr>
          <w:rFonts w:ascii="Verdana" w:eastAsia="Calibri" w:hAnsi="Verdana" w:cs="Arial"/>
          <w:lang w:val="es-ES_tradnl"/>
        </w:rPr>
        <w:t xml:space="preserve"> y a los </w:t>
      </w:r>
      <w:r>
        <w:rPr>
          <w:rFonts w:ascii="Verdana" w:eastAsia="Calibri" w:hAnsi="Verdana" w:cs="Arial"/>
          <w:lang w:val="es-ES_tradnl"/>
        </w:rPr>
        <w:t>“</w:t>
      </w:r>
      <w:r w:rsidRPr="000A33B7">
        <w:rPr>
          <w:rFonts w:ascii="Verdana" w:eastAsia="Calibri" w:hAnsi="Verdana" w:cs="Arial"/>
          <w:lang w:val="es-ES_tradnl"/>
        </w:rPr>
        <w:t>principios</w:t>
      </w:r>
      <w:r>
        <w:rPr>
          <w:rFonts w:ascii="Verdana" w:eastAsia="Calibri" w:hAnsi="Verdana" w:cs="Arial"/>
          <w:lang w:val="es-ES_tradnl"/>
        </w:rPr>
        <w:t>”</w:t>
      </w:r>
      <w:r w:rsidRPr="000A33B7">
        <w:rPr>
          <w:rFonts w:ascii="Verdana" w:eastAsia="Calibri" w:hAnsi="Verdana" w:cs="Arial"/>
          <w:lang w:val="es-ES_tradnl"/>
        </w:rPr>
        <w:t xml:space="preserve"> sin necesidad de remisiones adicionales a otras normas de contratación. Lo anterior se fundamenta en la directriz hermenéutica según la cual</w:t>
      </w:r>
      <w:r w:rsidRPr="000A33B7">
        <w:rPr>
          <w:rFonts w:ascii="Verdana" w:hAnsi="Verdana"/>
        </w:rPr>
        <w:t xml:space="preserve"> </w:t>
      </w:r>
      <w:r w:rsidRPr="000A33B7">
        <w:rPr>
          <w:rFonts w:ascii="Verdana" w:eastAsia="Calibri" w:hAnsi="Verdana" w:cs="Arial"/>
          <w:lang w:val="es-ES_tradnl"/>
        </w:rPr>
        <w:t xml:space="preserve">el sentido en el que una disposición produce efectos se prefiere sobre aquel en que no produzca efecto.       </w:t>
      </w:r>
    </w:p>
    <w:p w14:paraId="44A422A5" w14:textId="77777777" w:rsidR="00AA4423" w:rsidRPr="000A33B7" w:rsidRDefault="00AA4423" w:rsidP="00AA4423">
      <w:pPr>
        <w:spacing w:after="120" w:line="276" w:lineRule="auto"/>
        <w:ind w:firstLine="708"/>
        <w:jc w:val="both"/>
        <w:rPr>
          <w:rFonts w:ascii="Verdana" w:eastAsia="Calibri" w:hAnsi="Verdana" w:cs="Arial"/>
          <w:lang w:val="es-ES"/>
        </w:rPr>
      </w:pPr>
      <w:r w:rsidRPr="256AD556">
        <w:rPr>
          <w:rFonts w:ascii="Verdana" w:eastAsia="Calibri" w:hAnsi="Verdana" w:cs="Arial"/>
          <w:lang w:val="es-ES"/>
        </w:rPr>
        <w:t>Ahora bien, cuando el artículo 8 del decreto menciona a las “[…] normas generales aplicables a la contratación pública […]”, bien podrían referirse a las disposiciones comunes del Estatuto General –</w:t>
      </w:r>
      <w:r w:rsidRPr="256AD556">
        <w:rPr>
          <w:rFonts w:ascii="Verdana" w:eastAsia="Calibri" w:hAnsi="Verdana" w:cs="Arial"/>
          <w:i/>
          <w:lang w:val="es-ES"/>
        </w:rPr>
        <w:t xml:space="preserve">remisión parcial </w:t>
      </w:r>
      <w:proofErr w:type="spellStart"/>
      <w:r w:rsidRPr="256AD556">
        <w:rPr>
          <w:rFonts w:ascii="Verdana" w:eastAsia="Calibri" w:hAnsi="Verdana" w:cs="Arial"/>
          <w:i/>
          <w:lang w:val="es-ES"/>
        </w:rPr>
        <w:t>latu</w:t>
      </w:r>
      <w:proofErr w:type="spellEnd"/>
      <w:r w:rsidRPr="256AD556">
        <w:rPr>
          <w:rFonts w:ascii="Verdana" w:eastAsia="Calibri" w:hAnsi="Verdana" w:cs="Arial"/>
          <w:i/>
          <w:lang w:val="es-ES"/>
        </w:rPr>
        <w:t xml:space="preserve"> sensu</w:t>
      </w:r>
      <w:r w:rsidRPr="256AD556">
        <w:rPr>
          <w:rFonts w:ascii="Verdana" w:eastAsia="Calibri" w:hAnsi="Verdana" w:cs="Arial"/>
          <w:lang w:val="es-ES"/>
        </w:rPr>
        <w:t>– o a la totalidad de la Ley 80 de 1993 –</w:t>
      </w:r>
      <w:r w:rsidRPr="256AD556">
        <w:rPr>
          <w:rFonts w:ascii="Verdana" w:eastAsia="Calibri" w:hAnsi="Verdana" w:cs="Arial"/>
          <w:i/>
          <w:lang w:val="es-ES"/>
        </w:rPr>
        <w:t>remisión integral</w:t>
      </w:r>
      <w:r w:rsidRPr="256AD556">
        <w:rPr>
          <w:rFonts w:ascii="Verdana" w:eastAsia="Calibri" w:hAnsi="Verdana" w:cs="Arial"/>
          <w:lang w:val="es-ES"/>
        </w:rPr>
        <w:t xml:space="preserve">–. En esta medida, determinar el alcance de la remisión del artículo 8 del Decreto 092 requiere considerar que no hay lugar a distinguir entre normas de carácter general o especial dentro del Estatuto de Contratación de la Administración Pública, ya que de la competencia dispuesta en el inciso final del artículo 150 de la Constitución Política se desprende que todas estas disposiciones regulan con el mismo grado de generalidad la actividad contractual del Estado.     </w:t>
      </w:r>
    </w:p>
    <w:p w14:paraId="67D1F126" w14:textId="77777777" w:rsidR="00AA4423" w:rsidRPr="000A33B7" w:rsidRDefault="00AA4423" w:rsidP="00AA4423">
      <w:pPr>
        <w:spacing w:after="120" w:line="276" w:lineRule="auto"/>
        <w:ind w:firstLine="708"/>
        <w:jc w:val="both"/>
        <w:rPr>
          <w:rFonts w:ascii="Verdana" w:eastAsia="Calibri" w:hAnsi="Verdana" w:cs="Arial"/>
          <w:lang w:val="es-ES_tradnl"/>
        </w:rPr>
      </w:pPr>
      <w:r w:rsidRPr="000A33B7">
        <w:rPr>
          <w:rFonts w:ascii="Verdana" w:eastAsia="Calibri" w:hAnsi="Verdana" w:cs="Arial"/>
          <w:lang w:val="es-ES_tradnl"/>
        </w:rPr>
        <w:t xml:space="preserve">Por ello, considerando que la Ley 80 de 1993 tiene el mismo grado de generalidad, esta Subdirección concluye que el artículo 8 del Decreto 092 de 2017 </w:t>
      </w:r>
      <w:r w:rsidRPr="000A33B7">
        <w:rPr>
          <w:rFonts w:ascii="Verdana" w:eastAsia="Calibri" w:hAnsi="Verdana" w:cs="Arial"/>
          <w:i/>
          <w:iCs/>
          <w:lang w:val="es-ES_tradnl"/>
        </w:rPr>
        <w:t>remite integralmente</w:t>
      </w:r>
      <w:r w:rsidRPr="000A33B7">
        <w:rPr>
          <w:rFonts w:ascii="Verdana" w:eastAsia="Calibri" w:hAnsi="Verdana" w:cs="Arial"/>
          <w:lang w:val="es-ES_tradnl"/>
        </w:rPr>
        <w:t xml:space="preserve"> al Estatuto de Contratación. Esta remisión alcanza tanto el régimen de inhabilidades e incompatibilidades como los principios aplicables a la contratación estatal. Por tanto, los artículos 6, 7 y 8 del reglamento autónomo deben interpretarse en bloque, es decir, aplicando la Ley 80 de 1993 a todo supuesto que no esté expresamente regulado en el Decreto 092 de 2017.  </w:t>
      </w:r>
    </w:p>
    <w:bookmarkEnd w:id="13"/>
    <w:p w14:paraId="7C1D3D81" w14:textId="77777777" w:rsidR="00AA4423" w:rsidRPr="000A33B7" w:rsidRDefault="00AA4423" w:rsidP="00AA4423">
      <w:pPr>
        <w:spacing w:after="120" w:line="276" w:lineRule="auto"/>
        <w:ind w:firstLine="708"/>
        <w:jc w:val="both"/>
        <w:rPr>
          <w:rFonts w:ascii="Verdana" w:eastAsia="Calibri" w:hAnsi="Verdana" w:cs="Arial"/>
          <w:lang w:val="es-ES_tradnl"/>
        </w:rPr>
      </w:pPr>
      <w:r w:rsidRPr="000A33B7">
        <w:rPr>
          <w:rFonts w:ascii="Verdana" w:eastAsia="Calibri" w:hAnsi="Verdana" w:cs="Arial"/>
          <w:lang w:val="es-ES_tradnl"/>
        </w:rPr>
        <w:t xml:space="preserve">En esta medida, los </w:t>
      </w:r>
      <w:bookmarkStart w:id="14" w:name="_Hlk38213744"/>
      <w:r w:rsidRPr="000A33B7">
        <w:rPr>
          <w:rFonts w:ascii="Verdana" w:eastAsia="Calibri" w:hAnsi="Verdana" w:cs="Arial"/>
          <w:i/>
          <w:iCs/>
          <w:lang w:val="es-ES_tradnl"/>
        </w:rPr>
        <w:t xml:space="preserve">contratos del artículo 355 de la Constitución </w:t>
      </w:r>
      <w:r w:rsidRPr="000A33B7">
        <w:rPr>
          <w:rFonts w:ascii="Verdana" w:eastAsia="Calibri" w:hAnsi="Verdana" w:cs="Arial"/>
          <w:lang w:val="es-ES_tradnl"/>
        </w:rPr>
        <w:t xml:space="preserve">y los </w:t>
      </w:r>
      <w:r w:rsidRPr="000A33B7">
        <w:rPr>
          <w:rFonts w:ascii="Verdana" w:eastAsia="Calibri" w:hAnsi="Verdana" w:cs="Arial"/>
          <w:i/>
          <w:iCs/>
          <w:lang w:val="es-ES_tradnl"/>
        </w:rPr>
        <w:t>convenios de asociación</w:t>
      </w:r>
      <w:bookmarkEnd w:id="14"/>
      <w:r w:rsidRPr="000A33B7">
        <w:rPr>
          <w:rFonts w:ascii="Verdana" w:eastAsia="Calibri" w:hAnsi="Verdana" w:cs="Arial"/>
          <w:lang w:val="es-ES_tradnl"/>
        </w:rPr>
        <w:t xml:space="preserve"> se rigen por el decreto y las normas del Estatuto General que sean compatibles con él, como, por ejemplo, los fines de la contratación –art. 3–, los derechos y deberes del contratante y del contratista –arts. 4 y 5–, los consorcios o uniones temporales –art. 7–, el régimen de inhabilidades e </w:t>
      </w:r>
      <w:r w:rsidRPr="000A33B7">
        <w:rPr>
          <w:rFonts w:ascii="Verdana" w:eastAsia="Calibri" w:hAnsi="Verdana" w:cs="Arial"/>
          <w:lang w:val="es-ES_tradnl"/>
        </w:rPr>
        <w:lastRenderedPageBreak/>
        <w:t xml:space="preserve">incompatibilidades –art. 8–, los principios de la contratación estatal –art. 23 y ss.–, las tipologías contractuales –art. 32–, el contenido del contrato y la prohibición de adicionarlo en más del cincuenta por ciento –art. 40–, el régimen de perfeccionamiento –art. 41–, las causales de nulidad –art. 44 y ss.–, el régimen de responsabilidad contractual –art. 50 y ss.– y de liquidación de los contratos –art. 60–. </w:t>
      </w:r>
    </w:p>
    <w:p w14:paraId="08CD83FD" w14:textId="77777777" w:rsidR="00AA4423" w:rsidRDefault="00AA4423" w:rsidP="00AA4423">
      <w:pPr>
        <w:spacing w:after="0" w:line="276" w:lineRule="auto"/>
        <w:ind w:firstLine="708"/>
        <w:jc w:val="both"/>
        <w:rPr>
          <w:rFonts w:ascii="Verdana" w:eastAsia="Calibri" w:hAnsi="Verdana" w:cs="Arial"/>
          <w:lang w:val="es-ES_tradnl"/>
        </w:rPr>
      </w:pPr>
      <w:r w:rsidRPr="000A33B7">
        <w:rPr>
          <w:rFonts w:ascii="Verdana" w:eastAsia="Calibri" w:hAnsi="Verdana" w:cs="Arial"/>
          <w:lang w:val="es-ES_tradnl"/>
        </w:rPr>
        <w:t xml:space="preserve">Incluso, en ambos es posible el ejercicio de poderes exorbitantes, siempre que estén relacionados con alguna de las tipologías previstas en el artículo 14, numeral 2, de la Ley 80 de 1993. Esta precisión es importante, porque –en los términos del artículo 1495 del Código Civil– los </w:t>
      </w:r>
      <w:r w:rsidRPr="000A33B7">
        <w:rPr>
          <w:rFonts w:ascii="Verdana" w:eastAsia="Calibri" w:hAnsi="Verdana" w:cs="Arial"/>
          <w:i/>
          <w:iCs/>
          <w:lang w:val="es-ES_tradnl"/>
        </w:rPr>
        <w:t xml:space="preserve">contratos del artículo 355 de la Constitución </w:t>
      </w:r>
      <w:r w:rsidRPr="000A33B7">
        <w:rPr>
          <w:rFonts w:ascii="Verdana" w:eastAsia="Calibri" w:hAnsi="Verdana" w:cs="Arial"/>
          <w:lang w:val="es-ES_tradnl"/>
        </w:rPr>
        <w:t xml:space="preserve">o los </w:t>
      </w:r>
      <w:r w:rsidRPr="000A33B7">
        <w:rPr>
          <w:rFonts w:ascii="Verdana" w:eastAsia="Calibri" w:hAnsi="Verdana" w:cs="Arial"/>
          <w:i/>
          <w:iCs/>
          <w:lang w:val="es-ES_tradnl"/>
        </w:rPr>
        <w:t>convenios de asociación</w:t>
      </w:r>
      <w:r w:rsidRPr="000A33B7">
        <w:rPr>
          <w:rFonts w:ascii="Verdana" w:eastAsia="Calibri" w:hAnsi="Verdana" w:cs="Arial"/>
          <w:lang w:val="es-ES_tradnl"/>
        </w:rPr>
        <w:t xml:space="preserve"> no son tipologías contractuales, sino acuerdos de voluntades para producir obligaciones. Si bien el Decreto 092 de 2017 define los sujetos y la causa del contrato, la tipología contractual se establece en función del objeto como uno de los elementos de la esencia del negocio jurídico, pues sin él no existe o degenera en otro</w:t>
      </w:r>
      <w:r w:rsidRPr="000A33B7">
        <w:rPr>
          <w:rStyle w:val="Refdenotaalpie"/>
          <w:rFonts w:ascii="Verdana" w:eastAsia="Calibri" w:hAnsi="Verdana" w:cs="Arial"/>
          <w:lang w:val="es-ES_tradnl"/>
        </w:rPr>
        <w:footnoteReference w:id="8"/>
      </w:r>
      <w:r w:rsidRPr="000A33B7">
        <w:rPr>
          <w:rFonts w:ascii="Verdana" w:eastAsia="Calibri" w:hAnsi="Verdana" w:cs="Arial"/>
          <w:lang w:val="es-ES_tradnl"/>
        </w:rPr>
        <w:t>.</w:t>
      </w:r>
    </w:p>
    <w:p w14:paraId="4F4D39A1" w14:textId="77777777" w:rsidR="00AA4423" w:rsidRDefault="00AA4423" w:rsidP="00AA4423">
      <w:pPr>
        <w:spacing w:after="0" w:line="276" w:lineRule="auto"/>
        <w:jc w:val="both"/>
        <w:rPr>
          <w:rFonts w:ascii="Verdana" w:eastAsia="Calibri" w:hAnsi="Verdana" w:cs="Arial"/>
          <w:lang w:val="es-ES_tradnl"/>
        </w:rPr>
      </w:pPr>
    </w:p>
    <w:p w14:paraId="60A8C295" w14:textId="77777777" w:rsidR="00AA4423" w:rsidRPr="00992D2E" w:rsidRDefault="00AA4423" w:rsidP="00AA4423">
      <w:pPr>
        <w:spacing w:after="0" w:line="276" w:lineRule="auto"/>
        <w:jc w:val="both"/>
        <w:rPr>
          <w:rFonts w:ascii="Verdana" w:eastAsia="Calibri" w:hAnsi="Verdana" w:cs="Arial"/>
          <w:lang w:val="es-ES_tradnl"/>
        </w:rPr>
      </w:pPr>
      <w:proofErr w:type="spellStart"/>
      <w:r>
        <w:rPr>
          <w:rFonts w:ascii="Verdana" w:eastAsia="Calibri" w:hAnsi="Verdana" w:cs="Arial"/>
          <w:lang w:val="es-ES_tradnl"/>
        </w:rPr>
        <w:t>iii</w:t>
      </w:r>
      <w:proofErr w:type="spellEnd"/>
      <w:r>
        <w:rPr>
          <w:rFonts w:ascii="Verdana" w:eastAsia="Calibri" w:hAnsi="Verdana" w:cs="Arial"/>
          <w:lang w:val="es-ES_tradnl"/>
        </w:rPr>
        <w:t>. De</w:t>
      </w:r>
      <w:r w:rsidRPr="004E30F3">
        <w:rPr>
          <w:rFonts w:ascii="Verdana" w:eastAsia="Calibri" w:hAnsi="Verdana" w:cs="Arial"/>
          <w:color w:val="000000"/>
          <w:lang w:val="es-ES_tradnl"/>
        </w:rPr>
        <w:t xml:space="preserve"> acuerdo con el Estatuto General de Contratación</w:t>
      </w:r>
      <w:r>
        <w:rPr>
          <w:rFonts w:ascii="Verdana" w:eastAsia="Calibri" w:hAnsi="Verdana" w:cs="Arial"/>
          <w:color w:val="000000"/>
          <w:lang w:val="es-ES_tradnl"/>
        </w:rPr>
        <w:t>,</w:t>
      </w:r>
      <w:r w:rsidRPr="004E30F3">
        <w:rPr>
          <w:rFonts w:ascii="Verdana" w:eastAsia="Calibri" w:hAnsi="Verdana" w:cs="Arial"/>
          <w:color w:val="000000" w:themeColor="text1"/>
          <w:lang w:val="es-ES_tradnl"/>
        </w:rPr>
        <w:t xml:space="preserve"> </w:t>
      </w:r>
      <w:r w:rsidRPr="004E30F3">
        <w:rPr>
          <w:rFonts w:ascii="Verdana" w:eastAsia="Calibri" w:hAnsi="Verdana" w:cs="Arial"/>
          <w:color w:val="000000" w:themeColor="text1"/>
          <w:lang w:val="es-ES"/>
        </w:rPr>
        <w:t>para seleccionar los contratistas y para ejecutar los contratos se requiere la constitución de garantías</w:t>
      </w:r>
      <w:r>
        <w:rPr>
          <w:rFonts w:ascii="Verdana" w:eastAsia="Calibri" w:hAnsi="Verdana" w:cs="Arial"/>
          <w:color w:val="000000" w:themeColor="text1"/>
          <w:lang w:val="es-ES"/>
        </w:rPr>
        <w:t xml:space="preserve"> como regla general</w:t>
      </w:r>
      <w:r w:rsidRPr="004E30F3">
        <w:rPr>
          <w:rFonts w:ascii="Verdana" w:eastAsia="Calibri" w:hAnsi="Verdana" w:cs="Arial"/>
          <w:color w:val="000000" w:themeColor="text1"/>
          <w:lang w:val="es-ES_tradnl"/>
        </w:rPr>
        <w:t>. Por ello, 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 Esta norma dispone lo siguiente:</w:t>
      </w:r>
    </w:p>
    <w:p w14:paraId="453DB9F3" w14:textId="77777777" w:rsidR="00AA4423" w:rsidRPr="004E30F3" w:rsidRDefault="00AA4423" w:rsidP="00AA4423">
      <w:pPr>
        <w:spacing w:after="0" w:line="276" w:lineRule="auto"/>
        <w:ind w:firstLine="708"/>
        <w:jc w:val="both"/>
        <w:rPr>
          <w:rFonts w:ascii="Verdana" w:hAnsi="Verdana" w:cs="Arial"/>
          <w:color w:val="000000" w:themeColor="text1"/>
          <w:lang w:eastAsia="es-CO"/>
        </w:rPr>
      </w:pPr>
    </w:p>
    <w:p w14:paraId="6C1387BA" w14:textId="77777777" w:rsidR="00AA4423" w:rsidRPr="00E92DA5" w:rsidRDefault="00AA4423" w:rsidP="00AA4423">
      <w:pPr>
        <w:spacing w:after="120" w:line="240" w:lineRule="auto"/>
        <w:ind w:left="709" w:right="709"/>
        <w:jc w:val="both"/>
        <w:rPr>
          <w:rFonts w:ascii="Verdana" w:hAnsi="Verdana" w:cs="Arial"/>
          <w:color w:val="000000" w:themeColor="text1"/>
          <w:sz w:val="20"/>
          <w:szCs w:val="20"/>
          <w:lang w:eastAsia="es-CO"/>
        </w:rPr>
      </w:pPr>
      <w:r w:rsidRPr="00E92DA5">
        <w:rPr>
          <w:rFonts w:ascii="Verdana" w:hAnsi="Verdana" w:cs="Arial"/>
          <w:color w:val="000000" w:themeColor="text1"/>
          <w:sz w:val="20"/>
          <w:szCs w:val="20"/>
          <w:lang w:eastAsia="es-CO"/>
        </w:rPr>
        <w:t>“Artículo 7. Los contratistas prestarán garantía única para el cumplimiento de las obligaciones surgidas del contrato. Los proponentes prestarán garantía de seriedad de los ofrecimientos hechos. </w:t>
      </w:r>
    </w:p>
    <w:p w14:paraId="444ACC5A" w14:textId="77777777" w:rsidR="00AA4423" w:rsidRPr="00E92DA5" w:rsidRDefault="00AA4423" w:rsidP="00AA4423">
      <w:pPr>
        <w:spacing w:after="120" w:line="240" w:lineRule="auto"/>
        <w:ind w:left="709" w:right="709"/>
        <w:jc w:val="both"/>
        <w:rPr>
          <w:rFonts w:ascii="Verdana" w:hAnsi="Verdana" w:cs="Arial"/>
          <w:color w:val="000000" w:themeColor="text1"/>
          <w:sz w:val="20"/>
          <w:szCs w:val="20"/>
          <w:lang w:eastAsia="es-CO"/>
        </w:rPr>
      </w:pPr>
      <w:r w:rsidRPr="00E92DA5">
        <w:rPr>
          <w:rFonts w:ascii="Verdana" w:hAnsi="Verdana" w:cs="Arial"/>
          <w:color w:val="000000" w:themeColor="text1"/>
          <w:sz w:val="20"/>
          <w:szCs w:val="20"/>
          <w:lang w:eastAsia="es-CO"/>
        </w:rPr>
        <w:t xml:space="preserve">Las garantías consistirán en pólizas expedidas por compañías de seguros legalmente autorizadas para funcionar en Colombia, en garantías bancarias y en general, en los demás mecanismos de cobertura del riesgo autorizados por el reglamento para el efecto. Tratándose de pólizas, las </w:t>
      </w:r>
      <w:r w:rsidRPr="00E92DA5">
        <w:rPr>
          <w:rFonts w:ascii="Verdana" w:hAnsi="Verdana" w:cs="Arial"/>
          <w:color w:val="000000" w:themeColor="text1"/>
          <w:sz w:val="20"/>
          <w:szCs w:val="20"/>
          <w:lang w:eastAsia="es-CO"/>
        </w:rPr>
        <w:lastRenderedPageBreak/>
        <w:t>mismas no expirarán por falta de pago de la prima o por revocatoria unilateral. El Gobierno Nacional señalará las condiciones generales que deberán ser incluidas en las pólizas de cumplimiento de los contratos estatales. </w:t>
      </w:r>
    </w:p>
    <w:p w14:paraId="048E7430" w14:textId="77777777" w:rsidR="00AA4423" w:rsidRPr="00E92DA5" w:rsidRDefault="00AA4423" w:rsidP="00AA4423">
      <w:pPr>
        <w:spacing w:after="120" w:line="240" w:lineRule="auto"/>
        <w:ind w:left="709" w:right="709"/>
        <w:jc w:val="both"/>
        <w:rPr>
          <w:rFonts w:ascii="Verdana" w:hAnsi="Verdana" w:cs="Arial"/>
          <w:color w:val="000000" w:themeColor="text1"/>
          <w:sz w:val="20"/>
          <w:szCs w:val="20"/>
          <w:lang w:eastAsia="es-CO"/>
        </w:rPr>
      </w:pPr>
      <w:r w:rsidRPr="00E92DA5">
        <w:rPr>
          <w:rFonts w:ascii="Verdana" w:hAnsi="Verdana" w:cs="Arial"/>
          <w:color w:val="000000" w:themeColor="text1"/>
          <w:sz w:val="20"/>
          <w:szCs w:val="20"/>
          <w:lang w:eastAsia="es-CO"/>
        </w:rPr>
        <w:t>El Gobierno Nacional señalará los criterios que seguirán las entidades para la exigencia de garantías, las clases y niveles de amparo de los riesgos de los contratos, así como los casos en que por las características y complejidad del contrato a celebrar, la garantía pueda ser dividida teniendo en cuenta las etapas o riesgos relativos a la ejecución del respectivo contrato. </w:t>
      </w:r>
    </w:p>
    <w:p w14:paraId="680C0098" w14:textId="77777777" w:rsidR="00AA4423" w:rsidRPr="00E92DA5" w:rsidRDefault="00AA4423" w:rsidP="00AA4423">
      <w:pPr>
        <w:spacing w:after="120" w:line="240" w:lineRule="auto"/>
        <w:ind w:left="709" w:right="709"/>
        <w:jc w:val="both"/>
        <w:rPr>
          <w:rFonts w:ascii="Verdana" w:hAnsi="Verdana" w:cs="Arial"/>
          <w:color w:val="000000" w:themeColor="text1"/>
          <w:sz w:val="20"/>
          <w:szCs w:val="20"/>
          <w:lang w:eastAsia="es-CO"/>
        </w:rPr>
      </w:pPr>
      <w:r w:rsidRPr="00E92DA5">
        <w:rPr>
          <w:rFonts w:ascii="Verdana" w:hAnsi="Verdana" w:cs="Arial"/>
          <w:color w:val="000000" w:themeColor="text1"/>
          <w:sz w:val="20"/>
          <w:szCs w:val="20"/>
          <w:lang w:eastAsia="es-CO"/>
        </w:rPr>
        <w:t>El acaecimiento del siniestro que amparan las garantías será comunicado por la entidad pública al respectivo asegurador mediante la notificación del acto administrativo que así lo declare. </w:t>
      </w:r>
    </w:p>
    <w:p w14:paraId="2F7FB909" w14:textId="77777777" w:rsidR="00AA4423" w:rsidRPr="004E30F3" w:rsidRDefault="00AA4423" w:rsidP="00AA4423">
      <w:pPr>
        <w:spacing w:after="0" w:line="240" w:lineRule="auto"/>
        <w:ind w:left="709" w:right="709"/>
        <w:jc w:val="both"/>
        <w:rPr>
          <w:rFonts w:ascii="Verdana" w:hAnsi="Verdana" w:cs="Arial"/>
          <w:color w:val="000000" w:themeColor="text1"/>
          <w:sz w:val="21"/>
          <w:szCs w:val="21"/>
          <w:lang w:eastAsia="es-CO"/>
        </w:rPr>
      </w:pPr>
      <w:r w:rsidRPr="00E92DA5">
        <w:rPr>
          <w:rFonts w:ascii="Verdana" w:hAnsi="Verdana" w:cs="Arial"/>
          <w:color w:val="000000" w:themeColor="text1"/>
          <w:sz w:val="20"/>
          <w:szCs w:val="20"/>
          <w:lang w:eastAsia="es-CO"/>
        </w:rPr>
        <w:t>Las garantías no serán obligatorias en los contratos de empréstito, en los interadministrativos, en los de seguro y en los contratos cuyo valor sea inferior al 10% de la menor cuantía a que se refiere esta ley, caso en el cual corresponderá a la entidad determinar la necesidad de exigirla, atendiendo a la naturaleza del objeto del contrato y a la forma de pago, así como en los demás que señale el reglamento”.</w:t>
      </w:r>
    </w:p>
    <w:p w14:paraId="51EA64BC" w14:textId="77777777" w:rsidR="00AA4423" w:rsidRPr="004E30F3" w:rsidRDefault="00AA4423" w:rsidP="00AA4423">
      <w:pPr>
        <w:spacing w:after="0" w:line="276" w:lineRule="auto"/>
        <w:ind w:left="709" w:right="709"/>
        <w:jc w:val="both"/>
        <w:rPr>
          <w:rFonts w:ascii="Verdana" w:hAnsi="Verdana" w:cs="Arial"/>
          <w:color w:val="000000" w:themeColor="text1"/>
          <w:lang w:eastAsia="es-CO"/>
        </w:rPr>
      </w:pPr>
    </w:p>
    <w:p w14:paraId="282771AA" w14:textId="77777777" w:rsidR="00AA4423" w:rsidRPr="00CA6FDA" w:rsidRDefault="00AA4423" w:rsidP="00AA4423">
      <w:pPr>
        <w:spacing w:after="0" w:line="276" w:lineRule="auto"/>
        <w:ind w:firstLine="708"/>
        <w:jc w:val="both"/>
        <w:rPr>
          <w:rFonts w:ascii="Verdana" w:eastAsia="Calibri" w:hAnsi="Verdana" w:cs="Arial"/>
          <w:color w:val="000000" w:themeColor="text1"/>
          <w:lang w:val="es-ES"/>
        </w:rPr>
      </w:pPr>
      <w:bookmarkStart w:id="15" w:name="_Hlk47893233"/>
      <w:r w:rsidRPr="00CA6FDA">
        <w:rPr>
          <w:rFonts w:ascii="Verdana" w:hAnsi="Verdana" w:cs="Arial"/>
          <w:color w:val="000000"/>
          <w:shd w:val="clear" w:color="auto" w:fill="FFFFFF"/>
        </w:rPr>
        <w:t>Por un lado, l</w:t>
      </w:r>
      <w:r w:rsidRPr="00CA6FDA">
        <w:rPr>
          <w:rFonts w:ascii="Verdana" w:eastAsia="Calibri" w:hAnsi="Verdana" w:cs="Arial"/>
          <w:color w:val="000000" w:themeColor="text1"/>
          <w:lang w:val="es-ES"/>
        </w:rPr>
        <w:t xml:space="preserve">a </w:t>
      </w:r>
      <w:r w:rsidRPr="00CA6FDA">
        <w:rPr>
          <w:rFonts w:ascii="Verdana" w:eastAsia="Calibri" w:hAnsi="Verdana" w:cs="Arial"/>
          <w:i/>
          <w:iCs/>
          <w:color w:val="000000" w:themeColor="text1"/>
          <w:lang w:val="es-ES"/>
        </w:rPr>
        <w:t>garantía de seriedad</w:t>
      </w:r>
      <w:r w:rsidRPr="00CA6FDA">
        <w:rPr>
          <w:rFonts w:ascii="Verdana" w:eastAsia="Calibri" w:hAnsi="Verdana" w:cs="Arial"/>
          <w:color w:val="000000" w:themeColor="text1"/>
          <w:lang w:val="es-ES"/>
        </w:rPr>
        <w:t xml:space="preserve"> respalda al principio de irrevocabilidad de la oferta, caso en el cual los proponentes que pierdan interés en la adjudicación resarcirán los perjuicios causados por su retiro del proceso de selección. Naturalmente, esta garantía solo la constituyen quienes presenten las propuestas, motivo por el cual sus efectos no se extienden a personas ajenas a la actividad precontractual; </w:t>
      </w:r>
      <w:r>
        <w:rPr>
          <w:rFonts w:ascii="Verdana" w:eastAsia="Calibri" w:hAnsi="Verdana" w:cs="Arial"/>
          <w:color w:val="000000" w:themeColor="text1"/>
          <w:lang w:val="es-ES"/>
        </w:rPr>
        <w:t xml:space="preserve">ello </w:t>
      </w:r>
      <w:r w:rsidRPr="00CA6FDA">
        <w:rPr>
          <w:rFonts w:ascii="Verdana" w:eastAsia="Calibri" w:hAnsi="Verdana" w:cs="Arial"/>
          <w:color w:val="000000" w:themeColor="text1"/>
          <w:lang w:val="es-ES"/>
        </w:rPr>
        <w:t>sin perjuicio de que la póliza sea un mecanismo conminatorio, en la medida en que obliga a celebrar el contrato, so pena de hacerla efectiva. De esta manera, la exigencia permite que solo se presenten personas con la capacidad técnica y financiera suficiente para ejecutarlo en caso de adjudicación, desestimulando la presentación de ofertas que no son serias, cuya evaluación entorpece la buena marcha de la Administración, y en especial la celeridad y eficiencia de los procedimientos contractuales</w:t>
      </w:r>
      <w:bookmarkEnd w:id="15"/>
      <w:r w:rsidRPr="00CA6FDA">
        <w:rPr>
          <w:rStyle w:val="Refdenotaalpie"/>
          <w:rFonts w:ascii="Verdana" w:eastAsia="Calibri" w:hAnsi="Verdana" w:cs="Arial"/>
          <w:color w:val="000000" w:themeColor="text1"/>
        </w:rPr>
        <w:footnoteReference w:id="9"/>
      </w:r>
      <w:r w:rsidRPr="00CA6FDA">
        <w:rPr>
          <w:rFonts w:ascii="Verdana" w:eastAsia="Calibri" w:hAnsi="Verdana" w:cs="Arial"/>
          <w:color w:val="000000" w:themeColor="text1"/>
          <w:lang w:val="es-ES"/>
        </w:rPr>
        <w:t>. Sobre este aspecto, la doctrina explica que:</w:t>
      </w:r>
    </w:p>
    <w:p w14:paraId="0C4059C8" w14:textId="77777777" w:rsidR="00AA4423" w:rsidRPr="00CA6FDA" w:rsidRDefault="00AA4423" w:rsidP="00AA4423">
      <w:pPr>
        <w:spacing w:after="0" w:line="276" w:lineRule="auto"/>
        <w:jc w:val="both"/>
        <w:rPr>
          <w:rFonts w:ascii="Verdana" w:eastAsia="Calibri" w:hAnsi="Verdana" w:cs="Arial"/>
          <w:color w:val="000000" w:themeColor="text1"/>
          <w:lang w:val="es-ES"/>
        </w:rPr>
      </w:pPr>
    </w:p>
    <w:p w14:paraId="1BC10B06" w14:textId="77777777" w:rsidR="00AA4423" w:rsidRPr="00E92DA5" w:rsidRDefault="00AA4423" w:rsidP="00AA4423">
      <w:pPr>
        <w:spacing w:after="0" w:line="240" w:lineRule="auto"/>
        <w:ind w:left="709" w:right="709"/>
        <w:jc w:val="both"/>
        <w:rPr>
          <w:rFonts w:ascii="Verdana" w:eastAsia="Calibri" w:hAnsi="Verdana" w:cs="Arial"/>
          <w:color w:val="000000" w:themeColor="text1"/>
          <w:sz w:val="20"/>
          <w:szCs w:val="20"/>
          <w:lang w:val="es-ES"/>
        </w:rPr>
      </w:pPr>
      <w:r w:rsidRPr="00E92DA5">
        <w:rPr>
          <w:rFonts w:ascii="Verdana" w:eastAsia="Calibri" w:hAnsi="Verdana" w:cs="Arial"/>
          <w:color w:val="000000" w:themeColor="text1"/>
          <w:sz w:val="20"/>
          <w:szCs w:val="20"/>
          <w:lang w:val="es-ES"/>
        </w:rPr>
        <w:t xml:space="preserve">“Las </w:t>
      </w:r>
      <w:r w:rsidRPr="00E92DA5">
        <w:rPr>
          <w:rFonts w:ascii="Verdana" w:eastAsia="Calibri" w:hAnsi="Verdana" w:cs="Arial"/>
          <w:i/>
          <w:iCs/>
          <w:color w:val="000000" w:themeColor="text1"/>
          <w:sz w:val="20"/>
          <w:szCs w:val="20"/>
          <w:lang w:val="es-ES"/>
        </w:rPr>
        <w:t>garantías provisionales</w:t>
      </w:r>
      <w:r w:rsidRPr="00E92DA5">
        <w:rPr>
          <w:rFonts w:ascii="Verdana" w:eastAsia="Calibri" w:hAnsi="Verdana" w:cs="Arial"/>
          <w:color w:val="000000" w:themeColor="text1"/>
          <w:sz w:val="20"/>
          <w:szCs w:val="20"/>
          <w:lang w:val="es-ES"/>
        </w:rPr>
        <w:t xml:space="preserve"> ‘avalan la solemnidad de la oferta por parte del contratista’; constituyen una seña pre-contractual destinada a </w:t>
      </w:r>
      <w:r w:rsidRPr="00E92DA5">
        <w:rPr>
          <w:rFonts w:ascii="Verdana" w:eastAsia="Calibri" w:hAnsi="Verdana" w:cs="Arial"/>
          <w:i/>
          <w:iCs/>
          <w:color w:val="000000" w:themeColor="text1"/>
          <w:sz w:val="20"/>
          <w:szCs w:val="20"/>
          <w:lang w:val="es-ES"/>
        </w:rPr>
        <w:t>asegurar la celebración del contrato</w:t>
      </w:r>
      <w:r w:rsidRPr="00E92DA5">
        <w:rPr>
          <w:rFonts w:ascii="Verdana" w:eastAsia="Calibri" w:hAnsi="Verdana" w:cs="Arial"/>
          <w:color w:val="000000" w:themeColor="text1"/>
          <w:sz w:val="20"/>
          <w:szCs w:val="20"/>
          <w:lang w:val="es-ES"/>
        </w:rPr>
        <w:t xml:space="preserve">, no su cumplimiento. La administración procede a devolver a los oferentes no adjudicatarios, y a </w:t>
      </w:r>
      <w:r w:rsidRPr="00E92DA5">
        <w:rPr>
          <w:rFonts w:ascii="Verdana" w:eastAsia="Calibri" w:hAnsi="Verdana" w:cs="Arial"/>
          <w:color w:val="000000" w:themeColor="text1"/>
          <w:sz w:val="20"/>
          <w:szCs w:val="20"/>
          <w:lang w:val="es-ES"/>
        </w:rPr>
        <w:lastRenderedPageBreak/>
        <w:t xml:space="preserve">transformar en definitiva respecto al adjudicatario, las garantías provisionales, deduciéndose entonces que las </w:t>
      </w:r>
      <w:r w:rsidRPr="00E92DA5">
        <w:rPr>
          <w:rFonts w:ascii="Verdana" w:eastAsia="Calibri" w:hAnsi="Verdana" w:cs="Arial"/>
          <w:i/>
          <w:iCs/>
          <w:color w:val="000000" w:themeColor="text1"/>
          <w:sz w:val="20"/>
          <w:szCs w:val="20"/>
          <w:lang w:val="es-ES"/>
        </w:rPr>
        <w:t>arras</w:t>
      </w:r>
      <w:r w:rsidRPr="00E92DA5">
        <w:rPr>
          <w:rFonts w:ascii="Verdana" w:eastAsia="Calibri" w:hAnsi="Verdana" w:cs="Arial"/>
          <w:color w:val="000000" w:themeColor="text1"/>
          <w:sz w:val="20"/>
          <w:szCs w:val="20"/>
          <w:lang w:val="es-ES"/>
        </w:rPr>
        <w:t xml:space="preserve"> no forman parte del precio, ni son por tanto arras confirmatorias […], sino puramente penitenciales […] como garantías y compensación del </w:t>
      </w:r>
      <w:r w:rsidRPr="00E92DA5">
        <w:rPr>
          <w:rFonts w:ascii="Verdana" w:eastAsia="Calibri" w:hAnsi="Verdana" w:cs="Arial"/>
          <w:i/>
          <w:iCs/>
          <w:color w:val="000000" w:themeColor="text1"/>
          <w:sz w:val="20"/>
          <w:szCs w:val="20"/>
          <w:lang w:val="es-ES"/>
        </w:rPr>
        <w:t xml:space="preserve">ius </w:t>
      </w:r>
      <w:proofErr w:type="spellStart"/>
      <w:r w:rsidRPr="00E92DA5">
        <w:rPr>
          <w:rFonts w:ascii="Verdana" w:eastAsia="Calibri" w:hAnsi="Verdana" w:cs="Arial"/>
          <w:i/>
          <w:iCs/>
          <w:color w:val="000000" w:themeColor="text1"/>
          <w:sz w:val="20"/>
          <w:szCs w:val="20"/>
          <w:lang w:val="es-ES"/>
        </w:rPr>
        <w:t>poenitendi</w:t>
      </w:r>
      <w:proofErr w:type="spellEnd"/>
      <w:r w:rsidRPr="00E92DA5">
        <w:rPr>
          <w:rFonts w:ascii="Verdana" w:eastAsia="Calibri" w:hAnsi="Verdana" w:cs="Arial"/>
          <w:color w:val="000000" w:themeColor="text1"/>
          <w:sz w:val="20"/>
          <w:szCs w:val="20"/>
          <w:lang w:val="es-ES"/>
        </w:rPr>
        <w:t xml:space="preserve"> del licitante. Son, en consecuencia, ‘la medida de la responsabilidad pre-contractual del oferente’; o, más bien, la garantía de oferta representa en definitiva la medida de la responsabilidad”</w:t>
      </w:r>
      <w:r w:rsidRPr="00E92DA5">
        <w:rPr>
          <w:rStyle w:val="Refdenotaalpie"/>
          <w:rFonts w:ascii="Verdana" w:eastAsia="Calibri" w:hAnsi="Verdana" w:cs="Arial"/>
          <w:color w:val="000000" w:themeColor="text1"/>
          <w:sz w:val="20"/>
          <w:szCs w:val="20"/>
        </w:rPr>
        <w:footnoteReference w:id="10"/>
      </w:r>
      <w:r w:rsidRPr="00E92DA5">
        <w:rPr>
          <w:rFonts w:ascii="Verdana" w:eastAsia="Calibri" w:hAnsi="Verdana" w:cs="Arial"/>
          <w:color w:val="000000" w:themeColor="text1"/>
          <w:sz w:val="20"/>
          <w:szCs w:val="20"/>
          <w:lang w:val="es-ES"/>
        </w:rPr>
        <w:t xml:space="preserve">. (Cursivas dentro del texto)   </w:t>
      </w:r>
    </w:p>
    <w:p w14:paraId="57D0B5F4" w14:textId="77777777" w:rsidR="00AA4423" w:rsidRPr="00CA6FDA" w:rsidRDefault="00AA4423" w:rsidP="00AA4423">
      <w:pPr>
        <w:spacing w:after="0" w:line="276" w:lineRule="auto"/>
        <w:jc w:val="both"/>
        <w:rPr>
          <w:rFonts w:ascii="Verdana" w:eastAsia="Calibri" w:hAnsi="Verdana" w:cs="Arial"/>
          <w:color w:val="000000" w:themeColor="text1"/>
          <w:lang w:val="es-ES"/>
        </w:rPr>
      </w:pPr>
    </w:p>
    <w:p w14:paraId="7CE12422" w14:textId="77777777" w:rsidR="00AA4423" w:rsidRPr="00CA6FDA" w:rsidRDefault="00AA4423" w:rsidP="00AA4423">
      <w:pPr>
        <w:spacing w:after="120" w:line="276" w:lineRule="auto"/>
        <w:ind w:firstLine="709"/>
        <w:jc w:val="both"/>
        <w:rPr>
          <w:rFonts w:ascii="Verdana" w:eastAsia="Calibri" w:hAnsi="Verdana" w:cs="Arial"/>
          <w:color w:val="000000" w:themeColor="text1"/>
          <w:lang w:val="es-ES"/>
        </w:rPr>
      </w:pPr>
      <w:r w:rsidRPr="00CA6FDA">
        <w:rPr>
          <w:rFonts w:ascii="Verdana" w:eastAsia="Calibri" w:hAnsi="Verdana" w:cs="Arial"/>
          <w:color w:val="000000" w:themeColor="text1"/>
          <w:lang w:val="es-ES"/>
        </w:rPr>
        <w:t xml:space="preserve">En contraste, mediante la </w:t>
      </w:r>
      <w:r w:rsidRPr="00CA6FDA">
        <w:rPr>
          <w:rFonts w:ascii="Verdana" w:eastAsia="Calibri" w:hAnsi="Verdana" w:cs="Arial"/>
          <w:i/>
          <w:iCs/>
          <w:color w:val="000000" w:themeColor="text1"/>
          <w:lang w:val="es-ES"/>
        </w:rPr>
        <w:t>garantía de única de cumplimiento</w:t>
      </w:r>
      <w:r w:rsidRPr="00CA6FDA">
        <w:rPr>
          <w:rFonts w:ascii="Verdana" w:eastAsia="Calibri" w:hAnsi="Verdana" w:cs="Arial"/>
          <w:color w:val="000000" w:themeColor="text1"/>
          <w:lang w:val="es-ES"/>
        </w:rPr>
        <w:t>, el contratista ampara los perjuicios que le pueda generar a la entidad el incumplimiento de las obligaciones derivadas del contrato</w:t>
      </w:r>
      <w:r w:rsidRPr="00CA6FDA">
        <w:rPr>
          <w:rStyle w:val="Refdenotaalpie"/>
          <w:rFonts w:ascii="Verdana" w:eastAsia="Calibri" w:hAnsi="Verdana" w:cs="Arial"/>
          <w:color w:val="000000" w:themeColor="text1"/>
        </w:rPr>
        <w:footnoteReference w:id="11"/>
      </w:r>
      <w:r w:rsidRPr="00CA6FDA">
        <w:rPr>
          <w:rFonts w:ascii="Verdana" w:eastAsia="Calibri" w:hAnsi="Verdana" w:cs="Arial"/>
          <w:color w:val="000000" w:themeColor="text1"/>
          <w:lang w:val="es-ES"/>
        </w:rPr>
        <w:t xml:space="preserve">. En esta medida, tienen como objetivo reparar los perjuicios causados por conductas atribuibles al contratista, por lo que estos últimos son un presupuesto necesario para el pago que cubre la garantía. </w:t>
      </w:r>
      <w:r w:rsidRPr="00CA6FDA">
        <w:rPr>
          <w:rFonts w:ascii="Verdana" w:hAnsi="Verdana" w:cs="Arial"/>
          <w:color w:val="000000" w:themeColor="text1"/>
          <w:lang w:val="es-ES_tradnl"/>
        </w:rPr>
        <w:t>Para estos efectos es única, ya que “[…] La prioridad […] es que no haya garantías separadas para los diferentes riesgos, aunque existan varias garantías para diferentes proporciones del interés asegurado […]”</w:t>
      </w:r>
      <w:r w:rsidRPr="00CA6FDA">
        <w:rPr>
          <w:rStyle w:val="Refdenotaalpie"/>
          <w:rFonts w:ascii="Verdana" w:hAnsi="Verdana" w:cs="Arial"/>
          <w:color w:val="000000" w:themeColor="text1"/>
          <w:lang w:val="es-ES_tradnl"/>
        </w:rPr>
        <w:footnoteReference w:id="12"/>
      </w:r>
      <w:r w:rsidRPr="00CA6FDA">
        <w:rPr>
          <w:rFonts w:ascii="Verdana" w:hAnsi="Verdana" w:cs="Arial"/>
          <w:color w:val="000000" w:themeColor="text1"/>
          <w:lang w:val="es-ES_tradnl"/>
        </w:rPr>
        <w:t xml:space="preserve">.    </w:t>
      </w:r>
    </w:p>
    <w:p w14:paraId="64342C07" w14:textId="77777777" w:rsidR="00AA4423" w:rsidRPr="00CA6FDA" w:rsidRDefault="00AA4423" w:rsidP="00AA4423">
      <w:pPr>
        <w:spacing w:after="120" w:line="276" w:lineRule="auto"/>
        <w:ind w:firstLine="708"/>
        <w:jc w:val="both"/>
        <w:rPr>
          <w:rFonts w:ascii="Verdana" w:hAnsi="Verdana" w:cs="Arial"/>
          <w:color w:val="000000" w:themeColor="text1"/>
          <w:lang w:val="es-ES"/>
        </w:rPr>
      </w:pPr>
      <w:r w:rsidRPr="256AD556">
        <w:rPr>
          <w:rFonts w:ascii="Verdana" w:hAnsi="Verdana" w:cs="Arial"/>
          <w:color w:val="000000" w:themeColor="text1"/>
          <w:lang w:val="es-ES"/>
        </w:rPr>
        <w:t xml:space="preserve">Ambas garantías constituyen una obligación de seguridad, es decir, aquella donde el interés del acreedor no consiste en una utilidad específica y tangible, sino en la tranquilidad frente a ciertos riesgos por la cobertura de sus consecuencias nocivas. Conforme al inciso segundo del artículo 7 de la Ley 1150 de 2007, pueden otorgarse a través de: i) contratos de seguro, </w:t>
      </w:r>
      <w:proofErr w:type="spellStart"/>
      <w:r w:rsidRPr="256AD556">
        <w:rPr>
          <w:rFonts w:ascii="Verdana" w:hAnsi="Verdana" w:cs="Arial"/>
          <w:color w:val="000000" w:themeColor="text1"/>
          <w:lang w:val="es-ES"/>
        </w:rPr>
        <w:t>ii</w:t>
      </w:r>
      <w:proofErr w:type="spellEnd"/>
      <w:r w:rsidRPr="256AD556">
        <w:rPr>
          <w:rFonts w:ascii="Verdana" w:hAnsi="Verdana" w:cs="Arial"/>
          <w:color w:val="000000" w:themeColor="text1"/>
          <w:lang w:val="es-ES"/>
        </w:rPr>
        <w:t xml:space="preserve">) garantías bancarias o </w:t>
      </w:r>
      <w:proofErr w:type="spellStart"/>
      <w:r w:rsidRPr="256AD556">
        <w:rPr>
          <w:rFonts w:ascii="Verdana" w:hAnsi="Verdana" w:cs="Arial"/>
          <w:color w:val="000000" w:themeColor="text1"/>
          <w:lang w:val="es-ES"/>
        </w:rPr>
        <w:t>iii</w:t>
      </w:r>
      <w:proofErr w:type="spellEnd"/>
      <w:r w:rsidRPr="256AD556">
        <w:rPr>
          <w:rFonts w:ascii="Verdana" w:hAnsi="Verdana" w:cs="Arial"/>
          <w:color w:val="000000" w:themeColor="text1"/>
          <w:lang w:val="es-ES"/>
        </w:rPr>
        <w:t>) los demás mecanismos de cobertura del riesgo que disponga el reglamento. Igualmente establece que “[…] tratándose de pólizas, las mismas no expirarán por falta de pago de la prima o por revocatoria unilateral […]”. Esta norma es una excepción a la terminación automática del contrato de seguro prevista en los artículos 1068 y 1071 del Código de Comercio</w:t>
      </w:r>
      <w:r w:rsidRPr="256AD556">
        <w:rPr>
          <w:rStyle w:val="Refdenotaalpie"/>
          <w:rFonts w:ascii="Verdana" w:hAnsi="Verdana" w:cs="Arial"/>
          <w:color w:val="000000" w:themeColor="text1"/>
          <w:lang w:val="es-ES"/>
        </w:rPr>
        <w:footnoteReference w:id="13"/>
      </w:r>
      <w:r w:rsidRPr="256AD556">
        <w:rPr>
          <w:rFonts w:ascii="Verdana" w:hAnsi="Verdana" w:cs="Arial"/>
          <w:color w:val="000000" w:themeColor="text1"/>
          <w:lang w:val="es-ES"/>
        </w:rPr>
        <w:t xml:space="preserve">. De esta manera, </w:t>
      </w:r>
      <w:r w:rsidRPr="256AD556">
        <w:rPr>
          <w:rFonts w:ascii="Verdana" w:hAnsi="Verdana" w:cs="Arial"/>
          <w:color w:val="000000" w:themeColor="text1"/>
          <w:lang w:val="es-ES"/>
        </w:rPr>
        <w:lastRenderedPageBreak/>
        <w:t>las garantías previstas en la ley tienen como objetivo asegurar la solvencia del garante</w:t>
      </w:r>
      <w:r w:rsidRPr="256AD556">
        <w:rPr>
          <w:rStyle w:val="Refdenotaalpie"/>
          <w:rFonts w:ascii="Verdana" w:hAnsi="Verdana" w:cs="Arial"/>
          <w:color w:val="000000" w:themeColor="text1"/>
          <w:lang w:val="es-ES"/>
        </w:rPr>
        <w:footnoteReference w:id="14"/>
      </w:r>
      <w:r w:rsidRPr="256AD556">
        <w:rPr>
          <w:rFonts w:ascii="Verdana" w:hAnsi="Verdana" w:cs="Arial"/>
          <w:color w:val="000000" w:themeColor="text1"/>
          <w:lang w:val="es-ES"/>
        </w:rPr>
        <w:t>.</w:t>
      </w:r>
    </w:p>
    <w:p w14:paraId="4089F62A" w14:textId="77777777" w:rsidR="00AA4423" w:rsidRPr="00CA6FDA" w:rsidRDefault="00AA4423" w:rsidP="00AA4423">
      <w:pPr>
        <w:spacing w:after="120" w:line="276" w:lineRule="auto"/>
        <w:ind w:firstLine="708"/>
        <w:jc w:val="both"/>
        <w:rPr>
          <w:rFonts w:ascii="Verdana" w:hAnsi="Verdana" w:cs="Arial"/>
          <w:color w:val="000000" w:themeColor="text1"/>
        </w:rPr>
      </w:pPr>
      <w:r w:rsidRPr="00CA6FDA">
        <w:rPr>
          <w:rFonts w:ascii="Verdana" w:hAnsi="Verdana" w:cs="Arial"/>
          <w:color w:val="000000" w:themeColor="text1"/>
        </w:rPr>
        <w:t xml:space="preserve">El Decreto 1082 de 2015 reglamenta las condiciones en que debe cumplirse esta obligación. Los artículos 2.2.1.2.3.1.1 a 2.2.1.2.3.1.19 del Decreto Único Reglamentario del sector Administrativo de Planeación Nacional regulan asuntos como las clases de garantías permitidas, la indivisibilidad de las mismas, los diferentes riesgos que deben ser objeto de garantía, la vigencia y valores mínimos que deben cubrir los amparos, entre otros aspectos. </w:t>
      </w:r>
    </w:p>
    <w:p w14:paraId="07B57923" w14:textId="77777777" w:rsidR="00AA4423" w:rsidRDefault="00AA4423" w:rsidP="00AA4423">
      <w:pPr>
        <w:spacing w:before="120" w:after="0" w:line="276" w:lineRule="auto"/>
        <w:ind w:firstLine="708"/>
        <w:jc w:val="both"/>
        <w:rPr>
          <w:rFonts w:ascii="Verdana" w:eastAsia="Times New Roman" w:hAnsi="Verdana" w:cs="Arial"/>
          <w:color w:val="000000" w:themeColor="text1"/>
          <w:lang w:eastAsia="es-CO"/>
        </w:rPr>
      </w:pPr>
      <w:r w:rsidRPr="00CA6FDA">
        <w:rPr>
          <w:rFonts w:ascii="Verdana" w:hAnsi="Verdana" w:cs="Arial"/>
          <w:color w:val="000000" w:themeColor="text1"/>
        </w:rPr>
        <w:t>El artículo 2.2.1.2.3.1.3, por ejemplo, establece que la “garantía de cobertura del Riesgo es indivisible”, además de la obligación de los contratantes de establecer en los pliegos de condiciones las garantías exigidas para cada periodo contractual</w:t>
      </w:r>
      <w:r w:rsidRPr="00CA6FDA">
        <w:rPr>
          <w:rStyle w:val="Refdenotaalpie"/>
          <w:rFonts w:ascii="Verdana" w:hAnsi="Verdana" w:cs="Arial"/>
          <w:color w:val="000000" w:themeColor="text1"/>
        </w:rPr>
        <w:footnoteReference w:id="15"/>
      </w:r>
      <w:r w:rsidRPr="00CA6FDA">
        <w:rPr>
          <w:rFonts w:ascii="Verdana" w:hAnsi="Verdana" w:cs="Arial"/>
          <w:color w:val="000000" w:themeColor="text1"/>
        </w:rPr>
        <w:t xml:space="preserve">. Por su parte, el artículo 2.2.1.3.1.7 prescribe que la garantía de cumplimiento debe cubrir: i) el buen manejo y correcta inversión del anticipo; </w:t>
      </w:r>
      <w:proofErr w:type="spellStart"/>
      <w:r w:rsidRPr="00CA6FDA">
        <w:rPr>
          <w:rFonts w:ascii="Verdana" w:hAnsi="Verdana" w:cs="Arial"/>
          <w:color w:val="000000" w:themeColor="text1"/>
        </w:rPr>
        <w:t>ii</w:t>
      </w:r>
      <w:proofErr w:type="spellEnd"/>
      <w:r w:rsidRPr="00CA6FDA">
        <w:rPr>
          <w:rFonts w:ascii="Verdana" w:hAnsi="Verdana" w:cs="Arial"/>
          <w:color w:val="000000" w:themeColor="text1"/>
        </w:rPr>
        <w:t xml:space="preserve">) la devolución del pago anticipado; </w:t>
      </w:r>
      <w:proofErr w:type="spellStart"/>
      <w:r w:rsidRPr="00CA6FDA">
        <w:rPr>
          <w:rFonts w:ascii="Verdana" w:hAnsi="Verdana" w:cs="Arial"/>
          <w:color w:val="000000" w:themeColor="text1"/>
        </w:rPr>
        <w:t>iii</w:t>
      </w:r>
      <w:proofErr w:type="spellEnd"/>
      <w:r w:rsidRPr="00CA6FDA">
        <w:rPr>
          <w:rFonts w:ascii="Verdana" w:hAnsi="Verdana" w:cs="Arial"/>
          <w:color w:val="000000" w:themeColor="text1"/>
        </w:rPr>
        <w:t xml:space="preserve">) el cumplimiento del contrato; </w:t>
      </w:r>
      <w:proofErr w:type="spellStart"/>
      <w:r w:rsidRPr="00CA6FDA">
        <w:rPr>
          <w:rFonts w:ascii="Verdana" w:hAnsi="Verdana" w:cs="Arial"/>
          <w:color w:val="000000" w:themeColor="text1"/>
        </w:rPr>
        <w:lastRenderedPageBreak/>
        <w:t>iv</w:t>
      </w:r>
      <w:proofErr w:type="spellEnd"/>
      <w:r w:rsidRPr="00CA6FDA">
        <w:rPr>
          <w:rFonts w:ascii="Verdana" w:hAnsi="Verdana" w:cs="Arial"/>
          <w:color w:val="000000" w:themeColor="text1"/>
        </w:rPr>
        <w:t xml:space="preserve">) el pago de salarios, prestaciones sociales legales e indemnizaciones laborales; v)  la estabilidad y calidad de la obra; vi) la </w:t>
      </w:r>
      <w:r w:rsidRPr="00CA6FDA">
        <w:rPr>
          <w:rFonts w:ascii="Verdana" w:eastAsia="Times New Roman" w:hAnsi="Verdana" w:cs="Arial"/>
          <w:color w:val="000000" w:themeColor="text1"/>
          <w:lang w:eastAsia="es-CO"/>
        </w:rPr>
        <w:t xml:space="preserve">calidad del servicio; </w:t>
      </w:r>
      <w:proofErr w:type="spellStart"/>
      <w:r w:rsidRPr="00CA6FDA">
        <w:rPr>
          <w:rFonts w:ascii="Verdana" w:eastAsia="Times New Roman" w:hAnsi="Verdana" w:cs="Arial"/>
          <w:color w:val="000000" w:themeColor="text1"/>
          <w:lang w:eastAsia="es-CO"/>
        </w:rPr>
        <w:t>vii</w:t>
      </w:r>
      <w:proofErr w:type="spellEnd"/>
      <w:r w:rsidRPr="00CA6FDA">
        <w:rPr>
          <w:rFonts w:ascii="Verdana" w:eastAsia="Times New Roman" w:hAnsi="Verdana" w:cs="Arial"/>
          <w:color w:val="000000" w:themeColor="text1"/>
          <w:lang w:eastAsia="es-CO"/>
        </w:rPr>
        <w:t xml:space="preserve">) la calidad y correcto funcionamiento de los bienes; y </w:t>
      </w:r>
      <w:proofErr w:type="spellStart"/>
      <w:r w:rsidRPr="00CA6FDA">
        <w:rPr>
          <w:rFonts w:ascii="Verdana" w:eastAsia="Times New Roman" w:hAnsi="Verdana" w:cs="Arial"/>
          <w:color w:val="000000" w:themeColor="text1"/>
          <w:lang w:eastAsia="es-CO"/>
        </w:rPr>
        <w:t>viii</w:t>
      </w:r>
      <w:proofErr w:type="spellEnd"/>
      <w:r w:rsidRPr="00CA6FDA">
        <w:rPr>
          <w:rFonts w:ascii="Verdana" w:eastAsia="Times New Roman" w:hAnsi="Verdana" w:cs="Arial"/>
          <w:color w:val="000000" w:themeColor="text1"/>
          <w:lang w:eastAsia="es-CO"/>
        </w:rPr>
        <w:t>) los demás incumplimientos de las obligaciones que la entidad estatal considere deben ser amparados</w:t>
      </w:r>
      <w:r w:rsidRPr="00CA6FDA">
        <w:rPr>
          <w:rStyle w:val="Refdenotaalpie"/>
          <w:rFonts w:ascii="Verdana" w:eastAsia="Times New Roman" w:hAnsi="Verdana" w:cs="Arial"/>
          <w:color w:val="000000" w:themeColor="text1"/>
          <w:lang w:eastAsia="es-CO"/>
        </w:rPr>
        <w:footnoteReference w:id="16"/>
      </w:r>
      <w:r w:rsidRPr="00CA6FDA">
        <w:rPr>
          <w:rFonts w:ascii="Verdana" w:eastAsia="Times New Roman" w:hAnsi="Verdana" w:cs="Arial"/>
          <w:color w:val="000000" w:themeColor="text1"/>
          <w:lang w:eastAsia="es-CO"/>
        </w:rPr>
        <w:t>.</w:t>
      </w:r>
    </w:p>
    <w:p w14:paraId="57F4D8F4" w14:textId="77777777" w:rsidR="00AA4423" w:rsidRDefault="00AA4423" w:rsidP="00AA4423">
      <w:pPr>
        <w:spacing w:before="120" w:after="120" w:line="276" w:lineRule="auto"/>
        <w:ind w:firstLine="709"/>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 xml:space="preserve">En ausencia de regulación expresa sobre el régimen de garantías en el Decreto 092 de 2017, aplican las reglas generales del sistema de compras públicas conforme a lo explicado </w:t>
      </w:r>
      <w:r w:rsidRPr="00C7736C">
        <w:rPr>
          <w:rFonts w:ascii="Verdana" w:eastAsia="Times New Roman" w:hAnsi="Verdana" w:cs="Arial"/>
          <w:i/>
          <w:iCs/>
          <w:color w:val="000000" w:themeColor="text1"/>
          <w:lang w:eastAsia="es-CO"/>
        </w:rPr>
        <w:t>ut supra</w:t>
      </w:r>
      <w:r>
        <w:rPr>
          <w:rFonts w:ascii="Verdana" w:eastAsia="Times New Roman" w:hAnsi="Verdana" w:cs="Arial"/>
          <w:color w:val="000000" w:themeColor="text1"/>
          <w:lang w:eastAsia="es-CO"/>
        </w:rPr>
        <w:t xml:space="preserve">. Por tanto, </w:t>
      </w:r>
      <w:r>
        <w:rPr>
          <w:rFonts w:ascii="Verdana" w:eastAsia="Calibri" w:hAnsi="Verdana" w:cs="Arial"/>
        </w:rPr>
        <w:t>tratándose de</w:t>
      </w:r>
      <w:r w:rsidRPr="000A33B7">
        <w:rPr>
          <w:rFonts w:ascii="Verdana" w:eastAsia="Calibri" w:hAnsi="Verdana" w:cs="Arial"/>
          <w:lang w:val="es-ES_tradnl"/>
        </w:rPr>
        <w:t xml:space="preserve"> </w:t>
      </w:r>
      <w:r w:rsidRPr="000A33B7">
        <w:rPr>
          <w:rFonts w:ascii="Verdana" w:eastAsia="Calibri" w:hAnsi="Verdana" w:cs="Arial"/>
          <w:i/>
          <w:iCs/>
          <w:lang w:val="es-ES_tradnl"/>
        </w:rPr>
        <w:t xml:space="preserve">contratos del artículo 355 de la Constitución </w:t>
      </w:r>
      <w:r>
        <w:rPr>
          <w:rFonts w:ascii="Verdana" w:eastAsia="Calibri" w:hAnsi="Verdana" w:cs="Arial"/>
          <w:lang w:val="es-ES_tradnl"/>
        </w:rPr>
        <w:t>o de</w:t>
      </w:r>
      <w:r w:rsidRPr="000A33B7">
        <w:rPr>
          <w:rFonts w:ascii="Verdana" w:eastAsia="Calibri" w:hAnsi="Verdana" w:cs="Arial"/>
          <w:lang w:val="es-ES_tradnl"/>
        </w:rPr>
        <w:t xml:space="preserve"> </w:t>
      </w:r>
      <w:r w:rsidRPr="000A33B7">
        <w:rPr>
          <w:rFonts w:ascii="Verdana" w:eastAsia="Calibri" w:hAnsi="Verdana" w:cs="Arial"/>
          <w:i/>
          <w:iCs/>
          <w:lang w:val="es-ES_tradnl"/>
        </w:rPr>
        <w:t>convenios de asociación</w:t>
      </w:r>
      <w:r>
        <w:rPr>
          <w:rFonts w:ascii="Verdana" w:eastAsia="Calibri" w:hAnsi="Verdana" w:cs="Arial"/>
          <w:lang w:val="es-ES_tradnl"/>
        </w:rPr>
        <w:t xml:space="preserve">, amparos como los de cumplimiento y calidad del servicio deben constituirse bajo los criterios </w:t>
      </w:r>
      <w:r>
        <w:rPr>
          <w:rFonts w:ascii="Verdana" w:eastAsia="Calibri" w:hAnsi="Verdana" w:cs="Arial"/>
          <w:lang w:val="es-ES_tradnl"/>
        </w:rPr>
        <w:lastRenderedPageBreak/>
        <w:t xml:space="preserve">previstos en los artículos </w:t>
      </w:r>
      <w:r w:rsidRPr="00B07F7B">
        <w:rPr>
          <w:rFonts w:ascii="Verdana" w:eastAsia="Calibri" w:hAnsi="Verdana" w:cs="Arial"/>
          <w:lang w:val="es-ES_tradnl"/>
        </w:rPr>
        <w:t>2.2.1.2.3.1.12</w:t>
      </w:r>
      <w:r>
        <w:rPr>
          <w:rStyle w:val="Refdenotaalpie"/>
          <w:rFonts w:ascii="Verdana" w:eastAsia="Calibri" w:hAnsi="Verdana" w:cs="Arial"/>
          <w:lang w:val="es-ES_tradnl"/>
        </w:rPr>
        <w:footnoteReference w:id="17"/>
      </w:r>
      <w:r>
        <w:rPr>
          <w:rFonts w:ascii="Verdana" w:eastAsia="Calibri" w:hAnsi="Verdana" w:cs="Arial"/>
          <w:lang w:val="es-ES_tradnl"/>
        </w:rPr>
        <w:t xml:space="preserve"> y </w:t>
      </w:r>
      <w:r w:rsidRPr="0096431D">
        <w:rPr>
          <w:rFonts w:ascii="Verdana" w:eastAsia="Calibri" w:hAnsi="Verdana" w:cs="Arial"/>
          <w:lang w:val="es-ES_tradnl"/>
        </w:rPr>
        <w:t>2.2.1.2.3.1.15</w:t>
      </w:r>
      <w:r>
        <w:rPr>
          <w:rStyle w:val="Refdenotaalpie"/>
          <w:rFonts w:ascii="Verdana" w:eastAsia="Calibri" w:hAnsi="Verdana" w:cs="Arial"/>
          <w:lang w:val="es-ES_tradnl"/>
        </w:rPr>
        <w:footnoteReference w:id="18"/>
      </w:r>
      <w:r>
        <w:rPr>
          <w:rFonts w:ascii="Verdana" w:eastAsia="Calibri" w:hAnsi="Verdana" w:cs="Arial"/>
          <w:lang w:val="es-ES_tradnl"/>
        </w:rPr>
        <w:t xml:space="preserve"> del Decreto 1082 de 2015, sin que exista un parámetro normativo diferente para el efecto. En ambos casos se tiene en cuenta el valor total del negocio, pues el reglamento no contempló la discriminación de los aportes realizados.   </w:t>
      </w:r>
    </w:p>
    <w:p w14:paraId="6733ED0B" w14:textId="77777777" w:rsidR="00AA4423" w:rsidRDefault="00AA4423" w:rsidP="00AA4423">
      <w:pPr>
        <w:tabs>
          <w:tab w:val="left" w:pos="0"/>
        </w:tabs>
        <w:spacing w:after="0" w:line="276" w:lineRule="auto"/>
        <w:jc w:val="both"/>
        <w:rPr>
          <w:rFonts w:ascii="Verdana" w:eastAsia="Times New Roman" w:hAnsi="Verdana" w:cs="Arial"/>
          <w:color w:val="000000" w:themeColor="text1"/>
          <w:lang w:eastAsia="es-CO"/>
        </w:rPr>
      </w:pPr>
      <w:r>
        <w:rPr>
          <w:rFonts w:ascii="Verdana" w:eastAsia="Times New Roman" w:hAnsi="Verdana" w:cs="Arial"/>
          <w:color w:val="000000" w:themeColor="text1"/>
          <w:lang w:eastAsia="es-CO"/>
        </w:rPr>
        <w:tab/>
        <w:t xml:space="preserve">En todo caso, conforme al artículo </w:t>
      </w:r>
      <w:r w:rsidRPr="00DA2A6A">
        <w:rPr>
          <w:rFonts w:ascii="Verdana" w:eastAsia="Times New Roman" w:hAnsi="Verdana" w:cs="Arial"/>
          <w:color w:val="000000" w:themeColor="text1"/>
          <w:lang w:eastAsia="es-CO"/>
        </w:rPr>
        <w:t>2.2.1.2.1.4.5</w:t>
      </w:r>
      <w:r>
        <w:rPr>
          <w:rFonts w:ascii="Verdana" w:eastAsia="Times New Roman" w:hAnsi="Verdana" w:cs="Arial"/>
          <w:color w:val="000000" w:themeColor="text1"/>
          <w:lang w:eastAsia="es-CO"/>
        </w:rPr>
        <w:t xml:space="preserve"> del Decreto 1082 de 2015, “</w:t>
      </w:r>
      <w:r w:rsidRPr="00DA2A6A">
        <w:rPr>
          <w:rFonts w:ascii="Verdana" w:eastAsia="Times New Roman" w:hAnsi="Verdana" w:cs="Arial"/>
          <w:color w:val="000000" w:themeColor="text1"/>
          <w:lang w:eastAsia="es-CO"/>
        </w:rPr>
        <w:t>En la contratación directa la exigencia de garantías establecidas en la Sección 3, que comprende los artículos 2.2.1.2.3.1.1 al 2.2.1.2.3.5.1.</w:t>
      </w:r>
      <w:r>
        <w:rPr>
          <w:rFonts w:ascii="Verdana" w:eastAsia="Times New Roman" w:hAnsi="Verdana" w:cs="Arial"/>
          <w:color w:val="000000" w:themeColor="text1"/>
          <w:lang w:eastAsia="es-CO"/>
        </w:rPr>
        <w:t xml:space="preserve"> </w:t>
      </w:r>
      <w:r w:rsidRPr="00DA2A6A">
        <w:rPr>
          <w:rFonts w:ascii="Verdana" w:eastAsia="Times New Roman" w:hAnsi="Verdana" w:cs="Arial"/>
          <w:color w:val="000000" w:themeColor="text1"/>
          <w:lang w:eastAsia="es-CO"/>
        </w:rPr>
        <w:t>del presente decreto no es obligatoria y la justificación para exigirlas o no debe estar en los estudios y documentos previos</w:t>
      </w:r>
      <w:r>
        <w:rPr>
          <w:rFonts w:ascii="Verdana" w:eastAsia="Times New Roman" w:hAnsi="Verdana" w:cs="Arial"/>
          <w:color w:val="000000" w:themeColor="text1"/>
          <w:lang w:eastAsia="es-CO"/>
        </w:rPr>
        <w:t>”</w:t>
      </w:r>
      <w:r w:rsidRPr="00DA2A6A">
        <w:rPr>
          <w:rFonts w:ascii="Verdana" w:eastAsia="Times New Roman" w:hAnsi="Verdana" w:cs="Arial"/>
          <w:color w:val="000000" w:themeColor="text1"/>
          <w:lang w:eastAsia="es-CO"/>
        </w:rPr>
        <w:t>.</w:t>
      </w:r>
      <w:r>
        <w:rPr>
          <w:rFonts w:ascii="Verdana" w:eastAsia="Times New Roman" w:hAnsi="Verdana" w:cs="Arial"/>
          <w:color w:val="000000" w:themeColor="text1"/>
          <w:lang w:eastAsia="es-CO"/>
        </w:rPr>
        <w:t xml:space="preserve"> </w:t>
      </w:r>
      <w:r w:rsidRPr="00831E99">
        <w:rPr>
          <w:rFonts w:ascii="Verdana" w:eastAsia="Times New Roman" w:hAnsi="Verdana" w:cs="Arial"/>
          <w:color w:val="000000" w:themeColor="text1"/>
          <w:lang w:eastAsia="es-CO"/>
        </w:rPr>
        <w:t xml:space="preserve">Tratándose </w:t>
      </w:r>
      <w:r>
        <w:rPr>
          <w:rFonts w:ascii="Verdana" w:eastAsia="Times New Roman" w:hAnsi="Verdana" w:cs="Arial"/>
          <w:color w:val="000000" w:themeColor="text1"/>
          <w:lang w:eastAsia="es-CO"/>
        </w:rPr>
        <w:t>de los</w:t>
      </w:r>
      <w:r w:rsidRPr="00831E99">
        <w:rPr>
          <w:rFonts w:ascii="Verdana" w:eastAsia="Times New Roman" w:hAnsi="Verdana" w:cs="Arial"/>
          <w:color w:val="000000" w:themeColor="text1"/>
          <w:lang w:eastAsia="es-CO"/>
        </w:rPr>
        <w:t xml:space="preserve"> interadministrativos,</w:t>
      </w:r>
      <w:r>
        <w:rPr>
          <w:rFonts w:ascii="Verdana" w:eastAsia="Times New Roman" w:hAnsi="Verdana" w:cs="Arial"/>
          <w:color w:val="000000" w:themeColor="text1"/>
          <w:lang w:eastAsia="es-CO"/>
        </w:rPr>
        <w:t xml:space="preserve"> aunque la garantías no son obligatorias conforme al inciso final del artículo 7 de la Ley 1150 de 2007,</w:t>
      </w:r>
      <w:r w:rsidRPr="00831E99">
        <w:rPr>
          <w:rFonts w:ascii="Verdana" w:eastAsia="Times New Roman" w:hAnsi="Verdana" w:cs="Arial"/>
          <w:color w:val="000000" w:themeColor="text1"/>
          <w:lang w:eastAsia="es-CO"/>
        </w:rPr>
        <w:t xml:space="preserve"> podrán incluirse los amparos contemplados en el Decreto Único Reglamentario del sector Administrativo de Planeación Nacional. Ello en función de los riesgos identificados por la entidad tanto en el análisis del sector –art. 2.2.1.1.1.6.1 del Decreto 1082 de 2015– como los estudios y documentos previos –</w:t>
      </w:r>
      <w:proofErr w:type="spellStart"/>
      <w:r w:rsidRPr="00831E99">
        <w:rPr>
          <w:rFonts w:ascii="Verdana" w:eastAsia="Times New Roman" w:hAnsi="Verdana" w:cs="Arial"/>
          <w:color w:val="000000" w:themeColor="text1"/>
          <w:lang w:eastAsia="es-CO"/>
        </w:rPr>
        <w:t>num</w:t>
      </w:r>
      <w:proofErr w:type="spellEnd"/>
      <w:r w:rsidRPr="00831E99">
        <w:rPr>
          <w:rFonts w:ascii="Verdana" w:eastAsia="Times New Roman" w:hAnsi="Verdana" w:cs="Arial"/>
          <w:color w:val="000000" w:themeColor="text1"/>
          <w:lang w:eastAsia="es-CO"/>
        </w:rPr>
        <w:t xml:space="preserve">. 6 del art. 2.2.1.1.2.1.1 </w:t>
      </w:r>
      <w:r w:rsidRPr="00E60F09">
        <w:rPr>
          <w:rFonts w:ascii="Verdana" w:eastAsia="Times New Roman" w:hAnsi="Verdana" w:cs="Arial"/>
          <w:i/>
          <w:iCs/>
          <w:color w:val="000000" w:themeColor="text1"/>
          <w:lang w:eastAsia="es-CO"/>
        </w:rPr>
        <w:t>ibidem</w:t>
      </w:r>
      <w:r w:rsidRPr="00831E99">
        <w:rPr>
          <w:rFonts w:ascii="Verdana" w:eastAsia="Times New Roman" w:hAnsi="Verdana" w:cs="Arial"/>
          <w:color w:val="000000" w:themeColor="text1"/>
          <w:lang w:eastAsia="es-CO"/>
        </w:rPr>
        <w:t>–</w:t>
      </w:r>
      <w:r>
        <w:rPr>
          <w:rFonts w:ascii="Verdana" w:eastAsia="Times New Roman" w:hAnsi="Verdana" w:cs="Arial"/>
          <w:color w:val="000000" w:themeColor="text1"/>
          <w:lang w:eastAsia="es-CO"/>
        </w:rPr>
        <w:t>.</w:t>
      </w:r>
    </w:p>
    <w:p w14:paraId="4E19A81F" w14:textId="77777777" w:rsidR="00AA4423" w:rsidRPr="001C6F0B" w:rsidRDefault="00AA4423" w:rsidP="00AA4423">
      <w:pPr>
        <w:tabs>
          <w:tab w:val="left" w:pos="0"/>
        </w:tabs>
        <w:spacing w:after="0" w:line="276" w:lineRule="auto"/>
        <w:jc w:val="both"/>
        <w:rPr>
          <w:rFonts w:ascii="Verdana" w:eastAsia="Times New Roman" w:hAnsi="Verdana" w:cs="Arial"/>
          <w:color w:val="000000" w:themeColor="text1"/>
          <w:lang w:eastAsia="es-CO"/>
        </w:rPr>
      </w:pPr>
    </w:p>
    <w:p w14:paraId="49538108" w14:textId="77777777" w:rsidR="00AA4423" w:rsidRDefault="00AA4423" w:rsidP="00AA4423">
      <w:pPr>
        <w:widowControl w:val="0"/>
        <w:autoSpaceDE w:val="0"/>
        <w:autoSpaceDN w:val="0"/>
        <w:spacing w:after="120" w:line="276" w:lineRule="auto"/>
        <w:jc w:val="both"/>
        <w:rPr>
          <w:rFonts w:ascii="Verdana" w:hAnsi="Verdana" w:cs="Arial"/>
          <w:lang w:eastAsia="es-ES"/>
        </w:rPr>
      </w:pPr>
      <w:proofErr w:type="spellStart"/>
      <w:r>
        <w:rPr>
          <w:rFonts w:ascii="Verdana" w:hAnsi="Verdana" w:cs="Arial"/>
          <w:lang w:eastAsia="es-ES"/>
        </w:rPr>
        <w:t>iv</w:t>
      </w:r>
      <w:proofErr w:type="spellEnd"/>
      <w:r>
        <w:rPr>
          <w:rFonts w:ascii="Verdana" w:hAnsi="Verdana" w:cs="Arial"/>
          <w:lang w:eastAsia="es-ES"/>
        </w:rPr>
        <w:t xml:space="preserve">. </w:t>
      </w:r>
      <w:r w:rsidRPr="006539F8">
        <w:rPr>
          <w:rFonts w:ascii="Verdana" w:hAnsi="Verdana" w:cs="Arial"/>
          <w:lang w:eastAsia="es-ES"/>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w:t>
      </w:r>
      <w:r w:rsidRPr="006539F8">
        <w:rPr>
          <w:rFonts w:ascii="Verdana" w:hAnsi="Verdana" w:cs="Arial"/>
          <w:lang w:eastAsia="es-ES"/>
        </w:rPr>
        <w:lastRenderedPageBreak/>
        <w:t>de situaciones particulares corresponde a los interesados adoptar la decisión correspondiente y, en caso de conflicto, a las autoridades judiciales, fiscales y disciplinarias.</w:t>
      </w:r>
    </w:p>
    <w:p w14:paraId="2389EC98" w14:textId="77777777" w:rsidR="00AA4423" w:rsidRPr="00301910" w:rsidRDefault="00AA4423" w:rsidP="00AA4423">
      <w:pPr>
        <w:widowControl w:val="0"/>
        <w:autoSpaceDE w:val="0"/>
        <w:autoSpaceDN w:val="0"/>
        <w:spacing w:after="0" w:line="276" w:lineRule="auto"/>
        <w:ind w:firstLine="708"/>
        <w:jc w:val="both"/>
        <w:rPr>
          <w:rFonts w:ascii="Verdana" w:hAnsi="Verdana" w:cs="Arial"/>
          <w:lang w:eastAsia="es-ES"/>
        </w:rPr>
      </w:pPr>
      <w:r w:rsidRPr="006539F8">
        <w:rPr>
          <w:rFonts w:ascii="Verdana" w:hAnsi="Verdana" w:cs="Arial"/>
          <w:lang w:eastAsia="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301910">
        <w:rPr>
          <w:rFonts w:ascii="Verdana" w:hAnsi="Verdana" w:cs="Arial"/>
          <w:lang w:eastAsia="es-ES"/>
        </w:rPr>
        <w:t>.</w:t>
      </w:r>
    </w:p>
    <w:p w14:paraId="7D465124" w14:textId="77777777" w:rsidR="00AA4423" w:rsidRPr="00182C89" w:rsidRDefault="00AA4423" w:rsidP="00AA4423">
      <w:pPr>
        <w:tabs>
          <w:tab w:val="left" w:pos="709"/>
        </w:tabs>
        <w:spacing w:after="0" w:line="276" w:lineRule="auto"/>
        <w:jc w:val="both"/>
        <w:rPr>
          <w:rFonts w:ascii="Verdana" w:eastAsia="Calibri" w:hAnsi="Verdana" w:cs="Arial"/>
          <w:color w:val="000000" w:themeColor="text1"/>
        </w:rPr>
      </w:pPr>
    </w:p>
    <w:p w14:paraId="0DA3CEB0" w14:textId="77777777" w:rsidR="00AA4423" w:rsidRPr="00AE65D5" w:rsidRDefault="00AA4423" w:rsidP="00AA442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603CEC1C" w14:textId="77777777" w:rsidR="00AA4423" w:rsidRPr="00593A5F" w:rsidRDefault="00AA4423" w:rsidP="00AA4423">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A4423" w:rsidRPr="002407CE" w14:paraId="0AA379BE" w14:textId="77777777" w:rsidTr="00DF45F8">
        <w:trPr>
          <w:trHeight w:val="870"/>
          <w:jc w:val="center"/>
        </w:trPr>
        <w:tc>
          <w:tcPr>
            <w:tcW w:w="8647" w:type="dxa"/>
          </w:tcPr>
          <w:p w14:paraId="1C3AD487" w14:textId="77777777" w:rsidR="00AA4423" w:rsidRDefault="00AA4423" w:rsidP="00DF45F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150 y 355.</w:t>
            </w:r>
          </w:p>
          <w:p w14:paraId="17F7F72B" w14:textId="77777777" w:rsidR="00AA4423" w:rsidRDefault="00AA4423" w:rsidP="00DF45F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B51B34">
              <w:rPr>
                <w:rFonts w:ascii="Verdana" w:hAnsi="Verdana" w:cs="Arial"/>
              </w:rPr>
              <w:t>Ley 80 de 1993, artículos 3, 4, 5, 7, 8, 13, 14, 23, 24, 25, 26, 32, 40, 44, 50 y 60.</w:t>
            </w:r>
          </w:p>
          <w:p w14:paraId="1ED1E1F9" w14:textId="77777777" w:rsidR="00AA4423" w:rsidRDefault="00AA4423" w:rsidP="00DF45F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489 de 1998, artículo 96.</w:t>
            </w:r>
          </w:p>
          <w:p w14:paraId="74D6CD85" w14:textId="77777777" w:rsidR="00AA4423" w:rsidRDefault="00AA4423" w:rsidP="00DF45F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sidRPr="006D3B27">
              <w:rPr>
                <w:rFonts w:ascii="Verdana" w:hAnsi="Verdana" w:cs="Arial"/>
              </w:rPr>
              <w:t>Ley 1150 de 2007, artículo</w:t>
            </w:r>
            <w:r>
              <w:rPr>
                <w:rFonts w:ascii="Verdana" w:hAnsi="Verdana" w:cs="Arial"/>
              </w:rPr>
              <w:t xml:space="preserve"> 7.</w:t>
            </w:r>
          </w:p>
          <w:p w14:paraId="6F974CC4" w14:textId="77777777" w:rsidR="00AA4423" w:rsidRDefault="00AA4423" w:rsidP="00DF45F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Decreto 092 de 2017, artículos </w:t>
            </w:r>
            <w:r w:rsidRPr="000A5D40">
              <w:rPr>
                <w:rFonts w:ascii="Verdana" w:hAnsi="Verdana" w:cs="Arial"/>
              </w:rPr>
              <w:t>2, 3, 5, 6, 7, 8, 9 y 10</w:t>
            </w:r>
            <w:r>
              <w:rPr>
                <w:rFonts w:ascii="Verdana" w:hAnsi="Verdana" w:cs="Arial"/>
              </w:rPr>
              <w:t>.</w:t>
            </w:r>
          </w:p>
          <w:p w14:paraId="1A68F929" w14:textId="77777777" w:rsidR="00AA4423" w:rsidRDefault="00AA4423" w:rsidP="00DF45F8">
            <w:pPr>
              <w:pStyle w:val="Prrafodelista"/>
              <w:widowControl w:val="0"/>
              <w:numPr>
                <w:ilvl w:val="0"/>
                <w:numId w:val="17"/>
              </w:numPr>
              <w:autoSpaceDE w:val="0"/>
              <w:autoSpaceDN w:val="0"/>
              <w:spacing w:after="120" w:line="276" w:lineRule="auto"/>
              <w:ind w:left="714" w:hanging="357"/>
              <w:jc w:val="both"/>
              <w:rPr>
                <w:rFonts w:ascii="Verdana" w:hAnsi="Verdana" w:cs="Arial"/>
              </w:rPr>
            </w:pPr>
            <w:r w:rsidRPr="003F3DF4">
              <w:rPr>
                <w:rFonts w:ascii="Verdana" w:hAnsi="Verdana" w:cs="Arial"/>
              </w:rPr>
              <w:t>Decreto 1082 de 2015, artículos</w:t>
            </w:r>
            <w:r>
              <w:rPr>
                <w:rFonts w:ascii="Verdana" w:hAnsi="Verdana" w:cs="Arial"/>
              </w:rPr>
              <w:t xml:space="preserve"> </w:t>
            </w:r>
            <w:r w:rsidRPr="005753F6">
              <w:rPr>
                <w:rFonts w:ascii="Verdana" w:hAnsi="Verdana" w:cs="Arial"/>
              </w:rPr>
              <w:t>2.2.1.1.1.6.1</w:t>
            </w:r>
            <w:r>
              <w:rPr>
                <w:rFonts w:ascii="Verdana" w:hAnsi="Verdana" w:cs="Arial"/>
              </w:rPr>
              <w:t xml:space="preserve">, </w:t>
            </w:r>
            <w:r w:rsidRPr="005753F6">
              <w:rPr>
                <w:rFonts w:ascii="Verdana" w:hAnsi="Verdana" w:cs="Arial"/>
              </w:rPr>
              <w:t>2.2.1.1.2.1.1</w:t>
            </w:r>
            <w:r>
              <w:rPr>
                <w:rFonts w:ascii="Verdana" w:hAnsi="Verdana" w:cs="Arial"/>
              </w:rPr>
              <w:t xml:space="preserve"> y </w:t>
            </w:r>
            <w:r w:rsidRPr="005753F6">
              <w:rPr>
                <w:rFonts w:ascii="Verdana" w:hAnsi="Verdana" w:cs="Arial"/>
              </w:rPr>
              <w:t>2.2.1.2.3.1.1 a 2.2.1.2.3.1.19.</w:t>
            </w:r>
          </w:p>
          <w:p w14:paraId="482B5A68" w14:textId="77777777" w:rsidR="00AA4423" w:rsidRPr="005753F6" w:rsidRDefault="00AA4423" w:rsidP="00DF45F8">
            <w:pPr>
              <w:pStyle w:val="Prrafodelista"/>
              <w:widowControl w:val="0"/>
              <w:autoSpaceDE w:val="0"/>
              <w:autoSpaceDN w:val="0"/>
              <w:spacing w:after="120" w:line="276" w:lineRule="auto"/>
              <w:ind w:left="714"/>
              <w:jc w:val="both"/>
              <w:rPr>
                <w:rFonts w:ascii="Verdana" w:hAnsi="Verdana" w:cs="Arial"/>
                <w:sz w:val="12"/>
                <w:szCs w:val="12"/>
              </w:rPr>
            </w:pPr>
          </w:p>
          <w:p w14:paraId="423830AE" w14:textId="77777777" w:rsidR="00AA4423" w:rsidRDefault="00AA4423" w:rsidP="00DF45F8">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Código Civil, artículo 1495.</w:t>
            </w:r>
          </w:p>
          <w:p w14:paraId="00B06871" w14:textId="77777777" w:rsidR="00AA4423" w:rsidRPr="00144294" w:rsidRDefault="00AA4423" w:rsidP="00DF45F8">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sidRPr="003F3DF4">
              <w:rPr>
                <w:rFonts w:ascii="Verdana" w:hAnsi="Verdana" w:cs="Arial"/>
              </w:rPr>
              <w:t>Código de Comercio, artículos 1068, 1071 y 1103</w:t>
            </w:r>
            <w:r>
              <w:rPr>
                <w:rFonts w:ascii="Verdana" w:hAnsi="Verdana" w:cs="Arial"/>
              </w:rPr>
              <w:t>.</w:t>
            </w:r>
          </w:p>
        </w:tc>
      </w:tr>
    </w:tbl>
    <w:p w14:paraId="3C821477" w14:textId="77777777" w:rsidR="00AA4423" w:rsidRPr="002407CE" w:rsidRDefault="00AA4423" w:rsidP="00AA4423">
      <w:pPr>
        <w:widowControl w:val="0"/>
        <w:autoSpaceDE w:val="0"/>
        <w:autoSpaceDN w:val="0"/>
        <w:spacing w:after="0" w:line="276" w:lineRule="auto"/>
        <w:jc w:val="both"/>
        <w:rPr>
          <w:rFonts w:ascii="Verdana" w:hAnsi="Verdana" w:cs="Arial"/>
        </w:rPr>
      </w:pPr>
    </w:p>
    <w:p w14:paraId="6557DF2D" w14:textId="77777777" w:rsidR="00AA4423" w:rsidRPr="00593A5F" w:rsidRDefault="00AA4423" w:rsidP="00AA442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77199D95" w14:textId="77777777" w:rsidR="00AA4423" w:rsidRPr="00593A5F" w:rsidRDefault="00AA4423" w:rsidP="00AA4423">
      <w:pPr>
        <w:widowControl w:val="0"/>
        <w:autoSpaceDE w:val="0"/>
        <w:autoSpaceDN w:val="0"/>
        <w:spacing w:after="0" w:line="276" w:lineRule="auto"/>
        <w:jc w:val="both"/>
        <w:rPr>
          <w:rFonts w:ascii="Verdana" w:hAnsi="Verdana" w:cs="Arial"/>
        </w:rPr>
      </w:pPr>
    </w:p>
    <w:p w14:paraId="2CBF4DF9" w14:textId="77777777" w:rsidR="00AA4423" w:rsidRPr="007E4299" w:rsidRDefault="00AA4423" w:rsidP="00AA4423">
      <w:pPr>
        <w:widowControl w:val="0"/>
        <w:autoSpaceDE w:val="0"/>
        <w:autoSpaceDN w:val="0"/>
        <w:spacing w:after="0" w:line="276" w:lineRule="auto"/>
        <w:jc w:val="both"/>
        <w:rPr>
          <w:rStyle w:val="normaltextrun"/>
          <w:rFonts w:ascii="Verdana" w:hAnsi="Verdana"/>
        </w:rPr>
      </w:pPr>
      <w:r w:rsidRPr="003775F4">
        <w:rPr>
          <w:rFonts w:ascii="Verdana" w:eastAsia="Calibri" w:hAnsi="Verdana" w:cs="Arial"/>
          <w:shd w:val="clear" w:color="auto" w:fill="FFFFFF"/>
        </w:rPr>
        <w:t xml:space="preserve">Esta Subdirección se ha pronunciado sobre el régimen contractual de las ESAL con fundamento en el Decreto 092 de 2017 en los Conceptos 4201912000008310 del 26 de diciembre de 2019, 4201912000007899 del 27 de diciembre de 2019, 4201912000007901 del 27 de diciembre de 2019, C-070 04 de marzo de 2020, C-094 del 04 de marzo de 2020, C-086 del 16 de marzo </w:t>
      </w:r>
      <w:r w:rsidRPr="003775F4">
        <w:rPr>
          <w:rFonts w:ascii="Verdana" w:eastAsia="Calibri" w:hAnsi="Verdana" w:cs="Arial"/>
          <w:shd w:val="clear" w:color="auto" w:fill="FFFFFF"/>
        </w:rPr>
        <w:lastRenderedPageBreak/>
        <w:t>de 2020, C-101 del 16 de marzo de 2020, C-228 del 17 de marzo de 2020, C-014 del 24 de marzo de 2020, C-215 de 31 de marzo de 2020, C-223 del 29 de abril de 2020, C-416 del 30 junio de 2020, C-447 del 27 de julio de 2020, C-513 del 30 de julio de 2020, C-483 del 06 de agosto de 2020, C-579 del 4 de septiembre de 2020, C-594 del 7 de septiembre de 2020, C-670 del 22 de noviembre de 2020, C-689 del 1 de diciembre de 2020, C-724 de 14 de diciembre de 2020, C-749 del 23 de diciembre de 2020, C-758 del 04 de enero de 2021, C-806 de 8 de febrero de 2021, C-364 de 26 de julio de 2021, C-379 de 20 de julio de 2021, C-537 del 27 de septiembre de 2021,  C-021 del 22 de febrero de 2022, C-236 del 27 de abril de 2022, C-273 del 6 de mayo de 2022, C-274 del 6 de mayo de 2022, C-291 del 18 de mayo de 2022, C-331 del 24 de mayo de 2022, C-477 del 26 de julio de 2022, C-550 del 31 de agosto de 2022, C-560 del 7 de septiembre de 2022, C-624 del 28 de septiembre de 2022, C-771 del 30 de diciembre de 2022, C-853 del 9 de diciembre de 2022, C-351 del 6 de octubre de 2023, C-054 del 24 de abril de 2024, C-064 del 24 de abril de 2024, C-080 del 7 de mayo de 2024, C-281 del 29 de octubre de 2024, C-937 del 9 de diciembre de 2024</w:t>
      </w:r>
      <w:r>
        <w:rPr>
          <w:rFonts w:ascii="Verdana" w:eastAsia="Calibri" w:hAnsi="Verdana" w:cs="Arial"/>
          <w:shd w:val="clear" w:color="auto" w:fill="FFFFFF"/>
        </w:rPr>
        <w:t>,</w:t>
      </w:r>
      <w:r w:rsidRPr="003775F4">
        <w:rPr>
          <w:rFonts w:ascii="Verdana" w:eastAsia="Calibri" w:hAnsi="Verdana" w:cs="Arial"/>
          <w:shd w:val="clear" w:color="auto" w:fill="FFFFFF"/>
        </w:rPr>
        <w:t xml:space="preserve"> C-957 del 17 de diciembre de 2024</w:t>
      </w:r>
      <w:r>
        <w:rPr>
          <w:rFonts w:ascii="Verdana" w:eastAsia="Calibri" w:hAnsi="Verdana" w:cs="Arial"/>
          <w:shd w:val="clear" w:color="auto" w:fill="FFFFFF"/>
        </w:rPr>
        <w:t xml:space="preserve"> y C-967 del 1˚ de agosto de 2025.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421F1210" w14:textId="77777777" w:rsidR="00AA4423" w:rsidRPr="00096788" w:rsidRDefault="00AA4423" w:rsidP="00AA4423">
      <w:pPr>
        <w:widowControl w:val="0"/>
        <w:autoSpaceDE w:val="0"/>
        <w:autoSpaceDN w:val="0"/>
        <w:spacing w:after="0" w:line="276" w:lineRule="auto"/>
        <w:jc w:val="both"/>
        <w:rPr>
          <w:rFonts w:ascii="Verdana" w:hAnsi="Verdana" w:cs="Arial"/>
          <w:color w:val="000000" w:themeColor="text1"/>
          <w:shd w:val="clear" w:color="auto" w:fill="FFFFFF"/>
        </w:rPr>
      </w:pPr>
    </w:p>
    <w:p w14:paraId="3D04CA07" w14:textId="77777777" w:rsidR="00AA4423" w:rsidRDefault="00AA4423" w:rsidP="00AA4423">
      <w:pPr>
        <w:shd w:val="clear" w:color="auto" w:fill="FFFFFF"/>
        <w:spacing w:after="0" w:line="276" w:lineRule="auto"/>
        <w:jc w:val="both"/>
        <w:rPr>
          <w:rFonts w:ascii="Verdana" w:hAnsi="Verdana"/>
          <w:color w:val="000000"/>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7BC73CB1" w14:textId="77777777" w:rsidR="00AA4423" w:rsidRDefault="00AA4423" w:rsidP="00AA4423">
      <w:pPr>
        <w:shd w:val="clear" w:color="auto" w:fill="FFFFFF"/>
        <w:spacing w:after="0" w:line="276" w:lineRule="auto"/>
        <w:jc w:val="both"/>
        <w:rPr>
          <w:rFonts w:ascii="Verdana" w:hAnsi="Verdana"/>
          <w:color w:val="000000"/>
          <w:u w:val="single"/>
        </w:rPr>
      </w:pPr>
    </w:p>
    <w:p w14:paraId="25703D73" w14:textId="77777777" w:rsidR="00AA4423" w:rsidRPr="0038088D" w:rsidRDefault="00AA4423" w:rsidP="00AA4423">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w:t>
      </w:r>
      <w:r w:rsidRPr="00116940">
        <w:rPr>
          <w:rFonts w:ascii="Verdana" w:hAnsi="Verdana"/>
        </w:rPr>
        <w:lastRenderedPageBreak/>
        <w:t xml:space="preserve">marco de nuestras funciones a través de nuestros diferentes canales de </w:t>
      </w:r>
      <w:r w:rsidRPr="0038088D">
        <w:rPr>
          <w:rFonts w:ascii="Verdana" w:hAnsi="Verdana"/>
        </w:rPr>
        <w:t xml:space="preserve">atención: </w:t>
      </w:r>
    </w:p>
    <w:p w14:paraId="5DF234E0" w14:textId="77777777" w:rsidR="00AA4423" w:rsidRPr="0038088D" w:rsidRDefault="00AA4423" w:rsidP="00AA4423">
      <w:pPr>
        <w:spacing w:after="0"/>
        <w:jc w:val="both"/>
        <w:rPr>
          <w:rFonts w:ascii="Verdana" w:hAnsi="Verdana"/>
        </w:rPr>
      </w:pPr>
    </w:p>
    <w:p w14:paraId="2FE355E2" w14:textId="77777777" w:rsidR="00AA4423" w:rsidRPr="0038088D" w:rsidRDefault="00AA4423" w:rsidP="00AA4423">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3F629725" w14:textId="77777777" w:rsidR="00AA4423" w:rsidRPr="0038088D" w:rsidRDefault="00AA4423" w:rsidP="00AA4423">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proofErr w:type="gramStart"/>
      <w:r w:rsidRPr="0038088D">
        <w:rPr>
          <w:rFonts w:ascii="Verdana" w:eastAsia="Verdana" w:hAnsi="Verdana" w:cs="Verdana"/>
        </w:rPr>
        <w:t>):</w:t>
      </w:r>
      <w:r w:rsidRPr="0038088D">
        <w:rPr>
          <w:rStyle w:val="Hipervnculo"/>
          <w:rFonts w:ascii="Verdana" w:hAnsi="Verdana"/>
        </w:rPr>
        <w:t>+</w:t>
      </w:r>
      <w:proofErr w:type="gramEnd"/>
      <w:r w:rsidRPr="0038088D">
        <w:rPr>
          <w:rStyle w:val="Hipervnculo"/>
          <w:rFonts w:ascii="Verdana" w:hAnsi="Verdana"/>
        </w:rPr>
        <w:t>57 601 7456788</w:t>
      </w:r>
    </w:p>
    <w:p w14:paraId="444D2A54" w14:textId="77777777" w:rsidR="00AA4423" w:rsidRPr="0038088D" w:rsidRDefault="00AA4423" w:rsidP="00AA4423">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 xml:space="preserve">Correo de radicación de correspondencia: </w:t>
      </w:r>
      <w:hyperlink r:id="rId14">
        <w:r w:rsidRPr="0038088D">
          <w:rPr>
            <w:rStyle w:val="Hipervnculo"/>
            <w:rFonts w:ascii="Verdana" w:eastAsia="Verdana" w:hAnsi="Verdana" w:cs="Verdana"/>
          </w:rPr>
          <w:t>ventanilladeradicacion@colombiacompra.gov.co</w:t>
        </w:r>
      </w:hyperlink>
    </w:p>
    <w:p w14:paraId="5F5DA1B8" w14:textId="77777777" w:rsidR="00AA4423" w:rsidRPr="0038088D" w:rsidRDefault="00AA4423" w:rsidP="00AA4423">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5">
        <w:r w:rsidRPr="0038088D">
          <w:rPr>
            <w:rStyle w:val="Hipervnculo"/>
            <w:rFonts w:ascii="Verdana" w:eastAsia="Verdana" w:hAnsi="Verdana" w:cs="Verdana"/>
          </w:rPr>
          <w:t>https://www.colombiacompra.gov.co/pqrsd/informacion-importante-antes-de-formular-una-pqrsd</w:t>
        </w:r>
      </w:hyperlink>
    </w:p>
    <w:p w14:paraId="2611FB71" w14:textId="77777777" w:rsidR="00AA4423" w:rsidRPr="0038088D" w:rsidRDefault="00AA4423" w:rsidP="00AA4423">
      <w:pPr>
        <w:spacing w:after="0" w:line="240" w:lineRule="auto"/>
        <w:ind w:left="720"/>
        <w:jc w:val="both"/>
        <w:rPr>
          <w:rFonts w:ascii="Verdana" w:hAnsi="Verdana"/>
        </w:rPr>
      </w:pPr>
    </w:p>
    <w:p w14:paraId="1AE7F199" w14:textId="77777777" w:rsidR="00AA4423" w:rsidRPr="0038088D" w:rsidRDefault="00AA4423" w:rsidP="00AA4423">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16"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4F2C425D" w14:textId="77777777" w:rsidR="00AA4423" w:rsidRPr="0038088D" w:rsidRDefault="00AA4423" w:rsidP="00AA4423">
      <w:pPr>
        <w:spacing w:after="0" w:line="240" w:lineRule="auto"/>
        <w:rPr>
          <w:rFonts w:ascii="Verdana" w:hAnsi="Verdana"/>
        </w:rPr>
      </w:pPr>
    </w:p>
    <w:p w14:paraId="6FFAC412" w14:textId="77777777" w:rsidR="00AA4423" w:rsidRPr="0038088D" w:rsidRDefault="00AA4423" w:rsidP="00AA4423">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0240E206" w14:textId="77777777" w:rsidR="00AA4423" w:rsidRPr="00116940" w:rsidRDefault="00AA4423" w:rsidP="00AA4423">
      <w:pPr>
        <w:spacing w:after="0" w:line="240" w:lineRule="auto"/>
        <w:jc w:val="both"/>
        <w:rPr>
          <w:rFonts w:ascii="Verdana" w:hAnsi="Verdana"/>
        </w:rPr>
      </w:pPr>
    </w:p>
    <w:p w14:paraId="0E2BC0D9" w14:textId="77777777" w:rsidR="00AA4423" w:rsidRPr="00116940" w:rsidRDefault="00AA4423" w:rsidP="00AA4423">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3F91EEF2" w14:textId="77777777" w:rsidR="00AA4423" w:rsidRPr="00116940" w:rsidRDefault="00AA4423" w:rsidP="00AA4423">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5C88878A" w14:textId="77777777" w:rsidR="00AA4423" w:rsidRPr="00E22E6E" w:rsidRDefault="00AA4423" w:rsidP="00AA4423">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7CC499DD" w14:textId="77777777" w:rsidR="00AA4423" w:rsidRPr="009C4035" w:rsidRDefault="00AA4423" w:rsidP="00AA4423">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1D4FA03C" w14:textId="77777777" w:rsidR="00AA4423" w:rsidRPr="00593A5F" w:rsidRDefault="00AA4423" w:rsidP="00AA4423">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12C2D552" w14:textId="77777777" w:rsidR="00AA4423" w:rsidRPr="00593A5F" w:rsidRDefault="00AA4423" w:rsidP="00AA4423">
      <w:pPr>
        <w:widowControl w:val="0"/>
        <w:autoSpaceDE w:val="0"/>
        <w:autoSpaceDN w:val="0"/>
        <w:spacing w:after="0" w:line="276" w:lineRule="auto"/>
        <w:jc w:val="both"/>
        <w:rPr>
          <w:rFonts w:ascii="Verdana" w:hAnsi="Verdana" w:cs="Arial"/>
        </w:rPr>
      </w:pPr>
    </w:p>
    <w:p w14:paraId="577E751E" w14:textId="77777777" w:rsidR="00AA4423" w:rsidRPr="00593A5F" w:rsidRDefault="00AA4423" w:rsidP="00AA4423">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295FE0EF" w14:textId="3CD49363" w:rsidR="00AA4423" w:rsidRPr="00593A5F" w:rsidRDefault="00FF78A3" w:rsidP="00AA4423">
      <w:pPr>
        <w:spacing w:line="276" w:lineRule="auto"/>
        <w:jc w:val="center"/>
        <w:rPr>
          <w:rFonts w:ascii="Verdana" w:hAnsi="Verdana" w:cs="Arial"/>
          <w:color w:val="000000"/>
          <w:lang w:val="es-ES_tradnl" w:eastAsia="es-CO"/>
        </w:rPr>
      </w:pPr>
      <w:r>
        <w:rPr>
          <w:noProof/>
        </w:rPr>
        <w:drawing>
          <wp:inline distT="0" distB="0" distL="0" distR="0" wp14:anchorId="4227208B" wp14:editId="72185DB1">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A4423" w:rsidRPr="00593A5F" w14:paraId="42A0E06C" w14:textId="77777777" w:rsidTr="00DF45F8">
        <w:trPr>
          <w:trHeight w:val="315"/>
        </w:trPr>
        <w:tc>
          <w:tcPr>
            <w:tcW w:w="893" w:type="dxa"/>
            <w:vAlign w:val="center"/>
            <w:hideMark/>
          </w:tcPr>
          <w:p w14:paraId="5E44ECEA" w14:textId="77777777" w:rsidR="00AA4423" w:rsidRPr="003751C7" w:rsidRDefault="00AA4423" w:rsidP="00DF45F8">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541C0C6" w14:textId="77777777" w:rsidR="00AA4423" w:rsidRPr="00254A7A" w:rsidRDefault="00AA4423" w:rsidP="00DF45F8">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168D37C3" w14:textId="77777777" w:rsidR="00AA4423" w:rsidRPr="00254A7A" w:rsidRDefault="00AA4423" w:rsidP="00DF45F8">
            <w:pPr>
              <w:contextualSpacing/>
              <w:rPr>
                <w:rFonts w:ascii="Verdana" w:eastAsia="Arial" w:hAnsi="Verdana" w:cs="Arial"/>
                <w:sz w:val="16"/>
                <w:szCs w:val="16"/>
              </w:rPr>
            </w:pPr>
            <w:r w:rsidRPr="00254A7A">
              <w:rPr>
                <w:rStyle w:val="normaltextrun"/>
                <w:rFonts w:ascii="Verdana" w:hAnsi="Verdana"/>
                <w:sz w:val="16"/>
                <w:szCs w:val="16"/>
              </w:rPr>
              <w:lastRenderedPageBreak/>
              <w:t>Contratista de la Subdirección de Gestión Contractual</w:t>
            </w:r>
          </w:p>
        </w:tc>
      </w:tr>
      <w:tr w:rsidR="00AA4423" w:rsidRPr="00593A5F" w14:paraId="0B9558E2" w14:textId="77777777" w:rsidTr="00DF45F8">
        <w:trPr>
          <w:trHeight w:val="330"/>
        </w:trPr>
        <w:tc>
          <w:tcPr>
            <w:tcW w:w="893" w:type="dxa"/>
            <w:vAlign w:val="center"/>
            <w:hideMark/>
          </w:tcPr>
          <w:p w14:paraId="30CE6BFF" w14:textId="77777777" w:rsidR="00AA4423" w:rsidRPr="003751C7" w:rsidRDefault="00AA4423" w:rsidP="00DF45F8">
            <w:pPr>
              <w:contextualSpacing/>
              <w:rPr>
                <w:rFonts w:ascii="Verdana" w:hAnsi="Verdana" w:cs="Arial"/>
                <w:sz w:val="16"/>
                <w:szCs w:val="16"/>
                <w:lang w:val="es-ES" w:eastAsia="es-ES"/>
              </w:rPr>
            </w:pPr>
            <w:r w:rsidRPr="003751C7">
              <w:rPr>
                <w:rFonts w:ascii="Verdana" w:hAnsi="Verdana" w:cs="Arial"/>
                <w:sz w:val="16"/>
                <w:szCs w:val="16"/>
                <w:lang w:val="es-ES" w:eastAsia="es-ES"/>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A11EA87" w14:textId="77777777" w:rsidR="00AA4423" w:rsidRPr="00D54D3D" w:rsidRDefault="00AA4423" w:rsidP="00DF45F8">
            <w:pPr>
              <w:pStyle w:val="paragraph"/>
              <w:spacing w:after="0"/>
              <w:contextualSpacing/>
              <w:textAlignment w:val="baseline"/>
              <w:rPr>
                <w:rStyle w:val="normaltextrun"/>
                <w:rFonts w:ascii="Verdana" w:hAnsi="Verdana" w:cs="Arial"/>
                <w:sz w:val="16"/>
                <w:szCs w:val="16"/>
                <w:lang w:val="es-ES_tradnl"/>
              </w:rPr>
            </w:pPr>
            <w:r w:rsidRPr="00D54D3D">
              <w:rPr>
                <w:rStyle w:val="normaltextrun"/>
                <w:rFonts w:ascii="Verdana" w:hAnsi="Verdana" w:cs="Arial"/>
                <w:sz w:val="16"/>
                <w:szCs w:val="16"/>
                <w:lang w:val="es-ES_tradnl"/>
              </w:rPr>
              <w:t>Alejandro Sarmiento Cantillo</w:t>
            </w:r>
          </w:p>
          <w:p w14:paraId="1C5F3588" w14:textId="77777777" w:rsidR="00AA4423" w:rsidRPr="00254A7A" w:rsidRDefault="00AA4423" w:rsidP="00DF45F8">
            <w:pPr>
              <w:pStyle w:val="paragraph"/>
              <w:spacing w:before="0" w:beforeAutospacing="0" w:after="0" w:afterAutospacing="0"/>
              <w:contextualSpacing/>
              <w:textAlignment w:val="baseline"/>
              <w:rPr>
                <w:rFonts w:ascii="Verdana" w:hAnsi="Verdana" w:cs="Segoe UI"/>
                <w:sz w:val="16"/>
                <w:szCs w:val="16"/>
              </w:rPr>
            </w:pPr>
            <w:r w:rsidRPr="00D54D3D">
              <w:rPr>
                <w:rStyle w:val="normaltextrun"/>
                <w:rFonts w:ascii="Verdana" w:hAnsi="Verdana" w:cs="Arial"/>
                <w:sz w:val="16"/>
                <w:szCs w:val="16"/>
                <w:lang w:val="es-ES_tradnl"/>
              </w:rPr>
              <w:t>Gestor T1 ‒ 15 de la Subdirección de Gestión Contractual</w:t>
            </w:r>
          </w:p>
        </w:tc>
      </w:tr>
      <w:tr w:rsidR="00AA4423" w:rsidRPr="00593A5F" w14:paraId="1131E0D7" w14:textId="77777777" w:rsidTr="00DF45F8">
        <w:trPr>
          <w:trHeight w:val="300"/>
        </w:trPr>
        <w:tc>
          <w:tcPr>
            <w:tcW w:w="893" w:type="dxa"/>
            <w:vAlign w:val="center"/>
          </w:tcPr>
          <w:p w14:paraId="7B7F8B99" w14:textId="77777777" w:rsidR="00AA4423" w:rsidRPr="003751C7" w:rsidRDefault="00AA4423" w:rsidP="00DF45F8">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71B60F2" w14:textId="77777777" w:rsidR="00AA4423" w:rsidRPr="001133D2" w:rsidRDefault="00AA4423" w:rsidP="00DF45F8">
            <w:pPr>
              <w:contextualSpacing/>
              <w:rPr>
                <w:rFonts w:ascii="Verdana" w:eastAsia="Calibri" w:hAnsi="Verdana" w:cs="Arial"/>
                <w:sz w:val="16"/>
                <w:szCs w:val="16"/>
                <w:lang w:val="es-ES_tradnl" w:eastAsia="es-ES"/>
              </w:rPr>
            </w:pPr>
            <w:r w:rsidRPr="001133D2">
              <w:rPr>
                <w:rFonts w:ascii="Verdana" w:eastAsia="Calibri" w:hAnsi="Verdana" w:cs="Arial"/>
                <w:sz w:val="16"/>
                <w:szCs w:val="16"/>
                <w:lang w:val="es-ES_tradnl" w:eastAsia="es-ES"/>
              </w:rPr>
              <w:t>Carolina Quintero Gacharná</w:t>
            </w:r>
          </w:p>
          <w:p w14:paraId="20630134" w14:textId="77777777" w:rsidR="00AA4423" w:rsidRPr="003751C7" w:rsidRDefault="00AA4423" w:rsidP="00DF45F8">
            <w:pPr>
              <w:contextualSpacing/>
              <w:rPr>
                <w:rFonts w:ascii="Verdana" w:eastAsia="Calibri" w:hAnsi="Verdana" w:cs="Arial"/>
                <w:sz w:val="16"/>
                <w:szCs w:val="16"/>
                <w:lang w:val="pt-BR" w:eastAsia="es-ES"/>
              </w:rPr>
            </w:pPr>
            <w:r w:rsidRPr="001133D2">
              <w:rPr>
                <w:rFonts w:ascii="Verdana" w:eastAsia="Calibri" w:hAnsi="Verdana" w:cs="Arial"/>
                <w:sz w:val="16"/>
                <w:szCs w:val="16"/>
                <w:lang w:val="es-ES_tradnl" w:eastAsia="es-ES"/>
              </w:rPr>
              <w:t>Subdirectora de Gestión Contractual ANCP – CCE</w:t>
            </w:r>
          </w:p>
        </w:tc>
      </w:tr>
    </w:tbl>
    <w:p w14:paraId="418B4D61" w14:textId="77777777" w:rsidR="00AA4423" w:rsidRPr="00543BFE" w:rsidRDefault="00AA4423" w:rsidP="00AA4423"/>
    <w:p w14:paraId="182461B3" w14:textId="77777777" w:rsidR="00AA4423" w:rsidRPr="00543BFE" w:rsidRDefault="00AA4423" w:rsidP="00AA4423"/>
    <w:p w14:paraId="0F293BF4" w14:textId="6E29E3EC" w:rsidR="00127233" w:rsidRPr="00DE7059" w:rsidRDefault="00127233" w:rsidP="00DE7059"/>
    <w:sectPr w:rsidR="00127233" w:rsidRPr="00DE7059"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788268" w14:textId="77777777" w:rsidR="00AB309D" w:rsidRDefault="00AB309D" w:rsidP="004A1847">
      <w:pPr>
        <w:spacing w:after="0" w:line="240" w:lineRule="auto"/>
      </w:pPr>
      <w:r>
        <w:separator/>
      </w:r>
    </w:p>
  </w:endnote>
  <w:endnote w:type="continuationSeparator" w:id="0">
    <w:p w14:paraId="420A32C9" w14:textId="77777777" w:rsidR="00AB309D" w:rsidRDefault="00AB309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801CC4" w:rsidRDefault="356CEDFD" w:rsidP="356CEDFD">
    <w:pPr>
      <w:pBdr>
        <w:top w:val="nil"/>
        <w:left w:val="nil"/>
        <w:bottom w:val="nil"/>
        <w:right w:val="nil"/>
        <w:between w:val="nil"/>
      </w:pBdr>
      <w:tabs>
        <w:tab w:val="center" w:pos="4419"/>
        <w:tab w:val="right" w:pos="8838"/>
        <w:tab w:val="center" w:pos="5400"/>
      </w:tabs>
      <w:spacing w:after="0"/>
      <w:jc w:val="right"/>
      <w:rPr>
        <w:lang w:val="pt-BR"/>
      </w:rPr>
    </w:pPr>
    <w:r w:rsidRPr="00801CC4">
      <w:rPr>
        <w:rFonts w:ascii="Century Gothic" w:eastAsia="Geo" w:hAnsi="Century Gothic" w:cs="Geo"/>
        <w:b/>
        <w:color w:val="000000" w:themeColor="text1"/>
        <w:sz w:val="16"/>
        <w:szCs w:val="16"/>
        <w:lang w:val="pt-BR" w:eastAsia="es-CO"/>
      </w:rPr>
      <w:t xml:space="preserve">Código: </w:t>
    </w:r>
    <w:r w:rsidRPr="00801CC4">
      <w:rPr>
        <w:rFonts w:ascii="Century Gothic" w:eastAsia="Geo" w:hAnsi="Century Gothic" w:cs="Geo"/>
        <w:color w:val="000000" w:themeColor="text1"/>
        <w:sz w:val="16"/>
        <w:szCs w:val="16"/>
        <w:lang w:val="pt-BR" w:eastAsia="es-CO"/>
      </w:rPr>
      <w:t xml:space="preserve">CCE-REC-FM-17 </w:t>
    </w:r>
    <w:r w:rsidRPr="00801CC4">
      <w:rPr>
        <w:rFonts w:ascii="Century Gothic" w:eastAsia="Geo" w:hAnsi="Century Gothic" w:cs="Geo"/>
        <w:b/>
        <w:color w:val="000000" w:themeColor="text1"/>
        <w:sz w:val="16"/>
        <w:szCs w:val="16"/>
        <w:lang w:val="pt-BR" w:eastAsia="es-CO"/>
      </w:rPr>
      <w:t>V</w:t>
    </w:r>
    <w:r w:rsidRPr="00801CC4">
      <w:rPr>
        <w:rFonts w:ascii="Century Gothic" w:eastAsia="Arial Nova" w:hAnsi="Century Gothic" w:cs="Arial Nova"/>
        <w:b/>
        <w:color w:val="000000" w:themeColor="text1"/>
        <w:sz w:val="16"/>
        <w:szCs w:val="16"/>
        <w:lang w:val="pt-BR" w:eastAsia="es-CO"/>
      </w:rPr>
      <w:t xml:space="preserve">: </w:t>
    </w:r>
    <w:r w:rsidRPr="00801CC4">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A8D801" w14:textId="77777777" w:rsidR="00AB309D" w:rsidRDefault="00AB309D" w:rsidP="004A1847">
      <w:pPr>
        <w:spacing w:after="0" w:line="240" w:lineRule="auto"/>
      </w:pPr>
      <w:r>
        <w:separator/>
      </w:r>
    </w:p>
  </w:footnote>
  <w:footnote w:type="continuationSeparator" w:id="0">
    <w:p w14:paraId="049AABC6" w14:textId="77777777" w:rsidR="00AB309D" w:rsidRDefault="00AB309D" w:rsidP="004A1847">
      <w:pPr>
        <w:spacing w:after="0" w:line="240" w:lineRule="auto"/>
      </w:pPr>
      <w:r>
        <w:continuationSeparator/>
      </w:r>
    </w:p>
  </w:footnote>
  <w:footnote w:id="1">
    <w:p w14:paraId="02AA2734" w14:textId="77777777" w:rsidR="00AA4423" w:rsidRPr="00881DAB" w:rsidRDefault="00AA4423" w:rsidP="00AA4423">
      <w:pPr>
        <w:pStyle w:val="Textonotapie"/>
        <w:ind w:firstLine="708"/>
        <w:jc w:val="both"/>
        <w:rPr>
          <w:rFonts w:ascii="Verdana" w:hAnsi="Verdana" w:cs="Arial"/>
          <w:sz w:val="16"/>
          <w:szCs w:val="16"/>
        </w:rPr>
      </w:pPr>
      <w:r w:rsidRPr="00881DAB">
        <w:rPr>
          <w:rStyle w:val="Refdenotaalpie"/>
          <w:rFonts w:ascii="Verdana" w:hAnsi="Verdana" w:cs="Arial"/>
          <w:sz w:val="16"/>
          <w:szCs w:val="16"/>
        </w:rPr>
        <w:footnoteRef/>
      </w:r>
      <w:r w:rsidRPr="00881DAB">
        <w:rPr>
          <w:rFonts w:ascii="Verdana" w:hAnsi="Verdana" w:cs="Arial"/>
          <w:sz w:val="16"/>
          <w:szCs w:val="16"/>
        </w:rPr>
        <w:t xml:space="preserve"> Sobre esta norma, consultar los conceptos del 8 de octubre de 2019, con radicado No. 2201913000007532, y del 20 de diciembre de 2019, con radicado No. 4201913000008240.</w:t>
      </w:r>
    </w:p>
  </w:footnote>
  <w:footnote w:id="2">
    <w:p w14:paraId="54AE9FB3" w14:textId="77777777" w:rsidR="00AA4423" w:rsidRPr="00881DAB" w:rsidRDefault="00AA4423" w:rsidP="00AA4423">
      <w:pPr>
        <w:pStyle w:val="Textonotapie"/>
        <w:ind w:firstLine="708"/>
        <w:jc w:val="both"/>
        <w:rPr>
          <w:rFonts w:ascii="Verdana" w:hAnsi="Verdana" w:cs="Arial"/>
          <w:sz w:val="16"/>
          <w:szCs w:val="16"/>
        </w:rPr>
      </w:pPr>
      <w:r w:rsidRPr="00881DAB">
        <w:rPr>
          <w:rStyle w:val="Refdenotaalpie"/>
          <w:rFonts w:ascii="Verdana" w:hAnsi="Verdana"/>
          <w:sz w:val="16"/>
          <w:szCs w:val="16"/>
        </w:rPr>
        <w:footnoteRef/>
      </w:r>
      <w:r w:rsidRPr="00881DAB">
        <w:rPr>
          <w:rFonts w:ascii="Verdana" w:hAnsi="Verdana"/>
          <w:sz w:val="16"/>
          <w:szCs w:val="16"/>
        </w:rPr>
        <w:t xml:space="preserve"> </w:t>
      </w:r>
      <w:r w:rsidRPr="00881DAB">
        <w:rPr>
          <w:rFonts w:ascii="Verdana" w:hAnsi="Verdana" w:cs="Arial"/>
          <w:sz w:val="16"/>
          <w:szCs w:val="16"/>
        </w:rPr>
        <w:t>Al respecto, la Ley 489 de 1998 dispone que “Art. 96.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4A317D81" w14:textId="77777777" w:rsidR="00AA4423" w:rsidRPr="00881DAB" w:rsidRDefault="00AA4423" w:rsidP="00AA4423">
      <w:pPr>
        <w:pStyle w:val="Textonotapie"/>
        <w:ind w:firstLine="708"/>
        <w:jc w:val="both"/>
        <w:rPr>
          <w:rFonts w:ascii="Verdana" w:hAnsi="Verdana" w:cs="Arial"/>
          <w:sz w:val="16"/>
          <w:szCs w:val="16"/>
        </w:rPr>
      </w:pPr>
      <w:r w:rsidRPr="00881DAB">
        <w:rPr>
          <w:rFonts w:ascii="Verdana" w:hAnsi="Verdana" w:cs="Arial"/>
          <w:sz w:val="16"/>
          <w:szCs w:val="16"/>
        </w:rPr>
        <w:t xml:space="preserve">Los convenios de asociación a que se refiere el presente artículo </w:t>
      </w:r>
      <w:bookmarkStart w:id="4" w:name="_Hlk36023315"/>
      <w:r w:rsidRPr="00881DAB">
        <w:rPr>
          <w:rFonts w:ascii="Verdana" w:hAnsi="Verdana" w:cs="Arial"/>
          <w:sz w:val="16"/>
          <w:szCs w:val="16"/>
        </w:rPr>
        <w:t>se celebrarán de conformidad con lo dispuesto en el artículo 355 de la Constitución Política</w:t>
      </w:r>
      <w:bookmarkEnd w:id="4"/>
      <w:r w:rsidRPr="00881DAB">
        <w:rPr>
          <w:rFonts w:ascii="Verdana" w:hAnsi="Verdana" w:cs="Arial"/>
          <w:sz w:val="16"/>
          <w:szCs w:val="16"/>
        </w:rPr>
        <w:t>, en ellos se determinará con precisión su objeto, término, obligaciones de las partes, aportes, coordinación y todos aquellos aspectos que se consideren pertinentes”.</w:t>
      </w:r>
    </w:p>
  </w:footnote>
  <w:footnote w:id="3">
    <w:p w14:paraId="67A8A8C9" w14:textId="77777777" w:rsidR="00AA4423" w:rsidRPr="00881DAB" w:rsidRDefault="00AA4423" w:rsidP="00AA4423">
      <w:pPr>
        <w:pStyle w:val="Textonotapie"/>
        <w:ind w:firstLine="708"/>
        <w:jc w:val="both"/>
        <w:rPr>
          <w:rFonts w:ascii="Verdana" w:hAnsi="Verdana" w:cs="Arial"/>
          <w:sz w:val="16"/>
          <w:szCs w:val="16"/>
        </w:rPr>
      </w:pPr>
      <w:r w:rsidRPr="00881DAB">
        <w:rPr>
          <w:rStyle w:val="Refdenotaalpie"/>
          <w:rFonts w:ascii="Verdana" w:hAnsi="Verdana" w:cs="Arial"/>
          <w:sz w:val="16"/>
          <w:szCs w:val="16"/>
        </w:rPr>
        <w:footnoteRef/>
      </w:r>
      <w:r w:rsidRPr="00881DAB">
        <w:rPr>
          <w:rFonts w:ascii="Verdana" w:hAnsi="Verdana" w:cs="Arial"/>
          <w:sz w:val="16"/>
          <w:szCs w:val="16"/>
        </w:rPr>
        <w:t xml:space="preserve"> Concepto del 3 de septiembre de 2019, con radicado No. 2201913000006512.</w:t>
      </w:r>
    </w:p>
  </w:footnote>
  <w:footnote w:id="4">
    <w:p w14:paraId="4C600893" w14:textId="77777777" w:rsidR="00AA4423" w:rsidRPr="00881DAB" w:rsidRDefault="00AA4423" w:rsidP="00AA4423">
      <w:pPr>
        <w:pStyle w:val="Textonotapie"/>
        <w:ind w:firstLine="708"/>
        <w:jc w:val="both"/>
        <w:rPr>
          <w:rFonts w:ascii="Verdana" w:hAnsi="Verdana" w:cs="Arial"/>
          <w:sz w:val="16"/>
          <w:szCs w:val="16"/>
        </w:rPr>
      </w:pPr>
      <w:r w:rsidRPr="00881DAB">
        <w:rPr>
          <w:rStyle w:val="Refdenotaalpie"/>
          <w:rFonts w:ascii="Verdana" w:hAnsi="Verdana" w:cs="Arial"/>
          <w:sz w:val="16"/>
          <w:szCs w:val="16"/>
        </w:rPr>
        <w:footnoteRef/>
      </w:r>
      <w:r w:rsidRPr="00881DAB">
        <w:rPr>
          <w:rFonts w:ascii="Verdana" w:hAnsi="Verdana" w:cs="Arial"/>
          <w:sz w:val="16"/>
          <w:szCs w:val="16"/>
        </w:rPr>
        <w:t xml:space="preserve"> Sobre la naturaleza de los convenios de asociación, se reitera lo expuesto en el concepto del 19 de noviembre de 2019, con radicado No. 2201913000008611.</w:t>
      </w:r>
    </w:p>
  </w:footnote>
  <w:footnote w:id="5">
    <w:p w14:paraId="1B35DC47" w14:textId="77777777" w:rsidR="00AA4423" w:rsidRPr="00881DAB" w:rsidRDefault="00AA4423" w:rsidP="00AA4423">
      <w:pPr>
        <w:pStyle w:val="Textonotapie"/>
        <w:ind w:firstLine="708"/>
        <w:jc w:val="both"/>
        <w:rPr>
          <w:rFonts w:ascii="Verdana" w:hAnsi="Verdana" w:cs="Arial"/>
          <w:color w:val="000000" w:themeColor="text1"/>
          <w:sz w:val="16"/>
          <w:szCs w:val="16"/>
        </w:rPr>
      </w:pPr>
      <w:r w:rsidRPr="00881DAB">
        <w:rPr>
          <w:rStyle w:val="Refdenotaalpie"/>
          <w:rFonts w:ascii="Verdana" w:hAnsi="Verdana" w:cs="Arial"/>
          <w:color w:val="000000" w:themeColor="text1"/>
          <w:sz w:val="16"/>
          <w:szCs w:val="16"/>
        </w:rPr>
        <w:footnoteRef/>
      </w:r>
      <w:r w:rsidRPr="00881DAB">
        <w:rPr>
          <w:rFonts w:ascii="Verdana" w:hAnsi="Verdana" w:cs="Arial"/>
          <w:color w:val="000000" w:themeColor="text1"/>
          <w:sz w:val="16"/>
          <w:szCs w:val="16"/>
        </w:rPr>
        <w:t xml:space="preserve"> Cfr. Concepto del 21 de agosto de 2019, dictado dentro del radicado No. 2201913000006047.</w:t>
      </w:r>
    </w:p>
  </w:footnote>
  <w:footnote w:id="6">
    <w:p w14:paraId="7C504058" w14:textId="77777777" w:rsidR="00AA4423" w:rsidRPr="00881DAB" w:rsidRDefault="00AA4423" w:rsidP="00AA4423">
      <w:pPr>
        <w:pStyle w:val="Textonotapie"/>
        <w:ind w:firstLine="708"/>
        <w:jc w:val="both"/>
        <w:rPr>
          <w:rFonts w:ascii="Verdana" w:hAnsi="Verdana" w:cs="Arial"/>
          <w:color w:val="000000" w:themeColor="text1"/>
          <w:sz w:val="16"/>
          <w:szCs w:val="16"/>
          <w:lang w:val="es-ES"/>
        </w:rPr>
      </w:pPr>
      <w:r w:rsidRPr="00881DAB">
        <w:rPr>
          <w:rStyle w:val="Refdenotaalpie"/>
          <w:rFonts w:ascii="Verdana" w:hAnsi="Verdana" w:cs="Arial"/>
          <w:color w:val="000000" w:themeColor="text1"/>
          <w:sz w:val="16"/>
          <w:szCs w:val="16"/>
        </w:rPr>
        <w:footnoteRef/>
      </w:r>
      <w:r w:rsidRPr="00881DAB">
        <w:rPr>
          <w:rFonts w:ascii="Verdana" w:hAnsi="Verdana" w:cs="Arial"/>
          <w:color w:val="000000" w:themeColor="text1"/>
          <w:sz w:val="16"/>
          <w:szCs w:val="16"/>
        </w:rPr>
        <w:t xml:space="preserve"> Concepto del 24 de febrero de 2005, con radicado No. 1626, C.P. Dra. Gloria Duque Hernández</w:t>
      </w:r>
    </w:p>
  </w:footnote>
  <w:footnote w:id="7">
    <w:p w14:paraId="2DC164C9" w14:textId="77777777" w:rsidR="00AA4423" w:rsidRPr="00881DAB" w:rsidRDefault="00AA4423" w:rsidP="00AA4423">
      <w:pPr>
        <w:pStyle w:val="Textonotapie"/>
        <w:ind w:firstLine="708"/>
        <w:jc w:val="both"/>
        <w:rPr>
          <w:rFonts w:ascii="Verdana" w:hAnsi="Verdana" w:cs="Arial"/>
          <w:color w:val="000000" w:themeColor="text1"/>
          <w:sz w:val="16"/>
          <w:szCs w:val="16"/>
        </w:rPr>
      </w:pPr>
      <w:r w:rsidRPr="00881DAB">
        <w:rPr>
          <w:rStyle w:val="Refdenotaalpie"/>
          <w:rFonts w:ascii="Verdana" w:hAnsi="Verdana" w:cs="Arial"/>
          <w:color w:val="000000" w:themeColor="text1"/>
          <w:sz w:val="16"/>
          <w:szCs w:val="16"/>
        </w:rPr>
        <w:footnoteRef/>
      </w:r>
      <w:r w:rsidRPr="00881DAB">
        <w:rPr>
          <w:rFonts w:ascii="Verdana" w:hAnsi="Verdana" w:cs="Arial"/>
          <w:color w:val="000000" w:themeColor="text1"/>
          <w:sz w:val="16"/>
          <w:szCs w:val="16"/>
        </w:rPr>
        <w:t xml:space="preserve"> Decreto 1082, artículo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footnote>
  <w:footnote w:id="8">
    <w:p w14:paraId="6F442D63" w14:textId="77777777" w:rsidR="00AA4423" w:rsidRPr="00881DAB" w:rsidRDefault="00AA4423" w:rsidP="00AA4423">
      <w:pPr>
        <w:pStyle w:val="Textonotapie"/>
        <w:ind w:firstLine="708"/>
        <w:jc w:val="both"/>
        <w:rPr>
          <w:rFonts w:ascii="Verdana" w:hAnsi="Verdana" w:cs="Arial"/>
          <w:sz w:val="16"/>
          <w:szCs w:val="16"/>
        </w:rPr>
      </w:pPr>
      <w:r w:rsidRPr="00881DAB">
        <w:rPr>
          <w:rStyle w:val="Refdenotaalpie"/>
          <w:rFonts w:ascii="Verdana" w:hAnsi="Verdana"/>
          <w:sz w:val="16"/>
          <w:szCs w:val="16"/>
        </w:rPr>
        <w:footnoteRef/>
      </w:r>
      <w:r w:rsidRPr="00881DAB">
        <w:rPr>
          <w:rFonts w:ascii="Verdana" w:hAnsi="Verdana"/>
          <w:sz w:val="16"/>
          <w:szCs w:val="16"/>
        </w:rPr>
        <w:t xml:space="preserve"> </w:t>
      </w:r>
      <w:r w:rsidRPr="00881DAB">
        <w:rPr>
          <w:rFonts w:ascii="Verdana" w:hAnsi="Verdana" w:cs="Arial"/>
          <w:sz w:val="16"/>
          <w:szCs w:val="16"/>
        </w:rPr>
        <w:t>Al respecto, el artículo 1501 del Código Civil prescribe lo siguiente: “Se distinguen en cada contrato las cosas que son de su esencia, las que son de su naturaleza, y las puramente accidentales. Son de la esencia de un contrato aquellas cosas sin las cuales, o no produce efecto alguno, o degeneran en otro contrato diferente; son de la naturaleza de un contrato las que no siendo esenciales en él, se entienden pertenecerle, sin necesidad de una cláusula especial; y son accidentales a un contrato aquellas que ni esencial ni naturalmente le pertenecen, y que se le agregan por medio de cláusulas especiales”.</w:t>
      </w:r>
    </w:p>
  </w:footnote>
  <w:footnote w:id="9">
    <w:p w14:paraId="258E1BEA" w14:textId="77777777" w:rsidR="00AA4423" w:rsidRPr="005C303C" w:rsidRDefault="00AA4423" w:rsidP="00AA4423">
      <w:pPr>
        <w:pStyle w:val="Textonotapie"/>
        <w:ind w:firstLine="708"/>
        <w:jc w:val="both"/>
        <w:rPr>
          <w:rFonts w:ascii="Verdana" w:hAnsi="Verdana" w:cs="Arial"/>
          <w:color w:val="000000" w:themeColor="text1"/>
          <w:sz w:val="16"/>
          <w:szCs w:val="16"/>
        </w:rPr>
      </w:pPr>
      <w:r w:rsidRPr="005C303C">
        <w:rPr>
          <w:rStyle w:val="Refdenotaalpie"/>
          <w:rFonts w:ascii="Verdana" w:hAnsi="Verdana" w:cs="Arial"/>
          <w:color w:val="000000" w:themeColor="text1"/>
          <w:sz w:val="16"/>
          <w:szCs w:val="16"/>
        </w:rPr>
        <w:footnoteRef/>
      </w:r>
      <w:r w:rsidRPr="00801CC4">
        <w:rPr>
          <w:rFonts w:ascii="Verdana" w:hAnsi="Verdana" w:cs="Arial"/>
          <w:color w:val="000000" w:themeColor="text1"/>
          <w:sz w:val="16"/>
          <w:szCs w:val="16"/>
          <w:lang w:val="pt-BR"/>
        </w:rPr>
        <w:t xml:space="preserve"> CORTE CONSTITUCIONAL. Sentencia C-452 de 1999. </w:t>
      </w:r>
      <w:r w:rsidRPr="005C303C">
        <w:rPr>
          <w:rFonts w:ascii="Verdana" w:hAnsi="Verdana" w:cs="Arial"/>
          <w:color w:val="000000" w:themeColor="text1"/>
          <w:sz w:val="16"/>
          <w:szCs w:val="16"/>
        </w:rPr>
        <w:t xml:space="preserve">M.P. Eduardo Cifuentes Muñoz. </w:t>
      </w:r>
    </w:p>
  </w:footnote>
  <w:footnote w:id="10">
    <w:p w14:paraId="57D19787" w14:textId="77777777" w:rsidR="00AA4423" w:rsidRPr="005C303C" w:rsidRDefault="00AA4423" w:rsidP="00AA4423">
      <w:pPr>
        <w:pStyle w:val="Textonotapie"/>
        <w:ind w:firstLine="708"/>
        <w:jc w:val="both"/>
        <w:rPr>
          <w:rFonts w:ascii="Verdana" w:hAnsi="Verdana" w:cs="Arial"/>
          <w:color w:val="000000" w:themeColor="text1"/>
          <w:sz w:val="16"/>
          <w:szCs w:val="16"/>
        </w:rPr>
      </w:pPr>
      <w:r w:rsidRPr="005C303C">
        <w:rPr>
          <w:rStyle w:val="Refdenotaalpie"/>
          <w:rFonts w:ascii="Verdana" w:hAnsi="Verdana" w:cs="Arial"/>
          <w:color w:val="000000" w:themeColor="text1"/>
          <w:sz w:val="16"/>
          <w:szCs w:val="16"/>
        </w:rPr>
        <w:footnoteRef/>
      </w:r>
      <w:r w:rsidRPr="005C303C">
        <w:rPr>
          <w:rFonts w:ascii="Verdana" w:hAnsi="Verdana" w:cs="Arial"/>
          <w:color w:val="000000" w:themeColor="text1"/>
          <w:sz w:val="16"/>
          <w:szCs w:val="16"/>
        </w:rPr>
        <w:t xml:space="preserve"> DROMI, José Roberto. La licitación pública. Buenos Aires: Ciudad Argentina, 1980. pp. 288-289.</w:t>
      </w:r>
    </w:p>
  </w:footnote>
  <w:footnote w:id="11">
    <w:p w14:paraId="1EAF06BD" w14:textId="77777777" w:rsidR="00AA4423" w:rsidRPr="005C303C" w:rsidRDefault="00AA4423" w:rsidP="00AA4423">
      <w:pPr>
        <w:pStyle w:val="Textonotapie"/>
        <w:ind w:firstLine="708"/>
        <w:jc w:val="both"/>
        <w:rPr>
          <w:rFonts w:ascii="Verdana" w:hAnsi="Verdana" w:cs="Arial"/>
          <w:sz w:val="16"/>
          <w:szCs w:val="16"/>
        </w:rPr>
      </w:pPr>
      <w:r w:rsidRPr="005C303C">
        <w:rPr>
          <w:rStyle w:val="Refdenotaalpie"/>
          <w:rFonts w:ascii="Verdana" w:hAnsi="Verdana" w:cs="Arial"/>
          <w:sz w:val="16"/>
          <w:szCs w:val="16"/>
        </w:rPr>
        <w:footnoteRef/>
      </w:r>
      <w:r w:rsidRPr="005C303C">
        <w:rPr>
          <w:rFonts w:ascii="Verdana" w:hAnsi="Verdana" w:cs="Arial"/>
          <w:sz w:val="16"/>
          <w:szCs w:val="16"/>
        </w:rPr>
        <w:t xml:space="preserve"> Para la jurisprudencia, “[…] los seguros de cumplimiento, específicamente, el de contratos estatales, son aquellos que garantizan al acreedor (entidad estatal) que serán resarcidos los daños que pueda provocar el incumplimiento de las obligaciones del deudor (contratista) dentro del marco de una relación contractual. Así, pues, el riesgo asegurado en esta categoría de seguros, visto de manera general, lo constituye el incumplimiento de las obligaciones contractuales a cargo del deudor (contratista), quien a su vez es el tomador de la póliza, de modo que el objeto de las obligaciones garantizadas es lo que determina o particulariza el riesgo asegurado” (CONSEJO DE ESTADO. Sección Tercera. Subsección A. Sentencia del 12 de febrero de 2015. Exp.  28278. C.P. Carlos Alberto Zambrano Barrera).</w:t>
      </w:r>
    </w:p>
  </w:footnote>
  <w:footnote w:id="12">
    <w:p w14:paraId="3BA23B54" w14:textId="77777777" w:rsidR="00AA4423" w:rsidRPr="005C303C" w:rsidRDefault="00AA4423" w:rsidP="00AA4423">
      <w:pPr>
        <w:pStyle w:val="Textonotapie"/>
        <w:ind w:firstLine="709"/>
        <w:jc w:val="both"/>
        <w:rPr>
          <w:rFonts w:ascii="Verdana" w:hAnsi="Verdana" w:cs="Arial"/>
          <w:color w:val="000000" w:themeColor="text1"/>
          <w:sz w:val="16"/>
          <w:szCs w:val="16"/>
        </w:rPr>
      </w:pPr>
      <w:r w:rsidRPr="005C303C">
        <w:rPr>
          <w:rStyle w:val="Refdenotaalpie"/>
          <w:rFonts w:ascii="Verdana" w:hAnsi="Verdana" w:cs="Arial"/>
          <w:color w:val="000000" w:themeColor="text1"/>
          <w:sz w:val="16"/>
          <w:szCs w:val="16"/>
        </w:rPr>
        <w:footnoteRef/>
      </w:r>
      <w:r w:rsidRPr="005C303C">
        <w:rPr>
          <w:rFonts w:ascii="Verdana" w:hAnsi="Verdana" w:cs="Arial"/>
          <w:color w:val="000000" w:themeColor="text1"/>
          <w:sz w:val="16"/>
          <w:szCs w:val="16"/>
        </w:rPr>
        <w:t xml:space="preserve"> ORDÓÑEZ ORDÓÑEZ, Andrés E. Seguro de cumplimiento de los contratos estatales en Colombia. Bogotá: Universidad Externado de Colombia, 2011. p. 44.</w:t>
      </w:r>
    </w:p>
  </w:footnote>
  <w:footnote w:id="13">
    <w:p w14:paraId="59CAE7F8" w14:textId="77777777" w:rsidR="00AA4423" w:rsidRPr="005C303C" w:rsidRDefault="00AA4423" w:rsidP="00AA4423">
      <w:pPr>
        <w:pStyle w:val="Textonotapie"/>
        <w:ind w:firstLine="709"/>
        <w:jc w:val="both"/>
        <w:rPr>
          <w:rFonts w:ascii="Verdana" w:hAnsi="Verdana" w:cs="Arial"/>
          <w:color w:val="000000" w:themeColor="text1"/>
          <w:sz w:val="16"/>
          <w:szCs w:val="16"/>
          <w:lang w:val="es-ES"/>
        </w:rPr>
      </w:pPr>
      <w:r w:rsidRPr="005C303C">
        <w:rPr>
          <w:rStyle w:val="Refdenotaalpie"/>
          <w:rFonts w:ascii="Verdana" w:hAnsi="Verdana" w:cs="Arial"/>
          <w:color w:val="000000" w:themeColor="text1"/>
          <w:sz w:val="16"/>
          <w:szCs w:val="16"/>
        </w:rPr>
        <w:footnoteRef/>
      </w:r>
      <w:r w:rsidRPr="005C303C">
        <w:rPr>
          <w:rFonts w:ascii="Verdana" w:hAnsi="Verdana" w:cs="Arial"/>
          <w:color w:val="000000" w:themeColor="text1"/>
          <w:sz w:val="16"/>
          <w:szCs w:val="16"/>
        </w:rPr>
        <w:t xml:space="preserve"> Al respecto, el inciso primero del artículo 1068 del Código de Comercio dispone lo siguiente: “La mora en el pago de la prima de la póliza o de los certificados o anexos que se expidan con fundamento en ella, producirá la terminación automática del contrato y dará derecho al asegurador para exigir el pago de la prima devengada y de los gastos causados con ocasión de la expedición del contrato. </w:t>
      </w:r>
      <w:r w:rsidRPr="005C303C">
        <w:rPr>
          <w:rFonts w:ascii="Verdana" w:hAnsi="Verdana" w:cs="Arial"/>
          <w:color w:val="000000" w:themeColor="text1"/>
          <w:sz w:val="16"/>
          <w:szCs w:val="16"/>
          <w:lang w:val="es-ES"/>
        </w:rPr>
        <w:t xml:space="preserve">Igualmente, el inciso primero del artículo 1071 </w:t>
      </w:r>
      <w:r w:rsidRPr="005C303C">
        <w:rPr>
          <w:rFonts w:ascii="Verdana" w:hAnsi="Verdana" w:cs="Arial"/>
          <w:i/>
          <w:iCs/>
          <w:color w:val="000000" w:themeColor="text1"/>
          <w:sz w:val="16"/>
          <w:szCs w:val="16"/>
          <w:lang w:val="es-ES"/>
        </w:rPr>
        <w:t>ibidem</w:t>
      </w:r>
      <w:r w:rsidRPr="005C303C">
        <w:rPr>
          <w:rFonts w:ascii="Verdana" w:hAnsi="Verdana" w:cs="Arial"/>
          <w:color w:val="000000" w:themeColor="text1"/>
          <w:sz w:val="16"/>
          <w:szCs w:val="16"/>
          <w:lang w:val="es-ES"/>
        </w:rPr>
        <w:t xml:space="preserve"> prescribe: “El contrato de seguro podrá ser revocado unilateralmente por los contratantes. Por el asegurador, mediante noticia escrita al asegurado, enviada a su última dirección conocida, con no menos de diez días de antelación, contados a partir de la fecha del envío; por el asegurado, en cualquier momento, mediante aviso escrito al asegurador”.  </w:t>
      </w:r>
    </w:p>
  </w:footnote>
  <w:footnote w:id="14">
    <w:p w14:paraId="583208DB" w14:textId="77777777" w:rsidR="00AA4423" w:rsidRPr="005C303C" w:rsidRDefault="00AA4423" w:rsidP="00AA4423">
      <w:pPr>
        <w:pStyle w:val="Textonotapie"/>
        <w:ind w:firstLine="709"/>
        <w:jc w:val="both"/>
        <w:rPr>
          <w:rFonts w:ascii="Verdana" w:hAnsi="Verdana" w:cs="Arial"/>
          <w:color w:val="000000" w:themeColor="text1"/>
          <w:sz w:val="16"/>
          <w:szCs w:val="16"/>
        </w:rPr>
      </w:pPr>
      <w:r w:rsidRPr="005C303C">
        <w:rPr>
          <w:rStyle w:val="Refdenotaalpie"/>
          <w:rFonts w:ascii="Verdana" w:hAnsi="Verdana" w:cs="Arial"/>
          <w:color w:val="000000" w:themeColor="text1"/>
          <w:sz w:val="16"/>
          <w:szCs w:val="16"/>
        </w:rPr>
        <w:footnoteRef/>
      </w:r>
      <w:r w:rsidRPr="005C303C">
        <w:rPr>
          <w:rFonts w:ascii="Verdana" w:hAnsi="Verdana" w:cs="Arial"/>
          <w:color w:val="000000" w:themeColor="text1"/>
          <w:sz w:val="16"/>
          <w:szCs w:val="16"/>
        </w:rPr>
        <w:t xml:space="preserve"> ESCOBAR GIL, Rodrigo. Teoría general de los contratos de la Administración pública. Bogotá: Legis, 2000. p. 247. Respecto a las pólizas, la doctrina explica que “En rigor, el seguro no elimina el daño sino que tolera que sus consecuencias resulten transferidas (trasladadas) por el sujeto amenazado por un evento económicamente desfavorable, a otro (asegurador) que, a esos fines, ha constituido una mutualidad especialmente ‘preparada para absorber el riesgo de indemnización’” (Cfr. STIGLITZ, Rubén S. Derecho de seguros. Tomo I. Tercera Edición. Buenos Aires: Abeledo – Perrot, 2001. p. 21).</w:t>
      </w:r>
    </w:p>
  </w:footnote>
  <w:footnote w:id="15">
    <w:p w14:paraId="128AABC1" w14:textId="77777777" w:rsidR="00AA4423" w:rsidRPr="005C303C" w:rsidRDefault="00AA4423" w:rsidP="00AA4423">
      <w:pPr>
        <w:pStyle w:val="Textonotapie"/>
        <w:ind w:firstLine="708"/>
        <w:jc w:val="both"/>
        <w:rPr>
          <w:rFonts w:ascii="Verdana" w:hAnsi="Verdana" w:cs="Arial"/>
          <w:color w:val="000000" w:themeColor="text1"/>
          <w:sz w:val="16"/>
          <w:szCs w:val="16"/>
          <w:lang w:val="es-CO"/>
        </w:rPr>
      </w:pPr>
      <w:r w:rsidRPr="005C303C">
        <w:rPr>
          <w:rStyle w:val="Refdenotaalpie"/>
          <w:rFonts w:ascii="Verdana" w:hAnsi="Verdana" w:cs="Arial"/>
          <w:color w:val="000000" w:themeColor="text1"/>
          <w:sz w:val="16"/>
          <w:szCs w:val="16"/>
        </w:rPr>
        <w:footnoteRef/>
      </w:r>
      <w:r w:rsidRPr="005C303C">
        <w:rPr>
          <w:rFonts w:ascii="Verdana" w:hAnsi="Verdana" w:cs="Arial"/>
          <w:color w:val="000000" w:themeColor="text1"/>
          <w:sz w:val="16"/>
          <w:szCs w:val="16"/>
        </w:rPr>
        <w:t xml:space="preserve"> </w:t>
      </w:r>
      <w:r w:rsidRPr="005C303C">
        <w:rPr>
          <w:rFonts w:ascii="Verdana" w:hAnsi="Verdana" w:cs="Arial"/>
          <w:color w:val="000000" w:themeColor="text1"/>
          <w:sz w:val="16"/>
          <w:szCs w:val="16"/>
          <w:lang w:val="es-CO"/>
        </w:rPr>
        <w:t xml:space="preserve">“Artículo 2.2.1.2.3.1.3. Indivisibilidad de la garantía. La garantía de cobertura del Riesgo es indivisible. Sin embargo, en los contratos con un plazo mayor a cinco (5) años las garantías pueden cubrir los Riesgos de la Etapa del Contrato o del Periodo Contractual, de acuerdo con lo previsto en el contrato. </w:t>
      </w:r>
    </w:p>
    <w:p w14:paraId="6CEBB7B1" w14:textId="77777777" w:rsidR="00AA4423" w:rsidRPr="005C303C" w:rsidRDefault="00AA4423" w:rsidP="00AA4423">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En consecuencia, la Entidad Estatal en los pliegos de condiciones para la Contratación debe indicar las garantías que exige en cada Etapa del Contrato o cada Periodo Contractual así: </w:t>
      </w:r>
    </w:p>
    <w:p w14:paraId="29F3046D" w14:textId="77777777" w:rsidR="00AA4423" w:rsidRPr="005C303C" w:rsidRDefault="00AA4423" w:rsidP="00AA4423">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1. La Entidad Estatal debe exigir una garantía independiente para cada Etapa del Contrato o cada Periodo Contractual o cada unidad funcional en el caso de las Asociaciones Público Privadas, cuya vigencia debe ser por lo menos la misma establecida para la Etapa del Contrato o Periodo Contractual respectivo. </w:t>
      </w:r>
    </w:p>
    <w:p w14:paraId="6AFD9E7D" w14:textId="77777777" w:rsidR="00AA4423" w:rsidRPr="005C303C" w:rsidRDefault="00AA4423" w:rsidP="00AA4423">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2. La Entidad Estatal debe calcular el valor asegurado para cada Etapa del Contrato, Periodo Contractual o unidad funcional, tomando el valor de las obligaciones del contratista para cada Etapa del Contrato, Periodo Contractual o unidad funcional y de acuerdo con las reglas de suficiencia de las garantías establecidas en el presente título. </w:t>
      </w:r>
    </w:p>
    <w:p w14:paraId="1EB619E6" w14:textId="77777777" w:rsidR="00AA4423" w:rsidRPr="005C303C" w:rsidRDefault="00AA4423" w:rsidP="00AA4423">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3. Antes del vencimiento de cada Etapa del Contrato o cada Periodo Contractual, el contratista está obligado a obtener una nueva garantía que ampare el cumplimiento de sus obligaciones para la Etapa del Contrato o Periodo Contractual subsiguiente, si no lo hiciere se aplicarán las reglas previstas para el restablecimiento de la garantía. </w:t>
      </w:r>
    </w:p>
    <w:p w14:paraId="4B0C4307" w14:textId="77777777" w:rsidR="00AA4423" w:rsidRPr="005C303C" w:rsidRDefault="00AA4423" w:rsidP="00AA4423">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Si el garante de una Etapa del Contrato o un Periodo Contractual decide no continuar garantizando la Etapa del Contrato o Periodo Contractual subsiguiente, debe informar su decisión por escrito a la Entidad Estatal garantizada seis (6) meses antes del vencimiento del plazo de la garantía. Este aviso no afecta la garantía de la Etapa Contractual o Periodo Contractual en ejecución. Si el garante no da el aviso con la anticipación mencionada y el contratista no obtiene una nueva garantía, queda obligado a garantizar la Etapa del Contrato o el Periodo Contractual subsiguiente”.</w:t>
      </w:r>
    </w:p>
  </w:footnote>
  <w:footnote w:id="16">
    <w:p w14:paraId="30743F68" w14:textId="77777777" w:rsidR="00AA4423" w:rsidRPr="005C303C" w:rsidRDefault="00AA4423" w:rsidP="00AA4423">
      <w:pPr>
        <w:pStyle w:val="Textonotapie"/>
        <w:ind w:firstLine="708"/>
        <w:jc w:val="both"/>
        <w:rPr>
          <w:rFonts w:ascii="Verdana" w:hAnsi="Verdana" w:cs="Arial"/>
          <w:color w:val="000000" w:themeColor="text1"/>
          <w:sz w:val="16"/>
          <w:szCs w:val="16"/>
          <w:lang w:val="es-CO"/>
        </w:rPr>
      </w:pPr>
      <w:r w:rsidRPr="005C303C">
        <w:rPr>
          <w:rStyle w:val="Refdenotaalpie"/>
          <w:rFonts w:ascii="Verdana" w:hAnsi="Verdana" w:cs="Arial"/>
          <w:color w:val="000000" w:themeColor="text1"/>
          <w:sz w:val="16"/>
          <w:szCs w:val="16"/>
        </w:rPr>
        <w:footnoteRef/>
      </w:r>
      <w:r w:rsidRPr="005C303C">
        <w:rPr>
          <w:rFonts w:ascii="Verdana" w:hAnsi="Verdana" w:cs="Arial"/>
          <w:color w:val="000000" w:themeColor="text1"/>
          <w:sz w:val="16"/>
          <w:szCs w:val="16"/>
        </w:rPr>
        <w:t xml:space="preserve"> </w:t>
      </w:r>
      <w:r w:rsidRPr="005C303C">
        <w:rPr>
          <w:rFonts w:ascii="Verdana" w:hAnsi="Verdana" w:cs="Arial"/>
          <w:color w:val="000000" w:themeColor="text1"/>
          <w:sz w:val="16"/>
          <w:szCs w:val="16"/>
          <w:lang w:val="es-CO"/>
        </w:rPr>
        <w:t xml:space="preserve">“Artículo </w:t>
      </w:r>
      <w:bookmarkStart w:id="16" w:name="_Hlk67919994"/>
      <w:r w:rsidRPr="005C303C">
        <w:rPr>
          <w:rFonts w:ascii="Verdana" w:hAnsi="Verdana" w:cs="Arial"/>
          <w:color w:val="000000" w:themeColor="text1"/>
          <w:sz w:val="16"/>
          <w:szCs w:val="16"/>
          <w:lang w:val="es-CO"/>
        </w:rPr>
        <w:t>2.2.1.2.3.1.7</w:t>
      </w:r>
      <w:bookmarkEnd w:id="16"/>
      <w:r w:rsidRPr="005C303C">
        <w:rPr>
          <w:rFonts w:ascii="Verdana" w:hAnsi="Verdana" w:cs="Arial"/>
          <w:color w:val="000000" w:themeColor="text1"/>
          <w:sz w:val="16"/>
          <w:szCs w:val="16"/>
          <w:lang w:val="es-CO"/>
        </w:rPr>
        <w:t xml:space="preserve">. Garantía de cumplimiento. La garantía de cumplimiento del contrato debe cubrir: </w:t>
      </w:r>
    </w:p>
    <w:p w14:paraId="76B146C7" w14:textId="77777777" w:rsidR="00AA4423" w:rsidRPr="005C303C" w:rsidRDefault="00AA4423" w:rsidP="00AA4423">
      <w:pPr>
        <w:pStyle w:val="Textonotapie"/>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  </w:t>
      </w:r>
      <w:r w:rsidRPr="005C303C">
        <w:rPr>
          <w:rFonts w:ascii="Verdana" w:hAnsi="Verdana" w:cs="Arial"/>
          <w:color w:val="000000" w:themeColor="text1"/>
          <w:sz w:val="16"/>
          <w:szCs w:val="16"/>
          <w:lang w:val="es-CO"/>
        </w:rPr>
        <w:tab/>
        <w:t>1. Buen manejo y correcta inversión del anticipo. Este amparo cubre los perjuicios sufridos por la Entidad Estatal con ocasión de: (i) la no inversión del anticipo; (ii) el uso indebido del anticipo; y (iii) la apropiación indebida de los recursos recibidos en calidad de anticipo</w:t>
      </w:r>
    </w:p>
    <w:p w14:paraId="09F543DF" w14:textId="77777777" w:rsidR="00AA4423" w:rsidRPr="005C303C" w:rsidRDefault="00AA4423" w:rsidP="00AA4423">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2. Devolución del pago anticipado. Este amparo cubre los perjuicios sufridos por la Entidad Estatal por la no devolución total o parcial del dinero entregado al contratista a título de pago anticipado, cuando a ello hubiere lugar. </w:t>
      </w:r>
    </w:p>
    <w:p w14:paraId="213973FE" w14:textId="77777777" w:rsidR="00AA4423" w:rsidRPr="005C303C" w:rsidRDefault="00AA4423" w:rsidP="00AA4423">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3. Cumplimiento del contrato. Este amparo cubre a la Entidad Estatal de los perjuicios derivados de: </w:t>
      </w:r>
    </w:p>
    <w:p w14:paraId="342390AB" w14:textId="77777777" w:rsidR="00AA4423" w:rsidRPr="005C303C" w:rsidRDefault="00AA4423" w:rsidP="00AA4423">
      <w:pPr>
        <w:pStyle w:val="Textonotapie"/>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  </w:t>
      </w:r>
      <w:r w:rsidRPr="005C303C">
        <w:rPr>
          <w:rFonts w:ascii="Verdana" w:hAnsi="Verdana" w:cs="Arial"/>
          <w:color w:val="000000" w:themeColor="text1"/>
          <w:sz w:val="16"/>
          <w:szCs w:val="16"/>
          <w:lang w:val="es-CO"/>
        </w:rPr>
        <w:tab/>
        <w:t xml:space="preserve">3.1. </w:t>
      </w:r>
      <w:bookmarkStart w:id="17" w:name="_Hlk67920056"/>
      <w:r w:rsidRPr="005C303C">
        <w:rPr>
          <w:rFonts w:ascii="Verdana" w:hAnsi="Verdana" w:cs="Arial"/>
          <w:color w:val="000000" w:themeColor="text1"/>
          <w:sz w:val="16"/>
          <w:szCs w:val="16"/>
          <w:lang w:val="es-CO"/>
        </w:rPr>
        <w:t xml:space="preserve">El incumplimiento total o parcial del contrato, cuando el incumplimiento es imputable al contratista; </w:t>
      </w:r>
    </w:p>
    <w:p w14:paraId="5371CF34" w14:textId="77777777" w:rsidR="00AA4423" w:rsidRPr="005C303C" w:rsidRDefault="00AA4423" w:rsidP="00AA4423">
      <w:pPr>
        <w:pStyle w:val="Textonotapie"/>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  </w:t>
      </w:r>
      <w:r w:rsidRPr="005C303C">
        <w:rPr>
          <w:rFonts w:ascii="Verdana" w:hAnsi="Verdana" w:cs="Arial"/>
          <w:color w:val="000000" w:themeColor="text1"/>
          <w:sz w:val="16"/>
          <w:szCs w:val="16"/>
          <w:lang w:val="es-CO"/>
        </w:rPr>
        <w:tab/>
        <w:t xml:space="preserve">3.2. El cumplimiento tardío o defectuoso del contrato, cuando el incumplimiento es imputable al contratista; </w:t>
      </w:r>
    </w:p>
    <w:p w14:paraId="5026EAFC" w14:textId="77777777" w:rsidR="00AA4423" w:rsidRPr="005C303C" w:rsidRDefault="00AA4423" w:rsidP="00AA4423">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3.3. Los daños imputables al contratista por entregas parciales de la obra, cuando el contrato no prevé entregas parciales; y </w:t>
      </w:r>
    </w:p>
    <w:bookmarkEnd w:id="17"/>
    <w:p w14:paraId="0011B15F" w14:textId="77777777" w:rsidR="00AA4423" w:rsidRPr="005C303C" w:rsidRDefault="00AA4423" w:rsidP="00AA4423">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3.4. El pago del valor de las multas y de la cláusula penal pecuniaria. </w:t>
      </w:r>
    </w:p>
    <w:p w14:paraId="41CE4B99" w14:textId="77777777" w:rsidR="00AA4423" w:rsidRPr="005C303C" w:rsidRDefault="00AA4423" w:rsidP="00AA4423">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 </w:t>
      </w:r>
    </w:p>
    <w:p w14:paraId="22370E5E" w14:textId="77777777" w:rsidR="00AA4423" w:rsidRPr="005C303C" w:rsidRDefault="00AA4423" w:rsidP="00AA4423">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La Entidad Estatal no debe exigir una garantía para cubrir este Riesgo en los contratos que se ejecuten fuera del territorio nacional con personal contratado bajo un régimen jurídico distinto al colombiano. </w:t>
      </w:r>
    </w:p>
    <w:p w14:paraId="352EEED6" w14:textId="77777777" w:rsidR="00AA4423" w:rsidRPr="005C303C" w:rsidRDefault="00AA4423" w:rsidP="00AA4423">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5. Estabilidad y calidad de la obra. Este amparo cubre a la Entidad Estatal de los perjuicios ocasionados por cualquier tipo de daño o deterioro, imputable al contratista, sufrido por la obra entregada a satisfacción. </w:t>
      </w:r>
    </w:p>
    <w:p w14:paraId="648D548B" w14:textId="77777777" w:rsidR="00AA4423" w:rsidRPr="005C303C" w:rsidRDefault="00AA4423" w:rsidP="00AA4423">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6. Calidad del servicio. Este amparo cubre a la Entidad Estatal por los perjuicios derivados de la deficiente calidad del servicio prestado. </w:t>
      </w:r>
    </w:p>
    <w:p w14:paraId="1CF1394E" w14:textId="77777777" w:rsidR="00AA4423" w:rsidRPr="005C303C" w:rsidRDefault="00AA4423" w:rsidP="00AA4423">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7. Calidad y correcto funcionamiento de los bienes. Este amparo debe cubrir la calidad y el correcto funcionamiento de los bienes que recibe la Entidad Estatal en cumplimiento de un contrato. </w:t>
      </w:r>
    </w:p>
    <w:p w14:paraId="6D3032E2" w14:textId="77777777" w:rsidR="00AA4423" w:rsidRPr="005C303C" w:rsidRDefault="00AA4423" w:rsidP="00AA4423">
      <w:pPr>
        <w:pStyle w:val="Textonotapie"/>
        <w:ind w:firstLine="708"/>
        <w:jc w:val="both"/>
        <w:rPr>
          <w:rFonts w:ascii="Verdana" w:hAnsi="Verdana" w:cs="Arial"/>
          <w:color w:val="000000" w:themeColor="text1"/>
          <w:sz w:val="16"/>
          <w:szCs w:val="16"/>
          <w:lang w:val="es-CO"/>
        </w:rPr>
      </w:pPr>
      <w:r w:rsidRPr="005C303C">
        <w:rPr>
          <w:rFonts w:ascii="Verdana" w:hAnsi="Verdana" w:cs="Arial"/>
          <w:color w:val="000000" w:themeColor="text1"/>
          <w:sz w:val="16"/>
          <w:szCs w:val="16"/>
          <w:lang w:val="es-CO"/>
        </w:rPr>
        <w:t xml:space="preserve">8. </w:t>
      </w:r>
      <w:bookmarkStart w:id="18" w:name="_Hlk143267015"/>
      <w:r w:rsidRPr="005C303C">
        <w:rPr>
          <w:rFonts w:ascii="Verdana" w:hAnsi="Verdana" w:cs="Arial"/>
          <w:color w:val="000000" w:themeColor="text1"/>
          <w:sz w:val="16"/>
          <w:szCs w:val="16"/>
          <w:lang w:val="es-CO"/>
        </w:rPr>
        <w:t>Los demás incumplimientos de obligaciones que la Entidad Estatal considere deben ser amparados de manera proporcional y acorde a la naturaleza del contrato</w:t>
      </w:r>
      <w:bookmarkEnd w:id="18"/>
      <w:r w:rsidRPr="005C303C">
        <w:rPr>
          <w:rFonts w:ascii="Verdana" w:hAnsi="Verdana" w:cs="Arial"/>
          <w:color w:val="000000" w:themeColor="text1"/>
          <w:sz w:val="16"/>
          <w:szCs w:val="16"/>
          <w:lang w:val="es-CO"/>
        </w:rPr>
        <w:t>”.</w:t>
      </w:r>
    </w:p>
  </w:footnote>
  <w:footnote w:id="17">
    <w:p w14:paraId="6D1D083A" w14:textId="77777777" w:rsidR="00AA4423" w:rsidRPr="002E0A6A" w:rsidRDefault="00AA4423" w:rsidP="00AA4423">
      <w:pPr>
        <w:pStyle w:val="Textonotapie"/>
        <w:ind w:firstLine="708"/>
        <w:jc w:val="both"/>
        <w:rPr>
          <w:rFonts w:ascii="Verdana" w:hAnsi="Verdana"/>
          <w:sz w:val="16"/>
          <w:szCs w:val="16"/>
        </w:rPr>
      </w:pPr>
      <w:r w:rsidRPr="0073085E">
        <w:rPr>
          <w:rStyle w:val="Refdenotaalpie"/>
          <w:rFonts w:ascii="Verdana" w:hAnsi="Verdana"/>
          <w:sz w:val="16"/>
          <w:szCs w:val="16"/>
        </w:rPr>
        <w:footnoteRef/>
      </w:r>
      <w:r w:rsidRPr="0073085E">
        <w:rPr>
          <w:rFonts w:ascii="Verdana" w:hAnsi="Verdana"/>
          <w:sz w:val="16"/>
          <w:szCs w:val="16"/>
        </w:rPr>
        <w:t xml:space="preserve"> </w:t>
      </w:r>
      <w:r>
        <w:rPr>
          <w:rFonts w:ascii="Verdana" w:hAnsi="Verdana"/>
          <w:sz w:val="16"/>
          <w:szCs w:val="16"/>
        </w:rPr>
        <w:t>“</w:t>
      </w:r>
      <w:r w:rsidRPr="002E0A6A">
        <w:rPr>
          <w:rFonts w:ascii="Verdana" w:hAnsi="Verdana"/>
          <w:sz w:val="16"/>
          <w:szCs w:val="16"/>
        </w:rPr>
        <w:t>La garantía de cumplimiento del contrato debe tener una vigencia mínima hasta la liquidación del contrato. El valor de esta garantía debe ser de por lo menos el diez por ciento (10%) del valor del contrato a menos que el valor del contrato sea superior a un millón (1.000.000) de smmlv, caso en el cual la Entidad Estatal aplicará las siguientes reglas:</w:t>
      </w:r>
    </w:p>
    <w:p w14:paraId="0DD18A24" w14:textId="77777777" w:rsidR="00AA4423" w:rsidRPr="002E0A6A" w:rsidRDefault="00AA4423" w:rsidP="00AA4423">
      <w:pPr>
        <w:pStyle w:val="Textonotapie"/>
        <w:ind w:firstLine="708"/>
        <w:jc w:val="both"/>
        <w:rPr>
          <w:rFonts w:ascii="Verdana" w:hAnsi="Verdana"/>
          <w:sz w:val="16"/>
          <w:szCs w:val="16"/>
        </w:rPr>
      </w:pPr>
      <w:r w:rsidRPr="002E0A6A">
        <w:rPr>
          <w:rFonts w:ascii="Verdana" w:hAnsi="Verdana"/>
          <w:sz w:val="16"/>
          <w:szCs w:val="16"/>
        </w:rPr>
        <w:t>1. Si el valor del contrato es superior a un millón (1.000.000) de smmlv y hasta cinco millones (5.000.000) de smmlv, la Entidad Estatal puede aceptar garantías que cubran al menos el dos punto cinco por ciento (2,5%) del valor del contrato.</w:t>
      </w:r>
    </w:p>
    <w:p w14:paraId="3AAD3E4D" w14:textId="77777777" w:rsidR="00AA4423" w:rsidRPr="002E0A6A" w:rsidRDefault="00AA4423" w:rsidP="00AA4423">
      <w:pPr>
        <w:pStyle w:val="Textonotapie"/>
        <w:ind w:firstLine="708"/>
        <w:jc w:val="both"/>
        <w:rPr>
          <w:rFonts w:ascii="Verdana" w:hAnsi="Verdana"/>
          <w:sz w:val="16"/>
          <w:szCs w:val="16"/>
        </w:rPr>
      </w:pPr>
      <w:r w:rsidRPr="002E0A6A">
        <w:rPr>
          <w:rFonts w:ascii="Verdana" w:hAnsi="Verdana"/>
          <w:sz w:val="16"/>
          <w:szCs w:val="16"/>
        </w:rPr>
        <w:t>2. Si el valor del contrato es superior a cinco millones (5.000.000) de smmlv y hasta diez millones (10.000.000) de smmlv, la Entidad Estatal puede aceptar garantías que cubran al menos el uno por ciento (1%) del valor del contrato.</w:t>
      </w:r>
    </w:p>
    <w:p w14:paraId="233BE4CB" w14:textId="77777777" w:rsidR="00AA4423" w:rsidRPr="002E0A6A" w:rsidRDefault="00AA4423" w:rsidP="00AA4423">
      <w:pPr>
        <w:pStyle w:val="Textonotapie"/>
        <w:ind w:firstLine="708"/>
        <w:jc w:val="both"/>
        <w:rPr>
          <w:rFonts w:ascii="Verdana" w:hAnsi="Verdana"/>
          <w:sz w:val="16"/>
          <w:szCs w:val="16"/>
        </w:rPr>
      </w:pPr>
      <w:r w:rsidRPr="002E0A6A">
        <w:rPr>
          <w:rFonts w:ascii="Verdana" w:hAnsi="Verdana"/>
          <w:sz w:val="16"/>
          <w:szCs w:val="16"/>
        </w:rPr>
        <w:t>3. Si el valor del contrato es superior a diez millones (10.000.000) de smmlv, la Entidad Estatal puede aceptar garantías que cubran al menos el cero punto cinco por ciento (0,5%) del valor del contrato.</w:t>
      </w:r>
    </w:p>
    <w:p w14:paraId="4BC50AE6" w14:textId="77777777" w:rsidR="00AA4423" w:rsidRPr="002E0A6A" w:rsidRDefault="00AA4423" w:rsidP="00AA4423">
      <w:pPr>
        <w:pStyle w:val="Textonotapie"/>
        <w:ind w:firstLine="708"/>
        <w:jc w:val="both"/>
        <w:rPr>
          <w:rFonts w:ascii="Verdana" w:hAnsi="Verdana"/>
          <w:sz w:val="16"/>
          <w:szCs w:val="16"/>
          <w:lang w:val="es-CO"/>
        </w:rPr>
      </w:pPr>
      <w:r w:rsidRPr="002E0A6A">
        <w:rPr>
          <w:rFonts w:ascii="Verdana" w:hAnsi="Verdana"/>
          <w:sz w:val="16"/>
          <w:szCs w:val="16"/>
        </w:rPr>
        <w:t>4. Colombia Compra Eficiente debe determinar el valor de la garantía única de cumplimiento del Acuerdo Marco de Precios de acuerdo con el objeto, el valor, la naturaleza y las obligaciones contenidas en este</w:t>
      </w:r>
      <w:r>
        <w:rPr>
          <w:rFonts w:ascii="Verdana" w:hAnsi="Verdana"/>
          <w:sz w:val="16"/>
          <w:szCs w:val="16"/>
        </w:rPr>
        <w:t>”</w:t>
      </w:r>
      <w:r w:rsidRPr="002E0A6A">
        <w:rPr>
          <w:rFonts w:ascii="Verdana" w:hAnsi="Verdana"/>
          <w:sz w:val="16"/>
          <w:szCs w:val="16"/>
        </w:rPr>
        <w:t>.</w:t>
      </w:r>
    </w:p>
  </w:footnote>
  <w:footnote w:id="18">
    <w:p w14:paraId="613FFA83" w14:textId="77777777" w:rsidR="00AA4423" w:rsidRPr="002E0A6A" w:rsidRDefault="00AA4423" w:rsidP="00AA4423">
      <w:pPr>
        <w:pStyle w:val="Textonotapie"/>
        <w:ind w:firstLine="708"/>
        <w:jc w:val="both"/>
        <w:rPr>
          <w:rFonts w:ascii="Verdana" w:hAnsi="Verdana"/>
          <w:sz w:val="16"/>
          <w:szCs w:val="16"/>
          <w:lang w:val="es-CO"/>
        </w:rPr>
      </w:pPr>
      <w:r w:rsidRPr="0073085E">
        <w:rPr>
          <w:rStyle w:val="Refdenotaalpie"/>
          <w:rFonts w:ascii="Verdana" w:hAnsi="Verdana"/>
          <w:sz w:val="16"/>
          <w:szCs w:val="16"/>
        </w:rPr>
        <w:footnoteRef/>
      </w:r>
      <w:r w:rsidRPr="0073085E">
        <w:rPr>
          <w:rFonts w:ascii="Verdana" w:hAnsi="Verdana"/>
          <w:sz w:val="16"/>
          <w:szCs w:val="16"/>
        </w:rPr>
        <w:t xml:space="preserve"> </w:t>
      </w:r>
      <w:r>
        <w:rPr>
          <w:rFonts w:ascii="Verdana" w:hAnsi="Verdana"/>
          <w:sz w:val="16"/>
          <w:szCs w:val="16"/>
        </w:rPr>
        <w:t>“</w:t>
      </w:r>
      <w:r w:rsidRPr="002E0A6A">
        <w:rPr>
          <w:rFonts w:ascii="Verdana" w:hAnsi="Verdana"/>
          <w:sz w:val="16"/>
          <w:szCs w:val="16"/>
        </w:rPr>
        <w:t>La Entidad Estatal debe determinar el valor y el plazo de la garantía de acuerdo con el objeto, el valor, la naturaleza y las obligaciones contenidas en el contrato. En los contratos de interventoría, la vigencia de este amparo debe ser igual al plazo de la garantía de estabilidad del contrato principal en cumplimiento del parágrafo del artículo 85 de la Ley 1474 de 2011</w:t>
      </w:r>
      <w:r>
        <w:rPr>
          <w:rFonts w:ascii="Verdana" w:hAnsi="Verdana"/>
          <w:sz w:val="16"/>
          <w:szCs w:val="16"/>
        </w:rPr>
        <w:t>”</w:t>
      </w:r>
      <w:r w:rsidRPr="002E0A6A">
        <w:rPr>
          <w:rFonts w:ascii="Verdana" w:hAnsi="Verdana"/>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4pt;height:14.4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A440F"/>
    <w:rsid w:val="001B4C94"/>
    <w:rsid w:val="001D752E"/>
    <w:rsid w:val="001D7A4C"/>
    <w:rsid w:val="001E4177"/>
    <w:rsid w:val="001F0B24"/>
    <w:rsid w:val="001F7DC6"/>
    <w:rsid w:val="00200ABE"/>
    <w:rsid w:val="0022400B"/>
    <w:rsid w:val="002421BB"/>
    <w:rsid w:val="0025796E"/>
    <w:rsid w:val="002707A2"/>
    <w:rsid w:val="00280D10"/>
    <w:rsid w:val="002951A0"/>
    <w:rsid w:val="002962BC"/>
    <w:rsid w:val="002A093D"/>
    <w:rsid w:val="002A0DD0"/>
    <w:rsid w:val="002A49AC"/>
    <w:rsid w:val="002A64FD"/>
    <w:rsid w:val="002C7A84"/>
    <w:rsid w:val="002E2BF8"/>
    <w:rsid w:val="002E4FD9"/>
    <w:rsid w:val="0030657A"/>
    <w:rsid w:val="00322A85"/>
    <w:rsid w:val="00324168"/>
    <w:rsid w:val="00330834"/>
    <w:rsid w:val="003335E0"/>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552AC"/>
    <w:rsid w:val="00466E39"/>
    <w:rsid w:val="00475A3A"/>
    <w:rsid w:val="004A1847"/>
    <w:rsid w:val="004A305D"/>
    <w:rsid w:val="004F21C4"/>
    <w:rsid w:val="004F685F"/>
    <w:rsid w:val="00550DCA"/>
    <w:rsid w:val="005566E8"/>
    <w:rsid w:val="00574867"/>
    <w:rsid w:val="00591460"/>
    <w:rsid w:val="005A3C3B"/>
    <w:rsid w:val="005A646D"/>
    <w:rsid w:val="005A65E0"/>
    <w:rsid w:val="005C3777"/>
    <w:rsid w:val="005C5CDC"/>
    <w:rsid w:val="005C7465"/>
    <w:rsid w:val="005D476C"/>
    <w:rsid w:val="006200BF"/>
    <w:rsid w:val="006219F8"/>
    <w:rsid w:val="006302F7"/>
    <w:rsid w:val="00646B9F"/>
    <w:rsid w:val="00665D70"/>
    <w:rsid w:val="006900D9"/>
    <w:rsid w:val="006F1457"/>
    <w:rsid w:val="00706C16"/>
    <w:rsid w:val="007340C3"/>
    <w:rsid w:val="0075235A"/>
    <w:rsid w:val="007552C3"/>
    <w:rsid w:val="00756841"/>
    <w:rsid w:val="007649AB"/>
    <w:rsid w:val="00771D0C"/>
    <w:rsid w:val="007833AC"/>
    <w:rsid w:val="007B2337"/>
    <w:rsid w:val="007B268C"/>
    <w:rsid w:val="007B7171"/>
    <w:rsid w:val="007C0C0F"/>
    <w:rsid w:val="007C3DC2"/>
    <w:rsid w:val="007E5497"/>
    <w:rsid w:val="007F7DB1"/>
    <w:rsid w:val="00801CC4"/>
    <w:rsid w:val="00806F5F"/>
    <w:rsid w:val="00820278"/>
    <w:rsid w:val="0082479C"/>
    <w:rsid w:val="008258C9"/>
    <w:rsid w:val="00844AE9"/>
    <w:rsid w:val="00854E54"/>
    <w:rsid w:val="00867F95"/>
    <w:rsid w:val="008843B6"/>
    <w:rsid w:val="00891928"/>
    <w:rsid w:val="008A446D"/>
    <w:rsid w:val="008B25F1"/>
    <w:rsid w:val="008D180B"/>
    <w:rsid w:val="008F0EA7"/>
    <w:rsid w:val="008F5BFA"/>
    <w:rsid w:val="00923EEF"/>
    <w:rsid w:val="009419F9"/>
    <w:rsid w:val="0095685E"/>
    <w:rsid w:val="00961B09"/>
    <w:rsid w:val="00965334"/>
    <w:rsid w:val="0097093E"/>
    <w:rsid w:val="00981253"/>
    <w:rsid w:val="009A0DFA"/>
    <w:rsid w:val="009A1C6F"/>
    <w:rsid w:val="009A4A1B"/>
    <w:rsid w:val="009B2D26"/>
    <w:rsid w:val="009C71FA"/>
    <w:rsid w:val="009C72E7"/>
    <w:rsid w:val="009C7F7E"/>
    <w:rsid w:val="009D3058"/>
    <w:rsid w:val="009F3A13"/>
    <w:rsid w:val="009F4F45"/>
    <w:rsid w:val="00A122D3"/>
    <w:rsid w:val="00A14468"/>
    <w:rsid w:val="00A17F13"/>
    <w:rsid w:val="00A20739"/>
    <w:rsid w:val="00A23AF9"/>
    <w:rsid w:val="00A33C78"/>
    <w:rsid w:val="00AA4423"/>
    <w:rsid w:val="00AB0ADB"/>
    <w:rsid w:val="00AB309D"/>
    <w:rsid w:val="00AB7ECB"/>
    <w:rsid w:val="00AF624E"/>
    <w:rsid w:val="00B00C0E"/>
    <w:rsid w:val="00B01B1A"/>
    <w:rsid w:val="00B0381D"/>
    <w:rsid w:val="00B36880"/>
    <w:rsid w:val="00B420A5"/>
    <w:rsid w:val="00B44A47"/>
    <w:rsid w:val="00B700C0"/>
    <w:rsid w:val="00B72CD3"/>
    <w:rsid w:val="00B72FFF"/>
    <w:rsid w:val="00B9375E"/>
    <w:rsid w:val="00BC3D36"/>
    <w:rsid w:val="00BD54A6"/>
    <w:rsid w:val="00BD7F72"/>
    <w:rsid w:val="00BF7425"/>
    <w:rsid w:val="00C04FB3"/>
    <w:rsid w:val="00C10416"/>
    <w:rsid w:val="00C11D8B"/>
    <w:rsid w:val="00C15139"/>
    <w:rsid w:val="00C330EB"/>
    <w:rsid w:val="00C35FE5"/>
    <w:rsid w:val="00C50D69"/>
    <w:rsid w:val="00C5365C"/>
    <w:rsid w:val="00C6095D"/>
    <w:rsid w:val="00C754BE"/>
    <w:rsid w:val="00C76B1C"/>
    <w:rsid w:val="00C831A2"/>
    <w:rsid w:val="00C925AC"/>
    <w:rsid w:val="00CB6357"/>
    <w:rsid w:val="00CC1B26"/>
    <w:rsid w:val="00D361FD"/>
    <w:rsid w:val="00D423A2"/>
    <w:rsid w:val="00D44E26"/>
    <w:rsid w:val="00D520D8"/>
    <w:rsid w:val="00D63AC2"/>
    <w:rsid w:val="00D7383B"/>
    <w:rsid w:val="00D7582A"/>
    <w:rsid w:val="00D7788A"/>
    <w:rsid w:val="00D97F18"/>
    <w:rsid w:val="00DA231B"/>
    <w:rsid w:val="00DC39FC"/>
    <w:rsid w:val="00DE259C"/>
    <w:rsid w:val="00DE7059"/>
    <w:rsid w:val="00DF5254"/>
    <w:rsid w:val="00E02524"/>
    <w:rsid w:val="00E16408"/>
    <w:rsid w:val="00E20894"/>
    <w:rsid w:val="00E245AB"/>
    <w:rsid w:val="00E2764C"/>
    <w:rsid w:val="00E27F2E"/>
    <w:rsid w:val="00E31402"/>
    <w:rsid w:val="00E50AFE"/>
    <w:rsid w:val="00E57E5C"/>
    <w:rsid w:val="00E654B7"/>
    <w:rsid w:val="00E75C92"/>
    <w:rsid w:val="00E771DC"/>
    <w:rsid w:val="00E8772A"/>
    <w:rsid w:val="00E90F6B"/>
    <w:rsid w:val="00E92C27"/>
    <w:rsid w:val="00EA0E3D"/>
    <w:rsid w:val="00EC38A7"/>
    <w:rsid w:val="00EE1AA8"/>
    <w:rsid w:val="00F23FEA"/>
    <w:rsid w:val="00F31EDC"/>
    <w:rsid w:val="00F462B3"/>
    <w:rsid w:val="00F52597"/>
    <w:rsid w:val="00F5664F"/>
    <w:rsid w:val="00F666C4"/>
    <w:rsid w:val="00F76AFC"/>
    <w:rsid w:val="00FA47C0"/>
    <w:rsid w:val="00FB5DD1"/>
    <w:rsid w:val="00FC2B5D"/>
    <w:rsid w:val="00FF1449"/>
    <w:rsid w:val="00FF78A3"/>
    <w:rsid w:val="00FF7963"/>
    <w:rsid w:val="071B8F93"/>
    <w:rsid w:val="09908A09"/>
    <w:rsid w:val="0FF4CCA8"/>
    <w:rsid w:val="13CFC91B"/>
    <w:rsid w:val="19A2EC2C"/>
    <w:rsid w:val="256AD556"/>
    <w:rsid w:val="2859CA1B"/>
    <w:rsid w:val="32A4F9CF"/>
    <w:rsid w:val="356CEDFD"/>
    <w:rsid w:val="46198961"/>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A442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A4423"/>
    <w:rPr>
      <w:rFonts w:ascii="Geomanist Light" w:hAnsi="Geomanist Light"/>
      <w:lang w:val="es-ES"/>
    </w:rPr>
  </w:style>
  <w:style w:type="paragraph" w:styleId="Textoindependiente">
    <w:name w:val="Body Text"/>
    <w:basedOn w:val="Normal"/>
    <w:link w:val="TextoindependienteCar"/>
    <w:uiPriority w:val="99"/>
    <w:unhideWhenUsed/>
    <w:rsid w:val="00AA4423"/>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AA4423"/>
    <w:rPr>
      <w:rFonts w:eastAsiaTheme="minorEastAsia"/>
      <w:lang w:eastAsia="es-CO"/>
    </w:rPr>
  </w:style>
  <w:style w:type="character" w:customStyle="1" w:styleId="s15">
    <w:name w:val="s15"/>
    <w:basedOn w:val="Fuentedeprrafopredeter"/>
    <w:rsid w:val="00AA4423"/>
  </w:style>
  <w:style w:type="paragraph" w:styleId="Sinespaciado">
    <w:name w:val="No Spacing"/>
    <w:aliases w:val="No Indent"/>
    <w:uiPriority w:val="3"/>
    <w:qFormat/>
    <w:rsid w:val="00AA4423"/>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1CD5E0-CF2C-4451-AD79-C7AE3F2A68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C3263F31-F511-B643-903D-74F9F5DC1E2D}">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25</Pages>
  <Words>8494</Words>
  <Characters>44684</Characters>
  <Application>Microsoft Office Word</Application>
  <DocSecurity>0</DocSecurity>
  <Lines>843</Lines>
  <Paragraphs>148</Paragraphs>
  <ScaleCrop>false</ScaleCrop>
  <Company/>
  <LinksUpToDate>false</LinksUpToDate>
  <CharactersWithSpaces>53030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2026-02-06T13:22:00Z</dcterms:created>
  <dcterms:modified xsi:type="dcterms:W3CDTF">2026-02-10T17:37:00Z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