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9A59D" w14:textId="77777777" w:rsidR="003F6F5B" w:rsidRPr="00881D8A" w:rsidRDefault="003F6F5B" w:rsidP="003F6F5B">
      <w:pPr>
        <w:spacing w:after="0"/>
        <w:jc w:val="both"/>
        <w:rPr>
          <w:rFonts w:ascii="Verdana" w:eastAsia="Calibri" w:hAnsi="Verdana" w:cs="Calibri"/>
          <w:b/>
          <w:bCs/>
          <w:lang w:val="es-ES"/>
        </w:rPr>
      </w:pPr>
      <w:bookmarkStart w:id="0" w:name="_Hlk143780582"/>
      <w:r w:rsidRPr="00881D8A">
        <w:rPr>
          <w:rFonts w:ascii="Verdana" w:eastAsia="Calibri" w:hAnsi="Verdana" w:cs="Calibri"/>
          <w:b/>
          <w:bCs/>
          <w:lang w:val="es-ES"/>
        </w:rPr>
        <w:t xml:space="preserve">CAPACIDAD RESIDUAL – Definición </w:t>
      </w:r>
    </w:p>
    <w:p w14:paraId="5BC35EAF" w14:textId="77777777" w:rsidR="003F6F5B" w:rsidRPr="00881D8A" w:rsidRDefault="003F6F5B" w:rsidP="003F6F5B">
      <w:pPr>
        <w:spacing w:after="0"/>
        <w:jc w:val="both"/>
        <w:rPr>
          <w:rFonts w:ascii="Verdana" w:eastAsia="Calibri" w:hAnsi="Verdana" w:cs="Calibri"/>
          <w:b/>
          <w:bCs/>
          <w:lang w:val="es-ES"/>
        </w:rPr>
      </w:pPr>
    </w:p>
    <w:p w14:paraId="711459EE" w14:textId="77777777" w:rsidR="003F6F5B" w:rsidRPr="00881D8A" w:rsidRDefault="003F6F5B" w:rsidP="003F6F5B">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34CAF10E" w14:textId="77777777" w:rsidR="003F6F5B" w:rsidRPr="00881D8A" w:rsidRDefault="003F6F5B" w:rsidP="003F6F5B">
      <w:pPr>
        <w:spacing w:after="0" w:line="240" w:lineRule="auto"/>
        <w:jc w:val="both"/>
        <w:rPr>
          <w:rFonts w:ascii="Verdana" w:eastAsia="Calibri" w:hAnsi="Verdana" w:cs="Calibri"/>
          <w:sz w:val="20"/>
          <w:szCs w:val="20"/>
        </w:rPr>
      </w:pPr>
    </w:p>
    <w:p w14:paraId="688E67A5" w14:textId="77777777" w:rsidR="003F6F5B" w:rsidRPr="00881D8A" w:rsidRDefault="003F6F5B" w:rsidP="003F6F5B">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w:t>
      </w:r>
    </w:p>
    <w:p w14:paraId="3A2B22AC" w14:textId="77777777" w:rsidR="003F6F5B" w:rsidRPr="00881D8A" w:rsidRDefault="003F6F5B" w:rsidP="003F6F5B">
      <w:pPr>
        <w:spacing w:after="0"/>
        <w:jc w:val="both"/>
        <w:rPr>
          <w:rFonts w:ascii="Verdana" w:eastAsia="Calibri" w:hAnsi="Verdana" w:cs="Calibri"/>
          <w:sz w:val="20"/>
          <w:szCs w:val="20"/>
        </w:rPr>
      </w:pPr>
    </w:p>
    <w:p w14:paraId="23DDF262" w14:textId="77777777" w:rsidR="003F6F5B" w:rsidRPr="00881D8A" w:rsidRDefault="003F6F5B" w:rsidP="003F6F5B">
      <w:pPr>
        <w:spacing w:after="0"/>
        <w:jc w:val="both"/>
        <w:rPr>
          <w:rFonts w:ascii="Verdana" w:eastAsia="Calibri" w:hAnsi="Verdana" w:cs="Calibri"/>
          <w:b/>
          <w:bCs/>
          <w:lang w:val="es-ES"/>
        </w:rPr>
      </w:pPr>
      <w:r w:rsidRPr="00881D8A">
        <w:rPr>
          <w:rFonts w:ascii="Verdana" w:eastAsia="Calibri" w:hAnsi="Verdana" w:cs="Calibri"/>
          <w:b/>
          <w:bCs/>
          <w:lang w:val="es-ES"/>
        </w:rPr>
        <w:t xml:space="preserve">CAPACIDAD RESIDUAL – Acreditación - Pliego de condiciones </w:t>
      </w:r>
    </w:p>
    <w:p w14:paraId="14A86189" w14:textId="77777777" w:rsidR="003F6F5B" w:rsidRPr="00881D8A" w:rsidRDefault="003F6F5B" w:rsidP="003F6F5B">
      <w:pPr>
        <w:spacing w:after="0"/>
        <w:jc w:val="both"/>
        <w:rPr>
          <w:rFonts w:ascii="Verdana" w:eastAsia="Calibri" w:hAnsi="Verdana" w:cs="Calibri"/>
          <w:b/>
          <w:bCs/>
          <w:lang w:val="es-ES"/>
        </w:rPr>
      </w:pPr>
    </w:p>
    <w:p w14:paraId="1AB286A2" w14:textId="77777777" w:rsidR="003F6F5B" w:rsidRPr="00881D8A" w:rsidRDefault="003F6F5B" w:rsidP="003F6F5B">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4DE3C1BA" w14:textId="77777777" w:rsidR="003F6F5B" w:rsidRPr="00881D8A" w:rsidRDefault="003F6F5B" w:rsidP="003F6F5B">
      <w:pPr>
        <w:spacing w:after="0" w:line="240" w:lineRule="auto"/>
        <w:jc w:val="both"/>
        <w:rPr>
          <w:rFonts w:ascii="Verdana" w:eastAsia="Calibri" w:hAnsi="Verdana" w:cs="Calibri"/>
          <w:sz w:val="20"/>
          <w:szCs w:val="20"/>
        </w:rPr>
      </w:pPr>
    </w:p>
    <w:p w14:paraId="358BE459" w14:textId="77777777" w:rsidR="003F6F5B" w:rsidRPr="00881D8A" w:rsidRDefault="003F6F5B" w:rsidP="003F6F5B">
      <w:pPr>
        <w:spacing w:after="0" w:line="240" w:lineRule="auto"/>
        <w:jc w:val="both"/>
        <w:rPr>
          <w:rFonts w:ascii="Verdana" w:eastAsia="Calibri" w:hAnsi="Verdana" w:cs="Calibri"/>
          <w:sz w:val="20"/>
          <w:szCs w:val="20"/>
          <w:lang w:val="es-ES"/>
        </w:rPr>
      </w:pPr>
      <w:r w:rsidRPr="00881D8A">
        <w:rPr>
          <w:rFonts w:ascii="Verdana" w:eastAsia="Calibri" w:hAnsi="Verdana" w:cs="Calibri"/>
          <w:sz w:val="20"/>
          <w:szCs w:val="20"/>
        </w:rPr>
        <w:t>De esta manera las entidades estatales deberán establecer en los documentos del proceso la forma en la cual los proponentes deben acreditar los indicadores exigidos que no están incluidos en el RUP […]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52C3F3C3" w14:textId="77777777" w:rsidR="003F6F5B" w:rsidRPr="00881D8A" w:rsidRDefault="003F6F5B" w:rsidP="003F6F5B">
      <w:pPr>
        <w:spacing w:after="0" w:line="240" w:lineRule="auto"/>
        <w:jc w:val="both"/>
        <w:rPr>
          <w:rFonts w:ascii="Verdana" w:eastAsia="Calibri" w:hAnsi="Verdana" w:cs="Calibri"/>
          <w:sz w:val="20"/>
          <w:szCs w:val="20"/>
          <w:lang w:val="es-ES"/>
        </w:rPr>
      </w:pPr>
    </w:p>
    <w:p w14:paraId="426B59FB" w14:textId="77777777" w:rsidR="003F6F5B" w:rsidRPr="00881D8A" w:rsidRDefault="003F6F5B" w:rsidP="003F6F5B">
      <w:pPr>
        <w:spacing w:after="0"/>
        <w:jc w:val="both"/>
        <w:rPr>
          <w:rFonts w:ascii="Verdana" w:eastAsia="Calibri" w:hAnsi="Verdana" w:cs="Calibri"/>
          <w:b/>
          <w:bCs/>
          <w:lang w:val="es-ES"/>
        </w:rPr>
      </w:pPr>
      <w:r w:rsidRPr="00881D8A">
        <w:rPr>
          <w:rFonts w:ascii="Verdana" w:eastAsia="Calibri" w:hAnsi="Verdana" w:cs="Calibri"/>
          <w:b/>
          <w:bCs/>
          <w:lang w:val="es-ES"/>
        </w:rPr>
        <w:t>CAPACIDAD RESIDUAL – Causal de rechazo</w:t>
      </w:r>
    </w:p>
    <w:p w14:paraId="2B67B95E" w14:textId="77777777" w:rsidR="003F6F5B" w:rsidRPr="00881D8A" w:rsidRDefault="003F6F5B" w:rsidP="003F6F5B">
      <w:pPr>
        <w:spacing w:after="0"/>
        <w:jc w:val="both"/>
        <w:rPr>
          <w:rFonts w:ascii="Verdana" w:eastAsia="Calibri" w:hAnsi="Verdana" w:cs="Calibri"/>
          <w:b/>
          <w:bCs/>
          <w:lang w:val="es-ES"/>
        </w:rPr>
      </w:pPr>
    </w:p>
    <w:p w14:paraId="453F140E" w14:textId="77777777" w:rsidR="003F6F5B" w:rsidRPr="00881D8A" w:rsidRDefault="003F6F5B" w:rsidP="003F6F5B">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p>
    <w:p w14:paraId="1FF12CD0" w14:textId="77777777" w:rsidR="003F6F5B" w:rsidRPr="00881D8A" w:rsidRDefault="003F6F5B" w:rsidP="003F6F5B">
      <w:pPr>
        <w:spacing w:after="0" w:line="240" w:lineRule="auto"/>
        <w:jc w:val="both"/>
        <w:rPr>
          <w:rFonts w:ascii="Verdana" w:eastAsia="Calibri" w:hAnsi="Verdana" w:cs="Calibri"/>
          <w:sz w:val="20"/>
          <w:szCs w:val="20"/>
        </w:rPr>
      </w:pPr>
    </w:p>
    <w:p w14:paraId="0250E53C" w14:textId="77777777" w:rsidR="003F6F5B" w:rsidRPr="00881D8A" w:rsidRDefault="003F6F5B" w:rsidP="003F6F5B">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De acuerdo con lo anterior, las entidades públicas como directoras de sus procesos de contratación son autónomas en estipular en sus pliegos de condiciones o documentos equivalentes, las causales de rechazo que considere pertinentes, siempre que no contradigan la Ley y los principios que rigen en materia de contratación, en los casos en que los requisitos habilitantes, entre ellos el referido a la capacidad residual de contratación, no reúnan las exigencias descritas en los citados pliegos de condiciones o documentos equivalentes.</w:t>
      </w:r>
    </w:p>
    <w:p w14:paraId="7476CEB7" w14:textId="77777777" w:rsidR="003F6F5B" w:rsidRPr="00881D8A" w:rsidRDefault="003F6F5B" w:rsidP="003F6F5B">
      <w:pPr>
        <w:spacing w:after="0" w:line="240" w:lineRule="auto"/>
        <w:jc w:val="both"/>
        <w:rPr>
          <w:rFonts w:ascii="Verdana" w:eastAsia="Calibri" w:hAnsi="Verdana" w:cs="Calibri"/>
          <w:sz w:val="20"/>
          <w:szCs w:val="20"/>
          <w:lang w:val="es-ES"/>
        </w:rPr>
      </w:pPr>
    </w:p>
    <w:p w14:paraId="0CE52ADD" w14:textId="77777777" w:rsidR="003F6F5B" w:rsidRPr="00881D8A" w:rsidRDefault="003F6F5B" w:rsidP="003F6F5B">
      <w:pPr>
        <w:spacing w:after="0"/>
        <w:jc w:val="both"/>
        <w:rPr>
          <w:rFonts w:ascii="Verdana" w:eastAsia="Calibri" w:hAnsi="Verdana" w:cs="Calibri"/>
          <w:b/>
          <w:bCs/>
          <w:lang w:val="es-ES"/>
        </w:rPr>
      </w:pPr>
      <w:r w:rsidRPr="00881D8A">
        <w:rPr>
          <w:rFonts w:ascii="Verdana" w:eastAsia="Calibri" w:hAnsi="Verdana" w:cs="Calibri"/>
          <w:b/>
          <w:bCs/>
          <w:lang w:val="es-ES"/>
        </w:rPr>
        <w:lastRenderedPageBreak/>
        <w:t xml:space="preserve">CAPACIDAD RESIDUAL – Documentos tipo – Causales de rechazo de la oferta </w:t>
      </w:r>
    </w:p>
    <w:p w14:paraId="4EAA0560" w14:textId="77777777" w:rsidR="003F6F5B" w:rsidRPr="00881D8A" w:rsidRDefault="003F6F5B" w:rsidP="003F6F5B">
      <w:pPr>
        <w:spacing w:after="0"/>
        <w:jc w:val="both"/>
        <w:rPr>
          <w:rFonts w:ascii="Verdana" w:eastAsia="Calibri" w:hAnsi="Verdana" w:cs="Calibri"/>
          <w:b/>
          <w:bCs/>
          <w:lang w:val="es-ES"/>
        </w:rPr>
      </w:pPr>
    </w:p>
    <w:p w14:paraId="6B9D0A57" w14:textId="77777777" w:rsidR="003F6F5B" w:rsidRPr="00881D8A" w:rsidRDefault="003F6F5B" w:rsidP="003F6F5B">
      <w:pPr>
        <w:spacing w:after="0" w:line="240" w:lineRule="auto"/>
        <w:jc w:val="both"/>
        <w:rPr>
          <w:rFonts w:ascii="Verdana" w:eastAsia="Calibri" w:hAnsi="Verdana" w:cs="Arial"/>
          <w:sz w:val="20"/>
          <w:szCs w:val="20"/>
          <w:lang w:eastAsia="es-ES"/>
        </w:rPr>
      </w:pPr>
      <w:r w:rsidRPr="00881D8A">
        <w:rPr>
          <w:rFonts w:ascii="Verdana" w:eastAsia="Calibri" w:hAnsi="Verdana" w:cs="Arial"/>
          <w:sz w:val="20"/>
          <w:szCs w:val="20"/>
          <w:lang w:eastAsia="es-ES"/>
        </w:rPr>
        <w:t>El numeral 3.11 del documento base de obra de infraestructura de transporte para procesos de licitación pública – Versión 4, establece como requisito habilitante la capacidad residual. En este documento tipo se establecen al menos tres causales de rechazo en el numeral 1.15 que se relacionan con la capacidad residual como requisito habilitante, esto es, los literales E, H y X.</w:t>
      </w:r>
    </w:p>
    <w:p w14:paraId="02A29CFA" w14:textId="77777777" w:rsidR="003F6F5B" w:rsidRPr="00881D8A" w:rsidRDefault="003F6F5B" w:rsidP="003F6F5B">
      <w:pPr>
        <w:spacing w:after="0"/>
        <w:jc w:val="both"/>
        <w:rPr>
          <w:rFonts w:ascii="Verdana" w:eastAsia="Calibri" w:hAnsi="Verdana" w:cs="Arial"/>
          <w:sz w:val="20"/>
          <w:szCs w:val="20"/>
          <w:lang w:eastAsia="es-ES"/>
        </w:rPr>
      </w:pPr>
    </w:p>
    <w:p w14:paraId="336CCF8E" w14:textId="77777777" w:rsidR="003F6F5B" w:rsidRPr="00881D8A" w:rsidRDefault="003F6F5B" w:rsidP="003F6F5B">
      <w:pPr>
        <w:spacing w:after="0"/>
        <w:jc w:val="both"/>
        <w:rPr>
          <w:rFonts w:ascii="Verdana" w:eastAsia="Calibri" w:hAnsi="Verdana" w:cs="Calibri"/>
          <w:b/>
          <w:bCs/>
          <w:lang w:val="es-ES"/>
        </w:rPr>
      </w:pPr>
      <w:r w:rsidRPr="00881D8A">
        <w:rPr>
          <w:rFonts w:ascii="Verdana" w:eastAsia="Calibri" w:hAnsi="Verdana" w:cs="Calibri"/>
          <w:b/>
          <w:bCs/>
          <w:lang w:val="es-ES"/>
        </w:rPr>
        <w:t>DOCUMENTOS TIPO – Causales de rechazo de la oferta – Literal X – Capacidad residual</w:t>
      </w:r>
    </w:p>
    <w:p w14:paraId="70633EEC" w14:textId="77777777" w:rsidR="003F6F5B" w:rsidRPr="00881D8A" w:rsidRDefault="003F6F5B" w:rsidP="003F6F5B">
      <w:pPr>
        <w:spacing w:after="0"/>
        <w:jc w:val="both"/>
        <w:rPr>
          <w:rFonts w:ascii="Verdana" w:eastAsia="Calibri" w:hAnsi="Verdana" w:cs="Arial"/>
          <w:sz w:val="20"/>
          <w:szCs w:val="20"/>
          <w:lang w:eastAsia="es-ES"/>
        </w:rPr>
      </w:pPr>
    </w:p>
    <w:p w14:paraId="2A71C764" w14:textId="77777777" w:rsidR="003F6F5B" w:rsidRPr="00881D8A" w:rsidRDefault="003F6F5B" w:rsidP="003F6F5B">
      <w:pPr>
        <w:spacing w:after="0" w:line="240" w:lineRule="auto"/>
        <w:jc w:val="both"/>
        <w:rPr>
          <w:rFonts w:ascii="Verdana" w:eastAsia="Calibri" w:hAnsi="Verdana" w:cs="Arial"/>
          <w:sz w:val="20"/>
          <w:szCs w:val="20"/>
          <w:lang w:eastAsia="es-ES"/>
        </w:rPr>
      </w:pPr>
      <w:r w:rsidRPr="00881D8A">
        <w:rPr>
          <w:rFonts w:ascii="Verdana" w:eastAsia="Calibri" w:hAnsi="Verdana" w:cs="Arial"/>
          <w:sz w:val="20"/>
          <w:szCs w:val="20"/>
          <w:lang w:eastAsia="es-ES"/>
        </w:rPr>
        <w:t>(…)  La causal del literal X del numeral 1.15 solamente aplica cuando el proponente no informa todos los contratos que tiene en ejecución antes del cierre. Por ejemplo, si el contratista tiene en ejecución diez contratos, esta causal de rechazo aplica si el contratista reporta nueve o un numero diferente a diez. Por tanto, la configuración de la causal de rechazo del literal X es objetiva, pues solo aplica ante la omisión del proponente de informar el número total de contratos en ejecución antes del cierre del proceso, es decir, opera también cuando no se aporte con la oferta el Formato 5 debidamente diligenciado.</w:t>
      </w:r>
    </w:p>
    <w:p w14:paraId="69FB1121" w14:textId="77777777" w:rsidR="003F6F5B" w:rsidRPr="00881D8A" w:rsidRDefault="003F6F5B" w:rsidP="003F6F5B">
      <w:pPr>
        <w:spacing w:after="0"/>
        <w:jc w:val="both"/>
        <w:rPr>
          <w:rFonts w:ascii="Verdana" w:eastAsia="Calibri" w:hAnsi="Verdana" w:cs="Arial"/>
          <w:sz w:val="20"/>
          <w:szCs w:val="20"/>
          <w:lang w:eastAsia="es-ES"/>
        </w:rPr>
      </w:pPr>
    </w:p>
    <w:p w14:paraId="5FCD1BF8" w14:textId="77777777" w:rsidR="003F6F5B" w:rsidRPr="00881D8A" w:rsidRDefault="003F6F5B" w:rsidP="003F6F5B">
      <w:pPr>
        <w:spacing w:after="0" w:line="240" w:lineRule="auto"/>
        <w:jc w:val="both"/>
        <w:rPr>
          <w:rFonts w:ascii="Verdana" w:eastAsia="Calibri" w:hAnsi="Verdana" w:cs="Calibri"/>
          <w:b/>
          <w:bCs/>
          <w:lang w:val="es-ES"/>
        </w:rPr>
      </w:pPr>
      <w:r w:rsidRPr="00881D8A">
        <w:rPr>
          <w:rFonts w:ascii="Verdana" w:eastAsia="Calibri" w:hAnsi="Verdana" w:cs="Calibri"/>
          <w:b/>
          <w:bCs/>
          <w:lang w:val="es-ES"/>
        </w:rPr>
        <w:t xml:space="preserve">DOCUMENTOS TIPO – Causales de rechazo de la oferta – Literal X – </w:t>
      </w:r>
      <w:proofErr w:type="spellStart"/>
      <w:r w:rsidRPr="00881D8A">
        <w:rPr>
          <w:rFonts w:ascii="Verdana" w:eastAsia="Calibri" w:hAnsi="Verdana" w:cs="Calibri"/>
          <w:b/>
          <w:bCs/>
          <w:lang w:val="es-ES"/>
        </w:rPr>
        <w:t>Subsanabilidad</w:t>
      </w:r>
      <w:proofErr w:type="spellEnd"/>
    </w:p>
    <w:p w14:paraId="5AB6D208" w14:textId="77777777" w:rsidR="003F6F5B" w:rsidRPr="00881D8A" w:rsidRDefault="003F6F5B" w:rsidP="003F6F5B">
      <w:pPr>
        <w:spacing w:after="0"/>
        <w:jc w:val="both"/>
        <w:rPr>
          <w:rFonts w:ascii="Verdana" w:eastAsia="Calibri" w:hAnsi="Verdana" w:cs="Arial"/>
          <w:sz w:val="20"/>
          <w:szCs w:val="20"/>
          <w:lang w:eastAsia="es-ES"/>
        </w:rPr>
      </w:pPr>
    </w:p>
    <w:p w14:paraId="32A46E0D" w14:textId="77777777" w:rsidR="003F6F5B" w:rsidRPr="00881D8A" w:rsidRDefault="003F6F5B" w:rsidP="003F6F5B">
      <w:pPr>
        <w:spacing w:after="0" w:line="240" w:lineRule="auto"/>
        <w:jc w:val="both"/>
        <w:rPr>
          <w:rFonts w:ascii="Arial" w:eastAsia="Aptos" w:hAnsi="Arial" w:cs="Arial"/>
          <w:sz w:val="20"/>
          <w:szCs w:val="20"/>
        </w:rPr>
      </w:pPr>
      <w:r w:rsidRPr="00881D8A">
        <w:rPr>
          <w:rFonts w:ascii="Verdana" w:eastAsia="Calibri" w:hAnsi="Verdana" w:cs="Arial"/>
          <w:sz w:val="20"/>
          <w:szCs w:val="20"/>
        </w:rPr>
        <w:t xml:space="preserve">(…)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881D8A">
        <w:rPr>
          <w:rFonts w:ascii="Verdana" w:eastAsia="Calibri" w:hAnsi="Verdana" w:cs="Arial"/>
          <w:noProof/>
          <w:sz w:val="20"/>
          <w:szCs w:val="20"/>
        </w:rPr>
        <w:t>lo</w:t>
      </w:r>
      <w:r w:rsidRPr="00881D8A">
        <w:rPr>
          <w:rFonts w:ascii="Verdana" w:eastAsia="Calibri" w:hAnsi="Verdana" w:cs="Arial"/>
          <w:sz w:val="20"/>
          <w:szCs w:val="20"/>
        </w:rPr>
        <w:t xml:space="preserve"> expresado en el párrafo precedente no contradice lo dispuesto en el artículo 5, parágrafo 1, de la Ley 1150 de 2007, adicionado por el artículo 5 de la Ley 1882 de 2018, norma que dispone que “</w:t>
      </w:r>
      <w:r w:rsidRPr="00881D8A">
        <w:rPr>
          <w:rFonts w:ascii="Verdana" w:eastAsia="Calibri" w:hAnsi="Verdana" w:cs="Times New Roman"/>
          <w:sz w:val="20"/>
          <w:szCs w:val="20"/>
        </w:rPr>
        <w:t xml:space="preserve">(…) </w:t>
      </w:r>
      <w:r w:rsidRPr="00881D8A">
        <w:rPr>
          <w:rFonts w:ascii="Verdana" w:eastAsia="Calibri" w:hAnsi="Verdana" w:cs="Arial"/>
          <w:sz w:val="20"/>
          <w:szCs w:val="20"/>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691EA6D6" w14:textId="77777777" w:rsidR="003F6F5B" w:rsidRPr="00881D8A" w:rsidRDefault="003F6F5B" w:rsidP="003F6F5B">
      <w:pPr>
        <w:spacing w:after="0" w:line="240" w:lineRule="auto"/>
        <w:jc w:val="both"/>
        <w:rPr>
          <w:rFonts w:ascii="Verdana" w:eastAsia="Calibri" w:hAnsi="Verdana" w:cs="Arial"/>
          <w:sz w:val="20"/>
          <w:szCs w:val="20"/>
        </w:rPr>
      </w:pPr>
    </w:p>
    <w:p w14:paraId="57F34FD5" w14:textId="77777777" w:rsidR="003F6F5B" w:rsidRPr="00881D8A" w:rsidRDefault="003F6F5B" w:rsidP="003F6F5B">
      <w:pPr>
        <w:spacing w:after="0" w:line="240" w:lineRule="auto"/>
        <w:jc w:val="both"/>
        <w:rPr>
          <w:rFonts w:ascii="Verdana" w:eastAsia="Calibri" w:hAnsi="Verdana" w:cs="Arial"/>
          <w:sz w:val="20"/>
          <w:szCs w:val="20"/>
        </w:rPr>
      </w:pPr>
      <w:r w:rsidRPr="00881D8A">
        <w:rPr>
          <w:rFonts w:ascii="Verdana" w:eastAsia="Calibri" w:hAnsi="Verdana" w:cs="Arial"/>
          <w:sz w:val="20"/>
          <w:szCs w:val="20"/>
        </w:rPr>
        <w:lastRenderedPageBreak/>
        <w:t xml:space="preserve">La imposibilidad de subsanar se deriva, entonces, del supuesto de hecho de aquellas causales, sin que en esto sea relevante que se otorguen o no puntos a la propuesta por el requisito de capacidad residual. No en vano, desde el 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suministrar información contraria a la realidad en una oferta no puede ser objeto de subsanación dentro de ningún procedimiento de selección”. </w:t>
      </w:r>
    </w:p>
    <w:p w14:paraId="2C4A9464" w14:textId="77777777" w:rsidR="003F6F5B" w:rsidRPr="00881D8A" w:rsidRDefault="003F6F5B" w:rsidP="003F6F5B">
      <w:pPr>
        <w:spacing w:after="0" w:line="240" w:lineRule="auto"/>
        <w:jc w:val="both"/>
        <w:rPr>
          <w:rFonts w:ascii="Verdana" w:eastAsia="Aptos" w:hAnsi="Verdana" w:cs="Arial"/>
          <w:sz w:val="20"/>
          <w:szCs w:val="20"/>
        </w:rPr>
      </w:pPr>
    </w:p>
    <w:p w14:paraId="442B9D64" w14:textId="77777777" w:rsidR="003F6F5B" w:rsidRPr="00881D8A" w:rsidRDefault="003F6F5B" w:rsidP="003F6F5B">
      <w:pPr>
        <w:spacing w:before="120" w:after="120" w:line="276" w:lineRule="auto"/>
        <w:jc w:val="both"/>
        <w:rPr>
          <w:rFonts w:ascii="Verdana" w:eastAsia="Calibri" w:hAnsi="Verdana" w:cs="Arial"/>
          <w:sz w:val="20"/>
          <w:szCs w:val="20"/>
        </w:rPr>
      </w:pPr>
      <w:r w:rsidRPr="00881D8A">
        <w:rPr>
          <w:rFonts w:ascii="Verdana" w:eastAsia="Calibri" w:hAnsi="Verdana" w:cs="Arial"/>
          <w:sz w:val="20"/>
          <w:szCs w:val="20"/>
        </w:rPr>
        <w:t>Como se expresó, la causal del literal X procede cuando el proponente no informa todos los contratos de obra, fenómeno que se verifica con el formato 5. Como se expresó, la causal del literal X procede cuando el proponente no informa todos los contratos de obra, 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Z, esto es, que el proponente incumplió su obligación de informar todos los contratos de obra que tenía en ejecución.</w:t>
      </w:r>
    </w:p>
    <w:p w14:paraId="5841CFBB" w14:textId="77777777" w:rsidR="003F6F5B" w:rsidRPr="00881D8A" w:rsidRDefault="003F6F5B" w:rsidP="003F6F5B">
      <w:pPr>
        <w:spacing w:after="0" w:line="240" w:lineRule="auto"/>
        <w:jc w:val="both"/>
        <w:rPr>
          <w:rFonts w:ascii="Verdana" w:eastAsia="Aptos" w:hAnsi="Verdana" w:cs="Arial"/>
          <w:sz w:val="20"/>
          <w:szCs w:val="20"/>
        </w:rPr>
      </w:pPr>
    </w:p>
    <w:p w14:paraId="6FCB20EE" w14:textId="77777777" w:rsidR="003F6F5B" w:rsidRPr="00881D8A" w:rsidRDefault="003F6F5B" w:rsidP="003F6F5B">
      <w:pPr>
        <w:spacing w:after="0" w:line="240" w:lineRule="auto"/>
        <w:jc w:val="both"/>
        <w:rPr>
          <w:rFonts w:ascii="Verdana" w:eastAsia="Calibri" w:hAnsi="Verdana" w:cs="Arial"/>
          <w:b/>
          <w:color w:val="000000"/>
          <w:lang w:eastAsia="es-ES_tradnl"/>
        </w:rPr>
      </w:pPr>
    </w:p>
    <w:p w14:paraId="5EBB4F28" w14:textId="77777777" w:rsidR="003F6F5B" w:rsidRPr="00881D8A" w:rsidRDefault="003F6F5B" w:rsidP="003F6F5B">
      <w:pPr>
        <w:spacing w:after="0" w:line="240" w:lineRule="auto"/>
        <w:jc w:val="both"/>
        <w:rPr>
          <w:rFonts w:ascii="Verdana" w:eastAsia="Aptos" w:hAnsi="Verdana" w:cs="Arial"/>
          <w:color w:val="000000"/>
          <w:sz w:val="20"/>
          <w:szCs w:val="20"/>
        </w:rPr>
      </w:pPr>
    </w:p>
    <w:p w14:paraId="52D8A5BF" w14:textId="77777777" w:rsidR="003F6F5B" w:rsidRPr="00881D8A" w:rsidRDefault="003F6F5B" w:rsidP="003F6F5B">
      <w:pPr>
        <w:spacing w:after="0" w:line="240" w:lineRule="auto"/>
        <w:jc w:val="both"/>
        <w:rPr>
          <w:rFonts w:ascii="Verdana" w:eastAsia="Aptos" w:hAnsi="Verdana" w:cs="Arial"/>
          <w:color w:val="000000"/>
          <w:highlight w:val="yellow"/>
        </w:rPr>
      </w:pPr>
    </w:p>
    <w:p w14:paraId="5C5B5FA9" w14:textId="77777777" w:rsidR="003F6F5B" w:rsidRPr="00881D8A" w:rsidRDefault="003F6F5B" w:rsidP="003F6F5B">
      <w:pPr>
        <w:spacing w:after="0" w:line="240" w:lineRule="auto"/>
        <w:jc w:val="both"/>
        <w:rPr>
          <w:rFonts w:ascii="Verdana" w:eastAsia="Aptos" w:hAnsi="Verdana" w:cs="Arial"/>
          <w:color w:val="000000"/>
          <w:highlight w:val="yellow"/>
        </w:rPr>
      </w:pPr>
    </w:p>
    <w:p w14:paraId="3871B6FA" w14:textId="77777777" w:rsidR="003F6F5B" w:rsidRPr="00881D8A" w:rsidRDefault="003F6F5B" w:rsidP="003F6F5B">
      <w:pPr>
        <w:spacing w:after="0" w:line="240" w:lineRule="auto"/>
        <w:jc w:val="both"/>
        <w:rPr>
          <w:rFonts w:ascii="Verdana" w:eastAsia="Aptos" w:hAnsi="Verdana" w:cs="Arial"/>
          <w:color w:val="000000"/>
          <w:highlight w:val="yellow"/>
        </w:rPr>
      </w:pPr>
    </w:p>
    <w:p w14:paraId="7D8573D3" w14:textId="77777777" w:rsidR="003F6F5B" w:rsidRPr="00881D8A" w:rsidRDefault="003F6F5B" w:rsidP="003F6F5B">
      <w:pPr>
        <w:spacing w:after="0" w:line="240" w:lineRule="auto"/>
        <w:jc w:val="both"/>
        <w:rPr>
          <w:rFonts w:ascii="Verdana" w:eastAsia="Aptos" w:hAnsi="Verdana" w:cs="Arial"/>
          <w:color w:val="000000"/>
          <w:highlight w:val="yellow"/>
        </w:rPr>
      </w:pPr>
    </w:p>
    <w:p w14:paraId="03B97226" w14:textId="77777777" w:rsidR="003F6F5B" w:rsidRPr="00881D8A" w:rsidRDefault="003F6F5B" w:rsidP="003F6F5B">
      <w:pPr>
        <w:spacing w:after="0" w:line="240" w:lineRule="auto"/>
        <w:jc w:val="both"/>
        <w:rPr>
          <w:rFonts w:ascii="Verdana" w:eastAsia="Aptos" w:hAnsi="Verdana" w:cs="Arial"/>
          <w:color w:val="000000"/>
          <w:highlight w:val="yellow"/>
        </w:rPr>
      </w:pPr>
    </w:p>
    <w:p w14:paraId="7C5CBF18" w14:textId="77777777" w:rsidR="003F6F5B" w:rsidRPr="00881D8A" w:rsidRDefault="003F6F5B" w:rsidP="003F6F5B">
      <w:pPr>
        <w:spacing w:after="0" w:line="240" w:lineRule="auto"/>
        <w:jc w:val="both"/>
        <w:rPr>
          <w:rFonts w:ascii="Verdana" w:eastAsia="Aptos" w:hAnsi="Verdana" w:cs="Arial"/>
          <w:color w:val="000000"/>
          <w:highlight w:val="yellow"/>
        </w:rPr>
      </w:pPr>
    </w:p>
    <w:p w14:paraId="0D1BEAC4" w14:textId="77777777" w:rsidR="003F6F5B" w:rsidRPr="00881D8A" w:rsidRDefault="003F6F5B" w:rsidP="003F6F5B">
      <w:pPr>
        <w:spacing w:after="0" w:line="240" w:lineRule="auto"/>
        <w:jc w:val="both"/>
        <w:rPr>
          <w:rFonts w:ascii="Verdana" w:eastAsia="Aptos" w:hAnsi="Verdana" w:cs="Arial"/>
          <w:color w:val="000000"/>
          <w:highlight w:val="yellow"/>
        </w:rPr>
      </w:pPr>
    </w:p>
    <w:p w14:paraId="030A1C07" w14:textId="77777777" w:rsidR="003F6F5B" w:rsidRPr="00881D8A" w:rsidRDefault="003F6F5B" w:rsidP="003F6F5B">
      <w:pPr>
        <w:spacing w:after="0" w:line="240" w:lineRule="auto"/>
        <w:jc w:val="both"/>
        <w:rPr>
          <w:rFonts w:ascii="Verdana" w:eastAsia="Aptos" w:hAnsi="Verdana" w:cs="Arial"/>
          <w:color w:val="000000"/>
          <w:highlight w:val="yellow"/>
        </w:rPr>
      </w:pPr>
    </w:p>
    <w:p w14:paraId="35E1DC36" w14:textId="77777777" w:rsidR="003F6F5B" w:rsidRPr="00881D8A" w:rsidRDefault="003F6F5B" w:rsidP="003F6F5B">
      <w:pPr>
        <w:spacing w:after="0" w:line="240" w:lineRule="auto"/>
        <w:jc w:val="both"/>
        <w:rPr>
          <w:rFonts w:ascii="Verdana" w:eastAsia="Aptos" w:hAnsi="Verdana" w:cs="Arial"/>
          <w:color w:val="000000"/>
          <w:highlight w:val="yellow"/>
        </w:rPr>
      </w:pPr>
    </w:p>
    <w:p w14:paraId="34C9C8C8" w14:textId="77777777" w:rsidR="003F6F5B" w:rsidRPr="00881D8A" w:rsidRDefault="003F6F5B" w:rsidP="003F6F5B">
      <w:pPr>
        <w:spacing w:after="0" w:line="240" w:lineRule="auto"/>
        <w:jc w:val="both"/>
        <w:rPr>
          <w:rFonts w:ascii="Verdana" w:eastAsia="Aptos" w:hAnsi="Verdana" w:cs="Arial"/>
          <w:color w:val="000000"/>
          <w:highlight w:val="yellow"/>
        </w:rPr>
      </w:pPr>
    </w:p>
    <w:p w14:paraId="3C285DE0" w14:textId="77777777" w:rsidR="003F6F5B" w:rsidRPr="00881D8A" w:rsidRDefault="003F6F5B" w:rsidP="003F6F5B">
      <w:pPr>
        <w:spacing w:after="0" w:line="240" w:lineRule="auto"/>
        <w:jc w:val="both"/>
        <w:rPr>
          <w:rFonts w:ascii="Verdana" w:eastAsia="Aptos" w:hAnsi="Verdana" w:cs="Arial"/>
          <w:color w:val="000000"/>
          <w:highlight w:val="yellow"/>
        </w:rPr>
      </w:pPr>
    </w:p>
    <w:p w14:paraId="73A61D35" w14:textId="77777777" w:rsidR="003F6F5B" w:rsidRPr="00881D8A" w:rsidRDefault="003F6F5B" w:rsidP="003F6F5B">
      <w:pPr>
        <w:spacing w:after="0" w:line="240" w:lineRule="auto"/>
        <w:jc w:val="both"/>
        <w:rPr>
          <w:rFonts w:ascii="Verdana" w:eastAsia="Aptos" w:hAnsi="Verdana" w:cs="Arial"/>
          <w:color w:val="000000"/>
          <w:highlight w:val="yellow"/>
        </w:rPr>
      </w:pPr>
    </w:p>
    <w:p w14:paraId="46BB7B5B" w14:textId="77777777" w:rsidR="003F6F5B" w:rsidRPr="00881D8A" w:rsidRDefault="003F6F5B" w:rsidP="003F6F5B">
      <w:pPr>
        <w:spacing w:after="0" w:line="240" w:lineRule="auto"/>
        <w:jc w:val="both"/>
        <w:rPr>
          <w:rFonts w:ascii="Verdana" w:eastAsia="Aptos" w:hAnsi="Verdana" w:cs="Arial"/>
          <w:color w:val="000000"/>
          <w:highlight w:val="yellow"/>
        </w:rPr>
      </w:pPr>
    </w:p>
    <w:p w14:paraId="21782AB3" w14:textId="77777777" w:rsidR="003F6F5B" w:rsidRPr="00881D8A" w:rsidRDefault="003F6F5B" w:rsidP="003F6F5B">
      <w:pPr>
        <w:spacing w:after="0" w:line="240" w:lineRule="auto"/>
        <w:jc w:val="both"/>
        <w:rPr>
          <w:rFonts w:ascii="Verdana" w:eastAsia="Aptos" w:hAnsi="Verdana" w:cs="Arial"/>
          <w:color w:val="000000"/>
          <w:highlight w:val="yellow"/>
        </w:rPr>
      </w:pPr>
    </w:p>
    <w:p w14:paraId="1A0AEA4C" w14:textId="77777777" w:rsidR="003F6F5B" w:rsidRPr="00881D8A" w:rsidRDefault="003F6F5B" w:rsidP="003F6F5B">
      <w:pPr>
        <w:spacing w:after="0" w:line="240" w:lineRule="auto"/>
        <w:jc w:val="both"/>
        <w:rPr>
          <w:rFonts w:ascii="Verdana" w:eastAsia="Aptos" w:hAnsi="Verdana" w:cs="Arial"/>
          <w:color w:val="000000"/>
          <w:highlight w:val="yellow"/>
        </w:rPr>
      </w:pPr>
    </w:p>
    <w:p w14:paraId="2FCB3436" w14:textId="77777777" w:rsidR="003F6F5B" w:rsidRPr="00881D8A" w:rsidRDefault="003F6F5B" w:rsidP="003F6F5B">
      <w:pPr>
        <w:spacing w:after="0" w:line="240" w:lineRule="auto"/>
        <w:jc w:val="both"/>
        <w:rPr>
          <w:rFonts w:ascii="Verdana" w:eastAsia="Aptos" w:hAnsi="Verdana" w:cs="Arial"/>
          <w:color w:val="000000"/>
          <w:highlight w:val="yellow"/>
        </w:rPr>
      </w:pPr>
    </w:p>
    <w:p w14:paraId="219EC3DA" w14:textId="77777777" w:rsidR="003F6F5B" w:rsidRPr="00881D8A" w:rsidRDefault="003F6F5B" w:rsidP="003F6F5B">
      <w:pPr>
        <w:spacing w:after="0" w:line="240" w:lineRule="auto"/>
        <w:jc w:val="both"/>
        <w:rPr>
          <w:rFonts w:ascii="Verdana" w:eastAsia="Aptos" w:hAnsi="Verdana" w:cs="Arial"/>
          <w:color w:val="000000"/>
          <w:highlight w:val="yellow"/>
        </w:rPr>
      </w:pPr>
    </w:p>
    <w:p w14:paraId="62CC3991" w14:textId="77777777" w:rsidR="003F6F5B" w:rsidRPr="00881D8A" w:rsidRDefault="003F6F5B" w:rsidP="003F6F5B">
      <w:pPr>
        <w:spacing w:after="0" w:line="240" w:lineRule="auto"/>
        <w:jc w:val="both"/>
        <w:rPr>
          <w:rFonts w:ascii="Verdana" w:eastAsia="Aptos" w:hAnsi="Verdana" w:cs="Arial"/>
          <w:color w:val="000000"/>
          <w:highlight w:val="yellow"/>
        </w:rPr>
      </w:pPr>
    </w:p>
    <w:p w14:paraId="4FC9526E" w14:textId="77777777" w:rsidR="003F6F5B" w:rsidRPr="00881D8A" w:rsidRDefault="003F6F5B" w:rsidP="003F6F5B">
      <w:pPr>
        <w:spacing w:after="0" w:line="240" w:lineRule="auto"/>
        <w:jc w:val="both"/>
        <w:rPr>
          <w:rFonts w:ascii="Verdana" w:eastAsia="Aptos" w:hAnsi="Verdana" w:cs="Arial"/>
          <w:color w:val="000000"/>
          <w:highlight w:val="yellow"/>
          <w:lang w:val="es-ES_tradnl"/>
        </w:rPr>
      </w:pPr>
    </w:p>
    <w:p w14:paraId="796C2F3B" w14:textId="1D486923" w:rsidR="003F6F5B" w:rsidRDefault="003F6F5B" w:rsidP="003F6F5B">
      <w:pPr>
        <w:spacing w:after="0" w:line="240" w:lineRule="auto"/>
        <w:rPr>
          <w:rFonts w:ascii="Verdana" w:hAnsi="Verdana"/>
        </w:rPr>
      </w:pPr>
      <w:r w:rsidRPr="00121DB5">
        <w:rPr>
          <w:rFonts w:ascii="Verdana" w:hAnsi="Verdana"/>
        </w:rPr>
        <w:lastRenderedPageBreak/>
        <w:t xml:space="preserve">Bogotá D.C., </w:t>
      </w:r>
      <w:r w:rsidR="003B6B08">
        <w:rPr>
          <w:rFonts w:ascii="Verdana" w:hAnsi="Verdana"/>
        </w:rPr>
        <w:t>18 de febrero de 2026</w:t>
      </w:r>
    </w:p>
    <w:p w14:paraId="64774963" w14:textId="77777777" w:rsidR="003B6B08" w:rsidRDefault="003B6B08" w:rsidP="003F6F5B">
      <w:pPr>
        <w:spacing w:after="0" w:line="240" w:lineRule="auto"/>
        <w:rPr>
          <w:rFonts w:ascii="Verdana" w:hAnsi="Verdana"/>
        </w:rPr>
      </w:pPr>
    </w:p>
    <w:p w14:paraId="7A290FD9" w14:textId="61755D9B" w:rsidR="003B6B08" w:rsidRDefault="003B6B08" w:rsidP="003B6B08">
      <w:pPr>
        <w:spacing w:after="0" w:line="240" w:lineRule="auto"/>
        <w:jc w:val="right"/>
        <w:rPr>
          <w:rFonts w:ascii="Verdana" w:hAnsi="Verdana"/>
        </w:rPr>
      </w:pPr>
      <w:r w:rsidRPr="003B6B08">
        <w:rPr>
          <w:rFonts w:ascii="Verdana" w:hAnsi="Verdana"/>
        </w:rPr>
        <w:drawing>
          <wp:inline distT="0" distB="0" distL="0" distR="0" wp14:anchorId="6E94EE87" wp14:editId="01BC517D">
            <wp:extent cx="2237482" cy="711926"/>
            <wp:effectExtent l="0" t="0" r="0" b="0"/>
            <wp:docPr id="18668349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834937" name=""/>
                    <pic:cNvPicPr/>
                  </pic:nvPicPr>
                  <pic:blipFill>
                    <a:blip r:embed="rId10"/>
                    <a:stretch>
                      <a:fillRect/>
                    </a:stretch>
                  </pic:blipFill>
                  <pic:spPr>
                    <a:xfrm>
                      <a:off x="0" y="0"/>
                      <a:ext cx="2278213" cy="724886"/>
                    </a:xfrm>
                    <a:prstGeom prst="rect">
                      <a:avLst/>
                    </a:prstGeom>
                  </pic:spPr>
                </pic:pic>
              </a:graphicData>
            </a:graphic>
          </wp:inline>
        </w:drawing>
      </w:r>
    </w:p>
    <w:p w14:paraId="465CF281" w14:textId="77777777" w:rsidR="003F6F5B" w:rsidRPr="00881D8A" w:rsidRDefault="003F6F5B" w:rsidP="003F6F5B">
      <w:pPr>
        <w:spacing w:after="0" w:line="240" w:lineRule="auto"/>
        <w:rPr>
          <w:rFonts w:ascii="Verdana" w:eastAsia="Calibri" w:hAnsi="Verdana" w:cs="Vrinda"/>
        </w:rPr>
      </w:pPr>
    </w:p>
    <w:p w14:paraId="76D0134E" w14:textId="77777777" w:rsidR="003F6F5B" w:rsidRPr="00881D8A" w:rsidRDefault="003F6F5B" w:rsidP="003F6F5B">
      <w:pPr>
        <w:spacing w:after="0" w:line="240" w:lineRule="auto"/>
        <w:jc w:val="both"/>
        <w:rPr>
          <w:rFonts w:ascii="Verdana" w:eastAsia="Calibri" w:hAnsi="Verdana" w:cs="Arial"/>
          <w:lang w:eastAsia="es-ES"/>
        </w:rPr>
      </w:pPr>
      <w:bookmarkStart w:id="1" w:name="_Hlk117695077"/>
      <w:r w:rsidRPr="00881D8A">
        <w:rPr>
          <w:rFonts w:ascii="Verdana" w:eastAsia="Calibri" w:hAnsi="Verdana" w:cs="Arial"/>
          <w:lang w:eastAsia="es-ES"/>
        </w:rPr>
        <w:t>Señor</w:t>
      </w:r>
    </w:p>
    <w:p w14:paraId="27818C60" w14:textId="77777777" w:rsidR="003F6F5B" w:rsidRPr="00881D8A" w:rsidRDefault="003F6F5B" w:rsidP="003F6F5B">
      <w:pPr>
        <w:spacing w:after="0" w:line="240" w:lineRule="auto"/>
        <w:jc w:val="both"/>
        <w:rPr>
          <w:rFonts w:ascii="Verdana" w:eastAsia="Times New Roman" w:hAnsi="Verdana" w:cs="Arial"/>
          <w:b/>
          <w:bCs/>
          <w:lang w:eastAsia="es-CO"/>
        </w:rPr>
      </w:pPr>
      <w:proofErr w:type="spellStart"/>
      <w:r>
        <w:rPr>
          <w:rFonts w:ascii="Verdana" w:eastAsia="Times New Roman" w:hAnsi="Verdana" w:cs="Arial"/>
          <w:b/>
          <w:bCs/>
          <w:lang w:eastAsia="es-CO"/>
        </w:rPr>
        <w:t>Johnathan</w:t>
      </w:r>
      <w:proofErr w:type="spellEnd"/>
      <w:r>
        <w:rPr>
          <w:rFonts w:ascii="Verdana" w:eastAsia="Times New Roman" w:hAnsi="Verdana" w:cs="Arial"/>
          <w:b/>
          <w:bCs/>
          <w:lang w:eastAsia="es-CO"/>
        </w:rPr>
        <w:t xml:space="preserve"> </w:t>
      </w:r>
      <w:proofErr w:type="spellStart"/>
      <w:r>
        <w:rPr>
          <w:rFonts w:ascii="Verdana" w:eastAsia="Times New Roman" w:hAnsi="Verdana" w:cs="Arial"/>
          <w:b/>
          <w:bCs/>
          <w:lang w:eastAsia="es-CO"/>
        </w:rPr>
        <w:t>Cotacio</w:t>
      </w:r>
      <w:proofErr w:type="spellEnd"/>
    </w:p>
    <w:p w14:paraId="2FF30E13" w14:textId="77777777" w:rsidR="003F6F5B" w:rsidRPr="00881D8A" w:rsidRDefault="003F6F5B" w:rsidP="003F6F5B">
      <w:pPr>
        <w:spacing w:after="0" w:line="240" w:lineRule="auto"/>
        <w:jc w:val="both"/>
        <w:rPr>
          <w:rFonts w:ascii="Verdana" w:eastAsia="Calibri" w:hAnsi="Verdana" w:cs="Arial"/>
          <w:b/>
          <w:bCs/>
          <w:lang w:eastAsia="es-ES"/>
        </w:rPr>
      </w:pPr>
      <w:r>
        <w:rPr>
          <w:rFonts w:ascii="Verdana" w:eastAsia="Calibri" w:hAnsi="Verdana" w:cs="Arial"/>
        </w:rPr>
        <w:t>Florencia, Caquetá</w:t>
      </w:r>
    </w:p>
    <w:p w14:paraId="1A6FC885" w14:textId="77777777" w:rsidR="003F6F5B" w:rsidRPr="00881D8A" w:rsidRDefault="003F6F5B" w:rsidP="003F6F5B">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3F6F5B" w:rsidRPr="00881D8A" w14:paraId="44358C30" w14:textId="77777777" w:rsidTr="00296400">
        <w:trPr>
          <w:trHeight w:val="910"/>
        </w:trPr>
        <w:tc>
          <w:tcPr>
            <w:tcW w:w="2725" w:type="dxa"/>
          </w:tcPr>
          <w:p w14:paraId="4D6C5315" w14:textId="77777777" w:rsidR="003F6F5B" w:rsidRPr="00881D8A" w:rsidRDefault="003F6F5B" w:rsidP="00296400">
            <w:pPr>
              <w:jc w:val="both"/>
              <w:rPr>
                <w:rFonts w:ascii="Verdana" w:eastAsia="Calibri" w:hAnsi="Verdana" w:cs="Arial"/>
                <w:b/>
                <w:bCs/>
                <w:color w:val="7030A0"/>
                <w:lang w:eastAsia="es-ES_tradnl"/>
              </w:rPr>
            </w:pPr>
          </w:p>
        </w:tc>
        <w:tc>
          <w:tcPr>
            <w:tcW w:w="6183" w:type="dxa"/>
          </w:tcPr>
          <w:p w14:paraId="4FBC3262" w14:textId="77777777" w:rsidR="003F6F5B" w:rsidRPr="00881D8A" w:rsidRDefault="003F6F5B" w:rsidP="00296400">
            <w:pPr>
              <w:jc w:val="both"/>
              <w:rPr>
                <w:rFonts w:ascii="Verdana" w:eastAsia="Calibri" w:hAnsi="Verdana" w:cs="Arial"/>
                <w:b/>
                <w:bCs/>
                <w:lang w:eastAsia="es-ES"/>
              </w:rPr>
            </w:pPr>
            <w:r w:rsidRPr="00881D8A">
              <w:rPr>
                <w:rFonts w:ascii="Verdana" w:eastAsia="Calibri" w:hAnsi="Verdana" w:cs="Arial"/>
                <w:b/>
                <w:bCs/>
                <w:lang w:eastAsia="es-ES"/>
              </w:rPr>
              <w:t>Concepto C-</w:t>
            </w:r>
            <w:r>
              <w:rPr>
                <w:rFonts w:ascii="Verdana" w:eastAsia="Calibri" w:hAnsi="Verdana" w:cs="Arial"/>
                <w:b/>
                <w:bCs/>
                <w:lang w:eastAsia="es-ES"/>
              </w:rPr>
              <w:t>126</w:t>
            </w:r>
            <w:r w:rsidRPr="00881D8A">
              <w:rPr>
                <w:rFonts w:ascii="Verdana" w:eastAsia="Calibri" w:hAnsi="Verdana" w:cs="Arial"/>
                <w:b/>
                <w:bCs/>
                <w:lang w:eastAsia="es-ES"/>
              </w:rPr>
              <w:t xml:space="preserve"> de 202</w:t>
            </w:r>
            <w:r>
              <w:rPr>
                <w:rFonts w:ascii="Verdana" w:eastAsia="Calibri" w:hAnsi="Verdana" w:cs="Arial"/>
                <w:b/>
                <w:bCs/>
                <w:lang w:eastAsia="es-ES"/>
              </w:rPr>
              <w:t>6</w:t>
            </w:r>
          </w:p>
          <w:p w14:paraId="01E5A6B5" w14:textId="77777777" w:rsidR="003F6F5B" w:rsidRDefault="003F6F5B" w:rsidP="00296400">
            <w:pPr>
              <w:jc w:val="both"/>
              <w:rPr>
                <w:rFonts w:ascii="Verdana" w:eastAsia="Calibri" w:hAnsi="Verdana" w:cs="Arial"/>
                <w:b/>
                <w:bCs/>
                <w:lang w:eastAsia="es-ES"/>
              </w:rPr>
            </w:pPr>
          </w:p>
          <w:p w14:paraId="62391DB5" w14:textId="77777777" w:rsidR="003F6F5B" w:rsidRPr="00881D8A" w:rsidRDefault="003F6F5B" w:rsidP="00296400">
            <w:pPr>
              <w:jc w:val="both"/>
              <w:rPr>
                <w:rFonts w:ascii="Verdana" w:eastAsia="Calibri" w:hAnsi="Verdana" w:cs="Arial"/>
                <w:b/>
                <w:bCs/>
                <w:lang w:eastAsia="es-ES"/>
              </w:rPr>
            </w:pPr>
          </w:p>
        </w:tc>
      </w:tr>
      <w:tr w:rsidR="003F6F5B" w:rsidRPr="00881D8A" w14:paraId="7B7EF258" w14:textId="77777777" w:rsidTr="00296400">
        <w:trPr>
          <w:trHeight w:val="910"/>
        </w:trPr>
        <w:tc>
          <w:tcPr>
            <w:tcW w:w="2725" w:type="dxa"/>
          </w:tcPr>
          <w:p w14:paraId="554FD957" w14:textId="77777777" w:rsidR="003F6F5B" w:rsidRPr="00881D8A" w:rsidRDefault="003F6F5B" w:rsidP="00296400">
            <w:pPr>
              <w:jc w:val="both"/>
              <w:rPr>
                <w:rFonts w:ascii="Verdana" w:eastAsia="Calibri" w:hAnsi="Verdana" w:cs="Arial"/>
                <w:color w:val="000000"/>
                <w:lang w:eastAsia="es-ES_tradnl"/>
              </w:rPr>
            </w:pPr>
            <w:r w:rsidRPr="00881D8A">
              <w:rPr>
                <w:rFonts w:ascii="Verdana" w:eastAsia="Calibri" w:hAnsi="Verdana" w:cs="Arial"/>
                <w:b/>
                <w:color w:val="000000"/>
                <w:lang w:eastAsia="es-ES_tradnl"/>
              </w:rPr>
              <w:t>Temas:</w:t>
            </w:r>
            <w:r w:rsidRPr="00881D8A">
              <w:rPr>
                <w:rFonts w:ascii="Verdana" w:eastAsia="Calibri" w:hAnsi="Verdana" w:cs="Arial"/>
                <w:color w:val="000000"/>
                <w:lang w:eastAsia="es-ES_tradnl"/>
              </w:rPr>
              <w:t xml:space="preserve">                   </w:t>
            </w:r>
          </w:p>
        </w:tc>
        <w:tc>
          <w:tcPr>
            <w:tcW w:w="6183" w:type="dxa"/>
          </w:tcPr>
          <w:p w14:paraId="7351B884" w14:textId="77777777" w:rsidR="003F6F5B" w:rsidRPr="00881D8A" w:rsidRDefault="003F6F5B" w:rsidP="00296400">
            <w:pPr>
              <w:jc w:val="both"/>
              <w:rPr>
                <w:rFonts w:ascii="Verdana" w:eastAsia="Calibri" w:hAnsi="Verdana" w:cs="Arial"/>
                <w:sz w:val="20"/>
                <w:szCs w:val="20"/>
                <w:lang w:eastAsia="es-ES"/>
              </w:rPr>
            </w:pPr>
            <w:r w:rsidRPr="00881D8A">
              <w:rPr>
                <w:rFonts w:ascii="Verdana" w:eastAsia="Calibri" w:hAnsi="Verdana" w:cs="Calibri"/>
                <w:lang w:val="es-ES"/>
              </w:rPr>
              <w:t xml:space="preserve">CAPACIDAD RESIDUAL – Definición / CAPACIDAD RESIDUAL – Acreditación - Pliego de condiciones / CAPACIDAD RESIDUAL – Causal de rechazo / CAPACIDAD RESIDUAL – Documentos tipo – Causales de rechazo de la oferta / DOCUMENTOS TIPO – Causales de rechazo de la oferta – Literal X – Capacidad residual / DOCUMENTOS TIPO – Causales de rechazo de la oferta – Literal X – </w:t>
            </w:r>
            <w:proofErr w:type="spellStart"/>
            <w:r w:rsidRPr="00881D8A">
              <w:rPr>
                <w:rFonts w:ascii="Verdana" w:eastAsia="Calibri" w:hAnsi="Verdana" w:cs="Calibri"/>
                <w:lang w:val="es-ES"/>
              </w:rPr>
              <w:t>Subsanabilidad</w:t>
            </w:r>
            <w:proofErr w:type="spellEnd"/>
          </w:p>
          <w:p w14:paraId="21209EF5" w14:textId="77777777" w:rsidR="003F6F5B" w:rsidRPr="00881D8A" w:rsidRDefault="003F6F5B" w:rsidP="00296400">
            <w:pPr>
              <w:jc w:val="both"/>
              <w:rPr>
                <w:rFonts w:ascii="Verdana" w:eastAsia="Calibri" w:hAnsi="Verdana" w:cs="Arial"/>
                <w:lang w:eastAsia="es-ES"/>
              </w:rPr>
            </w:pPr>
          </w:p>
        </w:tc>
      </w:tr>
      <w:tr w:rsidR="003F6F5B" w:rsidRPr="00881D8A" w14:paraId="3EA601A7" w14:textId="77777777" w:rsidTr="00296400">
        <w:trPr>
          <w:trHeight w:val="556"/>
        </w:trPr>
        <w:tc>
          <w:tcPr>
            <w:tcW w:w="2725" w:type="dxa"/>
          </w:tcPr>
          <w:p w14:paraId="502415E6" w14:textId="77777777" w:rsidR="003F6F5B" w:rsidRPr="00881D8A" w:rsidRDefault="003F6F5B" w:rsidP="00296400">
            <w:pPr>
              <w:jc w:val="both"/>
              <w:rPr>
                <w:rFonts w:ascii="Verdana" w:eastAsia="Calibri" w:hAnsi="Verdana" w:cs="Arial"/>
                <w:b/>
                <w:bCs/>
                <w:lang w:eastAsia="es-ES_tradnl"/>
              </w:rPr>
            </w:pPr>
            <w:r w:rsidRPr="00881D8A">
              <w:rPr>
                <w:rFonts w:ascii="Verdana" w:eastAsia="Calibri" w:hAnsi="Verdana" w:cs="Arial"/>
                <w:b/>
                <w:bCs/>
                <w:lang w:eastAsia="es-ES_tradnl"/>
              </w:rPr>
              <w:t xml:space="preserve">Radicación:               </w:t>
            </w:r>
          </w:p>
        </w:tc>
        <w:tc>
          <w:tcPr>
            <w:tcW w:w="6183" w:type="dxa"/>
          </w:tcPr>
          <w:p w14:paraId="13690308" w14:textId="77777777" w:rsidR="003F6F5B" w:rsidRPr="00881D8A" w:rsidRDefault="003F6F5B" w:rsidP="00296400">
            <w:pPr>
              <w:jc w:val="both"/>
              <w:rPr>
                <w:rFonts w:ascii="Verdana" w:eastAsia="Calibri" w:hAnsi="Verdana" w:cs="Arial"/>
                <w:lang w:eastAsia="es-ES_tradnl"/>
              </w:rPr>
            </w:pPr>
            <w:r w:rsidRPr="00881D8A">
              <w:rPr>
                <w:rFonts w:ascii="Verdana" w:eastAsia="Calibri" w:hAnsi="Verdana" w:cs="Arial"/>
                <w:lang w:eastAsia="es-ES_tradnl"/>
              </w:rPr>
              <w:t xml:space="preserve">Respuesta a consulta con radicado No. </w:t>
            </w:r>
            <w:r w:rsidRPr="00943915">
              <w:rPr>
                <w:rFonts w:ascii="Verdana" w:eastAsia="Calibri" w:hAnsi="Verdana" w:cs="Arial"/>
                <w:lang w:eastAsia="es-ES_tradnl"/>
              </w:rPr>
              <w:t>1_2026_01_30_001103</w:t>
            </w:r>
          </w:p>
        </w:tc>
      </w:tr>
    </w:tbl>
    <w:p w14:paraId="019A42E8" w14:textId="77777777" w:rsidR="003F6F5B" w:rsidRDefault="003F6F5B" w:rsidP="003F6F5B">
      <w:pPr>
        <w:spacing w:after="0" w:line="240" w:lineRule="auto"/>
        <w:jc w:val="both"/>
        <w:rPr>
          <w:rFonts w:ascii="Verdana" w:eastAsia="Calibri" w:hAnsi="Verdana" w:cs="Arial"/>
          <w:b/>
          <w:bCs/>
          <w:lang w:eastAsia="es-ES"/>
        </w:rPr>
      </w:pPr>
      <w:r w:rsidRPr="00881D8A">
        <w:rPr>
          <w:rFonts w:ascii="Verdana" w:eastAsia="Calibri" w:hAnsi="Verdana" w:cs="Arial"/>
          <w:b/>
          <w:bCs/>
          <w:lang w:eastAsia="es-ES"/>
        </w:rPr>
        <w:tab/>
      </w:r>
    </w:p>
    <w:p w14:paraId="16056C97" w14:textId="77777777" w:rsidR="003F6F5B" w:rsidRPr="00881D8A" w:rsidRDefault="003F6F5B" w:rsidP="003F6F5B">
      <w:pPr>
        <w:spacing w:after="0" w:line="240" w:lineRule="auto"/>
        <w:jc w:val="both"/>
        <w:rPr>
          <w:rFonts w:ascii="Verdana" w:eastAsia="Calibri" w:hAnsi="Verdana" w:cs="Arial"/>
          <w:b/>
          <w:bCs/>
          <w:lang w:eastAsia="es-ES"/>
        </w:rPr>
      </w:pPr>
    </w:p>
    <w:p w14:paraId="69239A12" w14:textId="77777777" w:rsidR="003F6F5B" w:rsidRPr="00881D8A" w:rsidRDefault="003F6F5B" w:rsidP="003F6F5B">
      <w:pPr>
        <w:spacing w:after="0" w:line="276" w:lineRule="auto"/>
        <w:jc w:val="both"/>
        <w:rPr>
          <w:rFonts w:ascii="Verdana" w:eastAsia="Calibri" w:hAnsi="Verdana" w:cs="Vrinda"/>
          <w:lang w:val="es-ES" w:eastAsia="es-ES"/>
        </w:rPr>
      </w:pPr>
      <w:r w:rsidRPr="00881D8A">
        <w:rPr>
          <w:rFonts w:ascii="Verdana" w:eastAsia="Calibri" w:hAnsi="Verdana" w:cs="Vrinda"/>
          <w:lang w:val="es-ES" w:eastAsia="es-ES"/>
        </w:rPr>
        <w:t>Estimado Señor</w:t>
      </w:r>
      <w:r>
        <w:rPr>
          <w:rFonts w:ascii="Verdana" w:eastAsia="Times New Roman" w:hAnsi="Verdana" w:cs="Arial"/>
          <w:lang w:eastAsia="es-CO"/>
        </w:rPr>
        <w:t xml:space="preserve"> </w:t>
      </w:r>
      <w:proofErr w:type="spellStart"/>
      <w:r>
        <w:rPr>
          <w:rFonts w:ascii="Verdana" w:eastAsia="Times New Roman" w:hAnsi="Verdana" w:cs="Arial"/>
          <w:lang w:eastAsia="es-CO"/>
        </w:rPr>
        <w:t>Cotacio</w:t>
      </w:r>
      <w:proofErr w:type="spellEnd"/>
      <w:r w:rsidRPr="00881D8A">
        <w:rPr>
          <w:rFonts w:ascii="Verdana" w:eastAsia="Calibri" w:hAnsi="Verdana" w:cs="Vrinda"/>
          <w:lang w:val="es-ES" w:eastAsia="es-ES"/>
        </w:rPr>
        <w:t xml:space="preserve">: </w:t>
      </w:r>
    </w:p>
    <w:p w14:paraId="15DA993E" w14:textId="77777777" w:rsidR="003F6F5B" w:rsidRPr="00881D8A" w:rsidRDefault="003F6F5B" w:rsidP="003F6F5B">
      <w:pPr>
        <w:spacing w:after="0" w:line="276" w:lineRule="auto"/>
        <w:jc w:val="both"/>
        <w:rPr>
          <w:rFonts w:ascii="Verdana" w:eastAsia="Calibri" w:hAnsi="Verdana" w:cs="Vrinda"/>
          <w:lang w:val="es-ES_tradnl" w:eastAsia="es-ES_tradnl"/>
        </w:rPr>
      </w:pPr>
    </w:p>
    <w:p w14:paraId="7E35A295" w14:textId="3A8703A9" w:rsidR="003F6F5B" w:rsidRPr="00881D8A" w:rsidRDefault="003F6F5B" w:rsidP="003F6F5B">
      <w:pPr>
        <w:spacing w:after="0" w:line="276" w:lineRule="auto"/>
        <w:jc w:val="both"/>
        <w:rPr>
          <w:rFonts w:ascii="Verdana" w:eastAsia="Calibri" w:hAnsi="Verdana" w:cs="Vrinda"/>
          <w:lang w:val="es-ES" w:eastAsia="es-ES"/>
        </w:rPr>
      </w:pPr>
      <w:r w:rsidRPr="00881D8A">
        <w:rPr>
          <w:rFonts w:ascii="Verdana" w:eastAsia="Calibri" w:hAnsi="Verdana" w:cs="Vrinda"/>
          <w:lang w:val="es-ES" w:eastAsia="es-ES"/>
        </w:rPr>
        <w:t>En ejercicio de la competencia otorgada por los artículos 3, numeral 5º, y 11, numeral 8º, del Decreto Ley 4170 de 2011,</w:t>
      </w:r>
      <w:r w:rsidRPr="00881D8A">
        <w:rPr>
          <w:rFonts w:ascii="Verdana" w:eastAsia="Arial MT" w:hAnsi="Verdana" w:cs="Vrinda"/>
          <w:lang w:val="es-ES" w:eastAsia="es-ES"/>
        </w:rPr>
        <w:t xml:space="preserve"> </w:t>
      </w:r>
      <w:r w:rsidRPr="00881D8A">
        <w:rPr>
          <w:rFonts w:ascii="Verdana" w:eastAsia="Calibri" w:hAnsi="Verdana" w:cs="Vrinda"/>
        </w:rPr>
        <w:t xml:space="preserve">así como lo establecido en la Resolución </w:t>
      </w:r>
      <w:r w:rsidR="00416C6A">
        <w:rPr>
          <w:rFonts w:ascii="Verdana" w:eastAsia="Calibri" w:hAnsi="Verdana" w:cs="Vrinda"/>
        </w:rPr>
        <w:t>469 de 2025</w:t>
      </w:r>
      <w:r w:rsidRPr="00881D8A">
        <w:rPr>
          <w:rFonts w:ascii="Verdana" w:eastAsia="Calibri" w:hAnsi="Verdana" w:cs="Vrinda"/>
        </w:rPr>
        <w:t xml:space="preserve"> expedida por esta Entidad, </w:t>
      </w:r>
      <w:r w:rsidRPr="00881D8A">
        <w:rPr>
          <w:rFonts w:ascii="Verdana" w:eastAsia="Calibri" w:hAnsi="Verdana" w:cs="Vrinda"/>
          <w:lang w:val="es-ES" w:eastAsia="es-ES"/>
        </w:rPr>
        <w:t xml:space="preserve">la Agencia Nacional de Contratación Pública – Colombia Compra Eficiente– responde su solicitud del </w:t>
      </w:r>
      <w:r>
        <w:rPr>
          <w:rFonts w:ascii="Verdana" w:eastAsia="Calibri" w:hAnsi="Verdana" w:cs="Vrinda"/>
          <w:lang w:val="es-ES" w:eastAsia="es-ES"/>
        </w:rPr>
        <w:t>30 de enero de 2026</w:t>
      </w:r>
      <w:r w:rsidRPr="00881D8A">
        <w:rPr>
          <w:rFonts w:ascii="Verdana" w:eastAsia="Calibri" w:hAnsi="Verdana" w:cs="Vrinda"/>
          <w:lang w:val="es-ES" w:eastAsia="es-ES"/>
        </w:rPr>
        <w:t>. En dicha petici</w:t>
      </w:r>
      <w:r>
        <w:rPr>
          <w:rFonts w:ascii="Verdana" w:eastAsia="Calibri" w:hAnsi="Verdana" w:cs="Vrinda"/>
          <w:lang w:val="es-ES" w:eastAsia="es-ES"/>
        </w:rPr>
        <w:t>ón</w:t>
      </w:r>
      <w:r w:rsidRPr="00881D8A">
        <w:rPr>
          <w:rFonts w:ascii="Verdana" w:eastAsia="Calibri" w:hAnsi="Verdana" w:cs="Vrinda"/>
          <w:lang w:val="es-ES" w:eastAsia="es-ES"/>
        </w:rPr>
        <w:t xml:space="preserve"> usted manifiesta lo siguiente:</w:t>
      </w:r>
    </w:p>
    <w:p w14:paraId="6AAB1DC5" w14:textId="77777777" w:rsidR="003F6F5B" w:rsidRPr="00881D8A" w:rsidRDefault="003F6F5B" w:rsidP="003F6F5B">
      <w:pPr>
        <w:spacing w:after="0" w:line="276" w:lineRule="auto"/>
        <w:jc w:val="both"/>
        <w:rPr>
          <w:rFonts w:ascii="Verdana" w:eastAsia="Calibri" w:hAnsi="Verdana" w:cs="Vrinda"/>
          <w:lang w:val="es-ES" w:eastAsia="es-ES"/>
        </w:rPr>
      </w:pPr>
    </w:p>
    <w:p w14:paraId="41A20122" w14:textId="77777777" w:rsidR="003F6F5B" w:rsidRPr="00943915" w:rsidRDefault="003F6F5B" w:rsidP="003F6F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943915">
        <w:rPr>
          <w:rFonts w:ascii="Verdana" w:eastAsia="Aptos" w:hAnsi="Verdana" w:cs="Helvetica"/>
          <w:color w:val="000000"/>
          <w:sz w:val="21"/>
          <w:szCs w:val="21"/>
          <w:lang w:val="es-MX"/>
          <w14:ligatures w14:val="standardContextual"/>
        </w:rPr>
        <w:t>“</w:t>
      </w:r>
      <w:r w:rsidRPr="00943915">
        <w:rPr>
          <w:rFonts w:ascii="Verdana" w:hAnsi="Verdana"/>
          <w:sz w:val="21"/>
          <w:szCs w:val="21"/>
        </w:rPr>
        <w:t xml:space="preserve">Una de las causales de rechazo establecida en los documentos tipo es la de “No informar todos los contratos que el Proponente tenga en ejecución antes del cierre, necesarios para acreditar su capacidad residual”; la consulta radica en ¿Qué debe hacer la entidad cuando al momento del cierre del proceso de selección un proponente no aportar </w:t>
      </w:r>
      <w:r w:rsidRPr="00943915">
        <w:rPr>
          <w:rFonts w:ascii="Verdana" w:hAnsi="Verdana"/>
          <w:sz w:val="21"/>
          <w:szCs w:val="21"/>
        </w:rPr>
        <w:lastRenderedPageBreak/>
        <w:t>el Formato de saldo de contrato por olvido o traspapelo? ¿debe rechazarlo de una vez en virtud de dicha causal? ¿debe enviarlo a subsanar? ¿Qué pasa si se envía a subsanar y en la subsanación reporta contratos en ejecución? ¿Lo debe rechazar?</w:t>
      </w:r>
      <w:r w:rsidRPr="00943915">
        <w:rPr>
          <w:rFonts w:ascii="Verdana" w:eastAsia="Aptos" w:hAnsi="Verdana" w:cs="Helvetica"/>
          <w:color w:val="000000"/>
          <w:sz w:val="21"/>
          <w:szCs w:val="21"/>
          <w14:ligatures w14:val="standardContextual"/>
        </w:rPr>
        <w:t>”.</w:t>
      </w:r>
    </w:p>
    <w:p w14:paraId="7F1244C6" w14:textId="77777777" w:rsidR="003F6F5B" w:rsidRPr="00881D8A" w:rsidRDefault="003F6F5B" w:rsidP="003F6F5B">
      <w:pPr>
        <w:spacing w:after="120" w:line="276" w:lineRule="auto"/>
        <w:ind w:firstLine="708"/>
        <w:jc w:val="both"/>
        <w:rPr>
          <w:rFonts w:ascii="Verdana" w:eastAsia="Calibri" w:hAnsi="Verdana" w:cs="Arial"/>
          <w:color w:val="000000"/>
          <w:lang w:eastAsia="es-ES"/>
        </w:rPr>
      </w:pPr>
      <w:r w:rsidRPr="00881D8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81D8A">
        <w:rPr>
          <w:rFonts w:ascii="Verdana" w:eastAsia="Calibri" w:hAnsi="Verdana" w:cs="Arial"/>
          <w:color w:val="000000"/>
          <w:lang w:eastAsia="es-ES"/>
        </w:rPr>
        <w:tab/>
      </w:r>
    </w:p>
    <w:p w14:paraId="7AE54E72" w14:textId="77777777" w:rsidR="003F6F5B" w:rsidRPr="00881D8A" w:rsidRDefault="003F6F5B" w:rsidP="003F6F5B">
      <w:pPr>
        <w:spacing w:after="0" w:line="276" w:lineRule="auto"/>
        <w:ind w:firstLine="709"/>
        <w:jc w:val="both"/>
        <w:rPr>
          <w:rFonts w:ascii="Verdana" w:eastAsia="Calibri" w:hAnsi="Verdana" w:cs="Arial"/>
          <w:color w:val="000000"/>
          <w:lang w:eastAsia="es-ES"/>
        </w:rPr>
      </w:pPr>
      <w:r w:rsidRPr="00881D8A">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9FF689E" w14:textId="77777777" w:rsidR="003F6F5B" w:rsidRPr="00881D8A" w:rsidRDefault="003F6F5B" w:rsidP="003F6F5B">
      <w:pPr>
        <w:spacing w:after="0" w:line="276" w:lineRule="auto"/>
        <w:jc w:val="both"/>
        <w:rPr>
          <w:rFonts w:ascii="Verdana" w:eastAsia="Calibri" w:hAnsi="Verdana" w:cs="Arial"/>
          <w:color w:val="000000"/>
          <w:lang w:eastAsia="es-ES"/>
        </w:rPr>
      </w:pPr>
    </w:p>
    <w:p w14:paraId="665D6351" w14:textId="77777777" w:rsidR="003F6F5B" w:rsidRPr="00881D8A" w:rsidRDefault="003F6F5B" w:rsidP="003F6F5B">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Problema planteado:</w:t>
      </w:r>
    </w:p>
    <w:p w14:paraId="27B8062D" w14:textId="77777777" w:rsidR="003F6F5B" w:rsidRPr="00881D8A" w:rsidRDefault="003F6F5B" w:rsidP="003F6F5B">
      <w:pPr>
        <w:tabs>
          <w:tab w:val="left" w:pos="142"/>
          <w:tab w:val="left" w:pos="284"/>
        </w:tabs>
        <w:spacing w:after="0" w:line="276" w:lineRule="auto"/>
        <w:jc w:val="both"/>
        <w:rPr>
          <w:rFonts w:ascii="Verdana" w:eastAsia="Century Gothic" w:hAnsi="Verdana" w:cs="Century Gothic"/>
          <w:b/>
          <w:bCs/>
        </w:rPr>
      </w:pPr>
    </w:p>
    <w:p w14:paraId="59D1A777" w14:textId="77777777" w:rsidR="003F6F5B" w:rsidRPr="00881D8A" w:rsidRDefault="003F6F5B" w:rsidP="003F6F5B">
      <w:pPr>
        <w:tabs>
          <w:tab w:val="left" w:pos="142"/>
          <w:tab w:val="left" w:pos="284"/>
        </w:tabs>
        <w:spacing w:after="0" w:line="276" w:lineRule="auto"/>
        <w:jc w:val="both"/>
        <w:rPr>
          <w:rFonts w:ascii="Verdana" w:eastAsia="Aptos" w:hAnsi="Verdana" w:cs="Arial"/>
          <w:color w:val="000000"/>
          <w:lang w:val="es-ES_tradnl"/>
        </w:rPr>
      </w:pPr>
      <w:r w:rsidRPr="00881D8A">
        <w:rPr>
          <w:rFonts w:ascii="Verdana" w:eastAsia="Century Gothic" w:hAnsi="Verdana" w:cs="Century Gothic"/>
        </w:rPr>
        <w:t xml:space="preserve">De acuerdo con el contenido de su solicitud, en relación con los </w:t>
      </w:r>
      <w:r w:rsidRPr="00881D8A">
        <w:rPr>
          <w:rFonts w:ascii="Verdana" w:eastAsia="Aptos" w:hAnsi="Verdana" w:cs="Times New Roman"/>
        </w:rPr>
        <w:t xml:space="preserve">documentos tipo de licitación de obra pública de infraestructura de transporte – versión 4, </w:t>
      </w:r>
      <w:r w:rsidRPr="00881D8A">
        <w:rPr>
          <w:rFonts w:ascii="Verdana" w:eastAsia="Century Gothic" w:hAnsi="Verdana" w:cs="Century Gothic"/>
        </w:rPr>
        <w:t xml:space="preserve">esta Agencia resolverá el siguiente problema jurídico: </w:t>
      </w:r>
      <w:r w:rsidRPr="00A45F7D">
        <w:rPr>
          <w:rFonts w:ascii="Verdana" w:eastAsia="Aptos" w:hAnsi="Verdana" w:cs="Times New Roman"/>
        </w:rPr>
        <w:t>¿Cuál es el alcance de la causal de rechazo contenida en el literal X del numeral 1.15 del documento base?</w:t>
      </w:r>
    </w:p>
    <w:p w14:paraId="5B126622" w14:textId="77777777" w:rsidR="003F6F5B" w:rsidRPr="00881D8A" w:rsidRDefault="003F6F5B" w:rsidP="003F6F5B">
      <w:pPr>
        <w:tabs>
          <w:tab w:val="left" w:pos="142"/>
          <w:tab w:val="left" w:pos="284"/>
        </w:tabs>
        <w:spacing w:after="0" w:line="276" w:lineRule="auto"/>
        <w:jc w:val="both"/>
        <w:rPr>
          <w:rFonts w:ascii="Verdana" w:eastAsia="Calibri" w:hAnsi="Verdana" w:cs="Arial"/>
          <w:color w:val="7030A0"/>
          <w:lang w:val="es-ES_tradnl"/>
        </w:rPr>
      </w:pPr>
    </w:p>
    <w:p w14:paraId="6BE50163" w14:textId="77777777" w:rsidR="003F6F5B" w:rsidRPr="00881D8A" w:rsidRDefault="003F6F5B" w:rsidP="003F6F5B">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Respuesta:</w:t>
      </w:r>
    </w:p>
    <w:p w14:paraId="4B732767" w14:textId="77777777" w:rsidR="003F6F5B" w:rsidRPr="00881D8A" w:rsidRDefault="003F6F5B" w:rsidP="003F6F5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F6F5B" w:rsidRPr="00881D8A" w14:paraId="1C18F66F" w14:textId="77777777" w:rsidTr="00296400">
        <w:tc>
          <w:tcPr>
            <w:tcW w:w="8828" w:type="dxa"/>
          </w:tcPr>
          <w:p w14:paraId="1BBB7E9A" w14:textId="77777777" w:rsidR="003F6F5B" w:rsidRPr="00881D8A" w:rsidRDefault="003F6F5B" w:rsidP="00296400">
            <w:pPr>
              <w:spacing w:after="120" w:line="276" w:lineRule="auto"/>
              <w:jc w:val="both"/>
              <w:rPr>
                <w:rFonts w:ascii="Verdana" w:eastAsia="Aptos" w:hAnsi="Verdana" w:cs="Arial"/>
                <w:szCs w:val="20"/>
                <w:lang w:val="es-MX"/>
              </w:rPr>
            </w:pPr>
            <w:r w:rsidRPr="00881D8A">
              <w:rPr>
                <w:rFonts w:ascii="Verdana" w:eastAsia="Aptos" w:hAnsi="Verdana" w:cs="Arial"/>
                <w:szCs w:val="20"/>
                <w:lang w:val="es-MX"/>
              </w:rPr>
              <w:t xml:space="preserve">La causal de rechazo del literal X del numeral 1.15 del documento tipo de licitación de obra pública de infraestructura de transporte – versión 4, aplica cuando el proponente no informa todos los contratos que tiene en ejecución antes del cierre. Esto se traduce en un deber de cumplir con esta exigencia, sin tener en cuenta la información relacionada en cada uno de ellos. Por </w:t>
            </w:r>
            <w:r w:rsidRPr="00881D8A">
              <w:rPr>
                <w:rFonts w:ascii="Verdana" w:eastAsia="Aptos" w:hAnsi="Verdana" w:cs="Arial"/>
                <w:szCs w:val="20"/>
                <w:lang w:val="es-MX"/>
              </w:rPr>
              <w:lastRenderedPageBreak/>
              <w:t>ejemplo, si el contratista tiene en ejecución diez contratos, esta causal aplica si el contratista reporta nueve o menos.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del literal E del numeral 1.15 del documento base –versión 4 de licitación de obra pública–.</w:t>
            </w:r>
          </w:p>
          <w:p w14:paraId="02F487CE" w14:textId="77777777" w:rsidR="003F6F5B" w:rsidRPr="00881D8A" w:rsidRDefault="003F6F5B" w:rsidP="00296400">
            <w:pPr>
              <w:spacing w:after="120" w:line="276" w:lineRule="auto"/>
              <w:jc w:val="both"/>
              <w:rPr>
                <w:rFonts w:ascii="Verdana" w:eastAsia="Aptos" w:hAnsi="Verdana" w:cs="Arial"/>
              </w:rPr>
            </w:pPr>
            <w:r w:rsidRPr="00881D8A">
              <w:rPr>
                <w:rFonts w:ascii="Verdana" w:eastAsia="Aptos" w:hAnsi="Verdana" w:cs="Arial"/>
                <w:szCs w:val="20"/>
                <w:lang w:val="es-MX"/>
              </w:rPr>
              <w:t xml:space="preserve">Por tanto, la </w:t>
            </w:r>
            <w:r w:rsidRPr="00881D8A">
              <w:rPr>
                <w:rFonts w:ascii="Verdana" w:eastAsia="Aptos" w:hAnsi="Verdana" w:cs="Arial"/>
                <w:lang w:val="es-MX"/>
              </w:rPr>
              <w:t xml:space="preserve">configuración de la causal de rechazo del literal X es objetiva, pues solo aplica ante la omisión del proponente de informar el número total de contratos en ejecución antes del cierre, </w:t>
            </w:r>
            <w:r w:rsidRPr="00881D8A">
              <w:rPr>
                <w:rFonts w:ascii="Verdana" w:eastAsia="Calibri" w:hAnsi="Verdana" w:cs="Arial"/>
                <w:szCs w:val="20"/>
                <w:lang w:val="es-MX"/>
              </w:rPr>
              <w:t>es decir, opera también cuando no se aporte con la oferta el Formato 5, sólo si, con ello se está omitiendo informar contratos que tenga en ejecución el proponente.</w:t>
            </w:r>
          </w:p>
          <w:p w14:paraId="7A0AA39A" w14:textId="77777777" w:rsidR="003F6F5B" w:rsidRPr="00881D8A" w:rsidRDefault="003F6F5B" w:rsidP="00296400">
            <w:pPr>
              <w:spacing w:before="120" w:line="276" w:lineRule="auto"/>
              <w:jc w:val="both"/>
              <w:rPr>
                <w:rFonts w:ascii="Verdana" w:eastAsia="Aptos" w:hAnsi="Verdana" w:cs="Arial"/>
              </w:rPr>
            </w:pPr>
            <w:r w:rsidRPr="00881D8A">
              <w:rPr>
                <w:rFonts w:ascii="Verdana" w:eastAsia="Aptos" w:hAnsi="Verdana" w:cs="Arial"/>
              </w:rPr>
              <w:t>En este sentido, no se puede subsanar cuando se incurre la causal de rechazo del literal X, evento en el cual el rechazo procede de forma automática, es decir, sin permitirle al proponente subsanar el número de contratos de obra que tenía el deber de reportar.</w:t>
            </w:r>
          </w:p>
          <w:p w14:paraId="05334CE1" w14:textId="77777777" w:rsidR="003F6F5B" w:rsidRPr="00881D8A" w:rsidRDefault="003F6F5B" w:rsidP="00296400">
            <w:pPr>
              <w:spacing w:before="120" w:after="120" w:line="276" w:lineRule="auto"/>
              <w:jc w:val="both"/>
              <w:rPr>
                <w:rFonts w:ascii="Verdana" w:eastAsia="Aptos" w:hAnsi="Verdana" w:cs="Arial"/>
              </w:rPr>
            </w:pPr>
            <w:r w:rsidRPr="00881D8A">
              <w:rPr>
                <w:rFonts w:ascii="Verdana" w:eastAsia="Calibri" w:hAnsi="Verdana" w:cs="Arial"/>
              </w:rPr>
              <w:t xml:space="preserve">Como se expresó, la causal del literal X procede cuando el proponente no informa todos los contratos de obra, 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w:t>
            </w:r>
            <w:r>
              <w:rPr>
                <w:rFonts w:ascii="Verdana" w:eastAsia="Calibri" w:hAnsi="Verdana" w:cs="Arial"/>
              </w:rPr>
              <w:t>X</w:t>
            </w:r>
            <w:r w:rsidRPr="00881D8A">
              <w:rPr>
                <w:rFonts w:ascii="Verdana" w:eastAsia="Calibri" w:hAnsi="Verdana" w:cs="Arial"/>
              </w:rPr>
              <w:t>, esto es, que el proponente incumplió su obligación de informar todos los contratos de obra que tenía en ejecución.</w:t>
            </w:r>
          </w:p>
        </w:tc>
      </w:tr>
    </w:tbl>
    <w:p w14:paraId="04B2B7A0" w14:textId="77777777" w:rsidR="003F6F5B" w:rsidRPr="00881D8A" w:rsidRDefault="003F6F5B" w:rsidP="003F6F5B">
      <w:pPr>
        <w:tabs>
          <w:tab w:val="left" w:pos="142"/>
          <w:tab w:val="left" w:pos="284"/>
        </w:tabs>
        <w:spacing w:after="0" w:line="276" w:lineRule="auto"/>
        <w:jc w:val="both"/>
        <w:rPr>
          <w:rFonts w:ascii="Verdana" w:eastAsia="Century Gothic" w:hAnsi="Verdana" w:cs="Century Gothic"/>
          <w:b/>
          <w:bCs/>
        </w:rPr>
      </w:pPr>
    </w:p>
    <w:p w14:paraId="573B2A8C" w14:textId="77777777" w:rsidR="003F6F5B" w:rsidRPr="00881D8A" w:rsidRDefault="003F6F5B" w:rsidP="003F6F5B">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Razones de la respuesta:</w:t>
      </w:r>
    </w:p>
    <w:p w14:paraId="13DC2A42" w14:textId="77777777" w:rsidR="003F6F5B" w:rsidRPr="00881D8A" w:rsidRDefault="003F6F5B" w:rsidP="003F6F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004DE0F3" w14:textId="77777777" w:rsidR="003F6F5B" w:rsidRPr="00881D8A" w:rsidRDefault="003F6F5B" w:rsidP="003F6F5B">
      <w:pPr>
        <w:spacing w:after="0" w:line="276" w:lineRule="auto"/>
        <w:jc w:val="both"/>
        <w:rPr>
          <w:rFonts w:ascii="Verdana" w:eastAsia="Calibri" w:hAnsi="Verdana" w:cs="Arial"/>
        </w:rPr>
      </w:pPr>
      <w:r w:rsidRPr="00881D8A">
        <w:rPr>
          <w:rFonts w:ascii="Verdana" w:eastAsia="Calibri" w:hAnsi="Verdana" w:cs="Arial"/>
        </w:rPr>
        <w:t xml:space="preserve">Lo anterior se sustenta en las siguientes consideraciones: </w:t>
      </w:r>
    </w:p>
    <w:p w14:paraId="46BB7BE1" w14:textId="77777777" w:rsidR="003F6F5B" w:rsidRPr="00881D8A" w:rsidRDefault="003F6F5B" w:rsidP="003F6F5B">
      <w:pPr>
        <w:spacing w:after="0"/>
        <w:jc w:val="both"/>
        <w:rPr>
          <w:rFonts w:ascii="Verdana" w:eastAsia="Calibri" w:hAnsi="Verdana" w:cs="Arial"/>
        </w:rPr>
      </w:pPr>
    </w:p>
    <w:p w14:paraId="218C4A06" w14:textId="77777777" w:rsidR="003F6F5B" w:rsidRPr="00881D8A" w:rsidRDefault="003F6F5B" w:rsidP="003F6F5B">
      <w:pPr>
        <w:widowControl w:val="0"/>
        <w:autoSpaceDE w:val="0"/>
        <w:autoSpaceDN w:val="0"/>
        <w:spacing w:after="120" w:line="276" w:lineRule="auto"/>
        <w:jc w:val="both"/>
        <w:rPr>
          <w:rFonts w:ascii="Verdana" w:eastAsia="Arial" w:hAnsi="Verdana" w:cs="Arial"/>
        </w:rPr>
      </w:pPr>
      <w:r w:rsidRPr="00881D8A">
        <w:rPr>
          <w:rFonts w:ascii="Verdana" w:eastAsia="Calibri" w:hAnsi="Verdana" w:cs="Times New Roman"/>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1E007D88" w14:textId="77777777" w:rsidR="003F6F5B" w:rsidRPr="00881D8A" w:rsidRDefault="003F6F5B" w:rsidP="003F6F5B">
      <w:pPr>
        <w:widowControl w:val="0"/>
        <w:autoSpaceDE w:val="0"/>
        <w:autoSpaceDN w:val="0"/>
        <w:spacing w:after="120" w:line="276" w:lineRule="auto"/>
        <w:ind w:firstLine="709"/>
        <w:jc w:val="both"/>
        <w:rPr>
          <w:rFonts w:ascii="Verdana" w:eastAsia="Arial" w:hAnsi="Verdana" w:cs="Arial"/>
        </w:rPr>
      </w:pPr>
      <w:r w:rsidRPr="00881D8A">
        <w:rPr>
          <w:rFonts w:ascii="Verdana" w:eastAsia="Arial" w:hAnsi="Verdana" w:cs="Arial"/>
        </w:rPr>
        <w:lastRenderedPageBreak/>
        <w:t xml:space="preserve">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w:t>
      </w:r>
    </w:p>
    <w:p w14:paraId="13DC8A79" w14:textId="77777777" w:rsidR="003F6F5B" w:rsidRPr="00881D8A" w:rsidRDefault="003F6F5B" w:rsidP="003F6F5B">
      <w:pPr>
        <w:widowControl w:val="0"/>
        <w:autoSpaceDE w:val="0"/>
        <w:autoSpaceDN w:val="0"/>
        <w:spacing w:after="120" w:line="276" w:lineRule="auto"/>
        <w:ind w:firstLine="709"/>
        <w:contextualSpacing/>
        <w:jc w:val="both"/>
        <w:rPr>
          <w:rFonts w:ascii="Verdana" w:eastAsia="Arial" w:hAnsi="Verdana" w:cs="Arial"/>
        </w:rPr>
      </w:pPr>
      <w:r w:rsidRPr="00881D8A">
        <w:rPr>
          <w:rFonts w:ascii="Verdana" w:eastAsia="Arial" w:hAnsi="Verdana" w:cs="Arial"/>
        </w:rPr>
        <w:t xml:space="preserve">Por su parte, el artículo 2.2.1.1.1.6.4. del Decreto 1082 de 2015 señala la información que debe entregar el proponente interesado en un proceso de contratación para acreditar su Capacidad Residual, de la siguiente forma: </w:t>
      </w:r>
    </w:p>
    <w:p w14:paraId="0EB9030D" w14:textId="77777777" w:rsidR="003F6F5B" w:rsidRPr="00881D8A" w:rsidRDefault="003F6F5B" w:rsidP="003F6F5B">
      <w:pPr>
        <w:widowControl w:val="0"/>
        <w:autoSpaceDE w:val="0"/>
        <w:autoSpaceDN w:val="0"/>
        <w:spacing w:after="0" w:line="276" w:lineRule="auto"/>
        <w:ind w:firstLine="709"/>
        <w:contextualSpacing/>
        <w:jc w:val="both"/>
        <w:rPr>
          <w:rFonts w:ascii="Verdana" w:eastAsia="Arial" w:hAnsi="Verdana" w:cs="Arial"/>
          <w:lang w:val="es-ES"/>
        </w:rPr>
      </w:pPr>
    </w:p>
    <w:p w14:paraId="6AB6BAF3" w14:textId="77777777" w:rsidR="003F6F5B" w:rsidRPr="00881D8A" w:rsidRDefault="003F6F5B" w:rsidP="003F6F5B">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“El interesado en celebrar contratos de obra pública con Entidades Estatales debe acreditar su Capacidad Residual o K de Contratación con los siguientes documentos:  </w:t>
      </w:r>
    </w:p>
    <w:p w14:paraId="7F2EE313" w14:textId="77777777" w:rsidR="003F6F5B" w:rsidRPr="00881D8A" w:rsidRDefault="003F6F5B" w:rsidP="003F6F5B">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44CA5832" w14:textId="77777777" w:rsidR="003F6F5B" w:rsidRPr="00881D8A" w:rsidRDefault="003F6F5B" w:rsidP="003F6F5B">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21A65F97" w14:textId="77777777" w:rsidR="003F6F5B" w:rsidRPr="00881D8A" w:rsidRDefault="003F6F5B" w:rsidP="003F6F5B">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06ADED24" w14:textId="77777777" w:rsidR="003F6F5B" w:rsidRPr="00881D8A" w:rsidRDefault="003F6F5B" w:rsidP="003F6F5B">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596F23EA" w14:textId="77777777" w:rsidR="003F6F5B" w:rsidRPr="00881D8A" w:rsidRDefault="003F6F5B" w:rsidP="003F6F5B">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17C1BDCC" w14:textId="77777777" w:rsidR="003F6F5B" w:rsidRPr="00881D8A" w:rsidRDefault="003F6F5B" w:rsidP="003F6F5B">
      <w:pPr>
        <w:spacing w:after="0"/>
        <w:ind w:left="708" w:right="758"/>
        <w:jc w:val="both"/>
        <w:rPr>
          <w:rFonts w:ascii="Verdana" w:eastAsia="Calibri" w:hAnsi="Verdana" w:cs="Arial"/>
          <w:color w:val="000000"/>
          <w:sz w:val="20"/>
          <w:szCs w:val="20"/>
        </w:rPr>
      </w:pPr>
      <w:r w:rsidRPr="00881D8A">
        <w:rPr>
          <w:rFonts w:ascii="Verdana" w:eastAsia="Calibri" w:hAnsi="Verdana" w:cs="Arial"/>
          <w:color w:val="000000"/>
          <w:sz w:val="20"/>
          <w:szCs w:val="20"/>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7E9B0343" w14:textId="77777777" w:rsidR="003F6F5B" w:rsidRPr="00881D8A" w:rsidRDefault="003F6F5B" w:rsidP="003F6F5B">
      <w:pPr>
        <w:spacing w:after="0"/>
        <w:ind w:left="708" w:right="758"/>
        <w:jc w:val="both"/>
        <w:rPr>
          <w:rFonts w:ascii="Verdana" w:eastAsia="Calibri" w:hAnsi="Verdana" w:cs="Arial"/>
          <w:color w:val="000000"/>
          <w:sz w:val="20"/>
          <w:szCs w:val="20"/>
        </w:rPr>
      </w:pPr>
    </w:p>
    <w:p w14:paraId="1BD91E79" w14:textId="77777777" w:rsidR="003F6F5B" w:rsidRPr="00881D8A" w:rsidRDefault="003F6F5B" w:rsidP="003F6F5B">
      <w:pPr>
        <w:spacing w:after="120" w:line="276" w:lineRule="auto"/>
        <w:ind w:firstLine="709"/>
        <w:jc w:val="both"/>
        <w:rPr>
          <w:rFonts w:ascii="Verdana" w:eastAsia="Arial" w:hAnsi="Verdana" w:cs="Arial"/>
        </w:rPr>
      </w:pPr>
      <w:r w:rsidRPr="00881D8A">
        <w:rPr>
          <w:rFonts w:ascii="Verdana" w:eastAsia="Calibri" w:hAnsi="Verdana" w:cs="Times New Roman"/>
        </w:rPr>
        <w:t xml:space="preserve">De acuerdo con lo anterior, el proponente que participe en un proceso de selección de una obra pública deberá acreditar la capacidad residual de contratación allegando para el efecto los documentos indicados en el </w:t>
      </w:r>
      <w:r w:rsidRPr="00881D8A">
        <w:rPr>
          <w:rFonts w:ascii="Verdana" w:eastAsia="Arial" w:hAnsi="Verdana" w:cs="Arial"/>
        </w:rPr>
        <w:t xml:space="preserve">2.2.1.1.1.6.4. del Decreto 1082 de 2015 antes descritos. </w:t>
      </w:r>
    </w:p>
    <w:p w14:paraId="7372C878" w14:textId="77777777" w:rsidR="003F6F5B" w:rsidRPr="00881D8A" w:rsidRDefault="003F6F5B" w:rsidP="003F6F5B">
      <w:pPr>
        <w:spacing w:after="120" w:line="276" w:lineRule="auto"/>
        <w:ind w:firstLine="709"/>
        <w:jc w:val="both"/>
        <w:rPr>
          <w:rFonts w:ascii="Verdana" w:eastAsia="Calibri" w:hAnsi="Verdana" w:cs="Times New Roman"/>
        </w:rPr>
      </w:pPr>
      <w:r w:rsidRPr="00881D8A">
        <w:rPr>
          <w:rFonts w:ascii="Verdana" w:eastAsia="Calibri" w:hAnsi="Verdana" w:cs="Times New Roman"/>
        </w:rPr>
        <w:t xml:space="preserve">Así mismo, debe indicarse que la Capacidad Residual es un requisito habilitante que está sujeto a la posibilidad de solicitarle aclaración, con el fin de </w:t>
      </w:r>
      <w:r w:rsidRPr="00881D8A">
        <w:rPr>
          <w:rFonts w:ascii="Verdana" w:eastAsia="Calibri" w:hAnsi="Verdana" w:cs="Times New Roman"/>
        </w:rPr>
        <w:lastRenderedPageBreak/>
        <w:t xml:space="preserve">esclarecer dudas sobre aspectos de la información presentada por el proponente y, de igual forma, está sujeta a la posibilidad de subsanar la ausencia de requisitos, siempre que se cumpla con los límites temporales y materiales,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15818C7F" w14:textId="77777777" w:rsidR="003F6F5B" w:rsidRPr="00881D8A" w:rsidRDefault="003F6F5B" w:rsidP="003F6F5B">
      <w:pPr>
        <w:spacing w:after="120" w:line="276" w:lineRule="auto"/>
        <w:ind w:firstLine="709"/>
        <w:jc w:val="both"/>
        <w:rPr>
          <w:rFonts w:ascii="Verdana" w:eastAsia="Calibri" w:hAnsi="Verdana" w:cs="Times New Roman"/>
        </w:rPr>
      </w:pPr>
      <w:r w:rsidRPr="00881D8A">
        <w:rPr>
          <w:rFonts w:ascii="Verdana" w:eastAsia="Calibri" w:hAnsi="Verdana" w:cs="Times New Roman"/>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25F7A301" w14:textId="77777777" w:rsidR="003F6F5B" w:rsidRPr="00881D8A" w:rsidRDefault="003F6F5B" w:rsidP="003F6F5B">
      <w:pPr>
        <w:spacing w:after="120" w:line="276" w:lineRule="auto"/>
        <w:ind w:firstLine="709"/>
        <w:jc w:val="both"/>
        <w:rPr>
          <w:rFonts w:ascii="Verdana" w:eastAsia="Calibri" w:hAnsi="Verdana" w:cs="Times New Roman"/>
        </w:rPr>
      </w:pPr>
      <w:r w:rsidRPr="00881D8A">
        <w:rPr>
          <w:rFonts w:ascii="Verdana" w:eastAsia="Calibri" w:hAnsi="Verdana" w:cs="Times New Roman"/>
        </w:rPr>
        <w:t>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w:t>
      </w:r>
      <w:r w:rsidRPr="00881D8A">
        <w:rPr>
          <w:rFonts w:ascii="Verdana" w:eastAsia="Calibri" w:hAnsi="Verdana" w:cs="Times New Roman"/>
          <w:vertAlign w:val="superscript"/>
        </w:rPr>
        <w:footnoteReference w:id="1"/>
      </w:r>
      <w:r w:rsidRPr="00881D8A">
        <w:rPr>
          <w:rFonts w:ascii="Verdana" w:eastAsia="Calibri" w:hAnsi="Verdana" w:cs="Times New Roman"/>
        </w:rPr>
        <w:t xml:space="preserv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881D8A">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2835200D" w14:textId="77777777" w:rsidR="003F6F5B" w:rsidRPr="00881D8A" w:rsidRDefault="003F6F5B" w:rsidP="003F6F5B">
      <w:pPr>
        <w:spacing w:after="0" w:line="276" w:lineRule="auto"/>
        <w:ind w:right="51" w:firstLine="709"/>
        <w:jc w:val="both"/>
        <w:rPr>
          <w:rFonts w:ascii="Verdana" w:eastAsia="Calibri" w:hAnsi="Verdana" w:cs="Arial"/>
        </w:rPr>
      </w:pPr>
      <w:r w:rsidRPr="00881D8A">
        <w:rPr>
          <w:rFonts w:ascii="Verdana" w:eastAsia="Calibri" w:hAnsi="Verdana" w:cs="Arial"/>
        </w:rPr>
        <w:t xml:space="preserve">Ahora bien, es importante pasar al </w:t>
      </w:r>
      <w:bookmarkStart w:id="2" w:name="_Hlk121298068"/>
      <w:r w:rsidRPr="00881D8A">
        <w:rPr>
          <w:rFonts w:ascii="Verdana" w:eastAsia="Calibri" w:hAnsi="Verdana" w:cs="Arial"/>
        </w:rPr>
        <w:t>a</w:t>
      </w:r>
      <w:r w:rsidRPr="00881D8A">
        <w:rPr>
          <w:rFonts w:ascii="Verdana" w:eastAsia="Calibri" w:hAnsi="Verdana" w:cs="Times New Roman"/>
        </w:rPr>
        <w:t>nálisis frente al rechazo de ofertas respecto a la información solicitada para el cálculo de la capacidad residual</w:t>
      </w:r>
      <w:bookmarkEnd w:id="2"/>
      <w:r w:rsidRPr="00881D8A">
        <w:rPr>
          <w:rFonts w:ascii="Verdana" w:eastAsia="Calibri" w:hAnsi="Verdana" w:cs="Times New Roman"/>
        </w:rPr>
        <w:t xml:space="preserve">. En este sentido, debe indicarse que </w:t>
      </w:r>
      <w:r w:rsidRPr="00881D8A">
        <w:rPr>
          <w:rFonts w:ascii="Verdana" w:eastAsia="Calibri" w:hAnsi="Verdana" w:cs="Arial"/>
        </w:rPr>
        <w:t xml:space="preserve">las causales de rechazo son las establecidas en la Ley y las fijadas por la entidad estatal en los pliegos de condiciones. Sin embargo, en ejercicio de dicha facultad, a las entidades no les es dable fijar </w:t>
      </w:r>
      <w:r w:rsidRPr="00881D8A">
        <w:rPr>
          <w:rFonts w:ascii="Verdana" w:eastAsia="Calibri" w:hAnsi="Verdana" w:cs="Arial"/>
        </w:rPr>
        <w:lastRenderedPageBreak/>
        <w:t>causales de rechazo que soslayen o afecten la selección objetiva en la contratación. Sobre el particular, el Consejo de Estado</w:t>
      </w:r>
      <w:r w:rsidRPr="00881D8A">
        <w:rPr>
          <w:rFonts w:ascii="Verdana" w:eastAsia="Calibri" w:hAnsi="Verdana" w:cs="Arial"/>
          <w:vertAlign w:val="superscript"/>
        </w:rPr>
        <w:footnoteReference w:id="2"/>
      </w:r>
      <w:r w:rsidRPr="00881D8A">
        <w:rPr>
          <w:rFonts w:ascii="Verdana" w:eastAsia="Calibri" w:hAnsi="Verdana" w:cs="Arial"/>
        </w:rPr>
        <w:t xml:space="preserve"> señala:</w:t>
      </w:r>
    </w:p>
    <w:p w14:paraId="191B5F87" w14:textId="77777777" w:rsidR="003F6F5B" w:rsidRPr="00881D8A" w:rsidRDefault="003F6F5B" w:rsidP="003F6F5B">
      <w:pPr>
        <w:spacing w:after="0" w:line="276" w:lineRule="auto"/>
        <w:ind w:right="51" w:firstLine="709"/>
        <w:jc w:val="both"/>
        <w:rPr>
          <w:rFonts w:ascii="Verdana" w:eastAsia="Calibri" w:hAnsi="Verdana" w:cs="Arial"/>
        </w:rPr>
      </w:pPr>
    </w:p>
    <w:p w14:paraId="4A2C787D" w14:textId="77777777" w:rsidR="003F6F5B" w:rsidRPr="00881D8A" w:rsidRDefault="003F6F5B" w:rsidP="003F6F5B">
      <w:pPr>
        <w:spacing w:after="0" w:line="240" w:lineRule="auto"/>
        <w:ind w:left="709" w:right="709"/>
        <w:contextualSpacing/>
        <w:jc w:val="both"/>
        <w:rPr>
          <w:rFonts w:ascii="Verdana" w:eastAsia="Calibri" w:hAnsi="Verdana" w:cs="Arial"/>
          <w:sz w:val="20"/>
          <w:szCs w:val="20"/>
          <w:lang w:val="es-ES"/>
        </w:rPr>
      </w:pPr>
      <w:r w:rsidRPr="00881D8A">
        <w:rPr>
          <w:rFonts w:ascii="Verdana" w:eastAsia="Calibri" w:hAnsi="Verdana" w:cs="Arial"/>
          <w:sz w:val="20"/>
          <w:szCs w:val="20"/>
          <w:lang w:val="es-ES"/>
        </w:rPr>
        <w:t xml:space="preserve">“Quiere con esto destacar la Sala que las causales de rechazo de las propuestas pueden ser legales y por lo mismo generan el efecto del descarte o exclusión de la oferta </w:t>
      </w:r>
      <w:proofErr w:type="spellStart"/>
      <w:r w:rsidRPr="00881D8A">
        <w:rPr>
          <w:rFonts w:ascii="Verdana" w:eastAsia="Calibri" w:hAnsi="Verdana" w:cs="Arial"/>
          <w:sz w:val="20"/>
          <w:szCs w:val="20"/>
          <w:lang w:val="es-ES"/>
        </w:rPr>
        <w:t>ope</w:t>
      </w:r>
      <w:proofErr w:type="spellEnd"/>
      <w:r w:rsidRPr="00881D8A">
        <w:rPr>
          <w:rFonts w:ascii="Verdana" w:eastAsia="Calibri" w:hAnsi="Verdana" w:cs="Arial"/>
          <w:sz w:val="20"/>
          <w:szCs w:val="20"/>
          <w:lang w:val="es-ES"/>
        </w:rPr>
        <w:t xml:space="preserve"> </w:t>
      </w:r>
      <w:proofErr w:type="spellStart"/>
      <w:r w:rsidRPr="00881D8A">
        <w:rPr>
          <w:rFonts w:ascii="Verdana" w:eastAsia="Calibri" w:hAnsi="Verdana" w:cs="Arial"/>
          <w:sz w:val="20"/>
          <w:szCs w:val="20"/>
          <w:lang w:val="es-ES"/>
        </w:rPr>
        <w:t>legis</w:t>
      </w:r>
      <w:proofErr w:type="spellEnd"/>
      <w:r w:rsidRPr="00881D8A">
        <w:rPr>
          <w:rFonts w:ascii="Verdana" w:eastAsia="Calibri" w:hAnsi="Verdana" w:cs="Arial"/>
          <w:sz w:val="20"/>
          <w:szCs w:val="20"/>
          <w:lang w:val="es-ES"/>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271720F6" w14:textId="77777777" w:rsidR="003F6F5B" w:rsidRPr="00881D8A" w:rsidRDefault="003F6F5B" w:rsidP="003F6F5B">
      <w:pPr>
        <w:spacing w:after="0" w:line="276" w:lineRule="auto"/>
        <w:jc w:val="both"/>
        <w:rPr>
          <w:rFonts w:ascii="Verdana" w:eastAsia="Calibri" w:hAnsi="Verdana" w:cs="Arial"/>
          <w:lang w:val="es-ES"/>
        </w:rPr>
      </w:pPr>
    </w:p>
    <w:p w14:paraId="3D585722" w14:textId="77777777" w:rsidR="003F6F5B" w:rsidRPr="00881D8A" w:rsidRDefault="003F6F5B" w:rsidP="003F6F5B">
      <w:pPr>
        <w:spacing w:after="0" w:line="276" w:lineRule="auto"/>
        <w:ind w:firstLine="708"/>
        <w:jc w:val="both"/>
        <w:rPr>
          <w:rFonts w:ascii="Verdana" w:eastAsia="Calibri" w:hAnsi="Verdana" w:cs="Arial"/>
        </w:rPr>
      </w:pPr>
      <w:r w:rsidRPr="00881D8A">
        <w:rPr>
          <w:rFonts w:ascii="Verdana" w:eastAsia="Calibri" w:hAnsi="Verdana" w:cs="Ari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881D8A">
        <w:rPr>
          <w:rFonts w:ascii="Verdana" w:eastAsia="Calibri" w:hAnsi="Verdana" w:cs="Arial"/>
          <w:vertAlign w:val="superscript"/>
        </w:rPr>
        <w:footnoteReference w:id="3"/>
      </w:r>
      <w:r w:rsidRPr="00881D8A">
        <w:rPr>
          <w:rFonts w:ascii="Verdana" w:eastAsia="Calibri" w:hAnsi="Verdana" w:cs="Arial"/>
        </w:rPr>
        <w:t xml:space="preserve"> sostuvo: </w:t>
      </w:r>
    </w:p>
    <w:p w14:paraId="01137E0F" w14:textId="77777777" w:rsidR="003F6F5B" w:rsidRPr="00881D8A" w:rsidRDefault="003F6F5B" w:rsidP="003F6F5B">
      <w:pPr>
        <w:spacing w:after="0" w:line="276" w:lineRule="auto"/>
        <w:jc w:val="both"/>
        <w:rPr>
          <w:rFonts w:ascii="Verdana" w:eastAsia="Calibri" w:hAnsi="Verdana" w:cs="Arial"/>
          <w:lang w:val="es-ES"/>
        </w:rPr>
      </w:pPr>
    </w:p>
    <w:p w14:paraId="63D7BC98" w14:textId="77777777" w:rsidR="003F6F5B" w:rsidRPr="00881D8A" w:rsidRDefault="003F6F5B" w:rsidP="003F6F5B">
      <w:pPr>
        <w:spacing w:after="0" w:line="240" w:lineRule="auto"/>
        <w:ind w:left="709" w:right="709"/>
        <w:jc w:val="both"/>
        <w:rPr>
          <w:rFonts w:ascii="Verdana" w:eastAsia="Calibri" w:hAnsi="Verdana" w:cs="Arial"/>
          <w:sz w:val="20"/>
          <w:szCs w:val="20"/>
          <w:lang w:val="es-ES"/>
        </w:rPr>
      </w:pPr>
      <w:r w:rsidRPr="00881D8A">
        <w:rPr>
          <w:rFonts w:ascii="Verdana" w:eastAsia="Calibri" w:hAnsi="Verdana" w:cs="Arial"/>
          <w:sz w:val="20"/>
          <w:szCs w:val="20"/>
          <w:lang w:val="es-ES"/>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w:t>
      </w:r>
      <w:r w:rsidRPr="00881D8A">
        <w:rPr>
          <w:rFonts w:ascii="Verdana" w:eastAsia="Calibri" w:hAnsi="Verdana" w:cs="Arial"/>
          <w:sz w:val="20"/>
          <w:szCs w:val="20"/>
          <w:lang w:val="es-ES"/>
        </w:rPr>
        <w:lastRenderedPageBreak/>
        <w:t>toda vez que no tendría justificación excluir una propuesta por una deficiencia que no tenga incidencia alguna en la contratación.”</w:t>
      </w:r>
    </w:p>
    <w:p w14:paraId="666B076F" w14:textId="77777777" w:rsidR="003F6F5B" w:rsidRPr="00881D8A" w:rsidRDefault="003F6F5B" w:rsidP="003F6F5B">
      <w:pPr>
        <w:spacing w:after="0" w:line="276" w:lineRule="auto"/>
        <w:ind w:left="720"/>
        <w:contextualSpacing/>
        <w:jc w:val="both"/>
        <w:rPr>
          <w:rFonts w:ascii="Verdana" w:eastAsia="Calibri" w:hAnsi="Verdana" w:cs="Arial"/>
          <w:lang w:val="es-ES"/>
        </w:rPr>
      </w:pPr>
    </w:p>
    <w:p w14:paraId="33090810" w14:textId="77777777" w:rsidR="003F6F5B" w:rsidRPr="00881D8A" w:rsidRDefault="003F6F5B" w:rsidP="003F6F5B">
      <w:pPr>
        <w:spacing w:after="120" w:line="276" w:lineRule="auto"/>
        <w:ind w:firstLine="709"/>
        <w:jc w:val="both"/>
        <w:rPr>
          <w:rFonts w:ascii="Verdana" w:eastAsia="Calibri" w:hAnsi="Verdana" w:cs="Arial"/>
        </w:rPr>
      </w:pPr>
      <w:r w:rsidRPr="00881D8A">
        <w:rPr>
          <w:rFonts w:ascii="Verdana" w:eastAsia="Calibri" w:hAnsi="Verdana" w:cs="Arial"/>
        </w:rPr>
        <w:t xml:space="preserve">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7C872660" w14:textId="77777777" w:rsidR="003F6F5B" w:rsidRPr="00881D8A" w:rsidRDefault="003F6F5B" w:rsidP="003F6F5B">
      <w:pPr>
        <w:spacing w:after="120" w:line="276" w:lineRule="auto"/>
        <w:ind w:firstLine="709"/>
        <w:jc w:val="both"/>
        <w:rPr>
          <w:rFonts w:ascii="Verdana" w:eastAsia="Calibri" w:hAnsi="Verdana" w:cs="Arial"/>
        </w:rPr>
      </w:pPr>
      <w:r w:rsidRPr="00881D8A">
        <w:rPr>
          <w:rFonts w:ascii="Verdana" w:eastAsia="Calibri"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residual.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p>
    <w:p w14:paraId="67D82589" w14:textId="77777777" w:rsidR="003F6F5B" w:rsidRPr="00881D8A" w:rsidRDefault="003F6F5B" w:rsidP="003F6F5B">
      <w:pPr>
        <w:spacing w:after="0" w:line="276" w:lineRule="auto"/>
        <w:ind w:firstLine="709"/>
        <w:jc w:val="both"/>
        <w:rPr>
          <w:rFonts w:ascii="Verdana" w:eastAsia="Calibri" w:hAnsi="Verdana" w:cs="Arial"/>
        </w:rPr>
      </w:pPr>
      <w:r w:rsidRPr="00881D8A">
        <w:rPr>
          <w:rFonts w:ascii="Verdana" w:eastAsia="Calibri" w:hAnsi="Verdana" w:cs="Arial"/>
        </w:rPr>
        <w:t xml:space="preserve">De acuerdo con lo anterior, las entidades públicas como directoras de sus procesos de contratación son autónomas en estipular en sus pliegos de condiciones o documentos equivalentes, las causales de rechazo que considere pertinentes, siempre que no contradigan la Ley ni los principios que rigen en materia de contratación, en los casos en que los requisitos habilitantes, entre ellos el referido a la capacidad residual de contratación, no reúnan las exigencias descritas en los citados pliegos de condiciones o documentos equivalentes. Sobre el particular, debe tenerse en cuenta que el parágrafo 1 del artículo 5 de la Ley 1150 de 2007 señala:  </w:t>
      </w:r>
    </w:p>
    <w:p w14:paraId="6A24F1ED" w14:textId="77777777" w:rsidR="003F6F5B" w:rsidRPr="00881D8A" w:rsidRDefault="003F6F5B" w:rsidP="003F6F5B">
      <w:pPr>
        <w:spacing w:after="0" w:line="276" w:lineRule="auto"/>
        <w:ind w:firstLine="709"/>
        <w:jc w:val="both"/>
        <w:rPr>
          <w:rFonts w:ascii="Verdana" w:eastAsia="Calibri" w:hAnsi="Verdana" w:cs="Arial"/>
        </w:rPr>
      </w:pPr>
    </w:p>
    <w:p w14:paraId="2662064A" w14:textId="77777777" w:rsidR="003F6F5B" w:rsidRPr="00881D8A" w:rsidRDefault="003F6F5B" w:rsidP="003F6F5B">
      <w:pPr>
        <w:spacing w:after="0" w:line="240" w:lineRule="auto"/>
        <w:ind w:left="709" w:right="709"/>
        <w:contextualSpacing/>
        <w:jc w:val="both"/>
        <w:rPr>
          <w:rFonts w:ascii="Verdana" w:eastAsia="Times New Roman" w:hAnsi="Verdana" w:cs="Arial"/>
          <w:spacing w:val="2"/>
          <w:sz w:val="21"/>
          <w:szCs w:val="21"/>
          <w:lang w:eastAsia="es-CO"/>
        </w:rPr>
      </w:pPr>
      <w:r w:rsidRPr="00881D8A">
        <w:rPr>
          <w:rFonts w:ascii="Verdana" w:eastAsia="Calibri" w:hAnsi="Verdana" w:cs="Arial"/>
          <w:bCs/>
          <w:sz w:val="21"/>
          <w:szCs w:val="21"/>
        </w:rPr>
        <w:t>“</w:t>
      </w:r>
      <w:r w:rsidRPr="00881D8A">
        <w:rPr>
          <w:rFonts w:ascii="Verdana" w:eastAsia="Times New Roman" w:hAnsi="Verdana" w:cs="Arial"/>
          <w:spacing w:val="2"/>
          <w:sz w:val="20"/>
          <w:szCs w:val="20"/>
          <w:lang w:eastAsia="es-CO"/>
        </w:rPr>
        <w:t>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w:t>
      </w:r>
      <w:r w:rsidRPr="00881D8A">
        <w:rPr>
          <w:rFonts w:ascii="Verdana" w:eastAsia="Calibri" w:hAnsi="Verdana" w:cs="Arial"/>
          <w:bCs/>
          <w:sz w:val="20"/>
          <w:szCs w:val="20"/>
        </w:rPr>
        <w:t>”</w:t>
      </w:r>
      <w:r w:rsidRPr="00881D8A">
        <w:rPr>
          <w:rFonts w:ascii="Verdana" w:eastAsia="Times New Roman" w:hAnsi="Verdana" w:cs="Arial"/>
          <w:spacing w:val="2"/>
          <w:sz w:val="20"/>
          <w:szCs w:val="20"/>
          <w:lang w:eastAsia="es-CO"/>
        </w:rPr>
        <w:t>.</w:t>
      </w:r>
    </w:p>
    <w:p w14:paraId="1997FBA8" w14:textId="77777777" w:rsidR="003F6F5B" w:rsidRPr="00881D8A" w:rsidRDefault="003F6F5B" w:rsidP="003F6F5B">
      <w:pPr>
        <w:spacing w:after="0" w:line="276" w:lineRule="auto"/>
        <w:contextualSpacing/>
        <w:jc w:val="both"/>
        <w:rPr>
          <w:rFonts w:ascii="Verdana" w:eastAsia="Times New Roman" w:hAnsi="Verdana" w:cs="Arial"/>
          <w:spacing w:val="2"/>
          <w:lang w:eastAsia="es-CO"/>
        </w:rPr>
      </w:pPr>
    </w:p>
    <w:p w14:paraId="769E2D66" w14:textId="77777777" w:rsidR="003F6F5B" w:rsidRPr="00881D8A" w:rsidRDefault="003F6F5B" w:rsidP="003F6F5B">
      <w:pPr>
        <w:spacing w:after="120" w:line="276" w:lineRule="auto"/>
        <w:ind w:firstLine="709"/>
        <w:jc w:val="both"/>
        <w:rPr>
          <w:rFonts w:ascii="Verdana" w:eastAsia="Calibri" w:hAnsi="Verdana" w:cs="Times New Roman"/>
        </w:rPr>
      </w:pPr>
      <w:r w:rsidRPr="00881D8A">
        <w:rPr>
          <w:rFonts w:ascii="Verdana" w:eastAsia="Calibri" w:hAnsi="Verdana" w:cs="Arial"/>
          <w:lang w:val="es-ES"/>
        </w:rPr>
        <w:lastRenderedPageBreak/>
        <w:t>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w:t>
      </w:r>
    </w:p>
    <w:p w14:paraId="2D40AC4D" w14:textId="77777777" w:rsidR="003F6F5B" w:rsidRPr="00881D8A" w:rsidRDefault="003F6F5B" w:rsidP="003F6F5B">
      <w:pPr>
        <w:spacing w:after="120" w:line="276" w:lineRule="auto"/>
        <w:ind w:firstLine="709"/>
        <w:jc w:val="both"/>
        <w:rPr>
          <w:rFonts w:ascii="Verdana" w:eastAsia="Calibri" w:hAnsi="Verdana" w:cs="Times New Roman"/>
        </w:rPr>
      </w:pPr>
      <w:r w:rsidRPr="00881D8A">
        <w:rPr>
          <w:rFonts w:ascii="Verdana" w:eastAsia="Arial" w:hAnsi="Verdana" w:cs="Arial"/>
          <w:lang w:val="es-ES" w:eastAsia="es-ES" w:bidi="es-ES"/>
        </w:rPr>
        <w:t xml:space="preserve">Bajo el marco descrito con anterioridad y para responder al problema jurídico planteado en esta solicitud, </w:t>
      </w:r>
      <w:r w:rsidRPr="00881D8A">
        <w:rPr>
          <w:rFonts w:ascii="Verdana" w:eastAsia="Calibri" w:hAnsi="Verdana" w:cs="Times New Roman"/>
        </w:rPr>
        <w:t xml:space="preserve">relativo a la posibilidad de subsanar la capacidad residual de contratación en eventos en que se utilice los documentos tipo, es menester indicar que dichos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 </w:t>
      </w:r>
    </w:p>
    <w:p w14:paraId="251EBE65" w14:textId="77777777" w:rsidR="003F6F5B" w:rsidRPr="00881D8A" w:rsidRDefault="003F6F5B" w:rsidP="003F6F5B">
      <w:pPr>
        <w:spacing w:after="120" w:line="276" w:lineRule="auto"/>
        <w:ind w:firstLine="709"/>
        <w:jc w:val="both"/>
        <w:rPr>
          <w:rFonts w:ascii="Verdana" w:eastAsia="Calibri" w:hAnsi="Verdana" w:cs="Times New Roman"/>
        </w:rPr>
      </w:pPr>
      <w:r w:rsidRPr="00881D8A">
        <w:rPr>
          <w:rFonts w:ascii="Verdana" w:eastAsia="Calibri" w:hAnsi="Verdana" w:cs="Arial"/>
          <w:szCs w:val="20"/>
          <w:lang w:val="es-MX"/>
        </w:rPr>
        <w:t xml:space="preserve">El numeral 3.10 del documento base de obra de licitación para obra pública de infraestructura de transporte –versión 4 establece </w:t>
      </w:r>
      <w:r w:rsidRPr="00881D8A">
        <w:rPr>
          <w:rFonts w:ascii="Verdana" w:eastAsia="Calibri" w:hAnsi="Verdana" w:cs="Arial"/>
          <w:szCs w:val="20"/>
        </w:rPr>
        <w:t xml:space="preserve">como requisito habilitante la capacidad residual. En este documento tipo, </w:t>
      </w:r>
      <w:r w:rsidRPr="00881D8A">
        <w:rPr>
          <w:rFonts w:ascii="Verdana" w:eastAsia="Calibri" w:hAnsi="Verdana" w:cs="Arial"/>
          <w:szCs w:val="20"/>
          <w:lang w:val="es-MX"/>
        </w:rPr>
        <w:t>al menos tres causales de rechazo del numeral 1.15 se relacionan con la capacidad residual como requisito habilitante, esto es, los literales E, H y X. Estas causales disponen lo siguiente:</w:t>
      </w:r>
    </w:p>
    <w:p w14:paraId="277AF9EA" w14:textId="77777777" w:rsidR="003F6F5B" w:rsidRPr="00881D8A" w:rsidRDefault="003F6F5B" w:rsidP="003F6F5B">
      <w:pPr>
        <w:spacing w:after="0"/>
        <w:ind w:left="709" w:right="709"/>
        <w:jc w:val="both"/>
        <w:rPr>
          <w:rFonts w:ascii="Verdana" w:eastAsia="Calibri" w:hAnsi="Verdana" w:cs="Arial"/>
          <w:b/>
          <w:bCs/>
          <w:sz w:val="21"/>
          <w:szCs w:val="21"/>
        </w:rPr>
      </w:pPr>
    </w:p>
    <w:p w14:paraId="33D25BF4" w14:textId="77777777" w:rsidR="003F6F5B" w:rsidRPr="00881D8A" w:rsidRDefault="003F6F5B" w:rsidP="003F6F5B">
      <w:pPr>
        <w:ind w:right="709" w:firstLine="708"/>
        <w:rPr>
          <w:rFonts w:ascii="Verdana" w:eastAsia="Aptos" w:hAnsi="Verdana" w:cs="Times New Roman"/>
          <w:b/>
          <w:bCs/>
          <w:sz w:val="21"/>
          <w:szCs w:val="21"/>
        </w:rPr>
      </w:pPr>
      <w:bookmarkStart w:id="3" w:name="_Toc176242637"/>
      <w:r w:rsidRPr="00881D8A">
        <w:rPr>
          <w:rFonts w:ascii="Verdana" w:eastAsia="Aptos" w:hAnsi="Verdana" w:cs="Times New Roman"/>
          <w:b/>
          <w:bCs/>
          <w:sz w:val="21"/>
          <w:szCs w:val="21"/>
        </w:rPr>
        <w:t>“1.15 CAUSALES DE RECHAZO</w:t>
      </w:r>
      <w:bookmarkEnd w:id="3"/>
    </w:p>
    <w:p w14:paraId="281E603B" w14:textId="77777777" w:rsidR="003F6F5B" w:rsidRPr="00881D8A" w:rsidRDefault="003F6F5B" w:rsidP="003F6F5B">
      <w:pPr>
        <w:spacing w:after="120" w:line="240" w:lineRule="auto"/>
        <w:ind w:left="709" w:right="709"/>
        <w:rPr>
          <w:rFonts w:ascii="Verdana" w:eastAsia="Aptos" w:hAnsi="Verdana" w:cs="Times New Roman"/>
          <w:sz w:val="21"/>
          <w:szCs w:val="21"/>
          <w:lang w:val="es-MX"/>
        </w:rPr>
      </w:pPr>
      <w:r w:rsidRPr="00881D8A">
        <w:rPr>
          <w:rFonts w:ascii="Verdana" w:eastAsia="Aptos" w:hAnsi="Verdana" w:cs="Times New Roman"/>
          <w:sz w:val="21"/>
          <w:szCs w:val="21"/>
          <w:lang w:val="es-MX"/>
        </w:rPr>
        <w:t xml:space="preserve">Son causales de rechazo de las propuestas las siguientes </w:t>
      </w:r>
      <w:r w:rsidRPr="00881D8A">
        <w:rPr>
          <w:rFonts w:ascii="Verdana" w:eastAsia="Aptos" w:hAnsi="Verdana" w:cs="Times New Roman"/>
          <w:sz w:val="21"/>
          <w:szCs w:val="21"/>
          <w:highlight w:val="lightGray"/>
          <w:lang w:val="es-MX"/>
        </w:rPr>
        <w:t>[Las entidades no podrán incluir causales de rechazo distintas a las señaladas en la presente sección]</w:t>
      </w:r>
      <w:r w:rsidRPr="00881D8A">
        <w:rPr>
          <w:rFonts w:ascii="Verdana" w:eastAsia="Aptos" w:hAnsi="Verdana" w:cs="Times New Roman"/>
          <w:sz w:val="21"/>
          <w:szCs w:val="21"/>
          <w:lang w:val="es-MX"/>
        </w:rPr>
        <w:t>:</w:t>
      </w:r>
    </w:p>
    <w:p w14:paraId="305E80F1" w14:textId="77777777" w:rsidR="003F6F5B" w:rsidRPr="00881D8A" w:rsidRDefault="003F6F5B" w:rsidP="003F6F5B">
      <w:pPr>
        <w:spacing w:after="120" w:line="240" w:lineRule="auto"/>
        <w:ind w:left="709" w:right="709"/>
        <w:rPr>
          <w:rFonts w:ascii="Verdana" w:eastAsia="Aptos" w:hAnsi="Verdana" w:cs="Times New Roman"/>
          <w:sz w:val="21"/>
          <w:szCs w:val="21"/>
          <w:lang w:val="es-MX"/>
        </w:rPr>
      </w:pPr>
      <w:r w:rsidRPr="00881D8A">
        <w:rPr>
          <w:rFonts w:ascii="Verdana" w:eastAsia="Aptos" w:hAnsi="Verdana" w:cs="Times New Roman"/>
          <w:sz w:val="21"/>
          <w:szCs w:val="21"/>
          <w:lang w:val="es-MX"/>
        </w:rPr>
        <w:t>(…)</w:t>
      </w:r>
    </w:p>
    <w:p w14:paraId="3485584C" w14:textId="77777777" w:rsidR="003F6F5B" w:rsidRPr="00881D8A" w:rsidRDefault="003F6F5B" w:rsidP="003F6F5B">
      <w:pPr>
        <w:numPr>
          <w:ilvl w:val="0"/>
          <w:numId w:val="18"/>
        </w:numPr>
        <w:spacing w:after="120" w:line="240" w:lineRule="auto"/>
        <w:ind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7A991EAB" w14:textId="77777777" w:rsidR="003F6F5B" w:rsidRPr="00881D8A" w:rsidRDefault="003F6F5B" w:rsidP="003F6F5B">
      <w:pPr>
        <w:spacing w:after="120" w:line="240" w:lineRule="auto"/>
        <w:ind w:left="709" w:right="709" w:firstLine="283"/>
        <w:jc w:val="both"/>
        <w:rPr>
          <w:rFonts w:ascii="Verdana" w:eastAsia="Arial" w:hAnsi="Verdana" w:cs="Arial"/>
          <w:sz w:val="21"/>
          <w:szCs w:val="21"/>
          <w:lang w:val="es-MX"/>
        </w:rPr>
      </w:pPr>
      <w:r w:rsidRPr="00881D8A">
        <w:rPr>
          <w:rFonts w:ascii="Verdana" w:eastAsia="Arial" w:hAnsi="Verdana" w:cs="Arial"/>
          <w:sz w:val="21"/>
          <w:szCs w:val="21"/>
          <w:lang w:val="es-MX"/>
        </w:rPr>
        <w:t>(…)</w:t>
      </w:r>
    </w:p>
    <w:p w14:paraId="5F3A75C3" w14:textId="77777777" w:rsidR="003F6F5B" w:rsidRPr="00881D8A" w:rsidRDefault="003F6F5B" w:rsidP="003F6F5B">
      <w:pPr>
        <w:numPr>
          <w:ilvl w:val="0"/>
          <w:numId w:val="19"/>
        </w:numPr>
        <w:spacing w:after="120" w:line="240" w:lineRule="auto"/>
        <w:ind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lastRenderedPageBreak/>
        <w:t>Que el proponente aporte información inexacta sobre la cual pueda existir una posible falsedad en los términos de la sección 1.11 del Documento Base.</w:t>
      </w:r>
    </w:p>
    <w:p w14:paraId="60C4AC67" w14:textId="77777777" w:rsidR="003F6F5B" w:rsidRPr="00881D8A" w:rsidRDefault="003F6F5B" w:rsidP="003F6F5B">
      <w:pPr>
        <w:spacing w:after="120" w:line="240" w:lineRule="auto"/>
        <w:ind w:left="1040" w:right="709"/>
        <w:jc w:val="both"/>
        <w:rPr>
          <w:rFonts w:ascii="Verdana" w:eastAsia="Arial" w:hAnsi="Verdana" w:cs="Arial"/>
          <w:sz w:val="21"/>
          <w:szCs w:val="21"/>
          <w:lang w:val="es-MX"/>
        </w:rPr>
      </w:pPr>
      <w:r w:rsidRPr="00881D8A">
        <w:rPr>
          <w:rFonts w:ascii="Verdana" w:eastAsia="Arial" w:hAnsi="Verdana" w:cs="Arial"/>
          <w:sz w:val="21"/>
          <w:szCs w:val="21"/>
          <w:lang w:val="es-MX"/>
        </w:rPr>
        <w:t>(…)</w:t>
      </w:r>
    </w:p>
    <w:p w14:paraId="7416E134" w14:textId="77777777" w:rsidR="003F6F5B" w:rsidRPr="00881D8A" w:rsidRDefault="003F6F5B" w:rsidP="003F6F5B">
      <w:pPr>
        <w:numPr>
          <w:ilvl w:val="0"/>
          <w:numId w:val="20"/>
        </w:numPr>
        <w:spacing w:after="120" w:line="240" w:lineRule="auto"/>
        <w:ind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t>No informar todos los contratos que el proponente tenga en ejecución antes del cierre, necesarios para acreditar su capacidad residual conforme a la sección 3.11.</w:t>
      </w:r>
    </w:p>
    <w:p w14:paraId="2CCA7669" w14:textId="77777777" w:rsidR="003F6F5B" w:rsidRPr="00881D8A" w:rsidRDefault="003F6F5B" w:rsidP="003F6F5B">
      <w:pPr>
        <w:spacing w:line="240" w:lineRule="auto"/>
        <w:ind w:left="1069"/>
        <w:contextualSpacing/>
        <w:jc w:val="both"/>
        <w:rPr>
          <w:rFonts w:ascii="Verdana" w:eastAsia="Calibri" w:hAnsi="Verdana" w:cs="Times New Roman"/>
          <w:sz w:val="21"/>
          <w:szCs w:val="21"/>
          <w:lang w:val="es-ES"/>
        </w:rPr>
      </w:pPr>
      <w:r w:rsidRPr="00881D8A">
        <w:rPr>
          <w:rFonts w:ascii="Verdana" w:eastAsia="Calibri" w:hAnsi="Verdana" w:cs="Times New Roman"/>
          <w:sz w:val="21"/>
          <w:szCs w:val="21"/>
          <w:lang w:val="es-ES"/>
        </w:rPr>
        <w:t xml:space="preserve">(…)”. </w:t>
      </w:r>
    </w:p>
    <w:p w14:paraId="6E2D70FC" w14:textId="77777777" w:rsidR="003F6F5B" w:rsidRPr="00881D8A" w:rsidRDefault="003F6F5B" w:rsidP="003F6F5B">
      <w:pPr>
        <w:spacing w:after="0"/>
        <w:ind w:left="709" w:right="709"/>
        <w:jc w:val="both"/>
        <w:rPr>
          <w:rFonts w:ascii="Verdana" w:eastAsia="Calibri" w:hAnsi="Verdana" w:cs="Arial"/>
          <w:szCs w:val="20"/>
          <w:lang w:val="es-MX"/>
        </w:rPr>
      </w:pPr>
    </w:p>
    <w:p w14:paraId="60546164" w14:textId="77777777" w:rsidR="003F6F5B" w:rsidRPr="00881D8A" w:rsidRDefault="003F6F5B" w:rsidP="003F6F5B">
      <w:pPr>
        <w:spacing w:line="276" w:lineRule="auto"/>
        <w:ind w:firstLine="708"/>
        <w:jc w:val="both"/>
        <w:rPr>
          <w:rFonts w:ascii="Verdana" w:eastAsia="Calibri" w:hAnsi="Verdana" w:cs="Arial"/>
          <w:szCs w:val="20"/>
          <w:lang w:val="es-MX"/>
        </w:rPr>
      </w:pPr>
      <w:r w:rsidRPr="00881D8A">
        <w:rPr>
          <w:rFonts w:ascii="Verdana" w:eastAsia="Calibri" w:hAnsi="Verdana" w:cs="Arial"/>
          <w:szCs w:val="20"/>
          <w:lang w:val="es-MX"/>
        </w:rPr>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20291E1C" w14:textId="77777777" w:rsidR="003F6F5B" w:rsidRPr="00881D8A" w:rsidRDefault="003F6F5B" w:rsidP="003F6F5B">
      <w:pPr>
        <w:spacing w:before="120" w:after="120" w:line="276" w:lineRule="auto"/>
        <w:ind w:firstLine="708"/>
        <w:jc w:val="both"/>
        <w:rPr>
          <w:rFonts w:ascii="Verdana" w:eastAsia="Calibri" w:hAnsi="Verdana" w:cs="Arial"/>
          <w:i/>
          <w:iCs/>
          <w:lang w:val="es-MX"/>
        </w:rPr>
      </w:pPr>
      <w:r w:rsidRPr="00881D8A">
        <w:rPr>
          <w:rFonts w:ascii="Verdana" w:eastAsia="Calibri" w:hAnsi="Verdana" w:cs="Arial"/>
          <w:i/>
          <w:szCs w:val="20"/>
          <w:lang w:val="es-MX"/>
        </w:rPr>
        <w:t>i)</w:t>
      </w:r>
      <w:r w:rsidRPr="00881D8A">
        <w:rPr>
          <w:rFonts w:ascii="Verdana" w:eastAsia="Calibri" w:hAnsi="Verdana" w:cs="Arial"/>
          <w:szCs w:val="20"/>
          <w:lang w:val="es-MX"/>
        </w:rPr>
        <w:t xml:space="preserve">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Esto excluye la configuración de la causal cuando el proponente comete algún error en la información de los contratos, siempre que los reporte todos. Por tanto, la </w:t>
      </w:r>
      <w:r w:rsidRPr="00881D8A">
        <w:rPr>
          <w:rFonts w:ascii="Verdana" w:eastAsia="Calibri" w:hAnsi="Verdana" w:cs="Arial"/>
          <w:lang w:val="es-MX"/>
        </w:rPr>
        <w:t>configuración de la causal de rechazo del literal X es objetiva, pues solo aplica ante la omisión del proponente de informar el número total de contratos en ejecución antes del cierre</w:t>
      </w:r>
      <w:r w:rsidRPr="00881D8A">
        <w:rPr>
          <w:rFonts w:ascii="Verdana" w:eastAsia="Calibri" w:hAnsi="Verdana" w:cs="Arial"/>
          <w:szCs w:val="20"/>
          <w:lang w:val="es-MX"/>
        </w:rPr>
        <w:t>, es decir, opera también cuando no se aporte con la oferta el Formato 5, sólo si, con ello se está omitiendo informar contratos que tenga en ejecución el proponente.</w:t>
      </w:r>
    </w:p>
    <w:p w14:paraId="6474D769" w14:textId="77777777" w:rsidR="003F6F5B" w:rsidRPr="00881D8A" w:rsidRDefault="003F6F5B" w:rsidP="003F6F5B">
      <w:pPr>
        <w:spacing w:before="120" w:after="120" w:line="276" w:lineRule="auto"/>
        <w:ind w:firstLine="708"/>
        <w:jc w:val="both"/>
        <w:rPr>
          <w:rFonts w:ascii="Verdana" w:eastAsia="Calibri" w:hAnsi="Verdana" w:cs="Arial"/>
          <w:szCs w:val="20"/>
          <w:lang w:val="es-MX"/>
        </w:rPr>
      </w:pPr>
      <w:r w:rsidRPr="00881D8A">
        <w:rPr>
          <w:rFonts w:ascii="Verdana" w:eastAsia="Calibri" w:hAnsi="Verdana" w:cs="Arial"/>
          <w:i/>
          <w:szCs w:val="20"/>
          <w:lang w:val="es-MX"/>
        </w:rPr>
        <w:t xml:space="preserve">ii) </w:t>
      </w:r>
      <w:r w:rsidRPr="00881D8A">
        <w:rPr>
          <w:rFonts w:ascii="Verdana" w:eastAsia="Calibri" w:hAnsi="Verdana" w:cs="Arial"/>
          <w:szCs w:val="20"/>
          <w:lang w:val="es-MX"/>
        </w:rPr>
        <w:t xml:space="preserve">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7178BCAB" w14:textId="77777777" w:rsidR="003F6F5B" w:rsidRPr="00881D8A" w:rsidRDefault="003F6F5B" w:rsidP="003F6F5B">
      <w:pPr>
        <w:spacing w:before="120" w:after="120" w:line="276" w:lineRule="auto"/>
        <w:ind w:firstLine="708"/>
        <w:jc w:val="both"/>
        <w:rPr>
          <w:rFonts w:ascii="Verdana" w:eastAsia="Calibri" w:hAnsi="Verdana" w:cs="Arial"/>
          <w:szCs w:val="20"/>
          <w:lang w:val="es-MX"/>
        </w:rPr>
      </w:pPr>
      <w:r w:rsidRPr="00881D8A">
        <w:rPr>
          <w:rFonts w:ascii="Verdana" w:eastAsia="Calibri" w:hAnsi="Verdana" w:cs="Arial"/>
          <w:i/>
          <w:szCs w:val="20"/>
          <w:lang w:val="es-MX"/>
        </w:rPr>
        <w:lastRenderedPageBreak/>
        <w:t xml:space="preserve">iii) </w:t>
      </w:r>
      <w:r w:rsidRPr="00881D8A">
        <w:rPr>
          <w:rFonts w:ascii="Verdana" w:eastAsia="Calibri" w:hAnsi="Verdana" w:cs="Arial"/>
          <w:szCs w:val="20"/>
          <w:lang w:val="es-MX"/>
        </w:rPr>
        <w:t xml:space="preserve">Lo dicho en los numerales precedentes tampoco descarta la posibilidad de que la entidad rechace la oferta si encuentra configurada la causal establecida en </w:t>
      </w:r>
      <w:bookmarkStart w:id="4" w:name="_Hlk81383775"/>
      <w:r w:rsidRPr="00881D8A">
        <w:rPr>
          <w:rFonts w:ascii="Verdana" w:eastAsia="Calibri" w:hAnsi="Verdana" w:cs="Arial"/>
          <w:szCs w:val="20"/>
          <w:lang w:val="es-MX"/>
        </w:rPr>
        <w:t>el literal H del numeral 1.15, que aplica cuando el proponente aporta información inexacta sobre la cual pueda existir una posible falsedad, de acuerdo con lo señalado en el numeral 1.11. del documento base</w:t>
      </w:r>
      <w:bookmarkEnd w:id="4"/>
      <w:r w:rsidRPr="00881D8A">
        <w:rPr>
          <w:rFonts w:ascii="Verdana" w:eastAsia="Calibri" w:hAnsi="Verdana" w:cs="Arial"/>
          <w:szCs w:val="20"/>
          <w:lang w:val="es-MX"/>
        </w:rPr>
        <w:t xml:space="preserve">. </w:t>
      </w:r>
    </w:p>
    <w:p w14:paraId="3FEAF10B" w14:textId="77777777" w:rsidR="003F6F5B" w:rsidRPr="00881D8A" w:rsidRDefault="003F6F5B" w:rsidP="003F6F5B">
      <w:pPr>
        <w:spacing w:before="120" w:after="120" w:line="276" w:lineRule="auto"/>
        <w:ind w:firstLine="708"/>
        <w:jc w:val="both"/>
        <w:rPr>
          <w:rFonts w:ascii="Verdana" w:eastAsia="Calibri" w:hAnsi="Verdana" w:cs="Arial"/>
          <w:szCs w:val="20"/>
          <w:lang w:val="es-MX"/>
        </w:rPr>
      </w:pPr>
      <w:r w:rsidRPr="00881D8A">
        <w:rPr>
          <w:rFonts w:ascii="Verdana" w:eastAsia="Calibri" w:hAnsi="Verdana" w:cs="Arial"/>
        </w:rPr>
        <w:t>Ahora bien, aunque las</w:t>
      </w:r>
      <w:r w:rsidRPr="00881D8A">
        <w:rPr>
          <w:rFonts w:ascii="Verdana" w:eastAsia="Calibri" w:hAnsi="Verdana" w:cs="Arial"/>
          <w:szCs w:val="20"/>
        </w:rPr>
        <w:t xml:space="preserve"> causales de rechazo del literal E, H y X del numeral 1.15 de los documentos tipo se relacionan con la capacidad residual como requisito habilitante</w:t>
      </w:r>
      <w:r w:rsidRPr="00881D8A">
        <w:rPr>
          <w:rFonts w:ascii="Verdana" w:eastAsia="Calibri" w:hAnsi="Verdana" w:cs="Arial"/>
        </w:rPr>
        <w:t xml:space="preserve">, estas se aplican en supuestos diferentes, de acuerdo con lo explicado </w:t>
      </w:r>
      <w:r w:rsidRPr="00881D8A">
        <w:rPr>
          <w:rFonts w:ascii="Verdana" w:eastAsia="Calibri" w:hAnsi="Verdana" w:cs="Arial"/>
          <w:i/>
        </w:rPr>
        <w:t>ut supra</w:t>
      </w:r>
      <w:r w:rsidRPr="00881D8A">
        <w:rPr>
          <w:rFonts w:ascii="Verdana" w:eastAsia="Calibri" w:hAnsi="Verdana" w:cs="Arial"/>
        </w:rPr>
        <w:t>. La causal del literal H se produce si, por ejemplo, el proponente informó todos los contratos en ejecución, pero advierte que la información es inexacta y, además, que sobre la misma puede “existir una posible falsedad”. A título ilustrativo, podría pensarse en un contrato que se aportó y frente al cual la entidad advierte la falsificación de una de las firmas del documento. Por su parte, la causal del literal X se presenta cuando el proponente deja de informar la totalidad de los contratos que tiene en ejecución antes del cierre o no reporta la información de los contratos exigida en el documento base. Siguiendo con el ejemplo, el supuesto de hecho se presenta si el proponente, teniendo tres contratos de obra en ejecución antes del cierre, no informa la totalidad de estos.</w:t>
      </w:r>
    </w:p>
    <w:p w14:paraId="332E15AE" w14:textId="77777777" w:rsidR="003F6F5B" w:rsidRPr="00881D8A" w:rsidRDefault="003F6F5B" w:rsidP="003F6F5B">
      <w:pPr>
        <w:spacing w:before="120" w:after="120" w:line="276" w:lineRule="auto"/>
        <w:ind w:firstLine="708"/>
        <w:jc w:val="both"/>
        <w:rPr>
          <w:rFonts w:ascii="Verdana" w:eastAsia="Calibri" w:hAnsi="Verdana" w:cs="Arial"/>
        </w:rPr>
      </w:pPr>
      <w:r w:rsidRPr="00881D8A">
        <w:rPr>
          <w:rFonts w:ascii="Verdana" w:eastAsia="Calibri" w:hAnsi="Verdana" w:cs="Arial"/>
        </w:rPr>
        <w:t xml:space="preserve">Finalmente, esta distinción también se proyecta sobre las reglas de </w:t>
      </w:r>
      <w:proofErr w:type="spellStart"/>
      <w:r w:rsidRPr="00881D8A">
        <w:rPr>
          <w:rFonts w:ascii="Verdana" w:eastAsia="Calibri" w:hAnsi="Verdana" w:cs="Arial"/>
        </w:rPr>
        <w:t>subsanabilidad</w:t>
      </w:r>
      <w:proofErr w:type="spellEnd"/>
      <w:r w:rsidRPr="00881D8A">
        <w:rPr>
          <w:rFonts w:ascii="Verdana" w:eastAsia="Calibri" w:hAnsi="Verdana" w:cs="Arial"/>
        </w:rPr>
        <w:t xml:space="preserve"> de las ofertas de la Ley 1150 de 2007, pues solo habrá lugar a subsanar en los eventos en los que el proponente omite información sobre los contratos reportados, esto es, en el evento de la causal del literal E. Dicho de otra forma, no se puede subsanar cuando se incurre las causales H y X, eventos en los cuales el rechazo procede de forma automática, es decir, sin permitirle al proponente subsanar la “inexactitud” de la oferta o el número de contratos de obra que tenía el deber de reportar.</w:t>
      </w:r>
    </w:p>
    <w:p w14:paraId="0A027028" w14:textId="77777777" w:rsidR="003F6F5B" w:rsidRPr="00881D8A" w:rsidRDefault="003F6F5B" w:rsidP="003F6F5B">
      <w:pPr>
        <w:spacing w:before="120" w:after="120" w:line="276" w:lineRule="auto"/>
        <w:ind w:firstLine="708"/>
        <w:jc w:val="both"/>
        <w:rPr>
          <w:rFonts w:ascii="Verdana" w:eastAsia="Aptos" w:hAnsi="Verdana" w:cs="Arial"/>
        </w:rPr>
      </w:pPr>
      <w:r w:rsidRPr="00881D8A">
        <w:rPr>
          <w:rFonts w:ascii="Verdana" w:eastAsia="Calibri" w:hAnsi="Verdana" w:cs="Arial"/>
        </w:rPr>
        <w:t xml:space="preserve">Ahora bien,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w:t>
      </w:r>
      <w:r w:rsidRPr="00881D8A">
        <w:rPr>
          <w:rFonts w:ascii="Verdana" w:eastAsia="Calibri" w:hAnsi="Verdana" w:cs="Arial"/>
        </w:rPr>
        <w:lastRenderedPageBreak/>
        <w:t xml:space="preserve">de noviembre de 2025, en el sentido de manifestar que, </w:t>
      </w:r>
      <w:r w:rsidRPr="00881D8A">
        <w:rPr>
          <w:rFonts w:ascii="Verdana" w:eastAsia="Calibri" w:hAnsi="Verdana" w:cs="Arial"/>
          <w:noProof/>
        </w:rPr>
        <w:t>lo</w:t>
      </w:r>
      <w:r w:rsidRPr="00881D8A">
        <w:rPr>
          <w:rFonts w:ascii="Verdana" w:eastAsia="Calibri" w:hAnsi="Verdana" w:cs="Arial"/>
        </w:rPr>
        <w:t xml:space="preserve"> expresado en el párrafo precedente no contradice lo dispuesto en el artículo 5, parágrafo 1, de la Ley 1150 de 2007, adicionado por el artículo 5 de la Ley 1882 de 2018, norma que dispone que “</w:t>
      </w:r>
      <w:r w:rsidRPr="00881D8A">
        <w:rPr>
          <w:rFonts w:ascii="Verdana" w:eastAsia="Calibri" w:hAnsi="Verdana" w:cs="Times New Roman"/>
        </w:rPr>
        <w:t xml:space="preserve">(…) </w:t>
      </w:r>
      <w:r w:rsidRPr="00881D8A">
        <w:rPr>
          <w:rFonts w:ascii="Verdana" w:eastAsia="Calibri" w:hAnsi="Verdana" w:cs="Arial"/>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1A956E00" w14:textId="77777777" w:rsidR="003F6F5B" w:rsidRPr="00881D8A" w:rsidRDefault="003F6F5B" w:rsidP="003F6F5B">
      <w:pPr>
        <w:spacing w:before="120" w:after="120" w:line="276" w:lineRule="auto"/>
        <w:ind w:firstLine="708"/>
        <w:jc w:val="both"/>
        <w:rPr>
          <w:rFonts w:ascii="Verdana" w:eastAsia="Calibri" w:hAnsi="Verdana" w:cs="Arial"/>
        </w:rPr>
      </w:pPr>
      <w:r w:rsidRPr="00881D8A">
        <w:rPr>
          <w:rFonts w:ascii="Verdana" w:eastAsia="Calibri" w:hAnsi="Verdana" w:cs="Arial"/>
        </w:rPr>
        <w:t>La imposibilidad de subsanar se deriva, entonces, del supuesto de hecho de aquellas causales, sin que en esto sea relevante que se otorguen o no puntos a la propuesta por el requisito de capacidad residual. No en vano, desde el 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suministrar información contraria a la realidad en una oferta no puede ser objeto de subsanación dentro de ningún procedimiento de selección”</w:t>
      </w:r>
      <w:r w:rsidRPr="00881D8A">
        <w:rPr>
          <w:rFonts w:ascii="Verdana" w:eastAsia="Calibri" w:hAnsi="Verdana" w:cs="Arial"/>
          <w:vertAlign w:val="superscript"/>
        </w:rPr>
        <w:footnoteReference w:id="4"/>
      </w:r>
      <w:r w:rsidRPr="00881D8A">
        <w:rPr>
          <w:rFonts w:ascii="Verdana" w:eastAsia="Calibri" w:hAnsi="Verdana" w:cs="Arial"/>
        </w:rPr>
        <w:t xml:space="preserve">. </w:t>
      </w:r>
    </w:p>
    <w:p w14:paraId="71A9A3B4" w14:textId="77777777" w:rsidR="003F6F5B" w:rsidRPr="00881D8A" w:rsidRDefault="003F6F5B" w:rsidP="003F6F5B">
      <w:pPr>
        <w:spacing w:before="120" w:after="120" w:line="276" w:lineRule="auto"/>
        <w:ind w:firstLine="709"/>
        <w:jc w:val="both"/>
        <w:rPr>
          <w:rFonts w:ascii="Verdana" w:eastAsia="Aptos" w:hAnsi="Verdana" w:cs="Arial"/>
        </w:rPr>
      </w:pPr>
      <w:r w:rsidRPr="00881D8A">
        <w:rPr>
          <w:rFonts w:ascii="Verdana" w:eastAsia="Aptos" w:hAnsi="Verdana" w:cs="Arial"/>
        </w:rPr>
        <w:t xml:space="preserve">Como se expresó, la causal del literal X procede cuando el proponente no informa todos los contratos de obra, fenómeno que se verifica con el formato 5. </w:t>
      </w:r>
      <w:r w:rsidRPr="00881D8A">
        <w:rPr>
          <w:rFonts w:ascii="Verdana" w:eastAsia="Aptos" w:hAnsi="Verdana" w:cs="Arial"/>
        </w:rPr>
        <w:lastRenderedPageBreak/>
        <w:t xml:space="preserve">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w:t>
      </w:r>
      <w:r>
        <w:rPr>
          <w:rFonts w:ascii="Verdana" w:eastAsia="Aptos" w:hAnsi="Verdana" w:cs="Arial"/>
        </w:rPr>
        <w:t>X</w:t>
      </w:r>
      <w:r w:rsidRPr="00881D8A">
        <w:rPr>
          <w:rFonts w:ascii="Verdana" w:eastAsia="Aptos" w:hAnsi="Verdana" w:cs="Arial"/>
        </w:rPr>
        <w:t>, esto es, que el proponente incumplió su obligación de informar todos los contratos de obra que tenía en ejecución.</w:t>
      </w:r>
    </w:p>
    <w:p w14:paraId="13FA28F4" w14:textId="77777777" w:rsidR="003F6F5B" w:rsidRPr="00881D8A" w:rsidRDefault="003F6F5B" w:rsidP="003F6F5B">
      <w:pPr>
        <w:spacing w:before="120" w:after="120" w:line="276" w:lineRule="auto"/>
        <w:ind w:firstLine="709"/>
        <w:jc w:val="both"/>
        <w:rPr>
          <w:rFonts w:ascii="Verdana" w:eastAsia="Calibri" w:hAnsi="Verdana" w:cs="Arial"/>
        </w:rPr>
      </w:pPr>
      <w:r w:rsidRPr="00881D8A">
        <w:rPr>
          <w:rFonts w:ascii="Verdana" w:eastAsia="Calibri" w:hAnsi="Verdana" w:cs="Arial"/>
        </w:rPr>
        <w:t xml:space="preserve">Conclusión similar se aplica al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Al respecto, surge la siguiente inquietud: ¿es posible subsanar el hecho de aportar una firma falsa presentando el documento firmado válidamente? Para esta entidad, la respuesta es negativa debido a que la finalidad que persigue la causal </w:t>
      </w:r>
      <w:r w:rsidRPr="00881D8A">
        <w:rPr>
          <w:rFonts w:ascii="Verdana" w:eastAsia="Calibri" w:hAnsi="Verdana" w:cs="Arial"/>
          <w:i/>
        </w:rPr>
        <w:t>sub examine</w:t>
      </w:r>
      <w:r w:rsidRPr="00881D8A">
        <w:rPr>
          <w:rFonts w:ascii="Verdana" w:eastAsia="Calibri" w:hAnsi="Verdana" w:cs="Arial"/>
        </w:rPr>
        <w:t xml:space="preserve"> es desincentivar todas las prácticas delictivas en los procesos de contratación estatal. </w:t>
      </w:r>
    </w:p>
    <w:p w14:paraId="7F01D627" w14:textId="77777777" w:rsidR="003F6F5B" w:rsidRPr="00881D8A" w:rsidRDefault="003F6F5B" w:rsidP="003F6F5B">
      <w:pPr>
        <w:spacing w:after="0"/>
        <w:jc w:val="both"/>
        <w:rPr>
          <w:rFonts w:ascii="Verdana" w:eastAsia="Aptos" w:hAnsi="Verdana" w:cs="Arial"/>
          <w:color w:val="000000"/>
          <w:lang w:val="es-ES"/>
        </w:rPr>
      </w:pPr>
    </w:p>
    <w:p w14:paraId="04819B3F" w14:textId="77777777" w:rsidR="003F6F5B" w:rsidRPr="00881D8A" w:rsidRDefault="003F6F5B" w:rsidP="003F6F5B">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Referencias normativas, jurisprudenciales y otras fuentes:</w:t>
      </w:r>
    </w:p>
    <w:p w14:paraId="7B2D63C6" w14:textId="77777777" w:rsidR="003F6F5B" w:rsidRPr="00881D8A" w:rsidRDefault="003F6F5B" w:rsidP="003F6F5B">
      <w:pPr>
        <w:spacing w:after="0"/>
        <w:ind w:left="-15840"/>
        <w:jc w:val="both"/>
        <w:rPr>
          <w:rFonts w:ascii="Verdana" w:eastAsia="Calibri" w:hAnsi="Verdana" w:cs="Arial"/>
          <w:b/>
          <w:bCs/>
        </w:rPr>
      </w:pPr>
      <w:r w:rsidRPr="00881D8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F6F5B" w:rsidRPr="00881D8A" w14:paraId="2A94E1E8" w14:textId="77777777" w:rsidTr="00296400">
        <w:trPr>
          <w:trHeight w:val="870"/>
        </w:trPr>
        <w:tc>
          <w:tcPr>
            <w:tcW w:w="8647" w:type="dxa"/>
            <w:tcBorders>
              <w:top w:val="dotted" w:sz="4" w:space="0" w:color="auto"/>
              <w:left w:val="dotted" w:sz="4" w:space="0" w:color="auto"/>
              <w:bottom w:val="dotted" w:sz="4" w:space="0" w:color="auto"/>
              <w:right w:val="dotted" w:sz="4" w:space="0" w:color="auto"/>
            </w:tcBorders>
          </w:tcPr>
          <w:p w14:paraId="1759A35C" w14:textId="77777777" w:rsidR="003F6F5B" w:rsidRPr="00881D8A" w:rsidRDefault="003F6F5B" w:rsidP="00296400">
            <w:pPr>
              <w:contextualSpacing/>
              <w:jc w:val="both"/>
              <w:rPr>
                <w:rFonts w:ascii="Verdana" w:eastAsia="Calibri" w:hAnsi="Verdana" w:cs="Arial"/>
                <w:bCs/>
                <w:lang w:val="es-ES"/>
              </w:rPr>
            </w:pPr>
          </w:p>
          <w:p w14:paraId="64DCC0A2" w14:textId="77777777" w:rsidR="003F6F5B" w:rsidRPr="00881D8A" w:rsidRDefault="003F6F5B" w:rsidP="003F6F5B">
            <w:pPr>
              <w:numPr>
                <w:ilvl w:val="0"/>
                <w:numId w:val="17"/>
              </w:numPr>
              <w:spacing w:line="276" w:lineRule="auto"/>
              <w:jc w:val="both"/>
              <w:rPr>
                <w:rFonts w:ascii="Verdana" w:eastAsia="Aptos" w:hAnsi="Verdana" w:cs="Arial"/>
                <w:color w:val="000000"/>
              </w:rPr>
            </w:pPr>
            <w:r w:rsidRPr="00881D8A">
              <w:rPr>
                <w:rFonts w:ascii="Verdana" w:eastAsia="Arial" w:hAnsi="Verdana" w:cs="Arial"/>
              </w:rPr>
              <w:t xml:space="preserve">Ley 1150 de 2007. Artículo 6. </w:t>
            </w:r>
          </w:p>
          <w:p w14:paraId="03D6FA3F" w14:textId="77777777" w:rsidR="003F6F5B" w:rsidRPr="00881D8A" w:rsidRDefault="003F6F5B" w:rsidP="003F6F5B">
            <w:pPr>
              <w:numPr>
                <w:ilvl w:val="0"/>
                <w:numId w:val="17"/>
              </w:numPr>
              <w:spacing w:line="276" w:lineRule="auto"/>
              <w:jc w:val="both"/>
              <w:rPr>
                <w:rFonts w:ascii="Verdana" w:eastAsia="Aptos" w:hAnsi="Verdana" w:cs="Arial"/>
                <w:color w:val="000000"/>
              </w:rPr>
            </w:pPr>
            <w:r w:rsidRPr="00881D8A">
              <w:rPr>
                <w:rFonts w:ascii="Verdana" w:eastAsia="Arial" w:hAnsi="Verdana" w:cs="Arial"/>
              </w:rPr>
              <w:t xml:space="preserve">Ley 1682 de 2013. </w:t>
            </w:r>
            <w:r w:rsidRPr="00881D8A">
              <w:rPr>
                <w:rFonts w:ascii="Verdana" w:eastAsia="Aptos" w:hAnsi="Verdana" w:cs="Arial"/>
                <w:color w:val="000000"/>
              </w:rPr>
              <w:t xml:space="preserve"> Artículo 3 y </w:t>
            </w:r>
            <w:r w:rsidRPr="00881D8A">
              <w:rPr>
                <w:rFonts w:ascii="Verdana" w:eastAsia="Arial" w:hAnsi="Verdana" w:cs="Arial"/>
              </w:rPr>
              <w:t>72.</w:t>
            </w:r>
          </w:p>
          <w:p w14:paraId="694AEBDF" w14:textId="77777777" w:rsidR="003F6F5B" w:rsidRPr="00881D8A" w:rsidRDefault="003F6F5B" w:rsidP="003F6F5B">
            <w:pPr>
              <w:numPr>
                <w:ilvl w:val="0"/>
                <w:numId w:val="17"/>
              </w:numPr>
              <w:spacing w:line="276" w:lineRule="auto"/>
              <w:jc w:val="both"/>
              <w:rPr>
                <w:rFonts w:ascii="Verdana" w:eastAsia="Aptos" w:hAnsi="Verdana" w:cs="Arial"/>
                <w:color w:val="000000"/>
              </w:rPr>
            </w:pPr>
            <w:r w:rsidRPr="00881D8A">
              <w:rPr>
                <w:rFonts w:ascii="Verdana" w:eastAsia="Aptos" w:hAnsi="Verdana" w:cs="Arial"/>
                <w:color w:val="000000"/>
              </w:rPr>
              <w:t xml:space="preserve">Decreto 1082 de 2015. Artículos 2.2.1.1.1.3.1, </w:t>
            </w:r>
            <w:r w:rsidRPr="00881D8A">
              <w:rPr>
                <w:rFonts w:ascii="Verdana" w:eastAsia="Calibri" w:hAnsi="Verdana" w:cs="Arial"/>
                <w:bCs/>
                <w:lang w:eastAsia="es-ES_tradnl"/>
              </w:rPr>
              <w:t xml:space="preserve">2.2.1.1.1.5.1., </w:t>
            </w:r>
            <w:r w:rsidRPr="00881D8A">
              <w:rPr>
                <w:rFonts w:ascii="Verdana" w:eastAsia="Aptos" w:hAnsi="Verdana" w:cs="Arial"/>
                <w:color w:val="000000"/>
              </w:rPr>
              <w:t>2.2.1.1.1.6.4.</w:t>
            </w:r>
          </w:p>
          <w:p w14:paraId="7A47B18F" w14:textId="77777777" w:rsidR="003F6F5B" w:rsidRPr="00881D8A" w:rsidRDefault="003F6F5B" w:rsidP="003F6F5B">
            <w:pPr>
              <w:numPr>
                <w:ilvl w:val="0"/>
                <w:numId w:val="17"/>
              </w:numPr>
              <w:contextualSpacing/>
              <w:jc w:val="both"/>
              <w:rPr>
                <w:rFonts w:ascii="Verdana" w:eastAsia="Aptos" w:hAnsi="Verdana" w:cs="Times New Roman"/>
              </w:rPr>
            </w:pPr>
            <w:r w:rsidRPr="00881D8A">
              <w:rPr>
                <w:rFonts w:ascii="Verdana" w:eastAsia="Aptos" w:hAnsi="Verdana" w:cs="Times New Roman"/>
              </w:rPr>
              <w:t xml:space="preserve">Consejo de Estado. Sala de lo Contencioso Administrativo. Sección Tercera. Sentencia del 27 de abril de 2011. </w:t>
            </w:r>
            <w:proofErr w:type="spellStart"/>
            <w:r w:rsidRPr="00881D8A">
              <w:rPr>
                <w:rFonts w:ascii="Verdana" w:eastAsia="Aptos" w:hAnsi="Verdana" w:cs="Times New Roman"/>
              </w:rPr>
              <w:t>Exp</w:t>
            </w:r>
            <w:proofErr w:type="spellEnd"/>
            <w:r w:rsidRPr="00881D8A">
              <w:rPr>
                <w:rFonts w:ascii="Verdana" w:eastAsia="Aptos" w:hAnsi="Verdana" w:cs="Times New Roman"/>
              </w:rPr>
              <w:t>. 18.293. C.P. Ruth Stella Correa Palacio.</w:t>
            </w:r>
          </w:p>
          <w:p w14:paraId="2B73BC34" w14:textId="77777777" w:rsidR="003F6F5B" w:rsidRPr="00881D8A" w:rsidRDefault="003F6F5B" w:rsidP="003F6F5B">
            <w:pPr>
              <w:numPr>
                <w:ilvl w:val="0"/>
                <w:numId w:val="17"/>
              </w:numPr>
              <w:contextualSpacing/>
              <w:jc w:val="both"/>
              <w:rPr>
                <w:rFonts w:ascii="Verdana" w:eastAsia="Aptos" w:hAnsi="Verdana" w:cs="Times New Roman"/>
              </w:rPr>
            </w:pPr>
            <w:r w:rsidRPr="00881D8A">
              <w:rPr>
                <w:rFonts w:ascii="Verdana" w:eastAsia="Aptos" w:hAnsi="Verdana" w:cs="Times New Roman"/>
              </w:rPr>
              <w:t xml:space="preserve">Consejo de Estado. Sala de lo Contencioso Administrativo, Sección Tercera. Sentencia del 21 de noviembre de 2013 </w:t>
            </w:r>
            <w:proofErr w:type="spellStart"/>
            <w:r w:rsidRPr="00881D8A">
              <w:rPr>
                <w:rFonts w:ascii="Verdana" w:eastAsia="Aptos" w:hAnsi="Verdana" w:cs="Times New Roman"/>
              </w:rPr>
              <w:t>Exp</w:t>
            </w:r>
            <w:proofErr w:type="spellEnd"/>
            <w:r w:rsidRPr="00881D8A">
              <w:rPr>
                <w:rFonts w:ascii="Verdana" w:eastAsia="Aptos" w:hAnsi="Verdana" w:cs="Times New Roman"/>
              </w:rPr>
              <w:t>. 25397. C.P. Carlos Alberto Zambrano Barrera.</w:t>
            </w:r>
          </w:p>
          <w:p w14:paraId="1207D71B" w14:textId="77777777" w:rsidR="003F6F5B" w:rsidRPr="00881D8A" w:rsidRDefault="003F6F5B" w:rsidP="003F6F5B">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881D8A">
              <w:rPr>
                <w:rFonts w:ascii="Verdana" w:eastAsia="Calibri" w:hAnsi="Verdana" w:cs="Arial"/>
                <w:lang w:val="es-ES_tradnl"/>
              </w:rPr>
              <w:t xml:space="preserve">Ley 2022 de 2020, artículo 1. </w:t>
            </w:r>
          </w:p>
          <w:p w14:paraId="51D3F3D6" w14:textId="77777777" w:rsidR="003F6F5B" w:rsidRPr="00881D8A" w:rsidRDefault="003F6F5B" w:rsidP="003F6F5B">
            <w:pPr>
              <w:widowControl w:val="0"/>
              <w:numPr>
                <w:ilvl w:val="0"/>
                <w:numId w:val="17"/>
              </w:numPr>
              <w:autoSpaceDE w:val="0"/>
              <w:autoSpaceDN w:val="0"/>
              <w:spacing w:line="276" w:lineRule="auto"/>
              <w:jc w:val="both"/>
              <w:rPr>
                <w:rFonts w:ascii="Verdana" w:eastAsia="Calibri" w:hAnsi="Verdana" w:cs="Arial"/>
              </w:rPr>
            </w:pPr>
            <w:r w:rsidRPr="00881D8A">
              <w:rPr>
                <w:rFonts w:ascii="Verdana" w:eastAsia="Calibri" w:hAnsi="Verdana" w:cs="Arial"/>
              </w:rPr>
              <w:t>Ley 1150 de 2007, artículo 2.</w:t>
            </w:r>
          </w:p>
          <w:p w14:paraId="4B3E2817" w14:textId="77777777" w:rsidR="003F6F5B" w:rsidRPr="00881D8A" w:rsidRDefault="003F6F5B" w:rsidP="003F6F5B">
            <w:pPr>
              <w:widowControl w:val="0"/>
              <w:numPr>
                <w:ilvl w:val="0"/>
                <w:numId w:val="17"/>
              </w:numPr>
              <w:autoSpaceDE w:val="0"/>
              <w:autoSpaceDN w:val="0"/>
              <w:spacing w:line="276" w:lineRule="auto"/>
              <w:contextualSpacing/>
              <w:jc w:val="both"/>
              <w:rPr>
                <w:rFonts w:ascii="Verdana" w:eastAsia="Calibri" w:hAnsi="Verdana" w:cs="Arial"/>
                <w:lang w:val="es-ES"/>
              </w:rPr>
            </w:pPr>
            <w:r w:rsidRPr="00881D8A">
              <w:rPr>
                <w:rFonts w:ascii="Verdana" w:eastAsia="Calibri" w:hAnsi="Verdana" w:cs="Arial"/>
                <w:lang w:val="es-ES_tradnl"/>
              </w:rPr>
              <w:t xml:space="preserve">Documentos Tipo. Disponibles en: </w:t>
            </w:r>
            <w:hyperlink r:id="rId11" w:history="1">
              <w:r w:rsidRPr="00881D8A">
                <w:rPr>
                  <w:rFonts w:ascii="Verdana" w:eastAsia="Calibri" w:hAnsi="Verdana" w:cs="Arial"/>
                  <w:color w:val="0000FF"/>
                  <w:u w:val="single"/>
                  <w:lang w:val="es-ES_tradnl"/>
                </w:rPr>
                <w:t>https://www.colombiacompra.gov.co/documentos-tipo/documentos-tipo</w:t>
              </w:r>
            </w:hyperlink>
            <w:r w:rsidRPr="00881D8A">
              <w:rPr>
                <w:rFonts w:ascii="Verdana" w:eastAsia="Calibri" w:hAnsi="Verdana" w:cs="Arial"/>
                <w:lang w:val="es-ES_tradnl"/>
              </w:rPr>
              <w:t>.</w:t>
            </w:r>
          </w:p>
        </w:tc>
      </w:tr>
    </w:tbl>
    <w:p w14:paraId="2CAB5C2C" w14:textId="77777777" w:rsidR="003F6F5B" w:rsidRPr="00881D8A" w:rsidRDefault="003F6F5B" w:rsidP="003F6F5B">
      <w:pPr>
        <w:tabs>
          <w:tab w:val="left" w:pos="142"/>
          <w:tab w:val="left" w:pos="284"/>
        </w:tabs>
        <w:spacing w:after="0" w:line="276" w:lineRule="auto"/>
        <w:jc w:val="both"/>
        <w:rPr>
          <w:rFonts w:ascii="Verdana" w:eastAsia="Calibri" w:hAnsi="Verdana" w:cs="Arial"/>
        </w:rPr>
      </w:pPr>
    </w:p>
    <w:p w14:paraId="44FBC41F" w14:textId="77777777" w:rsidR="003F6F5B" w:rsidRPr="00881D8A" w:rsidRDefault="003F6F5B" w:rsidP="003F6F5B">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Doctrina de la Agencia Nacional de Contratación Pública:</w:t>
      </w:r>
    </w:p>
    <w:p w14:paraId="099FC5B0" w14:textId="77777777" w:rsidR="003F6F5B" w:rsidRPr="00881D8A" w:rsidRDefault="003F6F5B" w:rsidP="003F6F5B">
      <w:pPr>
        <w:widowControl w:val="0"/>
        <w:autoSpaceDE w:val="0"/>
        <w:autoSpaceDN w:val="0"/>
        <w:spacing w:after="0" w:line="276" w:lineRule="auto"/>
        <w:jc w:val="both"/>
        <w:rPr>
          <w:rFonts w:ascii="Verdana" w:eastAsia="Calibri" w:hAnsi="Verdana" w:cs="Arial"/>
        </w:rPr>
      </w:pPr>
    </w:p>
    <w:p w14:paraId="516F9E0B" w14:textId="77777777" w:rsidR="003F6F5B" w:rsidRPr="00881D8A" w:rsidRDefault="003F6F5B" w:rsidP="003F6F5B">
      <w:pPr>
        <w:widowControl w:val="0"/>
        <w:autoSpaceDE w:val="0"/>
        <w:autoSpaceDN w:val="0"/>
        <w:spacing w:after="0" w:line="276" w:lineRule="auto"/>
        <w:jc w:val="both"/>
        <w:rPr>
          <w:rFonts w:ascii="Verdana" w:eastAsia="Times New Roman" w:hAnsi="Verdana" w:cs="Arial"/>
          <w:shd w:val="clear" w:color="auto" w:fill="FFFFFF"/>
          <w:lang w:val="es-ES"/>
        </w:rPr>
      </w:pPr>
      <w:r w:rsidRPr="00881D8A">
        <w:rPr>
          <w:rFonts w:ascii="Verdana" w:eastAsia="Calibri" w:hAnsi="Verdana" w:cs="Arial"/>
          <w:shd w:val="clear" w:color="auto" w:fill="FFFFFF"/>
        </w:rPr>
        <w:t>L</w:t>
      </w:r>
      <w:r w:rsidRPr="00881D8A">
        <w:rPr>
          <w:rFonts w:ascii="Verdana" w:eastAsia="Calibri" w:hAnsi="Verdana" w:cs="Arial"/>
          <w:shd w:val="clear" w:color="auto" w:fill="FFFFFF"/>
          <w:lang w:val="es-ES"/>
        </w:rPr>
        <w:t xml:space="preserve">a Agencia Nacional de Contratación Pública – Colombia Compra Eficiente, se pronunció sobre la causal de rechazo del literal X de los documentos tipo de licitación de obra pública de infraestructura de trasporte, entre otros en los siguientes conceptos: </w:t>
      </w:r>
      <w:r w:rsidRPr="00881D8A">
        <w:rPr>
          <w:rFonts w:ascii="Verdana" w:eastAsia="Calibri" w:hAnsi="Verdana" w:cs="Arial"/>
        </w:rPr>
        <w:t>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C-1438 del 6 de noviembre de 2025</w:t>
      </w:r>
      <w:r>
        <w:rPr>
          <w:rFonts w:ascii="Verdana" w:eastAsia="Calibri" w:hAnsi="Verdana" w:cs="Arial"/>
        </w:rPr>
        <w:t xml:space="preserve"> y C-1795 del 30 de diciembre de 2025</w:t>
      </w:r>
      <w:r w:rsidRPr="00881D8A">
        <w:rPr>
          <w:rFonts w:ascii="Verdana" w:eastAsia="Calibri" w:hAnsi="Verdana" w:cs="Arial"/>
        </w:rPr>
        <w:t>.</w:t>
      </w:r>
    </w:p>
    <w:p w14:paraId="420EF32C" w14:textId="77777777" w:rsidR="003F6F5B" w:rsidRPr="00881D8A" w:rsidRDefault="003F6F5B" w:rsidP="003F6F5B">
      <w:pPr>
        <w:widowControl w:val="0"/>
        <w:autoSpaceDE w:val="0"/>
        <w:autoSpaceDN w:val="0"/>
        <w:spacing w:after="0" w:line="276" w:lineRule="auto"/>
        <w:jc w:val="both"/>
        <w:rPr>
          <w:rFonts w:ascii="Verdana" w:eastAsia="Times New Roman" w:hAnsi="Verdana" w:cs="Arial"/>
          <w:shd w:val="clear" w:color="auto" w:fill="FFFFFF"/>
          <w:lang w:val="es-ES"/>
        </w:rPr>
      </w:pPr>
    </w:p>
    <w:p w14:paraId="5293BD65" w14:textId="77777777" w:rsidR="003F6F5B" w:rsidRPr="00881D8A" w:rsidRDefault="003F6F5B" w:rsidP="003F6F5B">
      <w:pPr>
        <w:widowControl w:val="0"/>
        <w:autoSpaceDE w:val="0"/>
        <w:autoSpaceDN w:val="0"/>
        <w:spacing w:after="0" w:line="276" w:lineRule="auto"/>
        <w:jc w:val="both"/>
        <w:rPr>
          <w:rFonts w:ascii="Verdana" w:eastAsia="Times New Roman" w:hAnsi="Verdana" w:cs="Arial"/>
          <w:shd w:val="clear" w:color="auto" w:fill="FFFFFF"/>
          <w:lang w:val="es-ES"/>
        </w:rPr>
      </w:pPr>
      <w:r w:rsidRPr="00881D8A">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881D8A">
          <w:rPr>
            <w:rFonts w:ascii="Verdana" w:eastAsia="Calibri" w:hAnsi="Verdana" w:cs="Arial"/>
            <w:color w:val="0000FF"/>
            <w:kern w:val="2"/>
            <w:u w:val="single"/>
            <w:shd w:val="clear" w:color="auto" w:fill="FFFFFF"/>
            <w14:ligatures w14:val="standardContextual"/>
          </w:rPr>
          <w:t>https://relatoria.colombiacompra.gov.co/</w:t>
        </w:r>
      </w:hyperlink>
      <w:r w:rsidRPr="00881D8A">
        <w:rPr>
          <w:rFonts w:ascii="Verdana" w:eastAsia="Calibri" w:hAnsi="Verdana" w:cs="Arial"/>
          <w:color w:val="0000FF"/>
          <w:kern w:val="2"/>
          <w:u w:val="single"/>
          <w:shd w:val="clear" w:color="auto" w:fill="FFFFFF"/>
          <w14:ligatures w14:val="standardContextual"/>
        </w:rPr>
        <w:t> .</w:t>
      </w:r>
    </w:p>
    <w:p w14:paraId="08D5A070" w14:textId="77777777" w:rsidR="003F6F5B" w:rsidRPr="00881D8A" w:rsidRDefault="003F6F5B" w:rsidP="003F6F5B">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0678ACE0" w14:textId="77777777" w:rsidR="003F6F5B" w:rsidRPr="00881D8A" w:rsidRDefault="003F6F5B" w:rsidP="003F6F5B">
      <w:pPr>
        <w:spacing w:after="0" w:line="240" w:lineRule="auto"/>
        <w:jc w:val="both"/>
        <w:rPr>
          <w:rFonts w:ascii="Verdana" w:eastAsia="Calibri" w:hAnsi="Verdana" w:cs="Arial"/>
          <w:color w:val="000000"/>
          <w:kern w:val="2"/>
          <w:shd w:val="clear" w:color="auto" w:fill="FFFFFF"/>
          <w14:ligatures w14:val="standardContextual"/>
        </w:rPr>
      </w:pPr>
      <w:r w:rsidRPr="00881D8A">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881D8A">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881D8A">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81D8A">
        <w:rPr>
          <w:rFonts w:ascii="Verdana" w:eastAsia="Calibri" w:hAnsi="Verdana" w:cs="Arial"/>
          <w:color w:val="000000"/>
          <w:kern w:val="2"/>
          <w:shd w:val="clear" w:color="auto" w:fill="FFFFFF"/>
          <w14:ligatures w14:val="standardContextual"/>
        </w:rPr>
        <w:t>Wayúu</w:t>
      </w:r>
      <w:proofErr w:type="spellEnd"/>
      <w:r w:rsidRPr="00881D8A">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881D8A">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881D8A">
        <w:rPr>
          <w:rFonts w:ascii="Verdana" w:eastAsia="Calibri" w:hAnsi="Verdana" w:cs="Arial"/>
          <w:color w:val="000000"/>
          <w:kern w:val="2"/>
          <w:u w:val="single"/>
          <w:shd w:val="clear" w:color="auto" w:fill="FFFFFF"/>
          <w14:ligatures w14:val="standardContextual"/>
        </w:rPr>
        <w:t>"</w:t>
      </w:r>
    </w:p>
    <w:p w14:paraId="5E8CCC17" w14:textId="77777777" w:rsidR="003F6F5B" w:rsidRPr="00881D8A" w:rsidRDefault="003F6F5B" w:rsidP="003F6F5B">
      <w:pPr>
        <w:spacing w:after="0" w:line="278" w:lineRule="auto"/>
        <w:jc w:val="both"/>
        <w:rPr>
          <w:rFonts w:ascii="Verdana" w:eastAsia="Aptos" w:hAnsi="Verdana" w:cs="Times New Roman"/>
          <w:color w:val="212121"/>
          <w:kern w:val="2"/>
          <w14:ligatures w14:val="standardContextual"/>
        </w:rPr>
      </w:pPr>
    </w:p>
    <w:p w14:paraId="5A7E6978" w14:textId="77777777" w:rsidR="003F6F5B" w:rsidRPr="00881D8A" w:rsidRDefault="003F6F5B" w:rsidP="003F6F5B">
      <w:pPr>
        <w:spacing w:after="0" w:line="240" w:lineRule="auto"/>
        <w:jc w:val="both"/>
        <w:rPr>
          <w:rFonts w:ascii="Verdana" w:eastAsia="Calibri" w:hAnsi="Verdana" w:cs="Times New Roman"/>
          <w:kern w:val="2"/>
          <w14:ligatures w14:val="standardContextual"/>
        </w:rPr>
      </w:pPr>
      <w:r w:rsidRPr="00881D8A">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3EA0F5A3" w14:textId="77777777" w:rsidR="003F6F5B" w:rsidRPr="00881D8A" w:rsidRDefault="003F6F5B" w:rsidP="003F6F5B">
      <w:pPr>
        <w:spacing w:after="0" w:line="240" w:lineRule="auto"/>
        <w:jc w:val="both"/>
        <w:rPr>
          <w:rFonts w:ascii="Verdana" w:eastAsia="Aptos" w:hAnsi="Verdana" w:cs="Times New Roman"/>
          <w:kern w:val="2"/>
          <w14:ligatures w14:val="standardContextual"/>
        </w:rPr>
      </w:pPr>
    </w:p>
    <w:p w14:paraId="3FFC4E46" w14:textId="77777777" w:rsidR="003F6F5B" w:rsidRPr="00881D8A" w:rsidRDefault="003F6F5B" w:rsidP="003F6F5B">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t xml:space="preserve">Twitter: </w:t>
      </w:r>
      <w:r w:rsidRPr="00881D8A">
        <w:rPr>
          <w:rFonts w:ascii="Verdana" w:eastAsia="Calibri" w:hAnsi="Verdana" w:cs="Times New Roman"/>
          <w:color w:val="156082"/>
          <w:kern w:val="2"/>
          <w:u w:val="single"/>
          <w14:ligatures w14:val="standardContextual"/>
        </w:rPr>
        <w:t>@colombiacompra</w:t>
      </w:r>
      <w:r w:rsidRPr="00881D8A">
        <w:rPr>
          <w:rFonts w:ascii="Verdana" w:eastAsia="Calibri" w:hAnsi="Verdana" w:cs="Times New Roman"/>
          <w:color w:val="156082"/>
          <w:kern w:val="2"/>
          <w14:ligatures w14:val="standardContextual"/>
        </w:rPr>
        <w:t xml:space="preserve"> </w:t>
      </w:r>
    </w:p>
    <w:p w14:paraId="4D53A806" w14:textId="77777777" w:rsidR="003F6F5B" w:rsidRPr="00881D8A" w:rsidRDefault="003F6F5B" w:rsidP="003F6F5B">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t xml:space="preserve">Facebook: </w:t>
      </w:r>
      <w:proofErr w:type="spellStart"/>
      <w:r w:rsidRPr="00881D8A">
        <w:rPr>
          <w:rFonts w:ascii="Verdana" w:eastAsia="Calibri" w:hAnsi="Verdana" w:cs="Times New Roman"/>
          <w:color w:val="156082"/>
          <w:kern w:val="2"/>
          <w:u w:val="single"/>
          <w14:ligatures w14:val="standardContextual"/>
        </w:rPr>
        <w:t>ColombiaCompraEficiente</w:t>
      </w:r>
      <w:proofErr w:type="spellEnd"/>
    </w:p>
    <w:p w14:paraId="1D61CACB" w14:textId="77777777" w:rsidR="003F6F5B" w:rsidRPr="00881D8A" w:rsidRDefault="003F6F5B" w:rsidP="003F6F5B">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lastRenderedPageBreak/>
        <w:t xml:space="preserve">LinkedIn: </w:t>
      </w:r>
      <w:r w:rsidRPr="00881D8A">
        <w:rPr>
          <w:rFonts w:ascii="Verdana" w:eastAsia="Calibri" w:hAnsi="Verdana" w:cs="Times New Roman"/>
          <w:color w:val="156082"/>
          <w:kern w:val="2"/>
          <w:u w:val="single"/>
          <w14:ligatures w14:val="standardContextual"/>
        </w:rPr>
        <w:t>Agencia Nacional de Contratación Pública - Colombia Compra Eficiente</w:t>
      </w:r>
      <w:r w:rsidRPr="00881D8A">
        <w:rPr>
          <w:rFonts w:ascii="Verdana" w:eastAsia="Calibri" w:hAnsi="Verdana" w:cs="Times New Roman"/>
          <w:color w:val="156082"/>
          <w:kern w:val="2"/>
          <w14:ligatures w14:val="standardContextual"/>
        </w:rPr>
        <w:t xml:space="preserve"> </w:t>
      </w:r>
      <w:r w:rsidRPr="00881D8A">
        <w:rPr>
          <w:rFonts w:ascii="Verdana" w:eastAsia="Aptos" w:hAnsi="Verdana" w:cs="Times New Roman"/>
          <w:kern w:val="2"/>
          <w14:ligatures w14:val="standardContextual"/>
        </w:rPr>
        <w:t xml:space="preserve">Instagram: </w:t>
      </w:r>
      <w:r w:rsidRPr="00881D8A">
        <w:rPr>
          <w:rFonts w:ascii="Verdana" w:eastAsia="Calibri" w:hAnsi="Verdana" w:cs="Times New Roman"/>
          <w:color w:val="156082"/>
          <w:kern w:val="2"/>
          <w:u w:val="single"/>
          <w14:ligatures w14:val="standardContextual"/>
        </w:rPr>
        <w:t>@colombiacompraeficiente_cce</w:t>
      </w:r>
    </w:p>
    <w:p w14:paraId="4BAD94B4" w14:textId="77777777" w:rsidR="003F6F5B" w:rsidRPr="00881D8A" w:rsidRDefault="003F6F5B" w:rsidP="003F6F5B">
      <w:pPr>
        <w:spacing w:after="0" w:line="276" w:lineRule="auto"/>
        <w:jc w:val="both"/>
        <w:rPr>
          <w:rFonts w:ascii="Verdana" w:eastAsia="Aptos" w:hAnsi="Verdana" w:cs="Times New Roman"/>
          <w:kern w:val="2"/>
          <w14:ligatures w14:val="standardContextual"/>
        </w:rPr>
      </w:pPr>
    </w:p>
    <w:p w14:paraId="5D2E97C1" w14:textId="77777777" w:rsidR="003F6F5B" w:rsidRPr="00881D8A" w:rsidRDefault="003F6F5B" w:rsidP="003F6F5B">
      <w:pPr>
        <w:spacing w:after="0" w:line="276" w:lineRule="auto"/>
        <w:jc w:val="both"/>
        <w:rPr>
          <w:rFonts w:ascii="Verdana" w:eastAsia="Calibri" w:hAnsi="Verdana" w:cs="Times New Roman"/>
          <w:bCs/>
          <w:kern w:val="2"/>
          <w:lang w:val="es-ES_tradnl"/>
          <w14:ligatures w14:val="standardContextual"/>
        </w:rPr>
      </w:pPr>
      <w:r w:rsidRPr="00881D8A">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F80A333" w14:textId="77777777" w:rsidR="003F6F5B" w:rsidRPr="00881D8A" w:rsidRDefault="003F6F5B" w:rsidP="003F6F5B">
      <w:pPr>
        <w:spacing w:after="0" w:line="276" w:lineRule="auto"/>
        <w:jc w:val="both"/>
        <w:rPr>
          <w:rFonts w:ascii="Verdana" w:eastAsia="Times New Roman" w:hAnsi="Verdana" w:cs="Vrinda"/>
          <w:lang w:val="es-MX" w:eastAsia="es-CO"/>
        </w:rPr>
      </w:pPr>
    </w:p>
    <w:p w14:paraId="6501BE6E" w14:textId="77777777" w:rsidR="003F6F5B" w:rsidRPr="00881D8A" w:rsidRDefault="003F6F5B" w:rsidP="003F6F5B">
      <w:pPr>
        <w:spacing w:after="0" w:line="276" w:lineRule="auto"/>
        <w:jc w:val="both"/>
        <w:rPr>
          <w:rFonts w:ascii="Verdana" w:eastAsia="Calibri" w:hAnsi="Verdana" w:cs="Vrinda"/>
        </w:rPr>
      </w:pPr>
      <w:r w:rsidRPr="00881D8A">
        <w:rPr>
          <w:rFonts w:ascii="Verdana" w:eastAsia="Calibri" w:hAnsi="Verdana" w:cs="Vrinda"/>
        </w:rPr>
        <w:t>Atentamente,</w:t>
      </w:r>
      <w:bookmarkEnd w:id="1"/>
    </w:p>
    <w:bookmarkEnd w:id="0"/>
    <w:p w14:paraId="0EF3792D" w14:textId="0DE4A597" w:rsidR="003F6F5B" w:rsidRPr="00881D8A" w:rsidRDefault="001B64A5" w:rsidP="003F6F5B">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17B1451C" wp14:editId="06B4FFF1">
            <wp:extent cx="2640250" cy="1133475"/>
            <wp:effectExtent l="0" t="0" r="825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644424" cy="113526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F6F5B" w:rsidRPr="00881D8A" w14:paraId="3AFEF11D" w14:textId="77777777" w:rsidTr="00296400">
        <w:trPr>
          <w:trHeight w:val="315"/>
        </w:trPr>
        <w:tc>
          <w:tcPr>
            <w:tcW w:w="893" w:type="dxa"/>
            <w:vAlign w:val="center"/>
            <w:hideMark/>
          </w:tcPr>
          <w:p w14:paraId="2D7C6673" w14:textId="77777777" w:rsidR="003F6F5B" w:rsidRPr="00881D8A" w:rsidRDefault="003F6F5B"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18731EF9" w14:textId="77777777" w:rsidR="003F6F5B" w:rsidRPr="00881D8A" w:rsidRDefault="003F6F5B" w:rsidP="00296400">
            <w:pPr>
              <w:rPr>
                <w:rFonts w:ascii="Verdana" w:eastAsia="Arial" w:hAnsi="Verdana" w:cs="Arial"/>
                <w:sz w:val="16"/>
                <w:szCs w:val="16"/>
              </w:rPr>
            </w:pPr>
            <w:r w:rsidRPr="00881D8A">
              <w:rPr>
                <w:rFonts w:ascii="Verdana" w:eastAsia="Arial" w:hAnsi="Verdana" w:cs="Arial"/>
                <w:sz w:val="16"/>
                <w:szCs w:val="16"/>
              </w:rPr>
              <w:t xml:space="preserve">Carlos Mario </w:t>
            </w:r>
            <w:proofErr w:type="spellStart"/>
            <w:r w:rsidRPr="00881D8A">
              <w:rPr>
                <w:rFonts w:ascii="Verdana" w:eastAsia="Arial" w:hAnsi="Verdana" w:cs="Arial"/>
                <w:sz w:val="16"/>
                <w:szCs w:val="16"/>
              </w:rPr>
              <w:t>Castrillon</w:t>
            </w:r>
            <w:proofErr w:type="spellEnd"/>
            <w:r w:rsidRPr="00881D8A">
              <w:rPr>
                <w:rFonts w:ascii="Verdana" w:eastAsia="Arial" w:hAnsi="Verdana" w:cs="Arial"/>
                <w:sz w:val="16"/>
                <w:szCs w:val="16"/>
              </w:rPr>
              <w:t xml:space="preserve"> Endo </w:t>
            </w:r>
          </w:p>
          <w:p w14:paraId="1377FE17" w14:textId="77777777" w:rsidR="003F6F5B" w:rsidRPr="00881D8A" w:rsidRDefault="003F6F5B" w:rsidP="00296400">
            <w:pPr>
              <w:rPr>
                <w:rFonts w:ascii="Verdana" w:eastAsia="Arial" w:hAnsi="Verdana" w:cs="Arial"/>
                <w:sz w:val="16"/>
                <w:szCs w:val="16"/>
              </w:rPr>
            </w:pPr>
            <w:r w:rsidRPr="00881D8A">
              <w:rPr>
                <w:rFonts w:ascii="Verdana" w:eastAsia="Arial" w:hAnsi="Verdana" w:cs="Arial"/>
                <w:sz w:val="16"/>
                <w:szCs w:val="16"/>
              </w:rPr>
              <w:t>Contratista de la Subdirección de Gestión Contractual</w:t>
            </w:r>
          </w:p>
          <w:p w14:paraId="7D5B84B4" w14:textId="77777777" w:rsidR="003F6F5B" w:rsidRPr="00881D8A" w:rsidRDefault="003F6F5B" w:rsidP="00296400">
            <w:pPr>
              <w:rPr>
                <w:rFonts w:ascii="Verdana" w:eastAsia="Arial" w:hAnsi="Verdana" w:cs="Arial"/>
                <w:sz w:val="16"/>
                <w:szCs w:val="16"/>
              </w:rPr>
            </w:pPr>
          </w:p>
        </w:tc>
      </w:tr>
      <w:tr w:rsidR="003F6F5B" w:rsidRPr="00881D8A" w14:paraId="5293FA22" w14:textId="77777777" w:rsidTr="00296400">
        <w:trPr>
          <w:trHeight w:val="330"/>
        </w:trPr>
        <w:tc>
          <w:tcPr>
            <w:tcW w:w="893" w:type="dxa"/>
            <w:vAlign w:val="center"/>
            <w:hideMark/>
          </w:tcPr>
          <w:p w14:paraId="6174CBD0" w14:textId="77777777" w:rsidR="003F6F5B" w:rsidRPr="00881D8A" w:rsidRDefault="003F6F5B"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58BBC214" w14:textId="77777777" w:rsidR="003F6F5B" w:rsidRPr="00881D8A" w:rsidRDefault="003F6F5B" w:rsidP="00296400">
            <w:pPr>
              <w:textAlignment w:val="baseline"/>
              <w:rPr>
                <w:rFonts w:ascii="Verdana" w:eastAsia="Times New Roman" w:hAnsi="Verdana" w:cs="Aptos"/>
                <w:sz w:val="16"/>
                <w:szCs w:val="16"/>
                <w:lang w:eastAsia="es-CO"/>
              </w:rPr>
            </w:pPr>
            <w:r w:rsidRPr="00881D8A">
              <w:rPr>
                <w:rFonts w:ascii="Verdana" w:eastAsia="Times New Roman" w:hAnsi="Verdana" w:cs="Aptos"/>
                <w:sz w:val="16"/>
                <w:szCs w:val="16"/>
                <w:lang w:eastAsia="es-CO"/>
              </w:rPr>
              <w:t xml:space="preserve">Juan David Cárdenas Cabeza </w:t>
            </w:r>
          </w:p>
          <w:p w14:paraId="3611591A" w14:textId="77777777" w:rsidR="003F6F5B" w:rsidRPr="00881D8A" w:rsidRDefault="003F6F5B" w:rsidP="00296400">
            <w:pPr>
              <w:rPr>
                <w:rFonts w:ascii="Verdana" w:eastAsia="Arial" w:hAnsi="Verdana" w:cs="Arial"/>
                <w:sz w:val="16"/>
                <w:szCs w:val="16"/>
              </w:rPr>
            </w:pPr>
            <w:r w:rsidRPr="00881D8A">
              <w:rPr>
                <w:rFonts w:ascii="Verdana" w:eastAsia="Arial" w:hAnsi="Verdana" w:cs="Arial"/>
                <w:sz w:val="16"/>
                <w:szCs w:val="16"/>
              </w:rPr>
              <w:t>Contratista de la Subdirección de Gestión Contractual</w:t>
            </w:r>
          </w:p>
        </w:tc>
      </w:tr>
      <w:tr w:rsidR="003F6F5B" w:rsidRPr="00881D8A" w14:paraId="1BBCA185" w14:textId="77777777" w:rsidTr="00296400">
        <w:trPr>
          <w:trHeight w:val="300"/>
        </w:trPr>
        <w:tc>
          <w:tcPr>
            <w:tcW w:w="893" w:type="dxa"/>
            <w:vAlign w:val="center"/>
          </w:tcPr>
          <w:p w14:paraId="11EFD354" w14:textId="77777777" w:rsidR="003F6F5B" w:rsidRPr="00881D8A" w:rsidRDefault="003F6F5B"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88B0359" w14:textId="77777777" w:rsidR="003F6F5B" w:rsidRPr="00881D8A" w:rsidRDefault="003F6F5B"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 xml:space="preserve">Carolina Quintero </w:t>
            </w:r>
            <w:proofErr w:type="spellStart"/>
            <w:r w:rsidRPr="00881D8A">
              <w:rPr>
                <w:rFonts w:ascii="Verdana" w:eastAsia="Calibri" w:hAnsi="Verdana" w:cs="Arial"/>
                <w:sz w:val="16"/>
                <w:szCs w:val="16"/>
                <w:lang w:eastAsia="es-ES"/>
              </w:rPr>
              <w:t>Gacharná</w:t>
            </w:r>
            <w:proofErr w:type="spellEnd"/>
          </w:p>
          <w:p w14:paraId="480C5243" w14:textId="77777777" w:rsidR="003F6F5B" w:rsidRPr="00881D8A" w:rsidRDefault="003F6F5B"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Subdirectora de Gestión Contractual ANCP – CCE</w:t>
            </w:r>
          </w:p>
        </w:tc>
      </w:tr>
    </w:tbl>
    <w:p w14:paraId="2E8D223E" w14:textId="77777777" w:rsidR="003F6F5B" w:rsidRPr="00881D8A" w:rsidRDefault="003F6F5B" w:rsidP="003F6F5B">
      <w:pPr>
        <w:rPr>
          <w:rFonts w:ascii="Verdana" w:eastAsia="Calibri" w:hAnsi="Verdana" w:cs="Times New Roman"/>
        </w:rPr>
      </w:pPr>
    </w:p>
    <w:p w14:paraId="77675D77" w14:textId="77777777" w:rsidR="003F6F5B" w:rsidRPr="00881D8A" w:rsidRDefault="003F6F5B" w:rsidP="003F6F5B">
      <w:pPr>
        <w:rPr>
          <w:rFonts w:ascii="Verdana" w:eastAsia="Aptos" w:hAnsi="Verdana" w:cs="Times New Roman"/>
        </w:rPr>
      </w:pPr>
    </w:p>
    <w:p w14:paraId="5379A03B" w14:textId="77777777" w:rsidR="003F6F5B" w:rsidRPr="00BF201D" w:rsidRDefault="003F6F5B" w:rsidP="003F6F5B"/>
    <w:p w14:paraId="7C04D6F7" w14:textId="77777777" w:rsidR="003F6F5B" w:rsidRDefault="003F6F5B" w:rsidP="003F6F5B"/>
    <w:p w14:paraId="0F293BF4" w14:textId="5D6FB421" w:rsidR="00127233" w:rsidRPr="00791FFB" w:rsidRDefault="00127233" w:rsidP="00791FFB"/>
    <w:sectPr w:rsidR="00127233" w:rsidRPr="00791FF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7684B" w14:textId="77777777" w:rsidR="009A1C6F" w:rsidRDefault="009A1C6F" w:rsidP="004A1847">
      <w:pPr>
        <w:spacing w:after="0" w:line="240" w:lineRule="auto"/>
      </w:pPr>
      <w:r>
        <w:separator/>
      </w:r>
    </w:p>
  </w:endnote>
  <w:endnote w:type="continuationSeparator" w:id="0">
    <w:p w14:paraId="34E3A772"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F836A" w14:textId="77777777" w:rsidR="009A1C6F" w:rsidRDefault="009A1C6F" w:rsidP="004A1847">
      <w:pPr>
        <w:spacing w:after="0" w:line="240" w:lineRule="auto"/>
      </w:pPr>
      <w:r>
        <w:separator/>
      </w:r>
    </w:p>
  </w:footnote>
  <w:footnote w:type="continuationSeparator" w:id="0">
    <w:p w14:paraId="6329C139" w14:textId="77777777" w:rsidR="009A1C6F" w:rsidRDefault="009A1C6F" w:rsidP="004A1847">
      <w:pPr>
        <w:spacing w:after="0" w:line="240" w:lineRule="auto"/>
      </w:pPr>
      <w:r>
        <w:continuationSeparator/>
      </w:r>
    </w:p>
  </w:footnote>
  <w:footnote w:id="1">
    <w:p w14:paraId="451DD161" w14:textId="77777777" w:rsidR="003F6F5B" w:rsidRDefault="003F6F5B" w:rsidP="003F6F5B">
      <w:pPr>
        <w:pStyle w:val="Textonotapie"/>
        <w:ind w:firstLine="709"/>
        <w:rPr>
          <w:rFonts w:ascii="Verdana" w:hAnsi="Verdana"/>
          <w:sz w:val="14"/>
          <w:szCs w:val="14"/>
        </w:rPr>
      </w:pPr>
      <w:r w:rsidRPr="001C5517">
        <w:rPr>
          <w:rStyle w:val="Refdenotaalpie"/>
          <w:rFonts w:ascii="Verdana" w:hAnsi="Verdana"/>
          <w:sz w:val="14"/>
          <w:szCs w:val="14"/>
        </w:rPr>
        <w:footnoteRef/>
      </w:r>
      <w:r>
        <w:rPr>
          <w:rFonts w:ascii="Verdana" w:hAnsi="Verdana"/>
          <w:sz w:val="14"/>
          <w:szCs w:val="14"/>
        </w:rPr>
        <w:t xml:space="preserve"> </w:t>
      </w:r>
      <w:hyperlink r:id="rId1" w:history="1">
        <w:r w:rsidRPr="00761FAC">
          <w:rPr>
            <w:rStyle w:val="Hipervnculo"/>
            <w:rFonts w:ascii="Verdana" w:hAnsi="Verdana"/>
            <w:sz w:val="14"/>
            <w:szCs w:val="14"/>
          </w:rPr>
          <w:t>https://www.colombiacompra.gov.co/archivos/manual/manual-para-determinar-y-verificar-los-requisitos-habilitantes-en-los-procesos-de-contratacion</w:t>
        </w:r>
      </w:hyperlink>
    </w:p>
    <w:p w14:paraId="23F642E5" w14:textId="77777777" w:rsidR="003F6F5B" w:rsidRPr="001C5517" w:rsidRDefault="003F6F5B" w:rsidP="003F6F5B">
      <w:pPr>
        <w:pStyle w:val="Textonotapie"/>
        <w:ind w:firstLine="709"/>
        <w:rPr>
          <w:rFonts w:ascii="Verdana" w:hAnsi="Verdana"/>
          <w:sz w:val="14"/>
          <w:szCs w:val="14"/>
          <w:lang w:val="es-ES"/>
        </w:rPr>
      </w:pPr>
    </w:p>
  </w:footnote>
  <w:footnote w:id="2">
    <w:p w14:paraId="39710EB4" w14:textId="77777777" w:rsidR="003F6F5B" w:rsidRPr="00F206C3" w:rsidRDefault="003F6F5B" w:rsidP="003F6F5B">
      <w:pPr>
        <w:pStyle w:val="Textonotapie"/>
        <w:ind w:firstLine="708"/>
        <w:jc w:val="both"/>
        <w:rPr>
          <w:rFonts w:ascii="Verdana" w:hAnsi="Verdana"/>
          <w:sz w:val="14"/>
          <w:szCs w:val="14"/>
          <w:lang w:val="es-CO"/>
        </w:rPr>
      </w:pPr>
      <w:r w:rsidRPr="00F206C3">
        <w:rPr>
          <w:rStyle w:val="Refdenotaalpie"/>
          <w:rFonts w:ascii="Verdana" w:hAnsi="Verdana"/>
          <w:sz w:val="14"/>
          <w:szCs w:val="14"/>
        </w:rPr>
        <w:footnoteRef/>
      </w:r>
      <w:r w:rsidRPr="00F206C3">
        <w:rPr>
          <w:rFonts w:ascii="Verdana" w:hAnsi="Verdana"/>
          <w:sz w:val="14"/>
          <w:szCs w:val="14"/>
        </w:rPr>
        <w:t xml:space="preserve"> Consejo de Estado. </w:t>
      </w:r>
      <w:r>
        <w:rPr>
          <w:rFonts w:ascii="Verdana" w:hAnsi="Verdana"/>
          <w:sz w:val="14"/>
          <w:szCs w:val="14"/>
        </w:rPr>
        <w:t xml:space="preserve">Sala de lo Contencioso Administrativo. </w:t>
      </w:r>
      <w:r w:rsidRPr="00F206C3">
        <w:rPr>
          <w:rFonts w:ascii="Verdana" w:hAnsi="Verdana"/>
          <w:sz w:val="14"/>
          <w:szCs w:val="14"/>
        </w:rPr>
        <w:t>Sección Tercera. Sentencia del 27 de abril de 2011. Exp. 18.293. C.P. Ruth Stella Correa Palacio.</w:t>
      </w:r>
    </w:p>
  </w:footnote>
  <w:footnote w:id="3">
    <w:p w14:paraId="414DDC1E" w14:textId="77777777" w:rsidR="003F6F5B" w:rsidRDefault="003F6F5B" w:rsidP="003F6F5B">
      <w:pPr>
        <w:pStyle w:val="Textonotapie"/>
        <w:ind w:firstLine="708"/>
        <w:jc w:val="both"/>
        <w:rPr>
          <w:rFonts w:ascii="Verdana" w:hAnsi="Verdana"/>
          <w:sz w:val="16"/>
          <w:szCs w:val="16"/>
        </w:rPr>
      </w:pPr>
    </w:p>
    <w:p w14:paraId="630244BC" w14:textId="77777777" w:rsidR="003F6F5B" w:rsidRPr="009E70B6" w:rsidRDefault="003F6F5B" w:rsidP="003F6F5B">
      <w:pPr>
        <w:pStyle w:val="Textonotapie"/>
        <w:ind w:firstLine="708"/>
        <w:jc w:val="both"/>
        <w:rPr>
          <w:rFonts w:ascii="Verdana" w:hAnsi="Verdana"/>
          <w:sz w:val="14"/>
          <w:szCs w:val="14"/>
        </w:rPr>
      </w:pPr>
      <w:r w:rsidRPr="009E70B6">
        <w:rPr>
          <w:rStyle w:val="Refdenotaalpie"/>
          <w:rFonts w:ascii="Verdana" w:hAnsi="Verdana"/>
          <w:sz w:val="14"/>
          <w:szCs w:val="14"/>
        </w:rPr>
        <w:footnoteRef/>
      </w:r>
      <w:r w:rsidRPr="009E70B6">
        <w:rPr>
          <w:rFonts w:ascii="Verdana" w:hAnsi="Verdana"/>
          <w:sz w:val="14"/>
          <w:szCs w:val="14"/>
        </w:rPr>
        <w:t xml:space="preserve"> Consejo de Estado. </w:t>
      </w:r>
      <w:r>
        <w:rPr>
          <w:rFonts w:ascii="Verdana" w:hAnsi="Verdana"/>
          <w:sz w:val="14"/>
          <w:szCs w:val="14"/>
        </w:rPr>
        <w:t xml:space="preserve">Sala de lo Contencioso Administrativo, </w:t>
      </w:r>
      <w:r w:rsidRPr="009E70B6">
        <w:rPr>
          <w:rFonts w:ascii="Verdana" w:hAnsi="Verdana"/>
          <w:sz w:val="14"/>
          <w:szCs w:val="14"/>
        </w:rPr>
        <w:t>Sección Tercera. Sentencia del 21 de noviembre de 2013 Exp. 25397. C.P. Carlos Alberto Zambrano Barrera.</w:t>
      </w:r>
    </w:p>
    <w:p w14:paraId="6913D854" w14:textId="77777777" w:rsidR="003F6F5B" w:rsidRPr="009E70B6" w:rsidRDefault="003F6F5B" w:rsidP="003F6F5B">
      <w:pPr>
        <w:pStyle w:val="Textonotapie"/>
        <w:ind w:firstLine="708"/>
        <w:jc w:val="both"/>
        <w:rPr>
          <w:rFonts w:ascii="Verdana" w:hAnsi="Verdana"/>
          <w:sz w:val="14"/>
          <w:szCs w:val="14"/>
          <w:lang w:val="es-CO"/>
        </w:rPr>
      </w:pPr>
    </w:p>
  </w:footnote>
  <w:footnote w:id="4">
    <w:p w14:paraId="395F0E45" w14:textId="77777777" w:rsidR="003F6F5B" w:rsidRPr="005D75B6" w:rsidRDefault="003F6F5B" w:rsidP="003F6F5B">
      <w:pPr>
        <w:pStyle w:val="Textonotapie"/>
        <w:ind w:firstLine="708"/>
        <w:jc w:val="both"/>
        <w:rPr>
          <w:rFonts w:ascii="Arial" w:hAnsi="Arial" w:cs="Arial"/>
          <w:sz w:val="18"/>
          <w:szCs w:val="18"/>
        </w:rPr>
      </w:pPr>
      <w:r w:rsidRPr="005D75B6">
        <w:rPr>
          <w:rStyle w:val="Refdenotaalpie"/>
          <w:rFonts w:ascii="Arial" w:hAnsi="Arial" w:cs="Arial"/>
          <w:sz w:val="18"/>
          <w:szCs w:val="18"/>
        </w:rPr>
        <w:footnoteRef/>
      </w:r>
      <w:r w:rsidRPr="005D75B6">
        <w:rPr>
          <w:rFonts w:ascii="Arial" w:hAnsi="Arial" w:cs="Arial"/>
          <w:sz w:val="18"/>
          <w:szCs w:val="18"/>
        </w:rPr>
        <w:t xml:space="preserve"> Cfr. CONSEJO DE ESTADO. Sección Tercera. Subsección B. Sentencia del 5 de agosto de 2019, Rad. 45118. C.P. Alberto Montaña Plata. Asimismo, ha explicado que “[…] sería inadmisible sostener que la entidad estatal contratante tuviere el deber de adjudicar el procedimiento administrativo de selección a una determinada oferta a sabiendas de que, aunque en apariencia tendría las mejores condiciones, en realidad sería, por su contenido, total o parcialmente, una propuesta mentirosa, fraudulenta, engañosa o proveniente de un proponente que pretende sacar provecho o ventaja, frente a la entidad contratante y/o ante sus competidores, de la manipulación de información errónea, inexacta o falaz, tal como no resultaría válida, de ninguna manera, la adjudicación que se quisiera hacer recaer en un oferente que se encuentre incurso en una causal de inhabilidad o de incompatibilidad, por lo cual resulta plausible que en estos casos la entidad decida rechazar o excluir esa clase de ofertas, independientemente de que así lo haya previsto, o no, el correspondiente pliego de condiciones, decisión que, de todos modos, la entidad estatal contratante está en el deber de motivar de manera clara, precisa, completa y detallada. sí pues, cuando la entidad estatal contratante advierte la ocurrencia de falencias, inconsistencias, inexactitudes o contradicciones en las ofertas, le corresponde efectuar un ejercicio de interpretación para determinar si se trata de errores excusables, configurados en el marco de la Buena Fe, que no impiden la evaluación y comparación de tales propuestas, o si, por el contrario, se trata de errores inaceptables, inadmisibles, incompatibles con la ley y/o los postulados de la Buena Fe” (Subsección A. Sentencia del 3 de diciembre de 2007. Rad. 24059. C.P. Mauricio Fajardo Gómez).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551"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827985604">
    <w:abstractNumId w:val="10"/>
  </w:num>
  <w:num w:numId="18" w16cid:durableId="1548419692">
    <w:abstractNumId w:val="17"/>
  </w:num>
  <w:num w:numId="19" w16cid:durableId="1443304022">
    <w:abstractNumId w:val="4"/>
  </w:num>
  <w:num w:numId="20" w16cid:durableId="5010510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8A8"/>
    <w:rsid w:val="00046945"/>
    <w:rsid w:val="00061B2A"/>
    <w:rsid w:val="00082362"/>
    <w:rsid w:val="000A683E"/>
    <w:rsid w:val="000B19B9"/>
    <w:rsid w:val="000D0334"/>
    <w:rsid w:val="000D5DA7"/>
    <w:rsid w:val="000F6486"/>
    <w:rsid w:val="00116940"/>
    <w:rsid w:val="00125105"/>
    <w:rsid w:val="00127233"/>
    <w:rsid w:val="0015699B"/>
    <w:rsid w:val="001A33BF"/>
    <w:rsid w:val="001B64A5"/>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6B08"/>
    <w:rsid w:val="003C70E4"/>
    <w:rsid w:val="003D0F4D"/>
    <w:rsid w:val="003D5B0D"/>
    <w:rsid w:val="003E0499"/>
    <w:rsid w:val="003E4F80"/>
    <w:rsid w:val="003E6439"/>
    <w:rsid w:val="003E6EE0"/>
    <w:rsid w:val="003F3941"/>
    <w:rsid w:val="003F6F5B"/>
    <w:rsid w:val="00406575"/>
    <w:rsid w:val="00414C74"/>
    <w:rsid w:val="00416C6A"/>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91FFB"/>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6A54"/>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37E15"/>
    <w:rsid w:val="00D423A2"/>
    <w:rsid w:val="00D44E26"/>
    <w:rsid w:val="00D520D8"/>
    <w:rsid w:val="00D63AC2"/>
    <w:rsid w:val="00D7383B"/>
    <w:rsid w:val="00D7788A"/>
    <w:rsid w:val="00DA231B"/>
    <w:rsid w:val="00DC39FC"/>
    <w:rsid w:val="00DF5254"/>
    <w:rsid w:val="00DF6084"/>
    <w:rsid w:val="00E02524"/>
    <w:rsid w:val="00E16408"/>
    <w:rsid w:val="00E20894"/>
    <w:rsid w:val="00E245AB"/>
    <w:rsid w:val="00E2764C"/>
    <w:rsid w:val="00E27F2E"/>
    <w:rsid w:val="00E32C76"/>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3F6F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3F6F5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9C94110-2F0B-4D7B-8DE0-3DA7C74235F1}"/>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17</Pages>
  <Words>5762</Words>
  <Characters>31696</Characters>
  <Application>Microsoft Office Word</Application>
  <DocSecurity>0</DocSecurity>
  <Lines>264</Lines>
  <Paragraphs>74</Paragraphs>
  <ScaleCrop>false</ScaleCrop>
  <Company/>
  <LinksUpToDate>false</LinksUpToDate>
  <CharactersWithSpaces>37384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5</cp:revision>
  <cp:lastPrinted>2023-01-10T21:18:00Z</cp:lastPrinted>
  <dcterms:created xsi:type="dcterms:W3CDTF">2026-02-18T21:57:00Z</dcterms:created>
  <dcterms:modified xsi:type="dcterms:W3CDTF">2026-02-19T11:27:00Z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