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8E070" w14:textId="77777777" w:rsidR="00B45051" w:rsidRPr="00682C93" w:rsidRDefault="00B45051" w:rsidP="00B45051">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68B6E8C0" w14:textId="77777777" w:rsidR="00B45051" w:rsidRDefault="00B45051" w:rsidP="00B45051">
      <w:pPr>
        <w:spacing w:after="0" w:line="240" w:lineRule="auto"/>
        <w:jc w:val="both"/>
        <w:rPr>
          <w:rFonts w:ascii="Verdana" w:hAnsi="Verdana" w:cs="Arial"/>
          <w:b/>
          <w:lang w:val="es-MX" w:eastAsia="es-ES_tradnl"/>
        </w:rPr>
      </w:pPr>
    </w:p>
    <w:p w14:paraId="4C0BF334" w14:textId="77777777" w:rsidR="00B45051" w:rsidRDefault="00B45051" w:rsidP="00B45051">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017DE97C" w14:textId="77777777" w:rsidR="00B45051" w:rsidRPr="00682C93" w:rsidRDefault="00B45051" w:rsidP="00B45051">
      <w:pPr>
        <w:spacing w:after="0" w:line="240" w:lineRule="auto"/>
        <w:jc w:val="both"/>
        <w:rPr>
          <w:rFonts w:ascii="Verdana" w:hAnsi="Verdana" w:cs="Arial"/>
          <w:b/>
          <w:sz w:val="20"/>
          <w:lang w:val="es-MX" w:eastAsia="es-ES_tradnl"/>
        </w:rPr>
      </w:pPr>
    </w:p>
    <w:p w14:paraId="5672FA7C" w14:textId="31C14D9F" w:rsidR="00B45051" w:rsidRPr="00682C93" w:rsidRDefault="00B45051" w:rsidP="00B45051">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w:t>
      </w:r>
      <w:r w:rsidR="00820131">
        <w:rPr>
          <w:rFonts w:ascii="Verdana" w:hAnsi="Verdana" w:cs="Arial"/>
          <w:b/>
          <w:lang w:val="es-MX" w:eastAsia="es-ES_tradnl"/>
        </w:rPr>
        <w:t>C</w:t>
      </w:r>
      <w:r w:rsidRPr="00682C93">
        <w:rPr>
          <w:rFonts w:ascii="Verdana" w:hAnsi="Verdana" w:cs="Arial"/>
          <w:b/>
          <w:lang w:val="es-MX" w:eastAsia="es-ES_tradnl"/>
        </w:rPr>
        <w:t>elebración</w:t>
      </w:r>
      <w:r w:rsidR="00820131">
        <w:rPr>
          <w:rFonts w:ascii="Verdana" w:hAnsi="Verdana" w:cs="Arial"/>
          <w:b/>
          <w:lang w:val="es-MX" w:eastAsia="es-ES_tradnl"/>
        </w:rPr>
        <w:t xml:space="preserve"> </w:t>
      </w:r>
      <w:r w:rsidR="00820131" w:rsidRPr="00820131">
        <w:rPr>
          <w:rFonts w:ascii="Verdana" w:hAnsi="Verdana" w:cs="Arial"/>
          <w:b/>
          <w:bCs/>
          <w:lang w:val="es-ES" w:eastAsia="es-ES_tradnl"/>
        </w:rPr>
        <w:t>–</w:t>
      </w:r>
      <w:r w:rsidRPr="00682C93">
        <w:rPr>
          <w:rFonts w:ascii="Verdana" w:hAnsi="Verdana" w:cs="Arial"/>
          <w:b/>
          <w:lang w:val="es-MX" w:eastAsia="es-ES_tradnl"/>
        </w:rPr>
        <w:t xml:space="preserve"> </w:t>
      </w:r>
      <w:r w:rsidR="00820131">
        <w:rPr>
          <w:rFonts w:ascii="Verdana" w:hAnsi="Verdana" w:cs="Arial"/>
          <w:b/>
          <w:lang w:val="es-MX" w:eastAsia="es-ES_tradnl"/>
        </w:rPr>
        <w:t>L</w:t>
      </w:r>
      <w:r w:rsidRPr="00682C93">
        <w:rPr>
          <w:rFonts w:ascii="Verdana" w:hAnsi="Verdana" w:cs="Arial"/>
          <w:b/>
          <w:lang w:val="es-MX" w:eastAsia="es-ES_tradnl"/>
        </w:rPr>
        <w:t>ímite</w:t>
      </w:r>
    </w:p>
    <w:p w14:paraId="140048FB" w14:textId="77777777" w:rsidR="00B45051" w:rsidRDefault="00B45051" w:rsidP="00B45051">
      <w:pPr>
        <w:spacing w:after="0" w:line="240" w:lineRule="auto"/>
        <w:jc w:val="both"/>
        <w:rPr>
          <w:rFonts w:ascii="Verdana" w:hAnsi="Verdana" w:cs="Arial"/>
          <w:b/>
          <w:lang w:val="es-MX" w:eastAsia="es-ES_tradnl"/>
        </w:rPr>
      </w:pPr>
    </w:p>
    <w:p w14:paraId="69FC93A2" w14:textId="77777777" w:rsidR="00B45051" w:rsidRPr="00E41F23" w:rsidRDefault="00B45051" w:rsidP="00B45051">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9B88E83" w14:textId="77777777" w:rsidR="00B45051" w:rsidRPr="00E41F23" w:rsidRDefault="00B45051" w:rsidP="00B45051">
      <w:pPr>
        <w:spacing w:after="0" w:line="240" w:lineRule="auto"/>
        <w:jc w:val="both"/>
        <w:rPr>
          <w:rFonts w:ascii="Verdana" w:eastAsia="Calibri" w:hAnsi="Verdana" w:cs="Arial"/>
          <w:sz w:val="20"/>
        </w:rPr>
      </w:pPr>
    </w:p>
    <w:p w14:paraId="583FF734" w14:textId="77777777" w:rsidR="00B45051" w:rsidRDefault="00B45051" w:rsidP="00B45051">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28FB67E6" w14:textId="77777777" w:rsidR="00B45051" w:rsidRPr="00E41F23" w:rsidRDefault="00B45051" w:rsidP="00B45051">
      <w:pPr>
        <w:widowControl w:val="0"/>
        <w:autoSpaceDE w:val="0"/>
        <w:autoSpaceDN w:val="0"/>
        <w:spacing w:after="0" w:line="240" w:lineRule="auto"/>
        <w:ind w:right="113"/>
        <w:jc w:val="both"/>
        <w:rPr>
          <w:rFonts w:ascii="Verdana" w:eastAsia="Arial" w:hAnsi="Verdana" w:cs="Arial"/>
          <w:sz w:val="20"/>
          <w:lang w:val="es-ES" w:eastAsia="es-ES" w:bidi="es-ES"/>
        </w:rPr>
      </w:pPr>
    </w:p>
    <w:p w14:paraId="4FCDAC82" w14:textId="77777777" w:rsidR="00B45051" w:rsidRPr="00E41F23" w:rsidRDefault="00B45051" w:rsidP="00B45051">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205FDBC8" w14:textId="77777777" w:rsidR="00B45051" w:rsidRPr="003F2A9C" w:rsidRDefault="00B45051" w:rsidP="00B45051">
      <w:pPr>
        <w:spacing w:after="0" w:line="240" w:lineRule="auto"/>
        <w:jc w:val="both"/>
        <w:rPr>
          <w:rFonts w:ascii="Verdana" w:hAnsi="Verdana" w:cs="Arial"/>
          <w:b/>
          <w:sz w:val="20"/>
          <w:lang w:val="es-MX" w:eastAsia="es-ES_tradnl"/>
        </w:rPr>
      </w:pPr>
    </w:p>
    <w:p w14:paraId="187F585B" w14:textId="77777777" w:rsidR="00B45051" w:rsidRPr="00682C93" w:rsidRDefault="00B45051" w:rsidP="00B45051">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686D6696" w14:textId="77777777" w:rsidR="00B45051" w:rsidRDefault="00B45051" w:rsidP="00B45051">
      <w:pPr>
        <w:spacing w:after="0" w:line="240" w:lineRule="auto"/>
        <w:jc w:val="both"/>
        <w:rPr>
          <w:rFonts w:ascii="Verdana" w:hAnsi="Verdana" w:cs="Arial"/>
          <w:b/>
          <w:lang w:val="es-MX" w:eastAsia="es-ES_tradnl"/>
        </w:rPr>
      </w:pPr>
    </w:p>
    <w:p w14:paraId="480565ED" w14:textId="77777777" w:rsidR="00B45051" w:rsidRPr="00E41F23" w:rsidRDefault="00B45051" w:rsidP="00B45051">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12242259" w14:textId="77777777" w:rsidR="00B45051" w:rsidRPr="00E41F23" w:rsidRDefault="00B45051" w:rsidP="00B45051">
      <w:pPr>
        <w:spacing w:after="0" w:line="240" w:lineRule="auto"/>
        <w:jc w:val="both"/>
        <w:rPr>
          <w:rFonts w:ascii="Verdana" w:hAnsi="Verdana" w:cs="Arial"/>
          <w:b/>
          <w:lang w:eastAsia="es-ES_tradnl"/>
        </w:rPr>
      </w:pPr>
    </w:p>
    <w:p w14:paraId="0F465D5E" w14:textId="77777777" w:rsidR="00B45051" w:rsidRPr="00682C93" w:rsidRDefault="00B45051" w:rsidP="00B45051">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197898FF" w14:textId="77777777" w:rsidR="00B45051" w:rsidRPr="00E41F23" w:rsidRDefault="00B45051" w:rsidP="00B45051">
      <w:pPr>
        <w:spacing w:after="0" w:line="240" w:lineRule="auto"/>
        <w:jc w:val="both"/>
        <w:rPr>
          <w:rFonts w:ascii="Verdana" w:hAnsi="Verdana" w:cs="Arial"/>
          <w:b/>
          <w:sz w:val="20"/>
          <w:lang w:val="es-MX" w:eastAsia="es-ES_tradnl"/>
        </w:rPr>
      </w:pPr>
    </w:p>
    <w:p w14:paraId="42922ACE" w14:textId="77777777" w:rsidR="00B45051" w:rsidRPr="00E41F23" w:rsidRDefault="00B45051" w:rsidP="00B45051">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E41F23">
        <w:rPr>
          <w:rFonts w:ascii="Verdana" w:eastAsia="Times New Roman" w:hAnsi="Verdana" w:cs="Arial"/>
          <w:bCs/>
          <w:sz w:val="20"/>
          <w:lang w:val="es-MX" w:eastAsia="x-none"/>
        </w:rPr>
        <w:t>ii</w:t>
      </w:r>
      <w:proofErr w:type="spellEnd"/>
      <w:r w:rsidRPr="00E41F23">
        <w:rPr>
          <w:rFonts w:ascii="Verdana" w:eastAsia="Times New Roman" w:hAnsi="Verdana" w:cs="Arial"/>
          <w:bCs/>
          <w:sz w:val="20"/>
          <w:lang w:val="es-MX" w:eastAsia="x-none"/>
        </w:rPr>
        <w:t xml:space="preserve">) los contratos de crédito público; </w:t>
      </w:r>
      <w:proofErr w:type="spellStart"/>
      <w:r w:rsidRPr="00E41F23">
        <w:rPr>
          <w:rFonts w:ascii="Verdana" w:eastAsia="Times New Roman" w:hAnsi="Verdana" w:cs="Arial"/>
          <w:bCs/>
          <w:sz w:val="20"/>
          <w:lang w:val="es-MX" w:eastAsia="x-none"/>
        </w:rPr>
        <w:t>iii</w:t>
      </w:r>
      <w:proofErr w:type="spellEnd"/>
      <w:r w:rsidRPr="00E41F23">
        <w:rPr>
          <w:rFonts w:ascii="Verdana" w:eastAsia="Times New Roman" w:hAnsi="Verdana" w:cs="Arial"/>
          <w:bCs/>
          <w:sz w:val="20"/>
          <w:lang w:val="es-MX" w:eastAsia="x-none"/>
        </w:rPr>
        <w:t xml:space="preserve">) los requeridos para cubrir las emergencias educativas, sanitarias y desastres; </w:t>
      </w:r>
      <w:proofErr w:type="spellStart"/>
      <w:r w:rsidRPr="00E41F23">
        <w:rPr>
          <w:rFonts w:ascii="Verdana" w:eastAsia="Times New Roman" w:hAnsi="Verdana" w:cs="Arial"/>
          <w:bCs/>
          <w:sz w:val="20"/>
          <w:lang w:val="es-MX" w:eastAsia="x-none"/>
        </w:rPr>
        <w:t>iv</w:t>
      </w:r>
      <w:proofErr w:type="spellEnd"/>
      <w:r w:rsidRPr="00E41F23">
        <w:rPr>
          <w:rFonts w:ascii="Verdana" w:eastAsia="Times New Roman" w:hAnsi="Verdana" w:cs="Arial"/>
          <w:bCs/>
          <w:sz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C80F534" w14:textId="77777777" w:rsidR="00B45051" w:rsidRPr="00682C93" w:rsidRDefault="00B45051" w:rsidP="00B45051">
      <w:pPr>
        <w:spacing w:after="0" w:line="240" w:lineRule="auto"/>
        <w:jc w:val="both"/>
        <w:rPr>
          <w:rFonts w:ascii="Verdana" w:hAnsi="Verdana" w:cs="Arial"/>
          <w:b/>
          <w:lang w:val="es-MX" w:eastAsia="es-ES_tradnl"/>
        </w:rPr>
      </w:pPr>
    </w:p>
    <w:p w14:paraId="7A4BB9F5" w14:textId="77777777" w:rsidR="00B45051" w:rsidRPr="00682C93" w:rsidRDefault="00B45051" w:rsidP="00B45051">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4629E5C3" w14:textId="77777777" w:rsidR="00B45051" w:rsidRDefault="00B45051" w:rsidP="00B45051">
      <w:pPr>
        <w:spacing w:after="0" w:line="240" w:lineRule="auto"/>
        <w:rPr>
          <w:rFonts w:ascii="Verdana" w:hAnsi="Verdana" w:cs="Arial"/>
          <w:lang w:val="es-MX" w:eastAsia="es-ES_tradnl"/>
        </w:rPr>
      </w:pPr>
    </w:p>
    <w:p w14:paraId="50604A1F" w14:textId="77777777" w:rsidR="00B45051" w:rsidRDefault="00B45051" w:rsidP="00B45051">
      <w:pPr>
        <w:spacing w:after="0" w:line="240" w:lineRule="auto"/>
        <w:jc w:val="both"/>
        <w:rPr>
          <w:rFonts w:ascii="Verdana" w:eastAsia="Calibri" w:hAnsi="Verdana" w:cs="Arial"/>
          <w:sz w:val="20"/>
          <w:lang w:val="es-MX"/>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E41F23">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sz w:val="20"/>
          <w:lang w:val="es-MX"/>
        </w:rPr>
        <w:t>.</w:t>
      </w:r>
    </w:p>
    <w:p w14:paraId="190870C3" w14:textId="1563806E" w:rsidR="00B45051" w:rsidRDefault="00B45051" w:rsidP="00B45051">
      <w:pPr>
        <w:spacing w:after="0"/>
        <w:rPr>
          <w:rFonts w:ascii="Verdana" w:hAnsi="Verdana"/>
          <w:lang w:val="es-MX"/>
        </w:rPr>
      </w:pPr>
    </w:p>
    <w:p w14:paraId="4081A8B7" w14:textId="77777777" w:rsidR="00B45051" w:rsidRPr="00B45051" w:rsidRDefault="00B45051" w:rsidP="00B45051">
      <w:pPr>
        <w:spacing w:after="0" w:line="240" w:lineRule="auto"/>
        <w:jc w:val="both"/>
        <w:rPr>
          <w:rFonts w:ascii="Verdana" w:hAnsi="Verdana"/>
          <w:b/>
          <w:lang w:val="es-MX"/>
        </w:rPr>
      </w:pPr>
      <w:r w:rsidRPr="00B45051">
        <w:rPr>
          <w:rFonts w:ascii="Verdana" w:hAnsi="Verdana"/>
          <w:b/>
          <w:lang w:val="es-MX"/>
        </w:rPr>
        <w:t xml:space="preserve">LEY DE GARANTÍAS ELECTORALES – Contratos y convenios interadministrativos – Criterio orgánico </w:t>
      </w:r>
    </w:p>
    <w:p w14:paraId="39B3696B" w14:textId="21618512" w:rsidR="00B45051" w:rsidRPr="007F019B" w:rsidRDefault="00B45051" w:rsidP="007F019B">
      <w:pPr>
        <w:spacing w:after="0" w:line="240" w:lineRule="auto"/>
        <w:jc w:val="both"/>
        <w:rPr>
          <w:rFonts w:ascii="Verdana" w:hAnsi="Verdana"/>
          <w:sz w:val="20"/>
          <w:lang w:val="es-MX"/>
        </w:rPr>
      </w:pPr>
    </w:p>
    <w:p w14:paraId="15F3C341" w14:textId="3F59569B" w:rsidR="007F019B" w:rsidRDefault="007F019B" w:rsidP="007F019B">
      <w:pPr>
        <w:spacing w:after="0" w:line="240" w:lineRule="auto"/>
        <w:jc w:val="both"/>
        <w:rPr>
          <w:rFonts w:ascii="Verdana" w:hAnsi="Verdana"/>
          <w:sz w:val="20"/>
          <w:lang w:val="es-MX"/>
        </w:rPr>
      </w:pPr>
      <w:r w:rsidRPr="007F019B">
        <w:rPr>
          <w:rFonts w:ascii="Verdana" w:hAnsi="Verdana"/>
          <w:sz w:val="20"/>
          <w:lang w:val="es-ES"/>
        </w:rPr>
        <w:t xml:space="preserve">Ahora bien, respecto del alcance del parágrafo </w:t>
      </w:r>
      <w:r w:rsidRPr="007F019B">
        <w:rPr>
          <w:rFonts w:ascii="Verdana" w:hAnsi="Verdana"/>
          <w:sz w:val="20"/>
        </w:rPr>
        <w:t xml:space="preserve">del artículo 38 de la Ley 996 de 2005, esta prohibición dispone en primera medida que: “[l]os Gobernadores, </w:t>
      </w:r>
      <w:proofErr w:type="gramStart"/>
      <w:r w:rsidRPr="007F019B">
        <w:rPr>
          <w:rFonts w:ascii="Verdana" w:hAnsi="Verdana"/>
          <w:sz w:val="20"/>
        </w:rPr>
        <w:t>Alcaldes</w:t>
      </w:r>
      <w:proofErr w:type="gramEnd"/>
      <w:r w:rsidRPr="007F019B">
        <w:rPr>
          <w:rFonts w:ascii="Verdana" w:hAnsi="Verdana"/>
          <w:sz w:val="20"/>
        </w:rPr>
        <w:t xml:space="preserve"> Municipales y/o Distritales, </w:t>
      </w:r>
      <w:proofErr w:type="gramStart"/>
      <w:r w:rsidRPr="007F019B">
        <w:rPr>
          <w:rFonts w:ascii="Verdana" w:hAnsi="Verdana"/>
          <w:sz w:val="20"/>
        </w:rPr>
        <w:t>Secretarios</w:t>
      </w:r>
      <w:proofErr w:type="gramEnd"/>
      <w:r w:rsidRPr="007F019B">
        <w:rPr>
          <w:rFonts w:ascii="Verdana" w:hAnsi="Verdana"/>
          <w:sz w:val="20"/>
        </w:rPr>
        <w:t xml:space="preserve">, Gerentes y directores de Entidades Descentralizadas del orden Municipal, Departamental o Distrital, dentro de los cuatro (4) meses anteriores a las elecciones, no podrán celebrar </w:t>
      </w:r>
      <w:r w:rsidRPr="007F019B">
        <w:rPr>
          <w:rFonts w:ascii="Verdana" w:hAnsi="Verdana"/>
          <w:i/>
          <w:iCs/>
          <w:sz w:val="20"/>
        </w:rPr>
        <w:t>convenios interadministrativos</w:t>
      </w:r>
      <w:r w:rsidRPr="007F019B">
        <w:rPr>
          <w:rFonts w:ascii="Verdana" w:hAnsi="Verdana"/>
          <w:sz w:val="20"/>
        </w:rPr>
        <w:t xml:space="preserve"> </w:t>
      </w:r>
      <w:r w:rsidRPr="007F019B">
        <w:rPr>
          <w:rFonts w:ascii="Verdana" w:hAnsi="Verdana"/>
          <w:i/>
          <w:iCs/>
          <w:sz w:val="20"/>
        </w:rPr>
        <w:t>para la ejecución de recursos públicos</w:t>
      </w:r>
      <w:r w:rsidRPr="007F019B">
        <w:rPr>
          <w:rFonts w:ascii="Verdana" w:hAnsi="Verdana"/>
          <w:sz w:val="20"/>
        </w:rPr>
        <w:t>”.</w:t>
      </w:r>
      <w:r w:rsidRPr="007F019B">
        <w:rPr>
          <w:rFonts w:ascii="Verdana" w:hAnsi="Verdana"/>
          <w:sz w:val="20"/>
          <w:lang w:val="es-MX"/>
        </w:rPr>
        <w:t xml:space="preserve"> [Énfasis fuera del texto original]</w:t>
      </w:r>
    </w:p>
    <w:p w14:paraId="615C57C4" w14:textId="77777777" w:rsidR="007F019B" w:rsidRPr="007F019B" w:rsidRDefault="007F019B" w:rsidP="007F019B">
      <w:pPr>
        <w:spacing w:after="0" w:line="240" w:lineRule="auto"/>
        <w:jc w:val="both"/>
        <w:rPr>
          <w:rFonts w:ascii="Verdana" w:hAnsi="Verdana"/>
          <w:sz w:val="20"/>
          <w:lang w:val="es-ES"/>
        </w:rPr>
      </w:pPr>
    </w:p>
    <w:p w14:paraId="439659D9" w14:textId="5C955311" w:rsidR="007F019B" w:rsidRDefault="007F019B" w:rsidP="007F019B">
      <w:pPr>
        <w:spacing w:after="0" w:line="240" w:lineRule="auto"/>
        <w:jc w:val="both"/>
        <w:rPr>
          <w:rFonts w:ascii="Verdana" w:hAnsi="Verdana"/>
          <w:sz w:val="20"/>
        </w:rPr>
      </w:pPr>
      <w:r w:rsidRPr="007F019B">
        <w:rPr>
          <w:rFonts w:ascii="Verdana" w:hAnsi="Verdana"/>
          <w:sz w:val="20"/>
          <w:lang w:val="es-ES"/>
        </w:rPr>
        <w:t xml:space="preserve">Para tales efectos, debe precisarse que los contratos o convenios interadministrativos están determinados por un criterio orgánico, pues es necesario que los extremos de la relación contractual sean entidades públicas, </w:t>
      </w:r>
      <w:r w:rsidRPr="007F019B">
        <w:rPr>
          <w:rFonts w:ascii="Verdana" w:hAnsi="Verdana"/>
          <w:sz w:val="20"/>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67A08957" w14:textId="77777777" w:rsidR="007F019B" w:rsidRPr="007F019B" w:rsidRDefault="007F019B" w:rsidP="007F019B">
      <w:pPr>
        <w:spacing w:after="0" w:line="240" w:lineRule="auto"/>
        <w:jc w:val="both"/>
        <w:rPr>
          <w:rFonts w:ascii="Verdana" w:hAnsi="Verdana"/>
          <w:sz w:val="20"/>
        </w:rPr>
      </w:pPr>
    </w:p>
    <w:p w14:paraId="7A01AD60" w14:textId="77777777" w:rsidR="007F019B" w:rsidRPr="007F019B" w:rsidRDefault="007F019B" w:rsidP="007F019B">
      <w:pPr>
        <w:spacing w:after="0" w:line="240" w:lineRule="auto"/>
        <w:jc w:val="both"/>
        <w:rPr>
          <w:rFonts w:ascii="Verdana" w:hAnsi="Verdana"/>
          <w:sz w:val="20"/>
          <w:lang w:val="es-ES_tradnl"/>
        </w:rPr>
      </w:pPr>
      <w:r w:rsidRPr="007F019B">
        <w:rPr>
          <w:rFonts w:ascii="Verdana" w:hAnsi="Verdana"/>
          <w:sz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353AB6F1" w14:textId="77777777" w:rsidR="007F019B" w:rsidRPr="007F019B" w:rsidRDefault="007F019B" w:rsidP="00B45051">
      <w:pPr>
        <w:spacing w:after="0" w:line="240" w:lineRule="auto"/>
        <w:jc w:val="both"/>
        <w:rPr>
          <w:rFonts w:ascii="Verdana" w:hAnsi="Verdana"/>
          <w:b/>
          <w:lang w:val="es-ES_tradnl"/>
        </w:rPr>
      </w:pPr>
    </w:p>
    <w:p w14:paraId="14D74D26" w14:textId="77777777" w:rsidR="00B45051" w:rsidRPr="00B45051" w:rsidRDefault="00B45051" w:rsidP="00B45051">
      <w:pPr>
        <w:spacing w:after="0" w:line="240" w:lineRule="auto"/>
        <w:jc w:val="both"/>
        <w:rPr>
          <w:rFonts w:ascii="Verdana" w:hAnsi="Verdana"/>
          <w:b/>
          <w:lang w:val="es-MX"/>
        </w:rPr>
      </w:pPr>
      <w:r w:rsidRPr="00B45051">
        <w:rPr>
          <w:rFonts w:ascii="Verdana" w:hAnsi="Verdana"/>
          <w:b/>
          <w:lang w:val="es-MX"/>
        </w:rPr>
        <w:t xml:space="preserve">LEY DE GARANTÍAS ELECTORALES –Restricción- Convenios interadministrativos – Postura del Consejo de Estado </w:t>
      </w:r>
    </w:p>
    <w:p w14:paraId="131E40EC" w14:textId="5D3EB87A" w:rsidR="00B45051" w:rsidRDefault="00B45051" w:rsidP="007F019B">
      <w:pPr>
        <w:spacing w:after="0" w:line="240" w:lineRule="auto"/>
        <w:jc w:val="both"/>
        <w:rPr>
          <w:rFonts w:ascii="Verdana" w:hAnsi="Verdana"/>
          <w:b/>
          <w:lang w:val="es-MX"/>
        </w:rPr>
      </w:pPr>
    </w:p>
    <w:p w14:paraId="62197CDE" w14:textId="77777777" w:rsidR="007F019B" w:rsidRDefault="007F019B" w:rsidP="007F019B">
      <w:pPr>
        <w:spacing w:after="0" w:line="240" w:lineRule="auto"/>
        <w:jc w:val="both"/>
        <w:rPr>
          <w:rFonts w:ascii="Verdana" w:hAnsi="Verdana"/>
          <w:i/>
          <w:iCs/>
          <w:sz w:val="20"/>
        </w:rPr>
      </w:pPr>
      <w:r w:rsidRPr="007F019B">
        <w:rPr>
          <w:rFonts w:ascii="Verdana" w:hAnsi="Verdana"/>
          <w:sz w:val="20"/>
          <w:lang w:val="es-MX"/>
        </w:rPr>
        <w:t xml:space="preserve">De conformidad con los argumentos de dicha providencia, se parte de la distinción entre los conceptos </w:t>
      </w:r>
      <w:r w:rsidRPr="007F019B">
        <w:rPr>
          <w:rFonts w:ascii="Verdana" w:hAnsi="Verdana"/>
          <w:sz w:val="20"/>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7F019B">
        <w:rPr>
          <w:rFonts w:ascii="Verdana" w:hAnsi="Verdana"/>
          <w:i/>
          <w:iCs/>
          <w:sz w:val="20"/>
        </w:rPr>
        <w:t xml:space="preserve">“si el legislador no diferenció al establecer la prohibición o la restricción, mal haría el reglamento en aplicar un efecto expansivo o extensivo para incluir una categoría no cobijada con la limitación, (…)”. </w:t>
      </w:r>
      <w:r w:rsidRPr="007F019B">
        <w:rPr>
          <w:rFonts w:ascii="Verdana" w:hAnsi="Verdana"/>
          <w:sz w:val="20"/>
        </w:rPr>
        <w:t xml:space="preserve">Por tal motivo, para efectos de decretar la medida de suspensión provisional de los apartes señalados del numeral 16.2 de la Circular Externa Única, argumentó que </w:t>
      </w:r>
      <w:r w:rsidRPr="007F019B">
        <w:rPr>
          <w:rFonts w:ascii="Verdana" w:hAnsi="Verdana"/>
          <w:i/>
          <w:iCs/>
          <w:sz w:val="20"/>
        </w:rPr>
        <w:t xml:space="preserve">“con independencia del propósito loable o plausible de la disposición ya que, procura que no se usen los recursos estatales para incidir o afectar la contienda electoral, no cabe duda de que la entidad demandada incorporó en la </w:t>
      </w:r>
      <w:r w:rsidRPr="007F019B">
        <w:rPr>
          <w:rFonts w:ascii="Verdana" w:hAnsi="Verdana"/>
          <w:i/>
          <w:iCs/>
          <w:sz w:val="20"/>
        </w:rPr>
        <w:lastRenderedPageBreak/>
        <w:t>prohibición una categoría que no quedó comprendida expresa e inequívocamente en la ley</w:t>
      </w:r>
      <w:r w:rsidRPr="007F019B">
        <w:rPr>
          <w:rFonts w:ascii="Verdana" w:hAnsi="Verdana"/>
          <w:sz w:val="20"/>
        </w:rPr>
        <w:t>”</w:t>
      </w:r>
      <w:r w:rsidRPr="007F019B">
        <w:rPr>
          <w:rFonts w:ascii="Verdana" w:hAnsi="Verdana"/>
          <w:i/>
          <w:iCs/>
          <w:sz w:val="20"/>
        </w:rPr>
        <w:t>.</w:t>
      </w:r>
    </w:p>
    <w:p w14:paraId="0B84509A" w14:textId="0AAE770A" w:rsidR="007F019B" w:rsidRPr="007F019B" w:rsidRDefault="007F019B" w:rsidP="007F019B">
      <w:pPr>
        <w:spacing w:after="0" w:line="240" w:lineRule="auto"/>
        <w:jc w:val="both"/>
        <w:rPr>
          <w:rFonts w:ascii="Verdana" w:hAnsi="Verdana"/>
          <w:i/>
          <w:iCs/>
          <w:sz w:val="20"/>
        </w:rPr>
      </w:pPr>
      <w:r w:rsidRPr="007F019B">
        <w:rPr>
          <w:rFonts w:ascii="Verdana" w:hAnsi="Verdana"/>
          <w:i/>
          <w:iCs/>
          <w:sz w:val="20"/>
        </w:rPr>
        <w:t xml:space="preserve"> </w:t>
      </w:r>
    </w:p>
    <w:p w14:paraId="6E14CE47" w14:textId="54F5C0EC" w:rsidR="007F019B" w:rsidRDefault="007F019B" w:rsidP="007F019B">
      <w:pPr>
        <w:spacing w:after="0" w:line="240" w:lineRule="auto"/>
        <w:jc w:val="both"/>
        <w:rPr>
          <w:rFonts w:ascii="Verdana" w:hAnsi="Verdana"/>
          <w:sz w:val="20"/>
        </w:rPr>
      </w:pPr>
      <w:r w:rsidRPr="007F019B">
        <w:rPr>
          <w:rFonts w:ascii="Verdana" w:hAnsi="Verdana"/>
          <w:sz w:val="20"/>
        </w:rPr>
        <w:t>De igual manera, mediante auto del 6 de noviembre de 2025, el Consejo de Estado, Subsección A de la Sección Tercera, decretó</w:t>
      </w:r>
      <w:r w:rsidRPr="007F019B">
        <w:rPr>
          <w:rFonts w:ascii="Verdana" w:hAnsi="Verdana"/>
          <w:bCs/>
          <w:sz w:val="20"/>
        </w:rPr>
        <w:t xml:space="preserve"> </w:t>
      </w:r>
      <w:r w:rsidRPr="007F019B">
        <w:rPr>
          <w:rFonts w:ascii="Verdana" w:hAnsi="Verdana"/>
          <w:sz w:val="20"/>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007F019B">
        <w:rPr>
          <w:rFonts w:ascii="Verdana" w:hAnsi="Verdana"/>
          <w:sz w:val="20"/>
        </w:rPr>
        <w:t>legis</w:t>
      </w:r>
      <w:proofErr w:type="spellEnd"/>
      <w:r w:rsidRPr="007F019B">
        <w:rPr>
          <w:rFonts w:ascii="Verdana" w:hAnsi="Verdana"/>
          <w:sz w:val="20"/>
        </w:rPr>
        <w:t xml:space="preserve"> o iuris y la interpretación extensiva y reiteró los argumentos sobre la diferencia entre contratos y convenios interadministrativos. </w:t>
      </w:r>
    </w:p>
    <w:p w14:paraId="72F70EB9" w14:textId="77777777" w:rsidR="007F019B" w:rsidRPr="007F019B" w:rsidRDefault="007F019B" w:rsidP="007F019B">
      <w:pPr>
        <w:spacing w:after="0" w:line="240" w:lineRule="auto"/>
        <w:jc w:val="both"/>
        <w:rPr>
          <w:rFonts w:ascii="Verdana" w:hAnsi="Verdana"/>
          <w:sz w:val="20"/>
        </w:rPr>
      </w:pPr>
    </w:p>
    <w:p w14:paraId="2F3A6BAF" w14:textId="77777777" w:rsidR="007F019B" w:rsidRPr="007F019B" w:rsidRDefault="007F019B" w:rsidP="007F019B">
      <w:pPr>
        <w:spacing w:after="0" w:line="240" w:lineRule="auto"/>
        <w:jc w:val="both"/>
        <w:rPr>
          <w:rFonts w:ascii="Verdana" w:hAnsi="Verdana"/>
          <w:sz w:val="20"/>
        </w:rPr>
      </w:pPr>
      <w:r w:rsidRPr="007F019B">
        <w:rPr>
          <w:rFonts w:ascii="Verdana" w:hAnsi="Verdana"/>
          <w:sz w:val="20"/>
        </w:rPr>
        <w:t xml:space="preserve">Finalmente, mediante sentencia del 17 de octubre de 2025, emitida por la Sección Tercera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4A3801A7" w14:textId="77777777" w:rsidR="007F019B" w:rsidRPr="007F019B" w:rsidRDefault="007F019B" w:rsidP="00B45051">
      <w:pPr>
        <w:spacing w:after="0" w:line="240" w:lineRule="auto"/>
        <w:jc w:val="both"/>
        <w:rPr>
          <w:rFonts w:ascii="Verdana" w:hAnsi="Verdana"/>
          <w:b/>
        </w:rPr>
      </w:pPr>
    </w:p>
    <w:p w14:paraId="6C4A1D7F" w14:textId="77777777" w:rsidR="00B45051" w:rsidRPr="00B45051" w:rsidRDefault="00B45051" w:rsidP="00B45051">
      <w:pPr>
        <w:spacing w:after="0" w:line="240" w:lineRule="auto"/>
        <w:jc w:val="both"/>
        <w:rPr>
          <w:rFonts w:ascii="Verdana" w:hAnsi="Verdana"/>
          <w:b/>
          <w:lang w:val="es-MX"/>
        </w:rPr>
      </w:pPr>
      <w:r w:rsidRPr="00B45051">
        <w:rPr>
          <w:rFonts w:ascii="Verdana" w:hAnsi="Verdana"/>
          <w:b/>
          <w:lang w:val="es-MX"/>
        </w:rPr>
        <w:t xml:space="preserve">CONTRATOS Y CONVENIOS INTERADMINISTRATIVOS – Diferencias </w:t>
      </w:r>
    </w:p>
    <w:p w14:paraId="0CEDA605" w14:textId="2918F533" w:rsidR="00B45051" w:rsidRPr="007F019B" w:rsidRDefault="00B45051" w:rsidP="00B45051">
      <w:pPr>
        <w:spacing w:after="0" w:line="240" w:lineRule="auto"/>
        <w:jc w:val="both"/>
        <w:rPr>
          <w:rFonts w:ascii="Verdana" w:hAnsi="Verdana"/>
          <w:sz w:val="20"/>
          <w:lang w:val="es-MX"/>
        </w:rPr>
      </w:pPr>
    </w:p>
    <w:p w14:paraId="3D837E78" w14:textId="68D9E399" w:rsidR="007F019B" w:rsidRPr="007F019B" w:rsidRDefault="007F019B" w:rsidP="00B45051">
      <w:pPr>
        <w:spacing w:after="0" w:line="240" w:lineRule="auto"/>
        <w:jc w:val="both"/>
        <w:rPr>
          <w:rFonts w:ascii="Verdana" w:hAnsi="Verdana"/>
          <w:sz w:val="20"/>
        </w:rPr>
      </w:pPr>
      <w:r w:rsidRPr="007F019B">
        <w:rPr>
          <w:rFonts w:ascii="Verdana" w:hAnsi="Verdana"/>
          <w:sz w:val="20"/>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09FD56B4" w14:textId="77777777" w:rsidR="007F019B" w:rsidRPr="00B45051" w:rsidRDefault="007F019B" w:rsidP="00B45051">
      <w:pPr>
        <w:spacing w:after="0" w:line="240" w:lineRule="auto"/>
        <w:jc w:val="both"/>
        <w:rPr>
          <w:rFonts w:ascii="Verdana" w:hAnsi="Verdana"/>
          <w:b/>
          <w:lang w:val="es-MX"/>
        </w:rPr>
      </w:pPr>
    </w:p>
    <w:p w14:paraId="2542A8FF" w14:textId="4086C04F" w:rsidR="00B45051" w:rsidRPr="00B45051" w:rsidRDefault="00B45051" w:rsidP="00B45051">
      <w:pPr>
        <w:spacing w:after="0" w:line="240" w:lineRule="auto"/>
        <w:jc w:val="both"/>
        <w:rPr>
          <w:rFonts w:ascii="Verdana" w:hAnsi="Verdana"/>
          <w:b/>
          <w:lang w:val="es-MX"/>
        </w:rPr>
      </w:pPr>
      <w:r w:rsidRPr="00B45051">
        <w:rPr>
          <w:rFonts w:ascii="Verdana" w:hAnsi="Verdana"/>
          <w:b/>
          <w:lang w:val="es-MX"/>
        </w:rPr>
        <w:t>CONTRATOS Y CONVENIOS INTERADMINISTRATIVOS – Resolución 574 de 2022 - Ley de Garantías – Restricción – Artículo 33 – Artículo 38.</w:t>
      </w:r>
    </w:p>
    <w:p w14:paraId="0C8C75B6" w14:textId="4621AF52" w:rsidR="00B45051" w:rsidRDefault="00B45051" w:rsidP="00B45051">
      <w:pPr>
        <w:spacing w:after="0"/>
        <w:rPr>
          <w:rFonts w:ascii="Verdana" w:hAnsi="Verdana"/>
          <w:lang w:val="es-MX"/>
        </w:rPr>
      </w:pPr>
    </w:p>
    <w:p w14:paraId="1CBEE1F8" w14:textId="76E5F70B" w:rsidR="007F019B" w:rsidRDefault="007F019B" w:rsidP="007F019B">
      <w:pPr>
        <w:spacing w:after="0" w:line="240" w:lineRule="auto"/>
        <w:jc w:val="both"/>
        <w:rPr>
          <w:rFonts w:ascii="Verdana" w:hAnsi="Verdana"/>
          <w:sz w:val="20"/>
        </w:rPr>
      </w:pPr>
      <w:r w:rsidRPr="007F019B">
        <w:rPr>
          <w:rFonts w:ascii="Verdana" w:hAnsi="Verdana"/>
          <w:sz w:val="20"/>
        </w:rPr>
        <w:t xml:space="preserve">En este contexto, se encuentra la Resolución 574 de 2022 del Ministerio de Vivienda, Ciudad y Territorio que regula que este organismo implementa el Programa de Conexiones Intradomiciliarias (PCI) de agua potable y saneamiento básico, seleccionando entre los municipios preseleccionados aquellos que serán intervenidos según los recursos disponibles, el interés de las entidades territoriales y la identificación de problemáticas de conectividad en barrios y centros poblados rurales. En esta etapa se acuerdan las condiciones de la contrapartida, conforme al artículo 2.3.4.4.8 del Decreto 1077 de 2015, y los compromisos de las partes, consignados en el convenio interadministrativo de cooperación regulado en el artículo 2.3.4.4.11 del mismo decreto. Además, pueden vincularse otras entidades que aporten apoyo técnico o financiero, </w:t>
      </w:r>
      <w:r w:rsidRPr="007F019B">
        <w:rPr>
          <w:rFonts w:ascii="Verdana" w:hAnsi="Verdana"/>
          <w:sz w:val="20"/>
        </w:rPr>
        <w:lastRenderedPageBreak/>
        <w:t>siendo obligación de las entidades territoriales contribuir en dinero o en especie, al menos con los costos de socialización del programa, en los términos definidos por el Ministerio.</w:t>
      </w:r>
    </w:p>
    <w:p w14:paraId="6F4352F6" w14:textId="77777777" w:rsidR="007F019B" w:rsidRPr="007F019B" w:rsidRDefault="007F019B" w:rsidP="007F019B">
      <w:pPr>
        <w:spacing w:after="0" w:line="240" w:lineRule="auto"/>
        <w:jc w:val="both"/>
        <w:rPr>
          <w:rFonts w:ascii="Verdana" w:hAnsi="Verdana"/>
          <w:sz w:val="20"/>
        </w:rPr>
      </w:pPr>
    </w:p>
    <w:p w14:paraId="1A7454F2" w14:textId="77777777" w:rsidR="007F019B" w:rsidRDefault="007F019B" w:rsidP="007F019B">
      <w:pPr>
        <w:spacing w:after="0" w:line="240" w:lineRule="auto"/>
        <w:jc w:val="both"/>
        <w:rPr>
          <w:rFonts w:ascii="Verdana" w:hAnsi="Verdana"/>
          <w:bCs/>
          <w:sz w:val="20"/>
          <w:lang w:val="es-MX"/>
        </w:rPr>
      </w:pPr>
      <w:r w:rsidRPr="007F019B">
        <w:rPr>
          <w:rFonts w:ascii="Verdana" w:hAnsi="Verdana"/>
          <w:sz w:val="20"/>
        </w:rPr>
        <w:t xml:space="preserve">Dichos convenios interadministrativos de cooperación que se adelantan con fundamento en estos programas se encuentran en la restricción del artículo 33 de la Ley 996 de 2005, al estar la restricción que </w:t>
      </w:r>
      <w:r w:rsidRPr="007F019B">
        <w:rPr>
          <w:rFonts w:ascii="Verdana" w:hAnsi="Verdana"/>
          <w:bCs/>
          <w:sz w:val="20"/>
          <w:lang w:val="es-MX"/>
        </w:rPr>
        <w:t>prohíbe adelantar cualquier modalidad de contratación bajo la figura de contratación directa, entendida como todo mecanismo no competitivo. Es decir, dicha restricción aplica en aquellos supuestos, en los que se pretenda celebrar convenios interadministrativos de cooperación de forma directa, que están sujetas a la restricción del artículo 33 de la Ley 996 de 2005. En este sentido, todos los entes del Estado, independiente del régimen jurídico aplicable, están sujetos a la restricción del artículo 33 de la Ley 996 de 2005, es decir, no podrán adelantar sistema que implique contratación directa respecto de las elecciones presidenciales, dentro de los cuatro (4) meses anteriores a la celebración de dichos comicios.</w:t>
      </w:r>
    </w:p>
    <w:p w14:paraId="61EFA941" w14:textId="70E4F412" w:rsidR="007F019B" w:rsidRPr="007F019B" w:rsidRDefault="007F019B" w:rsidP="007F019B">
      <w:pPr>
        <w:spacing w:after="0" w:line="240" w:lineRule="auto"/>
        <w:jc w:val="both"/>
        <w:rPr>
          <w:rFonts w:ascii="Verdana" w:hAnsi="Verdana"/>
          <w:bCs/>
          <w:sz w:val="20"/>
          <w:lang w:val="es-MX"/>
        </w:rPr>
      </w:pPr>
      <w:r w:rsidRPr="007F019B">
        <w:rPr>
          <w:rFonts w:ascii="Verdana" w:hAnsi="Verdana"/>
          <w:bCs/>
          <w:sz w:val="20"/>
          <w:lang w:val="es-MX"/>
        </w:rPr>
        <w:t xml:space="preserve"> </w:t>
      </w:r>
    </w:p>
    <w:p w14:paraId="423D0B5D" w14:textId="77777777" w:rsidR="007F019B" w:rsidRPr="007F019B" w:rsidRDefault="007F019B" w:rsidP="007F019B">
      <w:pPr>
        <w:spacing w:after="0" w:line="240" w:lineRule="auto"/>
        <w:jc w:val="both"/>
        <w:rPr>
          <w:rFonts w:ascii="Verdana" w:hAnsi="Verdana"/>
          <w:sz w:val="20"/>
        </w:rPr>
      </w:pPr>
      <w:r w:rsidRPr="007F019B">
        <w:rPr>
          <w:rFonts w:ascii="Verdana" w:hAnsi="Verdana"/>
          <w:sz w:val="20"/>
        </w:rPr>
        <w:t>De igual manera, resulta pertinente precisar que los convenios interadministrativos de cooperación suscritos entre entidades del orden nacional y las entidades territoriales —departamentos, distritos, municipios y entidades descentralizadas— se encuentran sujetos a la restricción prevista en el artículo 38 de la Ley 996 de 2005. Dicha disposición establece que la celebración de estos convenios por parte de alcaldes, gobernadores, secretarios, gerentes y directores de entidades del orden municipal, departamental o distrital debe observar las limitaciones allí señaladas, particularmente cuando se trate de convenios destinados a la ejecución de recursos públicos.</w:t>
      </w:r>
    </w:p>
    <w:p w14:paraId="154FC218" w14:textId="0CA09B09" w:rsidR="00B45051" w:rsidRDefault="00B45051" w:rsidP="00B45051">
      <w:pPr>
        <w:spacing w:after="0"/>
        <w:rPr>
          <w:rFonts w:ascii="Verdana" w:hAnsi="Verdana"/>
        </w:rPr>
      </w:pPr>
    </w:p>
    <w:p w14:paraId="086860EB" w14:textId="632DE51F" w:rsidR="007F019B" w:rsidRDefault="007F019B" w:rsidP="00B45051">
      <w:pPr>
        <w:spacing w:after="0"/>
        <w:rPr>
          <w:rFonts w:ascii="Verdana" w:hAnsi="Verdana"/>
        </w:rPr>
      </w:pPr>
    </w:p>
    <w:p w14:paraId="72BBB1E5" w14:textId="4C34B1EB" w:rsidR="007F019B" w:rsidRDefault="007F019B" w:rsidP="00B45051">
      <w:pPr>
        <w:spacing w:after="0"/>
        <w:rPr>
          <w:rFonts w:ascii="Verdana" w:hAnsi="Verdana"/>
        </w:rPr>
      </w:pPr>
    </w:p>
    <w:p w14:paraId="1C9A67BA" w14:textId="0341AA65" w:rsidR="007F019B" w:rsidRDefault="007F019B" w:rsidP="00B45051">
      <w:pPr>
        <w:spacing w:after="0"/>
        <w:rPr>
          <w:rFonts w:ascii="Verdana" w:hAnsi="Verdana"/>
        </w:rPr>
      </w:pPr>
    </w:p>
    <w:p w14:paraId="093295A0" w14:textId="45CC73BD" w:rsidR="007F019B" w:rsidRDefault="007F019B" w:rsidP="00B45051">
      <w:pPr>
        <w:spacing w:after="0"/>
        <w:rPr>
          <w:rFonts w:ascii="Verdana" w:hAnsi="Verdana"/>
        </w:rPr>
      </w:pPr>
    </w:p>
    <w:p w14:paraId="4F80FAD7" w14:textId="3E3F77BA" w:rsidR="007F019B" w:rsidRDefault="007F019B" w:rsidP="00B45051">
      <w:pPr>
        <w:spacing w:after="0"/>
        <w:rPr>
          <w:rFonts w:ascii="Verdana" w:hAnsi="Verdana"/>
        </w:rPr>
      </w:pPr>
    </w:p>
    <w:p w14:paraId="23E0F34A" w14:textId="2C701BAE" w:rsidR="007F019B" w:rsidRDefault="007F019B" w:rsidP="00B45051">
      <w:pPr>
        <w:spacing w:after="0"/>
        <w:rPr>
          <w:rFonts w:ascii="Verdana" w:hAnsi="Verdana"/>
        </w:rPr>
      </w:pPr>
    </w:p>
    <w:p w14:paraId="63E29DB4" w14:textId="3BD8CEC0" w:rsidR="007F019B" w:rsidRDefault="007F019B" w:rsidP="00B45051">
      <w:pPr>
        <w:spacing w:after="0"/>
        <w:rPr>
          <w:rFonts w:ascii="Verdana" w:hAnsi="Verdana"/>
        </w:rPr>
      </w:pPr>
    </w:p>
    <w:p w14:paraId="07807897" w14:textId="0DD22EEC" w:rsidR="007F019B" w:rsidRDefault="007F019B" w:rsidP="00B45051">
      <w:pPr>
        <w:spacing w:after="0"/>
        <w:rPr>
          <w:rFonts w:ascii="Verdana" w:hAnsi="Verdana"/>
        </w:rPr>
      </w:pPr>
    </w:p>
    <w:p w14:paraId="535ED539" w14:textId="5B9F85BA" w:rsidR="007F019B" w:rsidRDefault="007F019B" w:rsidP="00B45051">
      <w:pPr>
        <w:spacing w:after="0"/>
        <w:rPr>
          <w:rFonts w:ascii="Verdana" w:hAnsi="Verdana"/>
        </w:rPr>
      </w:pPr>
    </w:p>
    <w:p w14:paraId="11DA095D" w14:textId="557DEA6A" w:rsidR="007F019B" w:rsidRDefault="007F019B" w:rsidP="00B45051">
      <w:pPr>
        <w:spacing w:after="0"/>
        <w:rPr>
          <w:rFonts w:ascii="Verdana" w:hAnsi="Verdana"/>
        </w:rPr>
      </w:pPr>
    </w:p>
    <w:p w14:paraId="5A96D7D2" w14:textId="5864D091" w:rsidR="007F019B" w:rsidRDefault="007F019B" w:rsidP="00B45051">
      <w:pPr>
        <w:spacing w:after="0"/>
        <w:rPr>
          <w:rFonts w:ascii="Verdana" w:hAnsi="Verdana"/>
        </w:rPr>
      </w:pPr>
    </w:p>
    <w:p w14:paraId="2EA22797" w14:textId="1438BF1C" w:rsidR="007F019B" w:rsidRDefault="007F019B" w:rsidP="00B45051">
      <w:pPr>
        <w:spacing w:after="0"/>
        <w:rPr>
          <w:rFonts w:ascii="Verdana" w:hAnsi="Verdana"/>
        </w:rPr>
      </w:pPr>
    </w:p>
    <w:p w14:paraId="600855D5" w14:textId="78E49D64" w:rsidR="007F019B" w:rsidRDefault="007F019B" w:rsidP="00B45051">
      <w:pPr>
        <w:spacing w:after="0"/>
        <w:rPr>
          <w:rFonts w:ascii="Verdana" w:hAnsi="Verdana"/>
        </w:rPr>
      </w:pPr>
    </w:p>
    <w:p w14:paraId="7576FBD3" w14:textId="6479BA8E" w:rsidR="007F019B" w:rsidRDefault="007F019B" w:rsidP="00B45051">
      <w:pPr>
        <w:spacing w:after="0"/>
        <w:rPr>
          <w:rFonts w:ascii="Verdana" w:hAnsi="Verdana"/>
        </w:rPr>
      </w:pPr>
    </w:p>
    <w:p w14:paraId="2CF6D1FF" w14:textId="4785C9D4" w:rsidR="007F019B" w:rsidRDefault="007F019B" w:rsidP="00B45051">
      <w:pPr>
        <w:spacing w:after="0"/>
        <w:rPr>
          <w:rFonts w:ascii="Verdana" w:hAnsi="Verdana"/>
        </w:rPr>
      </w:pPr>
    </w:p>
    <w:p w14:paraId="729CAE31" w14:textId="26E75E12" w:rsidR="007F019B" w:rsidRDefault="007F019B" w:rsidP="00B45051">
      <w:pPr>
        <w:spacing w:after="0"/>
        <w:rPr>
          <w:rFonts w:ascii="Verdana" w:hAnsi="Verdana"/>
        </w:rPr>
      </w:pPr>
    </w:p>
    <w:p w14:paraId="4F929A5D" w14:textId="2CE986C6" w:rsidR="007F019B" w:rsidRPr="007F019B" w:rsidRDefault="007F019B" w:rsidP="00B45051">
      <w:pPr>
        <w:spacing w:after="0"/>
        <w:rPr>
          <w:rFonts w:ascii="Verdana" w:hAnsi="Verdana"/>
        </w:rPr>
      </w:pPr>
    </w:p>
    <w:p w14:paraId="4B96CABB" w14:textId="15D95D32" w:rsidR="00861467" w:rsidRPr="009B39AC" w:rsidRDefault="00B45051" w:rsidP="00861467">
      <w:pPr>
        <w:spacing w:after="0"/>
        <w:rPr>
          <w:rFonts w:ascii="Verdana" w:hAnsi="Verdana"/>
        </w:rPr>
      </w:pPr>
      <w:r>
        <w:rPr>
          <w:noProof/>
          <w:lang w:val="en-US"/>
        </w:rPr>
        <w:lastRenderedPageBreak/>
        <w:drawing>
          <wp:anchor distT="0" distB="0" distL="114300" distR="114300" simplePos="0" relativeHeight="251658240" behindDoc="0" locked="0" layoutInCell="1" allowOverlap="1" wp14:anchorId="26E5E5BE" wp14:editId="5A296DCB">
            <wp:simplePos x="0" y="0"/>
            <wp:positionH relativeFrom="margin">
              <wp:align>right</wp:align>
            </wp:positionH>
            <wp:positionV relativeFrom="paragraph">
              <wp:posOffset>72274</wp:posOffset>
            </wp:positionV>
            <wp:extent cx="2763520" cy="76835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63520" cy="768350"/>
                    </a:xfrm>
                    <a:prstGeom prst="rect">
                      <a:avLst/>
                    </a:prstGeom>
                  </pic:spPr>
                </pic:pic>
              </a:graphicData>
            </a:graphic>
          </wp:anchor>
        </w:drawing>
      </w:r>
      <w:r>
        <w:rPr>
          <w:rFonts w:ascii="Verdana" w:hAnsi="Verdana"/>
        </w:rPr>
        <w:t xml:space="preserve">Bogotá D.C., 6 de febrero de 2026 </w:t>
      </w:r>
      <w:r w:rsidR="00861467" w:rsidRPr="000E2B93">
        <w:rPr>
          <w:rFonts w:ascii="Verdana" w:hAnsi="Verdana"/>
        </w:rPr>
        <w:tab/>
      </w:r>
      <w:r w:rsidR="00861467" w:rsidRPr="000E2B93">
        <w:rPr>
          <w:rFonts w:ascii="Verdana" w:hAnsi="Verdana"/>
        </w:rPr>
        <w:br/>
      </w:r>
    </w:p>
    <w:p w14:paraId="72EC3389" w14:textId="77777777" w:rsidR="00861467" w:rsidRPr="00593A5F" w:rsidRDefault="00861467" w:rsidP="00861467">
      <w:pPr>
        <w:spacing w:after="0" w:line="240" w:lineRule="auto"/>
        <w:jc w:val="both"/>
        <w:rPr>
          <w:rFonts w:ascii="Verdana" w:eastAsia="Calibri" w:hAnsi="Verdana" w:cs="Arial"/>
          <w:color w:val="000000"/>
          <w:lang w:val="es-ES"/>
        </w:rPr>
      </w:pPr>
    </w:p>
    <w:p w14:paraId="6A81F32C" w14:textId="77777777" w:rsidR="00861467" w:rsidRPr="000C555D" w:rsidRDefault="00861467" w:rsidP="00861467">
      <w:pPr>
        <w:spacing w:after="0" w:line="240" w:lineRule="auto"/>
        <w:jc w:val="both"/>
        <w:rPr>
          <w:rFonts w:ascii="Verdana" w:eastAsia="Calibri" w:hAnsi="Verdana" w:cs="Arial"/>
          <w:lang w:val="es-ES" w:eastAsia="es-ES"/>
        </w:rPr>
      </w:pPr>
      <w:r>
        <w:rPr>
          <w:rFonts w:ascii="Verdana" w:eastAsia="Calibri" w:hAnsi="Verdana" w:cs="Arial"/>
          <w:lang w:val="es-ES" w:eastAsia="es-ES"/>
        </w:rPr>
        <w:t>Doctor</w:t>
      </w:r>
    </w:p>
    <w:p w14:paraId="165AC81D" w14:textId="77777777" w:rsidR="00861467" w:rsidRPr="00DD4F85" w:rsidRDefault="00861467" w:rsidP="00861467">
      <w:pPr>
        <w:spacing w:after="0" w:line="240" w:lineRule="auto"/>
        <w:rPr>
          <w:rFonts w:ascii="Verdana" w:eastAsia="Calibri" w:hAnsi="Verdana" w:cs="Arial"/>
          <w:b/>
          <w:lang w:eastAsia="es-ES"/>
        </w:rPr>
      </w:pPr>
      <w:r w:rsidRPr="00DD4F85">
        <w:rPr>
          <w:rFonts w:ascii="Verdana" w:eastAsia="Calibri" w:hAnsi="Verdana" w:cs="Arial"/>
          <w:b/>
          <w:lang w:eastAsia="es-ES"/>
        </w:rPr>
        <w:t>Elkin Andrés Clavijo Romero</w:t>
      </w:r>
    </w:p>
    <w:p w14:paraId="33BBADF1" w14:textId="77777777" w:rsidR="00861467" w:rsidRPr="00C9323E" w:rsidRDefault="00861467" w:rsidP="00861467">
      <w:pPr>
        <w:spacing w:after="0" w:line="240" w:lineRule="auto"/>
        <w:rPr>
          <w:rFonts w:ascii="Verdana" w:eastAsia="Calibri" w:hAnsi="Verdana" w:cs="Arial"/>
          <w:bCs/>
          <w:color w:val="000000"/>
          <w:lang w:eastAsia="es-ES_tradnl"/>
        </w:rPr>
      </w:pPr>
      <w:r w:rsidRPr="00C9323E">
        <w:rPr>
          <w:rFonts w:ascii="Verdana" w:eastAsia="Calibri" w:hAnsi="Verdana" w:cs="Arial"/>
          <w:bCs/>
          <w:color w:val="000000"/>
          <w:lang w:eastAsia="es-ES_tradnl"/>
        </w:rPr>
        <w:t xml:space="preserve">Director de Infraestructura y Desarrollo Empresarial </w:t>
      </w:r>
    </w:p>
    <w:p w14:paraId="420CD33D" w14:textId="77777777" w:rsidR="00861467" w:rsidRDefault="00861467" w:rsidP="00861467">
      <w:pPr>
        <w:spacing w:after="0" w:line="240" w:lineRule="auto"/>
        <w:rPr>
          <w:rFonts w:ascii="Verdana" w:eastAsia="Calibri" w:hAnsi="Verdana" w:cs="Arial"/>
          <w:bCs/>
          <w:color w:val="000000"/>
          <w:lang w:eastAsia="es-ES_tradnl"/>
        </w:rPr>
      </w:pPr>
      <w:r>
        <w:rPr>
          <w:rFonts w:ascii="Verdana" w:eastAsia="Calibri" w:hAnsi="Verdana" w:cs="Arial"/>
          <w:bCs/>
          <w:color w:val="000000"/>
          <w:lang w:eastAsia="es-ES_tradnl"/>
        </w:rPr>
        <w:t>Ministerio de Vivienda, Ciudad y Territorio</w:t>
      </w:r>
    </w:p>
    <w:p w14:paraId="01109917" w14:textId="77777777" w:rsidR="00861467" w:rsidRDefault="00861467" w:rsidP="00861467">
      <w:pPr>
        <w:spacing w:after="0" w:line="240" w:lineRule="auto"/>
        <w:rPr>
          <w:rFonts w:ascii="Verdana" w:eastAsia="Calibri" w:hAnsi="Verdana" w:cs="Arial"/>
          <w:bCs/>
          <w:color w:val="000000"/>
          <w:lang w:eastAsia="es-ES_tradnl"/>
        </w:rPr>
      </w:pPr>
      <w:hyperlink r:id="rId12" w:history="1">
        <w:r w:rsidRPr="00EB458C">
          <w:rPr>
            <w:rStyle w:val="Hipervnculo"/>
            <w:rFonts w:ascii="Verdana" w:eastAsia="Calibri" w:hAnsi="Verdana" w:cs="Arial"/>
            <w:bCs/>
            <w:lang w:eastAsia="es-ES_tradnl"/>
          </w:rPr>
          <w:t>notificacionesPQRS@minvivienda.gov.co</w:t>
        </w:r>
      </w:hyperlink>
      <w:r>
        <w:rPr>
          <w:rFonts w:ascii="Verdana" w:eastAsia="Calibri" w:hAnsi="Verdana" w:cs="Arial"/>
          <w:bCs/>
          <w:color w:val="000000"/>
          <w:lang w:eastAsia="es-ES_tradnl"/>
        </w:rPr>
        <w:t xml:space="preserve"> </w:t>
      </w:r>
    </w:p>
    <w:p w14:paraId="74CDB73B" w14:textId="77777777" w:rsidR="00861467" w:rsidRPr="00DD4F85" w:rsidRDefault="00861467" w:rsidP="00861467">
      <w:pPr>
        <w:spacing w:after="0" w:line="240" w:lineRule="auto"/>
        <w:rPr>
          <w:rFonts w:ascii="Verdana" w:eastAsia="Calibri" w:hAnsi="Verdana" w:cs="Arial"/>
          <w:bCs/>
          <w:color w:val="000000"/>
          <w:lang w:eastAsia="es-ES_tradnl"/>
        </w:rPr>
      </w:pPr>
      <w:hyperlink r:id="rId13" w:history="1">
        <w:r w:rsidRPr="00EB458C">
          <w:rPr>
            <w:rStyle w:val="Hipervnculo"/>
            <w:rFonts w:ascii="Verdana" w:eastAsia="Calibri" w:hAnsi="Verdana" w:cs="Arial"/>
            <w:bCs/>
            <w:lang w:eastAsia="es-ES_tradnl"/>
          </w:rPr>
          <w:t>correspondencia@minvivienda.gov.co</w:t>
        </w:r>
      </w:hyperlink>
      <w:r>
        <w:rPr>
          <w:rFonts w:ascii="Verdana" w:eastAsia="Calibri" w:hAnsi="Verdana" w:cs="Arial"/>
          <w:bCs/>
          <w:color w:val="000000"/>
          <w:lang w:eastAsia="es-ES_tradnl"/>
        </w:rPr>
        <w:t xml:space="preserve"> </w:t>
      </w:r>
    </w:p>
    <w:p w14:paraId="12FB5543" w14:textId="77777777" w:rsidR="00861467" w:rsidRPr="00E22A1A" w:rsidRDefault="00861467" w:rsidP="00861467">
      <w:pPr>
        <w:spacing w:after="0" w:line="240" w:lineRule="auto"/>
        <w:rPr>
          <w:rFonts w:ascii="Verdana" w:eastAsia="Calibri" w:hAnsi="Verdana" w:cs="Arial"/>
          <w:bCs/>
          <w:color w:val="000000"/>
          <w:lang w:val="es-ES_tradnl" w:eastAsia="es-ES_tradnl"/>
        </w:rPr>
      </w:pPr>
      <w:r>
        <w:rPr>
          <w:rFonts w:ascii="Verdana" w:eastAsia="Calibri" w:hAnsi="Verdana" w:cs="Arial"/>
          <w:bCs/>
          <w:color w:val="000000"/>
          <w:lang w:val="es-ES_tradnl" w:eastAsia="es-ES_tradnl"/>
        </w:rPr>
        <w:t>Bogotá D.C.</w:t>
      </w:r>
    </w:p>
    <w:p w14:paraId="4F02AFE6" w14:textId="77777777" w:rsidR="00861467" w:rsidRDefault="00861467" w:rsidP="00861467">
      <w:pPr>
        <w:spacing w:after="0" w:line="240" w:lineRule="auto"/>
        <w:rPr>
          <w:rFonts w:ascii="Verdana" w:eastAsia="Calibri" w:hAnsi="Verdana" w:cs="Times New Roman"/>
        </w:rPr>
      </w:pPr>
    </w:p>
    <w:p w14:paraId="3522EC1D" w14:textId="77777777" w:rsidR="00861467" w:rsidRPr="00A12CB6" w:rsidRDefault="00861467" w:rsidP="00861467">
      <w:pPr>
        <w:spacing w:after="0" w:line="240" w:lineRule="auto"/>
        <w:rPr>
          <w:rFonts w:ascii="Verdana" w:eastAsia="Calibri" w:hAnsi="Verdana" w:cs="Times New Roman"/>
        </w:rPr>
      </w:pPr>
    </w:p>
    <w:p w14:paraId="17C8DB0C" w14:textId="77777777" w:rsidR="00861467" w:rsidRPr="00A12CB6" w:rsidRDefault="00861467" w:rsidP="00861467">
      <w:pPr>
        <w:spacing w:after="0" w:line="240"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C- 127 de 2026</w:t>
      </w:r>
    </w:p>
    <w:p w14:paraId="0F880BEB" w14:textId="77777777" w:rsidR="00861467" w:rsidRPr="00A12CB6" w:rsidRDefault="00861467" w:rsidP="00861467">
      <w:pPr>
        <w:spacing w:after="0" w:line="240"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861467" w:rsidRPr="00A12CB6" w14:paraId="5FA575D5" w14:textId="77777777" w:rsidTr="000C22B4">
        <w:trPr>
          <w:trHeight w:val="645"/>
        </w:trPr>
        <w:tc>
          <w:tcPr>
            <w:tcW w:w="2685" w:type="dxa"/>
            <w:hideMark/>
          </w:tcPr>
          <w:p w14:paraId="713DDE74" w14:textId="77777777" w:rsidR="00861467" w:rsidRPr="00A12CB6" w:rsidRDefault="00861467" w:rsidP="000C22B4">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6D8C0F29" w14:textId="4EAA86AC" w:rsidR="00861467" w:rsidRPr="00817856" w:rsidRDefault="00861467" w:rsidP="000C22B4">
            <w:pPr>
              <w:spacing w:line="276" w:lineRule="auto"/>
              <w:jc w:val="both"/>
              <w:rPr>
                <w:rFonts w:ascii="Verdana" w:hAnsi="Verdana" w:cs="Arial"/>
                <w:lang w:val="es-ES"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w:t>
            </w:r>
            <w:r w:rsidRPr="009F27AB">
              <w:rPr>
                <w:rFonts w:ascii="Verdana" w:hAnsi="Verdana" w:cs="Arial"/>
                <w:lang w:val="es-MX" w:eastAsia="es-ES_tradnl"/>
              </w:rPr>
              <w:t>LEY DE GARANTÍAS ELECTORALES – Contratos y convenios interadministrativos – Criterio orgánico / LEY DE GARANTÍAS ELECTORALES –Restricción- Convenios interadministrativos – Postura del Consejo de Estado</w:t>
            </w:r>
            <w:r>
              <w:rPr>
                <w:rFonts w:ascii="Verdana" w:hAnsi="Verdana" w:cs="Arial"/>
                <w:lang w:val="es-MX" w:eastAsia="es-ES_tradnl"/>
              </w:rPr>
              <w:t xml:space="preserve"> / CONTRATOS Y CONVENIOS INTERADMINISTRATIVOS – Diferencias / CONTRATOS Y CONVENIOS INTERADMINISTRATIVOS – Resolución 574 de 2022 </w:t>
            </w:r>
            <w:r w:rsidR="00820131" w:rsidRPr="00820131">
              <w:rPr>
                <w:rFonts w:ascii="Verdana" w:hAnsi="Verdana" w:cs="Arial"/>
                <w:b/>
                <w:bCs/>
                <w:lang w:val="es-ES" w:eastAsia="es-ES_tradnl"/>
              </w:rPr>
              <w:t>–</w:t>
            </w:r>
            <w:r>
              <w:rPr>
                <w:rFonts w:ascii="Verdana" w:hAnsi="Verdana" w:cs="Arial"/>
                <w:lang w:val="es-MX" w:eastAsia="es-ES_tradnl"/>
              </w:rPr>
              <w:t xml:space="preserve"> Ley de Garantías – Restricción – Artículo 33 – Artículo 38</w:t>
            </w:r>
          </w:p>
        </w:tc>
        <w:tc>
          <w:tcPr>
            <w:tcW w:w="6237" w:type="dxa"/>
          </w:tcPr>
          <w:p w14:paraId="312E7E06" w14:textId="77777777" w:rsidR="00861467" w:rsidRPr="00A12CB6" w:rsidRDefault="00861467" w:rsidP="000C22B4">
            <w:pPr>
              <w:spacing w:line="256" w:lineRule="auto"/>
              <w:rPr>
                <w:rFonts w:ascii="Verdana" w:hAnsi="Verdana"/>
              </w:rPr>
            </w:pPr>
          </w:p>
        </w:tc>
      </w:tr>
    </w:tbl>
    <w:p w14:paraId="69A65B6C" w14:textId="77777777" w:rsidR="00861467" w:rsidRPr="00593A5F" w:rsidRDefault="00861467" w:rsidP="00861467">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61467" w:rsidRPr="008E6AD9" w14:paraId="72CD0413" w14:textId="77777777" w:rsidTr="000C22B4">
        <w:tc>
          <w:tcPr>
            <w:tcW w:w="2689" w:type="dxa"/>
          </w:tcPr>
          <w:p w14:paraId="2E0E1F6B" w14:textId="77777777" w:rsidR="00861467" w:rsidRPr="008E6AD9" w:rsidRDefault="00861467" w:rsidP="000C22B4">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ED815E6" w14:textId="77777777" w:rsidR="00861467" w:rsidRPr="00DD4F85" w:rsidRDefault="00861467" w:rsidP="000C22B4">
            <w:pPr>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DD4F85">
              <w:rPr>
                <w:rFonts w:ascii="Verdana" w:eastAsia="Calibri" w:hAnsi="Verdana" w:cs="Arial"/>
                <w:lang w:eastAsia="es-ES_tradnl"/>
              </w:rPr>
              <w:t>1_2026_01_30_001091</w:t>
            </w:r>
          </w:p>
        </w:tc>
      </w:tr>
    </w:tbl>
    <w:p w14:paraId="3E223FEB" w14:textId="77777777" w:rsidR="00861467" w:rsidRPr="00593A5F" w:rsidRDefault="00861467" w:rsidP="00861467">
      <w:pPr>
        <w:spacing w:after="0" w:line="240" w:lineRule="auto"/>
        <w:jc w:val="both"/>
        <w:rPr>
          <w:rFonts w:ascii="Verdana" w:eastAsia="Calibri" w:hAnsi="Verdana" w:cs="Arial"/>
          <w:color w:val="000000"/>
          <w:lang w:val="es-ES_tradnl" w:eastAsia="es-ES_tradnl"/>
        </w:rPr>
      </w:pPr>
    </w:p>
    <w:p w14:paraId="42FAED51" w14:textId="77777777" w:rsidR="00861467" w:rsidRPr="00593A5F" w:rsidRDefault="00861467" w:rsidP="00861467">
      <w:pPr>
        <w:spacing w:after="0" w:line="240" w:lineRule="auto"/>
        <w:jc w:val="both"/>
        <w:rPr>
          <w:rFonts w:ascii="Verdana" w:eastAsia="Calibri" w:hAnsi="Verdana" w:cs="Arial"/>
          <w:color w:val="000000"/>
          <w:lang w:val="es-ES_tradnl" w:eastAsia="es-ES_tradnl"/>
        </w:rPr>
      </w:pPr>
    </w:p>
    <w:p w14:paraId="2F6F1930" w14:textId="77777777" w:rsidR="00861467" w:rsidRPr="008E6AD9" w:rsidRDefault="00861467" w:rsidP="00861467">
      <w:pPr>
        <w:spacing w:after="0" w:line="240"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 Doctor Clavijo</w:t>
      </w:r>
      <w:r w:rsidRPr="008E6AD9">
        <w:rPr>
          <w:rFonts w:ascii="Verdana" w:eastAsia="Calibri" w:hAnsi="Verdana" w:cs="Arial"/>
          <w:lang w:val="es-ES" w:eastAsia="es-ES"/>
        </w:rPr>
        <w:t xml:space="preserve">: </w:t>
      </w:r>
    </w:p>
    <w:p w14:paraId="54261B55" w14:textId="77777777" w:rsidR="00861467" w:rsidRDefault="00861467" w:rsidP="00861467">
      <w:pPr>
        <w:tabs>
          <w:tab w:val="left" w:pos="3768"/>
        </w:tabs>
        <w:spacing w:after="0" w:line="240"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4F35E00" w14:textId="77777777" w:rsidR="00861467" w:rsidRPr="00102203" w:rsidRDefault="00861467" w:rsidP="00861467">
      <w:pPr>
        <w:spacing w:after="0" w:line="276" w:lineRule="auto"/>
        <w:jc w:val="both"/>
        <w:rPr>
          <w:rFonts w:ascii="Verdana" w:eastAsia="Calibri" w:hAnsi="Verdana" w:cs="Arial"/>
          <w:bCs/>
          <w:color w:val="000000" w:themeColor="text1"/>
          <w:lang w:val="es-ES" w:eastAsia="es-ES" w:bidi="es-ES"/>
        </w:rPr>
      </w:pPr>
      <w:r w:rsidRPr="00102203">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102203">
        <w:rPr>
          <w:rFonts w:ascii="Verdana" w:eastAsia="Calibri" w:hAnsi="Verdana" w:cs="Arial"/>
          <w:bCs/>
          <w:color w:val="000000" w:themeColor="text1"/>
          <w:lang w:eastAsia="es-ES"/>
        </w:rPr>
        <w:t xml:space="preserve">así como lo establecido por la </w:t>
      </w:r>
      <w:r w:rsidRPr="00102203">
        <w:rPr>
          <w:rFonts w:ascii="Verdana" w:eastAsia="Calibri" w:hAnsi="Verdana" w:cs="Arial"/>
          <w:bCs/>
          <w:color w:val="000000" w:themeColor="text1"/>
          <w:lang w:eastAsia="es-ES"/>
        </w:rPr>
        <w:lastRenderedPageBreak/>
        <w:t xml:space="preserve">Resolución 469 de 2025 expedida por esta Entidad, </w:t>
      </w:r>
      <w:r w:rsidRPr="00102203">
        <w:rPr>
          <w:rFonts w:ascii="Verdana" w:eastAsia="Calibri" w:hAnsi="Verdana" w:cs="Arial"/>
          <w:bCs/>
          <w:color w:val="000000" w:themeColor="text1"/>
          <w:lang w:val="es-ES" w:eastAsia="es-ES" w:bidi="es-ES"/>
        </w:rPr>
        <w:t>la Agencia Nacional de Contratación Pública – Colombia Compra Eficiente– responde l</w:t>
      </w:r>
      <w:r>
        <w:rPr>
          <w:rFonts w:ascii="Verdana" w:eastAsia="Calibri" w:hAnsi="Verdana" w:cs="Arial"/>
          <w:bCs/>
          <w:color w:val="000000" w:themeColor="text1"/>
          <w:lang w:val="es-ES" w:eastAsia="es-ES" w:bidi="es-ES"/>
        </w:rPr>
        <w:t xml:space="preserve">a solicitud de consulta en torno a la celebración de convenios interadministrativos de cooperación entre el Ministerio de Vivienda, Ciudad y Territorio con entidades territoriales para </w:t>
      </w:r>
      <w:r w:rsidRPr="00973E63">
        <w:rPr>
          <w:rFonts w:ascii="Verdana" w:eastAsia="Calibri" w:hAnsi="Verdana" w:cs="Arial"/>
          <w:bCs/>
          <w:color w:val="000000" w:themeColor="text1"/>
          <w:lang w:eastAsia="es-ES" w:bidi="es-ES"/>
        </w:rPr>
        <w:t xml:space="preserve">Conexiones Intradomiciliarias, </w:t>
      </w:r>
      <w:r>
        <w:rPr>
          <w:rFonts w:ascii="Verdana" w:eastAsia="Calibri" w:hAnsi="Verdana" w:cs="Arial"/>
          <w:bCs/>
          <w:color w:val="000000" w:themeColor="text1"/>
          <w:lang w:eastAsia="es-ES" w:bidi="es-ES"/>
        </w:rPr>
        <w:t xml:space="preserve">que fue </w:t>
      </w:r>
      <w:r>
        <w:rPr>
          <w:rFonts w:ascii="Verdana" w:eastAsia="Calibri" w:hAnsi="Verdana" w:cs="Arial"/>
          <w:bCs/>
          <w:color w:val="000000" w:themeColor="text1"/>
          <w:lang w:val="es-ES" w:eastAsia="es-ES" w:bidi="es-ES"/>
        </w:rPr>
        <w:t>remitida el 30 de enero de 2026</w:t>
      </w:r>
      <w:r w:rsidRPr="00102203">
        <w:rPr>
          <w:rFonts w:ascii="Verdana" w:eastAsia="Calibri" w:hAnsi="Verdana" w:cs="Arial"/>
          <w:bCs/>
          <w:color w:val="000000" w:themeColor="text1"/>
          <w:lang w:val="es-ES" w:eastAsia="es-ES" w:bidi="es-ES"/>
        </w:rPr>
        <w:t xml:space="preserve">: </w:t>
      </w:r>
    </w:p>
    <w:p w14:paraId="176A02D7" w14:textId="77777777" w:rsidR="00861467" w:rsidRPr="00272A7B" w:rsidRDefault="00861467" w:rsidP="00861467">
      <w:pPr>
        <w:pStyle w:val="Prrafodelista"/>
        <w:tabs>
          <w:tab w:val="left" w:pos="142"/>
          <w:tab w:val="left" w:pos="284"/>
        </w:tabs>
        <w:spacing w:after="0" w:line="240" w:lineRule="auto"/>
        <w:ind w:left="0"/>
        <w:jc w:val="both"/>
        <w:rPr>
          <w:rFonts w:ascii="Verdana" w:eastAsia="Century Gothic" w:hAnsi="Verdana" w:cs="Century Gothic"/>
          <w:b/>
          <w:bCs/>
        </w:rPr>
      </w:pPr>
    </w:p>
    <w:p w14:paraId="58FBA79A" w14:textId="77777777" w:rsidR="00861467" w:rsidRPr="002E60E4" w:rsidRDefault="00861467" w:rsidP="00861467">
      <w:pPr>
        <w:spacing w:after="0" w:line="240" w:lineRule="auto"/>
        <w:ind w:left="709" w:right="709"/>
        <w:jc w:val="both"/>
        <w:rPr>
          <w:rFonts w:ascii="Verdana" w:eastAsia="Century Gothic" w:hAnsi="Verdana" w:cs="Century Gothic"/>
          <w:sz w:val="20"/>
          <w:szCs w:val="20"/>
        </w:rPr>
      </w:pPr>
      <w:bookmarkStart w:id="1" w:name="_Hlk95313578"/>
      <w:r w:rsidRPr="00D10E3B">
        <w:rPr>
          <w:rFonts w:ascii="Verdana" w:eastAsia="Century Gothic" w:hAnsi="Verdana" w:cs="Century Gothic"/>
          <w:sz w:val="20"/>
          <w:szCs w:val="20"/>
          <w:lang w:val="es-ES"/>
        </w:rPr>
        <w:t>“</w:t>
      </w:r>
      <w:bookmarkEnd w:id="1"/>
      <w:r w:rsidRPr="004C446E">
        <w:rPr>
          <w:rFonts w:ascii="Verdana" w:eastAsia="Century Gothic" w:hAnsi="Verdana" w:cs="Century Gothic"/>
          <w:sz w:val="20"/>
          <w:szCs w:val="20"/>
        </w:rPr>
        <w:t>En este contexto, se eleva consulta a Colombia Compra Eficiente para establecer si ¿Es jurídicamente viable suscribir los convenios interadministrativos de cooperación descritos, en calidad de convenios derivados del contrato interadministrativo principal celebrado antes de la Ley de Garantías, durante la vigencia de dicha Ley, es decir, con posterioridad al 31 de enero de 2026, o estos se encuentran comprendidos dentro de las restricciones prev</w:t>
      </w:r>
      <w:r>
        <w:rPr>
          <w:rFonts w:ascii="Verdana" w:eastAsia="Century Gothic" w:hAnsi="Verdana" w:cs="Century Gothic"/>
          <w:sz w:val="20"/>
          <w:szCs w:val="20"/>
        </w:rPr>
        <w:t>istas en la normativa electoral?”</w:t>
      </w:r>
    </w:p>
    <w:p w14:paraId="4959B34F" w14:textId="77777777" w:rsidR="00861467" w:rsidRPr="008E6AD9" w:rsidRDefault="00861467" w:rsidP="00861467">
      <w:pPr>
        <w:pStyle w:val="Prrafodelista"/>
        <w:tabs>
          <w:tab w:val="left" w:pos="142"/>
          <w:tab w:val="left" w:pos="284"/>
        </w:tabs>
        <w:spacing w:after="0" w:line="276" w:lineRule="auto"/>
        <w:ind w:left="0"/>
        <w:jc w:val="both"/>
        <w:rPr>
          <w:rFonts w:ascii="Verdana" w:eastAsia="Century Gothic" w:hAnsi="Verdana" w:cs="Century Gothic"/>
          <w:b/>
          <w:bCs/>
        </w:rPr>
      </w:pPr>
    </w:p>
    <w:p w14:paraId="1140BAEA" w14:textId="77777777" w:rsidR="00861467" w:rsidRPr="00A652FF" w:rsidRDefault="00861467" w:rsidP="00861467">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B4F54FB" w14:textId="77777777" w:rsidR="00861467" w:rsidRPr="00423BE7" w:rsidRDefault="00861467" w:rsidP="00861467">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el problema jurídico de su consulta. </w:t>
      </w:r>
    </w:p>
    <w:p w14:paraId="2D7C274F" w14:textId="77777777" w:rsidR="00861467" w:rsidRPr="00593A5F" w:rsidRDefault="00861467" w:rsidP="00861467">
      <w:pPr>
        <w:spacing w:after="0" w:line="276" w:lineRule="auto"/>
        <w:ind w:firstLine="709"/>
        <w:jc w:val="both"/>
        <w:rPr>
          <w:rFonts w:ascii="Verdana" w:eastAsia="Calibri" w:hAnsi="Verdana" w:cs="Arial"/>
          <w:color w:val="000000"/>
          <w:lang w:val="es-ES" w:eastAsia="es-ES"/>
        </w:rPr>
      </w:pPr>
    </w:p>
    <w:p w14:paraId="0EFCBA93" w14:textId="77777777" w:rsidR="00861467" w:rsidRPr="00593A5F" w:rsidRDefault="00861467" w:rsidP="0086146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08E47B6" w14:textId="77777777" w:rsidR="00861467" w:rsidRPr="00593A5F" w:rsidRDefault="00861467" w:rsidP="00861467">
      <w:pPr>
        <w:tabs>
          <w:tab w:val="left" w:pos="426"/>
        </w:tabs>
        <w:spacing w:after="0" w:line="276" w:lineRule="auto"/>
        <w:jc w:val="both"/>
        <w:rPr>
          <w:rFonts w:ascii="Verdana" w:eastAsia="Century Gothic" w:hAnsi="Verdana" w:cs="Century Gothic"/>
          <w:lang w:val="es-ES"/>
        </w:rPr>
      </w:pPr>
    </w:p>
    <w:p w14:paraId="3D61CE56" w14:textId="77777777" w:rsidR="00861467" w:rsidRDefault="00861467" w:rsidP="00861467">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 siguiente problema jurídico</w:t>
      </w:r>
      <w:r w:rsidRPr="00906BE9">
        <w:rPr>
          <w:rFonts w:ascii="Verdana" w:eastAsia="Century Gothic" w:hAnsi="Verdana" w:cs="Century Gothic"/>
        </w:rPr>
        <w:t>:</w:t>
      </w:r>
      <w:r>
        <w:rPr>
          <w:rFonts w:ascii="Verdana" w:eastAsia="Century Gothic" w:hAnsi="Verdana" w:cs="Century Gothic"/>
        </w:rPr>
        <w:t xml:space="preserve"> </w:t>
      </w:r>
      <w:r w:rsidRPr="00DD4F85">
        <w:rPr>
          <w:rFonts w:ascii="Verdana" w:eastAsia="Century Gothic" w:hAnsi="Verdana" w:cs="Century Gothic"/>
        </w:rPr>
        <w:t xml:space="preserve">¿Resulta procedente la suscripción de convenios </w:t>
      </w:r>
      <w:r w:rsidRPr="00DD4F85">
        <w:rPr>
          <w:rFonts w:ascii="Verdana" w:eastAsia="Century Gothic" w:hAnsi="Verdana" w:cs="Century Gothic"/>
        </w:rPr>
        <w:lastRenderedPageBreak/>
        <w:t xml:space="preserve">interadministrativos de cooperación, en calidad de convenios derivados del contrato interadministrativo principal celebrado con anterioridad a la </w:t>
      </w:r>
      <w:proofErr w:type="gramStart"/>
      <w:r w:rsidRPr="00DD4F85">
        <w:rPr>
          <w:rFonts w:ascii="Verdana" w:eastAsia="Century Gothic" w:hAnsi="Verdana" w:cs="Century Gothic"/>
        </w:rPr>
        <w:t>entrada en vigencia</w:t>
      </w:r>
      <w:proofErr w:type="gramEnd"/>
      <w:r w:rsidRPr="00DD4F85">
        <w:rPr>
          <w:rFonts w:ascii="Verdana" w:eastAsia="Century Gothic" w:hAnsi="Verdana" w:cs="Century Gothic"/>
        </w:rPr>
        <w:t xml:space="preserve"> de la Ley de Garantías, durante la vigencia de dicha Ley, es decir, con poster</w:t>
      </w:r>
      <w:r>
        <w:rPr>
          <w:rFonts w:ascii="Verdana" w:eastAsia="Century Gothic" w:hAnsi="Verdana" w:cs="Century Gothic"/>
        </w:rPr>
        <w:t>ioridad al 31 de enero de 2026?</w:t>
      </w:r>
    </w:p>
    <w:p w14:paraId="6C357C13" w14:textId="77777777" w:rsidR="00861467" w:rsidRPr="004B140F" w:rsidRDefault="00861467" w:rsidP="00861467">
      <w:pPr>
        <w:spacing w:after="0" w:line="276" w:lineRule="auto"/>
        <w:jc w:val="both"/>
        <w:rPr>
          <w:rFonts w:ascii="Verdana" w:eastAsia="Calibri" w:hAnsi="Verdana" w:cs="Arial"/>
          <w:color w:val="7030A0"/>
        </w:rPr>
      </w:pPr>
    </w:p>
    <w:p w14:paraId="5AE5E601" w14:textId="77777777" w:rsidR="00861467" w:rsidRPr="00593A5F" w:rsidRDefault="00861467" w:rsidP="0086146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0B58D01" w14:textId="77777777" w:rsidR="00861467" w:rsidRPr="00593A5F" w:rsidRDefault="00861467" w:rsidP="0086146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61467" w:rsidRPr="00593A5F" w14:paraId="6ED29CA4" w14:textId="77777777" w:rsidTr="000C22B4">
        <w:trPr>
          <w:jc w:val="center"/>
        </w:trPr>
        <w:tc>
          <w:tcPr>
            <w:tcW w:w="8828" w:type="dxa"/>
          </w:tcPr>
          <w:p w14:paraId="0FEF34A3" w14:textId="77777777" w:rsidR="00861467" w:rsidRDefault="00861467" w:rsidP="000C22B4">
            <w:pPr>
              <w:spacing w:after="120" w:line="276" w:lineRule="auto"/>
              <w:jc w:val="both"/>
              <w:rPr>
                <w:rFonts w:ascii="Verdana" w:eastAsiaTheme="minorEastAsia" w:hAnsi="Verdana" w:cs="Arial"/>
                <w:lang w:eastAsia="es-CO"/>
              </w:rPr>
            </w:pPr>
            <w:bookmarkStart w:id="2" w:name="_Hlk171694685"/>
            <w:r w:rsidRPr="004F1C0A">
              <w:rPr>
                <w:rFonts w:ascii="Verdana" w:eastAsia="Calibri" w:hAnsi="Verdana" w:cs="Arial"/>
                <w:lang w:val="es-MX"/>
              </w:rPr>
              <w:t xml:space="preserve">De acuerdo con el problema jurídico, objeto de consulta, </w:t>
            </w:r>
            <w:r>
              <w:rPr>
                <w:rFonts w:ascii="Verdana" w:eastAsiaTheme="minorEastAsia" w:hAnsi="Verdana" w:cs="Arial"/>
                <w:lang w:eastAsia="es-CO"/>
              </w:rPr>
              <w:t>se encuentra que l</w:t>
            </w:r>
            <w:r w:rsidRPr="00771E47">
              <w:rPr>
                <w:rFonts w:ascii="Verdana" w:eastAsiaTheme="minorEastAsia" w:hAnsi="Verdana" w:cs="Arial"/>
                <w:lang w:eastAsia="es-CO"/>
              </w:rPr>
              <w:t xml:space="preserve">os convenios interadministrativos, previstos en el artículo 95 de la Ley 489 de 1998, son instrumentos de cooperación que buscan la coordinación entre entidades públicas para alcanzar fines comunes de carácter administrativo y social. Su naturaleza se distingue por la finalidad asociativa, pues no persiguen la adquisición de bienes o servicios como los contratos estatales tradicionales, sino la articulación de esfuerzos, capacidades y recursos. En este contexto, </w:t>
            </w:r>
            <w:r>
              <w:rPr>
                <w:rFonts w:ascii="Verdana" w:eastAsiaTheme="minorEastAsia" w:hAnsi="Verdana" w:cs="Arial"/>
                <w:lang w:eastAsia="es-CO"/>
              </w:rPr>
              <w:t xml:space="preserve">se encuentra la Resolución 574 de 2022 del Ministerio de Vivienda, Ciudad y Territorio que regula que este organismo </w:t>
            </w:r>
            <w:r w:rsidRPr="00771E47">
              <w:rPr>
                <w:rFonts w:ascii="Verdana" w:eastAsiaTheme="minorEastAsia" w:hAnsi="Verdana" w:cs="Arial"/>
                <w:lang w:eastAsia="es-CO"/>
              </w:rPr>
              <w:t>implementa el Programa de</w:t>
            </w:r>
            <w:r>
              <w:rPr>
                <w:rFonts w:ascii="Verdana" w:eastAsiaTheme="minorEastAsia" w:hAnsi="Verdana" w:cs="Arial"/>
                <w:lang w:eastAsia="es-CO"/>
              </w:rPr>
              <w:t xml:space="preserve"> Conexiones Intradomiciliarias –PCI-</w:t>
            </w:r>
            <w:r w:rsidRPr="00771E47">
              <w:rPr>
                <w:rFonts w:ascii="Verdana" w:eastAsiaTheme="minorEastAsia" w:hAnsi="Verdana" w:cs="Arial"/>
                <w:lang w:eastAsia="es-CO"/>
              </w:rPr>
              <w:t xml:space="preserve"> de agua potable y saneamiento básico, seleccionando entre los municipios preseleccionados aquellos que serán intervenidos según los recursos disponibles, el interés de las entidades territoriales y la identificación de problemáticas de conectividad en barrios y centros poblados rurales. En esta etapa se acuerdan las condiciones de la contrapartida, conforme al artículo 2.3.4.4.8 del Decreto 1077 de 2015, y los compromisos de las partes, consignados en el convenio interadministrativo de cooperación regulado en el</w:t>
            </w:r>
            <w:r>
              <w:rPr>
                <w:rFonts w:ascii="Verdana" w:eastAsiaTheme="minorEastAsia" w:hAnsi="Verdana" w:cs="Arial"/>
                <w:lang w:eastAsia="es-CO"/>
              </w:rPr>
              <w:t xml:space="preserve"> artículo 2.3.4.4.11 del mismo D</w:t>
            </w:r>
            <w:r w:rsidRPr="00771E47">
              <w:rPr>
                <w:rFonts w:ascii="Verdana" w:eastAsiaTheme="minorEastAsia" w:hAnsi="Verdana" w:cs="Arial"/>
                <w:lang w:eastAsia="es-CO"/>
              </w:rPr>
              <w:t>ecreto. Además, pueden vincularse otras entidades que aporten apoyo técnico o financiero, siendo obligación de las entidades territoriales contribuir en dinero o en especie, al menos con los costos de socialización del programa, en los términos definidos por el Ministerio.</w:t>
            </w:r>
          </w:p>
          <w:p w14:paraId="66C2F973" w14:textId="024F4E4F" w:rsidR="00861467" w:rsidRPr="004C1120" w:rsidRDefault="00861467" w:rsidP="000C22B4">
            <w:pPr>
              <w:spacing w:after="120" w:line="276" w:lineRule="auto"/>
              <w:ind w:firstLine="708"/>
              <w:jc w:val="both"/>
              <w:rPr>
                <w:rFonts w:ascii="Verdana" w:eastAsiaTheme="minorEastAsia" w:hAnsi="Verdana" w:cs="Arial"/>
                <w:bCs/>
                <w:lang w:val="es-MX" w:eastAsia="es-CO"/>
              </w:rPr>
            </w:pPr>
            <w:r>
              <w:rPr>
                <w:rFonts w:ascii="Verdana" w:eastAsiaTheme="minorEastAsia" w:hAnsi="Verdana" w:cs="Arial"/>
                <w:lang w:eastAsia="es-CO"/>
              </w:rPr>
              <w:t xml:space="preserve">Dichos convenios interadministrativos de cooperación que se adelantan con fundamento en estos programas se encuentran en la restricción del artículo 33 de la Ley 996 de 2005, al estar la restricción que </w:t>
            </w:r>
            <w:r w:rsidRPr="004C1120">
              <w:rPr>
                <w:rFonts w:ascii="Verdana" w:eastAsiaTheme="minorEastAsia" w:hAnsi="Verdana" w:cs="Arial"/>
                <w:bCs/>
                <w:lang w:val="es-MX" w:eastAsia="es-CO"/>
              </w:rPr>
              <w:t xml:space="preserve">prohíbe adelantar cualquier modalidad de contratación bajo la figura de contratación directa, entendida como todo mecanismo no competitivo. Es decir, </w:t>
            </w:r>
            <w:r>
              <w:rPr>
                <w:rFonts w:ascii="Verdana" w:eastAsiaTheme="minorEastAsia" w:hAnsi="Verdana" w:cs="Arial"/>
                <w:bCs/>
                <w:lang w:val="es-MX" w:eastAsia="es-CO"/>
              </w:rPr>
              <w:t xml:space="preserve">dicha restricción aplica en aquellos supuestos, en los que se pretenda </w:t>
            </w:r>
            <w:r w:rsidRPr="004C1120">
              <w:rPr>
                <w:rFonts w:ascii="Verdana" w:eastAsiaTheme="minorEastAsia" w:hAnsi="Verdana" w:cs="Arial"/>
                <w:bCs/>
                <w:lang w:val="es-MX" w:eastAsia="es-CO"/>
              </w:rPr>
              <w:t>celebrar con</w:t>
            </w:r>
            <w:r>
              <w:rPr>
                <w:rFonts w:ascii="Verdana" w:eastAsiaTheme="minorEastAsia" w:hAnsi="Verdana" w:cs="Arial"/>
                <w:bCs/>
                <w:lang w:val="es-MX" w:eastAsia="es-CO"/>
              </w:rPr>
              <w:t xml:space="preserve">venios </w:t>
            </w:r>
            <w:r w:rsidRPr="004C1120">
              <w:rPr>
                <w:rFonts w:ascii="Verdana" w:eastAsiaTheme="minorEastAsia" w:hAnsi="Verdana" w:cs="Arial"/>
                <w:bCs/>
                <w:lang w:val="es-MX" w:eastAsia="es-CO"/>
              </w:rPr>
              <w:t>interadministrativos</w:t>
            </w:r>
            <w:r>
              <w:rPr>
                <w:rFonts w:ascii="Verdana" w:eastAsiaTheme="minorEastAsia" w:hAnsi="Verdana" w:cs="Arial"/>
                <w:bCs/>
                <w:lang w:val="es-MX" w:eastAsia="es-CO"/>
              </w:rPr>
              <w:t xml:space="preserve"> de cooperación</w:t>
            </w:r>
            <w:r w:rsidRPr="004C1120">
              <w:rPr>
                <w:rFonts w:ascii="Verdana" w:eastAsiaTheme="minorEastAsia" w:hAnsi="Verdana" w:cs="Arial"/>
                <w:bCs/>
                <w:lang w:val="es-MX" w:eastAsia="es-CO"/>
              </w:rPr>
              <w:t xml:space="preserve"> de forma directa, que están sujetas a la restricción del artículo 33 de la Ley 996 de 2005. En este sentido, todos los </w:t>
            </w:r>
            <w:r w:rsidRPr="004C1120">
              <w:rPr>
                <w:rFonts w:ascii="Verdana" w:eastAsiaTheme="minorEastAsia" w:hAnsi="Verdana" w:cs="Arial"/>
                <w:bCs/>
                <w:lang w:val="es-MX" w:eastAsia="es-CO"/>
              </w:rPr>
              <w:lastRenderedPageBreak/>
              <w:t xml:space="preserve">entes del Estado, independiente del régimen jurídico aplicable, están sujetos a la restricción del artículo 33 de la Ley 996 de 2005, es decir, no podrán </w:t>
            </w:r>
            <w:r>
              <w:rPr>
                <w:rFonts w:ascii="Verdana" w:eastAsiaTheme="minorEastAsia" w:hAnsi="Verdana" w:cs="Arial"/>
                <w:bCs/>
                <w:lang w:val="es-MX" w:eastAsia="es-CO"/>
              </w:rPr>
              <w:t>perfeccionar negocios jurídicos que celebren en el marco de la modalidad de</w:t>
            </w:r>
            <w:r w:rsidRPr="004C1120">
              <w:rPr>
                <w:rFonts w:ascii="Verdana" w:eastAsiaTheme="minorEastAsia" w:hAnsi="Verdana" w:cs="Arial"/>
                <w:bCs/>
                <w:lang w:val="es-MX" w:eastAsia="es-CO"/>
              </w:rPr>
              <w:t xml:space="preserve"> contratación directa respecto de las elecciones presidenciales, dentro de los cuatro (4) meses anteriores a la celebración de dichos comicios. </w:t>
            </w:r>
          </w:p>
          <w:p w14:paraId="60E89F5F" w14:textId="77777777" w:rsidR="00861467" w:rsidRPr="00FF1C59" w:rsidRDefault="00861467" w:rsidP="000C22B4">
            <w:pPr>
              <w:spacing w:after="120" w:line="276" w:lineRule="auto"/>
              <w:ind w:firstLine="708"/>
              <w:jc w:val="both"/>
              <w:rPr>
                <w:rFonts w:ascii="Verdana" w:eastAsiaTheme="minorEastAsia" w:hAnsi="Verdana" w:cs="Arial"/>
                <w:lang w:eastAsia="es-CO"/>
              </w:rPr>
            </w:pPr>
            <w:r w:rsidRPr="00FF1C59">
              <w:rPr>
                <w:rFonts w:ascii="Verdana" w:eastAsiaTheme="minorEastAsia" w:hAnsi="Verdana" w:cs="Arial"/>
                <w:lang w:eastAsia="es-CO"/>
              </w:rPr>
              <w:t>De igual manera, resulta pertinente precisar que los convenios interadministrativos de cooperación suscritos entre entidades del orden nacional y las entidades territoriales —departamentos, distritos, municipios y entidades descentralizadas— se encuentran sujetos a la restricción prevista en el artículo 38 de la Ley 996 de 2005. Dicha disposición establece que la celebración de estos convenios por parte de alcaldes, gobernadores, secretarios, gerentes y directores de entidades del orden municipal, departamental o distrital debe observar las limitaciones allí señaladas, particularmente cuando se trate de convenios destinados a la ejecución de recursos públicos.</w:t>
            </w:r>
          </w:p>
          <w:p w14:paraId="5736DD3F" w14:textId="77777777" w:rsidR="00861467" w:rsidRPr="00C63036" w:rsidRDefault="00861467" w:rsidP="000C22B4">
            <w:pPr>
              <w:spacing w:line="276" w:lineRule="auto"/>
              <w:ind w:firstLine="708"/>
              <w:jc w:val="both"/>
              <w:rPr>
                <w:rFonts w:ascii="Verdana" w:eastAsiaTheme="minorEastAsia" w:hAnsi="Verdana" w:cs="Arial"/>
                <w:lang w:eastAsia="es-CO"/>
              </w:rPr>
            </w:pPr>
            <w:r>
              <w:rPr>
                <w:rFonts w:ascii="Verdana" w:eastAsiaTheme="minorEastAsia" w:hAnsi="Verdana" w:cs="Arial"/>
                <w:lang w:eastAsia="es-CO"/>
              </w:rPr>
              <w:t>En estos casos, aplica</w:t>
            </w:r>
            <w:r w:rsidRPr="00FF1C59">
              <w:rPr>
                <w:rFonts w:ascii="Verdana" w:eastAsiaTheme="minorEastAsia" w:hAnsi="Verdana" w:cs="Arial"/>
                <w:lang w:eastAsia="es-CO"/>
              </w:rPr>
              <w:t xml:space="preserve"> la restricción contenida en el parágrafo del citado artículo, que prohíbe la celebración de convenios interadministrativos durante los cuatro meses anteriores a cualquier contienda electoral. Es importante subrayar que esta limitación no se refiere a la relación entre contratantes y contratistas, sino a la naturaleza cooperativa y colaborativa de las partes intervinientes. La restricción se extiende, en consecuencia, a las elecciones presidenciales programadas para el 31 de mayo de 2026, así como a una eventual segunda vuelta prevista para el 21 de junio del mismo año.</w:t>
            </w:r>
          </w:p>
        </w:tc>
      </w:tr>
    </w:tbl>
    <w:p w14:paraId="20D028DB" w14:textId="77777777" w:rsidR="00861467" w:rsidRPr="00593A5F" w:rsidRDefault="00861467" w:rsidP="00861467">
      <w:pPr>
        <w:tabs>
          <w:tab w:val="left" w:pos="142"/>
          <w:tab w:val="left" w:pos="284"/>
        </w:tabs>
        <w:spacing w:after="0" w:line="276" w:lineRule="auto"/>
        <w:jc w:val="both"/>
        <w:rPr>
          <w:rFonts w:ascii="Verdana" w:eastAsia="Century Gothic" w:hAnsi="Verdana" w:cs="Century Gothic"/>
          <w:b/>
          <w:bCs/>
          <w:lang w:val="es-ES"/>
        </w:rPr>
      </w:pPr>
    </w:p>
    <w:bookmarkEnd w:id="2"/>
    <w:p w14:paraId="6CBC14F9" w14:textId="77777777" w:rsidR="00861467" w:rsidRPr="00593A5F" w:rsidRDefault="00861467" w:rsidP="0086146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67D963D" w14:textId="77777777" w:rsidR="00861467" w:rsidRPr="00593A5F" w:rsidRDefault="00861467" w:rsidP="00861467">
      <w:pPr>
        <w:spacing w:after="0" w:line="276" w:lineRule="auto"/>
        <w:jc w:val="both"/>
        <w:rPr>
          <w:rFonts w:ascii="Verdana" w:eastAsia="Calibri" w:hAnsi="Verdana" w:cs="Arial"/>
          <w:color w:val="7030A0"/>
          <w:lang w:val="es-ES"/>
        </w:rPr>
      </w:pPr>
    </w:p>
    <w:p w14:paraId="1AF9465A" w14:textId="77777777" w:rsidR="00861467" w:rsidRDefault="00861467" w:rsidP="00861467">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80CBA44" w14:textId="77777777" w:rsidR="00861467" w:rsidRDefault="00861467" w:rsidP="00861467">
      <w:pPr>
        <w:spacing w:after="0" w:line="276" w:lineRule="auto"/>
        <w:jc w:val="both"/>
        <w:rPr>
          <w:rFonts w:ascii="Verdana" w:eastAsia="Calibri" w:hAnsi="Verdana" w:cs="Arial"/>
          <w:lang w:val="es-ES"/>
        </w:rPr>
      </w:pPr>
    </w:p>
    <w:p w14:paraId="4B52BF29" w14:textId="77777777" w:rsidR="00861467" w:rsidRPr="002D6B43" w:rsidRDefault="00861467" w:rsidP="00861467">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 xml:space="preserve">Por ejemplo, el artículo 127 de la Constitución Política establece una prohibición contractual a los servidores públicos y, en cuanto a aspectos </w:t>
      </w:r>
      <w:r w:rsidRPr="002D6B43">
        <w:rPr>
          <w:rFonts w:ascii="Verdana" w:eastAsia="Calibri" w:hAnsi="Verdana" w:cs="Arial"/>
        </w:rPr>
        <w:lastRenderedPageBreak/>
        <w:t>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407C566B" w14:textId="77777777" w:rsidR="00861467" w:rsidRPr="006B14B5" w:rsidRDefault="00861467" w:rsidP="00861467">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3"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3"/>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7D0C2E7E" w14:textId="77777777" w:rsidR="00861467" w:rsidRPr="00E2397D" w:rsidRDefault="00861467" w:rsidP="00861467">
      <w:pPr>
        <w:spacing w:after="0" w:line="276" w:lineRule="auto"/>
        <w:ind w:right="709"/>
        <w:contextualSpacing/>
        <w:jc w:val="both"/>
        <w:rPr>
          <w:rFonts w:ascii="Verdana" w:eastAsia="Times New Roman" w:hAnsi="Verdana" w:cs="Arial"/>
          <w:lang w:val="es-ES" w:eastAsia="es-CO"/>
        </w:rPr>
      </w:pPr>
    </w:p>
    <w:p w14:paraId="57609FFE" w14:textId="77777777" w:rsidR="00861467" w:rsidRPr="00E2397D" w:rsidRDefault="00861467" w:rsidP="0086146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30E6B5CE" w14:textId="77777777" w:rsidR="00861467" w:rsidRDefault="00861467" w:rsidP="0086146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1DD97435" w14:textId="77777777" w:rsidR="00861467" w:rsidRPr="000B35C5" w:rsidRDefault="00861467" w:rsidP="00861467">
      <w:pPr>
        <w:spacing w:after="0" w:line="240" w:lineRule="auto"/>
        <w:ind w:left="709" w:right="709"/>
        <w:contextualSpacing/>
        <w:jc w:val="both"/>
        <w:rPr>
          <w:rFonts w:ascii="Verdana" w:eastAsia="Times New Roman" w:hAnsi="Verdana" w:cs="Arial"/>
          <w:sz w:val="12"/>
          <w:szCs w:val="12"/>
          <w:lang w:val="es-MX" w:eastAsia="es-CO"/>
        </w:rPr>
      </w:pPr>
    </w:p>
    <w:p w14:paraId="3A4BDCF6" w14:textId="77777777" w:rsidR="00861467" w:rsidRPr="00E2397D" w:rsidRDefault="00861467" w:rsidP="0086146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0B689CB1" w14:textId="77777777" w:rsidR="00861467" w:rsidRPr="00E2397D" w:rsidRDefault="00861467" w:rsidP="00861467">
      <w:pPr>
        <w:spacing w:after="0" w:line="276" w:lineRule="auto"/>
        <w:ind w:firstLine="709"/>
        <w:jc w:val="both"/>
        <w:rPr>
          <w:rFonts w:ascii="Verdana" w:eastAsia="Times New Roman" w:hAnsi="Verdana" w:cs="Arial"/>
          <w:lang w:val="es-MX" w:eastAsia="es-CO"/>
        </w:rPr>
      </w:pPr>
      <w:bookmarkStart w:id="4" w:name="_Hlk78818186"/>
    </w:p>
    <w:p w14:paraId="474FE52D" w14:textId="77777777" w:rsidR="00861467" w:rsidRPr="00E2397D" w:rsidRDefault="00861467" w:rsidP="00861467">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w:t>
      </w:r>
      <w:r>
        <w:rPr>
          <w:rFonts w:ascii="Verdana" w:eastAsia="Times New Roman" w:hAnsi="Verdana" w:cs="Arial"/>
          <w:lang w:val="es-MX" w:eastAsia="es-CO"/>
        </w:rPr>
        <w:lastRenderedPageBreak/>
        <w:t>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5F17D5FF" w14:textId="77777777" w:rsidR="00861467" w:rsidRPr="00886C02" w:rsidRDefault="00861467" w:rsidP="00861467">
      <w:pPr>
        <w:spacing w:after="0" w:line="276" w:lineRule="auto"/>
        <w:ind w:firstLine="709"/>
        <w:jc w:val="both"/>
        <w:rPr>
          <w:rFonts w:ascii="Verdana" w:eastAsia="Times New Roman" w:hAnsi="Verdana" w:cs="Arial"/>
          <w:lang w:val="es-MX" w:eastAsia="es-CO"/>
        </w:rPr>
      </w:pPr>
    </w:p>
    <w:p w14:paraId="307991FF" w14:textId="77777777" w:rsidR="00861467" w:rsidRPr="00E2397D" w:rsidRDefault="00861467" w:rsidP="0086146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2E2AEDD" w14:textId="77777777" w:rsidR="00861467" w:rsidRPr="000B35C5" w:rsidRDefault="00861467" w:rsidP="00861467">
      <w:pPr>
        <w:spacing w:after="0" w:line="240" w:lineRule="auto"/>
        <w:ind w:right="709"/>
        <w:contextualSpacing/>
        <w:jc w:val="both"/>
        <w:rPr>
          <w:rFonts w:ascii="Verdana" w:eastAsia="Times New Roman" w:hAnsi="Verdana" w:cs="Arial"/>
          <w:sz w:val="12"/>
          <w:szCs w:val="12"/>
          <w:lang w:val="es-MX" w:eastAsia="es-CO"/>
        </w:rPr>
      </w:pPr>
    </w:p>
    <w:p w14:paraId="0D5B3C37" w14:textId="77777777" w:rsidR="00861467" w:rsidRPr="00E2397D" w:rsidRDefault="00861467" w:rsidP="0086146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0021BAFD" w14:textId="77777777" w:rsidR="00861467" w:rsidRPr="00E2397D" w:rsidRDefault="00861467" w:rsidP="00861467">
      <w:pPr>
        <w:spacing w:after="0" w:line="276" w:lineRule="auto"/>
        <w:jc w:val="both"/>
        <w:rPr>
          <w:rFonts w:ascii="Verdana" w:eastAsia="Calibri" w:hAnsi="Verdana" w:cs="Arial"/>
          <w:bCs/>
          <w:lang w:val="es-ES_tradnl"/>
        </w:rPr>
      </w:pPr>
    </w:p>
    <w:p w14:paraId="290F2772" w14:textId="77777777" w:rsidR="00861467" w:rsidRDefault="00861467" w:rsidP="00861467">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5690859" w14:textId="77777777" w:rsidR="00861467" w:rsidRPr="00E2397D" w:rsidRDefault="00861467" w:rsidP="00861467">
      <w:pPr>
        <w:spacing w:after="0" w:line="276" w:lineRule="auto"/>
        <w:ind w:firstLine="709"/>
        <w:jc w:val="both"/>
        <w:rPr>
          <w:rFonts w:ascii="Verdana" w:eastAsia="Arial" w:hAnsi="Verdana" w:cs="Arial"/>
          <w:lang w:val="es-ES" w:eastAsia="es-ES" w:bidi="es-ES"/>
        </w:rPr>
      </w:pPr>
    </w:p>
    <w:p w14:paraId="69720E94" w14:textId="77777777" w:rsidR="00861467" w:rsidRPr="00E2397D" w:rsidRDefault="00861467" w:rsidP="00861467">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lastRenderedPageBreak/>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57A63235" w14:textId="77777777" w:rsidR="00861467" w:rsidRPr="00E2397D" w:rsidRDefault="00861467" w:rsidP="00861467">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1DE1116B" w14:textId="77777777" w:rsidR="00861467" w:rsidRDefault="00861467" w:rsidP="00861467">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6"/>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5E65FA81" w14:textId="77777777" w:rsidR="00861467" w:rsidRDefault="00861467" w:rsidP="00861467">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w:t>
      </w:r>
      <w:r>
        <w:rPr>
          <w:rFonts w:ascii="Verdana" w:eastAsia="Times New Roman" w:hAnsi="Verdana" w:cs="Arial"/>
          <w:bCs/>
          <w:lang w:eastAsia="es-CO"/>
        </w:rPr>
        <w:lastRenderedPageBreak/>
        <w:t xml:space="preserve">la que se acerca a la expresión “celebrar” en el contexto de la Ley de Garantías Electorales es la primera, esto es, al perfeccionamiento del contrato. </w:t>
      </w:r>
    </w:p>
    <w:p w14:paraId="09480F64" w14:textId="77777777" w:rsidR="00861467" w:rsidRDefault="00861467" w:rsidP="00861467">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2C8331B7" w14:textId="77777777" w:rsidR="00861467" w:rsidRDefault="00861467" w:rsidP="00861467">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401710C6" w14:textId="77777777" w:rsidR="00861467" w:rsidRPr="005B4B74" w:rsidRDefault="00861467" w:rsidP="00861467">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4FEB46DB" w14:textId="77777777" w:rsidR="00861467" w:rsidRPr="00E2397D" w:rsidRDefault="00861467" w:rsidP="00861467">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100A31FA" w14:textId="77777777" w:rsidR="00861467" w:rsidRPr="00E2397D" w:rsidRDefault="00861467" w:rsidP="00861467">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lastRenderedPageBreak/>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722C054E" w14:textId="77777777" w:rsidR="00861467" w:rsidRPr="00E2397D" w:rsidRDefault="00861467" w:rsidP="00861467">
      <w:pPr>
        <w:widowControl w:val="0"/>
        <w:autoSpaceDE w:val="0"/>
        <w:autoSpaceDN w:val="0"/>
        <w:spacing w:after="0" w:line="276" w:lineRule="auto"/>
        <w:contextualSpacing/>
        <w:rPr>
          <w:rFonts w:ascii="Verdana" w:eastAsia="Arial" w:hAnsi="Verdana" w:cs="Arial"/>
          <w:lang w:val="es-ES" w:eastAsia="es-ES" w:bidi="es-ES"/>
        </w:rPr>
      </w:pPr>
    </w:p>
    <w:p w14:paraId="1DD4781A" w14:textId="77777777" w:rsidR="00861467" w:rsidRPr="00E2397D" w:rsidRDefault="00861467" w:rsidP="00861467">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7B102D2C" w14:textId="77777777" w:rsidR="00861467" w:rsidRPr="00E2397D" w:rsidRDefault="00861467" w:rsidP="00861467">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w:t>
      </w:r>
      <w:r w:rsidRPr="00E2397D">
        <w:rPr>
          <w:rFonts w:ascii="Verdana" w:eastAsia="Arial" w:hAnsi="Verdana" w:cs="Arial"/>
          <w:lang w:val="es-ES" w:eastAsia="es-ES" w:bidi="es-ES"/>
        </w:rPr>
        <w:lastRenderedPageBreak/>
        <w:t xml:space="preserve">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2"/>
    <w:p w14:paraId="36A1E5E0" w14:textId="77777777" w:rsidR="00861467" w:rsidRDefault="00861467" w:rsidP="00861467">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7BFC83A2" w14:textId="77777777" w:rsidR="00861467" w:rsidRPr="00E2397D" w:rsidRDefault="00861467" w:rsidP="00861467">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3" w:name="_Hlk78820161"/>
    </w:p>
    <w:p w14:paraId="2152E613" w14:textId="77777777" w:rsidR="00861467" w:rsidRPr="0057193B" w:rsidRDefault="00861467" w:rsidP="00861467">
      <w:pPr>
        <w:spacing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bookmarkEnd w:id="13"/>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04512313" w14:textId="77777777" w:rsidR="00861467" w:rsidRPr="00817856" w:rsidRDefault="00861467" w:rsidP="00861467">
      <w:pPr>
        <w:spacing w:after="0" w:line="240" w:lineRule="auto"/>
        <w:ind w:left="708" w:right="709"/>
        <w:jc w:val="both"/>
        <w:rPr>
          <w:rFonts w:ascii="Verdana" w:eastAsia="Calibri" w:hAnsi="Verdana" w:cs="Arial"/>
          <w:sz w:val="20"/>
          <w:szCs w:val="20"/>
          <w:lang w:val="es-MX"/>
        </w:rPr>
      </w:pPr>
    </w:p>
    <w:p w14:paraId="37BB3DE9" w14:textId="77777777" w:rsidR="00861467" w:rsidRPr="00817856" w:rsidRDefault="00861467" w:rsidP="00861467">
      <w:pPr>
        <w:spacing w:after="120" w:line="240" w:lineRule="auto"/>
        <w:ind w:left="709" w:right="709"/>
        <w:jc w:val="both"/>
        <w:rPr>
          <w:rFonts w:ascii="Verdana" w:eastAsia="Calibri" w:hAnsi="Verdana" w:cs="Arial"/>
          <w:sz w:val="20"/>
          <w:szCs w:val="20"/>
          <w:lang w:val="es-MX"/>
        </w:rPr>
      </w:pPr>
      <w:r w:rsidRPr="00817856">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817856">
        <w:rPr>
          <w:rFonts w:ascii="Verdana" w:eastAsia="Times New Roman" w:hAnsi="Verdana" w:cs="Arial"/>
          <w:sz w:val="20"/>
          <w:szCs w:val="20"/>
          <w:vertAlign w:val="superscript"/>
          <w:lang w:eastAsia="es-CO"/>
        </w:rPr>
        <w:footnoteReference w:id="12"/>
      </w:r>
      <w:r w:rsidRPr="00817856">
        <w:rPr>
          <w:rFonts w:ascii="Verdana" w:eastAsia="Calibri" w:hAnsi="Verdana" w:cs="Arial"/>
          <w:sz w:val="20"/>
          <w:szCs w:val="20"/>
          <w:lang w:val="es-MX"/>
        </w:rPr>
        <w:t>.</w:t>
      </w:r>
    </w:p>
    <w:p w14:paraId="2542DB5A" w14:textId="77777777" w:rsidR="00861467" w:rsidRPr="00817856" w:rsidRDefault="00861467" w:rsidP="00861467">
      <w:pPr>
        <w:spacing w:after="0" w:line="240" w:lineRule="auto"/>
        <w:ind w:left="708" w:right="709"/>
        <w:jc w:val="both"/>
        <w:rPr>
          <w:rFonts w:ascii="Verdana" w:eastAsia="Calibri" w:hAnsi="Verdana" w:cs="Arial"/>
          <w:sz w:val="20"/>
          <w:szCs w:val="20"/>
          <w:lang w:val="es-MX"/>
        </w:rPr>
      </w:pPr>
      <w:r w:rsidRPr="00817856">
        <w:rPr>
          <w:rFonts w:ascii="Verdana" w:eastAsia="Calibri" w:hAnsi="Verdana" w:cs="Arial"/>
          <w:sz w:val="20"/>
          <w:szCs w:val="20"/>
          <w:lang w:val="es-MX"/>
        </w:rPr>
        <w:t xml:space="preserve">Esta Sala ha entendido </w:t>
      </w:r>
      <w:proofErr w:type="gramStart"/>
      <w:r w:rsidRPr="00817856">
        <w:rPr>
          <w:rFonts w:ascii="Verdana" w:eastAsia="Calibri" w:hAnsi="Verdana" w:cs="Arial"/>
          <w:sz w:val="20"/>
          <w:szCs w:val="20"/>
          <w:lang w:val="es-MX"/>
        </w:rPr>
        <w:t>que</w:t>
      </w:r>
      <w:proofErr w:type="gramEnd"/>
      <w:r w:rsidRPr="00817856">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w:t>
      </w:r>
      <w:r w:rsidRPr="00817856">
        <w:rPr>
          <w:rFonts w:ascii="Verdana" w:eastAsia="Calibri" w:hAnsi="Verdana" w:cs="Arial"/>
          <w:sz w:val="20"/>
          <w:szCs w:val="20"/>
          <w:lang w:val="es-MX"/>
        </w:rPr>
        <w:lastRenderedPageBreak/>
        <w:t>concurso</w:t>
      </w:r>
      <w:r w:rsidRPr="00817856">
        <w:rPr>
          <w:rFonts w:ascii="Verdana" w:eastAsia="Times New Roman" w:hAnsi="Verdana" w:cs="Arial"/>
          <w:sz w:val="20"/>
          <w:szCs w:val="20"/>
          <w:vertAlign w:val="superscript"/>
          <w:lang w:val="es-MX"/>
        </w:rPr>
        <w:footnoteReference w:id="13"/>
      </w:r>
      <w:r w:rsidRPr="00817856">
        <w:rPr>
          <w:rFonts w:ascii="Verdana" w:eastAsia="Times New Roman" w:hAnsi="Verdana" w:cs="Arial"/>
          <w:sz w:val="20"/>
          <w:szCs w:val="20"/>
          <w:vertAlign w:val="superscript"/>
          <w:lang w:val="es-MX"/>
        </w:rPr>
        <w:t>.</w:t>
      </w:r>
      <w:r w:rsidRPr="00817856">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817856">
        <w:rPr>
          <w:rFonts w:ascii="Verdana" w:eastAsia="Times New Roman" w:hAnsi="Verdana" w:cs="Arial"/>
          <w:sz w:val="20"/>
          <w:szCs w:val="20"/>
          <w:vertAlign w:val="superscript"/>
          <w:lang w:eastAsia="es-CO"/>
        </w:rPr>
        <w:footnoteReference w:id="14"/>
      </w:r>
      <w:r w:rsidRPr="00817856">
        <w:rPr>
          <w:rFonts w:ascii="Verdana" w:eastAsia="Calibri" w:hAnsi="Verdana" w:cs="Arial"/>
          <w:sz w:val="20"/>
          <w:szCs w:val="20"/>
          <w:lang w:val="es-MX"/>
        </w:rPr>
        <w:t xml:space="preserve"> .</w:t>
      </w:r>
    </w:p>
    <w:p w14:paraId="10E5DF05" w14:textId="77777777" w:rsidR="00861467" w:rsidRPr="0057193B" w:rsidRDefault="00861467" w:rsidP="00861467">
      <w:pPr>
        <w:shd w:val="clear" w:color="auto" w:fill="FFFFFF"/>
        <w:spacing w:after="0" w:line="276" w:lineRule="auto"/>
        <w:ind w:firstLine="709"/>
        <w:jc w:val="both"/>
        <w:rPr>
          <w:rFonts w:ascii="Verdana" w:eastAsia="Times New Roman" w:hAnsi="Verdana" w:cs="Arial"/>
          <w:lang w:eastAsia="x-none"/>
        </w:rPr>
      </w:pPr>
    </w:p>
    <w:p w14:paraId="5DA975B1" w14:textId="77777777" w:rsidR="00861467" w:rsidRPr="0057193B" w:rsidRDefault="00861467" w:rsidP="00861467">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4914EDF4" w14:textId="77777777" w:rsidR="00861467" w:rsidRPr="0057193B" w:rsidRDefault="00861467" w:rsidP="00861467">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42F97DA3" w14:textId="77777777" w:rsidR="00861467" w:rsidRPr="005154AE" w:rsidRDefault="00861467" w:rsidP="00861467">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w:t>
      </w:r>
      <w:r w:rsidRPr="0057193B">
        <w:rPr>
          <w:rFonts w:ascii="Verdana" w:eastAsia="Times New Roman" w:hAnsi="Verdana" w:cs="Arial"/>
          <w:lang w:eastAsia="x-none"/>
        </w:rPr>
        <w:lastRenderedPageBreak/>
        <w:t>limitarse a aquellas personas que previamente se hayan inscrito en una lista de precalificados o de simples interesados, o en un determinado registro o banco de datos de proveedores. En estos casos, lo determinante para considerar q</w:t>
      </w:r>
      <w:r>
        <w:rPr>
          <w:rFonts w:ascii="Verdana" w:eastAsia="Times New Roman" w:hAnsi="Verdana" w:cs="Arial"/>
          <w:lang w:eastAsia="x-none"/>
        </w:rPr>
        <w:t>ue dicho sistema no constituye “contratación directa”</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7855A171" w14:textId="77777777" w:rsidR="00861467" w:rsidRPr="0057193B" w:rsidRDefault="00861467" w:rsidP="00861467">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081F53FB" w14:textId="77777777" w:rsidR="00861467" w:rsidRPr="0057193B" w:rsidRDefault="00861467" w:rsidP="00861467">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34E57543" w14:textId="77777777" w:rsidR="00861467" w:rsidRPr="0057193B" w:rsidRDefault="00861467" w:rsidP="00861467">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1D06434" w14:textId="77777777" w:rsidR="00861467" w:rsidRPr="0057193B" w:rsidRDefault="00861467" w:rsidP="00861467">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w:t>
      </w:r>
      <w:r w:rsidRPr="0057193B">
        <w:rPr>
          <w:rFonts w:ascii="Verdana" w:eastAsia="Times New Roman" w:hAnsi="Verdana" w:cs="Arial"/>
          <w:bCs/>
          <w:lang w:val="es-MX" w:eastAsia="x-none"/>
        </w:rPr>
        <w:lastRenderedPageBreak/>
        <w:t xml:space="preserve">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2A10911" w14:textId="77777777" w:rsidR="00861467" w:rsidRPr="0057193B" w:rsidRDefault="00861467" w:rsidP="00861467">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0"/>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6E5936A" w14:textId="77777777" w:rsidR="00861467" w:rsidRPr="0057193B" w:rsidRDefault="00861467" w:rsidP="00861467">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w:t>
      </w:r>
      <w:r w:rsidRPr="0057193B">
        <w:rPr>
          <w:rFonts w:ascii="Verdana" w:eastAsia="Times New Roman" w:hAnsi="Verdana" w:cs="Arial"/>
          <w:bCs/>
          <w:lang w:val="es-ES_tradnl" w:eastAsia="x-none"/>
        </w:rPr>
        <w:lastRenderedPageBreak/>
        <w:t xml:space="preserve">Consulta y Servicio Civil del Consejo de Estado, en Concepto 1727 de fecha 20 de febrero de 2006, consideró que: </w:t>
      </w:r>
    </w:p>
    <w:p w14:paraId="705512DC" w14:textId="77777777" w:rsidR="00861467" w:rsidRPr="0057193B" w:rsidRDefault="00861467" w:rsidP="00861467">
      <w:pPr>
        <w:spacing w:after="0" w:line="276" w:lineRule="auto"/>
        <w:jc w:val="both"/>
        <w:rPr>
          <w:rFonts w:ascii="Verdana" w:eastAsia="Times New Roman" w:hAnsi="Verdana" w:cs="Arial"/>
          <w:bCs/>
          <w:lang w:val="es-MX" w:eastAsia="x-none"/>
        </w:rPr>
      </w:pPr>
    </w:p>
    <w:p w14:paraId="0AC17B76" w14:textId="77777777" w:rsidR="00861467" w:rsidRPr="0057193B" w:rsidRDefault="00861467" w:rsidP="00861467">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1"/>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3BAA02F5" w14:textId="77777777" w:rsidR="00861467" w:rsidRPr="0057193B" w:rsidRDefault="00861467" w:rsidP="00861467">
      <w:pPr>
        <w:spacing w:after="0" w:line="276" w:lineRule="auto"/>
        <w:ind w:firstLine="708"/>
        <w:jc w:val="both"/>
        <w:rPr>
          <w:rFonts w:ascii="Verdana" w:eastAsia="Times New Roman" w:hAnsi="Verdana" w:cs="Arial"/>
          <w:bCs/>
          <w:lang w:val="es-MX" w:eastAsia="es-CO"/>
        </w:rPr>
      </w:pPr>
    </w:p>
    <w:p w14:paraId="0440477A" w14:textId="77777777" w:rsidR="00861467" w:rsidRPr="0057193B" w:rsidRDefault="00861467" w:rsidP="00861467">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2"/>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3102B7F6" w14:textId="77777777" w:rsidR="00861467" w:rsidRPr="0057193B" w:rsidRDefault="00861467" w:rsidP="00861467">
      <w:pPr>
        <w:spacing w:after="0" w:line="276" w:lineRule="auto"/>
        <w:jc w:val="both"/>
        <w:rPr>
          <w:rFonts w:ascii="Verdana" w:eastAsia="Calibri" w:hAnsi="Verdana" w:cs="Arial"/>
          <w:lang w:val="es-MX"/>
        </w:rPr>
      </w:pPr>
    </w:p>
    <w:p w14:paraId="50582B63" w14:textId="77777777" w:rsidR="00861467" w:rsidRPr="001924B7" w:rsidRDefault="00861467" w:rsidP="00861467">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w:t>
      </w:r>
      <w:r w:rsidRPr="001924B7">
        <w:rPr>
          <w:rFonts w:ascii="Verdana" w:eastAsia="Calibri" w:hAnsi="Verdana" w:cs="Arial"/>
          <w:sz w:val="20"/>
          <w:szCs w:val="20"/>
          <w:lang w:val="es-MX"/>
        </w:rPr>
        <w:lastRenderedPageBreak/>
        <w:t>existentes, pues significaría la parálisis de una actividad propia de la administración, que incluso podría desconocer los derechos fundamentales.</w:t>
      </w:r>
    </w:p>
    <w:p w14:paraId="618558B1" w14:textId="77777777" w:rsidR="00861467" w:rsidRPr="001924B7" w:rsidRDefault="00861467" w:rsidP="00861467">
      <w:pPr>
        <w:spacing w:after="0" w:line="240" w:lineRule="auto"/>
        <w:ind w:left="708" w:right="709"/>
        <w:jc w:val="both"/>
        <w:rPr>
          <w:rFonts w:ascii="Verdana" w:eastAsia="Calibri" w:hAnsi="Verdana" w:cs="Arial"/>
          <w:sz w:val="20"/>
          <w:szCs w:val="20"/>
          <w:lang w:val="es-MX"/>
        </w:rPr>
      </w:pPr>
    </w:p>
    <w:p w14:paraId="53A87570" w14:textId="77777777" w:rsidR="00861467" w:rsidRPr="001924B7" w:rsidRDefault="00861467" w:rsidP="00861467">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3"/>
      </w:r>
      <w:r w:rsidRPr="001924B7">
        <w:rPr>
          <w:rFonts w:ascii="Verdana" w:eastAsia="Times New Roman" w:hAnsi="Verdana" w:cs="Arial"/>
          <w:bCs/>
          <w:sz w:val="20"/>
          <w:szCs w:val="20"/>
          <w:lang w:val="es-MX" w:eastAsia="x-none"/>
        </w:rPr>
        <w:t>.</w:t>
      </w:r>
    </w:p>
    <w:p w14:paraId="00AE1C30" w14:textId="77777777" w:rsidR="00861467" w:rsidRPr="0057193B" w:rsidRDefault="00861467" w:rsidP="00861467">
      <w:pPr>
        <w:spacing w:after="0" w:line="276" w:lineRule="auto"/>
        <w:jc w:val="both"/>
        <w:rPr>
          <w:rFonts w:ascii="Verdana" w:eastAsia="Calibri" w:hAnsi="Verdana" w:cs="Arial"/>
          <w:lang w:val="es-MX"/>
        </w:rPr>
      </w:pPr>
    </w:p>
    <w:p w14:paraId="327C1064" w14:textId="77777777" w:rsidR="00861467" w:rsidRPr="0057193B" w:rsidRDefault="00861467" w:rsidP="00861467">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5C8D9396" w14:textId="77777777" w:rsidR="00861467" w:rsidRDefault="00861467" w:rsidP="00861467">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w:t>
      </w:r>
      <w:r>
        <w:rPr>
          <w:rFonts w:ascii="Verdana" w:eastAsia="Times New Roman" w:hAnsi="Verdana" w:cs="Arial"/>
          <w:bCs/>
          <w:lang w:val="es-MX" w:eastAsia="x-none"/>
        </w:rPr>
        <w:lastRenderedPageBreak/>
        <w:t>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3E63BCDE" w14:textId="77777777" w:rsidR="00861467" w:rsidRPr="00186DE9" w:rsidRDefault="00861467" w:rsidP="00861467">
      <w:pPr>
        <w:spacing w:after="120" w:line="276" w:lineRule="auto"/>
        <w:ind w:firstLine="709"/>
        <w:jc w:val="both"/>
        <w:rPr>
          <w:rFonts w:ascii="Verdana" w:eastAsia="Times New Roman" w:hAnsi="Verdana" w:cs="Arial"/>
          <w:bCs/>
          <w:lang w:val="es-MX" w:eastAsia="x-none" w:bidi="es-ES"/>
        </w:rPr>
      </w:pPr>
      <w:r w:rsidRPr="00186DE9">
        <w:rPr>
          <w:rFonts w:ascii="Verdana" w:eastAsia="Times New Roman" w:hAnsi="Verdana" w:cs="Arial"/>
          <w:bCs/>
          <w:lang w:val="es-MX" w:eastAsia="x-none"/>
        </w:rPr>
        <w:t xml:space="preserve">En este sentido, todos los entes del Estado, independiente del régimen jurídico aplicable, están sujetos a la restricción del artículo 33 de la Ley 996 de 2005, es decir, no podrán adelantar sistema que implique contratación directa respecto de </w:t>
      </w:r>
      <w:r w:rsidRPr="00186DE9">
        <w:rPr>
          <w:rFonts w:ascii="Verdana" w:eastAsia="Times New Roman" w:hAnsi="Verdana" w:cs="Arial"/>
          <w:bCs/>
          <w:lang w:val="es-MX" w:eastAsia="x-none" w:bidi="es-ES"/>
        </w:rPr>
        <w:t xml:space="preserve">las elecciones presidenciales, dentro de los cuatro (4) meses anteriores a la celebración de los comicios, salvo las excepciones dispuestas en esta. </w:t>
      </w:r>
      <w:r w:rsidRPr="00186DE9">
        <w:rPr>
          <w:rFonts w:ascii="Verdana" w:eastAsia="Times New Roman" w:hAnsi="Verdana" w:cs="Arial"/>
          <w:bCs/>
          <w:lang w:val="es-MX" w:eastAsia="x-none"/>
        </w:rPr>
        <w:t>En efecto, los entes del Estado independiente de su régimen especial no podrán celebrar contratos de forma directa desde el 31 de enero de 2026, teniendo en cuenta que la Resolución 02580 del 5 de marzo de 2025 de la Registraduría Nacional del Estado Civil dispuso que las elecciones presidenciales se celebrarán el 31 de mayo de 2026.</w:t>
      </w:r>
    </w:p>
    <w:p w14:paraId="13516ADD" w14:textId="77777777" w:rsidR="00861467" w:rsidRPr="00A63F17" w:rsidRDefault="00861467" w:rsidP="00861467">
      <w:pPr>
        <w:spacing w:after="120" w:line="276" w:lineRule="auto"/>
        <w:ind w:firstLine="709"/>
        <w:jc w:val="both"/>
        <w:rPr>
          <w:rFonts w:ascii="Verdana" w:eastAsia="Times New Roman" w:hAnsi="Verdana" w:cs="Arial"/>
          <w:bCs/>
          <w:lang w:val="es-MX" w:eastAsia="x-none"/>
        </w:rPr>
      </w:pPr>
      <w:r w:rsidRPr="00355EA0">
        <w:rPr>
          <w:rFonts w:ascii="Verdana" w:eastAsia="Times New Roman" w:hAnsi="Verdana" w:cs="Arial"/>
          <w:bCs/>
          <w:lang w:val="es-MX" w:eastAsia="x-none" w:bidi="es-ES"/>
        </w:rPr>
        <w:t>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Times New Roman" w:hAnsi="Verdana" w:cs="Arial"/>
          <w:bCs/>
          <w:lang w:val="es-MX" w:eastAsia="x-none" w:bidi="es-ES"/>
        </w:rPr>
        <w:t>, que, de acuerdo con lo expuesto, se celebraría el 21 de junio de 2026.</w:t>
      </w:r>
    </w:p>
    <w:p w14:paraId="357D6E70" w14:textId="77777777" w:rsidR="00861467" w:rsidRPr="003B7D6C" w:rsidRDefault="00861467" w:rsidP="00861467">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8028379" w14:textId="77777777" w:rsidR="00861467" w:rsidRPr="004C2E9A" w:rsidRDefault="00861467" w:rsidP="00861467">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lastRenderedPageBreak/>
        <w:t>Finalmente, se reitera, c</w:t>
      </w:r>
      <w:r w:rsidRPr="0057193B">
        <w:rPr>
          <w:rFonts w:ascii="Verdana" w:eastAsia="Times New Roman" w:hAnsi="Verdana" w:cs="Arial"/>
          <w:bCs/>
          <w:lang w:val="es-MX" w:eastAsia="es-CO"/>
        </w:rPr>
        <w:t xml:space="preserve">omo en otras oportunidades lo ha manifestado esta Agencia, que las prórrogas, modificaciones o adiciones de los contratos suscritos antes de la entrada en vigor de las prohibiciones anotadas, así como la cesión de </w:t>
      </w:r>
      <w:proofErr w:type="gramStart"/>
      <w:r w:rsidRPr="0057193B">
        <w:rPr>
          <w:rFonts w:ascii="Verdana" w:eastAsia="Times New Roman" w:hAnsi="Verdana" w:cs="Arial"/>
          <w:bCs/>
          <w:lang w:val="es-MX" w:eastAsia="es-CO"/>
        </w:rPr>
        <w:t>los mismos</w:t>
      </w:r>
      <w:proofErr w:type="gramEnd"/>
      <w:r w:rsidRPr="0057193B">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5"/>
      </w:r>
      <w:r w:rsidRPr="0057193B">
        <w:rPr>
          <w:rFonts w:ascii="Verdana" w:eastAsia="Times New Roman" w:hAnsi="Verdana" w:cs="Arial"/>
          <w:bCs/>
          <w:lang w:val="es-MX" w:eastAsia="es-CO"/>
        </w:rPr>
        <w:t>. Además, también es posible que contratos celebrados previamente se continúen ejecutando con normalidad.</w:t>
      </w:r>
    </w:p>
    <w:p w14:paraId="037A890F" w14:textId="77777777" w:rsidR="00861467" w:rsidRDefault="00861467" w:rsidP="00861467">
      <w:pPr>
        <w:spacing w:after="0" w:line="276" w:lineRule="auto"/>
        <w:jc w:val="both"/>
        <w:rPr>
          <w:rFonts w:ascii="Verdana" w:eastAsia="Arial" w:hAnsi="Verdana" w:cs="Arial"/>
          <w:lang w:val="es-ES" w:eastAsia="es-ES" w:bidi="es-ES"/>
        </w:rPr>
      </w:pPr>
    </w:p>
    <w:p w14:paraId="0EE8BE99" w14:textId="77777777" w:rsidR="00861467" w:rsidRPr="00667CD6" w:rsidRDefault="00861467" w:rsidP="00861467">
      <w:pPr>
        <w:spacing w:after="120" w:line="276" w:lineRule="auto"/>
        <w:jc w:val="both"/>
        <w:rPr>
          <w:rFonts w:ascii="Verdana" w:hAnsi="Verdana" w:cs="Arial"/>
          <w:lang w:val="es-ES"/>
        </w:rPr>
      </w:pPr>
      <w:proofErr w:type="spellStart"/>
      <w:r>
        <w:rPr>
          <w:rFonts w:ascii="Verdana" w:eastAsia="Arial" w:hAnsi="Verdana" w:cs="Arial"/>
          <w:lang w:val="es-ES" w:eastAsia="es-ES" w:bidi="es-ES"/>
        </w:rPr>
        <w:t>iv</w:t>
      </w:r>
      <w:proofErr w:type="spellEnd"/>
      <w:r>
        <w:rPr>
          <w:rFonts w:ascii="Verdana" w:eastAsia="Arial" w:hAnsi="Verdana" w:cs="Arial"/>
          <w:lang w:val="es-ES" w:eastAsia="es-ES" w:bidi="es-ES"/>
        </w:rPr>
        <w:t xml:space="preserve">. </w:t>
      </w:r>
      <w:r w:rsidRPr="00667CD6">
        <w:rPr>
          <w:rFonts w:ascii="Verdana" w:hAnsi="Verdana" w:cs="Arial"/>
          <w:lang w:val="es-ES"/>
        </w:rPr>
        <w:t xml:space="preserve">Ahora bien, respecto del alcance del parágrafo </w:t>
      </w:r>
      <w:r w:rsidRPr="00667CD6">
        <w:rPr>
          <w:rFonts w:ascii="Verdana" w:hAnsi="Verdana" w:cs="Arial"/>
        </w:rPr>
        <w:t xml:space="preserve">del artículo 38 de la Ley 996 de 2005, esta prohibición dispone </w:t>
      </w:r>
      <w:r>
        <w:rPr>
          <w:rFonts w:ascii="Verdana" w:hAnsi="Verdana" w:cs="Arial"/>
        </w:rPr>
        <w:t xml:space="preserve">en primera medida </w:t>
      </w:r>
      <w:r w:rsidRPr="00667CD6">
        <w:rPr>
          <w:rFonts w:ascii="Verdana" w:hAnsi="Verdana" w:cs="Arial"/>
        </w:rPr>
        <w:t xml:space="preserve">que: “[l]os Gobernadores, </w:t>
      </w:r>
      <w:proofErr w:type="gramStart"/>
      <w:r w:rsidRPr="00667CD6">
        <w:rPr>
          <w:rFonts w:ascii="Verdana" w:hAnsi="Verdana" w:cs="Arial"/>
        </w:rPr>
        <w:t>Alcaldes</w:t>
      </w:r>
      <w:proofErr w:type="gramEnd"/>
      <w:r w:rsidRPr="00667CD6">
        <w:rPr>
          <w:rFonts w:ascii="Verdana" w:hAnsi="Verdana" w:cs="Arial"/>
        </w:rPr>
        <w:t xml:space="preserve"> Municipales y/o Distritales, </w:t>
      </w:r>
      <w:proofErr w:type="gramStart"/>
      <w:r w:rsidRPr="00667CD6">
        <w:rPr>
          <w:rFonts w:ascii="Verdana" w:hAnsi="Verdana" w:cs="Arial"/>
        </w:rPr>
        <w:t>Secretarios</w:t>
      </w:r>
      <w:proofErr w:type="gramEnd"/>
      <w:r w:rsidRPr="00667CD6">
        <w:rPr>
          <w:rFonts w:ascii="Verdana" w:hAnsi="Verdana" w:cs="Arial"/>
        </w:rPr>
        <w:t xml:space="preserve">, Gerentes y directores de Entidades Descentralizadas del orden Municipal, Departamental o Distrital, dentro de los cuatro (4) meses anteriores a las elecciones, no podrán celebrar </w:t>
      </w:r>
      <w:r w:rsidRPr="00667CD6">
        <w:rPr>
          <w:rFonts w:ascii="Verdana" w:hAnsi="Verdana" w:cs="Arial"/>
          <w:i/>
          <w:iCs/>
        </w:rPr>
        <w:t>convenios interadministrativos</w:t>
      </w:r>
      <w:r w:rsidRPr="00667CD6">
        <w:rPr>
          <w:rFonts w:ascii="Verdana" w:hAnsi="Verdana" w:cs="Arial"/>
        </w:rPr>
        <w:t xml:space="preserve"> </w:t>
      </w:r>
      <w:r w:rsidRPr="00667CD6">
        <w:rPr>
          <w:rFonts w:ascii="Verdana" w:hAnsi="Verdana" w:cs="Arial"/>
          <w:i/>
          <w:iCs/>
        </w:rPr>
        <w:t>para la ejecución de recursos públicos</w:t>
      </w:r>
      <w:r w:rsidRPr="00667CD6">
        <w:rPr>
          <w:rFonts w:ascii="Verdana" w:hAnsi="Verdana" w:cs="Arial"/>
        </w:rPr>
        <w:t>”.</w:t>
      </w:r>
      <w:r w:rsidRPr="00667CD6">
        <w:rPr>
          <w:rFonts w:ascii="Verdana" w:eastAsia="Times New Roman" w:hAnsi="Verdana" w:cs="Arial"/>
          <w:lang w:val="es-MX" w:eastAsia="x-none"/>
        </w:rPr>
        <w:t xml:space="preserve"> [Énfasis fuera del texto original]</w:t>
      </w:r>
    </w:p>
    <w:p w14:paraId="11E4A543" w14:textId="77777777" w:rsidR="00861467" w:rsidRPr="00667CD6" w:rsidRDefault="00861467" w:rsidP="00861467">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6"/>
      </w:r>
      <w:r w:rsidRPr="00667CD6">
        <w:rPr>
          <w:rFonts w:ascii="Verdana" w:hAnsi="Verdana" w:cs="Arial"/>
          <w:lang w:eastAsia="es-ES"/>
        </w:rPr>
        <w:t>.</w:t>
      </w:r>
    </w:p>
    <w:p w14:paraId="0BA4BF3A" w14:textId="77777777" w:rsidR="00861467" w:rsidRPr="00667CD6" w:rsidRDefault="00861467" w:rsidP="00861467">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A48DD46" w14:textId="77777777" w:rsidR="00861467" w:rsidRPr="00667CD6" w:rsidRDefault="00861467" w:rsidP="00861467">
      <w:pPr>
        <w:spacing w:before="120" w:after="0" w:line="276" w:lineRule="auto"/>
        <w:ind w:firstLine="708"/>
        <w:jc w:val="both"/>
        <w:rPr>
          <w:rFonts w:ascii="Verdana" w:hAnsi="Verdana" w:cs="Arial"/>
          <w:lang w:val="es-ES_tradnl"/>
        </w:rPr>
      </w:pPr>
      <w:r w:rsidRPr="2035D652">
        <w:rPr>
          <w:rFonts w:ascii="Verdana" w:hAnsi="Verdana" w:cs="Arial"/>
          <w:lang w:val="es-ES"/>
        </w:rPr>
        <w:t xml:space="preserve">Un contrato o convenio interadministrativo no está determinado por la modalidad de selección utilizada para celebrarlo. La Ley 1150 de 2007 establece que pueden celebrarse directamente, siempre que las obligaciones derivadas del </w:t>
      </w:r>
      <w:r w:rsidRPr="2035D652">
        <w:rPr>
          <w:rFonts w:ascii="Verdana" w:hAnsi="Verdana" w:cs="Arial"/>
          <w:lang w:val="es-ES"/>
        </w:rPr>
        <w:lastRenderedPageBreak/>
        <w:t>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7"/>
      </w:r>
      <w:r w:rsidRPr="2035D652">
        <w:rPr>
          <w:rFonts w:ascii="Verdana" w:hAnsi="Verdana" w:cs="Arial"/>
          <w:lang w:val="es-ES"/>
        </w:rPr>
        <w:t>. Nótese que, en este caso, lo que cambia es la modalidad de selección y no la naturaleza de contrato interadministrativo.</w:t>
      </w:r>
    </w:p>
    <w:p w14:paraId="685DB206" w14:textId="77777777" w:rsidR="00861467" w:rsidRPr="00667CD6" w:rsidRDefault="00861467" w:rsidP="00861467">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8"/>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6D838A16" w14:textId="77777777" w:rsidR="00861467" w:rsidRPr="00667CD6" w:rsidRDefault="00861467" w:rsidP="00861467">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29"/>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6A555C22" w14:textId="77777777" w:rsidR="00861467" w:rsidRDefault="00861467" w:rsidP="00861467">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 xml:space="preserve">alcaldías, gobernaciones, </w:t>
      </w:r>
      <w:r w:rsidRPr="00E60AD8">
        <w:rPr>
          <w:rFonts w:ascii="Verdana" w:eastAsia="Times New Roman" w:hAnsi="Verdana" w:cs="Arial"/>
          <w:lang w:eastAsia="es-CO"/>
        </w:rPr>
        <w:lastRenderedPageBreak/>
        <w:t>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67BC8527" w14:textId="77777777" w:rsidR="00861467" w:rsidRPr="00E60AD8" w:rsidRDefault="00861467" w:rsidP="00861467">
      <w:pPr>
        <w:spacing w:before="120" w:after="0" w:line="276" w:lineRule="auto"/>
        <w:ind w:firstLine="708"/>
        <w:jc w:val="both"/>
        <w:rPr>
          <w:rFonts w:ascii="Verdana" w:eastAsia="Calibri" w:hAnsi="Verdana" w:cs="Arial"/>
          <w:color w:val="000000"/>
        </w:rPr>
      </w:pPr>
      <w:r>
        <w:rPr>
          <w:rFonts w:ascii="Verdana" w:eastAsia="Times New Roman" w:hAnsi="Verdana" w:cs="Arial"/>
          <w:lang w:val="es-MX" w:eastAsia="es-CO"/>
        </w:rPr>
        <w:t xml:space="preserve">En este aspecto, se destaca que uno de los sujetos de aplicación de dicha restricción son las entidades descentralizadas por servicios, </w:t>
      </w:r>
      <w:r>
        <w:rPr>
          <w:rFonts w:ascii="Verdana" w:eastAsia="Times New Roman" w:hAnsi="Verdana" w:cs="Arial"/>
          <w:lang w:eastAsia="es-CO"/>
        </w:rPr>
        <w:t xml:space="preserve">las cuales </w:t>
      </w:r>
      <w:r w:rsidRPr="004A1A19">
        <w:rPr>
          <w:rFonts w:ascii="Verdana" w:eastAsia="Calibri" w:hAnsi="Verdana" w:cs="Arial"/>
          <w:color w:val="000000"/>
        </w:rPr>
        <w:t>–sin perjuicio del control de tutela– tienen personería jurídica, autonomía administrativa y patrimonio propio.</w:t>
      </w:r>
      <w:r w:rsidRPr="004A1A19">
        <w:rPr>
          <w:rFonts w:ascii="Verdana" w:eastAsia="Calibri" w:hAnsi="Verdana" w:cs="Arial"/>
          <w:b/>
          <w:bCs/>
          <w:color w:val="000000"/>
        </w:rPr>
        <w:t xml:space="preserve"> </w:t>
      </w:r>
      <w:r>
        <w:rPr>
          <w:rFonts w:ascii="Verdana" w:eastAsia="Calibri" w:hAnsi="Verdana" w:cs="Arial"/>
          <w:color w:val="000000"/>
        </w:rPr>
        <w:t xml:space="preserve">Dentro de la categoría amplia de entidades descentralizadas por servicios se encuentran las Empresas Industriales y Comerciales del Estado, los establecimientos públicos, las sociedades públicas, las sociedades de economía mixta, las empresas sociales del Estado, entre otras entidades. </w:t>
      </w:r>
    </w:p>
    <w:p w14:paraId="464D0C39" w14:textId="77777777" w:rsidR="00861467" w:rsidRDefault="00861467" w:rsidP="00861467">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14DAC57F" w14:textId="77777777" w:rsidR="00861467" w:rsidRPr="00667CD6" w:rsidRDefault="00861467" w:rsidP="00861467">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0"/>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w:t>
      </w:r>
      <w:r>
        <w:rPr>
          <w:rFonts w:ascii="Verdana" w:eastAsia="Times New Roman" w:hAnsi="Verdana" w:cs="Arial"/>
          <w:lang w:eastAsia="es-CO"/>
        </w:rPr>
        <w:lastRenderedPageBreak/>
        <w:t xml:space="preserve">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27D743FF" w14:textId="77777777" w:rsidR="00861467" w:rsidRPr="00667CD6" w:rsidRDefault="00861467" w:rsidP="00861467">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08586395" w14:textId="77777777" w:rsidR="00861467" w:rsidRPr="00667CD6" w:rsidRDefault="00861467" w:rsidP="00861467">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w:t>
      </w:r>
      <w:proofErr w:type="gramStart"/>
      <w:r w:rsidRPr="00667CD6">
        <w:rPr>
          <w:rFonts w:ascii="Verdana" w:eastAsia="Times New Roman" w:hAnsi="Verdana" w:cs="Arial"/>
          <w:lang w:eastAsia="es-CO"/>
        </w:rPr>
        <w:t>que</w:t>
      </w:r>
      <w:proofErr w:type="gramEnd"/>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1"/>
      </w:r>
      <w:r w:rsidRPr="00667CD6">
        <w:rPr>
          <w:rFonts w:ascii="Verdana" w:hAnsi="Verdana" w:cs="Arial"/>
        </w:rPr>
        <w:t xml:space="preserve">: </w:t>
      </w:r>
    </w:p>
    <w:p w14:paraId="41F10BB8" w14:textId="77777777" w:rsidR="00861467" w:rsidRPr="00667CD6" w:rsidRDefault="00861467" w:rsidP="00861467">
      <w:pPr>
        <w:spacing w:after="0" w:line="276" w:lineRule="auto"/>
        <w:ind w:firstLine="709"/>
        <w:jc w:val="both"/>
        <w:rPr>
          <w:rFonts w:ascii="Verdana" w:hAnsi="Verdana" w:cs="Arial"/>
        </w:rPr>
      </w:pPr>
    </w:p>
    <w:p w14:paraId="575B5B59" w14:textId="77777777" w:rsidR="00861467" w:rsidRPr="00667CD6" w:rsidRDefault="00861467" w:rsidP="00861467">
      <w:pPr>
        <w:spacing w:after="12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w:t>
      </w:r>
      <w:r w:rsidRPr="00667CD6">
        <w:rPr>
          <w:rFonts w:ascii="Verdana" w:hAnsi="Verdana" w:cs="Arial"/>
          <w:sz w:val="20"/>
          <w:szCs w:val="20"/>
        </w:rPr>
        <w:lastRenderedPageBreak/>
        <w:t>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66CC4670" w14:textId="77777777" w:rsidR="00861467" w:rsidRPr="00667CD6" w:rsidRDefault="00861467" w:rsidP="00861467">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45B7201D" w14:textId="77777777" w:rsidR="00861467" w:rsidRPr="00667CD6" w:rsidRDefault="00861467" w:rsidP="00861467">
      <w:pPr>
        <w:spacing w:after="0" w:line="276" w:lineRule="auto"/>
        <w:ind w:left="709" w:right="709"/>
        <w:jc w:val="both"/>
        <w:rPr>
          <w:rFonts w:ascii="Verdana" w:hAnsi="Verdana" w:cs="Arial"/>
        </w:rPr>
      </w:pPr>
    </w:p>
    <w:p w14:paraId="1D57C1D1" w14:textId="77777777" w:rsidR="00861467" w:rsidRPr="00667CD6" w:rsidRDefault="00861467" w:rsidP="00861467">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4AB33B21" w14:textId="77777777" w:rsidR="00861467" w:rsidRPr="00667CD6" w:rsidRDefault="00861467" w:rsidP="00861467">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2"/>
      </w:r>
      <w:r w:rsidRPr="00667CD6">
        <w:rPr>
          <w:rFonts w:ascii="Verdana" w:eastAsia="Arial" w:hAnsi="Verdana" w:cs="Arial"/>
          <w:lang w:eastAsia="es-ES" w:bidi="es-ES"/>
        </w:rPr>
        <w:t xml:space="preserve">. Para tales </w:t>
      </w:r>
      <w:r w:rsidRPr="00667CD6">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58F03069" w14:textId="77777777" w:rsidR="00861467" w:rsidRDefault="00861467" w:rsidP="00861467">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117E1AAB" w14:textId="77777777" w:rsidR="00861467" w:rsidRDefault="00861467" w:rsidP="00861467">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3"/>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DD1C287" w14:textId="77777777" w:rsidR="00861467" w:rsidRDefault="00861467" w:rsidP="00861467">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 xml:space="preserve">en la sentencia expedida </w:t>
      </w:r>
      <w:r w:rsidRPr="2035D652">
        <w:rPr>
          <w:rFonts w:ascii="Verdana" w:eastAsia="Times New Roman" w:hAnsi="Verdana" w:cs="Arial"/>
          <w:lang w:eastAsia="es-CO"/>
        </w:rPr>
        <w:lastRenderedPageBreak/>
        <w:t>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4"/>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6320758E" w14:textId="77777777" w:rsidR="00861467" w:rsidRDefault="00861467" w:rsidP="00861467">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6F4AB17C" w14:textId="77777777" w:rsidR="00861467" w:rsidRDefault="00861467" w:rsidP="00861467">
      <w:pPr>
        <w:spacing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r w:rsidRPr="00667CD6">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667CD6">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1F87C747" w14:textId="77777777" w:rsidR="00861467" w:rsidRDefault="00861467" w:rsidP="00861467">
      <w:pPr>
        <w:spacing w:after="0" w:line="276" w:lineRule="auto"/>
        <w:jc w:val="both"/>
        <w:rPr>
          <w:rFonts w:ascii="Verdana" w:eastAsia="Times New Roman" w:hAnsi="Verdana" w:cs="Arial"/>
          <w:lang w:eastAsia="es-CO"/>
        </w:rPr>
      </w:pPr>
    </w:p>
    <w:p w14:paraId="36F4B18E" w14:textId="77777777" w:rsidR="00861467" w:rsidRPr="00B57A1B" w:rsidRDefault="00861467" w:rsidP="00861467">
      <w:pPr>
        <w:spacing w:after="120" w:line="276" w:lineRule="auto"/>
        <w:jc w:val="both"/>
        <w:rPr>
          <w:rFonts w:ascii="Verdana" w:eastAsiaTheme="minorEastAsia" w:hAnsi="Verdana" w:cs="Arial"/>
          <w:lang w:eastAsia="es-CO"/>
        </w:rPr>
      </w:pPr>
      <w:r>
        <w:rPr>
          <w:rFonts w:ascii="Verdana" w:eastAsia="Arial" w:hAnsi="Verdana" w:cs="Arial"/>
          <w:lang w:val="es-ES" w:eastAsia="es-ES" w:bidi="es-ES"/>
        </w:rPr>
        <w:t xml:space="preserve">v. </w:t>
      </w:r>
      <w:r w:rsidRPr="00B57A1B">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35"/>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644C685B" w14:textId="77777777" w:rsidR="00861467" w:rsidRPr="00B57A1B" w:rsidRDefault="00861467" w:rsidP="00861467">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36"/>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624C47BE" w14:textId="77777777" w:rsidR="00861467" w:rsidRPr="00B57A1B" w:rsidRDefault="00861467" w:rsidP="00861467">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w:t>
      </w:r>
      <w:r>
        <w:rPr>
          <w:rFonts w:ascii="Verdana" w:eastAsiaTheme="minorEastAsia" w:hAnsi="Verdana" w:cs="Arial"/>
          <w:lang w:eastAsia="es-CO"/>
        </w:rPr>
        <w:t>ante y otra como contratista. En esta línea</w:t>
      </w:r>
      <w:r w:rsidRPr="00B57A1B">
        <w:rPr>
          <w:rFonts w:ascii="Verdana" w:eastAsiaTheme="minorEastAsia" w:hAnsi="Verdana" w:cs="Arial"/>
          <w:lang w:eastAsia="es-CO"/>
        </w:rPr>
        <w:t xml:space="preserve">, la doctrina expresa: </w:t>
      </w:r>
    </w:p>
    <w:p w14:paraId="23693850" w14:textId="77777777" w:rsidR="00861467" w:rsidRPr="00B57A1B" w:rsidRDefault="00861467" w:rsidP="00861467">
      <w:pPr>
        <w:spacing w:after="0" w:line="276" w:lineRule="auto"/>
        <w:ind w:firstLine="709"/>
        <w:jc w:val="both"/>
        <w:rPr>
          <w:rFonts w:ascii="Verdana" w:eastAsiaTheme="minorEastAsia" w:hAnsi="Verdana" w:cs="Arial"/>
          <w:lang w:eastAsia="es-CO"/>
        </w:rPr>
      </w:pPr>
    </w:p>
    <w:p w14:paraId="16A22B4F" w14:textId="77777777" w:rsidR="00861467" w:rsidRPr="000E225C" w:rsidRDefault="00861467" w:rsidP="00861467">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 xml:space="preserve">“De acuerdo con todo lo anteriormente expuesto, podemos manifestar que el convenio interadministrativo es el negocio jurídico en el cual están </w:t>
      </w:r>
      <w:r w:rsidRPr="000E225C">
        <w:rPr>
          <w:rFonts w:ascii="Verdana" w:eastAsiaTheme="minorEastAsia" w:hAnsi="Verdana" w:cs="Arial"/>
          <w:sz w:val="20"/>
          <w:szCs w:val="20"/>
          <w:lang w:eastAsia="es-CO"/>
        </w:rPr>
        <w:lastRenderedPageBreak/>
        <w:t>presentes dos entidades públicas en desarrollo de relaciones interadministrativas cuyo objeto es coordinar, cooperar, colaborar o distribuir competencias en la realización de funciones administrativas de interés común a los sujetos negociales.</w:t>
      </w:r>
    </w:p>
    <w:p w14:paraId="66642BCC" w14:textId="77777777" w:rsidR="00861467" w:rsidRPr="000E225C" w:rsidRDefault="00861467" w:rsidP="00861467">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w:t>
      </w:r>
    </w:p>
    <w:p w14:paraId="2BF1107F" w14:textId="77777777" w:rsidR="00861467" w:rsidRPr="000E225C" w:rsidRDefault="00861467" w:rsidP="00861467">
      <w:pPr>
        <w:autoSpaceDE w:val="0"/>
        <w:autoSpaceDN w:val="0"/>
        <w:adjustRightInd w:val="0"/>
        <w:spacing w:after="0" w:line="240" w:lineRule="auto"/>
        <w:ind w:left="709" w:right="709"/>
        <w:jc w:val="both"/>
        <w:rPr>
          <w:rFonts w:ascii="Verdana" w:hAnsi="Verdana" w:cs="Weiss"/>
          <w:sz w:val="20"/>
          <w:szCs w:val="19"/>
        </w:rPr>
      </w:pPr>
      <w:r w:rsidRPr="000E225C">
        <w:rPr>
          <w:rFonts w:ascii="Verdana" w:hAnsi="Verdana" w:cs="Weiss"/>
          <w:sz w:val="20"/>
          <w:szCs w:val="19"/>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0E225C">
        <w:rPr>
          <w:rFonts w:ascii="Verdana" w:hAnsi="Verdana" w:cs="Weiss"/>
          <w:sz w:val="20"/>
          <w:szCs w:val="19"/>
          <w:vertAlign w:val="superscript"/>
        </w:rPr>
        <w:footnoteReference w:id="37"/>
      </w:r>
      <w:r w:rsidRPr="000E225C">
        <w:rPr>
          <w:rFonts w:ascii="Verdana" w:hAnsi="Verdana" w:cs="Weiss"/>
          <w:sz w:val="20"/>
          <w:szCs w:val="19"/>
        </w:rPr>
        <w:t>.</w:t>
      </w:r>
    </w:p>
    <w:p w14:paraId="5A129461" w14:textId="77777777" w:rsidR="00861467" w:rsidRPr="00B57A1B" w:rsidRDefault="00861467" w:rsidP="00861467">
      <w:pPr>
        <w:spacing w:after="120" w:line="276" w:lineRule="auto"/>
        <w:jc w:val="both"/>
        <w:rPr>
          <w:rFonts w:ascii="Verdana" w:eastAsiaTheme="minorEastAsia" w:hAnsi="Verdana" w:cs="Arial"/>
          <w:lang w:eastAsia="es-CO"/>
        </w:rPr>
      </w:pPr>
    </w:p>
    <w:p w14:paraId="15D32894" w14:textId="77777777" w:rsidR="00861467" w:rsidRPr="00B57A1B" w:rsidRDefault="00861467" w:rsidP="00861467">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38"/>
      </w:r>
      <w:r w:rsidRPr="00B57A1B">
        <w:rPr>
          <w:rFonts w:ascii="Verdana" w:eastAsiaTheme="minorEastAsia" w:hAnsi="Verdana" w:cs="Arial"/>
          <w:lang w:eastAsia="es-CO"/>
        </w:rPr>
        <w:t xml:space="preserve">. De esta manera, el Consejo de Estado expresa:  </w:t>
      </w:r>
    </w:p>
    <w:p w14:paraId="60C87959" w14:textId="77777777" w:rsidR="00861467" w:rsidRPr="00B57A1B" w:rsidRDefault="00861467" w:rsidP="00861467">
      <w:pPr>
        <w:widowControl w:val="0"/>
        <w:autoSpaceDE w:val="0"/>
        <w:autoSpaceDN w:val="0"/>
        <w:spacing w:after="120" w:line="276" w:lineRule="auto"/>
        <w:jc w:val="both"/>
        <w:rPr>
          <w:rFonts w:ascii="Verdana" w:eastAsia="Arial MT" w:hAnsi="Verdana" w:cs="Arial MT"/>
        </w:rPr>
      </w:pPr>
    </w:p>
    <w:p w14:paraId="05E44565" w14:textId="77777777" w:rsidR="00861467" w:rsidRPr="000E225C" w:rsidRDefault="00861467" w:rsidP="00861467">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2146E30C" w14:textId="77777777" w:rsidR="00861467" w:rsidRPr="000E225C" w:rsidRDefault="00861467" w:rsidP="00861467">
      <w:pPr>
        <w:widowControl w:val="0"/>
        <w:autoSpaceDE w:val="0"/>
        <w:autoSpaceDN w:val="0"/>
        <w:spacing w:after="0" w:line="240" w:lineRule="auto"/>
        <w:ind w:left="709" w:right="709"/>
        <w:jc w:val="both"/>
        <w:rPr>
          <w:rFonts w:ascii="Verdana" w:eastAsia="Arial MT" w:hAnsi="Verdana" w:cs="Arial MT"/>
          <w:sz w:val="20"/>
          <w:szCs w:val="19"/>
        </w:rPr>
      </w:pPr>
    </w:p>
    <w:p w14:paraId="37811568" w14:textId="77777777" w:rsidR="00861467" w:rsidRPr="000E225C" w:rsidRDefault="00861467" w:rsidP="00861467">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w:t>
      </w:r>
      <w:r w:rsidRPr="000E225C">
        <w:rPr>
          <w:rFonts w:ascii="Verdana" w:eastAsia="Arial MT" w:hAnsi="Verdana" w:cs="Arial MT"/>
          <w:i/>
          <w:iCs/>
          <w:sz w:val="20"/>
          <w:szCs w:val="19"/>
        </w:rPr>
        <w:lastRenderedPageBreak/>
        <w:t xml:space="preserve">“contrato”,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6E1F0CA6" w14:textId="77777777" w:rsidR="00861467" w:rsidRPr="000E225C" w:rsidRDefault="00861467" w:rsidP="00861467">
      <w:pPr>
        <w:widowControl w:val="0"/>
        <w:autoSpaceDE w:val="0"/>
        <w:autoSpaceDN w:val="0"/>
        <w:spacing w:after="0" w:line="240" w:lineRule="auto"/>
        <w:ind w:left="709" w:right="709"/>
        <w:jc w:val="both"/>
        <w:rPr>
          <w:rFonts w:ascii="Verdana" w:eastAsia="Arial MT" w:hAnsi="Verdana" w:cs="Arial MT"/>
          <w:sz w:val="20"/>
          <w:szCs w:val="19"/>
        </w:rPr>
      </w:pPr>
    </w:p>
    <w:p w14:paraId="38351C4A" w14:textId="77777777" w:rsidR="00861467" w:rsidRPr="000E225C" w:rsidRDefault="00861467" w:rsidP="00861467">
      <w:pPr>
        <w:widowControl w:val="0"/>
        <w:autoSpaceDE w:val="0"/>
        <w:autoSpaceDN w:val="0"/>
        <w:spacing w:after="0" w:line="240" w:lineRule="auto"/>
        <w:ind w:left="709" w:right="709"/>
        <w:jc w:val="both"/>
        <w:rPr>
          <w:rFonts w:ascii="Verdana" w:eastAsia="Arial MT" w:hAnsi="Verdana" w:cs="Arial MT"/>
          <w:sz w:val="20"/>
          <w:szCs w:val="19"/>
          <w:lang w:val="es-ES"/>
        </w:rPr>
      </w:pPr>
      <w:r w:rsidRPr="000E225C">
        <w:rPr>
          <w:rFonts w:ascii="Verdana" w:eastAsia="Arial MT" w:hAnsi="Verdana" w:cs="Arial MT"/>
          <w:i/>
          <w:iCs/>
          <w:sz w:val="20"/>
          <w:szCs w:val="19"/>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0E225C">
        <w:rPr>
          <w:rFonts w:ascii="Verdana" w:eastAsia="Arial MT" w:hAnsi="Verdana" w:cs="Arial MT"/>
          <w:i/>
          <w:iCs/>
          <w:sz w:val="20"/>
          <w:szCs w:val="19"/>
          <w:vertAlign w:val="superscript"/>
        </w:rPr>
        <w:footnoteReference w:id="39"/>
      </w:r>
      <w:r w:rsidRPr="000E225C">
        <w:rPr>
          <w:rFonts w:ascii="Verdana" w:eastAsia="Arial MT" w:hAnsi="Verdana" w:cs="Arial MT"/>
          <w:i/>
          <w:iCs/>
          <w:sz w:val="20"/>
          <w:szCs w:val="19"/>
        </w:rPr>
        <w:t>.</w:t>
      </w:r>
    </w:p>
    <w:p w14:paraId="688B1095" w14:textId="77777777" w:rsidR="00861467" w:rsidRPr="00B57A1B" w:rsidRDefault="00861467" w:rsidP="00861467">
      <w:pPr>
        <w:spacing w:after="120" w:line="276" w:lineRule="auto"/>
        <w:ind w:firstLine="709"/>
        <w:jc w:val="both"/>
        <w:rPr>
          <w:rFonts w:ascii="Verdana" w:eastAsiaTheme="minorEastAsia" w:hAnsi="Verdana" w:cs="Arial"/>
          <w:lang w:val="es-ES" w:eastAsia="es-CO"/>
        </w:rPr>
      </w:pPr>
    </w:p>
    <w:p w14:paraId="3A080BD5" w14:textId="77777777" w:rsidR="00861467" w:rsidRPr="00771E47" w:rsidRDefault="00861467" w:rsidP="00861467">
      <w:pPr>
        <w:spacing w:after="120" w:line="276" w:lineRule="auto"/>
        <w:ind w:firstLine="708"/>
        <w:jc w:val="both"/>
        <w:rPr>
          <w:rFonts w:ascii="Verdana" w:eastAsiaTheme="minorEastAsia" w:hAnsi="Verdana" w:cs="Arial"/>
          <w:lang w:eastAsia="es-CO"/>
        </w:rPr>
      </w:pPr>
      <w:r>
        <w:rPr>
          <w:rFonts w:ascii="Verdana" w:eastAsiaTheme="minorEastAsia" w:hAnsi="Verdana" w:cs="Arial"/>
          <w:lang w:eastAsia="es-CO"/>
        </w:rPr>
        <w:t>De lo expuesto, se encuentra que l</w:t>
      </w:r>
      <w:r w:rsidRPr="00771E47">
        <w:rPr>
          <w:rFonts w:ascii="Verdana" w:eastAsiaTheme="minorEastAsia" w:hAnsi="Verdana" w:cs="Arial"/>
          <w:lang w:eastAsia="es-CO"/>
        </w:rPr>
        <w:t xml:space="preserve">os convenios interadministrativos, previstos en el artículo 95 de la Ley 489 de 1998, son instrumentos de cooperación que buscan la coordinación entre entidades públicas para alcanzar fines comunes de carácter administrativo y social. Su naturaleza se distingue por la finalidad asociativa, pues no persiguen la adquisición de bienes o servicios como los contratos estatales tradicionales, sino la articulación de esfuerzos, capacidades y recursos. </w:t>
      </w:r>
    </w:p>
    <w:p w14:paraId="61BAACD7" w14:textId="77777777" w:rsidR="00861467" w:rsidRDefault="00861467" w:rsidP="00861467">
      <w:pPr>
        <w:spacing w:after="120" w:line="276" w:lineRule="auto"/>
        <w:ind w:firstLine="708"/>
        <w:jc w:val="both"/>
        <w:rPr>
          <w:rFonts w:ascii="Verdana" w:eastAsiaTheme="minorEastAsia" w:hAnsi="Verdana" w:cs="Arial"/>
          <w:lang w:eastAsia="es-CO"/>
        </w:rPr>
      </w:pPr>
      <w:r w:rsidRPr="00771E47">
        <w:rPr>
          <w:rFonts w:ascii="Verdana" w:eastAsiaTheme="minorEastAsia" w:hAnsi="Verdana" w:cs="Arial"/>
          <w:lang w:eastAsia="es-CO"/>
        </w:rPr>
        <w:t xml:space="preserve">En este contexto, </w:t>
      </w:r>
      <w:r>
        <w:rPr>
          <w:rFonts w:ascii="Verdana" w:eastAsiaTheme="minorEastAsia" w:hAnsi="Verdana" w:cs="Arial"/>
          <w:lang w:eastAsia="es-CO"/>
        </w:rPr>
        <w:t xml:space="preserve">se encuentra la Resolución 574 de 2022 del Ministerio de Vivienda, Ciudad y Territorio que regula que este organismo </w:t>
      </w:r>
      <w:r w:rsidRPr="00771E47">
        <w:rPr>
          <w:rFonts w:ascii="Verdana" w:eastAsiaTheme="minorEastAsia" w:hAnsi="Verdana" w:cs="Arial"/>
          <w:lang w:eastAsia="es-CO"/>
        </w:rPr>
        <w:t xml:space="preserve">implementa el Programa de Conexiones Intradomiciliarias (PCI) de agua potable y saneamiento básico, seleccionando entre los municipios preseleccionados aquellos que serán intervenidos según los recursos disponibles, el interés de las entidades territoriales y la identificación de problemáticas de conectividad en barrios y centros poblados rurales. En esta etapa se acuerdan las condiciones de la contrapartida, conforme al artículo 2.3.4.4.8 del Decreto 1077 de 2015, y los compromisos de las partes, consignados en el convenio interadministrativo de cooperación regulado en el artículo 2.3.4.4.11 del mismo decreto. Además, pueden vincularse otras entidades que aporten apoyo técnico o financiero, siendo obligación de las entidades territoriales contribuir en dinero o en especie, </w:t>
      </w:r>
      <w:r w:rsidRPr="00771E47">
        <w:rPr>
          <w:rFonts w:ascii="Verdana" w:eastAsiaTheme="minorEastAsia" w:hAnsi="Verdana" w:cs="Arial"/>
          <w:lang w:eastAsia="es-CO"/>
        </w:rPr>
        <w:lastRenderedPageBreak/>
        <w:t>al menos con los costos de socialización del programa, en los términos definidos por el Ministerio.</w:t>
      </w:r>
    </w:p>
    <w:p w14:paraId="5185925D" w14:textId="77777777" w:rsidR="00861467" w:rsidRPr="004C1120" w:rsidRDefault="00861467" w:rsidP="00861467">
      <w:pPr>
        <w:spacing w:after="120" w:line="276" w:lineRule="auto"/>
        <w:ind w:firstLine="708"/>
        <w:jc w:val="both"/>
        <w:rPr>
          <w:rFonts w:ascii="Verdana" w:eastAsiaTheme="minorEastAsia" w:hAnsi="Verdana" w:cs="Arial"/>
          <w:bCs/>
          <w:lang w:val="es-MX" w:eastAsia="es-CO"/>
        </w:rPr>
      </w:pPr>
      <w:r>
        <w:rPr>
          <w:rFonts w:ascii="Verdana" w:eastAsiaTheme="minorEastAsia" w:hAnsi="Verdana" w:cs="Arial"/>
          <w:lang w:eastAsia="es-CO"/>
        </w:rPr>
        <w:t xml:space="preserve">Dichos convenios interadministrativos de cooperación que se adelantan con fundamento en estos programas se encuentran en la restricción del artículo 33 de la Ley 996 de 2005, al estar la restricción que </w:t>
      </w:r>
      <w:r w:rsidRPr="004C1120">
        <w:rPr>
          <w:rFonts w:ascii="Verdana" w:eastAsiaTheme="minorEastAsia" w:hAnsi="Verdana" w:cs="Arial"/>
          <w:bCs/>
          <w:lang w:val="es-MX" w:eastAsia="es-CO"/>
        </w:rPr>
        <w:t xml:space="preserve">prohíbe adelantar cualquier modalidad de contratación bajo la figura de contratación directa, entendida como todo mecanismo no competitivo. Es decir, </w:t>
      </w:r>
      <w:r>
        <w:rPr>
          <w:rFonts w:ascii="Verdana" w:eastAsiaTheme="minorEastAsia" w:hAnsi="Verdana" w:cs="Arial"/>
          <w:bCs/>
          <w:lang w:val="es-MX" w:eastAsia="es-CO"/>
        </w:rPr>
        <w:t xml:space="preserve">dicha restricción aplica en aquellos supuestos, en los que se pretenda </w:t>
      </w:r>
      <w:r w:rsidRPr="004C1120">
        <w:rPr>
          <w:rFonts w:ascii="Verdana" w:eastAsiaTheme="minorEastAsia" w:hAnsi="Verdana" w:cs="Arial"/>
          <w:bCs/>
          <w:lang w:val="es-MX" w:eastAsia="es-CO"/>
        </w:rPr>
        <w:t>celebrar con</w:t>
      </w:r>
      <w:r>
        <w:rPr>
          <w:rFonts w:ascii="Verdana" w:eastAsiaTheme="minorEastAsia" w:hAnsi="Verdana" w:cs="Arial"/>
          <w:bCs/>
          <w:lang w:val="es-MX" w:eastAsia="es-CO"/>
        </w:rPr>
        <w:t xml:space="preserve">venios </w:t>
      </w:r>
      <w:r w:rsidRPr="004C1120">
        <w:rPr>
          <w:rFonts w:ascii="Verdana" w:eastAsiaTheme="minorEastAsia" w:hAnsi="Verdana" w:cs="Arial"/>
          <w:bCs/>
          <w:lang w:val="es-MX" w:eastAsia="es-CO"/>
        </w:rPr>
        <w:t>interadministrativos</w:t>
      </w:r>
      <w:r>
        <w:rPr>
          <w:rFonts w:ascii="Verdana" w:eastAsiaTheme="minorEastAsia" w:hAnsi="Verdana" w:cs="Arial"/>
          <w:bCs/>
          <w:lang w:val="es-MX" w:eastAsia="es-CO"/>
        </w:rPr>
        <w:t xml:space="preserve"> de cooperación</w:t>
      </w:r>
      <w:r w:rsidRPr="004C1120">
        <w:rPr>
          <w:rFonts w:ascii="Verdana" w:eastAsiaTheme="minorEastAsia" w:hAnsi="Verdana" w:cs="Arial"/>
          <w:bCs/>
          <w:lang w:val="es-MX" w:eastAsia="es-CO"/>
        </w:rPr>
        <w:t xml:space="preserve"> de forma directa, que están sujetas a la restricción del artículo 33 de la Ley 996 de 2005. En este sentido, todos los entes del Estado, independiente del régimen jurídico aplicable, están sujetos a la restricción del artículo 33 de la Ley 996 de 2005, es decir, no podrán adelantar sistema que implique contratación directa respecto de las elecciones presidenciales, dentro de los cuatro (4) meses anteriores a la celebración de dichos comicios. </w:t>
      </w:r>
    </w:p>
    <w:p w14:paraId="0C4CE6F6" w14:textId="77777777" w:rsidR="00861467" w:rsidRPr="00FF1C59" w:rsidRDefault="00861467" w:rsidP="00861467">
      <w:pPr>
        <w:spacing w:after="120" w:line="276" w:lineRule="auto"/>
        <w:ind w:firstLine="708"/>
        <w:jc w:val="both"/>
        <w:rPr>
          <w:rFonts w:ascii="Verdana" w:eastAsiaTheme="minorEastAsia" w:hAnsi="Verdana" w:cs="Arial"/>
          <w:lang w:eastAsia="es-CO"/>
        </w:rPr>
      </w:pPr>
      <w:r w:rsidRPr="00FF1C59">
        <w:rPr>
          <w:rFonts w:ascii="Verdana" w:eastAsiaTheme="minorEastAsia" w:hAnsi="Verdana" w:cs="Arial"/>
          <w:lang w:eastAsia="es-CO"/>
        </w:rPr>
        <w:t>De igual manera, resulta pertinente precisar que los convenios interadministrativos de cooperación suscritos entre entidades del orden nacional y las entidades territoriales —departamentos, distritos, municipios y entidades descentralizadas— se encuentran sujetos a la restricción prevista en el artículo 38 de la Ley 996 de 2005. Dicha disposición establece que la celebración de estos convenios por parte de alcaldes, gobernadores, secretarios, gerentes y directores de entidades del orden municipal, departamental o distrital debe observar las limitaciones allí señaladas, particularmente cuando se trate de convenios destinados a la ejecución de recursos públicos.</w:t>
      </w:r>
    </w:p>
    <w:p w14:paraId="7D45116D" w14:textId="77777777" w:rsidR="00861467" w:rsidRPr="00FF1C59" w:rsidRDefault="00861467" w:rsidP="00861467">
      <w:pPr>
        <w:spacing w:after="0" w:line="276" w:lineRule="auto"/>
        <w:ind w:firstLine="708"/>
        <w:jc w:val="both"/>
        <w:rPr>
          <w:rFonts w:ascii="Verdana" w:eastAsiaTheme="minorEastAsia" w:hAnsi="Verdana" w:cs="Arial"/>
          <w:lang w:eastAsia="es-CO"/>
        </w:rPr>
      </w:pPr>
      <w:r w:rsidRPr="00FF1C59">
        <w:rPr>
          <w:rFonts w:ascii="Verdana" w:eastAsiaTheme="minorEastAsia" w:hAnsi="Verdana" w:cs="Arial"/>
          <w:lang w:eastAsia="es-CO"/>
        </w:rPr>
        <w:t>En estos casos, opera la restricción contenida en el parágrafo del citado artículo, que prohíbe la celebración de convenios interadministrativos durante los cuatro meses anteriores a cualquier contienda electoral. Es importante subrayar que esta limitación no se refiere a la relación entre contratantes y contratistas, sino a la naturaleza cooperativa y colaborativa de las partes intervinientes. La restricción se extiende, en consecuencia, a las elecciones presidenciales programadas para el 31 de mayo de 2026, así como a una eventual segunda vuelta prevista para el 21 de junio del mismo año.</w:t>
      </w:r>
    </w:p>
    <w:p w14:paraId="5DBA8D4A" w14:textId="77777777" w:rsidR="00861467" w:rsidRDefault="00861467" w:rsidP="00861467">
      <w:pPr>
        <w:spacing w:after="0" w:line="276" w:lineRule="auto"/>
        <w:jc w:val="both"/>
        <w:rPr>
          <w:rFonts w:ascii="Verdana" w:eastAsia="Arial" w:hAnsi="Verdana" w:cs="Arial"/>
          <w:lang w:eastAsia="es-ES" w:bidi="es-ES"/>
        </w:rPr>
      </w:pPr>
    </w:p>
    <w:p w14:paraId="58CB321D" w14:textId="77777777" w:rsidR="00861467" w:rsidRPr="005154AE" w:rsidRDefault="00861467" w:rsidP="00861467">
      <w:pPr>
        <w:spacing w:after="120" w:line="276" w:lineRule="auto"/>
        <w:jc w:val="both"/>
        <w:rPr>
          <w:rFonts w:ascii="Verdana" w:eastAsia="Arial" w:hAnsi="Verdana" w:cs="Arial"/>
          <w:bCs/>
          <w:color w:val="000000" w:themeColor="text1"/>
        </w:rPr>
      </w:pPr>
      <w:r>
        <w:rPr>
          <w:rFonts w:ascii="Verdana" w:eastAsia="Calibri" w:hAnsi="Verdana" w:cs="Arial"/>
          <w:bCs/>
          <w:color w:val="000000" w:themeColor="text1"/>
        </w:rPr>
        <w:t xml:space="preserve">vi. </w:t>
      </w:r>
      <w:r w:rsidRPr="00F4158D">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w:t>
      </w:r>
      <w:r>
        <w:rPr>
          <w:rFonts w:ascii="Verdana" w:eastAsia="Calibri" w:hAnsi="Verdana" w:cs="Arial"/>
          <w:bCs/>
          <w:color w:val="000000" w:themeColor="text1"/>
        </w:rPr>
        <w:t xml:space="preserve">las entidades públicas debe realizarse </w:t>
      </w:r>
      <w:r w:rsidRPr="00F4158D">
        <w:rPr>
          <w:rFonts w:ascii="Verdana" w:eastAsia="Calibri" w:hAnsi="Verdana" w:cs="Arial"/>
          <w:bCs/>
          <w:color w:val="000000" w:themeColor="text1"/>
        </w:rPr>
        <w:t xml:space="preserve">por quienes tengan interés en ello, de </w:t>
      </w:r>
      <w:r w:rsidRPr="00F4158D">
        <w:rPr>
          <w:rFonts w:ascii="Verdana" w:eastAsia="Calibri" w:hAnsi="Verdana" w:cs="Arial"/>
          <w:bCs/>
          <w:color w:val="000000" w:themeColor="text1"/>
        </w:rPr>
        <w:lastRenderedPageBreak/>
        <w:t>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64E6166" w14:textId="77777777" w:rsidR="00861467" w:rsidRPr="00F4158D" w:rsidRDefault="00861467" w:rsidP="00861467">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7FB37E3" w14:textId="77777777" w:rsidR="00861467" w:rsidRPr="00F4158D" w:rsidRDefault="00861467" w:rsidP="00861467">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4B9BAAEC" w14:textId="77777777" w:rsidR="00861467" w:rsidRPr="00593A5F" w:rsidRDefault="00861467" w:rsidP="0086146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593A5F">
        <w:rPr>
          <w:rFonts w:ascii="Verdana" w:eastAsia="Century Gothic" w:hAnsi="Verdana" w:cs="Century Gothic"/>
          <w:b/>
          <w:bCs/>
        </w:rPr>
        <w:t>:</w:t>
      </w:r>
    </w:p>
    <w:p w14:paraId="2DF90710" w14:textId="77777777" w:rsidR="00861467" w:rsidRPr="00593A5F" w:rsidRDefault="00861467" w:rsidP="0086146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61467" w:rsidRPr="002407CE" w14:paraId="4FDB1331" w14:textId="77777777" w:rsidTr="000C22B4">
        <w:trPr>
          <w:trHeight w:val="311"/>
          <w:jc w:val="center"/>
        </w:trPr>
        <w:tc>
          <w:tcPr>
            <w:tcW w:w="8647" w:type="dxa"/>
          </w:tcPr>
          <w:p w14:paraId="4590B6CC" w14:textId="77777777" w:rsidR="00861467" w:rsidRDefault="00861467" w:rsidP="000C22B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Constitución Política de 1991, artículos 69, 127, 190, 197 y 286.</w:t>
            </w:r>
          </w:p>
          <w:p w14:paraId="5BC17C9C" w14:textId="77777777" w:rsidR="00861467" w:rsidRDefault="00861467" w:rsidP="000C22B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80 de 1993, artículos 2, 39 y 41.</w:t>
            </w:r>
          </w:p>
          <w:p w14:paraId="28D657F9" w14:textId="77777777" w:rsidR="00861467" w:rsidRDefault="00861467" w:rsidP="000C22B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Ley 489 de 1998, artículo 95. </w:t>
            </w:r>
          </w:p>
          <w:p w14:paraId="41F9A321" w14:textId="77777777" w:rsidR="00861467" w:rsidRDefault="00861467" w:rsidP="000C22B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20F40142" w14:textId="77777777" w:rsidR="00861467" w:rsidRDefault="00861467" w:rsidP="000C22B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2.</w:t>
            </w:r>
          </w:p>
          <w:p w14:paraId="4BE0F367" w14:textId="77777777" w:rsidR="00861467" w:rsidRDefault="00861467" w:rsidP="000C22B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Código Civil, artículos 27, 31 y 1501.</w:t>
            </w:r>
          </w:p>
          <w:p w14:paraId="0FE699A0" w14:textId="77777777" w:rsidR="00861467" w:rsidRDefault="00861467" w:rsidP="000C22B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Decreto 1077 de 2015, artículos </w:t>
            </w:r>
            <w:r w:rsidRPr="00C9323E">
              <w:rPr>
                <w:rFonts w:ascii="Verdana" w:hAnsi="Verdana" w:cs="Arial"/>
                <w:bCs/>
                <w:lang w:val="es-CO"/>
              </w:rPr>
              <w:t>2.3.4.4.8. y 2.3.4.4.11.</w:t>
            </w:r>
          </w:p>
          <w:p w14:paraId="1CA0557C" w14:textId="77777777" w:rsidR="00861467" w:rsidRPr="00401590" w:rsidRDefault="00861467" w:rsidP="000C22B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Resolución 574 de 2022. </w:t>
            </w:r>
            <w:r w:rsidRPr="00585673">
              <w:rPr>
                <w:rFonts w:ascii="Verdana" w:eastAsia="Calibri" w:hAnsi="Verdana" w:cs="Arial"/>
                <w:bCs/>
                <w:color w:val="FF0000"/>
              </w:rPr>
              <w:t xml:space="preserve"> </w:t>
            </w:r>
          </w:p>
          <w:p w14:paraId="4DFC3F07"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Sala de Consulta y Servicio Civil. Concepto de 20 de febrero de 2006. C.P. Enrique José Arboleda Perdomo. Rad. 1727. </w:t>
            </w:r>
          </w:p>
          <w:p w14:paraId="610AC63C"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Consejo de Estado, Sala de Consulta y Servicio Civil. Concepto de 6 de abril de 2006.C.P. Enrique José Arboleda Perdomo. Rad. 1738</w:t>
            </w:r>
          </w:p>
          <w:p w14:paraId="7563CBB4"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lastRenderedPageBreak/>
              <w:t xml:space="preserve">Consejo de Estado, Sala de Consulta y Servicio Civil de fecha 24 de julio de 2013. C. P. Álvaro Namén Vargas. Rad. 2166, </w:t>
            </w:r>
          </w:p>
          <w:p w14:paraId="108AA56A"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Sala de Consulta y Servicio Civil. Concepto del 2 de septiembre de 2013. C.P. Álvaro Namén </w:t>
            </w:r>
            <w:proofErr w:type="spellStart"/>
            <w:r w:rsidRPr="00401590">
              <w:rPr>
                <w:rFonts w:ascii="Verdana" w:hAnsi="Verdana" w:cs="Arial"/>
              </w:rPr>
              <w:t>Vargas.Rad</w:t>
            </w:r>
            <w:proofErr w:type="spellEnd"/>
            <w:r w:rsidRPr="00401590">
              <w:rPr>
                <w:rFonts w:ascii="Verdana" w:hAnsi="Verdana" w:cs="Arial"/>
              </w:rPr>
              <w:t xml:space="preserve">. 2168. </w:t>
            </w:r>
          </w:p>
          <w:p w14:paraId="31F89213"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Consejo de Estado. Sala de Consulta y Servicio Civil. Concepto del 17 de febrero de 2015. C.P. William Zambrano Cetina. Rad. 2269.</w:t>
            </w:r>
          </w:p>
          <w:p w14:paraId="2808B015"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Consejo de Estado, Sala de Consulta y Servicio Civil, Concepto de 8 de mayo de 2018. C.P. Álvaro Namén Vargas. Rad. 2382.</w:t>
            </w:r>
          </w:p>
          <w:p w14:paraId="7057CC8C"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Consejo de Estado. Sección Tercera, Subsección A. Sentencia del 14 de junio de 2019, C.P.: Marta Nubia Velásquez Rico. Rad.: 25000-23-37-000-2010-02552-01 (AP).</w:t>
            </w:r>
          </w:p>
          <w:p w14:paraId="734F1C87"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Sección Tercera, Subsección A. Sentencia del 16 de agosto de 2022, C.P.: María Adriana Marín. </w:t>
            </w:r>
            <w:proofErr w:type="spellStart"/>
            <w:r w:rsidRPr="00401590">
              <w:rPr>
                <w:rFonts w:ascii="Verdana" w:hAnsi="Verdana" w:cs="Arial"/>
              </w:rPr>
              <w:t>Exp</w:t>
            </w:r>
            <w:proofErr w:type="spellEnd"/>
            <w:r w:rsidRPr="00401590">
              <w:rPr>
                <w:rFonts w:ascii="Verdana" w:hAnsi="Verdana" w:cs="Arial"/>
              </w:rPr>
              <w:t>. 60434.</w:t>
            </w:r>
          </w:p>
          <w:p w14:paraId="3D06690B"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Sección Tercera, Subsección B. Auto del 4 de octubre de 2024. C.P: Fredy Ibarra Martínez. </w:t>
            </w:r>
            <w:proofErr w:type="spellStart"/>
            <w:r w:rsidRPr="00401590">
              <w:rPr>
                <w:rFonts w:ascii="Verdana" w:hAnsi="Verdana" w:cs="Arial"/>
              </w:rPr>
              <w:t>Exp</w:t>
            </w:r>
            <w:proofErr w:type="spellEnd"/>
            <w:r w:rsidRPr="00401590">
              <w:rPr>
                <w:rFonts w:ascii="Verdana" w:hAnsi="Verdana" w:cs="Arial"/>
              </w:rPr>
              <w:t>. 70.313.</w:t>
            </w:r>
          </w:p>
          <w:p w14:paraId="39F8AA88"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Sección Tercera, Subsección A. Sentencia del 25 de mayo de 2025. C.P. María Adriana Marín Hernández. </w:t>
            </w:r>
            <w:proofErr w:type="spellStart"/>
            <w:r w:rsidRPr="00401590">
              <w:rPr>
                <w:rFonts w:ascii="Verdana" w:hAnsi="Verdana" w:cs="Arial"/>
              </w:rPr>
              <w:t>Exp</w:t>
            </w:r>
            <w:proofErr w:type="spellEnd"/>
            <w:r w:rsidRPr="00401590">
              <w:rPr>
                <w:rFonts w:ascii="Verdana" w:hAnsi="Verdana" w:cs="Arial"/>
              </w:rPr>
              <w:t>. 70.504.</w:t>
            </w:r>
          </w:p>
          <w:p w14:paraId="13B2ED97"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Consejo de Estado, Sección Tercera. Subsección B. Sentencia 17 de octubre de 2025. C.P. Fredy Ibarra Martínez</w:t>
            </w:r>
          </w:p>
          <w:p w14:paraId="52516696"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BF5885">
              <w:rPr>
                <w:rFonts w:ascii="Verdana" w:hAnsi="Verdana" w:cs="Arial"/>
                <w:lang w:val="pt-BR"/>
              </w:rPr>
              <w:t xml:space="preserve">Corte Constitucional. Sentencia C-671 de 2005. </w:t>
            </w:r>
            <w:r w:rsidRPr="00401590">
              <w:rPr>
                <w:rFonts w:ascii="Verdana" w:hAnsi="Verdana" w:cs="Arial"/>
              </w:rPr>
              <w:t xml:space="preserve">M.P. Álvaro Tafur Galvis. </w:t>
            </w:r>
          </w:p>
          <w:p w14:paraId="17D97331"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Corte Constitucional, Sentencia C- 1153 de 2005, M.P. Marco Gerardo Monroy Cabra.</w:t>
            </w:r>
          </w:p>
          <w:p w14:paraId="0C24EB75"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CHAVÉZ MARÍN, Augusto Ramón. Los convenios de la Administración. Entre la gestión pública y la actividad contractual. Bogotá: Temis, 2020. </w:t>
            </w:r>
          </w:p>
          <w:p w14:paraId="7F699402" w14:textId="77777777" w:rsidR="00861467" w:rsidRPr="00401590" w:rsidRDefault="00861467" w:rsidP="000C22B4">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CLARO SOLAR, Luis. Explicaciones de derecho civil chileno y comparado. Volumen I. Tomo I. Santiago: Editorial Jurídica de Chile, 2013. p. 119. Énfasis dentro del texto).</w:t>
            </w:r>
          </w:p>
          <w:p w14:paraId="10600CE3" w14:textId="77777777" w:rsidR="00861467" w:rsidRPr="00585673" w:rsidRDefault="00861467" w:rsidP="000C22B4">
            <w:pPr>
              <w:pStyle w:val="Prrafodelista"/>
              <w:widowControl w:val="0"/>
              <w:numPr>
                <w:ilvl w:val="0"/>
                <w:numId w:val="17"/>
              </w:numPr>
              <w:autoSpaceDE w:val="0"/>
              <w:autoSpaceDN w:val="0"/>
              <w:spacing w:before="120" w:line="276" w:lineRule="auto"/>
              <w:ind w:left="714" w:hanging="357"/>
              <w:contextualSpacing w:val="0"/>
              <w:jc w:val="both"/>
              <w:rPr>
                <w:rFonts w:ascii="Verdana" w:hAnsi="Verdana" w:cs="Arial"/>
              </w:rPr>
            </w:pPr>
            <w:r w:rsidRPr="00401590">
              <w:rPr>
                <w:rFonts w:ascii="Verdana" w:hAnsi="Verdana" w:cs="Arial"/>
              </w:rPr>
              <w:t xml:space="preserve">SANTOS RODRÍGUEZ, Jorge Enrique. Consideraciones sobre los contratos y convenios interadministrativos. En: Revista Digital de </w:t>
            </w:r>
            <w:r w:rsidRPr="00401590">
              <w:rPr>
                <w:rFonts w:ascii="Verdana" w:hAnsi="Verdana" w:cs="Arial"/>
              </w:rPr>
              <w:lastRenderedPageBreak/>
              <w:t>Derecho Administrativo, 2008.</w:t>
            </w:r>
          </w:p>
        </w:tc>
      </w:tr>
    </w:tbl>
    <w:p w14:paraId="227C1785" w14:textId="77777777" w:rsidR="00861467" w:rsidRPr="002407CE" w:rsidRDefault="00861467" w:rsidP="00861467">
      <w:pPr>
        <w:widowControl w:val="0"/>
        <w:autoSpaceDE w:val="0"/>
        <w:autoSpaceDN w:val="0"/>
        <w:spacing w:after="0" w:line="276" w:lineRule="auto"/>
        <w:jc w:val="both"/>
        <w:rPr>
          <w:rFonts w:ascii="Verdana" w:hAnsi="Verdana" w:cs="Arial"/>
        </w:rPr>
      </w:pPr>
    </w:p>
    <w:p w14:paraId="0D9EFF31" w14:textId="77777777" w:rsidR="00861467" w:rsidRPr="00593A5F" w:rsidRDefault="00861467" w:rsidP="0086146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7B0C548" w14:textId="77777777" w:rsidR="00861467" w:rsidRPr="00593A5F" w:rsidRDefault="00861467" w:rsidP="00861467">
      <w:pPr>
        <w:widowControl w:val="0"/>
        <w:autoSpaceDE w:val="0"/>
        <w:autoSpaceDN w:val="0"/>
        <w:spacing w:after="0" w:line="276" w:lineRule="auto"/>
        <w:jc w:val="both"/>
        <w:rPr>
          <w:rFonts w:ascii="Verdana" w:hAnsi="Verdana" w:cs="Arial"/>
        </w:rPr>
      </w:pPr>
    </w:p>
    <w:p w14:paraId="438D23C3" w14:textId="77777777" w:rsidR="00861467" w:rsidRPr="007D6CC8" w:rsidRDefault="00861467" w:rsidP="00861467">
      <w:pPr>
        <w:widowControl w:val="0"/>
        <w:autoSpaceDE w:val="0"/>
        <w:autoSpaceDN w:val="0"/>
        <w:spacing w:after="0" w:line="276" w:lineRule="auto"/>
        <w:jc w:val="both"/>
        <w:rPr>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C-068 del 27 de enero de 2026</w:t>
      </w:r>
      <w:r>
        <w:rPr>
          <w:rFonts w:ascii="Verdana" w:hAnsi="Verdana"/>
        </w:rPr>
        <w:t>.</w:t>
      </w:r>
      <w:r>
        <w:rPr>
          <w:rFonts w:ascii="Verdana" w:hAnsi="Verdana" w:cs="Arial"/>
          <w:shd w:val="clear" w:color="auto" w:fill="FFFFFF"/>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8A1CA0E" w14:textId="77777777" w:rsidR="00861467" w:rsidRPr="00185EE9" w:rsidRDefault="00861467" w:rsidP="00861467">
      <w:pPr>
        <w:spacing w:after="0" w:line="256" w:lineRule="auto"/>
        <w:jc w:val="both"/>
        <w:rPr>
          <w:rFonts w:ascii="Verdana" w:eastAsia="Calibri" w:hAnsi="Verdana" w:cs="Times New Roman"/>
        </w:rPr>
      </w:pPr>
      <w:hyperlink r:id="rId14"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11D1493D" w14:textId="77777777" w:rsidR="00861467" w:rsidRPr="00096788" w:rsidRDefault="00861467" w:rsidP="00861467">
      <w:pPr>
        <w:widowControl w:val="0"/>
        <w:autoSpaceDE w:val="0"/>
        <w:autoSpaceDN w:val="0"/>
        <w:spacing w:after="0" w:line="276" w:lineRule="auto"/>
        <w:jc w:val="both"/>
        <w:rPr>
          <w:rFonts w:ascii="Verdana" w:hAnsi="Verdana" w:cs="Arial"/>
          <w:color w:val="000000" w:themeColor="text1"/>
          <w:shd w:val="clear" w:color="auto" w:fill="FFFFFF"/>
        </w:rPr>
      </w:pPr>
    </w:p>
    <w:p w14:paraId="24F36DF2" w14:textId="77777777" w:rsidR="00861467" w:rsidRDefault="00861467" w:rsidP="00861467">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w:t>
      </w:r>
      <w:r w:rsidRPr="00032009">
        <w:rPr>
          <w:rFonts w:ascii="Verdana" w:hAnsi="Verdana"/>
          <w:color w:val="000000"/>
        </w:rPr>
        <w:lastRenderedPageBreak/>
        <w:t xml:space="preserve">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29CDAD04" w14:textId="77777777" w:rsidR="00861467" w:rsidRDefault="00861467" w:rsidP="00861467">
      <w:pPr>
        <w:shd w:val="clear" w:color="auto" w:fill="FFFFFF"/>
        <w:spacing w:after="0" w:line="276" w:lineRule="auto"/>
        <w:jc w:val="both"/>
        <w:rPr>
          <w:rFonts w:ascii="Verdana" w:hAnsi="Verdana"/>
          <w:color w:val="000000"/>
          <w:u w:val="single"/>
        </w:rPr>
      </w:pPr>
    </w:p>
    <w:p w14:paraId="52732C99" w14:textId="77777777" w:rsidR="00861467" w:rsidRPr="00116940" w:rsidRDefault="00861467" w:rsidP="00861467">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782C1A0" w14:textId="77777777" w:rsidR="00861467" w:rsidRPr="00116940" w:rsidRDefault="00861467" w:rsidP="00861467">
      <w:pPr>
        <w:spacing w:after="0"/>
        <w:jc w:val="both"/>
        <w:rPr>
          <w:rFonts w:ascii="Verdana" w:hAnsi="Verdana"/>
        </w:rPr>
      </w:pPr>
    </w:p>
    <w:p w14:paraId="5E4ADB02" w14:textId="77777777" w:rsidR="00861467" w:rsidRPr="00116940" w:rsidRDefault="00861467" w:rsidP="00861467">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8C0CB4B" w14:textId="77777777" w:rsidR="00861467" w:rsidRPr="00116940" w:rsidRDefault="00861467" w:rsidP="00861467">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1743E7D9" w14:textId="77777777" w:rsidR="00861467" w:rsidRPr="00116940" w:rsidRDefault="00861467" w:rsidP="0086146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23221D04" w14:textId="77777777" w:rsidR="00861467" w:rsidRPr="00116940" w:rsidRDefault="00861467" w:rsidP="0086146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6EBFEA3B" w14:textId="77777777" w:rsidR="00861467" w:rsidRPr="00116940" w:rsidRDefault="00861467" w:rsidP="00861467">
      <w:pPr>
        <w:spacing w:after="0" w:line="240" w:lineRule="auto"/>
        <w:ind w:left="720"/>
        <w:jc w:val="both"/>
        <w:rPr>
          <w:rFonts w:ascii="Verdana" w:hAnsi="Verdana"/>
        </w:rPr>
      </w:pPr>
    </w:p>
    <w:p w14:paraId="5389DA16" w14:textId="77777777" w:rsidR="00861467" w:rsidRPr="00116940" w:rsidRDefault="00861467" w:rsidP="00861467">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A80532F" w14:textId="77777777" w:rsidR="00861467" w:rsidRPr="00116940" w:rsidRDefault="00861467" w:rsidP="00861467">
      <w:pPr>
        <w:spacing w:after="0" w:line="240" w:lineRule="auto"/>
        <w:rPr>
          <w:rFonts w:ascii="Verdana" w:hAnsi="Verdana"/>
        </w:rPr>
      </w:pPr>
    </w:p>
    <w:p w14:paraId="58042011" w14:textId="77777777" w:rsidR="00861467" w:rsidRPr="00116940" w:rsidRDefault="00861467" w:rsidP="00861467">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14F1EE4" w14:textId="77777777" w:rsidR="00861467" w:rsidRPr="00116940" w:rsidRDefault="00861467" w:rsidP="00861467">
      <w:pPr>
        <w:spacing w:after="0" w:line="240" w:lineRule="auto"/>
        <w:jc w:val="both"/>
        <w:rPr>
          <w:rFonts w:ascii="Verdana" w:hAnsi="Verdana"/>
        </w:rPr>
      </w:pPr>
    </w:p>
    <w:p w14:paraId="4360EE30" w14:textId="77777777" w:rsidR="00861467" w:rsidRPr="00116940" w:rsidRDefault="00861467" w:rsidP="00861467">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89E8DB6" w14:textId="77777777" w:rsidR="00861467" w:rsidRPr="00116940" w:rsidRDefault="00861467" w:rsidP="00861467">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5AF7CFE" w14:textId="77777777" w:rsidR="00861467" w:rsidRPr="00116940" w:rsidRDefault="00861467" w:rsidP="00861467">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85B2278" w14:textId="77777777" w:rsidR="00861467" w:rsidRPr="00116940" w:rsidRDefault="00861467" w:rsidP="00861467">
      <w:pPr>
        <w:spacing w:after="0" w:line="240" w:lineRule="auto"/>
        <w:jc w:val="both"/>
        <w:rPr>
          <w:rFonts w:ascii="Verdana" w:hAnsi="Verdana"/>
        </w:rPr>
      </w:pPr>
    </w:p>
    <w:p w14:paraId="0B463BB9" w14:textId="77777777" w:rsidR="00861467" w:rsidRPr="009037F6" w:rsidRDefault="00861467" w:rsidP="00861467">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9037F6">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206DF1CA" w14:textId="77777777" w:rsidR="00861467" w:rsidRPr="00492C4A" w:rsidRDefault="00861467" w:rsidP="00861467">
      <w:pPr>
        <w:spacing w:after="0" w:line="256" w:lineRule="auto"/>
        <w:jc w:val="both"/>
        <w:rPr>
          <w:rFonts w:ascii="Verdana" w:eastAsia="Calibri" w:hAnsi="Verdana" w:cs="Times New Roman"/>
          <w:lang w:val="es-ES_tradnl"/>
        </w:rPr>
      </w:pPr>
    </w:p>
    <w:p w14:paraId="34E19419" w14:textId="77777777" w:rsidR="00861467" w:rsidRDefault="00861467" w:rsidP="00861467">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4CFB4205" w14:textId="369FA278" w:rsidR="00861467" w:rsidRPr="00286830" w:rsidRDefault="00B45051" w:rsidP="00861467">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2528985B" wp14:editId="2169AED5">
            <wp:extent cx="3279140" cy="1298864"/>
            <wp:effectExtent l="0" t="0" r="0" b="0"/>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314806" cy="1312991"/>
                    </a:xfrm>
                    <a:prstGeom prst="rect">
                      <a:avLst/>
                    </a:prstGeom>
                  </pic:spPr>
                </pic:pic>
              </a:graphicData>
            </a:graphic>
          </wp:inline>
        </w:drawing>
      </w:r>
      <w:r w:rsidR="00861467" w:rsidRPr="00FD1DDC">
        <w:rPr>
          <w:rFonts w:ascii="Verdana" w:hAnsi="Verdana"/>
          <w:sz w:val="16"/>
          <w:szCs w:val="16"/>
        </w:rPr>
        <w:t xml:space="preserve"> </w:t>
      </w:r>
    </w:p>
    <w:p w14:paraId="5E20A9D5" w14:textId="77777777" w:rsidR="00861467" w:rsidRPr="003B2F20" w:rsidRDefault="00861467" w:rsidP="00861467">
      <w:pPr>
        <w:spacing w:after="0" w:line="256" w:lineRule="auto"/>
        <w:jc w:val="center"/>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861467" w:rsidRPr="00286830" w14:paraId="474E7814" w14:textId="77777777" w:rsidTr="000C22B4">
        <w:trPr>
          <w:trHeight w:val="409"/>
        </w:trPr>
        <w:tc>
          <w:tcPr>
            <w:tcW w:w="817" w:type="dxa"/>
            <w:tcBorders>
              <w:top w:val="nil"/>
              <w:left w:val="nil"/>
              <w:bottom w:val="nil"/>
              <w:right w:val="nil"/>
            </w:tcBorders>
            <w:vAlign w:val="center"/>
            <w:hideMark/>
          </w:tcPr>
          <w:p w14:paraId="26203F6D" w14:textId="77777777" w:rsidR="00861467" w:rsidRPr="00286830" w:rsidRDefault="00861467" w:rsidP="000C22B4">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E2DF36B" w14:textId="77777777" w:rsidR="00861467" w:rsidRPr="00286830" w:rsidRDefault="00861467" w:rsidP="000C22B4">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José Luis Sánchez Cardona</w:t>
            </w:r>
          </w:p>
          <w:p w14:paraId="03E019E7" w14:textId="77777777" w:rsidR="00861467" w:rsidRPr="00286830" w:rsidRDefault="00861467" w:rsidP="000C22B4">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Contratista de la Subdirección de Gestión Contractual</w:t>
            </w:r>
          </w:p>
        </w:tc>
      </w:tr>
      <w:tr w:rsidR="00861467" w:rsidRPr="00286830" w14:paraId="75EF153C" w14:textId="77777777" w:rsidTr="000C22B4">
        <w:trPr>
          <w:trHeight w:val="409"/>
        </w:trPr>
        <w:tc>
          <w:tcPr>
            <w:tcW w:w="817" w:type="dxa"/>
            <w:tcBorders>
              <w:top w:val="nil"/>
              <w:left w:val="nil"/>
              <w:bottom w:val="nil"/>
              <w:right w:val="nil"/>
            </w:tcBorders>
            <w:vAlign w:val="center"/>
            <w:hideMark/>
          </w:tcPr>
          <w:p w14:paraId="286163D8" w14:textId="77777777" w:rsidR="00861467" w:rsidRPr="00286830" w:rsidRDefault="00861467" w:rsidP="000C22B4">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B40215F" w14:textId="77777777" w:rsidR="00861467" w:rsidRPr="00286830" w:rsidRDefault="00861467" w:rsidP="000C22B4">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 xml:space="preserve">Alejandro </w:t>
            </w:r>
            <w:r>
              <w:rPr>
                <w:rFonts w:ascii="Verdana" w:eastAsia="Calibri" w:hAnsi="Verdana" w:cs="Times New Roman"/>
                <w:sz w:val="16"/>
                <w:szCs w:val="16"/>
              </w:rPr>
              <w:t xml:space="preserve">R. </w:t>
            </w:r>
            <w:r w:rsidRPr="00286830">
              <w:rPr>
                <w:rFonts w:ascii="Verdana" w:eastAsia="Calibri" w:hAnsi="Verdana" w:cs="Times New Roman"/>
                <w:sz w:val="16"/>
                <w:szCs w:val="16"/>
              </w:rPr>
              <w:t>Sarmiento Cantillo</w:t>
            </w:r>
          </w:p>
          <w:p w14:paraId="264D136D" w14:textId="77777777" w:rsidR="00861467" w:rsidRPr="00286830" w:rsidRDefault="00861467" w:rsidP="000C22B4">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Gestor T1-15 de la Subdirección de Gestión Contractual </w:t>
            </w:r>
          </w:p>
        </w:tc>
      </w:tr>
      <w:tr w:rsidR="00861467" w:rsidRPr="00286830" w14:paraId="130EEDF6" w14:textId="77777777" w:rsidTr="000C22B4">
        <w:trPr>
          <w:trHeight w:val="389"/>
        </w:trPr>
        <w:tc>
          <w:tcPr>
            <w:tcW w:w="817" w:type="dxa"/>
            <w:tcBorders>
              <w:top w:val="nil"/>
              <w:left w:val="nil"/>
              <w:bottom w:val="nil"/>
              <w:right w:val="nil"/>
            </w:tcBorders>
            <w:vAlign w:val="center"/>
            <w:hideMark/>
          </w:tcPr>
          <w:p w14:paraId="700E9A6D" w14:textId="77777777" w:rsidR="00861467" w:rsidRPr="00286830" w:rsidRDefault="00861467" w:rsidP="000C22B4">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B473CB5" w14:textId="77777777" w:rsidR="00861467" w:rsidRPr="00286830" w:rsidRDefault="00861467" w:rsidP="000C22B4">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Carolina Quintero Gacharná</w:t>
            </w:r>
          </w:p>
          <w:p w14:paraId="76F0E85B" w14:textId="77777777" w:rsidR="00861467" w:rsidRPr="00286830" w:rsidRDefault="00861467" w:rsidP="000C22B4">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Subdirectora de Gestión Contractual ANCP – CCE</w:t>
            </w:r>
          </w:p>
        </w:tc>
      </w:tr>
      <w:bookmarkEnd w:id="0"/>
    </w:tbl>
    <w:p w14:paraId="3ECBB66E" w14:textId="77777777" w:rsidR="00861467" w:rsidRPr="00230734" w:rsidRDefault="00861467" w:rsidP="00861467">
      <w:pPr>
        <w:spacing w:after="0"/>
        <w:rPr>
          <w:rFonts w:ascii="Verdana" w:hAnsi="Verdana"/>
          <w:sz w:val="16"/>
          <w:szCs w:val="16"/>
        </w:rPr>
      </w:pPr>
    </w:p>
    <w:p w14:paraId="41FD1E17" w14:textId="645AB5F4" w:rsidR="004674CF" w:rsidRPr="00861467" w:rsidRDefault="004674CF" w:rsidP="00861467"/>
    <w:sectPr w:rsidR="004674CF" w:rsidRPr="00861467"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42506" w14:textId="77777777" w:rsidR="00347735" w:rsidRDefault="00347735" w:rsidP="004A1847">
      <w:pPr>
        <w:spacing w:after="0" w:line="240" w:lineRule="auto"/>
      </w:pPr>
      <w:r>
        <w:separator/>
      </w:r>
    </w:p>
  </w:endnote>
  <w:endnote w:type="continuationSeparator" w:id="0">
    <w:p w14:paraId="1F2D044F" w14:textId="77777777" w:rsidR="00347735" w:rsidRDefault="00347735" w:rsidP="004A1847">
      <w:pPr>
        <w:spacing w:after="0" w:line="240" w:lineRule="auto"/>
      </w:pPr>
      <w:r>
        <w:continuationSeparator/>
      </w:r>
    </w:p>
  </w:endnote>
  <w:endnote w:type="continuationNotice" w:id="1">
    <w:p w14:paraId="4E82DF72" w14:textId="77777777" w:rsidR="00347735" w:rsidRDefault="003477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Weiss">
    <w:panose1 w:val="00000000000000000000"/>
    <w:charset w:val="00"/>
    <w:family w:val="roman"/>
    <w:notTrueType/>
    <w:pitch w:val="default"/>
    <w:sig w:usb0="00000003" w:usb1="00000000" w:usb2="00000000" w:usb3="00000000" w:csb0="00000001" w:csb1="00000000"/>
  </w:font>
  <w:font w:name="Arial MT">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E729A7A"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7F0FED" w:rsidRPr="007F0FED">
      <w:rPr>
        <w:rFonts w:ascii="Verdana" w:eastAsiaTheme="minorEastAsia" w:hAnsi="Verdana"/>
        <w:b/>
        <w:bCs/>
        <w:noProof/>
        <w:sz w:val="16"/>
        <w:szCs w:val="16"/>
      </w:rPr>
      <w:t>11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149A0D" w14:textId="77777777" w:rsidR="00347735" w:rsidRDefault="00347735" w:rsidP="004A1847">
      <w:pPr>
        <w:spacing w:after="0" w:line="240" w:lineRule="auto"/>
      </w:pPr>
      <w:r>
        <w:separator/>
      </w:r>
    </w:p>
  </w:footnote>
  <w:footnote w:type="continuationSeparator" w:id="0">
    <w:p w14:paraId="2EC83117" w14:textId="77777777" w:rsidR="00347735" w:rsidRDefault="00347735" w:rsidP="004A1847">
      <w:pPr>
        <w:spacing w:after="0" w:line="240" w:lineRule="auto"/>
      </w:pPr>
      <w:r>
        <w:continuationSeparator/>
      </w:r>
    </w:p>
  </w:footnote>
  <w:footnote w:type="continuationNotice" w:id="1">
    <w:p w14:paraId="6CF4BAC3" w14:textId="77777777" w:rsidR="00347735" w:rsidRDefault="00347735">
      <w:pPr>
        <w:spacing w:after="0" w:line="240" w:lineRule="auto"/>
      </w:pPr>
    </w:p>
  </w:footnote>
  <w:footnote w:id="2">
    <w:p w14:paraId="73F4EEE1" w14:textId="77777777" w:rsidR="00861467" w:rsidRPr="0076787A" w:rsidRDefault="00861467" w:rsidP="00861467">
      <w:pPr>
        <w:pStyle w:val="Textonotapie"/>
        <w:ind w:firstLine="709"/>
        <w:jc w:val="both"/>
        <w:rPr>
          <w:rFonts w:ascii="Verdana"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67D3609" w14:textId="77777777" w:rsidR="00861467" w:rsidRPr="0076787A" w:rsidRDefault="00861467" w:rsidP="00861467">
      <w:pPr>
        <w:pStyle w:val="Textonotapie"/>
        <w:ind w:firstLine="709"/>
        <w:jc w:val="both"/>
        <w:rPr>
          <w:rFonts w:ascii="Verdana" w:hAnsi="Verdana" w:cs="Arial"/>
          <w:sz w:val="13"/>
          <w:szCs w:val="13"/>
        </w:rPr>
      </w:pPr>
      <w:r w:rsidRPr="0076787A">
        <w:rPr>
          <w:rFonts w:ascii="Verdana" w:hAnsi="Verdana" w:cs="Arial"/>
          <w:sz w:val="13"/>
          <w:szCs w:val="13"/>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5C8EBA54" w14:textId="77777777" w:rsidR="00861467" w:rsidRPr="0076787A" w:rsidRDefault="00861467" w:rsidP="00861467">
      <w:pPr>
        <w:pStyle w:val="Textonotapie"/>
        <w:ind w:firstLine="709"/>
        <w:jc w:val="both"/>
        <w:rPr>
          <w:rFonts w:ascii="Verdana"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Gaceta del Congreso de la República No. 71 del 2005.</w:t>
      </w:r>
    </w:p>
  </w:footnote>
  <w:footnote w:id="4">
    <w:p w14:paraId="6A8F1828" w14:textId="77777777" w:rsidR="00861467" w:rsidRPr="0076787A" w:rsidRDefault="00861467" w:rsidP="00861467">
      <w:pPr>
        <w:pStyle w:val="Textonotapie"/>
        <w:ind w:firstLine="709"/>
        <w:jc w:val="both"/>
        <w:rPr>
          <w:rFonts w:ascii="Verdana" w:hAnsi="Verdana" w:cs="Arial"/>
          <w:sz w:val="13"/>
          <w:szCs w:val="13"/>
          <w:lang w:val="pt-BR"/>
        </w:rPr>
      </w:pPr>
      <w:r w:rsidRPr="0076787A">
        <w:rPr>
          <w:rStyle w:val="Refdenotaalpie"/>
          <w:rFonts w:ascii="Verdana" w:hAnsi="Verdana" w:cs="Arial"/>
          <w:sz w:val="13"/>
          <w:szCs w:val="13"/>
        </w:rPr>
        <w:footnoteRef/>
      </w:r>
      <w:r w:rsidRPr="0076787A">
        <w:rPr>
          <w:rFonts w:ascii="Verdana" w:hAnsi="Verdana" w:cs="Arial"/>
          <w:sz w:val="13"/>
          <w:szCs w:val="13"/>
          <w:lang w:val="pt-BR"/>
        </w:rPr>
        <w:t xml:space="preserve"> Corte Constitucional, Sentencia C- 1153 de 2005, M.P. Marco Gerardo Monroy Cabra.</w:t>
      </w:r>
    </w:p>
  </w:footnote>
  <w:footnote w:id="5">
    <w:p w14:paraId="0E9EA91A" w14:textId="77777777" w:rsidR="00861467" w:rsidRPr="0076787A" w:rsidRDefault="00861467" w:rsidP="00861467">
      <w:pPr>
        <w:pStyle w:val="Textonotapie"/>
        <w:ind w:firstLine="709"/>
        <w:jc w:val="both"/>
        <w:rPr>
          <w:rFonts w:ascii="Verdana" w:hAnsi="Verdana" w:cs="Arial"/>
          <w:sz w:val="13"/>
          <w:szCs w:val="13"/>
          <w:lang w:val="pt-BR"/>
        </w:rPr>
      </w:pPr>
      <w:r w:rsidRPr="0076787A">
        <w:rPr>
          <w:rStyle w:val="Refdenotaalpie"/>
          <w:rFonts w:ascii="Verdana" w:hAnsi="Verdana" w:cs="Arial"/>
          <w:sz w:val="13"/>
          <w:szCs w:val="13"/>
        </w:rPr>
        <w:footnoteRef/>
      </w:r>
      <w:r w:rsidRPr="0076787A">
        <w:rPr>
          <w:rFonts w:ascii="Verdana" w:hAnsi="Verdana" w:cs="Arial"/>
          <w:sz w:val="13"/>
          <w:szCs w:val="13"/>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77C9F381" w14:textId="77777777" w:rsidR="00861467" w:rsidRPr="0076787A" w:rsidRDefault="00861467" w:rsidP="00861467">
      <w:pPr>
        <w:pStyle w:val="Textonotapie"/>
        <w:ind w:firstLine="709"/>
        <w:jc w:val="both"/>
        <w:rPr>
          <w:rFonts w:ascii="Verdana" w:hAnsi="Verdana" w:cs="Arial"/>
          <w:sz w:val="13"/>
          <w:szCs w:val="13"/>
          <w:lang w:val="es-CO"/>
        </w:rPr>
      </w:pPr>
      <w:r w:rsidRPr="0076787A">
        <w:rPr>
          <w:rStyle w:val="Refdenotaalpie"/>
          <w:rFonts w:ascii="Verdana" w:hAnsi="Verdana" w:cs="Arial"/>
          <w:sz w:val="13"/>
          <w:szCs w:val="13"/>
        </w:rPr>
        <w:footnoteRef/>
      </w:r>
      <w:r w:rsidRPr="0076787A">
        <w:rPr>
          <w:rFonts w:ascii="Verdana" w:hAnsi="Verdana" w:cs="Arial"/>
          <w:sz w:val="13"/>
          <w:szCs w:val="13"/>
          <w:lang w:val="es-CO"/>
        </w:rPr>
        <w:t xml:space="preserve"> Consejo de Estado,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198F8A63" w14:textId="77777777" w:rsidR="00861467" w:rsidRPr="0076787A" w:rsidRDefault="00861467" w:rsidP="00861467">
      <w:pPr>
        <w:pStyle w:val="Textonotapie"/>
        <w:ind w:firstLine="709"/>
        <w:jc w:val="both"/>
        <w:rPr>
          <w:rFonts w:ascii="Verdana"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Consejo de Estado, Sala de Consulta y Servicio Civil de fecha 24 de julio de 2013. </w:t>
      </w:r>
      <w:r w:rsidRPr="0076787A">
        <w:rPr>
          <w:rFonts w:ascii="Verdana" w:hAnsi="Verdana" w:cs="Arial"/>
          <w:sz w:val="13"/>
          <w:szCs w:val="13"/>
          <w:lang w:val="es-CO"/>
        </w:rPr>
        <w:t>C. P. Álvaro Namén Vargas. Rad.</w:t>
      </w:r>
      <w:r w:rsidRPr="0076787A">
        <w:rPr>
          <w:rFonts w:ascii="Verdana" w:hAnsi="Verdana" w:cs="Arial"/>
          <w:sz w:val="13"/>
          <w:szCs w:val="13"/>
        </w:rPr>
        <w:t xml:space="preserve"> 2166, </w:t>
      </w:r>
    </w:p>
  </w:footnote>
  <w:footnote w:id="8">
    <w:p w14:paraId="32BCA872" w14:textId="77777777" w:rsidR="00861467" w:rsidRPr="0076787A" w:rsidRDefault="00861467" w:rsidP="00861467">
      <w:pPr>
        <w:spacing w:after="0" w:line="240" w:lineRule="auto"/>
        <w:ind w:firstLine="709"/>
        <w:jc w:val="both"/>
        <w:rPr>
          <w:rFonts w:ascii="Verdana" w:eastAsia="Times New Roman"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w:t>
      </w:r>
      <w:bookmarkStart w:id="7" w:name="33"/>
      <w:r w:rsidRPr="0076787A">
        <w:rPr>
          <w:rFonts w:ascii="Verdana" w:eastAsia="Calibri" w:hAnsi="Verdana" w:cs="Arial"/>
          <w:color w:val="000000"/>
          <w:sz w:val="13"/>
          <w:szCs w:val="13"/>
        </w:rPr>
        <w:t>“</w:t>
      </w:r>
      <w:r w:rsidRPr="0076787A">
        <w:rPr>
          <w:rFonts w:ascii="Verdana" w:eastAsia="Times New Roman" w:hAnsi="Verdana" w:cs="Arial"/>
          <w:sz w:val="13"/>
          <w:szCs w:val="13"/>
        </w:rPr>
        <w:t>Artículo 33. Restricciones a la contratación pública.</w:t>
      </w:r>
      <w:bookmarkEnd w:id="7"/>
      <w:r w:rsidRPr="0076787A">
        <w:rPr>
          <w:rFonts w:ascii="Verdana" w:eastAsia="Times New Roman" w:hAnsi="Verdana" w:cs="Arial"/>
          <w:sz w:val="13"/>
          <w:szCs w:val="13"/>
        </w:rPr>
        <w:t> Durante los cuatro (4) meses anteriores a la elección presidencial y hasta la realización de la elección en la segunda vuelta, si fuere el caso, queda prohibida la contratación directa por parte de todos los entes del Estado.</w:t>
      </w:r>
    </w:p>
    <w:p w14:paraId="0A96E4E6" w14:textId="77777777" w:rsidR="00861467" w:rsidRPr="0076787A" w:rsidRDefault="00861467" w:rsidP="00861467">
      <w:pPr>
        <w:spacing w:after="0" w:line="240" w:lineRule="auto"/>
        <w:ind w:firstLine="709"/>
        <w:jc w:val="both"/>
        <w:rPr>
          <w:rFonts w:ascii="Verdana" w:eastAsia="Times New Roman" w:hAnsi="Verdana" w:cs="Arial"/>
          <w:sz w:val="13"/>
          <w:szCs w:val="13"/>
        </w:rPr>
      </w:pPr>
      <w:r w:rsidRPr="0076787A">
        <w:rPr>
          <w:rFonts w:ascii="Verdana" w:eastAsia="Times New Roman" w:hAnsi="Verdana" w:cs="Arial"/>
          <w:sz w:val="13"/>
          <w:szCs w:val="13"/>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76787A">
        <w:rPr>
          <w:rFonts w:ascii="Verdana" w:eastAsia="Calibri" w:hAnsi="Verdana" w:cs="Arial"/>
          <w:color w:val="000000"/>
          <w:sz w:val="13"/>
          <w:szCs w:val="13"/>
        </w:rPr>
        <w:t>”</w:t>
      </w:r>
      <w:r w:rsidRPr="0076787A">
        <w:rPr>
          <w:rFonts w:ascii="Verdana" w:eastAsia="Times New Roman" w:hAnsi="Verdana" w:cs="Arial"/>
          <w:sz w:val="13"/>
          <w:szCs w:val="13"/>
        </w:rPr>
        <w:t>.</w:t>
      </w:r>
    </w:p>
  </w:footnote>
  <w:footnote w:id="9">
    <w:p w14:paraId="59D809F8" w14:textId="77777777" w:rsidR="00861467" w:rsidRPr="0076787A" w:rsidRDefault="00861467" w:rsidP="00861467">
      <w:pPr>
        <w:pStyle w:val="NormalWeb"/>
        <w:spacing w:before="0" w:beforeAutospacing="0" w:after="0" w:afterAutospacing="0"/>
        <w:ind w:firstLine="709"/>
        <w:jc w:val="both"/>
        <w:rPr>
          <w:rFonts w:ascii="Verdana" w:hAnsi="Verdana" w:cs="Arial"/>
          <w:sz w:val="13"/>
          <w:szCs w:val="13"/>
          <w:lang w:val="es-MX"/>
        </w:rPr>
      </w:pPr>
      <w:r w:rsidRPr="0076787A">
        <w:rPr>
          <w:rStyle w:val="Refdenotaalpie"/>
          <w:rFonts w:ascii="Verdana" w:hAnsi="Verdana" w:cs="Arial"/>
          <w:sz w:val="13"/>
          <w:szCs w:val="13"/>
        </w:rPr>
        <w:footnoteRef/>
      </w:r>
      <w:r w:rsidRPr="0076787A">
        <w:rPr>
          <w:rFonts w:ascii="Verdana" w:hAnsi="Verdana" w:cs="Arial"/>
          <w:sz w:val="13"/>
          <w:szCs w:val="13"/>
        </w:rPr>
        <w:t xml:space="preserve"> </w:t>
      </w:r>
      <w:bookmarkStart w:id="8" w:name="38"/>
      <w:r w:rsidRPr="0076787A">
        <w:rPr>
          <w:rFonts w:ascii="Verdana" w:eastAsia="Calibri" w:hAnsi="Verdana" w:cs="Arial"/>
          <w:color w:val="000000"/>
          <w:sz w:val="13"/>
          <w:szCs w:val="13"/>
        </w:rPr>
        <w:t>“</w:t>
      </w:r>
      <w:r w:rsidRPr="0076787A">
        <w:rPr>
          <w:rFonts w:ascii="Verdana" w:hAnsi="Verdana" w:cs="Arial"/>
          <w:sz w:val="13"/>
          <w:szCs w:val="13"/>
          <w:lang w:val="es-MX"/>
        </w:rPr>
        <w:t>Artículo 38. Prohibiciones para los servidores públicos. A los empleados del Estado les está prohibido:</w:t>
      </w:r>
      <w:bookmarkEnd w:id="8"/>
      <w:r w:rsidRPr="0076787A">
        <w:rPr>
          <w:rFonts w:ascii="Verdana" w:hAnsi="Verdana" w:cs="Arial"/>
          <w:sz w:val="13"/>
          <w:szCs w:val="13"/>
          <w:lang w:val="es-MX"/>
        </w:rPr>
        <w:t xml:space="preserve"> […]</w:t>
      </w:r>
    </w:p>
    <w:p w14:paraId="500354B2" w14:textId="77777777" w:rsidR="00861467" w:rsidRPr="0076787A" w:rsidRDefault="00861467" w:rsidP="00861467">
      <w:pPr>
        <w:pStyle w:val="NormalWeb"/>
        <w:spacing w:before="0" w:beforeAutospacing="0" w:after="0" w:afterAutospacing="0"/>
        <w:ind w:firstLine="709"/>
        <w:jc w:val="both"/>
        <w:rPr>
          <w:rFonts w:ascii="Verdana" w:hAnsi="Verdana" w:cs="Arial"/>
          <w:sz w:val="13"/>
          <w:szCs w:val="13"/>
          <w:lang w:val="es-MX"/>
        </w:rPr>
      </w:pPr>
      <w:r w:rsidRPr="0076787A">
        <w:rPr>
          <w:rStyle w:val="baj"/>
          <w:rFonts w:ascii="Verdana" w:hAnsi="Verdana" w:cs="Arial"/>
          <w:sz w:val="13"/>
          <w:szCs w:val="13"/>
          <w:lang w:val="es-MX"/>
        </w:rPr>
        <w:t>Parágrafo.</w:t>
      </w:r>
      <w:r w:rsidRPr="0076787A">
        <w:rPr>
          <w:rFonts w:ascii="Verdana" w:hAnsi="Verdana" w:cs="Arial"/>
          <w:sz w:val="13"/>
          <w:szCs w:val="13"/>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76787A">
        <w:rPr>
          <w:rFonts w:ascii="Verdana" w:eastAsia="Calibri" w:hAnsi="Verdana" w:cs="Arial"/>
          <w:color w:val="000000"/>
          <w:sz w:val="13"/>
          <w:szCs w:val="13"/>
        </w:rPr>
        <w:t>”</w:t>
      </w:r>
      <w:r w:rsidRPr="0076787A">
        <w:rPr>
          <w:rFonts w:ascii="Verdana" w:hAnsi="Verdana" w:cs="Arial"/>
          <w:sz w:val="13"/>
          <w:szCs w:val="13"/>
          <w:lang w:val="es-MX"/>
        </w:rPr>
        <w:t>.</w:t>
      </w:r>
    </w:p>
  </w:footnote>
  <w:footnote w:id="10">
    <w:p w14:paraId="2AD51632" w14:textId="77777777" w:rsidR="00861467" w:rsidRPr="0076787A" w:rsidRDefault="00861467" w:rsidP="00861467">
      <w:pPr>
        <w:pStyle w:val="Textonotapie"/>
        <w:ind w:firstLine="708"/>
        <w:jc w:val="both"/>
        <w:rPr>
          <w:rFonts w:ascii="Verdana"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Colombia Compra Eficiente. Circular Externa Única. Numeral 16.5. </w:t>
      </w:r>
    </w:p>
  </w:footnote>
  <w:footnote w:id="11">
    <w:p w14:paraId="4BC1345C" w14:textId="77777777" w:rsidR="00861467" w:rsidRPr="0076787A" w:rsidRDefault="00861467" w:rsidP="00861467">
      <w:pPr>
        <w:spacing w:after="0" w:line="240" w:lineRule="auto"/>
        <w:ind w:left="100" w:right="244" w:firstLine="608"/>
        <w:jc w:val="both"/>
        <w:rPr>
          <w:rFonts w:ascii="Verdana" w:hAnsi="Verdana" w:cs="Arial"/>
          <w:sz w:val="13"/>
          <w:szCs w:val="13"/>
          <w:lang w:val="es-ES"/>
        </w:rPr>
      </w:pPr>
      <w:r w:rsidRPr="0076787A">
        <w:rPr>
          <w:rStyle w:val="Refdenotaalpie"/>
          <w:rFonts w:ascii="Verdana" w:hAnsi="Verdana" w:cs="Arial"/>
          <w:sz w:val="13"/>
          <w:szCs w:val="13"/>
        </w:rPr>
        <w:footnoteRef/>
      </w:r>
      <w:r w:rsidRPr="0076787A">
        <w:rPr>
          <w:rFonts w:ascii="Verdana" w:hAnsi="Verdana" w:cs="Arial"/>
          <w:sz w:val="13"/>
          <w:szCs w:val="13"/>
        </w:rPr>
        <w:t xml:space="preserve"> Consejo de Estado. Sala de Consulta y Servicio Civil. Concepto del 17 de febrero de 2015. C.P. William Zambrano Cetina. Radicación No. 11001-03-06-000-2015-00164-00(2269).</w:t>
      </w:r>
    </w:p>
  </w:footnote>
  <w:footnote w:id="12">
    <w:p w14:paraId="4E02901A" w14:textId="77777777" w:rsidR="00861467" w:rsidRPr="0076787A" w:rsidRDefault="00861467" w:rsidP="00861467">
      <w:pPr>
        <w:pStyle w:val="Textonotapie"/>
        <w:ind w:right="51" w:firstLine="709"/>
        <w:jc w:val="both"/>
        <w:rPr>
          <w:rFonts w:ascii="Verdana"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w:t>
      </w:r>
      <w:r w:rsidRPr="0076787A">
        <w:rPr>
          <w:rFonts w:ascii="Verdana" w:hAnsi="Verdana" w:cs="Arial"/>
          <w:sz w:val="13"/>
          <w:szCs w:val="13"/>
          <w:lang w:val="es-ES"/>
        </w:rPr>
        <w:t xml:space="preserve">[25] </w:t>
      </w:r>
      <w:r w:rsidRPr="0076787A">
        <w:rPr>
          <w:rFonts w:ascii="Verdana" w:hAnsi="Verdana" w:cs="Arial"/>
          <w:sz w:val="13"/>
          <w:szCs w:val="13"/>
        </w:rPr>
        <w:t>Cfr. Consejo de Estado. Sección Tercera. Sentencia de 3 de diciembre de 2007. Radicados: 24.715, 25.206, 25.409, 24.524, 27.834, 25.410, 26.105, 28.244, 31.447 -acumulados-“.</w:t>
      </w:r>
    </w:p>
  </w:footnote>
  <w:footnote w:id="13">
    <w:p w14:paraId="535F17C0" w14:textId="77777777" w:rsidR="00861467" w:rsidRPr="0076787A" w:rsidRDefault="00861467" w:rsidP="00861467">
      <w:pPr>
        <w:pStyle w:val="Textonotapie"/>
        <w:ind w:right="51" w:firstLine="709"/>
        <w:jc w:val="both"/>
        <w:rPr>
          <w:rFonts w:ascii="Verdana"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w:t>
      </w:r>
      <w:r w:rsidRPr="0076787A">
        <w:rPr>
          <w:rFonts w:ascii="Verdana" w:hAnsi="Verdana" w:cs="Arial"/>
          <w:sz w:val="13"/>
          <w:szCs w:val="13"/>
          <w:lang w:val="es-ES"/>
        </w:rPr>
        <w:t xml:space="preserve">[26] </w:t>
      </w:r>
      <w:r w:rsidRPr="0076787A">
        <w:rPr>
          <w:rFonts w:ascii="Verdana" w:hAnsi="Verdana" w:cs="Arial"/>
          <w:sz w:val="13"/>
          <w:szCs w:val="13"/>
        </w:rPr>
        <w:t>Al respecto ver el concepto 1712 de 2 de febrero de 2006. Consejo de Estado Sala de Consulta y Servicio Civil”.</w:t>
      </w:r>
    </w:p>
  </w:footnote>
  <w:footnote w:id="14">
    <w:p w14:paraId="021F0695" w14:textId="77777777" w:rsidR="00861467" w:rsidRPr="0076787A" w:rsidRDefault="00861467" w:rsidP="00861467">
      <w:pPr>
        <w:pStyle w:val="Textonotapie"/>
        <w:ind w:firstLine="709"/>
        <w:jc w:val="both"/>
        <w:rPr>
          <w:rFonts w:ascii="Verdana"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Consejo de Estado. Sala de Consulta y Servicio Civil. Concepto del 2 de septiembre de 2013. </w:t>
      </w:r>
      <w:r w:rsidRPr="0076787A">
        <w:rPr>
          <w:rFonts w:ascii="Verdana" w:hAnsi="Verdana" w:cs="Arial"/>
          <w:sz w:val="13"/>
          <w:szCs w:val="13"/>
          <w:lang w:val="es-CO"/>
        </w:rPr>
        <w:t>C.P. Álvaro Namén Vargas.</w:t>
      </w:r>
      <w:r w:rsidRPr="0076787A">
        <w:rPr>
          <w:rFonts w:ascii="Verdana" w:hAnsi="Verdana" w:cs="Arial"/>
          <w:sz w:val="13"/>
          <w:szCs w:val="13"/>
        </w:rPr>
        <w:t xml:space="preserve">Rad. 2168. </w:t>
      </w:r>
    </w:p>
  </w:footnote>
  <w:footnote w:id="15">
    <w:p w14:paraId="7B4C2FD5" w14:textId="77777777" w:rsidR="00861467" w:rsidRPr="0076787A" w:rsidRDefault="00861467" w:rsidP="00861467">
      <w:pPr>
        <w:pStyle w:val="Textonotapie"/>
        <w:ind w:firstLine="709"/>
        <w:jc w:val="both"/>
        <w:rPr>
          <w:rFonts w:ascii="Verdana" w:hAnsi="Verdana" w:cs="Arial"/>
          <w:sz w:val="13"/>
          <w:szCs w:val="13"/>
          <w:lang w:val="es-ES"/>
        </w:rPr>
      </w:pPr>
      <w:r w:rsidRPr="0076787A">
        <w:rPr>
          <w:rStyle w:val="Refdenotaalpie"/>
          <w:rFonts w:ascii="Verdana" w:hAnsi="Verdana" w:cs="Arial"/>
          <w:sz w:val="13"/>
          <w:szCs w:val="13"/>
        </w:rPr>
        <w:footnoteRef/>
      </w:r>
      <w:r w:rsidRPr="0076787A">
        <w:rPr>
          <w:rFonts w:ascii="Verdana" w:hAnsi="Verdana" w:cs="Arial"/>
          <w:sz w:val="13"/>
          <w:szCs w:val="13"/>
        </w:rPr>
        <w:t xml:space="preserve"> </w:t>
      </w:r>
      <w:r w:rsidRPr="0076787A">
        <w:rPr>
          <w:rFonts w:ascii="Verdana" w:hAnsi="Verdana" w:cs="Arial"/>
          <w:sz w:val="13"/>
          <w:szCs w:val="13"/>
          <w:lang w:val="es-ES"/>
        </w:rPr>
        <w:t xml:space="preserve">Artículo 2. </w:t>
      </w:r>
    </w:p>
  </w:footnote>
  <w:footnote w:id="16">
    <w:p w14:paraId="34D3F6F1" w14:textId="77777777" w:rsidR="00861467" w:rsidRPr="0076787A" w:rsidRDefault="00861467" w:rsidP="00861467">
      <w:pPr>
        <w:pStyle w:val="Textonotapie"/>
        <w:ind w:firstLine="709"/>
        <w:jc w:val="both"/>
        <w:rPr>
          <w:rFonts w:ascii="Verdana" w:hAnsi="Verdana" w:cs="Arial"/>
          <w:sz w:val="13"/>
          <w:szCs w:val="13"/>
          <w:lang w:val="es-ES"/>
        </w:rPr>
      </w:pPr>
      <w:r w:rsidRPr="0076787A">
        <w:rPr>
          <w:rStyle w:val="Refdenotaalpie"/>
          <w:rFonts w:ascii="Verdana" w:hAnsi="Verdana" w:cs="Arial"/>
          <w:sz w:val="13"/>
          <w:szCs w:val="13"/>
        </w:rPr>
        <w:footnoteRef/>
      </w:r>
      <w:r w:rsidRPr="0076787A">
        <w:rPr>
          <w:rFonts w:ascii="Verdana" w:hAnsi="Verdana" w:cs="Arial"/>
          <w:sz w:val="13"/>
          <w:szCs w:val="13"/>
        </w:rPr>
        <w:t xml:space="preserve"> </w:t>
      </w:r>
      <w:r w:rsidRPr="0076787A">
        <w:rPr>
          <w:rFonts w:ascii="Verdana" w:hAnsi="Verdana" w:cs="Arial"/>
          <w:i/>
          <w:sz w:val="13"/>
          <w:szCs w:val="13"/>
          <w:lang w:val="es-ES"/>
        </w:rPr>
        <w:t>Ídem</w:t>
      </w:r>
      <w:r w:rsidRPr="0076787A">
        <w:rPr>
          <w:rFonts w:ascii="Verdana" w:hAnsi="Verdana" w:cs="Arial"/>
          <w:sz w:val="13"/>
          <w:szCs w:val="13"/>
          <w:lang w:val="es-ES"/>
        </w:rPr>
        <w:t>.</w:t>
      </w:r>
    </w:p>
  </w:footnote>
  <w:footnote w:id="17">
    <w:p w14:paraId="42B54FFF" w14:textId="77777777" w:rsidR="00861467" w:rsidRPr="0076787A" w:rsidRDefault="00861467" w:rsidP="00861467">
      <w:pPr>
        <w:pStyle w:val="Textonotapie"/>
        <w:ind w:firstLine="709"/>
        <w:jc w:val="both"/>
        <w:rPr>
          <w:rFonts w:ascii="Verdana" w:hAnsi="Verdana" w:cs="Arial"/>
          <w:sz w:val="13"/>
          <w:szCs w:val="13"/>
          <w:lang w:val="es-ES"/>
        </w:rPr>
      </w:pPr>
      <w:r w:rsidRPr="0076787A">
        <w:rPr>
          <w:rStyle w:val="Refdenotaalpie"/>
          <w:rFonts w:ascii="Verdana" w:hAnsi="Verdana" w:cs="Arial"/>
          <w:sz w:val="13"/>
          <w:szCs w:val="13"/>
        </w:rPr>
        <w:footnoteRef/>
      </w:r>
      <w:r w:rsidRPr="0076787A">
        <w:rPr>
          <w:rStyle w:val="Refdenotaalpie"/>
          <w:rFonts w:ascii="Verdana" w:hAnsi="Verdana" w:cs="Arial"/>
          <w:sz w:val="13"/>
          <w:szCs w:val="13"/>
        </w:rPr>
        <w:t xml:space="preserve"> </w:t>
      </w:r>
      <w:r w:rsidRPr="0076787A">
        <w:rPr>
          <w:rFonts w:ascii="Verdana" w:hAnsi="Verdana" w:cs="Arial"/>
          <w:sz w:val="13"/>
          <w:szCs w:val="13"/>
          <w:lang w:val="es-ES"/>
        </w:rPr>
        <w:t xml:space="preserve">“[…] A este respecto, cabe recordar que el artículo 860 del Código de Comercio regula la licitación en el derecho privado”. </w:t>
      </w:r>
    </w:p>
  </w:footnote>
  <w:footnote w:id="18">
    <w:p w14:paraId="40CAB850" w14:textId="77777777" w:rsidR="00861467" w:rsidRPr="0076787A" w:rsidRDefault="00861467" w:rsidP="00861467">
      <w:pPr>
        <w:shd w:val="clear" w:color="auto" w:fill="FFFFFF"/>
        <w:spacing w:after="0" w:line="240" w:lineRule="auto"/>
        <w:ind w:firstLine="709"/>
        <w:jc w:val="both"/>
        <w:rPr>
          <w:rFonts w:ascii="Verdana" w:hAnsi="Verdana" w:cs="Arial"/>
          <w:sz w:val="13"/>
          <w:szCs w:val="13"/>
          <w:lang w:val="es-ES"/>
        </w:rPr>
      </w:pPr>
      <w:r w:rsidRPr="0076787A">
        <w:rPr>
          <w:rStyle w:val="Refdenotaalpie"/>
          <w:rFonts w:ascii="Verdana" w:hAnsi="Verdana" w:cs="Arial"/>
          <w:sz w:val="13"/>
          <w:szCs w:val="13"/>
        </w:rPr>
        <w:footnoteRef/>
      </w:r>
      <w:r w:rsidRPr="0076787A">
        <w:rPr>
          <w:rStyle w:val="Refdenotaalpie"/>
          <w:rFonts w:ascii="Verdana" w:hAnsi="Verdana" w:cs="Arial"/>
          <w:sz w:val="13"/>
          <w:szCs w:val="13"/>
        </w:rPr>
        <w:t xml:space="preserve"> </w:t>
      </w:r>
      <w:r w:rsidRPr="0076787A">
        <w:rPr>
          <w:rFonts w:ascii="Verdana" w:hAnsi="Verdana" w:cs="Arial"/>
          <w:sz w:val="13"/>
          <w:szCs w:val="13"/>
          <w:lang w:val="es-ES"/>
        </w:rPr>
        <w:t>Consejo de Estado, Sala de Consulta y Servicio Civil, Concepto de 8 de mayo de 2018. C.P. Álvaro Namén Vargas. Rad. 2382.</w:t>
      </w:r>
    </w:p>
  </w:footnote>
  <w:footnote w:id="19">
    <w:p w14:paraId="3C0DA443" w14:textId="77777777" w:rsidR="00861467" w:rsidRPr="0076787A" w:rsidRDefault="00861467" w:rsidP="00861467">
      <w:pPr>
        <w:pStyle w:val="Textonotapie"/>
        <w:ind w:firstLine="709"/>
        <w:jc w:val="both"/>
        <w:rPr>
          <w:rFonts w:ascii="Verdana"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Ibídem. </w:t>
      </w:r>
    </w:p>
  </w:footnote>
  <w:footnote w:id="20">
    <w:p w14:paraId="726377F4" w14:textId="77777777" w:rsidR="00861467" w:rsidRPr="0076787A" w:rsidRDefault="00861467" w:rsidP="00861467">
      <w:pPr>
        <w:pStyle w:val="Textonotapie"/>
        <w:ind w:firstLine="709"/>
        <w:jc w:val="both"/>
        <w:rPr>
          <w:rFonts w:ascii="Verdana"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6CFDAEC5" w14:textId="77777777" w:rsidR="00861467" w:rsidRPr="0076787A" w:rsidRDefault="00861467" w:rsidP="00861467">
      <w:pPr>
        <w:spacing w:after="0" w:line="240" w:lineRule="auto"/>
        <w:ind w:firstLine="709"/>
        <w:jc w:val="both"/>
        <w:rPr>
          <w:rFonts w:ascii="Verdana"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5B26A165" w14:textId="77777777" w:rsidR="00861467" w:rsidRPr="0076787A" w:rsidRDefault="00861467" w:rsidP="00861467">
      <w:pPr>
        <w:pStyle w:val="Textonotapie"/>
        <w:ind w:right="51" w:firstLine="709"/>
        <w:jc w:val="both"/>
        <w:rPr>
          <w:rFonts w:ascii="Verdana" w:eastAsia="Times New Roman" w:hAnsi="Verdana" w:cs="Arial"/>
          <w:bCs/>
          <w:sz w:val="13"/>
          <w:szCs w:val="13"/>
          <w:lang w:eastAsia="x-none"/>
        </w:rPr>
      </w:pPr>
      <w:r w:rsidRPr="0076787A">
        <w:rPr>
          <w:rStyle w:val="Refdenotaalpie"/>
          <w:rFonts w:ascii="Verdana" w:hAnsi="Verdana" w:cs="Arial"/>
          <w:sz w:val="13"/>
          <w:szCs w:val="13"/>
        </w:rPr>
        <w:footnoteRef/>
      </w:r>
      <w:r w:rsidRPr="0076787A">
        <w:rPr>
          <w:rFonts w:ascii="Verdana" w:hAnsi="Verdana" w:cs="Arial"/>
          <w:sz w:val="13"/>
          <w:szCs w:val="13"/>
        </w:rPr>
        <w:t xml:space="preserve"> Consejo de Estado, Sala de Consulta y Servicio Civil. Concepto de 6 de abril de 2006.C.P. Enrique José Arboleda Perdomo. </w:t>
      </w:r>
      <w:r w:rsidRPr="0076787A">
        <w:rPr>
          <w:rFonts w:ascii="Verdana" w:hAnsi="Verdana" w:cs="Arial"/>
          <w:sz w:val="13"/>
          <w:szCs w:val="13"/>
          <w:lang w:val="es-CO"/>
        </w:rPr>
        <w:t>Rad. 1738</w:t>
      </w:r>
      <w:r w:rsidRPr="0076787A">
        <w:rPr>
          <w:rFonts w:ascii="Verdana" w:eastAsia="Times New Roman" w:hAnsi="Verdana" w:cs="Arial"/>
          <w:bCs/>
          <w:sz w:val="13"/>
          <w:szCs w:val="13"/>
          <w:lang w:eastAsia="x-none"/>
        </w:rPr>
        <w:t xml:space="preserve"> “</w:t>
      </w:r>
      <w:r w:rsidRPr="0076787A">
        <w:rPr>
          <w:rFonts w:ascii="Verdana" w:hAnsi="Verdana" w:cs="Arial"/>
          <w:sz w:val="13"/>
          <w:szCs w:val="13"/>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76787A">
        <w:rPr>
          <w:rFonts w:ascii="Verdana" w:eastAsia="Times New Roman" w:hAnsi="Verdana" w:cs="Arial"/>
          <w:bCs/>
          <w:sz w:val="13"/>
          <w:szCs w:val="13"/>
          <w:lang w:eastAsia="x-none"/>
        </w:rPr>
        <w:t>”.</w:t>
      </w:r>
    </w:p>
  </w:footnote>
  <w:footnote w:id="23">
    <w:p w14:paraId="740A73D5" w14:textId="77777777" w:rsidR="00861467" w:rsidRPr="0076787A" w:rsidRDefault="00861467" w:rsidP="00861467">
      <w:pPr>
        <w:spacing w:after="0" w:line="240" w:lineRule="auto"/>
        <w:ind w:firstLine="708"/>
        <w:jc w:val="both"/>
        <w:rPr>
          <w:rFonts w:ascii="Verdana"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Consejo de Estado. Sala de Consulta y Servicio Civil. Concepto de 6 de abril de 2006. C.P. Enrique José Arboleda Perdomo. Rad. 1738. </w:t>
      </w:r>
    </w:p>
  </w:footnote>
  <w:footnote w:id="24">
    <w:p w14:paraId="500AB1E8" w14:textId="77777777" w:rsidR="00861467" w:rsidRPr="0076787A" w:rsidRDefault="00861467" w:rsidP="00861467">
      <w:pPr>
        <w:pStyle w:val="Textonotapie"/>
        <w:ind w:right="51" w:firstLine="709"/>
        <w:jc w:val="both"/>
        <w:rPr>
          <w:rFonts w:ascii="Verdana"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Consejo de Estado. Sala de Consulta y Servicio Civil, ídem.</w:t>
      </w:r>
    </w:p>
  </w:footnote>
  <w:footnote w:id="25">
    <w:p w14:paraId="4557F11D" w14:textId="77777777" w:rsidR="00861467" w:rsidRPr="0076787A" w:rsidRDefault="00861467" w:rsidP="00861467">
      <w:pPr>
        <w:pStyle w:val="Textonotapie"/>
        <w:ind w:firstLine="708"/>
        <w:jc w:val="both"/>
        <w:rPr>
          <w:rFonts w:ascii="Arial" w:hAnsi="Arial"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Colombia Compra Eficiente. Circular Externa Única. Numeral 15.5.</w:t>
      </w:r>
    </w:p>
  </w:footnote>
  <w:footnote w:id="26">
    <w:p w14:paraId="59C9CB96" w14:textId="77777777" w:rsidR="00861467" w:rsidRPr="0076787A" w:rsidRDefault="00861467" w:rsidP="00861467">
      <w:pPr>
        <w:pStyle w:val="Textonotapie"/>
        <w:ind w:firstLine="709"/>
        <w:contextualSpacing/>
        <w:jc w:val="both"/>
        <w:rPr>
          <w:rFonts w:ascii="Verdana" w:hAnsi="Verdana" w:cs="Arial"/>
          <w:sz w:val="13"/>
          <w:szCs w:val="13"/>
        </w:rPr>
      </w:pPr>
      <w:r w:rsidRPr="0076787A">
        <w:rPr>
          <w:rStyle w:val="Refdenotaalpie"/>
          <w:rFonts w:ascii="Verdana" w:hAnsi="Verdana"/>
          <w:sz w:val="13"/>
          <w:szCs w:val="13"/>
        </w:rPr>
        <w:footnoteRef/>
      </w:r>
      <w:r w:rsidRPr="0076787A">
        <w:rPr>
          <w:rFonts w:ascii="Verdana" w:hAnsi="Verdana"/>
          <w:sz w:val="13"/>
          <w:szCs w:val="13"/>
        </w:rPr>
        <w:t xml:space="preserve"> </w:t>
      </w:r>
      <w:r w:rsidRPr="0076787A">
        <w:rPr>
          <w:rFonts w:ascii="Verdana" w:hAnsi="Verdana" w:cs="Arial"/>
          <w:sz w:val="13"/>
          <w:szCs w:val="13"/>
        </w:rPr>
        <w:t xml:space="preserve">Consejo de Estado -Sección Tercera-. Sentencia del 21 de febrero de 2025. CP: José Roberto Sáchica Méndez. Exp. 68.280. </w:t>
      </w:r>
    </w:p>
  </w:footnote>
  <w:footnote w:id="27">
    <w:p w14:paraId="2D942278" w14:textId="77777777" w:rsidR="00861467" w:rsidRPr="0076787A" w:rsidRDefault="00861467" w:rsidP="00861467">
      <w:pPr>
        <w:pStyle w:val="Textonotapie"/>
        <w:ind w:firstLine="709"/>
        <w:contextualSpacing/>
        <w:jc w:val="both"/>
        <w:rPr>
          <w:rFonts w:ascii="Verdana" w:hAnsi="Verdana" w:cs="Arial"/>
          <w:sz w:val="13"/>
          <w:szCs w:val="13"/>
        </w:rPr>
      </w:pPr>
      <w:r w:rsidRPr="0076787A">
        <w:rPr>
          <w:rFonts w:ascii="Verdana" w:hAnsi="Verdana"/>
          <w:sz w:val="13"/>
          <w:szCs w:val="13"/>
          <w:vertAlign w:val="superscript"/>
        </w:rPr>
        <w:footnoteRef/>
      </w:r>
      <w:r w:rsidRPr="0076787A">
        <w:rPr>
          <w:rFonts w:ascii="Verdana" w:hAnsi="Verdana"/>
          <w:sz w:val="13"/>
          <w:szCs w:val="13"/>
          <w:vertAlign w:val="superscript"/>
        </w:rPr>
        <w:t xml:space="preserve"> </w:t>
      </w:r>
      <w:r w:rsidRPr="0076787A">
        <w:rPr>
          <w:rFonts w:ascii="Verdana" w:hAnsi="Verdana" w:cs="Arial"/>
          <w:sz w:val="13"/>
          <w:szCs w:val="13"/>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8">
    <w:p w14:paraId="26FB1B6E" w14:textId="77777777" w:rsidR="00861467" w:rsidRPr="0076787A" w:rsidRDefault="00861467" w:rsidP="00861467">
      <w:pPr>
        <w:pStyle w:val="Textonotapie"/>
        <w:ind w:firstLine="709"/>
        <w:contextualSpacing/>
        <w:jc w:val="both"/>
        <w:rPr>
          <w:rFonts w:ascii="Verdana" w:hAnsi="Verdana" w:cs="Arial"/>
          <w:sz w:val="13"/>
          <w:szCs w:val="13"/>
        </w:rPr>
      </w:pPr>
      <w:r w:rsidRPr="0076787A">
        <w:rPr>
          <w:rFonts w:ascii="Verdana" w:hAnsi="Verdana"/>
          <w:sz w:val="13"/>
          <w:szCs w:val="13"/>
          <w:vertAlign w:val="superscript"/>
        </w:rPr>
        <w:footnoteRef/>
      </w:r>
      <w:r w:rsidRPr="0076787A">
        <w:rPr>
          <w:rFonts w:ascii="Verdana" w:hAnsi="Verdana" w:cs="Arial"/>
          <w:sz w:val="13"/>
          <w:szCs w:val="13"/>
          <w:vertAlign w:val="superscript"/>
        </w:rPr>
        <w:t xml:space="preserve"> </w:t>
      </w:r>
      <w:r w:rsidRPr="0076787A">
        <w:rPr>
          <w:rFonts w:ascii="Verdana" w:hAnsi="Verdana" w:cs="Arial"/>
          <w:sz w:val="13"/>
          <w:szCs w:val="13"/>
        </w:rPr>
        <w:t>Ley 80 de 1993: “Artículo 41. Del perfeccionamiento del contrato. Los contratos del Estado se perfeccionan cuando se logre acuerdo sobre el objeto y la contraprestación y éste se eleve a escrito.</w:t>
      </w:r>
    </w:p>
    <w:p w14:paraId="0A580988" w14:textId="77777777" w:rsidR="00861467" w:rsidRPr="0076787A" w:rsidRDefault="00861467" w:rsidP="00861467">
      <w:pPr>
        <w:pStyle w:val="Textonotapie"/>
        <w:ind w:firstLine="709"/>
        <w:contextualSpacing/>
        <w:jc w:val="both"/>
        <w:rPr>
          <w:rFonts w:ascii="Verdana" w:hAnsi="Verdana" w:cs="Arial"/>
          <w:sz w:val="13"/>
          <w:szCs w:val="13"/>
        </w:rPr>
      </w:pPr>
      <w:r w:rsidRPr="0076787A">
        <w:rPr>
          <w:rFonts w:ascii="Verdana" w:hAnsi="Verdana" w:cs="Arial"/>
          <w:sz w:val="13"/>
          <w:szCs w:val="13"/>
        </w:rPr>
        <w:t>[…]”.</w:t>
      </w:r>
    </w:p>
  </w:footnote>
  <w:footnote w:id="29">
    <w:p w14:paraId="6E724D37" w14:textId="77777777" w:rsidR="00861467" w:rsidRPr="0076787A" w:rsidRDefault="00861467" w:rsidP="00861467">
      <w:pPr>
        <w:pStyle w:val="Textonotapie"/>
        <w:ind w:firstLine="709"/>
        <w:contextualSpacing/>
        <w:jc w:val="both"/>
        <w:rPr>
          <w:rFonts w:ascii="Verdana" w:hAnsi="Verdana" w:cs="Arial"/>
          <w:sz w:val="13"/>
          <w:szCs w:val="13"/>
        </w:rPr>
      </w:pPr>
      <w:r w:rsidRPr="0076787A">
        <w:rPr>
          <w:rFonts w:ascii="Verdana" w:hAnsi="Verdana"/>
          <w:sz w:val="13"/>
          <w:szCs w:val="13"/>
          <w:vertAlign w:val="superscript"/>
        </w:rPr>
        <w:footnoteRef/>
      </w:r>
      <w:r w:rsidRPr="0076787A">
        <w:rPr>
          <w:rFonts w:ascii="Verdana" w:hAnsi="Verdana" w:cs="Arial"/>
          <w:sz w:val="13"/>
          <w:szCs w:val="13"/>
          <w:vertAlign w:val="superscript"/>
        </w:rPr>
        <w:t xml:space="preserve"> </w:t>
      </w:r>
      <w:r w:rsidRPr="0076787A">
        <w:rPr>
          <w:rFonts w:ascii="Verdana" w:hAnsi="Verdana" w:cs="Arial"/>
          <w:sz w:val="13"/>
          <w:szCs w:val="13"/>
        </w:rPr>
        <w:t>Código Civil: “Artículo 27. Cuando el sentido de la ley sea claro, no se desatenderá su tenor a pretexto de consultar su espíritu”.</w:t>
      </w:r>
    </w:p>
  </w:footnote>
  <w:footnote w:id="30">
    <w:p w14:paraId="32093AA1" w14:textId="77777777" w:rsidR="00861467" w:rsidRPr="0076787A" w:rsidRDefault="00861467" w:rsidP="00861467">
      <w:pPr>
        <w:pStyle w:val="Textonotapie"/>
        <w:ind w:firstLine="708"/>
        <w:jc w:val="both"/>
        <w:rPr>
          <w:rFonts w:ascii="Verdana" w:hAnsi="Verdana"/>
          <w:sz w:val="13"/>
          <w:szCs w:val="13"/>
          <w:lang w:val="es-ES"/>
        </w:rPr>
      </w:pPr>
      <w:r w:rsidRPr="0076787A">
        <w:rPr>
          <w:rStyle w:val="Refdenotaalpie"/>
          <w:rFonts w:ascii="Verdana" w:hAnsi="Verdana"/>
          <w:sz w:val="13"/>
          <w:szCs w:val="13"/>
        </w:rPr>
        <w:footnoteRef/>
      </w:r>
      <w:r w:rsidRPr="0076787A">
        <w:rPr>
          <w:rFonts w:ascii="Verdana" w:hAnsi="Verdana"/>
          <w:sz w:val="13"/>
          <w:szCs w:val="13"/>
        </w:rPr>
        <w:t xml:space="preserve"> </w:t>
      </w:r>
      <w:r w:rsidRPr="0076787A">
        <w:rPr>
          <w:rFonts w:ascii="Verdana" w:hAnsi="Verdana"/>
          <w:sz w:val="13"/>
          <w:szCs w:val="13"/>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76787A">
        <w:rPr>
          <w:rFonts w:ascii="Verdana" w:hAnsi="Verdana"/>
          <w:i/>
          <w:iCs/>
          <w:sz w:val="13"/>
          <w:szCs w:val="13"/>
          <w:lang w:val="es-ES"/>
        </w:rPr>
        <w:t>Ubi lex non distinguit nec nos distinguere debemus</w:t>
      </w:r>
      <w:r w:rsidRPr="0076787A">
        <w:rPr>
          <w:rFonts w:ascii="Verdana" w:hAnsi="Verdana"/>
          <w:sz w:val="13"/>
          <w:szCs w:val="13"/>
          <w:lang w:val="es-ES"/>
        </w:rPr>
        <w:t>, ‘donde la ley no distingue no puede el hombre distinguir’. ‘La extensión que deba dársele a la ley se determinará por su genuino sentido y según las reglas de interpretación precedentes’, dice el artículo 23.</w:t>
      </w:r>
    </w:p>
    <w:p w14:paraId="271B11E0" w14:textId="77777777" w:rsidR="00861467" w:rsidRPr="0076787A" w:rsidRDefault="00861467" w:rsidP="00861467">
      <w:pPr>
        <w:pStyle w:val="Textonotapie"/>
        <w:ind w:firstLine="708"/>
        <w:jc w:val="both"/>
        <w:rPr>
          <w:rFonts w:ascii="Verdana" w:hAnsi="Verdana"/>
          <w:sz w:val="13"/>
          <w:szCs w:val="13"/>
          <w:lang w:val="es-CO"/>
        </w:rPr>
      </w:pPr>
      <w:r w:rsidRPr="0076787A">
        <w:rPr>
          <w:rFonts w:ascii="Verdana" w:hAnsi="Verdana"/>
          <w:sz w:val="13"/>
          <w:szCs w:val="13"/>
          <w:lang w:val="es-ES"/>
        </w:rPr>
        <w:t xml:space="preserve">En el derecho antiguo y en el derecho canónico se distinguían las leyes en favorables y odiosas, para ampliar o restringir su interpretación. </w:t>
      </w:r>
      <w:r w:rsidRPr="0076787A">
        <w:rPr>
          <w:rFonts w:ascii="Verdana" w:hAnsi="Verdana"/>
          <w:i/>
          <w:iCs/>
          <w:sz w:val="13"/>
          <w:szCs w:val="13"/>
          <w:lang w:val="es-ES"/>
        </w:rPr>
        <w:t>Odia restringí et favores convenit ampliari</w:t>
      </w:r>
      <w:r w:rsidRPr="0076787A">
        <w:rPr>
          <w:rFonts w:ascii="Verdana" w:hAnsi="Verdana"/>
          <w:sz w:val="13"/>
          <w:szCs w:val="13"/>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76787A">
        <w:rPr>
          <w:rFonts w:ascii="Verdana" w:hAnsi="Verdana"/>
          <w:sz w:val="13"/>
          <w:szCs w:val="13"/>
        </w:rPr>
        <w:t>CLARO SOLAR, Luis. Explicaciones de derecho civil chileno y comparado. Volumen I. Tomo I. Santiago: Editorial Jurídica de Chile, 2013. p. 119. Énfasis dentro del texto).</w:t>
      </w:r>
    </w:p>
  </w:footnote>
  <w:footnote w:id="31">
    <w:p w14:paraId="54897A9E" w14:textId="77777777" w:rsidR="00861467" w:rsidRPr="0076787A" w:rsidRDefault="00861467" w:rsidP="00861467">
      <w:pPr>
        <w:pStyle w:val="Textonotapie"/>
        <w:ind w:firstLine="709"/>
        <w:contextualSpacing/>
        <w:jc w:val="both"/>
        <w:rPr>
          <w:rFonts w:ascii="Verdana" w:hAnsi="Verdana"/>
          <w:sz w:val="13"/>
          <w:szCs w:val="13"/>
          <w:lang w:val="es-CO"/>
        </w:rPr>
      </w:pPr>
      <w:r w:rsidRPr="0076787A">
        <w:rPr>
          <w:rStyle w:val="Refdenotaalpie"/>
          <w:rFonts w:ascii="Verdana" w:hAnsi="Verdana"/>
          <w:sz w:val="13"/>
          <w:szCs w:val="13"/>
        </w:rPr>
        <w:footnoteRef/>
      </w:r>
      <w:r w:rsidRPr="0076787A">
        <w:rPr>
          <w:rFonts w:ascii="Verdana" w:hAnsi="Verdana"/>
          <w:sz w:val="13"/>
          <w:szCs w:val="13"/>
          <w:lang w:val="es-CO"/>
        </w:rPr>
        <w:t xml:space="preserve"> Consejo de Estado, Sección Tercera, Subsección B. Auto del 4 de octubre de 2024. C.P: Fredy Ibarra Martínez. Exp. 70.313.</w:t>
      </w:r>
    </w:p>
  </w:footnote>
  <w:footnote w:id="32">
    <w:p w14:paraId="3931DABD" w14:textId="77777777" w:rsidR="00861467" w:rsidRPr="0076787A" w:rsidRDefault="00861467" w:rsidP="00861467">
      <w:pPr>
        <w:pStyle w:val="Textonotapie"/>
        <w:ind w:firstLine="709"/>
        <w:contextualSpacing/>
        <w:jc w:val="both"/>
        <w:rPr>
          <w:rFonts w:ascii="Verdana" w:hAnsi="Verdana"/>
          <w:sz w:val="13"/>
          <w:szCs w:val="13"/>
          <w:lang w:val="es-CO"/>
        </w:rPr>
      </w:pPr>
      <w:r w:rsidRPr="0076787A">
        <w:rPr>
          <w:rStyle w:val="Refdenotaalpie"/>
          <w:rFonts w:ascii="Verdana" w:hAnsi="Verdana"/>
          <w:sz w:val="13"/>
          <w:szCs w:val="13"/>
        </w:rPr>
        <w:footnoteRef/>
      </w:r>
      <w:r w:rsidRPr="0076787A">
        <w:rPr>
          <w:rFonts w:ascii="Verdana" w:hAnsi="Verdana"/>
          <w:sz w:val="13"/>
          <w:szCs w:val="13"/>
        </w:rPr>
        <w:t xml:space="preserve"> La parte resolutiva del auto dispone lo siguiente; “</w:t>
      </w:r>
      <w:r w:rsidRPr="0076787A">
        <w:rPr>
          <w:rFonts w:ascii="Verdana" w:hAnsi="Verdana"/>
          <w:b/>
          <w:sz w:val="13"/>
          <w:szCs w:val="13"/>
          <w:lang w:val="es-CO"/>
        </w:rPr>
        <w:t xml:space="preserve">PRIMERO: DECRETAR </w:t>
      </w:r>
      <w:r w:rsidRPr="0076787A">
        <w:rPr>
          <w:rFonts w:ascii="Verdana" w:hAnsi="Verdana"/>
          <w:sz w:val="13"/>
          <w:szCs w:val="13"/>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76787A">
        <w:rPr>
          <w:rFonts w:ascii="Verdana" w:hAnsi="Verdana"/>
          <w:i/>
          <w:sz w:val="13"/>
          <w:szCs w:val="13"/>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76787A">
        <w:rPr>
          <w:rFonts w:ascii="Verdana" w:hAnsi="Verdana"/>
          <w:sz w:val="13"/>
          <w:szCs w:val="13"/>
          <w:lang w:val="es-CO"/>
        </w:rPr>
        <w:t xml:space="preserve">, por las razones expuestas en precedencia. </w:t>
      </w:r>
    </w:p>
    <w:p w14:paraId="48A1483F" w14:textId="77777777" w:rsidR="00861467" w:rsidRPr="0076787A" w:rsidRDefault="00861467" w:rsidP="00861467">
      <w:pPr>
        <w:pStyle w:val="Textonotapie"/>
        <w:ind w:firstLine="709"/>
        <w:contextualSpacing/>
        <w:jc w:val="both"/>
        <w:rPr>
          <w:rFonts w:ascii="Verdana" w:hAnsi="Verdana"/>
          <w:sz w:val="13"/>
          <w:szCs w:val="13"/>
          <w:lang w:val="es-CO"/>
        </w:rPr>
      </w:pPr>
      <w:r w:rsidRPr="0076787A">
        <w:rPr>
          <w:rFonts w:ascii="Verdana" w:hAnsi="Verdana"/>
          <w:b/>
          <w:sz w:val="13"/>
          <w:szCs w:val="13"/>
          <w:lang w:val="es-CO"/>
        </w:rPr>
        <w:t xml:space="preserve">SEGUNDO: DECRETAR </w:t>
      </w:r>
      <w:r w:rsidRPr="0076787A">
        <w:rPr>
          <w:rFonts w:ascii="Verdana" w:hAnsi="Verdana"/>
          <w:sz w:val="13"/>
          <w:szCs w:val="13"/>
          <w:lang w:val="es-CO"/>
        </w:rPr>
        <w:t>la suspensión provisional de la expresión “</w:t>
      </w:r>
      <w:r w:rsidRPr="0076787A">
        <w:rPr>
          <w:rFonts w:ascii="Verdana" w:hAnsi="Verdana"/>
          <w:i/>
          <w:sz w:val="13"/>
          <w:szCs w:val="13"/>
          <w:lang w:val="es-CO"/>
        </w:rPr>
        <w:t>contratos</w:t>
      </w:r>
      <w:r w:rsidRPr="0076787A">
        <w:rPr>
          <w:rFonts w:ascii="Verdana" w:hAnsi="Verdana"/>
          <w:sz w:val="13"/>
          <w:szCs w:val="13"/>
          <w:lang w:val="es-CO"/>
        </w:rPr>
        <w:t xml:space="preserve">” y del párrafo </w:t>
      </w:r>
      <w:r w:rsidRPr="0076787A">
        <w:rPr>
          <w:rFonts w:ascii="Verdana" w:hAnsi="Verdana"/>
          <w:i/>
          <w:sz w:val="13"/>
          <w:szCs w:val="13"/>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76787A">
        <w:rPr>
          <w:rFonts w:ascii="Verdana" w:hAnsi="Verdana"/>
          <w:sz w:val="13"/>
          <w:szCs w:val="13"/>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33">
    <w:p w14:paraId="6E5D6C94" w14:textId="77777777" w:rsidR="00861467" w:rsidRPr="0076787A" w:rsidRDefault="00861467" w:rsidP="00861467">
      <w:pPr>
        <w:spacing w:after="0" w:line="240" w:lineRule="auto"/>
        <w:ind w:firstLine="709"/>
        <w:contextualSpacing/>
        <w:jc w:val="both"/>
        <w:rPr>
          <w:rFonts w:ascii="Verdana" w:eastAsia="Times New Roman" w:hAnsi="Verdana" w:cs="Times New Roman"/>
          <w:sz w:val="13"/>
          <w:szCs w:val="13"/>
          <w:lang w:eastAsia="es-ES"/>
        </w:rPr>
      </w:pPr>
      <w:r w:rsidRPr="0076787A">
        <w:rPr>
          <w:rStyle w:val="Refdenotaalpie"/>
          <w:rFonts w:ascii="Verdana" w:hAnsi="Verdana"/>
          <w:sz w:val="13"/>
          <w:szCs w:val="13"/>
        </w:rPr>
        <w:footnoteRef/>
      </w:r>
      <w:r w:rsidRPr="0076787A">
        <w:rPr>
          <w:rFonts w:ascii="Verdana" w:hAnsi="Verdana"/>
          <w:sz w:val="13"/>
          <w:szCs w:val="13"/>
        </w:rPr>
        <w:t xml:space="preserve"> </w:t>
      </w:r>
      <w:r w:rsidRPr="0076787A">
        <w:rPr>
          <w:rFonts w:ascii="Verdana" w:eastAsia="Times New Roman" w:hAnsi="Verdana" w:cs="Times New Roman"/>
          <w:sz w:val="13"/>
          <w:szCs w:val="13"/>
          <w:lang w:eastAsia="es-ES"/>
        </w:rPr>
        <w:t xml:space="preserve">Consejo de Estado. Sección Tercera. Subsección B. 17 de octubre de 2025. C.P. Fredy Ibarra Martínez. </w:t>
      </w:r>
      <w:r w:rsidRPr="0076787A">
        <w:rPr>
          <w:rFonts w:ascii="Verdana" w:hAnsi="Verdana"/>
          <w:sz w:val="13"/>
          <w:szCs w:val="13"/>
        </w:rPr>
        <w:t xml:space="preserve">La parte de la providencia señala: </w:t>
      </w:r>
      <w:r w:rsidRPr="0076787A">
        <w:rPr>
          <w:rFonts w:ascii="Verdana" w:eastAsia="Times New Roman" w:hAnsi="Verdana" w:cs="Times New Roman"/>
          <w:sz w:val="13"/>
          <w:szCs w:val="13"/>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4">
    <w:p w14:paraId="111B65DA" w14:textId="77777777" w:rsidR="00861467" w:rsidRPr="0076787A" w:rsidRDefault="00861467" w:rsidP="00861467">
      <w:pPr>
        <w:pStyle w:val="Textonotapie"/>
        <w:ind w:firstLine="709"/>
        <w:jc w:val="both"/>
        <w:rPr>
          <w:rFonts w:ascii="Verdana" w:hAnsi="Verdana"/>
          <w:sz w:val="13"/>
          <w:szCs w:val="13"/>
          <w:lang w:val="es-CO"/>
        </w:rPr>
      </w:pPr>
      <w:r w:rsidRPr="0076787A">
        <w:rPr>
          <w:rStyle w:val="Refdenotaalpie"/>
          <w:rFonts w:ascii="Verdana" w:hAnsi="Verdana"/>
          <w:sz w:val="13"/>
          <w:szCs w:val="13"/>
        </w:rPr>
        <w:footnoteRef/>
      </w:r>
      <w:r w:rsidRPr="0076787A">
        <w:rPr>
          <w:rFonts w:ascii="Verdana" w:hAnsi="Verdana"/>
          <w:sz w:val="13"/>
          <w:szCs w:val="13"/>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5">
    <w:p w14:paraId="631F07E0" w14:textId="77777777" w:rsidR="00861467" w:rsidRPr="0076787A" w:rsidRDefault="00861467" w:rsidP="00861467">
      <w:pPr>
        <w:spacing w:after="0" w:line="240" w:lineRule="auto"/>
        <w:ind w:firstLine="709"/>
        <w:contextualSpacing/>
        <w:jc w:val="both"/>
        <w:rPr>
          <w:rFonts w:ascii="Verdana" w:hAnsi="Verdana" w:cs="Arial"/>
          <w:sz w:val="13"/>
          <w:szCs w:val="13"/>
        </w:rPr>
      </w:pPr>
      <w:r w:rsidRPr="0076787A">
        <w:rPr>
          <w:rStyle w:val="Refdenotaalpie"/>
          <w:rFonts w:ascii="Verdana" w:hAnsi="Verdana" w:cs="Arial"/>
          <w:sz w:val="13"/>
          <w:szCs w:val="13"/>
        </w:rPr>
        <w:footnoteRef/>
      </w:r>
      <w:r w:rsidRPr="0076787A">
        <w:rPr>
          <w:rFonts w:ascii="Verdana" w:hAnsi="Verdana" w:cs="Arial"/>
          <w:sz w:val="13"/>
          <w:szCs w:val="13"/>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76787A">
        <w:rPr>
          <w:rFonts w:ascii="Verdana" w:hAnsi="Verdana" w:cs="Arial"/>
          <w:spacing w:val="-6"/>
          <w:sz w:val="13"/>
          <w:szCs w:val="13"/>
        </w:rPr>
        <w:t xml:space="preserve"> </w:t>
      </w:r>
      <w:r w:rsidRPr="0076787A">
        <w:rPr>
          <w:rFonts w:ascii="Verdana" w:hAnsi="Verdana" w:cs="Arial"/>
          <w:sz w:val="13"/>
          <w:szCs w:val="13"/>
        </w:rPr>
        <w:t>artículo”.</w:t>
      </w:r>
    </w:p>
  </w:footnote>
  <w:footnote w:id="36">
    <w:p w14:paraId="387E189B" w14:textId="77777777" w:rsidR="00861467" w:rsidRPr="00BF5885" w:rsidRDefault="00861467" w:rsidP="00861467">
      <w:pPr>
        <w:pStyle w:val="Textonotapie"/>
        <w:ind w:firstLine="708"/>
        <w:rPr>
          <w:rFonts w:ascii="Verdana" w:hAnsi="Verdana"/>
          <w:sz w:val="13"/>
          <w:szCs w:val="13"/>
          <w:lang w:val="pt-BR"/>
        </w:rPr>
      </w:pPr>
      <w:r w:rsidRPr="0076787A">
        <w:rPr>
          <w:rStyle w:val="Refdenotaalpie"/>
          <w:rFonts w:ascii="Verdana" w:hAnsi="Verdana"/>
          <w:sz w:val="13"/>
          <w:szCs w:val="13"/>
        </w:rPr>
        <w:footnoteRef/>
      </w:r>
      <w:r w:rsidRPr="0076787A">
        <w:rPr>
          <w:rFonts w:ascii="Verdana" w:hAnsi="Verdana"/>
          <w:sz w:val="13"/>
          <w:szCs w:val="13"/>
          <w:lang w:val="pt-BR"/>
        </w:rPr>
        <w:t xml:space="preserve"> Corte Constitucional. Sentencia C-671 de 2005. </w:t>
      </w:r>
      <w:r w:rsidRPr="00BF5885">
        <w:rPr>
          <w:rFonts w:ascii="Verdana" w:hAnsi="Verdana"/>
          <w:sz w:val="13"/>
          <w:szCs w:val="13"/>
          <w:lang w:val="pt-BR"/>
        </w:rPr>
        <w:t xml:space="preserve">M.P. Álvaro Tafur Galvis. </w:t>
      </w:r>
    </w:p>
  </w:footnote>
  <w:footnote w:id="37">
    <w:p w14:paraId="5882D24A" w14:textId="77777777" w:rsidR="00861467" w:rsidRPr="0076787A" w:rsidRDefault="00861467" w:rsidP="00861467">
      <w:pPr>
        <w:pStyle w:val="Textonotapie"/>
        <w:ind w:firstLine="708"/>
        <w:jc w:val="both"/>
        <w:rPr>
          <w:rFonts w:ascii="Verdana" w:hAnsi="Verdana"/>
          <w:sz w:val="13"/>
          <w:szCs w:val="13"/>
          <w:lang w:val="es-CO"/>
        </w:rPr>
      </w:pPr>
      <w:r w:rsidRPr="0076787A">
        <w:rPr>
          <w:rStyle w:val="Refdenotaalpie"/>
          <w:rFonts w:ascii="Verdana" w:hAnsi="Verdana"/>
          <w:sz w:val="13"/>
          <w:szCs w:val="13"/>
        </w:rPr>
        <w:footnoteRef/>
      </w:r>
      <w:r w:rsidRPr="00BF5885">
        <w:rPr>
          <w:rFonts w:ascii="Verdana" w:hAnsi="Verdana"/>
          <w:sz w:val="13"/>
          <w:szCs w:val="13"/>
          <w:lang w:val="pt-BR"/>
        </w:rPr>
        <w:t xml:space="preserve"> SANTOS RODRÍGUEZ, Jorge Enrique. Consideraciones sobre los contratos y convenios interadministrativos. En: Revista Digital de Derecho Administrativo, 2008. p.p. 10-11. </w:t>
      </w:r>
      <w:r w:rsidRPr="0076787A">
        <w:rPr>
          <w:rFonts w:ascii="Verdana" w:hAnsi="Verdana"/>
          <w:sz w:val="13"/>
          <w:szCs w:val="13"/>
        </w:rPr>
        <w:t>De igual forma, Augusto Ramón Chavéz Marín expresa: “</w:t>
      </w:r>
      <w:r w:rsidRPr="0076787A">
        <w:rPr>
          <w:rFonts w:ascii="Verdana" w:hAnsi="Verdana"/>
          <w:sz w:val="13"/>
          <w:szCs w:val="13"/>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38">
    <w:p w14:paraId="2DCA54E0" w14:textId="77777777" w:rsidR="00861467" w:rsidRPr="0076787A" w:rsidRDefault="00861467" w:rsidP="00861467">
      <w:pPr>
        <w:pStyle w:val="Textonotapie"/>
        <w:ind w:firstLine="708"/>
        <w:jc w:val="both"/>
        <w:rPr>
          <w:rFonts w:ascii="Verdana" w:hAnsi="Verdana"/>
          <w:sz w:val="13"/>
          <w:szCs w:val="13"/>
          <w:lang w:val="es-ES"/>
        </w:rPr>
      </w:pPr>
      <w:r w:rsidRPr="0076787A">
        <w:rPr>
          <w:rStyle w:val="Refdenotaalpie"/>
          <w:rFonts w:ascii="Verdana" w:hAnsi="Verdana"/>
          <w:sz w:val="13"/>
          <w:szCs w:val="13"/>
        </w:rPr>
        <w:footnoteRef/>
      </w:r>
      <w:r w:rsidRPr="0076787A">
        <w:rPr>
          <w:rFonts w:ascii="Verdana" w:hAnsi="Verdana"/>
          <w:sz w:val="13"/>
          <w:szCs w:val="13"/>
        </w:rPr>
        <w:t xml:space="preserve"> Consejo de Estado, Sección Tercera, Subsección A. Sentencia del 25 de mayo de 2025. C.P. María Adriana Marín Hernández. Exp. 70.504; Consejo de Estado, Sección Tercera, Subsección A. Sentencia del 16 de agosto de 2022, C.P.: María Adriana Marín. Exp. 60434.</w:t>
      </w:r>
    </w:p>
  </w:footnote>
  <w:footnote w:id="39">
    <w:p w14:paraId="4626CFBE" w14:textId="77777777" w:rsidR="00861467" w:rsidRPr="0076787A" w:rsidRDefault="00861467" w:rsidP="00861467">
      <w:pPr>
        <w:pStyle w:val="Textonotapie"/>
        <w:ind w:firstLine="708"/>
        <w:jc w:val="both"/>
        <w:rPr>
          <w:rFonts w:ascii="Verdana" w:hAnsi="Verdana"/>
          <w:sz w:val="13"/>
          <w:szCs w:val="13"/>
          <w:lang w:val="es-CO"/>
        </w:rPr>
      </w:pPr>
      <w:r w:rsidRPr="0076787A">
        <w:rPr>
          <w:rStyle w:val="Refdenotaalpie"/>
          <w:rFonts w:ascii="Verdana" w:hAnsi="Verdana"/>
          <w:sz w:val="13"/>
          <w:szCs w:val="13"/>
        </w:rPr>
        <w:footnoteRef/>
      </w:r>
      <w:r w:rsidRPr="0076787A">
        <w:rPr>
          <w:rFonts w:ascii="Verdana" w:hAnsi="Verdana"/>
          <w:sz w:val="13"/>
          <w:szCs w:val="13"/>
        </w:rPr>
        <w:t xml:space="preserve"> </w:t>
      </w:r>
      <w:r w:rsidRPr="0076787A">
        <w:rPr>
          <w:rFonts w:ascii="Verdana" w:hAnsi="Verdana"/>
          <w:sz w:val="13"/>
          <w:szCs w:val="13"/>
          <w:lang w:val="es-CO"/>
        </w:rPr>
        <w:t>Consejo de Estado. Sección Tercera, Subsección A. Sentencia del 14 de junio de 2019, C.P.: Marta Nubia Velásquez Rico. Rad.: 25000-23-37-000-2010-02552-01 (AP); Consejo de Estado, Sección Tercera, Subsección A. Sentencia del 25 de mayo de 2025. C.P. María Adriana Marín Hernández. Exp. 70.504.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5pt;height:13.1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11123038">
    <w:abstractNumId w:val="7"/>
  </w:num>
  <w:num w:numId="2" w16cid:durableId="1791780202">
    <w:abstractNumId w:val="2"/>
  </w:num>
  <w:num w:numId="3" w16cid:durableId="767772122">
    <w:abstractNumId w:val="5"/>
  </w:num>
  <w:num w:numId="4" w16cid:durableId="72063679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2215368">
    <w:abstractNumId w:val="2"/>
  </w:num>
  <w:num w:numId="6" w16cid:durableId="1616598040">
    <w:abstractNumId w:val="15"/>
  </w:num>
  <w:num w:numId="7" w16cid:durableId="2076394803">
    <w:abstractNumId w:val="6"/>
  </w:num>
  <w:num w:numId="8" w16cid:durableId="199514797">
    <w:abstractNumId w:val="14"/>
  </w:num>
  <w:num w:numId="9" w16cid:durableId="1719356197">
    <w:abstractNumId w:val="8"/>
  </w:num>
  <w:num w:numId="10" w16cid:durableId="258566010">
    <w:abstractNumId w:val="13"/>
  </w:num>
  <w:num w:numId="11" w16cid:durableId="1725525981">
    <w:abstractNumId w:val="9"/>
  </w:num>
  <w:num w:numId="12" w16cid:durableId="814954733">
    <w:abstractNumId w:val="1"/>
  </w:num>
  <w:num w:numId="13" w16cid:durableId="1252201334">
    <w:abstractNumId w:val="4"/>
  </w:num>
  <w:num w:numId="14" w16cid:durableId="1737124892">
    <w:abstractNumId w:val="16"/>
  </w:num>
  <w:num w:numId="15" w16cid:durableId="1493066173">
    <w:abstractNumId w:val="12"/>
  </w:num>
  <w:num w:numId="16" w16cid:durableId="1611937891">
    <w:abstractNumId w:val="0"/>
  </w:num>
  <w:num w:numId="17" w16cid:durableId="33047220">
    <w:abstractNumId w:val="10"/>
  </w:num>
  <w:num w:numId="18" w16cid:durableId="896626204">
    <w:abstractNumId w:val="11"/>
  </w:num>
  <w:num w:numId="19" w16cid:durableId="135802757">
    <w:abstractNumId w:val="3"/>
  </w:num>
  <w:num w:numId="20" w16cid:durableId="895893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452B"/>
    <w:rsid w:val="0001041D"/>
    <w:rsid w:val="00016F78"/>
    <w:rsid w:val="00046945"/>
    <w:rsid w:val="00061B2A"/>
    <w:rsid w:val="00081367"/>
    <w:rsid w:val="00082362"/>
    <w:rsid w:val="000825A6"/>
    <w:rsid w:val="00095DAE"/>
    <w:rsid w:val="000A683E"/>
    <w:rsid w:val="000B19B9"/>
    <w:rsid w:val="000D0334"/>
    <w:rsid w:val="000D2192"/>
    <w:rsid w:val="000D5040"/>
    <w:rsid w:val="000D5DA7"/>
    <w:rsid w:val="000F4BC5"/>
    <w:rsid w:val="000F4EFB"/>
    <w:rsid w:val="000F6486"/>
    <w:rsid w:val="00102203"/>
    <w:rsid w:val="00116940"/>
    <w:rsid w:val="00125105"/>
    <w:rsid w:val="00127233"/>
    <w:rsid w:val="0012746B"/>
    <w:rsid w:val="00127474"/>
    <w:rsid w:val="0015699B"/>
    <w:rsid w:val="00164FB3"/>
    <w:rsid w:val="00186DE9"/>
    <w:rsid w:val="001967FD"/>
    <w:rsid w:val="001A33BF"/>
    <w:rsid w:val="001A65C5"/>
    <w:rsid w:val="001E194B"/>
    <w:rsid w:val="001E4177"/>
    <w:rsid w:val="001E5EA0"/>
    <w:rsid w:val="001F0B24"/>
    <w:rsid w:val="001F7DC6"/>
    <w:rsid w:val="0020079E"/>
    <w:rsid w:val="0022400B"/>
    <w:rsid w:val="002421BB"/>
    <w:rsid w:val="0024692A"/>
    <w:rsid w:val="0025796E"/>
    <w:rsid w:val="00261121"/>
    <w:rsid w:val="002707A2"/>
    <w:rsid w:val="00272A28"/>
    <w:rsid w:val="002826F0"/>
    <w:rsid w:val="002845F4"/>
    <w:rsid w:val="002857D9"/>
    <w:rsid w:val="00293441"/>
    <w:rsid w:val="002951A0"/>
    <w:rsid w:val="002962BC"/>
    <w:rsid w:val="002A093D"/>
    <w:rsid w:val="002A0DD0"/>
    <w:rsid w:val="002A49AC"/>
    <w:rsid w:val="002A5E3E"/>
    <w:rsid w:val="002A64FD"/>
    <w:rsid w:val="002A760C"/>
    <w:rsid w:val="002C5725"/>
    <w:rsid w:val="002C7A84"/>
    <w:rsid w:val="002E2BF8"/>
    <w:rsid w:val="002E4FD9"/>
    <w:rsid w:val="002E60E4"/>
    <w:rsid w:val="002F3CDF"/>
    <w:rsid w:val="0030657A"/>
    <w:rsid w:val="00322A85"/>
    <w:rsid w:val="00324168"/>
    <w:rsid w:val="00330834"/>
    <w:rsid w:val="003318AB"/>
    <w:rsid w:val="00341304"/>
    <w:rsid w:val="003448F4"/>
    <w:rsid w:val="00347735"/>
    <w:rsid w:val="00355EA0"/>
    <w:rsid w:val="003604F5"/>
    <w:rsid w:val="00374F5E"/>
    <w:rsid w:val="00377E3E"/>
    <w:rsid w:val="003A779E"/>
    <w:rsid w:val="003B2F20"/>
    <w:rsid w:val="003C5B9E"/>
    <w:rsid w:val="003C64B8"/>
    <w:rsid w:val="003D0F4D"/>
    <w:rsid w:val="003D1CF9"/>
    <w:rsid w:val="003D5B0D"/>
    <w:rsid w:val="003E0499"/>
    <w:rsid w:val="003E4F80"/>
    <w:rsid w:val="003E6439"/>
    <w:rsid w:val="003E6646"/>
    <w:rsid w:val="003F0A7D"/>
    <w:rsid w:val="003F3941"/>
    <w:rsid w:val="00401590"/>
    <w:rsid w:val="00406575"/>
    <w:rsid w:val="00414C74"/>
    <w:rsid w:val="00417B5B"/>
    <w:rsid w:val="0042722E"/>
    <w:rsid w:val="00437377"/>
    <w:rsid w:val="0044158F"/>
    <w:rsid w:val="0044528D"/>
    <w:rsid w:val="00447D22"/>
    <w:rsid w:val="00461D39"/>
    <w:rsid w:val="00466302"/>
    <w:rsid w:val="00466E39"/>
    <w:rsid w:val="004674CF"/>
    <w:rsid w:val="00473BEB"/>
    <w:rsid w:val="0048398A"/>
    <w:rsid w:val="00494C69"/>
    <w:rsid w:val="0049570F"/>
    <w:rsid w:val="004A1847"/>
    <w:rsid w:val="004A305D"/>
    <w:rsid w:val="004A6099"/>
    <w:rsid w:val="004B7D74"/>
    <w:rsid w:val="004C1120"/>
    <w:rsid w:val="004C446E"/>
    <w:rsid w:val="004D3BDD"/>
    <w:rsid w:val="004D420F"/>
    <w:rsid w:val="004F1C0A"/>
    <w:rsid w:val="004F21C4"/>
    <w:rsid w:val="004F685F"/>
    <w:rsid w:val="005154AE"/>
    <w:rsid w:val="0053199F"/>
    <w:rsid w:val="005461C4"/>
    <w:rsid w:val="005566E8"/>
    <w:rsid w:val="00574867"/>
    <w:rsid w:val="00580BC6"/>
    <w:rsid w:val="00585673"/>
    <w:rsid w:val="00591460"/>
    <w:rsid w:val="00597A19"/>
    <w:rsid w:val="005A65E0"/>
    <w:rsid w:val="005B0452"/>
    <w:rsid w:val="005B189F"/>
    <w:rsid w:val="005B4B74"/>
    <w:rsid w:val="005C3777"/>
    <w:rsid w:val="005C5CDC"/>
    <w:rsid w:val="005C6BC8"/>
    <w:rsid w:val="005D476C"/>
    <w:rsid w:val="005E6B20"/>
    <w:rsid w:val="005F181C"/>
    <w:rsid w:val="00614323"/>
    <w:rsid w:val="006200BF"/>
    <w:rsid w:val="006219F8"/>
    <w:rsid w:val="006229C7"/>
    <w:rsid w:val="006302F7"/>
    <w:rsid w:val="00646B9F"/>
    <w:rsid w:val="00656F96"/>
    <w:rsid w:val="00662D62"/>
    <w:rsid w:val="00665485"/>
    <w:rsid w:val="00665D70"/>
    <w:rsid w:val="00686C01"/>
    <w:rsid w:val="006900D9"/>
    <w:rsid w:val="006C04F1"/>
    <w:rsid w:val="006D76F7"/>
    <w:rsid w:val="006E2BF4"/>
    <w:rsid w:val="00706C16"/>
    <w:rsid w:val="00721364"/>
    <w:rsid w:val="0073108D"/>
    <w:rsid w:val="007317FA"/>
    <w:rsid w:val="007340C3"/>
    <w:rsid w:val="00737DF0"/>
    <w:rsid w:val="0075235A"/>
    <w:rsid w:val="00752490"/>
    <w:rsid w:val="00756841"/>
    <w:rsid w:val="007649AB"/>
    <w:rsid w:val="00771D0C"/>
    <w:rsid w:val="00771E47"/>
    <w:rsid w:val="007744FB"/>
    <w:rsid w:val="007829E1"/>
    <w:rsid w:val="007833AC"/>
    <w:rsid w:val="0078433B"/>
    <w:rsid w:val="007A153F"/>
    <w:rsid w:val="007B268C"/>
    <w:rsid w:val="007B7171"/>
    <w:rsid w:val="007C0C0F"/>
    <w:rsid w:val="007C3DC2"/>
    <w:rsid w:val="007D3968"/>
    <w:rsid w:val="007E0EF2"/>
    <w:rsid w:val="007E5497"/>
    <w:rsid w:val="007F019B"/>
    <w:rsid w:val="007F0FED"/>
    <w:rsid w:val="00806F5F"/>
    <w:rsid w:val="00815B83"/>
    <w:rsid w:val="00817856"/>
    <w:rsid w:val="00820131"/>
    <w:rsid w:val="00820169"/>
    <w:rsid w:val="00820278"/>
    <w:rsid w:val="00824114"/>
    <w:rsid w:val="008258C9"/>
    <w:rsid w:val="00826EE8"/>
    <w:rsid w:val="00844AE9"/>
    <w:rsid w:val="00861467"/>
    <w:rsid w:val="00867F95"/>
    <w:rsid w:val="008835B4"/>
    <w:rsid w:val="008843B6"/>
    <w:rsid w:val="00891928"/>
    <w:rsid w:val="008934CB"/>
    <w:rsid w:val="00895356"/>
    <w:rsid w:val="008A1896"/>
    <w:rsid w:val="008A446D"/>
    <w:rsid w:val="008B104D"/>
    <w:rsid w:val="008B25F1"/>
    <w:rsid w:val="008C571F"/>
    <w:rsid w:val="008C5A84"/>
    <w:rsid w:val="008D180B"/>
    <w:rsid w:val="008E72AF"/>
    <w:rsid w:val="008F0EA7"/>
    <w:rsid w:val="008F327E"/>
    <w:rsid w:val="00923EEF"/>
    <w:rsid w:val="009305DC"/>
    <w:rsid w:val="009419F9"/>
    <w:rsid w:val="0095685E"/>
    <w:rsid w:val="00961B09"/>
    <w:rsid w:val="00965334"/>
    <w:rsid w:val="0097093E"/>
    <w:rsid w:val="00973E63"/>
    <w:rsid w:val="00990BF1"/>
    <w:rsid w:val="009A027F"/>
    <w:rsid w:val="009A0DFA"/>
    <w:rsid w:val="009A1C6F"/>
    <w:rsid w:val="009B2D26"/>
    <w:rsid w:val="009B651B"/>
    <w:rsid w:val="009B7652"/>
    <w:rsid w:val="009C71FA"/>
    <w:rsid w:val="009C72E7"/>
    <w:rsid w:val="009C7F7E"/>
    <w:rsid w:val="009D3058"/>
    <w:rsid w:val="009E6333"/>
    <w:rsid w:val="009F27AB"/>
    <w:rsid w:val="009F3A13"/>
    <w:rsid w:val="00A07EBF"/>
    <w:rsid w:val="00A1025E"/>
    <w:rsid w:val="00A122D3"/>
    <w:rsid w:val="00A14468"/>
    <w:rsid w:val="00A17F13"/>
    <w:rsid w:val="00A20739"/>
    <w:rsid w:val="00A218FA"/>
    <w:rsid w:val="00A23AF9"/>
    <w:rsid w:val="00A33C78"/>
    <w:rsid w:val="00A63F17"/>
    <w:rsid w:val="00A83161"/>
    <w:rsid w:val="00A86E5C"/>
    <w:rsid w:val="00AB0ADB"/>
    <w:rsid w:val="00AD67E7"/>
    <w:rsid w:val="00B00C0E"/>
    <w:rsid w:val="00B01B1A"/>
    <w:rsid w:val="00B0381D"/>
    <w:rsid w:val="00B13882"/>
    <w:rsid w:val="00B14F11"/>
    <w:rsid w:val="00B14F36"/>
    <w:rsid w:val="00B44A47"/>
    <w:rsid w:val="00B45051"/>
    <w:rsid w:val="00B72CD3"/>
    <w:rsid w:val="00B72FFF"/>
    <w:rsid w:val="00B7443D"/>
    <w:rsid w:val="00B944AA"/>
    <w:rsid w:val="00B95ED8"/>
    <w:rsid w:val="00BA15D8"/>
    <w:rsid w:val="00BA7A2E"/>
    <w:rsid w:val="00BC3D36"/>
    <w:rsid w:val="00BD54A6"/>
    <w:rsid w:val="00BD7F72"/>
    <w:rsid w:val="00BE0FC4"/>
    <w:rsid w:val="00BF58CD"/>
    <w:rsid w:val="00BF6651"/>
    <w:rsid w:val="00BF7425"/>
    <w:rsid w:val="00BF78B9"/>
    <w:rsid w:val="00C04FB3"/>
    <w:rsid w:val="00C11D8B"/>
    <w:rsid w:val="00C15139"/>
    <w:rsid w:val="00C330EB"/>
    <w:rsid w:val="00C50D69"/>
    <w:rsid w:val="00C5365C"/>
    <w:rsid w:val="00C63036"/>
    <w:rsid w:val="00C67C8B"/>
    <w:rsid w:val="00C729D3"/>
    <w:rsid w:val="00C754BE"/>
    <w:rsid w:val="00C76B1C"/>
    <w:rsid w:val="00C925AC"/>
    <w:rsid w:val="00C9323E"/>
    <w:rsid w:val="00C946BF"/>
    <w:rsid w:val="00C958D1"/>
    <w:rsid w:val="00CA0E68"/>
    <w:rsid w:val="00CB6357"/>
    <w:rsid w:val="00CC1B26"/>
    <w:rsid w:val="00CD6067"/>
    <w:rsid w:val="00CE4589"/>
    <w:rsid w:val="00CE72C3"/>
    <w:rsid w:val="00CF4861"/>
    <w:rsid w:val="00D13C5D"/>
    <w:rsid w:val="00D14E75"/>
    <w:rsid w:val="00D16C15"/>
    <w:rsid w:val="00D31EC6"/>
    <w:rsid w:val="00D350D3"/>
    <w:rsid w:val="00D361FD"/>
    <w:rsid w:val="00D417C8"/>
    <w:rsid w:val="00D423A2"/>
    <w:rsid w:val="00D439FC"/>
    <w:rsid w:val="00D44E26"/>
    <w:rsid w:val="00D520D8"/>
    <w:rsid w:val="00D53F94"/>
    <w:rsid w:val="00D63AC2"/>
    <w:rsid w:val="00D7383B"/>
    <w:rsid w:val="00D7788A"/>
    <w:rsid w:val="00DA231B"/>
    <w:rsid w:val="00DC39FC"/>
    <w:rsid w:val="00DD0992"/>
    <w:rsid w:val="00DD4F85"/>
    <w:rsid w:val="00DF3F1B"/>
    <w:rsid w:val="00DF5254"/>
    <w:rsid w:val="00E02524"/>
    <w:rsid w:val="00E16408"/>
    <w:rsid w:val="00E20894"/>
    <w:rsid w:val="00E22A1A"/>
    <w:rsid w:val="00E245AB"/>
    <w:rsid w:val="00E2764C"/>
    <w:rsid w:val="00E27F2E"/>
    <w:rsid w:val="00E35083"/>
    <w:rsid w:val="00E5016B"/>
    <w:rsid w:val="00E50AFE"/>
    <w:rsid w:val="00E54809"/>
    <w:rsid w:val="00E56EE8"/>
    <w:rsid w:val="00E60AD8"/>
    <w:rsid w:val="00E75C92"/>
    <w:rsid w:val="00E760D9"/>
    <w:rsid w:val="00E771DC"/>
    <w:rsid w:val="00E8252C"/>
    <w:rsid w:val="00E83EFE"/>
    <w:rsid w:val="00E8772A"/>
    <w:rsid w:val="00E90AC3"/>
    <w:rsid w:val="00E90F6B"/>
    <w:rsid w:val="00E92C27"/>
    <w:rsid w:val="00EA0E3D"/>
    <w:rsid w:val="00EA4B5D"/>
    <w:rsid w:val="00EC38A7"/>
    <w:rsid w:val="00EE1AA8"/>
    <w:rsid w:val="00F04FFA"/>
    <w:rsid w:val="00F163B0"/>
    <w:rsid w:val="00F16BC8"/>
    <w:rsid w:val="00F23FEA"/>
    <w:rsid w:val="00F31A4A"/>
    <w:rsid w:val="00F31EDC"/>
    <w:rsid w:val="00F462B3"/>
    <w:rsid w:val="00F5664F"/>
    <w:rsid w:val="00F624DD"/>
    <w:rsid w:val="00F666C4"/>
    <w:rsid w:val="00F7339B"/>
    <w:rsid w:val="00F76AFC"/>
    <w:rsid w:val="00FA3E17"/>
    <w:rsid w:val="00FA47C0"/>
    <w:rsid w:val="00FB2271"/>
    <w:rsid w:val="00FB5DD1"/>
    <w:rsid w:val="00FC2B5D"/>
    <w:rsid w:val="00FD63E7"/>
    <w:rsid w:val="00FF1449"/>
    <w:rsid w:val="00FF1C5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1467"/>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orrespondencia@minvivienda.gov.co"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notificacionesPQRS@minvivienda.gov.co"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3D4E35-2391-40B9-973B-CE28537CF537}">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89EB4F59-50FB-447D-9296-99642CBA24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27</TotalTime>
  <Pages>37</Pages>
  <Words>12879</Words>
  <Characters>71093</Characters>
  <Application>Microsoft Office Word</Application>
  <DocSecurity>0</DocSecurity>
  <Lines>1292</Lines>
  <Paragraphs>219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2026-02-06T11:03:00Z</dcterms:created>
  <dcterms:modified xsi:type="dcterms:W3CDTF">2026-02-10T16:21:00Z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