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64547" w14:textId="389DECF5" w:rsidR="002133AC" w:rsidRPr="00C55BDE" w:rsidRDefault="002133AC" w:rsidP="002133AC">
      <w:pPr>
        <w:jc w:val="both"/>
        <w:rPr>
          <w:rFonts w:ascii="Verdana" w:eastAsia="Calibri" w:hAnsi="Verdana" w:cs="Arial"/>
          <w:b/>
        </w:rPr>
      </w:pPr>
      <w:bookmarkStart w:id="0" w:name="_Hlk143780582"/>
      <w:r w:rsidRPr="00C55BDE">
        <w:rPr>
          <w:rFonts w:ascii="Verdana" w:eastAsia="Calibri" w:hAnsi="Verdana" w:cs="Arial"/>
          <w:b/>
        </w:rPr>
        <w:t xml:space="preserve">RESGUARDOS INDÍGENAS – Administración de recursos del SGP – Entidades </w:t>
      </w:r>
      <w:r w:rsidR="00F775C8" w:rsidRPr="00C55BDE">
        <w:rPr>
          <w:rFonts w:ascii="Verdana" w:eastAsia="Calibri" w:hAnsi="Verdana" w:cs="Arial"/>
          <w:b/>
        </w:rPr>
        <w:t>E</w:t>
      </w:r>
      <w:r w:rsidRPr="00C55BDE">
        <w:rPr>
          <w:rFonts w:ascii="Verdana" w:eastAsia="Calibri" w:hAnsi="Verdana" w:cs="Arial"/>
          <w:b/>
        </w:rPr>
        <w:t>statales</w:t>
      </w:r>
    </w:p>
    <w:p w14:paraId="2FBE9944" w14:textId="48394D4F" w:rsidR="002133AC" w:rsidRPr="00C55BDE" w:rsidRDefault="002133AC" w:rsidP="002133AC">
      <w:pPr>
        <w:spacing w:after="0" w:line="240" w:lineRule="auto"/>
        <w:jc w:val="both"/>
        <w:rPr>
          <w:rFonts w:ascii="Verdana" w:eastAsia="Calibri" w:hAnsi="Verdana" w:cs="Arial"/>
          <w:sz w:val="20"/>
        </w:rPr>
      </w:pPr>
      <w:r w:rsidRPr="00C55BDE">
        <w:rPr>
          <w:rFonts w:ascii="Verdana" w:eastAsia="Calibri" w:hAnsi="Verdana" w:cs="Arial"/>
          <w:sz w:val="20"/>
        </w:rPr>
        <w:t xml:space="preserve">Al respecto, [el Decreto 1953 de 2014] dispone que los resguardos indígenas que se ubiquen en ciertos supuestos,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   </w:t>
      </w:r>
    </w:p>
    <w:p w14:paraId="0A3AC3A9" w14:textId="77777777" w:rsidR="002133AC" w:rsidRPr="00C55BDE" w:rsidRDefault="002133AC" w:rsidP="002133AC">
      <w:pPr>
        <w:spacing w:after="0" w:line="240" w:lineRule="auto"/>
        <w:jc w:val="both"/>
        <w:rPr>
          <w:rFonts w:ascii="Verdana" w:eastAsia="Calibri" w:hAnsi="Verdana" w:cs="Arial"/>
          <w:b/>
        </w:rPr>
      </w:pPr>
    </w:p>
    <w:p w14:paraId="7D282EF0" w14:textId="7F24B3C2" w:rsidR="002133AC" w:rsidRPr="00C55BDE" w:rsidRDefault="002133AC" w:rsidP="002133AC">
      <w:pPr>
        <w:spacing w:after="0" w:line="240" w:lineRule="auto"/>
        <w:jc w:val="both"/>
        <w:rPr>
          <w:rFonts w:ascii="Verdana" w:eastAsia="Calibri" w:hAnsi="Verdana" w:cs="Arial"/>
          <w:sz w:val="20"/>
        </w:rPr>
      </w:pPr>
      <w:r w:rsidRPr="00C55BDE">
        <w:rPr>
          <w:rFonts w:ascii="Verdana" w:eastAsia="Calibri" w:hAnsi="Verdana" w:cs="Arial"/>
          <w:sz w:val="20"/>
        </w:rPr>
        <w:t xml:space="preserve">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22A4ADAE" w14:textId="77777777" w:rsidR="003820DF" w:rsidRPr="00C55BDE" w:rsidRDefault="003820DF" w:rsidP="002133AC">
      <w:pPr>
        <w:spacing w:after="0" w:line="240" w:lineRule="auto"/>
        <w:jc w:val="both"/>
        <w:rPr>
          <w:rFonts w:ascii="Verdana" w:eastAsia="Calibri" w:hAnsi="Verdana" w:cs="Arial"/>
          <w:sz w:val="20"/>
        </w:rPr>
      </w:pPr>
    </w:p>
    <w:p w14:paraId="3B3C4F1B" w14:textId="77777777" w:rsidR="00C851C7" w:rsidRPr="00C55BDE" w:rsidRDefault="00C851C7" w:rsidP="00C851C7">
      <w:pPr>
        <w:snapToGrid w:val="0"/>
        <w:contextualSpacing/>
        <w:jc w:val="both"/>
        <w:rPr>
          <w:rFonts w:ascii="Verdana" w:hAnsi="Verdana" w:cs="Arial"/>
          <w:b/>
          <w:bCs/>
          <w:lang w:val="es-ES" w:eastAsia="es-ES"/>
        </w:rPr>
      </w:pPr>
      <w:r w:rsidRPr="00C55BDE">
        <w:rPr>
          <w:rFonts w:ascii="Verdana" w:hAnsi="Verdana" w:cs="Arial"/>
          <w:b/>
          <w:bCs/>
          <w:lang w:val="es-ES" w:eastAsia="es-ES"/>
        </w:rPr>
        <w:t>LEY DE GARANTÍAS ELECTORALES – Finalidad</w:t>
      </w:r>
    </w:p>
    <w:p w14:paraId="13B3A3BD" w14:textId="77777777" w:rsidR="00C851C7" w:rsidRPr="00C55BDE" w:rsidRDefault="00C851C7" w:rsidP="00C851C7">
      <w:pPr>
        <w:snapToGrid w:val="0"/>
        <w:contextualSpacing/>
        <w:jc w:val="both"/>
        <w:rPr>
          <w:rFonts w:ascii="Verdana" w:hAnsi="Verdana" w:cs="Arial"/>
          <w:b/>
          <w:bCs/>
          <w:lang w:val="es-ES" w:eastAsia="es-ES"/>
        </w:rPr>
      </w:pPr>
    </w:p>
    <w:p w14:paraId="6D9D56D5" w14:textId="77777777" w:rsidR="00C851C7" w:rsidRPr="00C55BDE" w:rsidRDefault="00C851C7" w:rsidP="00C851C7">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48192D07" w14:textId="77777777" w:rsidR="00C851C7" w:rsidRPr="00C55BDE" w:rsidRDefault="00C851C7" w:rsidP="00C851C7">
      <w:pPr>
        <w:snapToGrid w:val="0"/>
        <w:contextualSpacing/>
        <w:jc w:val="both"/>
        <w:rPr>
          <w:rFonts w:ascii="Verdana" w:hAnsi="Verdana" w:cs="Arial"/>
          <w:b/>
          <w:bCs/>
          <w:lang w:val="es-ES" w:eastAsia="es-ES"/>
        </w:rPr>
      </w:pPr>
    </w:p>
    <w:p w14:paraId="08E144EE" w14:textId="77777777" w:rsidR="00C851C7" w:rsidRPr="00C55BDE" w:rsidRDefault="00C851C7" w:rsidP="00C851C7">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p>
    <w:p w14:paraId="451E1AB4" w14:textId="77777777" w:rsidR="00C851C7" w:rsidRPr="00C55BDE" w:rsidRDefault="00C851C7" w:rsidP="00C851C7">
      <w:pPr>
        <w:snapToGrid w:val="0"/>
        <w:spacing w:after="0" w:line="240" w:lineRule="auto"/>
        <w:contextualSpacing/>
        <w:jc w:val="both"/>
        <w:rPr>
          <w:rFonts w:ascii="Verdana" w:hAnsi="Verdana" w:cs="Arial"/>
          <w:sz w:val="20"/>
          <w:szCs w:val="20"/>
          <w:lang w:val="es-ES" w:eastAsia="es-ES"/>
        </w:rPr>
      </w:pPr>
    </w:p>
    <w:p w14:paraId="2EF346BB"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5ED3785" w14:textId="77777777" w:rsidR="00C851C7" w:rsidRPr="00C55BDE" w:rsidRDefault="00C851C7" w:rsidP="00C851C7">
      <w:pPr>
        <w:snapToGrid w:val="0"/>
        <w:spacing w:after="0" w:line="240" w:lineRule="auto"/>
        <w:contextualSpacing/>
        <w:jc w:val="both"/>
        <w:rPr>
          <w:rFonts w:ascii="Verdana" w:hAnsi="Verdana" w:cs="Arial"/>
          <w:sz w:val="20"/>
          <w:szCs w:val="20"/>
          <w:lang w:val="es-ES"/>
        </w:rPr>
      </w:pPr>
    </w:p>
    <w:p w14:paraId="3877BD03" w14:textId="77777777" w:rsidR="00C851C7" w:rsidRPr="00C55BDE" w:rsidRDefault="00C851C7" w:rsidP="00C851C7">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xml:space="preserve">, que prohíbe a los gobernadores, alcaldes municipales o distritales, secretarios, gerentes y directores de entidades descentralizadas del orden municipal, departamental o distrital “[…] celebrar </w:t>
      </w:r>
      <w:r w:rsidRPr="00C55BDE">
        <w:rPr>
          <w:rFonts w:ascii="Verdana" w:hAnsi="Verdana" w:cs="Arial"/>
          <w:sz w:val="20"/>
          <w:szCs w:val="20"/>
          <w:lang w:val="es-ES"/>
        </w:rPr>
        <w:lastRenderedPageBreak/>
        <w:t>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13E251E6" w14:textId="77777777" w:rsidR="003820DF" w:rsidRPr="00C55BDE" w:rsidRDefault="003820DF" w:rsidP="002133AC">
      <w:pPr>
        <w:spacing w:after="0" w:line="240" w:lineRule="auto"/>
        <w:jc w:val="both"/>
        <w:rPr>
          <w:rFonts w:ascii="Verdana" w:eastAsia="Calibri" w:hAnsi="Verdana" w:cs="Arial"/>
          <w:b/>
          <w:lang w:val="es-ES"/>
        </w:rPr>
      </w:pPr>
    </w:p>
    <w:p w14:paraId="691ABFE6" w14:textId="77777777" w:rsidR="00765900" w:rsidRDefault="00765900" w:rsidP="00765900">
      <w:pPr>
        <w:spacing w:after="0"/>
        <w:jc w:val="both"/>
        <w:rPr>
          <w:rFonts w:ascii="Verdana" w:hAnsi="Verdana" w:cs="Arial"/>
          <w:b/>
          <w:lang w:val="es-MX" w:eastAsia="es-ES_tradnl"/>
        </w:rPr>
      </w:pPr>
      <w:r w:rsidRPr="00765900">
        <w:rPr>
          <w:rFonts w:ascii="Verdana" w:hAnsi="Verdana" w:cs="Arial"/>
          <w:b/>
          <w:lang w:val="es-MX" w:eastAsia="es-ES_tradnl"/>
        </w:rPr>
        <w:t xml:space="preserve">RECURSOS </w:t>
      </w:r>
      <w:proofErr w:type="spellStart"/>
      <w:r w:rsidRPr="00765900">
        <w:rPr>
          <w:rFonts w:ascii="Verdana" w:hAnsi="Verdana" w:cs="Arial"/>
          <w:b/>
          <w:lang w:val="es-MX" w:eastAsia="es-ES_tradnl"/>
        </w:rPr>
        <w:t>AESGPRl</w:t>
      </w:r>
      <w:proofErr w:type="spellEnd"/>
      <w:r>
        <w:rPr>
          <w:rFonts w:ascii="Verdana" w:hAnsi="Verdana" w:cs="Arial"/>
          <w:b/>
          <w:lang w:val="es-MX" w:eastAsia="es-ES_tradnl"/>
        </w:rPr>
        <w:t xml:space="preserve"> </w:t>
      </w:r>
      <w:r w:rsidRPr="00765900">
        <w:rPr>
          <w:rFonts w:ascii="Verdana" w:hAnsi="Verdana" w:cs="Arial"/>
          <w:b/>
          <w:lang w:val="es-MX" w:eastAsia="es-ES_tradnl"/>
        </w:rPr>
        <w:t xml:space="preserve">‒ Aplicación Ley de Garantías </w:t>
      </w:r>
    </w:p>
    <w:p w14:paraId="212213C3" w14:textId="77777777" w:rsidR="00765900" w:rsidRDefault="00765900" w:rsidP="00765900">
      <w:pPr>
        <w:spacing w:after="0"/>
        <w:jc w:val="both"/>
        <w:rPr>
          <w:rFonts w:ascii="Verdana" w:hAnsi="Verdana" w:cs="Arial"/>
          <w:b/>
          <w:lang w:val="es-MX" w:eastAsia="es-ES_tradnl"/>
        </w:rPr>
      </w:pPr>
    </w:p>
    <w:p w14:paraId="0DD57D10" w14:textId="7A177EC9" w:rsidR="00765900" w:rsidRPr="00005E1E" w:rsidRDefault="00765900" w:rsidP="00005E1E">
      <w:pPr>
        <w:spacing w:after="0" w:line="240" w:lineRule="auto"/>
        <w:jc w:val="both"/>
        <w:rPr>
          <w:rFonts w:ascii="Verdana" w:eastAsia="Arial" w:hAnsi="Verdana" w:cs="Arial"/>
          <w:sz w:val="20"/>
          <w:lang w:val="es-MX" w:eastAsia="es-ES" w:bidi="es-ES"/>
        </w:rPr>
      </w:pPr>
      <w:r w:rsidRPr="00005E1E">
        <w:rPr>
          <w:rFonts w:ascii="Verdana" w:eastAsia="Arial" w:hAnsi="Verdana" w:cs="Arial"/>
          <w:sz w:val="20"/>
          <w:lang w:val="es-MX" w:eastAsia="es-ES" w:bidi="es-ES"/>
        </w:rPr>
        <w:t xml:space="preserve">En cuanto a la restricción prevista en el artículo 33 de la Ley 996 de 2005 es preciso resaltar que esta 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47D6B28B" w14:textId="77777777" w:rsidR="00765900" w:rsidRDefault="00765900" w:rsidP="00765900">
      <w:pPr>
        <w:spacing w:after="0"/>
        <w:jc w:val="both"/>
        <w:rPr>
          <w:rFonts w:ascii="Verdana" w:hAnsi="Verdana" w:cs="Arial"/>
          <w:b/>
          <w:lang w:val="es-MX" w:eastAsia="es-ES_tradnl"/>
        </w:rPr>
      </w:pPr>
    </w:p>
    <w:p w14:paraId="4C6EF8E9" w14:textId="4240B7C4" w:rsidR="007D4B2E" w:rsidRPr="00765900" w:rsidRDefault="007D4B2E" w:rsidP="00765900">
      <w:pPr>
        <w:spacing w:after="0"/>
        <w:jc w:val="both"/>
        <w:rPr>
          <w:rFonts w:ascii="Verdana" w:hAnsi="Verdana" w:cs="Arial"/>
          <w:b/>
          <w:lang w:val="es-MX" w:eastAsia="es-ES_tradnl"/>
        </w:rPr>
      </w:pPr>
      <w:r w:rsidRPr="00C55BDE">
        <w:rPr>
          <w:rFonts w:ascii="Verdana" w:hAnsi="Verdana" w:cs="Arial"/>
          <w:b/>
          <w:lang w:val="es-MX" w:eastAsia="es-ES_tradnl"/>
        </w:rPr>
        <w:t>CONTRATOS Y CONVENIOS INTERADMINISTRATIVOS – Circular Externa Única – Auto de suspensión –numeral 16.2.</w:t>
      </w:r>
    </w:p>
    <w:p w14:paraId="584FD6A3" w14:textId="77777777" w:rsidR="007D4B2E" w:rsidRPr="00C55BDE" w:rsidRDefault="007D4B2E" w:rsidP="007D4B2E">
      <w:pPr>
        <w:spacing w:after="0"/>
        <w:jc w:val="both"/>
        <w:rPr>
          <w:rFonts w:ascii="Verdana" w:hAnsi="Verdana"/>
          <w:b/>
        </w:rPr>
      </w:pPr>
    </w:p>
    <w:p w14:paraId="09EA1CCF" w14:textId="77777777" w:rsidR="007D4B2E" w:rsidRPr="00C55BDE" w:rsidRDefault="007D4B2E" w:rsidP="007D4B2E">
      <w:pPr>
        <w:spacing w:after="0" w:line="240" w:lineRule="auto"/>
        <w:jc w:val="both"/>
        <w:rPr>
          <w:rFonts w:ascii="Verdana" w:hAnsi="Verdana"/>
          <w:sz w:val="18"/>
          <w:szCs w:val="20"/>
        </w:rPr>
      </w:pPr>
      <w:r w:rsidRPr="00C55BDE">
        <w:rPr>
          <w:rFonts w:ascii="Verdana" w:eastAsia="Arial" w:hAnsi="Verdana" w:cs="Arial"/>
          <w:sz w:val="20"/>
          <w:lang w:val="es-MX" w:eastAsia="es-ES" w:bidi="es-ES"/>
        </w:rPr>
        <w:t xml:space="preserve">[…] conviene señalar que, mediante auto de 4 de octubre del 2024, el Consejo de Estado, Sección Tercera, decretó medida de suspensión provisional parcial del </w:t>
      </w:r>
      <w:r w:rsidRPr="00C55BDE">
        <w:rPr>
          <w:rFonts w:ascii="Verdana" w:hAnsi="Verdana"/>
          <w:sz w:val="20"/>
        </w:rPr>
        <w:t>numeral 16.2 de la Circular Externa Única de 2022 expedida por la Agencia Nacional de Contratación Pública -Colombia Compra Eficiente-, concretamente, respecto de los siguientes apartes normativos</w:t>
      </w:r>
      <w:r w:rsidRPr="00C55BDE">
        <w:rPr>
          <w:rFonts w:ascii="Verdana" w:hAnsi="Verdana"/>
          <w:sz w:val="18"/>
          <w:szCs w:val="20"/>
        </w:rPr>
        <w:t xml:space="preserve"> </w:t>
      </w:r>
    </w:p>
    <w:p w14:paraId="755FF2C2" w14:textId="77777777" w:rsidR="007D4B2E" w:rsidRPr="00C55BDE" w:rsidRDefault="007D4B2E" w:rsidP="007D4B2E">
      <w:pPr>
        <w:spacing w:after="0" w:line="240" w:lineRule="auto"/>
        <w:ind w:left="709" w:right="709"/>
        <w:jc w:val="both"/>
        <w:rPr>
          <w:rFonts w:ascii="Verdana" w:hAnsi="Verdana"/>
          <w:sz w:val="20"/>
        </w:rPr>
      </w:pPr>
    </w:p>
    <w:p w14:paraId="7CF0FA34" w14:textId="77777777" w:rsidR="007D4B2E" w:rsidRPr="00C55BDE" w:rsidRDefault="007D4B2E" w:rsidP="007D4B2E">
      <w:pPr>
        <w:spacing w:after="0" w:line="240" w:lineRule="auto"/>
        <w:jc w:val="both"/>
        <w:rPr>
          <w:rFonts w:ascii="Verdana" w:eastAsia="Arial" w:hAnsi="Verdana" w:cs="Arial"/>
          <w:i/>
          <w:iCs/>
          <w:sz w:val="20"/>
          <w:lang w:eastAsia="es-ES" w:bidi="es-ES"/>
        </w:rPr>
      </w:pPr>
      <w:r w:rsidRPr="00C55BDE">
        <w:rPr>
          <w:rFonts w:ascii="Verdana" w:eastAsia="Arial" w:hAnsi="Verdana" w:cs="Arial"/>
          <w:sz w:val="20"/>
          <w:lang w:val="es-MX" w:eastAsia="es-ES" w:bidi="es-ES"/>
        </w:rPr>
        <w:t xml:space="preserve">De conformidad con los argumentos de dicha providencia, se parte de la distinción entre los conceptos </w:t>
      </w:r>
      <w:r w:rsidRPr="00C55BDE">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C55BDE">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3BB954D" w14:textId="77777777" w:rsidR="007D4B2E" w:rsidRPr="00C55BDE" w:rsidRDefault="007D4B2E" w:rsidP="007D4B2E">
      <w:pPr>
        <w:spacing w:after="0" w:line="240" w:lineRule="auto"/>
        <w:rPr>
          <w:rFonts w:ascii="Verdana" w:eastAsia="Geomanist Light" w:hAnsi="Verdana" w:cs="Arial"/>
          <w:color w:val="000000" w:themeColor="text1"/>
          <w:lang w:val="es-ES_tradnl"/>
        </w:rPr>
      </w:pPr>
    </w:p>
    <w:p w14:paraId="0E5B80EB" w14:textId="77777777" w:rsidR="007D4B2E" w:rsidRPr="00C55BDE" w:rsidRDefault="007D4B2E" w:rsidP="007D4B2E">
      <w:pPr>
        <w:spacing w:after="0"/>
        <w:rPr>
          <w:rFonts w:ascii="Verdana" w:hAnsi="Verdana"/>
          <w:lang w:val="es-ES_tradnl"/>
        </w:rPr>
      </w:pPr>
    </w:p>
    <w:p w14:paraId="1E192E3D" w14:textId="4F57489F" w:rsidR="009B4037" w:rsidRDefault="009B4037" w:rsidP="009B4037">
      <w:pPr>
        <w:spacing w:after="0" w:line="240" w:lineRule="auto"/>
        <w:rPr>
          <w:rFonts w:ascii="Verdana" w:eastAsia="Geomanist Light" w:hAnsi="Verdana" w:cs="Arial"/>
          <w:color w:val="201F1E"/>
        </w:rPr>
      </w:pPr>
      <w:r w:rsidRPr="00C55BDE">
        <w:rPr>
          <w:rFonts w:ascii="Verdana" w:hAnsi="Verdana"/>
        </w:rPr>
        <w:lastRenderedPageBreak/>
        <w:t xml:space="preserve">Bogotá D.C., </w:t>
      </w:r>
      <w:r w:rsidR="00204305">
        <w:rPr>
          <w:rFonts w:ascii="Verdana" w:eastAsia="Geomanist Light" w:hAnsi="Verdana" w:cs="Arial"/>
          <w:color w:val="201F1E"/>
        </w:rPr>
        <w:t>10 de febrero de 2026</w:t>
      </w:r>
    </w:p>
    <w:p w14:paraId="470F93DB" w14:textId="77777777" w:rsidR="009B4037" w:rsidRDefault="009B4037" w:rsidP="009B4037">
      <w:pPr>
        <w:spacing w:after="0"/>
        <w:rPr>
          <w:rFonts w:ascii="Verdana" w:hAnsi="Verdana"/>
        </w:rPr>
      </w:pPr>
    </w:p>
    <w:p w14:paraId="3BA80D27" w14:textId="5340DF26" w:rsidR="009B4037" w:rsidRDefault="009B4037" w:rsidP="00204305">
      <w:pPr>
        <w:spacing w:after="0"/>
        <w:jc w:val="right"/>
        <w:rPr>
          <w:rFonts w:ascii="Verdana" w:hAnsi="Verdana"/>
        </w:rPr>
      </w:pPr>
      <w:r w:rsidRPr="00C55BDE">
        <w:rPr>
          <w:rFonts w:ascii="Verdana" w:hAnsi="Verdana"/>
        </w:rPr>
        <w:tab/>
      </w:r>
      <w:r w:rsidR="00204305" w:rsidRPr="00204305">
        <w:rPr>
          <w:rFonts w:ascii="Verdana" w:hAnsi="Verdana"/>
          <w:noProof/>
        </w:rPr>
        <w:drawing>
          <wp:anchor distT="0" distB="0" distL="114300" distR="114300" simplePos="0" relativeHeight="251658240" behindDoc="0" locked="0" layoutInCell="1" allowOverlap="1" wp14:anchorId="3F15BC51" wp14:editId="03340987">
            <wp:simplePos x="0" y="0"/>
            <wp:positionH relativeFrom="column">
              <wp:posOffset>3042285</wp:posOffset>
            </wp:positionH>
            <wp:positionV relativeFrom="paragraph">
              <wp:posOffset>-3175</wp:posOffset>
            </wp:positionV>
            <wp:extent cx="2567940" cy="853440"/>
            <wp:effectExtent l="0" t="0" r="3810" b="3810"/>
            <wp:wrapSquare wrapText="bothSides"/>
            <wp:docPr id="15946671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67940" cy="853440"/>
                    </a:xfrm>
                    <a:prstGeom prst="rect">
                      <a:avLst/>
                    </a:prstGeom>
                    <a:noFill/>
                    <a:ln>
                      <a:noFill/>
                    </a:ln>
                  </pic:spPr>
                </pic:pic>
              </a:graphicData>
            </a:graphic>
          </wp:anchor>
        </w:drawing>
      </w:r>
    </w:p>
    <w:p w14:paraId="390D6DC8" w14:textId="77777777" w:rsidR="009B4037" w:rsidRDefault="009B4037" w:rsidP="009B4037">
      <w:pPr>
        <w:spacing w:after="0"/>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Señor</w:t>
      </w:r>
    </w:p>
    <w:p w14:paraId="5339589D" w14:textId="77777777" w:rsidR="009B4037" w:rsidRPr="00CF2943" w:rsidRDefault="009B4037" w:rsidP="009B4037">
      <w:pPr>
        <w:spacing w:after="0"/>
        <w:rPr>
          <w:rFonts w:ascii="Verdana" w:hAnsi="Verdana"/>
          <w:b/>
          <w:bCs/>
        </w:rPr>
      </w:pPr>
      <w:r w:rsidRPr="00CF2943">
        <w:rPr>
          <w:rFonts w:ascii="Verdana" w:hAnsi="Verdana"/>
          <w:b/>
          <w:bCs/>
        </w:rPr>
        <w:t>Alfonso C</w:t>
      </w:r>
      <w:r>
        <w:rPr>
          <w:rFonts w:ascii="Verdana" w:hAnsi="Verdana"/>
          <w:b/>
          <w:bCs/>
        </w:rPr>
        <w:t>á</w:t>
      </w:r>
      <w:r w:rsidRPr="00CF2943">
        <w:rPr>
          <w:rFonts w:ascii="Verdana" w:hAnsi="Verdana"/>
          <w:b/>
          <w:bCs/>
        </w:rPr>
        <w:t xml:space="preserve">rdenas Silva </w:t>
      </w:r>
    </w:p>
    <w:p w14:paraId="5A095966" w14:textId="77777777" w:rsidR="009B4037" w:rsidRPr="00CF2943" w:rsidRDefault="009B4037" w:rsidP="009B4037">
      <w:pPr>
        <w:spacing w:after="0" w:line="240" w:lineRule="auto"/>
        <w:rPr>
          <w:rFonts w:ascii="Verdana" w:hAnsi="Verdana"/>
          <w:b/>
          <w:bCs/>
        </w:rPr>
      </w:pPr>
      <w:r w:rsidRPr="00CF2943">
        <w:rPr>
          <w:rFonts w:ascii="Verdana" w:hAnsi="Verdana"/>
          <w:b/>
          <w:bCs/>
        </w:rPr>
        <w:t>Director Departamento Administrativo de Planeación</w:t>
      </w:r>
    </w:p>
    <w:p w14:paraId="33B77A25" w14:textId="77777777" w:rsidR="009B4037" w:rsidRDefault="009B4037" w:rsidP="00CE3F9C">
      <w:pPr>
        <w:spacing w:after="0" w:line="240" w:lineRule="auto"/>
        <w:rPr>
          <w:rFonts w:ascii="Verdana" w:hAnsi="Verdana"/>
          <w:b/>
          <w:bCs/>
        </w:rPr>
      </w:pPr>
      <w:r w:rsidRPr="00CF2943">
        <w:rPr>
          <w:rFonts w:ascii="Verdana" w:hAnsi="Verdana"/>
          <w:b/>
          <w:bCs/>
        </w:rPr>
        <w:t>Gobernación de Casanare</w:t>
      </w:r>
    </w:p>
    <w:p w14:paraId="2273931E" w14:textId="66F4188A" w:rsidR="00CE3F9C" w:rsidRPr="00CE3F9C" w:rsidRDefault="00CE3F9C" w:rsidP="00CE3F9C">
      <w:pPr>
        <w:spacing w:after="0" w:line="240" w:lineRule="auto"/>
        <w:jc w:val="both"/>
        <w:rPr>
          <w:rFonts w:ascii="Verdana" w:hAnsi="Verdana"/>
        </w:rPr>
      </w:pPr>
      <w:hyperlink r:id="rId12" w:history="1">
        <w:r w:rsidRPr="00CE3F9C">
          <w:rPr>
            <w:rStyle w:val="Hipervnculo"/>
            <w:rFonts w:ascii="Verdana" w:hAnsi="Verdana"/>
          </w:rPr>
          <w:t>alfonso.cardenas@casanare.gov.co</w:t>
        </w:r>
      </w:hyperlink>
    </w:p>
    <w:p w14:paraId="20D599FC" w14:textId="53BA058B" w:rsidR="009B4037" w:rsidRPr="00CE3F9C" w:rsidRDefault="009B4037" w:rsidP="00CE3F9C">
      <w:pPr>
        <w:spacing w:after="0" w:line="240" w:lineRule="auto"/>
        <w:jc w:val="both"/>
      </w:pPr>
      <w:r>
        <w:rPr>
          <w:rFonts w:ascii="Verdana" w:hAnsi="Verdana"/>
        </w:rPr>
        <w:t xml:space="preserve">Yopal, </w:t>
      </w:r>
      <w:r w:rsidRPr="00CF2943">
        <w:rPr>
          <w:rFonts w:ascii="Verdana" w:hAnsi="Verdana"/>
        </w:rPr>
        <w:t xml:space="preserve">Casanare </w:t>
      </w:r>
      <w:r w:rsidRPr="00CF2943">
        <w:rPr>
          <w:rFonts w:ascii="Verdana" w:eastAsia="Calibri" w:hAnsi="Verdana" w:cs="Arial"/>
          <w:color w:val="000000" w:themeColor="text1"/>
          <w:lang w:val="es-ES_tradnl" w:eastAsia="es-ES"/>
        </w:rPr>
        <w:t xml:space="preserve"> </w:t>
      </w:r>
    </w:p>
    <w:p w14:paraId="3D812965" w14:textId="77777777" w:rsidR="009B4037" w:rsidRPr="00C55BDE" w:rsidRDefault="009B4037" w:rsidP="009B4037">
      <w:pPr>
        <w:spacing w:after="0" w:line="240" w:lineRule="auto"/>
        <w:rPr>
          <w:rFonts w:ascii="Verdana" w:eastAsia="Calibri" w:hAnsi="Verdana" w:cs="Arial"/>
          <w:b/>
          <w:bCs/>
          <w:color w:val="000000" w:themeColor="text1"/>
          <w:lang w:val="es-ES_tradnl" w:eastAsia="es-ES_tradnl"/>
        </w:rPr>
      </w:pPr>
    </w:p>
    <w:p w14:paraId="1F1DE128" w14:textId="77777777" w:rsidR="009B4037" w:rsidRPr="00C55BDE" w:rsidRDefault="009B4037" w:rsidP="009B4037">
      <w:pPr>
        <w:spacing w:after="0" w:line="240" w:lineRule="auto"/>
        <w:rPr>
          <w:rFonts w:ascii="Verdana" w:eastAsia="Calibri" w:hAnsi="Verdana" w:cs="Arial"/>
          <w:b/>
          <w:bCs/>
          <w:color w:val="000000" w:themeColor="text1"/>
          <w:lang w:val="es-ES_tradnl" w:eastAsia="es-ES_tradnl"/>
        </w:rPr>
      </w:pPr>
      <w:r w:rsidRPr="00C55BDE">
        <w:rPr>
          <w:rFonts w:ascii="Verdana" w:eastAsia="Calibri" w:hAnsi="Verdana" w:cs="Arial"/>
          <w:b/>
          <w:bCs/>
          <w:color w:val="000000" w:themeColor="text1"/>
          <w:lang w:val="es-ES_tradnl" w:eastAsia="es-ES_tradnl"/>
        </w:rPr>
        <w:t xml:space="preserve">                                   Concepto C-</w:t>
      </w:r>
      <w:r>
        <w:rPr>
          <w:rFonts w:ascii="Verdana" w:eastAsia="Calibri" w:hAnsi="Verdana" w:cs="Arial"/>
          <w:b/>
          <w:bCs/>
          <w:color w:val="000000" w:themeColor="text1"/>
          <w:lang w:val="es-ES_tradnl" w:eastAsia="es-ES_tradnl"/>
        </w:rPr>
        <w:t>128</w:t>
      </w:r>
      <w:r w:rsidRPr="00C55BDE">
        <w:rPr>
          <w:rFonts w:ascii="Verdana" w:eastAsia="Calibri" w:hAnsi="Verdana" w:cs="Arial"/>
          <w:b/>
          <w:bCs/>
          <w:color w:val="000000" w:themeColor="text1"/>
          <w:lang w:val="es-ES_tradnl" w:eastAsia="es-ES_tradnl"/>
        </w:rPr>
        <w:t xml:space="preserve"> del 202</w:t>
      </w:r>
      <w:r>
        <w:rPr>
          <w:rFonts w:ascii="Verdana" w:eastAsia="Calibri" w:hAnsi="Verdana" w:cs="Arial"/>
          <w:b/>
          <w:bCs/>
          <w:color w:val="000000" w:themeColor="text1"/>
          <w:lang w:val="es-ES_tradnl" w:eastAsia="es-ES_tradnl"/>
        </w:rPr>
        <w:t>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B4037" w:rsidRPr="00C55BDE" w14:paraId="18E3F734" w14:textId="77777777" w:rsidTr="00F55330">
        <w:trPr>
          <w:gridAfter w:val="1"/>
          <w:wAfter w:w="6100" w:type="dxa"/>
          <w:trHeight w:val="133"/>
        </w:trPr>
        <w:tc>
          <w:tcPr>
            <w:tcW w:w="2689" w:type="dxa"/>
          </w:tcPr>
          <w:p w14:paraId="585390B9" w14:textId="77777777" w:rsidR="009B4037" w:rsidRPr="00C55BDE" w:rsidRDefault="009B4037" w:rsidP="00F55330">
            <w:pPr>
              <w:jc w:val="both"/>
              <w:rPr>
                <w:rFonts w:ascii="Verdana" w:eastAsia="Calibri" w:hAnsi="Verdana" w:cs="Arial"/>
                <w:b/>
                <w:bCs/>
                <w:color w:val="000000" w:themeColor="text1"/>
                <w:highlight w:val="cyan"/>
                <w:lang w:val="es-ES_tradnl" w:eastAsia="es-ES_tradnl"/>
              </w:rPr>
            </w:pPr>
          </w:p>
        </w:tc>
      </w:tr>
      <w:tr w:rsidR="009B4037" w:rsidRPr="00C55BDE" w14:paraId="113B18BB" w14:textId="77777777" w:rsidTr="00F55330">
        <w:trPr>
          <w:trHeight w:val="884"/>
        </w:trPr>
        <w:tc>
          <w:tcPr>
            <w:tcW w:w="2689" w:type="dxa"/>
          </w:tcPr>
          <w:p w14:paraId="7C8F523D" w14:textId="77777777" w:rsidR="009B4037" w:rsidRPr="00C55BDE" w:rsidRDefault="009B4037" w:rsidP="00F55330">
            <w:pPr>
              <w:jc w:val="both"/>
              <w:rPr>
                <w:rFonts w:ascii="Verdana" w:eastAsia="Calibri" w:hAnsi="Verdana" w:cs="Arial"/>
                <w:color w:val="000000" w:themeColor="text1"/>
                <w:highlight w:val="cyan"/>
                <w:lang w:val="es-ES_tradnl" w:eastAsia="es-ES_tradnl"/>
              </w:rPr>
            </w:pPr>
            <w:r w:rsidRPr="00C55BDE">
              <w:rPr>
                <w:rFonts w:ascii="Verdana" w:eastAsia="Calibri" w:hAnsi="Verdana" w:cs="Arial"/>
                <w:b/>
                <w:color w:val="000000" w:themeColor="text1"/>
                <w:lang w:val="es-ES_tradnl" w:eastAsia="es-ES_tradnl"/>
              </w:rPr>
              <w:t>Temas:</w:t>
            </w:r>
            <w:r w:rsidRPr="00C55BDE">
              <w:rPr>
                <w:rFonts w:ascii="Verdana" w:eastAsia="Calibri" w:hAnsi="Verdana" w:cs="Arial"/>
                <w:color w:val="000000" w:themeColor="text1"/>
                <w:lang w:val="es-ES_tradnl" w:eastAsia="es-ES_tradnl"/>
              </w:rPr>
              <w:t xml:space="preserve">                   </w:t>
            </w:r>
          </w:p>
        </w:tc>
        <w:tc>
          <w:tcPr>
            <w:tcW w:w="6100" w:type="dxa"/>
          </w:tcPr>
          <w:p w14:paraId="2152F1E3" w14:textId="77777777" w:rsidR="009B4037" w:rsidRDefault="009B4037" w:rsidP="00F55330">
            <w:pPr>
              <w:spacing w:line="276" w:lineRule="auto"/>
              <w:jc w:val="both"/>
              <w:rPr>
                <w:rFonts w:ascii="Verdana" w:hAnsi="Verdana" w:cs="Arial"/>
                <w:lang w:val="es-ES" w:eastAsia="es-ES"/>
              </w:rPr>
            </w:pPr>
            <w:r w:rsidRPr="00C55BDE">
              <w:rPr>
                <w:rFonts w:ascii="Verdana" w:eastAsia="Calibri" w:hAnsi="Verdana" w:cs="Arial"/>
                <w:lang w:val="es-ES" w:eastAsia="es-ES"/>
              </w:rPr>
              <w:t xml:space="preserve">RESGUARDOS INDÍGENAS – Administración de recursos del SGP – Entidades Estatales / </w:t>
            </w:r>
            <w:r w:rsidRPr="00C55BDE">
              <w:rPr>
                <w:rFonts w:ascii="Verdana" w:hAnsi="Verdana" w:cs="Arial"/>
                <w:lang w:val="es-ES" w:eastAsia="es-ES"/>
              </w:rPr>
              <w:t xml:space="preserve">LEY DE GARANTÍAS ELECTORALES – Finalidad / LEY DE GARANTÍAS ELECTORALES ‒ Restricciones ‒ Contratación ‒ Tipos de elección / </w:t>
            </w:r>
            <w:r>
              <w:rPr>
                <w:rFonts w:ascii="Verdana" w:hAnsi="Verdana" w:cs="Arial"/>
                <w:lang w:val="es-ES" w:eastAsia="es-ES"/>
              </w:rPr>
              <w:t xml:space="preserve">RECURSOS </w:t>
            </w:r>
            <w:proofErr w:type="spellStart"/>
            <w:r w:rsidRPr="00FC403C">
              <w:rPr>
                <w:rFonts w:ascii="Verdana" w:hAnsi="Verdana"/>
                <w:iCs/>
              </w:rPr>
              <w:t>AESGPRl</w:t>
            </w:r>
            <w:proofErr w:type="spellEnd"/>
          </w:p>
          <w:p w14:paraId="06165188" w14:textId="77777777" w:rsidR="009B4037" w:rsidRPr="00A23DBA" w:rsidRDefault="009B4037" w:rsidP="00F55330">
            <w:pPr>
              <w:spacing w:line="276" w:lineRule="auto"/>
              <w:jc w:val="both"/>
              <w:rPr>
                <w:rFonts w:ascii="Verdana" w:hAnsi="Verdana" w:cs="Arial"/>
                <w:lang w:val="es-ES" w:eastAsia="es-ES"/>
              </w:rPr>
            </w:pPr>
            <w:r w:rsidRPr="00C55BDE">
              <w:rPr>
                <w:rFonts w:ascii="Verdana" w:hAnsi="Verdana" w:cs="Arial"/>
                <w:lang w:val="es-ES" w:eastAsia="es-ES"/>
              </w:rPr>
              <w:t>‒</w:t>
            </w:r>
            <w:r>
              <w:rPr>
                <w:rFonts w:ascii="Verdana" w:hAnsi="Verdana" w:cs="Arial"/>
                <w:lang w:val="es-ES" w:eastAsia="es-ES"/>
              </w:rPr>
              <w:t xml:space="preserve"> Aplicación Ley de Garantías </w:t>
            </w:r>
            <w:r w:rsidRPr="00C55BDE">
              <w:rPr>
                <w:rFonts w:ascii="Verdana" w:hAnsi="Verdana" w:cs="Arial"/>
                <w:lang w:val="es-MX" w:eastAsia="es-ES_tradnl"/>
              </w:rPr>
              <w:t>/</w:t>
            </w:r>
            <w:r w:rsidRPr="00C55BDE">
              <w:rPr>
                <w:rFonts w:ascii="Verdana" w:hAnsi="Verdana"/>
              </w:rPr>
              <w:t xml:space="preserve"> </w:t>
            </w:r>
            <w:r w:rsidRPr="00C55BDE">
              <w:rPr>
                <w:rFonts w:ascii="Verdana" w:hAnsi="Verdana" w:cs="Arial"/>
                <w:lang w:val="es-MX" w:eastAsia="es-ES_tradnl"/>
              </w:rPr>
              <w:t xml:space="preserve">CONTRATOS Y CONVENIOS INTERADMINISTRATIVOS – Circular Externa Única – Auto de suspensión </w:t>
            </w:r>
          </w:p>
          <w:p w14:paraId="21428D80" w14:textId="77777777" w:rsidR="009B4037" w:rsidRPr="00C55BDE" w:rsidRDefault="009B4037" w:rsidP="00F55330">
            <w:pPr>
              <w:spacing w:line="276" w:lineRule="auto"/>
              <w:jc w:val="both"/>
              <w:rPr>
                <w:rFonts w:ascii="Verdana" w:hAnsi="Verdana" w:cs="Arial"/>
                <w:bCs/>
                <w:color w:val="000000" w:themeColor="text1"/>
                <w:highlight w:val="cyan"/>
              </w:rPr>
            </w:pPr>
          </w:p>
        </w:tc>
      </w:tr>
      <w:tr w:rsidR="009B4037" w:rsidRPr="00C55BDE" w14:paraId="7ED6ADBA" w14:textId="77777777" w:rsidTr="00F55330">
        <w:tc>
          <w:tcPr>
            <w:tcW w:w="2689" w:type="dxa"/>
          </w:tcPr>
          <w:p w14:paraId="23307E60" w14:textId="77777777" w:rsidR="009B4037" w:rsidRPr="00C55BDE" w:rsidRDefault="009B4037" w:rsidP="00F55330">
            <w:pPr>
              <w:jc w:val="both"/>
              <w:rPr>
                <w:rFonts w:ascii="Verdana" w:eastAsia="Calibri" w:hAnsi="Verdana" w:cs="Arial"/>
                <w:b/>
                <w:color w:val="000000" w:themeColor="text1"/>
                <w:lang w:val="es-ES_tradnl" w:eastAsia="es-ES_tradnl"/>
              </w:rPr>
            </w:pPr>
            <w:r w:rsidRPr="00C55BDE">
              <w:rPr>
                <w:rFonts w:ascii="Verdana" w:eastAsia="Calibri" w:hAnsi="Verdana" w:cs="Arial"/>
                <w:b/>
                <w:color w:val="000000" w:themeColor="text1"/>
                <w:lang w:val="es-ES_tradnl" w:eastAsia="es-ES_tradnl"/>
              </w:rPr>
              <w:t>Radicación:</w:t>
            </w:r>
            <w:r w:rsidRPr="00C55BDE">
              <w:rPr>
                <w:rFonts w:ascii="Verdana" w:eastAsia="Calibri" w:hAnsi="Verdana" w:cs="Arial"/>
                <w:color w:val="000000" w:themeColor="text1"/>
                <w:lang w:val="es-ES_tradnl" w:eastAsia="es-ES_tradnl"/>
              </w:rPr>
              <w:t xml:space="preserve">               </w:t>
            </w:r>
          </w:p>
        </w:tc>
        <w:tc>
          <w:tcPr>
            <w:tcW w:w="6100" w:type="dxa"/>
          </w:tcPr>
          <w:p w14:paraId="166CE472" w14:textId="77777777" w:rsidR="009B4037" w:rsidRPr="00C55BDE" w:rsidRDefault="009B4037" w:rsidP="00F55330">
            <w:pPr>
              <w:jc w:val="both"/>
              <w:rPr>
                <w:rFonts w:ascii="Verdana" w:hAnsi="Verdana" w:cs="Arial"/>
              </w:rPr>
            </w:pPr>
            <w:r w:rsidRPr="00C55BDE">
              <w:rPr>
                <w:rFonts w:ascii="Verdana" w:eastAsia="Calibri" w:hAnsi="Verdana" w:cs="Arial"/>
                <w:color w:val="000000" w:themeColor="text1"/>
                <w:lang w:val="es-ES_tradnl" w:eastAsia="es-ES_tradnl"/>
              </w:rPr>
              <w:t>Respuesta a consulta</w:t>
            </w:r>
            <w:r>
              <w:rPr>
                <w:rFonts w:ascii="Verdana" w:eastAsia="Calibri" w:hAnsi="Verdana" w:cs="Arial"/>
                <w:color w:val="000000" w:themeColor="text1"/>
                <w:lang w:val="es-ES_tradnl" w:eastAsia="es-ES_tradnl"/>
              </w:rPr>
              <w:t>s</w:t>
            </w:r>
            <w:r w:rsidRPr="00C55BDE">
              <w:rPr>
                <w:rFonts w:ascii="Verdana" w:eastAsia="Calibri" w:hAnsi="Verdana" w:cs="Arial"/>
                <w:color w:val="000000" w:themeColor="text1"/>
                <w:lang w:val="es-ES_tradnl" w:eastAsia="es-ES_tradnl"/>
              </w:rPr>
              <w:t xml:space="preserve"> con radicado</w:t>
            </w:r>
            <w:r>
              <w:rPr>
                <w:rFonts w:ascii="Verdana" w:eastAsia="Calibri" w:hAnsi="Verdana" w:cs="Arial"/>
                <w:color w:val="000000" w:themeColor="text1"/>
                <w:lang w:val="es-ES_tradnl" w:eastAsia="es-ES_tradnl"/>
              </w:rPr>
              <w:t>s</w:t>
            </w:r>
            <w:r w:rsidRPr="00C55BDE">
              <w:rPr>
                <w:rFonts w:ascii="Verdana" w:eastAsia="Calibri" w:hAnsi="Verdana" w:cs="Arial"/>
                <w:color w:val="000000" w:themeColor="text1"/>
                <w:lang w:val="es-ES_tradnl" w:eastAsia="es-ES_tradnl"/>
              </w:rPr>
              <w:t xml:space="preserve"> No</w:t>
            </w:r>
            <w:r>
              <w:rPr>
                <w:rFonts w:ascii="Verdana" w:eastAsia="Calibri" w:hAnsi="Verdana" w:cs="Arial"/>
                <w:color w:val="000000" w:themeColor="text1"/>
                <w:lang w:val="es-ES_tradnl" w:eastAsia="es-ES_tradnl"/>
              </w:rPr>
              <w:t>s</w:t>
            </w:r>
            <w:r w:rsidRPr="00C55BDE">
              <w:rPr>
                <w:rFonts w:ascii="Verdana" w:eastAsia="Calibri" w:hAnsi="Verdana" w:cs="Arial"/>
                <w:color w:val="000000" w:themeColor="text1"/>
                <w:lang w:val="es-ES_tradnl" w:eastAsia="es-ES_tradnl"/>
              </w:rPr>
              <w:t>.</w:t>
            </w:r>
            <w:r w:rsidRPr="00C55BDE">
              <w:rPr>
                <w:rFonts w:ascii="Verdana" w:hAnsi="Verdana"/>
              </w:rPr>
              <w:t xml:space="preserve"> </w:t>
            </w:r>
            <w:r w:rsidRPr="00407DAB">
              <w:rPr>
                <w:rFonts w:ascii="Verdana" w:hAnsi="Verdana"/>
              </w:rPr>
              <w:t xml:space="preserve">1_2026_01_30_001089, 1_2026_01_30_001087, 1_2026_01_30_001114, 1_2026_01_30_001112, </w:t>
            </w:r>
            <w:r>
              <w:rPr>
                <w:rFonts w:ascii="Verdana" w:hAnsi="Verdana"/>
              </w:rPr>
              <w:t xml:space="preserve">y </w:t>
            </w:r>
            <w:r w:rsidRPr="00407DAB">
              <w:rPr>
                <w:rFonts w:ascii="Verdana" w:hAnsi="Verdana"/>
              </w:rPr>
              <w:t>1_2026_01_30_001111</w:t>
            </w:r>
          </w:p>
          <w:p w14:paraId="6A84AC66" w14:textId="77777777" w:rsidR="009B4037" w:rsidRPr="00C55BDE" w:rsidRDefault="009B4037" w:rsidP="00F55330">
            <w:pPr>
              <w:jc w:val="both"/>
              <w:rPr>
                <w:rFonts w:ascii="Verdana" w:hAnsi="Verdana"/>
                <w:color w:val="000000"/>
              </w:rPr>
            </w:pPr>
          </w:p>
        </w:tc>
      </w:tr>
    </w:tbl>
    <w:p w14:paraId="0CD3AF43" w14:textId="77777777" w:rsidR="009B4037" w:rsidRPr="00C55BDE" w:rsidRDefault="009B4037" w:rsidP="009B4037">
      <w:pPr>
        <w:spacing w:after="0" w:line="276" w:lineRule="auto"/>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Estimado señor</w:t>
      </w:r>
      <w:r>
        <w:rPr>
          <w:rFonts w:ascii="Verdana" w:eastAsia="Calibri" w:hAnsi="Verdana" w:cs="Arial"/>
          <w:color w:val="000000" w:themeColor="text1"/>
          <w:lang w:val="es-ES" w:eastAsia="es-ES"/>
        </w:rPr>
        <w:t xml:space="preserve"> Cardenas</w:t>
      </w:r>
      <w:r w:rsidRPr="00C55BDE">
        <w:rPr>
          <w:rFonts w:ascii="Verdana" w:eastAsia="Calibri" w:hAnsi="Verdana" w:cs="Arial"/>
          <w:color w:val="000000" w:themeColor="text1"/>
          <w:lang w:val="es-ES" w:eastAsia="es-ES"/>
        </w:rPr>
        <w:t xml:space="preserve">: </w:t>
      </w:r>
    </w:p>
    <w:p w14:paraId="2FF74607" w14:textId="77777777" w:rsidR="009B4037" w:rsidRPr="00C55BDE" w:rsidRDefault="009B4037" w:rsidP="009B4037">
      <w:pPr>
        <w:spacing w:after="0"/>
        <w:rPr>
          <w:rFonts w:ascii="Verdana" w:eastAsia="Times New Roman" w:hAnsi="Verdana" w:cs="Segoe UI"/>
          <w:lang w:eastAsia="es-CO"/>
        </w:rPr>
      </w:pPr>
    </w:p>
    <w:p w14:paraId="3C464639" w14:textId="77777777" w:rsidR="009B4037" w:rsidRPr="00BA1D42" w:rsidRDefault="009B4037" w:rsidP="009B4037">
      <w:pPr>
        <w:spacing w:after="0" w:line="276" w:lineRule="auto"/>
        <w:jc w:val="both"/>
        <w:rPr>
          <w:rFonts w:ascii="Verdana" w:hAnsi="Verdana" w:cs="Arial"/>
          <w:color w:val="000000" w:themeColor="text1"/>
        </w:rPr>
      </w:pPr>
      <w:r w:rsidRPr="00C55BDE">
        <w:rPr>
          <w:rFonts w:ascii="Verdana" w:eastAsia="Calibri" w:hAnsi="Verdana" w:cs="Arial"/>
          <w:color w:val="000000" w:themeColor="text1"/>
          <w:lang w:val="es-ES" w:eastAsia="es-ES"/>
        </w:rPr>
        <w:t>En ejercicio de la competencia otorgada por los artículos 3, numeral 5º, y 11, numeral 8º, del Decreto Ley 4170 de 2011,</w:t>
      </w:r>
      <w:r w:rsidRPr="00C55BDE">
        <w:rPr>
          <w:rFonts w:ascii="Verdana" w:eastAsia="Arial MT" w:hAnsi="Verdana" w:cs="Arial MT"/>
          <w:color w:val="000000" w:themeColor="text1"/>
          <w:lang w:val="es-ES" w:eastAsia="es-ES"/>
        </w:rPr>
        <w:t xml:space="preserve"> </w:t>
      </w:r>
      <w:r>
        <w:rPr>
          <w:rFonts w:ascii="Verdana" w:hAnsi="Verdana" w:cs="Arial"/>
          <w:lang w:val="es-ES_tradnl"/>
        </w:rPr>
        <w:t>así como lo establecido en</w:t>
      </w:r>
      <w:r>
        <w:rPr>
          <w:rFonts w:ascii="Verdana" w:hAnsi="Verdana" w:cs="Arial"/>
        </w:rPr>
        <w:t xml:space="preserve"> la Resolución 469 de 2025 expedida por esta Entidad</w:t>
      </w:r>
      <w:r w:rsidRPr="00C55BDE">
        <w:rPr>
          <w:rFonts w:ascii="Verdana" w:hAnsi="Verdana" w:cs="Arial"/>
          <w:color w:val="000000" w:themeColor="text1"/>
        </w:rPr>
        <w:t xml:space="preserve">, </w:t>
      </w:r>
      <w:r w:rsidRPr="00C55BDE">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C55BDE">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C55BDE">
        <w:rPr>
          <w:rFonts w:ascii="Verdana" w:eastAsia="Calibri" w:hAnsi="Verdana" w:cs="Arial"/>
          <w:color w:val="000000" w:themeColor="text1"/>
          <w:lang w:val="es-ES" w:eastAsia="es-ES"/>
        </w:rPr>
        <w:t xml:space="preserve"> de consulta </w:t>
      </w:r>
      <w:r>
        <w:rPr>
          <w:rFonts w:ascii="Verdana" w:eastAsia="Calibri" w:hAnsi="Verdana" w:cs="Arial"/>
          <w:color w:val="000000" w:themeColor="text1"/>
          <w:lang w:val="es-ES" w:eastAsia="es-ES"/>
        </w:rPr>
        <w:t>remitidas por competencia por el Departamento Nacional de Planeación el</w:t>
      </w:r>
      <w:r w:rsidRPr="00C55BDE">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30</w:t>
      </w:r>
      <w:r w:rsidRPr="00C55BDE">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enero</w:t>
      </w:r>
      <w:r w:rsidRPr="00C55BDE">
        <w:rPr>
          <w:rFonts w:ascii="Verdana" w:eastAsia="Calibri" w:hAnsi="Verdana" w:cs="Arial"/>
          <w:color w:val="000000" w:themeColor="text1"/>
          <w:lang w:val="es-ES" w:eastAsia="es-ES"/>
        </w:rPr>
        <w:t xml:space="preserve"> del 202</w:t>
      </w:r>
      <w:r>
        <w:rPr>
          <w:rFonts w:ascii="Verdana" w:eastAsia="Calibri" w:hAnsi="Verdana" w:cs="Arial"/>
          <w:color w:val="000000" w:themeColor="text1"/>
          <w:lang w:val="es-ES" w:eastAsia="es-ES"/>
        </w:rPr>
        <w:t>6</w:t>
      </w:r>
      <w:r w:rsidRPr="00C55BDE">
        <w:rPr>
          <w:rFonts w:ascii="Verdana" w:eastAsia="Calibri" w:hAnsi="Verdana" w:cs="Arial"/>
          <w:color w:val="000000" w:themeColor="text1"/>
          <w:lang w:val="es-ES" w:eastAsia="es-ES"/>
        </w:rPr>
        <w:t xml:space="preserve">, en la cual manifiesta lo siguiente: </w:t>
      </w:r>
    </w:p>
    <w:p w14:paraId="6F00BDB7" w14:textId="77777777" w:rsidR="009B4037" w:rsidRPr="00504FBE" w:rsidRDefault="009B4037" w:rsidP="009B4037">
      <w:pPr>
        <w:spacing w:after="0" w:line="276" w:lineRule="auto"/>
        <w:jc w:val="both"/>
        <w:rPr>
          <w:rFonts w:ascii="Verdana" w:eastAsia="Calibri" w:hAnsi="Verdana" w:cs="Arial"/>
          <w:color w:val="000000" w:themeColor="text1"/>
          <w:lang w:val="es-ES" w:eastAsia="es-ES"/>
        </w:rPr>
      </w:pPr>
    </w:p>
    <w:p w14:paraId="0A7AFA7D" w14:textId="77777777" w:rsidR="009B4037" w:rsidRDefault="009B4037" w:rsidP="009B4037">
      <w:pPr>
        <w:spacing w:after="0" w:line="240" w:lineRule="auto"/>
        <w:ind w:left="709" w:right="709"/>
        <w:jc w:val="both"/>
        <w:rPr>
          <w:rFonts w:ascii="Verdana" w:eastAsia="Century Gothic" w:hAnsi="Verdana" w:cs="Century Gothic"/>
          <w:color w:val="000000" w:themeColor="text1"/>
          <w:sz w:val="20"/>
          <w:szCs w:val="20"/>
        </w:rPr>
      </w:pPr>
      <w:bookmarkStart w:id="1" w:name="_Hlk95313578"/>
      <w:r w:rsidRPr="00504FBE">
        <w:rPr>
          <w:rFonts w:ascii="Verdana" w:eastAsia="Century Gothic" w:hAnsi="Verdana" w:cs="Century Gothic"/>
          <w:color w:val="000000" w:themeColor="text1"/>
          <w:sz w:val="20"/>
          <w:szCs w:val="20"/>
          <w:lang w:val="es-ES"/>
        </w:rPr>
        <w:t>“</w:t>
      </w:r>
      <w:bookmarkEnd w:id="1"/>
      <w:r w:rsidRPr="00C55BDE">
        <w:rPr>
          <w:rFonts w:ascii="Verdana" w:eastAsia="Arial" w:hAnsi="Verdana" w:cs="Arial"/>
          <w:sz w:val="20"/>
          <w:lang w:val="es-MX" w:eastAsia="es-ES" w:bidi="es-ES"/>
        </w:rPr>
        <w:t xml:space="preserve">[…] </w:t>
      </w:r>
      <w:r w:rsidRPr="00504FBE">
        <w:rPr>
          <w:rFonts w:ascii="Verdana" w:eastAsia="Century Gothic" w:hAnsi="Verdana" w:cs="Century Gothic"/>
          <w:color w:val="000000" w:themeColor="text1"/>
          <w:sz w:val="20"/>
          <w:szCs w:val="20"/>
        </w:rPr>
        <w:t xml:space="preserve">En particular, solicitamos que el concepto se pronuncie sobre los siguientes aspectos: </w:t>
      </w:r>
    </w:p>
    <w:p w14:paraId="2AE83B31" w14:textId="77777777" w:rsidR="009B4037" w:rsidRDefault="009B4037" w:rsidP="009B4037">
      <w:pPr>
        <w:spacing w:after="0" w:line="240" w:lineRule="auto"/>
        <w:ind w:left="709" w:right="709"/>
        <w:jc w:val="both"/>
        <w:rPr>
          <w:rFonts w:ascii="Verdana" w:eastAsia="Century Gothic" w:hAnsi="Verdana" w:cs="Century Gothic"/>
          <w:color w:val="000000" w:themeColor="text1"/>
          <w:sz w:val="20"/>
          <w:szCs w:val="20"/>
        </w:rPr>
      </w:pPr>
    </w:p>
    <w:p w14:paraId="2A339FF8" w14:textId="77777777" w:rsidR="009B4037" w:rsidRDefault="009B4037" w:rsidP="009B4037">
      <w:pPr>
        <w:spacing w:after="0" w:line="240" w:lineRule="auto"/>
        <w:ind w:left="709" w:right="709"/>
        <w:jc w:val="both"/>
        <w:rPr>
          <w:rFonts w:ascii="Verdana" w:eastAsia="Century Gothic" w:hAnsi="Verdana" w:cs="Century Gothic"/>
          <w:color w:val="000000" w:themeColor="text1"/>
          <w:sz w:val="20"/>
          <w:szCs w:val="20"/>
        </w:rPr>
      </w:pPr>
      <w:r w:rsidRPr="00504FBE">
        <w:rPr>
          <w:rFonts w:ascii="Verdana" w:eastAsia="Century Gothic" w:hAnsi="Verdana" w:cs="Century Gothic"/>
          <w:color w:val="000000" w:themeColor="text1"/>
          <w:sz w:val="20"/>
          <w:szCs w:val="20"/>
        </w:rPr>
        <w:lastRenderedPageBreak/>
        <w:t xml:space="preserve">1. La procedencia o limitaciones para la administración, programación y ejecución </w:t>
      </w:r>
      <w:r>
        <w:rPr>
          <w:rFonts w:ascii="Verdana" w:eastAsia="Century Gothic" w:hAnsi="Verdana" w:cs="Century Gothic"/>
          <w:color w:val="000000" w:themeColor="text1"/>
          <w:sz w:val="20"/>
          <w:szCs w:val="20"/>
        </w:rPr>
        <w:t>de</w:t>
      </w:r>
      <w:r w:rsidRPr="00504FBE">
        <w:rPr>
          <w:rFonts w:ascii="Verdana" w:eastAsia="Century Gothic" w:hAnsi="Verdana" w:cs="Century Gothic"/>
          <w:color w:val="000000" w:themeColor="text1"/>
          <w:sz w:val="20"/>
          <w:szCs w:val="20"/>
        </w:rPr>
        <w:t xml:space="preserve"> los contratos relacionados con proyectos financiados con </w:t>
      </w:r>
      <w:proofErr w:type="spellStart"/>
      <w:r w:rsidRPr="00504FBE">
        <w:rPr>
          <w:rFonts w:ascii="Verdana" w:eastAsia="Century Gothic" w:hAnsi="Verdana" w:cs="Century Gothic"/>
          <w:color w:val="000000" w:themeColor="text1"/>
          <w:sz w:val="20"/>
          <w:szCs w:val="20"/>
        </w:rPr>
        <w:t>AESGPRl</w:t>
      </w:r>
      <w:proofErr w:type="spellEnd"/>
      <w:r w:rsidRPr="00504FBE">
        <w:rPr>
          <w:rFonts w:ascii="Verdana" w:eastAsia="Century Gothic" w:hAnsi="Verdana" w:cs="Century Gothic"/>
          <w:color w:val="000000" w:themeColor="text1"/>
          <w:sz w:val="20"/>
          <w:szCs w:val="20"/>
        </w:rPr>
        <w:t xml:space="preserve"> durante el periodo de restricción previsto por la Ley de Garantías Electorales.</w:t>
      </w:r>
    </w:p>
    <w:p w14:paraId="198CA66B" w14:textId="77777777" w:rsidR="009B4037" w:rsidRPr="00504FBE" w:rsidRDefault="009B4037" w:rsidP="009B4037">
      <w:pPr>
        <w:spacing w:after="0" w:line="240" w:lineRule="auto"/>
        <w:ind w:left="709" w:right="709"/>
        <w:jc w:val="both"/>
        <w:rPr>
          <w:rFonts w:ascii="Verdana" w:eastAsia="Century Gothic" w:hAnsi="Verdana" w:cs="Century Gothic"/>
          <w:color w:val="000000" w:themeColor="text1"/>
          <w:sz w:val="20"/>
          <w:szCs w:val="20"/>
        </w:rPr>
      </w:pPr>
    </w:p>
    <w:p w14:paraId="43D908A0" w14:textId="77777777" w:rsidR="009B4037" w:rsidRPr="00504FBE" w:rsidRDefault="009B4037" w:rsidP="009B4037">
      <w:pPr>
        <w:spacing w:after="0" w:line="240" w:lineRule="auto"/>
        <w:ind w:left="709" w:right="709"/>
        <w:jc w:val="both"/>
        <w:rPr>
          <w:rFonts w:ascii="Verdana" w:eastAsia="Century Gothic" w:hAnsi="Verdana" w:cs="Century Gothic"/>
          <w:color w:val="000000" w:themeColor="text1"/>
          <w:sz w:val="20"/>
          <w:szCs w:val="20"/>
        </w:rPr>
      </w:pPr>
      <w:r w:rsidRPr="00504FBE">
        <w:rPr>
          <w:rFonts w:ascii="Verdana" w:eastAsia="Century Gothic" w:hAnsi="Verdana" w:cs="Century Gothic"/>
          <w:color w:val="000000" w:themeColor="text1"/>
          <w:sz w:val="20"/>
          <w:szCs w:val="20"/>
        </w:rPr>
        <w:t>2. La identificación de excepciones aplicables, considerando la naturaleza especial de estos recursos y su finalidad social y cultural</w:t>
      </w:r>
      <w:r>
        <w:rPr>
          <w:rFonts w:ascii="Verdana" w:eastAsia="Century Gothic" w:hAnsi="Verdana" w:cs="Century Gothic"/>
          <w:color w:val="000000" w:themeColor="text1"/>
          <w:sz w:val="20"/>
          <w:szCs w:val="20"/>
        </w:rPr>
        <w:t>.</w:t>
      </w:r>
    </w:p>
    <w:p w14:paraId="782CACFA" w14:textId="77777777" w:rsidR="009B4037" w:rsidRPr="00504FBE" w:rsidRDefault="009B4037" w:rsidP="009B4037">
      <w:pPr>
        <w:spacing w:after="0" w:line="240" w:lineRule="auto"/>
        <w:ind w:left="709" w:right="709"/>
        <w:jc w:val="both"/>
        <w:rPr>
          <w:rFonts w:ascii="Verdana" w:eastAsia="Century Gothic" w:hAnsi="Verdana" w:cs="Century Gothic"/>
          <w:color w:val="000000" w:themeColor="text1"/>
          <w:sz w:val="20"/>
          <w:szCs w:val="20"/>
        </w:rPr>
      </w:pPr>
    </w:p>
    <w:p w14:paraId="64F4DE44" w14:textId="77777777" w:rsidR="009B4037" w:rsidRPr="00504FBE" w:rsidRDefault="009B4037" w:rsidP="009B4037">
      <w:pPr>
        <w:spacing w:after="0" w:line="240" w:lineRule="auto"/>
        <w:ind w:left="709" w:right="709"/>
        <w:jc w:val="both"/>
        <w:rPr>
          <w:rFonts w:ascii="Verdana" w:eastAsia="Century Gothic" w:hAnsi="Verdana" w:cs="Century Gothic"/>
          <w:i/>
          <w:iCs/>
          <w:color w:val="000000" w:themeColor="text1"/>
          <w:sz w:val="20"/>
          <w:szCs w:val="20"/>
        </w:rPr>
      </w:pPr>
      <w:r w:rsidRPr="00504FBE">
        <w:rPr>
          <w:rFonts w:ascii="Verdana" w:hAnsi="Verdana"/>
          <w:sz w:val="20"/>
          <w:szCs w:val="20"/>
        </w:rPr>
        <w:t>3. Las recomendaciones y lineamientos técnicos-jurídicos que los municipios deben observar para garantizar continuidad en la ejecución de proyectos, evitando riesgos de carácter disciplinario, fiscal o administrativo</w:t>
      </w:r>
      <w:r w:rsidRPr="00504FBE">
        <w:rPr>
          <w:rFonts w:ascii="Verdana" w:eastAsia="Century Gothic" w:hAnsi="Verdana" w:cs="Century Gothic"/>
          <w:i/>
          <w:iCs/>
          <w:color w:val="000000" w:themeColor="text1"/>
          <w:sz w:val="20"/>
          <w:szCs w:val="20"/>
        </w:rPr>
        <w:t>”</w:t>
      </w:r>
    </w:p>
    <w:p w14:paraId="20FFC2D4" w14:textId="77777777" w:rsidR="009B4037" w:rsidRPr="00C55BDE" w:rsidRDefault="009B4037" w:rsidP="009B4037">
      <w:pPr>
        <w:spacing w:after="0" w:line="240" w:lineRule="auto"/>
        <w:ind w:left="709" w:right="709"/>
        <w:jc w:val="both"/>
        <w:rPr>
          <w:rFonts w:ascii="Verdana" w:eastAsia="Times New Roman" w:hAnsi="Verdana" w:cs="Arial"/>
          <w:i/>
          <w:iCs/>
          <w:sz w:val="20"/>
          <w:szCs w:val="20"/>
          <w:lang w:eastAsia="es-ES_tradnl"/>
        </w:rPr>
      </w:pPr>
    </w:p>
    <w:p w14:paraId="0EE1F69E" w14:textId="77777777" w:rsidR="009B4037" w:rsidRPr="00C55BDE" w:rsidRDefault="009B4037" w:rsidP="009B4037">
      <w:pPr>
        <w:spacing w:after="120" w:line="276" w:lineRule="auto"/>
        <w:ind w:firstLine="709"/>
        <w:jc w:val="both"/>
        <w:rPr>
          <w:rFonts w:ascii="Verdana" w:eastAsia="Calibri" w:hAnsi="Verdana" w:cs="Arial"/>
          <w:color w:val="000000" w:themeColor="text1"/>
          <w:szCs w:val="24"/>
          <w:lang w:val="es-ES_tradnl" w:eastAsia="es-ES_tradnl"/>
        </w:rPr>
      </w:pPr>
      <w:r w:rsidRPr="00C55BDE">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55BDE">
        <w:rPr>
          <w:rFonts w:ascii="Verdana" w:eastAsia="Calibri" w:hAnsi="Verdana" w:cs="Arial"/>
          <w:color w:val="000000" w:themeColor="text1"/>
          <w:szCs w:val="24"/>
          <w:lang w:val="es-ES_tradnl" w:eastAsia="es-ES_tradnl"/>
        </w:rPr>
        <w:tab/>
      </w:r>
    </w:p>
    <w:p w14:paraId="0DBEB656" w14:textId="77777777" w:rsidR="009B4037" w:rsidRPr="00C55BDE" w:rsidRDefault="009B4037" w:rsidP="009B4037">
      <w:pPr>
        <w:spacing w:after="0" w:line="276" w:lineRule="auto"/>
        <w:ind w:firstLine="709"/>
        <w:jc w:val="both"/>
        <w:rPr>
          <w:rFonts w:ascii="Verdana" w:eastAsia="Calibri" w:hAnsi="Verdana" w:cs="Arial"/>
          <w:color w:val="000000" w:themeColor="text1"/>
          <w:lang w:val="es-ES" w:eastAsia="es-ES"/>
        </w:rPr>
      </w:pPr>
      <w:r w:rsidRPr="00C55B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6865B7CA" w14:textId="77777777" w:rsidR="009B4037" w:rsidRPr="00C55BDE" w:rsidRDefault="009B4037" w:rsidP="009B4037">
      <w:pPr>
        <w:spacing w:after="0" w:line="276" w:lineRule="auto"/>
        <w:jc w:val="both"/>
        <w:rPr>
          <w:rFonts w:ascii="Verdana" w:eastAsia="Calibri" w:hAnsi="Verdana" w:cs="Arial"/>
          <w:color w:val="000000" w:themeColor="text1"/>
          <w:lang w:val="es-ES" w:eastAsia="es-ES"/>
        </w:rPr>
      </w:pPr>
    </w:p>
    <w:p w14:paraId="2148A337" w14:textId="77777777" w:rsidR="009B4037" w:rsidRPr="00C55BDE" w:rsidRDefault="009B4037" w:rsidP="009B403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Problema planteado:</w:t>
      </w:r>
    </w:p>
    <w:p w14:paraId="7AAA3EDB" w14:textId="77777777" w:rsidR="009B4037" w:rsidRPr="00C55BDE" w:rsidRDefault="009B4037" w:rsidP="009B4037">
      <w:pPr>
        <w:tabs>
          <w:tab w:val="left" w:pos="426"/>
        </w:tabs>
        <w:spacing w:after="0" w:line="276" w:lineRule="auto"/>
        <w:jc w:val="both"/>
        <w:rPr>
          <w:rFonts w:ascii="Verdana" w:eastAsia="Century Gothic" w:hAnsi="Verdana" w:cs="Century Gothic"/>
          <w:color w:val="000000" w:themeColor="text1"/>
          <w:lang w:val="es-ES"/>
        </w:rPr>
      </w:pPr>
    </w:p>
    <w:p w14:paraId="703A5B81" w14:textId="77777777" w:rsidR="009B4037" w:rsidRPr="00C55BDE" w:rsidRDefault="009B4037" w:rsidP="009B4037">
      <w:pPr>
        <w:spacing w:after="0" w:line="276" w:lineRule="auto"/>
        <w:jc w:val="both"/>
        <w:rPr>
          <w:rFonts w:ascii="Verdana" w:eastAsia="Century Gothic" w:hAnsi="Verdana" w:cs="Century Gothic"/>
          <w:color w:val="000000" w:themeColor="text1"/>
        </w:rPr>
      </w:pPr>
      <w:r w:rsidRPr="00C55BDE">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C55BDE">
        <w:rPr>
          <w:rFonts w:ascii="Verdana" w:eastAsia="Century Gothic" w:hAnsi="Verdana" w:cs="Century Gothic"/>
          <w:color w:val="000000" w:themeColor="text1"/>
        </w:rPr>
        <w:t xml:space="preserve"> siguiente problema jurídico:</w:t>
      </w:r>
      <w:r>
        <w:rPr>
          <w:rFonts w:ascii="Verdana" w:eastAsia="Century Gothic" w:hAnsi="Verdana" w:cs="Century Gothic"/>
          <w:color w:val="000000" w:themeColor="text1"/>
        </w:rPr>
        <w:t xml:space="preserve"> </w:t>
      </w:r>
      <w:r w:rsidRPr="00C55BDE">
        <w:rPr>
          <w:rFonts w:ascii="Verdana" w:eastAsia="Century Gothic" w:hAnsi="Verdana" w:cs="Century Gothic"/>
          <w:color w:val="000000" w:themeColor="text1"/>
        </w:rPr>
        <w:t>¿</w:t>
      </w:r>
      <w:r>
        <w:rPr>
          <w:rFonts w:ascii="Verdana" w:eastAsia="Century Gothic" w:hAnsi="Verdana" w:cs="Century Gothic"/>
          <w:color w:val="000000" w:themeColor="text1"/>
        </w:rPr>
        <w:t xml:space="preserve">aplican las restricciones </w:t>
      </w:r>
      <w:r w:rsidRPr="00C55BDE">
        <w:rPr>
          <w:rFonts w:ascii="Verdana" w:eastAsia="Times New Roman" w:hAnsi="Verdana" w:cs="Arial"/>
          <w:lang w:eastAsia="es-CO"/>
        </w:rPr>
        <w:t>de la Ley de Garantías Electorales -</w:t>
      </w:r>
      <w:r w:rsidRPr="00C55BDE">
        <w:rPr>
          <w:rFonts w:ascii="Verdana" w:hAnsi="Verdana"/>
          <w:iCs/>
        </w:rPr>
        <w:t xml:space="preserve"> Ley 996 de 2005</w:t>
      </w:r>
      <w:r>
        <w:rPr>
          <w:rFonts w:ascii="Verdana" w:hAnsi="Verdana"/>
          <w:iCs/>
        </w:rPr>
        <w:t xml:space="preserve"> a los </w:t>
      </w:r>
      <w:r w:rsidRPr="00FC403C">
        <w:rPr>
          <w:rFonts w:ascii="Verdana" w:hAnsi="Verdana"/>
          <w:iCs/>
        </w:rPr>
        <w:t xml:space="preserve">contratos relacionados con proyectos financiados con </w:t>
      </w:r>
      <w:r>
        <w:rPr>
          <w:rFonts w:ascii="Verdana" w:hAnsi="Verdana"/>
          <w:iCs/>
        </w:rPr>
        <w:t xml:space="preserve">recursos de la </w:t>
      </w:r>
      <w:proofErr w:type="spellStart"/>
      <w:r w:rsidRPr="00FC403C">
        <w:rPr>
          <w:rFonts w:ascii="Verdana" w:hAnsi="Verdana"/>
          <w:iCs/>
        </w:rPr>
        <w:t>AESGPRl</w:t>
      </w:r>
      <w:proofErr w:type="spellEnd"/>
      <w:r w:rsidRPr="00C55BDE">
        <w:rPr>
          <w:rFonts w:ascii="Verdana" w:hAnsi="Verdana"/>
          <w:iCs/>
        </w:rPr>
        <w:t>?</w:t>
      </w:r>
    </w:p>
    <w:p w14:paraId="09D55F20" w14:textId="77777777" w:rsidR="009B4037" w:rsidRPr="00C55BDE" w:rsidRDefault="009B4037" w:rsidP="009B4037">
      <w:pPr>
        <w:spacing w:after="0" w:line="276" w:lineRule="auto"/>
        <w:jc w:val="both"/>
        <w:rPr>
          <w:rFonts w:ascii="Verdana" w:eastAsia="Century Gothic" w:hAnsi="Verdana" w:cs="Century Gothic"/>
          <w:color w:val="000000" w:themeColor="text1"/>
        </w:rPr>
      </w:pPr>
    </w:p>
    <w:p w14:paraId="59AEFA75" w14:textId="77777777" w:rsidR="009B4037" w:rsidRPr="00C55BDE" w:rsidRDefault="009B4037" w:rsidP="009B40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lastRenderedPageBreak/>
        <w:t xml:space="preserve">Respuesta: </w:t>
      </w:r>
    </w:p>
    <w:p w14:paraId="28CB3E4F" w14:textId="77777777" w:rsidR="009B4037" w:rsidRPr="00C55BDE" w:rsidRDefault="009B4037" w:rsidP="009B403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B4037" w:rsidRPr="00C55BDE" w14:paraId="32E8F50D" w14:textId="77777777" w:rsidTr="00F55330">
        <w:tc>
          <w:tcPr>
            <w:tcW w:w="8828" w:type="dxa"/>
          </w:tcPr>
          <w:p w14:paraId="18223471" w14:textId="77777777" w:rsidR="009B4037" w:rsidRDefault="009B4037" w:rsidP="00F55330">
            <w:pPr>
              <w:spacing w:before="120" w:after="120" w:line="276" w:lineRule="auto"/>
              <w:jc w:val="both"/>
              <w:rPr>
                <w:rFonts w:ascii="Verdana" w:hAnsi="Verdana" w:cs="Arial"/>
              </w:rPr>
            </w:pPr>
            <w:r>
              <w:rPr>
                <w:rFonts w:ascii="Verdana" w:hAnsi="Verdana" w:cs="Arial"/>
                <w:lang w:val="es-ES"/>
              </w:rPr>
              <w:t>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7342A16C" w14:textId="77777777" w:rsidR="009B4037" w:rsidRDefault="009B4037" w:rsidP="00F55330">
            <w:pPr>
              <w:spacing w:before="120" w:after="120" w:line="276" w:lineRule="auto"/>
              <w:ind w:firstLine="709"/>
              <w:jc w:val="both"/>
              <w:rPr>
                <w:rFonts w:ascii="Verdana" w:eastAsia="Calibri" w:hAnsi="Verdana" w:cs="Arial"/>
                <w:lang w:val="es-ES"/>
              </w:rPr>
            </w:pPr>
            <w:r>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criterios para la distribución y la administración de los recursos. Con base en lo anterior, se entiende que </w:t>
            </w:r>
            <w:r>
              <w:rPr>
                <w:rFonts w:ascii="Verdana" w:hAnsi="Verdana" w:cs="Arial"/>
                <w:i/>
                <w:iCs/>
                <w:lang w:val="es-ES"/>
              </w:rPr>
              <w:t xml:space="preserve">los recursos de la AESGPRI son públicos </w:t>
            </w:r>
            <w:r>
              <w:rPr>
                <w:rFonts w:ascii="Verdana" w:hAnsi="Verdana" w:cs="Arial"/>
                <w:lang w:val="es-ES"/>
              </w:rPr>
              <w:t>y tienen como propósito beneficiar a la población indígena que habita en los resguardos. Por otro lado, el mencionado decreto dispone de manera expresa que l</w:t>
            </w:r>
            <w:r>
              <w:rPr>
                <w:rFonts w:ascii="Verdana" w:eastAsia="Calibri" w:hAnsi="Verdana" w:cs="Arial"/>
                <w:lang w:val="es-ES"/>
              </w:rPr>
              <w:t xml:space="preserve">os territorios y resguardos indígenas que hayan sido autorizados para administrar recursos del SGP se consideran </w:t>
            </w:r>
            <w:r>
              <w:rPr>
                <w:rFonts w:ascii="Verdana" w:eastAsia="Calibri" w:hAnsi="Verdana" w:cs="Arial"/>
                <w:u w:val="single"/>
                <w:lang w:val="es-ES"/>
              </w:rPr>
              <w:t>Entidades Estatales</w:t>
            </w:r>
            <w:r>
              <w:rPr>
                <w:rFonts w:ascii="Verdana" w:eastAsia="Calibri" w:hAnsi="Verdana" w:cs="Arial"/>
                <w:lang w:val="es-ES"/>
              </w:rPr>
              <w:t>, de acuerdo con lo dispuesto en el artículo 2° de la Ley 80 de 1993.</w:t>
            </w:r>
          </w:p>
          <w:p w14:paraId="5E37AC49" w14:textId="77777777" w:rsidR="009B4037" w:rsidRDefault="009B4037" w:rsidP="00F55330">
            <w:pPr>
              <w:spacing w:before="120" w:after="120" w:line="276" w:lineRule="auto"/>
              <w:ind w:firstLine="743"/>
              <w:jc w:val="both"/>
              <w:rPr>
                <w:rFonts w:ascii="Verdana" w:eastAsia="Times New Roman" w:hAnsi="Verdana" w:cs="Arial"/>
                <w:bCs/>
                <w:lang w:val="es-MX" w:eastAsia="x-none"/>
              </w:rPr>
            </w:pPr>
            <w:r>
              <w:rPr>
                <w:rFonts w:ascii="Verdana" w:eastAsia="Calibri" w:hAnsi="Verdana" w:cs="Times New Roman"/>
              </w:rPr>
              <w:t xml:space="preserve">De esta manera, en cuanto a </w:t>
            </w:r>
            <w:r>
              <w:rPr>
                <w:rFonts w:ascii="Verdana" w:eastAsia="Calibri" w:hAnsi="Verdana" w:cs="Arial"/>
                <w:lang w:val="es-MX"/>
              </w:rPr>
              <w:t>la restricción prevista en el artículo 33 de la</w:t>
            </w:r>
            <w:r w:rsidRPr="0057193B">
              <w:rPr>
                <w:rFonts w:ascii="Verdana" w:eastAsia="Calibri" w:hAnsi="Verdana" w:cs="Arial"/>
                <w:lang w:val="es-MX"/>
              </w:rPr>
              <w:t xml:space="preserve"> Ley 996 de 2005 </w:t>
            </w:r>
            <w:r>
              <w:rPr>
                <w:rFonts w:ascii="Verdana" w:eastAsia="Calibri" w:hAnsi="Verdana" w:cs="Arial"/>
                <w:lang w:val="es-MX"/>
              </w:rPr>
              <w:t xml:space="preserve">es preciso resaltar que esta </w:t>
            </w:r>
            <w:r w:rsidRPr="0057193B">
              <w:rPr>
                <w:rFonts w:ascii="Verdana" w:eastAsia="Times New Roman" w:hAnsi="Verdana" w:cs="Arial"/>
                <w:bCs/>
                <w:lang w:val="es-MX" w:eastAsia="x-none"/>
              </w:rPr>
              <w:t xml:space="preserve">cobija a cualquier </w:t>
            </w:r>
            <w:r w:rsidRPr="00676214">
              <w:rPr>
                <w:rFonts w:ascii="Verdana" w:eastAsia="Times New Roman" w:hAnsi="Verdana" w:cs="Arial"/>
                <w:bCs/>
                <w:i/>
                <w:iCs/>
                <w:lang w:val="es-MX" w:eastAsia="x-none"/>
              </w:rPr>
              <w:t>entidad pública</w:t>
            </w:r>
            <w:r w:rsidRPr="0057193B">
              <w:rPr>
                <w:rFonts w:ascii="Verdana" w:eastAsia="Times New Roman" w:hAnsi="Verdana" w:cs="Arial"/>
                <w:bCs/>
                <w:lang w:val="es-MX" w:eastAsia="x-none"/>
              </w:rPr>
              <w:t xml:space="preserve">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w:t>
            </w:r>
            <w:r w:rsidRPr="00B36A23">
              <w:rPr>
                <w:rFonts w:ascii="Verdana" w:eastAsia="Times New Roman" w:hAnsi="Verdana" w:cs="Arial"/>
                <w:bCs/>
                <w:i/>
                <w:iCs/>
                <w:lang w:val="es-MX" w:eastAsia="x-none"/>
              </w:rPr>
              <w:t>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18D956B2" w14:textId="77777777" w:rsidR="009B4037" w:rsidRDefault="009B4037" w:rsidP="00F55330">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xml:space="preserve">, en el sentido de que son </w:t>
            </w:r>
            <w:r w:rsidRPr="00C46683">
              <w:rPr>
                <w:rFonts w:ascii="Verdana" w:eastAsia="Times New Roman" w:hAnsi="Verdana" w:cs="Arial"/>
                <w:bCs/>
                <w:i/>
                <w:iCs/>
                <w:lang w:val="es-MX" w:eastAsia="x-none"/>
              </w:rPr>
              <w:t xml:space="preserve">“todos los entes del Estado”, </w:t>
            </w:r>
            <w:r w:rsidRPr="0057193B">
              <w:rPr>
                <w:rFonts w:ascii="Verdana" w:eastAsia="Times New Roman" w:hAnsi="Verdana" w:cs="Arial"/>
                <w:bCs/>
                <w:lang w:val="es-MX" w:eastAsia="x-none"/>
              </w:rPr>
              <w:t xml:space="preserve">expresión que contempla a los diferentes </w:t>
            </w:r>
            <w:r w:rsidRPr="0057193B">
              <w:rPr>
                <w:rFonts w:ascii="Verdana" w:eastAsia="Times New Roman" w:hAnsi="Verdana" w:cs="Arial"/>
                <w:bCs/>
                <w:lang w:val="es-MX" w:eastAsia="x-none"/>
              </w:rPr>
              <w:lastRenderedPageBreak/>
              <w:t>organismos o entidades autorizadas por la ley para suscribir contratos</w:t>
            </w:r>
            <w:r>
              <w:rPr>
                <w:rFonts w:ascii="Verdana" w:eastAsia="Times New Roman" w:hAnsi="Verdana" w:cs="Arial"/>
                <w:bCs/>
                <w:lang w:val="es-MX" w:eastAsia="x-none"/>
              </w:rPr>
              <w:t xml:space="preserve">, </w:t>
            </w:r>
            <w:r w:rsidRPr="00C46683">
              <w:rPr>
                <w:rFonts w:ascii="Verdana" w:eastAsia="Times New Roman" w:hAnsi="Verdana" w:cs="Arial"/>
                <w:bCs/>
                <w:lang w:eastAsia="x-none"/>
              </w:rPr>
              <w:t>sin distinción del régimen jurídico, forma de organización o naturaleza, su pertenencia a una u otra rama del poder público o su autonomía, e incluso si se trata de entidades estatales que al estar sometidas a un régimen especial se encuentren del ámbito de aplicación del Estatuto General de Contratación de la Administración Pública</w:t>
            </w:r>
            <w:r>
              <w:rPr>
                <w:rFonts w:ascii="Verdana" w:eastAsia="Times New Roman" w:hAnsi="Verdana" w:cs="Arial"/>
                <w:bCs/>
                <w:lang w:eastAsia="x-none"/>
              </w:rPr>
              <w:t xml:space="preserve">. </w:t>
            </w:r>
          </w:p>
          <w:p w14:paraId="64DFACE6" w14:textId="77777777" w:rsidR="009B4037" w:rsidRDefault="009B4037" w:rsidP="00F55330">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ES" w:eastAsia="x-none"/>
              </w:rPr>
              <w:t xml:space="preserve">En esta cuestión, </w:t>
            </w:r>
            <w:r>
              <w:rPr>
                <w:rFonts w:ascii="Verdana" w:hAnsi="Verdana" w:cs="Arial"/>
                <w:lang w:val="es-ES"/>
              </w:rPr>
              <w:t>Ley 715 de 2001</w:t>
            </w:r>
            <w:r w:rsidRPr="009A35DF">
              <w:rPr>
                <w:rFonts w:ascii="Verdana" w:eastAsia="Times New Roman" w:hAnsi="Verdana" w:cs="Arial"/>
                <w:bCs/>
                <w:lang w:eastAsia="x-none"/>
              </w:rPr>
              <w:t xml:space="preserve"> no </w:t>
            </w:r>
            <w:r>
              <w:rPr>
                <w:rFonts w:ascii="Verdana" w:eastAsia="Times New Roman" w:hAnsi="Verdana" w:cs="Arial"/>
                <w:bCs/>
                <w:lang w:eastAsia="x-none"/>
              </w:rPr>
              <w:t xml:space="preserve">establece </w:t>
            </w:r>
            <w:r w:rsidRPr="009A35DF">
              <w:rPr>
                <w:rFonts w:ascii="Verdana" w:eastAsia="Times New Roman" w:hAnsi="Verdana" w:cs="Arial"/>
                <w:bCs/>
                <w:lang w:eastAsia="x-none"/>
              </w:rPr>
              <w:t xml:space="preserve">excepciones </w:t>
            </w:r>
            <w:r>
              <w:rPr>
                <w:rFonts w:ascii="Verdana" w:eastAsia="Times New Roman" w:hAnsi="Verdana" w:cs="Arial"/>
                <w:bCs/>
                <w:lang w:eastAsia="x-none"/>
              </w:rPr>
              <w:t xml:space="preserve">al </w:t>
            </w:r>
            <w:r>
              <w:rPr>
                <w:rFonts w:ascii="Verdana" w:eastAsia="Times New Roman" w:hAnsi="Verdana" w:cs="Arial"/>
                <w:bCs/>
                <w:lang w:val="es-ES" w:eastAsia="x-none"/>
              </w:rPr>
              <w:t xml:space="preserve">artículo 33 de la Ley 996 de 2005 </w:t>
            </w:r>
            <w:r w:rsidRPr="0057193B">
              <w:rPr>
                <w:rFonts w:ascii="Verdana" w:eastAsia="Times New Roman" w:hAnsi="Verdana" w:cs="Arial"/>
                <w:bCs/>
                <w:lang w:val="es-MX" w:eastAsia="x-none"/>
              </w:rPr>
              <w:t>que restringe la contratación directa en el periodo preelectoral a las elecciones presidenciales</w:t>
            </w:r>
            <w:r>
              <w:rPr>
                <w:rFonts w:ascii="Verdana" w:eastAsia="Times New Roman" w:hAnsi="Verdana" w:cs="Arial"/>
                <w:bCs/>
                <w:lang w:val="es-MX" w:eastAsia="x-none"/>
              </w:rPr>
              <w:t xml:space="preserve"> por la ejecución de un cierto tipo de recursos</w:t>
            </w:r>
            <w:r w:rsidRPr="0057193B">
              <w:rPr>
                <w:rFonts w:ascii="Verdana" w:eastAsia="Times New Roman" w:hAnsi="Verdana" w:cs="Arial"/>
                <w:bCs/>
                <w:lang w:val="es-MX" w:eastAsia="x-none"/>
              </w:rPr>
              <w:t xml:space="preserve">. </w:t>
            </w:r>
            <w:r>
              <w:rPr>
                <w:rFonts w:ascii="Verdana" w:eastAsia="Times New Roman" w:hAnsi="Verdana" w:cs="Arial"/>
                <w:bCs/>
                <w:lang w:val="es-MX" w:eastAsia="x-none"/>
              </w:rPr>
              <w:t xml:space="preserve">En otras palabras, esta normatividad especial para la ejecución de recursos </w:t>
            </w:r>
            <w:r w:rsidRPr="00987C44">
              <w:rPr>
                <w:rFonts w:ascii="Verdana" w:hAnsi="Verdana" w:cs="Arial"/>
                <w:lang w:val="es-ES"/>
              </w:rPr>
              <w:t xml:space="preserve">de la </w:t>
            </w:r>
            <w:proofErr w:type="gramStart"/>
            <w:r w:rsidRPr="00987C44">
              <w:rPr>
                <w:rFonts w:ascii="Verdana" w:hAnsi="Verdana" w:cs="Arial"/>
                <w:lang w:val="es-ES"/>
              </w:rPr>
              <w:t>AESGPRI</w:t>
            </w:r>
            <w:r>
              <w:rPr>
                <w:rFonts w:ascii="Verdana" w:eastAsia="Times New Roman" w:hAnsi="Verdana" w:cs="Arial"/>
                <w:bCs/>
                <w:lang w:val="es-MX" w:eastAsia="x-none"/>
              </w:rPr>
              <w:t>,</w:t>
            </w:r>
            <w:proofErr w:type="gramEnd"/>
            <w:r>
              <w:rPr>
                <w:rFonts w:ascii="Verdana" w:eastAsia="Times New Roman" w:hAnsi="Verdana" w:cs="Arial"/>
                <w:bCs/>
                <w:lang w:val="es-MX" w:eastAsia="x-none"/>
              </w:rPr>
              <w:t xml:space="preserve"> no implica que esté exonerada de la restricción, pues el legislador no hizo distinción del tipo de recursos al establecer la prohibición. </w:t>
            </w:r>
            <w:r w:rsidRPr="0057193B">
              <w:rPr>
                <w:rFonts w:ascii="Verdana" w:eastAsia="Times New Roman" w:hAnsi="Verdana" w:cs="Arial"/>
                <w:bCs/>
                <w:lang w:val="es-MX" w:eastAsia="x-none"/>
              </w:rPr>
              <w:t xml:space="preserve"> </w:t>
            </w:r>
          </w:p>
          <w:p w14:paraId="73F8E345" w14:textId="77777777" w:rsidR="009B4037" w:rsidRDefault="009B4037" w:rsidP="00F55330">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Esto, sin perjuicio de las </w:t>
            </w:r>
            <w:r w:rsidRPr="0057193B">
              <w:rPr>
                <w:rFonts w:ascii="Verdana" w:eastAsia="Times New Roman" w:hAnsi="Verdana" w:cs="Arial"/>
                <w:bCs/>
                <w:lang w:val="es-MX" w:eastAsia="x-none"/>
              </w:rPr>
              <w:t>excepciones a la prohibición establecidas en el inciso</w:t>
            </w:r>
            <w:r>
              <w:rPr>
                <w:rFonts w:ascii="Verdana" w:eastAsia="Times New Roman" w:hAnsi="Verdana" w:cs="Arial"/>
                <w:bCs/>
                <w:lang w:val="es-MX" w:eastAsia="x-none"/>
              </w:rPr>
              <w:t xml:space="preserve"> segundo del artículo 33, que cobija determinados contratos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2E33C79A" w14:textId="77777777" w:rsidR="009B4037" w:rsidRPr="00840E4B" w:rsidRDefault="009B4037" w:rsidP="00F55330">
            <w:pPr>
              <w:spacing w:after="120" w:line="276" w:lineRule="auto"/>
              <w:ind w:firstLine="709"/>
              <w:jc w:val="both"/>
              <w:rPr>
                <w:rFonts w:ascii="Verdana" w:eastAsia="Times New Roman" w:hAnsi="Verdana" w:cs="Arial"/>
                <w:bCs/>
                <w:lang w:val="es-ES" w:eastAsia="x-none"/>
              </w:rPr>
            </w:pPr>
            <w:r>
              <w:rPr>
                <w:rFonts w:ascii="Verdana" w:eastAsia="Times New Roman" w:hAnsi="Verdana" w:cs="Arial"/>
                <w:bCs/>
                <w:lang w:val="es-MX" w:eastAsia="x-none"/>
              </w:rPr>
              <w:t xml:space="preserve">En este sentido, aplicará la restricción señalada respecto de todos los </w:t>
            </w:r>
            <w:r w:rsidRPr="003101A1">
              <w:rPr>
                <w:rFonts w:ascii="Verdana" w:eastAsia="Times New Roman" w:hAnsi="Verdana" w:cs="Arial"/>
                <w:bCs/>
                <w:i/>
                <w:iCs/>
                <w:lang w:val="es-MX" w:eastAsia="x-none"/>
              </w:rPr>
              <w:t xml:space="preserve">entes del </w:t>
            </w:r>
            <w:r>
              <w:rPr>
                <w:rFonts w:ascii="Verdana" w:eastAsia="Times New Roman" w:hAnsi="Verdana" w:cs="Arial"/>
                <w:bCs/>
                <w:i/>
                <w:iCs/>
                <w:lang w:val="es-MX" w:eastAsia="x-none"/>
              </w:rPr>
              <w:t>E</w:t>
            </w:r>
            <w:r w:rsidRPr="003101A1">
              <w:rPr>
                <w:rFonts w:ascii="Verdana" w:eastAsia="Times New Roman" w:hAnsi="Verdana" w:cs="Arial"/>
                <w:bCs/>
                <w:i/>
                <w:iCs/>
                <w:lang w:val="es-MX" w:eastAsia="x-none"/>
              </w:rPr>
              <w:t>stado,</w:t>
            </w:r>
            <w:r>
              <w:rPr>
                <w:rFonts w:ascii="Verdana" w:eastAsia="Times New Roman" w:hAnsi="Verdana" w:cs="Arial"/>
                <w:bCs/>
                <w:lang w:val="es-MX" w:eastAsia="x-none"/>
              </w:rPr>
              <w:t xml:space="preserve"> con independencia de la fuente de los recursos, por lo que e</w:t>
            </w:r>
            <w:r w:rsidRPr="00333EDB">
              <w:rPr>
                <w:rFonts w:ascii="Verdana" w:eastAsia="Times New Roman" w:hAnsi="Verdana" w:cs="Arial"/>
                <w:bCs/>
                <w:lang w:val="es-MX" w:eastAsia="x-none"/>
              </w:rPr>
              <w:t>s responsabilidad del respectivo</w:t>
            </w:r>
            <w:r>
              <w:rPr>
                <w:rFonts w:ascii="Verdana" w:eastAsia="Times New Roman" w:hAnsi="Verdana" w:cs="Arial"/>
                <w:bCs/>
                <w:lang w:val="es-MX" w:eastAsia="x-none"/>
              </w:rPr>
              <w:t xml:space="preserve"> ente</w:t>
            </w:r>
            <w:r w:rsidRPr="00333EDB">
              <w:rPr>
                <w:rFonts w:ascii="Verdana" w:eastAsia="Times New Roman" w:hAnsi="Verdana" w:cs="Arial"/>
                <w:bCs/>
                <w:lang w:val="es-MX" w:eastAsia="x-none"/>
              </w:rPr>
              <w:t xml:space="preserve"> examinar en cada caso la naturaleza de las actividades que adelanta y determinar si las mismas se enmarcan en alguna </w:t>
            </w:r>
            <w:r>
              <w:rPr>
                <w:rFonts w:ascii="Verdana" w:eastAsia="Times New Roman" w:hAnsi="Verdana" w:cs="Arial"/>
                <w:bCs/>
                <w:lang w:val="es-MX" w:eastAsia="x-none"/>
              </w:rPr>
              <w:t>de las mencionadas excepciones.</w:t>
            </w:r>
          </w:p>
          <w:p w14:paraId="137D2A67" w14:textId="77777777" w:rsidR="009B4037" w:rsidRDefault="009B4037" w:rsidP="00F55330">
            <w:pPr>
              <w:spacing w:before="120" w:after="120" w:line="276" w:lineRule="auto"/>
              <w:ind w:firstLine="709"/>
              <w:jc w:val="both"/>
              <w:rPr>
                <w:rFonts w:ascii="Verdana" w:eastAsia="Times New Roman" w:hAnsi="Verdana" w:cs="Arial"/>
                <w:lang w:eastAsia="es-CO"/>
              </w:rPr>
            </w:pPr>
            <w:r>
              <w:rPr>
                <w:rFonts w:ascii="Verdana" w:hAnsi="Verdana" w:cs="Arial"/>
                <w:lang w:val="es-ES"/>
              </w:rPr>
              <w:t xml:space="preserve">Respecto de lo dispuesto en el parágrafo </w:t>
            </w:r>
            <w:r>
              <w:rPr>
                <w:rFonts w:ascii="Verdana" w:eastAsia="Times New Roman" w:hAnsi="Verdana" w:cs="Arial"/>
                <w:lang w:eastAsia="es-CO"/>
              </w:rPr>
              <w:t xml:space="preserve">del artículo 38 de la Ley 996 de 2005, se precisa que, este prohíbe a los </w:t>
            </w:r>
            <w:proofErr w:type="gramStart"/>
            <w:r>
              <w:rPr>
                <w:rFonts w:ascii="Verdana" w:eastAsia="Times New Roman" w:hAnsi="Verdana" w:cs="Arial"/>
                <w:lang w:eastAsia="es-CO"/>
              </w:rPr>
              <w:t>Alcaldes</w:t>
            </w:r>
            <w:proofErr w:type="gramEnd"/>
            <w:r>
              <w:rPr>
                <w:rFonts w:ascii="Verdana" w:eastAsia="Times New Roman" w:hAnsi="Verdana" w:cs="Arial"/>
                <w:lang w:eastAsia="es-CO"/>
              </w:rPr>
              <w:t xml:space="preserve">, Gobernadores, </w:t>
            </w:r>
            <w:proofErr w:type="gramStart"/>
            <w:r>
              <w:rPr>
                <w:rFonts w:ascii="Verdana" w:eastAsia="Times New Roman" w:hAnsi="Verdana" w:cs="Arial"/>
                <w:lang w:eastAsia="es-CO"/>
              </w:rPr>
              <w:t>Secretarios</w:t>
            </w:r>
            <w:proofErr w:type="gramEnd"/>
            <w:r>
              <w:rPr>
                <w:rFonts w:ascii="Verdana" w:eastAsia="Times New Roman" w:hAnsi="Verdana" w:cs="Arial"/>
                <w:lang w:eastAsia="es-CO"/>
              </w:rPr>
              <w:t xml:space="preserve">, Gerentes y </w:t>
            </w:r>
            <w:proofErr w:type="gramStart"/>
            <w:r>
              <w:rPr>
                <w:rFonts w:ascii="Verdana" w:eastAsia="Times New Roman" w:hAnsi="Verdana" w:cs="Arial"/>
                <w:lang w:eastAsia="es-CO"/>
              </w:rPr>
              <w:t>Directores</w:t>
            </w:r>
            <w:proofErr w:type="gramEnd"/>
            <w:r>
              <w:rPr>
                <w:rFonts w:ascii="Verdana" w:eastAsia="Times New Roman" w:hAnsi="Verdana" w:cs="Arial"/>
                <w:lang w:eastAsia="es-CO"/>
              </w:rPr>
              <w:t xml:space="preserve"> de las entidades del orden municipal, departamental o distrital celebrar </w:t>
            </w:r>
            <w:r>
              <w:rPr>
                <w:rFonts w:ascii="Verdana" w:eastAsia="Times New Roman" w:hAnsi="Verdana" w:cs="Arial"/>
                <w:i/>
                <w:iCs/>
                <w:lang w:eastAsia="es-CO"/>
              </w:rPr>
              <w:t>convenios interadministrativos</w:t>
            </w:r>
            <w:r>
              <w:rPr>
                <w:rFonts w:ascii="Verdana" w:eastAsia="Times New Roman" w:hAnsi="Verdana" w:cs="Arial"/>
                <w:lang w:eastAsia="es-CO"/>
              </w:rPr>
              <w:t xml:space="preserve"> </w:t>
            </w:r>
            <w:r>
              <w:rPr>
                <w:rFonts w:ascii="Verdana" w:eastAsia="Times New Roman" w:hAnsi="Verdana" w:cs="Arial"/>
                <w:i/>
                <w:iCs/>
                <w:lang w:eastAsia="es-CO"/>
              </w:rPr>
              <w:t>para la ejecución de recursos públicos</w:t>
            </w:r>
            <w:r>
              <w:rPr>
                <w:rFonts w:ascii="Verdana" w:eastAsia="Times New Roman" w:hAnsi="Verdana" w:cs="Arial"/>
                <w:lang w:eastAsia="es-CO"/>
              </w:rPr>
              <w:t xml:space="preserve">. En este sentido, si una o ambas partes de la relación contractual es una entidad de aquellas descritas en el parágrafo </w:t>
            </w:r>
            <w:r>
              <w:rPr>
                <w:rFonts w:ascii="Verdana" w:eastAsia="Times New Roman" w:hAnsi="Verdana" w:cs="Arial"/>
                <w:i/>
                <w:lang w:eastAsia="es-CO"/>
              </w:rPr>
              <w:t>ibidem</w:t>
            </w:r>
            <w:r>
              <w:rPr>
                <w:rFonts w:ascii="Verdana" w:eastAsia="Times New Roman" w:hAnsi="Verdana" w:cs="Arial"/>
                <w:lang w:eastAsia="es-CO"/>
              </w:rPr>
              <w:t xml:space="preserve">, no podrá celebrar tales </w:t>
            </w:r>
            <w:r>
              <w:rPr>
                <w:rFonts w:ascii="Verdana" w:eastAsia="Times New Roman" w:hAnsi="Verdana" w:cs="Arial"/>
                <w:i/>
                <w:iCs/>
                <w:lang w:eastAsia="es-CO"/>
              </w:rPr>
              <w:t>convenios</w:t>
            </w:r>
            <w:r>
              <w:rPr>
                <w:rFonts w:ascii="Verdana" w:eastAsia="Times New Roman" w:hAnsi="Verdana" w:cs="Arial"/>
                <w:lang w:eastAsia="es-CO"/>
              </w:rPr>
              <w:t xml:space="preserve"> durante la aplicación de la Ley de </w:t>
            </w:r>
            <w:r>
              <w:rPr>
                <w:rFonts w:ascii="Verdana" w:eastAsia="Times New Roman" w:hAnsi="Verdana" w:cs="Arial"/>
                <w:lang w:eastAsia="es-CO"/>
              </w:rPr>
              <w:lastRenderedPageBreak/>
              <w:t>Garantías Electorales, toda vez que la citada disposición hace referencia a dicha tipología contractual sin que el legislador hubiere contemplado un efecto extensivo a otra tipología.</w:t>
            </w:r>
          </w:p>
          <w:p w14:paraId="43D06186" w14:textId="77777777" w:rsidR="009B4037" w:rsidRDefault="009B4037" w:rsidP="00F55330">
            <w:pPr>
              <w:spacing w:before="120" w:after="120" w:line="276" w:lineRule="auto"/>
              <w:ind w:firstLine="709"/>
              <w:jc w:val="both"/>
              <w:rPr>
                <w:rFonts w:ascii="Verdana" w:eastAsia="Arial" w:hAnsi="Verdana" w:cs="Arial"/>
                <w:lang w:val="es-ES"/>
              </w:rPr>
            </w:pPr>
            <w:r>
              <w:rPr>
                <w:rFonts w:ascii="Verdana" w:eastAsia="Arial" w:hAnsi="Verdana" w:cs="Arial"/>
                <w:lang w:val="es-ES"/>
              </w:rPr>
              <w:t xml:space="preserve">En complemento con lo anterior, es necesario tener en cuenta que, los </w:t>
            </w:r>
            <w:r>
              <w:rPr>
                <w:rFonts w:ascii="Verdana" w:eastAsia="Arial" w:hAnsi="Verdana" w:cs="Arial"/>
                <w:i/>
                <w:iCs/>
                <w:lang w:val="es-ES"/>
              </w:rPr>
              <w:t>convenios interadministrativos</w:t>
            </w:r>
            <w:r>
              <w:rPr>
                <w:rFonts w:ascii="Verdana" w:eastAsia="Arial" w:hAnsi="Verdana" w:cs="Arial"/>
                <w:lang w:val="es-ES"/>
              </w:rPr>
              <w:t xml:space="preserve"> se definen por la </w:t>
            </w:r>
            <w:r>
              <w:rPr>
                <w:rFonts w:ascii="Verdana" w:eastAsia="Arial" w:hAnsi="Verdana" w:cs="Arial"/>
                <w:u w:val="single"/>
                <w:lang w:val="es-ES"/>
              </w:rPr>
              <w:t>naturaleza de las partes</w:t>
            </w:r>
            <w:r>
              <w:rPr>
                <w:rFonts w:ascii="Verdana" w:eastAsia="Arial" w:hAnsi="Verdana" w:cs="Arial"/>
                <w:lang w:val="es-ES"/>
              </w:rPr>
              <w:t xml:space="preserve">, de manera que están determinados por un criterio orgánico, en el sentido de que lo serán aquellos celebrados entre </w:t>
            </w:r>
            <w:r>
              <w:rPr>
                <w:rFonts w:ascii="Verdana" w:eastAsia="Arial" w:hAnsi="Verdana" w:cs="Arial"/>
                <w:i/>
                <w:iCs/>
                <w:lang w:val="es-ES"/>
              </w:rPr>
              <w:t>entidades de derecho público</w:t>
            </w:r>
            <w:r>
              <w:rPr>
                <w:rFonts w:ascii="Verdana" w:eastAsia="Arial" w:hAnsi="Verdana" w:cs="Arial"/>
                <w:lang w:val="es-ES"/>
              </w:rPr>
              <w:t xml:space="preserve">. En este contexto, cuando </w:t>
            </w:r>
            <w:r>
              <w:rPr>
                <w:rFonts w:ascii="Verdana" w:eastAsia="Calibri" w:hAnsi="Verdana" w:cs="Arial"/>
                <w:bCs/>
                <w:color w:val="000000" w:themeColor="text1"/>
                <w:lang w:val="es-ES_tradnl"/>
              </w:rPr>
              <w:t xml:space="preserve">gobernadores, alcaldes, secretarios, gerentes y directores de Entidades Estatales del orden municipal, departamental o distrital </w:t>
            </w:r>
            <w:r>
              <w:rPr>
                <w:rFonts w:ascii="Verdana" w:eastAsia="Arial" w:hAnsi="Verdana" w:cs="Arial"/>
                <w:lang w:val="es-ES"/>
              </w:rPr>
              <w:t xml:space="preserve">celebren convenios </w:t>
            </w:r>
            <w:r>
              <w:rPr>
                <w:rFonts w:ascii="Verdana" w:eastAsia="Times New Roman" w:hAnsi="Verdana" w:cs="Arial"/>
                <w:lang w:eastAsia="es-ES_tradnl"/>
              </w:rPr>
              <w:t xml:space="preserve">con </w:t>
            </w:r>
            <w:r>
              <w:rPr>
                <w:rFonts w:ascii="Verdana" w:eastAsia="Times New Roman" w:hAnsi="Verdana" w:cs="Arial"/>
                <w:bCs/>
                <w:color w:val="000000" w:themeColor="text1"/>
                <w:lang w:eastAsia="es-CO"/>
              </w:rPr>
              <w:t>cabildos indígenas, autoridades tradicionales indígenas y las asociaciones de cabildos indígenas y/o autoridades tradicionales indígenas</w:t>
            </w:r>
            <w:r>
              <w:rPr>
                <w:rFonts w:ascii="Verdana" w:eastAsia="Times New Roman" w:hAnsi="Verdana" w:cs="Arial"/>
                <w:lang w:eastAsia="es-ES_tradnl"/>
              </w:rPr>
              <w:t xml:space="preserve">, se entenderán que son interadministrativos al catalogarlos la ley como entidades públicas. En estos casos </w:t>
            </w:r>
            <w:r>
              <w:rPr>
                <w:rFonts w:ascii="Verdana" w:eastAsia="Arial" w:hAnsi="Verdana" w:cs="Arial"/>
                <w:lang w:val="es-ES"/>
              </w:rPr>
              <w:t>aplicará la restricción del artículo 38 de la Ley 996 de 2005.</w:t>
            </w:r>
          </w:p>
          <w:p w14:paraId="2C3A1CAF" w14:textId="77777777" w:rsidR="009B4037" w:rsidRDefault="009B4037" w:rsidP="00F55330">
            <w:pPr>
              <w:spacing w:before="120" w:after="120" w:line="276" w:lineRule="auto"/>
              <w:ind w:firstLine="709"/>
              <w:jc w:val="both"/>
              <w:rPr>
                <w:rFonts w:ascii="Verdana" w:eastAsia="Arial" w:hAnsi="Verdana" w:cs="Arial"/>
                <w:lang w:val="es-ES"/>
              </w:rPr>
            </w:pPr>
            <w:r>
              <w:rPr>
                <w:rFonts w:ascii="Verdana" w:eastAsia="Times New Roman" w:hAnsi="Verdana" w:cs="Arial"/>
                <w:lang w:eastAsia="es-CO"/>
              </w:rPr>
              <w:t xml:space="preserve">No obstante, a la luz de lo analizado por el Consejo de Estado en la sentencia expedida por la Sección Tercera de la Sala de lo Contencioso Administrativo del 17 de octubre de 2025,  los autos del 4 de octubre de 2024 y 6 de noviembre de 2025, en los cuales se declaró la nulidad parcial, se decretó la medida </w:t>
            </w:r>
            <w:r>
              <w:rPr>
                <w:rFonts w:ascii="Verdana" w:eastAsia="Arial" w:hAnsi="Verdana" w:cs="Arial"/>
                <w:lang w:eastAsia="es-ES" w:bidi="es-ES"/>
              </w:rPr>
              <w:t xml:space="preserve">de suspensión provisional parcial del </w:t>
            </w:r>
            <w:r>
              <w:rPr>
                <w:rFonts w:ascii="Verdana" w:hAnsi="Verdana" w:cs="Arial"/>
              </w:rPr>
              <w:t xml:space="preserve">numeral 16.2 de la Circular Externa Única de 2022 expedida por la Agencia Nacional de Contratación Pública -Colombia Compra Eficiente-, y </w:t>
            </w:r>
            <w:r>
              <w:rPr>
                <w:rFonts w:ascii="Verdana" w:eastAsia="Arial" w:hAnsi="Verdana" w:cs="Arial"/>
                <w:lang w:eastAsia="es-ES" w:bidi="es-ES"/>
              </w:rPr>
              <w:t>de los apartes cuestionados del inciso segundo y del inciso cuarto del numeral 16.2 de la Circular Externa Única, versión 3 del 27 de diciembre de 2023,</w:t>
            </w:r>
            <w:r>
              <w:rPr>
                <w:rFonts w:ascii="Verdana" w:eastAsia="Times New Roman" w:hAnsi="Verdana" w:cs="Arial"/>
                <w:lang w:eastAsia="es-CO"/>
              </w:rPr>
              <w:t xml:space="preserve"> no resultaría aplicable la prohibición del parágrafo del artículo 38 de la Ley de Garantías Electorales a los </w:t>
            </w:r>
            <w:r>
              <w:rPr>
                <w:rFonts w:ascii="Verdana" w:eastAsia="Times New Roman" w:hAnsi="Verdana" w:cs="Arial"/>
                <w:i/>
                <w:lang w:eastAsia="es-CO"/>
              </w:rPr>
              <w:t>contratos interadministrativos</w:t>
            </w:r>
            <w:r>
              <w:rPr>
                <w:rFonts w:ascii="Verdana" w:eastAsia="Times New Roman" w:hAnsi="Verdana" w:cs="Arial"/>
                <w:lang w:eastAsia="es-CO"/>
              </w:rPr>
              <w:t>.</w:t>
            </w:r>
          </w:p>
          <w:p w14:paraId="4C6B3898" w14:textId="77777777" w:rsidR="009B4037" w:rsidRDefault="009B4037" w:rsidP="00F55330">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De lo expuesto, conforme a lo señalado por el Consejo de Estado, cuando dos entidades públicas celebren un </w:t>
            </w:r>
            <w:r>
              <w:rPr>
                <w:rFonts w:ascii="Verdana" w:eastAsia="Times New Roman" w:hAnsi="Verdana" w:cs="Arial"/>
                <w:i/>
                <w:iCs/>
                <w:lang w:eastAsia="es-CO"/>
              </w:rPr>
              <w:t>contrato interadministrativo,</w:t>
            </w:r>
            <w:r>
              <w:rPr>
                <w:rFonts w:ascii="Verdana" w:eastAsia="Times New Roman" w:hAnsi="Verdana" w:cs="Arial"/>
                <w:lang w:eastAsia="es-CO"/>
              </w:rPr>
              <w:t xml:space="preserve"> independientemente del objeto, dicho contrato puede suscribirse durante el periodo preelectoral. Sin embargo, es importante mencionar que aún se encuentra por definir la demanda </w:t>
            </w:r>
            <w:r>
              <w:rPr>
                <w:rFonts w:ascii="Verdana" w:eastAsia="Calibri" w:hAnsi="Verdana" w:cs="Arial"/>
                <w:lang w:val="es-ES" w:eastAsia="es-ES"/>
              </w:rPr>
              <w:t xml:space="preserve">de nulidad simple, identificada con el Radicado número 11001-03-26-000-2025-00016-00, en la cual se cuestiona </w:t>
            </w:r>
            <w:r>
              <w:rPr>
                <w:rFonts w:ascii="Verdana" w:eastAsia="Calibri" w:hAnsi="Verdana" w:cs="Arial"/>
                <w:lang w:eastAsia="es-ES"/>
              </w:rPr>
              <w:t>parcialmente el numeral 16.2 de la Circular Externa Única CCE-EICP-MA-06, Versión 03 del 27 de diciembre de 2023.</w:t>
            </w:r>
            <w:r>
              <w:rPr>
                <w:rFonts w:ascii="Verdana" w:eastAsia="Calibri" w:hAnsi="Verdana" w:cs="Arial"/>
                <w:lang w:val="es-ES" w:eastAsia="es-ES"/>
              </w:rPr>
              <w:t xml:space="preserve"> </w:t>
            </w:r>
          </w:p>
          <w:p w14:paraId="486702F3" w14:textId="77777777" w:rsidR="009B4037" w:rsidRPr="006C2D59" w:rsidRDefault="009B4037" w:rsidP="00F55330">
            <w:pPr>
              <w:spacing w:after="120" w:line="276" w:lineRule="auto"/>
              <w:ind w:firstLine="708"/>
              <w:jc w:val="both"/>
              <w:rPr>
                <w:rFonts w:ascii="Verdana" w:eastAsia="Arial" w:hAnsi="Verdana" w:cs="Arial"/>
                <w:color w:val="000000" w:themeColor="text1"/>
              </w:rPr>
            </w:pPr>
            <w:r>
              <w:rPr>
                <w:rFonts w:ascii="Verdana" w:eastAsia="Arial" w:hAnsi="Verdana" w:cs="Arial"/>
                <w:bCs/>
                <w:color w:val="000000" w:themeColor="text1"/>
              </w:rPr>
              <w:lastRenderedPageBreak/>
              <w:t xml:space="preserve">En todo caso, vale anotar que es responsabilidad del respectivo ente del Estado examinar </w:t>
            </w:r>
            <w:r>
              <w:rPr>
                <w:rFonts w:ascii="Verdana" w:eastAsia="Arial" w:hAnsi="Verdana" w:cs="Arial"/>
                <w:color w:val="000000" w:themeColor="text1"/>
              </w:rPr>
              <w:t>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2E0DC638" w14:textId="77777777" w:rsidR="009B4037" w:rsidRPr="00C55BDE" w:rsidRDefault="009B4037" w:rsidP="009B403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17A2BA8" w14:textId="77777777" w:rsidR="009B4037" w:rsidRPr="00C55BDE" w:rsidRDefault="009B4037" w:rsidP="009B403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55BDE">
        <w:rPr>
          <w:rFonts w:ascii="Verdana" w:eastAsia="Century Gothic" w:hAnsi="Verdana" w:cs="Century Gothic"/>
          <w:b/>
          <w:bCs/>
          <w:color w:val="000000" w:themeColor="text1"/>
        </w:rPr>
        <w:t>Razones de la respuesta:</w:t>
      </w:r>
    </w:p>
    <w:p w14:paraId="26E9B9A7" w14:textId="77777777" w:rsidR="009B4037" w:rsidRPr="00C55BDE" w:rsidRDefault="009B4037" w:rsidP="009B4037">
      <w:pPr>
        <w:spacing w:after="0" w:line="276" w:lineRule="auto"/>
        <w:jc w:val="both"/>
        <w:rPr>
          <w:rFonts w:ascii="Verdana" w:eastAsia="Calibri" w:hAnsi="Verdana" w:cs="Arial"/>
          <w:color w:val="000000" w:themeColor="text1"/>
          <w:lang w:val="es-ES"/>
        </w:rPr>
      </w:pPr>
    </w:p>
    <w:p w14:paraId="6F840B8A" w14:textId="77777777" w:rsidR="009B4037" w:rsidRPr="00C55BDE" w:rsidRDefault="009B4037" w:rsidP="009B4037">
      <w:pPr>
        <w:spacing w:after="120" w:line="276" w:lineRule="auto"/>
        <w:jc w:val="both"/>
        <w:rPr>
          <w:rFonts w:ascii="Verdana" w:eastAsia="Calibri" w:hAnsi="Verdana" w:cs="Arial"/>
          <w:color w:val="000000" w:themeColor="text1"/>
          <w:lang w:val="es-ES"/>
        </w:rPr>
      </w:pPr>
      <w:r w:rsidRPr="00C55BDE">
        <w:rPr>
          <w:rFonts w:ascii="Verdana" w:eastAsia="Calibri" w:hAnsi="Verdana" w:cs="Arial"/>
          <w:color w:val="000000" w:themeColor="text1"/>
          <w:lang w:val="es-ES"/>
        </w:rPr>
        <w:t xml:space="preserve">Lo anterior se sustenta en las siguientes consideraciones: </w:t>
      </w:r>
    </w:p>
    <w:p w14:paraId="37BB9F19" w14:textId="77777777" w:rsidR="009B4037" w:rsidRPr="00C55BDE" w:rsidRDefault="009B4037" w:rsidP="009B4037">
      <w:pPr>
        <w:spacing w:after="120" w:line="276" w:lineRule="auto"/>
        <w:jc w:val="both"/>
        <w:rPr>
          <w:rFonts w:ascii="Verdana" w:eastAsia="Calibri" w:hAnsi="Verdana" w:cs="Arial"/>
          <w:color w:val="000000" w:themeColor="text1"/>
          <w:lang w:val="es-ES"/>
        </w:rPr>
      </w:pPr>
      <w:r>
        <w:rPr>
          <w:rFonts w:ascii="Verdana" w:eastAsia="Calibri" w:hAnsi="Verdana" w:cs="Arial"/>
          <w:lang w:val="es-ES"/>
        </w:rPr>
        <w:t xml:space="preserve">i. </w:t>
      </w:r>
      <w:r w:rsidRPr="00C55BDE">
        <w:rPr>
          <w:rFonts w:ascii="Verdana" w:eastAsia="Calibri" w:hAnsi="Verdana" w:cs="Arial"/>
          <w:lang w:val="es-ES"/>
        </w:rPr>
        <w:t>El artículo 329 de la Constitución Política de 1991 dispuso que la conformación de las entidades territoriales indígenas se realizaría conforme a lo dispuesto en la Ley de Ordenamiento Territorial – LOT. En ese sentido, la norma previamente mencionada dispuso que la conformación de las entidades territoriales indígenas se realizaría de acuerdo con lo indicado en la Ley de Ordenamiento Territorial. No obstante, mientras esa ley era expedida por el Congreso de la República, la Constitución contempló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p>
    <w:p w14:paraId="33D36690" w14:textId="77777777" w:rsidR="009B4037" w:rsidRPr="00C55BDE" w:rsidRDefault="009B4037" w:rsidP="009B4037">
      <w:pPr>
        <w:spacing w:after="120" w:line="276" w:lineRule="auto"/>
        <w:ind w:firstLine="680"/>
        <w:jc w:val="both"/>
        <w:rPr>
          <w:rFonts w:ascii="Verdana" w:eastAsia="Calibri" w:hAnsi="Verdana" w:cs="Arial"/>
          <w:lang w:val="es-ES"/>
        </w:rPr>
      </w:pPr>
      <w:r w:rsidRPr="00C55BDE">
        <w:rPr>
          <w:rFonts w:ascii="Verdana" w:eastAsia="Calibri" w:hAnsi="Verdana" w:cs="Arial"/>
          <w:lang w:val="es-ES"/>
        </w:rPr>
        <w:t>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w:t>
      </w:r>
      <w:r w:rsidRPr="00C55BDE">
        <w:rPr>
          <w:rStyle w:val="Refdenotaalpie"/>
          <w:rFonts w:ascii="Verdana" w:eastAsia="Calibri" w:hAnsi="Verdana" w:cs="Arial"/>
          <w:lang w:val="es-ES"/>
        </w:rPr>
        <w:footnoteReference w:id="1"/>
      </w:r>
      <w:r w:rsidRPr="00C55BDE">
        <w:rPr>
          <w:rFonts w:ascii="Verdana" w:eastAsia="Calibri" w:hAnsi="Verdana" w:cs="Arial"/>
          <w:lang w:val="es-ES"/>
        </w:rPr>
        <w:t xml:space="preserve">. Con base en esto, los cabildos y las asociaciones de autoridades tradicionales indígenas pueden asociarse en representación de sus territorios, y esas asociaciones tienen la naturaleza de ser entidades de derecho público de </w:t>
      </w:r>
      <w:r w:rsidRPr="00C55BDE">
        <w:rPr>
          <w:rFonts w:ascii="Verdana" w:eastAsia="Calibri" w:hAnsi="Verdana" w:cs="Arial"/>
          <w:lang w:val="es-ES"/>
        </w:rPr>
        <w:lastRenderedPageBreak/>
        <w:t>carácter especial, que gozan de personería jurídica y tienen capacidad para adquirir obligaciones.</w:t>
      </w:r>
    </w:p>
    <w:p w14:paraId="50126C0B" w14:textId="77777777" w:rsidR="009B4037" w:rsidRPr="00C55BDE" w:rsidRDefault="009B4037" w:rsidP="009B4037">
      <w:pPr>
        <w:spacing w:after="120" w:line="276" w:lineRule="auto"/>
        <w:ind w:firstLine="680"/>
        <w:jc w:val="both"/>
        <w:rPr>
          <w:rFonts w:ascii="Verdana" w:eastAsia="Calibri" w:hAnsi="Verdana" w:cs="Arial"/>
          <w:lang w:val="es-ES"/>
        </w:rPr>
      </w:pPr>
      <w:r w:rsidRPr="00C55BDE">
        <w:rPr>
          <w:rFonts w:ascii="Verdana" w:eastAsia="Calibri" w:hAnsi="Verdana" w:cs="Arial"/>
          <w:lang w:val="es-ES"/>
        </w:rPr>
        <w:t>De otra parte,</w:t>
      </w:r>
      <w:r>
        <w:rPr>
          <w:rFonts w:ascii="Verdana" w:eastAsia="Calibri" w:hAnsi="Verdana" w:cs="Arial"/>
          <w:lang w:val="es-ES"/>
        </w:rPr>
        <w:t xml:space="preserve"> el</w:t>
      </w:r>
      <w:r w:rsidRPr="00C55BDE">
        <w:rPr>
          <w:rFonts w:ascii="Verdana" w:eastAsia="Calibri" w:hAnsi="Verdana" w:cs="Arial"/>
          <w:lang w:val="es-ES"/>
        </w:rPr>
        <w:t xml:space="preserve">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inalienables, imprescriptibles e inembargables”</w:t>
      </w:r>
      <w:r w:rsidRPr="00C55BDE">
        <w:rPr>
          <w:rStyle w:val="Refdenotaalpie"/>
          <w:rFonts w:ascii="Verdana" w:eastAsia="Calibri" w:hAnsi="Verdana" w:cs="Arial"/>
          <w:lang w:val="es-ES"/>
        </w:rPr>
        <w:footnoteReference w:id="2"/>
      </w:r>
      <w:r w:rsidRPr="00C55BDE">
        <w:rPr>
          <w:rFonts w:ascii="Verdana" w:eastAsia="Calibri" w:hAnsi="Verdana" w:cs="Arial"/>
          <w:lang w:val="es-ES"/>
        </w:rPr>
        <w:t xml:space="preserve">. De estos artículos se colige como los resguardos indígenas son una forma de propiedad colectiva a la que la Constitución le endilga unos atributos que la sustraen de actos traslaticios o de comercio, al igual que con los bienes de uso público.  </w:t>
      </w:r>
    </w:p>
    <w:p w14:paraId="6DC7B1A4" w14:textId="77777777" w:rsidR="009B4037" w:rsidRPr="00C55BDE" w:rsidRDefault="009B4037" w:rsidP="009B4037">
      <w:pPr>
        <w:spacing w:before="120" w:line="276" w:lineRule="auto"/>
        <w:ind w:firstLine="680"/>
        <w:jc w:val="both"/>
        <w:rPr>
          <w:rFonts w:ascii="Verdana" w:eastAsia="Calibri" w:hAnsi="Verdana" w:cs="Arial"/>
          <w:lang w:val="es-ES"/>
        </w:rPr>
      </w:pPr>
      <w:r w:rsidRPr="00C55BDE">
        <w:rPr>
          <w:rFonts w:ascii="Verdana" w:eastAsia="Calibri" w:hAnsi="Verdana" w:cs="Arial"/>
          <w:lang w:val="es-ES"/>
        </w:rPr>
        <w:t xml:space="preserve">De acuerdo con esto, la Ley 160 de 1994 </w:t>
      </w:r>
      <w:r w:rsidRPr="00C55BDE">
        <w:rPr>
          <w:rFonts w:ascii="Verdana" w:hAnsi="Verdana"/>
        </w:rPr>
        <w:t>“</w:t>
      </w:r>
      <w:r w:rsidRPr="00C55BDE">
        <w:rPr>
          <w:rFonts w:ascii="Verdana" w:eastAsia="Calibri" w:hAnsi="Verdana" w:cs="Arial"/>
          <w:lang w:val="es-ES"/>
        </w:rPr>
        <w:t>por la cual se crea el Sistema Nacional de Reforma Agraria y Desarrollo Rural Campesino, se establece un subsidio para la adquisición de tierras, se reforma el Instituto Colombiano de la Reforma Agraria y se dictan otras disposiciones”, concibe la constitución, ampliación, saneamiento y reestructuración de resguardos como formas para satisfacer las necesidades de tierras de las comunidades indígenas, tal como se colige de los artículos 12-18</w:t>
      </w:r>
      <w:r w:rsidRPr="00C55BDE">
        <w:rPr>
          <w:rStyle w:val="Refdenotaalpie"/>
          <w:rFonts w:ascii="Verdana" w:eastAsia="Calibri" w:hAnsi="Verdana" w:cs="Arial"/>
          <w:lang w:val="es-ES"/>
        </w:rPr>
        <w:footnoteReference w:id="3"/>
      </w:r>
      <w:r w:rsidRPr="00C55BDE">
        <w:rPr>
          <w:rFonts w:ascii="Verdana" w:eastAsia="Calibri" w:hAnsi="Verdana" w:cs="Arial"/>
          <w:lang w:val="es-ES"/>
        </w:rPr>
        <w:t xml:space="preserve"> y 85 de dicha Ley</w:t>
      </w:r>
      <w:r w:rsidRPr="00C55BDE">
        <w:rPr>
          <w:rStyle w:val="Refdenotaalpie"/>
          <w:rFonts w:ascii="Verdana" w:eastAsia="Calibri" w:hAnsi="Verdana" w:cs="Arial"/>
          <w:lang w:val="es-ES"/>
        </w:rPr>
        <w:footnoteReference w:id="4"/>
      </w:r>
      <w:r w:rsidRPr="00C55BDE">
        <w:rPr>
          <w:rFonts w:ascii="Verdana" w:eastAsia="Calibri" w:hAnsi="Verdana" w:cs="Arial"/>
          <w:lang w:val="es-ES"/>
        </w:rPr>
        <w:t xml:space="preserve">. De hecho, esta última norma hace parte del Capítulo XIV de la Ley 160 de 1994, específicamente referido a resguardos indígenas, el cual sería reglamentado por el Decreto 2164 de 1995, norma compilada por el Decreto 1071 de 2015, “Por medio del cual se expide el Decreto Único Reglamentario del Sector Administrativo Agropecuario, Pesquero </w:t>
      </w:r>
      <w:r w:rsidRPr="00C55BDE">
        <w:rPr>
          <w:rFonts w:ascii="Verdana" w:eastAsia="Calibri" w:hAnsi="Verdana" w:cs="Arial"/>
          <w:lang w:val="es-ES"/>
        </w:rPr>
        <w:lastRenderedPageBreak/>
        <w:t>y de Desarrollo Rural”, y contiene las definiciones de resguardo, cabildo y autoridad indígena:</w:t>
      </w:r>
    </w:p>
    <w:p w14:paraId="20F6E401" w14:textId="77777777" w:rsidR="009B4037" w:rsidRPr="00C55BDE" w:rsidRDefault="009B4037" w:rsidP="009B4037">
      <w:pPr>
        <w:spacing w:after="0" w:line="240" w:lineRule="auto"/>
        <w:ind w:left="709" w:right="709"/>
        <w:jc w:val="both"/>
        <w:rPr>
          <w:rFonts w:ascii="Verdana" w:eastAsia="Calibri" w:hAnsi="Verdana" w:cs="Arial"/>
          <w:sz w:val="20"/>
          <w:szCs w:val="20"/>
          <w:lang w:val="es-ES"/>
        </w:rPr>
      </w:pPr>
      <w:r w:rsidRPr="00C55BDE">
        <w:rPr>
          <w:rFonts w:ascii="Verdana" w:hAnsi="Verdana"/>
          <w:color w:val="242424"/>
          <w:sz w:val="20"/>
          <w:szCs w:val="20"/>
          <w:shd w:val="clear" w:color="auto" w:fill="FFFFFF"/>
        </w:rPr>
        <w:t xml:space="preserve">“[…] </w:t>
      </w:r>
      <w:r w:rsidRPr="00C55BDE">
        <w:rPr>
          <w:rFonts w:ascii="Verdana" w:eastAsia="Calibri" w:hAnsi="Verdana" w:cs="Arial"/>
          <w:sz w:val="20"/>
          <w:szCs w:val="20"/>
          <w:lang w:val="es-ES"/>
        </w:rPr>
        <w:t xml:space="preserve">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 </w:t>
      </w:r>
    </w:p>
    <w:p w14:paraId="3A95C4EB" w14:textId="77777777" w:rsidR="009B4037" w:rsidRPr="00C55BDE" w:rsidRDefault="009B4037" w:rsidP="009B4037">
      <w:pPr>
        <w:spacing w:after="0" w:line="240" w:lineRule="auto"/>
        <w:ind w:left="709" w:right="709"/>
        <w:jc w:val="both"/>
        <w:rPr>
          <w:rFonts w:ascii="Verdana" w:eastAsia="Calibri" w:hAnsi="Verdana" w:cs="Arial"/>
          <w:sz w:val="20"/>
          <w:szCs w:val="20"/>
          <w:lang w:val="es-ES"/>
        </w:rPr>
      </w:pPr>
    </w:p>
    <w:p w14:paraId="1EB03AF3" w14:textId="77777777" w:rsidR="009B4037" w:rsidRPr="00C55BDE" w:rsidRDefault="009B4037" w:rsidP="009B4037">
      <w:pPr>
        <w:spacing w:after="0" w:line="240" w:lineRule="auto"/>
        <w:ind w:left="709"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69D22C01" w14:textId="77777777" w:rsidR="009B4037" w:rsidRPr="00C55BDE" w:rsidRDefault="009B4037" w:rsidP="009B4037">
      <w:pPr>
        <w:spacing w:after="0" w:line="240" w:lineRule="auto"/>
        <w:ind w:left="709" w:right="709"/>
        <w:jc w:val="both"/>
        <w:rPr>
          <w:rFonts w:ascii="Verdana" w:eastAsia="Calibri" w:hAnsi="Verdana" w:cs="Arial"/>
          <w:sz w:val="20"/>
          <w:szCs w:val="20"/>
          <w:lang w:val="es-ES"/>
        </w:rPr>
      </w:pPr>
    </w:p>
    <w:p w14:paraId="3EEF1740" w14:textId="77777777" w:rsidR="009B4037" w:rsidRPr="00C55BDE" w:rsidRDefault="009B4037" w:rsidP="009B4037">
      <w:pPr>
        <w:spacing w:after="0" w:line="240" w:lineRule="auto"/>
        <w:ind w:left="709" w:right="709"/>
        <w:jc w:val="both"/>
        <w:rPr>
          <w:rFonts w:ascii="Verdana" w:eastAsia="Calibri" w:hAnsi="Verdana" w:cs="Arial"/>
          <w:sz w:val="20"/>
          <w:szCs w:val="20"/>
          <w:lang w:val="es-ES"/>
        </w:rPr>
      </w:pPr>
      <w:r w:rsidRPr="00C55BDE">
        <w:rPr>
          <w:rFonts w:ascii="Verdana" w:eastAsia="Calibri" w:hAnsi="Verdana" w:cs="Arial"/>
          <w:sz w:val="20"/>
          <w:szCs w:val="20"/>
          <w:lang w:val="es-ES"/>
        </w:rPr>
        <w:t>Parágrafo. Los integrantes de la comunidad indígena del resguardo no podrán enajenar a cualquier título, arrendar por cuenta propia o hipotecar los terrenos que constituyen el resguardo. (Decreto número 2164 de 1995, artículo 21) (Cursiva fuera de texto).</w:t>
      </w:r>
    </w:p>
    <w:p w14:paraId="755BD9DF" w14:textId="77777777" w:rsidR="009B4037" w:rsidRPr="00C55BDE" w:rsidRDefault="009B4037" w:rsidP="009B4037">
      <w:pPr>
        <w:spacing w:after="0" w:line="240" w:lineRule="auto"/>
        <w:ind w:left="709" w:right="709"/>
        <w:jc w:val="both"/>
        <w:rPr>
          <w:rFonts w:ascii="Verdana" w:eastAsia="Calibri" w:hAnsi="Verdana" w:cs="Arial"/>
          <w:sz w:val="20"/>
          <w:szCs w:val="20"/>
          <w:lang w:val="es-ES"/>
        </w:rPr>
      </w:pPr>
    </w:p>
    <w:p w14:paraId="5FC2483B" w14:textId="77777777" w:rsidR="009B4037" w:rsidRDefault="009B4037" w:rsidP="009B4037">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r w:rsidRPr="00C55BDE">
        <w:rPr>
          <w:rFonts w:ascii="Verdana" w:hAnsi="Verdana"/>
          <w:color w:val="242424"/>
          <w:sz w:val="20"/>
          <w:szCs w:val="20"/>
          <w:shd w:val="clear" w:color="auto" w:fill="FFFFFF"/>
        </w:rPr>
        <w:t xml:space="preserve"> […]”</w:t>
      </w:r>
    </w:p>
    <w:p w14:paraId="3B59E1F7" w14:textId="77777777" w:rsidR="009B4037" w:rsidRPr="00A575FE" w:rsidRDefault="009B4037" w:rsidP="009B4037">
      <w:pPr>
        <w:spacing w:after="0" w:line="240" w:lineRule="auto"/>
        <w:ind w:left="708" w:right="709"/>
        <w:jc w:val="both"/>
        <w:rPr>
          <w:rFonts w:ascii="Verdana" w:eastAsia="Calibri" w:hAnsi="Verdana" w:cs="Arial"/>
          <w:sz w:val="20"/>
          <w:szCs w:val="20"/>
          <w:lang w:val="es-ES"/>
        </w:rPr>
      </w:pPr>
    </w:p>
    <w:p w14:paraId="023E951B" w14:textId="77777777" w:rsidR="009B4037" w:rsidRPr="00C55BDE" w:rsidRDefault="009B4037" w:rsidP="009B4037">
      <w:pPr>
        <w:spacing w:line="276" w:lineRule="auto"/>
        <w:jc w:val="both"/>
        <w:rPr>
          <w:rFonts w:ascii="Verdana" w:eastAsia="Calibri" w:hAnsi="Verdana" w:cs="Arial"/>
          <w:lang w:val="es-ES"/>
        </w:rPr>
      </w:pPr>
      <w:proofErr w:type="spellStart"/>
      <w:r>
        <w:rPr>
          <w:rFonts w:ascii="Verdana" w:eastAsia="Calibri" w:hAnsi="Verdana" w:cs="Arial"/>
          <w:lang w:val="es-ES"/>
        </w:rPr>
        <w:t>ii</w:t>
      </w:r>
      <w:proofErr w:type="spellEnd"/>
      <w:r>
        <w:rPr>
          <w:rFonts w:ascii="Verdana" w:eastAsia="Calibri" w:hAnsi="Verdana" w:cs="Arial"/>
          <w:lang w:val="es-ES"/>
        </w:rPr>
        <w:t xml:space="preserve">. </w:t>
      </w:r>
      <w:r w:rsidRPr="00C55BDE">
        <w:rPr>
          <w:rFonts w:ascii="Verdana" w:eastAsia="Calibri" w:hAnsi="Verdana" w:cs="Arial"/>
          <w:lang w:val="es-ES"/>
        </w:rPr>
        <w:t xml:space="preserve">Ahora bien, en octubre de 1993 se expidió la Ley 80, “Por la cual se expide el Estatuto General de Contratación de la Administración Pública”. El artículo 2 define las entidades estatales a las cuales le aplican sus disposiciones, e incluye a los territorios indígenas: </w:t>
      </w:r>
    </w:p>
    <w:p w14:paraId="35EACE27" w14:textId="77777777" w:rsidR="009B4037" w:rsidRPr="00C55BDE" w:rsidRDefault="009B4037" w:rsidP="009B4037">
      <w:pPr>
        <w:spacing w:after="0" w:line="240" w:lineRule="auto"/>
        <w:ind w:left="708" w:right="709"/>
        <w:jc w:val="both"/>
        <w:rPr>
          <w:rFonts w:ascii="Verdana" w:eastAsia="Calibri" w:hAnsi="Verdana" w:cs="Arial"/>
          <w:sz w:val="20"/>
          <w:szCs w:val="20"/>
          <w:lang w:val="es-ES"/>
        </w:rPr>
      </w:pPr>
      <w:r w:rsidRPr="00C55BDE">
        <w:rPr>
          <w:rFonts w:ascii="Verdana" w:hAnsi="Verdana"/>
          <w:color w:val="242424"/>
          <w:sz w:val="20"/>
          <w:szCs w:val="20"/>
          <w:shd w:val="clear" w:color="auto" w:fill="FFFFFF"/>
        </w:rPr>
        <w:t xml:space="preserve">[…] </w:t>
      </w:r>
      <w:r w:rsidRPr="00C55BDE">
        <w:rPr>
          <w:rFonts w:ascii="Verdana" w:eastAsia="Calibri" w:hAnsi="Verdana" w:cs="Arial"/>
          <w:sz w:val="20"/>
          <w:szCs w:val="20"/>
          <w:lang w:val="es-ES"/>
        </w:rPr>
        <w:t xml:space="preserve">Artículo 2o. De la definición de entidades, servidores y servicios públicos. Para los solos efectos de esta ley: </w:t>
      </w:r>
    </w:p>
    <w:p w14:paraId="0BF3817E" w14:textId="77777777" w:rsidR="009B4037" w:rsidRPr="00C55BDE" w:rsidRDefault="009B4037" w:rsidP="009B4037">
      <w:pPr>
        <w:spacing w:after="0" w:line="240" w:lineRule="auto"/>
        <w:ind w:left="708" w:right="709"/>
        <w:jc w:val="both"/>
        <w:rPr>
          <w:rFonts w:ascii="Verdana" w:eastAsia="Calibri" w:hAnsi="Verdana" w:cs="Arial"/>
          <w:sz w:val="20"/>
          <w:szCs w:val="20"/>
          <w:lang w:val="es-ES"/>
        </w:rPr>
      </w:pPr>
    </w:p>
    <w:p w14:paraId="17BB88A8" w14:textId="77777777" w:rsidR="009B4037" w:rsidRPr="00C55BDE" w:rsidRDefault="009B4037" w:rsidP="009B4037">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1o. Se denominan entidades estatales: </w:t>
      </w:r>
    </w:p>
    <w:p w14:paraId="10764C42" w14:textId="77777777" w:rsidR="009B4037" w:rsidRPr="00C55BDE" w:rsidRDefault="009B4037" w:rsidP="009B4037">
      <w:pPr>
        <w:spacing w:after="0" w:line="240" w:lineRule="auto"/>
        <w:ind w:left="708" w:right="709"/>
        <w:jc w:val="both"/>
        <w:rPr>
          <w:rFonts w:ascii="Verdana" w:eastAsia="Calibri" w:hAnsi="Verdana" w:cs="Arial"/>
          <w:sz w:val="20"/>
          <w:szCs w:val="20"/>
          <w:lang w:val="es-ES"/>
        </w:rPr>
      </w:pPr>
    </w:p>
    <w:p w14:paraId="25582E6F" w14:textId="77777777" w:rsidR="009B4037" w:rsidRPr="00C55BDE" w:rsidRDefault="009B4037" w:rsidP="009B4037">
      <w:pPr>
        <w:spacing w:after="0" w:line="240" w:lineRule="auto"/>
        <w:ind w:left="708" w:right="709"/>
        <w:jc w:val="both"/>
        <w:rPr>
          <w:rFonts w:ascii="Verdana" w:eastAsia="Calibri" w:hAnsi="Verdana" w:cs="Arial"/>
          <w:sz w:val="20"/>
          <w:szCs w:val="20"/>
          <w:lang w:val="es-ES"/>
        </w:rPr>
      </w:pPr>
      <w:r w:rsidRPr="00C55BDE">
        <w:rPr>
          <w:rFonts w:ascii="Verdana" w:eastAsia="Calibri" w:hAnsi="Verdana" w:cs="Arial"/>
          <w:sz w:val="20"/>
          <w:szCs w:val="20"/>
          <w:lang w:val="es-ES"/>
        </w:rPr>
        <w:t xml:space="preserve">a) La Nación, las regiones, los departamentos, las provincias, el distrito capital y los distritos especiales, las áreas metropolitanas, las asociaciones de municipios, </w:t>
      </w:r>
      <w:r w:rsidRPr="00C55BDE">
        <w:rPr>
          <w:rFonts w:ascii="Verdana" w:eastAsia="Calibri" w:hAnsi="Verdana" w:cs="Arial"/>
          <w:i/>
          <w:sz w:val="20"/>
          <w:szCs w:val="20"/>
          <w:lang w:val="es-ES"/>
        </w:rPr>
        <w:t>los territorios indígenas</w:t>
      </w:r>
      <w:r w:rsidRPr="00C55BDE">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w:t>
      </w:r>
      <w:r w:rsidRPr="00C55BDE">
        <w:rPr>
          <w:rFonts w:ascii="Verdana" w:eastAsia="Calibri" w:hAnsi="Verdana" w:cs="Arial"/>
          <w:sz w:val="20"/>
          <w:szCs w:val="20"/>
          <w:lang w:val="es-ES"/>
        </w:rPr>
        <w:lastRenderedPageBreak/>
        <w:t>las que exista dicha participación pública mayoritaria, cualquiera sea la denominación que ellas adopten, en todos los órdenes y niveles [...] (énfasis fuera de texto).</w:t>
      </w:r>
    </w:p>
    <w:p w14:paraId="42FA237A" w14:textId="77777777" w:rsidR="009B4037" w:rsidRPr="00C55BDE" w:rsidRDefault="009B4037" w:rsidP="009B4037">
      <w:pPr>
        <w:spacing w:after="0" w:line="240" w:lineRule="auto"/>
        <w:textAlignment w:val="baseline"/>
        <w:rPr>
          <w:rFonts w:ascii="Verdana" w:eastAsia="Times New Roman" w:hAnsi="Verdana" w:cs="Segoe UI"/>
          <w:b/>
          <w:bCs/>
          <w:color w:val="46589C"/>
          <w:lang w:val="es-ES" w:eastAsia="es-CO"/>
        </w:rPr>
      </w:pPr>
    </w:p>
    <w:p w14:paraId="112FE048" w14:textId="77777777" w:rsidR="009B4037" w:rsidRPr="00C55BDE" w:rsidRDefault="009B4037" w:rsidP="009B4037">
      <w:pPr>
        <w:spacing w:after="120" w:line="276" w:lineRule="auto"/>
        <w:ind w:firstLine="708"/>
        <w:jc w:val="both"/>
        <w:rPr>
          <w:rFonts w:ascii="Verdana" w:eastAsia="Calibri" w:hAnsi="Verdana" w:cs="Arial"/>
          <w:lang w:val="es-ES"/>
        </w:rPr>
      </w:pPr>
      <w:r w:rsidRPr="00C55BDE">
        <w:rPr>
          <w:rFonts w:ascii="Verdana" w:eastAsia="Calibri" w:hAnsi="Verdana" w:cs="Arial"/>
          <w:lang w:val="es-ES"/>
        </w:rPr>
        <w:t xml:space="preserve">De acuerdo con la Ley 80 de 1993, los territorios indígenas eran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p>
    <w:p w14:paraId="74BBDF47" w14:textId="77777777" w:rsidR="009B4037" w:rsidRPr="00C55BDE" w:rsidRDefault="009B4037" w:rsidP="009B4037">
      <w:pPr>
        <w:spacing w:before="120" w:line="276" w:lineRule="auto"/>
        <w:ind w:firstLine="680"/>
        <w:jc w:val="both"/>
        <w:rPr>
          <w:rFonts w:ascii="Verdana" w:eastAsia="Calibri" w:hAnsi="Verdana" w:cs="Arial"/>
          <w:lang w:val="es-ES"/>
        </w:rPr>
      </w:pPr>
      <w:r w:rsidRPr="00C55BDE">
        <w:rPr>
          <w:rFonts w:ascii="Verdana" w:eastAsia="Calibri" w:hAnsi="Verdana" w:cs="Arial"/>
          <w:lang w:val="es-ES"/>
        </w:rPr>
        <w:t xml:space="preserve">En este contexto, posteriormente, se expediría la Ley 1454 de 2011, “Por la cual se dictan normas orgánicas sobre ordenamiento territorial y se modifican otras disposiciones”, que reguló asuntos relacionados con el ordenamiento territorial. Sin embargo, esta ley no constituyó a los territorios indígenas, como lo demuestra el parágrafo 2° del artículo 37, al disponer que el Gobierno debía presentar al Congreso un proyecto de ley que regulara la materia. </w:t>
      </w:r>
    </w:p>
    <w:p w14:paraId="66719EAD" w14:textId="77777777" w:rsidR="009B4037" w:rsidRPr="00C55BDE" w:rsidRDefault="009B4037" w:rsidP="009B4037">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Otra disposición de relevancia es el artículo 356 superior, el cual </w:t>
      </w:r>
      <w:r>
        <w:rPr>
          <w:rFonts w:ascii="Verdana" w:eastAsia="Calibri" w:hAnsi="Verdana" w:cs="Arial"/>
          <w:lang w:val="es-ES"/>
        </w:rPr>
        <w:t>se refiere a</w:t>
      </w:r>
      <w:r w:rsidRPr="00C55BDE">
        <w:rPr>
          <w:rFonts w:ascii="Verdana" w:eastAsia="Calibri" w:hAnsi="Verdana" w:cs="Arial"/>
          <w:lang w:val="es-ES"/>
        </w:rPr>
        <w:t xml:space="preserve"> la distribución de los recursos del Sistema General de Participaciones–SGP, </w:t>
      </w:r>
      <w:r>
        <w:rPr>
          <w:rFonts w:ascii="Verdana" w:eastAsia="Calibri" w:hAnsi="Verdana" w:cs="Arial"/>
          <w:lang w:val="es-ES"/>
        </w:rPr>
        <w:t xml:space="preserve">que establece </w:t>
      </w:r>
      <w:r w:rsidRPr="00C55BDE">
        <w:rPr>
          <w:rFonts w:ascii="Verdana" w:eastAsia="Calibri" w:hAnsi="Verdana" w:cs="Arial"/>
          <w:lang w:val="es-ES"/>
        </w:rPr>
        <w:t xml:space="preserve">que “[…] serán beneficiarias las entidades territoriales indígenas, una vez constituidas. Así mismo, la ley establecerá como beneficiarios a los resguardos indígenas, siempre y cuando estos no se hayan constituido en entidad territorial indígena”. A efectos de materializar esta distribución, –y ante la </w:t>
      </w:r>
      <w:proofErr w:type="spellStart"/>
      <w:r w:rsidRPr="00C55BDE">
        <w:rPr>
          <w:rFonts w:ascii="Verdana" w:eastAsia="Calibri" w:hAnsi="Verdana" w:cs="Arial"/>
          <w:lang w:val="es-ES"/>
        </w:rPr>
        <w:t>omisión</w:t>
      </w:r>
      <w:proofErr w:type="spellEnd"/>
      <w:r w:rsidRPr="00C55BDE">
        <w:rPr>
          <w:rFonts w:ascii="Verdana" w:eastAsia="Calibri" w:hAnsi="Verdana" w:cs="Arial"/>
          <w:lang w:val="es-ES"/>
        </w:rPr>
        <w:t xml:space="preserve"> legislativa identificada por la Corte Constitucional en la sentencia C-489 del 2012–, con sustento en el mencionado artículo 56 transitorio  se expidió el Decreto 1953 de 2014, “Por el cual se crea un régimen especial con el fin de poner en funcionamiento los territorios indígenas respecto de la administración de los sistemas propios de los pueblos indígenas hasta que el Congreso expida la ley de qué trata el artículo 329 de la Constitución Política”. </w:t>
      </w:r>
    </w:p>
    <w:p w14:paraId="2FE144AA" w14:textId="77777777" w:rsidR="009B4037" w:rsidRPr="00C55BDE" w:rsidRDefault="009B4037" w:rsidP="009B4037">
      <w:pPr>
        <w:spacing w:line="276" w:lineRule="auto"/>
        <w:ind w:firstLine="708"/>
        <w:jc w:val="both"/>
        <w:rPr>
          <w:rFonts w:ascii="Verdana" w:eastAsia="Calibri" w:hAnsi="Verdana" w:cs="Arial"/>
          <w:lang w:val="es-ES"/>
        </w:rPr>
      </w:pPr>
      <w:r w:rsidRPr="00C55BDE">
        <w:rPr>
          <w:rFonts w:ascii="Verdana" w:eastAsia="Calibri" w:hAnsi="Verdana" w:cs="Arial"/>
          <w:lang w:val="es-ES"/>
        </w:rPr>
        <w:t xml:space="preserve">Los aspectos más relevantes de esta norma son los relacionados con el funcionamiento de los territorios indígenas. Al respecto, dispone que los </w:t>
      </w:r>
      <w:r w:rsidRPr="00C55BDE">
        <w:rPr>
          <w:rFonts w:ascii="Verdana" w:eastAsia="Calibri" w:hAnsi="Verdana" w:cs="Arial"/>
          <w:lang w:val="es-ES"/>
        </w:rPr>
        <w:lastRenderedPageBreak/>
        <w:t>resguardos indígenas que se ubiquen en ciertos supuestos</w:t>
      </w:r>
      <w:r w:rsidRPr="00C55BDE">
        <w:rPr>
          <w:rStyle w:val="Refdenotaalpie"/>
          <w:rFonts w:ascii="Verdana" w:eastAsia="Calibri" w:hAnsi="Verdana" w:cs="Arial"/>
          <w:lang w:val="es-ES"/>
        </w:rPr>
        <w:footnoteReference w:id="5"/>
      </w:r>
      <w:r w:rsidRPr="00C55BDE">
        <w:rPr>
          <w:rFonts w:ascii="Verdana" w:eastAsia="Calibri" w:hAnsi="Verdana" w:cs="Arial"/>
          <w:lang w:val="es-ES"/>
        </w:rPr>
        <w:t>,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w:t>
      </w:r>
      <w:r w:rsidRPr="00C55BDE">
        <w:rPr>
          <w:rStyle w:val="Refdenotaalpie"/>
          <w:rFonts w:ascii="Verdana" w:eastAsia="Calibri" w:hAnsi="Verdana" w:cs="Arial"/>
          <w:lang w:val="es-ES"/>
        </w:rPr>
        <w:footnoteReference w:id="6"/>
      </w:r>
      <w:r w:rsidRPr="00C55BDE">
        <w:rPr>
          <w:rFonts w:ascii="Verdana" w:eastAsia="Calibri" w:hAnsi="Verdana" w:cs="Arial"/>
          <w:lang w:val="es-ES"/>
        </w:rPr>
        <w:t xml:space="preserve">  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70140439" w14:textId="77777777" w:rsidR="009B4037" w:rsidRPr="00C55BDE" w:rsidRDefault="009B4037" w:rsidP="009B4037">
      <w:pPr>
        <w:spacing w:after="120" w:line="276" w:lineRule="auto"/>
        <w:ind w:firstLine="708"/>
        <w:jc w:val="both"/>
        <w:rPr>
          <w:rFonts w:ascii="Verdana" w:eastAsia="Calibri" w:hAnsi="Verdana" w:cs="Arial"/>
          <w:lang w:val="es-ES"/>
        </w:rPr>
      </w:pPr>
      <w:r w:rsidRPr="00C55BDE">
        <w:rPr>
          <w:rFonts w:ascii="Verdana" w:eastAsia="Calibri" w:hAnsi="Verdana" w:cs="Arial"/>
          <w:lang w:val="es-ES"/>
        </w:rPr>
        <w:t>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Pr="00C55BDE">
        <w:rPr>
          <w:rStyle w:val="Refdenotaalpie"/>
          <w:rFonts w:ascii="Verdana" w:eastAsia="Calibri" w:hAnsi="Verdana" w:cs="Arial"/>
          <w:lang w:val="es-ES"/>
        </w:rPr>
        <w:footnoteReference w:id="7"/>
      </w:r>
      <w:r w:rsidRPr="00C55BDE">
        <w:rPr>
          <w:rFonts w:ascii="Verdana" w:eastAsia="Calibri" w:hAnsi="Verdana" w:cs="Arial"/>
          <w:lang w:val="es-ES"/>
        </w:rPr>
        <w:t xml:space="preserve">. </w:t>
      </w:r>
    </w:p>
    <w:p w14:paraId="4AF2F013" w14:textId="77777777" w:rsidR="009B4037" w:rsidRPr="00C55BDE" w:rsidRDefault="009B4037" w:rsidP="009B4037">
      <w:pPr>
        <w:spacing w:after="120" w:line="276" w:lineRule="auto"/>
        <w:ind w:firstLine="709"/>
        <w:jc w:val="both"/>
        <w:rPr>
          <w:rFonts w:ascii="Verdana" w:eastAsia="Calibri" w:hAnsi="Verdana" w:cs="Arial"/>
          <w:lang w:val="es-ES"/>
        </w:rPr>
      </w:pPr>
      <w:r w:rsidRPr="00C55BDE">
        <w:rPr>
          <w:rFonts w:ascii="Verdana" w:eastAsia="Calibri" w:hAnsi="Verdana" w:cs="Arial"/>
          <w:lang w:val="es-ES"/>
        </w:rPr>
        <w:t xml:space="preserve">Conforme a lo anterior, el Decreto 1953 de 2014 permite que resguardos podrán asociarse para administrar y ejecutar los recursos de la asignación </w:t>
      </w:r>
      <w:r w:rsidRPr="00C55BDE">
        <w:rPr>
          <w:rFonts w:ascii="Verdana" w:eastAsia="Calibri" w:hAnsi="Verdana" w:cs="Arial"/>
          <w:lang w:val="es-ES"/>
        </w:rPr>
        <w:lastRenderedPageBreak/>
        <w:t xml:space="preserve">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de acuerdo con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64F0DBFF" w14:textId="77777777" w:rsidR="009B4037" w:rsidRPr="00C55BDE" w:rsidRDefault="009B4037" w:rsidP="009B4037">
      <w:pPr>
        <w:spacing w:after="120" w:line="276" w:lineRule="auto"/>
        <w:jc w:val="both"/>
        <w:rPr>
          <w:rFonts w:ascii="Verdana" w:eastAsia="Calibri" w:hAnsi="Verdana" w:cs="Arial"/>
          <w:lang w:val="es-ES"/>
        </w:rPr>
      </w:pPr>
      <w:r w:rsidRPr="00C55BDE">
        <w:rPr>
          <w:rFonts w:ascii="Verdana" w:eastAsia="Calibri" w:hAnsi="Verdana" w:cs="Arial"/>
          <w:lang w:val="es-ES"/>
        </w:rPr>
        <w:t>  </w:t>
      </w:r>
      <w:r w:rsidRPr="00C55BDE">
        <w:rPr>
          <w:rFonts w:ascii="Verdana" w:eastAsia="Calibri" w:hAnsi="Verdana" w:cs="Arial"/>
          <w:lang w:val="es-ES"/>
        </w:rPr>
        <w:tab/>
        <w:t xml:space="preserve"> Las normas hasta aquí analizadas, por un lado, conciben a los resguardos indígenas como una instituciones legales y sociopolíticas de carácter especial, que pueden estar conformadas por una o más comunidades indígenas, que 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resguardos indígenas no tienen el carácter de Entidades Estatales en el marco del Estatuto General de Contratación de la Administración Pública, ni tampoco tienen capacidad para contratar a luz del artículo 6 de la Ley 80 de 1993.</w:t>
      </w:r>
    </w:p>
    <w:p w14:paraId="0734B057" w14:textId="77777777" w:rsidR="009B4037" w:rsidRPr="00C55BDE" w:rsidRDefault="009B4037" w:rsidP="009B4037">
      <w:pPr>
        <w:spacing w:after="120" w:line="276" w:lineRule="auto"/>
        <w:jc w:val="both"/>
        <w:rPr>
          <w:rFonts w:ascii="Verdana" w:eastAsia="Calibri" w:hAnsi="Verdana" w:cs="Arial"/>
          <w:lang w:val="es-ES"/>
        </w:rPr>
      </w:pPr>
      <w:r w:rsidRPr="00C55BDE">
        <w:rPr>
          <w:rFonts w:ascii="Verdana" w:eastAsia="Calibri" w:hAnsi="Verdana" w:cs="Arial"/>
          <w:lang w:val="es-ES"/>
        </w:rPr>
        <w:tab/>
        <w:t xml:space="preserve">No obstante, el régimen para la transitoria puesta en marcha de los territorios indígenas establecido por el Decreto autónomo 1953 de 2014, a efectos de garantizar la distribución de los recursos de asignación especial del Sistema General de Participaciones que corresponden a los pueblos indígenas, 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Entidades Estatales de acuerdo con el artículo 2 de la Ley 80 de 1993. No </w:t>
      </w:r>
      <w:r w:rsidRPr="00C55BDE">
        <w:rPr>
          <w:rFonts w:ascii="Verdana" w:eastAsia="Calibri" w:hAnsi="Verdana" w:cs="Arial"/>
          <w:lang w:val="es-ES"/>
        </w:rPr>
        <w:lastRenderedPageBreak/>
        <w:t xml:space="preserve">obstante, la capacidad jurídica que deriva de este artículo está limitada a lo relacionado con el ejercicio de las funciones públicas y la ejecución de recursos de los que trata el decreto.   </w:t>
      </w:r>
    </w:p>
    <w:p w14:paraId="0B5D9FE6" w14:textId="77777777" w:rsidR="009B4037" w:rsidRPr="00C55BDE" w:rsidRDefault="009B4037" w:rsidP="009B4037">
      <w:pPr>
        <w:spacing w:after="120" w:line="276" w:lineRule="auto"/>
        <w:jc w:val="both"/>
        <w:rPr>
          <w:rFonts w:ascii="Verdana" w:eastAsia="Calibri" w:hAnsi="Verdana" w:cs="Arial"/>
          <w:lang w:val="es-ES"/>
        </w:rPr>
      </w:pPr>
      <w:r w:rsidRPr="00C55BDE">
        <w:rPr>
          <w:rFonts w:ascii="Verdana" w:eastAsia="Calibri" w:hAnsi="Verdana" w:cs="Arial"/>
          <w:lang w:val="es-ES"/>
        </w:rPr>
        <w:tab/>
        <w:t>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decreto</w:t>
      </w:r>
      <w:r w:rsidRPr="00C55BDE">
        <w:rPr>
          <w:rStyle w:val="Refdenotaalpie"/>
          <w:rFonts w:ascii="Verdana" w:eastAsia="Calibri" w:hAnsi="Verdana" w:cs="Arial"/>
          <w:lang w:val="es-ES"/>
        </w:rPr>
        <w:footnoteReference w:id="8"/>
      </w:r>
      <w:r w:rsidRPr="00C55BDE">
        <w:rPr>
          <w:rFonts w:ascii="Verdana" w:eastAsia="Calibri" w:hAnsi="Verdana" w:cs="Arial"/>
          <w:lang w:val="es-ES"/>
        </w:rPr>
        <w:t xml:space="preserve">, prevalentemente relacionadas con la ejecución y administración de recursos del Sistema General de Participaciones, por lo que no estarían facultados para ejecutar negocios jurídicos no relacionados con tales atribuciones. </w:t>
      </w:r>
    </w:p>
    <w:p w14:paraId="21CBE710" w14:textId="77777777" w:rsidR="009B4037" w:rsidRPr="00C55BDE" w:rsidRDefault="009B4037" w:rsidP="009B4037">
      <w:pPr>
        <w:spacing w:before="120" w:after="120" w:line="276" w:lineRule="auto"/>
        <w:ind w:firstLine="709"/>
        <w:jc w:val="both"/>
        <w:rPr>
          <w:rFonts w:ascii="Verdana" w:hAnsi="Verdana" w:cs="Arial"/>
        </w:rPr>
      </w:pPr>
      <w:r w:rsidRPr="00C55BDE">
        <w:rPr>
          <w:rFonts w:ascii="Verdana" w:hAnsi="Verdana" w:cs="Arial"/>
          <w:lang w:val="es-ES"/>
        </w:rPr>
        <w:t>Sumado a los anterior, debe indicarse que los recursos de la Asignación Especial del Sistema General de Participaciones para los Resguardos Indígenas -AESGPRI- corresponden a los recursos del Sistema General de Participaciones que les son transferidos a los resguardos indígenas de conformidad con lo dispuesto por el artículo 356 de la Constitución Política y por los artículos 2º y 83 de la Ley 715 de 2001, para la financiación de proyectos de inversión debidamente formulados, e incluidos en los planes de vida o de acuerdo con los usos y costumbres de los pueblos indígenas.</w:t>
      </w:r>
    </w:p>
    <w:p w14:paraId="266C269B" w14:textId="77777777" w:rsidR="009B4037" w:rsidRPr="00C55BDE" w:rsidRDefault="009B4037" w:rsidP="009B4037">
      <w:pPr>
        <w:spacing w:before="120" w:after="120" w:line="276" w:lineRule="auto"/>
        <w:ind w:firstLine="709"/>
        <w:jc w:val="both"/>
        <w:rPr>
          <w:rFonts w:ascii="Verdana" w:hAnsi="Verdana" w:cs="Arial"/>
          <w:lang w:val="es-ES"/>
        </w:rPr>
      </w:pPr>
      <w:r w:rsidRPr="00C55BDE">
        <w:rPr>
          <w:rFonts w:ascii="Verdana" w:hAnsi="Verdana" w:cs="Arial"/>
          <w:lang w:val="es-ES"/>
        </w:rPr>
        <w:t xml:space="preserve">Bajo este contexto, en el parágrafo 2º del artículo 2º de la Ley 715 de 2001 se establece la Asignación Especial del Sistema General de Participaciones para los Resguardos Indígenas -AESGPRI- y en el artículo 83 se determinan los </w:t>
      </w:r>
      <w:r w:rsidRPr="00C55BDE">
        <w:rPr>
          <w:rFonts w:ascii="Verdana" w:hAnsi="Verdana" w:cs="Arial"/>
          <w:lang w:val="es-ES"/>
        </w:rPr>
        <w:lastRenderedPageBreak/>
        <w:t xml:space="preserve">criterios para la distribución y la administración de los recursos. Con base en lo anterior, se entiende que </w:t>
      </w:r>
      <w:r w:rsidRPr="00C55BDE">
        <w:rPr>
          <w:rFonts w:ascii="Verdana" w:hAnsi="Verdana" w:cs="Arial"/>
          <w:i/>
          <w:iCs/>
          <w:lang w:val="es-ES"/>
        </w:rPr>
        <w:t xml:space="preserve">los recursos de la AESGPRI son públicos </w:t>
      </w:r>
      <w:r w:rsidRPr="00C55BDE">
        <w:rPr>
          <w:rFonts w:ascii="Verdana" w:hAnsi="Verdana" w:cs="Arial"/>
          <w:lang w:val="es-ES"/>
        </w:rPr>
        <w:t>y tienen como propósito beneficiar a la población indígena que habita en los resguardos.</w:t>
      </w:r>
      <w:r w:rsidRPr="005D2ED3">
        <w:rPr>
          <w:rFonts w:ascii="Verdana" w:hAnsi="Verdana" w:cs="Arial"/>
          <w:lang w:val="es-ES"/>
        </w:rPr>
        <w:t xml:space="preserve"> </w:t>
      </w:r>
    </w:p>
    <w:p w14:paraId="1E11E153" w14:textId="77777777" w:rsidR="009B4037" w:rsidRPr="00C55BDE" w:rsidRDefault="009B4037" w:rsidP="009B4037">
      <w:pPr>
        <w:spacing w:before="120" w:after="120" w:line="276" w:lineRule="auto"/>
        <w:ind w:firstLine="709"/>
        <w:jc w:val="both"/>
        <w:rPr>
          <w:rFonts w:ascii="Verdana" w:hAnsi="Verdana"/>
        </w:rPr>
      </w:pPr>
      <w:r w:rsidRPr="00C55BDE">
        <w:rPr>
          <w:rFonts w:ascii="Verdana" w:hAnsi="Verdana"/>
        </w:rPr>
        <w:t xml:space="preserve">Ahora bien, tratándose de recursos -AESGPRI- debe tenerse de presente que el artículo 83 de la Ley 715 de 2001 dispone que estos serán girados a cada uno de los municipios en proporción a la población indígena que comprenda y que para su ejecución deberá celebrarse un contrato entre la entidad territorial y las autoridades del resguardo, </w:t>
      </w:r>
      <w:r w:rsidRPr="00C55BDE">
        <w:rPr>
          <w:rFonts w:ascii="Verdana" w:hAnsi="Verdana"/>
          <w:i/>
          <w:iCs/>
        </w:rPr>
        <w:t>antes del 31 de diciembre de cada año</w:t>
      </w:r>
      <w:r w:rsidRPr="00C55BDE">
        <w:rPr>
          <w:rFonts w:ascii="Verdana" w:hAnsi="Verdana"/>
        </w:rPr>
        <w:t>, en la que se determine el uso de los recursos en el año siguiente. Copia de dicho contrato se enviará antes del 20 de enero al Ministerio del Interior.</w:t>
      </w:r>
    </w:p>
    <w:p w14:paraId="2EFDFEE7" w14:textId="77777777" w:rsidR="009B4037" w:rsidRPr="00C55BDE" w:rsidRDefault="009B4037" w:rsidP="009B4037">
      <w:pPr>
        <w:spacing w:before="120" w:after="120" w:line="276" w:lineRule="auto"/>
        <w:jc w:val="both"/>
        <w:rPr>
          <w:rFonts w:ascii="Verdana" w:hAnsi="Verdana"/>
        </w:rPr>
      </w:pPr>
      <w:proofErr w:type="spellStart"/>
      <w:r>
        <w:rPr>
          <w:rFonts w:ascii="Verdana" w:hAnsi="Verdana" w:cs="Arial"/>
          <w:lang w:val="es-ES"/>
        </w:rPr>
        <w:t>iii</w:t>
      </w:r>
      <w:proofErr w:type="spellEnd"/>
      <w:r>
        <w:rPr>
          <w:rFonts w:ascii="Verdana" w:hAnsi="Verdana" w:cs="Arial"/>
          <w:lang w:val="es-ES"/>
        </w:rPr>
        <w:t xml:space="preserve">. </w:t>
      </w:r>
      <w:r w:rsidRPr="00C55BDE">
        <w:rPr>
          <w:rFonts w:ascii="Verdana" w:hAnsi="Verdana" w:cs="Arial"/>
          <w:lang w:val="es-ES"/>
        </w:rPr>
        <w:t>Frente a las restricciones de Ley de Garantías debe tener en cuenta que el ordenamiento jurídico colombiano contempla medidas para evitar la obtención de beneficios personales en asuntos propios de la administración pública</w:t>
      </w:r>
      <w:r w:rsidRPr="00C55BDE">
        <w:rPr>
          <w:rFonts w:ascii="Verdana" w:hAnsi="Verdana" w:cs="Arial"/>
          <w:i/>
          <w:lang w:val="es-ES"/>
        </w:rPr>
        <w:t xml:space="preserve">. </w:t>
      </w:r>
      <w:r w:rsidRPr="00C55BDE">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C55BDE">
        <w:rPr>
          <w:rFonts w:ascii="Verdana" w:hAnsi="Verdana"/>
          <w:vertAlign w:val="superscript"/>
          <w:lang w:val="es-ES"/>
        </w:rPr>
        <w:footnoteReference w:id="9"/>
      </w:r>
      <w:r w:rsidRPr="00C55BDE">
        <w:rPr>
          <w:rFonts w:ascii="Verdana" w:hAnsi="Verdana" w:cs="Arial"/>
          <w:lang w:val="es-ES"/>
        </w:rPr>
        <w:t>.</w:t>
      </w:r>
    </w:p>
    <w:p w14:paraId="61289DE9" w14:textId="77777777" w:rsidR="009B4037" w:rsidRPr="00C55BDE" w:rsidRDefault="009B4037" w:rsidP="009B4037">
      <w:pPr>
        <w:tabs>
          <w:tab w:val="left" w:pos="426"/>
        </w:tabs>
        <w:spacing w:after="120" w:line="276" w:lineRule="auto"/>
        <w:ind w:firstLine="709"/>
        <w:jc w:val="both"/>
        <w:rPr>
          <w:rFonts w:ascii="Verdana" w:hAnsi="Verdana" w:cs="Arial"/>
          <w:lang w:val="es-ES"/>
        </w:rPr>
      </w:pPr>
      <w:r w:rsidRPr="00C55BDE">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55BDE">
        <w:rPr>
          <w:rFonts w:ascii="Verdana" w:eastAsia="Times New Roman" w:hAnsi="Verdana" w:cs="Arial"/>
          <w:vertAlign w:val="superscript"/>
          <w:lang w:val="es-ES" w:eastAsia="es-CO"/>
        </w:rPr>
        <w:footnoteReference w:id="10"/>
      </w:r>
      <w:r w:rsidRPr="00C55BDE">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lang w:val="es-ES"/>
        </w:rPr>
        <w:t xml:space="preserve"> </w:t>
      </w:r>
    </w:p>
    <w:p w14:paraId="6E3EE41C" w14:textId="77777777" w:rsidR="009B4037" w:rsidRPr="00C55BDE" w:rsidRDefault="009B4037" w:rsidP="009B4037">
      <w:pPr>
        <w:tabs>
          <w:tab w:val="left" w:pos="426"/>
        </w:tabs>
        <w:spacing w:after="0" w:line="276" w:lineRule="auto"/>
        <w:ind w:firstLine="709"/>
        <w:jc w:val="both"/>
        <w:rPr>
          <w:rFonts w:ascii="Verdana" w:hAnsi="Verdana" w:cs="Arial"/>
          <w:lang w:val="es-ES"/>
        </w:rPr>
      </w:pPr>
      <w:r w:rsidRPr="00C55BDE">
        <w:rPr>
          <w:rFonts w:ascii="Verdana" w:eastAsia="Times New Roman" w:hAnsi="Verdana" w:cs="Arial"/>
          <w:lang w:val="es-ES" w:eastAsia="es-CO"/>
        </w:rPr>
        <w:lastRenderedPageBreak/>
        <w:t>En armonía con lo anterior, la Corte Constitucional ha abordado la definición de la Ley de Garantías Electorales. De esta manera, explica que tiene como propósito:</w:t>
      </w:r>
    </w:p>
    <w:p w14:paraId="7DC1F8A9" w14:textId="77777777" w:rsidR="009B4037" w:rsidRPr="00C55BDE" w:rsidRDefault="009B4037" w:rsidP="009B4037">
      <w:pPr>
        <w:spacing w:after="0" w:line="276" w:lineRule="auto"/>
        <w:ind w:right="709"/>
        <w:jc w:val="both"/>
        <w:rPr>
          <w:rFonts w:ascii="Verdana" w:eastAsia="Times New Roman" w:hAnsi="Verdana" w:cs="Arial"/>
          <w:lang w:val="es-ES" w:eastAsia="es-CO"/>
        </w:rPr>
      </w:pPr>
    </w:p>
    <w:p w14:paraId="156D5A37" w14:textId="77777777" w:rsidR="009B4037" w:rsidRPr="00C55BDE" w:rsidRDefault="009B4037" w:rsidP="009B4037">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1F2ABC56" w14:textId="77777777" w:rsidR="009B4037" w:rsidRPr="00C55BDE" w:rsidRDefault="009B4037" w:rsidP="009B4037">
      <w:pPr>
        <w:spacing w:after="0" w:line="240" w:lineRule="auto"/>
        <w:ind w:left="709" w:right="709"/>
        <w:contextualSpacing/>
        <w:jc w:val="both"/>
        <w:rPr>
          <w:rFonts w:ascii="Verdana" w:eastAsia="Times New Roman" w:hAnsi="Verdana" w:cs="Arial"/>
          <w:sz w:val="20"/>
          <w:szCs w:val="20"/>
          <w:lang w:val="es-ES" w:eastAsia="es-CO"/>
        </w:rPr>
      </w:pPr>
    </w:p>
    <w:p w14:paraId="4587E63D" w14:textId="77777777" w:rsidR="009B4037" w:rsidRPr="00C55BDE" w:rsidRDefault="009B4037" w:rsidP="009B4037">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 </w:t>
      </w:r>
    </w:p>
    <w:p w14:paraId="09989871" w14:textId="77777777" w:rsidR="009B4037" w:rsidRPr="00C55BDE" w:rsidRDefault="009B4037" w:rsidP="009B4037">
      <w:pPr>
        <w:spacing w:after="0" w:line="240" w:lineRule="auto"/>
        <w:ind w:left="709" w:right="709"/>
        <w:contextualSpacing/>
        <w:jc w:val="both"/>
        <w:rPr>
          <w:rFonts w:ascii="Verdana" w:eastAsia="Times New Roman" w:hAnsi="Verdana" w:cs="Arial"/>
          <w:sz w:val="20"/>
          <w:szCs w:val="20"/>
          <w:lang w:val="es-ES" w:eastAsia="es-CO"/>
        </w:rPr>
      </w:pPr>
    </w:p>
    <w:p w14:paraId="3E1CD834" w14:textId="77777777" w:rsidR="009B4037" w:rsidRPr="00C55BDE" w:rsidRDefault="009B4037" w:rsidP="009B4037">
      <w:pPr>
        <w:spacing w:after="0" w:line="240" w:lineRule="auto"/>
        <w:ind w:left="709" w:right="709"/>
        <w:contextualSpacing/>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55BDE">
        <w:rPr>
          <w:rFonts w:ascii="Verdana" w:hAnsi="Verdana" w:cs="Arial"/>
          <w:sz w:val="20"/>
          <w:szCs w:val="20"/>
          <w:vertAlign w:val="superscript"/>
          <w:lang w:val="es-ES"/>
        </w:rPr>
        <w:footnoteReference w:id="11"/>
      </w:r>
    </w:p>
    <w:p w14:paraId="739F22B9" w14:textId="77777777" w:rsidR="009B4037" w:rsidRPr="00C55BDE" w:rsidRDefault="009B4037" w:rsidP="009B4037">
      <w:pPr>
        <w:spacing w:after="0" w:line="276" w:lineRule="auto"/>
        <w:ind w:left="709" w:right="709"/>
        <w:jc w:val="both"/>
        <w:rPr>
          <w:rFonts w:ascii="Verdana" w:eastAsia="Times New Roman" w:hAnsi="Verdana" w:cs="Arial"/>
          <w:sz w:val="20"/>
          <w:szCs w:val="20"/>
          <w:lang w:val="es-ES" w:eastAsia="es-CO"/>
        </w:rPr>
      </w:pPr>
    </w:p>
    <w:p w14:paraId="3B03F943" w14:textId="77777777" w:rsidR="009B4037" w:rsidRPr="00C55BDE" w:rsidRDefault="009B4037" w:rsidP="009B4037">
      <w:pPr>
        <w:spacing w:after="0" w:line="276" w:lineRule="auto"/>
        <w:ind w:firstLine="709"/>
        <w:jc w:val="both"/>
        <w:rPr>
          <w:rFonts w:ascii="Verdana" w:eastAsia="Times New Roman" w:hAnsi="Verdana" w:cs="Arial"/>
          <w:lang w:val="es-ES" w:eastAsia="es-CO"/>
        </w:rPr>
      </w:pPr>
      <w:r w:rsidRPr="00C55BDE">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227E421A" w14:textId="77777777" w:rsidR="009B4037" w:rsidRPr="00C55BDE" w:rsidRDefault="009B4037" w:rsidP="009B4037">
      <w:pPr>
        <w:spacing w:after="0" w:line="276" w:lineRule="auto"/>
        <w:ind w:firstLine="709"/>
        <w:jc w:val="both"/>
        <w:rPr>
          <w:rFonts w:ascii="Verdana" w:eastAsia="Times New Roman" w:hAnsi="Verdana" w:cs="Arial"/>
          <w:lang w:val="es-ES" w:eastAsia="es-CO"/>
        </w:rPr>
      </w:pPr>
    </w:p>
    <w:p w14:paraId="60BAB337" w14:textId="77777777" w:rsidR="009B4037" w:rsidRPr="00C55BDE" w:rsidRDefault="009B4037" w:rsidP="009B4037">
      <w:pPr>
        <w:spacing w:after="0" w:line="240" w:lineRule="auto"/>
        <w:ind w:left="709" w:right="709"/>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55BDE">
        <w:rPr>
          <w:rFonts w:ascii="Verdana" w:eastAsia="Times New Roman" w:hAnsi="Verdana" w:cs="Arial"/>
          <w:sz w:val="20"/>
          <w:szCs w:val="20"/>
          <w:lang w:val="es-ES" w:eastAsia="es-CO"/>
        </w:rPr>
        <w:t>legis</w:t>
      </w:r>
      <w:proofErr w:type="spellEnd"/>
      <w:r w:rsidRPr="00C55BDE">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57A21AA" w14:textId="77777777" w:rsidR="009B4037" w:rsidRPr="00C55BDE" w:rsidRDefault="009B4037" w:rsidP="009B4037">
      <w:pPr>
        <w:spacing w:after="0" w:line="240" w:lineRule="auto"/>
        <w:ind w:right="709"/>
        <w:jc w:val="both"/>
        <w:rPr>
          <w:rFonts w:ascii="Verdana" w:eastAsia="Times New Roman" w:hAnsi="Verdana" w:cs="Arial"/>
          <w:lang w:val="es-ES" w:eastAsia="es-CO"/>
        </w:rPr>
      </w:pPr>
    </w:p>
    <w:p w14:paraId="696A6B0B" w14:textId="77777777" w:rsidR="009B4037" w:rsidRPr="00C55BDE" w:rsidRDefault="009B4037" w:rsidP="009B4037">
      <w:pPr>
        <w:spacing w:after="0" w:line="240" w:lineRule="auto"/>
        <w:ind w:left="709" w:right="709"/>
        <w:jc w:val="both"/>
        <w:rPr>
          <w:rFonts w:ascii="Verdana" w:eastAsia="Times New Roman" w:hAnsi="Verdana" w:cs="Arial"/>
          <w:sz w:val="20"/>
          <w:szCs w:val="20"/>
          <w:lang w:val="es-ES" w:eastAsia="es-CO"/>
        </w:rPr>
      </w:pPr>
      <w:r w:rsidRPr="00C55BDE">
        <w:rPr>
          <w:rFonts w:ascii="Verdana" w:eastAsia="Times New Roman" w:hAnsi="Verdana" w:cs="Arial"/>
          <w:sz w:val="20"/>
          <w:szCs w:val="20"/>
          <w:lang w:val="es-ES" w:eastAsia="es-CO"/>
        </w:rPr>
        <w:t>La jurisprudencia de la Corte Constitucional</w:t>
      </w:r>
      <w:r w:rsidRPr="00C55BDE">
        <w:rPr>
          <w:rFonts w:ascii="Verdana" w:eastAsia="Times New Roman" w:hAnsi="Verdana" w:cs="Arial"/>
          <w:sz w:val="20"/>
          <w:szCs w:val="20"/>
          <w:vertAlign w:val="superscript"/>
          <w:lang w:val="es-ES" w:eastAsia="es-CO"/>
        </w:rPr>
        <w:footnoteReference w:id="12"/>
      </w:r>
      <w:r w:rsidRPr="00C55BDE">
        <w:rPr>
          <w:rFonts w:ascii="Verdana" w:eastAsia="Times New Roman" w:hAnsi="Verdana" w:cs="Arial"/>
          <w:sz w:val="20"/>
          <w:szCs w:val="20"/>
          <w:lang w:val="es-ES" w:eastAsia="es-CO"/>
        </w:rPr>
        <w:t> y del Consejo de Estado</w:t>
      </w:r>
      <w:r w:rsidRPr="00C55BDE">
        <w:rPr>
          <w:rFonts w:ascii="Verdana" w:eastAsia="Times New Roman" w:hAnsi="Verdana" w:cs="Arial"/>
          <w:sz w:val="20"/>
          <w:szCs w:val="20"/>
          <w:vertAlign w:val="superscript"/>
          <w:lang w:val="es-ES" w:eastAsia="es-CO"/>
        </w:rPr>
        <w:footnoteReference w:id="13"/>
      </w:r>
      <w:r w:rsidRPr="00C55BDE">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55BDE">
        <w:rPr>
          <w:rFonts w:ascii="Verdana" w:eastAsia="Times New Roman" w:hAnsi="Verdana" w:cs="Arial"/>
          <w:sz w:val="20"/>
          <w:szCs w:val="20"/>
          <w:vertAlign w:val="superscript"/>
          <w:lang w:val="es-ES" w:eastAsia="es-CO"/>
        </w:rPr>
        <w:footnoteReference w:id="14"/>
      </w:r>
      <w:r w:rsidRPr="00C55BDE">
        <w:rPr>
          <w:rFonts w:ascii="Verdana" w:eastAsia="Times New Roman" w:hAnsi="Verdana" w:cs="Arial"/>
          <w:sz w:val="20"/>
          <w:szCs w:val="20"/>
          <w:lang w:val="es-ES" w:eastAsia="es-CO"/>
        </w:rPr>
        <w:t>.</w:t>
      </w:r>
    </w:p>
    <w:p w14:paraId="3299819A" w14:textId="77777777" w:rsidR="009B4037" w:rsidRPr="00C55BDE" w:rsidRDefault="009B4037" w:rsidP="009B4037">
      <w:pPr>
        <w:spacing w:after="0" w:line="276" w:lineRule="auto"/>
        <w:jc w:val="both"/>
        <w:rPr>
          <w:rFonts w:ascii="Verdana" w:hAnsi="Verdana" w:cs="Arial"/>
          <w:bCs/>
          <w:lang w:val="es-ES"/>
        </w:rPr>
      </w:pPr>
    </w:p>
    <w:p w14:paraId="460DCD68" w14:textId="77777777" w:rsidR="009B4037" w:rsidRPr="00C55BDE" w:rsidRDefault="009B4037" w:rsidP="009B4037">
      <w:pPr>
        <w:spacing w:after="120" w:line="276" w:lineRule="auto"/>
        <w:ind w:firstLine="709"/>
        <w:jc w:val="both"/>
        <w:rPr>
          <w:rFonts w:ascii="Verdana" w:eastAsia="Arial" w:hAnsi="Verdana" w:cs="Arial"/>
          <w:lang w:val="es-ES" w:eastAsia="es-ES" w:bidi="es-ES"/>
        </w:rPr>
      </w:pPr>
      <w:r w:rsidRPr="00C55BDE">
        <w:rPr>
          <w:rFonts w:ascii="Verdana" w:eastAsia="Times New Roman" w:hAnsi="Verdana" w:cs="Arial"/>
          <w:lang w:val="es-ES" w:eastAsia="es-CO"/>
        </w:rPr>
        <w:t>De</w:t>
      </w:r>
      <w:r w:rsidRPr="00C55BDE">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p>
    <w:p w14:paraId="1A8DEE2B" w14:textId="77777777" w:rsidR="009B4037" w:rsidRPr="00C55BDE" w:rsidRDefault="009B4037" w:rsidP="009B4037">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En ese orden, las restricciones consagradas en la Ley de Garantías Electorales se dirigen a dos (2) tipos de campañas electorales diferenciadas: las presidenciales y las que se adelanten para la elección de los demás cargos de elección popular, tanto a nivel nacional como territorial.</w:t>
      </w:r>
    </w:p>
    <w:p w14:paraId="51F6A3DD" w14:textId="77777777" w:rsidR="009B4037" w:rsidRPr="00C55BDE" w:rsidRDefault="009B4037" w:rsidP="009B4037">
      <w:pPr>
        <w:spacing w:after="120" w:line="276" w:lineRule="auto"/>
        <w:ind w:firstLine="708"/>
        <w:jc w:val="both"/>
        <w:rPr>
          <w:rFonts w:ascii="Verdana" w:hAnsi="Verdana" w:cs="Arial"/>
          <w:lang w:val="es-ES"/>
        </w:rPr>
      </w:pPr>
      <w:r w:rsidRPr="00C55BDE">
        <w:rPr>
          <w:rFonts w:ascii="Verdana" w:hAnsi="Verdana" w:cs="Arial"/>
          <w:lang w:val="es-ES"/>
        </w:rPr>
        <w:t xml:space="preserve">Por un lado, el </w:t>
      </w:r>
      <w:r w:rsidRPr="00C55BDE">
        <w:rPr>
          <w:rFonts w:ascii="Verdana" w:hAnsi="Verdana" w:cs="Arial"/>
          <w:i/>
          <w:iCs/>
          <w:lang w:val="es-ES"/>
        </w:rPr>
        <w:t xml:space="preserve">artículo 33 </w:t>
      </w:r>
      <w:r w:rsidRPr="00C55BDE">
        <w:rPr>
          <w:rFonts w:ascii="Verdana" w:hAnsi="Verdana" w:cs="Arial"/>
          <w:lang w:val="es-ES"/>
        </w:rPr>
        <w:t xml:space="preserve">de la Ley 996 de 2005 prohíbe “[…] la contratación directa por parte de </w:t>
      </w:r>
      <w:r w:rsidRPr="00C55BDE">
        <w:rPr>
          <w:rFonts w:ascii="Verdana" w:hAnsi="Verdana" w:cs="Arial"/>
          <w:i/>
          <w:iCs/>
          <w:lang w:val="es-ES"/>
        </w:rPr>
        <w:t>todos los entes del Estado</w:t>
      </w:r>
      <w:r w:rsidRPr="00C55BDE">
        <w:rPr>
          <w:rFonts w:ascii="Verdana" w:hAnsi="Verdana" w:cs="Arial"/>
          <w:lang w:val="es-ES"/>
        </w:rPr>
        <w:t xml:space="preserve">” durante los cuatro (4) meses anteriores a las </w:t>
      </w:r>
      <w:r w:rsidRPr="00C55BDE">
        <w:rPr>
          <w:rFonts w:ascii="Verdana" w:hAnsi="Verdana" w:cs="Arial"/>
          <w:i/>
          <w:iCs/>
          <w:lang w:val="es-ES"/>
        </w:rPr>
        <w:t>elecciones presidenciales</w:t>
      </w:r>
      <w:r w:rsidRPr="00C55BDE">
        <w:rPr>
          <w:rFonts w:ascii="Verdana" w:hAnsi="Verdana" w:cs="Arial"/>
          <w:lang w:val="es-ES"/>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C55BDE">
        <w:rPr>
          <w:rFonts w:ascii="Verdana" w:hAnsi="Verdana" w:cs="Arial"/>
          <w:lang w:val="es-ES"/>
        </w:rPr>
        <w:lastRenderedPageBreak/>
        <w:t>energética y de comunicaciones, en caso de que hayan sido objeto de atentados, acciones terroristas, desastres naturales o casos de fuerza mayor, y los que deban realizar las entidades sanitarias y hospitalarias”</w:t>
      </w:r>
      <w:r w:rsidRPr="00C55BDE">
        <w:rPr>
          <w:rFonts w:ascii="Verdana" w:hAnsi="Verdana" w:cs="Arial"/>
          <w:vertAlign w:val="superscript"/>
          <w:lang w:val="es-ES"/>
        </w:rPr>
        <w:footnoteReference w:id="15"/>
      </w:r>
      <w:r w:rsidRPr="00C55BDE">
        <w:rPr>
          <w:rFonts w:ascii="Verdana" w:hAnsi="Verdana" w:cs="Arial"/>
          <w:lang w:val="es-ES"/>
        </w:rPr>
        <w:t>.</w:t>
      </w:r>
    </w:p>
    <w:p w14:paraId="7DF9309F" w14:textId="77777777" w:rsidR="009B4037" w:rsidRPr="00C55BDE" w:rsidRDefault="009B4037" w:rsidP="009B4037">
      <w:pPr>
        <w:widowControl w:val="0"/>
        <w:autoSpaceDE w:val="0"/>
        <w:autoSpaceDN w:val="0"/>
        <w:spacing w:after="120" w:line="276" w:lineRule="auto"/>
        <w:ind w:right="113" w:firstLine="709"/>
        <w:jc w:val="both"/>
        <w:rPr>
          <w:rFonts w:ascii="Verdana" w:eastAsia="Arial" w:hAnsi="Verdana" w:cs="Arial"/>
          <w:lang w:val="es-ES" w:eastAsia="es-ES" w:bidi="es-ES"/>
        </w:rPr>
      </w:pPr>
      <w:r w:rsidRPr="00C55BDE">
        <w:rPr>
          <w:rFonts w:ascii="Verdana" w:hAnsi="Verdana" w:cs="Arial"/>
          <w:lang w:val="es-ES"/>
        </w:rPr>
        <w:t xml:space="preserve">Por otro lado, </w:t>
      </w:r>
      <w:r w:rsidRPr="00C55BDE">
        <w:rPr>
          <w:rFonts w:ascii="Verdana" w:hAnsi="Verdana" w:cs="Arial"/>
          <w:i/>
          <w:iCs/>
          <w:lang w:val="es-ES"/>
        </w:rPr>
        <w:t xml:space="preserve">el parágrafo del artículo 38 </w:t>
      </w:r>
      <w:r w:rsidRPr="00C55BDE">
        <w:rPr>
          <w:rFonts w:ascii="Verdana" w:hAnsi="Verdana" w:cs="Arial"/>
          <w:lang w:val="es-ES"/>
        </w:rPr>
        <w:t xml:space="preserve">de la Ley 996 de 2005 prevé una restricción, aplicable respecto de </w:t>
      </w:r>
      <w:r w:rsidRPr="00C55BDE">
        <w:rPr>
          <w:rFonts w:ascii="Verdana" w:hAnsi="Verdana" w:cs="Arial"/>
          <w:i/>
          <w:iCs/>
          <w:lang w:val="es-ES"/>
        </w:rPr>
        <w:t>cualquier tipo de contienda electoral</w:t>
      </w:r>
      <w:r w:rsidRPr="00C55BDE">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hAnsi="Verdana" w:cs="Arial"/>
          <w:vertAlign w:val="superscript"/>
          <w:lang w:val="es-ES"/>
        </w:rPr>
        <w:footnoteReference w:id="16"/>
      </w:r>
      <w:r w:rsidRPr="00C55BDE">
        <w:rPr>
          <w:rFonts w:ascii="Verdana" w:hAnsi="Verdana" w:cs="Arial"/>
          <w:lang w:val="es-ES"/>
        </w:rPr>
        <w:t>.</w:t>
      </w:r>
      <w:r w:rsidRPr="00C55BDE">
        <w:rPr>
          <w:rFonts w:ascii="Verdana" w:eastAsia="Arial" w:hAnsi="Verdana" w:cs="Arial"/>
          <w:lang w:val="es-ES" w:eastAsia="es-ES" w:bidi="es-ES"/>
        </w:rPr>
        <w:t xml:space="preserve"> </w:t>
      </w:r>
    </w:p>
    <w:p w14:paraId="5BCB2DB5" w14:textId="77777777" w:rsidR="009B4037" w:rsidRPr="00C55BDE" w:rsidRDefault="009B4037" w:rsidP="009B403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5BDE">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1CA572F7" w14:textId="77777777" w:rsidR="009B4037" w:rsidRPr="00C55BDE" w:rsidRDefault="009B4037" w:rsidP="009B403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2382B06" w14:textId="77777777" w:rsidR="009B4037" w:rsidRPr="00C55BDE" w:rsidRDefault="009B4037" w:rsidP="009B403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C55BDE">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w:t>
      </w:r>
      <w:r w:rsidRPr="00C55BDE">
        <w:rPr>
          <w:rFonts w:ascii="Verdana" w:eastAsia="Arial" w:hAnsi="Verdana" w:cs="Arial"/>
          <w:sz w:val="20"/>
          <w:szCs w:val="20"/>
          <w:lang w:val="es-ES" w:eastAsia="es-ES" w:bidi="es-ES"/>
        </w:rPr>
        <w:lastRenderedPageBreak/>
        <w:t xml:space="preserve">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C55BDE">
        <w:rPr>
          <w:rFonts w:ascii="Verdana" w:eastAsia="Arial" w:hAnsi="Verdana" w:cs="Arial"/>
          <w:sz w:val="20"/>
          <w:szCs w:val="20"/>
          <w:lang w:val="es-ES" w:eastAsia="es-ES" w:bidi="es-ES"/>
        </w:rPr>
        <w:t>Presidente</w:t>
      </w:r>
      <w:proofErr w:type="gramEnd"/>
      <w:r w:rsidRPr="00C55BDE">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C55BDE">
        <w:rPr>
          <w:rFonts w:ascii="Verdana" w:eastAsia="Arial" w:hAnsi="Verdana" w:cs="Arial"/>
          <w:sz w:val="20"/>
          <w:szCs w:val="20"/>
          <w:vertAlign w:val="superscript"/>
          <w:lang w:val="es-ES" w:eastAsia="es-ES" w:bidi="es-ES"/>
        </w:rPr>
        <w:footnoteReference w:id="17"/>
      </w:r>
    </w:p>
    <w:p w14:paraId="0FD74EFD" w14:textId="77777777" w:rsidR="009B4037" w:rsidRPr="00C55BDE" w:rsidRDefault="009B4037" w:rsidP="009B403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51FDF02A" w14:textId="77777777" w:rsidR="009B4037" w:rsidRPr="00C55BDE" w:rsidRDefault="009B4037" w:rsidP="009B4037">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C55BDE">
        <w:rPr>
          <w:rFonts w:ascii="Verdana" w:eastAsia="Arial" w:hAnsi="Verdana" w:cs="Arial"/>
          <w:i/>
          <w:lang w:val="es-ES" w:eastAsia="es-ES" w:bidi="es-ES"/>
        </w:rPr>
        <w:t>En primer lugar</w:t>
      </w:r>
      <w:r w:rsidRPr="00C55BDE">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55BDE">
        <w:rPr>
          <w:rFonts w:ascii="Verdana" w:eastAsia="Arial" w:hAnsi="Verdana" w:cs="Arial"/>
          <w:i/>
          <w:lang w:val="es-ES" w:eastAsia="es-ES" w:bidi="es-ES"/>
        </w:rPr>
        <w:t>En segundo lugar</w:t>
      </w:r>
      <w:r w:rsidRPr="00C55BDE">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5F35433" w14:textId="77777777" w:rsidR="009B4037" w:rsidRPr="00C55BDE" w:rsidRDefault="009B4037" w:rsidP="009B4037">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32F1F34F" w14:textId="77777777" w:rsidR="009B4037" w:rsidRPr="00C55BDE" w:rsidRDefault="009B4037" w:rsidP="009B4037">
      <w:pPr>
        <w:spacing w:after="120" w:line="276" w:lineRule="auto"/>
        <w:ind w:firstLine="709"/>
        <w:jc w:val="both"/>
        <w:rPr>
          <w:rFonts w:ascii="Verdana" w:eastAsia="Arial" w:hAnsi="Verdana" w:cs="Arial"/>
          <w:lang w:val="es-ES" w:eastAsia="es-ES" w:bidi="es-ES"/>
        </w:rPr>
      </w:pPr>
      <w:r w:rsidRPr="00C55BDE">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o el </w:t>
      </w:r>
      <w:proofErr w:type="gramStart"/>
      <w:r w:rsidRPr="00C55BDE">
        <w:rPr>
          <w:rFonts w:ascii="Verdana" w:eastAsia="Arial" w:hAnsi="Verdana" w:cs="Arial"/>
          <w:lang w:val="es-ES" w:eastAsia="es-ES" w:bidi="es-ES"/>
        </w:rPr>
        <w:t>Vicepresidente</w:t>
      </w:r>
      <w:proofErr w:type="gramEnd"/>
      <w:r w:rsidRPr="00C55BDE">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w:t>
      </w:r>
      <w:r w:rsidRPr="00C55BDE">
        <w:rPr>
          <w:rFonts w:ascii="Verdana" w:eastAsia="Arial" w:hAnsi="Verdana" w:cs="Arial"/>
          <w:lang w:val="es-ES" w:eastAsia="es-ES" w:bidi="es-ES"/>
        </w:rPr>
        <w:lastRenderedPageBreak/>
        <w:t xml:space="preserve">vuelta, de acuerdo con el artículo 9 de la Ley 996 de 2005. Sin embargo, el condicionamiento impuesto por la Corte Constitucional, relacionado con el momento en que estas restricciones empiezan a regir para el </w:t>
      </w:r>
      <w:proofErr w:type="gramStart"/>
      <w:r w:rsidRPr="00C55BDE">
        <w:rPr>
          <w:rFonts w:ascii="Verdana" w:eastAsia="Arial" w:hAnsi="Verdana" w:cs="Arial"/>
          <w:lang w:val="es-ES" w:eastAsia="es-ES" w:bidi="es-ES"/>
        </w:rPr>
        <w:t>Presidente</w:t>
      </w:r>
      <w:proofErr w:type="gramEnd"/>
      <w:r w:rsidRPr="00C55BDE">
        <w:rPr>
          <w:rFonts w:ascii="Verdana" w:eastAsia="Arial" w:hAnsi="Verdana" w:cs="Arial"/>
          <w:lang w:val="es-ES" w:eastAsia="es-ES" w:bidi="es-ES"/>
        </w:rPr>
        <w:t xml:space="preserve"> y el </w:t>
      </w:r>
      <w:proofErr w:type="gramStart"/>
      <w:r w:rsidRPr="00C55BDE">
        <w:rPr>
          <w:rFonts w:ascii="Verdana" w:eastAsia="Arial" w:hAnsi="Verdana" w:cs="Arial"/>
          <w:lang w:val="es-ES" w:eastAsia="es-ES" w:bidi="es-ES"/>
        </w:rPr>
        <w:t>Vicepresidente</w:t>
      </w:r>
      <w:proofErr w:type="gramEnd"/>
      <w:r w:rsidRPr="00C55BDE">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C55BDE">
        <w:rPr>
          <w:rFonts w:ascii="Verdana" w:eastAsia="Arial" w:hAnsi="Verdana" w:cs="Arial"/>
          <w:lang w:val="es-ES" w:eastAsia="es-ES" w:bidi="es-ES"/>
        </w:rPr>
        <w:t>Vicepresidente</w:t>
      </w:r>
      <w:proofErr w:type="gramEnd"/>
      <w:r w:rsidRPr="00C55BDE">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070FDBD2" w14:textId="77777777" w:rsidR="009B4037" w:rsidRPr="000322B7" w:rsidRDefault="009B4037" w:rsidP="009B4037">
      <w:pPr>
        <w:spacing w:after="120" w:line="276" w:lineRule="auto"/>
        <w:jc w:val="both"/>
        <w:rPr>
          <w:rFonts w:ascii="Verdana" w:eastAsia="Arial" w:hAnsi="Verdana" w:cs="Arial"/>
          <w:lang w:val="es-ES" w:eastAsia="es-ES" w:bidi="es-ES"/>
        </w:rPr>
      </w:pPr>
      <w:proofErr w:type="spellStart"/>
      <w:r>
        <w:rPr>
          <w:rFonts w:ascii="Verdana" w:hAnsi="Verdana" w:cs="Arial"/>
          <w:lang w:val="es-ES"/>
        </w:rPr>
        <w:t>iv</w:t>
      </w:r>
      <w:proofErr w:type="spellEnd"/>
      <w:r>
        <w:rPr>
          <w:rFonts w:ascii="Verdana" w:hAnsi="Verdana" w:cs="Arial"/>
          <w:lang w:val="es-ES"/>
        </w:rPr>
        <w:t xml:space="preserve">. Ahora bien, para efectos de dar respuesta al problema jurídico planteado es necesario precisar el </w:t>
      </w:r>
      <w:r w:rsidRPr="0057193B">
        <w:rPr>
          <w:rFonts w:ascii="Verdana" w:eastAsia="Times New Roman" w:hAnsi="Verdana" w:cs="Arial"/>
          <w:bCs/>
          <w:lang w:val="es-MX" w:eastAsia="x-none"/>
        </w:rPr>
        <w:t>ámbito material de la prohibición contenida en el artículo 33 de la ley 996 de 2005</w:t>
      </w:r>
      <w:r>
        <w:rPr>
          <w:rFonts w:ascii="Verdana" w:eastAsia="Times New Roman" w:hAnsi="Verdana" w:cs="Arial"/>
          <w:bCs/>
          <w:lang w:val="es-MX" w:eastAsia="x-none"/>
        </w:rPr>
        <w:t>, el cual</w:t>
      </w:r>
      <w:r w:rsidRPr="0057193B">
        <w:rPr>
          <w:rFonts w:ascii="Verdana" w:eastAsia="Times New Roman" w:hAnsi="Verdana" w:cs="Arial"/>
          <w:bCs/>
          <w:lang w:val="es-MX" w:eastAsia="x-none"/>
        </w:rPr>
        <w:t xml:space="preserve">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0670AAA9" w14:textId="77777777" w:rsidR="009B4037" w:rsidRPr="0057193B" w:rsidRDefault="009B4037" w:rsidP="009B4037">
      <w:pPr>
        <w:spacing w:after="0" w:line="240" w:lineRule="auto"/>
        <w:ind w:left="708" w:right="709"/>
        <w:jc w:val="both"/>
        <w:rPr>
          <w:rFonts w:ascii="Verdana" w:eastAsia="Calibri" w:hAnsi="Verdana" w:cs="Arial"/>
          <w:sz w:val="21"/>
          <w:szCs w:val="21"/>
          <w:lang w:val="es-MX"/>
        </w:rPr>
      </w:pPr>
    </w:p>
    <w:p w14:paraId="2B4FBEAE" w14:textId="77777777" w:rsidR="009B4037" w:rsidRPr="0059023C" w:rsidRDefault="009B4037" w:rsidP="009B4037">
      <w:pPr>
        <w:spacing w:after="120" w:line="240" w:lineRule="auto"/>
        <w:ind w:left="709" w:right="709"/>
        <w:jc w:val="both"/>
        <w:rPr>
          <w:rFonts w:ascii="Verdana" w:eastAsia="Calibri" w:hAnsi="Verdana" w:cs="Arial"/>
          <w:sz w:val="20"/>
          <w:szCs w:val="20"/>
          <w:lang w:val="es-MX"/>
        </w:rPr>
      </w:pPr>
      <w:r w:rsidRPr="0059023C">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9023C">
        <w:rPr>
          <w:rFonts w:ascii="Verdana" w:eastAsia="Times New Roman" w:hAnsi="Verdana" w:cs="Arial"/>
          <w:sz w:val="20"/>
          <w:szCs w:val="20"/>
          <w:vertAlign w:val="superscript"/>
          <w:lang w:eastAsia="es-CO"/>
        </w:rPr>
        <w:footnoteReference w:id="18"/>
      </w:r>
      <w:r w:rsidRPr="0059023C">
        <w:rPr>
          <w:rFonts w:ascii="Verdana" w:eastAsia="Calibri" w:hAnsi="Verdana" w:cs="Arial"/>
          <w:sz w:val="20"/>
          <w:szCs w:val="20"/>
          <w:lang w:val="es-MX"/>
        </w:rPr>
        <w:t>.</w:t>
      </w:r>
    </w:p>
    <w:p w14:paraId="2D52F646" w14:textId="77777777" w:rsidR="009B4037" w:rsidRPr="0057193B" w:rsidRDefault="009B4037" w:rsidP="009B4037">
      <w:pPr>
        <w:spacing w:after="0" w:line="240" w:lineRule="auto"/>
        <w:ind w:left="708" w:right="709"/>
        <w:jc w:val="both"/>
        <w:rPr>
          <w:rFonts w:ascii="Verdana" w:eastAsia="Calibri" w:hAnsi="Verdana" w:cs="Arial"/>
          <w:sz w:val="21"/>
          <w:szCs w:val="21"/>
          <w:lang w:val="es-MX"/>
        </w:rPr>
      </w:pPr>
      <w:r w:rsidRPr="0059023C">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59023C">
        <w:rPr>
          <w:rFonts w:ascii="Verdana" w:eastAsia="Times New Roman" w:hAnsi="Verdana" w:cs="Arial"/>
          <w:sz w:val="20"/>
          <w:szCs w:val="20"/>
          <w:vertAlign w:val="superscript"/>
          <w:lang w:val="es-MX"/>
        </w:rPr>
        <w:footnoteReference w:id="19"/>
      </w:r>
      <w:r w:rsidRPr="0059023C">
        <w:rPr>
          <w:rFonts w:ascii="Verdana" w:eastAsia="Times New Roman" w:hAnsi="Verdana" w:cs="Arial"/>
          <w:sz w:val="20"/>
          <w:szCs w:val="20"/>
          <w:vertAlign w:val="superscript"/>
          <w:lang w:val="es-MX"/>
        </w:rPr>
        <w:t>.</w:t>
      </w:r>
      <w:r w:rsidRPr="0059023C">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57193B">
        <w:rPr>
          <w:rFonts w:ascii="Verdana" w:eastAsia="Times New Roman" w:hAnsi="Verdana" w:cs="Arial"/>
          <w:vertAlign w:val="superscript"/>
          <w:lang w:eastAsia="es-CO"/>
        </w:rPr>
        <w:footnoteReference w:id="20"/>
      </w:r>
      <w:r w:rsidRPr="0057193B">
        <w:rPr>
          <w:rFonts w:ascii="Verdana" w:eastAsia="Calibri" w:hAnsi="Verdana" w:cs="Arial"/>
          <w:sz w:val="21"/>
          <w:szCs w:val="21"/>
          <w:lang w:val="es-MX"/>
        </w:rPr>
        <w:t xml:space="preserve"> .</w:t>
      </w:r>
    </w:p>
    <w:p w14:paraId="62BEA5D5" w14:textId="77777777" w:rsidR="009B4037" w:rsidRPr="0057193B" w:rsidRDefault="009B4037" w:rsidP="009B4037">
      <w:pPr>
        <w:shd w:val="clear" w:color="auto" w:fill="FFFFFF"/>
        <w:spacing w:after="0" w:line="276" w:lineRule="auto"/>
        <w:ind w:firstLine="709"/>
        <w:jc w:val="both"/>
        <w:rPr>
          <w:rFonts w:ascii="Verdana" w:eastAsia="Times New Roman" w:hAnsi="Verdana" w:cs="Arial"/>
          <w:lang w:eastAsia="x-none"/>
        </w:rPr>
      </w:pPr>
    </w:p>
    <w:p w14:paraId="46ECC461" w14:textId="77777777" w:rsidR="009B4037" w:rsidRPr="0057193B" w:rsidRDefault="009B4037" w:rsidP="009B4037">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21"/>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22"/>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4369B94" w14:textId="77777777" w:rsidR="009B4037" w:rsidRPr="0057193B" w:rsidRDefault="009B4037" w:rsidP="009B4037">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23"/>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3DFB242E" w14:textId="77777777" w:rsidR="009B4037" w:rsidRPr="0057193B" w:rsidRDefault="009B4037" w:rsidP="009B4037">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xml:space="preserve">, es que la convocatoria para </w:t>
      </w:r>
      <w:r w:rsidRPr="0057193B">
        <w:rPr>
          <w:rFonts w:ascii="Verdana" w:eastAsia="Times New Roman" w:hAnsi="Verdana" w:cs="Arial"/>
          <w:lang w:eastAsia="x-none"/>
        </w:rPr>
        <w:lastRenderedPageBreak/>
        <w:t>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24"/>
      </w:r>
      <w:r w:rsidRPr="0057193B">
        <w:rPr>
          <w:rFonts w:ascii="Verdana" w:eastAsia="Times New Roman" w:hAnsi="Verdana" w:cs="Arial"/>
          <w:lang w:eastAsia="x-none"/>
        </w:rPr>
        <w:t xml:space="preserve">. </w:t>
      </w:r>
    </w:p>
    <w:p w14:paraId="66A7C104" w14:textId="77777777" w:rsidR="009B4037" w:rsidRPr="0057193B" w:rsidRDefault="009B4037" w:rsidP="009B4037">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4CA49B28" w14:textId="77777777" w:rsidR="009B4037" w:rsidRPr="0057193B" w:rsidRDefault="009B4037" w:rsidP="009B4037">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25"/>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61E12C2A" w14:textId="77777777" w:rsidR="009B4037" w:rsidRPr="0057193B" w:rsidRDefault="009B4037" w:rsidP="009B4037">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166830E9" w14:textId="77777777" w:rsidR="009B4037" w:rsidRPr="00447D82" w:rsidRDefault="009B4037" w:rsidP="009B4037">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57193B">
        <w:rPr>
          <w:rFonts w:ascii="Verdana" w:eastAsia="Times New Roman" w:hAnsi="Verdana" w:cs="Arial"/>
          <w:bCs/>
          <w:lang w:val="es-MX" w:eastAsia="es-CO"/>
        </w:rPr>
        <w:t>entrada en vigencia</w:t>
      </w:r>
      <w:proofErr w:type="gramEnd"/>
      <w:r w:rsidRPr="0057193B">
        <w:rPr>
          <w:rFonts w:ascii="Verdana" w:eastAsia="Times New Roman" w:hAnsi="Verdana" w:cs="Arial"/>
          <w:bCs/>
          <w:lang w:val="es-MX" w:eastAsia="es-CO"/>
        </w:rPr>
        <w:t xml:space="preserve"> de las prohibiciones anotadas, así como la cesión de </w:t>
      </w:r>
      <w:proofErr w:type="gramStart"/>
      <w:r w:rsidRPr="0057193B">
        <w:rPr>
          <w:rFonts w:ascii="Verdana" w:eastAsia="Times New Roman" w:hAnsi="Verdana" w:cs="Arial"/>
          <w:bCs/>
          <w:lang w:val="es-MX" w:eastAsia="es-CO"/>
        </w:rPr>
        <w:t>los 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6"/>
      </w:r>
      <w:r w:rsidRPr="0057193B">
        <w:rPr>
          <w:rFonts w:ascii="Verdana" w:eastAsia="Times New Roman" w:hAnsi="Verdana" w:cs="Arial"/>
          <w:bCs/>
          <w:lang w:val="es-MX" w:eastAsia="es-CO"/>
        </w:rPr>
        <w:t xml:space="preserve">. </w:t>
      </w:r>
      <w:r w:rsidRPr="0057193B">
        <w:rPr>
          <w:rFonts w:ascii="Verdana" w:eastAsia="Times New Roman" w:hAnsi="Verdana" w:cs="Arial"/>
          <w:bCs/>
          <w:lang w:val="es-MX" w:eastAsia="es-CO"/>
        </w:rPr>
        <w:lastRenderedPageBreak/>
        <w:t>Además, también es posible que contratos celebrados previamente se continúen ejecutando con normalidad.</w:t>
      </w:r>
      <w:r>
        <w:rPr>
          <w:rFonts w:ascii="Verdana" w:eastAsia="Times New Roman" w:hAnsi="Verdana" w:cs="Arial"/>
          <w:bCs/>
          <w:lang w:val="es-MX" w:eastAsia="es-CO"/>
        </w:rPr>
        <w:t xml:space="preserve"> </w:t>
      </w:r>
    </w:p>
    <w:p w14:paraId="36291278" w14:textId="77777777" w:rsidR="009B4037" w:rsidRPr="0057193B" w:rsidRDefault="009B4037" w:rsidP="009B4037">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0B6456E" w14:textId="77777777" w:rsidR="009B4037" w:rsidRPr="0057193B" w:rsidRDefault="009B4037" w:rsidP="009B4037">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7"/>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B9283DF" w14:textId="77777777" w:rsidR="009B4037" w:rsidRPr="0057193B" w:rsidRDefault="009B4037" w:rsidP="009B4037">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xml:space="preserve">, en el sentido de que son “todos </w:t>
      </w:r>
      <w:r>
        <w:rPr>
          <w:rFonts w:ascii="Verdana" w:eastAsia="Times New Roman" w:hAnsi="Verdana" w:cs="Arial"/>
          <w:bCs/>
          <w:lang w:val="es-MX" w:eastAsia="x-none"/>
        </w:rPr>
        <w:lastRenderedPageBreak/>
        <w:t>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4ED9E5F7" w14:textId="77777777" w:rsidR="009B4037" w:rsidRPr="0057193B" w:rsidRDefault="009B4037" w:rsidP="009B4037">
      <w:pPr>
        <w:spacing w:after="0" w:line="276" w:lineRule="auto"/>
        <w:jc w:val="both"/>
        <w:rPr>
          <w:rFonts w:ascii="Verdana" w:eastAsia="Times New Roman" w:hAnsi="Verdana" w:cs="Arial"/>
          <w:bCs/>
          <w:lang w:val="es-MX" w:eastAsia="x-none"/>
        </w:rPr>
      </w:pPr>
    </w:p>
    <w:p w14:paraId="18581A69" w14:textId="77777777" w:rsidR="009B4037" w:rsidRPr="0057193B" w:rsidRDefault="009B4037" w:rsidP="009B4037">
      <w:pPr>
        <w:spacing w:after="0" w:line="240" w:lineRule="auto"/>
        <w:ind w:left="708" w:right="709"/>
        <w:jc w:val="both"/>
        <w:rPr>
          <w:rFonts w:ascii="Verdana" w:eastAsia="Times New Roman" w:hAnsi="Verdana" w:cs="Arial"/>
          <w:bCs/>
          <w:sz w:val="21"/>
          <w:szCs w:val="21"/>
          <w:lang w:val="es-MX" w:eastAsia="es-CO"/>
        </w:rPr>
      </w:pPr>
      <w:r w:rsidRPr="002979E2">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8"/>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06F9F448" w14:textId="77777777" w:rsidR="009B4037" w:rsidRPr="0057193B" w:rsidRDefault="009B4037" w:rsidP="009B4037">
      <w:pPr>
        <w:spacing w:after="0" w:line="276" w:lineRule="auto"/>
        <w:ind w:firstLine="708"/>
        <w:jc w:val="both"/>
        <w:rPr>
          <w:rFonts w:ascii="Verdana" w:eastAsia="Times New Roman" w:hAnsi="Verdana" w:cs="Arial"/>
          <w:bCs/>
          <w:lang w:val="es-MX" w:eastAsia="es-CO"/>
        </w:rPr>
      </w:pPr>
    </w:p>
    <w:p w14:paraId="3E1D223B" w14:textId="77777777" w:rsidR="009B4037" w:rsidRPr="0057193B" w:rsidRDefault="009B4037" w:rsidP="009B4037">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9"/>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7EB7147C" w14:textId="77777777" w:rsidR="009B4037" w:rsidRPr="0057193B" w:rsidRDefault="009B4037" w:rsidP="009B4037">
      <w:pPr>
        <w:spacing w:after="0" w:line="276" w:lineRule="auto"/>
        <w:jc w:val="both"/>
        <w:rPr>
          <w:rFonts w:ascii="Verdana" w:eastAsia="Calibri" w:hAnsi="Verdana" w:cs="Arial"/>
          <w:lang w:val="es-MX"/>
        </w:rPr>
      </w:pPr>
    </w:p>
    <w:p w14:paraId="5099DE32" w14:textId="77777777" w:rsidR="009B4037" w:rsidRPr="001924B7" w:rsidRDefault="009B4037" w:rsidP="009B4037">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39EDF576" w14:textId="77777777" w:rsidR="009B4037" w:rsidRPr="001924B7" w:rsidRDefault="009B4037" w:rsidP="009B4037">
      <w:pPr>
        <w:spacing w:after="0" w:line="240" w:lineRule="auto"/>
        <w:ind w:left="708" w:right="709"/>
        <w:jc w:val="both"/>
        <w:rPr>
          <w:rFonts w:ascii="Verdana" w:eastAsia="Calibri" w:hAnsi="Verdana" w:cs="Arial"/>
          <w:sz w:val="20"/>
          <w:szCs w:val="20"/>
          <w:lang w:val="es-MX"/>
        </w:rPr>
      </w:pPr>
    </w:p>
    <w:p w14:paraId="78EE8CC6" w14:textId="77777777" w:rsidR="009B4037" w:rsidRPr="001924B7" w:rsidRDefault="009B4037" w:rsidP="009B4037">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30"/>
      </w:r>
      <w:r w:rsidRPr="001924B7">
        <w:rPr>
          <w:rFonts w:ascii="Verdana" w:eastAsia="Times New Roman" w:hAnsi="Verdana" w:cs="Arial"/>
          <w:bCs/>
          <w:sz w:val="20"/>
          <w:szCs w:val="20"/>
          <w:lang w:val="es-MX" w:eastAsia="x-none"/>
        </w:rPr>
        <w:t>.</w:t>
      </w:r>
    </w:p>
    <w:p w14:paraId="729B911F" w14:textId="77777777" w:rsidR="009B4037" w:rsidRPr="0057193B" w:rsidRDefault="009B4037" w:rsidP="009B4037">
      <w:pPr>
        <w:spacing w:after="0" w:line="276" w:lineRule="auto"/>
        <w:jc w:val="both"/>
        <w:rPr>
          <w:rFonts w:ascii="Verdana" w:eastAsia="Calibri" w:hAnsi="Verdana" w:cs="Arial"/>
          <w:lang w:val="es-MX"/>
        </w:rPr>
      </w:pPr>
    </w:p>
    <w:p w14:paraId="551B4294" w14:textId="77777777" w:rsidR="009B4037" w:rsidRPr="0057193B" w:rsidRDefault="009B4037" w:rsidP="009B4037">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 xml:space="preserve">las empresas no pueden dejar de entregar los servicios públicos a su cargo a nuevas personas, ni dejar de renovar los contratos existentes, pues </w:t>
      </w:r>
      <w:r w:rsidRPr="0057193B">
        <w:rPr>
          <w:rFonts w:ascii="Verdana" w:eastAsia="Calibri" w:hAnsi="Verdana" w:cs="Arial"/>
          <w:lang w:val="es-MX"/>
        </w:rPr>
        <w:lastRenderedPageBreak/>
        <w:t>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31"/>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11D60C66" w14:textId="77777777" w:rsidR="009B4037" w:rsidRPr="00C44F26" w:rsidRDefault="009B4037" w:rsidP="009B4037">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r>
        <w:rPr>
          <w:rFonts w:ascii="Verdana" w:eastAsia="Times New Roman" w:hAnsi="Verdana" w:cs="Arial"/>
          <w:bCs/>
          <w:lang w:eastAsia="x-none"/>
        </w:rPr>
        <w:t>.</w:t>
      </w:r>
    </w:p>
    <w:p w14:paraId="5BA6565B" w14:textId="77777777" w:rsidR="009B4037" w:rsidRDefault="009B4037" w:rsidP="009B4037">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Teniendo en cuenta esta precisión, es necesario señalar que </w:t>
      </w:r>
      <w:r>
        <w:rPr>
          <w:rFonts w:ascii="Verdana" w:hAnsi="Verdana" w:cs="Arial"/>
          <w:lang w:val="es-ES"/>
        </w:rPr>
        <w:t>Ley 715 de 2001</w:t>
      </w:r>
      <w:r w:rsidRPr="009A35DF">
        <w:rPr>
          <w:rFonts w:ascii="Verdana" w:eastAsia="Times New Roman" w:hAnsi="Verdana" w:cs="Arial"/>
          <w:bCs/>
          <w:lang w:eastAsia="x-none"/>
        </w:rPr>
        <w:t xml:space="preserve"> no </w:t>
      </w:r>
      <w:r>
        <w:rPr>
          <w:rFonts w:ascii="Verdana" w:eastAsia="Times New Roman" w:hAnsi="Verdana" w:cs="Arial"/>
          <w:bCs/>
          <w:lang w:eastAsia="x-none"/>
        </w:rPr>
        <w:t xml:space="preserve">establece </w:t>
      </w:r>
      <w:r w:rsidRPr="009A35DF">
        <w:rPr>
          <w:rFonts w:ascii="Verdana" w:eastAsia="Times New Roman" w:hAnsi="Verdana" w:cs="Arial"/>
          <w:bCs/>
          <w:lang w:eastAsia="x-none"/>
        </w:rPr>
        <w:t xml:space="preserve">excepciones </w:t>
      </w:r>
      <w:r>
        <w:rPr>
          <w:rFonts w:ascii="Verdana" w:eastAsia="Times New Roman" w:hAnsi="Verdana" w:cs="Arial"/>
          <w:bCs/>
          <w:lang w:eastAsia="x-none"/>
        </w:rPr>
        <w:t xml:space="preserve">al </w:t>
      </w:r>
      <w:r>
        <w:rPr>
          <w:rFonts w:ascii="Verdana" w:eastAsia="Times New Roman" w:hAnsi="Verdana" w:cs="Arial"/>
          <w:bCs/>
          <w:lang w:val="es-ES" w:eastAsia="x-none"/>
        </w:rPr>
        <w:t xml:space="preserve">artículo 33 de la Ley 996 de 2005 </w:t>
      </w:r>
      <w:r w:rsidRPr="0057193B">
        <w:rPr>
          <w:rFonts w:ascii="Verdana" w:eastAsia="Times New Roman" w:hAnsi="Verdana" w:cs="Arial"/>
          <w:bCs/>
          <w:lang w:val="es-MX" w:eastAsia="x-none"/>
        </w:rPr>
        <w:t>que restringe la contratación directa en el periodo preelectoral a las elecciones presidenciales</w:t>
      </w:r>
      <w:r>
        <w:rPr>
          <w:rFonts w:ascii="Verdana" w:eastAsia="Times New Roman" w:hAnsi="Verdana" w:cs="Arial"/>
          <w:bCs/>
          <w:lang w:val="es-MX" w:eastAsia="x-none"/>
        </w:rPr>
        <w:t xml:space="preserve"> por la ejecución de un cierto tipo de recursos</w:t>
      </w:r>
      <w:r w:rsidRPr="0057193B">
        <w:rPr>
          <w:rFonts w:ascii="Verdana" w:eastAsia="Times New Roman" w:hAnsi="Verdana" w:cs="Arial"/>
          <w:bCs/>
          <w:lang w:val="es-MX" w:eastAsia="x-none"/>
        </w:rPr>
        <w:t xml:space="preserve">. </w:t>
      </w:r>
      <w:r>
        <w:rPr>
          <w:rFonts w:ascii="Verdana" w:eastAsia="Times New Roman" w:hAnsi="Verdana" w:cs="Arial"/>
          <w:bCs/>
          <w:lang w:val="es-MX" w:eastAsia="x-none"/>
        </w:rPr>
        <w:t xml:space="preserve">En otras palabras, esta normatividad especial para la ejecución de recursos </w:t>
      </w:r>
      <w:r w:rsidRPr="00987C44">
        <w:rPr>
          <w:rFonts w:ascii="Verdana" w:hAnsi="Verdana" w:cs="Arial"/>
          <w:lang w:val="es-ES"/>
        </w:rPr>
        <w:t xml:space="preserve">de la </w:t>
      </w:r>
      <w:proofErr w:type="gramStart"/>
      <w:r w:rsidRPr="00987C44">
        <w:rPr>
          <w:rFonts w:ascii="Verdana" w:hAnsi="Verdana" w:cs="Arial"/>
          <w:lang w:val="es-ES"/>
        </w:rPr>
        <w:t>AESGPRI</w:t>
      </w:r>
      <w:r>
        <w:rPr>
          <w:rFonts w:ascii="Verdana" w:eastAsia="Times New Roman" w:hAnsi="Verdana" w:cs="Arial"/>
          <w:bCs/>
          <w:lang w:val="es-MX" w:eastAsia="x-none"/>
        </w:rPr>
        <w:t>,</w:t>
      </w:r>
      <w:proofErr w:type="gramEnd"/>
      <w:r>
        <w:rPr>
          <w:rFonts w:ascii="Verdana" w:eastAsia="Times New Roman" w:hAnsi="Verdana" w:cs="Arial"/>
          <w:bCs/>
          <w:lang w:val="es-MX" w:eastAsia="x-none"/>
        </w:rPr>
        <w:t xml:space="preserve"> no implica que esté exonerada de la restricción, pues el legislador no hizo distinción del tipo de recursos al establecer la prohibición. </w:t>
      </w:r>
      <w:r w:rsidRPr="0057193B">
        <w:rPr>
          <w:rFonts w:ascii="Verdana" w:eastAsia="Times New Roman" w:hAnsi="Verdana" w:cs="Arial"/>
          <w:bCs/>
          <w:lang w:val="es-MX" w:eastAsia="x-none"/>
        </w:rPr>
        <w:t xml:space="preserve"> </w:t>
      </w:r>
    </w:p>
    <w:p w14:paraId="174BCED5" w14:textId="77777777" w:rsidR="009B4037" w:rsidRDefault="009B4037" w:rsidP="009B4037">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w:t>
      </w:r>
    </w:p>
    <w:p w14:paraId="524A78D3" w14:textId="77777777" w:rsidR="009B4037" w:rsidRPr="002112C9" w:rsidRDefault="009B4037" w:rsidP="009B4037">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este sentido, aplicará la restricción señalada respecto de todos los </w:t>
      </w:r>
      <w:r w:rsidRPr="003101A1">
        <w:rPr>
          <w:rFonts w:ascii="Verdana" w:eastAsia="Times New Roman" w:hAnsi="Verdana" w:cs="Arial"/>
          <w:bCs/>
          <w:i/>
          <w:iCs/>
          <w:lang w:val="es-MX" w:eastAsia="x-none"/>
        </w:rPr>
        <w:t xml:space="preserve">entes del </w:t>
      </w:r>
      <w:r>
        <w:rPr>
          <w:rFonts w:ascii="Verdana" w:eastAsia="Times New Roman" w:hAnsi="Verdana" w:cs="Arial"/>
          <w:bCs/>
          <w:i/>
          <w:iCs/>
          <w:lang w:val="es-MX" w:eastAsia="x-none"/>
        </w:rPr>
        <w:t>E</w:t>
      </w:r>
      <w:r w:rsidRPr="003101A1">
        <w:rPr>
          <w:rFonts w:ascii="Verdana" w:eastAsia="Times New Roman" w:hAnsi="Verdana" w:cs="Arial"/>
          <w:bCs/>
          <w:i/>
          <w:iCs/>
          <w:lang w:val="es-MX" w:eastAsia="x-none"/>
        </w:rPr>
        <w:t>stado,</w:t>
      </w:r>
      <w:r>
        <w:rPr>
          <w:rFonts w:ascii="Verdana" w:eastAsia="Times New Roman" w:hAnsi="Verdana" w:cs="Arial"/>
          <w:bCs/>
          <w:lang w:val="es-MX" w:eastAsia="x-none"/>
        </w:rPr>
        <w:t xml:space="preserve"> con independencia de la fuente de los recursos, por lo que e</w:t>
      </w:r>
      <w:r w:rsidRPr="00333EDB">
        <w:rPr>
          <w:rFonts w:ascii="Verdana" w:eastAsia="Times New Roman" w:hAnsi="Verdana" w:cs="Arial"/>
          <w:bCs/>
          <w:lang w:val="es-MX" w:eastAsia="x-none"/>
        </w:rPr>
        <w:t>s responsabilidad del respectivo</w:t>
      </w:r>
      <w:r>
        <w:rPr>
          <w:rFonts w:ascii="Verdana" w:eastAsia="Times New Roman" w:hAnsi="Verdana" w:cs="Arial"/>
          <w:bCs/>
          <w:lang w:val="es-MX" w:eastAsia="x-none"/>
        </w:rPr>
        <w:t xml:space="preserve"> ente</w:t>
      </w:r>
      <w:r w:rsidRPr="00333EDB">
        <w:rPr>
          <w:rFonts w:ascii="Verdana" w:eastAsia="Times New Roman" w:hAnsi="Verdana" w:cs="Arial"/>
          <w:bCs/>
          <w:lang w:val="es-MX" w:eastAsia="x-none"/>
        </w:rPr>
        <w:t xml:space="preserve"> examinar en cada caso la naturaleza de las </w:t>
      </w:r>
      <w:r w:rsidRPr="00333EDB">
        <w:rPr>
          <w:rFonts w:ascii="Verdana" w:eastAsia="Times New Roman" w:hAnsi="Verdana" w:cs="Arial"/>
          <w:bCs/>
          <w:lang w:val="es-MX" w:eastAsia="x-none"/>
        </w:rPr>
        <w:lastRenderedPageBreak/>
        <w:t xml:space="preserve">actividades que adelanta y determinar si las mismas se enmarcan en alguna </w:t>
      </w:r>
      <w:r>
        <w:rPr>
          <w:rFonts w:ascii="Verdana" w:eastAsia="Times New Roman" w:hAnsi="Verdana" w:cs="Arial"/>
          <w:bCs/>
          <w:lang w:val="es-MX" w:eastAsia="x-none"/>
        </w:rPr>
        <w:t>de las mencionadas excepciones.</w:t>
      </w:r>
    </w:p>
    <w:p w14:paraId="0E0A2061" w14:textId="77777777" w:rsidR="009B4037" w:rsidRPr="00C55BDE" w:rsidRDefault="009B4037" w:rsidP="009B4037">
      <w:pPr>
        <w:spacing w:after="120" w:line="276" w:lineRule="auto"/>
        <w:jc w:val="both"/>
        <w:rPr>
          <w:rFonts w:ascii="Verdana" w:hAnsi="Verdana" w:cs="Arial"/>
          <w:lang w:val="es-ES"/>
        </w:rPr>
      </w:pPr>
      <w:r>
        <w:rPr>
          <w:rFonts w:ascii="Verdana" w:hAnsi="Verdana" w:cs="Arial"/>
          <w:lang w:val="es-ES"/>
        </w:rPr>
        <w:t>v. Re</w:t>
      </w:r>
      <w:r w:rsidRPr="00C55BDE">
        <w:rPr>
          <w:rFonts w:ascii="Verdana" w:hAnsi="Verdana" w:cs="Arial"/>
          <w:lang w:val="es-ES"/>
        </w:rPr>
        <w:t xml:space="preserve">specto del alcance del parágrafo </w:t>
      </w:r>
      <w:r w:rsidRPr="00C55BDE">
        <w:rPr>
          <w:rFonts w:ascii="Verdana" w:hAnsi="Verdana" w:cs="Arial"/>
        </w:rPr>
        <w:t xml:space="preserve">del artículo 38 de la Ley 996 de 2005, esta prohibición dispone en primera medida que: “[l]os Gobernadores, </w:t>
      </w:r>
      <w:proofErr w:type="gramStart"/>
      <w:r w:rsidRPr="00C55BDE">
        <w:rPr>
          <w:rFonts w:ascii="Verdana" w:hAnsi="Verdana" w:cs="Arial"/>
        </w:rPr>
        <w:t>Alcaldes</w:t>
      </w:r>
      <w:proofErr w:type="gramEnd"/>
      <w:r w:rsidRPr="00C55BDE">
        <w:rPr>
          <w:rFonts w:ascii="Verdana" w:hAnsi="Verdana" w:cs="Arial"/>
        </w:rPr>
        <w:t xml:space="preserve"> Municipales y/o Distritales, </w:t>
      </w:r>
      <w:proofErr w:type="gramStart"/>
      <w:r w:rsidRPr="00C55BDE">
        <w:rPr>
          <w:rFonts w:ascii="Verdana" w:hAnsi="Verdana" w:cs="Arial"/>
        </w:rPr>
        <w:t>Secretarios</w:t>
      </w:r>
      <w:proofErr w:type="gramEnd"/>
      <w:r w:rsidRPr="00C55BDE">
        <w:rPr>
          <w:rFonts w:ascii="Verdana" w:hAnsi="Verdana" w:cs="Arial"/>
        </w:rPr>
        <w:t xml:space="preserve">, Gerentes y directores de Entidades Descentralizadas del orden Municipal, Departamental o Distrital, dentro de los cuatro (4) meses anteriores a las elecciones, no podrán celebrar </w:t>
      </w:r>
      <w:r w:rsidRPr="00C55BDE">
        <w:rPr>
          <w:rFonts w:ascii="Verdana" w:hAnsi="Verdana" w:cs="Arial"/>
          <w:i/>
          <w:iCs/>
        </w:rPr>
        <w:t>convenios interadministrativos</w:t>
      </w:r>
      <w:r w:rsidRPr="00C55BDE">
        <w:rPr>
          <w:rFonts w:ascii="Verdana" w:hAnsi="Verdana" w:cs="Arial"/>
        </w:rPr>
        <w:t xml:space="preserve"> </w:t>
      </w:r>
      <w:r w:rsidRPr="00C55BDE">
        <w:rPr>
          <w:rFonts w:ascii="Verdana" w:hAnsi="Verdana" w:cs="Arial"/>
          <w:i/>
          <w:iCs/>
        </w:rPr>
        <w:t>para la ejecución de recursos públicos</w:t>
      </w:r>
      <w:r w:rsidRPr="00C55BDE">
        <w:rPr>
          <w:rFonts w:ascii="Verdana" w:hAnsi="Verdana" w:cs="Arial"/>
        </w:rPr>
        <w:t>”.</w:t>
      </w:r>
      <w:r w:rsidRPr="00C55BDE">
        <w:rPr>
          <w:rFonts w:ascii="Verdana" w:eastAsia="Times New Roman" w:hAnsi="Verdana" w:cs="Arial"/>
          <w:lang w:val="es-MX" w:eastAsia="x-none"/>
        </w:rPr>
        <w:t xml:space="preserve"> [Énfasis fuera del texto original]</w:t>
      </w:r>
    </w:p>
    <w:p w14:paraId="3588E807" w14:textId="77777777" w:rsidR="009B4037" w:rsidRPr="00C55BDE" w:rsidRDefault="009B4037" w:rsidP="009B4037">
      <w:pPr>
        <w:spacing w:after="120" w:line="276" w:lineRule="auto"/>
        <w:ind w:firstLine="709"/>
        <w:jc w:val="both"/>
        <w:rPr>
          <w:rFonts w:ascii="Verdana" w:hAnsi="Verdana" w:cs="Arial"/>
          <w:lang w:eastAsia="es-ES"/>
        </w:rPr>
      </w:pPr>
      <w:r w:rsidRPr="00C55BDE">
        <w:rPr>
          <w:rFonts w:ascii="Verdana" w:eastAsia="Times New Roman" w:hAnsi="Verdana" w:cs="Arial"/>
          <w:lang w:val="es-ES" w:eastAsia="es-ES"/>
        </w:rPr>
        <w:t xml:space="preserve">Para tales efectos, debe precisarse que </w:t>
      </w:r>
      <w:r w:rsidRPr="00C55BDE">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55BDE">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55BDE">
        <w:rPr>
          <w:rFonts w:ascii="Verdana" w:hAnsi="Verdana" w:cs="Arial"/>
          <w:vertAlign w:val="superscript"/>
          <w:lang w:eastAsia="es-ES"/>
        </w:rPr>
        <w:footnoteReference w:id="32"/>
      </w:r>
      <w:r w:rsidRPr="00C55BDE">
        <w:rPr>
          <w:rFonts w:ascii="Verdana" w:hAnsi="Verdana" w:cs="Arial"/>
          <w:lang w:eastAsia="es-ES"/>
        </w:rPr>
        <w:t>.</w:t>
      </w:r>
    </w:p>
    <w:p w14:paraId="603A369F" w14:textId="77777777" w:rsidR="009B4037" w:rsidRDefault="009B4037" w:rsidP="009B4037">
      <w:pPr>
        <w:spacing w:before="120" w:after="0" w:line="276" w:lineRule="auto"/>
        <w:ind w:firstLine="708"/>
        <w:jc w:val="both"/>
        <w:rPr>
          <w:rFonts w:ascii="Verdana" w:eastAsia="Times New Roman" w:hAnsi="Verdana" w:cs="Arial"/>
          <w:lang w:val="es-MX" w:eastAsia="es-CO"/>
        </w:rPr>
      </w:pPr>
      <w:r w:rsidRPr="00C55BDE">
        <w:rPr>
          <w:rFonts w:ascii="Verdana" w:eastAsia="Arial" w:hAnsi="Verdana" w:cs="Arial"/>
          <w:lang w:val="es-MX" w:eastAsia="es-ES" w:bidi="es-ES"/>
        </w:rPr>
        <w:t>De esta manera, se</w:t>
      </w:r>
      <w:r w:rsidRPr="00C55BDE">
        <w:rPr>
          <w:rFonts w:ascii="Verdana" w:eastAsia="Times New Roman" w:hAnsi="Verdana" w:cs="Arial"/>
          <w:lang w:eastAsia="es-CO"/>
        </w:rPr>
        <w:t xml:space="preserve"> observa entonces que </w:t>
      </w:r>
      <w:r w:rsidRPr="00C55BDE">
        <w:rPr>
          <w:rFonts w:ascii="Verdana" w:eastAsia="Times New Roman" w:hAnsi="Verdana" w:cs="Arial"/>
          <w:lang w:val="es-MX" w:eastAsia="es-CO"/>
        </w:rPr>
        <w:t xml:space="preserve">el parágrafo del artículo 38 de la Ley 996 de 2005 prohíbe a los </w:t>
      </w:r>
      <w:proofErr w:type="gramStart"/>
      <w:r w:rsidRPr="00C55BDE">
        <w:rPr>
          <w:rFonts w:ascii="Verdana" w:eastAsia="Times New Roman" w:hAnsi="Verdana" w:cs="Arial"/>
          <w:lang w:val="es-MX" w:eastAsia="es-CO"/>
        </w:rPr>
        <w:t>Alcaldes</w:t>
      </w:r>
      <w:proofErr w:type="gramEnd"/>
      <w:r w:rsidRPr="00C55BDE">
        <w:rPr>
          <w:rFonts w:ascii="Verdana" w:eastAsia="Times New Roman" w:hAnsi="Verdana" w:cs="Arial"/>
          <w:lang w:val="es-MX" w:eastAsia="es-CO"/>
        </w:rPr>
        <w:t xml:space="preserve">, Gobernadores, </w:t>
      </w:r>
      <w:proofErr w:type="gramStart"/>
      <w:r w:rsidRPr="00C55BDE">
        <w:rPr>
          <w:rFonts w:ascii="Verdana" w:eastAsia="Times New Roman" w:hAnsi="Verdana" w:cs="Arial"/>
          <w:lang w:val="es-MX" w:eastAsia="es-CO"/>
        </w:rPr>
        <w:t>Secretarios</w:t>
      </w:r>
      <w:proofErr w:type="gramEnd"/>
      <w:r w:rsidRPr="00C55BDE">
        <w:rPr>
          <w:rFonts w:ascii="Verdana" w:eastAsia="Times New Roman" w:hAnsi="Verdana" w:cs="Arial"/>
          <w:lang w:val="es-MX" w:eastAsia="es-CO"/>
        </w:rPr>
        <w:t xml:space="preserve">, Gerentes y </w:t>
      </w:r>
      <w:proofErr w:type="gramStart"/>
      <w:r w:rsidRPr="00C55BDE">
        <w:rPr>
          <w:rFonts w:ascii="Verdana" w:eastAsia="Times New Roman" w:hAnsi="Verdana" w:cs="Arial"/>
          <w:lang w:val="es-MX" w:eastAsia="es-CO"/>
        </w:rPr>
        <w:t>Directores</w:t>
      </w:r>
      <w:proofErr w:type="gramEnd"/>
      <w:r w:rsidRPr="00C55BDE">
        <w:rPr>
          <w:rFonts w:ascii="Verdana" w:eastAsia="Times New Roman" w:hAnsi="Verdana" w:cs="Arial"/>
          <w:lang w:val="es-MX" w:eastAsia="es-CO"/>
        </w:rPr>
        <w:t xml:space="preserve"> de las entidades del orden municipal, departamental o distrital celebrar </w:t>
      </w:r>
      <w:r w:rsidRPr="00C55BDE">
        <w:rPr>
          <w:rFonts w:ascii="Verdana" w:eastAsia="Times New Roman" w:hAnsi="Verdana" w:cs="Arial"/>
          <w:i/>
          <w:iCs/>
          <w:lang w:val="es-MX" w:eastAsia="es-CO"/>
        </w:rPr>
        <w:t>convenios interadministrativos</w:t>
      </w:r>
      <w:r w:rsidRPr="00C55BDE">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55BDE">
        <w:rPr>
          <w:rFonts w:ascii="Verdana" w:eastAsia="Times New Roman" w:hAnsi="Verdana" w:cs="Arial"/>
          <w:i/>
          <w:lang w:val="es-MX" w:eastAsia="es-CO"/>
        </w:rPr>
        <w:t>ibidem</w:t>
      </w:r>
      <w:r w:rsidRPr="00C55BDE">
        <w:rPr>
          <w:rFonts w:ascii="Verdana" w:eastAsia="Times New Roman" w:hAnsi="Verdana" w:cs="Arial"/>
          <w:lang w:val="es-MX" w:eastAsia="es-CO"/>
        </w:rPr>
        <w:t xml:space="preserve">, no podrá celebrar tales </w:t>
      </w:r>
      <w:r w:rsidRPr="00C55BDE">
        <w:rPr>
          <w:rFonts w:ascii="Verdana" w:eastAsia="Times New Roman" w:hAnsi="Verdana" w:cs="Arial"/>
          <w:i/>
          <w:iCs/>
          <w:lang w:val="es-MX" w:eastAsia="es-CO"/>
        </w:rPr>
        <w:t>convenios</w:t>
      </w:r>
      <w:r w:rsidRPr="00C55BDE">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344E690C" w14:textId="77777777" w:rsidR="009B4037" w:rsidRDefault="009B4037" w:rsidP="009B4037">
      <w:pPr>
        <w:spacing w:before="120" w:after="120" w:line="276" w:lineRule="auto"/>
        <w:ind w:firstLine="709"/>
        <w:jc w:val="both"/>
        <w:rPr>
          <w:rFonts w:ascii="Verdana" w:eastAsia="Arial" w:hAnsi="Verdana" w:cs="Arial"/>
          <w:lang w:val="es-ES"/>
        </w:rPr>
      </w:pPr>
      <w:r>
        <w:rPr>
          <w:rFonts w:ascii="Verdana" w:eastAsia="Arial" w:hAnsi="Verdana" w:cs="Arial"/>
          <w:lang w:val="es-ES"/>
        </w:rPr>
        <w:t xml:space="preserve">En complemento con lo anterior, es necesario tener en cuenta que, los </w:t>
      </w:r>
      <w:r>
        <w:rPr>
          <w:rFonts w:ascii="Verdana" w:eastAsia="Arial" w:hAnsi="Verdana" w:cs="Arial"/>
          <w:i/>
          <w:iCs/>
          <w:lang w:val="es-ES"/>
        </w:rPr>
        <w:t>convenios interadministrativos</w:t>
      </w:r>
      <w:r>
        <w:rPr>
          <w:rFonts w:ascii="Verdana" w:eastAsia="Arial" w:hAnsi="Verdana" w:cs="Arial"/>
          <w:lang w:val="es-ES"/>
        </w:rPr>
        <w:t xml:space="preserve"> se definen por la </w:t>
      </w:r>
      <w:r>
        <w:rPr>
          <w:rFonts w:ascii="Verdana" w:eastAsia="Arial" w:hAnsi="Verdana" w:cs="Arial"/>
          <w:u w:val="single"/>
          <w:lang w:val="es-ES"/>
        </w:rPr>
        <w:t>naturaleza de las partes</w:t>
      </w:r>
      <w:r>
        <w:rPr>
          <w:rFonts w:ascii="Verdana" w:eastAsia="Arial" w:hAnsi="Verdana" w:cs="Arial"/>
          <w:lang w:val="es-ES"/>
        </w:rPr>
        <w:t xml:space="preserve">, de manera que están determinados por un criterio orgánico, en el sentido de que lo serán aquellos celebrados entre </w:t>
      </w:r>
      <w:r>
        <w:rPr>
          <w:rFonts w:ascii="Verdana" w:eastAsia="Arial" w:hAnsi="Verdana" w:cs="Arial"/>
          <w:i/>
          <w:iCs/>
          <w:lang w:val="es-ES"/>
        </w:rPr>
        <w:t>entidades de derecho público</w:t>
      </w:r>
      <w:r>
        <w:rPr>
          <w:rFonts w:ascii="Verdana" w:eastAsia="Arial" w:hAnsi="Verdana" w:cs="Arial"/>
          <w:lang w:val="es-ES"/>
        </w:rPr>
        <w:t xml:space="preserve">. En este contexto, cuando </w:t>
      </w:r>
      <w:r>
        <w:rPr>
          <w:rFonts w:ascii="Verdana" w:eastAsia="Calibri" w:hAnsi="Verdana" w:cs="Arial"/>
          <w:bCs/>
          <w:color w:val="000000" w:themeColor="text1"/>
          <w:lang w:val="es-ES_tradnl"/>
        </w:rPr>
        <w:t xml:space="preserve">gobernadores, alcaldes, secretarios, gerentes y directores de Entidades Estatales del orden municipal, departamental o distrital </w:t>
      </w:r>
      <w:r>
        <w:rPr>
          <w:rFonts w:ascii="Verdana" w:eastAsia="Arial" w:hAnsi="Verdana" w:cs="Arial"/>
          <w:lang w:val="es-ES"/>
        </w:rPr>
        <w:t xml:space="preserve">celebren convenios </w:t>
      </w:r>
      <w:r>
        <w:rPr>
          <w:rFonts w:ascii="Verdana" w:eastAsia="Times New Roman" w:hAnsi="Verdana" w:cs="Arial"/>
          <w:lang w:eastAsia="es-ES_tradnl"/>
        </w:rPr>
        <w:t xml:space="preserve">con </w:t>
      </w:r>
      <w:r>
        <w:rPr>
          <w:rFonts w:ascii="Verdana" w:eastAsia="Times New Roman" w:hAnsi="Verdana" w:cs="Arial"/>
          <w:bCs/>
          <w:color w:val="000000" w:themeColor="text1"/>
          <w:lang w:eastAsia="es-CO"/>
        </w:rPr>
        <w:t xml:space="preserve">cabildos indígenas, autoridades tradicionales indígenas y las </w:t>
      </w:r>
      <w:r>
        <w:rPr>
          <w:rFonts w:ascii="Verdana" w:eastAsia="Times New Roman" w:hAnsi="Verdana" w:cs="Arial"/>
          <w:bCs/>
          <w:color w:val="000000" w:themeColor="text1"/>
          <w:lang w:eastAsia="es-CO"/>
        </w:rPr>
        <w:lastRenderedPageBreak/>
        <w:t>asociaciones de cabildos indígenas y/o autoridades tradicionales indígenas</w:t>
      </w:r>
      <w:r>
        <w:rPr>
          <w:rFonts w:ascii="Verdana" w:eastAsia="Times New Roman" w:hAnsi="Verdana" w:cs="Arial"/>
          <w:lang w:eastAsia="es-ES_tradnl"/>
        </w:rPr>
        <w:t xml:space="preserve">, se entenderán que son interadministrativos al catalogarlos la ley como entidades públicas. En estos casos </w:t>
      </w:r>
      <w:r>
        <w:rPr>
          <w:rFonts w:ascii="Verdana" w:eastAsia="Arial" w:hAnsi="Verdana" w:cs="Arial"/>
          <w:lang w:val="es-ES"/>
        </w:rPr>
        <w:t>aplicará la restricción del artículo 38 de la Ley 996 de 2005.</w:t>
      </w:r>
    </w:p>
    <w:p w14:paraId="3F20D1CB" w14:textId="77777777" w:rsidR="009B4037" w:rsidRPr="00C55BDE" w:rsidRDefault="009B4037" w:rsidP="009B4037">
      <w:pPr>
        <w:spacing w:before="120" w:after="0" w:line="276" w:lineRule="auto"/>
        <w:ind w:firstLine="708"/>
        <w:jc w:val="both"/>
        <w:rPr>
          <w:rFonts w:ascii="Verdana" w:eastAsia="Times New Roman" w:hAnsi="Verdana" w:cs="Arial"/>
          <w:lang w:val="es-MX" w:eastAsia="es-CO"/>
        </w:rPr>
      </w:pPr>
      <w:r>
        <w:rPr>
          <w:rFonts w:ascii="Verdana" w:eastAsia="Times New Roman" w:hAnsi="Verdana" w:cs="Arial"/>
          <w:lang w:eastAsia="es-CO"/>
        </w:rPr>
        <w:t>En este contexto, e</w:t>
      </w:r>
      <w:r w:rsidRPr="00C55BDE">
        <w:rPr>
          <w:rFonts w:ascii="Verdana" w:eastAsia="Times New Roman" w:hAnsi="Verdana" w:cs="Arial"/>
          <w:lang w:eastAsia="es-CO"/>
        </w:rPr>
        <w:t xml:space="preserve">s importante tener en cuenta que el ámbito de aplicación de la restricción prevista en el parágrafo del artículo 38 de la Ley 996 de 2005 solo se extiende a los </w:t>
      </w:r>
      <w:r w:rsidRPr="00C55BDE">
        <w:rPr>
          <w:rFonts w:ascii="Verdana" w:eastAsia="Times New Roman" w:hAnsi="Verdana" w:cs="Arial"/>
          <w:i/>
          <w:iCs/>
          <w:lang w:eastAsia="es-CO"/>
        </w:rPr>
        <w:t>convenios interadministrativos</w:t>
      </w:r>
      <w:r w:rsidRPr="00C55BDE">
        <w:rPr>
          <w:rFonts w:ascii="Verdana" w:eastAsia="Times New Roman" w:hAnsi="Verdana" w:cs="Arial"/>
          <w:lang w:eastAsia="es-CO"/>
        </w:rPr>
        <w:t xml:space="preserve"> en los que se contemple la </w:t>
      </w:r>
      <w:r w:rsidRPr="00C55BDE">
        <w:rPr>
          <w:rFonts w:ascii="Verdana" w:eastAsia="Times New Roman" w:hAnsi="Verdana" w:cs="Arial"/>
          <w:i/>
          <w:iCs/>
          <w:lang w:eastAsia="es-CO"/>
        </w:rPr>
        <w:t>ejecución de recursos públicos</w:t>
      </w:r>
      <w:r w:rsidRPr="00C55BDE">
        <w:rPr>
          <w:rFonts w:ascii="Verdana" w:eastAsia="Times New Roman" w:hAnsi="Verdana" w:cs="Arial"/>
          <w:lang w:eastAsia="es-CO"/>
        </w:rPr>
        <w:t xml:space="preserve">. Esto significa que la prohibición no resulta aplicable a </w:t>
      </w:r>
      <w:r w:rsidRPr="00C55BDE">
        <w:rPr>
          <w:rFonts w:ascii="Verdana" w:eastAsia="Times New Roman" w:hAnsi="Verdana" w:cs="Arial"/>
          <w:i/>
          <w:iCs/>
          <w:lang w:eastAsia="es-CO"/>
        </w:rPr>
        <w:t>convenios interadministrativos a título gratuito,</w:t>
      </w:r>
      <w:r w:rsidRPr="00C55BDE">
        <w:rPr>
          <w:rFonts w:ascii="Verdana" w:eastAsia="Times New Roman" w:hAnsi="Verdana" w:cs="Arial"/>
          <w:lang w:eastAsia="es-CO"/>
        </w:rPr>
        <w:t xml:space="preserve"> los cuales pueden celebrarse válidamente durante la vigencia de la mencionada restricción. </w:t>
      </w:r>
    </w:p>
    <w:p w14:paraId="691D29D1" w14:textId="77777777" w:rsidR="009B4037" w:rsidRPr="00C55BDE" w:rsidRDefault="009B4037" w:rsidP="009B4037">
      <w:pPr>
        <w:spacing w:before="120" w:after="0" w:line="276" w:lineRule="auto"/>
        <w:ind w:firstLine="708"/>
        <w:jc w:val="both"/>
        <w:rPr>
          <w:rFonts w:ascii="Verdana" w:eastAsia="Times New Roman" w:hAnsi="Verdana" w:cs="Arial"/>
          <w:lang w:eastAsia="es-CO"/>
        </w:rPr>
      </w:pPr>
      <w:r w:rsidRPr="00C55BDE">
        <w:rPr>
          <w:rFonts w:ascii="Verdana" w:eastAsia="Times New Roman" w:hAnsi="Verdana" w:cs="Arial"/>
          <w:lang w:eastAsia="es-CO"/>
        </w:rPr>
        <w:t xml:space="preserve">En este punto, vale la pena destacar que </w:t>
      </w:r>
      <w:r w:rsidRPr="00C55BDE">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55BDE">
        <w:rPr>
          <w:rFonts w:ascii="Verdana" w:hAnsi="Verdana" w:cs="Arial"/>
        </w:rPr>
        <w:t>numeral 16.2 de la Circular Externa Única de 2022 expedida por la Agencia Nacional de Contratación Pública -Colombia Compra Eficiente-, concretamente, respecto de los siguientes apartes normativos</w:t>
      </w:r>
      <w:r w:rsidRPr="00C55BDE">
        <w:rPr>
          <w:rFonts w:ascii="Verdana" w:hAnsi="Verdana" w:cs="Arial"/>
          <w:vertAlign w:val="superscript"/>
        </w:rPr>
        <w:footnoteReference w:id="33"/>
      </w:r>
      <w:r w:rsidRPr="00C55BDE">
        <w:rPr>
          <w:rFonts w:ascii="Verdana" w:hAnsi="Verdana" w:cs="Arial"/>
        </w:rPr>
        <w:t xml:space="preserve">: </w:t>
      </w:r>
    </w:p>
    <w:p w14:paraId="1EDA254C" w14:textId="77777777" w:rsidR="009B4037" w:rsidRPr="00C55BDE" w:rsidRDefault="009B4037" w:rsidP="009B4037">
      <w:pPr>
        <w:spacing w:after="0" w:line="276" w:lineRule="auto"/>
        <w:ind w:firstLine="709"/>
        <w:jc w:val="both"/>
        <w:rPr>
          <w:rFonts w:ascii="Verdana" w:hAnsi="Verdana" w:cs="Arial"/>
        </w:rPr>
      </w:pPr>
    </w:p>
    <w:p w14:paraId="31D59D71" w14:textId="77777777" w:rsidR="009B4037" w:rsidRPr="00C55BDE" w:rsidRDefault="009B4037" w:rsidP="009B4037">
      <w:pPr>
        <w:spacing w:after="0" w:line="240" w:lineRule="auto"/>
        <w:ind w:left="709" w:right="709"/>
        <w:jc w:val="both"/>
        <w:rPr>
          <w:rFonts w:ascii="Verdana" w:hAnsi="Verdana" w:cs="Arial"/>
          <w:sz w:val="20"/>
          <w:szCs w:val="20"/>
        </w:rPr>
      </w:pPr>
      <w:r>
        <w:rPr>
          <w:rFonts w:ascii="Verdana" w:hAnsi="Verdana" w:cs="Arial"/>
          <w:sz w:val="20"/>
          <w:szCs w:val="20"/>
          <w:lang w:val="es-MX"/>
        </w:rPr>
        <w:t>“</w:t>
      </w:r>
      <w:r w:rsidRPr="00C55BDE">
        <w:rPr>
          <w:rFonts w:ascii="Verdana" w:hAnsi="Verdana" w:cs="Arial"/>
          <w:sz w:val="20"/>
          <w:szCs w:val="20"/>
          <w:lang w:val="es-MX"/>
        </w:rPr>
        <w:t>i)</w:t>
      </w:r>
      <w:r w:rsidRPr="00C55BDE">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B05C0CE" w14:textId="77777777" w:rsidR="009B4037" w:rsidRPr="00C55BDE" w:rsidRDefault="009B4037" w:rsidP="009B4037">
      <w:pPr>
        <w:spacing w:after="0" w:line="240" w:lineRule="auto"/>
        <w:ind w:left="709" w:right="709"/>
        <w:jc w:val="both"/>
        <w:rPr>
          <w:rFonts w:ascii="Verdana" w:hAnsi="Verdana" w:cs="Arial"/>
          <w:sz w:val="20"/>
          <w:szCs w:val="20"/>
        </w:rPr>
      </w:pPr>
    </w:p>
    <w:p w14:paraId="56C286FC" w14:textId="77777777" w:rsidR="009B4037" w:rsidRPr="00C55BDE" w:rsidRDefault="009B4037" w:rsidP="009B4037">
      <w:pPr>
        <w:spacing w:after="0" w:line="240" w:lineRule="auto"/>
        <w:ind w:left="709" w:right="709"/>
        <w:jc w:val="both"/>
        <w:rPr>
          <w:rFonts w:ascii="Verdana" w:hAnsi="Verdana" w:cs="Arial"/>
          <w:sz w:val="20"/>
          <w:szCs w:val="20"/>
        </w:rPr>
      </w:pPr>
      <w:proofErr w:type="spellStart"/>
      <w:r w:rsidRPr="00C55BDE">
        <w:rPr>
          <w:rFonts w:ascii="Verdana" w:hAnsi="Verdana" w:cs="Arial"/>
          <w:sz w:val="20"/>
          <w:szCs w:val="20"/>
        </w:rPr>
        <w:t>ii</w:t>
      </w:r>
      <w:proofErr w:type="spellEnd"/>
      <w:r w:rsidRPr="00C55BDE">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7FC15DF7" w14:textId="77777777" w:rsidR="009B4037" w:rsidRPr="00C55BDE" w:rsidRDefault="009B4037" w:rsidP="009B4037">
      <w:pPr>
        <w:spacing w:after="0" w:line="276" w:lineRule="auto"/>
        <w:ind w:left="709" w:right="709"/>
        <w:jc w:val="both"/>
        <w:rPr>
          <w:rFonts w:ascii="Verdana" w:hAnsi="Verdana" w:cs="Arial"/>
        </w:rPr>
      </w:pPr>
    </w:p>
    <w:p w14:paraId="383EC691" w14:textId="77777777" w:rsidR="009B4037" w:rsidRPr="00C55BDE" w:rsidRDefault="009B4037" w:rsidP="009B4037">
      <w:pPr>
        <w:spacing w:after="120" w:line="276" w:lineRule="auto"/>
        <w:ind w:firstLine="709"/>
        <w:jc w:val="both"/>
        <w:rPr>
          <w:rFonts w:ascii="Verdana" w:eastAsia="Arial" w:hAnsi="Verdana" w:cs="Arial"/>
          <w:i/>
          <w:iCs/>
          <w:lang w:eastAsia="es-ES" w:bidi="es-ES"/>
        </w:rPr>
      </w:pPr>
      <w:r w:rsidRPr="00C55BDE">
        <w:rPr>
          <w:rFonts w:ascii="Verdana" w:eastAsia="Arial" w:hAnsi="Verdana" w:cs="Arial"/>
          <w:lang w:val="es-MX" w:eastAsia="es-ES" w:bidi="es-ES"/>
        </w:rPr>
        <w:t xml:space="preserve">De conformidad con los argumentos de dicha providencia, se parte de la distinción entre los conceptos </w:t>
      </w:r>
      <w:r w:rsidRPr="00C55BDE">
        <w:rPr>
          <w:rFonts w:ascii="Verdana" w:eastAsia="Arial" w:hAnsi="Verdana" w:cs="Arial"/>
          <w:lang w:eastAsia="es-ES" w:bidi="es-ES"/>
        </w:rPr>
        <w:t xml:space="preserve">de “convenio” y “contrato” interadministrativos, para diferenciarlos en su naturaleza, contenido y alcance, lo cual ha servido de </w:t>
      </w:r>
      <w:r w:rsidRPr="00C55BDE">
        <w:rPr>
          <w:rFonts w:ascii="Verdana" w:eastAsia="Arial" w:hAnsi="Verdana" w:cs="Arial"/>
          <w:lang w:eastAsia="es-ES" w:bidi="es-ES"/>
        </w:rPr>
        <w:lastRenderedPageBreak/>
        <w:t>fundamento para que tanto la Sección Tercera como también la Sala de Consulta y Servicio Civil de esa Corporación hayan realzado la distinción entre uno y otro negocio jurídico.</w:t>
      </w:r>
      <w:r w:rsidRPr="00C55BDE">
        <w:rPr>
          <w:rFonts w:ascii="Verdana" w:hAnsi="Verdana"/>
          <w:sz w:val="24"/>
          <w:szCs w:val="24"/>
          <w:lang w:eastAsia="es-CO"/>
        </w:rPr>
        <w:t xml:space="preserve"> </w:t>
      </w:r>
      <w:r w:rsidRPr="00C55BDE">
        <w:rPr>
          <w:rFonts w:ascii="Verdana" w:eastAsia="Arial" w:hAnsi="Verdana" w:cs="Arial"/>
          <w:lang w:eastAsia="es-ES" w:bidi="es-ES"/>
        </w:rPr>
        <w:t xml:space="preserve">En este sentido, en relación con el parágrafo del artículo 38 de la Ley 996 de 2005 concluyó que </w:t>
      </w:r>
      <w:r w:rsidRPr="00C55BDE">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B5469A3" w14:textId="77777777" w:rsidR="009B4037" w:rsidRPr="00C55BDE" w:rsidRDefault="009B4037" w:rsidP="009B4037">
      <w:pPr>
        <w:spacing w:after="120" w:line="276" w:lineRule="auto"/>
        <w:ind w:firstLine="709"/>
        <w:jc w:val="both"/>
        <w:rPr>
          <w:rFonts w:ascii="Verdana" w:eastAsia="Arial" w:hAnsi="Verdana" w:cs="Arial"/>
          <w:lang w:eastAsia="es-ES" w:bidi="es-ES"/>
        </w:rPr>
      </w:pPr>
      <w:r w:rsidRPr="00C55BDE">
        <w:rPr>
          <w:rFonts w:ascii="Verdana" w:eastAsia="Arial" w:hAnsi="Verdana" w:cs="Arial"/>
          <w:lang w:eastAsia="es-ES" w:bidi="es-ES"/>
        </w:rPr>
        <w:t>De igual manera, mediante auto del 6 de noviembre de 2025, el Consejo de Estado, Subsección A de la Sección Tercera, decretó</w:t>
      </w:r>
      <w:r w:rsidRPr="00C55BDE">
        <w:rPr>
          <w:rFonts w:ascii="Verdana" w:eastAsia="Arial" w:hAnsi="Verdana" w:cs="Arial"/>
          <w:b/>
          <w:bCs/>
          <w:lang w:eastAsia="es-ES" w:bidi="es-ES"/>
        </w:rPr>
        <w:t xml:space="preserve"> </w:t>
      </w:r>
      <w:r w:rsidRPr="00C55BDE">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55BDE">
        <w:rPr>
          <w:rFonts w:ascii="Verdana" w:eastAsia="Arial" w:hAnsi="Verdana" w:cs="Arial"/>
          <w:vertAlign w:val="superscript"/>
          <w:lang w:eastAsia="es-ES" w:bidi="es-ES"/>
        </w:rPr>
        <w:footnoteReference w:id="34"/>
      </w:r>
      <w:r w:rsidRPr="00C55BDE">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C55BDE">
        <w:rPr>
          <w:rFonts w:ascii="Verdana" w:eastAsia="Arial" w:hAnsi="Verdana" w:cs="Arial"/>
          <w:lang w:eastAsia="es-ES" w:bidi="es-ES"/>
        </w:rPr>
        <w:t>legis</w:t>
      </w:r>
      <w:proofErr w:type="spellEnd"/>
      <w:r w:rsidRPr="00C55BDE">
        <w:rPr>
          <w:rFonts w:ascii="Verdana" w:eastAsia="Arial" w:hAnsi="Verdana" w:cs="Arial"/>
          <w:lang w:eastAsia="es-ES" w:bidi="es-ES"/>
        </w:rPr>
        <w:t xml:space="preserve"> o iuris y la interpretación extensiva y reiteró los argumentos sobre la diferencia entre contratos y convenios interadministrativos. </w:t>
      </w:r>
    </w:p>
    <w:p w14:paraId="50657E8F" w14:textId="77777777" w:rsidR="009B4037" w:rsidRPr="00C55BDE" w:rsidRDefault="009B4037" w:rsidP="009B4037">
      <w:pPr>
        <w:spacing w:after="120" w:line="276" w:lineRule="auto"/>
        <w:ind w:firstLine="709"/>
        <w:jc w:val="both"/>
        <w:rPr>
          <w:rFonts w:ascii="Verdana" w:eastAsia="Times New Roman" w:hAnsi="Verdana" w:cs="Times New Roman"/>
          <w:lang w:eastAsia="es-ES"/>
        </w:rPr>
      </w:pPr>
      <w:r w:rsidRPr="00C55BDE">
        <w:rPr>
          <w:rFonts w:ascii="Verdana" w:eastAsia="Arial" w:hAnsi="Verdana" w:cs="Arial"/>
          <w:lang w:eastAsia="es-ES" w:bidi="es-ES"/>
        </w:rPr>
        <w:lastRenderedPageBreak/>
        <w:t xml:space="preserve">Finalmente, mediante sentencia del 17 de octubre de 2025, emitida por la Sala de lo Contencioso Administrativo del Consejo de Estado, dentro del expediente </w:t>
      </w:r>
      <w:r w:rsidRPr="00C55BDE">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60B526D0" w14:textId="77777777" w:rsidR="009B4037" w:rsidRPr="00C55BDE" w:rsidRDefault="009B4037" w:rsidP="009B4037">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55BDE">
        <w:rPr>
          <w:rStyle w:val="Refdenotaalpie"/>
          <w:rFonts w:ascii="Verdana" w:eastAsia="Times New Roman" w:hAnsi="Verdana" w:cs="Times New Roman"/>
          <w:lang w:eastAsia="es-ES"/>
        </w:rPr>
        <w:footnoteReference w:id="35"/>
      </w:r>
      <w:r w:rsidRPr="00C55BDE">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209EE4DD" w14:textId="77777777" w:rsidR="009B4037" w:rsidRPr="00C55BDE" w:rsidRDefault="009B4037" w:rsidP="009B4037">
      <w:pPr>
        <w:spacing w:after="120" w:line="276" w:lineRule="auto"/>
        <w:ind w:firstLine="709"/>
        <w:jc w:val="both"/>
        <w:rPr>
          <w:rFonts w:ascii="Verdana" w:eastAsia="Times New Roman" w:hAnsi="Verdana" w:cs="Times New Roman"/>
          <w:lang w:eastAsia="es-ES"/>
        </w:rPr>
      </w:pPr>
      <w:r w:rsidRPr="00C55BDE">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0ABEA9F6" w14:textId="77777777" w:rsidR="009B4037" w:rsidRPr="00C55BDE" w:rsidRDefault="009B4037" w:rsidP="009B4037">
      <w:pPr>
        <w:spacing w:after="120" w:line="276" w:lineRule="auto"/>
        <w:ind w:firstLine="709"/>
        <w:jc w:val="both"/>
        <w:rPr>
          <w:rFonts w:ascii="Verdana" w:eastAsia="Times New Roman" w:hAnsi="Verdana" w:cs="Arial"/>
          <w:lang w:eastAsia="es-CO"/>
        </w:rPr>
      </w:pPr>
      <w:r w:rsidRPr="00C55BDE">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C55BDE">
        <w:rPr>
          <w:rFonts w:ascii="Verdana" w:eastAsia="Times New Roman" w:hAnsi="Verdana" w:cs="Arial"/>
          <w:i/>
          <w:iCs/>
          <w:lang w:eastAsia="es-CO"/>
        </w:rPr>
        <w:t xml:space="preserve">contratos </w:t>
      </w:r>
      <w:r w:rsidRPr="00C55BDE">
        <w:rPr>
          <w:rFonts w:ascii="Verdana" w:eastAsia="Times New Roman" w:hAnsi="Verdana" w:cs="Arial"/>
          <w:i/>
          <w:iCs/>
          <w:lang w:eastAsia="es-CO"/>
        </w:rPr>
        <w:lastRenderedPageBreak/>
        <w:t>interadministrativos</w:t>
      </w:r>
      <w:r w:rsidRPr="00C55BDE">
        <w:rPr>
          <w:rFonts w:ascii="Verdana" w:eastAsia="Times New Roman" w:hAnsi="Verdana" w:cs="Arial"/>
          <w:lang w:eastAsia="es-CO"/>
        </w:rPr>
        <w:t>, esta prohibición solo aplicaría a los convenios interadministrativos que impliquen la ejecución de recursos públicos</w:t>
      </w:r>
      <w:r w:rsidRPr="00C55BDE">
        <w:rPr>
          <w:rStyle w:val="Refdenotaalpie"/>
          <w:rFonts w:ascii="Verdana" w:eastAsia="Times New Roman" w:hAnsi="Verdana" w:cs="Arial"/>
          <w:lang w:eastAsia="es-CO"/>
        </w:rPr>
        <w:footnoteReference w:id="36"/>
      </w:r>
      <w:r w:rsidRPr="00C55BDE">
        <w:rPr>
          <w:rFonts w:ascii="Verdana" w:eastAsia="Times New Roman" w:hAnsi="Verdana" w:cs="Arial"/>
          <w:lang w:eastAsia="es-CO"/>
        </w:rPr>
        <w:t>.</w:t>
      </w:r>
    </w:p>
    <w:p w14:paraId="4F8AF445" w14:textId="77777777" w:rsidR="009B4037" w:rsidRPr="00C55BDE" w:rsidRDefault="009B4037" w:rsidP="009B4037">
      <w:pPr>
        <w:spacing w:after="120" w:line="276" w:lineRule="auto"/>
        <w:ind w:firstLine="708"/>
        <w:jc w:val="both"/>
        <w:rPr>
          <w:rFonts w:ascii="Verdana" w:eastAsia="Times New Roman" w:hAnsi="Verdana" w:cs="Arial"/>
          <w:lang w:eastAsia="es-CO"/>
        </w:rPr>
      </w:pPr>
      <w:r w:rsidRPr="00C55BDE">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0C9D3DC" w14:textId="77777777" w:rsidR="009B4037" w:rsidRPr="00C55BDE" w:rsidRDefault="009B4037" w:rsidP="009B4037">
      <w:pPr>
        <w:spacing w:after="0" w:line="276" w:lineRule="auto"/>
        <w:ind w:firstLine="708"/>
        <w:jc w:val="both"/>
        <w:rPr>
          <w:rFonts w:ascii="Verdana" w:hAnsi="Verdana" w:cs="Arial"/>
          <w:bCs/>
          <w:color w:val="000000" w:themeColor="text1"/>
        </w:rPr>
      </w:pPr>
      <w:r w:rsidRPr="00C55BDE">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9D15BC3" w14:textId="77777777" w:rsidR="009B4037" w:rsidRPr="00C55BDE" w:rsidRDefault="009B4037" w:rsidP="009B4037">
      <w:pPr>
        <w:spacing w:after="0" w:line="276" w:lineRule="auto"/>
        <w:ind w:firstLine="708"/>
        <w:jc w:val="both"/>
        <w:rPr>
          <w:rFonts w:ascii="Verdana" w:hAnsi="Verdana" w:cs="Arial"/>
          <w:bCs/>
          <w:color w:val="000000" w:themeColor="text1"/>
        </w:rPr>
      </w:pPr>
    </w:p>
    <w:p w14:paraId="6FBA348F" w14:textId="77777777" w:rsidR="009B4037" w:rsidRPr="00C55BDE" w:rsidRDefault="009B4037" w:rsidP="009B4037">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Referencias normativas:</w:t>
      </w:r>
    </w:p>
    <w:p w14:paraId="557F415E" w14:textId="77777777" w:rsidR="009B4037" w:rsidRPr="00C55BDE" w:rsidRDefault="009B4037" w:rsidP="009B4037">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B4037" w:rsidRPr="00C55BDE" w14:paraId="0848DF4F" w14:textId="77777777" w:rsidTr="00F55330">
        <w:trPr>
          <w:trHeight w:val="491"/>
          <w:jc w:val="center"/>
        </w:trPr>
        <w:tc>
          <w:tcPr>
            <w:tcW w:w="8647" w:type="dxa"/>
          </w:tcPr>
          <w:p w14:paraId="0DFB90E3" w14:textId="77777777" w:rsidR="009B4037" w:rsidRPr="00C55BDE" w:rsidRDefault="009B4037" w:rsidP="00F553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Constitución Política, artículos 127, 329, 356.</w:t>
            </w:r>
          </w:p>
          <w:p w14:paraId="06F210DC" w14:textId="77777777" w:rsidR="009B4037" w:rsidRPr="00C55BDE" w:rsidRDefault="009B4037" w:rsidP="00F553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Decreto 1088 de 1993.</w:t>
            </w:r>
          </w:p>
          <w:p w14:paraId="0F7D8AD6" w14:textId="77777777" w:rsidR="009B4037" w:rsidRPr="00C55BDE" w:rsidRDefault="009B4037" w:rsidP="00F553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Decreto 1953 de 2014.</w:t>
            </w:r>
          </w:p>
          <w:p w14:paraId="5E43EF15" w14:textId="77777777" w:rsidR="009B4037" w:rsidRPr="00C55BDE" w:rsidRDefault="009B4037" w:rsidP="00F553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Ley 80 de 1993, artículo 2.</w:t>
            </w:r>
          </w:p>
          <w:p w14:paraId="6F37F36F" w14:textId="77777777" w:rsidR="009B4037" w:rsidRPr="00C55BDE" w:rsidRDefault="009B4037" w:rsidP="00F553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55BDE">
              <w:rPr>
                <w:rFonts w:ascii="Verdana" w:eastAsia="Arial MT" w:hAnsi="Verdana" w:cs="Arial"/>
                <w:lang w:val="es-ES" w:eastAsia="es-ES" w:bidi="es-ES"/>
              </w:rPr>
              <w:t>Ley 715 de 2001.</w:t>
            </w:r>
          </w:p>
          <w:p w14:paraId="5082DE5D" w14:textId="77777777" w:rsidR="009B4037" w:rsidRPr="00C55BDE" w:rsidRDefault="009B4037" w:rsidP="00F55330">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eastAsia="Arial MT" w:hAnsi="Verdana" w:cs="Arial"/>
                <w:bCs/>
                <w:lang w:val="es-ES" w:eastAsia="es-ES" w:bidi="es-ES"/>
              </w:rPr>
              <w:lastRenderedPageBreak/>
              <w:t>Ley 996 de 2005, artículos 33 y 38.</w:t>
            </w:r>
          </w:p>
          <w:p w14:paraId="47996522" w14:textId="77777777" w:rsidR="009B4037" w:rsidRPr="00C55BDE" w:rsidRDefault="009B4037" w:rsidP="00F55330">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C55BDE">
              <w:rPr>
                <w:rFonts w:ascii="Verdana" w:hAnsi="Verdana" w:cs="Arial"/>
                <w:bCs/>
                <w:color w:val="000000" w:themeColor="text1"/>
                <w:lang w:val="es-ES"/>
              </w:rPr>
              <w:t>Decreto 1068 de 2015, artículo 2.2.1.1.1.</w:t>
            </w:r>
          </w:p>
          <w:p w14:paraId="62C9B0E7" w14:textId="77777777" w:rsidR="009B4037" w:rsidRPr="00C55BDE" w:rsidRDefault="009B4037" w:rsidP="00F55330">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pt-BR"/>
              </w:rPr>
              <w:t>Corte Constitucional. Sentencia C-671 de 2015. M.P. Alberto Rojas Ríos.</w:t>
            </w:r>
          </w:p>
          <w:p w14:paraId="6E9468CE" w14:textId="77777777" w:rsidR="009B4037" w:rsidRPr="00C55BDE" w:rsidRDefault="009B4037" w:rsidP="00F55330">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Sección Primera. Sentencia de 3 de marzo de 2005, </w:t>
            </w:r>
            <w:proofErr w:type="spellStart"/>
            <w:r w:rsidRPr="00C55BDE">
              <w:rPr>
                <w:rFonts w:ascii="Verdana" w:hAnsi="Verdana" w:cs="Arial"/>
                <w:lang w:val="es-ES"/>
              </w:rPr>
              <w:t>Exp</w:t>
            </w:r>
            <w:proofErr w:type="spellEnd"/>
            <w:r w:rsidRPr="00C55BDE">
              <w:rPr>
                <w:rFonts w:ascii="Verdana" w:hAnsi="Verdana" w:cs="Arial"/>
                <w:lang w:val="es-ES"/>
              </w:rPr>
              <w:t xml:space="preserve">. 2004-00823-01(PI). </w:t>
            </w:r>
          </w:p>
          <w:p w14:paraId="4E858D56" w14:textId="77777777" w:rsidR="009B4037" w:rsidRPr="00C55BDE" w:rsidRDefault="009B4037" w:rsidP="00F55330">
            <w:pPr>
              <w:numPr>
                <w:ilvl w:val="0"/>
                <w:numId w:val="17"/>
              </w:numPr>
              <w:spacing w:before="120" w:after="120" w:line="276" w:lineRule="auto"/>
              <w:jc w:val="both"/>
              <w:rPr>
                <w:rFonts w:ascii="Verdana" w:hAnsi="Verdana" w:cs="Arial"/>
                <w:lang w:val="es-ES"/>
              </w:rPr>
            </w:pPr>
            <w:r w:rsidRPr="00C55BDE">
              <w:rPr>
                <w:rFonts w:ascii="Verdana" w:hAnsi="Verdana" w:cs="Arial"/>
              </w:rPr>
              <w:t>Consejo de Estado. Sala de Consulta y Servicio Civil. Concepto del 15 de noviembre de 2007. Expediente número 1863. Consejero Ponente: Luis Fernando Álvarez Jaramillo</w:t>
            </w:r>
          </w:p>
          <w:p w14:paraId="748C08A9" w14:textId="77777777" w:rsidR="009B4037" w:rsidRPr="00C55BDE" w:rsidRDefault="009B4037" w:rsidP="00F55330">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lang w:val="es-ES"/>
              </w:rPr>
              <w:t xml:space="preserve">Consejo de Estado, Sala de Consulta y Servicio Civil, Concepto de fecha 24 de julio de 2013, Rad. 2166, C. P. Álvaro Namén Vargas. </w:t>
            </w:r>
          </w:p>
          <w:p w14:paraId="3B35353B" w14:textId="77777777" w:rsidR="009B4037" w:rsidRPr="00C55BDE" w:rsidRDefault="009B4037" w:rsidP="00F55330">
            <w:pPr>
              <w:numPr>
                <w:ilvl w:val="0"/>
                <w:numId w:val="17"/>
              </w:numPr>
              <w:spacing w:before="120" w:after="120" w:line="276" w:lineRule="auto"/>
              <w:jc w:val="both"/>
              <w:rPr>
                <w:rFonts w:ascii="Verdana" w:hAnsi="Verdana" w:cs="Arial"/>
                <w:lang w:val="es-ES"/>
              </w:rPr>
            </w:pPr>
            <w:r w:rsidRPr="00C55BDE">
              <w:rPr>
                <w:rFonts w:ascii="Verdana" w:hAnsi="Verdana" w:cs="Arial"/>
              </w:rPr>
              <w:t>Consejo de Estado. Sala de Consulta y Servicio Civil. Concepto del 2 de septiembre de 2013 Radicado No: 2168. CP: Alvaro Namén Vargas.</w:t>
            </w:r>
          </w:p>
          <w:p w14:paraId="0347D967" w14:textId="77777777" w:rsidR="009B4037" w:rsidRPr="00C55BDE" w:rsidRDefault="009B4037" w:rsidP="00F55330">
            <w:pPr>
              <w:numPr>
                <w:ilvl w:val="0"/>
                <w:numId w:val="17"/>
              </w:numPr>
              <w:spacing w:before="120" w:after="120" w:line="276" w:lineRule="auto"/>
              <w:jc w:val="both"/>
              <w:rPr>
                <w:rFonts w:ascii="Verdana" w:hAnsi="Verdana" w:cs="Arial"/>
                <w:lang w:val="es-ES"/>
              </w:rPr>
            </w:pPr>
            <w:r w:rsidRPr="00C55BDE">
              <w:rPr>
                <w:rFonts w:ascii="Verdana" w:hAnsi="Verdana" w:cs="Arial"/>
                <w:lang w:val="es-ES"/>
              </w:rPr>
              <w:t>Consejo de Estado. Sala de Consulta y Servicio Civil. Concepto del 17 de febrero de 2015. C.P. William Zambrano Cetina. Radicación No. 11001-03-06-000-2015-00164-00(2269).</w:t>
            </w:r>
          </w:p>
          <w:p w14:paraId="766BE409" w14:textId="77777777" w:rsidR="009B4037" w:rsidRPr="00C55BDE" w:rsidRDefault="009B4037" w:rsidP="00F55330">
            <w:pPr>
              <w:numPr>
                <w:ilvl w:val="0"/>
                <w:numId w:val="17"/>
              </w:numPr>
              <w:spacing w:before="120" w:after="120" w:line="276" w:lineRule="auto"/>
              <w:jc w:val="both"/>
              <w:rPr>
                <w:rFonts w:ascii="Verdana" w:hAnsi="Verdana" w:cs="Arial"/>
                <w:lang w:val="es-ES"/>
              </w:rPr>
            </w:pPr>
            <w:r w:rsidRPr="00C55BDE">
              <w:rPr>
                <w:rFonts w:ascii="Verdana" w:hAnsi="Verdana" w:cs="Arial"/>
                <w:lang w:val="es-ES"/>
              </w:rPr>
              <w:t>Consejo de Estado, Sala de Consulta y Servicio Civil, Concepto de fecha 8 de mayo de 2018, No. 2382. C. P. Álvaro Namén Vargas.</w:t>
            </w:r>
          </w:p>
          <w:p w14:paraId="24182024" w14:textId="77777777" w:rsidR="009B4037" w:rsidRPr="00C55BDE" w:rsidRDefault="009B4037" w:rsidP="00F55330">
            <w:pPr>
              <w:widowControl w:val="0"/>
              <w:numPr>
                <w:ilvl w:val="0"/>
                <w:numId w:val="17"/>
              </w:numPr>
              <w:autoSpaceDE w:val="0"/>
              <w:autoSpaceDN w:val="0"/>
              <w:spacing w:after="120" w:line="276" w:lineRule="auto"/>
              <w:jc w:val="both"/>
              <w:rPr>
                <w:rFonts w:ascii="Verdana" w:hAnsi="Verdana" w:cs="Arial"/>
                <w:lang w:val="es-ES"/>
              </w:rPr>
            </w:pPr>
            <w:proofErr w:type="spellStart"/>
            <w:r w:rsidRPr="00C55BDE">
              <w:rPr>
                <w:rFonts w:ascii="Verdana" w:hAnsi="Verdana" w:cs="Arial"/>
                <w:lang w:val="pt-BR"/>
              </w:rPr>
              <w:t>Consejo</w:t>
            </w:r>
            <w:proofErr w:type="spellEnd"/>
            <w:r w:rsidRPr="00C55BDE">
              <w:rPr>
                <w:rFonts w:ascii="Verdana" w:hAnsi="Verdana" w:cs="Arial"/>
                <w:lang w:val="pt-BR"/>
              </w:rPr>
              <w:t xml:space="preserve"> de Estado, </w:t>
            </w:r>
            <w:proofErr w:type="spellStart"/>
            <w:r w:rsidRPr="00C55BDE">
              <w:rPr>
                <w:rFonts w:ascii="Verdana" w:hAnsi="Verdana" w:cs="Arial"/>
                <w:lang w:val="pt-BR"/>
              </w:rPr>
              <w:t>Sección</w:t>
            </w:r>
            <w:proofErr w:type="spellEnd"/>
            <w:r w:rsidRPr="00C55BDE">
              <w:rPr>
                <w:rFonts w:ascii="Verdana" w:hAnsi="Verdana" w:cs="Arial"/>
                <w:lang w:val="pt-BR"/>
              </w:rPr>
              <w:t xml:space="preserve"> Tercera. Auto </w:t>
            </w:r>
            <w:proofErr w:type="spellStart"/>
            <w:r w:rsidRPr="00C55BDE">
              <w:rPr>
                <w:rFonts w:ascii="Verdana" w:hAnsi="Verdana" w:cs="Arial"/>
                <w:lang w:val="pt-BR"/>
              </w:rPr>
              <w:t>del</w:t>
            </w:r>
            <w:proofErr w:type="spellEnd"/>
            <w:r w:rsidRPr="00C55BDE">
              <w:rPr>
                <w:rFonts w:ascii="Verdana" w:hAnsi="Verdana" w:cs="Arial"/>
                <w:lang w:val="pt-BR"/>
              </w:rPr>
              <w:t xml:space="preserve"> 4 de </w:t>
            </w:r>
            <w:proofErr w:type="spellStart"/>
            <w:r w:rsidRPr="00C55BDE">
              <w:rPr>
                <w:rFonts w:ascii="Verdana" w:hAnsi="Verdana" w:cs="Arial"/>
                <w:lang w:val="pt-BR"/>
              </w:rPr>
              <w:t>octubre</w:t>
            </w:r>
            <w:proofErr w:type="spellEnd"/>
            <w:r w:rsidRPr="00C55BDE">
              <w:rPr>
                <w:rFonts w:ascii="Verdana" w:hAnsi="Verdana" w:cs="Arial"/>
                <w:lang w:val="pt-BR"/>
              </w:rPr>
              <w:t xml:space="preserve"> de 2024. Exp. 70.313. C.P: Fredy Ibarra Martínez.</w:t>
            </w:r>
          </w:p>
          <w:p w14:paraId="4C95BAA7" w14:textId="77777777" w:rsidR="009B4037" w:rsidRPr="00C55BDE" w:rsidRDefault="009B4037" w:rsidP="00F55330">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27266DA3" w14:textId="77777777" w:rsidR="009B4037" w:rsidRPr="00C55BDE" w:rsidRDefault="009B4037" w:rsidP="00F55330">
            <w:pPr>
              <w:widowControl w:val="0"/>
              <w:numPr>
                <w:ilvl w:val="0"/>
                <w:numId w:val="17"/>
              </w:numPr>
              <w:autoSpaceDE w:val="0"/>
              <w:autoSpaceDN w:val="0"/>
              <w:spacing w:after="120" w:line="276" w:lineRule="auto"/>
              <w:jc w:val="both"/>
              <w:rPr>
                <w:rFonts w:ascii="Verdana" w:hAnsi="Verdana" w:cs="Arial"/>
                <w:lang w:val="es-ES"/>
              </w:rPr>
            </w:pPr>
            <w:r w:rsidRPr="00C55BDE">
              <w:rPr>
                <w:rFonts w:ascii="Verdana" w:hAnsi="Verdana" w:cs="Arial"/>
              </w:rPr>
              <w:t xml:space="preserve">Circular Externa No. 006 de 2025 </w:t>
            </w:r>
            <w:hyperlink r:id="rId13" w:history="1">
              <w:r w:rsidRPr="00C55BDE">
                <w:rPr>
                  <w:rFonts w:ascii="Verdana" w:hAnsi="Verdana" w:cs="Arial"/>
                  <w:color w:val="0000FF"/>
                  <w:u w:val="single"/>
                </w:rPr>
                <w:t>https://www.colombiacompra.gov.co/archivos/circular/circular-externa-006-de-2025</w:t>
              </w:r>
            </w:hyperlink>
            <w:r w:rsidRPr="00C55BDE">
              <w:rPr>
                <w:rFonts w:ascii="Verdana" w:hAnsi="Verdana" w:cs="Arial"/>
              </w:rPr>
              <w:t xml:space="preserve"> </w:t>
            </w:r>
          </w:p>
        </w:tc>
      </w:tr>
    </w:tbl>
    <w:p w14:paraId="6EAB8C0C" w14:textId="77777777" w:rsidR="009B4037" w:rsidRPr="00C55BDE" w:rsidRDefault="009B4037" w:rsidP="009B4037">
      <w:pPr>
        <w:widowControl w:val="0"/>
        <w:autoSpaceDE w:val="0"/>
        <w:autoSpaceDN w:val="0"/>
        <w:spacing w:after="0" w:line="276" w:lineRule="auto"/>
        <w:jc w:val="both"/>
        <w:rPr>
          <w:rFonts w:ascii="Verdana" w:hAnsi="Verdana" w:cs="Arial"/>
          <w:lang w:val="es-ES_tradnl"/>
        </w:rPr>
      </w:pPr>
    </w:p>
    <w:p w14:paraId="4628AAF6" w14:textId="77777777" w:rsidR="009B4037" w:rsidRPr="00C55BDE" w:rsidRDefault="009B4037" w:rsidP="009B4037">
      <w:pPr>
        <w:numPr>
          <w:ilvl w:val="0"/>
          <w:numId w:val="16"/>
        </w:numPr>
        <w:tabs>
          <w:tab w:val="left" w:pos="142"/>
          <w:tab w:val="left" w:pos="284"/>
        </w:tabs>
        <w:spacing w:after="0" w:line="276" w:lineRule="auto"/>
        <w:ind w:left="360"/>
        <w:jc w:val="both"/>
        <w:rPr>
          <w:rFonts w:ascii="Verdana" w:eastAsia="Century Gothic" w:hAnsi="Verdana" w:cs="Century Gothic"/>
          <w:b/>
          <w:bCs/>
          <w:lang w:val="es-ES_tradnl"/>
        </w:rPr>
      </w:pPr>
      <w:r w:rsidRPr="00C55BDE">
        <w:rPr>
          <w:rFonts w:ascii="Verdana" w:eastAsia="Century Gothic" w:hAnsi="Verdana" w:cs="Century Gothic"/>
          <w:b/>
          <w:bCs/>
          <w:lang w:val="es-ES_tradnl"/>
        </w:rPr>
        <w:t>Doctrina de la Agencia Nacional de Contratación Pública:</w:t>
      </w:r>
    </w:p>
    <w:p w14:paraId="213369EC" w14:textId="77777777" w:rsidR="009B4037" w:rsidRPr="00C55BDE" w:rsidRDefault="009B4037" w:rsidP="009B4037">
      <w:pPr>
        <w:widowControl w:val="0"/>
        <w:autoSpaceDE w:val="0"/>
        <w:autoSpaceDN w:val="0"/>
        <w:spacing w:after="0" w:line="276" w:lineRule="auto"/>
        <w:jc w:val="both"/>
        <w:rPr>
          <w:rFonts w:ascii="Verdana" w:hAnsi="Verdana" w:cs="Arial"/>
          <w:lang w:val="es-ES_tradnl"/>
        </w:rPr>
      </w:pPr>
    </w:p>
    <w:p w14:paraId="4C73524F" w14:textId="77777777" w:rsidR="009B4037" w:rsidRPr="00C55BDE" w:rsidRDefault="009B4037" w:rsidP="009B4037">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t xml:space="preserve">Esta Subdirección se ha pronunciado sobre la finalidad y propósito de la Ley de Garantías Electorales en los Conceptos C-227 del 24 de mayo de 2021, C-396 </w:t>
      </w:r>
      <w:r w:rsidRPr="00C55BDE">
        <w:rPr>
          <w:rFonts w:ascii="Verdana" w:hAnsi="Verdana" w:cs="Arial"/>
          <w:shd w:val="clear" w:color="auto" w:fill="FFFFFF"/>
        </w:rPr>
        <w:lastRenderedPageBreak/>
        <w:t>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 C-1430 del 12 de noviembre del 2025 y C-1492 del 21 de noviembre del 2025</w:t>
      </w:r>
      <w:r>
        <w:rPr>
          <w:rFonts w:ascii="Verdana" w:hAnsi="Verdana" w:cs="Arial"/>
          <w:shd w:val="clear" w:color="auto" w:fill="FFFFFF"/>
        </w:rPr>
        <w:t xml:space="preserve"> y C-1608 del 4 de diciembre de 2025</w:t>
      </w:r>
      <w:r w:rsidRPr="00C55BDE">
        <w:rPr>
          <w:rFonts w:ascii="Verdana" w:hAnsi="Verdana" w:cs="Arial"/>
          <w:shd w:val="clear" w:color="auto" w:fill="FFFFFF"/>
        </w:rPr>
        <w:t>.</w:t>
      </w:r>
    </w:p>
    <w:p w14:paraId="7F2976CA" w14:textId="77777777" w:rsidR="009B4037" w:rsidRPr="00C55BDE" w:rsidRDefault="009B4037" w:rsidP="009B4037">
      <w:pPr>
        <w:widowControl w:val="0"/>
        <w:autoSpaceDE w:val="0"/>
        <w:autoSpaceDN w:val="0"/>
        <w:spacing w:after="120" w:line="276" w:lineRule="auto"/>
        <w:jc w:val="both"/>
        <w:rPr>
          <w:rFonts w:ascii="Verdana" w:hAnsi="Verdana" w:cs="Arial"/>
          <w:shd w:val="clear" w:color="auto" w:fill="FFFFFF"/>
        </w:rPr>
      </w:pPr>
      <w:r w:rsidRPr="00C55BDE">
        <w:rPr>
          <w:rFonts w:ascii="Verdana" w:hAnsi="Verdana" w:cs="Arial"/>
          <w:shd w:val="clear" w:color="auto" w:fill="FFFFFF"/>
        </w:rPr>
        <w:t>Igualmente ha analizado el marco normativo de contratación con Pueblos Indígenas en los conceptos Nro. C-459 del 22 de diciembre del 2023, C-011 del 01 de marzo del 2024, C-012 del 21 de marzo del 2024, C-062 del 07 de junio del 2024, C-371 del 09 de agosto del 2024, C-256 del 30 de agosto del 2024, C-596 del 16 de octubre del 2024</w:t>
      </w:r>
      <w:r w:rsidRPr="00C55BDE">
        <w:rPr>
          <w:rFonts w:ascii="Verdana" w:hAnsi="Verdana" w:cs="Arial"/>
          <w:shd w:val="clear" w:color="auto" w:fill="FFFFFF"/>
          <w:lang w:val="es-ES"/>
        </w:rPr>
        <w:t>, C-484 del 2025, C-891 del 20 de diciembre del 2024, C-714 del 04 de julio del 2025, C-844 del 06 de agosto del 2025, C-1130 del 17 de septiembre del 2025 y C-1585 del 03 de diciembre del 2025.</w:t>
      </w:r>
      <w:r w:rsidRPr="00C55BDE">
        <w:rPr>
          <w:rFonts w:ascii="Verdana" w:hAnsi="Verdana" w:cs="Arial"/>
          <w:shd w:val="clear" w:color="auto" w:fill="FFFFFF"/>
        </w:rPr>
        <w:t xml:space="preserve"> </w:t>
      </w:r>
      <w:r w:rsidRPr="00C55BDE">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4" w:history="1">
        <w:r w:rsidRPr="00C55BDE">
          <w:rPr>
            <w:rFonts w:ascii="Verdana" w:hAnsi="Verdana" w:cs="Arial"/>
            <w:color w:val="0000FF"/>
            <w:u w:val="single"/>
            <w:shd w:val="clear" w:color="auto" w:fill="FFFFFF"/>
            <w:lang w:val="es-ES_tradnl"/>
          </w:rPr>
          <w:t>https://relatoria.colombiacompra.gov.co/busqueda/conceptos</w:t>
        </w:r>
      </w:hyperlink>
      <w:r w:rsidRPr="00C55BDE">
        <w:rPr>
          <w:rFonts w:ascii="Verdana" w:hAnsi="Verdana" w:cs="Arial"/>
          <w:shd w:val="clear" w:color="auto" w:fill="FFFFFF"/>
          <w:lang w:val="es-ES_tradnl"/>
        </w:rPr>
        <w:t xml:space="preserve">. </w:t>
      </w:r>
      <w:r w:rsidRPr="00C55BDE">
        <w:rPr>
          <w:rFonts w:ascii="Verdana" w:hAnsi="Verdana" w:cs="Arial"/>
          <w:color w:val="FF0000"/>
          <w:shd w:val="clear" w:color="auto" w:fill="FFFFFF"/>
          <w:lang w:val="es-ES_tradnl"/>
        </w:rPr>
        <w:t xml:space="preserve"> </w:t>
      </w:r>
    </w:p>
    <w:p w14:paraId="74BF1845" w14:textId="77777777" w:rsidR="009B4037" w:rsidRPr="00C55BDE" w:rsidRDefault="009B4037" w:rsidP="009B4037">
      <w:pPr>
        <w:shd w:val="clear" w:color="auto" w:fill="FFFFFF"/>
        <w:spacing w:after="120" w:line="276" w:lineRule="auto"/>
        <w:jc w:val="both"/>
        <w:rPr>
          <w:rFonts w:ascii="Verdana" w:hAnsi="Verdana"/>
          <w:color w:val="467886"/>
          <w:u w:val="single"/>
        </w:rPr>
      </w:pPr>
      <w:r w:rsidRPr="00C55BDE">
        <w:rPr>
          <w:rFonts w:ascii="Verdana" w:hAnsi="Verdana"/>
          <w:color w:val="000000"/>
          <w:lang w:val="es-ES_tradnl"/>
        </w:rPr>
        <w:t>Informamos</w:t>
      </w:r>
      <w:r w:rsidRPr="00C55BDE">
        <w:rPr>
          <w:rFonts w:ascii="Verdana" w:hAnsi="Verdana"/>
          <w:color w:val="000000"/>
        </w:rPr>
        <w:t xml:space="preserve"> que ya se encuentra disponible la </w:t>
      </w:r>
      <w:r w:rsidRPr="00C55BDE">
        <w:rPr>
          <w:rFonts w:ascii="Verdana" w:hAnsi="Verdana"/>
          <w:b/>
          <w:bCs/>
          <w:color w:val="000000"/>
        </w:rPr>
        <w:t>Guía de lineamientos de transparencia y selección objetiva para el departamento de La Guajira – Objetivo sexto constitucional de la Sentencia T-302 del 2017. </w:t>
      </w:r>
      <w:r w:rsidRPr="00C55BD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55BDE">
        <w:rPr>
          <w:rFonts w:ascii="Verdana" w:hAnsi="Verdana"/>
          <w:color w:val="000000"/>
        </w:rPr>
        <w:t>Wayúu</w:t>
      </w:r>
      <w:proofErr w:type="spellEnd"/>
      <w:r w:rsidRPr="00C55BDE">
        <w:rPr>
          <w:rFonts w:ascii="Verdana" w:hAnsi="Verdana"/>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C55BDE">
          <w:rPr>
            <w:rFonts w:ascii="Verdana" w:hAnsi="Verdana"/>
            <w:color w:val="0000FF"/>
            <w:u w:val="single"/>
          </w:rPr>
          <w:t>Guía de lineamientos de transparencia y selección objetiva para el departamento de La Guajira – Objetivo sexto constitucional de la Sentencia T-302 del 2017</w:t>
        </w:r>
      </w:hyperlink>
      <w:r w:rsidRPr="00C55BDE">
        <w:rPr>
          <w:rFonts w:ascii="Verdana" w:hAnsi="Verdana"/>
          <w:color w:val="000000"/>
          <w:u w:val="single"/>
        </w:rPr>
        <w:t>.</w:t>
      </w:r>
    </w:p>
    <w:p w14:paraId="6212F6B1" w14:textId="77777777" w:rsidR="009B4037" w:rsidRPr="00C55BDE" w:rsidRDefault="009B4037" w:rsidP="009B4037">
      <w:pPr>
        <w:shd w:val="clear" w:color="auto" w:fill="FFFFFF"/>
        <w:spacing w:after="0" w:line="276" w:lineRule="auto"/>
        <w:jc w:val="both"/>
        <w:rPr>
          <w:rFonts w:ascii="Verdana" w:hAnsi="Verdana"/>
          <w:color w:val="467886"/>
          <w:u w:val="single"/>
        </w:rPr>
      </w:pPr>
      <w:r w:rsidRPr="00C55BD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C55BDE">
        <w:rPr>
          <w:rFonts w:ascii="Verdana" w:hAnsi="Verdana"/>
        </w:rPr>
        <w:lastRenderedPageBreak/>
        <w:t xml:space="preserve">marco de nuestras funciones a través de nuestros diferentes canales de atención: </w:t>
      </w:r>
    </w:p>
    <w:p w14:paraId="0C8EC63C" w14:textId="77777777" w:rsidR="009B4037" w:rsidRPr="00C55BDE" w:rsidRDefault="009B4037" w:rsidP="009B4037">
      <w:pPr>
        <w:spacing w:after="0"/>
        <w:jc w:val="both"/>
        <w:rPr>
          <w:rFonts w:ascii="Verdana" w:hAnsi="Verdana"/>
        </w:rPr>
      </w:pPr>
    </w:p>
    <w:p w14:paraId="5C57AEC8" w14:textId="77777777" w:rsidR="009B4037" w:rsidRPr="00C55BDE" w:rsidRDefault="009B4037" w:rsidP="009B4037">
      <w:pPr>
        <w:numPr>
          <w:ilvl w:val="0"/>
          <w:numId w:val="15"/>
        </w:numPr>
        <w:spacing w:after="0" w:line="240" w:lineRule="auto"/>
        <w:contextualSpacing/>
        <w:jc w:val="both"/>
        <w:rPr>
          <w:rFonts w:ascii="Verdana" w:eastAsia="Verdana" w:hAnsi="Verdana" w:cs="Verdana"/>
          <w:color w:val="4472C4" w:themeColor="accent1"/>
          <w:u w:val="single"/>
          <w:lang w:val="es-MX"/>
        </w:rPr>
      </w:pPr>
      <w:r w:rsidRPr="00C55BDE">
        <w:rPr>
          <w:rFonts w:ascii="Verdana" w:eastAsia="Verdana" w:hAnsi="Verdana" w:cs="Verdana"/>
          <w:lang w:val="es-MX"/>
        </w:rPr>
        <w:t xml:space="preserve">Línea nacional gratuita o servicio a la ciudadanía (Mesa de servicio): </w:t>
      </w:r>
      <w:r w:rsidRPr="00C55BDE">
        <w:rPr>
          <w:rFonts w:ascii="Verdana" w:hAnsi="Verdana"/>
          <w:color w:val="0000FF"/>
          <w:u w:val="single"/>
          <w:lang w:val="es-ES"/>
        </w:rPr>
        <w:t>01800 0520808</w:t>
      </w:r>
    </w:p>
    <w:p w14:paraId="2AD91755" w14:textId="77777777" w:rsidR="009B4037" w:rsidRPr="00C55BDE" w:rsidRDefault="009B4037" w:rsidP="009B4037">
      <w:pPr>
        <w:numPr>
          <w:ilvl w:val="0"/>
          <w:numId w:val="15"/>
        </w:numPr>
        <w:spacing w:after="0"/>
        <w:contextualSpacing/>
        <w:rPr>
          <w:rFonts w:ascii="Verdana" w:eastAsia="Verdana" w:hAnsi="Verdana" w:cs="Verdana"/>
          <w:color w:val="4472C4" w:themeColor="accent1"/>
          <w:u w:val="single"/>
          <w:lang w:val="es-MX"/>
        </w:rPr>
      </w:pPr>
      <w:r w:rsidRPr="00C55BDE">
        <w:rPr>
          <w:rFonts w:ascii="Verdana" w:eastAsia="Verdana" w:hAnsi="Verdana" w:cs="Verdana"/>
          <w:lang w:val="es-MX"/>
        </w:rPr>
        <w:t>Línea en Bogotá (Mesa de servicio</w:t>
      </w:r>
      <w:proofErr w:type="gramStart"/>
      <w:r w:rsidRPr="00C55BDE">
        <w:rPr>
          <w:rFonts w:ascii="Verdana" w:eastAsia="Verdana" w:hAnsi="Verdana" w:cs="Verdana"/>
          <w:lang w:val="es-MX"/>
        </w:rPr>
        <w:t>):</w:t>
      </w:r>
      <w:r w:rsidRPr="00C55BDE">
        <w:rPr>
          <w:rFonts w:ascii="Verdana" w:hAnsi="Verdana"/>
          <w:color w:val="0000FF"/>
          <w:u w:val="single"/>
          <w:lang w:val="es-ES"/>
        </w:rPr>
        <w:t>+</w:t>
      </w:r>
      <w:proofErr w:type="gramEnd"/>
      <w:r w:rsidRPr="00C55BDE">
        <w:rPr>
          <w:rFonts w:ascii="Verdana" w:hAnsi="Verdana"/>
          <w:color w:val="0000FF"/>
          <w:u w:val="single"/>
          <w:lang w:val="es-ES"/>
        </w:rPr>
        <w:t>57 601 7456788</w:t>
      </w:r>
    </w:p>
    <w:p w14:paraId="6560E833" w14:textId="77777777" w:rsidR="009B4037" w:rsidRPr="00C55BDE" w:rsidRDefault="009B4037" w:rsidP="009B4037">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MX"/>
        </w:rPr>
        <w:t xml:space="preserve">Correo de radicación de correspondencia: </w:t>
      </w:r>
      <w:hyperlink r:id="rId16" w:history="1">
        <w:r w:rsidRPr="00C55BDE">
          <w:rPr>
            <w:rFonts w:ascii="Verdana" w:eastAsia="Verdana" w:hAnsi="Verdana" w:cs="Verdana"/>
            <w:color w:val="0000FF"/>
            <w:u w:val="single"/>
            <w:lang w:val="es-MX"/>
          </w:rPr>
          <w:t>ventanilladeradicacion@colombiacompra.gov.co</w:t>
        </w:r>
      </w:hyperlink>
    </w:p>
    <w:p w14:paraId="51B8E1F0" w14:textId="77777777" w:rsidR="009B4037" w:rsidRPr="00C55BDE" w:rsidRDefault="009B4037" w:rsidP="009B4037">
      <w:pPr>
        <w:numPr>
          <w:ilvl w:val="0"/>
          <w:numId w:val="15"/>
        </w:numPr>
        <w:spacing w:after="0"/>
        <w:contextualSpacing/>
        <w:rPr>
          <w:rFonts w:ascii="Verdana" w:eastAsia="Verdana" w:hAnsi="Verdana" w:cs="Verdana"/>
          <w:color w:val="0000FF"/>
          <w:u w:val="single"/>
          <w:lang w:val="es-MX"/>
        </w:rPr>
      </w:pPr>
      <w:r w:rsidRPr="00C55BDE">
        <w:rPr>
          <w:rFonts w:ascii="Verdana" w:eastAsia="Verdana" w:hAnsi="Verdana" w:cs="Verdana"/>
          <w:lang w:val="es-ES"/>
        </w:rPr>
        <w:t xml:space="preserve">Formulario web para PQRSD: </w:t>
      </w:r>
      <w:hyperlink r:id="rId17" w:history="1">
        <w:r w:rsidRPr="00C55BDE">
          <w:rPr>
            <w:rFonts w:ascii="Verdana" w:eastAsia="Verdana" w:hAnsi="Verdana" w:cs="Verdana"/>
            <w:color w:val="0000FF"/>
            <w:u w:val="single"/>
            <w:lang w:val="es-MX"/>
          </w:rPr>
          <w:t>https://www.colombiacompra.gov.co/pqrsd/informacion-importante-antes-de-formular-una-pqrsd</w:t>
        </w:r>
      </w:hyperlink>
    </w:p>
    <w:p w14:paraId="3CC0A63B" w14:textId="77777777" w:rsidR="009B4037" w:rsidRPr="00C55BDE" w:rsidRDefault="009B4037" w:rsidP="009B4037">
      <w:pPr>
        <w:spacing w:after="0" w:line="240" w:lineRule="auto"/>
        <w:ind w:left="720"/>
        <w:jc w:val="both"/>
        <w:rPr>
          <w:rFonts w:ascii="Verdana" w:hAnsi="Verdana"/>
        </w:rPr>
      </w:pPr>
    </w:p>
    <w:p w14:paraId="45B5EA71" w14:textId="77777777" w:rsidR="009B4037" w:rsidRPr="00C55BDE" w:rsidRDefault="009B4037" w:rsidP="009B4037">
      <w:pPr>
        <w:spacing w:after="0" w:line="276" w:lineRule="auto"/>
        <w:jc w:val="both"/>
        <w:rPr>
          <w:rFonts w:ascii="Verdana" w:hAnsi="Verdana"/>
        </w:rPr>
      </w:pPr>
      <w:r w:rsidRPr="00C55BDE">
        <w:rPr>
          <w:rFonts w:ascii="Verdana" w:hAnsi="Verdana"/>
        </w:rPr>
        <w:t xml:space="preserve">Evalúa el servicio que ofrece la Agencia por el canal de atención de PQRSD en el siguiente enlace: </w:t>
      </w:r>
      <w:hyperlink r:id="rId18" w:history="1">
        <w:r w:rsidRPr="00C55BDE">
          <w:rPr>
            <w:rStyle w:val="Hipervnculo"/>
            <w:rFonts w:ascii="Verdana" w:hAnsi="Verdana"/>
          </w:rPr>
          <w:t>https://forms.office.com/r/pPHyWVs2SZ</w:t>
        </w:r>
      </w:hyperlink>
      <w:r w:rsidRPr="00C55BDE">
        <w:rPr>
          <w:rFonts w:ascii="Verdana" w:hAnsi="Verdana"/>
        </w:rPr>
        <w:t xml:space="preserve"> .¡Ayúdanos a mejorar porque el compromiso es de todos!</w:t>
      </w:r>
    </w:p>
    <w:p w14:paraId="6EEFD60D" w14:textId="77777777" w:rsidR="009B4037" w:rsidRPr="00C55BDE" w:rsidRDefault="009B4037" w:rsidP="009B4037">
      <w:pPr>
        <w:spacing w:after="0" w:line="240" w:lineRule="auto"/>
        <w:rPr>
          <w:rFonts w:ascii="Verdana" w:hAnsi="Verdana"/>
        </w:rPr>
      </w:pPr>
    </w:p>
    <w:p w14:paraId="01F3AB3C" w14:textId="77777777" w:rsidR="009B4037" w:rsidRPr="00C55BDE" w:rsidRDefault="009B4037" w:rsidP="009B4037">
      <w:pPr>
        <w:spacing w:after="0" w:line="240" w:lineRule="auto"/>
        <w:jc w:val="both"/>
        <w:rPr>
          <w:rFonts w:ascii="Verdana" w:hAnsi="Verdana"/>
        </w:rPr>
      </w:pPr>
      <w:r w:rsidRPr="00C55BDE">
        <w:rPr>
          <w:rFonts w:ascii="Verdana" w:hAnsi="Verdana"/>
        </w:rPr>
        <w:t xml:space="preserve">Por último, lo invitamos a seguirnos en las redes sociales en las cuales se difunde información institucional: </w:t>
      </w:r>
    </w:p>
    <w:p w14:paraId="7BFCCFAB" w14:textId="77777777" w:rsidR="009B4037" w:rsidRPr="00C55BDE" w:rsidRDefault="009B4037" w:rsidP="009B4037">
      <w:pPr>
        <w:spacing w:after="0" w:line="240" w:lineRule="auto"/>
        <w:jc w:val="both"/>
        <w:rPr>
          <w:rFonts w:ascii="Verdana" w:hAnsi="Verdana"/>
        </w:rPr>
      </w:pPr>
    </w:p>
    <w:p w14:paraId="2CB7E024" w14:textId="77777777" w:rsidR="009B4037" w:rsidRPr="00C55BDE" w:rsidRDefault="009B4037" w:rsidP="009B4037">
      <w:pPr>
        <w:spacing w:after="0" w:line="240" w:lineRule="auto"/>
        <w:jc w:val="both"/>
        <w:rPr>
          <w:rFonts w:ascii="Verdana" w:hAnsi="Verdana"/>
        </w:rPr>
      </w:pPr>
      <w:r w:rsidRPr="00C55BDE">
        <w:rPr>
          <w:rFonts w:ascii="Verdana" w:hAnsi="Verdana"/>
        </w:rPr>
        <w:t xml:space="preserve">Twitter: </w:t>
      </w:r>
      <w:r w:rsidRPr="00C55BDE">
        <w:rPr>
          <w:rFonts w:ascii="Verdana" w:hAnsi="Verdana"/>
          <w:color w:val="0000FF"/>
          <w:u w:val="single"/>
        </w:rPr>
        <w:t>@colombiacompra</w:t>
      </w:r>
      <w:r w:rsidRPr="00C55BDE">
        <w:rPr>
          <w:rFonts w:ascii="Verdana" w:hAnsi="Verdana"/>
        </w:rPr>
        <w:t xml:space="preserve"> </w:t>
      </w:r>
    </w:p>
    <w:p w14:paraId="251E89CA" w14:textId="77777777" w:rsidR="009B4037" w:rsidRPr="00C55BDE" w:rsidRDefault="009B4037" w:rsidP="009B4037">
      <w:pPr>
        <w:spacing w:after="0" w:line="240" w:lineRule="auto"/>
        <w:jc w:val="both"/>
        <w:rPr>
          <w:rFonts w:ascii="Verdana" w:hAnsi="Verdana"/>
        </w:rPr>
      </w:pPr>
      <w:r w:rsidRPr="00C55BDE">
        <w:rPr>
          <w:rFonts w:ascii="Verdana" w:hAnsi="Verdana"/>
        </w:rPr>
        <w:t xml:space="preserve">Facebook: </w:t>
      </w:r>
      <w:proofErr w:type="spellStart"/>
      <w:r w:rsidRPr="00C55BDE">
        <w:rPr>
          <w:rFonts w:ascii="Verdana" w:hAnsi="Verdana"/>
          <w:color w:val="0000FF"/>
          <w:u w:val="single"/>
        </w:rPr>
        <w:t>ColombiaCompraEficiente</w:t>
      </w:r>
      <w:proofErr w:type="spellEnd"/>
    </w:p>
    <w:p w14:paraId="1F98D384" w14:textId="77777777" w:rsidR="009B4037" w:rsidRPr="00C55BDE" w:rsidRDefault="009B4037" w:rsidP="009B4037">
      <w:pPr>
        <w:spacing w:after="0" w:line="240" w:lineRule="auto"/>
        <w:jc w:val="both"/>
        <w:rPr>
          <w:rFonts w:ascii="Verdana" w:hAnsi="Verdana"/>
        </w:rPr>
      </w:pPr>
      <w:r w:rsidRPr="00C55BDE">
        <w:rPr>
          <w:rFonts w:ascii="Verdana" w:hAnsi="Verdana"/>
        </w:rPr>
        <w:t xml:space="preserve">LinkedIn: </w:t>
      </w:r>
      <w:r w:rsidRPr="00C55BDE">
        <w:rPr>
          <w:rFonts w:ascii="Verdana" w:hAnsi="Verdana"/>
          <w:color w:val="0000FF"/>
          <w:u w:val="single"/>
        </w:rPr>
        <w:t>Agencia Nacional de Contratación Pública - Colombia Compra Eficiente</w:t>
      </w:r>
      <w:r w:rsidRPr="00C55BDE">
        <w:rPr>
          <w:rFonts w:ascii="Verdana" w:hAnsi="Verdana"/>
        </w:rPr>
        <w:t xml:space="preserve"> Instagram: </w:t>
      </w:r>
      <w:r w:rsidRPr="00C55BDE">
        <w:rPr>
          <w:rFonts w:ascii="Verdana" w:hAnsi="Verdana"/>
          <w:color w:val="0000FF"/>
          <w:u w:val="single"/>
        </w:rPr>
        <w:t>@colombiacompraeficiente_cce</w:t>
      </w:r>
    </w:p>
    <w:p w14:paraId="44F72D38" w14:textId="77777777" w:rsidR="009B4037" w:rsidRPr="00C55BDE" w:rsidRDefault="009B4037" w:rsidP="009B4037">
      <w:pPr>
        <w:widowControl w:val="0"/>
        <w:autoSpaceDE w:val="0"/>
        <w:autoSpaceDN w:val="0"/>
        <w:spacing w:after="120" w:line="276" w:lineRule="auto"/>
        <w:jc w:val="both"/>
        <w:rPr>
          <w:rFonts w:ascii="Verdana" w:hAnsi="Verdana" w:cs="Arial"/>
          <w:color w:val="FF0000"/>
          <w:shd w:val="clear" w:color="auto" w:fill="FFFFFF"/>
          <w:lang w:val="es-ES_tradnl"/>
        </w:rPr>
      </w:pPr>
      <w:r w:rsidRPr="00C55BDE">
        <w:rPr>
          <w:rFonts w:ascii="Verdana" w:hAnsi="Verdana" w:cs="Arial"/>
          <w:color w:val="FF0000"/>
          <w:shd w:val="clear" w:color="auto" w:fill="FFFFFF"/>
          <w:lang w:val="es-ES_tradnl"/>
        </w:rPr>
        <w:t xml:space="preserve">        </w:t>
      </w:r>
    </w:p>
    <w:p w14:paraId="598E9502" w14:textId="77777777" w:rsidR="009B4037" w:rsidRPr="00C55BDE" w:rsidRDefault="009B4037" w:rsidP="009B4037">
      <w:pPr>
        <w:widowControl w:val="0"/>
        <w:autoSpaceDE w:val="0"/>
        <w:autoSpaceDN w:val="0"/>
        <w:spacing w:after="0" w:line="276" w:lineRule="auto"/>
        <w:jc w:val="both"/>
        <w:rPr>
          <w:rFonts w:ascii="Verdana" w:hAnsi="Verdana" w:cs="Arial"/>
          <w:lang w:val="es-ES_tradnl"/>
        </w:rPr>
      </w:pPr>
      <w:r w:rsidRPr="00C55BDE">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DF75B7F" w14:textId="77777777" w:rsidR="009B4037" w:rsidRPr="00C55BDE" w:rsidRDefault="009B4037" w:rsidP="009B4037">
      <w:pPr>
        <w:widowControl w:val="0"/>
        <w:autoSpaceDE w:val="0"/>
        <w:autoSpaceDN w:val="0"/>
        <w:spacing w:after="0" w:line="276" w:lineRule="auto"/>
        <w:jc w:val="both"/>
        <w:rPr>
          <w:rFonts w:ascii="Verdana" w:hAnsi="Verdana" w:cs="Arial"/>
          <w:lang w:val="es-ES_tradnl"/>
        </w:rPr>
      </w:pPr>
    </w:p>
    <w:p w14:paraId="257DF4F3" w14:textId="77777777" w:rsidR="009B4037" w:rsidRPr="00C55BDE" w:rsidRDefault="009B4037" w:rsidP="009B4037">
      <w:pPr>
        <w:spacing w:after="0" w:line="240" w:lineRule="auto"/>
        <w:rPr>
          <w:rFonts w:ascii="Verdana" w:hAnsi="Verdana" w:cs="Arial"/>
          <w:lang w:val="es-ES_tradnl" w:eastAsia="es-CO"/>
        </w:rPr>
      </w:pPr>
      <w:r w:rsidRPr="00C55BDE">
        <w:rPr>
          <w:rFonts w:ascii="Verdana" w:eastAsia="Times New Roman" w:hAnsi="Verdana" w:cs="Arial"/>
          <w:lang w:val="es-ES" w:eastAsia="es-CO"/>
        </w:rPr>
        <w:t>Atentamente,</w:t>
      </w:r>
      <w:r w:rsidRPr="00C55BDE">
        <w:rPr>
          <w:rFonts w:ascii="Verdana" w:hAnsi="Verdana" w:cs="Arial"/>
          <w:lang w:val="es-ES" w:eastAsia="es-CO"/>
        </w:rPr>
        <w:t xml:space="preserve"> </w:t>
      </w:r>
    </w:p>
    <w:p w14:paraId="6C2AD1A3" w14:textId="77777777" w:rsidR="009B4037" w:rsidRDefault="009B4037" w:rsidP="009B4037">
      <w:pPr>
        <w:spacing w:line="276" w:lineRule="auto"/>
        <w:jc w:val="center"/>
        <w:rPr>
          <w:rFonts w:ascii="Verdana" w:eastAsia="Calibri" w:hAnsi="Verdana" w:cs="Arial"/>
          <w:color w:val="000000"/>
          <w:lang w:val="es-ES_tradnl" w:eastAsia="es-CO"/>
        </w:rPr>
      </w:pPr>
      <w:r>
        <w:rPr>
          <w:rFonts w:ascii="Century Gothic" w:hAnsi="Century Gothic"/>
          <w:noProof/>
        </w:rPr>
        <w:drawing>
          <wp:inline distT="0" distB="0" distL="0" distR="0" wp14:anchorId="76AE91EB" wp14:editId="2220D870">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9B4037" w14:paraId="2D90526D" w14:textId="77777777" w:rsidTr="00F55330">
        <w:trPr>
          <w:trHeight w:val="315"/>
        </w:trPr>
        <w:tc>
          <w:tcPr>
            <w:tcW w:w="893" w:type="dxa"/>
            <w:vAlign w:val="center"/>
            <w:hideMark/>
          </w:tcPr>
          <w:p w14:paraId="41B93F5E" w14:textId="77777777" w:rsidR="009B4037" w:rsidRDefault="009B4037" w:rsidP="00F55330">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AC0DB60" w14:textId="77777777" w:rsidR="009B4037" w:rsidRDefault="009B4037" w:rsidP="00F55330">
            <w:pPr>
              <w:spacing w:after="255" w:line="254" w:lineRule="auto"/>
              <w:contextualSpacing/>
              <w:rPr>
                <w:rFonts w:ascii="Verdana" w:eastAsia="Calibri" w:hAnsi="Verdana" w:cs="Times New Roman"/>
                <w:sz w:val="16"/>
                <w:szCs w:val="16"/>
              </w:rPr>
            </w:pPr>
            <w:r>
              <w:rPr>
                <w:rFonts w:ascii="Verdana" w:eastAsia="Calibri" w:hAnsi="Verdana" w:cs="Times New Roman"/>
                <w:sz w:val="16"/>
                <w:szCs w:val="16"/>
              </w:rPr>
              <w:t>Tatiana Baquero Iguarán</w:t>
            </w:r>
          </w:p>
          <w:p w14:paraId="53ACF719" w14:textId="77777777" w:rsidR="009B4037" w:rsidRDefault="009B4037" w:rsidP="00F55330">
            <w:pPr>
              <w:spacing w:after="255" w:line="254" w:lineRule="auto"/>
              <w:contextualSpacing/>
              <w:rPr>
                <w:rFonts w:ascii="Verdana" w:hAnsi="Verdana"/>
                <w:sz w:val="16"/>
                <w:szCs w:val="16"/>
              </w:rPr>
            </w:pPr>
            <w:r>
              <w:rPr>
                <w:rFonts w:ascii="Verdana" w:eastAsia="Calibri" w:hAnsi="Verdana" w:cs="Times New Roman"/>
                <w:sz w:val="16"/>
                <w:szCs w:val="16"/>
              </w:rPr>
              <w:t>Contratista de la Subdirección de Gestión Contractual</w:t>
            </w:r>
          </w:p>
        </w:tc>
      </w:tr>
      <w:tr w:rsidR="009B4037" w14:paraId="73DBF2FD" w14:textId="77777777" w:rsidTr="00F55330">
        <w:trPr>
          <w:trHeight w:val="330"/>
        </w:trPr>
        <w:tc>
          <w:tcPr>
            <w:tcW w:w="893" w:type="dxa"/>
            <w:vAlign w:val="center"/>
            <w:hideMark/>
          </w:tcPr>
          <w:p w14:paraId="14B6D8FF" w14:textId="77777777" w:rsidR="009B4037" w:rsidRDefault="009B4037" w:rsidP="00F55330">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5AF675B" w14:textId="77777777" w:rsidR="009B4037" w:rsidRDefault="009B4037" w:rsidP="00F55330">
            <w:pPr>
              <w:spacing w:before="100" w:beforeAutospacing="1" w:after="100" w:afterAutospacing="1" w:line="254" w:lineRule="auto"/>
              <w:contextualSpacing/>
              <w:textAlignment w:val="baseline"/>
              <w:rPr>
                <w:rFonts w:ascii="Verdana" w:eastAsia="Times New Roman" w:hAnsi="Verdana"/>
                <w:sz w:val="16"/>
                <w:szCs w:val="16"/>
                <w:lang w:eastAsia="es-ES_tradnl"/>
              </w:rPr>
            </w:pPr>
            <w:r>
              <w:rPr>
                <w:rFonts w:ascii="Verdana" w:eastAsia="Times New Roman" w:hAnsi="Verdana"/>
                <w:sz w:val="16"/>
                <w:szCs w:val="16"/>
                <w:lang w:eastAsia="es-ES_tradnl"/>
              </w:rPr>
              <w:t>Alejandro Sarmiento Cantillo</w:t>
            </w:r>
          </w:p>
          <w:p w14:paraId="751CFB27" w14:textId="77777777" w:rsidR="009B4037" w:rsidRDefault="009B4037" w:rsidP="00F55330">
            <w:pPr>
              <w:spacing w:after="255" w:line="254" w:lineRule="auto"/>
              <w:contextualSpacing/>
              <w:textAlignment w:val="baseline"/>
              <w:rPr>
                <w:rFonts w:ascii="Verdana" w:eastAsia="Times New Roman" w:hAnsi="Verdana" w:cs="Segoe UI"/>
                <w:sz w:val="16"/>
                <w:szCs w:val="16"/>
                <w:lang w:eastAsia="es-ES_tradnl"/>
              </w:rPr>
            </w:pPr>
            <w:r>
              <w:rPr>
                <w:rFonts w:ascii="Verdana" w:eastAsia="Times New Roman" w:hAnsi="Verdana"/>
                <w:sz w:val="16"/>
                <w:szCs w:val="16"/>
                <w:lang w:eastAsia="es-ES_tradnl"/>
              </w:rPr>
              <w:t>Gestor T1 ‒ 15 de la Subdirección de Gestión Contractual </w:t>
            </w:r>
          </w:p>
        </w:tc>
      </w:tr>
      <w:tr w:rsidR="009B4037" w14:paraId="27FB7222" w14:textId="77777777" w:rsidTr="00F55330">
        <w:trPr>
          <w:trHeight w:val="300"/>
        </w:trPr>
        <w:tc>
          <w:tcPr>
            <w:tcW w:w="893" w:type="dxa"/>
            <w:vAlign w:val="center"/>
            <w:hideMark/>
          </w:tcPr>
          <w:p w14:paraId="5805BC6F" w14:textId="77777777" w:rsidR="009B4037" w:rsidRDefault="009B4037" w:rsidP="00F55330">
            <w:pPr>
              <w:spacing w:after="255" w:line="254" w:lineRule="auto"/>
              <w:contextualSpacing/>
              <w:rPr>
                <w:rFonts w:ascii="Verdana" w:eastAsia="Calibri" w:hAnsi="Verdana"/>
                <w:sz w:val="16"/>
                <w:szCs w:val="16"/>
                <w:lang w:eastAsia="es-ES"/>
              </w:rPr>
            </w:pPr>
            <w:r>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1AD725" w14:textId="77777777" w:rsidR="009B4037" w:rsidRDefault="009B4037" w:rsidP="00F55330">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val="pt-BR" w:eastAsia="es-ES"/>
              </w:rPr>
              <w:t xml:space="preserve">Carolina Quintero </w:t>
            </w:r>
            <w:proofErr w:type="spellStart"/>
            <w:r>
              <w:rPr>
                <w:rFonts w:ascii="Verdana" w:eastAsia="Calibri" w:hAnsi="Verdana"/>
                <w:sz w:val="16"/>
                <w:szCs w:val="16"/>
                <w:lang w:val="pt-BR" w:eastAsia="es-ES"/>
              </w:rPr>
              <w:t>Gacharná</w:t>
            </w:r>
            <w:proofErr w:type="spellEnd"/>
          </w:p>
          <w:p w14:paraId="73BCAB10" w14:textId="77777777" w:rsidR="009B4037" w:rsidRDefault="009B4037" w:rsidP="00F55330">
            <w:pPr>
              <w:spacing w:after="255" w:line="254" w:lineRule="auto"/>
              <w:contextualSpacing/>
              <w:rPr>
                <w:rFonts w:ascii="Verdana" w:eastAsia="Calibri" w:hAnsi="Verdana"/>
                <w:sz w:val="16"/>
                <w:szCs w:val="16"/>
                <w:lang w:val="pt-BR" w:eastAsia="es-ES"/>
              </w:rPr>
            </w:pPr>
            <w:r>
              <w:rPr>
                <w:rFonts w:ascii="Verdana" w:eastAsia="Calibri" w:hAnsi="Verdana"/>
                <w:sz w:val="16"/>
                <w:szCs w:val="16"/>
                <w:lang w:eastAsia="es-ES"/>
              </w:rPr>
              <w:t>Subdirectora</w:t>
            </w:r>
            <w:r>
              <w:rPr>
                <w:rFonts w:ascii="Verdana" w:eastAsia="Calibri" w:hAnsi="Verdana"/>
                <w:sz w:val="16"/>
                <w:szCs w:val="16"/>
                <w:lang w:val="pt-BR" w:eastAsia="es-ES"/>
              </w:rPr>
              <w:t xml:space="preserve"> de Gestión Contratual ANCP – CCE</w:t>
            </w:r>
          </w:p>
        </w:tc>
      </w:tr>
    </w:tbl>
    <w:p w14:paraId="74565CCA" w14:textId="77777777" w:rsidR="009B4037" w:rsidRDefault="009B4037" w:rsidP="009B4037">
      <w:pPr>
        <w:spacing w:after="0" w:line="240" w:lineRule="auto"/>
        <w:rPr>
          <w:rFonts w:ascii="Verdana" w:eastAsia="Times New Roman" w:hAnsi="Verdana" w:cs="Arial"/>
          <w:sz w:val="24"/>
          <w:szCs w:val="24"/>
          <w:lang w:eastAsia="es-ES"/>
        </w:rPr>
      </w:pPr>
    </w:p>
    <w:p w14:paraId="30329470" w14:textId="77777777" w:rsidR="009B4037" w:rsidRPr="00C55BDE" w:rsidRDefault="009B4037" w:rsidP="009B4037">
      <w:pPr>
        <w:spacing w:after="0"/>
        <w:rPr>
          <w:rFonts w:ascii="Verdana" w:hAnsi="Verdana"/>
        </w:rPr>
      </w:pPr>
    </w:p>
    <w:p w14:paraId="1F756BA0" w14:textId="77777777" w:rsidR="009B4037" w:rsidRPr="00726BD0" w:rsidRDefault="009B4037" w:rsidP="009B4037"/>
    <w:bookmarkEnd w:id="0"/>
    <w:p w14:paraId="7FC0B60A" w14:textId="77777777" w:rsidR="00E93496" w:rsidRDefault="00E93496" w:rsidP="00C15139">
      <w:pPr>
        <w:spacing w:after="0"/>
        <w:rPr>
          <w:rFonts w:ascii="Verdana" w:hAnsi="Verdana"/>
        </w:rPr>
      </w:pPr>
    </w:p>
    <w:sectPr w:rsidR="00E93496"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22206A" w14:textId="77777777" w:rsidR="00317631" w:rsidRDefault="00317631" w:rsidP="004A1847">
      <w:pPr>
        <w:spacing w:after="0" w:line="240" w:lineRule="auto"/>
      </w:pPr>
      <w:r>
        <w:separator/>
      </w:r>
    </w:p>
  </w:endnote>
  <w:endnote w:type="continuationSeparator" w:id="0">
    <w:p w14:paraId="686D4D9C" w14:textId="77777777" w:rsidR="00317631" w:rsidRDefault="0031763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4F5DF" w14:textId="77777777" w:rsidR="00317631" w:rsidRDefault="00317631" w:rsidP="004A1847">
      <w:pPr>
        <w:spacing w:after="0" w:line="240" w:lineRule="auto"/>
      </w:pPr>
      <w:r>
        <w:separator/>
      </w:r>
    </w:p>
  </w:footnote>
  <w:footnote w:type="continuationSeparator" w:id="0">
    <w:p w14:paraId="5F6A3BE8" w14:textId="77777777" w:rsidR="00317631" w:rsidRDefault="00317631" w:rsidP="004A1847">
      <w:pPr>
        <w:spacing w:after="0" w:line="240" w:lineRule="auto"/>
      </w:pPr>
      <w:r>
        <w:continuationSeparator/>
      </w:r>
    </w:p>
  </w:footnote>
  <w:footnote w:id="1">
    <w:p w14:paraId="611C0219" w14:textId="77777777" w:rsidR="009B4037" w:rsidRPr="00454929" w:rsidRDefault="009B4037" w:rsidP="009B4037">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1088 de 1993: “Artículo 1° Aplicabilidad. Los Cabildos y/o Autoridades Tradicionales Indígenas, en representación de sus respectivos territorios indígenas, podrán conformar asociaciones de conformidad con el presente Decreto. </w:t>
      </w:r>
    </w:p>
    <w:p w14:paraId="0A8968E1" w14:textId="77777777" w:rsidR="009B4037" w:rsidRPr="00454929" w:rsidRDefault="009B4037" w:rsidP="009B4037">
      <w:pPr>
        <w:pStyle w:val="Textonotapie"/>
        <w:ind w:firstLine="708"/>
        <w:jc w:val="both"/>
        <w:rPr>
          <w:rFonts w:ascii="Verdana" w:hAnsi="Verdana" w:cs="Arial"/>
          <w:sz w:val="16"/>
          <w:szCs w:val="16"/>
        </w:rPr>
      </w:pPr>
      <w:r w:rsidRPr="00454929">
        <w:rPr>
          <w:rFonts w:ascii="Verdana" w:hAnsi="Verdana" w:cs="Arial"/>
          <w:sz w:val="16"/>
          <w:szCs w:val="16"/>
        </w:rPr>
        <w:t>“Artículo 2° Naturaleza Jurídica. Las asociaciones de que trata el presente Decreto son entidades de Derecho Público de carácter especial, con personería jurídica, patrimonio propio y autonomía administrativa”.</w:t>
      </w:r>
    </w:p>
  </w:footnote>
  <w:footnote w:id="2">
    <w:p w14:paraId="54893383" w14:textId="77777777" w:rsidR="009B4037" w:rsidRPr="00454929" w:rsidRDefault="009B4037" w:rsidP="009B4037">
      <w:pPr>
        <w:shd w:val="clear" w:color="auto" w:fill="FFFFFF"/>
        <w:spacing w:after="0" w:line="240" w:lineRule="auto"/>
        <w:ind w:firstLine="708"/>
        <w:jc w:val="both"/>
        <w:rPr>
          <w:rFonts w:ascii="Verdana" w:hAnsi="Verdana" w:cs="Arial"/>
          <w:color w:val="2D2D2D"/>
          <w:sz w:val="16"/>
          <w:szCs w:val="16"/>
          <w:lang w:eastAsia="es-CO"/>
        </w:rPr>
      </w:pPr>
      <w:r w:rsidRPr="00454929">
        <w:rPr>
          <w:rStyle w:val="Refdenotaalpie"/>
          <w:rFonts w:ascii="Verdana" w:hAnsi="Verdana" w:cs="Arial"/>
          <w:sz w:val="16"/>
          <w:szCs w:val="16"/>
        </w:rPr>
        <w:footnoteRef/>
      </w:r>
      <w:r w:rsidRPr="00454929">
        <w:rPr>
          <w:rFonts w:ascii="Verdana" w:hAnsi="Verdana" w:cs="Arial"/>
          <w:sz w:val="16"/>
          <w:szCs w:val="16"/>
        </w:rPr>
        <w:t xml:space="preserve"> Sobre la noción de Resguardos indígenas la Corte Constitucional: “</w:t>
      </w:r>
      <w:r w:rsidRPr="00454929">
        <w:rPr>
          <w:rFonts w:ascii="Verdana" w:hAnsi="Verdana" w:cs="Arial"/>
          <w:color w:val="2D2D2D"/>
          <w:sz w:val="16"/>
          <w:szCs w:val="16"/>
          <w:lang w:eastAsia="es-CO"/>
        </w:rPr>
        <w:t>Cabe recordar, que los resguardos indígenas se remontan a la época de la colonización española, fueron creados por Cédula Real y deben su nombre al propósito de “</w:t>
      </w:r>
      <w:r w:rsidRPr="00454929">
        <w:rPr>
          <w:rFonts w:ascii="Verdana" w:hAnsi="Verdana" w:cs="Arial"/>
          <w:i/>
          <w:color w:val="2D2D2D"/>
          <w:sz w:val="16"/>
          <w:szCs w:val="16"/>
          <w:lang w:eastAsia="es-CO"/>
        </w:rPr>
        <w:t>resguardar</w:t>
      </w:r>
      <w:r w:rsidRPr="00454929">
        <w:rPr>
          <w:rFonts w:ascii="Verdana" w:hAnsi="Verdana" w:cs="Arial"/>
          <w:color w:val="2D2D2D"/>
          <w:sz w:val="16"/>
          <w:szCs w:val="16"/>
          <w:lang w:eastAsia="es-CO"/>
        </w:rPr>
        <w:t xml:space="preserve">” a las comunidades indígenas del desalojo, el despojo y el exterminio al que estaban siendo sometidas por parte de los denominados conquistadores. </w:t>
      </w:r>
    </w:p>
    <w:p w14:paraId="2E8A1623" w14:textId="77777777" w:rsidR="009B4037" w:rsidRPr="00454929" w:rsidRDefault="009B4037" w:rsidP="009B4037">
      <w:pPr>
        <w:shd w:val="clear" w:color="auto" w:fill="FFFFFF"/>
        <w:spacing w:after="0" w:line="240" w:lineRule="auto"/>
        <w:ind w:firstLine="708"/>
        <w:jc w:val="both"/>
        <w:rPr>
          <w:rFonts w:ascii="Verdana" w:hAnsi="Verdana" w:cs="Arial"/>
          <w:color w:val="2D2D2D"/>
          <w:sz w:val="16"/>
          <w:szCs w:val="16"/>
          <w:lang w:eastAsia="es-CO"/>
        </w:rPr>
      </w:pPr>
    </w:p>
  </w:footnote>
  <w:footnote w:id="3">
    <w:p w14:paraId="028005A0" w14:textId="77777777" w:rsidR="009B4037" w:rsidRPr="00454929" w:rsidRDefault="009B4037" w:rsidP="009B4037">
      <w:pPr>
        <w:pStyle w:val="NormalWeb"/>
        <w:spacing w:before="0" w:beforeAutospacing="0" w:after="0" w:afterAutospacing="0"/>
        <w:ind w:firstLine="708"/>
        <w:jc w:val="both"/>
        <w:rPr>
          <w:rFonts w:ascii="Verdana" w:hAnsi="Verdana" w:cs="Arial"/>
          <w:color w:val="000000"/>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Ley 160 de 1994: “</w:t>
      </w:r>
      <w:r w:rsidRPr="00454929">
        <w:rPr>
          <w:rFonts w:ascii="Verdana" w:hAnsi="Verdana" w:cs="Arial"/>
          <w:color w:val="000000"/>
          <w:sz w:val="16"/>
          <w:szCs w:val="16"/>
        </w:rPr>
        <w:t>Artículo 12. Son funciones del Instituto Colombiano de la Reforma Agraria:  </w:t>
      </w:r>
    </w:p>
    <w:p w14:paraId="0464747D" w14:textId="77777777" w:rsidR="009B4037" w:rsidRPr="00454929" w:rsidRDefault="009B4037" w:rsidP="009B4037">
      <w:pPr>
        <w:spacing w:after="0" w:line="240" w:lineRule="auto"/>
        <w:ind w:firstLine="708"/>
        <w:jc w:val="both"/>
        <w:rPr>
          <w:rFonts w:ascii="Verdana" w:hAnsi="Verdana" w:cs="Arial"/>
          <w:color w:val="000000"/>
          <w:sz w:val="16"/>
          <w:szCs w:val="16"/>
          <w:lang w:eastAsia="es-CO"/>
        </w:rPr>
      </w:pPr>
      <w:r w:rsidRPr="00454929">
        <w:rPr>
          <w:rFonts w:ascii="Verdana" w:hAnsi="Verdana" w:cs="Arial"/>
          <w:color w:val="000000"/>
          <w:sz w:val="16"/>
          <w:szCs w:val="16"/>
          <w:lang w:eastAsia="es-CO"/>
        </w:rPr>
        <w:t>[…]</w:t>
      </w:r>
    </w:p>
    <w:p w14:paraId="1CD59D15" w14:textId="77777777" w:rsidR="009B4037" w:rsidRPr="00454929" w:rsidRDefault="009B4037" w:rsidP="009B4037">
      <w:pPr>
        <w:spacing w:after="0" w:line="240" w:lineRule="auto"/>
        <w:ind w:firstLine="708"/>
        <w:jc w:val="both"/>
        <w:rPr>
          <w:rFonts w:ascii="Verdana" w:hAnsi="Verdana" w:cs="Arial"/>
          <w:color w:val="000000"/>
          <w:sz w:val="16"/>
          <w:szCs w:val="16"/>
          <w:lang w:eastAsia="es-CO"/>
        </w:rPr>
      </w:pPr>
      <w:r w:rsidRPr="00454929">
        <w:rPr>
          <w:rFonts w:ascii="Verdana" w:hAnsi="Verdana" w:cs="Arial"/>
          <w:color w:val="000000"/>
          <w:sz w:val="16"/>
          <w:szCs w:val="16"/>
          <w:lang w:eastAsia="es-CO"/>
        </w:rPr>
        <w:t>“18. Estudiar las necesidades de tierras de las comunidades indígenas y constituir, ampliar, sanear y reestructurar los resguardos en beneficio de las respectivas parcialidades […]”.</w:t>
      </w:r>
    </w:p>
    <w:p w14:paraId="49F7E58B" w14:textId="77777777" w:rsidR="009B4037" w:rsidRPr="00454929" w:rsidRDefault="009B4037" w:rsidP="009B4037">
      <w:pPr>
        <w:spacing w:after="0" w:line="240" w:lineRule="auto"/>
        <w:ind w:firstLine="708"/>
        <w:jc w:val="both"/>
        <w:rPr>
          <w:rFonts w:ascii="Verdana" w:hAnsi="Verdana" w:cs="Arial"/>
          <w:color w:val="000000"/>
          <w:sz w:val="16"/>
          <w:szCs w:val="16"/>
          <w:lang w:eastAsia="es-CO"/>
        </w:rPr>
      </w:pPr>
    </w:p>
  </w:footnote>
  <w:footnote w:id="4">
    <w:p w14:paraId="462DD58F" w14:textId="77777777" w:rsidR="009B4037" w:rsidRPr="00454929" w:rsidRDefault="009B4037" w:rsidP="009B4037">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Ley 160 de 1994 “Articulo 85. El Instituto estudiará las necesidades de tierras, de las comunidades indígenas, para el efecto de dotarlas de las superficies indispensables que faciliten su adecuado asentamiento y desarrollo, y además llevará a cabo el estudio de los títulos que aquellas presenten con el fin de establecer la existencia legal de los resguardos. </w:t>
      </w:r>
    </w:p>
    <w:p w14:paraId="676698D4" w14:textId="77777777" w:rsidR="009B4037" w:rsidRPr="00454929" w:rsidRDefault="009B4037" w:rsidP="009B4037">
      <w:pPr>
        <w:pStyle w:val="Textonotapie"/>
        <w:ind w:firstLine="708"/>
        <w:jc w:val="both"/>
        <w:rPr>
          <w:rFonts w:ascii="Verdana" w:hAnsi="Verdana" w:cs="Arial"/>
          <w:sz w:val="16"/>
          <w:szCs w:val="16"/>
        </w:rPr>
      </w:pPr>
      <w:r w:rsidRPr="00454929">
        <w:rPr>
          <w:rFonts w:ascii="Verdana" w:hAnsi="Verdana" w:cs="Arial"/>
          <w:sz w:val="16"/>
          <w:szCs w:val="16"/>
        </w:rPr>
        <w:t xml:space="preserve">“Con tal objeto constituirá o ampliará resguardos de tierras y procederá al saneamiento de aquellos que estuvieren ocupados por personas que no pertenezcan a la respectiva parcialidad. </w:t>
      </w:r>
    </w:p>
  </w:footnote>
  <w:footnote w:id="5">
    <w:p w14:paraId="6601DA99" w14:textId="77777777" w:rsidR="009B4037" w:rsidRPr="00454929" w:rsidRDefault="009B4037" w:rsidP="009B4037">
      <w:pPr>
        <w:pStyle w:val="NormalWeb"/>
        <w:spacing w:before="0" w:beforeAutospacing="0" w:after="0" w:afterAutospacing="0"/>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w:t>
      </w:r>
      <w:r w:rsidRPr="00454929">
        <w:rPr>
          <w:rFonts w:ascii="Verdana" w:hAnsi="Verdana" w:cs="Arial"/>
          <w:color w:val="000000"/>
          <w:sz w:val="16"/>
          <w:szCs w:val="16"/>
        </w:rPr>
        <w:t>Artículo 3°. Funcionamiento de los Territorios Indígenas</w:t>
      </w:r>
      <w:r w:rsidRPr="00454929">
        <w:rPr>
          <w:rFonts w:ascii="Verdana" w:hAnsi="Verdana" w:cs="Arial"/>
          <w:i/>
          <w:color w:val="000000"/>
          <w:sz w:val="16"/>
          <w:szCs w:val="16"/>
        </w:rPr>
        <w:t>. </w:t>
      </w:r>
      <w:r w:rsidRPr="00454929">
        <w:rPr>
          <w:rFonts w:ascii="Verdana" w:hAnsi="Verdana" w:cs="Arial"/>
          <w:color w:val="000000"/>
          <w:sz w:val="16"/>
          <w:szCs w:val="16"/>
        </w:rPr>
        <w:t xml:space="preserve">Los Territorios Indígenas podrán ponerse en funcionamiento, de manera transitoria, de conformidad con las disposiciones del presente decreto, mientras el Congreso expide la Ley Orgánica de Ordenamiento Territorial que crea las entidades territoriales indígenas. </w:t>
      </w:r>
    </w:p>
  </w:footnote>
  <w:footnote w:id="6">
    <w:p w14:paraId="702C1AC3" w14:textId="77777777" w:rsidR="009B4037" w:rsidRPr="00454929" w:rsidRDefault="009B4037" w:rsidP="009B4037">
      <w:pPr>
        <w:pStyle w:val="Textonotapie"/>
        <w:jc w:val="both"/>
        <w:rPr>
          <w:rFonts w:ascii="Verdana" w:hAnsi="Verdana" w:cs="Arial"/>
          <w:sz w:val="16"/>
          <w:szCs w:val="16"/>
        </w:rPr>
      </w:pPr>
    </w:p>
    <w:p w14:paraId="670B9C5B" w14:textId="77777777" w:rsidR="009B4037" w:rsidRPr="00454929" w:rsidRDefault="009B4037" w:rsidP="009B4037">
      <w:pPr>
        <w:pStyle w:val="Textonotapie"/>
        <w:ind w:firstLine="708"/>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Ibidem. </w:t>
      </w:r>
    </w:p>
    <w:p w14:paraId="437A3017" w14:textId="77777777" w:rsidR="009B4037" w:rsidRPr="00454929" w:rsidRDefault="009B4037" w:rsidP="009B4037">
      <w:pPr>
        <w:pStyle w:val="Textonotapie"/>
        <w:ind w:firstLine="708"/>
        <w:jc w:val="both"/>
        <w:rPr>
          <w:rFonts w:ascii="Verdana" w:hAnsi="Verdana" w:cs="Arial"/>
          <w:sz w:val="16"/>
          <w:szCs w:val="16"/>
        </w:rPr>
      </w:pPr>
    </w:p>
  </w:footnote>
  <w:footnote w:id="7">
    <w:p w14:paraId="4193C4D0" w14:textId="77777777" w:rsidR="009B4037" w:rsidRPr="00454929" w:rsidRDefault="009B4037" w:rsidP="009B4037">
      <w:pPr>
        <w:spacing w:after="0" w:line="240" w:lineRule="auto"/>
        <w:ind w:firstLine="708"/>
        <w:jc w:val="both"/>
        <w:rPr>
          <w:rFonts w:ascii="Verdana" w:eastAsia="Calibri" w:hAnsi="Verdana" w:cs="Arial"/>
          <w:sz w:val="16"/>
          <w:szCs w:val="16"/>
          <w:lang w:val="es-ES"/>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eastAsia="Calibri" w:hAnsi="Verdana" w:cs="Arial"/>
          <w:sz w:val="16"/>
          <w:szCs w:val="16"/>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5CF22CF6" w14:textId="77777777" w:rsidR="009B4037" w:rsidRPr="00454929" w:rsidRDefault="009B4037" w:rsidP="009B4037">
      <w:pPr>
        <w:spacing w:after="0" w:line="240" w:lineRule="auto"/>
        <w:ind w:firstLine="708"/>
        <w:jc w:val="both"/>
        <w:rPr>
          <w:rFonts w:ascii="Verdana" w:eastAsia="Calibri" w:hAnsi="Verdana" w:cs="Arial"/>
          <w:sz w:val="16"/>
          <w:szCs w:val="16"/>
          <w:lang w:val="es-ES"/>
        </w:rPr>
      </w:pPr>
      <w:r w:rsidRPr="00454929">
        <w:rPr>
          <w:rFonts w:ascii="Verdana" w:eastAsia="Calibri" w:hAnsi="Verdana" w:cs="Arial"/>
          <w:sz w:val="16"/>
          <w:szCs w:val="16"/>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8">
    <w:p w14:paraId="51B3CB8F" w14:textId="77777777" w:rsidR="009B4037" w:rsidRPr="00454929" w:rsidRDefault="009B4037" w:rsidP="009B4037">
      <w:pPr>
        <w:pStyle w:val="Textonotapie"/>
        <w:ind w:firstLine="709"/>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7994FFE4" w14:textId="77777777" w:rsidR="009B4037" w:rsidRPr="00454929" w:rsidRDefault="009B4037" w:rsidP="009B4037">
      <w:pPr>
        <w:pStyle w:val="Textonotapie"/>
        <w:ind w:firstLine="709"/>
        <w:jc w:val="both"/>
        <w:rPr>
          <w:rFonts w:ascii="Verdana" w:hAnsi="Verdana" w:cs="Arial"/>
          <w:sz w:val="16"/>
          <w:szCs w:val="16"/>
        </w:rPr>
      </w:pPr>
      <w:r w:rsidRPr="00454929">
        <w:rPr>
          <w:rFonts w:ascii="Verdana" w:hAnsi="Verdana" w:cs="Arial"/>
          <w:sz w:val="16"/>
          <w:szCs w:val="16"/>
        </w:rPr>
        <w:t>“1. Gobernarse por Autoridades Propias de acuerdo con la ley de origen, derecho mayor o derecho propio.</w:t>
      </w:r>
    </w:p>
    <w:p w14:paraId="6429D0F3" w14:textId="77777777" w:rsidR="009B4037" w:rsidRPr="00454929" w:rsidRDefault="009B4037" w:rsidP="009B4037">
      <w:pPr>
        <w:pStyle w:val="Textonotapie"/>
        <w:ind w:firstLine="709"/>
        <w:jc w:val="both"/>
        <w:rPr>
          <w:rFonts w:ascii="Verdana" w:hAnsi="Verdana" w:cs="Arial"/>
          <w:sz w:val="16"/>
          <w:szCs w:val="16"/>
        </w:rPr>
      </w:pPr>
      <w:r w:rsidRPr="00454929">
        <w:rPr>
          <w:rFonts w:ascii="Verdana" w:hAnsi="Verdana" w:cs="Arial"/>
          <w:sz w:val="16"/>
          <w:szCs w:val="16"/>
        </w:rPr>
        <w:t>“2. Ejercer las competencias y derechos establecidos en este decreto, conforme con la Constitución Política, la legislación nacional e internacional que hace parte del bloque de constitucionalidad, la ley de origen, el derecho mayor o derecho propio.</w:t>
      </w:r>
    </w:p>
    <w:p w14:paraId="3341F5AF" w14:textId="77777777" w:rsidR="009B4037" w:rsidRPr="00454929" w:rsidRDefault="009B4037" w:rsidP="009B4037">
      <w:pPr>
        <w:pStyle w:val="Textonotapie"/>
        <w:ind w:firstLine="709"/>
        <w:jc w:val="both"/>
        <w:rPr>
          <w:rFonts w:ascii="Verdana" w:hAnsi="Verdana" w:cs="Arial"/>
          <w:sz w:val="16"/>
          <w:szCs w:val="16"/>
        </w:rPr>
      </w:pPr>
      <w:r w:rsidRPr="00454929">
        <w:rPr>
          <w:rFonts w:ascii="Verdana" w:hAnsi="Verdana" w:cs="Arial"/>
          <w:sz w:val="16"/>
          <w:szCs w:val="16"/>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047B1AA3" w14:textId="77777777" w:rsidR="009B4037" w:rsidRPr="00454929" w:rsidRDefault="009B4037" w:rsidP="009B4037">
      <w:pPr>
        <w:pStyle w:val="Textonotapie"/>
        <w:ind w:firstLine="709"/>
        <w:jc w:val="both"/>
        <w:rPr>
          <w:rFonts w:ascii="Verdana" w:hAnsi="Verdana" w:cs="Arial"/>
          <w:sz w:val="16"/>
          <w:szCs w:val="16"/>
        </w:rPr>
      </w:pPr>
      <w:r w:rsidRPr="00454929">
        <w:rPr>
          <w:rFonts w:ascii="Verdana" w:hAnsi="Verdana" w:cs="Arial"/>
          <w:sz w:val="16"/>
          <w:szCs w:val="16"/>
        </w:rPr>
        <w:t>“4. Darse sus estructuras de gobierno propio y de coordinación para efectos del desarrollo de sus respectivas competencias.</w:t>
      </w:r>
    </w:p>
    <w:p w14:paraId="01B98D73" w14:textId="77777777" w:rsidR="009B4037" w:rsidRPr="00454929" w:rsidRDefault="009B4037" w:rsidP="009B4037">
      <w:pPr>
        <w:pStyle w:val="Textonotapie"/>
        <w:ind w:firstLine="708"/>
        <w:jc w:val="both"/>
        <w:rPr>
          <w:rFonts w:ascii="Verdana" w:hAnsi="Verdana" w:cs="Arial"/>
          <w:sz w:val="16"/>
          <w:szCs w:val="16"/>
        </w:rPr>
      </w:pPr>
      <w:r w:rsidRPr="00454929">
        <w:rPr>
          <w:rFonts w:ascii="Verdana" w:hAnsi="Verdana" w:cs="Arial"/>
          <w:sz w:val="16"/>
          <w:szCs w:val="16"/>
        </w:rPr>
        <w:t>“5. Percibir y administrar los recursos provenientes de fuentes de financiación públicas y/o privadas para el desarrollo de sus funciones y competencias de acuerdo con lo establecido en este decreto”.</w:t>
      </w:r>
    </w:p>
  </w:footnote>
  <w:footnote w:id="9">
    <w:p w14:paraId="46742B06" w14:textId="77777777" w:rsidR="009B4037" w:rsidRPr="00454929" w:rsidRDefault="009B4037" w:rsidP="009B4037">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1A37280" w14:textId="77777777" w:rsidR="009B4037" w:rsidRPr="00454929" w:rsidRDefault="009B4037" w:rsidP="009B4037">
      <w:pPr>
        <w:pStyle w:val="Textonotapie"/>
        <w:ind w:firstLine="709"/>
        <w:contextualSpacing/>
        <w:jc w:val="both"/>
        <w:rPr>
          <w:rFonts w:ascii="Verdana" w:hAnsi="Verdana" w:cs="Arial"/>
          <w:sz w:val="16"/>
          <w:szCs w:val="16"/>
        </w:rPr>
      </w:pPr>
      <w:r w:rsidRPr="00454929">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66C89DE" w14:textId="77777777" w:rsidR="009B4037" w:rsidRPr="00454929" w:rsidRDefault="009B4037" w:rsidP="009B4037">
      <w:pPr>
        <w:pStyle w:val="Textonotapie"/>
        <w:ind w:firstLine="709"/>
        <w:contextualSpacing/>
        <w:jc w:val="both"/>
        <w:rPr>
          <w:rFonts w:ascii="Verdana" w:hAnsi="Verdana" w:cs="Arial"/>
          <w:sz w:val="16"/>
          <w:szCs w:val="16"/>
        </w:rPr>
      </w:pPr>
    </w:p>
  </w:footnote>
  <w:footnote w:id="10">
    <w:p w14:paraId="2CF1DCBF" w14:textId="77777777" w:rsidR="009B4037" w:rsidRPr="00454929" w:rsidRDefault="009B4037" w:rsidP="009B4037">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Gaceta del Congreso de la República No. 71 del 2005.</w:t>
      </w:r>
    </w:p>
    <w:p w14:paraId="55AE4FB8" w14:textId="77777777" w:rsidR="009B4037" w:rsidRPr="00454929" w:rsidRDefault="009B4037" w:rsidP="009B4037">
      <w:pPr>
        <w:pStyle w:val="Textonotapie"/>
        <w:ind w:firstLine="709"/>
        <w:contextualSpacing/>
        <w:jc w:val="both"/>
        <w:rPr>
          <w:rFonts w:ascii="Verdana" w:hAnsi="Verdana" w:cs="Arial"/>
          <w:sz w:val="16"/>
          <w:szCs w:val="16"/>
        </w:rPr>
      </w:pPr>
    </w:p>
  </w:footnote>
  <w:footnote w:id="11">
    <w:p w14:paraId="1B3538DC" w14:textId="77777777" w:rsidR="009B4037" w:rsidRDefault="009B4037" w:rsidP="009B4037">
      <w:pPr>
        <w:pStyle w:val="Textonotapie"/>
        <w:ind w:firstLine="709"/>
        <w:contextualSpacing/>
        <w:jc w:val="both"/>
        <w:rPr>
          <w:rFonts w:ascii="Verdana" w:hAnsi="Verdana" w:cs="Arial"/>
          <w:sz w:val="16"/>
          <w:szCs w:val="16"/>
          <w:lang w:val="pt-BR"/>
        </w:rPr>
      </w:pPr>
      <w:r w:rsidRPr="00454929">
        <w:rPr>
          <w:rStyle w:val="Refdenotaalpie"/>
          <w:rFonts w:ascii="Verdana" w:hAnsi="Verdana" w:cs="Arial"/>
          <w:sz w:val="16"/>
          <w:szCs w:val="16"/>
        </w:rPr>
        <w:footnoteRef/>
      </w:r>
      <w:r w:rsidRPr="00454929">
        <w:rPr>
          <w:rFonts w:ascii="Verdana" w:hAnsi="Verdana" w:cs="Arial"/>
          <w:sz w:val="16"/>
          <w:szCs w:val="16"/>
          <w:lang w:val="pt-BR"/>
        </w:rPr>
        <w:t xml:space="preserve"> Corte Constitucional, Sentencia C- 1153 de 2005, M.P. Marco Gerardo Monroy Cabra.</w:t>
      </w:r>
    </w:p>
    <w:p w14:paraId="63D322CA" w14:textId="77777777" w:rsidR="009B4037" w:rsidRPr="00454929" w:rsidRDefault="009B4037" w:rsidP="009B4037">
      <w:pPr>
        <w:pStyle w:val="Textonotapie"/>
        <w:ind w:firstLine="709"/>
        <w:contextualSpacing/>
        <w:jc w:val="both"/>
        <w:rPr>
          <w:rFonts w:ascii="Verdana" w:hAnsi="Verdana" w:cs="Arial"/>
          <w:sz w:val="16"/>
          <w:szCs w:val="16"/>
          <w:lang w:val="pt-BR"/>
        </w:rPr>
      </w:pPr>
    </w:p>
  </w:footnote>
  <w:footnote w:id="12">
    <w:p w14:paraId="35EA9B8A" w14:textId="77777777" w:rsidR="009B4037" w:rsidRPr="00454929" w:rsidRDefault="009B4037" w:rsidP="009B4037">
      <w:pPr>
        <w:pStyle w:val="Textonotapie"/>
        <w:ind w:firstLine="709"/>
        <w:contextualSpacing/>
        <w:jc w:val="both"/>
        <w:rPr>
          <w:rFonts w:ascii="Verdana" w:hAnsi="Verdana" w:cs="Arial"/>
          <w:sz w:val="16"/>
          <w:szCs w:val="16"/>
          <w:lang w:val="pt-BR"/>
        </w:rPr>
      </w:pPr>
      <w:r w:rsidRPr="00454929">
        <w:rPr>
          <w:rStyle w:val="Refdenotaalpie"/>
          <w:rFonts w:ascii="Verdana" w:hAnsi="Verdana" w:cs="Arial"/>
          <w:sz w:val="16"/>
          <w:szCs w:val="16"/>
        </w:rPr>
        <w:footnoteRef/>
      </w:r>
      <w:r w:rsidRPr="00454929">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045DD627" w14:textId="77777777" w:rsidR="009B4037" w:rsidRPr="00454929" w:rsidRDefault="009B4037" w:rsidP="009B4037">
      <w:pPr>
        <w:pStyle w:val="Textonotapie"/>
        <w:ind w:firstLine="709"/>
        <w:contextualSpacing/>
        <w:jc w:val="both"/>
        <w:rPr>
          <w:rFonts w:ascii="Verdana" w:hAnsi="Verdana" w:cs="Arial"/>
          <w:sz w:val="16"/>
          <w:szCs w:val="16"/>
          <w:lang w:val="pt-BR"/>
        </w:rPr>
      </w:pPr>
    </w:p>
  </w:footnote>
  <w:footnote w:id="13">
    <w:p w14:paraId="1EED418E" w14:textId="77777777" w:rsidR="009B4037" w:rsidRPr="00454929" w:rsidRDefault="009B4037" w:rsidP="009B4037">
      <w:pPr>
        <w:pStyle w:val="Textonotapie"/>
        <w:ind w:firstLine="709"/>
        <w:contextualSpacing/>
        <w:jc w:val="both"/>
        <w:rPr>
          <w:rFonts w:ascii="Verdana" w:hAnsi="Verdana" w:cs="Arial"/>
          <w:sz w:val="16"/>
          <w:szCs w:val="16"/>
          <w:lang w:val="es-CO"/>
        </w:rPr>
      </w:pPr>
      <w:r w:rsidRPr="00454929">
        <w:rPr>
          <w:rStyle w:val="Refdenotaalpie"/>
          <w:rFonts w:ascii="Verdana" w:hAnsi="Verdana" w:cs="Arial"/>
          <w:sz w:val="16"/>
          <w:szCs w:val="16"/>
        </w:rPr>
        <w:footnoteRef/>
      </w:r>
      <w:r w:rsidRPr="00454929">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0EF89E95" w14:textId="77777777" w:rsidR="009B4037" w:rsidRPr="00454929" w:rsidRDefault="009B4037" w:rsidP="009B4037">
      <w:pPr>
        <w:pStyle w:val="Textonotapie"/>
        <w:ind w:firstLine="709"/>
        <w:contextualSpacing/>
        <w:jc w:val="both"/>
        <w:rPr>
          <w:rFonts w:ascii="Verdana" w:hAnsi="Verdana" w:cs="Arial"/>
          <w:sz w:val="16"/>
          <w:szCs w:val="16"/>
          <w:lang w:val="es-CO"/>
        </w:rPr>
      </w:pPr>
    </w:p>
  </w:footnote>
  <w:footnote w:id="14">
    <w:p w14:paraId="72E8843B" w14:textId="77777777" w:rsidR="009B4037" w:rsidRDefault="009B4037" w:rsidP="009B4037">
      <w:pPr>
        <w:pStyle w:val="Textonotapie"/>
        <w:ind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Consejo de Estado, Sala de Consulta y Servicio Civil de fecha 24 de julio de 2013, Rad. 2166, C. P. Álvaro Namén Vargas.  </w:t>
      </w:r>
    </w:p>
    <w:p w14:paraId="5D25BDEC" w14:textId="77777777" w:rsidR="009B4037" w:rsidRPr="00454929" w:rsidRDefault="009B4037" w:rsidP="009B4037">
      <w:pPr>
        <w:pStyle w:val="Textonotapie"/>
        <w:ind w:firstLine="709"/>
        <w:contextualSpacing/>
        <w:jc w:val="both"/>
        <w:rPr>
          <w:rFonts w:ascii="Verdana" w:hAnsi="Verdana" w:cs="Arial"/>
          <w:sz w:val="16"/>
          <w:szCs w:val="16"/>
        </w:rPr>
      </w:pPr>
    </w:p>
  </w:footnote>
  <w:footnote w:id="15">
    <w:p w14:paraId="0BF3F58F" w14:textId="77777777" w:rsidR="009B4037" w:rsidRPr="00454929" w:rsidRDefault="009B4037" w:rsidP="009B4037">
      <w:pPr>
        <w:spacing w:after="0" w:line="240" w:lineRule="auto"/>
        <w:ind w:firstLine="709"/>
        <w:contextualSpacing/>
        <w:jc w:val="both"/>
        <w:rPr>
          <w:rFonts w:ascii="Verdana" w:eastAsia="Times New Roman"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hAnsi="Verdana" w:cs="Arial"/>
          <w:color w:val="000000"/>
          <w:sz w:val="16"/>
          <w:szCs w:val="16"/>
        </w:rPr>
        <w:t>“</w:t>
      </w:r>
      <w:r w:rsidRPr="00454929">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292014DD" w14:textId="77777777" w:rsidR="009B4037" w:rsidRPr="00454929" w:rsidRDefault="009B4037" w:rsidP="009B4037">
      <w:pPr>
        <w:spacing w:after="0" w:line="240" w:lineRule="auto"/>
        <w:ind w:firstLine="709"/>
        <w:contextualSpacing/>
        <w:jc w:val="both"/>
        <w:rPr>
          <w:rFonts w:ascii="Verdana" w:eastAsia="Times New Roman" w:hAnsi="Verdana" w:cs="Arial"/>
          <w:sz w:val="16"/>
          <w:szCs w:val="16"/>
        </w:rPr>
      </w:pPr>
      <w:r w:rsidRPr="00454929">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54929">
        <w:rPr>
          <w:rFonts w:ascii="Verdana" w:hAnsi="Verdana" w:cs="Arial"/>
          <w:color w:val="000000" w:themeColor="text1"/>
          <w:sz w:val="16"/>
          <w:szCs w:val="16"/>
        </w:rPr>
        <w:t>”</w:t>
      </w:r>
      <w:r w:rsidRPr="00454929">
        <w:rPr>
          <w:rFonts w:ascii="Verdana" w:eastAsia="Times New Roman" w:hAnsi="Verdana" w:cs="Arial"/>
          <w:sz w:val="16"/>
          <w:szCs w:val="16"/>
        </w:rPr>
        <w:t>.</w:t>
      </w:r>
    </w:p>
    <w:p w14:paraId="4ECD38AD" w14:textId="77777777" w:rsidR="009B4037" w:rsidRPr="00454929" w:rsidRDefault="009B4037" w:rsidP="009B4037">
      <w:pPr>
        <w:spacing w:after="0" w:line="240" w:lineRule="auto"/>
        <w:ind w:firstLine="709"/>
        <w:contextualSpacing/>
        <w:jc w:val="both"/>
        <w:rPr>
          <w:rFonts w:ascii="Verdana" w:eastAsia="Times New Roman" w:hAnsi="Verdana" w:cs="Arial"/>
          <w:sz w:val="16"/>
          <w:szCs w:val="16"/>
        </w:rPr>
      </w:pPr>
    </w:p>
  </w:footnote>
  <w:footnote w:id="16">
    <w:p w14:paraId="32042F3F" w14:textId="77777777" w:rsidR="009B4037" w:rsidRPr="00454929" w:rsidRDefault="009B4037" w:rsidP="009B4037">
      <w:pPr>
        <w:pStyle w:val="NormalWeb"/>
        <w:spacing w:before="0" w:beforeAutospacing="0" w:after="0" w:afterAutospacing="0"/>
        <w:ind w:firstLine="709"/>
        <w:contextualSpacing/>
        <w:jc w:val="both"/>
        <w:rPr>
          <w:rFonts w:ascii="Verdana" w:hAnsi="Verdana" w:cs="Arial"/>
          <w:sz w:val="16"/>
          <w:szCs w:val="16"/>
          <w:lang w:val="es-MX"/>
        </w:rPr>
      </w:pPr>
      <w:r w:rsidRPr="00454929">
        <w:rPr>
          <w:rStyle w:val="Refdenotaalpie"/>
          <w:rFonts w:ascii="Verdana" w:hAnsi="Verdana" w:cs="Arial"/>
          <w:sz w:val="16"/>
          <w:szCs w:val="16"/>
        </w:rPr>
        <w:footnoteRef/>
      </w:r>
      <w:r w:rsidRPr="00454929">
        <w:rPr>
          <w:rFonts w:ascii="Verdana" w:hAnsi="Verdana" w:cs="Arial"/>
          <w:sz w:val="16"/>
          <w:szCs w:val="16"/>
        </w:rPr>
        <w:t xml:space="preserve"> </w:t>
      </w:r>
      <w:r w:rsidRPr="00454929">
        <w:rPr>
          <w:rFonts w:ascii="Verdana" w:eastAsia="Calibri" w:hAnsi="Verdana" w:cs="Arial"/>
          <w:color w:val="000000"/>
          <w:sz w:val="16"/>
          <w:szCs w:val="16"/>
        </w:rPr>
        <w:t>“</w:t>
      </w:r>
      <w:r w:rsidRPr="00454929">
        <w:rPr>
          <w:rFonts w:ascii="Verdana" w:hAnsi="Verdana" w:cs="Arial"/>
          <w:sz w:val="16"/>
          <w:szCs w:val="16"/>
          <w:lang w:val="es-MX"/>
        </w:rPr>
        <w:t>Artículo 38. Prohibiciones para los servidores públicos. A los empleados del Estado les está prohibido: […]</w:t>
      </w:r>
    </w:p>
    <w:p w14:paraId="65955B07" w14:textId="77777777" w:rsidR="009B4037" w:rsidRDefault="009B4037" w:rsidP="009B4037">
      <w:pPr>
        <w:pStyle w:val="NormalWeb"/>
        <w:spacing w:before="0" w:beforeAutospacing="0" w:after="0" w:afterAutospacing="0"/>
        <w:ind w:firstLine="709"/>
        <w:contextualSpacing/>
        <w:jc w:val="both"/>
        <w:rPr>
          <w:rFonts w:ascii="Verdana" w:hAnsi="Verdana" w:cs="Arial"/>
          <w:sz w:val="16"/>
          <w:szCs w:val="16"/>
          <w:lang w:val="es-MX"/>
        </w:rPr>
      </w:pPr>
      <w:r w:rsidRPr="00454929">
        <w:rPr>
          <w:rStyle w:val="baj"/>
          <w:rFonts w:ascii="Verdana" w:hAnsi="Verdana" w:cs="Arial"/>
          <w:sz w:val="16"/>
          <w:szCs w:val="16"/>
          <w:lang w:val="es-MX"/>
        </w:rPr>
        <w:t>Parágrafo.</w:t>
      </w:r>
      <w:r w:rsidRPr="00454929">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54929">
        <w:rPr>
          <w:rFonts w:ascii="Verdana" w:eastAsia="Calibri" w:hAnsi="Verdana" w:cs="Arial"/>
          <w:color w:val="000000"/>
          <w:sz w:val="16"/>
          <w:szCs w:val="16"/>
        </w:rPr>
        <w:t>”</w:t>
      </w:r>
      <w:r w:rsidRPr="00454929">
        <w:rPr>
          <w:rFonts w:ascii="Verdana" w:hAnsi="Verdana" w:cs="Arial"/>
          <w:sz w:val="16"/>
          <w:szCs w:val="16"/>
          <w:lang w:val="es-MX"/>
        </w:rPr>
        <w:t>.</w:t>
      </w:r>
    </w:p>
    <w:p w14:paraId="2DD1FEE6" w14:textId="77777777" w:rsidR="009B4037" w:rsidRPr="00454929" w:rsidRDefault="009B4037" w:rsidP="009B4037">
      <w:pPr>
        <w:pStyle w:val="NormalWeb"/>
        <w:spacing w:before="0" w:beforeAutospacing="0" w:after="0" w:afterAutospacing="0"/>
        <w:ind w:firstLine="709"/>
        <w:contextualSpacing/>
        <w:jc w:val="both"/>
        <w:rPr>
          <w:rFonts w:ascii="Verdana" w:hAnsi="Verdana" w:cs="Arial"/>
          <w:sz w:val="16"/>
          <w:szCs w:val="16"/>
          <w:lang w:val="es-MX"/>
        </w:rPr>
      </w:pPr>
    </w:p>
  </w:footnote>
  <w:footnote w:id="17">
    <w:p w14:paraId="6C2C91D9" w14:textId="77777777" w:rsidR="009B4037" w:rsidRPr="00454929" w:rsidRDefault="009B4037" w:rsidP="009B4037">
      <w:pPr>
        <w:spacing w:after="0" w:line="240" w:lineRule="auto"/>
        <w:ind w:left="100" w:right="244" w:firstLine="709"/>
        <w:contextualSpacing/>
        <w:jc w:val="both"/>
        <w:rPr>
          <w:rFonts w:ascii="Verdana" w:hAnsi="Verdana" w:cs="Arial"/>
          <w:sz w:val="16"/>
          <w:szCs w:val="16"/>
        </w:rPr>
      </w:pPr>
      <w:r w:rsidRPr="00454929">
        <w:rPr>
          <w:rStyle w:val="Refdenotaalpie"/>
          <w:rFonts w:ascii="Verdana" w:hAnsi="Verdana" w:cs="Arial"/>
          <w:sz w:val="16"/>
          <w:szCs w:val="16"/>
        </w:rPr>
        <w:footnoteRef/>
      </w:r>
      <w:r w:rsidRPr="00454929">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8">
    <w:p w14:paraId="04E418F0" w14:textId="77777777" w:rsidR="009B4037" w:rsidRPr="00F95083" w:rsidRDefault="009B4037" w:rsidP="009B4037">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[25] </w:t>
      </w:r>
      <w:r w:rsidRPr="00F95083">
        <w:rPr>
          <w:rFonts w:ascii="Verdana" w:hAnsi="Verdana" w:cs="Arial"/>
          <w:sz w:val="15"/>
          <w:szCs w:val="15"/>
        </w:rPr>
        <w:t>Cfr. Consejo de Estado. Sección Tercera. Sentencia de 3 de diciembre de 2007. Radicados: 24.715, 25.206, 25.409, 24.524, 27.834, 25.410, 26.105, 28.244, 31.447 -acumulados-“.</w:t>
      </w:r>
    </w:p>
  </w:footnote>
  <w:footnote w:id="19">
    <w:p w14:paraId="3D9D6044" w14:textId="77777777" w:rsidR="009B4037" w:rsidRPr="00F95083" w:rsidRDefault="009B4037" w:rsidP="009B4037">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[26] </w:t>
      </w:r>
      <w:r w:rsidRPr="00F95083">
        <w:rPr>
          <w:rFonts w:ascii="Verdana" w:hAnsi="Verdana" w:cs="Arial"/>
          <w:sz w:val="15"/>
          <w:szCs w:val="15"/>
        </w:rPr>
        <w:t>Al respecto ver el concepto 1712 de 2 de febrero de 2006. Consejo de Estado Sala de Consulta y Servicio Civil”.</w:t>
      </w:r>
    </w:p>
  </w:footnote>
  <w:footnote w:id="20">
    <w:p w14:paraId="5982E991" w14:textId="77777777" w:rsidR="009B4037" w:rsidRPr="00F95083" w:rsidRDefault="009B4037" w:rsidP="009B4037">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21">
    <w:p w14:paraId="0E4749DA" w14:textId="77777777" w:rsidR="009B4037" w:rsidRPr="00F95083" w:rsidRDefault="009B4037" w:rsidP="009B4037">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Artículo 2. </w:t>
      </w:r>
    </w:p>
  </w:footnote>
  <w:footnote w:id="22">
    <w:p w14:paraId="5FE8F26E" w14:textId="77777777" w:rsidR="009B4037" w:rsidRPr="00F95083" w:rsidRDefault="009B4037" w:rsidP="009B4037">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i/>
          <w:sz w:val="15"/>
          <w:szCs w:val="15"/>
          <w:lang w:val="es-ES"/>
        </w:rPr>
        <w:t>Ídem</w:t>
      </w:r>
      <w:r w:rsidRPr="00F95083">
        <w:rPr>
          <w:rFonts w:ascii="Verdana" w:hAnsi="Verdana" w:cs="Arial"/>
          <w:sz w:val="15"/>
          <w:szCs w:val="15"/>
          <w:lang w:val="es-ES"/>
        </w:rPr>
        <w:t>.</w:t>
      </w:r>
    </w:p>
  </w:footnote>
  <w:footnote w:id="23">
    <w:p w14:paraId="06A955AF" w14:textId="77777777" w:rsidR="009B4037" w:rsidRPr="00F95083" w:rsidRDefault="009B4037" w:rsidP="009B4037">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 xml:space="preserve">“[…] A este respecto, cabe recordar que el artículo 860 del Código de Comercio regula la licitación en el derecho privado”. </w:t>
      </w:r>
    </w:p>
  </w:footnote>
  <w:footnote w:id="24">
    <w:p w14:paraId="2948C762" w14:textId="77777777" w:rsidR="009B4037" w:rsidRPr="00F95083" w:rsidRDefault="009B4037" w:rsidP="009B4037">
      <w:pPr>
        <w:shd w:val="clear" w:color="auto" w:fill="FFFFFF"/>
        <w:spacing w:after="0" w:line="240" w:lineRule="auto"/>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Consejo de Estado. Sala de Consulta y Servicio Civil, Concepto de 8 de mayo de 2018. Radicación Número: 11001-03-06-000-2018-00095-00(2382). C.P. Álvaro Namén Vargas.</w:t>
      </w:r>
    </w:p>
  </w:footnote>
  <w:footnote w:id="25">
    <w:p w14:paraId="6815C5E7" w14:textId="77777777" w:rsidR="009B4037" w:rsidRPr="00F95083" w:rsidRDefault="009B4037" w:rsidP="009B4037">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08 de mayo de 2018. Exp. 2.382. C.P. Álvaro Namén Vargas.</w:t>
      </w:r>
    </w:p>
  </w:footnote>
  <w:footnote w:id="26">
    <w:p w14:paraId="26561DD0" w14:textId="77777777" w:rsidR="009B4037" w:rsidRPr="00F95083" w:rsidRDefault="009B4037" w:rsidP="009B4037">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7">
    <w:p w14:paraId="50C287CF" w14:textId="77777777" w:rsidR="009B4037" w:rsidRPr="00F95083" w:rsidRDefault="009B4037" w:rsidP="009B4037">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8">
    <w:p w14:paraId="51E0E278" w14:textId="77777777" w:rsidR="009B4037" w:rsidRPr="00F95083" w:rsidRDefault="009B4037" w:rsidP="009B4037">
      <w:pPr>
        <w:spacing w:after="0" w:line="240" w:lineRule="auto"/>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9">
    <w:p w14:paraId="3B5D005E" w14:textId="77777777" w:rsidR="009B4037" w:rsidRPr="00CB2288" w:rsidRDefault="009B4037" w:rsidP="009B4037">
      <w:pPr>
        <w:pStyle w:val="Textonotapie"/>
        <w:ind w:right="51" w:firstLine="709"/>
        <w:jc w:val="both"/>
        <w:rPr>
          <w:rFonts w:ascii="Verdana" w:eastAsia="Times New Roman" w:hAnsi="Verdana" w:cs="Arial"/>
          <w:bCs/>
          <w:sz w:val="15"/>
          <w:szCs w:val="15"/>
          <w:lang w:eastAsia="x-none"/>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 (1738). C.P. Enrique José Arboleda Perdomo:</w:t>
      </w:r>
      <w:r w:rsidRPr="00F95083">
        <w:rPr>
          <w:rFonts w:ascii="Verdana" w:eastAsia="Times New Roman" w:hAnsi="Verdana" w:cs="Arial"/>
          <w:bCs/>
          <w:sz w:val="15"/>
          <w:szCs w:val="15"/>
          <w:lang w:eastAsia="x-none"/>
        </w:rPr>
        <w:t xml:space="preserve"> “</w:t>
      </w:r>
      <w:r w:rsidRPr="00F95083">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95083">
        <w:rPr>
          <w:rFonts w:ascii="Verdana" w:eastAsia="Times New Roman" w:hAnsi="Verdana" w:cs="Arial"/>
          <w:bCs/>
          <w:sz w:val="15"/>
          <w:szCs w:val="15"/>
          <w:lang w:eastAsia="x-none"/>
        </w:rPr>
        <w:t>”.</w:t>
      </w:r>
    </w:p>
  </w:footnote>
  <w:footnote w:id="30">
    <w:p w14:paraId="79E3E9C4" w14:textId="77777777" w:rsidR="009B4037" w:rsidRPr="00F95083" w:rsidRDefault="009B4037" w:rsidP="009B4037">
      <w:pPr>
        <w:spacing w:after="0" w:line="240" w:lineRule="auto"/>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31">
    <w:p w14:paraId="378BF951" w14:textId="77777777" w:rsidR="009B4037" w:rsidRPr="00F95083" w:rsidRDefault="009B4037" w:rsidP="009B4037">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ídem.</w:t>
      </w:r>
    </w:p>
  </w:footnote>
  <w:footnote w:id="32">
    <w:p w14:paraId="0FE86EAC" w14:textId="77777777" w:rsidR="009B4037" w:rsidRPr="00454929" w:rsidRDefault="009B4037" w:rsidP="009B4037">
      <w:pPr>
        <w:pStyle w:val="Textonotapie"/>
        <w:ind w:firstLine="709"/>
        <w:contextualSpacing/>
        <w:jc w:val="both"/>
        <w:rPr>
          <w:rFonts w:ascii="Verdana" w:hAnsi="Verdana" w:cs="Arial"/>
          <w:sz w:val="16"/>
          <w:szCs w:val="16"/>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hAnsi="Verdana" w:cs="Arial"/>
          <w:sz w:val="16"/>
          <w:szCs w:val="16"/>
        </w:rPr>
        <w:t>Consejo de Estado -Sección Tercera-. Sentencia del 21 de febrero de 2025. Radicación Número: 68.280. CP: José Roberto Sáchica Méndez.</w:t>
      </w:r>
    </w:p>
    <w:p w14:paraId="62EA7295" w14:textId="77777777" w:rsidR="009B4037" w:rsidRPr="00454929" w:rsidRDefault="009B4037" w:rsidP="009B4037">
      <w:pPr>
        <w:pStyle w:val="Textonotapie"/>
        <w:ind w:firstLine="709"/>
        <w:contextualSpacing/>
        <w:jc w:val="both"/>
        <w:rPr>
          <w:rFonts w:ascii="Verdana" w:hAnsi="Verdana" w:cs="Arial"/>
          <w:sz w:val="16"/>
          <w:szCs w:val="16"/>
        </w:rPr>
      </w:pPr>
    </w:p>
  </w:footnote>
  <w:footnote w:id="33">
    <w:p w14:paraId="573A9D83" w14:textId="77777777" w:rsidR="009B4037" w:rsidRPr="00454929" w:rsidRDefault="009B4037" w:rsidP="009B4037">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lang w:val="es-CO"/>
        </w:rPr>
        <w:t xml:space="preserve"> Consejo de Estado, Sección Tercera. Auto del 4 de octubre de 2024. Exp. 70.313. C.P: Fredy Ibarra Martínez.</w:t>
      </w:r>
    </w:p>
  </w:footnote>
  <w:footnote w:id="34">
    <w:p w14:paraId="7EB98D31" w14:textId="77777777" w:rsidR="009B4037" w:rsidRPr="00454929" w:rsidRDefault="009B4037" w:rsidP="009B4037">
      <w:pPr>
        <w:pStyle w:val="Textonotapie"/>
        <w:ind w:firstLine="709"/>
        <w:contextualSpacing/>
        <w:jc w:val="both"/>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La parte resolutiva del auto dispone lo siguiente; “</w:t>
      </w:r>
      <w:r w:rsidRPr="00301509">
        <w:rPr>
          <w:rFonts w:ascii="Verdana" w:hAnsi="Verdana"/>
          <w:bCs/>
          <w:sz w:val="16"/>
          <w:szCs w:val="16"/>
          <w:lang w:val="es-CO"/>
        </w:rPr>
        <w:t>PRIMERO: DECRETAR la</w:t>
      </w:r>
      <w:r w:rsidRPr="00454929">
        <w:rPr>
          <w:rFonts w:ascii="Verdana" w:hAnsi="Verdana"/>
          <w:sz w:val="16"/>
          <w:szCs w:val="16"/>
          <w:lang w:val="es-CO"/>
        </w:rPr>
        <w:t xml:space="preserve"> suspensión provisional de los apartes cuestionados del inciso segundo del numeral 16.2 de la Circular Externa única, versión 3 del 27 de diciembre de 2023, expedida por la Agencia Nacional de Contratación Pública – Colombia Compra Eficiente, según el cual </w:t>
      </w:r>
      <w:r w:rsidRPr="00454929">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454929">
        <w:rPr>
          <w:rFonts w:ascii="Verdana" w:hAnsi="Verdana"/>
          <w:sz w:val="16"/>
          <w:szCs w:val="16"/>
          <w:lang w:val="es-CO"/>
        </w:rPr>
        <w:t xml:space="preserve">, por las razones expuestas en precedencia. </w:t>
      </w:r>
    </w:p>
    <w:p w14:paraId="2F6A9281" w14:textId="77777777" w:rsidR="009B4037" w:rsidRPr="00454929" w:rsidRDefault="009B4037" w:rsidP="009B4037">
      <w:pPr>
        <w:pStyle w:val="Textonotapie"/>
        <w:ind w:firstLine="709"/>
        <w:contextualSpacing/>
        <w:jc w:val="both"/>
        <w:rPr>
          <w:rFonts w:ascii="Verdana" w:hAnsi="Verdana"/>
          <w:sz w:val="16"/>
          <w:szCs w:val="16"/>
          <w:lang w:val="es-CO"/>
        </w:rPr>
      </w:pPr>
      <w:r w:rsidRPr="00301509">
        <w:rPr>
          <w:rFonts w:ascii="Verdana" w:hAnsi="Verdana"/>
          <w:bCs/>
          <w:sz w:val="16"/>
          <w:szCs w:val="16"/>
          <w:lang w:val="es-CO"/>
        </w:rPr>
        <w:t>SEGUNDO: DECRETAR</w:t>
      </w:r>
      <w:r w:rsidRPr="00454929">
        <w:rPr>
          <w:rFonts w:ascii="Verdana" w:hAnsi="Verdana"/>
          <w:b/>
          <w:sz w:val="16"/>
          <w:szCs w:val="16"/>
          <w:lang w:val="es-CO"/>
        </w:rPr>
        <w:t xml:space="preserve"> </w:t>
      </w:r>
      <w:r w:rsidRPr="00454929">
        <w:rPr>
          <w:rFonts w:ascii="Verdana" w:hAnsi="Verdana"/>
          <w:sz w:val="16"/>
          <w:szCs w:val="16"/>
          <w:lang w:val="es-CO"/>
        </w:rPr>
        <w:t>la suspensión provisional de la expresión “</w:t>
      </w:r>
      <w:r w:rsidRPr="00454929">
        <w:rPr>
          <w:rFonts w:ascii="Verdana" w:hAnsi="Verdana"/>
          <w:i/>
          <w:sz w:val="16"/>
          <w:szCs w:val="16"/>
          <w:lang w:val="es-CO"/>
        </w:rPr>
        <w:t>contratos</w:t>
      </w:r>
      <w:r w:rsidRPr="00454929">
        <w:rPr>
          <w:rFonts w:ascii="Verdana" w:hAnsi="Verdana"/>
          <w:sz w:val="16"/>
          <w:szCs w:val="16"/>
          <w:lang w:val="es-CO"/>
        </w:rPr>
        <w:t xml:space="preserve">” y del párrafo </w:t>
      </w:r>
      <w:r w:rsidRPr="00454929">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454929">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35">
    <w:p w14:paraId="26832287" w14:textId="77777777" w:rsidR="009B4037" w:rsidRDefault="009B4037" w:rsidP="009B4037">
      <w:pPr>
        <w:spacing w:after="0" w:line="240" w:lineRule="auto"/>
        <w:ind w:firstLine="709"/>
        <w:contextualSpacing/>
        <w:jc w:val="both"/>
        <w:rPr>
          <w:rFonts w:ascii="Verdana" w:eastAsia="Times New Roman" w:hAnsi="Verdana" w:cs="Times New Roman"/>
          <w:sz w:val="16"/>
          <w:szCs w:val="16"/>
          <w:lang w:eastAsia="es-ES"/>
        </w:rPr>
      </w:pPr>
      <w:r w:rsidRPr="00454929">
        <w:rPr>
          <w:rStyle w:val="Refdenotaalpie"/>
          <w:rFonts w:ascii="Verdana" w:hAnsi="Verdana"/>
          <w:sz w:val="16"/>
          <w:szCs w:val="16"/>
        </w:rPr>
        <w:footnoteRef/>
      </w:r>
      <w:r w:rsidRPr="00454929">
        <w:rPr>
          <w:rFonts w:ascii="Verdana" w:hAnsi="Verdana"/>
          <w:sz w:val="16"/>
          <w:szCs w:val="16"/>
        </w:rPr>
        <w:t xml:space="preserve"> </w:t>
      </w:r>
      <w:r w:rsidRPr="00454929">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454929">
        <w:rPr>
          <w:rFonts w:ascii="Verdana" w:hAnsi="Verdana"/>
          <w:sz w:val="16"/>
          <w:szCs w:val="16"/>
        </w:rPr>
        <w:t xml:space="preserve">La parte de la providencia señala: </w:t>
      </w:r>
      <w:r w:rsidRPr="00454929">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FD04959" w14:textId="77777777" w:rsidR="009B4037" w:rsidRPr="00454929" w:rsidRDefault="009B4037" w:rsidP="009B4037">
      <w:pPr>
        <w:spacing w:after="0" w:line="240" w:lineRule="auto"/>
        <w:ind w:firstLine="709"/>
        <w:contextualSpacing/>
        <w:jc w:val="both"/>
        <w:rPr>
          <w:rFonts w:ascii="Verdana" w:eastAsia="Times New Roman" w:hAnsi="Verdana" w:cs="Times New Roman"/>
          <w:sz w:val="16"/>
          <w:szCs w:val="16"/>
          <w:lang w:eastAsia="es-ES"/>
        </w:rPr>
      </w:pPr>
    </w:p>
  </w:footnote>
  <w:footnote w:id="36">
    <w:p w14:paraId="449A8691" w14:textId="77777777" w:rsidR="009B4037" w:rsidRPr="00454929" w:rsidRDefault="009B4037" w:rsidP="009B4037">
      <w:pPr>
        <w:pStyle w:val="Textonotapie"/>
        <w:ind w:firstLine="709"/>
        <w:rPr>
          <w:rFonts w:ascii="Verdana" w:hAnsi="Verdana"/>
          <w:sz w:val="16"/>
          <w:szCs w:val="16"/>
          <w:lang w:val="es-CO"/>
        </w:rPr>
      </w:pPr>
      <w:r w:rsidRPr="00454929">
        <w:rPr>
          <w:rStyle w:val="Refdenotaalpie"/>
          <w:rFonts w:ascii="Verdana" w:hAnsi="Verdana"/>
          <w:sz w:val="16"/>
          <w:szCs w:val="16"/>
        </w:rPr>
        <w:footnoteRef/>
      </w:r>
      <w:r w:rsidRPr="00454929">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970"/>
    <w:rsid w:val="00005E1E"/>
    <w:rsid w:val="00013201"/>
    <w:rsid w:val="00014D9E"/>
    <w:rsid w:val="00016F78"/>
    <w:rsid w:val="0002029B"/>
    <w:rsid w:val="00020484"/>
    <w:rsid w:val="000305C3"/>
    <w:rsid w:val="00031855"/>
    <w:rsid w:val="00035438"/>
    <w:rsid w:val="00040801"/>
    <w:rsid w:val="000466BD"/>
    <w:rsid w:val="00046945"/>
    <w:rsid w:val="0005195F"/>
    <w:rsid w:val="00052B57"/>
    <w:rsid w:val="000547F7"/>
    <w:rsid w:val="00061547"/>
    <w:rsid w:val="00061B2A"/>
    <w:rsid w:val="000673BA"/>
    <w:rsid w:val="00071189"/>
    <w:rsid w:val="00071D46"/>
    <w:rsid w:val="00074CDA"/>
    <w:rsid w:val="00081B47"/>
    <w:rsid w:val="00082362"/>
    <w:rsid w:val="00082F90"/>
    <w:rsid w:val="0008354C"/>
    <w:rsid w:val="000838BA"/>
    <w:rsid w:val="00092DCC"/>
    <w:rsid w:val="000A50F2"/>
    <w:rsid w:val="000A683E"/>
    <w:rsid w:val="000A6D90"/>
    <w:rsid w:val="000B19B9"/>
    <w:rsid w:val="000D0334"/>
    <w:rsid w:val="000D15E3"/>
    <w:rsid w:val="000D5DA7"/>
    <w:rsid w:val="000E3C0C"/>
    <w:rsid w:val="000F6486"/>
    <w:rsid w:val="001078E9"/>
    <w:rsid w:val="001131F7"/>
    <w:rsid w:val="00116940"/>
    <w:rsid w:val="00125105"/>
    <w:rsid w:val="00127233"/>
    <w:rsid w:val="00132DDE"/>
    <w:rsid w:val="0013793B"/>
    <w:rsid w:val="0015683D"/>
    <w:rsid w:val="0015699B"/>
    <w:rsid w:val="00160992"/>
    <w:rsid w:val="00161946"/>
    <w:rsid w:val="0016386A"/>
    <w:rsid w:val="00186559"/>
    <w:rsid w:val="00192440"/>
    <w:rsid w:val="001A0022"/>
    <w:rsid w:val="001A2CE0"/>
    <w:rsid w:val="001A33BF"/>
    <w:rsid w:val="001B04E1"/>
    <w:rsid w:val="001B40D7"/>
    <w:rsid w:val="001C02BF"/>
    <w:rsid w:val="001C7A3B"/>
    <w:rsid w:val="001E4177"/>
    <w:rsid w:val="001F0A93"/>
    <w:rsid w:val="001F0B24"/>
    <w:rsid w:val="001F7DC6"/>
    <w:rsid w:val="00204305"/>
    <w:rsid w:val="0020697A"/>
    <w:rsid w:val="002112C9"/>
    <w:rsid w:val="0021326C"/>
    <w:rsid w:val="002133AC"/>
    <w:rsid w:val="00220E51"/>
    <w:rsid w:val="0022400B"/>
    <w:rsid w:val="00225635"/>
    <w:rsid w:val="0022674B"/>
    <w:rsid w:val="002421BB"/>
    <w:rsid w:val="002439E8"/>
    <w:rsid w:val="0025796E"/>
    <w:rsid w:val="0026347A"/>
    <w:rsid w:val="002707A2"/>
    <w:rsid w:val="0027500F"/>
    <w:rsid w:val="00275223"/>
    <w:rsid w:val="00285515"/>
    <w:rsid w:val="002951A0"/>
    <w:rsid w:val="002962BC"/>
    <w:rsid w:val="002979E2"/>
    <w:rsid w:val="002A093D"/>
    <w:rsid w:val="002A0DD0"/>
    <w:rsid w:val="002A49AC"/>
    <w:rsid w:val="002A64FD"/>
    <w:rsid w:val="002C1DC7"/>
    <w:rsid w:val="002C7024"/>
    <w:rsid w:val="002C7A84"/>
    <w:rsid w:val="002E2BF8"/>
    <w:rsid w:val="002E4FD9"/>
    <w:rsid w:val="002E61CB"/>
    <w:rsid w:val="002F0013"/>
    <w:rsid w:val="00301509"/>
    <w:rsid w:val="0030657A"/>
    <w:rsid w:val="00317631"/>
    <w:rsid w:val="00322A85"/>
    <w:rsid w:val="00322EC5"/>
    <w:rsid w:val="00324168"/>
    <w:rsid w:val="00330834"/>
    <w:rsid w:val="003448F4"/>
    <w:rsid w:val="00364792"/>
    <w:rsid w:val="00371077"/>
    <w:rsid w:val="00372C6B"/>
    <w:rsid w:val="00374F5E"/>
    <w:rsid w:val="0037544F"/>
    <w:rsid w:val="0037556D"/>
    <w:rsid w:val="00375627"/>
    <w:rsid w:val="00377E3E"/>
    <w:rsid w:val="003820DF"/>
    <w:rsid w:val="003A779E"/>
    <w:rsid w:val="003C6845"/>
    <w:rsid w:val="003D0F4D"/>
    <w:rsid w:val="003D1B64"/>
    <w:rsid w:val="003D5B0D"/>
    <w:rsid w:val="003E0499"/>
    <w:rsid w:val="003E4F80"/>
    <w:rsid w:val="003E6439"/>
    <w:rsid w:val="003E735B"/>
    <w:rsid w:val="003F0CFC"/>
    <w:rsid w:val="003F3941"/>
    <w:rsid w:val="003F614D"/>
    <w:rsid w:val="00406575"/>
    <w:rsid w:val="00407DAB"/>
    <w:rsid w:val="00410798"/>
    <w:rsid w:val="00411BDC"/>
    <w:rsid w:val="0041468A"/>
    <w:rsid w:val="00414C74"/>
    <w:rsid w:val="0042722E"/>
    <w:rsid w:val="00441CBA"/>
    <w:rsid w:val="0044391D"/>
    <w:rsid w:val="0044528D"/>
    <w:rsid w:val="00447D68"/>
    <w:rsid w:val="00454929"/>
    <w:rsid w:val="00460A3E"/>
    <w:rsid w:val="00466E39"/>
    <w:rsid w:val="004826B6"/>
    <w:rsid w:val="0049280A"/>
    <w:rsid w:val="0049672E"/>
    <w:rsid w:val="004A1847"/>
    <w:rsid w:val="004A305D"/>
    <w:rsid w:val="004A6106"/>
    <w:rsid w:val="004D249E"/>
    <w:rsid w:val="004E615E"/>
    <w:rsid w:val="004F21C4"/>
    <w:rsid w:val="004F685F"/>
    <w:rsid w:val="00500CF5"/>
    <w:rsid w:val="00504FBE"/>
    <w:rsid w:val="00511259"/>
    <w:rsid w:val="0051328D"/>
    <w:rsid w:val="005173C4"/>
    <w:rsid w:val="005254E6"/>
    <w:rsid w:val="0053094D"/>
    <w:rsid w:val="00555728"/>
    <w:rsid w:val="005566E8"/>
    <w:rsid w:val="00556C7F"/>
    <w:rsid w:val="005675BF"/>
    <w:rsid w:val="00574867"/>
    <w:rsid w:val="00576B1A"/>
    <w:rsid w:val="005846EA"/>
    <w:rsid w:val="0059023C"/>
    <w:rsid w:val="00591460"/>
    <w:rsid w:val="00591C5C"/>
    <w:rsid w:val="00593BF1"/>
    <w:rsid w:val="005A2F05"/>
    <w:rsid w:val="005A65E0"/>
    <w:rsid w:val="005B6132"/>
    <w:rsid w:val="005C3777"/>
    <w:rsid w:val="005C5CDC"/>
    <w:rsid w:val="005D2ED3"/>
    <w:rsid w:val="005D476C"/>
    <w:rsid w:val="005D7E99"/>
    <w:rsid w:val="00612C39"/>
    <w:rsid w:val="00613744"/>
    <w:rsid w:val="006200BF"/>
    <w:rsid w:val="006204DF"/>
    <w:rsid w:val="006219F8"/>
    <w:rsid w:val="006302F7"/>
    <w:rsid w:val="00646B9F"/>
    <w:rsid w:val="006638D4"/>
    <w:rsid w:val="00665D70"/>
    <w:rsid w:val="00684307"/>
    <w:rsid w:val="006900D9"/>
    <w:rsid w:val="006918E2"/>
    <w:rsid w:val="00694F2A"/>
    <w:rsid w:val="006C2D59"/>
    <w:rsid w:val="006E7646"/>
    <w:rsid w:val="006F73F6"/>
    <w:rsid w:val="00700FC1"/>
    <w:rsid w:val="00706C16"/>
    <w:rsid w:val="00712DFD"/>
    <w:rsid w:val="007173F3"/>
    <w:rsid w:val="00720881"/>
    <w:rsid w:val="007340C3"/>
    <w:rsid w:val="007439F0"/>
    <w:rsid w:val="00746BE7"/>
    <w:rsid w:val="0075235A"/>
    <w:rsid w:val="00756841"/>
    <w:rsid w:val="007649AB"/>
    <w:rsid w:val="00765900"/>
    <w:rsid w:val="00771CCA"/>
    <w:rsid w:val="00771D0C"/>
    <w:rsid w:val="00782142"/>
    <w:rsid w:val="007833AC"/>
    <w:rsid w:val="0079605D"/>
    <w:rsid w:val="007A0A4B"/>
    <w:rsid w:val="007B268C"/>
    <w:rsid w:val="007B7171"/>
    <w:rsid w:val="007C0C0F"/>
    <w:rsid w:val="007C3DC2"/>
    <w:rsid w:val="007D4B2E"/>
    <w:rsid w:val="007D57F7"/>
    <w:rsid w:val="007E5497"/>
    <w:rsid w:val="007F431E"/>
    <w:rsid w:val="007F494F"/>
    <w:rsid w:val="008036B4"/>
    <w:rsid w:val="00806F5F"/>
    <w:rsid w:val="0081175D"/>
    <w:rsid w:val="00816000"/>
    <w:rsid w:val="00820278"/>
    <w:rsid w:val="008258C9"/>
    <w:rsid w:val="008318E9"/>
    <w:rsid w:val="00832214"/>
    <w:rsid w:val="00834510"/>
    <w:rsid w:val="00834C77"/>
    <w:rsid w:val="00840E4B"/>
    <w:rsid w:val="00844AE9"/>
    <w:rsid w:val="00846D07"/>
    <w:rsid w:val="00861E32"/>
    <w:rsid w:val="00865796"/>
    <w:rsid w:val="00867F95"/>
    <w:rsid w:val="008717DA"/>
    <w:rsid w:val="0087320F"/>
    <w:rsid w:val="008843B6"/>
    <w:rsid w:val="00887563"/>
    <w:rsid w:val="00891928"/>
    <w:rsid w:val="008A446D"/>
    <w:rsid w:val="008A56A7"/>
    <w:rsid w:val="008B0077"/>
    <w:rsid w:val="008B25F1"/>
    <w:rsid w:val="008C17CB"/>
    <w:rsid w:val="008C7945"/>
    <w:rsid w:val="008D180B"/>
    <w:rsid w:val="008E12F2"/>
    <w:rsid w:val="008E492D"/>
    <w:rsid w:val="008E55E5"/>
    <w:rsid w:val="008F0EA7"/>
    <w:rsid w:val="009207CE"/>
    <w:rsid w:val="00923EEF"/>
    <w:rsid w:val="00926E3D"/>
    <w:rsid w:val="0093137C"/>
    <w:rsid w:val="00934F4F"/>
    <w:rsid w:val="009419F9"/>
    <w:rsid w:val="009433C7"/>
    <w:rsid w:val="0095685E"/>
    <w:rsid w:val="00957615"/>
    <w:rsid w:val="00961B09"/>
    <w:rsid w:val="00965334"/>
    <w:rsid w:val="0097093E"/>
    <w:rsid w:val="00970FE4"/>
    <w:rsid w:val="0097436F"/>
    <w:rsid w:val="009800F8"/>
    <w:rsid w:val="00987C44"/>
    <w:rsid w:val="009948A2"/>
    <w:rsid w:val="0099559C"/>
    <w:rsid w:val="009A0DFA"/>
    <w:rsid w:val="009A1C6F"/>
    <w:rsid w:val="009B0E84"/>
    <w:rsid w:val="009B2D26"/>
    <w:rsid w:val="009B4037"/>
    <w:rsid w:val="009B604C"/>
    <w:rsid w:val="009C1F94"/>
    <w:rsid w:val="009C71FA"/>
    <w:rsid w:val="009C72E7"/>
    <w:rsid w:val="009C7F7E"/>
    <w:rsid w:val="009D3058"/>
    <w:rsid w:val="009F3A13"/>
    <w:rsid w:val="00A03375"/>
    <w:rsid w:val="00A060B6"/>
    <w:rsid w:val="00A122D3"/>
    <w:rsid w:val="00A14468"/>
    <w:rsid w:val="00A17F13"/>
    <w:rsid w:val="00A20739"/>
    <w:rsid w:val="00A23AF9"/>
    <w:rsid w:val="00A23DBA"/>
    <w:rsid w:val="00A32BE2"/>
    <w:rsid w:val="00A332C8"/>
    <w:rsid w:val="00A33C78"/>
    <w:rsid w:val="00A3402F"/>
    <w:rsid w:val="00A43116"/>
    <w:rsid w:val="00A43159"/>
    <w:rsid w:val="00A53532"/>
    <w:rsid w:val="00A554C9"/>
    <w:rsid w:val="00A575FE"/>
    <w:rsid w:val="00A92EC3"/>
    <w:rsid w:val="00A960E5"/>
    <w:rsid w:val="00AA63B5"/>
    <w:rsid w:val="00AB0ADB"/>
    <w:rsid w:val="00AB1262"/>
    <w:rsid w:val="00AD6C81"/>
    <w:rsid w:val="00AF1BE5"/>
    <w:rsid w:val="00B00C0E"/>
    <w:rsid w:val="00B01B1A"/>
    <w:rsid w:val="00B0381D"/>
    <w:rsid w:val="00B060A3"/>
    <w:rsid w:val="00B37969"/>
    <w:rsid w:val="00B44A47"/>
    <w:rsid w:val="00B45858"/>
    <w:rsid w:val="00B714B0"/>
    <w:rsid w:val="00B72CD3"/>
    <w:rsid w:val="00B72FFF"/>
    <w:rsid w:val="00B85A64"/>
    <w:rsid w:val="00BA1D42"/>
    <w:rsid w:val="00BB4382"/>
    <w:rsid w:val="00BB43C2"/>
    <w:rsid w:val="00BC3D36"/>
    <w:rsid w:val="00BD4350"/>
    <w:rsid w:val="00BD54A6"/>
    <w:rsid w:val="00BD7F72"/>
    <w:rsid w:val="00BF2144"/>
    <w:rsid w:val="00BF7425"/>
    <w:rsid w:val="00C04FB3"/>
    <w:rsid w:val="00C0783E"/>
    <w:rsid w:val="00C11D8B"/>
    <w:rsid w:val="00C15139"/>
    <w:rsid w:val="00C16A37"/>
    <w:rsid w:val="00C222DC"/>
    <w:rsid w:val="00C27921"/>
    <w:rsid w:val="00C330EB"/>
    <w:rsid w:val="00C413E9"/>
    <w:rsid w:val="00C41DE8"/>
    <w:rsid w:val="00C44F26"/>
    <w:rsid w:val="00C50D69"/>
    <w:rsid w:val="00C5151D"/>
    <w:rsid w:val="00C5365C"/>
    <w:rsid w:val="00C54178"/>
    <w:rsid w:val="00C541CA"/>
    <w:rsid w:val="00C546CC"/>
    <w:rsid w:val="00C55BDE"/>
    <w:rsid w:val="00C708C9"/>
    <w:rsid w:val="00C72A81"/>
    <w:rsid w:val="00C754BE"/>
    <w:rsid w:val="00C755A5"/>
    <w:rsid w:val="00C76B1C"/>
    <w:rsid w:val="00C851C7"/>
    <w:rsid w:val="00C925AC"/>
    <w:rsid w:val="00CA7C8E"/>
    <w:rsid w:val="00CB1D05"/>
    <w:rsid w:val="00CB6357"/>
    <w:rsid w:val="00CC1B26"/>
    <w:rsid w:val="00CC2FD7"/>
    <w:rsid w:val="00CE3F9C"/>
    <w:rsid w:val="00CE58AD"/>
    <w:rsid w:val="00CF01D4"/>
    <w:rsid w:val="00CF2943"/>
    <w:rsid w:val="00CF29BA"/>
    <w:rsid w:val="00CF4966"/>
    <w:rsid w:val="00D177E6"/>
    <w:rsid w:val="00D201E9"/>
    <w:rsid w:val="00D25E73"/>
    <w:rsid w:val="00D302D9"/>
    <w:rsid w:val="00D323D9"/>
    <w:rsid w:val="00D361FD"/>
    <w:rsid w:val="00D414FE"/>
    <w:rsid w:val="00D423A2"/>
    <w:rsid w:val="00D44E26"/>
    <w:rsid w:val="00D460D0"/>
    <w:rsid w:val="00D520D8"/>
    <w:rsid w:val="00D63AC2"/>
    <w:rsid w:val="00D7383B"/>
    <w:rsid w:val="00D7788A"/>
    <w:rsid w:val="00D82C96"/>
    <w:rsid w:val="00D86621"/>
    <w:rsid w:val="00D94D77"/>
    <w:rsid w:val="00DA02A1"/>
    <w:rsid w:val="00DA1FBF"/>
    <w:rsid w:val="00DA231B"/>
    <w:rsid w:val="00DA4A00"/>
    <w:rsid w:val="00DB2058"/>
    <w:rsid w:val="00DB2E63"/>
    <w:rsid w:val="00DC2676"/>
    <w:rsid w:val="00DC38B2"/>
    <w:rsid w:val="00DC39FC"/>
    <w:rsid w:val="00DC75CA"/>
    <w:rsid w:val="00DE440E"/>
    <w:rsid w:val="00DE4943"/>
    <w:rsid w:val="00DE79ED"/>
    <w:rsid w:val="00DF5254"/>
    <w:rsid w:val="00E02524"/>
    <w:rsid w:val="00E07A6B"/>
    <w:rsid w:val="00E1209B"/>
    <w:rsid w:val="00E13BCD"/>
    <w:rsid w:val="00E15C40"/>
    <w:rsid w:val="00E16408"/>
    <w:rsid w:val="00E20894"/>
    <w:rsid w:val="00E245AB"/>
    <w:rsid w:val="00E27291"/>
    <w:rsid w:val="00E2764C"/>
    <w:rsid w:val="00E27F2E"/>
    <w:rsid w:val="00E36176"/>
    <w:rsid w:val="00E46B80"/>
    <w:rsid w:val="00E50AFE"/>
    <w:rsid w:val="00E51371"/>
    <w:rsid w:val="00E75C92"/>
    <w:rsid w:val="00E771DC"/>
    <w:rsid w:val="00E826C6"/>
    <w:rsid w:val="00E84EEF"/>
    <w:rsid w:val="00E86265"/>
    <w:rsid w:val="00E8772A"/>
    <w:rsid w:val="00E90F6B"/>
    <w:rsid w:val="00E92C27"/>
    <w:rsid w:val="00E93496"/>
    <w:rsid w:val="00EA0E3D"/>
    <w:rsid w:val="00EB5A8E"/>
    <w:rsid w:val="00EC214E"/>
    <w:rsid w:val="00EC38A7"/>
    <w:rsid w:val="00EC74E9"/>
    <w:rsid w:val="00ED5F50"/>
    <w:rsid w:val="00EE04B9"/>
    <w:rsid w:val="00EE1AA8"/>
    <w:rsid w:val="00EF2E3F"/>
    <w:rsid w:val="00EF5BD7"/>
    <w:rsid w:val="00F01EE6"/>
    <w:rsid w:val="00F0382A"/>
    <w:rsid w:val="00F07CE6"/>
    <w:rsid w:val="00F07F01"/>
    <w:rsid w:val="00F10689"/>
    <w:rsid w:val="00F23FEA"/>
    <w:rsid w:val="00F302DC"/>
    <w:rsid w:val="00F31EDC"/>
    <w:rsid w:val="00F32232"/>
    <w:rsid w:val="00F34198"/>
    <w:rsid w:val="00F4296A"/>
    <w:rsid w:val="00F462B3"/>
    <w:rsid w:val="00F5664F"/>
    <w:rsid w:val="00F60C80"/>
    <w:rsid w:val="00F63C15"/>
    <w:rsid w:val="00F666C4"/>
    <w:rsid w:val="00F76AFC"/>
    <w:rsid w:val="00F775C8"/>
    <w:rsid w:val="00F80590"/>
    <w:rsid w:val="00F9305C"/>
    <w:rsid w:val="00F96512"/>
    <w:rsid w:val="00FA2A14"/>
    <w:rsid w:val="00FA47C0"/>
    <w:rsid w:val="00FB5DD1"/>
    <w:rsid w:val="00FC2B5D"/>
    <w:rsid w:val="00FC403C"/>
    <w:rsid w:val="00FC6BC9"/>
    <w:rsid w:val="00FD6717"/>
    <w:rsid w:val="00FE31CD"/>
    <w:rsid w:val="00FE3454"/>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uiPriority w:val="99"/>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circular/circular-externa-006-de-2025"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alfonso.cardenas@casanare.gov.co"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982F4DBD-136B-4B17-9EF8-C214D7A686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35</Pages>
  <Words>11468</Words>
  <Characters>62617</Characters>
  <Application>Microsoft Office Word</Application>
  <DocSecurity>0</DocSecurity>
  <Lines>1138</Lines>
  <Paragraphs>209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2026-02-12T14:43:00Z</dcterms:created>
  <dcterms:modified xsi:type="dcterms:W3CDTF">2026-02-12T22:10:00Z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