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ABFB5" w14:textId="77777777" w:rsidR="00AD6399" w:rsidRPr="00881D8A" w:rsidRDefault="00AD6399" w:rsidP="00AD6399">
      <w:pPr>
        <w:spacing w:after="0"/>
        <w:jc w:val="both"/>
        <w:rPr>
          <w:rFonts w:ascii="Verdana" w:eastAsia="Calibri" w:hAnsi="Verdana" w:cs="Calibri"/>
          <w:b/>
          <w:bCs/>
          <w:lang w:val="es-ES"/>
        </w:rPr>
      </w:pPr>
      <w:bookmarkStart w:id="0" w:name="_Hlk143780582"/>
      <w:r w:rsidRPr="00881D8A">
        <w:rPr>
          <w:rFonts w:ascii="Verdana" w:eastAsia="Calibri" w:hAnsi="Verdana" w:cs="Calibri"/>
          <w:b/>
          <w:bCs/>
          <w:lang w:val="es-ES"/>
        </w:rPr>
        <w:t xml:space="preserve">CAPACIDAD RESIDUAL – Definición </w:t>
      </w:r>
    </w:p>
    <w:p w14:paraId="49F93A6D" w14:textId="77777777" w:rsidR="00AD6399" w:rsidRPr="00881D8A" w:rsidRDefault="00AD6399" w:rsidP="00AD6399">
      <w:pPr>
        <w:spacing w:after="0"/>
        <w:jc w:val="both"/>
        <w:rPr>
          <w:rFonts w:ascii="Verdana" w:eastAsia="Calibri" w:hAnsi="Verdana" w:cs="Calibri"/>
          <w:b/>
          <w:bCs/>
          <w:lang w:val="es-ES"/>
        </w:rPr>
      </w:pPr>
    </w:p>
    <w:p w14:paraId="79433FDC" w14:textId="77777777" w:rsidR="00AD6399" w:rsidRPr="00881D8A" w:rsidRDefault="00AD6399" w:rsidP="00AD6399">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p>
    <w:p w14:paraId="23F5DA14" w14:textId="77777777" w:rsidR="00AD6399" w:rsidRPr="00881D8A" w:rsidRDefault="00AD6399" w:rsidP="00AD6399">
      <w:pPr>
        <w:spacing w:after="0" w:line="240" w:lineRule="auto"/>
        <w:jc w:val="both"/>
        <w:rPr>
          <w:rFonts w:ascii="Verdana" w:eastAsia="Calibri" w:hAnsi="Verdana" w:cs="Calibri"/>
          <w:sz w:val="20"/>
          <w:szCs w:val="20"/>
        </w:rPr>
      </w:pPr>
    </w:p>
    <w:p w14:paraId="29BBEE2F" w14:textId="77777777" w:rsidR="00AD6399" w:rsidRPr="00881D8A" w:rsidRDefault="00AD6399" w:rsidP="00AD6399">
      <w:pPr>
        <w:spacing w:after="0" w:line="240" w:lineRule="auto"/>
        <w:jc w:val="both"/>
        <w:rPr>
          <w:rFonts w:ascii="Verdana" w:eastAsia="Calibri" w:hAnsi="Verdana" w:cs="Calibri"/>
          <w:sz w:val="20"/>
          <w:szCs w:val="20"/>
        </w:rPr>
      </w:pPr>
      <w:r w:rsidRPr="00881D8A">
        <w:rPr>
          <w:rFonts w:ascii="Verdana" w:eastAsia="Calibri" w:hAnsi="Verdana" w:cs="Calibri"/>
          <w:sz w:val="20"/>
          <w:szCs w:val="20"/>
        </w:rPr>
        <w:t>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w:t>
      </w:r>
    </w:p>
    <w:p w14:paraId="29AD4E67" w14:textId="77777777" w:rsidR="00AD6399" w:rsidRPr="00881D8A" w:rsidRDefault="00AD6399" w:rsidP="00AD6399">
      <w:pPr>
        <w:spacing w:after="0"/>
        <w:jc w:val="both"/>
        <w:rPr>
          <w:rFonts w:ascii="Verdana" w:eastAsia="Calibri" w:hAnsi="Verdana" w:cs="Calibri"/>
          <w:sz w:val="20"/>
          <w:szCs w:val="20"/>
        </w:rPr>
      </w:pPr>
    </w:p>
    <w:p w14:paraId="78A58A46" w14:textId="77777777" w:rsidR="00AD6399" w:rsidRPr="00F67D88" w:rsidRDefault="00AD6399" w:rsidP="00AD6399">
      <w:pPr>
        <w:autoSpaceDE w:val="0"/>
        <w:autoSpaceDN w:val="0"/>
        <w:adjustRightInd w:val="0"/>
        <w:spacing w:after="0" w:line="278" w:lineRule="auto"/>
        <w:jc w:val="both"/>
        <w:rPr>
          <w:rFonts w:ascii="Verdana" w:eastAsia="Calibri" w:hAnsi="Verdana" w:cs="Arial"/>
          <w:b/>
          <w:kern w:val="2"/>
          <w14:ligatures w14:val="standardContextual"/>
        </w:rPr>
      </w:pPr>
      <w:r w:rsidRPr="00F67D88">
        <w:rPr>
          <w:rFonts w:ascii="Verdana" w:eastAsia="Calibri" w:hAnsi="Verdana" w:cs="Arial"/>
          <w:b/>
          <w:bCs/>
          <w:kern w:val="2"/>
          <w14:ligatures w14:val="standardContextual"/>
        </w:rPr>
        <w:t xml:space="preserve">CAPACIDAD RESIDUAL – Saldos de Contratos en Ejecución </w:t>
      </w:r>
      <w:r w:rsidRPr="00F67D88">
        <w:rPr>
          <w:rFonts w:ascii="Verdana" w:eastAsia="Calibri" w:hAnsi="Verdana" w:cs="Arial"/>
          <w:b/>
          <w:color w:val="000000"/>
          <w:kern w:val="2"/>
          <w14:ligatures w14:val="standardContextual"/>
        </w:rPr>
        <w:t xml:space="preserve">“SCE” </w:t>
      </w:r>
      <w:r w:rsidRPr="00F67D88">
        <w:rPr>
          <w:rFonts w:ascii="Verdana" w:eastAsia="Calibri" w:hAnsi="Verdana" w:cs="Arial"/>
          <w:b/>
          <w:bCs/>
          <w:kern w:val="2"/>
          <w14:ligatures w14:val="standardContextual"/>
        </w:rPr>
        <w:t xml:space="preserve">– Contratos de obra – Contratos suspendidos – Saldos pendientes por ejecutar </w:t>
      </w:r>
    </w:p>
    <w:p w14:paraId="01B69CDD" w14:textId="77777777" w:rsidR="00AD6399" w:rsidRPr="00F67D88" w:rsidRDefault="00AD6399" w:rsidP="00AD6399">
      <w:pPr>
        <w:spacing w:after="0" w:line="278" w:lineRule="auto"/>
        <w:ind w:right="49"/>
        <w:jc w:val="both"/>
        <w:rPr>
          <w:rFonts w:ascii="Verdana" w:eastAsia="Calibri" w:hAnsi="Verdana" w:cs="Arial"/>
          <w:bCs/>
          <w:color w:val="000000"/>
          <w:kern w:val="2"/>
          <w:sz w:val="20"/>
          <w:szCs w:val="20"/>
          <w14:ligatures w14:val="standardContextual"/>
        </w:rPr>
      </w:pPr>
    </w:p>
    <w:p w14:paraId="55AC804F" w14:textId="77777777" w:rsidR="00AD6399" w:rsidRPr="00F67D88" w:rsidRDefault="00AD6399" w:rsidP="00AD6399">
      <w:pPr>
        <w:spacing w:after="0" w:line="278" w:lineRule="auto"/>
        <w:ind w:right="49"/>
        <w:jc w:val="both"/>
        <w:rPr>
          <w:rFonts w:ascii="Verdana" w:eastAsia="Calibri" w:hAnsi="Verdana" w:cs="Arial"/>
          <w:bCs/>
          <w:color w:val="000000"/>
          <w:kern w:val="2"/>
          <w:sz w:val="20"/>
          <w:szCs w:val="20"/>
          <w14:ligatures w14:val="standardContextual"/>
        </w:rPr>
      </w:pPr>
      <w:r w:rsidRPr="00F67D88">
        <w:rPr>
          <w:rFonts w:ascii="Verdana" w:eastAsia="Calibri" w:hAnsi="Verdana" w:cs="Arial"/>
          <w:bCs/>
          <w:color w:val="000000"/>
          <w:kern w:val="2"/>
          <w:sz w:val="20"/>
          <w:szCs w:val="20"/>
          <w14:ligatures w14:val="standardContextual"/>
        </w:rPr>
        <w:t xml:space="preserve">En este sentido, los saldos pendientes se derivan de las obligaciones que se encuentran en ejecución al momento de la presentación de la oferta y se refieren a contratos cuyo objeto sea la ejecución de obras civiles. Se aclara que deben tenerse en cuenta los contratos sin acta de inicio, pues el criterio determinante para establecer si un contrato se encuentra en ejecución no lo determina el acta, sino que el mismo contrato obligue al proponente, tal como se establece en la Guía indicada. Además, los saldos pendientes por ejecutar de los contratos afectados por una suspensión constituyen, también, información relevante para calcular la capacidad residual del proponente “CRP”. Lo anterior, en la medida en que la ejecución de los contratos en principio suspendidos puede, eventualmente, afectar la aptitud del oferente para cumplir con el contrato ofertado, razón por la que, ante la posibilidad de que tales contratos se reanuden, la Guía estimó necesario evaluar los saldos pendientes por ejecutar de tales contratos para determinar si el proponente cumple con la capacidad residual requerida. </w:t>
      </w:r>
    </w:p>
    <w:p w14:paraId="55C32F1E" w14:textId="77777777" w:rsidR="00AD6399" w:rsidRPr="00881D8A" w:rsidRDefault="00AD6399" w:rsidP="00AD6399">
      <w:pPr>
        <w:spacing w:after="0" w:line="240" w:lineRule="auto"/>
        <w:jc w:val="both"/>
        <w:rPr>
          <w:rFonts w:ascii="Verdana" w:eastAsia="Calibri" w:hAnsi="Verdana" w:cs="Calibri"/>
          <w:sz w:val="20"/>
          <w:szCs w:val="20"/>
          <w:lang w:val="es-ES"/>
        </w:rPr>
      </w:pPr>
    </w:p>
    <w:p w14:paraId="3BF36944" w14:textId="77777777" w:rsidR="00AD6399" w:rsidRPr="00881D8A" w:rsidRDefault="00AD6399" w:rsidP="00AD6399">
      <w:pPr>
        <w:spacing w:after="0"/>
        <w:jc w:val="both"/>
        <w:rPr>
          <w:rFonts w:ascii="Verdana" w:eastAsia="Calibri" w:hAnsi="Verdana" w:cs="Calibri"/>
          <w:b/>
          <w:bCs/>
          <w:lang w:val="es-ES"/>
        </w:rPr>
      </w:pPr>
      <w:r w:rsidRPr="00881D8A">
        <w:rPr>
          <w:rFonts w:ascii="Verdana" w:eastAsia="Calibri" w:hAnsi="Verdana" w:cs="Calibri"/>
          <w:b/>
          <w:bCs/>
          <w:lang w:val="es-ES"/>
        </w:rPr>
        <w:t xml:space="preserve">CAPACIDAD RESIDUAL – Documentos tipo – Causales de rechazo de la oferta </w:t>
      </w:r>
    </w:p>
    <w:p w14:paraId="041A279B" w14:textId="77777777" w:rsidR="00AD6399" w:rsidRPr="00881D8A" w:rsidRDefault="00AD6399" w:rsidP="00AD6399">
      <w:pPr>
        <w:spacing w:after="0"/>
        <w:jc w:val="both"/>
        <w:rPr>
          <w:rFonts w:ascii="Verdana" w:eastAsia="Calibri" w:hAnsi="Verdana" w:cs="Calibri"/>
          <w:b/>
          <w:bCs/>
          <w:lang w:val="es-ES"/>
        </w:rPr>
      </w:pPr>
    </w:p>
    <w:p w14:paraId="7A6E06E0" w14:textId="77777777" w:rsidR="00AD6399" w:rsidRPr="00881D8A" w:rsidRDefault="00AD6399" w:rsidP="00AD6399">
      <w:pPr>
        <w:spacing w:after="0" w:line="240" w:lineRule="auto"/>
        <w:jc w:val="both"/>
        <w:rPr>
          <w:rFonts w:ascii="Verdana" w:eastAsia="Calibri" w:hAnsi="Verdana" w:cs="Arial"/>
          <w:sz w:val="20"/>
          <w:szCs w:val="20"/>
          <w:lang w:eastAsia="es-ES"/>
        </w:rPr>
      </w:pPr>
      <w:r w:rsidRPr="00881D8A">
        <w:rPr>
          <w:rFonts w:ascii="Verdana" w:eastAsia="Calibri" w:hAnsi="Verdana" w:cs="Arial"/>
          <w:sz w:val="20"/>
          <w:szCs w:val="20"/>
          <w:lang w:eastAsia="es-ES"/>
        </w:rPr>
        <w:t>El numeral 3.11 del documento base de obra de infraestructura de transporte para procesos de licitación pública – Versión 4, establece como requisito habilitante la capacidad residual. En este documento tipo se establecen al menos tres causales de rechazo en el numeral 1.15 que se relacionan con la capacidad residual como requisito habilitante, esto es, los literales E, H y X.</w:t>
      </w:r>
    </w:p>
    <w:p w14:paraId="6A0AA799" w14:textId="77777777" w:rsidR="00AD6399" w:rsidRPr="00881D8A" w:rsidRDefault="00AD6399" w:rsidP="00AD6399">
      <w:pPr>
        <w:spacing w:after="0"/>
        <w:jc w:val="both"/>
        <w:rPr>
          <w:rFonts w:ascii="Verdana" w:eastAsia="Calibri" w:hAnsi="Verdana" w:cs="Arial"/>
          <w:sz w:val="20"/>
          <w:szCs w:val="20"/>
          <w:lang w:eastAsia="es-ES"/>
        </w:rPr>
      </w:pPr>
    </w:p>
    <w:p w14:paraId="35CC8BE6" w14:textId="77777777" w:rsidR="00AD6399" w:rsidRPr="00881D8A" w:rsidRDefault="00AD6399" w:rsidP="00AD6399">
      <w:pPr>
        <w:spacing w:after="0"/>
        <w:jc w:val="both"/>
        <w:rPr>
          <w:rFonts w:ascii="Verdana" w:eastAsia="Calibri" w:hAnsi="Verdana" w:cs="Calibri"/>
          <w:b/>
          <w:bCs/>
          <w:lang w:val="es-ES"/>
        </w:rPr>
      </w:pPr>
      <w:r w:rsidRPr="00881D8A">
        <w:rPr>
          <w:rFonts w:ascii="Verdana" w:eastAsia="Calibri" w:hAnsi="Verdana" w:cs="Calibri"/>
          <w:b/>
          <w:bCs/>
          <w:lang w:val="es-ES"/>
        </w:rPr>
        <w:t>DOCUMENTOS TIPO – Causales de rechazo de la oferta – Literal X – Capacidad residual</w:t>
      </w:r>
    </w:p>
    <w:p w14:paraId="031FBEF1" w14:textId="77777777" w:rsidR="00AD6399" w:rsidRPr="00881D8A" w:rsidRDefault="00AD6399" w:rsidP="00AD6399">
      <w:pPr>
        <w:spacing w:after="0"/>
        <w:jc w:val="both"/>
        <w:rPr>
          <w:rFonts w:ascii="Verdana" w:eastAsia="Calibri" w:hAnsi="Verdana" w:cs="Arial"/>
          <w:sz w:val="20"/>
          <w:szCs w:val="20"/>
          <w:lang w:eastAsia="es-ES"/>
        </w:rPr>
      </w:pPr>
    </w:p>
    <w:p w14:paraId="73ECC27E" w14:textId="77777777" w:rsidR="00AD6399" w:rsidRPr="00881D8A" w:rsidRDefault="00AD6399" w:rsidP="00AD6399">
      <w:pPr>
        <w:spacing w:after="0" w:line="240" w:lineRule="auto"/>
        <w:jc w:val="both"/>
        <w:rPr>
          <w:rFonts w:ascii="Verdana" w:eastAsia="Calibri" w:hAnsi="Verdana" w:cs="Arial"/>
          <w:sz w:val="20"/>
          <w:szCs w:val="20"/>
          <w:lang w:eastAsia="es-ES"/>
        </w:rPr>
      </w:pPr>
      <w:r w:rsidRPr="00881D8A">
        <w:rPr>
          <w:rFonts w:ascii="Verdana" w:eastAsia="Calibri" w:hAnsi="Verdana" w:cs="Arial"/>
          <w:sz w:val="20"/>
          <w:szCs w:val="20"/>
          <w:lang w:eastAsia="es-ES"/>
        </w:rPr>
        <w:t>(…)  La causal del literal X del numeral 1.15 solamente aplica cuando el proponente no informa todos los contratos que tiene en ejecución antes del cierre. Por ejemplo, si el contratista tiene en ejecución diez contratos, esta causal de rechazo aplica si el contratista reporta nueve o un numero diferente a diez. Por tanto, la configuración de la causal de rechazo del literal X es objetiva, pues solo aplica ante la omisión del proponente de informar el número total de contratos en ejecución antes del cierre del proceso, es decir, opera también cuando no se aporte con la oferta el Formato 5 debidamente diligenciado.</w:t>
      </w:r>
    </w:p>
    <w:p w14:paraId="5CEE5CA7" w14:textId="77777777" w:rsidR="00AD6399" w:rsidRPr="00881D8A" w:rsidRDefault="00AD6399" w:rsidP="00AD6399">
      <w:pPr>
        <w:spacing w:after="0"/>
        <w:jc w:val="both"/>
        <w:rPr>
          <w:rFonts w:ascii="Verdana" w:eastAsia="Calibri" w:hAnsi="Verdana" w:cs="Arial"/>
          <w:sz w:val="20"/>
          <w:szCs w:val="20"/>
          <w:lang w:eastAsia="es-ES"/>
        </w:rPr>
      </w:pPr>
    </w:p>
    <w:p w14:paraId="3F654D42" w14:textId="77777777" w:rsidR="00AD6399" w:rsidRPr="00881D8A" w:rsidRDefault="00AD6399" w:rsidP="00AD6399">
      <w:pPr>
        <w:spacing w:after="0" w:line="240" w:lineRule="auto"/>
        <w:jc w:val="both"/>
        <w:rPr>
          <w:rFonts w:ascii="Verdana" w:eastAsia="Calibri" w:hAnsi="Verdana" w:cs="Calibri"/>
          <w:b/>
          <w:bCs/>
          <w:lang w:val="es-ES"/>
        </w:rPr>
      </w:pPr>
      <w:r w:rsidRPr="00881D8A">
        <w:rPr>
          <w:rFonts w:ascii="Verdana" w:eastAsia="Calibri" w:hAnsi="Verdana" w:cs="Calibri"/>
          <w:b/>
          <w:bCs/>
          <w:lang w:val="es-ES"/>
        </w:rPr>
        <w:t xml:space="preserve">DOCUMENTOS TIPO – Causales de rechazo de la oferta – Literal X – </w:t>
      </w:r>
      <w:proofErr w:type="spellStart"/>
      <w:r w:rsidRPr="00881D8A">
        <w:rPr>
          <w:rFonts w:ascii="Verdana" w:eastAsia="Calibri" w:hAnsi="Verdana" w:cs="Calibri"/>
          <w:b/>
          <w:bCs/>
          <w:lang w:val="es-ES"/>
        </w:rPr>
        <w:t>Subsanabilidad</w:t>
      </w:r>
      <w:proofErr w:type="spellEnd"/>
    </w:p>
    <w:p w14:paraId="2C51A79B" w14:textId="77777777" w:rsidR="00AD6399" w:rsidRPr="00881D8A" w:rsidRDefault="00AD6399" w:rsidP="00AD6399">
      <w:pPr>
        <w:spacing w:after="0"/>
        <w:jc w:val="both"/>
        <w:rPr>
          <w:rFonts w:ascii="Verdana" w:eastAsia="Calibri" w:hAnsi="Verdana" w:cs="Arial"/>
          <w:sz w:val="20"/>
          <w:szCs w:val="20"/>
          <w:lang w:eastAsia="es-ES"/>
        </w:rPr>
      </w:pPr>
    </w:p>
    <w:p w14:paraId="5397BBDA" w14:textId="77777777" w:rsidR="00AD6399" w:rsidRPr="00881D8A" w:rsidRDefault="00AD6399" w:rsidP="00AD6399">
      <w:pPr>
        <w:spacing w:after="0" w:line="240" w:lineRule="auto"/>
        <w:jc w:val="both"/>
        <w:rPr>
          <w:rFonts w:ascii="Arial" w:eastAsia="Aptos" w:hAnsi="Arial" w:cs="Arial"/>
          <w:sz w:val="20"/>
          <w:szCs w:val="20"/>
        </w:rPr>
      </w:pPr>
      <w:r w:rsidRPr="00881D8A">
        <w:rPr>
          <w:rFonts w:ascii="Verdana" w:eastAsia="Calibri" w:hAnsi="Verdana" w:cs="Arial"/>
          <w:sz w:val="20"/>
          <w:szCs w:val="20"/>
        </w:rPr>
        <w:t xml:space="preserve">(…) la Agencia Nacional de Contratación Pública – Colombia Compra Eficiente, reitera la postura planteada en los conceptos 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y recientemente en el concepto C-1438 del 6 de noviembre de 2025, en el sentido de manifestar que, </w:t>
      </w:r>
      <w:r w:rsidRPr="00881D8A">
        <w:rPr>
          <w:rFonts w:ascii="Verdana" w:eastAsia="Calibri" w:hAnsi="Verdana" w:cs="Arial"/>
          <w:noProof/>
          <w:sz w:val="20"/>
          <w:szCs w:val="20"/>
        </w:rPr>
        <w:t>lo</w:t>
      </w:r>
      <w:r w:rsidRPr="00881D8A">
        <w:rPr>
          <w:rFonts w:ascii="Verdana" w:eastAsia="Calibri" w:hAnsi="Verdana" w:cs="Arial"/>
          <w:sz w:val="20"/>
          <w:szCs w:val="20"/>
        </w:rPr>
        <w:t xml:space="preserve"> expresado en el párrafo precedente no contradice lo dispuesto en el artículo 5, parágrafo 1, de la Ley 1150 de 2007, adicionado por el artículo 5 de la Ley 1882 de 2018, norma que dispone que “</w:t>
      </w:r>
      <w:r w:rsidRPr="00881D8A">
        <w:rPr>
          <w:rFonts w:ascii="Verdana" w:eastAsia="Calibri" w:hAnsi="Verdana" w:cs="Times New Roman"/>
          <w:sz w:val="20"/>
          <w:szCs w:val="20"/>
        </w:rPr>
        <w:t xml:space="preserve">(…) </w:t>
      </w:r>
      <w:r w:rsidRPr="00881D8A">
        <w:rPr>
          <w:rFonts w:ascii="Verdana" w:eastAsia="Calibri" w:hAnsi="Verdana" w:cs="Arial"/>
          <w:sz w:val="20"/>
          <w:szCs w:val="20"/>
        </w:rPr>
        <w:t xml:space="preserve">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w:t>
      </w:r>
    </w:p>
    <w:p w14:paraId="7F0E6C2A" w14:textId="77777777" w:rsidR="00AD6399" w:rsidRPr="00881D8A" w:rsidRDefault="00AD6399" w:rsidP="00AD6399">
      <w:pPr>
        <w:spacing w:after="0" w:line="240" w:lineRule="auto"/>
        <w:jc w:val="both"/>
        <w:rPr>
          <w:rFonts w:ascii="Verdana" w:eastAsia="Calibri" w:hAnsi="Verdana" w:cs="Arial"/>
          <w:sz w:val="20"/>
          <w:szCs w:val="20"/>
        </w:rPr>
      </w:pPr>
    </w:p>
    <w:p w14:paraId="67587C85" w14:textId="77777777" w:rsidR="00AD6399" w:rsidRPr="00881D8A" w:rsidRDefault="00AD6399" w:rsidP="00AD6399">
      <w:pPr>
        <w:spacing w:after="0" w:line="240" w:lineRule="auto"/>
        <w:jc w:val="both"/>
        <w:rPr>
          <w:rFonts w:ascii="Verdana" w:eastAsia="Calibri" w:hAnsi="Verdana" w:cs="Arial"/>
          <w:sz w:val="20"/>
          <w:szCs w:val="20"/>
        </w:rPr>
      </w:pPr>
      <w:r w:rsidRPr="00881D8A">
        <w:rPr>
          <w:rFonts w:ascii="Verdana" w:eastAsia="Calibri" w:hAnsi="Verdana" w:cs="Arial"/>
          <w:sz w:val="20"/>
          <w:szCs w:val="20"/>
        </w:rPr>
        <w:t xml:space="preserve">La imposibilidad de subsanar se deriva, entonces, del supuesto de hecho de aquellas causales, sin que en esto sea relevante que se otorguen o no puntos a la propuesta por el requisito de capacidad residual. No en vano, desde el punto de vista jurisprudencial, la violación al deber de buena fe en la etapa precontractual justifica el rechazo, pues este tipo de medidas “(…) guardan armonía con principios de rango constitucional y de la contratación estatal, que tienen por finalidad que ningún proponente pueda beneficiarse de información parcial, inexacta o que falta a la verdad. En otras palabras, para la Sala, suministrar información contraria a la realidad en una oferta no puede ser objeto de subsanación dentro de ningún procedimiento de selección”. </w:t>
      </w:r>
    </w:p>
    <w:p w14:paraId="48ADDE7F" w14:textId="77777777" w:rsidR="00AD6399" w:rsidRPr="00881D8A" w:rsidRDefault="00AD6399" w:rsidP="00AD6399">
      <w:pPr>
        <w:spacing w:after="0" w:line="240" w:lineRule="auto"/>
        <w:jc w:val="both"/>
        <w:rPr>
          <w:rFonts w:ascii="Verdana" w:eastAsia="Aptos" w:hAnsi="Verdana" w:cs="Arial"/>
          <w:sz w:val="20"/>
          <w:szCs w:val="20"/>
        </w:rPr>
      </w:pPr>
    </w:p>
    <w:p w14:paraId="513D825B" w14:textId="77777777" w:rsidR="00AD6399" w:rsidRPr="00881D8A" w:rsidRDefault="00AD6399" w:rsidP="00AD6399">
      <w:pPr>
        <w:spacing w:after="0" w:line="276" w:lineRule="auto"/>
        <w:jc w:val="both"/>
        <w:rPr>
          <w:rFonts w:ascii="Verdana" w:eastAsia="Calibri" w:hAnsi="Verdana" w:cs="Arial"/>
          <w:sz w:val="20"/>
          <w:szCs w:val="20"/>
        </w:rPr>
      </w:pPr>
      <w:r w:rsidRPr="00881D8A">
        <w:rPr>
          <w:rFonts w:ascii="Verdana" w:eastAsia="Calibri" w:hAnsi="Verdana" w:cs="Arial"/>
          <w:sz w:val="20"/>
          <w:szCs w:val="20"/>
        </w:rPr>
        <w:t xml:space="preserve">Como se expresó, la causal del literal X procede cuando el proponente no informa todos los contratos de obra, fenómeno que se verifica con el formato 5. Como se expresó, la causal del literal X procede cuando el proponente no informa todos los contratos de obra, </w:t>
      </w:r>
      <w:r w:rsidRPr="00881D8A">
        <w:rPr>
          <w:rFonts w:ascii="Verdana" w:eastAsia="Calibri" w:hAnsi="Verdana" w:cs="Arial"/>
          <w:sz w:val="20"/>
          <w:szCs w:val="20"/>
        </w:rPr>
        <w:lastRenderedPageBreak/>
        <w:t xml:space="preserve">fenómeno que se verifica con el formato 5. En este supuesto, lo que genera el rechazo de la oferta no es la ausencia de la información del contrato omitido, sino el hecho de haberse informado menos contratos de los que tenía en ejecución. Incluso, en el evento en el que el proponente “corrija” el error e informe la existencia de un contrato no reportado, implica aceptar que ocurrió la causal del literal </w:t>
      </w:r>
      <w:r>
        <w:rPr>
          <w:rFonts w:ascii="Verdana" w:eastAsia="Calibri" w:hAnsi="Verdana" w:cs="Arial"/>
          <w:sz w:val="20"/>
          <w:szCs w:val="20"/>
        </w:rPr>
        <w:t>X</w:t>
      </w:r>
      <w:r w:rsidRPr="00881D8A">
        <w:rPr>
          <w:rFonts w:ascii="Verdana" w:eastAsia="Calibri" w:hAnsi="Verdana" w:cs="Arial"/>
          <w:sz w:val="20"/>
          <w:szCs w:val="20"/>
        </w:rPr>
        <w:t>, esto es, que el proponente incumplió su obligación de informar todos los contratos de obra que tenía en ejecución.</w:t>
      </w:r>
    </w:p>
    <w:p w14:paraId="3FBEBD31" w14:textId="77777777" w:rsidR="00AD6399" w:rsidRDefault="00AD6399" w:rsidP="00AD6399">
      <w:pPr>
        <w:spacing w:after="0" w:line="240" w:lineRule="auto"/>
        <w:jc w:val="both"/>
        <w:rPr>
          <w:rFonts w:ascii="Verdana" w:eastAsia="Aptos" w:hAnsi="Verdana" w:cs="Arial"/>
          <w:sz w:val="20"/>
          <w:szCs w:val="20"/>
        </w:rPr>
      </w:pPr>
    </w:p>
    <w:p w14:paraId="136CDC5E" w14:textId="77777777" w:rsidR="00AD6399" w:rsidRPr="00F67D88" w:rsidRDefault="00AD6399" w:rsidP="00AD6399">
      <w:pPr>
        <w:autoSpaceDE w:val="0"/>
        <w:autoSpaceDN w:val="0"/>
        <w:adjustRightInd w:val="0"/>
        <w:spacing w:after="0" w:line="278" w:lineRule="auto"/>
        <w:jc w:val="both"/>
        <w:rPr>
          <w:rFonts w:ascii="Verdana" w:eastAsia="Calibri" w:hAnsi="Verdana" w:cs="Arial"/>
          <w:b/>
          <w:bCs/>
          <w:kern w:val="2"/>
          <w14:ligatures w14:val="standardContextual"/>
        </w:rPr>
      </w:pPr>
      <w:r w:rsidRPr="00F67D88">
        <w:rPr>
          <w:rFonts w:ascii="Verdana" w:eastAsia="Calibri" w:hAnsi="Verdana" w:cs="Arial"/>
          <w:b/>
          <w:kern w:val="2"/>
          <w:lang w:val="es-MX"/>
          <w14:ligatures w14:val="standardContextual"/>
        </w:rPr>
        <w:t xml:space="preserve">RECHAZO DE LA OFERTA </w:t>
      </w:r>
      <w:r w:rsidRPr="00F67D88">
        <w:rPr>
          <w:rFonts w:ascii="Verdana" w:eastAsia="Calibri" w:hAnsi="Verdana" w:cs="Arial"/>
          <w:b/>
          <w:bCs/>
          <w:kern w:val="2"/>
          <w14:ligatures w14:val="standardContextual"/>
        </w:rPr>
        <w:t>– Capacidad residual – Contratos de obra – Contrato</w:t>
      </w:r>
      <w:r>
        <w:rPr>
          <w:rFonts w:ascii="Verdana" w:eastAsia="Calibri" w:hAnsi="Verdana" w:cs="Arial"/>
          <w:b/>
          <w:bCs/>
          <w:kern w:val="2"/>
          <w14:ligatures w14:val="standardContextual"/>
        </w:rPr>
        <w:t xml:space="preserve">s perfeccionados </w:t>
      </w:r>
      <w:r w:rsidRPr="00F67D88">
        <w:rPr>
          <w:rFonts w:ascii="Verdana" w:eastAsia="Calibri" w:hAnsi="Verdana" w:cs="Arial"/>
          <w:b/>
          <w:bCs/>
          <w:kern w:val="2"/>
          <w14:ligatures w14:val="standardContextual"/>
        </w:rPr>
        <w:t>–</w:t>
      </w:r>
      <w:r>
        <w:rPr>
          <w:rFonts w:ascii="Verdana" w:eastAsia="Calibri" w:hAnsi="Verdana" w:cs="Arial"/>
          <w:b/>
          <w:bCs/>
          <w:kern w:val="2"/>
          <w14:ligatures w14:val="standardContextual"/>
        </w:rPr>
        <w:t xml:space="preserve"> Contratos adjudicados</w:t>
      </w:r>
    </w:p>
    <w:p w14:paraId="524EB446" w14:textId="77777777" w:rsidR="00AD6399" w:rsidRPr="006A22ED" w:rsidRDefault="00AD6399" w:rsidP="00AD6399">
      <w:pPr>
        <w:spacing w:after="0" w:line="240" w:lineRule="auto"/>
        <w:jc w:val="both"/>
        <w:rPr>
          <w:rFonts w:ascii="Verdana" w:eastAsia="Aptos" w:hAnsi="Verdana" w:cs="Arial"/>
          <w:bCs/>
          <w:kern w:val="2"/>
          <w:sz w:val="20"/>
          <w:szCs w:val="20"/>
          <w14:ligatures w14:val="standardContextual"/>
        </w:rPr>
      </w:pPr>
    </w:p>
    <w:p w14:paraId="3066CF20" w14:textId="77777777" w:rsidR="00AD6399" w:rsidRPr="006A22ED" w:rsidRDefault="00AD6399" w:rsidP="00AD6399">
      <w:pPr>
        <w:snapToGrid w:val="0"/>
        <w:spacing w:after="0" w:line="240" w:lineRule="auto"/>
        <w:jc w:val="both"/>
        <w:rPr>
          <w:rFonts w:ascii="Verdana" w:eastAsia="MS Mincho" w:hAnsi="Verdana" w:cs="Arial"/>
          <w:sz w:val="20"/>
          <w:szCs w:val="20"/>
          <w:lang w:eastAsia="es-CO"/>
        </w:rPr>
      </w:pPr>
      <w:r w:rsidRPr="006A22ED">
        <w:rPr>
          <w:rFonts w:ascii="Verdana" w:eastAsia="Times New Roman" w:hAnsi="Verdana" w:cs="Arial"/>
          <w:sz w:val="20"/>
          <w:szCs w:val="20"/>
          <w:lang w:eastAsia="es-ES_tradnl"/>
        </w:rPr>
        <w:t xml:space="preserve">En el caso de que el proponente presente la oferta con antelación a la fecha de cierre, informando los contratos que hasta entonces esté ejecutando, pero antes de la fecha de cierre comienza a ejecutar otro nuevo, está en la obligación de reportarlo a la entidad. De lo contrario estaría informando menos contratos, lo que además de afectar el cálculo de su capacidad residual o </w:t>
      </w:r>
      <w:r w:rsidRPr="006A22ED">
        <w:rPr>
          <w:rFonts w:ascii="Verdana" w:eastAsia="Times New Roman" w:hAnsi="Verdana" w:cs="Arial"/>
          <w:i/>
          <w:iCs/>
          <w:sz w:val="20"/>
          <w:szCs w:val="20"/>
          <w:lang w:eastAsia="es-ES_tradnl"/>
        </w:rPr>
        <w:t>K</w:t>
      </w:r>
      <w:r w:rsidRPr="006A22ED">
        <w:rPr>
          <w:rFonts w:ascii="Verdana" w:eastAsia="Times New Roman" w:hAnsi="Verdana" w:cs="Arial"/>
          <w:sz w:val="20"/>
          <w:szCs w:val="20"/>
          <w:lang w:eastAsia="es-ES_tradnl"/>
        </w:rPr>
        <w:t xml:space="preserve"> de contratación, facultaría a la entidad para rechazar su oferta conforme a la causal X del numeral 1.15 del documento base o, eventualmente, por la causal del literal H </w:t>
      </w:r>
      <w:proofErr w:type="spellStart"/>
      <w:r w:rsidRPr="006A22ED">
        <w:rPr>
          <w:rFonts w:ascii="Verdana" w:eastAsia="Times New Roman" w:hAnsi="Verdana" w:cs="Arial"/>
          <w:i/>
          <w:sz w:val="20"/>
          <w:szCs w:val="20"/>
          <w:lang w:eastAsia="es-ES_tradnl"/>
        </w:rPr>
        <w:t>ibídem</w:t>
      </w:r>
      <w:proofErr w:type="spellEnd"/>
      <w:r w:rsidRPr="006A22ED">
        <w:rPr>
          <w:rFonts w:ascii="Verdana" w:eastAsia="Times New Roman" w:hAnsi="Verdana" w:cs="Arial"/>
          <w:sz w:val="20"/>
          <w:szCs w:val="20"/>
          <w:lang w:eastAsia="es-ES_tradnl"/>
        </w:rPr>
        <w:t>.</w:t>
      </w:r>
    </w:p>
    <w:p w14:paraId="7324D577" w14:textId="77777777" w:rsidR="00AD6399" w:rsidRDefault="00AD6399" w:rsidP="00AD6399">
      <w:pPr>
        <w:snapToGrid w:val="0"/>
        <w:spacing w:after="0" w:line="276" w:lineRule="auto"/>
        <w:jc w:val="both"/>
        <w:rPr>
          <w:rFonts w:ascii="Verdana" w:eastAsia="Times New Roman" w:hAnsi="Verdana" w:cs="Arial"/>
          <w:lang w:eastAsia="es-ES_tradnl"/>
        </w:rPr>
      </w:pPr>
    </w:p>
    <w:p w14:paraId="671E2413" w14:textId="77777777" w:rsidR="00AD6399" w:rsidRPr="006A22ED" w:rsidRDefault="00AD6399" w:rsidP="00AD6399">
      <w:pPr>
        <w:snapToGrid w:val="0"/>
        <w:spacing w:after="0" w:line="240" w:lineRule="auto"/>
        <w:jc w:val="both"/>
        <w:rPr>
          <w:rFonts w:ascii="Verdana" w:eastAsia="MS Mincho" w:hAnsi="Verdana" w:cs="Arial"/>
          <w:sz w:val="20"/>
          <w:szCs w:val="20"/>
          <w:lang w:eastAsia="es-CO"/>
        </w:rPr>
      </w:pPr>
      <w:r w:rsidRPr="006A22ED">
        <w:rPr>
          <w:rFonts w:ascii="Verdana" w:eastAsia="Times New Roman" w:hAnsi="Verdana" w:cs="Arial"/>
          <w:sz w:val="20"/>
          <w:szCs w:val="20"/>
          <w:lang w:eastAsia="es-ES_tradnl"/>
        </w:rPr>
        <w:t>Ahora bien, en congruencia con lo explicado en el numeral anterior, es importante tener en cuenta que la causal de rechazo del literal X del numeral 1.15 del pliego aplica por “No informar todos los contratos que el Proponente tenga en ejecución antes del cierre, necesarios para acreditar su capacidad residual conforme a la sección 3.11”. Para estos efectos, conforme a las definiciones previstas en la Guía para Determinar y Verificar la Capacidad Residual del Proponente en los Procesos de Contratación de Obra Pública, el numeral II del literal E del numeral 3.11. del documento base dispone que “Los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w:t>
      </w:r>
    </w:p>
    <w:p w14:paraId="0A5AD1AF" w14:textId="77777777" w:rsidR="00AD6399" w:rsidRPr="00F67D88" w:rsidRDefault="00AD6399" w:rsidP="00AD6399">
      <w:pPr>
        <w:spacing w:after="0" w:line="240" w:lineRule="auto"/>
        <w:jc w:val="both"/>
        <w:rPr>
          <w:rFonts w:ascii="Verdana" w:eastAsia="Aptos" w:hAnsi="Verdana" w:cs="Arial"/>
          <w:bCs/>
          <w:kern w:val="2"/>
          <w:sz w:val="20"/>
          <w:szCs w:val="20"/>
          <w:lang w:val="es-MX"/>
          <w14:ligatures w14:val="standardContextual"/>
        </w:rPr>
      </w:pPr>
    </w:p>
    <w:p w14:paraId="592AE5D0" w14:textId="77777777" w:rsidR="00AD6399" w:rsidRPr="00F67D88" w:rsidRDefault="00AD6399" w:rsidP="00AD6399">
      <w:pPr>
        <w:spacing w:after="0" w:line="240" w:lineRule="auto"/>
        <w:jc w:val="both"/>
        <w:rPr>
          <w:rFonts w:ascii="Verdana" w:eastAsia="Aptos" w:hAnsi="Verdana" w:cs="Arial"/>
          <w:kern w:val="2"/>
          <w:sz w:val="20"/>
          <w:szCs w:val="20"/>
          <w:lang w:val="es-MX"/>
          <w14:ligatures w14:val="standardContextual"/>
        </w:rPr>
      </w:pPr>
      <w:r w:rsidRPr="00F67D88">
        <w:rPr>
          <w:rFonts w:ascii="Verdana" w:eastAsia="Aptos" w:hAnsi="Verdana" w:cs="Arial"/>
          <w:bCs/>
          <w:kern w:val="2"/>
          <w:sz w:val="20"/>
          <w:szCs w:val="20"/>
          <w:lang w:val="es-MX"/>
          <w14:ligatures w14:val="standardContextual"/>
        </w:rPr>
        <w:t>Como se observa, la definición solo aplica a los contratos perfeccionados, aunque estos estén suspendidos o no tengan acta de inicio. Por tanto, están fuera de esta los procesos de selección adjudicados, pues –en los términos del artículo 41 de la Ley 80 de 1993– los contratos estatales de las entidades sometidas al Estatuto General de Contratación de la Administración Pública se perfeccionan cuando se logre acuerdo sobre el objeto y la contraprestación y éste se eleve a escrito, lo cual ocurre con la suscripción formal del contrato y no con el acto de adjudicación. Lo expuesto es congruente con el artículo 2.2.1.1.1.6.4 del Decreto 1082 de 2015, en virtud del cual, para efectos de acreditar la capacidad residual del proponente, se requiere el listado de contratos de obra civiles en ejecución suscritos con entidades estatales y con entidades privadas.</w:t>
      </w:r>
    </w:p>
    <w:p w14:paraId="5DBF4217" w14:textId="77777777" w:rsidR="00AD6399" w:rsidRPr="00F67D88" w:rsidRDefault="00AD6399" w:rsidP="00AD6399">
      <w:pPr>
        <w:autoSpaceDE w:val="0"/>
        <w:autoSpaceDN w:val="0"/>
        <w:adjustRightInd w:val="0"/>
        <w:spacing w:after="0" w:line="278" w:lineRule="auto"/>
        <w:jc w:val="both"/>
        <w:rPr>
          <w:rFonts w:ascii="Verdana" w:eastAsia="Calibri" w:hAnsi="Verdana" w:cs="Arial"/>
          <w:b/>
          <w:kern w:val="2"/>
          <w14:ligatures w14:val="standardContextual"/>
        </w:rPr>
      </w:pPr>
    </w:p>
    <w:p w14:paraId="0D574AEB" w14:textId="77777777" w:rsidR="00AD6399" w:rsidRPr="00881D8A" w:rsidRDefault="00AD6399" w:rsidP="00AD6399">
      <w:pPr>
        <w:spacing w:after="0" w:line="240" w:lineRule="auto"/>
        <w:jc w:val="both"/>
        <w:rPr>
          <w:rFonts w:ascii="Verdana" w:eastAsia="Aptos" w:hAnsi="Verdana" w:cs="Arial"/>
          <w:color w:val="000000"/>
          <w:highlight w:val="yellow"/>
          <w:lang w:val="es-ES_tradnl"/>
        </w:rPr>
      </w:pPr>
    </w:p>
    <w:p w14:paraId="68E1D5B0" w14:textId="6B24A381" w:rsidR="00AD6399" w:rsidRDefault="00AD6399" w:rsidP="00AD6399">
      <w:pPr>
        <w:spacing w:after="0" w:line="240" w:lineRule="auto"/>
        <w:rPr>
          <w:rFonts w:ascii="Verdana" w:hAnsi="Verdana"/>
        </w:rPr>
      </w:pPr>
      <w:r w:rsidRPr="00121DB5">
        <w:rPr>
          <w:rFonts w:ascii="Verdana" w:hAnsi="Verdana"/>
        </w:rPr>
        <w:lastRenderedPageBreak/>
        <w:t xml:space="preserve">Bogotá D.C., </w:t>
      </w:r>
      <w:r w:rsidR="00F368C6">
        <w:rPr>
          <w:rFonts w:ascii="Verdana" w:hAnsi="Verdana"/>
        </w:rPr>
        <w:t>18 de febrero de 2026</w:t>
      </w:r>
    </w:p>
    <w:p w14:paraId="0ABB2309" w14:textId="5AE4C165" w:rsidR="00F368C6" w:rsidRDefault="009F2A32" w:rsidP="00AD6399">
      <w:pPr>
        <w:spacing w:after="0" w:line="240" w:lineRule="auto"/>
        <w:rPr>
          <w:rFonts w:ascii="Verdana" w:hAnsi="Verdana"/>
        </w:rPr>
      </w:pPr>
      <w:r w:rsidRPr="00F368C6">
        <w:rPr>
          <w:rFonts w:ascii="Verdana" w:hAnsi="Verdana"/>
          <w:noProof/>
        </w:rPr>
        <w:drawing>
          <wp:anchor distT="0" distB="0" distL="114300" distR="114300" simplePos="0" relativeHeight="251658240" behindDoc="0" locked="0" layoutInCell="1" allowOverlap="1" wp14:anchorId="3AB2C3C2" wp14:editId="3EA00881">
            <wp:simplePos x="0" y="0"/>
            <wp:positionH relativeFrom="margin">
              <wp:align>right</wp:align>
            </wp:positionH>
            <wp:positionV relativeFrom="paragraph">
              <wp:posOffset>173355</wp:posOffset>
            </wp:positionV>
            <wp:extent cx="2487295" cy="810895"/>
            <wp:effectExtent l="0" t="0" r="8255" b="8255"/>
            <wp:wrapSquare wrapText="bothSides"/>
            <wp:docPr id="15457742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774260" name=""/>
                    <pic:cNvPicPr/>
                  </pic:nvPicPr>
                  <pic:blipFill>
                    <a:blip r:embed="rId10">
                      <a:extLst>
                        <a:ext uri="{28A0092B-C50C-407E-A947-70E740481C1C}">
                          <a14:useLocalDpi xmlns:a14="http://schemas.microsoft.com/office/drawing/2010/main" val="0"/>
                        </a:ext>
                      </a:extLst>
                    </a:blip>
                    <a:stretch>
                      <a:fillRect/>
                    </a:stretch>
                  </pic:blipFill>
                  <pic:spPr>
                    <a:xfrm>
                      <a:off x="0" y="0"/>
                      <a:ext cx="2487295" cy="810895"/>
                    </a:xfrm>
                    <a:prstGeom prst="rect">
                      <a:avLst/>
                    </a:prstGeom>
                  </pic:spPr>
                </pic:pic>
              </a:graphicData>
            </a:graphic>
            <wp14:sizeRelH relativeFrom="margin">
              <wp14:pctWidth>0</wp14:pctWidth>
            </wp14:sizeRelH>
            <wp14:sizeRelV relativeFrom="margin">
              <wp14:pctHeight>0</wp14:pctHeight>
            </wp14:sizeRelV>
          </wp:anchor>
        </w:drawing>
      </w:r>
    </w:p>
    <w:p w14:paraId="359DE168" w14:textId="6F924EC5" w:rsidR="00F368C6" w:rsidRDefault="00F368C6" w:rsidP="00F368C6">
      <w:pPr>
        <w:spacing w:after="0" w:line="240" w:lineRule="auto"/>
        <w:jc w:val="right"/>
        <w:rPr>
          <w:rFonts w:ascii="Verdana" w:hAnsi="Verdana"/>
        </w:rPr>
      </w:pPr>
    </w:p>
    <w:p w14:paraId="3ACFA33E" w14:textId="77777777" w:rsidR="00AD6399" w:rsidRPr="00881D8A" w:rsidRDefault="00AD6399" w:rsidP="00AD6399">
      <w:pPr>
        <w:spacing w:after="0" w:line="240" w:lineRule="auto"/>
        <w:rPr>
          <w:rFonts w:ascii="Verdana" w:eastAsia="Calibri" w:hAnsi="Verdana" w:cs="Vrinda"/>
        </w:rPr>
      </w:pPr>
    </w:p>
    <w:p w14:paraId="4AB6675A" w14:textId="77777777" w:rsidR="00AD6399" w:rsidRPr="00881D8A" w:rsidRDefault="00AD6399" w:rsidP="00AD6399">
      <w:pPr>
        <w:spacing w:after="0" w:line="240" w:lineRule="auto"/>
        <w:jc w:val="both"/>
        <w:rPr>
          <w:rFonts w:ascii="Verdana" w:eastAsia="Calibri" w:hAnsi="Verdana" w:cs="Arial"/>
          <w:lang w:eastAsia="es-ES"/>
        </w:rPr>
      </w:pPr>
      <w:bookmarkStart w:id="1" w:name="_Hlk117695077"/>
      <w:r w:rsidRPr="00881D8A">
        <w:rPr>
          <w:rFonts w:ascii="Verdana" w:eastAsia="Calibri" w:hAnsi="Verdana" w:cs="Arial"/>
          <w:lang w:eastAsia="es-ES"/>
        </w:rPr>
        <w:t>Señor</w:t>
      </w:r>
    </w:p>
    <w:p w14:paraId="52A7BBC4" w14:textId="77777777" w:rsidR="00AD6399" w:rsidRPr="00881D8A" w:rsidRDefault="00AD6399" w:rsidP="00AD6399">
      <w:pPr>
        <w:spacing w:after="0" w:line="240" w:lineRule="auto"/>
        <w:jc w:val="both"/>
        <w:rPr>
          <w:rFonts w:ascii="Verdana" w:eastAsia="Times New Roman" w:hAnsi="Verdana" w:cs="Arial"/>
          <w:b/>
          <w:bCs/>
          <w:lang w:eastAsia="es-CO"/>
        </w:rPr>
      </w:pPr>
      <w:r>
        <w:rPr>
          <w:rFonts w:ascii="Verdana" w:eastAsia="Times New Roman" w:hAnsi="Verdana" w:cs="Arial"/>
          <w:b/>
          <w:bCs/>
          <w:lang w:eastAsia="es-CO"/>
        </w:rPr>
        <w:t>Johnathan Cotacio</w:t>
      </w:r>
    </w:p>
    <w:p w14:paraId="07DB2067" w14:textId="77777777" w:rsidR="00AD6399" w:rsidRPr="00881D8A" w:rsidRDefault="00AD6399" w:rsidP="00AD6399">
      <w:pPr>
        <w:spacing w:after="0" w:line="240" w:lineRule="auto"/>
        <w:jc w:val="both"/>
        <w:rPr>
          <w:rFonts w:ascii="Verdana" w:eastAsia="Calibri" w:hAnsi="Verdana" w:cs="Arial"/>
          <w:b/>
          <w:bCs/>
          <w:lang w:eastAsia="es-ES"/>
        </w:rPr>
      </w:pPr>
      <w:r>
        <w:rPr>
          <w:rFonts w:ascii="Verdana" w:eastAsia="Calibri" w:hAnsi="Verdana" w:cs="Arial"/>
        </w:rPr>
        <w:t>Florencia, Caquetá</w:t>
      </w:r>
    </w:p>
    <w:p w14:paraId="7C76CCDB" w14:textId="77777777" w:rsidR="00AD6399" w:rsidRPr="00881D8A" w:rsidRDefault="00AD6399" w:rsidP="00AD6399">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AD6399" w:rsidRPr="00881D8A" w14:paraId="79C80BA8" w14:textId="77777777" w:rsidTr="00296400">
        <w:trPr>
          <w:trHeight w:val="910"/>
        </w:trPr>
        <w:tc>
          <w:tcPr>
            <w:tcW w:w="2725" w:type="dxa"/>
          </w:tcPr>
          <w:p w14:paraId="749DEBA9" w14:textId="77777777" w:rsidR="00AD6399" w:rsidRPr="00881D8A" w:rsidRDefault="00AD6399" w:rsidP="00296400">
            <w:pPr>
              <w:jc w:val="both"/>
              <w:rPr>
                <w:rFonts w:ascii="Verdana" w:eastAsia="Calibri" w:hAnsi="Verdana" w:cs="Arial"/>
                <w:b/>
                <w:bCs/>
                <w:color w:val="7030A0"/>
                <w:lang w:eastAsia="es-ES_tradnl"/>
              </w:rPr>
            </w:pPr>
          </w:p>
        </w:tc>
        <w:tc>
          <w:tcPr>
            <w:tcW w:w="6183" w:type="dxa"/>
          </w:tcPr>
          <w:p w14:paraId="6966A735" w14:textId="77777777" w:rsidR="00AD6399" w:rsidRPr="00881D8A" w:rsidRDefault="00AD6399" w:rsidP="00296400">
            <w:pPr>
              <w:jc w:val="both"/>
              <w:rPr>
                <w:rFonts w:ascii="Verdana" w:eastAsia="Calibri" w:hAnsi="Verdana" w:cs="Arial"/>
                <w:b/>
                <w:bCs/>
                <w:lang w:eastAsia="es-ES"/>
              </w:rPr>
            </w:pPr>
            <w:r w:rsidRPr="00881D8A">
              <w:rPr>
                <w:rFonts w:ascii="Verdana" w:eastAsia="Calibri" w:hAnsi="Verdana" w:cs="Arial"/>
                <w:b/>
                <w:bCs/>
                <w:lang w:eastAsia="es-ES"/>
              </w:rPr>
              <w:t>Concepto C-</w:t>
            </w:r>
            <w:r>
              <w:rPr>
                <w:rFonts w:ascii="Verdana" w:eastAsia="Calibri" w:hAnsi="Verdana" w:cs="Arial"/>
                <w:b/>
                <w:bCs/>
                <w:lang w:eastAsia="es-ES"/>
              </w:rPr>
              <w:t>132</w:t>
            </w:r>
            <w:r w:rsidRPr="00881D8A">
              <w:rPr>
                <w:rFonts w:ascii="Verdana" w:eastAsia="Calibri" w:hAnsi="Verdana" w:cs="Arial"/>
                <w:b/>
                <w:bCs/>
                <w:lang w:eastAsia="es-ES"/>
              </w:rPr>
              <w:t xml:space="preserve"> de 202</w:t>
            </w:r>
            <w:r>
              <w:rPr>
                <w:rFonts w:ascii="Verdana" w:eastAsia="Calibri" w:hAnsi="Verdana" w:cs="Arial"/>
                <w:b/>
                <w:bCs/>
                <w:lang w:eastAsia="es-ES"/>
              </w:rPr>
              <w:t>6</w:t>
            </w:r>
          </w:p>
          <w:p w14:paraId="22297CFD" w14:textId="77777777" w:rsidR="00AD6399" w:rsidRDefault="00AD6399" w:rsidP="00296400">
            <w:pPr>
              <w:jc w:val="both"/>
              <w:rPr>
                <w:rFonts w:ascii="Verdana" w:eastAsia="Calibri" w:hAnsi="Verdana" w:cs="Arial"/>
                <w:b/>
                <w:bCs/>
                <w:lang w:eastAsia="es-ES"/>
              </w:rPr>
            </w:pPr>
          </w:p>
          <w:p w14:paraId="2CACBC7E" w14:textId="77777777" w:rsidR="00AD6399" w:rsidRPr="00881D8A" w:rsidRDefault="00AD6399" w:rsidP="00296400">
            <w:pPr>
              <w:jc w:val="both"/>
              <w:rPr>
                <w:rFonts w:ascii="Verdana" w:eastAsia="Calibri" w:hAnsi="Verdana" w:cs="Arial"/>
                <w:b/>
                <w:bCs/>
                <w:lang w:eastAsia="es-ES"/>
              </w:rPr>
            </w:pPr>
          </w:p>
        </w:tc>
      </w:tr>
      <w:tr w:rsidR="00AD6399" w:rsidRPr="00881D8A" w14:paraId="5187F49D" w14:textId="77777777" w:rsidTr="00296400">
        <w:trPr>
          <w:trHeight w:val="910"/>
        </w:trPr>
        <w:tc>
          <w:tcPr>
            <w:tcW w:w="2725" w:type="dxa"/>
          </w:tcPr>
          <w:p w14:paraId="0A741CBA" w14:textId="77777777" w:rsidR="00AD6399" w:rsidRPr="00881D8A" w:rsidRDefault="00AD6399" w:rsidP="00296400">
            <w:pPr>
              <w:jc w:val="both"/>
              <w:rPr>
                <w:rFonts w:ascii="Verdana" w:eastAsia="Calibri" w:hAnsi="Verdana" w:cs="Arial"/>
                <w:color w:val="000000"/>
                <w:lang w:eastAsia="es-ES_tradnl"/>
              </w:rPr>
            </w:pPr>
            <w:r w:rsidRPr="00881D8A">
              <w:rPr>
                <w:rFonts w:ascii="Verdana" w:eastAsia="Calibri" w:hAnsi="Verdana" w:cs="Arial"/>
                <w:b/>
                <w:color w:val="000000"/>
                <w:lang w:eastAsia="es-ES_tradnl"/>
              </w:rPr>
              <w:t>Temas:</w:t>
            </w:r>
            <w:r w:rsidRPr="00881D8A">
              <w:rPr>
                <w:rFonts w:ascii="Verdana" w:eastAsia="Calibri" w:hAnsi="Verdana" w:cs="Arial"/>
                <w:color w:val="000000"/>
                <w:lang w:eastAsia="es-ES_tradnl"/>
              </w:rPr>
              <w:t xml:space="preserve">                   </w:t>
            </w:r>
          </w:p>
        </w:tc>
        <w:tc>
          <w:tcPr>
            <w:tcW w:w="6183" w:type="dxa"/>
          </w:tcPr>
          <w:p w14:paraId="237EC63E" w14:textId="77777777" w:rsidR="00AD6399" w:rsidRPr="00881D8A" w:rsidRDefault="00AD6399" w:rsidP="00296400">
            <w:pPr>
              <w:jc w:val="both"/>
              <w:rPr>
                <w:rFonts w:ascii="Verdana" w:eastAsia="Calibri" w:hAnsi="Verdana" w:cs="Arial"/>
                <w:lang w:eastAsia="es-ES"/>
              </w:rPr>
            </w:pPr>
            <w:r w:rsidRPr="00F67D88">
              <w:rPr>
                <w:rFonts w:ascii="Verdana" w:eastAsia="Aptos" w:hAnsi="Verdana" w:cs="Times New Roman"/>
                <w:color w:val="000000"/>
              </w:rPr>
              <w:t xml:space="preserve">DOCUMENTOS TIPO – Fundamento normativo – Obligatoriedad </w:t>
            </w:r>
            <w:r w:rsidRPr="00F67D88">
              <w:rPr>
                <w:rFonts w:ascii="Verdana" w:eastAsia="Aptos" w:hAnsi="Verdana" w:cs="Times New Roman"/>
              </w:rPr>
              <w:t xml:space="preserve">/ </w:t>
            </w:r>
            <w:r w:rsidRPr="00F67D88">
              <w:rPr>
                <w:rFonts w:ascii="Verdana" w:eastAsia="Calibri" w:hAnsi="Verdana" w:cs="Arial"/>
              </w:rPr>
              <w:t xml:space="preserve">CAPACIDAD RESIDUAL – Saldos de Contratos en Ejecución </w:t>
            </w:r>
            <w:r w:rsidRPr="00F67D88">
              <w:rPr>
                <w:rFonts w:ascii="Verdana" w:eastAsia="Calibri" w:hAnsi="Verdana" w:cs="Arial"/>
                <w:color w:val="000000"/>
              </w:rPr>
              <w:t xml:space="preserve">“SCE” </w:t>
            </w:r>
            <w:r w:rsidRPr="00F67D88">
              <w:rPr>
                <w:rFonts w:ascii="Verdana" w:eastAsia="Calibri" w:hAnsi="Verdana" w:cs="Arial"/>
              </w:rPr>
              <w:t xml:space="preserve">– Contratos de obra – Contratos suspendidos – Saldos pendientes por ejecutar / </w:t>
            </w:r>
            <w:r w:rsidRPr="00F67D88">
              <w:rPr>
                <w:rFonts w:ascii="Verdana" w:eastAsia="Calibri" w:hAnsi="Verdana" w:cs="Arial"/>
                <w:lang w:val="es-MX"/>
              </w:rPr>
              <w:t>DOCUM</w:t>
            </w:r>
            <w:r>
              <w:rPr>
                <w:rFonts w:ascii="Verdana" w:eastAsia="Calibri" w:hAnsi="Verdana" w:cs="Arial"/>
                <w:lang w:val="es-MX"/>
              </w:rPr>
              <w:t xml:space="preserve"> </w:t>
            </w:r>
            <w:r w:rsidRPr="00F67D88">
              <w:rPr>
                <w:rFonts w:ascii="Verdana" w:eastAsia="Calibri" w:hAnsi="Verdana" w:cs="Arial"/>
                <w:lang w:val="es-MX"/>
              </w:rPr>
              <w:t xml:space="preserve">ENTOS TIPO – Versión 4 – Licitación Pública - Capacidad residual – Rechazo de la oferta – Causales / RECHAZO DE LA OFERTA </w:t>
            </w:r>
            <w:r w:rsidRPr="00F67D88">
              <w:rPr>
                <w:rFonts w:ascii="Verdana" w:eastAsia="Calibri" w:hAnsi="Verdana" w:cs="Arial"/>
              </w:rPr>
              <w:t>– Capacidad residual – Contratos de obra – Contrato adjudicado</w:t>
            </w:r>
          </w:p>
        </w:tc>
      </w:tr>
      <w:tr w:rsidR="00AD6399" w:rsidRPr="00881D8A" w14:paraId="1D7CDEEC" w14:textId="77777777" w:rsidTr="00296400">
        <w:trPr>
          <w:trHeight w:val="556"/>
        </w:trPr>
        <w:tc>
          <w:tcPr>
            <w:tcW w:w="2725" w:type="dxa"/>
          </w:tcPr>
          <w:p w14:paraId="67C01ECC" w14:textId="77777777" w:rsidR="00AD6399" w:rsidRPr="00881D8A" w:rsidRDefault="00AD6399" w:rsidP="00296400">
            <w:pPr>
              <w:jc w:val="both"/>
              <w:rPr>
                <w:rFonts w:ascii="Verdana" w:eastAsia="Calibri" w:hAnsi="Verdana" w:cs="Arial"/>
                <w:b/>
                <w:bCs/>
                <w:lang w:eastAsia="es-ES_tradnl"/>
              </w:rPr>
            </w:pPr>
            <w:r w:rsidRPr="00881D8A">
              <w:rPr>
                <w:rFonts w:ascii="Verdana" w:eastAsia="Calibri" w:hAnsi="Verdana" w:cs="Arial"/>
                <w:b/>
                <w:bCs/>
                <w:lang w:eastAsia="es-ES_tradnl"/>
              </w:rPr>
              <w:t xml:space="preserve">Radicación:               </w:t>
            </w:r>
          </w:p>
        </w:tc>
        <w:tc>
          <w:tcPr>
            <w:tcW w:w="6183" w:type="dxa"/>
          </w:tcPr>
          <w:p w14:paraId="506A6A4D" w14:textId="77777777" w:rsidR="00AD6399" w:rsidRPr="00881D8A" w:rsidRDefault="00AD6399" w:rsidP="00296400">
            <w:pPr>
              <w:jc w:val="both"/>
              <w:rPr>
                <w:rFonts w:ascii="Verdana" w:eastAsia="Calibri" w:hAnsi="Verdana" w:cs="Arial"/>
                <w:lang w:eastAsia="es-ES_tradnl"/>
              </w:rPr>
            </w:pPr>
            <w:r w:rsidRPr="00881D8A">
              <w:rPr>
                <w:rFonts w:ascii="Verdana" w:eastAsia="Calibri" w:hAnsi="Verdana" w:cs="Arial"/>
                <w:lang w:eastAsia="es-ES_tradnl"/>
              </w:rPr>
              <w:t xml:space="preserve">Respuesta a consulta con radicado No. </w:t>
            </w:r>
            <w:r w:rsidRPr="00943915">
              <w:rPr>
                <w:rFonts w:ascii="Verdana" w:eastAsia="Calibri" w:hAnsi="Verdana" w:cs="Arial"/>
                <w:lang w:eastAsia="es-ES_tradnl"/>
              </w:rPr>
              <w:t>1_2026_01_30_00110</w:t>
            </w:r>
            <w:r>
              <w:rPr>
                <w:rFonts w:ascii="Verdana" w:eastAsia="Calibri" w:hAnsi="Verdana" w:cs="Arial"/>
                <w:lang w:eastAsia="es-ES_tradnl"/>
              </w:rPr>
              <w:t>4</w:t>
            </w:r>
          </w:p>
        </w:tc>
      </w:tr>
    </w:tbl>
    <w:p w14:paraId="5A80BA22" w14:textId="77777777" w:rsidR="00AD6399" w:rsidRPr="00881D8A" w:rsidRDefault="00AD6399" w:rsidP="00AD6399">
      <w:pPr>
        <w:spacing w:after="0" w:line="240" w:lineRule="auto"/>
        <w:jc w:val="both"/>
        <w:rPr>
          <w:rFonts w:ascii="Verdana" w:eastAsia="Calibri" w:hAnsi="Verdana" w:cs="Arial"/>
          <w:b/>
          <w:bCs/>
          <w:lang w:eastAsia="es-ES"/>
        </w:rPr>
      </w:pPr>
      <w:r w:rsidRPr="00881D8A">
        <w:rPr>
          <w:rFonts w:ascii="Verdana" w:eastAsia="Calibri" w:hAnsi="Verdana" w:cs="Arial"/>
          <w:b/>
          <w:bCs/>
          <w:lang w:eastAsia="es-ES"/>
        </w:rPr>
        <w:tab/>
      </w:r>
    </w:p>
    <w:p w14:paraId="17717F40" w14:textId="77777777" w:rsidR="00AD6399" w:rsidRPr="00881D8A" w:rsidRDefault="00AD6399" w:rsidP="00AD6399">
      <w:pPr>
        <w:spacing w:after="0" w:line="276" w:lineRule="auto"/>
        <w:jc w:val="both"/>
        <w:rPr>
          <w:rFonts w:ascii="Verdana" w:eastAsia="Calibri" w:hAnsi="Verdana" w:cs="Vrinda"/>
          <w:lang w:val="es-ES" w:eastAsia="es-ES"/>
        </w:rPr>
      </w:pPr>
      <w:r w:rsidRPr="00881D8A">
        <w:rPr>
          <w:rFonts w:ascii="Verdana" w:eastAsia="Calibri" w:hAnsi="Verdana" w:cs="Vrinda"/>
          <w:lang w:val="es-ES" w:eastAsia="es-ES"/>
        </w:rPr>
        <w:t>Estimado Señor</w:t>
      </w:r>
      <w:r>
        <w:rPr>
          <w:rFonts w:ascii="Verdana" w:eastAsia="Times New Roman" w:hAnsi="Verdana" w:cs="Arial"/>
          <w:lang w:eastAsia="es-CO"/>
        </w:rPr>
        <w:t xml:space="preserve"> </w:t>
      </w:r>
      <w:proofErr w:type="spellStart"/>
      <w:r>
        <w:rPr>
          <w:rFonts w:ascii="Verdana" w:eastAsia="Times New Roman" w:hAnsi="Verdana" w:cs="Arial"/>
          <w:lang w:eastAsia="es-CO"/>
        </w:rPr>
        <w:t>Cotacio</w:t>
      </w:r>
      <w:proofErr w:type="spellEnd"/>
      <w:r w:rsidRPr="00881D8A">
        <w:rPr>
          <w:rFonts w:ascii="Verdana" w:eastAsia="Calibri" w:hAnsi="Verdana" w:cs="Vrinda"/>
          <w:lang w:val="es-ES" w:eastAsia="es-ES"/>
        </w:rPr>
        <w:t xml:space="preserve">: </w:t>
      </w:r>
    </w:p>
    <w:p w14:paraId="782B6601" w14:textId="77777777" w:rsidR="00AD6399" w:rsidRPr="00881D8A" w:rsidRDefault="00AD6399" w:rsidP="00AD6399">
      <w:pPr>
        <w:spacing w:after="0" w:line="276" w:lineRule="auto"/>
        <w:jc w:val="both"/>
        <w:rPr>
          <w:rFonts w:ascii="Verdana" w:eastAsia="Calibri" w:hAnsi="Verdana" w:cs="Vrinda"/>
          <w:lang w:val="es-ES_tradnl" w:eastAsia="es-ES_tradnl"/>
        </w:rPr>
      </w:pPr>
    </w:p>
    <w:p w14:paraId="33F53790" w14:textId="7D1932C0" w:rsidR="00AD6399" w:rsidRPr="00881D8A" w:rsidRDefault="00AD6399" w:rsidP="00AD6399">
      <w:pPr>
        <w:spacing w:after="0" w:line="276" w:lineRule="auto"/>
        <w:jc w:val="both"/>
        <w:rPr>
          <w:rFonts w:ascii="Verdana" w:eastAsia="Calibri" w:hAnsi="Verdana" w:cs="Vrinda"/>
          <w:lang w:val="es-ES" w:eastAsia="es-ES"/>
        </w:rPr>
      </w:pPr>
      <w:r w:rsidRPr="00881D8A">
        <w:rPr>
          <w:rFonts w:ascii="Verdana" w:eastAsia="Calibri" w:hAnsi="Verdana" w:cs="Vrinda"/>
          <w:lang w:val="es-ES" w:eastAsia="es-ES"/>
        </w:rPr>
        <w:t>En ejercicio de la competencia otorgada por los artículos 3, numeral 5º, y 11, numeral 8º, del Decreto Ley 4170 de 2011,</w:t>
      </w:r>
      <w:r w:rsidRPr="00881D8A">
        <w:rPr>
          <w:rFonts w:ascii="Verdana" w:eastAsia="Arial MT" w:hAnsi="Verdana" w:cs="Vrinda"/>
          <w:lang w:val="es-ES" w:eastAsia="es-ES"/>
        </w:rPr>
        <w:t xml:space="preserve"> </w:t>
      </w:r>
      <w:r w:rsidRPr="00881D8A">
        <w:rPr>
          <w:rFonts w:ascii="Verdana" w:eastAsia="Calibri" w:hAnsi="Verdana" w:cs="Vrinda"/>
        </w:rPr>
        <w:t xml:space="preserve">así como lo establecido en la Resolución </w:t>
      </w:r>
      <w:r w:rsidR="00CB6F83">
        <w:rPr>
          <w:rFonts w:ascii="Verdana" w:eastAsia="Calibri" w:hAnsi="Verdana" w:cs="Vrinda"/>
        </w:rPr>
        <w:t xml:space="preserve">469 de 2025 </w:t>
      </w:r>
      <w:r w:rsidRPr="00881D8A">
        <w:rPr>
          <w:rFonts w:ascii="Verdana" w:eastAsia="Calibri" w:hAnsi="Verdana" w:cs="Vrinda"/>
        </w:rPr>
        <w:t xml:space="preserve">expedida por esta Entidad, </w:t>
      </w:r>
      <w:r w:rsidRPr="00881D8A">
        <w:rPr>
          <w:rFonts w:ascii="Verdana" w:eastAsia="Calibri" w:hAnsi="Verdana" w:cs="Vrinda"/>
          <w:lang w:val="es-ES" w:eastAsia="es-ES"/>
        </w:rPr>
        <w:t xml:space="preserve">la Agencia Nacional de Contratación Pública – Colombia Compra Eficiente– responde su solicitud del </w:t>
      </w:r>
      <w:r>
        <w:rPr>
          <w:rFonts w:ascii="Verdana" w:eastAsia="Calibri" w:hAnsi="Verdana" w:cs="Vrinda"/>
          <w:lang w:val="es-ES" w:eastAsia="es-ES"/>
        </w:rPr>
        <w:t>30 de enero de 2026</w:t>
      </w:r>
      <w:r w:rsidRPr="00881D8A">
        <w:rPr>
          <w:rFonts w:ascii="Verdana" w:eastAsia="Calibri" w:hAnsi="Verdana" w:cs="Vrinda"/>
          <w:lang w:val="es-ES" w:eastAsia="es-ES"/>
        </w:rPr>
        <w:t>. En dicha petici</w:t>
      </w:r>
      <w:r>
        <w:rPr>
          <w:rFonts w:ascii="Verdana" w:eastAsia="Calibri" w:hAnsi="Verdana" w:cs="Vrinda"/>
          <w:lang w:val="es-ES" w:eastAsia="es-ES"/>
        </w:rPr>
        <w:t>ón</w:t>
      </w:r>
      <w:r w:rsidRPr="00881D8A">
        <w:rPr>
          <w:rFonts w:ascii="Verdana" w:eastAsia="Calibri" w:hAnsi="Verdana" w:cs="Vrinda"/>
          <w:lang w:val="es-ES" w:eastAsia="es-ES"/>
        </w:rPr>
        <w:t xml:space="preserve"> usted manifiesta lo siguiente:</w:t>
      </w:r>
    </w:p>
    <w:p w14:paraId="61616B3F" w14:textId="77777777" w:rsidR="00AD6399" w:rsidRPr="00881D8A" w:rsidRDefault="00AD6399" w:rsidP="00AD6399">
      <w:pPr>
        <w:spacing w:after="0" w:line="276" w:lineRule="auto"/>
        <w:jc w:val="both"/>
        <w:rPr>
          <w:rFonts w:ascii="Verdana" w:eastAsia="Calibri" w:hAnsi="Verdana" w:cs="Vrinda"/>
          <w:lang w:val="es-ES" w:eastAsia="es-ES"/>
        </w:rPr>
      </w:pPr>
    </w:p>
    <w:p w14:paraId="715C4B37" w14:textId="77777777" w:rsidR="00AD6399" w:rsidRPr="006A22ED" w:rsidRDefault="00AD6399" w:rsidP="00AD6399">
      <w:pPr>
        <w:spacing w:after="120" w:line="240" w:lineRule="auto"/>
        <w:ind w:left="709" w:right="709"/>
        <w:jc w:val="both"/>
        <w:rPr>
          <w:rFonts w:ascii="Verdana" w:hAnsi="Verdana"/>
          <w:sz w:val="21"/>
          <w:szCs w:val="21"/>
        </w:rPr>
      </w:pPr>
      <w:r w:rsidRPr="00A853A1">
        <w:rPr>
          <w:rFonts w:ascii="Verdana" w:eastAsia="Aptos" w:hAnsi="Verdana" w:cs="Helvetica"/>
          <w:color w:val="000000"/>
          <w:sz w:val="21"/>
          <w:szCs w:val="21"/>
          <w:lang w:val="es-MX"/>
          <w14:ligatures w14:val="standardContextual"/>
        </w:rPr>
        <w:t>“</w:t>
      </w:r>
      <w:r w:rsidRPr="006A22ED">
        <w:rPr>
          <w:rFonts w:ascii="Verdana" w:hAnsi="Verdana"/>
          <w:sz w:val="21"/>
          <w:szCs w:val="21"/>
        </w:rPr>
        <w:t>¿Debe la Entidad Estatal aplicar la causal de rechazo prevista en el numeral 1.15 del pliego tipo, por presunta omisión en el reporte de contratos en ejecución para efectos de la capacidad residual, cuando el proponente radicó su oferta en SECOP I el día anterior al cierre del proceso en horas de la mañana, momento en el cual no tenía contratos adjudicados ni en ejecución, pero en horas de la tarde de ese mismo día le fue adjudicado otro proceso contractual, y el cierre de la licitación de pliego tipo en la que participa ocurrió al día siguiente a las 8:00 a. m.?</w:t>
      </w:r>
    </w:p>
    <w:p w14:paraId="7CBE7C6E" w14:textId="77777777" w:rsidR="00AD6399" w:rsidRPr="00A853A1" w:rsidRDefault="00AD6399" w:rsidP="00AD6399">
      <w:pPr>
        <w:snapToGrid w:val="0"/>
        <w:spacing w:after="0" w:line="240" w:lineRule="auto"/>
        <w:ind w:left="709" w:right="709"/>
        <w:jc w:val="both"/>
        <w:rPr>
          <w:rFonts w:ascii="Verdana" w:eastAsia="Aptos" w:hAnsi="Verdana" w:cs="Helvetica"/>
          <w:color w:val="000000"/>
          <w:sz w:val="21"/>
          <w:szCs w:val="21"/>
          <w14:ligatures w14:val="standardContextual"/>
        </w:rPr>
      </w:pPr>
      <w:r w:rsidRPr="006A22ED">
        <w:rPr>
          <w:rFonts w:ascii="Verdana" w:hAnsi="Verdana"/>
          <w:sz w:val="21"/>
          <w:szCs w:val="21"/>
        </w:rPr>
        <w:lastRenderedPageBreak/>
        <w:t>En particular, ¿puede considerarse configurada dicha causal de rechazo, aun cuando al momento de la presentación y radicación de la propuesta el proponente no se encontraba jurídicamente obligado a reportar un contrato que todavía no había sido adjudicado ni suscrito?</w:t>
      </w:r>
      <w:r w:rsidRPr="00A853A1">
        <w:rPr>
          <w:rFonts w:ascii="Verdana" w:eastAsia="Aptos" w:hAnsi="Verdana" w:cs="Helvetica"/>
          <w:color w:val="000000"/>
          <w:sz w:val="21"/>
          <w:szCs w:val="21"/>
          <w14:ligatures w14:val="standardContextual"/>
        </w:rPr>
        <w:t>”.</w:t>
      </w:r>
    </w:p>
    <w:p w14:paraId="32B8871E" w14:textId="77777777" w:rsidR="00AD6399" w:rsidRPr="006A22ED" w:rsidRDefault="00AD6399" w:rsidP="00AD6399">
      <w:pPr>
        <w:snapToGrid w:val="0"/>
        <w:spacing w:after="0" w:line="240" w:lineRule="auto"/>
        <w:jc w:val="both"/>
      </w:pPr>
    </w:p>
    <w:p w14:paraId="6C2446D0" w14:textId="77777777" w:rsidR="00AD6399" w:rsidRPr="00881D8A" w:rsidRDefault="00AD6399" w:rsidP="00AD6399">
      <w:pPr>
        <w:snapToGrid w:val="0"/>
        <w:spacing w:after="120" w:line="276" w:lineRule="auto"/>
        <w:ind w:firstLine="708"/>
        <w:jc w:val="both"/>
        <w:rPr>
          <w:rFonts w:ascii="Verdana" w:eastAsia="Calibri" w:hAnsi="Verdana" w:cs="Arial"/>
          <w:color w:val="000000"/>
          <w:lang w:eastAsia="es-ES"/>
        </w:rPr>
      </w:pPr>
      <w:r w:rsidRPr="00881D8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81D8A">
        <w:rPr>
          <w:rFonts w:ascii="Verdana" w:eastAsia="Calibri" w:hAnsi="Verdana" w:cs="Arial"/>
          <w:color w:val="000000"/>
          <w:lang w:eastAsia="es-ES"/>
        </w:rPr>
        <w:tab/>
      </w:r>
    </w:p>
    <w:p w14:paraId="46BD8D40" w14:textId="77777777" w:rsidR="00AD6399" w:rsidRPr="00881D8A" w:rsidRDefault="00AD6399" w:rsidP="00AD6399">
      <w:pPr>
        <w:spacing w:after="120" w:line="240" w:lineRule="auto"/>
        <w:ind w:firstLine="709"/>
        <w:jc w:val="both"/>
        <w:rPr>
          <w:rFonts w:ascii="Verdana" w:eastAsia="Calibri" w:hAnsi="Verdana" w:cs="Arial"/>
          <w:color w:val="000000"/>
          <w:lang w:eastAsia="es-ES"/>
        </w:rPr>
      </w:pPr>
      <w:r w:rsidRPr="00881D8A">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70E0BB78" w14:textId="77777777" w:rsidR="00AD6399" w:rsidRPr="00881D8A" w:rsidRDefault="00AD6399" w:rsidP="00AD6399">
      <w:pPr>
        <w:spacing w:after="0" w:line="276" w:lineRule="auto"/>
        <w:jc w:val="both"/>
        <w:rPr>
          <w:rFonts w:ascii="Verdana" w:eastAsia="Calibri" w:hAnsi="Verdana" w:cs="Arial"/>
          <w:color w:val="000000"/>
          <w:lang w:eastAsia="es-ES"/>
        </w:rPr>
      </w:pPr>
    </w:p>
    <w:p w14:paraId="7884E805" w14:textId="77777777" w:rsidR="00AD6399" w:rsidRPr="00881D8A" w:rsidRDefault="00AD6399" w:rsidP="00AD6399">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Problema planteado:</w:t>
      </w:r>
    </w:p>
    <w:p w14:paraId="1DC60A92" w14:textId="77777777" w:rsidR="00AD6399" w:rsidRPr="00881D8A" w:rsidRDefault="00AD6399" w:rsidP="00AD6399">
      <w:pPr>
        <w:tabs>
          <w:tab w:val="left" w:pos="142"/>
          <w:tab w:val="left" w:pos="284"/>
        </w:tabs>
        <w:spacing w:after="0" w:line="276" w:lineRule="auto"/>
        <w:jc w:val="both"/>
        <w:rPr>
          <w:rFonts w:ascii="Verdana" w:eastAsia="Century Gothic" w:hAnsi="Verdana" w:cs="Century Gothic"/>
          <w:b/>
          <w:bCs/>
        </w:rPr>
      </w:pPr>
    </w:p>
    <w:p w14:paraId="5190352A" w14:textId="77777777" w:rsidR="00AD6399" w:rsidRPr="00F67D88" w:rsidRDefault="00AD6399" w:rsidP="00AD6399">
      <w:pPr>
        <w:spacing w:after="0" w:line="276" w:lineRule="auto"/>
        <w:jc w:val="both"/>
        <w:rPr>
          <w:rFonts w:ascii="Verdana" w:eastAsia="Calibri" w:hAnsi="Verdana" w:cs="Arial"/>
          <w:bCs/>
          <w:lang w:val="es-ES_tradnl" w:eastAsia="es-ES_tradnl"/>
        </w:rPr>
      </w:pPr>
      <w:r w:rsidRPr="00881D8A">
        <w:rPr>
          <w:rFonts w:ascii="Verdana" w:eastAsia="Century Gothic" w:hAnsi="Verdana" w:cs="Century Gothic"/>
        </w:rPr>
        <w:t xml:space="preserve">De acuerdo con el contenido de su solicitud, en relación con los </w:t>
      </w:r>
      <w:r w:rsidRPr="00881D8A">
        <w:rPr>
          <w:rFonts w:ascii="Verdana" w:eastAsia="Aptos" w:hAnsi="Verdana" w:cs="Times New Roman"/>
        </w:rPr>
        <w:t xml:space="preserve">documentos tipo de licitación de obra pública de infraestructura de transporte – versión 4, </w:t>
      </w:r>
      <w:r w:rsidRPr="00881D8A">
        <w:rPr>
          <w:rFonts w:ascii="Verdana" w:eastAsia="Century Gothic" w:hAnsi="Verdana" w:cs="Century Gothic"/>
        </w:rPr>
        <w:t xml:space="preserve">esta Agencia resolverá el siguiente problema jurídico: </w:t>
      </w:r>
      <w:r>
        <w:rPr>
          <w:rFonts w:ascii="Verdana" w:eastAsia="Century Gothic" w:hAnsi="Verdana" w:cs="Century Gothic"/>
        </w:rPr>
        <w:t xml:space="preserve">Para efectos de la acreditación de la capacidad residual del proponente </w:t>
      </w:r>
      <w:r w:rsidRPr="00F67D88">
        <w:rPr>
          <w:rFonts w:ascii="Verdana" w:eastAsia="Calibri" w:hAnsi="Verdana" w:cs="Arial"/>
          <w:bCs/>
          <w:lang w:val="es-ES_tradnl" w:eastAsia="es-ES_tradnl"/>
        </w:rPr>
        <w:t xml:space="preserve">¿Es causal de rechazo no relacionar un contrato que </w:t>
      </w:r>
      <w:r>
        <w:rPr>
          <w:rFonts w:ascii="Verdana" w:eastAsia="Calibri" w:hAnsi="Verdana" w:cs="Arial"/>
          <w:bCs/>
          <w:lang w:val="es-ES_tradnl" w:eastAsia="es-ES_tradnl"/>
        </w:rPr>
        <w:t xml:space="preserve">no </w:t>
      </w:r>
      <w:r w:rsidRPr="00F67D88">
        <w:rPr>
          <w:rFonts w:ascii="Verdana" w:eastAsia="Calibri" w:hAnsi="Verdana" w:cs="Arial"/>
          <w:bCs/>
          <w:lang w:val="es-ES_tradnl" w:eastAsia="es-ES_tradnl"/>
        </w:rPr>
        <w:t xml:space="preserve">tiene resolución de adjudicación? </w:t>
      </w:r>
    </w:p>
    <w:p w14:paraId="245479F4" w14:textId="77777777" w:rsidR="00AD6399" w:rsidRPr="00881D8A" w:rsidRDefault="00AD6399" w:rsidP="00AD6399">
      <w:pPr>
        <w:tabs>
          <w:tab w:val="left" w:pos="142"/>
          <w:tab w:val="left" w:pos="284"/>
        </w:tabs>
        <w:spacing w:after="0" w:line="276" w:lineRule="auto"/>
        <w:jc w:val="both"/>
        <w:rPr>
          <w:rFonts w:ascii="Verdana" w:eastAsia="Calibri" w:hAnsi="Verdana" w:cs="Arial"/>
          <w:color w:val="7030A0"/>
          <w:lang w:val="es-ES_tradnl"/>
        </w:rPr>
      </w:pPr>
    </w:p>
    <w:p w14:paraId="57D75C7B" w14:textId="77777777" w:rsidR="00AD6399" w:rsidRPr="00881D8A" w:rsidRDefault="00AD6399" w:rsidP="00AD6399">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Respuesta:</w:t>
      </w:r>
    </w:p>
    <w:p w14:paraId="7C03C886" w14:textId="77777777" w:rsidR="00AD6399" w:rsidRPr="00881D8A" w:rsidRDefault="00AD6399" w:rsidP="00AD6399">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D6399" w:rsidRPr="00881D8A" w14:paraId="6D3EC8DF" w14:textId="77777777" w:rsidTr="00296400">
        <w:tc>
          <w:tcPr>
            <w:tcW w:w="8828" w:type="dxa"/>
          </w:tcPr>
          <w:p w14:paraId="3830C7D3" w14:textId="77777777" w:rsidR="00AD6399" w:rsidRPr="006A22ED" w:rsidRDefault="00AD6399" w:rsidP="00296400">
            <w:pPr>
              <w:spacing w:before="120" w:after="120" w:line="276" w:lineRule="auto"/>
              <w:ind w:right="79"/>
              <w:jc w:val="both"/>
              <w:rPr>
                <w:rFonts w:ascii="Verdana" w:eastAsia="Times New Roman" w:hAnsi="Verdana" w:cs="Arial"/>
                <w:lang w:val="es-MX" w:eastAsia="es-ES_tradnl"/>
              </w:rPr>
            </w:pPr>
            <w:r>
              <w:rPr>
                <w:rFonts w:ascii="Verdana" w:eastAsia="Arial" w:hAnsi="Verdana" w:cs="Arial"/>
                <w:color w:val="1A1A1A"/>
              </w:rPr>
              <w:t xml:space="preserve">En los documentos tipo de licitación de obra pública de infraestructura de transporte – versión 4, </w:t>
            </w:r>
            <w:r w:rsidRPr="00F67D88">
              <w:rPr>
                <w:rFonts w:ascii="Verdana" w:eastAsia="Arial" w:hAnsi="Verdana" w:cs="Arial"/>
                <w:color w:val="1A1A1A"/>
              </w:rPr>
              <w:t xml:space="preserve">al menos tres causales de rechazo del numeral 1.15 </w:t>
            </w:r>
            <w:r w:rsidRPr="00F67D88">
              <w:rPr>
                <w:rFonts w:ascii="Verdana" w:eastAsia="Aptos" w:hAnsi="Verdana" w:cs="Arial"/>
                <w:lang w:val="es-MX"/>
              </w:rPr>
              <w:lastRenderedPageBreak/>
              <w:t xml:space="preserve">del documento base, </w:t>
            </w:r>
            <w:r w:rsidRPr="00F67D88">
              <w:rPr>
                <w:rFonts w:ascii="Verdana" w:eastAsia="Arial" w:hAnsi="Verdana" w:cs="Arial"/>
                <w:color w:val="1A1A1A"/>
              </w:rPr>
              <w:t xml:space="preserve">se relacionan con la capacidad residual como requisito habilitante, esto es, los literales E, H y X. </w:t>
            </w:r>
          </w:p>
          <w:p w14:paraId="426EA8F8" w14:textId="77777777" w:rsidR="00AD6399" w:rsidRPr="00F67D88" w:rsidRDefault="00AD6399" w:rsidP="00296400">
            <w:pPr>
              <w:spacing w:before="120" w:after="120" w:line="276" w:lineRule="auto"/>
              <w:ind w:right="79"/>
              <w:jc w:val="both"/>
              <w:rPr>
                <w:rFonts w:ascii="Verdana" w:eastAsia="Times New Roman" w:hAnsi="Verdana" w:cs="Arial"/>
                <w:sz w:val="24"/>
                <w:szCs w:val="24"/>
                <w:lang w:eastAsia="es-ES_tradnl"/>
              </w:rPr>
            </w:pPr>
            <w:r w:rsidRPr="00F67D88">
              <w:rPr>
                <w:rFonts w:ascii="Verdana" w:eastAsia="Arial" w:hAnsi="Verdana" w:cs="Arial"/>
                <w:color w:val="1A1A1A"/>
              </w:rPr>
              <w:t xml:space="preserve">En relación con la información contractual no incluida que pueda afectar la capacidad residual del proponente, el pliego de condiciones del </w:t>
            </w:r>
            <w:r>
              <w:rPr>
                <w:rFonts w:ascii="Verdana" w:eastAsia="Arial" w:hAnsi="Verdana" w:cs="Arial"/>
                <w:color w:val="1A1A1A"/>
              </w:rPr>
              <w:t>d</w:t>
            </w:r>
            <w:r w:rsidRPr="00F67D88">
              <w:rPr>
                <w:rFonts w:ascii="Verdana" w:eastAsia="Arial" w:hAnsi="Verdana" w:cs="Arial"/>
                <w:color w:val="1A1A1A"/>
              </w:rPr>
              <w:t xml:space="preserve">ocumento </w:t>
            </w:r>
            <w:r>
              <w:rPr>
                <w:rFonts w:ascii="Verdana" w:eastAsia="Arial" w:hAnsi="Verdana" w:cs="Arial"/>
                <w:color w:val="1A1A1A"/>
              </w:rPr>
              <w:t>t</w:t>
            </w:r>
            <w:r w:rsidRPr="00F67D88">
              <w:rPr>
                <w:rFonts w:ascii="Verdana" w:eastAsia="Arial" w:hAnsi="Verdana" w:cs="Arial"/>
                <w:color w:val="1A1A1A"/>
              </w:rPr>
              <w:t xml:space="preserve">ipo – </w:t>
            </w:r>
            <w:r>
              <w:rPr>
                <w:rFonts w:ascii="Verdana" w:eastAsia="Arial" w:hAnsi="Verdana" w:cs="Arial"/>
                <w:color w:val="1A1A1A"/>
              </w:rPr>
              <w:t>v</w:t>
            </w:r>
            <w:r w:rsidRPr="00F67D88">
              <w:rPr>
                <w:rFonts w:ascii="Verdana" w:eastAsia="Arial" w:hAnsi="Verdana" w:cs="Arial"/>
                <w:color w:val="1A1A1A"/>
              </w:rPr>
              <w:t>ersión 4 de licitación para obra pública de infraestructura de transporte estableció una regla especial en el numeral 3.11</w:t>
            </w:r>
            <w:r>
              <w:rPr>
                <w:rFonts w:ascii="Verdana" w:eastAsia="Arial" w:hAnsi="Verdana" w:cs="Arial"/>
                <w:color w:val="1A1A1A"/>
              </w:rPr>
              <w:t>.</w:t>
            </w:r>
          </w:p>
          <w:p w14:paraId="2A54F83A" w14:textId="77777777" w:rsidR="00AD6399" w:rsidRDefault="00AD6399" w:rsidP="00296400">
            <w:pPr>
              <w:snapToGrid w:val="0"/>
              <w:spacing w:before="120" w:line="276" w:lineRule="auto"/>
              <w:jc w:val="both"/>
              <w:rPr>
                <w:rFonts w:ascii="Verdana" w:eastAsia="MS Mincho" w:hAnsi="Verdana" w:cs="Arial"/>
                <w:lang w:eastAsia="es-CO"/>
              </w:rPr>
            </w:pPr>
            <w:r w:rsidRPr="00F67D88">
              <w:rPr>
                <w:rFonts w:ascii="Verdana" w:eastAsia="Times New Roman" w:hAnsi="Verdana" w:cs="Arial"/>
                <w:color w:val="000000"/>
                <w:shd w:val="clear" w:color="auto" w:fill="FFFFFF"/>
                <w:lang w:eastAsia="es-ES_tradnl"/>
              </w:rPr>
              <w:t xml:space="preserve">De conformidad con esta regla, el rechazo de la oferta procede cuando en ejercicio de la potestad verificadora se advierta que se dejó de incluir información que afecta la capacidad residual del proponente, esto es, la referente a contratos de obra en ejecución. </w:t>
            </w:r>
          </w:p>
          <w:p w14:paraId="18C3A383" w14:textId="77777777" w:rsidR="00AD6399" w:rsidRDefault="00AD6399" w:rsidP="00296400">
            <w:pPr>
              <w:snapToGrid w:val="0"/>
              <w:spacing w:before="120" w:after="120" w:line="276" w:lineRule="auto"/>
              <w:jc w:val="both"/>
              <w:rPr>
                <w:rFonts w:ascii="Verdana" w:eastAsia="MS Mincho" w:hAnsi="Verdana" w:cs="Arial"/>
                <w:lang w:eastAsia="es-CO"/>
              </w:rPr>
            </w:pPr>
            <w:r w:rsidRPr="00F67D88">
              <w:rPr>
                <w:rFonts w:ascii="Verdana" w:eastAsia="Times New Roman" w:hAnsi="Verdana" w:cs="Arial"/>
                <w:lang w:eastAsia="es-ES_tradnl"/>
              </w:rPr>
              <w:t xml:space="preserve">Según lo expuesto, al verificarse que el proponente no incluyó información contractual que afecte su capacidad residual, la entidad no estará en posición de solicitar aclaraciones, o acudir al régimen de </w:t>
            </w:r>
            <w:proofErr w:type="spellStart"/>
            <w:r w:rsidRPr="00F67D88">
              <w:rPr>
                <w:rFonts w:ascii="Verdana" w:eastAsia="Times New Roman" w:hAnsi="Verdana" w:cs="Arial"/>
                <w:lang w:eastAsia="es-ES_tradnl"/>
              </w:rPr>
              <w:t>subsanabilidad</w:t>
            </w:r>
            <w:proofErr w:type="spellEnd"/>
            <w:r w:rsidRPr="00F67D88">
              <w:rPr>
                <w:rFonts w:ascii="Verdana" w:eastAsia="Times New Roman" w:hAnsi="Verdana" w:cs="Arial"/>
                <w:lang w:eastAsia="es-ES_tradnl"/>
              </w:rPr>
              <w:t xml:space="preserve"> de ofertas. Esto en la medida que tal circunstancia constituye una causal de rechazo en los términos de los literales H y </w:t>
            </w:r>
            <w:r>
              <w:rPr>
                <w:rFonts w:ascii="Verdana" w:eastAsia="Times New Roman" w:hAnsi="Verdana" w:cs="Arial"/>
                <w:lang w:eastAsia="es-ES_tradnl"/>
              </w:rPr>
              <w:t>X</w:t>
            </w:r>
            <w:r w:rsidRPr="00F67D88">
              <w:rPr>
                <w:rFonts w:ascii="Verdana" w:eastAsia="Times New Roman" w:hAnsi="Verdana" w:cs="Arial"/>
                <w:lang w:eastAsia="es-ES_tradnl"/>
              </w:rPr>
              <w:t xml:space="preserve"> del numeral 1.15 del documento base, las cuales deberán analizar, caso a caso, las entidades contratantes conforme a los parámetros antes mencionados.</w:t>
            </w:r>
          </w:p>
          <w:p w14:paraId="24649549" w14:textId="77777777" w:rsidR="00AD6399" w:rsidRDefault="00AD6399" w:rsidP="00296400">
            <w:pPr>
              <w:snapToGrid w:val="0"/>
              <w:spacing w:before="120" w:after="120" w:line="276" w:lineRule="auto"/>
              <w:jc w:val="both"/>
              <w:rPr>
                <w:rFonts w:ascii="Verdana" w:eastAsia="MS Mincho" w:hAnsi="Verdana" w:cs="Arial"/>
                <w:lang w:eastAsia="es-CO"/>
              </w:rPr>
            </w:pPr>
            <w:r w:rsidRPr="00F67D88">
              <w:rPr>
                <w:rFonts w:ascii="Verdana" w:eastAsia="Times New Roman" w:hAnsi="Verdana" w:cs="Arial"/>
                <w:lang w:eastAsia="es-ES_tradnl"/>
              </w:rPr>
              <w:t xml:space="preserve">En el caso de que el proponente presente la oferta con antelación a la fecha de cierre, informando los contratos que hasta entonces esté ejecutando, pero antes de la fecha de cierre comienza a ejecutar otro nuevo, está en la obligación de reportarlo a la entidad. De lo contrario estaría informando menos contratos, lo que además de afectar el cálculo de su capacidad residual o </w:t>
            </w:r>
            <w:r w:rsidRPr="00F67D88">
              <w:rPr>
                <w:rFonts w:ascii="Verdana" w:eastAsia="Times New Roman" w:hAnsi="Verdana" w:cs="Arial"/>
                <w:i/>
                <w:iCs/>
                <w:lang w:eastAsia="es-ES_tradnl"/>
              </w:rPr>
              <w:t>K</w:t>
            </w:r>
            <w:r w:rsidRPr="00F67D88">
              <w:rPr>
                <w:rFonts w:ascii="Verdana" w:eastAsia="Times New Roman" w:hAnsi="Verdana" w:cs="Arial"/>
                <w:lang w:eastAsia="es-ES_tradnl"/>
              </w:rPr>
              <w:t xml:space="preserve"> de contratación, facultaría a la entidad para rechazar su oferta conforme a la causal X del numeral 1.15 del documento base o, eventualmente, por la causal del literal H </w:t>
            </w:r>
            <w:proofErr w:type="spellStart"/>
            <w:r w:rsidRPr="00F67D88">
              <w:rPr>
                <w:rFonts w:ascii="Verdana" w:eastAsia="Times New Roman" w:hAnsi="Verdana" w:cs="Arial"/>
                <w:i/>
                <w:lang w:eastAsia="es-ES_tradnl"/>
              </w:rPr>
              <w:t>ibídem</w:t>
            </w:r>
            <w:proofErr w:type="spellEnd"/>
            <w:r w:rsidRPr="00F67D88">
              <w:rPr>
                <w:rFonts w:ascii="Verdana" w:eastAsia="Times New Roman" w:hAnsi="Verdana" w:cs="Arial"/>
                <w:lang w:eastAsia="es-ES_tradnl"/>
              </w:rPr>
              <w:t>.</w:t>
            </w:r>
          </w:p>
          <w:p w14:paraId="41BFC9F1" w14:textId="77777777" w:rsidR="00AD6399" w:rsidRDefault="00AD6399" w:rsidP="00296400">
            <w:pPr>
              <w:snapToGrid w:val="0"/>
              <w:spacing w:before="120" w:after="120" w:line="276" w:lineRule="auto"/>
              <w:jc w:val="both"/>
              <w:rPr>
                <w:rFonts w:ascii="Verdana" w:eastAsia="MS Mincho" w:hAnsi="Verdana" w:cs="Arial"/>
                <w:lang w:eastAsia="es-CO"/>
              </w:rPr>
            </w:pPr>
            <w:r w:rsidRPr="00F67D88">
              <w:rPr>
                <w:rFonts w:ascii="Verdana" w:eastAsia="Times New Roman" w:hAnsi="Verdana" w:cs="Arial"/>
                <w:lang w:eastAsia="es-ES_tradnl"/>
              </w:rPr>
              <w:t>Ahora bien, en congruencia con lo explicado en el numeral anterior, es importante tener en cuenta que la causal de rechazo del literal X del numeral 1.15 del pliego aplica por “No informar todos los contratos que el Proponente tenga en ejecución antes del cierre, necesarios para acreditar su capacidad residual conforme a la sección 3.11”. Para estos efectos, conforme a las definiciones previstas en la Guía para Determinar y Verificar la Capacidad Residual del Proponente en los Procesos de Contratación de Obra Pública, el numeral II del literal E del numeral 3.11.</w:t>
            </w:r>
            <w:r>
              <w:rPr>
                <w:rFonts w:ascii="Verdana" w:eastAsia="Times New Roman" w:hAnsi="Verdana" w:cs="Arial"/>
                <w:lang w:eastAsia="es-ES_tradnl"/>
              </w:rPr>
              <w:t xml:space="preserve"> </w:t>
            </w:r>
            <w:r w:rsidRPr="00F67D88">
              <w:rPr>
                <w:rFonts w:ascii="Verdana" w:eastAsia="Times New Roman" w:hAnsi="Verdana" w:cs="Arial"/>
                <w:lang w:eastAsia="es-ES_tradnl"/>
              </w:rPr>
              <w:t xml:space="preserve">del documento base dispone que “Los contratos de obras civiles en ejecución son aquellos que a la fecha de </w:t>
            </w:r>
            <w:r w:rsidRPr="00F67D88">
              <w:rPr>
                <w:rFonts w:ascii="Verdana" w:eastAsia="Times New Roman" w:hAnsi="Verdana" w:cs="Arial"/>
                <w:lang w:eastAsia="es-ES_tradnl"/>
              </w:rPr>
              <w:lastRenderedPageBreak/>
              <w:t>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w:t>
            </w:r>
          </w:p>
          <w:p w14:paraId="75B2F3C5" w14:textId="77777777" w:rsidR="00AD6399" w:rsidRPr="00881D8A" w:rsidRDefault="00AD6399" w:rsidP="00296400">
            <w:pPr>
              <w:spacing w:before="120" w:after="120" w:line="276" w:lineRule="auto"/>
              <w:jc w:val="both"/>
              <w:rPr>
                <w:rFonts w:ascii="Verdana" w:eastAsia="Aptos" w:hAnsi="Verdana" w:cs="Arial"/>
              </w:rPr>
            </w:pPr>
            <w:r w:rsidRPr="00F67D88">
              <w:rPr>
                <w:rFonts w:ascii="Verdana" w:eastAsia="Times New Roman" w:hAnsi="Verdana" w:cs="Arial"/>
                <w:lang w:eastAsia="es-ES_tradnl"/>
              </w:rPr>
              <w:t xml:space="preserve">Como se observa, la definición solo aplica a los contratos perfeccionados, aunque estos estén suspendidos o no tengan acta de inicio. Por tanto, </w:t>
            </w:r>
            <w:r w:rsidRPr="003403A1">
              <w:rPr>
                <w:rFonts w:ascii="Verdana" w:eastAsia="Times New Roman" w:hAnsi="Verdana" w:cs="Arial"/>
                <w:i/>
                <w:iCs/>
                <w:lang w:eastAsia="es-ES_tradnl"/>
              </w:rPr>
              <w:t>están fuera de esta los procesos de selección adjudicados,</w:t>
            </w:r>
            <w:r w:rsidRPr="00F67D88">
              <w:rPr>
                <w:rFonts w:ascii="Verdana" w:eastAsia="Times New Roman" w:hAnsi="Verdana" w:cs="Arial"/>
                <w:lang w:eastAsia="es-ES_tradnl"/>
              </w:rPr>
              <w:t xml:space="preserve"> pues –en los términos del artículo 41 de la Ley 80 de 1993– los contratos estatales de las entidades sometidas al Estatuto General de Contratación de la Administración Pública se perfeccionan cuando se logre acuerdo sobre el objeto y la contraprestación y éste se eleve a escrito, lo cual ocurre con la suscripción formal del contrato y no con el acto de adjudicación. Lo expuesto es congruente con el artículo 2.2.1.1.1.6.4 del Decreto 1082 de 2015, en virtud del cual, para efectos de acreditar la capacidad residual del proponente, se requiere el listado de contratos de obra civiles en ejecución suscritos con entidades estatales y con entidades privadas.</w:t>
            </w:r>
          </w:p>
        </w:tc>
      </w:tr>
    </w:tbl>
    <w:p w14:paraId="1CACFA0A" w14:textId="77777777" w:rsidR="00AD6399" w:rsidRPr="00881D8A" w:rsidRDefault="00AD6399" w:rsidP="00AD6399">
      <w:pPr>
        <w:tabs>
          <w:tab w:val="left" w:pos="142"/>
          <w:tab w:val="left" w:pos="284"/>
        </w:tabs>
        <w:spacing w:after="0" w:line="276" w:lineRule="auto"/>
        <w:jc w:val="both"/>
        <w:rPr>
          <w:rFonts w:ascii="Verdana" w:eastAsia="Century Gothic" w:hAnsi="Verdana" w:cs="Century Gothic"/>
          <w:b/>
          <w:bCs/>
        </w:rPr>
      </w:pPr>
    </w:p>
    <w:p w14:paraId="3301222F" w14:textId="77777777" w:rsidR="00AD6399" w:rsidRPr="00881D8A" w:rsidRDefault="00AD6399" w:rsidP="00AD6399">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Razones de la respuesta:</w:t>
      </w:r>
    </w:p>
    <w:p w14:paraId="4D8922AA" w14:textId="77777777" w:rsidR="00AD6399" w:rsidRPr="00881D8A" w:rsidRDefault="00AD6399" w:rsidP="00AD63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2103B970" w14:textId="77777777" w:rsidR="00AD6399" w:rsidRPr="00881D8A" w:rsidRDefault="00AD6399" w:rsidP="00AD6399">
      <w:pPr>
        <w:spacing w:after="0" w:line="276" w:lineRule="auto"/>
        <w:jc w:val="both"/>
        <w:rPr>
          <w:rFonts w:ascii="Verdana" w:eastAsia="Calibri" w:hAnsi="Verdana" w:cs="Arial"/>
        </w:rPr>
      </w:pPr>
      <w:r w:rsidRPr="00881D8A">
        <w:rPr>
          <w:rFonts w:ascii="Verdana" w:eastAsia="Calibri" w:hAnsi="Verdana" w:cs="Arial"/>
        </w:rPr>
        <w:t xml:space="preserve">Lo anterior se sustenta en las siguientes consideraciones: </w:t>
      </w:r>
    </w:p>
    <w:p w14:paraId="26EDC3D2" w14:textId="77777777" w:rsidR="00AD6399" w:rsidRPr="00881D8A" w:rsidRDefault="00AD6399" w:rsidP="00AD6399">
      <w:pPr>
        <w:spacing w:after="0"/>
        <w:jc w:val="both"/>
        <w:rPr>
          <w:rFonts w:ascii="Verdana" w:eastAsia="Calibri" w:hAnsi="Verdana" w:cs="Arial"/>
        </w:rPr>
      </w:pPr>
    </w:p>
    <w:p w14:paraId="0A7E29BB" w14:textId="77777777" w:rsidR="00AD6399" w:rsidRPr="00881D8A" w:rsidRDefault="00AD6399" w:rsidP="00AD6399">
      <w:pPr>
        <w:widowControl w:val="0"/>
        <w:autoSpaceDE w:val="0"/>
        <w:autoSpaceDN w:val="0"/>
        <w:spacing w:after="120" w:line="276" w:lineRule="auto"/>
        <w:jc w:val="both"/>
        <w:rPr>
          <w:rFonts w:ascii="Verdana" w:eastAsia="Arial" w:hAnsi="Verdana" w:cs="Arial"/>
        </w:rPr>
      </w:pPr>
      <w:r w:rsidRPr="00881D8A">
        <w:rPr>
          <w:rFonts w:ascii="Verdana" w:eastAsia="Calibri" w:hAnsi="Verdana" w:cs="Times New Roman"/>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p>
    <w:p w14:paraId="2513A7A1" w14:textId="77777777" w:rsidR="00AD6399" w:rsidRDefault="00AD6399" w:rsidP="00AD6399">
      <w:pPr>
        <w:widowControl w:val="0"/>
        <w:autoSpaceDE w:val="0"/>
        <w:autoSpaceDN w:val="0"/>
        <w:spacing w:after="120" w:line="276" w:lineRule="auto"/>
        <w:ind w:firstLine="709"/>
        <w:jc w:val="both"/>
        <w:rPr>
          <w:rFonts w:ascii="Verdana" w:eastAsia="Arial" w:hAnsi="Verdana" w:cs="Arial"/>
          <w:lang w:val="es-ES"/>
        </w:rPr>
      </w:pPr>
      <w:r w:rsidRPr="00881D8A">
        <w:rPr>
          <w:rFonts w:ascii="Verdana" w:eastAsia="Arial" w:hAnsi="Verdana" w:cs="Arial"/>
        </w:rPr>
        <w:t xml:space="preserve">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 </w:t>
      </w:r>
      <w:r w:rsidRPr="00F67D88">
        <w:rPr>
          <w:rFonts w:ascii="Verdana" w:eastAsia="Aptos" w:hAnsi="Verdana" w:cs="Arial"/>
          <w:lang w:val="es-ES"/>
        </w:rPr>
        <w:t xml:space="preserve">Por su parte, el Consejo de Estado ha definido la capacidad residual como “la diferencia que existe entre el potencial de contratación que se tiene y los compromisos que haya adquirido y que se encuentren en ejecución, para la </w:t>
      </w:r>
      <w:r w:rsidRPr="00F67D88">
        <w:rPr>
          <w:rFonts w:ascii="Verdana" w:eastAsia="Aptos" w:hAnsi="Verdana" w:cs="Arial"/>
          <w:lang w:val="es-ES"/>
        </w:rPr>
        <w:lastRenderedPageBreak/>
        <w:t>fecha de presentación de la oferta”</w:t>
      </w:r>
      <w:r w:rsidRPr="00F67D88">
        <w:rPr>
          <w:rFonts w:ascii="Verdana" w:eastAsia="Aptos" w:hAnsi="Verdana" w:cs="Arial"/>
          <w:vertAlign w:val="superscript"/>
          <w:lang w:val="es-ES"/>
        </w:rPr>
        <w:footnoteReference w:id="1"/>
      </w:r>
      <w:r w:rsidRPr="00F67D88">
        <w:rPr>
          <w:rFonts w:ascii="Verdana" w:eastAsia="Aptos" w:hAnsi="Verdana" w:cs="Arial"/>
          <w:lang w:val="es-ES"/>
        </w:rPr>
        <w:t>.</w:t>
      </w:r>
    </w:p>
    <w:p w14:paraId="7E1283E8" w14:textId="77777777" w:rsidR="00AD6399" w:rsidRPr="006A22ED" w:rsidRDefault="00AD6399" w:rsidP="00AD6399">
      <w:pPr>
        <w:widowControl w:val="0"/>
        <w:autoSpaceDE w:val="0"/>
        <w:autoSpaceDN w:val="0"/>
        <w:spacing w:after="0" w:line="276" w:lineRule="auto"/>
        <w:ind w:firstLine="709"/>
        <w:jc w:val="both"/>
        <w:rPr>
          <w:rFonts w:ascii="Verdana" w:eastAsia="Arial" w:hAnsi="Verdana" w:cs="Arial"/>
        </w:rPr>
      </w:pPr>
      <w:r w:rsidRPr="00F67D88">
        <w:rPr>
          <w:rFonts w:ascii="Verdana" w:eastAsia="Aptos" w:hAnsi="Verdana" w:cs="Arial"/>
          <w:lang w:val="es-ES"/>
        </w:rPr>
        <w:t xml:space="preserve">De esta manera, la capacidad residual se refiere a la suficiencia que tiene el proponente para asumir nuevas obligaciones que se derivan del contrato objeto del proceso de contratación, en relación con las obligaciones que ya adquirió frente a otros contratos. Por su parte, el artículo 6 de la Ley 1150 de 2007 dispone que la capacidad residual de los interesados en participar en procesos de selección para contratos de obra deberá ser igual o superior al que la entidad ha establecido en los pliegos de condiciones, en los siguientes términos: </w:t>
      </w:r>
    </w:p>
    <w:p w14:paraId="275B52DE" w14:textId="77777777" w:rsidR="00AD6399" w:rsidRPr="00F67D88" w:rsidRDefault="00AD6399" w:rsidP="00AD6399">
      <w:pPr>
        <w:spacing w:after="0" w:line="276" w:lineRule="auto"/>
        <w:ind w:firstLine="708"/>
        <w:jc w:val="both"/>
        <w:rPr>
          <w:rFonts w:ascii="Verdana" w:eastAsia="Times New Roman" w:hAnsi="Verdana" w:cs="Arial"/>
          <w:color w:val="000000"/>
          <w:sz w:val="24"/>
          <w:szCs w:val="24"/>
          <w:lang w:val="es-MX" w:eastAsia="es-ES_tradnl"/>
        </w:rPr>
      </w:pPr>
    </w:p>
    <w:p w14:paraId="7586E497" w14:textId="77777777" w:rsidR="00AD6399" w:rsidRPr="00F67D88" w:rsidRDefault="00AD6399" w:rsidP="00AD6399">
      <w:pPr>
        <w:spacing w:after="120" w:line="240" w:lineRule="auto"/>
        <w:ind w:left="709" w:right="709"/>
        <w:jc w:val="both"/>
        <w:rPr>
          <w:rFonts w:ascii="Verdana" w:eastAsia="Calibri" w:hAnsi="Verdana" w:cs="Arial"/>
          <w:color w:val="000000"/>
          <w:sz w:val="21"/>
          <w:szCs w:val="21"/>
          <w:lang w:val="es-MX" w:eastAsia="es-ES_tradnl"/>
        </w:rPr>
      </w:pPr>
      <w:r w:rsidRPr="00F67D88">
        <w:rPr>
          <w:rFonts w:ascii="Verdana" w:eastAsia="Calibri" w:hAnsi="Verdana" w:cs="Arial"/>
          <w:color w:val="000000"/>
          <w:sz w:val="21"/>
          <w:szCs w:val="21"/>
          <w:lang w:val="es-MX" w:eastAsia="es-ES_tradnl"/>
        </w:rPr>
        <w:t>Parágrafo 1°.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52FC5BCE" w14:textId="77777777" w:rsidR="00AD6399" w:rsidRDefault="00AD6399" w:rsidP="00AD6399">
      <w:pPr>
        <w:spacing w:after="0" w:line="240" w:lineRule="auto"/>
        <w:ind w:left="709" w:right="709"/>
        <w:jc w:val="both"/>
        <w:rPr>
          <w:rFonts w:ascii="Verdana" w:eastAsia="Calibri" w:hAnsi="Verdana" w:cs="Arial"/>
          <w:color w:val="000000"/>
          <w:sz w:val="21"/>
          <w:szCs w:val="21"/>
          <w:lang w:val="es-MX" w:eastAsia="es-ES_tradnl"/>
        </w:rPr>
      </w:pPr>
      <w:r w:rsidRPr="00F67D88">
        <w:rPr>
          <w:rFonts w:ascii="Verdana" w:eastAsia="Calibri" w:hAnsi="Verdana" w:cs="Arial"/>
          <w:color w:val="000000"/>
          <w:sz w:val="21"/>
          <w:szCs w:val="21"/>
          <w:lang w:val="es-MX" w:eastAsia="es-ES_tradnl"/>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365ADDB4" w14:textId="77777777" w:rsidR="00AD6399" w:rsidRDefault="00AD6399" w:rsidP="00AD6399">
      <w:pPr>
        <w:spacing w:after="0" w:line="240" w:lineRule="auto"/>
        <w:ind w:left="709" w:right="709"/>
        <w:jc w:val="both"/>
        <w:rPr>
          <w:rFonts w:ascii="Verdana" w:eastAsia="Calibri" w:hAnsi="Verdana" w:cs="Arial"/>
          <w:color w:val="000000"/>
          <w:sz w:val="21"/>
          <w:szCs w:val="21"/>
          <w:lang w:val="es-MX" w:eastAsia="es-ES_tradnl"/>
        </w:rPr>
      </w:pPr>
    </w:p>
    <w:p w14:paraId="56F8237F" w14:textId="77777777" w:rsidR="00AD6399" w:rsidRDefault="00AD6399" w:rsidP="00AD6399">
      <w:pPr>
        <w:snapToGrid w:val="0"/>
        <w:spacing w:after="120" w:line="276" w:lineRule="auto"/>
        <w:ind w:firstLine="709"/>
        <w:jc w:val="both"/>
        <w:rPr>
          <w:rFonts w:ascii="Verdana" w:eastAsia="Calibri" w:hAnsi="Verdana" w:cs="Arial"/>
          <w:color w:val="000000"/>
          <w:sz w:val="21"/>
          <w:szCs w:val="21"/>
          <w:lang w:eastAsia="es-ES_tradnl"/>
        </w:rPr>
      </w:pPr>
      <w:r w:rsidRPr="00F67D88">
        <w:rPr>
          <w:rFonts w:ascii="Verdana" w:eastAsia="Calibri" w:hAnsi="Verdana" w:cs="Arial"/>
          <w:color w:val="000000"/>
          <w:lang w:val="es-MX" w:eastAsia="es-ES_tradnl"/>
        </w:rPr>
        <w:t xml:space="preserve">De acuerdo con </w:t>
      </w:r>
      <w:r w:rsidRPr="00F67D88">
        <w:rPr>
          <w:rFonts w:ascii="Verdana" w:eastAsia="Calibri" w:hAnsi="Verdana" w:cs="Arial"/>
          <w:color w:val="000000"/>
          <w:lang w:eastAsia="es-ES_tradnl"/>
        </w:rPr>
        <w:t>el artículo 72 de la Ley 1682 de 2013, la “capacidad residual de contratación cuando se realicen contratos de obra pública se obtendrá de sustraer de la capacidad de contratación, el saldo del valor de los contratos en ejecución”. La “capacidad de contratación”, según se desprende de la misma disposición, “(…) se deberá calcular mediante la evaluación de los siguientes factores: Experiencia (E), Capacidad Financiera (CF), Capacidad Técnica (CT), y Capacidad de Organización (CO)”.</w:t>
      </w:r>
      <w:bookmarkStart w:id="2" w:name="_Hlk103608376"/>
    </w:p>
    <w:p w14:paraId="0876A891" w14:textId="77777777" w:rsidR="00AD6399" w:rsidRDefault="00AD6399" w:rsidP="00AD6399">
      <w:pPr>
        <w:snapToGrid w:val="0"/>
        <w:spacing w:after="120" w:line="276" w:lineRule="auto"/>
        <w:ind w:firstLine="709"/>
        <w:jc w:val="both"/>
        <w:rPr>
          <w:rFonts w:ascii="Verdana" w:eastAsia="Calibri" w:hAnsi="Verdana" w:cs="Arial"/>
          <w:color w:val="000000"/>
          <w:sz w:val="21"/>
          <w:szCs w:val="21"/>
          <w:lang w:val="es-MX" w:eastAsia="es-ES_tradnl"/>
        </w:rPr>
      </w:pPr>
      <w:r w:rsidRPr="00F67D88">
        <w:rPr>
          <w:rFonts w:ascii="Verdana" w:eastAsia="Calibri" w:hAnsi="Verdana" w:cs="Arial"/>
          <w:color w:val="000000"/>
          <w:lang w:val="es-MX" w:eastAsia="es-ES_tradnl"/>
        </w:rPr>
        <w:t xml:space="preserve">Por su parte, el artículo 2.2.1.1.1.6.4 del Decreto 1082 de 2015 dispone que las entidades estatales deberán calcular la capacidad residual conforme a la metodología definida por Colombia Compre Eficiente. Para tale fines, resulta necesario tener en cuenta los factores de i) Experiencia –E–, ii) Capacidad </w:t>
      </w:r>
      <w:r w:rsidRPr="00F67D88">
        <w:rPr>
          <w:rFonts w:ascii="Verdana" w:eastAsia="Calibri" w:hAnsi="Verdana" w:cs="Arial"/>
          <w:color w:val="000000"/>
          <w:lang w:val="es-MX" w:eastAsia="es-ES_tradnl"/>
        </w:rPr>
        <w:lastRenderedPageBreak/>
        <w:t>Financiera –CF–, iii) Capacidad Técnica –CT–, iv) Capacidad de Organización y v) los Saldos de los Contratos en Ejecución –SCE–.</w:t>
      </w:r>
    </w:p>
    <w:p w14:paraId="4B2D6598" w14:textId="77777777" w:rsidR="00AD6399" w:rsidRDefault="00AD6399" w:rsidP="00AD6399">
      <w:pPr>
        <w:snapToGrid w:val="0"/>
        <w:spacing w:after="120" w:line="276" w:lineRule="auto"/>
        <w:ind w:firstLine="709"/>
        <w:jc w:val="both"/>
        <w:rPr>
          <w:rFonts w:ascii="Verdana" w:eastAsia="Calibri" w:hAnsi="Verdana" w:cs="Arial"/>
          <w:color w:val="000000"/>
          <w:sz w:val="21"/>
          <w:szCs w:val="21"/>
          <w:lang w:val="es-MX" w:eastAsia="es-ES_tradnl"/>
        </w:rPr>
      </w:pPr>
      <w:r w:rsidRPr="00F67D88">
        <w:rPr>
          <w:rFonts w:ascii="Verdana" w:eastAsia="Calibri" w:hAnsi="Verdana" w:cs="Arial"/>
          <w:color w:val="000000"/>
          <w:lang w:val="es-MX" w:eastAsia="es-ES_tradnl"/>
        </w:rPr>
        <w:t xml:space="preserve">De igual manera, </w:t>
      </w:r>
      <w:r w:rsidRPr="00F67D88">
        <w:rPr>
          <w:rFonts w:ascii="Verdana" w:eastAsia="Times New Roman" w:hAnsi="Verdana" w:cs="Arial"/>
          <w:lang w:val="es-MX" w:eastAsia="es-ES_tradnl"/>
        </w:rPr>
        <w:t>establece que el interesado en celebrar contratos de obra pública acreditará su capacidad residual con los siguientes documentos: i) la lista de los contratos de obras civiles en ejecución suscritos con entidades estatales y con entidades privadas; ii) la lista de contratos de obras civiles en ejecución, suscritos por sociedades, consorcios o uniones temporales, en los cuales el proponente tenga participación, con entidades estatales y con entidades privadas; y finalmente iii) el balance general auditado del año inmediatamente anterior y estado de resultados auditado del año en que haya obtenido el mayor ingreso operacional en los últimos cinco (5) años</w:t>
      </w:r>
      <w:bookmarkEnd w:id="2"/>
      <w:r w:rsidRPr="00F67D88">
        <w:rPr>
          <w:rFonts w:ascii="Verdana" w:eastAsia="Aptos" w:hAnsi="Verdana" w:cs="Times New Roman"/>
          <w:kern w:val="2"/>
          <w:sz w:val="24"/>
          <w:szCs w:val="24"/>
          <w:vertAlign w:val="superscript"/>
          <w:lang w:val="es-MX" w:eastAsia="es-ES_tradnl"/>
          <w14:ligatures w14:val="standardContextual"/>
        </w:rPr>
        <w:footnoteReference w:id="2"/>
      </w:r>
      <w:r w:rsidRPr="00F67D88">
        <w:rPr>
          <w:rFonts w:ascii="Verdana" w:eastAsia="Times New Roman" w:hAnsi="Verdana" w:cs="Arial"/>
          <w:lang w:val="es-MX" w:eastAsia="es-ES_tradnl"/>
        </w:rPr>
        <w:t xml:space="preserve">. </w:t>
      </w:r>
    </w:p>
    <w:p w14:paraId="279F446C" w14:textId="77777777" w:rsidR="00AD6399" w:rsidRDefault="00AD6399" w:rsidP="00AD6399">
      <w:pPr>
        <w:snapToGrid w:val="0"/>
        <w:spacing w:after="120" w:line="276" w:lineRule="auto"/>
        <w:ind w:firstLine="709"/>
        <w:jc w:val="both"/>
        <w:rPr>
          <w:rFonts w:ascii="Verdana" w:eastAsia="Calibri" w:hAnsi="Verdana" w:cs="Arial"/>
          <w:color w:val="000000"/>
          <w:sz w:val="21"/>
          <w:szCs w:val="21"/>
          <w:lang w:val="es-MX" w:eastAsia="es-ES_tradnl"/>
        </w:rPr>
      </w:pPr>
      <w:r w:rsidRPr="00F67D88">
        <w:rPr>
          <w:rFonts w:ascii="Verdana" w:eastAsia="Times New Roman" w:hAnsi="Verdana" w:cs="Arial"/>
          <w:color w:val="000000"/>
          <w:lang w:val="es-MX" w:eastAsia="es-ES_tradnl"/>
        </w:rPr>
        <w:t xml:space="preserve">De conformidad con lo expuesto, la Agencia Nacional de Contratación Pública – Colombia Compra Eficiente expidió la Guía para Determinar y Verificar la Capacidad Residual del Proponente en los Procesos de Contratación de Obra Pública. Este documento establece, entre otras cuestiones, que a la entidad contratante le corresponde, primero, establecer la capacidad residual del proceso de contratación “CRPC” y, segundo, determinar si los proponentes </w:t>
      </w:r>
      <w:r w:rsidRPr="00F67D88">
        <w:rPr>
          <w:rFonts w:ascii="Verdana" w:eastAsia="Times New Roman" w:hAnsi="Verdana" w:cs="Arial"/>
          <w:color w:val="000000"/>
          <w:lang w:val="es-MX" w:eastAsia="es-ES_tradnl"/>
        </w:rPr>
        <w:lastRenderedPageBreak/>
        <w:t>cumplen con la capacidad residual del proceso de contratación, teniendo en cuenta la información mencionada en el párrafo precedente.</w:t>
      </w:r>
    </w:p>
    <w:p w14:paraId="2410B2A9" w14:textId="77777777" w:rsidR="00AD6399" w:rsidRDefault="00AD6399" w:rsidP="00AD6399">
      <w:pPr>
        <w:snapToGrid w:val="0"/>
        <w:spacing w:after="120" w:line="276" w:lineRule="auto"/>
        <w:ind w:firstLine="709"/>
        <w:jc w:val="both"/>
        <w:rPr>
          <w:rFonts w:ascii="Verdana" w:eastAsia="Calibri" w:hAnsi="Verdana" w:cs="Arial"/>
          <w:color w:val="000000"/>
          <w:sz w:val="21"/>
          <w:szCs w:val="21"/>
          <w:lang w:val="es-MX" w:eastAsia="es-ES_tradnl"/>
        </w:rPr>
      </w:pPr>
      <w:r w:rsidRPr="00F67D88">
        <w:rPr>
          <w:rFonts w:ascii="Verdana" w:eastAsia="Calibri" w:hAnsi="Verdana" w:cs="Arial"/>
          <w:bCs/>
          <w:color w:val="000000"/>
          <w:lang w:eastAsia="es-ES_tradnl"/>
        </w:rPr>
        <w:t>En relación con el primer aspecto, sobre la determinación de la capacidad residual del proceso de contratación “CRPC”, debe determinarse si el plazo del contrato es superior a doce meses. Si no lo es, la CRPC equivale al presupuesto oficial estimado del Proceso de Contratación menos el anticipo o pago anticipado cuando haya lugar. Si lo es, equivale a la proporción lineal de 12 meses del presupuesto oficial estimado menos el anticipo o pago anticipado.</w:t>
      </w:r>
    </w:p>
    <w:p w14:paraId="2FA2C58D" w14:textId="77777777" w:rsidR="00AD6399" w:rsidRPr="006A22ED" w:rsidRDefault="00AD6399" w:rsidP="00AD6399">
      <w:pPr>
        <w:snapToGrid w:val="0"/>
        <w:spacing w:after="120" w:line="276" w:lineRule="auto"/>
        <w:ind w:firstLine="709"/>
        <w:jc w:val="both"/>
        <w:rPr>
          <w:rFonts w:ascii="Verdana" w:eastAsia="Calibri" w:hAnsi="Verdana" w:cs="Arial"/>
          <w:color w:val="000000"/>
          <w:sz w:val="21"/>
          <w:szCs w:val="21"/>
          <w:lang w:val="es-MX" w:eastAsia="es-ES_tradnl"/>
        </w:rPr>
      </w:pPr>
      <w:r w:rsidRPr="00F67D88">
        <w:rPr>
          <w:rFonts w:ascii="Verdana" w:eastAsia="Calibri" w:hAnsi="Verdana" w:cs="Arial"/>
          <w:bCs/>
          <w:color w:val="000000"/>
          <w:lang w:eastAsia="es-ES_tradnl"/>
        </w:rPr>
        <w:t xml:space="preserve">En cuanto al segundo aspecto, sobre la validación de </w:t>
      </w:r>
      <w:bookmarkStart w:id="3" w:name="_Hlk68683272"/>
      <w:r w:rsidRPr="00F67D88">
        <w:rPr>
          <w:rFonts w:ascii="Verdana" w:eastAsia="Calibri" w:hAnsi="Verdana" w:cs="Arial"/>
          <w:bCs/>
          <w:color w:val="000000"/>
          <w:lang w:eastAsia="es-ES_tradnl"/>
        </w:rPr>
        <w:t>que cada proponente cumpla con la CRPC</w:t>
      </w:r>
      <w:bookmarkEnd w:id="3"/>
      <w:r w:rsidRPr="00F67D88">
        <w:rPr>
          <w:rFonts w:ascii="Verdana" w:eastAsia="Calibri" w:hAnsi="Verdana" w:cs="Arial"/>
          <w:bCs/>
          <w:color w:val="000000"/>
          <w:lang w:eastAsia="es-ES_tradnl"/>
        </w:rPr>
        <w:t xml:space="preserve">, la entidad pública debe verificar que la capacidad residual del proponente “CRP” sea igual o superior a la capacidad referida en el párrafo precedente. De todas formas, previamente debe establecer la CRP, con fundamento en los siguientes factores: i) experiencia “E”; </w:t>
      </w:r>
      <w:proofErr w:type="spellStart"/>
      <w:r w:rsidRPr="00F67D88">
        <w:rPr>
          <w:rFonts w:ascii="Verdana" w:eastAsia="Calibri" w:hAnsi="Verdana" w:cs="Arial"/>
          <w:bCs/>
          <w:color w:val="000000"/>
          <w:lang w:eastAsia="es-ES_tradnl"/>
        </w:rPr>
        <w:t>ii</w:t>
      </w:r>
      <w:proofErr w:type="spellEnd"/>
      <w:r w:rsidRPr="00F67D88">
        <w:rPr>
          <w:rFonts w:ascii="Verdana" w:eastAsia="Calibri" w:hAnsi="Verdana" w:cs="Arial"/>
          <w:bCs/>
          <w:color w:val="000000"/>
          <w:lang w:eastAsia="es-ES_tradnl"/>
        </w:rPr>
        <w:t xml:space="preserve">) capacidad financiera “CF”; </w:t>
      </w:r>
      <w:proofErr w:type="spellStart"/>
      <w:r w:rsidRPr="00F67D88">
        <w:rPr>
          <w:rFonts w:ascii="Verdana" w:eastAsia="Calibri" w:hAnsi="Verdana" w:cs="Arial"/>
          <w:bCs/>
          <w:color w:val="000000"/>
          <w:lang w:eastAsia="es-ES_tradnl"/>
        </w:rPr>
        <w:t>iii</w:t>
      </w:r>
      <w:proofErr w:type="spellEnd"/>
      <w:r w:rsidRPr="00F67D88">
        <w:rPr>
          <w:rFonts w:ascii="Verdana" w:eastAsia="Calibri" w:hAnsi="Verdana" w:cs="Arial"/>
          <w:bCs/>
          <w:color w:val="000000"/>
          <w:lang w:eastAsia="es-ES_tradnl"/>
        </w:rPr>
        <w:t xml:space="preserve">) capacidad técnica “CT”, </w:t>
      </w:r>
      <w:proofErr w:type="spellStart"/>
      <w:r w:rsidRPr="00F67D88">
        <w:rPr>
          <w:rFonts w:ascii="Verdana" w:eastAsia="Calibri" w:hAnsi="Verdana" w:cs="Arial"/>
          <w:bCs/>
          <w:color w:val="000000"/>
          <w:lang w:eastAsia="es-ES_tradnl"/>
        </w:rPr>
        <w:t>iv</w:t>
      </w:r>
      <w:proofErr w:type="spellEnd"/>
      <w:r w:rsidRPr="00F67D88">
        <w:rPr>
          <w:rFonts w:ascii="Verdana" w:eastAsia="Calibri" w:hAnsi="Verdana" w:cs="Arial"/>
          <w:bCs/>
          <w:color w:val="000000"/>
          <w:lang w:eastAsia="es-ES_tradnl"/>
        </w:rPr>
        <w:t>) capacidad de organización “CO”; y v) los saldos de los contratos en ejecución “SCE”, según la siguiente formula:</w:t>
      </w:r>
    </w:p>
    <w:p w14:paraId="128188FE" w14:textId="77777777" w:rsidR="00AD6399" w:rsidRPr="00F67D88" w:rsidRDefault="00AD6399" w:rsidP="00AD6399">
      <w:pPr>
        <w:spacing w:after="0" w:line="276" w:lineRule="auto"/>
        <w:ind w:left="720"/>
        <w:contextualSpacing/>
        <w:jc w:val="both"/>
        <w:rPr>
          <w:rFonts w:ascii="Verdana" w:eastAsia="Calibri" w:hAnsi="Verdana" w:cs="Arial"/>
          <w:bCs/>
          <w:color w:val="000000"/>
          <w:lang w:eastAsia="es-ES_tradnl"/>
        </w:rPr>
      </w:pPr>
    </w:p>
    <w:p w14:paraId="0E7138CA" w14:textId="77777777" w:rsidR="00AD6399" w:rsidRPr="00F67D88" w:rsidRDefault="00AD6399" w:rsidP="00AD6399">
      <w:pPr>
        <w:spacing w:after="0" w:line="276" w:lineRule="auto"/>
        <w:ind w:firstLine="709"/>
        <w:jc w:val="center"/>
        <w:rPr>
          <w:rFonts w:ascii="Verdana" w:eastAsia="Calibri" w:hAnsi="Verdana" w:cs="Arial"/>
          <w:bCs/>
          <w:color w:val="000000"/>
          <w:sz w:val="24"/>
          <w:szCs w:val="24"/>
          <w:lang w:eastAsia="es-ES_tradnl"/>
        </w:rPr>
      </w:pPr>
      <w:r w:rsidRPr="00F67D88">
        <w:rPr>
          <w:rFonts w:ascii="Verdana" w:eastAsia="Calibri" w:hAnsi="Verdana" w:cs="Arial"/>
          <w:bCs/>
          <w:noProof/>
          <w:color w:val="000000"/>
          <w:sz w:val="24"/>
          <w:szCs w:val="24"/>
          <w:lang w:eastAsia="es-ES_tradnl"/>
        </w:rPr>
        <w:drawing>
          <wp:inline distT="0" distB="0" distL="0" distR="0" wp14:anchorId="15DAFDD9" wp14:editId="0D492AC1">
            <wp:extent cx="2600344" cy="381003"/>
            <wp:effectExtent l="0" t="0" r="0" b="0"/>
            <wp:docPr id="32159840" name="Imagen 1"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59840" name="Imagen 1" descr="Imagen que contiene Texto&#10;&#10;El contenido generado por IA puede ser incorrecto."/>
                    <pic:cNvPicPr/>
                  </pic:nvPicPr>
                  <pic:blipFill>
                    <a:blip r:embed="rId11"/>
                    <a:stretch>
                      <a:fillRect/>
                    </a:stretch>
                  </pic:blipFill>
                  <pic:spPr>
                    <a:xfrm>
                      <a:off x="0" y="0"/>
                      <a:ext cx="2600344" cy="381003"/>
                    </a:xfrm>
                    <a:prstGeom prst="rect">
                      <a:avLst/>
                    </a:prstGeom>
                  </pic:spPr>
                </pic:pic>
              </a:graphicData>
            </a:graphic>
          </wp:inline>
        </w:drawing>
      </w:r>
    </w:p>
    <w:p w14:paraId="289C5FEC" w14:textId="77777777" w:rsidR="00AD6399" w:rsidRPr="00F67D88" w:rsidRDefault="00AD6399" w:rsidP="00AD6399">
      <w:pPr>
        <w:spacing w:after="0" w:line="276" w:lineRule="auto"/>
        <w:ind w:left="708" w:hanging="708"/>
        <w:jc w:val="both"/>
        <w:rPr>
          <w:rFonts w:ascii="Verdana" w:eastAsia="Calibri" w:hAnsi="Verdana" w:cs="Arial"/>
          <w:bCs/>
          <w:color w:val="000000"/>
          <w:sz w:val="24"/>
          <w:szCs w:val="24"/>
          <w:lang w:val="es-MX" w:eastAsia="es-ES_tradnl"/>
        </w:rPr>
      </w:pPr>
    </w:p>
    <w:p w14:paraId="12189F9A" w14:textId="77777777" w:rsidR="00AD6399" w:rsidRPr="00F67D88" w:rsidRDefault="00AD6399" w:rsidP="00AD6399">
      <w:pPr>
        <w:spacing w:after="0" w:line="276" w:lineRule="auto"/>
        <w:ind w:firstLine="708"/>
        <w:contextualSpacing/>
        <w:jc w:val="both"/>
        <w:rPr>
          <w:rFonts w:ascii="Verdana" w:eastAsia="Calibri" w:hAnsi="Verdana" w:cs="Arial"/>
          <w:bCs/>
          <w:color w:val="000000"/>
          <w:lang w:eastAsia="es-ES_tradnl"/>
        </w:rPr>
      </w:pPr>
      <w:r w:rsidRPr="00F67D88">
        <w:rPr>
          <w:rFonts w:ascii="Verdana" w:eastAsia="Calibri" w:hAnsi="Verdana" w:cs="Arial"/>
          <w:bCs/>
          <w:color w:val="000000"/>
          <w:lang w:eastAsia="es-ES_tradnl"/>
        </w:rPr>
        <w:t xml:space="preserve">Particularmente, </w:t>
      </w:r>
      <w:bookmarkStart w:id="4" w:name="_Hlk100139879"/>
      <w:r w:rsidRPr="00F67D88">
        <w:rPr>
          <w:rFonts w:ascii="Verdana" w:eastAsia="Calibri" w:hAnsi="Verdana" w:cs="Arial"/>
          <w:bCs/>
          <w:color w:val="000000"/>
          <w:lang w:eastAsia="es-ES_tradnl"/>
        </w:rPr>
        <w:t>respecto del factor de saldos de los contratos en ejecución “SCE”, es necesario tener en cuenta que la Guía para Determinar y Verificar la Capacidad Residual del Proponente en los Procesos de Contratación de Obra Pública, define a este factor como “</w:t>
      </w:r>
      <w:bookmarkEnd w:id="4"/>
      <w:r w:rsidRPr="00F67D88">
        <w:rPr>
          <w:rFonts w:ascii="Verdana" w:eastAsia="Calibri" w:hAnsi="Verdana" w:cs="Arial"/>
          <w:bCs/>
          <w:color w:val="000000"/>
          <w:lang w:eastAsia="es-ES_tradnl"/>
        </w:rPr>
        <w:t xml:space="preserve">la sumatoria de los saldos de los Contratos en Ejecución que tienen por ejecutar un período inferior a 360 días, es decir, 12 meses. Si el número de días por ejecutar un contrato es superior a 360 días, es decir 12 meses, el saldo del Contrato en Ejecución sólo tendrá en cuenta la proporción lineal de 12 meses”. Así mismo, define los </w:t>
      </w:r>
      <w:bookmarkStart w:id="5" w:name="_Hlk78819022"/>
      <w:r w:rsidRPr="00F67D88">
        <w:rPr>
          <w:rFonts w:ascii="Verdana" w:eastAsia="Calibri" w:hAnsi="Verdana" w:cs="Arial"/>
          <w:bCs/>
          <w:color w:val="000000"/>
          <w:lang w:eastAsia="es-ES_tradnl"/>
        </w:rPr>
        <w:t xml:space="preserve">Contratos en Ejecución </w:t>
      </w:r>
      <w:bookmarkEnd w:id="5"/>
      <w:r w:rsidRPr="00F67D88">
        <w:rPr>
          <w:rFonts w:ascii="Verdana" w:eastAsia="Calibri" w:hAnsi="Verdana" w:cs="Arial"/>
          <w:bCs/>
          <w:color w:val="000000"/>
          <w:lang w:eastAsia="es-ES_tradnl"/>
        </w:rPr>
        <w:t xml:space="preserve">de la siguiente manera:  </w:t>
      </w:r>
    </w:p>
    <w:p w14:paraId="55AF99A1" w14:textId="77777777" w:rsidR="00AD6399" w:rsidRPr="00F67D88" w:rsidRDefault="00AD6399" w:rsidP="00AD6399">
      <w:pPr>
        <w:spacing w:after="0" w:line="276" w:lineRule="auto"/>
        <w:ind w:firstLine="709"/>
        <w:jc w:val="both"/>
        <w:rPr>
          <w:rFonts w:ascii="Verdana" w:eastAsia="Times New Roman" w:hAnsi="Verdana" w:cs="Arial"/>
          <w:sz w:val="24"/>
          <w:szCs w:val="24"/>
          <w:lang w:eastAsia="es-ES_tradnl"/>
        </w:rPr>
      </w:pPr>
    </w:p>
    <w:p w14:paraId="4CA5A8A7" w14:textId="77777777" w:rsidR="00AD6399" w:rsidRPr="00F67D88" w:rsidRDefault="00AD6399" w:rsidP="00AD6399">
      <w:pPr>
        <w:spacing w:after="120" w:line="240" w:lineRule="auto"/>
        <w:ind w:left="709" w:right="709"/>
        <w:jc w:val="both"/>
        <w:rPr>
          <w:rFonts w:ascii="Verdana" w:eastAsia="Times New Roman" w:hAnsi="Verdana" w:cs="Arial"/>
          <w:sz w:val="21"/>
          <w:szCs w:val="21"/>
          <w:lang w:eastAsia="es-ES_tradnl"/>
        </w:rPr>
      </w:pPr>
      <w:r w:rsidRPr="00F67D88">
        <w:rPr>
          <w:rFonts w:ascii="Verdana" w:eastAsia="Times New Roman" w:hAnsi="Verdana" w:cs="Arial"/>
          <w:sz w:val="21"/>
          <w:szCs w:val="21"/>
          <w:lang w:eastAsia="es-ES_tradnl"/>
        </w:rPr>
        <w:t xml:space="preserve">“Son los contratos que a la fecha de presentación de la oferta obligan al proponente con Entidades Estatales y con entidades privadas para ejecutar obras civiles, incluyendo la ejecución de obras civiles en los contratos de concesión y los contratos de obra suscritos con concesionarios, incluyendo los contratos que se encuentren suspendidos y aquellos que no tengan acta de inicio.   </w:t>
      </w:r>
    </w:p>
    <w:p w14:paraId="0A43EF7B" w14:textId="77777777" w:rsidR="00AD6399" w:rsidRPr="00F67D88" w:rsidRDefault="00AD6399" w:rsidP="00AD6399">
      <w:pPr>
        <w:spacing w:after="0" w:line="240" w:lineRule="auto"/>
        <w:ind w:left="709" w:right="709"/>
        <w:jc w:val="both"/>
        <w:rPr>
          <w:rFonts w:ascii="Verdana" w:eastAsia="Times New Roman" w:hAnsi="Verdana" w:cs="Arial"/>
          <w:sz w:val="21"/>
          <w:szCs w:val="21"/>
          <w:lang w:eastAsia="es-ES_tradnl"/>
        </w:rPr>
      </w:pPr>
      <w:r w:rsidRPr="00F67D88">
        <w:rPr>
          <w:rFonts w:ascii="Verdana" w:eastAsia="Times New Roman" w:hAnsi="Verdana" w:cs="Arial"/>
          <w:sz w:val="21"/>
          <w:szCs w:val="21"/>
          <w:lang w:eastAsia="es-ES_tradnl"/>
        </w:rPr>
        <w:lastRenderedPageBreak/>
        <w:t>No se entenderá como Contratos en Ejecución los que se encuentren en etapa de liquidación o ya fueron liquidados.”.</w:t>
      </w:r>
    </w:p>
    <w:p w14:paraId="6B46E8DE" w14:textId="77777777" w:rsidR="00AD6399" w:rsidRPr="00F67D88" w:rsidRDefault="00AD6399" w:rsidP="00AD6399">
      <w:pPr>
        <w:spacing w:after="0" w:line="276" w:lineRule="auto"/>
        <w:ind w:right="709"/>
        <w:jc w:val="both"/>
        <w:rPr>
          <w:rFonts w:ascii="Verdana" w:eastAsia="Times New Roman" w:hAnsi="Verdana" w:cs="Arial"/>
          <w:sz w:val="24"/>
          <w:szCs w:val="24"/>
          <w:lang w:eastAsia="es-ES_tradnl"/>
        </w:rPr>
      </w:pPr>
    </w:p>
    <w:p w14:paraId="1A608CC7" w14:textId="77777777" w:rsidR="00AD6399" w:rsidRPr="00F67D88" w:rsidRDefault="00AD6399" w:rsidP="00AD6399">
      <w:pPr>
        <w:spacing w:after="0" w:line="276" w:lineRule="auto"/>
        <w:ind w:firstLine="708"/>
        <w:jc w:val="both"/>
        <w:rPr>
          <w:rFonts w:ascii="Verdana" w:eastAsia="Times New Roman" w:hAnsi="Verdana" w:cs="Arial"/>
          <w:lang w:val="es-MX" w:eastAsia="es-ES_tradnl"/>
        </w:rPr>
      </w:pPr>
      <w:bookmarkStart w:id="6" w:name="_Hlk100139912"/>
      <w:bookmarkStart w:id="7" w:name="_Hlk103609030"/>
      <w:r w:rsidRPr="00F67D88">
        <w:rPr>
          <w:rFonts w:ascii="Verdana" w:eastAsia="Times New Roman" w:hAnsi="Verdana" w:cs="Arial"/>
          <w:lang w:eastAsia="es-ES_tradnl"/>
        </w:rPr>
        <w:t>En este sentido, los saldos pendientes se derivan de las obligaciones que se encuentran en ejecución al momento de la presentación de la oferta y se refieren a contratos cuyo objeto sea la ejecución de obras civiles</w:t>
      </w:r>
      <w:bookmarkEnd w:id="6"/>
      <w:r w:rsidRPr="00F67D88">
        <w:rPr>
          <w:rFonts w:ascii="Verdana" w:eastAsia="Times New Roman" w:hAnsi="Verdana" w:cs="Arial"/>
          <w:lang w:eastAsia="es-ES_tradnl"/>
        </w:rPr>
        <w:t xml:space="preserve">. </w:t>
      </w:r>
      <w:bookmarkStart w:id="8" w:name="_Hlk100139986"/>
      <w:r w:rsidRPr="00F67D88">
        <w:rPr>
          <w:rFonts w:ascii="Verdana" w:eastAsia="Times New Roman" w:hAnsi="Verdana" w:cs="Arial"/>
          <w:lang w:eastAsia="es-ES_tradnl"/>
        </w:rPr>
        <w:t xml:space="preserve">Se aclara que deben tenerse en cuenta los contratos sin acta de inicio, pues el criterio determinante para establecer si un contrato se encuentra en ejecución no lo determina el acta, sino que el mismo contrato obligue al proponente, tal como se establece en la Guía indicada. Además, los saldos pendientes por ejecutar de los contratos afectados por una suspensión constituyen, también, información relevante para calcular la capacidad residual del proponente </w:t>
      </w:r>
      <w:r w:rsidRPr="00F67D88">
        <w:rPr>
          <w:rFonts w:ascii="Verdana" w:eastAsia="Calibri" w:hAnsi="Verdana" w:cs="Arial"/>
          <w:b/>
          <w:color w:val="000000"/>
          <w:lang w:eastAsia="es-ES_tradnl"/>
        </w:rPr>
        <w:t>“</w:t>
      </w:r>
      <w:r w:rsidRPr="00F67D88">
        <w:rPr>
          <w:rFonts w:ascii="Verdana" w:eastAsia="Calibri" w:hAnsi="Verdana" w:cs="Arial"/>
          <w:bCs/>
          <w:color w:val="000000"/>
          <w:lang w:eastAsia="es-ES_tradnl"/>
        </w:rPr>
        <w:t>CRP</w:t>
      </w:r>
      <w:r w:rsidRPr="00F67D88">
        <w:rPr>
          <w:rFonts w:ascii="Verdana" w:eastAsia="Calibri" w:hAnsi="Verdana" w:cs="Arial"/>
          <w:b/>
          <w:color w:val="000000"/>
          <w:lang w:eastAsia="es-ES_tradnl"/>
        </w:rPr>
        <w:t>”</w:t>
      </w:r>
      <w:r w:rsidRPr="00F67D88">
        <w:rPr>
          <w:rFonts w:ascii="Verdana" w:eastAsia="Times New Roman" w:hAnsi="Verdana" w:cs="Arial"/>
          <w:lang w:eastAsia="es-ES_tradnl"/>
        </w:rPr>
        <w:t>. Lo anterior, en la medida en que la ejecución de los contratos en principio suspendidos puede, eventualmente, afectar la aptitud del oferente para cumplir con el contrato ofertado, razón por la que, ante la posibilidad de que tales contratos se reanuden, la Guía estimó necesario evaluar los saldos pendientes por ejecutar de tales contratos para determinar si el proponente cumple con la capacidad residual requerida</w:t>
      </w:r>
      <w:bookmarkEnd w:id="7"/>
      <w:bookmarkEnd w:id="8"/>
      <w:r w:rsidRPr="00F67D88">
        <w:rPr>
          <w:rFonts w:ascii="Verdana" w:eastAsia="Times New Roman" w:hAnsi="Verdana" w:cs="Arial"/>
          <w:lang w:eastAsia="es-ES_tradnl"/>
        </w:rPr>
        <w:t xml:space="preserve">. </w:t>
      </w:r>
      <w:r w:rsidRPr="00F67D88">
        <w:rPr>
          <w:rFonts w:ascii="Verdana" w:eastAsia="Times New Roman" w:hAnsi="Verdana" w:cs="Arial"/>
          <w:lang w:val="es-MX" w:eastAsia="es-ES_tradnl"/>
        </w:rPr>
        <w:t>Por lo demás, en dicha guía también se precisa que:</w:t>
      </w:r>
    </w:p>
    <w:p w14:paraId="05057900" w14:textId="77777777" w:rsidR="00AD6399" w:rsidRPr="00F67D88" w:rsidRDefault="00AD6399" w:rsidP="00AD6399">
      <w:pPr>
        <w:spacing w:after="0" w:line="276" w:lineRule="auto"/>
        <w:ind w:firstLine="709"/>
        <w:jc w:val="both"/>
        <w:rPr>
          <w:rFonts w:ascii="Verdana" w:eastAsia="Times New Roman" w:hAnsi="Verdana" w:cs="Arial"/>
          <w:sz w:val="24"/>
          <w:szCs w:val="20"/>
          <w:lang w:val="es-MX" w:eastAsia="es-ES_tradnl"/>
        </w:rPr>
      </w:pPr>
    </w:p>
    <w:p w14:paraId="3DFFAC26" w14:textId="77777777" w:rsidR="00AD6399" w:rsidRPr="00F67D88" w:rsidRDefault="00AD6399" w:rsidP="00AD6399">
      <w:pPr>
        <w:spacing w:after="0" w:line="240" w:lineRule="auto"/>
        <w:ind w:left="709" w:right="709"/>
        <w:jc w:val="both"/>
        <w:rPr>
          <w:rFonts w:ascii="Verdana" w:eastAsia="Times New Roman" w:hAnsi="Verdana" w:cs="Arial"/>
          <w:sz w:val="21"/>
          <w:szCs w:val="21"/>
          <w:lang w:eastAsia="es-ES_tradnl"/>
        </w:rPr>
      </w:pPr>
      <w:bookmarkStart w:id="9" w:name="_Hlk100140013"/>
      <w:r w:rsidRPr="00F67D88">
        <w:rPr>
          <w:rFonts w:ascii="Verdana" w:eastAsia="Times New Roman" w:hAnsi="Verdana" w:cs="Arial"/>
          <w:sz w:val="21"/>
          <w:szCs w:val="21"/>
          <w:lang w:eastAsia="es-ES_tradnl"/>
        </w:rPr>
        <w:t>El cálculo del Saldo de los Contratos en Ejecución debe hacerse linealmente calculando una ejecución diaria equivalente al valor del contrato dividido por el plazo del contrato y si el contrato es ejecutado por una estructura plural por la participación del proponente en el respectivo contratista. Si el número de días por ejecutar en un contrato es superior a 12 meses, es decir 360 días, el Saldo del Contrato en Ejecución (SCE) solo tendrá en cuenta la proporción lineal de 12 meses</w:t>
      </w:r>
      <w:bookmarkEnd w:id="9"/>
      <w:r w:rsidRPr="00F67D88">
        <w:rPr>
          <w:rFonts w:ascii="Verdana" w:eastAsia="Times New Roman" w:hAnsi="Verdana" w:cs="Arial"/>
          <w:sz w:val="21"/>
          <w:szCs w:val="21"/>
          <w:lang w:eastAsia="es-ES_tradnl"/>
        </w:rPr>
        <w:t>.</w:t>
      </w:r>
    </w:p>
    <w:p w14:paraId="147BFBA8" w14:textId="77777777" w:rsidR="00AD6399" w:rsidRPr="00F67D88" w:rsidRDefault="00AD6399" w:rsidP="00AD6399">
      <w:pPr>
        <w:spacing w:after="120" w:line="240" w:lineRule="auto"/>
        <w:ind w:left="709" w:right="709"/>
        <w:jc w:val="both"/>
        <w:rPr>
          <w:rFonts w:ascii="Verdana" w:eastAsia="Times New Roman" w:hAnsi="Verdana" w:cs="Arial"/>
          <w:sz w:val="21"/>
          <w:szCs w:val="21"/>
          <w:lang w:val="es-MX" w:eastAsia="es-ES_tradnl"/>
        </w:rPr>
      </w:pPr>
      <w:r w:rsidRPr="00F67D88">
        <w:rPr>
          <w:rFonts w:ascii="Verdana" w:eastAsia="Times New Roman" w:hAnsi="Verdana" w:cs="Arial"/>
          <w:sz w:val="21"/>
          <w:szCs w:val="21"/>
          <w:lang w:val="es-MX" w:eastAsia="es-ES_tradnl"/>
        </w:rPr>
        <w:t>[…]</w:t>
      </w:r>
    </w:p>
    <w:p w14:paraId="73722B4D" w14:textId="77777777" w:rsidR="00AD6399" w:rsidRPr="00F67D88" w:rsidRDefault="00AD6399" w:rsidP="00AD6399">
      <w:pPr>
        <w:spacing w:after="0" w:line="240" w:lineRule="auto"/>
        <w:ind w:left="709" w:right="709"/>
        <w:jc w:val="both"/>
        <w:rPr>
          <w:rFonts w:ascii="Verdana" w:eastAsia="Times New Roman" w:hAnsi="Verdana" w:cs="Arial"/>
          <w:sz w:val="21"/>
          <w:szCs w:val="21"/>
          <w:lang w:eastAsia="es-ES_tradnl"/>
        </w:rPr>
      </w:pPr>
      <w:r w:rsidRPr="00F67D88">
        <w:rPr>
          <w:rFonts w:ascii="Verdana" w:eastAsia="Times New Roman" w:hAnsi="Verdana" w:cs="Arial"/>
          <w:i/>
          <w:iCs/>
          <w:sz w:val="21"/>
          <w:szCs w:val="21"/>
          <w:lang w:eastAsia="es-ES_tradnl"/>
        </w:rPr>
        <w:t>Si un contrato se encuentra suspendido, el cálculo del Saldo del Contrato en Ejecución (SCE) de dicho contrato debe calcularse asumiendo que lo que falta por ejecutar empezará a ejecutarse en la fecha de la presentación de la oferta del Proceso de Contratación</w:t>
      </w:r>
      <w:r w:rsidRPr="00F67D88">
        <w:rPr>
          <w:rFonts w:ascii="Verdana" w:eastAsia="Times New Roman" w:hAnsi="Verdana" w:cs="Arial"/>
          <w:sz w:val="21"/>
          <w:szCs w:val="21"/>
          <w:lang w:eastAsia="es-ES_tradnl"/>
        </w:rPr>
        <w:t>. (Énfasis fuera de texto)</w:t>
      </w:r>
    </w:p>
    <w:p w14:paraId="7DF42FEA" w14:textId="77777777" w:rsidR="00AD6399" w:rsidRPr="00F67D88" w:rsidRDefault="00AD6399" w:rsidP="00AD6399">
      <w:pPr>
        <w:spacing w:after="0" w:line="276" w:lineRule="auto"/>
        <w:ind w:firstLine="709"/>
        <w:jc w:val="both"/>
        <w:rPr>
          <w:rFonts w:ascii="Verdana" w:eastAsia="Times New Roman" w:hAnsi="Verdana" w:cs="Arial"/>
          <w:sz w:val="24"/>
          <w:szCs w:val="24"/>
          <w:lang w:eastAsia="es-ES_tradnl"/>
        </w:rPr>
      </w:pPr>
    </w:p>
    <w:p w14:paraId="1BDF2975" w14:textId="77777777" w:rsidR="00AD6399" w:rsidRDefault="00AD6399" w:rsidP="00AD6399">
      <w:pPr>
        <w:snapToGrid w:val="0"/>
        <w:spacing w:after="120" w:line="276" w:lineRule="auto"/>
        <w:ind w:firstLine="709"/>
        <w:jc w:val="both"/>
        <w:rPr>
          <w:rFonts w:ascii="Verdana" w:eastAsia="Times New Roman" w:hAnsi="Verdana" w:cs="Arial"/>
          <w:lang w:eastAsia="es-ES_tradnl"/>
        </w:rPr>
      </w:pPr>
      <w:r w:rsidRPr="00F67D88">
        <w:rPr>
          <w:rFonts w:ascii="Verdana" w:eastAsia="Times New Roman" w:hAnsi="Verdana" w:cs="Arial"/>
          <w:lang w:eastAsia="es-ES_tradnl"/>
        </w:rPr>
        <w:t xml:space="preserve">De este modo, para acreditar el factor saldos de los contratos en ejecución “SCE”,  como lo establece la Guía, el proponente debe presentar la lista de contratos de obras civiles en ejecución, tanto a nivel nacional como internacional señalando: i) el valor del contrato; </w:t>
      </w:r>
      <w:proofErr w:type="spellStart"/>
      <w:r w:rsidRPr="00F67D88">
        <w:rPr>
          <w:rFonts w:ascii="Verdana" w:eastAsia="Times New Roman" w:hAnsi="Verdana" w:cs="Arial"/>
          <w:lang w:eastAsia="es-ES_tradnl"/>
        </w:rPr>
        <w:t>ii</w:t>
      </w:r>
      <w:proofErr w:type="spellEnd"/>
      <w:r w:rsidRPr="00F67D88">
        <w:rPr>
          <w:rFonts w:ascii="Verdana" w:eastAsia="Times New Roman" w:hAnsi="Verdana" w:cs="Arial"/>
          <w:lang w:eastAsia="es-ES_tradnl"/>
        </w:rPr>
        <w:t xml:space="preserve">) el plazo del contrato en meses; </w:t>
      </w:r>
      <w:proofErr w:type="spellStart"/>
      <w:r w:rsidRPr="00F67D88">
        <w:rPr>
          <w:rFonts w:ascii="Verdana" w:eastAsia="Times New Roman" w:hAnsi="Verdana" w:cs="Arial"/>
          <w:lang w:eastAsia="es-ES_tradnl"/>
        </w:rPr>
        <w:t>iii</w:t>
      </w:r>
      <w:proofErr w:type="spellEnd"/>
      <w:r w:rsidRPr="00F67D88">
        <w:rPr>
          <w:rFonts w:ascii="Verdana" w:eastAsia="Times New Roman" w:hAnsi="Verdana" w:cs="Arial"/>
          <w:lang w:eastAsia="es-ES_tradnl"/>
        </w:rPr>
        <w:t xml:space="preserve">) la fecha </w:t>
      </w:r>
      <w:r w:rsidRPr="00F67D88">
        <w:rPr>
          <w:rFonts w:ascii="Verdana" w:eastAsia="Times New Roman" w:hAnsi="Verdana" w:cs="Arial"/>
          <w:lang w:eastAsia="es-ES_tradnl"/>
        </w:rPr>
        <w:lastRenderedPageBreak/>
        <w:t xml:space="preserve">de inicio de las obras objeto del contrato (día, mes, año); </w:t>
      </w:r>
      <w:proofErr w:type="spellStart"/>
      <w:r w:rsidRPr="00F67D88">
        <w:rPr>
          <w:rFonts w:ascii="Verdana" w:eastAsia="Times New Roman" w:hAnsi="Verdana" w:cs="Arial"/>
          <w:lang w:eastAsia="es-ES_tradnl"/>
        </w:rPr>
        <w:t>iv</w:t>
      </w:r>
      <w:proofErr w:type="spellEnd"/>
      <w:r w:rsidRPr="00F67D88">
        <w:rPr>
          <w:rFonts w:ascii="Verdana" w:eastAsia="Times New Roman" w:hAnsi="Verdana" w:cs="Arial"/>
          <w:lang w:eastAsia="es-ES_tradnl"/>
        </w:rPr>
        <w:t xml:space="preserve">) si la obra la ejecuta un consorcio, unión temporal, el porcentaje de participación del oferente que presenta el certificado; v) si el contrato se encuentra suspendido, y si es así, la fecha de suspensión. En toda caso, si el contrato está suspendido el proponente debe informar el saldo pendiente por ejecutar. Si el proponente no tiene contratos en ejecución, en el certificado debe constar expresamente esa circunstancia. </w:t>
      </w:r>
    </w:p>
    <w:p w14:paraId="5B46344F" w14:textId="77777777" w:rsidR="00AD6399" w:rsidRPr="00F67D88" w:rsidRDefault="00AD6399" w:rsidP="00AD6399">
      <w:pPr>
        <w:snapToGrid w:val="0"/>
        <w:spacing w:after="120" w:line="276" w:lineRule="auto"/>
        <w:ind w:firstLine="709"/>
        <w:jc w:val="both"/>
        <w:rPr>
          <w:rFonts w:ascii="Verdana" w:eastAsia="Times New Roman" w:hAnsi="Verdana" w:cs="Arial"/>
          <w:lang w:eastAsia="es-ES_tradnl"/>
        </w:rPr>
      </w:pPr>
      <w:r w:rsidRPr="00F67D88">
        <w:rPr>
          <w:rFonts w:ascii="Verdana" w:eastAsia="Times New Roman" w:hAnsi="Verdana" w:cs="Arial"/>
          <w:lang w:eastAsia="es-ES_tradnl"/>
        </w:rPr>
        <w:t xml:space="preserve">En concordancia con lo anterior, sobre la acreditación del factor “SCE” en los documentos tipo de licitación de obra pública para infraestructura de transporte – versión 4, </w:t>
      </w:r>
      <w:bookmarkStart w:id="10" w:name="_Hlk100140108"/>
      <w:r w:rsidRPr="00F67D88">
        <w:rPr>
          <w:rFonts w:ascii="Verdana" w:eastAsia="Times New Roman" w:hAnsi="Verdana" w:cs="Arial"/>
          <w:lang w:eastAsia="es-ES_tradnl"/>
        </w:rPr>
        <w:t>el literal E del numeral 3.11.2 del documento base</w:t>
      </w:r>
      <w:bookmarkEnd w:id="10"/>
      <w:r w:rsidRPr="00F67D88">
        <w:rPr>
          <w:rFonts w:ascii="Verdana" w:eastAsia="Times New Roman" w:hAnsi="Verdana" w:cs="Arial"/>
          <w:lang w:eastAsia="es-ES_tradnl"/>
        </w:rPr>
        <w:t xml:space="preserve"> señala lo siguiente:</w:t>
      </w:r>
    </w:p>
    <w:p w14:paraId="2F51AD7E" w14:textId="77777777" w:rsidR="00AD6399" w:rsidRPr="00F67D88" w:rsidRDefault="00AD6399" w:rsidP="00AD6399">
      <w:pPr>
        <w:spacing w:after="0" w:line="276" w:lineRule="auto"/>
        <w:ind w:firstLine="709"/>
        <w:jc w:val="both"/>
        <w:rPr>
          <w:rFonts w:ascii="Verdana" w:eastAsia="Times New Roman" w:hAnsi="Verdana" w:cs="Arial"/>
          <w:lang w:eastAsia="es-ES_tradnl"/>
        </w:rPr>
      </w:pPr>
    </w:p>
    <w:p w14:paraId="6B7978BD" w14:textId="77777777" w:rsidR="00AD6399" w:rsidRPr="006A22ED" w:rsidRDefault="00AD6399" w:rsidP="00AD6399">
      <w:pPr>
        <w:spacing w:after="120" w:line="240" w:lineRule="auto"/>
        <w:ind w:left="709" w:right="709"/>
        <w:jc w:val="both"/>
        <w:rPr>
          <w:rFonts w:ascii="Verdana" w:eastAsia="Times New Roman" w:hAnsi="Verdana" w:cs="Arial"/>
          <w:lang w:eastAsia="es-ES_tradnl"/>
        </w:rPr>
      </w:pPr>
      <w:r>
        <w:rPr>
          <w:rFonts w:ascii="Verdana" w:eastAsia="Times New Roman" w:hAnsi="Verdana" w:cs="Arial"/>
          <w:lang w:eastAsia="es-ES_tradnl"/>
        </w:rPr>
        <w:t>“</w:t>
      </w:r>
      <w:r w:rsidRPr="00F67D88">
        <w:rPr>
          <w:rFonts w:ascii="Verdana" w:eastAsia="Times New Roman" w:hAnsi="Verdana" w:cs="Arial"/>
          <w:lang w:eastAsia="es-ES_tradnl"/>
        </w:rPr>
        <w:t xml:space="preserve">Para acreditar el factor (SCE) el Proponente tendrá en cuenta lo siguiente: </w:t>
      </w:r>
    </w:p>
    <w:p w14:paraId="2E19CCD1" w14:textId="77777777" w:rsidR="00AD6399" w:rsidRPr="00F67D88" w:rsidRDefault="00AD6399" w:rsidP="00AD6399">
      <w:pPr>
        <w:spacing w:after="120" w:line="240" w:lineRule="auto"/>
        <w:ind w:left="709" w:right="709" w:firstLine="709"/>
        <w:jc w:val="both"/>
        <w:rPr>
          <w:rFonts w:ascii="Verdana" w:eastAsia="Arial," w:hAnsi="Verdana" w:cs="Arial"/>
          <w:sz w:val="21"/>
          <w:szCs w:val="21"/>
          <w:lang w:eastAsia="es-ES_tradnl"/>
        </w:rPr>
      </w:pPr>
      <w:r w:rsidRPr="00F67D88">
        <w:rPr>
          <w:rFonts w:ascii="Verdana" w:eastAsia="Arial," w:hAnsi="Verdana" w:cs="Arial"/>
          <w:sz w:val="21"/>
          <w:szCs w:val="21"/>
          <w:lang w:eastAsia="es-ES_tradnl"/>
        </w:rPr>
        <w:t>(…)</w:t>
      </w:r>
    </w:p>
    <w:p w14:paraId="2ED345D1" w14:textId="77777777" w:rsidR="00AD6399" w:rsidRPr="00F67D88" w:rsidRDefault="00AD6399" w:rsidP="00AD6399">
      <w:pPr>
        <w:spacing w:after="120" w:line="240" w:lineRule="auto"/>
        <w:ind w:left="1134" w:right="709" w:hanging="425"/>
        <w:jc w:val="both"/>
        <w:rPr>
          <w:rFonts w:ascii="Verdana" w:eastAsia="Arial" w:hAnsi="Verdana" w:cs="Arial"/>
          <w:sz w:val="21"/>
          <w:szCs w:val="21"/>
          <w:lang w:val="es-MX" w:eastAsia="es-ES_tradnl"/>
        </w:rPr>
      </w:pPr>
      <w:r w:rsidRPr="00F67D88">
        <w:rPr>
          <w:rFonts w:ascii="Verdana" w:eastAsia="Arial" w:hAnsi="Verdana" w:cs="Arial"/>
          <w:sz w:val="21"/>
          <w:szCs w:val="21"/>
          <w:lang w:val="es-MX" w:eastAsia="es-ES_tradnl"/>
        </w:rPr>
        <w:t>II.  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w:t>
      </w:r>
    </w:p>
    <w:p w14:paraId="7A2A3F3C" w14:textId="77777777" w:rsidR="00AD6399" w:rsidRPr="00F67D88" w:rsidRDefault="00AD6399" w:rsidP="00AD6399">
      <w:pPr>
        <w:spacing w:after="120" w:line="240" w:lineRule="auto"/>
        <w:ind w:left="1134" w:right="709" w:hanging="425"/>
        <w:jc w:val="both"/>
        <w:rPr>
          <w:rFonts w:ascii="Verdana" w:eastAsia="Arial" w:hAnsi="Verdana" w:cs="Arial"/>
          <w:sz w:val="21"/>
          <w:szCs w:val="21"/>
          <w:lang w:val="es-MX" w:eastAsia="es-ES_tradnl"/>
        </w:rPr>
      </w:pPr>
      <w:r w:rsidRPr="00F67D88">
        <w:rPr>
          <w:rFonts w:ascii="Verdana" w:eastAsia="Arial" w:hAnsi="Verdana" w:cs="Arial"/>
          <w:sz w:val="21"/>
          <w:szCs w:val="21"/>
          <w:lang w:val="es-MX" w:eastAsia="es-ES_tradnl"/>
        </w:rPr>
        <w:t>III.  Se tendrán en cuenta los contratos de obras civiles en ejecución suscritos por el proponente o por sociedades, consorcios o uniones temporales en los cuales el proponente tenga participación</w:t>
      </w:r>
    </w:p>
    <w:p w14:paraId="41C8D89C" w14:textId="77777777" w:rsidR="00AD6399" w:rsidRPr="00F67D88" w:rsidRDefault="00AD6399" w:rsidP="00AD6399">
      <w:pPr>
        <w:spacing w:after="120" w:line="240" w:lineRule="auto"/>
        <w:ind w:left="1134" w:right="709" w:hanging="425"/>
        <w:jc w:val="both"/>
        <w:rPr>
          <w:rFonts w:ascii="Verdana" w:eastAsia="Arial" w:hAnsi="Verdana" w:cs="Arial"/>
          <w:i/>
          <w:iCs/>
          <w:sz w:val="21"/>
          <w:szCs w:val="21"/>
          <w:lang w:val="es-MX" w:eastAsia="es-ES_tradnl"/>
        </w:rPr>
      </w:pPr>
      <w:r w:rsidRPr="00F67D88">
        <w:rPr>
          <w:rFonts w:ascii="Verdana" w:eastAsia="Arial" w:hAnsi="Verdana" w:cs="Arial"/>
          <w:sz w:val="21"/>
          <w:szCs w:val="21"/>
          <w:lang w:val="es-MX" w:eastAsia="es-ES_tradnl"/>
        </w:rPr>
        <w:t xml:space="preserve">IV.  </w:t>
      </w:r>
      <w:bookmarkStart w:id="11" w:name="_Hlk100140218"/>
      <w:r w:rsidRPr="00F67D88">
        <w:rPr>
          <w:rFonts w:ascii="Verdana" w:eastAsia="Arial" w:hAnsi="Verdana" w:cs="Arial"/>
          <w:sz w:val="21"/>
          <w:szCs w:val="21"/>
          <w:lang w:val="es-MX" w:eastAsia="es-ES_tradnl"/>
        </w:rPr>
        <w:t>Si</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un</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contrato</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se</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encuentra</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suspendido,</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el</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cálculo</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del</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(SCE)</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de</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dicho</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contrato</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debe</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efectuarse</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asumiendo</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que</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lo</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que</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falta</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por</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ejecutar</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iniciara</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en</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la</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fecha de</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presentación</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de</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la</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oferta</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del</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Proceso de Contratación.</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Si</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el</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contrato</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está</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suspendido</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el</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Proponente</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debe</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informar</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el</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saldo</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pendiente</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por</w:t>
      </w:r>
      <w:r w:rsidRPr="00F67D88">
        <w:rPr>
          <w:rFonts w:ascii="Verdana" w:eastAsia="Arial," w:hAnsi="Verdana" w:cs="Arial"/>
          <w:sz w:val="21"/>
          <w:szCs w:val="21"/>
          <w:lang w:val="es-MX" w:eastAsia="es-ES_tradnl"/>
        </w:rPr>
        <w:t xml:space="preserve"> </w:t>
      </w:r>
      <w:r w:rsidRPr="00F67D88">
        <w:rPr>
          <w:rFonts w:ascii="Verdana" w:eastAsia="Arial" w:hAnsi="Verdana" w:cs="Arial"/>
          <w:sz w:val="21"/>
          <w:szCs w:val="21"/>
          <w:lang w:val="es-MX" w:eastAsia="es-ES_tradnl"/>
        </w:rPr>
        <w:t>ejecutar</w:t>
      </w:r>
      <w:bookmarkEnd w:id="11"/>
      <w:r w:rsidRPr="00F67D88">
        <w:rPr>
          <w:rFonts w:ascii="Verdana" w:eastAsia="Arial" w:hAnsi="Verdana" w:cs="Arial"/>
          <w:sz w:val="21"/>
          <w:szCs w:val="21"/>
          <w:lang w:val="es-MX" w:eastAsia="es-ES_tradnl"/>
        </w:rPr>
        <w:t>.</w:t>
      </w:r>
      <w:r w:rsidRPr="00F67D88">
        <w:rPr>
          <w:rFonts w:ascii="Verdana" w:eastAsia="Arial" w:hAnsi="Verdana" w:cs="Arial"/>
          <w:i/>
          <w:iCs/>
          <w:sz w:val="21"/>
          <w:szCs w:val="21"/>
          <w:lang w:val="es-MX" w:eastAsia="es-ES_tradnl"/>
        </w:rPr>
        <w:t xml:space="preserve"> </w:t>
      </w:r>
    </w:p>
    <w:p w14:paraId="512A9D3B" w14:textId="77777777" w:rsidR="00AD6399" w:rsidRPr="00F67D88" w:rsidRDefault="00AD6399" w:rsidP="00AD6399">
      <w:pPr>
        <w:spacing w:after="120" w:line="240" w:lineRule="auto"/>
        <w:ind w:left="1134" w:right="709" w:hanging="425"/>
        <w:jc w:val="both"/>
        <w:rPr>
          <w:rFonts w:ascii="Verdana" w:eastAsia="Arial" w:hAnsi="Verdana" w:cs="Arial"/>
          <w:sz w:val="21"/>
          <w:szCs w:val="21"/>
          <w:lang w:val="es-MX" w:eastAsia="es-ES_tradnl"/>
        </w:rPr>
      </w:pPr>
      <w:r w:rsidRPr="00F67D88">
        <w:rPr>
          <w:rFonts w:ascii="Verdana" w:eastAsia="Arial" w:hAnsi="Verdana" w:cs="Arial"/>
          <w:sz w:val="21"/>
          <w:szCs w:val="21"/>
          <w:lang w:val="es-MX" w:eastAsia="es-ES_tradnl"/>
        </w:rPr>
        <w:t xml:space="preserve">V.  </w:t>
      </w:r>
      <w:bookmarkStart w:id="12" w:name="_Hlk100140164"/>
      <w:r w:rsidRPr="00F67D88">
        <w:rPr>
          <w:rFonts w:ascii="Verdana" w:eastAsia="Times New Roman" w:hAnsi="Verdana" w:cs="Arial"/>
          <w:sz w:val="21"/>
          <w:szCs w:val="21"/>
          <w:lang w:eastAsia="es-ES_tradnl"/>
        </w:rPr>
        <w:t>El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cálculo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del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factor</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(SCE)</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debe</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hacerse</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linealmente</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calculando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una</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ejecución</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diaria</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equivalente</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al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valor</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del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contrato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dividido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por</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plazo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del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contrato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expresado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en</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días.</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Este</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resultado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se</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multiplica</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por</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número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de</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días</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pendientes</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para</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cumplir</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plazo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del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contrato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y</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si</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contrato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es</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ejecutado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por</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una estructura plural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por</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la</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participación</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del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Proponente</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en</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la respectiva estructura</w:t>
      </w:r>
      <w:bookmarkEnd w:id="12"/>
      <w:r w:rsidRPr="00F67D88">
        <w:rPr>
          <w:rFonts w:ascii="Verdana" w:eastAsia="Times New Roman" w:hAnsi="Verdana" w:cs="Arial"/>
          <w:sz w:val="21"/>
          <w:szCs w:val="21"/>
          <w:lang w:eastAsia="es-ES_tradnl"/>
        </w:rPr>
        <w:t xml:space="preserve">. </w:t>
      </w:r>
    </w:p>
    <w:p w14:paraId="6ADEC1FD" w14:textId="77777777" w:rsidR="00AD6399" w:rsidRDefault="00AD6399" w:rsidP="00AD6399">
      <w:pPr>
        <w:spacing w:after="0" w:line="276" w:lineRule="auto"/>
        <w:jc w:val="both"/>
        <w:rPr>
          <w:rFonts w:ascii="Verdana" w:eastAsia="Arial," w:hAnsi="Verdana" w:cs="Arial"/>
          <w:sz w:val="24"/>
          <w:szCs w:val="24"/>
          <w:lang w:val="es-MX" w:eastAsia="es-ES_tradnl"/>
        </w:rPr>
      </w:pPr>
      <w:r w:rsidRPr="00F67D88">
        <w:rPr>
          <w:rFonts w:ascii="Verdana" w:eastAsia="Arial," w:hAnsi="Verdana" w:cs="Arial"/>
          <w:sz w:val="24"/>
          <w:szCs w:val="24"/>
          <w:lang w:val="es-MX" w:eastAsia="es-ES_tradnl"/>
        </w:rPr>
        <w:lastRenderedPageBreak/>
        <w:tab/>
        <w:t xml:space="preserve">     (…)”</w:t>
      </w:r>
      <w:r>
        <w:rPr>
          <w:rFonts w:ascii="Verdana" w:eastAsia="Arial," w:hAnsi="Verdana" w:cs="Arial"/>
          <w:sz w:val="24"/>
          <w:szCs w:val="24"/>
          <w:lang w:val="es-MX" w:eastAsia="es-ES_tradnl"/>
        </w:rPr>
        <w:t>.</w:t>
      </w:r>
    </w:p>
    <w:p w14:paraId="7EC4F3C7" w14:textId="77777777" w:rsidR="00AD6399" w:rsidRDefault="00AD6399" w:rsidP="00AD6399">
      <w:pPr>
        <w:spacing w:after="0" w:line="276" w:lineRule="auto"/>
        <w:jc w:val="both"/>
        <w:rPr>
          <w:rFonts w:ascii="Verdana" w:eastAsia="Arial," w:hAnsi="Verdana" w:cs="Arial"/>
          <w:sz w:val="24"/>
          <w:szCs w:val="24"/>
          <w:lang w:val="es-MX" w:eastAsia="es-ES_tradnl"/>
        </w:rPr>
      </w:pPr>
    </w:p>
    <w:p w14:paraId="64C916A5" w14:textId="77777777" w:rsidR="00AD6399" w:rsidRPr="006A22ED" w:rsidRDefault="00AD6399" w:rsidP="00AD6399">
      <w:pPr>
        <w:widowControl w:val="0"/>
        <w:autoSpaceDE w:val="0"/>
        <w:autoSpaceDN w:val="0"/>
        <w:spacing w:after="120" w:line="276" w:lineRule="auto"/>
        <w:ind w:firstLine="708"/>
        <w:jc w:val="both"/>
        <w:rPr>
          <w:rFonts w:ascii="Verdana" w:eastAsia="Arial," w:hAnsi="Verdana" w:cs="Arial"/>
          <w:sz w:val="24"/>
          <w:szCs w:val="24"/>
          <w:lang w:val="es-MX" w:eastAsia="es-ES_tradnl"/>
        </w:rPr>
      </w:pPr>
      <w:r w:rsidRPr="00F67D88">
        <w:rPr>
          <w:rFonts w:ascii="Verdana" w:eastAsia="Times New Roman" w:hAnsi="Verdana" w:cs="Arial"/>
          <w:lang w:eastAsia="es-ES_tradnl"/>
        </w:rPr>
        <w:t xml:space="preserve">Como se aprecia, los apartados transcritos del documento base están en armonía con lo dispuesto en la Guía para Determinar y Verificar la Capacidad Residual del Proponente en los Procesos de Contratación de Obra Pública, y se refieren a los contratos de obras civiles en ejecución, incluyendo a los contratos suspendidos y los que no tienen acta de inicio. Lo expuesto es congruente con el artículo 2.2.1.1.1.6.4 del Decreto 1082 de 2015, en virtud del cual, para efectos de acreditar la capacidad residual del proponente, se requiere el listado de contratos de obra civiles en ejecución suscritos con entidades estatales y con entidades privadas. </w:t>
      </w:r>
    </w:p>
    <w:p w14:paraId="1176B3CD" w14:textId="77777777" w:rsidR="00AD6399" w:rsidRPr="00881D8A" w:rsidRDefault="00AD6399" w:rsidP="00AD6399">
      <w:pPr>
        <w:spacing w:after="120" w:line="276" w:lineRule="auto"/>
        <w:jc w:val="both"/>
        <w:rPr>
          <w:rFonts w:ascii="Verdana" w:eastAsia="Calibri" w:hAnsi="Verdana" w:cs="Times New Roman"/>
        </w:rPr>
      </w:pPr>
      <w:r>
        <w:rPr>
          <w:rFonts w:ascii="Verdana" w:eastAsia="Arial" w:hAnsi="Verdana" w:cs="Arial"/>
        </w:rPr>
        <w:tab/>
        <w:t xml:space="preserve">Ahora bien, </w:t>
      </w:r>
      <w:r>
        <w:rPr>
          <w:rFonts w:ascii="Verdana" w:eastAsia="Calibri" w:hAnsi="Verdana" w:cs="Arial"/>
          <w:szCs w:val="20"/>
          <w:lang w:val="es-MX"/>
        </w:rPr>
        <w:t>e</w:t>
      </w:r>
      <w:r w:rsidRPr="00881D8A">
        <w:rPr>
          <w:rFonts w:ascii="Verdana" w:eastAsia="Calibri" w:hAnsi="Verdana" w:cs="Arial"/>
          <w:szCs w:val="20"/>
          <w:lang w:val="es-MX"/>
        </w:rPr>
        <w:t xml:space="preserve">l numeral 3.10 del documento base </w:t>
      </w:r>
      <w:r>
        <w:rPr>
          <w:rFonts w:ascii="Verdana" w:eastAsia="Calibri" w:hAnsi="Verdana" w:cs="Arial"/>
          <w:szCs w:val="20"/>
          <w:lang w:val="es-MX"/>
        </w:rPr>
        <w:t xml:space="preserve">de los documentos tipo de licitación de obra pública </w:t>
      </w:r>
      <w:r w:rsidRPr="00881D8A">
        <w:rPr>
          <w:rFonts w:ascii="Verdana" w:eastAsia="Calibri" w:hAnsi="Verdana" w:cs="Arial"/>
          <w:szCs w:val="20"/>
          <w:lang w:val="es-MX"/>
        </w:rPr>
        <w:t>de</w:t>
      </w:r>
      <w:r>
        <w:rPr>
          <w:rFonts w:ascii="Verdana" w:eastAsia="Calibri" w:hAnsi="Verdana" w:cs="Arial"/>
          <w:szCs w:val="20"/>
          <w:lang w:val="es-MX"/>
        </w:rPr>
        <w:t xml:space="preserve"> infraestructura de</w:t>
      </w:r>
      <w:r w:rsidRPr="00881D8A">
        <w:rPr>
          <w:rFonts w:ascii="Verdana" w:eastAsia="Calibri" w:hAnsi="Verdana" w:cs="Arial"/>
          <w:szCs w:val="20"/>
          <w:lang w:val="es-MX"/>
        </w:rPr>
        <w:t xml:space="preserve"> transporte –versión 4</w:t>
      </w:r>
      <w:r>
        <w:rPr>
          <w:rFonts w:ascii="Verdana" w:eastAsia="Calibri" w:hAnsi="Verdana" w:cs="Arial"/>
          <w:szCs w:val="20"/>
          <w:lang w:val="es-MX"/>
        </w:rPr>
        <w:t>,</w:t>
      </w:r>
      <w:r w:rsidRPr="00881D8A">
        <w:rPr>
          <w:rFonts w:ascii="Verdana" w:eastAsia="Calibri" w:hAnsi="Verdana" w:cs="Arial"/>
          <w:szCs w:val="20"/>
          <w:lang w:val="es-MX"/>
        </w:rPr>
        <w:t xml:space="preserve"> establece </w:t>
      </w:r>
      <w:r w:rsidRPr="00881D8A">
        <w:rPr>
          <w:rFonts w:ascii="Verdana" w:eastAsia="Calibri" w:hAnsi="Verdana" w:cs="Arial"/>
          <w:szCs w:val="20"/>
        </w:rPr>
        <w:t xml:space="preserve">como requisito habilitante la capacidad residual. En este documento tipo, </w:t>
      </w:r>
      <w:r w:rsidRPr="00881D8A">
        <w:rPr>
          <w:rFonts w:ascii="Verdana" w:eastAsia="Calibri" w:hAnsi="Verdana" w:cs="Arial"/>
          <w:szCs w:val="20"/>
          <w:lang w:val="es-MX"/>
        </w:rPr>
        <w:t>al menos tres causales de rechazo del numeral 1.15 se relacionan con la capacidad residual como requisito habilitante, esto es, los literales E, H y X. Estas causales disponen lo siguiente:</w:t>
      </w:r>
    </w:p>
    <w:p w14:paraId="11DC7C9E" w14:textId="77777777" w:rsidR="00AD6399" w:rsidRPr="00881D8A" w:rsidRDefault="00AD6399" w:rsidP="00AD6399">
      <w:pPr>
        <w:spacing w:after="0"/>
        <w:ind w:left="709" w:right="709"/>
        <w:jc w:val="both"/>
        <w:rPr>
          <w:rFonts w:ascii="Verdana" w:eastAsia="Calibri" w:hAnsi="Verdana" w:cs="Arial"/>
          <w:b/>
          <w:bCs/>
          <w:sz w:val="21"/>
          <w:szCs w:val="21"/>
        </w:rPr>
      </w:pPr>
    </w:p>
    <w:p w14:paraId="52A57544" w14:textId="77777777" w:rsidR="00AD6399" w:rsidRPr="00881D8A" w:rsidRDefault="00AD6399" w:rsidP="00AD6399">
      <w:pPr>
        <w:ind w:right="709" w:firstLine="708"/>
        <w:rPr>
          <w:rFonts w:ascii="Verdana" w:eastAsia="Aptos" w:hAnsi="Verdana" w:cs="Times New Roman"/>
          <w:b/>
          <w:bCs/>
          <w:sz w:val="21"/>
          <w:szCs w:val="21"/>
        </w:rPr>
      </w:pPr>
      <w:bookmarkStart w:id="13" w:name="_Toc176242637"/>
      <w:r w:rsidRPr="00881D8A">
        <w:rPr>
          <w:rFonts w:ascii="Verdana" w:eastAsia="Aptos" w:hAnsi="Verdana" w:cs="Times New Roman"/>
          <w:b/>
          <w:bCs/>
          <w:sz w:val="21"/>
          <w:szCs w:val="21"/>
        </w:rPr>
        <w:t>“1.15 CAUSALES DE RECHAZO</w:t>
      </w:r>
      <w:bookmarkEnd w:id="13"/>
    </w:p>
    <w:p w14:paraId="30909090" w14:textId="77777777" w:rsidR="00AD6399" w:rsidRPr="006A22ED" w:rsidRDefault="00AD6399" w:rsidP="00AD6399">
      <w:pPr>
        <w:spacing w:after="120" w:line="240" w:lineRule="auto"/>
        <w:ind w:left="709" w:right="474"/>
        <w:jc w:val="both"/>
        <w:rPr>
          <w:rFonts w:ascii="Verdana" w:eastAsia="Arial" w:hAnsi="Verdana" w:cs="Arial"/>
          <w:sz w:val="21"/>
          <w:szCs w:val="21"/>
          <w:lang w:val="es-MX"/>
        </w:rPr>
      </w:pPr>
      <w:r w:rsidRPr="006A22ED">
        <w:rPr>
          <w:rFonts w:ascii="Verdana" w:eastAsia="Arial" w:hAnsi="Verdana" w:cs="Arial"/>
          <w:sz w:val="21"/>
          <w:szCs w:val="21"/>
          <w:lang w:val="es-MX"/>
        </w:rPr>
        <w:t xml:space="preserve">Son causales de rechazo de las propuestas las siguientes </w:t>
      </w:r>
      <w:r w:rsidRPr="006A22ED">
        <w:rPr>
          <w:rFonts w:ascii="Verdana" w:eastAsia="Arial" w:hAnsi="Verdana" w:cs="Arial"/>
          <w:sz w:val="21"/>
          <w:szCs w:val="21"/>
          <w:highlight w:val="lightGray"/>
          <w:lang w:val="es-MX"/>
        </w:rPr>
        <w:t>[Las entidades no podrán incluir causales de rechazo distintas a las señaladas en la presente sección]:</w:t>
      </w:r>
    </w:p>
    <w:p w14:paraId="3506BC81" w14:textId="77777777" w:rsidR="00AD6399" w:rsidRPr="006A22ED" w:rsidRDefault="00AD6399" w:rsidP="00AD6399">
      <w:pPr>
        <w:spacing w:after="120" w:line="240" w:lineRule="auto"/>
        <w:ind w:left="709" w:right="709"/>
        <w:jc w:val="both"/>
        <w:rPr>
          <w:rFonts w:ascii="Verdana" w:eastAsia="Arial" w:hAnsi="Verdana" w:cs="Arial"/>
          <w:sz w:val="21"/>
          <w:szCs w:val="21"/>
          <w:lang w:val="es-MX"/>
        </w:rPr>
      </w:pPr>
      <w:r w:rsidRPr="006A22ED">
        <w:rPr>
          <w:rFonts w:ascii="Verdana" w:eastAsia="Arial" w:hAnsi="Verdana" w:cs="Arial"/>
          <w:sz w:val="21"/>
          <w:szCs w:val="21"/>
          <w:lang w:val="es-MX"/>
        </w:rPr>
        <w:t>(…)</w:t>
      </w:r>
    </w:p>
    <w:p w14:paraId="5E7A72AF" w14:textId="77777777" w:rsidR="00AD6399" w:rsidRPr="00881D8A" w:rsidRDefault="00AD6399" w:rsidP="00AD6399">
      <w:pPr>
        <w:numPr>
          <w:ilvl w:val="0"/>
          <w:numId w:val="18"/>
        </w:numPr>
        <w:spacing w:after="120" w:line="240" w:lineRule="auto"/>
        <w:ind w:right="709"/>
        <w:contextualSpacing/>
        <w:jc w:val="both"/>
        <w:rPr>
          <w:rFonts w:ascii="Verdana" w:eastAsia="Arial" w:hAnsi="Verdana" w:cs="Arial"/>
          <w:sz w:val="21"/>
          <w:szCs w:val="21"/>
          <w:lang w:val="es-MX"/>
        </w:rPr>
      </w:pPr>
      <w:r w:rsidRPr="00881D8A">
        <w:rPr>
          <w:rFonts w:ascii="Verdana" w:eastAsia="Arial" w:hAnsi="Verdana" w:cs="Arial"/>
          <w:sz w:val="21"/>
          <w:szCs w:val="21"/>
          <w:lang w:val="es-MX"/>
        </w:rPr>
        <w:t>Que al Proponente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con un requisito habilitante en los términos establecidos en la sección 1.6 del Documento Base.</w:t>
      </w:r>
    </w:p>
    <w:p w14:paraId="1A8E8AE7" w14:textId="77777777" w:rsidR="00AD6399" w:rsidRPr="00881D8A" w:rsidRDefault="00AD6399" w:rsidP="00AD6399">
      <w:pPr>
        <w:spacing w:after="120" w:line="240" w:lineRule="auto"/>
        <w:ind w:left="709" w:right="709" w:firstLine="283"/>
        <w:jc w:val="both"/>
        <w:rPr>
          <w:rFonts w:ascii="Verdana" w:eastAsia="Arial" w:hAnsi="Verdana" w:cs="Arial"/>
          <w:sz w:val="21"/>
          <w:szCs w:val="21"/>
          <w:lang w:val="es-MX"/>
        </w:rPr>
      </w:pPr>
      <w:r w:rsidRPr="00881D8A">
        <w:rPr>
          <w:rFonts w:ascii="Verdana" w:eastAsia="Arial" w:hAnsi="Verdana" w:cs="Arial"/>
          <w:sz w:val="21"/>
          <w:szCs w:val="21"/>
          <w:lang w:val="es-MX"/>
        </w:rPr>
        <w:t>(…)</w:t>
      </w:r>
    </w:p>
    <w:p w14:paraId="697385E6" w14:textId="77777777" w:rsidR="00AD6399" w:rsidRPr="00881D8A" w:rsidRDefault="00AD6399" w:rsidP="00AD6399">
      <w:pPr>
        <w:numPr>
          <w:ilvl w:val="0"/>
          <w:numId w:val="19"/>
        </w:numPr>
        <w:spacing w:after="120" w:line="240" w:lineRule="auto"/>
        <w:ind w:left="1069" w:right="709"/>
        <w:contextualSpacing/>
        <w:jc w:val="both"/>
        <w:rPr>
          <w:rFonts w:ascii="Verdana" w:eastAsia="Arial" w:hAnsi="Verdana" w:cs="Arial"/>
          <w:sz w:val="21"/>
          <w:szCs w:val="21"/>
          <w:lang w:val="es-MX"/>
        </w:rPr>
      </w:pPr>
      <w:r w:rsidRPr="00881D8A">
        <w:rPr>
          <w:rFonts w:ascii="Verdana" w:eastAsia="Arial" w:hAnsi="Verdana" w:cs="Arial"/>
          <w:sz w:val="21"/>
          <w:szCs w:val="21"/>
          <w:lang w:val="es-MX"/>
        </w:rPr>
        <w:t>Que el proponente aporte información inexacta sobre la cual pueda existir una posible falsedad en los términos de la sección 1.11 del Documento Base.</w:t>
      </w:r>
    </w:p>
    <w:p w14:paraId="0FE4BB6C" w14:textId="77777777" w:rsidR="00AD6399" w:rsidRPr="00881D8A" w:rsidRDefault="00AD6399" w:rsidP="00AD6399">
      <w:pPr>
        <w:spacing w:after="120" w:line="240" w:lineRule="auto"/>
        <w:ind w:left="709" w:right="709" w:firstLine="360"/>
        <w:jc w:val="both"/>
        <w:rPr>
          <w:rFonts w:ascii="Verdana" w:eastAsia="Arial" w:hAnsi="Verdana" w:cs="Arial"/>
          <w:sz w:val="21"/>
          <w:szCs w:val="21"/>
          <w:lang w:val="es-MX"/>
        </w:rPr>
      </w:pPr>
      <w:r w:rsidRPr="00881D8A">
        <w:rPr>
          <w:rFonts w:ascii="Verdana" w:eastAsia="Arial" w:hAnsi="Verdana" w:cs="Arial"/>
          <w:sz w:val="21"/>
          <w:szCs w:val="21"/>
          <w:lang w:val="es-MX"/>
        </w:rPr>
        <w:t>(…)</w:t>
      </w:r>
    </w:p>
    <w:p w14:paraId="54F6E32B" w14:textId="77777777" w:rsidR="00AD6399" w:rsidRPr="00881D8A" w:rsidRDefault="00AD6399" w:rsidP="00AD6399">
      <w:pPr>
        <w:numPr>
          <w:ilvl w:val="0"/>
          <w:numId w:val="20"/>
        </w:numPr>
        <w:spacing w:after="120" w:line="240" w:lineRule="auto"/>
        <w:ind w:left="1069" w:right="709"/>
        <w:contextualSpacing/>
        <w:jc w:val="both"/>
        <w:rPr>
          <w:rFonts w:ascii="Verdana" w:eastAsia="Arial" w:hAnsi="Verdana" w:cs="Arial"/>
          <w:sz w:val="21"/>
          <w:szCs w:val="21"/>
          <w:lang w:val="es-MX"/>
        </w:rPr>
      </w:pPr>
      <w:r w:rsidRPr="00881D8A">
        <w:rPr>
          <w:rFonts w:ascii="Verdana" w:eastAsia="Arial" w:hAnsi="Verdana" w:cs="Arial"/>
          <w:sz w:val="21"/>
          <w:szCs w:val="21"/>
          <w:lang w:val="es-MX"/>
        </w:rPr>
        <w:lastRenderedPageBreak/>
        <w:t>No informar todos los contratos que el proponente tenga en ejecución antes del cierre, necesarios para acreditar su capacidad residual conforme a la sección 3.11.</w:t>
      </w:r>
    </w:p>
    <w:p w14:paraId="1E75C6A9" w14:textId="77777777" w:rsidR="00AD6399" w:rsidRPr="00881D8A" w:rsidRDefault="00AD6399" w:rsidP="00AD6399">
      <w:pPr>
        <w:spacing w:after="120" w:line="240" w:lineRule="auto"/>
        <w:ind w:left="709" w:right="709" w:firstLine="360"/>
        <w:contextualSpacing/>
        <w:jc w:val="both"/>
        <w:rPr>
          <w:rFonts w:ascii="Verdana" w:eastAsia="Calibri" w:hAnsi="Verdana" w:cs="Times New Roman"/>
          <w:sz w:val="21"/>
          <w:szCs w:val="21"/>
          <w:lang w:val="es-ES"/>
        </w:rPr>
      </w:pPr>
      <w:r w:rsidRPr="00881D8A">
        <w:rPr>
          <w:rFonts w:ascii="Verdana" w:eastAsia="Calibri" w:hAnsi="Verdana" w:cs="Times New Roman"/>
          <w:sz w:val="21"/>
          <w:szCs w:val="21"/>
          <w:lang w:val="es-ES"/>
        </w:rPr>
        <w:t xml:space="preserve">(…)”. </w:t>
      </w:r>
    </w:p>
    <w:p w14:paraId="2752F34C" w14:textId="77777777" w:rsidR="00AD6399" w:rsidRPr="00881D8A" w:rsidRDefault="00AD6399" w:rsidP="00AD6399">
      <w:pPr>
        <w:spacing w:after="0"/>
        <w:ind w:left="709" w:right="709"/>
        <w:jc w:val="both"/>
        <w:rPr>
          <w:rFonts w:ascii="Verdana" w:eastAsia="Calibri" w:hAnsi="Verdana" w:cs="Arial"/>
          <w:szCs w:val="20"/>
          <w:lang w:val="es-MX"/>
        </w:rPr>
      </w:pPr>
    </w:p>
    <w:p w14:paraId="344C8367" w14:textId="77777777" w:rsidR="00AD6399" w:rsidRPr="00881D8A" w:rsidRDefault="00AD6399" w:rsidP="00AD6399">
      <w:pPr>
        <w:spacing w:line="276" w:lineRule="auto"/>
        <w:ind w:firstLine="708"/>
        <w:jc w:val="both"/>
        <w:rPr>
          <w:rFonts w:ascii="Verdana" w:eastAsia="Calibri" w:hAnsi="Verdana" w:cs="Arial"/>
          <w:szCs w:val="20"/>
          <w:lang w:val="es-MX"/>
        </w:rPr>
      </w:pPr>
      <w:r w:rsidRPr="00881D8A">
        <w:rPr>
          <w:rFonts w:ascii="Verdana" w:eastAsia="Calibri" w:hAnsi="Verdana" w:cs="Arial"/>
          <w:szCs w:val="20"/>
          <w:lang w:val="es-MX"/>
        </w:rPr>
        <w:t>Como se consideró en los conceptos del 25 de septiembre y el 23 de diciembre de 2019 −radicados Nos. 2201913000007117 y 2201913000009538−,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7659C342" w14:textId="77777777" w:rsidR="00AD6399" w:rsidRPr="00881D8A" w:rsidRDefault="00AD6399" w:rsidP="00AD6399">
      <w:pPr>
        <w:spacing w:before="120" w:after="120" w:line="276" w:lineRule="auto"/>
        <w:ind w:firstLine="708"/>
        <w:jc w:val="both"/>
        <w:rPr>
          <w:rFonts w:ascii="Verdana" w:eastAsia="Calibri" w:hAnsi="Verdana" w:cs="Arial"/>
          <w:i/>
          <w:iCs/>
          <w:lang w:val="es-MX"/>
        </w:rPr>
      </w:pPr>
      <w:r w:rsidRPr="00881D8A">
        <w:rPr>
          <w:rFonts w:ascii="Verdana" w:eastAsia="Calibri" w:hAnsi="Verdana" w:cs="Arial"/>
          <w:i/>
          <w:szCs w:val="20"/>
          <w:lang w:val="es-MX"/>
        </w:rPr>
        <w:t>i)</w:t>
      </w:r>
      <w:r w:rsidRPr="00881D8A">
        <w:rPr>
          <w:rFonts w:ascii="Verdana" w:eastAsia="Calibri" w:hAnsi="Verdana" w:cs="Arial"/>
          <w:szCs w:val="20"/>
          <w:lang w:val="es-MX"/>
        </w:rPr>
        <w:t xml:space="preserve"> La causal del literal X del numeral 1.15 solamente aplica cuando el proponente no informa todos los contratos que tiene en ejecución antes del cierre. Esto se traduce en un deber de cumplir con esta exigencia, sin tener en cuenta la información relacionada en cada uno de ellos. Por ejemplo, si el contratista tiene en ejecución diez contratos, esta causal aplica si el contratista reporta nueve o menos. Esto excluye la configuración de la causal cuando el proponente comete algún error en la información de los contratos, siempre que los reporte todos. Por tanto, la </w:t>
      </w:r>
      <w:r w:rsidRPr="00881D8A">
        <w:rPr>
          <w:rFonts w:ascii="Verdana" w:eastAsia="Calibri" w:hAnsi="Verdana" w:cs="Arial"/>
          <w:lang w:val="es-MX"/>
        </w:rPr>
        <w:t>configuración de la causal de rechazo del literal X es objetiva, pues solo aplica ante la omisión del proponente de informar el número total de contratos en ejecución antes del cierre</w:t>
      </w:r>
      <w:r w:rsidRPr="00881D8A">
        <w:rPr>
          <w:rFonts w:ascii="Verdana" w:eastAsia="Calibri" w:hAnsi="Verdana" w:cs="Arial"/>
          <w:szCs w:val="20"/>
          <w:lang w:val="es-MX"/>
        </w:rPr>
        <w:t>, es decir, opera también cuando no se aporte con la oferta el Formato 5, sólo si, con ello se está omitiendo informar contratos que tenga en ejecución el proponente.</w:t>
      </w:r>
    </w:p>
    <w:p w14:paraId="6CA4A7B2" w14:textId="77777777" w:rsidR="00AD6399" w:rsidRPr="00881D8A" w:rsidRDefault="00AD6399" w:rsidP="00AD6399">
      <w:pPr>
        <w:spacing w:before="120" w:after="120" w:line="276" w:lineRule="auto"/>
        <w:ind w:firstLine="708"/>
        <w:jc w:val="both"/>
        <w:rPr>
          <w:rFonts w:ascii="Verdana" w:eastAsia="Calibri" w:hAnsi="Verdana" w:cs="Arial"/>
          <w:szCs w:val="20"/>
          <w:lang w:val="es-MX"/>
        </w:rPr>
      </w:pPr>
      <w:r w:rsidRPr="00881D8A">
        <w:rPr>
          <w:rFonts w:ascii="Verdana" w:eastAsia="Calibri" w:hAnsi="Verdana" w:cs="Arial"/>
          <w:i/>
          <w:szCs w:val="20"/>
          <w:lang w:val="es-MX"/>
        </w:rPr>
        <w:t xml:space="preserve">ii) </w:t>
      </w:r>
      <w:r w:rsidRPr="00881D8A">
        <w:rPr>
          <w:rFonts w:ascii="Verdana" w:eastAsia="Calibri" w:hAnsi="Verdana" w:cs="Arial"/>
          <w:szCs w:val="20"/>
          <w:lang w:val="es-MX"/>
        </w:rPr>
        <w:t xml:space="preserve">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03C24716" w14:textId="77777777" w:rsidR="00AD6399" w:rsidRDefault="00AD6399" w:rsidP="00AD6399">
      <w:pPr>
        <w:spacing w:before="120" w:after="0" w:line="276" w:lineRule="auto"/>
        <w:ind w:firstLine="708"/>
        <w:jc w:val="both"/>
        <w:rPr>
          <w:rFonts w:ascii="Verdana" w:eastAsia="Calibri" w:hAnsi="Verdana" w:cs="Arial"/>
          <w:szCs w:val="20"/>
          <w:lang w:val="es-MX"/>
        </w:rPr>
      </w:pPr>
      <w:r w:rsidRPr="00881D8A">
        <w:rPr>
          <w:rFonts w:ascii="Verdana" w:eastAsia="Calibri" w:hAnsi="Verdana" w:cs="Arial"/>
          <w:i/>
          <w:szCs w:val="20"/>
          <w:lang w:val="es-MX"/>
        </w:rPr>
        <w:t xml:space="preserve">iii) </w:t>
      </w:r>
      <w:r w:rsidRPr="00881D8A">
        <w:rPr>
          <w:rFonts w:ascii="Verdana" w:eastAsia="Calibri" w:hAnsi="Verdana" w:cs="Arial"/>
          <w:szCs w:val="20"/>
          <w:lang w:val="es-MX"/>
        </w:rPr>
        <w:t xml:space="preserve">Lo dicho en los numerales precedentes tampoco descarta la posibilidad de que la entidad rechace la oferta si encuentra configurada la causal establecida en </w:t>
      </w:r>
      <w:bookmarkStart w:id="14" w:name="_Hlk81383775"/>
      <w:r w:rsidRPr="00881D8A">
        <w:rPr>
          <w:rFonts w:ascii="Verdana" w:eastAsia="Calibri" w:hAnsi="Verdana" w:cs="Arial"/>
          <w:szCs w:val="20"/>
          <w:lang w:val="es-MX"/>
        </w:rPr>
        <w:t xml:space="preserve">el literal H del numeral 1.15, que aplica cuando el proponente aporta </w:t>
      </w:r>
      <w:r w:rsidRPr="00881D8A">
        <w:rPr>
          <w:rFonts w:ascii="Verdana" w:eastAsia="Calibri" w:hAnsi="Verdana" w:cs="Arial"/>
          <w:szCs w:val="20"/>
          <w:lang w:val="es-MX"/>
        </w:rPr>
        <w:lastRenderedPageBreak/>
        <w:t>información inexacta sobre la cual pueda existir una posible falsedad, de acuerdo con lo señalado en el numeral 1.11. del documento base</w:t>
      </w:r>
      <w:bookmarkEnd w:id="14"/>
      <w:r>
        <w:rPr>
          <w:rFonts w:ascii="Verdana" w:eastAsia="Calibri" w:hAnsi="Verdana" w:cs="Arial"/>
          <w:szCs w:val="20"/>
          <w:lang w:val="es-MX"/>
        </w:rPr>
        <w:t>:</w:t>
      </w:r>
    </w:p>
    <w:p w14:paraId="4F2DCE5D" w14:textId="77777777" w:rsidR="00AD6399" w:rsidRDefault="00AD6399" w:rsidP="00AD6399">
      <w:pPr>
        <w:spacing w:before="120" w:after="0" w:line="276" w:lineRule="auto"/>
        <w:ind w:firstLine="708"/>
        <w:jc w:val="both"/>
        <w:rPr>
          <w:rFonts w:ascii="Verdana" w:eastAsia="Calibri" w:hAnsi="Verdana" w:cs="Arial"/>
          <w:szCs w:val="20"/>
          <w:lang w:val="es-MX"/>
        </w:rPr>
      </w:pPr>
    </w:p>
    <w:p w14:paraId="2B52A88B" w14:textId="77777777" w:rsidR="00AD6399" w:rsidRPr="00F67D88" w:rsidRDefault="00AD6399" w:rsidP="00AD6399">
      <w:pPr>
        <w:spacing w:after="120" w:line="240" w:lineRule="auto"/>
        <w:ind w:left="709" w:right="709"/>
        <w:jc w:val="both"/>
        <w:rPr>
          <w:rFonts w:ascii="Verdana" w:eastAsia="Times New Roman" w:hAnsi="Verdana" w:cs="Arial"/>
          <w:b/>
          <w:bCs/>
          <w:sz w:val="21"/>
          <w:szCs w:val="21"/>
          <w:lang w:eastAsia="es-ES_tradnl"/>
        </w:rPr>
      </w:pPr>
      <w:r>
        <w:rPr>
          <w:rFonts w:ascii="Verdana" w:eastAsia="Times New Roman" w:hAnsi="Verdana" w:cs="Arial"/>
          <w:b/>
          <w:bCs/>
          <w:sz w:val="21"/>
          <w:szCs w:val="21"/>
          <w:lang w:eastAsia="es-ES_tradnl"/>
        </w:rPr>
        <w:t>“</w:t>
      </w:r>
      <w:r w:rsidRPr="00F67D88">
        <w:rPr>
          <w:rFonts w:ascii="Verdana" w:eastAsia="Times New Roman" w:hAnsi="Verdana" w:cs="Arial"/>
          <w:b/>
          <w:bCs/>
          <w:sz w:val="21"/>
          <w:szCs w:val="21"/>
          <w:lang w:eastAsia="es-ES_tradnl"/>
        </w:rPr>
        <w:t xml:space="preserve">1.11 INFORMACIÓN INEXACTA </w:t>
      </w:r>
    </w:p>
    <w:p w14:paraId="1D189F69" w14:textId="77777777" w:rsidR="00AD6399" w:rsidRPr="00F67D88" w:rsidRDefault="00AD6399" w:rsidP="00AD6399">
      <w:pPr>
        <w:spacing w:after="120" w:line="240" w:lineRule="auto"/>
        <w:ind w:left="709" w:right="709"/>
        <w:jc w:val="both"/>
        <w:rPr>
          <w:rFonts w:ascii="Verdana" w:eastAsia="Times New Roman" w:hAnsi="Verdana" w:cs="Arial"/>
          <w:sz w:val="21"/>
          <w:szCs w:val="21"/>
          <w:lang w:eastAsia="es-ES_tradnl"/>
        </w:rPr>
      </w:pPr>
      <w:r w:rsidRPr="00F67D88">
        <w:rPr>
          <w:rFonts w:ascii="Verdana" w:eastAsia="Times New Roman" w:hAnsi="Verdana" w:cs="Arial"/>
          <w:sz w:val="21"/>
          <w:szCs w:val="21"/>
          <w:lang w:eastAsia="es-ES_tradnl"/>
        </w:rPr>
        <w:t xml:space="preserve">La Entidad </w:t>
      </w:r>
      <w:bookmarkStart w:id="15" w:name="_Hlk88664526"/>
      <w:r w:rsidRPr="00F67D88">
        <w:rPr>
          <w:rFonts w:ascii="Verdana" w:eastAsia="Times New Roman" w:hAnsi="Verdana" w:cs="Arial"/>
          <w:sz w:val="21"/>
          <w:szCs w:val="21"/>
          <w:lang w:eastAsia="es-ES_tradnl"/>
        </w:rPr>
        <w:t>se reserva el derecho de verificar integralmente la información aportada por el Proponente</w:t>
      </w:r>
      <w:bookmarkEnd w:id="15"/>
      <w:r w:rsidRPr="00F67D88">
        <w:rPr>
          <w:rFonts w:ascii="Verdana" w:eastAsia="Times New Roman" w:hAnsi="Verdana" w:cs="Arial"/>
          <w:sz w:val="21"/>
          <w:szCs w:val="21"/>
          <w:lang w:eastAsia="es-ES_tradnl"/>
        </w:rPr>
        <w:t xml:space="preserve">. Para esto, puede acudir a las autoridades, personas, empresas o entidades respectivas. </w:t>
      </w:r>
    </w:p>
    <w:p w14:paraId="54A83A7D" w14:textId="77777777" w:rsidR="00AD6399" w:rsidRPr="00F67D88" w:rsidRDefault="00AD6399" w:rsidP="00AD6399">
      <w:pPr>
        <w:spacing w:after="120" w:line="240" w:lineRule="auto"/>
        <w:ind w:left="709" w:right="709"/>
        <w:jc w:val="both"/>
        <w:rPr>
          <w:rFonts w:ascii="Verdana" w:eastAsia="Times New Roman" w:hAnsi="Verdana" w:cs="Arial"/>
          <w:sz w:val="21"/>
          <w:szCs w:val="21"/>
          <w:lang w:eastAsia="es-ES_tradnl"/>
        </w:rPr>
      </w:pPr>
      <w:r w:rsidRPr="00F67D88">
        <w:rPr>
          <w:rFonts w:ascii="Verdana" w:eastAsia="Times New Roman" w:hAnsi="Verdana" w:cs="Arial"/>
          <w:sz w:val="21"/>
          <w:szCs w:val="21"/>
          <w:lang w:eastAsia="es-ES_tradnl"/>
        </w:rPr>
        <w:t xml:space="preserve">Cuando exista inconsistencia entre la información suministrada por el Proponente y la efectivamente verificada por la Entidad, la información que pretende demostrar el Proponente se tendrá por no acreditada. </w:t>
      </w:r>
    </w:p>
    <w:p w14:paraId="54D8A1DA" w14:textId="77777777" w:rsidR="00AD6399" w:rsidRDefault="00AD6399" w:rsidP="00AD6399">
      <w:pPr>
        <w:spacing w:after="0" w:line="240" w:lineRule="auto"/>
        <w:ind w:left="709" w:right="709"/>
        <w:jc w:val="both"/>
        <w:rPr>
          <w:rFonts w:ascii="Verdana" w:eastAsia="Times New Roman" w:hAnsi="Verdana" w:cs="Arial"/>
          <w:sz w:val="21"/>
          <w:szCs w:val="21"/>
          <w:lang w:eastAsia="es-ES_tradnl"/>
        </w:rPr>
      </w:pPr>
      <w:r w:rsidRPr="00F67D88">
        <w:rPr>
          <w:rFonts w:ascii="Verdana" w:eastAsia="Times New Roman" w:hAnsi="Verdana" w:cs="Arial"/>
          <w:sz w:val="21"/>
          <w:szCs w:val="21"/>
          <w:lang w:eastAsia="es-ES_tradnl"/>
        </w:rPr>
        <w:t>La Entidad compulsará copias a las autoridades competentes en aquellos eventos en los cuales la información aportada tenga inconsistencias sobre las cuales pueda existir una presunta falsedad, sin que el Proponente haya demostrado lo contrario, y procederá a rechazar la oferta</w:t>
      </w:r>
      <w:r>
        <w:rPr>
          <w:rFonts w:ascii="Verdana" w:eastAsia="Times New Roman" w:hAnsi="Verdana" w:cs="Arial"/>
          <w:sz w:val="21"/>
          <w:szCs w:val="21"/>
          <w:lang w:eastAsia="es-ES_tradnl"/>
        </w:rPr>
        <w:t>”</w:t>
      </w:r>
      <w:r w:rsidRPr="00F67D88">
        <w:rPr>
          <w:rFonts w:ascii="Verdana" w:eastAsia="Times New Roman" w:hAnsi="Verdana" w:cs="Arial"/>
          <w:sz w:val="21"/>
          <w:szCs w:val="21"/>
          <w:lang w:eastAsia="es-ES_tradnl"/>
        </w:rPr>
        <w:t xml:space="preserve">. </w:t>
      </w:r>
    </w:p>
    <w:p w14:paraId="15C61D3C" w14:textId="77777777" w:rsidR="00AD6399" w:rsidRDefault="00AD6399" w:rsidP="00AD6399">
      <w:pPr>
        <w:spacing w:after="0" w:line="240" w:lineRule="auto"/>
        <w:ind w:left="709" w:right="709"/>
        <w:jc w:val="both"/>
        <w:rPr>
          <w:rFonts w:ascii="Verdana" w:eastAsia="Times New Roman" w:hAnsi="Verdana" w:cs="Arial"/>
          <w:sz w:val="21"/>
          <w:szCs w:val="21"/>
          <w:lang w:eastAsia="es-ES_tradnl"/>
        </w:rPr>
      </w:pPr>
    </w:p>
    <w:p w14:paraId="6C5C55FE" w14:textId="77777777" w:rsidR="00AD6399" w:rsidRPr="006A22ED" w:rsidRDefault="00AD6399" w:rsidP="00AD6399">
      <w:pPr>
        <w:snapToGrid w:val="0"/>
        <w:spacing w:after="120" w:line="276" w:lineRule="auto"/>
        <w:ind w:firstLine="709"/>
        <w:jc w:val="both"/>
        <w:rPr>
          <w:rFonts w:ascii="Verdana" w:eastAsia="Times New Roman" w:hAnsi="Verdana" w:cs="Arial"/>
          <w:lang w:eastAsia="es-ES_tradnl"/>
        </w:rPr>
      </w:pPr>
      <w:r w:rsidRPr="00F67D88">
        <w:rPr>
          <w:rFonts w:ascii="Verdana" w:eastAsia="Times New Roman" w:hAnsi="Verdana" w:cs="Arial"/>
          <w:lang w:eastAsia="es-ES_tradnl"/>
        </w:rPr>
        <w:t>Este numeral faculta a la entidad estatal para verificar la información aportada, para lo cual podrá acudir a las autoridades, personas, empresas o entidades que estén en posición de otorgar la información. No obstante, tal verificación es potestativa, no obligatoria, pues los procedimientos de selección exigen que los proponentes actúen conforme al principio de la buena fe, “que se debe manifestar en la presentación completa y veraz de la información que constituye su oferta, así como la lealtad y comportamiento adecuado frente a la entidad estatal y los demás proponentes durante las diferentes etapas del procedimiento de contratación”</w:t>
      </w:r>
      <w:r w:rsidRPr="00F67D88">
        <w:rPr>
          <w:rFonts w:ascii="Verdana" w:eastAsia="Aptos" w:hAnsi="Verdana" w:cs="Times New Roman"/>
          <w:kern w:val="2"/>
          <w:sz w:val="24"/>
          <w:szCs w:val="24"/>
          <w:vertAlign w:val="superscript"/>
          <w:lang w:eastAsia="es-ES_tradnl"/>
          <w14:ligatures w14:val="standardContextual"/>
        </w:rPr>
        <w:footnoteReference w:id="3"/>
      </w:r>
      <w:r w:rsidRPr="00F67D88">
        <w:rPr>
          <w:rFonts w:ascii="Verdana" w:eastAsia="Times New Roman" w:hAnsi="Verdana" w:cs="Arial"/>
          <w:lang w:eastAsia="es-ES_tradnl"/>
        </w:rPr>
        <w:t>. Conforme a ello, la prerrogativa de verificación es una herramienta para que la Administración adquiera certeza frente al cumplimiento de los requisitos del procedimiento de selección y del comportamiento leal que se exige de los proponentes.</w:t>
      </w:r>
    </w:p>
    <w:p w14:paraId="2D5BF141" w14:textId="77777777" w:rsidR="00AD6399" w:rsidRDefault="00AD6399" w:rsidP="00AD6399">
      <w:pPr>
        <w:snapToGrid w:val="0"/>
        <w:spacing w:after="120" w:line="276" w:lineRule="auto"/>
        <w:ind w:firstLine="709"/>
        <w:jc w:val="both"/>
        <w:rPr>
          <w:rFonts w:ascii="Verdana" w:eastAsia="MS Mincho" w:hAnsi="Verdana" w:cs="Arial"/>
          <w:lang w:val="es-MX" w:eastAsia="es-CO"/>
        </w:rPr>
      </w:pPr>
      <w:r w:rsidRPr="00F67D88">
        <w:rPr>
          <w:rFonts w:ascii="Verdana" w:eastAsia="MS Mincho" w:hAnsi="Verdana" w:cs="Arial"/>
          <w:lang w:eastAsia="es-CO"/>
        </w:rPr>
        <w:t>Según</w:t>
      </w:r>
      <w:r w:rsidRPr="00F67D88">
        <w:rPr>
          <w:rFonts w:ascii="Verdana" w:eastAsia="MS Mincho" w:hAnsi="Verdana" w:cs="Arial"/>
          <w:lang w:val="es-MX" w:eastAsia="es-CO"/>
        </w:rPr>
        <w:t xml:space="preserve"> lo expuesto por esta Agencia, en el concepto con radicado 2201913000008148 del 30 de octubre de 2019, la inexactitud –en el contexto de los </w:t>
      </w:r>
      <w:r>
        <w:rPr>
          <w:rFonts w:ascii="Verdana" w:eastAsia="MS Mincho" w:hAnsi="Verdana" w:cs="Arial"/>
          <w:lang w:val="es-MX" w:eastAsia="es-CO"/>
        </w:rPr>
        <w:t>“</w:t>
      </w:r>
      <w:r w:rsidRPr="00F67D88">
        <w:rPr>
          <w:rFonts w:ascii="Verdana" w:eastAsia="MS Mincho" w:hAnsi="Verdana" w:cs="Arial"/>
          <w:lang w:val="es-MX" w:eastAsia="es-CO"/>
        </w:rPr>
        <w:t>Documentos Tipo</w:t>
      </w:r>
      <w:r>
        <w:rPr>
          <w:rFonts w:ascii="Verdana" w:eastAsia="MS Mincho" w:hAnsi="Verdana" w:cs="Arial"/>
          <w:lang w:val="es-MX" w:eastAsia="es-CO"/>
        </w:rPr>
        <w:t>”</w:t>
      </w:r>
      <w:r w:rsidRPr="00F67D88">
        <w:rPr>
          <w:rFonts w:ascii="Verdana" w:eastAsia="MS Mincho" w:hAnsi="Verdana" w:cs="Arial"/>
          <w:lang w:val="es-MX" w:eastAsia="es-CO"/>
        </w:rPr>
        <w:t>– se entiende como “la disparidad, imprecisión, disconformidad o falta de precisión que se da de una información a otra”. En este sentido, “</w:t>
      </w:r>
      <w:r>
        <w:rPr>
          <w:rFonts w:ascii="Verdana" w:eastAsia="MS Mincho" w:hAnsi="Verdana" w:cs="Arial"/>
          <w:lang w:val="es-MX" w:eastAsia="es-CO"/>
        </w:rPr>
        <w:t>(</w:t>
      </w:r>
      <w:r w:rsidRPr="00F67D88">
        <w:rPr>
          <w:rFonts w:ascii="Verdana" w:eastAsia="MS Mincho" w:hAnsi="Verdana" w:cs="Arial"/>
          <w:lang w:val="es-MX" w:eastAsia="es-CO"/>
        </w:rPr>
        <w:t>…</w:t>
      </w:r>
      <w:r>
        <w:rPr>
          <w:rFonts w:ascii="Verdana" w:eastAsia="MS Mincho" w:hAnsi="Verdana" w:cs="Arial"/>
          <w:lang w:val="es-MX" w:eastAsia="es-CO"/>
        </w:rPr>
        <w:t>)</w:t>
      </w:r>
      <w:r w:rsidRPr="00F67D88">
        <w:rPr>
          <w:rFonts w:ascii="Verdana" w:eastAsia="MS Mincho" w:hAnsi="Verdana" w:cs="Arial"/>
          <w:lang w:val="es-MX" w:eastAsia="es-CO"/>
        </w:rPr>
        <w:t xml:space="preserve"> se habla de inexactitud cuando la información que aporta el </w:t>
      </w:r>
      <w:r w:rsidRPr="00F67D88">
        <w:rPr>
          <w:rFonts w:ascii="Verdana" w:eastAsia="MS Mincho" w:hAnsi="Verdana" w:cs="Arial"/>
          <w:lang w:val="es-MX" w:eastAsia="es-CO"/>
        </w:rPr>
        <w:lastRenderedPageBreak/>
        <w:t>proponente no concuerda con la que verifica la entidad, lo cual lleva a que esta información se entienda como no acreditada”.</w:t>
      </w:r>
    </w:p>
    <w:p w14:paraId="3B430761" w14:textId="77777777" w:rsidR="00AD6399" w:rsidRDefault="00AD6399" w:rsidP="00AD6399">
      <w:pPr>
        <w:spacing w:after="120" w:line="276" w:lineRule="auto"/>
        <w:ind w:firstLine="708"/>
        <w:jc w:val="both"/>
        <w:rPr>
          <w:rFonts w:ascii="Verdana" w:eastAsia="Times New Roman" w:hAnsi="Verdana" w:cs="Arial"/>
          <w:lang w:eastAsia="es-ES_tradnl"/>
        </w:rPr>
      </w:pPr>
      <w:r w:rsidRPr="00F67D88">
        <w:rPr>
          <w:rFonts w:ascii="Verdana" w:eastAsia="Times New Roman" w:hAnsi="Verdana" w:cs="Arial"/>
          <w:lang w:val="es-MX" w:eastAsia="es-ES_tradnl"/>
        </w:rPr>
        <w:t xml:space="preserve">La </w:t>
      </w:r>
      <w:r w:rsidRPr="00F67D88">
        <w:rPr>
          <w:rFonts w:ascii="Verdana" w:eastAsia="Times New Roman" w:hAnsi="Verdana" w:cs="Arial"/>
          <w:lang w:eastAsia="es-ES_tradnl"/>
        </w:rPr>
        <w:t xml:space="preserve">regla de verificación de la información prevista en el numeral 1.11 del documento base aplica frente a la totalidad de la información y documentación aportada para cumplir los requisitos exigidos en el pliego de condiciones. Además, dispone dos supuestos, con consecuencias diferentes: el primero, señala que una vez verificada la información y evidenciada la inconsistencia, la entidad estatal la tendrá por no acreditada. Por ejemplo, cuando se presente una certificación de experiencia, y ante las observaciones recibidas en el traslado del informe de evaluación se verifique con la entidad contratante que las emitió, que no es acorde con el objeto contractual ejecutado, la entidad que adelanta el proceso de contratación, ante la duda, no tendrá en cuenta la certificación para evaluar la experiencia, sin perjuicio de que el proponente cumpla con este requisito con los demás certificados que aporte. En este evento, se trata de inconsistencias que, aunque no se superan por la ausencia de otro medio probatorio, no tienen la connotación de falsedad. </w:t>
      </w:r>
    </w:p>
    <w:p w14:paraId="157EF9FE" w14:textId="77777777" w:rsidR="00AD6399" w:rsidRPr="006A22ED" w:rsidRDefault="00AD6399" w:rsidP="00AD6399">
      <w:pPr>
        <w:spacing w:after="120" w:line="276" w:lineRule="auto"/>
        <w:ind w:firstLine="708"/>
        <w:jc w:val="both"/>
        <w:rPr>
          <w:rFonts w:ascii="Verdana" w:eastAsia="Times New Roman" w:hAnsi="Verdana" w:cs="Arial"/>
          <w:lang w:eastAsia="es-ES_tradnl"/>
        </w:rPr>
      </w:pPr>
      <w:r w:rsidRPr="00F67D88">
        <w:rPr>
          <w:rFonts w:ascii="Verdana" w:eastAsia="Times New Roman" w:hAnsi="Verdana" w:cs="Arial"/>
          <w:lang w:eastAsia="es-ES_tradnl"/>
        </w:rPr>
        <w:t>El segundo evento se configura cuando de la verificación se corrobora que las inconsistencias obedecerían a una presunta falsedad no desvirtuada por el proponente, caso en el cual se rechaza la oferta y se informa a las autoridades correspondientes. Siguiendo con el ejemplo propuesto de la certificación de experiencia, la entidad que adelanta el procedimiento de selección, al comunicarse con la entidad para quien se ejecutó el contrato a acreditar, le informan que la certificación aportada por el proponente no fue expedida por esta, por cuanto ese objeto no fue ejecutado ni contratado. En este supuesto, cuando la entidad tiene el suficiente convencimiento de la existencia de la presunta falsedad, y luego de dar la oportunidad para que el proponente se manifieste, es procedente rechazar la oferta y compulsar copias a las autoridades competentes, quienes adelantarán las respectivas investigaciones.</w:t>
      </w:r>
    </w:p>
    <w:p w14:paraId="43495260" w14:textId="77777777" w:rsidR="00AD6399" w:rsidRPr="00881D8A" w:rsidRDefault="00AD6399" w:rsidP="00AD6399">
      <w:pPr>
        <w:spacing w:before="120" w:after="120" w:line="276" w:lineRule="auto"/>
        <w:ind w:firstLine="708"/>
        <w:jc w:val="both"/>
        <w:rPr>
          <w:rFonts w:ascii="Verdana" w:eastAsia="Calibri" w:hAnsi="Verdana" w:cs="Arial"/>
          <w:szCs w:val="20"/>
          <w:lang w:val="es-MX"/>
        </w:rPr>
      </w:pPr>
      <w:r w:rsidRPr="00881D8A">
        <w:rPr>
          <w:rFonts w:ascii="Verdana" w:eastAsia="Calibri" w:hAnsi="Verdana" w:cs="Arial"/>
        </w:rPr>
        <w:t>Ahora bien, aunque las</w:t>
      </w:r>
      <w:r w:rsidRPr="00881D8A">
        <w:rPr>
          <w:rFonts w:ascii="Verdana" w:eastAsia="Calibri" w:hAnsi="Verdana" w:cs="Arial"/>
          <w:szCs w:val="20"/>
        </w:rPr>
        <w:t xml:space="preserve"> causales de rechazo del literal E, H y X del numeral 1.15 de los documentos tipo se relacionan con la capacidad residual como requisito habilitante</w:t>
      </w:r>
      <w:r w:rsidRPr="00881D8A">
        <w:rPr>
          <w:rFonts w:ascii="Verdana" w:eastAsia="Calibri" w:hAnsi="Verdana" w:cs="Arial"/>
        </w:rPr>
        <w:t xml:space="preserve">, estas se aplican en supuestos diferentes, de acuerdo con lo explicado </w:t>
      </w:r>
      <w:r w:rsidRPr="00881D8A">
        <w:rPr>
          <w:rFonts w:ascii="Verdana" w:eastAsia="Calibri" w:hAnsi="Verdana" w:cs="Arial"/>
          <w:i/>
        </w:rPr>
        <w:t>ut supra</w:t>
      </w:r>
      <w:r w:rsidRPr="00881D8A">
        <w:rPr>
          <w:rFonts w:ascii="Verdana" w:eastAsia="Calibri" w:hAnsi="Verdana" w:cs="Arial"/>
        </w:rPr>
        <w:t xml:space="preserve">. La causal del literal H se produce si, por ejemplo, el proponente informó todos los contratos en ejecución, pero advierte que la información es inexacta y, además, que sobre la misma puede “existir una posible falsedad”. A título ilustrativo, podría pensarse en un contrato que se </w:t>
      </w:r>
      <w:r w:rsidRPr="00881D8A">
        <w:rPr>
          <w:rFonts w:ascii="Verdana" w:eastAsia="Calibri" w:hAnsi="Verdana" w:cs="Arial"/>
        </w:rPr>
        <w:lastRenderedPageBreak/>
        <w:t>aportó y frente al cual la entidad advierte la falsificación de una de las firmas del documento. Por su parte, la causal del literal X se presenta cuando el proponente deja de informar la totalidad de los contratos que tiene en ejecución antes del cierre o no reporta la información de los contratos exigida en el documento base. Siguiendo con el ejemplo, el supuesto de hecho se presenta si el proponente, teniendo tres contratos de obra en ejecución antes del cierre, no informa la totalidad de estos.</w:t>
      </w:r>
    </w:p>
    <w:p w14:paraId="6EEA0331" w14:textId="77777777" w:rsidR="00AD6399" w:rsidRPr="00881D8A" w:rsidRDefault="00AD6399" w:rsidP="00AD6399">
      <w:pPr>
        <w:spacing w:before="120" w:after="120" w:line="276" w:lineRule="auto"/>
        <w:ind w:firstLine="708"/>
        <w:jc w:val="both"/>
        <w:rPr>
          <w:rFonts w:ascii="Verdana" w:eastAsia="Calibri" w:hAnsi="Verdana" w:cs="Arial"/>
        </w:rPr>
      </w:pPr>
      <w:r w:rsidRPr="00881D8A">
        <w:rPr>
          <w:rFonts w:ascii="Verdana" w:eastAsia="Calibri" w:hAnsi="Verdana" w:cs="Arial"/>
        </w:rPr>
        <w:t xml:space="preserve">Finalmente, esta distinción también se proyecta sobre las reglas de </w:t>
      </w:r>
      <w:proofErr w:type="spellStart"/>
      <w:r w:rsidRPr="00881D8A">
        <w:rPr>
          <w:rFonts w:ascii="Verdana" w:eastAsia="Calibri" w:hAnsi="Verdana" w:cs="Arial"/>
        </w:rPr>
        <w:t>subsanabilidad</w:t>
      </w:r>
      <w:proofErr w:type="spellEnd"/>
      <w:r w:rsidRPr="00881D8A">
        <w:rPr>
          <w:rFonts w:ascii="Verdana" w:eastAsia="Calibri" w:hAnsi="Verdana" w:cs="Arial"/>
        </w:rPr>
        <w:t xml:space="preserve"> de las ofertas de la Ley 1150 de 2007, pues solo habrá lugar a subsanar en los eventos en los que el proponente omite información sobre los contratos reportados, esto es, en el evento de la causal del literal E. Dicho de otra forma, no se puede subsanar cuando se incurre las causales H y X, eventos en los cuales el rechazo procede de forma automática, es decir, sin permitirle al proponente subsanar la “inexactitud” de la oferta o el número de contratos de obra que tenía el deber de reportar.</w:t>
      </w:r>
    </w:p>
    <w:p w14:paraId="2289523C" w14:textId="77777777" w:rsidR="00AD6399" w:rsidRPr="00881D8A" w:rsidRDefault="00AD6399" w:rsidP="00AD6399">
      <w:pPr>
        <w:spacing w:before="120" w:after="120" w:line="276" w:lineRule="auto"/>
        <w:ind w:firstLine="708"/>
        <w:jc w:val="both"/>
        <w:rPr>
          <w:rFonts w:ascii="Verdana" w:eastAsia="Aptos" w:hAnsi="Verdana" w:cs="Arial"/>
        </w:rPr>
      </w:pPr>
      <w:r>
        <w:rPr>
          <w:rFonts w:ascii="Verdana" w:eastAsia="Calibri" w:hAnsi="Verdana" w:cs="Arial"/>
        </w:rPr>
        <w:t>L</w:t>
      </w:r>
      <w:r w:rsidRPr="00881D8A">
        <w:rPr>
          <w:rFonts w:ascii="Verdana" w:eastAsia="Calibri" w:hAnsi="Verdana" w:cs="Arial"/>
        </w:rPr>
        <w:t xml:space="preserve">a Agencia Nacional de Contratación Pública – Colombia Compra Eficiente, reitera la postura planteada en los conceptos 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y recientemente en el concepto C-1438 del 6 de noviembre de 2025, en el sentido de manifestar que, </w:t>
      </w:r>
      <w:r w:rsidRPr="00881D8A">
        <w:rPr>
          <w:rFonts w:ascii="Verdana" w:eastAsia="Calibri" w:hAnsi="Verdana" w:cs="Arial"/>
          <w:noProof/>
        </w:rPr>
        <w:t>lo</w:t>
      </w:r>
      <w:r w:rsidRPr="00881D8A">
        <w:rPr>
          <w:rFonts w:ascii="Verdana" w:eastAsia="Calibri" w:hAnsi="Verdana" w:cs="Arial"/>
        </w:rPr>
        <w:t xml:space="preserve"> expresado en el párrafo precedente no contradice lo dispuesto en el artículo 5, parágrafo 1, de la Ley 1150 de 2007, adicionado por el artículo 5 de la Ley 1882 de 2018, norma que dispone que “</w:t>
      </w:r>
      <w:r w:rsidRPr="00881D8A">
        <w:rPr>
          <w:rFonts w:ascii="Verdana" w:eastAsia="Calibri" w:hAnsi="Verdana" w:cs="Times New Roman"/>
        </w:rPr>
        <w:t xml:space="preserve">(…) </w:t>
      </w:r>
      <w:r w:rsidRPr="00881D8A">
        <w:rPr>
          <w:rFonts w:ascii="Verdana" w:eastAsia="Calibri" w:hAnsi="Verdana" w:cs="Arial"/>
        </w:rPr>
        <w:t xml:space="preserve">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w:t>
      </w:r>
    </w:p>
    <w:p w14:paraId="09247CC6" w14:textId="77777777" w:rsidR="00AD6399" w:rsidRPr="00881D8A" w:rsidRDefault="00AD6399" w:rsidP="00AD6399">
      <w:pPr>
        <w:spacing w:before="120" w:after="120" w:line="276" w:lineRule="auto"/>
        <w:ind w:firstLine="709"/>
        <w:jc w:val="both"/>
        <w:rPr>
          <w:rFonts w:ascii="Verdana" w:eastAsia="Aptos" w:hAnsi="Verdana" w:cs="Arial"/>
        </w:rPr>
      </w:pPr>
      <w:r w:rsidRPr="00881D8A">
        <w:rPr>
          <w:rFonts w:ascii="Verdana" w:eastAsia="Aptos" w:hAnsi="Verdana" w:cs="Arial"/>
        </w:rPr>
        <w:lastRenderedPageBreak/>
        <w:t xml:space="preserve">Como se expresó, la causal del literal X procede cuando el proponente no informa todos los contratos de obra, fenómeno que se verifica con el formato 5. En este supuesto, lo que genera el rechazo de la oferta no es la ausencia de la información del contrato omitido, sino el hecho de haberse informado menos contratos de los que tenía en ejecución. Incluso, en el evento en el que el proponente “corrija” el error e informe la existencia de un contrato no reportado, implica aceptar que ocurrió la causal del literal </w:t>
      </w:r>
      <w:r>
        <w:rPr>
          <w:rFonts w:ascii="Verdana" w:eastAsia="Aptos" w:hAnsi="Verdana" w:cs="Arial"/>
        </w:rPr>
        <w:t>X</w:t>
      </w:r>
      <w:r w:rsidRPr="00881D8A">
        <w:rPr>
          <w:rFonts w:ascii="Verdana" w:eastAsia="Aptos" w:hAnsi="Verdana" w:cs="Arial"/>
        </w:rPr>
        <w:t>, esto es, que el proponente incumplió su obligación de informar todos los contratos de obra que tenía en ejecución.</w:t>
      </w:r>
    </w:p>
    <w:p w14:paraId="57D37B84" w14:textId="77777777" w:rsidR="00AD6399" w:rsidRDefault="00AD6399" w:rsidP="00AD6399">
      <w:pPr>
        <w:spacing w:before="120" w:after="120" w:line="276" w:lineRule="auto"/>
        <w:ind w:firstLine="709"/>
        <w:jc w:val="both"/>
        <w:rPr>
          <w:rFonts w:ascii="Verdana" w:eastAsia="Calibri" w:hAnsi="Verdana" w:cs="Arial"/>
        </w:rPr>
      </w:pPr>
      <w:r w:rsidRPr="00881D8A">
        <w:rPr>
          <w:rFonts w:ascii="Verdana" w:eastAsia="Calibri" w:hAnsi="Verdana" w:cs="Arial"/>
        </w:rPr>
        <w:t xml:space="preserve">Conclusión similar se aplica al literal H del numeral 1.15. del documento base, en el entendido de que el supuesto de hecho de esa causal, esto es, lo que genera el rechazo de la oferta, es la acción del proponente de aportar “(…) información inexacta sobre la cual pueda existir una posible falsedad (…)”, no la ausencia de la información que podría haberse tomado del contrato viciado de falsedad. Al respecto, surge la siguiente inquietud: ¿es posible subsanar el hecho de aportar una firma falsa presentando el documento firmado válidamente? Para esta entidad, la respuesta es negativa debido a que la finalidad que persigue la causal </w:t>
      </w:r>
      <w:r w:rsidRPr="00881D8A">
        <w:rPr>
          <w:rFonts w:ascii="Verdana" w:eastAsia="Calibri" w:hAnsi="Verdana" w:cs="Arial"/>
          <w:i/>
        </w:rPr>
        <w:t>sub examine</w:t>
      </w:r>
      <w:r w:rsidRPr="00881D8A">
        <w:rPr>
          <w:rFonts w:ascii="Verdana" w:eastAsia="Calibri" w:hAnsi="Verdana" w:cs="Arial"/>
        </w:rPr>
        <w:t xml:space="preserve"> es desincentivar todas las prácticas delictivas en los procesos de contratación estatal. </w:t>
      </w:r>
    </w:p>
    <w:p w14:paraId="67364AA5" w14:textId="77777777" w:rsidR="00AD6399" w:rsidRDefault="00AD6399" w:rsidP="00AD6399">
      <w:pPr>
        <w:spacing w:before="120" w:after="120" w:line="276" w:lineRule="auto"/>
        <w:ind w:firstLine="709"/>
        <w:jc w:val="both"/>
        <w:rPr>
          <w:rFonts w:ascii="Verdana" w:eastAsia="Calibri" w:hAnsi="Verdana" w:cs="Arial"/>
        </w:rPr>
      </w:pPr>
      <w:r w:rsidRPr="00F67D88">
        <w:rPr>
          <w:rFonts w:ascii="Verdana" w:eastAsia="Times New Roman" w:hAnsi="Verdana" w:cs="Arial"/>
          <w:noProof/>
          <w:lang w:eastAsia="es-ES_tradnl"/>
        </w:rPr>
        <w:t xml:space="preserve">En este sentido, la configuración de la causal se determinará teniendo en cuenta si la información inexacta conduce a una posible falsedad. Piénsese en el evento en que el proponente reporta todos los contratos de obra en ejecución en el formato de saldos de contratos en ejecución, pero incurre en algún error en la información de estos contratos, como por ejemplo en el valor o el plazo. En este caso, conforme a la explicación precedente, en principio, no se trata de información inexacta que tenga la connotación de falsedad por lo que no habría lugar a rechazo de la propuesta por esta causal. Por ello, si el proponente omite o se equivoca en la información específica de un contrato incluido en el formato respectivo, la entidad podrá requerirlo para que aclare la información y, en caso de no responder, rechazar la propuesta por la causal que consagra el literal E del numeral 1.15. </w:t>
      </w:r>
    </w:p>
    <w:p w14:paraId="28DA9806" w14:textId="77777777" w:rsidR="00AD6399" w:rsidRDefault="00AD6399" w:rsidP="00AD6399">
      <w:pPr>
        <w:spacing w:before="120" w:after="120" w:line="276" w:lineRule="auto"/>
        <w:ind w:firstLine="709"/>
        <w:jc w:val="both"/>
        <w:rPr>
          <w:rFonts w:ascii="Verdana" w:eastAsia="Calibri" w:hAnsi="Verdana" w:cs="Arial"/>
        </w:rPr>
      </w:pPr>
      <w:r w:rsidRPr="00F67D88">
        <w:rPr>
          <w:rFonts w:ascii="Verdana" w:eastAsia="Times New Roman" w:hAnsi="Verdana" w:cs="Arial"/>
          <w:noProof/>
          <w:lang w:eastAsia="es-ES_tradnl"/>
        </w:rPr>
        <w:t xml:space="preserve">Sin embargo, las situaciones en la que la información inexacta conduce a una posible falsedad pueden ser múltiples y su configuración como causal de rechazo dependerá de las circunstancias particulares de cada caso. Por consiguiente, la entidad estatal deberá analizar concretamente cada una de ellas </w:t>
      </w:r>
      <w:r w:rsidRPr="00F67D88">
        <w:rPr>
          <w:rFonts w:ascii="Verdana" w:eastAsia="Times New Roman" w:hAnsi="Verdana" w:cs="Arial"/>
          <w:noProof/>
          <w:lang w:eastAsia="es-ES_tradnl"/>
        </w:rPr>
        <w:lastRenderedPageBreak/>
        <w:t xml:space="preserve">para determinar si existe una posible falsedad, caso en el cual, luego de dar la oportunidad para que el proponente se manifieste, es procedente rechazar la oferta y compulsar copias a las autoridades competentes, quienes adelantarán las respectivas investigaciones. Por ejemplo, en el evento en que se reporten todos los contratos y la entidad advierta que se consignó información errada en el formato respectivo soportada en documentos presuntamente falsos. En este caso, los datos erróneos corresponden a información inexacta sobre la cual pueda existir una posible falsedad, lo cual da lugar a la configuración de la causal de rechazo del literal H del numeral 1.15. del documento base e impide la subsanabilidad de la oferta en este aspecto. </w:t>
      </w:r>
    </w:p>
    <w:p w14:paraId="6506F039" w14:textId="77777777" w:rsidR="00AD6399" w:rsidRPr="006A22ED" w:rsidRDefault="00AD6399" w:rsidP="00AD6399">
      <w:pPr>
        <w:spacing w:before="120" w:after="0" w:line="276" w:lineRule="auto"/>
        <w:ind w:firstLine="709"/>
        <w:jc w:val="both"/>
        <w:rPr>
          <w:rFonts w:ascii="Verdana" w:eastAsia="Calibri" w:hAnsi="Verdana" w:cs="Arial"/>
        </w:rPr>
      </w:pPr>
      <w:r w:rsidRPr="00F67D88">
        <w:rPr>
          <w:rFonts w:ascii="Verdana" w:eastAsia="Times New Roman" w:hAnsi="Verdana" w:cs="Arial"/>
          <w:noProof/>
          <w:lang w:eastAsia="es-ES_tradnl"/>
        </w:rPr>
        <w:t xml:space="preserve">En relación con la información contractual no incluida que pueda afectar la capacidad residual del proponente, el pliego de condiciones del Documento Tipo – Versión 4 de licitación para obra pública de infraestructura de transporte estableció una regla especial en el numeral 3.11 así: </w:t>
      </w:r>
    </w:p>
    <w:p w14:paraId="563AB6F0" w14:textId="77777777" w:rsidR="00AD6399" w:rsidRPr="00F67D88" w:rsidRDefault="00AD6399" w:rsidP="00AD6399">
      <w:pPr>
        <w:spacing w:after="0" w:line="276" w:lineRule="auto"/>
        <w:ind w:firstLine="709"/>
        <w:jc w:val="both"/>
        <w:rPr>
          <w:rFonts w:ascii="Verdana" w:eastAsia="Times New Roman" w:hAnsi="Verdana" w:cs="Arial"/>
          <w:sz w:val="24"/>
          <w:szCs w:val="24"/>
          <w:lang w:eastAsia="es-ES_tradnl"/>
        </w:rPr>
      </w:pPr>
    </w:p>
    <w:p w14:paraId="2588F52C" w14:textId="77777777" w:rsidR="00AD6399" w:rsidRPr="00F67D88" w:rsidRDefault="00AD6399" w:rsidP="00AD6399">
      <w:pPr>
        <w:keepNext/>
        <w:spacing w:after="120" w:line="240" w:lineRule="auto"/>
        <w:ind w:left="709" w:right="709"/>
        <w:outlineLvl w:val="1"/>
        <w:rPr>
          <w:rFonts w:ascii="Verdana" w:eastAsia="Times New Roman" w:hAnsi="Verdana" w:cs="Arial"/>
          <w:b/>
          <w:sz w:val="21"/>
          <w:szCs w:val="21"/>
          <w:lang w:eastAsia="es-CO"/>
        </w:rPr>
      </w:pPr>
      <w:bookmarkStart w:id="16" w:name="_Toc32096843"/>
      <w:bookmarkStart w:id="17" w:name="_Toc32144836"/>
      <w:r w:rsidRPr="00F67D88">
        <w:rPr>
          <w:rFonts w:ascii="Verdana" w:eastAsia="Times New Roman" w:hAnsi="Verdana" w:cs="Arial"/>
          <w:b/>
          <w:sz w:val="21"/>
          <w:szCs w:val="21"/>
          <w:lang w:eastAsia="es-CO"/>
        </w:rPr>
        <w:t>3.10. CAPACIDAD RESIDUAL</w:t>
      </w:r>
      <w:bookmarkEnd w:id="16"/>
      <w:bookmarkEnd w:id="17"/>
      <w:r w:rsidRPr="00F67D88">
        <w:rPr>
          <w:rFonts w:ascii="Verdana" w:eastAsia="Times New Roman" w:hAnsi="Verdana" w:cs="Arial"/>
          <w:b/>
          <w:sz w:val="21"/>
          <w:szCs w:val="21"/>
          <w:lang w:eastAsia="es-CO"/>
        </w:rPr>
        <w:t xml:space="preserve"> </w:t>
      </w:r>
    </w:p>
    <w:p w14:paraId="1232669D" w14:textId="77777777" w:rsidR="00AD6399" w:rsidRPr="00F67D88" w:rsidRDefault="00AD6399" w:rsidP="00AD6399">
      <w:pPr>
        <w:widowControl w:val="0"/>
        <w:spacing w:after="0" w:line="240" w:lineRule="auto"/>
        <w:ind w:left="709" w:right="709"/>
        <w:jc w:val="both"/>
        <w:rPr>
          <w:rFonts w:ascii="Verdana" w:eastAsia="Arial" w:hAnsi="Verdana" w:cs="Arial"/>
          <w:sz w:val="21"/>
          <w:szCs w:val="21"/>
          <w:lang w:eastAsia="es-ES_tradnl"/>
        </w:rPr>
      </w:pPr>
      <w:r w:rsidRPr="00F67D88">
        <w:rPr>
          <w:rFonts w:ascii="Verdana" w:eastAsia="Times New Roman" w:hAnsi="Verdana" w:cs="Arial"/>
          <w:sz w:val="21"/>
          <w:szCs w:val="21"/>
          <w:lang w:eastAsia="es-ES_tradnl"/>
        </w:rPr>
        <w:t>El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Proponente</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será</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hábil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si</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la</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capacidad</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residual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del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Proponente</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(CRP)</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es</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mayor</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o</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igual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a</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la</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capacidad</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residual</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de</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Proceso de Contratación</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(CRPC).</w:t>
      </w:r>
      <w:r w:rsidRPr="00F67D88">
        <w:rPr>
          <w:rFonts w:ascii="Verdana" w:eastAsia="Arial" w:hAnsi="Verdana" w:cs="Arial"/>
          <w:sz w:val="21"/>
          <w:szCs w:val="21"/>
          <w:lang w:eastAsia="es-ES_tradnl"/>
        </w:rPr>
        <w:t xml:space="preserve"> </w:t>
      </w:r>
      <w:r w:rsidRPr="00F67D88">
        <w:rPr>
          <w:rFonts w:ascii="Verdana" w:eastAsia="Times New Roman" w:hAnsi="Verdana" w:cs="Arial"/>
          <w:sz w:val="21"/>
          <w:szCs w:val="21"/>
          <w:lang w:eastAsia="es-ES_tradnl"/>
        </w:rPr>
        <w:t>Así:</w:t>
      </w:r>
      <w:r w:rsidRPr="00F67D88">
        <w:rPr>
          <w:rFonts w:ascii="Verdana" w:eastAsia="Arial" w:hAnsi="Verdana" w:cs="Arial"/>
          <w:sz w:val="21"/>
          <w:szCs w:val="21"/>
          <w:lang w:eastAsia="es-ES_tradnl"/>
        </w:rPr>
        <w:t xml:space="preserve"> </w:t>
      </w:r>
    </w:p>
    <w:p w14:paraId="32974F68" w14:textId="77777777" w:rsidR="00AD6399" w:rsidRPr="00F67D88" w:rsidRDefault="00AD6399" w:rsidP="00AD6399">
      <w:pPr>
        <w:widowControl w:val="0"/>
        <w:spacing w:after="0" w:line="240" w:lineRule="auto"/>
        <w:ind w:left="709" w:right="709"/>
        <w:jc w:val="both"/>
        <w:rPr>
          <w:rFonts w:ascii="Verdana" w:eastAsia="Arial" w:hAnsi="Verdana" w:cs="Arial"/>
          <w:sz w:val="21"/>
          <w:szCs w:val="21"/>
          <w:lang w:eastAsia="es-ES_tradnl"/>
        </w:rPr>
      </w:pPr>
    </w:p>
    <w:p w14:paraId="71CE0F5C" w14:textId="77777777" w:rsidR="00AD6399" w:rsidRPr="00F67D88" w:rsidRDefault="00AD6399" w:rsidP="00AD6399">
      <w:pPr>
        <w:widowControl w:val="0"/>
        <w:spacing w:after="0" w:line="240" w:lineRule="auto"/>
        <w:ind w:left="709" w:right="709"/>
        <w:jc w:val="center"/>
        <w:rPr>
          <w:rFonts w:ascii="Verdana" w:eastAsia="MS Mincho" w:hAnsi="Verdana" w:cs="Arial"/>
          <w:sz w:val="21"/>
          <w:szCs w:val="21"/>
          <w:lang w:eastAsia="es-ES_tradnl"/>
        </w:rPr>
      </w:pPr>
      <m:oMathPara>
        <m:oMath>
          <m:r>
            <w:rPr>
              <w:rFonts w:ascii="Cambria Math" w:eastAsia="Times New Roman" w:hAnsi="Cambria Math" w:cs="Arial"/>
              <w:sz w:val="21"/>
              <w:szCs w:val="21"/>
              <w:lang w:eastAsia="es-ES_tradnl"/>
            </w:rPr>
            <m:t>CRP ≥CRPC</m:t>
          </m:r>
        </m:oMath>
      </m:oMathPara>
    </w:p>
    <w:p w14:paraId="093040AD" w14:textId="77777777" w:rsidR="00AD6399" w:rsidRPr="00F67D88" w:rsidRDefault="00AD6399" w:rsidP="00AD6399">
      <w:pPr>
        <w:widowControl w:val="0"/>
        <w:spacing w:after="0" w:line="240" w:lineRule="auto"/>
        <w:ind w:left="709" w:right="709"/>
        <w:jc w:val="center"/>
        <w:rPr>
          <w:rFonts w:ascii="Verdana" w:eastAsia="Times New Roman" w:hAnsi="Verdana" w:cs="Arial"/>
          <w:sz w:val="21"/>
          <w:szCs w:val="21"/>
          <w:lang w:eastAsia="es-ES_tradnl"/>
        </w:rPr>
      </w:pPr>
    </w:p>
    <w:p w14:paraId="1B2DD0E4" w14:textId="77777777" w:rsidR="00AD6399" w:rsidRPr="00F67D88" w:rsidRDefault="00AD6399" w:rsidP="00AD6399">
      <w:pPr>
        <w:widowControl w:val="0"/>
        <w:spacing w:after="120" w:line="240" w:lineRule="auto"/>
        <w:ind w:left="709" w:right="709"/>
        <w:jc w:val="both"/>
        <w:rPr>
          <w:rFonts w:ascii="Verdana" w:eastAsia="Arial" w:hAnsi="Verdana" w:cs="Arial"/>
          <w:sz w:val="21"/>
          <w:szCs w:val="21"/>
          <w:lang w:eastAsia="es-ES_tradnl"/>
        </w:rPr>
      </w:pPr>
      <w:r w:rsidRPr="00F67D88">
        <w:rPr>
          <w:rFonts w:ascii="Verdana" w:eastAsia="Times New Roman" w:hAnsi="Verdana" w:cs="Arial"/>
          <w:sz w:val="21"/>
          <w:szCs w:val="21"/>
          <w:lang w:eastAsia="es-ES_tradnl"/>
        </w:rPr>
        <w:t xml:space="preserve">Los Proponentes acreditarán la capacidad residual o K de contratación conforme se describe a continuación. </w:t>
      </w:r>
      <w:r w:rsidRPr="00F67D88">
        <w:rPr>
          <w:rFonts w:ascii="Verdana" w:eastAsia="Times New Roman" w:hAnsi="Verdana" w:cs="Arial"/>
          <w:i/>
          <w:iCs/>
          <w:sz w:val="21"/>
          <w:szCs w:val="21"/>
          <w:lang w:val="es-MX" w:eastAsia="es-ES_tradnl"/>
        </w:rPr>
        <w:t>En todo caso, si con posterioridad al cierre del proceso cualquier interesado, durante el traslado del informe de evaluación, o la entidad, en uso de la potestad verificadora, advierte que se dejó de incluir, al cierre del proceso, por parte de un proponente, alguna información contractual que afecte su capacidad residual, la entidad rechazará la oferta</w:t>
      </w:r>
      <w:r w:rsidRPr="00F67D88">
        <w:rPr>
          <w:rFonts w:ascii="Verdana" w:eastAsia="Times New Roman" w:hAnsi="Verdana" w:cs="Arial"/>
          <w:sz w:val="21"/>
          <w:szCs w:val="21"/>
          <w:lang w:eastAsia="es-ES_tradnl"/>
        </w:rPr>
        <w:t xml:space="preserve">. </w:t>
      </w:r>
    </w:p>
    <w:p w14:paraId="47B37C77" w14:textId="77777777" w:rsidR="00AD6399" w:rsidRPr="00F67D88" w:rsidRDefault="00AD6399" w:rsidP="00AD6399">
      <w:pPr>
        <w:widowControl w:val="0"/>
        <w:spacing w:after="120" w:line="240" w:lineRule="auto"/>
        <w:ind w:left="709" w:right="709"/>
        <w:jc w:val="both"/>
        <w:rPr>
          <w:rFonts w:ascii="Verdana" w:eastAsia="Times New Roman" w:hAnsi="Verdana" w:cs="Arial"/>
          <w:sz w:val="21"/>
          <w:szCs w:val="21"/>
          <w:lang w:eastAsia="es-ES_tradnl"/>
        </w:rPr>
      </w:pPr>
      <w:r w:rsidRPr="00F67D88">
        <w:rPr>
          <w:rFonts w:ascii="Verdana" w:eastAsia="Times New Roman" w:hAnsi="Verdana" w:cs="Arial"/>
          <w:sz w:val="21"/>
          <w:szCs w:val="21"/>
          <w:lang w:eastAsia="es-ES_tradnl"/>
        </w:rPr>
        <w:t>Lo anterior, sin perjuicio de las acciones administrativas y/o judiciales a que haya lugar, en contra de la (s) persona (s) que haya (n) suscrito las certificaciones exigidas para el cálculo de la capacidad residual.</w:t>
      </w:r>
    </w:p>
    <w:p w14:paraId="4BBABF91" w14:textId="77777777" w:rsidR="00AD6399" w:rsidRPr="00F67D88" w:rsidRDefault="00AD6399" w:rsidP="00AD6399">
      <w:pPr>
        <w:widowControl w:val="0"/>
        <w:spacing w:after="0" w:line="240" w:lineRule="auto"/>
        <w:ind w:left="709" w:right="709"/>
        <w:jc w:val="both"/>
        <w:rPr>
          <w:rFonts w:ascii="Verdana" w:eastAsia="Times New Roman" w:hAnsi="Verdana" w:cs="Arial"/>
          <w:sz w:val="21"/>
          <w:szCs w:val="21"/>
          <w:lang w:eastAsia="es-ES_tradnl"/>
        </w:rPr>
      </w:pPr>
      <w:r w:rsidRPr="00F67D88">
        <w:rPr>
          <w:rFonts w:ascii="Verdana" w:eastAsia="Times New Roman" w:hAnsi="Verdana" w:cs="Arial"/>
          <w:sz w:val="21"/>
          <w:szCs w:val="21"/>
          <w:lang w:eastAsia="es-ES_tradnl"/>
        </w:rPr>
        <w:t xml:space="preserve">[…] (Énfasis fuera de texto) </w:t>
      </w:r>
    </w:p>
    <w:p w14:paraId="5653EB73" w14:textId="77777777" w:rsidR="00AD6399" w:rsidRPr="00F67D88" w:rsidRDefault="00AD6399" w:rsidP="00AD6399">
      <w:pPr>
        <w:widowControl w:val="0"/>
        <w:spacing w:after="0" w:line="276" w:lineRule="auto"/>
        <w:ind w:right="709"/>
        <w:jc w:val="both"/>
        <w:rPr>
          <w:rFonts w:ascii="Verdana" w:eastAsia="Times New Roman" w:hAnsi="Verdana" w:cs="Arial"/>
          <w:sz w:val="24"/>
          <w:szCs w:val="24"/>
          <w:lang w:eastAsia="es-ES_tradnl"/>
        </w:rPr>
      </w:pPr>
    </w:p>
    <w:p w14:paraId="6C7C8972" w14:textId="77777777" w:rsidR="00AD6399" w:rsidRDefault="00AD6399" w:rsidP="00AD6399">
      <w:pPr>
        <w:snapToGrid w:val="0"/>
        <w:spacing w:before="120" w:after="0" w:line="276" w:lineRule="auto"/>
        <w:ind w:firstLine="709"/>
        <w:jc w:val="both"/>
        <w:rPr>
          <w:rFonts w:ascii="Verdana" w:eastAsia="MS Mincho" w:hAnsi="Verdana" w:cs="Arial"/>
          <w:lang w:eastAsia="es-CO"/>
        </w:rPr>
      </w:pPr>
      <w:bookmarkStart w:id="18" w:name="_Hlk81551358"/>
      <w:r w:rsidRPr="00F67D88">
        <w:rPr>
          <w:rFonts w:ascii="Verdana" w:eastAsia="Times New Roman" w:hAnsi="Verdana" w:cs="Arial"/>
          <w:color w:val="000000"/>
          <w:shd w:val="clear" w:color="auto" w:fill="FFFFFF"/>
          <w:lang w:eastAsia="es-ES_tradnl"/>
        </w:rPr>
        <w:t xml:space="preserve">De conformidad con esta regla, el rechazo de la oferta procede cuando en ejercicio de la potestad verificadora se advierta que se dejó de incluir información que afecta la capacidad residual del proponente, esto es, la </w:t>
      </w:r>
      <w:r w:rsidRPr="00F67D88">
        <w:rPr>
          <w:rFonts w:ascii="Verdana" w:eastAsia="Times New Roman" w:hAnsi="Verdana" w:cs="Arial"/>
          <w:color w:val="000000"/>
          <w:shd w:val="clear" w:color="auto" w:fill="FFFFFF"/>
          <w:lang w:eastAsia="es-ES_tradnl"/>
        </w:rPr>
        <w:lastRenderedPageBreak/>
        <w:t xml:space="preserve">referente a contratos de obra en ejecución. </w:t>
      </w:r>
      <w:r w:rsidRPr="00F67D88">
        <w:rPr>
          <w:rFonts w:ascii="Verdana" w:eastAsia="Times New Roman" w:hAnsi="Verdana" w:cs="Arial"/>
          <w:lang w:eastAsia="es-ES_tradnl"/>
        </w:rPr>
        <w:t xml:space="preserve">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w:t>
      </w:r>
      <w:bookmarkEnd w:id="18"/>
      <w:r w:rsidRPr="00F67D88">
        <w:rPr>
          <w:rFonts w:ascii="Verdana" w:eastAsia="Times New Roman" w:hAnsi="Verdana" w:cs="Arial"/>
          <w:lang w:eastAsia="es-ES_tradnl"/>
        </w:rPr>
        <w:t>Esto concuerda con la causal de rechazo prevista en el literal “H” del numeral 1.15 del documento base, el cual autoriza el rechazo de la propuesta en el evento en “</w:t>
      </w:r>
      <w:r w:rsidRPr="00F67D88">
        <w:rPr>
          <w:rFonts w:ascii="Verdana" w:eastAsia="Arial" w:hAnsi="Verdana" w:cs="Arial"/>
          <w:lang w:eastAsia="es-CO"/>
        </w:rPr>
        <w:t>Que</w:t>
      </w:r>
      <w:r w:rsidRPr="00F67D88">
        <w:rPr>
          <w:rFonts w:ascii="Verdana" w:eastAsia="Arial,Calibri" w:hAnsi="Verdana" w:cs="Arial"/>
          <w:lang w:eastAsia="es-CO"/>
        </w:rPr>
        <w:t xml:space="preserve"> </w:t>
      </w:r>
      <w:r w:rsidRPr="00F67D88">
        <w:rPr>
          <w:rFonts w:ascii="Verdana" w:eastAsia="Arial" w:hAnsi="Verdana" w:cs="Arial"/>
          <w:lang w:eastAsia="es-CO"/>
        </w:rPr>
        <w:t>el</w:t>
      </w:r>
      <w:r w:rsidRPr="00F67D88">
        <w:rPr>
          <w:rFonts w:ascii="Verdana" w:eastAsia="Arial,Calibri" w:hAnsi="Verdana" w:cs="Arial"/>
          <w:lang w:eastAsia="es-CO"/>
        </w:rPr>
        <w:t xml:space="preserve"> </w:t>
      </w:r>
      <w:r w:rsidRPr="00F67D88">
        <w:rPr>
          <w:rFonts w:ascii="Verdana" w:eastAsia="Arial" w:hAnsi="Verdana" w:cs="Arial"/>
          <w:lang w:eastAsia="es-CO"/>
        </w:rPr>
        <w:t>Proponente</w:t>
      </w:r>
      <w:r w:rsidRPr="00F67D88">
        <w:rPr>
          <w:rFonts w:ascii="Verdana" w:eastAsia="Arial,Calibri" w:hAnsi="Verdana" w:cs="Arial"/>
          <w:lang w:eastAsia="es-CO"/>
        </w:rPr>
        <w:t xml:space="preserve"> </w:t>
      </w:r>
      <w:r w:rsidRPr="00F67D88">
        <w:rPr>
          <w:rFonts w:ascii="Verdana" w:eastAsia="Arial" w:hAnsi="Verdana" w:cs="Arial"/>
          <w:lang w:eastAsia="es-CO"/>
        </w:rPr>
        <w:t xml:space="preserve">aporte información inexacta </w:t>
      </w:r>
      <w:r w:rsidRPr="00F67D88">
        <w:rPr>
          <w:rFonts w:ascii="Verdana" w:eastAsia="MS Mincho" w:hAnsi="Verdana" w:cs="Arial"/>
          <w:lang w:eastAsia="es-CO"/>
        </w:rPr>
        <w:t>sobre la cual pueda existir una posible falsedad</w:t>
      </w:r>
      <w:r w:rsidRPr="00F67D88" w:rsidDel="003061D1">
        <w:rPr>
          <w:rFonts w:ascii="Verdana" w:eastAsia="MS Mincho" w:hAnsi="Verdana" w:cs="Arial"/>
          <w:lang w:eastAsia="es-CO"/>
        </w:rPr>
        <w:t xml:space="preserve"> </w:t>
      </w:r>
      <w:r w:rsidRPr="00F67D88">
        <w:rPr>
          <w:rFonts w:ascii="Verdana" w:eastAsia="MS Mincho" w:hAnsi="Verdana" w:cs="Arial"/>
          <w:lang w:eastAsia="es-CO"/>
        </w:rPr>
        <w:t>en los términos de la sección 1.11”.</w:t>
      </w:r>
    </w:p>
    <w:p w14:paraId="00B1BF1F" w14:textId="77777777" w:rsidR="00AD6399" w:rsidRDefault="00AD6399" w:rsidP="00AD6399">
      <w:pPr>
        <w:snapToGrid w:val="0"/>
        <w:spacing w:before="120" w:after="120" w:line="276" w:lineRule="auto"/>
        <w:ind w:firstLine="709"/>
        <w:jc w:val="both"/>
        <w:rPr>
          <w:rFonts w:ascii="Verdana" w:eastAsia="MS Mincho" w:hAnsi="Verdana" w:cs="Arial"/>
          <w:lang w:eastAsia="es-CO"/>
        </w:rPr>
      </w:pPr>
      <w:r w:rsidRPr="00F67D88">
        <w:rPr>
          <w:rFonts w:ascii="Verdana" w:eastAsia="Times New Roman" w:hAnsi="Verdana" w:cs="Arial"/>
          <w:lang w:eastAsia="es-ES_tradnl"/>
        </w:rPr>
        <w:t xml:space="preserve">Según lo expuesto, al verificarse que el proponente no incluyó información contractual que afecte su capacidad residual, la entidad no estará en posición de solicitar aclaraciones, o acudir al régimen de </w:t>
      </w:r>
      <w:proofErr w:type="spellStart"/>
      <w:r w:rsidRPr="00F67D88">
        <w:rPr>
          <w:rFonts w:ascii="Verdana" w:eastAsia="Times New Roman" w:hAnsi="Verdana" w:cs="Arial"/>
          <w:lang w:eastAsia="es-ES_tradnl"/>
        </w:rPr>
        <w:t>subsanabilidad</w:t>
      </w:r>
      <w:proofErr w:type="spellEnd"/>
      <w:r w:rsidRPr="00F67D88">
        <w:rPr>
          <w:rFonts w:ascii="Verdana" w:eastAsia="Times New Roman" w:hAnsi="Verdana" w:cs="Arial"/>
          <w:lang w:eastAsia="es-ES_tradnl"/>
        </w:rPr>
        <w:t xml:space="preserve"> de ofertas</w:t>
      </w:r>
      <w:r w:rsidRPr="00F67D88">
        <w:rPr>
          <w:rFonts w:ascii="Verdana" w:eastAsia="Aptos" w:hAnsi="Verdana" w:cs="Times New Roman"/>
          <w:kern w:val="2"/>
          <w:sz w:val="24"/>
          <w:szCs w:val="24"/>
          <w:vertAlign w:val="superscript"/>
          <w:lang w:eastAsia="es-ES_tradnl"/>
          <w14:ligatures w14:val="standardContextual"/>
        </w:rPr>
        <w:footnoteReference w:id="4"/>
      </w:r>
      <w:r w:rsidRPr="00F67D88">
        <w:rPr>
          <w:rFonts w:ascii="Verdana" w:eastAsia="Times New Roman" w:hAnsi="Verdana" w:cs="Arial"/>
          <w:lang w:eastAsia="es-ES_tradnl"/>
        </w:rPr>
        <w:t xml:space="preserve">. Esto en la medida que tal circunstancia constituye una causal de rechazo en los términos de los literales H y </w:t>
      </w:r>
      <w:r>
        <w:rPr>
          <w:rFonts w:ascii="Verdana" w:eastAsia="Times New Roman" w:hAnsi="Verdana" w:cs="Arial"/>
          <w:lang w:eastAsia="es-ES_tradnl"/>
        </w:rPr>
        <w:t>X</w:t>
      </w:r>
      <w:r w:rsidRPr="00F67D88">
        <w:rPr>
          <w:rFonts w:ascii="Verdana" w:eastAsia="Times New Roman" w:hAnsi="Verdana" w:cs="Arial"/>
          <w:lang w:eastAsia="es-ES_tradnl"/>
        </w:rPr>
        <w:t xml:space="preserve"> del numeral 1.15 del documento base, las cuales deberán analizar, caso a caso, las entidades contratantes conforme a los parámetros antes mencionados.</w:t>
      </w:r>
    </w:p>
    <w:p w14:paraId="3DFDC089" w14:textId="77777777" w:rsidR="00AD6399" w:rsidRDefault="00AD6399" w:rsidP="00AD6399">
      <w:pPr>
        <w:snapToGrid w:val="0"/>
        <w:spacing w:before="120" w:after="120" w:line="276" w:lineRule="auto"/>
        <w:ind w:firstLine="709"/>
        <w:jc w:val="both"/>
        <w:rPr>
          <w:rFonts w:ascii="Verdana" w:eastAsia="MS Mincho" w:hAnsi="Verdana" w:cs="Arial"/>
          <w:lang w:eastAsia="es-CO"/>
        </w:rPr>
      </w:pPr>
      <w:r w:rsidRPr="00F67D88">
        <w:rPr>
          <w:rFonts w:ascii="Verdana" w:eastAsia="Times New Roman" w:hAnsi="Verdana" w:cs="Arial"/>
          <w:lang w:eastAsia="es-ES_tradnl"/>
        </w:rPr>
        <w:t xml:space="preserve">En el caso de que el proponente presente la oferta con antelación a la fecha de cierre, informando los contratos que hasta entonces esté ejecutando, pero antes de la fecha de cierre comienza a ejecutar otro nuevo, está en la obligación de reportarlo a la entidad. De lo contrario estaría informando menos contratos, lo que además de afectar el cálculo de su capacidad residual o </w:t>
      </w:r>
      <w:r w:rsidRPr="00F67D88">
        <w:rPr>
          <w:rFonts w:ascii="Verdana" w:eastAsia="Times New Roman" w:hAnsi="Verdana" w:cs="Arial"/>
          <w:i/>
          <w:iCs/>
          <w:lang w:eastAsia="es-ES_tradnl"/>
        </w:rPr>
        <w:t>K</w:t>
      </w:r>
      <w:r w:rsidRPr="00F67D88">
        <w:rPr>
          <w:rFonts w:ascii="Verdana" w:eastAsia="Times New Roman" w:hAnsi="Verdana" w:cs="Arial"/>
          <w:lang w:eastAsia="es-ES_tradnl"/>
        </w:rPr>
        <w:t xml:space="preserve"> de contratación, facultaría a la entidad para rechazar su oferta conforme a la causal X del numeral 1.15 del documento base o, eventualmente, por la causal del literal H </w:t>
      </w:r>
      <w:proofErr w:type="spellStart"/>
      <w:r w:rsidRPr="00F67D88">
        <w:rPr>
          <w:rFonts w:ascii="Verdana" w:eastAsia="Times New Roman" w:hAnsi="Verdana" w:cs="Arial"/>
          <w:i/>
          <w:lang w:eastAsia="es-ES_tradnl"/>
        </w:rPr>
        <w:t>ibídem</w:t>
      </w:r>
      <w:proofErr w:type="spellEnd"/>
      <w:r w:rsidRPr="00F67D88">
        <w:rPr>
          <w:rFonts w:ascii="Verdana" w:eastAsia="Times New Roman" w:hAnsi="Verdana" w:cs="Arial"/>
          <w:lang w:eastAsia="es-ES_tradnl"/>
        </w:rPr>
        <w:t>.</w:t>
      </w:r>
    </w:p>
    <w:p w14:paraId="4AD00B0E" w14:textId="77777777" w:rsidR="00AD6399" w:rsidRDefault="00AD6399" w:rsidP="00AD6399">
      <w:pPr>
        <w:snapToGrid w:val="0"/>
        <w:spacing w:before="120" w:after="120" w:line="276" w:lineRule="auto"/>
        <w:ind w:firstLine="709"/>
        <w:jc w:val="both"/>
        <w:rPr>
          <w:rFonts w:ascii="Verdana" w:eastAsia="MS Mincho" w:hAnsi="Verdana" w:cs="Arial"/>
          <w:lang w:eastAsia="es-CO"/>
        </w:rPr>
      </w:pPr>
      <w:r w:rsidRPr="00F67D88">
        <w:rPr>
          <w:rFonts w:ascii="Verdana" w:eastAsia="Times New Roman" w:hAnsi="Verdana" w:cs="Arial"/>
          <w:lang w:eastAsia="es-ES_tradnl"/>
        </w:rPr>
        <w:t xml:space="preserve">Ahora bien, en congruencia con lo explicado en el numeral anterior, es importante tener en cuenta que la causal de rechazo del literal X del numeral 1.15 del pliego aplica por “No informar todos los contratos que el Proponente tenga en ejecución antes del cierre, necesarios para acreditar su capacidad residual conforme a la sección 3.11”. Para estos efectos, conforme a las definiciones previstas en la Guía para Determinar y Verificar la Capacidad Residual del Proponente en los Procesos de Contratación de Obra Pública, el </w:t>
      </w:r>
      <w:r w:rsidRPr="00F67D88">
        <w:rPr>
          <w:rFonts w:ascii="Verdana" w:eastAsia="Times New Roman" w:hAnsi="Verdana" w:cs="Arial"/>
          <w:lang w:eastAsia="es-ES_tradnl"/>
        </w:rPr>
        <w:lastRenderedPageBreak/>
        <w:t>numeral II del literal E del numeral 3.11. del documento base dispone que “Los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w:t>
      </w:r>
    </w:p>
    <w:p w14:paraId="2A4501BD" w14:textId="77777777" w:rsidR="00AD6399" w:rsidRPr="006A22ED" w:rsidRDefault="00AD6399" w:rsidP="00AD6399">
      <w:pPr>
        <w:snapToGrid w:val="0"/>
        <w:spacing w:before="120" w:after="120" w:line="276" w:lineRule="auto"/>
        <w:ind w:firstLine="709"/>
        <w:jc w:val="both"/>
        <w:rPr>
          <w:rFonts w:ascii="Verdana" w:eastAsia="MS Mincho" w:hAnsi="Verdana" w:cs="Arial"/>
          <w:lang w:eastAsia="es-CO"/>
        </w:rPr>
      </w:pPr>
      <w:r w:rsidRPr="00F67D88">
        <w:rPr>
          <w:rFonts w:ascii="Verdana" w:eastAsia="Times New Roman" w:hAnsi="Verdana" w:cs="Arial"/>
          <w:lang w:eastAsia="es-ES_tradnl"/>
        </w:rPr>
        <w:t>Como se observa, la definición solo aplica a los contratos perfeccionados, aunque estos estén suspendidos o no tengan acta de inicio. Por tanto, están fuera de esta los procesos de selección adjudicados, pues –en los términos del artículo 41 de la Ley 80 de 1993– los contratos estatales de las entidades sometidas al Estatuto General de Contratación de la Administración Pública se perfeccionan cuando se logre acuerdo sobre el objeto y la contraprestación y éste se eleve a escrito, lo cual ocurre con la suscripción formal del contrato y no con el acto de adjudicación. Lo expuesto es congruente con el artículo 2.2.1.1.1.6.4 del Decreto 1082 de 2015, en virtud del cual, para efectos de acreditar la capacidad residual del proponente, se requiere el listado de contratos de obra civiles en ejecución suscritos con entidades estatales y con entidades privadas</w:t>
      </w:r>
      <w:r w:rsidRPr="00F67D88">
        <w:rPr>
          <w:rFonts w:ascii="Verdana" w:eastAsia="Times New Roman" w:hAnsi="Verdana" w:cs="Arial"/>
          <w:vertAlign w:val="superscript"/>
          <w:lang w:eastAsia="es-ES_tradnl"/>
        </w:rPr>
        <w:footnoteReference w:id="5"/>
      </w:r>
      <w:r w:rsidRPr="00F67D88">
        <w:rPr>
          <w:rFonts w:ascii="Verdana" w:eastAsia="Times New Roman" w:hAnsi="Verdana" w:cs="Arial"/>
          <w:lang w:eastAsia="es-ES_tradnl"/>
        </w:rPr>
        <w:t>.</w:t>
      </w:r>
    </w:p>
    <w:p w14:paraId="3460677C" w14:textId="77777777" w:rsidR="00AD6399" w:rsidRPr="00881D8A" w:rsidRDefault="00AD6399" w:rsidP="00AD6399">
      <w:pPr>
        <w:spacing w:after="0"/>
        <w:jc w:val="both"/>
        <w:rPr>
          <w:rFonts w:ascii="Verdana" w:eastAsia="Aptos" w:hAnsi="Verdana" w:cs="Arial"/>
          <w:color w:val="000000"/>
          <w:lang w:val="es-ES"/>
        </w:rPr>
      </w:pPr>
    </w:p>
    <w:p w14:paraId="716EBFE2" w14:textId="77777777" w:rsidR="00AD6399" w:rsidRPr="00881D8A" w:rsidRDefault="00AD6399" w:rsidP="00AD6399">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Referencias normativas, jurisprudenciales y otras fuentes:</w:t>
      </w:r>
    </w:p>
    <w:p w14:paraId="40C43803" w14:textId="77777777" w:rsidR="00AD6399" w:rsidRPr="00881D8A" w:rsidRDefault="00AD6399" w:rsidP="00AD6399">
      <w:pPr>
        <w:spacing w:after="0"/>
        <w:ind w:left="-15840"/>
        <w:jc w:val="both"/>
        <w:rPr>
          <w:rFonts w:ascii="Verdana" w:eastAsia="Calibri" w:hAnsi="Verdana" w:cs="Arial"/>
          <w:b/>
          <w:bCs/>
        </w:rPr>
      </w:pPr>
      <w:r w:rsidRPr="00881D8A">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D6399" w:rsidRPr="00881D8A" w14:paraId="666BCD8A" w14:textId="77777777" w:rsidTr="00296400">
        <w:trPr>
          <w:trHeight w:val="870"/>
        </w:trPr>
        <w:tc>
          <w:tcPr>
            <w:tcW w:w="8647" w:type="dxa"/>
            <w:tcBorders>
              <w:top w:val="dotted" w:sz="4" w:space="0" w:color="auto"/>
              <w:left w:val="dotted" w:sz="4" w:space="0" w:color="auto"/>
              <w:bottom w:val="dotted" w:sz="4" w:space="0" w:color="auto"/>
              <w:right w:val="dotted" w:sz="4" w:space="0" w:color="auto"/>
            </w:tcBorders>
          </w:tcPr>
          <w:p w14:paraId="42A5AF1F" w14:textId="77777777" w:rsidR="00AD6399" w:rsidRPr="00881D8A" w:rsidRDefault="00AD6399" w:rsidP="00296400">
            <w:pPr>
              <w:contextualSpacing/>
              <w:jc w:val="both"/>
              <w:rPr>
                <w:rFonts w:ascii="Verdana" w:eastAsia="Calibri" w:hAnsi="Verdana" w:cs="Arial"/>
                <w:bCs/>
                <w:lang w:val="es-ES"/>
              </w:rPr>
            </w:pPr>
          </w:p>
          <w:p w14:paraId="693BFE8B" w14:textId="77777777" w:rsidR="00AD6399" w:rsidRPr="00881D8A" w:rsidRDefault="00AD6399" w:rsidP="00AD6399">
            <w:pPr>
              <w:numPr>
                <w:ilvl w:val="0"/>
                <w:numId w:val="17"/>
              </w:numPr>
              <w:spacing w:line="276" w:lineRule="auto"/>
              <w:jc w:val="both"/>
              <w:rPr>
                <w:rFonts w:ascii="Verdana" w:eastAsia="Aptos" w:hAnsi="Verdana" w:cs="Arial"/>
                <w:color w:val="000000"/>
              </w:rPr>
            </w:pPr>
            <w:r w:rsidRPr="00881D8A">
              <w:rPr>
                <w:rFonts w:ascii="Verdana" w:eastAsia="Arial" w:hAnsi="Verdana" w:cs="Arial"/>
              </w:rPr>
              <w:t xml:space="preserve">Ley 1150 de 2007. Artículo 6. </w:t>
            </w:r>
          </w:p>
          <w:p w14:paraId="3DA102DF" w14:textId="77777777" w:rsidR="00AD6399" w:rsidRPr="00881D8A" w:rsidRDefault="00AD6399" w:rsidP="00AD6399">
            <w:pPr>
              <w:numPr>
                <w:ilvl w:val="0"/>
                <w:numId w:val="17"/>
              </w:numPr>
              <w:spacing w:line="276" w:lineRule="auto"/>
              <w:jc w:val="both"/>
              <w:rPr>
                <w:rFonts w:ascii="Verdana" w:eastAsia="Aptos" w:hAnsi="Verdana" w:cs="Arial"/>
                <w:color w:val="000000"/>
              </w:rPr>
            </w:pPr>
            <w:r w:rsidRPr="00881D8A">
              <w:rPr>
                <w:rFonts w:ascii="Verdana" w:eastAsia="Arial" w:hAnsi="Verdana" w:cs="Arial"/>
              </w:rPr>
              <w:t xml:space="preserve">Ley 1682 de 2013. </w:t>
            </w:r>
            <w:r w:rsidRPr="00881D8A">
              <w:rPr>
                <w:rFonts w:ascii="Verdana" w:eastAsia="Aptos" w:hAnsi="Verdana" w:cs="Arial"/>
                <w:color w:val="000000"/>
              </w:rPr>
              <w:t xml:space="preserve"> Artículo 3 y </w:t>
            </w:r>
            <w:r w:rsidRPr="00881D8A">
              <w:rPr>
                <w:rFonts w:ascii="Verdana" w:eastAsia="Arial" w:hAnsi="Verdana" w:cs="Arial"/>
              </w:rPr>
              <w:t>72.</w:t>
            </w:r>
          </w:p>
          <w:p w14:paraId="64F7FFD3" w14:textId="77777777" w:rsidR="00AD6399" w:rsidRPr="00881D8A" w:rsidRDefault="00AD6399" w:rsidP="00AD6399">
            <w:pPr>
              <w:numPr>
                <w:ilvl w:val="0"/>
                <w:numId w:val="17"/>
              </w:numPr>
              <w:spacing w:line="276" w:lineRule="auto"/>
              <w:jc w:val="both"/>
              <w:rPr>
                <w:rFonts w:ascii="Verdana" w:eastAsia="Aptos" w:hAnsi="Verdana" w:cs="Arial"/>
                <w:color w:val="000000"/>
              </w:rPr>
            </w:pPr>
            <w:r w:rsidRPr="00881D8A">
              <w:rPr>
                <w:rFonts w:ascii="Verdana" w:eastAsia="Aptos" w:hAnsi="Verdana" w:cs="Arial"/>
                <w:color w:val="000000"/>
              </w:rPr>
              <w:t xml:space="preserve">Decreto 1082 de 2015. Artículos 2.2.1.1.1.3.1, </w:t>
            </w:r>
            <w:r w:rsidRPr="00881D8A">
              <w:rPr>
                <w:rFonts w:ascii="Verdana" w:eastAsia="Calibri" w:hAnsi="Verdana" w:cs="Arial"/>
                <w:bCs/>
                <w:lang w:eastAsia="es-ES_tradnl"/>
              </w:rPr>
              <w:t xml:space="preserve">2.2.1.1.1.5.1., </w:t>
            </w:r>
            <w:r w:rsidRPr="00881D8A">
              <w:rPr>
                <w:rFonts w:ascii="Verdana" w:eastAsia="Aptos" w:hAnsi="Verdana" w:cs="Arial"/>
                <w:color w:val="000000"/>
              </w:rPr>
              <w:t>2.2.1.1.1.6.4.</w:t>
            </w:r>
          </w:p>
          <w:p w14:paraId="191E2130" w14:textId="77777777" w:rsidR="00AD6399" w:rsidRPr="00881D8A" w:rsidRDefault="00AD6399" w:rsidP="00AD6399">
            <w:pPr>
              <w:numPr>
                <w:ilvl w:val="0"/>
                <w:numId w:val="17"/>
              </w:numPr>
              <w:contextualSpacing/>
              <w:jc w:val="both"/>
              <w:rPr>
                <w:rFonts w:ascii="Verdana" w:eastAsia="Aptos" w:hAnsi="Verdana" w:cs="Times New Roman"/>
              </w:rPr>
            </w:pPr>
            <w:r w:rsidRPr="00881D8A">
              <w:rPr>
                <w:rFonts w:ascii="Verdana" w:eastAsia="Aptos" w:hAnsi="Verdana" w:cs="Times New Roman"/>
              </w:rPr>
              <w:t xml:space="preserve">Consejo de Estado. Sala de lo Contencioso Administrativo. Sección Tercera. Sentencia del 27 de abril de 2011. </w:t>
            </w:r>
            <w:proofErr w:type="spellStart"/>
            <w:r w:rsidRPr="00881D8A">
              <w:rPr>
                <w:rFonts w:ascii="Verdana" w:eastAsia="Aptos" w:hAnsi="Verdana" w:cs="Times New Roman"/>
              </w:rPr>
              <w:t>Exp</w:t>
            </w:r>
            <w:proofErr w:type="spellEnd"/>
            <w:r w:rsidRPr="00881D8A">
              <w:rPr>
                <w:rFonts w:ascii="Verdana" w:eastAsia="Aptos" w:hAnsi="Verdana" w:cs="Times New Roman"/>
              </w:rPr>
              <w:t>. 18.293. C.P. Ruth Stella Correa Palacio.</w:t>
            </w:r>
          </w:p>
          <w:p w14:paraId="33EBF89E" w14:textId="77777777" w:rsidR="00AD6399" w:rsidRPr="00881D8A" w:rsidRDefault="00AD6399" w:rsidP="00AD6399">
            <w:pPr>
              <w:numPr>
                <w:ilvl w:val="0"/>
                <w:numId w:val="17"/>
              </w:numPr>
              <w:contextualSpacing/>
              <w:jc w:val="both"/>
              <w:rPr>
                <w:rFonts w:ascii="Verdana" w:eastAsia="Aptos" w:hAnsi="Verdana" w:cs="Times New Roman"/>
              </w:rPr>
            </w:pPr>
            <w:r w:rsidRPr="00881D8A">
              <w:rPr>
                <w:rFonts w:ascii="Verdana" w:eastAsia="Aptos" w:hAnsi="Verdana" w:cs="Times New Roman"/>
              </w:rPr>
              <w:lastRenderedPageBreak/>
              <w:t xml:space="preserve">Consejo de Estado. Sala de lo Contencioso Administrativo, Sección Tercera. Sentencia del 21 de noviembre de 2013 </w:t>
            </w:r>
            <w:proofErr w:type="spellStart"/>
            <w:r w:rsidRPr="00881D8A">
              <w:rPr>
                <w:rFonts w:ascii="Verdana" w:eastAsia="Aptos" w:hAnsi="Verdana" w:cs="Times New Roman"/>
              </w:rPr>
              <w:t>Exp</w:t>
            </w:r>
            <w:proofErr w:type="spellEnd"/>
            <w:r w:rsidRPr="00881D8A">
              <w:rPr>
                <w:rFonts w:ascii="Verdana" w:eastAsia="Aptos" w:hAnsi="Verdana" w:cs="Times New Roman"/>
              </w:rPr>
              <w:t>. 25397. C.P. Carlos Alberto Zambrano Barrera.</w:t>
            </w:r>
          </w:p>
          <w:p w14:paraId="7EAD987E" w14:textId="77777777" w:rsidR="00AD6399" w:rsidRPr="00881D8A" w:rsidRDefault="00AD6399" w:rsidP="00AD6399">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881D8A">
              <w:rPr>
                <w:rFonts w:ascii="Verdana" w:eastAsia="Calibri" w:hAnsi="Verdana" w:cs="Arial"/>
                <w:lang w:val="es-ES_tradnl"/>
              </w:rPr>
              <w:t xml:space="preserve">Ley 2022 de 2020, artículo 1. </w:t>
            </w:r>
          </w:p>
          <w:p w14:paraId="64C00478" w14:textId="77777777" w:rsidR="00AD6399" w:rsidRPr="00881D8A" w:rsidRDefault="00AD6399" w:rsidP="00AD6399">
            <w:pPr>
              <w:widowControl w:val="0"/>
              <w:numPr>
                <w:ilvl w:val="0"/>
                <w:numId w:val="17"/>
              </w:numPr>
              <w:autoSpaceDE w:val="0"/>
              <w:autoSpaceDN w:val="0"/>
              <w:spacing w:line="276" w:lineRule="auto"/>
              <w:jc w:val="both"/>
              <w:rPr>
                <w:rFonts w:ascii="Verdana" w:eastAsia="Calibri" w:hAnsi="Verdana" w:cs="Arial"/>
              </w:rPr>
            </w:pPr>
            <w:r w:rsidRPr="00881D8A">
              <w:rPr>
                <w:rFonts w:ascii="Verdana" w:eastAsia="Calibri" w:hAnsi="Verdana" w:cs="Arial"/>
              </w:rPr>
              <w:t>Ley 1150 de 2007, artículo 2.</w:t>
            </w:r>
          </w:p>
          <w:p w14:paraId="3578629C" w14:textId="77777777" w:rsidR="00AD6399" w:rsidRPr="00881D8A" w:rsidRDefault="00AD6399" w:rsidP="00AD6399">
            <w:pPr>
              <w:widowControl w:val="0"/>
              <w:numPr>
                <w:ilvl w:val="0"/>
                <w:numId w:val="17"/>
              </w:numPr>
              <w:autoSpaceDE w:val="0"/>
              <w:autoSpaceDN w:val="0"/>
              <w:spacing w:line="276" w:lineRule="auto"/>
              <w:contextualSpacing/>
              <w:jc w:val="both"/>
              <w:rPr>
                <w:rFonts w:ascii="Verdana" w:eastAsia="Calibri" w:hAnsi="Verdana" w:cs="Arial"/>
                <w:lang w:val="es-ES"/>
              </w:rPr>
            </w:pPr>
            <w:r w:rsidRPr="00881D8A">
              <w:rPr>
                <w:rFonts w:ascii="Verdana" w:eastAsia="Calibri" w:hAnsi="Verdana" w:cs="Arial"/>
                <w:lang w:val="es-ES_tradnl"/>
              </w:rPr>
              <w:t xml:space="preserve">Documentos Tipo. Disponibles en: </w:t>
            </w:r>
            <w:hyperlink r:id="rId12" w:history="1">
              <w:r w:rsidRPr="00881D8A">
                <w:rPr>
                  <w:rFonts w:ascii="Verdana" w:eastAsia="Calibri" w:hAnsi="Verdana" w:cs="Arial"/>
                  <w:color w:val="0000FF"/>
                  <w:u w:val="single"/>
                  <w:lang w:val="es-ES_tradnl"/>
                </w:rPr>
                <w:t>https://www.colombiacompra.gov.co/documentos-tipo/documentos-tipo</w:t>
              </w:r>
            </w:hyperlink>
            <w:r w:rsidRPr="00881D8A">
              <w:rPr>
                <w:rFonts w:ascii="Verdana" w:eastAsia="Calibri" w:hAnsi="Verdana" w:cs="Arial"/>
                <w:lang w:val="es-ES_tradnl"/>
              </w:rPr>
              <w:t>.</w:t>
            </w:r>
          </w:p>
        </w:tc>
      </w:tr>
    </w:tbl>
    <w:p w14:paraId="50B9234A" w14:textId="77777777" w:rsidR="00AD6399" w:rsidRPr="00881D8A" w:rsidRDefault="00AD6399" w:rsidP="00AD6399">
      <w:pPr>
        <w:tabs>
          <w:tab w:val="left" w:pos="142"/>
          <w:tab w:val="left" w:pos="284"/>
        </w:tabs>
        <w:spacing w:after="0" w:line="276" w:lineRule="auto"/>
        <w:jc w:val="both"/>
        <w:rPr>
          <w:rFonts w:ascii="Verdana" w:eastAsia="Calibri" w:hAnsi="Verdana" w:cs="Arial"/>
        </w:rPr>
      </w:pPr>
    </w:p>
    <w:p w14:paraId="698BA6E5" w14:textId="77777777" w:rsidR="00AD6399" w:rsidRPr="00881D8A" w:rsidRDefault="00AD6399" w:rsidP="00AD6399">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881D8A">
        <w:rPr>
          <w:rFonts w:ascii="Verdana" w:eastAsia="Century Gothic" w:hAnsi="Verdana" w:cs="Century Gothic"/>
          <w:b/>
          <w:bCs/>
        </w:rPr>
        <w:t>Doctrina de la Agencia Nacional de Contratación Pública:</w:t>
      </w:r>
    </w:p>
    <w:p w14:paraId="2D8E974E" w14:textId="77777777" w:rsidR="00AD6399" w:rsidRPr="00881D8A" w:rsidRDefault="00AD6399" w:rsidP="00AD6399">
      <w:pPr>
        <w:widowControl w:val="0"/>
        <w:autoSpaceDE w:val="0"/>
        <w:autoSpaceDN w:val="0"/>
        <w:spacing w:after="0" w:line="276" w:lineRule="auto"/>
        <w:jc w:val="both"/>
        <w:rPr>
          <w:rFonts w:ascii="Verdana" w:eastAsia="Calibri" w:hAnsi="Verdana" w:cs="Arial"/>
        </w:rPr>
      </w:pPr>
    </w:p>
    <w:p w14:paraId="524F4554" w14:textId="77777777" w:rsidR="00AD6399" w:rsidRPr="00881D8A" w:rsidRDefault="00AD6399" w:rsidP="00AD6399">
      <w:pPr>
        <w:widowControl w:val="0"/>
        <w:autoSpaceDE w:val="0"/>
        <w:autoSpaceDN w:val="0"/>
        <w:spacing w:after="0" w:line="276" w:lineRule="auto"/>
        <w:jc w:val="both"/>
        <w:rPr>
          <w:rFonts w:ascii="Verdana" w:eastAsia="Times New Roman" w:hAnsi="Verdana" w:cs="Arial"/>
          <w:shd w:val="clear" w:color="auto" w:fill="FFFFFF"/>
          <w:lang w:val="es-ES"/>
        </w:rPr>
      </w:pPr>
      <w:r w:rsidRPr="00881D8A">
        <w:rPr>
          <w:rFonts w:ascii="Verdana" w:eastAsia="Calibri" w:hAnsi="Verdana" w:cs="Arial"/>
          <w:shd w:val="clear" w:color="auto" w:fill="FFFFFF"/>
        </w:rPr>
        <w:t>L</w:t>
      </w:r>
      <w:r w:rsidRPr="00881D8A">
        <w:rPr>
          <w:rFonts w:ascii="Verdana" w:eastAsia="Calibri" w:hAnsi="Verdana" w:cs="Arial"/>
          <w:shd w:val="clear" w:color="auto" w:fill="FFFFFF"/>
          <w:lang w:val="es-ES"/>
        </w:rPr>
        <w:t xml:space="preserve">a Agencia Nacional de Contratación Pública – Colombia Compra Eficiente, se pronunció sobre la causal de rechazo del literal X de los documentos tipo de licitación de obra pública de infraestructura de trasporte, entre otros en los siguientes conceptos: </w:t>
      </w:r>
      <w:r w:rsidRPr="00881D8A">
        <w:rPr>
          <w:rFonts w:ascii="Verdana" w:eastAsia="Calibri" w:hAnsi="Verdana" w:cs="Arial"/>
        </w:rPr>
        <w:t>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C-1438 del 6 de noviembre de 2025</w:t>
      </w:r>
      <w:r>
        <w:rPr>
          <w:rFonts w:ascii="Verdana" w:eastAsia="Calibri" w:hAnsi="Verdana" w:cs="Arial"/>
        </w:rPr>
        <w:t xml:space="preserve"> y C-1795 del 30 de diciembre de 2025</w:t>
      </w:r>
      <w:r w:rsidRPr="00881D8A">
        <w:rPr>
          <w:rFonts w:ascii="Verdana" w:eastAsia="Calibri" w:hAnsi="Verdana" w:cs="Arial"/>
        </w:rPr>
        <w:t>.</w:t>
      </w:r>
    </w:p>
    <w:p w14:paraId="462397FC" w14:textId="77777777" w:rsidR="00AD6399" w:rsidRPr="00881D8A" w:rsidRDefault="00AD6399" w:rsidP="00AD6399">
      <w:pPr>
        <w:widowControl w:val="0"/>
        <w:autoSpaceDE w:val="0"/>
        <w:autoSpaceDN w:val="0"/>
        <w:spacing w:after="0" w:line="276" w:lineRule="auto"/>
        <w:jc w:val="both"/>
        <w:rPr>
          <w:rFonts w:ascii="Verdana" w:eastAsia="Times New Roman" w:hAnsi="Verdana" w:cs="Arial"/>
          <w:shd w:val="clear" w:color="auto" w:fill="FFFFFF"/>
          <w:lang w:val="es-ES"/>
        </w:rPr>
      </w:pPr>
    </w:p>
    <w:p w14:paraId="5E8A6AAC" w14:textId="77777777" w:rsidR="00AD6399" w:rsidRPr="00881D8A" w:rsidRDefault="00AD6399" w:rsidP="00AD6399">
      <w:pPr>
        <w:widowControl w:val="0"/>
        <w:autoSpaceDE w:val="0"/>
        <w:autoSpaceDN w:val="0"/>
        <w:spacing w:after="0" w:line="276" w:lineRule="auto"/>
        <w:jc w:val="both"/>
        <w:rPr>
          <w:rFonts w:ascii="Verdana" w:eastAsia="Times New Roman" w:hAnsi="Verdana" w:cs="Arial"/>
          <w:shd w:val="clear" w:color="auto" w:fill="FFFFFF"/>
          <w:lang w:val="es-ES"/>
        </w:rPr>
      </w:pPr>
      <w:r w:rsidRPr="00881D8A">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881D8A">
          <w:rPr>
            <w:rFonts w:ascii="Verdana" w:eastAsia="Calibri" w:hAnsi="Verdana" w:cs="Arial"/>
            <w:color w:val="0000FF"/>
            <w:kern w:val="2"/>
            <w:u w:val="single"/>
            <w:shd w:val="clear" w:color="auto" w:fill="FFFFFF"/>
            <w14:ligatures w14:val="standardContextual"/>
          </w:rPr>
          <w:t>https://relatoria.colombiacompra.gov.co/</w:t>
        </w:r>
      </w:hyperlink>
      <w:r w:rsidRPr="00881D8A">
        <w:rPr>
          <w:rFonts w:ascii="Verdana" w:eastAsia="Calibri" w:hAnsi="Verdana" w:cs="Arial"/>
          <w:color w:val="0000FF"/>
          <w:kern w:val="2"/>
          <w:u w:val="single"/>
          <w:shd w:val="clear" w:color="auto" w:fill="FFFFFF"/>
          <w14:ligatures w14:val="standardContextual"/>
        </w:rPr>
        <w:t> .</w:t>
      </w:r>
    </w:p>
    <w:p w14:paraId="7F2B374D" w14:textId="77777777" w:rsidR="00AD6399" w:rsidRPr="00881D8A" w:rsidRDefault="00AD6399" w:rsidP="00AD6399">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37F5779D" w14:textId="77777777" w:rsidR="00AD6399" w:rsidRPr="00881D8A" w:rsidRDefault="00AD6399" w:rsidP="00AD6399">
      <w:pPr>
        <w:spacing w:after="0" w:line="240" w:lineRule="auto"/>
        <w:jc w:val="both"/>
        <w:rPr>
          <w:rFonts w:ascii="Verdana" w:eastAsia="Calibri" w:hAnsi="Verdana" w:cs="Arial"/>
          <w:color w:val="000000"/>
          <w:kern w:val="2"/>
          <w:shd w:val="clear" w:color="auto" w:fill="FFFFFF"/>
          <w14:ligatures w14:val="standardContextual"/>
        </w:rPr>
      </w:pPr>
      <w:r w:rsidRPr="00881D8A">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881D8A">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881D8A">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881D8A">
        <w:rPr>
          <w:rFonts w:ascii="Verdana" w:eastAsia="Calibri" w:hAnsi="Verdana" w:cs="Arial"/>
          <w:color w:val="000000"/>
          <w:kern w:val="2"/>
          <w:shd w:val="clear" w:color="auto" w:fill="FFFFFF"/>
          <w14:ligatures w14:val="standardContextual"/>
        </w:rPr>
        <w:t>Wayúu</w:t>
      </w:r>
      <w:proofErr w:type="spellEnd"/>
      <w:r w:rsidRPr="00881D8A">
        <w:rPr>
          <w:rFonts w:ascii="Verdana" w:eastAsia="Calibri" w:hAnsi="Verdana" w:cs="Arial"/>
          <w:color w:val="000000"/>
          <w:kern w:val="2"/>
          <w:shd w:val="clear" w:color="auto" w:fill="FFFFFF"/>
          <w14:ligatures w14:val="standardContextual"/>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881D8A">
          <w:rPr>
            <w:rFonts w:ascii="Verdana" w:eastAsia="Calibri" w:hAnsi="Verdana" w:cs="Arial"/>
            <w:color w:val="0000FF"/>
            <w:kern w:val="2"/>
            <w:u w:val="single"/>
            <w:shd w:val="clear" w:color="auto" w:fill="FFFFFF"/>
            <w14:ligatures w14:val="standardContextual"/>
          </w:rPr>
          <w:t xml:space="preserve">Guía de lineamientos de transparencia y selección </w:t>
        </w:r>
        <w:r w:rsidRPr="00881D8A">
          <w:rPr>
            <w:rFonts w:ascii="Verdana" w:eastAsia="Calibri" w:hAnsi="Verdana" w:cs="Arial"/>
            <w:color w:val="0000FF"/>
            <w:kern w:val="2"/>
            <w:u w:val="single"/>
            <w:shd w:val="clear" w:color="auto" w:fill="FFFFFF"/>
            <w14:ligatures w14:val="standardContextual"/>
          </w:rPr>
          <w:lastRenderedPageBreak/>
          <w:t>objetiva para el departamento de La Guajira – Objetivo sexto constitucional de la Sentencia T-302 del 2017</w:t>
        </w:r>
      </w:hyperlink>
      <w:r w:rsidRPr="00881D8A">
        <w:rPr>
          <w:rFonts w:ascii="Verdana" w:eastAsia="Calibri" w:hAnsi="Verdana" w:cs="Arial"/>
          <w:color w:val="000000"/>
          <w:kern w:val="2"/>
          <w:u w:val="single"/>
          <w:shd w:val="clear" w:color="auto" w:fill="FFFFFF"/>
          <w14:ligatures w14:val="standardContextual"/>
        </w:rPr>
        <w:t>"</w:t>
      </w:r>
    </w:p>
    <w:p w14:paraId="5EFA986D" w14:textId="77777777" w:rsidR="00AD6399" w:rsidRPr="00881D8A" w:rsidRDefault="00AD6399" w:rsidP="00AD6399">
      <w:pPr>
        <w:spacing w:after="0" w:line="278" w:lineRule="auto"/>
        <w:jc w:val="both"/>
        <w:rPr>
          <w:rFonts w:ascii="Verdana" w:eastAsia="Aptos" w:hAnsi="Verdana" w:cs="Times New Roman"/>
          <w:color w:val="212121"/>
          <w:kern w:val="2"/>
          <w14:ligatures w14:val="standardContextual"/>
        </w:rPr>
      </w:pPr>
    </w:p>
    <w:p w14:paraId="4EB677FF" w14:textId="77777777" w:rsidR="00AD6399" w:rsidRPr="00881D8A" w:rsidRDefault="00AD6399" w:rsidP="00AD6399">
      <w:pPr>
        <w:spacing w:after="0" w:line="240" w:lineRule="auto"/>
        <w:jc w:val="both"/>
        <w:rPr>
          <w:rFonts w:ascii="Verdana" w:eastAsia="Calibri" w:hAnsi="Verdana" w:cs="Times New Roman"/>
          <w:kern w:val="2"/>
          <w14:ligatures w14:val="standardContextual"/>
        </w:rPr>
      </w:pPr>
      <w:r w:rsidRPr="00881D8A">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492648C7" w14:textId="77777777" w:rsidR="00AD6399" w:rsidRPr="00881D8A" w:rsidRDefault="00AD6399" w:rsidP="00AD6399">
      <w:pPr>
        <w:spacing w:after="0" w:line="240" w:lineRule="auto"/>
        <w:jc w:val="both"/>
        <w:rPr>
          <w:rFonts w:ascii="Verdana" w:eastAsia="Aptos" w:hAnsi="Verdana" w:cs="Times New Roman"/>
          <w:kern w:val="2"/>
          <w14:ligatures w14:val="standardContextual"/>
        </w:rPr>
      </w:pPr>
    </w:p>
    <w:p w14:paraId="5CC2DDA5" w14:textId="77777777" w:rsidR="00AD6399" w:rsidRPr="00881D8A" w:rsidRDefault="00AD6399" w:rsidP="00AD6399">
      <w:pPr>
        <w:spacing w:after="0" w:line="240" w:lineRule="auto"/>
        <w:jc w:val="both"/>
        <w:rPr>
          <w:rFonts w:ascii="Verdana" w:eastAsia="Aptos" w:hAnsi="Verdana" w:cs="Times New Roman"/>
          <w:kern w:val="2"/>
          <w14:ligatures w14:val="standardContextual"/>
        </w:rPr>
      </w:pPr>
      <w:r w:rsidRPr="00881D8A">
        <w:rPr>
          <w:rFonts w:ascii="Verdana" w:eastAsia="Aptos" w:hAnsi="Verdana" w:cs="Times New Roman"/>
          <w:kern w:val="2"/>
          <w14:ligatures w14:val="standardContextual"/>
        </w:rPr>
        <w:t xml:space="preserve">Twitter: </w:t>
      </w:r>
      <w:r w:rsidRPr="00881D8A">
        <w:rPr>
          <w:rFonts w:ascii="Verdana" w:eastAsia="Calibri" w:hAnsi="Verdana" w:cs="Times New Roman"/>
          <w:color w:val="156082"/>
          <w:kern w:val="2"/>
          <w:u w:val="single"/>
          <w14:ligatures w14:val="standardContextual"/>
        </w:rPr>
        <w:t>@colombiacompra</w:t>
      </w:r>
      <w:r w:rsidRPr="00881D8A">
        <w:rPr>
          <w:rFonts w:ascii="Verdana" w:eastAsia="Calibri" w:hAnsi="Verdana" w:cs="Times New Roman"/>
          <w:color w:val="156082"/>
          <w:kern w:val="2"/>
          <w14:ligatures w14:val="standardContextual"/>
        </w:rPr>
        <w:t xml:space="preserve"> </w:t>
      </w:r>
    </w:p>
    <w:p w14:paraId="3ABDFD9A" w14:textId="77777777" w:rsidR="00AD6399" w:rsidRPr="00881D8A" w:rsidRDefault="00AD6399" w:rsidP="00AD6399">
      <w:pPr>
        <w:spacing w:after="0" w:line="240" w:lineRule="auto"/>
        <w:jc w:val="both"/>
        <w:rPr>
          <w:rFonts w:ascii="Verdana" w:eastAsia="Aptos" w:hAnsi="Verdana" w:cs="Times New Roman"/>
          <w:kern w:val="2"/>
          <w14:ligatures w14:val="standardContextual"/>
        </w:rPr>
      </w:pPr>
      <w:r w:rsidRPr="00881D8A">
        <w:rPr>
          <w:rFonts w:ascii="Verdana" w:eastAsia="Aptos" w:hAnsi="Verdana" w:cs="Times New Roman"/>
          <w:kern w:val="2"/>
          <w14:ligatures w14:val="standardContextual"/>
        </w:rPr>
        <w:t xml:space="preserve">Facebook: </w:t>
      </w:r>
      <w:proofErr w:type="spellStart"/>
      <w:r w:rsidRPr="00881D8A">
        <w:rPr>
          <w:rFonts w:ascii="Verdana" w:eastAsia="Calibri" w:hAnsi="Verdana" w:cs="Times New Roman"/>
          <w:color w:val="156082"/>
          <w:kern w:val="2"/>
          <w:u w:val="single"/>
          <w14:ligatures w14:val="standardContextual"/>
        </w:rPr>
        <w:t>ColombiaCompraEficiente</w:t>
      </w:r>
      <w:proofErr w:type="spellEnd"/>
    </w:p>
    <w:p w14:paraId="25B6BDAF" w14:textId="77777777" w:rsidR="00AD6399" w:rsidRPr="00881D8A" w:rsidRDefault="00AD6399" w:rsidP="00AD6399">
      <w:pPr>
        <w:spacing w:after="0" w:line="240" w:lineRule="auto"/>
        <w:jc w:val="both"/>
        <w:rPr>
          <w:rFonts w:ascii="Verdana" w:eastAsia="Aptos" w:hAnsi="Verdana" w:cs="Times New Roman"/>
          <w:kern w:val="2"/>
          <w14:ligatures w14:val="standardContextual"/>
        </w:rPr>
      </w:pPr>
      <w:r w:rsidRPr="00881D8A">
        <w:rPr>
          <w:rFonts w:ascii="Verdana" w:eastAsia="Aptos" w:hAnsi="Verdana" w:cs="Times New Roman"/>
          <w:kern w:val="2"/>
          <w14:ligatures w14:val="standardContextual"/>
        </w:rPr>
        <w:t xml:space="preserve">LinkedIn: </w:t>
      </w:r>
      <w:r w:rsidRPr="00881D8A">
        <w:rPr>
          <w:rFonts w:ascii="Verdana" w:eastAsia="Calibri" w:hAnsi="Verdana" w:cs="Times New Roman"/>
          <w:color w:val="156082"/>
          <w:kern w:val="2"/>
          <w:u w:val="single"/>
          <w14:ligatures w14:val="standardContextual"/>
        </w:rPr>
        <w:t>Agencia Nacional de Contratación Pública - Colombia Compra Eficiente</w:t>
      </w:r>
      <w:r w:rsidRPr="00881D8A">
        <w:rPr>
          <w:rFonts w:ascii="Verdana" w:eastAsia="Calibri" w:hAnsi="Verdana" w:cs="Times New Roman"/>
          <w:color w:val="156082"/>
          <w:kern w:val="2"/>
          <w14:ligatures w14:val="standardContextual"/>
        </w:rPr>
        <w:t xml:space="preserve"> </w:t>
      </w:r>
      <w:r w:rsidRPr="00881D8A">
        <w:rPr>
          <w:rFonts w:ascii="Verdana" w:eastAsia="Aptos" w:hAnsi="Verdana" w:cs="Times New Roman"/>
          <w:kern w:val="2"/>
          <w14:ligatures w14:val="standardContextual"/>
        </w:rPr>
        <w:t xml:space="preserve">Instagram: </w:t>
      </w:r>
      <w:r w:rsidRPr="00881D8A">
        <w:rPr>
          <w:rFonts w:ascii="Verdana" w:eastAsia="Calibri" w:hAnsi="Verdana" w:cs="Times New Roman"/>
          <w:color w:val="156082"/>
          <w:kern w:val="2"/>
          <w:u w:val="single"/>
          <w14:ligatures w14:val="standardContextual"/>
        </w:rPr>
        <w:t>@colombiacompraeficiente_cce</w:t>
      </w:r>
    </w:p>
    <w:p w14:paraId="6E97BA03" w14:textId="77777777" w:rsidR="00AD6399" w:rsidRPr="00881D8A" w:rsidRDefault="00AD6399" w:rsidP="00AD6399">
      <w:pPr>
        <w:spacing w:after="0" w:line="276" w:lineRule="auto"/>
        <w:jc w:val="both"/>
        <w:rPr>
          <w:rFonts w:ascii="Verdana" w:eastAsia="Aptos" w:hAnsi="Verdana" w:cs="Times New Roman"/>
          <w:kern w:val="2"/>
          <w14:ligatures w14:val="standardContextual"/>
        </w:rPr>
      </w:pPr>
    </w:p>
    <w:p w14:paraId="4DC80451" w14:textId="77777777" w:rsidR="00AD6399" w:rsidRPr="00881D8A" w:rsidRDefault="00AD6399" w:rsidP="00AD6399">
      <w:pPr>
        <w:spacing w:after="0" w:line="276" w:lineRule="auto"/>
        <w:jc w:val="both"/>
        <w:rPr>
          <w:rFonts w:ascii="Verdana" w:eastAsia="Calibri" w:hAnsi="Verdana" w:cs="Times New Roman"/>
          <w:bCs/>
          <w:kern w:val="2"/>
          <w:lang w:val="es-ES_tradnl"/>
          <w14:ligatures w14:val="standardContextual"/>
        </w:rPr>
      </w:pPr>
      <w:r w:rsidRPr="00881D8A">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D5A819A" w14:textId="77777777" w:rsidR="00AD6399" w:rsidRPr="00881D8A" w:rsidRDefault="00AD6399" w:rsidP="00AD6399">
      <w:pPr>
        <w:spacing w:after="0" w:line="276" w:lineRule="auto"/>
        <w:jc w:val="both"/>
        <w:rPr>
          <w:rFonts w:ascii="Verdana" w:eastAsia="Times New Roman" w:hAnsi="Verdana" w:cs="Vrinda"/>
          <w:lang w:val="es-MX" w:eastAsia="es-CO"/>
        </w:rPr>
      </w:pPr>
    </w:p>
    <w:p w14:paraId="642AB32E" w14:textId="77777777" w:rsidR="00AD6399" w:rsidRPr="00881D8A" w:rsidRDefault="00AD6399" w:rsidP="00AD6399">
      <w:pPr>
        <w:spacing w:after="0" w:line="276" w:lineRule="auto"/>
        <w:jc w:val="both"/>
        <w:rPr>
          <w:rFonts w:ascii="Verdana" w:eastAsia="Calibri" w:hAnsi="Verdana" w:cs="Vrinda"/>
        </w:rPr>
      </w:pPr>
      <w:r w:rsidRPr="00881D8A">
        <w:rPr>
          <w:rFonts w:ascii="Verdana" w:eastAsia="Calibri" w:hAnsi="Verdana" w:cs="Vrinda"/>
        </w:rPr>
        <w:t>Atentamente,</w:t>
      </w:r>
      <w:bookmarkEnd w:id="1"/>
    </w:p>
    <w:bookmarkEnd w:id="0"/>
    <w:p w14:paraId="5528DB6E" w14:textId="79266CAD" w:rsidR="00AD6399" w:rsidRPr="00881D8A" w:rsidRDefault="00845E13" w:rsidP="00AD6399">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522420A8" wp14:editId="4F05B7F4">
            <wp:extent cx="2640250" cy="1133475"/>
            <wp:effectExtent l="0" t="0" r="825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2644424" cy="113526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D6399" w:rsidRPr="00881D8A" w14:paraId="4CA8B538" w14:textId="77777777" w:rsidTr="00296400">
        <w:trPr>
          <w:trHeight w:val="315"/>
        </w:trPr>
        <w:tc>
          <w:tcPr>
            <w:tcW w:w="893" w:type="dxa"/>
            <w:vAlign w:val="center"/>
            <w:hideMark/>
          </w:tcPr>
          <w:p w14:paraId="1B76DE22" w14:textId="77777777" w:rsidR="00AD6399" w:rsidRPr="00881D8A" w:rsidRDefault="00AD6399"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3A3489A8" w14:textId="77777777" w:rsidR="00AD6399" w:rsidRPr="00881D8A" w:rsidRDefault="00AD6399" w:rsidP="00296400">
            <w:pPr>
              <w:rPr>
                <w:rFonts w:ascii="Verdana" w:eastAsia="Arial" w:hAnsi="Verdana" w:cs="Arial"/>
                <w:sz w:val="16"/>
                <w:szCs w:val="16"/>
              </w:rPr>
            </w:pPr>
            <w:r w:rsidRPr="00881D8A">
              <w:rPr>
                <w:rFonts w:ascii="Verdana" w:eastAsia="Arial" w:hAnsi="Verdana" w:cs="Arial"/>
                <w:sz w:val="16"/>
                <w:szCs w:val="16"/>
              </w:rPr>
              <w:t xml:space="preserve">Carlos Mario Castrillon Endo </w:t>
            </w:r>
          </w:p>
          <w:p w14:paraId="0C91BA91" w14:textId="77777777" w:rsidR="00AD6399" w:rsidRPr="00881D8A" w:rsidRDefault="00AD6399" w:rsidP="00296400">
            <w:pPr>
              <w:rPr>
                <w:rFonts w:ascii="Verdana" w:eastAsia="Arial" w:hAnsi="Verdana" w:cs="Arial"/>
                <w:sz w:val="16"/>
                <w:szCs w:val="16"/>
              </w:rPr>
            </w:pPr>
            <w:r w:rsidRPr="00881D8A">
              <w:rPr>
                <w:rFonts w:ascii="Verdana" w:eastAsia="Arial" w:hAnsi="Verdana" w:cs="Arial"/>
                <w:sz w:val="16"/>
                <w:szCs w:val="16"/>
              </w:rPr>
              <w:t>Contratista de la Subdirección de Gestión Contractual</w:t>
            </w:r>
          </w:p>
          <w:p w14:paraId="4DAEF98F" w14:textId="77777777" w:rsidR="00AD6399" w:rsidRPr="00881D8A" w:rsidRDefault="00AD6399" w:rsidP="00296400">
            <w:pPr>
              <w:rPr>
                <w:rFonts w:ascii="Verdana" w:eastAsia="Arial" w:hAnsi="Verdana" w:cs="Arial"/>
                <w:sz w:val="16"/>
                <w:szCs w:val="16"/>
              </w:rPr>
            </w:pPr>
          </w:p>
        </w:tc>
      </w:tr>
      <w:tr w:rsidR="00AD6399" w:rsidRPr="00881D8A" w14:paraId="6AD6BD57" w14:textId="77777777" w:rsidTr="00296400">
        <w:trPr>
          <w:trHeight w:val="330"/>
        </w:trPr>
        <w:tc>
          <w:tcPr>
            <w:tcW w:w="893" w:type="dxa"/>
            <w:vAlign w:val="center"/>
            <w:hideMark/>
          </w:tcPr>
          <w:p w14:paraId="7F3D101D" w14:textId="77777777" w:rsidR="00AD6399" w:rsidRPr="00881D8A" w:rsidRDefault="00AD6399"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64A02284" w14:textId="77777777" w:rsidR="00AD6399" w:rsidRPr="00881D8A" w:rsidRDefault="00AD6399" w:rsidP="00296400">
            <w:pPr>
              <w:textAlignment w:val="baseline"/>
              <w:rPr>
                <w:rFonts w:ascii="Verdana" w:eastAsia="Times New Roman" w:hAnsi="Verdana" w:cs="Aptos"/>
                <w:sz w:val="16"/>
                <w:szCs w:val="16"/>
                <w:lang w:eastAsia="es-CO"/>
              </w:rPr>
            </w:pPr>
            <w:r w:rsidRPr="00881D8A">
              <w:rPr>
                <w:rFonts w:ascii="Verdana" w:eastAsia="Times New Roman" w:hAnsi="Verdana" w:cs="Aptos"/>
                <w:sz w:val="16"/>
                <w:szCs w:val="16"/>
                <w:lang w:eastAsia="es-CO"/>
              </w:rPr>
              <w:t xml:space="preserve">Juan David Cárdenas Cabeza </w:t>
            </w:r>
          </w:p>
          <w:p w14:paraId="6E591710" w14:textId="77777777" w:rsidR="00AD6399" w:rsidRPr="00881D8A" w:rsidRDefault="00AD6399" w:rsidP="00296400">
            <w:pPr>
              <w:rPr>
                <w:rFonts w:ascii="Verdana" w:eastAsia="Arial" w:hAnsi="Verdana" w:cs="Arial"/>
                <w:sz w:val="16"/>
                <w:szCs w:val="16"/>
              </w:rPr>
            </w:pPr>
            <w:r w:rsidRPr="00881D8A">
              <w:rPr>
                <w:rFonts w:ascii="Verdana" w:eastAsia="Arial" w:hAnsi="Verdana" w:cs="Arial"/>
                <w:sz w:val="16"/>
                <w:szCs w:val="16"/>
              </w:rPr>
              <w:t>Contratista de la Subdirección de Gestión Contractual</w:t>
            </w:r>
          </w:p>
        </w:tc>
      </w:tr>
      <w:tr w:rsidR="00AD6399" w:rsidRPr="00881D8A" w14:paraId="6D4DAFC5" w14:textId="77777777" w:rsidTr="00296400">
        <w:trPr>
          <w:trHeight w:val="300"/>
        </w:trPr>
        <w:tc>
          <w:tcPr>
            <w:tcW w:w="893" w:type="dxa"/>
            <w:vAlign w:val="center"/>
          </w:tcPr>
          <w:p w14:paraId="4B2AAE76" w14:textId="77777777" w:rsidR="00AD6399" w:rsidRPr="00881D8A" w:rsidRDefault="00AD6399"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3F73C872" w14:textId="77777777" w:rsidR="00AD6399" w:rsidRPr="00881D8A" w:rsidRDefault="00AD6399"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Carolina Quintero Gacharná</w:t>
            </w:r>
          </w:p>
          <w:p w14:paraId="57DDA69D" w14:textId="77777777" w:rsidR="00AD6399" w:rsidRPr="00881D8A" w:rsidRDefault="00AD6399" w:rsidP="00296400">
            <w:pPr>
              <w:rPr>
                <w:rFonts w:ascii="Verdana" w:eastAsia="Calibri" w:hAnsi="Verdana" w:cs="Arial"/>
                <w:sz w:val="16"/>
                <w:szCs w:val="16"/>
                <w:lang w:eastAsia="es-ES"/>
              </w:rPr>
            </w:pPr>
            <w:r w:rsidRPr="00881D8A">
              <w:rPr>
                <w:rFonts w:ascii="Verdana" w:eastAsia="Calibri" w:hAnsi="Verdana" w:cs="Arial"/>
                <w:sz w:val="16"/>
                <w:szCs w:val="16"/>
                <w:lang w:eastAsia="es-ES"/>
              </w:rPr>
              <w:t>Subdirectora de Gestión Contractual ANCP – CCE</w:t>
            </w:r>
          </w:p>
        </w:tc>
      </w:tr>
    </w:tbl>
    <w:p w14:paraId="585D177E" w14:textId="77777777" w:rsidR="00AD6399" w:rsidRPr="00881D8A" w:rsidRDefault="00AD6399" w:rsidP="00AD6399">
      <w:pPr>
        <w:rPr>
          <w:rFonts w:ascii="Verdana" w:eastAsia="Calibri" w:hAnsi="Verdana" w:cs="Times New Roman"/>
        </w:rPr>
      </w:pPr>
    </w:p>
    <w:p w14:paraId="065B3171" w14:textId="77777777" w:rsidR="00AD6399" w:rsidRPr="00881D8A" w:rsidRDefault="00AD6399" w:rsidP="00AD6399">
      <w:pPr>
        <w:rPr>
          <w:rFonts w:ascii="Verdana" w:eastAsia="Aptos" w:hAnsi="Verdana" w:cs="Times New Roman"/>
        </w:rPr>
      </w:pPr>
    </w:p>
    <w:p w14:paraId="73846868" w14:textId="77777777" w:rsidR="00AD6399" w:rsidRPr="00BF201D" w:rsidRDefault="00AD6399" w:rsidP="00AD6399"/>
    <w:p w14:paraId="39A64C00" w14:textId="77777777" w:rsidR="00AD6399" w:rsidRDefault="00AD6399" w:rsidP="00AD6399"/>
    <w:p w14:paraId="3BBE7D55" w14:textId="77777777" w:rsidR="00AD6399" w:rsidRDefault="00AD6399" w:rsidP="00AD6399"/>
    <w:p w14:paraId="0F293BF4" w14:textId="067300DB" w:rsidR="00127233" w:rsidRPr="00AD6399" w:rsidRDefault="00127233" w:rsidP="00AD6399"/>
    <w:sectPr w:rsidR="00127233" w:rsidRPr="00AD639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CD1F71" w14:textId="77777777" w:rsidR="0029057A" w:rsidRDefault="0029057A" w:rsidP="004A1847">
      <w:pPr>
        <w:spacing w:after="0" w:line="240" w:lineRule="auto"/>
      </w:pPr>
      <w:r>
        <w:separator/>
      </w:r>
    </w:p>
  </w:endnote>
  <w:endnote w:type="continuationSeparator" w:id="0">
    <w:p w14:paraId="7770F73F" w14:textId="77777777" w:rsidR="0029057A" w:rsidRDefault="0029057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altName w:val="Arial"/>
    <w:charset w:val="00"/>
    <w:family w:val="auto"/>
    <w:pitch w:val="default"/>
  </w:font>
  <w:font w:name="Cambria Math">
    <w:panose1 w:val="02040503050406030204"/>
    <w:charset w:val="00"/>
    <w:family w:val="roman"/>
    <w:pitch w:val="variable"/>
    <w:sig w:usb0="E00006FF" w:usb1="420024FF" w:usb2="02000000" w:usb3="00000000" w:csb0="0000019F" w:csb1="00000000"/>
  </w:font>
  <w:font w:name="Arial,Calibri">
    <w:altName w:val="Times New Roman"/>
    <w:charset w:val="00"/>
    <w:family w:val="roman"/>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2AC04" w14:textId="77777777" w:rsidR="0029057A" w:rsidRDefault="0029057A" w:rsidP="004A1847">
      <w:pPr>
        <w:spacing w:after="0" w:line="240" w:lineRule="auto"/>
      </w:pPr>
      <w:r>
        <w:separator/>
      </w:r>
    </w:p>
  </w:footnote>
  <w:footnote w:type="continuationSeparator" w:id="0">
    <w:p w14:paraId="1AF24DBF" w14:textId="77777777" w:rsidR="0029057A" w:rsidRDefault="0029057A" w:rsidP="004A1847">
      <w:pPr>
        <w:spacing w:after="0" w:line="240" w:lineRule="auto"/>
      </w:pPr>
      <w:r>
        <w:continuationSeparator/>
      </w:r>
    </w:p>
  </w:footnote>
  <w:footnote w:id="1">
    <w:p w14:paraId="024D13B2" w14:textId="77777777" w:rsidR="00AD6399" w:rsidRPr="001741DD" w:rsidRDefault="00AD6399" w:rsidP="00AD6399">
      <w:pPr>
        <w:pStyle w:val="Textonotapie"/>
        <w:spacing w:after="120"/>
        <w:ind w:firstLine="709"/>
        <w:jc w:val="both"/>
        <w:rPr>
          <w:rFonts w:ascii="Verdana" w:hAnsi="Verdana" w:cs="Arial"/>
          <w:color w:val="000000"/>
          <w:sz w:val="18"/>
          <w:szCs w:val="18"/>
          <w:lang w:val="es-CO"/>
        </w:rPr>
      </w:pPr>
      <w:r w:rsidRPr="001741DD">
        <w:rPr>
          <w:rFonts w:ascii="Verdana" w:eastAsia="Calibri" w:hAnsi="Verdana" w:cs="Arial"/>
          <w:color w:val="000000"/>
          <w:sz w:val="18"/>
          <w:szCs w:val="18"/>
          <w:vertAlign w:val="superscript"/>
        </w:rPr>
        <w:footnoteRef/>
      </w:r>
      <w:r w:rsidRPr="001741DD">
        <w:rPr>
          <w:rFonts w:ascii="Verdana" w:eastAsia="Calibri" w:hAnsi="Verdana" w:cs="Arial"/>
          <w:color w:val="000000"/>
          <w:sz w:val="18"/>
          <w:szCs w:val="18"/>
          <w:vertAlign w:val="superscript"/>
        </w:rPr>
        <w:t xml:space="preserve"> </w:t>
      </w:r>
      <w:r w:rsidRPr="001741DD">
        <w:rPr>
          <w:rFonts w:ascii="Verdana" w:eastAsia="Calibri" w:hAnsi="Verdana" w:cs="Arial"/>
          <w:color w:val="000000"/>
          <w:sz w:val="18"/>
          <w:szCs w:val="18"/>
        </w:rPr>
        <w:t xml:space="preserve">Consejo de Estado. Sección Tercera. Sentencia del 26 de junio de 2003. Rad. 13.354. C.P: María Elena Giraldo Gómez. </w:t>
      </w:r>
    </w:p>
  </w:footnote>
  <w:footnote w:id="2">
    <w:p w14:paraId="61F949B0" w14:textId="77777777" w:rsidR="00AD6399" w:rsidRPr="001741DD" w:rsidRDefault="00AD6399" w:rsidP="00AD6399">
      <w:pPr>
        <w:pStyle w:val="NormalWeb"/>
        <w:shd w:val="clear" w:color="auto" w:fill="FFFFFF"/>
        <w:spacing w:after="120"/>
        <w:ind w:firstLine="709"/>
        <w:jc w:val="both"/>
        <w:rPr>
          <w:rFonts w:ascii="Verdana" w:hAnsi="Verdana" w:cs="Arial"/>
          <w:sz w:val="18"/>
          <w:szCs w:val="18"/>
        </w:rPr>
      </w:pPr>
      <w:r w:rsidRPr="001741DD">
        <w:rPr>
          <w:rStyle w:val="Refdenotaalpie"/>
          <w:rFonts w:ascii="Verdana" w:hAnsi="Verdana" w:cs="Arial"/>
          <w:sz w:val="18"/>
          <w:szCs w:val="18"/>
          <w:lang w:val="es-MX"/>
        </w:rPr>
        <w:footnoteRef/>
      </w:r>
      <w:r w:rsidRPr="001741DD">
        <w:rPr>
          <w:rStyle w:val="Refdenotaalpie"/>
          <w:rFonts w:ascii="Verdana" w:hAnsi="Verdana" w:cs="Arial"/>
          <w:sz w:val="18"/>
          <w:szCs w:val="18"/>
          <w:lang w:val="es-MX"/>
        </w:rPr>
        <w:t xml:space="preserve"> </w:t>
      </w:r>
      <w:r w:rsidRPr="001741DD">
        <w:rPr>
          <w:rFonts w:ascii="Verdana" w:hAnsi="Verdana" w:cs="Arial"/>
          <w:sz w:val="18"/>
          <w:szCs w:val="18"/>
        </w:rPr>
        <w:t>“Artículo 2.2.1.1.1.6.4. Capacidad Residual: El interesado en celebrar contratos de obra pública con Entidades Estatales debe acreditar su Capacidad Residual o K de Contratación con los siguientes documentos:</w:t>
      </w:r>
    </w:p>
    <w:p w14:paraId="338CBD5B" w14:textId="77777777" w:rsidR="00AD6399" w:rsidRPr="001741DD" w:rsidRDefault="00AD6399" w:rsidP="00AD6399">
      <w:pPr>
        <w:shd w:val="clear" w:color="auto" w:fill="FFFFFF"/>
        <w:spacing w:after="120"/>
        <w:ind w:firstLine="709"/>
        <w:jc w:val="both"/>
        <w:rPr>
          <w:rFonts w:ascii="Verdana" w:hAnsi="Verdana" w:cs="Arial"/>
          <w:sz w:val="18"/>
          <w:szCs w:val="18"/>
        </w:rPr>
      </w:pPr>
      <w:r w:rsidRPr="001741DD">
        <w:rPr>
          <w:rFonts w:ascii="Verdana" w:hAnsi="Verdana" w:cs="Arial"/>
          <w:sz w:val="18"/>
          <w:szCs w:val="18"/>
        </w:rPr>
        <w:t>1. La lista de los contratos de obras civiles en ejecución suscritos con Entidades Estatales y con entidades privadas, así como el valor y plazo de tales contratos, incluyendo contratos de concesión y los contratos de obra suscritos con concesionarios.</w:t>
      </w:r>
    </w:p>
    <w:p w14:paraId="3949236D" w14:textId="77777777" w:rsidR="00AD6399" w:rsidRPr="001741DD" w:rsidRDefault="00AD6399" w:rsidP="00AD6399">
      <w:pPr>
        <w:shd w:val="clear" w:color="auto" w:fill="FFFFFF"/>
        <w:spacing w:after="120"/>
        <w:ind w:firstLine="709"/>
        <w:jc w:val="both"/>
        <w:rPr>
          <w:rFonts w:ascii="Verdana" w:hAnsi="Verdana" w:cs="Arial"/>
          <w:sz w:val="18"/>
          <w:szCs w:val="18"/>
        </w:rPr>
      </w:pPr>
      <w:r w:rsidRPr="001741DD">
        <w:rPr>
          <w:rFonts w:ascii="Verdana" w:hAnsi="Verdana" w:cs="Arial"/>
          <w:sz w:val="18"/>
          <w:szCs w:val="18"/>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45E0DE7F" w14:textId="77777777" w:rsidR="00AD6399" w:rsidRPr="001741DD" w:rsidRDefault="00AD6399" w:rsidP="00AD6399">
      <w:pPr>
        <w:shd w:val="clear" w:color="auto" w:fill="FFFFFF"/>
        <w:spacing w:after="120"/>
        <w:ind w:firstLine="709"/>
        <w:jc w:val="both"/>
        <w:rPr>
          <w:rFonts w:ascii="Verdana" w:hAnsi="Verdana" w:cs="Arial"/>
          <w:sz w:val="18"/>
          <w:szCs w:val="18"/>
        </w:rPr>
      </w:pPr>
      <w:r w:rsidRPr="001741DD">
        <w:rPr>
          <w:rFonts w:ascii="Verdana" w:hAnsi="Verdana" w:cs="Arial"/>
          <w:sz w:val="18"/>
          <w:szCs w:val="18"/>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footnote>
  <w:footnote w:id="3">
    <w:p w14:paraId="5EC47611" w14:textId="77777777" w:rsidR="00AD6399" w:rsidRPr="001741DD" w:rsidRDefault="00AD6399" w:rsidP="00AD6399">
      <w:pPr>
        <w:pStyle w:val="Textonotapie"/>
        <w:spacing w:after="120"/>
        <w:ind w:firstLine="709"/>
        <w:jc w:val="both"/>
        <w:rPr>
          <w:rFonts w:ascii="Verdana" w:hAnsi="Verdana" w:cs="Arial"/>
          <w:sz w:val="18"/>
          <w:szCs w:val="18"/>
        </w:rPr>
      </w:pPr>
      <w:r w:rsidRPr="001741DD">
        <w:rPr>
          <w:rStyle w:val="Refdenotaalpie"/>
          <w:rFonts w:ascii="Verdana" w:hAnsi="Verdana" w:cs="Arial"/>
          <w:sz w:val="18"/>
          <w:szCs w:val="18"/>
        </w:rPr>
        <w:footnoteRef/>
      </w:r>
      <w:r w:rsidRPr="001741DD">
        <w:rPr>
          <w:rFonts w:ascii="Verdana" w:hAnsi="Verdana" w:cs="Arial"/>
          <w:sz w:val="18"/>
          <w:szCs w:val="18"/>
        </w:rPr>
        <w:t xml:space="preserve"> Colombia Compra Eficiente. Concepto C-297 del 4 de junio de 2020. </w:t>
      </w:r>
    </w:p>
  </w:footnote>
  <w:footnote w:id="4">
    <w:p w14:paraId="31F25267" w14:textId="77777777" w:rsidR="00AD6399" w:rsidRPr="001741DD" w:rsidRDefault="00AD6399" w:rsidP="00AD6399">
      <w:pPr>
        <w:pStyle w:val="Textonotapie"/>
        <w:spacing w:after="120"/>
        <w:ind w:firstLine="708"/>
        <w:jc w:val="both"/>
        <w:rPr>
          <w:rFonts w:ascii="Verdana" w:hAnsi="Verdana" w:cs="Arial"/>
          <w:sz w:val="18"/>
          <w:szCs w:val="18"/>
        </w:rPr>
      </w:pPr>
      <w:r w:rsidRPr="001741DD">
        <w:rPr>
          <w:rStyle w:val="Refdenotaalpie"/>
          <w:rFonts w:ascii="Verdana" w:hAnsi="Verdana" w:cs="Arial"/>
          <w:sz w:val="18"/>
          <w:szCs w:val="18"/>
        </w:rPr>
        <w:footnoteRef/>
      </w:r>
      <w:r w:rsidRPr="001741DD">
        <w:rPr>
          <w:rFonts w:ascii="Verdana" w:hAnsi="Verdana" w:cs="Arial"/>
          <w:sz w:val="18"/>
          <w:szCs w:val="18"/>
        </w:rPr>
        <w:t xml:space="preserve"> Concepto C-196 de 2020. Radicado de entrada No. 4202013000001559. Radicado de salida No. 2202013000002534.</w:t>
      </w:r>
    </w:p>
    <w:p w14:paraId="3850064C" w14:textId="77777777" w:rsidR="00AD6399" w:rsidRPr="001741DD" w:rsidRDefault="00AD6399" w:rsidP="00AD6399">
      <w:pPr>
        <w:pStyle w:val="Textonotapie"/>
        <w:spacing w:after="120"/>
        <w:jc w:val="both"/>
        <w:rPr>
          <w:rFonts w:ascii="Verdana" w:hAnsi="Verdana" w:cs="Arial"/>
          <w:sz w:val="18"/>
          <w:szCs w:val="18"/>
        </w:rPr>
      </w:pPr>
    </w:p>
  </w:footnote>
  <w:footnote w:id="5">
    <w:p w14:paraId="710E5305" w14:textId="77777777" w:rsidR="00AD6399" w:rsidRPr="001741DD" w:rsidRDefault="00AD6399" w:rsidP="00AD6399">
      <w:pPr>
        <w:pStyle w:val="Textonotapie"/>
        <w:ind w:firstLine="708"/>
        <w:rPr>
          <w:rFonts w:ascii="Verdana" w:hAnsi="Verdana"/>
          <w:sz w:val="18"/>
          <w:szCs w:val="18"/>
        </w:rPr>
      </w:pPr>
      <w:r w:rsidRPr="001741DD">
        <w:rPr>
          <w:rStyle w:val="Refdenotaalpie"/>
          <w:rFonts w:ascii="Verdana" w:hAnsi="Verdana"/>
          <w:sz w:val="18"/>
          <w:szCs w:val="18"/>
        </w:rPr>
        <w:footnoteRef/>
      </w:r>
      <w:r w:rsidRPr="001741DD">
        <w:rPr>
          <w:rFonts w:ascii="Verdana" w:hAnsi="Verdana"/>
          <w:sz w:val="18"/>
          <w:szCs w:val="18"/>
        </w:rPr>
        <w:t xml:space="preserve"> La Agencia Nacional de Contratación Pública – Colombia Compra Eficiente en los conceptos C-186 del 12 de abril de 2022 y C-512 del 10 de agosto de 2024, sostuvo la tesis planteada en este párrafo.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341274352">
    <w:abstractNumId w:val="0"/>
  </w:num>
  <w:num w:numId="17" w16cid:durableId="827985604">
    <w:abstractNumId w:val="10"/>
  </w:num>
  <w:num w:numId="18" w16cid:durableId="1548419692">
    <w:abstractNumId w:val="17"/>
  </w:num>
  <w:num w:numId="19" w16cid:durableId="1443304022">
    <w:abstractNumId w:val="4"/>
  </w:num>
  <w:num w:numId="20" w16cid:durableId="5010510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565"/>
    <w:rsid w:val="00046945"/>
    <w:rsid w:val="00061B2A"/>
    <w:rsid w:val="00082362"/>
    <w:rsid w:val="000A683E"/>
    <w:rsid w:val="000B19B9"/>
    <w:rsid w:val="000D0334"/>
    <w:rsid w:val="000D1C83"/>
    <w:rsid w:val="000D5DA7"/>
    <w:rsid w:val="000F6486"/>
    <w:rsid w:val="00116940"/>
    <w:rsid w:val="00125105"/>
    <w:rsid w:val="00127233"/>
    <w:rsid w:val="0015699B"/>
    <w:rsid w:val="001A33BF"/>
    <w:rsid w:val="001D1E1B"/>
    <w:rsid w:val="001E4177"/>
    <w:rsid w:val="001F0B24"/>
    <w:rsid w:val="001F7DC6"/>
    <w:rsid w:val="0022400B"/>
    <w:rsid w:val="002421BB"/>
    <w:rsid w:val="0025796E"/>
    <w:rsid w:val="002707A2"/>
    <w:rsid w:val="0029057A"/>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E6EE0"/>
    <w:rsid w:val="003F3941"/>
    <w:rsid w:val="00406575"/>
    <w:rsid w:val="00414C74"/>
    <w:rsid w:val="0042722E"/>
    <w:rsid w:val="0044528D"/>
    <w:rsid w:val="00466E39"/>
    <w:rsid w:val="004A1847"/>
    <w:rsid w:val="004A305D"/>
    <w:rsid w:val="004F21C4"/>
    <w:rsid w:val="004F685F"/>
    <w:rsid w:val="0050345C"/>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5E13"/>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2A32"/>
    <w:rsid w:val="009F3A13"/>
    <w:rsid w:val="00A122D3"/>
    <w:rsid w:val="00A14468"/>
    <w:rsid w:val="00A17F13"/>
    <w:rsid w:val="00A20739"/>
    <w:rsid w:val="00A23AF9"/>
    <w:rsid w:val="00A33C78"/>
    <w:rsid w:val="00AB0ADB"/>
    <w:rsid w:val="00AD6399"/>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B6F83"/>
    <w:rsid w:val="00CC1B26"/>
    <w:rsid w:val="00D361FD"/>
    <w:rsid w:val="00D423A2"/>
    <w:rsid w:val="00D44E26"/>
    <w:rsid w:val="00D520D8"/>
    <w:rsid w:val="00D57A3A"/>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368C6"/>
    <w:rsid w:val="00F412F1"/>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AD63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AD639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99A406-8FC0-4B8C-8B68-96AFE1EE28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23</Pages>
  <Words>8390</Words>
  <Characters>43799</Characters>
  <Application>Microsoft Office Word</Application>
  <DocSecurity>0</DocSecurity>
  <Lines>842</Lines>
  <Paragraphs>174</Paragraphs>
  <ScaleCrop>false</ScaleCrop>
  <Company/>
  <LinksUpToDate>false</LinksUpToDate>
  <CharactersWithSpaces>52015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2026-02-18T22:04:00Z</dcterms:created>
  <dcterms:modified xsi:type="dcterms:W3CDTF">2026-02-19T15:09:00Z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