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7A181B" w14:textId="77777777" w:rsidR="00320531" w:rsidRPr="001E3B4B" w:rsidRDefault="00320531" w:rsidP="00320531">
      <w:pPr>
        <w:jc w:val="both"/>
        <w:rPr>
          <w:rFonts w:ascii="Verdana" w:hAnsi="Verdana"/>
          <w:b/>
          <w:bCs/>
          <w:lang w:val="es-MX"/>
        </w:rPr>
      </w:pPr>
      <w:r w:rsidRPr="001E3B4B">
        <w:rPr>
          <w:rFonts w:ascii="Verdana" w:hAnsi="Verdana"/>
          <w:b/>
          <w:bCs/>
          <w:lang w:val="es-MX"/>
        </w:rPr>
        <w:t>LEY DE GARANTÍAS ELECTORALES – Finalidad</w:t>
      </w:r>
    </w:p>
    <w:p w14:paraId="2EC1599D" w14:textId="673F9812" w:rsidR="00320531" w:rsidRPr="00DC76A3" w:rsidRDefault="00320531" w:rsidP="00320531">
      <w:pPr>
        <w:jc w:val="both"/>
        <w:rPr>
          <w:rFonts w:ascii="Verdana" w:hAnsi="Verdana"/>
          <w:sz w:val="20"/>
          <w:szCs w:val="20"/>
        </w:rPr>
      </w:pPr>
      <w:r w:rsidRPr="004213C9">
        <w:rPr>
          <w:rFonts w:ascii="Verdana" w:hAnsi="Verdana"/>
          <w:sz w:val="20"/>
          <w:szCs w:val="20"/>
        </w:rPr>
        <w:t>El ordenamiento jurídico colombiano contempla una serie de previsiones orientadas a evitar la obtención de beneficios personales en asuntos propios de la administración. Un destacado ejemplo de ello es la Ley 996 de 2005, conocida</w:t>
      </w:r>
      <w:r>
        <w:rPr>
          <w:rFonts w:ascii="Verdana" w:hAnsi="Verdana"/>
          <w:sz w:val="20"/>
          <w:szCs w:val="20"/>
        </w:rPr>
        <w:t xml:space="preserve"> </w:t>
      </w:r>
      <w:r w:rsidRPr="004213C9">
        <w:rPr>
          <w:rFonts w:ascii="Verdana" w:hAnsi="Verdana"/>
          <w:sz w:val="20"/>
          <w:szCs w:val="20"/>
        </w:rPr>
        <w:t>como “Ley de Garantías Electorales”, cuyo propósito es asegurar la neutralidad, transparencia e imparcialidad en los procesos electorales. Esta Ley busca impedir que quienes ejercen el poder público utilicen los recursos del Estado para incidir en la voluntad del electorado.</w:t>
      </w:r>
    </w:p>
    <w:p w14:paraId="4A979A00" w14:textId="77777777" w:rsidR="00320531" w:rsidRDefault="00320531" w:rsidP="00320531">
      <w:pPr>
        <w:jc w:val="both"/>
        <w:rPr>
          <w:rFonts w:ascii="Verdana" w:hAnsi="Verdana"/>
          <w:b/>
          <w:bCs/>
          <w:lang w:val="es-MX"/>
        </w:rPr>
      </w:pPr>
      <w:r w:rsidRPr="001E3B4B">
        <w:rPr>
          <w:rFonts w:ascii="Verdana" w:hAnsi="Verdana"/>
          <w:b/>
          <w:bCs/>
          <w:lang w:val="es-MX"/>
        </w:rPr>
        <w:t xml:space="preserve">LEY DE GARANTÍAS ELECTORALES – Tipos de restricciones </w:t>
      </w:r>
    </w:p>
    <w:p w14:paraId="34FBD428" w14:textId="77777777" w:rsidR="00320531" w:rsidRDefault="00320531" w:rsidP="00320531">
      <w:pPr>
        <w:jc w:val="both"/>
        <w:rPr>
          <w:rFonts w:ascii="Verdana" w:hAnsi="Verdana"/>
          <w:sz w:val="20"/>
          <w:szCs w:val="20"/>
        </w:rPr>
      </w:pPr>
      <w:r w:rsidRPr="001E3B4B">
        <w:rPr>
          <w:rFonts w:ascii="Verdana" w:hAnsi="Verdana"/>
          <w:sz w:val="20"/>
          <w:szCs w:val="20"/>
          <w:lang w:val="es-MX"/>
        </w:rPr>
        <w:t xml:space="preserve">[…] </w:t>
      </w:r>
      <w:r w:rsidRPr="001E3B4B">
        <w:rPr>
          <w:rFonts w:ascii="Verdana" w:hAnsi="Verdana"/>
          <w:sz w:val="20"/>
          <w:szCs w:val="20"/>
        </w:rPr>
        <w:t>la Ley 996 de 2005 establece dos (2) tipos de restricciones en materia de contratación, las cuales coinciden parcialmente. En primer lugar, la restricción del artículo 33 que opera solo respecto de las elecciones presidenciales, en virtud de la cual queda prohibida la contratación</w:t>
      </w:r>
      <w:r>
        <w:rPr>
          <w:rFonts w:ascii="Verdana" w:hAnsi="Verdana"/>
          <w:sz w:val="20"/>
          <w:szCs w:val="20"/>
        </w:rPr>
        <w:t xml:space="preserve"> </w:t>
      </w:r>
      <w:r w:rsidRPr="001E3B4B">
        <w:rPr>
          <w:rFonts w:ascii="Verdana" w:hAnsi="Verdana"/>
          <w:sz w:val="20"/>
          <w:szCs w:val="20"/>
        </w:rPr>
        <w:t>directa dentro de los cuatro (4) meses anteriores a la celebración de los comicios, salvo las citadas excepciones.</w:t>
      </w:r>
      <w:r>
        <w:rPr>
          <w:rFonts w:ascii="Verdana" w:hAnsi="Verdana"/>
          <w:sz w:val="20"/>
          <w:szCs w:val="20"/>
        </w:rPr>
        <w:t xml:space="preserve"> […]</w:t>
      </w:r>
    </w:p>
    <w:p w14:paraId="6DF63D8B" w14:textId="0DB9E460" w:rsidR="00320531" w:rsidRPr="00DC76A3" w:rsidRDefault="00320531" w:rsidP="00320531">
      <w:pPr>
        <w:jc w:val="both"/>
        <w:rPr>
          <w:rFonts w:ascii="Verdana" w:hAnsi="Verdana"/>
          <w:sz w:val="20"/>
          <w:szCs w:val="20"/>
        </w:rPr>
      </w:pPr>
      <w:r w:rsidRPr="001E3B4B">
        <w:rPr>
          <w:rFonts w:ascii="Verdana" w:hAnsi="Verdana"/>
          <w:sz w:val="20"/>
          <w:szCs w:val="20"/>
        </w:rPr>
        <w:t>En segundo lugar, también se encuentra la prohibición del parágrafo del artículo 38, aplicable respecto de cualquier tipo de contienda electoral, y que prohíbe la celebración de convenios interadministrativos que impliquen la ejecución de recursos públicos dentro de los cuatro (4) meses anteriores a la respectiva jornada de votaciones.</w:t>
      </w:r>
    </w:p>
    <w:p w14:paraId="1AA3F54F" w14:textId="77777777" w:rsidR="00320531" w:rsidRDefault="00320531" w:rsidP="00320531">
      <w:pPr>
        <w:jc w:val="both"/>
        <w:rPr>
          <w:rFonts w:ascii="Verdana" w:hAnsi="Verdana"/>
          <w:b/>
          <w:bCs/>
          <w:lang w:val="es-MX"/>
        </w:rPr>
      </w:pPr>
      <w:r w:rsidRPr="001E3B4B">
        <w:rPr>
          <w:rFonts w:ascii="Verdana" w:hAnsi="Verdana"/>
          <w:b/>
          <w:bCs/>
          <w:lang w:val="es-MX"/>
        </w:rPr>
        <w:t>LEY DE GARANTÍAS ELECTORALES – Artículo 33 – Contratación directa – Prohibición</w:t>
      </w:r>
    </w:p>
    <w:p w14:paraId="5BA57188" w14:textId="2F7AF7B0" w:rsidR="00320531" w:rsidRPr="00DC76A3" w:rsidRDefault="00320531" w:rsidP="00320531">
      <w:pPr>
        <w:jc w:val="both"/>
        <w:rPr>
          <w:rFonts w:ascii="Verdana" w:hAnsi="Verdana"/>
          <w:sz w:val="20"/>
          <w:szCs w:val="20"/>
          <w:lang w:val="es-MX"/>
        </w:rPr>
      </w:pPr>
      <w:r w:rsidRPr="001E3B4B">
        <w:rPr>
          <w:rFonts w:ascii="Verdana" w:hAnsi="Verdana"/>
          <w:sz w:val="20"/>
          <w:szCs w:val="20"/>
          <w:lang w:val="es-MX"/>
        </w:rPr>
        <w:t xml:space="preserve">[…] </w:t>
      </w:r>
      <w:r w:rsidRPr="001E3B4B">
        <w:rPr>
          <w:rFonts w:ascii="Verdana" w:hAnsi="Verdana"/>
          <w:sz w:val="20"/>
          <w:szCs w:val="20"/>
        </w:rPr>
        <w:t>para los efectos de la Ley de Garantías Electorales y, en particular, para la prohibición o restricción temporal contenida en su artículo 33, la “contratación directa” es cualquier sistema de selección o procedimiento de contratación utilizado por las entidades estatales que no incluya la convocatoria pública en alguna de sus etapas, ni permita la participación de una pluralidad de oferentes</w:t>
      </w:r>
      <w:r>
        <w:rPr>
          <w:rFonts w:ascii="Verdana" w:hAnsi="Verdana"/>
          <w:sz w:val="20"/>
          <w:szCs w:val="20"/>
        </w:rPr>
        <w:t>.</w:t>
      </w:r>
    </w:p>
    <w:p w14:paraId="75015B46" w14:textId="77777777" w:rsidR="00320531" w:rsidRPr="001E3B4B" w:rsidRDefault="00320531" w:rsidP="00320531">
      <w:pPr>
        <w:jc w:val="both"/>
        <w:rPr>
          <w:rFonts w:ascii="Verdana" w:hAnsi="Verdana"/>
          <w:b/>
          <w:bCs/>
          <w:lang w:val="es-MX"/>
        </w:rPr>
      </w:pPr>
      <w:r w:rsidRPr="001E3B4B">
        <w:rPr>
          <w:rFonts w:ascii="Verdana" w:hAnsi="Verdana"/>
          <w:b/>
          <w:bCs/>
          <w:lang w:val="es-MX"/>
        </w:rPr>
        <w:t>LEY DE GARANTÍAS ELECTORALES – Requisitos de perfeccionamiento y ejecución</w:t>
      </w:r>
    </w:p>
    <w:p w14:paraId="501789B6" w14:textId="77777777" w:rsidR="00320531" w:rsidRDefault="00320531" w:rsidP="00320531">
      <w:pPr>
        <w:jc w:val="both"/>
        <w:rPr>
          <w:rFonts w:ascii="Verdana" w:hAnsi="Verdana"/>
          <w:sz w:val="20"/>
          <w:szCs w:val="20"/>
        </w:rPr>
      </w:pPr>
      <w:r w:rsidRPr="00070006">
        <w:rPr>
          <w:rFonts w:ascii="Verdana" w:hAnsi="Verdana"/>
          <w:sz w:val="20"/>
          <w:szCs w:val="20"/>
          <w:lang w:val="es-MX"/>
        </w:rPr>
        <w:t xml:space="preserve">[…] </w:t>
      </w:r>
      <w:r w:rsidRPr="00070006">
        <w:rPr>
          <w:rFonts w:ascii="Verdana" w:hAnsi="Verdana"/>
          <w:sz w:val="20"/>
          <w:szCs w:val="20"/>
        </w:rPr>
        <w:t xml:space="preserve">ante un proceso de contratación adelantado en los meses previos al periodo de restricciones, las entidades deben distinguir si los trámites que se proyecta realizar después de la </w:t>
      </w:r>
      <w:proofErr w:type="gramStart"/>
      <w:r w:rsidRPr="00070006">
        <w:rPr>
          <w:rFonts w:ascii="Verdana" w:hAnsi="Verdana"/>
          <w:sz w:val="20"/>
          <w:szCs w:val="20"/>
        </w:rPr>
        <w:t>entrada en vigencia</w:t>
      </w:r>
      <w:proofErr w:type="gramEnd"/>
      <w:r w:rsidRPr="00070006">
        <w:rPr>
          <w:rFonts w:ascii="Verdana" w:hAnsi="Verdana"/>
          <w:sz w:val="20"/>
          <w:szCs w:val="20"/>
        </w:rPr>
        <w:t xml:space="preserve"> de las restricciones</w:t>
      </w:r>
      <w:r>
        <w:rPr>
          <w:rFonts w:ascii="Verdana" w:hAnsi="Verdana"/>
          <w:sz w:val="20"/>
          <w:szCs w:val="20"/>
        </w:rPr>
        <w:t xml:space="preserve"> </w:t>
      </w:r>
      <w:r w:rsidRPr="00070006">
        <w:rPr>
          <w:rFonts w:ascii="Verdana" w:hAnsi="Verdana"/>
          <w:sz w:val="20"/>
          <w:szCs w:val="20"/>
        </w:rPr>
        <w:t>de Ley de Garantías Electorales corresponden a requisitos de perfeccionamiento —que sí están sujetos a la prohibición del artículo 33— o a requisitos de ejecución, que no se encuentran alcanzados por dicha restricción.</w:t>
      </w:r>
    </w:p>
    <w:p w14:paraId="320AD991" w14:textId="77777777" w:rsidR="00320531" w:rsidRDefault="00320531" w:rsidP="00320531">
      <w:pPr>
        <w:jc w:val="both"/>
        <w:rPr>
          <w:rFonts w:ascii="Verdana" w:hAnsi="Verdana"/>
          <w:sz w:val="20"/>
          <w:szCs w:val="20"/>
        </w:rPr>
      </w:pPr>
      <w:r w:rsidRPr="005544DC">
        <w:rPr>
          <w:rFonts w:ascii="Verdana" w:hAnsi="Verdana"/>
          <w:sz w:val="20"/>
          <w:szCs w:val="20"/>
        </w:rPr>
        <w:t xml:space="preserve">En cuanto a los requisitos de perfeccionamiento, el artículo 41 de la Ley 80 de 1993 es claro al exigir: i) acuerdo sobre el objeto del contrato; ii) acuerdo sobre la contraprestación; y iii) elevación del contrato a escrito. Estos elementos son indispensables para que el contrato exista jurídicamente y no pueden completarse tratándose de contratos de prestación de servicios una vez entre en vigencia de la Ley de Garantías Electorales. En consecuencia, para la fecha de inicio de la restricción debió haberse cumplido con todos estos requisitos para que el contrato sea válido. </w:t>
      </w:r>
    </w:p>
    <w:p w14:paraId="65497055" w14:textId="77777777" w:rsidR="00320531" w:rsidRDefault="00320531" w:rsidP="00320531">
      <w:pPr>
        <w:jc w:val="both"/>
        <w:rPr>
          <w:rFonts w:ascii="Verdana" w:hAnsi="Verdana"/>
          <w:sz w:val="20"/>
          <w:szCs w:val="20"/>
        </w:rPr>
      </w:pPr>
      <w:r w:rsidRPr="005544DC">
        <w:rPr>
          <w:rFonts w:ascii="Verdana" w:hAnsi="Verdana"/>
          <w:sz w:val="20"/>
          <w:szCs w:val="20"/>
        </w:rPr>
        <w:lastRenderedPageBreak/>
        <w:t>Por otro lado, los requisitos de ejecución, que se realizan posterior al perfeccionamiento, comprenden: i) la aprobación de las garantías exigidas contractualmente; ii) la expedición del correspondiente registro presupuestal (RP) y; iii) la acreditación del cumplimiento de las obligaciones con el Sistema de Seguridad Social Integral, cuando resulte aplicable. Por ello, es jurídicamente admisible que estos requisitos de ejecución se surtan después del inicio de la vigencia de la Ley de Garantías Electorales, siempre que el perfeccionamiento del contrato —es decir, su celebración— haya ocurrido antes del inicio del periodo de restricciones.</w:t>
      </w:r>
    </w:p>
    <w:p w14:paraId="748649BB" w14:textId="77777777" w:rsidR="004C0620" w:rsidRDefault="004C0620" w:rsidP="00871B59">
      <w:pPr>
        <w:spacing w:after="0" w:line="240" w:lineRule="auto"/>
        <w:rPr>
          <w:rFonts w:ascii="Verdana" w:eastAsia="Geomanist Light" w:hAnsi="Verdana" w:cs="Arial"/>
          <w:color w:val="000000" w:themeColor="text1"/>
          <w:lang w:val="es-MX"/>
        </w:rPr>
      </w:pPr>
    </w:p>
    <w:p w14:paraId="1D028A33" w14:textId="77777777" w:rsidR="00320531" w:rsidRDefault="00320531" w:rsidP="00871B59">
      <w:pPr>
        <w:spacing w:after="0" w:line="240" w:lineRule="auto"/>
        <w:rPr>
          <w:rFonts w:ascii="Verdana" w:eastAsia="Geomanist Light" w:hAnsi="Verdana" w:cs="Arial"/>
          <w:color w:val="000000" w:themeColor="text1"/>
          <w:lang w:val="es-MX"/>
        </w:rPr>
      </w:pPr>
    </w:p>
    <w:p w14:paraId="13C5E583" w14:textId="77777777" w:rsidR="00320531" w:rsidRDefault="00320531" w:rsidP="00871B59">
      <w:pPr>
        <w:spacing w:after="0" w:line="240" w:lineRule="auto"/>
        <w:rPr>
          <w:rFonts w:ascii="Verdana" w:eastAsia="Geomanist Light" w:hAnsi="Verdana" w:cs="Arial"/>
          <w:color w:val="000000" w:themeColor="text1"/>
          <w:lang w:val="es-MX"/>
        </w:rPr>
      </w:pPr>
    </w:p>
    <w:p w14:paraId="3F2E5CB8" w14:textId="77777777" w:rsidR="00320531" w:rsidRDefault="00320531" w:rsidP="00871B59">
      <w:pPr>
        <w:spacing w:after="0" w:line="240" w:lineRule="auto"/>
        <w:rPr>
          <w:rFonts w:ascii="Verdana" w:eastAsia="Geomanist Light" w:hAnsi="Verdana" w:cs="Arial"/>
          <w:color w:val="000000" w:themeColor="text1"/>
          <w:lang w:val="es-MX"/>
        </w:rPr>
      </w:pPr>
    </w:p>
    <w:p w14:paraId="6EDAC9A7" w14:textId="77777777" w:rsidR="00320531" w:rsidRDefault="00320531" w:rsidP="00871B59">
      <w:pPr>
        <w:spacing w:after="0" w:line="240" w:lineRule="auto"/>
        <w:rPr>
          <w:rFonts w:ascii="Verdana" w:eastAsia="Geomanist Light" w:hAnsi="Verdana" w:cs="Arial"/>
          <w:color w:val="000000" w:themeColor="text1"/>
          <w:lang w:val="es-MX"/>
        </w:rPr>
      </w:pPr>
    </w:p>
    <w:p w14:paraId="237402BF" w14:textId="77777777" w:rsidR="00320531" w:rsidRDefault="00320531" w:rsidP="00871B59">
      <w:pPr>
        <w:spacing w:after="0" w:line="240" w:lineRule="auto"/>
        <w:rPr>
          <w:rFonts w:ascii="Verdana" w:eastAsia="Geomanist Light" w:hAnsi="Verdana" w:cs="Arial"/>
          <w:color w:val="000000" w:themeColor="text1"/>
          <w:lang w:val="es-MX"/>
        </w:rPr>
      </w:pPr>
    </w:p>
    <w:p w14:paraId="14C12DE6" w14:textId="77777777" w:rsidR="00320531" w:rsidRDefault="00320531" w:rsidP="00871B59">
      <w:pPr>
        <w:spacing w:after="0" w:line="240" w:lineRule="auto"/>
        <w:rPr>
          <w:rFonts w:ascii="Verdana" w:eastAsia="Geomanist Light" w:hAnsi="Verdana" w:cs="Arial"/>
          <w:color w:val="000000" w:themeColor="text1"/>
          <w:lang w:val="es-MX"/>
        </w:rPr>
      </w:pPr>
    </w:p>
    <w:p w14:paraId="7BEA70DF" w14:textId="77777777" w:rsidR="00320531" w:rsidRDefault="00320531" w:rsidP="00871B59">
      <w:pPr>
        <w:spacing w:after="0" w:line="240" w:lineRule="auto"/>
        <w:rPr>
          <w:rFonts w:ascii="Verdana" w:eastAsia="Geomanist Light" w:hAnsi="Verdana" w:cs="Arial"/>
          <w:color w:val="000000" w:themeColor="text1"/>
          <w:lang w:val="es-MX"/>
        </w:rPr>
      </w:pPr>
    </w:p>
    <w:p w14:paraId="4EA43E01" w14:textId="77777777" w:rsidR="00320531" w:rsidRDefault="00320531" w:rsidP="00871B59">
      <w:pPr>
        <w:spacing w:after="0" w:line="240" w:lineRule="auto"/>
        <w:rPr>
          <w:rFonts w:ascii="Verdana" w:eastAsia="Geomanist Light" w:hAnsi="Verdana" w:cs="Arial"/>
          <w:color w:val="000000" w:themeColor="text1"/>
          <w:lang w:val="es-MX"/>
        </w:rPr>
      </w:pPr>
    </w:p>
    <w:p w14:paraId="22232C90" w14:textId="77777777" w:rsidR="00320531" w:rsidRDefault="00320531" w:rsidP="00871B59">
      <w:pPr>
        <w:spacing w:after="0" w:line="240" w:lineRule="auto"/>
        <w:rPr>
          <w:rFonts w:ascii="Verdana" w:eastAsia="Geomanist Light" w:hAnsi="Verdana" w:cs="Arial"/>
          <w:color w:val="000000" w:themeColor="text1"/>
          <w:lang w:val="es-MX"/>
        </w:rPr>
      </w:pPr>
    </w:p>
    <w:p w14:paraId="26A429A9" w14:textId="77777777" w:rsidR="00320531" w:rsidRDefault="00320531" w:rsidP="00871B59">
      <w:pPr>
        <w:spacing w:after="0" w:line="240" w:lineRule="auto"/>
        <w:rPr>
          <w:rFonts w:ascii="Verdana" w:eastAsia="Geomanist Light" w:hAnsi="Verdana" w:cs="Arial"/>
          <w:color w:val="000000" w:themeColor="text1"/>
          <w:lang w:val="es-MX"/>
        </w:rPr>
      </w:pPr>
    </w:p>
    <w:p w14:paraId="3EFA0571" w14:textId="77777777" w:rsidR="00320531" w:rsidRDefault="00320531" w:rsidP="00871B59">
      <w:pPr>
        <w:spacing w:after="0" w:line="240" w:lineRule="auto"/>
        <w:rPr>
          <w:rFonts w:ascii="Verdana" w:eastAsia="Geomanist Light" w:hAnsi="Verdana" w:cs="Arial"/>
          <w:color w:val="000000" w:themeColor="text1"/>
          <w:lang w:val="es-MX"/>
        </w:rPr>
      </w:pPr>
    </w:p>
    <w:p w14:paraId="20E108D6" w14:textId="77777777" w:rsidR="00320531" w:rsidRDefault="00320531" w:rsidP="00871B59">
      <w:pPr>
        <w:spacing w:after="0" w:line="240" w:lineRule="auto"/>
        <w:rPr>
          <w:rFonts w:ascii="Verdana" w:eastAsia="Geomanist Light" w:hAnsi="Verdana" w:cs="Arial"/>
          <w:color w:val="000000" w:themeColor="text1"/>
          <w:lang w:val="es-MX"/>
        </w:rPr>
      </w:pPr>
    </w:p>
    <w:p w14:paraId="0EAC06CC" w14:textId="77777777" w:rsidR="00320531" w:rsidRDefault="00320531" w:rsidP="00871B59">
      <w:pPr>
        <w:spacing w:after="0" w:line="240" w:lineRule="auto"/>
        <w:rPr>
          <w:rFonts w:ascii="Verdana" w:eastAsia="Geomanist Light" w:hAnsi="Verdana" w:cs="Arial"/>
          <w:color w:val="000000" w:themeColor="text1"/>
          <w:lang w:val="es-MX"/>
        </w:rPr>
      </w:pPr>
    </w:p>
    <w:p w14:paraId="68F0AC9F" w14:textId="77777777" w:rsidR="00320531" w:rsidRDefault="00320531" w:rsidP="00871B59">
      <w:pPr>
        <w:spacing w:after="0" w:line="240" w:lineRule="auto"/>
        <w:rPr>
          <w:rFonts w:ascii="Verdana" w:eastAsia="Geomanist Light" w:hAnsi="Verdana" w:cs="Arial"/>
          <w:color w:val="000000" w:themeColor="text1"/>
          <w:lang w:val="es-MX"/>
        </w:rPr>
      </w:pPr>
    </w:p>
    <w:p w14:paraId="56B509F4" w14:textId="77777777" w:rsidR="00320531" w:rsidRDefault="00320531" w:rsidP="00871B59">
      <w:pPr>
        <w:spacing w:after="0" w:line="240" w:lineRule="auto"/>
        <w:rPr>
          <w:rFonts w:ascii="Verdana" w:eastAsia="Geomanist Light" w:hAnsi="Verdana" w:cs="Arial"/>
          <w:color w:val="000000" w:themeColor="text1"/>
          <w:lang w:val="es-MX"/>
        </w:rPr>
      </w:pPr>
    </w:p>
    <w:p w14:paraId="4635C0BC" w14:textId="77777777" w:rsidR="00320531" w:rsidRDefault="00320531" w:rsidP="00871B59">
      <w:pPr>
        <w:spacing w:after="0" w:line="240" w:lineRule="auto"/>
        <w:rPr>
          <w:rFonts w:ascii="Verdana" w:eastAsia="Geomanist Light" w:hAnsi="Verdana" w:cs="Arial"/>
          <w:color w:val="000000" w:themeColor="text1"/>
          <w:lang w:val="es-MX"/>
        </w:rPr>
      </w:pPr>
    </w:p>
    <w:p w14:paraId="1C139DF2" w14:textId="77777777" w:rsidR="00320531" w:rsidRDefault="00320531" w:rsidP="00871B59">
      <w:pPr>
        <w:spacing w:after="0" w:line="240" w:lineRule="auto"/>
        <w:rPr>
          <w:rFonts w:ascii="Verdana" w:eastAsia="Geomanist Light" w:hAnsi="Verdana" w:cs="Arial"/>
          <w:color w:val="000000" w:themeColor="text1"/>
          <w:lang w:val="es-MX"/>
        </w:rPr>
      </w:pPr>
    </w:p>
    <w:p w14:paraId="6B0400CE" w14:textId="77777777" w:rsidR="00320531" w:rsidRDefault="00320531" w:rsidP="00871B59">
      <w:pPr>
        <w:spacing w:after="0" w:line="240" w:lineRule="auto"/>
        <w:rPr>
          <w:rFonts w:ascii="Verdana" w:eastAsia="Geomanist Light" w:hAnsi="Verdana" w:cs="Arial"/>
          <w:color w:val="000000" w:themeColor="text1"/>
          <w:lang w:val="es-MX"/>
        </w:rPr>
      </w:pPr>
    </w:p>
    <w:p w14:paraId="776A524F" w14:textId="77777777" w:rsidR="00320531" w:rsidRDefault="00320531" w:rsidP="00871B59">
      <w:pPr>
        <w:spacing w:after="0" w:line="240" w:lineRule="auto"/>
        <w:rPr>
          <w:rFonts w:ascii="Verdana" w:eastAsia="Geomanist Light" w:hAnsi="Verdana" w:cs="Arial"/>
          <w:color w:val="000000" w:themeColor="text1"/>
          <w:lang w:val="es-MX"/>
        </w:rPr>
      </w:pPr>
    </w:p>
    <w:p w14:paraId="0ED5D415" w14:textId="77777777" w:rsidR="00320531" w:rsidRDefault="00320531" w:rsidP="00871B59">
      <w:pPr>
        <w:spacing w:after="0" w:line="240" w:lineRule="auto"/>
        <w:rPr>
          <w:rFonts w:ascii="Verdana" w:eastAsia="Geomanist Light" w:hAnsi="Verdana" w:cs="Arial"/>
          <w:color w:val="000000" w:themeColor="text1"/>
          <w:lang w:val="es-MX"/>
        </w:rPr>
      </w:pPr>
    </w:p>
    <w:p w14:paraId="7C86A2EA" w14:textId="77777777" w:rsidR="00320531" w:rsidRDefault="00320531" w:rsidP="00871B59">
      <w:pPr>
        <w:spacing w:after="0" w:line="240" w:lineRule="auto"/>
        <w:rPr>
          <w:rFonts w:ascii="Verdana" w:eastAsia="Geomanist Light" w:hAnsi="Verdana" w:cs="Arial"/>
          <w:color w:val="000000" w:themeColor="text1"/>
          <w:lang w:val="es-MX"/>
        </w:rPr>
      </w:pPr>
    </w:p>
    <w:p w14:paraId="2432CCE4" w14:textId="77777777" w:rsidR="00320531" w:rsidRDefault="00320531" w:rsidP="00871B59">
      <w:pPr>
        <w:spacing w:after="0" w:line="240" w:lineRule="auto"/>
        <w:rPr>
          <w:rFonts w:ascii="Verdana" w:eastAsia="Geomanist Light" w:hAnsi="Verdana" w:cs="Arial"/>
          <w:color w:val="000000" w:themeColor="text1"/>
          <w:lang w:val="es-MX"/>
        </w:rPr>
      </w:pPr>
    </w:p>
    <w:p w14:paraId="12CD5A46" w14:textId="77777777" w:rsidR="00320531" w:rsidRDefault="00320531" w:rsidP="00871B59">
      <w:pPr>
        <w:spacing w:after="0" w:line="240" w:lineRule="auto"/>
        <w:rPr>
          <w:rFonts w:ascii="Verdana" w:eastAsia="Geomanist Light" w:hAnsi="Verdana" w:cs="Arial"/>
          <w:color w:val="000000" w:themeColor="text1"/>
          <w:lang w:val="es-MX"/>
        </w:rPr>
      </w:pPr>
    </w:p>
    <w:p w14:paraId="6BED6779" w14:textId="77777777" w:rsidR="00320531" w:rsidRDefault="00320531" w:rsidP="00871B59">
      <w:pPr>
        <w:spacing w:after="0" w:line="240" w:lineRule="auto"/>
        <w:rPr>
          <w:rFonts w:ascii="Verdana" w:eastAsia="Geomanist Light" w:hAnsi="Verdana" w:cs="Arial"/>
          <w:color w:val="000000" w:themeColor="text1"/>
          <w:lang w:val="es-MX"/>
        </w:rPr>
      </w:pPr>
    </w:p>
    <w:p w14:paraId="6C3BD98A" w14:textId="77777777" w:rsidR="00320531" w:rsidRDefault="00320531" w:rsidP="00871B59">
      <w:pPr>
        <w:spacing w:after="0" w:line="240" w:lineRule="auto"/>
        <w:rPr>
          <w:rFonts w:ascii="Verdana" w:eastAsia="Geomanist Light" w:hAnsi="Verdana" w:cs="Arial"/>
          <w:color w:val="000000" w:themeColor="text1"/>
          <w:lang w:val="es-MX"/>
        </w:rPr>
      </w:pPr>
    </w:p>
    <w:p w14:paraId="0736EDC0" w14:textId="77777777" w:rsidR="00320531" w:rsidRDefault="00320531" w:rsidP="00871B59">
      <w:pPr>
        <w:spacing w:after="0" w:line="240" w:lineRule="auto"/>
        <w:rPr>
          <w:rFonts w:ascii="Verdana" w:eastAsia="Geomanist Light" w:hAnsi="Verdana" w:cs="Arial"/>
          <w:color w:val="000000" w:themeColor="text1"/>
          <w:lang w:val="es-MX"/>
        </w:rPr>
      </w:pPr>
    </w:p>
    <w:p w14:paraId="29C2BD6D" w14:textId="77777777" w:rsidR="00320531" w:rsidRDefault="00320531" w:rsidP="00871B59">
      <w:pPr>
        <w:spacing w:after="0" w:line="240" w:lineRule="auto"/>
        <w:rPr>
          <w:rFonts w:ascii="Verdana" w:eastAsia="Geomanist Light" w:hAnsi="Verdana" w:cs="Arial"/>
          <w:color w:val="000000" w:themeColor="text1"/>
          <w:lang w:val="es-MX"/>
        </w:rPr>
      </w:pPr>
    </w:p>
    <w:p w14:paraId="5B3DFC93" w14:textId="77777777" w:rsidR="00320531" w:rsidRDefault="00320531" w:rsidP="00871B59">
      <w:pPr>
        <w:spacing w:after="0" w:line="240" w:lineRule="auto"/>
        <w:rPr>
          <w:rFonts w:ascii="Verdana" w:eastAsia="Geomanist Light" w:hAnsi="Verdana" w:cs="Arial"/>
          <w:color w:val="000000" w:themeColor="text1"/>
          <w:lang w:val="es-MX"/>
        </w:rPr>
      </w:pPr>
    </w:p>
    <w:p w14:paraId="119935C6" w14:textId="77777777" w:rsidR="00320531" w:rsidRDefault="00320531" w:rsidP="00871B59">
      <w:pPr>
        <w:spacing w:after="0" w:line="240" w:lineRule="auto"/>
        <w:rPr>
          <w:rFonts w:ascii="Verdana" w:eastAsia="Geomanist Light" w:hAnsi="Verdana" w:cs="Arial"/>
          <w:color w:val="000000" w:themeColor="text1"/>
          <w:lang w:val="es-MX"/>
        </w:rPr>
      </w:pPr>
    </w:p>
    <w:p w14:paraId="3B5FCEF4" w14:textId="77777777" w:rsidR="00320531" w:rsidRDefault="00320531" w:rsidP="00871B59">
      <w:pPr>
        <w:spacing w:after="0" w:line="240" w:lineRule="auto"/>
        <w:rPr>
          <w:rFonts w:ascii="Verdana" w:eastAsia="Geomanist Light" w:hAnsi="Verdana" w:cs="Arial"/>
          <w:color w:val="000000" w:themeColor="text1"/>
          <w:lang w:val="es-MX"/>
        </w:rPr>
      </w:pPr>
    </w:p>
    <w:p w14:paraId="5E5F71DF" w14:textId="77777777" w:rsidR="00320531" w:rsidRDefault="00320531" w:rsidP="00871B59">
      <w:pPr>
        <w:spacing w:after="0" w:line="240" w:lineRule="auto"/>
        <w:rPr>
          <w:rFonts w:ascii="Verdana" w:eastAsia="Geomanist Light" w:hAnsi="Verdana" w:cs="Arial"/>
          <w:color w:val="000000" w:themeColor="text1"/>
          <w:lang w:val="es-MX"/>
        </w:rPr>
      </w:pPr>
    </w:p>
    <w:p w14:paraId="2476A014" w14:textId="77777777" w:rsidR="00DC76A3" w:rsidRDefault="00DC76A3" w:rsidP="00871B59">
      <w:pPr>
        <w:spacing w:after="0" w:line="240" w:lineRule="auto"/>
        <w:rPr>
          <w:rFonts w:ascii="Verdana" w:eastAsia="Geomanist Light" w:hAnsi="Verdana" w:cs="Arial"/>
          <w:color w:val="000000" w:themeColor="text1"/>
          <w:lang w:val="es-MX"/>
        </w:rPr>
      </w:pPr>
    </w:p>
    <w:p w14:paraId="5C0D97DB" w14:textId="77777777" w:rsidR="00DC76A3" w:rsidRDefault="00DC76A3" w:rsidP="00871B59">
      <w:pPr>
        <w:spacing w:after="0" w:line="240" w:lineRule="auto"/>
        <w:rPr>
          <w:rFonts w:ascii="Verdana" w:eastAsia="Geomanist Light" w:hAnsi="Verdana" w:cs="Arial"/>
          <w:color w:val="000000" w:themeColor="text1"/>
          <w:lang w:val="es-MX"/>
        </w:rPr>
      </w:pPr>
    </w:p>
    <w:p w14:paraId="3A6F8666" w14:textId="77777777" w:rsidR="00DC76A3" w:rsidRDefault="00DC76A3" w:rsidP="00871B59">
      <w:pPr>
        <w:spacing w:after="0" w:line="240" w:lineRule="auto"/>
        <w:rPr>
          <w:rFonts w:ascii="Verdana" w:eastAsia="Geomanist Light" w:hAnsi="Verdana" w:cs="Arial"/>
          <w:color w:val="000000" w:themeColor="text1"/>
          <w:lang w:val="es-MX"/>
        </w:rPr>
      </w:pPr>
    </w:p>
    <w:p w14:paraId="53422F3E" w14:textId="77777777" w:rsidR="00DC76A3" w:rsidRDefault="00DC76A3" w:rsidP="00871B59">
      <w:pPr>
        <w:spacing w:after="0" w:line="240" w:lineRule="auto"/>
        <w:rPr>
          <w:rFonts w:ascii="Verdana" w:eastAsia="Geomanist Light" w:hAnsi="Verdana" w:cs="Arial"/>
          <w:color w:val="000000" w:themeColor="text1"/>
          <w:lang w:val="es-MX"/>
        </w:rPr>
      </w:pPr>
    </w:p>
    <w:p w14:paraId="6700D6DA" w14:textId="68BD80E1" w:rsidR="00871B59" w:rsidRPr="00593A5F" w:rsidRDefault="00871B59" w:rsidP="00871B59">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F30BB5">
        <w:rPr>
          <w:rFonts w:ascii="Verdana" w:eastAsia="Geomanist Light" w:hAnsi="Verdana" w:cs="Arial"/>
          <w:color w:val="201F1E"/>
          <w:lang w:val="es-MX"/>
        </w:rPr>
        <w:t xml:space="preserve">12 </w:t>
      </w:r>
      <w:proofErr w:type="gramStart"/>
      <w:r w:rsidR="00F30BB5">
        <w:rPr>
          <w:rFonts w:ascii="Verdana" w:eastAsia="Geomanist Light" w:hAnsi="Verdana" w:cs="Arial"/>
          <w:color w:val="201F1E"/>
          <w:lang w:val="es-MX"/>
        </w:rPr>
        <w:t>Febrero</w:t>
      </w:r>
      <w:proofErr w:type="gramEnd"/>
      <w:r w:rsidR="00F30BB5">
        <w:rPr>
          <w:rFonts w:ascii="Verdana" w:eastAsia="Geomanist Light" w:hAnsi="Verdana" w:cs="Arial"/>
          <w:color w:val="201F1E"/>
          <w:lang w:val="es-MX"/>
        </w:rPr>
        <w:t xml:space="preserve"> 2026</w:t>
      </w:r>
    </w:p>
    <w:p w14:paraId="263F56BE" w14:textId="490634B8" w:rsidR="00871B59" w:rsidRPr="00593A5F" w:rsidRDefault="00DC76A3" w:rsidP="00383983">
      <w:pPr>
        <w:spacing w:after="0" w:line="240" w:lineRule="auto"/>
        <w:jc w:val="right"/>
        <w:rPr>
          <w:rFonts w:ascii="Verdana" w:eastAsia="Calibri" w:hAnsi="Verdana" w:cs="Arial"/>
          <w:color w:val="000000"/>
          <w:lang w:val="es-ES"/>
        </w:rPr>
      </w:pPr>
      <w:r w:rsidRPr="00383983">
        <w:rPr>
          <w:rFonts w:ascii="Verdana" w:eastAsia="Calibri" w:hAnsi="Verdana" w:cs="Arial"/>
          <w:noProof/>
          <w:color w:val="000000"/>
          <w:lang w:val="es-ES"/>
        </w:rPr>
        <w:drawing>
          <wp:anchor distT="0" distB="0" distL="114300" distR="114300" simplePos="0" relativeHeight="251658240" behindDoc="0" locked="0" layoutInCell="1" allowOverlap="1" wp14:anchorId="0BF9A3B0" wp14:editId="0E214FC9">
            <wp:simplePos x="0" y="0"/>
            <wp:positionH relativeFrom="margin">
              <wp:align>right</wp:align>
            </wp:positionH>
            <wp:positionV relativeFrom="paragraph">
              <wp:posOffset>10492</wp:posOffset>
            </wp:positionV>
            <wp:extent cx="2697480" cy="752475"/>
            <wp:effectExtent l="0" t="0" r="7620" b="9525"/>
            <wp:wrapSquare wrapText="bothSides"/>
            <wp:docPr id="127020895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208957"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2697480" cy="752475"/>
                    </a:xfrm>
                    <a:prstGeom prst="rect">
                      <a:avLst/>
                    </a:prstGeom>
                  </pic:spPr>
                </pic:pic>
              </a:graphicData>
            </a:graphic>
            <wp14:sizeRelH relativeFrom="margin">
              <wp14:pctWidth>0</wp14:pctWidth>
            </wp14:sizeRelH>
          </wp:anchor>
        </w:drawing>
      </w:r>
    </w:p>
    <w:p w14:paraId="66EF7FED" w14:textId="0853987F"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w:t>
      </w:r>
      <w:r w:rsidR="00FF7B9A">
        <w:rPr>
          <w:rFonts w:ascii="Verdana" w:eastAsia="Calibri" w:hAnsi="Verdana" w:cs="Arial"/>
          <w:lang w:val="es-ES" w:eastAsia="es-ES"/>
        </w:rPr>
        <w:t>r</w:t>
      </w:r>
    </w:p>
    <w:p w14:paraId="7109D241" w14:textId="278D5129" w:rsidR="00152A9D" w:rsidRPr="00A832CC" w:rsidRDefault="00397536" w:rsidP="00152A9D">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Oscar Fabián López Sierra</w:t>
      </w:r>
    </w:p>
    <w:p w14:paraId="20D3ECD8" w14:textId="1F2720F0" w:rsidR="00152A9D" w:rsidRPr="00F30BB5" w:rsidRDefault="00F30BB5" w:rsidP="00152A9D">
      <w:pPr>
        <w:spacing w:after="0" w:line="240" w:lineRule="auto"/>
        <w:rPr>
          <w:rFonts w:ascii="Verdana" w:eastAsia="Calibri" w:hAnsi="Verdana" w:cs="Arial"/>
          <w:color w:val="0000FF"/>
          <w:u w:val="single"/>
          <w:lang w:val="es-ES" w:eastAsia="es-ES"/>
        </w:rPr>
      </w:pPr>
      <w:hyperlink r:id="rId12" w:history="1">
        <w:r w:rsidRPr="00F30BB5">
          <w:rPr>
            <w:rStyle w:val="Hipervnculo"/>
            <w:rFonts w:ascii="Verdana" w:eastAsia="Calibri" w:hAnsi="Verdana" w:cs="Arial"/>
            <w:color w:val="0000FF"/>
            <w:lang w:val="es-ES" w:eastAsia="es-ES"/>
          </w:rPr>
          <w:t>oscarfabianlopezsierra@gmail.com</w:t>
        </w:r>
      </w:hyperlink>
      <w:r w:rsidRPr="00F30BB5">
        <w:rPr>
          <w:rFonts w:ascii="Verdana" w:eastAsia="Calibri" w:hAnsi="Verdana" w:cs="Arial"/>
          <w:color w:val="0000FF"/>
          <w:u w:val="single"/>
          <w:lang w:val="es-ES" w:eastAsia="es-ES"/>
        </w:rPr>
        <w:t xml:space="preserve"> </w:t>
      </w:r>
    </w:p>
    <w:p w14:paraId="7D31DD3A" w14:textId="02C3C48A" w:rsidR="00152A9D" w:rsidRPr="00A832CC" w:rsidRDefault="00397536" w:rsidP="00152A9D">
      <w:pPr>
        <w:spacing w:after="0" w:line="240" w:lineRule="auto"/>
        <w:rPr>
          <w:rFonts w:ascii="Verdana" w:eastAsia="Calibri" w:hAnsi="Verdana" w:cs="Arial"/>
          <w:b/>
          <w:bCs/>
          <w:lang w:val="es-ES" w:eastAsia="es-ES"/>
        </w:rPr>
      </w:pPr>
      <w:r>
        <w:rPr>
          <w:rFonts w:ascii="Verdana" w:eastAsia="Calibri" w:hAnsi="Verdana" w:cs="Arial"/>
          <w:lang w:val="es-ES" w:eastAsia="es-ES"/>
        </w:rPr>
        <w:t>Tunja, Boyacá</w:t>
      </w:r>
    </w:p>
    <w:p w14:paraId="40764CBF"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AC1791A" w14:textId="77777777" w:rsidTr="002607A7">
        <w:trPr>
          <w:trHeight w:val="884"/>
        </w:trPr>
        <w:tc>
          <w:tcPr>
            <w:tcW w:w="2689" w:type="dxa"/>
          </w:tcPr>
          <w:p w14:paraId="156B1AEC" w14:textId="77777777" w:rsidR="00871B59" w:rsidRPr="00FF7B9A" w:rsidRDefault="00871B59" w:rsidP="002607A7">
            <w:pPr>
              <w:jc w:val="both"/>
              <w:rPr>
                <w:rFonts w:ascii="Verdana" w:eastAsia="Calibri" w:hAnsi="Verdana" w:cs="Arial"/>
                <w:b/>
                <w:bCs/>
                <w:color w:val="7030A0"/>
                <w:lang w:val="es-ES_tradnl" w:eastAsia="es-ES_tradnl"/>
              </w:rPr>
            </w:pPr>
          </w:p>
        </w:tc>
        <w:tc>
          <w:tcPr>
            <w:tcW w:w="6100" w:type="dxa"/>
          </w:tcPr>
          <w:p w14:paraId="48F499EA" w14:textId="12DFE493" w:rsidR="00871B59" w:rsidRPr="00F30BB5" w:rsidRDefault="00871B59" w:rsidP="002607A7">
            <w:pPr>
              <w:jc w:val="both"/>
              <w:rPr>
                <w:rFonts w:ascii="Verdana" w:eastAsia="Calibri" w:hAnsi="Verdana" w:cs="Arial"/>
                <w:b/>
                <w:bCs/>
                <w:lang w:val="es-ES" w:eastAsia="es-ES"/>
              </w:rPr>
            </w:pPr>
            <w:r w:rsidRPr="00F30BB5">
              <w:rPr>
                <w:rFonts w:ascii="Verdana" w:eastAsia="Calibri" w:hAnsi="Verdana" w:cs="Arial"/>
                <w:b/>
                <w:bCs/>
                <w:lang w:val="es-ES" w:eastAsia="es-ES"/>
              </w:rPr>
              <w:t>Concepto C-</w:t>
            </w:r>
            <w:r w:rsidR="00F30BB5" w:rsidRPr="00F30BB5">
              <w:rPr>
                <w:rFonts w:ascii="Verdana" w:eastAsia="Calibri" w:hAnsi="Verdana" w:cs="Arial"/>
                <w:b/>
                <w:bCs/>
                <w:lang w:val="es-ES" w:eastAsia="es-ES"/>
              </w:rPr>
              <w:t>136</w:t>
            </w:r>
            <w:r w:rsidR="00FF7B9A" w:rsidRPr="00F30BB5">
              <w:rPr>
                <w:rFonts w:ascii="Verdana" w:eastAsia="Calibri" w:hAnsi="Verdana" w:cs="Arial"/>
                <w:b/>
                <w:bCs/>
                <w:lang w:val="es-ES" w:eastAsia="es-ES"/>
              </w:rPr>
              <w:t xml:space="preserve"> de</w:t>
            </w:r>
            <w:r w:rsidRPr="00F30BB5">
              <w:rPr>
                <w:rFonts w:ascii="Verdana" w:eastAsia="Calibri" w:hAnsi="Verdana" w:cs="Arial"/>
                <w:b/>
                <w:bCs/>
                <w:lang w:val="es-ES" w:eastAsia="es-ES"/>
              </w:rPr>
              <w:t xml:space="preserve"> 202</w:t>
            </w:r>
            <w:r w:rsidR="00397536" w:rsidRPr="00F30BB5">
              <w:rPr>
                <w:rFonts w:ascii="Verdana" w:eastAsia="Calibri" w:hAnsi="Verdana" w:cs="Arial"/>
                <w:b/>
                <w:bCs/>
                <w:lang w:val="es-ES" w:eastAsia="es-ES"/>
              </w:rPr>
              <w:t>6</w:t>
            </w:r>
          </w:p>
        </w:tc>
      </w:tr>
      <w:tr w:rsidR="00871B59" w:rsidRPr="00593A5F" w14:paraId="0DD246A7" w14:textId="77777777" w:rsidTr="002607A7">
        <w:trPr>
          <w:trHeight w:val="884"/>
        </w:trPr>
        <w:tc>
          <w:tcPr>
            <w:tcW w:w="2689" w:type="dxa"/>
          </w:tcPr>
          <w:p w14:paraId="1B4FC525" w14:textId="77777777" w:rsidR="00871B59" w:rsidRPr="00FA7A5F" w:rsidRDefault="00871B59" w:rsidP="002607A7">
            <w:pPr>
              <w:jc w:val="both"/>
              <w:rPr>
                <w:rFonts w:ascii="Verdana" w:eastAsia="Calibri" w:hAnsi="Verdana" w:cs="Arial"/>
                <w:color w:val="000000"/>
                <w:lang w:val="es-ES_tradnl" w:eastAsia="es-ES_tradnl"/>
              </w:rPr>
            </w:pPr>
            <w:r w:rsidRPr="00FA7A5F">
              <w:rPr>
                <w:rFonts w:ascii="Verdana" w:eastAsia="Calibri" w:hAnsi="Verdana" w:cs="Arial"/>
                <w:b/>
                <w:color w:val="000000"/>
                <w:lang w:val="es-ES_tradnl" w:eastAsia="es-ES_tradnl"/>
              </w:rPr>
              <w:t>Temas:</w:t>
            </w:r>
            <w:r w:rsidRPr="00FA7A5F">
              <w:rPr>
                <w:rFonts w:ascii="Verdana" w:eastAsia="Calibri" w:hAnsi="Verdana" w:cs="Arial"/>
                <w:color w:val="000000"/>
                <w:lang w:val="es-ES_tradnl" w:eastAsia="es-ES_tradnl"/>
              </w:rPr>
              <w:t xml:space="preserve">                   </w:t>
            </w:r>
          </w:p>
        </w:tc>
        <w:tc>
          <w:tcPr>
            <w:tcW w:w="6100" w:type="dxa"/>
          </w:tcPr>
          <w:p w14:paraId="64642AD8" w14:textId="7B1852D8" w:rsidR="007D17C3" w:rsidRPr="00F30BB5" w:rsidRDefault="007D17C3" w:rsidP="00152A9D">
            <w:pPr>
              <w:spacing w:line="276" w:lineRule="auto"/>
              <w:jc w:val="both"/>
              <w:rPr>
                <w:rFonts w:ascii="Verdana" w:eastAsia="Calibri" w:hAnsi="Verdana" w:cs="Arial"/>
                <w:lang w:val="es-ES" w:eastAsia="es-ES"/>
              </w:rPr>
            </w:pPr>
            <w:r w:rsidRPr="00F30BB5">
              <w:rPr>
                <w:rFonts w:ascii="Verdana" w:eastAsia="Calibri" w:hAnsi="Verdana" w:cs="Arial"/>
                <w:lang w:val="es-ES" w:eastAsia="es-ES"/>
              </w:rPr>
              <w:t>LEY DE GARANTÍAS ELECTORALES –</w:t>
            </w:r>
            <w:r w:rsidR="00FA7A5F" w:rsidRPr="00F30BB5">
              <w:rPr>
                <w:rFonts w:ascii="Verdana" w:eastAsia="Calibri" w:hAnsi="Verdana" w:cs="Arial"/>
                <w:lang w:val="es-ES" w:eastAsia="es-ES"/>
              </w:rPr>
              <w:t xml:space="preserve"> Finalidad /LEY DE GARANTÍAS ELECTORALES - Tipos de restricciones/ LEY DE GARANTÍAS ELECTORALES – Contratación directa </w:t>
            </w:r>
            <w:r w:rsidR="008D4911" w:rsidRPr="00F30BB5">
              <w:rPr>
                <w:rFonts w:ascii="Verdana" w:eastAsia="Calibri" w:hAnsi="Verdana" w:cs="Arial"/>
                <w:lang w:val="es-ES" w:eastAsia="es-ES"/>
              </w:rPr>
              <w:t>- Prohibiciones</w:t>
            </w:r>
            <w:r w:rsidR="00FA7A5F" w:rsidRPr="00F30BB5">
              <w:rPr>
                <w:rFonts w:ascii="Verdana" w:eastAsia="Calibri" w:hAnsi="Verdana" w:cs="Arial"/>
                <w:lang w:val="es-ES" w:eastAsia="es-ES"/>
              </w:rPr>
              <w:t xml:space="preserve"> – LEY DE GARANTÍAS ELECTORALES – Ejecución del </w:t>
            </w:r>
            <w:r w:rsidR="008D4911" w:rsidRPr="00F30BB5">
              <w:rPr>
                <w:rFonts w:ascii="Verdana" w:eastAsia="Calibri" w:hAnsi="Verdana" w:cs="Arial"/>
                <w:lang w:val="es-ES" w:eastAsia="es-ES"/>
              </w:rPr>
              <w:t>erario</w:t>
            </w:r>
            <w:r w:rsidR="00FA7A5F" w:rsidRPr="00F30BB5">
              <w:rPr>
                <w:rFonts w:ascii="Verdana" w:eastAsia="Calibri" w:hAnsi="Verdana" w:cs="Arial"/>
                <w:lang w:val="es-ES" w:eastAsia="es-ES"/>
              </w:rPr>
              <w:t>.</w:t>
            </w:r>
          </w:p>
          <w:p w14:paraId="7ADD1096" w14:textId="5FE27511" w:rsidR="00871B59" w:rsidRPr="00F30BB5" w:rsidRDefault="00871B59" w:rsidP="00152A9D">
            <w:pPr>
              <w:spacing w:line="276" w:lineRule="auto"/>
              <w:jc w:val="both"/>
              <w:rPr>
                <w:rFonts w:ascii="Verdana" w:eastAsia="Calibri" w:hAnsi="Verdana" w:cs="Arial"/>
                <w:lang w:val="es-ES" w:eastAsia="es-ES"/>
              </w:rPr>
            </w:pPr>
          </w:p>
        </w:tc>
      </w:tr>
      <w:tr w:rsidR="00871B59" w:rsidRPr="00AC3290" w14:paraId="0A874006" w14:textId="77777777" w:rsidTr="002607A7">
        <w:tc>
          <w:tcPr>
            <w:tcW w:w="2689" w:type="dxa"/>
          </w:tcPr>
          <w:p w14:paraId="56ED2765" w14:textId="77777777" w:rsidR="00871B59" w:rsidRPr="00FF7B9A" w:rsidRDefault="00871B59" w:rsidP="002607A7">
            <w:pPr>
              <w:jc w:val="both"/>
              <w:rPr>
                <w:rFonts w:ascii="Verdana" w:eastAsia="Calibri" w:hAnsi="Verdana" w:cs="Arial"/>
                <w:b/>
                <w:lang w:val="es-ES_tradnl" w:eastAsia="es-ES_tradnl"/>
              </w:rPr>
            </w:pPr>
            <w:r w:rsidRPr="00FF7B9A">
              <w:rPr>
                <w:rFonts w:ascii="Verdana" w:eastAsia="Calibri" w:hAnsi="Verdana" w:cs="Arial"/>
                <w:b/>
                <w:lang w:val="es-ES_tradnl" w:eastAsia="es-ES_tradnl"/>
              </w:rPr>
              <w:t>Radicación:</w:t>
            </w:r>
            <w:r w:rsidRPr="00FF7B9A">
              <w:rPr>
                <w:rFonts w:ascii="Verdana" w:eastAsia="Calibri" w:hAnsi="Verdana" w:cs="Arial"/>
                <w:lang w:val="es-ES_tradnl" w:eastAsia="es-ES_tradnl"/>
              </w:rPr>
              <w:t xml:space="preserve">               </w:t>
            </w:r>
          </w:p>
        </w:tc>
        <w:tc>
          <w:tcPr>
            <w:tcW w:w="6100" w:type="dxa"/>
          </w:tcPr>
          <w:p w14:paraId="630D2668" w14:textId="70C46694" w:rsidR="00871B59" w:rsidRPr="00F30BB5" w:rsidRDefault="00871B59" w:rsidP="002607A7">
            <w:pPr>
              <w:jc w:val="both"/>
              <w:rPr>
                <w:rFonts w:ascii="Verdana" w:eastAsia="Calibri" w:hAnsi="Verdana" w:cs="Arial"/>
                <w:lang w:val="es-ES_tradnl" w:eastAsia="es-ES_tradnl"/>
              </w:rPr>
            </w:pPr>
            <w:r w:rsidRPr="00F30BB5">
              <w:rPr>
                <w:rFonts w:ascii="Verdana" w:eastAsia="Calibri" w:hAnsi="Verdana" w:cs="Arial"/>
                <w:lang w:val="es-ES_tradnl" w:eastAsia="es-ES_tradnl"/>
              </w:rPr>
              <w:t xml:space="preserve">Respuesta a consulta con radicado No. </w:t>
            </w:r>
            <w:r w:rsidR="00397536" w:rsidRPr="00F30BB5">
              <w:rPr>
                <w:rFonts w:ascii="Verdana" w:eastAsia="Calibri" w:hAnsi="Verdana" w:cs="Arial"/>
                <w:lang w:eastAsia="es-ES_tradnl"/>
              </w:rPr>
              <w:t>1_2026_02_02_001191</w:t>
            </w:r>
          </w:p>
        </w:tc>
      </w:tr>
    </w:tbl>
    <w:p w14:paraId="01AFCA4D" w14:textId="77777777" w:rsidR="00871B59" w:rsidRPr="00AC3290" w:rsidRDefault="00871B59" w:rsidP="00871B59">
      <w:pPr>
        <w:spacing w:after="0" w:line="240" w:lineRule="auto"/>
        <w:jc w:val="both"/>
        <w:rPr>
          <w:rFonts w:ascii="Verdana" w:eastAsia="Calibri" w:hAnsi="Verdana" w:cs="Arial"/>
          <w:lang w:val="es-ES_tradnl" w:eastAsia="es-ES_tradnl"/>
        </w:rPr>
      </w:pPr>
    </w:p>
    <w:p w14:paraId="4FF08E37"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5A8CAE32" w14:textId="07EDAC35" w:rsidR="00871B59" w:rsidRDefault="00871B59" w:rsidP="00871B59">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 xml:space="preserve">Estimado </w:t>
      </w:r>
      <w:r w:rsidR="00152A9D">
        <w:rPr>
          <w:rFonts w:ascii="Verdana" w:eastAsia="Calibri" w:hAnsi="Verdana" w:cs="Arial"/>
          <w:color w:val="000000" w:themeColor="text1"/>
          <w:lang w:val="es-ES" w:eastAsia="es-ES"/>
        </w:rPr>
        <w:t xml:space="preserve">señor </w:t>
      </w:r>
      <w:r w:rsidR="00AD6AA0">
        <w:rPr>
          <w:rFonts w:ascii="Verdana" w:eastAsia="Calibri" w:hAnsi="Verdana" w:cs="Arial"/>
          <w:color w:val="000000" w:themeColor="text1"/>
          <w:lang w:val="es-ES" w:eastAsia="es-ES"/>
        </w:rPr>
        <w:t>López</w:t>
      </w:r>
      <w:r w:rsidR="00152A9D">
        <w:rPr>
          <w:rFonts w:ascii="Verdana" w:eastAsia="Calibri" w:hAnsi="Verdana" w:cs="Arial"/>
          <w:color w:val="000000" w:themeColor="text1"/>
          <w:lang w:val="es-ES" w:eastAsia="es-ES"/>
        </w:rPr>
        <w:t>:</w:t>
      </w:r>
    </w:p>
    <w:p w14:paraId="6203995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DBD3E26" w14:textId="3FC1E063" w:rsidR="00871B59" w:rsidRDefault="00871B59" w:rsidP="00383983">
      <w:pPr>
        <w:spacing w:after="0" w:line="276" w:lineRule="auto"/>
        <w:jc w:val="both"/>
        <w:rPr>
          <w:rFonts w:ascii="Verdana" w:eastAsia="Calibri" w:hAnsi="Verdana" w:cs="Arial"/>
          <w:lang w:val="es-ES" w:eastAsia="es-ES"/>
        </w:rPr>
      </w:pPr>
      <w:r w:rsidRPr="681364DF">
        <w:rPr>
          <w:rFonts w:ascii="Verdana" w:eastAsia="Calibri" w:hAnsi="Verdana" w:cs="Arial"/>
          <w:color w:val="000000" w:themeColor="text1"/>
          <w:lang w:val="es-ES" w:eastAsia="es-ES"/>
        </w:rPr>
        <w:t>En ejercicio de la competencia otorgada por los artículos 3, numeral 5º, y 11, numeral 8º, del Decreto Ley 4170 de 2011,</w:t>
      </w:r>
      <w:r w:rsidRPr="681364DF">
        <w:rPr>
          <w:rFonts w:ascii="Verdana" w:eastAsia="Arial MT" w:hAnsi="Verdana" w:cs="Arial MT"/>
          <w:lang w:val="es-ES" w:eastAsia="es-ES"/>
        </w:rPr>
        <w:t xml:space="preserve"> </w:t>
      </w:r>
      <w:r w:rsidRPr="681364DF">
        <w:rPr>
          <w:rFonts w:ascii="Verdana" w:hAnsi="Verdana" w:cs="Arial"/>
        </w:rPr>
        <w:t xml:space="preserve">así como lo establecido la </w:t>
      </w:r>
      <w:r w:rsidR="43C9AAE4" w:rsidRPr="681364DF">
        <w:rPr>
          <w:rFonts w:ascii="Verdana" w:eastAsia="Verdana" w:hAnsi="Verdana" w:cs="Verdana"/>
          <w:color w:val="000000" w:themeColor="text1"/>
        </w:rPr>
        <w:t>Resolución 469 de 2025</w:t>
      </w:r>
      <w:r w:rsidRPr="681364DF">
        <w:rPr>
          <w:rFonts w:ascii="Verdana" w:hAnsi="Verdana" w:cs="Arial"/>
        </w:rPr>
        <w:t xml:space="preserve"> expedida por esta Entidad, </w:t>
      </w:r>
      <w:r w:rsidRPr="681364DF">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sidR="00AD6AA0">
        <w:rPr>
          <w:rFonts w:ascii="Verdana" w:eastAsia="Calibri" w:hAnsi="Verdana" w:cs="Arial"/>
          <w:lang w:val="es-ES" w:eastAsia="es-ES"/>
        </w:rPr>
        <w:t>02</w:t>
      </w:r>
      <w:r w:rsidRPr="00152A9D">
        <w:rPr>
          <w:rFonts w:ascii="Verdana" w:eastAsia="Calibri" w:hAnsi="Verdana" w:cs="Arial"/>
          <w:lang w:val="es-ES" w:eastAsia="es-ES"/>
        </w:rPr>
        <w:t xml:space="preserve"> de </w:t>
      </w:r>
      <w:r w:rsidR="00AD6AA0">
        <w:rPr>
          <w:rFonts w:ascii="Verdana" w:eastAsia="Calibri" w:hAnsi="Verdana" w:cs="Arial"/>
          <w:lang w:val="es-ES" w:eastAsia="es-ES"/>
        </w:rPr>
        <w:t>febrero</w:t>
      </w:r>
      <w:r w:rsidRPr="00152A9D">
        <w:rPr>
          <w:rFonts w:ascii="Verdana" w:eastAsia="Calibri" w:hAnsi="Verdana" w:cs="Arial"/>
          <w:lang w:val="es-ES" w:eastAsia="es-ES"/>
        </w:rPr>
        <w:t xml:space="preserve"> de 20</w:t>
      </w:r>
      <w:r w:rsidR="00152A9D" w:rsidRPr="00152A9D">
        <w:rPr>
          <w:rFonts w:ascii="Verdana" w:eastAsia="Calibri" w:hAnsi="Verdana" w:cs="Arial"/>
          <w:lang w:val="es-ES" w:eastAsia="es-ES"/>
        </w:rPr>
        <w:t>26</w:t>
      </w:r>
      <w:r w:rsidRPr="00152A9D">
        <w:rPr>
          <w:rFonts w:ascii="Verdana" w:eastAsia="Calibri" w:hAnsi="Verdana" w:cs="Arial"/>
          <w:lang w:val="es-ES" w:eastAsia="es-ES"/>
        </w:rPr>
        <w:t xml:space="preserve">, en la cual manifiesta lo siguiente: </w:t>
      </w:r>
    </w:p>
    <w:p w14:paraId="5E7769EB" w14:textId="77777777" w:rsidR="00383983" w:rsidRPr="00383983" w:rsidRDefault="00383983" w:rsidP="00383983">
      <w:pPr>
        <w:spacing w:after="0" w:line="276" w:lineRule="auto"/>
        <w:jc w:val="both"/>
        <w:rPr>
          <w:rFonts w:ascii="Verdana" w:eastAsia="Calibri" w:hAnsi="Verdana" w:cs="Arial"/>
          <w:color w:val="7030A0"/>
          <w:lang w:val="es-ES" w:eastAsia="es-ES"/>
        </w:rPr>
      </w:pPr>
    </w:p>
    <w:p w14:paraId="2DB72DCB" w14:textId="496A49DC" w:rsidR="00AD6AA0" w:rsidRDefault="00871B59" w:rsidP="00871B59">
      <w:pPr>
        <w:spacing w:after="0" w:line="240" w:lineRule="auto"/>
        <w:ind w:left="709" w:right="709"/>
        <w:jc w:val="both"/>
        <w:rPr>
          <w:rFonts w:ascii="Verdana" w:eastAsia="Century Gothic" w:hAnsi="Verdana" w:cs="Century Gothic"/>
          <w:sz w:val="20"/>
          <w:szCs w:val="20"/>
          <w:lang w:val="es-ES"/>
        </w:rPr>
      </w:pPr>
      <w:bookmarkStart w:id="0" w:name="_Hlk95313578"/>
      <w:r w:rsidRPr="007D17C3">
        <w:rPr>
          <w:rFonts w:ascii="Verdana" w:eastAsia="Century Gothic" w:hAnsi="Verdana" w:cs="Century Gothic"/>
          <w:sz w:val="20"/>
          <w:szCs w:val="20"/>
          <w:lang w:val="es-ES"/>
        </w:rPr>
        <w:t>“</w:t>
      </w:r>
      <w:r w:rsidR="00AD6AA0">
        <w:rPr>
          <w:rFonts w:ascii="Verdana" w:eastAsia="Century Gothic" w:hAnsi="Verdana" w:cs="Century Gothic"/>
          <w:sz w:val="20"/>
          <w:szCs w:val="20"/>
          <w:lang w:val="es-ES"/>
        </w:rPr>
        <w:t>Cordial saludo,</w:t>
      </w:r>
    </w:p>
    <w:p w14:paraId="59785C2B" w14:textId="77777777" w:rsidR="00AD6AA0" w:rsidRDefault="00AD6AA0" w:rsidP="00871B59">
      <w:pPr>
        <w:spacing w:after="0" w:line="240" w:lineRule="auto"/>
        <w:ind w:left="709" w:right="709"/>
        <w:jc w:val="both"/>
        <w:rPr>
          <w:rFonts w:ascii="Verdana" w:eastAsia="Century Gothic" w:hAnsi="Verdana" w:cs="Century Gothic"/>
          <w:sz w:val="20"/>
          <w:szCs w:val="20"/>
          <w:lang w:val="es-ES"/>
        </w:rPr>
      </w:pPr>
    </w:p>
    <w:p w14:paraId="1006183E" w14:textId="080E7550" w:rsidR="00871B59" w:rsidRPr="007D17C3" w:rsidRDefault="00AD6AA0" w:rsidP="00871B59">
      <w:pPr>
        <w:spacing w:after="0" w:line="240" w:lineRule="auto"/>
        <w:ind w:left="709" w:right="709"/>
        <w:jc w:val="both"/>
        <w:rPr>
          <w:rFonts w:ascii="Verdana" w:eastAsia="Century Gothic" w:hAnsi="Verdana" w:cs="Century Gothic"/>
          <w:sz w:val="20"/>
          <w:szCs w:val="20"/>
          <w:lang w:val="es-ES"/>
        </w:rPr>
      </w:pPr>
      <w:r>
        <w:rPr>
          <w:rStyle w:val="normaltextrun"/>
          <w:rFonts w:ascii="Verdana" w:hAnsi="Verdana" w:cs="Arial"/>
          <w:sz w:val="20"/>
          <w:szCs w:val="20"/>
          <w:shd w:val="clear" w:color="auto" w:fill="FFFFFF"/>
          <w:lang w:val="es-ES"/>
        </w:rPr>
        <w:t xml:space="preserve">Es procedente contratar un contrato de prestación de servicios y/o cualquier otro permitido por contratación directa, antes de </w:t>
      </w:r>
      <w:proofErr w:type="gramStart"/>
      <w:r>
        <w:rPr>
          <w:rStyle w:val="normaltextrun"/>
          <w:rFonts w:ascii="Verdana" w:hAnsi="Verdana" w:cs="Arial"/>
          <w:sz w:val="20"/>
          <w:szCs w:val="20"/>
          <w:shd w:val="clear" w:color="auto" w:fill="FFFFFF"/>
          <w:lang w:val="es-ES"/>
        </w:rPr>
        <w:t>entrar en vigencia</w:t>
      </w:r>
      <w:proofErr w:type="gramEnd"/>
      <w:r>
        <w:rPr>
          <w:rStyle w:val="normaltextrun"/>
          <w:rFonts w:ascii="Verdana" w:hAnsi="Verdana" w:cs="Arial"/>
          <w:sz w:val="20"/>
          <w:szCs w:val="20"/>
          <w:shd w:val="clear" w:color="auto" w:fill="FFFFFF"/>
          <w:lang w:val="es-ES"/>
        </w:rPr>
        <w:t xml:space="preserve"> la prohibición que contempla la Ley de Garantías y en vigencia de la prohibición </w:t>
      </w:r>
      <w:proofErr w:type="gramStart"/>
      <w:r>
        <w:rPr>
          <w:rStyle w:val="normaltextrun"/>
          <w:rFonts w:ascii="Verdana" w:hAnsi="Verdana" w:cs="Arial"/>
          <w:sz w:val="20"/>
          <w:szCs w:val="20"/>
          <w:shd w:val="clear" w:color="auto" w:fill="FFFFFF"/>
          <w:lang w:val="es-ES"/>
        </w:rPr>
        <w:t>dar inicio a</w:t>
      </w:r>
      <w:proofErr w:type="gramEnd"/>
      <w:r>
        <w:rPr>
          <w:rStyle w:val="normaltextrun"/>
          <w:rFonts w:ascii="Verdana" w:hAnsi="Verdana" w:cs="Arial"/>
          <w:sz w:val="20"/>
          <w:szCs w:val="20"/>
          <w:shd w:val="clear" w:color="auto" w:fill="FFFFFF"/>
          <w:lang w:val="es-ES"/>
        </w:rPr>
        <w:t xml:space="preserve"> su ejecución?:</w:t>
      </w:r>
      <w:r w:rsidR="00871B59" w:rsidRPr="007D17C3">
        <w:rPr>
          <w:rFonts w:ascii="Verdana" w:eastAsia="Century Gothic" w:hAnsi="Verdana" w:cs="Century Gothic"/>
          <w:sz w:val="20"/>
          <w:szCs w:val="20"/>
          <w:lang w:val="es-ES"/>
        </w:rPr>
        <w:t>”</w:t>
      </w:r>
      <w:bookmarkEnd w:id="0"/>
      <w:r w:rsidR="00871B59" w:rsidRPr="007D17C3">
        <w:rPr>
          <w:rFonts w:ascii="Verdana" w:eastAsia="Century Gothic" w:hAnsi="Verdana" w:cs="Century Gothic"/>
          <w:sz w:val="20"/>
          <w:szCs w:val="20"/>
          <w:lang w:val="es-ES"/>
        </w:rPr>
        <w:t>.</w:t>
      </w:r>
    </w:p>
    <w:p w14:paraId="54DCAD4E" w14:textId="77777777" w:rsidR="00871B59" w:rsidRPr="007D17C3"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30F17EAD" w14:textId="2F8E2EFE"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w:t>
      </w:r>
      <w:r w:rsidR="004F7A9F">
        <w:rPr>
          <w:rFonts w:ascii="Verdana" w:eastAsia="Calibri" w:hAnsi="Verdana" w:cs="Arial"/>
          <w:color w:val="000000"/>
          <w:lang w:val="es-ES" w:eastAsia="es-ES"/>
        </w:rPr>
        <w:t xml:space="preserve"> la Agencia Nacional de Contratación Pública -</w:t>
      </w:r>
      <w:r w:rsidRPr="00593A5F">
        <w:rPr>
          <w:rFonts w:ascii="Verdana" w:eastAsia="Calibri" w:hAnsi="Verdana" w:cs="Arial"/>
          <w:color w:val="000000"/>
          <w:lang w:val="es-ES" w:eastAsia="es-ES"/>
        </w:rPr>
        <w:t xml:space="preserve"> Colombia Compra Eficiente como una autoridad para solucionar problemas </w:t>
      </w:r>
      <w:r w:rsidRPr="00593A5F">
        <w:rPr>
          <w:rFonts w:ascii="Verdana" w:eastAsia="Calibri" w:hAnsi="Verdana" w:cs="Arial"/>
          <w:color w:val="000000"/>
          <w:lang w:val="es-ES" w:eastAsia="es-ES"/>
        </w:rPr>
        <w:lastRenderedPageBreak/>
        <w:t xml:space="preserve">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B95778F" w14:textId="23B0306C"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w:t>
      </w:r>
      <w:r w:rsidR="004F7A9F">
        <w:rPr>
          <w:rFonts w:ascii="Verdana" w:eastAsia="Calibri" w:hAnsi="Verdana" w:cs="Arial"/>
          <w:color w:val="000000"/>
          <w:lang w:val="es-ES" w:eastAsia="es-ES"/>
        </w:rPr>
        <w:t>señalando</w:t>
      </w:r>
      <w:r w:rsidRPr="00593A5F">
        <w:rPr>
          <w:rFonts w:ascii="Verdana" w:eastAsia="Calibri" w:hAnsi="Verdana" w:cs="Arial"/>
          <w:color w:val="000000"/>
          <w:lang w:val="es-ES" w:eastAsia="es-ES"/>
        </w:rPr>
        <w:t xml:space="preserve"> unas consideraciones sobre las normas generales relacionadas con </w:t>
      </w:r>
      <w:r w:rsidR="00826871" w:rsidRPr="00826871">
        <w:rPr>
          <w:rFonts w:ascii="Verdana" w:eastAsia="Calibri" w:hAnsi="Verdana" w:cs="Arial"/>
          <w:lang w:val="es-ES" w:eastAsia="es-ES"/>
        </w:rPr>
        <w:t>el problema</w:t>
      </w:r>
      <w:r w:rsidRPr="00826871">
        <w:rPr>
          <w:rFonts w:ascii="Verdana" w:eastAsia="Calibri" w:hAnsi="Verdana" w:cs="Arial"/>
          <w:lang w:val="es-ES" w:eastAsia="es-ES"/>
        </w:rPr>
        <w:t xml:space="preserve"> </w:t>
      </w:r>
      <w:r w:rsidR="00826871">
        <w:rPr>
          <w:rFonts w:ascii="Verdana" w:eastAsia="Calibri" w:hAnsi="Verdana" w:cs="Arial"/>
          <w:color w:val="000000"/>
          <w:lang w:val="es-ES" w:eastAsia="es-ES"/>
        </w:rPr>
        <w:t>jurídico de</w:t>
      </w:r>
      <w:r>
        <w:rPr>
          <w:rFonts w:ascii="Verdana" w:eastAsia="Calibri" w:hAnsi="Verdana" w:cs="Arial"/>
          <w:color w:val="000000"/>
          <w:lang w:val="es-ES" w:eastAsia="es-ES"/>
        </w:rPr>
        <w:t xml:space="preserve"> su</w:t>
      </w:r>
      <w:r w:rsidRPr="00593A5F">
        <w:rPr>
          <w:rFonts w:ascii="Verdana" w:eastAsia="Calibri" w:hAnsi="Verdana" w:cs="Arial"/>
          <w:color w:val="000000"/>
          <w:lang w:val="es-ES" w:eastAsia="es-ES"/>
        </w:rPr>
        <w:t xml:space="preserve"> consulta. </w:t>
      </w:r>
    </w:p>
    <w:p w14:paraId="70187214" w14:textId="77777777" w:rsidR="00871B59" w:rsidRPr="00593A5F" w:rsidRDefault="00871B59" w:rsidP="00871B59">
      <w:pPr>
        <w:spacing w:after="0" w:line="276" w:lineRule="auto"/>
        <w:ind w:firstLine="709"/>
        <w:jc w:val="both"/>
        <w:rPr>
          <w:rFonts w:ascii="Verdana" w:eastAsia="Calibri" w:hAnsi="Verdana" w:cs="Arial"/>
          <w:color w:val="000000"/>
          <w:lang w:val="es-ES" w:eastAsia="es-ES"/>
        </w:rPr>
      </w:pPr>
    </w:p>
    <w:p w14:paraId="74DD4DE4" w14:textId="77777777" w:rsidR="00871B59" w:rsidRPr="00A666A1"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A666A1">
        <w:rPr>
          <w:rFonts w:ascii="Verdana" w:eastAsia="Century Gothic" w:hAnsi="Verdana" w:cs="Century Gothic"/>
          <w:b/>
          <w:bCs/>
          <w:lang w:val="es-ES"/>
        </w:rPr>
        <w:t>Problema planteado:</w:t>
      </w:r>
    </w:p>
    <w:p w14:paraId="690221EE"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2739F902" w14:textId="6A0DC541" w:rsidR="0039183E" w:rsidRDefault="00871B59" w:rsidP="1F9252E4">
      <w:pPr>
        <w:spacing w:after="0"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el </w:t>
      </w:r>
      <w:r w:rsidR="00480F01" w:rsidRPr="1F9252E4">
        <w:rPr>
          <w:rFonts w:ascii="Verdana" w:eastAsia="Century Gothic" w:hAnsi="Verdana" w:cs="Century Gothic"/>
        </w:rPr>
        <w:t>siguiente</w:t>
      </w:r>
      <w:r w:rsidR="00480F01">
        <w:rPr>
          <w:rFonts w:ascii="Verdana" w:eastAsia="Century Gothic" w:hAnsi="Verdana" w:cs="Century Gothic"/>
        </w:rPr>
        <w:t xml:space="preserve"> </w:t>
      </w:r>
      <w:r w:rsidR="00480F01" w:rsidRPr="1F9252E4">
        <w:rPr>
          <w:rFonts w:ascii="Verdana" w:eastAsia="Century Gothic" w:hAnsi="Verdana" w:cs="Century Gothic"/>
        </w:rPr>
        <w:t>problema</w:t>
      </w:r>
      <w:r w:rsidRPr="1F9252E4">
        <w:rPr>
          <w:rFonts w:ascii="Verdana" w:eastAsia="Century Gothic" w:hAnsi="Verdana" w:cs="Century Gothic"/>
        </w:rPr>
        <w:t xml:space="preserve"> jurídico: </w:t>
      </w:r>
      <w:r w:rsidR="0039183E">
        <w:rPr>
          <w:rFonts w:ascii="Verdana" w:eastAsia="Century Gothic" w:hAnsi="Verdana" w:cs="Century Gothic"/>
        </w:rPr>
        <w:t>¿</w:t>
      </w:r>
      <w:r w:rsidR="008D4911">
        <w:rPr>
          <w:rFonts w:ascii="Verdana" w:eastAsia="Century Gothic" w:hAnsi="Verdana" w:cs="Century Gothic"/>
        </w:rPr>
        <w:t>Es</w:t>
      </w:r>
      <w:r w:rsidR="003844E6">
        <w:rPr>
          <w:rFonts w:ascii="Verdana" w:eastAsia="Century Gothic" w:hAnsi="Verdana" w:cs="Century Gothic"/>
        </w:rPr>
        <w:t xml:space="preserve"> procedente celebrar contratos </w:t>
      </w:r>
      <w:r w:rsidR="00E053CD">
        <w:rPr>
          <w:rFonts w:ascii="Verdana" w:eastAsia="Century Gothic" w:hAnsi="Verdana" w:cs="Century Gothic"/>
        </w:rPr>
        <w:t xml:space="preserve">de prestación de servicios bajo la modalidad de contratación directa antes de la entrada en vigor de la Ley 996 de 2005 y </w:t>
      </w:r>
      <w:proofErr w:type="gramStart"/>
      <w:r w:rsidR="00E053CD">
        <w:rPr>
          <w:rFonts w:ascii="Verdana" w:eastAsia="Century Gothic" w:hAnsi="Verdana" w:cs="Century Gothic"/>
        </w:rPr>
        <w:t>dar inicio a</w:t>
      </w:r>
      <w:proofErr w:type="gramEnd"/>
      <w:r w:rsidR="00E053CD">
        <w:rPr>
          <w:rFonts w:ascii="Verdana" w:eastAsia="Century Gothic" w:hAnsi="Verdana" w:cs="Century Gothic"/>
        </w:rPr>
        <w:t xml:space="preserve"> su ejecución durante su vigencia sin que ello contraríe las restricciones allí previstas?</w:t>
      </w:r>
      <w:r w:rsidR="0039183E">
        <w:rPr>
          <w:rFonts w:ascii="Verdana" w:eastAsia="Century Gothic" w:hAnsi="Verdana" w:cs="Century Gothic"/>
        </w:rPr>
        <w:t xml:space="preserve"> </w:t>
      </w:r>
    </w:p>
    <w:p w14:paraId="57640A16" w14:textId="77777777" w:rsidR="00871B59" w:rsidRPr="00593A5F" w:rsidRDefault="00871B59" w:rsidP="00871B59">
      <w:pPr>
        <w:spacing w:after="0" w:line="276" w:lineRule="auto"/>
        <w:jc w:val="both"/>
        <w:rPr>
          <w:rFonts w:ascii="Verdana" w:eastAsia="Calibri" w:hAnsi="Verdana" w:cs="Arial"/>
          <w:color w:val="7030A0"/>
          <w:lang w:val="es-ES"/>
        </w:rPr>
      </w:pPr>
    </w:p>
    <w:p w14:paraId="33E3D3F8"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4647B31A"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14984B9D" w14:textId="77777777" w:rsidTr="002607A7">
        <w:tc>
          <w:tcPr>
            <w:tcW w:w="8828" w:type="dxa"/>
          </w:tcPr>
          <w:p w14:paraId="4309A750" w14:textId="77777777" w:rsidR="00BA03FC" w:rsidRDefault="00BA03FC" w:rsidP="007267EE">
            <w:pPr>
              <w:spacing w:line="276" w:lineRule="auto"/>
              <w:jc w:val="both"/>
              <w:rPr>
                <w:rFonts w:ascii="Verdana" w:eastAsia="Calibri" w:hAnsi="Verdana" w:cs="Arial"/>
              </w:rPr>
            </w:pPr>
            <w:r>
              <w:rPr>
                <w:rFonts w:ascii="Verdana" w:eastAsia="Calibri" w:hAnsi="Verdana" w:cs="Arial"/>
              </w:rPr>
              <w:t>F</w:t>
            </w:r>
            <w:r w:rsidRPr="00BA03FC">
              <w:rPr>
                <w:rFonts w:ascii="Verdana" w:eastAsia="Calibri" w:hAnsi="Verdana" w:cs="Arial"/>
              </w:rPr>
              <w:t xml:space="preserve">rente al problema jurídico planteado es necesario señalar que, si es procedente celebrar contratos de prestación de servicios, bajo la modalidad de contratación directa, antes de la entrada en vigor de la Ley 996 de 2005 y </w:t>
            </w:r>
            <w:proofErr w:type="gramStart"/>
            <w:r w:rsidRPr="00BA03FC">
              <w:rPr>
                <w:rFonts w:ascii="Verdana" w:eastAsia="Calibri" w:hAnsi="Verdana" w:cs="Arial"/>
              </w:rPr>
              <w:t>dar inicio a</w:t>
            </w:r>
            <w:proofErr w:type="gramEnd"/>
            <w:r w:rsidRPr="00BA03FC">
              <w:rPr>
                <w:rFonts w:ascii="Verdana" w:eastAsia="Calibri" w:hAnsi="Verdana" w:cs="Arial"/>
              </w:rPr>
              <w:t xml:space="preserve"> su ejecución durante su vigencia siempre que la celebración o perfeccionamiento del contrato haya ocurrido antes del periodo de aplicación de la restricción.</w:t>
            </w:r>
          </w:p>
          <w:p w14:paraId="5CA29E66" w14:textId="63399B56" w:rsidR="007308C9" w:rsidRDefault="00BA03FC" w:rsidP="007267EE">
            <w:pPr>
              <w:spacing w:line="276" w:lineRule="auto"/>
              <w:jc w:val="both"/>
              <w:rPr>
                <w:rFonts w:ascii="Verdana" w:eastAsia="Calibri" w:hAnsi="Verdana" w:cs="Arial"/>
              </w:rPr>
            </w:pPr>
            <w:r>
              <w:rPr>
                <w:rFonts w:ascii="Verdana" w:eastAsia="Calibri" w:hAnsi="Verdana" w:cs="Arial"/>
              </w:rPr>
              <w:t xml:space="preserve"> </w:t>
            </w:r>
            <w:r w:rsidRPr="00BA03FC">
              <w:rPr>
                <w:rFonts w:ascii="Verdana" w:eastAsia="Calibri" w:hAnsi="Verdana" w:cs="Arial"/>
              </w:rPr>
              <w:t xml:space="preserve"> Así las cosas, las entidades que requieran realizar procesos de contratación directa durante el periodo preelectoral deberán identificar si los trámites que se adelantarán posteriores a la </w:t>
            </w:r>
            <w:proofErr w:type="gramStart"/>
            <w:r w:rsidRPr="00BA03FC">
              <w:rPr>
                <w:rFonts w:ascii="Verdana" w:eastAsia="Calibri" w:hAnsi="Verdana" w:cs="Arial"/>
              </w:rPr>
              <w:t>entrada en vigencia</w:t>
            </w:r>
            <w:proofErr w:type="gramEnd"/>
            <w:r w:rsidRPr="00BA03FC">
              <w:rPr>
                <w:rFonts w:ascii="Verdana" w:eastAsia="Calibri" w:hAnsi="Verdana" w:cs="Arial"/>
              </w:rPr>
              <w:t xml:space="preserve"> de la Ley de Garantías Electorales corresponden a requisitos de perfeccionamiento o de ejecución de los contratos estatales.</w:t>
            </w:r>
            <w:r w:rsidR="00B03848">
              <w:rPr>
                <w:rFonts w:ascii="Verdana" w:eastAsia="Calibri" w:hAnsi="Verdana" w:cs="Arial"/>
              </w:rPr>
              <w:t xml:space="preserve"> </w:t>
            </w:r>
          </w:p>
          <w:p w14:paraId="5A665032" w14:textId="3D9B467A" w:rsidR="00B03848" w:rsidRDefault="00B03848" w:rsidP="007267EE">
            <w:pPr>
              <w:spacing w:line="276" w:lineRule="auto"/>
              <w:jc w:val="both"/>
              <w:rPr>
                <w:rFonts w:ascii="Verdana" w:eastAsia="Calibri" w:hAnsi="Verdana" w:cs="Arial"/>
                <w:lang w:val="es-ES"/>
              </w:rPr>
            </w:pPr>
            <w:r w:rsidRPr="00B03848">
              <w:rPr>
                <w:rFonts w:ascii="Verdana" w:eastAsia="Calibri" w:hAnsi="Verdana" w:cs="Arial"/>
              </w:rPr>
              <w:t xml:space="preserve">En cuanto a los requisitos de perfeccionamiento, el artículo 41 de la Ley 80 de 1993 es claro al exigir: i) acuerdo sobre el objeto del contrato; ii) acuerdo sobre la contraprestación; y iii) elevación del contrato a escrito. Estos elementos son indispensables para que el contrato exista jurídicamente y, por </w:t>
            </w:r>
            <w:r w:rsidRPr="00B03848">
              <w:rPr>
                <w:rFonts w:ascii="Verdana" w:eastAsia="Calibri" w:hAnsi="Verdana" w:cs="Arial"/>
              </w:rPr>
              <w:lastRenderedPageBreak/>
              <w:t>ende, no pueden completarse, tratándose de contratos de prestación de servicios, una vez entre en vigencia de la Ley de Garantías Electorales. En consecuencia, para la fecha de inicio de la restricción debió haberse cumplido con todos estos requisitos para que el contrato sea válido.</w:t>
            </w:r>
          </w:p>
          <w:p w14:paraId="6EFFEEBE" w14:textId="77777777" w:rsidR="00BA03FC" w:rsidRDefault="00BA03FC" w:rsidP="007267EE">
            <w:pPr>
              <w:spacing w:line="276" w:lineRule="auto"/>
              <w:jc w:val="both"/>
              <w:rPr>
                <w:rFonts w:ascii="Verdana" w:eastAsia="Calibri" w:hAnsi="Verdana" w:cs="Arial"/>
                <w:lang w:val="es-ES"/>
              </w:rPr>
            </w:pPr>
          </w:p>
          <w:p w14:paraId="4CD5950A" w14:textId="08D71DA7" w:rsidR="00BA03FC" w:rsidRDefault="005C675A" w:rsidP="007267EE">
            <w:pPr>
              <w:spacing w:line="276" w:lineRule="auto"/>
              <w:jc w:val="both"/>
              <w:rPr>
                <w:rFonts w:ascii="Verdana" w:eastAsia="Calibri" w:hAnsi="Verdana" w:cs="Arial"/>
                <w:lang w:val="es-ES"/>
              </w:rPr>
            </w:pPr>
            <w:r w:rsidRPr="005C675A">
              <w:rPr>
                <w:rFonts w:ascii="Verdana" w:eastAsia="Calibri" w:hAnsi="Verdana" w:cs="Arial"/>
              </w:rPr>
              <w:t>Por otro lado, los requisitos de ejecución, que se realizan posterior al perfeccionamiento, comprenden: i) la aprobación de las garantías exigidas contractualmente; ii) la expedición del correspondiente registro presupuestal (RP) y; iii) la acreditación del cumplimiento de las obligaciones con el Sistema de Seguridad Social Integral, cuando resulte aplicable. Al respecto, es jurídicamente admisible que estos requisitos de ejecución se surtan después del inicio de la vigencia de la Ley de Garantías Electorales, siempre que el perfeccionamiento del contrato —es decir, su celebración— haya ocurrido antes del inicio del periodo de restricciones.</w:t>
            </w:r>
          </w:p>
          <w:p w14:paraId="414662B6" w14:textId="77777777" w:rsidR="00BA03FC" w:rsidRDefault="00BA03FC" w:rsidP="007267EE">
            <w:pPr>
              <w:spacing w:line="276" w:lineRule="auto"/>
              <w:jc w:val="both"/>
              <w:rPr>
                <w:rFonts w:ascii="Verdana" w:eastAsia="Calibri" w:hAnsi="Verdana" w:cs="Arial"/>
                <w:lang w:val="es-ES"/>
              </w:rPr>
            </w:pPr>
          </w:p>
          <w:p w14:paraId="47AEB666" w14:textId="154B42C7" w:rsidR="001B504D" w:rsidRPr="0006284D" w:rsidRDefault="005C675A" w:rsidP="005C675A">
            <w:pPr>
              <w:spacing w:line="276" w:lineRule="auto"/>
              <w:jc w:val="both"/>
              <w:rPr>
                <w:rFonts w:ascii="Verdana" w:eastAsia="Calibri" w:hAnsi="Verdana" w:cs="Arial"/>
                <w:lang w:val="es-ES"/>
              </w:rPr>
            </w:pPr>
            <w:r w:rsidRPr="005C675A">
              <w:rPr>
                <w:rFonts w:ascii="Verdana" w:eastAsia="Calibri" w:hAnsi="Verdana" w:cs="Arial"/>
              </w:rPr>
              <w:t>Al margen de la explicación planteada, debe advertirse que el análisis requerido para resolver problemas específicos en torno a la gestión contractual de las entidades públicas debe ser realizado por quienes tengan interés en ello, de acuerdo con lo explicado en la aclaración preliminar del presente oficio. Por lo anterior, previo concepto de sus asesores, la solución de situaciones particulares corresponde a los interesados en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3199705F"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6678B80A" w14:textId="77777777" w:rsidR="00871B59" w:rsidRPr="0006284D"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06284D">
        <w:rPr>
          <w:rFonts w:ascii="Verdana" w:eastAsia="Century Gothic" w:hAnsi="Verdana" w:cs="Century Gothic"/>
          <w:b/>
          <w:bCs/>
          <w:lang w:val="es-ES"/>
        </w:rPr>
        <w:t>Razones de la respuesta:</w:t>
      </w:r>
    </w:p>
    <w:p w14:paraId="40393512" w14:textId="77777777" w:rsidR="00871B59" w:rsidRPr="00593A5F" w:rsidRDefault="00871B59" w:rsidP="00871B59">
      <w:pPr>
        <w:spacing w:after="0" w:line="276" w:lineRule="auto"/>
        <w:jc w:val="both"/>
        <w:rPr>
          <w:rFonts w:ascii="Verdana" w:eastAsia="Calibri" w:hAnsi="Verdana" w:cs="Arial"/>
          <w:color w:val="7030A0"/>
          <w:lang w:val="es-ES"/>
        </w:rPr>
      </w:pPr>
    </w:p>
    <w:p w14:paraId="6DB5BA6B" w14:textId="4C7D1A6B" w:rsidR="00871B5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432BEF0A" w14:textId="77777777" w:rsidR="00702DD6" w:rsidRDefault="00702DD6" w:rsidP="00702DD6">
      <w:pPr>
        <w:spacing w:after="0" w:line="276" w:lineRule="auto"/>
        <w:jc w:val="both"/>
        <w:rPr>
          <w:rFonts w:ascii="Verdana" w:eastAsia="Times New Roman" w:hAnsi="Verdana" w:cs="Arial"/>
          <w:lang w:val="es-MX" w:eastAsia="es-CO"/>
        </w:rPr>
      </w:pPr>
    </w:p>
    <w:p w14:paraId="4E652329" w14:textId="3E1D0D5C" w:rsidR="005C675A" w:rsidRDefault="002B6F76" w:rsidP="00702DD6">
      <w:pPr>
        <w:spacing w:after="0" w:line="276" w:lineRule="auto"/>
        <w:ind w:firstLine="709"/>
        <w:jc w:val="both"/>
        <w:rPr>
          <w:rFonts w:ascii="Verdana" w:eastAsia="Calibri" w:hAnsi="Verdana" w:cs="Arial"/>
          <w:lang w:val="es-ES"/>
        </w:rPr>
      </w:pPr>
      <w:r>
        <w:rPr>
          <w:rFonts w:ascii="Verdana" w:eastAsia="Calibri" w:hAnsi="Verdana" w:cs="Arial"/>
          <w:lang w:val="es-ES"/>
        </w:rPr>
        <w:t xml:space="preserve">i. </w:t>
      </w:r>
      <w:r w:rsidR="005C675A" w:rsidRPr="005C675A">
        <w:rPr>
          <w:rFonts w:ascii="Verdana" w:eastAsia="Calibri" w:hAnsi="Verdana" w:cs="Arial"/>
        </w:rPr>
        <w:t>El ordenamiento jurídico colombiano contempla una serie de previsiones orientadas a evitar la obtención de beneficios personales en asuntos propios de la administración. Un destacado ejemplo de ello es la Ley 996 de 2005, conocida</w:t>
      </w:r>
      <w:r w:rsidR="006D37B2">
        <w:rPr>
          <w:rFonts w:ascii="Verdana" w:eastAsia="Calibri" w:hAnsi="Verdana" w:cs="Arial"/>
        </w:rPr>
        <w:t xml:space="preserve"> </w:t>
      </w:r>
      <w:r w:rsidR="006D37B2" w:rsidRPr="006D37B2">
        <w:rPr>
          <w:rFonts w:ascii="Verdana" w:eastAsia="Calibri" w:hAnsi="Verdana" w:cs="Arial"/>
        </w:rPr>
        <w:t>como “Ley de Garantías Electorales”, cuyo propósito es asegurar la neutralidad, transparencia e imparcialidad en los procesos electorales. Esta Ley busca impedir que quienes ejercen el poder público utilicen los recursos del Estado para incidir en la voluntad del electorado.</w:t>
      </w:r>
    </w:p>
    <w:p w14:paraId="1A501B76" w14:textId="77777777" w:rsidR="005C675A" w:rsidRDefault="005C675A" w:rsidP="00702DD6">
      <w:pPr>
        <w:spacing w:after="0" w:line="276" w:lineRule="auto"/>
        <w:ind w:firstLine="709"/>
        <w:jc w:val="both"/>
        <w:rPr>
          <w:rFonts w:ascii="Verdana" w:eastAsia="Calibri" w:hAnsi="Verdana" w:cs="Arial"/>
          <w:lang w:val="es-ES"/>
        </w:rPr>
      </w:pPr>
    </w:p>
    <w:p w14:paraId="6DB6DE45" w14:textId="0F923BD6" w:rsidR="005C675A" w:rsidRDefault="006D37B2" w:rsidP="00702DD6">
      <w:pPr>
        <w:spacing w:after="0" w:line="276" w:lineRule="auto"/>
        <w:ind w:firstLine="709"/>
        <w:jc w:val="both"/>
        <w:rPr>
          <w:rFonts w:ascii="Verdana" w:eastAsia="Calibri" w:hAnsi="Verdana" w:cs="Arial"/>
          <w:lang w:val="es-ES"/>
        </w:rPr>
      </w:pPr>
      <w:r w:rsidRPr="006D37B2">
        <w:rPr>
          <w:rFonts w:ascii="Verdana" w:eastAsia="Calibri" w:hAnsi="Verdana" w:cs="Arial"/>
        </w:rPr>
        <w:lastRenderedPageBreak/>
        <w:t>En concordancia con dicho propósito, la Ley de Garantías Electorales estableció un andamiaje de normas y limitaciones aplicables a los servidores públicos y a las entidades estatales. Tales disposiciones buscan salvaguardar la equidad y transparencia entre los aspirantes en los procesos electorales, reforzando las garantías en materia de contratación para evitar cualquier indicio de que, a través de este mecanismo y en los periodos anteriores a la elección, se puedan afectar las condiciones de igualdad entre los candidatos y consecuentemente, la voluntad electoral.</w:t>
      </w:r>
    </w:p>
    <w:p w14:paraId="30E21E3B" w14:textId="77777777" w:rsidR="005C675A" w:rsidRDefault="005C675A" w:rsidP="00702DD6">
      <w:pPr>
        <w:spacing w:after="0" w:line="276" w:lineRule="auto"/>
        <w:ind w:firstLine="709"/>
        <w:jc w:val="both"/>
        <w:rPr>
          <w:rFonts w:ascii="Verdana" w:eastAsia="Calibri" w:hAnsi="Verdana" w:cs="Arial"/>
          <w:lang w:val="es-ES"/>
        </w:rPr>
      </w:pPr>
    </w:p>
    <w:p w14:paraId="5AF46C5F" w14:textId="4252093D" w:rsidR="005C675A" w:rsidRDefault="006D37B2" w:rsidP="00702DD6">
      <w:pPr>
        <w:spacing w:after="0" w:line="276" w:lineRule="auto"/>
        <w:ind w:firstLine="709"/>
        <w:jc w:val="both"/>
        <w:rPr>
          <w:rFonts w:ascii="Verdana" w:eastAsia="Calibri" w:hAnsi="Verdana" w:cs="Arial"/>
          <w:lang w:val="es-ES"/>
        </w:rPr>
      </w:pPr>
      <w:r w:rsidRPr="006D37B2">
        <w:rPr>
          <w:rFonts w:ascii="Verdana" w:eastAsia="Calibri" w:hAnsi="Verdana" w:cs="Arial"/>
        </w:rPr>
        <w:t>En desarrollo de dicha finalidad, el legislador estableció restricciones temporales a determinadas actuaciones administrativas, entre ellas la realización de nombramientos, postulaciones, contrataciones o cualquier otro tipo de actividad que implique la destinación de recursos públicos bajo el devenir propio de entidades estatales. Por tratarse de normas prohibitivas, varias de estas disposiciones no admiten una interpretación amplia, sino que deben interpretarse restrictivamente.</w:t>
      </w:r>
    </w:p>
    <w:p w14:paraId="6D7ABA1A" w14:textId="77777777" w:rsidR="005C675A" w:rsidRDefault="005C675A" w:rsidP="00702DD6">
      <w:pPr>
        <w:spacing w:after="0" w:line="276" w:lineRule="auto"/>
        <w:ind w:firstLine="709"/>
        <w:jc w:val="both"/>
        <w:rPr>
          <w:rFonts w:ascii="Verdana" w:eastAsia="Calibri" w:hAnsi="Verdana" w:cs="Arial"/>
          <w:lang w:val="es-ES"/>
        </w:rPr>
      </w:pPr>
    </w:p>
    <w:p w14:paraId="79C4B206" w14:textId="4E734D1E" w:rsidR="00924606" w:rsidRDefault="006D37B2" w:rsidP="006D37B2">
      <w:pPr>
        <w:spacing w:after="0" w:line="276" w:lineRule="auto"/>
        <w:ind w:firstLine="709"/>
        <w:jc w:val="both"/>
        <w:rPr>
          <w:rFonts w:ascii="Verdana" w:eastAsia="Calibri" w:hAnsi="Verdana" w:cs="Arial"/>
          <w:lang w:val="es-ES"/>
        </w:rPr>
      </w:pPr>
      <w:r w:rsidRPr="006D37B2">
        <w:rPr>
          <w:rFonts w:ascii="Verdana" w:eastAsia="Calibri" w:hAnsi="Verdana" w:cs="Arial"/>
        </w:rPr>
        <w:t>Al respecto, la Sala de Consulta y Servicio Civil del Consejo de Estado, ha precisado que su interpretación debe ser restrictiva, atendiendo a su naturaleza excepcional:</w:t>
      </w:r>
    </w:p>
    <w:p w14:paraId="1D45F275" w14:textId="0A64660A" w:rsidR="00924606" w:rsidRDefault="00924606" w:rsidP="00924606">
      <w:pPr>
        <w:spacing w:after="0" w:line="276" w:lineRule="auto"/>
        <w:ind w:left="708"/>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5626885E" w14:textId="77777777" w:rsidR="00924606" w:rsidRDefault="00924606" w:rsidP="00924606">
      <w:pPr>
        <w:spacing w:after="0" w:line="276" w:lineRule="auto"/>
        <w:ind w:left="708"/>
        <w:jc w:val="both"/>
        <w:rPr>
          <w:rFonts w:ascii="Verdana" w:eastAsia="Times New Roman" w:hAnsi="Verdana" w:cs="Arial"/>
          <w:sz w:val="20"/>
          <w:szCs w:val="20"/>
          <w:lang w:val="es-MX" w:eastAsia="es-CO"/>
        </w:rPr>
      </w:pPr>
    </w:p>
    <w:p w14:paraId="48AB503E" w14:textId="34001027" w:rsidR="00924606" w:rsidRDefault="00924606" w:rsidP="00924606">
      <w:pPr>
        <w:spacing w:after="0" w:line="276" w:lineRule="auto"/>
        <w:ind w:left="708"/>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La jurisprudencia </w:t>
      </w:r>
      <w:r w:rsidRPr="006D37B2">
        <w:rPr>
          <w:rFonts w:ascii="Verdana" w:eastAsia="Times New Roman" w:hAnsi="Verdana" w:cs="Arial"/>
          <w:sz w:val="20"/>
          <w:szCs w:val="20"/>
          <w:lang w:val="es-MX" w:eastAsia="es-CO"/>
        </w:rPr>
        <w:t>de la Corte Constitucional</w:t>
      </w:r>
      <w:r w:rsidRPr="006D37B2">
        <w:rPr>
          <w:rStyle w:val="Refdenotaalpie"/>
          <w:rFonts w:ascii="Verdana" w:eastAsia="Times New Roman" w:hAnsi="Verdana" w:cs="Arial"/>
          <w:sz w:val="20"/>
          <w:szCs w:val="20"/>
          <w:lang w:val="es-MX" w:eastAsia="es-CO"/>
        </w:rPr>
        <w:footnoteReference w:id="2"/>
      </w:r>
      <w:r w:rsidRPr="006D37B2">
        <w:rPr>
          <w:rFonts w:ascii="Verdana" w:eastAsia="Times New Roman" w:hAnsi="Verdana" w:cs="Arial"/>
          <w:sz w:val="20"/>
          <w:szCs w:val="20"/>
          <w:lang w:val="es-MX" w:eastAsia="es-CO"/>
        </w:rPr>
        <w:t xml:space="preserve"> y del Consejo de Estado</w:t>
      </w:r>
      <w:r w:rsidRPr="006D37B2">
        <w:rPr>
          <w:rStyle w:val="Refdenotaalpie"/>
          <w:rFonts w:ascii="Verdana" w:eastAsia="Times New Roman" w:hAnsi="Verdana" w:cs="Arial"/>
          <w:sz w:val="20"/>
          <w:szCs w:val="20"/>
          <w:lang w:val="es-MX" w:eastAsia="es-CO"/>
        </w:rPr>
        <w:footnoteReference w:id="3"/>
      </w:r>
      <w:r w:rsidRPr="006D37B2">
        <w:rPr>
          <w:rFonts w:ascii="Verdana" w:eastAsia="Times New Roman" w:hAnsi="Verdana" w:cs="Arial"/>
          <w:sz w:val="20"/>
          <w:szCs w:val="20"/>
          <w:lang w:val="es-MX" w:eastAsia="es-CO"/>
        </w:rPr>
        <w:t xml:space="preserve"> coinciden en que las normas que establecen prohibiciones deben estar de manera explícita</w:t>
      </w:r>
      <w:r>
        <w:rPr>
          <w:rFonts w:ascii="Verdana" w:eastAsia="Times New Roman" w:hAnsi="Verdana" w:cs="Arial"/>
          <w:sz w:val="20"/>
          <w:szCs w:val="20"/>
          <w:lang w:val="es-MX" w:eastAsia="es-CO"/>
        </w:rPr>
        <w:t xml:space="preserve"> en la Constitución o en la ley y no podrán ser excesivas ni desproporcionadas. No pueden interpretarse extensivamente sino siempre en forma restrictiva o estricta; es decir, en la aplicación de las normas prohibitivas, el intérprete solamente habrá </w:t>
      </w:r>
      <w:r>
        <w:rPr>
          <w:rFonts w:ascii="Verdana" w:eastAsia="Times New Roman" w:hAnsi="Verdana" w:cs="Arial"/>
          <w:sz w:val="20"/>
          <w:szCs w:val="20"/>
          <w:lang w:val="es-MX" w:eastAsia="es-CO"/>
        </w:rPr>
        <w:lastRenderedPageBreak/>
        <w:t xml:space="preserve">de tener en cuenta lo que en ellas expresamente se menciona y, por tanto, no le es permitido ampliar el natural y obvio alcance de los supuestos que contemplan, pues como entrañan una limitación -así fuere justificada- a la libertad de actuar </w:t>
      </w:r>
      <w:r w:rsidRPr="006D37B2">
        <w:rPr>
          <w:rFonts w:ascii="Verdana" w:eastAsia="Times New Roman" w:hAnsi="Verdana" w:cs="Arial"/>
          <w:sz w:val="20"/>
          <w:szCs w:val="20"/>
          <w:lang w:val="es-MX" w:eastAsia="es-CO"/>
        </w:rPr>
        <w:t>o capacidad de obrar, sobrepasar sus precisos términos comporta el desconocimiento de la voluntad del legislador”</w:t>
      </w:r>
      <w:r w:rsidRPr="006D37B2">
        <w:rPr>
          <w:rStyle w:val="Refdenotaalpie"/>
          <w:rFonts w:ascii="Verdana" w:eastAsia="Times New Roman" w:hAnsi="Verdana" w:cs="Arial"/>
          <w:sz w:val="20"/>
          <w:szCs w:val="20"/>
          <w:lang w:val="es-MX" w:eastAsia="es-CO"/>
        </w:rPr>
        <w:footnoteReference w:id="4"/>
      </w:r>
    </w:p>
    <w:p w14:paraId="4AA10847" w14:textId="77777777" w:rsidR="00A051E7" w:rsidRPr="00702DD6" w:rsidRDefault="00A051E7" w:rsidP="00924606">
      <w:pPr>
        <w:spacing w:after="0" w:line="276" w:lineRule="auto"/>
        <w:ind w:left="708"/>
        <w:jc w:val="both"/>
        <w:rPr>
          <w:rFonts w:ascii="Verdana" w:eastAsia="Times New Roman" w:hAnsi="Verdana" w:cs="Arial"/>
          <w:lang w:val="es-MX" w:eastAsia="es-CO"/>
        </w:rPr>
      </w:pPr>
    </w:p>
    <w:p w14:paraId="6A33D9D1" w14:textId="29D28A08" w:rsidR="00213139" w:rsidRDefault="009F43FE" w:rsidP="00924606">
      <w:pPr>
        <w:spacing w:after="0" w:line="276" w:lineRule="auto"/>
        <w:ind w:firstLine="709"/>
        <w:jc w:val="both"/>
        <w:rPr>
          <w:rFonts w:ascii="Verdana" w:eastAsia="Calibri" w:hAnsi="Verdana" w:cs="Arial"/>
        </w:rPr>
      </w:pPr>
      <w:r w:rsidRPr="009F43FE">
        <w:rPr>
          <w:rFonts w:ascii="Verdana" w:eastAsia="Calibri" w:hAnsi="Verdana" w:cs="Arial"/>
        </w:rPr>
        <w:t>De manera puntual, las restricciones previstas en dicha ley en materia de contratación estatal están orientadas a dos (2) clases de campañas electorales claramente diferenciadas: las presidenciales y aquellas correspondientes a la elección de los demás cargos de elección popular, tanto en el ámbito nacional como en el territorial.</w:t>
      </w:r>
    </w:p>
    <w:p w14:paraId="484E537D" w14:textId="77777777" w:rsidR="009F43FE" w:rsidRDefault="009F43FE" w:rsidP="00924606">
      <w:pPr>
        <w:spacing w:after="0" w:line="276" w:lineRule="auto"/>
        <w:ind w:firstLine="709"/>
        <w:jc w:val="both"/>
        <w:rPr>
          <w:rFonts w:ascii="Verdana" w:eastAsia="Calibri" w:hAnsi="Verdana" w:cs="Arial"/>
          <w:lang w:val="es-ES"/>
        </w:rPr>
      </w:pPr>
    </w:p>
    <w:p w14:paraId="26BADD12" w14:textId="77777777" w:rsidR="00213139" w:rsidRDefault="00213139" w:rsidP="00213139">
      <w:pPr>
        <w:spacing w:after="0" w:line="276" w:lineRule="auto"/>
        <w:ind w:firstLine="709"/>
        <w:jc w:val="both"/>
        <w:rPr>
          <w:rFonts w:ascii="Verdana" w:eastAsia="Calibri" w:hAnsi="Verdana" w:cs="Arial"/>
          <w:lang w:val="es-ES"/>
        </w:rPr>
      </w:pPr>
      <w:r>
        <w:rPr>
          <w:rFonts w:ascii="Verdana" w:eastAsia="Calibri" w:hAnsi="Verdana" w:cs="Arial"/>
          <w:lang w:val="es-ES"/>
        </w:rPr>
        <w:t xml:space="preserve">Por un lado, el artículo 33 </w:t>
      </w:r>
      <w:r>
        <w:rPr>
          <w:rFonts w:ascii="Verdana" w:eastAsia="Calibri" w:hAnsi="Verdana" w:cs="Arial"/>
        </w:rPr>
        <w:t>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Style w:val="Refdenotaalpie"/>
          <w:rFonts w:ascii="Verdana" w:eastAsia="Calibri" w:hAnsi="Verdana" w:cs="Arial"/>
        </w:rPr>
        <w:footnoteReference w:id="5"/>
      </w:r>
    </w:p>
    <w:p w14:paraId="7E054BF1" w14:textId="77777777" w:rsidR="00213139" w:rsidRDefault="00213139" w:rsidP="00213139">
      <w:pPr>
        <w:spacing w:after="0" w:line="276" w:lineRule="auto"/>
        <w:ind w:firstLine="709"/>
        <w:jc w:val="both"/>
        <w:rPr>
          <w:rFonts w:ascii="Verdana" w:eastAsia="Calibri" w:hAnsi="Verdana" w:cs="Arial"/>
          <w:lang w:val="es-ES"/>
        </w:rPr>
      </w:pPr>
    </w:p>
    <w:p w14:paraId="7535E4EC" w14:textId="77777777" w:rsidR="00D13B72" w:rsidRDefault="00213139" w:rsidP="00213139">
      <w:pPr>
        <w:widowControl w:val="0"/>
        <w:autoSpaceDE w:val="0"/>
        <w:autoSpaceDN w:val="0"/>
        <w:spacing w:after="0" w:line="276" w:lineRule="auto"/>
        <w:ind w:right="113" w:firstLine="708"/>
        <w:contextualSpacing/>
        <w:jc w:val="both"/>
        <w:rPr>
          <w:rFonts w:ascii="Verdana" w:eastAsia="Calibri" w:hAnsi="Verdana" w:cs="Arial"/>
          <w:lang w:val="es-MX"/>
        </w:rPr>
      </w:pPr>
      <w:r w:rsidRPr="00213139">
        <w:rPr>
          <w:rFonts w:ascii="Verdana" w:eastAsia="Calibri" w:hAnsi="Verdana" w:cs="Arial"/>
        </w:rPr>
        <w:t>Por otro</w:t>
      </w:r>
      <w:r w:rsidR="00DE4EAE">
        <w:rPr>
          <w:rFonts w:ascii="Verdana" w:eastAsia="Calibri" w:hAnsi="Verdana" w:cs="Arial"/>
        </w:rPr>
        <w:t xml:space="preserve"> lado</w:t>
      </w:r>
      <w:r w:rsidRPr="00213139">
        <w:rPr>
          <w:rFonts w:ascii="Verdana" w:eastAsia="Calibri" w:hAnsi="Verdana" w:cs="Arial"/>
        </w:rPr>
        <w:t>,</w:t>
      </w:r>
      <w:r>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Pr>
          <w:rFonts w:ascii="Verdana" w:eastAsia="Calibri" w:hAnsi="Verdana" w:cs="Arial"/>
          <w:lang w:val="es-MX"/>
        </w:rPr>
        <w:t xml:space="preserve">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Pr>
          <w:rFonts w:ascii="Verdana" w:eastAsia="Calibri" w:hAnsi="Verdana" w:cs="Arial"/>
          <w:lang w:val="es-MX"/>
        </w:rPr>
        <w:lastRenderedPageBreak/>
        <w:t>proselitista</w:t>
      </w:r>
      <w:r>
        <w:rPr>
          <w:rFonts w:ascii="Verdana" w:eastAsia="Calibri" w:hAnsi="Verdana" w:cs="Arial"/>
          <w:sz w:val="19"/>
          <w:szCs w:val="19"/>
        </w:rPr>
        <w:t>”</w:t>
      </w:r>
      <w:r>
        <w:rPr>
          <w:rFonts w:ascii="Verdana" w:eastAsia="Calibri" w:hAnsi="Verdana" w:cs="Arial"/>
          <w:sz w:val="19"/>
          <w:szCs w:val="19"/>
          <w:vertAlign w:val="superscript"/>
        </w:rPr>
        <w:footnoteReference w:id="6"/>
      </w:r>
      <w:r>
        <w:rPr>
          <w:rFonts w:ascii="Verdana" w:eastAsia="Calibri" w:hAnsi="Verdana" w:cs="Arial"/>
          <w:lang w:val="es-MX"/>
        </w:rPr>
        <w:t>.</w:t>
      </w:r>
    </w:p>
    <w:p w14:paraId="124C42F1" w14:textId="77777777" w:rsidR="00D13B72" w:rsidRDefault="00D13B72" w:rsidP="00213139">
      <w:pPr>
        <w:widowControl w:val="0"/>
        <w:autoSpaceDE w:val="0"/>
        <w:autoSpaceDN w:val="0"/>
        <w:spacing w:after="0" w:line="276" w:lineRule="auto"/>
        <w:ind w:right="113" w:firstLine="708"/>
        <w:contextualSpacing/>
        <w:jc w:val="both"/>
        <w:rPr>
          <w:rFonts w:ascii="Verdana" w:eastAsia="Calibri" w:hAnsi="Verdana" w:cs="Arial"/>
          <w:lang w:val="es-MX"/>
        </w:rPr>
      </w:pPr>
    </w:p>
    <w:p w14:paraId="39FC7665" w14:textId="2F9C17DD" w:rsidR="00213139" w:rsidRDefault="00213139" w:rsidP="00213139">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Pr>
          <w:rFonts w:ascii="Verdana" w:eastAsia="Arial" w:hAnsi="Verdana" w:cs="Arial"/>
          <w:lang w:val="es-ES" w:eastAsia="es-ES" w:bidi="es-ES"/>
        </w:rPr>
        <w:t xml:space="preserve"> La Sala de Consulta y Servicio Civil del Consejo de Estado ha aclarado la distinción en la aplicación de las prohibiciones de la Ley 996 de 2005, dependiendo del tipo de elección que se trate. Al respecto, considera que:</w:t>
      </w:r>
    </w:p>
    <w:p w14:paraId="2556D8BC" w14:textId="77777777" w:rsidR="00213139" w:rsidRDefault="00213139" w:rsidP="00213139">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67332BAE" w14:textId="51B8712A" w:rsidR="00213139" w:rsidRDefault="00213139" w:rsidP="00213139">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 xml:space="preserve">“La </w:t>
      </w:r>
      <w:r w:rsidRPr="00D13B72">
        <w:rPr>
          <w:rFonts w:ascii="Verdana" w:eastAsia="Arial" w:hAnsi="Verdana" w:cs="Arial"/>
          <w:sz w:val="20"/>
          <w:szCs w:val="20"/>
          <w:lang w:val="es-ES" w:eastAsia="es-ES" w:bidi="es-ES"/>
        </w:rPr>
        <w:t>interpretación sistemática de las disposiciones consagradas en los artículos 32</w:t>
      </w:r>
      <w:r w:rsidR="00670F3D" w:rsidRPr="00D13B72">
        <w:rPr>
          <w:rStyle w:val="Refdenotaalpie"/>
          <w:rFonts w:ascii="Verdana" w:eastAsia="Arial" w:hAnsi="Verdana" w:cs="Arial"/>
          <w:sz w:val="20"/>
          <w:szCs w:val="20"/>
          <w:lang w:val="es-ES" w:eastAsia="es-ES" w:bidi="es-ES"/>
        </w:rPr>
        <w:footnoteReference w:id="7"/>
      </w:r>
      <w:r w:rsidRPr="00D13B72">
        <w:rPr>
          <w:rFonts w:ascii="Verdana" w:eastAsia="Arial" w:hAnsi="Verdana" w:cs="Arial"/>
          <w:sz w:val="20"/>
          <w:szCs w:val="20"/>
          <w:lang w:val="es-ES" w:eastAsia="es-ES" w:bidi="es-ES"/>
        </w:rPr>
        <w:t>, 33 y el parágrafo del artículo 38 de la ley 996 de 2.005 lleva a concluir que dichas normas contienen restricciones y prohibiciones para periodos preelectorales</w:t>
      </w:r>
      <w:r>
        <w:rPr>
          <w:rFonts w:ascii="Verdana" w:eastAsia="Arial" w:hAnsi="Verdana" w:cs="Arial"/>
          <w:sz w:val="20"/>
          <w:szCs w:val="20"/>
          <w:lang w:val="es-ES" w:eastAsia="es-ES" w:bidi="es-ES"/>
        </w:rPr>
        <w:t xml:space="preserve">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3" w:name="_Hlk76109421"/>
      <w:r>
        <w:rPr>
          <w:rFonts w:ascii="Verdana" w:eastAsia="Arial" w:hAnsi="Verdana" w:cs="Arial"/>
          <w:sz w:val="20"/>
          <w:szCs w:val="20"/>
          <w:lang w:val="es-ES" w:eastAsia="es-ES" w:bidi="es-ES"/>
        </w:rPr>
        <w:t>se integran parcialmente</w:t>
      </w:r>
      <w:bookmarkEnd w:id="3"/>
      <w:r>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Pr>
          <w:rFonts w:ascii="Verdana" w:eastAsia="Arial" w:hAnsi="Verdana" w:cs="Arial"/>
          <w:sz w:val="20"/>
          <w:szCs w:val="20"/>
          <w:lang w:val="es-ES" w:eastAsia="es-ES" w:bidi="es-ES"/>
        </w:rPr>
        <w:t>Presidente</w:t>
      </w:r>
      <w:proofErr w:type="gramEnd"/>
      <w:r>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vertAlign w:val="superscript"/>
          <w:lang w:val="es-ES" w:eastAsia="es-ES" w:bidi="es-ES"/>
        </w:rPr>
        <w:footnoteReference w:id="8"/>
      </w:r>
      <w:r>
        <w:rPr>
          <w:rFonts w:ascii="Verdana" w:eastAsia="Arial" w:hAnsi="Verdana" w:cs="Arial"/>
          <w:sz w:val="20"/>
          <w:szCs w:val="20"/>
          <w:lang w:val="es-ES" w:eastAsia="es-ES" w:bidi="es-ES"/>
        </w:rPr>
        <w:t>.</w:t>
      </w:r>
    </w:p>
    <w:p w14:paraId="2A53BD4D" w14:textId="311FA8F9" w:rsidR="00213139" w:rsidRPr="00213139" w:rsidRDefault="00213139" w:rsidP="00213139">
      <w:pPr>
        <w:spacing w:after="0" w:line="276" w:lineRule="auto"/>
        <w:ind w:firstLine="709"/>
        <w:jc w:val="both"/>
        <w:rPr>
          <w:rFonts w:ascii="Verdana" w:eastAsia="Arial" w:hAnsi="Verdana" w:cs="Arial"/>
          <w:lang w:val="es-ES" w:eastAsia="es-ES" w:bidi="es-ES"/>
        </w:rPr>
      </w:pPr>
    </w:p>
    <w:p w14:paraId="05556F00" w14:textId="77777777" w:rsidR="00922A1F" w:rsidRDefault="00213139" w:rsidP="00213139">
      <w:pPr>
        <w:spacing w:after="120" w:line="276" w:lineRule="auto"/>
        <w:ind w:firstLine="709"/>
        <w:jc w:val="both"/>
        <w:rPr>
          <w:rFonts w:ascii="Verdana" w:eastAsia="Arial" w:hAnsi="Verdana" w:cs="Arial"/>
          <w:lang w:eastAsia="es-ES" w:bidi="es-ES"/>
        </w:rPr>
      </w:pPr>
      <w:r w:rsidRPr="00524DB1">
        <w:rPr>
          <w:rFonts w:ascii="Verdana" w:eastAsia="Arial" w:hAnsi="Verdana" w:cs="Arial"/>
          <w:lang w:val="es-ES" w:eastAsia="es-ES" w:bidi="es-ES"/>
        </w:rPr>
        <w:t xml:space="preserve">De conformidad con lo anterior, </w:t>
      </w:r>
      <w:bookmarkStart w:id="4" w:name="_Hlk77236420"/>
      <w:bookmarkStart w:id="5" w:name="_Hlk78818435"/>
      <w:r w:rsidRPr="00524DB1">
        <w:rPr>
          <w:rFonts w:ascii="Verdana" w:eastAsia="Arial" w:hAnsi="Verdana" w:cs="Arial"/>
          <w:lang w:val="es-ES" w:eastAsia="es-ES" w:bidi="es-ES"/>
        </w:rPr>
        <w:t xml:space="preserve">la Ley 996 de 2005 establece dos (2) tipos de restricciones en materia de contratación, las cuales coinciden parcialmente. </w:t>
      </w:r>
      <w:r w:rsidRPr="00524DB1">
        <w:rPr>
          <w:rFonts w:ascii="Verdana" w:eastAsia="Arial" w:hAnsi="Verdana" w:cs="Arial"/>
          <w:iCs/>
          <w:lang w:val="es-ES" w:eastAsia="es-ES" w:bidi="es-ES"/>
        </w:rPr>
        <w:t>En primer lugar,</w:t>
      </w:r>
      <w:r w:rsidRPr="00524DB1">
        <w:rPr>
          <w:rFonts w:ascii="Verdana" w:eastAsia="Arial" w:hAnsi="Verdana" w:cs="Arial"/>
          <w:lang w:val="es-ES" w:eastAsia="es-ES" w:bidi="es-ES"/>
        </w:rPr>
        <w:t xml:space="preserve"> l</w:t>
      </w:r>
      <w:r w:rsidR="003624BD">
        <w:rPr>
          <w:rFonts w:ascii="Verdana" w:eastAsia="Arial" w:hAnsi="Verdana" w:cs="Arial"/>
          <w:lang w:val="es-ES" w:eastAsia="es-ES" w:bidi="es-ES"/>
        </w:rPr>
        <w:t xml:space="preserve">a restricción del </w:t>
      </w:r>
      <w:r w:rsidRPr="00524DB1">
        <w:rPr>
          <w:rFonts w:ascii="Verdana" w:eastAsia="Arial" w:hAnsi="Verdana" w:cs="Arial"/>
          <w:lang w:val="es-ES" w:eastAsia="es-ES" w:bidi="es-ES"/>
        </w:rPr>
        <w:t xml:space="preserve">artículo 33 que opera solo respecto de las elecciones presidenciales, en virtud de la cual queda </w:t>
      </w:r>
      <w:r w:rsidR="00A051E7" w:rsidRPr="00524DB1">
        <w:rPr>
          <w:rFonts w:ascii="Verdana" w:eastAsia="Arial" w:hAnsi="Verdana" w:cs="Arial"/>
          <w:lang w:val="es-ES" w:eastAsia="es-ES" w:bidi="es-ES"/>
        </w:rPr>
        <w:t>prohibida</w:t>
      </w:r>
      <w:r w:rsidRPr="00524DB1">
        <w:rPr>
          <w:rFonts w:ascii="Verdana" w:eastAsia="Arial" w:hAnsi="Verdana" w:cs="Arial"/>
          <w:lang w:val="es-ES" w:eastAsia="es-ES" w:bidi="es-ES"/>
        </w:rPr>
        <w:t xml:space="preserve"> la contratación directa dentro de los cuatro (4) meses anteriores a la celebración de los comicios, salvo las citadas excepciones. </w:t>
      </w:r>
      <w:r w:rsidR="00922A1F" w:rsidRPr="00922A1F">
        <w:rPr>
          <w:rFonts w:ascii="Verdana" w:eastAsia="Arial" w:hAnsi="Verdana" w:cs="Arial"/>
          <w:lang w:eastAsia="es-ES" w:bidi="es-ES"/>
        </w:rPr>
        <w:t xml:space="preserve">Sin embargo, si ningún candidato obtiene la mitad más uno de los votos que, de manera secreta y directa, depositen los ciudadanos, se celebrará una nueva votación que tendrá lugar tres </w:t>
      </w:r>
      <w:r w:rsidR="00922A1F" w:rsidRPr="00922A1F">
        <w:rPr>
          <w:rFonts w:ascii="Verdana" w:eastAsia="Arial" w:hAnsi="Verdana" w:cs="Arial"/>
          <w:lang w:eastAsia="es-ES" w:bidi="es-ES"/>
        </w:rPr>
        <w:lastRenderedPageBreak/>
        <w:t>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p>
    <w:bookmarkEnd w:id="4"/>
    <w:bookmarkEnd w:id="5"/>
    <w:p w14:paraId="27EC24BE" w14:textId="77777777" w:rsidR="00922A1F" w:rsidRDefault="00922A1F" w:rsidP="00213139">
      <w:pPr>
        <w:spacing w:after="120" w:line="276" w:lineRule="auto"/>
        <w:ind w:firstLine="709"/>
        <w:jc w:val="both"/>
        <w:rPr>
          <w:rFonts w:ascii="Verdana" w:eastAsia="Arial" w:hAnsi="Verdana" w:cs="Arial"/>
          <w:iCs/>
          <w:lang w:eastAsia="es-ES" w:bidi="es-ES"/>
        </w:rPr>
      </w:pPr>
      <w:r w:rsidRPr="00922A1F">
        <w:rPr>
          <w:rFonts w:ascii="Verdana" w:eastAsia="Arial" w:hAnsi="Verdana" w:cs="Arial"/>
          <w:iCs/>
          <w:lang w:eastAsia="es-ES" w:bidi="es-ES"/>
        </w:rPr>
        <w:t>En segundo lugar, también se encuentra la prohibición del parágrafo del artículo 38, aplicable respecto de cualquier tipo de contienda electoral, y que prohíbe la celebración de convenios interadministrativos que impliquen la ejecución de recursos públicos dentro de los cuatro (4) meses anteriores a la respectiva jornada de votaciones.</w:t>
      </w:r>
    </w:p>
    <w:p w14:paraId="36C18D76" w14:textId="77777777" w:rsidR="00134570" w:rsidRDefault="00922A1F" w:rsidP="00134570">
      <w:pPr>
        <w:spacing w:after="0" w:line="276" w:lineRule="auto"/>
        <w:ind w:firstLine="708"/>
        <w:jc w:val="both"/>
        <w:rPr>
          <w:rFonts w:ascii="Verdana" w:eastAsia="Arial" w:hAnsi="Verdana" w:cs="Arial"/>
          <w:lang w:eastAsia="es-ES" w:bidi="es-ES"/>
        </w:rPr>
      </w:pPr>
      <w:r w:rsidRPr="00922A1F">
        <w:rPr>
          <w:rFonts w:ascii="Verdana" w:eastAsia="Arial" w:hAnsi="Verdana" w:cs="Arial"/>
          <w:lang w:eastAsia="es-ES" w:bidi="es-ES"/>
        </w:rPr>
        <w:t xml:space="preserve">Ambas restricciones no son excluyentes, lo que permite concluir que en el período preelectoral para elección de </w:t>
      </w:r>
      <w:proofErr w:type="gramStart"/>
      <w:r w:rsidRPr="00922A1F">
        <w:rPr>
          <w:rFonts w:ascii="Verdana" w:eastAsia="Arial" w:hAnsi="Verdana" w:cs="Arial"/>
          <w:lang w:eastAsia="es-ES" w:bidi="es-ES"/>
        </w:rPr>
        <w:t>Presidente</w:t>
      </w:r>
      <w:proofErr w:type="gramEnd"/>
      <w:r w:rsidRPr="00922A1F">
        <w:rPr>
          <w:rFonts w:ascii="Verdana" w:eastAsia="Arial" w:hAnsi="Verdana" w:cs="Arial"/>
          <w:lang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922A1F">
        <w:rPr>
          <w:rFonts w:ascii="Verdana" w:eastAsia="Arial" w:hAnsi="Verdana" w:cs="Arial"/>
          <w:lang w:eastAsia="es-ES" w:bidi="es-ES"/>
        </w:rPr>
        <w:t>Presidente</w:t>
      </w:r>
      <w:proofErr w:type="gramEnd"/>
      <w:r w:rsidRPr="00922A1F">
        <w:rPr>
          <w:rFonts w:ascii="Verdana" w:eastAsia="Arial" w:hAnsi="Verdana" w:cs="Arial"/>
          <w:lang w:eastAsia="es-ES" w:bidi="es-ES"/>
        </w:rPr>
        <w:t xml:space="preserve"> de la República, las autoridades mencionadas en la norma sólo deben aplicar las restricciones contenidas en el parágrafo del artículo 38.</w:t>
      </w:r>
    </w:p>
    <w:p w14:paraId="100AB643" w14:textId="77777777" w:rsidR="00134570" w:rsidRDefault="00134570" w:rsidP="00134570">
      <w:pPr>
        <w:spacing w:after="0" w:line="276" w:lineRule="auto"/>
        <w:ind w:firstLine="708"/>
        <w:jc w:val="both"/>
        <w:rPr>
          <w:rFonts w:ascii="Verdana" w:eastAsia="Arial" w:hAnsi="Verdana" w:cs="Arial"/>
          <w:lang w:eastAsia="es-ES" w:bidi="es-ES"/>
        </w:rPr>
      </w:pPr>
    </w:p>
    <w:p w14:paraId="1320470C" w14:textId="3A5CAAA1" w:rsidR="00213139" w:rsidRDefault="00134570" w:rsidP="00134570">
      <w:pPr>
        <w:spacing w:after="0" w:line="276" w:lineRule="auto"/>
        <w:ind w:firstLine="708"/>
        <w:jc w:val="both"/>
        <w:rPr>
          <w:rFonts w:ascii="Verdana" w:eastAsia="Arial" w:hAnsi="Verdana" w:cs="Arial"/>
          <w:lang w:eastAsia="es-ES" w:bidi="es-ES"/>
        </w:rPr>
      </w:pPr>
      <w:r w:rsidRPr="00134570">
        <w:rPr>
          <w:rFonts w:ascii="Verdana" w:eastAsia="Arial" w:hAnsi="Verdana" w:cs="Arial"/>
          <w:lang w:eastAsia="es-ES" w:bidi="es-ES"/>
        </w:rPr>
        <w:t xml:space="preserve">Sobre este punto, la Corte Constitucional, en la Sentencia C-1153 del 11 de noviembre de 2005, señaló </w:t>
      </w:r>
      <w:proofErr w:type="gramStart"/>
      <w:r w:rsidRPr="00134570">
        <w:rPr>
          <w:rFonts w:ascii="Verdana" w:eastAsia="Arial" w:hAnsi="Verdana" w:cs="Arial"/>
          <w:lang w:eastAsia="es-ES" w:bidi="es-ES"/>
        </w:rPr>
        <w:t>que</w:t>
      </w:r>
      <w:proofErr w:type="gramEnd"/>
      <w:r w:rsidRPr="00134570">
        <w:rPr>
          <w:rFonts w:ascii="Verdana" w:eastAsia="Arial" w:hAnsi="Verdana" w:cs="Arial"/>
          <w:lang w:eastAsia="es-ES" w:bidi="es-ES"/>
        </w:rPr>
        <w:t xml:space="preserve"> para garantizar plenamente la neutralidad, era necesario que la prohibición se aplicara para el </w:t>
      </w:r>
      <w:proofErr w:type="gramStart"/>
      <w:r w:rsidRPr="00134570">
        <w:rPr>
          <w:rFonts w:ascii="Verdana" w:eastAsia="Arial" w:hAnsi="Verdana" w:cs="Arial"/>
          <w:lang w:eastAsia="es-ES" w:bidi="es-ES"/>
        </w:rPr>
        <w:t>Presidente</w:t>
      </w:r>
      <w:proofErr w:type="gramEnd"/>
      <w:r w:rsidRPr="00134570">
        <w:rPr>
          <w:rFonts w:ascii="Verdana" w:eastAsia="Arial" w:hAnsi="Verdana" w:cs="Arial"/>
          <w:lang w:eastAsia="es-ES" w:bidi="es-ES"/>
        </w:rPr>
        <w:t xml:space="preserve"> o el </w:t>
      </w:r>
      <w:proofErr w:type="gramStart"/>
      <w:r w:rsidRPr="00134570">
        <w:rPr>
          <w:rFonts w:ascii="Verdana" w:eastAsia="Arial" w:hAnsi="Verdana" w:cs="Arial"/>
          <w:lang w:eastAsia="es-ES" w:bidi="es-ES"/>
        </w:rPr>
        <w:t>Vicepresidente</w:t>
      </w:r>
      <w:proofErr w:type="gramEnd"/>
      <w:r w:rsidRPr="00134570">
        <w:rPr>
          <w:rFonts w:ascii="Verdana" w:eastAsia="Arial" w:hAnsi="Verdana" w:cs="Arial"/>
          <w:lang w:eastAsia="es-ES" w:bidi="es-ES"/>
        </w:rPr>
        <w:t xml:space="preserve"> desde que éstos –estando en ejercicio de su cargo– manifiesten el interés de ser candidatos presidenciales,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r>
        <w:rPr>
          <w:rFonts w:ascii="Verdana" w:eastAsia="Arial" w:hAnsi="Verdana" w:cs="Arial"/>
          <w:lang w:eastAsia="es-ES" w:bidi="es-ES"/>
        </w:rPr>
        <w:t xml:space="preserve"> </w:t>
      </w:r>
    </w:p>
    <w:p w14:paraId="0B305284" w14:textId="77777777" w:rsidR="00134570" w:rsidRDefault="00134570" w:rsidP="00213139">
      <w:pPr>
        <w:spacing w:after="0" w:line="276" w:lineRule="auto"/>
        <w:jc w:val="both"/>
        <w:rPr>
          <w:rFonts w:ascii="Verdana" w:eastAsia="Arial" w:hAnsi="Verdana" w:cs="Arial"/>
          <w:lang w:val="es-ES" w:eastAsia="es-ES" w:bidi="es-ES"/>
        </w:rPr>
      </w:pPr>
    </w:p>
    <w:p w14:paraId="58525DDE" w14:textId="34C7B770" w:rsidR="00213139" w:rsidRDefault="00213139" w:rsidP="00213139">
      <w:pPr>
        <w:spacing w:after="0" w:line="276" w:lineRule="auto"/>
        <w:jc w:val="both"/>
        <w:rPr>
          <w:rFonts w:ascii="Verdana" w:hAnsi="Verdana" w:cs="Arial"/>
          <w:bCs/>
          <w:lang w:val="es-MX" w:eastAsia="es-CO"/>
        </w:rPr>
      </w:pPr>
      <w:r w:rsidRPr="002B6F76">
        <w:rPr>
          <w:rFonts w:ascii="Verdana" w:eastAsia="Arial" w:hAnsi="Verdana" w:cs="Arial"/>
          <w:lang w:val="es-ES" w:eastAsia="es-ES" w:bidi="es-ES"/>
        </w:rPr>
        <w:t>ii.</w:t>
      </w:r>
      <w:r>
        <w:rPr>
          <w:rFonts w:ascii="Verdana" w:eastAsia="Arial" w:hAnsi="Verdana" w:cs="Arial"/>
          <w:lang w:val="es-ES" w:eastAsia="es-ES" w:bidi="es-ES"/>
        </w:rPr>
        <w:t xml:space="preserve"> </w:t>
      </w:r>
      <w:r w:rsidR="00134570" w:rsidRPr="00134570">
        <w:rPr>
          <w:rFonts w:ascii="Verdana" w:eastAsia="Arial" w:hAnsi="Verdana" w:cs="Arial"/>
          <w:lang w:eastAsia="es-ES" w:bidi="es-ES"/>
        </w:rPr>
        <w:t>Teniendo en cuenta el problema jurídico planteado es necesario precisar el alcance de la prohibición establecida en el artículo 33 de la Ley 996 de 2005. El ámbito material de la prohibición contenida en el artículo 33 de la Ley 996 de 2005 está delimitado por la expresión “queda prohibida la contratación directa”. A propósito de esta restricción de la Ley de Garantías Electorales, la Sala de Consulta y Servicio Civil del Consejo de Estado ha considerado que</w:t>
      </w:r>
      <w:r w:rsidR="00134570">
        <w:rPr>
          <w:rFonts w:ascii="Verdana" w:eastAsia="Arial" w:hAnsi="Verdana" w:cs="Arial"/>
          <w:lang w:eastAsia="es-ES" w:bidi="es-ES"/>
        </w:rPr>
        <w:t>:</w:t>
      </w:r>
    </w:p>
    <w:p w14:paraId="6AE7E490" w14:textId="77777777" w:rsidR="00213139" w:rsidRDefault="00213139" w:rsidP="00213139">
      <w:pPr>
        <w:spacing w:after="0" w:line="276" w:lineRule="auto"/>
        <w:ind w:left="708" w:right="709"/>
        <w:jc w:val="both"/>
        <w:rPr>
          <w:rFonts w:ascii="Verdana" w:hAnsi="Verdana" w:cs="Arial"/>
          <w:lang w:val="es-MX"/>
        </w:rPr>
      </w:pPr>
    </w:p>
    <w:p w14:paraId="5D385D20" w14:textId="04B8CF6A" w:rsidR="00213139" w:rsidRDefault="00213139" w:rsidP="00213139">
      <w:pPr>
        <w:spacing w:after="120"/>
        <w:ind w:left="709" w:right="709"/>
        <w:jc w:val="both"/>
        <w:rPr>
          <w:rFonts w:ascii="Verdana" w:hAnsi="Verdana" w:cs="Arial"/>
          <w:sz w:val="20"/>
          <w:szCs w:val="20"/>
          <w:lang w:val="es-MX"/>
        </w:rPr>
      </w:pPr>
      <w:r>
        <w:rPr>
          <w:rFonts w:ascii="Verdana" w:hAnsi="Verdana" w:cs="Arial"/>
          <w:sz w:val="18"/>
          <w:szCs w:val="18"/>
          <w:lang w:val="es-MX"/>
        </w:rPr>
        <w:t>“</w:t>
      </w:r>
      <w:r>
        <w:rPr>
          <w:rFonts w:ascii="Verdana"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Pr>
          <w:rFonts w:ascii="Verdana" w:hAnsi="Verdana" w:cs="Arial"/>
          <w:sz w:val="20"/>
          <w:szCs w:val="20"/>
          <w:vertAlign w:val="superscript"/>
          <w:lang w:eastAsia="es-CO"/>
        </w:rPr>
        <w:footnoteReference w:id="9"/>
      </w:r>
      <w:r>
        <w:rPr>
          <w:rFonts w:ascii="Verdana" w:hAnsi="Verdana" w:cs="Arial"/>
          <w:sz w:val="20"/>
          <w:szCs w:val="20"/>
          <w:lang w:val="es-MX"/>
        </w:rPr>
        <w:t>.</w:t>
      </w:r>
    </w:p>
    <w:p w14:paraId="5659755B" w14:textId="60C42461" w:rsidR="00213139" w:rsidRDefault="00213139" w:rsidP="00213139">
      <w:pPr>
        <w:spacing w:after="0"/>
        <w:ind w:left="708" w:right="709"/>
        <w:jc w:val="both"/>
        <w:rPr>
          <w:rFonts w:ascii="Verdana" w:hAnsi="Verdana" w:cs="Arial"/>
          <w:sz w:val="20"/>
          <w:szCs w:val="20"/>
          <w:lang w:val="es-MX"/>
        </w:rPr>
      </w:pPr>
      <w:r>
        <w:rPr>
          <w:rFonts w:ascii="Verdana"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Pr>
          <w:rFonts w:ascii="Verdana" w:hAnsi="Verdana" w:cs="Arial"/>
          <w:sz w:val="20"/>
          <w:szCs w:val="20"/>
          <w:vertAlign w:val="superscript"/>
          <w:lang w:val="es-MX"/>
        </w:rPr>
        <w:footnoteReference w:id="10"/>
      </w:r>
      <w:r>
        <w:rPr>
          <w:rFonts w:ascii="Verdana" w:hAnsi="Verdana" w:cs="Arial"/>
          <w:sz w:val="20"/>
          <w:szCs w:val="20"/>
          <w:vertAlign w:val="superscript"/>
          <w:lang w:val="es-MX"/>
        </w:rPr>
        <w:t>.</w:t>
      </w:r>
      <w:r>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vertAlign w:val="superscript"/>
          <w:lang w:eastAsia="es-CO"/>
        </w:rPr>
        <w:footnoteReference w:id="11"/>
      </w:r>
      <w:r>
        <w:rPr>
          <w:rFonts w:ascii="Verdana" w:hAnsi="Verdana" w:cs="Arial"/>
          <w:sz w:val="20"/>
          <w:szCs w:val="20"/>
          <w:lang w:val="es-MX"/>
        </w:rPr>
        <w:t>.</w:t>
      </w:r>
    </w:p>
    <w:p w14:paraId="7F309C4C" w14:textId="77777777" w:rsidR="00213139" w:rsidRDefault="00213139" w:rsidP="00871B59">
      <w:pPr>
        <w:widowControl w:val="0"/>
        <w:autoSpaceDE w:val="0"/>
        <w:autoSpaceDN w:val="0"/>
        <w:spacing w:after="0" w:line="276" w:lineRule="auto"/>
        <w:jc w:val="both"/>
        <w:rPr>
          <w:rFonts w:ascii="Verdana" w:hAnsi="Verdana" w:cs="Arial"/>
        </w:rPr>
      </w:pPr>
    </w:p>
    <w:p w14:paraId="58F08C09" w14:textId="0C67C4AA" w:rsidR="00366E10" w:rsidRDefault="00213139" w:rsidP="002B6F76">
      <w:pPr>
        <w:spacing w:after="120" w:line="276" w:lineRule="auto"/>
        <w:ind w:firstLine="708"/>
        <w:jc w:val="both"/>
        <w:rPr>
          <w:rFonts w:ascii="Verdana" w:hAnsi="Verdana" w:cs="Arial"/>
          <w:lang w:eastAsia="x-none"/>
        </w:rPr>
      </w:pPr>
      <w:r w:rsidRPr="00213139">
        <w:rPr>
          <w:rFonts w:ascii="Verdana" w:hAnsi="Verdana" w:cs="Arial"/>
        </w:rPr>
        <w:t>Según el concepto mencionado, la prohibición establecida en el artículo 33 de la Ley de Garantías Electorales se aplica a “todo mecanismo que no contemple una convocatoria pública ni permita la participación de múltiples oferentes”</w:t>
      </w:r>
      <w:r w:rsidR="00F8706C">
        <w:rPr>
          <w:rFonts w:ascii="Verdana" w:hAnsi="Verdana" w:cs="Arial"/>
        </w:rPr>
        <w:t>. En consecuencia,</w:t>
      </w:r>
      <w:r w:rsidRPr="00213139">
        <w:rPr>
          <w:rFonts w:ascii="Verdana" w:hAnsi="Verdana" w:cs="Arial"/>
        </w:rPr>
        <w:t xml:space="preserve"> quedan excluidas las demás modalidades de contratación contempladas en la Ley 1150 de 2007, tales como la licitación pública, la selección abreviada y el concurso de méritos, así como aquellas previstas en disposiciones especiales.</w:t>
      </w:r>
      <w:r>
        <w:rPr>
          <w:rFonts w:ascii="Verdana" w:hAnsi="Verdana" w:cs="Arial"/>
        </w:rPr>
        <w:t xml:space="preserve"> </w:t>
      </w:r>
      <w:r>
        <w:rPr>
          <w:rFonts w:ascii="Verdana" w:hAnsi="Verdana" w:cs="Arial"/>
          <w:lang w:eastAsia="x-none"/>
        </w:rPr>
        <w:t>Esta posición es congruente con la expedición de la Ley 1150 de 2007 que, entre otras reformas, introdujo la selección abreviada, rediseñó el concurso de méritos</w:t>
      </w:r>
      <w:r>
        <w:rPr>
          <w:rFonts w:ascii="Verdana" w:hAnsi="Verdana" w:cs="Arial"/>
          <w:vertAlign w:val="superscript"/>
          <w:lang w:val="en-GB" w:eastAsia="x-none"/>
        </w:rPr>
        <w:footnoteReference w:id="12"/>
      </w:r>
      <w:r>
        <w:rPr>
          <w:rFonts w:ascii="Verdana" w:hAnsi="Verdana" w:cs="Arial"/>
          <w:lang w:eastAsia="x-none"/>
        </w:rPr>
        <w:t xml:space="preserve"> y sistematizó las causales de contratación directa</w:t>
      </w:r>
      <w:r>
        <w:rPr>
          <w:rFonts w:ascii="Verdana" w:hAnsi="Verdana" w:cs="Arial"/>
          <w:vertAlign w:val="superscript"/>
          <w:lang w:val="en-GB" w:eastAsia="x-none"/>
        </w:rPr>
        <w:footnoteReference w:id="13"/>
      </w:r>
      <w:r>
        <w:rPr>
          <w:rFonts w:ascii="Verdana" w:hAnsi="Verdana" w:cs="Arial"/>
          <w:lang w:eastAsia="x-none"/>
        </w:rPr>
        <w:t xml:space="preserve">. </w:t>
      </w:r>
    </w:p>
    <w:p w14:paraId="736520F2" w14:textId="3EBAA666" w:rsidR="005C01AB" w:rsidRDefault="002B6F76" w:rsidP="005C01AB">
      <w:pPr>
        <w:spacing w:after="120" w:line="276" w:lineRule="auto"/>
        <w:ind w:firstLine="708"/>
        <w:jc w:val="both"/>
        <w:rPr>
          <w:rFonts w:ascii="Verdana" w:hAnsi="Verdana" w:cs="Arial"/>
          <w:bCs/>
          <w:lang w:val="es-MX" w:eastAsia="x-none"/>
        </w:rPr>
      </w:pPr>
      <w:r>
        <w:rPr>
          <w:rFonts w:ascii="Verdana" w:hAnsi="Verdana" w:cs="Arial"/>
          <w:bCs/>
          <w:lang w:val="es-MX" w:eastAsia="x-none"/>
        </w:rPr>
        <w:t>De tal manera</w:t>
      </w:r>
      <w:r w:rsidR="005C01AB">
        <w:rPr>
          <w:rFonts w:ascii="Verdana" w:hAnsi="Verdana" w:cs="Arial"/>
          <w:bCs/>
          <w:lang w:val="es-MX" w:eastAsia="x-none"/>
        </w:rPr>
        <w:t xml:space="preserve">, </w:t>
      </w:r>
      <w:r w:rsidR="00F8706C">
        <w:rPr>
          <w:rFonts w:ascii="Verdana" w:hAnsi="Verdana" w:cs="Arial"/>
          <w:bCs/>
          <w:lang w:val="es-MX" w:eastAsia="x-none"/>
        </w:rPr>
        <w:t>debe</w:t>
      </w:r>
      <w:r w:rsidR="005C01AB">
        <w:rPr>
          <w:rFonts w:ascii="Verdana" w:hAnsi="Verdana" w:cs="Arial"/>
          <w:bCs/>
          <w:lang w:val="es-MX" w:eastAsia="x-none"/>
        </w:rPr>
        <w:t xml:space="preserve"> entenderse que, para los efectos de la Ley de Garantías Electorales y, en particular, para la prohibición o restricción temporal contenida en su artículo 33,</w:t>
      </w:r>
      <w:r w:rsidR="00F8706C">
        <w:rPr>
          <w:rFonts w:ascii="Verdana" w:hAnsi="Verdana" w:cs="Arial"/>
          <w:bCs/>
          <w:lang w:val="es-MX" w:eastAsia="x-none"/>
        </w:rPr>
        <w:t xml:space="preserve"> la</w:t>
      </w:r>
      <w:r w:rsidR="005C01AB">
        <w:rPr>
          <w:rFonts w:ascii="Verdana" w:hAnsi="Verdana" w:cs="Arial"/>
          <w:bCs/>
          <w:lang w:val="es-MX" w:eastAsia="x-none"/>
        </w:rPr>
        <w:t xml:space="preserve"> “contratación directa” es cualquier sistema de </w:t>
      </w:r>
      <w:r w:rsidR="005C01AB">
        <w:rPr>
          <w:rFonts w:ascii="Verdana" w:hAnsi="Verdana" w:cs="Arial"/>
          <w:bCs/>
          <w:lang w:val="es-MX" w:eastAsia="x-none"/>
        </w:rPr>
        <w:lastRenderedPageBreak/>
        <w:t>selección o procedimiento de contratación utilizado por las entidades estatales que no incluya la convocatoria pública en alguna de sus etapas, ni permita la participación de una pluralidad de oferentes</w:t>
      </w:r>
      <w:r w:rsidR="005C01AB">
        <w:rPr>
          <w:rFonts w:ascii="Verdana" w:hAnsi="Verdana" w:cs="Arial"/>
          <w:vertAlign w:val="superscript"/>
          <w:lang w:eastAsia="x-none"/>
        </w:rPr>
        <w:footnoteReference w:id="14"/>
      </w:r>
      <w:r w:rsidR="005C01AB">
        <w:rPr>
          <w:rFonts w:ascii="Verdana" w:hAnsi="Verdana" w:cs="Arial"/>
          <w:bCs/>
          <w:lang w:val="es-MX" w:eastAsia="x-none"/>
        </w:rPr>
        <w:t>.</w:t>
      </w:r>
      <w:r w:rsidR="005C01AB">
        <w:rPr>
          <w:rFonts w:ascii="Verdana" w:hAnsi="Verdana" w:cs="Arial"/>
          <w:vertAlign w:val="superscript"/>
          <w:lang w:val="es-MX" w:eastAsia="x-none"/>
        </w:rPr>
        <w:t xml:space="preserve"> </w:t>
      </w:r>
    </w:p>
    <w:p w14:paraId="020F4780" w14:textId="61E2CBA4" w:rsidR="00F95CBD" w:rsidRDefault="00F95CBD" w:rsidP="00F95CBD">
      <w:pPr>
        <w:spacing w:after="120" w:line="276" w:lineRule="auto"/>
        <w:ind w:firstLine="708"/>
        <w:jc w:val="both"/>
        <w:rPr>
          <w:rFonts w:ascii="Verdana" w:hAnsi="Verdana" w:cs="Arial"/>
          <w:bCs/>
          <w:lang w:val="es-MX" w:eastAsia="x-none"/>
        </w:rPr>
      </w:pPr>
      <w:r w:rsidRPr="00F95CBD">
        <w:rPr>
          <w:rFonts w:ascii="Verdana" w:hAnsi="Verdana" w:cs="Arial"/>
          <w:bCs/>
          <w:lang w:eastAsia="x-none"/>
        </w:rPr>
        <w:t>Ahora bien,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 sino también frente a las entidades que tengan un régimen especial de contratación.</w:t>
      </w:r>
    </w:p>
    <w:p w14:paraId="2330B63D" w14:textId="07975C34" w:rsidR="001F6B20" w:rsidRDefault="00F95CBD" w:rsidP="001F6B20">
      <w:pPr>
        <w:spacing w:after="120" w:line="276" w:lineRule="auto"/>
        <w:ind w:firstLine="708"/>
        <w:jc w:val="both"/>
        <w:rPr>
          <w:rFonts w:ascii="Verdana" w:hAnsi="Verdana" w:cs="Arial"/>
          <w:lang w:eastAsia="x-none"/>
        </w:rPr>
      </w:pPr>
      <w:r>
        <w:rPr>
          <w:rFonts w:ascii="Verdana" w:hAnsi="Verdana" w:cs="Arial"/>
          <w:bCs/>
          <w:lang w:val="es-MX" w:eastAsia="x-none"/>
        </w:rPr>
        <w:t>De lo expuesto</w:t>
      </w:r>
      <w:r w:rsidR="001F6B20">
        <w:rPr>
          <w:rFonts w:ascii="Verdana" w:hAnsi="Verdana" w:cs="Arial"/>
          <w:bCs/>
          <w:lang w:val="es-MX" w:eastAsia="x-none"/>
        </w:rPr>
        <w:t xml:space="preserve"> se desprende que la restricción aplica, sin perjuicio de las excepciones establecidas en la misma </w:t>
      </w:r>
      <w:r w:rsidR="00F8706C">
        <w:rPr>
          <w:rFonts w:ascii="Verdana" w:hAnsi="Verdana" w:cs="Arial"/>
          <w:bCs/>
          <w:lang w:val="es-MX" w:eastAsia="x-none"/>
        </w:rPr>
        <w:t>Le</w:t>
      </w:r>
      <w:r w:rsidR="001F6B20">
        <w:rPr>
          <w:rFonts w:ascii="Verdana" w:hAnsi="Verdana" w:cs="Arial"/>
          <w:bCs/>
          <w:lang w:val="es-MX" w:eastAsia="x-none"/>
        </w:rPr>
        <w:t>y, para celebrar cualquier contrato de forma directa, esto es, sin que exista un proceso abierto y competitivo.</w:t>
      </w:r>
      <w:r w:rsidR="001F6B20">
        <w:rPr>
          <w:rFonts w:ascii="Verdana" w:hAnsi="Verdana" w:cs="Arial"/>
          <w:lang w:eastAsia="x-none"/>
        </w:rPr>
        <w:t xml:space="preserve"> Por tanto, no </w:t>
      </w:r>
      <w:r w:rsidR="00F8706C">
        <w:rPr>
          <w:rFonts w:ascii="Verdana" w:hAnsi="Verdana" w:cs="Arial"/>
          <w:lang w:eastAsia="x-none"/>
        </w:rPr>
        <w:t>están sujetas a</w:t>
      </w:r>
      <w:r w:rsidR="001F6B20">
        <w:rPr>
          <w:rFonts w:ascii="Verdana" w:hAnsi="Verdana" w:cs="Arial"/>
          <w:lang w:eastAsia="x-none"/>
        </w:rPr>
        <w:t xml:space="preserve"> la prohibición las demás modalidades de selección previstas en la Ley 1150 de 2007, es decir, la licitación pública, el concurso de méritos y la selección abreviada</w:t>
      </w:r>
      <w:r w:rsidR="00F8706C">
        <w:rPr>
          <w:rFonts w:ascii="Verdana" w:hAnsi="Verdana" w:cs="Arial"/>
          <w:lang w:eastAsia="x-none"/>
        </w:rPr>
        <w:t xml:space="preserve">. De este modo, las entidades públicas, en el período </w:t>
      </w:r>
      <w:r w:rsidR="001F6B20">
        <w:rPr>
          <w:rFonts w:ascii="Verdana" w:hAnsi="Verdana" w:cs="Arial"/>
          <w:lang w:eastAsia="x-none"/>
        </w:rPr>
        <w:t>preelectoral de que trata la disposición pueden seguir contratando bajo estos sistemas</w:t>
      </w:r>
      <w:r w:rsidR="00F8706C">
        <w:rPr>
          <w:rFonts w:ascii="Verdana" w:hAnsi="Verdana" w:cs="Arial"/>
          <w:lang w:eastAsia="x-none"/>
        </w:rPr>
        <w:t xml:space="preserve"> de selección</w:t>
      </w:r>
      <w:r w:rsidR="001F6B20">
        <w:rPr>
          <w:rFonts w:ascii="Verdana" w:hAnsi="Verdana" w:cs="Arial"/>
          <w:lang w:eastAsia="x-none"/>
        </w:rPr>
        <w:t>.</w:t>
      </w:r>
    </w:p>
    <w:p w14:paraId="09C128A7" w14:textId="6DCF7404" w:rsidR="00F8706C" w:rsidRDefault="001F6B20" w:rsidP="001F6B20">
      <w:pPr>
        <w:spacing w:after="120" w:line="276" w:lineRule="auto"/>
        <w:ind w:firstLine="708"/>
        <w:jc w:val="both"/>
        <w:rPr>
          <w:rFonts w:ascii="Verdana" w:hAnsi="Verdana" w:cs="Arial"/>
          <w:bCs/>
          <w:lang w:val="es-MX" w:eastAsia="es-CO"/>
        </w:rPr>
      </w:pPr>
      <w:r>
        <w:rPr>
          <w:rFonts w:ascii="Verdana" w:hAnsi="Verdana" w:cs="Arial"/>
          <w:bCs/>
          <w:lang w:val="es-MX" w:eastAsia="x-none"/>
        </w:rPr>
        <w:t>De otro lado, las excepciones a la restricción prevista en la Ley de Garantías, con fundamento en las cuales las entidades públicas</w:t>
      </w:r>
      <w:r w:rsidR="00F8706C">
        <w:rPr>
          <w:rFonts w:ascii="Verdana" w:hAnsi="Verdana" w:cs="Arial"/>
          <w:bCs/>
          <w:lang w:val="es-MX" w:eastAsia="x-none"/>
        </w:rPr>
        <w:t xml:space="preserve"> podrán</w:t>
      </w:r>
      <w:r>
        <w:rPr>
          <w:rFonts w:ascii="Verdana" w:hAnsi="Verdana" w:cs="Arial"/>
          <w:bCs/>
          <w:lang w:val="es-MX" w:eastAsia="x-none"/>
        </w:rPr>
        <w:t xml:space="preserve"> adelantar procedimientos de selección directa en períodos previos a la contienda electoral por la Presidencia, se encuentran consagradas de manera taxativa en el inciso final del citado artículo 33 de la Ley 996 de 2005</w:t>
      </w:r>
      <w:r w:rsidR="00570106">
        <w:rPr>
          <w:rFonts w:ascii="Verdana" w:hAnsi="Verdana" w:cs="Arial"/>
          <w:bCs/>
          <w:lang w:val="es-MX" w:eastAsia="x-none"/>
        </w:rPr>
        <w:t>. D</w:t>
      </w:r>
      <w:r w:rsidR="00F8706C">
        <w:rPr>
          <w:rFonts w:ascii="Verdana" w:hAnsi="Verdana" w:cs="Arial"/>
          <w:bCs/>
          <w:lang w:val="es-MX" w:eastAsia="x-none"/>
        </w:rPr>
        <w:t xml:space="preserve">ichas excepciones corresponden </w:t>
      </w:r>
      <w:r>
        <w:rPr>
          <w:rFonts w:ascii="Verdana" w:hAnsi="Verdana" w:cs="Arial"/>
          <w:bCs/>
          <w:lang w:val="es-MX" w:eastAsia="x-none"/>
        </w:rPr>
        <w:t>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Pr>
          <w:rFonts w:ascii="Verdana" w:hAnsi="Verdana" w:cs="Arial"/>
          <w:bCs/>
          <w:lang w:val="es-MX" w:eastAsia="es-CO"/>
        </w:rPr>
        <w:t xml:space="preserve"> </w:t>
      </w:r>
    </w:p>
    <w:p w14:paraId="7A075E25" w14:textId="77777777" w:rsidR="00750EFF" w:rsidRDefault="00750EFF" w:rsidP="00D377C9">
      <w:pPr>
        <w:spacing w:after="0" w:line="276" w:lineRule="auto"/>
        <w:ind w:firstLine="708"/>
        <w:jc w:val="both"/>
        <w:rPr>
          <w:rFonts w:ascii="Verdana" w:hAnsi="Verdana" w:cs="Arial"/>
          <w:bCs/>
          <w:lang w:eastAsia="es-CO"/>
        </w:rPr>
      </w:pPr>
      <w:r w:rsidRPr="00750EFF">
        <w:rPr>
          <w:rFonts w:ascii="Verdana" w:hAnsi="Verdana" w:cs="Arial"/>
          <w:bCs/>
          <w:lang w:eastAsia="es-CO"/>
        </w:rPr>
        <w:t xml:space="preserve">Conforme a lo consagrado en esta disposición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 </w:t>
      </w:r>
    </w:p>
    <w:p w14:paraId="31E0CA9A" w14:textId="2E25C51B" w:rsidR="00D377C9" w:rsidRDefault="001F6B20" w:rsidP="00D377C9">
      <w:pPr>
        <w:spacing w:after="0" w:line="276" w:lineRule="auto"/>
        <w:ind w:firstLine="708"/>
        <w:jc w:val="both"/>
        <w:rPr>
          <w:rFonts w:ascii="Verdana" w:hAnsi="Verdana" w:cs="Arial"/>
          <w:bCs/>
          <w:lang w:val="es-MX" w:eastAsia="x-none"/>
        </w:rPr>
      </w:pPr>
      <w:r>
        <w:rPr>
          <w:rFonts w:ascii="Verdana" w:hAnsi="Verdana" w:cs="Arial"/>
          <w:bCs/>
          <w:lang w:val="es-MX" w:eastAsia="x-none"/>
        </w:rPr>
        <w:t xml:space="preserve">En esta labor es importante tener en cuenta, como lo anotó la Corte Constitucional, en Sentencia C-1153 de noviembre 11 de 2005 </w:t>
      </w:r>
      <w:bookmarkStart w:id="6" w:name="_Hlk74309042"/>
      <w:r>
        <w:rPr>
          <w:rFonts w:ascii="Verdana" w:hAnsi="Verdana" w:cs="Arial"/>
          <w:bCs/>
          <w:lang w:val="es-MX" w:eastAsia="x-none"/>
        </w:rPr>
        <w:t>que “</w:t>
      </w:r>
      <w:bookmarkEnd w:id="6"/>
      <w:r>
        <w:rPr>
          <w:rFonts w:ascii="Verdana" w:hAnsi="Verdana" w:cs="Arial"/>
          <w:bCs/>
          <w:lang w:val="es-MX" w:eastAsia="x-none"/>
        </w:rPr>
        <w:t xml:space="preserve">si bien la limitación garantiza la igualdad de condiciones, también es necesario que tal </w:t>
      </w:r>
      <w:r>
        <w:rPr>
          <w:rFonts w:ascii="Verdana" w:hAnsi="Verdana" w:cs="Arial"/>
          <w:bCs/>
          <w:lang w:val="es-MX" w:eastAsia="x-none"/>
        </w:rPr>
        <w:lastRenderedPageBreak/>
        <w:t xml:space="preserve">limitación que pretende la igualdad </w:t>
      </w:r>
      <w:bookmarkStart w:id="7" w:name="_Hlk75768308"/>
      <w:r>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vertAlign w:val="superscript"/>
          <w:lang w:val="es-MX"/>
        </w:rPr>
        <w:footnoteReference w:id="15"/>
      </w:r>
      <w:r>
        <w:rPr>
          <w:rFonts w:ascii="Verdana" w:hAnsi="Verdana" w:cs="Arial"/>
          <w:bCs/>
          <w:lang w:val="es-MX" w:eastAsia="x-none"/>
        </w:rPr>
        <w:t xml:space="preserve">.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w:t>
      </w:r>
      <w:r w:rsidR="002B6F76">
        <w:rPr>
          <w:rFonts w:ascii="Verdana" w:hAnsi="Verdana" w:cs="Arial"/>
          <w:bCs/>
          <w:lang w:val="es-MX" w:eastAsia="x-none"/>
        </w:rPr>
        <w:t xml:space="preserve">persecución </w:t>
      </w:r>
      <w:r>
        <w:rPr>
          <w:rFonts w:ascii="Verdana" w:hAnsi="Verdana" w:cs="Arial"/>
          <w:bCs/>
          <w:lang w:val="es-MX" w:eastAsia="x-none"/>
        </w:rPr>
        <w:t>de la igualdad entre los candidatos como garantía electoral.</w:t>
      </w:r>
      <w:bookmarkEnd w:id="7"/>
    </w:p>
    <w:p w14:paraId="21937D5B" w14:textId="77777777" w:rsidR="00D377C9" w:rsidRDefault="00D377C9" w:rsidP="00D377C9">
      <w:pPr>
        <w:spacing w:after="0" w:line="276" w:lineRule="auto"/>
        <w:ind w:firstLine="708"/>
        <w:jc w:val="both"/>
        <w:rPr>
          <w:rFonts w:ascii="Verdana" w:hAnsi="Verdana" w:cs="Arial"/>
          <w:bCs/>
          <w:lang w:val="es-MX" w:eastAsia="x-none"/>
        </w:rPr>
      </w:pPr>
    </w:p>
    <w:p w14:paraId="358101F6" w14:textId="787D2DB9" w:rsidR="00AA3105" w:rsidRDefault="00F8706C" w:rsidP="00D377C9">
      <w:pPr>
        <w:spacing w:after="0" w:line="276" w:lineRule="auto"/>
        <w:ind w:firstLine="708"/>
        <w:jc w:val="both"/>
        <w:rPr>
          <w:rFonts w:ascii="Verdana" w:hAnsi="Verdana" w:cs="Arial"/>
          <w:lang w:val="es-ES"/>
        </w:rPr>
      </w:pPr>
      <w:r>
        <w:rPr>
          <w:rFonts w:ascii="Verdana" w:hAnsi="Verdana" w:cs="Arial"/>
          <w:lang w:val="es-ES"/>
        </w:rPr>
        <w:t xml:space="preserve">iii) </w:t>
      </w:r>
      <w:r w:rsidR="00D9412C">
        <w:rPr>
          <w:rFonts w:ascii="Verdana" w:hAnsi="Verdana" w:cs="Arial"/>
          <w:lang w:val="es-ES"/>
        </w:rPr>
        <w:t xml:space="preserve">Ahora bien, </w:t>
      </w:r>
      <w:r w:rsidR="001D6A59" w:rsidRPr="001D6A59">
        <w:rPr>
          <w:rFonts w:ascii="Verdana" w:hAnsi="Verdana" w:cs="Arial"/>
        </w:rPr>
        <w:t xml:space="preserve">para dar respuesta a la consulta planteada relacionada con la procedencia de celebrar contratos de prestación de servicios bajo la modalidad de contratación directa antes de la entrada en vigor de la Ley 996 de 2005 y </w:t>
      </w:r>
      <w:proofErr w:type="gramStart"/>
      <w:r w:rsidR="001D6A59" w:rsidRPr="001D6A59">
        <w:rPr>
          <w:rFonts w:ascii="Verdana" w:hAnsi="Verdana" w:cs="Arial"/>
        </w:rPr>
        <w:t>dar inicio a</w:t>
      </w:r>
      <w:proofErr w:type="gramEnd"/>
      <w:r w:rsidR="001D6A59" w:rsidRPr="001D6A59">
        <w:rPr>
          <w:rFonts w:ascii="Verdana" w:hAnsi="Verdana" w:cs="Arial"/>
        </w:rPr>
        <w:t xml:space="preserve"> su ejecución durante su vigencia sin que ello contraríe las restricciones allí previstas es necesario entender el momento de aplicación de la restricción antes analizada. Al respecto, es preciso señalar que el vocablo “celebrar” es definido por el Diccionario Panhispánico del Español Jurídico como: “1. </w:t>
      </w:r>
      <w:r w:rsidR="001D6A59" w:rsidRPr="001D6A59">
        <w:rPr>
          <w:rFonts w:ascii="Verdana" w:hAnsi="Verdana" w:cs="Arial"/>
          <w:i/>
          <w:iCs/>
        </w:rPr>
        <w:t>Gral</w:t>
      </w:r>
      <w:r w:rsidR="001D6A59" w:rsidRPr="001D6A59">
        <w:rPr>
          <w:rFonts w:ascii="Verdana" w:hAnsi="Verdana" w:cs="Arial"/>
        </w:rPr>
        <w:t xml:space="preserve">. Otorgar o firmar un contrato. 2. </w:t>
      </w:r>
      <w:proofErr w:type="spellStart"/>
      <w:r w:rsidR="001D6A59" w:rsidRPr="001D6A59">
        <w:rPr>
          <w:rFonts w:ascii="Verdana" w:hAnsi="Verdana" w:cs="Arial"/>
          <w:i/>
          <w:iCs/>
        </w:rPr>
        <w:t>Proc</w:t>
      </w:r>
      <w:proofErr w:type="spellEnd"/>
      <w:r w:rsidR="001D6A59" w:rsidRPr="001D6A59">
        <w:rPr>
          <w:rFonts w:ascii="Verdana" w:hAnsi="Verdana" w:cs="Arial"/>
          <w:i/>
          <w:iCs/>
        </w:rPr>
        <w:t>.</w:t>
      </w:r>
      <w:r w:rsidR="001D6A59" w:rsidRPr="001D6A59">
        <w:rPr>
          <w:rFonts w:ascii="Verdana" w:hAnsi="Verdana" w:cs="Arial"/>
        </w:rPr>
        <w:t xml:space="preserve"> Realizar los actos procesales propios de un juicio o vista”. Dentro de las dos definiciones, la que se acerca a la expresión “celebrar” en el contexto de la Ley de Garantías Electorales es la primera, esto es, al perfeccionamiento del contrato.</w:t>
      </w:r>
    </w:p>
    <w:p w14:paraId="583BD621" w14:textId="77777777" w:rsidR="00AA3105" w:rsidRDefault="00AA3105" w:rsidP="00D377C9">
      <w:pPr>
        <w:spacing w:after="0" w:line="276" w:lineRule="auto"/>
        <w:ind w:firstLine="708"/>
        <w:jc w:val="both"/>
        <w:rPr>
          <w:rFonts w:ascii="Verdana" w:hAnsi="Verdana" w:cs="Arial"/>
          <w:lang w:val="es-ES"/>
        </w:rPr>
      </w:pPr>
    </w:p>
    <w:p w14:paraId="4BCBF63D" w14:textId="673C8C78" w:rsidR="001D6A59" w:rsidRDefault="001D6A59" w:rsidP="00D377C9">
      <w:pPr>
        <w:spacing w:after="0" w:line="276" w:lineRule="auto"/>
        <w:ind w:firstLine="708"/>
        <w:jc w:val="both"/>
        <w:rPr>
          <w:rFonts w:ascii="Verdana" w:hAnsi="Verdana" w:cs="Arial"/>
          <w:lang w:val="es-ES"/>
        </w:rPr>
      </w:pPr>
      <w:r w:rsidRPr="001D6A59">
        <w:rPr>
          <w:rFonts w:ascii="Verdana" w:hAnsi="Verdana" w:cs="Arial"/>
        </w:rPr>
        <w:t>En efecto, el concepto de “celebración” en el marco de la contratación estatal se relaciona con el perfeccionamiento del contrato, es decir, con los requisitos para que exista jurídicamente un contrato estatal y produzca efectos obligatorios entre las partes. Al respecto, se destaca que en entidades sometidas al Estatuto General de Contratación de la Administración Pública la existencia de los contratos estatales, es decir, la producción de efectos jurídicos en los términos del artículo 1501 ibidem, depende de la regulación del inciso primero de los artículos 39 y 41 de la Ley 80 de 1993.</w:t>
      </w:r>
    </w:p>
    <w:p w14:paraId="33E0AEA0" w14:textId="77777777" w:rsidR="00AA3105" w:rsidRDefault="00AA3105" w:rsidP="00D377C9">
      <w:pPr>
        <w:spacing w:after="0" w:line="276" w:lineRule="auto"/>
        <w:ind w:firstLine="708"/>
        <w:jc w:val="both"/>
        <w:rPr>
          <w:rFonts w:ascii="Verdana" w:hAnsi="Verdana" w:cs="Arial"/>
          <w:lang w:val="es-ES"/>
        </w:rPr>
      </w:pPr>
    </w:p>
    <w:p w14:paraId="7A03C964" w14:textId="77777777" w:rsidR="00F346CC" w:rsidRDefault="00F346CC" w:rsidP="00F346CC">
      <w:pPr>
        <w:tabs>
          <w:tab w:val="left" w:pos="2361"/>
        </w:tabs>
        <w:spacing w:after="0" w:line="276" w:lineRule="auto"/>
        <w:ind w:firstLine="708"/>
        <w:jc w:val="both"/>
        <w:rPr>
          <w:rFonts w:ascii="Verdana" w:hAnsi="Verdana" w:cs="Arial"/>
        </w:rPr>
      </w:pPr>
      <w:r w:rsidRPr="00F346CC">
        <w:rPr>
          <w:rFonts w:ascii="Verdana" w:hAnsi="Verdana" w:cs="Arial"/>
        </w:rPr>
        <w:t xml:space="preserve">Por un lado, el artículo 39 establece que: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el inciso primero del artículo 41 dispone que </w:t>
      </w:r>
      <w:r w:rsidRPr="00F346CC">
        <w:rPr>
          <w:rFonts w:ascii="Verdana" w:hAnsi="Verdana" w:cs="Arial"/>
        </w:rPr>
        <w:lastRenderedPageBreak/>
        <w:t>“Los contratos del Estado se perfeccionan cuando se logre acuerdo sobre el objeto y la contraprestación y éste se eleve a escrito”.</w:t>
      </w:r>
    </w:p>
    <w:p w14:paraId="29EC5D59" w14:textId="77777777" w:rsidR="00F346CC" w:rsidRDefault="00F346CC" w:rsidP="00F346CC">
      <w:pPr>
        <w:tabs>
          <w:tab w:val="left" w:pos="2361"/>
        </w:tabs>
        <w:spacing w:after="0" w:line="276" w:lineRule="auto"/>
        <w:ind w:firstLine="708"/>
        <w:jc w:val="both"/>
        <w:rPr>
          <w:rFonts w:ascii="Verdana" w:hAnsi="Verdana" w:cs="Arial"/>
        </w:rPr>
      </w:pPr>
    </w:p>
    <w:p w14:paraId="1FF2D856" w14:textId="196AF3D9" w:rsidR="00F346CC" w:rsidRDefault="00F346CC" w:rsidP="00F346CC">
      <w:pPr>
        <w:tabs>
          <w:tab w:val="left" w:pos="2361"/>
        </w:tabs>
        <w:spacing w:after="0" w:line="276" w:lineRule="auto"/>
        <w:ind w:firstLine="708"/>
        <w:jc w:val="both"/>
        <w:rPr>
          <w:rFonts w:ascii="Verdana" w:hAnsi="Verdana" w:cs="Arial"/>
        </w:rPr>
      </w:pPr>
      <w:r w:rsidRPr="00F346CC">
        <w:rPr>
          <w:rFonts w:ascii="Verdana" w:hAnsi="Verdana" w:cs="Arial"/>
        </w:rPr>
        <w:t>De este modo, esta Agencia precisa que el concepto “celebrar” para efectos de las restricciones en materia de contratación estatal dispuestas por la Ley de Garantías Electorales se refiere a los requisitos de perfeccionamiento del contrato estatal, esto es, aquel en el que se alcanza acuerdo sobre el objeto y la contraprestación y se formaliza por escrito. Por tanto, no se refiere a los requisitos de ejecución, es decir, aquellas condiciones para iniciar un contrato, como es la aprobación de las garantías, la expedición del registro presupuestal, o en algunos casos, la firma del acta de inicio, si así se determinó.</w:t>
      </w:r>
    </w:p>
    <w:p w14:paraId="4C05BF06" w14:textId="77777777" w:rsidR="00F346CC" w:rsidRDefault="00F346CC" w:rsidP="00F346CC">
      <w:pPr>
        <w:tabs>
          <w:tab w:val="left" w:pos="2361"/>
        </w:tabs>
        <w:spacing w:after="0" w:line="276" w:lineRule="auto"/>
        <w:ind w:firstLine="708"/>
        <w:jc w:val="both"/>
        <w:rPr>
          <w:rFonts w:ascii="Verdana" w:hAnsi="Verdana" w:cs="Arial"/>
        </w:rPr>
      </w:pPr>
    </w:p>
    <w:p w14:paraId="659401ED" w14:textId="33A010DB" w:rsidR="00345F36" w:rsidRDefault="00B24B5E" w:rsidP="00F346CC">
      <w:pPr>
        <w:tabs>
          <w:tab w:val="left" w:pos="2361"/>
        </w:tabs>
        <w:spacing w:after="0" w:line="276" w:lineRule="auto"/>
        <w:ind w:firstLine="708"/>
        <w:jc w:val="both"/>
        <w:rPr>
          <w:rFonts w:ascii="Verdana" w:hAnsi="Verdana" w:cs="Arial"/>
        </w:rPr>
      </w:pPr>
      <w:r w:rsidRPr="00B24B5E">
        <w:rPr>
          <w:rFonts w:ascii="Verdana" w:hAnsi="Verdana" w:cs="Arial"/>
        </w:rPr>
        <w:t xml:space="preserve">En relación con ello, la Circular Externa Única de la Agencia Nacional de Contratación Pública – Colombia Compra Eficiente– en su numeral 16.6. aclaró que: “La realización del registro presupuestal y la aprobación de la garantía pueden realizarse con posterioridad a la </w:t>
      </w:r>
      <w:proofErr w:type="gramStart"/>
      <w:r w:rsidRPr="00B24B5E">
        <w:rPr>
          <w:rFonts w:ascii="Verdana" w:hAnsi="Verdana" w:cs="Arial"/>
        </w:rPr>
        <w:t>entrada en vigencia</w:t>
      </w:r>
      <w:proofErr w:type="gramEnd"/>
      <w:r w:rsidRPr="00B24B5E">
        <w:rPr>
          <w:rFonts w:ascii="Verdana" w:hAnsi="Verdana" w:cs="Arial"/>
        </w:rPr>
        <w:t xml:space="preserve"> de la Ley de Garantías por ser requisitos de ejecución del contrato, no de su perfeccionamiento”</w:t>
      </w:r>
      <w:r>
        <w:rPr>
          <w:rStyle w:val="Refdenotaalpie"/>
          <w:rFonts w:ascii="Verdana" w:hAnsi="Verdana" w:cs="Arial"/>
        </w:rPr>
        <w:footnoteReference w:id="16"/>
      </w:r>
      <w:r w:rsidR="00CF0804">
        <w:rPr>
          <w:rFonts w:ascii="Verdana" w:hAnsi="Verdana" w:cs="Arial"/>
        </w:rPr>
        <w:t>.</w:t>
      </w:r>
    </w:p>
    <w:p w14:paraId="64B1BF52" w14:textId="77777777" w:rsidR="00CF0804" w:rsidRDefault="00CF0804" w:rsidP="00F346CC">
      <w:pPr>
        <w:tabs>
          <w:tab w:val="left" w:pos="2361"/>
        </w:tabs>
        <w:spacing w:after="0" w:line="276" w:lineRule="auto"/>
        <w:ind w:firstLine="708"/>
        <w:jc w:val="both"/>
        <w:rPr>
          <w:rFonts w:ascii="Verdana" w:hAnsi="Verdana" w:cs="Arial"/>
        </w:rPr>
      </w:pPr>
    </w:p>
    <w:p w14:paraId="32FE90A1" w14:textId="77777777" w:rsidR="00CB1894" w:rsidRDefault="00CF0804" w:rsidP="00CB1894">
      <w:pPr>
        <w:tabs>
          <w:tab w:val="left" w:pos="2361"/>
        </w:tabs>
        <w:spacing w:after="0" w:line="276" w:lineRule="auto"/>
        <w:ind w:firstLine="708"/>
        <w:jc w:val="both"/>
        <w:rPr>
          <w:rFonts w:ascii="Verdana" w:hAnsi="Verdana" w:cs="Arial"/>
        </w:rPr>
      </w:pPr>
      <w:r w:rsidRPr="00CF0804">
        <w:rPr>
          <w:rFonts w:ascii="Verdana" w:hAnsi="Verdana" w:cs="Arial"/>
        </w:rPr>
        <w:t xml:space="preserve">Así las cosas, ante un proceso de contratación adelantado en los meses previos al periodo de restricciones, las entidades deben distinguir si los trámites que se proyecta realizar después de la </w:t>
      </w:r>
      <w:proofErr w:type="gramStart"/>
      <w:r w:rsidRPr="00CF0804">
        <w:rPr>
          <w:rFonts w:ascii="Verdana" w:hAnsi="Verdana" w:cs="Arial"/>
        </w:rPr>
        <w:t>entrada en vigencia</w:t>
      </w:r>
      <w:proofErr w:type="gramEnd"/>
      <w:r w:rsidRPr="00CF0804">
        <w:rPr>
          <w:rFonts w:ascii="Verdana" w:hAnsi="Verdana" w:cs="Arial"/>
        </w:rPr>
        <w:t xml:space="preserve"> de las restricciones</w:t>
      </w:r>
      <w:r w:rsidR="00CB1894">
        <w:rPr>
          <w:rFonts w:ascii="Verdana" w:hAnsi="Verdana" w:cs="Arial"/>
        </w:rPr>
        <w:t xml:space="preserve"> </w:t>
      </w:r>
      <w:r w:rsidR="00CB1894" w:rsidRPr="00CB1894">
        <w:rPr>
          <w:rFonts w:ascii="Verdana" w:hAnsi="Verdana" w:cs="Arial"/>
        </w:rPr>
        <w:t xml:space="preserve">de Ley de Garantías Electorales corresponden a requisitos de perfeccionamiento —que sí están sujetos a la prohibición del artículo 33— o a requisitos de ejecución, que no se encuentran alcanzados por dicha restricción. </w:t>
      </w:r>
    </w:p>
    <w:p w14:paraId="5BCB2D1B" w14:textId="77777777" w:rsidR="00CB1894" w:rsidRDefault="00CB1894" w:rsidP="00CB1894">
      <w:pPr>
        <w:tabs>
          <w:tab w:val="left" w:pos="2361"/>
        </w:tabs>
        <w:spacing w:after="0" w:line="276" w:lineRule="auto"/>
        <w:ind w:firstLine="708"/>
        <w:jc w:val="both"/>
        <w:rPr>
          <w:rFonts w:ascii="Verdana" w:hAnsi="Verdana" w:cs="Arial"/>
        </w:rPr>
      </w:pPr>
    </w:p>
    <w:p w14:paraId="6E73A9A5" w14:textId="6AFF3618" w:rsidR="00CF0804" w:rsidRPr="00CB1894" w:rsidRDefault="00CB1894" w:rsidP="00CB1894">
      <w:pPr>
        <w:tabs>
          <w:tab w:val="left" w:pos="2361"/>
        </w:tabs>
        <w:spacing w:after="0" w:line="276" w:lineRule="auto"/>
        <w:ind w:firstLine="708"/>
        <w:jc w:val="both"/>
        <w:rPr>
          <w:rFonts w:ascii="Verdana" w:hAnsi="Verdana" w:cs="Arial"/>
        </w:rPr>
      </w:pPr>
      <w:r w:rsidRPr="00CB1894">
        <w:rPr>
          <w:rFonts w:ascii="Verdana" w:hAnsi="Verdana" w:cs="Arial"/>
        </w:rPr>
        <w:t>En cuanto a los requisitos de perfeccionamiento, el artículo 41 de la Ley 80 de 1993 es claro al exigir: i) acuerdo sobre el objeto del contrato; ii) acuerdo sobre la contraprestación; y iii) elevación del contrato a escrito. Estos elementos son indispensables para que el contrato exista jurídicamente y no pueden completarse tratándose de contratos de prestación de servicios una vez entre en vigencia de la Ley de Garantías Electorales. En consecuencia, para la fecha de inicio de la restricción debió haberse cumplido con todos estos requisitos para que el contrato sea válido.</w:t>
      </w:r>
    </w:p>
    <w:p w14:paraId="42907BDD" w14:textId="5C7FE6BB" w:rsidR="00CF0804" w:rsidRDefault="00CB1894" w:rsidP="00F346CC">
      <w:pPr>
        <w:tabs>
          <w:tab w:val="left" w:pos="2361"/>
        </w:tabs>
        <w:spacing w:after="0" w:line="276" w:lineRule="auto"/>
        <w:ind w:firstLine="708"/>
        <w:jc w:val="both"/>
        <w:rPr>
          <w:rFonts w:ascii="Verdana" w:hAnsi="Verdana" w:cs="Arial"/>
          <w:lang w:val="es-ES"/>
        </w:rPr>
      </w:pPr>
      <w:r w:rsidRPr="00CB1894">
        <w:rPr>
          <w:rFonts w:ascii="Verdana" w:hAnsi="Verdana" w:cs="Arial"/>
        </w:rPr>
        <w:t xml:space="preserve">Por otro lado, los requisitos de ejecución, que se realizan posterior al perfeccionamiento, comprenden: i) la aprobación de las garantías exigidas contractualmente; ii) la expedición del correspondiente registro presupuestal </w:t>
      </w:r>
      <w:r w:rsidRPr="00CB1894">
        <w:rPr>
          <w:rFonts w:ascii="Verdana" w:hAnsi="Verdana" w:cs="Arial"/>
        </w:rPr>
        <w:lastRenderedPageBreak/>
        <w:t>(RP) y; iii) la acreditación del cumplimiento de las obligaciones con el Sistema de Seguridad Social Integral, cuando resulte aplicable. Por ello, es jurídicamente admisible que estos requisitos de ejecución se surtan después del inicio de la vigencia de la Ley de Garantías Electorales, siempre que el perfeccionamiento del contrato —es decir, su celebración— haya ocurrido antes del inicio del periodo de restricciones.</w:t>
      </w:r>
    </w:p>
    <w:p w14:paraId="01BD1DD3" w14:textId="77777777" w:rsidR="00CF0804" w:rsidRDefault="00CF0804" w:rsidP="00F346CC">
      <w:pPr>
        <w:tabs>
          <w:tab w:val="left" w:pos="2361"/>
        </w:tabs>
        <w:spacing w:after="0" w:line="276" w:lineRule="auto"/>
        <w:ind w:firstLine="708"/>
        <w:jc w:val="both"/>
        <w:rPr>
          <w:rFonts w:ascii="Verdana" w:hAnsi="Verdana" w:cs="Arial"/>
          <w:lang w:val="es-ES"/>
        </w:rPr>
      </w:pPr>
    </w:p>
    <w:p w14:paraId="2EE2DFA7" w14:textId="163B6D88" w:rsidR="00CF0804" w:rsidRDefault="00E95F77" w:rsidP="00E95F77">
      <w:pPr>
        <w:tabs>
          <w:tab w:val="left" w:pos="2361"/>
        </w:tabs>
        <w:spacing w:after="0" w:line="276" w:lineRule="auto"/>
        <w:jc w:val="both"/>
        <w:rPr>
          <w:rFonts w:ascii="Verdana" w:hAnsi="Verdana" w:cs="Arial"/>
          <w:lang w:val="es-ES"/>
        </w:rPr>
      </w:pPr>
      <w:r w:rsidRPr="00E95F77">
        <w:rPr>
          <w:rFonts w:ascii="Verdana" w:hAnsi="Verdana" w:cs="Arial"/>
        </w:rPr>
        <w:t>iv. 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5BBD159" w14:textId="77777777" w:rsidR="00CF0804" w:rsidRDefault="00CF0804" w:rsidP="00F346CC">
      <w:pPr>
        <w:tabs>
          <w:tab w:val="left" w:pos="2361"/>
        </w:tabs>
        <w:spacing w:after="0" w:line="276" w:lineRule="auto"/>
        <w:ind w:firstLine="708"/>
        <w:jc w:val="both"/>
        <w:rPr>
          <w:rFonts w:ascii="Verdana" w:hAnsi="Verdana" w:cs="Arial"/>
          <w:lang w:val="es-ES"/>
        </w:rPr>
      </w:pPr>
    </w:p>
    <w:p w14:paraId="3066A80E" w14:textId="35A0BE23" w:rsidR="00CF0804" w:rsidRDefault="00E95F77" w:rsidP="00F346CC">
      <w:pPr>
        <w:tabs>
          <w:tab w:val="left" w:pos="2361"/>
        </w:tabs>
        <w:spacing w:after="0" w:line="276" w:lineRule="auto"/>
        <w:ind w:firstLine="708"/>
        <w:jc w:val="both"/>
        <w:rPr>
          <w:rFonts w:ascii="Verdana" w:hAnsi="Verdana" w:cs="Arial"/>
          <w:lang w:val="es-ES"/>
        </w:rPr>
      </w:pPr>
      <w:r w:rsidRPr="00E95F77">
        <w:rPr>
          <w:rFonts w:ascii="Verdana" w:hAnsi="Verdana" w:cs="Ari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w:t>
      </w:r>
      <w:r>
        <w:rPr>
          <w:rFonts w:ascii="Verdana" w:hAnsi="Verdana" w:cs="Arial"/>
        </w:rPr>
        <w:t xml:space="preserve"> </w:t>
      </w:r>
      <w:r w:rsidRPr="00E95F77">
        <w:rPr>
          <w:rFonts w:ascii="Verdana" w:hAnsi="Verdana" w:cs="Arial"/>
        </w:rPr>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574DE16" w14:textId="77777777" w:rsidR="00CF0804" w:rsidRDefault="00CF0804" w:rsidP="00F346CC">
      <w:pPr>
        <w:tabs>
          <w:tab w:val="left" w:pos="2361"/>
        </w:tabs>
        <w:spacing w:after="0" w:line="276" w:lineRule="auto"/>
        <w:ind w:firstLine="708"/>
        <w:jc w:val="both"/>
        <w:rPr>
          <w:rFonts w:ascii="Verdana" w:hAnsi="Verdana" w:cs="Arial"/>
          <w:lang w:val="es-ES"/>
        </w:rPr>
      </w:pPr>
    </w:p>
    <w:p w14:paraId="48D174CF" w14:textId="77777777" w:rsidR="00CF0804" w:rsidRDefault="00CF0804" w:rsidP="00F346CC">
      <w:pPr>
        <w:tabs>
          <w:tab w:val="left" w:pos="2361"/>
        </w:tabs>
        <w:spacing w:after="0" w:line="276" w:lineRule="auto"/>
        <w:ind w:firstLine="708"/>
        <w:jc w:val="both"/>
        <w:rPr>
          <w:rFonts w:ascii="Verdana" w:hAnsi="Verdana" w:cs="Arial"/>
          <w:lang w:val="es-ES"/>
        </w:rPr>
      </w:pPr>
    </w:p>
    <w:p w14:paraId="5D2D04BC" w14:textId="77777777" w:rsidR="00900F28" w:rsidRPr="003769D2" w:rsidRDefault="00900F28" w:rsidP="00871B59">
      <w:pPr>
        <w:widowControl w:val="0"/>
        <w:autoSpaceDE w:val="0"/>
        <w:autoSpaceDN w:val="0"/>
        <w:spacing w:after="0" w:line="276" w:lineRule="auto"/>
        <w:jc w:val="both"/>
        <w:rPr>
          <w:rFonts w:ascii="Verdana" w:hAnsi="Verdana" w:cs="Arial"/>
        </w:rPr>
      </w:pPr>
    </w:p>
    <w:p w14:paraId="53133908" w14:textId="77777777" w:rsidR="00871B59" w:rsidRPr="00E95F77"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E95F77">
        <w:rPr>
          <w:rFonts w:ascii="Verdana" w:eastAsia="Century Gothic" w:hAnsi="Verdana" w:cs="Century Gothic"/>
          <w:b/>
          <w:bCs/>
          <w:lang w:val="es-ES"/>
        </w:rPr>
        <w:t>Referencias normativas, jurisprudenciales y otras fuentes:</w:t>
      </w:r>
    </w:p>
    <w:p w14:paraId="237FD993" w14:textId="77777777" w:rsidR="00871B59" w:rsidRPr="00E95F77"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150F7C2A" w14:textId="77777777" w:rsidTr="002607A7">
        <w:trPr>
          <w:trHeight w:val="870"/>
        </w:trPr>
        <w:tc>
          <w:tcPr>
            <w:tcW w:w="8647" w:type="dxa"/>
          </w:tcPr>
          <w:p w14:paraId="2D6B051B" w14:textId="77777777" w:rsidR="00524DB1" w:rsidRDefault="004D1446" w:rsidP="00524DB1">
            <w:pPr>
              <w:widowControl w:val="0"/>
              <w:numPr>
                <w:ilvl w:val="0"/>
                <w:numId w:val="8"/>
              </w:numPr>
              <w:tabs>
                <w:tab w:val="num" w:pos="720"/>
              </w:tabs>
              <w:autoSpaceDE w:val="0"/>
              <w:autoSpaceDN w:val="0"/>
              <w:spacing w:after="120" w:line="276" w:lineRule="auto"/>
              <w:jc w:val="both"/>
              <w:rPr>
                <w:rFonts w:ascii="Verdana" w:hAnsi="Verdana" w:cs="Arial"/>
              </w:rPr>
            </w:pPr>
            <w:r w:rsidRPr="004D1446">
              <w:rPr>
                <w:rFonts w:ascii="Verdana" w:hAnsi="Verdana" w:cs="Arial"/>
              </w:rPr>
              <w:t>Ley 996 de 2005, artículos 33 y 38.</w:t>
            </w:r>
          </w:p>
          <w:p w14:paraId="1DA14848" w14:textId="77777777" w:rsidR="004D1446" w:rsidRDefault="0007598A" w:rsidP="00524DB1">
            <w:pPr>
              <w:widowControl w:val="0"/>
              <w:numPr>
                <w:ilvl w:val="0"/>
                <w:numId w:val="8"/>
              </w:numPr>
              <w:tabs>
                <w:tab w:val="num" w:pos="720"/>
              </w:tabs>
              <w:autoSpaceDE w:val="0"/>
              <w:autoSpaceDN w:val="0"/>
              <w:spacing w:after="120" w:line="276" w:lineRule="auto"/>
              <w:jc w:val="both"/>
              <w:rPr>
                <w:rFonts w:ascii="Verdana" w:hAnsi="Verdana" w:cs="Arial"/>
              </w:rPr>
            </w:pPr>
            <w:r w:rsidRPr="0007598A">
              <w:rPr>
                <w:rFonts w:ascii="Verdana" w:hAnsi="Verdana" w:cs="Arial"/>
              </w:rPr>
              <w:t>Corte Constitucional. Sentencias: C-233 de 4 de abril de 2002, expediente: D-3704; C-551 de 9 de julio de 2003, expediente: CRF-001 de 9 de julio de 2003, C-652 de 5 de agosto de 2003, expediente: D 4330; C-353 de 20 de mayo de 2009, expediente: D-7518, C-541 de 30 de junio de 2010, expediente: DD7966; entre otras.</w:t>
            </w:r>
          </w:p>
          <w:p w14:paraId="1B87A0BC" w14:textId="77777777" w:rsidR="0007598A" w:rsidRDefault="0007598A" w:rsidP="00524DB1">
            <w:pPr>
              <w:widowControl w:val="0"/>
              <w:numPr>
                <w:ilvl w:val="0"/>
                <w:numId w:val="8"/>
              </w:numPr>
              <w:tabs>
                <w:tab w:val="num" w:pos="720"/>
              </w:tabs>
              <w:autoSpaceDE w:val="0"/>
              <w:autoSpaceDN w:val="0"/>
              <w:spacing w:after="120" w:line="276" w:lineRule="auto"/>
              <w:jc w:val="both"/>
              <w:rPr>
                <w:rFonts w:ascii="Verdana" w:hAnsi="Verdana" w:cs="Arial"/>
              </w:rPr>
            </w:pPr>
            <w:r w:rsidRPr="0007598A">
              <w:rPr>
                <w:rFonts w:ascii="Verdana" w:hAnsi="Verdana" w:cs="Arial"/>
              </w:rPr>
              <w:lastRenderedPageBreak/>
              <w:t>Consejo de Estado, Sala de lo Contencioso Administrativo, Sección Primera. Sentencia de 3 de marzo de 2005, expediente número 2004 00823-01(PI).</w:t>
            </w:r>
          </w:p>
          <w:p w14:paraId="0A7BDC10" w14:textId="77777777" w:rsidR="0007598A" w:rsidRDefault="0007598A" w:rsidP="00524DB1">
            <w:pPr>
              <w:widowControl w:val="0"/>
              <w:numPr>
                <w:ilvl w:val="0"/>
                <w:numId w:val="8"/>
              </w:numPr>
              <w:tabs>
                <w:tab w:val="num" w:pos="720"/>
              </w:tabs>
              <w:autoSpaceDE w:val="0"/>
              <w:autoSpaceDN w:val="0"/>
              <w:spacing w:after="120" w:line="276" w:lineRule="auto"/>
              <w:jc w:val="both"/>
              <w:rPr>
                <w:rFonts w:ascii="Verdana" w:hAnsi="Verdana" w:cs="Arial"/>
              </w:rPr>
            </w:pPr>
            <w:r w:rsidRPr="0007598A">
              <w:rPr>
                <w:rFonts w:ascii="Verdana" w:hAnsi="Verdana" w:cs="Arial"/>
              </w:rPr>
              <w:t>Consejo de Estado, Sala de lo Contencioso Administrativo, Sección Primera. Sentencia de 3 de marzo de 2005, expediente número 2004 00823-01(PI). Ver también, de la Sección Tercera. Sentencia de 22 de enero de 2002, expediente número 2001-0148-01 y, Sección Tercera. Sentencia de 20 de noviembre de 2001, expediente número 2001-0130 01(PI), entre otras.</w:t>
            </w:r>
          </w:p>
          <w:p w14:paraId="76FE1FE9" w14:textId="77777777" w:rsidR="0007598A" w:rsidRDefault="0007598A" w:rsidP="00524DB1">
            <w:pPr>
              <w:widowControl w:val="0"/>
              <w:numPr>
                <w:ilvl w:val="0"/>
                <w:numId w:val="8"/>
              </w:numPr>
              <w:tabs>
                <w:tab w:val="num" w:pos="720"/>
              </w:tabs>
              <w:autoSpaceDE w:val="0"/>
              <w:autoSpaceDN w:val="0"/>
              <w:spacing w:after="120" w:line="276" w:lineRule="auto"/>
              <w:jc w:val="both"/>
              <w:rPr>
                <w:rFonts w:ascii="Verdana" w:hAnsi="Verdana" w:cs="Arial"/>
              </w:rPr>
            </w:pPr>
            <w:r w:rsidRPr="0007598A">
              <w:rPr>
                <w:rFonts w:ascii="Verdana" w:hAnsi="Verdana" w:cs="Arial"/>
              </w:rPr>
              <w:t>Consejo de Estado, Sala de Consulta y Servicio Civil de fecha 24 de julio de 2013, radicado 2166, C. P. Álvaro Namén Vargas.</w:t>
            </w:r>
          </w:p>
          <w:p w14:paraId="4EC421F6" w14:textId="77777777" w:rsidR="0007598A" w:rsidRDefault="0007598A" w:rsidP="00524DB1">
            <w:pPr>
              <w:widowControl w:val="0"/>
              <w:numPr>
                <w:ilvl w:val="0"/>
                <w:numId w:val="8"/>
              </w:numPr>
              <w:tabs>
                <w:tab w:val="num" w:pos="720"/>
              </w:tabs>
              <w:autoSpaceDE w:val="0"/>
              <w:autoSpaceDN w:val="0"/>
              <w:spacing w:after="120" w:line="276" w:lineRule="auto"/>
              <w:jc w:val="both"/>
              <w:rPr>
                <w:rFonts w:ascii="Verdana" w:hAnsi="Verdana" w:cs="Arial"/>
              </w:rPr>
            </w:pPr>
            <w:r w:rsidRPr="0007598A">
              <w:rPr>
                <w:rFonts w:ascii="Verdana" w:hAnsi="Verdana" w:cs="Arial"/>
              </w:rPr>
              <w:t>Consejo de Estado. Sección Tercera. Sentencia de 3 de diciembre de 2007. Radicados: 24.715, 25.206, 25.409, 24.524, 27.834, 25.410, 26.105, 28.244, 31.447 -acumulados</w:t>
            </w:r>
          </w:p>
          <w:p w14:paraId="4E22C7DA" w14:textId="77777777" w:rsidR="0007598A" w:rsidRDefault="0007598A" w:rsidP="00524DB1">
            <w:pPr>
              <w:widowControl w:val="0"/>
              <w:numPr>
                <w:ilvl w:val="0"/>
                <w:numId w:val="8"/>
              </w:numPr>
              <w:tabs>
                <w:tab w:val="num" w:pos="720"/>
              </w:tabs>
              <w:autoSpaceDE w:val="0"/>
              <w:autoSpaceDN w:val="0"/>
              <w:spacing w:after="120" w:line="276" w:lineRule="auto"/>
              <w:jc w:val="both"/>
              <w:rPr>
                <w:rFonts w:ascii="Verdana" w:hAnsi="Verdana" w:cs="Arial"/>
              </w:rPr>
            </w:pPr>
            <w:r w:rsidRPr="0007598A">
              <w:rPr>
                <w:rFonts w:ascii="Verdana" w:hAnsi="Verdana" w:cs="Arial"/>
              </w:rPr>
              <w:t xml:space="preserve">Consejo de Estado, Sala de Consulta y Servicio Civil de fecha 24 de julio de 2013, radicado 2166, </w:t>
            </w:r>
            <w:proofErr w:type="gramStart"/>
            <w:r w:rsidRPr="0007598A">
              <w:rPr>
                <w:rFonts w:ascii="Verdana" w:hAnsi="Verdana" w:cs="Arial"/>
              </w:rPr>
              <w:t>Consejero</w:t>
            </w:r>
            <w:proofErr w:type="gramEnd"/>
            <w:r w:rsidRPr="0007598A">
              <w:rPr>
                <w:rFonts w:ascii="Verdana" w:hAnsi="Verdana" w:cs="Arial"/>
              </w:rPr>
              <w:t xml:space="preserve"> Ponente: Álvaro Namén Vargas.</w:t>
            </w:r>
          </w:p>
          <w:p w14:paraId="6F1216E3" w14:textId="77777777" w:rsidR="00D50666" w:rsidRDefault="00D50666" w:rsidP="00524DB1">
            <w:pPr>
              <w:widowControl w:val="0"/>
              <w:numPr>
                <w:ilvl w:val="0"/>
                <w:numId w:val="8"/>
              </w:numPr>
              <w:tabs>
                <w:tab w:val="num" w:pos="720"/>
              </w:tabs>
              <w:autoSpaceDE w:val="0"/>
              <w:autoSpaceDN w:val="0"/>
              <w:spacing w:after="120" w:line="276" w:lineRule="auto"/>
              <w:jc w:val="both"/>
              <w:rPr>
                <w:rFonts w:ascii="Verdana" w:hAnsi="Verdana" w:cs="Arial"/>
              </w:rPr>
            </w:pPr>
            <w:r w:rsidRPr="00D50666">
              <w:rPr>
                <w:rFonts w:ascii="Verdana" w:hAnsi="Verdana" w:cs="Arial"/>
              </w:rPr>
              <w:t>Consejo de Estado. Sala de Consulta y Servicio Civil. Concepto del 17 de febrero de 2015. C.P. William Zambrano Cetina. Radicación No. 11001 03-06-000-2015-00164-00(2269).</w:t>
            </w:r>
          </w:p>
          <w:p w14:paraId="0944B41F" w14:textId="77777777" w:rsidR="00D50666" w:rsidRDefault="00D50666" w:rsidP="00524DB1">
            <w:pPr>
              <w:widowControl w:val="0"/>
              <w:numPr>
                <w:ilvl w:val="0"/>
                <w:numId w:val="8"/>
              </w:numPr>
              <w:tabs>
                <w:tab w:val="num" w:pos="720"/>
              </w:tabs>
              <w:autoSpaceDE w:val="0"/>
              <w:autoSpaceDN w:val="0"/>
              <w:spacing w:after="120" w:line="276" w:lineRule="auto"/>
              <w:jc w:val="both"/>
              <w:rPr>
                <w:rFonts w:ascii="Verdana" w:hAnsi="Verdana" w:cs="Arial"/>
              </w:rPr>
            </w:pPr>
            <w:r w:rsidRPr="00D50666">
              <w:rPr>
                <w:rFonts w:ascii="Verdana" w:hAnsi="Verdana" w:cs="Arial"/>
              </w:rPr>
              <w:t>Corte Constitucional, en la Sentencia C-1153 del 11 de noviembre de 2005 Magistrado Ponente Marco Gerardo Monroy Cabra</w:t>
            </w:r>
          </w:p>
          <w:p w14:paraId="0497C558" w14:textId="77777777" w:rsidR="00D50666" w:rsidRDefault="00D50666" w:rsidP="00524DB1">
            <w:pPr>
              <w:widowControl w:val="0"/>
              <w:numPr>
                <w:ilvl w:val="0"/>
                <w:numId w:val="8"/>
              </w:numPr>
              <w:tabs>
                <w:tab w:val="num" w:pos="720"/>
              </w:tabs>
              <w:autoSpaceDE w:val="0"/>
              <w:autoSpaceDN w:val="0"/>
              <w:spacing w:after="120" w:line="276" w:lineRule="auto"/>
              <w:jc w:val="both"/>
              <w:rPr>
                <w:rFonts w:ascii="Verdana" w:hAnsi="Verdana" w:cs="Arial"/>
              </w:rPr>
            </w:pPr>
            <w:r w:rsidRPr="00D50666">
              <w:rPr>
                <w:rFonts w:ascii="Verdana" w:hAnsi="Verdana" w:cs="Arial"/>
              </w:rPr>
              <w:t>Consejo de Estado. Sección Tercera. Sentencia de 3 de diciembre de</w:t>
            </w:r>
            <w:r>
              <w:rPr>
                <w:rFonts w:ascii="Verdana" w:hAnsi="Verdana" w:cs="Arial"/>
              </w:rPr>
              <w:t xml:space="preserve"> </w:t>
            </w:r>
            <w:r w:rsidRPr="00D50666">
              <w:rPr>
                <w:rFonts w:ascii="Verdana" w:hAnsi="Verdana" w:cs="Arial"/>
              </w:rPr>
              <w:t>2007. Radicados: 24.715, 25.206, 25.409, 24.524, 27.834, 25.410, 26.105, 28.244, 31.447 -acumulados-”.</w:t>
            </w:r>
          </w:p>
          <w:p w14:paraId="6D8EA8FF" w14:textId="77777777" w:rsidR="00D50666" w:rsidRDefault="00D50666" w:rsidP="00524DB1">
            <w:pPr>
              <w:widowControl w:val="0"/>
              <w:numPr>
                <w:ilvl w:val="0"/>
                <w:numId w:val="8"/>
              </w:numPr>
              <w:tabs>
                <w:tab w:val="num" w:pos="720"/>
              </w:tabs>
              <w:autoSpaceDE w:val="0"/>
              <w:autoSpaceDN w:val="0"/>
              <w:spacing w:after="120" w:line="276" w:lineRule="auto"/>
              <w:jc w:val="both"/>
              <w:rPr>
                <w:rFonts w:ascii="Verdana" w:hAnsi="Verdana" w:cs="Arial"/>
              </w:rPr>
            </w:pPr>
            <w:r w:rsidRPr="00D50666">
              <w:rPr>
                <w:rFonts w:ascii="Verdana" w:hAnsi="Verdana" w:cs="Arial"/>
              </w:rPr>
              <w:t>Consejo de Estado Sala de Consulta y Servicio Civil, Concepto 1712 de 2 de febrero de 2006.</w:t>
            </w:r>
          </w:p>
          <w:p w14:paraId="271E69A5" w14:textId="77777777" w:rsidR="009B5EF9" w:rsidRDefault="009B5EF9"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B5EF9">
              <w:rPr>
                <w:rFonts w:ascii="Verdana" w:hAnsi="Verdana" w:cs="Arial"/>
              </w:rPr>
              <w:t>Consejo de Estado. Sala de Consulta y Servicio Civil. Concepto del 2 de septiembre de 2013. Radicación número: 11001-03-06-000-2013 00412-00 (2168). Consejero Ponente: Álvaro Namén Vargas</w:t>
            </w:r>
          </w:p>
          <w:p w14:paraId="4CD361AF" w14:textId="77777777" w:rsidR="009B5EF9" w:rsidRDefault="009B5EF9"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B5EF9">
              <w:rPr>
                <w:rFonts w:ascii="Verdana" w:hAnsi="Verdana" w:cs="Arial"/>
              </w:rPr>
              <w:t>Consejo de Estado. Sala de Consulta y Servicio Civil, Concepto de 8 de mayo de 2018. Radicación Número: 11001-03-06-000-2018-00095 00(2382). Consejero Ponente: Álvaro Namén Vargas</w:t>
            </w:r>
          </w:p>
          <w:p w14:paraId="0F5BA3E0" w14:textId="77777777" w:rsidR="009B5EF9" w:rsidRDefault="009B5EF9"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B5EF9">
              <w:rPr>
                <w:rFonts w:ascii="Verdana" w:hAnsi="Verdana" w:cs="Arial"/>
              </w:rPr>
              <w:t>artículo 860 del Código de Comercio</w:t>
            </w:r>
          </w:p>
          <w:p w14:paraId="19255B83" w14:textId="77777777" w:rsidR="009B5EF9" w:rsidRDefault="009B5EF9"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B5EF9">
              <w:rPr>
                <w:rFonts w:ascii="Verdana" w:hAnsi="Verdana" w:cs="Arial"/>
              </w:rPr>
              <w:lastRenderedPageBreak/>
              <w:t xml:space="preserve">Consejo de Estado. Sala de Consulta y Servicio Civil. Concepto del 08 de mayo de 2018. </w:t>
            </w:r>
            <w:proofErr w:type="spellStart"/>
            <w:r w:rsidRPr="009B5EF9">
              <w:rPr>
                <w:rFonts w:ascii="Verdana" w:hAnsi="Verdana" w:cs="Arial"/>
              </w:rPr>
              <w:t>Exp</w:t>
            </w:r>
            <w:proofErr w:type="spellEnd"/>
            <w:r w:rsidRPr="009B5EF9">
              <w:rPr>
                <w:rFonts w:ascii="Verdana" w:hAnsi="Verdana" w:cs="Arial"/>
              </w:rPr>
              <w:t>. 2.382. C.P. Álvaro Namén Vargas.</w:t>
            </w:r>
          </w:p>
          <w:p w14:paraId="54004BAF" w14:textId="77777777" w:rsidR="009B5EF9" w:rsidRDefault="009B5EF9"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B5EF9">
              <w:rPr>
                <w:rFonts w:ascii="Verdana" w:hAnsi="Verdana" w:cs="Arial"/>
              </w:rPr>
              <w:t>Consejo de Estado. Sala de Consulta y Servicio Civil. Concepto de 20 de febrero de 2006. Radicación Número: 11001-03-06-000-2006-00026 00(1727). Consejero Ponente: Enrique José Arboleda Perdomo.</w:t>
            </w:r>
          </w:p>
          <w:p w14:paraId="03B3401E" w14:textId="77777777" w:rsidR="009B5EF9" w:rsidRDefault="009B5EF9" w:rsidP="00524DB1">
            <w:pPr>
              <w:widowControl w:val="0"/>
              <w:numPr>
                <w:ilvl w:val="0"/>
                <w:numId w:val="8"/>
              </w:numPr>
              <w:tabs>
                <w:tab w:val="num" w:pos="720"/>
              </w:tabs>
              <w:autoSpaceDE w:val="0"/>
              <w:autoSpaceDN w:val="0"/>
              <w:spacing w:after="120" w:line="276" w:lineRule="auto"/>
              <w:jc w:val="both"/>
              <w:rPr>
                <w:rFonts w:ascii="Verdana" w:hAnsi="Verdana" w:cs="Arial"/>
              </w:rPr>
            </w:pPr>
            <w:r w:rsidRPr="009B5EF9">
              <w:rPr>
                <w:rFonts w:ascii="Verdana" w:hAnsi="Verdana" w:cs="Arial"/>
              </w:rPr>
              <w:t>Corte Constitucional. Sentencia C-736 de 2007. C.P. Marco Gerardo Monroy Cabra</w:t>
            </w:r>
          </w:p>
          <w:p w14:paraId="1A537531" w14:textId="77777777" w:rsidR="002303F7" w:rsidRDefault="002303F7" w:rsidP="00524DB1">
            <w:pPr>
              <w:widowControl w:val="0"/>
              <w:numPr>
                <w:ilvl w:val="0"/>
                <w:numId w:val="8"/>
              </w:numPr>
              <w:tabs>
                <w:tab w:val="num" w:pos="720"/>
              </w:tabs>
              <w:autoSpaceDE w:val="0"/>
              <w:autoSpaceDN w:val="0"/>
              <w:spacing w:after="120" w:line="276" w:lineRule="auto"/>
              <w:jc w:val="both"/>
              <w:rPr>
                <w:rFonts w:ascii="Verdana" w:hAnsi="Verdana" w:cs="Arial"/>
              </w:rPr>
            </w:pPr>
            <w:r w:rsidRPr="002303F7">
              <w:rPr>
                <w:rFonts w:ascii="Verdana" w:hAnsi="Verdana" w:cs="Arial"/>
              </w:rPr>
              <w:t>Consejo de Estado -Sección Tercera-. Sentencia del 21 de febrero de 2025. Radicación Número: 68.280. CP: José Roberto Sáchica Méndez.</w:t>
            </w:r>
          </w:p>
          <w:p w14:paraId="40296932" w14:textId="77777777" w:rsidR="002303F7" w:rsidRDefault="002303F7" w:rsidP="00524DB1">
            <w:pPr>
              <w:widowControl w:val="0"/>
              <w:numPr>
                <w:ilvl w:val="0"/>
                <w:numId w:val="8"/>
              </w:numPr>
              <w:tabs>
                <w:tab w:val="num" w:pos="720"/>
              </w:tabs>
              <w:autoSpaceDE w:val="0"/>
              <w:autoSpaceDN w:val="0"/>
              <w:spacing w:after="120" w:line="276" w:lineRule="auto"/>
              <w:jc w:val="both"/>
              <w:rPr>
                <w:rFonts w:ascii="Verdana" w:hAnsi="Verdana" w:cs="Arial"/>
              </w:rPr>
            </w:pPr>
            <w:r w:rsidRPr="002303F7">
              <w:rPr>
                <w:rFonts w:ascii="Verdana" w:hAnsi="Verdana" w:cs="Arial"/>
              </w:rPr>
              <w:t xml:space="preserve">Consejo de Estado, Sección Tercera. Auto del 4 de octubre de 2024. </w:t>
            </w:r>
            <w:proofErr w:type="spellStart"/>
            <w:r w:rsidRPr="002303F7">
              <w:rPr>
                <w:rFonts w:ascii="Verdana" w:hAnsi="Verdana" w:cs="Arial"/>
              </w:rPr>
              <w:t>Exp</w:t>
            </w:r>
            <w:proofErr w:type="spellEnd"/>
            <w:r w:rsidRPr="002303F7">
              <w:rPr>
                <w:rFonts w:ascii="Verdana" w:hAnsi="Verdana" w:cs="Arial"/>
              </w:rPr>
              <w:t>. 70.313. C.P: Fredy Ibarra Martínez.</w:t>
            </w:r>
          </w:p>
          <w:p w14:paraId="6ACEA7FD" w14:textId="72BCAD56" w:rsidR="002303F7" w:rsidRPr="00E95F77" w:rsidRDefault="002303F7" w:rsidP="00524DB1">
            <w:pPr>
              <w:widowControl w:val="0"/>
              <w:numPr>
                <w:ilvl w:val="0"/>
                <w:numId w:val="8"/>
              </w:numPr>
              <w:tabs>
                <w:tab w:val="num" w:pos="720"/>
              </w:tabs>
              <w:autoSpaceDE w:val="0"/>
              <w:autoSpaceDN w:val="0"/>
              <w:spacing w:after="120" w:line="276" w:lineRule="auto"/>
              <w:jc w:val="both"/>
              <w:rPr>
                <w:rFonts w:ascii="Verdana" w:hAnsi="Verdana" w:cs="Arial"/>
              </w:rPr>
            </w:pPr>
            <w:r w:rsidRPr="002303F7">
              <w:rPr>
                <w:rFonts w:ascii="Verdana" w:hAnsi="Verdana" w:cs="Arial"/>
              </w:rPr>
              <w:t>Consejo de Estado. Sala de lo Contencioso Administrativo. Sección Tercera. Subsección B. 17 de octubre de 2025. Magistrado Ponente: Fredy Ibarra Martínez.</w:t>
            </w:r>
          </w:p>
        </w:tc>
      </w:tr>
    </w:tbl>
    <w:p w14:paraId="0E1B166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0380BCB" w14:textId="77777777"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24DB1">
        <w:rPr>
          <w:rFonts w:ascii="Verdana" w:eastAsia="Century Gothic" w:hAnsi="Verdana" w:cs="Century Gothic"/>
          <w:b/>
          <w:bCs/>
          <w:lang w:val="es-ES"/>
        </w:rPr>
        <w:t>Doctrina de la Agencia Nacional de Contratación Pública:</w:t>
      </w:r>
    </w:p>
    <w:p w14:paraId="3F99748B" w14:textId="77777777" w:rsidR="002303F7" w:rsidRDefault="002303F7"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p>
    <w:p w14:paraId="03BF1B7B" w14:textId="0706538E" w:rsidR="002303F7" w:rsidRDefault="002303F7" w:rsidP="002303F7">
      <w:pPr>
        <w:tabs>
          <w:tab w:val="left" w:pos="142"/>
          <w:tab w:val="left" w:pos="284"/>
        </w:tabs>
        <w:spacing w:after="0" w:line="276" w:lineRule="auto"/>
        <w:jc w:val="both"/>
        <w:rPr>
          <w:rFonts w:ascii="Verdana" w:eastAsia="Century Gothic" w:hAnsi="Verdana" w:cs="Century Gothic"/>
        </w:rPr>
      </w:pPr>
      <w:r w:rsidRPr="002303F7">
        <w:rPr>
          <w:rFonts w:ascii="Verdana" w:eastAsia="Century Gothic" w:hAnsi="Verdana" w:cs="Century Gothic"/>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w:t>
      </w:r>
      <w:r w:rsidR="00105DE7">
        <w:rPr>
          <w:rFonts w:ascii="Verdana" w:eastAsia="Century Gothic" w:hAnsi="Verdana" w:cs="Century Gothic"/>
        </w:rPr>
        <w:t xml:space="preserve"> </w:t>
      </w:r>
      <w:r w:rsidR="00105DE7" w:rsidRPr="00105DE7">
        <w:rPr>
          <w:rFonts w:ascii="Verdana" w:eastAsia="Century Gothic" w:hAnsi="Verdana" w:cs="Century Gothic"/>
        </w:rPr>
        <w:t xml:space="preserve">abril de 2022, C-161 del 17 de mayo de 2022, C- 180 del 21 de marzo de 2025, C-696 del 11 de julio de 2025, C-708 del 15 de julio de 2025, C-1186 del 17 de septiembre de 2025, C-1350 del 1˚ de octubre de 2025, C-1430 del 12 de noviembre del 2025, C-1661 del 22 de diciembre del 2025. Estos conceptos se encuentran disponibles para consulta en el Sistema de relatoría de la Agencia, al cual puede accederse a través del siguiente </w:t>
      </w:r>
      <w:hyperlink r:id="rId13" w:history="1">
        <w:r w:rsidR="00105DE7" w:rsidRPr="00105DE7">
          <w:rPr>
            <w:rStyle w:val="Hipervnculo"/>
            <w:rFonts w:ascii="Verdana" w:eastAsia="Century Gothic" w:hAnsi="Verdana" w:cs="Century Gothic"/>
            <w:color w:val="0000FF"/>
          </w:rPr>
          <w:t>https://relatoria.colombiacompra.gov.co/busqueda/conceptos</w:t>
        </w:r>
      </w:hyperlink>
      <w:r w:rsidR="00105DE7" w:rsidRPr="00105DE7">
        <w:rPr>
          <w:rFonts w:ascii="Verdana" w:eastAsia="Century Gothic" w:hAnsi="Verdana" w:cs="Century Gothic"/>
          <w:color w:val="0000FF"/>
        </w:rPr>
        <w:t xml:space="preserve">. </w:t>
      </w:r>
    </w:p>
    <w:p w14:paraId="5232D0D3" w14:textId="77777777" w:rsidR="00105DE7" w:rsidRPr="002303F7" w:rsidRDefault="00105DE7" w:rsidP="002303F7">
      <w:pPr>
        <w:tabs>
          <w:tab w:val="left" w:pos="142"/>
          <w:tab w:val="left" w:pos="284"/>
        </w:tabs>
        <w:spacing w:after="0" w:line="276" w:lineRule="auto"/>
        <w:jc w:val="both"/>
        <w:rPr>
          <w:rFonts w:ascii="Verdana" w:eastAsia="Century Gothic" w:hAnsi="Verdana" w:cs="Century Gothic"/>
          <w:lang w:val="es-ES"/>
        </w:rPr>
      </w:pPr>
    </w:p>
    <w:p w14:paraId="1570ED43" w14:textId="3886BCAB" w:rsidR="008815E5" w:rsidRPr="003E2460" w:rsidRDefault="008815E5" w:rsidP="008815E5">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284AF384" w14:textId="77777777" w:rsidR="008815E5" w:rsidRPr="003E2460" w:rsidRDefault="008815E5" w:rsidP="008815E5">
      <w:pPr>
        <w:spacing w:after="0" w:line="240" w:lineRule="auto"/>
        <w:jc w:val="both"/>
        <w:rPr>
          <w:rFonts w:ascii="Verdana" w:hAnsi="Verdana"/>
        </w:rPr>
      </w:pPr>
    </w:p>
    <w:p w14:paraId="5E6CD010" w14:textId="77777777" w:rsidR="008815E5" w:rsidRPr="003E2460" w:rsidRDefault="008815E5" w:rsidP="008815E5">
      <w:pPr>
        <w:spacing w:after="0" w:line="240" w:lineRule="auto"/>
        <w:jc w:val="both"/>
        <w:rPr>
          <w:rFonts w:ascii="Verdana" w:hAnsi="Verdana"/>
        </w:rPr>
      </w:pPr>
      <w:r w:rsidRPr="003E2460">
        <w:rPr>
          <w:rFonts w:ascii="Verdana" w:hAnsi="Verdana"/>
        </w:rPr>
        <w:t xml:space="preserve">Twitter: </w:t>
      </w:r>
      <w:r w:rsidRPr="00105DE7">
        <w:rPr>
          <w:rStyle w:val="Hipervnculo"/>
          <w:rFonts w:ascii="Verdana" w:hAnsi="Verdana"/>
          <w:color w:val="0000FF"/>
        </w:rPr>
        <w:t>@colombiacompra</w:t>
      </w:r>
      <w:r w:rsidRPr="00105DE7">
        <w:rPr>
          <w:rFonts w:ascii="Verdana" w:hAnsi="Verdana"/>
          <w:color w:val="0000FF"/>
        </w:rPr>
        <w:t xml:space="preserve"> </w:t>
      </w:r>
    </w:p>
    <w:p w14:paraId="0F76F019" w14:textId="77777777" w:rsidR="008815E5" w:rsidRPr="003E2460" w:rsidRDefault="008815E5" w:rsidP="1F9252E4">
      <w:pPr>
        <w:spacing w:after="0" w:line="240" w:lineRule="auto"/>
        <w:jc w:val="both"/>
        <w:rPr>
          <w:rFonts w:ascii="Verdana" w:hAnsi="Verdana"/>
        </w:rPr>
      </w:pPr>
      <w:r w:rsidRPr="1F9252E4">
        <w:rPr>
          <w:rFonts w:ascii="Verdana" w:hAnsi="Verdana"/>
        </w:rPr>
        <w:lastRenderedPageBreak/>
        <w:t xml:space="preserve">Facebook: </w:t>
      </w:r>
      <w:proofErr w:type="spellStart"/>
      <w:r w:rsidRPr="00105DE7">
        <w:rPr>
          <w:rStyle w:val="Hipervnculo"/>
          <w:rFonts w:ascii="Verdana" w:hAnsi="Verdana"/>
          <w:color w:val="0000FF"/>
        </w:rPr>
        <w:t>ColombiaCompraEficiente</w:t>
      </w:r>
      <w:proofErr w:type="spellEnd"/>
    </w:p>
    <w:p w14:paraId="60E5B357" w14:textId="77777777" w:rsidR="008815E5" w:rsidRPr="00105DE7" w:rsidRDefault="008815E5" w:rsidP="008815E5">
      <w:pPr>
        <w:spacing w:after="0" w:line="240" w:lineRule="auto"/>
        <w:jc w:val="both"/>
        <w:rPr>
          <w:rFonts w:ascii="Verdana" w:hAnsi="Verdana"/>
          <w:color w:val="0000FF"/>
        </w:rPr>
      </w:pPr>
      <w:r w:rsidRPr="003E2460">
        <w:rPr>
          <w:rFonts w:ascii="Verdana" w:hAnsi="Verdana"/>
        </w:rPr>
        <w:t xml:space="preserve">LinkedIn: </w:t>
      </w:r>
      <w:r w:rsidRPr="00105DE7">
        <w:rPr>
          <w:rStyle w:val="Hipervnculo"/>
          <w:rFonts w:ascii="Verdana" w:hAnsi="Verdana"/>
          <w:color w:val="0000FF"/>
        </w:rPr>
        <w:t>Agencia Nacional de Contratación Pública - Colombia Compra Eficiente</w:t>
      </w:r>
      <w:r w:rsidRPr="00105DE7">
        <w:rPr>
          <w:rFonts w:ascii="Verdana" w:hAnsi="Verdana"/>
          <w:color w:val="0000FF"/>
        </w:rPr>
        <w:t xml:space="preserve"> </w:t>
      </w:r>
      <w:r w:rsidRPr="003E2460">
        <w:rPr>
          <w:rFonts w:ascii="Verdana" w:hAnsi="Verdana"/>
        </w:rPr>
        <w:t xml:space="preserve">Instagram: </w:t>
      </w:r>
      <w:r w:rsidRPr="00105DE7">
        <w:rPr>
          <w:rStyle w:val="Hipervnculo"/>
          <w:rFonts w:ascii="Verdana" w:hAnsi="Verdana"/>
          <w:color w:val="0000FF"/>
        </w:rPr>
        <w:t>@colombiacompraeficiente_cce</w:t>
      </w:r>
    </w:p>
    <w:p w14:paraId="6980ECB3" w14:textId="77777777" w:rsidR="00871B59" w:rsidRPr="00593A5F" w:rsidRDefault="00871B59" w:rsidP="00871B59">
      <w:pPr>
        <w:widowControl w:val="0"/>
        <w:autoSpaceDE w:val="0"/>
        <w:autoSpaceDN w:val="0"/>
        <w:spacing w:after="0" w:line="276" w:lineRule="auto"/>
        <w:jc w:val="both"/>
        <w:rPr>
          <w:rFonts w:ascii="Verdana" w:hAnsi="Verdana" w:cs="Arial"/>
        </w:rPr>
      </w:pPr>
    </w:p>
    <w:p w14:paraId="120572E9" w14:textId="77777777" w:rsidR="00871B59" w:rsidRPr="00593A5F" w:rsidRDefault="00871B59" w:rsidP="00871B5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6160CFD" w14:textId="77777777" w:rsidR="00871B59" w:rsidRPr="00593A5F" w:rsidRDefault="00871B59" w:rsidP="00871B59">
      <w:pPr>
        <w:widowControl w:val="0"/>
        <w:autoSpaceDE w:val="0"/>
        <w:autoSpaceDN w:val="0"/>
        <w:spacing w:after="0" w:line="276" w:lineRule="auto"/>
        <w:jc w:val="both"/>
        <w:rPr>
          <w:rFonts w:ascii="Verdana" w:hAnsi="Verdana" w:cs="Arial"/>
        </w:rPr>
      </w:pPr>
    </w:p>
    <w:p w14:paraId="46FD3687" w14:textId="77777777" w:rsidR="00871B59" w:rsidRPr="00593A5F" w:rsidRDefault="00871B59" w:rsidP="00871B5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B21B32E" w14:textId="42E51747" w:rsidR="00871B59" w:rsidRDefault="008E2851" w:rsidP="00871B59">
      <w:pPr>
        <w:spacing w:line="276" w:lineRule="auto"/>
        <w:jc w:val="center"/>
        <w:rPr>
          <w:rFonts w:ascii="Verdana" w:hAnsi="Verdana"/>
          <w:noProof/>
        </w:rPr>
      </w:pPr>
      <w:r w:rsidRPr="00C81F21">
        <w:rPr>
          <w:rFonts w:ascii="Verdana" w:hAnsi="Verdana"/>
          <w:noProof/>
          <w:sz w:val="20"/>
          <w:szCs w:val="20"/>
        </w:rPr>
        <w:drawing>
          <wp:inline distT="0" distB="0" distL="0" distR="0" wp14:anchorId="69BACA3E" wp14:editId="3DEDA95B">
            <wp:extent cx="3512534" cy="1390650"/>
            <wp:effectExtent l="0" t="0" r="0" b="0"/>
            <wp:docPr id="1165130946"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130946" name="Imagen 2" descr="Texto&#10;&#10;El contenido generado por IA puede ser incorrect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14332" cy="1391362"/>
                    </a:xfrm>
                    <a:prstGeom prst="rect">
                      <a:avLst/>
                    </a:prstGeom>
                    <a:noFill/>
                    <a:ln>
                      <a:noFill/>
                    </a:ln>
                  </pic:spPr>
                </pic:pic>
              </a:graphicData>
            </a:graphic>
          </wp:inline>
        </w:drawing>
      </w:r>
      <w:r w:rsidR="00105DE7">
        <w:rPr>
          <w:rFonts w:ascii="Verdana" w:hAnsi="Verdana"/>
          <w:noProof/>
        </w:rPr>
        <w:t xml:space="preserve"> </w:t>
      </w:r>
    </w:p>
    <w:p w14:paraId="1619CA96" w14:textId="77777777" w:rsidR="00105DE7" w:rsidRPr="00593A5F" w:rsidRDefault="00105DE7" w:rsidP="00871B59">
      <w:pPr>
        <w:spacing w:line="276" w:lineRule="auto"/>
        <w:jc w:val="center"/>
        <w:rPr>
          <w:rFonts w:ascii="Verdana" w:hAnsi="Verdana" w:cs="Arial"/>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0C0179" w14:paraId="2A20789D" w14:textId="77777777" w:rsidTr="1F9252E4">
        <w:trPr>
          <w:trHeight w:val="315"/>
        </w:trPr>
        <w:tc>
          <w:tcPr>
            <w:tcW w:w="893" w:type="dxa"/>
            <w:vAlign w:val="center"/>
            <w:hideMark/>
          </w:tcPr>
          <w:p w14:paraId="56E3D94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E128207" w14:textId="71FC5517" w:rsidR="00871B59" w:rsidRPr="000C0179" w:rsidRDefault="00BD722F" w:rsidP="1F9252E4">
            <w:pPr>
              <w:contextualSpacing/>
              <w:rPr>
                <w:rFonts w:ascii="Verdana" w:eastAsia="Arial" w:hAnsi="Verdana" w:cs="Arial"/>
                <w:sz w:val="16"/>
                <w:szCs w:val="16"/>
              </w:rPr>
            </w:pPr>
            <w:r w:rsidRPr="000C0179">
              <w:rPr>
                <w:rFonts w:ascii="Verdana" w:eastAsia="Arial" w:hAnsi="Verdana" w:cs="Arial"/>
                <w:sz w:val="16"/>
                <w:szCs w:val="16"/>
              </w:rPr>
              <w:t>Andrea Camila Polo Paz</w:t>
            </w:r>
          </w:p>
          <w:p w14:paraId="27134A92" w14:textId="30C7584F" w:rsidR="00871B59" w:rsidRPr="000C0179" w:rsidRDefault="00BD722F" w:rsidP="1F9252E4">
            <w:pPr>
              <w:contextualSpacing/>
              <w:rPr>
                <w:rFonts w:ascii="Verdana" w:eastAsia="Arial" w:hAnsi="Verdana" w:cs="Arial"/>
                <w:sz w:val="16"/>
                <w:szCs w:val="16"/>
              </w:rPr>
            </w:pPr>
            <w:r w:rsidRPr="000C0179">
              <w:rPr>
                <w:rStyle w:val="normaltextrun"/>
                <w:rFonts w:ascii="Verdana" w:eastAsia="Arial" w:hAnsi="Verdana" w:cs="Arial"/>
                <w:sz w:val="16"/>
                <w:szCs w:val="16"/>
              </w:rPr>
              <w:t>Analista T02-1</w:t>
            </w:r>
            <w:r w:rsidR="00871B59" w:rsidRPr="000C0179">
              <w:rPr>
                <w:rStyle w:val="normaltextrun"/>
                <w:rFonts w:ascii="Verdana" w:eastAsia="Arial" w:hAnsi="Verdana" w:cs="Arial"/>
                <w:sz w:val="16"/>
                <w:szCs w:val="16"/>
              </w:rPr>
              <w:t xml:space="preserve"> de la Subdirección de Gestión Contractual</w:t>
            </w:r>
          </w:p>
        </w:tc>
      </w:tr>
      <w:tr w:rsidR="00871B59" w:rsidRPr="000C0179" w14:paraId="409BBACC" w14:textId="77777777" w:rsidTr="1F9252E4">
        <w:trPr>
          <w:trHeight w:val="330"/>
        </w:trPr>
        <w:tc>
          <w:tcPr>
            <w:tcW w:w="893" w:type="dxa"/>
            <w:vAlign w:val="center"/>
            <w:hideMark/>
          </w:tcPr>
          <w:p w14:paraId="3ABFF401"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DEBF57F" w14:textId="0663211A" w:rsidR="00BD722F" w:rsidRPr="000C0179" w:rsidRDefault="000C0179" w:rsidP="002607A7">
            <w:pPr>
              <w:pStyle w:val="paragraph"/>
              <w:spacing w:before="0" w:beforeAutospacing="0" w:after="0" w:afterAutospacing="0"/>
              <w:contextualSpacing/>
              <w:textAlignment w:val="baseline"/>
              <w:rPr>
                <w:rStyle w:val="normaltextrun"/>
                <w:rFonts w:ascii="Verdana" w:hAnsi="Verdana" w:cs="Arial"/>
                <w:sz w:val="16"/>
                <w:szCs w:val="16"/>
                <w:lang w:val="es-ES"/>
              </w:rPr>
            </w:pPr>
            <w:r w:rsidRPr="000C0179">
              <w:rPr>
                <w:rStyle w:val="normaltextrun"/>
                <w:rFonts w:ascii="Verdana" w:hAnsi="Verdana" w:cs="Arial"/>
                <w:sz w:val="16"/>
                <w:szCs w:val="16"/>
                <w:lang w:val="es-ES"/>
              </w:rPr>
              <w:t>Dian</w:t>
            </w:r>
            <w:r w:rsidR="00363E49">
              <w:rPr>
                <w:rStyle w:val="normaltextrun"/>
                <w:rFonts w:ascii="Verdana" w:hAnsi="Verdana" w:cs="Arial"/>
                <w:sz w:val="16"/>
                <w:szCs w:val="16"/>
                <w:lang w:val="es-ES"/>
              </w:rPr>
              <w:t xml:space="preserve">a Lucia </w:t>
            </w:r>
            <w:r w:rsidRPr="000C0179">
              <w:rPr>
                <w:rStyle w:val="normaltextrun"/>
                <w:rFonts w:ascii="Verdana" w:hAnsi="Verdana" w:cs="Arial"/>
                <w:sz w:val="16"/>
                <w:szCs w:val="16"/>
                <w:lang w:val="es-ES"/>
              </w:rPr>
              <w:t>Saavedra</w:t>
            </w:r>
            <w:r w:rsidR="00363E49">
              <w:rPr>
                <w:rStyle w:val="normaltextrun"/>
                <w:rFonts w:ascii="Verdana" w:hAnsi="Verdana" w:cs="Arial"/>
                <w:sz w:val="16"/>
                <w:szCs w:val="16"/>
                <w:lang w:val="es-ES"/>
              </w:rPr>
              <w:t xml:space="preserve"> Castañeda</w:t>
            </w:r>
          </w:p>
          <w:p w14:paraId="408B71DB" w14:textId="50612EAC" w:rsidR="00871B59" w:rsidRPr="000C0179" w:rsidRDefault="000C0179" w:rsidP="002607A7">
            <w:pPr>
              <w:pStyle w:val="paragraph"/>
              <w:spacing w:before="0" w:beforeAutospacing="0" w:after="0" w:afterAutospacing="0"/>
              <w:contextualSpacing/>
              <w:textAlignment w:val="baseline"/>
              <w:rPr>
                <w:rFonts w:ascii="Verdana" w:hAnsi="Verdana" w:cs="Segoe UI"/>
                <w:sz w:val="16"/>
                <w:szCs w:val="16"/>
              </w:rPr>
            </w:pPr>
            <w:r w:rsidRPr="000C0179">
              <w:rPr>
                <w:rStyle w:val="normaltextrun"/>
                <w:rFonts w:ascii="Verdana" w:hAnsi="Verdana" w:cs="Arial"/>
                <w:sz w:val="16"/>
                <w:szCs w:val="16"/>
                <w:lang w:val="es-ES"/>
              </w:rPr>
              <w:t xml:space="preserve">Contratista </w:t>
            </w:r>
            <w:r w:rsidR="00871B59" w:rsidRPr="000C0179">
              <w:rPr>
                <w:rStyle w:val="normaltextrun"/>
                <w:rFonts w:ascii="Verdana" w:hAnsi="Verdana" w:cs="Arial"/>
                <w:sz w:val="16"/>
                <w:szCs w:val="16"/>
                <w:lang w:val="es-ES"/>
              </w:rPr>
              <w:t>de la Subdirección de Gestión Contractual</w:t>
            </w:r>
            <w:r w:rsidR="00871B59" w:rsidRPr="000C0179">
              <w:rPr>
                <w:rStyle w:val="eop"/>
                <w:rFonts w:ascii="Verdana" w:hAnsi="Verdana" w:cs="Arial"/>
                <w:sz w:val="16"/>
                <w:szCs w:val="16"/>
              </w:rPr>
              <w:t> </w:t>
            </w:r>
          </w:p>
        </w:tc>
      </w:tr>
      <w:tr w:rsidR="00871B59" w:rsidRPr="000C0179" w14:paraId="2A81CFC8" w14:textId="77777777" w:rsidTr="1F9252E4">
        <w:trPr>
          <w:trHeight w:val="300"/>
        </w:trPr>
        <w:tc>
          <w:tcPr>
            <w:tcW w:w="893" w:type="dxa"/>
            <w:vAlign w:val="center"/>
          </w:tcPr>
          <w:p w14:paraId="3159EE97" w14:textId="77777777" w:rsidR="00871B59" w:rsidRPr="003751C7" w:rsidRDefault="00871B59" w:rsidP="002607A7">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0C0179" w:rsidRDefault="00871B59" w:rsidP="002607A7">
            <w:pPr>
              <w:contextualSpacing/>
              <w:rPr>
                <w:rFonts w:ascii="Verdana" w:eastAsia="Calibri" w:hAnsi="Verdana" w:cs="Arial"/>
                <w:sz w:val="16"/>
                <w:szCs w:val="16"/>
                <w:lang w:val="pt-BR" w:eastAsia="es-ES"/>
              </w:rPr>
            </w:pPr>
            <w:r w:rsidRPr="000C0179">
              <w:rPr>
                <w:rFonts w:ascii="Verdana" w:eastAsia="Calibri" w:hAnsi="Verdana" w:cs="Arial"/>
                <w:sz w:val="16"/>
                <w:szCs w:val="16"/>
                <w:lang w:val="pt-BR" w:eastAsia="es-ES"/>
              </w:rPr>
              <w:t>Carolina Quintero Gacharná</w:t>
            </w:r>
          </w:p>
          <w:p w14:paraId="6EE38C14" w14:textId="77777777" w:rsidR="00871B59" w:rsidRPr="000C0179" w:rsidRDefault="00871B59" w:rsidP="002607A7">
            <w:pPr>
              <w:contextualSpacing/>
              <w:rPr>
                <w:rFonts w:ascii="Verdana" w:eastAsia="Calibri" w:hAnsi="Verdana" w:cs="Arial"/>
                <w:sz w:val="16"/>
                <w:szCs w:val="16"/>
                <w:lang w:val="pt-BR" w:eastAsia="es-ES"/>
              </w:rPr>
            </w:pPr>
            <w:r w:rsidRPr="000C0179">
              <w:rPr>
                <w:rFonts w:ascii="Verdana" w:eastAsia="Calibri" w:hAnsi="Verdana" w:cs="Arial"/>
                <w:sz w:val="16"/>
                <w:szCs w:val="16"/>
                <w:lang w:eastAsia="es-ES"/>
              </w:rPr>
              <w:t>Subdirectora</w:t>
            </w:r>
            <w:r w:rsidRPr="000C0179">
              <w:rPr>
                <w:rFonts w:ascii="Verdana" w:eastAsia="Calibri" w:hAnsi="Verdana" w:cs="Arial"/>
                <w:sz w:val="16"/>
                <w:szCs w:val="16"/>
                <w:lang w:val="pt-BR" w:eastAsia="es-ES"/>
              </w:rPr>
              <w:t xml:space="preserve"> de Gestión Contractual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E4B2CB" w14:textId="77777777" w:rsidR="00292017" w:rsidRDefault="00292017" w:rsidP="00B30448">
      <w:pPr>
        <w:spacing w:after="0" w:line="240" w:lineRule="auto"/>
      </w:pPr>
      <w:r>
        <w:separator/>
      </w:r>
    </w:p>
  </w:endnote>
  <w:endnote w:type="continuationSeparator" w:id="0">
    <w:p w14:paraId="13A63B1A" w14:textId="77777777" w:rsidR="00292017" w:rsidRDefault="00292017" w:rsidP="00B30448">
      <w:pPr>
        <w:spacing w:after="0" w:line="240" w:lineRule="auto"/>
      </w:pPr>
      <w:r>
        <w:continuationSeparator/>
      </w:r>
    </w:p>
  </w:endnote>
  <w:endnote w:type="continuationNotice" w:id="1">
    <w:p w14:paraId="13F46DBC" w14:textId="77777777" w:rsidR="00292017" w:rsidRDefault="0029201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Light">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E4930A" w14:textId="4937BE98" w:rsidR="00924606" w:rsidRDefault="00924606">
    <w:pPr>
      <w:pStyle w:val="Piedepgina"/>
    </w:pPr>
  </w:p>
  <w:p w14:paraId="769219E2" w14:textId="0E7AD052"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846512" w14:textId="77777777" w:rsidR="00292017" w:rsidRDefault="00292017" w:rsidP="00B30448">
      <w:pPr>
        <w:spacing w:after="0" w:line="240" w:lineRule="auto"/>
      </w:pPr>
      <w:r>
        <w:separator/>
      </w:r>
    </w:p>
  </w:footnote>
  <w:footnote w:type="continuationSeparator" w:id="0">
    <w:p w14:paraId="22A37FB8" w14:textId="77777777" w:rsidR="00292017" w:rsidRDefault="00292017" w:rsidP="00B30448">
      <w:pPr>
        <w:spacing w:after="0" w:line="240" w:lineRule="auto"/>
      </w:pPr>
      <w:r>
        <w:continuationSeparator/>
      </w:r>
    </w:p>
  </w:footnote>
  <w:footnote w:type="continuationNotice" w:id="1">
    <w:p w14:paraId="1BBBDAE7" w14:textId="77777777" w:rsidR="00292017" w:rsidRDefault="00292017">
      <w:pPr>
        <w:spacing w:after="0" w:line="240" w:lineRule="auto"/>
      </w:pPr>
    </w:p>
  </w:footnote>
  <w:footnote w:id="2">
    <w:p w14:paraId="7213259C" w14:textId="418577F0" w:rsidR="00924606" w:rsidRPr="00924606" w:rsidRDefault="00924606">
      <w:pPr>
        <w:pStyle w:val="Textonotapie"/>
        <w:rPr>
          <w:lang w:val="es-419"/>
        </w:rPr>
      </w:pPr>
      <w:r>
        <w:rPr>
          <w:rStyle w:val="Refdenotaalpie"/>
        </w:rPr>
        <w:footnoteRef/>
      </w:r>
      <w:r>
        <w:t xml:space="preserve"> </w:t>
      </w:r>
      <w:r>
        <w:rPr>
          <w:rFonts w:ascii="Verdana" w:hAnsi="Verdana" w:cs="Arial"/>
          <w:sz w:val="18"/>
          <w:szCs w:val="18"/>
        </w:rPr>
        <w:t>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3">
    <w:p w14:paraId="5F0AFAFB" w14:textId="721EB3DF" w:rsidR="00924606" w:rsidRPr="00924606" w:rsidRDefault="00924606">
      <w:pPr>
        <w:pStyle w:val="Textonotapie"/>
        <w:rPr>
          <w:lang w:val="es-419"/>
        </w:rPr>
      </w:pPr>
      <w:r>
        <w:rPr>
          <w:rStyle w:val="Refdenotaalpie"/>
        </w:rPr>
        <w:footnoteRef/>
      </w:r>
      <w:r>
        <w:t xml:space="preserve"> </w:t>
      </w:r>
      <w:r>
        <w:rPr>
          <w:rFonts w:ascii="Verdana" w:hAnsi="Verdana" w:cs="Arial"/>
          <w:sz w:val="18"/>
          <w:szCs w:val="18"/>
        </w:rPr>
        <w:t>Consejo de Estado, Sala de lo Contencioso Administrativo, Sección Primera. Sentencia de 3 de marzo de 2005, expediente número 2004-00823-01(PI). Ver también, de la Sección Tercera. Sentencia de 22 de enero de 2002, expediente número 2001-0148-01 y, Sección Tercera.</w:t>
      </w:r>
    </w:p>
  </w:footnote>
  <w:footnote w:id="4">
    <w:p w14:paraId="067A70F1" w14:textId="36447544" w:rsidR="00924606" w:rsidRPr="00924606" w:rsidRDefault="00924606">
      <w:pPr>
        <w:pStyle w:val="Textonotapie"/>
        <w:rPr>
          <w:lang w:val="es-419"/>
        </w:rPr>
      </w:pPr>
      <w:r>
        <w:rPr>
          <w:rStyle w:val="Refdenotaalpie"/>
        </w:rPr>
        <w:footnoteRef/>
      </w:r>
      <w:r>
        <w:t xml:space="preserve"> </w:t>
      </w:r>
      <w:r>
        <w:rPr>
          <w:rFonts w:ascii="Verdana" w:hAnsi="Verdana" w:cs="Arial"/>
          <w:sz w:val="18"/>
          <w:szCs w:val="18"/>
        </w:rPr>
        <w:t xml:space="preserve">Consejo de Estado, Sala de Consulta y Servicio Civil de fecha 24 de julio de 2013, radicado 2166, Consejero Ponente: Álvaro Namén Vargas.  </w:t>
      </w:r>
    </w:p>
  </w:footnote>
  <w:footnote w:id="5">
    <w:p w14:paraId="788CBC25" w14:textId="77777777" w:rsidR="00213139" w:rsidRPr="00CB394B" w:rsidRDefault="00213139" w:rsidP="00213139">
      <w:pPr>
        <w:spacing w:line="240" w:lineRule="auto"/>
        <w:ind w:firstLine="709"/>
        <w:contextualSpacing/>
        <w:jc w:val="both"/>
        <w:rPr>
          <w:rFonts w:ascii="Verdana" w:eastAsia="Times New Roman" w:hAnsi="Verdana" w:cs="Arial"/>
          <w:sz w:val="16"/>
          <w:szCs w:val="16"/>
        </w:rPr>
      </w:pPr>
      <w:r>
        <w:rPr>
          <w:rStyle w:val="Refdenotaalpie"/>
        </w:rPr>
        <w:footnoteRef/>
      </w:r>
      <w:r>
        <w:t xml:space="preserve"> </w:t>
      </w:r>
      <w:r w:rsidRPr="00CB394B">
        <w:rPr>
          <w:rFonts w:ascii="Verdana" w:eastAsia="Calibri" w:hAnsi="Verdana" w:cs="Arial"/>
          <w:color w:val="000000"/>
          <w:sz w:val="16"/>
          <w:szCs w:val="16"/>
        </w:rPr>
        <w:t>“</w:t>
      </w:r>
      <w:bookmarkStart w:id="1" w:name="33"/>
      <w:r w:rsidRPr="00CB394B">
        <w:rPr>
          <w:rFonts w:ascii="Verdana" w:eastAsia="Times New Roman" w:hAnsi="Verdana" w:cs="Arial"/>
          <w:sz w:val="16"/>
          <w:szCs w:val="16"/>
        </w:rPr>
        <w:t>Artículo 33. Restricciones a la contratación pública.</w:t>
      </w:r>
      <w:bookmarkEnd w:id="1"/>
      <w:r w:rsidRPr="00CB394B">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C5AE07A" w14:textId="76FE60BB" w:rsidR="00213139" w:rsidRPr="00CB394B" w:rsidRDefault="00213139" w:rsidP="00CB394B">
      <w:pPr>
        <w:spacing w:line="240" w:lineRule="auto"/>
        <w:ind w:firstLine="709"/>
        <w:contextualSpacing/>
        <w:jc w:val="both"/>
        <w:rPr>
          <w:rFonts w:ascii="Verdana" w:eastAsia="Times New Roman" w:hAnsi="Verdana" w:cs="Arial"/>
          <w:sz w:val="16"/>
          <w:szCs w:val="16"/>
        </w:rPr>
      </w:pPr>
      <w:r w:rsidRPr="00CB394B">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B394B">
        <w:rPr>
          <w:rFonts w:ascii="Verdana" w:eastAsia="Calibri" w:hAnsi="Verdana" w:cs="Arial"/>
          <w:color w:val="000000"/>
          <w:sz w:val="16"/>
          <w:szCs w:val="16"/>
        </w:rPr>
        <w:t>”</w:t>
      </w:r>
      <w:r w:rsidRPr="00CB394B">
        <w:rPr>
          <w:rFonts w:ascii="Verdana" w:eastAsia="Times New Roman" w:hAnsi="Verdana" w:cs="Arial"/>
          <w:sz w:val="16"/>
          <w:szCs w:val="16"/>
        </w:rPr>
        <w:t>.</w:t>
      </w:r>
    </w:p>
  </w:footnote>
  <w:footnote w:id="6">
    <w:p w14:paraId="7AB874E3" w14:textId="77777777" w:rsidR="00213139" w:rsidRPr="00A9253D" w:rsidRDefault="00213139" w:rsidP="00213139">
      <w:pPr>
        <w:pStyle w:val="NormalWeb"/>
        <w:spacing w:after="0"/>
        <w:ind w:firstLine="709"/>
        <w:contextualSpacing/>
        <w:jc w:val="both"/>
        <w:rPr>
          <w:rFonts w:ascii="Verdana" w:hAnsi="Verdana" w:cs="Arial"/>
          <w:sz w:val="16"/>
          <w:szCs w:val="16"/>
          <w:lang w:val="es-MX" w:eastAsia="es-CO"/>
        </w:rPr>
      </w:pPr>
      <w:r>
        <w:rPr>
          <w:rStyle w:val="Refdenotaalpie"/>
          <w:rFonts w:ascii="Verdana" w:hAnsi="Verdana" w:cs="Arial"/>
          <w:sz w:val="18"/>
          <w:szCs w:val="18"/>
        </w:rPr>
        <w:footnoteRef/>
      </w:r>
      <w:r>
        <w:rPr>
          <w:rFonts w:ascii="Verdana" w:hAnsi="Verdana" w:cs="Arial"/>
          <w:sz w:val="18"/>
          <w:szCs w:val="18"/>
        </w:rPr>
        <w:t xml:space="preserve"> </w:t>
      </w:r>
      <w:r w:rsidRPr="00A9253D">
        <w:rPr>
          <w:rFonts w:ascii="Verdana" w:eastAsia="Calibri" w:hAnsi="Verdana" w:cs="Arial"/>
          <w:color w:val="000000"/>
          <w:sz w:val="16"/>
          <w:szCs w:val="16"/>
        </w:rPr>
        <w:t>“</w:t>
      </w:r>
      <w:bookmarkStart w:id="2" w:name="38"/>
      <w:r w:rsidRPr="00A9253D">
        <w:rPr>
          <w:rFonts w:ascii="Verdana" w:hAnsi="Verdana" w:cs="Arial"/>
          <w:sz w:val="16"/>
          <w:szCs w:val="16"/>
          <w:lang w:val="es-MX"/>
        </w:rPr>
        <w:t>Artículo 38. Prohibiciones para los servidores públicos. A los empleados del Estado les está prohibido:</w:t>
      </w:r>
      <w:bookmarkEnd w:id="2"/>
    </w:p>
    <w:p w14:paraId="1169345C" w14:textId="77777777" w:rsidR="00213139" w:rsidRPr="00A9253D" w:rsidRDefault="00213139" w:rsidP="00213139">
      <w:pPr>
        <w:pStyle w:val="NormalWeb"/>
        <w:spacing w:after="0"/>
        <w:ind w:firstLine="709"/>
        <w:contextualSpacing/>
        <w:jc w:val="both"/>
        <w:rPr>
          <w:rFonts w:ascii="Verdana" w:hAnsi="Verdana" w:cs="Arial"/>
          <w:sz w:val="16"/>
          <w:szCs w:val="16"/>
          <w:lang w:val="es-MX"/>
        </w:rPr>
      </w:pPr>
      <w:r w:rsidRPr="00A9253D">
        <w:rPr>
          <w:rFonts w:ascii="Verdana" w:hAnsi="Verdana" w:cs="Arial"/>
          <w:sz w:val="16"/>
          <w:szCs w:val="16"/>
          <w:lang w:val="es-MX"/>
        </w:rPr>
        <w:t>[…]</w:t>
      </w:r>
    </w:p>
    <w:p w14:paraId="0C0A65B2" w14:textId="77777777" w:rsidR="00213139" w:rsidRPr="00A9253D" w:rsidRDefault="00213139" w:rsidP="00213139">
      <w:pPr>
        <w:pStyle w:val="NormalWeb"/>
        <w:spacing w:after="0"/>
        <w:ind w:firstLine="709"/>
        <w:contextualSpacing/>
        <w:jc w:val="both"/>
        <w:rPr>
          <w:rFonts w:ascii="Verdana" w:hAnsi="Verdana" w:cs="Arial"/>
          <w:sz w:val="16"/>
          <w:szCs w:val="16"/>
          <w:lang w:val="es-MX"/>
        </w:rPr>
      </w:pPr>
      <w:r w:rsidRPr="00A9253D">
        <w:rPr>
          <w:rStyle w:val="baj"/>
          <w:rFonts w:ascii="Verdana" w:eastAsiaTheme="minorEastAsia" w:hAnsi="Verdana" w:cs="Arial"/>
          <w:sz w:val="16"/>
          <w:szCs w:val="16"/>
          <w:lang w:val="es-MX"/>
        </w:rPr>
        <w:t>Parágrafo.</w:t>
      </w:r>
      <w:r w:rsidRPr="00A9253D">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9253D">
        <w:rPr>
          <w:rFonts w:ascii="Verdana" w:eastAsia="Calibri" w:hAnsi="Verdana" w:cs="Arial"/>
          <w:color w:val="000000"/>
          <w:sz w:val="16"/>
          <w:szCs w:val="16"/>
        </w:rPr>
        <w:t>”</w:t>
      </w:r>
      <w:r w:rsidRPr="00A9253D">
        <w:rPr>
          <w:rFonts w:ascii="Verdana" w:hAnsi="Verdana" w:cs="Arial"/>
          <w:sz w:val="16"/>
          <w:szCs w:val="16"/>
          <w:lang w:val="es-MX"/>
        </w:rPr>
        <w:t>.</w:t>
      </w:r>
    </w:p>
  </w:footnote>
  <w:footnote w:id="7">
    <w:p w14:paraId="2BDA38C4" w14:textId="38D8B395" w:rsidR="00670F3D" w:rsidRDefault="00670F3D" w:rsidP="00A9253D">
      <w:pPr>
        <w:pStyle w:val="Textonotapie"/>
        <w:ind w:left="100"/>
      </w:pPr>
      <w:r w:rsidRPr="00A9253D">
        <w:rPr>
          <w:rStyle w:val="Refdenotaalpie"/>
          <w:rFonts w:ascii="Verdana" w:hAnsi="Verdana"/>
          <w:sz w:val="16"/>
          <w:szCs w:val="16"/>
        </w:rPr>
        <w:footnoteRef/>
      </w:r>
      <w:r w:rsidRPr="00A9253D">
        <w:rPr>
          <w:rFonts w:ascii="Verdana" w:hAnsi="Verdana"/>
          <w:sz w:val="16"/>
          <w:szCs w:val="16"/>
        </w:rPr>
        <w:t xml:space="preserve"> </w:t>
      </w:r>
      <w:r w:rsidR="00A9253D">
        <w:rPr>
          <w:rFonts w:ascii="Verdana" w:hAnsi="Verdana"/>
          <w:sz w:val="16"/>
          <w:szCs w:val="16"/>
        </w:rPr>
        <w:t xml:space="preserve">       </w:t>
      </w:r>
      <w:r w:rsidRPr="00A9253D">
        <w:rPr>
          <w:rFonts w:ascii="Verdana" w:hAnsi="Verdana"/>
          <w:sz w:val="16"/>
          <w:szCs w:val="16"/>
        </w:rPr>
        <w:t>“Artículo 32. Vinculación a la nómina estatal. Se suspenderá cualquier forma de vinculación que afecte la nómina estatal, en la Rama Ejecutiva del Poder Público, durante los cuatro (4) meses anteriores a la elección presidencial y hasta la realización de la segunda vuelta, si fuere el caso</w:t>
      </w:r>
      <w:r w:rsidR="00A9253D" w:rsidRPr="00A9253D">
        <w:rPr>
          <w:rFonts w:ascii="Verdana" w:hAnsi="Verdana"/>
          <w:sz w:val="16"/>
          <w:szCs w:val="16"/>
        </w:rPr>
        <w:t>. Se exceptúan de la presente disposición los casos a que se refiere el inciso segundo del artículo siguiente”</w:t>
      </w:r>
    </w:p>
  </w:footnote>
  <w:footnote w:id="8">
    <w:p w14:paraId="26A22E7A" w14:textId="77777777" w:rsidR="00213139" w:rsidRDefault="00213139" w:rsidP="00213139">
      <w:pPr>
        <w:spacing w:after="0" w:line="240" w:lineRule="auto"/>
        <w:ind w:left="100" w:right="244" w:firstLine="709"/>
        <w:contextualSpacing/>
        <w:jc w:val="both"/>
        <w:rPr>
          <w:rFonts w:ascii="Verdana" w:hAnsi="Verdana" w:cs="Arial"/>
          <w:sz w:val="18"/>
          <w:szCs w:val="18"/>
          <w:lang w:val="es-ES"/>
        </w:rPr>
      </w:pPr>
      <w:r>
        <w:rPr>
          <w:rStyle w:val="Refdenotaalpie"/>
          <w:rFonts w:ascii="Verdana" w:hAnsi="Verdana" w:cs="Arial"/>
          <w:sz w:val="18"/>
          <w:szCs w:val="18"/>
        </w:rPr>
        <w:footnoteRef/>
      </w:r>
      <w:r>
        <w:rPr>
          <w:rFonts w:ascii="Verdana" w:hAnsi="Verdana" w:cs="Arial"/>
          <w:sz w:val="18"/>
          <w:szCs w:val="18"/>
        </w:rPr>
        <w:t xml:space="preserve"> Consejo de Estado. Sala de Consulta y Servicio Civil. Concepto del 17 de febrero de 2015. C.P. William Zambrano Cetina. Radicación No. 11001-03-06-000-2015-00164-00(2269).</w:t>
      </w:r>
    </w:p>
  </w:footnote>
  <w:footnote w:id="9">
    <w:p w14:paraId="07B13141" w14:textId="77777777" w:rsidR="00213139" w:rsidRDefault="00213139" w:rsidP="00213139">
      <w:pPr>
        <w:pStyle w:val="Textonotapie"/>
        <w:ind w:right="51" w:firstLine="709"/>
        <w:jc w:val="both"/>
        <w:rPr>
          <w:rFonts w:ascii="Verdana" w:hAnsi="Verdana" w:cs="Arial"/>
          <w:sz w:val="18"/>
          <w:szCs w:val="18"/>
        </w:rPr>
      </w:pPr>
      <w:r>
        <w:rPr>
          <w:rStyle w:val="Refdenotaalpie"/>
          <w:rFonts w:ascii="Verdana" w:hAnsi="Verdana" w:cs="Arial"/>
          <w:sz w:val="18"/>
          <w:szCs w:val="18"/>
        </w:rPr>
        <w:footnoteRef/>
      </w:r>
      <w:r>
        <w:rPr>
          <w:rFonts w:ascii="Verdana" w:hAnsi="Verdana" w:cs="Arial"/>
          <w:sz w:val="18"/>
          <w:szCs w:val="18"/>
        </w:rPr>
        <w:t xml:space="preserve"> “</w:t>
      </w:r>
      <w:r>
        <w:rPr>
          <w:rFonts w:ascii="Verdana" w:hAnsi="Verdana" w:cs="Arial"/>
          <w:sz w:val="18"/>
          <w:szCs w:val="18"/>
          <w:lang w:val="es-ES"/>
        </w:rPr>
        <w:t xml:space="preserve">[25] </w:t>
      </w:r>
      <w:r>
        <w:rPr>
          <w:rFonts w:ascii="Verdana" w:hAnsi="Verdana" w:cs="Arial"/>
          <w:sz w:val="18"/>
          <w:szCs w:val="18"/>
        </w:rPr>
        <w:t>Cfr. Consejo de Estado. Sección Tercera. Sentencia de 3 de diciembre de 2007. Radicados: 24.715, 25.206, 25.409, 24.524, 27.834, 25.410, 26.105, 28.244, 31.447 -acumulados-”.</w:t>
      </w:r>
    </w:p>
  </w:footnote>
  <w:footnote w:id="10">
    <w:p w14:paraId="33BB2E94" w14:textId="77777777" w:rsidR="00213139" w:rsidRDefault="00213139" w:rsidP="00213139">
      <w:pPr>
        <w:pStyle w:val="Textonotapie"/>
        <w:ind w:right="51" w:firstLine="709"/>
        <w:jc w:val="both"/>
        <w:rPr>
          <w:rFonts w:ascii="Verdana" w:hAnsi="Verdana" w:cs="Arial"/>
          <w:sz w:val="18"/>
          <w:szCs w:val="18"/>
        </w:rPr>
      </w:pPr>
      <w:r>
        <w:rPr>
          <w:rStyle w:val="Refdenotaalpie"/>
          <w:rFonts w:ascii="Verdana" w:hAnsi="Verdana" w:cs="Arial"/>
          <w:sz w:val="18"/>
          <w:szCs w:val="18"/>
        </w:rPr>
        <w:footnoteRef/>
      </w:r>
      <w:r>
        <w:rPr>
          <w:rFonts w:ascii="Verdana" w:hAnsi="Verdana" w:cs="Arial"/>
          <w:sz w:val="18"/>
          <w:szCs w:val="18"/>
        </w:rPr>
        <w:t xml:space="preserve"> “</w:t>
      </w:r>
      <w:r>
        <w:rPr>
          <w:rFonts w:ascii="Verdana" w:hAnsi="Verdana" w:cs="Arial"/>
          <w:sz w:val="18"/>
          <w:szCs w:val="18"/>
          <w:lang w:val="es-ES"/>
        </w:rPr>
        <w:t xml:space="preserve">[26] </w:t>
      </w:r>
      <w:r>
        <w:rPr>
          <w:rFonts w:ascii="Verdana" w:hAnsi="Verdana" w:cs="Arial"/>
          <w:sz w:val="18"/>
          <w:szCs w:val="18"/>
        </w:rPr>
        <w:t>Al respecto ver el concepto 1712 de 2 de febrero de 2006. Consejo de Estado Sala de Consulta y Servicio Civil”.</w:t>
      </w:r>
    </w:p>
  </w:footnote>
  <w:footnote w:id="11">
    <w:p w14:paraId="2EF6C4CD" w14:textId="77777777" w:rsidR="00213139" w:rsidRDefault="00213139" w:rsidP="00213139">
      <w:pPr>
        <w:pStyle w:val="Textonotapie"/>
        <w:ind w:firstLine="709"/>
        <w:jc w:val="both"/>
        <w:rPr>
          <w:rFonts w:ascii="Verdana" w:hAnsi="Verdana" w:cs="Arial"/>
          <w:sz w:val="18"/>
          <w:szCs w:val="18"/>
        </w:rPr>
      </w:pPr>
      <w:r>
        <w:rPr>
          <w:rStyle w:val="Refdenotaalpie"/>
          <w:rFonts w:ascii="Verdana" w:hAnsi="Verdana" w:cs="Arial"/>
          <w:sz w:val="18"/>
          <w:szCs w:val="18"/>
        </w:rPr>
        <w:footnoteRef/>
      </w:r>
      <w:r>
        <w:rPr>
          <w:rFonts w:ascii="Verdana" w:hAnsi="Verdana" w:cs="Arial"/>
          <w:sz w:val="18"/>
          <w:szCs w:val="18"/>
        </w:rPr>
        <w:t xml:space="preserve"> Consejo de Estado. Sala de Consulta y Servicio Civil. Concepto del 2 de septiembre de 2013. Radicación número: 11001-03-06-000-2013-00412-00 (2168). Consejero Ponente: Álvaro Namén Vargas.</w:t>
      </w:r>
    </w:p>
  </w:footnote>
  <w:footnote w:id="12">
    <w:p w14:paraId="5501812F" w14:textId="77777777" w:rsidR="00213139" w:rsidRDefault="00213139" w:rsidP="00213139">
      <w:pPr>
        <w:pStyle w:val="Textonotapie"/>
        <w:ind w:firstLine="709"/>
        <w:jc w:val="both"/>
        <w:rPr>
          <w:rFonts w:ascii="Verdana" w:hAnsi="Verdana" w:cs="Arial"/>
          <w:sz w:val="18"/>
          <w:szCs w:val="18"/>
          <w:lang w:val="es-ES"/>
        </w:rPr>
      </w:pPr>
      <w:r>
        <w:rPr>
          <w:rStyle w:val="Refdenotaalpie"/>
          <w:rFonts w:ascii="Verdana" w:hAnsi="Verdana" w:cs="Arial"/>
          <w:sz w:val="18"/>
          <w:szCs w:val="18"/>
        </w:rPr>
        <w:footnoteRef/>
      </w:r>
      <w:r>
        <w:rPr>
          <w:rFonts w:ascii="Verdana" w:hAnsi="Verdana" w:cs="Arial"/>
          <w:sz w:val="18"/>
          <w:szCs w:val="18"/>
        </w:rPr>
        <w:t xml:space="preserve"> </w:t>
      </w:r>
      <w:r>
        <w:rPr>
          <w:rFonts w:ascii="Verdana" w:hAnsi="Verdana" w:cs="Arial"/>
          <w:sz w:val="18"/>
          <w:szCs w:val="18"/>
          <w:lang w:val="es-ES"/>
        </w:rPr>
        <w:t xml:space="preserve">Artículo 2. </w:t>
      </w:r>
    </w:p>
  </w:footnote>
  <w:footnote w:id="13">
    <w:p w14:paraId="35C5C403" w14:textId="77777777" w:rsidR="00213139" w:rsidRDefault="00213139" w:rsidP="00213139">
      <w:pPr>
        <w:pStyle w:val="Textonotapie"/>
        <w:ind w:firstLine="709"/>
        <w:jc w:val="both"/>
        <w:rPr>
          <w:rFonts w:ascii="Verdana" w:hAnsi="Verdana" w:cs="Arial"/>
          <w:sz w:val="18"/>
          <w:szCs w:val="18"/>
          <w:lang w:val="es-ES"/>
        </w:rPr>
      </w:pPr>
      <w:r>
        <w:rPr>
          <w:rStyle w:val="Refdenotaalpie"/>
          <w:rFonts w:ascii="Verdana" w:hAnsi="Verdana" w:cs="Arial"/>
          <w:sz w:val="18"/>
          <w:szCs w:val="18"/>
        </w:rPr>
        <w:footnoteRef/>
      </w:r>
      <w:r>
        <w:rPr>
          <w:rFonts w:ascii="Verdana" w:hAnsi="Verdana" w:cs="Arial"/>
          <w:sz w:val="18"/>
          <w:szCs w:val="18"/>
        </w:rPr>
        <w:t xml:space="preserve"> </w:t>
      </w:r>
      <w:r>
        <w:rPr>
          <w:rFonts w:ascii="Verdana" w:hAnsi="Verdana" w:cs="Arial"/>
          <w:i/>
          <w:sz w:val="18"/>
          <w:szCs w:val="18"/>
          <w:lang w:val="es-ES"/>
        </w:rPr>
        <w:t>Ibidem</w:t>
      </w:r>
      <w:r>
        <w:rPr>
          <w:rFonts w:ascii="Verdana" w:hAnsi="Verdana" w:cs="Arial"/>
          <w:sz w:val="18"/>
          <w:szCs w:val="18"/>
          <w:lang w:val="es-ES"/>
        </w:rPr>
        <w:t>.</w:t>
      </w:r>
    </w:p>
  </w:footnote>
  <w:footnote w:id="14">
    <w:p w14:paraId="09ADE997" w14:textId="77777777" w:rsidR="005C01AB" w:rsidRDefault="005C01AB" w:rsidP="005C01AB">
      <w:pPr>
        <w:pStyle w:val="Textonotapie"/>
        <w:ind w:firstLine="709"/>
        <w:jc w:val="both"/>
        <w:rPr>
          <w:rFonts w:ascii="Verdana" w:hAnsi="Verdana" w:cs="Arial"/>
          <w:sz w:val="18"/>
          <w:szCs w:val="18"/>
        </w:rPr>
      </w:pPr>
      <w:r>
        <w:rPr>
          <w:rStyle w:val="Refdenotaalpie"/>
          <w:rFonts w:ascii="Verdana" w:hAnsi="Verdana" w:cs="Arial"/>
          <w:sz w:val="18"/>
          <w:szCs w:val="18"/>
        </w:rPr>
        <w:footnoteRef/>
      </w:r>
      <w:r>
        <w:rPr>
          <w:rFonts w:ascii="Verdana" w:hAnsi="Verdana" w:cs="Arial"/>
          <w:sz w:val="18"/>
          <w:szCs w:val="18"/>
        </w:rPr>
        <w:t xml:space="preserve"> Consejo de Estado. Sala de Consulta y Servicio Civil. Concepto del 08 de mayo de 2018. Exp. 2.382. C.P. Álvaro Namén Vargas.</w:t>
      </w:r>
    </w:p>
  </w:footnote>
  <w:footnote w:id="15">
    <w:p w14:paraId="715FFD4F" w14:textId="77777777" w:rsidR="001F6B20" w:rsidRDefault="001F6B20" w:rsidP="001F6B20">
      <w:pPr>
        <w:pStyle w:val="Textonotapie"/>
        <w:ind w:firstLine="709"/>
        <w:jc w:val="both"/>
        <w:rPr>
          <w:rFonts w:ascii="Verdana" w:hAnsi="Verdana" w:cs="Arial"/>
          <w:sz w:val="18"/>
          <w:szCs w:val="18"/>
        </w:rPr>
      </w:pPr>
      <w:r>
        <w:rPr>
          <w:rStyle w:val="Refdenotaalpie"/>
          <w:rFonts w:ascii="Verdana" w:hAnsi="Verdana" w:cs="Arial"/>
          <w:sz w:val="18"/>
          <w:szCs w:val="18"/>
        </w:rPr>
        <w:footnoteRef/>
      </w:r>
      <w:r>
        <w:rPr>
          <w:rFonts w:ascii="Verdana" w:hAnsi="Verdana" w:cs="Arial"/>
          <w:sz w:val="18"/>
          <w:szCs w:val="18"/>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6">
    <w:p w14:paraId="5131AD08" w14:textId="38E12A71" w:rsidR="00B24B5E" w:rsidRDefault="00B24B5E" w:rsidP="00CF0804">
      <w:pPr>
        <w:pStyle w:val="Textonotapie"/>
      </w:pPr>
      <w:r>
        <w:rPr>
          <w:rStyle w:val="Refdenotaalpie"/>
        </w:rPr>
        <w:footnoteRef/>
      </w:r>
      <w:r>
        <w:t xml:space="preserve"> </w:t>
      </w:r>
      <w:r w:rsidR="00CF0804">
        <w:t xml:space="preserve"> </w:t>
      </w:r>
      <w:r w:rsidR="00CF0804" w:rsidRPr="00CF0804">
        <w:rPr>
          <w:sz w:val="16"/>
          <w:szCs w:val="16"/>
        </w:rPr>
        <w:t xml:space="preserve">Agencia Nacional de Contratación Pública – Colombia Compra Eficiente–. Circular Externa Única. Disponible en:  </w:t>
      </w:r>
      <w:hyperlink r:id="rId1" w:history="1">
        <w:r w:rsidR="00CF0804" w:rsidRPr="00CF0804">
          <w:rPr>
            <w:rStyle w:val="Hipervnculo"/>
            <w:sz w:val="16"/>
            <w:szCs w:val="16"/>
          </w:rPr>
          <w:t>https://www.colombiacompra.gov.co/wp</w:t>
        </w:r>
      </w:hyperlink>
      <w:r w:rsidR="00CF0804" w:rsidRPr="00CF0804">
        <w:rPr>
          <w:sz w:val="16"/>
          <w:szCs w:val="16"/>
        </w:rPr>
        <w:t xml:space="preserve"> content/uploads/2024/08/circular_externa_unica_version_3_vf49.pdf</w:t>
      </w:r>
      <w:r w:rsidR="00CF0804">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25B09E1"/>
    <w:multiLevelType w:val="multilevel"/>
    <w:tmpl w:val="3E7A3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2F57F6"/>
    <w:multiLevelType w:val="multilevel"/>
    <w:tmpl w:val="A7B0B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D4507B2"/>
    <w:multiLevelType w:val="multilevel"/>
    <w:tmpl w:val="B100C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8323489"/>
    <w:multiLevelType w:val="multilevel"/>
    <w:tmpl w:val="31FAB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9C40893"/>
    <w:multiLevelType w:val="multilevel"/>
    <w:tmpl w:val="39721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AE55F55"/>
    <w:multiLevelType w:val="multilevel"/>
    <w:tmpl w:val="03729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0697C0B"/>
    <w:multiLevelType w:val="multilevel"/>
    <w:tmpl w:val="2C0C4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319858B6"/>
    <w:multiLevelType w:val="multilevel"/>
    <w:tmpl w:val="00AC4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45297BFA"/>
    <w:multiLevelType w:val="multilevel"/>
    <w:tmpl w:val="CCFEB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A624AC3"/>
    <w:multiLevelType w:val="multilevel"/>
    <w:tmpl w:val="A7E48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8" w15:restartNumberingAfterBreak="0">
    <w:nsid w:val="58615BE6"/>
    <w:multiLevelType w:val="multilevel"/>
    <w:tmpl w:val="A6407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CC94489"/>
    <w:multiLevelType w:val="multilevel"/>
    <w:tmpl w:val="1D547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B8B0B5D"/>
    <w:multiLevelType w:val="multilevel"/>
    <w:tmpl w:val="4B22B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37B01C7"/>
    <w:multiLevelType w:val="multilevel"/>
    <w:tmpl w:val="D3526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51519448">
    <w:abstractNumId w:val="13"/>
  </w:num>
  <w:num w:numId="2" w16cid:durableId="288321748">
    <w:abstractNumId w:val="4"/>
  </w:num>
  <w:num w:numId="3" w16cid:durableId="1425682749">
    <w:abstractNumId w:val="5"/>
  </w:num>
  <w:num w:numId="4" w16cid:durableId="1227110730">
    <w:abstractNumId w:val="0"/>
  </w:num>
  <w:num w:numId="5" w16cid:durableId="53050407">
    <w:abstractNumId w:val="17"/>
  </w:num>
  <w:num w:numId="6" w16cid:durableId="2107847440">
    <w:abstractNumId w:val="3"/>
  </w:num>
  <w:num w:numId="7" w16cid:durableId="144056749">
    <w:abstractNumId w:val="11"/>
  </w:num>
  <w:num w:numId="8" w16cid:durableId="531266698">
    <w:abstractNumId w:val="14"/>
  </w:num>
  <w:num w:numId="9" w16cid:durableId="1195463567">
    <w:abstractNumId w:val="12"/>
  </w:num>
  <w:num w:numId="10" w16cid:durableId="1486701116">
    <w:abstractNumId w:val="19"/>
  </w:num>
  <w:num w:numId="11" w16cid:durableId="320037402">
    <w:abstractNumId w:val="10"/>
  </w:num>
  <w:num w:numId="12" w16cid:durableId="584993783">
    <w:abstractNumId w:val="15"/>
  </w:num>
  <w:num w:numId="13" w16cid:durableId="1476605231">
    <w:abstractNumId w:val="1"/>
  </w:num>
  <w:num w:numId="14" w16cid:durableId="1268468373">
    <w:abstractNumId w:val="6"/>
  </w:num>
  <w:num w:numId="15" w16cid:durableId="1713798584">
    <w:abstractNumId w:val="21"/>
  </w:num>
  <w:num w:numId="16" w16cid:durableId="830215544">
    <w:abstractNumId w:val="18"/>
  </w:num>
  <w:num w:numId="17" w16cid:durableId="1172642617">
    <w:abstractNumId w:val="16"/>
  </w:num>
  <w:num w:numId="18" w16cid:durableId="205409613">
    <w:abstractNumId w:val="2"/>
  </w:num>
  <w:num w:numId="19" w16cid:durableId="390619676">
    <w:abstractNumId w:val="8"/>
  </w:num>
  <w:num w:numId="20" w16cid:durableId="582181800">
    <w:abstractNumId w:val="9"/>
  </w:num>
  <w:num w:numId="21" w16cid:durableId="841042455">
    <w:abstractNumId w:val="20"/>
  </w:num>
  <w:num w:numId="22" w16cid:durableId="7383592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0577"/>
    <w:rsid w:val="000016F3"/>
    <w:rsid w:val="000037AE"/>
    <w:rsid w:val="00005BB0"/>
    <w:rsid w:val="0001025F"/>
    <w:rsid w:val="0001222D"/>
    <w:rsid w:val="000135EB"/>
    <w:rsid w:val="00015D2B"/>
    <w:rsid w:val="00031584"/>
    <w:rsid w:val="00032A0E"/>
    <w:rsid w:val="00037347"/>
    <w:rsid w:val="000442CC"/>
    <w:rsid w:val="000556D4"/>
    <w:rsid w:val="0006284D"/>
    <w:rsid w:val="000716AB"/>
    <w:rsid w:val="0007598A"/>
    <w:rsid w:val="00082E4C"/>
    <w:rsid w:val="000849D5"/>
    <w:rsid w:val="0008528F"/>
    <w:rsid w:val="000A6E0C"/>
    <w:rsid w:val="000A7A56"/>
    <w:rsid w:val="000B1FF7"/>
    <w:rsid w:val="000B2513"/>
    <w:rsid w:val="000B4024"/>
    <w:rsid w:val="000C0179"/>
    <w:rsid w:val="000C3C51"/>
    <w:rsid w:val="000C7262"/>
    <w:rsid w:val="000D2A7F"/>
    <w:rsid w:val="000D4FCE"/>
    <w:rsid w:val="00105DE7"/>
    <w:rsid w:val="0011037E"/>
    <w:rsid w:val="00130752"/>
    <w:rsid w:val="00134570"/>
    <w:rsid w:val="001363C7"/>
    <w:rsid w:val="00141AC5"/>
    <w:rsid w:val="00146B11"/>
    <w:rsid w:val="00147A04"/>
    <w:rsid w:val="00152A9D"/>
    <w:rsid w:val="0015476D"/>
    <w:rsid w:val="00161E13"/>
    <w:rsid w:val="001633B7"/>
    <w:rsid w:val="00164AE0"/>
    <w:rsid w:val="00165E83"/>
    <w:rsid w:val="00166CD7"/>
    <w:rsid w:val="0017120C"/>
    <w:rsid w:val="00172F3A"/>
    <w:rsid w:val="0019532A"/>
    <w:rsid w:val="0019670E"/>
    <w:rsid w:val="00197205"/>
    <w:rsid w:val="001A5DD4"/>
    <w:rsid w:val="001A67E9"/>
    <w:rsid w:val="001B143B"/>
    <w:rsid w:val="001B21CA"/>
    <w:rsid w:val="001B504D"/>
    <w:rsid w:val="001C04FC"/>
    <w:rsid w:val="001C25A3"/>
    <w:rsid w:val="001C5D03"/>
    <w:rsid w:val="001C7771"/>
    <w:rsid w:val="001D62FF"/>
    <w:rsid w:val="001D6A59"/>
    <w:rsid w:val="001F3F48"/>
    <w:rsid w:val="001F6B20"/>
    <w:rsid w:val="002000AA"/>
    <w:rsid w:val="00204109"/>
    <w:rsid w:val="00211E6E"/>
    <w:rsid w:val="00212A46"/>
    <w:rsid w:val="00213139"/>
    <w:rsid w:val="0021401D"/>
    <w:rsid w:val="002146B8"/>
    <w:rsid w:val="00215516"/>
    <w:rsid w:val="002303F7"/>
    <w:rsid w:val="00235CB7"/>
    <w:rsid w:val="002527C2"/>
    <w:rsid w:val="00270443"/>
    <w:rsid w:val="00270EE2"/>
    <w:rsid w:val="00272972"/>
    <w:rsid w:val="00281C77"/>
    <w:rsid w:val="00286491"/>
    <w:rsid w:val="00292017"/>
    <w:rsid w:val="002A0F8D"/>
    <w:rsid w:val="002B6753"/>
    <w:rsid w:val="002B6E44"/>
    <w:rsid w:val="002B6F76"/>
    <w:rsid w:val="002B74B1"/>
    <w:rsid w:val="002C182E"/>
    <w:rsid w:val="002E1DB5"/>
    <w:rsid w:val="002F6CCB"/>
    <w:rsid w:val="0030461E"/>
    <w:rsid w:val="0030733C"/>
    <w:rsid w:val="00320531"/>
    <w:rsid w:val="0032756A"/>
    <w:rsid w:val="00334EF8"/>
    <w:rsid w:val="00336408"/>
    <w:rsid w:val="00340DFB"/>
    <w:rsid w:val="0034404F"/>
    <w:rsid w:val="00345F36"/>
    <w:rsid w:val="00350994"/>
    <w:rsid w:val="00356980"/>
    <w:rsid w:val="003624BD"/>
    <w:rsid w:val="00363E49"/>
    <w:rsid w:val="00366E10"/>
    <w:rsid w:val="00367462"/>
    <w:rsid w:val="00371ECA"/>
    <w:rsid w:val="00372748"/>
    <w:rsid w:val="0037332A"/>
    <w:rsid w:val="003769D2"/>
    <w:rsid w:val="0038151A"/>
    <w:rsid w:val="00383983"/>
    <w:rsid w:val="003844E6"/>
    <w:rsid w:val="0039082A"/>
    <w:rsid w:val="00390C21"/>
    <w:rsid w:val="0039183E"/>
    <w:rsid w:val="00397536"/>
    <w:rsid w:val="003A37BD"/>
    <w:rsid w:val="003B6D94"/>
    <w:rsid w:val="003C4C96"/>
    <w:rsid w:val="003C55E0"/>
    <w:rsid w:val="003D6FCA"/>
    <w:rsid w:val="003E5237"/>
    <w:rsid w:val="003F519B"/>
    <w:rsid w:val="0040544F"/>
    <w:rsid w:val="00406A19"/>
    <w:rsid w:val="0041222D"/>
    <w:rsid w:val="0041483E"/>
    <w:rsid w:val="00415369"/>
    <w:rsid w:val="00415B95"/>
    <w:rsid w:val="00430492"/>
    <w:rsid w:val="00450BE7"/>
    <w:rsid w:val="00454320"/>
    <w:rsid w:val="0046741E"/>
    <w:rsid w:val="00472CC6"/>
    <w:rsid w:val="0048026E"/>
    <w:rsid w:val="004807A9"/>
    <w:rsid w:val="00480F01"/>
    <w:rsid w:val="004813EE"/>
    <w:rsid w:val="0048168A"/>
    <w:rsid w:val="00481D2B"/>
    <w:rsid w:val="00493278"/>
    <w:rsid w:val="004943D9"/>
    <w:rsid w:val="004A0E7B"/>
    <w:rsid w:val="004A3498"/>
    <w:rsid w:val="004B0C45"/>
    <w:rsid w:val="004C0620"/>
    <w:rsid w:val="004C0AB2"/>
    <w:rsid w:val="004C1619"/>
    <w:rsid w:val="004C1A26"/>
    <w:rsid w:val="004C1CC9"/>
    <w:rsid w:val="004C3755"/>
    <w:rsid w:val="004C4485"/>
    <w:rsid w:val="004D11AF"/>
    <w:rsid w:val="004D1446"/>
    <w:rsid w:val="004F7A9F"/>
    <w:rsid w:val="00500DFA"/>
    <w:rsid w:val="005019AA"/>
    <w:rsid w:val="005021BB"/>
    <w:rsid w:val="005139E7"/>
    <w:rsid w:val="005147DA"/>
    <w:rsid w:val="00515FB5"/>
    <w:rsid w:val="0052365C"/>
    <w:rsid w:val="00524DB1"/>
    <w:rsid w:val="005271EB"/>
    <w:rsid w:val="005426DB"/>
    <w:rsid w:val="005504FD"/>
    <w:rsid w:val="0055082B"/>
    <w:rsid w:val="00552503"/>
    <w:rsid w:val="00552B57"/>
    <w:rsid w:val="00557DA1"/>
    <w:rsid w:val="0056322C"/>
    <w:rsid w:val="00570106"/>
    <w:rsid w:val="00576062"/>
    <w:rsid w:val="00577A31"/>
    <w:rsid w:val="0058743A"/>
    <w:rsid w:val="00590DDE"/>
    <w:rsid w:val="005A4DB0"/>
    <w:rsid w:val="005A7B8E"/>
    <w:rsid w:val="005B012B"/>
    <w:rsid w:val="005B0C87"/>
    <w:rsid w:val="005C01AB"/>
    <w:rsid w:val="005C675A"/>
    <w:rsid w:val="005D23F6"/>
    <w:rsid w:val="005D2FA8"/>
    <w:rsid w:val="005E2281"/>
    <w:rsid w:val="005E667C"/>
    <w:rsid w:val="005F077C"/>
    <w:rsid w:val="005F63D0"/>
    <w:rsid w:val="005F7973"/>
    <w:rsid w:val="00602ADF"/>
    <w:rsid w:val="0061690E"/>
    <w:rsid w:val="00627361"/>
    <w:rsid w:val="0063017E"/>
    <w:rsid w:val="00631B28"/>
    <w:rsid w:val="00645B90"/>
    <w:rsid w:val="00650991"/>
    <w:rsid w:val="006511D7"/>
    <w:rsid w:val="00656528"/>
    <w:rsid w:val="00663D75"/>
    <w:rsid w:val="00670AEF"/>
    <w:rsid w:val="00670F3D"/>
    <w:rsid w:val="00675678"/>
    <w:rsid w:val="00676B92"/>
    <w:rsid w:val="00677012"/>
    <w:rsid w:val="006825B4"/>
    <w:rsid w:val="00682AF2"/>
    <w:rsid w:val="006864DF"/>
    <w:rsid w:val="00697C8B"/>
    <w:rsid w:val="006A3C8A"/>
    <w:rsid w:val="006A7552"/>
    <w:rsid w:val="006B16FD"/>
    <w:rsid w:val="006B5953"/>
    <w:rsid w:val="006B7A81"/>
    <w:rsid w:val="006C4BAC"/>
    <w:rsid w:val="006C52F3"/>
    <w:rsid w:val="006D0E25"/>
    <w:rsid w:val="006D37B2"/>
    <w:rsid w:val="006E7F37"/>
    <w:rsid w:val="006F28D6"/>
    <w:rsid w:val="006F3B81"/>
    <w:rsid w:val="006F4F79"/>
    <w:rsid w:val="00702DD6"/>
    <w:rsid w:val="00705B37"/>
    <w:rsid w:val="00711FD9"/>
    <w:rsid w:val="007267EE"/>
    <w:rsid w:val="007308C9"/>
    <w:rsid w:val="00735062"/>
    <w:rsid w:val="00746BA5"/>
    <w:rsid w:val="00750EFF"/>
    <w:rsid w:val="00751D23"/>
    <w:rsid w:val="00770577"/>
    <w:rsid w:val="00777666"/>
    <w:rsid w:val="0078159B"/>
    <w:rsid w:val="00782E10"/>
    <w:rsid w:val="0078706B"/>
    <w:rsid w:val="00790836"/>
    <w:rsid w:val="00797131"/>
    <w:rsid w:val="007A3C1D"/>
    <w:rsid w:val="007B285D"/>
    <w:rsid w:val="007C6BC6"/>
    <w:rsid w:val="007D17C3"/>
    <w:rsid w:val="008067C5"/>
    <w:rsid w:val="00807D79"/>
    <w:rsid w:val="00813634"/>
    <w:rsid w:val="00820EDF"/>
    <w:rsid w:val="00822821"/>
    <w:rsid w:val="00826871"/>
    <w:rsid w:val="00831C29"/>
    <w:rsid w:val="008340DC"/>
    <w:rsid w:val="008431EF"/>
    <w:rsid w:val="008468E0"/>
    <w:rsid w:val="008526E9"/>
    <w:rsid w:val="00852D8F"/>
    <w:rsid w:val="00871B59"/>
    <w:rsid w:val="00877D03"/>
    <w:rsid w:val="00877E96"/>
    <w:rsid w:val="008806CA"/>
    <w:rsid w:val="008815E5"/>
    <w:rsid w:val="00887B37"/>
    <w:rsid w:val="008909B9"/>
    <w:rsid w:val="00891DFC"/>
    <w:rsid w:val="008B12B4"/>
    <w:rsid w:val="008B7914"/>
    <w:rsid w:val="008C5D2A"/>
    <w:rsid w:val="008C7AF4"/>
    <w:rsid w:val="008D4911"/>
    <w:rsid w:val="008D529F"/>
    <w:rsid w:val="008E2851"/>
    <w:rsid w:val="008F5CC8"/>
    <w:rsid w:val="00900F28"/>
    <w:rsid w:val="009061B8"/>
    <w:rsid w:val="0091008B"/>
    <w:rsid w:val="00911EA2"/>
    <w:rsid w:val="00916C7D"/>
    <w:rsid w:val="00922A1F"/>
    <w:rsid w:val="00924606"/>
    <w:rsid w:val="00925377"/>
    <w:rsid w:val="0092575D"/>
    <w:rsid w:val="009341DA"/>
    <w:rsid w:val="009430F9"/>
    <w:rsid w:val="009442E8"/>
    <w:rsid w:val="00946BD0"/>
    <w:rsid w:val="0095426C"/>
    <w:rsid w:val="009636D5"/>
    <w:rsid w:val="00970087"/>
    <w:rsid w:val="00971074"/>
    <w:rsid w:val="00977DC9"/>
    <w:rsid w:val="00983695"/>
    <w:rsid w:val="00995D86"/>
    <w:rsid w:val="009A5453"/>
    <w:rsid w:val="009B4D94"/>
    <w:rsid w:val="009B5EF9"/>
    <w:rsid w:val="009C2871"/>
    <w:rsid w:val="009D2530"/>
    <w:rsid w:val="009D3C33"/>
    <w:rsid w:val="009D7F3A"/>
    <w:rsid w:val="009E4885"/>
    <w:rsid w:val="009F43FE"/>
    <w:rsid w:val="00A051E7"/>
    <w:rsid w:val="00A07DB6"/>
    <w:rsid w:val="00A10A73"/>
    <w:rsid w:val="00A170B3"/>
    <w:rsid w:val="00A223D5"/>
    <w:rsid w:val="00A249FE"/>
    <w:rsid w:val="00A37D1C"/>
    <w:rsid w:val="00A5453E"/>
    <w:rsid w:val="00A56F6C"/>
    <w:rsid w:val="00A666A1"/>
    <w:rsid w:val="00A76C8C"/>
    <w:rsid w:val="00A85F30"/>
    <w:rsid w:val="00A9099E"/>
    <w:rsid w:val="00A91FB7"/>
    <w:rsid w:val="00A9253D"/>
    <w:rsid w:val="00A9298F"/>
    <w:rsid w:val="00AA0351"/>
    <w:rsid w:val="00AA3105"/>
    <w:rsid w:val="00AA5F4A"/>
    <w:rsid w:val="00AB1984"/>
    <w:rsid w:val="00AB52B1"/>
    <w:rsid w:val="00AB7DAB"/>
    <w:rsid w:val="00AC0AF4"/>
    <w:rsid w:val="00AC3290"/>
    <w:rsid w:val="00AC4CB3"/>
    <w:rsid w:val="00AC780D"/>
    <w:rsid w:val="00AD036B"/>
    <w:rsid w:val="00AD1996"/>
    <w:rsid w:val="00AD37B3"/>
    <w:rsid w:val="00AD4099"/>
    <w:rsid w:val="00AD4901"/>
    <w:rsid w:val="00AD6AA0"/>
    <w:rsid w:val="00B02FE0"/>
    <w:rsid w:val="00B03848"/>
    <w:rsid w:val="00B04510"/>
    <w:rsid w:val="00B057B6"/>
    <w:rsid w:val="00B24B5E"/>
    <w:rsid w:val="00B2575B"/>
    <w:rsid w:val="00B30448"/>
    <w:rsid w:val="00B337A1"/>
    <w:rsid w:val="00B34786"/>
    <w:rsid w:val="00B400EC"/>
    <w:rsid w:val="00B40162"/>
    <w:rsid w:val="00B41ACE"/>
    <w:rsid w:val="00B50156"/>
    <w:rsid w:val="00B518AD"/>
    <w:rsid w:val="00B60A96"/>
    <w:rsid w:val="00B678EC"/>
    <w:rsid w:val="00B76C94"/>
    <w:rsid w:val="00B772D0"/>
    <w:rsid w:val="00B82DBB"/>
    <w:rsid w:val="00B836EA"/>
    <w:rsid w:val="00B84C05"/>
    <w:rsid w:val="00B91B81"/>
    <w:rsid w:val="00B97135"/>
    <w:rsid w:val="00BA03FC"/>
    <w:rsid w:val="00BB3072"/>
    <w:rsid w:val="00BC7632"/>
    <w:rsid w:val="00BD48A9"/>
    <w:rsid w:val="00BD630F"/>
    <w:rsid w:val="00BD722F"/>
    <w:rsid w:val="00BD7EC6"/>
    <w:rsid w:val="00BE73FA"/>
    <w:rsid w:val="00BF6B4B"/>
    <w:rsid w:val="00C0511C"/>
    <w:rsid w:val="00C20ACF"/>
    <w:rsid w:val="00C22307"/>
    <w:rsid w:val="00C23469"/>
    <w:rsid w:val="00C30C62"/>
    <w:rsid w:val="00C371DF"/>
    <w:rsid w:val="00C42055"/>
    <w:rsid w:val="00C44B4C"/>
    <w:rsid w:val="00C46734"/>
    <w:rsid w:val="00C47A86"/>
    <w:rsid w:val="00C53220"/>
    <w:rsid w:val="00C8706F"/>
    <w:rsid w:val="00CA1DE8"/>
    <w:rsid w:val="00CA3347"/>
    <w:rsid w:val="00CA6F3A"/>
    <w:rsid w:val="00CB1894"/>
    <w:rsid w:val="00CB394B"/>
    <w:rsid w:val="00CB6B1E"/>
    <w:rsid w:val="00CC299A"/>
    <w:rsid w:val="00CC562B"/>
    <w:rsid w:val="00CD03E3"/>
    <w:rsid w:val="00CE6BDA"/>
    <w:rsid w:val="00CF0804"/>
    <w:rsid w:val="00D03DBE"/>
    <w:rsid w:val="00D072C0"/>
    <w:rsid w:val="00D13B72"/>
    <w:rsid w:val="00D34C82"/>
    <w:rsid w:val="00D3757A"/>
    <w:rsid w:val="00D377C9"/>
    <w:rsid w:val="00D504A9"/>
    <w:rsid w:val="00D50666"/>
    <w:rsid w:val="00D5206D"/>
    <w:rsid w:val="00D7177D"/>
    <w:rsid w:val="00D81311"/>
    <w:rsid w:val="00D9412C"/>
    <w:rsid w:val="00DA401E"/>
    <w:rsid w:val="00DB201E"/>
    <w:rsid w:val="00DB3039"/>
    <w:rsid w:val="00DB3897"/>
    <w:rsid w:val="00DC0E68"/>
    <w:rsid w:val="00DC76A3"/>
    <w:rsid w:val="00DD25ED"/>
    <w:rsid w:val="00DE0D6E"/>
    <w:rsid w:val="00DE4EAE"/>
    <w:rsid w:val="00E053CD"/>
    <w:rsid w:val="00E1610C"/>
    <w:rsid w:val="00E16D73"/>
    <w:rsid w:val="00E23E9E"/>
    <w:rsid w:val="00E25722"/>
    <w:rsid w:val="00E27F0A"/>
    <w:rsid w:val="00E30BE6"/>
    <w:rsid w:val="00E4231E"/>
    <w:rsid w:val="00E4302C"/>
    <w:rsid w:val="00E44AC7"/>
    <w:rsid w:val="00E45F4B"/>
    <w:rsid w:val="00E517CB"/>
    <w:rsid w:val="00E60A16"/>
    <w:rsid w:val="00E71626"/>
    <w:rsid w:val="00E72D20"/>
    <w:rsid w:val="00E82B6E"/>
    <w:rsid w:val="00E94258"/>
    <w:rsid w:val="00E95F77"/>
    <w:rsid w:val="00E96C18"/>
    <w:rsid w:val="00EA2E61"/>
    <w:rsid w:val="00EA79DC"/>
    <w:rsid w:val="00EA7D7F"/>
    <w:rsid w:val="00EB02F4"/>
    <w:rsid w:val="00EB2FA2"/>
    <w:rsid w:val="00EB769A"/>
    <w:rsid w:val="00EC3A35"/>
    <w:rsid w:val="00ED7D7A"/>
    <w:rsid w:val="00EE17F2"/>
    <w:rsid w:val="00EE3138"/>
    <w:rsid w:val="00EF2AC7"/>
    <w:rsid w:val="00EF400A"/>
    <w:rsid w:val="00EF6BE4"/>
    <w:rsid w:val="00EF6E5D"/>
    <w:rsid w:val="00F01BF1"/>
    <w:rsid w:val="00F07764"/>
    <w:rsid w:val="00F12517"/>
    <w:rsid w:val="00F131DD"/>
    <w:rsid w:val="00F16BA1"/>
    <w:rsid w:val="00F24435"/>
    <w:rsid w:val="00F30BB5"/>
    <w:rsid w:val="00F30C0F"/>
    <w:rsid w:val="00F314E8"/>
    <w:rsid w:val="00F323A2"/>
    <w:rsid w:val="00F33B57"/>
    <w:rsid w:val="00F33D5C"/>
    <w:rsid w:val="00F346CC"/>
    <w:rsid w:val="00F34E90"/>
    <w:rsid w:val="00F356D6"/>
    <w:rsid w:val="00F40174"/>
    <w:rsid w:val="00F53BE2"/>
    <w:rsid w:val="00F55684"/>
    <w:rsid w:val="00F64D5A"/>
    <w:rsid w:val="00F709CD"/>
    <w:rsid w:val="00F8706C"/>
    <w:rsid w:val="00F905F2"/>
    <w:rsid w:val="00F906F4"/>
    <w:rsid w:val="00F95CBD"/>
    <w:rsid w:val="00FA0716"/>
    <w:rsid w:val="00FA7A5F"/>
    <w:rsid w:val="00FB4629"/>
    <w:rsid w:val="00FB6FB1"/>
    <w:rsid w:val="00FB7063"/>
    <w:rsid w:val="00FC39F5"/>
    <w:rsid w:val="00FC7056"/>
    <w:rsid w:val="00FE1A00"/>
    <w:rsid w:val="00FF7B9A"/>
    <w:rsid w:val="024D7E2C"/>
    <w:rsid w:val="0D2EB883"/>
    <w:rsid w:val="0D8163B6"/>
    <w:rsid w:val="13A69650"/>
    <w:rsid w:val="18C10F1C"/>
    <w:rsid w:val="1BB32F19"/>
    <w:rsid w:val="1F2C3AF5"/>
    <w:rsid w:val="1F9252E4"/>
    <w:rsid w:val="1FF4886A"/>
    <w:rsid w:val="22D2584A"/>
    <w:rsid w:val="28751A95"/>
    <w:rsid w:val="29ACEACC"/>
    <w:rsid w:val="29FA8189"/>
    <w:rsid w:val="2C00A012"/>
    <w:rsid w:val="2F421DDF"/>
    <w:rsid w:val="389994B3"/>
    <w:rsid w:val="3B30A011"/>
    <w:rsid w:val="3B93C128"/>
    <w:rsid w:val="3CFBE104"/>
    <w:rsid w:val="43C9AAE4"/>
    <w:rsid w:val="510454D8"/>
    <w:rsid w:val="521E120A"/>
    <w:rsid w:val="5D8505AD"/>
    <w:rsid w:val="681364DF"/>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link w:val="NormalWebCar"/>
    <w:uiPriority w:val="99"/>
    <w:unhideWhenUsed/>
    <w:rsid w:val="000C3C51"/>
    <w:rPr>
      <w:rFonts w:ascii="Times New Roman" w:hAnsi="Times New Roman" w:cs="Times New Roman"/>
      <w:sz w:val="24"/>
      <w:szCs w:val="24"/>
    </w:rPr>
  </w:style>
  <w:style w:type="character" w:styleId="Fuerte">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character" w:customStyle="1" w:styleId="NormalWebCar">
    <w:name w:val="Normal (Web) Car"/>
    <w:link w:val="NormalWeb"/>
    <w:uiPriority w:val="99"/>
    <w:locked/>
    <w:rsid w:val="00213139"/>
    <w:rPr>
      <w:rFonts w:ascii="Times New Roman" w:hAnsi="Times New Roman" w:cs="Times New Roman"/>
      <w:sz w:val="24"/>
      <w:szCs w:val="24"/>
    </w:rPr>
  </w:style>
  <w:style w:type="character" w:customStyle="1" w:styleId="baj">
    <w:name w:val="b_aj"/>
    <w:basedOn w:val="Fuentedeprrafopredeter"/>
    <w:rsid w:val="002131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208422421">
      <w:bodyDiv w:val="1"/>
      <w:marLeft w:val="0"/>
      <w:marRight w:val="0"/>
      <w:marTop w:val="0"/>
      <w:marBottom w:val="0"/>
      <w:divBdr>
        <w:top w:val="none" w:sz="0" w:space="0" w:color="auto"/>
        <w:left w:val="none" w:sz="0" w:space="0" w:color="auto"/>
        <w:bottom w:val="none" w:sz="0" w:space="0" w:color="auto"/>
        <w:right w:val="none" w:sz="0" w:space="0" w:color="auto"/>
      </w:divBdr>
    </w:div>
    <w:div w:id="242567529">
      <w:bodyDiv w:val="1"/>
      <w:marLeft w:val="0"/>
      <w:marRight w:val="0"/>
      <w:marTop w:val="0"/>
      <w:marBottom w:val="0"/>
      <w:divBdr>
        <w:top w:val="none" w:sz="0" w:space="0" w:color="auto"/>
        <w:left w:val="none" w:sz="0" w:space="0" w:color="auto"/>
        <w:bottom w:val="none" w:sz="0" w:space="0" w:color="auto"/>
        <w:right w:val="none" w:sz="0" w:space="0" w:color="auto"/>
      </w:divBdr>
    </w:div>
    <w:div w:id="344720552">
      <w:bodyDiv w:val="1"/>
      <w:marLeft w:val="0"/>
      <w:marRight w:val="0"/>
      <w:marTop w:val="0"/>
      <w:marBottom w:val="0"/>
      <w:divBdr>
        <w:top w:val="none" w:sz="0" w:space="0" w:color="auto"/>
        <w:left w:val="none" w:sz="0" w:space="0" w:color="auto"/>
        <w:bottom w:val="none" w:sz="0" w:space="0" w:color="auto"/>
        <w:right w:val="none" w:sz="0" w:space="0" w:color="auto"/>
      </w:divBdr>
    </w:div>
    <w:div w:id="454639623">
      <w:bodyDiv w:val="1"/>
      <w:marLeft w:val="0"/>
      <w:marRight w:val="0"/>
      <w:marTop w:val="0"/>
      <w:marBottom w:val="0"/>
      <w:divBdr>
        <w:top w:val="none" w:sz="0" w:space="0" w:color="auto"/>
        <w:left w:val="none" w:sz="0" w:space="0" w:color="auto"/>
        <w:bottom w:val="none" w:sz="0" w:space="0" w:color="auto"/>
        <w:right w:val="none" w:sz="0" w:space="0" w:color="auto"/>
      </w:divBdr>
    </w:div>
    <w:div w:id="491651832">
      <w:bodyDiv w:val="1"/>
      <w:marLeft w:val="0"/>
      <w:marRight w:val="0"/>
      <w:marTop w:val="0"/>
      <w:marBottom w:val="0"/>
      <w:divBdr>
        <w:top w:val="none" w:sz="0" w:space="0" w:color="auto"/>
        <w:left w:val="none" w:sz="0" w:space="0" w:color="auto"/>
        <w:bottom w:val="none" w:sz="0" w:space="0" w:color="auto"/>
        <w:right w:val="none" w:sz="0" w:space="0" w:color="auto"/>
      </w:divBdr>
    </w:div>
    <w:div w:id="542717078">
      <w:bodyDiv w:val="1"/>
      <w:marLeft w:val="0"/>
      <w:marRight w:val="0"/>
      <w:marTop w:val="0"/>
      <w:marBottom w:val="0"/>
      <w:divBdr>
        <w:top w:val="none" w:sz="0" w:space="0" w:color="auto"/>
        <w:left w:val="none" w:sz="0" w:space="0" w:color="auto"/>
        <w:bottom w:val="none" w:sz="0" w:space="0" w:color="auto"/>
        <w:right w:val="none" w:sz="0" w:space="0" w:color="auto"/>
      </w:divBdr>
    </w:div>
    <w:div w:id="553855654">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730268345">
      <w:bodyDiv w:val="1"/>
      <w:marLeft w:val="0"/>
      <w:marRight w:val="0"/>
      <w:marTop w:val="0"/>
      <w:marBottom w:val="0"/>
      <w:divBdr>
        <w:top w:val="none" w:sz="0" w:space="0" w:color="auto"/>
        <w:left w:val="none" w:sz="0" w:space="0" w:color="auto"/>
        <w:bottom w:val="none" w:sz="0" w:space="0" w:color="auto"/>
        <w:right w:val="none" w:sz="0" w:space="0" w:color="auto"/>
      </w:divBdr>
    </w:div>
    <w:div w:id="891581394">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03308595">
      <w:bodyDiv w:val="1"/>
      <w:marLeft w:val="0"/>
      <w:marRight w:val="0"/>
      <w:marTop w:val="0"/>
      <w:marBottom w:val="0"/>
      <w:divBdr>
        <w:top w:val="none" w:sz="0" w:space="0" w:color="auto"/>
        <w:left w:val="none" w:sz="0" w:space="0" w:color="auto"/>
        <w:bottom w:val="none" w:sz="0" w:space="0" w:color="auto"/>
        <w:right w:val="none" w:sz="0" w:space="0" w:color="auto"/>
      </w:divBdr>
    </w:div>
    <w:div w:id="1155074090">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24756411">
      <w:bodyDiv w:val="1"/>
      <w:marLeft w:val="0"/>
      <w:marRight w:val="0"/>
      <w:marTop w:val="0"/>
      <w:marBottom w:val="0"/>
      <w:divBdr>
        <w:top w:val="none" w:sz="0" w:space="0" w:color="auto"/>
        <w:left w:val="none" w:sz="0" w:space="0" w:color="auto"/>
        <w:bottom w:val="none" w:sz="0" w:space="0" w:color="auto"/>
        <w:right w:val="none" w:sz="0" w:space="0" w:color="auto"/>
      </w:divBdr>
    </w:div>
    <w:div w:id="1290745129">
      <w:bodyDiv w:val="1"/>
      <w:marLeft w:val="0"/>
      <w:marRight w:val="0"/>
      <w:marTop w:val="0"/>
      <w:marBottom w:val="0"/>
      <w:divBdr>
        <w:top w:val="none" w:sz="0" w:space="0" w:color="auto"/>
        <w:left w:val="none" w:sz="0" w:space="0" w:color="auto"/>
        <w:bottom w:val="none" w:sz="0" w:space="0" w:color="auto"/>
        <w:right w:val="none" w:sz="0" w:space="0" w:color="auto"/>
      </w:divBdr>
    </w:div>
    <w:div w:id="1304384808">
      <w:bodyDiv w:val="1"/>
      <w:marLeft w:val="0"/>
      <w:marRight w:val="0"/>
      <w:marTop w:val="0"/>
      <w:marBottom w:val="0"/>
      <w:divBdr>
        <w:top w:val="none" w:sz="0" w:space="0" w:color="auto"/>
        <w:left w:val="none" w:sz="0" w:space="0" w:color="auto"/>
        <w:bottom w:val="none" w:sz="0" w:space="0" w:color="auto"/>
        <w:right w:val="none" w:sz="0" w:space="0" w:color="auto"/>
      </w:divBdr>
    </w:div>
    <w:div w:id="1357081579">
      <w:bodyDiv w:val="1"/>
      <w:marLeft w:val="0"/>
      <w:marRight w:val="0"/>
      <w:marTop w:val="0"/>
      <w:marBottom w:val="0"/>
      <w:divBdr>
        <w:top w:val="none" w:sz="0" w:space="0" w:color="auto"/>
        <w:left w:val="none" w:sz="0" w:space="0" w:color="auto"/>
        <w:bottom w:val="none" w:sz="0" w:space="0" w:color="auto"/>
        <w:right w:val="none" w:sz="0" w:space="0" w:color="auto"/>
      </w:divBdr>
    </w:div>
    <w:div w:id="1387223638">
      <w:bodyDiv w:val="1"/>
      <w:marLeft w:val="0"/>
      <w:marRight w:val="0"/>
      <w:marTop w:val="0"/>
      <w:marBottom w:val="0"/>
      <w:divBdr>
        <w:top w:val="none" w:sz="0" w:space="0" w:color="auto"/>
        <w:left w:val="none" w:sz="0" w:space="0" w:color="auto"/>
        <w:bottom w:val="none" w:sz="0" w:space="0" w:color="auto"/>
        <w:right w:val="none" w:sz="0" w:space="0" w:color="auto"/>
      </w:divBdr>
    </w:div>
    <w:div w:id="1490361908">
      <w:bodyDiv w:val="1"/>
      <w:marLeft w:val="0"/>
      <w:marRight w:val="0"/>
      <w:marTop w:val="0"/>
      <w:marBottom w:val="0"/>
      <w:divBdr>
        <w:top w:val="none" w:sz="0" w:space="0" w:color="auto"/>
        <w:left w:val="none" w:sz="0" w:space="0" w:color="auto"/>
        <w:bottom w:val="none" w:sz="0" w:space="0" w:color="auto"/>
        <w:right w:val="none" w:sz="0" w:space="0" w:color="auto"/>
      </w:divBdr>
    </w:div>
    <w:div w:id="1577204901">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342122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scarfabianlopezsierra@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wp"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1480DC62-AA37-4C96-B052-3DDE547B02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706</TotalTime>
  <Pages>17</Pages>
  <Words>5445</Words>
  <Characters>30005</Characters>
  <Application>Microsoft Office Word</Application>
  <DocSecurity>0</DocSecurity>
  <Lines>612</Lines>
  <Paragraphs>131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71</cp:revision>
  <dcterms:created xsi:type="dcterms:W3CDTF">2024-07-04T20:24:00Z</dcterms:created>
  <dcterms:modified xsi:type="dcterms:W3CDTF">2026-02-17T22:40:00Z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